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886CC" w14:textId="24D6CC15" w:rsidR="005F4297" w:rsidRPr="00A84B64" w:rsidRDefault="004B5859" w:rsidP="004B5859">
      <w:pPr>
        <w:pStyle w:val="Ttulo1"/>
        <w:spacing w:line="240" w:lineRule="auto"/>
        <w:ind w:right="-81" w:firstLine="0"/>
        <w:rPr>
          <w:rFonts w:ascii="Arial" w:hAnsi="Arial" w:cs="Arial"/>
          <w:bCs/>
          <w:sz w:val="24"/>
          <w:szCs w:val="24"/>
        </w:rPr>
      </w:pPr>
      <w:r w:rsidRPr="00A84B64">
        <w:rPr>
          <w:rFonts w:ascii="Arial" w:hAnsi="Arial" w:cs="Arial"/>
          <w:bCs/>
          <w:sz w:val="24"/>
          <w:szCs w:val="24"/>
        </w:rPr>
        <w:t>RESPONSABILIDAD DEL ESTADO / Elementos / El daño / Requisitos para que sea indemnizable.</w:t>
      </w:r>
    </w:p>
    <w:p w14:paraId="5F6015D9" w14:textId="043305F8" w:rsidR="004B5859" w:rsidRPr="00A84B64" w:rsidRDefault="004B5859" w:rsidP="004B5859">
      <w:pPr>
        <w:jc w:val="both"/>
        <w:rPr>
          <w:rFonts w:ascii="Arial" w:hAnsi="Arial" w:cs="Arial"/>
          <w:sz w:val="24"/>
          <w:szCs w:val="24"/>
        </w:rPr>
      </w:pPr>
    </w:p>
    <w:p w14:paraId="3478B04B" w14:textId="32F3597E" w:rsidR="004B5859" w:rsidRPr="00A84B64" w:rsidRDefault="004B5859" w:rsidP="004B5859">
      <w:pPr>
        <w:jc w:val="both"/>
        <w:rPr>
          <w:rFonts w:ascii="Arial" w:hAnsi="Arial" w:cs="Arial"/>
          <w:i/>
          <w:sz w:val="24"/>
          <w:szCs w:val="24"/>
        </w:rPr>
      </w:pPr>
      <w:r w:rsidRPr="00A84B64">
        <w:rPr>
          <w:rFonts w:ascii="Arial" w:hAnsi="Arial" w:cs="Arial"/>
          <w:sz w:val="24"/>
          <w:szCs w:val="24"/>
        </w:rPr>
        <w:t>Este Tribunal en anteriores oportunidades se ha pronunciado respecto a los requisitos que deben acreditarse en el daño, para que el mismo sea indemnizable:</w:t>
      </w:r>
      <w:r w:rsidRPr="00A84B64">
        <w:rPr>
          <w:rFonts w:ascii="Arial" w:hAnsi="Arial" w:cs="Arial"/>
          <w:sz w:val="24"/>
          <w:szCs w:val="24"/>
        </w:rPr>
        <w:t xml:space="preserve"> </w:t>
      </w:r>
      <w:r w:rsidRPr="00A84B64">
        <w:rPr>
          <w:rFonts w:ascii="Arial" w:hAnsi="Arial" w:cs="Arial"/>
          <w:i/>
          <w:sz w:val="24"/>
          <w:szCs w:val="24"/>
        </w:rPr>
        <w:t xml:space="preserve">“Se torna imprescindible que se acredite que i) la persona no tiene el deber jurídico de soportarlo; </w:t>
      </w:r>
      <w:proofErr w:type="spellStart"/>
      <w:r w:rsidRPr="00A84B64">
        <w:rPr>
          <w:rFonts w:ascii="Arial" w:hAnsi="Arial" w:cs="Arial"/>
          <w:i/>
          <w:sz w:val="24"/>
          <w:szCs w:val="24"/>
        </w:rPr>
        <w:t>ii</w:t>
      </w:r>
      <w:proofErr w:type="spellEnd"/>
      <w:r w:rsidRPr="00A84B64">
        <w:rPr>
          <w:rFonts w:ascii="Arial" w:hAnsi="Arial" w:cs="Arial"/>
          <w:i/>
          <w:sz w:val="24"/>
          <w:szCs w:val="24"/>
        </w:rPr>
        <w:t xml:space="preserve">) que sea cierto, es decir que se pueda apreciar material y jurídicamente (que no sea una conjetura) y </w:t>
      </w:r>
      <w:proofErr w:type="spellStart"/>
      <w:r w:rsidRPr="00A84B64">
        <w:rPr>
          <w:rFonts w:ascii="Arial" w:hAnsi="Arial" w:cs="Arial"/>
          <w:i/>
          <w:sz w:val="24"/>
          <w:szCs w:val="24"/>
        </w:rPr>
        <w:t>iii</w:t>
      </w:r>
      <w:proofErr w:type="spellEnd"/>
      <w:r w:rsidRPr="00A84B64">
        <w:rPr>
          <w:rFonts w:ascii="Arial" w:hAnsi="Arial" w:cs="Arial"/>
          <w:i/>
          <w:sz w:val="24"/>
          <w:szCs w:val="24"/>
        </w:rPr>
        <w:t>) que sea personal, es decir, que sea padecido por quien lo solicita.</w:t>
      </w:r>
      <w:r w:rsidRPr="00A84B64">
        <w:rPr>
          <w:rFonts w:ascii="Arial" w:hAnsi="Arial" w:cs="Arial"/>
          <w:sz w:val="24"/>
          <w:szCs w:val="24"/>
        </w:rPr>
        <w:t xml:space="preserve"> </w:t>
      </w:r>
      <w:r w:rsidRPr="00A84B64">
        <w:rPr>
          <w:rFonts w:ascii="Arial" w:hAnsi="Arial" w:cs="Arial"/>
          <w:i/>
          <w:sz w:val="24"/>
          <w:szCs w:val="24"/>
        </w:rPr>
        <w:t>A su turno, la antijuridicidad del daño va encaminada a que no sólo se constate la materialidad y certidumbre de una lesión a un bien o interés amparado por la ley, sino que se determine que la vulneración del derecho contravenga el ordenamiento jurídico en tanto no exista el deber de tolerarlo.</w:t>
      </w:r>
      <w:r w:rsidRPr="00A84B64">
        <w:rPr>
          <w:rFonts w:ascii="Arial" w:hAnsi="Arial" w:cs="Arial"/>
          <w:sz w:val="24"/>
          <w:szCs w:val="24"/>
        </w:rPr>
        <w:t xml:space="preserve"> </w:t>
      </w:r>
      <w:r w:rsidRPr="00A84B64">
        <w:rPr>
          <w:rFonts w:ascii="Arial" w:hAnsi="Arial" w:cs="Arial"/>
          <w:i/>
          <w:sz w:val="24"/>
          <w:szCs w:val="24"/>
        </w:rPr>
        <w:t>Al respecto, advirtió que no constituyen elementos del daño la anormalidad ni la acreditación de una situación legítima; cosa distinta será la determinación de si la afectación proviene d</w:t>
      </w:r>
      <w:bookmarkStart w:id="0" w:name="_GoBack"/>
      <w:bookmarkEnd w:id="0"/>
      <w:r w:rsidRPr="00A84B64">
        <w:rPr>
          <w:rFonts w:ascii="Arial" w:hAnsi="Arial" w:cs="Arial"/>
          <w:i/>
          <w:sz w:val="24"/>
          <w:szCs w:val="24"/>
        </w:rPr>
        <w:t>e una actividad o recae sobre un bien ilícito, caso en el que no habrá daño antijurídico derivado de la ilegalidad o ilicitud de la conducta de la víctima.</w:t>
      </w:r>
      <w:r w:rsidRPr="00A84B64">
        <w:rPr>
          <w:rFonts w:ascii="Arial" w:hAnsi="Arial" w:cs="Arial"/>
          <w:sz w:val="24"/>
          <w:szCs w:val="24"/>
        </w:rPr>
        <w:t xml:space="preserve"> </w:t>
      </w:r>
      <w:r w:rsidRPr="00A84B64">
        <w:rPr>
          <w:rFonts w:ascii="Arial" w:hAnsi="Arial" w:cs="Arial"/>
          <w:i/>
          <w:sz w:val="24"/>
          <w:szCs w:val="24"/>
        </w:rPr>
        <w:t xml:space="preserve">Así, las características del daño son: i) que sea cierto, presente o futuro; </w:t>
      </w:r>
      <w:proofErr w:type="spellStart"/>
      <w:r w:rsidRPr="00A84B64">
        <w:rPr>
          <w:rFonts w:ascii="Arial" w:hAnsi="Arial" w:cs="Arial"/>
          <w:i/>
          <w:sz w:val="24"/>
          <w:szCs w:val="24"/>
        </w:rPr>
        <w:t>ii</w:t>
      </w:r>
      <w:proofErr w:type="spellEnd"/>
      <w:r w:rsidRPr="00A84B64">
        <w:rPr>
          <w:rFonts w:ascii="Arial" w:hAnsi="Arial" w:cs="Arial"/>
          <w:i/>
          <w:sz w:val="24"/>
          <w:szCs w:val="24"/>
        </w:rPr>
        <w:t xml:space="preserve">) determinado o determinable y anormal y </w:t>
      </w:r>
      <w:proofErr w:type="spellStart"/>
      <w:r w:rsidRPr="00A84B64">
        <w:rPr>
          <w:rFonts w:ascii="Arial" w:hAnsi="Arial" w:cs="Arial"/>
          <w:i/>
          <w:sz w:val="24"/>
          <w:szCs w:val="24"/>
        </w:rPr>
        <w:t>iii</w:t>
      </w:r>
      <w:proofErr w:type="spellEnd"/>
      <w:r w:rsidRPr="00A84B64">
        <w:rPr>
          <w:rFonts w:ascii="Arial" w:hAnsi="Arial" w:cs="Arial"/>
          <w:i/>
          <w:sz w:val="24"/>
          <w:szCs w:val="24"/>
        </w:rPr>
        <w:t>) que se trate de una situación jurídicamente protegida, esto es, que no se trate de situaciones jurídicas ilegítimas o contrarias a la ley y la Constitución.</w:t>
      </w:r>
      <w:r w:rsidRPr="00A84B64">
        <w:rPr>
          <w:rFonts w:ascii="Arial" w:hAnsi="Arial" w:cs="Arial"/>
          <w:sz w:val="24"/>
          <w:szCs w:val="24"/>
        </w:rPr>
        <w:t xml:space="preserve"> </w:t>
      </w:r>
      <w:r w:rsidRPr="00A84B64">
        <w:rPr>
          <w:rFonts w:ascii="Arial" w:hAnsi="Arial" w:cs="Arial"/>
          <w:i/>
          <w:sz w:val="24"/>
          <w:szCs w:val="24"/>
        </w:rPr>
        <w:t>Entonces, para que el daño resulte indemnizable, es necesario que este afecte o se concrete en un derecho subjetivo o en un interés legítimo del cual sea titular la victima que, valga decir, debe estar situado dentro de la tutela y protección del Estado”</w:t>
      </w:r>
      <w:r w:rsidRPr="00A84B64">
        <w:rPr>
          <w:rFonts w:ascii="Arial" w:hAnsi="Arial" w:cs="Arial"/>
          <w:i/>
          <w:sz w:val="24"/>
          <w:szCs w:val="24"/>
        </w:rPr>
        <w:t>.</w:t>
      </w:r>
    </w:p>
    <w:p w14:paraId="3CBD01ED" w14:textId="39FFC20E" w:rsidR="004B5859" w:rsidRPr="00A84B64" w:rsidRDefault="004B5859" w:rsidP="004B5859">
      <w:pPr>
        <w:jc w:val="both"/>
        <w:rPr>
          <w:rFonts w:ascii="Arial" w:hAnsi="Arial" w:cs="Arial"/>
          <w:i/>
          <w:sz w:val="24"/>
          <w:szCs w:val="24"/>
        </w:rPr>
      </w:pPr>
    </w:p>
    <w:p w14:paraId="23C46E93" w14:textId="7A83DD82" w:rsidR="004B5859" w:rsidRPr="00A84B64" w:rsidRDefault="004B5859" w:rsidP="004B5859">
      <w:pPr>
        <w:jc w:val="both"/>
        <w:rPr>
          <w:rFonts w:ascii="Arial" w:hAnsi="Arial" w:cs="Arial"/>
          <w:b/>
          <w:i/>
          <w:sz w:val="24"/>
          <w:szCs w:val="24"/>
        </w:rPr>
      </w:pPr>
      <w:r w:rsidRPr="00A84B64">
        <w:rPr>
          <w:rFonts w:ascii="Arial" w:hAnsi="Arial" w:cs="Arial"/>
          <w:b/>
          <w:bCs/>
          <w:sz w:val="24"/>
          <w:szCs w:val="24"/>
        </w:rPr>
        <w:t>RESPONSABILIDAD DEL ESTADO /</w:t>
      </w:r>
      <w:r w:rsidRPr="00A84B64">
        <w:rPr>
          <w:rFonts w:ascii="Arial" w:hAnsi="Arial" w:cs="Arial"/>
          <w:b/>
          <w:bCs/>
          <w:sz w:val="24"/>
          <w:szCs w:val="24"/>
        </w:rPr>
        <w:t xml:space="preserve"> Relación especial de sujeción del Estado con las personas que prestan el servicio militar obligatorio.</w:t>
      </w:r>
    </w:p>
    <w:p w14:paraId="3C5DCA1C" w14:textId="751F737A" w:rsidR="004B5859" w:rsidRPr="00A84B64" w:rsidRDefault="004B5859" w:rsidP="004B5859">
      <w:pPr>
        <w:jc w:val="both"/>
        <w:rPr>
          <w:rFonts w:ascii="Arial" w:hAnsi="Arial" w:cs="Arial"/>
          <w:sz w:val="24"/>
          <w:szCs w:val="24"/>
        </w:rPr>
      </w:pPr>
    </w:p>
    <w:p w14:paraId="6A0FF037" w14:textId="4FB13CA2" w:rsidR="004B5859" w:rsidRPr="00A84B64" w:rsidRDefault="004B5859" w:rsidP="004B5859">
      <w:pPr>
        <w:jc w:val="both"/>
        <w:rPr>
          <w:rFonts w:ascii="Arial" w:hAnsi="Arial" w:cs="Arial"/>
          <w:sz w:val="24"/>
          <w:szCs w:val="24"/>
        </w:rPr>
      </w:pPr>
      <w:r w:rsidRPr="00A84B64">
        <w:rPr>
          <w:rFonts w:ascii="Arial" w:hAnsi="Arial" w:cs="Arial"/>
          <w:sz w:val="24"/>
          <w:szCs w:val="24"/>
        </w:rPr>
        <w:t>Conforme la jurisprudencia de la Sección Tercera del Consejo de Estado, el Estado, respecto de los conscriptos contrae un deber positivo de protección, lo cual implica que debe responder por los daños que éstos sufran en el ejercicio de la actividad militar pues, al imponer el deber de prestar el servicio militar, debe garantizar la integridad psicofísica del soldado, ya que se trata de una persona que se encuentra sometida a su custodia y cuidado, de suerte que la Administración asume una posición de garante, al doblegar la voluntad del soldado y disponer de su libertad individual para un fin determinado, por lo que entra en una relación de especial sujeción, que lo hace responsable de los posibles daños que pueda padecer aquél, mientras permanezca a su cargo.</w:t>
      </w:r>
    </w:p>
    <w:p w14:paraId="5D6FFD66" w14:textId="2C591722" w:rsidR="004B5859" w:rsidRPr="00A84B64" w:rsidRDefault="004B5859" w:rsidP="004B5859">
      <w:pPr>
        <w:jc w:val="both"/>
        <w:rPr>
          <w:rFonts w:ascii="Arial" w:hAnsi="Arial" w:cs="Arial"/>
          <w:sz w:val="24"/>
          <w:szCs w:val="24"/>
        </w:rPr>
      </w:pPr>
    </w:p>
    <w:p w14:paraId="70D94E76" w14:textId="47F3E5F0" w:rsidR="004B5859" w:rsidRPr="00A84B64" w:rsidRDefault="004B5859" w:rsidP="004B5859">
      <w:pPr>
        <w:jc w:val="both"/>
        <w:rPr>
          <w:rFonts w:ascii="Arial" w:hAnsi="Arial" w:cs="Arial"/>
          <w:b/>
          <w:i/>
          <w:sz w:val="24"/>
          <w:szCs w:val="24"/>
        </w:rPr>
      </w:pPr>
      <w:r w:rsidRPr="00A84B64">
        <w:rPr>
          <w:rFonts w:ascii="Arial" w:hAnsi="Arial" w:cs="Arial"/>
          <w:b/>
          <w:bCs/>
          <w:sz w:val="24"/>
          <w:szCs w:val="24"/>
        </w:rPr>
        <w:t>RESPONSABILIDAD DEL ESTADO / Relación especial de sujeción del Estado con las personas que prestan el servicio militar obligatorio</w:t>
      </w:r>
      <w:r w:rsidRPr="00A84B64">
        <w:rPr>
          <w:rFonts w:ascii="Arial" w:hAnsi="Arial" w:cs="Arial"/>
          <w:b/>
          <w:bCs/>
          <w:sz w:val="24"/>
          <w:szCs w:val="24"/>
        </w:rPr>
        <w:t xml:space="preserve"> / Régimen de responsabilidad es distinto al aplicable a los daños sufridos por soldados voluntarios.</w:t>
      </w:r>
    </w:p>
    <w:p w14:paraId="007F60ED" w14:textId="77777777" w:rsidR="004B5859" w:rsidRPr="00A84B64" w:rsidRDefault="004B5859" w:rsidP="004B5859">
      <w:pPr>
        <w:jc w:val="both"/>
        <w:rPr>
          <w:rFonts w:ascii="Arial" w:hAnsi="Arial" w:cs="Arial"/>
          <w:sz w:val="24"/>
          <w:szCs w:val="24"/>
        </w:rPr>
      </w:pPr>
    </w:p>
    <w:p w14:paraId="529E1152" w14:textId="0BEC2D1A" w:rsidR="004B5859" w:rsidRPr="00A84B64" w:rsidRDefault="004B5859" w:rsidP="004B5859">
      <w:pPr>
        <w:jc w:val="both"/>
        <w:rPr>
          <w:rFonts w:ascii="Arial" w:hAnsi="Arial" w:cs="Arial"/>
          <w:sz w:val="24"/>
          <w:szCs w:val="24"/>
        </w:rPr>
      </w:pPr>
      <w:r w:rsidRPr="00A84B64">
        <w:rPr>
          <w:rFonts w:ascii="Arial" w:hAnsi="Arial" w:cs="Arial"/>
          <w:sz w:val="24"/>
          <w:szCs w:val="24"/>
        </w:rPr>
        <w:t xml:space="preserve">En punto al régimen de responsabilidad aplicable al caso de los conscriptos, la jurisprudencia de esa Sección ha señalado que es diferente a la que debe aplicarse a quienes ejercen voluntariamente funciones de alto riesgo relacionadas con la defensa y seguridad del Estado, verbigracia, de los militares, agentes de policía o las que cumplían los detectives del extinto DAS, bajo el entendido de que  el sometimiento de aquéllos a los riesgos inherentes a la actividad militar no se realiza de manera voluntaria, sino que obedece al cumplimiento de los deberes que la Constitución impone a las personas, </w:t>
      </w:r>
      <w:r w:rsidRPr="00A84B64">
        <w:rPr>
          <w:rFonts w:ascii="Arial" w:hAnsi="Arial" w:cs="Arial"/>
          <w:i/>
          <w:sz w:val="24"/>
          <w:szCs w:val="24"/>
        </w:rPr>
        <w:t>“derivados de los principios fundamentales de solidaridad y reciprocidad social”</w:t>
      </w:r>
      <w:r w:rsidRPr="00A84B64">
        <w:rPr>
          <w:rFonts w:ascii="Arial" w:hAnsi="Arial" w:cs="Arial"/>
          <w:sz w:val="24"/>
          <w:szCs w:val="24"/>
        </w:rPr>
        <w:t xml:space="preserve">, para </w:t>
      </w:r>
      <w:r w:rsidRPr="00A84B64">
        <w:rPr>
          <w:rFonts w:ascii="Arial" w:hAnsi="Arial" w:cs="Arial"/>
          <w:i/>
          <w:sz w:val="24"/>
          <w:szCs w:val="24"/>
        </w:rPr>
        <w:t>“defender la independencia nacional y las instituciones públicas”</w:t>
      </w:r>
      <w:r w:rsidRPr="00A84B64">
        <w:rPr>
          <w:rFonts w:ascii="Arial" w:hAnsi="Arial" w:cs="Arial"/>
          <w:sz w:val="24"/>
          <w:szCs w:val="24"/>
        </w:rPr>
        <w:t>.</w:t>
      </w:r>
      <w:r w:rsidR="00E707B2" w:rsidRPr="00A84B64">
        <w:rPr>
          <w:rFonts w:ascii="Arial" w:hAnsi="Arial" w:cs="Arial"/>
          <w:sz w:val="24"/>
          <w:szCs w:val="24"/>
        </w:rPr>
        <w:t xml:space="preserve"> </w:t>
      </w:r>
      <w:r w:rsidRPr="00A84B64">
        <w:rPr>
          <w:rFonts w:ascii="Arial" w:hAnsi="Arial" w:cs="Arial"/>
          <w:sz w:val="24"/>
          <w:szCs w:val="24"/>
        </w:rPr>
        <w:t xml:space="preserve">Continúa la jurisprudencia en cita señalando que es diferente la situación de quienes prestan el servicio militar de manera obligatoria, de quienes lo hacen voluntariamente, dado que los primeros solo están obligados a soportar las </w:t>
      </w:r>
      <w:r w:rsidRPr="00A84B64">
        <w:rPr>
          <w:rFonts w:ascii="Arial" w:hAnsi="Arial" w:cs="Arial"/>
          <w:sz w:val="24"/>
          <w:szCs w:val="24"/>
        </w:rPr>
        <w:lastRenderedPageBreak/>
        <w:t xml:space="preserve">cargas inherentes a éste, como la restricción a los derechos fundamentales de libertad y locomoción, pero no los riesgos anormales o </w:t>
      </w:r>
      <w:r w:rsidR="00E707B2" w:rsidRPr="00A84B64">
        <w:rPr>
          <w:rFonts w:ascii="Arial" w:hAnsi="Arial" w:cs="Arial"/>
          <w:sz w:val="24"/>
          <w:szCs w:val="24"/>
        </w:rPr>
        <w:t>excepcionales,</w:t>
      </w:r>
      <w:r w:rsidRPr="00A84B64">
        <w:rPr>
          <w:rFonts w:ascii="Arial" w:hAnsi="Arial" w:cs="Arial"/>
          <w:sz w:val="24"/>
          <w:szCs w:val="24"/>
        </w:rPr>
        <w:t xml:space="preserve"> en tanto que los segundos asumen todos y cada uno de los riesgos propios de la actividad militar.</w:t>
      </w:r>
      <w:r w:rsidR="00E707B2" w:rsidRPr="00A84B64">
        <w:rPr>
          <w:rFonts w:ascii="Arial" w:hAnsi="Arial" w:cs="Arial"/>
          <w:sz w:val="24"/>
          <w:szCs w:val="24"/>
        </w:rPr>
        <w:t xml:space="preserve"> </w:t>
      </w:r>
      <w:r w:rsidRPr="00A84B64">
        <w:rPr>
          <w:rFonts w:ascii="Arial" w:hAnsi="Arial" w:cs="Arial"/>
          <w:sz w:val="24"/>
          <w:szCs w:val="24"/>
        </w:rPr>
        <w:t xml:space="preserve">Como corolario de lo anterior, -continúa la sentencia en cita- se ha considerado que cuando una persona ingresa al servicio militar obligatorio en buenas condiciones de salud, debe dejar el servicio en condiciones </w:t>
      </w:r>
      <w:r w:rsidR="00E707B2" w:rsidRPr="00A84B64">
        <w:rPr>
          <w:rFonts w:ascii="Arial" w:hAnsi="Arial" w:cs="Arial"/>
          <w:sz w:val="24"/>
          <w:szCs w:val="24"/>
        </w:rPr>
        <w:t>similares,</w:t>
      </w:r>
      <w:r w:rsidRPr="00A84B64">
        <w:rPr>
          <w:rFonts w:ascii="Arial" w:hAnsi="Arial" w:cs="Arial"/>
          <w:sz w:val="24"/>
          <w:szCs w:val="24"/>
        </w:rPr>
        <w:t xml:space="preserve">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p>
    <w:p w14:paraId="7E8B077F" w14:textId="36AB9729" w:rsidR="00E707B2" w:rsidRPr="00A84B64" w:rsidRDefault="00E707B2" w:rsidP="004B5859">
      <w:pPr>
        <w:jc w:val="both"/>
        <w:rPr>
          <w:rFonts w:ascii="Arial" w:hAnsi="Arial" w:cs="Arial"/>
          <w:sz w:val="24"/>
          <w:szCs w:val="24"/>
        </w:rPr>
      </w:pPr>
    </w:p>
    <w:p w14:paraId="6FD2DBD4" w14:textId="1B3D63C7" w:rsidR="00E707B2" w:rsidRPr="00A84B64" w:rsidRDefault="00E707B2" w:rsidP="004B5859">
      <w:pPr>
        <w:jc w:val="both"/>
        <w:rPr>
          <w:rFonts w:ascii="Arial" w:hAnsi="Arial" w:cs="Arial"/>
          <w:sz w:val="24"/>
          <w:szCs w:val="24"/>
        </w:rPr>
      </w:pPr>
      <w:r w:rsidRPr="00A84B64">
        <w:rPr>
          <w:rFonts w:ascii="Arial" w:hAnsi="Arial" w:cs="Arial"/>
          <w:b/>
          <w:bCs/>
          <w:sz w:val="24"/>
          <w:szCs w:val="24"/>
        </w:rPr>
        <w:t>RESPONSABILIDAD DEL ESTADO / Relación especial de sujeción del Estado con las personas que prestan el servicio militar obligatorio /</w:t>
      </w:r>
      <w:r w:rsidRPr="00A84B64">
        <w:rPr>
          <w:rFonts w:ascii="Arial" w:hAnsi="Arial" w:cs="Arial"/>
          <w:b/>
          <w:bCs/>
          <w:sz w:val="24"/>
          <w:szCs w:val="24"/>
        </w:rPr>
        <w:t xml:space="preserve"> Obligaciones del Estado con respecto de aquellas.</w:t>
      </w:r>
    </w:p>
    <w:p w14:paraId="214B6518" w14:textId="64720A88" w:rsidR="00E707B2" w:rsidRPr="00A84B64" w:rsidRDefault="00E707B2" w:rsidP="004B5859">
      <w:pPr>
        <w:jc w:val="both"/>
        <w:rPr>
          <w:rFonts w:ascii="Arial" w:hAnsi="Arial" w:cs="Arial"/>
          <w:sz w:val="24"/>
          <w:szCs w:val="24"/>
        </w:rPr>
      </w:pPr>
    </w:p>
    <w:p w14:paraId="060AE1D2" w14:textId="71966F4C" w:rsidR="00E707B2" w:rsidRPr="00A84B64" w:rsidRDefault="00E707B2" w:rsidP="004B5859">
      <w:pPr>
        <w:jc w:val="both"/>
        <w:rPr>
          <w:rFonts w:ascii="Arial" w:hAnsi="Arial" w:cs="Arial"/>
          <w:sz w:val="24"/>
          <w:szCs w:val="24"/>
        </w:rPr>
      </w:pPr>
      <w:r w:rsidRPr="00A84B64">
        <w:rPr>
          <w:rFonts w:ascii="Arial" w:hAnsi="Arial" w:cs="Arial"/>
          <w:sz w:val="24"/>
          <w:szCs w:val="24"/>
        </w:rPr>
        <w:t xml:space="preserve">La (…) Sección Tercera [del Consejo de Estado], en pronunciamiento del 30 de septiembre de 2000 , señaló que las obligaciones del Estado, respecto de las personas sometidas a una situación especial de sujeción son de dos clases i) de hacer, esto es, de prever y controlar los peligros que pueda sufrir una persona retenida desde el momento mismo en que se recluta o se produce la privación material de la libertad, hasta el momento en que ella es devuelta a la sociedad y </w:t>
      </w:r>
      <w:proofErr w:type="spellStart"/>
      <w:r w:rsidRPr="00A84B64">
        <w:rPr>
          <w:rFonts w:ascii="Arial" w:hAnsi="Arial" w:cs="Arial"/>
          <w:sz w:val="24"/>
          <w:szCs w:val="24"/>
        </w:rPr>
        <w:t>ii</w:t>
      </w:r>
      <w:proofErr w:type="spellEnd"/>
      <w:r w:rsidRPr="00A84B64">
        <w:rPr>
          <w:rFonts w:ascii="Arial" w:hAnsi="Arial" w:cs="Arial"/>
          <w:sz w:val="24"/>
          <w:szCs w:val="24"/>
        </w:rPr>
        <w:t>) de no hacer, referida a la abstención de cualquier conducta que pueda vulnerar o poner en peligro los derechos que no estén limitados por su situación especial.</w:t>
      </w:r>
    </w:p>
    <w:p w14:paraId="33389CBD" w14:textId="1DE1C851" w:rsidR="00E707B2" w:rsidRPr="00A84B64" w:rsidRDefault="00E707B2" w:rsidP="004B5859">
      <w:pPr>
        <w:jc w:val="both"/>
        <w:rPr>
          <w:rFonts w:ascii="Arial" w:hAnsi="Arial" w:cs="Arial"/>
          <w:sz w:val="24"/>
          <w:szCs w:val="24"/>
        </w:rPr>
      </w:pPr>
    </w:p>
    <w:p w14:paraId="79CE941A" w14:textId="7028D7CE" w:rsidR="00E707B2" w:rsidRPr="00A84B64" w:rsidRDefault="00E707B2" w:rsidP="004B5859">
      <w:pPr>
        <w:jc w:val="both"/>
        <w:rPr>
          <w:rFonts w:ascii="Arial" w:hAnsi="Arial" w:cs="Arial"/>
          <w:sz w:val="24"/>
          <w:szCs w:val="24"/>
        </w:rPr>
      </w:pPr>
      <w:r w:rsidRPr="00A84B64">
        <w:rPr>
          <w:rFonts w:ascii="Arial" w:hAnsi="Arial" w:cs="Arial"/>
          <w:b/>
          <w:bCs/>
          <w:sz w:val="24"/>
          <w:szCs w:val="24"/>
        </w:rPr>
        <w:t>RESPONSABILIDAD DEL ESTADO /</w:t>
      </w:r>
      <w:r w:rsidRPr="00A84B64">
        <w:rPr>
          <w:rFonts w:ascii="Arial" w:hAnsi="Arial" w:cs="Arial"/>
          <w:b/>
          <w:bCs/>
          <w:sz w:val="24"/>
          <w:szCs w:val="24"/>
        </w:rPr>
        <w:t xml:space="preserve"> Daños a conscriptos / Títulos de imputación.</w:t>
      </w:r>
    </w:p>
    <w:p w14:paraId="0290484D" w14:textId="743254BD" w:rsidR="00E707B2" w:rsidRPr="00A84B64" w:rsidRDefault="00E707B2" w:rsidP="004B5859">
      <w:pPr>
        <w:jc w:val="both"/>
        <w:rPr>
          <w:rFonts w:ascii="Arial" w:hAnsi="Arial" w:cs="Arial"/>
          <w:sz w:val="24"/>
          <w:szCs w:val="24"/>
        </w:rPr>
      </w:pPr>
    </w:p>
    <w:p w14:paraId="49E9BB4A" w14:textId="504676C9" w:rsidR="00E707B2" w:rsidRPr="00A84B64" w:rsidRDefault="00E707B2" w:rsidP="00E707B2">
      <w:pPr>
        <w:jc w:val="both"/>
        <w:rPr>
          <w:rFonts w:ascii="Arial" w:hAnsi="Arial" w:cs="Arial"/>
          <w:i/>
          <w:sz w:val="24"/>
          <w:szCs w:val="24"/>
        </w:rPr>
      </w:pPr>
      <w:r w:rsidRPr="00A84B64">
        <w:rPr>
          <w:rFonts w:ascii="Arial" w:hAnsi="Arial" w:cs="Arial"/>
          <w:sz w:val="24"/>
          <w:szCs w:val="24"/>
        </w:rPr>
        <w:t>R</w:t>
      </w:r>
      <w:r w:rsidRPr="00A84B64">
        <w:rPr>
          <w:rFonts w:ascii="Arial" w:hAnsi="Arial" w:cs="Arial"/>
          <w:sz w:val="24"/>
          <w:szCs w:val="24"/>
        </w:rPr>
        <w:t xml:space="preserve">especto a los títulos de imputación, el Consejo de </w:t>
      </w:r>
      <w:r w:rsidRPr="00A84B64">
        <w:rPr>
          <w:rFonts w:ascii="Arial" w:hAnsi="Arial" w:cs="Arial"/>
          <w:sz w:val="24"/>
          <w:szCs w:val="24"/>
        </w:rPr>
        <w:t>Estado ha</w:t>
      </w:r>
      <w:r w:rsidRPr="00A84B64">
        <w:rPr>
          <w:rFonts w:ascii="Arial" w:hAnsi="Arial" w:cs="Arial"/>
          <w:sz w:val="24"/>
          <w:szCs w:val="24"/>
        </w:rPr>
        <w:t xml:space="preserve"> expresado lo siguiente:</w:t>
      </w:r>
      <w:r w:rsidRPr="00A84B64">
        <w:rPr>
          <w:rFonts w:ascii="Arial" w:hAnsi="Arial" w:cs="Arial"/>
          <w:sz w:val="24"/>
          <w:szCs w:val="24"/>
        </w:rPr>
        <w:t xml:space="preserve"> </w:t>
      </w:r>
      <w:r w:rsidRPr="00A84B64">
        <w:rPr>
          <w:rFonts w:ascii="Arial" w:hAnsi="Arial" w:cs="Arial"/>
          <w:i/>
          <w:sz w:val="24"/>
          <w:szCs w:val="24"/>
        </w:rPr>
        <w:t>“Atendiendo a las condiciones concretas en las que se produjo el hecho, la Sala ha aplicado en la solución de los casos,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ha considerado que el daño no será imputable al Estado cuando se haya producido por culpa exclusiva de la víctima, por fuerza mayor o por el hecho exclusivo de un tercero, por rompimiento del nexo causal. En providencia de 2 de marzo de 2000, dijo la Sala:</w:t>
      </w:r>
      <w:r w:rsidRPr="00A84B64">
        <w:rPr>
          <w:rFonts w:ascii="Arial" w:hAnsi="Arial" w:cs="Arial"/>
          <w:sz w:val="24"/>
          <w:szCs w:val="24"/>
        </w:rPr>
        <w:t xml:space="preserve"> </w:t>
      </w:r>
      <w:r w:rsidRPr="00A84B64">
        <w:rPr>
          <w:rFonts w:ascii="Arial" w:hAnsi="Arial" w:cs="Arial"/>
          <w:i/>
          <w:sz w:val="24"/>
          <w:szCs w:val="24"/>
        </w:rPr>
        <w:t>...demostrada la existencia de un daño antijurídico causado a quien presta el servicio militar, durante el mismo y en desarrollo de actividades propias de él, puede concluirse que aquél es imputable al Estado. En efecto, dado el carácter especial de esta situación, por las circunstancias antes anotadas, es claro que corresponde al Estado la protección de los obligados a prestar el servicio militar y la asunción de todos los riesgos que se creen como consecuencia de la realización de las diferentes tareas que a ellos se asignen.</w:t>
      </w:r>
      <w:r w:rsidRPr="00A84B64">
        <w:rPr>
          <w:rFonts w:ascii="Arial" w:hAnsi="Arial" w:cs="Arial"/>
          <w:sz w:val="24"/>
          <w:szCs w:val="24"/>
        </w:rPr>
        <w:t xml:space="preserve"> </w:t>
      </w:r>
      <w:r w:rsidRPr="00A84B64">
        <w:rPr>
          <w:rFonts w:ascii="Arial" w:hAnsi="Arial" w:cs="Arial"/>
          <w:i/>
          <w:sz w:val="24"/>
          <w:szCs w:val="24"/>
        </w:rPr>
        <w:t>No será imputable al Estado el daño causado cuando éste haya ocurrido por fuerza mayor o por el hecho exclusivo de un tercero o de la víctima, eventos cuya demostración corresponderá a la parte demandada”</w:t>
      </w:r>
      <w:r w:rsidRPr="00A84B64">
        <w:rPr>
          <w:rFonts w:ascii="Arial" w:hAnsi="Arial" w:cs="Arial"/>
          <w:i/>
          <w:sz w:val="24"/>
          <w:szCs w:val="24"/>
        </w:rPr>
        <w:t>.</w:t>
      </w:r>
    </w:p>
    <w:p w14:paraId="3A47D12A" w14:textId="7030116B" w:rsidR="00634FCD" w:rsidRPr="00A84B64" w:rsidRDefault="00634FCD" w:rsidP="00E707B2">
      <w:pPr>
        <w:jc w:val="both"/>
        <w:rPr>
          <w:rFonts w:ascii="Arial" w:hAnsi="Arial" w:cs="Arial"/>
          <w:i/>
          <w:sz w:val="24"/>
          <w:szCs w:val="24"/>
        </w:rPr>
      </w:pPr>
    </w:p>
    <w:p w14:paraId="7F193BEA" w14:textId="2055668C" w:rsidR="00634FCD" w:rsidRPr="00A84B64" w:rsidRDefault="00634FCD" w:rsidP="00E707B2">
      <w:pPr>
        <w:jc w:val="both"/>
        <w:rPr>
          <w:rFonts w:ascii="Arial" w:hAnsi="Arial" w:cs="Arial"/>
          <w:i/>
          <w:sz w:val="24"/>
          <w:szCs w:val="24"/>
        </w:rPr>
      </w:pPr>
      <w:r w:rsidRPr="00A84B64">
        <w:rPr>
          <w:rFonts w:ascii="Arial" w:hAnsi="Arial" w:cs="Arial"/>
          <w:b/>
          <w:bCs/>
          <w:sz w:val="24"/>
          <w:szCs w:val="24"/>
        </w:rPr>
        <w:t>RESPONSABILIDAD DEL ESTADO / Daños a conscriptos /</w:t>
      </w:r>
      <w:r w:rsidRPr="00A84B64">
        <w:rPr>
          <w:rFonts w:ascii="Arial" w:hAnsi="Arial" w:cs="Arial"/>
          <w:b/>
          <w:bCs/>
          <w:sz w:val="24"/>
          <w:szCs w:val="24"/>
        </w:rPr>
        <w:t xml:space="preserve"> Falla del servicio del INPEC por no extremar al máximo medidas de protección y seguridad.</w:t>
      </w:r>
    </w:p>
    <w:p w14:paraId="785AF3D3" w14:textId="5448E721" w:rsidR="007A5595" w:rsidRPr="00A84B64" w:rsidRDefault="007A5595" w:rsidP="00E707B2">
      <w:pPr>
        <w:jc w:val="both"/>
        <w:rPr>
          <w:rFonts w:ascii="Arial" w:hAnsi="Arial" w:cs="Arial"/>
          <w:sz w:val="24"/>
          <w:szCs w:val="24"/>
        </w:rPr>
      </w:pPr>
    </w:p>
    <w:p w14:paraId="0BD7B209" w14:textId="7C6BC57E" w:rsidR="007A5595" w:rsidRPr="00A84B64" w:rsidRDefault="00634FCD" w:rsidP="007A5595">
      <w:pPr>
        <w:jc w:val="both"/>
        <w:rPr>
          <w:rFonts w:ascii="Arial" w:hAnsi="Arial" w:cs="Arial"/>
          <w:sz w:val="24"/>
          <w:szCs w:val="24"/>
        </w:rPr>
      </w:pPr>
      <w:r w:rsidRPr="00A84B64">
        <w:rPr>
          <w:rFonts w:ascii="Arial" w:hAnsi="Arial" w:cs="Arial"/>
          <w:sz w:val="24"/>
          <w:szCs w:val="24"/>
        </w:rPr>
        <w:t>C</w:t>
      </w:r>
      <w:r w:rsidR="007A5595" w:rsidRPr="00A84B64">
        <w:rPr>
          <w:rFonts w:ascii="Arial" w:hAnsi="Arial" w:cs="Arial"/>
          <w:sz w:val="24"/>
          <w:szCs w:val="24"/>
        </w:rPr>
        <w:t xml:space="preserve">onforme al interrogatorio de parte y a los testimonios practicados, se tiene acreditado que para el desarrollo de la actividad de acondicionamiento físico -partido de microfútbol- se improvisó una cancha no apta para la práctica deportiva , valga recordar que de conformidad con el numeral 12 del artículo 17 del Decreto 537 de </w:t>
      </w:r>
      <w:r w:rsidR="007A5595" w:rsidRPr="00A84B64">
        <w:rPr>
          <w:rFonts w:ascii="Arial" w:hAnsi="Arial" w:cs="Arial"/>
          <w:sz w:val="24"/>
          <w:szCs w:val="24"/>
        </w:rPr>
        <w:lastRenderedPageBreak/>
        <w:t xml:space="preserve">1994, dentro de las funciones y obligaciones que los Auxiliares Bachilleres deben cumplir, se encuentra la realización de los ejercicios colectivos que mejoren o mantengan su capacidad física. Adicionalmente, se acreditó que una vez ocurrida la lesión del conscripto e informado a un integrante del cuadro de mando, se le instigó para que continuara participando en el encuentro deportivo, no se le brindó atención médica y tan solo se le permitió salir en busca de atención médica por sus propios medios, una vez se cumplió la labor de encerrar a los internos, configurándose así la falla en la prestación del servicio imputable al INPEC por su comportamiento negligente y descuidado, siendo que tenía el deber de guarda y protección del auxiliar bachiller, y por ende, </w:t>
      </w:r>
      <w:r w:rsidR="007A5595" w:rsidRPr="00A84B64">
        <w:rPr>
          <w:rFonts w:ascii="Arial" w:hAnsi="Arial" w:cs="Arial"/>
          <w:i/>
          <w:sz w:val="24"/>
          <w:szCs w:val="24"/>
        </w:rPr>
        <w:t>“tenía la obligación de extremar al máximo las medidas de protección y seguridad de los subordinados en la medida en que se trata de personas sometidas a su custodia y cuidado, que no asumen por su propia voluntad o iniciativa, sino por la imposición del Estado”</w:t>
      </w:r>
      <w:r w:rsidR="007A5595" w:rsidRPr="00A84B64">
        <w:rPr>
          <w:rFonts w:ascii="Arial" w:hAnsi="Arial" w:cs="Arial"/>
          <w:sz w:val="24"/>
          <w:szCs w:val="24"/>
        </w:rPr>
        <w:t>. Corolario de lo anterior, concluye la Sala, que la entidad demandada INPEC, no logró acreditar la inexistencia del nexo causal entre el daño y el hecho u omisión que lo produjo y, por tanto, hay lugar a declararlo patrimonialmente responsable por los perjuicios materiales e inmateriales causados a los demandantes con ocasión de la lesión sufrida por el señor Luis Eduardo Ávila Gaitán, tal como se decidió en el fallo de primera instancia.</w:t>
      </w:r>
    </w:p>
    <w:p w14:paraId="4D846590" w14:textId="6B3929A4" w:rsidR="001E0B0C" w:rsidRPr="00A84B64" w:rsidRDefault="001E0B0C" w:rsidP="007A5595">
      <w:pPr>
        <w:jc w:val="both"/>
        <w:rPr>
          <w:rFonts w:ascii="Arial" w:hAnsi="Arial" w:cs="Arial"/>
          <w:sz w:val="24"/>
          <w:szCs w:val="24"/>
        </w:rPr>
      </w:pPr>
    </w:p>
    <w:p w14:paraId="0AFF5ABD" w14:textId="50CCDF53" w:rsidR="001E0B0C" w:rsidRPr="00A84B64" w:rsidRDefault="001E0B0C" w:rsidP="007A5595">
      <w:pPr>
        <w:jc w:val="both"/>
        <w:rPr>
          <w:rFonts w:ascii="Arial" w:hAnsi="Arial" w:cs="Arial"/>
          <w:b/>
          <w:sz w:val="24"/>
          <w:szCs w:val="24"/>
        </w:rPr>
      </w:pPr>
      <w:r w:rsidRPr="00A84B64">
        <w:rPr>
          <w:rFonts w:ascii="Arial" w:hAnsi="Arial" w:cs="Arial"/>
          <w:b/>
          <w:sz w:val="24"/>
          <w:szCs w:val="24"/>
        </w:rPr>
        <w:t>EXCEPCIONES PREVIAS / Deben resolverse en audiencia inicial / Como apoderado no impugnó decisión de primera instancia de resolverlas en la sentencia es extemporáneo alegarlo por vía de apelación de la sentencia.</w:t>
      </w:r>
    </w:p>
    <w:p w14:paraId="5EA06292" w14:textId="49F258B3" w:rsidR="001E0B0C" w:rsidRPr="00A84B64" w:rsidRDefault="001E0B0C" w:rsidP="007A5595">
      <w:pPr>
        <w:jc w:val="both"/>
        <w:rPr>
          <w:rFonts w:ascii="Arial" w:hAnsi="Arial" w:cs="Arial"/>
          <w:b/>
          <w:sz w:val="24"/>
          <w:szCs w:val="24"/>
        </w:rPr>
      </w:pPr>
    </w:p>
    <w:p w14:paraId="7141A6D0" w14:textId="6A5B1928" w:rsidR="001E0B0C" w:rsidRPr="00A84B64" w:rsidRDefault="001E0B0C" w:rsidP="001E0B0C">
      <w:pPr>
        <w:jc w:val="both"/>
        <w:rPr>
          <w:rFonts w:ascii="Arial" w:hAnsi="Arial" w:cs="Arial"/>
          <w:sz w:val="24"/>
          <w:szCs w:val="24"/>
        </w:rPr>
      </w:pPr>
      <w:r w:rsidRPr="00A84B64">
        <w:rPr>
          <w:rFonts w:ascii="Arial" w:hAnsi="Arial" w:cs="Arial"/>
          <w:sz w:val="24"/>
          <w:szCs w:val="24"/>
        </w:rPr>
        <w:t>L</w:t>
      </w:r>
      <w:r w:rsidRPr="00A84B64">
        <w:rPr>
          <w:rFonts w:ascii="Arial" w:hAnsi="Arial" w:cs="Arial"/>
          <w:sz w:val="24"/>
          <w:szCs w:val="24"/>
        </w:rPr>
        <w:t xml:space="preserve">a Sala dirá que sin lugar a dudas las excepciones que propuso el apoderado de SEGUROS DE VIDA DEL ESTADO S.A. correspondían a excepciones previas que han debido resolverse en la audiencia inicial, tal como lo establece el numeral 6º del artículo 180 de la Ley 1437 de 2011, toda vez que la falta de jurisdicción o de competencia se encuentra enlistada dentro de las excepciones previas contempladas en el artículo 100 del CGP, a su vez, la excepción de prescripción extintiva se encuentra taxativamente señalada como excepción previa en el primer inciso del numeral 6º del artículo 180 de la Ley 1437 de 2011. Adicionalmente, el inciso tercero ibidem señala que </w:t>
      </w:r>
      <w:r w:rsidRPr="00A84B64">
        <w:rPr>
          <w:rFonts w:ascii="Arial" w:hAnsi="Arial" w:cs="Arial"/>
          <w:i/>
          <w:sz w:val="24"/>
          <w:szCs w:val="24"/>
        </w:rPr>
        <w:t>“si alguna de ellas prospera, el juez o magistrado dará por terminado el proceso, cuando a ello hubiere lugar”</w:t>
      </w:r>
      <w:r w:rsidRPr="00A84B64">
        <w:rPr>
          <w:rFonts w:ascii="Arial" w:hAnsi="Arial" w:cs="Arial"/>
          <w:sz w:val="24"/>
          <w:szCs w:val="24"/>
        </w:rPr>
        <w:t xml:space="preserve"> y el último inciso ibidem establece que </w:t>
      </w:r>
      <w:r w:rsidRPr="00A84B64">
        <w:rPr>
          <w:rFonts w:ascii="Arial" w:hAnsi="Arial" w:cs="Arial"/>
          <w:i/>
          <w:sz w:val="24"/>
          <w:szCs w:val="24"/>
        </w:rPr>
        <w:t>“el auto que decida sobre las excepciones será susceptible del recurso de apelación o del de súplica, según el caso”</w:t>
      </w:r>
      <w:r w:rsidRPr="00A84B64">
        <w:rPr>
          <w:rFonts w:ascii="Arial" w:hAnsi="Arial" w:cs="Arial"/>
          <w:sz w:val="24"/>
          <w:szCs w:val="24"/>
        </w:rPr>
        <w:t>.</w:t>
      </w:r>
      <w:r w:rsidRPr="00A84B64">
        <w:rPr>
          <w:rFonts w:ascii="Arial" w:hAnsi="Arial" w:cs="Arial"/>
          <w:sz w:val="24"/>
          <w:szCs w:val="24"/>
        </w:rPr>
        <w:t xml:space="preserve"> </w:t>
      </w:r>
      <w:r w:rsidRPr="00A84B64">
        <w:rPr>
          <w:rFonts w:ascii="Arial" w:hAnsi="Arial" w:cs="Arial"/>
          <w:sz w:val="24"/>
          <w:szCs w:val="24"/>
        </w:rPr>
        <w:t>De esta forma, como el apoderado de SEGUROS DE VIDA DEL ESTADO S.A. no interpuso oportunamente el recurso de apelación contra el auto proferido por la juez de primera instancia el 24 de noviembre de 2017 en audiencia inicial, por medio del cual decidió diferir la resolución de las excepciones previas al momento de la sentencia, el alegato respecto a la resolución de las excepciones de prescripción y falta de competencia, en esta etapa procesal (apelación contra sentencia), deviene extemporáneo, pues como se señaló previamente, al ser estas excepciones de las denominadas “previas”, han debido resolverse en la audiencia inicial como lo prevé el numeral 6º del artículo 180 de la Ley 1437 de 2011.</w:t>
      </w:r>
    </w:p>
    <w:p w14:paraId="43E10CD7" w14:textId="2BB670DE" w:rsidR="001F65C8" w:rsidRPr="00A84B64" w:rsidRDefault="001F65C8" w:rsidP="001E0B0C">
      <w:pPr>
        <w:jc w:val="both"/>
        <w:rPr>
          <w:rFonts w:ascii="Arial" w:hAnsi="Arial" w:cs="Arial"/>
          <w:sz w:val="24"/>
          <w:szCs w:val="24"/>
        </w:rPr>
      </w:pPr>
    </w:p>
    <w:p w14:paraId="1114C98C" w14:textId="377FFC37" w:rsidR="001F65C8" w:rsidRPr="00A84B64" w:rsidRDefault="001F65C8" w:rsidP="001E0B0C">
      <w:pPr>
        <w:jc w:val="both"/>
        <w:rPr>
          <w:rFonts w:ascii="Arial" w:hAnsi="Arial" w:cs="Arial"/>
          <w:b/>
          <w:sz w:val="24"/>
          <w:szCs w:val="24"/>
        </w:rPr>
      </w:pPr>
      <w:r w:rsidRPr="00A84B64">
        <w:rPr>
          <w:rFonts w:ascii="Arial" w:hAnsi="Arial" w:cs="Arial"/>
          <w:b/>
          <w:sz w:val="24"/>
          <w:szCs w:val="24"/>
        </w:rPr>
        <w:t>CONTRATO DE SEGURO / Diferencia entre seguros de personas y seguros de daños / Objetivos distintos / Naturaleza compensatoria y no indemnizatoria del seguro de personas.</w:t>
      </w:r>
    </w:p>
    <w:p w14:paraId="43A8D1FB" w14:textId="3E8C5C4E" w:rsidR="001F65C8" w:rsidRPr="00A84B64" w:rsidRDefault="001F65C8" w:rsidP="001E0B0C">
      <w:pPr>
        <w:jc w:val="both"/>
        <w:rPr>
          <w:rFonts w:ascii="Arial" w:hAnsi="Arial" w:cs="Arial"/>
          <w:b/>
          <w:sz w:val="24"/>
          <w:szCs w:val="24"/>
        </w:rPr>
      </w:pPr>
    </w:p>
    <w:p w14:paraId="29BDF92C" w14:textId="0DAD6E1E" w:rsidR="001F65C8" w:rsidRPr="00A84B64" w:rsidRDefault="001F65C8" w:rsidP="001F65C8">
      <w:pPr>
        <w:jc w:val="both"/>
        <w:rPr>
          <w:rFonts w:ascii="Arial" w:hAnsi="Arial" w:cs="Arial"/>
          <w:i/>
          <w:sz w:val="24"/>
          <w:szCs w:val="24"/>
        </w:rPr>
      </w:pPr>
      <w:r w:rsidRPr="00A84B64">
        <w:rPr>
          <w:rFonts w:ascii="Arial" w:hAnsi="Arial" w:cs="Arial"/>
          <w:sz w:val="24"/>
          <w:szCs w:val="24"/>
        </w:rPr>
        <w:t>E</w:t>
      </w:r>
      <w:r w:rsidRPr="00A84B64">
        <w:rPr>
          <w:rFonts w:ascii="Arial" w:hAnsi="Arial" w:cs="Arial"/>
          <w:sz w:val="24"/>
          <w:szCs w:val="24"/>
        </w:rPr>
        <w:t>n lo que respecta a la naturaleza de la Póliza de Vida Grupo No.21-71-1000000481, es necesario clarificar que no se trata de un seguro de daños (responsabilidad civil) como lo adujo el a-quo; sino que se trata de un seguro de personas, tipologías que a la luz de la jurisprudencia comprenden disímiles objetivos:</w:t>
      </w:r>
      <w:r w:rsidRPr="00A84B64">
        <w:rPr>
          <w:rFonts w:ascii="Arial" w:hAnsi="Arial" w:cs="Arial"/>
          <w:sz w:val="24"/>
          <w:szCs w:val="24"/>
        </w:rPr>
        <w:t xml:space="preserve"> </w:t>
      </w:r>
      <w:r w:rsidRPr="00A84B64">
        <w:rPr>
          <w:rFonts w:ascii="Arial" w:hAnsi="Arial" w:cs="Arial"/>
          <w:i/>
          <w:sz w:val="24"/>
          <w:szCs w:val="24"/>
        </w:rPr>
        <w:t xml:space="preserve">“El seguro que concierne con las personas, su finalidad principal es </w:t>
      </w:r>
      <w:r w:rsidRPr="00A84B64">
        <w:rPr>
          <w:rFonts w:ascii="Arial" w:hAnsi="Arial" w:cs="Arial"/>
          <w:i/>
          <w:sz w:val="24"/>
          <w:szCs w:val="24"/>
        </w:rPr>
        <w:lastRenderedPageBreak/>
        <w:t>compensar, antes que indemnizar, la afectación derivada del acaecimiento del hecho descrito como desencadenante de la compensación… Alude a intereses de diferente índole como la vida o la integridad personal  del asegurado, refiera al tomador o a un tercero y, por ello mismo, la obligación que soporta la aseguradora no es el resultado de la pérdida, dado que los intereses involucrados no son tasables en dinero, sino una suma previamente convenida a título de compensación….Por su parte.. el seguro de responsabilidad civil aparece como una modalidad del seguro de daños y la obligación del asegurador es, entonces, asumir la indemnización por los perjuicios patrimoniales que el asegurado cauce a la víctima, de manera que, en esta especie de aseguramiento, el beneficiario es ésta y no aquel. En tanto, el beneficiario en el seguro de personas es el que previamente ha sido elegido como tal o, dado el caso, a quienes por ley les corresponde percibir tal compensación”</w:t>
      </w:r>
      <w:r w:rsidRPr="00A84B64">
        <w:rPr>
          <w:rFonts w:ascii="Arial" w:hAnsi="Arial" w:cs="Arial"/>
          <w:i/>
          <w:sz w:val="24"/>
          <w:szCs w:val="24"/>
        </w:rPr>
        <w:t xml:space="preserve">. </w:t>
      </w:r>
      <w:r w:rsidRPr="00A84B64">
        <w:rPr>
          <w:rFonts w:ascii="Arial" w:hAnsi="Arial" w:cs="Arial"/>
          <w:sz w:val="24"/>
          <w:szCs w:val="24"/>
        </w:rPr>
        <w:t xml:space="preserve">(…) </w:t>
      </w:r>
      <w:r w:rsidRPr="00A84B64">
        <w:rPr>
          <w:rFonts w:ascii="Arial" w:hAnsi="Arial" w:cs="Arial"/>
          <w:i/>
          <w:sz w:val="24"/>
          <w:szCs w:val="24"/>
        </w:rPr>
        <w:t>“En el seguro de personas, que por supuesto comprende el de vida, (…), se garantiza el pago de un capital previamente acordado entre las partes, que será su límite, cuando se produzca el hecho que afecta la supervivencia o salud del asegurado; el interés asegurable, según el artículo 1137 del Código de Comercio, lo tiene la persona en su propia vida, en la de las personas a quienes les pueda reclamar alimentos, y en la de aquellas por cuya muerte o incapacidad reciba un perjuicio económico, aunque este perjuicio no sea factible de evaluar de manera cierta, es decir, el objeto de ese interés es la existencia física misma. En el seguro de vida, el riesgo que asume el asegurador es la muerte del asegurado, en el que, se reitera, a diferencia del de daños, que tiene naturaleza indemnizatoria, las partes pueden libremente pactar la suma asegurada, que propiamente no responde al concepto de indemnización, sino al de prestación a cargo del asegurador por la ocurrencia del hecho que según la póliza da origen a la obligación de pagar la cantidad estipulada. Por lo tanto, con la sola ocurrencia del siniestro, debidamente acreditada, por regla general nace la obligación del asegurador de pagar el valor del seguro en la cantidad estipulada en el contrato”.</w:t>
      </w:r>
    </w:p>
    <w:p w14:paraId="51661CAF" w14:textId="556750B8" w:rsidR="001F65C8" w:rsidRPr="00A84B64" w:rsidRDefault="001F65C8" w:rsidP="001F65C8">
      <w:pPr>
        <w:jc w:val="both"/>
        <w:rPr>
          <w:rFonts w:ascii="Arial" w:hAnsi="Arial" w:cs="Arial"/>
          <w:i/>
          <w:sz w:val="24"/>
          <w:szCs w:val="24"/>
        </w:rPr>
      </w:pPr>
    </w:p>
    <w:p w14:paraId="7790994D" w14:textId="4AF298AB" w:rsidR="001F65C8" w:rsidRPr="00A84B64" w:rsidRDefault="001F65C8" w:rsidP="001F65C8">
      <w:pPr>
        <w:jc w:val="both"/>
        <w:rPr>
          <w:rFonts w:ascii="Arial" w:hAnsi="Arial" w:cs="Arial"/>
          <w:b/>
          <w:sz w:val="24"/>
          <w:szCs w:val="24"/>
        </w:rPr>
      </w:pPr>
      <w:r w:rsidRPr="00A84B64">
        <w:rPr>
          <w:rFonts w:ascii="Arial" w:hAnsi="Arial" w:cs="Arial"/>
          <w:b/>
          <w:sz w:val="24"/>
          <w:szCs w:val="24"/>
        </w:rPr>
        <w:t>PÓLIZA DE SEGURO VIDA GRUPO / Vinculación de la aseguradora no es como litisconsorte necesario sino como llamado en garantía / Responsabilidad de la aseguradora no es solidaria sino limitada a los amparos de la póliza.</w:t>
      </w:r>
    </w:p>
    <w:p w14:paraId="61D50A33" w14:textId="44F5411C" w:rsidR="001F65C8" w:rsidRPr="00A84B64" w:rsidRDefault="001F65C8" w:rsidP="001F65C8">
      <w:pPr>
        <w:jc w:val="both"/>
        <w:rPr>
          <w:rFonts w:ascii="Arial" w:hAnsi="Arial" w:cs="Arial"/>
          <w:i/>
          <w:sz w:val="24"/>
          <w:szCs w:val="24"/>
        </w:rPr>
      </w:pPr>
    </w:p>
    <w:p w14:paraId="0FCFAF4F" w14:textId="1004807B" w:rsidR="001F65C8" w:rsidRPr="00A84B64" w:rsidRDefault="001F65C8" w:rsidP="001F65C8">
      <w:pPr>
        <w:jc w:val="both"/>
        <w:rPr>
          <w:rFonts w:ascii="Arial" w:hAnsi="Arial" w:cs="Arial"/>
          <w:sz w:val="24"/>
          <w:szCs w:val="24"/>
        </w:rPr>
      </w:pPr>
      <w:r w:rsidRPr="00A84B64">
        <w:rPr>
          <w:rFonts w:ascii="Arial" w:hAnsi="Arial" w:cs="Arial"/>
          <w:sz w:val="24"/>
          <w:szCs w:val="24"/>
        </w:rPr>
        <w:t>E</w:t>
      </w:r>
      <w:r w:rsidRPr="00A84B64">
        <w:rPr>
          <w:rFonts w:ascii="Arial" w:hAnsi="Arial" w:cs="Arial"/>
          <w:sz w:val="24"/>
          <w:szCs w:val="24"/>
        </w:rPr>
        <w:t>s dable concluir que la póliza Vida Grupo No. 21-71-1000000481 de Seguros de Vida del Estado S.A., tomada por el INPEC para asegurar a los bachilleres auxiliares del servicio militar obligatorio en el INPEC, corresponde a un seguro de personas en el cual se aseguró determinado capital dependiendo de los amparos otorgados, como se observa en la tabla precedente,  razón por la cual, pese a que SEGUROS DE VIDA DEL ESTADO S.A. fue vinculado al proceso como litisconsorcio necesario de la pasiva mediante auto del 02 de marzo de 2017 (</w:t>
      </w:r>
      <w:proofErr w:type="spellStart"/>
      <w:r w:rsidRPr="00A84B64">
        <w:rPr>
          <w:rFonts w:ascii="Arial" w:hAnsi="Arial" w:cs="Arial"/>
          <w:sz w:val="24"/>
          <w:szCs w:val="24"/>
        </w:rPr>
        <w:t>fls</w:t>
      </w:r>
      <w:proofErr w:type="spellEnd"/>
      <w:r w:rsidRPr="00A84B64">
        <w:rPr>
          <w:rFonts w:ascii="Arial" w:hAnsi="Arial" w:cs="Arial"/>
          <w:sz w:val="24"/>
          <w:szCs w:val="24"/>
        </w:rPr>
        <w:t xml:space="preserve">. 263 a 265), sin que se hubiese controvertido tal decisión, lo cierto es que conforme lo advirtió la juez de primera instancia al momento de proferir fallo, la Aseguradora en el caso concreto representa la figura procesal de llamamiento en garantía, </w:t>
      </w:r>
      <w:r w:rsidRPr="00A84B64">
        <w:rPr>
          <w:rFonts w:ascii="Arial" w:hAnsi="Arial" w:cs="Arial"/>
          <w:sz w:val="24"/>
          <w:szCs w:val="24"/>
        </w:rPr>
        <w:t xml:space="preserve">(…) </w:t>
      </w:r>
      <w:r w:rsidRPr="00A84B64">
        <w:rPr>
          <w:rFonts w:ascii="Arial" w:hAnsi="Arial" w:cs="Arial"/>
          <w:sz w:val="24"/>
          <w:szCs w:val="24"/>
        </w:rPr>
        <w:t>Así las cosas, aunque SEGUROS DE VIDA DEL ESTADO S.A. haya sido vinculado al presente proceso bajo la figura procesal de litisconsorcio necesario de la pasiva, no es posible declararlo patrimonialmente responsable en solidaridad con el INPEC, dado que las obligaciones que recaen en la Aseguradora en mención respecto del asegurado señor Ávila Gaitán en calidad de Auxiliar Bachiller del INPEC, conforme a los amparos de la póliza Vida Grupo No. 21-71-1000000481, corresponden a la  suma previamente convenida a título de compensación, toda vez que, se reitera, la póliza que adquirió el INPEC corresponde a un seguro de personas y no un seguro de daños (póliza de responsabilidad civil extracontractual).</w:t>
      </w:r>
      <w:r w:rsidRPr="00A84B64">
        <w:rPr>
          <w:rFonts w:ascii="Arial" w:hAnsi="Arial" w:cs="Arial"/>
          <w:sz w:val="24"/>
          <w:szCs w:val="24"/>
        </w:rPr>
        <w:t xml:space="preserve"> </w:t>
      </w:r>
      <w:r w:rsidRPr="00A84B64">
        <w:rPr>
          <w:rFonts w:ascii="Arial" w:hAnsi="Arial" w:cs="Arial"/>
          <w:sz w:val="24"/>
          <w:szCs w:val="24"/>
        </w:rPr>
        <w:t xml:space="preserve">En concordancia con lo señalado y encontrándose acreditada la pérdida de capacidad laboral del señor Luis Eduardo Ávila Gaitán en un 28,25%, a título de compensación, SEGUROS DE VIDA </w:t>
      </w:r>
      <w:r w:rsidRPr="00A84B64">
        <w:rPr>
          <w:rFonts w:ascii="Arial" w:hAnsi="Arial" w:cs="Arial"/>
          <w:sz w:val="24"/>
          <w:szCs w:val="24"/>
        </w:rPr>
        <w:lastRenderedPageBreak/>
        <w:t>DEL ESTADO S.A., deberá pagar el capital previamente acordado o monto asegurado a la luz del amparo denominado “PERDIDA DE LA CAPACIDAD LABORAL. DISMINUCION RELATIVA O PERMANENTE EN LA CAPACIDAD LABORAL, INFERIOR AL 75%” que corresponde a la suma de 36 SBCTEN ($30.594.348) según la póliza Vida Grupo No. 21-71-1000000481.</w:t>
      </w:r>
    </w:p>
    <w:p w14:paraId="17C1968C" w14:textId="78B9449C" w:rsidR="00A84B64" w:rsidRPr="00A84B64" w:rsidRDefault="00A84B64" w:rsidP="001F65C8">
      <w:pPr>
        <w:jc w:val="both"/>
        <w:rPr>
          <w:rFonts w:ascii="Arial" w:hAnsi="Arial" w:cs="Arial"/>
          <w:sz w:val="24"/>
          <w:szCs w:val="24"/>
        </w:rPr>
      </w:pPr>
    </w:p>
    <w:p w14:paraId="768A0702" w14:textId="0353C348" w:rsidR="00A84B64" w:rsidRPr="00A84B64" w:rsidRDefault="00A84B64" w:rsidP="001F65C8">
      <w:pPr>
        <w:jc w:val="both"/>
        <w:rPr>
          <w:rFonts w:ascii="Arial" w:hAnsi="Arial" w:cs="Arial"/>
          <w:sz w:val="24"/>
          <w:szCs w:val="24"/>
        </w:rPr>
      </w:pPr>
      <w:r w:rsidRPr="00A84B64">
        <w:rPr>
          <w:rFonts w:ascii="Arial" w:hAnsi="Arial" w:cs="Arial"/>
          <w:b/>
          <w:sz w:val="24"/>
          <w:szCs w:val="24"/>
        </w:rPr>
        <w:t>PÓLIZA DE SEGURO VIDA GRUPO /</w:t>
      </w:r>
      <w:r w:rsidRPr="00A84B64">
        <w:rPr>
          <w:rFonts w:ascii="Arial" w:hAnsi="Arial" w:cs="Arial"/>
          <w:b/>
          <w:sz w:val="24"/>
          <w:szCs w:val="24"/>
        </w:rPr>
        <w:t xml:space="preserve"> Amparos / Si la póliza no determina que el valor asegurado es proporcional no hay lugar a aplicar proporcionalidad.</w:t>
      </w:r>
    </w:p>
    <w:p w14:paraId="66639C0C" w14:textId="16665FB0" w:rsidR="00A84B64" w:rsidRPr="00A84B64" w:rsidRDefault="00A84B64" w:rsidP="001F65C8">
      <w:pPr>
        <w:jc w:val="both"/>
        <w:rPr>
          <w:rFonts w:ascii="Arial" w:hAnsi="Arial" w:cs="Arial"/>
          <w:sz w:val="24"/>
          <w:szCs w:val="24"/>
        </w:rPr>
      </w:pPr>
    </w:p>
    <w:p w14:paraId="7071A8EB" w14:textId="516D6DA1" w:rsidR="00A84B64" w:rsidRPr="00A84B64" w:rsidRDefault="00A84B64" w:rsidP="00A84B64">
      <w:pPr>
        <w:jc w:val="both"/>
        <w:rPr>
          <w:rFonts w:ascii="Arial" w:hAnsi="Arial" w:cs="Arial"/>
          <w:sz w:val="24"/>
          <w:szCs w:val="24"/>
        </w:rPr>
      </w:pPr>
      <w:r w:rsidRPr="00A84B64">
        <w:rPr>
          <w:rFonts w:ascii="Arial" w:hAnsi="Arial" w:cs="Arial"/>
          <w:sz w:val="24"/>
          <w:szCs w:val="24"/>
        </w:rPr>
        <w:t>E</w:t>
      </w:r>
      <w:r w:rsidRPr="00A84B64">
        <w:rPr>
          <w:rFonts w:ascii="Arial" w:hAnsi="Arial" w:cs="Arial"/>
          <w:sz w:val="24"/>
          <w:szCs w:val="24"/>
        </w:rPr>
        <w:t>l apoderado de SEGUROS DE VIDA DEL ESTADO S.A. arguyó que el valor asegurado de $30.594.348 se debe pagar cuando el auxiliar bachiller presenta efectivamente una pérdida de la capacidad laboral del 75%, en caso de una perdida inferior a este porcentaje, el valor a indemnizar a cargo de la aseguradora es proporcional, y afirma que toda vez que en el caso concreto la pérdida de capacidad laboral total del conscripto asegurado se determinó en 28,25%, al aplicar la regla proporcional, el valor a indemnizar corresponde a la suma única y definitiva de $11.523.872.</w:t>
      </w:r>
      <w:r w:rsidRPr="00A84B64">
        <w:rPr>
          <w:rFonts w:ascii="Arial" w:hAnsi="Arial" w:cs="Arial"/>
          <w:sz w:val="24"/>
          <w:szCs w:val="24"/>
        </w:rPr>
        <w:t xml:space="preserve"> </w:t>
      </w:r>
      <w:r w:rsidRPr="00A84B64">
        <w:rPr>
          <w:rFonts w:ascii="Arial" w:hAnsi="Arial" w:cs="Arial"/>
          <w:sz w:val="24"/>
          <w:szCs w:val="24"/>
        </w:rPr>
        <w:t>Frente a este argumento, la Sala dirá que no tiene vocación de prosperidad, pues de la simple lectura del amparo otorgado en la póliza Vida Grupo No. 21-71-1000000481, “PERDIDA DE LA CAPACIDAD LABORAL. DISMINUCION RELATIVA O PERMANENTE EN LA CAPACIDAD LABORAL, INFERIOR AL 75%”, se puede inferir que el valor asegurado no es variable ni proporcional al porcentaje de pérdida de la capacidad laboral, sino que el valor asegurado es igual para todos los casos en que la disminución relativa o permanente de la capacidad laboral sea inferior al 75%, como ocurre en el caso concreto.</w:t>
      </w:r>
      <w:r w:rsidRPr="00A84B64">
        <w:rPr>
          <w:rFonts w:ascii="Arial" w:hAnsi="Arial" w:cs="Arial"/>
          <w:sz w:val="24"/>
          <w:szCs w:val="24"/>
        </w:rPr>
        <w:t xml:space="preserve"> </w:t>
      </w:r>
      <w:r w:rsidRPr="00A84B64">
        <w:rPr>
          <w:rFonts w:ascii="Arial" w:hAnsi="Arial" w:cs="Arial"/>
          <w:sz w:val="24"/>
          <w:szCs w:val="24"/>
        </w:rPr>
        <w:t>En conclusión, la Sala dispondrá ordenar a la aseguradora Seguros Vida del Estado S.A. pagar directamente al asegurado, señor LUIS EDUARDO ÁVILA GAITÁN el valor asegurado individualmente por el INPEC, esto es, la suma de TREINTA MILLONES QUINIENTOS NOVENTA Y CUATRO MIL TRESCIENTOS CUARENTA Y OCHO MIL PESOS ($30.594.348) por concepto del amparo “Pérdida de Capacidad laboral. Disminución relativa o permanente en la capacidad laboral, inferior al 75%” correspondiente a la cobertura de la póliza No. 21-7-1000000481. Suma que el INSTITUTO NACIONAL PENITENCIARIO Y CARCELARIO -INPEC-, deberá tener como parte de pago de la condena por concepto de daño a la salud del demandante. En caso de que tal pago se haga cuando ya el INPEC haya pagado la totalidad de la condena contenida en esta providencia, la aseguradora Seguros Vida del Estado S.A. pagará esa suma al INPEC.</w:t>
      </w:r>
    </w:p>
    <w:p w14:paraId="575439AF" w14:textId="77777777" w:rsidR="004B5859" w:rsidRPr="00A84B64" w:rsidRDefault="004B5859" w:rsidP="004B5859">
      <w:pPr>
        <w:rPr>
          <w:rFonts w:ascii="Arial" w:hAnsi="Arial" w:cs="Arial"/>
          <w:sz w:val="24"/>
          <w:szCs w:val="24"/>
        </w:rPr>
      </w:pPr>
    </w:p>
    <w:p w14:paraId="6D7FD6D8" w14:textId="77777777" w:rsidR="005F4297" w:rsidRPr="00A84B64" w:rsidRDefault="005F4297" w:rsidP="00754142">
      <w:pPr>
        <w:pStyle w:val="Ttulo1"/>
        <w:spacing w:line="276" w:lineRule="auto"/>
        <w:ind w:right="-81" w:firstLine="708"/>
        <w:jc w:val="center"/>
        <w:rPr>
          <w:rFonts w:ascii="Verdana" w:hAnsi="Verdana" w:cs="Arial"/>
          <w:bCs/>
          <w:sz w:val="22"/>
          <w:szCs w:val="22"/>
        </w:rPr>
      </w:pPr>
    </w:p>
    <w:p w14:paraId="66E61707" w14:textId="28E82929" w:rsidR="00736E30" w:rsidRPr="00A84B64" w:rsidRDefault="00736E30" w:rsidP="00754142">
      <w:pPr>
        <w:pStyle w:val="Ttulo1"/>
        <w:spacing w:line="276" w:lineRule="auto"/>
        <w:ind w:right="-81" w:firstLine="708"/>
        <w:jc w:val="center"/>
        <w:rPr>
          <w:rFonts w:ascii="Verdana" w:hAnsi="Verdana" w:cs="Arial"/>
          <w:sz w:val="22"/>
          <w:szCs w:val="22"/>
        </w:rPr>
      </w:pPr>
      <w:r w:rsidRPr="00A84B64">
        <w:rPr>
          <w:rFonts w:ascii="Verdana" w:hAnsi="Verdana" w:cs="Arial"/>
          <w:bCs/>
          <w:sz w:val="22"/>
          <w:szCs w:val="22"/>
        </w:rPr>
        <w:t>REPÚBLICA DE COLOMBIA</w:t>
      </w:r>
    </w:p>
    <w:p w14:paraId="240E6367" w14:textId="77777777" w:rsidR="00736E30" w:rsidRPr="00A84B64" w:rsidRDefault="00736E30" w:rsidP="00754142">
      <w:pPr>
        <w:spacing w:line="276" w:lineRule="auto"/>
        <w:ind w:left="-540" w:right="-880"/>
        <w:jc w:val="center"/>
        <w:rPr>
          <w:rFonts w:ascii="Verdana" w:hAnsi="Verdana" w:cs="Arial"/>
          <w:sz w:val="22"/>
          <w:szCs w:val="22"/>
        </w:rPr>
      </w:pPr>
      <w:r w:rsidRPr="00A84B64">
        <w:rPr>
          <w:rFonts w:ascii="Verdana" w:hAnsi="Verdana" w:cs="Arial"/>
          <w:noProof/>
          <w:sz w:val="22"/>
          <w:szCs w:val="22"/>
        </w:rPr>
        <w:drawing>
          <wp:inline distT="0" distB="0" distL="0" distR="0" wp14:anchorId="4C35D4A4" wp14:editId="482B6966">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32" cy="679855"/>
                    </a:xfrm>
                    <a:prstGeom prst="rect">
                      <a:avLst/>
                    </a:prstGeom>
                    <a:noFill/>
                    <a:ln>
                      <a:noFill/>
                    </a:ln>
                  </pic:spPr>
                </pic:pic>
              </a:graphicData>
            </a:graphic>
          </wp:inline>
        </w:drawing>
      </w:r>
    </w:p>
    <w:p w14:paraId="5708238F" w14:textId="77777777" w:rsidR="00736E30" w:rsidRPr="00A84B64" w:rsidRDefault="00736E30" w:rsidP="00754142">
      <w:pPr>
        <w:pStyle w:val="Ttulo1"/>
        <w:spacing w:line="276" w:lineRule="auto"/>
        <w:ind w:right="-81" w:firstLine="0"/>
        <w:jc w:val="center"/>
        <w:rPr>
          <w:rFonts w:ascii="Verdana" w:hAnsi="Verdana" w:cs="Arial"/>
          <w:sz w:val="22"/>
          <w:szCs w:val="22"/>
        </w:rPr>
      </w:pPr>
      <w:r w:rsidRPr="00A84B64">
        <w:rPr>
          <w:rFonts w:ascii="Verdana" w:hAnsi="Verdana" w:cs="Arial"/>
          <w:sz w:val="22"/>
          <w:szCs w:val="22"/>
        </w:rPr>
        <w:t>TRIBUNAL ADMINISTRATIVO DE BOYACA</w:t>
      </w:r>
    </w:p>
    <w:p w14:paraId="6E49072D" w14:textId="77777777" w:rsidR="00736E30" w:rsidRPr="00A84B64" w:rsidRDefault="002D736E" w:rsidP="00754142">
      <w:pPr>
        <w:spacing w:line="276" w:lineRule="auto"/>
        <w:ind w:right="-81"/>
        <w:jc w:val="center"/>
        <w:rPr>
          <w:rFonts w:ascii="Verdana" w:hAnsi="Verdana" w:cs="Arial"/>
          <w:b/>
          <w:sz w:val="22"/>
          <w:szCs w:val="22"/>
        </w:rPr>
      </w:pPr>
      <w:r w:rsidRPr="00A84B64">
        <w:rPr>
          <w:rFonts w:ascii="Verdana" w:hAnsi="Verdana" w:cs="Arial"/>
          <w:b/>
          <w:sz w:val="22"/>
          <w:szCs w:val="22"/>
        </w:rPr>
        <w:t>SALA DE DECISION No. 6</w:t>
      </w:r>
    </w:p>
    <w:p w14:paraId="02A54E93" w14:textId="77777777" w:rsidR="00736E30" w:rsidRPr="00A84B64" w:rsidRDefault="00736E30" w:rsidP="00754142">
      <w:pPr>
        <w:spacing w:line="276" w:lineRule="auto"/>
        <w:ind w:right="-81"/>
        <w:jc w:val="center"/>
        <w:rPr>
          <w:rFonts w:ascii="Verdana" w:hAnsi="Verdana" w:cs="Arial"/>
          <w:b/>
          <w:sz w:val="22"/>
          <w:szCs w:val="22"/>
        </w:rPr>
      </w:pPr>
    </w:p>
    <w:p w14:paraId="1AC40F62" w14:textId="77777777" w:rsidR="00736E30" w:rsidRPr="00A84B64" w:rsidRDefault="00736E30" w:rsidP="00754142">
      <w:pPr>
        <w:spacing w:line="276" w:lineRule="auto"/>
        <w:ind w:right="-81"/>
        <w:jc w:val="center"/>
        <w:rPr>
          <w:rFonts w:ascii="Verdana" w:hAnsi="Verdana" w:cs="Arial"/>
          <w:b/>
          <w:sz w:val="22"/>
          <w:szCs w:val="22"/>
        </w:rPr>
      </w:pPr>
      <w:r w:rsidRPr="00A84B64">
        <w:rPr>
          <w:rFonts w:ascii="Verdana" w:hAnsi="Verdana" w:cs="Arial"/>
          <w:b/>
          <w:sz w:val="22"/>
          <w:szCs w:val="22"/>
        </w:rPr>
        <w:t>MAGISTRADO PONENTE: FELIX ALBERTO RODRIGUEZ RIVEROS</w:t>
      </w:r>
    </w:p>
    <w:p w14:paraId="6E8EDBFF" w14:textId="1E1160A0" w:rsidR="00736E30" w:rsidRPr="00A84B64" w:rsidRDefault="00736E30" w:rsidP="00754142">
      <w:pPr>
        <w:spacing w:line="276" w:lineRule="auto"/>
        <w:ind w:right="-81"/>
        <w:jc w:val="both"/>
        <w:rPr>
          <w:rFonts w:ascii="Verdana" w:hAnsi="Verdana" w:cs="Arial"/>
          <w:sz w:val="22"/>
          <w:szCs w:val="22"/>
        </w:rPr>
      </w:pPr>
    </w:p>
    <w:p w14:paraId="1BB494B9" w14:textId="77777777" w:rsidR="00921EE3" w:rsidRPr="00A84B64" w:rsidRDefault="00921EE3" w:rsidP="00754142">
      <w:pPr>
        <w:spacing w:line="276" w:lineRule="auto"/>
        <w:ind w:right="-81"/>
        <w:jc w:val="both"/>
        <w:rPr>
          <w:rFonts w:ascii="Verdana" w:hAnsi="Verdana" w:cs="Arial"/>
          <w:sz w:val="22"/>
          <w:szCs w:val="22"/>
        </w:rPr>
      </w:pPr>
    </w:p>
    <w:p w14:paraId="799ABBB8" w14:textId="12F280B4" w:rsidR="00736E30" w:rsidRPr="00A84B64" w:rsidRDefault="00736E30" w:rsidP="00754142">
      <w:pPr>
        <w:spacing w:line="276" w:lineRule="auto"/>
        <w:ind w:right="-81"/>
        <w:jc w:val="both"/>
        <w:rPr>
          <w:rFonts w:ascii="Verdana" w:hAnsi="Verdana" w:cs="Arial"/>
          <w:sz w:val="22"/>
          <w:szCs w:val="22"/>
        </w:rPr>
      </w:pPr>
      <w:r w:rsidRPr="00A84B64">
        <w:rPr>
          <w:rFonts w:ascii="Verdana" w:hAnsi="Verdana" w:cs="Arial"/>
          <w:sz w:val="22"/>
          <w:szCs w:val="22"/>
        </w:rPr>
        <w:t xml:space="preserve">Tunja, </w:t>
      </w:r>
      <w:r w:rsidR="00055B3B" w:rsidRPr="00A84B64">
        <w:rPr>
          <w:rFonts w:ascii="Verdana" w:hAnsi="Verdana" w:cs="Arial"/>
          <w:sz w:val="22"/>
          <w:szCs w:val="22"/>
        </w:rPr>
        <w:t>veintisiete (27) de enero de dos mil veintidós (2022)</w:t>
      </w:r>
    </w:p>
    <w:p w14:paraId="40208C3D" w14:textId="77777777" w:rsidR="00736E30" w:rsidRPr="00A84B64" w:rsidRDefault="00736E30" w:rsidP="00754142">
      <w:pPr>
        <w:tabs>
          <w:tab w:val="left" w:pos="5445"/>
        </w:tabs>
        <w:spacing w:line="276" w:lineRule="auto"/>
        <w:ind w:right="-81"/>
        <w:jc w:val="both"/>
        <w:rPr>
          <w:rFonts w:ascii="Verdana" w:hAnsi="Verdana" w:cs="Arial"/>
          <w:b/>
          <w:sz w:val="22"/>
          <w:szCs w:val="22"/>
        </w:rPr>
      </w:pPr>
      <w:r w:rsidRPr="00A84B64">
        <w:rPr>
          <w:rFonts w:ascii="Verdana" w:hAnsi="Verdana" w:cs="Arial"/>
          <w:b/>
          <w:sz w:val="22"/>
          <w:szCs w:val="22"/>
        </w:rPr>
        <w:tab/>
      </w:r>
      <w:r w:rsidRPr="00A84B64">
        <w:rPr>
          <w:rFonts w:ascii="Verdana" w:hAnsi="Verdana" w:cs="Arial"/>
          <w:b/>
          <w:sz w:val="22"/>
          <w:szCs w:val="22"/>
        </w:rPr>
        <w:tab/>
      </w:r>
    </w:p>
    <w:p w14:paraId="3BB0C685" w14:textId="77777777" w:rsidR="00736E30" w:rsidRPr="00A84B64" w:rsidRDefault="00736E30" w:rsidP="00754142">
      <w:pPr>
        <w:spacing w:line="276" w:lineRule="auto"/>
        <w:ind w:left="4245" w:right="-81" w:hanging="3540"/>
        <w:jc w:val="both"/>
        <w:rPr>
          <w:rFonts w:ascii="Verdana" w:hAnsi="Verdana" w:cs="Arial"/>
          <w:b/>
          <w:sz w:val="22"/>
          <w:szCs w:val="22"/>
        </w:rPr>
      </w:pPr>
      <w:r w:rsidRPr="00A84B64">
        <w:rPr>
          <w:rFonts w:ascii="Verdana" w:hAnsi="Verdana" w:cs="Arial"/>
          <w:b/>
          <w:sz w:val="22"/>
          <w:szCs w:val="22"/>
        </w:rPr>
        <w:t>MEDIO DE CONTROL: REPARACION DIRECTA</w:t>
      </w:r>
      <w:r w:rsidRPr="00A84B64">
        <w:rPr>
          <w:rFonts w:ascii="Verdana" w:hAnsi="Verdana" w:cs="Arial"/>
          <w:b/>
          <w:sz w:val="22"/>
          <w:szCs w:val="22"/>
        </w:rPr>
        <w:tab/>
      </w:r>
      <w:r w:rsidRPr="00A84B64">
        <w:rPr>
          <w:rFonts w:ascii="Verdana" w:hAnsi="Verdana" w:cs="Arial"/>
          <w:b/>
          <w:sz w:val="22"/>
          <w:szCs w:val="22"/>
        </w:rPr>
        <w:tab/>
      </w:r>
    </w:p>
    <w:p w14:paraId="07BCA54D" w14:textId="77777777" w:rsidR="00736E30" w:rsidRPr="00A84B64" w:rsidRDefault="00736E30" w:rsidP="00754142">
      <w:pPr>
        <w:spacing w:line="276" w:lineRule="auto"/>
        <w:ind w:left="4245" w:right="-81" w:hanging="3510"/>
        <w:jc w:val="both"/>
        <w:rPr>
          <w:rFonts w:ascii="Verdana" w:hAnsi="Verdana" w:cs="Arial"/>
          <w:b/>
          <w:sz w:val="22"/>
          <w:szCs w:val="22"/>
        </w:rPr>
      </w:pPr>
      <w:r w:rsidRPr="00A84B64">
        <w:rPr>
          <w:rFonts w:ascii="Verdana" w:hAnsi="Verdana" w:cs="Arial"/>
          <w:b/>
          <w:sz w:val="22"/>
          <w:szCs w:val="22"/>
        </w:rPr>
        <w:t xml:space="preserve">DEMANDANTE: </w:t>
      </w:r>
      <w:r w:rsidR="006F4A01" w:rsidRPr="00A84B64">
        <w:rPr>
          <w:rFonts w:ascii="Verdana" w:hAnsi="Verdana" w:cs="Arial"/>
          <w:b/>
          <w:sz w:val="22"/>
          <w:szCs w:val="22"/>
        </w:rPr>
        <w:t>LUIS EDUARDO AVILA GAITAN Y OTROS</w:t>
      </w:r>
    </w:p>
    <w:p w14:paraId="6B1E2B4D" w14:textId="77777777" w:rsidR="00736E30" w:rsidRPr="00A84B64" w:rsidRDefault="00736E30" w:rsidP="009E2A61">
      <w:pPr>
        <w:pStyle w:val="Sangra3detindependiente"/>
        <w:spacing w:line="276" w:lineRule="auto"/>
        <w:ind w:left="708" w:right="-81"/>
        <w:rPr>
          <w:rFonts w:ascii="Verdana" w:hAnsi="Verdana" w:cs="Arial"/>
          <w:sz w:val="22"/>
          <w:szCs w:val="22"/>
        </w:rPr>
      </w:pPr>
      <w:r w:rsidRPr="00A84B64">
        <w:rPr>
          <w:rFonts w:ascii="Verdana" w:hAnsi="Verdana" w:cs="Arial"/>
          <w:sz w:val="22"/>
          <w:szCs w:val="22"/>
        </w:rPr>
        <w:lastRenderedPageBreak/>
        <w:t xml:space="preserve">DEMANDADO: </w:t>
      </w:r>
      <w:r w:rsidR="009E2A61" w:rsidRPr="00A84B64">
        <w:rPr>
          <w:rFonts w:ascii="Verdana" w:hAnsi="Verdana" w:cs="Arial"/>
          <w:sz w:val="22"/>
          <w:szCs w:val="22"/>
        </w:rPr>
        <w:t xml:space="preserve">LA NACIÓN – MINISTERIO DE DEFENSA – EJÉRCITO NACIONAL </w:t>
      </w:r>
      <w:r w:rsidR="00D93F21" w:rsidRPr="00A84B64">
        <w:rPr>
          <w:rFonts w:ascii="Verdana" w:hAnsi="Verdana" w:cs="Arial"/>
          <w:sz w:val="22"/>
          <w:szCs w:val="22"/>
        </w:rPr>
        <w:t>E</w:t>
      </w:r>
      <w:r w:rsidR="009E2A61" w:rsidRPr="00A84B64">
        <w:rPr>
          <w:rFonts w:ascii="Verdana" w:hAnsi="Verdana" w:cs="Arial"/>
          <w:sz w:val="22"/>
          <w:szCs w:val="22"/>
        </w:rPr>
        <w:t xml:space="preserve"> INPEC</w:t>
      </w:r>
    </w:p>
    <w:p w14:paraId="7F7008E1" w14:textId="77777777" w:rsidR="009E2A61" w:rsidRPr="00A84B64" w:rsidRDefault="009E2A61" w:rsidP="009E2A61">
      <w:pPr>
        <w:pStyle w:val="Sangra3detindependiente"/>
        <w:spacing w:line="276" w:lineRule="auto"/>
        <w:ind w:left="708" w:right="-81"/>
        <w:rPr>
          <w:rFonts w:ascii="Verdana" w:hAnsi="Verdana" w:cs="Arial"/>
          <w:sz w:val="22"/>
          <w:szCs w:val="22"/>
        </w:rPr>
      </w:pPr>
      <w:r w:rsidRPr="00A84B64">
        <w:rPr>
          <w:rFonts w:ascii="Verdana" w:hAnsi="Verdana" w:cs="Arial"/>
          <w:sz w:val="22"/>
          <w:szCs w:val="22"/>
        </w:rPr>
        <w:t xml:space="preserve">VINCULADOS: MAPFRE COLOMBIA VIDA SEGUROS Y </w:t>
      </w:r>
      <w:bookmarkStart w:id="1" w:name="_Hlk90647968"/>
      <w:r w:rsidRPr="00A84B64">
        <w:rPr>
          <w:rFonts w:ascii="Verdana" w:hAnsi="Verdana" w:cs="Arial"/>
          <w:sz w:val="22"/>
          <w:szCs w:val="22"/>
        </w:rPr>
        <w:t>SEGUROS DE VIDA DEL ESTADO S.A.</w:t>
      </w:r>
      <w:bookmarkEnd w:id="1"/>
    </w:p>
    <w:p w14:paraId="08118CC3" w14:textId="77777777" w:rsidR="00736E30" w:rsidRPr="00A84B64" w:rsidRDefault="00736E30" w:rsidP="00754142">
      <w:pPr>
        <w:spacing w:line="276" w:lineRule="auto"/>
        <w:ind w:right="-81"/>
        <w:jc w:val="both"/>
        <w:rPr>
          <w:rFonts w:ascii="Verdana" w:hAnsi="Verdana" w:cs="Arial"/>
          <w:b/>
          <w:sz w:val="22"/>
          <w:szCs w:val="22"/>
        </w:rPr>
      </w:pPr>
      <w:r w:rsidRPr="00A84B64">
        <w:rPr>
          <w:rFonts w:ascii="Verdana" w:hAnsi="Verdana" w:cs="Arial"/>
          <w:b/>
          <w:sz w:val="22"/>
          <w:szCs w:val="22"/>
        </w:rPr>
        <w:tab/>
        <w:t xml:space="preserve">RADICADO: </w:t>
      </w:r>
      <w:r w:rsidR="009E2A61" w:rsidRPr="00A84B64">
        <w:rPr>
          <w:rFonts w:ascii="Verdana" w:hAnsi="Verdana" w:cs="Arial"/>
          <w:b/>
          <w:sz w:val="22"/>
          <w:szCs w:val="22"/>
        </w:rPr>
        <w:t>150013333013201600092-01</w:t>
      </w:r>
    </w:p>
    <w:p w14:paraId="2451D368" w14:textId="77777777" w:rsidR="00973092" w:rsidRPr="00A84B64" w:rsidRDefault="00973092" w:rsidP="00754142">
      <w:pPr>
        <w:spacing w:line="276" w:lineRule="auto"/>
        <w:ind w:right="-81"/>
        <w:jc w:val="both"/>
        <w:rPr>
          <w:rFonts w:ascii="Verdana" w:hAnsi="Verdana" w:cs="Arial"/>
          <w:b/>
          <w:sz w:val="22"/>
          <w:szCs w:val="22"/>
        </w:rPr>
      </w:pPr>
    </w:p>
    <w:p w14:paraId="68B0900A" w14:textId="77777777" w:rsidR="004A0815" w:rsidRPr="00A84B64" w:rsidRDefault="004A0815" w:rsidP="004A0815">
      <w:pPr>
        <w:spacing w:line="276" w:lineRule="auto"/>
        <w:ind w:right="-81"/>
        <w:jc w:val="both"/>
        <w:rPr>
          <w:rFonts w:ascii="Verdana" w:hAnsi="Verdana" w:cs="Arial"/>
          <w:b/>
          <w:sz w:val="22"/>
          <w:szCs w:val="22"/>
        </w:rPr>
      </w:pPr>
    </w:p>
    <w:p w14:paraId="5892C9D7" w14:textId="77777777" w:rsidR="004A0815" w:rsidRPr="00A84B64" w:rsidRDefault="004A0815" w:rsidP="004A0815">
      <w:pPr>
        <w:numPr>
          <w:ilvl w:val="0"/>
          <w:numId w:val="8"/>
        </w:numPr>
        <w:spacing w:line="276" w:lineRule="auto"/>
        <w:ind w:left="709"/>
        <w:jc w:val="center"/>
        <w:rPr>
          <w:rFonts w:ascii="Verdana" w:hAnsi="Verdana" w:cs="Arial"/>
          <w:b/>
          <w:sz w:val="22"/>
          <w:szCs w:val="22"/>
        </w:rPr>
      </w:pPr>
      <w:r w:rsidRPr="00A84B64">
        <w:rPr>
          <w:rFonts w:ascii="Verdana" w:hAnsi="Verdana" w:cs="Arial"/>
          <w:b/>
          <w:sz w:val="22"/>
          <w:szCs w:val="22"/>
        </w:rPr>
        <w:t>ASUNTO A RESOLVER</w:t>
      </w:r>
    </w:p>
    <w:p w14:paraId="125620C3" w14:textId="77777777" w:rsidR="004A0815" w:rsidRPr="00A84B64" w:rsidRDefault="004A0815" w:rsidP="004A0815">
      <w:pPr>
        <w:spacing w:line="276" w:lineRule="auto"/>
        <w:jc w:val="center"/>
        <w:rPr>
          <w:rFonts w:ascii="Verdana" w:hAnsi="Verdana" w:cs="Arial"/>
          <w:sz w:val="22"/>
          <w:szCs w:val="22"/>
        </w:rPr>
      </w:pPr>
    </w:p>
    <w:p w14:paraId="0D33A2A6" w14:textId="5FA52E5E" w:rsidR="004A0815" w:rsidRPr="00A84B64" w:rsidRDefault="004A0815" w:rsidP="000A4E28">
      <w:pPr>
        <w:pStyle w:val="Textodebloque1"/>
        <w:spacing w:line="360" w:lineRule="auto"/>
        <w:ind w:left="0" w:firstLine="0"/>
        <w:rPr>
          <w:rFonts w:ascii="Verdana" w:hAnsi="Verdana" w:cs="Arial"/>
          <w:i w:val="0"/>
          <w:iCs/>
          <w:sz w:val="22"/>
          <w:szCs w:val="22"/>
        </w:rPr>
      </w:pPr>
      <w:r w:rsidRPr="00A84B64">
        <w:rPr>
          <w:rFonts w:ascii="Verdana" w:hAnsi="Verdana" w:cs="Arial"/>
          <w:i w:val="0"/>
          <w:iCs/>
          <w:sz w:val="22"/>
          <w:szCs w:val="22"/>
        </w:rPr>
        <w:t xml:space="preserve">Procede la Sala de Decisión No. 6 del Tribunal Administrativo de Boyacá a pronunciarse respecto a los recursos de apelación formulados contra la sentencia de primera instancia proferida el 26 de junio del 2020 por el Juzgado Trece Administrativo del Circuito Judicial de Tunja dentro del medio de control de reparación directa, promovido por el señor LUIS EDUARDO AVILA GAITAN Y OTROS </w:t>
      </w:r>
      <w:r w:rsidRPr="00A84B64">
        <w:rPr>
          <w:rFonts w:ascii="Verdana" w:hAnsi="Verdana" w:cs="Tahoma"/>
          <w:i w:val="0"/>
          <w:iCs/>
          <w:sz w:val="22"/>
          <w:szCs w:val="22"/>
        </w:rPr>
        <w:t>en contra de la NACION-</w:t>
      </w:r>
      <w:r w:rsidR="00E553C5" w:rsidRPr="00A84B64">
        <w:rPr>
          <w:rFonts w:ascii="Verdana" w:hAnsi="Verdana" w:cs="Tahoma"/>
          <w:i w:val="0"/>
          <w:iCs/>
          <w:sz w:val="22"/>
          <w:szCs w:val="22"/>
        </w:rPr>
        <w:t>INSTITUTO NACIONAL PENITENCIARIO Y CARCELARIO INPEC Y OTROS</w:t>
      </w:r>
      <w:r w:rsidRPr="00A84B64">
        <w:rPr>
          <w:rFonts w:ascii="Verdana" w:hAnsi="Verdana" w:cs="Tahoma"/>
          <w:i w:val="0"/>
          <w:iCs/>
          <w:sz w:val="22"/>
          <w:szCs w:val="22"/>
        </w:rPr>
        <w:t>.</w:t>
      </w:r>
    </w:p>
    <w:p w14:paraId="10F36A90" w14:textId="77777777" w:rsidR="004A0815" w:rsidRPr="00A84B64" w:rsidRDefault="004A0815" w:rsidP="004A0815">
      <w:pPr>
        <w:pStyle w:val="Textodebloque1"/>
        <w:spacing w:line="276" w:lineRule="auto"/>
        <w:rPr>
          <w:rFonts w:ascii="Verdana" w:hAnsi="Verdana" w:cs="Arial"/>
          <w:szCs w:val="24"/>
        </w:rPr>
      </w:pPr>
    </w:p>
    <w:p w14:paraId="654BC8E3" w14:textId="77777777" w:rsidR="004A0815" w:rsidRPr="00A84B64" w:rsidRDefault="004A0815" w:rsidP="004A0815">
      <w:pPr>
        <w:numPr>
          <w:ilvl w:val="0"/>
          <w:numId w:val="8"/>
        </w:numPr>
        <w:spacing w:line="276" w:lineRule="auto"/>
        <w:ind w:left="709"/>
        <w:jc w:val="center"/>
        <w:rPr>
          <w:rFonts w:ascii="Verdana" w:hAnsi="Verdana" w:cs="Arial"/>
          <w:b/>
          <w:sz w:val="22"/>
          <w:szCs w:val="22"/>
        </w:rPr>
      </w:pPr>
      <w:r w:rsidRPr="00A84B64">
        <w:rPr>
          <w:rFonts w:ascii="Verdana" w:hAnsi="Verdana" w:cs="Arial"/>
          <w:b/>
          <w:sz w:val="22"/>
          <w:szCs w:val="22"/>
        </w:rPr>
        <w:t>ANTECEDENTES</w:t>
      </w:r>
    </w:p>
    <w:p w14:paraId="27669D9C" w14:textId="77777777" w:rsidR="004A0815" w:rsidRPr="00A84B64" w:rsidRDefault="004A0815" w:rsidP="004A0815">
      <w:pPr>
        <w:spacing w:line="276" w:lineRule="auto"/>
        <w:jc w:val="both"/>
        <w:rPr>
          <w:rFonts w:ascii="Verdana" w:hAnsi="Verdana" w:cs="Arial"/>
          <w:b/>
          <w:sz w:val="22"/>
          <w:szCs w:val="22"/>
        </w:rPr>
      </w:pPr>
    </w:p>
    <w:p w14:paraId="26B927CA" w14:textId="77777777" w:rsidR="004A0815" w:rsidRPr="00A84B64" w:rsidRDefault="004A0815" w:rsidP="004A0815">
      <w:pPr>
        <w:spacing w:line="276" w:lineRule="auto"/>
        <w:ind w:firstLine="708"/>
        <w:jc w:val="both"/>
        <w:rPr>
          <w:rFonts w:ascii="Verdana" w:hAnsi="Verdana" w:cs="Arial"/>
          <w:b/>
          <w:sz w:val="22"/>
          <w:szCs w:val="22"/>
        </w:rPr>
      </w:pPr>
      <w:r w:rsidRPr="00A84B64">
        <w:rPr>
          <w:rFonts w:ascii="Verdana" w:hAnsi="Verdana" w:cs="Arial"/>
          <w:b/>
          <w:sz w:val="22"/>
          <w:szCs w:val="22"/>
        </w:rPr>
        <w:t>2.1.- DEMANDA (</w:t>
      </w:r>
      <w:proofErr w:type="spellStart"/>
      <w:r w:rsidRPr="00A84B64">
        <w:rPr>
          <w:rFonts w:ascii="Verdana" w:hAnsi="Verdana" w:cs="Arial"/>
          <w:b/>
          <w:sz w:val="22"/>
          <w:szCs w:val="22"/>
        </w:rPr>
        <w:t>Fls</w:t>
      </w:r>
      <w:proofErr w:type="spellEnd"/>
      <w:r w:rsidRPr="00A84B64">
        <w:rPr>
          <w:rFonts w:ascii="Verdana" w:hAnsi="Verdana" w:cs="Arial"/>
          <w:b/>
          <w:sz w:val="22"/>
          <w:szCs w:val="22"/>
        </w:rPr>
        <w:t xml:space="preserve">. 5-36): </w:t>
      </w:r>
    </w:p>
    <w:p w14:paraId="28383A1D" w14:textId="77777777" w:rsidR="004A0815" w:rsidRPr="00A84B64" w:rsidRDefault="004A0815" w:rsidP="004A0815">
      <w:pPr>
        <w:spacing w:line="276" w:lineRule="auto"/>
        <w:jc w:val="both"/>
        <w:rPr>
          <w:rFonts w:ascii="Verdana" w:hAnsi="Verdana" w:cs="Arial"/>
          <w:b/>
          <w:sz w:val="22"/>
          <w:szCs w:val="22"/>
        </w:rPr>
      </w:pPr>
    </w:p>
    <w:p w14:paraId="101A3A30" w14:textId="77777777" w:rsidR="004A0815" w:rsidRPr="00A84B64" w:rsidRDefault="004A0815" w:rsidP="004A0815">
      <w:pPr>
        <w:spacing w:line="360" w:lineRule="auto"/>
        <w:jc w:val="both"/>
        <w:rPr>
          <w:rFonts w:ascii="Verdana" w:hAnsi="Verdana" w:cs="Arial"/>
          <w:sz w:val="22"/>
          <w:szCs w:val="22"/>
        </w:rPr>
      </w:pPr>
      <w:r w:rsidRPr="00A84B64">
        <w:rPr>
          <w:rFonts w:ascii="Verdana" w:hAnsi="Verdana" w:cs="Arial"/>
          <w:sz w:val="22"/>
          <w:szCs w:val="22"/>
        </w:rPr>
        <w:t>Los accionantes, actuando a través de apoderado judicial constituido para el efecto, presentaron demanda en ejercicio de la acción de reparación directa, solicitando que se declarara administrativamente responsable a la Nación - Ministerio De Defensa – Ejército Nacional y a la Nación - Instituto Nacional Penitenciario Y Carcelario – INPEC, por los perjuicios de orden material (daño emergente, lucro cesante futuro), y de orden moral, daño a la salud y alteración a las condiciones de existencia, ocasionados a los demandantes, mientras Luis Eduardo Ávila Gaitán prestaba el servicio militar obligatorio como auxiliar bachiller del INPEC en el Establecimiento Penitenciario de Alta y Mediana seguridad de Chiquinquirá, Boyacá.</w:t>
      </w:r>
    </w:p>
    <w:p w14:paraId="5936FA22" w14:textId="77777777" w:rsidR="004A0815" w:rsidRPr="00A84B64" w:rsidRDefault="004A0815" w:rsidP="004A0815">
      <w:pPr>
        <w:spacing w:line="360" w:lineRule="auto"/>
        <w:jc w:val="both"/>
        <w:rPr>
          <w:rFonts w:ascii="Verdana" w:hAnsi="Verdana" w:cs="Arial"/>
          <w:sz w:val="22"/>
          <w:szCs w:val="22"/>
        </w:rPr>
      </w:pPr>
    </w:p>
    <w:p w14:paraId="2D26DB1F" w14:textId="1A22F3D0" w:rsidR="004A0815" w:rsidRPr="00A84B64" w:rsidRDefault="004A0815" w:rsidP="004A0815">
      <w:pPr>
        <w:spacing w:line="360" w:lineRule="auto"/>
        <w:jc w:val="both"/>
        <w:rPr>
          <w:rFonts w:ascii="Verdana" w:hAnsi="Verdana" w:cs="Arial"/>
          <w:sz w:val="22"/>
          <w:szCs w:val="22"/>
        </w:rPr>
      </w:pPr>
      <w:r w:rsidRPr="00A84B64">
        <w:rPr>
          <w:rFonts w:ascii="Verdana" w:hAnsi="Verdana" w:cs="Arial"/>
          <w:sz w:val="22"/>
          <w:szCs w:val="22"/>
        </w:rPr>
        <w:t xml:space="preserve">Como consecuencia de lo anterior solicitaron el pago de perjuicios materiales en la modalidad de lucro cesante </w:t>
      </w:r>
      <w:r w:rsidR="005104D9" w:rsidRPr="00A84B64">
        <w:rPr>
          <w:rFonts w:ascii="Verdana" w:hAnsi="Verdana" w:cs="Arial"/>
          <w:sz w:val="22"/>
          <w:szCs w:val="22"/>
        </w:rPr>
        <w:t xml:space="preserve">futuro </w:t>
      </w:r>
      <w:r w:rsidRPr="00A84B64">
        <w:rPr>
          <w:rFonts w:ascii="Verdana" w:hAnsi="Verdana" w:cs="Arial"/>
          <w:sz w:val="22"/>
          <w:szCs w:val="22"/>
        </w:rPr>
        <w:t>a favor de la víctima directa, por concepto de la pérdida de capacidad laboral y por la afiliación a una EPS debiendo las demandas, solventar los gastos del tratamiento integral hasta su total recuperación; así mismo solicitaron el pago de perjuicios por daño emergente a favor de la víctima directa, por concepto de compra de elementos para su rehabilitación y por el pago por valoración y calificación de la junta regional de calificación de invalidez. Adicionalmente, pidieron el pago de perjuicios morales a favor de la víctima directa, los padres y sus hermanos.</w:t>
      </w:r>
    </w:p>
    <w:p w14:paraId="46B0F5E6" w14:textId="77777777" w:rsidR="004A0815" w:rsidRPr="00A84B64" w:rsidRDefault="004A0815" w:rsidP="004A0815">
      <w:pPr>
        <w:spacing w:line="360" w:lineRule="auto"/>
        <w:jc w:val="both"/>
        <w:rPr>
          <w:rFonts w:ascii="Verdana" w:hAnsi="Verdana" w:cs="Arial"/>
          <w:sz w:val="22"/>
          <w:szCs w:val="22"/>
        </w:rPr>
      </w:pPr>
    </w:p>
    <w:p w14:paraId="0DD656E5" w14:textId="4560E88A" w:rsidR="004A0815" w:rsidRPr="00A84B64" w:rsidRDefault="004A0815" w:rsidP="004A0815">
      <w:pPr>
        <w:spacing w:line="360" w:lineRule="auto"/>
        <w:jc w:val="both"/>
        <w:rPr>
          <w:rFonts w:ascii="Verdana" w:hAnsi="Verdana" w:cs="Arial"/>
          <w:sz w:val="22"/>
          <w:szCs w:val="22"/>
        </w:rPr>
      </w:pPr>
      <w:r w:rsidRPr="00A84B64">
        <w:rPr>
          <w:rFonts w:ascii="Verdana" w:hAnsi="Verdana" w:cs="Arial"/>
          <w:sz w:val="22"/>
          <w:szCs w:val="22"/>
        </w:rPr>
        <w:t>Igualmente</w:t>
      </w:r>
      <w:r w:rsidR="005104D9" w:rsidRPr="00A84B64">
        <w:rPr>
          <w:rFonts w:ascii="Verdana" w:hAnsi="Verdana" w:cs="Arial"/>
          <w:sz w:val="22"/>
          <w:szCs w:val="22"/>
        </w:rPr>
        <w:t>, para</w:t>
      </w:r>
      <w:r w:rsidRPr="00A84B64">
        <w:rPr>
          <w:rFonts w:ascii="Verdana" w:hAnsi="Verdana" w:cs="Arial"/>
          <w:sz w:val="22"/>
          <w:szCs w:val="22"/>
        </w:rPr>
        <w:t xml:space="preserve"> la v</w:t>
      </w:r>
      <w:r w:rsidR="005104D9" w:rsidRPr="00A84B64">
        <w:rPr>
          <w:rFonts w:ascii="Verdana" w:hAnsi="Verdana" w:cs="Arial"/>
          <w:sz w:val="22"/>
          <w:szCs w:val="22"/>
        </w:rPr>
        <w:t>í</w:t>
      </w:r>
      <w:r w:rsidRPr="00A84B64">
        <w:rPr>
          <w:rFonts w:ascii="Verdana" w:hAnsi="Verdana" w:cs="Arial"/>
          <w:sz w:val="22"/>
          <w:szCs w:val="22"/>
        </w:rPr>
        <w:t>ctima directa</w:t>
      </w:r>
      <w:r w:rsidR="005104D9" w:rsidRPr="00A84B64">
        <w:rPr>
          <w:rFonts w:ascii="Verdana" w:hAnsi="Verdana" w:cs="Arial"/>
          <w:sz w:val="22"/>
          <w:szCs w:val="22"/>
        </w:rPr>
        <w:t xml:space="preserve"> se</w:t>
      </w:r>
      <w:r w:rsidRPr="00A84B64">
        <w:rPr>
          <w:rFonts w:ascii="Verdana" w:hAnsi="Verdana" w:cs="Arial"/>
          <w:sz w:val="22"/>
          <w:szCs w:val="22"/>
        </w:rPr>
        <w:t xml:space="preserve"> solicitó el pago de sesenta (60 SMLMV) salarios mínimos legales mensuales por perjuicios derivados del daño a la salud y el pago de sesenta (60 SMLMV) salarios mínimos legales mensuales por perjuicios derivados de la alteración a las condiciones de existencia.</w:t>
      </w:r>
    </w:p>
    <w:p w14:paraId="72D0369A" w14:textId="77777777" w:rsidR="004A0815" w:rsidRPr="00A84B64" w:rsidRDefault="004A0815" w:rsidP="004A0815">
      <w:pPr>
        <w:spacing w:line="360" w:lineRule="auto"/>
        <w:jc w:val="both"/>
        <w:rPr>
          <w:rFonts w:ascii="Verdana" w:hAnsi="Verdana" w:cs="Arial"/>
          <w:sz w:val="22"/>
          <w:szCs w:val="22"/>
        </w:rPr>
      </w:pPr>
    </w:p>
    <w:p w14:paraId="38CBA09D" w14:textId="77777777" w:rsidR="004A0815" w:rsidRPr="00A84B64" w:rsidRDefault="004A0815" w:rsidP="004A0815">
      <w:pPr>
        <w:spacing w:line="360" w:lineRule="auto"/>
        <w:ind w:right="49"/>
        <w:jc w:val="both"/>
        <w:rPr>
          <w:rFonts w:ascii="Verdana" w:hAnsi="Verdana" w:cs="Tahoma"/>
          <w:sz w:val="22"/>
          <w:szCs w:val="22"/>
        </w:rPr>
      </w:pPr>
      <w:r w:rsidRPr="00A84B64">
        <w:rPr>
          <w:rFonts w:ascii="Verdana" w:hAnsi="Verdana" w:cs="Tahoma"/>
          <w:sz w:val="22"/>
          <w:szCs w:val="22"/>
        </w:rPr>
        <w:t>Por último, solicitaron que las sumas que se reconocieran fueran debidamente indexadas aplicando en la liquidación la variación promedio mensual del IPC y que se condenara en costas a las demandadas.</w:t>
      </w:r>
    </w:p>
    <w:p w14:paraId="1D2C80CA" w14:textId="77777777" w:rsidR="004A0815" w:rsidRPr="00A84B64" w:rsidRDefault="004A0815" w:rsidP="00C4363E">
      <w:pPr>
        <w:spacing w:line="276" w:lineRule="auto"/>
        <w:jc w:val="both"/>
        <w:rPr>
          <w:rFonts w:ascii="Verdana" w:hAnsi="Verdana" w:cs="Arial"/>
          <w:b/>
          <w:sz w:val="22"/>
          <w:szCs w:val="22"/>
        </w:rPr>
      </w:pPr>
    </w:p>
    <w:p w14:paraId="66A8594C" w14:textId="08A8E712" w:rsidR="00C4363E" w:rsidRPr="00A84B64" w:rsidRDefault="00C4363E" w:rsidP="004A0815">
      <w:pPr>
        <w:spacing w:line="360" w:lineRule="auto"/>
        <w:jc w:val="both"/>
        <w:rPr>
          <w:rFonts w:ascii="Verdana" w:hAnsi="Verdana" w:cs="Arial"/>
          <w:sz w:val="22"/>
          <w:szCs w:val="22"/>
        </w:rPr>
      </w:pPr>
      <w:r w:rsidRPr="00A84B64">
        <w:rPr>
          <w:rFonts w:ascii="Verdana" w:hAnsi="Verdana" w:cs="Arial"/>
          <w:sz w:val="22"/>
          <w:szCs w:val="22"/>
        </w:rPr>
        <w:t>Los hechos en que fundamentan las pretensiones son los siguientes:</w:t>
      </w:r>
    </w:p>
    <w:p w14:paraId="420A03EE" w14:textId="77777777" w:rsidR="00C4363E" w:rsidRPr="00A84B64" w:rsidRDefault="00C4363E" w:rsidP="004A0815">
      <w:pPr>
        <w:spacing w:line="360" w:lineRule="auto"/>
        <w:jc w:val="both"/>
        <w:rPr>
          <w:rFonts w:ascii="Verdana" w:hAnsi="Verdana" w:cs="Arial"/>
          <w:sz w:val="22"/>
          <w:szCs w:val="22"/>
        </w:rPr>
      </w:pPr>
      <w:r w:rsidRPr="00A84B64">
        <w:rPr>
          <w:rFonts w:ascii="Verdana" w:hAnsi="Verdana" w:cs="Arial"/>
          <w:sz w:val="22"/>
          <w:szCs w:val="22"/>
        </w:rPr>
        <w:t xml:space="preserve"> </w:t>
      </w:r>
    </w:p>
    <w:p w14:paraId="4F557D94" w14:textId="3909E418" w:rsidR="004A0815" w:rsidRPr="00A84B64" w:rsidRDefault="00C4363E" w:rsidP="004A0815">
      <w:pPr>
        <w:spacing w:line="360" w:lineRule="auto"/>
        <w:jc w:val="both"/>
        <w:rPr>
          <w:rFonts w:ascii="Verdana" w:hAnsi="Verdana" w:cs="Arial"/>
          <w:sz w:val="22"/>
          <w:szCs w:val="22"/>
        </w:rPr>
      </w:pPr>
      <w:r w:rsidRPr="00A84B64">
        <w:rPr>
          <w:rFonts w:ascii="Verdana" w:hAnsi="Verdana" w:cs="Arial"/>
          <w:sz w:val="22"/>
          <w:szCs w:val="22"/>
        </w:rPr>
        <w:t>Que</w:t>
      </w:r>
      <w:r w:rsidR="004A0815" w:rsidRPr="00A84B64">
        <w:rPr>
          <w:rFonts w:ascii="Verdana" w:hAnsi="Verdana" w:cs="Arial"/>
          <w:sz w:val="22"/>
          <w:szCs w:val="22"/>
        </w:rPr>
        <w:t xml:space="preserve"> el señor LUIS EDUARDO ÁVILA GAITÁN, fue incorporado para prestar su servicio militar obligatorio como auxiliar bachiller el día 30 de septiembre del año 2013, designado por el Ministerio de Defensa - Ejército Nacional, al Instituto Nacional Penitenciario y Carcelario INPEC, el cual lo destinó a prestar sus servicios en el Establecimiento Penitenciario de Alta y Mediana Seguridad de Combita, Boyacá, con el fin de recibir en esa institución su incorporación e instrucción, resultando como apto para la prestación del servicio militar en atención al examen médico que le fue practicado previamente. Posteriormente fue asignado a seguir prestando su servicio militar en Establecimiento Penitenciario y carcelario de Mediana seguridad de Chiquinquirá, Boyacá.</w:t>
      </w:r>
    </w:p>
    <w:p w14:paraId="1DBF7973" w14:textId="77777777" w:rsidR="004A0815" w:rsidRPr="00A84B64" w:rsidRDefault="004A0815" w:rsidP="004A0815">
      <w:pPr>
        <w:spacing w:line="360" w:lineRule="auto"/>
        <w:jc w:val="both"/>
        <w:rPr>
          <w:rFonts w:ascii="Verdana" w:hAnsi="Verdana" w:cs="Arial"/>
          <w:sz w:val="22"/>
          <w:szCs w:val="22"/>
        </w:rPr>
      </w:pPr>
    </w:p>
    <w:p w14:paraId="55A2ECB8" w14:textId="10B45BED" w:rsidR="004A0815" w:rsidRPr="00A84B64" w:rsidRDefault="00634409" w:rsidP="004A0815">
      <w:pPr>
        <w:spacing w:line="360" w:lineRule="auto"/>
        <w:jc w:val="both"/>
        <w:rPr>
          <w:rFonts w:ascii="Verdana" w:hAnsi="Verdana" w:cs="Arial"/>
          <w:sz w:val="22"/>
          <w:szCs w:val="22"/>
        </w:rPr>
      </w:pPr>
      <w:r w:rsidRPr="00A84B64">
        <w:rPr>
          <w:rFonts w:ascii="Verdana" w:hAnsi="Verdana" w:cs="Arial"/>
          <w:sz w:val="22"/>
          <w:szCs w:val="22"/>
        </w:rPr>
        <w:t>Que</w:t>
      </w:r>
      <w:r w:rsidR="004A0815" w:rsidRPr="00A84B64">
        <w:rPr>
          <w:rFonts w:ascii="Verdana" w:hAnsi="Verdana" w:cs="Arial"/>
          <w:sz w:val="22"/>
          <w:szCs w:val="22"/>
        </w:rPr>
        <w:t xml:space="preserve"> el día 11 de junio del año 2014 aproximadamente a las 4:30 pm, cuando se realizaba un partido de microfútbol, ordenado por los superiores jerárquicos, Luis Eduardo Ávila</w:t>
      </w:r>
      <w:r w:rsidRPr="00A84B64">
        <w:rPr>
          <w:rFonts w:ascii="Verdana" w:hAnsi="Verdana" w:cs="Arial"/>
          <w:sz w:val="22"/>
          <w:szCs w:val="22"/>
        </w:rPr>
        <w:t xml:space="preserve"> Gaitán</w:t>
      </w:r>
      <w:r w:rsidR="004A0815" w:rsidRPr="00A84B64">
        <w:rPr>
          <w:rFonts w:ascii="Verdana" w:hAnsi="Verdana" w:cs="Arial"/>
          <w:sz w:val="22"/>
          <w:szCs w:val="22"/>
        </w:rPr>
        <w:t xml:space="preserve"> tuvo un choque con </w:t>
      </w:r>
      <w:r w:rsidRPr="00A84B64">
        <w:rPr>
          <w:rFonts w:ascii="Verdana" w:hAnsi="Verdana" w:cs="Arial"/>
          <w:sz w:val="22"/>
          <w:szCs w:val="22"/>
        </w:rPr>
        <w:t xml:space="preserve">un </w:t>
      </w:r>
      <w:r w:rsidR="004A0815" w:rsidRPr="00A84B64">
        <w:rPr>
          <w:rFonts w:ascii="Verdana" w:hAnsi="Verdana" w:cs="Arial"/>
          <w:sz w:val="22"/>
          <w:szCs w:val="22"/>
        </w:rPr>
        <w:t xml:space="preserve">dragoneante del INPEC, que le ocasionó un grave daño en su pierna derecha, ante lo cual no recibió atención </w:t>
      </w:r>
      <w:r w:rsidRPr="00A84B64">
        <w:rPr>
          <w:rFonts w:ascii="Verdana" w:hAnsi="Verdana" w:cs="Arial"/>
          <w:sz w:val="22"/>
          <w:szCs w:val="22"/>
        </w:rPr>
        <w:t>médica</w:t>
      </w:r>
      <w:r w:rsidR="004A0815" w:rsidRPr="00A84B64">
        <w:rPr>
          <w:rFonts w:ascii="Verdana" w:hAnsi="Verdana" w:cs="Arial"/>
          <w:sz w:val="22"/>
          <w:szCs w:val="22"/>
        </w:rPr>
        <w:t xml:space="preserve"> y por ello, siendo las 5:50 pm por sus propios medios salió en busca de atención hospitalaria y concurrió al Hospital Regional de Chiquinquirá, en donde fue atendido por urgencia hospitalaria en primera instancia; allí se le indicó que sería atendido</w:t>
      </w:r>
      <w:r w:rsidR="004A0815" w:rsidRPr="00A84B64">
        <w:rPr>
          <w:sz w:val="22"/>
          <w:szCs w:val="22"/>
        </w:rPr>
        <w:t xml:space="preserve"> </w:t>
      </w:r>
      <w:r w:rsidR="004A0815" w:rsidRPr="00A84B64">
        <w:rPr>
          <w:rFonts w:ascii="Verdana" w:hAnsi="Verdana" w:cs="Arial"/>
          <w:sz w:val="22"/>
          <w:szCs w:val="22"/>
        </w:rPr>
        <w:t>por su carnet de afiliación a la EPS -</w:t>
      </w:r>
      <w:r w:rsidRPr="00A84B64">
        <w:rPr>
          <w:rFonts w:ascii="Verdana" w:hAnsi="Verdana" w:cs="Arial"/>
          <w:sz w:val="22"/>
          <w:szCs w:val="22"/>
        </w:rPr>
        <w:t>S</w:t>
      </w:r>
      <w:r w:rsidR="004A0815" w:rsidRPr="00A84B64">
        <w:rPr>
          <w:rFonts w:ascii="Verdana" w:hAnsi="Verdana" w:cs="Arial"/>
          <w:sz w:val="22"/>
          <w:szCs w:val="22"/>
        </w:rPr>
        <w:t xml:space="preserve">alud </w:t>
      </w:r>
      <w:r w:rsidRPr="00A84B64">
        <w:rPr>
          <w:rFonts w:ascii="Verdana" w:hAnsi="Verdana" w:cs="Arial"/>
          <w:sz w:val="22"/>
          <w:szCs w:val="22"/>
        </w:rPr>
        <w:t>V</w:t>
      </w:r>
      <w:r w:rsidR="004A0815" w:rsidRPr="00A84B64">
        <w:rPr>
          <w:rFonts w:ascii="Verdana" w:hAnsi="Verdana" w:cs="Arial"/>
          <w:sz w:val="22"/>
          <w:szCs w:val="22"/>
        </w:rPr>
        <w:t>ida, del régimen subsidiado de salud, ya que no registraba afiliación como auxiliar del INPEC, en consecuencia se peticionó a estos para que le suministraran información al respecto.</w:t>
      </w:r>
    </w:p>
    <w:p w14:paraId="666034AB" w14:textId="77777777" w:rsidR="004A0815" w:rsidRPr="00A84B64" w:rsidRDefault="004A0815" w:rsidP="004A0815">
      <w:pPr>
        <w:spacing w:line="360" w:lineRule="auto"/>
        <w:jc w:val="both"/>
        <w:rPr>
          <w:rFonts w:ascii="Verdana" w:hAnsi="Verdana" w:cs="Arial"/>
          <w:sz w:val="22"/>
          <w:szCs w:val="22"/>
        </w:rPr>
      </w:pPr>
    </w:p>
    <w:p w14:paraId="13D17E8F" w14:textId="65C20973" w:rsidR="004A0815" w:rsidRPr="00A84B64" w:rsidRDefault="00634409" w:rsidP="004A0815">
      <w:pPr>
        <w:spacing w:line="360" w:lineRule="auto"/>
        <w:jc w:val="both"/>
        <w:rPr>
          <w:rFonts w:ascii="Verdana" w:hAnsi="Verdana" w:cs="Arial"/>
          <w:sz w:val="22"/>
          <w:szCs w:val="22"/>
        </w:rPr>
      </w:pPr>
      <w:r w:rsidRPr="00A84B64">
        <w:rPr>
          <w:rFonts w:ascii="Verdana" w:hAnsi="Verdana" w:cs="Arial"/>
          <w:sz w:val="22"/>
          <w:szCs w:val="22"/>
        </w:rPr>
        <w:t>Que</w:t>
      </w:r>
      <w:r w:rsidR="004A0815" w:rsidRPr="00A84B64">
        <w:rPr>
          <w:rFonts w:ascii="Verdana" w:hAnsi="Verdana" w:cs="Arial"/>
          <w:sz w:val="22"/>
          <w:szCs w:val="22"/>
        </w:rPr>
        <w:t xml:space="preserve"> el trauma ocasionado al señor Luis Eduardo Ávila le había ocasionado: </w:t>
      </w:r>
      <w:r w:rsidR="004A0815" w:rsidRPr="00A84B64">
        <w:rPr>
          <w:rFonts w:ascii="Verdana" w:hAnsi="Verdana" w:cs="Arial"/>
          <w:i/>
          <w:sz w:val="22"/>
          <w:szCs w:val="22"/>
        </w:rPr>
        <w:t xml:space="preserve">“HEMARTROSIS DE RODILLA DERECHA CON EDEMA Y DOLOR CON FLEXIÓN HASTA 70%... DX: LESION DE LIGAMENTO CRUZADO ANTERIOR. PLAN: 1. </w:t>
      </w:r>
      <w:r w:rsidR="004A0815" w:rsidRPr="00A84B64">
        <w:rPr>
          <w:rFonts w:ascii="Verdana" w:hAnsi="Verdana" w:cs="Arial"/>
          <w:i/>
          <w:sz w:val="22"/>
          <w:szCs w:val="22"/>
        </w:rPr>
        <w:lastRenderedPageBreak/>
        <w:t>SALIDA. 2. RODILLERA CON BARRAS LATERALES ARTICULADAS PARA USAR A DIARIO... 5. SE VERA EN 20 DIAS EN CONSULTA EXTERNA DE ORTOPEDIA CON UNA RESONANCIA NUCLEAR SE DA UNA INCAPACIDAD POR 20 DIAS”</w:t>
      </w:r>
      <w:r w:rsidR="004A0815" w:rsidRPr="00A84B64">
        <w:rPr>
          <w:rFonts w:ascii="Verdana" w:hAnsi="Verdana" w:cs="Arial"/>
          <w:sz w:val="22"/>
          <w:szCs w:val="22"/>
        </w:rPr>
        <w:t xml:space="preserve">. Luego de haberse practicado la resonancia magnética fue remitido al Hospital Simón Bolívar de Bogotá D.C y posteriormente fue  valorado en la CLÍNICA DE MARLY – SERVICIO DE ORTOPEDIA Y TRAUMATOLOGIA, en Bogotá, lugar en el cual también se le diagnosticó  </w:t>
      </w:r>
      <w:r w:rsidR="004A0815" w:rsidRPr="00A84B64">
        <w:rPr>
          <w:rFonts w:ascii="Verdana" w:hAnsi="Verdana" w:cs="Arial"/>
          <w:i/>
          <w:sz w:val="22"/>
          <w:szCs w:val="22"/>
        </w:rPr>
        <w:t xml:space="preserve">“LESIÓN DEL LCA DERECHO – LESION DEL MENISCAL” </w:t>
      </w:r>
      <w:r w:rsidR="004A0815" w:rsidRPr="00A84B64">
        <w:rPr>
          <w:rFonts w:ascii="Verdana" w:hAnsi="Verdana" w:cs="Arial"/>
          <w:sz w:val="22"/>
          <w:szCs w:val="22"/>
        </w:rPr>
        <w:t>y por ende tuvo que ser sometido el día 20 de septiembre de 2014 a las  cirugías de</w:t>
      </w:r>
      <w:r w:rsidR="004A0815" w:rsidRPr="00A84B64">
        <w:rPr>
          <w:rFonts w:ascii="Verdana" w:hAnsi="Verdana" w:cs="Arial"/>
          <w:i/>
          <w:sz w:val="22"/>
          <w:szCs w:val="22"/>
        </w:rPr>
        <w:t xml:space="preserve"> “ATROSCOPIA DE RODILLA DERECHA; RECONSTRACCIÓN DE LIGAMENTO CRUZADO ANTERIOR CON AUTOINJERTO, REMODELACIÓN MENISCAL, CONDROPLASTIA Y SINOVECTOMIA”</w:t>
      </w:r>
    </w:p>
    <w:p w14:paraId="66F0DFC8" w14:textId="77777777" w:rsidR="004A0815" w:rsidRPr="00A84B64" w:rsidRDefault="004A0815" w:rsidP="004A0815">
      <w:pPr>
        <w:spacing w:line="360" w:lineRule="auto"/>
        <w:jc w:val="both"/>
        <w:rPr>
          <w:rFonts w:ascii="Verdana" w:hAnsi="Verdana" w:cs="Arial"/>
          <w:sz w:val="22"/>
          <w:szCs w:val="22"/>
        </w:rPr>
      </w:pPr>
    </w:p>
    <w:p w14:paraId="41C5DF76" w14:textId="68164A6C" w:rsidR="004A0815" w:rsidRPr="00A84B64" w:rsidRDefault="00634409" w:rsidP="004A0815">
      <w:pPr>
        <w:spacing w:line="360" w:lineRule="auto"/>
        <w:jc w:val="both"/>
        <w:rPr>
          <w:rFonts w:ascii="Verdana" w:hAnsi="Verdana" w:cs="Arial"/>
          <w:sz w:val="22"/>
          <w:szCs w:val="22"/>
        </w:rPr>
      </w:pPr>
      <w:r w:rsidRPr="00A84B64">
        <w:rPr>
          <w:rFonts w:ascii="Verdana" w:hAnsi="Verdana" w:cs="Arial"/>
          <w:sz w:val="22"/>
          <w:szCs w:val="22"/>
        </w:rPr>
        <w:t>Que en</w:t>
      </w:r>
      <w:r w:rsidR="004A0815" w:rsidRPr="00A84B64">
        <w:rPr>
          <w:rFonts w:ascii="Verdana" w:hAnsi="Verdana" w:cs="Arial"/>
          <w:sz w:val="22"/>
          <w:szCs w:val="22"/>
        </w:rPr>
        <w:t xml:space="preserve"> el trascurso de estos hechos el señor Luis Eduardo Ávila peticionó al INPEC solicitándoles la calificación por la junta medico laboral del </w:t>
      </w:r>
      <w:r w:rsidRPr="00A84B64">
        <w:rPr>
          <w:rFonts w:ascii="Verdana" w:hAnsi="Verdana" w:cs="Arial"/>
          <w:sz w:val="22"/>
          <w:szCs w:val="22"/>
        </w:rPr>
        <w:t>E</w:t>
      </w:r>
      <w:r w:rsidR="004A0815" w:rsidRPr="00A84B64">
        <w:rPr>
          <w:rFonts w:ascii="Verdana" w:hAnsi="Verdana" w:cs="Arial"/>
          <w:sz w:val="22"/>
          <w:szCs w:val="22"/>
        </w:rPr>
        <w:t xml:space="preserve">jército </w:t>
      </w:r>
      <w:r w:rsidRPr="00A84B64">
        <w:rPr>
          <w:rFonts w:ascii="Verdana" w:hAnsi="Verdana" w:cs="Arial"/>
          <w:sz w:val="22"/>
          <w:szCs w:val="22"/>
        </w:rPr>
        <w:t>N</w:t>
      </w:r>
      <w:r w:rsidR="004A0815" w:rsidRPr="00A84B64">
        <w:rPr>
          <w:rFonts w:ascii="Verdana" w:hAnsi="Verdana" w:cs="Arial"/>
          <w:sz w:val="22"/>
          <w:szCs w:val="22"/>
        </w:rPr>
        <w:t xml:space="preserve">acional, a la cual se le respondió, solicitándole su asistencia al centro de incorporación de instrucción de </w:t>
      </w:r>
      <w:r w:rsidRPr="00A84B64">
        <w:rPr>
          <w:rFonts w:ascii="Verdana" w:hAnsi="Verdana" w:cs="Arial"/>
          <w:sz w:val="22"/>
          <w:szCs w:val="22"/>
        </w:rPr>
        <w:t>Có</w:t>
      </w:r>
      <w:r w:rsidR="004A0815" w:rsidRPr="00A84B64">
        <w:rPr>
          <w:rFonts w:ascii="Verdana" w:hAnsi="Verdana" w:cs="Arial"/>
          <w:sz w:val="22"/>
          <w:szCs w:val="22"/>
        </w:rPr>
        <w:t>mbita – Boyacá para el diligenciamiento de la ficha médica unificada y la realización de algunos exámenes médicos (de tal forma que los mismos fueron realizados posteriormente). No obstante, indicaron que no se le notificó en debida forma la comparecencia a esa entidad, por parte de la Dirección de Sanidad Militar del ejército con el fin de informarse respecto a la calificación de la pérdida de capacidad laboral; dicha situación fue solicitada nuevamente mediante derecho de petición, pero no se obtuvo respuesta alguna</w:t>
      </w:r>
      <w:r w:rsidRPr="00A84B64">
        <w:rPr>
          <w:rFonts w:ascii="Verdana" w:hAnsi="Verdana" w:cs="Arial"/>
          <w:sz w:val="22"/>
          <w:szCs w:val="22"/>
        </w:rPr>
        <w:t>.</w:t>
      </w:r>
    </w:p>
    <w:p w14:paraId="5F1A899B" w14:textId="77777777" w:rsidR="004A0815" w:rsidRPr="00A84B64" w:rsidRDefault="004A0815" w:rsidP="004A0815">
      <w:pPr>
        <w:spacing w:line="360" w:lineRule="auto"/>
        <w:jc w:val="both"/>
        <w:rPr>
          <w:rFonts w:ascii="Verdana" w:hAnsi="Verdana" w:cs="Arial"/>
          <w:sz w:val="22"/>
          <w:szCs w:val="22"/>
        </w:rPr>
      </w:pPr>
    </w:p>
    <w:p w14:paraId="181DF40D" w14:textId="0D9AEE8B" w:rsidR="004A0815" w:rsidRPr="00A84B64" w:rsidRDefault="00634409" w:rsidP="004A0815">
      <w:pPr>
        <w:spacing w:line="360" w:lineRule="auto"/>
        <w:jc w:val="both"/>
        <w:rPr>
          <w:rFonts w:ascii="Verdana" w:hAnsi="Verdana" w:cs="Arial"/>
          <w:sz w:val="22"/>
          <w:szCs w:val="22"/>
        </w:rPr>
      </w:pPr>
      <w:r w:rsidRPr="00A84B64">
        <w:rPr>
          <w:rFonts w:ascii="Verdana" w:hAnsi="Verdana" w:cs="Arial"/>
          <w:sz w:val="22"/>
          <w:szCs w:val="22"/>
        </w:rPr>
        <w:t>Que</w:t>
      </w:r>
      <w:r w:rsidR="004A0815" w:rsidRPr="00A84B64">
        <w:rPr>
          <w:rFonts w:ascii="Verdana" w:hAnsi="Verdana" w:cs="Arial"/>
          <w:sz w:val="22"/>
          <w:szCs w:val="22"/>
        </w:rPr>
        <w:t xml:space="preserve"> el INPEC le notificó al señor auxiliar bachiller LUIS EDUARDO AVILA GAITAN la condición de PENDIENTE POR SANIDAD, es decir, no se le licenció y se le declaró NO APTO para el licenciamiento debido al tratamiento que tenía pendiente para la recuperación de todas sus funciones.</w:t>
      </w:r>
    </w:p>
    <w:p w14:paraId="50284A0C" w14:textId="77777777" w:rsidR="004A0815" w:rsidRPr="00A84B64" w:rsidRDefault="004A0815" w:rsidP="004A0815">
      <w:pPr>
        <w:spacing w:line="360" w:lineRule="auto"/>
        <w:jc w:val="both"/>
        <w:rPr>
          <w:rFonts w:ascii="Verdana" w:hAnsi="Verdana" w:cs="Arial"/>
          <w:i/>
          <w:sz w:val="22"/>
          <w:szCs w:val="22"/>
        </w:rPr>
      </w:pPr>
    </w:p>
    <w:p w14:paraId="34AD9875" w14:textId="1CD24603" w:rsidR="004A0815" w:rsidRPr="00A84B64" w:rsidRDefault="00634409" w:rsidP="004A0815">
      <w:pPr>
        <w:spacing w:line="360" w:lineRule="auto"/>
        <w:jc w:val="both"/>
        <w:rPr>
          <w:rFonts w:ascii="Verdana" w:hAnsi="Verdana" w:cs="Arial"/>
          <w:sz w:val="22"/>
          <w:szCs w:val="22"/>
        </w:rPr>
      </w:pPr>
      <w:r w:rsidRPr="00A84B64">
        <w:rPr>
          <w:rFonts w:ascii="Verdana" w:hAnsi="Verdana" w:cs="Arial"/>
          <w:sz w:val="22"/>
          <w:szCs w:val="22"/>
        </w:rPr>
        <w:t xml:space="preserve">Que en </w:t>
      </w:r>
      <w:r w:rsidR="004A0815" w:rsidRPr="00A84B64">
        <w:rPr>
          <w:rFonts w:ascii="Verdana" w:hAnsi="Verdana" w:cs="Arial"/>
          <w:sz w:val="22"/>
          <w:szCs w:val="22"/>
        </w:rPr>
        <w:t>atención lo anterior, el señor Luis Eduardo Ávila quedó con secuelas pues no puede compartir, socializar o divertirse con los demás jóvenes de su edad, no puede realizar actividades físicas y deportivas, no puede salir a bailar o divertirse como cualquier joven de su edad, adicionalmente, ante la discapacidad, no ha sido aceptado para realizar ningún trabajo y todo ello ha traído consigo graves sufrimientos, dolor, aflicción física y psicológica y hasta siquiátrica.</w:t>
      </w:r>
    </w:p>
    <w:p w14:paraId="0DEBA912" w14:textId="77777777" w:rsidR="00BB29A4" w:rsidRPr="00A84B64" w:rsidRDefault="00BB29A4" w:rsidP="009275D4">
      <w:pPr>
        <w:spacing w:line="360" w:lineRule="auto"/>
        <w:jc w:val="both"/>
        <w:rPr>
          <w:rFonts w:ascii="Verdana" w:hAnsi="Verdana" w:cs="Arial"/>
          <w:sz w:val="22"/>
          <w:szCs w:val="22"/>
        </w:rPr>
      </w:pPr>
    </w:p>
    <w:p w14:paraId="24C1DB5A" w14:textId="111F41F0" w:rsidR="00183808" w:rsidRPr="00A84B64" w:rsidRDefault="004E5B27" w:rsidP="004E5B27">
      <w:pPr>
        <w:spacing w:line="360" w:lineRule="auto"/>
        <w:ind w:left="708"/>
        <w:jc w:val="both"/>
        <w:rPr>
          <w:rFonts w:ascii="Verdana" w:hAnsi="Verdana" w:cs="Arial"/>
          <w:b/>
          <w:sz w:val="22"/>
          <w:szCs w:val="22"/>
        </w:rPr>
      </w:pPr>
      <w:r w:rsidRPr="00A84B64">
        <w:rPr>
          <w:rFonts w:ascii="Verdana" w:hAnsi="Verdana" w:cs="Arial"/>
          <w:b/>
          <w:sz w:val="22"/>
          <w:szCs w:val="22"/>
        </w:rPr>
        <w:t>2.</w:t>
      </w:r>
      <w:r w:rsidR="004A0815" w:rsidRPr="00A84B64">
        <w:rPr>
          <w:rFonts w:ascii="Verdana" w:hAnsi="Verdana" w:cs="Arial"/>
          <w:b/>
          <w:sz w:val="22"/>
          <w:szCs w:val="22"/>
        </w:rPr>
        <w:t>2</w:t>
      </w:r>
      <w:r w:rsidRPr="00A84B64">
        <w:rPr>
          <w:rFonts w:ascii="Verdana" w:hAnsi="Verdana" w:cs="Arial"/>
          <w:b/>
          <w:sz w:val="22"/>
          <w:szCs w:val="22"/>
        </w:rPr>
        <w:t>. SENTENCIA DE PRIMERA INSTANCIA</w:t>
      </w:r>
      <w:r w:rsidR="00A00492" w:rsidRPr="00A84B64">
        <w:rPr>
          <w:rFonts w:ascii="Verdana" w:hAnsi="Verdana" w:cs="Arial"/>
          <w:b/>
          <w:sz w:val="22"/>
          <w:szCs w:val="22"/>
        </w:rPr>
        <w:t xml:space="preserve"> (</w:t>
      </w:r>
      <w:proofErr w:type="spellStart"/>
      <w:r w:rsidR="00A00492" w:rsidRPr="00A84B64">
        <w:rPr>
          <w:rFonts w:ascii="Verdana" w:hAnsi="Verdana" w:cs="Arial"/>
          <w:b/>
          <w:sz w:val="22"/>
          <w:szCs w:val="22"/>
        </w:rPr>
        <w:t>Fls</w:t>
      </w:r>
      <w:proofErr w:type="spellEnd"/>
      <w:r w:rsidR="00A00492" w:rsidRPr="00A84B64">
        <w:rPr>
          <w:rFonts w:ascii="Verdana" w:hAnsi="Verdana" w:cs="Arial"/>
          <w:b/>
          <w:sz w:val="22"/>
          <w:szCs w:val="22"/>
        </w:rPr>
        <w:t xml:space="preserve">. </w:t>
      </w:r>
      <w:r w:rsidR="00880CC5" w:rsidRPr="00A84B64">
        <w:rPr>
          <w:rFonts w:ascii="Verdana" w:hAnsi="Verdana" w:cs="Arial"/>
          <w:b/>
          <w:sz w:val="22"/>
          <w:szCs w:val="22"/>
        </w:rPr>
        <w:t>900</w:t>
      </w:r>
      <w:r w:rsidR="00A00492" w:rsidRPr="00A84B64">
        <w:rPr>
          <w:rFonts w:ascii="Verdana" w:hAnsi="Verdana" w:cs="Arial"/>
          <w:b/>
          <w:sz w:val="22"/>
          <w:szCs w:val="22"/>
        </w:rPr>
        <w:t>-</w:t>
      </w:r>
      <w:r w:rsidR="00880CC5" w:rsidRPr="00A84B64">
        <w:rPr>
          <w:rFonts w:ascii="Verdana" w:hAnsi="Verdana" w:cs="Arial"/>
          <w:b/>
          <w:sz w:val="22"/>
          <w:szCs w:val="22"/>
        </w:rPr>
        <w:t>942</w:t>
      </w:r>
      <w:r w:rsidR="00A00492" w:rsidRPr="00A84B64">
        <w:rPr>
          <w:rFonts w:ascii="Verdana" w:hAnsi="Verdana" w:cs="Arial"/>
          <w:b/>
          <w:sz w:val="22"/>
          <w:szCs w:val="22"/>
        </w:rPr>
        <w:t>)</w:t>
      </w:r>
    </w:p>
    <w:p w14:paraId="3C08CDEF" w14:textId="77777777" w:rsidR="00A11CFB" w:rsidRPr="00A84B64" w:rsidRDefault="00A11CFB" w:rsidP="004E5B27">
      <w:pPr>
        <w:spacing w:line="360" w:lineRule="auto"/>
        <w:ind w:left="708"/>
        <w:jc w:val="both"/>
        <w:rPr>
          <w:rFonts w:ascii="Verdana" w:hAnsi="Verdana" w:cs="Arial"/>
          <w:b/>
          <w:sz w:val="22"/>
          <w:szCs w:val="22"/>
        </w:rPr>
      </w:pPr>
    </w:p>
    <w:p w14:paraId="04004D1A" w14:textId="01073E18" w:rsidR="000D2D0D" w:rsidRPr="00A84B64" w:rsidRDefault="005D0913" w:rsidP="001F316E">
      <w:pPr>
        <w:spacing w:line="360" w:lineRule="auto"/>
        <w:jc w:val="both"/>
        <w:rPr>
          <w:rFonts w:ascii="Verdana" w:hAnsi="Verdana" w:cs="Arial"/>
          <w:sz w:val="22"/>
          <w:szCs w:val="22"/>
        </w:rPr>
      </w:pPr>
      <w:r w:rsidRPr="00A84B64">
        <w:rPr>
          <w:rFonts w:ascii="Verdana" w:hAnsi="Verdana" w:cs="Arial"/>
          <w:sz w:val="22"/>
          <w:szCs w:val="22"/>
        </w:rPr>
        <w:lastRenderedPageBreak/>
        <w:t>El Juzgado Trece Administrativo del Circuito Judicial de Tunja</w:t>
      </w:r>
      <w:r w:rsidR="00A11CFB" w:rsidRPr="00A84B64">
        <w:rPr>
          <w:rFonts w:ascii="Verdana" w:hAnsi="Verdana" w:cs="Arial"/>
          <w:sz w:val="22"/>
          <w:szCs w:val="22"/>
        </w:rPr>
        <w:t xml:space="preserve">, en sentencia del 26 de junio del 2020 </w:t>
      </w:r>
      <w:r w:rsidR="008C2951" w:rsidRPr="00A84B64">
        <w:rPr>
          <w:rFonts w:ascii="Verdana" w:hAnsi="Verdana" w:cs="Arial"/>
          <w:sz w:val="22"/>
          <w:szCs w:val="22"/>
        </w:rPr>
        <w:t>resolvió:</w:t>
      </w:r>
    </w:p>
    <w:p w14:paraId="0DE5BE91" w14:textId="41CC7BB8" w:rsidR="008C2951" w:rsidRPr="00A84B64" w:rsidRDefault="008C2951" w:rsidP="001F316E">
      <w:pPr>
        <w:spacing w:line="360" w:lineRule="auto"/>
        <w:jc w:val="both"/>
        <w:rPr>
          <w:rFonts w:ascii="Verdana" w:hAnsi="Verdana" w:cs="Arial"/>
        </w:rPr>
      </w:pPr>
    </w:p>
    <w:p w14:paraId="6FE4B75B" w14:textId="547F163C"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i/>
          <w:iCs/>
          <w:sz w:val="22"/>
          <w:szCs w:val="22"/>
        </w:rPr>
        <w:t>“</w:t>
      </w:r>
      <w:r w:rsidRPr="00A84B64">
        <w:rPr>
          <w:rFonts w:ascii="Verdana" w:hAnsi="Verdana" w:cs="Arial"/>
          <w:b/>
          <w:bCs/>
          <w:i/>
          <w:iCs/>
          <w:sz w:val="22"/>
          <w:szCs w:val="22"/>
        </w:rPr>
        <w:t>PRIMERO</w:t>
      </w:r>
      <w:r w:rsidRPr="00A84B64">
        <w:rPr>
          <w:rFonts w:ascii="Verdana" w:hAnsi="Verdana" w:cs="Arial"/>
          <w:i/>
          <w:iCs/>
          <w:sz w:val="22"/>
          <w:szCs w:val="22"/>
        </w:rPr>
        <w:t>: DECLARAR probada la excepción de falta de legitimación en la causa pasiva formulada por el Ministerio de Defensa – Ejército Nacional conforme lo expuesto en la parte considerativa de la presente providencia.</w:t>
      </w:r>
    </w:p>
    <w:p w14:paraId="5CB32C47" w14:textId="25E70AA0"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SEGUNDO:</w:t>
      </w:r>
      <w:r w:rsidRPr="00A84B64">
        <w:rPr>
          <w:rFonts w:ascii="Verdana" w:hAnsi="Verdana" w:cs="Arial"/>
          <w:i/>
          <w:iCs/>
          <w:sz w:val="22"/>
          <w:szCs w:val="22"/>
        </w:rPr>
        <w:t xml:space="preserve"> NEGAR las pretensiones de la demanda respecto de la Aseguradora Mapfre S.A., conforme a lo expuesto.</w:t>
      </w:r>
    </w:p>
    <w:p w14:paraId="748B3065"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TERCERO:</w:t>
      </w:r>
      <w:r w:rsidRPr="00A84B64">
        <w:rPr>
          <w:rFonts w:ascii="Verdana" w:hAnsi="Verdana" w:cs="Arial"/>
          <w:i/>
          <w:iCs/>
          <w:sz w:val="22"/>
          <w:szCs w:val="22"/>
        </w:rPr>
        <w:t xml:space="preserve"> DECLARAR no probada la excepción de falta de legitimación en la causa pasiva formulada por el Instituto Nacional Penitenciario y Carcelario –INPEC, conforme lo expuesto en la parte considerativa de la presente providencia.</w:t>
      </w:r>
    </w:p>
    <w:p w14:paraId="1ACC9A9D"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CUARTO:</w:t>
      </w:r>
      <w:r w:rsidRPr="00A84B64">
        <w:rPr>
          <w:rFonts w:ascii="Verdana" w:hAnsi="Verdana" w:cs="Arial"/>
          <w:i/>
          <w:iCs/>
          <w:sz w:val="22"/>
          <w:szCs w:val="22"/>
        </w:rPr>
        <w:t xml:space="preserve"> DECLARAR patrimonialmente responsables al Instituto Nacional Penitenciario y Carcelario – INPEC- y Seguros Vida del Estado S.A., por los perjuicios materiales e inmateriales causados a los demandantes con ocasión a la lesión sufrida por Luis Eduardo Ávila García, de acuerdo a la parte motiva de la providencia.</w:t>
      </w:r>
    </w:p>
    <w:p w14:paraId="36543FB2"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QUINTO:</w:t>
      </w:r>
      <w:r w:rsidRPr="00A84B64">
        <w:rPr>
          <w:rFonts w:ascii="Verdana" w:hAnsi="Verdana" w:cs="Arial"/>
          <w:i/>
          <w:iCs/>
          <w:sz w:val="22"/>
          <w:szCs w:val="22"/>
        </w:rPr>
        <w:t xml:space="preserve"> CONDENAR al Instituto Nacional Penitenciario y Carcelario – INPEC- y a Seguros Vida del Estado S.A., a pagar las siguientes sumas por concepto de daño moral:</w:t>
      </w:r>
    </w:p>
    <w:p w14:paraId="591C4E27"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i/>
          <w:iCs/>
          <w:sz w:val="22"/>
          <w:szCs w:val="22"/>
        </w:rPr>
        <w:t>- A favor de Luis Eduardo Ávila Gaitán (víctima) la suma de cuarenta salarios mínimos mensuales legales vigentes (40 SMMLV).</w:t>
      </w:r>
    </w:p>
    <w:p w14:paraId="2DEF1ABE"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i/>
          <w:iCs/>
          <w:sz w:val="22"/>
          <w:szCs w:val="22"/>
        </w:rPr>
        <w:t>- A favor de Luz Miriam Gaitán Aguilar (madre) la suma de cuarenta salarios mínimos mensuales legales vigentes (40 SMMLV).</w:t>
      </w:r>
    </w:p>
    <w:p w14:paraId="48E1A611"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i/>
          <w:iCs/>
          <w:sz w:val="22"/>
          <w:szCs w:val="22"/>
        </w:rPr>
        <w:t>- A favor de Luis Eduardo Ávila Sierra (padre) la suma de cuarenta salarios mínimos mensuales legales vigentes (40 SMMLV).</w:t>
      </w:r>
    </w:p>
    <w:p w14:paraId="13ACB91D"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i/>
          <w:iCs/>
          <w:sz w:val="22"/>
          <w:szCs w:val="22"/>
        </w:rPr>
        <w:t xml:space="preserve">- A favor de </w:t>
      </w:r>
      <w:proofErr w:type="spellStart"/>
      <w:r w:rsidRPr="00A84B64">
        <w:rPr>
          <w:rFonts w:ascii="Verdana" w:hAnsi="Verdana" w:cs="Arial"/>
          <w:i/>
          <w:iCs/>
          <w:sz w:val="22"/>
          <w:szCs w:val="22"/>
        </w:rPr>
        <w:t>Heidy</w:t>
      </w:r>
      <w:proofErr w:type="spellEnd"/>
      <w:r w:rsidRPr="00A84B64">
        <w:rPr>
          <w:rFonts w:ascii="Verdana" w:hAnsi="Verdana" w:cs="Arial"/>
          <w:i/>
          <w:iCs/>
          <w:sz w:val="22"/>
          <w:szCs w:val="22"/>
        </w:rPr>
        <w:t xml:space="preserve"> Valentina Ávila Gaitán (hermana) la suma de veinte salarios mínimos mensuales vigentes (20 SMMLV)</w:t>
      </w:r>
    </w:p>
    <w:p w14:paraId="64464654"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i/>
          <w:iCs/>
          <w:sz w:val="22"/>
          <w:szCs w:val="22"/>
        </w:rPr>
        <w:t>- A favor de Ian Jerónimo Ávila Gaitán (hermano) la suma de veinte salarios mínimos mensuales vigentes (20 SMMLV)</w:t>
      </w:r>
    </w:p>
    <w:p w14:paraId="7704F894"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SEXTO:</w:t>
      </w:r>
      <w:r w:rsidRPr="00A84B64">
        <w:rPr>
          <w:rFonts w:ascii="Verdana" w:hAnsi="Verdana" w:cs="Arial"/>
          <w:i/>
          <w:iCs/>
          <w:sz w:val="22"/>
          <w:szCs w:val="22"/>
        </w:rPr>
        <w:t xml:space="preserve"> CONDENAR al Instituto Nacional Penitenciario y Carcelario – INPEC- y Seguros Vida del Estado S.A., a pagar a Luis Eduardo Ávila Gaitán (víctima) la suma de CUARENTA SALARIOS MÍNIMOS MENSUALES LEGALES VIGENTES (40 SMMLV) por concepto de daño a la salud.</w:t>
      </w:r>
    </w:p>
    <w:p w14:paraId="14C12D78"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SÉPTIMO:</w:t>
      </w:r>
      <w:r w:rsidRPr="00A84B64">
        <w:rPr>
          <w:rFonts w:ascii="Verdana" w:hAnsi="Verdana" w:cs="Arial"/>
          <w:i/>
          <w:iCs/>
          <w:sz w:val="22"/>
          <w:szCs w:val="22"/>
        </w:rPr>
        <w:t xml:space="preserve"> CONDENAR al Instituto Nacional Penitenciario y Carcelario – INPEC- y Seguros Vida del Estado S.A., a pagar a Luis Eduardo Ávila Gaitán (víctima) la suma de CUARENTA Y OCHO MILLONES SEISCIENTOS TREINTA Y DOS MIL ($48.632.000), por concepto de lucro cesante futuro.</w:t>
      </w:r>
    </w:p>
    <w:p w14:paraId="51FA170E" w14:textId="7E15CBB2"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OCTAVO</w:t>
      </w:r>
      <w:r w:rsidR="004C773C" w:rsidRPr="00A84B64">
        <w:rPr>
          <w:rFonts w:ascii="Verdana" w:hAnsi="Verdana" w:cs="Arial"/>
          <w:b/>
          <w:bCs/>
          <w:i/>
          <w:iCs/>
          <w:sz w:val="22"/>
          <w:szCs w:val="22"/>
        </w:rPr>
        <w:t>:</w:t>
      </w:r>
      <w:r w:rsidRPr="00A84B64">
        <w:rPr>
          <w:rFonts w:ascii="Verdana" w:hAnsi="Verdana" w:cs="Arial"/>
          <w:i/>
          <w:iCs/>
          <w:sz w:val="22"/>
          <w:szCs w:val="22"/>
        </w:rPr>
        <w:t xml:space="preserve"> CONDENAR al Instituto Nacional Penitenciario y Carcelario – INPEC- y Seguros Vida del Estado S.A., a pagar a Luis Eduardo Ávila Gaitán (víctima) la suma de DOSCIENTOS CINCUENTA Y UN MIL SETECIENTOS CINCUENTA PESOS ($251.750) por concepto de daño emergente consolidado.</w:t>
      </w:r>
    </w:p>
    <w:p w14:paraId="3C822E1B"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t>NOVENO:</w:t>
      </w:r>
      <w:r w:rsidRPr="00A84B64">
        <w:rPr>
          <w:rFonts w:ascii="Verdana" w:hAnsi="Verdana" w:cs="Arial"/>
          <w:i/>
          <w:iCs/>
          <w:sz w:val="22"/>
          <w:szCs w:val="22"/>
        </w:rPr>
        <w:t xml:space="preserve"> ORDENAR a la aseguradora Seguros Vida del Estado S.A. devolver al Instituto Nacional Penitenciario y Carcelario -INPEC-, el porcentaje correspondiente a las coberturas de las pólizas No 21-71-1000000479 y No. 21-7-1000000481. Suma que deberá reintegrarse dentro de los seis (6) meses siguientes a la fecha del pago total.</w:t>
      </w:r>
    </w:p>
    <w:p w14:paraId="692F955A" w14:textId="77777777" w:rsidR="008C2951" w:rsidRPr="00A84B64" w:rsidRDefault="008C2951" w:rsidP="005407FF">
      <w:pPr>
        <w:spacing w:line="276" w:lineRule="auto"/>
        <w:ind w:firstLine="708"/>
        <w:jc w:val="both"/>
        <w:rPr>
          <w:rFonts w:ascii="Verdana" w:hAnsi="Verdana" w:cs="Arial"/>
          <w:i/>
          <w:iCs/>
          <w:sz w:val="22"/>
          <w:szCs w:val="22"/>
        </w:rPr>
      </w:pPr>
      <w:r w:rsidRPr="00A84B64">
        <w:rPr>
          <w:rFonts w:ascii="Verdana" w:hAnsi="Verdana" w:cs="Arial"/>
          <w:b/>
          <w:bCs/>
          <w:i/>
          <w:iCs/>
          <w:sz w:val="22"/>
          <w:szCs w:val="22"/>
        </w:rPr>
        <w:t>DÉCIMO:</w:t>
      </w:r>
      <w:r w:rsidRPr="00A84B64">
        <w:rPr>
          <w:rFonts w:ascii="Verdana" w:hAnsi="Verdana" w:cs="Arial"/>
          <w:i/>
          <w:iCs/>
          <w:sz w:val="22"/>
          <w:szCs w:val="22"/>
        </w:rPr>
        <w:t xml:space="preserve"> NEGAR las demás pretensiones de la demanda</w:t>
      </w:r>
    </w:p>
    <w:p w14:paraId="127CA4D0" w14:textId="77777777" w:rsidR="008C2951" w:rsidRPr="00A84B64" w:rsidRDefault="008C2951" w:rsidP="005407FF">
      <w:pPr>
        <w:spacing w:line="276" w:lineRule="auto"/>
        <w:ind w:left="708"/>
        <w:jc w:val="both"/>
        <w:rPr>
          <w:rFonts w:ascii="Verdana" w:hAnsi="Verdana" w:cs="Arial"/>
          <w:i/>
          <w:iCs/>
          <w:sz w:val="22"/>
          <w:szCs w:val="22"/>
        </w:rPr>
      </w:pPr>
      <w:r w:rsidRPr="00A84B64">
        <w:rPr>
          <w:rFonts w:ascii="Verdana" w:hAnsi="Verdana" w:cs="Arial"/>
          <w:b/>
          <w:bCs/>
          <w:i/>
          <w:iCs/>
          <w:sz w:val="22"/>
          <w:szCs w:val="22"/>
        </w:rPr>
        <w:lastRenderedPageBreak/>
        <w:t>DÉCIMO PRIMERO:</w:t>
      </w:r>
      <w:r w:rsidRPr="00A84B64">
        <w:rPr>
          <w:rFonts w:ascii="Verdana" w:hAnsi="Verdana" w:cs="Arial"/>
          <w:i/>
          <w:iCs/>
          <w:sz w:val="22"/>
          <w:szCs w:val="22"/>
        </w:rPr>
        <w:t xml:space="preserve"> Condenar en costas al Instituto Nacional Penitenciario y Carcelario – INPEC- y Seguros Vida del Estado S.A., en partes iguales. Por secretaría liquídense en los términos del artículo 365 del CGP</w:t>
      </w:r>
    </w:p>
    <w:p w14:paraId="2B8F5991" w14:textId="749F5410" w:rsidR="008C2951" w:rsidRPr="00A84B64" w:rsidRDefault="008C2951" w:rsidP="005407FF">
      <w:pPr>
        <w:spacing w:line="276" w:lineRule="auto"/>
        <w:ind w:firstLine="708"/>
        <w:jc w:val="both"/>
        <w:rPr>
          <w:rFonts w:ascii="Verdana" w:hAnsi="Verdana" w:cs="Arial"/>
          <w:i/>
          <w:iCs/>
          <w:sz w:val="22"/>
          <w:szCs w:val="22"/>
        </w:rPr>
      </w:pPr>
      <w:r w:rsidRPr="00A84B64">
        <w:rPr>
          <w:rFonts w:ascii="Verdana" w:hAnsi="Verdana" w:cs="Arial"/>
          <w:i/>
          <w:iCs/>
          <w:sz w:val="22"/>
          <w:szCs w:val="22"/>
        </w:rPr>
        <w:t>(…)”.</w:t>
      </w:r>
    </w:p>
    <w:p w14:paraId="3BE999A7" w14:textId="77777777" w:rsidR="00B004A9" w:rsidRPr="00A84B64" w:rsidRDefault="00B004A9" w:rsidP="001F316E">
      <w:pPr>
        <w:spacing w:line="360" w:lineRule="auto"/>
        <w:jc w:val="both"/>
        <w:rPr>
          <w:rFonts w:ascii="Verdana" w:hAnsi="Verdana" w:cs="Arial"/>
          <w:sz w:val="24"/>
          <w:szCs w:val="24"/>
        </w:rPr>
      </w:pPr>
      <w:bookmarkStart w:id="2" w:name="_Hlk93592894"/>
    </w:p>
    <w:bookmarkEnd w:id="2"/>
    <w:p w14:paraId="6EC52143" w14:textId="6112822E" w:rsidR="005814AD" w:rsidRPr="00A84B64" w:rsidRDefault="00B004A9" w:rsidP="00BC727E">
      <w:pPr>
        <w:spacing w:line="360" w:lineRule="auto"/>
        <w:jc w:val="both"/>
        <w:rPr>
          <w:rFonts w:ascii="Verdana" w:hAnsi="Verdana" w:cs="Arial"/>
          <w:sz w:val="22"/>
          <w:szCs w:val="22"/>
        </w:rPr>
      </w:pPr>
      <w:r w:rsidRPr="00A84B64">
        <w:rPr>
          <w:rFonts w:ascii="Verdana" w:hAnsi="Verdana" w:cs="Arial"/>
          <w:sz w:val="22"/>
          <w:szCs w:val="22"/>
        </w:rPr>
        <w:t xml:space="preserve">Para arribar a tal conclusión, </w:t>
      </w:r>
      <w:r w:rsidR="00790A9B" w:rsidRPr="00A84B64">
        <w:rPr>
          <w:rFonts w:ascii="Verdana" w:hAnsi="Verdana" w:cs="Arial"/>
          <w:sz w:val="22"/>
          <w:szCs w:val="22"/>
        </w:rPr>
        <w:t xml:space="preserve">la juez de primera instancia luego de desarrollar el </w:t>
      </w:r>
      <w:r w:rsidR="004B7A29" w:rsidRPr="00A84B64">
        <w:rPr>
          <w:rFonts w:ascii="Verdana" w:hAnsi="Verdana" w:cs="Arial"/>
          <w:sz w:val="22"/>
          <w:szCs w:val="22"/>
        </w:rPr>
        <w:t xml:space="preserve">marco normativo </w:t>
      </w:r>
      <w:r w:rsidR="00790A9B" w:rsidRPr="00A84B64">
        <w:rPr>
          <w:rFonts w:ascii="Verdana" w:hAnsi="Verdana" w:cs="Arial"/>
          <w:sz w:val="22"/>
          <w:szCs w:val="22"/>
        </w:rPr>
        <w:t xml:space="preserve">y </w:t>
      </w:r>
      <w:r w:rsidR="004B7A29" w:rsidRPr="00A84B64">
        <w:rPr>
          <w:rFonts w:ascii="Verdana" w:hAnsi="Verdana" w:cs="Arial"/>
          <w:sz w:val="22"/>
          <w:szCs w:val="22"/>
        </w:rPr>
        <w:t>jurisprudencial</w:t>
      </w:r>
      <w:r w:rsidR="00790A9B" w:rsidRPr="00A84B64">
        <w:rPr>
          <w:rFonts w:ascii="Verdana" w:hAnsi="Verdana" w:cs="Arial"/>
          <w:sz w:val="22"/>
          <w:szCs w:val="22"/>
        </w:rPr>
        <w:t xml:space="preserve"> </w:t>
      </w:r>
      <w:r w:rsidR="004B7A29" w:rsidRPr="00A84B64">
        <w:rPr>
          <w:rFonts w:ascii="Verdana" w:hAnsi="Verdana" w:cs="Arial"/>
          <w:sz w:val="22"/>
          <w:szCs w:val="22"/>
        </w:rPr>
        <w:t>relativo a la responsabilidad del estado,</w:t>
      </w:r>
      <w:r w:rsidR="00790A9B" w:rsidRPr="00A84B64">
        <w:rPr>
          <w:rFonts w:ascii="Verdana" w:hAnsi="Verdana" w:cs="Arial"/>
          <w:sz w:val="22"/>
          <w:szCs w:val="22"/>
        </w:rPr>
        <w:t xml:space="preserve"> al servicio de reclutamiento de los auxiliares bachilleres</w:t>
      </w:r>
      <w:r w:rsidR="00BC727E" w:rsidRPr="00A84B64">
        <w:rPr>
          <w:rFonts w:ascii="Verdana" w:hAnsi="Verdana" w:cs="Arial"/>
          <w:sz w:val="22"/>
          <w:szCs w:val="22"/>
        </w:rPr>
        <w:t xml:space="preserve"> y</w:t>
      </w:r>
      <w:r w:rsidR="00790A9B" w:rsidRPr="00A84B64">
        <w:rPr>
          <w:rFonts w:ascii="Verdana" w:hAnsi="Verdana" w:cs="Arial"/>
          <w:sz w:val="22"/>
          <w:szCs w:val="22"/>
        </w:rPr>
        <w:t xml:space="preserve"> al régimen de responsabilidad aplicable por lesiones ocasionadas a conscriptos durante la prestación del servicio</w:t>
      </w:r>
      <w:r w:rsidR="00BC727E" w:rsidRPr="00A84B64">
        <w:rPr>
          <w:rFonts w:ascii="Verdana" w:hAnsi="Verdana" w:cs="Arial"/>
          <w:sz w:val="22"/>
          <w:szCs w:val="22"/>
        </w:rPr>
        <w:t xml:space="preserve">, arribó al caso concreto, haciendo un recuento de lo probado en el proceso, encontrando acreditado </w:t>
      </w:r>
      <w:r w:rsidR="00755A3E" w:rsidRPr="00A84B64">
        <w:rPr>
          <w:rFonts w:ascii="Verdana" w:hAnsi="Verdana" w:cs="Arial"/>
          <w:sz w:val="22"/>
          <w:szCs w:val="22"/>
        </w:rPr>
        <w:t>el daño y el porcentaje de disminución laboral causado a</w:t>
      </w:r>
      <w:r w:rsidR="00BC727E" w:rsidRPr="00A84B64">
        <w:rPr>
          <w:rFonts w:ascii="Verdana" w:hAnsi="Verdana" w:cs="Arial"/>
          <w:sz w:val="22"/>
          <w:szCs w:val="22"/>
        </w:rPr>
        <w:t>l señor</w:t>
      </w:r>
      <w:r w:rsidR="00830BF1" w:rsidRPr="00A84B64">
        <w:rPr>
          <w:rFonts w:ascii="Verdana" w:hAnsi="Verdana" w:cs="Arial"/>
          <w:sz w:val="22"/>
          <w:szCs w:val="22"/>
        </w:rPr>
        <w:t xml:space="preserve"> Luis Eduardo Ávila Gaitán, </w:t>
      </w:r>
      <w:r w:rsidR="00755A3E" w:rsidRPr="00A84B64">
        <w:rPr>
          <w:rFonts w:ascii="Verdana" w:hAnsi="Verdana" w:cs="Arial"/>
          <w:sz w:val="22"/>
          <w:szCs w:val="22"/>
        </w:rPr>
        <w:t xml:space="preserve">quien </w:t>
      </w:r>
      <w:r w:rsidR="00830BF1" w:rsidRPr="00A84B64">
        <w:rPr>
          <w:rFonts w:ascii="Verdana" w:hAnsi="Verdana" w:cs="Arial"/>
          <w:sz w:val="22"/>
          <w:szCs w:val="22"/>
        </w:rPr>
        <w:t>sufrió una caída lesionándose la rodilla derecha</w:t>
      </w:r>
      <w:r w:rsidR="006247A6" w:rsidRPr="00A84B64">
        <w:rPr>
          <w:rFonts w:ascii="Verdana" w:hAnsi="Verdana" w:cs="Arial"/>
          <w:sz w:val="22"/>
          <w:szCs w:val="22"/>
        </w:rPr>
        <w:t xml:space="preserve">, </w:t>
      </w:r>
      <w:r w:rsidR="00755A3E" w:rsidRPr="00A84B64">
        <w:rPr>
          <w:rFonts w:ascii="Verdana" w:hAnsi="Verdana" w:cs="Arial"/>
          <w:sz w:val="22"/>
          <w:szCs w:val="22"/>
        </w:rPr>
        <w:t>estando en turno el día 11 de junio de 2014 en calidad de auxiliar Bachiller en las Instalaciones de la Cárcel de Chiquinquirá</w:t>
      </w:r>
      <w:r w:rsidR="00830BF1" w:rsidRPr="00A84B64">
        <w:rPr>
          <w:rFonts w:ascii="Verdana" w:hAnsi="Verdana" w:cs="Arial"/>
          <w:sz w:val="22"/>
          <w:szCs w:val="22"/>
        </w:rPr>
        <w:t xml:space="preserve"> y que con fundamento en</w:t>
      </w:r>
      <w:r w:rsidR="005065DB" w:rsidRPr="00A84B64">
        <w:rPr>
          <w:rFonts w:ascii="Verdana" w:hAnsi="Verdana" w:cs="Arial"/>
          <w:sz w:val="22"/>
          <w:szCs w:val="22"/>
        </w:rPr>
        <w:t xml:space="preserve"> el</w:t>
      </w:r>
      <w:r w:rsidR="00830BF1" w:rsidRPr="00A84B64">
        <w:rPr>
          <w:rFonts w:ascii="Verdana" w:hAnsi="Verdana" w:cs="Arial"/>
          <w:sz w:val="22"/>
          <w:szCs w:val="22"/>
        </w:rPr>
        <w:t xml:space="preserve"> dictamen emitido por la Junta Regional de Calificación de Invalidez</w:t>
      </w:r>
      <w:r w:rsidR="00054502" w:rsidRPr="00A84B64">
        <w:rPr>
          <w:rFonts w:ascii="Verdana" w:hAnsi="Verdana" w:cs="Arial"/>
          <w:sz w:val="22"/>
          <w:szCs w:val="22"/>
        </w:rPr>
        <w:t>,</w:t>
      </w:r>
      <w:r w:rsidR="006247A6" w:rsidRPr="00A84B64">
        <w:rPr>
          <w:rFonts w:ascii="Verdana" w:hAnsi="Verdana" w:cs="Arial"/>
          <w:sz w:val="22"/>
          <w:szCs w:val="22"/>
        </w:rPr>
        <w:t xml:space="preserve"> </w:t>
      </w:r>
      <w:r w:rsidR="00054502" w:rsidRPr="00A84B64">
        <w:rPr>
          <w:rFonts w:ascii="Verdana" w:hAnsi="Verdana" w:cs="Arial"/>
          <w:sz w:val="22"/>
          <w:szCs w:val="22"/>
        </w:rPr>
        <w:t>presentó una disminución total de capacidad laboral del 28,25%.</w:t>
      </w:r>
    </w:p>
    <w:p w14:paraId="7B54E178" w14:textId="77777777" w:rsidR="00942A8E" w:rsidRPr="00A84B64" w:rsidRDefault="00942A8E" w:rsidP="00830BF1">
      <w:pPr>
        <w:spacing w:line="360" w:lineRule="auto"/>
        <w:jc w:val="both"/>
        <w:rPr>
          <w:rFonts w:ascii="Verdana" w:hAnsi="Verdana" w:cs="Arial"/>
          <w:sz w:val="22"/>
          <w:szCs w:val="22"/>
        </w:rPr>
      </w:pPr>
    </w:p>
    <w:p w14:paraId="7EB580E2" w14:textId="645C711E" w:rsidR="00E14EB2" w:rsidRPr="00A84B64" w:rsidRDefault="00942A8E" w:rsidP="007D6FA7">
      <w:pPr>
        <w:spacing w:line="360" w:lineRule="auto"/>
        <w:jc w:val="both"/>
        <w:rPr>
          <w:rFonts w:ascii="Verdana" w:hAnsi="Verdana" w:cs="Arial"/>
          <w:sz w:val="22"/>
          <w:szCs w:val="22"/>
        </w:rPr>
      </w:pPr>
      <w:r w:rsidRPr="00A84B64">
        <w:rPr>
          <w:rFonts w:ascii="Verdana" w:hAnsi="Verdana" w:cs="Arial"/>
          <w:sz w:val="22"/>
          <w:szCs w:val="22"/>
        </w:rPr>
        <w:t>Así mismo, encontró demostrado que los demandantes en este proceso tienen un vínculo consanguíneo con el señor Ávila Gaitán y que la lesión que él sufrió les causó un daño antijurídico.</w:t>
      </w:r>
    </w:p>
    <w:p w14:paraId="496C8548" w14:textId="77777777" w:rsidR="00ED25FF" w:rsidRPr="00A84B64" w:rsidRDefault="00ED25FF" w:rsidP="007D6FA7">
      <w:pPr>
        <w:spacing w:line="360" w:lineRule="auto"/>
        <w:jc w:val="both"/>
        <w:rPr>
          <w:rFonts w:ascii="Verdana" w:hAnsi="Verdana" w:cs="Arial"/>
          <w:sz w:val="22"/>
          <w:szCs w:val="22"/>
        </w:rPr>
      </w:pPr>
    </w:p>
    <w:p w14:paraId="4BCE4899" w14:textId="17EBE9E2" w:rsidR="00320B22" w:rsidRPr="00A84B64" w:rsidRDefault="007D6FA7" w:rsidP="007D6FA7">
      <w:pPr>
        <w:spacing w:line="360" w:lineRule="auto"/>
        <w:jc w:val="both"/>
        <w:rPr>
          <w:rFonts w:ascii="Verdana" w:hAnsi="Verdana" w:cs="Arial"/>
          <w:color w:val="000000" w:themeColor="text1"/>
          <w:sz w:val="22"/>
          <w:szCs w:val="22"/>
        </w:rPr>
      </w:pPr>
      <w:r w:rsidRPr="00A84B64">
        <w:rPr>
          <w:rFonts w:ascii="Verdana" w:hAnsi="Verdana" w:cs="Arial"/>
          <w:sz w:val="22"/>
          <w:szCs w:val="22"/>
        </w:rPr>
        <w:t xml:space="preserve">Ahora </w:t>
      </w:r>
      <w:r w:rsidRPr="00A84B64">
        <w:rPr>
          <w:rFonts w:ascii="Verdana" w:hAnsi="Verdana" w:cs="Arial"/>
          <w:color w:val="000000" w:themeColor="text1"/>
          <w:sz w:val="22"/>
          <w:szCs w:val="22"/>
        </w:rPr>
        <w:t>bien</w:t>
      </w:r>
      <w:r w:rsidR="002A51DF" w:rsidRPr="00A84B64">
        <w:rPr>
          <w:rFonts w:ascii="Verdana" w:hAnsi="Verdana" w:cs="Arial"/>
          <w:color w:val="000000" w:themeColor="text1"/>
          <w:sz w:val="22"/>
          <w:szCs w:val="22"/>
        </w:rPr>
        <w:t>,</w:t>
      </w:r>
      <w:r w:rsidRPr="00A84B64">
        <w:rPr>
          <w:rFonts w:ascii="Verdana" w:hAnsi="Verdana" w:cs="Arial"/>
          <w:color w:val="000000" w:themeColor="text1"/>
          <w:sz w:val="22"/>
          <w:szCs w:val="22"/>
        </w:rPr>
        <w:t xml:space="preserve"> respecto a la imputación del daño </w:t>
      </w:r>
      <w:r w:rsidR="00C1581C" w:rsidRPr="00A84B64">
        <w:rPr>
          <w:rFonts w:ascii="Verdana" w:hAnsi="Verdana" w:cs="Arial"/>
          <w:color w:val="000000" w:themeColor="text1"/>
          <w:sz w:val="22"/>
          <w:szCs w:val="22"/>
        </w:rPr>
        <w:t>señaló que el señor Ávila Gaitán ingresó a prestar el servicio obligatorio como auxiliar bachiller en óptimas condiciones de salud y quedó bajo la custodia y guarda del INPEC</w:t>
      </w:r>
      <w:r w:rsidR="00320B22" w:rsidRPr="00A84B64">
        <w:rPr>
          <w:rFonts w:ascii="Verdana" w:hAnsi="Verdana" w:cs="Arial"/>
          <w:color w:val="000000" w:themeColor="text1"/>
          <w:sz w:val="22"/>
          <w:szCs w:val="22"/>
        </w:rPr>
        <w:t xml:space="preserve"> y en atención a órdenes de sus superiores realizó actividades de acondicionamiento físico </w:t>
      </w:r>
      <w:r w:rsidR="00864184" w:rsidRPr="00A84B64">
        <w:rPr>
          <w:rFonts w:ascii="Verdana" w:hAnsi="Verdana" w:cs="Arial"/>
          <w:color w:val="000000" w:themeColor="text1"/>
          <w:sz w:val="22"/>
          <w:szCs w:val="22"/>
        </w:rPr>
        <w:t>– partido de fútbol</w:t>
      </w:r>
      <w:r w:rsidR="00A458FD" w:rsidRPr="00A84B64">
        <w:rPr>
          <w:rFonts w:ascii="Verdana" w:hAnsi="Verdana" w:cs="Arial"/>
          <w:color w:val="000000" w:themeColor="text1"/>
          <w:sz w:val="22"/>
          <w:szCs w:val="22"/>
        </w:rPr>
        <w:t xml:space="preserve"> en una cancha improvisada </w:t>
      </w:r>
      <w:r w:rsidR="00A458FD" w:rsidRPr="00A84B64">
        <w:rPr>
          <w:rFonts w:ascii="Verdana" w:hAnsi="Verdana" w:cs="Arial"/>
          <w:sz w:val="22"/>
          <w:szCs w:val="22"/>
        </w:rPr>
        <w:t>ubicada en el patio donde se guardaban los carros del INPEC</w:t>
      </w:r>
      <w:r w:rsidR="00A458FD" w:rsidRPr="00A84B64">
        <w:rPr>
          <w:rFonts w:ascii="Verdana" w:hAnsi="Verdana" w:cs="Arial"/>
          <w:color w:val="000000" w:themeColor="text1"/>
          <w:sz w:val="22"/>
          <w:szCs w:val="22"/>
        </w:rPr>
        <w:t xml:space="preserve"> </w:t>
      </w:r>
      <w:r w:rsidR="00864184" w:rsidRPr="00A84B64">
        <w:rPr>
          <w:rFonts w:ascii="Verdana" w:hAnsi="Verdana" w:cs="Arial"/>
          <w:color w:val="000000" w:themeColor="text1"/>
          <w:sz w:val="22"/>
          <w:szCs w:val="22"/>
        </w:rPr>
        <w:t xml:space="preserve">- </w:t>
      </w:r>
      <w:r w:rsidR="00320B22" w:rsidRPr="00A84B64">
        <w:rPr>
          <w:rFonts w:ascii="Verdana" w:hAnsi="Verdana" w:cs="Arial"/>
          <w:color w:val="000000" w:themeColor="text1"/>
          <w:sz w:val="22"/>
          <w:szCs w:val="22"/>
        </w:rPr>
        <w:t>sufriendo una lesión de carácter permanente que le ocasionó pérdida de su capacidad laboral.</w:t>
      </w:r>
    </w:p>
    <w:p w14:paraId="4D018836" w14:textId="77777777" w:rsidR="00320B22" w:rsidRPr="00A84B64" w:rsidRDefault="00320B22" w:rsidP="007D6FA7">
      <w:pPr>
        <w:spacing w:line="360" w:lineRule="auto"/>
        <w:jc w:val="both"/>
        <w:rPr>
          <w:rFonts w:ascii="Verdana" w:hAnsi="Verdana" w:cs="Arial"/>
          <w:color w:val="000000" w:themeColor="text1"/>
          <w:sz w:val="22"/>
          <w:szCs w:val="22"/>
        </w:rPr>
      </w:pPr>
    </w:p>
    <w:p w14:paraId="7DEF7EF3" w14:textId="5E9F5B39" w:rsidR="007D6FA7" w:rsidRPr="00A84B64" w:rsidRDefault="00A458FD" w:rsidP="007D6FA7">
      <w:pPr>
        <w:spacing w:line="360" w:lineRule="auto"/>
        <w:jc w:val="both"/>
        <w:rPr>
          <w:rFonts w:ascii="Verdana" w:hAnsi="Verdana" w:cs="Arial"/>
          <w:color w:val="000000" w:themeColor="text1"/>
          <w:sz w:val="22"/>
          <w:szCs w:val="22"/>
        </w:rPr>
      </w:pPr>
      <w:r w:rsidRPr="00A84B64">
        <w:rPr>
          <w:rFonts w:ascii="Verdana" w:hAnsi="Verdana" w:cs="Arial"/>
          <w:color w:val="000000" w:themeColor="text1"/>
          <w:sz w:val="22"/>
          <w:szCs w:val="22"/>
        </w:rPr>
        <w:t xml:space="preserve">De acuerdo a lo anterior, adujo que se presentó una falla en el servicio </w:t>
      </w:r>
      <w:r w:rsidR="005850DB" w:rsidRPr="00A84B64">
        <w:rPr>
          <w:rFonts w:ascii="Verdana" w:hAnsi="Verdana" w:cs="Arial"/>
          <w:color w:val="000000" w:themeColor="text1"/>
          <w:sz w:val="22"/>
          <w:szCs w:val="22"/>
        </w:rPr>
        <w:t>atribuible a quien tenía la guardia y custodia del auxiliar bachiller</w:t>
      </w:r>
      <w:r w:rsidR="009A65AF" w:rsidRPr="00A84B64">
        <w:rPr>
          <w:rFonts w:ascii="Verdana" w:hAnsi="Verdana" w:cs="Arial"/>
          <w:color w:val="000000" w:themeColor="text1"/>
          <w:sz w:val="22"/>
          <w:szCs w:val="22"/>
        </w:rPr>
        <w:t>, esto es, al INPEC.</w:t>
      </w:r>
    </w:p>
    <w:p w14:paraId="5710A853" w14:textId="35165CDB" w:rsidR="002F02AC" w:rsidRPr="00A84B64" w:rsidRDefault="002F02AC" w:rsidP="007D6FA7">
      <w:pPr>
        <w:spacing w:line="360" w:lineRule="auto"/>
        <w:jc w:val="both"/>
        <w:rPr>
          <w:rFonts w:ascii="Verdana" w:hAnsi="Verdana" w:cs="Arial"/>
          <w:color w:val="000000" w:themeColor="text1"/>
          <w:sz w:val="22"/>
          <w:szCs w:val="22"/>
        </w:rPr>
      </w:pPr>
    </w:p>
    <w:p w14:paraId="35F51C32" w14:textId="3B3A820F" w:rsidR="002F02AC" w:rsidRPr="00A84B64" w:rsidRDefault="002448E6" w:rsidP="007D6FA7">
      <w:pPr>
        <w:spacing w:line="360" w:lineRule="auto"/>
        <w:jc w:val="both"/>
        <w:rPr>
          <w:rFonts w:ascii="Verdana" w:hAnsi="Verdana" w:cs="Arial"/>
          <w:sz w:val="22"/>
          <w:szCs w:val="22"/>
        </w:rPr>
      </w:pPr>
      <w:r w:rsidRPr="00A84B64">
        <w:rPr>
          <w:rFonts w:ascii="Verdana" w:hAnsi="Verdana" w:cs="Arial"/>
          <w:color w:val="000000" w:themeColor="text1"/>
          <w:sz w:val="22"/>
          <w:szCs w:val="22"/>
        </w:rPr>
        <w:t xml:space="preserve">De otro lado, </w:t>
      </w:r>
      <w:r w:rsidR="00985F2C" w:rsidRPr="00A84B64">
        <w:rPr>
          <w:rFonts w:ascii="Verdana" w:hAnsi="Verdana" w:cs="Arial"/>
          <w:color w:val="000000" w:themeColor="text1"/>
          <w:sz w:val="22"/>
          <w:szCs w:val="22"/>
        </w:rPr>
        <w:t>declar</w:t>
      </w:r>
      <w:r w:rsidRPr="00A84B64">
        <w:rPr>
          <w:rFonts w:ascii="Verdana" w:hAnsi="Verdana" w:cs="Arial"/>
          <w:color w:val="000000" w:themeColor="text1"/>
          <w:sz w:val="22"/>
          <w:szCs w:val="22"/>
        </w:rPr>
        <w:t xml:space="preserve">ó </w:t>
      </w:r>
      <w:r w:rsidR="00985F2C" w:rsidRPr="00A84B64">
        <w:rPr>
          <w:rFonts w:ascii="Verdana" w:hAnsi="Verdana" w:cs="Arial"/>
          <w:color w:val="000000" w:themeColor="text1"/>
          <w:sz w:val="22"/>
          <w:szCs w:val="22"/>
        </w:rPr>
        <w:t xml:space="preserve">probada la excepción de legitimación en la causa por pasiva propuesta por </w:t>
      </w:r>
      <w:r w:rsidRPr="00A84B64">
        <w:rPr>
          <w:rFonts w:ascii="Verdana" w:hAnsi="Verdana" w:cs="Arial"/>
          <w:color w:val="000000" w:themeColor="text1"/>
          <w:sz w:val="22"/>
          <w:szCs w:val="22"/>
        </w:rPr>
        <w:t>el Ministerio de Defensa – Ejército Nacional</w:t>
      </w:r>
      <w:r w:rsidR="00985F2C" w:rsidRPr="00A84B64">
        <w:rPr>
          <w:rFonts w:ascii="Verdana" w:hAnsi="Verdana" w:cs="Arial"/>
          <w:color w:val="000000" w:themeColor="text1"/>
          <w:sz w:val="22"/>
          <w:szCs w:val="22"/>
        </w:rPr>
        <w:t>,</w:t>
      </w:r>
      <w:r w:rsidRPr="00A84B64">
        <w:rPr>
          <w:rFonts w:ascii="Verdana" w:hAnsi="Verdana" w:cs="Arial"/>
          <w:color w:val="000000" w:themeColor="text1"/>
          <w:sz w:val="22"/>
          <w:szCs w:val="22"/>
        </w:rPr>
        <w:t xml:space="preserve"> teniendo en cuenta que </w:t>
      </w:r>
      <w:r w:rsidR="00985F2C" w:rsidRPr="00A84B64">
        <w:rPr>
          <w:rFonts w:ascii="Verdana" w:hAnsi="Verdana" w:cs="Arial"/>
          <w:color w:val="000000" w:themeColor="text1"/>
          <w:sz w:val="22"/>
          <w:szCs w:val="22"/>
        </w:rPr>
        <w:t xml:space="preserve">si bien esta entidad tiene la función de inscripción y reclutamiento de los auxiliares bachilleres que prestan el servicio militar obligatorio en el Cuerpo de Custodia y Vigilancia Penitenciaria Nacional, </w:t>
      </w:r>
      <w:r w:rsidR="00077182" w:rsidRPr="00A84B64">
        <w:rPr>
          <w:rFonts w:ascii="Verdana" w:hAnsi="Verdana" w:cs="Arial"/>
          <w:color w:val="000000" w:themeColor="text1"/>
          <w:sz w:val="22"/>
          <w:szCs w:val="22"/>
        </w:rPr>
        <w:t xml:space="preserve">el personal auxiliar que presta el </w:t>
      </w:r>
      <w:r w:rsidR="00077182" w:rsidRPr="00A84B64">
        <w:rPr>
          <w:rFonts w:ascii="Verdana" w:hAnsi="Verdana" w:cs="Arial"/>
          <w:color w:val="000000" w:themeColor="text1"/>
          <w:sz w:val="22"/>
          <w:szCs w:val="22"/>
        </w:rPr>
        <w:lastRenderedPageBreak/>
        <w:t>servicio militar obligatorio queda bajo el mando, jurisdicción y administración del INPEC.</w:t>
      </w:r>
    </w:p>
    <w:p w14:paraId="67E61F78" w14:textId="77777777" w:rsidR="002A51DF" w:rsidRPr="00A84B64" w:rsidRDefault="002A51DF" w:rsidP="007D6FA7">
      <w:pPr>
        <w:spacing w:line="360" w:lineRule="auto"/>
        <w:jc w:val="both"/>
        <w:rPr>
          <w:rFonts w:ascii="Verdana" w:hAnsi="Verdana" w:cs="Arial"/>
          <w:sz w:val="22"/>
          <w:szCs w:val="22"/>
        </w:rPr>
      </w:pPr>
    </w:p>
    <w:p w14:paraId="5019BF44" w14:textId="180DC5A9" w:rsidR="00D46309" w:rsidRPr="00A84B64" w:rsidRDefault="002A51DF" w:rsidP="004E5B27">
      <w:pPr>
        <w:spacing w:line="360" w:lineRule="auto"/>
        <w:jc w:val="both"/>
        <w:rPr>
          <w:rFonts w:ascii="Verdana" w:hAnsi="Verdana" w:cs="Arial"/>
          <w:sz w:val="22"/>
          <w:szCs w:val="22"/>
        </w:rPr>
      </w:pPr>
      <w:r w:rsidRPr="00A84B64">
        <w:rPr>
          <w:rFonts w:ascii="Verdana" w:hAnsi="Verdana" w:cs="Arial"/>
          <w:sz w:val="22"/>
          <w:szCs w:val="22"/>
        </w:rPr>
        <w:t xml:space="preserve">Respecto a </w:t>
      </w:r>
      <w:r w:rsidR="00EA6CCF" w:rsidRPr="00A84B64">
        <w:rPr>
          <w:rFonts w:ascii="Verdana" w:hAnsi="Verdana" w:cs="Arial"/>
          <w:sz w:val="22"/>
          <w:szCs w:val="22"/>
        </w:rPr>
        <w:t xml:space="preserve">la Aseguradora </w:t>
      </w:r>
      <w:r w:rsidRPr="00A84B64">
        <w:rPr>
          <w:rFonts w:ascii="Verdana" w:hAnsi="Verdana" w:cs="Arial"/>
          <w:sz w:val="22"/>
          <w:szCs w:val="22"/>
        </w:rPr>
        <w:t xml:space="preserve">MAPFRE </w:t>
      </w:r>
      <w:r w:rsidR="00EA6CCF" w:rsidRPr="00A84B64">
        <w:rPr>
          <w:rFonts w:ascii="Verdana" w:hAnsi="Verdana" w:cs="Arial"/>
          <w:sz w:val="22"/>
          <w:szCs w:val="22"/>
        </w:rPr>
        <w:t>adujo</w:t>
      </w:r>
      <w:r w:rsidRPr="00A84B64">
        <w:rPr>
          <w:rFonts w:ascii="Verdana" w:hAnsi="Verdana" w:cs="Arial"/>
          <w:sz w:val="22"/>
          <w:szCs w:val="22"/>
        </w:rPr>
        <w:t xml:space="preserve"> que</w:t>
      </w:r>
      <w:r w:rsidR="00EA6CCF" w:rsidRPr="00A84B64">
        <w:rPr>
          <w:rFonts w:ascii="Verdana" w:hAnsi="Verdana" w:cs="Arial"/>
          <w:sz w:val="22"/>
          <w:szCs w:val="22"/>
        </w:rPr>
        <w:t xml:space="preserve"> se acreditó que</w:t>
      </w:r>
      <w:r w:rsidRPr="00A84B64">
        <w:rPr>
          <w:rFonts w:ascii="Verdana" w:hAnsi="Verdana" w:cs="Arial"/>
          <w:sz w:val="22"/>
          <w:szCs w:val="22"/>
        </w:rPr>
        <w:t xml:space="preserve"> atendió los servicios médicos contemplados en las pólizas suscritas con el INPEC</w:t>
      </w:r>
      <w:r w:rsidR="00D46309" w:rsidRPr="00A84B64">
        <w:rPr>
          <w:rFonts w:ascii="Verdana" w:hAnsi="Verdana" w:cs="Arial"/>
          <w:sz w:val="22"/>
          <w:szCs w:val="22"/>
        </w:rPr>
        <w:t>, evidenciando ausencia de responsabilidad de esta entidad, razón por la cual declaró probada la excepción de “imposibilidad de afectar la póliza de seguro de salud colectivo vital por ser las pretensiones dirigidas a obtener indemnización de perjuicios”.</w:t>
      </w:r>
    </w:p>
    <w:p w14:paraId="435914A3" w14:textId="77777777" w:rsidR="00D46309" w:rsidRPr="00A84B64" w:rsidRDefault="00D46309" w:rsidP="004E5B27">
      <w:pPr>
        <w:spacing w:line="360" w:lineRule="auto"/>
        <w:jc w:val="both"/>
        <w:rPr>
          <w:rFonts w:ascii="Verdana" w:hAnsi="Verdana" w:cs="Arial"/>
          <w:sz w:val="22"/>
          <w:szCs w:val="22"/>
        </w:rPr>
      </w:pPr>
    </w:p>
    <w:p w14:paraId="3E99E4DC" w14:textId="49AD0B63" w:rsidR="000756C5" w:rsidRPr="00A84B64" w:rsidRDefault="00D46309" w:rsidP="000756C5">
      <w:pPr>
        <w:spacing w:line="360" w:lineRule="auto"/>
        <w:jc w:val="both"/>
        <w:rPr>
          <w:rFonts w:ascii="Verdana" w:hAnsi="Verdana" w:cs="Arial"/>
          <w:sz w:val="22"/>
          <w:szCs w:val="22"/>
        </w:rPr>
      </w:pPr>
      <w:r w:rsidRPr="00A84B64">
        <w:rPr>
          <w:rFonts w:ascii="Verdana" w:hAnsi="Verdana" w:cs="Arial"/>
          <w:sz w:val="22"/>
          <w:szCs w:val="22"/>
        </w:rPr>
        <w:t>En cuanto a Seguros de Vida del Estado S.A.</w:t>
      </w:r>
      <w:r w:rsidR="00155C29" w:rsidRPr="00A84B64">
        <w:rPr>
          <w:rFonts w:ascii="Verdana" w:hAnsi="Verdana" w:cs="Arial"/>
          <w:sz w:val="22"/>
          <w:szCs w:val="22"/>
        </w:rPr>
        <w:t xml:space="preserve">, </w:t>
      </w:r>
      <w:r w:rsidRPr="00A84B64">
        <w:rPr>
          <w:rFonts w:ascii="Verdana" w:hAnsi="Verdana" w:cs="Arial"/>
          <w:sz w:val="22"/>
          <w:szCs w:val="22"/>
        </w:rPr>
        <w:t>la juez de primera instancia</w:t>
      </w:r>
      <w:r w:rsidR="000756C5" w:rsidRPr="00A84B64">
        <w:rPr>
          <w:rFonts w:ascii="Verdana" w:hAnsi="Verdana" w:cs="Arial"/>
          <w:sz w:val="22"/>
          <w:szCs w:val="22"/>
        </w:rPr>
        <w:t xml:space="preserve"> señaló que para el día de los hechos de la demanda se</w:t>
      </w:r>
      <w:r w:rsidR="007A18B6" w:rsidRPr="00A84B64">
        <w:rPr>
          <w:rFonts w:ascii="Verdana" w:hAnsi="Verdana" w:cs="Arial"/>
          <w:sz w:val="22"/>
          <w:szCs w:val="22"/>
        </w:rPr>
        <w:t xml:space="preserve"> encontraban</w:t>
      </w:r>
      <w:r w:rsidR="000756C5" w:rsidRPr="00A84B64">
        <w:rPr>
          <w:rFonts w:ascii="Verdana" w:hAnsi="Verdana" w:cs="Arial"/>
          <w:sz w:val="22"/>
          <w:szCs w:val="22"/>
        </w:rPr>
        <w:t xml:space="preserve"> vigente</w:t>
      </w:r>
      <w:r w:rsidR="007A18B6" w:rsidRPr="00A84B64">
        <w:rPr>
          <w:rFonts w:ascii="Verdana" w:hAnsi="Verdana" w:cs="Arial"/>
          <w:sz w:val="22"/>
          <w:szCs w:val="22"/>
        </w:rPr>
        <w:t>s</w:t>
      </w:r>
      <w:r w:rsidR="000756C5" w:rsidRPr="00A84B64">
        <w:rPr>
          <w:rFonts w:ascii="Verdana" w:hAnsi="Verdana" w:cs="Arial"/>
          <w:sz w:val="22"/>
          <w:szCs w:val="22"/>
        </w:rPr>
        <w:t xml:space="preserve"> la póliza de vida grupo No. 21-71-1000000479 y la póliza de grupo No.21-7-1000000481</w:t>
      </w:r>
      <w:r w:rsidR="007208FB" w:rsidRPr="00A84B64">
        <w:rPr>
          <w:rFonts w:ascii="Verdana" w:hAnsi="Verdana" w:cs="Arial"/>
          <w:sz w:val="22"/>
          <w:szCs w:val="22"/>
        </w:rPr>
        <w:t>,</w:t>
      </w:r>
      <w:r w:rsidR="000756C5" w:rsidRPr="00A84B64">
        <w:rPr>
          <w:rFonts w:ascii="Verdana" w:hAnsi="Verdana" w:cs="Arial"/>
          <w:sz w:val="22"/>
          <w:szCs w:val="22"/>
        </w:rPr>
        <w:t xml:space="preserve"> suscritas </w:t>
      </w:r>
      <w:r w:rsidR="007208FB" w:rsidRPr="00A84B64">
        <w:rPr>
          <w:rFonts w:ascii="Verdana" w:hAnsi="Verdana" w:cs="Arial"/>
          <w:sz w:val="22"/>
          <w:szCs w:val="22"/>
        </w:rPr>
        <w:t xml:space="preserve">por esta aseguradora </w:t>
      </w:r>
      <w:r w:rsidR="000756C5" w:rsidRPr="00A84B64">
        <w:rPr>
          <w:rFonts w:ascii="Verdana" w:hAnsi="Verdana" w:cs="Arial"/>
          <w:sz w:val="22"/>
          <w:szCs w:val="22"/>
        </w:rPr>
        <w:t xml:space="preserve">con el INPEC, </w:t>
      </w:r>
      <w:r w:rsidR="007208FB" w:rsidRPr="00A84B64">
        <w:rPr>
          <w:rFonts w:ascii="Verdana" w:hAnsi="Verdana" w:cs="Arial"/>
          <w:sz w:val="22"/>
          <w:szCs w:val="22"/>
        </w:rPr>
        <w:t>las cuales entre otras cosas, amparaban</w:t>
      </w:r>
      <w:r w:rsidR="000756C5" w:rsidRPr="00A84B64">
        <w:rPr>
          <w:rFonts w:ascii="Verdana" w:hAnsi="Verdana" w:cs="Arial"/>
          <w:sz w:val="22"/>
          <w:szCs w:val="22"/>
        </w:rPr>
        <w:t xml:space="preserve"> aseguraban </w:t>
      </w:r>
      <w:r w:rsidR="007208FB" w:rsidRPr="00A84B64">
        <w:rPr>
          <w:rFonts w:ascii="Verdana" w:hAnsi="Verdana" w:cs="Arial"/>
          <w:sz w:val="22"/>
          <w:szCs w:val="22"/>
        </w:rPr>
        <w:t>la pérdida de capacidad laboral relativa o permanente inferior al 75% y la pérdida de capacidad laboral adquirida como consecuencia de actos de servicio</w:t>
      </w:r>
      <w:r w:rsidR="007A18B6" w:rsidRPr="00A84B64">
        <w:rPr>
          <w:rFonts w:ascii="Verdana" w:hAnsi="Verdana" w:cs="Arial"/>
          <w:sz w:val="22"/>
          <w:szCs w:val="22"/>
        </w:rPr>
        <w:t xml:space="preserve">, como lo es la realización de ejercicios colectivos con el fin de mantener la capacidad física y psicológica de los soldados, auxiliares bachilleres, dragoneantes, etc. </w:t>
      </w:r>
    </w:p>
    <w:p w14:paraId="0E9AB3D4" w14:textId="77777777" w:rsidR="007A18B6" w:rsidRPr="00A84B64" w:rsidRDefault="007A18B6" w:rsidP="000756C5">
      <w:pPr>
        <w:spacing w:line="360" w:lineRule="auto"/>
        <w:jc w:val="both"/>
        <w:rPr>
          <w:rFonts w:ascii="Verdana" w:hAnsi="Verdana" w:cs="Arial"/>
          <w:sz w:val="22"/>
          <w:szCs w:val="22"/>
        </w:rPr>
      </w:pPr>
    </w:p>
    <w:p w14:paraId="02522DB7" w14:textId="75B16752" w:rsidR="00AB771E" w:rsidRPr="00A84B64" w:rsidRDefault="007A18B6" w:rsidP="004E5B27">
      <w:pPr>
        <w:spacing w:line="360" w:lineRule="auto"/>
        <w:jc w:val="both"/>
        <w:rPr>
          <w:rFonts w:ascii="Verdana" w:hAnsi="Verdana" w:cs="Arial"/>
          <w:sz w:val="22"/>
          <w:szCs w:val="22"/>
        </w:rPr>
      </w:pPr>
      <w:r w:rsidRPr="00A84B64">
        <w:rPr>
          <w:rFonts w:ascii="Verdana" w:hAnsi="Verdana" w:cs="Arial"/>
          <w:sz w:val="22"/>
          <w:szCs w:val="22"/>
        </w:rPr>
        <w:t>S</w:t>
      </w:r>
      <w:r w:rsidR="00D46309" w:rsidRPr="00A84B64">
        <w:rPr>
          <w:rFonts w:ascii="Verdana" w:hAnsi="Verdana" w:cs="Arial"/>
          <w:sz w:val="22"/>
          <w:szCs w:val="22"/>
        </w:rPr>
        <w:t xml:space="preserve">ostuvo que </w:t>
      </w:r>
      <w:r w:rsidRPr="00A84B64">
        <w:rPr>
          <w:rFonts w:ascii="Verdana" w:hAnsi="Verdana" w:cs="Arial"/>
          <w:sz w:val="22"/>
          <w:szCs w:val="22"/>
        </w:rPr>
        <w:t xml:space="preserve">procesalmente la vinculación de Seguros de Vida del Estado S.A. </w:t>
      </w:r>
      <w:r w:rsidR="000756C5" w:rsidRPr="00A84B64">
        <w:rPr>
          <w:rFonts w:ascii="Verdana" w:hAnsi="Verdana" w:cs="Arial"/>
          <w:sz w:val="22"/>
          <w:szCs w:val="22"/>
        </w:rPr>
        <w:t>corresponde a un llamado en garantía y no a un litisconsorte necesario, no obstante, como se vinculó bajo la última figura, declaró la responsabilidad solidaria de esta entidad y el INPEC, a efectos de que la aseguradora en mención respond</w:t>
      </w:r>
      <w:r w:rsidRPr="00A84B64">
        <w:rPr>
          <w:rFonts w:ascii="Verdana" w:hAnsi="Verdana" w:cs="Arial"/>
          <w:sz w:val="22"/>
          <w:szCs w:val="22"/>
        </w:rPr>
        <w:t>iera</w:t>
      </w:r>
      <w:r w:rsidR="000756C5" w:rsidRPr="00A84B64">
        <w:rPr>
          <w:rFonts w:ascii="Verdana" w:hAnsi="Verdana" w:cs="Arial"/>
          <w:sz w:val="22"/>
          <w:szCs w:val="22"/>
        </w:rPr>
        <w:t xml:space="preserve"> por el monto de las pólizas suscritas</w:t>
      </w:r>
      <w:r w:rsidR="002F12FC" w:rsidRPr="00A84B64">
        <w:rPr>
          <w:rFonts w:ascii="Verdana" w:hAnsi="Verdana" w:cs="Arial"/>
          <w:sz w:val="22"/>
          <w:szCs w:val="22"/>
        </w:rPr>
        <w:t>, toda vez que la omisión que se imputó como causante del daño se produjo durante la vigencia de las pólizas relacionadas en precedencia.</w:t>
      </w:r>
    </w:p>
    <w:p w14:paraId="25B08745" w14:textId="77777777" w:rsidR="00307946" w:rsidRPr="00A84B64" w:rsidRDefault="00307946" w:rsidP="004E5B27">
      <w:pPr>
        <w:spacing w:line="360" w:lineRule="auto"/>
        <w:jc w:val="both"/>
        <w:rPr>
          <w:rFonts w:ascii="Verdana" w:hAnsi="Verdana" w:cs="Arial"/>
          <w:sz w:val="22"/>
          <w:szCs w:val="22"/>
        </w:rPr>
      </w:pPr>
    </w:p>
    <w:p w14:paraId="609DD468" w14:textId="74715A83" w:rsidR="004C773C" w:rsidRPr="00A84B64" w:rsidRDefault="004C773C" w:rsidP="004C773C">
      <w:pPr>
        <w:spacing w:line="360" w:lineRule="auto"/>
        <w:ind w:left="708"/>
        <w:jc w:val="both"/>
        <w:rPr>
          <w:rFonts w:ascii="Verdana" w:hAnsi="Verdana"/>
          <w:b/>
          <w:sz w:val="22"/>
          <w:szCs w:val="22"/>
        </w:rPr>
      </w:pPr>
      <w:r w:rsidRPr="00A84B64">
        <w:rPr>
          <w:rFonts w:ascii="Verdana" w:hAnsi="Verdana"/>
          <w:b/>
          <w:sz w:val="22"/>
          <w:szCs w:val="22"/>
        </w:rPr>
        <w:t>2.</w:t>
      </w:r>
      <w:r w:rsidR="009A65AF" w:rsidRPr="00A84B64">
        <w:rPr>
          <w:rFonts w:ascii="Verdana" w:hAnsi="Verdana"/>
          <w:b/>
          <w:sz w:val="22"/>
          <w:szCs w:val="22"/>
        </w:rPr>
        <w:t>3</w:t>
      </w:r>
      <w:r w:rsidRPr="00A84B64">
        <w:rPr>
          <w:rFonts w:ascii="Verdana" w:hAnsi="Verdana"/>
          <w:b/>
          <w:sz w:val="22"/>
          <w:szCs w:val="22"/>
        </w:rPr>
        <w:t>. RECURSOS DE APELACIÓN:</w:t>
      </w:r>
    </w:p>
    <w:p w14:paraId="21EA860E" w14:textId="77777777" w:rsidR="004C773C" w:rsidRPr="00A84B64" w:rsidRDefault="004C773C" w:rsidP="004C773C">
      <w:pPr>
        <w:spacing w:line="360" w:lineRule="auto"/>
        <w:ind w:left="708"/>
        <w:jc w:val="both"/>
        <w:rPr>
          <w:rFonts w:ascii="Verdana" w:hAnsi="Verdana"/>
          <w:b/>
          <w:sz w:val="24"/>
          <w:szCs w:val="24"/>
        </w:rPr>
      </w:pPr>
    </w:p>
    <w:p w14:paraId="3D258C9F" w14:textId="64BB3ECD" w:rsidR="004C773C" w:rsidRPr="00A84B64" w:rsidRDefault="004C773C" w:rsidP="004C773C">
      <w:pPr>
        <w:spacing w:line="360" w:lineRule="auto"/>
        <w:jc w:val="both"/>
        <w:rPr>
          <w:rFonts w:ascii="Verdana" w:hAnsi="Verdana" w:cs="Arial"/>
          <w:b/>
          <w:sz w:val="22"/>
          <w:szCs w:val="22"/>
        </w:rPr>
      </w:pPr>
      <w:r w:rsidRPr="00A84B64">
        <w:rPr>
          <w:rFonts w:ascii="Verdana" w:hAnsi="Verdana"/>
          <w:b/>
          <w:sz w:val="22"/>
          <w:szCs w:val="22"/>
        </w:rPr>
        <w:t>2.</w:t>
      </w:r>
      <w:r w:rsidR="009A65AF" w:rsidRPr="00A84B64">
        <w:rPr>
          <w:rFonts w:ascii="Verdana" w:hAnsi="Verdana"/>
          <w:b/>
          <w:sz w:val="22"/>
          <w:szCs w:val="22"/>
        </w:rPr>
        <w:t>3</w:t>
      </w:r>
      <w:r w:rsidRPr="00A84B64">
        <w:rPr>
          <w:rFonts w:ascii="Verdana" w:hAnsi="Verdana"/>
          <w:b/>
          <w:sz w:val="22"/>
          <w:szCs w:val="22"/>
        </w:rPr>
        <w:t>.1.</w:t>
      </w:r>
      <w:r w:rsidRPr="00A84B64">
        <w:rPr>
          <w:rFonts w:ascii="Verdana" w:hAnsi="Verdana" w:cs="Arial"/>
          <w:b/>
          <w:sz w:val="22"/>
          <w:szCs w:val="22"/>
        </w:rPr>
        <w:t xml:space="preserve">  </w:t>
      </w:r>
      <w:r w:rsidR="009A65AF" w:rsidRPr="00A84B64">
        <w:rPr>
          <w:rFonts w:ascii="Verdana" w:hAnsi="Verdana" w:cs="Arial"/>
          <w:b/>
          <w:sz w:val="22"/>
          <w:szCs w:val="22"/>
        </w:rPr>
        <w:t xml:space="preserve">Parte </w:t>
      </w:r>
      <w:r w:rsidRPr="00A84B64">
        <w:rPr>
          <w:rFonts w:ascii="Verdana" w:hAnsi="Verdana" w:cs="Arial"/>
          <w:b/>
          <w:sz w:val="22"/>
          <w:szCs w:val="22"/>
        </w:rPr>
        <w:t>Demandante (</w:t>
      </w:r>
      <w:proofErr w:type="spellStart"/>
      <w:r w:rsidR="004B5FE6" w:rsidRPr="00A84B64">
        <w:rPr>
          <w:rFonts w:ascii="Verdana" w:hAnsi="Verdana" w:cs="Arial"/>
          <w:b/>
          <w:sz w:val="22"/>
          <w:szCs w:val="22"/>
        </w:rPr>
        <w:t>fls</w:t>
      </w:r>
      <w:proofErr w:type="spellEnd"/>
      <w:r w:rsidR="004B5FE6" w:rsidRPr="00A84B64">
        <w:rPr>
          <w:rFonts w:ascii="Verdana" w:hAnsi="Verdana" w:cs="Arial"/>
          <w:b/>
          <w:sz w:val="22"/>
          <w:szCs w:val="22"/>
        </w:rPr>
        <w:t>. 977 a 999</w:t>
      </w:r>
      <w:r w:rsidRPr="00A84B64">
        <w:rPr>
          <w:rFonts w:ascii="Verdana" w:hAnsi="Verdana" w:cs="Arial"/>
          <w:b/>
          <w:sz w:val="22"/>
          <w:szCs w:val="22"/>
        </w:rPr>
        <w:t>)</w:t>
      </w:r>
    </w:p>
    <w:p w14:paraId="7E6527E5" w14:textId="77777777" w:rsidR="004B5FE6" w:rsidRPr="00A84B64" w:rsidRDefault="004B5FE6" w:rsidP="004C773C">
      <w:pPr>
        <w:spacing w:line="360" w:lineRule="auto"/>
        <w:jc w:val="both"/>
        <w:rPr>
          <w:rFonts w:ascii="Verdana" w:hAnsi="Verdana" w:cs="Arial"/>
          <w:b/>
          <w:sz w:val="22"/>
          <w:szCs w:val="22"/>
        </w:rPr>
      </w:pPr>
    </w:p>
    <w:p w14:paraId="38735723" w14:textId="03B92E96" w:rsidR="00796B8E" w:rsidRPr="00A84B64" w:rsidRDefault="004C773C" w:rsidP="00796B8E">
      <w:pPr>
        <w:spacing w:line="360" w:lineRule="auto"/>
        <w:jc w:val="both"/>
        <w:rPr>
          <w:rFonts w:ascii="Verdana" w:hAnsi="Verdana" w:cs="Arial"/>
          <w:sz w:val="22"/>
          <w:szCs w:val="22"/>
        </w:rPr>
      </w:pPr>
      <w:r w:rsidRPr="00A84B64">
        <w:rPr>
          <w:rFonts w:ascii="Verdana" w:hAnsi="Verdana" w:cs="Arial"/>
          <w:sz w:val="22"/>
          <w:szCs w:val="22"/>
        </w:rPr>
        <w:t xml:space="preserve">Inconforme con la decisión </w:t>
      </w:r>
      <w:r w:rsidR="004B5FE6" w:rsidRPr="00A84B64">
        <w:rPr>
          <w:rFonts w:ascii="Verdana" w:hAnsi="Verdana" w:cs="Arial"/>
          <w:sz w:val="22"/>
          <w:szCs w:val="22"/>
        </w:rPr>
        <w:t>de primera instancia</w:t>
      </w:r>
      <w:r w:rsidRPr="00A84B64">
        <w:rPr>
          <w:rFonts w:ascii="Verdana" w:hAnsi="Verdana" w:cs="Arial"/>
          <w:sz w:val="22"/>
          <w:szCs w:val="22"/>
        </w:rPr>
        <w:t xml:space="preserve">, la parte demandante presentó recurso de apelación, solicitando </w:t>
      </w:r>
      <w:r w:rsidR="004B5FE6" w:rsidRPr="00A84B64">
        <w:rPr>
          <w:rFonts w:ascii="Verdana" w:hAnsi="Verdana" w:cs="Arial"/>
          <w:sz w:val="22"/>
          <w:szCs w:val="22"/>
        </w:rPr>
        <w:t xml:space="preserve">su </w:t>
      </w:r>
      <w:r w:rsidRPr="00A84B64">
        <w:rPr>
          <w:rFonts w:ascii="Verdana" w:hAnsi="Verdana" w:cs="Arial"/>
          <w:sz w:val="22"/>
          <w:szCs w:val="22"/>
        </w:rPr>
        <w:t xml:space="preserve">modificación </w:t>
      </w:r>
      <w:r w:rsidR="004B5FE6" w:rsidRPr="00A84B64">
        <w:rPr>
          <w:rFonts w:ascii="Verdana" w:hAnsi="Verdana" w:cs="Arial"/>
          <w:sz w:val="22"/>
          <w:szCs w:val="22"/>
        </w:rPr>
        <w:t>a efectos de para conceder</w:t>
      </w:r>
      <w:r w:rsidRPr="00A84B64">
        <w:rPr>
          <w:rFonts w:ascii="Verdana" w:hAnsi="Verdana" w:cs="Arial"/>
          <w:sz w:val="22"/>
          <w:szCs w:val="22"/>
        </w:rPr>
        <w:t xml:space="preserve"> la indemnización por lucro cesante consolidado,</w:t>
      </w:r>
      <w:r w:rsidR="004B5FE6" w:rsidRPr="00A84B64">
        <w:rPr>
          <w:rFonts w:ascii="Verdana" w:hAnsi="Verdana" w:cs="Arial"/>
          <w:sz w:val="22"/>
          <w:szCs w:val="22"/>
        </w:rPr>
        <w:t xml:space="preserve"> causado desde el 11 de junio de 2016 (fecha de causación del daño) hasta el </w:t>
      </w:r>
      <w:r w:rsidR="00796B8E" w:rsidRPr="00A84B64">
        <w:rPr>
          <w:rFonts w:ascii="Verdana" w:hAnsi="Verdana" w:cs="Arial"/>
          <w:sz w:val="22"/>
          <w:szCs w:val="22"/>
        </w:rPr>
        <w:t>hasta el 26 de junio de 2020 (fecha de la sentencia de primera instancia),</w:t>
      </w:r>
      <w:r w:rsidRPr="00A84B64">
        <w:rPr>
          <w:rFonts w:ascii="Verdana" w:hAnsi="Verdana" w:cs="Arial"/>
          <w:sz w:val="22"/>
          <w:szCs w:val="22"/>
        </w:rPr>
        <w:t xml:space="preserve"> pues, </w:t>
      </w:r>
      <w:r w:rsidR="00796B8E" w:rsidRPr="00A84B64">
        <w:rPr>
          <w:rFonts w:ascii="Verdana" w:hAnsi="Verdana" w:cs="Arial"/>
          <w:sz w:val="22"/>
          <w:szCs w:val="22"/>
        </w:rPr>
        <w:t xml:space="preserve">en su criterio, fue denegado a pesar </w:t>
      </w:r>
      <w:r w:rsidR="00796B8E" w:rsidRPr="00A84B64">
        <w:rPr>
          <w:rFonts w:ascii="Verdana" w:hAnsi="Verdana" w:cs="Arial"/>
          <w:sz w:val="22"/>
          <w:szCs w:val="22"/>
        </w:rPr>
        <w:lastRenderedPageBreak/>
        <w:t>de encontrarse probado en el proceso y haberse pedido la indemnización integral</w:t>
      </w:r>
      <w:r w:rsidR="005808B8" w:rsidRPr="00A84B64">
        <w:rPr>
          <w:rFonts w:ascii="Verdana" w:hAnsi="Verdana" w:cs="Arial"/>
          <w:sz w:val="22"/>
          <w:szCs w:val="22"/>
        </w:rPr>
        <w:t xml:space="preserve"> de perjuicios</w:t>
      </w:r>
      <w:r w:rsidR="00796B8E" w:rsidRPr="00A84B64">
        <w:rPr>
          <w:rFonts w:ascii="Verdana" w:hAnsi="Verdana" w:cs="Arial"/>
          <w:sz w:val="22"/>
          <w:szCs w:val="22"/>
        </w:rPr>
        <w:t>.</w:t>
      </w:r>
    </w:p>
    <w:p w14:paraId="0109B78A" w14:textId="77777777" w:rsidR="00796B8E" w:rsidRPr="00A84B64" w:rsidRDefault="00796B8E" w:rsidP="00796B8E">
      <w:pPr>
        <w:spacing w:line="360" w:lineRule="auto"/>
        <w:jc w:val="both"/>
        <w:rPr>
          <w:rFonts w:ascii="Verdana" w:hAnsi="Verdana" w:cs="Arial"/>
          <w:sz w:val="22"/>
          <w:szCs w:val="22"/>
        </w:rPr>
      </w:pPr>
    </w:p>
    <w:p w14:paraId="649078D1" w14:textId="61E6CA33" w:rsidR="004C773C" w:rsidRPr="00A84B64" w:rsidRDefault="00E770BA" w:rsidP="0074246C">
      <w:pPr>
        <w:spacing w:line="360" w:lineRule="auto"/>
        <w:jc w:val="both"/>
        <w:rPr>
          <w:rFonts w:ascii="Verdana" w:hAnsi="Verdana" w:cs="Arial"/>
          <w:sz w:val="22"/>
          <w:szCs w:val="22"/>
        </w:rPr>
      </w:pPr>
      <w:r w:rsidRPr="00A84B64">
        <w:rPr>
          <w:rFonts w:ascii="Verdana" w:hAnsi="Verdana" w:cs="Arial"/>
          <w:sz w:val="22"/>
          <w:szCs w:val="22"/>
        </w:rPr>
        <w:t>Adujo que e</w:t>
      </w:r>
      <w:r w:rsidR="004C773C" w:rsidRPr="00A84B64">
        <w:rPr>
          <w:rFonts w:ascii="Verdana" w:hAnsi="Verdana" w:cs="Arial"/>
          <w:sz w:val="22"/>
          <w:szCs w:val="22"/>
        </w:rPr>
        <w:t>l</w:t>
      </w:r>
      <w:r w:rsidRPr="00A84B64">
        <w:rPr>
          <w:rFonts w:ascii="Verdana" w:hAnsi="Verdana" w:cs="Arial"/>
          <w:sz w:val="22"/>
          <w:szCs w:val="22"/>
        </w:rPr>
        <w:t xml:space="preserve"> derecho a la reparación integral de las víctimas de las lesiones imputables a los agentes del Estado</w:t>
      </w:r>
      <w:r w:rsidR="00F421DE" w:rsidRPr="00A84B64">
        <w:rPr>
          <w:rFonts w:ascii="Verdana" w:hAnsi="Verdana" w:cs="Arial"/>
          <w:sz w:val="22"/>
          <w:szCs w:val="22"/>
        </w:rPr>
        <w:t xml:space="preserve"> </w:t>
      </w:r>
      <w:r w:rsidRPr="00A84B64">
        <w:rPr>
          <w:rFonts w:ascii="Verdana" w:hAnsi="Verdana" w:cs="Arial"/>
          <w:sz w:val="22"/>
          <w:szCs w:val="22"/>
        </w:rPr>
        <w:t>reviste un carácter de derecho fundamental constitucional, que</w:t>
      </w:r>
      <w:r w:rsidR="004C773C" w:rsidRPr="00A84B64">
        <w:rPr>
          <w:rFonts w:ascii="Verdana" w:hAnsi="Verdana" w:cs="Arial"/>
          <w:sz w:val="22"/>
          <w:szCs w:val="22"/>
        </w:rPr>
        <w:t xml:space="preserve"> no puede ser </w:t>
      </w:r>
      <w:r w:rsidRPr="00A84B64">
        <w:rPr>
          <w:rFonts w:ascii="Verdana" w:hAnsi="Verdana" w:cs="Arial"/>
          <w:sz w:val="22"/>
          <w:szCs w:val="22"/>
        </w:rPr>
        <w:t xml:space="preserve">negado, </w:t>
      </w:r>
      <w:r w:rsidR="004C773C" w:rsidRPr="00A84B64">
        <w:rPr>
          <w:rFonts w:ascii="Verdana" w:hAnsi="Verdana" w:cs="Arial"/>
          <w:sz w:val="22"/>
          <w:szCs w:val="22"/>
        </w:rPr>
        <w:t xml:space="preserve">limitado </w:t>
      </w:r>
      <w:r w:rsidRPr="00A84B64">
        <w:rPr>
          <w:rFonts w:ascii="Verdana" w:hAnsi="Verdana" w:cs="Arial"/>
          <w:sz w:val="22"/>
          <w:szCs w:val="22"/>
        </w:rPr>
        <w:t>o</w:t>
      </w:r>
      <w:r w:rsidR="004C773C" w:rsidRPr="00A84B64">
        <w:rPr>
          <w:rFonts w:ascii="Verdana" w:hAnsi="Verdana" w:cs="Arial"/>
          <w:sz w:val="22"/>
          <w:szCs w:val="22"/>
        </w:rPr>
        <w:t xml:space="preserve"> desconocido</w:t>
      </w:r>
      <w:r w:rsidRPr="00A84B64">
        <w:rPr>
          <w:rFonts w:ascii="Verdana" w:hAnsi="Verdana" w:cs="Arial"/>
          <w:sz w:val="22"/>
          <w:szCs w:val="22"/>
        </w:rPr>
        <w:t xml:space="preserve">. También hizo referencia al </w:t>
      </w:r>
      <w:r w:rsidR="004C773C" w:rsidRPr="00A84B64">
        <w:rPr>
          <w:rFonts w:ascii="Verdana" w:hAnsi="Verdana" w:cs="Arial"/>
          <w:sz w:val="22"/>
          <w:szCs w:val="22"/>
        </w:rPr>
        <w:t>derecho a la tutela judicial efectiva</w:t>
      </w:r>
      <w:r w:rsidR="0074246C" w:rsidRPr="00A84B64">
        <w:rPr>
          <w:rFonts w:ascii="Verdana" w:hAnsi="Verdana" w:cs="Arial"/>
          <w:sz w:val="22"/>
          <w:szCs w:val="22"/>
        </w:rPr>
        <w:t xml:space="preserve"> para que se indemnice integralmente a las víctimas de daños antijurídicos, cuando se encuentra demostrado el perjuicio en el proceso</w:t>
      </w:r>
      <w:r w:rsidR="00F421DE" w:rsidRPr="00A84B64">
        <w:rPr>
          <w:rFonts w:ascii="Verdana" w:hAnsi="Verdana" w:cs="Arial"/>
          <w:sz w:val="22"/>
          <w:szCs w:val="22"/>
        </w:rPr>
        <w:t>, al decreto de oficio medidas de justicia restaurativa</w:t>
      </w:r>
      <w:r w:rsidR="004C773C" w:rsidRPr="00A84B64">
        <w:rPr>
          <w:rFonts w:ascii="Verdana" w:hAnsi="Verdana" w:cs="Arial"/>
          <w:sz w:val="22"/>
          <w:szCs w:val="22"/>
        </w:rPr>
        <w:t xml:space="preserve"> y la relativización del principio de justicia rogada.</w:t>
      </w:r>
    </w:p>
    <w:p w14:paraId="1577C797" w14:textId="77777777" w:rsidR="004C773C" w:rsidRPr="00A84B64" w:rsidRDefault="004C773C" w:rsidP="004C773C">
      <w:pPr>
        <w:spacing w:line="360" w:lineRule="auto"/>
        <w:jc w:val="both"/>
        <w:rPr>
          <w:rFonts w:ascii="Verdana" w:hAnsi="Verdana" w:cs="Arial"/>
          <w:b/>
          <w:sz w:val="22"/>
          <w:szCs w:val="22"/>
        </w:rPr>
      </w:pPr>
    </w:p>
    <w:p w14:paraId="2F30A148" w14:textId="72CE78A2" w:rsidR="004C773C" w:rsidRPr="00A84B64" w:rsidRDefault="004C773C" w:rsidP="004C773C">
      <w:pPr>
        <w:spacing w:line="360" w:lineRule="auto"/>
        <w:jc w:val="both"/>
        <w:rPr>
          <w:rFonts w:ascii="Verdana" w:hAnsi="Verdana" w:cs="Arial"/>
          <w:b/>
          <w:sz w:val="22"/>
          <w:szCs w:val="22"/>
        </w:rPr>
      </w:pPr>
      <w:r w:rsidRPr="00A84B64">
        <w:rPr>
          <w:rFonts w:ascii="Verdana" w:hAnsi="Verdana" w:cs="Arial"/>
          <w:b/>
          <w:sz w:val="22"/>
          <w:szCs w:val="22"/>
        </w:rPr>
        <w:t>2.</w:t>
      </w:r>
      <w:r w:rsidR="007828D8" w:rsidRPr="00A84B64">
        <w:rPr>
          <w:rFonts w:ascii="Verdana" w:hAnsi="Verdana" w:cs="Arial"/>
          <w:b/>
          <w:sz w:val="22"/>
          <w:szCs w:val="22"/>
        </w:rPr>
        <w:t>3</w:t>
      </w:r>
      <w:r w:rsidRPr="00A84B64">
        <w:rPr>
          <w:rFonts w:ascii="Verdana" w:hAnsi="Verdana" w:cs="Arial"/>
          <w:b/>
          <w:sz w:val="22"/>
          <w:szCs w:val="22"/>
        </w:rPr>
        <w:t xml:space="preserve">.2. </w:t>
      </w:r>
      <w:r w:rsidR="00051612" w:rsidRPr="00A84B64">
        <w:rPr>
          <w:rFonts w:ascii="Verdana" w:hAnsi="Verdana" w:cs="Arial"/>
          <w:b/>
          <w:sz w:val="22"/>
          <w:szCs w:val="22"/>
        </w:rPr>
        <w:t xml:space="preserve">Parte Demandada - </w:t>
      </w:r>
      <w:r w:rsidRPr="00A84B64">
        <w:rPr>
          <w:rFonts w:ascii="Verdana" w:hAnsi="Verdana" w:cs="Arial"/>
          <w:b/>
          <w:sz w:val="22"/>
          <w:szCs w:val="22"/>
        </w:rPr>
        <w:t>Instituto Nacional Penitenciario Y Carcelario (INPEC) (</w:t>
      </w:r>
      <w:proofErr w:type="spellStart"/>
      <w:r w:rsidR="007828D8" w:rsidRPr="00A84B64">
        <w:rPr>
          <w:rFonts w:ascii="Verdana" w:hAnsi="Verdana" w:cs="Arial"/>
          <w:b/>
          <w:sz w:val="22"/>
          <w:szCs w:val="22"/>
        </w:rPr>
        <w:t>fls</w:t>
      </w:r>
      <w:proofErr w:type="spellEnd"/>
      <w:r w:rsidR="007828D8" w:rsidRPr="00A84B64">
        <w:rPr>
          <w:rFonts w:ascii="Verdana" w:hAnsi="Verdana" w:cs="Arial"/>
          <w:b/>
          <w:sz w:val="22"/>
          <w:szCs w:val="22"/>
        </w:rPr>
        <w:t>. 1003 a 1009</w:t>
      </w:r>
      <w:r w:rsidRPr="00A84B64">
        <w:rPr>
          <w:rFonts w:ascii="Verdana" w:hAnsi="Verdana" w:cs="Arial"/>
          <w:b/>
          <w:sz w:val="22"/>
          <w:szCs w:val="22"/>
        </w:rPr>
        <w:t>):</w:t>
      </w:r>
    </w:p>
    <w:p w14:paraId="3F663B57" w14:textId="77777777" w:rsidR="00947280" w:rsidRPr="00A84B64" w:rsidRDefault="00947280" w:rsidP="004C773C">
      <w:pPr>
        <w:spacing w:line="360" w:lineRule="auto"/>
        <w:jc w:val="both"/>
        <w:rPr>
          <w:rFonts w:ascii="Verdana" w:hAnsi="Verdana" w:cs="Arial"/>
          <w:b/>
          <w:sz w:val="22"/>
          <w:szCs w:val="22"/>
        </w:rPr>
      </w:pPr>
    </w:p>
    <w:p w14:paraId="77A80E2F" w14:textId="5B14E1F0" w:rsidR="004C773C"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Manifestando su inconformidad ante la decisión adoptada en primera instancia, el apoderado judicial del INPEC</w:t>
      </w:r>
      <w:r w:rsidR="00947280" w:rsidRPr="00A84B64">
        <w:rPr>
          <w:rFonts w:ascii="Verdana" w:hAnsi="Verdana" w:cs="Arial"/>
          <w:sz w:val="22"/>
          <w:szCs w:val="22"/>
        </w:rPr>
        <w:t xml:space="preserve"> </w:t>
      </w:r>
      <w:r w:rsidRPr="00A84B64">
        <w:rPr>
          <w:rFonts w:ascii="Verdana" w:hAnsi="Verdana" w:cs="Arial"/>
          <w:sz w:val="22"/>
          <w:szCs w:val="22"/>
        </w:rPr>
        <w:t>presentó recurso de apelación, solicitando se revocara la sentencia de primera instancia y se denegaran las pretensione</w:t>
      </w:r>
      <w:r w:rsidR="00947280" w:rsidRPr="00A84B64">
        <w:rPr>
          <w:rFonts w:ascii="Verdana" w:hAnsi="Verdana" w:cs="Arial"/>
          <w:sz w:val="22"/>
          <w:szCs w:val="22"/>
        </w:rPr>
        <w:t>s de la demanda.</w:t>
      </w:r>
    </w:p>
    <w:p w14:paraId="053528C6" w14:textId="77777777" w:rsidR="004C773C" w:rsidRPr="00A84B64" w:rsidRDefault="004C773C" w:rsidP="004C773C">
      <w:pPr>
        <w:spacing w:line="360" w:lineRule="auto"/>
        <w:jc w:val="both"/>
        <w:rPr>
          <w:rFonts w:ascii="Verdana" w:hAnsi="Verdana" w:cs="Arial"/>
          <w:sz w:val="22"/>
          <w:szCs w:val="22"/>
        </w:rPr>
      </w:pPr>
    </w:p>
    <w:p w14:paraId="06560480" w14:textId="77777777" w:rsidR="00440FAB" w:rsidRPr="00A84B64" w:rsidRDefault="000E35C7" w:rsidP="004C773C">
      <w:pPr>
        <w:spacing w:line="360" w:lineRule="auto"/>
        <w:jc w:val="both"/>
        <w:rPr>
          <w:rFonts w:ascii="Verdana" w:hAnsi="Verdana" w:cs="Arial"/>
          <w:sz w:val="22"/>
          <w:szCs w:val="22"/>
        </w:rPr>
      </w:pPr>
      <w:r w:rsidRPr="00A84B64">
        <w:rPr>
          <w:rFonts w:ascii="Verdana" w:hAnsi="Verdana" w:cs="Arial"/>
          <w:sz w:val="22"/>
          <w:szCs w:val="22"/>
        </w:rPr>
        <w:t>En ese sentido, aclaró</w:t>
      </w:r>
      <w:r w:rsidR="004C773C" w:rsidRPr="00A84B64">
        <w:rPr>
          <w:rFonts w:ascii="Verdana" w:hAnsi="Verdana" w:cs="Arial"/>
          <w:sz w:val="22"/>
          <w:szCs w:val="22"/>
        </w:rPr>
        <w:t xml:space="preserve"> que la Dirección de Sanidad Militar del Ejército Nacional es la encargada de determinar el porcentaje de pérdida de capacidad laboral de los lesionados</w:t>
      </w:r>
      <w:r w:rsidR="00977274" w:rsidRPr="00A84B64">
        <w:rPr>
          <w:rFonts w:ascii="Verdana" w:hAnsi="Verdana" w:cs="Arial"/>
          <w:sz w:val="22"/>
          <w:szCs w:val="22"/>
        </w:rPr>
        <w:t xml:space="preserve"> por medio de la Junta Médico Laboral del Ejército</w:t>
      </w:r>
      <w:r w:rsidR="004C773C" w:rsidRPr="00A84B64">
        <w:rPr>
          <w:rFonts w:ascii="Verdana" w:hAnsi="Verdana" w:cs="Arial"/>
          <w:sz w:val="22"/>
          <w:szCs w:val="22"/>
        </w:rPr>
        <w:t xml:space="preserve">, sin embargo, </w:t>
      </w:r>
      <w:r w:rsidRPr="00A84B64">
        <w:rPr>
          <w:rFonts w:ascii="Verdana" w:hAnsi="Verdana" w:cs="Arial"/>
          <w:sz w:val="22"/>
          <w:szCs w:val="22"/>
        </w:rPr>
        <w:t xml:space="preserve">adujo que </w:t>
      </w:r>
      <w:r w:rsidR="004C773C" w:rsidRPr="00A84B64">
        <w:rPr>
          <w:rFonts w:ascii="Verdana" w:hAnsi="Verdana" w:cs="Arial"/>
          <w:sz w:val="22"/>
          <w:szCs w:val="22"/>
        </w:rPr>
        <w:t>en el tra</w:t>
      </w:r>
      <w:r w:rsidRPr="00A84B64">
        <w:rPr>
          <w:rFonts w:ascii="Verdana" w:hAnsi="Verdana" w:cs="Arial"/>
          <w:sz w:val="22"/>
          <w:szCs w:val="22"/>
        </w:rPr>
        <w:t>n</w:t>
      </w:r>
      <w:r w:rsidR="004C773C" w:rsidRPr="00A84B64">
        <w:rPr>
          <w:rFonts w:ascii="Verdana" w:hAnsi="Verdana" w:cs="Arial"/>
          <w:sz w:val="22"/>
          <w:szCs w:val="22"/>
        </w:rPr>
        <w:t xml:space="preserve">scurso del trámite el </w:t>
      </w:r>
      <w:r w:rsidRPr="00A84B64">
        <w:rPr>
          <w:rFonts w:ascii="Verdana" w:hAnsi="Verdana" w:cs="Arial"/>
          <w:sz w:val="22"/>
          <w:szCs w:val="22"/>
        </w:rPr>
        <w:t xml:space="preserve">señor </w:t>
      </w:r>
      <w:r w:rsidR="004C773C" w:rsidRPr="00A84B64">
        <w:rPr>
          <w:rFonts w:ascii="Verdana" w:hAnsi="Verdana" w:cs="Arial"/>
          <w:sz w:val="22"/>
          <w:szCs w:val="22"/>
        </w:rPr>
        <w:t xml:space="preserve">Ávila Gaitán </w:t>
      </w:r>
      <w:r w:rsidRPr="00A84B64">
        <w:rPr>
          <w:rFonts w:ascii="Verdana" w:hAnsi="Verdana" w:cs="Arial"/>
          <w:sz w:val="22"/>
          <w:szCs w:val="22"/>
        </w:rPr>
        <w:t xml:space="preserve">incumplió sus obligaciones de continuar con los protocolos y valoraciones por la entidad competente y </w:t>
      </w:r>
      <w:r w:rsidR="004C773C" w:rsidRPr="00A84B64">
        <w:rPr>
          <w:rFonts w:ascii="Verdana" w:hAnsi="Verdana" w:cs="Arial"/>
          <w:sz w:val="22"/>
          <w:szCs w:val="22"/>
        </w:rPr>
        <w:t xml:space="preserve">decidió abandonar voluntariamente el procedimiento. </w:t>
      </w:r>
    </w:p>
    <w:p w14:paraId="2A1CCD4D" w14:textId="77777777" w:rsidR="00440FAB" w:rsidRPr="00A84B64" w:rsidRDefault="00440FAB" w:rsidP="004C773C">
      <w:pPr>
        <w:spacing w:line="360" w:lineRule="auto"/>
        <w:jc w:val="both"/>
        <w:rPr>
          <w:rFonts w:ascii="Verdana" w:hAnsi="Verdana" w:cs="Arial"/>
          <w:sz w:val="22"/>
          <w:szCs w:val="22"/>
        </w:rPr>
      </w:pPr>
    </w:p>
    <w:p w14:paraId="6369E59B" w14:textId="4A6B9B9B" w:rsidR="004C773C"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Por otro lado,</w:t>
      </w:r>
      <w:r w:rsidR="00FD4FD6" w:rsidRPr="00A84B64">
        <w:rPr>
          <w:rFonts w:ascii="Verdana" w:hAnsi="Verdana" w:cs="Arial"/>
          <w:sz w:val="22"/>
          <w:szCs w:val="22"/>
        </w:rPr>
        <w:t xml:space="preserve"> señaló que difiere </w:t>
      </w:r>
      <w:r w:rsidRPr="00A84B64">
        <w:rPr>
          <w:rFonts w:ascii="Verdana" w:hAnsi="Verdana" w:cs="Arial"/>
          <w:sz w:val="22"/>
          <w:szCs w:val="22"/>
        </w:rPr>
        <w:t xml:space="preserve">de la calificación (porcentaje de pérdida de capacidad laboral) establecida en el dictamen emitido por la Junta Regional de Calificación de Invalidez de Boyacá, pues </w:t>
      </w:r>
      <w:r w:rsidR="00FD4FD6" w:rsidRPr="00A84B64">
        <w:rPr>
          <w:rFonts w:ascii="Verdana" w:hAnsi="Verdana" w:cs="Arial"/>
          <w:sz w:val="22"/>
          <w:szCs w:val="22"/>
        </w:rPr>
        <w:t>se trató</w:t>
      </w:r>
      <w:r w:rsidRPr="00A84B64">
        <w:rPr>
          <w:rFonts w:ascii="Verdana" w:hAnsi="Verdana" w:cs="Arial"/>
          <w:sz w:val="22"/>
          <w:szCs w:val="22"/>
        </w:rPr>
        <w:t xml:space="preserve"> de un dictamen basado en la historia clínica del paciente y en lo que el mismo refirió sentir sin poder tener certeza de ello, por el contrario, concluyó que de existir algún tipo de secuela la misma es reciente y distinta, a la lesión sufrida y tratada con éxito en el año 2014. </w:t>
      </w:r>
    </w:p>
    <w:p w14:paraId="709A558E" w14:textId="77777777" w:rsidR="004C773C" w:rsidRPr="00A84B64" w:rsidRDefault="004C773C" w:rsidP="004C773C">
      <w:pPr>
        <w:spacing w:line="360" w:lineRule="auto"/>
        <w:jc w:val="both"/>
        <w:rPr>
          <w:rFonts w:ascii="Verdana" w:hAnsi="Verdana" w:cs="Arial"/>
          <w:sz w:val="22"/>
          <w:szCs w:val="22"/>
        </w:rPr>
      </w:pPr>
    </w:p>
    <w:p w14:paraId="6BD11827" w14:textId="78D821FE" w:rsidR="004C773C"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 xml:space="preserve">Así mismo, </w:t>
      </w:r>
      <w:r w:rsidR="00ED15FD" w:rsidRPr="00A84B64">
        <w:rPr>
          <w:rFonts w:ascii="Verdana" w:hAnsi="Verdana" w:cs="Arial"/>
          <w:sz w:val="22"/>
          <w:szCs w:val="22"/>
        </w:rPr>
        <w:t>sostuvo</w:t>
      </w:r>
      <w:r w:rsidRPr="00A84B64">
        <w:rPr>
          <w:rFonts w:ascii="Verdana" w:hAnsi="Verdana" w:cs="Arial"/>
          <w:sz w:val="22"/>
          <w:szCs w:val="22"/>
        </w:rPr>
        <w:t xml:space="preserve"> que el INPEC</w:t>
      </w:r>
      <w:r w:rsidR="00ED15FD" w:rsidRPr="00A84B64">
        <w:rPr>
          <w:rFonts w:ascii="Verdana" w:hAnsi="Verdana" w:cs="Arial"/>
          <w:sz w:val="22"/>
          <w:szCs w:val="22"/>
        </w:rPr>
        <w:t xml:space="preserve"> </w:t>
      </w:r>
      <w:r w:rsidRPr="00A84B64">
        <w:rPr>
          <w:rFonts w:ascii="Verdana" w:hAnsi="Verdana" w:cs="Arial"/>
          <w:sz w:val="22"/>
          <w:szCs w:val="22"/>
        </w:rPr>
        <w:t>garantizó las contingencias presentadas en la salud del señor Ávila, a través de la póliza contratada con</w:t>
      </w:r>
      <w:r w:rsidR="00ED15FD" w:rsidRPr="00A84B64">
        <w:rPr>
          <w:rFonts w:ascii="Verdana" w:hAnsi="Verdana" w:cs="Arial"/>
          <w:sz w:val="22"/>
          <w:szCs w:val="22"/>
        </w:rPr>
        <w:t xml:space="preserve"> la Aseguradora</w:t>
      </w:r>
      <w:r w:rsidRPr="00A84B64">
        <w:rPr>
          <w:rFonts w:ascii="Verdana" w:hAnsi="Verdana" w:cs="Arial"/>
          <w:sz w:val="22"/>
          <w:szCs w:val="22"/>
        </w:rPr>
        <w:t xml:space="preserve"> MAPFRE y lo relativo a la indemnización por la pérdida de capacidad laboral fue amparado de igual forma mediante la póliza suscrita con SEGUROS DE VIDA DEL </w:t>
      </w:r>
      <w:r w:rsidRPr="00A84B64">
        <w:rPr>
          <w:rFonts w:ascii="Verdana" w:hAnsi="Verdana" w:cs="Arial"/>
          <w:sz w:val="22"/>
          <w:szCs w:val="22"/>
        </w:rPr>
        <w:lastRenderedPageBreak/>
        <w:t>ESTAD</w:t>
      </w:r>
      <w:r w:rsidR="00ED15FD" w:rsidRPr="00A84B64">
        <w:rPr>
          <w:rFonts w:ascii="Verdana" w:hAnsi="Verdana" w:cs="Arial"/>
          <w:sz w:val="22"/>
          <w:szCs w:val="22"/>
        </w:rPr>
        <w:t xml:space="preserve">O S.A, razón por la </w:t>
      </w:r>
      <w:r w:rsidR="08C284F2" w:rsidRPr="00A84B64">
        <w:rPr>
          <w:rFonts w:ascii="Verdana" w:hAnsi="Verdana" w:cs="Arial"/>
          <w:sz w:val="22"/>
          <w:szCs w:val="22"/>
        </w:rPr>
        <w:t>cual,</w:t>
      </w:r>
      <w:r w:rsidR="00ED15FD" w:rsidRPr="00A84B64">
        <w:rPr>
          <w:rFonts w:ascii="Verdana" w:hAnsi="Verdana" w:cs="Arial"/>
          <w:sz w:val="22"/>
          <w:szCs w:val="22"/>
        </w:rPr>
        <w:t xml:space="preserve"> en su criterio, el INPEC cumplió a cabalidad sus responsabilidades</w:t>
      </w:r>
      <w:r w:rsidRPr="00A84B64">
        <w:rPr>
          <w:rFonts w:ascii="Verdana" w:hAnsi="Verdana" w:cs="Arial"/>
          <w:sz w:val="22"/>
          <w:szCs w:val="22"/>
        </w:rPr>
        <w:t>.</w:t>
      </w:r>
    </w:p>
    <w:p w14:paraId="4F987BD7" w14:textId="77777777" w:rsidR="004C773C" w:rsidRPr="00A84B64" w:rsidRDefault="004C773C" w:rsidP="004C773C">
      <w:pPr>
        <w:spacing w:line="360" w:lineRule="auto"/>
        <w:jc w:val="both"/>
        <w:rPr>
          <w:rFonts w:ascii="Verdana" w:hAnsi="Verdana" w:cs="Arial"/>
          <w:sz w:val="22"/>
          <w:szCs w:val="22"/>
        </w:rPr>
      </w:pPr>
    </w:p>
    <w:p w14:paraId="035E5CB1" w14:textId="6364976B" w:rsidR="005564E6"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Con todo lo relatado,</w:t>
      </w:r>
      <w:r w:rsidR="005564E6" w:rsidRPr="00A84B64">
        <w:rPr>
          <w:rFonts w:ascii="Verdana" w:hAnsi="Verdana" w:cs="Arial"/>
          <w:sz w:val="22"/>
          <w:szCs w:val="22"/>
        </w:rPr>
        <w:t xml:space="preserve"> concluyó</w:t>
      </w:r>
      <w:r w:rsidRPr="00A84B64">
        <w:rPr>
          <w:rFonts w:ascii="Verdana" w:hAnsi="Verdana" w:cs="Arial"/>
          <w:sz w:val="22"/>
          <w:szCs w:val="22"/>
        </w:rPr>
        <w:t xml:space="preserve"> que el INPEC intervino y actuó </w:t>
      </w:r>
      <w:r w:rsidR="005564E6" w:rsidRPr="00A84B64">
        <w:rPr>
          <w:rFonts w:ascii="Verdana" w:hAnsi="Verdana" w:cs="Arial"/>
          <w:sz w:val="22"/>
          <w:szCs w:val="22"/>
        </w:rPr>
        <w:t xml:space="preserve">cumpliendo la normatividad que regula la materia, por tanto, señaló que no se estructuró el </w:t>
      </w:r>
      <w:r w:rsidRPr="00A84B64">
        <w:rPr>
          <w:rFonts w:ascii="Verdana" w:hAnsi="Verdana" w:cs="Arial"/>
          <w:sz w:val="22"/>
          <w:szCs w:val="22"/>
        </w:rPr>
        <w:t xml:space="preserve">nexo causal entre el daño y la falla del servicio, así como la inexistencia de la obligación, dado que no hay causa legal que soporte la acción incoada por el demandante. </w:t>
      </w:r>
    </w:p>
    <w:p w14:paraId="2511D876" w14:textId="77777777" w:rsidR="00ED25FF" w:rsidRPr="00A84B64" w:rsidRDefault="00ED25FF" w:rsidP="004C773C">
      <w:pPr>
        <w:spacing w:line="360" w:lineRule="auto"/>
        <w:jc w:val="both"/>
        <w:rPr>
          <w:rFonts w:ascii="Verdana" w:hAnsi="Verdana" w:cs="Arial"/>
          <w:sz w:val="22"/>
          <w:szCs w:val="22"/>
        </w:rPr>
      </w:pPr>
    </w:p>
    <w:p w14:paraId="27D3C1B2" w14:textId="6A187598" w:rsidR="004C773C"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Por último, indic</w:t>
      </w:r>
      <w:r w:rsidR="005564E6" w:rsidRPr="00A84B64">
        <w:rPr>
          <w:rFonts w:ascii="Verdana" w:hAnsi="Verdana" w:cs="Arial"/>
          <w:sz w:val="22"/>
          <w:szCs w:val="22"/>
        </w:rPr>
        <w:t>ó</w:t>
      </w:r>
      <w:r w:rsidRPr="00A84B64">
        <w:rPr>
          <w:rFonts w:ascii="Verdana" w:hAnsi="Verdana" w:cs="Arial"/>
          <w:sz w:val="22"/>
          <w:szCs w:val="22"/>
        </w:rPr>
        <w:t xml:space="preserve"> que el actor no señaló con claridad bajo que modalidad se presentó la supuesta falla del servicio</w:t>
      </w:r>
      <w:r w:rsidR="005564E6" w:rsidRPr="00A84B64">
        <w:rPr>
          <w:rFonts w:ascii="Verdana" w:hAnsi="Verdana" w:cs="Arial"/>
          <w:sz w:val="22"/>
          <w:szCs w:val="22"/>
        </w:rPr>
        <w:t xml:space="preserve">, </w:t>
      </w:r>
      <w:r w:rsidRPr="00A84B64">
        <w:rPr>
          <w:rFonts w:ascii="Verdana" w:hAnsi="Verdana" w:cs="Arial"/>
          <w:sz w:val="22"/>
          <w:szCs w:val="22"/>
        </w:rPr>
        <w:t>si fue por retardo, irregularidad, ineficiencia, omisión, o por ausencia del mismo</w:t>
      </w:r>
      <w:r w:rsidR="005564E6" w:rsidRPr="00A84B64">
        <w:rPr>
          <w:rFonts w:ascii="Verdana" w:hAnsi="Verdana" w:cs="Arial"/>
          <w:sz w:val="22"/>
          <w:szCs w:val="22"/>
        </w:rPr>
        <w:t>.</w:t>
      </w:r>
    </w:p>
    <w:p w14:paraId="01BA944C" w14:textId="77777777" w:rsidR="004C773C" w:rsidRPr="00A84B64" w:rsidRDefault="004C773C" w:rsidP="004C773C">
      <w:pPr>
        <w:spacing w:line="360" w:lineRule="auto"/>
        <w:jc w:val="both"/>
        <w:rPr>
          <w:rFonts w:ascii="Verdana" w:hAnsi="Verdana" w:cs="Arial"/>
          <w:b/>
          <w:sz w:val="24"/>
          <w:szCs w:val="24"/>
        </w:rPr>
      </w:pPr>
    </w:p>
    <w:p w14:paraId="6DD7D7C9" w14:textId="5E698E5C" w:rsidR="004C773C" w:rsidRPr="00A84B64" w:rsidRDefault="004C773C" w:rsidP="004C773C">
      <w:pPr>
        <w:spacing w:line="360" w:lineRule="auto"/>
        <w:jc w:val="both"/>
        <w:rPr>
          <w:rFonts w:ascii="Verdana" w:hAnsi="Verdana" w:cs="Arial"/>
          <w:b/>
          <w:sz w:val="22"/>
          <w:szCs w:val="22"/>
        </w:rPr>
      </w:pPr>
      <w:r w:rsidRPr="00A84B64">
        <w:rPr>
          <w:rFonts w:ascii="Verdana" w:hAnsi="Verdana" w:cs="Arial"/>
          <w:b/>
          <w:sz w:val="22"/>
          <w:szCs w:val="22"/>
        </w:rPr>
        <w:t>2.</w:t>
      </w:r>
      <w:r w:rsidR="00290570" w:rsidRPr="00A84B64">
        <w:rPr>
          <w:rFonts w:ascii="Verdana" w:hAnsi="Verdana" w:cs="Arial"/>
          <w:b/>
          <w:sz w:val="22"/>
          <w:szCs w:val="22"/>
        </w:rPr>
        <w:t>3</w:t>
      </w:r>
      <w:r w:rsidRPr="00A84B64">
        <w:rPr>
          <w:rFonts w:ascii="Verdana" w:hAnsi="Verdana" w:cs="Arial"/>
          <w:b/>
          <w:sz w:val="22"/>
          <w:szCs w:val="22"/>
        </w:rPr>
        <w:t xml:space="preserve">.3. </w:t>
      </w:r>
      <w:r w:rsidR="00D7721F" w:rsidRPr="00A84B64">
        <w:rPr>
          <w:rFonts w:ascii="Verdana" w:hAnsi="Verdana" w:cs="Arial"/>
          <w:b/>
          <w:sz w:val="22"/>
          <w:szCs w:val="22"/>
        </w:rPr>
        <w:t>Litisconsorcio Necesario</w:t>
      </w:r>
      <w:r w:rsidR="00051612" w:rsidRPr="00A84B64">
        <w:rPr>
          <w:rFonts w:ascii="Verdana" w:hAnsi="Verdana" w:cs="Arial"/>
          <w:b/>
          <w:sz w:val="22"/>
          <w:szCs w:val="22"/>
        </w:rPr>
        <w:t xml:space="preserve"> - </w:t>
      </w:r>
      <w:r w:rsidRPr="00A84B64">
        <w:rPr>
          <w:rFonts w:ascii="Verdana" w:hAnsi="Verdana" w:cs="Arial"/>
          <w:b/>
          <w:sz w:val="22"/>
          <w:szCs w:val="22"/>
        </w:rPr>
        <w:t>Seguros de vida del Estado S.A</w:t>
      </w:r>
      <w:r w:rsidR="00051612" w:rsidRPr="00A84B64">
        <w:rPr>
          <w:rFonts w:ascii="Verdana" w:hAnsi="Verdana" w:cs="Arial"/>
          <w:b/>
          <w:sz w:val="22"/>
          <w:szCs w:val="22"/>
        </w:rPr>
        <w:t>.</w:t>
      </w:r>
      <w:r w:rsidRPr="00A84B64">
        <w:rPr>
          <w:rFonts w:ascii="Verdana" w:hAnsi="Verdana" w:cs="Arial"/>
          <w:b/>
          <w:sz w:val="22"/>
          <w:szCs w:val="22"/>
        </w:rPr>
        <w:t xml:space="preserve"> </w:t>
      </w:r>
      <w:r w:rsidR="00051612" w:rsidRPr="00A84B64">
        <w:rPr>
          <w:rFonts w:ascii="Verdana" w:hAnsi="Verdana" w:cs="Arial"/>
          <w:b/>
          <w:sz w:val="22"/>
          <w:szCs w:val="22"/>
        </w:rPr>
        <w:t>(</w:t>
      </w:r>
      <w:proofErr w:type="spellStart"/>
      <w:r w:rsidR="00051612" w:rsidRPr="00A84B64">
        <w:rPr>
          <w:rFonts w:ascii="Verdana" w:hAnsi="Verdana" w:cs="Arial"/>
          <w:b/>
          <w:sz w:val="22"/>
          <w:szCs w:val="22"/>
        </w:rPr>
        <w:t>fls</w:t>
      </w:r>
      <w:proofErr w:type="spellEnd"/>
      <w:r w:rsidR="00051612" w:rsidRPr="00A84B64">
        <w:rPr>
          <w:rFonts w:ascii="Verdana" w:hAnsi="Verdana" w:cs="Arial"/>
          <w:b/>
          <w:sz w:val="22"/>
          <w:szCs w:val="22"/>
        </w:rPr>
        <w:t>. 950 a 960)</w:t>
      </w:r>
      <w:r w:rsidRPr="00A84B64">
        <w:rPr>
          <w:rFonts w:ascii="Verdana" w:hAnsi="Verdana" w:cs="Arial"/>
          <w:b/>
          <w:sz w:val="22"/>
          <w:szCs w:val="22"/>
        </w:rPr>
        <w:t>:</w:t>
      </w:r>
    </w:p>
    <w:p w14:paraId="0C7E325C" w14:textId="77777777" w:rsidR="004C773C" w:rsidRPr="00A84B64" w:rsidRDefault="004C773C" w:rsidP="004C773C">
      <w:pPr>
        <w:spacing w:line="360" w:lineRule="auto"/>
        <w:jc w:val="both"/>
        <w:rPr>
          <w:rFonts w:ascii="Verdana" w:hAnsi="Verdana" w:cs="Arial"/>
          <w:b/>
          <w:sz w:val="22"/>
          <w:szCs w:val="22"/>
        </w:rPr>
      </w:pPr>
    </w:p>
    <w:p w14:paraId="605EB309" w14:textId="5F7E0010" w:rsidR="004C773C" w:rsidRPr="00A84B64" w:rsidRDefault="004C773C" w:rsidP="00051612">
      <w:pPr>
        <w:spacing w:line="360" w:lineRule="auto"/>
        <w:jc w:val="both"/>
        <w:rPr>
          <w:rFonts w:ascii="Verdana" w:hAnsi="Verdana" w:cs="Arial"/>
          <w:sz w:val="22"/>
          <w:szCs w:val="22"/>
        </w:rPr>
      </w:pPr>
      <w:r w:rsidRPr="00A84B64">
        <w:rPr>
          <w:rFonts w:ascii="Verdana" w:hAnsi="Verdana" w:cs="Arial"/>
          <w:sz w:val="22"/>
          <w:szCs w:val="22"/>
        </w:rPr>
        <w:t xml:space="preserve">El apoderado judicial de la </w:t>
      </w:r>
      <w:r w:rsidR="00051612" w:rsidRPr="00A84B64">
        <w:rPr>
          <w:rFonts w:ascii="Verdana" w:hAnsi="Verdana" w:cs="Arial"/>
          <w:sz w:val="22"/>
          <w:szCs w:val="22"/>
        </w:rPr>
        <w:t>aseguradora Seguros de vida del Estado S.A.</w:t>
      </w:r>
      <w:r w:rsidRPr="00A84B64">
        <w:rPr>
          <w:rFonts w:ascii="Verdana" w:hAnsi="Verdana" w:cs="Arial"/>
          <w:sz w:val="22"/>
          <w:szCs w:val="22"/>
        </w:rPr>
        <w:t xml:space="preserve"> apeló la sentencia de primera instancia solicitando </w:t>
      </w:r>
      <w:r w:rsidR="00051612" w:rsidRPr="00A84B64">
        <w:rPr>
          <w:rFonts w:ascii="Verdana" w:hAnsi="Verdana" w:cs="Arial"/>
          <w:sz w:val="22"/>
          <w:szCs w:val="22"/>
        </w:rPr>
        <w:t xml:space="preserve">sea revocada en su integridad frente a lo que corresponde a la condena impuesta a </w:t>
      </w:r>
      <w:r w:rsidR="006870AF" w:rsidRPr="00A84B64">
        <w:rPr>
          <w:rFonts w:ascii="Verdana" w:hAnsi="Verdana" w:cs="Arial"/>
          <w:sz w:val="22"/>
          <w:szCs w:val="22"/>
        </w:rPr>
        <w:t xml:space="preserve">su representada, </w:t>
      </w:r>
      <w:r w:rsidR="00051612" w:rsidRPr="00A84B64">
        <w:rPr>
          <w:rFonts w:ascii="Verdana" w:hAnsi="Verdana" w:cs="Arial"/>
          <w:sz w:val="22"/>
          <w:szCs w:val="22"/>
        </w:rPr>
        <w:t>para</w:t>
      </w:r>
      <w:r w:rsidR="006870AF" w:rsidRPr="00A84B64">
        <w:rPr>
          <w:rFonts w:ascii="Verdana" w:hAnsi="Verdana" w:cs="Arial"/>
          <w:sz w:val="22"/>
          <w:szCs w:val="22"/>
        </w:rPr>
        <w:t xml:space="preserve"> </w:t>
      </w:r>
      <w:r w:rsidR="00051612" w:rsidRPr="00A84B64">
        <w:rPr>
          <w:rFonts w:ascii="Verdana" w:hAnsi="Verdana" w:cs="Arial"/>
          <w:sz w:val="22"/>
          <w:szCs w:val="22"/>
        </w:rPr>
        <w:t xml:space="preserve">en su lugar absolver </w:t>
      </w:r>
      <w:r w:rsidR="006870AF" w:rsidRPr="00A84B64">
        <w:rPr>
          <w:rFonts w:ascii="Verdana" w:hAnsi="Verdana" w:cs="Arial"/>
          <w:sz w:val="22"/>
          <w:szCs w:val="22"/>
        </w:rPr>
        <w:t>a la entidad</w:t>
      </w:r>
      <w:r w:rsidR="00051612" w:rsidRPr="00A84B64">
        <w:rPr>
          <w:rFonts w:ascii="Verdana" w:hAnsi="Verdana" w:cs="Arial"/>
          <w:sz w:val="22"/>
          <w:szCs w:val="22"/>
        </w:rPr>
        <w:t xml:space="preserve"> de toda condena</w:t>
      </w:r>
      <w:r w:rsidRPr="00A84B64">
        <w:rPr>
          <w:rFonts w:ascii="Verdana" w:hAnsi="Verdana" w:cs="Arial"/>
          <w:sz w:val="22"/>
          <w:szCs w:val="22"/>
        </w:rPr>
        <w:t xml:space="preserve"> en atención a los siguientes razonamientos:</w:t>
      </w:r>
    </w:p>
    <w:p w14:paraId="74BB1340" w14:textId="77777777" w:rsidR="00051612" w:rsidRPr="00A84B64" w:rsidRDefault="00051612" w:rsidP="004C773C">
      <w:pPr>
        <w:spacing w:line="360" w:lineRule="auto"/>
        <w:jc w:val="both"/>
        <w:rPr>
          <w:rFonts w:ascii="Verdana" w:hAnsi="Verdana" w:cs="Arial"/>
          <w:sz w:val="22"/>
          <w:szCs w:val="22"/>
        </w:rPr>
      </w:pPr>
    </w:p>
    <w:p w14:paraId="3284C084" w14:textId="5E76D00D" w:rsidR="006870AF" w:rsidRPr="00A84B64" w:rsidRDefault="006870AF" w:rsidP="00ED25FF">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t>La vinculación de esta Aseguradora en el proceso se dio por la existencia de la póliza de Vida Grupo No. 21-71-1000000481, la cual fue confundida por la Juez de primera instancia con una póliza de Responsabilidad Civil</w:t>
      </w:r>
      <w:r w:rsidR="00E16ED5" w:rsidRPr="00A84B64">
        <w:rPr>
          <w:rFonts w:ascii="Verdana" w:hAnsi="Verdana" w:cs="Arial"/>
          <w:sz w:val="22"/>
          <w:szCs w:val="22"/>
        </w:rPr>
        <w:t xml:space="preserve"> Extracontractual.</w:t>
      </w:r>
    </w:p>
    <w:p w14:paraId="7FDF6B1A" w14:textId="4CE0B834" w:rsidR="006870AF" w:rsidRPr="00A84B64" w:rsidRDefault="00E16ED5" w:rsidP="005F4297">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t>En la sentencia apelada no se tuvo en cuenta que quedó establecido y probado en la audiencia inicial que la póliza No. 21-71-1000000479 fue anulada por error en la vigencia de la póliza y que fue reemplazada por la póliza No. 21-71-1000000481</w:t>
      </w:r>
      <w:r w:rsidR="00ED25FF" w:rsidRPr="00A84B64">
        <w:rPr>
          <w:rFonts w:ascii="Verdana" w:hAnsi="Verdana" w:cs="Arial"/>
          <w:sz w:val="22"/>
          <w:szCs w:val="22"/>
        </w:rPr>
        <w:t>.</w:t>
      </w:r>
    </w:p>
    <w:p w14:paraId="2C074247" w14:textId="34BFD3E8" w:rsidR="004C773C" w:rsidRPr="00A84B64" w:rsidRDefault="00E16ED5" w:rsidP="004C773C">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t xml:space="preserve">La </w:t>
      </w:r>
      <w:r w:rsidR="004C773C" w:rsidRPr="00A84B64">
        <w:rPr>
          <w:rFonts w:ascii="Verdana" w:hAnsi="Verdana" w:cs="Arial"/>
          <w:sz w:val="22"/>
          <w:szCs w:val="22"/>
        </w:rPr>
        <w:t>sentencia atacada desconoció el límite asegurado de la póliza conforme</w:t>
      </w:r>
      <w:r w:rsidR="00FD722B" w:rsidRPr="00A84B64">
        <w:rPr>
          <w:rFonts w:ascii="Verdana" w:hAnsi="Verdana" w:cs="Arial"/>
          <w:sz w:val="22"/>
          <w:szCs w:val="22"/>
        </w:rPr>
        <w:t xml:space="preserve"> a</w:t>
      </w:r>
      <w:r w:rsidR="004C773C" w:rsidRPr="00A84B64">
        <w:rPr>
          <w:rFonts w:ascii="Verdana" w:hAnsi="Verdana" w:cs="Arial"/>
          <w:sz w:val="22"/>
          <w:szCs w:val="22"/>
        </w:rPr>
        <w:t xml:space="preserve"> las lesiones sufridas por el demandante, además, desconoció el alcance de la cobertura de dicha póliza en tanto es una póliza de VIDA (seguros de personas) y no una póliza de responsabilidad civil extracontractual (seguro de daños); aunado a que desconoció totalmente las condiciones generales y particulares de este seguro de vida</w:t>
      </w:r>
      <w:r w:rsidR="00ED25FF" w:rsidRPr="00A84B64">
        <w:rPr>
          <w:rFonts w:ascii="Verdana" w:hAnsi="Verdana" w:cs="Arial"/>
          <w:sz w:val="22"/>
          <w:szCs w:val="22"/>
        </w:rPr>
        <w:t>.</w:t>
      </w:r>
    </w:p>
    <w:p w14:paraId="1846EEF1" w14:textId="234002C5" w:rsidR="004C773C" w:rsidRPr="00A84B64" w:rsidRDefault="008D4570" w:rsidP="00ED25FF">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lastRenderedPageBreak/>
        <w:t xml:space="preserve">El fallo apelado no desató las excepciones previas propuestas por </w:t>
      </w:r>
      <w:r w:rsidR="00ED25FF" w:rsidRPr="00A84B64">
        <w:rPr>
          <w:rFonts w:ascii="Verdana" w:hAnsi="Verdana" w:cs="Arial"/>
          <w:sz w:val="22"/>
          <w:szCs w:val="22"/>
        </w:rPr>
        <w:t>la</w:t>
      </w:r>
      <w:r w:rsidRPr="00A84B64">
        <w:rPr>
          <w:rFonts w:ascii="Verdana" w:hAnsi="Verdana" w:cs="Arial"/>
          <w:sz w:val="22"/>
          <w:szCs w:val="22"/>
        </w:rPr>
        <w:t xml:space="preserve"> Aseguradora, las cuales</w:t>
      </w:r>
      <w:r w:rsidR="00ED25FF" w:rsidRPr="00A84B64">
        <w:rPr>
          <w:rFonts w:ascii="Verdana" w:hAnsi="Verdana" w:cs="Arial"/>
          <w:sz w:val="22"/>
          <w:szCs w:val="22"/>
        </w:rPr>
        <w:t xml:space="preserve"> en audiencia inicial</w:t>
      </w:r>
      <w:r w:rsidRPr="00A84B64">
        <w:rPr>
          <w:rFonts w:ascii="Verdana" w:hAnsi="Verdana" w:cs="Arial"/>
          <w:sz w:val="22"/>
          <w:szCs w:val="22"/>
        </w:rPr>
        <w:t xml:space="preserve"> fueron diferidas para ser analizadas con el fondo de la decisión. </w:t>
      </w:r>
    </w:p>
    <w:p w14:paraId="3E97B6C7" w14:textId="7A98156B" w:rsidR="004C773C" w:rsidRPr="00A84B64" w:rsidRDefault="00ED25FF" w:rsidP="004C773C">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t>Los</w:t>
      </w:r>
      <w:r w:rsidR="004C773C" w:rsidRPr="00A84B64">
        <w:rPr>
          <w:rFonts w:ascii="Verdana" w:hAnsi="Verdana" w:cs="Arial"/>
          <w:sz w:val="22"/>
          <w:szCs w:val="22"/>
        </w:rPr>
        <w:t xml:space="preserve"> hechos del proceso no corresponden al riesgo asegurado en la póliza, pues solo se cubrían los riesgos acaecidos con ocasión a la prestación del servicio y actividades propias del INPEC conforme a su designio y objeto social, por lo que las actividades deportivas ajenas al servicio del INPEC, como el caso de la demanda, no se enc</w:t>
      </w:r>
      <w:r w:rsidR="00736C9D" w:rsidRPr="00A84B64">
        <w:rPr>
          <w:rFonts w:ascii="Verdana" w:hAnsi="Verdana" w:cs="Arial"/>
          <w:sz w:val="22"/>
          <w:szCs w:val="22"/>
        </w:rPr>
        <w:t>ontraban</w:t>
      </w:r>
      <w:r w:rsidR="004C773C" w:rsidRPr="00A84B64">
        <w:rPr>
          <w:rFonts w:ascii="Verdana" w:hAnsi="Verdana" w:cs="Arial"/>
          <w:sz w:val="22"/>
          <w:szCs w:val="22"/>
        </w:rPr>
        <w:t xml:space="preserve"> asegurada</w:t>
      </w:r>
      <w:r w:rsidR="00736C9D" w:rsidRPr="00A84B64">
        <w:rPr>
          <w:rFonts w:ascii="Verdana" w:hAnsi="Verdana" w:cs="Arial"/>
          <w:sz w:val="22"/>
          <w:szCs w:val="22"/>
        </w:rPr>
        <w:t>s</w:t>
      </w:r>
      <w:r w:rsidR="004C773C" w:rsidRPr="00A84B64">
        <w:rPr>
          <w:rFonts w:ascii="Verdana" w:hAnsi="Verdana" w:cs="Arial"/>
          <w:sz w:val="22"/>
          <w:szCs w:val="22"/>
        </w:rPr>
        <w:t xml:space="preserve">. </w:t>
      </w:r>
    </w:p>
    <w:p w14:paraId="5D4BCDBA" w14:textId="6C7949C3" w:rsidR="004C773C" w:rsidRPr="00A84B64" w:rsidRDefault="004C773C" w:rsidP="004C773C">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t>La sentencia desconoció el límite del valor asegurado la póliza de vida grupo No. 21-71-1000000481, condenándolos a pagar una suma de dinero que sobrepasa de $175.</w:t>
      </w:r>
      <w:proofErr w:type="gramStart"/>
      <w:r w:rsidRPr="00A84B64">
        <w:rPr>
          <w:rFonts w:ascii="Verdana" w:hAnsi="Verdana" w:cs="Arial"/>
          <w:sz w:val="22"/>
          <w:szCs w:val="22"/>
        </w:rPr>
        <w:t>500.000.oo</w:t>
      </w:r>
      <w:proofErr w:type="gramEnd"/>
      <w:r w:rsidR="00731D1C" w:rsidRPr="00A84B64">
        <w:rPr>
          <w:rFonts w:ascii="Verdana" w:hAnsi="Verdana" w:cs="Arial"/>
          <w:sz w:val="22"/>
          <w:szCs w:val="22"/>
        </w:rPr>
        <w:t>,</w:t>
      </w:r>
      <w:r w:rsidRPr="00A84B64">
        <w:rPr>
          <w:rFonts w:ascii="Verdana" w:hAnsi="Verdana" w:cs="Arial"/>
          <w:sz w:val="22"/>
          <w:szCs w:val="22"/>
        </w:rPr>
        <w:t xml:space="preserve"> aun cuando el límite asegurado era únicamente $30.594.348.oo. </w:t>
      </w:r>
      <w:r w:rsidR="00731D1C" w:rsidRPr="00A84B64">
        <w:rPr>
          <w:rFonts w:ascii="Verdana" w:hAnsi="Verdana" w:cs="Arial"/>
          <w:sz w:val="22"/>
          <w:szCs w:val="22"/>
        </w:rPr>
        <w:t>Así mismo, adicionó</w:t>
      </w:r>
      <w:r w:rsidRPr="00A84B64">
        <w:rPr>
          <w:rFonts w:ascii="Verdana" w:hAnsi="Verdana" w:cs="Arial"/>
          <w:sz w:val="22"/>
          <w:szCs w:val="22"/>
        </w:rPr>
        <w:t xml:space="preserve"> que </w:t>
      </w:r>
      <w:r w:rsidR="00731D1C" w:rsidRPr="00A84B64">
        <w:rPr>
          <w:rFonts w:ascii="Verdana" w:hAnsi="Verdana" w:cs="Arial"/>
          <w:sz w:val="22"/>
          <w:szCs w:val="22"/>
        </w:rPr>
        <w:t>en este</w:t>
      </w:r>
      <w:r w:rsidRPr="00A84B64">
        <w:rPr>
          <w:rFonts w:ascii="Verdana" w:hAnsi="Verdana" w:cs="Arial"/>
          <w:sz w:val="22"/>
          <w:szCs w:val="22"/>
        </w:rPr>
        <w:t xml:space="preserve"> caso es necesario realizar una operación proporcional a la pérdida de capacidad laboral, es decir que el valor asegurado de $30.594.348, correspondería a una pérdida de la capacidad laboral del 75%, pero como la pérdida de capacidad laboral fue del 28.25%, en caso de llegar a ser condenados la suma a reconocer serán $11.</w:t>
      </w:r>
      <w:proofErr w:type="gramStart"/>
      <w:r w:rsidRPr="00A84B64">
        <w:rPr>
          <w:rFonts w:ascii="Verdana" w:hAnsi="Verdana" w:cs="Arial"/>
          <w:sz w:val="22"/>
          <w:szCs w:val="22"/>
        </w:rPr>
        <w:t>523.872</w:t>
      </w:r>
      <w:r w:rsidR="00731D1C" w:rsidRPr="00A84B64">
        <w:rPr>
          <w:rFonts w:ascii="Verdana" w:hAnsi="Verdana" w:cs="Arial"/>
          <w:sz w:val="22"/>
          <w:szCs w:val="22"/>
        </w:rPr>
        <w:t>.oo</w:t>
      </w:r>
      <w:proofErr w:type="gramEnd"/>
      <w:r w:rsidR="00731D1C" w:rsidRPr="00A84B64">
        <w:rPr>
          <w:rFonts w:ascii="Verdana" w:hAnsi="Verdana" w:cs="Arial"/>
          <w:sz w:val="22"/>
          <w:szCs w:val="22"/>
        </w:rPr>
        <w:t>.</w:t>
      </w:r>
    </w:p>
    <w:p w14:paraId="7359A853" w14:textId="792AD1C2" w:rsidR="00123A77" w:rsidRPr="00A84B64" w:rsidRDefault="004C773C" w:rsidP="005F4297">
      <w:pPr>
        <w:pStyle w:val="Prrafodelista"/>
        <w:numPr>
          <w:ilvl w:val="0"/>
          <w:numId w:val="20"/>
        </w:numPr>
        <w:spacing w:line="360" w:lineRule="auto"/>
        <w:jc w:val="both"/>
        <w:rPr>
          <w:rFonts w:ascii="Verdana" w:hAnsi="Verdana" w:cs="Arial"/>
          <w:sz w:val="22"/>
          <w:szCs w:val="22"/>
        </w:rPr>
      </w:pPr>
      <w:r w:rsidRPr="00A84B64">
        <w:rPr>
          <w:rFonts w:ascii="Verdana" w:hAnsi="Verdana" w:cs="Arial"/>
          <w:sz w:val="22"/>
          <w:szCs w:val="22"/>
        </w:rPr>
        <w:t xml:space="preserve">Adicionalmente indicó </w:t>
      </w:r>
      <w:r w:rsidR="00736C9D" w:rsidRPr="00A84B64">
        <w:rPr>
          <w:rFonts w:ascii="Verdana" w:hAnsi="Verdana" w:cs="Arial"/>
          <w:sz w:val="22"/>
          <w:szCs w:val="22"/>
        </w:rPr>
        <w:t xml:space="preserve">que la póliza de vida grupo No. 21-71-1000000481, trataba de un seguro de “personas”, por tanto, la suma asegurada NO cubría toda clase de perjuicio, como </w:t>
      </w:r>
      <w:r w:rsidRPr="00A84B64">
        <w:rPr>
          <w:rFonts w:ascii="Verdana" w:hAnsi="Verdana" w:cs="Arial"/>
          <w:sz w:val="22"/>
          <w:szCs w:val="22"/>
        </w:rPr>
        <w:t>lucro cesante y daño moral.</w:t>
      </w:r>
    </w:p>
    <w:p w14:paraId="7B4DD10C" w14:textId="27D99602" w:rsidR="00123A77" w:rsidRPr="00A84B64" w:rsidRDefault="00123A77" w:rsidP="00123A77">
      <w:pPr>
        <w:pStyle w:val="Prrafodelista"/>
        <w:numPr>
          <w:ilvl w:val="0"/>
          <w:numId w:val="20"/>
        </w:numPr>
        <w:spacing w:line="360" w:lineRule="auto"/>
        <w:jc w:val="both"/>
        <w:rPr>
          <w:rFonts w:ascii="Verdana" w:hAnsi="Verdana"/>
          <w:b/>
          <w:sz w:val="22"/>
          <w:szCs w:val="22"/>
        </w:rPr>
      </w:pPr>
      <w:r w:rsidRPr="00A84B64">
        <w:rPr>
          <w:rFonts w:ascii="Verdana" w:hAnsi="Verdana" w:cs="Arial"/>
          <w:sz w:val="22"/>
          <w:szCs w:val="22"/>
        </w:rPr>
        <w:t>La sentencia atacada en su numeral noveno de la parte resolutiva impuso una carga en abstracto para esta Aseguradora, lo cual no es entendible tratándose de un seguro de vida, al efecto, aclaró que los seguros de personas operan frente a la verificación objetiva de la ocurrencia del riesgo asegurado (afectación de la vida y/o salud de la persona asegurada), y adicionalmente en que la suma de dinero que se paga a título de “suma asegurada” no ostenta un carácter indemnizatorio, sino que simplemente es un monto de dinero “fijo” que las partes libremente acordaron, por lo mismo, no pueden ser imputado a ningún concepto indemnizatorio; y tampoco sobrepasar este valor específico. También arguyó que resulta un contrasentido legal que mientras los numerales 5, 6, 7 y 8</w:t>
      </w:r>
      <w:r w:rsidR="00067C17" w:rsidRPr="00A84B64">
        <w:rPr>
          <w:rFonts w:ascii="Verdana" w:hAnsi="Verdana" w:cs="Arial"/>
          <w:sz w:val="22"/>
          <w:szCs w:val="22"/>
        </w:rPr>
        <w:t xml:space="preserve"> de la parte resolutiva de la sentencia</w:t>
      </w:r>
      <w:r w:rsidRPr="00A84B64">
        <w:rPr>
          <w:rFonts w:ascii="Verdana" w:hAnsi="Verdana" w:cs="Arial"/>
          <w:sz w:val="22"/>
          <w:szCs w:val="22"/>
        </w:rPr>
        <w:t xml:space="preserve"> le imp</w:t>
      </w:r>
      <w:r w:rsidR="00067C17" w:rsidRPr="00A84B64">
        <w:rPr>
          <w:rFonts w:ascii="Verdana" w:hAnsi="Verdana" w:cs="Arial"/>
          <w:sz w:val="22"/>
          <w:szCs w:val="22"/>
        </w:rPr>
        <w:t>usieron</w:t>
      </w:r>
      <w:r w:rsidRPr="00A84B64">
        <w:rPr>
          <w:rFonts w:ascii="Verdana" w:hAnsi="Verdana" w:cs="Arial"/>
          <w:sz w:val="22"/>
          <w:szCs w:val="22"/>
        </w:rPr>
        <w:t xml:space="preserve"> a </w:t>
      </w:r>
      <w:r w:rsidR="00067C17" w:rsidRPr="00A84B64">
        <w:rPr>
          <w:rFonts w:ascii="Verdana" w:hAnsi="Verdana" w:cs="Arial"/>
          <w:sz w:val="22"/>
          <w:szCs w:val="22"/>
        </w:rPr>
        <w:t>Seguros Vida del Estado S.A.</w:t>
      </w:r>
      <w:r w:rsidRPr="00A84B64">
        <w:rPr>
          <w:rFonts w:ascii="Verdana" w:hAnsi="Verdana" w:cs="Arial"/>
          <w:sz w:val="22"/>
          <w:szCs w:val="22"/>
        </w:rPr>
        <w:t xml:space="preserve"> la obligación de pagar las indemnizaciones reconocidas en solidaridad con el INPEC, a continuación</w:t>
      </w:r>
      <w:r w:rsidR="00067C17" w:rsidRPr="00A84B64">
        <w:rPr>
          <w:rFonts w:ascii="Verdana" w:hAnsi="Verdana" w:cs="Arial"/>
          <w:sz w:val="22"/>
          <w:szCs w:val="22"/>
        </w:rPr>
        <w:t>,</w:t>
      </w:r>
      <w:r w:rsidRPr="00A84B64">
        <w:rPr>
          <w:rFonts w:ascii="Verdana" w:hAnsi="Verdana" w:cs="Arial"/>
          <w:sz w:val="22"/>
          <w:szCs w:val="22"/>
        </w:rPr>
        <w:t xml:space="preserve"> en su numeral 9, le imp</w:t>
      </w:r>
      <w:r w:rsidR="00067C17" w:rsidRPr="00A84B64">
        <w:rPr>
          <w:rFonts w:ascii="Verdana" w:hAnsi="Verdana" w:cs="Arial"/>
          <w:sz w:val="22"/>
          <w:szCs w:val="22"/>
        </w:rPr>
        <w:t>usieron</w:t>
      </w:r>
      <w:r w:rsidRPr="00A84B64">
        <w:rPr>
          <w:rFonts w:ascii="Verdana" w:hAnsi="Verdana" w:cs="Arial"/>
          <w:sz w:val="22"/>
          <w:szCs w:val="22"/>
        </w:rPr>
        <w:t xml:space="preserve"> la obligación de devolver un porcentaje de las coberturas </w:t>
      </w:r>
      <w:r w:rsidRPr="00A84B64">
        <w:rPr>
          <w:rFonts w:ascii="Verdana" w:hAnsi="Verdana" w:cs="Arial"/>
          <w:sz w:val="22"/>
          <w:szCs w:val="22"/>
        </w:rPr>
        <w:lastRenderedPageBreak/>
        <w:t>de la póliza al INPEC; cuando resulta evidente que las obligaciones así estipuladas resultan excluyentes.</w:t>
      </w:r>
    </w:p>
    <w:p w14:paraId="1964858E" w14:textId="77777777" w:rsidR="00BB0712" w:rsidRPr="00A84B64" w:rsidRDefault="00BB0712" w:rsidP="00BB0712">
      <w:pPr>
        <w:spacing w:line="360" w:lineRule="auto"/>
        <w:jc w:val="both"/>
        <w:rPr>
          <w:rFonts w:ascii="Verdana" w:hAnsi="Verdana"/>
          <w:b/>
          <w:sz w:val="24"/>
          <w:szCs w:val="24"/>
        </w:rPr>
      </w:pPr>
    </w:p>
    <w:p w14:paraId="0CF0642C" w14:textId="4DD96BB0" w:rsidR="004C773C" w:rsidRPr="00A84B64" w:rsidRDefault="004C773C" w:rsidP="004C773C">
      <w:pPr>
        <w:spacing w:line="360" w:lineRule="auto"/>
        <w:ind w:left="708"/>
        <w:jc w:val="both"/>
        <w:rPr>
          <w:rFonts w:ascii="Verdana" w:hAnsi="Verdana"/>
          <w:b/>
          <w:sz w:val="22"/>
          <w:szCs w:val="22"/>
        </w:rPr>
      </w:pPr>
      <w:r w:rsidRPr="00A84B64">
        <w:rPr>
          <w:rFonts w:ascii="Verdana" w:hAnsi="Verdana"/>
          <w:b/>
          <w:sz w:val="22"/>
          <w:szCs w:val="22"/>
        </w:rPr>
        <w:t>2.</w:t>
      </w:r>
      <w:r w:rsidR="003B03CF" w:rsidRPr="00A84B64">
        <w:rPr>
          <w:rFonts w:ascii="Verdana" w:hAnsi="Verdana"/>
          <w:b/>
          <w:sz w:val="22"/>
          <w:szCs w:val="22"/>
        </w:rPr>
        <w:t>4</w:t>
      </w:r>
      <w:r w:rsidRPr="00A84B64">
        <w:rPr>
          <w:rFonts w:ascii="Verdana" w:hAnsi="Verdana"/>
          <w:b/>
          <w:sz w:val="22"/>
          <w:szCs w:val="22"/>
        </w:rPr>
        <w:t>. ALEGATOS DE CONCLUSIÓN</w:t>
      </w:r>
    </w:p>
    <w:p w14:paraId="7D3F99FD" w14:textId="77777777" w:rsidR="004C773C" w:rsidRPr="00A84B64" w:rsidRDefault="004C773C" w:rsidP="004C773C">
      <w:pPr>
        <w:spacing w:line="360" w:lineRule="auto"/>
        <w:jc w:val="both"/>
        <w:rPr>
          <w:rFonts w:ascii="Verdana" w:hAnsi="Verdana"/>
          <w:b/>
          <w:sz w:val="22"/>
          <w:szCs w:val="22"/>
        </w:rPr>
      </w:pPr>
    </w:p>
    <w:p w14:paraId="0C036CFC" w14:textId="445EECD0" w:rsidR="004C773C" w:rsidRPr="00A84B64" w:rsidRDefault="004C773C" w:rsidP="004C773C">
      <w:pPr>
        <w:spacing w:line="360" w:lineRule="auto"/>
        <w:jc w:val="both"/>
        <w:rPr>
          <w:rFonts w:ascii="Verdana" w:hAnsi="Verdana"/>
          <w:sz w:val="22"/>
          <w:szCs w:val="22"/>
        </w:rPr>
      </w:pPr>
      <w:r w:rsidRPr="00A84B64">
        <w:rPr>
          <w:rFonts w:ascii="Verdana" w:hAnsi="Verdana"/>
          <w:sz w:val="22"/>
          <w:szCs w:val="22"/>
        </w:rPr>
        <w:t>Admitido el recurso de apelación en segunda instancia y corrido el termino de traslado para alegar de conclusión (</w:t>
      </w:r>
      <w:proofErr w:type="spellStart"/>
      <w:r w:rsidR="004477AA" w:rsidRPr="00A84B64">
        <w:rPr>
          <w:rFonts w:ascii="Verdana" w:hAnsi="Verdana"/>
          <w:sz w:val="22"/>
          <w:szCs w:val="22"/>
        </w:rPr>
        <w:t>fl</w:t>
      </w:r>
      <w:proofErr w:type="spellEnd"/>
      <w:r w:rsidR="004477AA" w:rsidRPr="00A84B64">
        <w:rPr>
          <w:rFonts w:ascii="Verdana" w:hAnsi="Verdana"/>
          <w:sz w:val="22"/>
          <w:szCs w:val="22"/>
        </w:rPr>
        <w:t xml:space="preserve">. </w:t>
      </w:r>
      <w:r w:rsidRPr="00A84B64">
        <w:rPr>
          <w:rFonts w:ascii="Verdana" w:hAnsi="Verdana"/>
          <w:sz w:val="22"/>
          <w:szCs w:val="22"/>
        </w:rPr>
        <w:t>846), el apoderado judicial de la parte demandante alegó de conclusión</w:t>
      </w:r>
      <w:r w:rsidR="004477AA" w:rsidRPr="00A84B64">
        <w:rPr>
          <w:rFonts w:ascii="Verdana" w:hAnsi="Verdana"/>
          <w:sz w:val="22"/>
          <w:szCs w:val="22"/>
        </w:rPr>
        <w:t xml:space="preserve"> (</w:t>
      </w:r>
      <w:proofErr w:type="spellStart"/>
      <w:r w:rsidRPr="00A84B64">
        <w:rPr>
          <w:rFonts w:ascii="Verdana" w:hAnsi="Verdana"/>
          <w:sz w:val="22"/>
          <w:szCs w:val="22"/>
        </w:rPr>
        <w:t>Fls</w:t>
      </w:r>
      <w:proofErr w:type="spellEnd"/>
      <w:r w:rsidRPr="00A84B64">
        <w:rPr>
          <w:rFonts w:ascii="Verdana" w:hAnsi="Verdana"/>
          <w:sz w:val="22"/>
          <w:szCs w:val="22"/>
        </w:rPr>
        <w:t>. 921-935) reafirm</w:t>
      </w:r>
      <w:r w:rsidR="007A0918" w:rsidRPr="00A84B64">
        <w:rPr>
          <w:rFonts w:ascii="Verdana" w:hAnsi="Verdana"/>
          <w:sz w:val="22"/>
          <w:szCs w:val="22"/>
        </w:rPr>
        <w:t>a</w:t>
      </w:r>
      <w:r w:rsidRPr="00A84B64">
        <w:rPr>
          <w:rFonts w:ascii="Verdana" w:hAnsi="Verdana"/>
          <w:sz w:val="22"/>
          <w:szCs w:val="22"/>
        </w:rPr>
        <w:t>ndo los argumentos expuestos con el recurso de apelación, adicionalmente señaló respecto al principio de justicia rogada y principio de congruencia que los mismos han venido sufriendo cambios imponderables lo cual ha de ser tenido en cuenta para modificar la sentencia impugnada en lo que respecta a la indemnización por lucro cesante consolidado.</w:t>
      </w:r>
    </w:p>
    <w:p w14:paraId="7A78AC93" w14:textId="77777777" w:rsidR="004C773C" w:rsidRPr="00A84B64" w:rsidRDefault="004C773C" w:rsidP="004C773C">
      <w:pPr>
        <w:spacing w:line="360" w:lineRule="auto"/>
        <w:jc w:val="both"/>
        <w:rPr>
          <w:rFonts w:ascii="Verdana" w:hAnsi="Verdana"/>
          <w:sz w:val="22"/>
          <w:szCs w:val="22"/>
        </w:rPr>
      </w:pPr>
    </w:p>
    <w:p w14:paraId="028189FA" w14:textId="5695D0DA" w:rsidR="004C773C" w:rsidRPr="00A84B64" w:rsidRDefault="004C773C" w:rsidP="004C773C">
      <w:pPr>
        <w:spacing w:line="360" w:lineRule="auto"/>
        <w:jc w:val="both"/>
        <w:rPr>
          <w:rFonts w:ascii="Verdana" w:hAnsi="Verdana"/>
          <w:sz w:val="22"/>
          <w:szCs w:val="22"/>
        </w:rPr>
      </w:pPr>
      <w:r w:rsidRPr="00A84B64">
        <w:rPr>
          <w:rFonts w:ascii="Verdana" w:hAnsi="Verdana"/>
          <w:sz w:val="22"/>
          <w:szCs w:val="22"/>
        </w:rPr>
        <w:t>El apoderado judicial del INPEC allegó sus alegatos de conclusión (</w:t>
      </w:r>
      <w:proofErr w:type="spellStart"/>
      <w:r w:rsidR="004477AA" w:rsidRPr="00A84B64">
        <w:rPr>
          <w:rFonts w:ascii="Verdana" w:hAnsi="Verdana"/>
          <w:sz w:val="22"/>
          <w:szCs w:val="22"/>
        </w:rPr>
        <w:t>Fls</w:t>
      </w:r>
      <w:proofErr w:type="spellEnd"/>
      <w:r w:rsidR="004477AA" w:rsidRPr="00A84B64">
        <w:rPr>
          <w:rFonts w:ascii="Verdana" w:hAnsi="Verdana"/>
          <w:sz w:val="22"/>
          <w:szCs w:val="22"/>
        </w:rPr>
        <w:t xml:space="preserve">. </w:t>
      </w:r>
      <w:r w:rsidRPr="00A84B64">
        <w:rPr>
          <w:rFonts w:ascii="Verdana" w:hAnsi="Verdana"/>
          <w:sz w:val="22"/>
          <w:szCs w:val="22"/>
        </w:rPr>
        <w:t xml:space="preserve"> 917-920) reiterando los argumentos expuestos en el recurso de apelación</w:t>
      </w:r>
      <w:r w:rsidR="004477AA" w:rsidRPr="00A84B64">
        <w:rPr>
          <w:rFonts w:ascii="Verdana" w:hAnsi="Verdana"/>
          <w:sz w:val="22"/>
          <w:szCs w:val="22"/>
        </w:rPr>
        <w:t>.</w:t>
      </w:r>
    </w:p>
    <w:p w14:paraId="3E96F7FD" w14:textId="77777777" w:rsidR="004C773C" w:rsidRPr="00A84B64" w:rsidRDefault="004C773C" w:rsidP="004C773C">
      <w:pPr>
        <w:spacing w:line="360" w:lineRule="auto"/>
        <w:jc w:val="both"/>
        <w:rPr>
          <w:rFonts w:ascii="Verdana" w:hAnsi="Verdana"/>
          <w:sz w:val="22"/>
          <w:szCs w:val="22"/>
        </w:rPr>
      </w:pPr>
    </w:p>
    <w:p w14:paraId="40B47948" w14:textId="2FD427A4" w:rsidR="004C773C" w:rsidRPr="00A84B64" w:rsidRDefault="004C773C" w:rsidP="004C773C">
      <w:pPr>
        <w:spacing w:line="360" w:lineRule="auto"/>
        <w:jc w:val="both"/>
        <w:rPr>
          <w:rFonts w:ascii="Verdana" w:hAnsi="Verdana"/>
          <w:sz w:val="22"/>
          <w:szCs w:val="22"/>
        </w:rPr>
      </w:pPr>
      <w:r w:rsidRPr="00A84B64">
        <w:rPr>
          <w:rFonts w:ascii="Verdana" w:hAnsi="Verdana"/>
          <w:sz w:val="22"/>
          <w:szCs w:val="22"/>
        </w:rPr>
        <w:t>Así mismo, Seguros de Vida del Estado</w:t>
      </w:r>
      <w:r w:rsidR="004477AA" w:rsidRPr="00A84B64">
        <w:rPr>
          <w:rFonts w:ascii="Verdana" w:hAnsi="Verdana"/>
          <w:sz w:val="22"/>
          <w:szCs w:val="22"/>
        </w:rPr>
        <w:t xml:space="preserve"> S.A.</w:t>
      </w:r>
      <w:r w:rsidRPr="00A84B64">
        <w:rPr>
          <w:rFonts w:ascii="Verdana" w:hAnsi="Verdana"/>
          <w:sz w:val="22"/>
          <w:szCs w:val="22"/>
        </w:rPr>
        <w:t>, allegó sus alegatos de conclusión (</w:t>
      </w:r>
      <w:proofErr w:type="spellStart"/>
      <w:r w:rsidR="004477AA" w:rsidRPr="00A84B64">
        <w:rPr>
          <w:rFonts w:ascii="Verdana" w:hAnsi="Verdana"/>
          <w:sz w:val="22"/>
          <w:szCs w:val="22"/>
        </w:rPr>
        <w:t>Fls</w:t>
      </w:r>
      <w:proofErr w:type="spellEnd"/>
      <w:r w:rsidR="004477AA" w:rsidRPr="00A84B64">
        <w:rPr>
          <w:rFonts w:ascii="Verdana" w:hAnsi="Verdana"/>
          <w:sz w:val="22"/>
          <w:szCs w:val="22"/>
        </w:rPr>
        <w:t xml:space="preserve">. </w:t>
      </w:r>
      <w:r w:rsidRPr="00A84B64">
        <w:rPr>
          <w:rFonts w:ascii="Verdana" w:hAnsi="Verdana"/>
          <w:sz w:val="22"/>
          <w:szCs w:val="22"/>
        </w:rPr>
        <w:t xml:space="preserve">911-916), </w:t>
      </w:r>
      <w:r w:rsidR="004477AA" w:rsidRPr="00A84B64">
        <w:rPr>
          <w:rFonts w:ascii="Verdana" w:hAnsi="Verdana"/>
          <w:sz w:val="22"/>
          <w:szCs w:val="22"/>
        </w:rPr>
        <w:t>reiterando</w:t>
      </w:r>
      <w:r w:rsidRPr="00A84B64">
        <w:rPr>
          <w:rFonts w:ascii="Verdana" w:hAnsi="Verdana"/>
          <w:sz w:val="22"/>
          <w:szCs w:val="22"/>
        </w:rPr>
        <w:t xml:space="preserve"> los argumentos expuestos en el recurso de apelación.</w:t>
      </w:r>
    </w:p>
    <w:p w14:paraId="669D9DDD" w14:textId="4549484F" w:rsidR="004C773C" w:rsidRPr="00A84B64" w:rsidRDefault="004C773C" w:rsidP="004C773C">
      <w:pPr>
        <w:spacing w:line="360" w:lineRule="auto"/>
        <w:jc w:val="both"/>
        <w:rPr>
          <w:rFonts w:ascii="Verdana" w:hAnsi="Verdana"/>
          <w:sz w:val="24"/>
          <w:szCs w:val="24"/>
        </w:rPr>
      </w:pPr>
    </w:p>
    <w:p w14:paraId="53F6CE4E" w14:textId="4E4BDC62" w:rsidR="004477AA" w:rsidRPr="00A84B64" w:rsidRDefault="004477AA" w:rsidP="004477AA">
      <w:pPr>
        <w:spacing w:line="360" w:lineRule="auto"/>
        <w:ind w:left="708"/>
        <w:jc w:val="both"/>
        <w:rPr>
          <w:rFonts w:ascii="Verdana" w:hAnsi="Verdana"/>
          <w:b/>
          <w:sz w:val="22"/>
          <w:szCs w:val="22"/>
        </w:rPr>
      </w:pPr>
      <w:r w:rsidRPr="00A84B64">
        <w:rPr>
          <w:rFonts w:ascii="Verdana" w:hAnsi="Verdana"/>
          <w:b/>
          <w:sz w:val="22"/>
          <w:szCs w:val="22"/>
        </w:rPr>
        <w:t>2.5. CONCEPTO DEL MINISTERIO PÚBLICO</w:t>
      </w:r>
      <w:r w:rsidR="00B65E37" w:rsidRPr="00A84B64">
        <w:rPr>
          <w:rFonts w:ascii="Verdana" w:hAnsi="Verdana"/>
          <w:b/>
          <w:sz w:val="22"/>
          <w:szCs w:val="22"/>
        </w:rPr>
        <w:t xml:space="preserve"> (</w:t>
      </w:r>
      <w:proofErr w:type="spellStart"/>
      <w:r w:rsidR="00B65E37" w:rsidRPr="00A84B64">
        <w:rPr>
          <w:rFonts w:ascii="Verdana" w:hAnsi="Verdana"/>
          <w:b/>
          <w:sz w:val="22"/>
          <w:szCs w:val="22"/>
        </w:rPr>
        <w:t>fls</w:t>
      </w:r>
      <w:proofErr w:type="spellEnd"/>
      <w:r w:rsidR="00B65E37" w:rsidRPr="00A84B64">
        <w:rPr>
          <w:rFonts w:ascii="Verdana" w:hAnsi="Verdana"/>
          <w:b/>
          <w:sz w:val="22"/>
          <w:szCs w:val="22"/>
        </w:rPr>
        <w:t>. 936-945)</w:t>
      </w:r>
    </w:p>
    <w:p w14:paraId="2767CB81" w14:textId="77777777" w:rsidR="004477AA" w:rsidRPr="00A84B64" w:rsidRDefault="004477AA" w:rsidP="004C773C">
      <w:pPr>
        <w:spacing w:line="360" w:lineRule="auto"/>
        <w:jc w:val="both"/>
        <w:rPr>
          <w:rFonts w:ascii="Verdana" w:hAnsi="Verdana"/>
          <w:sz w:val="22"/>
          <w:szCs w:val="22"/>
        </w:rPr>
      </w:pPr>
    </w:p>
    <w:p w14:paraId="1623E92D" w14:textId="17E411C4" w:rsidR="00F529C4" w:rsidRPr="00A84B64" w:rsidRDefault="004477AA" w:rsidP="004C773C">
      <w:pPr>
        <w:spacing w:line="360" w:lineRule="auto"/>
        <w:jc w:val="both"/>
        <w:rPr>
          <w:rFonts w:ascii="Verdana" w:hAnsi="Verdana"/>
          <w:sz w:val="22"/>
          <w:szCs w:val="22"/>
        </w:rPr>
      </w:pPr>
      <w:r w:rsidRPr="00A84B64">
        <w:rPr>
          <w:rFonts w:ascii="Verdana" w:hAnsi="Verdana"/>
          <w:sz w:val="22"/>
          <w:szCs w:val="22"/>
        </w:rPr>
        <w:t>El</w:t>
      </w:r>
      <w:r w:rsidR="004C773C" w:rsidRPr="00A84B64">
        <w:rPr>
          <w:rFonts w:ascii="Verdana" w:hAnsi="Verdana"/>
          <w:sz w:val="22"/>
          <w:szCs w:val="22"/>
        </w:rPr>
        <w:t xml:space="preserve"> </w:t>
      </w:r>
      <w:r w:rsidR="00F529C4" w:rsidRPr="00A84B64">
        <w:rPr>
          <w:rFonts w:ascii="Verdana" w:hAnsi="Verdana"/>
          <w:sz w:val="22"/>
          <w:szCs w:val="22"/>
        </w:rPr>
        <w:t xml:space="preserve">Agente del </w:t>
      </w:r>
      <w:r w:rsidR="004C773C" w:rsidRPr="00A84B64">
        <w:rPr>
          <w:rFonts w:ascii="Verdana" w:hAnsi="Verdana"/>
          <w:sz w:val="22"/>
          <w:szCs w:val="22"/>
        </w:rPr>
        <w:t xml:space="preserve">Ministerio Público, </w:t>
      </w:r>
      <w:r w:rsidR="00896722" w:rsidRPr="00A84B64">
        <w:rPr>
          <w:rFonts w:ascii="Verdana" w:hAnsi="Verdana"/>
          <w:sz w:val="22"/>
          <w:szCs w:val="22"/>
        </w:rPr>
        <w:t xml:space="preserve">Procurador 45 Judicial II para Asuntos Administrativos, </w:t>
      </w:r>
      <w:r w:rsidR="004C773C" w:rsidRPr="00A84B64">
        <w:rPr>
          <w:rFonts w:ascii="Verdana" w:hAnsi="Verdana"/>
          <w:sz w:val="22"/>
          <w:szCs w:val="22"/>
        </w:rPr>
        <w:t>emitió concepto</w:t>
      </w:r>
      <w:r w:rsidR="00F529C4" w:rsidRPr="00A84B64">
        <w:rPr>
          <w:rFonts w:ascii="Verdana" w:hAnsi="Verdana"/>
          <w:sz w:val="22"/>
          <w:szCs w:val="22"/>
        </w:rPr>
        <w:t xml:space="preserve"> solicitando</w:t>
      </w:r>
      <w:r w:rsidR="004C773C" w:rsidRPr="00A84B64">
        <w:rPr>
          <w:rFonts w:ascii="Verdana" w:hAnsi="Verdana"/>
          <w:sz w:val="22"/>
          <w:szCs w:val="22"/>
        </w:rPr>
        <w:t xml:space="preserve"> </w:t>
      </w:r>
      <w:r w:rsidR="00F529C4" w:rsidRPr="00A84B64">
        <w:rPr>
          <w:rFonts w:ascii="Verdana" w:hAnsi="Verdana"/>
          <w:sz w:val="22"/>
          <w:szCs w:val="22"/>
        </w:rPr>
        <w:t>confirmar el fallo de primera instancia, excepto el numeral sexto, para condenar a Seguros Vida del Estado S.A., a pagar al INPEC la suma de $ 30.594.348, conforme al riesgo amparado en la póliza vida seguro No. 21-71-1000000481 y en virtud del llamamiento en garantía que tal entidad hiciera.</w:t>
      </w:r>
      <w:r w:rsidR="004C773C" w:rsidRPr="00A84B64">
        <w:rPr>
          <w:rFonts w:ascii="Verdana" w:hAnsi="Verdana"/>
          <w:sz w:val="22"/>
          <w:szCs w:val="22"/>
        </w:rPr>
        <w:t xml:space="preserve"> </w:t>
      </w:r>
    </w:p>
    <w:p w14:paraId="0F229ADF" w14:textId="77777777" w:rsidR="00F529C4" w:rsidRPr="00A84B64" w:rsidRDefault="00F529C4" w:rsidP="004C773C">
      <w:pPr>
        <w:spacing w:line="360" w:lineRule="auto"/>
        <w:jc w:val="both"/>
        <w:rPr>
          <w:rFonts w:ascii="Verdana" w:hAnsi="Verdana"/>
          <w:sz w:val="22"/>
          <w:szCs w:val="22"/>
        </w:rPr>
      </w:pPr>
    </w:p>
    <w:p w14:paraId="4B781E47" w14:textId="77777777" w:rsidR="00D5590E" w:rsidRPr="00A84B64" w:rsidRDefault="00A16906" w:rsidP="004C773C">
      <w:pPr>
        <w:spacing w:line="360" w:lineRule="auto"/>
        <w:jc w:val="both"/>
        <w:rPr>
          <w:rFonts w:ascii="Verdana" w:hAnsi="Verdana"/>
          <w:sz w:val="22"/>
          <w:szCs w:val="22"/>
        </w:rPr>
      </w:pPr>
      <w:r w:rsidRPr="00A84B64">
        <w:rPr>
          <w:rFonts w:ascii="Verdana" w:hAnsi="Verdana"/>
          <w:sz w:val="22"/>
          <w:szCs w:val="22"/>
        </w:rPr>
        <w:t>Para arribar a esta conclusión, luego de enunciar los antecedentes y el problema jurídico, hizo alusión a la responsabilidad del Estado y seguidamente, abordó el caso concreto, realizando un análisis de lo probado en el proceso, encontrando acreditado que</w:t>
      </w:r>
      <w:r w:rsidR="004C773C" w:rsidRPr="00A84B64">
        <w:rPr>
          <w:rFonts w:ascii="Verdana" w:hAnsi="Verdana"/>
          <w:sz w:val="22"/>
          <w:szCs w:val="22"/>
        </w:rPr>
        <w:t xml:space="preserve"> el actor Luis Eduardo Ávila prestó el servicio militar como auxiliar bachiller, en desarrollo del servicio y cumpliendo órdenes sufrió la lesión en la rodilla derecha, cumplió con la carga que le impone la ley, pues adelantó todos los procedimientos (entiéndase exámenes, terapias, procedimientos quirúrgicos e incapacidades) a fin de recuperar su estado de salud, adelantó las gestiones administrativas que le correspondían para que la Junta Médico Laboral del </w:t>
      </w:r>
      <w:r w:rsidR="004C773C" w:rsidRPr="00A84B64">
        <w:rPr>
          <w:rFonts w:ascii="Verdana" w:hAnsi="Verdana"/>
          <w:sz w:val="22"/>
          <w:szCs w:val="22"/>
        </w:rPr>
        <w:lastRenderedPageBreak/>
        <w:t xml:space="preserve">Ejército Nacional efectuara la calificación de pérdida de capacidad laboral, sin que el INPEC lo citara para dichos efectos. </w:t>
      </w:r>
    </w:p>
    <w:p w14:paraId="426E9B7A" w14:textId="77777777" w:rsidR="00D5590E" w:rsidRPr="00A84B64" w:rsidRDefault="00D5590E" w:rsidP="004C773C">
      <w:pPr>
        <w:spacing w:line="360" w:lineRule="auto"/>
        <w:jc w:val="both"/>
        <w:rPr>
          <w:rFonts w:ascii="Verdana" w:hAnsi="Verdana"/>
          <w:sz w:val="22"/>
          <w:szCs w:val="22"/>
        </w:rPr>
      </w:pPr>
    </w:p>
    <w:p w14:paraId="47BE17E7" w14:textId="284F7E20" w:rsidR="004C773C" w:rsidRPr="00A84B64" w:rsidRDefault="004C773C" w:rsidP="004C773C">
      <w:pPr>
        <w:spacing w:line="360" w:lineRule="auto"/>
        <w:jc w:val="both"/>
        <w:rPr>
          <w:rFonts w:ascii="Verdana" w:hAnsi="Verdana"/>
          <w:sz w:val="22"/>
          <w:szCs w:val="22"/>
        </w:rPr>
      </w:pPr>
      <w:r w:rsidRPr="00A84B64">
        <w:rPr>
          <w:rFonts w:ascii="Verdana" w:hAnsi="Verdana"/>
          <w:sz w:val="22"/>
          <w:szCs w:val="22"/>
        </w:rPr>
        <w:t>Respecto al dictamen emitido por la Junta Regional de Calificación de Invalidez de Boyacá, determinó que cumplió con las exigencias establecidas y mediante este se logró probar el daño</w:t>
      </w:r>
      <w:r w:rsidR="00D5590E" w:rsidRPr="00A84B64">
        <w:rPr>
          <w:rFonts w:ascii="Verdana" w:hAnsi="Verdana"/>
          <w:sz w:val="22"/>
          <w:szCs w:val="22"/>
        </w:rPr>
        <w:t>,</w:t>
      </w:r>
      <w:r w:rsidRPr="00A84B64">
        <w:rPr>
          <w:rFonts w:ascii="Verdana" w:hAnsi="Verdana"/>
          <w:sz w:val="22"/>
          <w:szCs w:val="22"/>
        </w:rPr>
        <w:t xml:space="preserve"> el cual es imputable al INPEC.</w:t>
      </w:r>
    </w:p>
    <w:p w14:paraId="62A7D2FB" w14:textId="77777777" w:rsidR="004C773C" w:rsidRPr="00A84B64" w:rsidRDefault="004C773C" w:rsidP="004C773C">
      <w:pPr>
        <w:spacing w:line="360" w:lineRule="auto"/>
        <w:jc w:val="both"/>
        <w:rPr>
          <w:rFonts w:ascii="Verdana" w:hAnsi="Verdana"/>
          <w:sz w:val="22"/>
          <w:szCs w:val="22"/>
        </w:rPr>
      </w:pPr>
    </w:p>
    <w:p w14:paraId="5DE36297" w14:textId="77777777" w:rsidR="00D5590E" w:rsidRPr="00A84B64" w:rsidRDefault="004C773C" w:rsidP="004C773C">
      <w:pPr>
        <w:spacing w:line="360" w:lineRule="auto"/>
        <w:jc w:val="both"/>
        <w:rPr>
          <w:rFonts w:ascii="Verdana" w:hAnsi="Verdana"/>
          <w:sz w:val="22"/>
          <w:szCs w:val="22"/>
        </w:rPr>
      </w:pPr>
      <w:r w:rsidRPr="00A84B64">
        <w:rPr>
          <w:rFonts w:ascii="Verdana" w:hAnsi="Verdana"/>
          <w:sz w:val="22"/>
          <w:szCs w:val="22"/>
        </w:rPr>
        <w:t xml:space="preserve">En cuanto a los argumentos expuestos en el recurso de alzada por la aseguradora </w:t>
      </w:r>
      <w:r w:rsidR="00D5590E" w:rsidRPr="00A84B64">
        <w:rPr>
          <w:rFonts w:ascii="Verdana" w:hAnsi="Verdana"/>
          <w:sz w:val="22"/>
          <w:szCs w:val="22"/>
        </w:rPr>
        <w:t>Seguros de Vida del Estado S.A.</w:t>
      </w:r>
      <w:r w:rsidRPr="00A84B64">
        <w:rPr>
          <w:rFonts w:ascii="Verdana" w:hAnsi="Verdana"/>
          <w:sz w:val="22"/>
          <w:szCs w:val="22"/>
        </w:rPr>
        <w:t xml:space="preserve">, resaltó que era de recibo tener en cuenta que una póliza fue expedida erróneamente y anulada (21-71- 1000000479), por lo cual no gozó de efectos jurídicos dentro del presente proceso, pero en su reemplazo </w:t>
      </w:r>
      <w:r w:rsidR="00D5590E" w:rsidRPr="00A84B64">
        <w:rPr>
          <w:rFonts w:ascii="Verdana" w:hAnsi="Verdana"/>
          <w:sz w:val="22"/>
          <w:szCs w:val="22"/>
        </w:rPr>
        <w:t xml:space="preserve">se expidió </w:t>
      </w:r>
      <w:r w:rsidRPr="00A84B64">
        <w:rPr>
          <w:rFonts w:ascii="Verdana" w:hAnsi="Verdana"/>
          <w:sz w:val="22"/>
          <w:szCs w:val="22"/>
        </w:rPr>
        <w:t xml:space="preserve">la póliza No. 21-71- 1000000481, siendo esta la única póliza vigente y con efectos contractuales para la época de los hechos. </w:t>
      </w:r>
    </w:p>
    <w:p w14:paraId="72086B50" w14:textId="77777777" w:rsidR="00D5590E" w:rsidRPr="00A84B64" w:rsidRDefault="00D5590E" w:rsidP="004C773C">
      <w:pPr>
        <w:spacing w:line="360" w:lineRule="auto"/>
        <w:jc w:val="both"/>
        <w:rPr>
          <w:rFonts w:ascii="Verdana" w:hAnsi="Verdana"/>
          <w:sz w:val="22"/>
          <w:szCs w:val="22"/>
        </w:rPr>
      </w:pPr>
    </w:p>
    <w:p w14:paraId="790C29DA" w14:textId="77777777" w:rsidR="001248F6" w:rsidRPr="00A84B64" w:rsidRDefault="004C773C" w:rsidP="004C773C">
      <w:pPr>
        <w:spacing w:line="360" w:lineRule="auto"/>
        <w:jc w:val="both"/>
        <w:rPr>
          <w:rFonts w:ascii="Verdana" w:hAnsi="Verdana"/>
          <w:sz w:val="22"/>
          <w:szCs w:val="22"/>
        </w:rPr>
      </w:pPr>
      <w:r w:rsidRPr="00A84B64">
        <w:rPr>
          <w:rFonts w:ascii="Verdana" w:hAnsi="Verdana"/>
          <w:sz w:val="22"/>
          <w:szCs w:val="22"/>
        </w:rPr>
        <w:t>Además, señaló que los amparos asegurados en la Póliza No. 21-71-1000000481 fueron</w:t>
      </w:r>
      <w:r w:rsidR="00D5590E" w:rsidRPr="00A84B64">
        <w:rPr>
          <w:rFonts w:ascii="Verdana" w:hAnsi="Verdana"/>
          <w:sz w:val="22"/>
          <w:szCs w:val="22"/>
        </w:rPr>
        <w:t xml:space="preserve">: </w:t>
      </w:r>
      <w:r w:rsidRPr="00A84B64">
        <w:rPr>
          <w:rFonts w:ascii="Verdana" w:hAnsi="Verdana"/>
          <w:sz w:val="22"/>
          <w:szCs w:val="22"/>
        </w:rPr>
        <w:t>Muerte por cualquier causa, Auxilio funerario EVG- 052 e Incapacidad total y permanente</w:t>
      </w:r>
      <w:r w:rsidR="00D5590E" w:rsidRPr="00A84B64">
        <w:rPr>
          <w:rFonts w:ascii="Verdana" w:hAnsi="Verdana"/>
          <w:sz w:val="22"/>
          <w:szCs w:val="22"/>
        </w:rPr>
        <w:t>,</w:t>
      </w:r>
      <w:r w:rsidRPr="00A84B64">
        <w:rPr>
          <w:rFonts w:ascii="Verdana" w:hAnsi="Verdana"/>
          <w:sz w:val="22"/>
          <w:szCs w:val="22"/>
        </w:rPr>
        <w:t xml:space="preserve"> por lo que no comprende indemnización por perjuicios morales o materiales (lucro cesante, daño emergente)</w:t>
      </w:r>
      <w:r w:rsidR="00D5590E" w:rsidRPr="00A84B64">
        <w:rPr>
          <w:rFonts w:ascii="Verdana" w:hAnsi="Verdana"/>
          <w:sz w:val="22"/>
          <w:szCs w:val="22"/>
        </w:rPr>
        <w:t xml:space="preserve">, </w:t>
      </w:r>
      <w:r w:rsidRPr="00A84B64">
        <w:rPr>
          <w:rFonts w:ascii="Verdana" w:hAnsi="Verdana"/>
          <w:sz w:val="22"/>
          <w:szCs w:val="22"/>
        </w:rPr>
        <w:t>en ese sentido</w:t>
      </w:r>
      <w:r w:rsidR="00D5590E" w:rsidRPr="00A84B64">
        <w:rPr>
          <w:rFonts w:ascii="Verdana" w:hAnsi="Verdana"/>
          <w:sz w:val="22"/>
          <w:szCs w:val="22"/>
        </w:rPr>
        <w:t>,</w:t>
      </w:r>
      <w:r w:rsidRPr="00A84B64">
        <w:rPr>
          <w:rFonts w:ascii="Verdana" w:hAnsi="Verdana"/>
          <w:sz w:val="22"/>
          <w:szCs w:val="22"/>
        </w:rPr>
        <w:t xml:space="preserve"> no es una póliza de responsabilidad civil extracontractual, sino que es una póliza de personas (que sólo ampara en este caso la incapacidad laboral del demandante Luis Ávila), por la suma de $30.594.348</w:t>
      </w:r>
      <w:r w:rsidR="001248F6" w:rsidRPr="00A84B64">
        <w:rPr>
          <w:rFonts w:ascii="Verdana" w:hAnsi="Verdana"/>
          <w:sz w:val="22"/>
          <w:szCs w:val="22"/>
        </w:rPr>
        <w:t>.</w:t>
      </w:r>
    </w:p>
    <w:p w14:paraId="5F61D9BB" w14:textId="77777777" w:rsidR="001248F6" w:rsidRPr="00A84B64" w:rsidRDefault="001248F6" w:rsidP="004C773C">
      <w:pPr>
        <w:spacing w:line="360" w:lineRule="auto"/>
        <w:jc w:val="both"/>
        <w:rPr>
          <w:rFonts w:ascii="Verdana" w:hAnsi="Verdana"/>
          <w:sz w:val="22"/>
          <w:szCs w:val="22"/>
        </w:rPr>
      </w:pPr>
    </w:p>
    <w:p w14:paraId="05C37EDF" w14:textId="52E1848B" w:rsidR="004C773C" w:rsidRPr="00A84B64" w:rsidRDefault="001248F6" w:rsidP="004C773C">
      <w:pPr>
        <w:spacing w:line="360" w:lineRule="auto"/>
        <w:jc w:val="both"/>
        <w:rPr>
          <w:rFonts w:ascii="Verdana" w:hAnsi="Verdana"/>
          <w:sz w:val="22"/>
          <w:szCs w:val="22"/>
        </w:rPr>
      </w:pPr>
      <w:r w:rsidRPr="00A84B64">
        <w:rPr>
          <w:rFonts w:ascii="Verdana" w:hAnsi="Verdana"/>
          <w:sz w:val="22"/>
          <w:szCs w:val="22"/>
        </w:rPr>
        <w:t xml:space="preserve">Adujo que es procedente modificar la sentencia de primera instancia, en el sentido de declarar responsable única y exclusivamente al INPEC por los perjuicios materiales e inmateriales ocasionados a los demandantes. Así mismo, que corresponde </w:t>
      </w:r>
      <w:r w:rsidR="004C773C" w:rsidRPr="00A84B64">
        <w:rPr>
          <w:rFonts w:ascii="Verdana" w:hAnsi="Verdana"/>
          <w:sz w:val="22"/>
          <w:szCs w:val="22"/>
        </w:rPr>
        <w:t xml:space="preserve">modificar el numeral </w:t>
      </w:r>
      <w:r w:rsidRPr="00A84B64">
        <w:rPr>
          <w:rFonts w:ascii="Verdana" w:hAnsi="Verdana"/>
          <w:sz w:val="22"/>
          <w:szCs w:val="22"/>
        </w:rPr>
        <w:t>sexto</w:t>
      </w:r>
      <w:r w:rsidR="004C773C" w:rsidRPr="00A84B64">
        <w:rPr>
          <w:rFonts w:ascii="Verdana" w:hAnsi="Verdana"/>
          <w:sz w:val="22"/>
          <w:szCs w:val="22"/>
        </w:rPr>
        <w:t xml:space="preserve"> de la sentencia</w:t>
      </w:r>
      <w:r w:rsidRPr="00A84B64">
        <w:rPr>
          <w:rFonts w:ascii="Verdana" w:hAnsi="Verdana"/>
          <w:sz w:val="22"/>
          <w:szCs w:val="22"/>
        </w:rPr>
        <w:t xml:space="preserve"> y condenar a </w:t>
      </w:r>
      <w:r w:rsidR="008A0C13" w:rsidRPr="00A84B64">
        <w:rPr>
          <w:rFonts w:ascii="Verdana" w:hAnsi="Verdana"/>
          <w:sz w:val="22"/>
          <w:szCs w:val="22"/>
        </w:rPr>
        <w:t xml:space="preserve">Seguros Vida del Estado S.A. a pagar al INPEC la suma de $30.594.348, </w:t>
      </w:r>
      <w:r w:rsidR="004C773C" w:rsidRPr="00A84B64">
        <w:rPr>
          <w:rFonts w:ascii="Verdana" w:hAnsi="Verdana"/>
          <w:sz w:val="22"/>
          <w:szCs w:val="22"/>
        </w:rPr>
        <w:t>conforme al riesgo amparado en la póliza</w:t>
      </w:r>
      <w:r w:rsidR="008A0C13" w:rsidRPr="00A84B64">
        <w:rPr>
          <w:rFonts w:ascii="Verdana" w:hAnsi="Verdana"/>
          <w:sz w:val="22"/>
          <w:szCs w:val="22"/>
        </w:rPr>
        <w:t xml:space="preserve"> No. 21-71-1000000481</w:t>
      </w:r>
      <w:r w:rsidR="004C773C" w:rsidRPr="00A84B64">
        <w:rPr>
          <w:rFonts w:ascii="Verdana" w:hAnsi="Verdana"/>
          <w:sz w:val="22"/>
          <w:szCs w:val="22"/>
        </w:rPr>
        <w:t>.</w:t>
      </w:r>
    </w:p>
    <w:p w14:paraId="37E6DA00" w14:textId="44298E0A" w:rsidR="004C773C" w:rsidRPr="00A84B64" w:rsidRDefault="004C773C" w:rsidP="004C773C">
      <w:pPr>
        <w:spacing w:line="360" w:lineRule="auto"/>
        <w:jc w:val="both"/>
        <w:rPr>
          <w:rFonts w:ascii="Verdana" w:hAnsi="Verdana"/>
          <w:sz w:val="22"/>
          <w:szCs w:val="22"/>
        </w:rPr>
      </w:pPr>
      <w:r w:rsidRPr="00A84B64">
        <w:rPr>
          <w:rFonts w:ascii="Verdana" w:hAnsi="Verdana"/>
          <w:sz w:val="22"/>
          <w:szCs w:val="22"/>
        </w:rPr>
        <w:t xml:space="preserve">Por último, frente al reconocimiento del lucro cesante consolidado, expresó que el mismo debe ser negado, como quiera que </w:t>
      </w:r>
      <w:r w:rsidR="008A0C13" w:rsidRPr="00A84B64">
        <w:rPr>
          <w:rFonts w:ascii="Verdana" w:hAnsi="Verdana"/>
          <w:sz w:val="22"/>
          <w:szCs w:val="22"/>
        </w:rPr>
        <w:t>en el escrito de la demanda</w:t>
      </w:r>
      <w:r w:rsidRPr="00A84B64">
        <w:rPr>
          <w:rFonts w:ascii="Verdana" w:hAnsi="Verdana"/>
          <w:sz w:val="22"/>
          <w:szCs w:val="22"/>
        </w:rPr>
        <w:t xml:space="preserve"> solo reclamó el perjuicio material a título de lucro cesante futuro.</w:t>
      </w:r>
    </w:p>
    <w:p w14:paraId="2E45F330" w14:textId="77777777" w:rsidR="004C773C" w:rsidRPr="00A84B64" w:rsidRDefault="004C773C" w:rsidP="004C773C">
      <w:pPr>
        <w:spacing w:line="360" w:lineRule="auto"/>
        <w:jc w:val="both"/>
        <w:rPr>
          <w:rFonts w:ascii="Verdana" w:hAnsi="Verdana"/>
          <w:sz w:val="24"/>
          <w:szCs w:val="24"/>
        </w:rPr>
      </w:pPr>
    </w:p>
    <w:p w14:paraId="4C8F5353" w14:textId="77777777" w:rsidR="004C773C" w:rsidRPr="00A84B64" w:rsidRDefault="004C773C" w:rsidP="004C773C">
      <w:pPr>
        <w:pStyle w:val="Textoindependiente"/>
        <w:overflowPunct w:val="0"/>
        <w:autoSpaceDE w:val="0"/>
        <w:autoSpaceDN w:val="0"/>
        <w:adjustRightInd w:val="0"/>
        <w:spacing w:line="276" w:lineRule="auto"/>
        <w:ind w:left="360"/>
        <w:jc w:val="center"/>
        <w:textAlignment w:val="baseline"/>
        <w:rPr>
          <w:rFonts w:ascii="Verdana" w:hAnsi="Verdana" w:cs="Arial"/>
          <w:b/>
          <w:bCs/>
          <w:szCs w:val="24"/>
          <w:lang w:val="es-ES"/>
        </w:rPr>
      </w:pPr>
      <w:r w:rsidRPr="00A84B64">
        <w:rPr>
          <w:rFonts w:ascii="Verdana" w:hAnsi="Verdana" w:cs="Arial"/>
          <w:b/>
          <w:bCs/>
          <w:szCs w:val="24"/>
        </w:rPr>
        <w:t>III. C O N S I D E R A C I O N E S:</w:t>
      </w:r>
    </w:p>
    <w:p w14:paraId="317C7DA8" w14:textId="77777777" w:rsidR="004C773C" w:rsidRPr="00A84B64" w:rsidRDefault="004C773C" w:rsidP="004C773C">
      <w:pPr>
        <w:pStyle w:val="Textoindependiente"/>
        <w:spacing w:line="276" w:lineRule="auto"/>
        <w:rPr>
          <w:rFonts w:ascii="Verdana" w:hAnsi="Verdana" w:cs="Arial"/>
          <w:b/>
          <w:szCs w:val="24"/>
        </w:rPr>
      </w:pPr>
    </w:p>
    <w:p w14:paraId="0FED5C18" w14:textId="77777777" w:rsidR="004C773C" w:rsidRPr="00A84B64" w:rsidRDefault="004C773C" w:rsidP="004C773C">
      <w:pPr>
        <w:pStyle w:val="Textoindependiente"/>
        <w:spacing w:line="276" w:lineRule="auto"/>
        <w:ind w:firstLine="708"/>
        <w:rPr>
          <w:rFonts w:ascii="Verdana" w:hAnsi="Verdana" w:cs="Arial"/>
          <w:b/>
          <w:sz w:val="22"/>
          <w:szCs w:val="22"/>
          <w:u w:val="single"/>
        </w:rPr>
      </w:pPr>
      <w:r w:rsidRPr="00A84B64">
        <w:rPr>
          <w:rFonts w:ascii="Verdana" w:hAnsi="Verdana" w:cs="Arial"/>
          <w:b/>
          <w:sz w:val="22"/>
          <w:szCs w:val="22"/>
          <w:u w:val="single"/>
        </w:rPr>
        <w:t>3.1.- Problema jurídico:</w:t>
      </w:r>
    </w:p>
    <w:p w14:paraId="1FF2B1D4" w14:textId="77777777" w:rsidR="004C773C" w:rsidRPr="00A84B64" w:rsidRDefault="004C773C" w:rsidP="004C773C">
      <w:pPr>
        <w:pStyle w:val="Textoindependiente"/>
        <w:spacing w:line="276" w:lineRule="auto"/>
        <w:rPr>
          <w:rFonts w:ascii="Verdana" w:hAnsi="Verdana" w:cs="Arial"/>
          <w:sz w:val="22"/>
          <w:szCs w:val="22"/>
        </w:rPr>
      </w:pPr>
    </w:p>
    <w:p w14:paraId="57E38F10" w14:textId="160DCBFA" w:rsidR="002F3B2C" w:rsidRPr="00A84B64" w:rsidRDefault="004C773C" w:rsidP="002F3B2C">
      <w:pPr>
        <w:pStyle w:val="Textoindependiente"/>
        <w:spacing w:line="360" w:lineRule="auto"/>
        <w:rPr>
          <w:rFonts w:ascii="Verdana" w:hAnsi="Verdana" w:cs="Arial"/>
          <w:sz w:val="22"/>
          <w:szCs w:val="22"/>
        </w:rPr>
      </w:pPr>
      <w:r w:rsidRPr="00A84B64">
        <w:rPr>
          <w:rFonts w:ascii="Verdana" w:hAnsi="Verdana" w:cs="Arial"/>
          <w:sz w:val="22"/>
          <w:szCs w:val="22"/>
        </w:rPr>
        <w:t>Deberá la Sala determinar</w:t>
      </w:r>
      <w:r w:rsidR="00293C8B" w:rsidRPr="00A84B64">
        <w:t xml:space="preserve"> </w:t>
      </w:r>
      <w:r w:rsidR="00293C8B" w:rsidRPr="00A84B64">
        <w:rPr>
          <w:rFonts w:ascii="Verdana" w:hAnsi="Verdana" w:cs="Arial"/>
          <w:sz w:val="22"/>
          <w:szCs w:val="22"/>
        </w:rPr>
        <w:t>si es procedente declarar responsable a</w:t>
      </w:r>
      <w:r w:rsidR="00303FB8" w:rsidRPr="00A84B64">
        <w:rPr>
          <w:rFonts w:ascii="Verdana" w:hAnsi="Verdana" w:cs="Arial"/>
          <w:sz w:val="22"/>
          <w:szCs w:val="22"/>
        </w:rPr>
        <w:t xml:space="preserve"> la Nación -</w:t>
      </w:r>
      <w:r w:rsidR="00293C8B" w:rsidRPr="00A84B64">
        <w:rPr>
          <w:rFonts w:ascii="Verdana" w:hAnsi="Verdana" w:cs="Arial"/>
          <w:sz w:val="22"/>
          <w:szCs w:val="22"/>
        </w:rPr>
        <w:t xml:space="preserve"> Instituto Nacional Penitenciario</w:t>
      </w:r>
      <w:r w:rsidR="00303FB8" w:rsidRPr="00A84B64">
        <w:rPr>
          <w:rFonts w:ascii="Verdana" w:hAnsi="Verdana" w:cs="Arial"/>
          <w:sz w:val="22"/>
          <w:szCs w:val="22"/>
        </w:rPr>
        <w:t xml:space="preserve"> y Carcelario</w:t>
      </w:r>
      <w:r w:rsidR="00293C8B" w:rsidRPr="00A84B64">
        <w:rPr>
          <w:rFonts w:ascii="Verdana" w:hAnsi="Verdana" w:cs="Arial"/>
          <w:sz w:val="22"/>
          <w:szCs w:val="22"/>
        </w:rPr>
        <w:t xml:space="preserve"> -INPEC</w:t>
      </w:r>
      <w:r w:rsidR="00303FB8" w:rsidRPr="00A84B64">
        <w:rPr>
          <w:rFonts w:ascii="Verdana" w:hAnsi="Verdana" w:cs="Arial"/>
          <w:sz w:val="22"/>
          <w:szCs w:val="22"/>
        </w:rPr>
        <w:t xml:space="preserve">, </w:t>
      </w:r>
      <w:r w:rsidR="00293C8B" w:rsidRPr="00A84B64">
        <w:rPr>
          <w:rFonts w:ascii="Verdana" w:hAnsi="Verdana" w:cs="Arial"/>
          <w:sz w:val="22"/>
          <w:szCs w:val="22"/>
        </w:rPr>
        <w:t>por la</w:t>
      </w:r>
      <w:r w:rsidR="00303FB8" w:rsidRPr="00A84B64">
        <w:rPr>
          <w:rFonts w:ascii="Verdana" w:hAnsi="Verdana" w:cs="Arial"/>
          <w:sz w:val="22"/>
          <w:szCs w:val="22"/>
        </w:rPr>
        <w:t xml:space="preserve">s lesiones y daños </w:t>
      </w:r>
      <w:r w:rsidR="00303FB8" w:rsidRPr="00A84B64">
        <w:rPr>
          <w:rFonts w:ascii="Verdana" w:hAnsi="Verdana" w:cs="Arial"/>
          <w:sz w:val="22"/>
          <w:szCs w:val="22"/>
        </w:rPr>
        <w:lastRenderedPageBreak/>
        <w:t xml:space="preserve">ocasionados al señor Luis Eduardo Ávila Gaitán con ocasión de los hechos ocurridos el 11 de junio de 2014 mientras </w:t>
      </w:r>
      <w:r w:rsidR="002F3B2C" w:rsidRPr="00A84B64">
        <w:rPr>
          <w:rFonts w:ascii="Verdana" w:hAnsi="Verdana" w:cs="Arial"/>
          <w:sz w:val="22"/>
          <w:szCs w:val="22"/>
        </w:rPr>
        <w:t>prestaba el servicio militar obligatorio</w:t>
      </w:r>
      <w:r w:rsidR="00303FB8" w:rsidRPr="00A84B64">
        <w:rPr>
          <w:rFonts w:ascii="Verdana" w:hAnsi="Verdana" w:cs="Arial"/>
          <w:sz w:val="22"/>
          <w:szCs w:val="22"/>
        </w:rPr>
        <w:t xml:space="preserve"> como Auxiliar Bachiller en el </w:t>
      </w:r>
      <w:r w:rsidR="0073027A" w:rsidRPr="00A84B64">
        <w:rPr>
          <w:rFonts w:ascii="Verdana" w:hAnsi="Verdana" w:cs="Arial"/>
          <w:sz w:val="22"/>
          <w:szCs w:val="22"/>
        </w:rPr>
        <w:t>Establecimiento Penitenciario y Carcelario de Mediana Seguridad de Chiquinquirá</w:t>
      </w:r>
      <w:r w:rsidR="002F3B2C" w:rsidRPr="00A84B64">
        <w:rPr>
          <w:rFonts w:ascii="Verdana" w:hAnsi="Verdana" w:cs="Arial"/>
          <w:sz w:val="22"/>
          <w:szCs w:val="22"/>
        </w:rPr>
        <w:t>, y de ser así, si está llamada a responder, individual o solidariamente con la Aseguradora Seguros Vida del Estado S.A.</w:t>
      </w:r>
    </w:p>
    <w:p w14:paraId="4BE53B0B" w14:textId="3416FAC0" w:rsidR="006135EB" w:rsidRPr="00A84B64" w:rsidRDefault="006135EB" w:rsidP="002F3B2C">
      <w:pPr>
        <w:pStyle w:val="Textoindependiente"/>
        <w:spacing w:line="360" w:lineRule="auto"/>
        <w:rPr>
          <w:rFonts w:ascii="Verdana" w:hAnsi="Verdana" w:cs="Arial"/>
          <w:sz w:val="22"/>
          <w:szCs w:val="22"/>
        </w:rPr>
      </w:pPr>
    </w:p>
    <w:p w14:paraId="709E64D9" w14:textId="1CFA2BF4" w:rsidR="006135EB" w:rsidRPr="00A84B64" w:rsidRDefault="006135EB" w:rsidP="002F3B2C">
      <w:pPr>
        <w:pStyle w:val="Textoindependiente"/>
        <w:spacing w:line="360" w:lineRule="auto"/>
        <w:rPr>
          <w:rFonts w:ascii="Verdana" w:hAnsi="Verdana" w:cs="Arial"/>
          <w:sz w:val="22"/>
          <w:szCs w:val="22"/>
        </w:rPr>
      </w:pPr>
      <w:r w:rsidRPr="00A84B64">
        <w:rPr>
          <w:rFonts w:ascii="Verdana" w:hAnsi="Verdana" w:cs="Arial"/>
          <w:sz w:val="22"/>
          <w:szCs w:val="22"/>
        </w:rPr>
        <w:t>Adicionalmente, una vez determinada la responsabilidad de las demandadas, se deberá establecer si es procedente el reconocimiento y pago del lucro cesante consolidado, bajo los argumentos expuestos por la parte actora en el recurso de apelación.</w:t>
      </w:r>
    </w:p>
    <w:p w14:paraId="4264AC16" w14:textId="2B2A90E6" w:rsidR="002F3B2C" w:rsidRPr="00A84B64" w:rsidRDefault="002F3B2C" w:rsidP="002F3B2C">
      <w:pPr>
        <w:pStyle w:val="Textoindependiente"/>
        <w:spacing w:line="360" w:lineRule="auto"/>
        <w:rPr>
          <w:rFonts w:ascii="Verdana" w:hAnsi="Verdana" w:cs="Arial"/>
          <w:sz w:val="22"/>
          <w:szCs w:val="22"/>
        </w:rPr>
      </w:pPr>
    </w:p>
    <w:p w14:paraId="0E7F2CEB" w14:textId="77777777" w:rsidR="004C773C" w:rsidRPr="00A84B64" w:rsidRDefault="004C773C" w:rsidP="004C773C">
      <w:pPr>
        <w:spacing w:line="360" w:lineRule="auto"/>
        <w:ind w:right="-79"/>
        <w:jc w:val="both"/>
        <w:rPr>
          <w:rFonts w:ascii="Verdana" w:hAnsi="Verdana" w:cs="Arial"/>
          <w:b/>
          <w:bCs/>
          <w:sz w:val="22"/>
          <w:szCs w:val="22"/>
        </w:rPr>
      </w:pPr>
      <w:r w:rsidRPr="00A84B64">
        <w:rPr>
          <w:rFonts w:ascii="Verdana" w:hAnsi="Verdana" w:cs="Arial"/>
          <w:b/>
          <w:bCs/>
          <w:sz w:val="22"/>
          <w:szCs w:val="22"/>
        </w:rPr>
        <w:t>3.1.1. De los elementos de la responsabilidad Estatal</w:t>
      </w:r>
    </w:p>
    <w:p w14:paraId="3FEAE8F2" w14:textId="77777777" w:rsidR="004C773C" w:rsidRPr="00A84B64" w:rsidRDefault="004C773C" w:rsidP="004C773C">
      <w:pPr>
        <w:spacing w:line="360" w:lineRule="auto"/>
        <w:ind w:right="-79"/>
        <w:jc w:val="both"/>
        <w:rPr>
          <w:rFonts w:ascii="Verdana" w:hAnsi="Verdana" w:cs="Arial"/>
          <w:b/>
          <w:bCs/>
          <w:sz w:val="22"/>
          <w:szCs w:val="22"/>
        </w:rPr>
      </w:pPr>
    </w:p>
    <w:p w14:paraId="31F760E2" w14:textId="77777777" w:rsidR="004C773C" w:rsidRPr="00A84B64" w:rsidRDefault="004C773C" w:rsidP="6AD07303">
      <w:pPr>
        <w:pStyle w:val="Prrafodelista"/>
        <w:numPr>
          <w:ilvl w:val="0"/>
          <w:numId w:val="18"/>
        </w:numPr>
        <w:spacing w:line="360" w:lineRule="auto"/>
        <w:ind w:right="-79"/>
        <w:jc w:val="both"/>
        <w:rPr>
          <w:rFonts w:ascii="Verdana" w:hAnsi="Verdana" w:cs="Arial"/>
          <w:b/>
          <w:bCs/>
          <w:color w:val="000000" w:themeColor="text1"/>
          <w:sz w:val="22"/>
          <w:szCs w:val="22"/>
        </w:rPr>
      </w:pPr>
      <w:r w:rsidRPr="00A84B64">
        <w:rPr>
          <w:rFonts w:ascii="Verdana" w:hAnsi="Verdana" w:cs="Arial"/>
          <w:b/>
          <w:bCs/>
          <w:sz w:val="22"/>
          <w:szCs w:val="22"/>
        </w:rPr>
        <w:t>Del daño</w:t>
      </w:r>
    </w:p>
    <w:p w14:paraId="7A4C9730" w14:textId="77777777" w:rsidR="004C773C" w:rsidRPr="00A84B64" w:rsidRDefault="004C773C" w:rsidP="6AD07303">
      <w:pPr>
        <w:spacing w:line="360" w:lineRule="auto"/>
        <w:ind w:right="-79"/>
        <w:jc w:val="both"/>
        <w:rPr>
          <w:rFonts w:ascii="Verdana" w:hAnsi="Verdana" w:cs="Arial"/>
          <w:b/>
          <w:bCs/>
          <w:sz w:val="22"/>
          <w:szCs w:val="22"/>
        </w:rPr>
      </w:pPr>
    </w:p>
    <w:p w14:paraId="67510B84" w14:textId="374E1C66" w:rsidR="004C773C" w:rsidRPr="00A84B64" w:rsidRDefault="004C773C" w:rsidP="6AD07303">
      <w:pPr>
        <w:spacing w:line="360" w:lineRule="auto"/>
        <w:ind w:right="-79"/>
        <w:jc w:val="both"/>
        <w:rPr>
          <w:rFonts w:ascii="Verdana" w:hAnsi="Verdana" w:cs="Arial"/>
          <w:sz w:val="22"/>
          <w:szCs w:val="22"/>
        </w:rPr>
      </w:pPr>
      <w:r w:rsidRPr="00A84B64">
        <w:rPr>
          <w:rFonts w:ascii="Verdana" w:hAnsi="Verdana" w:cs="Arial"/>
          <w:sz w:val="22"/>
          <w:szCs w:val="22"/>
        </w:rPr>
        <w:t>Respecto a los componentes del daño</w:t>
      </w:r>
      <w:r w:rsidR="4824601E" w:rsidRPr="00A84B64">
        <w:rPr>
          <w:rFonts w:ascii="Verdana" w:hAnsi="Verdana" w:cs="Arial"/>
          <w:sz w:val="22"/>
          <w:szCs w:val="22"/>
        </w:rPr>
        <w:t>,</w:t>
      </w:r>
      <w:r w:rsidRPr="00A84B64">
        <w:rPr>
          <w:rFonts w:ascii="Verdana" w:hAnsi="Verdana" w:cs="Arial"/>
          <w:sz w:val="22"/>
          <w:szCs w:val="22"/>
        </w:rPr>
        <w:t xml:space="preserve"> que considera la dogmática jurídica de la responsabilidad civil extracontractual y del Estado, se han podido destacar los siguientes: “a) el alcance del daño como entidad jurídica, esto es, “el menoscabo que a consecuencia de un acaecimiento o evento determinado sufre una persona ya en sus bienes vitales o naturales, ya en su propiedad o en su patrimonio , (…) y, b) aquello que derivado de la actividad, omisión, o de la inactividad de la administración pública no sea soportable i) bien porque es contrario a la Carta Política o a una norma legal, o </w:t>
      </w:r>
      <w:proofErr w:type="spellStart"/>
      <w:r w:rsidRPr="00A84B64">
        <w:rPr>
          <w:rFonts w:ascii="Verdana" w:hAnsi="Verdana" w:cs="Arial"/>
          <w:sz w:val="22"/>
          <w:szCs w:val="22"/>
        </w:rPr>
        <w:t>ii</w:t>
      </w:r>
      <w:proofErr w:type="spellEnd"/>
      <w:r w:rsidRPr="00A84B64">
        <w:rPr>
          <w:rFonts w:ascii="Verdana" w:hAnsi="Verdana" w:cs="Arial"/>
          <w:sz w:val="22"/>
          <w:szCs w:val="22"/>
        </w:rPr>
        <w:t xml:space="preserve">) porque sea “irrazonable”, en clave de los derechos e intereses constitucionalmente reconocidos; y, </w:t>
      </w:r>
      <w:proofErr w:type="spellStart"/>
      <w:r w:rsidRPr="00A84B64">
        <w:rPr>
          <w:rFonts w:ascii="Verdana" w:hAnsi="Verdana" w:cs="Arial"/>
          <w:sz w:val="22"/>
          <w:szCs w:val="22"/>
        </w:rPr>
        <w:t>iii</w:t>
      </w:r>
      <w:proofErr w:type="spellEnd"/>
      <w:r w:rsidRPr="00A84B64">
        <w:rPr>
          <w:rFonts w:ascii="Verdana" w:hAnsi="Verdana" w:cs="Arial"/>
          <w:sz w:val="22"/>
          <w:szCs w:val="22"/>
        </w:rPr>
        <w:t>) porque no encuentra sustento en la prevalencia, respeto o consideración del interés general, o de la cooperación social. (…) no depende de la licitud o ilicitud de la conducta desplegada por la Administración sino de la no soportabilidad del daño por parte de la víctima (…) los principios del Estado Social de Derecho, ya que como lo señala el precedente de la Sala un “Estado Social de Derecho y solidario y respetuoso de la dignidad de la persona humana, no puede causar daños antijurídicos y no indemnizarlos”</w:t>
      </w:r>
      <w:r w:rsidRPr="00A84B64">
        <w:rPr>
          <w:rStyle w:val="Refdenotaalpie"/>
          <w:rFonts w:ascii="Verdana" w:hAnsi="Verdana"/>
          <w:sz w:val="22"/>
          <w:szCs w:val="22"/>
        </w:rPr>
        <w:footnoteReference w:id="1"/>
      </w:r>
      <w:r w:rsidRPr="00A84B64">
        <w:rPr>
          <w:rFonts w:ascii="Verdana" w:hAnsi="Verdana" w:cs="Arial"/>
          <w:sz w:val="22"/>
          <w:szCs w:val="22"/>
        </w:rPr>
        <w:t>.</w:t>
      </w:r>
    </w:p>
    <w:p w14:paraId="2B33A331" w14:textId="77777777" w:rsidR="004C773C" w:rsidRPr="00A84B64" w:rsidRDefault="004C773C" w:rsidP="004C773C">
      <w:pPr>
        <w:spacing w:line="360" w:lineRule="auto"/>
        <w:ind w:right="-79"/>
        <w:jc w:val="both"/>
        <w:rPr>
          <w:rFonts w:ascii="Verdana" w:hAnsi="Verdana" w:cs="Arial"/>
          <w:bCs/>
          <w:sz w:val="22"/>
          <w:szCs w:val="22"/>
        </w:rPr>
      </w:pPr>
    </w:p>
    <w:p w14:paraId="77085947" w14:textId="77777777" w:rsidR="004C773C" w:rsidRPr="00A84B64" w:rsidRDefault="004C773C" w:rsidP="004C773C">
      <w:pPr>
        <w:spacing w:line="360" w:lineRule="auto"/>
        <w:ind w:right="-79"/>
        <w:jc w:val="both"/>
        <w:rPr>
          <w:rFonts w:ascii="Verdana" w:hAnsi="Verdana" w:cs="Arial"/>
          <w:bCs/>
          <w:sz w:val="22"/>
          <w:szCs w:val="22"/>
        </w:rPr>
      </w:pPr>
      <w:r w:rsidRPr="00A84B64">
        <w:rPr>
          <w:rFonts w:ascii="Verdana" w:hAnsi="Verdana" w:cs="Arial"/>
          <w:bCs/>
          <w:sz w:val="22"/>
          <w:szCs w:val="22"/>
        </w:rPr>
        <w:t>Este Tribunal en anteriores oportunidades se ha pronunciado respecto a los requisitos que deben acreditarse en el daño, para que el mismo sea indemnizable:</w:t>
      </w:r>
    </w:p>
    <w:p w14:paraId="1655E7C4" w14:textId="77777777" w:rsidR="004C773C" w:rsidRPr="00A84B64" w:rsidRDefault="004C773C" w:rsidP="004C773C">
      <w:pPr>
        <w:spacing w:line="360" w:lineRule="auto"/>
        <w:ind w:right="-79"/>
        <w:jc w:val="both"/>
        <w:rPr>
          <w:rFonts w:ascii="Verdana" w:hAnsi="Verdana" w:cs="Arial"/>
          <w:bCs/>
          <w:sz w:val="22"/>
          <w:szCs w:val="22"/>
        </w:rPr>
      </w:pPr>
    </w:p>
    <w:p w14:paraId="78A8FE20" w14:textId="051C8AFB"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lastRenderedPageBreak/>
        <w:t xml:space="preserve">“Se torna imprescindible que se acredite que i) la persona no tiene el deber jurídico de soportarlo; </w:t>
      </w:r>
      <w:proofErr w:type="spellStart"/>
      <w:r w:rsidRPr="00A84B64">
        <w:rPr>
          <w:rFonts w:ascii="Verdana" w:hAnsi="Verdana" w:cs="Arial"/>
          <w:bCs/>
          <w:i/>
          <w:sz w:val="22"/>
          <w:szCs w:val="22"/>
        </w:rPr>
        <w:t>ii</w:t>
      </w:r>
      <w:proofErr w:type="spellEnd"/>
      <w:r w:rsidRPr="00A84B64">
        <w:rPr>
          <w:rFonts w:ascii="Verdana" w:hAnsi="Verdana" w:cs="Arial"/>
          <w:bCs/>
          <w:i/>
          <w:sz w:val="22"/>
          <w:szCs w:val="22"/>
        </w:rPr>
        <w:t xml:space="preserve">) que sea cierto, es decir que se pueda apreciar material y jurídicamente (que no sea una conjetura) y </w:t>
      </w:r>
      <w:proofErr w:type="spellStart"/>
      <w:r w:rsidRPr="00A84B64">
        <w:rPr>
          <w:rFonts w:ascii="Verdana" w:hAnsi="Verdana" w:cs="Arial"/>
          <w:bCs/>
          <w:i/>
          <w:sz w:val="22"/>
          <w:szCs w:val="22"/>
        </w:rPr>
        <w:t>iii</w:t>
      </w:r>
      <w:proofErr w:type="spellEnd"/>
      <w:r w:rsidRPr="00A84B64">
        <w:rPr>
          <w:rFonts w:ascii="Verdana" w:hAnsi="Verdana" w:cs="Arial"/>
          <w:bCs/>
          <w:i/>
          <w:sz w:val="22"/>
          <w:szCs w:val="22"/>
        </w:rPr>
        <w:t>) que sea personal, es decir, que sea padecido por quien lo solicita.</w:t>
      </w:r>
    </w:p>
    <w:p w14:paraId="330C74FC" w14:textId="77777777" w:rsidR="00F978A6" w:rsidRPr="00A84B64" w:rsidRDefault="00F978A6" w:rsidP="00F978A6">
      <w:pPr>
        <w:spacing w:line="276" w:lineRule="auto"/>
        <w:ind w:left="708" w:right="-79"/>
        <w:jc w:val="both"/>
        <w:rPr>
          <w:rFonts w:ascii="Verdana" w:hAnsi="Verdana" w:cs="Arial"/>
          <w:bCs/>
          <w:i/>
          <w:sz w:val="22"/>
          <w:szCs w:val="22"/>
        </w:rPr>
      </w:pPr>
    </w:p>
    <w:p w14:paraId="062A0D1C" w14:textId="7FF0AB0E"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t>A su turno, la antijuridicidad del daño va encaminada a que no sólo se constate la materialidad y certidumbre de una lesión a un bien o interés amparado por la ley, sino que se determine que la vulneración del derecho contravenga el ordenamiento jurídico en tanto no exista el deber de tolerarlo.</w:t>
      </w:r>
    </w:p>
    <w:p w14:paraId="4EDF2B2D" w14:textId="77777777" w:rsidR="00F978A6" w:rsidRPr="00A84B64" w:rsidRDefault="00F978A6" w:rsidP="00F978A6">
      <w:pPr>
        <w:spacing w:line="276" w:lineRule="auto"/>
        <w:ind w:left="708" w:right="-79"/>
        <w:jc w:val="both"/>
        <w:rPr>
          <w:rFonts w:ascii="Verdana" w:hAnsi="Verdana" w:cs="Arial"/>
          <w:bCs/>
          <w:i/>
          <w:sz w:val="22"/>
          <w:szCs w:val="22"/>
        </w:rPr>
      </w:pPr>
    </w:p>
    <w:p w14:paraId="1645ABD6" w14:textId="1EB9FE1D"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t>Al respecto, advirtió que no constituyen elementos del daño la anormalidad ni la acreditación de una situación legítima; cosa distinta será la determinación de si la afectación proviene de una actividad o recae sobre un bien ilícito, caso en el que no habrá daño antijurídico derivado de la ilegalidad o ilicitud de la conducta de la víctima</w:t>
      </w:r>
      <w:r w:rsidR="00F978A6" w:rsidRPr="00A84B64">
        <w:rPr>
          <w:rFonts w:ascii="Verdana" w:hAnsi="Verdana" w:cs="Arial"/>
          <w:bCs/>
          <w:i/>
          <w:sz w:val="22"/>
          <w:szCs w:val="22"/>
        </w:rPr>
        <w:t>.</w:t>
      </w:r>
    </w:p>
    <w:p w14:paraId="6056518F" w14:textId="77777777" w:rsidR="00F978A6" w:rsidRPr="00A84B64" w:rsidRDefault="00F978A6" w:rsidP="00F978A6">
      <w:pPr>
        <w:spacing w:line="276" w:lineRule="auto"/>
        <w:ind w:left="708" w:right="-79"/>
        <w:jc w:val="both"/>
        <w:rPr>
          <w:rFonts w:ascii="Verdana" w:hAnsi="Verdana" w:cs="Arial"/>
          <w:bCs/>
          <w:i/>
          <w:sz w:val="22"/>
          <w:szCs w:val="22"/>
        </w:rPr>
      </w:pPr>
    </w:p>
    <w:p w14:paraId="09DE0138" w14:textId="6A83CF89"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t xml:space="preserve">Así, las características del daño son: i) que sea cierto, presente o futuro; </w:t>
      </w:r>
      <w:proofErr w:type="spellStart"/>
      <w:r w:rsidRPr="00A84B64">
        <w:rPr>
          <w:rFonts w:ascii="Verdana" w:hAnsi="Verdana" w:cs="Arial"/>
          <w:bCs/>
          <w:i/>
          <w:sz w:val="22"/>
          <w:szCs w:val="22"/>
        </w:rPr>
        <w:t>ii</w:t>
      </w:r>
      <w:proofErr w:type="spellEnd"/>
      <w:r w:rsidRPr="00A84B64">
        <w:rPr>
          <w:rFonts w:ascii="Verdana" w:hAnsi="Verdana" w:cs="Arial"/>
          <w:bCs/>
          <w:i/>
          <w:sz w:val="22"/>
          <w:szCs w:val="22"/>
        </w:rPr>
        <w:t xml:space="preserve">) determinado o determinable y anormal y </w:t>
      </w:r>
      <w:proofErr w:type="spellStart"/>
      <w:r w:rsidRPr="00A84B64">
        <w:rPr>
          <w:rFonts w:ascii="Verdana" w:hAnsi="Verdana" w:cs="Arial"/>
          <w:bCs/>
          <w:i/>
          <w:sz w:val="22"/>
          <w:szCs w:val="22"/>
        </w:rPr>
        <w:t>iii</w:t>
      </w:r>
      <w:proofErr w:type="spellEnd"/>
      <w:r w:rsidRPr="00A84B64">
        <w:rPr>
          <w:rFonts w:ascii="Verdana" w:hAnsi="Verdana" w:cs="Arial"/>
          <w:bCs/>
          <w:i/>
          <w:sz w:val="22"/>
          <w:szCs w:val="22"/>
        </w:rPr>
        <w:t>) que se trate de una situación jurídicamente protegida, esto es, que no se trate de situaciones jurídicas ilegítimas o contrarias a la ley y la Constitución.</w:t>
      </w:r>
    </w:p>
    <w:p w14:paraId="5DBDACE2" w14:textId="77777777" w:rsidR="00F978A6" w:rsidRPr="00A84B64" w:rsidRDefault="00F978A6" w:rsidP="00F978A6">
      <w:pPr>
        <w:spacing w:line="276" w:lineRule="auto"/>
        <w:ind w:left="708" w:right="-79"/>
        <w:jc w:val="both"/>
        <w:rPr>
          <w:rFonts w:ascii="Verdana" w:hAnsi="Verdana" w:cs="Arial"/>
          <w:bCs/>
          <w:i/>
          <w:sz w:val="22"/>
          <w:szCs w:val="22"/>
        </w:rPr>
      </w:pPr>
    </w:p>
    <w:p w14:paraId="24E177F8" w14:textId="50A28030"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t>Entonces, para que el daño resulte indemnizable, es necesario que este afecte o se concrete en un derecho subjetivo o en un interés legítimo del cual sea titular la victima que, valga decir, debe estar situado dentro de la tutela y protección del Estado”</w:t>
      </w:r>
      <w:r w:rsidRPr="00A84B64">
        <w:rPr>
          <w:rStyle w:val="Refdenotaalpie"/>
          <w:rFonts w:ascii="Verdana" w:hAnsi="Verdana"/>
          <w:bCs/>
          <w:i/>
          <w:sz w:val="22"/>
          <w:szCs w:val="22"/>
        </w:rPr>
        <w:footnoteReference w:id="2"/>
      </w:r>
      <w:r w:rsidR="00F978A6" w:rsidRPr="00A84B64">
        <w:rPr>
          <w:rFonts w:ascii="Verdana" w:hAnsi="Verdana" w:cs="Arial"/>
          <w:bCs/>
          <w:i/>
          <w:sz w:val="22"/>
          <w:szCs w:val="22"/>
        </w:rPr>
        <w:t>.</w:t>
      </w:r>
    </w:p>
    <w:p w14:paraId="78C42887" w14:textId="77777777" w:rsidR="004C773C" w:rsidRPr="00A84B64" w:rsidRDefault="004C773C" w:rsidP="004C773C">
      <w:pPr>
        <w:spacing w:line="360" w:lineRule="auto"/>
        <w:ind w:right="-79"/>
        <w:jc w:val="both"/>
        <w:rPr>
          <w:rFonts w:ascii="Verdana" w:hAnsi="Verdana" w:cs="Arial"/>
          <w:bCs/>
          <w:sz w:val="22"/>
          <w:szCs w:val="22"/>
        </w:rPr>
      </w:pPr>
    </w:p>
    <w:p w14:paraId="1853AF2B" w14:textId="77777777" w:rsidR="004C773C" w:rsidRPr="00A84B64" w:rsidRDefault="004C773C" w:rsidP="004C773C">
      <w:pPr>
        <w:pStyle w:val="Prrafodelista"/>
        <w:numPr>
          <w:ilvl w:val="0"/>
          <w:numId w:val="18"/>
        </w:numPr>
        <w:spacing w:line="360" w:lineRule="auto"/>
        <w:ind w:right="-79"/>
        <w:jc w:val="both"/>
        <w:rPr>
          <w:rFonts w:ascii="Verdana" w:hAnsi="Verdana" w:cs="Arial"/>
          <w:b/>
          <w:bCs/>
          <w:sz w:val="22"/>
          <w:szCs w:val="22"/>
        </w:rPr>
      </w:pPr>
      <w:r w:rsidRPr="00A84B64">
        <w:rPr>
          <w:rFonts w:ascii="Verdana" w:hAnsi="Verdana" w:cs="Arial"/>
          <w:b/>
          <w:bCs/>
          <w:sz w:val="22"/>
          <w:szCs w:val="22"/>
        </w:rPr>
        <w:t>De la imputación</w:t>
      </w:r>
    </w:p>
    <w:p w14:paraId="5D73BC4B" w14:textId="77777777" w:rsidR="004C773C" w:rsidRPr="00A84B64" w:rsidRDefault="004C773C" w:rsidP="004C773C">
      <w:pPr>
        <w:spacing w:line="360" w:lineRule="auto"/>
        <w:ind w:right="-79"/>
        <w:jc w:val="both"/>
        <w:rPr>
          <w:rFonts w:ascii="Verdana" w:hAnsi="Verdana" w:cs="Arial"/>
          <w:bCs/>
          <w:sz w:val="22"/>
          <w:szCs w:val="22"/>
        </w:rPr>
      </w:pPr>
    </w:p>
    <w:p w14:paraId="3C0B6183" w14:textId="77777777" w:rsidR="004C773C" w:rsidRPr="00A84B64" w:rsidRDefault="004C773C" w:rsidP="004C773C">
      <w:pPr>
        <w:spacing w:line="360" w:lineRule="auto"/>
        <w:ind w:right="-79"/>
        <w:jc w:val="both"/>
        <w:rPr>
          <w:rFonts w:ascii="Verdana" w:hAnsi="Verdana" w:cs="Arial"/>
          <w:b/>
          <w:bCs/>
          <w:sz w:val="22"/>
          <w:szCs w:val="22"/>
        </w:rPr>
      </w:pPr>
      <w:r w:rsidRPr="00A84B64">
        <w:rPr>
          <w:rFonts w:ascii="Verdana" w:hAnsi="Verdana" w:cs="Arial"/>
          <w:b/>
          <w:bCs/>
          <w:sz w:val="22"/>
          <w:szCs w:val="22"/>
        </w:rPr>
        <w:t>- Del régimen jurídico aplicable a la responsabilidad del Estado por los daños causados a los conscriptos</w:t>
      </w:r>
      <w:r w:rsidRPr="00A84B64">
        <w:rPr>
          <w:rStyle w:val="Refdenotaalpie"/>
          <w:rFonts w:ascii="Verdana" w:hAnsi="Verdana"/>
          <w:b/>
          <w:bCs/>
          <w:sz w:val="22"/>
          <w:szCs w:val="22"/>
        </w:rPr>
        <w:footnoteReference w:id="3"/>
      </w:r>
    </w:p>
    <w:p w14:paraId="1BA8B762" w14:textId="77777777" w:rsidR="004C773C" w:rsidRPr="00A84B64" w:rsidRDefault="004C773C" w:rsidP="004C773C">
      <w:pPr>
        <w:spacing w:line="360" w:lineRule="auto"/>
        <w:ind w:right="-79"/>
        <w:jc w:val="both"/>
        <w:rPr>
          <w:rFonts w:ascii="Verdana" w:hAnsi="Verdana" w:cs="Arial"/>
          <w:b/>
          <w:bCs/>
          <w:sz w:val="22"/>
          <w:szCs w:val="22"/>
        </w:rPr>
      </w:pPr>
    </w:p>
    <w:p w14:paraId="328FE772" w14:textId="77777777" w:rsidR="004C773C" w:rsidRPr="00A84B64" w:rsidRDefault="004C773C" w:rsidP="004C773C">
      <w:pPr>
        <w:spacing w:line="360" w:lineRule="auto"/>
        <w:ind w:right="-79"/>
        <w:jc w:val="both"/>
        <w:rPr>
          <w:rFonts w:ascii="Verdana" w:hAnsi="Verdana" w:cs="Arial"/>
          <w:bCs/>
          <w:sz w:val="22"/>
          <w:szCs w:val="22"/>
          <w:lang w:val="es-ES_tradnl"/>
        </w:rPr>
      </w:pPr>
      <w:r w:rsidRPr="00A84B64">
        <w:rPr>
          <w:rFonts w:ascii="Verdana" w:hAnsi="Verdana" w:cs="Arial"/>
          <w:bCs/>
          <w:sz w:val="22"/>
          <w:szCs w:val="22"/>
        </w:rPr>
        <w:t xml:space="preserve">Conforme la jurisprudencia de la Sección Tercera del Consejo de Estado, el Estado, respecto de los conscriptos contrae </w:t>
      </w:r>
      <w:r w:rsidRPr="00A84B64">
        <w:rPr>
          <w:rFonts w:ascii="Verdana" w:hAnsi="Verdana" w:cs="Arial"/>
          <w:sz w:val="22"/>
          <w:szCs w:val="22"/>
        </w:rPr>
        <w:t xml:space="preserve">un deber positivo de protección, lo cual implica que debe responder por los daños que éstos sufran en el ejercicio de la actividad militar </w:t>
      </w:r>
      <w:r w:rsidRPr="00A84B64">
        <w:rPr>
          <w:rFonts w:ascii="Verdana" w:hAnsi="Verdana" w:cs="Arial"/>
          <w:sz w:val="22"/>
          <w:szCs w:val="22"/>
          <w:lang w:val="es-ES_tradnl"/>
        </w:rPr>
        <w:t xml:space="preserve">pues, </w:t>
      </w:r>
      <w:r w:rsidRPr="00A84B64">
        <w:rPr>
          <w:rFonts w:ascii="Verdana" w:hAnsi="Verdana" w:cs="Arial"/>
          <w:bCs/>
          <w:sz w:val="22"/>
          <w:szCs w:val="22"/>
          <w:lang w:val="es-ES_tradnl"/>
        </w:rPr>
        <w:t xml:space="preserve">al imponer el deber de prestar el servicio militar, debe garantizar la integridad psicofísica del soldado, ya que se trata de una persona que se encuentra sometida a su custodia y cuidado, de suerte </w:t>
      </w:r>
      <w:r w:rsidRPr="00A84B64">
        <w:rPr>
          <w:rFonts w:ascii="Verdana" w:hAnsi="Verdana" w:cs="Arial"/>
          <w:sz w:val="22"/>
          <w:szCs w:val="22"/>
          <w:lang w:val="es-ES_tradnl"/>
        </w:rPr>
        <w:t>que la Administración asume una posición de garante,</w:t>
      </w:r>
      <w:r w:rsidRPr="00A84B64">
        <w:rPr>
          <w:rFonts w:ascii="Verdana" w:hAnsi="Verdana" w:cs="Arial"/>
          <w:bCs/>
          <w:sz w:val="22"/>
          <w:szCs w:val="22"/>
          <w:lang w:val="es-ES_tradnl"/>
        </w:rPr>
        <w:t xml:space="preserve"> al doblegar la voluntad del soldado y disponer de su libertad individual para un fin determinado, por lo que </w:t>
      </w:r>
      <w:r w:rsidRPr="00A84B64">
        <w:rPr>
          <w:rFonts w:ascii="Verdana" w:hAnsi="Verdana" w:cs="Arial"/>
          <w:bCs/>
          <w:sz w:val="22"/>
          <w:szCs w:val="22"/>
          <w:lang w:val="es-ES_tradnl"/>
        </w:rPr>
        <w:lastRenderedPageBreak/>
        <w:t>entra en una relación de especial sujeción, que lo hace responsable de los posibles daños que pueda padecer aquél, mientras permanezca a su cargo</w:t>
      </w:r>
      <w:r w:rsidRPr="00A84B64">
        <w:rPr>
          <w:rFonts w:ascii="Verdana" w:hAnsi="Verdana" w:cs="Arial"/>
          <w:bCs/>
          <w:sz w:val="22"/>
          <w:szCs w:val="22"/>
          <w:vertAlign w:val="superscript"/>
          <w:lang w:val="es-ES_tradnl"/>
        </w:rPr>
        <w:footnoteReference w:id="4"/>
      </w:r>
      <w:r w:rsidRPr="00A84B64">
        <w:rPr>
          <w:rFonts w:ascii="Verdana" w:hAnsi="Verdana" w:cs="Arial"/>
          <w:bCs/>
          <w:sz w:val="22"/>
          <w:szCs w:val="22"/>
          <w:lang w:val="es-ES_tradnl"/>
        </w:rPr>
        <w:t>.</w:t>
      </w:r>
    </w:p>
    <w:p w14:paraId="55AEC6C5" w14:textId="77777777" w:rsidR="004C773C" w:rsidRPr="00A84B64" w:rsidRDefault="004C773C" w:rsidP="004C773C">
      <w:pPr>
        <w:spacing w:line="360" w:lineRule="auto"/>
        <w:ind w:right="-79"/>
        <w:jc w:val="both"/>
        <w:rPr>
          <w:rFonts w:ascii="Verdana" w:hAnsi="Verdana" w:cs="Arial"/>
          <w:bCs/>
          <w:sz w:val="22"/>
          <w:szCs w:val="22"/>
          <w:lang w:val="es-ES_tradnl"/>
        </w:rPr>
      </w:pPr>
    </w:p>
    <w:p w14:paraId="2D0C62E9" w14:textId="111097E9" w:rsidR="004C773C" w:rsidRPr="00A84B64" w:rsidRDefault="004C773C" w:rsidP="004C773C">
      <w:pPr>
        <w:spacing w:line="360" w:lineRule="auto"/>
        <w:ind w:right="-79"/>
        <w:jc w:val="both"/>
        <w:rPr>
          <w:rFonts w:ascii="Verdana" w:hAnsi="Verdana" w:cs="Arial"/>
          <w:bCs/>
          <w:sz w:val="22"/>
          <w:szCs w:val="22"/>
        </w:rPr>
      </w:pPr>
      <w:r w:rsidRPr="00A84B64">
        <w:rPr>
          <w:rFonts w:ascii="Verdana" w:hAnsi="Verdana" w:cs="Arial"/>
          <w:bCs/>
          <w:sz w:val="22"/>
          <w:szCs w:val="22"/>
          <w:lang w:val="es-ES_tradnl"/>
        </w:rPr>
        <w:t>En punto al régimen de responsabilidad aplicable al caso de los conscriptos, la jurisprudencia de esa Sección ha señalado que es diferente a la que debe aplicarse a quienes ejercen voluntariamente funciones de alto riesgo relacionadas con la defensa y seguridad del Estado, verbigracia, de los militares, agentes de policía o las que cumplían los detectives del extinto DAS</w:t>
      </w:r>
      <w:r w:rsidRPr="00A84B64">
        <w:rPr>
          <w:rFonts w:ascii="Verdana" w:hAnsi="Verdana" w:cs="Arial"/>
          <w:bCs/>
          <w:sz w:val="22"/>
          <w:szCs w:val="22"/>
          <w:vertAlign w:val="superscript"/>
        </w:rPr>
        <w:footnoteReference w:id="5"/>
      </w:r>
      <w:r w:rsidRPr="00A84B64">
        <w:rPr>
          <w:rFonts w:ascii="Verdana" w:hAnsi="Verdana" w:cs="Arial"/>
          <w:bCs/>
          <w:sz w:val="22"/>
          <w:szCs w:val="22"/>
        </w:rPr>
        <w:t xml:space="preserve">, bajo el entendido de que  el sometimiento de aquéllos a los riesgos inherentes a la actividad militar no se realiza de manera voluntaria, sino que obedece al cumplimiento de los deberes que la Constitución impone a las personas, </w:t>
      </w:r>
      <w:r w:rsidRPr="00A84B64">
        <w:rPr>
          <w:rFonts w:ascii="Verdana" w:hAnsi="Verdana" w:cs="Arial"/>
          <w:bCs/>
          <w:i/>
          <w:iCs/>
          <w:sz w:val="22"/>
          <w:szCs w:val="22"/>
        </w:rPr>
        <w:t>“derivados de los principios fundamentales de solidaridad y reciprocidad social”</w:t>
      </w:r>
      <w:r w:rsidRPr="00A84B64">
        <w:rPr>
          <w:rFonts w:ascii="Verdana" w:hAnsi="Verdana" w:cs="Arial"/>
          <w:bCs/>
          <w:sz w:val="22"/>
          <w:szCs w:val="22"/>
          <w:vertAlign w:val="superscript"/>
        </w:rPr>
        <w:footnoteReference w:id="6"/>
      </w:r>
      <w:r w:rsidRPr="00A84B64">
        <w:rPr>
          <w:rFonts w:ascii="Verdana" w:hAnsi="Verdana" w:cs="Arial"/>
          <w:bCs/>
          <w:sz w:val="22"/>
          <w:szCs w:val="22"/>
        </w:rPr>
        <w:t xml:space="preserve">, para </w:t>
      </w:r>
      <w:r w:rsidRPr="00A84B64">
        <w:rPr>
          <w:rFonts w:ascii="Verdana" w:hAnsi="Verdana" w:cs="Arial"/>
          <w:bCs/>
          <w:i/>
          <w:iCs/>
          <w:sz w:val="22"/>
          <w:szCs w:val="22"/>
        </w:rPr>
        <w:t>“defender la independencia nacional y las instituciones públicas”</w:t>
      </w:r>
      <w:r w:rsidR="00223B66" w:rsidRPr="00A84B64">
        <w:rPr>
          <w:rFonts w:ascii="Verdana" w:hAnsi="Verdana" w:cs="Arial"/>
          <w:bCs/>
          <w:sz w:val="22"/>
          <w:szCs w:val="22"/>
        </w:rPr>
        <w:t>.</w:t>
      </w:r>
    </w:p>
    <w:p w14:paraId="79A07631" w14:textId="77777777" w:rsidR="00223B66" w:rsidRPr="00A84B64" w:rsidRDefault="00223B66" w:rsidP="004C773C">
      <w:pPr>
        <w:spacing w:line="360" w:lineRule="auto"/>
        <w:ind w:right="-79"/>
        <w:jc w:val="both"/>
        <w:rPr>
          <w:rFonts w:ascii="Verdana" w:hAnsi="Verdana" w:cs="Arial"/>
          <w:bCs/>
          <w:sz w:val="22"/>
          <w:szCs w:val="22"/>
        </w:rPr>
      </w:pPr>
    </w:p>
    <w:p w14:paraId="4F3B5B56" w14:textId="44A07839" w:rsidR="004C773C" w:rsidRPr="00A84B64" w:rsidRDefault="004C773C" w:rsidP="004C773C">
      <w:pPr>
        <w:spacing w:line="360" w:lineRule="auto"/>
        <w:ind w:right="-79"/>
        <w:jc w:val="both"/>
        <w:rPr>
          <w:rFonts w:ascii="Verdana" w:hAnsi="Verdana" w:cs="Arial"/>
          <w:bCs/>
          <w:i/>
          <w:sz w:val="22"/>
          <w:szCs w:val="22"/>
        </w:rPr>
      </w:pPr>
      <w:r w:rsidRPr="00A84B64">
        <w:rPr>
          <w:rFonts w:ascii="Verdana" w:hAnsi="Verdana" w:cs="Arial"/>
          <w:bCs/>
          <w:sz w:val="22"/>
          <w:szCs w:val="22"/>
          <w:lang w:val="es-ES_tradnl"/>
        </w:rPr>
        <w:t xml:space="preserve">Continúa la jurisprudencia en cita señalando que es diferente la situación de quienes prestan el servicio militar de manera </w:t>
      </w:r>
      <w:r w:rsidRPr="00A84B64">
        <w:rPr>
          <w:rFonts w:ascii="Verdana" w:hAnsi="Verdana" w:cs="Arial"/>
          <w:b/>
          <w:bCs/>
          <w:sz w:val="22"/>
          <w:szCs w:val="22"/>
          <w:lang w:val="es-ES_tradnl"/>
        </w:rPr>
        <w:t xml:space="preserve">obligatoria, de quienes lo hacen voluntariamente, </w:t>
      </w:r>
      <w:r w:rsidRPr="00A84B64">
        <w:rPr>
          <w:rFonts w:ascii="Verdana" w:hAnsi="Verdana" w:cs="Arial"/>
          <w:bCs/>
          <w:sz w:val="22"/>
          <w:szCs w:val="22"/>
          <w:lang w:val="es-ES_tradnl"/>
        </w:rPr>
        <w:t xml:space="preserve">dado que los primeros solo están obligados a soportar las cargas inherentes a éste, como la restricción a los derechos fundamentales de libertad y locomoción, pero no los riesgos anormales </w:t>
      </w:r>
      <w:r w:rsidRPr="00A84B64">
        <w:rPr>
          <w:rFonts w:ascii="Verdana" w:hAnsi="Verdana" w:cs="Arial"/>
          <w:bCs/>
          <w:sz w:val="22"/>
          <w:szCs w:val="22"/>
        </w:rPr>
        <w:t>o excepcionales</w:t>
      </w:r>
      <w:r w:rsidRPr="00A84B64">
        <w:rPr>
          <w:rFonts w:ascii="Verdana" w:hAnsi="Verdana" w:cs="Arial"/>
          <w:bCs/>
          <w:sz w:val="22"/>
          <w:szCs w:val="22"/>
          <w:vertAlign w:val="superscript"/>
        </w:rPr>
        <w:footnoteReference w:id="7"/>
      </w:r>
      <w:r w:rsidRPr="00A84B64">
        <w:rPr>
          <w:rFonts w:ascii="Verdana" w:hAnsi="Verdana" w:cs="Arial"/>
          <w:bCs/>
          <w:sz w:val="22"/>
          <w:szCs w:val="22"/>
        </w:rPr>
        <w:t xml:space="preserve">, en tanto que los segundos </w:t>
      </w:r>
      <w:r w:rsidRPr="00A84B64">
        <w:rPr>
          <w:rFonts w:ascii="Verdana" w:hAnsi="Verdana" w:cs="Arial"/>
          <w:bCs/>
          <w:i/>
          <w:sz w:val="22"/>
          <w:szCs w:val="22"/>
        </w:rPr>
        <w:t xml:space="preserve">asumen todos y cada uno de los riesgos propios de la actividad militar. </w:t>
      </w:r>
    </w:p>
    <w:p w14:paraId="332BD227" w14:textId="77777777" w:rsidR="004C773C" w:rsidRPr="00A84B64" w:rsidRDefault="004C773C" w:rsidP="004C773C">
      <w:pPr>
        <w:spacing w:line="360" w:lineRule="auto"/>
        <w:ind w:right="-79"/>
        <w:jc w:val="both"/>
        <w:rPr>
          <w:rFonts w:ascii="Verdana" w:hAnsi="Verdana" w:cs="Arial"/>
          <w:bCs/>
          <w:i/>
          <w:sz w:val="22"/>
          <w:szCs w:val="22"/>
        </w:rPr>
      </w:pPr>
    </w:p>
    <w:p w14:paraId="3329E8D4" w14:textId="5B30ED7C" w:rsidR="004C773C" w:rsidRPr="00A84B64" w:rsidRDefault="004C773C" w:rsidP="004C773C">
      <w:pPr>
        <w:spacing w:line="360" w:lineRule="auto"/>
        <w:ind w:right="-79"/>
        <w:jc w:val="both"/>
        <w:rPr>
          <w:rFonts w:ascii="Verdana" w:hAnsi="Verdana" w:cs="Arial"/>
          <w:bCs/>
          <w:sz w:val="22"/>
          <w:szCs w:val="22"/>
        </w:rPr>
      </w:pPr>
      <w:r w:rsidRPr="00A84B64">
        <w:rPr>
          <w:rFonts w:ascii="Verdana" w:hAnsi="Verdana" w:cs="Arial"/>
          <w:bCs/>
          <w:sz w:val="22"/>
          <w:szCs w:val="22"/>
        </w:rPr>
        <w:t>Como corolario de lo anterior, -continúa la sentencia en cita- se ha considerado que cuando una persona ingresa al servicio militar obligatorio en buenas condiciones de salud, debe dejar el servicio en condiciones similares</w:t>
      </w:r>
      <w:r w:rsidRPr="00A84B64">
        <w:rPr>
          <w:rStyle w:val="Refdenotaalpie"/>
          <w:rFonts w:ascii="Verdana" w:hAnsi="Verdana" w:cs="Arial"/>
          <w:sz w:val="22"/>
          <w:szCs w:val="22"/>
        </w:rPr>
        <w:footnoteReference w:id="8"/>
      </w:r>
      <w:r w:rsidRPr="00A84B64">
        <w:rPr>
          <w:rFonts w:ascii="Verdana" w:hAnsi="Verdana" w:cs="Arial"/>
          <w:bCs/>
          <w:sz w:val="22"/>
          <w:szCs w:val="22"/>
        </w:rPr>
        <w:t>,</w:t>
      </w:r>
      <w:r w:rsidRPr="00A84B64">
        <w:rPr>
          <w:rFonts w:ascii="Verdana" w:eastAsia="Times New Roman" w:hAnsi="Verdana" w:cs="Arial"/>
          <w:sz w:val="22"/>
          <w:szCs w:val="22"/>
        </w:rPr>
        <w:t xml:space="preserve"> </w:t>
      </w:r>
      <w:r w:rsidRPr="00A84B64">
        <w:rPr>
          <w:rFonts w:ascii="Verdana" w:hAnsi="Verdana" w:cs="Arial"/>
          <w:bCs/>
          <w:sz w:val="22"/>
          <w:szCs w:val="22"/>
        </w:rPr>
        <w:t>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p>
    <w:p w14:paraId="69D5CB81" w14:textId="77777777" w:rsidR="004C773C" w:rsidRPr="00A84B64" w:rsidRDefault="004C773C" w:rsidP="004C773C">
      <w:pPr>
        <w:spacing w:line="360" w:lineRule="auto"/>
        <w:ind w:right="-79"/>
        <w:jc w:val="both"/>
        <w:rPr>
          <w:rFonts w:ascii="Verdana" w:hAnsi="Verdana" w:cs="Arial"/>
          <w:bCs/>
          <w:sz w:val="22"/>
          <w:szCs w:val="22"/>
        </w:rPr>
      </w:pPr>
    </w:p>
    <w:p w14:paraId="49ED006F" w14:textId="51E008B1" w:rsidR="004C773C" w:rsidRPr="00A84B64" w:rsidRDefault="004C773C" w:rsidP="6AD07303">
      <w:pPr>
        <w:spacing w:line="360" w:lineRule="auto"/>
        <w:ind w:right="-79"/>
        <w:jc w:val="both"/>
        <w:rPr>
          <w:rFonts w:ascii="Verdana" w:hAnsi="Verdana" w:cs="Arial"/>
          <w:sz w:val="22"/>
          <w:szCs w:val="22"/>
        </w:rPr>
      </w:pPr>
      <w:r w:rsidRPr="00A84B64">
        <w:rPr>
          <w:rFonts w:ascii="Verdana" w:hAnsi="Verdana" w:cs="Arial"/>
          <w:sz w:val="22"/>
          <w:szCs w:val="22"/>
        </w:rPr>
        <w:lastRenderedPageBreak/>
        <w:t>En este sentido, la referida Sección Tercera</w:t>
      </w:r>
      <w:r w:rsidR="5641CBA7" w:rsidRPr="00A84B64">
        <w:rPr>
          <w:rFonts w:ascii="Verdana" w:hAnsi="Verdana" w:cs="Arial"/>
          <w:sz w:val="22"/>
          <w:szCs w:val="22"/>
        </w:rPr>
        <w:t>,</w:t>
      </w:r>
      <w:r w:rsidRPr="00A84B64">
        <w:rPr>
          <w:rFonts w:ascii="Verdana" w:hAnsi="Verdana" w:cs="Arial"/>
          <w:sz w:val="22"/>
          <w:szCs w:val="22"/>
        </w:rPr>
        <w:t xml:space="preserve"> en pronunciamiento del 30 de septiembre de 2000</w:t>
      </w:r>
      <w:r w:rsidRPr="00A84B64">
        <w:rPr>
          <w:rStyle w:val="Refdenotaalpie"/>
          <w:rFonts w:ascii="Verdana" w:hAnsi="Verdana"/>
          <w:sz w:val="22"/>
          <w:szCs w:val="22"/>
        </w:rPr>
        <w:footnoteReference w:id="9"/>
      </w:r>
      <w:r w:rsidR="76853274" w:rsidRPr="00A84B64">
        <w:rPr>
          <w:rFonts w:ascii="Verdana" w:hAnsi="Verdana" w:cs="Arial"/>
          <w:sz w:val="22"/>
          <w:szCs w:val="22"/>
        </w:rPr>
        <w:t>,</w:t>
      </w:r>
      <w:r w:rsidRPr="00A84B64">
        <w:rPr>
          <w:rFonts w:ascii="Verdana" w:hAnsi="Verdana" w:cs="Arial"/>
          <w:sz w:val="22"/>
          <w:szCs w:val="22"/>
        </w:rPr>
        <w:t xml:space="preserve"> señaló que las obligaciones del Estado, respecto de las personas sometidas a una situación especial de sujeción son de dos clases </w:t>
      </w:r>
      <w:r w:rsidRPr="00A84B64">
        <w:rPr>
          <w:rFonts w:ascii="Verdana" w:hAnsi="Verdana" w:cs="Arial"/>
          <w:i/>
          <w:iCs/>
          <w:sz w:val="22"/>
          <w:szCs w:val="22"/>
        </w:rPr>
        <w:t xml:space="preserve">i) </w:t>
      </w:r>
      <w:r w:rsidRPr="00A84B64">
        <w:rPr>
          <w:rFonts w:ascii="Verdana" w:hAnsi="Verdana" w:cs="Arial"/>
          <w:sz w:val="22"/>
          <w:szCs w:val="22"/>
        </w:rPr>
        <w:t xml:space="preserve">de hacer, esto es, de prever y controlar los peligros que pueda sufrir una persona retenida desde el momento mismo en que se recluta o se produce la privación material de la libertad, hasta el momento en que ella es devuelta a la sociedad y </w:t>
      </w:r>
      <w:proofErr w:type="spellStart"/>
      <w:r w:rsidRPr="00A84B64">
        <w:rPr>
          <w:rFonts w:ascii="Verdana" w:hAnsi="Verdana" w:cs="Arial"/>
          <w:i/>
          <w:iCs/>
          <w:sz w:val="22"/>
          <w:szCs w:val="22"/>
        </w:rPr>
        <w:t>ii</w:t>
      </w:r>
      <w:proofErr w:type="spellEnd"/>
      <w:r w:rsidRPr="00A84B64">
        <w:rPr>
          <w:rFonts w:ascii="Verdana" w:hAnsi="Verdana" w:cs="Arial"/>
          <w:i/>
          <w:iCs/>
          <w:sz w:val="22"/>
          <w:szCs w:val="22"/>
        </w:rPr>
        <w:t>)</w:t>
      </w:r>
      <w:r w:rsidRPr="00A84B64">
        <w:rPr>
          <w:rFonts w:ascii="Verdana" w:hAnsi="Verdana" w:cs="Arial"/>
          <w:sz w:val="22"/>
          <w:szCs w:val="22"/>
        </w:rPr>
        <w:t xml:space="preserve"> de no hacer, referida a la abstención de cualquier conducta que pueda vulnerar o poner en peligro los derechos que no estén limitados por su situación especial.</w:t>
      </w:r>
    </w:p>
    <w:p w14:paraId="243683BC" w14:textId="77777777" w:rsidR="004C773C" w:rsidRPr="00A84B64" w:rsidRDefault="004C773C" w:rsidP="004C773C">
      <w:pPr>
        <w:spacing w:line="360" w:lineRule="auto"/>
        <w:ind w:right="-79"/>
        <w:jc w:val="both"/>
        <w:rPr>
          <w:rFonts w:ascii="Verdana" w:hAnsi="Verdana" w:cs="Arial"/>
          <w:bCs/>
          <w:sz w:val="22"/>
          <w:szCs w:val="22"/>
        </w:rPr>
      </w:pPr>
    </w:p>
    <w:p w14:paraId="5A687BDE" w14:textId="77777777" w:rsidR="004C773C" w:rsidRPr="00A84B64" w:rsidRDefault="004C773C" w:rsidP="004C773C">
      <w:pPr>
        <w:spacing w:line="360" w:lineRule="auto"/>
        <w:ind w:right="-79"/>
        <w:jc w:val="both"/>
        <w:rPr>
          <w:rFonts w:ascii="Verdana" w:hAnsi="Verdana" w:cs="Arial"/>
          <w:b/>
          <w:bCs/>
          <w:sz w:val="22"/>
          <w:szCs w:val="22"/>
        </w:rPr>
      </w:pPr>
      <w:r w:rsidRPr="00A84B64">
        <w:rPr>
          <w:rFonts w:ascii="Verdana" w:hAnsi="Verdana" w:cs="Arial"/>
          <w:bCs/>
          <w:sz w:val="22"/>
          <w:szCs w:val="22"/>
        </w:rPr>
        <w:t xml:space="preserve">Continúa esta sentencia señalando que el reclutamiento, como ejercicio legítimo del poder del Estado que afecta algunos derechos de las personas, </w:t>
      </w:r>
      <w:r w:rsidRPr="00A84B64">
        <w:rPr>
          <w:rFonts w:ascii="Verdana" w:hAnsi="Verdana" w:cs="Arial"/>
          <w:b/>
          <w:bCs/>
          <w:sz w:val="22"/>
          <w:szCs w:val="22"/>
        </w:rPr>
        <w:t xml:space="preserve">en sí mismas no son actividades que generen responsabilidad patrimonial derivada de los perjuicios consustanciales a esas situaciones, dado que son cargas que los ciudadanos deben soportar, no obstante, así como éste soporta la restricción de algunos de sus derechos, el Estado se obliga a garantizarles una eficaz protección y seguridad para lo cual éste goza de posibilidades reales, pues posee el monopolio de la fuerza y los poderes de coerción que le permiten afrontar tales riesgos. </w:t>
      </w:r>
    </w:p>
    <w:p w14:paraId="7564D2CE" w14:textId="77777777" w:rsidR="004C773C" w:rsidRPr="00A84B64" w:rsidRDefault="004C773C" w:rsidP="004C773C">
      <w:pPr>
        <w:spacing w:line="360" w:lineRule="auto"/>
        <w:ind w:right="-79"/>
        <w:jc w:val="both"/>
        <w:rPr>
          <w:rFonts w:ascii="Verdana" w:hAnsi="Verdana" w:cs="Arial"/>
          <w:b/>
          <w:bCs/>
          <w:sz w:val="22"/>
          <w:szCs w:val="22"/>
        </w:rPr>
      </w:pPr>
    </w:p>
    <w:p w14:paraId="37F81CE7" w14:textId="77777777" w:rsidR="004C773C" w:rsidRPr="00A84B64" w:rsidRDefault="004C773C" w:rsidP="004C773C">
      <w:pPr>
        <w:spacing w:line="360" w:lineRule="auto"/>
        <w:ind w:right="-79"/>
        <w:jc w:val="both"/>
        <w:rPr>
          <w:rFonts w:ascii="Verdana" w:hAnsi="Verdana" w:cs="Arial"/>
          <w:bCs/>
          <w:sz w:val="22"/>
          <w:szCs w:val="22"/>
        </w:rPr>
      </w:pPr>
      <w:r w:rsidRPr="00A84B64">
        <w:rPr>
          <w:rFonts w:ascii="Verdana" w:hAnsi="Verdana" w:cs="Arial"/>
          <w:bCs/>
          <w:sz w:val="22"/>
          <w:szCs w:val="22"/>
        </w:rPr>
        <w:t xml:space="preserve">Resalta la jurisprudencia citada que la medida de prever y controlar cualquier acto que redunde en perjuicio de los conscriptos </w:t>
      </w:r>
      <w:r w:rsidRPr="00A84B64">
        <w:rPr>
          <w:rFonts w:ascii="Verdana" w:hAnsi="Verdana" w:cs="Arial"/>
          <w:sz w:val="22"/>
          <w:szCs w:val="22"/>
        </w:rPr>
        <w:t>es de resultado, pues la probabilidad de lograr la</w:t>
      </w:r>
      <w:r w:rsidRPr="00A84B64">
        <w:rPr>
          <w:rFonts w:ascii="Verdana" w:hAnsi="Verdana" w:cs="Arial"/>
          <w:bCs/>
          <w:sz w:val="22"/>
          <w:szCs w:val="22"/>
        </w:rPr>
        <w:t xml:space="preserve"> eficacia en el cumplimiento de la obligación es alta. </w:t>
      </w:r>
    </w:p>
    <w:p w14:paraId="44798B55" w14:textId="77777777" w:rsidR="004C773C" w:rsidRPr="00A84B64" w:rsidRDefault="004C773C" w:rsidP="004C773C">
      <w:pPr>
        <w:spacing w:line="360" w:lineRule="auto"/>
        <w:ind w:right="-79"/>
        <w:jc w:val="both"/>
        <w:rPr>
          <w:rFonts w:ascii="Verdana" w:hAnsi="Verdana" w:cs="Arial"/>
          <w:bCs/>
          <w:sz w:val="22"/>
          <w:szCs w:val="22"/>
        </w:rPr>
      </w:pPr>
    </w:p>
    <w:p w14:paraId="05E30550" w14:textId="66684DAB" w:rsidR="004C773C" w:rsidRPr="00A84B64" w:rsidRDefault="004C773C" w:rsidP="6AD07303">
      <w:pPr>
        <w:spacing w:line="360" w:lineRule="auto"/>
        <w:ind w:right="-79"/>
        <w:jc w:val="both"/>
        <w:rPr>
          <w:rFonts w:ascii="Verdana" w:hAnsi="Verdana" w:cs="Arial"/>
          <w:sz w:val="22"/>
          <w:szCs w:val="22"/>
        </w:rPr>
      </w:pPr>
      <w:r w:rsidRPr="00A84B64">
        <w:rPr>
          <w:rFonts w:ascii="Verdana" w:hAnsi="Verdana" w:cs="Arial"/>
          <w:sz w:val="22"/>
          <w:szCs w:val="22"/>
        </w:rPr>
        <w:t>En concordancia con lo anterior, respecto a los títulos de imputación</w:t>
      </w:r>
      <w:r w:rsidR="3442410A" w:rsidRPr="00A84B64">
        <w:rPr>
          <w:rFonts w:ascii="Verdana" w:hAnsi="Verdana" w:cs="Arial"/>
          <w:sz w:val="22"/>
          <w:szCs w:val="22"/>
        </w:rPr>
        <w:t>,</w:t>
      </w:r>
      <w:r w:rsidRPr="00A84B64">
        <w:rPr>
          <w:rFonts w:ascii="Verdana" w:hAnsi="Verdana" w:cs="Arial"/>
          <w:sz w:val="22"/>
          <w:szCs w:val="22"/>
        </w:rPr>
        <w:t xml:space="preserve"> el Consejo de Estado</w:t>
      </w:r>
      <w:r w:rsidRPr="00A84B64">
        <w:rPr>
          <w:rStyle w:val="Refdenotaalpie"/>
          <w:rFonts w:ascii="Verdana" w:hAnsi="Verdana"/>
          <w:sz w:val="22"/>
          <w:szCs w:val="22"/>
        </w:rPr>
        <w:footnoteReference w:id="10"/>
      </w:r>
      <w:r w:rsidRPr="00A84B64">
        <w:rPr>
          <w:rFonts w:ascii="Verdana" w:hAnsi="Verdana" w:cs="Arial"/>
          <w:sz w:val="22"/>
          <w:szCs w:val="22"/>
        </w:rPr>
        <w:t xml:space="preserve"> ha expresado lo siguiente:</w:t>
      </w:r>
    </w:p>
    <w:p w14:paraId="714F81D6" w14:textId="77777777" w:rsidR="004C773C" w:rsidRPr="00A84B64" w:rsidRDefault="004C773C" w:rsidP="004C773C">
      <w:pPr>
        <w:spacing w:line="360" w:lineRule="auto"/>
        <w:ind w:right="-79"/>
        <w:jc w:val="both"/>
        <w:rPr>
          <w:rFonts w:ascii="Verdana" w:hAnsi="Verdana" w:cs="Arial"/>
          <w:bCs/>
          <w:sz w:val="22"/>
          <w:szCs w:val="22"/>
        </w:rPr>
      </w:pPr>
    </w:p>
    <w:p w14:paraId="10F3CBF1" w14:textId="63E76BEE"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sz w:val="22"/>
          <w:szCs w:val="22"/>
        </w:rPr>
        <w:t>“</w:t>
      </w:r>
      <w:r w:rsidRPr="00A84B64">
        <w:rPr>
          <w:rFonts w:ascii="Verdana" w:hAnsi="Verdana" w:cs="Arial"/>
          <w:bCs/>
          <w:i/>
          <w:sz w:val="22"/>
          <w:szCs w:val="22"/>
        </w:rPr>
        <w:t>Atendiendo a las condiciones concretas en las que se produjo el hecho, la</w:t>
      </w:r>
      <w:r w:rsidR="00F978A6" w:rsidRPr="00A84B64">
        <w:rPr>
          <w:rFonts w:ascii="Verdana" w:hAnsi="Verdana" w:cs="Arial"/>
          <w:bCs/>
          <w:i/>
          <w:sz w:val="22"/>
          <w:szCs w:val="22"/>
        </w:rPr>
        <w:t xml:space="preserve"> </w:t>
      </w:r>
      <w:r w:rsidRPr="00A84B64">
        <w:rPr>
          <w:rFonts w:ascii="Verdana" w:hAnsi="Verdana" w:cs="Arial"/>
          <w:bCs/>
          <w:i/>
          <w:sz w:val="22"/>
          <w:szCs w:val="22"/>
        </w:rPr>
        <w:t xml:space="preserve">Sala ha aplicado en la solución de los casos,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ha considerado que el daño no será imputable al Estado cuando se haya producido por culpa exclusiva de la víctima, por fuerza </w:t>
      </w:r>
      <w:r w:rsidRPr="00A84B64">
        <w:rPr>
          <w:rFonts w:ascii="Verdana" w:hAnsi="Verdana" w:cs="Arial"/>
          <w:bCs/>
          <w:i/>
          <w:sz w:val="22"/>
          <w:szCs w:val="22"/>
        </w:rPr>
        <w:lastRenderedPageBreak/>
        <w:t>mayor o por el hecho exclusivo de un tercero, por rompimiento del nexo causal. En providencia de 2 de marzo de 2000, dijo la Sala:</w:t>
      </w:r>
    </w:p>
    <w:p w14:paraId="73E393D8" w14:textId="77777777" w:rsidR="004C773C" w:rsidRPr="00A84B64" w:rsidRDefault="004C773C" w:rsidP="00F978A6">
      <w:pPr>
        <w:spacing w:line="276" w:lineRule="auto"/>
        <w:ind w:right="-79"/>
        <w:jc w:val="both"/>
        <w:rPr>
          <w:rFonts w:ascii="Verdana" w:hAnsi="Verdana" w:cs="Arial"/>
          <w:bCs/>
          <w:i/>
          <w:sz w:val="22"/>
          <w:szCs w:val="22"/>
        </w:rPr>
      </w:pPr>
    </w:p>
    <w:p w14:paraId="6515E5DE" w14:textId="27647D87"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t>...demostrada la existencia de un daño antijurídico causado a quien presta el servicio militar, durante el mismo y en desarrollo de actividades propias de él, puede concluirse que aquél es imputable al Estado. En efecto, dado el carácter especial de esta situación, por las circunstancias antes anotadas, es claro que corresponde al Estado la protección de los obligados a prestar el servicio militar y la</w:t>
      </w:r>
      <w:r w:rsidR="00F978A6" w:rsidRPr="00A84B64">
        <w:rPr>
          <w:rFonts w:ascii="Verdana" w:hAnsi="Verdana" w:cs="Arial"/>
          <w:bCs/>
          <w:i/>
          <w:sz w:val="22"/>
          <w:szCs w:val="22"/>
        </w:rPr>
        <w:t xml:space="preserve"> </w:t>
      </w:r>
      <w:r w:rsidRPr="00A84B64">
        <w:rPr>
          <w:rFonts w:ascii="Verdana" w:hAnsi="Verdana" w:cs="Arial"/>
          <w:bCs/>
          <w:i/>
          <w:sz w:val="22"/>
          <w:szCs w:val="22"/>
        </w:rPr>
        <w:t>asunción de todos los riesgos que se creen como consecuencia de la realización de las diferentes tareas que a ellos se asignen.</w:t>
      </w:r>
    </w:p>
    <w:p w14:paraId="55305D4A" w14:textId="77777777" w:rsidR="00F978A6" w:rsidRPr="00A84B64" w:rsidRDefault="00F978A6" w:rsidP="00F978A6">
      <w:pPr>
        <w:spacing w:line="276" w:lineRule="auto"/>
        <w:ind w:left="708" w:right="-79"/>
        <w:jc w:val="both"/>
        <w:rPr>
          <w:rFonts w:ascii="Verdana" w:hAnsi="Verdana" w:cs="Arial"/>
          <w:bCs/>
          <w:i/>
          <w:sz w:val="22"/>
          <w:szCs w:val="22"/>
        </w:rPr>
      </w:pPr>
    </w:p>
    <w:p w14:paraId="38C3E6FE" w14:textId="438DA6CD" w:rsidR="004C773C" w:rsidRPr="00A84B64" w:rsidRDefault="004C773C" w:rsidP="00F978A6">
      <w:pPr>
        <w:spacing w:line="276" w:lineRule="auto"/>
        <w:ind w:left="708" w:right="-79"/>
        <w:jc w:val="both"/>
        <w:rPr>
          <w:rFonts w:ascii="Verdana" w:hAnsi="Verdana" w:cs="Arial"/>
          <w:bCs/>
          <w:i/>
          <w:sz w:val="22"/>
          <w:szCs w:val="22"/>
        </w:rPr>
      </w:pPr>
      <w:r w:rsidRPr="00A84B64">
        <w:rPr>
          <w:rFonts w:ascii="Verdana" w:hAnsi="Verdana" w:cs="Arial"/>
          <w:bCs/>
          <w:i/>
          <w:sz w:val="22"/>
          <w:szCs w:val="22"/>
        </w:rPr>
        <w:t>No será imputable al Estado el daño causado cuando éste haya ocurrido por fuerza mayor o por el hecho exclusivo de un tercero o de la víctima, eventos cuya demostración corresponderá a la parte</w:t>
      </w:r>
      <w:r w:rsidR="00F978A6" w:rsidRPr="00A84B64">
        <w:rPr>
          <w:rFonts w:ascii="Verdana" w:hAnsi="Verdana" w:cs="Arial"/>
          <w:bCs/>
          <w:i/>
          <w:sz w:val="22"/>
          <w:szCs w:val="22"/>
        </w:rPr>
        <w:t xml:space="preserve"> </w:t>
      </w:r>
      <w:r w:rsidRPr="00A84B64">
        <w:rPr>
          <w:rFonts w:ascii="Verdana" w:hAnsi="Verdana" w:cs="Arial"/>
          <w:bCs/>
          <w:i/>
          <w:sz w:val="22"/>
          <w:szCs w:val="22"/>
        </w:rPr>
        <w:t>demandada”</w:t>
      </w:r>
      <w:r w:rsidRPr="00A84B64">
        <w:rPr>
          <w:rStyle w:val="Refdenotaalpie"/>
          <w:rFonts w:ascii="Verdana" w:hAnsi="Verdana"/>
          <w:bCs/>
          <w:i/>
          <w:sz w:val="22"/>
          <w:szCs w:val="22"/>
        </w:rPr>
        <w:footnoteReference w:id="11"/>
      </w:r>
      <w:r w:rsidR="00F978A6" w:rsidRPr="00A84B64">
        <w:rPr>
          <w:rFonts w:ascii="Verdana" w:hAnsi="Verdana" w:cs="Arial"/>
          <w:bCs/>
          <w:i/>
          <w:sz w:val="22"/>
          <w:szCs w:val="22"/>
        </w:rPr>
        <w:t>.</w:t>
      </w:r>
    </w:p>
    <w:p w14:paraId="4E817DCE" w14:textId="77777777" w:rsidR="004C773C" w:rsidRPr="00A84B64" w:rsidRDefault="004C773C" w:rsidP="004C773C">
      <w:pPr>
        <w:spacing w:line="360" w:lineRule="auto"/>
        <w:ind w:right="-79"/>
        <w:jc w:val="both"/>
        <w:rPr>
          <w:rFonts w:ascii="Verdana" w:hAnsi="Verdana" w:cs="Arial"/>
          <w:sz w:val="22"/>
          <w:szCs w:val="22"/>
        </w:rPr>
      </w:pPr>
    </w:p>
    <w:p w14:paraId="58C43861" w14:textId="77777777" w:rsidR="004C773C" w:rsidRPr="00A84B64" w:rsidRDefault="004C773C" w:rsidP="004C773C">
      <w:pPr>
        <w:spacing w:line="360" w:lineRule="auto"/>
        <w:ind w:right="-79"/>
        <w:jc w:val="both"/>
        <w:rPr>
          <w:rFonts w:ascii="Verdana" w:hAnsi="Verdana" w:cs="Arial"/>
          <w:sz w:val="22"/>
          <w:szCs w:val="22"/>
        </w:rPr>
      </w:pPr>
      <w:r w:rsidRPr="00A84B64">
        <w:rPr>
          <w:rFonts w:ascii="Verdana" w:hAnsi="Verdana" w:cs="Arial"/>
          <w:sz w:val="22"/>
          <w:szCs w:val="22"/>
        </w:rPr>
        <w:t>Por su parte, los eximentes de responsabilidad aplicables a los casos donde se discute la responsabilidad del Estado por los daños causados a los conscriptos, la Corporación en cita ha señalado lo siguiente:</w:t>
      </w:r>
    </w:p>
    <w:p w14:paraId="7AB3B455" w14:textId="77777777" w:rsidR="004C773C" w:rsidRPr="00A84B64" w:rsidRDefault="004C773C" w:rsidP="004C773C">
      <w:pPr>
        <w:spacing w:line="360" w:lineRule="auto"/>
        <w:ind w:right="-79"/>
        <w:jc w:val="both"/>
        <w:rPr>
          <w:rFonts w:ascii="Verdana" w:hAnsi="Verdana" w:cs="Arial"/>
          <w:sz w:val="22"/>
          <w:szCs w:val="22"/>
        </w:rPr>
      </w:pPr>
    </w:p>
    <w:p w14:paraId="5B1A0B93" w14:textId="77777777" w:rsidR="004C773C" w:rsidRPr="00A84B64" w:rsidRDefault="004C773C" w:rsidP="00F978A6">
      <w:pPr>
        <w:spacing w:line="276" w:lineRule="auto"/>
        <w:ind w:left="708" w:right="-79"/>
        <w:jc w:val="both"/>
        <w:rPr>
          <w:rFonts w:ascii="Verdana" w:hAnsi="Verdana" w:cs="Arial"/>
          <w:i/>
          <w:sz w:val="22"/>
          <w:szCs w:val="22"/>
        </w:rPr>
      </w:pPr>
      <w:r w:rsidRPr="00A84B64">
        <w:rPr>
          <w:rFonts w:ascii="Verdana" w:hAnsi="Verdana" w:cs="Arial"/>
          <w:i/>
          <w:sz w:val="22"/>
          <w:szCs w:val="22"/>
        </w:rPr>
        <w:t xml:space="preserve">“En cada caso concreto en los cuales se invoque la existencia de una causa extraña por parte de la entidad demandada, es necesario analizar los detalles de tiempo, modo y lugar en que se produjo el daño, por cuanto es posible que el Estado haya contribuido </w:t>
      </w:r>
      <w:proofErr w:type="spellStart"/>
      <w:r w:rsidRPr="00A84B64">
        <w:rPr>
          <w:rFonts w:ascii="Verdana" w:hAnsi="Verdana" w:cs="Arial"/>
          <w:i/>
          <w:sz w:val="22"/>
          <w:szCs w:val="22"/>
        </w:rPr>
        <w:t>co-causalmente</w:t>
      </w:r>
      <w:proofErr w:type="spellEnd"/>
      <w:r w:rsidRPr="00A84B64">
        <w:rPr>
          <w:rFonts w:ascii="Verdana" w:hAnsi="Verdana" w:cs="Arial"/>
          <w:i/>
          <w:sz w:val="22"/>
          <w:szCs w:val="22"/>
        </w:rPr>
        <w:t xml:space="preserve"> a la generación del mismo, específicamente, al situar al conscripto en la situación de riesgo, o bien por una ruptura de la igualdad ante las cargas públicas o por una falla del servicio”</w:t>
      </w:r>
      <w:r w:rsidRPr="00A84B64">
        <w:rPr>
          <w:rStyle w:val="Refdenotaalpie"/>
          <w:rFonts w:ascii="Verdana" w:hAnsi="Verdana"/>
          <w:i/>
          <w:sz w:val="22"/>
          <w:szCs w:val="22"/>
        </w:rPr>
        <w:footnoteReference w:id="12"/>
      </w:r>
      <w:r w:rsidRPr="00A84B64">
        <w:rPr>
          <w:rFonts w:ascii="Verdana" w:hAnsi="Verdana" w:cs="Arial"/>
          <w:i/>
          <w:sz w:val="22"/>
          <w:szCs w:val="22"/>
        </w:rPr>
        <w:t>.</w:t>
      </w:r>
    </w:p>
    <w:p w14:paraId="113AF96C" w14:textId="77777777" w:rsidR="004C773C" w:rsidRPr="00A84B64" w:rsidRDefault="004C773C" w:rsidP="004C773C">
      <w:pPr>
        <w:spacing w:line="360" w:lineRule="auto"/>
        <w:ind w:right="-79"/>
        <w:jc w:val="both"/>
        <w:rPr>
          <w:rFonts w:ascii="Verdana" w:hAnsi="Verdana" w:cs="Arial"/>
          <w:sz w:val="22"/>
          <w:szCs w:val="22"/>
        </w:rPr>
      </w:pPr>
    </w:p>
    <w:p w14:paraId="3AC750F1" w14:textId="7F139286" w:rsidR="004C773C" w:rsidRPr="00A84B64" w:rsidRDefault="004C773C" w:rsidP="004C773C">
      <w:pPr>
        <w:spacing w:line="360" w:lineRule="auto"/>
        <w:ind w:right="-79"/>
        <w:jc w:val="both"/>
        <w:rPr>
          <w:rFonts w:ascii="Verdana" w:hAnsi="Verdana" w:cs="Arial"/>
          <w:b/>
          <w:sz w:val="22"/>
          <w:szCs w:val="22"/>
        </w:rPr>
      </w:pPr>
      <w:r w:rsidRPr="00A84B64">
        <w:rPr>
          <w:rFonts w:ascii="Verdana" w:hAnsi="Verdana" w:cs="Arial"/>
          <w:b/>
          <w:sz w:val="22"/>
          <w:szCs w:val="22"/>
        </w:rPr>
        <w:t>3.1.2. Caso concreto</w:t>
      </w:r>
    </w:p>
    <w:p w14:paraId="0E42D4D4" w14:textId="472B156E" w:rsidR="0097691C" w:rsidRPr="00A84B64" w:rsidRDefault="0097691C" w:rsidP="004C773C">
      <w:pPr>
        <w:spacing w:line="360" w:lineRule="auto"/>
        <w:ind w:right="-79"/>
        <w:jc w:val="both"/>
        <w:rPr>
          <w:rFonts w:ascii="Verdana" w:hAnsi="Verdana" w:cs="Arial"/>
          <w:b/>
          <w:sz w:val="22"/>
          <w:szCs w:val="22"/>
        </w:rPr>
      </w:pPr>
    </w:p>
    <w:p w14:paraId="42C4773E" w14:textId="00179A29" w:rsidR="000C2670" w:rsidRPr="00A84B64" w:rsidRDefault="0019312E" w:rsidP="004C773C">
      <w:pPr>
        <w:spacing w:line="360" w:lineRule="auto"/>
        <w:ind w:right="-79"/>
        <w:jc w:val="both"/>
        <w:rPr>
          <w:rFonts w:ascii="Verdana" w:hAnsi="Verdana" w:cs="Arial"/>
          <w:b/>
          <w:sz w:val="22"/>
          <w:szCs w:val="22"/>
        </w:rPr>
      </w:pPr>
      <w:r w:rsidRPr="00A84B64">
        <w:rPr>
          <w:rFonts w:ascii="Verdana" w:hAnsi="Verdana" w:cs="Arial"/>
          <w:b/>
          <w:sz w:val="22"/>
          <w:szCs w:val="22"/>
        </w:rPr>
        <w:t>3.1.2.1. Del daño antijurídico</w:t>
      </w:r>
    </w:p>
    <w:p w14:paraId="61AC866B" w14:textId="4EB6A108" w:rsidR="000C2670" w:rsidRPr="00A84B64" w:rsidRDefault="000C2670" w:rsidP="004C773C">
      <w:pPr>
        <w:spacing w:line="360" w:lineRule="auto"/>
        <w:ind w:right="-79"/>
        <w:jc w:val="both"/>
        <w:rPr>
          <w:rFonts w:ascii="Verdana" w:hAnsi="Verdana" w:cs="Arial"/>
          <w:b/>
          <w:sz w:val="22"/>
          <w:szCs w:val="22"/>
        </w:rPr>
      </w:pPr>
    </w:p>
    <w:p w14:paraId="4F4C81BA" w14:textId="44955DAB" w:rsidR="00413B56" w:rsidRPr="00A84B64" w:rsidRDefault="00413B56" w:rsidP="004C773C">
      <w:pPr>
        <w:spacing w:line="360" w:lineRule="auto"/>
        <w:ind w:right="-79"/>
        <w:jc w:val="both"/>
        <w:rPr>
          <w:rFonts w:ascii="Verdana" w:hAnsi="Verdana" w:cs="Arial"/>
          <w:bCs/>
          <w:sz w:val="22"/>
          <w:szCs w:val="22"/>
        </w:rPr>
      </w:pPr>
      <w:r w:rsidRPr="00A84B64">
        <w:rPr>
          <w:rFonts w:ascii="Verdana" w:hAnsi="Verdana" w:cs="Arial"/>
          <w:bCs/>
          <w:sz w:val="22"/>
          <w:szCs w:val="22"/>
        </w:rPr>
        <w:t>Con base en las pruebas practicadas en el proceso de la referencia, la Sala tiene como ciertos los siguientes hechos que hacen referencia al daño que se alega:</w:t>
      </w:r>
    </w:p>
    <w:p w14:paraId="31374C8D" w14:textId="77777777" w:rsidR="00413B56" w:rsidRPr="00A84B64" w:rsidRDefault="00413B56" w:rsidP="004C773C">
      <w:pPr>
        <w:spacing w:line="360" w:lineRule="auto"/>
        <w:ind w:right="-79"/>
        <w:jc w:val="both"/>
        <w:rPr>
          <w:rFonts w:ascii="Verdana" w:hAnsi="Verdana" w:cs="Arial"/>
          <w:b/>
          <w:sz w:val="22"/>
          <w:szCs w:val="22"/>
        </w:rPr>
      </w:pPr>
    </w:p>
    <w:p w14:paraId="016CBB6A" w14:textId="2F070EC6" w:rsidR="00BD03B1" w:rsidRPr="00A84B64" w:rsidRDefault="00BD03B1" w:rsidP="00BD03B1">
      <w:pPr>
        <w:spacing w:line="360" w:lineRule="auto"/>
        <w:ind w:right="-79"/>
        <w:jc w:val="both"/>
        <w:rPr>
          <w:rFonts w:ascii="Verdana" w:hAnsi="Verdana" w:cs="Arial"/>
          <w:bCs/>
          <w:sz w:val="22"/>
          <w:szCs w:val="22"/>
          <w:lang w:val="es-ES_tradnl"/>
        </w:rPr>
      </w:pPr>
      <w:r w:rsidRPr="00A84B64">
        <w:rPr>
          <w:rFonts w:ascii="Verdana" w:hAnsi="Verdana" w:cs="Arial"/>
          <w:bCs/>
          <w:sz w:val="22"/>
          <w:szCs w:val="22"/>
          <w:lang w:val="es-ES_tradnl"/>
        </w:rPr>
        <w:t xml:space="preserve">Que mediante examen médico de admisión para auxiliares bachilleres </w:t>
      </w:r>
      <w:r w:rsidR="00D13742" w:rsidRPr="00A84B64">
        <w:rPr>
          <w:rFonts w:ascii="Verdana" w:hAnsi="Verdana" w:cs="Arial"/>
          <w:bCs/>
          <w:sz w:val="22"/>
          <w:szCs w:val="22"/>
          <w:lang w:val="es-ES_tradnl"/>
        </w:rPr>
        <w:t xml:space="preserve">realizado por el INPEC el </w:t>
      </w:r>
      <w:r w:rsidRPr="00A84B64">
        <w:rPr>
          <w:rFonts w:ascii="Verdana" w:hAnsi="Verdana" w:cs="Arial"/>
          <w:bCs/>
          <w:sz w:val="22"/>
          <w:szCs w:val="22"/>
          <w:lang w:val="es-ES_tradnl"/>
        </w:rPr>
        <w:t xml:space="preserve">25 de julio del 2013, se declaró </w:t>
      </w:r>
      <w:r w:rsidR="00413B56" w:rsidRPr="00A84B64">
        <w:rPr>
          <w:rFonts w:ascii="Verdana" w:hAnsi="Verdana" w:cs="Arial"/>
          <w:bCs/>
          <w:sz w:val="22"/>
          <w:szCs w:val="22"/>
          <w:lang w:val="es-ES_tradnl"/>
        </w:rPr>
        <w:t>APTO</w:t>
      </w:r>
      <w:r w:rsidRPr="00A84B64">
        <w:rPr>
          <w:rFonts w:ascii="Verdana" w:hAnsi="Verdana" w:cs="Arial"/>
          <w:bCs/>
          <w:sz w:val="22"/>
          <w:szCs w:val="22"/>
          <w:lang w:val="es-ES_tradnl"/>
        </w:rPr>
        <w:t xml:space="preserve"> al señor Luis Eduardo Ávila Gaitán</w:t>
      </w:r>
      <w:r w:rsidR="00D13742" w:rsidRPr="00A84B64">
        <w:rPr>
          <w:rFonts w:ascii="Verdana" w:hAnsi="Verdana" w:cs="Arial"/>
          <w:bCs/>
          <w:sz w:val="22"/>
          <w:szCs w:val="22"/>
          <w:lang w:val="es-ES_tradnl"/>
        </w:rPr>
        <w:t xml:space="preserve"> </w:t>
      </w:r>
      <w:r w:rsidRPr="00A84B64">
        <w:rPr>
          <w:rFonts w:ascii="Verdana" w:hAnsi="Verdana" w:cs="Arial"/>
          <w:bCs/>
          <w:sz w:val="22"/>
          <w:szCs w:val="22"/>
          <w:lang w:val="es-ES_tradnl"/>
        </w:rPr>
        <w:t>(</w:t>
      </w:r>
      <w:proofErr w:type="spellStart"/>
      <w:r w:rsidR="00D13742" w:rsidRPr="00A84B64">
        <w:rPr>
          <w:rFonts w:ascii="Verdana" w:hAnsi="Verdana" w:cs="Arial"/>
          <w:bCs/>
          <w:sz w:val="22"/>
          <w:szCs w:val="22"/>
          <w:lang w:val="es-ES_tradnl"/>
        </w:rPr>
        <w:t>fl</w:t>
      </w:r>
      <w:proofErr w:type="spellEnd"/>
      <w:r w:rsidR="00D13742" w:rsidRPr="00A84B64">
        <w:rPr>
          <w:rFonts w:ascii="Verdana" w:hAnsi="Verdana" w:cs="Arial"/>
          <w:bCs/>
          <w:sz w:val="22"/>
          <w:szCs w:val="22"/>
          <w:lang w:val="es-ES_tradnl"/>
        </w:rPr>
        <w:t xml:space="preserve">. </w:t>
      </w:r>
      <w:r w:rsidRPr="00A84B64">
        <w:rPr>
          <w:rFonts w:ascii="Verdana" w:hAnsi="Verdana" w:cs="Arial"/>
          <w:bCs/>
          <w:sz w:val="22"/>
          <w:szCs w:val="22"/>
          <w:lang w:val="es-ES_tradnl"/>
        </w:rPr>
        <w:t>725)</w:t>
      </w:r>
      <w:r w:rsidR="00D465DE" w:rsidRPr="00A84B64">
        <w:rPr>
          <w:rFonts w:ascii="Verdana" w:hAnsi="Verdana" w:cs="Arial"/>
          <w:bCs/>
          <w:sz w:val="22"/>
          <w:szCs w:val="22"/>
          <w:lang w:val="es-ES_tradnl"/>
        </w:rPr>
        <w:t>.</w:t>
      </w:r>
    </w:p>
    <w:p w14:paraId="72AC6AEC" w14:textId="77777777" w:rsidR="00F978A6" w:rsidRPr="00A84B64" w:rsidRDefault="00F978A6" w:rsidP="00BD03B1">
      <w:pPr>
        <w:spacing w:line="360" w:lineRule="auto"/>
        <w:ind w:right="-79"/>
        <w:jc w:val="both"/>
        <w:rPr>
          <w:rFonts w:ascii="Verdana" w:hAnsi="Verdana" w:cs="Arial"/>
          <w:bCs/>
          <w:sz w:val="22"/>
          <w:szCs w:val="22"/>
          <w:lang w:val="es-ES_tradnl"/>
        </w:rPr>
      </w:pPr>
    </w:p>
    <w:p w14:paraId="130C4B89" w14:textId="0008F505" w:rsidR="00D05570" w:rsidRPr="00A84B64" w:rsidRDefault="00D05570" w:rsidP="00BD03B1">
      <w:pPr>
        <w:spacing w:line="360" w:lineRule="auto"/>
        <w:ind w:right="-79"/>
        <w:jc w:val="both"/>
        <w:rPr>
          <w:rFonts w:ascii="Verdana" w:hAnsi="Verdana" w:cs="Arial"/>
          <w:bCs/>
          <w:sz w:val="22"/>
          <w:szCs w:val="22"/>
          <w:lang w:val="es-ES_tradnl"/>
        </w:rPr>
      </w:pPr>
      <w:r w:rsidRPr="00A84B64">
        <w:rPr>
          <w:rFonts w:ascii="Verdana" w:hAnsi="Verdana" w:cs="Arial"/>
          <w:bCs/>
          <w:sz w:val="22"/>
          <w:szCs w:val="22"/>
          <w:lang w:val="es-ES_tradnl"/>
        </w:rPr>
        <w:lastRenderedPageBreak/>
        <w:t>Que t</w:t>
      </w:r>
      <w:r w:rsidR="006E6DC8" w:rsidRPr="00A84B64">
        <w:rPr>
          <w:rFonts w:ascii="Verdana" w:hAnsi="Verdana" w:cs="Arial"/>
          <w:bCs/>
          <w:sz w:val="22"/>
          <w:szCs w:val="22"/>
          <w:lang w:val="es-ES_tradnl"/>
        </w:rPr>
        <w:t>al como lo señaló el INPEC en la contestación de la demanda, “</w:t>
      </w:r>
      <w:r w:rsidR="006E6DC8" w:rsidRPr="00A84B64">
        <w:rPr>
          <w:rFonts w:ascii="Verdana" w:hAnsi="Verdana" w:cs="Arial"/>
          <w:bCs/>
          <w:i/>
          <w:iCs/>
          <w:sz w:val="22"/>
          <w:szCs w:val="22"/>
          <w:lang w:val="es-ES_tradnl"/>
        </w:rPr>
        <w:t xml:space="preserve">El auxiliar bachiller Luis Eduardo Ávila Gaitán, prestó su servicio militar </w:t>
      </w:r>
      <w:r w:rsidRPr="00A84B64">
        <w:rPr>
          <w:rFonts w:ascii="Verdana" w:hAnsi="Verdana" w:cs="Arial"/>
          <w:bCs/>
          <w:i/>
          <w:iCs/>
          <w:sz w:val="22"/>
          <w:szCs w:val="22"/>
          <w:lang w:val="es-ES_tradnl"/>
        </w:rPr>
        <w:t>obligatorio en el Instituto Nacional Penitenciario y Carcelario – INPEC, Establecimiento Penitenciario y Carcelario de Chiquinquirá, luego de cumplir con los procedimientos ante la Dirección de Reclutamiento Control Reservas del Ejército, y de recibir su instrucción en el Establecimiento Penitenciario y Carcelario de Alta y Mediana Seguridad y Carcelario con Alta Seguridad de Cómbita</w:t>
      </w:r>
      <w:r w:rsidR="000C2670" w:rsidRPr="00A84B64">
        <w:rPr>
          <w:rFonts w:ascii="Verdana" w:hAnsi="Verdana" w:cs="Arial"/>
          <w:bCs/>
          <w:sz w:val="22"/>
          <w:szCs w:val="22"/>
          <w:lang w:val="es-ES_tradnl"/>
        </w:rPr>
        <w:t xml:space="preserve">. </w:t>
      </w:r>
      <w:r w:rsidR="000C2670" w:rsidRPr="00A84B64">
        <w:rPr>
          <w:rFonts w:ascii="Verdana" w:hAnsi="Verdana" w:cs="Arial"/>
          <w:bCs/>
          <w:i/>
          <w:iCs/>
          <w:sz w:val="22"/>
          <w:szCs w:val="22"/>
          <w:lang w:val="es-ES_tradnl"/>
        </w:rPr>
        <w:t xml:space="preserve">(…) </w:t>
      </w:r>
      <w:r w:rsidR="000C2670" w:rsidRPr="00A84B64">
        <w:rPr>
          <w:rFonts w:ascii="Verdana" w:hAnsi="Verdana" w:cs="Arial"/>
          <w:b/>
          <w:i/>
          <w:iCs/>
          <w:sz w:val="22"/>
          <w:szCs w:val="22"/>
          <w:lang w:val="es-ES_tradnl"/>
        </w:rPr>
        <w:t>En desarrollo del cumplimiento de su servicio militar obligatorio el señor AVILA GAITAN, el día 11 de junio de 2014, sufrió lesión física en su miembro inferior derecho</w:t>
      </w:r>
      <w:r w:rsidR="000C2670" w:rsidRPr="00A84B64">
        <w:rPr>
          <w:rFonts w:ascii="Verdana" w:hAnsi="Verdana" w:cs="Arial"/>
          <w:bCs/>
          <w:sz w:val="22"/>
          <w:szCs w:val="22"/>
          <w:lang w:val="es-ES_tradnl"/>
        </w:rPr>
        <w:t xml:space="preserve"> (…)</w:t>
      </w:r>
      <w:r w:rsidRPr="00A84B64">
        <w:rPr>
          <w:rFonts w:ascii="Verdana" w:hAnsi="Verdana" w:cs="Arial"/>
          <w:bCs/>
          <w:sz w:val="22"/>
          <w:szCs w:val="22"/>
          <w:lang w:val="es-ES_tradnl"/>
        </w:rPr>
        <w:t xml:space="preserve"> (</w:t>
      </w:r>
      <w:proofErr w:type="spellStart"/>
      <w:r w:rsidRPr="00A84B64">
        <w:rPr>
          <w:rFonts w:ascii="Verdana" w:hAnsi="Verdana" w:cs="Arial"/>
          <w:bCs/>
          <w:sz w:val="22"/>
          <w:szCs w:val="22"/>
          <w:lang w:val="es-ES_tradnl"/>
        </w:rPr>
        <w:t>fl</w:t>
      </w:r>
      <w:r w:rsidR="000C2670" w:rsidRPr="00A84B64">
        <w:rPr>
          <w:rFonts w:ascii="Verdana" w:hAnsi="Verdana" w:cs="Arial"/>
          <w:bCs/>
          <w:sz w:val="22"/>
          <w:szCs w:val="22"/>
          <w:lang w:val="es-ES_tradnl"/>
        </w:rPr>
        <w:t>s</w:t>
      </w:r>
      <w:proofErr w:type="spellEnd"/>
      <w:r w:rsidR="000C2670" w:rsidRPr="00A84B64">
        <w:rPr>
          <w:rFonts w:ascii="Verdana" w:hAnsi="Verdana" w:cs="Arial"/>
          <w:bCs/>
          <w:sz w:val="22"/>
          <w:szCs w:val="22"/>
          <w:lang w:val="es-ES_tradnl"/>
        </w:rPr>
        <w:t>. 237 y 238</w:t>
      </w:r>
      <w:r w:rsidRPr="00A84B64">
        <w:rPr>
          <w:rFonts w:ascii="Verdana" w:hAnsi="Verdana" w:cs="Arial"/>
          <w:bCs/>
          <w:sz w:val="22"/>
          <w:szCs w:val="22"/>
          <w:lang w:val="es-ES_tradnl"/>
        </w:rPr>
        <w:t>).</w:t>
      </w:r>
    </w:p>
    <w:p w14:paraId="4B9D595C" w14:textId="6E7A0885" w:rsidR="000C2670" w:rsidRPr="00A84B64" w:rsidRDefault="000C2670" w:rsidP="00BD03B1">
      <w:pPr>
        <w:spacing w:line="360" w:lineRule="auto"/>
        <w:ind w:right="-79"/>
        <w:jc w:val="both"/>
        <w:rPr>
          <w:rFonts w:ascii="Verdana" w:hAnsi="Verdana" w:cs="Arial"/>
          <w:bCs/>
          <w:sz w:val="22"/>
          <w:szCs w:val="22"/>
          <w:lang w:val="es-ES_tradnl"/>
        </w:rPr>
      </w:pPr>
    </w:p>
    <w:p w14:paraId="6D3ABCDF" w14:textId="11424D71" w:rsidR="00BD03B1" w:rsidRPr="00A84B64" w:rsidRDefault="00FF0CED" w:rsidP="6AD07303">
      <w:pPr>
        <w:spacing w:line="360" w:lineRule="auto"/>
        <w:ind w:right="-79"/>
        <w:jc w:val="both"/>
        <w:rPr>
          <w:rFonts w:ascii="Verdana" w:hAnsi="Verdana" w:cs="Arial"/>
          <w:sz w:val="22"/>
          <w:szCs w:val="22"/>
        </w:rPr>
      </w:pPr>
      <w:r w:rsidRPr="00A84B64">
        <w:rPr>
          <w:rFonts w:ascii="Verdana" w:hAnsi="Verdana" w:cs="Arial"/>
          <w:sz w:val="22"/>
          <w:szCs w:val="22"/>
        </w:rPr>
        <w:t xml:space="preserve">La lesión sufrida por el demandante se ocasionó en el marco de un encuentro deportivo -partido de </w:t>
      </w:r>
      <w:r w:rsidR="00F978A6" w:rsidRPr="00A84B64">
        <w:rPr>
          <w:rFonts w:ascii="Verdana" w:hAnsi="Verdana" w:cs="Arial"/>
          <w:sz w:val="22"/>
          <w:szCs w:val="22"/>
        </w:rPr>
        <w:t>micro</w:t>
      </w:r>
      <w:r w:rsidRPr="00A84B64">
        <w:rPr>
          <w:rFonts w:ascii="Verdana" w:hAnsi="Verdana" w:cs="Arial"/>
          <w:sz w:val="22"/>
          <w:szCs w:val="22"/>
        </w:rPr>
        <w:t xml:space="preserve">fútbol- </w:t>
      </w:r>
      <w:r w:rsidR="008F110C" w:rsidRPr="00A84B64">
        <w:rPr>
          <w:rFonts w:ascii="Verdana" w:hAnsi="Verdana" w:cs="Arial"/>
          <w:sz w:val="22"/>
          <w:szCs w:val="22"/>
        </w:rPr>
        <w:t>a realizarse el 11 de junio de 2014,</w:t>
      </w:r>
      <w:r w:rsidR="00A345D2" w:rsidRPr="00A84B64">
        <w:rPr>
          <w:rFonts w:ascii="Verdana" w:hAnsi="Verdana" w:cs="Arial"/>
          <w:sz w:val="22"/>
          <w:szCs w:val="22"/>
        </w:rPr>
        <w:t xml:space="preserve"> autorizado con referencia </w:t>
      </w:r>
      <w:r w:rsidR="00A345D2" w:rsidRPr="00A84B64">
        <w:rPr>
          <w:rFonts w:ascii="Verdana" w:hAnsi="Verdana" w:cs="Arial"/>
          <w:b/>
          <w:bCs/>
          <w:i/>
          <w:iCs/>
          <w:sz w:val="22"/>
          <w:szCs w:val="22"/>
        </w:rPr>
        <w:t>“autorización acondicionamiento físico”</w:t>
      </w:r>
      <w:r w:rsidR="00A345D2" w:rsidRPr="00A84B64">
        <w:rPr>
          <w:rFonts w:ascii="Verdana" w:hAnsi="Verdana" w:cs="Arial"/>
          <w:sz w:val="22"/>
          <w:szCs w:val="22"/>
        </w:rPr>
        <w:t xml:space="preserve"> </w:t>
      </w:r>
      <w:r w:rsidRPr="00A84B64">
        <w:rPr>
          <w:rFonts w:ascii="Verdana" w:hAnsi="Verdana" w:cs="Arial"/>
          <w:sz w:val="22"/>
          <w:szCs w:val="22"/>
        </w:rPr>
        <w:t xml:space="preserve">por el </w:t>
      </w:r>
      <w:r w:rsidR="44DCCADC" w:rsidRPr="00A84B64">
        <w:rPr>
          <w:rFonts w:ascii="Verdana" w:hAnsi="Verdana" w:cs="Arial"/>
          <w:sz w:val="22"/>
          <w:szCs w:val="22"/>
        </w:rPr>
        <w:t>director</w:t>
      </w:r>
      <w:r w:rsidRPr="00A84B64">
        <w:rPr>
          <w:rFonts w:ascii="Verdana" w:hAnsi="Verdana" w:cs="Arial"/>
          <w:sz w:val="22"/>
          <w:szCs w:val="22"/>
        </w:rPr>
        <w:t xml:space="preserve"> EPMSC Chiquinquirá </w:t>
      </w:r>
      <w:r w:rsidR="00A345D2" w:rsidRPr="00A84B64">
        <w:rPr>
          <w:rFonts w:ascii="Verdana" w:hAnsi="Verdana" w:cs="Arial"/>
          <w:sz w:val="22"/>
          <w:szCs w:val="22"/>
        </w:rPr>
        <w:t>en</w:t>
      </w:r>
      <w:r w:rsidRPr="00A84B64">
        <w:rPr>
          <w:rFonts w:ascii="Verdana" w:hAnsi="Verdana" w:cs="Arial"/>
          <w:sz w:val="22"/>
          <w:szCs w:val="22"/>
        </w:rPr>
        <w:t xml:space="preserve"> Oficio 104-EPMSCCHI-CVIG-038</w:t>
      </w:r>
      <w:r w:rsidR="008F110C" w:rsidRPr="00A84B64">
        <w:rPr>
          <w:rFonts w:ascii="Verdana" w:hAnsi="Verdana" w:cs="Arial"/>
          <w:sz w:val="22"/>
          <w:szCs w:val="22"/>
        </w:rPr>
        <w:t xml:space="preserve"> del 10 de junio de 2014</w:t>
      </w:r>
      <w:r w:rsidR="00A345D2" w:rsidRPr="00A84B64">
        <w:rPr>
          <w:rFonts w:ascii="Verdana" w:hAnsi="Verdana" w:cs="Arial"/>
          <w:sz w:val="22"/>
          <w:szCs w:val="22"/>
        </w:rPr>
        <w:t>, en el cual se encontraba relacionado el AB. Ávila Gaitán Luis</w:t>
      </w:r>
      <w:r w:rsidRPr="00A84B64">
        <w:rPr>
          <w:rFonts w:ascii="Verdana" w:hAnsi="Verdana" w:cs="Arial"/>
          <w:sz w:val="22"/>
          <w:szCs w:val="22"/>
        </w:rPr>
        <w:t xml:space="preserve"> (</w:t>
      </w:r>
      <w:proofErr w:type="spellStart"/>
      <w:r w:rsidR="008F110C" w:rsidRPr="00A84B64">
        <w:rPr>
          <w:rFonts w:ascii="Verdana" w:hAnsi="Verdana" w:cs="Arial"/>
          <w:sz w:val="22"/>
          <w:szCs w:val="22"/>
        </w:rPr>
        <w:t>fl</w:t>
      </w:r>
      <w:r w:rsidR="00B47463" w:rsidRPr="00A84B64">
        <w:rPr>
          <w:rFonts w:ascii="Verdana" w:hAnsi="Verdana" w:cs="Arial"/>
          <w:sz w:val="22"/>
          <w:szCs w:val="22"/>
        </w:rPr>
        <w:t>s</w:t>
      </w:r>
      <w:proofErr w:type="spellEnd"/>
      <w:r w:rsidR="008F110C" w:rsidRPr="00A84B64">
        <w:rPr>
          <w:rFonts w:ascii="Verdana" w:hAnsi="Verdana" w:cs="Arial"/>
          <w:sz w:val="22"/>
          <w:szCs w:val="22"/>
        </w:rPr>
        <w:t>.</w:t>
      </w:r>
      <w:r w:rsidRPr="00A84B64">
        <w:rPr>
          <w:rFonts w:ascii="Verdana" w:hAnsi="Verdana" w:cs="Arial"/>
          <w:sz w:val="22"/>
          <w:szCs w:val="22"/>
        </w:rPr>
        <w:t xml:space="preserve"> 498</w:t>
      </w:r>
      <w:r w:rsidR="00B47463" w:rsidRPr="00A84B64">
        <w:rPr>
          <w:rFonts w:ascii="Verdana" w:hAnsi="Verdana" w:cs="Arial"/>
          <w:sz w:val="22"/>
          <w:szCs w:val="22"/>
        </w:rPr>
        <w:t xml:space="preserve"> y 594</w:t>
      </w:r>
      <w:r w:rsidRPr="00A84B64">
        <w:rPr>
          <w:rFonts w:ascii="Verdana" w:hAnsi="Verdana" w:cs="Arial"/>
          <w:sz w:val="22"/>
          <w:szCs w:val="22"/>
        </w:rPr>
        <w:t>)</w:t>
      </w:r>
      <w:r w:rsidR="008F110C" w:rsidRPr="00A84B64">
        <w:rPr>
          <w:rFonts w:ascii="Verdana" w:hAnsi="Verdana" w:cs="Arial"/>
          <w:sz w:val="22"/>
          <w:szCs w:val="22"/>
        </w:rPr>
        <w:t>.</w:t>
      </w:r>
    </w:p>
    <w:p w14:paraId="245A57A6" w14:textId="1463142A" w:rsidR="00245533" w:rsidRPr="00A84B64" w:rsidRDefault="00245533" w:rsidP="004C773C">
      <w:pPr>
        <w:spacing w:line="360" w:lineRule="auto"/>
        <w:ind w:right="-79"/>
        <w:jc w:val="both"/>
        <w:rPr>
          <w:rFonts w:ascii="Verdana" w:hAnsi="Verdana" w:cs="Arial"/>
          <w:bCs/>
          <w:sz w:val="22"/>
          <w:szCs w:val="22"/>
        </w:rPr>
      </w:pPr>
    </w:p>
    <w:p w14:paraId="59A1F1D1" w14:textId="77777777" w:rsidR="0082517D" w:rsidRPr="00A84B64" w:rsidRDefault="0082517D" w:rsidP="0082517D">
      <w:pPr>
        <w:spacing w:line="360" w:lineRule="auto"/>
        <w:ind w:right="-79"/>
        <w:jc w:val="both"/>
        <w:rPr>
          <w:rFonts w:ascii="Verdana" w:hAnsi="Verdana" w:cs="Arial"/>
          <w:bCs/>
          <w:sz w:val="22"/>
          <w:szCs w:val="22"/>
        </w:rPr>
      </w:pPr>
      <w:r w:rsidRPr="00A84B64">
        <w:rPr>
          <w:rFonts w:ascii="Verdana" w:hAnsi="Verdana" w:cs="Arial"/>
          <w:bCs/>
          <w:sz w:val="22"/>
          <w:szCs w:val="22"/>
        </w:rPr>
        <w:t>Para el día y hora que se llevó a cabo la actividad de acondicionamiento físico, el demandante se encontraba en servicio en el área de Sanidad P.2. (</w:t>
      </w:r>
      <w:proofErr w:type="spellStart"/>
      <w:r w:rsidRPr="00A84B64">
        <w:rPr>
          <w:rFonts w:ascii="Verdana" w:hAnsi="Verdana" w:cs="Arial"/>
          <w:bCs/>
          <w:sz w:val="22"/>
          <w:szCs w:val="22"/>
        </w:rPr>
        <w:t>fl</w:t>
      </w:r>
      <w:proofErr w:type="spellEnd"/>
      <w:r w:rsidRPr="00A84B64">
        <w:rPr>
          <w:rFonts w:ascii="Verdana" w:hAnsi="Verdana" w:cs="Arial"/>
          <w:bCs/>
          <w:sz w:val="22"/>
          <w:szCs w:val="22"/>
        </w:rPr>
        <w:t xml:space="preserve">. 593) y fue relevado para asistir al encuentro deportivo, conforme lo narró el señor Ávila Gaitán en el interrogatorio de parte: </w:t>
      </w:r>
      <w:r w:rsidRPr="00A84B64">
        <w:rPr>
          <w:rFonts w:ascii="Verdana" w:hAnsi="Verdana" w:cs="Arial"/>
          <w:bCs/>
          <w:i/>
          <w:iCs/>
          <w:sz w:val="22"/>
          <w:szCs w:val="22"/>
        </w:rPr>
        <w:t xml:space="preserve">“El 11 de junio de 2014 a las 4:20 de la tarde, tenía servicio de sanidad; el comandante de guardia distinguido Manuel, me mandó relevar para incremento físico… En ese momento si no se hace el relevo, lo mandan a uno a </w:t>
      </w:r>
      <w:proofErr w:type="spellStart"/>
      <w:r w:rsidRPr="00A84B64">
        <w:rPr>
          <w:rFonts w:ascii="Verdana" w:hAnsi="Verdana" w:cs="Arial"/>
          <w:bCs/>
          <w:i/>
          <w:iCs/>
          <w:sz w:val="22"/>
          <w:szCs w:val="22"/>
        </w:rPr>
        <w:t>garitear</w:t>
      </w:r>
      <w:proofErr w:type="spellEnd"/>
      <w:r w:rsidRPr="00A84B64">
        <w:rPr>
          <w:rFonts w:ascii="Verdana" w:hAnsi="Verdana" w:cs="Arial"/>
          <w:bCs/>
          <w:i/>
          <w:iCs/>
          <w:sz w:val="22"/>
          <w:szCs w:val="22"/>
        </w:rPr>
        <w:t xml:space="preserve"> por un guardián que quiera jugar… Salí a jugar con un sargento, un auxiliar y Holman (con el que tuve la lesión), trascurrió 40 minutos 50 minutos de juego, en el forcejeo con el compañero me gire, choque la espalda y la rodilla se me fue, sentí el dolor…”</w:t>
      </w:r>
      <w:r w:rsidRPr="00A84B64">
        <w:rPr>
          <w:rFonts w:ascii="Verdana" w:hAnsi="Verdana" w:cs="Arial"/>
          <w:bCs/>
          <w:sz w:val="22"/>
          <w:szCs w:val="22"/>
        </w:rPr>
        <w:t xml:space="preserve"> (Minuto 23:30 y </w:t>
      </w:r>
      <w:proofErr w:type="spellStart"/>
      <w:r w:rsidRPr="00A84B64">
        <w:rPr>
          <w:rFonts w:ascii="Verdana" w:hAnsi="Verdana" w:cs="Arial"/>
          <w:bCs/>
          <w:sz w:val="22"/>
          <w:szCs w:val="22"/>
        </w:rPr>
        <w:t>ss</w:t>
      </w:r>
      <w:proofErr w:type="spellEnd"/>
      <w:r w:rsidRPr="00A84B64">
        <w:rPr>
          <w:rFonts w:ascii="Verdana" w:hAnsi="Verdana" w:cs="Arial"/>
          <w:bCs/>
          <w:sz w:val="22"/>
          <w:szCs w:val="22"/>
        </w:rPr>
        <w:t xml:space="preserve"> CD </w:t>
      </w:r>
      <w:proofErr w:type="spellStart"/>
      <w:r w:rsidRPr="00A84B64">
        <w:rPr>
          <w:rFonts w:ascii="Verdana" w:hAnsi="Verdana" w:cs="Arial"/>
          <w:bCs/>
          <w:sz w:val="22"/>
          <w:szCs w:val="22"/>
        </w:rPr>
        <w:t>fl</w:t>
      </w:r>
      <w:proofErr w:type="spellEnd"/>
      <w:r w:rsidRPr="00A84B64">
        <w:rPr>
          <w:rFonts w:ascii="Verdana" w:hAnsi="Verdana" w:cs="Arial"/>
          <w:bCs/>
          <w:sz w:val="22"/>
          <w:szCs w:val="22"/>
        </w:rPr>
        <w:t xml:space="preserve"> 798 Audiencia de Pruebas).</w:t>
      </w:r>
    </w:p>
    <w:p w14:paraId="380958D7" w14:textId="77777777" w:rsidR="0082517D" w:rsidRPr="00A84B64" w:rsidRDefault="0082517D" w:rsidP="004C773C">
      <w:pPr>
        <w:spacing w:line="360" w:lineRule="auto"/>
        <w:ind w:right="-79"/>
        <w:jc w:val="both"/>
        <w:rPr>
          <w:rFonts w:ascii="Verdana" w:hAnsi="Verdana" w:cs="Arial"/>
          <w:bCs/>
          <w:sz w:val="22"/>
          <w:szCs w:val="22"/>
        </w:rPr>
      </w:pPr>
    </w:p>
    <w:p w14:paraId="3461A296" w14:textId="2CAE2456" w:rsidR="00245533" w:rsidRPr="00A84B64" w:rsidRDefault="00245533" w:rsidP="004C773C">
      <w:pPr>
        <w:spacing w:line="360" w:lineRule="auto"/>
        <w:ind w:right="-79"/>
        <w:jc w:val="both"/>
        <w:rPr>
          <w:rFonts w:ascii="Verdana" w:hAnsi="Verdana" w:cs="Arial"/>
          <w:bCs/>
          <w:sz w:val="22"/>
          <w:szCs w:val="22"/>
        </w:rPr>
      </w:pPr>
      <w:r w:rsidRPr="00A84B64">
        <w:rPr>
          <w:rFonts w:ascii="Verdana" w:hAnsi="Verdana" w:cs="Arial"/>
          <w:bCs/>
          <w:sz w:val="22"/>
          <w:szCs w:val="22"/>
        </w:rPr>
        <w:t>El demandante acudió al servicio de urgencias del Hospital Regional de Chiquinquirá E.S.E. el 11 de junio de 2014 con hora de ingreso 18:37 y con hora de egreso 17:09 del 12 de junio de 2014</w:t>
      </w:r>
      <w:r w:rsidR="00A01AEC" w:rsidRPr="00A84B64">
        <w:rPr>
          <w:rFonts w:ascii="Verdana" w:hAnsi="Verdana" w:cs="Arial"/>
          <w:bCs/>
          <w:sz w:val="22"/>
          <w:szCs w:val="22"/>
        </w:rPr>
        <w:t xml:space="preserve"> con motivo de golpe en la rodilla derecha</w:t>
      </w:r>
      <w:r w:rsidRPr="00A84B64">
        <w:rPr>
          <w:rFonts w:ascii="Verdana" w:hAnsi="Verdana" w:cs="Arial"/>
          <w:bCs/>
          <w:sz w:val="22"/>
          <w:szCs w:val="22"/>
        </w:rPr>
        <w:t xml:space="preserve">, </w:t>
      </w:r>
      <w:r w:rsidR="004364B1" w:rsidRPr="00A84B64">
        <w:rPr>
          <w:rFonts w:ascii="Verdana" w:hAnsi="Verdana" w:cs="Arial"/>
          <w:bCs/>
          <w:sz w:val="22"/>
          <w:szCs w:val="22"/>
        </w:rPr>
        <w:t xml:space="preserve">para ser atendido por medio de </w:t>
      </w:r>
      <w:r w:rsidR="00967039" w:rsidRPr="00A84B64">
        <w:rPr>
          <w:rFonts w:ascii="Verdana" w:hAnsi="Verdana" w:cs="Arial"/>
          <w:bCs/>
          <w:sz w:val="22"/>
          <w:szCs w:val="22"/>
        </w:rPr>
        <w:t>la</w:t>
      </w:r>
      <w:r w:rsidR="004364B1" w:rsidRPr="00A84B64">
        <w:rPr>
          <w:rFonts w:ascii="Verdana" w:hAnsi="Verdana" w:cs="Arial"/>
          <w:bCs/>
          <w:sz w:val="22"/>
          <w:szCs w:val="22"/>
        </w:rPr>
        <w:t xml:space="preserve"> E.P.S. </w:t>
      </w:r>
      <w:r w:rsidR="00967039" w:rsidRPr="00A84B64">
        <w:rPr>
          <w:rFonts w:ascii="Verdana" w:hAnsi="Verdana" w:cs="Arial"/>
          <w:bCs/>
          <w:sz w:val="22"/>
          <w:szCs w:val="22"/>
        </w:rPr>
        <w:t xml:space="preserve">SALUDVIDA </w:t>
      </w:r>
      <w:r w:rsidR="004364B1" w:rsidRPr="00A84B64">
        <w:rPr>
          <w:rFonts w:ascii="Verdana" w:hAnsi="Verdana" w:cs="Arial"/>
          <w:bCs/>
          <w:sz w:val="22"/>
          <w:szCs w:val="22"/>
        </w:rPr>
        <w:t xml:space="preserve">en la cual se encontraba ACTIVO en el REGIMEN SUBSIDIADO, </w:t>
      </w:r>
      <w:r w:rsidRPr="00A84B64">
        <w:rPr>
          <w:rFonts w:ascii="Verdana" w:hAnsi="Verdana" w:cs="Arial"/>
          <w:bCs/>
          <w:sz w:val="22"/>
          <w:szCs w:val="22"/>
        </w:rPr>
        <w:t xml:space="preserve">siendo incapacitado </w:t>
      </w:r>
      <w:r w:rsidR="00967039" w:rsidRPr="00A84B64">
        <w:rPr>
          <w:rFonts w:ascii="Verdana" w:hAnsi="Verdana" w:cs="Arial"/>
          <w:bCs/>
          <w:sz w:val="22"/>
          <w:szCs w:val="22"/>
        </w:rPr>
        <w:t>de forma consecutiva e ininterrumpida en múltiples ocasiones</w:t>
      </w:r>
      <w:r w:rsidRPr="00A84B64">
        <w:rPr>
          <w:rFonts w:ascii="Verdana" w:hAnsi="Verdana" w:cs="Arial"/>
          <w:bCs/>
          <w:sz w:val="22"/>
          <w:szCs w:val="22"/>
        </w:rPr>
        <w:t xml:space="preserve"> (</w:t>
      </w:r>
      <w:proofErr w:type="spellStart"/>
      <w:r w:rsidRPr="00A84B64">
        <w:rPr>
          <w:rFonts w:ascii="Verdana" w:hAnsi="Verdana" w:cs="Arial"/>
          <w:bCs/>
          <w:sz w:val="22"/>
          <w:szCs w:val="22"/>
        </w:rPr>
        <w:t>fls</w:t>
      </w:r>
      <w:proofErr w:type="spellEnd"/>
      <w:r w:rsidRPr="00A84B64">
        <w:rPr>
          <w:rFonts w:ascii="Verdana" w:hAnsi="Verdana" w:cs="Arial"/>
          <w:bCs/>
          <w:sz w:val="22"/>
          <w:szCs w:val="22"/>
        </w:rPr>
        <w:t xml:space="preserve">. 604 </w:t>
      </w:r>
      <w:r w:rsidR="00967039" w:rsidRPr="00A84B64">
        <w:rPr>
          <w:rFonts w:ascii="Verdana" w:hAnsi="Verdana" w:cs="Arial"/>
          <w:bCs/>
          <w:sz w:val="22"/>
          <w:szCs w:val="22"/>
        </w:rPr>
        <w:t xml:space="preserve">– </w:t>
      </w:r>
      <w:r w:rsidRPr="00A84B64">
        <w:rPr>
          <w:rFonts w:ascii="Verdana" w:hAnsi="Verdana" w:cs="Arial"/>
          <w:bCs/>
          <w:sz w:val="22"/>
          <w:szCs w:val="22"/>
        </w:rPr>
        <w:t>605</w:t>
      </w:r>
      <w:r w:rsidR="00967039" w:rsidRPr="00A84B64">
        <w:rPr>
          <w:rFonts w:ascii="Verdana" w:hAnsi="Verdana" w:cs="Arial"/>
          <w:bCs/>
          <w:sz w:val="22"/>
          <w:szCs w:val="22"/>
        </w:rPr>
        <w:t>, 621, 623, 598, 625</w:t>
      </w:r>
      <w:r w:rsidR="00F978A6" w:rsidRPr="00A84B64">
        <w:rPr>
          <w:rFonts w:ascii="Verdana" w:hAnsi="Verdana" w:cs="Arial"/>
          <w:bCs/>
          <w:sz w:val="22"/>
          <w:szCs w:val="22"/>
        </w:rPr>
        <w:t xml:space="preserve"> y otros</w:t>
      </w:r>
      <w:r w:rsidR="00967039" w:rsidRPr="00A84B64">
        <w:rPr>
          <w:rFonts w:ascii="Verdana" w:hAnsi="Verdana" w:cs="Arial"/>
          <w:bCs/>
          <w:sz w:val="22"/>
          <w:szCs w:val="22"/>
        </w:rPr>
        <w:t>).</w:t>
      </w:r>
    </w:p>
    <w:p w14:paraId="5AC01503" w14:textId="15F2F5A6" w:rsidR="00BC191D" w:rsidRPr="00A84B64" w:rsidRDefault="00BC191D" w:rsidP="004C773C">
      <w:pPr>
        <w:spacing w:line="360" w:lineRule="auto"/>
        <w:ind w:right="-79"/>
        <w:jc w:val="both"/>
        <w:rPr>
          <w:rFonts w:ascii="Verdana" w:hAnsi="Verdana" w:cs="Arial"/>
          <w:bCs/>
          <w:sz w:val="22"/>
          <w:szCs w:val="22"/>
        </w:rPr>
      </w:pPr>
    </w:p>
    <w:p w14:paraId="24C6A7D0" w14:textId="0CC50810" w:rsidR="00BC191D" w:rsidRPr="00A84B64" w:rsidRDefault="00BC191D" w:rsidP="004C773C">
      <w:pPr>
        <w:spacing w:line="360" w:lineRule="auto"/>
        <w:ind w:right="-79"/>
        <w:jc w:val="both"/>
        <w:rPr>
          <w:rFonts w:ascii="Verdana" w:hAnsi="Verdana" w:cs="Arial"/>
          <w:bCs/>
          <w:sz w:val="22"/>
          <w:szCs w:val="22"/>
        </w:rPr>
      </w:pPr>
      <w:r w:rsidRPr="00A84B64">
        <w:rPr>
          <w:rFonts w:ascii="Verdana" w:hAnsi="Verdana" w:cs="Arial"/>
          <w:bCs/>
          <w:sz w:val="22"/>
          <w:szCs w:val="22"/>
        </w:rPr>
        <w:lastRenderedPageBreak/>
        <w:t>Tal como consta en Acta del INPEC No. 024 de 22 de agosto de 2014</w:t>
      </w:r>
      <w:r w:rsidR="009D2FB4" w:rsidRPr="00A84B64">
        <w:rPr>
          <w:rFonts w:ascii="Verdana" w:hAnsi="Verdana" w:cs="Arial"/>
          <w:bCs/>
          <w:sz w:val="22"/>
          <w:szCs w:val="22"/>
        </w:rPr>
        <w:t xml:space="preserve">, se le informó al demandante que </w:t>
      </w:r>
      <w:r w:rsidRPr="00A84B64">
        <w:rPr>
          <w:rFonts w:ascii="Verdana" w:hAnsi="Verdana" w:cs="Arial"/>
          <w:bCs/>
          <w:sz w:val="22"/>
          <w:szCs w:val="22"/>
        </w:rPr>
        <w:t>“</w:t>
      </w:r>
      <w:r w:rsidRPr="00A84B64">
        <w:rPr>
          <w:rFonts w:ascii="Verdana" w:hAnsi="Verdana" w:cs="Arial"/>
          <w:bCs/>
          <w:i/>
          <w:iCs/>
          <w:sz w:val="22"/>
          <w:szCs w:val="22"/>
        </w:rPr>
        <w:t xml:space="preserve">mediante acta No. 001/2014 de práctica de exámenes de licenciamiento de fecha </w:t>
      </w:r>
      <w:r w:rsidR="009D2FB4" w:rsidRPr="00A84B64">
        <w:rPr>
          <w:rFonts w:ascii="Verdana" w:hAnsi="Verdana" w:cs="Arial"/>
          <w:bCs/>
          <w:i/>
          <w:iCs/>
          <w:sz w:val="22"/>
          <w:szCs w:val="22"/>
        </w:rPr>
        <w:t>julio 21 de 2014, fue declarado NO APTO para licenciar por presentar Ruptura de Ligamento Cruzado”</w:t>
      </w:r>
      <w:r w:rsidR="009D2FB4" w:rsidRPr="00A84B64">
        <w:rPr>
          <w:rFonts w:ascii="Verdana" w:hAnsi="Verdana" w:cs="Arial"/>
          <w:bCs/>
          <w:sz w:val="22"/>
          <w:szCs w:val="22"/>
        </w:rPr>
        <w:t xml:space="preserve"> así mismo, que </w:t>
      </w:r>
      <w:r w:rsidR="00547A96" w:rsidRPr="00A84B64">
        <w:rPr>
          <w:rFonts w:ascii="Verdana" w:hAnsi="Verdana" w:cs="Arial"/>
          <w:bCs/>
          <w:sz w:val="22"/>
          <w:szCs w:val="22"/>
        </w:rPr>
        <w:t>a</w:t>
      </w:r>
      <w:r w:rsidR="009D2FB4" w:rsidRPr="00A84B64">
        <w:rPr>
          <w:rFonts w:ascii="Verdana" w:hAnsi="Verdana" w:cs="Arial"/>
          <w:bCs/>
          <w:sz w:val="22"/>
          <w:szCs w:val="22"/>
        </w:rPr>
        <w:t xml:space="preserve"> partir de la fecha queda</w:t>
      </w:r>
      <w:r w:rsidR="00547A96" w:rsidRPr="00A84B64">
        <w:rPr>
          <w:rFonts w:ascii="Verdana" w:hAnsi="Verdana" w:cs="Arial"/>
          <w:bCs/>
          <w:sz w:val="22"/>
          <w:szCs w:val="22"/>
        </w:rPr>
        <w:t>ba</w:t>
      </w:r>
      <w:r w:rsidR="009D2FB4" w:rsidRPr="00A84B64">
        <w:rPr>
          <w:rFonts w:ascii="Verdana" w:hAnsi="Verdana" w:cs="Arial"/>
          <w:bCs/>
          <w:sz w:val="22"/>
          <w:szCs w:val="22"/>
        </w:rPr>
        <w:t xml:space="preserve"> descuartelado del servicio militar pero no licenciado</w:t>
      </w:r>
      <w:r w:rsidR="00547A96" w:rsidRPr="00A84B64">
        <w:rPr>
          <w:rFonts w:ascii="Verdana" w:hAnsi="Verdana" w:cs="Arial"/>
          <w:bCs/>
          <w:sz w:val="22"/>
          <w:szCs w:val="22"/>
        </w:rPr>
        <w:t xml:space="preserve"> y</w:t>
      </w:r>
      <w:r w:rsidR="009D2FB4" w:rsidRPr="00A84B64">
        <w:rPr>
          <w:rFonts w:ascii="Verdana" w:hAnsi="Verdana" w:cs="Arial"/>
          <w:bCs/>
          <w:sz w:val="22"/>
          <w:szCs w:val="22"/>
        </w:rPr>
        <w:t xml:space="preserve"> que deb</w:t>
      </w:r>
      <w:r w:rsidR="00547A96" w:rsidRPr="00A84B64">
        <w:rPr>
          <w:rFonts w:ascii="Verdana" w:hAnsi="Verdana" w:cs="Arial"/>
          <w:bCs/>
          <w:sz w:val="22"/>
          <w:szCs w:val="22"/>
        </w:rPr>
        <w:t xml:space="preserve">ía </w:t>
      </w:r>
      <w:r w:rsidR="009D2FB4" w:rsidRPr="00A84B64">
        <w:rPr>
          <w:rFonts w:ascii="Verdana" w:hAnsi="Verdana" w:cs="Arial"/>
          <w:bCs/>
          <w:sz w:val="22"/>
          <w:szCs w:val="22"/>
        </w:rPr>
        <w:t>realizar los trámites correspondientes para que por parte de MAPFRE le sea prestada la atención correspondiente hasta la culminación del tratamiento. (</w:t>
      </w:r>
      <w:proofErr w:type="spellStart"/>
      <w:r w:rsidR="009D2FB4" w:rsidRPr="00A84B64">
        <w:rPr>
          <w:rFonts w:ascii="Verdana" w:hAnsi="Verdana" w:cs="Arial"/>
          <w:bCs/>
          <w:sz w:val="22"/>
          <w:szCs w:val="22"/>
        </w:rPr>
        <w:t>fls</w:t>
      </w:r>
      <w:proofErr w:type="spellEnd"/>
      <w:r w:rsidR="009D2FB4" w:rsidRPr="00A84B64">
        <w:rPr>
          <w:rFonts w:ascii="Verdana" w:hAnsi="Verdana" w:cs="Arial"/>
          <w:bCs/>
          <w:sz w:val="22"/>
          <w:szCs w:val="22"/>
        </w:rPr>
        <w:t>. 663 y 664).</w:t>
      </w:r>
    </w:p>
    <w:p w14:paraId="25BE7B53" w14:textId="178DF745" w:rsidR="008D1D66" w:rsidRPr="00A84B64" w:rsidRDefault="008D1D66" w:rsidP="009F7A91">
      <w:pPr>
        <w:spacing w:line="360" w:lineRule="auto"/>
        <w:ind w:right="-79"/>
        <w:jc w:val="both"/>
        <w:rPr>
          <w:rFonts w:ascii="Verdana" w:hAnsi="Verdana" w:cs="Arial"/>
          <w:bCs/>
          <w:sz w:val="22"/>
          <w:szCs w:val="22"/>
        </w:rPr>
      </w:pPr>
    </w:p>
    <w:p w14:paraId="3C53DCEC" w14:textId="77B4F52D" w:rsidR="008D1D66" w:rsidRPr="00A84B64" w:rsidRDefault="008D1D66" w:rsidP="6AD07303">
      <w:pPr>
        <w:spacing w:line="360" w:lineRule="auto"/>
        <w:ind w:right="-79"/>
        <w:jc w:val="both"/>
        <w:rPr>
          <w:rFonts w:ascii="Verdana" w:hAnsi="Verdana" w:cs="Arial"/>
          <w:sz w:val="22"/>
          <w:szCs w:val="22"/>
        </w:rPr>
      </w:pPr>
      <w:r w:rsidRPr="00A84B64">
        <w:rPr>
          <w:rFonts w:ascii="Verdana" w:hAnsi="Verdana" w:cs="Arial"/>
          <w:sz w:val="22"/>
          <w:szCs w:val="22"/>
        </w:rPr>
        <w:t xml:space="preserve">En atención a que no se </w:t>
      </w:r>
      <w:r w:rsidR="2FEBBA80" w:rsidRPr="00A84B64">
        <w:rPr>
          <w:rFonts w:ascii="Verdana" w:hAnsi="Verdana" w:cs="Arial"/>
          <w:sz w:val="22"/>
          <w:szCs w:val="22"/>
        </w:rPr>
        <w:t>llegó</w:t>
      </w:r>
      <w:r w:rsidRPr="00A84B64">
        <w:rPr>
          <w:rFonts w:ascii="Verdana" w:hAnsi="Verdana" w:cs="Arial"/>
          <w:sz w:val="22"/>
          <w:szCs w:val="22"/>
        </w:rPr>
        <w:t xml:space="preserve"> al proceso constancia </w:t>
      </w:r>
      <w:r w:rsidR="009B0D8E" w:rsidRPr="00A84B64">
        <w:rPr>
          <w:rFonts w:ascii="Verdana" w:hAnsi="Verdana" w:cs="Arial"/>
          <w:sz w:val="22"/>
          <w:szCs w:val="22"/>
        </w:rPr>
        <w:t xml:space="preserve">que se hubiese realizado la </w:t>
      </w:r>
      <w:r w:rsidR="00B1721B" w:rsidRPr="00A84B64">
        <w:rPr>
          <w:rFonts w:ascii="Verdana" w:hAnsi="Verdana" w:cs="Arial"/>
          <w:sz w:val="22"/>
          <w:szCs w:val="22"/>
        </w:rPr>
        <w:t>Junta Médico Laboral por parte de la Dirección de Sanidad del Ejército</w:t>
      </w:r>
      <w:r w:rsidR="009B0D8E" w:rsidRPr="00A84B64">
        <w:rPr>
          <w:rFonts w:ascii="Verdana" w:hAnsi="Verdana" w:cs="Arial"/>
          <w:sz w:val="22"/>
          <w:szCs w:val="22"/>
        </w:rPr>
        <w:t>, en la audiencia inicial del 24 de noviembre de 2017 se decretó dictamen pericial de pérdida de capacidad laboral del señor Luis Eduardo Ávila Gaitán, a cargo y costa de la parte actora (quien la solicitó), para lo cual se designó a la Junta Regional de Invalidez de Tunja – Boyacá.</w:t>
      </w:r>
    </w:p>
    <w:p w14:paraId="50DFEA20" w14:textId="3925A07F" w:rsidR="000F4C3F" w:rsidRPr="00A84B64" w:rsidRDefault="000F4C3F" w:rsidP="009F7A91">
      <w:pPr>
        <w:spacing w:line="360" w:lineRule="auto"/>
        <w:ind w:right="-79"/>
        <w:jc w:val="both"/>
        <w:rPr>
          <w:rFonts w:ascii="Verdana" w:hAnsi="Verdana" w:cs="Arial"/>
          <w:bCs/>
          <w:sz w:val="22"/>
          <w:szCs w:val="22"/>
        </w:rPr>
      </w:pPr>
    </w:p>
    <w:p w14:paraId="738AFDED" w14:textId="1AC478FB" w:rsidR="000F4C3F" w:rsidRPr="00A84B64" w:rsidRDefault="000F4C3F" w:rsidP="009F7A91">
      <w:pPr>
        <w:spacing w:line="360" w:lineRule="auto"/>
        <w:ind w:right="-79"/>
        <w:jc w:val="both"/>
        <w:rPr>
          <w:rFonts w:ascii="Verdana" w:hAnsi="Verdana" w:cs="Arial"/>
          <w:bCs/>
          <w:sz w:val="22"/>
          <w:szCs w:val="22"/>
        </w:rPr>
      </w:pPr>
      <w:r w:rsidRPr="00A84B64">
        <w:rPr>
          <w:rFonts w:ascii="Verdana" w:hAnsi="Verdana" w:cs="Arial"/>
          <w:bCs/>
          <w:sz w:val="22"/>
          <w:szCs w:val="22"/>
        </w:rPr>
        <w:t xml:space="preserve">El 6 de mayo de 2018 la Junta Regional de Invalidez de Tunja – Boyacá allegó al expediente el Dictamen No. 00665-2017 efectuado al señor Ávila Gaitán </w:t>
      </w:r>
      <w:r w:rsidR="006A0353" w:rsidRPr="00A84B64">
        <w:rPr>
          <w:rFonts w:ascii="Verdana" w:hAnsi="Verdana" w:cs="Arial"/>
          <w:bCs/>
          <w:sz w:val="22"/>
          <w:szCs w:val="22"/>
        </w:rPr>
        <w:t xml:space="preserve">en el cual se concluyó: </w:t>
      </w:r>
      <w:r w:rsidR="006A0353" w:rsidRPr="00A84B64">
        <w:rPr>
          <w:rFonts w:ascii="Verdana" w:hAnsi="Verdana" w:cs="Arial"/>
          <w:bCs/>
          <w:i/>
          <w:iCs/>
          <w:sz w:val="22"/>
          <w:szCs w:val="22"/>
        </w:rPr>
        <w:t>“se califican las secuelas de trauma de rodilla derecha sufrido el 11 de junio de 2014, de acuerdo con la historia clínica aportada y que reposa en el expediente, con el Decreto 094 de 1989, por tratarse de una lesión sufrida durante la prestación del servicio militar, según lo relatado por el calificado y lo referido en las valoraciones médicas</w:t>
      </w:r>
      <w:r w:rsidR="0099175B" w:rsidRPr="00A84B64">
        <w:rPr>
          <w:rFonts w:ascii="Verdana" w:hAnsi="Verdana" w:cs="Arial"/>
          <w:bCs/>
          <w:i/>
          <w:iCs/>
          <w:sz w:val="22"/>
          <w:szCs w:val="22"/>
        </w:rPr>
        <w:t xml:space="preserve">. (…) </w:t>
      </w:r>
      <w:r w:rsidR="0099175B" w:rsidRPr="00A84B64">
        <w:rPr>
          <w:rFonts w:ascii="Verdana" w:hAnsi="Verdana" w:cs="Arial"/>
          <w:b/>
          <w:i/>
          <w:iCs/>
          <w:sz w:val="22"/>
          <w:szCs w:val="22"/>
        </w:rPr>
        <w:t>Disminución total de la capacidad laboral= 28.25%.</w:t>
      </w:r>
      <w:r w:rsidR="0099175B" w:rsidRPr="00A84B64">
        <w:rPr>
          <w:rFonts w:ascii="Verdana" w:hAnsi="Verdana" w:cs="Arial"/>
          <w:b/>
          <w:sz w:val="22"/>
          <w:szCs w:val="22"/>
        </w:rPr>
        <w:t>”</w:t>
      </w:r>
      <w:r w:rsidR="00F81CF4" w:rsidRPr="00A84B64">
        <w:rPr>
          <w:rFonts w:ascii="Verdana" w:hAnsi="Verdana" w:cs="Arial"/>
          <w:b/>
          <w:sz w:val="22"/>
          <w:szCs w:val="22"/>
        </w:rPr>
        <w:t xml:space="preserve"> </w:t>
      </w:r>
      <w:r w:rsidR="00F81CF4" w:rsidRPr="00A84B64">
        <w:rPr>
          <w:rFonts w:ascii="Verdana" w:hAnsi="Verdana" w:cs="Arial"/>
          <w:bCs/>
          <w:sz w:val="22"/>
          <w:szCs w:val="22"/>
        </w:rPr>
        <w:t>(</w:t>
      </w:r>
      <w:proofErr w:type="spellStart"/>
      <w:r w:rsidR="00F81CF4" w:rsidRPr="00A84B64">
        <w:rPr>
          <w:rFonts w:ascii="Verdana" w:hAnsi="Verdana" w:cs="Arial"/>
          <w:bCs/>
          <w:sz w:val="22"/>
          <w:szCs w:val="22"/>
        </w:rPr>
        <w:t>fls</w:t>
      </w:r>
      <w:proofErr w:type="spellEnd"/>
      <w:r w:rsidR="00F81CF4" w:rsidRPr="00A84B64">
        <w:rPr>
          <w:rFonts w:ascii="Verdana" w:hAnsi="Verdana" w:cs="Arial"/>
          <w:bCs/>
          <w:sz w:val="22"/>
          <w:szCs w:val="22"/>
        </w:rPr>
        <w:t>. 817 a 821).</w:t>
      </w:r>
    </w:p>
    <w:p w14:paraId="73511F3A" w14:textId="77777777" w:rsidR="00F14E5F" w:rsidRPr="00A84B64" w:rsidRDefault="00F14E5F" w:rsidP="009F7A91">
      <w:pPr>
        <w:spacing w:line="360" w:lineRule="auto"/>
        <w:ind w:right="-79"/>
        <w:jc w:val="both"/>
        <w:rPr>
          <w:rFonts w:ascii="Verdana" w:hAnsi="Verdana" w:cs="Arial"/>
          <w:bCs/>
          <w:sz w:val="22"/>
          <w:szCs w:val="22"/>
        </w:rPr>
      </w:pPr>
    </w:p>
    <w:p w14:paraId="128D7467" w14:textId="674552D6" w:rsidR="00BE68FD" w:rsidRPr="00A84B64" w:rsidRDefault="001943B6" w:rsidP="00890060">
      <w:pPr>
        <w:spacing w:line="360" w:lineRule="auto"/>
        <w:ind w:right="-79"/>
        <w:jc w:val="both"/>
        <w:rPr>
          <w:rFonts w:ascii="Verdana" w:hAnsi="Verdana" w:cs="Arial"/>
          <w:bCs/>
          <w:sz w:val="22"/>
          <w:szCs w:val="22"/>
        </w:rPr>
      </w:pPr>
      <w:r w:rsidRPr="00A84B64">
        <w:rPr>
          <w:rFonts w:ascii="Verdana" w:hAnsi="Verdana" w:cs="Arial"/>
          <w:bCs/>
          <w:sz w:val="22"/>
          <w:szCs w:val="22"/>
        </w:rPr>
        <w:t>De conformidad con lo anterior</w:t>
      </w:r>
      <w:r w:rsidR="009F7A91" w:rsidRPr="00A84B64">
        <w:rPr>
          <w:rFonts w:ascii="Verdana" w:hAnsi="Verdana" w:cs="Arial"/>
          <w:bCs/>
          <w:sz w:val="22"/>
          <w:szCs w:val="22"/>
        </w:rPr>
        <w:t>, la Sala encuentra claramente demostrado el daño</w:t>
      </w:r>
      <w:r w:rsidR="00413B56" w:rsidRPr="00A84B64">
        <w:rPr>
          <w:rFonts w:ascii="Verdana" w:hAnsi="Verdana" w:cs="Arial"/>
          <w:bCs/>
          <w:sz w:val="22"/>
          <w:szCs w:val="22"/>
        </w:rPr>
        <w:t xml:space="preserve"> </w:t>
      </w:r>
      <w:r w:rsidR="009F7A91" w:rsidRPr="00A84B64">
        <w:rPr>
          <w:rFonts w:ascii="Verdana" w:hAnsi="Verdana" w:cs="Arial"/>
          <w:bCs/>
          <w:sz w:val="22"/>
          <w:szCs w:val="22"/>
        </w:rPr>
        <w:t xml:space="preserve">antijurídico invocado por la parte actora, consistente </w:t>
      </w:r>
      <w:r w:rsidR="00890060" w:rsidRPr="00A84B64">
        <w:rPr>
          <w:rFonts w:ascii="Verdana" w:hAnsi="Verdana" w:cs="Arial"/>
          <w:bCs/>
          <w:sz w:val="22"/>
          <w:szCs w:val="22"/>
        </w:rPr>
        <w:t>en la lesión de la rodilla derecha del señor Ávila Gaitán</w:t>
      </w:r>
      <w:r w:rsidR="00353991" w:rsidRPr="00A84B64">
        <w:rPr>
          <w:rFonts w:ascii="Verdana" w:hAnsi="Verdana" w:cs="Arial"/>
          <w:bCs/>
          <w:sz w:val="22"/>
          <w:szCs w:val="22"/>
        </w:rPr>
        <w:t xml:space="preserve"> ocasionada el 11 de junio de 2014</w:t>
      </w:r>
      <w:r w:rsidR="00BE68FD" w:rsidRPr="00A84B64">
        <w:rPr>
          <w:rFonts w:ascii="Verdana" w:hAnsi="Verdana" w:cs="Arial"/>
          <w:bCs/>
          <w:sz w:val="22"/>
          <w:szCs w:val="22"/>
        </w:rPr>
        <w:t xml:space="preserve"> en jornada de acondicionamiento físico</w:t>
      </w:r>
      <w:r w:rsidR="00353991" w:rsidRPr="00A84B64">
        <w:rPr>
          <w:rFonts w:ascii="Verdana" w:hAnsi="Verdana" w:cs="Arial"/>
          <w:bCs/>
          <w:sz w:val="22"/>
          <w:szCs w:val="22"/>
        </w:rPr>
        <w:t xml:space="preserve">, fecha para la cual estaba en servicio como Auxiliar Bachiller </w:t>
      </w:r>
      <w:r w:rsidR="00BE68FD" w:rsidRPr="00A84B64">
        <w:rPr>
          <w:rFonts w:ascii="Verdana" w:hAnsi="Verdana" w:cs="Arial"/>
          <w:bCs/>
          <w:sz w:val="22"/>
          <w:szCs w:val="22"/>
        </w:rPr>
        <w:t xml:space="preserve">en </w:t>
      </w:r>
      <w:r w:rsidR="00353991" w:rsidRPr="00A84B64">
        <w:rPr>
          <w:rFonts w:ascii="Verdana" w:hAnsi="Verdana" w:cs="Arial"/>
          <w:bCs/>
          <w:sz w:val="22"/>
          <w:szCs w:val="22"/>
        </w:rPr>
        <w:t>las Instalaciones de la Cárcel de Chiquinquirá</w:t>
      </w:r>
      <w:r w:rsidR="00BE68FD" w:rsidRPr="00A84B64">
        <w:rPr>
          <w:rFonts w:ascii="Verdana" w:hAnsi="Verdana" w:cs="Arial"/>
          <w:bCs/>
          <w:sz w:val="22"/>
          <w:szCs w:val="22"/>
        </w:rPr>
        <w:t xml:space="preserve">, y la consecuente disminución total de capacidad laboral de 28, 25%, tal como lo dictaminó </w:t>
      </w:r>
      <w:r w:rsidR="00890060" w:rsidRPr="00A84B64">
        <w:rPr>
          <w:rFonts w:ascii="Verdana" w:hAnsi="Verdana" w:cs="Arial"/>
          <w:bCs/>
          <w:sz w:val="22"/>
          <w:szCs w:val="22"/>
        </w:rPr>
        <w:t>la junta Regional de Calificación de Invalidez de Boyacá</w:t>
      </w:r>
      <w:r w:rsidR="00BE68FD" w:rsidRPr="00A84B64">
        <w:rPr>
          <w:rFonts w:ascii="Verdana" w:hAnsi="Verdana" w:cs="Arial"/>
          <w:bCs/>
          <w:sz w:val="22"/>
          <w:szCs w:val="22"/>
        </w:rPr>
        <w:t>.</w:t>
      </w:r>
    </w:p>
    <w:p w14:paraId="31315071" w14:textId="77777777" w:rsidR="00E6055B" w:rsidRPr="00A84B64" w:rsidRDefault="00E6055B" w:rsidP="00E6055B">
      <w:pPr>
        <w:spacing w:line="360" w:lineRule="auto"/>
        <w:ind w:right="-79"/>
        <w:jc w:val="both"/>
        <w:rPr>
          <w:rFonts w:ascii="Verdana" w:hAnsi="Verdana" w:cs="Arial"/>
          <w:b/>
          <w:sz w:val="22"/>
          <w:szCs w:val="22"/>
        </w:rPr>
      </w:pPr>
    </w:p>
    <w:p w14:paraId="63F91018" w14:textId="10FCE69C" w:rsidR="00E6055B" w:rsidRPr="00A84B64" w:rsidRDefault="00E6055B" w:rsidP="00E6055B">
      <w:pPr>
        <w:spacing w:line="360" w:lineRule="auto"/>
        <w:ind w:right="-79"/>
        <w:jc w:val="both"/>
        <w:rPr>
          <w:rFonts w:ascii="Verdana" w:hAnsi="Verdana" w:cs="Arial"/>
          <w:b/>
          <w:sz w:val="22"/>
          <w:szCs w:val="22"/>
        </w:rPr>
      </w:pPr>
      <w:r w:rsidRPr="00A84B64">
        <w:rPr>
          <w:rFonts w:ascii="Verdana" w:hAnsi="Verdana" w:cs="Arial"/>
          <w:b/>
          <w:sz w:val="22"/>
          <w:szCs w:val="22"/>
        </w:rPr>
        <w:t>3.1.2.2. De la imputación del daño</w:t>
      </w:r>
    </w:p>
    <w:p w14:paraId="6567B651" w14:textId="77777777" w:rsidR="00CC2B12" w:rsidRPr="00A84B64" w:rsidRDefault="00CC2B12" w:rsidP="00CC2B12">
      <w:pPr>
        <w:spacing w:line="360" w:lineRule="auto"/>
        <w:ind w:right="-79"/>
        <w:jc w:val="both"/>
        <w:rPr>
          <w:rFonts w:ascii="Verdana" w:hAnsi="Verdana" w:cs="Arial"/>
          <w:bCs/>
          <w:sz w:val="22"/>
          <w:szCs w:val="22"/>
        </w:rPr>
      </w:pPr>
    </w:p>
    <w:p w14:paraId="2C7558E2" w14:textId="566DA639" w:rsidR="00BE68FD" w:rsidRPr="00A84B64" w:rsidRDefault="00CC2B12" w:rsidP="00CC2B12">
      <w:pPr>
        <w:spacing w:line="360" w:lineRule="auto"/>
        <w:ind w:right="-79"/>
        <w:jc w:val="both"/>
        <w:rPr>
          <w:rFonts w:ascii="Verdana" w:hAnsi="Verdana" w:cs="Arial"/>
          <w:bCs/>
          <w:sz w:val="22"/>
          <w:szCs w:val="22"/>
        </w:rPr>
      </w:pPr>
      <w:r w:rsidRPr="00A84B64">
        <w:rPr>
          <w:rFonts w:ascii="Verdana" w:hAnsi="Verdana" w:cs="Arial"/>
          <w:bCs/>
          <w:sz w:val="22"/>
          <w:szCs w:val="22"/>
        </w:rPr>
        <w:t xml:space="preserve">La Sala considera igualmente demostrada la imputación jurídica del daño a la Nación - Instituto Nacional Penitenciario y Carcelario – INPEC-, en razón a que la lesión de la rodilla derecha que conllevó a disminución total de capacidad laboral </w:t>
      </w:r>
      <w:r w:rsidRPr="00A84B64">
        <w:rPr>
          <w:rFonts w:ascii="Verdana" w:hAnsi="Verdana" w:cs="Arial"/>
          <w:bCs/>
          <w:sz w:val="22"/>
          <w:szCs w:val="22"/>
        </w:rPr>
        <w:lastRenderedPageBreak/>
        <w:t>de 28, 25% , ocurrió cuando el señor Ávila Gaitán en calidad de Auxiliar Bachiller se encontraba desarrollando una actividad de acondicionamiento físico</w:t>
      </w:r>
      <w:r w:rsidR="00A5572F" w:rsidRPr="00A84B64">
        <w:t xml:space="preserve"> </w:t>
      </w:r>
      <w:r w:rsidR="00A5572F" w:rsidRPr="00A84B64">
        <w:rPr>
          <w:rFonts w:ascii="Verdana" w:hAnsi="Verdana" w:cs="Arial"/>
          <w:bCs/>
          <w:sz w:val="22"/>
          <w:szCs w:val="22"/>
        </w:rPr>
        <w:t>en el Establecimiento Penitenciario de Alta y Mediana seguridad de Chiquinquirá - Boyacá</w:t>
      </w:r>
      <w:r w:rsidRPr="00A84B64">
        <w:rPr>
          <w:rFonts w:ascii="Verdana" w:hAnsi="Verdana" w:cs="Arial"/>
          <w:bCs/>
          <w:sz w:val="22"/>
          <w:szCs w:val="22"/>
        </w:rPr>
        <w:t>, en cumplimiento de órdenes de sus superiores y en horas de servicio, lo cual constituye el nexo causal con la Administración.</w:t>
      </w:r>
    </w:p>
    <w:p w14:paraId="478EB8FD" w14:textId="495BAB69" w:rsidR="001971FD" w:rsidRPr="00A84B64" w:rsidRDefault="001971FD" w:rsidP="00CC2B12">
      <w:pPr>
        <w:spacing w:line="360" w:lineRule="auto"/>
        <w:ind w:right="-79"/>
        <w:jc w:val="both"/>
        <w:rPr>
          <w:rFonts w:ascii="Verdana" w:hAnsi="Verdana" w:cs="Arial"/>
          <w:bCs/>
          <w:sz w:val="22"/>
          <w:szCs w:val="22"/>
        </w:rPr>
      </w:pPr>
    </w:p>
    <w:p w14:paraId="25DA277A" w14:textId="77777777" w:rsidR="00CC5933" w:rsidRPr="00A84B64" w:rsidRDefault="001971FD" w:rsidP="001971FD">
      <w:pPr>
        <w:spacing w:line="360" w:lineRule="auto"/>
        <w:ind w:right="-79"/>
        <w:jc w:val="both"/>
        <w:rPr>
          <w:rFonts w:ascii="Verdana" w:hAnsi="Verdana" w:cs="Arial"/>
          <w:bCs/>
          <w:sz w:val="22"/>
          <w:szCs w:val="22"/>
        </w:rPr>
      </w:pPr>
      <w:r w:rsidRPr="00A84B64">
        <w:rPr>
          <w:rFonts w:ascii="Verdana" w:hAnsi="Verdana" w:cs="Arial"/>
          <w:bCs/>
          <w:sz w:val="22"/>
          <w:szCs w:val="22"/>
        </w:rPr>
        <w:t xml:space="preserve">Cabe señalar en este punto que, el INPEC argumentó en su defensa que </w:t>
      </w:r>
      <w:r w:rsidR="000C4BAB" w:rsidRPr="00A84B64">
        <w:rPr>
          <w:rFonts w:ascii="Verdana" w:hAnsi="Verdana" w:cs="Arial"/>
          <w:bCs/>
          <w:sz w:val="22"/>
          <w:szCs w:val="22"/>
        </w:rPr>
        <w:t xml:space="preserve">el señor Ávila Gaitán </w:t>
      </w:r>
      <w:r w:rsidR="00763F92" w:rsidRPr="00A84B64">
        <w:rPr>
          <w:rFonts w:ascii="Verdana" w:hAnsi="Verdana" w:cs="Arial"/>
          <w:bCs/>
          <w:sz w:val="22"/>
          <w:szCs w:val="22"/>
        </w:rPr>
        <w:t>no dio estricto cumplimiento a sus obligaciones de continuar con los protocolos y valoraciones por la autoridad competente, abandonando voluntariamente el procedimiento indicado y notificado ante la Junta Médico Laboral del Ejército</w:t>
      </w:r>
      <w:r w:rsidR="00363E84" w:rsidRPr="00A84B64">
        <w:rPr>
          <w:rFonts w:ascii="Verdana" w:hAnsi="Verdana" w:cs="Arial"/>
          <w:bCs/>
          <w:sz w:val="22"/>
          <w:szCs w:val="22"/>
        </w:rPr>
        <w:t xml:space="preserve">, a efectos de determinar </w:t>
      </w:r>
      <w:r w:rsidR="00655E48" w:rsidRPr="00A84B64">
        <w:rPr>
          <w:rFonts w:ascii="Verdana" w:hAnsi="Verdana" w:cs="Arial"/>
          <w:bCs/>
          <w:sz w:val="22"/>
          <w:szCs w:val="22"/>
        </w:rPr>
        <w:t xml:space="preserve">si </w:t>
      </w:r>
      <w:r w:rsidR="0041236F" w:rsidRPr="00A84B64">
        <w:rPr>
          <w:rFonts w:ascii="Verdana" w:hAnsi="Verdana" w:cs="Arial"/>
          <w:bCs/>
          <w:sz w:val="22"/>
          <w:szCs w:val="22"/>
        </w:rPr>
        <w:t>era procedente una indemnización por la lesión sufrida</w:t>
      </w:r>
      <w:r w:rsidR="00363E84" w:rsidRPr="00A84B64">
        <w:rPr>
          <w:rFonts w:ascii="Verdana" w:hAnsi="Verdana" w:cs="Arial"/>
          <w:bCs/>
          <w:sz w:val="22"/>
          <w:szCs w:val="22"/>
        </w:rPr>
        <w:t>.</w:t>
      </w:r>
      <w:r w:rsidR="00B35754" w:rsidRPr="00A84B64">
        <w:rPr>
          <w:rFonts w:ascii="Verdana" w:hAnsi="Verdana" w:cs="Arial"/>
          <w:bCs/>
          <w:sz w:val="22"/>
          <w:szCs w:val="22"/>
        </w:rPr>
        <w:t xml:space="preserve"> </w:t>
      </w:r>
    </w:p>
    <w:p w14:paraId="70C1DAC2" w14:textId="77777777" w:rsidR="00CC5933" w:rsidRPr="00A84B64" w:rsidRDefault="00CC5933" w:rsidP="001971FD">
      <w:pPr>
        <w:spacing w:line="360" w:lineRule="auto"/>
        <w:ind w:right="-79"/>
        <w:jc w:val="both"/>
        <w:rPr>
          <w:rFonts w:ascii="Verdana" w:hAnsi="Verdana" w:cs="Arial"/>
          <w:bCs/>
          <w:sz w:val="22"/>
          <w:szCs w:val="22"/>
        </w:rPr>
      </w:pPr>
    </w:p>
    <w:p w14:paraId="481C79A5" w14:textId="3BE1A052" w:rsidR="000C4BAB" w:rsidRPr="00A84B64" w:rsidRDefault="00B35754" w:rsidP="6AD07303">
      <w:pPr>
        <w:spacing w:line="360" w:lineRule="auto"/>
        <w:ind w:right="-79"/>
        <w:jc w:val="both"/>
        <w:rPr>
          <w:rFonts w:ascii="Verdana" w:hAnsi="Verdana" w:cs="Arial"/>
          <w:sz w:val="22"/>
          <w:szCs w:val="22"/>
        </w:rPr>
      </w:pPr>
      <w:r w:rsidRPr="00A84B64">
        <w:rPr>
          <w:rFonts w:ascii="Verdana" w:hAnsi="Verdana" w:cs="Arial"/>
          <w:sz w:val="22"/>
          <w:szCs w:val="22"/>
        </w:rPr>
        <w:t xml:space="preserve">Adicionalmente, adujo que </w:t>
      </w:r>
      <w:r w:rsidR="009648A3" w:rsidRPr="00A84B64">
        <w:rPr>
          <w:rFonts w:ascii="Verdana" w:hAnsi="Verdana" w:cs="Arial"/>
          <w:sz w:val="22"/>
          <w:szCs w:val="22"/>
        </w:rPr>
        <w:t>difiere d</w:t>
      </w:r>
      <w:r w:rsidRPr="00A84B64">
        <w:rPr>
          <w:rFonts w:ascii="Verdana" w:hAnsi="Verdana" w:cs="Arial"/>
          <w:sz w:val="22"/>
          <w:szCs w:val="22"/>
        </w:rPr>
        <w:t>e</w:t>
      </w:r>
      <w:r w:rsidR="00086A7F" w:rsidRPr="00A84B64">
        <w:rPr>
          <w:rFonts w:ascii="Verdana" w:hAnsi="Verdana" w:cs="Arial"/>
          <w:sz w:val="22"/>
          <w:szCs w:val="22"/>
        </w:rPr>
        <w:t xml:space="preserve"> la calificación establecida </w:t>
      </w:r>
      <w:r w:rsidR="00B36A17" w:rsidRPr="00A84B64">
        <w:rPr>
          <w:rFonts w:ascii="Verdana" w:hAnsi="Verdana" w:cs="Arial"/>
          <w:sz w:val="22"/>
          <w:szCs w:val="22"/>
        </w:rPr>
        <w:t>por la Junta Regional de Calificación de Invalidez de Boyacá</w:t>
      </w:r>
      <w:r w:rsidR="00086A7F" w:rsidRPr="00A84B64">
        <w:rPr>
          <w:rFonts w:ascii="Verdana" w:hAnsi="Verdana" w:cs="Arial"/>
          <w:sz w:val="22"/>
          <w:szCs w:val="22"/>
        </w:rPr>
        <w:t xml:space="preserve"> pues se basó en la historia clínica del paciente y en lo que él refirió sentir, sin tener certeza de ello, señalando </w:t>
      </w:r>
      <w:r w:rsidR="26717893" w:rsidRPr="00A84B64">
        <w:rPr>
          <w:rFonts w:ascii="Verdana" w:hAnsi="Verdana" w:cs="Arial"/>
          <w:sz w:val="22"/>
          <w:szCs w:val="22"/>
        </w:rPr>
        <w:t>que,</w:t>
      </w:r>
      <w:r w:rsidR="00086A7F" w:rsidRPr="00A84B64">
        <w:rPr>
          <w:rFonts w:ascii="Verdana" w:hAnsi="Verdana" w:cs="Arial"/>
          <w:sz w:val="22"/>
          <w:szCs w:val="22"/>
        </w:rPr>
        <w:t xml:space="preserve"> si existe algún tipo de secuela, esta es reciente y distinta a la lesión sufrida y tratada con éxito en el año 2014.</w:t>
      </w:r>
      <w:r w:rsidR="006A60C8" w:rsidRPr="00A84B64">
        <w:rPr>
          <w:rFonts w:ascii="Verdana" w:hAnsi="Verdana" w:cs="Arial"/>
          <w:sz w:val="22"/>
          <w:szCs w:val="22"/>
        </w:rPr>
        <w:t xml:space="preserve"> Sostuvo que no se estructuró el nexo causal entre el daño y una falla en el servicio ya que la entidad dio estricto cumplimiento a las funciones establecidas en la ley, </w:t>
      </w:r>
      <w:r w:rsidR="09C73BA9" w:rsidRPr="00A84B64">
        <w:rPr>
          <w:rFonts w:ascii="Verdana" w:hAnsi="Verdana" w:cs="Arial"/>
          <w:sz w:val="22"/>
          <w:szCs w:val="22"/>
        </w:rPr>
        <w:t>y,</w:t>
      </w:r>
      <w:r w:rsidR="006A60C8" w:rsidRPr="00A84B64">
        <w:rPr>
          <w:rFonts w:ascii="Verdana" w:hAnsi="Verdana" w:cs="Arial"/>
          <w:sz w:val="22"/>
          <w:szCs w:val="22"/>
        </w:rPr>
        <w:t xml:space="preserve"> por tanto, se presentó inexistencia de la obligación.</w:t>
      </w:r>
    </w:p>
    <w:p w14:paraId="758CDB40" w14:textId="64A4A12F" w:rsidR="000C4BAB" w:rsidRPr="00A84B64" w:rsidRDefault="000C4BAB" w:rsidP="001971FD">
      <w:pPr>
        <w:spacing w:line="360" w:lineRule="auto"/>
        <w:ind w:right="-79"/>
        <w:jc w:val="both"/>
        <w:rPr>
          <w:rFonts w:ascii="Verdana" w:hAnsi="Verdana" w:cs="Arial"/>
          <w:bCs/>
          <w:sz w:val="22"/>
          <w:szCs w:val="22"/>
        </w:rPr>
      </w:pPr>
    </w:p>
    <w:p w14:paraId="597F01B8" w14:textId="1DA469CE" w:rsidR="00A44F17" w:rsidRPr="00A84B64" w:rsidRDefault="006B354C" w:rsidP="00A44F17">
      <w:pPr>
        <w:spacing w:line="360" w:lineRule="auto"/>
        <w:ind w:right="-79"/>
        <w:jc w:val="both"/>
        <w:rPr>
          <w:rFonts w:ascii="Verdana" w:hAnsi="Verdana" w:cs="Arial"/>
          <w:bCs/>
          <w:sz w:val="22"/>
          <w:szCs w:val="22"/>
        </w:rPr>
      </w:pPr>
      <w:r w:rsidRPr="00A84B64">
        <w:rPr>
          <w:rFonts w:ascii="Verdana" w:hAnsi="Verdana" w:cs="Arial"/>
          <w:bCs/>
          <w:sz w:val="22"/>
          <w:szCs w:val="22"/>
        </w:rPr>
        <w:t xml:space="preserve">Así las cosas, respecto al argumento relacionado con el abandono voluntario del </w:t>
      </w:r>
      <w:r w:rsidR="00CC5933" w:rsidRPr="00A84B64">
        <w:rPr>
          <w:rFonts w:ascii="Verdana" w:hAnsi="Verdana" w:cs="Arial"/>
          <w:bCs/>
          <w:sz w:val="22"/>
          <w:szCs w:val="22"/>
        </w:rPr>
        <w:t>conscripto</w:t>
      </w:r>
      <w:r w:rsidRPr="00A84B64">
        <w:rPr>
          <w:rFonts w:ascii="Verdana" w:hAnsi="Verdana" w:cs="Arial"/>
          <w:bCs/>
          <w:sz w:val="22"/>
          <w:szCs w:val="22"/>
        </w:rPr>
        <w:t xml:space="preserve"> al procedimi</w:t>
      </w:r>
      <w:r w:rsidR="008807C9" w:rsidRPr="00A84B64">
        <w:rPr>
          <w:rFonts w:ascii="Verdana" w:hAnsi="Verdana" w:cs="Arial"/>
          <w:bCs/>
          <w:sz w:val="22"/>
          <w:szCs w:val="22"/>
        </w:rPr>
        <w:t>en</w:t>
      </w:r>
      <w:r w:rsidRPr="00A84B64">
        <w:rPr>
          <w:rFonts w:ascii="Verdana" w:hAnsi="Verdana" w:cs="Arial"/>
          <w:bCs/>
          <w:sz w:val="22"/>
          <w:szCs w:val="22"/>
        </w:rPr>
        <w:t>to ante la Junta Médico Laboral del Ejército</w:t>
      </w:r>
      <w:r w:rsidR="00A44F17" w:rsidRPr="00A84B64">
        <w:t xml:space="preserve">, </w:t>
      </w:r>
      <w:r w:rsidR="00A44F17" w:rsidRPr="00A84B64">
        <w:rPr>
          <w:rFonts w:ascii="Verdana" w:hAnsi="Verdana" w:cs="Arial"/>
          <w:bCs/>
          <w:sz w:val="22"/>
          <w:szCs w:val="22"/>
        </w:rPr>
        <w:t>evidencia la Sala</w:t>
      </w:r>
      <w:r w:rsidR="00055B54" w:rsidRPr="00A84B64">
        <w:rPr>
          <w:rFonts w:ascii="Verdana" w:hAnsi="Verdana" w:cs="Arial"/>
          <w:bCs/>
          <w:sz w:val="22"/>
          <w:szCs w:val="22"/>
        </w:rPr>
        <w:t xml:space="preserve"> </w:t>
      </w:r>
      <w:r w:rsidR="00A44F17" w:rsidRPr="00A84B64">
        <w:rPr>
          <w:rFonts w:ascii="Verdana" w:hAnsi="Verdana" w:cs="Arial"/>
          <w:bCs/>
          <w:sz w:val="22"/>
          <w:szCs w:val="22"/>
        </w:rPr>
        <w:t>que si bien el INPEC</w:t>
      </w:r>
      <w:r w:rsidR="00055B54" w:rsidRPr="00A84B64">
        <w:rPr>
          <w:rFonts w:ascii="Verdana" w:hAnsi="Verdana" w:cs="Arial"/>
          <w:bCs/>
          <w:sz w:val="22"/>
          <w:szCs w:val="22"/>
        </w:rPr>
        <w:t xml:space="preserve"> mediante oficio No. 82102-SUCUC-GRUMI-00712 del 7 de septiembre de 2015,</w:t>
      </w:r>
      <w:r w:rsidR="00A44F17" w:rsidRPr="00A84B64">
        <w:rPr>
          <w:rFonts w:ascii="Verdana" w:hAnsi="Verdana" w:cs="Arial"/>
          <w:bCs/>
          <w:sz w:val="22"/>
          <w:szCs w:val="22"/>
        </w:rPr>
        <w:t xml:space="preserve"> </w:t>
      </w:r>
      <w:r w:rsidR="00055B54" w:rsidRPr="00A84B64">
        <w:rPr>
          <w:rFonts w:ascii="Verdana" w:hAnsi="Verdana" w:cs="Arial"/>
          <w:bCs/>
          <w:sz w:val="22"/>
          <w:szCs w:val="22"/>
        </w:rPr>
        <w:t xml:space="preserve">le notificó al señor Ávila Gaitán que </w:t>
      </w:r>
      <w:r w:rsidR="00A44F17" w:rsidRPr="00A84B64">
        <w:rPr>
          <w:rFonts w:ascii="Verdana" w:hAnsi="Verdana" w:cs="Arial"/>
          <w:bCs/>
          <w:sz w:val="22"/>
          <w:szCs w:val="22"/>
        </w:rPr>
        <w:t>radicó ante la Dirección de Sanidad Militar del Ejército la documentación necesaria para que se reuniera la Junta Médico Laboral Militar</w:t>
      </w:r>
      <w:r w:rsidR="00311F3C" w:rsidRPr="00A84B64">
        <w:rPr>
          <w:rFonts w:ascii="Verdana" w:hAnsi="Verdana" w:cs="Arial"/>
          <w:bCs/>
          <w:sz w:val="22"/>
          <w:szCs w:val="22"/>
        </w:rPr>
        <w:t xml:space="preserve"> a efectos de que emitiera una calificación definitiva</w:t>
      </w:r>
      <w:r w:rsidR="0006601A" w:rsidRPr="00A84B64">
        <w:rPr>
          <w:rFonts w:ascii="Verdana" w:hAnsi="Verdana" w:cs="Arial"/>
          <w:bCs/>
          <w:sz w:val="22"/>
          <w:szCs w:val="22"/>
        </w:rPr>
        <w:t>, como consta en el Oficio No. 82102-SUCUC-GRUMI-948 del 10 de septiembre de 2015 radicado por el INPEC ante Junta Médico Laboral Militar (</w:t>
      </w:r>
      <w:proofErr w:type="spellStart"/>
      <w:r w:rsidR="0006601A" w:rsidRPr="00A84B64">
        <w:rPr>
          <w:rFonts w:ascii="Verdana" w:hAnsi="Verdana" w:cs="Arial"/>
          <w:bCs/>
          <w:sz w:val="22"/>
          <w:szCs w:val="22"/>
        </w:rPr>
        <w:t>fl</w:t>
      </w:r>
      <w:proofErr w:type="spellEnd"/>
      <w:r w:rsidR="0006601A" w:rsidRPr="00A84B64">
        <w:rPr>
          <w:rFonts w:ascii="Verdana" w:hAnsi="Verdana" w:cs="Arial"/>
          <w:bCs/>
          <w:sz w:val="22"/>
          <w:szCs w:val="22"/>
        </w:rPr>
        <w:t>. 147) y se le indicó que debía hacer seguimiento del proceso hasta su culminación y decisión, ante la Dirección de Sanidad Militar del Ejército Nacional, y estar pendiente de las notificaciones y/o requerimientos del área de medicina laboral (</w:t>
      </w:r>
      <w:proofErr w:type="spellStart"/>
      <w:r w:rsidR="0006601A" w:rsidRPr="00A84B64">
        <w:rPr>
          <w:rFonts w:ascii="Verdana" w:hAnsi="Verdana" w:cs="Arial"/>
          <w:bCs/>
          <w:sz w:val="22"/>
          <w:szCs w:val="22"/>
        </w:rPr>
        <w:t>fl</w:t>
      </w:r>
      <w:proofErr w:type="spellEnd"/>
      <w:r w:rsidR="0006601A" w:rsidRPr="00A84B64">
        <w:rPr>
          <w:rFonts w:ascii="Verdana" w:hAnsi="Verdana" w:cs="Arial"/>
          <w:bCs/>
          <w:sz w:val="22"/>
          <w:szCs w:val="22"/>
        </w:rPr>
        <w:t xml:space="preserve">. 145), lo cierto es que no obra en el plenario </w:t>
      </w:r>
      <w:r w:rsidR="003E0D52" w:rsidRPr="00A84B64">
        <w:rPr>
          <w:rFonts w:ascii="Verdana" w:hAnsi="Verdana" w:cs="Arial"/>
          <w:bCs/>
          <w:sz w:val="22"/>
          <w:szCs w:val="22"/>
        </w:rPr>
        <w:t>prueba de alguna notificación o requerimiento por parte del área en mención que hubiese sido desatendida por el conscripto.</w:t>
      </w:r>
    </w:p>
    <w:p w14:paraId="477BC027" w14:textId="71877A79" w:rsidR="00CC5933" w:rsidRPr="00A84B64" w:rsidRDefault="00CC5933" w:rsidP="00A44F17">
      <w:pPr>
        <w:spacing w:line="360" w:lineRule="auto"/>
        <w:ind w:right="-79"/>
        <w:jc w:val="both"/>
        <w:rPr>
          <w:rFonts w:ascii="Verdana" w:hAnsi="Verdana" w:cs="Arial"/>
          <w:bCs/>
          <w:sz w:val="22"/>
          <w:szCs w:val="22"/>
        </w:rPr>
      </w:pPr>
    </w:p>
    <w:p w14:paraId="757259C8" w14:textId="61C6A64A" w:rsidR="00CC5933" w:rsidRPr="00A84B64" w:rsidRDefault="00CC5933" w:rsidP="6AD07303">
      <w:pPr>
        <w:spacing w:line="360" w:lineRule="auto"/>
        <w:ind w:right="-79"/>
        <w:jc w:val="both"/>
        <w:rPr>
          <w:rFonts w:ascii="Verdana" w:hAnsi="Verdana" w:cs="Arial"/>
          <w:sz w:val="22"/>
          <w:szCs w:val="22"/>
        </w:rPr>
      </w:pPr>
      <w:r w:rsidRPr="00A84B64">
        <w:rPr>
          <w:rFonts w:ascii="Verdana" w:hAnsi="Verdana" w:cs="Arial"/>
          <w:sz w:val="22"/>
          <w:szCs w:val="22"/>
        </w:rPr>
        <w:lastRenderedPageBreak/>
        <w:t xml:space="preserve">Por el contrario, la Sala encuentra acreditado que el señor Ávila Gaitán adelantó gestiones tendientes a </w:t>
      </w:r>
      <w:r w:rsidR="0093243B" w:rsidRPr="00A84B64">
        <w:rPr>
          <w:rFonts w:ascii="Verdana" w:hAnsi="Verdana" w:cs="Arial"/>
          <w:sz w:val="22"/>
          <w:szCs w:val="22"/>
        </w:rPr>
        <w:t>la práctica de la Junta Médico Laboral ante la Dirección de Sanidad Militar, es así que, mediante derecho de petición radicado el 27 de enero de 2016 (</w:t>
      </w:r>
      <w:proofErr w:type="spellStart"/>
      <w:r w:rsidR="0093243B" w:rsidRPr="00A84B64">
        <w:rPr>
          <w:rFonts w:ascii="Verdana" w:hAnsi="Verdana" w:cs="Arial"/>
          <w:sz w:val="22"/>
          <w:szCs w:val="22"/>
        </w:rPr>
        <w:t>fl</w:t>
      </w:r>
      <w:proofErr w:type="spellEnd"/>
      <w:r w:rsidR="0093243B" w:rsidRPr="00A84B64">
        <w:rPr>
          <w:rFonts w:ascii="Verdana" w:hAnsi="Verdana" w:cs="Arial"/>
          <w:sz w:val="22"/>
          <w:szCs w:val="22"/>
        </w:rPr>
        <w:t xml:space="preserve">. 161), solicitó que se fijara fecha y hora para </w:t>
      </w:r>
      <w:r w:rsidR="0069304C" w:rsidRPr="00A84B64">
        <w:rPr>
          <w:rFonts w:ascii="Verdana" w:hAnsi="Verdana" w:cs="Arial"/>
          <w:sz w:val="22"/>
          <w:szCs w:val="22"/>
        </w:rPr>
        <w:t>que</w:t>
      </w:r>
      <w:r w:rsidR="1647366D" w:rsidRPr="00A84B64">
        <w:rPr>
          <w:rFonts w:ascii="Verdana" w:hAnsi="Verdana" w:cs="Arial"/>
          <w:sz w:val="22"/>
          <w:szCs w:val="22"/>
        </w:rPr>
        <w:t xml:space="preserve"> fuera atendido por</w:t>
      </w:r>
      <w:r w:rsidR="0093243B" w:rsidRPr="00A84B64">
        <w:rPr>
          <w:rFonts w:ascii="Verdana" w:hAnsi="Verdana" w:cs="Arial"/>
          <w:sz w:val="22"/>
          <w:szCs w:val="22"/>
        </w:rPr>
        <w:t xml:space="preserve"> la Junta Médico Laboral, en razón a que a la fecha de la petición la Dirección de Sanidad no lo había citado ni convocado para el respectivo examen médico.</w:t>
      </w:r>
    </w:p>
    <w:p w14:paraId="27D5659E" w14:textId="77777777" w:rsidR="0006601A" w:rsidRPr="00A84B64" w:rsidRDefault="0006601A" w:rsidP="00A44F17">
      <w:pPr>
        <w:spacing w:line="360" w:lineRule="auto"/>
        <w:ind w:right="-79"/>
        <w:jc w:val="both"/>
        <w:rPr>
          <w:rFonts w:ascii="Verdana" w:hAnsi="Verdana" w:cs="Arial"/>
          <w:bCs/>
          <w:sz w:val="22"/>
          <w:szCs w:val="22"/>
        </w:rPr>
      </w:pPr>
    </w:p>
    <w:p w14:paraId="34352579" w14:textId="1CE65354" w:rsidR="00222930" w:rsidRPr="00A84B64" w:rsidRDefault="00E35240" w:rsidP="00A44F17">
      <w:pPr>
        <w:spacing w:line="360" w:lineRule="auto"/>
        <w:ind w:right="-79"/>
        <w:jc w:val="both"/>
        <w:rPr>
          <w:rFonts w:ascii="Verdana" w:hAnsi="Verdana" w:cs="Arial"/>
          <w:bCs/>
          <w:sz w:val="22"/>
          <w:szCs w:val="22"/>
        </w:rPr>
      </w:pPr>
      <w:r w:rsidRPr="00A84B64">
        <w:rPr>
          <w:rFonts w:ascii="Verdana" w:hAnsi="Verdana" w:cs="Arial"/>
          <w:bCs/>
          <w:sz w:val="22"/>
          <w:szCs w:val="22"/>
        </w:rPr>
        <w:t>Ahora bien</w:t>
      </w:r>
      <w:r w:rsidR="00A44F17" w:rsidRPr="00A84B64">
        <w:rPr>
          <w:rFonts w:ascii="Verdana" w:hAnsi="Verdana" w:cs="Arial"/>
          <w:bCs/>
          <w:sz w:val="22"/>
          <w:szCs w:val="22"/>
        </w:rPr>
        <w:t xml:space="preserve">, </w:t>
      </w:r>
      <w:r w:rsidR="003E0D52" w:rsidRPr="00A84B64">
        <w:rPr>
          <w:rFonts w:ascii="Verdana" w:hAnsi="Verdana" w:cs="Arial"/>
          <w:bCs/>
          <w:sz w:val="22"/>
          <w:szCs w:val="22"/>
        </w:rPr>
        <w:t>a folio</w:t>
      </w:r>
      <w:r w:rsidR="00A44F17" w:rsidRPr="00A84B64">
        <w:rPr>
          <w:rFonts w:ascii="Verdana" w:hAnsi="Verdana" w:cs="Arial"/>
          <w:bCs/>
          <w:sz w:val="22"/>
          <w:szCs w:val="22"/>
        </w:rPr>
        <w:t xml:space="preserve"> 778 del expediente</w:t>
      </w:r>
      <w:r w:rsidR="003E0D52" w:rsidRPr="00A84B64">
        <w:rPr>
          <w:rFonts w:ascii="Verdana" w:hAnsi="Verdana" w:cs="Arial"/>
          <w:bCs/>
          <w:sz w:val="22"/>
          <w:szCs w:val="22"/>
        </w:rPr>
        <w:t xml:space="preserve"> se observa el </w:t>
      </w:r>
      <w:r w:rsidR="00A44F17" w:rsidRPr="00A84B64">
        <w:rPr>
          <w:rFonts w:ascii="Verdana" w:hAnsi="Verdana" w:cs="Arial"/>
          <w:bCs/>
          <w:sz w:val="22"/>
          <w:szCs w:val="22"/>
        </w:rPr>
        <w:t xml:space="preserve">oficio No. 20173392279121 </w:t>
      </w:r>
      <w:r w:rsidR="003E0D52" w:rsidRPr="00A84B64">
        <w:rPr>
          <w:rFonts w:ascii="Verdana" w:hAnsi="Verdana" w:cs="Arial"/>
          <w:bCs/>
          <w:sz w:val="22"/>
          <w:szCs w:val="22"/>
        </w:rPr>
        <w:t xml:space="preserve">de 21 de diciembre de 2017 </w:t>
      </w:r>
      <w:r w:rsidR="00A44F17" w:rsidRPr="00A84B64">
        <w:rPr>
          <w:rFonts w:ascii="Verdana" w:hAnsi="Verdana" w:cs="Arial"/>
          <w:bCs/>
          <w:sz w:val="22"/>
          <w:szCs w:val="22"/>
        </w:rPr>
        <w:t xml:space="preserve">mediante el cual la Dirección de Sanidad del Ejército </w:t>
      </w:r>
      <w:r w:rsidR="003E0D52" w:rsidRPr="00A84B64">
        <w:rPr>
          <w:rFonts w:ascii="Verdana" w:hAnsi="Verdana" w:cs="Arial"/>
          <w:bCs/>
          <w:sz w:val="22"/>
          <w:szCs w:val="22"/>
        </w:rPr>
        <w:t>dio respuesta a requerimiento del juzgado de primera instancia, informando que</w:t>
      </w:r>
      <w:r w:rsidR="00EE25DC" w:rsidRPr="00A84B64">
        <w:rPr>
          <w:rFonts w:ascii="Verdana" w:hAnsi="Verdana" w:cs="Arial"/>
          <w:bCs/>
          <w:sz w:val="22"/>
          <w:szCs w:val="22"/>
        </w:rPr>
        <w:t xml:space="preserve"> </w:t>
      </w:r>
      <w:r w:rsidR="00EE25DC" w:rsidRPr="00A84B64">
        <w:rPr>
          <w:rFonts w:ascii="Verdana" w:hAnsi="Verdana" w:cs="Arial"/>
          <w:bCs/>
          <w:i/>
          <w:iCs/>
          <w:sz w:val="22"/>
          <w:szCs w:val="22"/>
        </w:rPr>
        <w:t>“una vez verificado el Sistema Integrado de Medicina Laboral (SIML) se evidencia ficha médica No. 579520 con fecha de 21 septiembre de 2015 sin que el usuario haya continuado el trámite para la realización de la Junta Medico Laboral”</w:t>
      </w:r>
      <w:r w:rsidR="00EE25DC" w:rsidRPr="00A84B64">
        <w:rPr>
          <w:rFonts w:ascii="Verdana" w:hAnsi="Verdana" w:cs="Arial"/>
          <w:bCs/>
          <w:sz w:val="22"/>
          <w:szCs w:val="22"/>
        </w:rPr>
        <w:t xml:space="preserve">, razón por la cual, adujo, que </w:t>
      </w:r>
      <w:r w:rsidR="00A44F17" w:rsidRPr="00A84B64">
        <w:rPr>
          <w:rFonts w:ascii="Verdana" w:hAnsi="Verdana" w:cs="Arial"/>
          <w:bCs/>
          <w:sz w:val="22"/>
          <w:szCs w:val="22"/>
        </w:rPr>
        <w:t>no pudo tramitar la Junta Medico Laboral del señor Luis Eduardo Ávila Gaitán</w:t>
      </w:r>
      <w:r w:rsidR="00EE25DC" w:rsidRPr="00A84B64">
        <w:rPr>
          <w:rFonts w:ascii="Verdana" w:hAnsi="Verdana" w:cs="Arial"/>
          <w:bCs/>
          <w:sz w:val="22"/>
          <w:szCs w:val="22"/>
        </w:rPr>
        <w:t xml:space="preserve">. Sin embargo, </w:t>
      </w:r>
      <w:r w:rsidR="00222930" w:rsidRPr="00A84B64">
        <w:rPr>
          <w:rFonts w:ascii="Verdana" w:hAnsi="Verdana" w:cs="Arial"/>
          <w:bCs/>
          <w:sz w:val="22"/>
          <w:szCs w:val="22"/>
        </w:rPr>
        <w:t>se reitera, no allegó ninguna prueba que diera cuenta que el área encargada de la Dirección de Sanidad del Ejército notificó o requirió al usuario en mención y éste lo hubiese desatendido</w:t>
      </w:r>
      <w:r w:rsidR="00FB5C58" w:rsidRPr="00A84B64">
        <w:rPr>
          <w:rFonts w:ascii="Verdana" w:hAnsi="Verdana" w:cs="Arial"/>
          <w:bCs/>
          <w:sz w:val="22"/>
          <w:szCs w:val="22"/>
        </w:rPr>
        <w:t>, es más, no obra en el expediente la respuesta que dio (si la dio) la Dirección de Sanidad del Ejército a la petición que elevó el señor Ávila Gaitán el 27 de enero de 2016, requiriendo la fijación de fecha y hora para llevar a cabo la Junta Medico Laboral.</w:t>
      </w:r>
    </w:p>
    <w:p w14:paraId="61C85627" w14:textId="77777777" w:rsidR="00222930" w:rsidRPr="00A84B64" w:rsidRDefault="00222930" w:rsidP="00A44F17">
      <w:pPr>
        <w:spacing w:line="360" w:lineRule="auto"/>
        <w:ind w:right="-79"/>
        <w:jc w:val="both"/>
        <w:rPr>
          <w:rFonts w:ascii="Verdana" w:hAnsi="Verdana" w:cs="Arial"/>
          <w:bCs/>
          <w:sz w:val="22"/>
          <w:szCs w:val="22"/>
        </w:rPr>
      </w:pPr>
    </w:p>
    <w:p w14:paraId="243D07CE" w14:textId="3632AE57" w:rsidR="00A44F17" w:rsidRPr="00A84B64" w:rsidRDefault="006A5637" w:rsidP="00A44F17">
      <w:pPr>
        <w:spacing w:line="360" w:lineRule="auto"/>
        <w:ind w:right="-79"/>
        <w:jc w:val="both"/>
        <w:rPr>
          <w:rFonts w:ascii="Verdana" w:hAnsi="Verdana" w:cs="Arial"/>
          <w:bCs/>
          <w:sz w:val="22"/>
          <w:szCs w:val="22"/>
        </w:rPr>
      </w:pPr>
      <w:r w:rsidRPr="00A84B64">
        <w:rPr>
          <w:rFonts w:ascii="Verdana" w:hAnsi="Verdana" w:cs="Arial"/>
          <w:bCs/>
          <w:sz w:val="22"/>
          <w:szCs w:val="22"/>
        </w:rPr>
        <w:t>De modo complementario</w:t>
      </w:r>
      <w:r w:rsidR="00222930" w:rsidRPr="00A84B64">
        <w:rPr>
          <w:rFonts w:ascii="Verdana" w:hAnsi="Verdana" w:cs="Arial"/>
          <w:bCs/>
          <w:sz w:val="22"/>
          <w:szCs w:val="22"/>
        </w:rPr>
        <w:t>,</w:t>
      </w:r>
      <w:r w:rsidR="009668E5" w:rsidRPr="00A84B64">
        <w:rPr>
          <w:rFonts w:ascii="Verdana" w:hAnsi="Verdana" w:cs="Arial"/>
          <w:bCs/>
          <w:sz w:val="22"/>
          <w:szCs w:val="22"/>
        </w:rPr>
        <w:t xml:space="preserve"> respecto al abandono del tratamiento prescrito por la Dirección de Sanidad, una vez puesto en conocimiento el oficio visible a folio 778 y ante la pregunta ¿por qué razón no continuó con el trámite para valoración por la junta médica laboral de sanidad?, </w:t>
      </w:r>
      <w:r w:rsidR="00A44F17" w:rsidRPr="00A84B64">
        <w:rPr>
          <w:rFonts w:ascii="Verdana" w:hAnsi="Verdana" w:cs="Arial"/>
          <w:bCs/>
          <w:sz w:val="22"/>
          <w:szCs w:val="22"/>
        </w:rPr>
        <w:t>en el interrogatorio de parte</w:t>
      </w:r>
      <w:r w:rsidR="00222930" w:rsidRPr="00A84B64">
        <w:rPr>
          <w:rFonts w:ascii="Verdana" w:hAnsi="Verdana" w:cs="Arial"/>
          <w:bCs/>
          <w:sz w:val="22"/>
          <w:szCs w:val="22"/>
        </w:rPr>
        <w:t xml:space="preserve"> el señor Ávila Gaitán</w:t>
      </w:r>
      <w:r w:rsidR="00A44F17" w:rsidRPr="00A84B64">
        <w:rPr>
          <w:rFonts w:ascii="Verdana" w:hAnsi="Verdana" w:cs="Arial"/>
          <w:bCs/>
          <w:sz w:val="22"/>
          <w:szCs w:val="22"/>
        </w:rPr>
        <w:t xml:space="preserve"> seña</w:t>
      </w:r>
      <w:r w:rsidR="009668E5" w:rsidRPr="00A84B64">
        <w:rPr>
          <w:rFonts w:ascii="Verdana" w:hAnsi="Verdana" w:cs="Arial"/>
          <w:bCs/>
          <w:sz w:val="22"/>
          <w:szCs w:val="22"/>
        </w:rPr>
        <w:t>ló</w:t>
      </w:r>
      <w:r w:rsidR="009668E5" w:rsidRPr="00A84B64">
        <w:rPr>
          <w:rStyle w:val="Refdenotaalpie"/>
          <w:rFonts w:ascii="Verdana" w:hAnsi="Verdana"/>
          <w:bCs/>
          <w:sz w:val="22"/>
          <w:szCs w:val="22"/>
        </w:rPr>
        <w:footnoteReference w:id="13"/>
      </w:r>
      <w:r w:rsidR="009668E5" w:rsidRPr="00A84B64">
        <w:rPr>
          <w:rFonts w:ascii="Verdana" w:hAnsi="Verdana" w:cs="Arial"/>
          <w:bCs/>
          <w:sz w:val="22"/>
          <w:szCs w:val="22"/>
        </w:rPr>
        <w:t xml:space="preserve"> </w:t>
      </w:r>
      <w:r w:rsidR="00A44F17" w:rsidRPr="00A84B64">
        <w:rPr>
          <w:rFonts w:ascii="Verdana" w:hAnsi="Verdana" w:cs="Arial"/>
          <w:bCs/>
          <w:sz w:val="22"/>
          <w:szCs w:val="22"/>
        </w:rPr>
        <w:t>:</w:t>
      </w:r>
    </w:p>
    <w:p w14:paraId="2E606435" w14:textId="78535CAD" w:rsidR="00A44F17" w:rsidRPr="00A84B64" w:rsidRDefault="00A44F17" w:rsidP="00967039">
      <w:pPr>
        <w:spacing w:line="276" w:lineRule="auto"/>
        <w:ind w:left="708" w:right="-79"/>
        <w:jc w:val="both"/>
        <w:rPr>
          <w:rFonts w:ascii="Verdana" w:hAnsi="Verdana" w:cs="Arial"/>
          <w:bCs/>
          <w:i/>
          <w:iCs/>
          <w:sz w:val="22"/>
          <w:szCs w:val="22"/>
        </w:rPr>
      </w:pPr>
      <w:r w:rsidRPr="00A84B64">
        <w:rPr>
          <w:rFonts w:ascii="Verdana" w:hAnsi="Verdana" w:cs="Arial"/>
          <w:bCs/>
          <w:i/>
          <w:iCs/>
          <w:sz w:val="22"/>
          <w:szCs w:val="22"/>
        </w:rPr>
        <w:t xml:space="preserve">”Creo que son 90 días que tenían para llamarme o dar información, yo llamé reiteradas veces hasta el día 90; el día 90 fui hasta la dirección que tenía para hacer eso, me mandaron para otro batallón a otro distrito, en ese distrito me dijeron que la fecha ya se había acabado y que ya me habían notificado,  cuando mi residencia nunca cambió, nunca cambié el número de teléfono de la casa, en ningún momento llamaron, en ningún momento me notificaron a mi residencia de ninguna forma para yo poder ir a hacer algo. </w:t>
      </w:r>
    </w:p>
    <w:p w14:paraId="1C936D08" w14:textId="77777777" w:rsidR="00E7075E" w:rsidRPr="00A84B64" w:rsidRDefault="00E7075E" w:rsidP="00967039">
      <w:pPr>
        <w:spacing w:line="276" w:lineRule="auto"/>
        <w:ind w:left="708" w:right="-79"/>
        <w:jc w:val="both"/>
        <w:rPr>
          <w:rFonts w:ascii="Verdana" w:hAnsi="Verdana" w:cs="Arial"/>
          <w:bCs/>
          <w:i/>
          <w:iCs/>
          <w:sz w:val="22"/>
          <w:szCs w:val="22"/>
        </w:rPr>
      </w:pPr>
    </w:p>
    <w:p w14:paraId="42F1162D" w14:textId="66BA8529" w:rsidR="00A44F17" w:rsidRPr="00A84B64" w:rsidRDefault="00A44F17" w:rsidP="00967039">
      <w:pPr>
        <w:spacing w:line="276" w:lineRule="auto"/>
        <w:ind w:left="708" w:right="-79"/>
        <w:jc w:val="both"/>
        <w:rPr>
          <w:rFonts w:ascii="Verdana" w:hAnsi="Verdana" w:cs="Arial"/>
          <w:bCs/>
          <w:i/>
          <w:iCs/>
          <w:sz w:val="22"/>
          <w:szCs w:val="22"/>
        </w:rPr>
      </w:pPr>
      <w:r w:rsidRPr="00A84B64">
        <w:rPr>
          <w:rFonts w:ascii="Verdana" w:hAnsi="Verdana" w:cs="Arial"/>
          <w:bCs/>
          <w:i/>
          <w:iCs/>
          <w:sz w:val="22"/>
          <w:szCs w:val="22"/>
        </w:rPr>
        <w:t xml:space="preserve">Cuando se cumplieron los 90 días que no me llamaron, lo tenía presente, fui hasta Bogotá en horas de la mañana, me mandaron hasta el otro batallón, duré todo el día y ahí fue cuando me dijeron que ya había pasado el tiempo, que ya me habían notificado… Mi pregunta fue ¿A dónde me notificaron? No sé, si notificarían a la cárcel, en ningún momento a mí, </w:t>
      </w:r>
      <w:r w:rsidRPr="00A84B64">
        <w:rPr>
          <w:rFonts w:ascii="Verdana" w:hAnsi="Verdana" w:cs="Arial"/>
          <w:bCs/>
          <w:i/>
          <w:iCs/>
          <w:sz w:val="22"/>
          <w:szCs w:val="22"/>
        </w:rPr>
        <w:lastRenderedPageBreak/>
        <w:t>nunca me notificaron, o no creo que diga ahí, que llegó un correo a mi casa o que yo lo firmé, o algún papel que me digan que ya me tenía que acercar a Bogotá. Las veces que yo llamé nunca me dieron respuesta, inclusive, a donde me dijeron que tenía que ir habían cambiado ese sitio en Bogotá a otro batallón”.</w:t>
      </w:r>
    </w:p>
    <w:p w14:paraId="35EC9CC8" w14:textId="77777777" w:rsidR="00A44F17" w:rsidRPr="00A84B64" w:rsidRDefault="00A44F17" w:rsidP="00A44F17">
      <w:pPr>
        <w:spacing w:line="360" w:lineRule="auto"/>
        <w:ind w:right="-79"/>
        <w:jc w:val="both"/>
        <w:rPr>
          <w:rFonts w:ascii="Verdana" w:hAnsi="Verdana" w:cs="Arial"/>
          <w:bCs/>
          <w:i/>
          <w:iCs/>
        </w:rPr>
      </w:pPr>
    </w:p>
    <w:p w14:paraId="723223A8" w14:textId="205E7814" w:rsidR="00E47D07" w:rsidRPr="00A84B64" w:rsidRDefault="00A44F17" w:rsidP="00A44F17">
      <w:pPr>
        <w:spacing w:line="360" w:lineRule="auto"/>
        <w:ind w:right="-79"/>
        <w:jc w:val="both"/>
        <w:rPr>
          <w:rFonts w:ascii="Verdana" w:hAnsi="Verdana" w:cs="Arial"/>
          <w:bCs/>
          <w:sz w:val="22"/>
          <w:szCs w:val="22"/>
        </w:rPr>
      </w:pPr>
      <w:r w:rsidRPr="00A84B64">
        <w:rPr>
          <w:rFonts w:ascii="Verdana" w:hAnsi="Verdana" w:cs="Arial"/>
          <w:bCs/>
          <w:sz w:val="22"/>
          <w:szCs w:val="22"/>
        </w:rPr>
        <w:t>Con</w:t>
      </w:r>
      <w:r w:rsidR="00E7075E" w:rsidRPr="00A84B64">
        <w:rPr>
          <w:rFonts w:ascii="Verdana" w:hAnsi="Verdana" w:cs="Arial"/>
          <w:bCs/>
          <w:sz w:val="22"/>
          <w:szCs w:val="22"/>
        </w:rPr>
        <w:t>forme a lo señalado</w:t>
      </w:r>
      <w:r w:rsidRPr="00A84B64">
        <w:rPr>
          <w:rFonts w:ascii="Verdana" w:hAnsi="Verdana" w:cs="Arial"/>
          <w:bCs/>
          <w:sz w:val="22"/>
          <w:szCs w:val="22"/>
        </w:rPr>
        <w:t xml:space="preserve">, son entendibles las razones por las cuales fue solicitado por la parte demandante y decretado por el a quo el Dictamen Pericial para determinar la calificación de la pérdida de capacidad laboral (PCL) </w:t>
      </w:r>
      <w:r w:rsidR="00FC61D7" w:rsidRPr="00A84B64">
        <w:rPr>
          <w:rFonts w:ascii="Verdana" w:hAnsi="Verdana" w:cs="Arial"/>
          <w:bCs/>
          <w:sz w:val="22"/>
          <w:szCs w:val="22"/>
        </w:rPr>
        <w:t xml:space="preserve">del señor Luis Eduardo Ávila Gaitán </w:t>
      </w:r>
      <w:r w:rsidRPr="00A84B64">
        <w:rPr>
          <w:rFonts w:ascii="Verdana" w:hAnsi="Verdana" w:cs="Arial"/>
          <w:bCs/>
          <w:sz w:val="22"/>
          <w:szCs w:val="22"/>
        </w:rPr>
        <w:t xml:space="preserve">por parte de la </w:t>
      </w:r>
      <w:bookmarkStart w:id="3" w:name="_Hlk93981619"/>
      <w:r w:rsidRPr="00A84B64">
        <w:rPr>
          <w:rFonts w:ascii="Verdana" w:hAnsi="Verdana" w:cs="Arial"/>
          <w:bCs/>
          <w:sz w:val="22"/>
          <w:szCs w:val="22"/>
        </w:rPr>
        <w:t>Junta Regional de Invalidez de Boyacá</w:t>
      </w:r>
      <w:bookmarkEnd w:id="3"/>
      <w:r w:rsidRPr="00A84B64">
        <w:rPr>
          <w:rFonts w:ascii="Verdana" w:hAnsi="Verdana" w:cs="Arial"/>
          <w:bCs/>
          <w:sz w:val="22"/>
          <w:szCs w:val="22"/>
        </w:rPr>
        <w:t>,</w:t>
      </w:r>
      <w:r w:rsidR="00E47D07" w:rsidRPr="00A84B64">
        <w:rPr>
          <w:rFonts w:ascii="Verdana" w:hAnsi="Verdana" w:cs="Arial"/>
          <w:bCs/>
          <w:sz w:val="22"/>
          <w:szCs w:val="22"/>
        </w:rPr>
        <w:t xml:space="preserve"> toda vez que la Dirección de Sanidad del Ejército no tramitó la Junta Médico Laboral </w:t>
      </w:r>
      <w:r w:rsidR="00FC61D7" w:rsidRPr="00A84B64">
        <w:rPr>
          <w:rFonts w:ascii="Verdana" w:hAnsi="Verdana" w:cs="Arial"/>
          <w:bCs/>
          <w:sz w:val="22"/>
          <w:szCs w:val="22"/>
        </w:rPr>
        <w:t>respectiva y no acreditó que esta situación haya ocurrido por abandono del tratamiento por parte del usuario.</w:t>
      </w:r>
    </w:p>
    <w:p w14:paraId="63314D70" w14:textId="7574A809" w:rsidR="00912DAF" w:rsidRPr="00A84B64" w:rsidRDefault="00912DAF" w:rsidP="00A44F17">
      <w:pPr>
        <w:spacing w:line="360" w:lineRule="auto"/>
        <w:ind w:right="-79"/>
        <w:jc w:val="both"/>
        <w:rPr>
          <w:rFonts w:ascii="Verdana" w:hAnsi="Verdana" w:cs="Arial"/>
          <w:bCs/>
          <w:sz w:val="22"/>
          <w:szCs w:val="22"/>
        </w:rPr>
      </w:pPr>
    </w:p>
    <w:p w14:paraId="182C93F8" w14:textId="61EF3A1A" w:rsidR="00015944" w:rsidRPr="00A84B64" w:rsidRDefault="00912DAF" w:rsidP="00015944">
      <w:pPr>
        <w:spacing w:line="360" w:lineRule="auto"/>
        <w:ind w:right="-79"/>
        <w:jc w:val="both"/>
        <w:rPr>
          <w:rFonts w:ascii="Verdana" w:hAnsi="Verdana" w:cs="Arial"/>
          <w:bCs/>
          <w:sz w:val="22"/>
          <w:szCs w:val="22"/>
        </w:rPr>
      </w:pPr>
      <w:r w:rsidRPr="00A84B64">
        <w:rPr>
          <w:rFonts w:ascii="Verdana" w:hAnsi="Verdana" w:cs="Arial"/>
          <w:bCs/>
          <w:sz w:val="22"/>
          <w:szCs w:val="22"/>
        </w:rPr>
        <w:t>De este modo, de conformidad con el Dictamen No. 00665-2017 allegado por la Junta Regional de Invalidez de Boyacá</w:t>
      </w:r>
      <w:r w:rsidR="00015944" w:rsidRPr="00A84B64">
        <w:rPr>
          <w:rFonts w:ascii="Verdana" w:hAnsi="Verdana" w:cs="Arial"/>
          <w:bCs/>
          <w:sz w:val="22"/>
          <w:szCs w:val="22"/>
        </w:rPr>
        <w:t xml:space="preserve">, </w:t>
      </w:r>
      <w:r w:rsidRPr="00A84B64">
        <w:rPr>
          <w:rFonts w:ascii="Verdana" w:hAnsi="Verdana" w:cs="Arial"/>
          <w:bCs/>
          <w:sz w:val="22"/>
          <w:szCs w:val="22"/>
        </w:rPr>
        <w:t>se calific</w:t>
      </w:r>
      <w:r w:rsidR="00015944" w:rsidRPr="00A84B64">
        <w:rPr>
          <w:rFonts w:ascii="Verdana" w:hAnsi="Verdana" w:cs="Arial"/>
          <w:bCs/>
          <w:sz w:val="22"/>
          <w:szCs w:val="22"/>
        </w:rPr>
        <w:t xml:space="preserve">aron las secuelas de trauma de rodilla derecha sufrido el 11 de junio de 2014, de acuerdo con la historia clínica aportada y que reposa en el expediente </w:t>
      </w:r>
      <w:r w:rsidRPr="00A84B64">
        <w:rPr>
          <w:rFonts w:ascii="Verdana" w:hAnsi="Verdana" w:cs="Arial"/>
          <w:bCs/>
          <w:sz w:val="22"/>
          <w:szCs w:val="22"/>
        </w:rPr>
        <w:t xml:space="preserve">y </w:t>
      </w:r>
      <w:r w:rsidR="00015944" w:rsidRPr="00A84B64">
        <w:rPr>
          <w:rFonts w:ascii="Verdana" w:hAnsi="Verdana" w:cs="Arial"/>
          <w:bCs/>
          <w:sz w:val="22"/>
          <w:szCs w:val="22"/>
        </w:rPr>
        <w:t xml:space="preserve">se </w:t>
      </w:r>
      <w:r w:rsidRPr="00A84B64">
        <w:rPr>
          <w:rFonts w:ascii="Verdana" w:hAnsi="Verdana" w:cs="Arial"/>
          <w:bCs/>
          <w:sz w:val="22"/>
          <w:szCs w:val="22"/>
        </w:rPr>
        <w:t xml:space="preserve">decretó </w:t>
      </w:r>
      <w:bookmarkStart w:id="4" w:name="_Hlk93988658"/>
      <w:r w:rsidRPr="00A84B64">
        <w:rPr>
          <w:rFonts w:ascii="Verdana" w:hAnsi="Verdana" w:cs="Arial"/>
          <w:bCs/>
          <w:sz w:val="22"/>
          <w:szCs w:val="22"/>
        </w:rPr>
        <w:t xml:space="preserve">una </w:t>
      </w:r>
      <w:r w:rsidR="00015944" w:rsidRPr="00A84B64">
        <w:rPr>
          <w:rFonts w:ascii="Verdana" w:hAnsi="Verdana" w:cs="Arial"/>
          <w:bCs/>
          <w:sz w:val="22"/>
          <w:szCs w:val="22"/>
        </w:rPr>
        <w:t>d</w:t>
      </w:r>
      <w:r w:rsidRPr="00A84B64">
        <w:rPr>
          <w:rFonts w:ascii="Verdana" w:hAnsi="Verdana" w:cs="Arial"/>
          <w:bCs/>
          <w:sz w:val="22"/>
          <w:szCs w:val="22"/>
        </w:rPr>
        <w:t>isminución total de la capacidad laboral del señor Luis Eduardo Ávila Gaitán en 28.25%</w:t>
      </w:r>
      <w:bookmarkEnd w:id="4"/>
      <w:r w:rsidR="00015944" w:rsidRPr="00A84B64">
        <w:rPr>
          <w:rFonts w:ascii="Verdana" w:hAnsi="Verdana" w:cs="Arial"/>
          <w:bCs/>
          <w:sz w:val="22"/>
          <w:szCs w:val="22"/>
        </w:rPr>
        <w:t xml:space="preserve"> </w:t>
      </w:r>
      <w:r w:rsidR="00C1457A" w:rsidRPr="00A84B64">
        <w:rPr>
          <w:rFonts w:ascii="Verdana" w:hAnsi="Verdana" w:cs="Arial"/>
          <w:bCs/>
          <w:sz w:val="22"/>
          <w:szCs w:val="22"/>
        </w:rPr>
        <w:t xml:space="preserve">con fecha de estructuración 01/06/2015 </w:t>
      </w:r>
      <w:r w:rsidR="00015944" w:rsidRPr="00A84B64">
        <w:rPr>
          <w:rFonts w:ascii="Verdana" w:hAnsi="Verdana" w:cs="Arial"/>
          <w:bCs/>
          <w:sz w:val="22"/>
          <w:szCs w:val="22"/>
        </w:rPr>
        <w:t>(</w:t>
      </w:r>
      <w:proofErr w:type="spellStart"/>
      <w:r w:rsidR="00015944" w:rsidRPr="00A84B64">
        <w:rPr>
          <w:rFonts w:ascii="Verdana" w:hAnsi="Verdana" w:cs="Arial"/>
          <w:bCs/>
          <w:sz w:val="22"/>
          <w:szCs w:val="22"/>
        </w:rPr>
        <w:t>fls</w:t>
      </w:r>
      <w:proofErr w:type="spellEnd"/>
      <w:r w:rsidR="00015944" w:rsidRPr="00A84B64">
        <w:rPr>
          <w:rFonts w:ascii="Verdana" w:hAnsi="Verdana" w:cs="Arial"/>
          <w:bCs/>
          <w:sz w:val="22"/>
          <w:szCs w:val="22"/>
        </w:rPr>
        <w:t>. 817 a 821).</w:t>
      </w:r>
    </w:p>
    <w:p w14:paraId="2BE7AE2B" w14:textId="52344D81" w:rsidR="006F5C03" w:rsidRPr="00A84B64" w:rsidRDefault="006F5C03" w:rsidP="00A44F17">
      <w:pPr>
        <w:spacing w:line="360" w:lineRule="auto"/>
        <w:ind w:right="-79"/>
        <w:jc w:val="both"/>
        <w:rPr>
          <w:rFonts w:ascii="Verdana" w:hAnsi="Verdana" w:cs="Arial"/>
          <w:bCs/>
          <w:sz w:val="22"/>
          <w:szCs w:val="22"/>
        </w:rPr>
      </w:pPr>
    </w:p>
    <w:p w14:paraId="7653305A" w14:textId="59175C71" w:rsidR="00E928AA" w:rsidRPr="00A84B64" w:rsidRDefault="00E928AA" w:rsidP="00A44F17">
      <w:pPr>
        <w:spacing w:line="360" w:lineRule="auto"/>
        <w:ind w:right="-79"/>
        <w:jc w:val="both"/>
        <w:rPr>
          <w:rFonts w:ascii="Verdana" w:hAnsi="Verdana" w:cs="Arial"/>
          <w:bCs/>
          <w:sz w:val="22"/>
          <w:szCs w:val="22"/>
        </w:rPr>
      </w:pPr>
      <w:r w:rsidRPr="00A84B64">
        <w:rPr>
          <w:rFonts w:ascii="Verdana" w:hAnsi="Verdana" w:cs="Arial"/>
          <w:bCs/>
          <w:sz w:val="22"/>
          <w:szCs w:val="22"/>
        </w:rPr>
        <w:t>A</w:t>
      </w:r>
      <w:r w:rsidR="006F112B" w:rsidRPr="00A84B64">
        <w:rPr>
          <w:rFonts w:ascii="Verdana" w:hAnsi="Verdana" w:cs="Arial"/>
          <w:bCs/>
          <w:sz w:val="22"/>
          <w:szCs w:val="22"/>
        </w:rPr>
        <w:t xml:space="preserve">hora bien, </w:t>
      </w:r>
      <w:r w:rsidR="00AF3458" w:rsidRPr="00A84B64">
        <w:rPr>
          <w:rFonts w:ascii="Verdana" w:hAnsi="Verdana" w:cs="Arial"/>
          <w:bCs/>
          <w:sz w:val="22"/>
          <w:szCs w:val="22"/>
        </w:rPr>
        <w:t xml:space="preserve">en el recurso de apelación </w:t>
      </w:r>
      <w:r w:rsidR="006F112B" w:rsidRPr="00A84B64">
        <w:rPr>
          <w:rFonts w:ascii="Verdana" w:hAnsi="Verdana" w:cs="Arial"/>
          <w:bCs/>
          <w:sz w:val="22"/>
          <w:szCs w:val="22"/>
        </w:rPr>
        <w:t>el apoderado del INPEC señaló que se difiere de la calificación (porcentaje de pérdida de capacidad laboral)</w:t>
      </w:r>
      <w:r w:rsidR="00DE543D" w:rsidRPr="00A84B64">
        <w:rPr>
          <w:rFonts w:ascii="Verdana" w:hAnsi="Verdana" w:cs="Arial"/>
          <w:bCs/>
          <w:sz w:val="22"/>
          <w:szCs w:val="22"/>
        </w:rPr>
        <w:t xml:space="preserve"> establecida en el dictamen proferido por la Junta Regional de Invalidez de Boyacá, pues el dictamen se basó en la historia clínica del paciente y en lo que él adujo sentir, no obstante, señaló que de algunas valoraciones efectuadas por </w:t>
      </w:r>
      <w:r w:rsidR="005663A3" w:rsidRPr="00A84B64">
        <w:rPr>
          <w:rFonts w:ascii="Verdana" w:hAnsi="Verdana" w:cs="Arial"/>
          <w:bCs/>
          <w:sz w:val="22"/>
          <w:szCs w:val="22"/>
        </w:rPr>
        <w:t xml:space="preserve">la especialidad de </w:t>
      </w:r>
      <w:r w:rsidR="00DE543D" w:rsidRPr="00A84B64">
        <w:rPr>
          <w:rFonts w:ascii="Verdana" w:hAnsi="Verdana" w:cs="Arial"/>
          <w:bCs/>
          <w:sz w:val="22"/>
          <w:szCs w:val="22"/>
        </w:rPr>
        <w:t xml:space="preserve">ortopedia, se podía concluir que de existir algún tipo de secuela, esta era reciente </w:t>
      </w:r>
      <w:r w:rsidR="002725B4" w:rsidRPr="00A84B64">
        <w:rPr>
          <w:rFonts w:ascii="Verdana" w:hAnsi="Verdana" w:cs="Arial"/>
          <w:bCs/>
          <w:sz w:val="22"/>
          <w:szCs w:val="22"/>
        </w:rPr>
        <w:t>y distinta a la sufrida y tratada con éxito en el año 2014.</w:t>
      </w:r>
    </w:p>
    <w:p w14:paraId="0CE6EF32" w14:textId="7F0583B3" w:rsidR="0005199A" w:rsidRPr="00A84B64" w:rsidRDefault="0005199A" w:rsidP="00A44F17">
      <w:pPr>
        <w:spacing w:line="360" w:lineRule="auto"/>
        <w:ind w:right="-79"/>
        <w:jc w:val="both"/>
        <w:rPr>
          <w:rFonts w:ascii="Verdana" w:hAnsi="Verdana" w:cs="Arial"/>
          <w:bCs/>
          <w:sz w:val="22"/>
          <w:szCs w:val="22"/>
        </w:rPr>
      </w:pPr>
    </w:p>
    <w:p w14:paraId="2E97A3CA" w14:textId="7536C1FE" w:rsidR="002725B4" w:rsidRPr="00A84B64" w:rsidRDefault="00D72BE8" w:rsidP="00A44F17">
      <w:pPr>
        <w:spacing w:line="360" w:lineRule="auto"/>
        <w:ind w:right="-79"/>
        <w:jc w:val="both"/>
        <w:rPr>
          <w:rFonts w:ascii="Verdana" w:hAnsi="Verdana" w:cs="Arial"/>
          <w:bCs/>
          <w:sz w:val="22"/>
          <w:szCs w:val="22"/>
        </w:rPr>
      </w:pPr>
      <w:r w:rsidRPr="00A84B64">
        <w:rPr>
          <w:rFonts w:ascii="Verdana" w:hAnsi="Verdana" w:cs="Arial"/>
          <w:bCs/>
          <w:sz w:val="22"/>
          <w:szCs w:val="22"/>
        </w:rPr>
        <w:t>La sustentación del dictamen de la Junta Regional de Invalidez de Boyacá se realizó con ponencia del doctor José Daniel González Luque, tal como consta en el acta de la audiencia de pruebas desarrollada el 10 de septiembre de 2018 (</w:t>
      </w:r>
      <w:proofErr w:type="spellStart"/>
      <w:r w:rsidRPr="00A84B64">
        <w:rPr>
          <w:rFonts w:ascii="Verdana" w:hAnsi="Verdana" w:cs="Arial"/>
          <w:bCs/>
          <w:sz w:val="22"/>
          <w:szCs w:val="22"/>
        </w:rPr>
        <w:t>fls</w:t>
      </w:r>
      <w:proofErr w:type="spellEnd"/>
      <w:r w:rsidRPr="00A84B64">
        <w:rPr>
          <w:rFonts w:ascii="Verdana" w:hAnsi="Verdana" w:cs="Arial"/>
          <w:bCs/>
          <w:sz w:val="22"/>
          <w:szCs w:val="22"/>
        </w:rPr>
        <w:t>. 853 a 858)</w:t>
      </w:r>
      <w:r w:rsidR="00FA5D8E" w:rsidRPr="00A84B64">
        <w:rPr>
          <w:rFonts w:ascii="Verdana" w:hAnsi="Verdana" w:cs="Arial"/>
          <w:bCs/>
          <w:sz w:val="22"/>
          <w:szCs w:val="22"/>
        </w:rPr>
        <w:t>.</w:t>
      </w:r>
      <w:r w:rsidRPr="00A84B64">
        <w:rPr>
          <w:rFonts w:ascii="Verdana" w:hAnsi="Verdana" w:cs="Arial"/>
          <w:bCs/>
          <w:sz w:val="22"/>
          <w:szCs w:val="22"/>
        </w:rPr>
        <w:t xml:space="preserve"> </w:t>
      </w:r>
      <w:r w:rsidR="00FA5D8E" w:rsidRPr="00A84B64">
        <w:rPr>
          <w:rFonts w:ascii="Verdana" w:hAnsi="Verdana" w:cs="Arial"/>
          <w:bCs/>
          <w:sz w:val="22"/>
          <w:szCs w:val="22"/>
        </w:rPr>
        <w:t>E</w:t>
      </w:r>
      <w:r w:rsidRPr="00A84B64">
        <w:rPr>
          <w:rFonts w:ascii="Verdana" w:hAnsi="Verdana" w:cs="Arial"/>
          <w:bCs/>
          <w:sz w:val="22"/>
          <w:szCs w:val="22"/>
        </w:rPr>
        <w:t>n esta diligencia, se llevó a cabo la contradicción del dictamen pericial, siendo interrogado el perito por el apoderado del INPEC</w:t>
      </w:r>
      <w:r w:rsidR="00FA5D8E" w:rsidRPr="00A84B64">
        <w:rPr>
          <w:rFonts w:ascii="Verdana" w:hAnsi="Verdana" w:cs="Arial"/>
          <w:bCs/>
          <w:sz w:val="22"/>
          <w:szCs w:val="22"/>
        </w:rPr>
        <w:t xml:space="preserve"> y se dejó constancia</w:t>
      </w:r>
      <w:r w:rsidRPr="00A84B64">
        <w:rPr>
          <w:rFonts w:ascii="Verdana" w:hAnsi="Verdana" w:cs="Arial"/>
          <w:bCs/>
          <w:sz w:val="22"/>
          <w:szCs w:val="22"/>
        </w:rPr>
        <w:t xml:space="preserve"> </w:t>
      </w:r>
      <w:r w:rsidR="00FA5D8E" w:rsidRPr="00A84B64">
        <w:rPr>
          <w:rFonts w:ascii="Verdana" w:hAnsi="Verdana" w:cs="Arial"/>
          <w:bCs/>
          <w:sz w:val="22"/>
          <w:szCs w:val="22"/>
        </w:rPr>
        <w:t xml:space="preserve">que </w:t>
      </w:r>
      <w:r w:rsidR="00FA5D8E" w:rsidRPr="00A84B64">
        <w:rPr>
          <w:rFonts w:ascii="Verdana" w:hAnsi="Verdana" w:cs="Arial"/>
          <w:b/>
          <w:sz w:val="22"/>
          <w:szCs w:val="22"/>
        </w:rPr>
        <w:t>ninguna de las partes propuso objeción por error grave al dictamen de la Junta Regional de Invalidez de Boyacá</w:t>
      </w:r>
      <w:r w:rsidR="00FA5D8E" w:rsidRPr="00A84B64">
        <w:rPr>
          <w:rFonts w:ascii="Verdana" w:hAnsi="Verdana" w:cs="Arial"/>
          <w:bCs/>
          <w:sz w:val="22"/>
          <w:szCs w:val="22"/>
        </w:rPr>
        <w:t>. Seguidamente interrogó al ponente</w:t>
      </w:r>
      <w:r w:rsidRPr="00A84B64">
        <w:rPr>
          <w:rFonts w:ascii="Verdana" w:hAnsi="Verdana" w:cs="Arial"/>
          <w:bCs/>
          <w:sz w:val="22"/>
          <w:szCs w:val="22"/>
        </w:rPr>
        <w:t xml:space="preserve"> la juez de primera instancia, quien dejó constancia que no tenía más preguntas como quiera que </w:t>
      </w:r>
      <w:r w:rsidRPr="00A84B64">
        <w:rPr>
          <w:rFonts w:ascii="Verdana" w:hAnsi="Verdana" w:cs="Arial"/>
          <w:b/>
          <w:sz w:val="22"/>
          <w:szCs w:val="22"/>
        </w:rPr>
        <w:t>no se propuso tacha del dictamen</w:t>
      </w:r>
      <w:r w:rsidRPr="00A84B64">
        <w:rPr>
          <w:rFonts w:ascii="Verdana" w:hAnsi="Verdana" w:cs="Arial"/>
          <w:bCs/>
          <w:sz w:val="22"/>
          <w:szCs w:val="22"/>
        </w:rPr>
        <w:t xml:space="preserve"> (</w:t>
      </w:r>
      <w:proofErr w:type="spellStart"/>
      <w:r w:rsidRPr="00A84B64">
        <w:rPr>
          <w:rFonts w:ascii="Verdana" w:hAnsi="Verdana" w:cs="Arial"/>
          <w:bCs/>
          <w:sz w:val="22"/>
          <w:szCs w:val="22"/>
        </w:rPr>
        <w:t>fl</w:t>
      </w:r>
      <w:proofErr w:type="spellEnd"/>
      <w:r w:rsidRPr="00A84B64">
        <w:rPr>
          <w:rFonts w:ascii="Verdana" w:hAnsi="Verdana" w:cs="Arial"/>
          <w:bCs/>
          <w:sz w:val="22"/>
          <w:szCs w:val="22"/>
        </w:rPr>
        <w:t>. 857).</w:t>
      </w:r>
      <w:r w:rsidR="0005199A" w:rsidRPr="00A84B64">
        <w:rPr>
          <w:rFonts w:ascii="Verdana" w:hAnsi="Verdana" w:cs="Arial"/>
          <w:bCs/>
          <w:sz w:val="22"/>
          <w:szCs w:val="22"/>
        </w:rPr>
        <w:t xml:space="preserve"> De lo sucedido en la diligencia, se destaca lo siguiente:</w:t>
      </w:r>
    </w:p>
    <w:p w14:paraId="38C5378B" w14:textId="35DEB7DC" w:rsidR="0005199A" w:rsidRPr="00A84B64" w:rsidRDefault="0005199A" w:rsidP="00A44F17">
      <w:pPr>
        <w:spacing w:line="360" w:lineRule="auto"/>
        <w:ind w:right="-79"/>
        <w:jc w:val="both"/>
        <w:rPr>
          <w:rFonts w:ascii="Verdana" w:hAnsi="Verdana" w:cs="Arial"/>
          <w:bCs/>
          <w:sz w:val="22"/>
          <w:szCs w:val="22"/>
        </w:rPr>
      </w:pPr>
    </w:p>
    <w:p w14:paraId="0C009B98" w14:textId="1A53F899" w:rsidR="00BA0B76" w:rsidRPr="00A84B64" w:rsidRDefault="00254962" w:rsidP="00833098">
      <w:pPr>
        <w:pStyle w:val="Prrafodelista"/>
        <w:spacing w:line="276" w:lineRule="auto"/>
        <w:ind w:right="-79"/>
        <w:jc w:val="both"/>
        <w:rPr>
          <w:rFonts w:ascii="Verdana" w:hAnsi="Verdana" w:cs="Arial"/>
          <w:bCs/>
          <w:i/>
          <w:sz w:val="22"/>
          <w:szCs w:val="22"/>
          <w:lang w:val="es-ES_tradnl"/>
        </w:rPr>
      </w:pPr>
      <w:r w:rsidRPr="00A84B64">
        <w:rPr>
          <w:rFonts w:ascii="Verdana" w:hAnsi="Verdana" w:cs="Arial"/>
          <w:bCs/>
          <w:sz w:val="22"/>
          <w:szCs w:val="22"/>
          <w:lang w:val="es-ES_tradnl"/>
        </w:rPr>
        <w:t xml:space="preserve">Intervención del médico ponente </w:t>
      </w:r>
      <w:r w:rsidR="00BA0B76" w:rsidRPr="00A84B64">
        <w:rPr>
          <w:rFonts w:ascii="Verdana" w:hAnsi="Verdana" w:cs="Arial"/>
          <w:bCs/>
          <w:sz w:val="22"/>
          <w:szCs w:val="22"/>
          <w:lang w:val="es-ES_tradnl"/>
        </w:rPr>
        <w:t>Minuto 43:00</w:t>
      </w:r>
      <w:r w:rsidRPr="00A84B64">
        <w:rPr>
          <w:rFonts w:ascii="Verdana" w:hAnsi="Verdana" w:cs="Arial"/>
          <w:bCs/>
          <w:sz w:val="22"/>
          <w:szCs w:val="22"/>
          <w:lang w:val="es-ES_tradnl"/>
        </w:rPr>
        <w:t xml:space="preserve"> (C.D. </w:t>
      </w:r>
      <w:proofErr w:type="spellStart"/>
      <w:r w:rsidRPr="00A84B64">
        <w:rPr>
          <w:rFonts w:ascii="Verdana" w:hAnsi="Verdana" w:cs="Arial"/>
          <w:bCs/>
          <w:sz w:val="22"/>
          <w:szCs w:val="22"/>
          <w:lang w:val="es-ES_tradnl"/>
        </w:rPr>
        <w:t>fl</w:t>
      </w:r>
      <w:proofErr w:type="spellEnd"/>
      <w:r w:rsidRPr="00A84B64">
        <w:rPr>
          <w:rFonts w:ascii="Verdana" w:hAnsi="Verdana" w:cs="Arial"/>
          <w:bCs/>
          <w:sz w:val="22"/>
          <w:szCs w:val="22"/>
          <w:lang w:val="es-ES_tradnl"/>
        </w:rPr>
        <w:t>. 853)</w:t>
      </w:r>
      <w:r w:rsidR="00BA0B76" w:rsidRPr="00A84B64">
        <w:rPr>
          <w:rFonts w:ascii="Verdana" w:hAnsi="Verdana" w:cs="Arial"/>
          <w:bCs/>
          <w:sz w:val="22"/>
          <w:szCs w:val="22"/>
          <w:lang w:val="es-ES_tradnl"/>
        </w:rPr>
        <w:t xml:space="preserve">: </w:t>
      </w:r>
      <w:r w:rsidR="00BA0B76" w:rsidRPr="00A84B64">
        <w:rPr>
          <w:rFonts w:ascii="Verdana" w:hAnsi="Verdana" w:cs="Arial"/>
          <w:bCs/>
          <w:i/>
          <w:sz w:val="22"/>
          <w:szCs w:val="22"/>
          <w:lang w:val="es-ES_tradnl"/>
        </w:rPr>
        <w:t xml:space="preserve">Es una rodilla ya manipulada quirúrgicamente en donde puede generar una artrosis y puede generar limitaciones en los arcos de movimiento a largo o mediano plazo,  entonces el </w:t>
      </w:r>
      <w:proofErr w:type="spellStart"/>
      <w:r w:rsidR="00BA0B76" w:rsidRPr="00A84B64">
        <w:rPr>
          <w:rFonts w:ascii="Verdana" w:hAnsi="Verdana" w:cs="Arial"/>
          <w:bCs/>
          <w:i/>
          <w:sz w:val="22"/>
          <w:szCs w:val="22"/>
          <w:lang w:val="es-ES_tradnl"/>
        </w:rPr>
        <w:t>peritazgo</w:t>
      </w:r>
      <w:proofErr w:type="spellEnd"/>
      <w:r w:rsidR="00BA0B76" w:rsidRPr="00A84B64">
        <w:rPr>
          <w:rFonts w:ascii="Verdana" w:hAnsi="Verdana" w:cs="Arial"/>
          <w:bCs/>
          <w:i/>
          <w:sz w:val="22"/>
          <w:szCs w:val="22"/>
          <w:lang w:val="es-ES_tradnl"/>
        </w:rPr>
        <w:t xml:space="preserve"> exige una valoración por los integrantes de la Junta y encontramos limitación en los arcos de movimiento, así como lo mide exactamente la fisioterapeuta…</w:t>
      </w:r>
      <w:r w:rsidR="00BA0B76" w:rsidRPr="00A84B64">
        <w:rPr>
          <w:rFonts w:ascii="Verdana" w:hAnsi="Verdana" w:cs="Arial"/>
          <w:b/>
          <w:bCs/>
          <w:i/>
          <w:sz w:val="22"/>
          <w:szCs w:val="22"/>
          <w:lang w:val="es-ES_tradnl"/>
        </w:rPr>
        <w:t>Si encontramos limitación en los arcos de movilidad y por eso le calificamos, si hubiera sido sin limitación en los arcos de movimiento no hubiera índices de lesión</w:t>
      </w:r>
      <w:r w:rsidR="00BA0B76" w:rsidRPr="00A84B64">
        <w:rPr>
          <w:rFonts w:ascii="Verdana" w:hAnsi="Verdana" w:cs="Arial"/>
          <w:bCs/>
          <w:i/>
          <w:sz w:val="22"/>
          <w:szCs w:val="22"/>
          <w:lang w:val="es-ES_tradnl"/>
        </w:rPr>
        <w:t>.</w:t>
      </w:r>
    </w:p>
    <w:p w14:paraId="0E5DC9B3" w14:textId="77777777" w:rsidR="00BA0B76" w:rsidRPr="00A84B64" w:rsidRDefault="00BA0B76" w:rsidP="00833098">
      <w:pPr>
        <w:pStyle w:val="Prrafodelista"/>
        <w:spacing w:line="276" w:lineRule="auto"/>
        <w:ind w:right="-79"/>
        <w:jc w:val="both"/>
        <w:rPr>
          <w:rFonts w:ascii="Verdana" w:hAnsi="Verdana" w:cs="Arial"/>
          <w:bCs/>
          <w:i/>
          <w:sz w:val="22"/>
          <w:szCs w:val="22"/>
          <w:lang w:val="es-ES_tradnl"/>
        </w:rPr>
      </w:pPr>
    </w:p>
    <w:p w14:paraId="3F0F8356" w14:textId="290AE6FD" w:rsidR="00BA0B76" w:rsidRPr="00A84B64" w:rsidRDefault="00254962" w:rsidP="00833098">
      <w:pPr>
        <w:pStyle w:val="Prrafodelista"/>
        <w:spacing w:line="276" w:lineRule="auto"/>
        <w:ind w:right="-79"/>
        <w:jc w:val="both"/>
        <w:rPr>
          <w:rFonts w:ascii="Verdana" w:hAnsi="Verdana" w:cs="Arial"/>
          <w:bCs/>
          <w:i/>
          <w:sz w:val="22"/>
          <w:szCs w:val="22"/>
          <w:lang w:val="es-ES_tradnl"/>
        </w:rPr>
      </w:pPr>
      <w:r w:rsidRPr="00A84B64">
        <w:rPr>
          <w:rFonts w:ascii="Verdana" w:hAnsi="Verdana" w:cs="Arial"/>
          <w:bCs/>
          <w:iCs/>
          <w:sz w:val="22"/>
          <w:szCs w:val="22"/>
          <w:lang w:val="es-ES_tradnl"/>
        </w:rPr>
        <w:t>Seguidamente pregunta el apoderado del INPEC</w:t>
      </w:r>
      <w:r w:rsidR="00BA0B76" w:rsidRPr="00A84B64">
        <w:rPr>
          <w:rFonts w:ascii="Verdana" w:hAnsi="Verdana" w:cs="Arial"/>
          <w:bCs/>
          <w:iCs/>
          <w:sz w:val="22"/>
          <w:szCs w:val="22"/>
          <w:lang w:val="es-ES_tradnl"/>
        </w:rPr>
        <w:t>:</w:t>
      </w:r>
      <w:r w:rsidR="00BA0B76" w:rsidRPr="00A84B64">
        <w:rPr>
          <w:rFonts w:ascii="Verdana" w:hAnsi="Verdana" w:cs="Arial"/>
          <w:bCs/>
          <w:i/>
          <w:sz w:val="22"/>
          <w:szCs w:val="22"/>
          <w:lang w:val="es-ES_tradnl"/>
        </w:rPr>
        <w:t xml:space="preserve"> ¿De acuerdo con lo que usted nos acaba de indicar obedece con certeza a que las limitaciones que tenía el paciente al momento de la valoración son a causa de la lesión que sufrió en el 2014?</w:t>
      </w:r>
      <w:r w:rsidRPr="00A84B64">
        <w:rPr>
          <w:rFonts w:ascii="Verdana" w:hAnsi="Verdana" w:cs="Arial"/>
          <w:bCs/>
          <w:i/>
          <w:sz w:val="22"/>
          <w:szCs w:val="22"/>
          <w:lang w:val="es-ES_tradnl"/>
        </w:rPr>
        <w:t xml:space="preserve"> </w:t>
      </w:r>
    </w:p>
    <w:p w14:paraId="0D04364A" w14:textId="77777777" w:rsidR="00254962" w:rsidRPr="00A84B64" w:rsidRDefault="00254962" w:rsidP="00833098">
      <w:pPr>
        <w:pStyle w:val="Prrafodelista"/>
        <w:spacing w:line="276" w:lineRule="auto"/>
        <w:ind w:right="-79"/>
        <w:jc w:val="both"/>
        <w:rPr>
          <w:rFonts w:ascii="Verdana" w:hAnsi="Verdana" w:cs="Arial"/>
          <w:bCs/>
          <w:i/>
          <w:sz w:val="22"/>
          <w:szCs w:val="22"/>
          <w:lang w:val="es-ES_tradnl"/>
        </w:rPr>
      </w:pPr>
    </w:p>
    <w:p w14:paraId="512E53A2" w14:textId="3FCD7702" w:rsidR="00BA0B76" w:rsidRPr="00A84B64" w:rsidRDefault="00254962" w:rsidP="00833098">
      <w:pPr>
        <w:pStyle w:val="Prrafodelista"/>
        <w:spacing w:line="276" w:lineRule="auto"/>
        <w:ind w:right="-79"/>
        <w:jc w:val="both"/>
        <w:rPr>
          <w:rFonts w:ascii="Verdana" w:hAnsi="Verdana" w:cs="Arial"/>
          <w:bCs/>
          <w:i/>
          <w:sz w:val="22"/>
          <w:szCs w:val="22"/>
          <w:lang w:val="es-ES_tradnl"/>
        </w:rPr>
      </w:pPr>
      <w:r w:rsidRPr="00A84B64">
        <w:rPr>
          <w:rFonts w:ascii="Verdana" w:hAnsi="Verdana" w:cs="Arial"/>
          <w:bCs/>
          <w:iCs/>
          <w:sz w:val="22"/>
          <w:szCs w:val="22"/>
          <w:lang w:val="es-ES_tradnl"/>
        </w:rPr>
        <w:t xml:space="preserve">Respuesta del ponente a </w:t>
      </w:r>
      <w:r w:rsidR="00BA0B76" w:rsidRPr="00A84B64">
        <w:rPr>
          <w:rFonts w:ascii="Verdana" w:hAnsi="Verdana" w:cs="Arial"/>
          <w:bCs/>
          <w:iCs/>
          <w:sz w:val="22"/>
          <w:szCs w:val="22"/>
          <w:lang w:val="es-ES_tradnl"/>
        </w:rPr>
        <w:t>Minuto 44:15</w:t>
      </w:r>
      <w:r w:rsidR="00BA0B76" w:rsidRPr="00A84B64">
        <w:rPr>
          <w:rFonts w:ascii="Verdana" w:hAnsi="Verdana" w:cs="Arial"/>
          <w:bCs/>
          <w:i/>
          <w:sz w:val="22"/>
          <w:szCs w:val="22"/>
          <w:lang w:val="es-ES_tradnl"/>
        </w:rPr>
        <w:t>:</w:t>
      </w:r>
      <w:r w:rsidRPr="00A84B64">
        <w:rPr>
          <w:rFonts w:ascii="Verdana" w:hAnsi="Verdana" w:cs="Arial"/>
          <w:bCs/>
          <w:i/>
          <w:sz w:val="22"/>
          <w:szCs w:val="22"/>
          <w:lang w:val="es-ES_tradnl"/>
        </w:rPr>
        <w:t xml:space="preserve"> </w:t>
      </w:r>
      <w:r w:rsidR="00BA0B76" w:rsidRPr="00A84B64">
        <w:rPr>
          <w:rFonts w:ascii="Verdana" w:hAnsi="Verdana" w:cs="Arial"/>
          <w:bCs/>
          <w:i/>
          <w:sz w:val="22"/>
          <w:szCs w:val="22"/>
          <w:lang w:val="es-ES_tradnl"/>
        </w:rPr>
        <w:t xml:space="preserve">Pues tenemos todos los antecedentes en la historia clínica, consignados </w:t>
      </w:r>
      <w:r w:rsidR="00BA0B76" w:rsidRPr="00A84B64">
        <w:rPr>
          <w:rFonts w:ascii="Verdana" w:hAnsi="Verdana" w:cs="Arial"/>
          <w:b/>
          <w:bCs/>
          <w:i/>
          <w:sz w:val="22"/>
          <w:szCs w:val="22"/>
          <w:lang w:val="es-ES_tradnl"/>
        </w:rPr>
        <w:t>así como leí algunas partes, fue una lesión de una rodilla intervenida quirúrgicamente se espera que si lo tenga, por supuesto</w:t>
      </w:r>
      <w:r w:rsidR="00BA0B76" w:rsidRPr="00A84B64">
        <w:rPr>
          <w:rFonts w:ascii="Verdana" w:hAnsi="Verdana" w:cs="Arial"/>
          <w:bCs/>
          <w:i/>
          <w:sz w:val="22"/>
          <w:szCs w:val="22"/>
          <w:lang w:val="es-ES_tradnl"/>
        </w:rPr>
        <w:t>…Cuestionarme no es mi función, nos soportamos en la historia clínica que es nuestro fundamento esencial para proceder a la calificación de una pérdida de capacidad laboral, entonces damos por buena fe lo consignado por la especialidad médica y no lo dudamos, por supuesto que no lo dudamos.</w:t>
      </w:r>
    </w:p>
    <w:p w14:paraId="485B6D08" w14:textId="7672958F" w:rsidR="008D04BC" w:rsidRPr="00A84B64" w:rsidRDefault="008D04BC" w:rsidP="00833098">
      <w:pPr>
        <w:pStyle w:val="Prrafodelista"/>
        <w:spacing w:line="276" w:lineRule="auto"/>
        <w:ind w:right="-79"/>
        <w:jc w:val="both"/>
        <w:rPr>
          <w:rFonts w:ascii="Verdana" w:hAnsi="Verdana" w:cs="Arial"/>
          <w:bCs/>
          <w:i/>
          <w:sz w:val="22"/>
          <w:szCs w:val="22"/>
          <w:lang w:val="es-ES_tradnl"/>
        </w:rPr>
      </w:pPr>
    </w:p>
    <w:p w14:paraId="24E07DFF" w14:textId="2226FFF5" w:rsidR="008D04BC" w:rsidRPr="00A84B64" w:rsidRDefault="008D04BC" w:rsidP="00833098">
      <w:pPr>
        <w:pStyle w:val="Prrafodelista"/>
        <w:spacing w:line="276" w:lineRule="auto"/>
        <w:ind w:right="-79"/>
        <w:jc w:val="both"/>
        <w:rPr>
          <w:rFonts w:ascii="Verdana" w:hAnsi="Verdana" w:cs="Arial"/>
          <w:bCs/>
          <w:i/>
          <w:sz w:val="22"/>
          <w:szCs w:val="22"/>
          <w:lang w:val="es-ES_tradnl"/>
        </w:rPr>
      </w:pPr>
      <w:r w:rsidRPr="00A84B64">
        <w:rPr>
          <w:rFonts w:ascii="Verdana" w:hAnsi="Verdana" w:cs="Arial"/>
          <w:bCs/>
          <w:iCs/>
          <w:sz w:val="22"/>
          <w:szCs w:val="22"/>
          <w:lang w:val="es-ES_tradnl"/>
        </w:rPr>
        <w:t>Respecto a las secuelas del trastorno depresivo a Minuto 51:52 el ponente sostuvo:</w:t>
      </w:r>
      <w:r w:rsidRPr="00A84B64">
        <w:rPr>
          <w:rFonts w:ascii="Verdana" w:hAnsi="Verdana" w:cs="Arial"/>
          <w:bCs/>
          <w:i/>
          <w:sz w:val="22"/>
          <w:szCs w:val="22"/>
          <w:lang w:val="es-ES_tradnl"/>
        </w:rPr>
        <w:t xml:space="preserve"> Valorando esta consulta de psiquiatría </w:t>
      </w:r>
      <w:r w:rsidRPr="00A84B64">
        <w:rPr>
          <w:rFonts w:ascii="Verdana" w:hAnsi="Verdana" w:cs="Arial"/>
          <w:bCs/>
          <w:iCs/>
          <w:sz w:val="22"/>
          <w:szCs w:val="22"/>
          <w:lang w:val="es-ES_tradnl"/>
        </w:rPr>
        <w:t xml:space="preserve">(la del 29 de </w:t>
      </w:r>
      <w:proofErr w:type="gramStart"/>
      <w:r w:rsidRPr="00A84B64">
        <w:rPr>
          <w:rFonts w:ascii="Verdana" w:hAnsi="Verdana" w:cs="Arial"/>
          <w:bCs/>
          <w:iCs/>
          <w:sz w:val="22"/>
          <w:szCs w:val="22"/>
          <w:lang w:val="es-ES_tradnl"/>
        </w:rPr>
        <w:t>Junio</w:t>
      </w:r>
      <w:proofErr w:type="gramEnd"/>
      <w:r w:rsidRPr="00A84B64">
        <w:rPr>
          <w:rFonts w:ascii="Verdana" w:hAnsi="Verdana" w:cs="Arial"/>
          <w:bCs/>
          <w:iCs/>
          <w:sz w:val="22"/>
          <w:szCs w:val="22"/>
          <w:lang w:val="es-ES_tradnl"/>
        </w:rPr>
        <w:t xml:space="preserve"> de 2016)</w:t>
      </w:r>
      <w:r w:rsidRPr="00A84B64">
        <w:rPr>
          <w:rFonts w:ascii="Verdana" w:hAnsi="Verdana" w:cs="Arial"/>
          <w:bCs/>
          <w:i/>
          <w:sz w:val="22"/>
          <w:szCs w:val="22"/>
          <w:lang w:val="es-ES_tradnl"/>
        </w:rPr>
        <w:t xml:space="preserve"> podemos observar que su estado depresivo se debe a las lesiones, a las limitaciones tanto laborales, como educativas que ha tenido debido a esa lesión en la rodilla. (…) Minuto 52:35: El Manual nos exige que el trastorno mental sea superior a un año, que haya tratamiento, que haya una valoración actual. Tiene la valoración inicial de 29/06/2016 y la última valoración fue el 03/04/2018… No me atrevería a firmar que no hay más consultas… Consignar y transcribir al dictamen toda la historia clínica, sería un desgaste administrativo fútil, lo importante acá es el diagnóstico, la evolución. El médico tratante es quien considera la frecuencia de los controles, nosotros no somos médicos tratantes, nosotros nos basamos en la historia clínica, en este caso aportada por el juzgado.</w:t>
      </w:r>
    </w:p>
    <w:p w14:paraId="3C404F16" w14:textId="77777777" w:rsidR="00BA0B76" w:rsidRPr="00A84B64" w:rsidRDefault="00BA0B76" w:rsidP="00A44F17">
      <w:pPr>
        <w:spacing w:line="360" w:lineRule="auto"/>
        <w:ind w:right="-79"/>
        <w:jc w:val="both"/>
        <w:rPr>
          <w:rFonts w:ascii="Verdana" w:hAnsi="Verdana" w:cs="Arial"/>
          <w:bCs/>
          <w:sz w:val="22"/>
          <w:szCs w:val="22"/>
        </w:rPr>
      </w:pPr>
    </w:p>
    <w:p w14:paraId="68DF4079" w14:textId="1FA43E42" w:rsidR="00F51F02" w:rsidRPr="00A84B64" w:rsidRDefault="0005199A" w:rsidP="0005199A">
      <w:pPr>
        <w:spacing w:line="360" w:lineRule="auto"/>
        <w:ind w:right="-79"/>
        <w:jc w:val="both"/>
        <w:rPr>
          <w:rFonts w:ascii="Verdana" w:hAnsi="Verdana" w:cs="Arial"/>
          <w:bCs/>
          <w:sz w:val="22"/>
          <w:szCs w:val="22"/>
        </w:rPr>
      </w:pPr>
      <w:r w:rsidRPr="00A84B64">
        <w:rPr>
          <w:rFonts w:ascii="Verdana" w:hAnsi="Verdana" w:cs="Arial"/>
          <w:bCs/>
          <w:sz w:val="22"/>
          <w:szCs w:val="22"/>
        </w:rPr>
        <w:t xml:space="preserve">Habiendo realizado el respectivo ejercicio de valoración probatoria, la Sala </w:t>
      </w:r>
      <w:r w:rsidR="008D04BC" w:rsidRPr="00A84B64">
        <w:rPr>
          <w:rFonts w:ascii="Verdana" w:hAnsi="Verdana" w:cs="Arial"/>
          <w:bCs/>
          <w:sz w:val="22"/>
          <w:szCs w:val="22"/>
        </w:rPr>
        <w:t>considera</w:t>
      </w:r>
      <w:r w:rsidRPr="00A84B64">
        <w:rPr>
          <w:rFonts w:ascii="Verdana" w:hAnsi="Verdana" w:cs="Arial"/>
          <w:bCs/>
          <w:sz w:val="22"/>
          <w:szCs w:val="22"/>
        </w:rPr>
        <w:t xml:space="preserve"> que el dictamen rendido por la Junta Regional de Calificación de Invalidez de </w:t>
      </w:r>
      <w:r w:rsidR="008D04BC" w:rsidRPr="00A84B64">
        <w:rPr>
          <w:rFonts w:ascii="Verdana" w:hAnsi="Verdana" w:cs="Arial"/>
          <w:bCs/>
          <w:sz w:val="22"/>
          <w:szCs w:val="22"/>
        </w:rPr>
        <w:t>Boyacá</w:t>
      </w:r>
      <w:r w:rsidRPr="00A84B64">
        <w:rPr>
          <w:rFonts w:ascii="Verdana" w:hAnsi="Verdana" w:cs="Arial"/>
          <w:bCs/>
          <w:sz w:val="22"/>
          <w:szCs w:val="22"/>
        </w:rPr>
        <w:t xml:space="preserve"> es </w:t>
      </w:r>
      <w:r w:rsidR="00134892" w:rsidRPr="00A84B64">
        <w:rPr>
          <w:rFonts w:ascii="Verdana" w:hAnsi="Verdana" w:cs="Arial"/>
          <w:bCs/>
          <w:sz w:val="22"/>
          <w:szCs w:val="22"/>
        </w:rPr>
        <w:t>una</w:t>
      </w:r>
      <w:r w:rsidRPr="00A84B64">
        <w:rPr>
          <w:rFonts w:ascii="Verdana" w:hAnsi="Verdana" w:cs="Arial"/>
          <w:bCs/>
          <w:sz w:val="22"/>
          <w:szCs w:val="22"/>
        </w:rPr>
        <w:t xml:space="preserve"> prueba </w:t>
      </w:r>
      <w:r w:rsidR="00134892" w:rsidRPr="00A84B64">
        <w:rPr>
          <w:rFonts w:ascii="Verdana" w:hAnsi="Verdana" w:cs="Arial"/>
          <w:bCs/>
          <w:sz w:val="22"/>
          <w:szCs w:val="22"/>
        </w:rPr>
        <w:t xml:space="preserve">idónea </w:t>
      </w:r>
      <w:r w:rsidR="006475E4" w:rsidRPr="00A84B64">
        <w:rPr>
          <w:rFonts w:ascii="Verdana" w:hAnsi="Verdana" w:cs="Arial"/>
          <w:bCs/>
          <w:sz w:val="22"/>
          <w:szCs w:val="22"/>
        </w:rPr>
        <w:t>para determinar la disminución de la capacidad laboral del señor Ávila Gaitán</w:t>
      </w:r>
      <w:r w:rsidR="00C94918" w:rsidRPr="00A84B64">
        <w:rPr>
          <w:rFonts w:ascii="Verdana" w:hAnsi="Verdana" w:cs="Arial"/>
          <w:bCs/>
          <w:sz w:val="22"/>
          <w:szCs w:val="22"/>
        </w:rPr>
        <w:t>,</w:t>
      </w:r>
      <w:r w:rsidR="00501430" w:rsidRPr="00A84B64">
        <w:rPr>
          <w:rFonts w:ascii="Verdana" w:hAnsi="Verdana" w:cs="Arial"/>
          <w:bCs/>
          <w:sz w:val="22"/>
          <w:szCs w:val="22"/>
        </w:rPr>
        <w:t xml:space="preserve"> </w:t>
      </w:r>
      <w:r w:rsidR="006475E4" w:rsidRPr="00A84B64">
        <w:rPr>
          <w:rFonts w:ascii="Verdana" w:hAnsi="Verdana" w:cs="Arial"/>
          <w:bCs/>
          <w:sz w:val="22"/>
          <w:szCs w:val="22"/>
        </w:rPr>
        <w:t xml:space="preserve">teniendo en cuenta que en </w:t>
      </w:r>
      <w:r w:rsidR="008650FE" w:rsidRPr="00A84B64">
        <w:rPr>
          <w:rFonts w:ascii="Verdana" w:hAnsi="Verdana" w:cs="Arial"/>
          <w:bCs/>
          <w:sz w:val="22"/>
          <w:szCs w:val="22"/>
        </w:rPr>
        <w:t>el mencionado dictamen “</w:t>
      </w:r>
      <w:r w:rsidR="006475E4" w:rsidRPr="00A84B64">
        <w:rPr>
          <w:rFonts w:ascii="Verdana" w:hAnsi="Verdana" w:cs="Arial"/>
          <w:bCs/>
          <w:sz w:val="22"/>
          <w:szCs w:val="22"/>
        </w:rPr>
        <w:t>se calificaron las secuelas del trauma de rodilla derecha suf</w:t>
      </w:r>
      <w:r w:rsidR="003317BE" w:rsidRPr="00A84B64">
        <w:rPr>
          <w:rFonts w:ascii="Verdana" w:hAnsi="Verdana" w:cs="Arial"/>
          <w:bCs/>
          <w:sz w:val="22"/>
          <w:szCs w:val="22"/>
        </w:rPr>
        <w:t>ri</w:t>
      </w:r>
      <w:r w:rsidR="008650FE" w:rsidRPr="00A84B64">
        <w:rPr>
          <w:rFonts w:ascii="Verdana" w:hAnsi="Verdana" w:cs="Arial"/>
          <w:bCs/>
          <w:sz w:val="22"/>
          <w:szCs w:val="22"/>
        </w:rPr>
        <w:t>do</w:t>
      </w:r>
      <w:r w:rsidR="003317BE" w:rsidRPr="00A84B64">
        <w:rPr>
          <w:rFonts w:ascii="Verdana" w:hAnsi="Verdana" w:cs="Arial"/>
          <w:bCs/>
          <w:sz w:val="22"/>
          <w:szCs w:val="22"/>
        </w:rPr>
        <w:t xml:space="preserve"> </w:t>
      </w:r>
      <w:r w:rsidR="006475E4" w:rsidRPr="00A84B64">
        <w:rPr>
          <w:rFonts w:ascii="Verdana" w:hAnsi="Verdana" w:cs="Arial"/>
          <w:bCs/>
          <w:sz w:val="22"/>
          <w:szCs w:val="22"/>
        </w:rPr>
        <w:t>el 11 de junio de 2014</w:t>
      </w:r>
      <w:r w:rsidR="008650FE" w:rsidRPr="00A84B64">
        <w:rPr>
          <w:rFonts w:ascii="Verdana" w:hAnsi="Verdana" w:cs="Arial"/>
          <w:bCs/>
          <w:sz w:val="22"/>
          <w:szCs w:val="22"/>
        </w:rPr>
        <w:t>”.</w:t>
      </w:r>
      <w:r w:rsidRPr="00A84B64">
        <w:rPr>
          <w:rFonts w:ascii="Verdana" w:hAnsi="Verdana" w:cs="Arial"/>
          <w:bCs/>
          <w:sz w:val="22"/>
          <w:szCs w:val="22"/>
        </w:rPr>
        <w:t xml:space="preserve"> </w:t>
      </w:r>
    </w:p>
    <w:p w14:paraId="7AE6D3DE" w14:textId="77777777" w:rsidR="00F51F02" w:rsidRPr="00A84B64" w:rsidRDefault="00F51F02" w:rsidP="0005199A">
      <w:pPr>
        <w:spacing w:line="360" w:lineRule="auto"/>
        <w:ind w:right="-79"/>
        <w:jc w:val="both"/>
        <w:rPr>
          <w:rFonts w:ascii="Verdana" w:hAnsi="Verdana" w:cs="Arial"/>
          <w:bCs/>
          <w:sz w:val="22"/>
          <w:szCs w:val="22"/>
        </w:rPr>
      </w:pPr>
    </w:p>
    <w:p w14:paraId="0C0D21CC" w14:textId="74232956" w:rsidR="0005199A" w:rsidRPr="00A84B64" w:rsidRDefault="0005199A" w:rsidP="0005199A">
      <w:pPr>
        <w:spacing w:line="360" w:lineRule="auto"/>
        <w:ind w:right="-79"/>
        <w:jc w:val="both"/>
        <w:rPr>
          <w:rFonts w:ascii="Verdana" w:hAnsi="Verdana" w:cs="Arial"/>
          <w:bCs/>
          <w:sz w:val="22"/>
          <w:szCs w:val="22"/>
        </w:rPr>
      </w:pPr>
      <w:r w:rsidRPr="00A84B64">
        <w:rPr>
          <w:rFonts w:ascii="Verdana" w:hAnsi="Verdana" w:cs="Arial"/>
          <w:bCs/>
          <w:sz w:val="22"/>
          <w:szCs w:val="22"/>
        </w:rPr>
        <w:lastRenderedPageBreak/>
        <w:t xml:space="preserve">Lo anterior bajo el entendido que </w:t>
      </w:r>
      <w:r w:rsidR="00184FCC" w:rsidRPr="00A84B64">
        <w:rPr>
          <w:rFonts w:ascii="Verdana" w:hAnsi="Verdana" w:cs="Arial"/>
          <w:bCs/>
          <w:sz w:val="22"/>
          <w:szCs w:val="22"/>
        </w:rPr>
        <w:t>el dictamen rendido por la Junta Regional de Calificación de Invalidez de Boyacá</w:t>
      </w:r>
      <w:r w:rsidRPr="00A84B64">
        <w:rPr>
          <w:rFonts w:ascii="Verdana" w:hAnsi="Verdana" w:cs="Arial"/>
          <w:bCs/>
          <w:sz w:val="22"/>
          <w:szCs w:val="22"/>
        </w:rPr>
        <w:t xml:space="preserve"> es la única prueba técnica que se practicó dentro de</w:t>
      </w:r>
      <w:r w:rsidR="00184FCC" w:rsidRPr="00A84B64">
        <w:rPr>
          <w:rFonts w:ascii="Verdana" w:hAnsi="Verdana" w:cs="Arial"/>
          <w:bCs/>
          <w:sz w:val="22"/>
          <w:szCs w:val="22"/>
        </w:rPr>
        <w:t xml:space="preserve">l </w:t>
      </w:r>
      <w:r w:rsidRPr="00A84B64">
        <w:rPr>
          <w:rFonts w:ascii="Verdana" w:hAnsi="Verdana" w:cs="Arial"/>
          <w:bCs/>
          <w:sz w:val="22"/>
          <w:szCs w:val="22"/>
        </w:rPr>
        <w:t xml:space="preserve">proceso y que sus conclusiones no fueron desvirtuadas por las partes, quienes habiendo tenido la oportunidad de controvertirlo </w:t>
      </w:r>
      <w:r w:rsidR="00A905AE" w:rsidRPr="00A84B64">
        <w:rPr>
          <w:rFonts w:ascii="Verdana" w:hAnsi="Verdana" w:cs="Arial"/>
          <w:bCs/>
          <w:sz w:val="22"/>
          <w:szCs w:val="22"/>
        </w:rPr>
        <w:t xml:space="preserve">u objetarlo </w:t>
      </w:r>
      <w:r w:rsidRPr="00A84B64">
        <w:rPr>
          <w:rFonts w:ascii="Verdana" w:hAnsi="Verdana" w:cs="Arial"/>
          <w:bCs/>
          <w:sz w:val="22"/>
          <w:szCs w:val="22"/>
        </w:rPr>
        <w:t xml:space="preserve">en los términos del </w:t>
      </w:r>
      <w:r w:rsidR="006A5EBB" w:rsidRPr="00A84B64">
        <w:rPr>
          <w:rFonts w:ascii="Verdana" w:hAnsi="Verdana" w:cs="Arial"/>
          <w:bCs/>
          <w:sz w:val="22"/>
          <w:szCs w:val="22"/>
        </w:rPr>
        <w:t>a</w:t>
      </w:r>
      <w:r w:rsidR="00184FCC" w:rsidRPr="00A84B64">
        <w:rPr>
          <w:rFonts w:ascii="Verdana" w:hAnsi="Verdana" w:cs="Arial"/>
          <w:bCs/>
          <w:sz w:val="22"/>
          <w:szCs w:val="22"/>
        </w:rPr>
        <w:t>r</w:t>
      </w:r>
      <w:r w:rsidR="006A5EBB" w:rsidRPr="00A84B64">
        <w:rPr>
          <w:rFonts w:ascii="Verdana" w:hAnsi="Verdana" w:cs="Arial"/>
          <w:bCs/>
          <w:sz w:val="22"/>
          <w:szCs w:val="22"/>
        </w:rPr>
        <w:t xml:space="preserve">tículo 228 del </w:t>
      </w:r>
      <w:r w:rsidRPr="00A84B64">
        <w:rPr>
          <w:rFonts w:ascii="Verdana" w:hAnsi="Verdana" w:cs="Arial"/>
          <w:bCs/>
          <w:sz w:val="22"/>
          <w:szCs w:val="22"/>
        </w:rPr>
        <w:t>Código General del Proceso</w:t>
      </w:r>
      <w:r w:rsidR="00A905AE" w:rsidRPr="00A84B64">
        <w:rPr>
          <w:rFonts w:ascii="Verdana" w:hAnsi="Verdana" w:cs="Arial"/>
          <w:bCs/>
          <w:sz w:val="22"/>
          <w:szCs w:val="22"/>
        </w:rPr>
        <w:t xml:space="preserve"> y artículo 220 d</w:t>
      </w:r>
      <w:r w:rsidR="007C4A19" w:rsidRPr="00A84B64">
        <w:rPr>
          <w:rFonts w:ascii="Verdana" w:hAnsi="Verdana" w:cs="Arial"/>
          <w:bCs/>
          <w:sz w:val="22"/>
          <w:szCs w:val="22"/>
        </w:rPr>
        <w:t>e la Ley 1437 de 2011</w:t>
      </w:r>
      <w:r w:rsidRPr="00A84B64">
        <w:rPr>
          <w:rFonts w:ascii="Verdana" w:hAnsi="Verdana" w:cs="Arial"/>
          <w:bCs/>
          <w:sz w:val="22"/>
          <w:szCs w:val="22"/>
        </w:rPr>
        <w:t xml:space="preserve">, no aportaron un nuevo dictamen ni contrarrestaron la veracidad de lo establecido en el de la Junta Regional en la audiencia </w:t>
      </w:r>
      <w:r w:rsidR="005460F4" w:rsidRPr="00A84B64">
        <w:rPr>
          <w:rFonts w:ascii="Verdana" w:hAnsi="Verdana" w:cs="Arial"/>
          <w:bCs/>
          <w:sz w:val="22"/>
          <w:szCs w:val="22"/>
        </w:rPr>
        <w:t>de pruebas celebrada para la sustentación y contradicción del dictamen</w:t>
      </w:r>
      <w:r w:rsidRPr="00A84B64">
        <w:rPr>
          <w:rFonts w:ascii="Verdana" w:hAnsi="Verdana" w:cs="Arial"/>
          <w:bCs/>
          <w:sz w:val="22"/>
          <w:szCs w:val="22"/>
        </w:rPr>
        <w:t>.</w:t>
      </w:r>
    </w:p>
    <w:p w14:paraId="63D09846" w14:textId="546EA752" w:rsidR="000202B7" w:rsidRPr="00A84B64" w:rsidRDefault="000202B7" w:rsidP="0005199A">
      <w:pPr>
        <w:spacing w:line="360" w:lineRule="auto"/>
        <w:ind w:right="-79"/>
        <w:jc w:val="both"/>
        <w:rPr>
          <w:rFonts w:ascii="Verdana" w:hAnsi="Verdana" w:cs="Arial"/>
          <w:bCs/>
          <w:sz w:val="22"/>
          <w:szCs w:val="22"/>
        </w:rPr>
      </w:pPr>
    </w:p>
    <w:p w14:paraId="3415D23A" w14:textId="3E4AC26D" w:rsidR="000202B7" w:rsidRPr="00A84B64" w:rsidRDefault="000202B7" w:rsidP="0005199A">
      <w:pPr>
        <w:spacing w:line="360" w:lineRule="auto"/>
        <w:ind w:right="-79"/>
        <w:jc w:val="both"/>
        <w:rPr>
          <w:rFonts w:ascii="Verdana" w:hAnsi="Verdana" w:cs="Arial"/>
          <w:bCs/>
          <w:sz w:val="22"/>
          <w:szCs w:val="22"/>
        </w:rPr>
      </w:pPr>
      <w:r w:rsidRPr="00A84B64">
        <w:rPr>
          <w:rFonts w:ascii="Verdana" w:hAnsi="Verdana" w:cs="Arial"/>
          <w:bCs/>
          <w:sz w:val="22"/>
          <w:szCs w:val="22"/>
        </w:rPr>
        <w:t xml:space="preserve">Ahora bien, es pertinente traer a colación las circunstancias de tiempo, modo y lugar en las cuales ocurrió la lesión de rodilla del señor Ávila Gaitán, </w:t>
      </w:r>
      <w:r w:rsidR="00402E4F" w:rsidRPr="00A84B64">
        <w:rPr>
          <w:rFonts w:ascii="Verdana" w:hAnsi="Verdana" w:cs="Arial"/>
          <w:bCs/>
          <w:sz w:val="22"/>
          <w:szCs w:val="22"/>
        </w:rPr>
        <w:t xml:space="preserve">a efectos de determinar si el INPEC en su condición de garante del Estado respecto del conscripto, dio </w:t>
      </w:r>
      <w:r w:rsidR="008D42E2" w:rsidRPr="00A84B64">
        <w:rPr>
          <w:rFonts w:ascii="Verdana" w:hAnsi="Verdana" w:cs="Arial"/>
          <w:bCs/>
          <w:sz w:val="22"/>
          <w:szCs w:val="22"/>
        </w:rPr>
        <w:t xml:space="preserve">cabal </w:t>
      </w:r>
      <w:r w:rsidR="00402E4F" w:rsidRPr="00A84B64">
        <w:rPr>
          <w:rFonts w:ascii="Verdana" w:hAnsi="Verdana" w:cs="Arial"/>
          <w:bCs/>
          <w:sz w:val="22"/>
          <w:szCs w:val="22"/>
        </w:rPr>
        <w:t>cumplimiento a sus obligaciones</w:t>
      </w:r>
      <w:r w:rsidR="008D42E2" w:rsidRPr="00A84B64">
        <w:rPr>
          <w:rFonts w:ascii="Verdana" w:hAnsi="Verdana" w:cs="Arial"/>
          <w:bCs/>
          <w:sz w:val="22"/>
          <w:szCs w:val="22"/>
        </w:rPr>
        <w:t xml:space="preserve"> en aras de preservar las condiciones de salud bajo las cuales ingresó </w:t>
      </w:r>
      <w:r w:rsidR="00240399" w:rsidRPr="00A84B64">
        <w:rPr>
          <w:rFonts w:ascii="Verdana" w:hAnsi="Verdana" w:cs="Arial"/>
          <w:bCs/>
          <w:sz w:val="22"/>
          <w:szCs w:val="22"/>
        </w:rPr>
        <w:t xml:space="preserve">el auxiliar bachiller </w:t>
      </w:r>
      <w:r w:rsidR="008D42E2" w:rsidRPr="00A84B64">
        <w:rPr>
          <w:rFonts w:ascii="Verdana" w:hAnsi="Verdana" w:cs="Arial"/>
          <w:bCs/>
          <w:sz w:val="22"/>
          <w:szCs w:val="22"/>
        </w:rPr>
        <w:t>a las filas.</w:t>
      </w:r>
      <w:r w:rsidR="00240399" w:rsidRPr="00A84B64">
        <w:rPr>
          <w:rFonts w:ascii="Verdana" w:hAnsi="Verdana" w:cs="Arial"/>
          <w:bCs/>
          <w:sz w:val="22"/>
          <w:szCs w:val="22"/>
        </w:rPr>
        <w:t xml:space="preserve"> </w:t>
      </w:r>
    </w:p>
    <w:p w14:paraId="5511B2BA" w14:textId="23026F53" w:rsidR="00BC26BA" w:rsidRPr="00A84B64" w:rsidRDefault="00BC26BA" w:rsidP="0005199A">
      <w:pPr>
        <w:spacing w:line="360" w:lineRule="auto"/>
        <w:ind w:right="-79"/>
        <w:jc w:val="both"/>
        <w:rPr>
          <w:rFonts w:ascii="Verdana" w:hAnsi="Verdana" w:cs="Arial"/>
          <w:bCs/>
          <w:sz w:val="22"/>
          <w:szCs w:val="22"/>
        </w:rPr>
      </w:pPr>
    </w:p>
    <w:p w14:paraId="1580B5E2" w14:textId="5EB53544" w:rsidR="00BC26BA" w:rsidRPr="00A84B64" w:rsidRDefault="00BC26BA" w:rsidP="00833098">
      <w:pPr>
        <w:spacing w:line="276" w:lineRule="auto"/>
        <w:ind w:left="708" w:right="-79"/>
        <w:jc w:val="both"/>
        <w:rPr>
          <w:rFonts w:ascii="Verdana" w:hAnsi="Verdana"/>
          <w:sz w:val="22"/>
          <w:szCs w:val="22"/>
        </w:rPr>
      </w:pPr>
      <w:r w:rsidRPr="00A84B64">
        <w:rPr>
          <w:rFonts w:ascii="Verdana" w:hAnsi="Verdana" w:cs="Arial"/>
          <w:bCs/>
          <w:sz w:val="22"/>
          <w:szCs w:val="22"/>
          <w:lang w:val="es-ES_tradnl"/>
        </w:rPr>
        <w:t xml:space="preserve">Jeisson Fernando Merchán Villamil, expresó: </w:t>
      </w:r>
      <w:r w:rsidR="00214A74" w:rsidRPr="00A84B64">
        <w:rPr>
          <w:rFonts w:ascii="Verdana" w:hAnsi="Verdana" w:cs="Arial"/>
          <w:bCs/>
          <w:sz w:val="22"/>
          <w:szCs w:val="22"/>
          <w:lang w:val="es-ES_tradnl"/>
        </w:rPr>
        <w:t xml:space="preserve">(CD </w:t>
      </w:r>
      <w:r w:rsidR="00214A74" w:rsidRPr="00A84B64">
        <w:rPr>
          <w:rFonts w:ascii="Verdana" w:hAnsi="Verdana"/>
          <w:sz w:val="22"/>
          <w:szCs w:val="22"/>
        </w:rPr>
        <w:t>Folio 798)</w:t>
      </w:r>
    </w:p>
    <w:p w14:paraId="05CE647D" w14:textId="5C7D1262" w:rsidR="00BC26BA" w:rsidRPr="00A84B64" w:rsidRDefault="00BC26BA" w:rsidP="00833098">
      <w:pPr>
        <w:spacing w:line="276" w:lineRule="auto"/>
        <w:ind w:left="708" w:right="-79"/>
        <w:jc w:val="both"/>
        <w:rPr>
          <w:rFonts w:ascii="Verdana" w:hAnsi="Verdana"/>
          <w:sz w:val="22"/>
          <w:szCs w:val="22"/>
        </w:rPr>
      </w:pPr>
      <w:r w:rsidRPr="00A84B64">
        <w:rPr>
          <w:rFonts w:ascii="Verdana" w:hAnsi="Verdana"/>
          <w:sz w:val="22"/>
          <w:szCs w:val="22"/>
        </w:rPr>
        <w:t xml:space="preserve">Minuto 59:51: </w:t>
      </w:r>
      <w:r w:rsidRPr="00A84B64">
        <w:rPr>
          <w:rFonts w:ascii="Verdana" w:hAnsi="Verdana"/>
          <w:i/>
          <w:sz w:val="22"/>
          <w:szCs w:val="22"/>
        </w:rPr>
        <w:t xml:space="preserve">“Era en la cancha que tenía ahí, pero es una cancha como donde guardan los carros… </w:t>
      </w:r>
      <w:r w:rsidRPr="00A84B64">
        <w:rPr>
          <w:rFonts w:ascii="Verdana" w:hAnsi="Verdana"/>
          <w:b/>
          <w:i/>
          <w:sz w:val="22"/>
          <w:szCs w:val="22"/>
        </w:rPr>
        <w:t>Eso era una calle normal, no estaba nivelada, había pedazos más altos, más bajitos, no tenía las condiciones porque no había líneas y había andenes, así mucha piedra, pero no era una cancha</w:t>
      </w:r>
      <w:r w:rsidRPr="00A84B64">
        <w:rPr>
          <w:rFonts w:ascii="Verdana" w:hAnsi="Verdana"/>
          <w:i/>
          <w:sz w:val="22"/>
          <w:szCs w:val="22"/>
        </w:rPr>
        <w:t>, colocaron dos canchitas pequeñas y ahí armaron para jugar”</w:t>
      </w:r>
      <w:r w:rsidR="00E550F7" w:rsidRPr="00A84B64">
        <w:rPr>
          <w:rFonts w:ascii="Verdana" w:hAnsi="Verdana"/>
          <w:i/>
          <w:sz w:val="22"/>
          <w:szCs w:val="22"/>
        </w:rPr>
        <w:t>.</w:t>
      </w:r>
    </w:p>
    <w:p w14:paraId="59F1CA87" w14:textId="77777777" w:rsidR="00BC26BA" w:rsidRPr="00A84B64" w:rsidRDefault="00BC26BA" w:rsidP="00833098">
      <w:pPr>
        <w:pStyle w:val="Prrafodelista"/>
        <w:spacing w:line="276" w:lineRule="auto"/>
        <w:ind w:right="-79"/>
        <w:jc w:val="both"/>
        <w:rPr>
          <w:rFonts w:ascii="Verdana" w:hAnsi="Verdana" w:cs="Arial"/>
          <w:bCs/>
          <w:sz w:val="22"/>
          <w:szCs w:val="22"/>
        </w:rPr>
      </w:pPr>
    </w:p>
    <w:p w14:paraId="2BF382F2" w14:textId="0D86639F" w:rsidR="00BC26BA" w:rsidRPr="00A84B64" w:rsidRDefault="00BC26BA" w:rsidP="00833098">
      <w:pPr>
        <w:spacing w:line="276" w:lineRule="auto"/>
        <w:ind w:left="708" w:right="-79"/>
        <w:jc w:val="both"/>
        <w:rPr>
          <w:rFonts w:ascii="Verdana" w:hAnsi="Verdana" w:cs="Arial"/>
          <w:bCs/>
          <w:sz w:val="22"/>
          <w:szCs w:val="22"/>
          <w:lang w:val="es-ES_tradnl"/>
        </w:rPr>
      </w:pPr>
      <w:r w:rsidRPr="00A84B64">
        <w:rPr>
          <w:rFonts w:ascii="Verdana" w:hAnsi="Verdana" w:cs="Arial"/>
          <w:bCs/>
          <w:sz w:val="22"/>
          <w:szCs w:val="22"/>
          <w:lang w:val="es-ES_tradnl"/>
        </w:rPr>
        <w:t xml:space="preserve">Carlos Aguilera Contreras, indicó: </w:t>
      </w:r>
      <w:r w:rsidR="00214A74" w:rsidRPr="00A84B64">
        <w:rPr>
          <w:rFonts w:ascii="Verdana" w:hAnsi="Verdana" w:cs="Arial"/>
          <w:bCs/>
          <w:sz w:val="22"/>
          <w:szCs w:val="22"/>
          <w:lang w:val="es-ES_tradnl"/>
        </w:rPr>
        <w:t xml:space="preserve">(CD </w:t>
      </w:r>
      <w:r w:rsidR="00214A74" w:rsidRPr="00A84B64">
        <w:rPr>
          <w:rFonts w:ascii="Verdana" w:hAnsi="Verdana"/>
          <w:sz w:val="22"/>
          <w:szCs w:val="22"/>
        </w:rPr>
        <w:t>Folio 798)</w:t>
      </w:r>
    </w:p>
    <w:p w14:paraId="37F358F4" w14:textId="77777777" w:rsidR="00BC26BA" w:rsidRPr="00A84B64" w:rsidRDefault="00BC26BA" w:rsidP="00833098">
      <w:pPr>
        <w:spacing w:line="276" w:lineRule="auto"/>
        <w:ind w:left="708" w:right="-79"/>
        <w:jc w:val="both"/>
        <w:rPr>
          <w:rFonts w:ascii="Verdana" w:hAnsi="Verdana" w:cs="Arial"/>
          <w:bCs/>
          <w:sz w:val="22"/>
          <w:szCs w:val="22"/>
          <w:lang w:val="es-ES_tradnl"/>
        </w:rPr>
      </w:pPr>
      <w:r w:rsidRPr="00A84B64">
        <w:rPr>
          <w:rFonts w:ascii="Verdana" w:hAnsi="Verdana" w:cs="Arial"/>
          <w:bCs/>
          <w:sz w:val="22"/>
          <w:szCs w:val="22"/>
          <w:lang w:val="es-ES_tradnl"/>
        </w:rPr>
        <w:t>Minuto 1:16:12</w:t>
      </w:r>
      <w:r w:rsidRPr="00A84B64">
        <w:rPr>
          <w:rFonts w:ascii="Verdana" w:hAnsi="Verdana" w:cs="Arial"/>
          <w:bCs/>
          <w:i/>
          <w:sz w:val="22"/>
          <w:szCs w:val="22"/>
          <w:lang w:val="es-ES_tradnl"/>
        </w:rPr>
        <w:t xml:space="preserve">: “Para aquél entonces no había una cancha, pero había </w:t>
      </w:r>
      <w:r w:rsidRPr="00A84B64">
        <w:rPr>
          <w:rFonts w:ascii="Verdana" w:hAnsi="Verdana" w:cs="Arial"/>
          <w:b/>
          <w:bCs/>
          <w:i/>
          <w:sz w:val="22"/>
          <w:szCs w:val="22"/>
          <w:lang w:val="es-ES_tradnl"/>
        </w:rPr>
        <w:t>una cancha que fue acondicionada no en óptimas condiciones</w:t>
      </w:r>
      <w:r w:rsidRPr="00A84B64">
        <w:rPr>
          <w:rFonts w:ascii="Verdana" w:hAnsi="Verdana" w:cs="Arial"/>
          <w:bCs/>
          <w:i/>
          <w:sz w:val="22"/>
          <w:szCs w:val="22"/>
          <w:lang w:val="es-ES_tradnl"/>
        </w:rPr>
        <w:t>, improvisada… Es un terreno que está pavimentado, que lo acondicionaron como una cancha, pero no es como tal una cancha de microfútbol”.</w:t>
      </w:r>
    </w:p>
    <w:p w14:paraId="0DA856B8" w14:textId="77777777" w:rsidR="00BC26BA" w:rsidRPr="00A84B64" w:rsidRDefault="00BC26BA" w:rsidP="00833098">
      <w:pPr>
        <w:pStyle w:val="Prrafodelista"/>
        <w:spacing w:line="276" w:lineRule="auto"/>
        <w:ind w:right="-79"/>
        <w:jc w:val="both"/>
        <w:rPr>
          <w:rFonts w:ascii="Verdana" w:hAnsi="Verdana" w:cs="Arial"/>
          <w:bCs/>
          <w:sz w:val="22"/>
          <w:szCs w:val="22"/>
          <w:lang w:val="es-ES_tradnl"/>
        </w:rPr>
      </w:pPr>
    </w:p>
    <w:p w14:paraId="0E138EAA" w14:textId="615D2FE1" w:rsidR="00BC26BA" w:rsidRPr="00A84B64" w:rsidRDefault="00BC26BA" w:rsidP="00833098">
      <w:pPr>
        <w:spacing w:line="276" w:lineRule="auto"/>
        <w:ind w:left="708" w:right="-79"/>
        <w:jc w:val="both"/>
        <w:rPr>
          <w:rFonts w:ascii="Verdana" w:hAnsi="Verdana" w:cs="Arial"/>
          <w:bCs/>
          <w:sz w:val="22"/>
          <w:szCs w:val="22"/>
          <w:lang w:val="es-ES_tradnl"/>
        </w:rPr>
      </w:pPr>
      <w:r w:rsidRPr="00A84B64">
        <w:rPr>
          <w:rFonts w:ascii="Verdana" w:hAnsi="Verdana" w:cs="Arial"/>
          <w:bCs/>
          <w:sz w:val="22"/>
          <w:szCs w:val="22"/>
          <w:lang w:val="es-ES_tradnl"/>
        </w:rPr>
        <w:t>Holman David Hernández Rojas, adujo: (CD</w:t>
      </w:r>
      <w:r w:rsidR="00214A74" w:rsidRPr="00A84B64">
        <w:rPr>
          <w:rFonts w:ascii="Verdana" w:hAnsi="Verdana" w:cs="Arial"/>
          <w:bCs/>
          <w:sz w:val="22"/>
          <w:szCs w:val="22"/>
          <w:lang w:val="es-ES_tradnl"/>
        </w:rPr>
        <w:t xml:space="preserve"> Folio </w:t>
      </w:r>
      <w:r w:rsidRPr="00A84B64">
        <w:rPr>
          <w:rFonts w:ascii="Verdana" w:hAnsi="Verdana" w:cs="Arial"/>
          <w:bCs/>
          <w:sz w:val="22"/>
          <w:szCs w:val="22"/>
          <w:lang w:val="es-ES_tradnl"/>
        </w:rPr>
        <w:t xml:space="preserve">853) </w:t>
      </w:r>
    </w:p>
    <w:p w14:paraId="1F54BD9E" w14:textId="3C12AF6C" w:rsidR="00BC26BA" w:rsidRPr="00A84B64" w:rsidRDefault="00BC26BA" w:rsidP="00833098">
      <w:pPr>
        <w:pStyle w:val="Prrafodelista"/>
        <w:spacing w:line="276" w:lineRule="auto"/>
        <w:ind w:right="-79"/>
        <w:jc w:val="both"/>
        <w:rPr>
          <w:rFonts w:ascii="Verdana" w:hAnsi="Verdana" w:cs="Arial"/>
          <w:bCs/>
          <w:i/>
          <w:sz w:val="22"/>
          <w:szCs w:val="22"/>
        </w:rPr>
      </w:pPr>
      <w:r w:rsidRPr="00A84B64">
        <w:rPr>
          <w:rFonts w:ascii="Verdana" w:hAnsi="Verdana" w:cs="Arial"/>
          <w:bCs/>
          <w:i/>
          <w:sz w:val="22"/>
          <w:szCs w:val="22"/>
        </w:rPr>
        <w:t>Minuto 20:35: “</w:t>
      </w:r>
      <w:r w:rsidRPr="00A84B64">
        <w:rPr>
          <w:rFonts w:ascii="Verdana" w:hAnsi="Verdana" w:cs="Arial"/>
          <w:b/>
          <w:bCs/>
          <w:i/>
          <w:sz w:val="22"/>
          <w:szCs w:val="22"/>
        </w:rPr>
        <w:t>La cancha es improvisada</w:t>
      </w:r>
      <w:r w:rsidRPr="00A84B64">
        <w:rPr>
          <w:rFonts w:ascii="Verdana" w:hAnsi="Verdana" w:cs="Arial"/>
          <w:bCs/>
          <w:i/>
          <w:sz w:val="22"/>
          <w:szCs w:val="22"/>
        </w:rPr>
        <w:t>, porque es el ingreso de los carros del establecimiento, está al frente de la guardia y eso es pavimento… Para mí no es una cancha, simplemente se hicieron unas líneas y eran unas canchitas de banquitas, pero la verdad eso es pavimentado, tiene mucho hueco, donde lo pintaron es pintura en aceite, eso es demasiado liso, de que llueva uno no podía jugar.</w:t>
      </w:r>
    </w:p>
    <w:p w14:paraId="10FB102C" w14:textId="4C393433" w:rsidR="00BC26BA" w:rsidRPr="00A84B64" w:rsidRDefault="00BC26BA" w:rsidP="00833098">
      <w:pPr>
        <w:pStyle w:val="Prrafodelista"/>
        <w:spacing w:line="276" w:lineRule="auto"/>
        <w:ind w:right="-79"/>
        <w:jc w:val="both"/>
        <w:rPr>
          <w:rFonts w:ascii="Verdana" w:hAnsi="Verdana" w:cs="Arial"/>
          <w:b/>
          <w:bCs/>
          <w:sz w:val="22"/>
          <w:szCs w:val="22"/>
        </w:rPr>
      </w:pPr>
      <w:r w:rsidRPr="00A84B64">
        <w:rPr>
          <w:rFonts w:ascii="Verdana" w:hAnsi="Verdana" w:cs="Arial"/>
          <w:bCs/>
          <w:iCs/>
          <w:sz w:val="22"/>
          <w:szCs w:val="22"/>
        </w:rPr>
        <w:t>Minuto 23:00: Respe</w:t>
      </w:r>
      <w:r w:rsidR="005C2D2E" w:rsidRPr="00A84B64">
        <w:rPr>
          <w:rFonts w:ascii="Verdana" w:hAnsi="Verdana" w:cs="Arial"/>
          <w:bCs/>
          <w:iCs/>
          <w:sz w:val="22"/>
          <w:szCs w:val="22"/>
        </w:rPr>
        <w:t>c</w:t>
      </w:r>
      <w:r w:rsidRPr="00A84B64">
        <w:rPr>
          <w:rFonts w:ascii="Verdana" w:hAnsi="Verdana" w:cs="Arial"/>
          <w:bCs/>
          <w:iCs/>
          <w:sz w:val="22"/>
          <w:szCs w:val="22"/>
        </w:rPr>
        <w:t xml:space="preserve">to a la causal de lesión del señor Ávila, manifestó: </w:t>
      </w:r>
      <w:r w:rsidRPr="00A84B64">
        <w:rPr>
          <w:rFonts w:ascii="Verdana" w:hAnsi="Verdana" w:cs="Arial"/>
          <w:bCs/>
          <w:i/>
          <w:sz w:val="22"/>
          <w:szCs w:val="22"/>
        </w:rPr>
        <w:t>“</w:t>
      </w:r>
      <w:r w:rsidRPr="00A84B64">
        <w:rPr>
          <w:rFonts w:ascii="Verdana" w:hAnsi="Verdana" w:cs="Arial"/>
          <w:b/>
          <w:bCs/>
          <w:i/>
          <w:sz w:val="22"/>
          <w:szCs w:val="22"/>
        </w:rPr>
        <w:t>Para mí, la causa fue la cancha porque un choque como tal no hubo</w:t>
      </w:r>
      <w:r w:rsidRPr="00A84B64">
        <w:rPr>
          <w:rFonts w:ascii="Verdana" w:hAnsi="Verdana" w:cs="Arial"/>
          <w:bCs/>
          <w:i/>
          <w:sz w:val="22"/>
          <w:szCs w:val="22"/>
        </w:rPr>
        <w:t>, como para yo haber dicho si lo golpe</w:t>
      </w:r>
      <w:r w:rsidR="005C2D2E" w:rsidRPr="00A84B64">
        <w:rPr>
          <w:rFonts w:ascii="Verdana" w:hAnsi="Verdana" w:cs="Arial"/>
          <w:bCs/>
          <w:i/>
          <w:sz w:val="22"/>
          <w:szCs w:val="22"/>
        </w:rPr>
        <w:t>é</w:t>
      </w:r>
      <w:r w:rsidRPr="00A84B64">
        <w:rPr>
          <w:rFonts w:ascii="Verdana" w:hAnsi="Verdana" w:cs="Arial"/>
          <w:bCs/>
          <w:i/>
          <w:sz w:val="22"/>
          <w:szCs w:val="22"/>
        </w:rPr>
        <w:t xml:space="preserve">, se cayó y fue la lesión, para mí, fue como más el estado de la cancha, pues </w:t>
      </w:r>
      <w:r w:rsidRPr="00A84B64">
        <w:rPr>
          <w:rFonts w:ascii="Verdana" w:hAnsi="Verdana" w:cs="Arial"/>
          <w:b/>
          <w:bCs/>
          <w:i/>
          <w:sz w:val="22"/>
          <w:szCs w:val="22"/>
        </w:rPr>
        <w:t>no se presta para jugar en realidad porque es pavimentado</w:t>
      </w:r>
      <w:r w:rsidRPr="00A84B64">
        <w:rPr>
          <w:rFonts w:ascii="Verdana" w:hAnsi="Verdana" w:cs="Arial"/>
          <w:b/>
          <w:bCs/>
          <w:sz w:val="22"/>
          <w:szCs w:val="22"/>
        </w:rPr>
        <w:t>”.</w:t>
      </w:r>
    </w:p>
    <w:p w14:paraId="0AA81D30" w14:textId="77777777" w:rsidR="00BC26BA" w:rsidRPr="00A84B64" w:rsidRDefault="00BC26BA" w:rsidP="00833098">
      <w:pPr>
        <w:pStyle w:val="Prrafodelista"/>
        <w:spacing w:line="276" w:lineRule="auto"/>
        <w:ind w:right="-79"/>
        <w:jc w:val="both"/>
        <w:rPr>
          <w:rFonts w:ascii="Verdana" w:hAnsi="Verdana" w:cs="Arial"/>
          <w:bCs/>
          <w:sz w:val="22"/>
          <w:szCs w:val="22"/>
        </w:rPr>
      </w:pPr>
    </w:p>
    <w:p w14:paraId="6E746C90" w14:textId="0B7D61C6" w:rsidR="00BC26BA" w:rsidRPr="00A84B64" w:rsidRDefault="00BC26BA" w:rsidP="00BC26BA">
      <w:pPr>
        <w:spacing w:line="360" w:lineRule="auto"/>
        <w:ind w:right="-79"/>
        <w:jc w:val="both"/>
        <w:rPr>
          <w:rFonts w:ascii="Verdana" w:hAnsi="Verdana" w:cs="Arial"/>
          <w:bCs/>
        </w:rPr>
      </w:pPr>
      <w:r w:rsidRPr="00A84B64">
        <w:rPr>
          <w:rFonts w:ascii="Verdana" w:hAnsi="Verdana" w:cs="Arial"/>
          <w:bCs/>
          <w:sz w:val="22"/>
          <w:szCs w:val="22"/>
        </w:rPr>
        <w:lastRenderedPageBreak/>
        <w:t xml:space="preserve">Así mismo, vale la pena reseñar que se encuentra acreditado el actuar omisivo por parte de quienes al momento de la lesión y posterior a ello, se encontraban encargados </w:t>
      </w:r>
      <w:r w:rsidR="00833098" w:rsidRPr="00A84B64">
        <w:rPr>
          <w:rFonts w:ascii="Verdana" w:hAnsi="Verdana" w:cs="Arial"/>
          <w:bCs/>
          <w:sz w:val="22"/>
          <w:szCs w:val="22"/>
        </w:rPr>
        <w:t>de la guarda y protección</w:t>
      </w:r>
      <w:r w:rsidRPr="00A84B64">
        <w:rPr>
          <w:rFonts w:ascii="Verdana" w:hAnsi="Verdana" w:cs="Arial"/>
          <w:bCs/>
          <w:sz w:val="22"/>
          <w:szCs w:val="22"/>
        </w:rPr>
        <w:t xml:space="preserve"> del auxiliar bachiller Luis Eduardo Ávila</w:t>
      </w:r>
      <w:r w:rsidRPr="00A84B64">
        <w:rPr>
          <w:rFonts w:ascii="Verdana" w:hAnsi="Verdana" w:cs="Arial"/>
          <w:bCs/>
        </w:rPr>
        <w:t>:</w:t>
      </w:r>
    </w:p>
    <w:p w14:paraId="0375BE03" w14:textId="77777777" w:rsidR="00BC26BA" w:rsidRPr="00A84B64" w:rsidRDefault="00BC26BA" w:rsidP="00BC26BA">
      <w:pPr>
        <w:ind w:right="-79"/>
        <w:jc w:val="both"/>
        <w:rPr>
          <w:rFonts w:ascii="Verdana" w:hAnsi="Verdana" w:cs="Arial"/>
          <w:bCs/>
          <w:color w:val="000000" w:themeColor="text1"/>
        </w:rPr>
      </w:pPr>
    </w:p>
    <w:p w14:paraId="57072991" w14:textId="0C850F66" w:rsidR="00BC26BA" w:rsidRPr="00A84B64" w:rsidRDefault="00BC26BA" w:rsidP="00833098">
      <w:pPr>
        <w:pStyle w:val="Prrafodelista"/>
        <w:spacing w:line="276" w:lineRule="auto"/>
        <w:ind w:right="-79"/>
        <w:jc w:val="both"/>
        <w:rPr>
          <w:rFonts w:ascii="Verdana" w:hAnsi="Verdana" w:cs="Arial"/>
          <w:bCs/>
          <w:sz w:val="22"/>
          <w:szCs w:val="22"/>
          <w:lang w:val="es-ES_tradnl"/>
        </w:rPr>
      </w:pPr>
      <w:r w:rsidRPr="00A84B64">
        <w:rPr>
          <w:rFonts w:ascii="Verdana" w:hAnsi="Verdana" w:cs="Arial"/>
          <w:bCs/>
          <w:sz w:val="22"/>
          <w:szCs w:val="22"/>
          <w:lang w:val="es-ES_tradnl"/>
        </w:rPr>
        <w:t xml:space="preserve">Luis Eduardo Ávila Gaitán manifestó: </w:t>
      </w:r>
      <w:r w:rsidR="00214A74" w:rsidRPr="00A84B64">
        <w:rPr>
          <w:rFonts w:ascii="Verdana" w:hAnsi="Verdana" w:cs="Arial"/>
          <w:bCs/>
          <w:sz w:val="22"/>
          <w:szCs w:val="22"/>
          <w:lang w:val="es-ES_tradnl"/>
        </w:rPr>
        <w:t xml:space="preserve">(CD </w:t>
      </w:r>
      <w:r w:rsidR="00214A74" w:rsidRPr="00A84B64">
        <w:rPr>
          <w:rFonts w:ascii="Verdana" w:hAnsi="Verdana"/>
          <w:sz w:val="22"/>
          <w:szCs w:val="22"/>
        </w:rPr>
        <w:t>Folio 798)</w:t>
      </w:r>
    </w:p>
    <w:p w14:paraId="48D28D85" w14:textId="6F1022C4" w:rsidR="00BC26BA" w:rsidRPr="00A84B64" w:rsidRDefault="00BC26BA" w:rsidP="00833098">
      <w:pPr>
        <w:pStyle w:val="Prrafodelista"/>
        <w:spacing w:line="276" w:lineRule="auto"/>
        <w:ind w:right="-79"/>
        <w:jc w:val="both"/>
        <w:rPr>
          <w:rFonts w:ascii="Verdana" w:hAnsi="Verdana" w:cs="Arial"/>
          <w:bCs/>
          <w:i/>
          <w:sz w:val="22"/>
          <w:szCs w:val="22"/>
          <w:lang w:val="es-ES_tradnl"/>
        </w:rPr>
      </w:pPr>
      <w:r w:rsidRPr="00A84B64">
        <w:rPr>
          <w:rFonts w:ascii="Verdana" w:hAnsi="Verdana" w:cs="Arial"/>
          <w:bCs/>
          <w:color w:val="000000" w:themeColor="text1"/>
          <w:sz w:val="22"/>
          <w:szCs w:val="22"/>
        </w:rPr>
        <w:t xml:space="preserve">Minuto 24:30 y ss. </w:t>
      </w:r>
      <w:r w:rsidRPr="00A84B64">
        <w:rPr>
          <w:rFonts w:ascii="Verdana" w:hAnsi="Verdana" w:cs="Arial"/>
          <w:b/>
          <w:bCs/>
          <w:color w:val="000000" w:themeColor="text1"/>
          <w:sz w:val="22"/>
          <w:szCs w:val="22"/>
        </w:rPr>
        <w:t>“</w:t>
      </w:r>
      <w:r w:rsidRPr="00A84B64">
        <w:rPr>
          <w:rFonts w:ascii="Verdana" w:hAnsi="Verdana" w:cs="Arial"/>
          <w:b/>
          <w:bCs/>
          <w:i/>
          <w:sz w:val="22"/>
          <w:szCs w:val="22"/>
          <w:lang w:val="es-ES_tradnl"/>
        </w:rPr>
        <w:t>... El distinguido Manuel en ese momento vio el dolor, no me dejó salir, me mando para la portería, cuando le dije que tenía la lesión, no me dejo salir hasta que se encerraran a los internos</w:t>
      </w:r>
      <w:r w:rsidRPr="00A84B64">
        <w:rPr>
          <w:rFonts w:ascii="Verdana" w:hAnsi="Verdana" w:cs="Arial"/>
          <w:bCs/>
          <w:i/>
          <w:sz w:val="22"/>
          <w:szCs w:val="22"/>
          <w:lang w:val="es-ES_tradnl"/>
        </w:rPr>
        <w:t xml:space="preserve"> a las 5:30 </w:t>
      </w:r>
      <w:proofErr w:type="spellStart"/>
      <w:r w:rsidRPr="00A84B64">
        <w:rPr>
          <w:rFonts w:ascii="Verdana" w:hAnsi="Verdana" w:cs="Arial"/>
          <w:bCs/>
          <w:i/>
          <w:sz w:val="22"/>
          <w:szCs w:val="22"/>
          <w:lang w:val="es-ES_tradnl"/>
        </w:rPr>
        <w:t>p.m</w:t>
      </w:r>
      <w:proofErr w:type="spellEnd"/>
      <w:r w:rsidRPr="00A84B64">
        <w:rPr>
          <w:rFonts w:ascii="Verdana" w:hAnsi="Verdana" w:cs="Arial"/>
          <w:bCs/>
          <w:i/>
          <w:sz w:val="22"/>
          <w:szCs w:val="22"/>
          <w:lang w:val="es-ES_tradnl"/>
        </w:rPr>
        <w:t xml:space="preserve">; en ese </w:t>
      </w:r>
      <w:r w:rsidRPr="00A84B64">
        <w:rPr>
          <w:rFonts w:ascii="Verdana" w:hAnsi="Verdana" w:cs="Arial"/>
          <w:b/>
          <w:bCs/>
          <w:i/>
          <w:sz w:val="22"/>
          <w:szCs w:val="22"/>
          <w:lang w:val="es-ES_tradnl"/>
        </w:rPr>
        <w:t>momento le pedí que necesitaba ir al hospital, que sentía mucho dolor, dijo que la van en que llevaban a los internos no estaba disponible; salí por mis propios medios</w:t>
      </w:r>
      <w:r w:rsidRPr="00A84B64">
        <w:rPr>
          <w:rFonts w:ascii="Verdana" w:hAnsi="Verdana" w:cs="Arial"/>
          <w:bCs/>
          <w:i/>
          <w:sz w:val="22"/>
          <w:szCs w:val="22"/>
          <w:lang w:val="es-ES_tradnl"/>
        </w:rPr>
        <w:t>, cogí un taxi, me fui para el hospital regional de Chiquinquirá, llamé a mis familiares en ese momento, antes de ingresar, me informa la señora</w:t>
      </w:r>
      <w:r w:rsidRPr="00A84B64">
        <w:rPr>
          <w:rFonts w:ascii="Verdana" w:hAnsi="Verdana" w:cs="Arial"/>
          <w:bCs/>
          <w:sz w:val="22"/>
          <w:szCs w:val="22"/>
          <w:lang w:val="es-ES_tradnl"/>
        </w:rPr>
        <w:t xml:space="preserve"> </w:t>
      </w:r>
      <w:r w:rsidRPr="00A84B64">
        <w:rPr>
          <w:rFonts w:ascii="Verdana" w:hAnsi="Verdana" w:cs="Arial"/>
          <w:bCs/>
          <w:i/>
          <w:sz w:val="22"/>
          <w:szCs w:val="22"/>
          <w:lang w:val="es-ES_tradnl"/>
        </w:rPr>
        <w:t>que no estoy afiliado a ningún seguro, ingresé por Salud Vida, que es el seguro que tenía anteriormente y ahí fue ya ese día que me hicieron la valoración…”</w:t>
      </w:r>
    </w:p>
    <w:p w14:paraId="5912BB5A" w14:textId="77777777" w:rsidR="00FD0B66" w:rsidRPr="00A84B64" w:rsidRDefault="00FD0B66" w:rsidP="00833098">
      <w:pPr>
        <w:pStyle w:val="Prrafodelista"/>
        <w:spacing w:line="276" w:lineRule="auto"/>
        <w:ind w:right="-79"/>
        <w:jc w:val="both"/>
        <w:rPr>
          <w:rFonts w:ascii="Verdana" w:hAnsi="Verdana" w:cs="Arial"/>
          <w:bCs/>
          <w:i/>
          <w:sz w:val="22"/>
          <w:szCs w:val="22"/>
          <w:lang w:val="es-ES_tradnl"/>
        </w:rPr>
      </w:pPr>
    </w:p>
    <w:p w14:paraId="508C0C18" w14:textId="7DEA9B22" w:rsidR="00BC26BA" w:rsidRPr="00A84B64" w:rsidRDefault="00BC26BA" w:rsidP="6AD07303">
      <w:pPr>
        <w:pStyle w:val="Prrafodelista"/>
        <w:spacing w:line="276" w:lineRule="auto"/>
        <w:ind w:right="-79"/>
        <w:jc w:val="both"/>
        <w:rPr>
          <w:rFonts w:ascii="Verdana" w:hAnsi="Verdana" w:cs="Arial"/>
          <w:i/>
          <w:iCs/>
          <w:sz w:val="22"/>
          <w:szCs w:val="22"/>
        </w:rPr>
      </w:pPr>
      <w:r w:rsidRPr="00A84B64">
        <w:rPr>
          <w:rFonts w:ascii="Verdana" w:hAnsi="Verdana" w:cs="Arial"/>
          <w:i/>
          <w:iCs/>
          <w:sz w:val="22"/>
          <w:szCs w:val="22"/>
        </w:rPr>
        <w:t>Minuto 31: 36: “</w:t>
      </w:r>
      <w:r w:rsidRPr="00A84B64">
        <w:rPr>
          <w:rFonts w:ascii="Verdana" w:hAnsi="Verdana" w:cs="Arial"/>
          <w:b/>
          <w:bCs/>
          <w:i/>
          <w:iCs/>
          <w:sz w:val="22"/>
          <w:szCs w:val="22"/>
        </w:rPr>
        <w:t xml:space="preserve">Después de haber prestado el servicio militar, duré más de 3 meses en casa </w:t>
      </w:r>
      <w:proofErr w:type="spellStart"/>
      <w:r w:rsidRPr="00A84B64">
        <w:rPr>
          <w:rFonts w:ascii="Verdana" w:hAnsi="Verdana" w:cs="Arial"/>
          <w:b/>
          <w:bCs/>
          <w:i/>
          <w:iCs/>
          <w:sz w:val="22"/>
          <w:szCs w:val="22"/>
        </w:rPr>
        <w:t>iendo</w:t>
      </w:r>
      <w:proofErr w:type="spellEnd"/>
      <w:r w:rsidR="570FF327" w:rsidRPr="00A84B64">
        <w:rPr>
          <w:rFonts w:ascii="Verdana" w:hAnsi="Verdana" w:cs="Arial"/>
          <w:b/>
          <w:bCs/>
          <w:i/>
          <w:iCs/>
          <w:sz w:val="22"/>
          <w:szCs w:val="22"/>
        </w:rPr>
        <w:t>(sic)</w:t>
      </w:r>
      <w:r w:rsidRPr="00A84B64">
        <w:rPr>
          <w:rFonts w:ascii="Verdana" w:hAnsi="Verdana" w:cs="Arial"/>
          <w:b/>
          <w:bCs/>
          <w:i/>
          <w:iCs/>
          <w:sz w:val="22"/>
          <w:szCs w:val="22"/>
        </w:rPr>
        <w:t xml:space="preserve"> el distinguido Manuel, el comandante de guardia, el sargento, me hacían diariamente o semanalmente una visita en mi domicilio, a ver como estaba,</w:t>
      </w:r>
      <w:r w:rsidRPr="00A84B64">
        <w:rPr>
          <w:rFonts w:ascii="Verdana" w:hAnsi="Verdana" w:cs="Arial"/>
          <w:i/>
          <w:iCs/>
          <w:sz w:val="22"/>
          <w:szCs w:val="22"/>
        </w:rPr>
        <w:t xml:space="preserve"> a ver si me encontraba en mi domicilio, hasta que se cumplieron los 12 meses, tuve que ir a Cómbita y ahí </w:t>
      </w:r>
      <w:r w:rsidRPr="00A84B64">
        <w:rPr>
          <w:rFonts w:ascii="Verdana" w:hAnsi="Verdana" w:cs="Arial"/>
          <w:b/>
          <w:bCs/>
          <w:i/>
          <w:iCs/>
          <w:sz w:val="22"/>
          <w:szCs w:val="22"/>
        </w:rPr>
        <w:t>me pusieron unos papeles que estaba aplazado por sanidad militar</w:t>
      </w:r>
      <w:r w:rsidRPr="00A84B64">
        <w:rPr>
          <w:rFonts w:ascii="Verdana" w:hAnsi="Verdana" w:cs="Arial"/>
          <w:i/>
          <w:iCs/>
          <w:sz w:val="22"/>
          <w:szCs w:val="22"/>
        </w:rPr>
        <w:t xml:space="preserve">, hasta que me hicieron la operación y </w:t>
      </w:r>
      <w:r w:rsidRPr="00A84B64">
        <w:rPr>
          <w:rFonts w:ascii="Verdana" w:hAnsi="Verdana" w:cs="Arial"/>
          <w:b/>
          <w:bCs/>
          <w:i/>
          <w:iCs/>
          <w:sz w:val="22"/>
          <w:szCs w:val="22"/>
        </w:rPr>
        <w:t>de resto ahí en la casa y en terapias”</w:t>
      </w:r>
      <w:r w:rsidRPr="00A84B64">
        <w:rPr>
          <w:rFonts w:ascii="Verdana" w:hAnsi="Verdana" w:cs="Arial"/>
          <w:i/>
          <w:iCs/>
          <w:sz w:val="22"/>
          <w:szCs w:val="22"/>
        </w:rPr>
        <w:t>.</w:t>
      </w:r>
    </w:p>
    <w:p w14:paraId="27B8DA53" w14:textId="77777777" w:rsidR="00BC26BA" w:rsidRPr="00A84B64" w:rsidRDefault="00BC26BA" w:rsidP="00833098">
      <w:pPr>
        <w:spacing w:line="276" w:lineRule="auto"/>
        <w:ind w:right="-79"/>
        <w:jc w:val="both"/>
        <w:rPr>
          <w:rFonts w:ascii="Verdana" w:hAnsi="Verdana" w:cs="Arial"/>
          <w:bCs/>
          <w:color w:val="000000" w:themeColor="text1"/>
          <w:sz w:val="22"/>
          <w:szCs w:val="22"/>
          <w:lang w:val="es-ES_tradnl"/>
        </w:rPr>
      </w:pPr>
    </w:p>
    <w:p w14:paraId="799C6150" w14:textId="299BD65B" w:rsidR="00BC26BA" w:rsidRPr="00A84B64" w:rsidRDefault="00BC26BA" w:rsidP="00833098">
      <w:pPr>
        <w:spacing w:line="276" w:lineRule="auto"/>
        <w:ind w:left="708" w:right="-79"/>
        <w:jc w:val="both"/>
        <w:rPr>
          <w:rFonts w:ascii="Verdana" w:hAnsi="Verdana"/>
          <w:sz w:val="22"/>
          <w:szCs w:val="22"/>
        </w:rPr>
      </w:pPr>
      <w:r w:rsidRPr="00A84B64">
        <w:rPr>
          <w:rFonts w:ascii="Verdana" w:hAnsi="Verdana" w:cs="Arial"/>
          <w:bCs/>
          <w:sz w:val="22"/>
          <w:szCs w:val="22"/>
          <w:lang w:val="es-ES_tradnl"/>
        </w:rPr>
        <w:t>Jeisson Fernando Merchán Villamil, expresó: (</w:t>
      </w:r>
      <w:r w:rsidR="00214A74" w:rsidRPr="00A84B64">
        <w:rPr>
          <w:rFonts w:ascii="Verdana" w:hAnsi="Verdana" w:cs="Arial"/>
          <w:bCs/>
          <w:sz w:val="22"/>
          <w:szCs w:val="22"/>
          <w:lang w:val="es-ES_tradnl"/>
        </w:rPr>
        <w:t xml:space="preserve">CD </w:t>
      </w:r>
      <w:r w:rsidRPr="00A84B64">
        <w:rPr>
          <w:rFonts w:ascii="Verdana" w:hAnsi="Verdana"/>
          <w:sz w:val="22"/>
          <w:szCs w:val="22"/>
        </w:rPr>
        <w:t>Folio</w:t>
      </w:r>
      <w:r w:rsidR="00214A74" w:rsidRPr="00A84B64">
        <w:rPr>
          <w:rFonts w:ascii="Verdana" w:hAnsi="Verdana"/>
          <w:sz w:val="22"/>
          <w:szCs w:val="22"/>
        </w:rPr>
        <w:t xml:space="preserve"> </w:t>
      </w:r>
      <w:r w:rsidRPr="00A84B64">
        <w:rPr>
          <w:rFonts w:ascii="Verdana" w:hAnsi="Verdana"/>
          <w:sz w:val="22"/>
          <w:szCs w:val="22"/>
        </w:rPr>
        <w:t>798)</w:t>
      </w:r>
    </w:p>
    <w:p w14:paraId="7F4E3EFB" w14:textId="072B6EAD" w:rsidR="00BC26BA" w:rsidRPr="00A84B64" w:rsidRDefault="00BC26BA" w:rsidP="00833098">
      <w:pPr>
        <w:pStyle w:val="Prrafodelista"/>
        <w:spacing w:line="276" w:lineRule="auto"/>
        <w:ind w:right="-79"/>
        <w:jc w:val="both"/>
        <w:rPr>
          <w:rFonts w:ascii="Verdana" w:hAnsi="Verdana"/>
          <w:i/>
          <w:sz w:val="22"/>
          <w:szCs w:val="22"/>
        </w:rPr>
      </w:pPr>
      <w:r w:rsidRPr="00A84B64">
        <w:rPr>
          <w:rFonts w:ascii="Verdana" w:hAnsi="Verdana"/>
          <w:sz w:val="22"/>
          <w:szCs w:val="22"/>
        </w:rPr>
        <w:t xml:space="preserve">Minuto 58:20: </w:t>
      </w:r>
      <w:r w:rsidRPr="00A84B64">
        <w:rPr>
          <w:rFonts w:ascii="Verdana" w:hAnsi="Verdana"/>
          <w:i/>
          <w:sz w:val="22"/>
          <w:szCs w:val="22"/>
        </w:rPr>
        <w:t>“</w:t>
      </w:r>
      <w:r w:rsidRPr="00A84B64">
        <w:rPr>
          <w:rFonts w:ascii="Verdana" w:hAnsi="Verdana"/>
          <w:b/>
          <w:i/>
          <w:sz w:val="22"/>
          <w:szCs w:val="22"/>
        </w:rPr>
        <w:t>Ellos pensaron que no era nada y lo mandaron fue al arco a tapar</w:t>
      </w:r>
      <w:r w:rsidRPr="00A84B64">
        <w:rPr>
          <w:rFonts w:ascii="Verdana" w:hAnsi="Verdana"/>
          <w:i/>
          <w:sz w:val="22"/>
          <w:szCs w:val="22"/>
        </w:rPr>
        <w:t xml:space="preserve">, como diciendo que no le había pasado nada y </w:t>
      </w:r>
      <w:r w:rsidRPr="00A84B64">
        <w:rPr>
          <w:rFonts w:ascii="Verdana" w:hAnsi="Verdana"/>
          <w:b/>
          <w:i/>
          <w:sz w:val="22"/>
          <w:szCs w:val="22"/>
        </w:rPr>
        <w:t xml:space="preserve">que siguiera jugando, que no fuera </w:t>
      </w:r>
      <w:proofErr w:type="gramStart"/>
      <w:r w:rsidRPr="00A84B64">
        <w:rPr>
          <w:rFonts w:ascii="Verdana" w:hAnsi="Verdana"/>
          <w:b/>
          <w:i/>
          <w:sz w:val="22"/>
          <w:szCs w:val="22"/>
        </w:rPr>
        <w:t>niña</w:t>
      </w:r>
      <w:proofErr w:type="gramEnd"/>
      <w:r w:rsidRPr="00A84B64">
        <w:rPr>
          <w:rFonts w:ascii="Verdana" w:hAnsi="Verdana"/>
          <w:i/>
          <w:sz w:val="22"/>
          <w:szCs w:val="22"/>
        </w:rPr>
        <w:t xml:space="preserve"> mejor dicho, así dijeron, </w:t>
      </w:r>
      <w:r w:rsidR="00ED580F" w:rsidRPr="00A84B64">
        <w:rPr>
          <w:rFonts w:ascii="Verdana" w:hAnsi="Verdana"/>
          <w:i/>
          <w:sz w:val="22"/>
          <w:szCs w:val="22"/>
        </w:rPr>
        <w:t xml:space="preserve">o </w:t>
      </w:r>
      <w:r w:rsidRPr="00A84B64">
        <w:rPr>
          <w:rFonts w:ascii="Verdana" w:hAnsi="Verdana"/>
          <w:i/>
          <w:sz w:val="22"/>
          <w:szCs w:val="22"/>
        </w:rPr>
        <w:t>sea, que no se quejara y a él pues le estaba doliendo la rodilla, pero siguió jugando, los otros le dijeron que siguiera jugando, que eso no le había pasado nada…. Y él se quedó en el alojamiento, cuando nosotros entramos a guardar los internos y él se quedó ahí por lo que estaba jodido de la rodilla”</w:t>
      </w:r>
      <w:r w:rsidR="00FD0B66" w:rsidRPr="00A84B64">
        <w:rPr>
          <w:rFonts w:ascii="Verdana" w:hAnsi="Verdana"/>
          <w:i/>
          <w:sz w:val="22"/>
          <w:szCs w:val="22"/>
        </w:rPr>
        <w:t>.</w:t>
      </w:r>
    </w:p>
    <w:p w14:paraId="77D32C60" w14:textId="77777777" w:rsidR="00BC26BA" w:rsidRPr="00A84B64" w:rsidRDefault="00BC26BA" w:rsidP="00833098">
      <w:pPr>
        <w:pStyle w:val="Prrafodelista"/>
        <w:spacing w:line="276" w:lineRule="auto"/>
        <w:ind w:right="-79"/>
        <w:jc w:val="both"/>
        <w:rPr>
          <w:rFonts w:ascii="Verdana" w:hAnsi="Verdana"/>
          <w:i/>
          <w:sz w:val="22"/>
          <w:szCs w:val="22"/>
        </w:rPr>
      </w:pPr>
    </w:p>
    <w:p w14:paraId="7B5A4F30" w14:textId="6AD3DECA" w:rsidR="00BC26BA" w:rsidRPr="00A84B64" w:rsidRDefault="00BC26BA" w:rsidP="00833098">
      <w:pPr>
        <w:spacing w:line="276" w:lineRule="auto"/>
        <w:ind w:left="708" w:right="-79"/>
        <w:jc w:val="both"/>
        <w:rPr>
          <w:rFonts w:ascii="Verdana" w:hAnsi="Verdana" w:cs="Arial"/>
          <w:bCs/>
          <w:sz w:val="22"/>
          <w:szCs w:val="22"/>
          <w:lang w:val="es-ES_tradnl"/>
        </w:rPr>
      </w:pPr>
      <w:r w:rsidRPr="00A84B64">
        <w:rPr>
          <w:rFonts w:ascii="Verdana" w:hAnsi="Verdana" w:cs="Arial"/>
          <w:bCs/>
          <w:sz w:val="22"/>
          <w:szCs w:val="22"/>
          <w:lang w:val="es-ES_tradnl"/>
        </w:rPr>
        <w:t>Holman David Hernández Rojas</w:t>
      </w:r>
      <w:r w:rsidR="00FD0B66" w:rsidRPr="00A84B64">
        <w:rPr>
          <w:rFonts w:ascii="Verdana" w:hAnsi="Verdana" w:cs="Arial"/>
          <w:bCs/>
          <w:sz w:val="22"/>
          <w:szCs w:val="22"/>
          <w:lang w:val="es-ES_tradnl"/>
        </w:rPr>
        <w:t xml:space="preserve"> (Dragoneante)</w:t>
      </w:r>
      <w:r w:rsidRPr="00A84B64">
        <w:rPr>
          <w:rFonts w:ascii="Verdana" w:hAnsi="Verdana" w:cs="Arial"/>
          <w:bCs/>
          <w:sz w:val="22"/>
          <w:szCs w:val="22"/>
          <w:lang w:val="es-ES_tradnl"/>
        </w:rPr>
        <w:t>, adujo: (CD</w:t>
      </w:r>
      <w:r w:rsidR="00214A74" w:rsidRPr="00A84B64">
        <w:rPr>
          <w:rFonts w:ascii="Verdana" w:hAnsi="Verdana" w:cs="Arial"/>
          <w:bCs/>
          <w:sz w:val="22"/>
          <w:szCs w:val="22"/>
          <w:lang w:val="es-ES_tradnl"/>
        </w:rPr>
        <w:t xml:space="preserve"> Folio </w:t>
      </w:r>
      <w:r w:rsidRPr="00A84B64">
        <w:rPr>
          <w:rFonts w:ascii="Verdana" w:hAnsi="Verdana" w:cs="Arial"/>
          <w:bCs/>
          <w:sz w:val="22"/>
          <w:szCs w:val="22"/>
          <w:lang w:val="es-ES_tradnl"/>
        </w:rPr>
        <w:t xml:space="preserve">853) </w:t>
      </w:r>
    </w:p>
    <w:p w14:paraId="529CEF6E" w14:textId="77777777" w:rsidR="00BC26BA" w:rsidRPr="00A84B64" w:rsidRDefault="00BC26BA" w:rsidP="00833098">
      <w:pPr>
        <w:pStyle w:val="Prrafodelista"/>
        <w:spacing w:line="276" w:lineRule="auto"/>
        <w:ind w:right="-79"/>
        <w:jc w:val="both"/>
        <w:rPr>
          <w:rFonts w:ascii="Verdana" w:hAnsi="Verdana" w:cs="Arial"/>
          <w:bCs/>
          <w:i/>
          <w:sz w:val="22"/>
          <w:szCs w:val="22"/>
          <w:lang w:val="es-ES_tradnl"/>
        </w:rPr>
      </w:pPr>
      <w:r w:rsidRPr="00A84B64">
        <w:rPr>
          <w:rFonts w:ascii="Verdana" w:hAnsi="Verdana" w:cs="Arial"/>
          <w:bCs/>
          <w:sz w:val="22"/>
          <w:szCs w:val="22"/>
          <w:lang w:val="es-ES_tradnl"/>
        </w:rPr>
        <w:t xml:space="preserve">Minuto 11:30 y </w:t>
      </w:r>
      <w:proofErr w:type="spellStart"/>
      <w:r w:rsidRPr="00A84B64">
        <w:rPr>
          <w:rFonts w:ascii="Verdana" w:hAnsi="Verdana" w:cs="Arial"/>
          <w:bCs/>
          <w:sz w:val="22"/>
          <w:szCs w:val="22"/>
          <w:lang w:val="es-ES_tradnl"/>
        </w:rPr>
        <w:t>ss</w:t>
      </w:r>
      <w:proofErr w:type="spellEnd"/>
      <w:r w:rsidRPr="00A84B64">
        <w:rPr>
          <w:rFonts w:ascii="Verdana" w:hAnsi="Verdana" w:cs="Arial"/>
          <w:bCs/>
          <w:sz w:val="22"/>
          <w:szCs w:val="22"/>
          <w:lang w:val="es-ES_tradnl"/>
        </w:rPr>
        <w:t xml:space="preserve">: </w:t>
      </w:r>
      <w:r w:rsidRPr="00A84B64">
        <w:rPr>
          <w:rFonts w:ascii="Verdana" w:hAnsi="Verdana" w:cs="Arial"/>
          <w:b/>
          <w:bCs/>
          <w:i/>
          <w:sz w:val="22"/>
          <w:szCs w:val="22"/>
          <w:lang w:val="es-ES_tradnl"/>
        </w:rPr>
        <w:t>“Él manifestó que le dolía mucho la rodilla y le dijo a uno de los cuadros de mando que estábamos ahí pues que le colaborara, que lo llevara al hospital, o si, que se hiciera revisar por el área de sanidad ahí de la cárcel, pero pues él le dijo que no, que eso no le había pasado nada;</w:t>
      </w:r>
      <w:r w:rsidRPr="00A84B64">
        <w:rPr>
          <w:rFonts w:ascii="Verdana" w:hAnsi="Verdana" w:cs="Arial"/>
          <w:bCs/>
          <w:i/>
          <w:sz w:val="22"/>
          <w:szCs w:val="22"/>
          <w:lang w:val="es-ES_tradnl"/>
        </w:rPr>
        <w:t xml:space="preserve"> él siguió jugando en ese mismo estado en el que estaba, muchos de nosotros vimos que él estaba jodido, pero </w:t>
      </w:r>
      <w:r w:rsidRPr="00A84B64">
        <w:rPr>
          <w:rFonts w:ascii="Verdana" w:hAnsi="Verdana" w:cs="Arial"/>
          <w:b/>
          <w:bCs/>
          <w:i/>
          <w:sz w:val="22"/>
          <w:szCs w:val="22"/>
          <w:lang w:val="es-ES_tradnl"/>
        </w:rPr>
        <w:t>pues el distinguido dijo que no, que eso era normal, que no le había pasado nada</w:t>
      </w:r>
      <w:r w:rsidRPr="00A84B64">
        <w:rPr>
          <w:rFonts w:ascii="Verdana" w:hAnsi="Verdana" w:cs="Arial"/>
          <w:bCs/>
          <w:i/>
          <w:sz w:val="22"/>
          <w:szCs w:val="22"/>
          <w:lang w:val="es-ES_tradnl"/>
        </w:rPr>
        <w:t xml:space="preserve">, después fue que nos fuimos a la encerrada como a las 4:00 pm- 5:00 pm y Ávila no pudo ir a la encerrada y entonces él dijo yo me voy solo para el hospital… </w:t>
      </w:r>
      <w:r w:rsidRPr="00A84B64">
        <w:rPr>
          <w:rFonts w:ascii="Verdana" w:hAnsi="Verdana" w:cs="Arial"/>
          <w:b/>
          <w:bCs/>
          <w:i/>
          <w:sz w:val="22"/>
          <w:szCs w:val="22"/>
          <w:lang w:val="es-ES_tradnl"/>
        </w:rPr>
        <w:t>Él se fue por sus propios medios porque el distinguido le dijo que no había pasado nada, pero nosotros le decíamos que tenía la rodilla muy hinchada, que se miraba muy mal, pero dijo que no, que no tenía nada</w:t>
      </w:r>
      <w:r w:rsidRPr="00A84B64">
        <w:rPr>
          <w:rFonts w:ascii="Verdana" w:hAnsi="Verdana" w:cs="Arial"/>
          <w:bCs/>
          <w:i/>
          <w:sz w:val="22"/>
          <w:szCs w:val="22"/>
          <w:lang w:val="es-ES_tradnl"/>
        </w:rPr>
        <w:t>”.</w:t>
      </w:r>
    </w:p>
    <w:p w14:paraId="4AEC918B" w14:textId="77777777" w:rsidR="00761FE9" w:rsidRPr="00A84B64" w:rsidRDefault="00761FE9" w:rsidP="00833098">
      <w:pPr>
        <w:spacing w:line="276" w:lineRule="auto"/>
        <w:ind w:right="-79"/>
        <w:jc w:val="both"/>
        <w:rPr>
          <w:rFonts w:ascii="Verdana" w:hAnsi="Verdana" w:cs="Arial"/>
          <w:bCs/>
          <w:sz w:val="22"/>
          <w:szCs w:val="22"/>
        </w:rPr>
      </w:pPr>
    </w:p>
    <w:p w14:paraId="2463945B" w14:textId="08C1D078" w:rsidR="00547A96" w:rsidRPr="00A84B64" w:rsidRDefault="00BC26BA" w:rsidP="000C673C">
      <w:pPr>
        <w:spacing w:line="360" w:lineRule="auto"/>
        <w:ind w:right="-79"/>
        <w:jc w:val="both"/>
        <w:rPr>
          <w:rFonts w:ascii="Verdana" w:hAnsi="Verdana" w:cs="Arial"/>
          <w:bCs/>
          <w:sz w:val="22"/>
          <w:szCs w:val="22"/>
        </w:rPr>
      </w:pPr>
      <w:r w:rsidRPr="00A84B64">
        <w:rPr>
          <w:rFonts w:ascii="Verdana" w:hAnsi="Verdana" w:cs="Arial"/>
          <w:bCs/>
          <w:sz w:val="22"/>
          <w:szCs w:val="22"/>
        </w:rPr>
        <w:t>En ese sentido, conforme al interrogatorio de parte y a los testimonios practicados, se tiene acreditado que para el desarrollo de la actividad de acondicionamiento físico -partido de</w:t>
      </w:r>
      <w:r w:rsidR="00AF58F2" w:rsidRPr="00A84B64">
        <w:rPr>
          <w:rFonts w:ascii="Verdana" w:hAnsi="Verdana" w:cs="Arial"/>
          <w:bCs/>
          <w:sz w:val="22"/>
          <w:szCs w:val="22"/>
        </w:rPr>
        <w:t xml:space="preserve"> </w:t>
      </w:r>
      <w:r w:rsidR="007C550D" w:rsidRPr="00A84B64">
        <w:rPr>
          <w:rFonts w:ascii="Verdana" w:hAnsi="Verdana" w:cs="Arial"/>
          <w:bCs/>
          <w:sz w:val="22"/>
          <w:szCs w:val="22"/>
        </w:rPr>
        <w:t>micro</w:t>
      </w:r>
      <w:r w:rsidRPr="00A84B64">
        <w:rPr>
          <w:rFonts w:ascii="Verdana" w:hAnsi="Verdana" w:cs="Arial"/>
          <w:bCs/>
          <w:sz w:val="22"/>
          <w:szCs w:val="22"/>
        </w:rPr>
        <w:t>fútbol-</w:t>
      </w:r>
      <w:r w:rsidR="00AF58F2" w:rsidRPr="00A84B64">
        <w:rPr>
          <w:rFonts w:ascii="Verdana" w:hAnsi="Verdana" w:cs="Arial"/>
          <w:bCs/>
          <w:sz w:val="22"/>
          <w:szCs w:val="22"/>
        </w:rPr>
        <w:t xml:space="preserve"> se improvisó una cancha no apta para la práctica deportiva</w:t>
      </w:r>
      <w:r w:rsidR="00AF58F2" w:rsidRPr="00A84B64">
        <w:rPr>
          <w:rStyle w:val="Refdenotaalpie"/>
          <w:rFonts w:ascii="Verdana" w:hAnsi="Verdana"/>
          <w:bCs/>
          <w:sz w:val="22"/>
          <w:szCs w:val="22"/>
        </w:rPr>
        <w:footnoteReference w:id="14"/>
      </w:r>
      <w:r w:rsidR="00AF58F2" w:rsidRPr="00A84B64">
        <w:rPr>
          <w:rFonts w:ascii="Verdana" w:hAnsi="Verdana" w:cs="Arial"/>
          <w:bCs/>
          <w:sz w:val="22"/>
          <w:szCs w:val="22"/>
        </w:rPr>
        <w:t xml:space="preserve">, valga recordar que de conformidad con el numeral 12 del artículo 17 del Decreto 537 de 1994, dentro de las funciones y obligaciones que los Auxiliares Bachilleres deben cumplir, se encuentra la realización de los ejercicios colectivos que mejoren o mantengan su capacidad física. </w:t>
      </w:r>
    </w:p>
    <w:p w14:paraId="62F49CE2" w14:textId="77777777" w:rsidR="00547A96" w:rsidRPr="00A84B64" w:rsidRDefault="00547A96" w:rsidP="000C673C">
      <w:pPr>
        <w:spacing w:line="360" w:lineRule="auto"/>
        <w:ind w:right="-79"/>
        <w:jc w:val="both"/>
        <w:rPr>
          <w:rFonts w:ascii="Verdana" w:hAnsi="Verdana" w:cs="Arial"/>
          <w:bCs/>
          <w:sz w:val="22"/>
          <w:szCs w:val="22"/>
        </w:rPr>
      </w:pPr>
    </w:p>
    <w:p w14:paraId="2ED6863A" w14:textId="08C17ADF" w:rsidR="00E566CD" w:rsidRPr="00A84B64" w:rsidRDefault="00547A96" w:rsidP="000C673C">
      <w:pPr>
        <w:spacing w:line="360" w:lineRule="auto"/>
        <w:ind w:right="-79"/>
        <w:jc w:val="both"/>
        <w:rPr>
          <w:rFonts w:ascii="Verdana" w:hAnsi="Verdana" w:cs="Arial"/>
          <w:bCs/>
          <w:sz w:val="22"/>
          <w:szCs w:val="22"/>
        </w:rPr>
      </w:pPr>
      <w:r w:rsidRPr="00A84B64">
        <w:rPr>
          <w:rFonts w:ascii="Verdana" w:hAnsi="Verdana" w:cs="Arial"/>
          <w:bCs/>
          <w:sz w:val="22"/>
          <w:szCs w:val="22"/>
        </w:rPr>
        <w:t xml:space="preserve">Adicionalmente, se acreditó que </w:t>
      </w:r>
      <w:r w:rsidR="00BC26BA" w:rsidRPr="00A84B64">
        <w:rPr>
          <w:rFonts w:ascii="Verdana" w:hAnsi="Verdana" w:cs="Arial"/>
          <w:bCs/>
          <w:sz w:val="22"/>
          <w:szCs w:val="22"/>
        </w:rPr>
        <w:t xml:space="preserve">una vez ocurrida la lesión del conscripto e informado a un integrante del cuadro de mando, se le instigó para que continuara participando en el encuentro deportivo, no se le brindó atención médica y tan solo se le permitió salir en busca de atención médica por sus propios medios, una vez se cumplió la labor de encerrar a los internos, configurándose así la falla </w:t>
      </w:r>
      <w:r w:rsidR="00B611F6" w:rsidRPr="00A84B64">
        <w:rPr>
          <w:rFonts w:ascii="Verdana" w:hAnsi="Verdana" w:cs="Arial"/>
          <w:bCs/>
          <w:sz w:val="22"/>
          <w:szCs w:val="22"/>
        </w:rPr>
        <w:t>en la prestación del servicio imputable a</w:t>
      </w:r>
      <w:r w:rsidR="00BC26BA" w:rsidRPr="00A84B64">
        <w:rPr>
          <w:rFonts w:ascii="Verdana" w:hAnsi="Verdana" w:cs="Arial"/>
          <w:bCs/>
          <w:sz w:val="22"/>
          <w:szCs w:val="22"/>
        </w:rPr>
        <w:t xml:space="preserve">l INPEC </w:t>
      </w:r>
      <w:r w:rsidR="00EF1D75" w:rsidRPr="00A84B64">
        <w:rPr>
          <w:rFonts w:ascii="Verdana" w:hAnsi="Verdana" w:cs="Arial"/>
          <w:bCs/>
          <w:sz w:val="22"/>
          <w:szCs w:val="22"/>
        </w:rPr>
        <w:t>por su comportamiento negligente y descuidado, siendo que</w:t>
      </w:r>
      <w:r w:rsidR="00BC26BA" w:rsidRPr="00A84B64">
        <w:rPr>
          <w:rFonts w:ascii="Verdana" w:hAnsi="Verdana" w:cs="Arial"/>
          <w:bCs/>
          <w:sz w:val="22"/>
          <w:szCs w:val="22"/>
        </w:rPr>
        <w:t xml:space="preserve"> tenía</w:t>
      </w:r>
      <w:r w:rsidR="00EF1D75" w:rsidRPr="00A84B64">
        <w:rPr>
          <w:rFonts w:ascii="Verdana" w:hAnsi="Verdana" w:cs="Arial"/>
          <w:bCs/>
          <w:sz w:val="22"/>
          <w:szCs w:val="22"/>
        </w:rPr>
        <w:t xml:space="preserve"> el deber de</w:t>
      </w:r>
      <w:r w:rsidR="00BC26BA" w:rsidRPr="00A84B64">
        <w:rPr>
          <w:rFonts w:ascii="Verdana" w:hAnsi="Verdana" w:cs="Arial"/>
          <w:bCs/>
          <w:sz w:val="22"/>
          <w:szCs w:val="22"/>
        </w:rPr>
        <w:t xml:space="preserve"> guarda y protección del auxiliar bachiller</w:t>
      </w:r>
      <w:r w:rsidR="00B611F6" w:rsidRPr="00A84B64">
        <w:rPr>
          <w:rFonts w:ascii="Verdana" w:hAnsi="Verdana" w:cs="Arial"/>
          <w:bCs/>
          <w:sz w:val="22"/>
          <w:szCs w:val="22"/>
        </w:rPr>
        <w:t xml:space="preserve">, </w:t>
      </w:r>
      <w:r w:rsidR="00EE1D69" w:rsidRPr="00A84B64">
        <w:rPr>
          <w:rFonts w:ascii="Verdana" w:hAnsi="Verdana" w:cs="Arial"/>
          <w:bCs/>
          <w:sz w:val="22"/>
          <w:szCs w:val="22"/>
        </w:rPr>
        <w:t>y por ende, “</w:t>
      </w:r>
      <w:r w:rsidR="00EE1D69" w:rsidRPr="00A84B64">
        <w:rPr>
          <w:rFonts w:ascii="Verdana" w:hAnsi="Verdana" w:cs="Arial"/>
          <w:bCs/>
          <w:i/>
          <w:iCs/>
          <w:sz w:val="22"/>
          <w:szCs w:val="22"/>
        </w:rPr>
        <w:t xml:space="preserve">tenía </w:t>
      </w:r>
      <w:r w:rsidR="00B611F6" w:rsidRPr="00A84B64">
        <w:rPr>
          <w:rFonts w:ascii="Verdana" w:hAnsi="Verdana" w:cs="Arial"/>
          <w:bCs/>
          <w:i/>
          <w:iCs/>
          <w:sz w:val="22"/>
          <w:szCs w:val="22"/>
        </w:rPr>
        <w:t>la obligación de extremar al máximo las medidas de protección y seguridad de los</w:t>
      </w:r>
      <w:r w:rsidR="00EE1D69" w:rsidRPr="00A84B64">
        <w:rPr>
          <w:rFonts w:ascii="Verdana" w:hAnsi="Verdana" w:cs="Arial"/>
          <w:bCs/>
          <w:i/>
          <w:iCs/>
          <w:sz w:val="22"/>
          <w:szCs w:val="22"/>
        </w:rPr>
        <w:t xml:space="preserve"> </w:t>
      </w:r>
      <w:r w:rsidR="00B611F6" w:rsidRPr="00A84B64">
        <w:rPr>
          <w:rFonts w:ascii="Verdana" w:hAnsi="Verdana" w:cs="Arial"/>
          <w:bCs/>
          <w:i/>
          <w:iCs/>
          <w:sz w:val="22"/>
          <w:szCs w:val="22"/>
        </w:rPr>
        <w:t>subordinados en la medida en que se trata de personas sometidas a su custodia y</w:t>
      </w:r>
      <w:r w:rsidR="00EE1D69" w:rsidRPr="00A84B64">
        <w:rPr>
          <w:rFonts w:ascii="Verdana" w:hAnsi="Verdana" w:cs="Arial"/>
          <w:bCs/>
          <w:i/>
          <w:iCs/>
          <w:sz w:val="22"/>
          <w:szCs w:val="22"/>
        </w:rPr>
        <w:t xml:space="preserve"> </w:t>
      </w:r>
      <w:r w:rsidR="00B611F6" w:rsidRPr="00A84B64">
        <w:rPr>
          <w:rFonts w:ascii="Verdana" w:hAnsi="Verdana" w:cs="Arial"/>
          <w:bCs/>
          <w:i/>
          <w:iCs/>
          <w:sz w:val="22"/>
          <w:szCs w:val="22"/>
        </w:rPr>
        <w:t>cuidado</w:t>
      </w:r>
      <w:r w:rsidR="00EE1D69" w:rsidRPr="00A84B64">
        <w:rPr>
          <w:rFonts w:ascii="Verdana" w:hAnsi="Verdana" w:cs="Arial"/>
          <w:bCs/>
          <w:i/>
          <w:iCs/>
          <w:sz w:val="22"/>
          <w:szCs w:val="22"/>
        </w:rPr>
        <w:t>, que no asumen por su propia voluntad o iniciativa, sino por la imposición del Estado</w:t>
      </w:r>
      <w:r w:rsidR="00EE1D69" w:rsidRPr="00A84B64">
        <w:rPr>
          <w:rFonts w:ascii="Verdana" w:hAnsi="Verdana" w:cs="Arial"/>
          <w:bCs/>
          <w:sz w:val="22"/>
          <w:szCs w:val="22"/>
        </w:rPr>
        <w:t>”</w:t>
      </w:r>
      <w:r w:rsidR="00EE1D69" w:rsidRPr="00A84B64">
        <w:rPr>
          <w:rStyle w:val="Refdenotaalpie"/>
          <w:rFonts w:ascii="Verdana" w:hAnsi="Verdana"/>
          <w:bCs/>
          <w:sz w:val="22"/>
          <w:szCs w:val="22"/>
        </w:rPr>
        <w:footnoteReference w:id="15"/>
      </w:r>
      <w:r w:rsidR="00EE1D69" w:rsidRPr="00A84B64">
        <w:rPr>
          <w:rFonts w:ascii="Verdana" w:hAnsi="Verdana" w:cs="Arial"/>
          <w:bCs/>
          <w:sz w:val="22"/>
          <w:szCs w:val="22"/>
        </w:rPr>
        <w:t>.</w:t>
      </w:r>
      <w:r w:rsidR="000C673C" w:rsidRPr="00A84B64">
        <w:rPr>
          <w:rFonts w:ascii="Verdana" w:hAnsi="Verdana" w:cs="Arial"/>
          <w:bCs/>
          <w:sz w:val="22"/>
          <w:szCs w:val="22"/>
        </w:rPr>
        <w:t xml:space="preserve"> </w:t>
      </w:r>
    </w:p>
    <w:p w14:paraId="43E92686" w14:textId="51614EAC" w:rsidR="004C773C" w:rsidRPr="00A84B64" w:rsidRDefault="004C773C" w:rsidP="004C773C">
      <w:pPr>
        <w:spacing w:line="360" w:lineRule="auto"/>
        <w:ind w:right="-79"/>
        <w:jc w:val="both"/>
        <w:rPr>
          <w:rFonts w:ascii="Verdana" w:hAnsi="Verdana"/>
          <w:sz w:val="24"/>
          <w:szCs w:val="24"/>
        </w:rPr>
      </w:pPr>
      <w:r w:rsidRPr="00A84B64">
        <w:rPr>
          <w:rFonts w:ascii="Verdana" w:hAnsi="Verdana" w:cs="Arial"/>
          <w:bCs/>
          <w:sz w:val="24"/>
          <w:szCs w:val="24"/>
        </w:rPr>
        <w:t xml:space="preserve"> </w:t>
      </w:r>
    </w:p>
    <w:p w14:paraId="6277AB82" w14:textId="4FF5BAE2" w:rsidR="004C773C" w:rsidRPr="00A84B64" w:rsidRDefault="004C773C" w:rsidP="6AD07303">
      <w:pPr>
        <w:spacing w:line="360" w:lineRule="auto"/>
        <w:ind w:right="-79"/>
        <w:jc w:val="both"/>
        <w:rPr>
          <w:rFonts w:ascii="Verdana" w:hAnsi="Verdana" w:cs="Arial"/>
          <w:sz w:val="22"/>
          <w:szCs w:val="22"/>
        </w:rPr>
      </w:pPr>
      <w:r w:rsidRPr="00A84B64">
        <w:rPr>
          <w:rFonts w:ascii="Verdana" w:hAnsi="Verdana" w:cs="Arial"/>
          <w:sz w:val="22"/>
          <w:szCs w:val="22"/>
        </w:rPr>
        <w:t xml:space="preserve">Corolario de lo anterior, concluye la Sala, que la entidad demandada INPEC, no logró acreditar </w:t>
      </w:r>
      <w:r w:rsidR="008E3BD8" w:rsidRPr="00A84B64">
        <w:rPr>
          <w:rFonts w:ascii="Verdana" w:hAnsi="Verdana" w:cs="Arial"/>
          <w:sz w:val="22"/>
          <w:szCs w:val="22"/>
        </w:rPr>
        <w:t>la inexistencia del nexo causal</w:t>
      </w:r>
      <w:r w:rsidRPr="00A84B64">
        <w:rPr>
          <w:rFonts w:ascii="Verdana" w:hAnsi="Verdana" w:cs="Arial"/>
          <w:sz w:val="22"/>
          <w:szCs w:val="22"/>
        </w:rPr>
        <w:t xml:space="preserve"> entre el daño y el hecho u omisión que l</w:t>
      </w:r>
      <w:r w:rsidR="008E3BD8" w:rsidRPr="00A84B64">
        <w:rPr>
          <w:rFonts w:ascii="Verdana" w:hAnsi="Verdana" w:cs="Arial"/>
          <w:sz w:val="22"/>
          <w:szCs w:val="22"/>
        </w:rPr>
        <w:t>o</w:t>
      </w:r>
      <w:r w:rsidRPr="00A84B64">
        <w:rPr>
          <w:rFonts w:ascii="Verdana" w:hAnsi="Verdana" w:cs="Arial"/>
          <w:sz w:val="22"/>
          <w:szCs w:val="22"/>
        </w:rPr>
        <w:t xml:space="preserve"> produjo </w:t>
      </w:r>
      <w:r w:rsidR="05820051" w:rsidRPr="00A84B64">
        <w:rPr>
          <w:rFonts w:ascii="Verdana" w:hAnsi="Verdana" w:cs="Arial"/>
          <w:sz w:val="22"/>
          <w:szCs w:val="22"/>
        </w:rPr>
        <w:t>y,</w:t>
      </w:r>
      <w:r w:rsidRPr="00A84B64">
        <w:rPr>
          <w:rFonts w:ascii="Verdana" w:hAnsi="Verdana" w:cs="Arial"/>
          <w:sz w:val="22"/>
          <w:szCs w:val="22"/>
        </w:rPr>
        <w:t xml:space="preserve"> por tanto</w:t>
      </w:r>
      <w:r w:rsidR="008E3BD8" w:rsidRPr="00A84B64">
        <w:rPr>
          <w:rFonts w:ascii="Verdana" w:hAnsi="Verdana" w:cs="Arial"/>
          <w:sz w:val="22"/>
          <w:szCs w:val="22"/>
        </w:rPr>
        <w:t>,</w:t>
      </w:r>
      <w:r w:rsidR="000560C9" w:rsidRPr="00A84B64">
        <w:rPr>
          <w:rFonts w:ascii="Verdana" w:hAnsi="Verdana" w:cs="Arial"/>
          <w:sz w:val="22"/>
          <w:szCs w:val="22"/>
        </w:rPr>
        <w:t xml:space="preserve"> hay lugar a declarar</w:t>
      </w:r>
      <w:r w:rsidR="007C550D" w:rsidRPr="00A84B64">
        <w:rPr>
          <w:rFonts w:ascii="Verdana" w:hAnsi="Verdana" w:cs="Arial"/>
          <w:sz w:val="22"/>
          <w:szCs w:val="22"/>
        </w:rPr>
        <w:t>lo</w:t>
      </w:r>
      <w:r w:rsidR="000560C9" w:rsidRPr="00A84B64">
        <w:rPr>
          <w:rFonts w:ascii="Verdana" w:hAnsi="Verdana" w:cs="Arial"/>
          <w:sz w:val="22"/>
          <w:szCs w:val="22"/>
        </w:rPr>
        <w:t xml:space="preserve"> patrimonialmente responsable por los perjuicios materiales e inmateriales causados a los demandantes con ocasión de la lesión sufrida por el señor Luis Eduardo Ávila Gaitán,</w:t>
      </w:r>
      <w:r w:rsidRPr="00A84B64">
        <w:rPr>
          <w:rFonts w:ascii="Verdana" w:hAnsi="Verdana" w:cs="Arial"/>
          <w:sz w:val="22"/>
          <w:szCs w:val="22"/>
        </w:rPr>
        <w:t xml:space="preserve"> </w:t>
      </w:r>
      <w:r w:rsidR="008E3BD8" w:rsidRPr="00A84B64">
        <w:rPr>
          <w:rFonts w:ascii="Verdana" w:hAnsi="Verdana" w:cs="Arial"/>
          <w:sz w:val="22"/>
          <w:szCs w:val="22"/>
        </w:rPr>
        <w:t xml:space="preserve">tal como se </w:t>
      </w:r>
      <w:r w:rsidR="000560C9" w:rsidRPr="00A84B64">
        <w:rPr>
          <w:rFonts w:ascii="Verdana" w:hAnsi="Verdana" w:cs="Arial"/>
          <w:sz w:val="22"/>
          <w:szCs w:val="22"/>
        </w:rPr>
        <w:t>decidió</w:t>
      </w:r>
      <w:r w:rsidR="008E3BD8" w:rsidRPr="00A84B64">
        <w:rPr>
          <w:rFonts w:ascii="Verdana" w:hAnsi="Verdana" w:cs="Arial"/>
          <w:sz w:val="22"/>
          <w:szCs w:val="22"/>
        </w:rPr>
        <w:t xml:space="preserve"> en el fallo de primera instancia</w:t>
      </w:r>
      <w:r w:rsidR="000560C9" w:rsidRPr="00A84B64">
        <w:rPr>
          <w:rFonts w:ascii="Verdana" w:hAnsi="Verdana" w:cs="Arial"/>
          <w:sz w:val="22"/>
          <w:szCs w:val="22"/>
        </w:rPr>
        <w:t>.</w:t>
      </w:r>
    </w:p>
    <w:p w14:paraId="07B3FB2E" w14:textId="1E237DD2" w:rsidR="000F33A9" w:rsidRPr="00A84B64" w:rsidRDefault="000F33A9" w:rsidP="004C773C">
      <w:pPr>
        <w:spacing w:line="360" w:lineRule="auto"/>
        <w:ind w:right="-79"/>
        <w:jc w:val="both"/>
        <w:rPr>
          <w:rFonts w:ascii="Verdana" w:hAnsi="Verdana" w:cs="Arial"/>
          <w:bCs/>
          <w:sz w:val="22"/>
          <w:szCs w:val="22"/>
        </w:rPr>
      </w:pPr>
    </w:p>
    <w:p w14:paraId="774A1AD5" w14:textId="37FA9758" w:rsidR="000F33A9" w:rsidRPr="00A84B64" w:rsidRDefault="000F33A9" w:rsidP="000F33A9">
      <w:pPr>
        <w:spacing w:line="360" w:lineRule="auto"/>
        <w:ind w:right="-79"/>
        <w:jc w:val="both"/>
        <w:rPr>
          <w:rFonts w:ascii="Verdana" w:hAnsi="Verdana" w:cs="Arial"/>
          <w:b/>
          <w:sz w:val="22"/>
          <w:szCs w:val="22"/>
        </w:rPr>
      </w:pPr>
      <w:r w:rsidRPr="00A84B64">
        <w:rPr>
          <w:rFonts w:ascii="Verdana" w:hAnsi="Verdana" w:cs="Arial"/>
          <w:b/>
          <w:sz w:val="22"/>
          <w:szCs w:val="22"/>
        </w:rPr>
        <w:t xml:space="preserve">3.1.2.2.1 De la responsabilidad de </w:t>
      </w:r>
      <w:bookmarkStart w:id="5" w:name="_Hlk94008004"/>
      <w:r w:rsidRPr="00A84B64">
        <w:rPr>
          <w:rFonts w:ascii="Verdana" w:hAnsi="Verdana" w:cs="Arial"/>
          <w:b/>
          <w:sz w:val="22"/>
          <w:szCs w:val="22"/>
        </w:rPr>
        <w:t xml:space="preserve">la </w:t>
      </w:r>
      <w:r w:rsidR="00011FB3" w:rsidRPr="00A84B64">
        <w:rPr>
          <w:rFonts w:ascii="Verdana" w:hAnsi="Verdana" w:cs="Arial"/>
          <w:b/>
          <w:sz w:val="22"/>
          <w:szCs w:val="22"/>
        </w:rPr>
        <w:t>A</w:t>
      </w:r>
      <w:r w:rsidRPr="00A84B64">
        <w:rPr>
          <w:rFonts w:ascii="Verdana" w:hAnsi="Verdana" w:cs="Arial"/>
          <w:b/>
          <w:sz w:val="22"/>
          <w:szCs w:val="22"/>
        </w:rPr>
        <w:t>seguradora SEGUROS DE VIDA DEL ESTADO S.A</w:t>
      </w:r>
      <w:r w:rsidR="00011FB3" w:rsidRPr="00A84B64">
        <w:rPr>
          <w:rFonts w:ascii="Verdana" w:hAnsi="Verdana" w:cs="Arial"/>
          <w:b/>
          <w:sz w:val="22"/>
          <w:szCs w:val="22"/>
        </w:rPr>
        <w:t>.</w:t>
      </w:r>
      <w:bookmarkEnd w:id="5"/>
    </w:p>
    <w:p w14:paraId="70F44A9F" w14:textId="4F5535F5" w:rsidR="000F33A9" w:rsidRPr="00A84B64" w:rsidRDefault="000F33A9" w:rsidP="000F33A9">
      <w:pPr>
        <w:spacing w:line="360" w:lineRule="auto"/>
        <w:ind w:right="-79"/>
        <w:jc w:val="both"/>
        <w:rPr>
          <w:rFonts w:ascii="Verdana" w:hAnsi="Verdana"/>
          <w:sz w:val="24"/>
          <w:szCs w:val="24"/>
        </w:rPr>
      </w:pPr>
    </w:p>
    <w:p w14:paraId="1695C620" w14:textId="23BFC75D" w:rsidR="003C6B8D" w:rsidRPr="00A84B64" w:rsidRDefault="003C6B8D" w:rsidP="003C6B8D">
      <w:pPr>
        <w:spacing w:line="360" w:lineRule="auto"/>
        <w:ind w:right="-79"/>
        <w:jc w:val="both"/>
        <w:rPr>
          <w:rFonts w:ascii="Verdana" w:hAnsi="Verdana" w:cs="Arial"/>
          <w:bCs/>
          <w:sz w:val="22"/>
          <w:szCs w:val="22"/>
        </w:rPr>
      </w:pPr>
      <w:r w:rsidRPr="00A84B64">
        <w:rPr>
          <w:rFonts w:ascii="Verdana" w:hAnsi="Verdana"/>
          <w:sz w:val="22"/>
          <w:szCs w:val="22"/>
        </w:rPr>
        <w:t xml:space="preserve">En este punto, memora la Sala que uno de los motivos de inconformidad del apoderado de </w:t>
      </w:r>
      <w:r w:rsidRPr="00A84B64">
        <w:rPr>
          <w:rFonts w:ascii="Verdana" w:hAnsi="Verdana" w:cs="Arial"/>
          <w:bCs/>
          <w:sz w:val="22"/>
          <w:szCs w:val="22"/>
        </w:rPr>
        <w:t xml:space="preserve">SEGUROS DE VIDA DEL ESTADO S.A., tiene que ver con la no resolución de las excepciones previas propuestas por la entidad, esto es, i) prescripción, y </w:t>
      </w:r>
      <w:proofErr w:type="spellStart"/>
      <w:r w:rsidRPr="00A84B64">
        <w:rPr>
          <w:rFonts w:ascii="Verdana" w:hAnsi="Verdana" w:cs="Arial"/>
          <w:bCs/>
          <w:sz w:val="22"/>
          <w:szCs w:val="22"/>
        </w:rPr>
        <w:t>ii</w:t>
      </w:r>
      <w:proofErr w:type="spellEnd"/>
      <w:r w:rsidRPr="00A84B64">
        <w:rPr>
          <w:rFonts w:ascii="Verdana" w:hAnsi="Verdana" w:cs="Arial"/>
          <w:bCs/>
          <w:sz w:val="22"/>
          <w:szCs w:val="22"/>
        </w:rPr>
        <w:t xml:space="preserve">) falta de competencia, las cuales en la audiencia inicial fueron </w:t>
      </w:r>
      <w:r w:rsidRPr="00A84B64">
        <w:rPr>
          <w:rFonts w:ascii="Verdana" w:hAnsi="Verdana" w:cs="Arial"/>
          <w:bCs/>
          <w:sz w:val="22"/>
          <w:szCs w:val="22"/>
        </w:rPr>
        <w:lastRenderedPageBreak/>
        <w:t>diferidas para ser analizadas con el fondo del asunto, sin embargo, no se resolvieron en la sentencia.</w:t>
      </w:r>
    </w:p>
    <w:p w14:paraId="0ADE6802" w14:textId="77777777" w:rsidR="003C6B8D" w:rsidRPr="00A84B64" w:rsidRDefault="003C6B8D" w:rsidP="003C6B8D">
      <w:pPr>
        <w:spacing w:line="360" w:lineRule="auto"/>
        <w:ind w:right="-79"/>
        <w:jc w:val="both"/>
        <w:rPr>
          <w:rFonts w:ascii="Verdana" w:hAnsi="Verdana" w:cs="Arial"/>
          <w:bCs/>
          <w:sz w:val="22"/>
          <w:szCs w:val="22"/>
        </w:rPr>
      </w:pPr>
    </w:p>
    <w:p w14:paraId="1148D8EA" w14:textId="61BCE43C" w:rsidR="003C6B8D" w:rsidRPr="00A84B64" w:rsidRDefault="003C6B8D" w:rsidP="6AD07303">
      <w:pPr>
        <w:spacing w:line="360" w:lineRule="auto"/>
        <w:ind w:right="-79"/>
        <w:jc w:val="both"/>
        <w:rPr>
          <w:rFonts w:ascii="Verdana" w:hAnsi="Verdana" w:cs="Arial"/>
          <w:sz w:val="22"/>
          <w:szCs w:val="22"/>
        </w:rPr>
      </w:pPr>
      <w:r w:rsidRPr="00A84B64">
        <w:rPr>
          <w:rFonts w:ascii="Verdana" w:hAnsi="Verdana" w:cs="Arial"/>
          <w:sz w:val="22"/>
          <w:szCs w:val="22"/>
        </w:rPr>
        <w:t>En tal sentido, una vez examinados los argumentos esgrimidos por el apoderado de SEGUROS DE VIDA DEL ESTADO S.A. en el escrito de excepciones previas (</w:t>
      </w:r>
      <w:proofErr w:type="spellStart"/>
      <w:r w:rsidRPr="00A84B64">
        <w:rPr>
          <w:rFonts w:ascii="Verdana" w:hAnsi="Verdana" w:cs="Arial"/>
          <w:sz w:val="22"/>
          <w:szCs w:val="22"/>
        </w:rPr>
        <w:t>fls</w:t>
      </w:r>
      <w:proofErr w:type="spellEnd"/>
      <w:r w:rsidRPr="00A84B64">
        <w:rPr>
          <w:rFonts w:ascii="Verdana" w:hAnsi="Verdana" w:cs="Arial"/>
          <w:sz w:val="22"/>
          <w:szCs w:val="22"/>
        </w:rPr>
        <w:t xml:space="preserve">. 410 a 413) se puede establecer que la excepción de prescripción hace referencia a la prescripción extintiva de las acciones derivadas de los contratos de seguro que conforme al artículo 1081 del Código de Comercio es de dos (2) años contados desde el momento en que el interesado haya tenido o debido tener conocimiento del hecho base de la acción, a su vez, se tiene que la excepción de falta de competencia, hizo referencia más bien a la falta de jurisdicción ya que se argumentó que frente a la aseguradora no se debió haber incoado acción contencioso administrativa sino una ordinaria. </w:t>
      </w:r>
    </w:p>
    <w:p w14:paraId="268CBA06" w14:textId="77777777" w:rsidR="00A25987" w:rsidRPr="00A84B64" w:rsidRDefault="00A25987" w:rsidP="6AD07303">
      <w:pPr>
        <w:spacing w:line="360" w:lineRule="auto"/>
        <w:ind w:right="-79"/>
        <w:jc w:val="both"/>
        <w:rPr>
          <w:rFonts w:ascii="Verdana" w:hAnsi="Verdana" w:cs="Arial"/>
          <w:sz w:val="22"/>
          <w:szCs w:val="22"/>
        </w:rPr>
      </w:pPr>
    </w:p>
    <w:p w14:paraId="32B647B9" w14:textId="77777777" w:rsidR="003C6B8D" w:rsidRPr="00A84B64" w:rsidRDefault="003C6B8D" w:rsidP="6AD07303">
      <w:pPr>
        <w:spacing w:line="360" w:lineRule="auto"/>
        <w:ind w:right="-79"/>
        <w:jc w:val="both"/>
        <w:rPr>
          <w:rFonts w:ascii="Verdana" w:hAnsi="Verdana" w:cs="Arial"/>
          <w:sz w:val="22"/>
          <w:szCs w:val="22"/>
        </w:rPr>
      </w:pPr>
      <w:r w:rsidRPr="00A84B64">
        <w:rPr>
          <w:rFonts w:ascii="Verdana" w:hAnsi="Verdana" w:cs="Arial"/>
          <w:sz w:val="22"/>
          <w:szCs w:val="22"/>
        </w:rPr>
        <w:t xml:space="preserve">Respecto a las excepciones en mención, la juez de primera instancia en la audiencia inicial celebrada </w:t>
      </w:r>
      <w:bookmarkStart w:id="6" w:name="_Hlk94035212"/>
      <w:r w:rsidRPr="00A84B64">
        <w:rPr>
          <w:rFonts w:ascii="Verdana" w:hAnsi="Verdana" w:cs="Arial"/>
          <w:sz w:val="22"/>
          <w:szCs w:val="22"/>
        </w:rPr>
        <w:t xml:space="preserve">el 24 de noviembre de 2017 </w:t>
      </w:r>
      <w:bookmarkEnd w:id="6"/>
      <w:r w:rsidRPr="00A84B64">
        <w:rPr>
          <w:rFonts w:ascii="Verdana" w:hAnsi="Verdana" w:cs="Arial"/>
          <w:sz w:val="22"/>
          <w:szCs w:val="22"/>
        </w:rPr>
        <w:t>señaló:</w:t>
      </w:r>
    </w:p>
    <w:p w14:paraId="15EA5F53" w14:textId="77777777" w:rsidR="003C6B8D" w:rsidRPr="00A84B64" w:rsidRDefault="003C6B8D" w:rsidP="003C6B8D">
      <w:pPr>
        <w:spacing w:line="360" w:lineRule="auto"/>
        <w:ind w:right="-79"/>
        <w:jc w:val="both"/>
        <w:rPr>
          <w:rFonts w:ascii="Verdana" w:hAnsi="Verdana" w:cs="Arial"/>
          <w:bCs/>
          <w:sz w:val="22"/>
          <w:szCs w:val="22"/>
        </w:rPr>
      </w:pPr>
    </w:p>
    <w:p w14:paraId="5B57A1D5" w14:textId="77777777" w:rsidR="003C6B8D" w:rsidRPr="00A84B64" w:rsidRDefault="003C6B8D" w:rsidP="003C6B8D">
      <w:pPr>
        <w:spacing w:line="276" w:lineRule="auto"/>
        <w:ind w:left="708" w:right="-79"/>
        <w:jc w:val="both"/>
        <w:rPr>
          <w:rFonts w:ascii="Verdana" w:hAnsi="Verdana" w:cs="Arial"/>
          <w:bCs/>
          <w:i/>
          <w:iCs/>
          <w:sz w:val="22"/>
          <w:szCs w:val="22"/>
        </w:rPr>
      </w:pPr>
      <w:r w:rsidRPr="00A84B64">
        <w:rPr>
          <w:rFonts w:ascii="Verdana" w:hAnsi="Verdana" w:cs="Arial"/>
          <w:bCs/>
          <w:sz w:val="22"/>
          <w:szCs w:val="22"/>
        </w:rPr>
        <w:t>“</w:t>
      </w:r>
      <w:r w:rsidRPr="00A84B64">
        <w:rPr>
          <w:rFonts w:ascii="Verdana" w:hAnsi="Verdana" w:cs="Arial"/>
          <w:bCs/>
          <w:i/>
          <w:iCs/>
          <w:sz w:val="22"/>
          <w:szCs w:val="22"/>
        </w:rPr>
        <w:t>Frente a la excepción de prescripción y frente a la excepción de falta de competencia. Pese a que han sido enunciadas como previas, atacan el fondo del asunto, por lo que dirá el Despacho que no constituyen excepciones previas, por lo que se decidirán en la sentencia</w:t>
      </w:r>
    </w:p>
    <w:p w14:paraId="4BE84870" w14:textId="77777777" w:rsidR="003C6B8D" w:rsidRPr="00A84B64" w:rsidRDefault="003C6B8D" w:rsidP="003C6B8D">
      <w:pPr>
        <w:spacing w:line="276" w:lineRule="auto"/>
        <w:ind w:right="-79" w:firstLine="708"/>
        <w:jc w:val="both"/>
        <w:rPr>
          <w:rFonts w:ascii="Verdana" w:hAnsi="Verdana" w:cs="Arial"/>
          <w:bCs/>
          <w:i/>
          <w:iCs/>
          <w:sz w:val="22"/>
          <w:szCs w:val="22"/>
        </w:rPr>
      </w:pPr>
      <w:r w:rsidRPr="00A84B64">
        <w:rPr>
          <w:rFonts w:ascii="Verdana" w:hAnsi="Verdana" w:cs="Arial"/>
          <w:bCs/>
          <w:i/>
          <w:iCs/>
          <w:sz w:val="22"/>
          <w:szCs w:val="22"/>
        </w:rPr>
        <w:t>(…)</w:t>
      </w:r>
    </w:p>
    <w:p w14:paraId="292FC549" w14:textId="77777777" w:rsidR="003C6B8D" w:rsidRPr="00A84B64" w:rsidRDefault="003C6B8D" w:rsidP="003C6B8D">
      <w:pPr>
        <w:spacing w:line="276" w:lineRule="auto"/>
        <w:ind w:right="-79" w:firstLine="708"/>
        <w:jc w:val="both"/>
        <w:rPr>
          <w:rFonts w:ascii="Verdana" w:hAnsi="Verdana" w:cs="Arial"/>
          <w:bCs/>
          <w:i/>
          <w:iCs/>
          <w:sz w:val="22"/>
          <w:szCs w:val="22"/>
        </w:rPr>
      </w:pPr>
      <w:r w:rsidRPr="00A84B64">
        <w:rPr>
          <w:rFonts w:ascii="Verdana" w:hAnsi="Verdana" w:cs="Arial"/>
          <w:bCs/>
          <w:i/>
          <w:iCs/>
          <w:sz w:val="22"/>
          <w:szCs w:val="22"/>
        </w:rPr>
        <w:t>Por lo anterior, el juzgado resuelve:</w:t>
      </w:r>
    </w:p>
    <w:p w14:paraId="28B037C5" w14:textId="77777777" w:rsidR="003C6B8D" w:rsidRPr="00A84B64" w:rsidRDefault="003C6B8D" w:rsidP="003C6B8D">
      <w:pPr>
        <w:spacing w:line="276" w:lineRule="auto"/>
        <w:ind w:right="-79" w:firstLine="708"/>
        <w:jc w:val="both"/>
        <w:rPr>
          <w:rFonts w:ascii="Verdana" w:hAnsi="Verdana" w:cs="Arial"/>
          <w:bCs/>
          <w:i/>
          <w:iCs/>
          <w:sz w:val="22"/>
          <w:szCs w:val="22"/>
        </w:rPr>
      </w:pPr>
      <w:r w:rsidRPr="00A84B64">
        <w:rPr>
          <w:rFonts w:ascii="Verdana" w:hAnsi="Verdana" w:cs="Arial"/>
          <w:bCs/>
          <w:i/>
          <w:iCs/>
          <w:sz w:val="22"/>
          <w:szCs w:val="22"/>
        </w:rPr>
        <w:t>(…)</w:t>
      </w:r>
    </w:p>
    <w:p w14:paraId="0B584787" w14:textId="77777777" w:rsidR="003C6B8D" w:rsidRPr="00A84B64" w:rsidRDefault="003C6B8D" w:rsidP="003C6B8D">
      <w:pPr>
        <w:spacing w:line="276" w:lineRule="auto"/>
        <w:ind w:left="708" w:right="-79"/>
        <w:jc w:val="both"/>
        <w:rPr>
          <w:rFonts w:ascii="Verdana" w:hAnsi="Verdana" w:cs="Arial"/>
          <w:bCs/>
          <w:i/>
          <w:iCs/>
          <w:sz w:val="22"/>
          <w:szCs w:val="22"/>
        </w:rPr>
      </w:pPr>
      <w:r w:rsidRPr="00A84B64">
        <w:rPr>
          <w:rFonts w:ascii="Verdana" w:hAnsi="Verdana" w:cs="Arial"/>
          <w:bCs/>
          <w:i/>
          <w:iCs/>
          <w:sz w:val="22"/>
          <w:szCs w:val="22"/>
        </w:rPr>
        <w:t xml:space="preserve">2. </w:t>
      </w:r>
      <w:bookmarkStart w:id="7" w:name="_Hlk94035192"/>
      <w:r w:rsidRPr="00A84B64">
        <w:rPr>
          <w:rFonts w:ascii="Verdana" w:hAnsi="Verdana" w:cs="Arial"/>
          <w:bCs/>
          <w:i/>
          <w:iCs/>
          <w:sz w:val="22"/>
          <w:szCs w:val="22"/>
        </w:rPr>
        <w:t xml:space="preserve">Diferir al momento de la sentencia, la resolución de las excepciones de falta de legitimación en la causa por pasiva, prescripción, falta de competencia </w:t>
      </w:r>
      <w:bookmarkEnd w:id="7"/>
      <w:r w:rsidRPr="00A84B64">
        <w:rPr>
          <w:rFonts w:ascii="Verdana" w:hAnsi="Verdana" w:cs="Arial"/>
          <w:bCs/>
          <w:i/>
          <w:iCs/>
          <w:sz w:val="22"/>
          <w:szCs w:val="22"/>
        </w:rPr>
        <w:t>y las demás esgrimidas por las personas que integran el extremo pasivo de la litis.</w:t>
      </w:r>
    </w:p>
    <w:p w14:paraId="54BCBA0B" w14:textId="77777777" w:rsidR="003C6B8D" w:rsidRPr="00A84B64" w:rsidRDefault="003C6B8D" w:rsidP="003C6B8D">
      <w:pPr>
        <w:spacing w:line="276" w:lineRule="auto"/>
        <w:ind w:right="-79" w:firstLine="708"/>
        <w:jc w:val="both"/>
        <w:rPr>
          <w:rFonts w:ascii="Verdana" w:hAnsi="Verdana" w:cs="Arial"/>
          <w:bCs/>
          <w:sz w:val="22"/>
          <w:szCs w:val="22"/>
        </w:rPr>
      </w:pPr>
      <w:r w:rsidRPr="00A84B64">
        <w:rPr>
          <w:rFonts w:ascii="Verdana" w:hAnsi="Verdana" w:cs="Arial"/>
          <w:bCs/>
          <w:i/>
          <w:iCs/>
          <w:sz w:val="22"/>
          <w:szCs w:val="22"/>
        </w:rPr>
        <w:t>3. Continuar con la etapa subsiguiente de la audiencia”.</w:t>
      </w:r>
    </w:p>
    <w:p w14:paraId="673A1415" w14:textId="77777777" w:rsidR="003C6B8D" w:rsidRPr="00A84B64" w:rsidRDefault="003C6B8D" w:rsidP="003C6B8D">
      <w:pPr>
        <w:spacing w:line="360" w:lineRule="auto"/>
        <w:ind w:right="-79"/>
        <w:jc w:val="both"/>
        <w:rPr>
          <w:rFonts w:ascii="Verdana" w:hAnsi="Verdana" w:cs="Arial"/>
          <w:bCs/>
          <w:sz w:val="22"/>
          <w:szCs w:val="22"/>
        </w:rPr>
      </w:pPr>
    </w:p>
    <w:p w14:paraId="3A214C89" w14:textId="0EA5CEB3" w:rsidR="003C6B8D" w:rsidRPr="00A84B64" w:rsidRDefault="003C6B8D" w:rsidP="6AD07303">
      <w:pPr>
        <w:spacing w:line="360" w:lineRule="auto"/>
        <w:jc w:val="both"/>
        <w:rPr>
          <w:rFonts w:ascii="Verdana" w:hAnsi="Verdana" w:cs="Arial"/>
          <w:sz w:val="22"/>
          <w:szCs w:val="22"/>
        </w:rPr>
      </w:pPr>
      <w:r w:rsidRPr="00A84B64">
        <w:rPr>
          <w:rFonts w:ascii="Verdana" w:hAnsi="Verdana" w:cs="Arial"/>
          <w:sz w:val="22"/>
          <w:szCs w:val="22"/>
        </w:rPr>
        <w:t>Bajo ese contexto, la Sala dirá que sin lugar a dudas las excepciones que propuso el apoderado de SEGUROS DE VIDA DEL ESTADO S.A. correspondían a excepciones previas que han debido resolverse en la audiencia inicial, tal como lo establece el numeral 6º del artículo 180 de la Ley 1437 de 2011, toda vez que la falta</w:t>
      </w:r>
      <w:r w:rsidRPr="00A84B64">
        <w:t xml:space="preserve"> </w:t>
      </w:r>
      <w:r w:rsidRPr="00A84B64">
        <w:rPr>
          <w:rFonts w:ascii="Verdana" w:hAnsi="Verdana" w:cs="Arial"/>
          <w:sz w:val="22"/>
          <w:szCs w:val="22"/>
        </w:rPr>
        <w:t xml:space="preserve">de jurisdicción o de competencia se encuentra enlistada dentro de las excepciones previas contempladas en el artículo 100 del CGP, a su vez, la excepción de prescripción extintiva se encuentra taxativamente señalada como excepción previa en el primer inciso del numeral 6º del artículo 180 de la Ley 1437 de 2011. Adicionalmente, el inciso tercero </w:t>
      </w:r>
      <w:r w:rsidR="5B63AF51" w:rsidRPr="00A84B64">
        <w:rPr>
          <w:rFonts w:ascii="Verdana" w:hAnsi="Verdana" w:cs="Arial"/>
          <w:sz w:val="22"/>
          <w:szCs w:val="22"/>
        </w:rPr>
        <w:t>ibidem</w:t>
      </w:r>
      <w:r w:rsidRPr="00A84B64">
        <w:rPr>
          <w:rFonts w:ascii="Verdana" w:hAnsi="Verdana" w:cs="Arial"/>
          <w:sz w:val="22"/>
          <w:szCs w:val="22"/>
        </w:rPr>
        <w:t xml:space="preserve"> señala que “</w:t>
      </w:r>
      <w:r w:rsidRPr="00A84B64">
        <w:rPr>
          <w:rFonts w:ascii="Verdana" w:hAnsi="Verdana" w:cs="Arial"/>
          <w:i/>
          <w:iCs/>
          <w:sz w:val="22"/>
          <w:szCs w:val="22"/>
        </w:rPr>
        <w:t>si alguna de ellas prospera, el juez o magistrado dará por terminado el proceso, cuando a ello hubiere lugar</w:t>
      </w:r>
      <w:r w:rsidRPr="00A84B64">
        <w:rPr>
          <w:rFonts w:ascii="Verdana" w:hAnsi="Verdana" w:cs="Arial"/>
          <w:sz w:val="22"/>
          <w:szCs w:val="22"/>
        </w:rPr>
        <w:t xml:space="preserve">” y el último inciso </w:t>
      </w:r>
      <w:r w:rsidR="15D536B4" w:rsidRPr="00A84B64">
        <w:rPr>
          <w:rFonts w:ascii="Verdana" w:hAnsi="Verdana" w:cs="Arial"/>
          <w:sz w:val="22"/>
          <w:szCs w:val="22"/>
        </w:rPr>
        <w:t>ibidem</w:t>
      </w:r>
      <w:r w:rsidRPr="00A84B64">
        <w:rPr>
          <w:rFonts w:ascii="Verdana" w:hAnsi="Verdana" w:cs="Arial"/>
          <w:sz w:val="22"/>
          <w:szCs w:val="22"/>
        </w:rPr>
        <w:t xml:space="preserve"> establece que “</w:t>
      </w:r>
      <w:r w:rsidRPr="00A84B64">
        <w:rPr>
          <w:rFonts w:ascii="Verdana" w:hAnsi="Verdana" w:cs="Arial"/>
          <w:b/>
          <w:bCs/>
          <w:i/>
          <w:iCs/>
          <w:sz w:val="22"/>
          <w:szCs w:val="22"/>
        </w:rPr>
        <w:t xml:space="preserve">el auto que decida </w:t>
      </w:r>
      <w:r w:rsidRPr="00A84B64">
        <w:rPr>
          <w:rFonts w:ascii="Verdana" w:hAnsi="Verdana" w:cs="Arial"/>
          <w:b/>
          <w:bCs/>
          <w:i/>
          <w:iCs/>
          <w:sz w:val="22"/>
          <w:szCs w:val="22"/>
        </w:rPr>
        <w:lastRenderedPageBreak/>
        <w:t>sobre las excepciones será susceptible del recurso de apelación o del de súplica, según el caso</w:t>
      </w:r>
      <w:r w:rsidRPr="00A84B64">
        <w:rPr>
          <w:rFonts w:ascii="Verdana" w:hAnsi="Verdana" w:cs="Arial"/>
          <w:sz w:val="22"/>
          <w:szCs w:val="22"/>
        </w:rPr>
        <w:t>”.</w:t>
      </w:r>
    </w:p>
    <w:p w14:paraId="2A81F49E" w14:textId="77777777" w:rsidR="003C6B8D" w:rsidRPr="00A84B64" w:rsidRDefault="003C6B8D" w:rsidP="003C6B8D">
      <w:pPr>
        <w:spacing w:line="360" w:lineRule="auto"/>
        <w:jc w:val="both"/>
        <w:rPr>
          <w:rFonts w:ascii="Verdana" w:hAnsi="Verdana" w:cs="Arial"/>
          <w:bCs/>
          <w:sz w:val="22"/>
          <w:szCs w:val="22"/>
        </w:rPr>
      </w:pPr>
    </w:p>
    <w:p w14:paraId="08A35EEB" w14:textId="3DC0265F" w:rsidR="00AB42E3" w:rsidRPr="00A84B64" w:rsidRDefault="00AB42E3" w:rsidP="6AD07303">
      <w:pPr>
        <w:spacing w:line="360" w:lineRule="auto"/>
        <w:ind w:right="-79"/>
        <w:jc w:val="both"/>
        <w:rPr>
          <w:rFonts w:ascii="Verdana" w:hAnsi="Verdana"/>
          <w:sz w:val="22"/>
          <w:szCs w:val="22"/>
        </w:rPr>
      </w:pPr>
      <w:r w:rsidRPr="00A84B64">
        <w:rPr>
          <w:rFonts w:ascii="Verdana" w:hAnsi="Verdana"/>
          <w:sz w:val="22"/>
          <w:szCs w:val="22"/>
        </w:rPr>
        <w:t>De esta forma, como el apoderado de SEGUROS DE VIDA DEL ESTADO S.A. no interpuso oportunamente el recurso de apelación contra el auto proferido por la juez de primera instancia el 24 de noviembre de 2017 en audiencia inicial, por medio del cual decidió diferir la resolución de las excepciones previas al momento de la sentencia, el alegato respecto a la resolución de las excepciones de prescripción y falta de competencia, en esta etapa procesal (apelación contra sentencia), deviene extemporáneo, pues como se señaló previamente, al ser estas excepciones de las denominadas “previas”, han debido resolverse en la audiencia inicial como lo prevé el numeral 6º del artículo 180 de la Ley 1437 de 2011.</w:t>
      </w:r>
    </w:p>
    <w:p w14:paraId="0F8CD346" w14:textId="77777777" w:rsidR="00AB42E3" w:rsidRPr="00A84B64" w:rsidRDefault="00AB42E3" w:rsidP="6AD07303">
      <w:pPr>
        <w:spacing w:line="360" w:lineRule="auto"/>
        <w:ind w:right="-79"/>
        <w:jc w:val="both"/>
        <w:rPr>
          <w:rFonts w:ascii="Verdana" w:hAnsi="Verdana"/>
          <w:sz w:val="22"/>
          <w:szCs w:val="22"/>
        </w:rPr>
      </w:pPr>
    </w:p>
    <w:p w14:paraId="68252EE9" w14:textId="4FFF1A5E" w:rsidR="007A2062" w:rsidRPr="00A84B64" w:rsidRDefault="007A2062" w:rsidP="6AD07303">
      <w:pPr>
        <w:spacing w:line="360" w:lineRule="auto"/>
        <w:ind w:right="-79"/>
        <w:jc w:val="both"/>
        <w:rPr>
          <w:rFonts w:ascii="Verdana" w:hAnsi="Verdana"/>
          <w:sz w:val="22"/>
          <w:szCs w:val="22"/>
        </w:rPr>
      </w:pPr>
      <w:r w:rsidRPr="00A84B64">
        <w:rPr>
          <w:rFonts w:ascii="Verdana" w:hAnsi="Verdana"/>
          <w:sz w:val="22"/>
          <w:szCs w:val="22"/>
        </w:rPr>
        <w:t>De otro lado</w:t>
      </w:r>
      <w:r w:rsidR="009223BD" w:rsidRPr="00A84B64">
        <w:rPr>
          <w:rFonts w:ascii="Verdana" w:hAnsi="Verdana"/>
          <w:sz w:val="22"/>
          <w:szCs w:val="22"/>
        </w:rPr>
        <w:t xml:space="preserve">, previo a analizar </w:t>
      </w:r>
      <w:r w:rsidRPr="00A84B64">
        <w:rPr>
          <w:rFonts w:ascii="Verdana" w:hAnsi="Verdana"/>
          <w:sz w:val="22"/>
          <w:szCs w:val="22"/>
        </w:rPr>
        <w:t>lo concerniente a</w:t>
      </w:r>
      <w:r w:rsidR="009223BD" w:rsidRPr="00A84B64">
        <w:rPr>
          <w:rFonts w:ascii="Verdana" w:hAnsi="Verdana"/>
          <w:sz w:val="22"/>
          <w:szCs w:val="22"/>
        </w:rPr>
        <w:t xml:space="preserve"> la </w:t>
      </w:r>
      <w:r w:rsidR="747542F4" w:rsidRPr="00A84B64">
        <w:rPr>
          <w:rFonts w:ascii="Verdana" w:hAnsi="Verdana"/>
          <w:sz w:val="22"/>
          <w:szCs w:val="22"/>
        </w:rPr>
        <w:t>obligación</w:t>
      </w:r>
      <w:r w:rsidR="009223BD" w:rsidRPr="00A84B64">
        <w:rPr>
          <w:rFonts w:ascii="Verdana" w:hAnsi="Verdana"/>
          <w:sz w:val="22"/>
          <w:szCs w:val="22"/>
        </w:rPr>
        <w:t xml:space="preserve"> imputable a la Aseguradora SEGUROS DE VIDA DEL ESTADO S.A., es pertinente </w:t>
      </w:r>
      <w:r w:rsidR="00EC09F9" w:rsidRPr="00A84B64">
        <w:rPr>
          <w:rFonts w:ascii="Verdana" w:hAnsi="Verdana"/>
          <w:sz w:val="22"/>
          <w:szCs w:val="22"/>
        </w:rPr>
        <w:t xml:space="preserve">señalar que </w:t>
      </w:r>
      <w:r w:rsidR="009223BD" w:rsidRPr="00A84B64">
        <w:rPr>
          <w:rFonts w:ascii="Verdana" w:hAnsi="Verdana"/>
          <w:sz w:val="22"/>
          <w:szCs w:val="22"/>
        </w:rPr>
        <w:t xml:space="preserve">el </w:t>
      </w:r>
      <w:r w:rsidR="00EC09F9" w:rsidRPr="00A84B64">
        <w:rPr>
          <w:rFonts w:ascii="Verdana" w:hAnsi="Verdana"/>
          <w:sz w:val="22"/>
          <w:szCs w:val="22"/>
        </w:rPr>
        <w:t>Instituto Nacional Penitenciario y Carcelario -</w:t>
      </w:r>
      <w:r w:rsidR="009223BD" w:rsidRPr="00A84B64">
        <w:rPr>
          <w:rFonts w:ascii="Verdana" w:hAnsi="Verdana"/>
          <w:sz w:val="22"/>
          <w:szCs w:val="22"/>
        </w:rPr>
        <w:t xml:space="preserve">INPEC </w:t>
      </w:r>
      <w:r w:rsidR="009771FB" w:rsidRPr="00A84B64">
        <w:rPr>
          <w:rFonts w:ascii="Verdana" w:hAnsi="Verdana"/>
          <w:sz w:val="22"/>
          <w:szCs w:val="22"/>
        </w:rPr>
        <w:t>en calidad de Tomador</w:t>
      </w:r>
      <w:r w:rsidR="003C0725" w:rsidRPr="00A84B64">
        <w:rPr>
          <w:rFonts w:ascii="Verdana" w:hAnsi="Verdana"/>
          <w:sz w:val="22"/>
          <w:szCs w:val="22"/>
        </w:rPr>
        <w:t xml:space="preserve"> </w:t>
      </w:r>
      <w:r w:rsidR="009771FB" w:rsidRPr="00A84B64">
        <w:rPr>
          <w:rFonts w:ascii="Verdana" w:hAnsi="Verdana"/>
          <w:sz w:val="22"/>
          <w:szCs w:val="22"/>
        </w:rPr>
        <w:t xml:space="preserve">adquirió con </w:t>
      </w:r>
      <w:r w:rsidR="009223BD" w:rsidRPr="00A84B64">
        <w:rPr>
          <w:rFonts w:ascii="Verdana" w:hAnsi="Verdana"/>
          <w:sz w:val="22"/>
          <w:szCs w:val="22"/>
        </w:rPr>
        <w:t>SEGUROS DE VIDA DEL ESTADO S.A</w:t>
      </w:r>
      <w:r w:rsidR="00EC09F9" w:rsidRPr="00A84B64">
        <w:rPr>
          <w:rFonts w:ascii="Verdana" w:hAnsi="Verdana"/>
          <w:sz w:val="22"/>
          <w:szCs w:val="22"/>
        </w:rPr>
        <w:t>. dos pólizas</w:t>
      </w:r>
      <w:r w:rsidR="009771FB" w:rsidRPr="00A84B64">
        <w:rPr>
          <w:rFonts w:ascii="Verdana" w:hAnsi="Verdana"/>
          <w:sz w:val="22"/>
          <w:szCs w:val="22"/>
        </w:rPr>
        <w:t xml:space="preserve"> en las que figuran como asegurados los AUXILIARES BACHILLERES DEL SERVICIO MILITAR EN EL INPEC</w:t>
      </w:r>
      <w:r w:rsidR="001D5A25" w:rsidRPr="00A84B64">
        <w:rPr>
          <w:rFonts w:ascii="Verdana" w:hAnsi="Verdana"/>
          <w:sz w:val="22"/>
          <w:szCs w:val="22"/>
        </w:rPr>
        <w:t>, a saber</w:t>
      </w:r>
      <w:r w:rsidR="00547A96" w:rsidRPr="00A84B64">
        <w:rPr>
          <w:rFonts w:ascii="Verdana" w:hAnsi="Verdana"/>
          <w:sz w:val="22"/>
          <w:szCs w:val="22"/>
        </w:rPr>
        <w:t>:</w:t>
      </w:r>
      <w:r w:rsidR="001D5A25" w:rsidRPr="00A84B64">
        <w:rPr>
          <w:rFonts w:ascii="Verdana" w:hAnsi="Verdana"/>
          <w:sz w:val="22"/>
          <w:szCs w:val="22"/>
        </w:rPr>
        <w:t xml:space="preserve"> l</w:t>
      </w:r>
      <w:r w:rsidR="009223BD" w:rsidRPr="00A84B64">
        <w:rPr>
          <w:rFonts w:ascii="Verdana" w:hAnsi="Verdana"/>
          <w:sz w:val="22"/>
          <w:szCs w:val="22"/>
        </w:rPr>
        <w:t xml:space="preserve">a póliza </w:t>
      </w:r>
      <w:r w:rsidR="003C0725" w:rsidRPr="00A84B64">
        <w:rPr>
          <w:rFonts w:ascii="Verdana" w:hAnsi="Verdana"/>
          <w:sz w:val="22"/>
          <w:szCs w:val="22"/>
        </w:rPr>
        <w:t xml:space="preserve">Vida Grupo </w:t>
      </w:r>
      <w:r w:rsidR="009223BD" w:rsidRPr="00A84B64">
        <w:rPr>
          <w:rFonts w:ascii="Verdana" w:hAnsi="Verdana"/>
          <w:sz w:val="22"/>
          <w:szCs w:val="22"/>
        </w:rPr>
        <w:t xml:space="preserve">No. 21-71-1000000479 que </w:t>
      </w:r>
      <w:r w:rsidR="00EC09F9" w:rsidRPr="00A84B64">
        <w:rPr>
          <w:rFonts w:ascii="Verdana" w:hAnsi="Verdana"/>
          <w:sz w:val="22"/>
          <w:szCs w:val="22"/>
        </w:rPr>
        <w:t>fue</w:t>
      </w:r>
      <w:r w:rsidR="009223BD" w:rsidRPr="00A84B64">
        <w:rPr>
          <w:rFonts w:ascii="Verdana" w:hAnsi="Verdana"/>
          <w:sz w:val="22"/>
          <w:szCs w:val="22"/>
        </w:rPr>
        <w:t xml:space="preserve"> anulada por error en la vigencia </w:t>
      </w:r>
      <w:r w:rsidR="003C0725" w:rsidRPr="00A84B64">
        <w:rPr>
          <w:rFonts w:ascii="Verdana" w:hAnsi="Verdana"/>
          <w:sz w:val="22"/>
          <w:szCs w:val="22"/>
        </w:rPr>
        <w:t>final</w:t>
      </w:r>
      <w:r w:rsidR="001D5A25" w:rsidRPr="00A84B64">
        <w:rPr>
          <w:rFonts w:ascii="Verdana" w:hAnsi="Verdana"/>
          <w:sz w:val="22"/>
          <w:szCs w:val="22"/>
        </w:rPr>
        <w:t xml:space="preserve">, razón por la cual, </w:t>
      </w:r>
      <w:r w:rsidR="00EC09F9" w:rsidRPr="00A84B64">
        <w:rPr>
          <w:rFonts w:ascii="Verdana" w:hAnsi="Verdana"/>
          <w:sz w:val="22"/>
          <w:szCs w:val="22"/>
        </w:rPr>
        <w:t>se expidió</w:t>
      </w:r>
      <w:r w:rsidR="009223BD" w:rsidRPr="00A84B64">
        <w:rPr>
          <w:rFonts w:ascii="Verdana" w:hAnsi="Verdana"/>
          <w:sz w:val="22"/>
          <w:szCs w:val="22"/>
        </w:rPr>
        <w:t xml:space="preserve"> </w:t>
      </w:r>
      <w:r w:rsidR="003C0725" w:rsidRPr="00A84B64">
        <w:rPr>
          <w:rFonts w:ascii="Verdana" w:hAnsi="Verdana"/>
          <w:sz w:val="22"/>
          <w:szCs w:val="22"/>
        </w:rPr>
        <w:t xml:space="preserve">la póliza Vida Grupo </w:t>
      </w:r>
      <w:r w:rsidR="009223BD" w:rsidRPr="00A84B64">
        <w:rPr>
          <w:rFonts w:ascii="Verdana" w:hAnsi="Verdana"/>
          <w:sz w:val="22"/>
          <w:szCs w:val="22"/>
        </w:rPr>
        <w:t>No. 21-71-1000000481</w:t>
      </w:r>
      <w:r w:rsidR="00EC09F9" w:rsidRPr="00A84B64">
        <w:rPr>
          <w:rFonts w:ascii="Verdana" w:hAnsi="Verdana"/>
          <w:sz w:val="22"/>
          <w:szCs w:val="22"/>
        </w:rPr>
        <w:t>, conforme lo explicó</w:t>
      </w:r>
      <w:r w:rsidR="003C0725" w:rsidRPr="00A84B64">
        <w:rPr>
          <w:rFonts w:ascii="Verdana" w:hAnsi="Verdana"/>
          <w:sz w:val="22"/>
          <w:szCs w:val="22"/>
        </w:rPr>
        <w:t xml:space="preserve"> la Analista Técnico Departamento de Vida de la Aseguradora en mención en oficio visto a folio 567. </w:t>
      </w:r>
    </w:p>
    <w:p w14:paraId="1D179474" w14:textId="77777777" w:rsidR="007A2062" w:rsidRPr="00A84B64" w:rsidRDefault="007A2062" w:rsidP="009223BD">
      <w:pPr>
        <w:spacing w:line="360" w:lineRule="auto"/>
        <w:ind w:right="-79"/>
        <w:jc w:val="both"/>
        <w:rPr>
          <w:rFonts w:ascii="Verdana" w:hAnsi="Verdana"/>
          <w:sz w:val="22"/>
          <w:szCs w:val="22"/>
          <w:lang w:val="es-ES_tradnl"/>
        </w:rPr>
      </w:pPr>
    </w:p>
    <w:p w14:paraId="4BBB2B01" w14:textId="3D175F00" w:rsidR="009223BD" w:rsidRPr="00A84B64" w:rsidRDefault="003C0725" w:rsidP="009223BD">
      <w:pPr>
        <w:spacing w:line="360" w:lineRule="auto"/>
        <w:ind w:right="-79"/>
        <w:jc w:val="both"/>
        <w:rPr>
          <w:rFonts w:ascii="Verdana" w:hAnsi="Verdana"/>
          <w:sz w:val="22"/>
          <w:szCs w:val="22"/>
          <w:lang w:val="es-ES_tradnl"/>
        </w:rPr>
      </w:pPr>
      <w:r w:rsidRPr="00A84B64">
        <w:rPr>
          <w:rFonts w:ascii="Verdana" w:hAnsi="Verdana"/>
          <w:sz w:val="22"/>
          <w:szCs w:val="22"/>
          <w:lang w:val="es-ES_tradnl"/>
        </w:rPr>
        <w:t xml:space="preserve">Así, </w:t>
      </w:r>
      <w:r w:rsidR="007A2062" w:rsidRPr="00A84B64">
        <w:rPr>
          <w:rFonts w:ascii="Verdana" w:hAnsi="Verdana"/>
          <w:sz w:val="22"/>
          <w:szCs w:val="22"/>
          <w:lang w:val="es-ES_tradnl"/>
        </w:rPr>
        <w:t>de acuerdo con</w:t>
      </w:r>
      <w:r w:rsidRPr="00A84B64">
        <w:rPr>
          <w:rFonts w:ascii="Verdana" w:hAnsi="Verdana"/>
          <w:sz w:val="22"/>
          <w:szCs w:val="22"/>
          <w:lang w:val="es-ES_tradnl"/>
        </w:rPr>
        <w:t xml:space="preserve"> las pólizas señaladas y los anexos allegados al proceso, se puede establecer lo siguiente:</w:t>
      </w:r>
    </w:p>
    <w:p w14:paraId="666D9DB4" w14:textId="77777777" w:rsidR="009223BD" w:rsidRPr="00A84B64" w:rsidRDefault="009223BD" w:rsidP="009223BD">
      <w:pPr>
        <w:spacing w:line="360" w:lineRule="auto"/>
        <w:ind w:right="-79"/>
        <w:jc w:val="both"/>
        <w:rPr>
          <w:rFonts w:ascii="Verdana" w:hAnsi="Verdana"/>
          <w:sz w:val="24"/>
          <w:szCs w:val="24"/>
          <w:lang w:val="es-ES_tradnl"/>
        </w:rPr>
      </w:pPr>
    </w:p>
    <w:tbl>
      <w:tblPr>
        <w:tblStyle w:val="Tablaconcuadrcula"/>
        <w:tblW w:w="0" w:type="auto"/>
        <w:tblLayout w:type="fixed"/>
        <w:tblLook w:val="04A0" w:firstRow="1" w:lastRow="0" w:firstColumn="1" w:lastColumn="0" w:noHBand="0" w:noVBand="1"/>
      </w:tblPr>
      <w:tblGrid>
        <w:gridCol w:w="1838"/>
        <w:gridCol w:w="1418"/>
        <w:gridCol w:w="1701"/>
        <w:gridCol w:w="3873"/>
      </w:tblGrid>
      <w:tr w:rsidR="009223BD" w:rsidRPr="00A84B64" w14:paraId="731D4E03" w14:textId="77777777" w:rsidTr="001D3845">
        <w:tc>
          <w:tcPr>
            <w:tcW w:w="1838" w:type="dxa"/>
            <w:vAlign w:val="center"/>
          </w:tcPr>
          <w:p w14:paraId="1647E227" w14:textId="187CB5D0" w:rsidR="009223BD" w:rsidRPr="00A84B64" w:rsidRDefault="009223BD" w:rsidP="005F4297">
            <w:pPr>
              <w:spacing w:line="276" w:lineRule="auto"/>
              <w:ind w:right="-79"/>
              <w:jc w:val="center"/>
              <w:rPr>
                <w:rFonts w:ascii="Verdana" w:hAnsi="Verdana"/>
                <w:b/>
                <w:lang w:val="es-ES_tradnl"/>
              </w:rPr>
            </w:pPr>
            <w:r w:rsidRPr="00A84B64">
              <w:rPr>
                <w:rFonts w:ascii="Verdana" w:hAnsi="Verdana"/>
                <w:b/>
                <w:lang w:val="es-ES_tradnl"/>
              </w:rPr>
              <w:t>Póliza</w:t>
            </w:r>
            <w:r w:rsidR="00670CF8" w:rsidRPr="00A84B64">
              <w:rPr>
                <w:rFonts w:ascii="Verdana" w:hAnsi="Verdana"/>
                <w:b/>
                <w:lang w:val="es-ES_tradnl"/>
              </w:rPr>
              <w:t xml:space="preserve"> Vida Grupo</w:t>
            </w:r>
          </w:p>
        </w:tc>
        <w:tc>
          <w:tcPr>
            <w:tcW w:w="1418" w:type="dxa"/>
            <w:vAlign w:val="center"/>
          </w:tcPr>
          <w:p w14:paraId="5EBBAAE3" w14:textId="77777777" w:rsidR="009223BD" w:rsidRPr="00A84B64" w:rsidRDefault="009223BD" w:rsidP="005F4297">
            <w:pPr>
              <w:spacing w:line="276" w:lineRule="auto"/>
              <w:ind w:right="-79"/>
              <w:jc w:val="center"/>
              <w:rPr>
                <w:rFonts w:ascii="Verdana" w:hAnsi="Verdana"/>
                <w:b/>
                <w:lang w:val="es-ES_tradnl"/>
              </w:rPr>
            </w:pPr>
            <w:r w:rsidRPr="00A84B64">
              <w:rPr>
                <w:rFonts w:ascii="Verdana" w:hAnsi="Verdana"/>
                <w:b/>
                <w:lang w:val="es-ES_tradnl"/>
              </w:rPr>
              <w:t>Fecha de expedición</w:t>
            </w:r>
          </w:p>
        </w:tc>
        <w:tc>
          <w:tcPr>
            <w:tcW w:w="1701" w:type="dxa"/>
            <w:vAlign w:val="center"/>
          </w:tcPr>
          <w:p w14:paraId="6097B38F" w14:textId="77777777" w:rsidR="009223BD" w:rsidRPr="00A84B64" w:rsidRDefault="009223BD" w:rsidP="005F4297">
            <w:pPr>
              <w:spacing w:line="276" w:lineRule="auto"/>
              <w:ind w:right="-79"/>
              <w:jc w:val="center"/>
              <w:rPr>
                <w:rFonts w:ascii="Verdana" w:hAnsi="Verdana"/>
                <w:b/>
                <w:lang w:val="es-ES_tradnl"/>
              </w:rPr>
            </w:pPr>
            <w:r w:rsidRPr="00A84B64">
              <w:rPr>
                <w:rFonts w:ascii="Verdana" w:hAnsi="Verdana"/>
                <w:b/>
                <w:lang w:val="es-ES_tradnl"/>
              </w:rPr>
              <w:t>Vigencia</w:t>
            </w:r>
          </w:p>
        </w:tc>
        <w:tc>
          <w:tcPr>
            <w:tcW w:w="3873" w:type="dxa"/>
            <w:vAlign w:val="center"/>
          </w:tcPr>
          <w:p w14:paraId="36D060C6" w14:textId="0A5EC6CF" w:rsidR="009223BD" w:rsidRPr="00A84B64" w:rsidRDefault="00670CF8" w:rsidP="005F4297">
            <w:pPr>
              <w:spacing w:line="276" w:lineRule="auto"/>
              <w:ind w:right="-79"/>
              <w:jc w:val="center"/>
              <w:rPr>
                <w:rFonts w:ascii="Verdana" w:hAnsi="Verdana"/>
                <w:b/>
                <w:lang w:val="es-ES_tradnl"/>
              </w:rPr>
            </w:pPr>
            <w:r w:rsidRPr="00A84B64">
              <w:rPr>
                <w:rFonts w:ascii="Verdana" w:hAnsi="Verdana"/>
                <w:b/>
                <w:lang w:val="es-ES_tradnl"/>
              </w:rPr>
              <w:t>Observaciones</w:t>
            </w:r>
          </w:p>
        </w:tc>
      </w:tr>
      <w:tr w:rsidR="009223BD" w:rsidRPr="00A84B64" w14:paraId="13E14F3F" w14:textId="77777777" w:rsidTr="001D3845">
        <w:tc>
          <w:tcPr>
            <w:tcW w:w="1838" w:type="dxa"/>
            <w:vAlign w:val="center"/>
          </w:tcPr>
          <w:p w14:paraId="10EE4C09" w14:textId="1FA55279" w:rsidR="009223BD" w:rsidRPr="00A84B64" w:rsidRDefault="009223BD"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No. 21-71-1000000479</w:t>
            </w:r>
          </w:p>
          <w:p w14:paraId="2459BDA2" w14:textId="77777777" w:rsidR="00670CF8" w:rsidRPr="00A84B64" w:rsidRDefault="00670CF8" w:rsidP="005F4297">
            <w:pPr>
              <w:spacing w:line="276" w:lineRule="auto"/>
              <w:ind w:right="-79"/>
              <w:jc w:val="center"/>
              <w:rPr>
                <w:rFonts w:ascii="Verdana" w:hAnsi="Verdana"/>
                <w:sz w:val="18"/>
                <w:szCs w:val="18"/>
                <w:lang w:val="es-ES_tradnl"/>
              </w:rPr>
            </w:pPr>
          </w:p>
          <w:p w14:paraId="4646D13C" w14:textId="41907CC6" w:rsidR="00670CF8" w:rsidRPr="00A84B64" w:rsidRDefault="00670CF8"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w:t>
            </w:r>
            <w:proofErr w:type="spellStart"/>
            <w:r w:rsidRPr="00A84B64">
              <w:rPr>
                <w:rFonts w:ascii="Verdana" w:hAnsi="Verdana"/>
                <w:sz w:val="18"/>
                <w:szCs w:val="18"/>
                <w:lang w:val="es-ES_tradnl"/>
              </w:rPr>
              <w:t>fls</w:t>
            </w:r>
            <w:proofErr w:type="spellEnd"/>
            <w:r w:rsidRPr="00A84B64">
              <w:rPr>
                <w:rFonts w:ascii="Verdana" w:hAnsi="Verdana"/>
                <w:sz w:val="18"/>
                <w:szCs w:val="18"/>
                <w:lang w:val="es-ES_tradnl"/>
              </w:rPr>
              <w:t>. 585 a</w:t>
            </w:r>
            <w:r w:rsidR="001D3845" w:rsidRPr="00A84B64">
              <w:rPr>
                <w:rFonts w:ascii="Verdana" w:hAnsi="Verdana"/>
                <w:sz w:val="18"/>
                <w:szCs w:val="18"/>
                <w:lang w:val="es-ES_tradnl"/>
              </w:rPr>
              <w:t xml:space="preserve"> </w:t>
            </w:r>
            <w:r w:rsidRPr="00A84B64">
              <w:rPr>
                <w:rFonts w:ascii="Verdana" w:hAnsi="Verdana"/>
                <w:sz w:val="18"/>
                <w:szCs w:val="18"/>
                <w:lang w:val="es-ES_tradnl"/>
              </w:rPr>
              <w:t>589)</w:t>
            </w:r>
          </w:p>
        </w:tc>
        <w:tc>
          <w:tcPr>
            <w:tcW w:w="1418" w:type="dxa"/>
            <w:vAlign w:val="center"/>
          </w:tcPr>
          <w:p w14:paraId="25D5C649" w14:textId="6CF824EC" w:rsidR="009223BD" w:rsidRPr="00A84B64" w:rsidRDefault="009223BD"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 xml:space="preserve">15 de </w:t>
            </w:r>
            <w:r w:rsidR="001D3845" w:rsidRPr="00A84B64">
              <w:rPr>
                <w:rFonts w:ascii="Verdana" w:hAnsi="Verdana"/>
                <w:sz w:val="18"/>
                <w:szCs w:val="18"/>
                <w:lang w:val="es-ES_tradnl"/>
              </w:rPr>
              <w:t>m</w:t>
            </w:r>
            <w:r w:rsidRPr="00A84B64">
              <w:rPr>
                <w:rFonts w:ascii="Verdana" w:hAnsi="Verdana"/>
                <w:sz w:val="18"/>
                <w:szCs w:val="18"/>
                <w:lang w:val="es-ES_tradnl"/>
              </w:rPr>
              <w:t>arzo del 2013</w:t>
            </w:r>
          </w:p>
        </w:tc>
        <w:tc>
          <w:tcPr>
            <w:tcW w:w="1701" w:type="dxa"/>
            <w:vAlign w:val="center"/>
          </w:tcPr>
          <w:p w14:paraId="1524B00B" w14:textId="6A980998" w:rsidR="009223BD" w:rsidRPr="00A84B64" w:rsidRDefault="009223BD"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 xml:space="preserve">Desde el 21 de </w:t>
            </w:r>
            <w:r w:rsidR="001D3845" w:rsidRPr="00A84B64">
              <w:rPr>
                <w:rFonts w:ascii="Verdana" w:hAnsi="Verdana"/>
                <w:sz w:val="18"/>
                <w:szCs w:val="18"/>
                <w:lang w:val="es-ES_tradnl"/>
              </w:rPr>
              <w:t>m</w:t>
            </w:r>
            <w:r w:rsidRPr="00A84B64">
              <w:rPr>
                <w:rFonts w:ascii="Verdana" w:hAnsi="Verdana"/>
                <w:sz w:val="18"/>
                <w:szCs w:val="18"/>
                <w:lang w:val="es-ES_tradnl"/>
              </w:rPr>
              <w:t>arzo de 2013-</w:t>
            </w:r>
            <w:r w:rsidRPr="00A84B64">
              <w:rPr>
                <w:rFonts w:ascii="Verdana" w:hAnsi="Verdana"/>
                <w:sz w:val="18"/>
                <w:szCs w:val="18"/>
                <w:u w:val="single"/>
                <w:lang w:val="es-ES_tradnl"/>
              </w:rPr>
              <w:t xml:space="preserve"> </w:t>
            </w:r>
            <w:r w:rsidRPr="00A84B64">
              <w:rPr>
                <w:rFonts w:ascii="Verdana" w:hAnsi="Verdana"/>
                <w:sz w:val="18"/>
                <w:szCs w:val="18"/>
                <w:lang w:val="es-ES_tradnl"/>
              </w:rPr>
              <w:t xml:space="preserve">Hasta el 16 de </w:t>
            </w:r>
            <w:r w:rsidR="001D3845" w:rsidRPr="00A84B64">
              <w:rPr>
                <w:rFonts w:ascii="Verdana" w:hAnsi="Verdana"/>
                <w:sz w:val="18"/>
                <w:szCs w:val="18"/>
                <w:lang w:val="es-ES_tradnl"/>
              </w:rPr>
              <w:t>j</w:t>
            </w:r>
            <w:r w:rsidRPr="00A84B64">
              <w:rPr>
                <w:rFonts w:ascii="Verdana" w:hAnsi="Verdana"/>
                <w:sz w:val="18"/>
                <w:szCs w:val="18"/>
                <w:lang w:val="es-ES_tradnl"/>
              </w:rPr>
              <w:t>unio de 2014</w:t>
            </w:r>
          </w:p>
        </w:tc>
        <w:tc>
          <w:tcPr>
            <w:tcW w:w="3873" w:type="dxa"/>
            <w:vAlign w:val="center"/>
          </w:tcPr>
          <w:p w14:paraId="3B826173" w14:textId="2C7B423D" w:rsidR="009223BD" w:rsidRPr="00A84B64" w:rsidRDefault="00F67660" w:rsidP="005F4297">
            <w:pPr>
              <w:spacing w:line="276" w:lineRule="auto"/>
              <w:ind w:right="-79"/>
              <w:jc w:val="both"/>
              <w:rPr>
                <w:rFonts w:ascii="Verdana" w:hAnsi="Verdana"/>
                <w:b/>
                <w:sz w:val="18"/>
                <w:szCs w:val="18"/>
                <w:lang w:val="es-ES_tradnl"/>
              </w:rPr>
            </w:pPr>
            <w:r w:rsidRPr="00A84B64">
              <w:rPr>
                <w:rFonts w:ascii="Verdana" w:hAnsi="Verdana"/>
                <w:sz w:val="18"/>
                <w:szCs w:val="18"/>
                <w:lang w:val="es-ES_tradnl"/>
              </w:rPr>
              <w:t>De conformidad con el</w:t>
            </w:r>
            <w:r w:rsidR="009223BD" w:rsidRPr="00A84B64">
              <w:rPr>
                <w:rFonts w:ascii="Verdana" w:hAnsi="Verdana"/>
                <w:sz w:val="18"/>
                <w:szCs w:val="18"/>
                <w:lang w:val="es-ES_tradnl"/>
              </w:rPr>
              <w:t xml:space="preserve"> anexo </w:t>
            </w:r>
            <w:r w:rsidR="00670CF8" w:rsidRPr="00A84B64">
              <w:rPr>
                <w:rFonts w:ascii="Verdana" w:hAnsi="Verdana"/>
                <w:sz w:val="18"/>
                <w:szCs w:val="18"/>
                <w:lang w:val="es-ES_tradnl"/>
              </w:rPr>
              <w:t xml:space="preserve">de póliza No. </w:t>
            </w:r>
            <w:r w:rsidR="009223BD" w:rsidRPr="00A84B64">
              <w:rPr>
                <w:rFonts w:ascii="Verdana" w:hAnsi="Verdana"/>
                <w:sz w:val="18"/>
                <w:szCs w:val="18"/>
                <w:lang w:val="es-ES_tradnl"/>
              </w:rPr>
              <w:t>1</w:t>
            </w:r>
            <w:r w:rsidR="00670CF8" w:rsidRPr="00A84B64">
              <w:rPr>
                <w:rFonts w:ascii="Verdana" w:hAnsi="Verdana"/>
                <w:sz w:val="18"/>
                <w:szCs w:val="18"/>
                <w:lang w:val="es-ES_tradnl"/>
              </w:rPr>
              <w:t xml:space="preserve"> visible a folio 584, </w:t>
            </w:r>
            <w:r w:rsidRPr="00A84B64">
              <w:rPr>
                <w:rFonts w:ascii="Verdana" w:hAnsi="Verdana"/>
                <w:sz w:val="18"/>
                <w:szCs w:val="18"/>
                <w:lang w:val="es-ES_tradnl"/>
              </w:rPr>
              <w:t>se revocó esta póliza con</w:t>
            </w:r>
            <w:r w:rsidR="00670CF8" w:rsidRPr="00A84B64">
              <w:rPr>
                <w:rFonts w:ascii="Verdana" w:hAnsi="Verdana"/>
                <w:sz w:val="18"/>
                <w:szCs w:val="18"/>
                <w:lang w:val="es-ES_tradnl"/>
              </w:rPr>
              <w:t xml:space="preserve"> tipo de documento </w:t>
            </w:r>
            <w:r w:rsidR="00670CF8" w:rsidRPr="00A84B64">
              <w:rPr>
                <w:rFonts w:ascii="Verdana" w:hAnsi="Verdana"/>
                <w:b/>
                <w:bCs/>
                <w:sz w:val="18"/>
                <w:szCs w:val="18"/>
                <w:lang w:val="es-ES_tradnl"/>
              </w:rPr>
              <w:t xml:space="preserve">“error en expedición” </w:t>
            </w:r>
            <w:r w:rsidR="00670CF8" w:rsidRPr="00A84B64">
              <w:rPr>
                <w:rFonts w:ascii="Verdana" w:hAnsi="Verdana"/>
                <w:sz w:val="18"/>
                <w:szCs w:val="18"/>
                <w:lang w:val="es-ES_tradnl"/>
              </w:rPr>
              <w:t xml:space="preserve">y en la casilla de observaciones </w:t>
            </w:r>
            <w:r w:rsidR="009223BD" w:rsidRPr="00A84B64">
              <w:rPr>
                <w:rFonts w:ascii="Verdana" w:hAnsi="Verdana"/>
                <w:sz w:val="18"/>
                <w:szCs w:val="18"/>
                <w:lang w:val="es-ES_tradnl"/>
              </w:rPr>
              <w:t xml:space="preserve">quedó estipulado </w:t>
            </w:r>
            <w:r w:rsidR="009223BD" w:rsidRPr="00A84B64">
              <w:rPr>
                <w:rFonts w:ascii="Verdana" w:hAnsi="Verdana"/>
                <w:b/>
                <w:sz w:val="18"/>
                <w:szCs w:val="18"/>
                <w:lang w:val="es-ES_tradnl"/>
              </w:rPr>
              <w:t>“</w:t>
            </w:r>
            <w:r w:rsidR="009223BD" w:rsidRPr="00A84B64">
              <w:rPr>
                <w:rFonts w:ascii="Verdana" w:hAnsi="Verdana"/>
                <w:b/>
                <w:i/>
                <w:sz w:val="18"/>
                <w:szCs w:val="18"/>
                <w:lang w:val="es-ES_tradnl"/>
              </w:rPr>
              <w:t xml:space="preserve">por medio del presente anexo </w:t>
            </w:r>
            <w:r w:rsidR="009223BD" w:rsidRPr="00A84B64">
              <w:rPr>
                <w:rFonts w:ascii="Verdana" w:hAnsi="Verdana"/>
                <w:b/>
                <w:i/>
                <w:sz w:val="18"/>
                <w:szCs w:val="18"/>
                <w:u w:val="single"/>
                <w:lang w:val="es-ES_tradnl"/>
              </w:rPr>
              <w:t>se revoca</w:t>
            </w:r>
            <w:r w:rsidR="009223BD" w:rsidRPr="00A84B64">
              <w:rPr>
                <w:rFonts w:ascii="Verdana" w:hAnsi="Verdana"/>
                <w:b/>
                <w:i/>
                <w:sz w:val="18"/>
                <w:szCs w:val="18"/>
                <w:lang w:val="es-ES_tradnl"/>
              </w:rPr>
              <w:t xml:space="preserve"> la póliza arriba citada por error en la vigencia</w:t>
            </w:r>
            <w:r w:rsidR="000B4187" w:rsidRPr="00A84B64">
              <w:rPr>
                <w:rFonts w:ascii="Verdana" w:hAnsi="Verdana"/>
                <w:b/>
                <w:i/>
                <w:sz w:val="18"/>
                <w:szCs w:val="18"/>
                <w:lang w:val="es-ES_tradnl"/>
              </w:rPr>
              <w:t>,</w:t>
            </w:r>
            <w:r w:rsidR="009223BD" w:rsidRPr="00A84B64">
              <w:rPr>
                <w:rFonts w:ascii="Verdana" w:hAnsi="Verdana"/>
                <w:b/>
                <w:i/>
                <w:sz w:val="18"/>
                <w:szCs w:val="18"/>
                <w:lang w:val="es-ES_tradnl"/>
              </w:rPr>
              <w:t xml:space="preserve"> por lo anterior se devuelve la suma indicada por concepto de prima”</w:t>
            </w:r>
            <w:r w:rsidR="009223BD" w:rsidRPr="00A84B64">
              <w:rPr>
                <w:rFonts w:ascii="Verdana" w:hAnsi="Verdana"/>
                <w:sz w:val="18"/>
                <w:szCs w:val="18"/>
                <w:lang w:val="es-ES_tradnl"/>
              </w:rPr>
              <w:t>.</w:t>
            </w:r>
          </w:p>
        </w:tc>
      </w:tr>
      <w:tr w:rsidR="009223BD" w:rsidRPr="00A84B64" w14:paraId="490BB67D" w14:textId="77777777" w:rsidTr="001D3845">
        <w:tc>
          <w:tcPr>
            <w:tcW w:w="1838" w:type="dxa"/>
            <w:vAlign w:val="center"/>
          </w:tcPr>
          <w:p w14:paraId="091EB952" w14:textId="77777777" w:rsidR="009223BD" w:rsidRPr="00A84B64" w:rsidRDefault="009223BD"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No. 21-71-1000000481</w:t>
            </w:r>
          </w:p>
          <w:p w14:paraId="07AF4967" w14:textId="77777777" w:rsidR="001D3845" w:rsidRPr="00A84B64" w:rsidRDefault="001D3845" w:rsidP="005F4297">
            <w:pPr>
              <w:spacing w:line="276" w:lineRule="auto"/>
              <w:ind w:right="-79"/>
              <w:jc w:val="center"/>
              <w:rPr>
                <w:rFonts w:ascii="Verdana" w:hAnsi="Verdana"/>
                <w:sz w:val="18"/>
                <w:szCs w:val="18"/>
                <w:lang w:val="es-ES_tradnl"/>
              </w:rPr>
            </w:pPr>
          </w:p>
          <w:p w14:paraId="45A9EEE4" w14:textId="7EE77B5C" w:rsidR="001D3845" w:rsidRPr="00A84B64" w:rsidRDefault="001D3845"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w:t>
            </w:r>
            <w:proofErr w:type="spellStart"/>
            <w:r w:rsidRPr="00A84B64">
              <w:rPr>
                <w:rFonts w:ascii="Verdana" w:hAnsi="Verdana"/>
                <w:sz w:val="18"/>
                <w:szCs w:val="18"/>
                <w:lang w:val="es-ES_tradnl"/>
              </w:rPr>
              <w:t>fls</w:t>
            </w:r>
            <w:proofErr w:type="spellEnd"/>
            <w:r w:rsidRPr="00A84B64">
              <w:rPr>
                <w:rFonts w:ascii="Verdana" w:hAnsi="Verdana"/>
                <w:sz w:val="18"/>
                <w:szCs w:val="18"/>
                <w:lang w:val="es-ES_tradnl"/>
              </w:rPr>
              <w:t>. 568 a 572)</w:t>
            </w:r>
          </w:p>
        </w:tc>
        <w:tc>
          <w:tcPr>
            <w:tcW w:w="1418" w:type="dxa"/>
            <w:vAlign w:val="center"/>
          </w:tcPr>
          <w:p w14:paraId="233E73DA" w14:textId="6EB9899E" w:rsidR="009223BD" w:rsidRPr="00A84B64" w:rsidRDefault="001D3845"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19</w:t>
            </w:r>
            <w:r w:rsidR="009223BD" w:rsidRPr="00A84B64">
              <w:rPr>
                <w:rFonts w:ascii="Verdana" w:hAnsi="Verdana"/>
                <w:sz w:val="18"/>
                <w:szCs w:val="18"/>
                <w:lang w:val="es-ES_tradnl"/>
              </w:rPr>
              <w:t xml:space="preserve"> de </w:t>
            </w:r>
            <w:r w:rsidRPr="00A84B64">
              <w:rPr>
                <w:rFonts w:ascii="Verdana" w:hAnsi="Verdana"/>
                <w:sz w:val="18"/>
                <w:szCs w:val="18"/>
                <w:lang w:val="es-ES_tradnl"/>
              </w:rPr>
              <w:t>marzo</w:t>
            </w:r>
            <w:r w:rsidR="009223BD" w:rsidRPr="00A84B64">
              <w:rPr>
                <w:rFonts w:ascii="Verdana" w:hAnsi="Verdana"/>
                <w:sz w:val="18"/>
                <w:szCs w:val="18"/>
                <w:lang w:val="es-ES_tradnl"/>
              </w:rPr>
              <w:t xml:space="preserve"> de 201</w:t>
            </w:r>
            <w:r w:rsidRPr="00A84B64">
              <w:rPr>
                <w:rFonts w:ascii="Verdana" w:hAnsi="Verdana"/>
                <w:sz w:val="18"/>
                <w:szCs w:val="18"/>
                <w:lang w:val="es-ES_tradnl"/>
              </w:rPr>
              <w:t>3</w:t>
            </w:r>
          </w:p>
        </w:tc>
        <w:tc>
          <w:tcPr>
            <w:tcW w:w="1701" w:type="dxa"/>
            <w:vAlign w:val="center"/>
          </w:tcPr>
          <w:p w14:paraId="2DEF2F90" w14:textId="4C1B77C1" w:rsidR="009223BD" w:rsidRPr="00A84B64" w:rsidRDefault="009223BD" w:rsidP="005F4297">
            <w:pPr>
              <w:spacing w:line="276" w:lineRule="auto"/>
              <w:ind w:right="-79"/>
              <w:jc w:val="center"/>
              <w:rPr>
                <w:rFonts w:ascii="Verdana" w:hAnsi="Verdana"/>
                <w:sz w:val="18"/>
                <w:szCs w:val="18"/>
                <w:lang w:val="es-ES_tradnl"/>
              </w:rPr>
            </w:pPr>
            <w:r w:rsidRPr="00A84B64">
              <w:rPr>
                <w:rFonts w:ascii="Verdana" w:hAnsi="Verdana"/>
                <w:sz w:val="18"/>
                <w:szCs w:val="18"/>
                <w:lang w:val="es-ES_tradnl"/>
              </w:rPr>
              <w:t xml:space="preserve">Desde el </w:t>
            </w:r>
            <w:r w:rsidR="001D3845" w:rsidRPr="00A84B64">
              <w:rPr>
                <w:rFonts w:ascii="Verdana" w:hAnsi="Verdana"/>
                <w:sz w:val="18"/>
                <w:szCs w:val="18"/>
                <w:lang w:val="es-ES_tradnl"/>
              </w:rPr>
              <w:t>21</w:t>
            </w:r>
            <w:r w:rsidRPr="00A84B64">
              <w:rPr>
                <w:rFonts w:ascii="Verdana" w:hAnsi="Verdana"/>
                <w:sz w:val="18"/>
                <w:szCs w:val="18"/>
                <w:lang w:val="es-ES_tradnl"/>
              </w:rPr>
              <w:t xml:space="preserve"> de </w:t>
            </w:r>
            <w:r w:rsidR="001D3845" w:rsidRPr="00A84B64">
              <w:rPr>
                <w:rFonts w:ascii="Verdana" w:hAnsi="Verdana"/>
                <w:sz w:val="18"/>
                <w:szCs w:val="18"/>
                <w:lang w:val="es-ES_tradnl"/>
              </w:rPr>
              <w:t>marzo</w:t>
            </w:r>
            <w:r w:rsidRPr="00A84B64">
              <w:rPr>
                <w:rFonts w:ascii="Verdana" w:hAnsi="Verdana"/>
                <w:sz w:val="18"/>
                <w:szCs w:val="18"/>
                <w:lang w:val="es-ES_tradnl"/>
              </w:rPr>
              <w:t xml:space="preserve"> de 201</w:t>
            </w:r>
            <w:r w:rsidR="00F67660" w:rsidRPr="00A84B64">
              <w:rPr>
                <w:rFonts w:ascii="Verdana" w:hAnsi="Verdana"/>
                <w:sz w:val="18"/>
                <w:szCs w:val="18"/>
                <w:lang w:val="es-ES_tradnl"/>
              </w:rPr>
              <w:t>3</w:t>
            </w:r>
            <w:r w:rsidRPr="00A84B64">
              <w:rPr>
                <w:rFonts w:ascii="Verdana" w:hAnsi="Verdana"/>
                <w:sz w:val="18"/>
                <w:szCs w:val="18"/>
                <w:lang w:val="es-ES_tradnl"/>
              </w:rPr>
              <w:t xml:space="preserve">- Hasta el </w:t>
            </w:r>
            <w:r w:rsidR="001D3845" w:rsidRPr="00A84B64">
              <w:rPr>
                <w:rFonts w:ascii="Verdana" w:hAnsi="Verdana"/>
                <w:sz w:val="18"/>
                <w:szCs w:val="18"/>
                <w:lang w:val="es-ES_tradnl"/>
              </w:rPr>
              <w:t>09</w:t>
            </w:r>
            <w:r w:rsidRPr="00A84B64">
              <w:rPr>
                <w:rFonts w:ascii="Verdana" w:hAnsi="Verdana"/>
                <w:sz w:val="18"/>
                <w:szCs w:val="18"/>
                <w:lang w:val="es-ES_tradnl"/>
              </w:rPr>
              <w:t xml:space="preserve"> de </w:t>
            </w:r>
            <w:r w:rsidR="001D3845" w:rsidRPr="00A84B64">
              <w:rPr>
                <w:rFonts w:ascii="Verdana" w:hAnsi="Verdana"/>
                <w:sz w:val="18"/>
                <w:szCs w:val="18"/>
                <w:lang w:val="es-ES_tradnl"/>
              </w:rPr>
              <w:t>junio de</w:t>
            </w:r>
            <w:r w:rsidRPr="00A84B64">
              <w:rPr>
                <w:rFonts w:ascii="Verdana" w:hAnsi="Verdana"/>
                <w:sz w:val="18"/>
                <w:szCs w:val="18"/>
                <w:lang w:val="es-ES_tradnl"/>
              </w:rPr>
              <w:t xml:space="preserve"> 2014</w:t>
            </w:r>
          </w:p>
        </w:tc>
        <w:tc>
          <w:tcPr>
            <w:tcW w:w="3873" w:type="dxa"/>
            <w:vAlign w:val="center"/>
          </w:tcPr>
          <w:p w14:paraId="0A310C96" w14:textId="4E5BF865" w:rsidR="00F67660" w:rsidRPr="00A84B64" w:rsidRDefault="00F67660" w:rsidP="005F4297">
            <w:pPr>
              <w:spacing w:line="276" w:lineRule="auto"/>
              <w:ind w:right="-79"/>
              <w:jc w:val="both"/>
              <w:rPr>
                <w:rFonts w:ascii="Verdana" w:hAnsi="Verdana"/>
                <w:sz w:val="18"/>
                <w:szCs w:val="18"/>
                <w:lang w:val="es-ES_tradnl"/>
              </w:rPr>
            </w:pPr>
            <w:r w:rsidRPr="00A84B64">
              <w:rPr>
                <w:rFonts w:ascii="Verdana" w:hAnsi="Verdana"/>
                <w:sz w:val="18"/>
                <w:szCs w:val="18"/>
                <w:lang w:val="es-ES_tradnl"/>
              </w:rPr>
              <w:t>De conformidad con</w:t>
            </w:r>
            <w:r w:rsidR="009223BD" w:rsidRPr="00A84B64">
              <w:rPr>
                <w:rFonts w:ascii="Verdana" w:hAnsi="Verdana"/>
                <w:sz w:val="18"/>
                <w:szCs w:val="18"/>
                <w:lang w:val="es-ES_tradnl"/>
              </w:rPr>
              <w:t xml:space="preserve"> </w:t>
            </w:r>
            <w:r w:rsidRPr="00A84B64">
              <w:rPr>
                <w:rFonts w:ascii="Verdana" w:hAnsi="Verdana"/>
                <w:sz w:val="18"/>
                <w:szCs w:val="18"/>
                <w:lang w:val="es-ES_tradnl"/>
              </w:rPr>
              <w:t>el anexo 2</w:t>
            </w:r>
            <w:r w:rsidR="009223BD" w:rsidRPr="00A84B64">
              <w:rPr>
                <w:rFonts w:ascii="Verdana" w:hAnsi="Verdana"/>
                <w:sz w:val="18"/>
                <w:szCs w:val="18"/>
                <w:lang w:val="es-ES_tradnl"/>
              </w:rPr>
              <w:t xml:space="preserve"> (</w:t>
            </w:r>
            <w:proofErr w:type="spellStart"/>
            <w:r w:rsidR="009223BD" w:rsidRPr="00A84B64">
              <w:rPr>
                <w:rFonts w:ascii="Verdana" w:hAnsi="Verdana"/>
                <w:sz w:val="18"/>
                <w:szCs w:val="18"/>
                <w:lang w:val="es-ES_tradnl"/>
              </w:rPr>
              <w:t>fls</w:t>
            </w:r>
            <w:proofErr w:type="spellEnd"/>
            <w:r w:rsidR="009223BD" w:rsidRPr="00A84B64">
              <w:rPr>
                <w:rFonts w:ascii="Verdana" w:hAnsi="Verdana"/>
                <w:sz w:val="18"/>
                <w:szCs w:val="18"/>
                <w:lang w:val="es-ES_tradnl"/>
              </w:rPr>
              <w:t>.</w:t>
            </w:r>
            <w:r w:rsidRPr="00A84B64">
              <w:rPr>
                <w:rFonts w:ascii="Verdana" w:hAnsi="Verdana"/>
                <w:sz w:val="18"/>
                <w:szCs w:val="18"/>
                <w:lang w:val="es-ES_tradnl"/>
              </w:rPr>
              <w:t xml:space="preserve"> 574 a 577</w:t>
            </w:r>
            <w:r w:rsidR="009223BD" w:rsidRPr="00A84B64">
              <w:rPr>
                <w:rFonts w:ascii="Verdana" w:hAnsi="Verdana"/>
                <w:sz w:val="18"/>
                <w:szCs w:val="18"/>
                <w:lang w:val="es-ES_tradnl"/>
              </w:rPr>
              <w:t>) se</w:t>
            </w:r>
            <w:r w:rsidRPr="00A84B64">
              <w:rPr>
                <w:rFonts w:ascii="Verdana" w:hAnsi="Verdana"/>
                <w:sz w:val="18"/>
                <w:szCs w:val="18"/>
                <w:lang w:val="es-ES_tradnl"/>
              </w:rPr>
              <w:t xml:space="preserve"> prorrogó esta póliza hasta el 30/10/2014.</w:t>
            </w:r>
          </w:p>
          <w:p w14:paraId="39551FB2" w14:textId="11ADC3D0" w:rsidR="0095746E" w:rsidRPr="00A84B64" w:rsidRDefault="0095746E" w:rsidP="005F4297">
            <w:pPr>
              <w:spacing w:line="276" w:lineRule="auto"/>
              <w:ind w:right="-79"/>
              <w:jc w:val="both"/>
              <w:rPr>
                <w:rFonts w:ascii="Verdana" w:hAnsi="Verdana"/>
                <w:sz w:val="18"/>
                <w:szCs w:val="18"/>
                <w:lang w:val="es-ES_tradnl"/>
              </w:rPr>
            </w:pPr>
          </w:p>
          <w:p w14:paraId="523DB55D" w14:textId="53416E73" w:rsidR="0095746E" w:rsidRPr="00A84B64" w:rsidRDefault="0095746E" w:rsidP="005F4297">
            <w:pPr>
              <w:spacing w:line="276" w:lineRule="auto"/>
              <w:ind w:right="-79"/>
              <w:jc w:val="both"/>
              <w:rPr>
                <w:rFonts w:ascii="Verdana" w:hAnsi="Verdana"/>
                <w:sz w:val="18"/>
                <w:szCs w:val="18"/>
                <w:lang w:val="es-ES_tradnl"/>
              </w:rPr>
            </w:pPr>
            <w:r w:rsidRPr="00A84B64">
              <w:rPr>
                <w:rFonts w:ascii="Verdana" w:hAnsi="Verdana"/>
                <w:sz w:val="18"/>
                <w:szCs w:val="18"/>
                <w:lang w:val="es-ES_tradnl"/>
              </w:rPr>
              <w:lastRenderedPageBreak/>
              <w:t>De conformidad con el anexo 3 (</w:t>
            </w:r>
            <w:proofErr w:type="spellStart"/>
            <w:r w:rsidRPr="00A84B64">
              <w:rPr>
                <w:rFonts w:ascii="Verdana" w:hAnsi="Verdana"/>
                <w:sz w:val="18"/>
                <w:szCs w:val="18"/>
                <w:lang w:val="es-ES_tradnl"/>
              </w:rPr>
              <w:t>fls</w:t>
            </w:r>
            <w:proofErr w:type="spellEnd"/>
            <w:r w:rsidRPr="00A84B64">
              <w:rPr>
                <w:rFonts w:ascii="Verdana" w:hAnsi="Verdana"/>
                <w:sz w:val="18"/>
                <w:szCs w:val="18"/>
                <w:lang w:val="es-ES_tradnl"/>
              </w:rPr>
              <w:t>. 578 a 582) se prorrogó esta póliza hasta el 26/11/2014.</w:t>
            </w:r>
          </w:p>
          <w:p w14:paraId="5A3C5E4F" w14:textId="77777777" w:rsidR="00F67660" w:rsidRPr="00A84B64" w:rsidRDefault="00F67660" w:rsidP="005F4297">
            <w:pPr>
              <w:spacing w:line="276" w:lineRule="auto"/>
              <w:ind w:right="-79"/>
              <w:jc w:val="both"/>
              <w:rPr>
                <w:rFonts w:ascii="Verdana" w:hAnsi="Verdana"/>
                <w:sz w:val="18"/>
                <w:szCs w:val="18"/>
                <w:lang w:val="es-ES_tradnl"/>
              </w:rPr>
            </w:pPr>
          </w:p>
          <w:p w14:paraId="4C007816" w14:textId="1CC9F21F" w:rsidR="009223BD" w:rsidRPr="00A84B64" w:rsidRDefault="00AC78F9" w:rsidP="005F4297">
            <w:pPr>
              <w:spacing w:line="276" w:lineRule="auto"/>
              <w:ind w:right="-79"/>
              <w:jc w:val="both"/>
              <w:rPr>
                <w:rFonts w:ascii="Verdana" w:hAnsi="Verdana"/>
                <w:sz w:val="18"/>
                <w:szCs w:val="18"/>
                <w:lang w:val="es-ES_tradnl"/>
              </w:rPr>
            </w:pPr>
            <w:r w:rsidRPr="00A84B64">
              <w:rPr>
                <w:rFonts w:ascii="Verdana" w:hAnsi="Verdana"/>
                <w:sz w:val="18"/>
                <w:szCs w:val="18"/>
                <w:lang w:val="es-ES_tradnl"/>
              </w:rPr>
              <w:t xml:space="preserve">En conclusión, </w:t>
            </w:r>
            <w:r w:rsidR="009223BD" w:rsidRPr="00A84B64">
              <w:rPr>
                <w:rFonts w:ascii="Verdana" w:hAnsi="Verdana"/>
                <w:sz w:val="18"/>
                <w:szCs w:val="18"/>
                <w:lang w:val="es-ES_tradnl"/>
              </w:rPr>
              <w:t>conforme a la</w:t>
            </w:r>
            <w:r w:rsidRPr="00A84B64">
              <w:rPr>
                <w:rFonts w:ascii="Verdana" w:hAnsi="Verdana"/>
                <w:sz w:val="18"/>
                <w:szCs w:val="18"/>
                <w:lang w:val="es-ES_tradnl"/>
              </w:rPr>
              <w:t>s</w:t>
            </w:r>
            <w:r w:rsidR="009223BD" w:rsidRPr="00A84B64">
              <w:rPr>
                <w:rFonts w:ascii="Verdana" w:hAnsi="Verdana"/>
                <w:sz w:val="18"/>
                <w:szCs w:val="18"/>
                <w:lang w:val="es-ES_tradnl"/>
              </w:rPr>
              <w:t xml:space="preserve"> pr</w:t>
            </w:r>
            <w:r w:rsidR="009771FB" w:rsidRPr="00A84B64">
              <w:rPr>
                <w:rFonts w:ascii="Verdana" w:hAnsi="Verdana"/>
                <w:sz w:val="18"/>
                <w:szCs w:val="18"/>
                <w:lang w:val="es-ES_tradnl"/>
              </w:rPr>
              <w:t>ó</w:t>
            </w:r>
            <w:r w:rsidR="009223BD" w:rsidRPr="00A84B64">
              <w:rPr>
                <w:rFonts w:ascii="Verdana" w:hAnsi="Verdana"/>
                <w:sz w:val="18"/>
                <w:szCs w:val="18"/>
                <w:lang w:val="es-ES_tradnl"/>
              </w:rPr>
              <w:t>rroga</w:t>
            </w:r>
            <w:r w:rsidRPr="00A84B64">
              <w:rPr>
                <w:rFonts w:ascii="Verdana" w:hAnsi="Verdana"/>
                <w:sz w:val="18"/>
                <w:szCs w:val="18"/>
                <w:lang w:val="es-ES_tradnl"/>
              </w:rPr>
              <w:t>s</w:t>
            </w:r>
            <w:r w:rsidR="009223BD" w:rsidRPr="00A84B64">
              <w:rPr>
                <w:rFonts w:ascii="Verdana" w:hAnsi="Verdana"/>
                <w:sz w:val="18"/>
                <w:szCs w:val="18"/>
                <w:lang w:val="es-ES_tradnl"/>
              </w:rPr>
              <w:t xml:space="preserve"> realizada</w:t>
            </w:r>
            <w:r w:rsidRPr="00A84B64">
              <w:rPr>
                <w:rFonts w:ascii="Verdana" w:hAnsi="Verdana"/>
                <w:sz w:val="18"/>
                <w:szCs w:val="18"/>
                <w:lang w:val="es-ES_tradnl"/>
              </w:rPr>
              <w:t xml:space="preserve">s, </w:t>
            </w:r>
            <w:r w:rsidRPr="00A84B64">
              <w:rPr>
                <w:rFonts w:ascii="Verdana" w:hAnsi="Verdana"/>
                <w:b/>
                <w:bCs/>
                <w:sz w:val="18"/>
                <w:szCs w:val="18"/>
                <w:lang w:val="es-ES_tradnl"/>
              </w:rPr>
              <w:t>la vigencia de esta póliza estuvo comprendida “</w:t>
            </w:r>
            <w:r w:rsidR="009223BD" w:rsidRPr="00A84B64">
              <w:rPr>
                <w:rFonts w:ascii="Verdana" w:hAnsi="Verdana"/>
                <w:b/>
                <w:bCs/>
                <w:sz w:val="18"/>
                <w:szCs w:val="18"/>
                <w:lang w:val="es-ES_tradnl"/>
              </w:rPr>
              <w:t xml:space="preserve">Desde el 21 de </w:t>
            </w:r>
            <w:r w:rsidR="006C72AF" w:rsidRPr="00A84B64">
              <w:rPr>
                <w:rFonts w:ascii="Verdana" w:hAnsi="Verdana"/>
                <w:b/>
                <w:bCs/>
                <w:sz w:val="18"/>
                <w:szCs w:val="18"/>
                <w:lang w:val="es-ES_tradnl"/>
              </w:rPr>
              <w:t>m</w:t>
            </w:r>
            <w:r w:rsidR="009223BD" w:rsidRPr="00A84B64">
              <w:rPr>
                <w:rFonts w:ascii="Verdana" w:hAnsi="Verdana"/>
                <w:b/>
                <w:bCs/>
                <w:sz w:val="18"/>
                <w:szCs w:val="18"/>
                <w:lang w:val="es-ES_tradnl"/>
              </w:rPr>
              <w:t>arzo del 2013 - Hasta el 26 de noviembre del 2014”</w:t>
            </w:r>
          </w:p>
        </w:tc>
      </w:tr>
    </w:tbl>
    <w:p w14:paraId="6164B2B9" w14:textId="77777777" w:rsidR="009223BD" w:rsidRPr="00A84B64" w:rsidRDefault="009223BD" w:rsidP="009223BD">
      <w:pPr>
        <w:spacing w:line="360" w:lineRule="auto"/>
        <w:ind w:right="-79"/>
        <w:jc w:val="both"/>
        <w:rPr>
          <w:rFonts w:ascii="Verdana" w:hAnsi="Verdana"/>
          <w:lang w:val="es-ES_tradnl"/>
        </w:rPr>
      </w:pPr>
    </w:p>
    <w:p w14:paraId="6F2950D3" w14:textId="77777777" w:rsidR="009223BD" w:rsidRPr="00A84B64" w:rsidRDefault="009223BD" w:rsidP="009223BD">
      <w:pPr>
        <w:spacing w:line="360" w:lineRule="auto"/>
        <w:ind w:right="-79"/>
        <w:jc w:val="both"/>
        <w:rPr>
          <w:rFonts w:ascii="Verdana" w:hAnsi="Verdana"/>
          <w:sz w:val="24"/>
          <w:szCs w:val="24"/>
          <w:lang w:val="es-ES_tradnl"/>
        </w:rPr>
      </w:pPr>
    </w:p>
    <w:p w14:paraId="1F0EA4E4" w14:textId="0CECD780" w:rsidR="009223BD" w:rsidRPr="00A84B64" w:rsidRDefault="009223BD" w:rsidP="009223BD">
      <w:pPr>
        <w:spacing w:line="360" w:lineRule="auto"/>
        <w:ind w:right="-79"/>
        <w:jc w:val="both"/>
        <w:rPr>
          <w:rFonts w:ascii="Verdana" w:hAnsi="Verdana" w:cs="Arial"/>
          <w:color w:val="FF0000"/>
          <w:sz w:val="22"/>
          <w:szCs w:val="22"/>
        </w:rPr>
      </w:pPr>
      <w:r w:rsidRPr="00A84B64">
        <w:rPr>
          <w:rFonts w:ascii="Verdana" w:hAnsi="Verdana"/>
          <w:sz w:val="22"/>
          <w:szCs w:val="22"/>
          <w:lang w:val="es-ES_tradnl"/>
        </w:rPr>
        <w:t xml:space="preserve">En ese orden de ideas le asiste razón al recurrente </w:t>
      </w:r>
      <w:r w:rsidR="00DA6F85" w:rsidRPr="00A84B64">
        <w:rPr>
          <w:rFonts w:ascii="Verdana" w:hAnsi="Verdana"/>
          <w:sz w:val="22"/>
          <w:szCs w:val="22"/>
          <w:lang w:val="es-ES_tradnl"/>
        </w:rPr>
        <w:t xml:space="preserve">al señalar que la </w:t>
      </w:r>
      <w:r w:rsidRPr="00A84B64">
        <w:rPr>
          <w:rFonts w:ascii="Verdana" w:hAnsi="Verdana"/>
          <w:sz w:val="22"/>
          <w:szCs w:val="22"/>
          <w:lang w:val="es-ES_tradnl"/>
        </w:rPr>
        <w:t>póliza vigente para la fecha de</w:t>
      </w:r>
      <w:r w:rsidR="00DA6F85" w:rsidRPr="00A84B64">
        <w:rPr>
          <w:rFonts w:ascii="Verdana" w:hAnsi="Verdana"/>
          <w:sz w:val="22"/>
          <w:szCs w:val="22"/>
          <w:lang w:val="es-ES_tradnl"/>
        </w:rPr>
        <w:t xml:space="preserve"> ocurrencia de los hechos</w:t>
      </w:r>
      <w:r w:rsidR="00056B5D" w:rsidRPr="00A84B64">
        <w:rPr>
          <w:rFonts w:ascii="Verdana" w:hAnsi="Verdana"/>
          <w:sz w:val="22"/>
          <w:szCs w:val="22"/>
          <w:lang w:val="es-ES_tradnl"/>
        </w:rPr>
        <w:t xml:space="preserve"> (11 de junio de 2014) es</w:t>
      </w:r>
      <w:r w:rsidRPr="00A84B64">
        <w:rPr>
          <w:rFonts w:ascii="Verdana" w:hAnsi="Verdana"/>
          <w:sz w:val="22"/>
          <w:szCs w:val="22"/>
          <w:lang w:val="es-ES_tradnl"/>
        </w:rPr>
        <w:t xml:space="preserve"> </w:t>
      </w:r>
      <w:r w:rsidR="00DA6F85" w:rsidRPr="00A84B64">
        <w:rPr>
          <w:rFonts w:ascii="Verdana" w:hAnsi="Verdana"/>
          <w:sz w:val="22"/>
          <w:szCs w:val="22"/>
          <w:lang w:val="es-ES_tradnl"/>
        </w:rPr>
        <w:t xml:space="preserve">la póliza </w:t>
      </w:r>
      <w:r w:rsidR="00056B5D" w:rsidRPr="00A84B64">
        <w:rPr>
          <w:rFonts w:ascii="Verdana" w:hAnsi="Verdana"/>
          <w:sz w:val="22"/>
          <w:szCs w:val="22"/>
          <w:lang w:val="es-ES_tradnl"/>
        </w:rPr>
        <w:t xml:space="preserve">Vida Grupo </w:t>
      </w:r>
      <w:r w:rsidR="00DA6F85" w:rsidRPr="00A84B64">
        <w:rPr>
          <w:rFonts w:ascii="Verdana" w:hAnsi="Verdana"/>
          <w:sz w:val="22"/>
          <w:szCs w:val="22"/>
          <w:lang w:val="es-ES_tradnl"/>
        </w:rPr>
        <w:t>No. 21-71-1000000481</w:t>
      </w:r>
      <w:r w:rsidR="00056B5D" w:rsidRPr="00A84B64">
        <w:rPr>
          <w:rFonts w:ascii="Verdana" w:hAnsi="Verdana"/>
          <w:sz w:val="22"/>
          <w:szCs w:val="22"/>
          <w:lang w:val="es-ES_tradnl"/>
        </w:rPr>
        <w:t xml:space="preserve">, toda vez que la póliza Vida Grupo </w:t>
      </w:r>
      <w:r w:rsidRPr="00A84B64">
        <w:rPr>
          <w:rFonts w:ascii="Verdana" w:hAnsi="Verdana"/>
          <w:sz w:val="22"/>
          <w:szCs w:val="22"/>
          <w:lang w:val="es-ES_tradnl"/>
        </w:rPr>
        <w:t xml:space="preserve">No. 21-71-1000000479 fue </w:t>
      </w:r>
      <w:r w:rsidR="00056B5D" w:rsidRPr="00A84B64">
        <w:rPr>
          <w:rFonts w:ascii="Verdana" w:hAnsi="Verdana"/>
          <w:sz w:val="22"/>
          <w:szCs w:val="22"/>
          <w:lang w:val="es-ES_tradnl"/>
        </w:rPr>
        <w:t>revocada</w:t>
      </w:r>
      <w:r w:rsidRPr="00A84B64">
        <w:rPr>
          <w:rFonts w:ascii="Verdana" w:hAnsi="Verdana"/>
          <w:sz w:val="22"/>
          <w:szCs w:val="22"/>
          <w:lang w:val="es-ES_tradnl"/>
        </w:rPr>
        <w:t xml:space="preserve"> por error en la vigencia</w:t>
      </w:r>
      <w:r w:rsidR="00056B5D" w:rsidRPr="00A84B64">
        <w:rPr>
          <w:rFonts w:ascii="Verdana" w:hAnsi="Verdana"/>
          <w:sz w:val="22"/>
          <w:szCs w:val="22"/>
          <w:lang w:val="es-ES_tradnl"/>
        </w:rPr>
        <w:t xml:space="preserve"> final</w:t>
      </w:r>
      <w:r w:rsidR="00547A96" w:rsidRPr="00A84B64">
        <w:rPr>
          <w:rFonts w:ascii="Verdana" w:hAnsi="Verdana"/>
          <w:sz w:val="22"/>
          <w:szCs w:val="22"/>
          <w:lang w:val="es-ES_tradnl"/>
        </w:rPr>
        <w:t xml:space="preserve"> y reemplazada por la póliza No. 21-71-1000000481.</w:t>
      </w:r>
    </w:p>
    <w:p w14:paraId="0FD88A95" w14:textId="77777777" w:rsidR="009223BD" w:rsidRPr="00A84B64" w:rsidRDefault="009223BD" w:rsidP="009223BD">
      <w:pPr>
        <w:pStyle w:val="Prrafodelista"/>
        <w:spacing w:line="360" w:lineRule="auto"/>
        <w:jc w:val="both"/>
        <w:rPr>
          <w:rFonts w:ascii="Verdana" w:hAnsi="Verdana" w:cs="Arial"/>
          <w:color w:val="FF0000"/>
          <w:sz w:val="24"/>
          <w:szCs w:val="24"/>
        </w:rPr>
      </w:pPr>
    </w:p>
    <w:p w14:paraId="0149421C" w14:textId="49419366" w:rsidR="009223BD" w:rsidRPr="00A84B64" w:rsidRDefault="009223BD" w:rsidP="00A51C99">
      <w:pPr>
        <w:spacing w:line="360" w:lineRule="auto"/>
        <w:jc w:val="both"/>
        <w:rPr>
          <w:rFonts w:ascii="Verdana" w:hAnsi="Verdana"/>
          <w:sz w:val="22"/>
          <w:szCs w:val="22"/>
          <w:lang w:val="es-ES_tradnl"/>
        </w:rPr>
      </w:pPr>
      <w:r w:rsidRPr="00A84B64">
        <w:rPr>
          <w:rFonts w:ascii="Verdana" w:hAnsi="Verdana" w:cs="Arial"/>
          <w:sz w:val="22"/>
          <w:szCs w:val="22"/>
        </w:rPr>
        <w:t xml:space="preserve">Ahora bien, en lo que respecta a la naturaleza de la </w:t>
      </w:r>
      <w:r w:rsidRPr="00A84B64">
        <w:rPr>
          <w:rFonts w:ascii="Verdana" w:hAnsi="Verdana" w:cs="Arial"/>
          <w:i/>
          <w:sz w:val="22"/>
          <w:szCs w:val="22"/>
        </w:rPr>
        <w:t>Póliza de Vida Grupo No.21-71-</w:t>
      </w:r>
      <w:r w:rsidRPr="00A84B64">
        <w:rPr>
          <w:rFonts w:ascii="Verdana" w:hAnsi="Verdana"/>
          <w:i/>
          <w:sz w:val="22"/>
          <w:szCs w:val="22"/>
          <w:lang w:val="es-ES_tradnl"/>
        </w:rPr>
        <w:t>1000000481</w:t>
      </w:r>
      <w:r w:rsidRPr="00A84B64">
        <w:rPr>
          <w:rFonts w:ascii="Verdana" w:hAnsi="Verdana"/>
          <w:sz w:val="22"/>
          <w:szCs w:val="22"/>
          <w:lang w:val="es-ES_tradnl"/>
        </w:rPr>
        <w:t>, es necesario clarificar que no se trata de</w:t>
      </w:r>
      <w:r w:rsidR="00A51C99" w:rsidRPr="00A84B64">
        <w:t xml:space="preserve"> </w:t>
      </w:r>
      <w:r w:rsidR="00A51C99" w:rsidRPr="00A84B64">
        <w:rPr>
          <w:rFonts w:ascii="Verdana" w:hAnsi="Verdana"/>
          <w:sz w:val="22"/>
          <w:szCs w:val="22"/>
          <w:lang w:val="es-ES_tradnl"/>
        </w:rPr>
        <w:t>un seguro de daños (responsabilidad civil)</w:t>
      </w:r>
      <w:r w:rsidRPr="00A84B64">
        <w:rPr>
          <w:rFonts w:ascii="Verdana" w:hAnsi="Verdana"/>
          <w:sz w:val="22"/>
          <w:szCs w:val="22"/>
          <w:lang w:val="es-ES_tradnl"/>
        </w:rPr>
        <w:t xml:space="preserve"> como lo adujo el </w:t>
      </w:r>
      <w:r w:rsidRPr="00A84B64">
        <w:rPr>
          <w:rFonts w:ascii="Verdana" w:hAnsi="Verdana"/>
          <w:i/>
          <w:iCs/>
          <w:sz w:val="22"/>
          <w:szCs w:val="22"/>
          <w:lang w:val="es-ES_tradnl"/>
        </w:rPr>
        <w:t>a-quo</w:t>
      </w:r>
      <w:r w:rsidRPr="00A84B64">
        <w:rPr>
          <w:rFonts w:ascii="Verdana" w:hAnsi="Verdana"/>
          <w:sz w:val="22"/>
          <w:szCs w:val="22"/>
          <w:lang w:val="es-ES_tradnl"/>
        </w:rPr>
        <w:t xml:space="preserve">; </w:t>
      </w:r>
      <w:r w:rsidR="00512575" w:rsidRPr="00A84B64">
        <w:rPr>
          <w:rFonts w:ascii="Verdana" w:hAnsi="Verdana"/>
          <w:sz w:val="22"/>
          <w:szCs w:val="22"/>
          <w:lang w:val="es-ES_tradnl"/>
        </w:rPr>
        <w:t>sino que se trata de un</w:t>
      </w:r>
      <w:r w:rsidRPr="00A84B64">
        <w:rPr>
          <w:rFonts w:ascii="Verdana" w:hAnsi="Verdana"/>
          <w:sz w:val="22"/>
          <w:szCs w:val="22"/>
          <w:lang w:val="es-ES_tradnl"/>
        </w:rPr>
        <w:t xml:space="preserve"> seguro de personas,</w:t>
      </w:r>
      <w:r w:rsidR="0032362D" w:rsidRPr="00A84B64">
        <w:rPr>
          <w:rFonts w:ascii="Verdana" w:hAnsi="Verdana"/>
          <w:sz w:val="22"/>
          <w:szCs w:val="22"/>
          <w:lang w:val="es-ES_tradnl"/>
        </w:rPr>
        <w:t xml:space="preserve"> tipologías</w:t>
      </w:r>
      <w:r w:rsidRPr="00A84B64">
        <w:rPr>
          <w:rFonts w:ascii="Verdana" w:hAnsi="Verdana"/>
          <w:sz w:val="22"/>
          <w:szCs w:val="22"/>
          <w:lang w:val="es-ES_tradnl"/>
        </w:rPr>
        <w:t xml:space="preserve"> que a la luz de la jurisprudencia comprende</w:t>
      </w:r>
      <w:r w:rsidR="00512575" w:rsidRPr="00A84B64">
        <w:rPr>
          <w:rFonts w:ascii="Verdana" w:hAnsi="Verdana"/>
          <w:sz w:val="22"/>
          <w:szCs w:val="22"/>
          <w:lang w:val="es-ES_tradnl"/>
        </w:rPr>
        <w:t>n</w:t>
      </w:r>
      <w:r w:rsidRPr="00A84B64">
        <w:rPr>
          <w:rFonts w:ascii="Verdana" w:hAnsi="Verdana"/>
          <w:sz w:val="22"/>
          <w:szCs w:val="22"/>
          <w:lang w:val="es-ES_tradnl"/>
        </w:rPr>
        <w:t xml:space="preserve"> disímiles objetivos:</w:t>
      </w:r>
    </w:p>
    <w:p w14:paraId="7279E6B0" w14:textId="77777777" w:rsidR="009223BD" w:rsidRPr="00A84B64" w:rsidRDefault="009223BD" w:rsidP="009223BD">
      <w:pPr>
        <w:spacing w:line="360" w:lineRule="auto"/>
        <w:jc w:val="both"/>
        <w:rPr>
          <w:rFonts w:ascii="Verdana" w:hAnsi="Verdana"/>
          <w:sz w:val="24"/>
          <w:szCs w:val="24"/>
          <w:lang w:val="es-ES_tradnl"/>
        </w:rPr>
      </w:pPr>
    </w:p>
    <w:p w14:paraId="4993E8D2" w14:textId="320885DB" w:rsidR="009223BD" w:rsidRPr="00A84B64" w:rsidRDefault="009223BD" w:rsidP="00833098">
      <w:pPr>
        <w:spacing w:line="276" w:lineRule="auto"/>
        <w:ind w:left="708"/>
        <w:jc w:val="both"/>
        <w:rPr>
          <w:b/>
          <w:sz w:val="22"/>
          <w:szCs w:val="22"/>
        </w:rPr>
      </w:pPr>
      <w:r w:rsidRPr="00A84B64">
        <w:rPr>
          <w:rFonts w:ascii="Verdana" w:hAnsi="Verdana" w:cs="Arial"/>
          <w:sz w:val="22"/>
          <w:szCs w:val="22"/>
        </w:rPr>
        <w:t>“</w:t>
      </w:r>
      <w:r w:rsidR="00512575" w:rsidRPr="00A84B64">
        <w:rPr>
          <w:rFonts w:ascii="Verdana" w:hAnsi="Verdana" w:cs="Arial"/>
          <w:i/>
          <w:sz w:val="22"/>
          <w:szCs w:val="22"/>
        </w:rPr>
        <w:t>E</w:t>
      </w:r>
      <w:r w:rsidRPr="00A84B64">
        <w:rPr>
          <w:rFonts w:ascii="Verdana" w:hAnsi="Verdana" w:cs="Arial"/>
          <w:i/>
          <w:sz w:val="22"/>
          <w:szCs w:val="22"/>
        </w:rPr>
        <w:t xml:space="preserve">l seguro que concierne con las personas, </w:t>
      </w:r>
      <w:r w:rsidRPr="00A84B64">
        <w:rPr>
          <w:rFonts w:ascii="Verdana" w:hAnsi="Verdana" w:cs="Arial"/>
          <w:b/>
          <w:i/>
          <w:sz w:val="22"/>
          <w:szCs w:val="22"/>
        </w:rPr>
        <w:t>su finalidad principal es compensar, antes que indemnizar</w:t>
      </w:r>
      <w:r w:rsidRPr="00A84B64">
        <w:rPr>
          <w:rFonts w:ascii="Verdana" w:hAnsi="Verdana" w:cs="Arial"/>
          <w:i/>
          <w:sz w:val="22"/>
          <w:szCs w:val="22"/>
        </w:rPr>
        <w:t xml:space="preserve">, la afectación derivada del acaecimiento del hecho descrito como desencadenante de la compensación… Alude a intereses de diferente índole como la vida o la integridad personal  del asegurado, refiera al tomador o a un tercero y, por ello mismo, </w:t>
      </w:r>
      <w:r w:rsidRPr="00A84B64">
        <w:rPr>
          <w:rFonts w:ascii="Verdana" w:hAnsi="Verdana" w:cs="Arial"/>
          <w:b/>
          <w:i/>
          <w:sz w:val="22"/>
          <w:szCs w:val="22"/>
        </w:rPr>
        <w:t>la obligación que soporta la aseguradora no es el resultado de la pérdida, dado que los intereses involucrados no son tasables en dinero, sino una suma previamente convenida a título de compensación</w:t>
      </w:r>
      <w:r w:rsidRPr="00A84B64">
        <w:rPr>
          <w:rFonts w:ascii="Verdana" w:hAnsi="Verdana" w:cs="Arial"/>
          <w:i/>
          <w:sz w:val="22"/>
          <w:szCs w:val="22"/>
        </w:rPr>
        <w:t>….</w:t>
      </w:r>
      <w:r w:rsidRPr="00A84B64">
        <w:rPr>
          <w:rFonts w:ascii="Verdana" w:hAnsi="Verdana" w:cs="Arial"/>
          <w:sz w:val="22"/>
          <w:szCs w:val="22"/>
        </w:rPr>
        <w:t>Por su parte..</w:t>
      </w:r>
      <w:r w:rsidRPr="00A84B64">
        <w:rPr>
          <w:i/>
          <w:sz w:val="22"/>
          <w:szCs w:val="22"/>
        </w:rPr>
        <w:t xml:space="preserve"> </w:t>
      </w:r>
      <w:r w:rsidRPr="00A84B64">
        <w:rPr>
          <w:rFonts w:ascii="Verdana" w:hAnsi="Verdana" w:cs="Arial"/>
          <w:i/>
          <w:sz w:val="22"/>
          <w:szCs w:val="22"/>
        </w:rPr>
        <w:t xml:space="preserve">el seguro de responsabilidad civil aparece como una modalidad del seguro de daños y la obligación del asegurador es, entonces, asumir la indemnización por los perjuicios patrimoniales que el asegurado cauce a la víctima, de manera que, en esta especie de aseguramiento, el beneficiario es ésta y no aquel. En tanto, </w:t>
      </w:r>
      <w:r w:rsidRPr="00A84B64">
        <w:rPr>
          <w:rFonts w:ascii="Verdana" w:hAnsi="Verdana" w:cs="Arial"/>
          <w:b/>
          <w:i/>
          <w:sz w:val="22"/>
          <w:szCs w:val="22"/>
        </w:rPr>
        <w:t>el beneficiario en el seguro de personas es el que previamente ha sido elegido como tal o, dado el caso, a quienes por ley les corresponde percibir tal compensación</w:t>
      </w:r>
      <w:r w:rsidRPr="00A84B64">
        <w:rPr>
          <w:rFonts w:ascii="Verdana" w:hAnsi="Verdana" w:cs="Arial"/>
          <w:b/>
          <w:sz w:val="22"/>
          <w:szCs w:val="22"/>
        </w:rPr>
        <w:t>”</w:t>
      </w:r>
      <w:r w:rsidRPr="00A84B64">
        <w:rPr>
          <w:rStyle w:val="Refdenotaalpie"/>
          <w:rFonts w:ascii="Verdana" w:hAnsi="Verdana"/>
          <w:sz w:val="22"/>
          <w:szCs w:val="22"/>
        </w:rPr>
        <w:footnoteReference w:id="16"/>
      </w:r>
      <w:r w:rsidRPr="00A84B64">
        <w:rPr>
          <w:rFonts w:ascii="Verdana" w:hAnsi="Verdana" w:cs="Arial"/>
          <w:sz w:val="22"/>
          <w:szCs w:val="22"/>
        </w:rPr>
        <w:t xml:space="preserve"> (</w:t>
      </w:r>
      <w:r w:rsidRPr="00A84B64">
        <w:rPr>
          <w:rFonts w:ascii="Verdana" w:hAnsi="Verdana" w:cs="Arial"/>
          <w:b/>
          <w:sz w:val="22"/>
          <w:szCs w:val="22"/>
        </w:rPr>
        <w:t>Negrilla fuera de texto)</w:t>
      </w:r>
      <w:r w:rsidR="002378FC" w:rsidRPr="00A84B64">
        <w:rPr>
          <w:rFonts w:ascii="Verdana" w:hAnsi="Verdana" w:cs="Arial"/>
          <w:b/>
          <w:sz w:val="22"/>
          <w:szCs w:val="22"/>
        </w:rPr>
        <w:t>.</w:t>
      </w:r>
    </w:p>
    <w:p w14:paraId="4A57A179" w14:textId="77777777" w:rsidR="009223BD" w:rsidRPr="00A84B64" w:rsidRDefault="009223BD" w:rsidP="009223BD">
      <w:pPr>
        <w:spacing w:line="360" w:lineRule="auto"/>
        <w:ind w:left="360"/>
        <w:jc w:val="both"/>
        <w:rPr>
          <w:rFonts w:ascii="Verdana" w:hAnsi="Verdana" w:cs="Arial"/>
          <w:sz w:val="24"/>
          <w:szCs w:val="24"/>
        </w:rPr>
      </w:pPr>
    </w:p>
    <w:p w14:paraId="1EDA68FD" w14:textId="799AA721" w:rsidR="009223BD" w:rsidRPr="00A84B64" w:rsidRDefault="009223BD" w:rsidP="00512575">
      <w:pPr>
        <w:spacing w:line="360" w:lineRule="auto"/>
        <w:jc w:val="both"/>
        <w:rPr>
          <w:rFonts w:ascii="Verdana" w:hAnsi="Verdana" w:cs="Arial"/>
          <w:sz w:val="22"/>
          <w:szCs w:val="22"/>
        </w:rPr>
      </w:pPr>
      <w:r w:rsidRPr="00A84B64">
        <w:rPr>
          <w:rFonts w:ascii="Verdana" w:hAnsi="Verdana" w:cs="Arial"/>
          <w:sz w:val="22"/>
          <w:szCs w:val="22"/>
        </w:rPr>
        <w:lastRenderedPageBreak/>
        <w:t xml:space="preserve">Al respecto, vale la pena </w:t>
      </w:r>
      <w:r w:rsidR="00512575" w:rsidRPr="00A84B64">
        <w:rPr>
          <w:rFonts w:ascii="Verdana" w:hAnsi="Verdana" w:cs="Arial"/>
          <w:sz w:val="22"/>
          <w:szCs w:val="22"/>
        </w:rPr>
        <w:t>señalar que</w:t>
      </w:r>
      <w:r w:rsidRPr="00A84B64">
        <w:rPr>
          <w:rFonts w:ascii="Verdana" w:hAnsi="Verdana" w:cs="Arial"/>
          <w:sz w:val="22"/>
          <w:szCs w:val="22"/>
        </w:rPr>
        <w:t xml:space="preserve"> el Código Comercio</w:t>
      </w:r>
      <w:r w:rsidR="008064DB" w:rsidRPr="00A84B64">
        <w:rPr>
          <w:rFonts w:ascii="Verdana" w:hAnsi="Verdana" w:cs="Arial"/>
          <w:sz w:val="22"/>
          <w:szCs w:val="22"/>
        </w:rPr>
        <w:t xml:space="preserve"> en el capítulo de seguros de personas</w:t>
      </w:r>
      <w:r w:rsidRPr="00A84B64">
        <w:rPr>
          <w:rFonts w:ascii="Verdana" w:hAnsi="Verdana" w:cs="Arial"/>
          <w:sz w:val="22"/>
          <w:szCs w:val="22"/>
        </w:rPr>
        <w:t>,</w:t>
      </w:r>
      <w:r w:rsidR="008064DB" w:rsidRPr="00A84B64">
        <w:rPr>
          <w:rFonts w:ascii="Verdana" w:hAnsi="Verdana" w:cs="Arial"/>
          <w:sz w:val="22"/>
          <w:szCs w:val="22"/>
        </w:rPr>
        <w:t xml:space="preserve"> artículo 1137 </w:t>
      </w:r>
      <w:r w:rsidRPr="00A84B64">
        <w:rPr>
          <w:rFonts w:ascii="Verdana" w:hAnsi="Verdana" w:cs="Arial"/>
          <w:sz w:val="22"/>
          <w:szCs w:val="22"/>
        </w:rPr>
        <w:t>señala que todas las personas pueden tener interés asegurable:</w:t>
      </w:r>
    </w:p>
    <w:p w14:paraId="3BFA7712" w14:textId="77777777" w:rsidR="009223BD" w:rsidRPr="00A84B64" w:rsidRDefault="009223BD" w:rsidP="009223BD">
      <w:pPr>
        <w:spacing w:line="360" w:lineRule="auto"/>
        <w:ind w:left="360"/>
        <w:jc w:val="both"/>
        <w:rPr>
          <w:rFonts w:ascii="Verdana" w:hAnsi="Verdana" w:cs="Arial"/>
          <w:sz w:val="24"/>
          <w:szCs w:val="24"/>
        </w:rPr>
      </w:pPr>
    </w:p>
    <w:p w14:paraId="12B6BA1E" w14:textId="77777777" w:rsidR="009223BD" w:rsidRPr="00A84B64" w:rsidRDefault="009223BD" w:rsidP="004B6DFF">
      <w:pPr>
        <w:ind w:left="708"/>
        <w:jc w:val="both"/>
        <w:rPr>
          <w:rFonts w:ascii="Verdana" w:hAnsi="Verdana" w:cs="Arial"/>
          <w:i/>
          <w:sz w:val="22"/>
          <w:szCs w:val="22"/>
        </w:rPr>
      </w:pPr>
      <w:r w:rsidRPr="00A84B64">
        <w:rPr>
          <w:rFonts w:ascii="Verdana" w:hAnsi="Verdana" w:cs="Arial"/>
          <w:sz w:val="22"/>
          <w:szCs w:val="22"/>
        </w:rPr>
        <w:t>“</w:t>
      </w:r>
      <w:r w:rsidRPr="00A84B64">
        <w:rPr>
          <w:rFonts w:ascii="Verdana" w:hAnsi="Verdana" w:cs="Arial"/>
          <w:i/>
          <w:sz w:val="22"/>
          <w:szCs w:val="22"/>
        </w:rPr>
        <w:t>1) En su propia vida;</w:t>
      </w:r>
    </w:p>
    <w:p w14:paraId="070EDCCE" w14:textId="77777777" w:rsidR="009223BD" w:rsidRPr="00A84B64" w:rsidRDefault="009223BD" w:rsidP="004B6DFF">
      <w:pPr>
        <w:ind w:left="708"/>
        <w:jc w:val="both"/>
        <w:rPr>
          <w:rFonts w:ascii="Verdana" w:hAnsi="Verdana" w:cs="Arial"/>
          <w:i/>
          <w:sz w:val="22"/>
          <w:szCs w:val="22"/>
        </w:rPr>
      </w:pPr>
      <w:r w:rsidRPr="00A84B64">
        <w:rPr>
          <w:rFonts w:ascii="Verdana" w:hAnsi="Verdana" w:cs="Arial"/>
          <w:i/>
          <w:sz w:val="22"/>
          <w:szCs w:val="22"/>
        </w:rPr>
        <w:t>2) En la de las personas a quienes legalmente pueda reclamar alimentos, y</w:t>
      </w:r>
    </w:p>
    <w:p w14:paraId="60397E63" w14:textId="5893F146" w:rsidR="009223BD" w:rsidRPr="00A84B64" w:rsidRDefault="009223BD" w:rsidP="004B6DFF">
      <w:pPr>
        <w:ind w:left="708"/>
        <w:jc w:val="both"/>
        <w:rPr>
          <w:rFonts w:ascii="Verdana" w:hAnsi="Verdana" w:cs="Arial"/>
          <w:sz w:val="22"/>
          <w:szCs w:val="22"/>
        </w:rPr>
      </w:pPr>
      <w:r w:rsidRPr="00A84B64">
        <w:rPr>
          <w:rFonts w:ascii="Verdana" w:hAnsi="Verdana" w:cs="Arial"/>
          <w:i/>
          <w:sz w:val="22"/>
          <w:szCs w:val="22"/>
        </w:rPr>
        <w:t xml:space="preserve">3) </w:t>
      </w:r>
      <w:r w:rsidRPr="00A84B64">
        <w:rPr>
          <w:rFonts w:ascii="Verdana" w:hAnsi="Verdana" w:cs="Arial"/>
          <w:b/>
          <w:i/>
          <w:sz w:val="22"/>
          <w:szCs w:val="22"/>
        </w:rPr>
        <w:t xml:space="preserve">En la de aquellas cuya </w:t>
      </w:r>
      <w:r w:rsidRPr="00A84B64">
        <w:rPr>
          <w:rFonts w:ascii="Verdana" w:hAnsi="Verdana" w:cs="Arial"/>
          <w:i/>
          <w:sz w:val="22"/>
          <w:szCs w:val="22"/>
        </w:rPr>
        <w:t xml:space="preserve">muerte o </w:t>
      </w:r>
      <w:r w:rsidRPr="00A84B64">
        <w:rPr>
          <w:rFonts w:ascii="Verdana" w:hAnsi="Verdana" w:cs="Arial"/>
          <w:b/>
          <w:i/>
          <w:sz w:val="22"/>
          <w:szCs w:val="22"/>
        </w:rPr>
        <w:t>incapacidad pueden aparejarle un perjuicio económico</w:t>
      </w:r>
      <w:r w:rsidRPr="00A84B64">
        <w:rPr>
          <w:rFonts w:ascii="Verdana" w:hAnsi="Verdana" w:cs="Arial"/>
          <w:i/>
          <w:sz w:val="22"/>
          <w:szCs w:val="22"/>
        </w:rPr>
        <w:t>, aunque éste no sea susceptible de una evaluación cierta</w:t>
      </w:r>
      <w:r w:rsidRPr="00A84B64">
        <w:rPr>
          <w:rFonts w:ascii="Verdana" w:hAnsi="Verdana" w:cs="Arial"/>
          <w:sz w:val="22"/>
          <w:szCs w:val="22"/>
        </w:rPr>
        <w:t>”</w:t>
      </w:r>
      <w:r w:rsidR="008064DB" w:rsidRPr="00A84B64">
        <w:rPr>
          <w:rFonts w:ascii="Verdana" w:hAnsi="Verdana" w:cs="Arial"/>
          <w:sz w:val="22"/>
          <w:szCs w:val="22"/>
        </w:rPr>
        <w:t>.</w:t>
      </w:r>
    </w:p>
    <w:p w14:paraId="18B2749C" w14:textId="77777777" w:rsidR="009223BD" w:rsidRPr="00A84B64" w:rsidRDefault="009223BD" w:rsidP="009223BD">
      <w:pPr>
        <w:spacing w:line="360" w:lineRule="auto"/>
        <w:ind w:left="360"/>
        <w:jc w:val="both"/>
        <w:rPr>
          <w:rFonts w:ascii="Verdana" w:hAnsi="Verdana" w:cs="Arial"/>
          <w:sz w:val="24"/>
          <w:szCs w:val="24"/>
        </w:rPr>
      </w:pPr>
    </w:p>
    <w:p w14:paraId="11303395" w14:textId="77777777" w:rsidR="009223BD" w:rsidRPr="00A84B64" w:rsidRDefault="009223BD" w:rsidP="00830285">
      <w:pPr>
        <w:spacing w:line="360" w:lineRule="auto"/>
        <w:jc w:val="both"/>
        <w:rPr>
          <w:rFonts w:ascii="Verdana" w:hAnsi="Verdana" w:cs="Arial"/>
          <w:sz w:val="22"/>
          <w:szCs w:val="22"/>
        </w:rPr>
      </w:pPr>
      <w:r w:rsidRPr="00A84B64">
        <w:rPr>
          <w:rFonts w:ascii="Verdana" w:hAnsi="Verdana" w:cs="Arial"/>
          <w:sz w:val="22"/>
          <w:szCs w:val="22"/>
        </w:rPr>
        <w:t>En relación con lo anterior, la jurisprudencia ha precisado lo siguiente:</w:t>
      </w:r>
    </w:p>
    <w:p w14:paraId="0137835F" w14:textId="77777777" w:rsidR="009223BD" w:rsidRPr="00A84B64" w:rsidRDefault="009223BD" w:rsidP="00833098">
      <w:pPr>
        <w:spacing w:line="276" w:lineRule="auto"/>
        <w:ind w:left="360"/>
        <w:jc w:val="both"/>
        <w:rPr>
          <w:rFonts w:ascii="Verdana" w:hAnsi="Verdana" w:cs="Arial"/>
          <w:sz w:val="22"/>
          <w:szCs w:val="22"/>
        </w:rPr>
      </w:pPr>
    </w:p>
    <w:p w14:paraId="49B77561" w14:textId="77777777" w:rsidR="009223BD" w:rsidRPr="00A84B64" w:rsidRDefault="009223BD" w:rsidP="00833098">
      <w:pPr>
        <w:spacing w:line="276" w:lineRule="auto"/>
        <w:ind w:left="708"/>
        <w:jc w:val="both"/>
        <w:rPr>
          <w:rFonts w:ascii="Verdana" w:hAnsi="Verdana" w:cs="Arial"/>
          <w:sz w:val="22"/>
          <w:szCs w:val="22"/>
        </w:rPr>
      </w:pPr>
      <w:r w:rsidRPr="00A84B64">
        <w:rPr>
          <w:rFonts w:ascii="Verdana" w:hAnsi="Verdana" w:cs="Arial"/>
          <w:sz w:val="22"/>
          <w:szCs w:val="22"/>
        </w:rPr>
        <w:t>“</w:t>
      </w:r>
      <w:r w:rsidRPr="00A84B64">
        <w:rPr>
          <w:rFonts w:ascii="Verdana" w:hAnsi="Verdana" w:cs="Arial"/>
          <w:i/>
          <w:sz w:val="22"/>
          <w:szCs w:val="22"/>
        </w:rPr>
        <w:t xml:space="preserve">En el seguro de personas, que por supuesto comprende el de vida, (…), </w:t>
      </w:r>
      <w:r w:rsidRPr="00A84B64">
        <w:rPr>
          <w:rFonts w:ascii="Verdana" w:hAnsi="Verdana" w:cs="Arial"/>
          <w:b/>
          <w:i/>
          <w:sz w:val="22"/>
          <w:szCs w:val="22"/>
        </w:rPr>
        <w:t>se garantiza el pago de un capital previamente acordado entre las partes, que será su límite, cuando se produzca el hecho que afecta la supervivencia o salud del asegurado</w:t>
      </w:r>
      <w:r w:rsidRPr="00A84B64">
        <w:rPr>
          <w:rFonts w:ascii="Verdana" w:hAnsi="Verdana" w:cs="Arial"/>
          <w:i/>
          <w:sz w:val="22"/>
          <w:szCs w:val="22"/>
        </w:rPr>
        <w:t xml:space="preserve">; el interés asegurable, según el artículo 1137 del Código de Comercio, lo tiene la persona en su propia vida, </w:t>
      </w:r>
      <w:r w:rsidRPr="00A84B64">
        <w:rPr>
          <w:rFonts w:ascii="Verdana" w:hAnsi="Verdana" w:cs="Arial"/>
          <w:b/>
          <w:i/>
          <w:sz w:val="22"/>
          <w:szCs w:val="22"/>
        </w:rPr>
        <w:t>en la de las personas</w:t>
      </w:r>
      <w:r w:rsidRPr="00A84B64">
        <w:rPr>
          <w:rFonts w:ascii="Verdana" w:hAnsi="Verdana" w:cs="Arial"/>
          <w:i/>
          <w:sz w:val="22"/>
          <w:szCs w:val="22"/>
        </w:rPr>
        <w:t xml:space="preserve"> a quienes les pueda reclamar alimentos, y en la de aquellas por cuya muerte o </w:t>
      </w:r>
      <w:r w:rsidRPr="00A84B64">
        <w:rPr>
          <w:rFonts w:ascii="Verdana" w:hAnsi="Verdana" w:cs="Arial"/>
          <w:b/>
          <w:i/>
          <w:sz w:val="22"/>
          <w:szCs w:val="22"/>
        </w:rPr>
        <w:t>incapacidad reciba un perjuicio económico</w:t>
      </w:r>
      <w:r w:rsidRPr="00A84B64">
        <w:rPr>
          <w:rFonts w:ascii="Verdana" w:hAnsi="Verdana" w:cs="Arial"/>
          <w:i/>
          <w:sz w:val="22"/>
          <w:szCs w:val="22"/>
        </w:rPr>
        <w:t xml:space="preserve">, aunque este perjuicio no sea factible de evaluar de manera cierta, es decir, el objeto de ese interés es la existencia física misma. En el seguro de vida, el riesgo que asume el asegurador es la muerte del asegurado, en el que, se reitera, a diferencia del de daños, que tiene naturaleza indemnizatoria, las partes pueden libremente pactar la suma asegurada, que </w:t>
      </w:r>
      <w:r w:rsidRPr="00A84B64">
        <w:rPr>
          <w:rFonts w:ascii="Verdana" w:hAnsi="Verdana" w:cs="Arial"/>
          <w:b/>
          <w:i/>
          <w:sz w:val="22"/>
          <w:szCs w:val="22"/>
        </w:rPr>
        <w:t>propiamente no responde al concepto de indemnización, sino al de prestación a cargo del asegurador por la ocurrencia del hecho que según la póliza da origen a la obligación de pagar la cantidad estipulada.</w:t>
      </w:r>
      <w:r w:rsidRPr="00A84B64">
        <w:rPr>
          <w:rFonts w:ascii="Verdana" w:hAnsi="Verdana" w:cs="Arial"/>
          <w:i/>
          <w:sz w:val="22"/>
          <w:szCs w:val="22"/>
        </w:rPr>
        <w:t xml:space="preserve"> Por lo tanto, con la sola ocurrencia del siniestro, debidamente acreditada, por regla general nace la obligación del asegurador de pagar el valor del seguro en la cantidad estipulada en el contrato</w:t>
      </w:r>
      <w:r w:rsidRPr="00A84B64">
        <w:rPr>
          <w:rFonts w:ascii="Verdana" w:hAnsi="Verdana" w:cs="Arial"/>
          <w:sz w:val="22"/>
          <w:szCs w:val="22"/>
        </w:rPr>
        <w:t>”</w:t>
      </w:r>
      <w:r w:rsidRPr="00A84B64">
        <w:rPr>
          <w:rStyle w:val="Refdenotaalpie"/>
          <w:rFonts w:ascii="Verdana" w:hAnsi="Verdana"/>
          <w:sz w:val="22"/>
          <w:szCs w:val="22"/>
        </w:rPr>
        <w:footnoteReference w:id="17"/>
      </w:r>
      <w:r w:rsidRPr="00A84B64">
        <w:rPr>
          <w:rFonts w:ascii="Verdana" w:hAnsi="Verdana" w:cs="Arial"/>
          <w:sz w:val="22"/>
          <w:szCs w:val="22"/>
        </w:rPr>
        <w:t>.</w:t>
      </w:r>
    </w:p>
    <w:p w14:paraId="1E1EE7FA" w14:textId="77777777" w:rsidR="009223BD" w:rsidRPr="00A84B64" w:rsidRDefault="009223BD" w:rsidP="009223BD">
      <w:pPr>
        <w:spacing w:line="360" w:lineRule="auto"/>
        <w:ind w:left="708"/>
        <w:jc w:val="both"/>
        <w:rPr>
          <w:rFonts w:ascii="Verdana" w:hAnsi="Verdana" w:cs="Arial"/>
          <w:sz w:val="24"/>
          <w:szCs w:val="24"/>
        </w:rPr>
      </w:pPr>
    </w:p>
    <w:p w14:paraId="353FC8CF" w14:textId="23DD5AD4" w:rsidR="00FE4B03" w:rsidRPr="00A84B64" w:rsidRDefault="009223BD" w:rsidP="00FE4B03">
      <w:pPr>
        <w:spacing w:line="360" w:lineRule="auto"/>
        <w:jc w:val="both"/>
        <w:rPr>
          <w:rFonts w:ascii="Verdana" w:hAnsi="Verdana" w:cs="Arial"/>
          <w:sz w:val="22"/>
          <w:szCs w:val="22"/>
        </w:rPr>
      </w:pPr>
      <w:r w:rsidRPr="00A84B64">
        <w:rPr>
          <w:rFonts w:ascii="Verdana" w:hAnsi="Verdana" w:cs="Arial"/>
          <w:sz w:val="22"/>
          <w:szCs w:val="22"/>
        </w:rPr>
        <w:t xml:space="preserve">Así pues, luego </w:t>
      </w:r>
      <w:r w:rsidR="00547A96" w:rsidRPr="00A84B64">
        <w:rPr>
          <w:rFonts w:ascii="Verdana" w:hAnsi="Verdana" w:cs="Arial"/>
          <w:sz w:val="22"/>
          <w:szCs w:val="22"/>
        </w:rPr>
        <w:t>revisar la</w:t>
      </w:r>
      <w:r w:rsidRPr="00A84B64">
        <w:rPr>
          <w:rFonts w:ascii="Verdana" w:hAnsi="Verdana" w:cs="Arial"/>
          <w:sz w:val="22"/>
          <w:szCs w:val="22"/>
        </w:rPr>
        <w:t xml:space="preserve"> </w:t>
      </w:r>
      <w:r w:rsidR="004B6DFF" w:rsidRPr="00A84B64">
        <w:rPr>
          <w:rFonts w:ascii="Verdana" w:hAnsi="Verdana"/>
          <w:sz w:val="22"/>
          <w:szCs w:val="22"/>
        </w:rPr>
        <w:t>póliza Vida Grupo No. 21-71-1000000481</w:t>
      </w:r>
      <w:r w:rsidRPr="00A84B64">
        <w:rPr>
          <w:rFonts w:ascii="Verdana" w:hAnsi="Verdana" w:cs="Arial"/>
          <w:sz w:val="22"/>
          <w:szCs w:val="22"/>
        </w:rPr>
        <w:t xml:space="preserve">, </w:t>
      </w:r>
      <w:r w:rsidR="00547A96" w:rsidRPr="00A84B64">
        <w:rPr>
          <w:rFonts w:ascii="Verdana" w:hAnsi="Verdana" w:cs="Arial"/>
          <w:sz w:val="22"/>
          <w:szCs w:val="22"/>
        </w:rPr>
        <w:t>la Sala</w:t>
      </w:r>
      <w:r w:rsidRPr="00A84B64">
        <w:rPr>
          <w:rFonts w:ascii="Verdana" w:hAnsi="Verdana" w:cs="Arial"/>
          <w:sz w:val="22"/>
          <w:szCs w:val="22"/>
        </w:rPr>
        <w:t xml:space="preserve"> evidencia que en </w:t>
      </w:r>
      <w:r w:rsidR="00FE4B03" w:rsidRPr="00A84B64">
        <w:rPr>
          <w:rFonts w:ascii="Verdana" w:hAnsi="Verdana" w:cs="Arial"/>
          <w:sz w:val="22"/>
          <w:szCs w:val="22"/>
        </w:rPr>
        <w:t xml:space="preserve">las observaciones </w:t>
      </w:r>
      <w:r w:rsidR="1A3CD125" w:rsidRPr="00A84B64">
        <w:rPr>
          <w:rFonts w:ascii="Verdana" w:hAnsi="Verdana" w:cs="Arial"/>
          <w:sz w:val="22"/>
          <w:szCs w:val="22"/>
        </w:rPr>
        <w:t>s</w:t>
      </w:r>
      <w:r w:rsidR="00FE4B03" w:rsidRPr="00A84B64">
        <w:rPr>
          <w:rFonts w:ascii="Verdana" w:hAnsi="Verdana" w:cs="Arial"/>
          <w:sz w:val="22"/>
          <w:szCs w:val="22"/>
        </w:rPr>
        <w:t xml:space="preserve">e dejó plasmado que </w:t>
      </w:r>
      <w:r w:rsidRPr="00A84B64">
        <w:rPr>
          <w:rFonts w:ascii="Verdana" w:hAnsi="Verdana" w:cs="Arial"/>
          <w:sz w:val="22"/>
          <w:szCs w:val="22"/>
        </w:rPr>
        <w:t>“</w:t>
      </w:r>
      <w:r w:rsidRPr="00A84B64">
        <w:rPr>
          <w:rFonts w:ascii="Verdana" w:hAnsi="Verdana" w:cs="Arial"/>
          <w:i/>
          <w:iCs/>
          <w:sz w:val="22"/>
          <w:szCs w:val="22"/>
        </w:rPr>
        <w:t>se emite la presente póliza para asegurar a los auxiliares bachilleres del cuerpo de custodia y vigilancia penitenciaria y carcelaria nacional que se encuentren al servicio del INPEC, en los casos de muerte o accidente que incapacite al auxiliar, para la vigencia comprendida entre las 24 horas del 21 de marzo de 2013 y las 24 horas del 9 de junio de 2014</w:t>
      </w:r>
      <w:r w:rsidRPr="00A84B64">
        <w:rPr>
          <w:rFonts w:ascii="Verdana" w:hAnsi="Verdana" w:cs="Arial"/>
          <w:sz w:val="22"/>
          <w:szCs w:val="22"/>
        </w:rPr>
        <w:t>”</w:t>
      </w:r>
      <w:r w:rsidR="00FE4B03" w:rsidRPr="00A84B64">
        <w:rPr>
          <w:rFonts w:ascii="Verdana" w:hAnsi="Verdana" w:cs="Arial"/>
          <w:sz w:val="22"/>
          <w:szCs w:val="22"/>
        </w:rPr>
        <w:t xml:space="preserve"> (</w:t>
      </w:r>
      <w:proofErr w:type="spellStart"/>
      <w:r w:rsidR="00FE4B03" w:rsidRPr="00A84B64">
        <w:rPr>
          <w:rFonts w:ascii="Verdana" w:hAnsi="Verdana" w:cs="Arial"/>
          <w:sz w:val="22"/>
          <w:szCs w:val="22"/>
        </w:rPr>
        <w:t>fls</w:t>
      </w:r>
      <w:proofErr w:type="spellEnd"/>
      <w:r w:rsidR="00FE4B03" w:rsidRPr="00A84B64">
        <w:rPr>
          <w:rFonts w:ascii="Verdana" w:hAnsi="Verdana" w:cs="Arial"/>
          <w:sz w:val="22"/>
          <w:szCs w:val="22"/>
        </w:rPr>
        <w:t xml:space="preserve">. 568 a 572), sin olvidar que por medio de los anexos No. 2 y 3 de la póliza, la vigencia se prorrogó hasta el 26 de noviembre </w:t>
      </w:r>
      <w:r w:rsidRPr="00A84B64">
        <w:rPr>
          <w:rFonts w:ascii="Verdana" w:hAnsi="Verdana" w:cs="Arial"/>
          <w:sz w:val="22"/>
          <w:szCs w:val="22"/>
        </w:rPr>
        <w:t>(</w:t>
      </w:r>
      <w:proofErr w:type="spellStart"/>
      <w:r w:rsidRPr="00A84B64">
        <w:rPr>
          <w:rFonts w:ascii="Verdana" w:hAnsi="Verdana" w:cs="Arial"/>
          <w:sz w:val="22"/>
          <w:szCs w:val="22"/>
        </w:rPr>
        <w:t>fls</w:t>
      </w:r>
      <w:proofErr w:type="spellEnd"/>
      <w:r w:rsidR="00FE4B03" w:rsidRPr="00A84B64">
        <w:rPr>
          <w:rFonts w:ascii="Verdana" w:hAnsi="Verdana" w:cs="Arial"/>
          <w:sz w:val="22"/>
          <w:szCs w:val="22"/>
        </w:rPr>
        <w:t>. 574 a 582).</w:t>
      </w:r>
    </w:p>
    <w:p w14:paraId="3F3CAF5F" w14:textId="21AC6D54" w:rsidR="0032362D" w:rsidRPr="00A84B64" w:rsidRDefault="0032362D" w:rsidP="00FE4B03">
      <w:pPr>
        <w:spacing w:line="360" w:lineRule="auto"/>
        <w:jc w:val="both"/>
        <w:rPr>
          <w:rFonts w:ascii="Verdana" w:hAnsi="Verdana" w:cs="Arial"/>
          <w:sz w:val="22"/>
          <w:szCs w:val="22"/>
        </w:rPr>
      </w:pPr>
    </w:p>
    <w:p w14:paraId="6EEB0202" w14:textId="63A49B89" w:rsidR="0032362D" w:rsidRPr="00A84B64" w:rsidRDefault="00AF346B" w:rsidP="00FE4B03">
      <w:pPr>
        <w:spacing w:line="360" w:lineRule="auto"/>
        <w:jc w:val="both"/>
        <w:rPr>
          <w:rFonts w:ascii="Verdana" w:hAnsi="Verdana" w:cs="Arial"/>
          <w:color w:val="FF0000"/>
          <w:sz w:val="22"/>
          <w:szCs w:val="22"/>
        </w:rPr>
      </w:pPr>
      <w:bookmarkStart w:id="8" w:name="_Hlk94039161"/>
      <w:r w:rsidRPr="00A84B64">
        <w:rPr>
          <w:rFonts w:ascii="Verdana" w:hAnsi="Verdana" w:cs="Arial"/>
          <w:sz w:val="22"/>
          <w:szCs w:val="22"/>
        </w:rPr>
        <w:t xml:space="preserve">A su vez, se acreditó que el señor Luis Eduardo Ávila Gaitán estuvo asegurado bajo la póliza </w:t>
      </w:r>
      <w:r w:rsidRPr="00A84B64">
        <w:rPr>
          <w:rFonts w:ascii="Verdana" w:hAnsi="Verdana"/>
          <w:sz w:val="22"/>
          <w:szCs w:val="22"/>
        </w:rPr>
        <w:t xml:space="preserve">No. 21-71-1000000481 cuyo tomador fue el INPEC, desde el 9 de junio de 2014 hasta el 26 de noviembre de 2014, como consta en certificado expedido por </w:t>
      </w:r>
      <w:r w:rsidRPr="00A84B64">
        <w:rPr>
          <w:rFonts w:ascii="Verdana" w:hAnsi="Verdana" w:cs="Arial"/>
          <w:sz w:val="22"/>
          <w:szCs w:val="22"/>
        </w:rPr>
        <w:t xml:space="preserve">la Coordinadora Técnica de </w:t>
      </w:r>
      <w:r w:rsidR="786BDF73" w:rsidRPr="00A84B64">
        <w:rPr>
          <w:rFonts w:ascii="Verdana" w:hAnsi="Verdana" w:cs="Arial"/>
          <w:sz w:val="22"/>
          <w:szCs w:val="22"/>
        </w:rPr>
        <w:t>Vida -</w:t>
      </w:r>
      <w:r w:rsidRPr="00A84B64">
        <w:rPr>
          <w:rFonts w:ascii="Verdana" w:hAnsi="Verdana" w:cs="Arial"/>
          <w:sz w:val="22"/>
          <w:szCs w:val="22"/>
        </w:rPr>
        <w:t xml:space="preserve"> SEGUROS DE VIDA DEL ESTADO S.A. visible a folio 863.</w:t>
      </w:r>
    </w:p>
    <w:bookmarkEnd w:id="8"/>
    <w:p w14:paraId="4A4703B3" w14:textId="77777777" w:rsidR="005407FF" w:rsidRPr="00A84B64" w:rsidRDefault="005407FF" w:rsidP="00FE4B03">
      <w:pPr>
        <w:spacing w:line="360" w:lineRule="auto"/>
        <w:jc w:val="both"/>
        <w:rPr>
          <w:rFonts w:ascii="Verdana" w:hAnsi="Verdana" w:cs="Arial"/>
          <w:color w:val="FF0000"/>
          <w:sz w:val="22"/>
          <w:szCs w:val="22"/>
        </w:rPr>
      </w:pPr>
    </w:p>
    <w:p w14:paraId="1941EE6A" w14:textId="5570842E" w:rsidR="00FE4B03" w:rsidRPr="00A84B64" w:rsidRDefault="00FE4B03" w:rsidP="00FE4B03">
      <w:pPr>
        <w:spacing w:line="360" w:lineRule="auto"/>
        <w:jc w:val="both"/>
        <w:rPr>
          <w:rFonts w:ascii="Verdana" w:hAnsi="Verdana" w:cs="Arial"/>
          <w:sz w:val="22"/>
          <w:szCs w:val="22"/>
        </w:rPr>
      </w:pPr>
      <w:r w:rsidRPr="00A84B64">
        <w:rPr>
          <w:rFonts w:ascii="Verdana" w:hAnsi="Verdana" w:cs="Arial"/>
          <w:sz w:val="22"/>
          <w:szCs w:val="22"/>
        </w:rPr>
        <w:t xml:space="preserve">Así mismo, </w:t>
      </w:r>
      <w:r w:rsidR="00AF346B" w:rsidRPr="00A84B64">
        <w:rPr>
          <w:rFonts w:ascii="Verdana" w:hAnsi="Verdana" w:cs="Arial"/>
          <w:sz w:val="22"/>
          <w:szCs w:val="22"/>
        </w:rPr>
        <w:t xml:space="preserve">al examinar la </w:t>
      </w:r>
      <w:r w:rsidR="00AF346B" w:rsidRPr="00A84B64">
        <w:rPr>
          <w:rFonts w:ascii="Verdana" w:hAnsi="Verdana"/>
          <w:sz w:val="22"/>
          <w:szCs w:val="22"/>
          <w:lang w:val="es-ES_tradnl"/>
        </w:rPr>
        <w:t xml:space="preserve">póliza Vida Grupo No. 21-71-1000000481, se tiene que </w:t>
      </w:r>
      <w:r w:rsidR="00770695" w:rsidRPr="00A84B64">
        <w:rPr>
          <w:rFonts w:ascii="Verdana" w:hAnsi="Verdana" w:cs="Arial"/>
          <w:sz w:val="22"/>
          <w:szCs w:val="22"/>
        </w:rPr>
        <w:t xml:space="preserve">dentro de los amparos otorgados se </w:t>
      </w:r>
      <w:r w:rsidR="00AF346B" w:rsidRPr="00A84B64">
        <w:rPr>
          <w:rFonts w:ascii="Verdana" w:hAnsi="Verdana" w:cs="Arial"/>
          <w:sz w:val="22"/>
          <w:szCs w:val="22"/>
        </w:rPr>
        <w:t>encuentran los siguientes</w:t>
      </w:r>
      <w:r w:rsidR="00770695" w:rsidRPr="00A84B64">
        <w:rPr>
          <w:rFonts w:ascii="Verdana" w:hAnsi="Verdana" w:cs="Arial"/>
          <w:sz w:val="22"/>
          <w:szCs w:val="22"/>
        </w:rPr>
        <w:t>:</w:t>
      </w:r>
    </w:p>
    <w:p w14:paraId="588BB027" w14:textId="01F1A109" w:rsidR="00746A82" w:rsidRPr="00A84B64" w:rsidRDefault="00746A82" w:rsidP="00FE4B03">
      <w:pPr>
        <w:spacing w:line="360" w:lineRule="auto"/>
        <w:jc w:val="both"/>
        <w:rPr>
          <w:rFonts w:ascii="Verdana" w:hAnsi="Verdana" w:cs="Arial"/>
          <w:sz w:val="22"/>
          <w:szCs w:val="22"/>
        </w:rPr>
      </w:pPr>
    </w:p>
    <w:tbl>
      <w:tblPr>
        <w:tblStyle w:val="Tablaconcuadrcula"/>
        <w:tblW w:w="0" w:type="auto"/>
        <w:tblLook w:val="04A0" w:firstRow="1" w:lastRow="0" w:firstColumn="1" w:lastColumn="0" w:noHBand="0" w:noVBand="1"/>
      </w:tblPr>
      <w:tblGrid>
        <w:gridCol w:w="3447"/>
        <w:gridCol w:w="2080"/>
        <w:gridCol w:w="1693"/>
        <w:gridCol w:w="1610"/>
      </w:tblGrid>
      <w:tr w:rsidR="000C6B3A" w:rsidRPr="00A84B64" w14:paraId="1867A9F4" w14:textId="77777777" w:rsidTr="000C6B3A">
        <w:tc>
          <w:tcPr>
            <w:tcW w:w="3447" w:type="dxa"/>
            <w:vAlign w:val="center"/>
          </w:tcPr>
          <w:p w14:paraId="16B226E2" w14:textId="2006F9DB" w:rsidR="00746A82" w:rsidRPr="00A84B64" w:rsidRDefault="00746A82" w:rsidP="00746A82">
            <w:pPr>
              <w:spacing w:line="360" w:lineRule="auto"/>
              <w:jc w:val="center"/>
              <w:rPr>
                <w:rFonts w:ascii="Verdana" w:hAnsi="Verdana" w:cs="Arial"/>
                <w:b/>
                <w:bCs/>
                <w:sz w:val="18"/>
                <w:szCs w:val="18"/>
              </w:rPr>
            </w:pPr>
            <w:r w:rsidRPr="00A84B64">
              <w:rPr>
                <w:rFonts w:ascii="Verdana" w:hAnsi="Verdana" w:cs="Arial"/>
                <w:b/>
                <w:bCs/>
                <w:sz w:val="18"/>
                <w:szCs w:val="18"/>
              </w:rPr>
              <w:t>AMPAROS</w:t>
            </w:r>
          </w:p>
        </w:tc>
        <w:tc>
          <w:tcPr>
            <w:tcW w:w="2080" w:type="dxa"/>
            <w:vAlign w:val="center"/>
          </w:tcPr>
          <w:p w14:paraId="4B8A7B13" w14:textId="4286BC12" w:rsidR="00746A82" w:rsidRPr="00A84B64" w:rsidRDefault="00746A82" w:rsidP="00746A82">
            <w:pPr>
              <w:spacing w:line="360" w:lineRule="auto"/>
              <w:jc w:val="center"/>
              <w:rPr>
                <w:rFonts w:ascii="Verdana" w:hAnsi="Verdana" w:cs="Arial"/>
                <w:b/>
                <w:bCs/>
                <w:sz w:val="18"/>
                <w:szCs w:val="18"/>
              </w:rPr>
            </w:pPr>
            <w:r w:rsidRPr="00A84B64">
              <w:rPr>
                <w:rFonts w:ascii="Verdana" w:hAnsi="Verdana" w:cs="Arial"/>
                <w:b/>
                <w:bCs/>
                <w:sz w:val="18"/>
                <w:szCs w:val="18"/>
              </w:rPr>
              <w:t>SUMA ASEGURADA</w:t>
            </w:r>
          </w:p>
        </w:tc>
        <w:tc>
          <w:tcPr>
            <w:tcW w:w="1693" w:type="dxa"/>
            <w:vAlign w:val="center"/>
          </w:tcPr>
          <w:p w14:paraId="09F9D1A3" w14:textId="4E3E30EA" w:rsidR="00746A82" w:rsidRPr="00A84B64" w:rsidRDefault="00746A82" w:rsidP="00746A82">
            <w:pPr>
              <w:spacing w:line="360" w:lineRule="auto"/>
              <w:jc w:val="center"/>
              <w:rPr>
                <w:rFonts w:ascii="Verdana" w:hAnsi="Verdana" w:cs="Arial"/>
                <w:b/>
                <w:bCs/>
                <w:sz w:val="18"/>
                <w:szCs w:val="18"/>
              </w:rPr>
            </w:pPr>
            <w:r w:rsidRPr="00A84B64">
              <w:rPr>
                <w:rFonts w:ascii="Verdana" w:hAnsi="Verdana" w:cs="Arial"/>
                <w:b/>
                <w:bCs/>
                <w:sz w:val="18"/>
                <w:szCs w:val="18"/>
              </w:rPr>
              <w:t>PRIMA $</w:t>
            </w:r>
          </w:p>
        </w:tc>
        <w:tc>
          <w:tcPr>
            <w:tcW w:w="1610" w:type="dxa"/>
            <w:vAlign w:val="center"/>
          </w:tcPr>
          <w:p w14:paraId="1AA072FA" w14:textId="62E126E3" w:rsidR="00746A82" w:rsidRPr="00A84B64" w:rsidRDefault="00746A82" w:rsidP="00746A82">
            <w:pPr>
              <w:spacing w:line="360" w:lineRule="auto"/>
              <w:jc w:val="center"/>
              <w:rPr>
                <w:rFonts w:ascii="Verdana" w:hAnsi="Verdana" w:cs="Arial"/>
                <w:b/>
                <w:bCs/>
                <w:sz w:val="18"/>
                <w:szCs w:val="18"/>
              </w:rPr>
            </w:pPr>
            <w:r w:rsidRPr="00A84B64">
              <w:rPr>
                <w:rFonts w:ascii="Verdana" w:hAnsi="Verdana" w:cs="Arial"/>
                <w:b/>
                <w:bCs/>
                <w:sz w:val="18"/>
                <w:szCs w:val="18"/>
              </w:rPr>
              <w:t>ASEGURADOS</w:t>
            </w:r>
          </w:p>
        </w:tc>
      </w:tr>
      <w:tr w:rsidR="000C6B3A" w:rsidRPr="00A84B64" w14:paraId="04A21663" w14:textId="77777777" w:rsidTr="000C6B3A">
        <w:tc>
          <w:tcPr>
            <w:tcW w:w="3447" w:type="dxa"/>
            <w:vAlign w:val="center"/>
          </w:tcPr>
          <w:p w14:paraId="5BEFB3E8" w14:textId="7700063B" w:rsidR="00746A82" w:rsidRPr="00A84B64" w:rsidRDefault="00746A82" w:rsidP="00746A82">
            <w:pPr>
              <w:jc w:val="both"/>
              <w:rPr>
                <w:rFonts w:ascii="Verdana" w:hAnsi="Verdana" w:cs="Arial"/>
                <w:sz w:val="18"/>
                <w:szCs w:val="18"/>
              </w:rPr>
            </w:pPr>
            <w:r w:rsidRPr="00A84B64">
              <w:rPr>
                <w:rFonts w:ascii="Verdana" w:hAnsi="Verdana" w:cs="Arial"/>
                <w:sz w:val="18"/>
                <w:szCs w:val="18"/>
              </w:rPr>
              <w:t>MUERTE POR CUALQUIER CAUSA</w:t>
            </w:r>
          </w:p>
        </w:tc>
        <w:tc>
          <w:tcPr>
            <w:tcW w:w="2080" w:type="dxa"/>
            <w:vAlign w:val="center"/>
          </w:tcPr>
          <w:p w14:paraId="15D5A2F3" w14:textId="0024CAEA" w:rsidR="00746A82" w:rsidRPr="00A84B64" w:rsidRDefault="00746A82" w:rsidP="00746A82">
            <w:pPr>
              <w:jc w:val="both"/>
              <w:rPr>
                <w:rFonts w:ascii="Verdana" w:hAnsi="Verdana" w:cs="Arial"/>
                <w:sz w:val="18"/>
                <w:szCs w:val="18"/>
              </w:rPr>
            </w:pPr>
            <w:r w:rsidRPr="00A84B64">
              <w:rPr>
                <w:rFonts w:ascii="Verdana" w:hAnsi="Verdana" w:cs="Arial"/>
                <w:sz w:val="18"/>
                <w:szCs w:val="18"/>
              </w:rPr>
              <w:t>223,399,929,096.00</w:t>
            </w:r>
          </w:p>
        </w:tc>
        <w:tc>
          <w:tcPr>
            <w:tcW w:w="1693" w:type="dxa"/>
            <w:vAlign w:val="center"/>
          </w:tcPr>
          <w:p w14:paraId="2DADD2C9" w14:textId="67939AD0" w:rsidR="00746A82" w:rsidRPr="00A84B64" w:rsidRDefault="00746A82" w:rsidP="00746A82">
            <w:pPr>
              <w:jc w:val="both"/>
              <w:rPr>
                <w:rFonts w:ascii="Verdana" w:hAnsi="Verdana" w:cs="Arial"/>
                <w:sz w:val="18"/>
                <w:szCs w:val="18"/>
              </w:rPr>
            </w:pPr>
            <w:r w:rsidRPr="00A84B64">
              <w:rPr>
                <w:rFonts w:ascii="Verdana" w:hAnsi="Verdana" w:cs="Arial"/>
                <w:sz w:val="18"/>
                <w:szCs w:val="18"/>
              </w:rPr>
              <w:t>202,131,</w:t>
            </w:r>
            <w:r w:rsidR="0017730F" w:rsidRPr="00A84B64">
              <w:rPr>
                <w:rFonts w:ascii="Verdana" w:hAnsi="Verdana" w:cs="Arial"/>
                <w:sz w:val="18"/>
                <w:szCs w:val="18"/>
              </w:rPr>
              <w:t>293.00</w:t>
            </w:r>
          </w:p>
        </w:tc>
        <w:tc>
          <w:tcPr>
            <w:tcW w:w="1610" w:type="dxa"/>
            <w:vAlign w:val="center"/>
          </w:tcPr>
          <w:p w14:paraId="3FD90BAF" w14:textId="6B3ED167" w:rsidR="00746A82" w:rsidRPr="00A84B64" w:rsidRDefault="0017730F" w:rsidP="0017730F">
            <w:pPr>
              <w:jc w:val="center"/>
              <w:rPr>
                <w:rFonts w:ascii="Verdana" w:hAnsi="Verdana" w:cs="Arial"/>
                <w:sz w:val="18"/>
                <w:szCs w:val="18"/>
              </w:rPr>
            </w:pPr>
            <w:r w:rsidRPr="00A84B64">
              <w:rPr>
                <w:rFonts w:ascii="Verdana" w:hAnsi="Verdana" w:cs="Arial"/>
                <w:sz w:val="18"/>
                <w:szCs w:val="18"/>
              </w:rPr>
              <w:t>2434</w:t>
            </w:r>
          </w:p>
        </w:tc>
      </w:tr>
      <w:tr w:rsidR="000C6B3A" w:rsidRPr="00A84B64" w14:paraId="6F9A93CB" w14:textId="77777777" w:rsidTr="000C6B3A">
        <w:tc>
          <w:tcPr>
            <w:tcW w:w="3447" w:type="dxa"/>
            <w:vAlign w:val="center"/>
          </w:tcPr>
          <w:p w14:paraId="59419753" w14:textId="20BF9B8F" w:rsidR="00746A82" w:rsidRPr="00A84B64" w:rsidRDefault="00746A82" w:rsidP="00746A82">
            <w:pPr>
              <w:jc w:val="both"/>
              <w:rPr>
                <w:rFonts w:ascii="Verdana" w:hAnsi="Verdana" w:cs="Arial"/>
                <w:sz w:val="18"/>
                <w:szCs w:val="18"/>
              </w:rPr>
            </w:pPr>
            <w:r w:rsidRPr="00A84B64">
              <w:rPr>
                <w:rFonts w:ascii="Verdana" w:hAnsi="Verdana" w:cs="Arial"/>
                <w:sz w:val="18"/>
                <w:szCs w:val="18"/>
              </w:rPr>
              <w:t>AUXILIO FUNERARIO</w:t>
            </w:r>
            <w:r w:rsidR="0017730F" w:rsidRPr="00A84B64">
              <w:rPr>
                <w:rFonts w:ascii="Verdana" w:hAnsi="Verdana" w:cs="Arial"/>
                <w:sz w:val="18"/>
                <w:szCs w:val="18"/>
              </w:rPr>
              <w:t xml:space="preserve"> EVG -052</w:t>
            </w:r>
          </w:p>
        </w:tc>
        <w:tc>
          <w:tcPr>
            <w:tcW w:w="2080" w:type="dxa"/>
            <w:vAlign w:val="center"/>
          </w:tcPr>
          <w:p w14:paraId="4457304E" w14:textId="3A909519" w:rsidR="00746A82" w:rsidRPr="00A84B64" w:rsidRDefault="00746A82" w:rsidP="00746A82">
            <w:pPr>
              <w:jc w:val="both"/>
              <w:rPr>
                <w:rFonts w:ascii="Verdana" w:hAnsi="Verdana" w:cs="Arial"/>
                <w:sz w:val="18"/>
                <w:szCs w:val="18"/>
              </w:rPr>
            </w:pPr>
            <w:r w:rsidRPr="00A84B64">
              <w:rPr>
                <w:rFonts w:ascii="Verdana" w:hAnsi="Verdana" w:cs="Arial"/>
                <w:sz w:val="18"/>
                <w:szCs w:val="18"/>
              </w:rPr>
              <w:t xml:space="preserve"> 30,425,000,000.00</w:t>
            </w:r>
          </w:p>
        </w:tc>
        <w:tc>
          <w:tcPr>
            <w:tcW w:w="1693" w:type="dxa"/>
            <w:vAlign w:val="center"/>
          </w:tcPr>
          <w:p w14:paraId="37326538" w14:textId="6C9CBD85" w:rsidR="00746A82" w:rsidRPr="00A84B64" w:rsidRDefault="0017730F" w:rsidP="0017730F">
            <w:pPr>
              <w:jc w:val="right"/>
              <w:rPr>
                <w:rFonts w:ascii="Verdana" w:hAnsi="Verdana" w:cs="Arial"/>
                <w:sz w:val="18"/>
                <w:szCs w:val="18"/>
              </w:rPr>
            </w:pPr>
            <w:r w:rsidRPr="00A84B64">
              <w:rPr>
                <w:rFonts w:ascii="Verdana" w:hAnsi="Verdana" w:cs="Arial"/>
                <w:sz w:val="18"/>
                <w:szCs w:val="18"/>
              </w:rPr>
              <w:t>0.00</w:t>
            </w:r>
          </w:p>
        </w:tc>
        <w:tc>
          <w:tcPr>
            <w:tcW w:w="1610" w:type="dxa"/>
            <w:vAlign w:val="center"/>
          </w:tcPr>
          <w:p w14:paraId="5FE5026A" w14:textId="02738229" w:rsidR="00746A82" w:rsidRPr="00A84B64" w:rsidRDefault="0017730F" w:rsidP="0017730F">
            <w:pPr>
              <w:jc w:val="center"/>
              <w:rPr>
                <w:rFonts w:ascii="Verdana" w:hAnsi="Verdana" w:cs="Arial"/>
                <w:sz w:val="18"/>
                <w:szCs w:val="18"/>
              </w:rPr>
            </w:pPr>
            <w:r w:rsidRPr="00A84B64">
              <w:rPr>
                <w:rFonts w:ascii="Verdana" w:hAnsi="Verdana" w:cs="Arial"/>
                <w:sz w:val="18"/>
                <w:szCs w:val="18"/>
              </w:rPr>
              <w:t>2434</w:t>
            </w:r>
          </w:p>
        </w:tc>
      </w:tr>
      <w:tr w:rsidR="000C6B3A" w:rsidRPr="00A84B64" w14:paraId="4DDDC643" w14:textId="77777777" w:rsidTr="000C6B3A">
        <w:tc>
          <w:tcPr>
            <w:tcW w:w="3447" w:type="dxa"/>
            <w:vAlign w:val="center"/>
          </w:tcPr>
          <w:p w14:paraId="1824B32E" w14:textId="64A60836" w:rsidR="00746A82" w:rsidRPr="00A84B64" w:rsidRDefault="00746A82" w:rsidP="00746A82">
            <w:pPr>
              <w:jc w:val="both"/>
              <w:rPr>
                <w:rFonts w:ascii="Verdana" w:hAnsi="Verdana" w:cs="Arial"/>
                <w:sz w:val="18"/>
                <w:szCs w:val="18"/>
              </w:rPr>
            </w:pPr>
            <w:r w:rsidRPr="00A84B64">
              <w:rPr>
                <w:rFonts w:ascii="Verdana" w:hAnsi="Verdana" w:cs="Arial"/>
                <w:sz w:val="18"/>
                <w:szCs w:val="18"/>
              </w:rPr>
              <w:t>INCAPACIDAD TOTAL Y PERMANENTE</w:t>
            </w:r>
          </w:p>
        </w:tc>
        <w:tc>
          <w:tcPr>
            <w:tcW w:w="2080" w:type="dxa"/>
            <w:vAlign w:val="center"/>
          </w:tcPr>
          <w:p w14:paraId="52FABCDC" w14:textId="1D4D78AF" w:rsidR="00746A82" w:rsidRPr="00A84B64" w:rsidRDefault="00746A82" w:rsidP="00746A82">
            <w:pPr>
              <w:jc w:val="both"/>
              <w:rPr>
                <w:rFonts w:ascii="Verdana" w:hAnsi="Verdana" w:cs="Arial"/>
                <w:sz w:val="18"/>
                <w:szCs w:val="18"/>
              </w:rPr>
            </w:pPr>
            <w:r w:rsidRPr="00A84B64">
              <w:rPr>
                <w:rFonts w:ascii="Verdana" w:hAnsi="Verdana" w:cs="Arial"/>
                <w:sz w:val="18"/>
                <w:szCs w:val="18"/>
              </w:rPr>
              <w:t>335,099,893,644.00</w:t>
            </w:r>
          </w:p>
        </w:tc>
        <w:tc>
          <w:tcPr>
            <w:tcW w:w="1693" w:type="dxa"/>
            <w:vAlign w:val="center"/>
          </w:tcPr>
          <w:p w14:paraId="7EA900A3" w14:textId="1C0472CC" w:rsidR="00746A82" w:rsidRPr="00A84B64" w:rsidRDefault="0017730F" w:rsidP="0017730F">
            <w:pPr>
              <w:jc w:val="right"/>
              <w:rPr>
                <w:rFonts w:ascii="Verdana" w:hAnsi="Verdana" w:cs="Arial"/>
                <w:sz w:val="18"/>
                <w:szCs w:val="18"/>
              </w:rPr>
            </w:pPr>
            <w:r w:rsidRPr="00A84B64">
              <w:rPr>
                <w:rFonts w:ascii="Verdana" w:hAnsi="Verdana" w:cs="Arial"/>
                <w:sz w:val="18"/>
                <w:szCs w:val="18"/>
              </w:rPr>
              <w:t>0.00</w:t>
            </w:r>
          </w:p>
        </w:tc>
        <w:tc>
          <w:tcPr>
            <w:tcW w:w="1610" w:type="dxa"/>
            <w:vAlign w:val="center"/>
          </w:tcPr>
          <w:p w14:paraId="782C12E5" w14:textId="4BAF2DD6" w:rsidR="00746A82" w:rsidRPr="00A84B64" w:rsidRDefault="0017730F" w:rsidP="0017730F">
            <w:pPr>
              <w:jc w:val="center"/>
              <w:rPr>
                <w:rFonts w:ascii="Verdana" w:hAnsi="Verdana" w:cs="Arial"/>
                <w:sz w:val="18"/>
                <w:szCs w:val="18"/>
              </w:rPr>
            </w:pPr>
            <w:r w:rsidRPr="00A84B64">
              <w:rPr>
                <w:rFonts w:ascii="Verdana" w:hAnsi="Verdana" w:cs="Arial"/>
                <w:sz w:val="18"/>
                <w:szCs w:val="18"/>
              </w:rPr>
              <w:t>2434</w:t>
            </w:r>
          </w:p>
        </w:tc>
      </w:tr>
    </w:tbl>
    <w:p w14:paraId="2DBB9A15" w14:textId="77777777" w:rsidR="00746A82" w:rsidRPr="00A84B64" w:rsidRDefault="00746A82" w:rsidP="00FE4B03">
      <w:pPr>
        <w:spacing w:line="360" w:lineRule="auto"/>
        <w:jc w:val="both"/>
        <w:rPr>
          <w:rFonts w:ascii="Verdana" w:hAnsi="Verdana" w:cs="Arial"/>
          <w:sz w:val="22"/>
          <w:szCs w:val="22"/>
        </w:rPr>
      </w:pPr>
    </w:p>
    <w:p w14:paraId="3512B46D" w14:textId="29A0984F" w:rsidR="00770695" w:rsidRPr="00A84B64" w:rsidRDefault="00770695" w:rsidP="00FE4B03">
      <w:pPr>
        <w:spacing w:line="360" w:lineRule="auto"/>
        <w:jc w:val="both"/>
        <w:rPr>
          <w:rFonts w:ascii="Verdana" w:hAnsi="Verdana" w:cs="Arial"/>
          <w:sz w:val="22"/>
          <w:szCs w:val="22"/>
        </w:rPr>
      </w:pPr>
    </w:p>
    <w:tbl>
      <w:tblPr>
        <w:tblStyle w:val="Tablaconcuadrcula"/>
        <w:tblW w:w="0" w:type="auto"/>
        <w:jc w:val="center"/>
        <w:tblLook w:val="04A0" w:firstRow="1" w:lastRow="0" w:firstColumn="1" w:lastColumn="0" w:noHBand="0" w:noVBand="1"/>
      </w:tblPr>
      <w:tblGrid>
        <w:gridCol w:w="4957"/>
        <w:gridCol w:w="2126"/>
        <w:gridCol w:w="1747"/>
      </w:tblGrid>
      <w:tr w:rsidR="00770695" w:rsidRPr="00A84B64" w14:paraId="21125FBE" w14:textId="77777777" w:rsidTr="00C8719D">
        <w:trPr>
          <w:jc w:val="center"/>
        </w:trPr>
        <w:tc>
          <w:tcPr>
            <w:tcW w:w="4957" w:type="dxa"/>
            <w:vAlign w:val="center"/>
          </w:tcPr>
          <w:p w14:paraId="7BAB32C3" w14:textId="7F21D24F" w:rsidR="00770695" w:rsidRPr="00A84B64" w:rsidRDefault="00770695" w:rsidP="00C8719D">
            <w:pPr>
              <w:spacing w:line="360" w:lineRule="auto"/>
              <w:jc w:val="center"/>
              <w:rPr>
                <w:rFonts w:ascii="Verdana" w:hAnsi="Verdana" w:cs="Arial"/>
                <w:b/>
                <w:bCs/>
                <w:sz w:val="18"/>
                <w:szCs w:val="18"/>
              </w:rPr>
            </w:pPr>
            <w:r w:rsidRPr="00A84B64">
              <w:rPr>
                <w:rFonts w:ascii="Verdana" w:hAnsi="Verdana" w:cs="Arial"/>
                <w:b/>
                <w:bCs/>
                <w:sz w:val="18"/>
                <w:szCs w:val="18"/>
              </w:rPr>
              <w:t>AMPAROS OTORGADOS</w:t>
            </w:r>
          </w:p>
        </w:tc>
        <w:tc>
          <w:tcPr>
            <w:tcW w:w="2126" w:type="dxa"/>
            <w:vAlign w:val="center"/>
          </w:tcPr>
          <w:p w14:paraId="71C76596" w14:textId="4063F407" w:rsidR="00770695" w:rsidRPr="00A84B64" w:rsidRDefault="00770695" w:rsidP="00C8719D">
            <w:pPr>
              <w:spacing w:line="360" w:lineRule="auto"/>
              <w:jc w:val="center"/>
              <w:rPr>
                <w:rFonts w:ascii="Verdana" w:hAnsi="Verdana" w:cs="Arial"/>
                <w:b/>
                <w:bCs/>
                <w:sz w:val="18"/>
                <w:szCs w:val="18"/>
              </w:rPr>
            </w:pPr>
            <w:r w:rsidRPr="00A84B64">
              <w:rPr>
                <w:rFonts w:ascii="Verdana" w:hAnsi="Verdana" w:cs="Arial"/>
                <w:b/>
                <w:bCs/>
                <w:sz w:val="18"/>
                <w:szCs w:val="18"/>
              </w:rPr>
              <w:t>V</w:t>
            </w:r>
            <w:r w:rsidR="00C8719D" w:rsidRPr="00A84B64">
              <w:rPr>
                <w:rFonts w:ascii="Verdana" w:hAnsi="Verdana" w:cs="Arial"/>
                <w:b/>
                <w:bCs/>
                <w:sz w:val="18"/>
                <w:szCs w:val="18"/>
              </w:rPr>
              <w:t>R.</w:t>
            </w:r>
            <w:r w:rsidRPr="00A84B64">
              <w:rPr>
                <w:rFonts w:ascii="Verdana" w:hAnsi="Verdana" w:cs="Arial"/>
                <w:b/>
                <w:bCs/>
                <w:sz w:val="18"/>
                <w:szCs w:val="18"/>
              </w:rPr>
              <w:t xml:space="preserve"> ASEGURADO EN </w:t>
            </w:r>
            <w:r w:rsidR="00C73235" w:rsidRPr="00A84B64">
              <w:rPr>
                <w:rFonts w:ascii="Verdana" w:hAnsi="Verdana" w:cs="Arial"/>
                <w:b/>
                <w:bCs/>
                <w:sz w:val="18"/>
                <w:szCs w:val="18"/>
              </w:rPr>
              <w:t>**</w:t>
            </w:r>
            <w:r w:rsidR="00C8719D" w:rsidRPr="00A84B64">
              <w:rPr>
                <w:rFonts w:ascii="Verdana" w:hAnsi="Verdana" w:cs="Arial"/>
                <w:b/>
                <w:bCs/>
                <w:sz w:val="18"/>
                <w:szCs w:val="18"/>
              </w:rPr>
              <w:t>SBCTEN</w:t>
            </w:r>
          </w:p>
        </w:tc>
        <w:tc>
          <w:tcPr>
            <w:tcW w:w="1747" w:type="dxa"/>
            <w:vAlign w:val="center"/>
          </w:tcPr>
          <w:p w14:paraId="09912A59" w14:textId="02A45104" w:rsidR="00770695" w:rsidRPr="00A84B64" w:rsidRDefault="00C8719D" w:rsidP="00C8719D">
            <w:pPr>
              <w:spacing w:line="360" w:lineRule="auto"/>
              <w:jc w:val="center"/>
              <w:rPr>
                <w:rFonts w:ascii="Verdana" w:hAnsi="Verdana" w:cs="Arial"/>
                <w:b/>
                <w:bCs/>
                <w:sz w:val="18"/>
                <w:szCs w:val="18"/>
              </w:rPr>
            </w:pPr>
            <w:r w:rsidRPr="00A84B64">
              <w:rPr>
                <w:rFonts w:ascii="Verdana" w:hAnsi="Verdana" w:cs="Arial"/>
                <w:b/>
                <w:bCs/>
                <w:sz w:val="18"/>
                <w:szCs w:val="18"/>
              </w:rPr>
              <w:t>VR. ASEGURADO</w:t>
            </w:r>
          </w:p>
        </w:tc>
      </w:tr>
      <w:tr w:rsidR="00770695" w:rsidRPr="00A84B64" w14:paraId="29444400" w14:textId="77777777" w:rsidTr="00C8719D">
        <w:trPr>
          <w:jc w:val="center"/>
        </w:trPr>
        <w:tc>
          <w:tcPr>
            <w:tcW w:w="4957" w:type="dxa"/>
            <w:vAlign w:val="center"/>
          </w:tcPr>
          <w:p w14:paraId="58EFB378" w14:textId="598B0DBF" w:rsidR="00770695" w:rsidRPr="00A84B64" w:rsidRDefault="00C8719D" w:rsidP="00C8719D">
            <w:pPr>
              <w:jc w:val="both"/>
              <w:rPr>
                <w:rFonts w:ascii="Verdana" w:hAnsi="Verdana" w:cs="Arial"/>
                <w:sz w:val="18"/>
                <w:szCs w:val="18"/>
              </w:rPr>
            </w:pPr>
            <w:r w:rsidRPr="00A84B64">
              <w:rPr>
                <w:rFonts w:ascii="Verdana" w:hAnsi="Verdana" w:cs="Arial"/>
                <w:sz w:val="18"/>
                <w:szCs w:val="18"/>
              </w:rPr>
              <w:t>MUERTE POR CAUSA DE HERIDAS SUFRIDAS EN MANATENIMIENTO DEL ORDEN PUBLICO</w:t>
            </w:r>
          </w:p>
        </w:tc>
        <w:tc>
          <w:tcPr>
            <w:tcW w:w="2126" w:type="dxa"/>
            <w:vAlign w:val="center"/>
          </w:tcPr>
          <w:p w14:paraId="7EC4EC50" w14:textId="3553207A" w:rsidR="00770695" w:rsidRPr="00A84B64" w:rsidRDefault="00C73235" w:rsidP="00C73235">
            <w:pPr>
              <w:jc w:val="center"/>
              <w:rPr>
                <w:rFonts w:ascii="Verdana" w:hAnsi="Verdana" w:cs="Arial"/>
                <w:sz w:val="18"/>
                <w:szCs w:val="18"/>
              </w:rPr>
            </w:pPr>
            <w:r w:rsidRPr="00A84B64">
              <w:rPr>
                <w:rFonts w:ascii="Verdana" w:hAnsi="Verdana" w:cs="Arial"/>
                <w:sz w:val="18"/>
                <w:szCs w:val="18"/>
              </w:rPr>
              <w:t>48 SBCTEN</w:t>
            </w:r>
          </w:p>
        </w:tc>
        <w:tc>
          <w:tcPr>
            <w:tcW w:w="1747" w:type="dxa"/>
            <w:vAlign w:val="center"/>
          </w:tcPr>
          <w:p w14:paraId="63AAC494" w14:textId="024A1FA5" w:rsidR="00770695" w:rsidRPr="00A84B64" w:rsidRDefault="00C73235" w:rsidP="00C73235">
            <w:pPr>
              <w:jc w:val="center"/>
              <w:rPr>
                <w:rFonts w:ascii="Verdana" w:hAnsi="Verdana" w:cs="Arial"/>
                <w:sz w:val="18"/>
                <w:szCs w:val="18"/>
              </w:rPr>
            </w:pPr>
            <w:r w:rsidRPr="00A84B64">
              <w:rPr>
                <w:rFonts w:ascii="Verdana" w:hAnsi="Verdana" w:cs="Arial"/>
                <w:sz w:val="18"/>
                <w:szCs w:val="18"/>
              </w:rPr>
              <w:t>$40.792.464</w:t>
            </w:r>
          </w:p>
        </w:tc>
      </w:tr>
      <w:tr w:rsidR="00C73235" w:rsidRPr="00A84B64" w14:paraId="74428E91" w14:textId="77777777" w:rsidTr="00C8719D">
        <w:trPr>
          <w:jc w:val="center"/>
        </w:trPr>
        <w:tc>
          <w:tcPr>
            <w:tcW w:w="4957" w:type="dxa"/>
            <w:vAlign w:val="center"/>
          </w:tcPr>
          <w:p w14:paraId="3AF16C7F" w14:textId="2373177C" w:rsidR="00C73235" w:rsidRPr="00A84B64" w:rsidRDefault="00C73235" w:rsidP="00C73235">
            <w:pPr>
              <w:jc w:val="both"/>
              <w:rPr>
                <w:rFonts w:ascii="Verdana" w:hAnsi="Verdana" w:cs="Arial"/>
                <w:sz w:val="18"/>
                <w:szCs w:val="18"/>
              </w:rPr>
            </w:pPr>
            <w:r w:rsidRPr="00A84B64">
              <w:rPr>
                <w:rFonts w:ascii="Verdana" w:hAnsi="Verdana" w:cs="Arial"/>
                <w:sz w:val="18"/>
                <w:szCs w:val="18"/>
              </w:rPr>
              <w:t>MUERTE COMO CONSECUENCIA DE UN ACCIDENTE PADECIDO EN CUMPLIMIENTO DE MISION DEL SERVICIO</w:t>
            </w:r>
          </w:p>
        </w:tc>
        <w:tc>
          <w:tcPr>
            <w:tcW w:w="2126" w:type="dxa"/>
            <w:vAlign w:val="center"/>
          </w:tcPr>
          <w:p w14:paraId="5ADC1C53" w14:textId="1FB54123" w:rsidR="00C73235" w:rsidRPr="00A84B64" w:rsidRDefault="00C73235" w:rsidP="00C73235">
            <w:pPr>
              <w:jc w:val="center"/>
              <w:rPr>
                <w:rFonts w:ascii="Verdana" w:hAnsi="Verdana" w:cs="Arial"/>
                <w:sz w:val="18"/>
                <w:szCs w:val="18"/>
              </w:rPr>
            </w:pPr>
            <w:r w:rsidRPr="00A84B64">
              <w:rPr>
                <w:rFonts w:ascii="Verdana" w:hAnsi="Verdana" w:cs="Arial"/>
                <w:sz w:val="18"/>
                <w:szCs w:val="18"/>
              </w:rPr>
              <w:t>36 SBCTEN</w:t>
            </w:r>
          </w:p>
        </w:tc>
        <w:tc>
          <w:tcPr>
            <w:tcW w:w="1747" w:type="dxa"/>
            <w:vAlign w:val="center"/>
          </w:tcPr>
          <w:p w14:paraId="49379456" w14:textId="57CCC911" w:rsidR="00C73235" w:rsidRPr="00A84B64" w:rsidRDefault="00C73235" w:rsidP="00C73235">
            <w:pPr>
              <w:jc w:val="center"/>
              <w:rPr>
                <w:rFonts w:ascii="Verdana" w:hAnsi="Verdana" w:cs="Arial"/>
                <w:sz w:val="18"/>
                <w:szCs w:val="18"/>
              </w:rPr>
            </w:pPr>
            <w:r w:rsidRPr="00A84B64">
              <w:rPr>
                <w:rFonts w:ascii="Verdana" w:hAnsi="Verdana" w:cs="Arial"/>
                <w:sz w:val="18"/>
                <w:szCs w:val="18"/>
              </w:rPr>
              <w:t>$30.594.348</w:t>
            </w:r>
          </w:p>
        </w:tc>
      </w:tr>
      <w:tr w:rsidR="00C73235" w:rsidRPr="00A84B64" w14:paraId="77536631" w14:textId="77777777" w:rsidTr="00C8719D">
        <w:trPr>
          <w:jc w:val="center"/>
        </w:trPr>
        <w:tc>
          <w:tcPr>
            <w:tcW w:w="4957" w:type="dxa"/>
            <w:vAlign w:val="center"/>
          </w:tcPr>
          <w:p w14:paraId="38643D06" w14:textId="4B5C64F9" w:rsidR="00C73235" w:rsidRPr="00A84B64" w:rsidRDefault="00C73235" w:rsidP="00C73235">
            <w:pPr>
              <w:jc w:val="both"/>
              <w:rPr>
                <w:rFonts w:ascii="Verdana" w:hAnsi="Verdana" w:cs="Arial"/>
                <w:sz w:val="18"/>
                <w:szCs w:val="18"/>
              </w:rPr>
            </w:pPr>
            <w:r w:rsidRPr="00A84B64">
              <w:rPr>
                <w:rFonts w:ascii="Verdana" w:hAnsi="Verdana" w:cs="Arial"/>
                <w:sz w:val="18"/>
                <w:szCs w:val="18"/>
              </w:rPr>
              <w:t>MUERTE OCASIONADA POR CAUSAS DIFERENTES A LAS CAUSAS ENUNCIADAS INCLUYENDO EL SUICIDO Y EL HOMICIDIO DESDE EL INICIO DE LA VIGENCIA</w:t>
            </w:r>
          </w:p>
        </w:tc>
        <w:tc>
          <w:tcPr>
            <w:tcW w:w="2126" w:type="dxa"/>
            <w:vAlign w:val="center"/>
          </w:tcPr>
          <w:p w14:paraId="7885DBD4" w14:textId="5BA4C190" w:rsidR="00C73235" w:rsidRPr="00A84B64" w:rsidRDefault="00C73235" w:rsidP="00C73235">
            <w:pPr>
              <w:jc w:val="center"/>
              <w:rPr>
                <w:rFonts w:ascii="Verdana" w:hAnsi="Verdana" w:cs="Arial"/>
                <w:sz w:val="18"/>
                <w:szCs w:val="18"/>
              </w:rPr>
            </w:pPr>
            <w:r w:rsidRPr="00A84B64">
              <w:rPr>
                <w:rFonts w:ascii="Verdana" w:hAnsi="Verdana" w:cs="Arial"/>
                <w:sz w:val="18"/>
                <w:szCs w:val="18"/>
              </w:rPr>
              <w:t>24 SBCTEN</w:t>
            </w:r>
          </w:p>
        </w:tc>
        <w:tc>
          <w:tcPr>
            <w:tcW w:w="1747" w:type="dxa"/>
            <w:vAlign w:val="center"/>
          </w:tcPr>
          <w:p w14:paraId="424F4D40" w14:textId="5017E8B4" w:rsidR="00C73235" w:rsidRPr="00A84B64" w:rsidRDefault="00C73235" w:rsidP="00C73235">
            <w:pPr>
              <w:jc w:val="center"/>
              <w:rPr>
                <w:rFonts w:ascii="Verdana" w:hAnsi="Verdana" w:cs="Arial"/>
                <w:sz w:val="18"/>
                <w:szCs w:val="18"/>
              </w:rPr>
            </w:pPr>
            <w:r w:rsidRPr="00A84B64">
              <w:rPr>
                <w:rFonts w:ascii="Verdana" w:hAnsi="Verdana" w:cs="Arial"/>
                <w:sz w:val="18"/>
                <w:szCs w:val="18"/>
              </w:rPr>
              <w:t>$20.396.232</w:t>
            </w:r>
          </w:p>
        </w:tc>
      </w:tr>
      <w:tr w:rsidR="00C73235" w:rsidRPr="00A84B64" w14:paraId="155E4112" w14:textId="77777777" w:rsidTr="00C8719D">
        <w:trPr>
          <w:jc w:val="center"/>
        </w:trPr>
        <w:tc>
          <w:tcPr>
            <w:tcW w:w="4957" w:type="dxa"/>
            <w:vAlign w:val="center"/>
          </w:tcPr>
          <w:p w14:paraId="55844CC0" w14:textId="28FAC550" w:rsidR="00C73235" w:rsidRPr="00A84B64" w:rsidRDefault="00C73235" w:rsidP="00C73235">
            <w:pPr>
              <w:jc w:val="both"/>
              <w:rPr>
                <w:rFonts w:ascii="Verdana" w:hAnsi="Verdana" w:cs="Arial"/>
                <w:sz w:val="18"/>
                <w:szCs w:val="18"/>
              </w:rPr>
            </w:pPr>
            <w:bookmarkStart w:id="9" w:name="_Hlk94039975"/>
            <w:r w:rsidRPr="00A84B64">
              <w:rPr>
                <w:rFonts w:ascii="Verdana" w:hAnsi="Verdana" w:cs="Arial"/>
                <w:sz w:val="18"/>
                <w:szCs w:val="18"/>
              </w:rPr>
              <w:t>PERDIDA DE LA CAPACIDAD LABORAL. DISMINUCION RELATIVA O PERMANENTE EN LA CAPACIDAD LABORAL, INFERIOR AL 75%</w:t>
            </w:r>
            <w:bookmarkEnd w:id="9"/>
          </w:p>
        </w:tc>
        <w:tc>
          <w:tcPr>
            <w:tcW w:w="2126" w:type="dxa"/>
            <w:vAlign w:val="center"/>
          </w:tcPr>
          <w:p w14:paraId="4F8151C4" w14:textId="694C3CD0" w:rsidR="00C73235" w:rsidRPr="00A84B64" w:rsidRDefault="00C73235" w:rsidP="00C73235">
            <w:pPr>
              <w:jc w:val="center"/>
              <w:rPr>
                <w:rFonts w:ascii="Verdana" w:hAnsi="Verdana" w:cs="Arial"/>
                <w:sz w:val="18"/>
                <w:szCs w:val="18"/>
              </w:rPr>
            </w:pPr>
            <w:r w:rsidRPr="00A84B64">
              <w:rPr>
                <w:rFonts w:ascii="Verdana" w:hAnsi="Verdana" w:cs="Arial"/>
                <w:sz w:val="18"/>
                <w:szCs w:val="18"/>
              </w:rPr>
              <w:t>36 SBCTEN</w:t>
            </w:r>
          </w:p>
        </w:tc>
        <w:tc>
          <w:tcPr>
            <w:tcW w:w="1747" w:type="dxa"/>
            <w:vAlign w:val="center"/>
          </w:tcPr>
          <w:p w14:paraId="2F2ABB40" w14:textId="01CFE4EA" w:rsidR="00C73235" w:rsidRPr="00A84B64" w:rsidRDefault="00C73235" w:rsidP="00C73235">
            <w:pPr>
              <w:jc w:val="center"/>
              <w:rPr>
                <w:rFonts w:ascii="Verdana" w:hAnsi="Verdana" w:cs="Arial"/>
                <w:sz w:val="18"/>
                <w:szCs w:val="18"/>
              </w:rPr>
            </w:pPr>
            <w:r w:rsidRPr="00A84B64">
              <w:rPr>
                <w:rFonts w:ascii="Verdana" w:hAnsi="Verdana" w:cs="Arial"/>
                <w:sz w:val="18"/>
                <w:szCs w:val="18"/>
              </w:rPr>
              <w:t>$30.594.348</w:t>
            </w:r>
          </w:p>
        </w:tc>
      </w:tr>
      <w:tr w:rsidR="00C73235" w:rsidRPr="00A84B64" w14:paraId="094DB7B7" w14:textId="77777777" w:rsidTr="00C8719D">
        <w:trPr>
          <w:jc w:val="center"/>
        </w:trPr>
        <w:tc>
          <w:tcPr>
            <w:tcW w:w="4957" w:type="dxa"/>
            <w:vAlign w:val="center"/>
          </w:tcPr>
          <w:p w14:paraId="5BF31991" w14:textId="534B49FD" w:rsidR="00C73235" w:rsidRPr="00A84B64" w:rsidRDefault="00C73235" w:rsidP="00C73235">
            <w:pPr>
              <w:jc w:val="both"/>
              <w:rPr>
                <w:rFonts w:ascii="Verdana" w:hAnsi="Verdana" w:cs="Arial"/>
                <w:sz w:val="18"/>
                <w:szCs w:val="18"/>
              </w:rPr>
            </w:pPr>
            <w:r w:rsidRPr="00A84B64">
              <w:rPr>
                <w:rFonts w:ascii="Verdana" w:hAnsi="Verdana" w:cs="Arial"/>
                <w:sz w:val="18"/>
                <w:szCs w:val="18"/>
              </w:rPr>
              <w:t>PERDIDA DE LA CAPACIDAD LABORAL. INCAPACIDAD GENERADA A CONSECUENCIA DE HERIDAS O ACCIDENTES SUFRIDOS EN MANTENIMIENTO DEL ORDEN PUBLICO</w:t>
            </w:r>
          </w:p>
        </w:tc>
        <w:tc>
          <w:tcPr>
            <w:tcW w:w="2126" w:type="dxa"/>
            <w:vAlign w:val="center"/>
          </w:tcPr>
          <w:p w14:paraId="1828BB33" w14:textId="7DBB5CBA" w:rsidR="00C73235" w:rsidRPr="00A84B64" w:rsidRDefault="00C73235" w:rsidP="00C73235">
            <w:pPr>
              <w:jc w:val="center"/>
              <w:rPr>
                <w:rFonts w:ascii="Verdana" w:hAnsi="Verdana" w:cs="Arial"/>
                <w:sz w:val="18"/>
                <w:szCs w:val="18"/>
              </w:rPr>
            </w:pPr>
            <w:r w:rsidRPr="00A84B64">
              <w:rPr>
                <w:rFonts w:ascii="Verdana" w:hAnsi="Verdana" w:cs="Arial"/>
                <w:sz w:val="18"/>
                <w:szCs w:val="18"/>
              </w:rPr>
              <w:t>72 SBCTEN</w:t>
            </w:r>
          </w:p>
        </w:tc>
        <w:tc>
          <w:tcPr>
            <w:tcW w:w="1747" w:type="dxa"/>
            <w:vAlign w:val="center"/>
          </w:tcPr>
          <w:p w14:paraId="6DA2601A" w14:textId="6A4C143C" w:rsidR="00C73235" w:rsidRPr="00A84B64" w:rsidRDefault="00C73235" w:rsidP="00C73235">
            <w:pPr>
              <w:jc w:val="center"/>
              <w:rPr>
                <w:rFonts w:ascii="Verdana" w:hAnsi="Verdana" w:cs="Arial"/>
                <w:sz w:val="18"/>
                <w:szCs w:val="18"/>
              </w:rPr>
            </w:pPr>
            <w:r w:rsidRPr="00A84B64">
              <w:rPr>
                <w:rFonts w:ascii="Verdana" w:hAnsi="Verdana" w:cs="Arial"/>
                <w:sz w:val="18"/>
                <w:szCs w:val="18"/>
              </w:rPr>
              <w:t>$61.188.696</w:t>
            </w:r>
          </w:p>
        </w:tc>
      </w:tr>
      <w:tr w:rsidR="00C73235" w:rsidRPr="00A84B64" w14:paraId="4D884ACA" w14:textId="77777777" w:rsidTr="00C8719D">
        <w:trPr>
          <w:jc w:val="center"/>
        </w:trPr>
        <w:tc>
          <w:tcPr>
            <w:tcW w:w="4957" w:type="dxa"/>
            <w:vAlign w:val="center"/>
          </w:tcPr>
          <w:p w14:paraId="058D9B1C" w14:textId="09A04C7A" w:rsidR="00C73235" w:rsidRPr="00A84B64" w:rsidRDefault="00C73235" w:rsidP="00C73235">
            <w:pPr>
              <w:jc w:val="both"/>
              <w:rPr>
                <w:rFonts w:ascii="Verdana" w:hAnsi="Verdana" w:cs="Arial"/>
                <w:sz w:val="18"/>
                <w:szCs w:val="18"/>
              </w:rPr>
            </w:pPr>
            <w:r w:rsidRPr="00A84B64">
              <w:rPr>
                <w:rFonts w:ascii="Verdana" w:hAnsi="Verdana" w:cs="Arial"/>
                <w:sz w:val="18"/>
                <w:szCs w:val="18"/>
              </w:rPr>
              <w:t>PERDIDA DE LA CAPACIDAD LABORAL. INCAPACIDAD ADQUIRIDA COMO CONSECUENCIA DE ACTOS DE SERVICIO, DISTINTO A LOS ANTERIORES</w:t>
            </w:r>
          </w:p>
        </w:tc>
        <w:tc>
          <w:tcPr>
            <w:tcW w:w="2126" w:type="dxa"/>
            <w:vAlign w:val="center"/>
          </w:tcPr>
          <w:p w14:paraId="24843A6B" w14:textId="0219F1C4" w:rsidR="00C73235" w:rsidRPr="00A84B64" w:rsidRDefault="00C73235" w:rsidP="00C73235">
            <w:pPr>
              <w:jc w:val="center"/>
              <w:rPr>
                <w:rFonts w:ascii="Verdana" w:hAnsi="Verdana" w:cs="Arial"/>
                <w:sz w:val="18"/>
                <w:szCs w:val="18"/>
              </w:rPr>
            </w:pPr>
            <w:r w:rsidRPr="00A84B64">
              <w:rPr>
                <w:rFonts w:ascii="Verdana" w:hAnsi="Verdana" w:cs="Arial"/>
                <w:sz w:val="18"/>
                <w:szCs w:val="18"/>
              </w:rPr>
              <w:t>54 SBCTEN</w:t>
            </w:r>
          </w:p>
        </w:tc>
        <w:tc>
          <w:tcPr>
            <w:tcW w:w="1747" w:type="dxa"/>
            <w:vAlign w:val="center"/>
          </w:tcPr>
          <w:p w14:paraId="7FC1EC04" w14:textId="4910D962" w:rsidR="00C73235" w:rsidRPr="00A84B64" w:rsidRDefault="00C73235" w:rsidP="00C73235">
            <w:pPr>
              <w:jc w:val="center"/>
              <w:rPr>
                <w:rFonts w:ascii="Verdana" w:hAnsi="Verdana" w:cs="Arial"/>
                <w:sz w:val="18"/>
                <w:szCs w:val="18"/>
              </w:rPr>
            </w:pPr>
            <w:r w:rsidRPr="00A84B64">
              <w:rPr>
                <w:rFonts w:ascii="Verdana" w:hAnsi="Verdana" w:cs="Arial"/>
                <w:sz w:val="18"/>
                <w:szCs w:val="18"/>
              </w:rPr>
              <w:t>$45.891.522</w:t>
            </w:r>
          </w:p>
        </w:tc>
      </w:tr>
      <w:tr w:rsidR="00C73235" w:rsidRPr="00A84B64" w14:paraId="55978441" w14:textId="77777777" w:rsidTr="00C8719D">
        <w:trPr>
          <w:jc w:val="center"/>
        </w:trPr>
        <w:tc>
          <w:tcPr>
            <w:tcW w:w="4957" w:type="dxa"/>
            <w:vAlign w:val="center"/>
          </w:tcPr>
          <w:p w14:paraId="3A904294" w14:textId="77777777" w:rsidR="00C73235" w:rsidRPr="00A84B64" w:rsidRDefault="00C73235" w:rsidP="00C73235">
            <w:pPr>
              <w:jc w:val="both"/>
              <w:rPr>
                <w:rFonts w:ascii="Verdana" w:hAnsi="Verdana" w:cs="Arial"/>
                <w:sz w:val="18"/>
                <w:szCs w:val="18"/>
              </w:rPr>
            </w:pPr>
          </w:p>
          <w:p w14:paraId="418204C8" w14:textId="33FE36FC" w:rsidR="00C73235" w:rsidRPr="00A84B64" w:rsidRDefault="00C73235" w:rsidP="00C73235">
            <w:pPr>
              <w:jc w:val="both"/>
              <w:rPr>
                <w:rFonts w:ascii="Verdana" w:hAnsi="Verdana" w:cs="Arial"/>
                <w:sz w:val="18"/>
                <w:szCs w:val="18"/>
              </w:rPr>
            </w:pPr>
            <w:r w:rsidRPr="00A84B64">
              <w:rPr>
                <w:rFonts w:ascii="Verdana" w:hAnsi="Verdana" w:cs="Arial"/>
                <w:sz w:val="18"/>
                <w:szCs w:val="18"/>
              </w:rPr>
              <w:t>AUXILIO FUNERARIO</w:t>
            </w:r>
          </w:p>
          <w:p w14:paraId="00AA129C" w14:textId="5EF6EA29" w:rsidR="00C73235" w:rsidRPr="00A84B64" w:rsidRDefault="00C73235" w:rsidP="00C73235">
            <w:pPr>
              <w:jc w:val="both"/>
              <w:rPr>
                <w:rFonts w:ascii="Verdana" w:hAnsi="Verdana" w:cs="Arial"/>
                <w:sz w:val="18"/>
                <w:szCs w:val="18"/>
              </w:rPr>
            </w:pPr>
          </w:p>
        </w:tc>
        <w:tc>
          <w:tcPr>
            <w:tcW w:w="2126" w:type="dxa"/>
            <w:vAlign w:val="center"/>
          </w:tcPr>
          <w:p w14:paraId="17989B61" w14:textId="77777777" w:rsidR="00C73235" w:rsidRPr="00A84B64" w:rsidRDefault="00C73235" w:rsidP="00C73235">
            <w:pPr>
              <w:jc w:val="center"/>
              <w:rPr>
                <w:rFonts w:ascii="Verdana" w:hAnsi="Verdana" w:cs="Arial"/>
                <w:sz w:val="18"/>
                <w:szCs w:val="18"/>
              </w:rPr>
            </w:pPr>
          </w:p>
        </w:tc>
        <w:tc>
          <w:tcPr>
            <w:tcW w:w="1747" w:type="dxa"/>
            <w:vAlign w:val="center"/>
          </w:tcPr>
          <w:p w14:paraId="548D8E43" w14:textId="7CF3AB67" w:rsidR="00C73235" w:rsidRPr="00A84B64" w:rsidRDefault="00C73235" w:rsidP="00C73235">
            <w:pPr>
              <w:jc w:val="center"/>
              <w:rPr>
                <w:rFonts w:ascii="Verdana" w:hAnsi="Verdana" w:cs="Arial"/>
                <w:sz w:val="18"/>
                <w:szCs w:val="18"/>
              </w:rPr>
            </w:pPr>
            <w:r w:rsidRPr="00A84B64">
              <w:rPr>
                <w:rFonts w:ascii="Verdana" w:hAnsi="Verdana" w:cs="Arial"/>
                <w:sz w:val="18"/>
                <w:szCs w:val="18"/>
              </w:rPr>
              <w:t>$12.500.000</w:t>
            </w:r>
          </w:p>
        </w:tc>
      </w:tr>
    </w:tbl>
    <w:p w14:paraId="10FFD8F5" w14:textId="55D741DB" w:rsidR="00770695" w:rsidRPr="00A84B64" w:rsidRDefault="00C73235" w:rsidP="00FE4B03">
      <w:pPr>
        <w:spacing w:line="360" w:lineRule="auto"/>
        <w:jc w:val="both"/>
        <w:rPr>
          <w:rFonts w:ascii="Verdana" w:hAnsi="Verdana" w:cs="Arial"/>
          <w:b/>
          <w:bCs/>
          <w:sz w:val="16"/>
          <w:szCs w:val="16"/>
        </w:rPr>
      </w:pPr>
      <w:r w:rsidRPr="00A84B64">
        <w:rPr>
          <w:rFonts w:ascii="Verdana" w:hAnsi="Verdana" w:cs="Arial"/>
          <w:b/>
          <w:bCs/>
          <w:sz w:val="16"/>
          <w:szCs w:val="16"/>
        </w:rPr>
        <w:t xml:space="preserve">**SBCTEN: </w:t>
      </w:r>
      <w:r w:rsidR="00D410EC" w:rsidRPr="00A84B64">
        <w:rPr>
          <w:rFonts w:ascii="Verdana" w:hAnsi="Verdana" w:cs="Arial"/>
          <w:b/>
          <w:bCs/>
          <w:sz w:val="16"/>
          <w:szCs w:val="16"/>
        </w:rPr>
        <w:t>SUELDO BASICO DE UN CAVO TERCERO DEL EJERCITO NACIONAL</w:t>
      </w:r>
    </w:p>
    <w:p w14:paraId="3E065998" w14:textId="310EEA61" w:rsidR="00D410EC" w:rsidRPr="00A84B64" w:rsidRDefault="00D410EC" w:rsidP="00FE4B03">
      <w:pPr>
        <w:spacing w:line="360" w:lineRule="auto"/>
        <w:jc w:val="both"/>
        <w:rPr>
          <w:rFonts w:ascii="Verdana" w:hAnsi="Verdana" w:cs="Arial"/>
          <w:sz w:val="22"/>
          <w:szCs w:val="22"/>
        </w:rPr>
      </w:pPr>
    </w:p>
    <w:p w14:paraId="24425019" w14:textId="5AFC88DA" w:rsidR="00D410EC" w:rsidRPr="00A84B64" w:rsidRDefault="00D410EC" w:rsidP="6AD07303">
      <w:pPr>
        <w:spacing w:line="360" w:lineRule="auto"/>
        <w:jc w:val="both"/>
        <w:rPr>
          <w:rFonts w:ascii="Verdana" w:hAnsi="Verdana"/>
          <w:sz w:val="22"/>
          <w:szCs w:val="22"/>
        </w:rPr>
      </w:pPr>
      <w:r w:rsidRPr="00A84B64">
        <w:rPr>
          <w:rFonts w:ascii="Verdana" w:hAnsi="Verdana" w:cs="Arial"/>
          <w:sz w:val="22"/>
          <w:szCs w:val="22"/>
        </w:rPr>
        <w:t xml:space="preserve">De conformidad con lo señalado, es dable concluir que la póliza </w:t>
      </w:r>
      <w:r w:rsidRPr="00A84B64">
        <w:rPr>
          <w:rFonts w:ascii="Verdana" w:hAnsi="Verdana"/>
          <w:sz w:val="22"/>
          <w:szCs w:val="22"/>
        </w:rPr>
        <w:t>Vida Grupo No. 21-71-1000000481 de Seguros de Vida del Estado S.A., tomada por el INPEC para asegurar a los bachilleres auxiliares del servicio militar obligatorio en el INPEC</w:t>
      </w:r>
      <w:r w:rsidR="00E36C86" w:rsidRPr="00A84B64">
        <w:rPr>
          <w:rFonts w:ascii="Verdana" w:hAnsi="Verdana"/>
          <w:sz w:val="22"/>
          <w:szCs w:val="22"/>
        </w:rPr>
        <w:t xml:space="preserve">, corresponde a un seguro de personas en el cual se aseguró determinado capital dependiendo </w:t>
      </w:r>
      <w:r w:rsidR="49C7B500" w:rsidRPr="00A84B64">
        <w:rPr>
          <w:rFonts w:ascii="Verdana" w:hAnsi="Verdana"/>
          <w:sz w:val="22"/>
          <w:szCs w:val="22"/>
        </w:rPr>
        <w:t xml:space="preserve">de </w:t>
      </w:r>
      <w:r w:rsidR="00E36C86" w:rsidRPr="00A84B64">
        <w:rPr>
          <w:rFonts w:ascii="Verdana" w:hAnsi="Verdana"/>
          <w:sz w:val="22"/>
          <w:szCs w:val="22"/>
        </w:rPr>
        <w:t>los amparos otorgados,</w:t>
      </w:r>
      <w:r w:rsidR="008611BA" w:rsidRPr="00A84B64">
        <w:rPr>
          <w:rFonts w:ascii="Verdana" w:hAnsi="Verdana"/>
          <w:sz w:val="22"/>
          <w:szCs w:val="22"/>
        </w:rPr>
        <w:t xml:space="preserve"> como se observa en la tabla pre</w:t>
      </w:r>
      <w:r w:rsidR="00E21927" w:rsidRPr="00A84B64">
        <w:rPr>
          <w:rFonts w:ascii="Verdana" w:hAnsi="Verdana"/>
          <w:sz w:val="22"/>
          <w:szCs w:val="22"/>
        </w:rPr>
        <w:t>c</w:t>
      </w:r>
      <w:r w:rsidR="008611BA" w:rsidRPr="00A84B64">
        <w:rPr>
          <w:rFonts w:ascii="Verdana" w:hAnsi="Verdana"/>
          <w:sz w:val="22"/>
          <w:szCs w:val="22"/>
        </w:rPr>
        <w:t xml:space="preserve">edente, </w:t>
      </w:r>
      <w:r w:rsidR="00E36C86" w:rsidRPr="00A84B64">
        <w:rPr>
          <w:rFonts w:ascii="Verdana" w:hAnsi="Verdana"/>
          <w:sz w:val="22"/>
          <w:szCs w:val="22"/>
        </w:rPr>
        <w:t xml:space="preserve"> razón por la cual, pese a que SEGUROS DE VIDA DEL ESTADO S.A. </w:t>
      </w:r>
      <w:r w:rsidR="00E36C86" w:rsidRPr="00A84B64">
        <w:rPr>
          <w:rFonts w:ascii="Verdana" w:hAnsi="Verdana"/>
          <w:sz w:val="22"/>
          <w:szCs w:val="22"/>
        </w:rPr>
        <w:lastRenderedPageBreak/>
        <w:t xml:space="preserve">fue vinculado al proceso como </w:t>
      </w:r>
      <w:bookmarkStart w:id="10" w:name="_Hlk94017719"/>
      <w:r w:rsidR="00E36C86" w:rsidRPr="00A84B64">
        <w:rPr>
          <w:rFonts w:ascii="Verdana" w:hAnsi="Verdana"/>
          <w:sz w:val="22"/>
          <w:szCs w:val="22"/>
        </w:rPr>
        <w:t xml:space="preserve">litisconsorcio necesario </w:t>
      </w:r>
      <w:r w:rsidR="008611BA" w:rsidRPr="00A84B64">
        <w:rPr>
          <w:rFonts w:ascii="Verdana" w:hAnsi="Verdana"/>
          <w:sz w:val="22"/>
          <w:szCs w:val="22"/>
        </w:rPr>
        <w:t xml:space="preserve">de la pasiva </w:t>
      </w:r>
      <w:bookmarkEnd w:id="10"/>
      <w:r w:rsidR="00E36C86" w:rsidRPr="00A84B64">
        <w:rPr>
          <w:rFonts w:ascii="Verdana" w:hAnsi="Verdana"/>
          <w:sz w:val="22"/>
          <w:szCs w:val="22"/>
        </w:rPr>
        <w:t xml:space="preserve">mediante auto del </w:t>
      </w:r>
      <w:r w:rsidR="008611BA" w:rsidRPr="00A84B64">
        <w:rPr>
          <w:rFonts w:ascii="Verdana" w:hAnsi="Verdana"/>
          <w:sz w:val="22"/>
          <w:szCs w:val="22"/>
        </w:rPr>
        <w:t>02 de marzo de 2017 (</w:t>
      </w:r>
      <w:proofErr w:type="spellStart"/>
      <w:r w:rsidR="008611BA" w:rsidRPr="00A84B64">
        <w:rPr>
          <w:rFonts w:ascii="Verdana" w:hAnsi="Verdana"/>
          <w:sz w:val="22"/>
          <w:szCs w:val="22"/>
        </w:rPr>
        <w:t>fls</w:t>
      </w:r>
      <w:proofErr w:type="spellEnd"/>
      <w:r w:rsidR="008611BA" w:rsidRPr="00A84B64">
        <w:rPr>
          <w:rFonts w:ascii="Verdana" w:hAnsi="Verdana"/>
          <w:sz w:val="22"/>
          <w:szCs w:val="22"/>
        </w:rPr>
        <w:t>. 263 a 265), sin que se hubiese controvertido tal decisión,</w:t>
      </w:r>
      <w:r w:rsidR="00E25054" w:rsidRPr="00A84B64">
        <w:rPr>
          <w:rFonts w:ascii="Verdana" w:hAnsi="Verdana"/>
          <w:sz w:val="22"/>
          <w:szCs w:val="22"/>
        </w:rPr>
        <w:t xml:space="preserve"> </w:t>
      </w:r>
      <w:r w:rsidR="00E21927" w:rsidRPr="00A84B64">
        <w:rPr>
          <w:rFonts w:ascii="Verdana" w:hAnsi="Verdana"/>
          <w:sz w:val="22"/>
          <w:szCs w:val="22"/>
        </w:rPr>
        <w:t xml:space="preserve">lo cierto es que conforme lo advirtió la juez de primera instancia al momento de proferir fallo, </w:t>
      </w:r>
      <w:r w:rsidR="00682AF3" w:rsidRPr="00A84B64">
        <w:rPr>
          <w:rFonts w:ascii="Verdana" w:hAnsi="Verdana"/>
          <w:sz w:val="22"/>
          <w:szCs w:val="22"/>
        </w:rPr>
        <w:t>la Aseguradora en el caso concreto representa la figura procesal de llamamiento en garantía, así</w:t>
      </w:r>
      <w:r w:rsidR="00E21927" w:rsidRPr="00A84B64">
        <w:rPr>
          <w:rFonts w:ascii="Verdana" w:hAnsi="Verdana"/>
          <w:sz w:val="22"/>
          <w:szCs w:val="22"/>
        </w:rPr>
        <w:t>:</w:t>
      </w:r>
    </w:p>
    <w:p w14:paraId="68102046" w14:textId="4DB31863" w:rsidR="00E21927" w:rsidRPr="00A84B64" w:rsidRDefault="00E21927" w:rsidP="00FE4B03">
      <w:pPr>
        <w:spacing w:line="360" w:lineRule="auto"/>
        <w:jc w:val="both"/>
        <w:rPr>
          <w:rFonts w:ascii="Verdana" w:hAnsi="Verdana"/>
          <w:sz w:val="22"/>
          <w:szCs w:val="22"/>
          <w:lang w:val="es-ES_tradnl"/>
        </w:rPr>
      </w:pPr>
    </w:p>
    <w:p w14:paraId="5237F8FC" w14:textId="3E0E5F69" w:rsidR="00E36C86" w:rsidRPr="00A84B64" w:rsidRDefault="00E21927" w:rsidP="000F03DB">
      <w:pPr>
        <w:spacing w:line="276" w:lineRule="auto"/>
        <w:ind w:left="708"/>
        <w:jc w:val="both"/>
        <w:rPr>
          <w:rFonts w:ascii="Verdana" w:hAnsi="Verdana"/>
          <w:i/>
          <w:iCs/>
          <w:sz w:val="22"/>
          <w:szCs w:val="22"/>
          <w:lang w:val="es-ES_tradnl"/>
        </w:rPr>
      </w:pPr>
      <w:r w:rsidRPr="00A84B64">
        <w:rPr>
          <w:rFonts w:ascii="Verdana" w:hAnsi="Verdana"/>
          <w:i/>
          <w:iCs/>
          <w:sz w:val="22"/>
          <w:szCs w:val="22"/>
          <w:lang w:val="es-ES_tradnl"/>
        </w:rPr>
        <w:t>“El Despacho debe aclarar que la aseguradora</w:t>
      </w:r>
      <w:r w:rsidRPr="00A84B64">
        <w:rPr>
          <w:i/>
          <w:iCs/>
        </w:rPr>
        <w:t xml:space="preserve"> </w:t>
      </w:r>
      <w:r w:rsidRPr="00A84B64">
        <w:rPr>
          <w:rFonts w:ascii="Verdana" w:hAnsi="Verdana"/>
          <w:i/>
          <w:iCs/>
          <w:sz w:val="22"/>
          <w:szCs w:val="22"/>
          <w:lang w:val="es-ES_tradnl"/>
        </w:rPr>
        <w:t xml:space="preserve">Seguros de Vida del Estado S.A. representa procesalmente a un llamado en garantía y no un Litisconsorte necesario. Sin embargo, debido a que dentro del presente caso fue vinculado bajo la última figura, </w:t>
      </w:r>
      <w:r w:rsidRPr="00A84B64">
        <w:rPr>
          <w:rFonts w:ascii="Verdana" w:hAnsi="Verdana"/>
          <w:b/>
          <w:bCs/>
          <w:i/>
          <w:iCs/>
          <w:sz w:val="22"/>
          <w:szCs w:val="22"/>
          <w:lang w:val="es-ES_tradnl"/>
        </w:rPr>
        <w:t>se declarará la responsabilidad solidaria del INPEC y la aseguradora en mención, a efectos de que Seguros de Vida del Estado responda por el monto de las pólizas suscritas</w:t>
      </w:r>
      <w:r w:rsidRPr="00A84B64">
        <w:rPr>
          <w:rFonts w:ascii="Verdana" w:hAnsi="Verdana"/>
          <w:i/>
          <w:iCs/>
          <w:sz w:val="22"/>
          <w:szCs w:val="22"/>
          <w:lang w:val="es-ES_tradnl"/>
        </w:rPr>
        <w:t>. (</w:t>
      </w:r>
      <w:proofErr w:type="spellStart"/>
      <w:r w:rsidRPr="00A84B64">
        <w:rPr>
          <w:rFonts w:ascii="Verdana" w:hAnsi="Verdana"/>
          <w:i/>
          <w:iCs/>
          <w:sz w:val="22"/>
          <w:szCs w:val="22"/>
          <w:lang w:val="es-ES_tradnl"/>
        </w:rPr>
        <w:t>fl</w:t>
      </w:r>
      <w:proofErr w:type="spellEnd"/>
      <w:r w:rsidRPr="00A84B64">
        <w:rPr>
          <w:rFonts w:ascii="Verdana" w:hAnsi="Verdana"/>
          <w:i/>
          <w:iCs/>
          <w:sz w:val="22"/>
          <w:szCs w:val="22"/>
          <w:lang w:val="es-ES_tradnl"/>
        </w:rPr>
        <w:t>. 933) (negrilla fuera de texto).</w:t>
      </w:r>
    </w:p>
    <w:p w14:paraId="6785EC41" w14:textId="77777777" w:rsidR="00E36C86" w:rsidRPr="00A84B64" w:rsidRDefault="00E36C86" w:rsidP="00FE4B03">
      <w:pPr>
        <w:spacing w:line="360" w:lineRule="auto"/>
        <w:jc w:val="both"/>
        <w:rPr>
          <w:rFonts w:ascii="Verdana" w:hAnsi="Verdana" w:cs="Arial"/>
          <w:sz w:val="22"/>
          <w:szCs w:val="22"/>
        </w:rPr>
      </w:pPr>
    </w:p>
    <w:p w14:paraId="53127874" w14:textId="6B313DEF" w:rsidR="000F03DB" w:rsidRPr="00A84B64" w:rsidRDefault="000F03DB" w:rsidP="00FE4B03">
      <w:pPr>
        <w:spacing w:line="360" w:lineRule="auto"/>
        <w:jc w:val="both"/>
        <w:rPr>
          <w:rFonts w:ascii="Verdana" w:hAnsi="Verdana"/>
          <w:sz w:val="22"/>
          <w:szCs w:val="22"/>
          <w:lang w:val="es-ES_tradnl"/>
        </w:rPr>
      </w:pPr>
      <w:r w:rsidRPr="00A84B64">
        <w:rPr>
          <w:rFonts w:ascii="Verdana" w:hAnsi="Verdana" w:cs="Arial"/>
          <w:sz w:val="22"/>
          <w:szCs w:val="22"/>
        </w:rPr>
        <w:t xml:space="preserve">Así las cosas, aunque </w:t>
      </w:r>
      <w:r w:rsidRPr="00A84B64">
        <w:rPr>
          <w:rFonts w:ascii="Verdana" w:hAnsi="Verdana"/>
          <w:sz w:val="22"/>
          <w:szCs w:val="22"/>
          <w:lang w:val="es-ES_tradnl"/>
        </w:rPr>
        <w:t>SEGUROS DE VIDA DEL ESTADO S.A. haya sido vinculado al presente proceso bajo la figura procesal de litisconsorcio necesario de la pasiva, no es posible declarar</w:t>
      </w:r>
      <w:r w:rsidR="00682AF3" w:rsidRPr="00A84B64">
        <w:rPr>
          <w:rFonts w:ascii="Verdana" w:hAnsi="Verdana"/>
          <w:sz w:val="22"/>
          <w:szCs w:val="22"/>
          <w:lang w:val="es-ES_tradnl"/>
        </w:rPr>
        <w:t xml:space="preserve">lo patrimonialmente </w:t>
      </w:r>
      <w:r w:rsidRPr="00A84B64">
        <w:rPr>
          <w:rFonts w:ascii="Verdana" w:hAnsi="Verdana"/>
          <w:sz w:val="22"/>
          <w:szCs w:val="22"/>
          <w:lang w:val="es-ES_tradnl"/>
        </w:rPr>
        <w:t>responsab</w:t>
      </w:r>
      <w:r w:rsidR="00682AF3" w:rsidRPr="00A84B64">
        <w:rPr>
          <w:rFonts w:ascii="Verdana" w:hAnsi="Verdana"/>
          <w:sz w:val="22"/>
          <w:szCs w:val="22"/>
          <w:lang w:val="es-ES_tradnl"/>
        </w:rPr>
        <w:t>le</w:t>
      </w:r>
      <w:r w:rsidRPr="00A84B64">
        <w:rPr>
          <w:rFonts w:ascii="Verdana" w:hAnsi="Verdana"/>
          <w:sz w:val="22"/>
          <w:szCs w:val="22"/>
          <w:lang w:val="es-ES_tradnl"/>
        </w:rPr>
        <w:t xml:space="preserve"> </w:t>
      </w:r>
      <w:r w:rsidR="00682AF3" w:rsidRPr="00A84B64">
        <w:rPr>
          <w:rFonts w:ascii="Verdana" w:hAnsi="Verdana"/>
          <w:sz w:val="22"/>
          <w:szCs w:val="22"/>
          <w:lang w:val="es-ES_tradnl"/>
        </w:rPr>
        <w:t>en s</w:t>
      </w:r>
      <w:r w:rsidR="00FF69C4" w:rsidRPr="00A84B64">
        <w:rPr>
          <w:rFonts w:ascii="Verdana" w:hAnsi="Verdana"/>
          <w:sz w:val="22"/>
          <w:szCs w:val="22"/>
          <w:lang w:val="es-ES_tradnl"/>
        </w:rPr>
        <w:t>o</w:t>
      </w:r>
      <w:r w:rsidR="00682AF3" w:rsidRPr="00A84B64">
        <w:rPr>
          <w:rFonts w:ascii="Verdana" w:hAnsi="Verdana"/>
          <w:sz w:val="22"/>
          <w:szCs w:val="22"/>
          <w:lang w:val="es-ES_tradnl"/>
        </w:rPr>
        <w:t>lidaridad</w:t>
      </w:r>
      <w:r w:rsidR="00FF69C4" w:rsidRPr="00A84B64">
        <w:rPr>
          <w:rFonts w:ascii="Verdana" w:hAnsi="Verdana"/>
          <w:sz w:val="22"/>
          <w:szCs w:val="22"/>
          <w:lang w:val="es-ES_tradnl"/>
        </w:rPr>
        <w:t xml:space="preserve"> </w:t>
      </w:r>
      <w:r w:rsidRPr="00A84B64">
        <w:rPr>
          <w:rFonts w:ascii="Verdana" w:hAnsi="Verdana"/>
          <w:sz w:val="22"/>
          <w:szCs w:val="22"/>
          <w:lang w:val="es-ES_tradnl"/>
        </w:rPr>
        <w:t>con el INPEC, dado que la</w:t>
      </w:r>
      <w:r w:rsidR="00FF69C4" w:rsidRPr="00A84B64">
        <w:rPr>
          <w:rFonts w:ascii="Verdana" w:hAnsi="Verdana"/>
          <w:sz w:val="22"/>
          <w:szCs w:val="22"/>
          <w:lang w:val="es-ES_tradnl"/>
        </w:rPr>
        <w:t>s obligaciones que recaen en la</w:t>
      </w:r>
      <w:r w:rsidRPr="00A84B64">
        <w:rPr>
          <w:rFonts w:ascii="Verdana" w:hAnsi="Verdana"/>
          <w:sz w:val="22"/>
          <w:szCs w:val="22"/>
          <w:lang w:val="es-ES_tradnl"/>
        </w:rPr>
        <w:t xml:space="preserve"> Aseguradora en mención</w:t>
      </w:r>
      <w:r w:rsidR="00FF69C4" w:rsidRPr="00A84B64">
        <w:rPr>
          <w:rFonts w:ascii="Verdana" w:hAnsi="Verdana"/>
          <w:sz w:val="22"/>
          <w:szCs w:val="22"/>
          <w:lang w:val="es-ES_tradnl"/>
        </w:rPr>
        <w:t xml:space="preserve"> respecto del asegurado señor Ávila Gaitán</w:t>
      </w:r>
      <w:r w:rsidR="00212E6B" w:rsidRPr="00A84B64">
        <w:rPr>
          <w:rFonts w:ascii="Verdana" w:hAnsi="Verdana"/>
          <w:sz w:val="22"/>
          <w:szCs w:val="22"/>
          <w:lang w:val="es-ES_tradnl"/>
        </w:rPr>
        <w:t xml:space="preserve"> en calidad de Auxiliar Bachiller del INPEC</w:t>
      </w:r>
      <w:r w:rsidR="00FF69C4" w:rsidRPr="00A84B64">
        <w:rPr>
          <w:rFonts w:ascii="Verdana" w:hAnsi="Verdana"/>
          <w:sz w:val="22"/>
          <w:szCs w:val="22"/>
          <w:lang w:val="es-ES_tradnl"/>
        </w:rPr>
        <w:t xml:space="preserve">, conforme a los </w:t>
      </w:r>
      <w:r w:rsidR="00FF69C4" w:rsidRPr="00A84B64">
        <w:rPr>
          <w:rFonts w:ascii="Verdana" w:hAnsi="Verdana" w:cs="Arial"/>
          <w:sz w:val="22"/>
          <w:szCs w:val="22"/>
        </w:rPr>
        <w:t xml:space="preserve">amparos de la póliza </w:t>
      </w:r>
      <w:r w:rsidR="00FF69C4" w:rsidRPr="00A84B64">
        <w:rPr>
          <w:rFonts w:ascii="Verdana" w:hAnsi="Verdana"/>
          <w:sz w:val="22"/>
          <w:szCs w:val="22"/>
          <w:lang w:val="es-ES_tradnl"/>
        </w:rPr>
        <w:t>Vida Grupo No. 21-71-1000000481</w:t>
      </w:r>
      <w:r w:rsidR="00FF69C4" w:rsidRPr="00A84B64">
        <w:rPr>
          <w:rFonts w:ascii="Verdana" w:hAnsi="Verdana" w:cs="Arial"/>
          <w:i/>
          <w:sz w:val="22"/>
          <w:szCs w:val="22"/>
        </w:rPr>
        <w:t>,</w:t>
      </w:r>
      <w:r w:rsidR="00FF69C4" w:rsidRPr="00A84B64">
        <w:rPr>
          <w:rFonts w:ascii="Verdana" w:hAnsi="Verdana" w:cs="Arial"/>
          <w:b/>
          <w:i/>
          <w:sz w:val="22"/>
          <w:szCs w:val="22"/>
        </w:rPr>
        <w:t xml:space="preserve"> </w:t>
      </w:r>
      <w:r w:rsidR="00212E6B" w:rsidRPr="00A84B64">
        <w:rPr>
          <w:rFonts w:ascii="Verdana" w:hAnsi="Verdana"/>
          <w:sz w:val="22"/>
          <w:szCs w:val="22"/>
          <w:lang w:val="es-ES_tradnl"/>
        </w:rPr>
        <w:t xml:space="preserve">corresponden a la </w:t>
      </w:r>
      <w:r w:rsidR="00FF69C4" w:rsidRPr="00A84B64">
        <w:rPr>
          <w:rFonts w:ascii="Verdana" w:hAnsi="Verdana"/>
          <w:sz w:val="22"/>
          <w:szCs w:val="22"/>
          <w:lang w:val="es-ES_tradnl"/>
        </w:rPr>
        <w:t xml:space="preserve"> suma previamente convenida a título de compensación</w:t>
      </w:r>
      <w:r w:rsidR="00212E6B" w:rsidRPr="00A84B64">
        <w:rPr>
          <w:rFonts w:ascii="Verdana" w:hAnsi="Verdana"/>
          <w:sz w:val="22"/>
          <w:szCs w:val="22"/>
          <w:lang w:val="es-ES_tradnl"/>
        </w:rPr>
        <w:t xml:space="preserve">, toda vez que, </w:t>
      </w:r>
      <w:r w:rsidR="007B1784" w:rsidRPr="00A84B64">
        <w:rPr>
          <w:rFonts w:ascii="Verdana" w:hAnsi="Verdana"/>
          <w:sz w:val="22"/>
          <w:szCs w:val="22"/>
          <w:lang w:val="es-ES_tradnl"/>
        </w:rPr>
        <w:t>se reitera</w:t>
      </w:r>
      <w:r w:rsidR="00212E6B" w:rsidRPr="00A84B64">
        <w:rPr>
          <w:rFonts w:ascii="Verdana" w:hAnsi="Verdana"/>
          <w:sz w:val="22"/>
          <w:szCs w:val="22"/>
          <w:lang w:val="es-ES_tradnl"/>
        </w:rPr>
        <w:t xml:space="preserve">, la póliza que adquirió el INPEC </w:t>
      </w:r>
      <w:r w:rsidR="007B1784" w:rsidRPr="00A84B64">
        <w:rPr>
          <w:rFonts w:ascii="Verdana" w:hAnsi="Verdana"/>
          <w:sz w:val="22"/>
          <w:szCs w:val="22"/>
          <w:lang w:val="es-ES_tradnl"/>
        </w:rPr>
        <w:t>corresponde a</w:t>
      </w:r>
      <w:r w:rsidR="00382C95" w:rsidRPr="00A84B64">
        <w:rPr>
          <w:rFonts w:ascii="Verdana" w:hAnsi="Verdana"/>
          <w:sz w:val="22"/>
          <w:szCs w:val="22"/>
          <w:lang w:val="es-ES_tradnl"/>
        </w:rPr>
        <w:t xml:space="preserve"> un seguro de personas y no un</w:t>
      </w:r>
      <w:r w:rsidR="00986D20" w:rsidRPr="00A84B64">
        <w:rPr>
          <w:rFonts w:ascii="Verdana" w:hAnsi="Verdana"/>
          <w:sz w:val="22"/>
          <w:szCs w:val="22"/>
          <w:lang w:val="es-ES_tradnl"/>
        </w:rPr>
        <w:t xml:space="preserve"> seguro de daños</w:t>
      </w:r>
      <w:r w:rsidR="00382C95" w:rsidRPr="00A84B64">
        <w:rPr>
          <w:rFonts w:ascii="Verdana" w:hAnsi="Verdana"/>
          <w:sz w:val="22"/>
          <w:szCs w:val="22"/>
          <w:lang w:val="es-ES_tradnl"/>
        </w:rPr>
        <w:t xml:space="preserve"> </w:t>
      </w:r>
      <w:r w:rsidR="00986D20" w:rsidRPr="00A84B64">
        <w:rPr>
          <w:rFonts w:ascii="Verdana" w:hAnsi="Verdana"/>
          <w:sz w:val="22"/>
          <w:szCs w:val="22"/>
          <w:lang w:val="es-ES_tradnl"/>
        </w:rPr>
        <w:t>(</w:t>
      </w:r>
      <w:r w:rsidR="00382C95" w:rsidRPr="00A84B64">
        <w:rPr>
          <w:rFonts w:ascii="Verdana" w:hAnsi="Verdana"/>
          <w:sz w:val="22"/>
          <w:szCs w:val="22"/>
          <w:lang w:val="es-ES_tradnl"/>
        </w:rPr>
        <w:t>póliza de responsabilidad civil</w:t>
      </w:r>
      <w:r w:rsidR="0050095B" w:rsidRPr="00A84B64">
        <w:rPr>
          <w:rFonts w:ascii="Verdana" w:hAnsi="Verdana"/>
          <w:sz w:val="22"/>
          <w:szCs w:val="22"/>
          <w:lang w:val="es-ES_tradnl"/>
        </w:rPr>
        <w:t xml:space="preserve"> extracontractual</w:t>
      </w:r>
      <w:r w:rsidR="00986D20" w:rsidRPr="00A84B64">
        <w:rPr>
          <w:rFonts w:ascii="Verdana" w:hAnsi="Verdana"/>
          <w:sz w:val="22"/>
          <w:szCs w:val="22"/>
          <w:lang w:val="es-ES_tradnl"/>
        </w:rPr>
        <w:t>)</w:t>
      </w:r>
      <w:r w:rsidR="00382C95" w:rsidRPr="00A84B64">
        <w:rPr>
          <w:rFonts w:ascii="Verdana" w:hAnsi="Verdana"/>
          <w:sz w:val="22"/>
          <w:szCs w:val="22"/>
          <w:lang w:val="es-ES_tradnl"/>
        </w:rPr>
        <w:t>.</w:t>
      </w:r>
    </w:p>
    <w:p w14:paraId="54AB8A60" w14:textId="146146A0" w:rsidR="00FF69C4" w:rsidRPr="00A84B64" w:rsidRDefault="00FF69C4" w:rsidP="00FE4B03">
      <w:pPr>
        <w:spacing w:line="360" w:lineRule="auto"/>
        <w:jc w:val="both"/>
        <w:rPr>
          <w:rFonts w:ascii="Verdana" w:hAnsi="Verdana"/>
          <w:sz w:val="22"/>
          <w:szCs w:val="22"/>
          <w:lang w:val="es-ES_tradnl"/>
        </w:rPr>
      </w:pPr>
    </w:p>
    <w:p w14:paraId="0F08E3CF" w14:textId="420D5918" w:rsidR="009223BD" w:rsidRPr="00A84B64" w:rsidRDefault="009223BD" w:rsidP="00FE4B03">
      <w:pPr>
        <w:spacing w:line="360" w:lineRule="auto"/>
        <w:jc w:val="both"/>
        <w:rPr>
          <w:rFonts w:ascii="Verdana" w:hAnsi="Verdana"/>
          <w:sz w:val="22"/>
          <w:szCs w:val="22"/>
          <w:lang w:val="es-ES_tradnl"/>
        </w:rPr>
      </w:pPr>
      <w:r w:rsidRPr="00A84B64">
        <w:rPr>
          <w:rFonts w:ascii="Verdana" w:hAnsi="Verdana" w:cs="Arial"/>
          <w:sz w:val="22"/>
          <w:szCs w:val="22"/>
        </w:rPr>
        <w:t xml:space="preserve">En concordancia con lo </w:t>
      </w:r>
      <w:r w:rsidR="0050095B" w:rsidRPr="00A84B64">
        <w:rPr>
          <w:rFonts w:ascii="Verdana" w:hAnsi="Verdana" w:cs="Arial"/>
          <w:sz w:val="22"/>
          <w:szCs w:val="22"/>
        </w:rPr>
        <w:t xml:space="preserve">señalado y encontrándose </w:t>
      </w:r>
      <w:r w:rsidRPr="00A84B64">
        <w:rPr>
          <w:rFonts w:ascii="Verdana" w:hAnsi="Verdana" w:cs="Arial"/>
          <w:sz w:val="22"/>
          <w:szCs w:val="22"/>
        </w:rPr>
        <w:t>acreditada la pérdida de capacidad laboral del señor Luis Eduardo Ávila Gaitán en un 28,25%, a título de compensación</w:t>
      </w:r>
      <w:r w:rsidR="0050095B" w:rsidRPr="00A84B64">
        <w:rPr>
          <w:rFonts w:ascii="Verdana" w:hAnsi="Verdana" w:cs="Arial"/>
          <w:sz w:val="22"/>
          <w:szCs w:val="22"/>
        </w:rPr>
        <w:t>,</w:t>
      </w:r>
      <w:r w:rsidRPr="00A84B64">
        <w:rPr>
          <w:rFonts w:ascii="Verdana" w:hAnsi="Verdana" w:cs="Arial"/>
          <w:sz w:val="22"/>
          <w:szCs w:val="22"/>
        </w:rPr>
        <w:t xml:space="preserve"> SEGUROS DE VIDA DEL ESTADO S.A</w:t>
      </w:r>
      <w:r w:rsidR="00D55484" w:rsidRPr="00A84B64">
        <w:rPr>
          <w:rFonts w:ascii="Verdana" w:hAnsi="Verdana" w:cs="Arial"/>
          <w:sz w:val="22"/>
          <w:szCs w:val="22"/>
        </w:rPr>
        <w:t>.</w:t>
      </w:r>
      <w:r w:rsidRPr="00A84B64">
        <w:rPr>
          <w:rFonts w:ascii="Verdana" w:hAnsi="Verdana" w:cs="Arial"/>
          <w:sz w:val="22"/>
          <w:szCs w:val="22"/>
        </w:rPr>
        <w:t xml:space="preserve">, deberá pagar el capital previamente acordado o monto asegurado </w:t>
      </w:r>
      <w:r w:rsidR="00D55484" w:rsidRPr="00A84B64">
        <w:rPr>
          <w:rFonts w:ascii="Verdana" w:hAnsi="Verdana" w:cs="Arial"/>
          <w:sz w:val="22"/>
          <w:szCs w:val="22"/>
        </w:rPr>
        <w:t xml:space="preserve">a la luz del amparo denominado “PERDIDA DE LA CAPACIDAD LABORAL. DISMINUCION RELATIVA O PERMANENTE EN LA CAPACIDAD LABORAL, INFERIOR AL 75%” </w:t>
      </w:r>
      <w:r w:rsidRPr="00A84B64">
        <w:rPr>
          <w:rFonts w:ascii="Verdana" w:hAnsi="Verdana" w:cs="Arial"/>
          <w:sz w:val="22"/>
          <w:szCs w:val="22"/>
        </w:rPr>
        <w:t xml:space="preserve">que corresponde a la suma de </w:t>
      </w:r>
      <w:r w:rsidR="00D55484" w:rsidRPr="00A84B64">
        <w:rPr>
          <w:rFonts w:ascii="Verdana" w:hAnsi="Verdana" w:cs="Arial"/>
          <w:sz w:val="22"/>
          <w:szCs w:val="22"/>
        </w:rPr>
        <w:t xml:space="preserve">36 SBCTEN </w:t>
      </w:r>
      <w:r w:rsidR="00BB1E10" w:rsidRPr="00A84B64">
        <w:rPr>
          <w:rFonts w:ascii="Verdana" w:hAnsi="Verdana" w:cs="Arial"/>
          <w:sz w:val="22"/>
          <w:szCs w:val="22"/>
        </w:rPr>
        <w:t xml:space="preserve">($30.594.348) </w:t>
      </w:r>
      <w:r w:rsidRPr="00A84B64">
        <w:rPr>
          <w:rFonts w:ascii="Verdana" w:hAnsi="Verdana" w:cs="Arial"/>
          <w:sz w:val="22"/>
          <w:szCs w:val="22"/>
        </w:rPr>
        <w:t xml:space="preserve">según la póliza </w:t>
      </w:r>
      <w:r w:rsidR="00D55484" w:rsidRPr="00A84B64">
        <w:rPr>
          <w:rFonts w:ascii="Verdana" w:hAnsi="Verdana" w:cs="Arial"/>
          <w:sz w:val="22"/>
          <w:szCs w:val="22"/>
        </w:rPr>
        <w:t xml:space="preserve">Vida Grupo </w:t>
      </w:r>
      <w:r w:rsidRPr="00A84B64">
        <w:rPr>
          <w:rFonts w:ascii="Verdana" w:hAnsi="Verdana"/>
          <w:sz w:val="22"/>
          <w:szCs w:val="22"/>
          <w:lang w:val="es-ES_tradnl"/>
        </w:rPr>
        <w:t>No. 21-71-1000000481</w:t>
      </w:r>
      <w:r w:rsidR="00D55484" w:rsidRPr="00A84B64">
        <w:rPr>
          <w:rFonts w:ascii="Verdana" w:hAnsi="Verdana"/>
          <w:sz w:val="22"/>
          <w:szCs w:val="22"/>
          <w:lang w:val="es-ES_tradnl"/>
        </w:rPr>
        <w:t xml:space="preserve">. </w:t>
      </w:r>
    </w:p>
    <w:p w14:paraId="588DA5E6" w14:textId="4D225965" w:rsidR="00D55484" w:rsidRPr="00A84B64" w:rsidRDefault="00D55484" w:rsidP="00FE4B03">
      <w:pPr>
        <w:spacing w:line="360" w:lineRule="auto"/>
        <w:jc w:val="both"/>
        <w:rPr>
          <w:rFonts w:ascii="Verdana" w:hAnsi="Verdana"/>
          <w:sz w:val="22"/>
          <w:szCs w:val="22"/>
          <w:lang w:val="es-ES_tradnl"/>
        </w:rPr>
      </w:pPr>
    </w:p>
    <w:p w14:paraId="39CC66A9" w14:textId="5C8892DD" w:rsidR="00D55484" w:rsidRPr="00A84B64" w:rsidRDefault="00D55484" w:rsidP="001C6623">
      <w:pPr>
        <w:spacing w:line="360" w:lineRule="auto"/>
        <w:jc w:val="both"/>
        <w:rPr>
          <w:rFonts w:ascii="Verdana" w:hAnsi="Verdana" w:cs="Arial"/>
          <w:sz w:val="22"/>
          <w:szCs w:val="22"/>
        </w:rPr>
      </w:pPr>
      <w:r w:rsidRPr="00A84B64">
        <w:rPr>
          <w:rFonts w:ascii="Verdana" w:hAnsi="Verdana"/>
          <w:sz w:val="22"/>
          <w:szCs w:val="22"/>
        </w:rPr>
        <w:t xml:space="preserve">Ahora bien, el apoderado de </w:t>
      </w:r>
      <w:r w:rsidRPr="00A84B64">
        <w:rPr>
          <w:rFonts w:ascii="Verdana" w:hAnsi="Verdana" w:cs="Arial"/>
          <w:sz w:val="22"/>
          <w:szCs w:val="22"/>
        </w:rPr>
        <w:t>SEGUROS DE VIDA DEL ESTADO S.A. arguyó que</w:t>
      </w:r>
      <w:r w:rsidR="00B201B4" w:rsidRPr="00A84B64">
        <w:t xml:space="preserve"> </w:t>
      </w:r>
      <w:r w:rsidR="00B201B4" w:rsidRPr="00A84B64">
        <w:rPr>
          <w:rFonts w:ascii="Verdana" w:hAnsi="Verdana" w:cs="Arial"/>
          <w:sz w:val="22"/>
          <w:szCs w:val="22"/>
        </w:rPr>
        <w:t>el valor asegurado de $30.594.348 se debe pagar cuando el auxiliar bachiller presenta efectivamente una pérdida de la capacidad laboral del 75%, en caso de una perdida inferior a este porcentaje, el valor a indemnizar a cargo de la aseguradora es proporcional, y</w:t>
      </w:r>
      <w:r w:rsidR="2065AD3A" w:rsidRPr="00A84B64">
        <w:rPr>
          <w:rFonts w:ascii="Verdana" w:hAnsi="Verdana" w:cs="Arial"/>
          <w:sz w:val="22"/>
          <w:szCs w:val="22"/>
        </w:rPr>
        <w:t xml:space="preserve"> afirma que</w:t>
      </w:r>
      <w:r w:rsidR="00B201B4" w:rsidRPr="00A84B64">
        <w:rPr>
          <w:rFonts w:ascii="Verdana" w:hAnsi="Verdana" w:cs="Arial"/>
          <w:sz w:val="22"/>
          <w:szCs w:val="22"/>
        </w:rPr>
        <w:t xml:space="preserve"> toda vez que en el caso concreto </w:t>
      </w:r>
      <w:r w:rsidRPr="00A84B64">
        <w:rPr>
          <w:rFonts w:ascii="Verdana" w:hAnsi="Verdana" w:cs="Arial"/>
          <w:sz w:val="22"/>
          <w:szCs w:val="22"/>
        </w:rPr>
        <w:t xml:space="preserve">la pérdida de capacidad laboral total del conscripto asegurado se determinó en </w:t>
      </w:r>
      <w:r w:rsidRPr="00A84B64">
        <w:rPr>
          <w:rFonts w:ascii="Verdana" w:hAnsi="Verdana" w:cs="Arial"/>
          <w:sz w:val="22"/>
          <w:szCs w:val="22"/>
        </w:rPr>
        <w:lastRenderedPageBreak/>
        <w:t>28,25</w:t>
      </w:r>
      <w:r w:rsidR="00B201B4" w:rsidRPr="00A84B64">
        <w:rPr>
          <w:rFonts w:ascii="Verdana" w:hAnsi="Verdana" w:cs="Arial"/>
          <w:sz w:val="22"/>
          <w:szCs w:val="22"/>
        </w:rPr>
        <w:t xml:space="preserve">%, </w:t>
      </w:r>
      <w:r w:rsidR="001C6623" w:rsidRPr="00A84B64">
        <w:rPr>
          <w:rFonts w:ascii="Verdana" w:hAnsi="Verdana" w:cs="Arial"/>
          <w:sz w:val="22"/>
          <w:szCs w:val="22"/>
        </w:rPr>
        <w:t>al</w:t>
      </w:r>
      <w:r w:rsidR="00B201B4" w:rsidRPr="00A84B64">
        <w:rPr>
          <w:rFonts w:ascii="Verdana" w:hAnsi="Verdana" w:cs="Arial"/>
          <w:sz w:val="22"/>
          <w:szCs w:val="22"/>
        </w:rPr>
        <w:t xml:space="preserve"> aplicar la regla proporcional</w:t>
      </w:r>
      <w:r w:rsidR="001C6623" w:rsidRPr="00A84B64">
        <w:rPr>
          <w:rFonts w:ascii="Verdana" w:hAnsi="Verdana" w:cs="Arial"/>
          <w:sz w:val="22"/>
          <w:szCs w:val="22"/>
        </w:rPr>
        <w:t>, el valor a indemnizar corresponde a la suma única y definitiva de $11.523.872.</w:t>
      </w:r>
    </w:p>
    <w:p w14:paraId="0C5D6E5C" w14:textId="775F8062" w:rsidR="001C6623" w:rsidRPr="00A84B64" w:rsidRDefault="001C6623" w:rsidP="001C6623">
      <w:pPr>
        <w:spacing w:line="360" w:lineRule="auto"/>
        <w:jc w:val="both"/>
        <w:rPr>
          <w:rFonts w:ascii="Verdana" w:hAnsi="Verdana" w:cs="Arial"/>
          <w:sz w:val="22"/>
          <w:szCs w:val="22"/>
        </w:rPr>
      </w:pPr>
    </w:p>
    <w:p w14:paraId="25CD1BF3" w14:textId="12711C14" w:rsidR="001C6623" w:rsidRPr="00A84B64" w:rsidRDefault="001C6623" w:rsidP="16920204">
      <w:pPr>
        <w:spacing w:line="360" w:lineRule="auto"/>
        <w:jc w:val="both"/>
        <w:rPr>
          <w:rFonts w:ascii="Verdana" w:hAnsi="Verdana"/>
          <w:color w:val="FF0000"/>
          <w:sz w:val="22"/>
          <w:szCs w:val="22"/>
        </w:rPr>
      </w:pPr>
      <w:r w:rsidRPr="00A84B64">
        <w:rPr>
          <w:rFonts w:ascii="Verdana" w:hAnsi="Verdana" w:cs="Arial"/>
          <w:sz w:val="22"/>
          <w:szCs w:val="22"/>
        </w:rPr>
        <w:t xml:space="preserve">Frente a este argumento, la Sala dirá que no tiene vocación de prosperidad, pues de la simple lectura del amparo otorgado en la póliza Vida Grupo </w:t>
      </w:r>
      <w:r w:rsidRPr="00A84B64">
        <w:rPr>
          <w:rFonts w:ascii="Verdana" w:hAnsi="Verdana"/>
          <w:sz w:val="22"/>
          <w:szCs w:val="22"/>
        </w:rPr>
        <w:t>No. 21-71-1000000481</w:t>
      </w:r>
      <w:r w:rsidR="00932A8E" w:rsidRPr="00A84B64">
        <w:rPr>
          <w:rFonts w:ascii="Verdana" w:hAnsi="Verdana"/>
          <w:sz w:val="22"/>
          <w:szCs w:val="22"/>
        </w:rPr>
        <w:t xml:space="preserve">, </w:t>
      </w:r>
      <w:r w:rsidRPr="00A84B64">
        <w:rPr>
          <w:rFonts w:ascii="Verdana" w:hAnsi="Verdana" w:cs="Arial"/>
          <w:sz w:val="22"/>
          <w:szCs w:val="22"/>
        </w:rPr>
        <w:t>“PERDIDA DE LA CAPACIDAD LABORAL. DISMINUCION RELATIVA O PERMANENTE EN LA CAPACIDAD LABORAL, INFERIOR AL 75%”</w:t>
      </w:r>
      <w:r w:rsidR="00932A8E" w:rsidRPr="00A84B64">
        <w:rPr>
          <w:rFonts w:ascii="Verdana" w:hAnsi="Verdana" w:cs="Arial"/>
          <w:sz w:val="22"/>
          <w:szCs w:val="22"/>
        </w:rPr>
        <w:t>, se puede inferir que el valor asegurado no es variable ni proporcional al porcentaje de pérdida de la capacidad laboral</w:t>
      </w:r>
      <w:r w:rsidR="002436B7" w:rsidRPr="00A84B64">
        <w:rPr>
          <w:rFonts w:ascii="Verdana" w:hAnsi="Verdana" w:cs="Arial"/>
          <w:sz w:val="22"/>
          <w:szCs w:val="22"/>
        </w:rPr>
        <w:t xml:space="preserve">, sino que el valor </w:t>
      </w:r>
      <w:r w:rsidR="0049243D" w:rsidRPr="00A84B64">
        <w:rPr>
          <w:rFonts w:ascii="Verdana" w:hAnsi="Verdana" w:cs="Arial"/>
          <w:sz w:val="22"/>
          <w:szCs w:val="22"/>
        </w:rPr>
        <w:t>asegurado es</w:t>
      </w:r>
      <w:r w:rsidR="002436B7" w:rsidRPr="00A84B64">
        <w:rPr>
          <w:rFonts w:ascii="Verdana" w:hAnsi="Verdana" w:cs="Arial"/>
          <w:sz w:val="22"/>
          <w:szCs w:val="22"/>
        </w:rPr>
        <w:t xml:space="preserve"> igual para todos los casos en que la disminución relativa o permanente de la capacidad laboral </w:t>
      </w:r>
      <w:r w:rsidR="002436B7" w:rsidRPr="00A84B64">
        <w:rPr>
          <w:rFonts w:ascii="Verdana" w:hAnsi="Verdana" w:cs="Arial"/>
          <w:b/>
          <w:bCs/>
          <w:sz w:val="22"/>
          <w:szCs w:val="22"/>
        </w:rPr>
        <w:t>sea inferior al 75%</w:t>
      </w:r>
      <w:r w:rsidR="002436B7" w:rsidRPr="00A84B64">
        <w:rPr>
          <w:rFonts w:ascii="Verdana" w:hAnsi="Verdana" w:cs="Arial"/>
          <w:sz w:val="22"/>
          <w:szCs w:val="22"/>
        </w:rPr>
        <w:t>, como ocurre en el caso concreto.</w:t>
      </w:r>
    </w:p>
    <w:p w14:paraId="63183D3C" w14:textId="77777777" w:rsidR="009223BD" w:rsidRPr="00A84B64" w:rsidRDefault="009223BD" w:rsidP="009223BD">
      <w:pPr>
        <w:spacing w:line="360" w:lineRule="auto"/>
        <w:ind w:left="360"/>
        <w:jc w:val="both"/>
        <w:rPr>
          <w:rFonts w:ascii="Verdana" w:hAnsi="Verdana"/>
          <w:color w:val="FF0000"/>
          <w:sz w:val="22"/>
          <w:szCs w:val="22"/>
          <w:lang w:val="es-ES_tradnl"/>
        </w:rPr>
      </w:pPr>
    </w:p>
    <w:p w14:paraId="4A5E57A7" w14:textId="46CA655B" w:rsidR="00666CB9" w:rsidRPr="00A84B64" w:rsidRDefault="004048F0" w:rsidP="16920204">
      <w:pPr>
        <w:widowControl w:val="0"/>
        <w:spacing w:line="360" w:lineRule="auto"/>
        <w:jc w:val="both"/>
        <w:rPr>
          <w:rStyle w:val="Nmerodepgina"/>
          <w:rFonts w:ascii="Verdana" w:hAnsi="Verdana" w:cs="Arial"/>
          <w:sz w:val="22"/>
          <w:szCs w:val="22"/>
        </w:rPr>
      </w:pPr>
      <w:r w:rsidRPr="00A84B64">
        <w:rPr>
          <w:rFonts w:ascii="Verdana" w:hAnsi="Verdana"/>
          <w:sz w:val="22"/>
          <w:szCs w:val="22"/>
        </w:rPr>
        <w:t>En conclusión</w:t>
      </w:r>
      <w:r w:rsidR="009223BD" w:rsidRPr="00A84B64">
        <w:rPr>
          <w:rFonts w:ascii="Verdana" w:hAnsi="Verdana"/>
          <w:color w:val="000000" w:themeColor="text1"/>
          <w:sz w:val="22"/>
          <w:szCs w:val="22"/>
        </w:rPr>
        <w:t xml:space="preserve">, la Sala </w:t>
      </w:r>
      <w:r w:rsidRPr="00A84B64">
        <w:rPr>
          <w:rFonts w:ascii="Verdana" w:hAnsi="Verdana"/>
          <w:color w:val="000000" w:themeColor="text1"/>
          <w:sz w:val="22"/>
          <w:szCs w:val="22"/>
        </w:rPr>
        <w:t>dispondr</w:t>
      </w:r>
      <w:r w:rsidR="009223BD" w:rsidRPr="00A84B64">
        <w:rPr>
          <w:rFonts w:ascii="Verdana" w:hAnsi="Verdana"/>
          <w:color w:val="000000" w:themeColor="text1"/>
          <w:sz w:val="22"/>
          <w:szCs w:val="22"/>
        </w:rPr>
        <w:t>á</w:t>
      </w:r>
      <w:r w:rsidR="00784EB4" w:rsidRPr="00A84B64">
        <w:rPr>
          <w:rFonts w:ascii="Verdana" w:hAnsi="Verdana"/>
          <w:color w:val="000000" w:themeColor="text1"/>
          <w:sz w:val="22"/>
          <w:szCs w:val="22"/>
        </w:rPr>
        <w:t xml:space="preserve"> </w:t>
      </w:r>
      <w:r w:rsidR="00666CB9" w:rsidRPr="00A84B64">
        <w:rPr>
          <w:rStyle w:val="Nmerodepgina"/>
          <w:rFonts w:ascii="Verdana" w:hAnsi="Verdana" w:cs="Arial"/>
          <w:b/>
          <w:bCs/>
          <w:sz w:val="22"/>
          <w:szCs w:val="22"/>
        </w:rPr>
        <w:t>ordenar</w:t>
      </w:r>
      <w:r w:rsidR="00784EB4" w:rsidRPr="00A84B64">
        <w:rPr>
          <w:rStyle w:val="Nmerodepgina"/>
          <w:rFonts w:ascii="Verdana" w:hAnsi="Verdana" w:cs="Arial"/>
          <w:b/>
          <w:bCs/>
          <w:sz w:val="22"/>
          <w:szCs w:val="22"/>
        </w:rPr>
        <w:t xml:space="preserve"> </w:t>
      </w:r>
      <w:r w:rsidR="00666CB9" w:rsidRPr="00A84B64">
        <w:rPr>
          <w:rStyle w:val="Nmerodepgina"/>
          <w:rFonts w:ascii="Verdana" w:hAnsi="Verdana" w:cs="Arial"/>
          <w:sz w:val="22"/>
          <w:szCs w:val="22"/>
        </w:rPr>
        <w:t xml:space="preserve">a la aseguradora Seguros Vida del Estado S.A. </w:t>
      </w:r>
      <w:r w:rsidR="201E6543" w:rsidRPr="00A84B64">
        <w:rPr>
          <w:rStyle w:val="Nmerodepgina"/>
          <w:rFonts w:ascii="Verdana" w:hAnsi="Verdana" w:cs="Arial"/>
          <w:sz w:val="22"/>
          <w:szCs w:val="22"/>
        </w:rPr>
        <w:t xml:space="preserve">pagar directamente al asegurado, señor </w:t>
      </w:r>
      <w:r w:rsidR="68D31141" w:rsidRPr="00A84B64">
        <w:rPr>
          <w:rFonts w:ascii="Verdana" w:eastAsia="Verdana" w:hAnsi="Verdana" w:cs="Verdana"/>
          <w:color w:val="000000" w:themeColor="text1"/>
          <w:sz w:val="22"/>
          <w:szCs w:val="22"/>
        </w:rPr>
        <w:t>LUIS EDUARDO ÁVILA GAITÁN</w:t>
      </w:r>
      <w:r w:rsidR="00666CB9" w:rsidRPr="00A84B64">
        <w:rPr>
          <w:rStyle w:val="Nmerodepgina"/>
          <w:rFonts w:ascii="Verdana" w:hAnsi="Verdana" w:cs="Arial"/>
          <w:sz w:val="22"/>
          <w:szCs w:val="22"/>
        </w:rPr>
        <w:t xml:space="preserve"> el valor asegurado individualmente por</w:t>
      </w:r>
      <w:r w:rsidR="71E1A428" w:rsidRPr="00A84B64">
        <w:rPr>
          <w:rStyle w:val="Nmerodepgina"/>
          <w:rFonts w:ascii="Verdana" w:hAnsi="Verdana" w:cs="Arial"/>
          <w:sz w:val="22"/>
          <w:szCs w:val="22"/>
        </w:rPr>
        <w:t xml:space="preserve"> el INPEC, esto es,</w:t>
      </w:r>
      <w:r w:rsidR="00666CB9" w:rsidRPr="00A84B64">
        <w:rPr>
          <w:rStyle w:val="Nmerodepgina"/>
          <w:rFonts w:ascii="Verdana" w:hAnsi="Verdana" w:cs="Arial"/>
          <w:sz w:val="22"/>
          <w:szCs w:val="22"/>
        </w:rPr>
        <w:t xml:space="preserve"> la suma de TREINTA MILLONES QUINIENTOS NOVENTA Y CUATRO MIL TRESCIENTOS CUARENTA Y OCHO MIL PESOS ($30.594.348) por concepto del amparo “</w:t>
      </w:r>
      <w:r w:rsidR="00666CB9" w:rsidRPr="00A84B64">
        <w:rPr>
          <w:rStyle w:val="Nmerodepgina"/>
          <w:rFonts w:ascii="Verdana" w:hAnsi="Verdana" w:cs="Arial"/>
          <w:i/>
          <w:iCs/>
          <w:sz w:val="22"/>
          <w:szCs w:val="22"/>
        </w:rPr>
        <w:t>Pérdida de Capacidad laboral. Disminución relativa o permanente en la capacidad laboral, inferior al 75%”</w:t>
      </w:r>
      <w:r w:rsidR="00666CB9" w:rsidRPr="00A84B64">
        <w:rPr>
          <w:rStyle w:val="Nmerodepgina"/>
          <w:rFonts w:ascii="Verdana" w:hAnsi="Verdana" w:cs="Arial"/>
          <w:sz w:val="22"/>
          <w:szCs w:val="22"/>
        </w:rPr>
        <w:t xml:space="preserve"> correspondiente a la cobertura de la póliza No. 21-7-1000000481. Suma que </w:t>
      </w:r>
      <w:r w:rsidR="44EB1C1B" w:rsidRPr="00A84B64">
        <w:rPr>
          <w:rStyle w:val="Nmerodepgina"/>
          <w:rFonts w:ascii="Verdana" w:hAnsi="Verdana" w:cs="Arial"/>
          <w:sz w:val="22"/>
          <w:szCs w:val="22"/>
        </w:rPr>
        <w:t xml:space="preserve">el INSTITUTO NACIONAL PENITENCIARIO Y CARCELARIO -INPEC-, </w:t>
      </w:r>
      <w:r w:rsidR="00666CB9" w:rsidRPr="00A84B64">
        <w:rPr>
          <w:rStyle w:val="Nmerodepgina"/>
          <w:rFonts w:ascii="Verdana" w:hAnsi="Verdana" w:cs="Arial"/>
          <w:sz w:val="22"/>
          <w:szCs w:val="22"/>
        </w:rPr>
        <w:t xml:space="preserve">deberá </w:t>
      </w:r>
      <w:r w:rsidR="0390014D" w:rsidRPr="00A84B64">
        <w:rPr>
          <w:rStyle w:val="Nmerodepgina"/>
          <w:rFonts w:ascii="Verdana" w:hAnsi="Verdana" w:cs="Arial"/>
          <w:sz w:val="22"/>
          <w:szCs w:val="22"/>
        </w:rPr>
        <w:t>tener como parte de pago de la condena por concepto de daño a la salud del demandante</w:t>
      </w:r>
      <w:r w:rsidR="33B2B7FF" w:rsidRPr="00A84B64">
        <w:rPr>
          <w:rStyle w:val="Nmerodepgina"/>
          <w:rFonts w:ascii="Verdana" w:hAnsi="Verdana" w:cs="Arial"/>
          <w:sz w:val="22"/>
          <w:szCs w:val="22"/>
        </w:rPr>
        <w:t xml:space="preserve">. En caso de que tal pago se haga cuando ya el INPEC haya pagado la totalidad de la condena contenida en esta providencia, la </w:t>
      </w:r>
      <w:r w:rsidR="21875917" w:rsidRPr="00A84B64">
        <w:rPr>
          <w:rStyle w:val="Nmerodepgina"/>
          <w:rFonts w:ascii="Verdana" w:hAnsi="Verdana" w:cs="Arial"/>
          <w:sz w:val="22"/>
          <w:szCs w:val="22"/>
        </w:rPr>
        <w:t>aseguradora Seguros Vida del Estado S.A.</w:t>
      </w:r>
      <w:r w:rsidR="0390014D" w:rsidRPr="00A84B64">
        <w:rPr>
          <w:rStyle w:val="Nmerodepgina"/>
          <w:rFonts w:ascii="Verdana" w:hAnsi="Verdana" w:cs="Arial"/>
          <w:sz w:val="22"/>
          <w:szCs w:val="22"/>
        </w:rPr>
        <w:t xml:space="preserve"> </w:t>
      </w:r>
      <w:r w:rsidR="006B4717" w:rsidRPr="00A84B64">
        <w:rPr>
          <w:rStyle w:val="Nmerodepgina"/>
          <w:rFonts w:ascii="Verdana" w:hAnsi="Verdana" w:cs="Arial"/>
          <w:sz w:val="22"/>
          <w:szCs w:val="22"/>
        </w:rPr>
        <w:t>p</w:t>
      </w:r>
      <w:r w:rsidR="17FBC46C" w:rsidRPr="00A84B64">
        <w:rPr>
          <w:rStyle w:val="Nmerodepgina"/>
          <w:rFonts w:ascii="Verdana" w:hAnsi="Verdana" w:cs="Arial"/>
          <w:sz w:val="22"/>
          <w:szCs w:val="22"/>
        </w:rPr>
        <w:t>agará esa suma al INPEC.</w:t>
      </w:r>
    </w:p>
    <w:p w14:paraId="23FB8959" w14:textId="20557391" w:rsidR="004C773C" w:rsidRPr="00A84B64" w:rsidRDefault="004C773C" w:rsidP="16920204">
      <w:pPr>
        <w:widowControl w:val="0"/>
        <w:spacing w:line="360" w:lineRule="auto"/>
        <w:jc w:val="both"/>
        <w:rPr>
          <w:rFonts w:ascii="Verdana" w:hAnsi="Verdana"/>
          <w:sz w:val="22"/>
          <w:szCs w:val="22"/>
        </w:rPr>
      </w:pPr>
    </w:p>
    <w:p w14:paraId="02273C64" w14:textId="7BF6DDD1" w:rsidR="0089738D" w:rsidRPr="00A84B64" w:rsidRDefault="004C773C" w:rsidP="004C773C">
      <w:pPr>
        <w:spacing w:line="360" w:lineRule="auto"/>
        <w:ind w:right="-79"/>
        <w:jc w:val="both"/>
        <w:rPr>
          <w:rFonts w:ascii="Verdana" w:hAnsi="Verdana" w:cs="Arial"/>
          <w:b/>
          <w:sz w:val="22"/>
          <w:szCs w:val="22"/>
        </w:rPr>
      </w:pPr>
      <w:r w:rsidRPr="00A84B64">
        <w:rPr>
          <w:rFonts w:ascii="Verdana" w:hAnsi="Verdana" w:cs="Arial"/>
          <w:b/>
          <w:sz w:val="22"/>
          <w:szCs w:val="22"/>
        </w:rPr>
        <w:t>3.1.2.</w:t>
      </w:r>
      <w:r w:rsidR="008E3BD8" w:rsidRPr="00A84B64">
        <w:rPr>
          <w:rFonts w:ascii="Verdana" w:hAnsi="Verdana" w:cs="Arial"/>
          <w:b/>
          <w:sz w:val="22"/>
          <w:szCs w:val="22"/>
        </w:rPr>
        <w:t>3</w:t>
      </w:r>
      <w:r w:rsidRPr="00A84B64">
        <w:rPr>
          <w:rFonts w:ascii="Verdana" w:hAnsi="Verdana" w:cs="Arial"/>
          <w:b/>
          <w:sz w:val="22"/>
          <w:szCs w:val="22"/>
        </w:rPr>
        <w:t xml:space="preserve">. De </w:t>
      </w:r>
      <w:r w:rsidR="0089738D" w:rsidRPr="00A84B64">
        <w:rPr>
          <w:rFonts w:ascii="Verdana" w:hAnsi="Verdana" w:cs="Arial"/>
          <w:b/>
          <w:sz w:val="22"/>
          <w:szCs w:val="22"/>
        </w:rPr>
        <w:t>la liquidación de perjuicios</w:t>
      </w:r>
    </w:p>
    <w:p w14:paraId="7B4E8B04" w14:textId="77777777" w:rsidR="0089738D" w:rsidRPr="00A84B64" w:rsidRDefault="0089738D" w:rsidP="004C773C">
      <w:pPr>
        <w:spacing w:line="360" w:lineRule="auto"/>
        <w:ind w:right="-79"/>
        <w:jc w:val="both"/>
        <w:rPr>
          <w:rFonts w:ascii="Verdana" w:hAnsi="Verdana" w:cs="Arial"/>
          <w:b/>
          <w:sz w:val="22"/>
          <w:szCs w:val="22"/>
        </w:rPr>
      </w:pPr>
    </w:p>
    <w:p w14:paraId="4089BF99" w14:textId="5630E2C8" w:rsidR="005B49D4" w:rsidRPr="00A84B64" w:rsidRDefault="0089738D" w:rsidP="005B49D4">
      <w:pPr>
        <w:spacing w:line="360" w:lineRule="auto"/>
        <w:jc w:val="both"/>
        <w:rPr>
          <w:rFonts w:ascii="Verdana" w:hAnsi="Verdana" w:cs="Arial"/>
          <w:sz w:val="22"/>
          <w:szCs w:val="22"/>
        </w:rPr>
      </w:pPr>
      <w:r w:rsidRPr="00A84B64">
        <w:rPr>
          <w:rFonts w:ascii="Verdana" w:hAnsi="Verdana" w:cs="Arial"/>
          <w:bCs/>
          <w:sz w:val="22"/>
          <w:szCs w:val="22"/>
        </w:rPr>
        <w:t xml:space="preserve">Memora la Sala que </w:t>
      </w:r>
      <w:r w:rsidR="002C6805" w:rsidRPr="00A84B64">
        <w:rPr>
          <w:rFonts w:ascii="Verdana" w:hAnsi="Verdana" w:cs="Arial"/>
          <w:bCs/>
          <w:sz w:val="22"/>
          <w:szCs w:val="22"/>
        </w:rPr>
        <w:t xml:space="preserve">en </w:t>
      </w:r>
      <w:r w:rsidRPr="00A84B64">
        <w:rPr>
          <w:rFonts w:ascii="Verdana" w:hAnsi="Verdana" w:cs="Arial"/>
          <w:bCs/>
          <w:sz w:val="22"/>
          <w:szCs w:val="22"/>
        </w:rPr>
        <w:t>la sentencia de primera instancia</w:t>
      </w:r>
      <w:r w:rsidR="002C6805" w:rsidRPr="00A84B64">
        <w:rPr>
          <w:rFonts w:ascii="Verdana" w:hAnsi="Verdana" w:cs="Arial"/>
          <w:bCs/>
          <w:sz w:val="22"/>
          <w:szCs w:val="22"/>
        </w:rPr>
        <w:t xml:space="preserve">, </w:t>
      </w:r>
      <w:r w:rsidR="005B49D4" w:rsidRPr="00A84B64">
        <w:rPr>
          <w:rFonts w:ascii="Verdana" w:hAnsi="Verdana" w:cs="Arial"/>
          <w:sz w:val="22"/>
          <w:szCs w:val="22"/>
        </w:rPr>
        <w:t xml:space="preserve">en cuanto a la indemnización de perjuicios morales se dijo que el Consejo de Estado ha creado una presunción judicial de aflicción que cobija a los parientes próximos de la víctima y haciendo alusión a la sentencia de unificación jurisprudencial de la Sala Plena de la Sección Tercera del 28 de agosto de 2014 reconoció una suma de 40 </w:t>
      </w:r>
      <w:proofErr w:type="spellStart"/>
      <w:r w:rsidR="005B49D4" w:rsidRPr="00A84B64">
        <w:rPr>
          <w:rFonts w:ascii="Verdana" w:hAnsi="Verdana" w:cs="Arial"/>
          <w:sz w:val="22"/>
          <w:szCs w:val="22"/>
        </w:rPr>
        <w:t>smlmv</w:t>
      </w:r>
      <w:proofErr w:type="spellEnd"/>
      <w:r w:rsidR="005B49D4" w:rsidRPr="00A84B64">
        <w:rPr>
          <w:rFonts w:ascii="Verdana" w:hAnsi="Verdana" w:cs="Arial"/>
          <w:sz w:val="22"/>
          <w:szCs w:val="22"/>
        </w:rPr>
        <w:t xml:space="preserve"> a favor de la víctima y de sus padres y de 20 </w:t>
      </w:r>
      <w:proofErr w:type="spellStart"/>
      <w:r w:rsidR="005B49D4" w:rsidRPr="00A84B64">
        <w:rPr>
          <w:rFonts w:ascii="Verdana" w:hAnsi="Verdana" w:cs="Arial"/>
          <w:sz w:val="22"/>
          <w:szCs w:val="22"/>
        </w:rPr>
        <w:t>smlmv</w:t>
      </w:r>
      <w:proofErr w:type="spellEnd"/>
      <w:r w:rsidR="005B49D4" w:rsidRPr="00A84B64">
        <w:rPr>
          <w:rFonts w:ascii="Verdana" w:hAnsi="Verdana" w:cs="Arial"/>
          <w:sz w:val="22"/>
          <w:szCs w:val="22"/>
        </w:rPr>
        <w:t xml:space="preserve"> a favor de sus hermanos, teniendo en cuenta que la lesión sufrida por el señor Ávila Gaitán fue calificada en un porcentaje de 28,25%.</w:t>
      </w:r>
    </w:p>
    <w:p w14:paraId="7F8837AE" w14:textId="77777777" w:rsidR="005B49D4" w:rsidRPr="00A84B64" w:rsidRDefault="005B49D4" w:rsidP="005B49D4">
      <w:pPr>
        <w:spacing w:line="360" w:lineRule="auto"/>
        <w:jc w:val="both"/>
        <w:rPr>
          <w:rFonts w:ascii="Verdana" w:hAnsi="Verdana" w:cs="Arial"/>
          <w:sz w:val="22"/>
          <w:szCs w:val="22"/>
        </w:rPr>
      </w:pPr>
    </w:p>
    <w:p w14:paraId="27CD0C04" w14:textId="560F64CA" w:rsidR="005B49D4" w:rsidRPr="00A84B64" w:rsidRDefault="005B49D4" w:rsidP="005B49D4">
      <w:pPr>
        <w:spacing w:line="360" w:lineRule="auto"/>
        <w:jc w:val="both"/>
        <w:rPr>
          <w:rFonts w:ascii="Verdana" w:hAnsi="Verdana" w:cs="Arial"/>
          <w:sz w:val="22"/>
          <w:szCs w:val="22"/>
        </w:rPr>
      </w:pPr>
      <w:r w:rsidRPr="00A84B64">
        <w:rPr>
          <w:rFonts w:ascii="Verdana" w:hAnsi="Verdana" w:cs="Arial"/>
          <w:sz w:val="22"/>
          <w:szCs w:val="22"/>
        </w:rPr>
        <w:lastRenderedPageBreak/>
        <w:t xml:space="preserve">En cuanto al daño a la salud refirió los parámetros dados en la sentencia de unificación jurisprudencial de la Sala Plena de la Sección Tercera del Consejo de Estado de fecha 14 de septiembre de 2011 </w:t>
      </w:r>
      <w:r w:rsidR="00B95A86" w:rsidRPr="00A84B64">
        <w:rPr>
          <w:rFonts w:ascii="Verdana" w:hAnsi="Verdana" w:cs="Arial"/>
          <w:sz w:val="22"/>
          <w:szCs w:val="22"/>
        </w:rPr>
        <w:t xml:space="preserve">y la mencionada en precedencia, </w:t>
      </w:r>
      <w:r w:rsidRPr="00A84B64">
        <w:rPr>
          <w:rFonts w:ascii="Verdana" w:hAnsi="Verdana" w:cs="Arial"/>
          <w:sz w:val="22"/>
          <w:szCs w:val="22"/>
        </w:rPr>
        <w:t xml:space="preserve">y reconoció al señor Ávila Gaitán en calidad de víctima la suma de 40 </w:t>
      </w:r>
      <w:proofErr w:type="spellStart"/>
      <w:r w:rsidRPr="00A84B64">
        <w:rPr>
          <w:rFonts w:ascii="Verdana" w:hAnsi="Verdana" w:cs="Arial"/>
          <w:sz w:val="22"/>
          <w:szCs w:val="22"/>
        </w:rPr>
        <w:t>smlmv</w:t>
      </w:r>
      <w:proofErr w:type="spellEnd"/>
      <w:r w:rsidRPr="00A84B64">
        <w:rPr>
          <w:rFonts w:ascii="Verdana" w:hAnsi="Verdana" w:cs="Arial"/>
          <w:sz w:val="22"/>
          <w:szCs w:val="22"/>
        </w:rPr>
        <w:t>.</w:t>
      </w:r>
    </w:p>
    <w:p w14:paraId="0052CE66" w14:textId="77777777" w:rsidR="005B49D4" w:rsidRPr="00A84B64" w:rsidRDefault="005B49D4" w:rsidP="005B49D4">
      <w:pPr>
        <w:spacing w:line="360" w:lineRule="auto"/>
        <w:jc w:val="both"/>
        <w:rPr>
          <w:rFonts w:ascii="Verdana" w:hAnsi="Verdana" w:cs="Arial"/>
          <w:sz w:val="22"/>
          <w:szCs w:val="22"/>
        </w:rPr>
      </w:pPr>
    </w:p>
    <w:p w14:paraId="03C4C379" w14:textId="77777777" w:rsidR="005B49D4" w:rsidRPr="00A84B64" w:rsidRDefault="005B49D4" w:rsidP="005B49D4">
      <w:pPr>
        <w:spacing w:line="360" w:lineRule="auto"/>
        <w:jc w:val="both"/>
        <w:rPr>
          <w:rFonts w:ascii="Verdana" w:hAnsi="Verdana" w:cs="Arial"/>
          <w:sz w:val="22"/>
          <w:szCs w:val="22"/>
        </w:rPr>
      </w:pPr>
      <w:r w:rsidRPr="00A84B64">
        <w:rPr>
          <w:rFonts w:ascii="Verdana" w:hAnsi="Verdana" w:cs="Arial"/>
          <w:sz w:val="22"/>
          <w:szCs w:val="22"/>
        </w:rPr>
        <w:t xml:space="preserve">Así mismo, en lo que tiene que ver con el daño emergente ordenó el reconocimiento y pago de la suma de $195.000 (valor indexado $251.750) que fueron acreditados con documentos idóneos como gastos por compra de elementos para su rehabilitación y transporte de Chiquinquirá a Bogotá, e indicó que el valor de los honorarios por el dictamen pericial decretado en audiencia inicial a cargo del demandante se reconocería al momento de liquidarse las costas del proceso. </w:t>
      </w:r>
    </w:p>
    <w:p w14:paraId="2E8BB713" w14:textId="77777777" w:rsidR="005B49D4" w:rsidRPr="00A84B64" w:rsidRDefault="005B49D4" w:rsidP="005B49D4">
      <w:pPr>
        <w:spacing w:line="360" w:lineRule="auto"/>
        <w:jc w:val="both"/>
        <w:rPr>
          <w:rFonts w:ascii="Verdana" w:hAnsi="Verdana" w:cs="Arial"/>
          <w:sz w:val="22"/>
          <w:szCs w:val="22"/>
        </w:rPr>
      </w:pPr>
    </w:p>
    <w:p w14:paraId="40FB2C01" w14:textId="77777777" w:rsidR="005B49D4" w:rsidRPr="00A84B64" w:rsidRDefault="005B49D4" w:rsidP="005B49D4">
      <w:pPr>
        <w:spacing w:line="360" w:lineRule="auto"/>
        <w:jc w:val="both"/>
        <w:rPr>
          <w:rFonts w:ascii="Verdana" w:hAnsi="Verdana" w:cs="Arial"/>
          <w:sz w:val="22"/>
          <w:szCs w:val="22"/>
        </w:rPr>
      </w:pPr>
      <w:r w:rsidRPr="00A84B64">
        <w:rPr>
          <w:rFonts w:ascii="Verdana" w:hAnsi="Verdana" w:cs="Arial"/>
          <w:sz w:val="22"/>
          <w:szCs w:val="22"/>
        </w:rPr>
        <w:t>En lo atinente al daño emergente futuro, la juez de primera instancia denegó tal pretensión teniendo en cuenta que no se acreditó la formulación de tratamiento médico futuro o posterior.</w:t>
      </w:r>
    </w:p>
    <w:p w14:paraId="1F1E8DFE" w14:textId="7ED3FCB0" w:rsidR="007E22F0" w:rsidRPr="00A84B64" w:rsidRDefault="007E22F0" w:rsidP="005B49D4">
      <w:pPr>
        <w:spacing w:line="360" w:lineRule="auto"/>
        <w:ind w:right="-79"/>
        <w:jc w:val="both"/>
        <w:rPr>
          <w:rFonts w:ascii="Verdana" w:hAnsi="Verdana" w:cs="Arial"/>
          <w:bCs/>
          <w:sz w:val="22"/>
          <w:szCs w:val="22"/>
        </w:rPr>
      </w:pPr>
    </w:p>
    <w:p w14:paraId="0392FB1E" w14:textId="306933FF" w:rsidR="009A3F50" w:rsidRPr="00A84B64" w:rsidRDefault="00461362" w:rsidP="004C773C">
      <w:pPr>
        <w:spacing w:line="360" w:lineRule="auto"/>
        <w:ind w:right="-79"/>
        <w:jc w:val="both"/>
        <w:rPr>
          <w:rFonts w:ascii="Verdana" w:hAnsi="Verdana" w:cs="Arial"/>
          <w:sz w:val="22"/>
          <w:szCs w:val="22"/>
        </w:rPr>
      </w:pPr>
      <w:r w:rsidRPr="00A84B64">
        <w:rPr>
          <w:rFonts w:ascii="Verdana" w:hAnsi="Verdana" w:cs="Arial"/>
          <w:sz w:val="22"/>
          <w:szCs w:val="22"/>
        </w:rPr>
        <w:t>En cuanto al lucro cesante, sostuvo la juez a-quo que en el caso concreto únicamente se solicitó el pago del lucro cesante futuro y al no encontrar acreditada la labor y oficio ordinario al que se dedicaba el señor Ávila Gaitán ni el monto que recibía mensualmente como producto de la actividad que dijo ejercer “mecánico”, acudió a la presunción según la cual toda persona que se encuentre en edad productiva devenga el salario mínimo legal mensual vigente. Además</w:t>
      </w:r>
      <w:r w:rsidR="00BB1E10" w:rsidRPr="00A84B64">
        <w:rPr>
          <w:rFonts w:ascii="Verdana" w:hAnsi="Verdana" w:cs="Arial"/>
          <w:sz w:val="22"/>
          <w:szCs w:val="22"/>
        </w:rPr>
        <w:t xml:space="preserve">, </w:t>
      </w:r>
      <w:r w:rsidRPr="00A84B64">
        <w:rPr>
          <w:rFonts w:ascii="Verdana" w:hAnsi="Verdana" w:cs="Arial"/>
          <w:sz w:val="22"/>
          <w:szCs w:val="22"/>
        </w:rPr>
        <w:t>señaló que no se incrementaría dicho monto en un 25% por concepto de prestaciones sociales, toda vez que no se logró establecer el tipo de vinculación laboral. Así, al salario mínimo le aplicó el porcentaje de pérdida de capacidad laboral del 28,25%, generando un ingreso base de liquidación de $248.000, suma que en total arrojó un valor de lucro cesante futuro por $48.632.000.</w:t>
      </w:r>
    </w:p>
    <w:p w14:paraId="4EFC84BF" w14:textId="77777777" w:rsidR="00B95A86" w:rsidRPr="00A84B64" w:rsidRDefault="00B95A86" w:rsidP="004C773C">
      <w:pPr>
        <w:spacing w:line="360" w:lineRule="auto"/>
        <w:ind w:right="-79"/>
        <w:jc w:val="both"/>
        <w:rPr>
          <w:rFonts w:ascii="Verdana" w:hAnsi="Verdana" w:cs="Arial"/>
          <w:sz w:val="22"/>
          <w:szCs w:val="22"/>
        </w:rPr>
      </w:pPr>
    </w:p>
    <w:p w14:paraId="35635DD4" w14:textId="40135A5E" w:rsidR="005B49D4" w:rsidRPr="00A84B64" w:rsidRDefault="005B49D4" w:rsidP="004C773C">
      <w:pPr>
        <w:spacing w:line="360" w:lineRule="auto"/>
        <w:ind w:right="-79"/>
        <w:jc w:val="both"/>
        <w:rPr>
          <w:rFonts w:ascii="Verdana" w:hAnsi="Verdana" w:cs="Arial"/>
          <w:sz w:val="22"/>
          <w:szCs w:val="22"/>
        </w:rPr>
      </w:pPr>
    </w:p>
    <w:p w14:paraId="417EA582" w14:textId="02451CA9" w:rsidR="005B49D4" w:rsidRPr="00A84B64" w:rsidRDefault="00B95A86" w:rsidP="004C773C">
      <w:pPr>
        <w:spacing w:line="360" w:lineRule="auto"/>
        <w:ind w:right="-79"/>
        <w:jc w:val="both"/>
        <w:rPr>
          <w:rFonts w:ascii="Verdana" w:hAnsi="Verdana" w:cs="Arial"/>
          <w:sz w:val="22"/>
          <w:szCs w:val="22"/>
        </w:rPr>
      </w:pPr>
      <w:r w:rsidRPr="00A84B64">
        <w:rPr>
          <w:rFonts w:ascii="Verdana" w:hAnsi="Verdana" w:cs="Arial"/>
          <w:sz w:val="22"/>
          <w:szCs w:val="22"/>
        </w:rPr>
        <w:t>De este modo, l</w:t>
      </w:r>
      <w:r w:rsidR="005B49D4" w:rsidRPr="00A84B64">
        <w:rPr>
          <w:rFonts w:ascii="Verdana" w:hAnsi="Verdana" w:cs="Arial"/>
          <w:sz w:val="22"/>
          <w:szCs w:val="22"/>
        </w:rPr>
        <w:t>as condenas impuestas en primera instancia se resumen así:</w:t>
      </w:r>
    </w:p>
    <w:p w14:paraId="03B61BBD" w14:textId="77777777" w:rsidR="00461362" w:rsidRPr="00A84B64" w:rsidRDefault="00461362" w:rsidP="004C773C">
      <w:pPr>
        <w:spacing w:line="360" w:lineRule="auto"/>
        <w:ind w:right="-79"/>
        <w:jc w:val="both"/>
        <w:rPr>
          <w:rFonts w:ascii="Verdana" w:hAnsi="Verdana" w:cs="Arial"/>
          <w:bCs/>
          <w:sz w:val="22"/>
          <w:szCs w:val="22"/>
        </w:rPr>
      </w:pPr>
    </w:p>
    <w:tbl>
      <w:tblPr>
        <w:tblStyle w:val="Tablaconcuadrcula"/>
        <w:tblW w:w="0" w:type="auto"/>
        <w:tblLook w:val="04A0" w:firstRow="1" w:lastRow="0" w:firstColumn="1" w:lastColumn="0" w:noHBand="0" w:noVBand="1"/>
      </w:tblPr>
      <w:tblGrid>
        <w:gridCol w:w="3539"/>
        <w:gridCol w:w="3119"/>
        <w:gridCol w:w="2172"/>
      </w:tblGrid>
      <w:tr w:rsidR="0089738D" w:rsidRPr="00A84B64" w14:paraId="52C0CA7F" w14:textId="77777777" w:rsidTr="00887590">
        <w:tc>
          <w:tcPr>
            <w:tcW w:w="3539" w:type="dxa"/>
            <w:vAlign w:val="center"/>
          </w:tcPr>
          <w:p w14:paraId="66264E7B" w14:textId="77777777" w:rsidR="0089738D" w:rsidRPr="00A84B64" w:rsidRDefault="0089738D" w:rsidP="005F4297">
            <w:pPr>
              <w:jc w:val="center"/>
              <w:rPr>
                <w:rFonts w:ascii="Verdana" w:hAnsi="Verdana" w:cs="Arial"/>
                <w:b/>
                <w:sz w:val="22"/>
                <w:szCs w:val="22"/>
              </w:rPr>
            </w:pPr>
            <w:r w:rsidRPr="00A84B64">
              <w:rPr>
                <w:rFonts w:ascii="Verdana" w:hAnsi="Verdana" w:cs="Arial"/>
                <w:b/>
                <w:sz w:val="22"/>
                <w:szCs w:val="22"/>
              </w:rPr>
              <w:t>NOMBRE</w:t>
            </w:r>
          </w:p>
        </w:tc>
        <w:tc>
          <w:tcPr>
            <w:tcW w:w="3119" w:type="dxa"/>
            <w:vAlign w:val="center"/>
          </w:tcPr>
          <w:p w14:paraId="669DA677" w14:textId="77777777" w:rsidR="0089738D" w:rsidRPr="00A84B64" w:rsidRDefault="0089738D" w:rsidP="005F4297">
            <w:pPr>
              <w:jc w:val="center"/>
              <w:rPr>
                <w:rFonts w:ascii="Verdana" w:hAnsi="Verdana" w:cs="Arial"/>
                <w:b/>
                <w:sz w:val="22"/>
                <w:szCs w:val="22"/>
              </w:rPr>
            </w:pPr>
            <w:r w:rsidRPr="00A84B64">
              <w:rPr>
                <w:rFonts w:ascii="Verdana" w:hAnsi="Verdana" w:cs="Arial"/>
                <w:b/>
                <w:sz w:val="22"/>
                <w:szCs w:val="22"/>
              </w:rPr>
              <w:t>CONCEPTO</w:t>
            </w:r>
          </w:p>
        </w:tc>
        <w:tc>
          <w:tcPr>
            <w:tcW w:w="2172" w:type="dxa"/>
            <w:vAlign w:val="center"/>
          </w:tcPr>
          <w:p w14:paraId="4907FEA5" w14:textId="77777777" w:rsidR="0089738D" w:rsidRPr="00A84B64" w:rsidRDefault="0089738D" w:rsidP="005F4297">
            <w:pPr>
              <w:jc w:val="center"/>
              <w:rPr>
                <w:rFonts w:ascii="Verdana" w:hAnsi="Verdana" w:cs="Arial"/>
                <w:b/>
                <w:sz w:val="22"/>
                <w:szCs w:val="22"/>
              </w:rPr>
            </w:pPr>
            <w:r w:rsidRPr="00A84B64">
              <w:rPr>
                <w:rFonts w:ascii="Verdana" w:hAnsi="Verdana" w:cs="Arial"/>
                <w:b/>
                <w:sz w:val="22"/>
                <w:szCs w:val="22"/>
              </w:rPr>
              <w:t>VALOR</w:t>
            </w:r>
          </w:p>
        </w:tc>
      </w:tr>
      <w:tr w:rsidR="0089738D" w:rsidRPr="00A84B64" w14:paraId="5C39F3B4" w14:textId="77777777" w:rsidTr="00887590">
        <w:tc>
          <w:tcPr>
            <w:tcW w:w="3539" w:type="dxa"/>
            <w:vMerge w:val="restart"/>
            <w:vAlign w:val="center"/>
          </w:tcPr>
          <w:p w14:paraId="492539B6"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Luis Eduardo Ávila Gaitán (víctima directa)</w:t>
            </w:r>
          </w:p>
        </w:tc>
        <w:tc>
          <w:tcPr>
            <w:tcW w:w="3119" w:type="dxa"/>
            <w:vAlign w:val="center"/>
          </w:tcPr>
          <w:p w14:paraId="3423D136"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Daño emergente consolidado</w:t>
            </w:r>
          </w:p>
        </w:tc>
        <w:tc>
          <w:tcPr>
            <w:tcW w:w="2172" w:type="dxa"/>
            <w:vAlign w:val="center"/>
          </w:tcPr>
          <w:p w14:paraId="5D1DD324"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$251.750</w:t>
            </w:r>
          </w:p>
        </w:tc>
      </w:tr>
      <w:tr w:rsidR="0089738D" w:rsidRPr="00A84B64" w14:paraId="35955C73" w14:textId="77777777" w:rsidTr="00887590">
        <w:tc>
          <w:tcPr>
            <w:tcW w:w="3539" w:type="dxa"/>
            <w:vMerge/>
            <w:vAlign w:val="center"/>
          </w:tcPr>
          <w:p w14:paraId="3647223F" w14:textId="77777777" w:rsidR="0089738D" w:rsidRPr="00A84B64" w:rsidRDefault="0089738D" w:rsidP="005F4297">
            <w:pPr>
              <w:jc w:val="center"/>
              <w:rPr>
                <w:rFonts w:ascii="Verdana" w:hAnsi="Verdana" w:cs="Arial"/>
                <w:sz w:val="22"/>
                <w:szCs w:val="22"/>
              </w:rPr>
            </w:pPr>
          </w:p>
        </w:tc>
        <w:tc>
          <w:tcPr>
            <w:tcW w:w="3119" w:type="dxa"/>
            <w:vAlign w:val="center"/>
          </w:tcPr>
          <w:p w14:paraId="61F9AD44"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Lucro cesante futuro</w:t>
            </w:r>
          </w:p>
        </w:tc>
        <w:tc>
          <w:tcPr>
            <w:tcW w:w="2172" w:type="dxa"/>
            <w:vAlign w:val="center"/>
          </w:tcPr>
          <w:p w14:paraId="4278F680"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$48.632.000</w:t>
            </w:r>
          </w:p>
        </w:tc>
      </w:tr>
      <w:tr w:rsidR="0089738D" w:rsidRPr="00A84B64" w14:paraId="2EEAD005" w14:textId="77777777" w:rsidTr="00887590">
        <w:tc>
          <w:tcPr>
            <w:tcW w:w="3539" w:type="dxa"/>
            <w:vMerge/>
            <w:vAlign w:val="center"/>
          </w:tcPr>
          <w:p w14:paraId="3E087A59" w14:textId="77777777" w:rsidR="0089738D" w:rsidRPr="00A84B64" w:rsidRDefault="0089738D" w:rsidP="005F4297">
            <w:pPr>
              <w:jc w:val="center"/>
              <w:rPr>
                <w:rFonts w:ascii="Verdana" w:hAnsi="Verdana" w:cs="Arial"/>
                <w:sz w:val="22"/>
                <w:szCs w:val="22"/>
              </w:rPr>
            </w:pPr>
          </w:p>
        </w:tc>
        <w:tc>
          <w:tcPr>
            <w:tcW w:w="3119" w:type="dxa"/>
            <w:vAlign w:val="center"/>
          </w:tcPr>
          <w:p w14:paraId="664A889D"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Daño a la salud</w:t>
            </w:r>
          </w:p>
        </w:tc>
        <w:tc>
          <w:tcPr>
            <w:tcW w:w="2172" w:type="dxa"/>
            <w:vAlign w:val="center"/>
          </w:tcPr>
          <w:p w14:paraId="5467D889"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 xml:space="preserve">40 </w:t>
            </w:r>
            <w:proofErr w:type="spellStart"/>
            <w:r w:rsidRPr="00A84B64">
              <w:rPr>
                <w:rFonts w:ascii="Verdana" w:hAnsi="Verdana" w:cs="Arial"/>
                <w:sz w:val="22"/>
                <w:szCs w:val="22"/>
              </w:rPr>
              <w:t>smlmv</w:t>
            </w:r>
            <w:proofErr w:type="spellEnd"/>
          </w:p>
        </w:tc>
      </w:tr>
      <w:tr w:rsidR="0089738D" w:rsidRPr="00A84B64" w14:paraId="3CB2174A" w14:textId="77777777" w:rsidTr="00887590">
        <w:tc>
          <w:tcPr>
            <w:tcW w:w="3539" w:type="dxa"/>
            <w:vMerge/>
            <w:vAlign w:val="center"/>
          </w:tcPr>
          <w:p w14:paraId="013B17E7" w14:textId="77777777" w:rsidR="0089738D" w:rsidRPr="00A84B64" w:rsidRDefault="0089738D" w:rsidP="005F4297">
            <w:pPr>
              <w:jc w:val="center"/>
              <w:rPr>
                <w:rFonts w:ascii="Verdana" w:hAnsi="Verdana" w:cs="Arial"/>
                <w:sz w:val="22"/>
                <w:szCs w:val="22"/>
              </w:rPr>
            </w:pPr>
          </w:p>
        </w:tc>
        <w:tc>
          <w:tcPr>
            <w:tcW w:w="3119" w:type="dxa"/>
            <w:vAlign w:val="center"/>
          </w:tcPr>
          <w:p w14:paraId="5310A25A"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Daño moral</w:t>
            </w:r>
          </w:p>
        </w:tc>
        <w:tc>
          <w:tcPr>
            <w:tcW w:w="2172" w:type="dxa"/>
            <w:vAlign w:val="center"/>
          </w:tcPr>
          <w:p w14:paraId="403141B2"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 xml:space="preserve">40 </w:t>
            </w:r>
            <w:proofErr w:type="spellStart"/>
            <w:r w:rsidRPr="00A84B64">
              <w:rPr>
                <w:rFonts w:ascii="Verdana" w:hAnsi="Verdana" w:cs="Arial"/>
                <w:sz w:val="22"/>
                <w:szCs w:val="22"/>
              </w:rPr>
              <w:t>smlmv</w:t>
            </w:r>
            <w:proofErr w:type="spellEnd"/>
          </w:p>
        </w:tc>
      </w:tr>
      <w:tr w:rsidR="0089738D" w:rsidRPr="00A84B64" w14:paraId="6A4310DE" w14:textId="77777777" w:rsidTr="00887590">
        <w:tc>
          <w:tcPr>
            <w:tcW w:w="3539" w:type="dxa"/>
            <w:vAlign w:val="center"/>
          </w:tcPr>
          <w:p w14:paraId="1734529E"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lastRenderedPageBreak/>
              <w:t>Luz Miriam Gaitán Aguilar (madre)</w:t>
            </w:r>
          </w:p>
        </w:tc>
        <w:tc>
          <w:tcPr>
            <w:tcW w:w="3119" w:type="dxa"/>
            <w:vMerge w:val="restart"/>
            <w:vAlign w:val="center"/>
          </w:tcPr>
          <w:p w14:paraId="4D523DFB"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Daño moral</w:t>
            </w:r>
          </w:p>
        </w:tc>
        <w:tc>
          <w:tcPr>
            <w:tcW w:w="2172" w:type="dxa"/>
            <w:vAlign w:val="center"/>
          </w:tcPr>
          <w:p w14:paraId="6720A411"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 xml:space="preserve">40 </w:t>
            </w:r>
            <w:proofErr w:type="spellStart"/>
            <w:r w:rsidRPr="00A84B64">
              <w:rPr>
                <w:rFonts w:ascii="Verdana" w:hAnsi="Verdana" w:cs="Arial"/>
                <w:sz w:val="22"/>
                <w:szCs w:val="22"/>
              </w:rPr>
              <w:t>smlmv</w:t>
            </w:r>
            <w:proofErr w:type="spellEnd"/>
          </w:p>
        </w:tc>
      </w:tr>
      <w:tr w:rsidR="0089738D" w:rsidRPr="00A84B64" w14:paraId="5BBA9F81" w14:textId="77777777" w:rsidTr="00887590">
        <w:tc>
          <w:tcPr>
            <w:tcW w:w="3539" w:type="dxa"/>
            <w:vAlign w:val="center"/>
          </w:tcPr>
          <w:p w14:paraId="29EAF5AF"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Luis Eduardo Ávila Sierra (padre)</w:t>
            </w:r>
          </w:p>
        </w:tc>
        <w:tc>
          <w:tcPr>
            <w:tcW w:w="3119" w:type="dxa"/>
            <w:vMerge/>
            <w:vAlign w:val="center"/>
          </w:tcPr>
          <w:p w14:paraId="35DFF6AB" w14:textId="77777777" w:rsidR="0089738D" w:rsidRPr="00A84B64" w:rsidRDefault="0089738D" w:rsidP="005F4297">
            <w:pPr>
              <w:jc w:val="center"/>
              <w:rPr>
                <w:rFonts w:ascii="Verdana" w:hAnsi="Verdana" w:cs="Arial"/>
                <w:sz w:val="22"/>
                <w:szCs w:val="22"/>
              </w:rPr>
            </w:pPr>
          </w:p>
        </w:tc>
        <w:tc>
          <w:tcPr>
            <w:tcW w:w="2172" w:type="dxa"/>
            <w:vAlign w:val="center"/>
          </w:tcPr>
          <w:p w14:paraId="6C06CB85"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 xml:space="preserve">40 </w:t>
            </w:r>
            <w:proofErr w:type="spellStart"/>
            <w:r w:rsidRPr="00A84B64">
              <w:rPr>
                <w:rFonts w:ascii="Verdana" w:hAnsi="Verdana" w:cs="Arial"/>
                <w:sz w:val="22"/>
                <w:szCs w:val="22"/>
              </w:rPr>
              <w:t>smlmv</w:t>
            </w:r>
            <w:proofErr w:type="spellEnd"/>
          </w:p>
        </w:tc>
      </w:tr>
      <w:tr w:rsidR="0089738D" w:rsidRPr="00A84B64" w14:paraId="332F2947" w14:textId="77777777" w:rsidTr="00887590">
        <w:tc>
          <w:tcPr>
            <w:tcW w:w="3539" w:type="dxa"/>
            <w:vAlign w:val="center"/>
          </w:tcPr>
          <w:p w14:paraId="2186112D" w14:textId="77777777" w:rsidR="0089738D" w:rsidRPr="00A84B64" w:rsidRDefault="0089738D" w:rsidP="005F4297">
            <w:pPr>
              <w:jc w:val="center"/>
              <w:rPr>
                <w:rFonts w:ascii="Verdana" w:hAnsi="Verdana" w:cs="Arial"/>
                <w:sz w:val="22"/>
                <w:szCs w:val="22"/>
              </w:rPr>
            </w:pPr>
            <w:proofErr w:type="spellStart"/>
            <w:r w:rsidRPr="00A84B64">
              <w:rPr>
                <w:rFonts w:ascii="Verdana" w:hAnsi="Verdana" w:cs="Arial"/>
                <w:sz w:val="22"/>
                <w:szCs w:val="22"/>
              </w:rPr>
              <w:t>Heidy</w:t>
            </w:r>
            <w:proofErr w:type="spellEnd"/>
            <w:r w:rsidRPr="00A84B64">
              <w:rPr>
                <w:rFonts w:ascii="Verdana" w:hAnsi="Verdana" w:cs="Arial"/>
                <w:sz w:val="22"/>
                <w:szCs w:val="22"/>
              </w:rPr>
              <w:t xml:space="preserve"> Valentina Ávila Gaitán (hermana)</w:t>
            </w:r>
          </w:p>
        </w:tc>
        <w:tc>
          <w:tcPr>
            <w:tcW w:w="3119" w:type="dxa"/>
            <w:vMerge/>
            <w:vAlign w:val="center"/>
          </w:tcPr>
          <w:p w14:paraId="2F4DA1BF" w14:textId="77777777" w:rsidR="0089738D" w:rsidRPr="00A84B64" w:rsidRDefault="0089738D" w:rsidP="005F4297">
            <w:pPr>
              <w:jc w:val="center"/>
              <w:rPr>
                <w:rFonts w:ascii="Verdana" w:hAnsi="Verdana" w:cs="Arial"/>
                <w:sz w:val="22"/>
                <w:szCs w:val="22"/>
              </w:rPr>
            </w:pPr>
          </w:p>
        </w:tc>
        <w:tc>
          <w:tcPr>
            <w:tcW w:w="2172" w:type="dxa"/>
            <w:vAlign w:val="center"/>
          </w:tcPr>
          <w:p w14:paraId="5042F148"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 xml:space="preserve">20 </w:t>
            </w:r>
            <w:proofErr w:type="spellStart"/>
            <w:r w:rsidRPr="00A84B64">
              <w:rPr>
                <w:rFonts w:ascii="Verdana" w:hAnsi="Verdana" w:cs="Arial"/>
                <w:sz w:val="22"/>
                <w:szCs w:val="22"/>
              </w:rPr>
              <w:t>smlmv</w:t>
            </w:r>
            <w:proofErr w:type="spellEnd"/>
          </w:p>
        </w:tc>
      </w:tr>
      <w:tr w:rsidR="0089738D" w:rsidRPr="00A84B64" w14:paraId="433B40E0" w14:textId="77777777" w:rsidTr="00887590">
        <w:tc>
          <w:tcPr>
            <w:tcW w:w="3539" w:type="dxa"/>
            <w:vAlign w:val="center"/>
          </w:tcPr>
          <w:p w14:paraId="334F65A1"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Jerónimo Ávila Gaitán (hermano)</w:t>
            </w:r>
          </w:p>
        </w:tc>
        <w:tc>
          <w:tcPr>
            <w:tcW w:w="3119" w:type="dxa"/>
            <w:vMerge/>
            <w:vAlign w:val="center"/>
          </w:tcPr>
          <w:p w14:paraId="07FAAD5B" w14:textId="77777777" w:rsidR="0089738D" w:rsidRPr="00A84B64" w:rsidRDefault="0089738D" w:rsidP="005F4297">
            <w:pPr>
              <w:jc w:val="center"/>
              <w:rPr>
                <w:rFonts w:ascii="Verdana" w:hAnsi="Verdana" w:cs="Arial"/>
                <w:sz w:val="22"/>
                <w:szCs w:val="22"/>
              </w:rPr>
            </w:pPr>
          </w:p>
        </w:tc>
        <w:tc>
          <w:tcPr>
            <w:tcW w:w="2172" w:type="dxa"/>
            <w:vAlign w:val="center"/>
          </w:tcPr>
          <w:p w14:paraId="36D923B2" w14:textId="77777777" w:rsidR="0089738D" w:rsidRPr="00A84B64" w:rsidRDefault="0089738D" w:rsidP="005F4297">
            <w:pPr>
              <w:jc w:val="center"/>
              <w:rPr>
                <w:rFonts w:ascii="Verdana" w:hAnsi="Verdana" w:cs="Arial"/>
                <w:sz w:val="22"/>
                <w:szCs w:val="22"/>
              </w:rPr>
            </w:pPr>
            <w:r w:rsidRPr="00A84B64">
              <w:rPr>
                <w:rFonts w:ascii="Verdana" w:hAnsi="Verdana" w:cs="Arial"/>
                <w:sz w:val="22"/>
                <w:szCs w:val="22"/>
              </w:rPr>
              <w:t xml:space="preserve">20 </w:t>
            </w:r>
            <w:proofErr w:type="spellStart"/>
            <w:r w:rsidRPr="00A84B64">
              <w:rPr>
                <w:rFonts w:ascii="Verdana" w:hAnsi="Verdana" w:cs="Arial"/>
                <w:sz w:val="22"/>
                <w:szCs w:val="22"/>
              </w:rPr>
              <w:t>smlmv</w:t>
            </w:r>
            <w:proofErr w:type="spellEnd"/>
          </w:p>
        </w:tc>
      </w:tr>
    </w:tbl>
    <w:p w14:paraId="116B8DA9" w14:textId="77777777" w:rsidR="0089738D" w:rsidRPr="00A84B64" w:rsidRDefault="0089738D" w:rsidP="004C773C">
      <w:pPr>
        <w:spacing w:line="360" w:lineRule="auto"/>
        <w:ind w:right="-79"/>
        <w:jc w:val="both"/>
        <w:rPr>
          <w:rFonts w:ascii="Verdana" w:hAnsi="Verdana" w:cs="Arial"/>
          <w:b/>
          <w:sz w:val="22"/>
          <w:szCs w:val="22"/>
        </w:rPr>
      </w:pPr>
    </w:p>
    <w:p w14:paraId="295FD460" w14:textId="442AB957" w:rsidR="004C773C" w:rsidRPr="00A84B64" w:rsidRDefault="00165D24" w:rsidP="004C773C">
      <w:pPr>
        <w:spacing w:line="360" w:lineRule="auto"/>
        <w:ind w:right="-79"/>
        <w:jc w:val="both"/>
        <w:rPr>
          <w:rFonts w:ascii="Verdana" w:hAnsi="Verdana" w:cs="Arial"/>
          <w:sz w:val="22"/>
          <w:szCs w:val="22"/>
        </w:rPr>
      </w:pPr>
      <w:r w:rsidRPr="00A84B64">
        <w:rPr>
          <w:rFonts w:ascii="Verdana" w:hAnsi="Verdana" w:cs="Arial"/>
          <w:sz w:val="22"/>
          <w:szCs w:val="22"/>
        </w:rPr>
        <w:t>Respecto a estas condenas, l</w:t>
      </w:r>
      <w:r w:rsidR="004C773C" w:rsidRPr="00A84B64">
        <w:rPr>
          <w:rFonts w:ascii="Verdana" w:hAnsi="Verdana" w:cs="Arial"/>
          <w:sz w:val="22"/>
          <w:szCs w:val="22"/>
        </w:rPr>
        <w:t>a parte demandante solicitó en el recurso de apelación, el reconocimiento de los perjuicios materiales en la modalidad de lucro cesante consolidado,</w:t>
      </w:r>
      <w:r w:rsidR="0089738D" w:rsidRPr="00A84B64">
        <w:rPr>
          <w:rFonts w:ascii="Verdana" w:hAnsi="Verdana" w:cs="Arial"/>
          <w:sz w:val="22"/>
          <w:szCs w:val="22"/>
        </w:rPr>
        <w:t xml:space="preserve"> </w:t>
      </w:r>
      <w:r w:rsidR="004C773C" w:rsidRPr="00A84B64">
        <w:rPr>
          <w:rFonts w:ascii="Verdana" w:hAnsi="Verdana" w:cs="Arial"/>
          <w:sz w:val="22"/>
          <w:szCs w:val="22"/>
        </w:rPr>
        <w:t>causados desde el 11 de junio del año 2016 (fecha de causación del daño) hasta el 26 de junio del año 2020 (fecha de la sentencia de primera instancia), irrogados al actor por la entidad demandada INPEC.</w:t>
      </w:r>
    </w:p>
    <w:p w14:paraId="6343547B" w14:textId="77777777" w:rsidR="00165D24" w:rsidRPr="00A84B64" w:rsidRDefault="00165D24" w:rsidP="00E566CD">
      <w:pPr>
        <w:spacing w:line="360" w:lineRule="auto"/>
        <w:ind w:right="-79"/>
        <w:jc w:val="both"/>
        <w:rPr>
          <w:rFonts w:ascii="Verdana" w:hAnsi="Verdana"/>
          <w:sz w:val="22"/>
          <w:szCs w:val="22"/>
        </w:rPr>
      </w:pPr>
    </w:p>
    <w:p w14:paraId="3A675992" w14:textId="3182A660" w:rsidR="00E566CD" w:rsidRPr="00A84B64" w:rsidRDefault="00E566CD" w:rsidP="00E566CD">
      <w:pPr>
        <w:spacing w:line="360" w:lineRule="auto"/>
        <w:ind w:right="-79"/>
        <w:jc w:val="both"/>
        <w:rPr>
          <w:rFonts w:ascii="Verdana" w:hAnsi="Verdana"/>
          <w:sz w:val="22"/>
          <w:szCs w:val="22"/>
        </w:rPr>
      </w:pPr>
      <w:r w:rsidRPr="00A84B64">
        <w:rPr>
          <w:rFonts w:ascii="Verdana" w:hAnsi="Verdana"/>
          <w:sz w:val="22"/>
          <w:szCs w:val="22"/>
        </w:rPr>
        <w:t xml:space="preserve">En ese orden de ideas, luego de revisar el escrito de demanda la Sala observa que no se encuentra petición expresa solicitando la </w:t>
      </w:r>
      <w:r w:rsidRPr="00A84B64">
        <w:rPr>
          <w:rFonts w:ascii="Verdana" w:hAnsi="Verdana"/>
          <w:sz w:val="22"/>
          <w:szCs w:val="22"/>
          <w:u w:val="single"/>
        </w:rPr>
        <w:t>indemnización por lucro cesante consolidado</w:t>
      </w:r>
      <w:r w:rsidRPr="00A84B64">
        <w:rPr>
          <w:rFonts w:ascii="Verdana" w:hAnsi="Verdana"/>
          <w:sz w:val="22"/>
          <w:szCs w:val="22"/>
        </w:rPr>
        <w:t xml:space="preserve">, sino que la parte accionante únicamente se limitó a solicitar el reconocimiento </w:t>
      </w:r>
      <w:r w:rsidRPr="00A84B64">
        <w:rPr>
          <w:rFonts w:ascii="Verdana" w:hAnsi="Verdana"/>
          <w:i/>
          <w:iCs/>
          <w:sz w:val="22"/>
          <w:szCs w:val="22"/>
        </w:rPr>
        <w:t xml:space="preserve">“por concepto de </w:t>
      </w:r>
      <w:r w:rsidR="009673BA" w:rsidRPr="00A84B64">
        <w:rPr>
          <w:rFonts w:ascii="Verdana" w:hAnsi="Verdana"/>
          <w:i/>
          <w:iCs/>
          <w:sz w:val="22"/>
          <w:szCs w:val="22"/>
        </w:rPr>
        <w:t>i</w:t>
      </w:r>
      <w:r w:rsidRPr="00A84B64">
        <w:rPr>
          <w:rFonts w:ascii="Verdana" w:hAnsi="Verdana"/>
          <w:i/>
          <w:iCs/>
          <w:sz w:val="22"/>
          <w:szCs w:val="22"/>
        </w:rPr>
        <w:t>ndemnización integral de PERJUICIOS MATERIALES (</w:t>
      </w:r>
      <w:r w:rsidRPr="00A84B64">
        <w:rPr>
          <w:rFonts w:ascii="Verdana" w:hAnsi="Verdana"/>
          <w:b/>
          <w:bCs/>
          <w:i/>
          <w:iCs/>
          <w:sz w:val="22"/>
          <w:szCs w:val="22"/>
        </w:rPr>
        <w:t>Lucro Cesante Futuro</w:t>
      </w:r>
      <w:r w:rsidRPr="00A84B64">
        <w:rPr>
          <w:rFonts w:ascii="Verdana" w:hAnsi="Verdana"/>
          <w:i/>
          <w:iCs/>
          <w:sz w:val="22"/>
          <w:szCs w:val="22"/>
        </w:rPr>
        <w:t>)</w:t>
      </w:r>
      <w:r w:rsidRPr="00A84B64">
        <w:rPr>
          <w:rFonts w:ascii="Verdana" w:hAnsi="Verdana"/>
          <w:sz w:val="22"/>
          <w:szCs w:val="22"/>
        </w:rPr>
        <w:t>” en el acápite denominado “Declaraciones y condenas” y además, luego de realizada la evaluación integral del líbelo introductorio no se logró establecer la solicitud de indemnización por dicho concepto.</w:t>
      </w:r>
    </w:p>
    <w:p w14:paraId="00A0F86F" w14:textId="77777777" w:rsidR="00E566CD" w:rsidRPr="00A84B64" w:rsidRDefault="00E566CD" w:rsidP="6AD07303">
      <w:pPr>
        <w:spacing w:line="360" w:lineRule="auto"/>
        <w:ind w:right="-79"/>
        <w:jc w:val="both"/>
        <w:rPr>
          <w:rFonts w:ascii="Verdana" w:hAnsi="Verdana" w:cs="Arial"/>
          <w:sz w:val="22"/>
          <w:szCs w:val="22"/>
        </w:rPr>
      </w:pPr>
    </w:p>
    <w:p w14:paraId="34EA1B39" w14:textId="12C3A031" w:rsidR="001D3F8D" w:rsidRPr="00A84B64" w:rsidRDefault="00165D24" w:rsidP="004C773C">
      <w:pPr>
        <w:spacing w:line="360" w:lineRule="auto"/>
        <w:ind w:right="-79"/>
        <w:jc w:val="both"/>
        <w:rPr>
          <w:rFonts w:ascii="Verdana" w:hAnsi="Verdana" w:cs="Arial"/>
          <w:sz w:val="22"/>
          <w:szCs w:val="22"/>
        </w:rPr>
      </w:pPr>
      <w:r w:rsidRPr="00A84B64">
        <w:rPr>
          <w:rFonts w:ascii="Verdana" w:hAnsi="Verdana" w:cs="Arial"/>
          <w:sz w:val="22"/>
          <w:szCs w:val="22"/>
        </w:rPr>
        <w:t>En ese sentido</w:t>
      </w:r>
      <w:r w:rsidR="004C773C" w:rsidRPr="00A84B64">
        <w:rPr>
          <w:rFonts w:ascii="Verdana" w:hAnsi="Verdana" w:cs="Arial"/>
          <w:sz w:val="22"/>
          <w:szCs w:val="22"/>
        </w:rPr>
        <w:t>, el Consejo de Estado</w:t>
      </w:r>
      <w:r w:rsidR="004C773C" w:rsidRPr="00A84B64">
        <w:rPr>
          <w:rStyle w:val="Refdenotaalpie"/>
          <w:rFonts w:ascii="Verdana" w:hAnsi="Verdana"/>
          <w:sz w:val="22"/>
          <w:szCs w:val="22"/>
        </w:rPr>
        <w:footnoteReference w:id="18"/>
      </w:r>
      <w:r w:rsidR="004C773C" w:rsidRPr="00A84B64">
        <w:rPr>
          <w:rFonts w:ascii="Verdana" w:hAnsi="Verdana" w:cs="Arial"/>
          <w:sz w:val="22"/>
          <w:szCs w:val="22"/>
        </w:rPr>
        <w:t xml:space="preserve"> ha señalado que la </w:t>
      </w:r>
      <w:r w:rsidRPr="00A84B64">
        <w:rPr>
          <w:rFonts w:ascii="Verdana" w:hAnsi="Verdana" w:cs="Arial"/>
          <w:sz w:val="22"/>
          <w:szCs w:val="22"/>
        </w:rPr>
        <w:t>J</w:t>
      </w:r>
      <w:r w:rsidR="004C773C" w:rsidRPr="00A84B64">
        <w:rPr>
          <w:rFonts w:ascii="Verdana" w:hAnsi="Verdana" w:cs="Arial"/>
          <w:sz w:val="22"/>
          <w:szCs w:val="22"/>
        </w:rPr>
        <w:t xml:space="preserve">urisdicción </w:t>
      </w:r>
      <w:r w:rsidRPr="00A84B64">
        <w:rPr>
          <w:rFonts w:ascii="Verdana" w:hAnsi="Verdana" w:cs="Arial"/>
          <w:sz w:val="22"/>
          <w:szCs w:val="22"/>
        </w:rPr>
        <w:t>C</w:t>
      </w:r>
      <w:r w:rsidR="004C773C" w:rsidRPr="00A84B64">
        <w:rPr>
          <w:rFonts w:ascii="Verdana" w:hAnsi="Verdana" w:cs="Arial"/>
          <w:sz w:val="22"/>
          <w:szCs w:val="22"/>
        </w:rPr>
        <w:t xml:space="preserve">ontencioso </w:t>
      </w:r>
      <w:r w:rsidRPr="00A84B64">
        <w:rPr>
          <w:rFonts w:ascii="Verdana" w:hAnsi="Verdana" w:cs="Arial"/>
          <w:sz w:val="22"/>
          <w:szCs w:val="22"/>
        </w:rPr>
        <w:t>A</w:t>
      </w:r>
      <w:r w:rsidR="004C773C" w:rsidRPr="00A84B64">
        <w:rPr>
          <w:rFonts w:ascii="Verdana" w:hAnsi="Verdana" w:cs="Arial"/>
          <w:sz w:val="22"/>
          <w:szCs w:val="22"/>
        </w:rPr>
        <w:t xml:space="preserve">dministrativa es de carácter rogado </w:t>
      </w:r>
      <w:r w:rsidR="663D878C" w:rsidRPr="00A84B64">
        <w:rPr>
          <w:rFonts w:ascii="Verdana" w:hAnsi="Verdana" w:cs="Arial"/>
          <w:sz w:val="22"/>
          <w:szCs w:val="22"/>
        </w:rPr>
        <w:t>y,</w:t>
      </w:r>
      <w:r w:rsidR="004C773C" w:rsidRPr="00A84B64">
        <w:rPr>
          <w:rFonts w:ascii="Verdana" w:hAnsi="Verdana" w:cs="Arial"/>
          <w:sz w:val="22"/>
          <w:szCs w:val="22"/>
        </w:rPr>
        <w:t xml:space="preserve"> por tanto</w:t>
      </w:r>
      <w:r w:rsidR="001D3F8D" w:rsidRPr="00A84B64">
        <w:rPr>
          <w:rFonts w:ascii="Verdana" w:hAnsi="Verdana" w:cs="Arial"/>
          <w:sz w:val="22"/>
          <w:szCs w:val="22"/>
        </w:rPr>
        <w:t>,</w:t>
      </w:r>
      <w:r w:rsidR="004C773C" w:rsidRPr="00A84B64">
        <w:rPr>
          <w:rFonts w:ascii="Verdana" w:hAnsi="Verdana" w:cs="Arial"/>
          <w:sz w:val="22"/>
          <w:szCs w:val="22"/>
        </w:rPr>
        <w:t xml:space="preserve"> el juez de segunda instancia solo debe pronunciarse sobre temas que hayan sido objeto de debate por las partes procesales, dado que el no atender a dicho criterio vulneraría garantías fundamentales al derecho de defensa y el derecho de contradicción. </w:t>
      </w:r>
    </w:p>
    <w:p w14:paraId="217E0193" w14:textId="77777777" w:rsidR="001D3F8D" w:rsidRPr="00A84B64" w:rsidRDefault="001D3F8D" w:rsidP="004C773C">
      <w:pPr>
        <w:spacing w:line="360" w:lineRule="auto"/>
        <w:ind w:right="-79"/>
        <w:jc w:val="both"/>
        <w:rPr>
          <w:rFonts w:ascii="Verdana" w:hAnsi="Verdana" w:cs="Arial"/>
          <w:sz w:val="22"/>
          <w:szCs w:val="22"/>
        </w:rPr>
      </w:pPr>
    </w:p>
    <w:p w14:paraId="6D45C7F6" w14:textId="087FE286" w:rsidR="004C773C" w:rsidRPr="00A84B64" w:rsidRDefault="000B7787" w:rsidP="004C773C">
      <w:pPr>
        <w:spacing w:line="360" w:lineRule="auto"/>
        <w:ind w:right="-79"/>
        <w:jc w:val="both"/>
        <w:rPr>
          <w:rFonts w:ascii="Verdana" w:hAnsi="Verdana"/>
          <w:sz w:val="22"/>
          <w:szCs w:val="22"/>
        </w:rPr>
      </w:pPr>
      <w:r w:rsidRPr="00A84B64">
        <w:rPr>
          <w:rFonts w:ascii="Verdana" w:hAnsi="Verdana"/>
          <w:sz w:val="22"/>
          <w:szCs w:val="22"/>
        </w:rPr>
        <w:t xml:space="preserve">Específicamente en lo que tiene que ver con el lucro cesante, el </w:t>
      </w:r>
      <w:r w:rsidR="00165D24" w:rsidRPr="00A84B64">
        <w:rPr>
          <w:rFonts w:ascii="Verdana" w:hAnsi="Verdana"/>
          <w:sz w:val="22"/>
          <w:szCs w:val="22"/>
        </w:rPr>
        <w:t xml:space="preserve">Consejo de Estado, </w:t>
      </w:r>
      <w:r w:rsidRPr="00A84B64">
        <w:rPr>
          <w:rFonts w:ascii="Verdana" w:hAnsi="Verdana"/>
          <w:sz w:val="22"/>
          <w:szCs w:val="22"/>
        </w:rPr>
        <w:t xml:space="preserve">Sección Tercera, en </w:t>
      </w:r>
      <w:r w:rsidR="00165D24" w:rsidRPr="00A84B64">
        <w:rPr>
          <w:rFonts w:ascii="Verdana" w:hAnsi="Verdana"/>
          <w:sz w:val="22"/>
          <w:szCs w:val="22"/>
        </w:rPr>
        <w:t xml:space="preserve">Sentencia de Unificación </w:t>
      </w:r>
      <w:bookmarkStart w:id="11" w:name="_Hlk94060855"/>
      <w:r w:rsidR="00165D24" w:rsidRPr="00A84B64">
        <w:rPr>
          <w:rFonts w:ascii="Verdana" w:hAnsi="Verdana"/>
          <w:sz w:val="22"/>
          <w:szCs w:val="22"/>
        </w:rPr>
        <w:t>del 18 de julio de 2019, expediente 44.572</w:t>
      </w:r>
      <w:r w:rsidRPr="00A84B64">
        <w:rPr>
          <w:rFonts w:ascii="Verdana" w:hAnsi="Verdana"/>
          <w:sz w:val="22"/>
          <w:szCs w:val="22"/>
        </w:rPr>
        <w:t>, señaló:</w:t>
      </w:r>
    </w:p>
    <w:p w14:paraId="2D21F14B" w14:textId="77777777" w:rsidR="000B7787" w:rsidRPr="00A84B64" w:rsidRDefault="000B7787" w:rsidP="004C773C">
      <w:pPr>
        <w:spacing w:line="360" w:lineRule="auto"/>
        <w:ind w:right="-79"/>
        <w:jc w:val="both"/>
        <w:rPr>
          <w:rFonts w:ascii="Verdana" w:hAnsi="Verdana"/>
          <w:sz w:val="22"/>
          <w:szCs w:val="22"/>
        </w:rPr>
      </w:pPr>
    </w:p>
    <w:p w14:paraId="63422E42" w14:textId="612A0805" w:rsidR="000B7787" w:rsidRPr="00A84B64" w:rsidRDefault="000B7787" w:rsidP="000B7787">
      <w:pPr>
        <w:spacing w:line="276" w:lineRule="auto"/>
        <w:ind w:left="708" w:right="-79"/>
        <w:jc w:val="both"/>
        <w:rPr>
          <w:rFonts w:ascii="Verdana" w:hAnsi="Verdana"/>
          <w:i/>
          <w:iCs/>
          <w:sz w:val="22"/>
          <w:szCs w:val="22"/>
        </w:rPr>
      </w:pPr>
      <w:r w:rsidRPr="00A84B64">
        <w:rPr>
          <w:rFonts w:ascii="Verdana" w:hAnsi="Verdana"/>
          <w:i/>
          <w:iCs/>
          <w:sz w:val="22"/>
          <w:szCs w:val="22"/>
        </w:rPr>
        <w:t>“</w:t>
      </w:r>
      <w:r w:rsidRPr="00A84B64">
        <w:rPr>
          <w:rFonts w:ascii="Verdana" w:hAnsi="Verdana"/>
          <w:b/>
          <w:bCs/>
          <w:i/>
          <w:iCs/>
          <w:sz w:val="22"/>
          <w:szCs w:val="22"/>
        </w:rPr>
        <w:t>Por concepto de lucro cesante sólo se puede conceder lo que se pida en la demanda</w:t>
      </w:r>
      <w:r w:rsidRPr="00A84B64">
        <w:rPr>
          <w:rFonts w:ascii="Verdana" w:hAnsi="Verdana"/>
          <w:i/>
          <w:iCs/>
          <w:sz w:val="22"/>
          <w:szCs w:val="22"/>
        </w:rPr>
        <w:t xml:space="preserve">, de forma tal que no puede hacerse ningún reconocimiento oficioso por parte del juez de la reparación directa; </w:t>
      </w:r>
      <w:r w:rsidRPr="00A84B64">
        <w:rPr>
          <w:rFonts w:ascii="Verdana" w:hAnsi="Verdana"/>
          <w:b/>
          <w:bCs/>
          <w:i/>
          <w:iCs/>
          <w:sz w:val="22"/>
          <w:szCs w:val="22"/>
        </w:rPr>
        <w:t>así, lo que no se pida en la demanda no puede ser objeto de reconocimiento alguno</w:t>
      </w:r>
      <w:bookmarkEnd w:id="11"/>
      <w:r w:rsidRPr="00A84B64">
        <w:rPr>
          <w:rFonts w:ascii="Verdana" w:hAnsi="Verdana"/>
          <w:i/>
          <w:iCs/>
          <w:sz w:val="22"/>
          <w:szCs w:val="22"/>
        </w:rPr>
        <w:t xml:space="preserve">”. </w:t>
      </w:r>
      <w:r w:rsidRPr="00A84B64">
        <w:rPr>
          <w:rFonts w:ascii="Verdana" w:hAnsi="Verdana"/>
          <w:sz w:val="22"/>
          <w:szCs w:val="22"/>
        </w:rPr>
        <w:t>(negrilla fuera de texto).</w:t>
      </w:r>
    </w:p>
    <w:p w14:paraId="2721F012" w14:textId="248288DA" w:rsidR="004C773C" w:rsidRPr="00A84B64" w:rsidRDefault="004C773C" w:rsidP="004C773C">
      <w:pPr>
        <w:spacing w:line="360" w:lineRule="auto"/>
        <w:ind w:right="-79"/>
        <w:jc w:val="both"/>
        <w:rPr>
          <w:rFonts w:ascii="Verdana" w:hAnsi="Verdana"/>
          <w:sz w:val="22"/>
          <w:szCs w:val="22"/>
        </w:rPr>
      </w:pPr>
    </w:p>
    <w:p w14:paraId="3EC8CF4A" w14:textId="742E264C" w:rsidR="000B7787" w:rsidRPr="00A84B64" w:rsidRDefault="000B7787" w:rsidP="004C773C">
      <w:pPr>
        <w:spacing w:line="360" w:lineRule="auto"/>
        <w:ind w:right="-79"/>
        <w:jc w:val="both"/>
        <w:rPr>
          <w:rFonts w:ascii="Verdana" w:hAnsi="Verdana"/>
          <w:sz w:val="22"/>
          <w:szCs w:val="22"/>
        </w:rPr>
      </w:pPr>
      <w:r w:rsidRPr="00A84B64">
        <w:rPr>
          <w:rFonts w:ascii="Verdana" w:hAnsi="Verdana"/>
          <w:sz w:val="22"/>
          <w:szCs w:val="22"/>
        </w:rPr>
        <w:lastRenderedPageBreak/>
        <w:t xml:space="preserve">Si bien la sentencia de unificación citada </w:t>
      </w:r>
      <w:r w:rsidR="007B24F2" w:rsidRPr="00A84B64">
        <w:rPr>
          <w:rFonts w:ascii="Verdana" w:hAnsi="Verdana"/>
          <w:sz w:val="22"/>
          <w:szCs w:val="22"/>
        </w:rPr>
        <w:t>resolvió un caso de privación injusta de la libertad, lo cierto es que en ella se fijaron reglas para los perjuicios de daño emergente y lucro cesante, elementos que son transversales a todos los títulos de imputación.</w:t>
      </w:r>
      <w:r w:rsidR="00370824" w:rsidRPr="00A84B64">
        <w:rPr>
          <w:rFonts w:ascii="Verdana" w:hAnsi="Verdana"/>
          <w:sz w:val="22"/>
          <w:szCs w:val="22"/>
        </w:rPr>
        <w:t xml:space="preserve"> </w:t>
      </w:r>
    </w:p>
    <w:p w14:paraId="14A39E4E" w14:textId="63FCE3F6" w:rsidR="00370824" w:rsidRPr="00A84B64" w:rsidRDefault="00370824" w:rsidP="004C773C">
      <w:pPr>
        <w:spacing w:line="360" w:lineRule="auto"/>
        <w:ind w:right="-79"/>
        <w:jc w:val="both"/>
        <w:rPr>
          <w:rFonts w:ascii="Verdana" w:hAnsi="Verdana"/>
          <w:sz w:val="22"/>
          <w:szCs w:val="22"/>
        </w:rPr>
      </w:pPr>
    </w:p>
    <w:p w14:paraId="77C23519" w14:textId="6C2142E5" w:rsidR="00370824" w:rsidRPr="00A84B64" w:rsidRDefault="00370824" w:rsidP="00370824">
      <w:pPr>
        <w:spacing w:line="360" w:lineRule="auto"/>
        <w:ind w:right="-79"/>
        <w:jc w:val="both"/>
        <w:rPr>
          <w:rFonts w:ascii="Verdana" w:hAnsi="Verdana"/>
          <w:sz w:val="22"/>
          <w:szCs w:val="22"/>
        </w:rPr>
      </w:pPr>
      <w:r w:rsidRPr="00A84B64">
        <w:rPr>
          <w:rFonts w:ascii="Verdana" w:hAnsi="Verdana"/>
          <w:sz w:val="22"/>
          <w:szCs w:val="22"/>
        </w:rPr>
        <w:t xml:space="preserve">Además, </w:t>
      </w:r>
      <w:r w:rsidR="009673BA" w:rsidRPr="00A84B64">
        <w:rPr>
          <w:rFonts w:ascii="Verdana" w:hAnsi="Verdana"/>
          <w:sz w:val="22"/>
          <w:szCs w:val="22"/>
        </w:rPr>
        <w:t xml:space="preserve">en la parte motiva de </w:t>
      </w:r>
      <w:r w:rsidRPr="00A84B64">
        <w:rPr>
          <w:rFonts w:ascii="Verdana" w:hAnsi="Verdana"/>
          <w:sz w:val="22"/>
          <w:szCs w:val="22"/>
        </w:rPr>
        <w:t>la</w:t>
      </w:r>
      <w:r w:rsidR="009673BA" w:rsidRPr="00A84B64">
        <w:rPr>
          <w:rFonts w:ascii="Verdana" w:hAnsi="Verdana"/>
          <w:sz w:val="22"/>
          <w:szCs w:val="22"/>
        </w:rPr>
        <w:t xml:space="preserve"> sentencia se mencionó que la</w:t>
      </w:r>
      <w:r w:rsidRPr="00A84B64">
        <w:rPr>
          <w:rFonts w:ascii="Verdana" w:hAnsi="Verdana"/>
          <w:sz w:val="22"/>
          <w:szCs w:val="22"/>
        </w:rPr>
        <w:t xml:space="preserve"> Sala Plena de la Sección Tercera avocó el conocimiento del caso “</w:t>
      </w:r>
      <w:r w:rsidRPr="00A84B64">
        <w:rPr>
          <w:rFonts w:ascii="Verdana" w:hAnsi="Verdana"/>
          <w:i/>
          <w:iCs/>
          <w:sz w:val="22"/>
          <w:szCs w:val="22"/>
        </w:rPr>
        <w:t>con el fin de unificar su jurisprudencia en materia de reconocimiento y liquidación de</w:t>
      </w:r>
      <w:r w:rsidR="009673BA" w:rsidRPr="00A84B64">
        <w:rPr>
          <w:rFonts w:ascii="Verdana" w:hAnsi="Verdana"/>
          <w:i/>
          <w:iCs/>
          <w:sz w:val="22"/>
          <w:szCs w:val="22"/>
        </w:rPr>
        <w:t xml:space="preserve"> </w:t>
      </w:r>
      <w:r w:rsidRPr="00A84B64">
        <w:rPr>
          <w:rFonts w:ascii="Verdana" w:hAnsi="Verdana"/>
          <w:i/>
          <w:iCs/>
          <w:sz w:val="22"/>
          <w:szCs w:val="22"/>
        </w:rPr>
        <w:t xml:space="preserve">perjuicios materiales por daño emergente y lucro cesante en los casos de privación injusta de la libertad, </w:t>
      </w:r>
      <w:r w:rsidRPr="00A84B64">
        <w:rPr>
          <w:rFonts w:ascii="Verdana" w:hAnsi="Verdana"/>
          <w:b/>
          <w:bCs/>
          <w:i/>
          <w:iCs/>
          <w:sz w:val="22"/>
          <w:szCs w:val="22"/>
        </w:rPr>
        <w:t>criterios que serán aplicables también a los eventos en los cuales le corresponda al juzgador determinar la existencia y el monto de perjuicios materiales de la misma clase</w:t>
      </w:r>
      <w:r w:rsidRPr="00A84B64">
        <w:rPr>
          <w:rFonts w:ascii="Verdana" w:hAnsi="Verdana"/>
          <w:sz w:val="22"/>
          <w:szCs w:val="22"/>
        </w:rPr>
        <w:t xml:space="preserve">”. </w:t>
      </w:r>
      <w:r w:rsidR="00761EA2" w:rsidRPr="00A84B64">
        <w:rPr>
          <w:rFonts w:ascii="Verdana" w:hAnsi="Verdana"/>
          <w:sz w:val="22"/>
          <w:szCs w:val="22"/>
        </w:rPr>
        <w:t xml:space="preserve">Así mismo, </w:t>
      </w:r>
      <w:r w:rsidRPr="00A84B64">
        <w:rPr>
          <w:rFonts w:ascii="Verdana" w:hAnsi="Verdana"/>
          <w:sz w:val="22"/>
          <w:szCs w:val="22"/>
        </w:rPr>
        <w:t>en la parte resolutiva se indic</w:t>
      </w:r>
      <w:r w:rsidR="009673BA" w:rsidRPr="00A84B64">
        <w:rPr>
          <w:rFonts w:ascii="Verdana" w:hAnsi="Verdana"/>
          <w:sz w:val="22"/>
          <w:szCs w:val="22"/>
        </w:rPr>
        <w:t>ó</w:t>
      </w:r>
      <w:r w:rsidRPr="00A84B64">
        <w:rPr>
          <w:rFonts w:ascii="Verdana" w:hAnsi="Verdana"/>
          <w:sz w:val="22"/>
          <w:szCs w:val="22"/>
        </w:rPr>
        <w:t xml:space="preserve"> expresamente que los criterios establecidos en ella se aplicar</w:t>
      </w:r>
      <w:r w:rsidR="009673BA" w:rsidRPr="00A84B64">
        <w:rPr>
          <w:rFonts w:ascii="Verdana" w:hAnsi="Verdana"/>
          <w:sz w:val="22"/>
          <w:szCs w:val="22"/>
        </w:rPr>
        <w:t>ía</w:t>
      </w:r>
      <w:r w:rsidRPr="00A84B64">
        <w:rPr>
          <w:rFonts w:ascii="Verdana" w:hAnsi="Verdana"/>
          <w:sz w:val="22"/>
          <w:szCs w:val="22"/>
        </w:rPr>
        <w:t>n a los eventos en los cuales correspond</w:t>
      </w:r>
      <w:r w:rsidR="009673BA" w:rsidRPr="00A84B64">
        <w:rPr>
          <w:rFonts w:ascii="Verdana" w:hAnsi="Verdana"/>
          <w:sz w:val="22"/>
          <w:szCs w:val="22"/>
        </w:rPr>
        <w:t xml:space="preserve">iera </w:t>
      </w:r>
      <w:r w:rsidRPr="00A84B64">
        <w:rPr>
          <w:rFonts w:ascii="Verdana" w:hAnsi="Verdana"/>
          <w:sz w:val="22"/>
          <w:szCs w:val="22"/>
        </w:rPr>
        <w:t>al juez determinar la existencia y monto de perjuicios materiales de la misma clase</w:t>
      </w:r>
      <w:r w:rsidR="00761EA2" w:rsidRPr="00A84B64">
        <w:rPr>
          <w:rFonts w:ascii="Verdana" w:hAnsi="Verdana"/>
          <w:sz w:val="22"/>
          <w:szCs w:val="22"/>
        </w:rPr>
        <w:t>.</w:t>
      </w:r>
    </w:p>
    <w:p w14:paraId="58A04456" w14:textId="61361E82" w:rsidR="007B24F2" w:rsidRPr="00A84B64" w:rsidRDefault="007B24F2" w:rsidP="004C773C">
      <w:pPr>
        <w:spacing w:line="360" w:lineRule="auto"/>
        <w:ind w:right="-79"/>
        <w:jc w:val="both"/>
        <w:rPr>
          <w:rFonts w:ascii="Verdana" w:hAnsi="Verdana"/>
          <w:sz w:val="22"/>
          <w:szCs w:val="22"/>
        </w:rPr>
      </w:pPr>
    </w:p>
    <w:p w14:paraId="743D403C" w14:textId="7040F42D" w:rsidR="00761EA2" w:rsidRPr="00A84B64" w:rsidRDefault="009673BA" w:rsidP="004C773C">
      <w:pPr>
        <w:spacing w:line="360" w:lineRule="auto"/>
        <w:ind w:right="-79"/>
        <w:jc w:val="both"/>
        <w:rPr>
          <w:rFonts w:ascii="Verdana" w:hAnsi="Verdana"/>
          <w:sz w:val="22"/>
          <w:szCs w:val="22"/>
        </w:rPr>
      </w:pPr>
      <w:r w:rsidRPr="00A84B64">
        <w:rPr>
          <w:rFonts w:ascii="Verdana" w:hAnsi="Verdana"/>
          <w:sz w:val="22"/>
          <w:szCs w:val="22"/>
        </w:rPr>
        <w:t>En el caso concreto</w:t>
      </w:r>
      <w:r w:rsidR="00C77454" w:rsidRPr="00A84B64">
        <w:rPr>
          <w:rFonts w:ascii="Verdana" w:hAnsi="Verdana"/>
          <w:sz w:val="22"/>
          <w:szCs w:val="22"/>
        </w:rPr>
        <w:t>, como se refirió previamente, en el acápite de “declaraciones y condenas” (</w:t>
      </w:r>
      <w:proofErr w:type="spellStart"/>
      <w:r w:rsidR="00C77454" w:rsidRPr="00A84B64">
        <w:rPr>
          <w:rFonts w:ascii="Verdana" w:hAnsi="Verdana"/>
          <w:sz w:val="22"/>
          <w:szCs w:val="22"/>
        </w:rPr>
        <w:t>fl</w:t>
      </w:r>
      <w:proofErr w:type="spellEnd"/>
      <w:r w:rsidR="00C77454" w:rsidRPr="00A84B64">
        <w:rPr>
          <w:rFonts w:ascii="Verdana" w:hAnsi="Verdana"/>
          <w:sz w:val="22"/>
          <w:szCs w:val="22"/>
        </w:rPr>
        <w:t>. 13), el apoderado de la parte demandante taxativamente hizo referencia a los perjuicios de orden material</w:t>
      </w:r>
      <w:r w:rsidR="002E52FB" w:rsidRPr="00A84B64">
        <w:rPr>
          <w:rFonts w:ascii="Verdana" w:hAnsi="Verdana"/>
          <w:sz w:val="22"/>
          <w:szCs w:val="22"/>
        </w:rPr>
        <w:t xml:space="preserve"> daño emergente y lucro cesante futuro, así:</w:t>
      </w:r>
    </w:p>
    <w:p w14:paraId="06E44EEC" w14:textId="7FB46ED9" w:rsidR="002E52FB" w:rsidRPr="00A84B64" w:rsidRDefault="002E52FB" w:rsidP="004C773C">
      <w:pPr>
        <w:spacing w:line="360" w:lineRule="auto"/>
        <w:ind w:right="-79"/>
        <w:jc w:val="both"/>
        <w:rPr>
          <w:rFonts w:ascii="Verdana" w:hAnsi="Verdana"/>
          <w:sz w:val="22"/>
          <w:szCs w:val="22"/>
        </w:rPr>
      </w:pPr>
    </w:p>
    <w:p w14:paraId="480D8719" w14:textId="2EBF4E55" w:rsidR="002E52FB" w:rsidRPr="00A84B64" w:rsidRDefault="002E52FB" w:rsidP="00A60057">
      <w:pPr>
        <w:spacing w:line="276" w:lineRule="auto"/>
        <w:ind w:right="-79" w:firstLine="708"/>
        <w:jc w:val="both"/>
        <w:rPr>
          <w:rFonts w:ascii="Verdana" w:hAnsi="Verdana"/>
          <w:i/>
          <w:iCs/>
          <w:sz w:val="22"/>
          <w:szCs w:val="22"/>
        </w:rPr>
      </w:pPr>
      <w:r w:rsidRPr="00A84B64">
        <w:rPr>
          <w:rFonts w:ascii="Verdana" w:hAnsi="Verdana"/>
          <w:i/>
          <w:iCs/>
          <w:sz w:val="22"/>
          <w:szCs w:val="22"/>
        </w:rPr>
        <w:t>“DECLARACIONES Y CONDENAS</w:t>
      </w:r>
    </w:p>
    <w:p w14:paraId="076C39BD" w14:textId="5DEFABD9" w:rsidR="002E52FB" w:rsidRPr="00A84B64" w:rsidRDefault="002E52FB" w:rsidP="00A60057">
      <w:pPr>
        <w:spacing w:line="276" w:lineRule="auto"/>
        <w:ind w:right="-79"/>
        <w:jc w:val="both"/>
        <w:rPr>
          <w:rFonts w:ascii="Verdana" w:hAnsi="Verdana"/>
          <w:i/>
          <w:iCs/>
          <w:sz w:val="22"/>
          <w:szCs w:val="22"/>
        </w:rPr>
      </w:pPr>
    </w:p>
    <w:p w14:paraId="4EA099C5" w14:textId="001CADD0" w:rsidR="002E52FB" w:rsidRPr="00A84B64" w:rsidRDefault="002E52FB" w:rsidP="00A60057">
      <w:pPr>
        <w:spacing w:line="276" w:lineRule="auto"/>
        <w:ind w:right="-79" w:firstLine="708"/>
        <w:jc w:val="both"/>
        <w:rPr>
          <w:rFonts w:ascii="Verdana" w:hAnsi="Verdana"/>
          <w:b/>
          <w:bCs/>
          <w:i/>
          <w:iCs/>
          <w:sz w:val="22"/>
          <w:szCs w:val="22"/>
          <w:u w:val="single"/>
        </w:rPr>
      </w:pPr>
      <w:r w:rsidRPr="00A84B64">
        <w:rPr>
          <w:rFonts w:ascii="Verdana" w:hAnsi="Verdana"/>
          <w:b/>
          <w:bCs/>
          <w:i/>
          <w:iCs/>
          <w:sz w:val="22"/>
          <w:szCs w:val="22"/>
          <w:u w:val="single"/>
        </w:rPr>
        <w:t>5.1. PRINCIPALES</w:t>
      </w:r>
    </w:p>
    <w:p w14:paraId="6744BE2E" w14:textId="5340DEB3" w:rsidR="002E52FB" w:rsidRPr="00A84B64" w:rsidRDefault="002E52FB" w:rsidP="00A60057">
      <w:pPr>
        <w:spacing w:line="276" w:lineRule="auto"/>
        <w:ind w:right="-79"/>
        <w:jc w:val="both"/>
        <w:rPr>
          <w:rFonts w:ascii="Verdana" w:hAnsi="Verdana"/>
          <w:i/>
          <w:iCs/>
          <w:sz w:val="22"/>
          <w:szCs w:val="22"/>
        </w:rPr>
      </w:pPr>
    </w:p>
    <w:p w14:paraId="7AAC6825" w14:textId="5E9A623A" w:rsidR="002E52FB" w:rsidRPr="00A84B64" w:rsidRDefault="002E52FB" w:rsidP="00A60057">
      <w:pPr>
        <w:spacing w:line="276" w:lineRule="auto"/>
        <w:ind w:left="708" w:right="-79"/>
        <w:jc w:val="both"/>
        <w:rPr>
          <w:rFonts w:ascii="Verdana" w:hAnsi="Verdana"/>
          <w:i/>
          <w:iCs/>
          <w:sz w:val="22"/>
          <w:szCs w:val="22"/>
        </w:rPr>
      </w:pPr>
      <w:r w:rsidRPr="00A84B64">
        <w:rPr>
          <w:rFonts w:ascii="Verdana" w:hAnsi="Verdana"/>
          <w:b/>
          <w:bCs/>
          <w:i/>
          <w:iCs/>
          <w:sz w:val="22"/>
          <w:szCs w:val="22"/>
        </w:rPr>
        <w:t>PRIMERA:</w:t>
      </w:r>
      <w:r w:rsidRPr="00A84B64">
        <w:rPr>
          <w:rFonts w:ascii="Verdana" w:hAnsi="Verdana"/>
          <w:i/>
          <w:iCs/>
          <w:sz w:val="22"/>
          <w:szCs w:val="22"/>
        </w:rPr>
        <w:t xml:space="preserve"> Que se declare administrativa, Extracontractual, Patrimonial, civil y solidariamente Responsables Directos </w:t>
      </w:r>
      <w:bookmarkStart w:id="12" w:name="_Hlk94060150"/>
      <w:r w:rsidRPr="00A84B64">
        <w:rPr>
          <w:rFonts w:ascii="Verdana" w:hAnsi="Verdana"/>
          <w:i/>
          <w:iCs/>
          <w:sz w:val="22"/>
          <w:szCs w:val="22"/>
        </w:rPr>
        <w:t>a la Nación – Instituto Nacional Penitenciario y Carcelario – INPEC y a la Nación – Ministerio de Defensa – Ejército Nacional,</w:t>
      </w:r>
      <w:bookmarkEnd w:id="12"/>
      <w:r w:rsidRPr="00A84B64">
        <w:rPr>
          <w:rFonts w:ascii="Verdana" w:hAnsi="Verdana"/>
          <w:i/>
          <w:iCs/>
          <w:sz w:val="22"/>
          <w:szCs w:val="22"/>
        </w:rPr>
        <w:t xml:space="preserve"> por los</w:t>
      </w:r>
      <w:r w:rsidRPr="00A84B64">
        <w:rPr>
          <w:rFonts w:ascii="Verdana" w:hAnsi="Verdana"/>
          <w:b/>
          <w:bCs/>
          <w:i/>
          <w:iCs/>
          <w:sz w:val="22"/>
          <w:szCs w:val="22"/>
        </w:rPr>
        <w:t xml:space="preserve"> PERJUICIOS</w:t>
      </w:r>
      <w:r w:rsidRPr="00A84B64">
        <w:rPr>
          <w:rFonts w:ascii="Verdana" w:hAnsi="Verdana"/>
          <w:i/>
          <w:iCs/>
          <w:sz w:val="22"/>
          <w:szCs w:val="22"/>
        </w:rPr>
        <w:t xml:space="preserve"> de orden</w:t>
      </w:r>
      <w:r w:rsidRPr="00A84B64">
        <w:rPr>
          <w:rFonts w:ascii="Verdana" w:hAnsi="Verdana"/>
          <w:b/>
          <w:bCs/>
          <w:i/>
          <w:iCs/>
          <w:sz w:val="22"/>
          <w:szCs w:val="22"/>
        </w:rPr>
        <w:t xml:space="preserve"> MATERIAL</w:t>
      </w:r>
      <w:r w:rsidRPr="00A84B64">
        <w:rPr>
          <w:rFonts w:ascii="Verdana" w:hAnsi="Verdana"/>
          <w:i/>
          <w:iCs/>
          <w:sz w:val="22"/>
          <w:szCs w:val="22"/>
        </w:rPr>
        <w:t xml:space="preserve"> (daño emergente y Lucro Cesante Futuro) y de orden </w:t>
      </w:r>
      <w:r w:rsidRPr="00A84B64">
        <w:rPr>
          <w:rFonts w:ascii="Verdana" w:hAnsi="Verdana"/>
          <w:b/>
          <w:bCs/>
          <w:i/>
          <w:iCs/>
          <w:sz w:val="22"/>
          <w:szCs w:val="22"/>
        </w:rPr>
        <w:t>MORAL, DAÑO A LA SALUD Y ALTERACION A LAS CONDICIONES DE EXISTENCIA,</w:t>
      </w:r>
      <w:r w:rsidRPr="00A84B64">
        <w:rPr>
          <w:rFonts w:ascii="Verdana" w:hAnsi="Verdana"/>
          <w:i/>
          <w:iCs/>
          <w:sz w:val="22"/>
          <w:szCs w:val="22"/>
        </w:rPr>
        <w:t xml:space="preserve"> (…)</w:t>
      </w:r>
    </w:p>
    <w:p w14:paraId="63B731B8" w14:textId="05FB5A35" w:rsidR="002E52FB" w:rsidRPr="00A84B64" w:rsidRDefault="002E52FB" w:rsidP="00A60057">
      <w:pPr>
        <w:spacing w:line="276" w:lineRule="auto"/>
        <w:ind w:right="-79"/>
        <w:jc w:val="both"/>
        <w:rPr>
          <w:rFonts w:ascii="Verdana" w:hAnsi="Verdana"/>
          <w:i/>
          <w:iCs/>
          <w:sz w:val="22"/>
          <w:szCs w:val="22"/>
        </w:rPr>
      </w:pPr>
    </w:p>
    <w:p w14:paraId="16C0481F" w14:textId="7645959D" w:rsidR="002E52FB" w:rsidRPr="00A84B64" w:rsidRDefault="002E52FB" w:rsidP="00A60057">
      <w:pPr>
        <w:spacing w:line="276" w:lineRule="auto"/>
        <w:ind w:left="708" w:right="-79"/>
        <w:jc w:val="both"/>
        <w:rPr>
          <w:rFonts w:ascii="Verdana" w:hAnsi="Verdana"/>
          <w:i/>
          <w:iCs/>
          <w:sz w:val="22"/>
          <w:szCs w:val="22"/>
        </w:rPr>
      </w:pPr>
      <w:r w:rsidRPr="00A84B64">
        <w:rPr>
          <w:rFonts w:ascii="Verdana" w:hAnsi="Verdana"/>
          <w:i/>
          <w:iCs/>
          <w:sz w:val="22"/>
          <w:szCs w:val="22"/>
        </w:rPr>
        <w:t>SEGUNDA: Como consecuencia de la anterior declaración y a título de reparación integral del daño</w:t>
      </w:r>
      <w:r w:rsidR="008B3FFC" w:rsidRPr="00A84B64">
        <w:rPr>
          <w:rFonts w:ascii="Verdana" w:hAnsi="Verdana"/>
          <w:i/>
          <w:iCs/>
          <w:sz w:val="22"/>
          <w:szCs w:val="22"/>
        </w:rPr>
        <w:t xml:space="preserve">, CONDENAR solidariamente responsables a la Nación – </w:t>
      </w:r>
      <w:r w:rsidR="008B3FFC" w:rsidRPr="00A84B64">
        <w:rPr>
          <w:rFonts w:ascii="Verdana" w:hAnsi="Verdana"/>
          <w:b/>
          <w:bCs/>
          <w:i/>
          <w:iCs/>
          <w:caps/>
          <w:sz w:val="22"/>
          <w:szCs w:val="22"/>
        </w:rPr>
        <w:t>Instituto Nacional Penitenciario y Carcelario – INPEC</w:t>
      </w:r>
      <w:r w:rsidR="008B3FFC" w:rsidRPr="00A84B64">
        <w:rPr>
          <w:rFonts w:ascii="Verdana" w:hAnsi="Verdana"/>
          <w:i/>
          <w:iCs/>
          <w:sz w:val="22"/>
          <w:szCs w:val="22"/>
        </w:rPr>
        <w:t xml:space="preserve"> y a la Nación – </w:t>
      </w:r>
      <w:r w:rsidR="008B3FFC" w:rsidRPr="00A84B64">
        <w:rPr>
          <w:rFonts w:ascii="Verdana" w:hAnsi="Verdana"/>
          <w:b/>
          <w:bCs/>
          <w:i/>
          <w:iCs/>
          <w:caps/>
          <w:sz w:val="22"/>
          <w:szCs w:val="22"/>
        </w:rPr>
        <w:t>Ministerio de Defensa – EjErcito Nacional</w:t>
      </w:r>
      <w:r w:rsidR="008B3FFC" w:rsidRPr="00A84B64">
        <w:rPr>
          <w:rFonts w:ascii="Verdana" w:hAnsi="Verdana"/>
          <w:i/>
          <w:iCs/>
          <w:sz w:val="22"/>
          <w:szCs w:val="22"/>
        </w:rPr>
        <w:t>, a pagar a cada uno de los demandantes, o a quien represente legalmente sus derechos; las siguientes sumas de dinero así:</w:t>
      </w:r>
    </w:p>
    <w:p w14:paraId="66898D73" w14:textId="46045C1A" w:rsidR="008B3FFC" w:rsidRPr="00A84B64" w:rsidRDefault="008B3FFC" w:rsidP="00A60057">
      <w:pPr>
        <w:spacing w:line="276" w:lineRule="auto"/>
        <w:ind w:right="-79"/>
        <w:jc w:val="both"/>
        <w:rPr>
          <w:rFonts w:ascii="Verdana" w:hAnsi="Verdana"/>
          <w:i/>
          <w:iCs/>
          <w:sz w:val="22"/>
          <w:szCs w:val="22"/>
        </w:rPr>
      </w:pPr>
    </w:p>
    <w:p w14:paraId="304E3DCB" w14:textId="6BF01D0C" w:rsidR="008B3FFC" w:rsidRPr="00A84B64" w:rsidRDefault="008B3FFC" w:rsidP="00A60057">
      <w:pPr>
        <w:pStyle w:val="Prrafodelista"/>
        <w:numPr>
          <w:ilvl w:val="0"/>
          <w:numId w:val="28"/>
        </w:numPr>
        <w:spacing w:line="276" w:lineRule="auto"/>
        <w:ind w:right="-79"/>
        <w:jc w:val="both"/>
        <w:rPr>
          <w:rFonts w:ascii="Verdana" w:hAnsi="Verdana"/>
          <w:i/>
          <w:iCs/>
          <w:sz w:val="22"/>
          <w:szCs w:val="22"/>
        </w:rPr>
      </w:pPr>
      <w:r w:rsidRPr="00A84B64">
        <w:rPr>
          <w:rFonts w:ascii="Verdana" w:hAnsi="Verdana"/>
          <w:i/>
          <w:iCs/>
          <w:sz w:val="22"/>
          <w:szCs w:val="22"/>
        </w:rPr>
        <w:t xml:space="preserve">Por concepto de Indemnización integral de </w:t>
      </w:r>
      <w:r w:rsidRPr="00A84B64">
        <w:rPr>
          <w:rFonts w:ascii="Verdana" w:hAnsi="Verdana"/>
          <w:b/>
          <w:bCs/>
          <w:i/>
          <w:iCs/>
          <w:sz w:val="22"/>
          <w:szCs w:val="22"/>
          <w:u w:val="single"/>
        </w:rPr>
        <w:t>PERJUICIOS MATERIALES (Lucro Cesante Futuro)</w:t>
      </w:r>
      <w:r w:rsidRPr="00A84B64">
        <w:rPr>
          <w:rFonts w:ascii="Verdana" w:hAnsi="Verdana"/>
          <w:i/>
          <w:iCs/>
          <w:sz w:val="22"/>
          <w:szCs w:val="22"/>
        </w:rPr>
        <w:t xml:space="preserve"> las siguientes cantidades en favor de las siguientes personas así:</w:t>
      </w:r>
    </w:p>
    <w:p w14:paraId="75973A49" w14:textId="77777777" w:rsidR="00A60057" w:rsidRPr="00A84B64" w:rsidRDefault="00A60057" w:rsidP="00A60057">
      <w:pPr>
        <w:pStyle w:val="Prrafodelista"/>
        <w:spacing w:line="276" w:lineRule="auto"/>
        <w:ind w:right="-79"/>
        <w:jc w:val="both"/>
        <w:rPr>
          <w:rFonts w:ascii="Verdana" w:hAnsi="Verdana"/>
          <w:i/>
          <w:iCs/>
          <w:sz w:val="22"/>
          <w:szCs w:val="22"/>
        </w:rPr>
      </w:pPr>
    </w:p>
    <w:p w14:paraId="5C545E24" w14:textId="4FE0D8F6" w:rsidR="008B3FFC" w:rsidRPr="00A84B64" w:rsidRDefault="008B3FFC" w:rsidP="00A60057">
      <w:pPr>
        <w:pStyle w:val="Prrafodelista"/>
        <w:numPr>
          <w:ilvl w:val="0"/>
          <w:numId w:val="29"/>
        </w:numPr>
        <w:spacing w:line="276" w:lineRule="auto"/>
        <w:ind w:right="-79"/>
        <w:jc w:val="both"/>
        <w:rPr>
          <w:rFonts w:ascii="Verdana" w:hAnsi="Verdana"/>
          <w:i/>
          <w:iCs/>
          <w:sz w:val="22"/>
          <w:szCs w:val="22"/>
        </w:rPr>
      </w:pPr>
      <w:r w:rsidRPr="00A84B64">
        <w:rPr>
          <w:rFonts w:ascii="Verdana" w:hAnsi="Verdana"/>
          <w:i/>
          <w:iCs/>
          <w:sz w:val="22"/>
          <w:szCs w:val="22"/>
        </w:rPr>
        <w:lastRenderedPageBreak/>
        <w:t xml:space="preserve">Para el señor </w:t>
      </w:r>
      <w:r w:rsidRPr="00A84B64">
        <w:rPr>
          <w:rFonts w:ascii="Verdana" w:hAnsi="Verdana"/>
          <w:b/>
          <w:bCs/>
          <w:i/>
          <w:iCs/>
          <w:sz w:val="22"/>
          <w:szCs w:val="22"/>
        </w:rPr>
        <w:t>LUIS EDUARDO AVILA GAITAN</w:t>
      </w:r>
      <w:r w:rsidRPr="00A84B64">
        <w:rPr>
          <w:rFonts w:ascii="Verdana" w:hAnsi="Verdana"/>
          <w:i/>
          <w:iCs/>
          <w:sz w:val="22"/>
          <w:szCs w:val="22"/>
        </w:rPr>
        <w:t xml:space="preserve">, en calidad de </w:t>
      </w:r>
      <w:r w:rsidRPr="00A84B64">
        <w:rPr>
          <w:rFonts w:ascii="Verdana" w:hAnsi="Verdana"/>
          <w:b/>
          <w:bCs/>
          <w:i/>
          <w:iCs/>
          <w:sz w:val="22"/>
          <w:szCs w:val="22"/>
        </w:rPr>
        <w:t>Víctima Directa</w:t>
      </w:r>
      <w:r w:rsidRPr="00A84B64">
        <w:rPr>
          <w:rFonts w:ascii="Verdana" w:hAnsi="Verdana"/>
          <w:i/>
          <w:iCs/>
          <w:sz w:val="22"/>
          <w:szCs w:val="22"/>
        </w:rPr>
        <w:t xml:space="preserve">, la suma de </w:t>
      </w:r>
      <w:r w:rsidRPr="00A84B64">
        <w:rPr>
          <w:rFonts w:ascii="Verdana" w:hAnsi="Verdana"/>
          <w:b/>
          <w:bCs/>
          <w:i/>
          <w:iCs/>
          <w:sz w:val="22"/>
          <w:szCs w:val="22"/>
        </w:rPr>
        <w:t>Setenta y Cinco (75 SMLMV) Salarios Mínimos Legales Mensuales</w:t>
      </w:r>
      <w:r w:rsidRPr="00A84B64">
        <w:rPr>
          <w:rFonts w:ascii="Verdana" w:hAnsi="Verdana"/>
          <w:i/>
          <w:iCs/>
          <w:sz w:val="22"/>
          <w:szCs w:val="22"/>
        </w:rPr>
        <w:t xml:space="preserve"> o la suma que resulte probada en el proceso, por concepto de </w:t>
      </w:r>
      <w:r w:rsidRPr="00A84B64">
        <w:rPr>
          <w:rFonts w:ascii="Verdana" w:hAnsi="Verdana"/>
          <w:b/>
          <w:bCs/>
          <w:i/>
          <w:iCs/>
          <w:sz w:val="22"/>
          <w:szCs w:val="22"/>
          <w:u w:val="single"/>
        </w:rPr>
        <w:t>Pérdida de Capacidad Laboral</w:t>
      </w:r>
      <w:r w:rsidRPr="00A84B64">
        <w:rPr>
          <w:rFonts w:ascii="Verdana" w:hAnsi="Verdana"/>
          <w:i/>
          <w:iCs/>
          <w:sz w:val="22"/>
          <w:szCs w:val="22"/>
        </w:rPr>
        <w:t>.</w:t>
      </w:r>
    </w:p>
    <w:p w14:paraId="7FF02457" w14:textId="77777777" w:rsidR="00A60057" w:rsidRPr="00A84B64" w:rsidRDefault="00A60057" w:rsidP="00A60057">
      <w:pPr>
        <w:pStyle w:val="Prrafodelista"/>
        <w:spacing w:line="276" w:lineRule="auto"/>
        <w:ind w:left="1068" w:right="-79"/>
        <w:jc w:val="both"/>
        <w:rPr>
          <w:rFonts w:ascii="Verdana" w:hAnsi="Verdana"/>
          <w:i/>
          <w:iCs/>
          <w:sz w:val="22"/>
          <w:szCs w:val="22"/>
        </w:rPr>
      </w:pPr>
    </w:p>
    <w:p w14:paraId="73911D00" w14:textId="677A0A0F" w:rsidR="008B3FFC" w:rsidRPr="00A84B64" w:rsidRDefault="00A60057" w:rsidP="00A60057">
      <w:pPr>
        <w:pStyle w:val="Prrafodelista"/>
        <w:spacing w:line="276" w:lineRule="auto"/>
        <w:ind w:right="-79" w:firstLine="348"/>
        <w:jc w:val="both"/>
        <w:rPr>
          <w:rFonts w:ascii="Verdana" w:hAnsi="Verdana"/>
          <w:sz w:val="22"/>
          <w:szCs w:val="22"/>
        </w:rPr>
      </w:pPr>
      <w:r w:rsidRPr="00A84B64">
        <w:rPr>
          <w:rFonts w:ascii="Verdana" w:hAnsi="Verdana"/>
          <w:i/>
          <w:iCs/>
          <w:sz w:val="22"/>
          <w:szCs w:val="22"/>
        </w:rPr>
        <w:t xml:space="preserve">(…)” </w:t>
      </w:r>
      <w:r w:rsidRPr="00A84B64">
        <w:rPr>
          <w:rFonts w:ascii="Verdana" w:hAnsi="Verdana"/>
          <w:sz w:val="22"/>
          <w:szCs w:val="22"/>
        </w:rPr>
        <w:t>(Subrayado y negrilla son propios del texto citado).</w:t>
      </w:r>
    </w:p>
    <w:p w14:paraId="7B12CF82" w14:textId="77777777" w:rsidR="002E52FB" w:rsidRPr="00A84B64" w:rsidRDefault="002E52FB" w:rsidP="004C773C">
      <w:pPr>
        <w:spacing w:line="360" w:lineRule="auto"/>
        <w:ind w:right="-79"/>
        <w:jc w:val="both"/>
        <w:rPr>
          <w:rFonts w:ascii="Verdana" w:hAnsi="Verdana"/>
          <w:sz w:val="22"/>
          <w:szCs w:val="22"/>
        </w:rPr>
      </w:pPr>
    </w:p>
    <w:p w14:paraId="32934124" w14:textId="77777777" w:rsidR="00BB1E10" w:rsidRPr="00A84B64" w:rsidRDefault="004C773C" w:rsidP="000856E0">
      <w:pPr>
        <w:spacing w:line="360" w:lineRule="auto"/>
        <w:ind w:right="-79"/>
        <w:jc w:val="both"/>
        <w:rPr>
          <w:rFonts w:ascii="Verdana" w:hAnsi="Verdana"/>
          <w:sz w:val="22"/>
          <w:szCs w:val="22"/>
        </w:rPr>
      </w:pPr>
      <w:r w:rsidRPr="00A84B64">
        <w:rPr>
          <w:rFonts w:ascii="Verdana" w:hAnsi="Verdana"/>
          <w:sz w:val="22"/>
          <w:szCs w:val="22"/>
        </w:rPr>
        <w:t>De lo anterior, se colige que</w:t>
      </w:r>
      <w:r w:rsidR="00A60057" w:rsidRPr="00A84B64">
        <w:rPr>
          <w:rFonts w:ascii="Verdana" w:hAnsi="Verdana"/>
          <w:sz w:val="22"/>
          <w:szCs w:val="22"/>
        </w:rPr>
        <w:t xml:space="preserve"> en la demanda </w:t>
      </w:r>
      <w:r w:rsidR="00A60057" w:rsidRPr="00A84B64">
        <w:rPr>
          <w:rFonts w:ascii="Verdana" w:hAnsi="Verdana"/>
          <w:b/>
          <w:bCs/>
          <w:sz w:val="22"/>
          <w:szCs w:val="22"/>
        </w:rPr>
        <w:t xml:space="preserve">únicamente </w:t>
      </w:r>
      <w:r w:rsidR="006B351A" w:rsidRPr="00A84B64">
        <w:rPr>
          <w:rFonts w:ascii="Verdana" w:hAnsi="Verdana"/>
          <w:b/>
          <w:bCs/>
          <w:sz w:val="22"/>
          <w:szCs w:val="22"/>
        </w:rPr>
        <w:t xml:space="preserve">se solicitó el </w:t>
      </w:r>
      <w:r w:rsidR="0010698E" w:rsidRPr="00A84B64">
        <w:rPr>
          <w:rFonts w:ascii="Verdana" w:hAnsi="Verdana"/>
          <w:b/>
          <w:bCs/>
          <w:sz w:val="22"/>
          <w:szCs w:val="22"/>
        </w:rPr>
        <w:t xml:space="preserve">reconocimiento y </w:t>
      </w:r>
      <w:r w:rsidR="006B351A" w:rsidRPr="00A84B64">
        <w:rPr>
          <w:rFonts w:ascii="Verdana" w:hAnsi="Verdana"/>
          <w:b/>
          <w:bCs/>
          <w:sz w:val="22"/>
          <w:szCs w:val="22"/>
        </w:rPr>
        <w:t>pago de lucro cesante futuro</w:t>
      </w:r>
      <w:r w:rsidR="006B351A" w:rsidRPr="00A84B64">
        <w:rPr>
          <w:rFonts w:ascii="Verdana" w:hAnsi="Verdana"/>
          <w:sz w:val="22"/>
          <w:szCs w:val="22"/>
        </w:rPr>
        <w:t>, tal como lo sostuvo la juez de primera instancia, ya que el apoderado de</w:t>
      </w:r>
      <w:r w:rsidR="0010698E" w:rsidRPr="00A84B64">
        <w:rPr>
          <w:rFonts w:ascii="Verdana" w:hAnsi="Verdana"/>
          <w:sz w:val="22"/>
          <w:szCs w:val="22"/>
        </w:rPr>
        <w:t xml:space="preserve"> la parte demandante</w:t>
      </w:r>
      <w:r w:rsidR="006B351A" w:rsidRPr="00A84B64">
        <w:rPr>
          <w:rFonts w:ascii="Verdana" w:hAnsi="Verdana"/>
          <w:sz w:val="22"/>
          <w:szCs w:val="22"/>
        </w:rPr>
        <w:t xml:space="preserve"> en las pretensiones </w:t>
      </w:r>
      <w:r w:rsidR="0010698E" w:rsidRPr="00A84B64">
        <w:rPr>
          <w:rFonts w:ascii="Verdana" w:hAnsi="Verdana"/>
          <w:sz w:val="22"/>
          <w:szCs w:val="22"/>
        </w:rPr>
        <w:t>de manera específica hizo alusión a</w:t>
      </w:r>
      <w:r w:rsidR="006B351A" w:rsidRPr="00A84B64">
        <w:rPr>
          <w:rFonts w:ascii="Verdana" w:hAnsi="Verdana"/>
          <w:sz w:val="22"/>
          <w:szCs w:val="22"/>
        </w:rPr>
        <w:t xml:space="preserve">l lucro cesante futuro; y en atención a la Sentencia de Unificación de la Sección Tercera del Consejo de Estado del 18 de julio de 2019, en relación con el lucro cesante, </w:t>
      </w:r>
      <w:r w:rsidR="006B351A" w:rsidRPr="00A84B64">
        <w:rPr>
          <w:rFonts w:ascii="Verdana" w:hAnsi="Verdana"/>
          <w:b/>
          <w:bCs/>
          <w:sz w:val="22"/>
          <w:szCs w:val="22"/>
        </w:rPr>
        <w:t>lo que no se pida en la demanda no puede ser objeto de reconocimiento alguno</w:t>
      </w:r>
      <w:r w:rsidR="006B351A" w:rsidRPr="00A84B64">
        <w:rPr>
          <w:rFonts w:ascii="Verdana" w:hAnsi="Verdana"/>
          <w:sz w:val="22"/>
          <w:szCs w:val="22"/>
        </w:rPr>
        <w:t>.</w:t>
      </w:r>
      <w:r w:rsidR="0010698E" w:rsidRPr="00A84B64">
        <w:rPr>
          <w:rFonts w:ascii="Verdana" w:hAnsi="Verdana"/>
          <w:sz w:val="22"/>
          <w:szCs w:val="22"/>
        </w:rPr>
        <w:t xml:space="preserve"> </w:t>
      </w:r>
    </w:p>
    <w:p w14:paraId="0EAE79EE" w14:textId="77777777" w:rsidR="00BB1E10" w:rsidRPr="00A84B64" w:rsidRDefault="00BB1E10" w:rsidP="000856E0">
      <w:pPr>
        <w:spacing w:line="360" w:lineRule="auto"/>
        <w:ind w:right="-79"/>
        <w:jc w:val="both"/>
        <w:rPr>
          <w:rFonts w:ascii="Verdana" w:hAnsi="Verdana"/>
          <w:sz w:val="22"/>
          <w:szCs w:val="22"/>
        </w:rPr>
      </w:pPr>
    </w:p>
    <w:p w14:paraId="35735B30" w14:textId="713B2887" w:rsidR="00A95A3E" w:rsidRPr="00A84B64" w:rsidRDefault="0010698E" w:rsidP="000856E0">
      <w:pPr>
        <w:spacing w:line="360" w:lineRule="auto"/>
        <w:ind w:right="-79"/>
        <w:jc w:val="both"/>
        <w:rPr>
          <w:rStyle w:val="Nmerodepgina"/>
          <w:rFonts w:ascii="Verdana" w:hAnsi="Verdana" w:cs="Arial"/>
          <w:sz w:val="22"/>
          <w:szCs w:val="22"/>
        </w:rPr>
      </w:pPr>
      <w:r w:rsidRPr="00A84B64">
        <w:rPr>
          <w:rFonts w:ascii="Verdana" w:hAnsi="Verdana"/>
          <w:sz w:val="22"/>
          <w:szCs w:val="22"/>
        </w:rPr>
        <w:t xml:space="preserve">Por esta razón, no prosperan los argumentos expuestos por la parte demandante en el recurso de apelación, y en consideración a que </w:t>
      </w:r>
      <w:r w:rsidR="00E227B2" w:rsidRPr="00A84B64">
        <w:rPr>
          <w:rFonts w:ascii="Verdana" w:hAnsi="Verdana"/>
          <w:sz w:val="22"/>
          <w:szCs w:val="22"/>
        </w:rPr>
        <w:t>la parte demandada no apeló lo concerniente a la indemnización de perjuicios, y encontrándola ajustad</w:t>
      </w:r>
      <w:r w:rsidR="00BB1E10" w:rsidRPr="00A84B64">
        <w:rPr>
          <w:rFonts w:ascii="Verdana" w:hAnsi="Verdana"/>
          <w:sz w:val="22"/>
          <w:szCs w:val="22"/>
        </w:rPr>
        <w:t>a</w:t>
      </w:r>
      <w:r w:rsidR="00E227B2" w:rsidRPr="00A84B64">
        <w:rPr>
          <w:rFonts w:ascii="Verdana" w:hAnsi="Verdana"/>
          <w:sz w:val="22"/>
          <w:szCs w:val="22"/>
        </w:rPr>
        <w:t xml:space="preserve"> a derecho, la Sala confirmará lo relativo a la liquidación de perjuicios, más no en lo relativo a los responsables de la indemnización, pues como se argumentó previamente, las condenas por estos conceptos recaen en el Instituto Nacional Penitenciario y Carcelario -INPEC</w:t>
      </w:r>
      <w:r w:rsidR="003A1099" w:rsidRPr="00A84B64">
        <w:rPr>
          <w:rFonts w:ascii="Verdana" w:hAnsi="Verdana"/>
          <w:sz w:val="22"/>
          <w:szCs w:val="22"/>
        </w:rPr>
        <w:t xml:space="preserve">, correspondiéndole así a Seguros Vida del Estado S.A. </w:t>
      </w:r>
      <w:r w:rsidR="00E70F8D" w:rsidRPr="00A84B64">
        <w:rPr>
          <w:rStyle w:val="Nmerodepgina"/>
          <w:rFonts w:ascii="Verdana" w:hAnsi="Verdana" w:cs="Arial"/>
          <w:sz w:val="22"/>
          <w:szCs w:val="22"/>
        </w:rPr>
        <w:t xml:space="preserve">pagar directamente al asegurado, señor </w:t>
      </w:r>
      <w:r w:rsidR="00E70F8D" w:rsidRPr="00A84B64">
        <w:rPr>
          <w:rFonts w:ascii="Verdana" w:eastAsia="Verdana" w:hAnsi="Verdana" w:cs="Verdana"/>
          <w:color w:val="000000" w:themeColor="text1"/>
          <w:sz w:val="22"/>
          <w:szCs w:val="22"/>
        </w:rPr>
        <w:t>LUIS EDUARDO ÁVILA GAITÁN</w:t>
      </w:r>
      <w:r w:rsidR="00E70F8D" w:rsidRPr="00A84B64">
        <w:rPr>
          <w:rStyle w:val="Nmerodepgina"/>
          <w:rFonts w:ascii="Verdana" w:hAnsi="Verdana" w:cs="Arial"/>
          <w:sz w:val="22"/>
          <w:szCs w:val="22"/>
        </w:rPr>
        <w:t>, la suma de TREINTA MILLONES QUINIENTOS NOVENTA Y CUATRO MIL TRESCIENTOS CUARENTA Y OCHO MIL PESOS ($30.594.348) por concepto del amparo “</w:t>
      </w:r>
      <w:r w:rsidR="00E70F8D" w:rsidRPr="00A84B64">
        <w:rPr>
          <w:rStyle w:val="Nmerodepgina"/>
          <w:rFonts w:ascii="Verdana" w:hAnsi="Verdana" w:cs="Arial"/>
          <w:i/>
          <w:iCs/>
          <w:sz w:val="22"/>
          <w:szCs w:val="22"/>
        </w:rPr>
        <w:t>Pérdida de Capacidad laboral. Disminución relativa o permanente en la capacidad laboral, inferior al 75%”</w:t>
      </w:r>
      <w:r w:rsidR="00E70F8D" w:rsidRPr="00A84B64">
        <w:rPr>
          <w:rStyle w:val="Nmerodepgina"/>
          <w:rFonts w:ascii="Verdana" w:hAnsi="Verdana" w:cs="Arial"/>
          <w:sz w:val="22"/>
          <w:szCs w:val="22"/>
        </w:rPr>
        <w:t xml:space="preserve"> correspondiente a la cobertura de la póliza No. 21-7-1000000481. Suma que el INSTITUTO NACIONAL PENITENCIARIO Y CARCELARIO -INPEC-, deberá tener como parte de pago de la condena por concepto de daño a la salud del demandante. En caso de que tal pago se haga cuando ya el INPEC haya pagado la totalidad de la condena contenida en esta providencia, la aseguradora Seguros Vida del Estado S.A. pagará esa suma al INPEC.</w:t>
      </w:r>
    </w:p>
    <w:p w14:paraId="0339754C" w14:textId="77777777" w:rsidR="00E70F8D" w:rsidRPr="00A84B64" w:rsidRDefault="00E70F8D" w:rsidP="000856E0">
      <w:pPr>
        <w:spacing w:line="360" w:lineRule="auto"/>
        <w:ind w:right="-79"/>
        <w:jc w:val="both"/>
        <w:rPr>
          <w:rFonts w:ascii="Verdana" w:hAnsi="Verdana"/>
          <w:sz w:val="22"/>
          <w:szCs w:val="22"/>
        </w:rPr>
      </w:pPr>
    </w:p>
    <w:p w14:paraId="6FA0C009" w14:textId="33384E02" w:rsidR="00A95A3E" w:rsidRPr="00A84B64" w:rsidRDefault="00A95A3E" w:rsidP="000856E0">
      <w:pPr>
        <w:spacing w:line="360" w:lineRule="auto"/>
        <w:ind w:right="-79"/>
        <w:jc w:val="both"/>
        <w:rPr>
          <w:rFonts w:ascii="Verdana" w:hAnsi="Verdana"/>
          <w:b/>
          <w:bCs/>
          <w:sz w:val="22"/>
          <w:szCs w:val="22"/>
        </w:rPr>
      </w:pPr>
      <w:r w:rsidRPr="00A84B64">
        <w:rPr>
          <w:rFonts w:ascii="Verdana" w:hAnsi="Verdana"/>
          <w:b/>
          <w:bCs/>
          <w:sz w:val="22"/>
          <w:szCs w:val="22"/>
        </w:rPr>
        <w:t>3.1.2.3.1. Actualización de las condenas impuestas en primera instancia</w:t>
      </w:r>
    </w:p>
    <w:p w14:paraId="12155F59" w14:textId="6B2AC35A" w:rsidR="00A95A3E" w:rsidRPr="00A84B64" w:rsidRDefault="00A95A3E" w:rsidP="000856E0">
      <w:pPr>
        <w:spacing w:line="360" w:lineRule="auto"/>
        <w:ind w:right="-79"/>
        <w:jc w:val="both"/>
        <w:rPr>
          <w:rFonts w:ascii="Verdana" w:hAnsi="Verdana"/>
          <w:sz w:val="22"/>
          <w:szCs w:val="22"/>
        </w:rPr>
      </w:pPr>
    </w:p>
    <w:p w14:paraId="62953E2B" w14:textId="3C5E4C99" w:rsidR="00A95A3E" w:rsidRPr="00A84B64" w:rsidRDefault="001A4D2F" w:rsidP="000856E0">
      <w:pPr>
        <w:spacing w:line="360" w:lineRule="auto"/>
        <w:ind w:right="-79"/>
        <w:jc w:val="both"/>
        <w:rPr>
          <w:rFonts w:ascii="Verdana" w:hAnsi="Verdana"/>
          <w:sz w:val="22"/>
          <w:szCs w:val="22"/>
        </w:rPr>
      </w:pPr>
      <w:r w:rsidRPr="00A84B64">
        <w:rPr>
          <w:rFonts w:ascii="Verdana" w:hAnsi="Verdana"/>
          <w:sz w:val="22"/>
          <w:szCs w:val="22"/>
        </w:rPr>
        <w:t xml:space="preserve">Teniendo en cuenta las consideraciones expuestas en precedencia y en vista de que se encuentran demostrados los elementos para endilgar responsabilidad patrimonial al Instituto Penitenciario y Carcelario - INPEC, procede la Sala a llevar </w:t>
      </w:r>
      <w:r w:rsidRPr="00A84B64">
        <w:rPr>
          <w:rFonts w:ascii="Verdana" w:hAnsi="Verdana"/>
          <w:sz w:val="22"/>
          <w:szCs w:val="22"/>
        </w:rPr>
        <w:lastRenderedPageBreak/>
        <w:t xml:space="preserve">a cabo la actualización de la condena tomando como base las condenas impuestas por la Juez de primera instancia y confirmadas en esta instancia, </w:t>
      </w:r>
      <w:r w:rsidR="00A95A3E" w:rsidRPr="00A84B64">
        <w:rPr>
          <w:rFonts w:ascii="Verdana" w:hAnsi="Verdana"/>
          <w:sz w:val="22"/>
          <w:szCs w:val="22"/>
        </w:rPr>
        <w:t>da</w:t>
      </w:r>
      <w:r w:rsidRPr="00A84B64">
        <w:rPr>
          <w:rFonts w:ascii="Verdana" w:hAnsi="Verdana"/>
          <w:sz w:val="22"/>
          <w:szCs w:val="22"/>
        </w:rPr>
        <w:t>ndo</w:t>
      </w:r>
      <w:r w:rsidR="00A95A3E" w:rsidRPr="00A84B64">
        <w:rPr>
          <w:rFonts w:ascii="Verdana" w:hAnsi="Verdana"/>
          <w:sz w:val="22"/>
          <w:szCs w:val="22"/>
        </w:rPr>
        <w:t xml:space="preserve"> aplicación al contenido del artículo 283 del CGP, según el cual, “</w:t>
      </w:r>
      <w:r w:rsidR="00A95A3E" w:rsidRPr="00A84B64">
        <w:rPr>
          <w:rFonts w:ascii="Verdana" w:hAnsi="Verdana"/>
          <w:i/>
          <w:iCs/>
          <w:sz w:val="22"/>
          <w:szCs w:val="22"/>
        </w:rPr>
        <w:t>El juez de segunda instancia deberá extender la condena en concreto hasta la fecha de la sentencia de segunda instancia, aun cuando la parte beneficiada con ella no hubiese apelado”</w:t>
      </w:r>
      <w:r w:rsidR="00A95A3E" w:rsidRPr="00A84B64">
        <w:rPr>
          <w:rFonts w:ascii="Verdana" w:hAnsi="Verdana"/>
          <w:sz w:val="22"/>
          <w:szCs w:val="22"/>
        </w:rPr>
        <w:t>. Para tales efectos se dará aplicación a la fórmula:</w:t>
      </w:r>
    </w:p>
    <w:p w14:paraId="08AD5C3B" w14:textId="7DB80451" w:rsidR="001A4D2F" w:rsidRPr="00A84B64" w:rsidRDefault="001A4D2F" w:rsidP="000856E0">
      <w:pPr>
        <w:spacing w:line="360" w:lineRule="auto"/>
        <w:ind w:right="-79"/>
        <w:jc w:val="both"/>
        <w:rPr>
          <w:rFonts w:ascii="Verdana" w:hAnsi="Verdana"/>
          <w:sz w:val="22"/>
          <w:szCs w:val="22"/>
        </w:rPr>
      </w:pPr>
    </w:p>
    <w:p w14:paraId="27332CF9" w14:textId="715132E7" w:rsidR="001A4D2F" w:rsidRPr="00A84B64" w:rsidRDefault="001A4D2F" w:rsidP="001A4D2F">
      <w:pPr>
        <w:spacing w:line="360" w:lineRule="auto"/>
        <w:ind w:right="-79"/>
        <w:jc w:val="both"/>
        <w:rPr>
          <w:rFonts w:ascii="Verdana" w:hAnsi="Verdana"/>
          <w:sz w:val="22"/>
          <w:szCs w:val="22"/>
          <w:u w:val="single"/>
        </w:rPr>
      </w:pPr>
      <w:r w:rsidRPr="00A84B64">
        <w:rPr>
          <w:rFonts w:ascii="Verdana" w:hAnsi="Verdana"/>
          <w:sz w:val="22"/>
          <w:szCs w:val="22"/>
        </w:rPr>
        <w:t xml:space="preserve">R = R.H. </w:t>
      </w:r>
      <w:r w:rsidR="00E07ED6" w:rsidRPr="00A84B64">
        <w:rPr>
          <w:rFonts w:ascii="Verdana" w:hAnsi="Verdana"/>
          <w:sz w:val="22"/>
          <w:szCs w:val="22"/>
        </w:rPr>
        <w:tab/>
        <w:t xml:space="preserve">   </w:t>
      </w:r>
      <w:r w:rsidRPr="00A84B64">
        <w:rPr>
          <w:rFonts w:ascii="Verdana" w:hAnsi="Verdana"/>
          <w:sz w:val="22"/>
          <w:szCs w:val="22"/>
          <w:u w:val="single"/>
        </w:rPr>
        <w:t xml:space="preserve">ÍNDICE FINAL (fecha de la sentencia 2da </w:t>
      </w:r>
      <w:proofErr w:type="spellStart"/>
      <w:r w:rsidRPr="00A84B64">
        <w:rPr>
          <w:rFonts w:ascii="Verdana" w:hAnsi="Verdana"/>
          <w:sz w:val="22"/>
          <w:szCs w:val="22"/>
          <w:u w:val="single"/>
        </w:rPr>
        <w:t>inst.</w:t>
      </w:r>
      <w:proofErr w:type="spellEnd"/>
      <w:r w:rsidRPr="00A84B64">
        <w:rPr>
          <w:rFonts w:ascii="Verdana" w:hAnsi="Verdana"/>
          <w:sz w:val="22"/>
          <w:szCs w:val="22"/>
          <w:u w:val="single"/>
        </w:rPr>
        <w:t>)</w:t>
      </w:r>
    </w:p>
    <w:p w14:paraId="71510C25" w14:textId="77777777" w:rsidR="001A4D2F" w:rsidRPr="00A84B64" w:rsidRDefault="001A4D2F" w:rsidP="00E07ED6">
      <w:pPr>
        <w:spacing w:line="360" w:lineRule="auto"/>
        <w:ind w:left="708" w:right="-79" w:firstLine="708"/>
        <w:jc w:val="both"/>
        <w:rPr>
          <w:rFonts w:ascii="Verdana" w:hAnsi="Verdana"/>
          <w:sz w:val="22"/>
          <w:szCs w:val="22"/>
        </w:rPr>
      </w:pPr>
      <w:r w:rsidRPr="00A84B64">
        <w:rPr>
          <w:rFonts w:ascii="Verdana" w:hAnsi="Verdana"/>
          <w:sz w:val="22"/>
          <w:szCs w:val="22"/>
        </w:rPr>
        <w:t xml:space="preserve">ÍNDICE INICIAL (fecha de la sentencia de 1ª </w:t>
      </w:r>
      <w:proofErr w:type="spellStart"/>
      <w:r w:rsidRPr="00A84B64">
        <w:rPr>
          <w:rFonts w:ascii="Verdana" w:hAnsi="Verdana"/>
          <w:sz w:val="22"/>
          <w:szCs w:val="22"/>
        </w:rPr>
        <w:t>inst.</w:t>
      </w:r>
      <w:proofErr w:type="spellEnd"/>
      <w:r w:rsidRPr="00A84B64">
        <w:rPr>
          <w:rFonts w:ascii="Verdana" w:hAnsi="Verdana"/>
          <w:sz w:val="22"/>
          <w:szCs w:val="22"/>
        </w:rPr>
        <w:t>)</w:t>
      </w:r>
    </w:p>
    <w:p w14:paraId="144BE431" w14:textId="77777777" w:rsidR="001A4D2F" w:rsidRPr="00A84B64" w:rsidRDefault="001A4D2F" w:rsidP="001A4D2F">
      <w:pPr>
        <w:spacing w:line="360" w:lineRule="auto"/>
        <w:ind w:right="-79"/>
        <w:jc w:val="both"/>
        <w:rPr>
          <w:rFonts w:ascii="Verdana" w:hAnsi="Verdana"/>
          <w:sz w:val="22"/>
          <w:szCs w:val="22"/>
        </w:rPr>
      </w:pPr>
    </w:p>
    <w:p w14:paraId="178AA32B" w14:textId="70875EC7" w:rsidR="001A4D2F" w:rsidRPr="00A84B64" w:rsidRDefault="001A4D2F" w:rsidP="001A4D2F">
      <w:pPr>
        <w:spacing w:line="360" w:lineRule="auto"/>
        <w:ind w:right="-79"/>
        <w:jc w:val="both"/>
        <w:rPr>
          <w:rFonts w:ascii="Verdana" w:hAnsi="Verdana"/>
          <w:sz w:val="22"/>
          <w:szCs w:val="22"/>
        </w:rPr>
      </w:pPr>
      <w:r w:rsidRPr="00A84B64">
        <w:rPr>
          <w:rFonts w:ascii="Verdana" w:hAnsi="Verdana"/>
          <w:sz w:val="22"/>
          <w:szCs w:val="22"/>
        </w:rPr>
        <w:t>En la que el valor presente R se determina multiplicando el valor histórico (R.H.), que es lo dejado de percibir por la parte demandante por concepto de los perjuicios reconocidos, por el guarismo que resulte de dividir el índice final de precios al consumidor certificado por el DANE, vigente a la fecha de la sentencia de primera instancia toda vez que hasta ese momento el A quo actualizó la deuda, por el índice vigente a la fecha de esta sentencia.</w:t>
      </w:r>
    </w:p>
    <w:p w14:paraId="2B94165D" w14:textId="3E4FC312" w:rsidR="00A95A3E" w:rsidRPr="00A84B64" w:rsidRDefault="00A95A3E" w:rsidP="000856E0">
      <w:pPr>
        <w:spacing w:line="360" w:lineRule="auto"/>
        <w:ind w:right="-79"/>
        <w:jc w:val="both"/>
      </w:pPr>
    </w:p>
    <w:p w14:paraId="069F5CE4" w14:textId="5C6436CC" w:rsidR="00D3544C" w:rsidRPr="00A84B64" w:rsidRDefault="00D3544C" w:rsidP="00D3544C">
      <w:pPr>
        <w:spacing w:line="360" w:lineRule="auto"/>
        <w:ind w:right="-79"/>
        <w:jc w:val="both"/>
        <w:rPr>
          <w:rFonts w:ascii="Verdana" w:hAnsi="Verdana"/>
          <w:sz w:val="22"/>
          <w:szCs w:val="22"/>
        </w:rPr>
      </w:pPr>
      <w:r w:rsidRPr="00A84B64">
        <w:rPr>
          <w:rFonts w:ascii="Verdana" w:hAnsi="Verdana"/>
          <w:sz w:val="22"/>
          <w:szCs w:val="22"/>
        </w:rPr>
        <w:t>El a quo reconoció a título de lucro cesante futuro la suma equivalente a $48.632.000</w:t>
      </w:r>
      <w:r w:rsidR="006D5D1D" w:rsidRPr="00A84B64">
        <w:rPr>
          <w:rFonts w:ascii="Verdana" w:hAnsi="Verdana"/>
          <w:sz w:val="22"/>
          <w:szCs w:val="22"/>
        </w:rPr>
        <w:t xml:space="preserve"> y a título de daño emergente consolidado la suma equivalente a $251.750, sumas que </w:t>
      </w:r>
      <w:r w:rsidRPr="00A84B64">
        <w:rPr>
          <w:rFonts w:ascii="Verdana" w:hAnsi="Verdana"/>
          <w:sz w:val="22"/>
          <w:szCs w:val="22"/>
        </w:rPr>
        <w:t>actualizada</w:t>
      </w:r>
      <w:r w:rsidR="006D5D1D" w:rsidRPr="00A84B64">
        <w:rPr>
          <w:rFonts w:ascii="Verdana" w:hAnsi="Verdana"/>
          <w:sz w:val="22"/>
          <w:szCs w:val="22"/>
        </w:rPr>
        <w:t>s</w:t>
      </w:r>
      <w:r w:rsidRPr="00A84B64">
        <w:rPr>
          <w:rFonts w:ascii="Verdana" w:hAnsi="Verdana"/>
          <w:sz w:val="22"/>
          <w:szCs w:val="22"/>
        </w:rPr>
        <w:t xml:space="preserve"> a la fecha de </w:t>
      </w:r>
      <w:r w:rsidR="006D5D1D" w:rsidRPr="00A84B64">
        <w:rPr>
          <w:rFonts w:ascii="Verdana" w:hAnsi="Verdana"/>
          <w:sz w:val="22"/>
          <w:szCs w:val="22"/>
        </w:rPr>
        <w:t>esta</w:t>
      </w:r>
      <w:r w:rsidRPr="00A84B64">
        <w:rPr>
          <w:rFonts w:ascii="Verdana" w:hAnsi="Verdana"/>
          <w:sz w:val="22"/>
          <w:szCs w:val="22"/>
        </w:rPr>
        <w:t xml:space="preserve"> sentencia arroja el siguiente valor:</w:t>
      </w:r>
    </w:p>
    <w:p w14:paraId="0EBD1B9D" w14:textId="77777777" w:rsidR="00D3544C" w:rsidRPr="00A84B64" w:rsidRDefault="00D3544C" w:rsidP="00D3544C">
      <w:pPr>
        <w:spacing w:line="360" w:lineRule="auto"/>
        <w:ind w:right="-79"/>
        <w:jc w:val="both"/>
        <w:rPr>
          <w:rFonts w:ascii="Verdana" w:hAnsi="Verdana"/>
          <w:sz w:val="22"/>
          <w:szCs w:val="22"/>
        </w:rPr>
      </w:pPr>
    </w:p>
    <w:p w14:paraId="6EFBBA0C" w14:textId="51A98FCA" w:rsidR="00D3544C" w:rsidRPr="00A84B64" w:rsidRDefault="00D3544C" w:rsidP="00D3544C">
      <w:pPr>
        <w:spacing w:line="360" w:lineRule="auto"/>
        <w:ind w:right="-79"/>
        <w:jc w:val="both"/>
        <w:rPr>
          <w:rFonts w:ascii="Verdana" w:hAnsi="Verdana"/>
          <w:sz w:val="22"/>
          <w:szCs w:val="22"/>
        </w:rPr>
      </w:pPr>
      <w:r w:rsidRPr="00A84B64">
        <w:rPr>
          <w:rFonts w:ascii="Verdana" w:hAnsi="Verdana"/>
          <w:sz w:val="22"/>
          <w:szCs w:val="22"/>
        </w:rPr>
        <w:t>R = $48.632.</w:t>
      </w:r>
      <w:proofErr w:type="gramStart"/>
      <w:r w:rsidRPr="00A84B64">
        <w:rPr>
          <w:rFonts w:ascii="Verdana" w:hAnsi="Verdana"/>
          <w:sz w:val="22"/>
          <w:szCs w:val="22"/>
        </w:rPr>
        <w:t>000  x</w:t>
      </w:r>
      <w:proofErr w:type="gramEnd"/>
      <w:r w:rsidRPr="00A84B64">
        <w:rPr>
          <w:rFonts w:ascii="Verdana" w:hAnsi="Verdana"/>
          <w:sz w:val="22"/>
          <w:szCs w:val="22"/>
        </w:rPr>
        <w:t xml:space="preserve"> </w:t>
      </w:r>
      <w:r w:rsidR="00284969" w:rsidRPr="00A84B64">
        <w:rPr>
          <w:rFonts w:ascii="Verdana" w:hAnsi="Verdana"/>
          <w:sz w:val="22"/>
          <w:szCs w:val="22"/>
        </w:rPr>
        <w:t xml:space="preserve">    </w:t>
      </w:r>
      <w:r w:rsidR="00284969" w:rsidRPr="00A84B64">
        <w:rPr>
          <w:rFonts w:ascii="Verdana" w:hAnsi="Verdana"/>
          <w:sz w:val="22"/>
          <w:szCs w:val="22"/>
          <w:u w:val="single"/>
        </w:rPr>
        <w:t xml:space="preserve">111,41 </w:t>
      </w:r>
      <w:r w:rsidR="00284969" w:rsidRPr="00A84B64">
        <w:rPr>
          <w:rFonts w:ascii="Verdana" w:hAnsi="Verdana"/>
          <w:sz w:val="16"/>
          <w:szCs w:val="16"/>
          <w:u w:val="single"/>
        </w:rPr>
        <w:t>(IPC Dic/2021)</w:t>
      </w:r>
      <w:r w:rsidR="00284969" w:rsidRPr="00A84B64">
        <w:rPr>
          <w:rFonts w:ascii="Verdana" w:hAnsi="Verdana"/>
          <w:sz w:val="16"/>
          <w:szCs w:val="16"/>
        </w:rPr>
        <w:t xml:space="preserve">   </w:t>
      </w:r>
      <w:r w:rsidRPr="00A84B64">
        <w:rPr>
          <w:rFonts w:ascii="Verdana" w:hAnsi="Verdana"/>
          <w:sz w:val="22"/>
          <w:szCs w:val="22"/>
        </w:rPr>
        <w:t xml:space="preserve">= $ </w:t>
      </w:r>
      <w:r w:rsidR="006D5D1D" w:rsidRPr="00A84B64">
        <w:rPr>
          <w:rFonts w:ascii="Verdana" w:hAnsi="Verdana"/>
          <w:sz w:val="22"/>
          <w:szCs w:val="22"/>
        </w:rPr>
        <w:t>51.615.615</w:t>
      </w:r>
    </w:p>
    <w:p w14:paraId="1706E616" w14:textId="0B972680" w:rsidR="004C773C" w:rsidRPr="00A84B64" w:rsidRDefault="00284969" w:rsidP="004C773C">
      <w:pPr>
        <w:spacing w:line="360" w:lineRule="auto"/>
        <w:ind w:right="-79"/>
        <w:jc w:val="both"/>
        <w:rPr>
          <w:rFonts w:ascii="Verdana" w:hAnsi="Verdana"/>
          <w:sz w:val="16"/>
          <w:szCs w:val="16"/>
        </w:rPr>
      </w:pPr>
      <w:r w:rsidRPr="00A84B64">
        <w:rPr>
          <w:rFonts w:ascii="Verdana" w:hAnsi="Verdana"/>
          <w:sz w:val="22"/>
          <w:szCs w:val="22"/>
        </w:rPr>
        <w:t xml:space="preserve">                                 104,97 </w:t>
      </w:r>
      <w:r w:rsidRPr="00A84B64">
        <w:rPr>
          <w:rFonts w:ascii="Verdana" w:hAnsi="Verdana"/>
          <w:sz w:val="16"/>
          <w:szCs w:val="16"/>
        </w:rPr>
        <w:t xml:space="preserve">(IPC Jun/2020)   </w:t>
      </w:r>
    </w:p>
    <w:p w14:paraId="40ACAFAD" w14:textId="3BDC5C03" w:rsidR="006D5D1D" w:rsidRPr="00A84B64" w:rsidRDefault="006D5D1D" w:rsidP="004C773C">
      <w:pPr>
        <w:spacing w:line="360" w:lineRule="auto"/>
        <w:ind w:right="-79"/>
        <w:jc w:val="both"/>
        <w:rPr>
          <w:rFonts w:ascii="Verdana" w:hAnsi="Verdana"/>
          <w:sz w:val="16"/>
          <w:szCs w:val="16"/>
        </w:rPr>
      </w:pPr>
    </w:p>
    <w:p w14:paraId="0FC2A29A" w14:textId="043A570C" w:rsidR="006D5D1D" w:rsidRPr="00A84B64" w:rsidRDefault="006D5D1D" w:rsidP="004C773C">
      <w:pPr>
        <w:spacing w:line="360" w:lineRule="auto"/>
        <w:ind w:right="-79"/>
        <w:jc w:val="both"/>
        <w:rPr>
          <w:rFonts w:ascii="Verdana" w:hAnsi="Verdana"/>
          <w:sz w:val="16"/>
          <w:szCs w:val="16"/>
        </w:rPr>
      </w:pPr>
    </w:p>
    <w:p w14:paraId="6196E074" w14:textId="1B85955D" w:rsidR="006D5D1D" w:rsidRPr="00A84B64" w:rsidRDefault="006D5D1D" w:rsidP="006D5D1D">
      <w:pPr>
        <w:spacing w:line="360" w:lineRule="auto"/>
        <w:ind w:right="-79"/>
        <w:jc w:val="both"/>
        <w:rPr>
          <w:rFonts w:ascii="Verdana" w:hAnsi="Verdana"/>
          <w:sz w:val="22"/>
          <w:szCs w:val="22"/>
        </w:rPr>
      </w:pPr>
      <w:r w:rsidRPr="00A84B64">
        <w:rPr>
          <w:rFonts w:ascii="Verdana" w:hAnsi="Verdana"/>
          <w:sz w:val="22"/>
          <w:szCs w:val="22"/>
        </w:rPr>
        <w:t>R = $251.</w:t>
      </w:r>
      <w:proofErr w:type="gramStart"/>
      <w:r w:rsidRPr="00A84B64">
        <w:rPr>
          <w:rFonts w:ascii="Verdana" w:hAnsi="Verdana"/>
          <w:sz w:val="22"/>
          <w:szCs w:val="22"/>
        </w:rPr>
        <w:t>750  x</w:t>
      </w:r>
      <w:proofErr w:type="gramEnd"/>
      <w:r w:rsidRPr="00A84B64">
        <w:rPr>
          <w:rFonts w:ascii="Verdana" w:hAnsi="Verdana"/>
          <w:sz w:val="22"/>
          <w:szCs w:val="22"/>
        </w:rPr>
        <w:t xml:space="preserve">        </w:t>
      </w:r>
      <w:r w:rsidRPr="00A84B64">
        <w:rPr>
          <w:rFonts w:ascii="Verdana" w:hAnsi="Verdana"/>
          <w:sz w:val="22"/>
          <w:szCs w:val="22"/>
          <w:u w:val="single"/>
        </w:rPr>
        <w:t xml:space="preserve">111,41 </w:t>
      </w:r>
      <w:r w:rsidRPr="00A84B64">
        <w:rPr>
          <w:rFonts w:ascii="Verdana" w:hAnsi="Verdana"/>
          <w:sz w:val="16"/>
          <w:szCs w:val="16"/>
          <w:u w:val="single"/>
        </w:rPr>
        <w:t>(IPC Dic/2021)</w:t>
      </w:r>
      <w:r w:rsidRPr="00A84B64">
        <w:rPr>
          <w:rFonts w:ascii="Verdana" w:hAnsi="Verdana"/>
          <w:sz w:val="16"/>
          <w:szCs w:val="16"/>
        </w:rPr>
        <w:t xml:space="preserve">   </w:t>
      </w:r>
      <w:r w:rsidRPr="00A84B64">
        <w:rPr>
          <w:rFonts w:ascii="Verdana" w:hAnsi="Verdana"/>
          <w:sz w:val="22"/>
          <w:szCs w:val="22"/>
        </w:rPr>
        <w:t>= $ 267.195</w:t>
      </w:r>
    </w:p>
    <w:p w14:paraId="5F1C1A38" w14:textId="1BF53917" w:rsidR="006D5D1D" w:rsidRPr="00A84B64" w:rsidRDefault="006D5D1D" w:rsidP="004C773C">
      <w:pPr>
        <w:spacing w:line="360" w:lineRule="auto"/>
        <w:ind w:right="-79"/>
        <w:jc w:val="both"/>
        <w:rPr>
          <w:rFonts w:ascii="Verdana" w:hAnsi="Verdana"/>
          <w:sz w:val="16"/>
          <w:szCs w:val="16"/>
        </w:rPr>
      </w:pPr>
      <w:r w:rsidRPr="00A84B64">
        <w:rPr>
          <w:rFonts w:ascii="Verdana" w:hAnsi="Verdana"/>
          <w:sz w:val="22"/>
          <w:szCs w:val="22"/>
        </w:rPr>
        <w:t xml:space="preserve">                                104,97 </w:t>
      </w:r>
      <w:r w:rsidRPr="00A84B64">
        <w:rPr>
          <w:rFonts w:ascii="Verdana" w:hAnsi="Verdana"/>
          <w:sz w:val="16"/>
          <w:szCs w:val="16"/>
        </w:rPr>
        <w:t xml:space="preserve">(IPC Jun/2020)   </w:t>
      </w:r>
    </w:p>
    <w:p w14:paraId="706091C5" w14:textId="43C532EB" w:rsidR="006D5D1D" w:rsidRPr="00A84B64" w:rsidRDefault="006D5D1D" w:rsidP="004C773C">
      <w:pPr>
        <w:spacing w:line="360" w:lineRule="auto"/>
        <w:ind w:right="-79"/>
        <w:jc w:val="both"/>
        <w:rPr>
          <w:rFonts w:ascii="Verdana" w:hAnsi="Verdana"/>
          <w:sz w:val="22"/>
          <w:szCs w:val="22"/>
        </w:rPr>
      </w:pPr>
    </w:p>
    <w:p w14:paraId="7F3F410D" w14:textId="6DE7ECA0" w:rsidR="006D5D1D" w:rsidRPr="00A84B64" w:rsidRDefault="006D5D1D" w:rsidP="004C773C">
      <w:pPr>
        <w:spacing w:line="360" w:lineRule="auto"/>
        <w:ind w:right="-79"/>
        <w:jc w:val="both"/>
        <w:rPr>
          <w:rFonts w:ascii="Verdana" w:hAnsi="Verdana"/>
          <w:sz w:val="22"/>
          <w:szCs w:val="22"/>
        </w:rPr>
      </w:pPr>
      <w:r w:rsidRPr="00A84B64">
        <w:rPr>
          <w:rFonts w:ascii="Verdana" w:hAnsi="Verdana"/>
          <w:sz w:val="22"/>
          <w:szCs w:val="22"/>
        </w:rPr>
        <w:t xml:space="preserve">En consecuencia, el valor a reconocer por concepto de actualización del lucro cesante </w:t>
      </w:r>
      <w:r w:rsidR="00BC4D10" w:rsidRPr="00A84B64">
        <w:rPr>
          <w:rFonts w:ascii="Verdana" w:hAnsi="Verdana"/>
          <w:sz w:val="22"/>
          <w:szCs w:val="22"/>
        </w:rPr>
        <w:t xml:space="preserve">futuro </w:t>
      </w:r>
      <w:r w:rsidRPr="00A84B64">
        <w:rPr>
          <w:rFonts w:ascii="Verdana" w:hAnsi="Verdana"/>
          <w:sz w:val="22"/>
          <w:szCs w:val="22"/>
        </w:rPr>
        <w:t xml:space="preserve">será de $ </w:t>
      </w:r>
      <w:r w:rsidR="008F0DF5" w:rsidRPr="00A84B64">
        <w:rPr>
          <w:rFonts w:ascii="Verdana" w:hAnsi="Verdana"/>
          <w:sz w:val="22"/>
          <w:szCs w:val="22"/>
        </w:rPr>
        <w:t>51.615.615 y por concepto de daño emergente consolidad</w:t>
      </w:r>
      <w:r w:rsidR="000C08FF" w:rsidRPr="00A84B64">
        <w:rPr>
          <w:rFonts w:ascii="Verdana" w:hAnsi="Verdana"/>
          <w:sz w:val="22"/>
          <w:szCs w:val="22"/>
        </w:rPr>
        <w:t>o</w:t>
      </w:r>
      <w:r w:rsidR="008F0DF5" w:rsidRPr="00A84B64">
        <w:rPr>
          <w:rFonts w:ascii="Verdana" w:hAnsi="Verdana"/>
          <w:sz w:val="22"/>
          <w:szCs w:val="22"/>
        </w:rPr>
        <w:t xml:space="preserve"> será de $267.195</w:t>
      </w:r>
      <w:r w:rsidRPr="00A84B64">
        <w:rPr>
          <w:rFonts w:ascii="Verdana" w:hAnsi="Verdana"/>
          <w:sz w:val="22"/>
          <w:szCs w:val="22"/>
        </w:rPr>
        <w:t>.</w:t>
      </w:r>
      <w:r w:rsidR="59790028" w:rsidRPr="00A84B64">
        <w:rPr>
          <w:rFonts w:ascii="Verdana" w:hAnsi="Verdana"/>
          <w:sz w:val="22"/>
          <w:szCs w:val="22"/>
        </w:rPr>
        <w:t xml:space="preserve"> En ese sentido se modificarán los numerales </w:t>
      </w:r>
      <w:r w:rsidR="00641C4C" w:rsidRPr="00A84B64">
        <w:rPr>
          <w:rFonts w:ascii="Verdana" w:hAnsi="Verdana"/>
          <w:sz w:val="22"/>
          <w:szCs w:val="22"/>
        </w:rPr>
        <w:t>SÉPTIMO</w:t>
      </w:r>
      <w:r w:rsidR="59790028" w:rsidRPr="00A84B64">
        <w:rPr>
          <w:rFonts w:ascii="Verdana" w:hAnsi="Verdana"/>
          <w:sz w:val="22"/>
          <w:szCs w:val="22"/>
        </w:rPr>
        <w:t xml:space="preserve"> y </w:t>
      </w:r>
      <w:r w:rsidR="00641C4C" w:rsidRPr="00A84B64">
        <w:rPr>
          <w:rFonts w:ascii="Verdana" w:hAnsi="Verdana"/>
          <w:sz w:val="22"/>
          <w:szCs w:val="22"/>
        </w:rPr>
        <w:t>OCTAVO</w:t>
      </w:r>
      <w:r w:rsidR="59790028" w:rsidRPr="00A84B64">
        <w:rPr>
          <w:rFonts w:ascii="Verdana" w:hAnsi="Verdana"/>
          <w:sz w:val="22"/>
          <w:szCs w:val="22"/>
        </w:rPr>
        <w:t xml:space="preserve"> de la sentencia apelada.</w:t>
      </w:r>
      <w:r w:rsidRPr="00A84B64">
        <w:rPr>
          <w:rFonts w:ascii="Verdana" w:hAnsi="Verdana"/>
          <w:sz w:val="22"/>
          <w:szCs w:val="22"/>
        </w:rPr>
        <w:t xml:space="preserve"> Para efectos de la actualización de las sumas reconocidas en SMLMV, habrá de tenerse en cuenta el salario vigente a la ejecutoria de la sentencia.</w:t>
      </w:r>
    </w:p>
    <w:p w14:paraId="1DAA1D81" w14:textId="223AA1C0" w:rsidR="00284969" w:rsidRPr="00A84B64" w:rsidRDefault="00284969" w:rsidP="004C773C">
      <w:pPr>
        <w:spacing w:line="360" w:lineRule="auto"/>
        <w:ind w:right="-79"/>
        <w:jc w:val="both"/>
        <w:rPr>
          <w:rFonts w:ascii="Verdana" w:hAnsi="Verdana"/>
          <w:sz w:val="22"/>
          <w:szCs w:val="22"/>
        </w:rPr>
      </w:pPr>
    </w:p>
    <w:p w14:paraId="3E5C0BF5" w14:textId="77777777" w:rsidR="00284969" w:rsidRPr="00A84B64" w:rsidRDefault="00284969" w:rsidP="004C773C">
      <w:pPr>
        <w:spacing w:line="360" w:lineRule="auto"/>
        <w:ind w:right="-79"/>
        <w:jc w:val="both"/>
        <w:rPr>
          <w:rFonts w:ascii="Verdana" w:hAnsi="Verdana"/>
          <w:sz w:val="22"/>
          <w:szCs w:val="22"/>
        </w:rPr>
      </w:pPr>
    </w:p>
    <w:p w14:paraId="1E23F0CF" w14:textId="0A08A26E" w:rsidR="004C773C" w:rsidRPr="00A84B64" w:rsidRDefault="000856E0" w:rsidP="6AD07303">
      <w:pPr>
        <w:pStyle w:val="Prrafodelista"/>
        <w:spacing w:line="360" w:lineRule="auto"/>
        <w:jc w:val="center"/>
        <w:rPr>
          <w:rFonts w:ascii="Verdana" w:hAnsi="Verdana" w:cs="Arial"/>
          <w:color w:val="FF0000"/>
          <w:sz w:val="22"/>
          <w:szCs w:val="22"/>
        </w:rPr>
      </w:pPr>
      <w:bookmarkStart w:id="13" w:name="_Hlk94062700"/>
      <w:r w:rsidRPr="00A84B64">
        <w:rPr>
          <w:rFonts w:ascii="Verdana" w:eastAsia="Times New Roman" w:hAnsi="Verdana" w:cs="Arial"/>
          <w:b/>
          <w:bCs/>
          <w:sz w:val="22"/>
          <w:szCs w:val="22"/>
        </w:rPr>
        <w:t>IV</w:t>
      </w:r>
      <w:r w:rsidR="004C773C" w:rsidRPr="00A84B64">
        <w:rPr>
          <w:rFonts w:ascii="Verdana" w:eastAsia="Times New Roman" w:hAnsi="Verdana" w:cs="Arial"/>
          <w:b/>
          <w:bCs/>
          <w:sz w:val="22"/>
          <w:szCs w:val="22"/>
        </w:rPr>
        <w:t xml:space="preserve">. </w:t>
      </w:r>
      <w:r w:rsidRPr="00A84B64">
        <w:rPr>
          <w:rFonts w:ascii="Verdana" w:eastAsia="Times New Roman" w:hAnsi="Verdana" w:cs="Arial"/>
          <w:b/>
          <w:bCs/>
          <w:sz w:val="22"/>
          <w:szCs w:val="22"/>
        </w:rPr>
        <w:t>DE LAS COSTAS</w:t>
      </w:r>
    </w:p>
    <w:p w14:paraId="63D9F809" w14:textId="77777777" w:rsidR="004C773C" w:rsidRPr="00A84B64" w:rsidRDefault="004C773C" w:rsidP="004C773C">
      <w:pPr>
        <w:spacing w:line="360" w:lineRule="auto"/>
        <w:ind w:right="-81"/>
        <w:jc w:val="both"/>
        <w:rPr>
          <w:rFonts w:ascii="Verdana" w:eastAsia="Times New Roman" w:hAnsi="Verdana" w:cs="Arial"/>
          <w:b/>
          <w:bCs/>
          <w:iCs/>
          <w:sz w:val="22"/>
          <w:szCs w:val="22"/>
        </w:rPr>
      </w:pPr>
      <w:r w:rsidRPr="00A84B64">
        <w:rPr>
          <w:rFonts w:ascii="Verdana" w:eastAsia="Times New Roman" w:hAnsi="Verdana" w:cs="Arial"/>
          <w:b/>
          <w:bCs/>
          <w:iCs/>
          <w:sz w:val="22"/>
          <w:szCs w:val="22"/>
        </w:rPr>
        <w:t xml:space="preserve"> </w:t>
      </w:r>
    </w:p>
    <w:p w14:paraId="3C0D4C02" w14:textId="707EA7C7" w:rsidR="004C773C" w:rsidRPr="00A84B64" w:rsidRDefault="00535F77" w:rsidP="004C773C">
      <w:pPr>
        <w:spacing w:line="360" w:lineRule="auto"/>
        <w:jc w:val="both"/>
        <w:rPr>
          <w:rFonts w:ascii="Verdana" w:eastAsia="Times New Roman" w:hAnsi="Verdana"/>
          <w:color w:val="000000" w:themeColor="text1"/>
          <w:sz w:val="22"/>
          <w:szCs w:val="22"/>
        </w:rPr>
      </w:pPr>
      <w:r w:rsidRPr="00A84B64">
        <w:rPr>
          <w:rFonts w:ascii="Verdana" w:eastAsia="Times New Roman" w:hAnsi="Verdana"/>
          <w:color w:val="000000" w:themeColor="text1"/>
          <w:sz w:val="22"/>
          <w:szCs w:val="22"/>
        </w:rPr>
        <w:lastRenderedPageBreak/>
        <w:t xml:space="preserve">De conformidad con lo previsto en </w:t>
      </w:r>
      <w:r w:rsidR="00A45CE2" w:rsidRPr="00A84B64">
        <w:rPr>
          <w:rFonts w:ascii="Verdana" w:eastAsia="Times New Roman" w:hAnsi="Verdana"/>
          <w:color w:val="000000" w:themeColor="text1"/>
          <w:sz w:val="22"/>
          <w:szCs w:val="22"/>
        </w:rPr>
        <w:t xml:space="preserve">el </w:t>
      </w:r>
      <w:r w:rsidRPr="00A84B64">
        <w:rPr>
          <w:rFonts w:ascii="Verdana" w:eastAsia="Times New Roman" w:hAnsi="Verdana"/>
          <w:color w:val="000000" w:themeColor="text1"/>
          <w:sz w:val="22"/>
          <w:szCs w:val="22"/>
        </w:rPr>
        <w:t>numeral 1º</w:t>
      </w:r>
      <w:r w:rsidR="00A45CE2" w:rsidRPr="00A84B64">
        <w:rPr>
          <w:rFonts w:ascii="Verdana" w:eastAsia="Times New Roman" w:hAnsi="Verdana"/>
          <w:color w:val="000000" w:themeColor="text1"/>
          <w:sz w:val="22"/>
          <w:szCs w:val="22"/>
        </w:rPr>
        <w:t xml:space="preserve"> </w:t>
      </w:r>
      <w:r w:rsidRPr="00A84B64">
        <w:rPr>
          <w:rFonts w:ascii="Verdana" w:eastAsia="Times New Roman" w:hAnsi="Verdana"/>
          <w:color w:val="000000" w:themeColor="text1"/>
          <w:sz w:val="22"/>
          <w:szCs w:val="22"/>
        </w:rPr>
        <w:t>del artículo 365 del CGP, l</w:t>
      </w:r>
      <w:r w:rsidR="004C773C" w:rsidRPr="00A84B64">
        <w:rPr>
          <w:rFonts w:ascii="Verdana" w:eastAsia="Times New Roman" w:hAnsi="Verdana"/>
          <w:color w:val="000000" w:themeColor="text1"/>
          <w:sz w:val="22"/>
          <w:szCs w:val="22"/>
        </w:rPr>
        <w:t xml:space="preserve">a Sala </w:t>
      </w:r>
      <w:r w:rsidR="00A45CE2" w:rsidRPr="00A84B64">
        <w:rPr>
          <w:rFonts w:ascii="Verdana" w:eastAsia="Times New Roman" w:hAnsi="Verdana"/>
          <w:color w:val="000000" w:themeColor="text1"/>
          <w:sz w:val="22"/>
          <w:szCs w:val="22"/>
        </w:rPr>
        <w:t xml:space="preserve">se abstendrá de </w:t>
      </w:r>
      <w:r w:rsidR="004C773C" w:rsidRPr="00A84B64">
        <w:rPr>
          <w:rFonts w:ascii="Verdana" w:eastAsia="Times New Roman" w:hAnsi="Verdana"/>
          <w:color w:val="000000" w:themeColor="text1"/>
          <w:sz w:val="22"/>
          <w:szCs w:val="22"/>
        </w:rPr>
        <w:t>condena</w:t>
      </w:r>
      <w:bookmarkStart w:id="14" w:name="_Hlk94062539"/>
      <w:r w:rsidR="00A45CE2" w:rsidRPr="00A84B64">
        <w:rPr>
          <w:rFonts w:ascii="Verdana" w:eastAsia="Times New Roman" w:hAnsi="Verdana"/>
          <w:color w:val="000000" w:themeColor="text1"/>
          <w:sz w:val="22"/>
          <w:szCs w:val="22"/>
        </w:rPr>
        <w:t>r</w:t>
      </w:r>
      <w:r w:rsidR="004C773C" w:rsidRPr="00A84B64">
        <w:rPr>
          <w:rFonts w:ascii="Verdana" w:eastAsia="Times New Roman" w:hAnsi="Verdana"/>
          <w:color w:val="000000" w:themeColor="text1"/>
          <w:sz w:val="22"/>
          <w:szCs w:val="22"/>
        </w:rPr>
        <w:t xml:space="preserve"> costas</w:t>
      </w:r>
      <w:r w:rsidR="00A45CE2" w:rsidRPr="00A84B64">
        <w:rPr>
          <w:rFonts w:ascii="Verdana" w:eastAsia="Times New Roman" w:hAnsi="Verdana"/>
          <w:color w:val="000000" w:themeColor="text1"/>
          <w:sz w:val="22"/>
          <w:szCs w:val="22"/>
        </w:rPr>
        <w:t xml:space="preserve"> pues si bien </w:t>
      </w:r>
      <w:r w:rsidR="004C773C" w:rsidRPr="00A84B64">
        <w:rPr>
          <w:rFonts w:ascii="Verdana" w:eastAsia="Times New Roman" w:hAnsi="Verdana"/>
          <w:color w:val="000000" w:themeColor="text1"/>
          <w:sz w:val="22"/>
          <w:szCs w:val="22"/>
        </w:rPr>
        <w:t xml:space="preserve">a la parte actora </w:t>
      </w:r>
      <w:r w:rsidRPr="00A84B64">
        <w:rPr>
          <w:rFonts w:ascii="Verdana" w:eastAsia="Times New Roman" w:hAnsi="Verdana"/>
          <w:color w:val="000000" w:themeColor="text1"/>
          <w:sz w:val="22"/>
          <w:szCs w:val="22"/>
        </w:rPr>
        <w:t>y a la parte demandada Instituto Nacional Penitenciario – INPEC</w:t>
      </w:r>
      <w:r w:rsidR="004D3DF1" w:rsidRPr="00A84B64">
        <w:rPr>
          <w:rFonts w:ascii="Verdana" w:eastAsia="Times New Roman" w:hAnsi="Verdana"/>
          <w:color w:val="000000" w:themeColor="text1"/>
          <w:sz w:val="22"/>
          <w:szCs w:val="22"/>
        </w:rPr>
        <w:t xml:space="preserve">, </w:t>
      </w:r>
      <w:r w:rsidR="00A45CE2" w:rsidRPr="00A84B64">
        <w:rPr>
          <w:rFonts w:ascii="Verdana" w:eastAsia="Times New Roman" w:hAnsi="Verdana"/>
          <w:color w:val="000000" w:themeColor="text1"/>
          <w:sz w:val="22"/>
          <w:szCs w:val="22"/>
        </w:rPr>
        <w:t>se le resolvieron desfavorablemente los recursos de apelación, al litisconsorte necesario</w:t>
      </w:r>
      <w:r w:rsidRPr="00A84B64">
        <w:rPr>
          <w:rFonts w:ascii="Verdana" w:eastAsia="Times New Roman" w:hAnsi="Verdana"/>
          <w:color w:val="000000" w:themeColor="text1"/>
          <w:sz w:val="22"/>
          <w:szCs w:val="22"/>
        </w:rPr>
        <w:t xml:space="preserve"> Seguros Vida del Estado S.A. </w:t>
      </w:r>
      <w:bookmarkEnd w:id="14"/>
      <w:r w:rsidR="00A45CE2" w:rsidRPr="00A84B64">
        <w:rPr>
          <w:rFonts w:ascii="Verdana" w:eastAsia="Times New Roman" w:hAnsi="Verdana"/>
          <w:color w:val="000000" w:themeColor="text1"/>
          <w:sz w:val="22"/>
          <w:szCs w:val="22"/>
        </w:rPr>
        <w:t>también se le resolvió parcialmente desfavorable su recurso de apelación</w:t>
      </w:r>
      <w:r w:rsidR="004C773C" w:rsidRPr="00A84B64">
        <w:rPr>
          <w:rFonts w:ascii="Verdana" w:eastAsia="Times New Roman" w:hAnsi="Verdana"/>
          <w:color w:val="000000" w:themeColor="text1"/>
          <w:sz w:val="22"/>
          <w:szCs w:val="22"/>
        </w:rPr>
        <w:t xml:space="preserve">. </w:t>
      </w:r>
    </w:p>
    <w:p w14:paraId="44C55595" w14:textId="77777777" w:rsidR="004C773C" w:rsidRPr="00A84B64" w:rsidRDefault="004C773C" w:rsidP="004C773C">
      <w:pPr>
        <w:spacing w:line="360" w:lineRule="auto"/>
        <w:jc w:val="both"/>
        <w:rPr>
          <w:rFonts w:ascii="Verdana" w:eastAsia="Times New Roman" w:hAnsi="Verdana"/>
          <w:sz w:val="22"/>
          <w:szCs w:val="22"/>
        </w:rPr>
      </w:pPr>
    </w:p>
    <w:p w14:paraId="6170FCFC" w14:textId="77777777" w:rsidR="004C773C" w:rsidRPr="00A84B64" w:rsidRDefault="004C773C" w:rsidP="004C773C">
      <w:pPr>
        <w:pStyle w:val="Prrafodelista"/>
        <w:numPr>
          <w:ilvl w:val="0"/>
          <w:numId w:val="17"/>
        </w:numPr>
        <w:spacing w:line="276" w:lineRule="auto"/>
        <w:jc w:val="center"/>
        <w:rPr>
          <w:rFonts w:ascii="Verdana" w:hAnsi="Verdana" w:cs="Arial"/>
          <w:b/>
          <w:bCs/>
          <w:sz w:val="22"/>
          <w:szCs w:val="22"/>
        </w:rPr>
      </w:pPr>
      <w:r w:rsidRPr="00A84B64">
        <w:rPr>
          <w:rFonts w:ascii="Verdana" w:hAnsi="Verdana" w:cs="Arial"/>
          <w:b/>
          <w:bCs/>
          <w:sz w:val="22"/>
          <w:szCs w:val="22"/>
        </w:rPr>
        <w:t>D E C I S I O N</w:t>
      </w:r>
    </w:p>
    <w:p w14:paraId="46A630CE" w14:textId="77777777" w:rsidR="004C773C" w:rsidRPr="00A84B64" w:rsidRDefault="004C773C" w:rsidP="004C773C">
      <w:pPr>
        <w:pStyle w:val="Textoindependiente"/>
        <w:rPr>
          <w:rFonts w:ascii="Verdana" w:hAnsi="Verdana" w:cs="Arial"/>
          <w:sz w:val="22"/>
          <w:szCs w:val="22"/>
        </w:rPr>
      </w:pPr>
    </w:p>
    <w:p w14:paraId="70AB1FD5" w14:textId="77777777" w:rsidR="004C773C"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 xml:space="preserve">En mérito de lo expuesto, la Sala de Decisión No. 6 del Tribunal Administrativo de Boyacá, administrando justicia en nombre de la República y por autoridad de la Ley, </w:t>
      </w:r>
    </w:p>
    <w:p w14:paraId="6FF115C7" w14:textId="77777777" w:rsidR="004C773C" w:rsidRPr="00A84B64" w:rsidRDefault="004C773C" w:rsidP="004C773C">
      <w:pPr>
        <w:jc w:val="both"/>
        <w:rPr>
          <w:rFonts w:ascii="Verdana" w:hAnsi="Verdana" w:cs="Arial"/>
          <w:b/>
          <w:sz w:val="22"/>
          <w:szCs w:val="22"/>
        </w:rPr>
      </w:pPr>
    </w:p>
    <w:p w14:paraId="0EDD669C" w14:textId="77777777" w:rsidR="004C773C" w:rsidRPr="00A84B64" w:rsidRDefault="004C773C" w:rsidP="004C773C">
      <w:pPr>
        <w:spacing w:line="276" w:lineRule="auto"/>
        <w:jc w:val="center"/>
        <w:rPr>
          <w:rFonts w:ascii="Verdana" w:hAnsi="Verdana" w:cs="Arial"/>
          <w:b/>
          <w:sz w:val="22"/>
          <w:szCs w:val="22"/>
        </w:rPr>
      </w:pPr>
      <w:r w:rsidRPr="00A84B64">
        <w:rPr>
          <w:rFonts w:ascii="Verdana" w:hAnsi="Verdana" w:cs="Arial"/>
          <w:b/>
          <w:sz w:val="22"/>
          <w:szCs w:val="22"/>
        </w:rPr>
        <w:t xml:space="preserve">F A L </w:t>
      </w:r>
      <w:proofErr w:type="spellStart"/>
      <w:r w:rsidRPr="00A84B64">
        <w:rPr>
          <w:rFonts w:ascii="Verdana" w:hAnsi="Verdana" w:cs="Arial"/>
          <w:b/>
          <w:sz w:val="22"/>
          <w:szCs w:val="22"/>
        </w:rPr>
        <w:t>L</w:t>
      </w:r>
      <w:proofErr w:type="spellEnd"/>
      <w:r w:rsidRPr="00A84B64">
        <w:rPr>
          <w:rFonts w:ascii="Verdana" w:hAnsi="Verdana" w:cs="Arial"/>
          <w:b/>
          <w:sz w:val="22"/>
          <w:szCs w:val="22"/>
        </w:rPr>
        <w:t xml:space="preserve"> A:</w:t>
      </w:r>
    </w:p>
    <w:p w14:paraId="5EB63720" w14:textId="77777777" w:rsidR="004C773C" w:rsidRPr="00A84B64" w:rsidRDefault="004C773C" w:rsidP="004C773C">
      <w:pPr>
        <w:spacing w:line="276" w:lineRule="auto"/>
        <w:jc w:val="center"/>
        <w:rPr>
          <w:rStyle w:val="Nmerodepgina"/>
          <w:rFonts w:ascii="Verdana" w:hAnsi="Verdana" w:cs="Arial"/>
          <w:sz w:val="22"/>
          <w:szCs w:val="22"/>
        </w:rPr>
      </w:pPr>
    </w:p>
    <w:p w14:paraId="0F6DB945" w14:textId="25D44BA8" w:rsidR="004C773C" w:rsidRPr="00A84B64" w:rsidRDefault="004C773C" w:rsidP="6AD07303">
      <w:pPr>
        <w:widowControl w:val="0"/>
        <w:spacing w:line="360" w:lineRule="auto"/>
        <w:jc w:val="both"/>
        <w:rPr>
          <w:rStyle w:val="Nmerodepgina"/>
          <w:rFonts w:ascii="Verdana" w:hAnsi="Verdana" w:cs="Arial"/>
          <w:color w:val="FF0000"/>
          <w:sz w:val="22"/>
          <w:szCs w:val="22"/>
        </w:rPr>
      </w:pPr>
      <w:r w:rsidRPr="00A84B64">
        <w:rPr>
          <w:rStyle w:val="Nmerodepgina"/>
          <w:rFonts w:ascii="Verdana" w:hAnsi="Verdana" w:cs="Arial"/>
          <w:b/>
          <w:bCs/>
          <w:sz w:val="22"/>
          <w:szCs w:val="22"/>
        </w:rPr>
        <w:t xml:space="preserve">PRIMERO: </w:t>
      </w:r>
      <w:r w:rsidR="53273F2E" w:rsidRPr="00A84B64">
        <w:rPr>
          <w:rStyle w:val="Nmerodepgina"/>
          <w:rFonts w:ascii="Verdana" w:hAnsi="Verdana" w:cs="Arial"/>
          <w:b/>
          <w:bCs/>
          <w:sz w:val="22"/>
          <w:szCs w:val="22"/>
        </w:rPr>
        <w:t xml:space="preserve">MODIFICAR </w:t>
      </w:r>
      <w:r w:rsidR="53273F2E" w:rsidRPr="00A84B64">
        <w:rPr>
          <w:rStyle w:val="Nmerodepgina"/>
          <w:rFonts w:ascii="Verdana" w:hAnsi="Verdana" w:cs="Arial"/>
          <w:sz w:val="22"/>
          <w:szCs w:val="22"/>
        </w:rPr>
        <w:t>los numerales CUARTO, QUINTO, SEXTO, SÉPTIMO, OCTAVO Y NOVENO de la parte resolutiva de</w:t>
      </w:r>
      <w:r w:rsidRPr="00A84B64">
        <w:rPr>
          <w:rStyle w:val="Nmerodepgina"/>
          <w:rFonts w:ascii="Verdana" w:hAnsi="Verdana" w:cs="Arial"/>
          <w:b/>
          <w:bCs/>
          <w:sz w:val="22"/>
          <w:szCs w:val="22"/>
        </w:rPr>
        <w:t xml:space="preserve"> </w:t>
      </w:r>
      <w:r w:rsidRPr="00A84B64">
        <w:rPr>
          <w:rStyle w:val="Nmerodepgina"/>
          <w:rFonts w:ascii="Verdana" w:hAnsi="Verdana" w:cs="Arial"/>
          <w:sz w:val="22"/>
          <w:szCs w:val="22"/>
        </w:rPr>
        <w:t xml:space="preserve">la sentencia de primera instancia proferida </w:t>
      </w:r>
      <w:r w:rsidR="009E41C8" w:rsidRPr="00A84B64">
        <w:rPr>
          <w:rFonts w:ascii="Verdana" w:hAnsi="Verdana" w:cs="Arial"/>
          <w:sz w:val="22"/>
          <w:szCs w:val="22"/>
        </w:rPr>
        <w:t xml:space="preserve">el 26 de junio del 2020 </w:t>
      </w:r>
      <w:r w:rsidRPr="00A84B64">
        <w:rPr>
          <w:rStyle w:val="Nmerodepgina"/>
          <w:rFonts w:ascii="Verdana" w:hAnsi="Verdana" w:cs="Arial"/>
          <w:sz w:val="22"/>
          <w:szCs w:val="22"/>
        </w:rPr>
        <w:t xml:space="preserve">por el </w:t>
      </w:r>
      <w:r w:rsidRPr="00A84B64">
        <w:rPr>
          <w:rFonts w:ascii="Verdana" w:hAnsi="Verdana" w:cs="Arial"/>
          <w:sz w:val="22"/>
          <w:szCs w:val="22"/>
        </w:rPr>
        <w:t xml:space="preserve">Juzgado Trece Administrativo del Circuito Judicial de Tunja, </w:t>
      </w:r>
      <w:r w:rsidR="272C47CF" w:rsidRPr="00A84B64">
        <w:rPr>
          <w:rFonts w:ascii="Verdana" w:hAnsi="Verdana" w:cs="Arial"/>
          <w:sz w:val="22"/>
          <w:szCs w:val="22"/>
        </w:rPr>
        <w:t>los cuales quedarán de la siguiente manera,</w:t>
      </w:r>
      <w:r w:rsidRPr="00A84B64">
        <w:rPr>
          <w:rStyle w:val="Nmerodepgina"/>
          <w:rFonts w:ascii="Verdana" w:hAnsi="Verdana" w:cs="Arial"/>
          <w:sz w:val="22"/>
          <w:szCs w:val="22"/>
        </w:rPr>
        <w:t xml:space="preserve"> </w:t>
      </w:r>
      <w:r w:rsidR="009E41C8" w:rsidRPr="00A84B64">
        <w:rPr>
          <w:rStyle w:val="Nmerodepgina"/>
          <w:rFonts w:ascii="Verdana" w:hAnsi="Verdana" w:cs="Arial"/>
          <w:sz w:val="22"/>
          <w:szCs w:val="22"/>
        </w:rPr>
        <w:t>conforme a lo expuesto en la parte motiva</w:t>
      </w:r>
      <w:r w:rsidRPr="00A84B64">
        <w:rPr>
          <w:rStyle w:val="Nmerodepgina"/>
          <w:rFonts w:ascii="Verdana" w:hAnsi="Verdana" w:cs="Arial"/>
          <w:sz w:val="22"/>
          <w:szCs w:val="22"/>
        </w:rPr>
        <w:t xml:space="preserve">: </w:t>
      </w:r>
    </w:p>
    <w:p w14:paraId="7F693C18" w14:textId="77777777" w:rsidR="004C773C" w:rsidRPr="00A84B64" w:rsidRDefault="004C773C" w:rsidP="004C773C">
      <w:pPr>
        <w:widowControl w:val="0"/>
        <w:spacing w:line="360" w:lineRule="auto"/>
        <w:jc w:val="both"/>
        <w:rPr>
          <w:rStyle w:val="Nmerodepgina"/>
          <w:rFonts w:ascii="Verdana" w:hAnsi="Verdana" w:cs="Arial"/>
          <w:b/>
          <w:sz w:val="22"/>
          <w:szCs w:val="22"/>
        </w:rPr>
      </w:pPr>
    </w:p>
    <w:p w14:paraId="03334F1F" w14:textId="5D2F4AB8"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b/>
          <w:bCs/>
          <w:sz w:val="22"/>
          <w:szCs w:val="22"/>
        </w:rPr>
        <w:t xml:space="preserve">CUARTO: DECLARAR </w:t>
      </w:r>
      <w:r w:rsidRPr="00A84B64">
        <w:rPr>
          <w:rStyle w:val="Nmerodepgina"/>
          <w:rFonts w:ascii="Verdana" w:hAnsi="Verdana" w:cs="Arial"/>
          <w:sz w:val="22"/>
          <w:szCs w:val="22"/>
        </w:rPr>
        <w:t xml:space="preserve">patrimonialmente responsable al Instituto Nacional Penitenciario y Carcelario – INPEC, por los perjuicios materiales e inmateriales causados a los demandantes con ocasión </w:t>
      </w:r>
      <w:r w:rsidR="73E21DE4" w:rsidRPr="00A84B64">
        <w:rPr>
          <w:rStyle w:val="Nmerodepgina"/>
          <w:rFonts w:ascii="Verdana" w:hAnsi="Verdana" w:cs="Arial"/>
          <w:sz w:val="22"/>
          <w:szCs w:val="22"/>
        </w:rPr>
        <w:t>de</w:t>
      </w:r>
      <w:r w:rsidRPr="00A84B64">
        <w:rPr>
          <w:rStyle w:val="Nmerodepgina"/>
          <w:rFonts w:ascii="Verdana" w:hAnsi="Verdana" w:cs="Arial"/>
          <w:sz w:val="22"/>
          <w:szCs w:val="22"/>
        </w:rPr>
        <w:t xml:space="preserve"> la lesión sufrida por Luis Eduardo Ávila Ga</w:t>
      </w:r>
      <w:r w:rsidR="008B64DE" w:rsidRPr="00A84B64">
        <w:rPr>
          <w:rStyle w:val="Nmerodepgina"/>
          <w:rFonts w:ascii="Verdana" w:hAnsi="Verdana" w:cs="Arial"/>
          <w:sz w:val="22"/>
          <w:szCs w:val="22"/>
        </w:rPr>
        <w:t>itán</w:t>
      </w:r>
      <w:r w:rsidR="734F00DA" w:rsidRPr="00A84B64">
        <w:rPr>
          <w:rStyle w:val="Nmerodepgina"/>
          <w:rFonts w:ascii="Verdana" w:hAnsi="Verdana" w:cs="Arial"/>
          <w:sz w:val="22"/>
          <w:szCs w:val="22"/>
        </w:rPr>
        <w:t xml:space="preserve"> con ocasión de la prestación del servicio militar obligatorio</w:t>
      </w:r>
      <w:r w:rsidRPr="00A84B64">
        <w:rPr>
          <w:rStyle w:val="Nmerodepgina"/>
          <w:rFonts w:ascii="Verdana" w:hAnsi="Verdana" w:cs="Arial"/>
          <w:sz w:val="22"/>
          <w:szCs w:val="22"/>
        </w:rPr>
        <w:t xml:space="preserve">, de acuerdo a la parte motiva de </w:t>
      </w:r>
      <w:r w:rsidR="7A48B448" w:rsidRPr="00A84B64">
        <w:rPr>
          <w:rStyle w:val="Nmerodepgina"/>
          <w:rFonts w:ascii="Verdana" w:hAnsi="Verdana" w:cs="Arial"/>
          <w:sz w:val="22"/>
          <w:szCs w:val="22"/>
        </w:rPr>
        <w:t>est</w:t>
      </w:r>
      <w:r w:rsidRPr="00A84B64">
        <w:rPr>
          <w:rStyle w:val="Nmerodepgina"/>
          <w:rFonts w:ascii="Verdana" w:hAnsi="Verdana" w:cs="Arial"/>
          <w:sz w:val="22"/>
          <w:szCs w:val="22"/>
        </w:rPr>
        <w:t>a providencia.</w:t>
      </w:r>
    </w:p>
    <w:p w14:paraId="626F090A" w14:textId="77777777" w:rsidR="004C773C" w:rsidRPr="00A84B64" w:rsidRDefault="004C773C" w:rsidP="004C773C">
      <w:pPr>
        <w:widowControl w:val="0"/>
        <w:spacing w:line="360" w:lineRule="auto"/>
        <w:ind w:left="708"/>
        <w:jc w:val="both"/>
        <w:rPr>
          <w:rStyle w:val="Nmerodepgina"/>
          <w:rFonts w:ascii="Verdana" w:hAnsi="Verdana" w:cs="Arial"/>
          <w:b/>
          <w:sz w:val="22"/>
          <w:szCs w:val="22"/>
        </w:rPr>
      </w:pPr>
    </w:p>
    <w:p w14:paraId="58BAA7FD"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b/>
          <w:sz w:val="22"/>
          <w:szCs w:val="22"/>
        </w:rPr>
        <w:t xml:space="preserve">QUINTO: CONDENAR </w:t>
      </w:r>
      <w:r w:rsidRPr="00A84B64">
        <w:rPr>
          <w:rStyle w:val="Nmerodepgina"/>
          <w:rFonts w:ascii="Verdana" w:hAnsi="Verdana" w:cs="Arial"/>
          <w:sz w:val="22"/>
          <w:szCs w:val="22"/>
        </w:rPr>
        <w:t>al Instituto Nacional Penitenciario y Carcelario – INPEC, a pagar las siguientes sumas por concepto de daño moral:</w:t>
      </w:r>
    </w:p>
    <w:p w14:paraId="0BCB8036"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p>
    <w:p w14:paraId="19024F4B"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sz w:val="22"/>
          <w:szCs w:val="22"/>
        </w:rPr>
        <w:t>- A favor de Luis Eduardo Ávila Gaitán (víctima) la suma de cuarenta salarios mínimos mensuales legales vigentes (40 SMMLV).</w:t>
      </w:r>
    </w:p>
    <w:p w14:paraId="08A8A227"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sz w:val="22"/>
          <w:szCs w:val="22"/>
        </w:rPr>
        <w:t>- A favor de Luz Miriam Gaitán Aguilar (madre) la suma de cuarenta salarios mínimos mensuales legales vigentes (40 SMMLV).</w:t>
      </w:r>
    </w:p>
    <w:p w14:paraId="48616498"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sz w:val="22"/>
          <w:szCs w:val="22"/>
        </w:rPr>
        <w:t>- A favor de Luis Eduardo Ávila Sierra (padre) la suma de cuarenta salarios mínimos mensuales legales vigentes (40 SMMLV).</w:t>
      </w:r>
    </w:p>
    <w:p w14:paraId="5B5CFE6C"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sz w:val="22"/>
          <w:szCs w:val="22"/>
        </w:rPr>
        <w:t xml:space="preserve">- A favor de </w:t>
      </w:r>
      <w:proofErr w:type="spellStart"/>
      <w:r w:rsidRPr="00A84B64">
        <w:rPr>
          <w:rStyle w:val="Nmerodepgina"/>
          <w:rFonts w:ascii="Verdana" w:hAnsi="Verdana" w:cs="Arial"/>
          <w:sz w:val="22"/>
          <w:szCs w:val="22"/>
        </w:rPr>
        <w:t>Heidy</w:t>
      </w:r>
      <w:proofErr w:type="spellEnd"/>
      <w:r w:rsidRPr="00A84B64">
        <w:rPr>
          <w:rStyle w:val="Nmerodepgina"/>
          <w:rFonts w:ascii="Verdana" w:hAnsi="Verdana" w:cs="Arial"/>
          <w:sz w:val="22"/>
          <w:szCs w:val="22"/>
        </w:rPr>
        <w:t xml:space="preserve"> Valentina Ávila Gaitán (hermana) la suma de veinte salarios mínimos mensuales vigentes (20 SMMLV)</w:t>
      </w:r>
    </w:p>
    <w:p w14:paraId="199961F5" w14:textId="579CB0E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sz w:val="22"/>
          <w:szCs w:val="22"/>
        </w:rPr>
        <w:t xml:space="preserve">- A favor de Ian Jerónimo Ávila Gaitán (hermano) la suma de veinte </w:t>
      </w:r>
      <w:r w:rsidRPr="00A84B64">
        <w:rPr>
          <w:rStyle w:val="Nmerodepgina"/>
          <w:rFonts w:ascii="Verdana" w:hAnsi="Verdana" w:cs="Arial"/>
          <w:sz w:val="22"/>
          <w:szCs w:val="22"/>
        </w:rPr>
        <w:lastRenderedPageBreak/>
        <w:t>salarios mínimos mensuales vigentes (20 SMMLV)</w:t>
      </w:r>
      <w:r w:rsidR="008B64DE" w:rsidRPr="00A84B64">
        <w:rPr>
          <w:rStyle w:val="Nmerodepgina"/>
          <w:rFonts w:ascii="Verdana" w:hAnsi="Verdana" w:cs="Arial"/>
          <w:sz w:val="22"/>
          <w:szCs w:val="22"/>
        </w:rPr>
        <w:t>.</w:t>
      </w:r>
    </w:p>
    <w:p w14:paraId="2C4FBCFC" w14:textId="77777777" w:rsidR="004C773C" w:rsidRPr="00A84B64" w:rsidRDefault="004C773C" w:rsidP="004C773C">
      <w:pPr>
        <w:widowControl w:val="0"/>
        <w:spacing w:line="360" w:lineRule="auto"/>
        <w:ind w:left="708"/>
        <w:jc w:val="both"/>
        <w:rPr>
          <w:rStyle w:val="Nmerodepgina"/>
          <w:rFonts w:ascii="Verdana" w:hAnsi="Verdana" w:cs="Arial"/>
          <w:b/>
          <w:sz w:val="22"/>
          <w:szCs w:val="22"/>
        </w:rPr>
      </w:pPr>
    </w:p>
    <w:p w14:paraId="0A11E63E" w14:textId="77777777"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b/>
          <w:sz w:val="22"/>
          <w:szCs w:val="22"/>
        </w:rPr>
        <w:t xml:space="preserve">SEXTO: CONDENAR </w:t>
      </w:r>
      <w:r w:rsidRPr="00A84B64">
        <w:rPr>
          <w:rStyle w:val="Nmerodepgina"/>
          <w:rFonts w:ascii="Verdana" w:hAnsi="Verdana" w:cs="Arial"/>
          <w:sz w:val="22"/>
          <w:szCs w:val="22"/>
        </w:rPr>
        <w:t>al Instituto Nacional Penitenciario y Carcelario – INPEC, a pagar a Luis Eduardo Ávila Gaitán (víctima) la suma de CUARENTA SALARIOS MÍNIMOS MENSUALES LEGALES VIGENTES (40 SMMLV) por concepto de daño a la salud.</w:t>
      </w:r>
    </w:p>
    <w:p w14:paraId="6BBA9211" w14:textId="77777777" w:rsidR="004C773C" w:rsidRPr="00A84B64" w:rsidRDefault="004C773C" w:rsidP="004C773C">
      <w:pPr>
        <w:widowControl w:val="0"/>
        <w:spacing w:line="360" w:lineRule="auto"/>
        <w:ind w:left="708"/>
        <w:jc w:val="both"/>
        <w:rPr>
          <w:rStyle w:val="Nmerodepgina"/>
          <w:rFonts w:ascii="Verdana" w:hAnsi="Verdana" w:cs="Arial"/>
          <w:b/>
          <w:sz w:val="22"/>
          <w:szCs w:val="22"/>
        </w:rPr>
      </w:pPr>
    </w:p>
    <w:p w14:paraId="6F828332" w14:textId="27738283" w:rsidR="004C773C" w:rsidRPr="00A84B64" w:rsidRDefault="004C773C" w:rsidP="004C773C">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b/>
          <w:bCs/>
          <w:sz w:val="22"/>
          <w:szCs w:val="22"/>
        </w:rPr>
        <w:t xml:space="preserve">SÉPTIMO: CONDENAR </w:t>
      </w:r>
      <w:r w:rsidRPr="00A84B64">
        <w:rPr>
          <w:rStyle w:val="Nmerodepgina"/>
          <w:rFonts w:ascii="Verdana" w:hAnsi="Verdana" w:cs="Arial"/>
          <w:sz w:val="22"/>
          <w:szCs w:val="22"/>
        </w:rPr>
        <w:t xml:space="preserve">al Instituto Nacional Penitenciario y Carcelario – INPEC, a pagar a Luis Eduardo Ávila Gaitán (víctima) la suma de </w:t>
      </w:r>
      <w:r w:rsidR="0706988A" w:rsidRPr="00A84B64">
        <w:rPr>
          <w:rStyle w:val="Nmerodepgina"/>
          <w:rFonts w:ascii="Verdana" w:hAnsi="Verdana" w:cs="Arial"/>
          <w:sz w:val="22"/>
          <w:szCs w:val="22"/>
        </w:rPr>
        <w:t>CINCUENTA Y UN MILLONES SEISCIENTOS QUINCE MIL SEISCIENTOS QUINCE</w:t>
      </w:r>
      <w:r w:rsidRPr="00A84B64">
        <w:rPr>
          <w:rStyle w:val="Nmerodepgina"/>
          <w:rFonts w:ascii="Verdana" w:hAnsi="Verdana" w:cs="Arial"/>
          <w:sz w:val="22"/>
          <w:szCs w:val="22"/>
        </w:rPr>
        <w:t xml:space="preserve"> </w:t>
      </w:r>
      <w:r w:rsidR="0BB7F19A" w:rsidRPr="00A84B64">
        <w:rPr>
          <w:rStyle w:val="Nmerodepgina"/>
          <w:rFonts w:ascii="Verdana" w:hAnsi="Verdana" w:cs="Arial"/>
          <w:sz w:val="22"/>
          <w:szCs w:val="22"/>
        </w:rPr>
        <w:t xml:space="preserve">PESOS </w:t>
      </w:r>
      <w:r w:rsidRPr="00A84B64">
        <w:rPr>
          <w:rStyle w:val="Nmerodepgina"/>
          <w:rFonts w:ascii="Verdana" w:hAnsi="Verdana" w:cs="Arial"/>
          <w:sz w:val="22"/>
          <w:szCs w:val="22"/>
        </w:rPr>
        <w:t>($</w:t>
      </w:r>
      <w:r w:rsidR="15F78FB3" w:rsidRPr="00A84B64">
        <w:rPr>
          <w:rStyle w:val="Nmerodepgina"/>
          <w:rFonts w:ascii="Verdana" w:hAnsi="Verdana" w:cs="Arial"/>
          <w:sz w:val="22"/>
          <w:szCs w:val="22"/>
        </w:rPr>
        <w:t>51</w:t>
      </w:r>
      <w:r w:rsidRPr="00A84B64">
        <w:rPr>
          <w:rStyle w:val="Nmerodepgina"/>
          <w:rFonts w:ascii="Verdana" w:hAnsi="Verdana" w:cs="Arial"/>
          <w:sz w:val="22"/>
          <w:szCs w:val="22"/>
        </w:rPr>
        <w:t>.6</w:t>
      </w:r>
      <w:r w:rsidR="15199C48" w:rsidRPr="00A84B64">
        <w:rPr>
          <w:rStyle w:val="Nmerodepgina"/>
          <w:rFonts w:ascii="Verdana" w:hAnsi="Verdana" w:cs="Arial"/>
          <w:sz w:val="22"/>
          <w:szCs w:val="22"/>
        </w:rPr>
        <w:t>15</w:t>
      </w:r>
      <w:r w:rsidRPr="00A84B64">
        <w:rPr>
          <w:rStyle w:val="Nmerodepgina"/>
          <w:rFonts w:ascii="Verdana" w:hAnsi="Verdana" w:cs="Arial"/>
          <w:sz w:val="22"/>
          <w:szCs w:val="22"/>
        </w:rPr>
        <w:t>.</w:t>
      </w:r>
      <w:r w:rsidR="1C5E2617" w:rsidRPr="00A84B64">
        <w:rPr>
          <w:rStyle w:val="Nmerodepgina"/>
          <w:rFonts w:ascii="Verdana" w:hAnsi="Verdana" w:cs="Arial"/>
          <w:sz w:val="22"/>
          <w:szCs w:val="22"/>
        </w:rPr>
        <w:t>615</w:t>
      </w:r>
      <w:r w:rsidRPr="00A84B64">
        <w:rPr>
          <w:rStyle w:val="Nmerodepgina"/>
          <w:rFonts w:ascii="Verdana" w:hAnsi="Verdana" w:cs="Arial"/>
          <w:sz w:val="22"/>
          <w:szCs w:val="22"/>
        </w:rPr>
        <w:t>), por concepto de lucro cesante futuro.</w:t>
      </w:r>
    </w:p>
    <w:p w14:paraId="7CEFFA17" w14:textId="77777777" w:rsidR="004C773C" w:rsidRPr="00A84B64" w:rsidRDefault="004C773C" w:rsidP="004C773C">
      <w:pPr>
        <w:widowControl w:val="0"/>
        <w:spacing w:line="360" w:lineRule="auto"/>
        <w:ind w:left="708"/>
        <w:jc w:val="both"/>
        <w:rPr>
          <w:rStyle w:val="Nmerodepgina"/>
          <w:rFonts w:ascii="Verdana" w:hAnsi="Verdana" w:cs="Arial"/>
          <w:b/>
          <w:sz w:val="22"/>
          <w:szCs w:val="22"/>
        </w:rPr>
      </w:pPr>
    </w:p>
    <w:p w14:paraId="1D5A37F9" w14:textId="1328A32D" w:rsidR="004C773C" w:rsidRPr="00A84B64" w:rsidRDefault="004C773C" w:rsidP="6AD07303">
      <w:pPr>
        <w:widowControl w:val="0"/>
        <w:spacing w:line="360" w:lineRule="auto"/>
        <w:ind w:left="708"/>
        <w:jc w:val="both"/>
        <w:rPr>
          <w:rStyle w:val="Nmerodepgina"/>
          <w:rFonts w:ascii="Verdana" w:hAnsi="Verdana" w:cs="Arial"/>
          <w:b/>
          <w:bCs/>
          <w:sz w:val="22"/>
          <w:szCs w:val="22"/>
        </w:rPr>
      </w:pPr>
      <w:r w:rsidRPr="00A84B64">
        <w:rPr>
          <w:rStyle w:val="Nmerodepgina"/>
          <w:rFonts w:ascii="Verdana" w:hAnsi="Verdana" w:cs="Arial"/>
          <w:b/>
          <w:bCs/>
          <w:sz w:val="22"/>
          <w:szCs w:val="22"/>
        </w:rPr>
        <w:t>OCTAVO</w:t>
      </w:r>
      <w:r w:rsidR="00C76F57" w:rsidRPr="00A84B64">
        <w:rPr>
          <w:rStyle w:val="Nmerodepgina"/>
          <w:rFonts w:ascii="Verdana" w:hAnsi="Verdana" w:cs="Arial"/>
          <w:b/>
          <w:bCs/>
          <w:sz w:val="22"/>
          <w:szCs w:val="22"/>
        </w:rPr>
        <w:t>:</w:t>
      </w:r>
      <w:r w:rsidRPr="00A84B64">
        <w:rPr>
          <w:rStyle w:val="Nmerodepgina"/>
          <w:rFonts w:ascii="Verdana" w:hAnsi="Verdana" w:cs="Arial"/>
          <w:b/>
          <w:bCs/>
          <w:sz w:val="22"/>
          <w:szCs w:val="22"/>
        </w:rPr>
        <w:t xml:space="preserve"> CONDENAR </w:t>
      </w:r>
      <w:r w:rsidRPr="00A84B64">
        <w:rPr>
          <w:rStyle w:val="Nmerodepgina"/>
          <w:rFonts w:ascii="Verdana" w:hAnsi="Verdana" w:cs="Arial"/>
          <w:sz w:val="22"/>
          <w:szCs w:val="22"/>
        </w:rPr>
        <w:t xml:space="preserve">al Instituto Nacional Penitenciario y Carcelario – INPEC, a pagar a Luis Eduardo Ávila Gaitán (víctima) la suma de DOSCIENTOS </w:t>
      </w:r>
      <w:r w:rsidR="60E56F8A" w:rsidRPr="00A84B64">
        <w:rPr>
          <w:rStyle w:val="Nmerodepgina"/>
          <w:rFonts w:ascii="Verdana" w:hAnsi="Verdana" w:cs="Arial"/>
          <w:sz w:val="22"/>
          <w:szCs w:val="22"/>
        </w:rPr>
        <w:t>SESENTA</w:t>
      </w:r>
      <w:r w:rsidRPr="00A84B64">
        <w:rPr>
          <w:rStyle w:val="Nmerodepgina"/>
          <w:rFonts w:ascii="Verdana" w:hAnsi="Verdana" w:cs="Arial"/>
          <w:sz w:val="22"/>
          <w:szCs w:val="22"/>
        </w:rPr>
        <w:t xml:space="preserve"> Y </w:t>
      </w:r>
      <w:r w:rsidR="5B030B48" w:rsidRPr="00A84B64">
        <w:rPr>
          <w:rStyle w:val="Nmerodepgina"/>
          <w:rFonts w:ascii="Verdana" w:hAnsi="Verdana" w:cs="Arial"/>
          <w:sz w:val="22"/>
          <w:szCs w:val="22"/>
        </w:rPr>
        <w:t>SIETE</w:t>
      </w:r>
      <w:r w:rsidRPr="00A84B64">
        <w:rPr>
          <w:rStyle w:val="Nmerodepgina"/>
          <w:rFonts w:ascii="Verdana" w:hAnsi="Verdana" w:cs="Arial"/>
          <w:sz w:val="22"/>
          <w:szCs w:val="22"/>
        </w:rPr>
        <w:t xml:space="preserve"> MIL </w:t>
      </w:r>
      <w:r w:rsidR="451B3B33" w:rsidRPr="00A84B64">
        <w:rPr>
          <w:rStyle w:val="Nmerodepgina"/>
          <w:rFonts w:ascii="Verdana" w:hAnsi="Verdana" w:cs="Arial"/>
          <w:sz w:val="22"/>
          <w:szCs w:val="22"/>
        </w:rPr>
        <w:t>CIENTO</w:t>
      </w:r>
      <w:r w:rsidRPr="00A84B64">
        <w:rPr>
          <w:rStyle w:val="Nmerodepgina"/>
          <w:rFonts w:ascii="Verdana" w:hAnsi="Verdana" w:cs="Arial"/>
          <w:sz w:val="22"/>
          <w:szCs w:val="22"/>
        </w:rPr>
        <w:t xml:space="preserve"> </w:t>
      </w:r>
      <w:r w:rsidR="1F8A54BC" w:rsidRPr="00A84B64">
        <w:rPr>
          <w:rStyle w:val="Nmerodepgina"/>
          <w:rFonts w:ascii="Verdana" w:hAnsi="Verdana" w:cs="Arial"/>
          <w:sz w:val="22"/>
          <w:szCs w:val="22"/>
        </w:rPr>
        <w:t>NOV</w:t>
      </w:r>
      <w:r w:rsidRPr="00A84B64">
        <w:rPr>
          <w:rStyle w:val="Nmerodepgina"/>
          <w:rFonts w:ascii="Verdana" w:hAnsi="Verdana" w:cs="Arial"/>
          <w:sz w:val="22"/>
          <w:szCs w:val="22"/>
        </w:rPr>
        <w:t>ENTA</w:t>
      </w:r>
      <w:r w:rsidR="74BAB7DC" w:rsidRPr="00A84B64">
        <w:rPr>
          <w:rStyle w:val="Nmerodepgina"/>
          <w:rFonts w:ascii="Verdana" w:hAnsi="Verdana" w:cs="Arial"/>
          <w:sz w:val="22"/>
          <w:szCs w:val="22"/>
        </w:rPr>
        <w:t xml:space="preserve"> Y CINCO</w:t>
      </w:r>
      <w:r w:rsidRPr="00A84B64">
        <w:rPr>
          <w:rStyle w:val="Nmerodepgina"/>
          <w:rFonts w:ascii="Verdana" w:hAnsi="Verdana" w:cs="Arial"/>
          <w:sz w:val="22"/>
          <w:szCs w:val="22"/>
        </w:rPr>
        <w:t xml:space="preserve"> PESOS ($2</w:t>
      </w:r>
      <w:r w:rsidR="37AAB97A" w:rsidRPr="00A84B64">
        <w:rPr>
          <w:rStyle w:val="Nmerodepgina"/>
          <w:rFonts w:ascii="Verdana" w:hAnsi="Verdana" w:cs="Arial"/>
          <w:sz w:val="22"/>
          <w:szCs w:val="22"/>
        </w:rPr>
        <w:t>67.</w:t>
      </w:r>
      <w:r w:rsidRPr="00A84B64">
        <w:rPr>
          <w:rStyle w:val="Nmerodepgina"/>
          <w:rFonts w:ascii="Verdana" w:hAnsi="Verdana" w:cs="Arial"/>
          <w:sz w:val="22"/>
          <w:szCs w:val="22"/>
        </w:rPr>
        <w:t>1</w:t>
      </w:r>
      <w:r w:rsidR="25F0EB20" w:rsidRPr="00A84B64">
        <w:rPr>
          <w:rStyle w:val="Nmerodepgina"/>
          <w:rFonts w:ascii="Verdana" w:hAnsi="Verdana" w:cs="Arial"/>
          <w:sz w:val="22"/>
          <w:szCs w:val="22"/>
        </w:rPr>
        <w:t>9</w:t>
      </w:r>
      <w:r w:rsidRPr="00A84B64">
        <w:rPr>
          <w:rStyle w:val="Nmerodepgina"/>
          <w:rFonts w:ascii="Verdana" w:hAnsi="Verdana" w:cs="Arial"/>
          <w:sz w:val="22"/>
          <w:szCs w:val="22"/>
        </w:rPr>
        <w:t>5) por concepto de daño emergente consolidado.</w:t>
      </w:r>
    </w:p>
    <w:p w14:paraId="2922096D" w14:textId="77777777" w:rsidR="004C773C" w:rsidRPr="00A84B64" w:rsidRDefault="004C773C" w:rsidP="004C773C">
      <w:pPr>
        <w:widowControl w:val="0"/>
        <w:spacing w:line="360" w:lineRule="auto"/>
        <w:ind w:left="708"/>
        <w:jc w:val="both"/>
        <w:rPr>
          <w:rStyle w:val="Nmerodepgina"/>
          <w:rFonts w:ascii="Verdana" w:hAnsi="Verdana" w:cs="Arial"/>
          <w:b/>
          <w:sz w:val="22"/>
          <w:szCs w:val="22"/>
        </w:rPr>
      </w:pPr>
    </w:p>
    <w:p w14:paraId="58F27396" w14:textId="7E9FE9E0" w:rsidR="004C773C" w:rsidRPr="00A84B64" w:rsidRDefault="004C773C" w:rsidP="16920204">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b/>
          <w:bCs/>
          <w:sz w:val="22"/>
          <w:szCs w:val="22"/>
        </w:rPr>
        <w:t xml:space="preserve">NOVENO: </w:t>
      </w:r>
      <w:r w:rsidR="008B64DE" w:rsidRPr="00A84B64">
        <w:rPr>
          <w:rStyle w:val="Nmerodepgina"/>
          <w:rFonts w:ascii="Verdana" w:hAnsi="Verdana" w:cs="Arial"/>
          <w:b/>
          <w:bCs/>
          <w:sz w:val="22"/>
          <w:szCs w:val="22"/>
        </w:rPr>
        <w:t xml:space="preserve">ORDENAR </w:t>
      </w:r>
      <w:r w:rsidR="008B64DE" w:rsidRPr="00A84B64">
        <w:rPr>
          <w:rStyle w:val="Nmerodepgina"/>
          <w:rFonts w:ascii="Verdana" w:hAnsi="Verdana" w:cs="Arial"/>
          <w:sz w:val="22"/>
          <w:szCs w:val="22"/>
        </w:rPr>
        <w:t xml:space="preserve">a la aseguradora Seguros Vida del Estado S.A. </w:t>
      </w:r>
      <w:r w:rsidR="0FE02C51" w:rsidRPr="00A84B64">
        <w:rPr>
          <w:rStyle w:val="Nmerodepgina"/>
          <w:rFonts w:ascii="Verdana" w:hAnsi="Verdana" w:cs="Arial"/>
          <w:sz w:val="22"/>
          <w:szCs w:val="22"/>
        </w:rPr>
        <w:t xml:space="preserve">pagar al asegurado, señor </w:t>
      </w:r>
      <w:r w:rsidR="006B19C1" w:rsidRPr="00A84B64">
        <w:rPr>
          <w:rStyle w:val="Nmerodepgina"/>
          <w:rFonts w:ascii="Verdana" w:hAnsi="Verdana" w:cs="Arial"/>
          <w:sz w:val="22"/>
          <w:szCs w:val="22"/>
        </w:rPr>
        <w:t>Luis Eduardo Ávila Gaitán</w:t>
      </w:r>
      <w:r w:rsidR="0E26ECE6" w:rsidRPr="00A84B64">
        <w:rPr>
          <w:rFonts w:ascii="Verdana" w:eastAsia="Verdana" w:hAnsi="Verdana" w:cs="Verdana"/>
          <w:color w:val="000000" w:themeColor="text1"/>
          <w:sz w:val="22"/>
          <w:szCs w:val="22"/>
        </w:rPr>
        <w:t>,</w:t>
      </w:r>
      <w:r w:rsidR="0FE02C51" w:rsidRPr="00A84B64">
        <w:rPr>
          <w:rStyle w:val="Nmerodepgina"/>
          <w:rFonts w:ascii="Verdana" w:hAnsi="Verdana" w:cs="Arial"/>
          <w:sz w:val="22"/>
          <w:szCs w:val="22"/>
        </w:rPr>
        <w:t xml:space="preserve"> el valor asegurado por el INPEC</w:t>
      </w:r>
      <w:r w:rsidR="4D71D11D" w:rsidRPr="00A84B64">
        <w:rPr>
          <w:rStyle w:val="Nmerodepgina"/>
          <w:rFonts w:ascii="Verdana" w:hAnsi="Verdana" w:cs="Arial"/>
          <w:sz w:val="22"/>
          <w:szCs w:val="22"/>
        </w:rPr>
        <w:t xml:space="preserve">, esto es, el valor asegurado </w:t>
      </w:r>
      <w:r w:rsidR="008F0DF5" w:rsidRPr="00A84B64">
        <w:rPr>
          <w:rStyle w:val="Nmerodepgina"/>
          <w:rFonts w:ascii="Verdana" w:hAnsi="Verdana" w:cs="Arial"/>
          <w:sz w:val="22"/>
          <w:szCs w:val="22"/>
        </w:rPr>
        <w:t>individualmente por la suma de TREINTA MILLONES QUINIENTOS NOVENTA Y CUATRO MIL TRESCIENTOS CUARENTA Y OCHO MIL PESOS ($30.594.348)</w:t>
      </w:r>
      <w:r w:rsidR="008B64DE" w:rsidRPr="00A84B64">
        <w:rPr>
          <w:rStyle w:val="Nmerodepgina"/>
          <w:rFonts w:ascii="Verdana" w:hAnsi="Verdana" w:cs="Arial"/>
          <w:sz w:val="22"/>
          <w:szCs w:val="22"/>
        </w:rPr>
        <w:t xml:space="preserve"> por concepto del amparo “</w:t>
      </w:r>
      <w:r w:rsidR="008B64DE" w:rsidRPr="00A84B64">
        <w:rPr>
          <w:rStyle w:val="Nmerodepgina"/>
          <w:rFonts w:ascii="Verdana" w:hAnsi="Verdana" w:cs="Arial"/>
          <w:i/>
          <w:iCs/>
          <w:sz w:val="22"/>
          <w:szCs w:val="22"/>
        </w:rPr>
        <w:t>Pérdida de Capacidad laboral. Disminución relativa o permanente en la capacidad laboral, inferior al 75%”</w:t>
      </w:r>
      <w:r w:rsidR="008B64DE" w:rsidRPr="00A84B64">
        <w:rPr>
          <w:rStyle w:val="Nmerodepgina"/>
          <w:rFonts w:ascii="Verdana" w:hAnsi="Verdana" w:cs="Arial"/>
          <w:sz w:val="22"/>
          <w:szCs w:val="22"/>
        </w:rPr>
        <w:t xml:space="preserve"> correspondiente a la cobertura de la póliza No. 21-7-1000000481.</w:t>
      </w:r>
      <w:r w:rsidR="6DFD91A0" w:rsidRPr="00A84B64">
        <w:rPr>
          <w:rStyle w:val="Nmerodepgina"/>
          <w:rFonts w:ascii="Verdana" w:hAnsi="Verdana" w:cs="Arial"/>
          <w:sz w:val="22"/>
          <w:szCs w:val="22"/>
        </w:rPr>
        <w:t xml:space="preserve"> El INPEC podrá descontar dicha suma de la condena por concepto de daño a la salud. En caso que el pago no se haga antes de que el </w:t>
      </w:r>
      <w:r w:rsidR="4D500439" w:rsidRPr="00A84B64">
        <w:rPr>
          <w:rStyle w:val="Nmerodepgina"/>
          <w:rFonts w:ascii="Verdana" w:hAnsi="Verdana" w:cs="Arial"/>
          <w:sz w:val="22"/>
          <w:szCs w:val="22"/>
        </w:rPr>
        <w:t>INPEC realice el pago de la totalidad de la condena al asegurado, la aseguradora Seguros Vida del Estado S.</w:t>
      </w:r>
      <w:r w:rsidR="44DA17F9" w:rsidRPr="00A84B64">
        <w:rPr>
          <w:rStyle w:val="Nmerodepgina"/>
          <w:rFonts w:ascii="Verdana" w:hAnsi="Verdana" w:cs="Arial"/>
          <w:sz w:val="22"/>
          <w:szCs w:val="22"/>
        </w:rPr>
        <w:t>A. hará el pago al INPEC.</w:t>
      </w:r>
    </w:p>
    <w:p w14:paraId="19D05665" w14:textId="53C5594F" w:rsidR="004C773C" w:rsidRPr="00A84B64" w:rsidRDefault="008B64DE" w:rsidP="16920204">
      <w:pPr>
        <w:widowControl w:val="0"/>
        <w:spacing w:line="360" w:lineRule="auto"/>
        <w:ind w:left="708"/>
        <w:jc w:val="both"/>
        <w:rPr>
          <w:rStyle w:val="Nmerodepgina"/>
          <w:rFonts w:ascii="Verdana" w:hAnsi="Verdana" w:cs="Arial"/>
          <w:sz w:val="22"/>
          <w:szCs w:val="22"/>
        </w:rPr>
      </w:pPr>
      <w:r w:rsidRPr="00A84B64">
        <w:rPr>
          <w:rStyle w:val="Nmerodepgina"/>
          <w:rFonts w:ascii="Verdana" w:hAnsi="Verdana" w:cs="Arial"/>
          <w:sz w:val="22"/>
          <w:szCs w:val="22"/>
        </w:rPr>
        <w:t xml:space="preserve"> </w:t>
      </w:r>
    </w:p>
    <w:p w14:paraId="6C3CBF06" w14:textId="146F2E99" w:rsidR="004C773C" w:rsidRPr="00A84B64" w:rsidRDefault="00DB0951" w:rsidP="6AD07303">
      <w:pPr>
        <w:widowControl w:val="0"/>
        <w:spacing w:line="360" w:lineRule="auto"/>
        <w:jc w:val="both"/>
        <w:rPr>
          <w:rStyle w:val="Nmerodepgina"/>
          <w:rFonts w:ascii="Verdana" w:hAnsi="Verdana" w:cs="Arial"/>
          <w:color w:val="000000" w:themeColor="text1"/>
          <w:sz w:val="22"/>
          <w:szCs w:val="22"/>
        </w:rPr>
      </w:pPr>
      <w:r w:rsidRPr="00A84B64">
        <w:rPr>
          <w:rStyle w:val="Nmerodepgina"/>
          <w:rFonts w:ascii="Verdana" w:hAnsi="Verdana" w:cs="Arial"/>
          <w:b/>
          <w:bCs/>
          <w:color w:val="000000" w:themeColor="text1"/>
          <w:sz w:val="22"/>
          <w:szCs w:val="22"/>
        </w:rPr>
        <w:t>SEGUNDO</w:t>
      </w:r>
      <w:r w:rsidR="004C773C" w:rsidRPr="00A84B64">
        <w:rPr>
          <w:rStyle w:val="Nmerodepgina"/>
          <w:rFonts w:ascii="Verdana" w:hAnsi="Verdana" w:cs="Arial"/>
          <w:b/>
          <w:bCs/>
          <w:color w:val="000000" w:themeColor="text1"/>
          <w:sz w:val="22"/>
          <w:szCs w:val="22"/>
        </w:rPr>
        <w:t xml:space="preserve">: </w:t>
      </w:r>
      <w:r w:rsidR="650BD02C" w:rsidRPr="00A84B64">
        <w:rPr>
          <w:rStyle w:val="Nmerodepgina"/>
          <w:rFonts w:ascii="Verdana" w:hAnsi="Verdana" w:cs="Arial"/>
          <w:b/>
          <w:bCs/>
          <w:sz w:val="22"/>
          <w:szCs w:val="22"/>
        </w:rPr>
        <w:t xml:space="preserve">CONFIRMAR en lo demás </w:t>
      </w:r>
      <w:r w:rsidR="650BD02C" w:rsidRPr="00A84B64">
        <w:rPr>
          <w:rStyle w:val="Nmerodepgina"/>
          <w:rFonts w:ascii="Verdana" w:hAnsi="Verdana" w:cs="Arial"/>
          <w:sz w:val="22"/>
          <w:szCs w:val="22"/>
        </w:rPr>
        <w:t>la sentencia de primera instancia proferida el 26 de junio del 2020 por el Juzgado Trece Administrativo del Circuito Judicial de Tunja,</w:t>
      </w:r>
    </w:p>
    <w:p w14:paraId="0ADE4A36" w14:textId="7B02E2EC" w:rsidR="004C773C" w:rsidRPr="00A84B64" w:rsidRDefault="004C773C" w:rsidP="6AD07303">
      <w:pPr>
        <w:widowControl w:val="0"/>
        <w:spacing w:line="360" w:lineRule="auto"/>
        <w:jc w:val="both"/>
        <w:rPr>
          <w:rStyle w:val="Nmerodepgina"/>
          <w:rFonts w:ascii="Verdana" w:hAnsi="Verdana" w:cs="Arial"/>
          <w:color w:val="000000" w:themeColor="text1"/>
          <w:sz w:val="22"/>
          <w:szCs w:val="22"/>
        </w:rPr>
      </w:pPr>
    </w:p>
    <w:p w14:paraId="53BACAA8" w14:textId="303AC1DD" w:rsidR="004C773C" w:rsidRPr="00A84B64" w:rsidRDefault="00DB0951" w:rsidP="6AD07303">
      <w:pPr>
        <w:widowControl w:val="0"/>
        <w:spacing w:line="360" w:lineRule="auto"/>
        <w:jc w:val="both"/>
        <w:rPr>
          <w:rStyle w:val="Nmerodepgina"/>
          <w:rFonts w:ascii="Verdana" w:hAnsi="Verdana" w:cs="Arial"/>
          <w:color w:val="000000" w:themeColor="text1"/>
          <w:sz w:val="22"/>
          <w:szCs w:val="22"/>
        </w:rPr>
      </w:pPr>
      <w:r w:rsidRPr="00A84B64">
        <w:rPr>
          <w:rStyle w:val="Nmerodepgina"/>
          <w:rFonts w:ascii="Verdana" w:hAnsi="Verdana" w:cs="Arial"/>
          <w:b/>
          <w:bCs/>
          <w:color w:val="000000" w:themeColor="text1"/>
          <w:sz w:val="22"/>
          <w:szCs w:val="22"/>
        </w:rPr>
        <w:t>TERCER</w:t>
      </w:r>
      <w:r w:rsidR="4E30A55A" w:rsidRPr="00A84B64">
        <w:rPr>
          <w:rStyle w:val="Nmerodepgina"/>
          <w:rFonts w:ascii="Verdana" w:hAnsi="Verdana" w:cs="Arial"/>
          <w:b/>
          <w:bCs/>
          <w:color w:val="000000" w:themeColor="text1"/>
          <w:sz w:val="22"/>
          <w:szCs w:val="22"/>
        </w:rPr>
        <w:t>O:</w:t>
      </w:r>
      <w:r w:rsidR="4E30A55A" w:rsidRPr="00A84B64">
        <w:rPr>
          <w:rStyle w:val="Nmerodepgina"/>
          <w:rFonts w:ascii="Verdana" w:hAnsi="Verdana" w:cs="Arial"/>
          <w:color w:val="000000" w:themeColor="text1"/>
          <w:sz w:val="22"/>
          <w:szCs w:val="22"/>
        </w:rPr>
        <w:t xml:space="preserve"> </w:t>
      </w:r>
      <w:r w:rsidR="00A45CE2" w:rsidRPr="00A84B64">
        <w:rPr>
          <w:rStyle w:val="Nmerodepgina"/>
          <w:rFonts w:ascii="Verdana" w:hAnsi="Verdana" w:cs="Arial"/>
          <w:color w:val="000000" w:themeColor="text1"/>
          <w:sz w:val="22"/>
          <w:szCs w:val="22"/>
        </w:rPr>
        <w:t>Sin condena en costas</w:t>
      </w:r>
      <w:r w:rsidR="004C773C" w:rsidRPr="00A84B64">
        <w:rPr>
          <w:rStyle w:val="Nmerodepgina"/>
          <w:rFonts w:ascii="Verdana" w:hAnsi="Verdana" w:cs="Arial"/>
          <w:color w:val="000000" w:themeColor="text1"/>
          <w:sz w:val="22"/>
          <w:szCs w:val="22"/>
        </w:rPr>
        <w:t>.</w:t>
      </w:r>
    </w:p>
    <w:p w14:paraId="3FFD607B" w14:textId="77777777" w:rsidR="004C773C" w:rsidRPr="00A84B64" w:rsidRDefault="004C773C" w:rsidP="004C773C">
      <w:pPr>
        <w:widowControl w:val="0"/>
        <w:spacing w:line="360" w:lineRule="auto"/>
        <w:jc w:val="both"/>
        <w:rPr>
          <w:rStyle w:val="Nmerodepgina"/>
          <w:rFonts w:ascii="Verdana" w:hAnsi="Verdana" w:cs="Arial"/>
          <w:sz w:val="22"/>
          <w:szCs w:val="22"/>
        </w:rPr>
      </w:pPr>
    </w:p>
    <w:p w14:paraId="766B132A" w14:textId="551E2054" w:rsidR="004C773C" w:rsidRPr="00A84B64" w:rsidRDefault="00DB0951" w:rsidP="004C773C">
      <w:pPr>
        <w:widowControl w:val="0"/>
        <w:spacing w:line="360" w:lineRule="auto"/>
        <w:jc w:val="both"/>
        <w:rPr>
          <w:rStyle w:val="Nmerodepgina"/>
          <w:rFonts w:ascii="Verdana" w:hAnsi="Verdana" w:cs="Arial"/>
          <w:bCs/>
          <w:sz w:val="22"/>
          <w:szCs w:val="22"/>
          <w:lang w:val="es-CO"/>
        </w:rPr>
      </w:pPr>
      <w:r w:rsidRPr="00A84B64">
        <w:rPr>
          <w:rStyle w:val="Nmerodepgina"/>
          <w:rFonts w:ascii="Verdana" w:hAnsi="Verdana" w:cs="Arial"/>
          <w:b/>
          <w:sz w:val="22"/>
          <w:szCs w:val="22"/>
          <w:lang w:val="es-CO"/>
        </w:rPr>
        <w:t>CUAR</w:t>
      </w:r>
      <w:r w:rsidR="008B64DE" w:rsidRPr="00A84B64">
        <w:rPr>
          <w:rStyle w:val="Nmerodepgina"/>
          <w:rFonts w:ascii="Verdana" w:hAnsi="Verdana" w:cs="Arial"/>
          <w:b/>
          <w:sz w:val="22"/>
          <w:szCs w:val="22"/>
          <w:lang w:val="es-CO"/>
        </w:rPr>
        <w:t>TO</w:t>
      </w:r>
      <w:r w:rsidR="004C773C" w:rsidRPr="00A84B64">
        <w:rPr>
          <w:rStyle w:val="Nmerodepgina"/>
          <w:rFonts w:ascii="Verdana" w:hAnsi="Verdana" w:cs="Arial"/>
          <w:b/>
          <w:sz w:val="22"/>
          <w:szCs w:val="22"/>
          <w:lang w:val="es-CO"/>
        </w:rPr>
        <w:t xml:space="preserve">: </w:t>
      </w:r>
      <w:r w:rsidR="008B64DE" w:rsidRPr="00A84B64">
        <w:rPr>
          <w:rStyle w:val="Nmerodepgina"/>
          <w:rFonts w:ascii="Verdana" w:hAnsi="Verdana" w:cs="Arial"/>
          <w:bCs/>
          <w:sz w:val="22"/>
          <w:szCs w:val="22"/>
          <w:lang w:val="es-CO"/>
        </w:rPr>
        <w:t>Una vez en firme la presente providencia, por Secretaría ENVÍESE el expediente al Despacho de origen</w:t>
      </w:r>
      <w:r w:rsidR="00A95A3E" w:rsidRPr="00A84B64">
        <w:rPr>
          <w:rStyle w:val="Nmerodepgina"/>
          <w:rFonts w:ascii="Verdana" w:hAnsi="Verdana" w:cs="Arial"/>
          <w:bCs/>
          <w:sz w:val="22"/>
          <w:szCs w:val="22"/>
          <w:lang w:val="es-CO"/>
        </w:rPr>
        <w:t xml:space="preserve"> y de ello déjese registro en el Sistema SAMAI.</w:t>
      </w:r>
    </w:p>
    <w:p w14:paraId="04CB3337" w14:textId="77777777" w:rsidR="004C773C" w:rsidRPr="00A84B64" w:rsidRDefault="004C773C" w:rsidP="004C773C">
      <w:pPr>
        <w:widowControl w:val="0"/>
        <w:spacing w:line="360" w:lineRule="auto"/>
        <w:jc w:val="both"/>
        <w:rPr>
          <w:rStyle w:val="Nmerodepgina"/>
          <w:rFonts w:ascii="Verdana" w:hAnsi="Verdana" w:cs="Arial"/>
          <w:sz w:val="22"/>
          <w:szCs w:val="22"/>
          <w:lang w:val="es-CO"/>
        </w:rPr>
      </w:pPr>
    </w:p>
    <w:p w14:paraId="02786953" w14:textId="77777777" w:rsidR="004C773C" w:rsidRPr="00A84B64" w:rsidRDefault="004C773C" w:rsidP="004C773C">
      <w:pPr>
        <w:spacing w:line="360" w:lineRule="auto"/>
        <w:jc w:val="both"/>
        <w:rPr>
          <w:rFonts w:ascii="Verdana" w:hAnsi="Verdana"/>
          <w:b/>
          <w:sz w:val="22"/>
          <w:szCs w:val="22"/>
          <w:lang w:val="es-ES_tradnl"/>
        </w:rPr>
      </w:pPr>
      <w:r w:rsidRPr="00A84B64">
        <w:rPr>
          <w:rFonts w:ascii="Verdana" w:hAnsi="Verdana" w:cs="Arial"/>
          <w:b/>
          <w:sz w:val="22"/>
          <w:szCs w:val="22"/>
          <w:lang w:val="es-ES_tradnl"/>
        </w:rPr>
        <w:t>COMUNÍQUESE Y CÚMPLASE.</w:t>
      </w:r>
    </w:p>
    <w:p w14:paraId="606D4C4C" w14:textId="77777777" w:rsidR="004C773C" w:rsidRPr="00A84B64" w:rsidRDefault="004C773C" w:rsidP="004C773C">
      <w:pPr>
        <w:spacing w:line="360" w:lineRule="auto"/>
        <w:jc w:val="both"/>
        <w:rPr>
          <w:rFonts w:ascii="Verdana" w:hAnsi="Verdana" w:cs="Arial"/>
          <w:sz w:val="22"/>
          <w:szCs w:val="22"/>
          <w:lang w:val="es-ES_tradnl"/>
        </w:rPr>
      </w:pPr>
    </w:p>
    <w:bookmarkEnd w:id="13"/>
    <w:p w14:paraId="5C14F3D3" w14:textId="77777777" w:rsidR="004C773C" w:rsidRPr="00A84B64" w:rsidRDefault="004C773C" w:rsidP="004C773C">
      <w:pPr>
        <w:spacing w:line="360" w:lineRule="auto"/>
        <w:jc w:val="both"/>
        <w:rPr>
          <w:rFonts w:ascii="Verdana" w:hAnsi="Verdana" w:cs="Arial"/>
          <w:sz w:val="22"/>
          <w:szCs w:val="22"/>
        </w:rPr>
      </w:pPr>
      <w:r w:rsidRPr="00A84B64">
        <w:rPr>
          <w:rFonts w:ascii="Verdana" w:hAnsi="Verdana" w:cs="Arial"/>
          <w:sz w:val="22"/>
          <w:szCs w:val="22"/>
        </w:rPr>
        <w:t>Los magistrados,</w:t>
      </w:r>
    </w:p>
    <w:p w14:paraId="2ADACBEE" w14:textId="77777777" w:rsidR="004C773C" w:rsidRPr="00A84B64" w:rsidRDefault="004C773C" w:rsidP="004C773C">
      <w:pPr>
        <w:spacing w:line="360" w:lineRule="auto"/>
        <w:jc w:val="both"/>
        <w:rPr>
          <w:rFonts w:ascii="Verdana" w:hAnsi="Verdana" w:cs="Arial"/>
          <w:sz w:val="22"/>
          <w:szCs w:val="22"/>
        </w:rPr>
      </w:pPr>
    </w:p>
    <w:p w14:paraId="26CE40FB" w14:textId="7409F137" w:rsidR="004C773C" w:rsidRPr="00A84B64" w:rsidRDefault="00A94467" w:rsidP="00A94467">
      <w:pPr>
        <w:spacing w:line="360" w:lineRule="auto"/>
        <w:jc w:val="center"/>
        <w:rPr>
          <w:rFonts w:ascii="Verdana" w:hAnsi="Verdana" w:cs="Arial"/>
          <w:sz w:val="22"/>
          <w:szCs w:val="22"/>
        </w:rPr>
      </w:pPr>
      <w:r w:rsidRPr="00A84B64">
        <w:rPr>
          <w:rFonts w:ascii="Verdana" w:hAnsi="Verdana" w:cs="Arial"/>
          <w:sz w:val="22"/>
          <w:szCs w:val="22"/>
        </w:rPr>
        <w:t xml:space="preserve">(Firmado electrónicamente en </w:t>
      </w:r>
      <w:proofErr w:type="spellStart"/>
      <w:r w:rsidRPr="00A84B64">
        <w:rPr>
          <w:rFonts w:ascii="Verdana" w:hAnsi="Verdana" w:cs="Arial"/>
          <w:sz w:val="22"/>
          <w:szCs w:val="22"/>
        </w:rPr>
        <w:t>Samai</w:t>
      </w:r>
      <w:proofErr w:type="spellEnd"/>
      <w:r w:rsidRPr="00A84B64">
        <w:rPr>
          <w:rFonts w:ascii="Verdana" w:hAnsi="Verdana" w:cs="Arial"/>
          <w:sz w:val="22"/>
          <w:szCs w:val="22"/>
        </w:rPr>
        <w:t>)</w:t>
      </w:r>
    </w:p>
    <w:p w14:paraId="519F96A7" w14:textId="77777777" w:rsidR="004C773C" w:rsidRPr="00A84B64" w:rsidRDefault="004C773C" w:rsidP="004C773C">
      <w:pPr>
        <w:spacing w:line="360" w:lineRule="auto"/>
        <w:jc w:val="center"/>
        <w:rPr>
          <w:rFonts w:ascii="Verdana" w:hAnsi="Verdana" w:cs="Arial"/>
          <w:b/>
          <w:spacing w:val="20"/>
          <w:sz w:val="22"/>
          <w:szCs w:val="22"/>
        </w:rPr>
      </w:pPr>
      <w:r w:rsidRPr="00A84B64">
        <w:rPr>
          <w:rFonts w:ascii="Verdana" w:hAnsi="Verdana" w:cs="Arial"/>
          <w:b/>
          <w:spacing w:val="20"/>
          <w:sz w:val="22"/>
          <w:szCs w:val="22"/>
        </w:rPr>
        <w:t>FELIX ALBERTO RODRÍGUEZ RIVEROS</w:t>
      </w:r>
    </w:p>
    <w:p w14:paraId="72636AB8" w14:textId="77777777" w:rsidR="004C773C" w:rsidRPr="00A84B64" w:rsidRDefault="004C773C" w:rsidP="004C773C">
      <w:pPr>
        <w:jc w:val="center"/>
        <w:rPr>
          <w:rFonts w:ascii="Verdana" w:hAnsi="Verdana" w:cs="Arial"/>
          <w:b/>
          <w:spacing w:val="20"/>
          <w:sz w:val="22"/>
          <w:szCs w:val="22"/>
        </w:rPr>
      </w:pPr>
    </w:p>
    <w:p w14:paraId="6B01FDD1" w14:textId="77777777" w:rsidR="004C773C" w:rsidRPr="00A84B64" w:rsidRDefault="004C773C" w:rsidP="004C773C">
      <w:pPr>
        <w:jc w:val="center"/>
        <w:rPr>
          <w:rFonts w:ascii="Verdana" w:hAnsi="Verdana" w:cs="Arial"/>
          <w:b/>
          <w:spacing w:val="20"/>
          <w:sz w:val="22"/>
          <w:szCs w:val="22"/>
        </w:rPr>
      </w:pPr>
    </w:p>
    <w:p w14:paraId="71E7310A" w14:textId="77777777" w:rsidR="00A94467" w:rsidRPr="00A84B64" w:rsidRDefault="00A94467" w:rsidP="00A94467">
      <w:pPr>
        <w:spacing w:line="360" w:lineRule="auto"/>
        <w:jc w:val="center"/>
        <w:rPr>
          <w:rFonts w:ascii="Verdana" w:hAnsi="Verdana" w:cs="Arial"/>
          <w:sz w:val="22"/>
          <w:szCs w:val="22"/>
        </w:rPr>
      </w:pPr>
      <w:r w:rsidRPr="00A84B64">
        <w:rPr>
          <w:rFonts w:ascii="Verdana" w:hAnsi="Verdana" w:cs="Arial"/>
          <w:sz w:val="22"/>
          <w:szCs w:val="22"/>
        </w:rPr>
        <w:t xml:space="preserve">(Firmado electrónicamente en </w:t>
      </w:r>
      <w:proofErr w:type="spellStart"/>
      <w:r w:rsidRPr="00A84B64">
        <w:rPr>
          <w:rFonts w:ascii="Verdana" w:hAnsi="Verdana" w:cs="Arial"/>
          <w:sz w:val="22"/>
          <w:szCs w:val="22"/>
        </w:rPr>
        <w:t>Samai</w:t>
      </w:r>
      <w:proofErr w:type="spellEnd"/>
      <w:r w:rsidRPr="00A84B64">
        <w:rPr>
          <w:rFonts w:ascii="Verdana" w:hAnsi="Verdana" w:cs="Arial"/>
          <w:sz w:val="22"/>
          <w:szCs w:val="22"/>
        </w:rPr>
        <w:t>)</w:t>
      </w:r>
    </w:p>
    <w:p w14:paraId="4AB39523" w14:textId="77777777" w:rsidR="004C773C" w:rsidRPr="00A84B64" w:rsidRDefault="004C773C" w:rsidP="004C773C">
      <w:pPr>
        <w:jc w:val="center"/>
        <w:rPr>
          <w:rFonts w:ascii="Verdana" w:hAnsi="Verdana" w:cs="Arial"/>
          <w:b/>
          <w:spacing w:val="20"/>
          <w:sz w:val="22"/>
          <w:szCs w:val="22"/>
        </w:rPr>
      </w:pPr>
      <w:r w:rsidRPr="00A84B64">
        <w:rPr>
          <w:rFonts w:ascii="Verdana" w:hAnsi="Verdana" w:cs="Arial"/>
          <w:b/>
          <w:spacing w:val="20"/>
          <w:sz w:val="22"/>
          <w:szCs w:val="22"/>
        </w:rPr>
        <w:t>FABIO IVÁN AFANADOR GARCÍA</w:t>
      </w:r>
    </w:p>
    <w:p w14:paraId="05CD3F34" w14:textId="77777777" w:rsidR="004C773C" w:rsidRPr="00A84B64" w:rsidRDefault="004C773C" w:rsidP="004C773C">
      <w:pPr>
        <w:pStyle w:val="Encabezado"/>
        <w:jc w:val="center"/>
        <w:rPr>
          <w:rFonts w:ascii="Verdana" w:hAnsi="Verdana"/>
          <w:sz w:val="22"/>
          <w:szCs w:val="22"/>
        </w:rPr>
      </w:pPr>
    </w:p>
    <w:p w14:paraId="11A33B22" w14:textId="77777777" w:rsidR="004C773C" w:rsidRPr="00A84B64" w:rsidRDefault="004C773C" w:rsidP="004C773C">
      <w:pPr>
        <w:pStyle w:val="Encabezado"/>
        <w:jc w:val="center"/>
        <w:rPr>
          <w:rFonts w:ascii="Verdana" w:hAnsi="Verdana"/>
          <w:sz w:val="22"/>
          <w:szCs w:val="22"/>
        </w:rPr>
      </w:pPr>
    </w:p>
    <w:p w14:paraId="3E202F4A" w14:textId="3EADB127" w:rsidR="004C773C" w:rsidRPr="00A84B64" w:rsidRDefault="00A94467" w:rsidP="00A94467">
      <w:pPr>
        <w:spacing w:line="360" w:lineRule="auto"/>
        <w:jc w:val="center"/>
        <w:rPr>
          <w:rFonts w:ascii="Verdana" w:hAnsi="Verdana"/>
          <w:sz w:val="22"/>
          <w:szCs w:val="22"/>
        </w:rPr>
      </w:pPr>
      <w:r w:rsidRPr="00A84B64">
        <w:rPr>
          <w:rFonts w:ascii="Verdana" w:hAnsi="Verdana" w:cs="Arial"/>
          <w:sz w:val="22"/>
          <w:szCs w:val="22"/>
        </w:rPr>
        <w:t xml:space="preserve">(Firmado electrónicamente en </w:t>
      </w:r>
      <w:proofErr w:type="spellStart"/>
      <w:r w:rsidRPr="00A84B64">
        <w:rPr>
          <w:rFonts w:ascii="Verdana" w:hAnsi="Verdana" w:cs="Arial"/>
          <w:sz w:val="22"/>
          <w:szCs w:val="22"/>
        </w:rPr>
        <w:t>Samai</w:t>
      </w:r>
      <w:proofErr w:type="spellEnd"/>
      <w:r w:rsidRPr="00A84B64">
        <w:rPr>
          <w:rFonts w:ascii="Verdana" w:hAnsi="Verdana" w:cs="Arial"/>
          <w:sz w:val="22"/>
          <w:szCs w:val="22"/>
        </w:rPr>
        <w:t>)</w:t>
      </w:r>
    </w:p>
    <w:p w14:paraId="1A618E2B" w14:textId="10D16445" w:rsidR="004C773C" w:rsidRPr="00FE4B03" w:rsidRDefault="004C773C" w:rsidP="000C6B3A">
      <w:pPr>
        <w:jc w:val="center"/>
        <w:rPr>
          <w:rFonts w:ascii="Verdana" w:hAnsi="Verdana" w:cs="Arial"/>
          <w:b/>
          <w:sz w:val="22"/>
          <w:szCs w:val="22"/>
        </w:rPr>
      </w:pPr>
      <w:r w:rsidRPr="00A84B64">
        <w:rPr>
          <w:rFonts w:ascii="Verdana" w:hAnsi="Verdana" w:cs="Arial"/>
          <w:b/>
          <w:spacing w:val="20"/>
          <w:sz w:val="22"/>
          <w:szCs w:val="22"/>
        </w:rPr>
        <w:t>LUIS ERNESTO ARCINIEGAS TRIANA</w:t>
      </w:r>
    </w:p>
    <w:sectPr w:rsidR="004C773C" w:rsidRPr="00FE4B03" w:rsidSect="00754142">
      <w:headerReference w:type="even" r:id="rId12"/>
      <w:headerReference w:type="default" r:id="rId13"/>
      <w:footerReference w:type="default" r:id="rId14"/>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14B6" w14:textId="77777777" w:rsidR="002E0AFB" w:rsidRDefault="002E0AFB" w:rsidP="00736E30">
      <w:r>
        <w:separator/>
      </w:r>
    </w:p>
  </w:endnote>
  <w:endnote w:type="continuationSeparator" w:id="0">
    <w:p w14:paraId="46FFE31C" w14:textId="77777777" w:rsidR="002E0AFB" w:rsidRDefault="002E0AFB" w:rsidP="007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ourie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631805"/>
      <w:docPartObj>
        <w:docPartGallery w:val="Page Numbers (Bottom of Page)"/>
        <w:docPartUnique/>
      </w:docPartObj>
    </w:sdtPr>
    <w:sdtEndPr>
      <w:rPr>
        <w:rFonts w:ascii="Verdana" w:hAnsi="Verdana"/>
        <w:sz w:val="16"/>
        <w:szCs w:val="16"/>
      </w:rPr>
    </w:sdtEndPr>
    <w:sdtContent>
      <w:p w14:paraId="43791590" w14:textId="77777777" w:rsidR="005F4297" w:rsidRDefault="005F4297">
        <w:pPr>
          <w:pStyle w:val="Sinespaciado"/>
          <w:jc w:val="right"/>
          <w:rPr>
            <w:sz w:val="16"/>
            <w:szCs w:val="16"/>
          </w:rPr>
        </w:pPr>
      </w:p>
      <w:p w14:paraId="1D2B8E92" w14:textId="67A5173B" w:rsidR="005F4297" w:rsidRPr="000C6B3A" w:rsidRDefault="005F4297">
        <w:pPr>
          <w:pStyle w:val="Sinespaciado"/>
          <w:jc w:val="right"/>
          <w:rPr>
            <w:rFonts w:ascii="Verdana" w:hAnsi="Verdana"/>
            <w:sz w:val="16"/>
            <w:szCs w:val="16"/>
          </w:rPr>
        </w:pPr>
        <w:r w:rsidRPr="000C6B3A">
          <w:rPr>
            <w:rFonts w:ascii="Verdana" w:hAnsi="Verdana"/>
            <w:sz w:val="16"/>
            <w:szCs w:val="16"/>
          </w:rPr>
          <w:fldChar w:fldCharType="begin"/>
        </w:r>
        <w:r w:rsidRPr="000C6B3A">
          <w:rPr>
            <w:rFonts w:ascii="Verdana" w:hAnsi="Verdana"/>
            <w:sz w:val="16"/>
            <w:szCs w:val="16"/>
          </w:rPr>
          <w:instrText>PAGE   \* MERGEFORMAT</w:instrText>
        </w:r>
        <w:r w:rsidRPr="000C6B3A">
          <w:rPr>
            <w:rFonts w:ascii="Verdana" w:hAnsi="Verdana"/>
            <w:sz w:val="16"/>
            <w:szCs w:val="16"/>
          </w:rPr>
          <w:fldChar w:fldCharType="separate"/>
        </w:r>
        <w:r w:rsidRPr="000C6B3A">
          <w:rPr>
            <w:rFonts w:ascii="Verdana" w:hAnsi="Verdana"/>
            <w:noProof/>
            <w:sz w:val="16"/>
            <w:szCs w:val="16"/>
          </w:rPr>
          <w:t>22</w:t>
        </w:r>
        <w:r w:rsidRPr="000C6B3A">
          <w:rPr>
            <w:rFonts w:ascii="Verdana" w:hAnsi="Verdana"/>
            <w:sz w:val="16"/>
            <w:szCs w:val="16"/>
          </w:rPr>
          <w:fldChar w:fldCharType="end"/>
        </w:r>
      </w:p>
    </w:sdtContent>
  </w:sdt>
  <w:p w14:paraId="2B093635" w14:textId="77777777" w:rsidR="005F4297" w:rsidRDefault="005F4297">
    <w:pPr>
      <w:pStyle w:val="Sinespaci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535E" w14:textId="77777777" w:rsidR="002E0AFB" w:rsidRDefault="002E0AFB" w:rsidP="00736E30">
      <w:r>
        <w:separator/>
      </w:r>
    </w:p>
  </w:footnote>
  <w:footnote w:type="continuationSeparator" w:id="0">
    <w:p w14:paraId="33EF2CBA" w14:textId="77777777" w:rsidR="002E0AFB" w:rsidRDefault="002E0AFB" w:rsidP="00736E30">
      <w:r>
        <w:continuationSeparator/>
      </w:r>
    </w:p>
  </w:footnote>
  <w:footnote w:id="1">
    <w:p w14:paraId="607113AF" w14:textId="5BB33283" w:rsidR="005F4297" w:rsidRPr="00805A85" w:rsidRDefault="005F4297" w:rsidP="004C773C">
      <w:pPr>
        <w:pStyle w:val="Textonotapie"/>
        <w:jc w:val="both"/>
        <w:rPr>
          <w:rFonts w:ascii="Verdana" w:hAnsi="Verdana" w:cs="Arial"/>
          <w:sz w:val="16"/>
          <w:szCs w:val="16"/>
        </w:rPr>
      </w:pPr>
      <w:r w:rsidRPr="00805A85">
        <w:rPr>
          <w:rStyle w:val="Refdenotaalpie"/>
          <w:rFonts w:ascii="Verdana" w:hAnsi="Verdana"/>
          <w:sz w:val="16"/>
          <w:szCs w:val="16"/>
        </w:rPr>
        <w:footnoteRef/>
      </w:r>
      <w:r w:rsidRPr="00805A85">
        <w:rPr>
          <w:rFonts w:ascii="Verdana" w:hAnsi="Verdana"/>
          <w:sz w:val="16"/>
          <w:szCs w:val="16"/>
        </w:rPr>
        <w:t xml:space="preserve"> </w:t>
      </w:r>
      <w:r w:rsidRPr="00805A85">
        <w:rPr>
          <w:rFonts w:ascii="Verdana" w:hAnsi="Verdana" w:cs="Arial"/>
          <w:sz w:val="16"/>
          <w:szCs w:val="16"/>
        </w:rPr>
        <w:t>CONSEJO DE ESTADO.</w:t>
      </w:r>
      <w:r w:rsidRPr="000C6B3A">
        <w:t xml:space="preserve"> </w:t>
      </w:r>
      <w:r w:rsidRPr="000C6B3A">
        <w:rPr>
          <w:rFonts w:ascii="Verdana" w:hAnsi="Verdana" w:cs="Arial"/>
          <w:sz w:val="16"/>
          <w:szCs w:val="16"/>
        </w:rPr>
        <w:t>Sala Contenciosa Administrativa</w:t>
      </w:r>
      <w:r>
        <w:rPr>
          <w:rFonts w:ascii="Verdana" w:hAnsi="Verdana" w:cs="Arial"/>
          <w:sz w:val="16"/>
          <w:szCs w:val="16"/>
        </w:rPr>
        <w:t>.</w:t>
      </w:r>
      <w:r w:rsidRPr="00805A85">
        <w:rPr>
          <w:rFonts w:ascii="Verdana" w:hAnsi="Verdana" w:cs="Arial"/>
          <w:sz w:val="16"/>
          <w:szCs w:val="16"/>
        </w:rPr>
        <w:t xml:space="preserve"> </w:t>
      </w:r>
      <w:r>
        <w:rPr>
          <w:rFonts w:ascii="Verdana" w:hAnsi="Verdana" w:cs="Arial"/>
          <w:sz w:val="16"/>
          <w:szCs w:val="16"/>
        </w:rPr>
        <w:t xml:space="preserve">Sección Tercera. </w:t>
      </w:r>
      <w:r w:rsidRPr="00805A85">
        <w:rPr>
          <w:rFonts w:ascii="Verdana" w:hAnsi="Verdana" w:cs="Arial"/>
          <w:sz w:val="16"/>
          <w:szCs w:val="16"/>
        </w:rPr>
        <w:t>sentencia nº 70001-23-31-000-1996-05303-01(27187) de 22 de Enero de 2014.</w:t>
      </w:r>
    </w:p>
  </w:footnote>
  <w:footnote w:id="2">
    <w:p w14:paraId="6D0CFD55" w14:textId="05512DD4" w:rsidR="005F4297" w:rsidRPr="00805A85" w:rsidRDefault="005F4297" w:rsidP="004C773C">
      <w:pPr>
        <w:pStyle w:val="Textonotapie"/>
        <w:rPr>
          <w:rFonts w:ascii="Verdana" w:hAnsi="Verdana" w:cs="Arial"/>
          <w:sz w:val="16"/>
          <w:szCs w:val="16"/>
        </w:rPr>
      </w:pPr>
      <w:r w:rsidRPr="00805A85">
        <w:rPr>
          <w:rStyle w:val="Refdenotaalpie"/>
          <w:rFonts w:ascii="Verdana" w:hAnsi="Verdana"/>
          <w:sz w:val="16"/>
          <w:szCs w:val="16"/>
        </w:rPr>
        <w:footnoteRef/>
      </w:r>
      <w:r w:rsidRPr="00805A85">
        <w:rPr>
          <w:rFonts w:ascii="Verdana" w:hAnsi="Verdana"/>
          <w:sz w:val="16"/>
          <w:szCs w:val="16"/>
        </w:rPr>
        <w:t xml:space="preserve"> </w:t>
      </w:r>
      <w:r w:rsidRPr="00805A85">
        <w:rPr>
          <w:rFonts w:ascii="Verdana" w:hAnsi="Verdana" w:cs="Arial"/>
          <w:sz w:val="16"/>
          <w:szCs w:val="16"/>
        </w:rPr>
        <w:t xml:space="preserve">Tribunal Administrativo de Boyacá. Exp: 15001333301020150004902. </w:t>
      </w:r>
      <w:r>
        <w:rPr>
          <w:rFonts w:ascii="Verdana" w:hAnsi="Verdana" w:cs="Arial"/>
          <w:sz w:val="16"/>
          <w:szCs w:val="16"/>
        </w:rPr>
        <w:t xml:space="preserve">Sentencia del </w:t>
      </w:r>
      <w:r w:rsidRPr="00805A85">
        <w:rPr>
          <w:rFonts w:ascii="Verdana" w:hAnsi="Verdana" w:cs="Arial"/>
          <w:sz w:val="16"/>
          <w:szCs w:val="16"/>
        </w:rPr>
        <w:t>22</w:t>
      </w:r>
      <w:r>
        <w:rPr>
          <w:rFonts w:ascii="Verdana" w:hAnsi="Verdana" w:cs="Arial"/>
          <w:sz w:val="16"/>
          <w:szCs w:val="16"/>
        </w:rPr>
        <w:t xml:space="preserve"> de marzo de 201</w:t>
      </w:r>
      <w:r w:rsidRPr="00805A85">
        <w:rPr>
          <w:rFonts w:ascii="Verdana" w:hAnsi="Verdana" w:cs="Arial"/>
          <w:sz w:val="16"/>
          <w:szCs w:val="16"/>
        </w:rPr>
        <w:t>8</w:t>
      </w:r>
      <w:r>
        <w:rPr>
          <w:rFonts w:ascii="Verdana" w:hAnsi="Verdana" w:cs="Arial"/>
          <w:sz w:val="16"/>
          <w:szCs w:val="16"/>
        </w:rPr>
        <w:t>.</w:t>
      </w:r>
    </w:p>
  </w:footnote>
  <w:footnote w:id="3">
    <w:p w14:paraId="265FA123" w14:textId="77777777" w:rsidR="005F4297" w:rsidRPr="00805A85" w:rsidRDefault="005F4297" w:rsidP="004C773C">
      <w:pPr>
        <w:pStyle w:val="Textonotapie"/>
        <w:jc w:val="both"/>
        <w:rPr>
          <w:rFonts w:ascii="Verdana" w:hAnsi="Verdana" w:cs="Arial"/>
          <w:sz w:val="16"/>
          <w:szCs w:val="16"/>
          <w:lang w:val="es-CO"/>
        </w:rPr>
      </w:pPr>
      <w:r w:rsidRPr="00805A85">
        <w:rPr>
          <w:rStyle w:val="Refdenotaalpie"/>
          <w:rFonts w:ascii="Verdana" w:hAnsi="Verdana" w:cs="Arial"/>
          <w:sz w:val="16"/>
          <w:szCs w:val="16"/>
        </w:rPr>
        <w:footnoteRef/>
      </w:r>
      <w:r w:rsidRPr="00805A85">
        <w:rPr>
          <w:rFonts w:ascii="Verdana" w:hAnsi="Verdana" w:cs="Arial"/>
          <w:sz w:val="16"/>
          <w:szCs w:val="16"/>
        </w:rPr>
        <w:t xml:space="preserve"> </w:t>
      </w:r>
      <w:r w:rsidRPr="00805A85">
        <w:rPr>
          <w:rFonts w:ascii="Verdana" w:hAnsi="Verdana" w:cs="Arial"/>
          <w:sz w:val="16"/>
          <w:szCs w:val="16"/>
          <w:lang w:val="es-CO"/>
        </w:rPr>
        <w:t>Para efectos del desarrollo de este capítulo, la Sala se apoyará en las argumentaciones expuestas por la Sección Tercera del Consejo de Estado, en sentencias del 16 de septiembre de 2013, expediente 31499 y del 5 de diciembre de 2016, expediente 42336 de contornos fácticos similares a los estudiados en esta oportunidad.</w:t>
      </w:r>
    </w:p>
  </w:footnote>
  <w:footnote w:id="4">
    <w:p w14:paraId="3DB58DE9" w14:textId="77777777" w:rsidR="005F4297" w:rsidRPr="006A4844" w:rsidRDefault="005F4297" w:rsidP="004C773C">
      <w:pPr>
        <w:pStyle w:val="Textonotapie"/>
        <w:jc w:val="both"/>
        <w:rPr>
          <w:rFonts w:ascii="Arial" w:hAnsi="Arial" w:cs="Arial"/>
          <w:sz w:val="16"/>
          <w:szCs w:val="16"/>
          <w:lang w:val="es-CO"/>
        </w:rPr>
      </w:pPr>
      <w:r w:rsidRPr="00805A85">
        <w:rPr>
          <w:rStyle w:val="Refdenotaalpie"/>
          <w:rFonts w:ascii="Verdana" w:hAnsi="Verdana" w:cs="Arial"/>
          <w:b/>
          <w:sz w:val="16"/>
          <w:szCs w:val="16"/>
        </w:rPr>
        <w:footnoteRef/>
      </w:r>
      <w:r w:rsidRPr="00805A85">
        <w:rPr>
          <w:rFonts w:ascii="Verdana" w:hAnsi="Verdana" w:cs="Arial"/>
          <w:b/>
          <w:sz w:val="16"/>
          <w:szCs w:val="16"/>
        </w:rPr>
        <w:t xml:space="preserve"> </w:t>
      </w:r>
      <w:r w:rsidRPr="00805A85">
        <w:rPr>
          <w:rFonts w:ascii="Verdana" w:hAnsi="Verdana" w:cs="Arial"/>
          <w:sz w:val="16"/>
          <w:szCs w:val="16"/>
          <w:lang w:val="es-CO"/>
        </w:rPr>
        <w:t xml:space="preserve">Consejo de Estado, Sección Tercera, Subsección A, </w:t>
      </w:r>
      <w:r w:rsidRPr="00805A85">
        <w:rPr>
          <w:rFonts w:ascii="Verdana" w:hAnsi="Verdana" w:cs="Arial"/>
          <w:sz w:val="16"/>
          <w:szCs w:val="16"/>
        </w:rPr>
        <w:t>sentencia del 17 de abril de 2013, expediente 25.183.</w:t>
      </w:r>
    </w:p>
  </w:footnote>
  <w:footnote w:id="5">
    <w:p w14:paraId="79120772" w14:textId="1657DC6F" w:rsidR="005F4297" w:rsidRPr="00805A85" w:rsidRDefault="005F4297" w:rsidP="004C773C">
      <w:pPr>
        <w:pStyle w:val="Textonotapie"/>
        <w:jc w:val="both"/>
        <w:rPr>
          <w:rFonts w:ascii="Verdana" w:hAnsi="Verdana" w:cs="Arial"/>
          <w:sz w:val="16"/>
          <w:szCs w:val="16"/>
        </w:rPr>
      </w:pPr>
      <w:r w:rsidRPr="00805A85">
        <w:rPr>
          <w:rStyle w:val="Refdenotaalpie"/>
          <w:rFonts w:ascii="Verdana" w:hAnsi="Verdana" w:cs="Arial"/>
          <w:sz w:val="16"/>
          <w:szCs w:val="16"/>
        </w:rPr>
        <w:footnoteRef/>
      </w:r>
      <w:r w:rsidRPr="00805A85">
        <w:rPr>
          <w:rFonts w:ascii="Verdana" w:hAnsi="Verdana" w:cs="Arial"/>
          <w:sz w:val="16"/>
          <w:szCs w:val="16"/>
        </w:rPr>
        <w:t xml:space="preserve"> “Estos deben soportar los daños causados como consecuencia de los riesgos inherentes a la misma actividad, y sólo habrá lugar a la reparación cuando dicho daño se haya producido por falla del servicio, o cuando se someta al agente estatal a un riesgo excepcional, diferente o mayor al que deban afrontar quienes se encuentran en las mismas condiciones. En todo caso, éstos y quienes hayan sufrido perjuicio con el hecho dañoso, tendrán derecho a las prestaciones e indemnizaciones previamente establecidas en el ordenamiento jurídico (a forfait)” (Consejo de Estado, sentencia del 21 de febrero de 2002, expediente 12.799).</w:t>
      </w:r>
    </w:p>
  </w:footnote>
  <w:footnote w:id="6">
    <w:p w14:paraId="43B49E85" w14:textId="77777777" w:rsidR="005F4297" w:rsidRPr="00805A85" w:rsidRDefault="005F4297" w:rsidP="004C773C">
      <w:pPr>
        <w:pStyle w:val="Textonotapie"/>
        <w:jc w:val="both"/>
        <w:rPr>
          <w:rFonts w:ascii="Verdana" w:hAnsi="Verdana" w:cs="Arial"/>
          <w:sz w:val="16"/>
          <w:szCs w:val="16"/>
        </w:rPr>
      </w:pPr>
      <w:r w:rsidRPr="00805A85">
        <w:rPr>
          <w:rFonts w:ascii="Verdana" w:hAnsi="Verdana" w:cs="Arial"/>
          <w:sz w:val="16"/>
          <w:szCs w:val="16"/>
        </w:rPr>
        <w:footnoteRef/>
      </w:r>
      <w:r w:rsidRPr="00805A85">
        <w:rPr>
          <w:rFonts w:ascii="Verdana" w:hAnsi="Verdana" w:cs="Arial"/>
          <w:sz w:val="16"/>
          <w:szCs w:val="16"/>
        </w:rPr>
        <w:t xml:space="preserve"> Corte Constitucional, T-250 del 30 de junio de 1993.</w:t>
      </w:r>
    </w:p>
  </w:footnote>
  <w:footnote w:id="7">
    <w:p w14:paraId="033222C5" w14:textId="77777777" w:rsidR="005F4297" w:rsidRPr="00805A85" w:rsidRDefault="005F4297" w:rsidP="004C773C">
      <w:pPr>
        <w:pStyle w:val="Textonotapie"/>
        <w:jc w:val="both"/>
        <w:rPr>
          <w:rFonts w:ascii="Verdana" w:hAnsi="Verdana" w:cs="Arial"/>
          <w:b/>
          <w:sz w:val="16"/>
          <w:szCs w:val="16"/>
          <w:lang w:val="es-CO"/>
        </w:rPr>
      </w:pPr>
      <w:r w:rsidRPr="00805A85">
        <w:rPr>
          <w:rStyle w:val="Refdenotaalpie"/>
          <w:rFonts w:ascii="Verdana" w:hAnsi="Verdana" w:cs="Arial"/>
          <w:b/>
          <w:sz w:val="16"/>
          <w:szCs w:val="16"/>
        </w:rPr>
        <w:footnoteRef/>
      </w:r>
      <w:r w:rsidRPr="00805A85">
        <w:rPr>
          <w:rFonts w:ascii="Verdana" w:hAnsi="Verdana" w:cs="Arial"/>
          <w:b/>
          <w:sz w:val="16"/>
          <w:szCs w:val="16"/>
        </w:rPr>
        <w:t xml:space="preserve"> </w:t>
      </w:r>
      <w:r w:rsidRPr="000C6B3A">
        <w:rPr>
          <w:rFonts w:ascii="Verdana" w:hAnsi="Verdana" w:cs="Arial"/>
          <w:bCs/>
          <w:sz w:val="16"/>
          <w:szCs w:val="16"/>
          <w:lang w:val="es-CO"/>
        </w:rPr>
        <w:t>Consejo de Estado, Sección Tercera, sentencia del 27 de noviembre de 2006, expediente 15.583.</w:t>
      </w:r>
      <w:r w:rsidRPr="00805A85">
        <w:rPr>
          <w:rFonts w:ascii="Verdana" w:hAnsi="Verdana" w:cs="Arial"/>
          <w:b/>
          <w:sz w:val="16"/>
          <w:szCs w:val="16"/>
          <w:lang w:val="es-CO"/>
        </w:rPr>
        <w:t xml:space="preserve">  </w:t>
      </w:r>
    </w:p>
  </w:footnote>
  <w:footnote w:id="8">
    <w:p w14:paraId="356C99DD" w14:textId="77777777" w:rsidR="005F4297" w:rsidRPr="000C6B3A" w:rsidRDefault="005F4297" w:rsidP="004C773C">
      <w:pPr>
        <w:pStyle w:val="Textonotapie"/>
        <w:jc w:val="both"/>
        <w:rPr>
          <w:rFonts w:ascii="Verdana" w:hAnsi="Verdana" w:cs="Arial"/>
          <w:bCs/>
          <w:sz w:val="16"/>
          <w:szCs w:val="16"/>
        </w:rPr>
      </w:pPr>
      <w:r w:rsidRPr="00805A85">
        <w:rPr>
          <w:rStyle w:val="Refdenotaalpie"/>
          <w:rFonts w:ascii="Verdana" w:hAnsi="Verdana" w:cs="Arial"/>
          <w:b/>
          <w:sz w:val="16"/>
          <w:szCs w:val="16"/>
        </w:rPr>
        <w:footnoteRef/>
      </w:r>
      <w:r w:rsidRPr="00805A85">
        <w:rPr>
          <w:rFonts w:ascii="Verdana" w:hAnsi="Verdana" w:cs="Arial"/>
          <w:b/>
          <w:sz w:val="16"/>
          <w:szCs w:val="16"/>
        </w:rPr>
        <w:t xml:space="preserve"> </w:t>
      </w:r>
      <w:r w:rsidRPr="000C6B3A">
        <w:rPr>
          <w:rFonts w:ascii="Verdana" w:hAnsi="Verdana" w:cs="Arial"/>
          <w:bCs/>
          <w:sz w:val="16"/>
          <w:szCs w:val="16"/>
        </w:rPr>
        <w:t>Sentencias del 3 de marzo de 1989, expediente 5290 y del 25 de octubre de 1991, expediente 6465, entre otras.</w:t>
      </w:r>
    </w:p>
  </w:footnote>
  <w:footnote w:id="9">
    <w:p w14:paraId="225772E7" w14:textId="77777777" w:rsidR="005F4297" w:rsidRPr="006A4844" w:rsidRDefault="005F4297" w:rsidP="004C773C">
      <w:pPr>
        <w:pStyle w:val="Textonotapie"/>
        <w:jc w:val="both"/>
        <w:rPr>
          <w:rFonts w:ascii="Arial" w:hAnsi="Arial" w:cs="Arial"/>
          <w:sz w:val="16"/>
          <w:szCs w:val="16"/>
          <w:lang w:val="es-CO"/>
        </w:rPr>
      </w:pPr>
      <w:r w:rsidRPr="000C6B3A">
        <w:rPr>
          <w:rStyle w:val="Refdenotaalpie"/>
          <w:rFonts w:ascii="Verdana" w:hAnsi="Verdana" w:cs="Arial"/>
          <w:bCs/>
          <w:sz w:val="16"/>
          <w:szCs w:val="16"/>
        </w:rPr>
        <w:footnoteRef/>
      </w:r>
      <w:r w:rsidRPr="000C6B3A">
        <w:rPr>
          <w:rFonts w:ascii="Verdana" w:hAnsi="Verdana" w:cs="Arial"/>
          <w:bCs/>
          <w:sz w:val="16"/>
          <w:szCs w:val="16"/>
        </w:rPr>
        <w:t xml:space="preserve"> </w:t>
      </w:r>
      <w:proofErr w:type="spellStart"/>
      <w:r w:rsidRPr="000C6B3A">
        <w:rPr>
          <w:rFonts w:ascii="Verdana" w:hAnsi="Verdana" w:cs="Arial"/>
          <w:bCs/>
          <w:sz w:val="16"/>
          <w:szCs w:val="16"/>
        </w:rPr>
        <w:t>Exp</w:t>
      </w:r>
      <w:proofErr w:type="spellEnd"/>
      <w:r w:rsidRPr="000C6B3A">
        <w:rPr>
          <w:rFonts w:ascii="Verdana" w:hAnsi="Verdana" w:cs="Arial"/>
          <w:bCs/>
          <w:sz w:val="16"/>
          <w:szCs w:val="16"/>
        </w:rPr>
        <w:t>. 13329</w:t>
      </w:r>
      <w:r w:rsidRPr="00805A85">
        <w:rPr>
          <w:rFonts w:ascii="Verdana" w:hAnsi="Verdana" w:cs="Arial"/>
          <w:sz w:val="16"/>
          <w:szCs w:val="16"/>
        </w:rPr>
        <w:t xml:space="preserve">. </w:t>
      </w:r>
      <w:r w:rsidRPr="00805A85">
        <w:rPr>
          <w:rFonts w:ascii="Verdana" w:hAnsi="Verdana" w:cs="Arial"/>
          <w:sz w:val="16"/>
          <w:szCs w:val="16"/>
          <w:lang w:val="es-CO"/>
        </w:rPr>
        <w:t>Reiterada en Consejo de Estado, Sección Tercera, Subsección C, sentencia del 30 de enero de 2013, Exp. No. 26604 M.P. Olga Melida Valle de la Oz.</w:t>
      </w:r>
    </w:p>
  </w:footnote>
  <w:footnote w:id="10">
    <w:p w14:paraId="0FDFDA91" w14:textId="24E8741A" w:rsidR="005F4297" w:rsidRPr="00876EC3" w:rsidRDefault="005F4297" w:rsidP="004C773C">
      <w:pPr>
        <w:pStyle w:val="Textonotapie"/>
        <w:jc w:val="both"/>
        <w:rPr>
          <w:rFonts w:ascii="Arial" w:hAnsi="Arial" w:cs="Arial"/>
          <w:sz w:val="16"/>
          <w:szCs w:val="16"/>
        </w:rPr>
      </w:pPr>
      <w:r>
        <w:rPr>
          <w:rStyle w:val="Refdenotaalpie"/>
        </w:rPr>
        <w:footnoteRef/>
      </w:r>
      <w:r>
        <w:t xml:space="preserve"> </w:t>
      </w:r>
      <w:r w:rsidRPr="00805A85">
        <w:rPr>
          <w:rFonts w:ascii="Verdana" w:hAnsi="Verdana" w:cs="Arial"/>
          <w:sz w:val="16"/>
          <w:szCs w:val="16"/>
        </w:rPr>
        <w:t>Consejo de Estado. Sección Tercera. Sentencias del 30 de julio de 2008, exp. 18.725, M.P. Ruth Stella Correa Palacio y del 23 de abril de 2009, exp. 17.187, reiteradas en la sentencia del 9 de abril de 2014, exp 34.651. M.P. Dr. Mauricio Fajardo Gómez.</w:t>
      </w:r>
    </w:p>
  </w:footnote>
  <w:footnote w:id="11">
    <w:p w14:paraId="19D0AD91" w14:textId="77777777" w:rsidR="005F4297" w:rsidRPr="00805A85" w:rsidRDefault="005F4297" w:rsidP="004C773C">
      <w:pPr>
        <w:pStyle w:val="Textonotapie"/>
        <w:jc w:val="both"/>
        <w:rPr>
          <w:rFonts w:ascii="Verdana" w:hAnsi="Verdana" w:cs="Arial"/>
          <w:sz w:val="16"/>
          <w:szCs w:val="16"/>
        </w:rPr>
      </w:pPr>
      <w:r w:rsidRPr="00805A85">
        <w:rPr>
          <w:rStyle w:val="Refdenotaalpie"/>
          <w:rFonts w:ascii="Verdana" w:hAnsi="Verdana" w:cs="Arial"/>
          <w:sz w:val="16"/>
          <w:szCs w:val="16"/>
        </w:rPr>
        <w:footnoteRef/>
      </w:r>
      <w:r w:rsidRPr="00805A85">
        <w:rPr>
          <w:rFonts w:ascii="Verdana" w:hAnsi="Verdana" w:cs="Arial"/>
          <w:sz w:val="16"/>
          <w:szCs w:val="16"/>
        </w:rPr>
        <w:t xml:space="preserve"> Consejo de Estado. la Sección Tercera del Consejo de Estado, Subsección A. providencia del 14 de marzo de 2019 (Expediente 48635).</w:t>
      </w:r>
    </w:p>
  </w:footnote>
  <w:footnote w:id="12">
    <w:p w14:paraId="759F52B0" w14:textId="77777777" w:rsidR="005F4297" w:rsidRDefault="005F4297" w:rsidP="004C773C">
      <w:pPr>
        <w:pStyle w:val="Textonotapie"/>
        <w:jc w:val="both"/>
      </w:pPr>
      <w:r w:rsidRPr="00805A85">
        <w:rPr>
          <w:rStyle w:val="Refdenotaalpie"/>
          <w:rFonts w:ascii="Verdana" w:hAnsi="Verdana"/>
          <w:sz w:val="16"/>
          <w:szCs w:val="16"/>
        </w:rPr>
        <w:footnoteRef/>
      </w:r>
      <w:r w:rsidRPr="00805A85">
        <w:rPr>
          <w:rFonts w:ascii="Verdana" w:hAnsi="Verdana"/>
          <w:sz w:val="16"/>
          <w:szCs w:val="16"/>
        </w:rPr>
        <w:t xml:space="preserve"> </w:t>
      </w:r>
      <w:r w:rsidRPr="00805A85">
        <w:rPr>
          <w:rFonts w:ascii="Verdana" w:hAnsi="Verdana" w:cs="Arial"/>
          <w:sz w:val="16"/>
          <w:szCs w:val="16"/>
        </w:rPr>
        <w:t>Consejo de Estado, Sección Tercera, sentencia del 15 de octubre de 2008, exp.18586, C.P. Enrique Gil Botero, reiterada por la Subsección A de esta misma Sección, a través de sentencia del 14 de mayo de 2014, exp. 33679, C.P. Hernán Andrade Rincón</w:t>
      </w:r>
    </w:p>
  </w:footnote>
  <w:footnote w:id="13">
    <w:p w14:paraId="7372CE67" w14:textId="5EDF1507" w:rsidR="005F4297" w:rsidRPr="009668E5" w:rsidRDefault="005F4297">
      <w:pPr>
        <w:pStyle w:val="Textonotapie"/>
        <w:rPr>
          <w:lang w:val="es-CO"/>
        </w:rPr>
      </w:pPr>
      <w:r>
        <w:rPr>
          <w:rStyle w:val="Refdenotaalpie"/>
        </w:rPr>
        <w:footnoteRef/>
      </w:r>
      <w:r>
        <w:t xml:space="preserve"> </w:t>
      </w:r>
      <w:r w:rsidRPr="009668E5">
        <w:rPr>
          <w:rFonts w:ascii="Verdana" w:hAnsi="Verdana" w:cs="Arial"/>
          <w:bCs/>
          <w:sz w:val="16"/>
          <w:szCs w:val="16"/>
        </w:rPr>
        <w:t>Minuto 44:50</w:t>
      </w:r>
      <w:r>
        <w:rPr>
          <w:rFonts w:ascii="Verdana" w:hAnsi="Verdana" w:cs="Arial"/>
          <w:bCs/>
          <w:sz w:val="16"/>
          <w:szCs w:val="16"/>
        </w:rPr>
        <w:t xml:space="preserve"> y siguientes</w:t>
      </w:r>
      <w:r w:rsidRPr="009668E5">
        <w:rPr>
          <w:rFonts w:ascii="Verdana" w:hAnsi="Verdana" w:cs="Arial"/>
          <w:bCs/>
          <w:sz w:val="16"/>
          <w:szCs w:val="16"/>
        </w:rPr>
        <w:t xml:space="preserve"> - CD de audiencia de pruebas obrante a folio 798.</w:t>
      </w:r>
    </w:p>
  </w:footnote>
  <w:footnote w:id="14">
    <w:p w14:paraId="06AF7A36" w14:textId="77777777" w:rsidR="005F4297" w:rsidRPr="00FC3C1E" w:rsidRDefault="005F4297" w:rsidP="00AF58F2">
      <w:pPr>
        <w:pStyle w:val="Textonotapie"/>
        <w:rPr>
          <w:lang w:val="es-CO"/>
        </w:rPr>
      </w:pPr>
      <w:r>
        <w:rPr>
          <w:rStyle w:val="Refdenotaalpie"/>
        </w:rPr>
        <w:footnoteRef/>
      </w:r>
      <w:r w:rsidRPr="00FC3C1E">
        <w:rPr>
          <w:rFonts w:ascii="Verdana" w:hAnsi="Verdana"/>
          <w:sz w:val="16"/>
          <w:szCs w:val="16"/>
        </w:rPr>
        <w:t xml:space="preserve"> </w:t>
      </w:r>
      <w:r w:rsidRPr="00FC3C1E">
        <w:rPr>
          <w:rFonts w:ascii="Verdana" w:hAnsi="Verdana"/>
          <w:sz w:val="16"/>
          <w:szCs w:val="16"/>
          <w:lang w:val="es-CO"/>
        </w:rPr>
        <w:t>En contravía de lo establecido en el artículo 34 de la Ley 65 de 1993.</w:t>
      </w:r>
    </w:p>
  </w:footnote>
  <w:footnote w:id="15">
    <w:p w14:paraId="57059628" w14:textId="3315C589" w:rsidR="005F4297" w:rsidRPr="00EE1D69" w:rsidRDefault="005F4297" w:rsidP="009D3371">
      <w:pPr>
        <w:pStyle w:val="Textonotapie"/>
        <w:jc w:val="both"/>
        <w:rPr>
          <w:lang w:val="es-CO"/>
        </w:rPr>
      </w:pPr>
      <w:r>
        <w:rPr>
          <w:rStyle w:val="Refdenotaalpie"/>
        </w:rPr>
        <w:footnoteRef/>
      </w:r>
      <w:r>
        <w:t xml:space="preserve"> </w:t>
      </w:r>
      <w:r w:rsidRPr="00805A85">
        <w:rPr>
          <w:rFonts w:ascii="Verdana" w:hAnsi="Verdana" w:cs="Arial"/>
          <w:sz w:val="16"/>
          <w:szCs w:val="16"/>
        </w:rPr>
        <w:t xml:space="preserve">Consejo de Estado, Sección Tercera, sentencia del </w:t>
      </w:r>
      <w:r>
        <w:rPr>
          <w:rFonts w:ascii="Verdana" w:hAnsi="Verdana" w:cs="Arial"/>
          <w:sz w:val="16"/>
          <w:szCs w:val="16"/>
        </w:rPr>
        <w:t xml:space="preserve">03 </w:t>
      </w:r>
      <w:r w:rsidRPr="00805A85">
        <w:rPr>
          <w:rFonts w:ascii="Verdana" w:hAnsi="Verdana" w:cs="Arial"/>
          <w:sz w:val="16"/>
          <w:szCs w:val="16"/>
        </w:rPr>
        <w:t xml:space="preserve">de </w:t>
      </w:r>
      <w:r>
        <w:rPr>
          <w:rFonts w:ascii="Verdana" w:hAnsi="Verdana" w:cs="Arial"/>
          <w:sz w:val="16"/>
          <w:szCs w:val="16"/>
        </w:rPr>
        <w:t>f</w:t>
      </w:r>
      <w:r w:rsidRPr="00805A85">
        <w:rPr>
          <w:rFonts w:ascii="Verdana" w:hAnsi="Verdana" w:cs="Arial"/>
          <w:sz w:val="16"/>
          <w:szCs w:val="16"/>
        </w:rPr>
        <w:t>e</w:t>
      </w:r>
      <w:r>
        <w:rPr>
          <w:rFonts w:ascii="Verdana" w:hAnsi="Verdana" w:cs="Arial"/>
          <w:sz w:val="16"/>
          <w:szCs w:val="16"/>
        </w:rPr>
        <w:t>brero</w:t>
      </w:r>
      <w:r w:rsidRPr="00805A85">
        <w:rPr>
          <w:rFonts w:ascii="Verdana" w:hAnsi="Verdana" w:cs="Arial"/>
          <w:sz w:val="16"/>
          <w:szCs w:val="16"/>
        </w:rPr>
        <w:t xml:space="preserve"> de 20</w:t>
      </w:r>
      <w:r>
        <w:rPr>
          <w:rFonts w:ascii="Verdana" w:hAnsi="Verdana" w:cs="Arial"/>
          <w:sz w:val="16"/>
          <w:szCs w:val="16"/>
        </w:rPr>
        <w:t>10</w:t>
      </w:r>
      <w:r w:rsidRPr="00805A85">
        <w:rPr>
          <w:rFonts w:ascii="Verdana" w:hAnsi="Verdana" w:cs="Arial"/>
          <w:sz w:val="16"/>
          <w:szCs w:val="16"/>
        </w:rPr>
        <w:t xml:space="preserve">, </w:t>
      </w:r>
      <w:r w:rsidRPr="009D3371">
        <w:rPr>
          <w:rFonts w:ascii="Verdana" w:hAnsi="Verdana" w:cs="Arial"/>
          <w:sz w:val="16"/>
          <w:szCs w:val="16"/>
        </w:rPr>
        <w:t>Radicación número: 18001-23-31-000-1996-00770-01(17543)</w:t>
      </w:r>
      <w:r w:rsidRPr="00805A85">
        <w:rPr>
          <w:rFonts w:ascii="Verdana" w:hAnsi="Verdana" w:cs="Arial"/>
          <w:sz w:val="16"/>
          <w:szCs w:val="16"/>
        </w:rPr>
        <w:t xml:space="preserve">, C.P. </w:t>
      </w:r>
      <w:r>
        <w:rPr>
          <w:rFonts w:ascii="Verdana" w:hAnsi="Verdana" w:cs="Arial"/>
          <w:sz w:val="16"/>
          <w:szCs w:val="16"/>
        </w:rPr>
        <w:t>Myriam Guerreo de Escobar.</w:t>
      </w:r>
    </w:p>
  </w:footnote>
  <w:footnote w:id="16">
    <w:p w14:paraId="69E092EA" w14:textId="5398E2D1" w:rsidR="005F4297" w:rsidRDefault="005F4297" w:rsidP="009223BD">
      <w:pPr>
        <w:pStyle w:val="Textonotapie"/>
        <w:jc w:val="both"/>
      </w:pPr>
      <w:r>
        <w:rPr>
          <w:rStyle w:val="Refdenotaalpie"/>
        </w:rPr>
        <w:footnoteRef/>
      </w:r>
      <w:r>
        <w:t xml:space="preserve"> </w:t>
      </w:r>
      <w:r>
        <w:rPr>
          <w:rFonts w:ascii="Verdana" w:hAnsi="Verdana"/>
          <w:sz w:val="16"/>
          <w:szCs w:val="16"/>
        </w:rPr>
        <w:t xml:space="preserve">CORTE SUPREMA DE JUSTICIA, Sala de Casación Civil. </w:t>
      </w:r>
      <w:r w:rsidRPr="007A1F3D">
        <w:rPr>
          <w:rFonts w:ascii="Verdana" w:hAnsi="Verdana"/>
          <w:sz w:val="16"/>
          <w:szCs w:val="16"/>
        </w:rPr>
        <w:t xml:space="preserve">Radicación número: </w:t>
      </w:r>
      <w:r w:rsidRPr="003851EB">
        <w:rPr>
          <w:rFonts w:ascii="Verdana" w:hAnsi="Verdana"/>
          <w:sz w:val="16"/>
          <w:szCs w:val="16"/>
        </w:rPr>
        <w:t>50001-31-03-003-2004-00142-01</w:t>
      </w:r>
      <w:r>
        <w:rPr>
          <w:rFonts w:ascii="Verdana" w:hAnsi="Verdana"/>
          <w:sz w:val="16"/>
          <w:szCs w:val="16"/>
        </w:rPr>
        <w:t>.</w:t>
      </w:r>
      <w:r w:rsidRPr="003851EB">
        <w:t xml:space="preserve"> </w:t>
      </w:r>
      <w:r w:rsidRPr="003851EB">
        <w:rPr>
          <w:rFonts w:ascii="Verdana" w:hAnsi="Verdana"/>
          <w:sz w:val="16"/>
          <w:szCs w:val="16"/>
        </w:rPr>
        <w:t>(25) de mayo de dos mil once (2011).</w:t>
      </w:r>
      <w:r>
        <w:rPr>
          <w:rFonts w:ascii="Verdana" w:hAnsi="Verdana"/>
          <w:sz w:val="16"/>
          <w:szCs w:val="16"/>
        </w:rPr>
        <w:t xml:space="preserve"> M.P: </w:t>
      </w:r>
      <w:r w:rsidRPr="003851EB">
        <w:rPr>
          <w:rFonts w:ascii="Verdana" w:hAnsi="Verdana"/>
          <w:sz w:val="16"/>
          <w:szCs w:val="16"/>
        </w:rPr>
        <w:t>PEDRO OCTAVIO MUNAR CADENA</w:t>
      </w:r>
      <w:r>
        <w:rPr>
          <w:rFonts w:ascii="Verdana" w:hAnsi="Verdana"/>
          <w:sz w:val="16"/>
          <w:szCs w:val="16"/>
        </w:rPr>
        <w:t>.</w:t>
      </w:r>
    </w:p>
  </w:footnote>
  <w:footnote w:id="17">
    <w:p w14:paraId="677106AD" w14:textId="77777777" w:rsidR="005F4297" w:rsidRDefault="005F4297" w:rsidP="009223BD">
      <w:pPr>
        <w:pStyle w:val="Textonotapie"/>
        <w:jc w:val="both"/>
      </w:pPr>
      <w:r>
        <w:rPr>
          <w:rStyle w:val="Refdenotaalpie"/>
        </w:rPr>
        <w:footnoteRef/>
      </w:r>
      <w:r>
        <w:t xml:space="preserve"> C</w:t>
      </w:r>
      <w:r>
        <w:rPr>
          <w:rFonts w:ascii="Verdana" w:hAnsi="Verdana"/>
          <w:sz w:val="16"/>
          <w:szCs w:val="16"/>
        </w:rPr>
        <w:t xml:space="preserve">OLOMBIA, CORTE SUPREMA DE JUSTICIA, Sala de Casación Civil. </w:t>
      </w:r>
      <w:r w:rsidRPr="007A1F3D">
        <w:rPr>
          <w:rFonts w:ascii="Verdana" w:hAnsi="Verdana"/>
          <w:sz w:val="16"/>
          <w:szCs w:val="16"/>
        </w:rPr>
        <w:t xml:space="preserve">Radicación número: </w:t>
      </w:r>
      <w:r w:rsidRPr="00210ED0">
        <w:rPr>
          <w:rFonts w:ascii="Verdana" w:hAnsi="Verdana"/>
          <w:sz w:val="16"/>
          <w:szCs w:val="16"/>
        </w:rPr>
        <w:t>0037</w:t>
      </w:r>
      <w:r w:rsidRPr="003851EB">
        <w:rPr>
          <w:rFonts w:ascii="Verdana" w:hAnsi="Verdana"/>
          <w:sz w:val="16"/>
          <w:szCs w:val="16"/>
        </w:rPr>
        <w:t>.</w:t>
      </w:r>
      <w:r w:rsidRPr="003851EB">
        <w:t xml:space="preserve"> </w:t>
      </w:r>
      <w:r w:rsidRPr="003851EB">
        <w:rPr>
          <w:rFonts w:ascii="Verdana" w:hAnsi="Verdana"/>
          <w:sz w:val="16"/>
          <w:szCs w:val="16"/>
        </w:rPr>
        <w:t>(2</w:t>
      </w:r>
      <w:r>
        <w:rPr>
          <w:rFonts w:ascii="Verdana" w:hAnsi="Verdana"/>
          <w:sz w:val="16"/>
          <w:szCs w:val="16"/>
        </w:rPr>
        <w:t>9</w:t>
      </w:r>
      <w:r w:rsidRPr="003851EB">
        <w:rPr>
          <w:rFonts w:ascii="Verdana" w:hAnsi="Verdana"/>
          <w:sz w:val="16"/>
          <w:szCs w:val="16"/>
        </w:rPr>
        <w:t xml:space="preserve">) de </w:t>
      </w:r>
      <w:r>
        <w:rPr>
          <w:rFonts w:ascii="Verdana" w:hAnsi="Verdana"/>
          <w:sz w:val="16"/>
          <w:szCs w:val="16"/>
        </w:rPr>
        <w:t>abril</w:t>
      </w:r>
      <w:r w:rsidRPr="003851EB">
        <w:rPr>
          <w:rFonts w:ascii="Verdana" w:hAnsi="Verdana"/>
          <w:sz w:val="16"/>
          <w:szCs w:val="16"/>
        </w:rPr>
        <w:t xml:space="preserve"> de dos mil </w:t>
      </w:r>
      <w:r>
        <w:rPr>
          <w:rFonts w:ascii="Verdana" w:hAnsi="Verdana"/>
          <w:sz w:val="16"/>
          <w:szCs w:val="16"/>
        </w:rPr>
        <w:t>cinco</w:t>
      </w:r>
      <w:r w:rsidRPr="003851EB">
        <w:rPr>
          <w:rFonts w:ascii="Verdana" w:hAnsi="Verdana"/>
          <w:sz w:val="16"/>
          <w:szCs w:val="16"/>
        </w:rPr>
        <w:t xml:space="preserve"> (20</w:t>
      </w:r>
      <w:r>
        <w:rPr>
          <w:rFonts w:ascii="Verdana" w:hAnsi="Verdana"/>
          <w:sz w:val="16"/>
          <w:szCs w:val="16"/>
        </w:rPr>
        <w:t>05</w:t>
      </w:r>
      <w:r w:rsidRPr="003851EB">
        <w:rPr>
          <w:rFonts w:ascii="Verdana" w:hAnsi="Verdana"/>
          <w:sz w:val="16"/>
          <w:szCs w:val="16"/>
        </w:rPr>
        <w:t>)</w:t>
      </w:r>
      <w:r>
        <w:t>.</w:t>
      </w:r>
    </w:p>
  </w:footnote>
  <w:footnote w:id="18">
    <w:p w14:paraId="5A22854F" w14:textId="77777777" w:rsidR="005F4297" w:rsidRPr="00533D8D" w:rsidRDefault="005F4297" w:rsidP="004C773C">
      <w:pPr>
        <w:pStyle w:val="Textonotapie"/>
        <w:jc w:val="both"/>
        <w:rPr>
          <w:rFonts w:ascii="Verdana" w:hAnsi="Verdana"/>
          <w:sz w:val="16"/>
          <w:szCs w:val="16"/>
        </w:rPr>
      </w:pPr>
      <w:r w:rsidRPr="00533D8D">
        <w:rPr>
          <w:rStyle w:val="Refdenotaalpie"/>
          <w:rFonts w:ascii="Verdana" w:hAnsi="Verdana"/>
          <w:sz w:val="16"/>
          <w:szCs w:val="16"/>
        </w:rPr>
        <w:footnoteRef/>
      </w:r>
      <w:r w:rsidRPr="00533D8D">
        <w:rPr>
          <w:rFonts w:ascii="Verdana" w:hAnsi="Verdana"/>
          <w:sz w:val="16"/>
          <w:szCs w:val="16"/>
        </w:rPr>
        <w:t xml:space="preserve"> Consejo de Estado, Sección Cuarta, Sentencia de 26 de abril de 2002 // Consejo de Estado, Sección Quinta, Sentencia de 24 de abril de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C70D" w14:textId="77777777" w:rsidR="005F4297" w:rsidRDefault="005F4297" w:rsidP="00FD1E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2F2D11" w14:textId="77777777" w:rsidR="005F4297" w:rsidRDefault="005F4297" w:rsidP="00FD1E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D34C" w14:textId="77777777" w:rsidR="005F4297" w:rsidRPr="00556355" w:rsidRDefault="005F4297" w:rsidP="00973092">
    <w:pPr>
      <w:pStyle w:val="Encabezado"/>
      <w:jc w:val="right"/>
      <w:rPr>
        <w:rFonts w:ascii="Verdana" w:hAnsi="Verdana"/>
        <w:i/>
        <w:sz w:val="16"/>
        <w:szCs w:val="1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88A"/>
    <w:multiLevelType w:val="hybridMultilevel"/>
    <w:tmpl w:val="1E30696E"/>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628EF"/>
    <w:multiLevelType w:val="hybridMultilevel"/>
    <w:tmpl w:val="05BC433C"/>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092469BE"/>
    <w:multiLevelType w:val="hybridMultilevel"/>
    <w:tmpl w:val="D284A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882D16"/>
    <w:multiLevelType w:val="hybridMultilevel"/>
    <w:tmpl w:val="79924250"/>
    <w:lvl w:ilvl="0" w:tplc="049E7A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8C77EB"/>
    <w:multiLevelType w:val="hybridMultilevel"/>
    <w:tmpl w:val="D7CC4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F91797"/>
    <w:multiLevelType w:val="hybridMultilevel"/>
    <w:tmpl w:val="A59614AC"/>
    <w:lvl w:ilvl="0" w:tplc="CFF45D4C">
      <w:start w:val="2"/>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351661"/>
    <w:multiLevelType w:val="hybridMultilevel"/>
    <w:tmpl w:val="E1066850"/>
    <w:lvl w:ilvl="0" w:tplc="32F42740">
      <w:start w:val="1"/>
      <w:numFmt w:val="lowerLetter"/>
      <w:lvlText w:val="%1."/>
      <w:lvlJc w:val="left"/>
      <w:pPr>
        <w:ind w:left="720" w:hanging="360"/>
      </w:pPr>
      <w:rPr>
        <w:rFonts w:ascii="Verdana" w:eastAsia="Calibri" w:hAnsi="Verdan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914A7"/>
    <w:multiLevelType w:val="hybridMultilevel"/>
    <w:tmpl w:val="EF4E0A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8D400B"/>
    <w:multiLevelType w:val="hybridMultilevel"/>
    <w:tmpl w:val="74042B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25196E1B"/>
    <w:multiLevelType w:val="multilevel"/>
    <w:tmpl w:val="A5AEA47A"/>
    <w:lvl w:ilvl="0">
      <w:start w:val="1"/>
      <w:numFmt w:val="upperRoman"/>
      <w:lvlText w:val="%1."/>
      <w:lvlJc w:val="left"/>
      <w:pPr>
        <w:ind w:left="1080" w:hanging="720"/>
      </w:pPr>
      <w:rPr>
        <w:rFonts w:cs="Times New Roman" w:hint="default"/>
      </w:rPr>
    </w:lvl>
    <w:lvl w:ilvl="1">
      <w:start w:val="5"/>
      <w:numFmt w:val="decimal"/>
      <w:isLgl/>
      <w:lvlText w:val="%1.%2."/>
      <w:lvlJc w:val="left"/>
      <w:pPr>
        <w:ind w:left="1417" w:hanging="885"/>
      </w:pPr>
      <w:rPr>
        <w:rFonts w:hint="default"/>
      </w:rPr>
    </w:lvl>
    <w:lvl w:ilvl="2">
      <w:start w:val="2"/>
      <w:numFmt w:val="decimal"/>
      <w:isLgl/>
      <w:lvlText w:val="%1.%2.%3."/>
      <w:lvlJc w:val="left"/>
      <w:pPr>
        <w:ind w:left="1784" w:hanging="1080"/>
      </w:pPr>
      <w:rPr>
        <w:rFonts w:hint="default"/>
      </w:rPr>
    </w:lvl>
    <w:lvl w:ilvl="3">
      <w:start w:val="1"/>
      <w:numFmt w:val="decimal"/>
      <w:isLgl/>
      <w:lvlText w:val="%1.%2.%3.%4."/>
      <w:lvlJc w:val="left"/>
      <w:pPr>
        <w:ind w:left="2316" w:hanging="1440"/>
      </w:pPr>
      <w:rPr>
        <w:rFonts w:hint="default"/>
      </w:rPr>
    </w:lvl>
    <w:lvl w:ilvl="4">
      <w:start w:val="1"/>
      <w:numFmt w:val="decimal"/>
      <w:isLgl/>
      <w:lvlText w:val="%1.%2.%3.%4.%5."/>
      <w:lvlJc w:val="left"/>
      <w:pPr>
        <w:ind w:left="2848" w:hanging="1800"/>
      </w:pPr>
      <w:rPr>
        <w:rFonts w:hint="default"/>
      </w:rPr>
    </w:lvl>
    <w:lvl w:ilvl="5">
      <w:start w:val="1"/>
      <w:numFmt w:val="decimal"/>
      <w:isLgl/>
      <w:lvlText w:val="%1.%2.%3.%4.%5.%6."/>
      <w:lvlJc w:val="left"/>
      <w:pPr>
        <w:ind w:left="3020" w:hanging="1800"/>
      </w:pPr>
      <w:rPr>
        <w:rFonts w:hint="default"/>
      </w:rPr>
    </w:lvl>
    <w:lvl w:ilvl="6">
      <w:start w:val="1"/>
      <w:numFmt w:val="decimal"/>
      <w:isLgl/>
      <w:lvlText w:val="%1.%2.%3.%4.%5.%6.%7."/>
      <w:lvlJc w:val="left"/>
      <w:pPr>
        <w:ind w:left="3552" w:hanging="2160"/>
      </w:pPr>
      <w:rPr>
        <w:rFonts w:hint="default"/>
      </w:rPr>
    </w:lvl>
    <w:lvl w:ilvl="7">
      <w:start w:val="1"/>
      <w:numFmt w:val="decimal"/>
      <w:isLgl/>
      <w:lvlText w:val="%1.%2.%3.%4.%5.%6.%7.%8."/>
      <w:lvlJc w:val="left"/>
      <w:pPr>
        <w:ind w:left="4084" w:hanging="2520"/>
      </w:pPr>
      <w:rPr>
        <w:rFonts w:hint="default"/>
      </w:rPr>
    </w:lvl>
    <w:lvl w:ilvl="8">
      <w:start w:val="1"/>
      <w:numFmt w:val="decimal"/>
      <w:isLgl/>
      <w:lvlText w:val="%1.%2.%3.%4.%5.%6.%7.%8.%9."/>
      <w:lvlJc w:val="left"/>
      <w:pPr>
        <w:ind w:left="4616" w:hanging="2880"/>
      </w:pPr>
      <w:rPr>
        <w:rFonts w:hint="default"/>
      </w:rPr>
    </w:lvl>
  </w:abstractNum>
  <w:abstractNum w:abstractNumId="10" w15:restartNumberingAfterBreak="0">
    <w:nsid w:val="2DC36065"/>
    <w:multiLevelType w:val="hybridMultilevel"/>
    <w:tmpl w:val="47142EAE"/>
    <w:lvl w:ilvl="0" w:tplc="749056E0">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AD1057"/>
    <w:multiLevelType w:val="hybridMultilevel"/>
    <w:tmpl w:val="4CBADF12"/>
    <w:lvl w:ilvl="0" w:tplc="E0C6CFE0">
      <w:start w:val="1"/>
      <w:numFmt w:val="lowerRoman"/>
      <w:lvlText w:val="%1)"/>
      <w:lvlJc w:val="left"/>
      <w:pPr>
        <w:ind w:left="1080" w:hanging="720"/>
      </w:pPr>
      <w:rPr>
        <w:rFonts w:ascii="Arial"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424862"/>
    <w:multiLevelType w:val="hybridMultilevel"/>
    <w:tmpl w:val="8F10E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DC3744"/>
    <w:multiLevelType w:val="hybridMultilevel"/>
    <w:tmpl w:val="9938A110"/>
    <w:lvl w:ilvl="0" w:tplc="7D16347A">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5E5EB5"/>
    <w:multiLevelType w:val="hybridMultilevel"/>
    <w:tmpl w:val="292E1DF6"/>
    <w:lvl w:ilvl="0" w:tplc="0E3A05C2">
      <w:start w:val="1"/>
      <w:numFmt w:val="lowerRoman"/>
      <w:lvlText w:val="%1)"/>
      <w:lvlJc w:val="left"/>
      <w:pPr>
        <w:ind w:left="2844" w:hanging="720"/>
      </w:pPr>
    </w:lvl>
    <w:lvl w:ilvl="1" w:tplc="240A0019">
      <w:start w:val="1"/>
      <w:numFmt w:val="lowerLetter"/>
      <w:lvlText w:val="%2."/>
      <w:lvlJc w:val="left"/>
      <w:pPr>
        <w:ind w:left="3204" w:hanging="360"/>
      </w:pPr>
    </w:lvl>
    <w:lvl w:ilvl="2" w:tplc="240A001B">
      <w:start w:val="1"/>
      <w:numFmt w:val="lowerRoman"/>
      <w:lvlText w:val="%3."/>
      <w:lvlJc w:val="right"/>
      <w:pPr>
        <w:ind w:left="3924" w:hanging="180"/>
      </w:pPr>
    </w:lvl>
    <w:lvl w:ilvl="3" w:tplc="240A000F">
      <w:start w:val="1"/>
      <w:numFmt w:val="decimal"/>
      <w:lvlText w:val="%4."/>
      <w:lvlJc w:val="left"/>
      <w:pPr>
        <w:ind w:left="4644" w:hanging="360"/>
      </w:pPr>
    </w:lvl>
    <w:lvl w:ilvl="4" w:tplc="240A0019">
      <w:start w:val="1"/>
      <w:numFmt w:val="lowerLetter"/>
      <w:lvlText w:val="%5."/>
      <w:lvlJc w:val="left"/>
      <w:pPr>
        <w:ind w:left="5364" w:hanging="360"/>
      </w:pPr>
    </w:lvl>
    <w:lvl w:ilvl="5" w:tplc="240A001B">
      <w:start w:val="1"/>
      <w:numFmt w:val="lowerRoman"/>
      <w:lvlText w:val="%6."/>
      <w:lvlJc w:val="right"/>
      <w:pPr>
        <w:ind w:left="6084" w:hanging="180"/>
      </w:pPr>
    </w:lvl>
    <w:lvl w:ilvl="6" w:tplc="240A000F">
      <w:start w:val="1"/>
      <w:numFmt w:val="decimal"/>
      <w:lvlText w:val="%7."/>
      <w:lvlJc w:val="left"/>
      <w:pPr>
        <w:ind w:left="6804" w:hanging="360"/>
      </w:pPr>
    </w:lvl>
    <w:lvl w:ilvl="7" w:tplc="240A0019">
      <w:start w:val="1"/>
      <w:numFmt w:val="lowerLetter"/>
      <w:lvlText w:val="%8."/>
      <w:lvlJc w:val="left"/>
      <w:pPr>
        <w:ind w:left="7524" w:hanging="360"/>
      </w:pPr>
    </w:lvl>
    <w:lvl w:ilvl="8" w:tplc="240A001B">
      <w:start w:val="1"/>
      <w:numFmt w:val="lowerRoman"/>
      <w:lvlText w:val="%9."/>
      <w:lvlJc w:val="right"/>
      <w:pPr>
        <w:ind w:left="8244" w:hanging="180"/>
      </w:pPr>
    </w:lvl>
  </w:abstractNum>
  <w:abstractNum w:abstractNumId="15" w15:restartNumberingAfterBreak="0">
    <w:nsid w:val="4CCB5092"/>
    <w:multiLevelType w:val="hybridMultilevel"/>
    <w:tmpl w:val="B5E2295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DD80D1B"/>
    <w:multiLevelType w:val="hybridMultilevel"/>
    <w:tmpl w:val="1658B620"/>
    <w:lvl w:ilvl="0" w:tplc="8B06E3CC">
      <w:start w:val="1"/>
      <w:numFmt w:val="lowerLetter"/>
      <w:lvlText w:val="%1."/>
      <w:lvlJc w:val="left"/>
      <w:pPr>
        <w:ind w:left="720" w:hanging="360"/>
      </w:pPr>
      <w:rPr>
        <w:rFonts w:ascii="Verdana" w:eastAsia="Calibri" w:hAnsi="Verdan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CF320B"/>
    <w:multiLevelType w:val="hybridMultilevel"/>
    <w:tmpl w:val="F4CE2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BA2F5F"/>
    <w:multiLevelType w:val="hybridMultilevel"/>
    <w:tmpl w:val="1DF6CB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58F336D4"/>
    <w:multiLevelType w:val="multilevel"/>
    <w:tmpl w:val="B670867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upperLetter"/>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5BDA083F"/>
    <w:multiLevelType w:val="hybridMultilevel"/>
    <w:tmpl w:val="6B74B17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E71F90"/>
    <w:multiLevelType w:val="hybridMultilevel"/>
    <w:tmpl w:val="E36C62F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9CB5E58"/>
    <w:multiLevelType w:val="hybridMultilevel"/>
    <w:tmpl w:val="AE9C3046"/>
    <w:lvl w:ilvl="0" w:tplc="2DB282A0">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CE5B57"/>
    <w:multiLevelType w:val="hybridMultilevel"/>
    <w:tmpl w:val="2736B906"/>
    <w:lvl w:ilvl="0" w:tplc="8C283DAA">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FD44D7"/>
    <w:multiLevelType w:val="hybridMultilevel"/>
    <w:tmpl w:val="4AECA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4B473AC"/>
    <w:multiLevelType w:val="hybridMultilevel"/>
    <w:tmpl w:val="A266A476"/>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9C70F8E"/>
    <w:multiLevelType w:val="hybridMultilevel"/>
    <w:tmpl w:val="CC0EB87A"/>
    <w:lvl w:ilvl="0" w:tplc="BF7A36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992754"/>
    <w:multiLevelType w:val="hybridMultilevel"/>
    <w:tmpl w:val="D71CD81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18"/>
  </w:num>
  <w:num w:numId="3">
    <w:abstractNumId w:val="21"/>
  </w:num>
  <w:num w:numId="4">
    <w:abstractNumId w:val="27"/>
  </w:num>
  <w:num w:numId="5">
    <w:abstractNumId w:val="10"/>
  </w:num>
  <w:num w:numId="6">
    <w:abstractNumId w:val="11"/>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2"/>
  </w:num>
  <w:num w:numId="12">
    <w:abstractNumId w:val="23"/>
  </w:num>
  <w:num w:numId="13">
    <w:abstractNumId w:val="6"/>
  </w:num>
  <w:num w:numId="14">
    <w:abstractNumId w:val="26"/>
  </w:num>
  <w:num w:numId="15">
    <w:abstractNumId w:val="5"/>
  </w:num>
  <w:num w:numId="16">
    <w:abstractNumId w:val="16"/>
  </w:num>
  <w:num w:numId="17">
    <w:abstractNumId w:val="13"/>
  </w:num>
  <w:num w:numId="18">
    <w:abstractNumId w:val="20"/>
  </w:num>
  <w:num w:numId="19">
    <w:abstractNumId w:val="1"/>
  </w:num>
  <w:num w:numId="20">
    <w:abstractNumId w:val="0"/>
  </w:num>
  <w:num w:numId="21">
    <w:abstractNumId w:val="17"/>
  </w:num>
  <w:num w:numId="22">
    <w:abstractNumId w:val="7"/>
  </w:num>
  <w:num w:numId="23">
    <w:abstractNumId w:val="12"/>
  </w:num>
  <w:num w:numId="24">
    <w:abstractNumId w:val="2"/>
  </w:num>
  <w:num w:numId="25">
    <w:abstractNumId w:val="24"/>
  </w:num>
  <w:num w:numId="26">
    <w:abstractNumId w:val="8"/>
  </w:num>
  <w:num w:numId="27">
    <w:abstractNumId w:val="4"/>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30"/>
    <w:rsid w:val="00000D81"/>
    <w:rsid w:val="00004772"/>
    <w:rsid w:val="000054CE"/>
    <w:rsid w:val="00011FB3"/>
    <w:rsid w:val="0001207D"/>
    <w:rsid w:val="00015944"/>
    <w:rsid w:val="00015F6B"/>
    <w:rsid w:val="00016583"/>
    <w:rsid w:val="00020139"/>
    <w:rsid w:val="000202B7"/>
    <w:rsid w:val="00022E57"/>
    <w:rsid w:val="00024A01"/>
    <w:rsid w:val="00025D4A"/>
    <w:rsid w:val="000267D7"/>
    <w:rsid w:val="00027684"/>
    <w:rsid w:val="000308BC"/>
    <w:rsid w:val="00030E6F"/>
    <w:rsid w:val="00030F8D"/>
    <w:rsid w:val="00033978"/>
    <w:rsid w:val="0003670E"/>
    <w:rsid w:val="000367CC"/>
    <w:rsid w:val="000402B1"/>
    <w:rsid w:val="00041011"/>
    <w:rsid w:val="00043879"/>
    <w:rsid w:val="00043A59"/>
    <w:rsid w:val="00043EB6"/>
    <w:rsid w:val="000443C3"/>
    <w:rsid w:val="00050755"/>
    <w:rsid w:val="00051612"/>
    <w:rsid w:val="0005199A"/>
    <w:rsid w:val="00052442"/>
    <w:rsid w:val="00053D19"/>
    <w:rsid w:val="00054502"/>
    <w:rsid w:val="00055B3B"/>
    <w:rsid w:val="00055B54"/>
    <w:rsid w:val="000560C9"/>
    <w:rsid w:val="00056B5D"/>
    <w:rsid w:val="000602E7"/>
    <w:rsid w:val="00061086"/>
    <w:rsid w:val="00061E86"/>
    <w:rsid w:val="000627D1"/>
    <w:rsid w:val="00065AB4"/>
    <w:rsid w:val="0006601A"/>
    <w:rsid w:val="0006658A"/>
    <w:rsid w:val="00066C93"/>
    <w:rsid w:val="00067C17"/>
    <w:rsid w:val="00073F42"/>
    <w:rsid w:val="000756C5"/>
    <w:rsid w:val="0007657C"/>
    <w:rsid w:val="00077182"/>
    <w:rsid w:val="00081932"/>
    <w:rsid w:val="000856E0"/>
    <w:rsid w:val="00086A7F"/>
    <w:rsid w:val="00086B7E"/>
    <w:rsid w:val="00090F6F"/>
    <w:rsid w:val="0009327B"/>
    <w:rsid w:val="000956EE"/>
    <w:rsid w:val="00095C52"/>
    <w:rsid w:val="000971AF"/>
    <w:rsid w:val="00097578"/>
    <w:rsid w:val="00097732"/>
    <w:rsid w:val="000A2420"/>
    <w:rsid w:val="000A4E28"/>
    <w:rsid w:val="000A6157"/>
    <w:rsid w:val="000A68B1"/>
    <w:rsid w:val="000A6ABA"/>
    <w:rsid w:val="000A6D45"/>
    <w:rsid w:val="000B4187"/>
    <w:rsid w:val="000B50BE"/>
    <w:rsid w:val="000B7787"/>
    <w:rsid w:val="000C0167"/>
    <w:rsid w:val="000C08FF"/>
    <w:rsid w:val="000C2670"/>
    <w:rsid w:val="000C4BAB"/>
    <w:rsid w:val="000C673C"/>
    <w:rsid w:val="000C6B3A"/>
    <w:rsid w:val="000C6BC5"/>
    <w:rsid w:val="000C79CA"/>
    <w:rsid w:val="000D0A66"/>
    <w:rsid w:val="000D193F"/>
    <w:rsid w:val="000D1C16"/>
    <w:rsid w:val="000D2D0D"/>
    <w:rsid w:val="000D638D"/>
    <w:rsid w:val="000D7535"/>
    <w:rsid w:val="000D79FA"/>
    <w:rsid w:val="000E04DF"/>
    <w:rsid w:val="000E0C68"/>
    <w:rsid w:val="000E13F6"/>
    <w:rsid w:val="000E1770"/>
    <w:rsid w:val="000E31DC"/>
    <w:rsid w:val="000E35C7"/>
    <w:rsid w:val="000F03DB"/>
    <w:rsid w:val="000F33A9"/>
    <w:rsid w:val="000F4A2F"/>
    <w:rsid w:val="000F4C3F"/>
    <w:rsid w:val="000F50A2"/>
    <w:rsid w:val="000F64D6"/>
    <w:rsid w:val="000F7056"/>
    <w:rsid w:val="000F7530"/>
    <w:rsid w:val="00101298"/>
    <w:rsid w:val="00102FB3"/>
    <w:rsid w:val="00103CA3"/>
    <w:rsid w:val="00105599"/>
    <w:rsid w:val="0010698E"/>
    <w:rsid w:val="00111A56"/>
    <w:rsid w:val="00113D21"/>
    <w:rsid w:val="00113F65"/>
    <w:rsid w:val="001149E6"/>
    <w:rsid w:val="0011535B"/>
    <w:rsid w:val="00115808"/>
    <w:rsid w:val="00120418"/>
    <w:rsid w:val="00123393"/>
    <w:rsid w:val="00123A77"/>
    <w:rsid w:val="001248F6"/>
    <w:rsid w:val="0012510D"/>
    <w:rsid w:val="00125221"/>
    <w:rsid w:val="00125B29"/>
    <w:rsid w:val="00125C7F"/>
    <w:rsid w:val="00126432"/>
    <w:rsid w:val="00130C4D"/>
    <w:rsid w:val="00134892"/>
    <w:rsid w:val="00140DB4"/>
    <w:rsid w:val="0014247D"/>
    <w:rsid w:val="0014355E"/>
    <w:rsid w:val="001450D8"/>
    <w:rsid w:val="00146334"/>
    <w:rsid w:val="001513C8"/>
    <w:rsid w:val="00151A7F"/>
    <w:rsid w:val="00151D22"/>
    <w:rsid w:val="00152A07"/>
    <w:rsid w:val="0015524C"/>
    <w:rsid w:val="00155C29"/>
    <w:rsid w:val="00157409"/>
    <w:rsid w:val="00157F97"/>
    <w:rsid w:val="00161DEF"/>
    <w:rsid w:val="001646B0"/>
    <w:rsid w:val="001649D9"/>
    <w:rsid w:val="00165D24"/>
    <w:rsid w:val="00166FB4"/>
    <w:rsid w:val="001708C6"/>
    <w:rsid w:val="00171228"/>
    <w:rsid w:val="0017245F"/>
    <w:rsid w:val="0017730F"/>
    <w:rsid w:val="001775F3"/>
    <w:rsid w:val="00180E5E"/>
    <w:rsid w:val="00181BB9"/>
    <w:rsid w:val="00183808"/>
    <w:rsid w:val="00184784"/>
    <w:rsid w:val="00184FCC"/>
    <w:rsid w:val="00186BD0"/>
    <w:rsid w:val="00187EB5"/>
    <w:rsid w:val="00192C20"/>
    <w:rsid w:val="00193026"/>
    <w:rsid w:val="0019312E"/>
    <w:rsid w:val="001943B6"/>
    <w:rsid w:val="001971FD"/>
    <w:rsid w:val="0019742A"/>
    <w:rsid w:val="001A25A9"/>
    <w:rsid w:val="001A3200"/>
    <w:rsid w:val="001A4D2F"/>
    <w:rsid w:val="001A6950"/>
    <w:rsid w:val="001A784A"/>
    <w:rsid w:val="001B3059"/>
    <w:rsid w:val="001B485E"/>
    <w:rsid w:val="001B6AB4"/>
    <w:rsid w:val="001C17FA"/>
    <w:rsid w:val="001C4EE8"/>
    <w:rsid w:val="001C6623"/>
    <w:rsid w:val="001C7B10"/>
    <w:rsid w:val="001D3845"/>
    <w:rsid w:val="001D3F8D"/>
    <w:rsid w:val="001D5A25"/>
    <w:rsid w:val="001E023C"/>
    <w:rsid w:val="001E0B0C"/>
    <w:rsid w:val="001E171A"/>
    <w:rsid w:val="001E3655"/>
    <w:rsid w:val="001E57D2"/>
    <w:rsid w:val="001E7DAF"/>
    <w:rsid w:val="001F0654"/>
    <w:rsid w:val="001F07FC"/>
    <w:rsid w:val="001F316E"/>
    <w:rsid w:val="001F3395"/>
    <w:rsid w:val="001F44F7"/>
    <w:rsid w:val="001F4C43"/>
    <w:rsid w:val="001F65C8"/>
    <w:rsid w:val="00200F35"/>
    <w:rsid w:val="002020F9"/>
    <w:rsid w:val="002024F7"/>
    <w:rsid w:val="00202586"/>
    <w:rsid w:val="00204B6A"/>
    <w:rsid w:val="002068C5"/>
    <w:rsid w:val="00206C80"/>
    <w:rsid w:val="00211EB2"/>
    <w:rsid w:val="00212121"/>
    <w:rsid w:val="00212E6B"/>
    <w:rsid w:val="00213B25"/>
    <w:rsid w:val="00214A74"/>
    <w:rsid w:val="00217666"/>
    <w:rsid w:val="0021777C"/>
    <w:rsid w:val="00217828"/>
    <w:rsid w:val="00217A72"/>
    <w:rsid w:val="00220C37"/>
    <w:rsid w:val="00222930"/>
    <w:rsid w:val="00223B66"/>
    <w:rsid w:val="002266A6"/>
    <w:rsid w:val="0022756F"/>
    <w:rsid w:val="00227879"/>
    <w:rsid w:val="002300F5"/>
    <w:rsid w:val="002366D1"/>
    <w:rsid w:val="002378FC"/>
    <w:rsid w:val="00240399"/>
    <w:rsid w:val="002434C8"/>
    <w:rsid w:val="002436B7"/>
    <w:rsid w:val="002448E6"/>
    <w:rsid w:val="00244E39"/>
    <w:rsid w:val="00245533"/>
    <w:rsid w:val="002460CB"/>
    <w:rsid w:val="00246D5D"/>
    <w:rsid w:val="00252A47"/>
    <w:rsid w:val="00253932"/>
    <w:rsid w:val="002548A8"/>
    <w:rsid w:val="00254962"/>
    <w:rsid w:val="00254C8A"/>
    <w:rsid w:val="00260BCE"/>
    <w:rsid w:val="0026318B"/>
    <w:rsid w:val="00266916"/>
    <w:rsid w:val="002725B4"/>
    <w:rsid w:val="00272E6E"/>
    <w:rsid w:val="00273408"/>
    <w:rsid w:val="00274056"/>
    <w:rsid w:val="002745E7"/>
    <w:rsid w:val="0027482C"/>
    <w:rsid w:val="00282BF7"/>
    <w:rsid w:val="002847BD"/>
    <w:rsid w:val="00284969"/>
    <w:rsid w:val="00287095"/>
    <w:rsid w:val="00290570"/>
    <w:rsid w:val="00290E40"/>
    <w:rsid w:val="00291C0F"/>
    <w:rsid w:val="00292611"/>
    <w:rsid w:val="00293C8B"/>
    <w:rsid w:val="00294DF1"/>
    <w:rsid w:val="002A0539"/>
    <w:rsid w:val="002A4718"/>
    <w:rsid w:val="002A51DF"/>
    <w:rsid w:val="002A6EB1"/>
    <w:rsid w:val="002A77DA"/>
    <w:rsid w:val="002B7ACF"/>
    <w:rsid w:val="002C08CC"/>
    <w:rsid w:val="002C0B86"/>
    <w:rsid w:val="002C1C8B"/>
    <w:rsid w:val="002C3A57"/>
    <w:rsid w:val="002C4F2D"/>
    <w:rsid w:val="002C5851"/>
    <w:rsid w:val="002C6805"/>
    <w:rsid w:val="002C7A29"/>
    <w:rsid w:val="002D12C7"/>
    <w:rsid w:val="002D3873"/>
    <w:rsid w:val="002D3C5C"/>
    <w:rsid w:val="002D57BB"/>
    <w:rsid w:val="002D6DBC"/>
    <w:rsid w:val="002D736E"/>
    <w:rsid w:val="002E0AFB"/>
    <w:rsid w:val="002E3195"/>
    <w:rsid w:val="002E50CE"/>
    <w:rsid w:val="002E52FB"/>
    <w:rsid w:val="002E5B4E"/>
    <w:rsid w:val="002E6576"/>
    <w:rsid w:val="002E7A95"/>
    <w:rsid w:val="002F02AC"/>
    <w:rsid w:val="002F0D36"/>
    <w:rsid w:val="002F12FC"/>
    <w:rsid w:val="002F2662"/>
    <w:rsid w:val="002F27D3"/>
    <w:rsid w:val="002F302D"/>
    <w:rsid w:val="002F3B2C"/>
    <w:rsid w:val="002F41C2"/>
    <w:rsid w:val="002F4B6E"/>
    <w:rsid w:val="002F4B97"/>
    <w:rsid w:val="002F4DE3"/>
    <w:rsid w:val="002F6436"/>
    <w:rsid w:val="00303088"/>
    <w:rsid w:val="00303813"/>
    <w:rsid w:val="00303FB8"/>
    <w:rsid w:val="003048F6"/>
    <w:rsid w:val="003064CC"/>
    <w:rsid w:val="00306B7D"/>
    <w:rsid w:val="003073C1"/>
    <w:rsid w:val="00307946"/>
    <w:rsid w:val="00311F3C"/>
    <w:rsid w:val="003133CE"/>
    <w:rsid w:val="00315D46"/>
    <w:rsid w:val="00320B22"/>
    <w:rsid w:val="003210BF"/>
    <w:rsid w:val="0032333B"/>
    <w:rsid w:val="0032362D"/>
    <w:rsid w:val="00330A37"/>
    <w:rsid w:val="003317BE"/>
    <w:rsid w:val="0033264E"/>
    <w:rsid w:val="00332DF6"/>
    <w:rsid w:val="0033378A"/>
    <w:rsid w:val="00333799"/>
    <w:rsid w:val="00334030"/>
    <w:rsid w:val="00335295"/>
    <w:rsid w:val="003365EC"/>
    <w:rsid w:val="003458E0"/>
    <w:rsid w:val="00346536"/>
    <w:rsid w:val="00353991"/>
    <w:rsid w:val="003541F3"/>
    <w:rsid w:val="00354922"/>
    <w:rsid w:val="003557B8"/>
    <w:rsid w:val="003618AB"/>
    <w:rsid w:val="00363E84"/>
    <w:rsid w:val="00367582"/>
    <w:rsid w:val="00367723"/>
    <w:rsid w:val="00370824"/>
    <w:rsid w:val="00370CF3"/>
    <w:rsid w:val="00370DBE"/>
    <w:rsid w:val="00371109"/>
    <w:rsid w:val="00380061"/>
    <w:rsid w:val="0038157A"/>
    <w:rsid w:val="00382C95"/>
    <w:rsid w:val="00386B67"/>
    <w:rsid w:val="003918A0"/>
    <w:rsid w:val="003919AD"/>
    <w:rsid w:val="00392997"/>
    <w:rsid w:val="003936A5"/>
    <w:rsid w:val="0039504C"/>
    <w:rsid w:val="0039577E"/>
    <w:rsid w:val="00396779"/>
    <w:rsid w:val="003A1099"/>
    <w:rsid w:val="003A1316"/>
    <w:rsid w:val="003A21BC"/>
    <w:rsid w:val="003A3649"/>
    <w:rsid w:val="003A45F0"/>
    <w:rsid w:val="003A48CF"/>
    <w:rsid w:val="003A71D3"/>
    <w:rsid w:val="003A77F1"/>
    <w:rsid w:val="003A7B2C"/>
    <w:rsid w:val="003B03CF"/>
    <w:rsid w:val="003B2AF6"/>
    <w:rsid w:val="003B6B7A"/>
    <w:rsid w:val="003B6C22"/>
    <w:rsid w:val="003C0725"/>
    <w:rsid w:val="003C1292"/>
    <w:rsid w:val="003C2504"/>
    <w:rsid w:val="003C2D0C"/>
    <w:rsid w:val="003C35B6"/>
    <w:rsid w:val="003C44E9"/>
    <w:rsid w:val="003C55E4"/>
    <w:rsid w:val="003C6B8D"/>
    <w:rsid w:val="003D14B1"/>
    <w:rsid w:val="003D165B"/>
    <w:rsid w:val="003D2020"/>
    <w:rsid w:val="003D20BB"/>
    <w:rsid w:val="003D20BC"/>
    <w:rsid w:val="003D30A0"/>
    <w:rsid w:val="003D434F"/>
    <w:rsid w:val="003D628E"/>
    <w:rsid w:val="003D79D5"/>
    <w:rsid w:val="003E0397"/>
    <w:rsid w:val="003E0D52"/>
    <w:rsid w:val="003E1753"/>
    <w:rsid w:val="003E5D68"/>
    <w:rsid w:val="003E720E"/>
    <w:rsid w:val="003E730C"/>
    <w:rsid w:val="003E737C"/>
    <w:rsid w:val="003F01DA"/>
    <w:rsid w:val="003F0435"/>
    <w:rsid w:val="003F1228"/>
    <w:rsid w:val="003F40C1"/>
    <w:rsid w:val="003F47C1"/>
    <w:rsid w:val="00400403"/>
    <w:rsid w:val="00400766"/>
    <w:rsid w:val="004019AE"/>
    <w:rsid w:val="00402E4F"/>
    <w:rsid w:val="004048F0"/>
    <w:rsid w:val="00405D55"/>
    <w:rsid w:val="00406EFB"/>
    <w:rsid w:val="0041013F"/>
    <w:rsid w:val="0041038B"/>
    <w:rsid w:val="0041168B"/>
    <w:rsid w:val="0041236F"/>
    <w:rsid w:val="00413B56"/>
    <w:rsid w:val="00416FC6"/>
    <w:rsid w:val="00417DB6"/>
    <w:rsid w:val="0042034D"/>
    <w:rsid w:val="00420A5F"/>
    <w:rsid w:val="00420AC1"/>
    <w:rsid w:val="004210C8"/>
    <w:rsid w:val="004345E0"/>
    <w:rsid w:val="004364B1"/>
    <w:rsid w:val="004404EB"/>
    <w:rsid w:val="00440FAB"/>
    <w:rsid w:val="00446DB2"/>
    <w:rsid w:val="00447513"/>
    <w:rsid w:val="004477AA"/>
    <w:rsid w:val="00452BB3"/>
    <w:rsid w:val="00453498"/>
    <w:rsid w:val="00453886"/>
    <w:rsid w:val="004541A7"/>
    <w:rsid w:val="00454204"/>
    <w:rsid w:val="00454B71"/>
    <w:rsid w:val="00457DBD"/>
    <w:rsid w:val="00461362"/>
    <w:rsid w:val="00464072"/>
    <w:rsid w:val="00464CDD"/>
    <w:rsid w:val="004666C9"/>
    <w:rsid w:val="00466A34"/>
    <w:rsid w:val="00467C6B"/>
    <w:rsid w:val="00470084"/>
    <w:rsid w:val="00473F7A"/>
    <w:rsid w:val="00475F91"/>
    <w:rsid w:val="0048139E"/>
    <w:rsid w:val="00482C02"/>
    <w:rsid w:val="00483AF6"/>
    <w:rsid w:val="00484971"/>
    <w:rsid w:val="00486EEC"/>
    <w:rsid w:val="0048741B"/>
    <w:rsid w:val="00490B16"/>
    <w:rsid w:val="00491393"/>
    <w:rsid w:val="00491CE0"/>
    <w:rsid w:val="0049243D"/>
    <w:rsid w:val="00492455"/>
    <w:rsid w:val="0049273C"/>
    <w:rsid w:val="00495469"/>
    <w:rsid w:val="004966EE"/>
    <w:rsid w:val="004A0815"/>
    <w:rsid w:val="004A18FF"/>
    <w:rsid w:val="004A47DD"/>
    <w:rsid w:val="004A6A5E"/>
    <w:rsid w:val="004A6D51"/>
    <w:rsid w:val="004B37F7"/>
    <w:rsid w:val="004B5859"/>
    <w:rsid w:val="004B5FE6"/>
    <w:rsid w:val="004B6DFF"/>
    <w:rsid w:val="004B7A29"/>
    <w:rsid w:val="004C460E"/>
    <w:rsid w:val="004C5350"/>
    <w:rsid w:val="004C582C"/>
    <w:rsid w:val="004C6585"/>
    <w:rsid w:val="004C773C"/>
    <w:rsid w:val="004D28BD"/>
    <w:rsid w:val="004D3DF1"/>
    <w:rsid w:val="004D4554"/>
    <w:rsid w:val="004E1268"/>
    <w:rsid w:val="004E23E3"/>
    <w:rsid w:val="004E39D9"/>
    <w:rsid w:val="004E3ADD"/>
    <w:rsid w:val="004E450F"/>
    <w:rsid w:val="004E45BD"/>
    <w:rsid w:val="004E5B27"/>
    <w:rsid w:val="004E65A9"/>
    <w:rsid w:val="004F0227"/>
    <w:rsid w:val="004F080A"/>
    <w:rsid w:val="004F2A88"/>
    <w:rsid w:val="004F3A5F"/>
    <w:rsid w:val="004F3B3B"/>
    <w:rsid w:val="004F664A"/>
    <w:rsid w:val="004F77B8"/>
    <w:rsid w:val="004F7A62"/>
    <w:rsid w:val="00500495"/>
    <w:rsid w:val="0050095B"/>
    <w:rsid w:val="00501009"/>
    <w:rsid w:val="0050125A"/>
    <w:rsid w:val="00501430"/>
    <w:rsid w:val="005019EF"/>
    <w:rsid w:val="005034B0"/>
    <w:rsid w:val="00503AC8"/>
    <w:rsid w:val="005048EB"/>
    <w:rsid w:val="005065DB"/>
    <w:rsid w:val="005104D9"/>
    <w:rsid w:val="0051161A"/>
    <w:rsid w:val="005124E7"/>
    <w:rsid w:val="00512575"/>
    <w:rsid w:val="005136B2"/>
    <w:rsid w:val="0051378E"/>
    <w:rsid w:val="00515A1D"/>
    <w:rsid w:val="00516ACB"/>
    <w:rsid w:val="00517E56"/>
    <w:rsid w:val="0052020F"/>
    <w:rsid w:val="005211E4"/>
    <w:rsid w:val="00521367"/>
    <w:rsid w:val="005235D3"/>
    <w:rsid w:val="00524DF1"/>
    <w:rsid w:val="00525A62"/>
    <w:rsid w:val="00530B35"/>
    <w:rsid w:val="00530D3A"/>
    <w:rsid w:val="00531824"/>
    <w:rsid w:val="00531D82"/>
    <w:rsid w:val="00533D8D"/>
    <w:rsid w:val="00535F77"/>
    <w:rsid w:val="00540243"/>
    <w:rsid w:val="005407FF"/>
    <w:rsid w:val="00540F46"/>
    <w:rsid w:val="00543DDC"/>
    <w:rsid w:val="005460F4"/>
    <w:rsid w:val="00547A96"/>
    <w:rsid w:val="0055096B"/>
    <w:rsid w:val="005550BF"/>
    <w:rsid w:val="00555BEE"/>
    <w:rsid w:val="00555CA8"/>
    <w:rsid w:val="00556355"/>
    <w:rsid w:val="005564E6"/>
    <w:rsid w:val="005569B3"/>
    <w:rsid w:val="005602F6"/>
    <w:rsid w:val="00562BDC"/>
    <w:rsid w:val="00562C43"/>
    <w:rsid w:val="00562E41"/>
    <w:rsid w:val="005641F1"/>
    <w:rsid w:val="00564AFC"/>
    <w:rsid w:val="00564BD4"/>
    <w:rsid w:val="00565709"/>
    <w:rsid w:val="005663A3"/>
    <w:rsid w:val="00566BF9"/>
    <w:rsid w:val="00566F05"/>
    <w:rsid w:val="00570FA3"/>
    <w:rsid w:val="00571D9A"/>
    <w:rsid w:val="00571E24"/>
    <w:rsid w:val="0057269C"/>
    <w:rsid w:val="00573580"/>
    <w:rsid w:val="00575528"/>
    <w:rsid w:val="0057680C"/>
    <w:rsid w:val="00577C6E"/>
    <w:rsid w:val="005808B8"/>
    <w:rsid w:val="005814AD"/>
    <w:rsid w:val="00581A6D"/>
    <w:rsid w:val="00581F66"/>
    <w:rsid w:val="005850DB"/>
    <w:rsid w:val="00585634"/>
    <w:rsid w:val="00593A59"/>
    <w:rsid w:val="00594EC9"/>
    <w:rsid w:val="00597C32"/>
    <w:rsid w:val="005A4501"/>
    <w:rsid w:val="005A49B2"/>
    <w:rsid w:val="005A789A"/>
    <w:rsid w:val="005A7E64"/>
    <w:rsid w:val="005B05E5"/>
    <w:rsid w:val="005B0E0C"/>
    <w:rsid w:val="005B1291"/>
    <w:rsid w:val="005B1B7F"/>
    <w:rsid w:val="005B49D4"/>
    <w:rsid w:val="005B77E8"/>
    <w:rsid w:val="005B79F9"/>
    <w:rsid w:val="005C0AA9"/>
    <w:rsid w:val="005C1877"/>
    <w:rsid w:val="005C225A"/>
    <w:rsid w:val="005C2D2E"/>
    <w:rsid w:val="005C59B3"/>
    <w:rsid w:val="005C6D47"/>
    <w:rsid w:val="005D0913"/>
    <w:rsid w:val="005D1BAB"/>
    <w:rsid w:val="005D1BEE"/>
    <w:rsid w:val="005D529A"/>
    <w:rsid w:val="005D52EC"/>
    <w:rsid w:val="005D6F8F"/>
    <w:rsid w:val="005E2225"/>
    <w:rsid w:val="005E2C28"/>
    <w:rsid w:val="005E3672"/>
    <w:rsid w:val="005E4009"/>
    <w:rsid w:val="005E4F15"/>
    <w:rsid w:val="005F2714"/>
    <w:rsid w:val="005F38C3"/>
    <w:rsid w:val="005F4297"/>
    <w:rsid w:val="006033DD"/>
    <w:rsid w:val="00604C56"/>
    <w:rsid w:val="006054B9"/>
    <w:rsid w:val="0060640A"/>
    <w:rsid w:val="00606889"/>
    <w:rsid w:val="00606A47"/>
    <w:rsid w:val="00606D60"/>
    <w:rsid w:val="00607D55"/>
    <w:rsid w:val="00611E93"/>
    <w:rsid w:val="00612179"/>
    <w:rsid w:val="006135EB"/>
    <w:rsid w:val="00613AD3"/>
    <w:rsid w:val="00614376"/>
    <w:rsid w:val="006150E8"/>
    <w:rsid w:val="00622FF1"/>
    <w:rsid w:val="006247A6"/>
    <w:rsid w:val="0062501B"/>
    <w:rsid w:val="00631674"/>
    <w:rsid w:val="00632C25"/>
    <w:rsid w:val="006333B4"/>
    <w:rsid w:val="00634409"/>
    <w:rsid w:val="00634C70"/>
    <w:rsid w:val="00634FCD"/>
    <w:rsid w:val="00635C77"/>
    <w:rsid w:val="00641736"/>
    <w:rsid w:val="00641C4C"/>
    <w:rsid w:val="00641FB8"/>
    <w:rsid w:val="00642632"/>
    <w:rsid w:val="00645256"/>
    <w:rsid w:val="006475E4"/>
    <w:rsid w:val="0065236B"/>
    <w:rsid w:val="0065336C"/>
    <w:rsid w:val="00653579"/>
    <w:rsid w:val="00655E48"/>
    <w:rsid w:val="0065749D"/>
    <w:rsid w:val="006600EF"/>
    <w:rsid w:val="00660341"/>
    <w:rsid w:val="006619F2"/>
    <w:rsid w:val="00661BB4"/>
    <w:rsid w:val="00662B0E"/>
    <w:rsid w:val="00663E35"/>
    <w:rsid w:val="006650B8"/>
    <w:rsid w:val="00666CB9"/>
    <w:rsid w:val="00670CF8"/>
    <w:rsid w:val="0067161D"/>
    <w:rsid w:val="006723EC"/>
    <w:rsid w:val="00675778"/>
    <w:rsid w:val="00677739"/>
    <w:rsid w:val="00682AF3"/>
    <w:rsid w:val="006836C5"/>
    <w:rsid w:val="00683B05"/>
    <w:rsid w:val="0068479F"/>
    <w:rsid w:val="00685A77"/>
    <w:rsid w:val="006870AF"/>
    <w:rsid w:val="0069019F"/>
    <w:rsid w:val="0069304C"/>
    <w:rsid w:val="006934E2"/>
    <w:rsid w:val="00693FAB"/>
    <w:rsid w:val="006A00F0"/>
    <w:rsid w:val="006A0353"/>
    <w:rsid w:val="006A1B0D"/>
    <w:rsid w:val="006A281D"/>
    <w:rsid w:val="006A437F"/>
    <w:rsid w:val="006A4844"/>
    <w:rsid w:val="006A5637"/>
    <w:rsid w:val="006A5849"/>
    <w:rsid w:val="006A5EBB"/>
    <w:rsid w:val="006A60C8"/>
    <w:rsid w:val="006A6846"/>
    <w:rsid w:val="006B0B3A"/>
    <w:rsid w:val="006B19C1"/>
    <w:rsid w:val="006B1C59"/>
    <w:rsid w:val="006B351A"/>
    <w:rsid w:val="006B354C"/>
    <w:rsid w:val="006B3F1A"/>
    <w:rsid w:val="006B4717"/>
    <w:rsid w:val="006B4E2E"/>
    <w:rsid w:val="006B5EE8"/>
    <w:rsid w:val="006B62C0"/>
    <w:rsid w:val="006C0DEF"/>
    <w:rsid w:val="006C28F1"/>
    <w:rsid w:val="006C2B42"/>
    <w:rsid w:val="006C72AF"/>
    <w:rsid w:val="006D1668"/>
    <w:rsid w:val="006D190F"/>
    <w:rsid w:val="006D20AF"/>
    <w:rsid w:val="006D2286"/>
    <w:rsid w:val="006D2F5E"/>
    <w:rsid w:val="006D5D1D"/>
    <w:rsid w:val="006D6079"/>
    <w:rsid w:val="006D63DD"/>
    <w:rsid w:val="006D78A0"/>
    <w:rsid w:val="006E227B"/>
    <w:rsid w:val="006E39EE"/>
    <w:rsid w:val="006E6138"/>
    <w:rsid w:val="006E6DC8"/>
    <w:rsid w:val="006E7895"/>
    <w:rsid w:val="006E78CE"/>
    <w:rsid w:val="006E78FA"/>
    <w:rsid w:val="006F112B"/>
    <w:rsid w:val="006F4A01"/>
    <w:rsid w:val="006F5C03"/>
    <w:rsid w:val="006F5F78"/>
    <w:rsid w:val="006F64A2"/>
    <w:rsid w:val="006F675F"/>
    <w:rsid w:val="006F6A2E"/>
    <w:rsid w:val="006F708C"/>
    <w:rsid w:val="0070112B"/>
    <w:rsid w:val="00704684"/>
    <w:rsid w:val="007056E2"/>
    <w:rsid w:val="007057A0"/>
    <w:rsid w:val="007058CB"/>
    <w:rsid w:val="0070780F"/>
    <w:rsid w:val="00707C9F"/>
    <w:rsid w:val="00713939"/>
    <w:rsid w:val="00715140"/>
    <w:rsid w:val="0071548A"/>
    <w:rsid w:val="00716B4B"/>
    <w:rsid w:val="007208FB"/>
    <w:rsid w:val="00720AC6"/>
    <w:rsid w:val="00723AC2"/>
    <w:rsid w:val="00724793"/>
    <w:rsid w:val="00724881"/>
    <w:rsid w:val="007250D2"/>
    <w:rsid w:val="00725937"/>
    <w:rsid w:val="00726FBD"/>
    <w:rsid w:val="007277A0"/>
    <w:rsid w:val="0073027A"/>
    <w:rsid w:val="007302D8"/>
    <w:rsid w:val="00730D68"/>
    <w:rsid w:val="00731D1C"/>
    <w:rsid w:val="00736C9D"/>
    <w:rsid w:val="00736E30"/>
    <w:rsid w:val="0074137D"/>
    <w:rsid w:val="00741C2F"/>
    <w:rsid w:val="0074246C"/>
    <w:rsid w:val="007427F1"/>
    <w:rsid w:val="007433C1"/>
    <w:rsid w:val="007453B6"/>
    <w:rsid w:val="00745938"/>
    <w:rsid w:val="00745F7D"/>
    <w:rsid w:val="00746A82"/>
    <w:rsid w:val="00746B3F"/>
    <w:rsid w:val="00752086"/>
    <w:rsid w:val="007524EC"/>
    <w:rsid w:val="00754142"/>
    <w:rsid w:val="007557F7"/>
    <w:rsid w:val="00755A3E"/>
    <w:rsid w:val="00756DF6"/>
    <w:rsid w:val="00760E65"/>
    <w:rsid w:val="00761EA2"/>
    <w:rsid w:val="00761FE9"/>
    <w:rsid w:val="00763F92"/>
    <w:rsid w:val="007665D3"/>
    <w:rsid w:val="00766E74"/>
    <w:rsid w:val="00767D74"/>
    <w:rsid w:val="00770695"/>
    <w:rsid w:val="007707F0"/>
    <w:rsid w:val="00770899"/>
    <w:rsid w:val="0077097A"/>
    <w:rsid w:val="00771BCB"/>
    <w:rsid w:val="00772EF7"/>
    <w:rsid w:val="00773D02"/>
    <w:rsid w:val="00775A4C"/>
    <w:rsid w:val="007769C6"/>
    <w:rsid w:val="007776AB"/>
    <w:rsid w:val="007828D8"/>
    <w:rsid w:val="007829EF"/>
    <w:rsid w:val="00782F24"/>
    <w:rsid w:val="00784EB4"/>
    <w:rsid w:val="00785B19"/>
    <w:rsid w:val="007861D7"/>
    <w:rsid w:val="00790A9B"/>
    <w:rsid w:val="00790BE0"/>
    <w:rsid w:val="007945A1"/>
    <w:rsid w:val="00796B8E"/>
    <w:rsid w:val="007A0918"/>
    <w:rsid w:val="007A133E"/>
    <w:rsid w:val="007A16AC"/>
    <w:rsid w:val="007A18B6"/>
    <w:rsid w:val="007A1F3D"/>
    <w:rsid w:val="007A2062"/>
    <w:rsid w:val="007A2750"/>
    <w:rsid w:val="007A5595"/>
    <w:rsid w:val="007A564E"/>
    <w:rsid w:val="007A64E6"/>
    <w:rsid w:val="007A73A1"/>
    <w:rsid w:val="007A7BBD"/>
    <w:rsid w:val="007A7C0A"/>
    <w:rsid w:val="007B011B"/>
    <w:rsid w:val="007B1784"/>
    <w:rsid w:val="007B211A"/>
    <w:rsid w:val="007B24F2"/>
    <w:rsid w:val="007B39BD"/>
    <w:rsid w:val="007B7F4E"/>
    <w:rsid w:val="007C0654"/>
    <w:rsid w:val="007C0B09"/>
    <w:rsid w:val="007C14F7"/>
    <w:rsid w:val="007C2B91"/>
    <w:rsid w:val="007C2E17"/>
    <w:rsid w:val="007C3C93"/>
    <w:rsid w:val="007C4A19"/>
    <w:rsid w:val="007C550D"/>
    <w:rsid w:val="007C6A88"/>
    <w:rsid w:val="007D4BEA"/>
    <w:rsid w:val="007D50F9"/>
    <w:rsid w:val="007D6FA7"/>
    <w:rsid w:val="007E10DA"/>
    <w:rsid w:val="007E22F0"/>
    <w:rsid w:val="007E3EE4"/>
    <w:rsid w:val="007E4AB5"/>
    <w:rsid w:val="007E4AD2"/>
    <w:rsid w:val="007E5DCD"/>
    <w:rsid w:val="007E634F"/>
    <w:rsid w:val="007F5A25"/>
    <w:rsid w:val="007F6E0D"/>
    <w:rsid w:val="00800F07"/>
    <w:rsid w:val="008039D7"/>
    <w:rsid w:val="00805A85"/>
    <w:rsid w:val="008064DB"/>
    <w:rsid w:val="00811D10"/>
    <w:rsid w:val="00811E7F"/>
    <w:rsid w:val="00812CD5"/>
    <w:rsid w:val="00814E51"/>
    <w:rsid w:val="00815885"/>
    <w:rsid w:val="0082148D"/>
    <w:rsid w:val="0082175A"/>
    <w:rsid w:val="0082237E"/>
    <w:rsid w:val="0082489E"/>
    <w:rsid w:val="0082517D"/>
    <w:rsid w:val="008273BF"/>
    <w:rsid w:val="00830285"/>
    <w:rsid w:val="00830309"/>
    <w:rsid w:val="00830BF1"/>
    <w:rsid w:val="00831B1D"/>
    <w:rsid w:val="00833098"/>
    <w:rsid w:val="00833550"/>
    <w:rsid w:val="00837201"/>
    <w:rsid w:val="00840081"/>
    <w:rsid w:val="008424D8"/>
    <w:rsid w:val="00845701"/>
    <w:rsid w:val="00845827"/>
    <w:rsid w:val="00845878"/>
    <w:rsid w:val="00851132"/>
    <w:rsid w:val="0085116A"/>
    <w:rsid w:val="00852D6B"/>
    <w:rsid w:val="00856A66"/>
    <w:rsid w:val="00857FE3"/>
    <w:rsid w:val="008607D9"/>
    <w:rsid w:val="00860805"/>
    <w:rsid w:val="008611BA"/>
    <w:rsid w:val="0086188E"/>
    <w:rsid w:val="008628E8"/>
    <w:rsid w:val="00864184"/>
    <w:rsid w:val="008650FE"/>
    <w:rsid w:val="00865412"/>
    <w:rsid w:val="008660F0"/>
    <w:rsid w:val="00867C4A"/>
    <w:rsid w:val="0087104F"/>
    <w:rsid w:val="00872E2B"/>
    <w:rsid w:val="00873A83"/>
    <w:rsid w:val="00875B6C"/>
    <w:rsid w:val="00876EC3"/>
    <w:rsid w:val="008807C9"/>
    <w:rsid w:val="00880CC5"/>
    <w:rsid w:val="00883A2D"/>
    <w:rsid w:val="0088440E"/>
    <w:rsid w:val="008850AD"/>
    <w:rsid w:val="008874BE"/>
    <w:rsid w:val="0088755C"/>
    <w:rsid w:val="00887590"/>
    <w:rsid w:val="00890060"/>
    <w:rsid w:val="00890797"/>
    <w:rsid w:val="0089205A"/>
    <w:rsid w:val="00893599"/>
    <w:rsid w:val="00896722"/>
    <w:rsid w:val="0089738D"/>
    <w:rsid w:val="008A0C13"/>
    <w:rsid w:val="008A32AD"/>
    <w:rsid w:val="008A46BE"/>
    <w:rsid w:val="008A489C"/>
    <w:rsid w:val="008A4C64"/>
    <w:rsid w:val="008B19B2"/>
    <w:rsid w:val="008B3FFC"/>
    <w:rsid w:val="008B42D1"/>
    <w:rsid w:val="008B64DE"/>
    <w:rsid w:val="008B7AD0"/>
    <w:rsid w:val="008C0A3B"/>
    <w:rsid w:val="008C1F06"/>
    <w:rsid w:val="008C2951"/>
    <w:rsid w:val="008C2A88"/>
    <w:rsid w:val="008D04BC"/>
    <w:rsid w:val="008D07D9"/>
    <w:rsid w:val="008D0DAE"/>
    <w:rsid w:val="008D1D66"/>
    <w:rsid w:val="008D42E2"/>
    <w:rsid w:val="008D4570"/>
    <w:rsid w:val="008D4D2A"/>
    <w:rsid w:val="008D6FDE"/>
    <w:rsid w:val="008E1354"/>
    <w:rsid w:val="008E1623"/>
    <w:rsid w:val="008E3B5C"/>
    <w:rsid w:val="008E3BD8"/>
    <w:rsid w:val="008E47D0"/>
    <w:rsid w:val="008E4FE8"/>
    <w:rsid w:val="008E688D"/>
    <w:rsid w:val="008E733E"/>
    <w:rsid w:val="008E73A8"/>
    <w:rsid w:val="008F02B4"/>
    <w:rsid w:val="008F0DF5"/>
    <w:rsid w:val="008F110C"/>
    <w:rsid w:val="008F1A58"/>
    <w:rsid w:val="008F30C4"/>
    <w:rsid w:val="008F3B13"/>
    <w:rsid w:val="008F6F10"/>
    <w:rsid w:val="00906FA2"/>
    <w:rsid w:val="0090737A"/>
    <w:rsid w:val="00912DAF"/>
    <w:rsid w:val="00914858"/>
    <w:rsid w:val="00917F73"/>
    <w:rsid w:val="00921EE3"/>
    <w:rsid w:val="009223BD"/>
    <w:rsid w:val="009228D5"/>
    <w:rsid w:val="00922FC6"/>
    <w:rsid w:val="00923C41"/>
    <w:rsid w:val="009275D4"/>
    <w:rsid w:val="00930E79"/>
    <w:rsid w:val="009318EC"/>
    <w:rsid w:val="0093243B"/>
    <w:rsid w:val="0093264F"/>
    <w:rsid w:val="00932A8E"/>
    <w:rsid w:val="00934653"/>
    <w:rsid w:val="009408A9"/>
    <w:rsid w:val="009417F8"/>
    <w:rsid w:val="00942A8E"/>
    <w:rsid w:val="00947280"/>
    <w:rsid w:val="00953BD5"/>
    <w:rsid w:val="00955008"/>
    <w:rsid w:val="009551B6"/>
    <w:rsid w:val="0095746E"/>
    <w:rsid w:val="0096011C"/>
    <w:rsid w:val="00961320"/>
    <w:rsid w:val="0096177B"/>
    <w:rsid w:val="00961E81"/>
    <w:rsid w:val="00962D89"/>
    <w:rsid w:val="009642D9"/>
    <w:rsid w:val="00964673"/>
    <w:rsid w:val="0096485E"/>
    <w:rsid w:val="009648A3"/>
    <w:rsid w:val="00964DC7"/>
    <w:rsid w:val="009668E5"/>
    <w:rsid w:val="00967039"/>
    <w:rsid w:val="009673BA"/>
    <w:rsid w:val="009728FD"/>
    <w:rsid w:val="00973092"/>
    <w:rsid w:val="0097691C"/>
    <w:rsid w:val="009771FB"/>
    <w:rsid w:val="00977274"/>
    <w:rsid w:val="00977EC4"/>
    <w:rsid w:val="00983BAD"/>
    <w:rsid w:val="00983DBD"/>
    <w:rsid w:val="009852DD"/>
    <w:rsid w:val="00985E56"/>
    <w:rsid w:val="00985F2C"/>
    <w:rsid w:val="00986D20"/>
    <w:rsid w:val="009902F8"/>
    <w:rsid w:val="0099175B"/>
    <w:rsid w:val="00993995"/>
    <w:rsid w:val="00997147"/>
    <w:rsid w:val="009974FA"/>
    <w:rsid w:val="009978E1"/>
    <w:rsid w:val="009A3F50"/>
    <w:rsid w:val="009A460A"/>
    <w:rsid w:val="009A54FE"/>
    <w:rsid w:val="009A55E3"/>
    <w:rsid w:val="009A65AF"/>
    <w:rsid w:val="009B077D"/>
    <w:rsid w:val="009B0D8E"/>
    <w:rsid w:val="009B0F1D"/>
    <w:rsid w:val="009B2BA5"/>
    <w:rsid w:val="009B3678"/>
    <w:rsid w:val="009B3B3A"/>
    <w:rsid w:val="009B43E0"/>
    <w:rsid w:val="009B73CF"/>
    <w:rsid w:val="009C196D"/>
    <w:rsid w:val="009C2BCC"/>
    <w:rsid w:val="009C3D0C"/>
    <w:rsid w:val="009C4D3F"/>
    <w:rsid w:val="009C4DAD"/>
    <w:rsid w:val="009C58A3"/>
    <w:rsid w:val="009C5E18"/>
    <w:rsid w:val="009C7A80"/>
    <w:rsid w:val="009D1DC5"/>
    <w:rsid w:val="009D2FB4"/>
    <w:rsid w:val="009D3371"/>
    <w:rsid w:val="009D4D16"/>
    <w:rsid w:val="009E2724"/>
    <w:rsid w:val="009E2A61"/>
    <w:rsid w:val="009E41C8"/>
    <w:rsid w:val="009F017C"/>
    <w:rsid w:val="009F1783"/>
    <w:rsid w:val="009F1845"/>
    <w:rsid w:val="009F59EE"/>
    <w:rsid w:val="009F6370"/>
    <w:rsid w:val="009F7A91"/>
    <w:rsid w:val="00A00492"/>
    <w:rsid w:val="00A0173C"/>
    <w:rsid w:val="00A01AEC"/>
    <w:rsid w:val="00A01F05"/>
    <w:rsid w:val="00A03C06"/>
    <w:rsid w:val="00A05CA1"/>
    <w:rsid w:val="00A07BB7"/>
    <w:rsid w:val="00A11CFB"/>
    <w:rsid w:val="00A138E0"/>
    <w:rsid w:val="00A16906"/>
    <w:rsid w:val="00A20C87"/>
    <w:rsid w:val="00A24C91"/>
    <w:rsid w:val="00A25987"/>
    <w:rsid w:val="00A3162B"/>
    <w:rsid w:val="00A3172B"/>
    <w:rsid w:val="00A345D2"/>
    <w:rsid w:val="00A362C8"/>
    <w:rsid w:val="00A36492"/>
    <w:rsid w:val="00A40BFE"/>
    <w:rsid w:val="00A44F17"/>
    <w:rsid w:val="00A458FD"/>
    <w:rsid w:val="00A459C6"/>
    <w:rsid w:val="00A45CE2"/>
    <w:rsid w:val="00A512FE"/>
    <w:rsid w:val="00A51C99"/>
    <w:rsid w:val="00A52912"/>
    <w:rsid w:val="00A52AED"/>
    <w:rsid w:val="00A5562F"/>
    <w:rsid w:val="00A5572F"/>
    <w:rsid w:val="00A57AAB"/>
    <w:rsid w:val="00A60057"/>
    <w:rsid w:val="00A65927"/>
    <w:rsid w:val="00A72D2C"/>
    <w:rsid w:val="00A73D18"/>
    <w:rsid w:val="00A755BC"/>
    <w:rsid w:val="00A805A0"/>
    <w:rsid w:val="00A813D0"/>
    <w:rsid w:val="00A8284C"/>
    <w:rsid w:val="00A84336"/>
    <w:rsid w:val="00A84A16"/>
    <w:rsid w:val="00A84B64"/>
    <w:rsid w:val="00A858BD"/>
    <w:rsid w:val="00A9046E"/>
    <w:rsid w:val="00A905AE"/>
    <w:rsid w:val="00A91A5F"/>
    <w:rsid w:val="00A92274"/>
    <w:rsid w:val="00A92301"/>
    <w:rsid w:val="00A92B00"/>
    <w:rsid w:val="00A94256"/>
    <w:rsid w:val="00A94467"/>
    <w:rsid w:val="00A95A3E"/>
    <w:rsid w:val="00A95AC4"/>
    <w:rsid w:val="00A9694B"/>
    <w:rsid w:val="00AA2740"/>
    <w:rsid w:val="00AA5219"/>
    <w:rsid w:val="00AA7F50"/>
    <w:rsid w:val="00AB0D3D"/>
    <w:rsid w:val="00AB2E11"/>
    <w:rsid w:val="00AB3D7E"/>
    <w:rsid w:val="00AB42E3"/>
    <w:rsid w:val="00AB4639"/>
    <w:rsid w:val="00AB61DF"/>
    <w:rsid w:val="00AB65DF"/>
    <w:rsid w:val="00AB7136"/>
    <w:rsid w:val="00AB771E"/>
    <w:rsid w:val="00AC025C"/>
    <w:rsid w:val="00AC1B7E"/>
    <w:rsid w:val="00AC2B1F"/>
    <w:rsid w:val="00AC4744"/>
    <w:rsid w:val="00AC4CC4"/>
    <w:rsid w:val="00AC4FFB"/>
    <w:rsid w:val="00AC5BF5"/>
    <w:rsid w:val="00AC636A"/>
    <w:rsid w:val="00AC78F9"/>
    <w:rsid w:val="00AD0ABD"/>
    <w:rsid w:val="00AD2DBA"/>
    <w:rsid w:val="00AD2ED5"/>
    <w:rsid w:val="00AD5280"/>
    <w:rsid w:val="00AD5EE7"/>
    <w:rsid w:val="00AD64FC"/>
    <w:rsid w:val="00AD7DE9"/>
    <w:rsid w:val="00AE362A"/>
    <w:rsid w:val="00AE3997"/>
    <w:rsid w:val="00AE3F42"/>
    <w:rsid w:val="00AE48E0"/>
    <w:rsid w:val="00AF19E5"/>
    <w:rsid w:val="00AF1B22"/>
    <w:rsid w:val="00AF2721"/>
    <w:rsid w:val="00AF3458"/>
    <w:rsid w:val="00AF346B"/>
    <w:rsid w:val="00AF3C78"/>
    <w:rsid w:val="00AF44A7"/>
    <w:rsid w:val="00AF578A"/>
    <w:rsid w:val="00AF58F2"/>
    <w:rsid w:val="00B004A9"/>
    <w:rsid w:val="00B004BD"/>
    <w:rsid w:val="00B00FD6"/>
    <w:rsid w:val="00B02062"/>
    <w:rsid w:val="00B0246B"/>
    <w:rsid w:val="00B04E19"/>
    <w:rsid w:val="00B075DC"/>
    <w:rsid w:val="00B13BAA"/>
    <w:rsid w:val="00B15758"/>
    <w:rsid w:val="00B1721B"/>
    <w:rsid w:val="00B17B62"/>
    <w:rsid w:val="00B201B4"/>
    <w:rsid w:val="00B205EC"/>
    <w:rsid w:val="00B209D0"/>
    <w:rsid w:val="00B24B55"/>
    <w:rsid w:val="00B25668"/>
    <w:rsid w:val="00B25C7A"/>
    <w:rsid w:val="00B31E03"/>
    <w:rsid w:val="00B32E12"/>
    <w:rsid w:val="00B343D3"/>
    <w:rsid w:val="00B35754"/>
    <w:rsid w:val="00B359B6"/>
    <w:rsid w:val="00B36A17"/>
    <w:rsid w:val="00B37172"/>
    <w:rsid w:val="00B375CB"/>
    <w:rsid w:val="00B37827"/>
    <w:rsid w:val="00B41F3B"/>
    <w:rsid w:val="00B47463"/>
    <w:rsid w:val="00B506F7"/>
    <w:rsid w:val="00B51F07"/>
    <w:rsid w:val="00B530F7"/>
    <w:rsid w:val="00B53B97"/>
    <w:rsid w:val="00B55271"/>
    <w:rsid w:val="00B55624"/>
    <w:rsid w:val="00B56B82"/>
    <w:rsid w:val="00B57859"/>
    <w:rsid w:val="00B57A19"/>
    <w:rsid w:val="00B611F6"/>
    <w:rsid w:val="00B62509"/>
    <w:rsid w:val="00B65E37"/>
    <w:rsid w:val="00B67708"/>
    <w:rsid w:val="00B67D7D"/>
    <w:rsid w:val="00B76DDE"/>
    <w:rsid w:val="00B77B80"/>
    <w:rsid w:val="00B822A2"/>
    <w:rsid w:val="00B83570"/>
    <w:rsid w:val="00B84E0E"/>
    <w:rsid w:val="00B84F95"/>
    <w:rsid w:val="00B853D1"/>
    <w:rsid w:val="00B85DC7"/>
    <w:rsid w:val="00B86204"/>
    <w:rsid w:val="00B909B0"/>
    <w:rsid w:val="00B936ED"/>
    <w:rsid w:val="00B94501"/>
    <w:rsid w:val="00B94666"/>
    <w:rsid w:val="00B94751"/>
    <w:rsid w:val="00B95A86"/>
    <w:rsid w:val="00B965B3"/>
    <w:rsid w:val="00BA00E8"/>
    <w:rsid w:val="00BA0B76"/>
    <w:rsid w:val="00BA1300"/>
    <w:rsid w:val="00BA2740"/>
    <w:rsid w:val="00BA2D32"/>
    <w:rsid w:val="00BB0712"/>
    <w:rsid w:val="00BB1E10"/>
    <w:rsid w:val="00BB213B"/>
    <w:rsid w:val="00BB29A4"/>
    <w:rsid w:val="00BB29C0"/>
    <w:rsid w:val="00BB52D1"/>
    <w:rsid w:val="00BB53EA"/>
    <w:rsid w:val="00BB58E9"/>
    <w:rsid w:val="00BB7991"/>
    <w:rsid w:val="00BC00D9"/>
    <w:rsid w:val="00BC191D"/>
    <w:rsid w:val="00BC21E0"/>
    <w:rsid w:val="00BC26BA"/>
    <w:rsid w:val="00BC42B9"/>
    <w:rsid w:val="00BC4D10"/>
    <w:rsid w:val="00BC6BEB"/>
    <w:rsid w:val="00BC727E"/>
    <w:rsid w:val="00BD0297"/>
    <w:rsid w:val="00BD03B1"/>
    <w:rsid w:val="00BD03F5"/>
    <w:rsid w:val="00BD0B4F"/>
    <w:rsid w:val="00BD0E13"/>
    <w:rsid w:val="00BD3CEA"/>
    <w:rsid w:val="00BD4B71"/>
    <w:rsid w:val="00BD5A62"/>
    <w:rsid w:val="00BD5B58"/>
    <w:rsid w:val="00BD6EE5"/>
    <w:rsid w:val="00BD7778"/>
    <w:rsid w:val="00BD7CF0"/>
    <w:rsid w:val="00BE017C"/>
    <w:rsid w:val="00BE2D07"/>
    <w:rsid w:val="00BE67D1"/>
    <w:rsid w:val="00BE689F"/>
    <w:rsid w:val="00BE68FD"/>
    <w:rsid w:val="00BE6EB1"/>
    <w:rsid w:val="00BF17C6"/>
    <w:rsid w:val="00BF254F"/>
    <w:rsid w:val="00BF2F03"/>
    <w:rsid w:val="00BF6437"/>
    <w:rsid w:val="00C00999"/>
    <w:rsid w:val="00C029ED"/>
    <w:rsid w:val="00C02BB4"/>
    <w:rsid w:val="00C04D91"/>
    <w:rsid w:val="00C1457A"/>
    <w:rsid w:val="00C1581C"/>
    <w:rsid w:val="00C179D4"/>
    <w:rsid w:val="00C2081B"/>
    <w:rsid w:val="00C2D991"/>
    <w:rsid w:val="00C314AE"/>
    <w:rsid w:val="00C35983"/>
    <w:rsid w:val="00C3630A"/>
    <w:rsid w:val="00C373B8"/>
    <w:rsid w:val="00C37CAF"/>
    <w:rsid w:val="00C41EC8"/>
    <w:rsid w:val="00C4363E"/>
    <w:rsid w:val="00C46184"/>
    <w:rsid w:val="00C50325"/>
    <w:rsid w:val="00C5127F"/>
    <w:rsid w:val="00C51D22"/>
    <w:rsid w:val="00C52278"/>
    <w:rsid w:val="00C5287C"/>
    <w:rsid w:val="00C52E10"/>
    <w:rsid w:val="00C52EE1"/>
    <w:rsid w:val="00C567C6"/>
    <w:rsid w:val="00C56DEF"/>
    <w:rsid w:val="00C6026F"/>
    <w:rsid w:val="00C60EA6"/>
    <w:rsid w:val="00C622B7"/>
    <w:rsid w:val="00C627F7"/>
    <w:rsid w:val="00C6428F"/>
    <w:rsid w:val="00C643E5"/>
    <w:rsid w:val="00C67924"/>
    <w:rsid w:val="00C70CEA"/>
    <w:rsid w:val="00C72CA2"/>
    <w:rsid w:val="00C73235"/>
    <w:rsid w:val="00C75DFC"/>
    <w:rsid w:val="00C75F39"/>
    <w:rsid w:val="00C76F57"/>
    <w:rsid w:val="00C77454"/>
    <w:rsid w:val="00C80428"/>
    <w:rsid w:val="00C8126E"/>
    <w:rsid w:val="00C81861"/>
    <w:rsid w:val="00C821FD"/>
    <w:rsid w:val="00C83414"/>
    <w:rsid w:val="00C8587E"/>
    <w:rsid w:val="00C87015"/>
    <w:rsid w:val="00C8719D"/>
    <w:rsid w:val="00C911DF"/>
    <w:rsid w:val="00C933FD"/>
    <w:rsid w:val="00C9396B"/>
    <w:rsid w:val="00C94918"/>
    <w:rsid w:val="00CA417D"/>
    <w:rsid w:val="00CA45AE"/>
    <w:rsid w:val="00CA47C0"/>
    <w:rsid w:val="00CA48AF"/>
    <w:rsid w:val="00CB3D6E"/>
    <w:rsid w:val="00CB52EB"/>
    <w:rsid w:val="00CB6B72"/>
    <w:rsid w:val="00CC034D"/>
    <w:rsid w:val="00CC065C"/>
    <w:rsid w:val="00CC0776"/>
    <w:rsid w:val="00CC2B12"/>
    <w:rsid w:val="00CC2B54"/>
    <w:rsid w:val="00CC3A86"/>
    <w:rsid w:val="00CC3C28"/>
    <w:rsid w:val="00CC4B6F"/>
    <w:rsid w:val="00CC4E33"/>
    <w:rsid w:val="00CC5933"/>
    <w:rsid w:val="00CC5B5C"/>
    <w:rsid w:val="00CD11A6"/>
    <w:rsid w:val="00CD12D1"/>
    <w:rsid w:val="00CD3C1E"/>
    <w:rsid w:val="00CD6E5F"/>
    <w:rsid w:val="00CE0FBA"/>
    <w:rsid w:val="00CE2BB7"/>
    <w:rsid w:val="00CE4AF6"/>
    <w:rsid w:val="00CE4C08"/>
    <w:rsid w:val="00CE745D"/>
    <w:rsid w:val="00CE76C6"/>
    <w:rsid w:val="00CE7CF0"/>
    <w:rsid w:val="00CF37A3"/>
    <w:rsid w:val="00CF455D"/>
    <w:rsid w:val="00CF5EB0"/>
    <w:rsid w:val="00CF711E"/>
    <w:rsid w:val="00CF7791"/>
    <w:rsid w:val="00CF7A81"/>
    <w:rsid w:val="00D001B5"/>
    <w:rsid w:val="00D00948"/>
    <w:rsid w:val="00D01221"/>
    <w:rsid w:val="00D020A7"/>
    <w:rsid w:val="00D028C1"/>
    <w:rsid w:val="00D03630"/>
    <w:rsid w:val="00D05570"/>
    <w:rsid w:val="00D13351"/>
    <w:rsid w:val="00D13742"/>
    <w:rsid w:val="00D13761"/>
    <w:rsid w:val="00D14CE7"/>
    <w:rsid w:val="00D16095"/>
    <w:rsid w:val="00D16A1B"/>
    <w:rsid w:val="00D17C41"/>
    <w:rsid w:val="00D214A9"/>
    <w:rsid w:val="00D215D7"/>
    <w:rsid w:val="00D244AB"/>
    <w:rsid w:val="00D259DC"/>
    <w:rsid w:val="00D26DDC"/>
    <w:rsid w:val="00D27156"/>
    <w:rsid w:val="00D27F32"/>
    <w:rsid w:val="00D30CCC"/>
    <w:rsid w:val="00D3156C"/>
    <w:rsid w:val="00D33C78"/>
    <w:rsid w:val="00D3544C"/>
    <w:rsid w:val="00D35A1F"/>
    <w:rsid w:val="00D410EC"/>
    <w:rsid w:val="00D43760"/>
    <w:rsid w:val="00D4477C"/>
    <w:rsid w:val="00D45FE6"/>
    <w:rsid w:val="00D46309"/>
    <w:rsid w:val="00D465DE"/>
    <w:rsid w:val="00D478FC"/>
    <w:rsid w:val="00D47B6C"/>
    <w:rsid w:val="00D50921"/>
    <w:rsid w:val="00D51E32"/>
    <w:rsid w:val="00D54CA0"/>
    <w:rsid w:val="00D55484"/>
    <w:rsid w:val="00D5590E"/>
    <w:rsid w:val="00D6052B"/>
    <w:rsid w:val="00D60C1D"/>
    <w:rsid w:val="00D6162E"/>
    <w:rsid w:val="00D63EB3"/>
    <w:rsid w:val="00D65633"/>
    <w:rsid w:val="00D66412"/>
    <w:rsid w:val="00D66C43"/>
    <w:rsid w:val="00D6778C"/>
    <w:rsid w:val="00D67C81"/>
    <w:rsid w:val="00D70FF2"/>
    <w:rsid w:val="00D72BE8"/>
    <w:rsid w:val="00D72F13"/>
    <w:rsid w:val="00D73FA8"/>
    <w:rsid w:val="00D7721F"/>
    <w:rsid w:val="00D91238"/>
    <w:rsid w:val="00D93F21"/>
    <w:rsid w:val="00D94014"/>
    <w:rsid w:val="00D9583C"/>
    <w:rsid w:val="00D9606B"/>
    <w:rsid w:val="00D96356"/>
    <w:rsid w:val="00D9647F"/>
    <w:rsid w:val="00D96C6B"/>
    <w:rsid w:val="00D973E8"/>
    <w:rsid w:val="00DA0A61"/>
    <w:rsid w:val="00DA17FA"/>
    <w:rsid w:val="00DA6F85"/>
    <w:rsid w:val="00DA704B"/>
    <w:rsid w:val="00DB0951"/>
    <w:rsid w:val="00DB0D6D"/>
    <w:rsid w:val="00DB1D39"/>
    <w:rsid w:val="00DB2993"/>
    <w:rsid w:val="00DB4328"/>
    <w:rsid w:val="00DB4796"/>
    <w:rsid w:val="00DB4A41"/>
    <w:rsid w:val="00DB4C8A"/>
    <w:rsid w:val="00DB76F8"/>
    <w:rsid w:val="00DB7B89"/>
    <w:rsid w:val="00DC5FCF"/>
    <w:rsid w:val="00DC64EF"/>
    <w:rsid w:val="00DC72D8"/>
    <w:rsid w:val="00DD2531"/>
    <w:rsid w:val="00DD257A"/>
    <w:rsid w:val="00DD58B3"/>
    <w:rsid w:val="00DD5B45"/>
    <w:rsid w:val="00DD73C1"/>
    <w:rsid w:val="00DE02A4"/>
    <w:rsid w:val="00DE0DE2"/>
    <w:rsid w:val="00DE1D86"/>
    <w:rsid w:val="00DE2A65"/>
    <w:rsid w:val="00DE38B3"/>
    <w:rsid w:val="00DE497E"/>
    <w:rsid w:val="00DE543D"/>
    <w:rsid w:val="00DF5EDE"/>
    <w:rsid w:val="00DF69A8"/>
    <w:rsid w:val="00E0042A"/>
    <w:rsid w:val="00E01CD1"/>
    <w:rsid w:val="00E03D00"/>
    <w:rsid w:val="00E0423F"/>
    <w:rsid w:val="00E04616"/>
    <w:rsid w:val="00E07ED6"/>
    <w:rsid w:val="00E108EB"/>
    <w:rsid w:val="00E14923"/>
    <w:rsid w:val="00E14EB2"/>
    <w:rsid w:val="00E15FD8"/>
    <w:rsid w:val="00E16032"/>
    <w:rsid w:val="00E16ED5"/>
    <w:rsid w:val="00E21927"/>
    <w:rsid w:val="00E227B2"/>
    <w:rsid w:val="00E24D04"/>
    <w:rsid w:val="00E25054"/>
    <w:rsid w:val="00E25BCA"/>
    <w:rsid w:val="00E25E50"/>
    <w:rsid w:val="00E263DE"/>
    <w:rsid w:val="00E26C8E"/>
    <w:rsid w:val="00E27DA6"/>
    <w:rsid w:val="00E32D10"/>
    <w:rsid w:val="00E3369C"/>
    <w:rsid w:val="00E345E8"/>
    <w:rsid w:val="00E35240"/>
    <w:rsid w:val="00E36C86"/>
    <w:rsid w:val="00E4097A"/>
    <w:rsid w:val="00E41D48"/>
    <w:rsid w:val="00E42011"/>
    <w:rsid w:val="00E4250D"/>
    <w:rsid w:val="00E43877"/>
    <w:rsid w:val="00E454BA"/>
    <w:rsid w:val="00E473BA"/>
    <w:rsid w:val="00E47D07"/>
    <w:rsid w:val="00E50D37"/>
    <w:rsid w:val="00E53A28"/>
    <w:rsid w:val="00E550F7"/>
    <w:rsid w:val="00E553C2"/>
    <w:rsid w:val="00E553C5"/>
    <w:rsid w:val="00E560B5"/>
    <w:rsid w:val="00E563E2"/>
    <w:rsid w:val="00E566CD"/>
    <w:rsid w:val="00E56F7D"/>
    <w:rsid w:val="00E6055B"/>
    <w:rsid w:val="00E61184"/>
    <w:rsid w:val="00E6350F"/>
    <w:rsid w:val="00E63B29"/>
    <w:rsid w:val="00E65CD9"/>
    <w:rsid w:val="00E6668F"/>
    <w:rsid w:val="00E66A7D"/>
    <w:rsid w:val="00E7071C"/>
    <w:rsid w:val="00E7075E"/>
    <w:rsid w:val="00E707B2"/>
    <w:rsid w:val="00E70F8D"/>
    <w:rsid w:val="00E73009"/>
    <w:rsid w:val="00E754A4"/>
    <w:rsid w:val="00E75794"/>
    <w:rsid w:val="00E75BDE"/>
    <w:rsid w:val="00E76314"/>
    <w:rsid w:val="00E7687E"/>
    <w:rsid w:val="00E770BA"/>
    <w:rsid w:val="00E83ABD"/>
    <w:rsid w:val="00E8663A"/>
    <w:rsid w:val="00E8772A"/>
    <w:rsid w:val="00E90EFE"/>
    <w:rsid w:val="00E9107A"/>
    <w:rsid w:val="00E9235C"/>
    <w:rsid w:val="00E928AA"/>
    <w:rsid w:val="00EA0954"/>
    <w:rsid w:val="00EA28FC"/>
    <w:rsid w:val="00EA3E99"/>
    <w:rsid w:val="00EA5692"/>
    <w:rsid w:val="00EA6CCF"/>
    <w:rsid w:val="00EA6F2E"/>
    <w:rsid w:val="00EA7D19"/>
    <w:rsid w:val="00EB207C"/>
    <w:rsid w:val="00EB3213"/>
    <w:rsid w:val="00EB5C5E"/>
    <w:rsid w:val="00EC09F9"/>
    <w:rsid w:val="00EC31AA"/>
    <w:rsid w:val="00EC4698"/>
    <w:rsid w:val="00EC4F71"/>
    <w:rsid w:val="00EC5316"/>
    <w:rsid w:val="00EC589D"/>
    <w:rsid w:val="00EC7CE6"/>
    <w:rsid w:val="00ED15FD"/>
    <w:rsid w:val="00ED188C"/>
    <w:rsid w:val="00ED2206"/>
    <w:rsid w:val="00ED25FF"/>
    <w:rsid w:val="00ED2CE2"/>
    <w:rsid w:val="00ED4C62"/>
    <w:rsid w:val="00ED580F"/>
    <w:rsid w:val="00ED7978"/>
    <w:rsid w:val="00EE1D69"/>
    <w:rsid w:val="00EE25DC"/>
    <w:rsid w:val="00EE4DD1"/>
    <w:rsid w:val="00EF1D75"/>
    <w:rsid w:val="00EF2C21"/>
    <w:rsid w:val="00EF3E88"/>
    <w:rsid w:val="00EF6E48"/>
    <w:rsid w:val="00EF79FC"/>
    <w:rsid w:val="00F01613"/>
    <w:rsid w:val="00F07A67"/>
    <w:rsid w:val="00F11635"/>
    <w:rsid w:val="00F14D07"/>
    <w:rsid w:val="00F14E5F"/>
    <w:rsid w:val="00F1603F"/>
    <w:rsid w:val="00F23596"/>
    <w:rsid w:val="00F24F7A"/>
    <w:rsid w:val="00F2612F"/>
    <w:rsid w:val="00F276FC"/>
    <w:rsid w:val="00F327AF"/>
    <w:rsid w:val="00F32C14"/>
    <w:rsid w:val="00F3395A"/>
    <w:rsid w:val="00F34CE7"/>
    <w:rsid w:val="00F34F2E"/>
    <w:rsid w:val="00F37673"/>
    <w:rsid w:val="00F40D4C"/>
    <w:rsid w:val="00F421DE"/>
    <w:rsid w:val="00F43675"/>
    <w:rsid w:val="00F43741"/>
    <w:rsid w:val="00F43D6E"/>
    <w:rsid w:val="00F44413"/>
    <w:rsid w:val="00F4663E"/>
    <w:rsid w:val="00F471BD"/>
    <w:rsid w:val="00F518AA"/>
    <w:rsid w:val="00F51CD7"/>
    <w:rsid w:val="00F51F02"/>
    <w:rsid w:val="00F529C4"/>
    <w:rsid w:val="00F52C85"/>
    <w:rsid w:val="00F53146"/>
    <w:rsid w:val="00F5323A"/>
    <w:rsid w:val="00F556CE"/>
    <w:rsid w:val="00F61359"/>
    <w:rsid w:val="00F61AC9"/>
    <w:rsid w:val="00F61E0A"/>
    <w:rsid w:val="00F6326C"/>
    <w:rsid w:val="00F64F07"/>
    <w:rsid w:val="00F65BD8"/>
    <w:rsid w:val="00F67660"/>
    <w:rsid w:val="00F71B97"/>
    <w:rsid w:val="00F72263"/>
    <w:rsid w:val="00F72315"/>
    <w:rsid w:val="00F72386"/>
    <w:rsid w:val="00F742E2"/>
    <w:rsid w:val="00F75D3F"/>
    <w:rsid w:val="00F765D6"/>
    <w:rsid w:val="00F817ED"/>
    <w:rsid w:val="00F81C61"/>
    <w:rsid w:val="00F81CF4"/>
    <w:rsid w:val="00F82370"/>
    <w:rsid w:val="00F9013F"/>
    <w:rsid w:val="00F90274"/>
    <w:rsid w:val="00F90EEA"/>
    <w:rsid w:val="00F91460"/>
    <w:rsid w:val="00F926EF"/>
    <w:rsid w:val="00F93670"/>
    <w:rsid w:val="00F94163"/>
    <w:rsid w:val="00F94D65"/>
    <w:rsid w:val="00F95E9B"/>
    <w:rsid w:val="00F961B7"/>
    <w:rsid w:val="00F978A6"/>
    <w:rsid w:val="00F97B15"/>
    <w:rsid w:val="00FA0B40"/>
    <w:rsid w:val="00FA34D7"/>
    <w:rsid w:val="00FA3C59"/>
    <w:rsid w:val="00FA4E19"/>
    <w:rsid w:val="00FA55A6"/>
    <w:rsid w:val="00FA5D8E"/>
    <w:rsid w:val="00FA7DA4"/>
    <w:rsid w:val="00FB018F"/>
    <w:rsid w:val="00FB4F65"/>
    <w:rsid w:val="00FB5C58"/>
    <w:rsid w:val="00FC208D"/>
    <w:rsid w:val="00FC3867"/>
    <w:rsid w:val="00FC3C1E"/>
    <w:rsid w:val="00FC5131"/>
    <w:rsid w:val="00FC523E"/>
    <w:rsid w:val="00FC61D7"/>
    <w:rsid w:val="00FC69D5"/>
    <w:rsid w:val="00FC70CE"/>
    <w:rsid w:val="00FC7392"/>
    <w:rsid w:val="00FC7E57"/>
    <w:rsid w:val="00FD0B66"/>
    <w:rsid w:val="00FD0FAA"/>
    <w:rsid w:val="00FD1E49"/>
    <w:rsid w:val="00FD4E7F"/>
    <w:rsid w:val="00FD4FD6"/>
    <w:rsid w:val="00FD5696"/>
    <w:rsid w:val="00FD722B"/>
    <w:rsid w:val="00FE02EB"/>
    <w:rsid w:val="00FE15C0"/>
    <w:rsid w:val="00FE46CD"/>
    <w:rsid w:val="00FE4B03"/>
    <w:rsid w:val="00FE4C14"/>
    <w:rsid w:val="00FE7566"/>
    <w:rsid w:val="00FF0CED"/>
    <w:rsid w:val="00FF189A"/>
    <w:rsid w:val="00FF34B1"/>
    <w:rsid w:val="00FF454B"/>
    <w:rsid w:val="00FF6313"/>
    <w:rsid w:val="00FF69C4"/>
    <w:rsid w:val="0362F480"/>
    <w:rsid w:val="0390014D"/>
    <w:rsid w:val="039C1E99"/>
    <w:rsid w:val="03A6BC7F"/>
    <w:rsid w:val="0400DEDA"/>
    <w:rsid w:val="0418E3C1"/>
    <w:rsid w:val="047994BC"/>
    <w:rsid w:val="04E50D5B"/>
    <w:rsid w:val="05820051"/>
    <w:rsid w:val="05FC895C"/>
    <w:rsid w:val="0706988A"/>
    <w:rsid w:val="07508483"/>
    <w:rsid w:val="08A88CE5"/>
    <w:rsid w:val="08C284F2"/>
    <w:rsid w:val="095313F7"/>
    <w:rsid w:val="09C73BA9"/>
    <w:rsid w:val="0A6EFCE8"/>
    <w:rsid w:val="0BB7F19A"/>
    <w:rsid w:val="0C23F5A6"/>
    <w:rsid w:val="0D0FB501"/>
    <w:rsid w:val="0E26ECE6"/>
    <w:rsid w:val="0FE02C51"/>
    <w:rsid w:val="13FE0D18"/>
    <w:rsid w:val="15199C48"/>
    <w:rsid w:val="15D536B4"/>
    <w:rsid w:val="15F78FB3"/>
    <w:rsid w:val="1647366D"/>
    <w:rsid w:val="16920204"/>
    <w:rsid w:val="17FBC46C"/>
    <w:rsid w:val="1A3CD125"/>
    <w:rsid w:val="1AF00EA5"/>
    <w:rsid w:val="1B6EC091"/>
    <w:rsid w:val="1B78E3A5"/>
    <w:rsid w:val="1BA79C15"/>
    <w:rsid w:val="1C5E2617"/>
    <w:rsid w:val="1F8A54BC"/>
    <w:rsid w:val="201E6543"/>
    <w:rsid w:val="2065AD3A"/>
    <w:rsid w:val="21875917"/>
    <w:rsid w:val="21ECBA64"/>
    <w:rsid w:val="25F0EB20"/>
    <w:rsid w:val="26717893"/>
    <w:rsid w:val="272C47CF"/>
    <w:rsid w:val="27473385"/>
    <w:rsid w:val="27D25053"/>
    <w:rsid w:val="27EDEF7B"/>
    <w:rsid w:val="2CA177E3"/>
    <w:rsid w:val="2DA1D59B"/>
    <w:rsid w:val="2FEBBA80"/>
    <w:rsid w:val="30D9765D"/>
    <w:rsid w:val="33369D4C"/>
    <w:rsid w:val="33B2B7FF"/>
    <w:rsid w:val="3442410A"/>
    <w:rsid w:val="36C07F3F"/>
    <w:rsid w:val="37AAB97A"/>
    <w:rsid w:val="3C3BFDD0"/>
    <w:rsid w:val="3D1EC8EE"/>
    <w:rsid w:val="3D5AC806"/>
    <w:rsid w:val="3DE23FF3"/>
    <w:rsid w:val="44DA17F9"/>
    <w:rsid w:val="44DCCADC"/>
    <w:rsid w:val="44EB1C1B"/>
    <w:rsid w:val="451B3B33"/>
    <w:rsid w:val="458804B7"/>
    <w:rsid w:val="480822A1"/>
    <w:rsid w:val="4824601E"/>
    <w:rsid w:val="48FE10A3"/>
    <w:rsid w:val="49C1717D"/>
    <w:rsid w:val="49C7B500"/>
    <w:rsid w:val="4C9DD71F"/>
    <w:rsid w:val="4D0CE764"/>
    <w:rsid w:val="4D500439"/>
    <w:rsid w:val="4D71D11D"/>
    <w:rsid w:val="4E30A55A"/>
    <w:rsid w:val="4F5429CA"/>
    <w:rsid w:val="50208979"/>
    <w:rsid w:val="5067DE48"/>
    <w:rsid w:val="51E34DDF"/>
    <w:rsid w:val="52F3F046"/>
    <w:rsid w:val="53273F2E"/>
    <w:rsid w:val="543180B1"/>
    <w:rsid w:val="5489CC5A"/>
    <w:rsid w:val="5641CBA7"/>
    <w:rsid w:val="570FF327"/>
    <w:rsid w:val="5850FBCC"/>
    <w:rsid w:val="5879E099"/>
    <w:rsid w:val="59790028"/>
    <w:rsid w:val="59F357F2"/>
    <w:rsid w:val="5B030B48"/>
    <w:rsid w:val="5B63AF51"/>
    <w:rsid w:val="5B7107C8"/>
    <w:rsid w:val="5BC0053E"/>
    <w:rsid w:val="5E24CEF2"/>
    <w:rsid w:val="5E74769F"/>
    <w:rsid w:val="5FD2734E"/>
    <w:rsid w:val="60E56F8A"/>
    <w:rsid w:val="6486C7C7"/>
    <w:rsid w:val="650BD02C"/>
    <w:rsid w:val="66229828"/>
    <w:rsid w:val="663D878C"/>
    <w:rsid w:val="67A4880A"/>
    <w:rsid w:val="68D31141"/>
    <w:rsid w:val="68E71684"/>
    <w:rsid w:val="695CE55F"/>
    <w:rsid w:val="6A6D1887"/>
    <w:rsid w:val="6AD07303"/>
    <w:rsid w:val="6B5185DE"/>
    <w:rsid w:val="6D47C8ED"/>
    <w:rsid w:val="6DFD91A0"/>
    <w:rsid w:val="6E1C8720"/>
    <w:rsid w:val="71E1A428"/>
    <w:rsid w:val="7278145A"/>
    <w:rsid w:val="730A6995"/>
    <w:rsid w:val="734F00DA"/>
    <w:rsid w:val="73E21DE4"/>
    <w:rsid w:val="747542F4"/>
    <w:rsid w:val="74BAB7DC"/>
    <w:rsid w:val="755AC858"/>
    <w:rsid w:val="7626C8F9"/>
    <w:rsid w:val="76853274"/>
    <w:rsid w:val="786BDF73"/>
    <w:rsid w:val="794321E2"/>
    <w:rsid w:val="795E69BB"/>
    <w:rsid w:val="7A48B448"/>
    <w:rsid w:val="7AA77785"/>
    <w:rsid w:val="7B7D6964"/>
    <w:rsid w:val="7CD260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7E1B"/>
  <w15:chartTrackingRefBased/>
  <w15:docId w15:val="{48290C1C-67F0-4843-9AD8-9259103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E30"/>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736E30"/>
    <w:pPr>
      <w:keepNext/>
      <w:spacing w:line="480" w:lineRule="auto"/>
      <w:ind w:firstLine="1418"/>
      <w:jc w:val="both"/>
      <w:outlineLvl w:val="0"/>
    </w:pPr>
    <w:rPr>
      <w:rFonts w:ascii="new courier" w:hAnsi="new courie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6E30"/>
    <w:rPr>
      <w:rFonts w:ascii="new courier" w:eastAsia="Calibri" w:hAnsi="new courier" w:cs="Times New Roman"/>
      <w:b/>
      <w:sz w:val="26"/>
      <w:szCs w:val="20"/>
      <w:lang w:val="es-ES" w:eastAsia="es-ES"/>
    </w:rPr>
  </w:style>
  <w:style w:type="paragraph" w:styleId="Sangra3detindependiente">
    <w:name w:val="Body Text Indent 3"/>
    <w:basedOn w:val="Normal"/>
    <w:link w:val="Sangra3detindependienteCar"/>
    <w:rsid w:val="00736E30"/>
    <w:pPr>
      <w:ind w:left="2124"/>
      <w:jc w:val="both"/>
    </w:pPr>
    <w:rPr>
      <w:rFonts w:ascii="Arial" w:hAnsi="Arial"/>
      <w:b/>
      <w:sz w:val="24"/>
    </w:rPr>
  </w:style>
  <w:style w:type="character" w:customStyle="1" w:styleId="Sangra3detindependienteCar">
    <w:name w:val="Sangría 3 de t. independiente Car"/>
    <w:basedOn w:val="Fuentedeprrafopredeter"/>
    <w:link w:val="Sangra3detindependiente"/>
    <w:rsid w:val="00736E30"/>
    <w:rPr>
      <w:rFonts w:ascii="Arial" w:eastAsia="Calibri" w:hAnsi="Arial" w:cs="Times New Roman"/>
      <w:b/>
      <w:sz w:val="24"/>
      <w:szCs w:val="20"/>
      <w:lang w:val="es-ES" w:eastAsia="es-ES"/>
    </w:rPr>
  </w:style>
  <w:style w:type="paragraph" w:styleId="Textoindependiente">
    <w:name w:val="Body Text"/>
    <w:basedOn w:val="Normal"/>
    <w:link w:val="TextoindependienteCar"/>
    <w:rsid w:val="00736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736E30"/>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uiPriority w:val="99"/>
    <w:qFormat/>
    <w:rsid w:val="00736E30"/>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uiPriority w:val="99"/>
    <w:rsid w:val="00736E30"/>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qFormat/>
    <w:rsid w:val="00736E30"/>
    <w:rPr>
      <w:rFonts w:cs="Times New Roman"/>
      <w:vertAlign w:val="superscript"/>
    </w:rPr>
  </w:style>
  <w:style w:type="paragraph" w:customStyle="1" w:styleId="Textoindependiente21">
    <w:name w:val="Texto independiente 21"/>
    <w:basedOn w:val="Normal"/>
    <w:rsid w:val="00736E30"/>
    <w:pPr>
      <w:overflowPunct w:val="0"/>
      <w:autoSpaceDE w:val="0"/>
      <w:autoSpaceDN w:val="0"/>
      <w:adjustRightInd w:val="0"/>
      <w:spacing w:line="360" w:lineRule="auto"/>
      <w:ind w:firstLine="708"/>
      <w:jc w:val="both"/>
      <w:textAlignment w:val="baseline"/>
    </w:pPr>
    <w:rPr>
      <w:rFonts w:ascii="Arial" w:eastAsia="Times New Roman" w:hAnsi="Arial"/>
      <w:i/>
      <w:sz w:val="28"/>
    </w:rPr>
  </w:style>
  <w:style w:type="paragraph" w:styleId="Encabezado">
    <w:name w:val="header"/>
    <w:basedOn w:val="Normal"/>
    <w:link w:val="EncabezadoCar"/>
    <w:rsid w:val="00736E30"/>
    <w:pPr>
      <w:tabs>
        <w:tab w:val="center" w:pos="4252"/>
        <w:tab w:val="right" w:pos="8504"/>
      </w:tabs>
    </w:pPr>
  </w:style>
  <w:style w:type="character" w:customStyle="1" w:styleId="EncabezadoCar">
    <w:name w:val="Encabezado Car"/>
    <w:basedOn w:val="Fuentedeprrafopredeter"/>
    <w:link w:val="Encabezado"/>
    <w:rsid w:val="00736E30"/>
    <w:rPr>
      <w:rFonts w:ascii="Times New Roman" w:eastAsia="Calibri" w:hAnsi="Times New Roman" w:cs="Times New Roman"/>
      <w:sz w:val="20"/>
      <w:szCs w:val="20"/>
      <w:lang w:val="es-ES" w:eastAsia="es-ES"/>
    </w:rPr>
  </w:style>
  <w:style w:type="character" w:styleId="Nmerodepgina">
    <w:name w:val="page number"/>
    <w:basedOn w:val="Fuentedeprrafopredeter"/>
    <w:rsid w:val="00736E30"/>
  </w:style>
  <w:style w:type="paragraph" w:styleId="Prrafodelista">
    <w:name w:val="List Paragraph"/>
    <w:basedOn w:val="Normal"/>
    <w:link w:val="PrrafodelistaCar"/>
    <w:uiPriority w:val="34"/>
    <w:qFormat/>
    <w:rsid w:val="00736E30"/>
    <w:pPr>
      <w:ind w:left="720"/>
      <w:contextualSpacing/>
    </w:pPr>
  </w:style>
  <w:style w:type="character" w:customStyle="1" w:styleId="PrrafodelistaCar">
    <w:name w:val="Párrafo de lista Car"/>
    <w:link w:val="Prrafodelista"/>
    <w:uiPriority w:val="34"/>
    <w:locked/>
    <w:rsid w:val="00420AC1"/>
    <w:rPr>
      <w:rFonts w:ascii="Times New Roman" w:eastAsia="Calibri" w:hAnsi="Times New Roman" w:cs="Times New Roman"/>
      <w:sz w:val="20"/>
      <w:szCs w:val="20"/>
      <w:lang w:val="es-ES" w:eastAsia="es-ES"/>
    </w:rPr>
  </w:style>
  <w:style w:type="character" w:customStyle="1" w:styleId="apple-converted-space">
    <w:name w:val="apple-converted-space"/>
    <w:basedOn w:val="Fuentedeprrafopredeter"/>
    <w:rsid w:val="00736E30"/>
  </w:style>
  <w:style w:type="paragraph" w:styleId="Sangra2detindependiente">
    <w:name w:val="Body Text Indent 2"/>
    <w:basedOn w:val="Normal"/>
    <w:link w:val="Sangra2detindependienteCar"/>
    <w:unhideWhenUsed/>
    <w:rsid w:val="00736E30"/>
    <w:pPr>
      <w:spacing w:after="120" w:line="480" w:lineRule="auto"/>
      <w:ind w:left="283"/>
    </w:pPr>
    <w:rPr>
      <w:rFonts w:ascii="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736E30"/>
    <w:rPr>
      <w:rFonts w:ascii="Calibri" w:eastAsia="Calibri" w:hAnsi="Calibri" w:cs="Times New Roman"/>
    </w:rPr>
  </w:style>
  <w:style w:type="paragraph" w:styleId="Sinespaciado">
    <w:name w:val="No Spacing"/>
    <w:uiPriority w:val="1"/>
    <w:qFormat/>
    <w:rsid w:val="00736E30"/>
    <w:pPr>
      <w:spacing w:after="0" w:line="240" w:lineRule="auto"/>
    </w:pPr>
    <w:rPr>
      <w:rFonts w:ascii="Calibri" w:eastAsia="Calibri" w:hAnsi="Calibri" w:cs="Times New Roman"/>
    </w:rPr>
  </w:style>
  <w:style w:type="paragraph" w:styleId="Piedepgina">
    <w:name w:val="footer"/>
    <w:basedOn w:val="Normal"/>
    <w:link w:val="PiedepginaCar"/>
    <w:unhideWhenUsed/>
    <w:rsid w:val="00736E30"/>
    <w:pPr>
      <w:tabs>
        <w:tab w:val="center" w:pos="4252"/>
        <w:tab w:val="right" w:pos="8504"/>
      </w:tabs>
    </w:pPr>
  </w:style>
  <w:style w:type="character" w:customStyle="1" w:styleId="PiedepginaCar">
    <w:name w:val="Pie de página Car"/>
    <w:basedOn w:val="Fuentedeprrafopredeter"/>
    <w:link w:val="Piedepgina"/>
    <w:rsid w:val="00736E30"/>
    <w:rPr>
      <w:rFonts w:ascii="Times New Roman" w:eastAsia="Calibri" w:hAnsi="Times New Roman" w:cs="Times New Roman"/>
      <w:sz w:val="20"/>
      <w:szCs w:val="20"/>
      <w:lang w:val="es-ES" w:eastAsia="es-ES"/>
    </w:rPr>
  </w:style>
  <w:style w:type="paragraph" w:customStyle="1" w:styleId="a">
    <w:basedOn w:val="Normal"/>
    <w:next w:val="Ttulo"/>
    <w:link w:val="TtuloCar"/>
    <w:qFormat/>
    <w:rsid w:val="008C2A88"/>
    <w:pPr>
      <w:spacing w:line="360" w:lineRule="auto"/>
      <w:jc w:val="center"/>
    </w:pPr>
    <w:rPr>
      <w:rFonts w:ascii="Arial" w:eastAsiaTheme="minorHAnsi" w:hAnsi="Arial" w:cs="Arial"/>
      <w:b/>
      <w:iCs/>
      <w:sz w:val="24"/>
      <w:szCs w:val="24"/>
    </w:rPr>
  </w:style>
  <w:style w:type="paragraph" w:styleId="Ttulo">
    <w:name w:val="Title"/>
    <w:basedOn w:val="Normal"/>
    <w:next w:val="Normal"/>
    <w:link w:val="TtuloCar1"/>
    <w:uiPriority w:val="10"/>
    <w:qFormat/>
    <w:rsid w:val="008C2A8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8C2A88"/>
    <w:rPr>
      <w:rFonts w:asciiTheme="majorHAnsi" w:eastAsiaTheme="majorEastAsia" w:hAnsiTheme="majorHAnsi" w:cstheme="majorBidi"/>
      <w:spacing w:val="-10"/>
      <w:kern w:val="28"/>
      <w:sz w:val="56"/>
      <w:szCs w:val="56"/>
      <w:lang w:val="es-ES" w:eastAsia="es-ES"/>
    </w:rPr>
  </w:style>
  <w:style w:type="character" w:customStyle="1" w:styleId="TtuloCar">
    <w:name w:val="Título Car"/>
    <w:link w:val="a"/>
    <w:rsid w:val="008C2A88"/>
    <w:rPr>
      <w:rFonts w:ascii="Arial" w:hAnsi="Arial" w:cs="Arial"/>
      <w:b/>
      <w:iCs/>
      <w:sz w:val="24"/>
      <w:szCs w:val="24"/>
      <w:lang w:val="es-ES" w:eastAsia="es-ES" w:bidi="ar-SA"/>
    </w:rPr>
  </w:style>
  <w:style w:type="paragraph" w:styleId="NormalWeb">
    <w:name w:val="Normal (Web)"/>
    <w:basedOn w:val="Normal"/>
    <w:uiPriority w:val="99"/>
    <w:semiHidden/>
    <w:unhideWhenUsed/>
    <w:rsid w:val="009728FD"/>
    <w:pPr>
      <w:spacing w:before="100" w:beforeAutospacing="1" w:after="100" w:afterAutospacing="1"/>
    </w:pPr>
    <w:rPr>
      <w:rFonts w:eastAsia="Times New Roman"/>
      <w:sz w:val="24"/>
      <w:szCs w:val="24"/>
      <w:lang w:val="es-CO" w:eastAsia="es-CO"/>
    </w:rPr>
  </w:style>
  <w:style w:type="paragraph" w:customStyle="1" w:styleId="Textodebloque1">
    <w:name w:val="Texto de bloque1"/>
    <w:basedOn w:val="Normal"/>
    <w:rsid w:val="006054B9"/>
    <w:pPr>
      <w:overflowPunct w:val="0"/>
      <w:autoSpaceDE w:val="0"/>
      <w:autoSpaceDN w:val="0"/>
      <w:adjustRightInd w:val="0"/>
      <w:ind w:left="720" w:firstLine="706"/>
      <w:jc w:val="both"/>
      <w:textAlignment w:val="baseline"/>
    </w:pPr>
    <w:rPr>
      <w:rFonts w:eastAsia="Times New Roman"/>
      <w:i/>
      <w:sz w:val="24"/>
      <w:lang w:val="es-ES_tradnl"/>
    </w:rPr>
  </w:style>
  <w:style w:type="paragraph" w:styleId="Textoindependiente2">
    <w:name w:val="Body Text 2"/>
    <w:basedOn w:val="Normal"/>
    <w:link w:val="Textoindependiente2Car"/>
    <w:uiPriority w:val="99"/>
    <w:semiHidden/>
    <w:unhideWhenUsed/>
    <w:rsid w:val="00DB0D6D"/>
    <w:pPr>
      <w:spacing w:after="120" w:line="480" w:lineRule="auto"/>
    </w:pPr>
  </w:style>
  <w:style w:type="character" w:customStyle="1" w:styleId="Textoindependiente2Car">
    <w:name w:val="Texto independiente 2 Car"/>
    <w:basedOn w:val="Fuentedeprrafopredeter"/>
    <w:link w:val="Textoindependiente2"/>
    <w:uiPriority w:val="99"/>
    <w:semiHidden/>
    <w:rsid w:val="00DB0D6D"/>
    <w:rPr>
      <w:rFonts w:ascii="Times New Roman" w:eastAsia="Calibri" w:hAnsi="Times New Roman" w:cs="Times New Roman"/>
      <w:sz w:val="20"/>
      <w:szCs w:val="20"/>
      <w:lang w:val="es-ES" w:eastAsia="es-ES"/>
    </w:rPr>
  </w:style>
  <w:style w:type="character" w:customStyle="1" w:styleId="textonavy1">
    <w:name w:val="texto_navy1"/>
    <w:basedOn w:val="Fuentedeprrafopredeter"/>
    <w:rsid w:val="00DB0D6D"/>
    <w:rPr>
      <w:color w:val="000080"/>
    </w:rPr>
  </w:style>
  <w:style w:type="paragraph" w:styleId="Textoindependiente3">
    <w:name w:val="Body Text 3"/>
    <w:basedOn w:val="Normal"/>
    <w:link w:val="Textoindependiente3Car"/>
    <w:semiHidden/>
    <w:unhideWhenUsed/>
    <w:rsid w:val="003F40C1"/>
    <w:pPr>
      <w:spacing w:after="120"/>
    </w:pPr>
    <w:rPr>
      <w:sz w:val="16"/>
      <w:szCs w:val="16"/>
    </w:rPr>
  </w:style>
  <w:style w:type="character" w:customStyle="1" w:styleId="Textoindependiente3Car">
    <w:name w:val="Texto independiente 3 Car"/>
    <w:basedOn w:val="Fuentedeprrafopredeter"/>
    <w:link w:val="Textoindependiente3"/>
    <w:semiHidden/>
    <w:rsid w:val="003F40C1"/>
    <w:rPr>
      <w:rFonts w:ascii="Times New Roman" w:eastAsia="Calibri" w:hAnsi="Times New Roman" w:cs="Times New Roman"/>
      <w:sz w:val="16"/>
      <w:szCs w:val="16"/>
      <w:lang w:val="es-ES" w:eastAsia="es-ES"/>
    </w:rPr>
  </w:style>
  <w:style w:type="paragraph" w:customStyle="1" w:styleId="Prrafodelista1">
    <w:name w:val="Párrafo de lista1"/>
    <w:basedOn w:val="Normal"/>
    <w:rsid w:val="00E75BDE"/>
    <w:pPr>
      <w:ind w:left="720"/>
      <w:contextualSpacing/>
    </w:pPr>
  </w:style>
  <w:style w:type="paragraph" w:styleId="Subttulo">
    <w:name w:val="Subtitle"/>
    <w:basedOn w:val="Normal"/>
    <w:next w:val="Normal"/>
    <w:link w:val="SubttuloCar"/>
    <w:qFormat/>
    <w:rsid w:val="007A64E6"/>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7A64E6"/>
    <w:rPr>
      <w:rFonts w:ascii="Cambria" w:eastAsia="Times New Roman" w:hAnsi="Cambria" w:cs="Times New Roman"/>
      <w:sz w:val="24"/>
      <w:szCs w:val="24"/>
      <w:lang w:val="es-ES" w:eastAsia="es-ES"/>
    </w:rPr>
  </w:style>
  <w:style w:type="paragraph" w:styleId="Textodeglobo">
    <w:name w:val="Balloon Text"/>
    <w:basedOn w:val="Normal"/>
    <w:link w:val="TextodegloboCar"/>
    <w:uiPriority w:val="99"/>
    <w:semiHidden/>
    <w:unhideWhenUsed/>
    <w:rsid w:val="00A55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62F"/>
    <w:rPr>
      <w:rFonts w:ascii="Segoe UI" w:eastAsia="Calibri" w:hAnsi="Segoe UI" w:cs="Segoe UI"/>
      <w:sz w:val="18"/>
      <w:szCs w:val="18"/>
      <w:lang w:val="es-ES" w:eastAsia="es-ES"/>
    </w:rPr>
  </w:style>
  <w:style w:type="table" w:styleId="Tablaconcuadrcula">
    <w:name w:val="Table Grid"/>
    <w:basedOn w:val="Tablanormal"/>
    <w:uiPriority w:val="39"/>
    <w:rsid w:val="00BE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7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99376">
      <w:bodyDiv w:val="1"/>
      <w:marLeft w:val="0"/>
      <w:marRight w:val="0"/>
      <w:marTop w:val="0"/>
      <w:marBottom w:val="0"/>
      <w:divBdr>
        <w:top w:val="none" w:sz="0" w:space="0" w:color="auto"/>
        <w:left w:val="none" w:sz="0" w:space="0" w:color="auto"/>
        <w:bottom w:val="none" w:sz="0" w:space="0" w:color="auto"/>
        <w:right w:val="none" w:sz="0" w:space="0" w:color="auto"/>
      </w:divBdr>
    </w:div>
    <w:div w:id="990207142">
      <w:bodyDiv w:val="1"/>
      <w:marLeft w:val="0"/>
      <w:marRight w:val="0"/>
      <w:marTop w:val="0"/>
      <w:marBottom w:val="0"/>
      <w:divBdr>
        <w:top w:val="none" w:sz="0" w:space="0" w:color="auto"/>
        <w:left w:val="none" w:sz="0" w:space="0" w:color="auto"/>
        <w:bottom w:val="none" w:sz="0" w:space="0" w:color="auto"/>
        <w:right w:val="none" w:sz="0" w:space="0" w:color="auto"/>
      </w:divBdr>
    </w:div>
    <w:div w:id="14768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99ED-2120-41A6-9CD1-9F33AE613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60041F-8481-4FCE-9CDC-56EC59F902B2}">
  <ds:schemaRefs>
    <ds:schemaRef ds:uri="http://schemas.microsoft.com/sharepoint/v3/contenttype/forms"/>
  </ds:schemaRefs>
</ds:datastoreItem>
</file>

<file path=customXml/itemProps3.xml><?xml version="1.0" encoding="utf-8"?>
<ds:datastoreItem xmlns:ds="http://schemas.openxmlformats.org/officeDocument/2006/customXml" ds:itemID="{0D7DAFA5-8F19-470C-9B94-61D34D2E2467}"/>
</file>

<file path=customXml/itemProps4.xml><?xml version="1.0" encoding="utf-8"?>
<ds:datastoreItem xmlns:ds="http://schemas.openxmlformats.org/officeDocument/2006/customXml" ds:itemID="{D3F87B4B-924C-45EC-A8C3-BE13EBE7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16572</Words>
  <Characters>91149</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PAIPILLA MORALES</dc:creator>
  <cp:keywords/>
  <dc:description/>
  <cp:lastModifiedBy>Relatoria Tribunal Administrativo - Boyaca - Seccional Tunja</cp:lastModifiedBy>
  <cp:revision>468</cp:revision>
  <cp:lastPrinted>2019-05-16T13:44:00Z</cp:lastPrinted>
  <dcterms:created xsi:type="dcterms:W3CDTF">2019-05-15T22:19:00Z</dcterms:created>
  <dcterms:modified xsi:type="dcterms:W3CDTF">2022-03-10T21:14:00Z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0x0101009D9922A80550C949A222D141BCB28FE4</vt:lpwstr>
  </property>
</Properties>
</file>