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DB7AB" w14:textId="77777777" w:rsidR="00FB6FFA" w:rsidRPr="00CA1F20" w:rsidRDefault="00FB6FFA" w:rsidP="00AE3569">
      <w:pPr>
        <w:pStyle w:val="Default"/>
        <w:jc w:val="center"/>
        <w:rPr>
          <w:rFonts w:cstheme="minorBidi"/>
          <w:color w:val="auto"/>
        </w:rPr>
      </w:pPr>
      <w:bookmarkStart w:id="0" w:name="_GoBack"/>
      <w:bookmarkEnd w:id="0"/>
      <w:r w:rsidRPr="00CA1F20">
        <w:rPr>
          <w:rFonts w:cstheme="minorBidi"/>
          <w:color w:val="auto"/>
        </w:rPr>
        <w:t>REPÚBLICA DE COLOMBIA</w:t>
      </w:r>
    </w:p>
    <w:p w14:paraId="632BE393" w14:textId="77777777" w:rsidR="00FB6FFA" w:rsidRPr="00CA1F20" w:rsidRDefault="00FB6FFA" w:rsidP="00AE3569">
      <w:pPr>
        <w:pStyle w:val="Default"/>
        <w:jc w:val="center"/>
        <w:rPr>
          <w:rFonts w:cstheme="minorBidi"/>
          <w:color w:val="auto"/>
        </w:rPr>
      </w:pPr>
      <w:r w:rsidRPr="00CA1F20">
        <w:rPr>
          <w:rFonts w:cstheme="minorBidi"/>
          <w:noProof/>
          <w:color w:val="auto"/>
          <w:lang w:eastAsia="es-CO"/>
        </w:rPr>
        <w:drawing>
          <wp:inline distT="0" distB="0" distL="0" distR="0" wp14:anchorId="729A295A" wp14:editId="49FFE9EF">
            <wp:extent cx="680313" cy="621792"/>
            <wp:effectExtent l="0" t="0" r="571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533" cy="623821"/>
                    </a:xfrm>
                    <a:prstGeom prst="rect">
                      <a:avLst/>
                    </a:prstGeom>
                    <a:noFill/>
                    <a:ln>
                      <a:noFill/>
                    </a:ln>
                  </pic:spPr>
                </pic:pic>
              </a:graphicData>
            </a:graphic>
          </wp:inline>
        </w:drawing>
      </w:r>
    </w:p>
    <w:p w14:paraId="25C6710B" w14:textId="77777777" w:rsidR="00FB6FFA" w:rsidRPr="00CA1F20" w:rsidRDefault="00FB6FFA" w:rsidP="00AE3569">
      <w:pPr>
        <w:pStyle w:val="Default"/>
        <w:jc w:val="center"/>
        <w:rPr>
          <w:rFonts w:cstheme="minorBidi"/>
          <w:color w:val="auto"/>
        </w:rPr>
      </w:pPr>
      <w:r w:rsidRPr="00CA1F20">
        <w:rPr>
          <w:rFonts w:cstheme="minorBidi"/>
          <w:color w:val="auto"/>
        </w:rPr>
        <w:t>RAMA JUDICIAL DEL PODER PÚBLICO</w:t>
      </w:r>
    </w:p>
    <w:p w14:paraId="48EB8963" w14:textId="77777777" w:rsidR="00FB6FFA" w:rsidRPr="00CA1F20" w:rsidRDefault="00FB6FFA" w:rsidP="00AE3569">
      <w:pPr>
        <w:pStyle w:val="Default"/>
        <w:jc w:val="center"/>
        <w:rPr>
          <w:rFonts w:cstheme="minorBidi"/>
          <w:color w:val="auto"/>
        </w:rPr>
      </w:pPr>
      <w:r w:rsidRPr="00CA1F20">
        <w:rPr>
          <w:rFonts w:cstheme="minorBidi"/>
          <w:color w:val="auto"/>
        </w:rPr>
        <w:t>JUZGADO SEGUNDO (2º) CIVIL MUNICIPAL</w:t>
      </w:r>
    </w:p>
    <w:p w14:paraId="0F02855E" w14:textId="77777777" w:rsidR="00FB6FFA" w:rsidRPr="00CA1F20" w:rsidRDefault="00FB6FFA" w:rsidP="00AE3569">
      <w:pPr>
        <w:pStyle w:val="Default"/>
        <w:jc w:val="center"/>
        <w:rPr>
          <w:rFonts w:cstheme="minorBidi"/>
          <w:color w:val="auto"/>
        </w:rPr>
      </w:pPr>
    </w:p>
    <w:p w14:paraId="6EC317ED" w14:textId="0F3E978C" w:rsidR="00FB6FFA" w:rsidRPr="00CA1F20" w:rsidRDefault="00FB6FFA" w:rsidP="00AE3569">
      <w:pPr>
        <w:pStyle w:val="Default"/>
        <w:jc w:val="center"/>
        <w:rPr>
          <w:rFonts w:cstheme="minorBidi"/>
          <w:color w:val="auto"/>
        </w:rPr>
      </w:pPr>
      <w:r w:rsidRPr="00CA1F20">
        <w:rPr>
          <w:rFonts w:cstheme="minorBidi"/>
          <w:color w:val="auto"/>
        </w:rPr>
        <w:t xml:space="preserve">Floridablanca, </w:t>
      </w:r>
      <w:r w:rsidR="0063071D">
        <w:rPr>
          <w:rFonts w:cstheme="minorBidi"/>
          <w:color w:val="auto"/>
        </w:rPr>
        <w:t>mayo si</w:t>
      </w:r>
      <w:r w:rsidR="009A0B6C">
        <w:rPr>
          <w:rFonts w:cstheme="minorBidi"/>
          <w:color w:val="auto"/>
        </w:rPr>
        <w:t>ete</w:t>
      </w:r>
      <w:r w:rsidR="00E06DA5">
        <w:rPr>
          <w:rFonts w:cstheme="minorBidi"/>
          <w:color w:val="auto"/>
        </w:rPr>
        <w:t xml:space="preserve"> (</w:t>
      </w:r>
      <w:r w:rsidR="009A0B6C">
        <w:rPr>
          <w:rFonts w:cstheme="minorBidi"/>
          <w:color w:val="auto"/>
        </w:rPr>
        <w:t>7</w:t>
      </w:r>
      <w:r w:rsidRPr="00CA1F20">
        <w:rPr>
          <w:rFonts w:cstheme="minorBidi"/>
          <w:color w:val="auto"/>
        </w:rPr>
        <w:t xml:space="preserve">) de dos mil </w:t>
      </w:r>
      <w:r w:rsidR="00C47E95">
        <w:rPr>
          <w:rFonts w:cstheme="minorBidi"/>
          <w:color w:val="auto"/>
        </w:rPr>
        <w:t>diecinueve (2019</w:t>
      </w:r>
      <w:r w:rsidRPr="00CA1F20">
        <w:rPr>
          <w:rFonts w:cstheme="minorBidi"/>
          <w:color w:val="auto"/>
        </w:rPr>
        <w:t>)</w:t>
      </w:r>
    </w:p>
    <w:p w14:paraId="4D79C274" w14:textId="77777777" w:rsidR="00FB6FFA" w:rsidRPr="00CA1F20" w:rsidRDefault="00FB6FFA" w:rsidP="00AE3569">
      <w:pPr>
        <w:pStyle w:val="Default"/>
        <w:rPr>
          <w:rFonts w:cstheme="minorBidi"/>
          <w:color w:val="auto"/>
        </w:rPr>
      </w:pPr>
    </w:p>
    <w:p w14:paraId="5325B095" w14:textId="77777777" w:rsidR="00FB6FFA" w:rsidRPr="00CA1F20" w:rsidRDefault="00856D73" w:rsidP="00AE3569">
      <w:pPr>
        <w:pStyle w:val="Default"/>
        <w:jc w:val="center"/>
        <w:rPr>
          <w:rFonts w:cstheme="minorBidi"/>
          <w:color w:val="auto"/>
        </w:rPr>
      </w:pPr>
      <w:r w:rsidRPr="00CA1F20">
        <w:rPr>
          <w:rFonts w:cstheme="minorBidi"/>
          <w:color w:val="auto"/>
        </w:rPr>
        <w:t xml:space="preserve">I. </w:t>
      </w:r>
      <w:r w:rsidR="00FB6FFA" w:rsidRPr="00CA1F20">
        <w:rPr>
          <w:rFonts w:cstheme="minorBidi"/>
          <w:color w:val="auto"/>
        </w:rPr>
        <w:t>ASUNTO</w:t>
      </w:r>
    </w:p>
    <w:p w14:paraId="67F4392A" w14:textId="77777777" w:rsidR="00FB6FFA" w:rsidRPr="00CA1F20" w:rsidRDefault="00FB6FFA" w:rsidP="00AE3569">
      <w:pPr>
        <w:pStyle w:val="Default"/>
        <w:jc w:val="both"/>
        <w:rPr>
          <w:rFonts w:cstheme="minorBidi"/>
          <w:color w:val="auto"/>
        </w:rPr>
      </w:pPr>
    </w:p>
    <w:p w14:paraId="1F41F5D3" w14:textId="77777777" w:rsidR="00FB6FFA" w:rsidRPr="00CA1F20" w:rsidRDefault="00FB6FFA" w:rsidP="00AE3569">
      <w:pPr>
        <w:pStyle w:val="Default"/>
        <w:jc w:val="both"/>
        <w:rPr>
          <w:rFonts w:cstheme="minorBidi"/>
          <w:color w:val="auto"/>
        </w:rPr>
      </w:pPr>
      <w:r w:rsidRPr="00CA1F20">
        <w:rPr>
          <w:rFonts w:cstheme="minorBidi"/>
          <w:color w:val="auto"/>
        </w:rPr>
        <w:t xml:space="preserve">Proferir fallo dentro de la acción de tutela de la referencia. </w:t>
      </w:r>
    </w:p>
    <w:p w14:paraId="408052E7" w14:textId="77777777" w:rsidR="00D261FA" w:rsidRPr="00CA1F20" w:rsidRDefault="00D261FA" w:rsidP="00AE3569">
      <w:pPr>
        <w:pStyle w:val="Default"/>
        <w:jc w:val="both"/>
        <w:rPr>
          <w:rFonts w:cstheme="minorBidi"/>
          <w:color w:val="auto"/>
        </w:rPr>
      </w:pPr>
    </w:p>
    <w:p w14:paraId="15F94B0D" w14:textId="77777777" w:rsidR="00FB6FFA" w:rsidRPr="00CA1F20" w:rsidRDefault="00C4221C" w:rsidP="00AE3569">
      <w:pPr>
        <w:pStyle w:val="Default"/>
        <w:jc w:val="center"/>
        <w:rPr>
          <w:rFonts w:cstheme="minorBidi"/>
          <w:color w:val="auto"/>
        </w:rPr>
      </w:pPr>
      <w:r w:rsidRPr="00CA1F20">
        <w:rPr>
          <w:rFonts w:cstheme="minorBidi"/>
          <w:color w:val="auto"/>
        </w:rPr>
        <w:t>I</w:t>
      </w:r>
      <w:r w:rsidR="00FB6FFA" w:rsidRPr="00CA1F20">
        <w:rPr>
          <w:rFonts w:cstheme="minorBidi"/>
          <w:color w:val="auto"/>
        </w:rPr>
        <w:t>I. FUNDAMENTOS DE LA ACCIÓN CONSTITUCIONAL Y HECHOS RELEVANTES</w:t>
      </w:r>
    </w:p>
    <w:p w14:paraId="17C0F11D" w14:textId="77777777" w:rsidR="00FD168B" w:rsidRPr="00CA1F20" w:rsidRDefault="00FD168B" w:rsidP="00AE3569">
      <w:pPr>
        <w:pStyle w:val="Default"/>
        <w:jc w:val="both"/>
        <w:rPr>
          <w:rFonts w:cstheme="minorBidi"/>
          <w:color w:val="auto"/>
        </w:rPr>
      </w:pPr>
    </w:p>
    <w:p w14:paraId="751EB758" w14:textId="0E3EC474" w:rsidR="004519CE" w:rsidRDefault="0063071D" w:rsidP="00AE3569">
      <w:pPr>
        <w:pStyle w:val="Default"/>
        <w:jc w:val="both"/>
        <w:rPr>
          <w:rFonts w:cstheme="minorBidi"/>
          <w:color w:val="auto"/>
        </w:rPr>
      </w:pPr>
      <w:r>
        <w:rPr>
          <w:rFonts w:cstheme="minorBidi"/>
          <w:color w:val="auto"/>
        </w:rPr>
        <w:t xml:space="preserve">El señor José </w:t>
      </w:r>
      <w:proofErr w:type="spellStart"/>
      <w:r>
        <w:rPr>
          <w:rFonts w:cstheme="minorBidi"/>
          <w:color w:val="auto"/>
        </w:rPr>
        <w:t>Gualdrón</w:t>
      </w:r>
      <w:proofErr w:type="spellEnd"/>
      <w:r>
        <w:rPr>
          <w:rFonts w:cstheme="minorBidi"/>
          <w:color w:val="auto"/>
        </w:rPr>
        <w:t xml:space="preserve"> Guerrero</w:t>
      </w:r>
      <w:r w:rsidR="004519CE">
        <w:rPr>
          <w:rFonts w:cstheme="minorBidi"/>
          <w:color w:val="auto"/>
        </w:rPr>
        <w:t xml:space="preserve"> </w:t>
      </w:r>
      <w:r w:rsidR="004519CE" w:rsidRPr="00CA1F20">
        <w:rPr>
          <w:rFonts w:cstheme="minorBidi"/>
          <w:color w:val="auto"/>
        </w:rPr>
        <w:t xml:space="preserve">el </w:t>
      </w:r>
      <w:r>
        <w:rPr>
          <w:rFonts w:cstheme="minorBidi"/>
          <w:color w:val="auto"/>
        </w:rPr>
        <w:t>19</w:t>
      </w:r>
      <w:r w:rsidR="004519CE">
        <w:rPr>
          <w:rFonts w:cstheme="minorBidi"/>
          <w:color w:val="auto"/>
        </w:rPr>
        <w:t xml:space="preserve"> </w:t>
      </w:r>
      <w:r w:rsidR="004519CE" w:rsidRPr="00CA1F20">
        <w:rPr>
          <w:rFonts w:cstheme="minorBidi"/>
          <w:color w:val="auto"/>
        </w:rPr>
        <w:t xml:space="preserve">de </w:t>
      </w:r>
      <w:r w:rsidR="004519CE">
        <w:rPr>
          <w:rFonts w:cstheme="minorBidi"/>
          <w:color w:val="auto"/>
        </w:rPr>
        <w:t>febrero</w:t>
      </w:r>
      <w:r w:rsidR="004519CE" w:rsidRPr="00CA1F20">
        <w:rPr>
          <w:rFonts w:cstheme="minorBidi"/>
          <w:color w:val="auto"/>
        </w:rPr>
        <w:t xml:space="preserve"> </w:t>
      </w:r>
      <w:r w:rsidR="004519CE">
        <w:rPr>
          <w:rFonts w:cstheme="minorBidi"/>
          <w:color w:val="auto"/>
        </w:rPr>
        <w:t>de 2019</w:t>
      </w:r>
      <w:r w:rsidR="00C47E95">
        <w:rPr>
          <w:rFonts w:cstheme="minorBidi"/>
          <w:color w:val="auto"/>
        </w:rPr>
        <w:t>,</w:t>
      </w:r>
      <w:r w:rsidR="004519CE">
        <w:rPr>
          <w:rFonts w:cstheme="minorBidi"/>
          <w:color w:val="auto"/>
        </w:rPr>
        <w:t xml:space="preserve"> radicó un escrito</w:t>
      </w:r>
      <w:r w:rsidR="004519CE" w:rsidRPr="00CA1F20">
        <w:rPr>
          <w:rFonts w:cstheme="minorBidi"/>
          <w:color w:val="auto"/>
        </w:rPr>
        <w:t xml:space="preserve"> mediante el cual ejerció su derecho </w:t>
      </w:r>
      <w:r w:rsidR="004519CE">
        <w:rPr>
          <w:rFonts w:cstheme="minorBidi"/>
          <w:color w:val="auto"/>
        </w:rPr>
        <w:t xml:space="preserve">fundamental </w:t>
      </w:r>
      <w:r w:rsidR="004519CE" w:rsidRPr="00CA1F20">
        <w:rPr>
          <w:rFonts w:cstheme="minorBidi"/>
          <w:color w:val="auto"/>
        </w:rPr>
        <w:t>de petición</w:t>
      </w:r>
      <w:r>
        <w:rPr>
          <w:rFonts w:cstheme="minorBidi"/>
          <w:color w:val="auto"/>
        </w:rPr>
        <w:t xml:space="preserve"> ante el Banco Inmobiliario de Floridablanca</w:t>
      </w:r>
      <w:r w:rsidR="00535A08">
        <w:rPr>
          <w:rFonts w:cstheme="minorBidi"/>
          <w:color w:val="auto"/>
        </w:rPr>
        <w:t xml:space="preserve"> donde solicitó los nombres de los beneficiarios de un proyecto de vivienda</w:t>
      </w:r>
      <w:r w:rsidR="004519CE">
        <w:rPr>
          <w:rFonts w:cstheme="minorBidi"/>
          <w:color w:val="auto"/>
        </w:rPr>
        <w:t xml:space="preserve">. </w:t>
      </w:r>
      <w:r w:rsidR="00535A08">
        <w:rPr>
          <w:rFonts w:cstheme="minorBidi"/>
          <w:color w:val="auto"/>
        </w:rPr>
        <w:t>I</w:t>
      </w:r>
      <w:r w:rsidR="00027DE7">
        <w:rPr>
          <w:rFonts w:cstheme="minorBidi"/>
          <w:color w:val="auto"/>
        </w:rPr>
        <w:t>nconform</w:t>
      </w:r>
      <w:r w:rsidR="00535A08">
        <w:rPr>
          <w:rFonts w:cstheme="minorBidi"/>
          <w:color w:val="auto"/>
        </w:rPr>
        <w:t>e con</w:t>
      </w:r>
      <w:r w:rsidR="00027DE7">
        <w:rPr>
          <w:rFonts w:cstheme="minorBidi"/>
          <w:color w:val="auto"/>
        </w:rPr>
        <w:t xml:space="preserve"> la respuesta, </w:t>
      </w:r>
      <w:r w:rsidR="004519CE">
        <w:rPr>
          <w:rFonts w:cstheme="minorBidi"/>
          <w:color w:val="auto"/>
        </w:rPr>
        <w:t>presentó acción de tutela en búsqueda del respectivo amparo.</w:t>
      </w:r>
    </w:p>
    <w:p w14:paraId="5FEEB2A2" w14:textId="47B6D2F2" w:rsidR="00B2754E" w:rsidRPr="00CA1F20" w:rsidRDefault="00B2754E" w:rsidP="004519CE">
      <w:pPr>
        <w:pStyle w:val="Default"/>
        <w:jc w:val="both"/>
        <w:rPr>
          <w:rFonts w:cstheme="minorBidi"/>
          <w:color w:val="auto"/>
        </w:rPr>
      </w:pPr>
    </w:p>
    <w:p w14:paraId="59705DD6" w14:textId="77777777" w:rsidR="00FB6FFA" w:rsidRPr="00CA1F20" w:rsidRDefault="00941468" w:rsidP="00AE3569">
      <w:pPr>
        <w:pStyle w:val="Default"/>
        <w:jc w:val="center"/>
        <w:rPr>
          <w:rFonts w:cstheme="minorBidi"/>
          <w:color w:val="auto"/>
        </w:rPr>
      </w:pPr>
      <w:r w:rsidRPr="00CA1F20">
        <w:rPr>
          <w:rFonts w:cstheme="minorBidi"/>
          <w:color w:val="auto"/>
        </w:rPr>
        <w:t>I</w:t>
      </w:r>
      <w:r w:rsidR="00FB6FFA" w:rsidRPr="00CA1F20">
        <w:rPr>
          <w:rFonts w:cstheme="minorBidi"/>
          <w:color w:val="auto"/>
        </w:rPr>
        <w:t xml:space="preserve">II. TRÁMITE ADELANTADO Y RESPUESTA DE LA ENTIDAD </w:t>
      </w:r>
      <w:r w:rsidR="003E52C5" w:rsidRPr="00CA1F20">
        <w:rPr>
          <w:rFonts w:cstheme="minorBidi"/>
          <w:color w:val="auto"/>
        </w:rPr>
        <w:t>INVOLUCRADA</w:t>
      </w:r>
    </w:p>
    <w:p w14:paraId="46CCB601" w14:textId="77777777" w:rsidR="00B067C9" w:rsidRPr="00CA1F20" w:rsidRDefault="00B067C9" w:rsidP="00AE3569">
      <w:pPr>
        <w:pStyle w:val="Default"/>
        <w:jc w:val="both"/>
        <w:rPr>
          <w:rFonts w:cstheme="minorBidi"/>
          <w:color w:val="auto"/>
        </w:rPr>
      </w:pPr>
    </w:p>
    <w:p w14:paraId="366F2758" w14:textId="1C2182D6" w:rsidR="00B2754E" w:rsidRPr="00CA1F20" w:rsidRDefault="00941468" w:rsidP="00AE3569">
      <w:pPr>
        <w:pStyle w:val="Default"/>
        <w:jc w:val="both"/>
        <w:rPr>
          <w:rFonts w:cstheme="minorBidi"/>
          <w:color w:val="auto"/>
        </w:rPr>
      </w:pPr>
      <w:r w:rsidRPr="00CA1F20">
        <w:rPr>
          <w:rFonts w:cstheme="minorBidi"/>
          <w:color w:val="auto"/>
        </w:rPr>
        <w:t>3</w:t>
      </w:r>
      <w:r w:rsidR="00FB6FFA" w:rsidRPr="00CA1F20">
        <w:rPr>
          <w:rFonts w:cstheme="minorBidi"/>
          <w:color w:val="auto"/>
        </w:rPr>
        <w:t>.1.</w:t>
      </w:r>
      <w:r w:rsidR="003B1AC2" w:rsidRPr="00CA1F20">
        <w:rPr>
          <w:rFonts w:cstheme="minorBidi"/>
          <w:color w:val="auto"/>
        </w:rPr>
        <w:t xml:space="preserve"> Mediante auto del </w:t>
      </w:r>
      <w:r w:rsidR="0063071D">
        <w:rPr>
          <w:rFonts w:cstheme="minorBidi"/>
          <w:color w:val="auto"/>
        </w:rPr>
        <w:t>22 de abril</w:t>
      </w:r>
      <w:r w:rsidR="0087022F" w:rsidRPr="00CA1F20">
        <w:rPr>
          <w:rFonts w:cstheme="minorBidi"/>
          <w:color w:val="auto"/>
        </w:rPr>
        <w:t>,</w:t>
      </w:r>
      <w:r w:rsidR="003B1AC2" w:rsidRPr="00CA1F20">
        <w:rPr>
          <w:rFonts w:cstheme="minorBidi"/>
          <w:color w:val="auto"/>
        </w:rPr>
        <w:t xml:space="preserve"> </w:t>
      </w:r>
      <w:r w:rsidR="002A61B1">
        <w:rPr>
          <w:rFonts w:cstheme="minorBidi"/>
          <w:color w:val="auto"/>
        </w:rPr>
        <w:t>este juzgado avocó conocimiento y</w:t>
      </w:r>
      <w:r w:rsidR="003B1AC2" w:rsidRPr="00CA1F20">
        <w:rPr>
          <w:rFonts w:cstheme="minorBidi"/>
          <w:color w:val="auto"/>
        </w:rPr>
        <w:t xml:space="preserve"> ordenó correr traslado </w:t>
      </w:r>
      <w:r w:rsidR="00A726E3" w:rsidRPr="002E131A">
        <w:rPr>
          <w:rFonts w:eastAsia="Times New Roman" w:cs="Segoe UI"/>
          <w:lang w:eastAsia="es-CO"/>
        </w:rPr>
        <w:t>a la</w:t>
      </w:r>
      <w:r w:rsidR="0063071D">
        <w:rPr>
          <w:rFonts w:eastAsia="Times New Roman" w:cs="Segoe UI"/>
          <w:lang w:eastAsia="es-CO"/>
        </w:rPr>
        <w:t>s</w:t>
      </w:r>
      <w:r w:rsidR="00A726E3" w:rsidRPr="002E131A">
        <w:rPr>
          <w:rFonts w:eastAsia="Times New Roman" w:cs="Segoe UI"/>
          <w:lang w:eastAsia="es-CO"/>
        </w:rPr>
        <w:t> accionada</w:t>
      </w:r>
      <w:r w:rsidR="0063071D">
        <w:rPr>
          <w:rFonts w:eastAsia="Times New Roman" w:cs="Segoe UI"/>
          <w:lang w:eastAsia="es-CO"/>
        </w:rPr>
        <w:t>s</w:t>
      </w:r>
      <w:r w:rsidR="00A726E3" w:rsidRPr="002E131A">
        <w:rPr>
          <w:rFonts w:eastAsia="Times New Roman" w:cs="Segoe UI"/>
          <w:lang w:eastAsia="es-CO"/>
        </w:rPr>
        <w:t>.</w:t>
      </w:r>
    </w:p>
    <w:p w14:paraId="614532C8" w14:textId="77777777" w:rsidR="0087022F" w:rsidRPr="00CA1F20" w:rsidRDefault="0087022F" w:rsidP="00AE3569">
      <w:pPr>
        <w:pStyle w:val="Default"/>
        <w:jc w:val="both"/>
        <w:rPr>
          <w:rFonts w:cstheme="minorBidi"/>
          <w:color w:val="auto"/>
        </w:rPr>
      </w:pPr>
    </w:p>
    <w:p w14:paraId="3205B044" w14:textId="6AAA4300" w:rsidR="006B5F59" w:rsidRDefault="00EB653D" w:rsidP="00AE3569">
      <w:pPr>
        <w:pStyle w:val="Default"/>
        <w:jc w:val="both"/>
        <w:rPr>
          <w:rFonts w:cstheme="minorBidi"/>
          <w:color w:val="auto"/>
        </w:rPr>
      </w:pPr>
      <w:r w:rsidRPr="00CA1F20">
        <w:rPr>
          <w:rFonts w:cstheme="minorBidi"/>
          <w:color w:val="auto"/>
        </w:rPr>
        <w:t>3</w:t>
      </w:r>
      <w:r w:rsidR="00FA1FA0" w:rsidRPr="00CA1F20">
        <w:rPr>
          <w:rFonts w:cstheme="minorBidi"/>
          <w:color w:val="auto"/>
        </w:rPr>
        <w:t xml:space="preserve">.2. </w:t>
      </w:r>
      <w:r w:rsidR="006B5F59">
        <w:rPr>
          <w:rFonts w:cstheme="minorBidi"/>
          <w:color w:val="auto"/>
        </w:rPr>
        <w:t xml:space="preserve">El 26 de abril el municipio de Floridablanca alega ausencia de legitimación por pasiva, toda vez que la petición a la que se refiere el accionante fue radicada el 19 de febrero de 2019 ante el Banco Inmobiliario de Floridablanca, razón por la cual solicita ser desvinculado de la presente acción. </w:t>
      </w:r>
    </w:p>
    <w:p w14:paraId="24839947" w14:textId="77777777" w:rsidR="006B5F59" w:rsidRDefault="006B5F59" w:rsidP="00AE3569">
      <w:pPr>
        <w:pStyle w:val="Default"/>
        <w:jc w:val="both"/>
        <w:rPr>
          <w:rFonts w:cstheme="minorBidi"/>
          <w:color w:val="auto"/>
        </w:rPr>
      </w:pPr>
    </w:p>
    <w:p w14:paraId="5BA768EB" w14:textId="3C8ABE0B" w:rsidR="004519CE" w:rsidRDefault="006B5F59" w:rsidP="00AE3569">
      <w:pPr>
        <w:pStyle w:val="Default"/>
        <w:jc w:val="both"/>
        <w:rPr>
          <w:rFonts w:cstheme="minorBidi"/>
          <w:color w:val="auto"/>
        </w:rPr>
      </w:pPr>
      <w:r>
        <w:rPr>
          <w:rFonts w:cstheme="minorBidi"/>
          <w:color w:val="auto"/>
        </w:rPr>
        <w:t xml:space="preserve">3.3. </w:t>
      </w:r>
      <w:r w:rsidR="00FB6439">
        <w:rPr>
          <w:rFonts w:cstheme="minorBidi"/>
          <w:color w:val="auto"/>
        </w:rPr>
        <w:t>E</w:t>
      </w:r>
      <w:r w:rsidR="00FA1FA0" w:rsidRPr="00CA1F20">
        <w:rPr>
          <w:rFonts w:cstheme="minorBidi"/>
          <w:color w:val="auto"/>
        </w:rPr>
        <w:t xml:space="preserve">l </w:t>
      </w:r>
      <w:r>
        <w:rPr>
          <w:rFonts w:cstheme="minorBidi"/>
          <w:color w:val="auto"/>
        </w:rPr>
        <w:t>26 de abril</w:t>
      </w:r>
      <w:r w:rsidR="004519CE">
        <w:rPr>
          <w:rFonts w:cstheme="minorBidi"/>
          <w:color w:val="auto"/>
        </w:rPr>
        <w:t xml:space="preserve"> </w:t>
      </w:r>
      <w:r>
        <w:rPr>
          <w:rFonts w:cstheme="minorBidi"/>
          <w:color w:val="auto"/>
        </w:rPr>
        <w:t xml:space="preserve">el Banco Inmobiliario </w:t>
      </w:r>
      <w:r w:rsidR="00027DE7">
        <w:rPr>
          <w:rFonts w:cstheme="minorBidi"/>
          <w:color w:val="auto"/>
        </w:rPr>
        <w:t>allegó</w:t>
      </w:r>
      <w:r w:rsidR="004519CE">
        <w:rPr>
          <w:rFonts w:cstheme="minorBidi"/>
          <w:color w:val="auto"/>
        </w:rPr>
        <w:t xml:space="preserve"> copia de la respuesta que </w:t>
      </w:r>
      <w:r w:rsidR="00721126">
        <w:rPr>
          <w:rFonts w:cstheme="minorBidi"/>
          <w:color w:val="auto"/>
        </w:rPr>
        <w:t>oportunamente</w:t>
      </w:r>
      <w:r w:rsidR="004519CE">
        <w:rPr>
          <w:rFonts w:cstheme="minorBidi"/>
          <w:color w:val="auto"/>
        </w:rPr>
        <w:t xml:space="preserve"> remitió al accionante. Allí se observa que se</w:t>
      </w:r>
      <w:r w:rsidR="00027DE7">
        <w:rPr>
          <w:rFonts w:cstheme="minorBidi"/>
          <w:color w:val="auto"/>
        </w:rPr>
        <w:t xml:space="preserve"> pronunció sobre todo lo pedido, excepto los datos exactos de la</w:t>
      </w:r>
      <w:r w:rsidR="00E06DA5">
        <w:rPr>
          <w:rFonts w:cstheme="minorBidi"/>
          <w:color w:val="auto"/>
        </w:rPr>
        <w:t>s</w:t>
      </w:r>
      <w:r w:rsidR="00027DE7">
        <w:rPr>
          <w:rFonts w:cstheme="minorBidi"/>
          <w:color w:val="auto"/>
        </w:rPr>
        <w:t xml:space="preserve"> personas beneficiarias del Proyecto Villa Renacer por considerar que son datos que gozan de reserva.  </w:t>
      </w:r>
      <w:r w:rsidR="004519CE">
        <w:rPr>
          <w:rFonts w:cstheme="minorBidi"/>
          <w:color w:val="auto"/>
        </w:rPr>
        <w:t xml:space="preserve"> </w:t>
      </w:r>
    </w:p>
    <w:p w14:paraId="774D3DDE" w14:textId="77777777" w:rsidR="004519CE" w:rsidRDefault="004519CE" w:rsidP="00AE3569">
      <w:pPr>
        <w:pStyle w:val="Default"/>
        <w:jc w:val="both"/>
        <w:rPr>
          <w:rFonts w:cstheme="minorBidi"/>
          <w:color w:val="auto"/>
        </w:rPr>
      </w:pPr>
    </w:p>
    <w:p w14:paraId="0E1ECE2C" w14:textId="54A1E942" w:rsidR="00B630CD" w:rsidRPr="00CA1F20" w:rsidRDefault="00721126" w:rsidP="00AE3569">
      <w:pPr>
        <w:pStyle w:val="Default"/>
        <w:jc w:val="both"/>
        <w:rPr>
          <w:rFonts w:cstheme="minorBidi"/>
          <w:color w:val="auto"/>
        </w:rPr>
      </w:pPr>
      <w:r>
        <w:rPr>
          <w:rFonts w:cstheme="minorBidi"/>
          <w:color w:val="auto"/>
        </w:rPr>
        <w:t>3.4</w:t>
      </w:r>
      <w:r w:rsidR="00DF05A1">
        <w:rPr>
          <w:rFonts w:cstheme="minorBidi"/>
          <w:color w:val="auto"/>
        </w:rPr>
        <w:t xml:space="preserve">. </w:t>
      </w:r>
      <w:r w:rsidR="00B630CD" w:rsidRPr="00CA1F20">
        <w:rPr>
          <w:rFonts w:cstheme="minorBidi"/>
        </w:rPr>
        <w:t xml:space="preserve">Con el trámite antes indicado este Despacho estima integrado debidamente el contradictorio. </w:t>
      </w:r>
      <w:r w:rsidR="00B630CD" w:rsidRPr="00CA1F20">
        <w:t xml:space="preserve">Al respecto, la Honorable Corte Constitucional en Auto 059 de 2011 estableció cuál es la fórmula que debe aplicarse cuando el Juez de segunda instancia considere que el </w:t>
      </w:r>
      <w:r w:rsidR="00B630CD" w:rsidRPr="00CA1F20">
        <w:rPr>
          <w:i/>
          <w:iCs/>
        </w:rPr>
        <w:t xml:space="preserve">A quo </w:t>
      </w:r>
      <w:r w:rsidR="00B630CD" w:rsidRPr="00CA1F20">
        <w:t xml:space="preserve">omitió vincular alguna entidad que se pudiera ver afectada con la decisión. Dijo la Corte en dicha providencia que lo procedente era que el </w:t>
      </w:r>
      <w:r w:rsidR="00B630CD" w:rsidRPr="00CA1F20">
        <w:rPr>
          <w:i/>
          <w:iCs/>
        </w:rPr>
        <w:t xml:space="preserve">Ad </w:t>
      </w:r>
      <w:proofErr w:type="spellStart"/>
      <w:r w:rsidR="00B630CD" w:rsidRPr="00CA1F20">
        <w:rPr>
          <w:i/>
          <w:iCs/>
        </w:rPr>
        <w:t>quem</w:t>
      </w:r>
      <w:proofErr w:type="spellEnd"/>
      <w:r w:rsidR="00B630CD" w:rsidRPr="00CA1F20">
        <w:rPr>
          <w:i/>
          <w:iCs/>
        </w:rPr>
        <w:t xml:space="preserve"> </w:t>
      </w:r>
      <w:r w:rsidR="00B630CD" w:rsidRPr="00CA1F20">
        <w:t>resuelva la impugnación vinculando a la entidad que hubiese echado de menos y no decretar la nulidad de lo actuado, esto en aras de evitar dilaciones injustificadas.</w:t>
      </w:r>
    </w:p>
    <w:p w14:paraId="4ED81C4A" w14:textId="77777777" w:rsidR="00006A47" w:rsidRDefault="00006A47" w:rsidP="00AE3569">
      <w:pPr>
        <w:pStyle w:val="Default"/>
        <w:jc w:val="both"/>
        <w:rPr>
          <w:color w:val="auto"/>
        </w:rPr>
      </w:pPr>
    </w:p>
    <w:p w14:paraId="53C22676" w14:textId="77777777" w:rsidR="00FB6FFA" w:rsidRPr="00CA1F20" w:rsidRDefault="00FB6FFA" w:rsidP="00AE3569">
      <w:pPr>
        <w:pStyle w:val="Default"/>
        <w:jc w:val="center"/>
        <w:rPr>
          <w:color w:val="auto"/>
        </w:rPr>
      </w:pPr>
      <w:r w:rsidRPr="00CA1F20">
        <w:rPr>
          <w:color w:val="auto"/>
        </w:rPr>
        <w:t>I</w:t>
      </w:r>
      <w:r w:rsidR="00EB653D" w:rsidRPr="00CA1F20">
        <w:rPr>
          <w:color w:val="auto"/>
        </w:rPr>
        <w:t>V</w:t>
      </w:r>
      <w:r w:rsidRPr="00CA1F20">
        <w:rPr>
          <w:color w:val="auto"/>
        </w:rPr>
        <w:t>. CONSIDERACIONES</w:t>
      </w:r>
    </w:p>
    <w:p w14:paraId="5A4A6611" w14:textId="77777777" w:rsidR="00B067C9" w:rsidRPr="00CA1F20" w:rsidRDefault="00B067C9" w:rsidP="00AE3569">
      <w:pPr>
        <w:pStyle w:val="Default"/>
        <w:jc w:val="both"/>
        <w:rPr>
          <w:color w:val="auto"/>
        </w:rPr>
      </w:pPr>
    </w:p>
    <w:p w14:paraId="733A74E9" w14:textId="77777777" w:rsidR="00FB6FFA" w:rsidRPr="00CA1F20" w:rsidRDefault="00EB653D" w:rsidP="00AE3569">
      <w:pPr>
        <w:pStyle w:val="Default"/>
        <w:jc w:val="both"/>
        <w:rPr>
          <w:color w:val="auto"/>
        </w:rPr>
      </w:pPr>
      <w:r w:rsidRPr="00CA1F20">
        <w:rPr>
          <w:color w:val="auto"/>
        </w:rPr>
        <w:t>4</w:t>
      </w:r>
      <w:r w:rsidR="00FB6FFA" w:rsidRPr="00CA1F20">
        <w:rPr>
          <w:color w:val="auto"/>
        </w:rPr>
        <w:t>.1. Competencia</w:t>
      </w:r>
      <w:r w:rsidRPr="00CA1F20">
        <w:rPr>
          <w:color w:val="auto"/>
        </w:rPr>
        <w:t>.</w:t>
      </w:r>
      <w:r w:rsidR="00FB6FFA" w:rsidRPr="00CA1F20">
        <w:rPr>
          <w:color w:val="auto"/>
        </w:rPr>
        <w:t xml:space="preserve"> </w:t>
      </w:r>
    </w:p>
    <w:p w14:paraId="24A40D93" w14:textId="77777777" w:rsidR="002A4FC6" w:rsidRPr="00CA1F20" w:rsidRDefault="002A4FC6" w:rsidP="00AE3569">
      <w:pPr>
        <w:pStyle w:val="Default"/>
        <w:jc w:val="both"/>
        <w:rPr>
          <w:color w:val="auto"/>
        </w:rPr>
      </w:pPr>
    </w:p>
    <w:p w14:paraId="44A98EDA" w14:textId="77777777" w:rsidR="00B630CD" w:rsidRPr="00CA1F20" w:rsidRDefault="00B630CD" w:rsidP="00AE3569">
      <w:pPr>
        <w:pStyle w:val="Textoindependiente3"/>
        <w:rPr>
          <w:rFonts w:ascii="Bookman Old Style" w:hAnsi="Bookman Old Style"/>
          <w:iCs/>
          <w:sz w:val="24"/>
          <w:szCs w:val="24"/>
        </w:rPr>
      </w:pPr>
      <w:r w:rsidRPr="00CA1F20">
        <w:rPr>
          <w:rFonts w:ascii="Bookman Old Style" w:hAnsi="Bookman Old Style"/>
          <w:iCs/>
          <w:sz w:val="24"/>
          <w:szCs w:val="24"/>
        </w:rPr>
        <w:t xml:space="preserve">Este juzgado es competente para conocer de la presente actuación de conformidad con lo previsto en los artículos 86 de la Constitución Política y 37 del Decreto 2591 de 1991, en consonancia con las reglas de reparto previstas en el Decreto </w:t>
      </w:r>
      <w:r w:rsidRPr="00CA1F20">
        <w:rPr>
          <w:rFonts w:ascii="Bookman Old Style" w:eastAsia="Batang" w:hAnsi="Bookman Old Style" w:cs="Bookman Old Style"/>
          <w:sz w:val="24"/>
          <w:szCs w:val="24"/>
        </w:rPr>
        <w:t>1983 de 2017</w:t>
      </w:r>
      <w:r w:rsidRPr="00CA1F20">
        <w:rPr>
          <w:rFonts w:ascii="Bookman Old Style" w:hAnsi="Bookman Old Style"/>
          <w:iCs/>
          <w:sz w:val="24"/>
          <w:szCs w:val="24"/>
        </w:rPr>
        <w:t>.</w:t>
      </w:r>
    </w:p>
    <w:p w14:paraId="37DA21DB" w14:textId="77777777" w:rsidR="00006A47" w:rsidRPr="00CA1F20" w:rsidRDefault="00006A47" w:rsidP="00AE3569">
      <w:pPr>
        <w:pStyle w:val="Default"/>
        <w:jc w:val="both"/>
        <w:rPr>
          <w:color w:val="auto"/>
          <w:lang w:val="x-none"/>
        </w:rPr>
      </w:pPr>
    </w:p>
    <w:p w14:paraId="46518E2C" w14:textId="0C7AE930" w:rsidR="00FB6FFA" w:rsidRPr="00CA1F20" w:rsidRDefault="00EB653D" w:rsidP="00AE3569">
      <w:pPr>
        <w:pStyle w:val="Default"/>
        <w:jc w:val="both"/>
        <w:rPr>
          <w:color w:val="auto"/>
        </w:rPr>
      </w:pPr>
      <w:r w:rsidRPr="00CA1F20">
        <w:rPr>
          <w:color w:val="auto"/>
        </w:rPr>
        <w:t>4</w:t>
      </w:r>
      <w:r w:rsidR="00FB6FFA" w:rsidRPr="00CA1F20">
        <w:rPr>
          <w:color w:val="auto"/>
        </w:rPr>
        <w:t>.2. Problema</w:t>
      </w:r>
      <w:r w:rsidR="00F2241F">
        <w:rPr>
          <w:color w:val="auto"/>
        </w:rPr>
        <w:t xml:space="preserve"> jurídico</w:t>
      </w:r>
      <w:r w:rsidR="007E254D" w:rsidRPr="00CA1F20">
        <w:rPr>
          <w:color w:val="auto"/>
        </w:rPr>
        <w:t>.</w:t>
      </w:r>
    </w:p>
    <w:p w14:paraId="41C80FFE" w14:textId="77777777" w:rsidR="002A4FC6" w:rsidRPr="00CA1F20" w:rsidRDefault="002A4FC6" w:rsidP="00AE3569">
      <w:pPr>
        <w:pStyle w:val="Default"/>
        <w:jc w:val="both"/>
        <w:rPr>
          <w:color w:val="auto"/>
        </w:rPr>
      </w:pPr>
    </w:p>
    <w:p w14:paraId="41B919B7" w14:textId="3C1C9868" w:rsidR="007204AE" w:rsidRDefault="00AB0A56" w:rsidP="00AE3569">
      <w:pPr>
        <w:pStyle w:val="Textoindependiente3"/>
        <w:ind w:right="51"/>
        <w:rPr>
          <w:rFonts w:ascii="Bookman Old Style" w:hAnsi="Bookman Old Style"/>
          <w:sz w:val="24"/>
          <w:szCs w:val="24"/>
          <w:lang w:val="es-CO"/>
        </w:rPr>
      </w:pPr>
      <w:r w:rsidRPr="00CA1F20">
        <w:rPr>
          <w:rFonts w:ascii="Bookman Old Style" w:hAnsi="Bookman Old Style"/>
          <w:sz w:val="24"/>
          <w:szCs w:val="24"/>
        </w:rPr>
        <w:t>¿</w:t>
      </w:r>
      <w:r w:rsidR="007204AE">
        <w:rPr>
          <w:rFonts w:ascii="Bookman Old Style" w:hAnsi="Bookman Old Style"/>
          <w:sz w:val="24"/>
          <w:szCs w:val="24"/>
          <w:lang w:val="es-CO"/>
        </w:rPr>
        <w:t>Los nombres y números de</w:t>
      </w:r>
      <w:r w:rsidR="00535A08">
        <w:rPr>
          <w:rFonts w:ascii="Bookman Old Style" w:hAnsi="Bookman Old Style"/>
          <w:sz w:val="24"/>
          <w:szCs w:val="24"/>
          <w:lang w:val="es-CO"/>
        </w:rPr>
        <w:t xml:space="preserve"> cédula de los beneficiarios de un proyecto de vivienda son datos sometidos a reserva?</w:t>
      </w:r>
    </w:p>
    <w:p w14:paraId="591C6AA9" w14:textId="77777777" w:rsidR="007204AE" w:rsidRDefault="007204AE" w:rsidP="00AE3569">
      <w:pPr>
        <w:pStyle w:val="Textoindependiente3"/>
        <w:ind w:right="51"/>
        <w:rPr>
          <w:rFonts w:ascii="Bookman Old Style" w:hAnsi="Bookman Old Style"/>
          <w:sz w:val="24"/>
          <w:szCs w:val="24"/>
          <w:lang w:val="es-CO"/>
        </w:rPr>
      </w:pPr>
    </w:p>
    <w:p w14:paraId="549F6B9B" w14:textId="09DE1128" w:rsidR="00006EBB" w:rsidRPr="002E131A" w:rsidRDefault="00006EBB" w:rsidP="00006EBB">
      <w:pPr>
        <w:pStyle w:val="Textoindependiente3"/>
        <w:ind w:right="-136"/>
        <w:rPr>
          <w:rFonts w:ascii="Bookman Old Style" w:hAnsi="Bookman Old Style"/>
          <w:sz w:val="24"/>
          <w:szCs w:val="24"/>
          <w:lang w:val="es-CO"/>
        </w:rPr>
      </w:pPr>
      <w:r w:rsidRPr="002E131A">
        <w:rPr>
          <w:rFonts w:ascii="Bookman Old Style" w:hAnsi="Bookman Old Style"/>
          <w:sz w:val="24"/>
          <w:szCs w:val="24"/>
          <w:lang w:val="es-CO"/>
        </w:rPr>
        <w:t>4.3.</w:t>
      </w:r>
      <w:r w:rsidRPr="002E131A">
        <w:rPr>
          <w:rFonts w:ascii="Bookman Old Style" w:hAnsi="Bookman Old Style"/>
          <w:sz w:val="24"/>
          <w:szCs w:val="24"/>
        </w:rPr>
        <w:t xml:space="preserve"> </w:t>
      </w:r>
      <w:r w:rsidRPr="005B4A7F">
        <w:rPr>
          <w:rFonts w:ascii="Bookman Old Style" w:hAnsi="Bookman Old Style"/>
          <w:sz w:val="24"/>
          <w:szCs w:val="24"/>
        </w:rPr>
        <w:t>El núcleo esencial del derecho fundamental de petición</w:t>
      </w:r>
      <w:r>
        <w:rPr>
          <w:rFonts w:ascii="Bookman Old Style" w:hAnsi="Bookman Old Style"/>
          <w:sz w:val="24"/>
          <w:szCs w:val="24"/>
          <w:lang w:val="es-CO"/>
        </w:rPr>
        <w:t>;</w:t>
      </w:r>
      <w:r w:rsidRPr="002E131A">
        <w:rPr>
          <w:rFonts w:ascii="Bookman Old Style" w:hAnsi="Bookman Old Style"/>
          <w:sz w:val="24"/>
          <w:szCs w:val="24"/>
          <w:lang w:val="es-CO"/>
        </w:rPr>
        <w:t xml:space="preserve"> </w:t>
      </w:r>
      <w:r w:rsidR="00535A08">
        <w:rPr>
          <w:rFonts w:ascii="Bookman Old Style" w:hAnsi="Bookman Old Style"/>
          <w:sz w:val="24"/>
          <w:szCs w:val="24"/>
          <w:lang w:val="es-CO"/>
        </w:rPr>
        <w:t>qué es un dato público</w:t>
      </w:r>
      <w:r w:rsidRPr="002E131A">
        <w:rPr>
          <w:rFonts w:ascii="Bookman Old Style" w:hAnsi="Bookman Old Style"/>
          <w:sz w:val="24"/>
          <w:szCs w:val="24"/>
          <w:lang w:val="es-CO"/>
        </w:rPr>
        <w:t xml:space="preserve">. </w:t>
      </w:r>
    </w:p>
    <w:p w14:paraId="02F004C3" w14:textId="77777777" w:rsidR="00006EBB" w:rsidRPr="002E131A" w:rsidRDefault="00006EBB" w:rsidP="00006EBB">
      <w:pPr>
        <w:pStyle w:val="Textoindependiente3"/>
        <w:ind w:right="-136"/>
        <w:rPr>
          <w:rFonts w:ascii="Bookman Old Style" w:hAnsi="Bookman Old Style"/>
          <w:sz w:val="24"/>
          <w:szCs w:val="24"/>
          <w:lang w:val="es-CO"/>
        </w:rPr>
      </w:pPr>
    </w:p>
    <w:p w14:paraId="4CF34C16" w14:textId="77777777" w:rsidR="00006EBB" w:rsidRDefault="00006EBB" w:rsidP="00006EBB">
      <w:pPr>
        <w:pStyle w:val="Textoindependiente3"/>
        <w:rPr>
          <w:rFonts w:ascii="Bookman Old Style" w:hAnsi="Bookman Old Style"/>
          <w:sz w:val="24"/>
          <w:szCs w:val="24"/>
        </w:rPr>
      </w:pPr>
      <w:r>
        <w:rPr>
          <w:rFonts w:ascii="Bookman Old Style" w:hAnsi="Bookman Old Style"/>
          <w:sz w:val="24"/>
          <w:szCs w:val="24"/>
        </w:rPr>
        <w:t>4</w:t>
      </w:r>
      <w:r w:rsidRPr="005B4A7F">
        <w:rPr>
          <w:rFonts w:ascii="Bookman Old Style" w:hAnsi="Bookman Old Style"/>
          <w:sz w:val="24"/>
          <w:szCs w:val="24"/>
        </w:rPr>
        <w:t>.3.</w:t>
      </w:r>
      <w:r>
        <w:rPr>
          <w:rFonts w:ascii="Bookman Old Style" w:hAnsi="Bookman Old Style"/>
          <w:sz w:val="24"/>
          <w:szCs w:val="24"/>
        </w:rPr>
        <w:t>1.</w:t>
      </w:r>
      <w:r w:rsidRPr="005B4A7F">
        <w:rPr>
          <w:rFonts w:ascii="Bookman Old Style" w:hAnsi="Bookman Old Style"/>
          <w:sz w:val="24"/>
          <w:szCs w:val="24"/>
        </w:rPr>
        <w:t xml:space="preserve"> El núcleo esencial del derecho fundamental de petición</w:t>
      </w:r>
      <w:r>
        <w:rPr>
          <w:rFonts w:ascii="Bookman Old Style" w:hAnsi="Bookman Old Style"/>
          <w:sz w:val="24"/>
          <w:szCs w:val="24"/>
        </w:rPr>
        <w:t>.</w:t>
      </w:r>
    </w:p>
    <w:p w14:paraId="2CBAB805" w14:textId="77777777" w:rsidR="00006EBB" w:rsidRPr="003A1E1E" w:rsidRDefault="00006EBB" w:rsidP="00006EBB">
      <w:pPr>
        <w:pStyle w:val="Textoindependiente3"/>
        <w:ind w:right="-136"/>
        <w:rPr>
          <w:rFonts w:ascii="Bookman Old Style" w:hAnsi="Bookman Old Style"/>
          <w:sz w:val="24"/>
          <w:szCs w:val="24"/>
        </w:rPr>
      </w:pPr>
    </w:p>
    <w:p w14:paraId="12326200" w14:textId="77777777" w:rsidR="00006EBB" w:rsidRDefault="00006EBB" w:rsidP="00006EBB">
      <w:pPr>
        <w:pStyle w:val="Textoindependiente3"/>
        <w:ind w:right="-136"/>
        <w:rPr>
          <w:rFonts w:ascii="Bookman Old Style" w:hAnsi="Bookman Old Style" w:cs="Arial"/>
          <w:sz w:val="24"/>
          <w:szCs w:val="24"/>
          <w:lang w:val="es-CO"/>
        </w:rPr>
      </w:pPr>
      <w:r>
        <w:rPr>
          <w:rFonts w:ascii="Bookman Old Style" w:hAnsi="Bookman Old Style"/>
          <w:sz w:val="24"/>
          <w:szCs w:val="24"/>
        </w:rPr>
        <w:t xml:space="preserve">El artículo 23 de </w:t>
      </w:r>
      <w:smartTag w:uri="urn:schemas-microsoft-com:office:smarttags" w:element="PersonName">
        <w:smartTagPr>
          <w:attr w:name="ProductID" w:val="la Constituci￳n Pol￭tica"/>
        </w:smartTagPr>
        <w:r>
          <w:rPr>
            <w:rFonts w:ascii="Bookman Old Style" w:hAnsi="Bookman Old Style"/>
            <w:sz w:val="24"/>
            <w:szCs w:val="24"/>
          </w:rPr>
          <w:t>la Constitución Política</w:t>
        </w:r>
      </w:smartTag>
      <w:r>
        <w:rPr>
          <w:rFonts w:ascii="Bookman Old Style" w:hAnsi="Bookman Old Style"/>
          <w:sz w:val="24"/>
          <w:szCs w:val="24"/>
        </w:rPr>
        <w:t xml:space="preserve"> consagra el derecho fundamental de petición. A su vez, la Ley Estatutaria 1755 del 30 de junio de 2015 regula todo lo atiente al mismo, mientras que </w:t>
      </w:r>
      <w:smartTag w:uri="urn:schemas-microsoft-com:office:smarttags" w:element="PersonName">
        <w:smartTagPr>
          <w:attr w:name="ProductID" w:val="La Honorable Corte"/>
        </w:smartTagPr>
        <w:smartTag w:uri="urn:schemas-microsoft-com:office:smarttags" w:element="PersonName">
          <w:smartTagPr>
            <w:attr w:name="ProductID" w:val="La Honorable"/>
          </w:smartTagPr>
          <w:r>
            <w:rPr>
              <w:rFonts w:ascii="Bookman Old Style" w:hAnsi="Bookman Old Style"/>
              <w:sz w:val="24"/>
              <w:szCs w:val="24"/>
            </w:rPr>
            <w:t>la Honorable</w:t>
          </w:r>
        </w:smartTag>
        <w:r>
          <w:rPr>
            <w:rFonts w:ascii="Bookman Old Style" w:hAnsi="Bookman Old Style"/>
            <w:sz w:val="24"/>
            <w:szCs w:val="24"/>
          </w:rPr>
          <w:t xml:space="preserve"> Corte</w:t>
        </w:r>
      </w:smartTag>
      <w:r>
        <w:rPr>
          <w:rFonts w:ascii="Bookman Old Style" w:hAnsi="Bookman Old Style"/>
          <w:sz w:val="24"/>
          <w:szCs w:val="24"/>
        </w:rPr>
        <w:t xml:space="preserve"> Constitucional ha establecido los parámetros bajo los cuales se satisface el derecho de petición, que no son otros sino una respuesta de fondo y acorde con lo solicitado independiente de ser o no favorable a los intereses del peticionario </w:t>
      </w:r>
      <w:r w:rsidRPr="004B3472">
        <w:rPr>
          <w:rFonts w:ascii="Bookman Old Style" w:hAnsi="Bookman Old Style"/>
          <w:sz w:val="24"/>
          <w:szCs w:val="24"/>
        </w:rPr>
        <w:t>y que la misma le sea puesta en conocimiento.</w:t>
      </w:r>
      <w:r w:rsidRPr="000D051E">
        <w:rPr>
          <w:rFonts w:ascii="Bookman Old Style" w:hAnsi="Bookman Old Style"/>
          <w:sz w:val="24"/>
          <w:szCs w:val="24"/>
        </w:rPr>
        <w:t xml:space="preserve"> </w:t>
      </w:r>
      <w:r>
        <w:rPr>
          <w:rFonts w:ascii="Bookman Old Style" w:hAnsi="Bookman Old Style"/>
          <w:sz w:val="24"/>
          <w:szCs w:val="24"/>
        </w:rPr>
        <w:t>Sumado a que el derecho de petición no está sujeto a formalidades, por lo que no es necesario titularlo como tal ni invocar las normas que lo gobiernan (ver, entre otras, Sentencia T-146 de 2012)</w:t>
      </w:r>
    </w:p>
    <w:p w14:paraId="470BC858" w14:textId="77777777" w:rsidR="00962EA3" w:rsidRPr="00CA1F20" w:rsidRDefault="00962EA3" w:rsidP="00AE3569">
      <w:pPr>
        <w:pStyle w:val="Textoindependiente3"/>
        <w:ind w:right="51"/>
        <w:rPr>
          <w:rFonts w:ascii="Bookman Old Style" w:hAnsi="Bookman Old Style"/>
          <w:sz w:val="24"/>
          <w:szCs w:val="24"/>
          <w:lang w:val="es-CO"/>
        </w:rPr>
      </w:pPr>
    </w:p>
    <w:p w14:paraId="2A11ABF7" w14:textId="784F36D3" w:rsidR="00962EA3" w:rsidRPr="00CA1F20" w:rsidRDefault="00EB653D" w:rsidP="00AE3569">
      <w:pPr>
        <w:pStyle w:val="Textoindependiente3"/>
        <w:ind w:right="51"/>
        <w:rPr>
          <w:rFonts w:ascii="Bookman Old Style" w:hAnsi="Bookman Old Style"/>
          <w:sz w:val="24"/>
          <w:szCs w:val="24"/>
          <w:lang w:val="es-ES_tradnl"/>
        </w:rPr>
      </w:pPr>
      <w:r w:rsidRPr="00CA1F20">
        <w:rPr>
          <w:rFonts w:ascii="Bookman Old Style" w:hAnsi="Bookman Old Style"/>
          <w:sz w:val="24"/>
          <w:szCs w:val="24"/>
          <w:lang w:val="es-CO"/>
        </w:rPr>
        <w:t>4</w:t>
      </w:r>
      <w:r w:rsidR="00442DDC" w:rsidRPr="00CA1F20">
        <w:rPr>
          <w:rFonts w:ascii="Bookman Old Style" w:hAnsi="Bookman Old Style"/>
          <w:sz w:val="24"/>
          <w:szCs w:val="24"/>
          <w:lang w:val="es-CO"/>
        </w:rPr>
        <w:t>.3.</w:t>
      </w:r>
      <w:r w:rsidR="004F1981">
        <w:rPr>
          <w:rFonts w:ascii="Bookman Old Style" w:hAnsi="Bookman Old Style"/>
          <w:sz w:val="24"/>
          <w:szCs w:val="24"/>
          <w:lang w:val="es-CO"/>
        </w:rPr>
        <w:t>2</w:t>
      </w:r>
      <w:r w:rsidR="00962EA3" w:rsidRPr="00CA1F20">
        <w:rPr>
          <w:rFonts w:ascii="Bookman Old Style" w:hAnsi="Bookman Old Style"/>
          <w:sz w:val="24"/>
          <w:szCs w:val="24"/>
          <w:lang w:val="es-CO"/>
        </w:rPr>
        <w:t xml:space="preserve">. </w:t>
      </w:r>
      <w:r w:rsidR="00535A08">
        <w:rPr>
          <w:rFonts w:ascii="Bookman Old Style" w:hAnsi="Bookman Old Style"/>
          <w:sz w:val="24"/>
          <w:szCs w:val="24"/>
          <w:lang w:val="es-CO"/>
        </w:rPr>
        <w:t>Qué es un dato público</w:t>
      </w:r>
      <w:r w:rsidRPr="00CA1F20">
        <w:rPr>
          <w:rFonts w:ascii="Bookman Old Style" w:hAnsi="Bookman Old Style"/>
          <w:sz w:val="24"/>
          <w:szCs w:val="24"/>
          <w:lang w:val="es-CO"/>
        </w:rPr>
        <w:t>.</w:t>
      </w:r>
    </w:p>
    <w:p w14:paraId="02FEEDF6" w14:textId="77777777" w:rsidR="00962EA3" w:rsidRPr="00535A08" w:rsidRDefault="00962EA3" w:rsidP="00AE3569">
      <w:pPr>
        <w:pStyle w:val="Textoindependiente3"/>
        <w:ind w:right="51"/>
        <w:rPr>
          <w:rFonts w:ascii="Bookman Old Style" w:hAnsi="Bookman Old Style"/>
          <w:sz w:val="24"/>
          <w:szCs w:val="24"/>
          <w:lang w:val="es-ES_tradnl"/>
        </w:rPr>
      </w:pPr>
    </w:p>
    <w:p w14:paraId="11F72482" w14:textId="66A8D9C9" w:rsidR="00535A08" w:rsidRDefault="00535A08" w:rsidP="00AE3569">
      <w:pPr>
        <w:spacing w:after="0" w:line="240" w:lineRule="auto"/>
        <w:ind w:right="51"/>
        <w:jc w:val="both"/>
        <w:rPr>
          <w:rFonts w:ascii="Bookman Old Style" w:hAnsi="Bookman Old Style" w:cs="Bookman Old Style"/>
          <w:sz w:val="24"/>
          <w:szCs w:val="24"/>
        </w:rPr>
      </w:pPr>
      <w:r>
        <w:rPr>
          <w:rFonts w:ascii="Bookman Old Style" w:hAnsi="Bookman Old Style" w:cs="Bookman Old Style"/>
          <w:sz w:val="24"/>
          <w:szCs w:val="24"/>
        </w:rPr>
        <w:t>El numeral 2</w:t>
      </w:r>
      <w:proofErr w:type="gramStart"/>
      <w:r>
        <w:rPr>
          <w:rFonts w:ascii="Bookman Old Style" w:hAnsi="Bookman Old Style" w:cs="Bookman Old Style"/>
          <w:sz w:val="24"/>
          <w:szCs w:val="24"/>
        </w:rPr>
        <w:t>.º</w:t>
      </w:r>
      <w:proofErr w:type="gramEnd"/>
      <w:r>
        <w:rPr>
          <w:rFonts w:ascii="Bookman Old Style" w:hAnsi="Bookman Old Style" w:cs="Bookman Old Style"/>
          <w:sz w:val="24"/>
          <w:szCs w:val="24"/>
        </w:rPr>
        <w:t xml:space="preserve"> del artículo 3º del Decreto 1377 de 2013 reglamentario de la Ley 1581 de 2012, señala:</w:t>
      </w:r>
    </w:p>
    <w:p w14:paraId="2E3C9EE7" w14:textId="77777777" w:rsidR="00535A08" w:rsidRDefault="00535A08" w:rsidP="00535A08">
      <w:pPr>
        <w:spacing w:after="0" w:line="240" w:lineRule="auto"/>
        <w:ind w:right="51"/>
        <w:jc w:val="both"/>
        <w:rPr>
          <w:rFonts w:ascii="Bookman Old Style" w:hAnsi="Bookman Old Style" w:cs="Bookman Old Style"/>
          <w:sz w:val="24"/>
          <w:szCs w:val="24"/>
        </w:rPr>
      </w:pPr>
    </w:p>
    <w:p w14:paraId="76B7D400" w14:textId="0EC07DE6" w:rsidR="00535A08" w:rsidRPr="00535A08" w:rsidRDefault="00535A08" w:rsidP="00050557">
      <w:pPr>
        <w:spacing w:after="0" w:line="240" w:lineRule="auto"/>
        <w:ind w:left="567" w:right="51"/>
        <w:jc w:val="both"/>
        <w:rPr>
          <w:rFonts w:ascii="Times New Roman" w:hAnsi="Times New Roman" w:cs="Times New Roman"/>
        </w:rPr>
      </w:pPr>
      <w:r w:rsidRPr="00535A08">
        <w:rPr>
          <w:rFonts w:ascii="Times New Roman" w:hAnsi="Times New Roman" w:cs="Times New Roman"/>
        </w:rPr>
        <w:t>“…</w:t>
      </w:r>
    </w:p>
    <w:p w14:paraId="5E715EFA" w14:textId="28178149" w:rsidR="00535A08" w:rsidRPr="00535A08" w:rsidRDefault="00535A08" w:rsidP="00050557">
      <w:pPr>
        <w:pStyle w:val="pa6"/>
        <w:shd w:val="clear" w:color="auto" w:fill="FFFFFF"/>
        <w:spacing w:before="0" w:beforeAutospacing="0" w:after="0" w:afterAutospacing="0"/>
        <w:ind w:left="567"/>
        <w:jc w:val="both"/>
        <w:rPr>
          <w:sz w:val="22"/>
          <w:szCs w:val="22"/>
        </w:rPr>
      </w:pPr>
      <w:r w:rsidRPr="00535A08">
        <w:rPr>
          <w:bCs/>
          <w:sz w:val="22"/>
          <w:szCs w:val="22"/>
        </w:rPr>
        <w:t>Artículo 3°. </w:t>
      </w:r>
      <w:r w:rsidRPr="00535A08">
        <w:rPr>
          <w:bCs/>
          <w:i/>
          <w:iCs/>
          <w:sz w:val="22"/>
          <w:szCs w:val="22"/>
        </w:rPr>
        <w:t>Definiciones.</w:t>
      </w:r>
      <w:r w:rsidRPr="00535A08">
        <w:rPr>
          <w:i/>
          <w:iCs/>
          <w:sz w:val="22"/>
          <w:szCs w:val="22"/>
        </w:rPr>
        <w:t> </w:t>
      </w:r>
      <w:r w:rsidRPr="00535A08">
        <w:rPr>
          <w:sz w:val="22"/>
          <w:szCs w:val="22"/>
        </w:rPr>
        <w:t>Además de las definiciones establecidas en el artículo</w:t>
      </w:r>
      <w:r>
        <w:rPr>
          <w:sz w:val="22"/>
          <w:szCs w:val="22"/>
        </w:rPr>
        <w:t xml:space="preserve"> 3</w:t>
      </w:r>
      <w:proofErr w:type="gramStart"/>
      <w:r>
        <w:rPr>
          <w:sz w:val="22"/>
          <w:szCs w:val="22"/>
        </w:rPr>
        <w:t>.º</w:t>
      </w:r>
      <w:proofErr w:type="gramEnd"/>
      <w:r>
        <w:rPr>
          <w:sz w:val="22"/>
          <w:szCs w:val="22"/>
        </w:rPr>
        <w:t xml:space="preserve"> </w:t>
      </w:r>
      <w:r w:rsidRPr="00535A08">
        <w:rPr>
          <w:sz w:val="22"/>
          <w:szCs w:val="22"/>
        </w:rPr>
        <w:t>de la Ley 1581 de 2012, para los efectos del presente decreto se entenderá por:</w:t>
      </w:r>
    </w:p>
    <w:p w14:paraId="3E55935B" w14:textId="77777777" w:rsidR="00535A08" w:rsidRPr="00535A08" w:rsidRDefault="00535A08" w:rsidP="00050557">
      <w:pPr>
        <w:pStyle w:val="pa6"/>
        <w:shd w:val="clear" w:color="auto" w:fill="FFFFFF"/>
        <w:spacing w:before="0" w:beforeAutospacing="0" w:after="0" w:afterAutospacing="0"/>
        <w:ind w:left="567"/>
        <w:jc w:val="both"/>
        <w:rPr>
          <w:sz w:val="22"/>
          <w:szCs w:val="22"/>
        </w:rPr>
      </w:pPr>
      <w:r w:rsidRPr="00535A08">
        <w:rPr>
          <w:bCs/>
          <w:sz w:val="22"/>
          <w:szCs w:val="22"/>
        </w:rPr>
        <w:t> </w:t>
      </w:r>
    </w:p>
    <w:p w14:paraId="7402F188" w14:textId="13630CE1" w:rsidR="00535A08" w:rsidRPr="00535A08" w:rsidRDefault="00535A08" w:rsidP="00050557">
      <w:pPr>
        <w:pStyle w:val="pa6"/>
        <w:shd w:val="clear" w:color="auto" w:fill="FFFFFF"/>
        <w:spacing w:before="0" w:beforeAutospacing="0" w:after="0" w:afterAutospacing="0"/>
        <w:ind w:left="567"/>
        <w:jc w:val="both"/>
        <w:rPr>
          <w:sz w:val="22"/>
          <w:szCs w:val="22"/>
        </w:rPr>
      </w:pPr>
      <w:r>
        <w:rPr>
          <w:bCs/>
          <w:sz w:val="22"/>
          <w:szCs w:val="22"/>
        </w:rPr>
        <w:t>…</w:t>
      </w:r>
    </w:p>
    <w:p w14:paraId="2FF8E8B1" w14:textId="77777777" w:rsidR="00535A08" w:rsidRPr="00535A08" w:rsidRDefault="00535A08" w:rsidP="00050557">
      <w:pPr>
        <w:pStyle w:val="pa6"/>
        <w:shd w:val="clear" w:color="auto" w:fill="FFFFFF"/>
        <w:spacing w:before="0" w:beforeAutospacing="0" w:after="0" w:afterAutospacing="0"/>
        <w:ind w:left="567"/>
        <w:jc w:val="both"/>
        <w:rPr>
          <w:sz w:val="22"/>
          <w:szCs w:val="22"/>
        </w:rPr>
      </w:pPr>
      <w:r w:rsidRPr="00535A08">
        <w:rPr>
          <w:bCs/>
          <w:sz w:val="22"/>
          <w:szCs w:val="22"/>
        </w:rPr>
        <w:t> </w:t>
      </w:r>
    </w:p>
    <w:p w14:paraId="7B03928F" w14:textId="77777777" w:rsidR="00535A08" w:rsidRDefault="00535A08" w:rsidP="00050557">
      <w:pPr>
        <w:pStyle w:val="pa6"/>
        <w:shd w:val="clear" w:color="auto" w:fill="FFFFFF"/>
        <w:spacing w:before="0" w:beforeAutospacing="0" w:after="0" w:afterAutospacing="0"/>
        <w:ind w:left="567"/>
        <w:jc w:val="both"/>
        <w:rPr>
          <w:sz w:val="22"/>
          <w:szCs w:val="22"/>
        </w:rPr>
      </w:pPr>
      <w:r w:rsidRPr="00535A08">
        <w:rPr>
          <w:bCs/>
          <w:sz w:val="22"/>
          <w:szCs w:val="22"/>
        </w:rPr>
        <w:t>2. Dato público: </w:t>
      </w:r>
      <w:r w:rsidRPr="00535A08">
        <w:rPr>
          <w:sz w:val="22"/>
          <w:szCs w:val="22"/>
        </w:rPr>
        <w:t>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p>
    <w:p w14:paraId="037B1F68" w14:textId="06249831" w:rsidR="00050557" w:rsidRPr="00535A08" w:rsidRDefault="00050557" w:rsidP="00050557">
      <w:pPr>
        <w:pStyle w:val="pa6"/>
        <w:shd w:val="clear" w:color="auto" w:fill="FFFFFF"/>
        <w:spacing w:before="0" w:beforeAutospacing="0" w:after="0" w:afterAutospacing="0"/>
        <w:ind w:left="567"/>
        <w:jc w:val="both"/>
        <w:rPr>
          <w:sz w:val="22"/>
          <w:szCs w:val="22"/>
        </w:rPr>
      </w:pPr>
      <w:r>
        <w:rPr>
          <w:sz w:val="22"/>
          <w:szCs w:val="22"/>
        </w:rPr>
        <w:t>…”</w:t>
      </w:r>
    </w:p>
    <w:p w14:paraId="4B5DD186" w14:textId="77777777" w:rsidR="00535A08" w:rsidRDefault="00535A08" w:rsidP="00AE3569">
      <w:pPr>
        <w:spacing w:after="0" w:line="240" w:lineRule="auto"/>
        <w:ind w:right="51"/>
        <w:jc w:val="both"/>
        <w:rPr>
          <w:rFonts w:ascii="Bookman Old Style" w:hAnsi="Bookman Old Style" w:cs="Bookman Old Style"/>
          <w:sz w:val="24"/>
          <w:szCs w:val="24"/>
        </w:rPr>
      </w:pPr>
    </w:p>
    <w:p w14:paraId="345E399F" w14:textId="77777777" w:rsidR="00AA07A9" w:rsidRDefault="00AA07A9" w:rsidP="00AE3569">
      <w:pPr>
        <w:spacing w:after="0" w:line="240" w:lineRule="auto"/>
        <w:ind w:right="51"/>
        <w:jc w:val="both"/>
        <w:rPr>
          <w:rFonts w:ascii="Bookman Old Style" w:hAnsi="Bookman Old Style" w:cs="Bookman Old Style"/>
          <w:sz w:val="24"/>
          <w:szCs w:val="24"/>
        </w:rPr>
      </w:pPr>
      <w:r>
        <w:rPr>
          <w:rFonts w:ascii="Bookman Old Style" w:hAnsi="Bookman Old Style" w:cs="Bookman Old Style"/>
          <w:sz w:val="24"/>
          <w:szCs w:val="24"/>
        </w:rPr>
        <w:t>Por su parte, l</w:t>
      </w:r>
      <w:r w:rsidR="00962EA3" w:rsidRPr="00CA1F20">
        <w:rPr>
          <w:rFonts w:ascii="Bookman Old Style" w:hAnsi="Bookman Old Style" w:cs="Bookman Old Style"/>
          <w:sz w:val="24"/>
          <w:szCs w:val="24"/>
        </w:rPr>
        <w:t>a Honorable Corte Constitucional</w:t>
      </w:r>
      <w:r>
        <w:rPr>
          <w:rFonts w:ascii="Bookman Old Style" w:hAnsi="Bookman Old Style" w:cs="Bookman Old Style"/>
          <w:sz w:val="24"/>
          <w:szCs w:val="24"/>
        </w:rPr>
        <w:t xml:space="preserve"> en sentencia T-414 de 2010, al reiterar su jurisprudencia, destacó:</w:t>
      </w:r>
    </w:p>
    <w:p w14:paraId="1D5CE952" w14:textId="77777777" w:rsidR="00AA07A9" w:rsidRDefault="00AA07A9" w:rsidP="00AE3569">
      <w:pPr>
        <w:spacing w:after="0" w:line="240" w:lineRule="auto"/>
        <w:ind w:right="51"/>
        <w:jc w:val="both"/>
        <w:rPr>
          <w:rFonts w:ascii="Bookman Old Style" w:hAnsi="Bookman Old Style" w:cs="Bookman Old Style"/>
          <w:sz w:val="24"/>
          <w:szCs w:val="24"/>
        </w:rPr>
      </w:pPr>
    </w:p>
    <w:p w14:paraId="106FA3FE" w14:textId="5D7038D9" w:rsidR="00AA07A9" w:rsidRPr="00AA07A9" w:rsidRDefault="00AA07A9" w:rsidP="00AA07A9">
      <w:pPr>
        <w:spacing w:after="0" w:line="240" w:lineRule="auto"/>
        <w:ind w:left="567" w:right="51"/>
        <w:jc w:val="both"/>
        <w:rPr>
          <w:rFonts w:ascii="Times New Roman" w:hAnsi="Times New Roman" w:cs="Times New Roman"/>
        </w:rPr>
      </w:pPr>
      <w:r w:rsidRPr="00AA07A9">
        <w:rPr>
          <w:rFonts w:ascii="Times New Roman" w:hAnsi="Times New Roman" w:cs="Times New Roman"/>
        </w:rPr>
        <w:t>“…</w:t>
      </w:r>
    </w:p>
    <w:p w14:paraId="358DF035" w14:textId="77777777" w:rsidR="00AA07A9" w:rsidRPr="00AA07A9" w:rsidRDefault="00AA07A9" w:rsidP="00AA07A9">
      <w:pPr>
        <w:spacing w:after="0" w:line="240" w:lineRule="auto"/>
        <w:ind w:left="567" w:right="-164"/>
        <w:jc w:val="both"/>
        <w:rPr>
          <w:rFonts w:ascii="Times New Roman" w:hAnsi="Times New Roman" w:cs="Times New Roman"/>
          <w:b/>
        </w:rPr>
      </w:pPr>
      <w:r w:rsidRPr="00AA07A9">
        <w:rPr>
          <w:rFonts w:ascii="Times New Roman" w:hAnsi="Times New Roman" w:cs="Times New Roman"/>
          <w:b/>
          <w:bCs/>
        </w:rPr>
        <w:t>El derecho al acceso a documentos públicos como manifestación del derecho petición y del derecho a la información</w:t>
      </w:r>
      <w:r w:rsidRPr="00AA07A9">
        <w:rPr>
          <w:rFonts w:ascii="Times New Roman" w:hAnsi="Times New Roman" w:cs="Times New Roman"/>
          <w:b/>
        </w:rPr>
        <w:t>. Reiteración de jurisprudencia</w:t>
      </w:r>
      <w:r w:rsidRPr="00AA07A9">
        <w:rPr>
          <w:rStyle w:val="Refdenotaalpie"/>
          <w:rFonts w:ascii="Times New Roman" w:hAnsi="Times New Roman" w:cs="Times New Roman"/>
          <w:b/>
        </w:rPr>
        <w:footnoteReference w:id="1"/>
      </w:r>
      <w:r w:rsidRPr="00AA07A9">
        <w:rPr>
          <w:rFonts w:ascii="Times New Roman" w:hAnsi="Times New Roman" w:cs="Times New Roman"/>
          <w:b/>
        </w:rPr>
        <w:t xml:space="preserve">. </w:t>
      </w:r>
    </w:p>
    <w:p w14:paraId="2144FCE5" w14:textId="77777777" w:rsidR="00AA07A9" w:rsidRPr="00AA07A9" w:rsidRDefault="00AA07A9" w:rsidP="00AA07A9">
      <w:pPr>
        <w:spacing w:after="0" w:line="240" w:lineRule="auto"/>
        <w:ind w:left="567" w:right="-164"/>
        <w:jc w:val="both"/>
        <w:rPr>
          <w:rFonts w:ascii="Times New Roman" w:hAnsi="Times New Roman" w:cs="Times New Roman"/>
          <w:b/>
        </w:rPr>
      </w:pPr>
    </w:p>
    <w:p w14:paraId="6EA69649" w14:textId="77777777" w:rsidR="00AA07A9" w:rsidRPr="00AA07A9" w:rsidRDefault="00AA07A9" w:rsidP="00AA07A9">
      <w:pPr>
        <w:spacing w:after="0" w:line="240" w:lineRule="auto"/>
        <w:ind w:left="567" w:right="-164"/>
        <w:jc w:val="both"/>
        <w:rPr>
          <w:rFonts w:ascii="Times New Roman" w:hAnsi="Times New Roman" w:cs="Times New Roman"/>
        </w:rPr>
      </w:pPr>
      <w:r w:rsidRPr="00AA07A9">
        <w:rPr>
          <w:rFonts w:ascii="Times New Roman" w:hAnsi="Times New Roman" w:cs="Times New Roman"/>
        </w:rPr>
        <w:t xml:space="preserve">8. La jurisprudencia constitucional ha reconocido que el derecho al acceso a documentos públicos (artículo </w:t>
      </w:r>
      <w:smartTag w:uri="urn:schemas-microsoft-com:office:smarttags" w:element="metricconverter">
        <w:smartTagPr>
          <w:attr w:name="ProductID" w:val="74 C"/>
        </w:smartTagPr>
        <w:r w:rsidRPr="00AA07A9">
          <w:rPr>
            <w:rFonts w:ascii="Times New Roman" w:hAnsi="Times New Roman" w:cs="Times New Roman"/>
          </w:rPr>
          <w:t>74 C</w:t>
        </w:r>
      </w:smartTag>
      <w:r w:rsidRPr="00AA07A9">
        <w:rPr>
          <w:rFonts w:ascii="Times New Roman" w:hAnsi="Times New Roman" w:cs="Times New Roman"/>
        </w:rPr>
        <w:t xml:space="preserve">.P.) es una manifestación concreta del derecho de petición (artículo </w:t>
      </w:r>
      <w:smartTag w:uri="urn:schemas-microsoft-com:office:smarttags" w:element="metricconverter">
        <w:smartTagPr>
          <w:attr w:name="ProductID" w:val="23 C"/>
        </w:smartTagPr>
        <w:r w:rsidRPr="00AA07A9">
          <w:rPr>
            <w:rFonts w:ascii="Times New Roman" w:hAnsi="Times New Roman" w:cs="Times New Roman"/>
          </w:rPr>
          <w:t>23 C</w:t>
        </w:r>
      </w:smartTag>
      <w:r w:rsidRPr="00AA07A9">
        <w:rPr>
          <w:rFonts w:ascii="Times New Roman" w:hAnsi="Times New Roman" w:cs="Times New Roman"/>
        </w:rPr>
        <w:t xml:space="preserve">.P.) y del derecho a la información (artículo </w:t>
      </w:r>
      <w:smartTag w:uri="urn:schemas-microsoft-com:office:smarttags" w:element="metricconverter">
        <w:smartTagPr>
          <w:attr w:name="ProductID" w:val="20 C"/>
        </w:smartTagPr>
        <w:r w:rsidRPr="00AA07A9">
          <w:rPr>
            <w:rFonts w:ascii="Times New Roman" w:hAnsi="Times New Roman" w:cs="Times New Roman"/>
          </w:rPr>
          <w:t>20 C</w:t>
        </w:r>
      </w:smartTag>
      <w:r w:rsidRPr="00AA07A9">
        <w:rPr>
          <w:rFonts w:ascii="Times New Roman" w:hAnsi="Times New Roman" w:cs="Times New Roman"/>
        </w:rPr>
        <w:t>.P.)</w:t>
      </w:r>
      <w:r w:rsidRPr="00AA07A9">
        <w:rPr>
          <w:rStyle w:val="Refdenotaalpie"/>
          <w:rFonts w:ascii="Times New Roman" w:hAnsi="Times New Roman" w:cs="Times New Roman"/>
        </w:rPr>
        <w:footnoteReference w:id="2"/>
      </w:r>
      <w:r w:rsidRPr="00AA07A9">
        <w:rPr>
          <w:rFonts w:ascii="Times New Roman" w:hAnsi="Times New Roman" w:cs="Times New Roman"/>
        </w:rPr>
        <w:t xml:space="preserve">. En tal sentido, desde las primeras sentencias la Corte </w:t>
      </w:r>
      <w:r w:rsidRPr="00AA07A9">
        <w:rPr>
          <w:rFonts w:ascii="Times New Roman" w:hAnsi="Times New Roman" w:cs="Times New Roman"/>
        </w:rPr>
        <w:lastRenderedPageBreak/>
        <w:t>concluyó: “</w:t>
      </w:r>
      <w:r w:rsidRPr="00AA07A9">
        <w:rPr>
          <w:rFonts w:ascii="Times New Roman" w:hAnsi="Times New Roman" w:cs="Times New Roman"/>
          <w:i/>
        </w:rPr>
        <w:t>(…) es cierto que el derecho a acceder a los documentos públicos consagrado en el artículo 74, puede considerarse en buena medida como una modalidad del derecho fundamental de petición y como instrumento necesario para el ejercicio del derecho a la información y, por lo tanto, comparte con éstos su núcleo axiológico esencial, no lo es menos que tiene también un contenido y alcance particulares que le otorgan especificidad y autonomía dentro del conjunto de los derechos fundamentales.</w:t>
      </w:r>
      <w:r w:rsidRPr="00AA07A9">
        <w:rPr>
          <w:rFonts w:ascii="Times New Roman" w:hAnsi="Times New Roman" w:cs="Times New Roman"/>
        </w:rPr>
        <w:t>”</w:t>
      </w:r>
      <w:r w:rsidRPr="00AA07A9">
        <w:rPr>
          <w:rStyle w:val="Refdenotaalpie"/>
          <w:rFonts w:ascii="Times New Roman" w:hAnsi="Times New Roman" w:cs="Times New Roman"/>
        </w:rPr>
        <w:footnoteReference w:id="3"/>
      </w:r>
    </w:p>
    <w:p w14:paraId="07E05819" w14:textId="77777777" w:rsidR="00AA07A9" w:rsidRPr="00AA07A9" w:rsidRDefault="00AA07A9" w:rsidP="00AA07A9">
      <w:pPr>
        <w:spacing w:after="0" w:line="240" w:lineRule="auto"/>
        <w:ind w:left="567" w:right="-164"/>
        <w:jc w:val="both"/>
        <w:rPr>
          <w:rFonts w:ascii="Times New Roman" w:hAnsi="Times New Roman" w:cs="Times New Roman"/>
        </w:rPr>
      </w:pPr>
      <w:r w:rsidRPr="00AA07A9">
        <w:rPr>
          <w:rFonts w:ascii="Times New Roman" w:hAnsi="Times New Roman" w:cs="Times New Roman"/>
        </w:rPr>
        <w:t>En esa medida, para este Tribunal el acceso a documentos públicos “</w:t>
      </w:r>
      <w:r w:rsidRPr="00AA07A9">
        <w:rPr>
          <w:rFonts w:ascii="Times New Roman" w:hAnsi="Times New Roman" w:cs="Times New Roman"/>
          <w:i/>
        </w:rPr>
        <w:t xml:space="preserve">se constituye en la facultad de todo ciudadano para solicitar a la autoridad correspondiente para que se le expida o suministren documentos públicos, los cuales, siempre y cuando no tengan el carácter de reservados -CP. </w:t>
      </w:r>
      <w:proofErr w:type="gramStart"/>
      <w:r w:rsidRPr="00AA07A9">
        <w:rPr>
          <w:rFonts w:ascii="Times New Roman" w:hAnsi="Times New Roman" w:cs="Times New Roman"/>
          <w:i/>
        </w:rPr>
        <w:t>artículo</w:t>
      </w:r>
      <w:proofErr w:type="gramEnd"/>
      <w:r w:rsidRPr="00AA07A9">
        <w:rPr>
          <w:rFonts w:ascii="Times New Roman" w:hAnsi="Times New Roman" w:cs="Times New Roman"/>
          <w:i/>
        </w:rPr>
        <w:t xml:space="preserve"> 74-, deben estar al acceso de los ciudadanos en general.</w:t>
      </w:r>
      <w:r w:rsidRPr="00AA07A9">
        <w:rPr>
          <w:rFonts w:ascii="Times New Roman" w:hAnsi="Times New Roman" w:cs="Times New Roman"/>
        </w:rPr>
        <w:t>”</w:t>
      </w:r>
      <w:r w:rsidRPr="00AA07A9">
        <w:rPr>
          <w:rStyle w:val="Refdenotaalpie"/>
          <w:rFonts w:ascii="Times New Roman" w:hAnsi="Times New Roman" w:cs="Times New Roman"/>
          <w:bCs/>
        </w:rPr>
        <w:footnoteReference w:id="4"/>
      </w:r>
      <w:r w:rsidRPr="00AA07A9">
        <w:rPr>
          <w:rFonts w:ascii="Times New Roman" w:hAnsi="Times New Roman" w:cs="Times New Roman"/>
        </w:rPr>
        <w:t>.</w:t>
      </w:r>
    </w:p>
    <w:p w14:paraId="3541BA1E" w14:textId="44A06803" w:rsidR="00AA07A9" w:rsidRDefault="00AA07A9" w:rsidP="00AA07A9">
      <w:pPr>
        <w:spacing w:after="0" w:line="240" w:lineRule="auto"/>
        <w:ind w:left="567" w:right="51"/>
        <w:jc w:val="both"/>
        <w:rPr>
          <w:rFonts w:ascii="Times New Roman" w:hAnsi="Times New Roman" w:cs="Times New Roman"/>
        </w:rPr>
      </w:pPr>
      <w:r w:rsidRPr="00AA07A9">
        <w:rPr>
          <w:rFonts w:ascii="Times New Roman" w:hAnsi="Times New Roman" w:cs="Times New Roman"/>
        </w:rPr>
        <w:t>9. En la sentencia T-1025 de 2007</w:t>
      </w:r>
      <w:r w:rsidRPr="00AA07A9">
        <w:rPr>
          <w:rStyle w:val="Refdenotaalpie"/>
          <w:rFonts w:ascii="Times New Roman" w:hAnsi="Times New Roman" w:cs="Times New Roman"/>
        </w:rPr>
        <w:footnoteReference w:id="5"/>
      </w:r>
      <w:r w:rsidRPr="00AA07A9">
        <w:rPr>
          <w:rFonts w:ascii="Times New Roman" w:hAnsi="Times New Roman" w:cs="Times New Roman"/>
        </w:rPr>
        <w:t>, se retomó el resumen efectuado por la sentencia C-491 de 2007</w:t>
      </w:r>
      <w:r w:rsidRPr="00AA07A9">
        <w:rPr>
          <w:rStyle w:val="Refdenotaalpie"/>
          <w:rFonts w:ascii="Times New Roman" w:hAnsi="Times New Roman" w:cs="Times New Roman"/>
        </w:rPr>
        <w:footnoteReference w:id="6"/>
      </w:r>
      <w:r w:rsidRPr="00AA07A9">
        <w:rPr>
          <w:rFonts w:ascii="Times New Roman" w:hAnsi="Times New Roman" w:cs="Times New Roman"/>
        </w:rPr>
        <w:t xml:space="preserve"> sobre el derecho al acceso a documentos públicos en el marco del derecho a la información. En este contexto se reiteró: “</w:t>
      </w:r>
      <w:r w:rsidRPr="00AA07A9">
        <w:rPr>
          <w:rFonts w:ascii="Times New Roman" w:hAnsi="Times New Roman" w:cs="Times New Roman"/>
          <w:i/>
        </w:rPr>
        <w:t>(…) la importancia del derecho a acceder a la información para garantizar la transparencia y la publicidad de la gestión pública, condiciones fundamentales para impedir la arbitrariedad estatal y para asegurar la vigencia de un Estado democrático y respetuoso de los derechos fundamentales de las personas.</w:t>
      </w:r>
      <w:r w:rsidRPr="00AA07A9">
        <w:rPr>
          <w:rFonts w:ascii="Times New Roman" w:hAnsi="Times New Roman" w:cs="Times New Roman"/>
        </w:rPr>
        <w:t>”</w:t>
      </w:r>
      <w:r w:rsidRPr="00AA07A9">
        <w:rPr>
          <w:rStyle w:val="Refdenotaalpie"/>
          <w:rFonts w:ascii="Times New Roman" w:hAnsi="Times New Roman" w:cs="Times New Roman"/>
        </w:rPr>
        <w:footnoteReference w:id="7"/>
      </w:r>
      <w:r w:rsidRPr="00AA07A9">
        <w:rPr>
          <w:rFonts w:ascii="Times New Roman" w:hAnsi="Times New Roman" w:cs="Times New Roman"/>
        </w:rPr>
        <w:t>.</w:t>
      </w:r>
    </w:p>
    <w:p w14:paraId="4D339FEF" w14:textId="1E71EA5E" w:rsidR="00AA07A9" w:rsidRPr="00AA07A9" w:rsidRDefault="00AA07A9" w:rsidP="00AA07A9">
      <w:pPr>
        <w:spacing w:after="0" w:line="240" w:lineRule="auto"/>
        <w:ind w:left="567" w:right="51"/>
        <w:jc w:val="both"/>
        <w:rPr>
          <w:rFonts w:ascii="Times New Roman" w:hAnsi="Times New Roman" w:cs="Times New Roman"/>
        </w:rPr>
      </w:pPr>
      <w:r>
        <w:rPr>
          <w:rFonts w:ascii="Times New Roman" w:hAnsi="Times New Roman" w:cs="Times New Roman"/>
        </w:rPr>
        <w:t>…”</w:t>
      </w:r>
    </w:p>
    <w:p w14:paraId="25F2F967" w14:textId="77777777" w:rsidR="00AA07A9" w:rsidRDefault="00AA07A9" w:rsidP="00AE3569">
      <w:pPr>
        <w:spacing w:after="0" w:line="240" w:lineRule="auto"/>
        <w:ind w:right="51"/>
        <w:jc w:val="both"/>
        <w:rPr>
          <w:rFonts w:ascii="Bookman Old Style" w:hAnsi="Bookman Old Style" w:cs="Bookman Old Style"/>
          <w:sz w:val="24"/>
          <w:szCs w:val="24"/>
        </w:rPr>
      </w:pPr>
    </w:p>
    <w:p w14:paraId="67ACC8A9" w14:textId="77777777" w:rsidR="00962EA3" w:rsidRPr="00CA1F20" w:rsidRDefault="00EB653D" w:rsidP="00AE3569">
      <w:pPr>
        <w:pStyle w:val="Textoindependiente3"/>
        <w:ind w:right="-136"/>
        <w:rPr>
          <w:rFonts w:ascii="Bookman Old Style" w:hAnsi="Bookman Old Style"/>
          <w:iCs/>
          <w:sz w:val="24"/>
          <w:szCs w:val="24"/>
          <w:lang w:val="es-CO"/>
        </w:rPr>
      </w:pPr>
      <w:r w:rsidRPr="00CA1F20">
        <w:rPr>
          <w:rFonts w:ascii="Bookman Old Style" w:hAnsi="Bookman Old Style"/>
          <w:iCs/>
          <w:sz w:val="24"/>
          <w:szCs w:val="24"/>
          <w:lang w:val="es-CO"/>
        </w:rPr>
        <w:t>4</w:t>
      </w:r>
      <w:r w:rsidR="00D97475" w:rsidRPr="00CA1F20">
        <w:rPr>
          <w:rFonts w:ascii="Bookman Old Style" w:hAnsi="Bookman Old Style"/>
          <w:iCs/>
          <w:sz w:val="24"/>
          <w:szCs w:val="24"/>
        </w:rPr>
        <w:t>.4. Caso concreto</w:t>
      </w:r>
      <w:r w:rsidR="00E74934" w:rsidRPr="00CA1F20">
        <w:rPr>
          <w:rFonts w:ascii="Bookman Old Style" w:hAnsi="Bookman Old Style"/>
          <w:iCs/>
          <w:sz w:val="24"/>
          <w:szCs w:val="24"/>
        </w:rPr>
        <w:t>.</w:t>
      </w:r>
    </w:p>
    <w:p w14:paraId="6A9AE4D1" w14:textId="77777777" w:rsidR="00962EA3" w:rsidRPr="00CA1F20" w:rsidRDefault="00962EA3" w:rsidP="00AE3569">
      <w:pPr>
        <w:pStyle w:val="Textoindependiente3"/>
        <w:ind w:right="-136"/>
        <w:rPr>
          <w:rFonts w:ascii="Bookman Old Style" w:hAnsi="Bookman Old Style"/>
          <w:iCs/>
          <w:sz w:val="24"/>
          <w:szCs w:val="24"/>
        </w:rPr>
      </w:pPr>
    </w:p>
    <w:p w14:paraId="07246ADB" w14:textId="06109D7B" w:rsidR="00DE32A7" w:rsidRPr="004D398E" w:rsidRDefault="00DE32A7" w:rsidP="00DE32A7">
      <w:pPr>
        <w:pStyle w:val="Textoindependiente3"/>
        <w:ind w:right="-136"/>
        <w:rPr>
          <w:rFonts w:ascii="Bookman Old Style" w:hAnsi="Bookman Old Style"/>
          <w:iCs/>
          <w:sz w:val="24"/>
          <w:szCs w:val="24"/>
        </w:rPr>
      </w:pPr>
      <w:r w:rsidRPr="004D398E">
        <w:rPr>
          <w:rFonts w:ascii="Bookman Old Style" w:hAnsi="Bookman Old Style"/>
          <w:iCs/>
          <w:sz w:val="24"/>
          <w:szCs w:val="24"/>
          <w:lang w:val="es-CO"/>
        </w:rPr>
        <w:t>Contrastado</w:t>
      </w:r>
      <w:r w:rsidRPr="004D398E">
        <w:rPr>
          <w:rFonts w:ascii="Bookman Old Style" w:hAnsi="Bookman Old Style"/>
          <w:iCs/>
          <w:sz w:val="24"/>
          <w:szCs w:val="24"/>
        </w:rPr>
        <w:t xml:space="preserve"> lo expuesto en el presente caso</w:t>
      </w:r>
      <w:r w:rsidRPr="004D398E">
        <w:rPr>
          <w:rFonts w:ascii="Bookman Old Style" w:hAnsi="Bookman Old Style"/>
          <w:iCs/>
          <w:sz w:val="24"/>
          <w:szCs w:val="24"/>
          <w:lang w:val="es-CO"/>
        </w:rPr>
        <w:t xml:space="preserve"> y</w:t>
      </w:r>
      <w:r w:rsidRPr="004D398E">
        <w:rPr>
          <w:rFonts w:ascii="Bookman Old Style" w:hAnsi="Bookman Old Style"/>
          <w:iCs/>
          <w:sz w:val="24"/>
          <w:szCs w:val="24"/>
        </w:rPr>
        <w:t xml:space="preserve"> </w:t>
      </w:r>
      <w:r w:rsidRPr="004D398E">
        <w:rPr>
          <w:rFonts w:ascii="Bookman Old Style" w:hAnsi="Bookman Old Style"/>
          <w:iCs/>
          <w:sz w:val="24"/>
          <w:szCs w:val="24"/>
          <w:lang w:val="es-CO"/>
        </w:rPr>
        <w:t xml:space="preserve">las pruebas aportadas </w:t>
      </w:r>
      <w:r w:rsidRPr="004D398E">
        <w:rPr>
          <w:rFonts w:ascii="Bookman Old Style" w:hAnsi="Bookman Old Style"/>
          <w:iCs/>
          <w:sz w:val="24"/>
          <w:szCs w:val="24"/>
        </w:rPr>
        <w:t xml:space="preserve">con los parámetros legales y jurisprudenciales referidos, para el despacho debe </w:t>
      </w:r>
      <w:r w:rsidR="00AA07A9">
        <w:rPr>
          <w:rFonts w:ascii="Bookman Old Style" w:hAnsi="Bookman Old Style"/>
          <w:iCs/>
          <w:sz w:val="24"/>
          <w:szCs w:val="24"/>
          <w:lang w:val="es-CO"/>
        </w:rPr>
        <w:t xml:space="preserve">concederse </w:t>
      </w:r>
      <w:r w:rsidRPr="004D398E">
        <w:rPr>
          <w:rFonts w:ascii="Bookman Old Style" w:hAnsi="Bookman Old Style"/>
          <w:iCs/>
          <w:sz w:val="24"/>
          <w:szCs w:val="24"/>
        </w:rPr>
        <w:t>el amparo solicitado, por las razones que a continuación se señalan:</w:t>
      </w:r>
    </w:p>
    <w:p w14:paraId="5F4B8B28" w14:textId="77777777" w:rsidR="00F2241F" w:rsidRPr="00DE32A7" w:rsidRDefault="00F2241F" w:rsidP="00AE3569">
      <w:pPr>
        <w:pStyle w:val="Textoindependiente3"/>
        <w:ind w:right="-136"/>
        <w:rPr>
          <w:rFonts w:ascii="Bookman Old Style" w:hAnsi="Bookman Old Style"/>
          <w:iCs/>
          <w:sz w:val="24"/>
          <w:szCs w:val="24"/>
        </w:rPr>
      </w:pPr>
    </w:p>
    <w:p w14:paraId="1A569355" w14:textId="5BB2D602" w:rsidR="00AA07A9" w:rsidRDefault="00F2241F" w:rsidP="00AE3569">
      <w:pPr>
        <w:pStyle w:val="Textoindependiente3"/>
        <w:ind w:right="-136"/>
        <w:rPr>
          <w:rFonts w:ascii="Bookman Old Style" w:hAnsi="Bookman Old Style" w:cstheme="minorBidi"/>
          <w:sz w:val="24"/>
          <w:szCs w:val="24"/>
          <w:lang w:val="es-CO"/>
        </w:rPr>
      </w:pPr>
      <w:r>
        <w:rPr>
          <w:rFonts w:ascii="Bookman Old Style" w:hAnsi="Bookman Old Style"/>
          <w:iCs/>
          <w:sz w:val="24"/>
          <w:szCs w:val="24"/>
          <w:lang w:val="es-CO"/>
        </w:rPr>
        <w:t>E</w:t>
      </w:r>
      <w:r w:rsidR="00721126">
        <w:rPr>
          <w:rFonts w:ascii="Bookman Old Style" w:hAnsi="Bookman Old Style" w:cstheme="minorBidi"/>
          <w:sz w:val="24"/>
          <w:szCs w:val="24"/>
        </w:rPr>
        <w:t>l 19</w:t>
      </w:r>
      <w:r w:rsidRPr="00F2241F">
        <w:rPr>
          <w:rFonts w:ascii="Bookman Old Style" w:hAnsi="Bookman Old Style" w:cstheme="minorBidi"/>
          <w:sz w:val="24"/>
          <w:szCs w:val="24"/>
        </w:rPr>
        <w:t xml:space="preserve"> de febrero de 2019,</w:t>
      </w:r>
      <w:r w:rsidR="00024F8F">
        <w:rPr>
          <w:rFonts w:ascii="Bookman Old Style" w:hAnsi="Bookman Old Style" w:cstheme="minorBidi"/>
          <w:sz w:val="24"/>
          <w:szCs w:val="24"/>
          <w:lang w:val="es-CO"/>
        </w:rPr>
        <w:t xml:space="preserve"> </w:t>
      </w:r>
      <w:r w:rsidR="00DE32A7">
        <w:rPr>
          <w:rFonts w:ascii="Bookman Old Style" w:hAnsi="Bookman Old Style" w:cstheme="minorBidi"/>
          <w:sz w:val="24"/>
          <w:szCs w:val="24"/>
          <w:lang w:val="es-CO"/>
        </w:rPr>
        <w:t>el actor</w:t>
      </w:r>
      <w:r w:rsidRPr="00F2241F">
        <w:rPr>
          <w:rFonts w:ascii="Bookman Old Style" w:hAnsi="Bookman Old Style" w:cstheme="minorBidi"/>
          <w:sz w:val="24"/>
          <w:szCs w:val="24"/>
        </w:rPr>
        <w:t xml:space="preserve"> radicó un escrito mediante el cual ejerció su derecho fundamental de petición ante </w:t>
      </w:r>
      <w:r w:rsidR="00721126">
        <w:rPr>
          <w:rFonts w:ascii="Bookman Old Style" w:hAnsi="Bookman Old Style" w:cstheme="minorBidi"/>
          <w:sz w:val="24"/>
          <w:szCs w:val="24"/>
          <w:lang w:val="es-CO"/>
        </w:rPr>
        <w:t>el Banco Inmobiliario de Floridablanca.</w:t>
      </w:r>
      <w:r w:rsidR="00AA07A9">
        <w:rPr>
          <w:rFonts w:ascii="Bookman Old Style" w:hAnsi="Bookman Old Style" w:cstheme="minorBidi"/>
          <w:sz w:val="24"/>
          <w:szCs w:val="24"/>
          <w:lang w:val="es-CO"/>
        </w:rPr>
        <w:t xml:space="preserve"> En esencia, solicitó el listado de personas </w:t>
      </w:r>
      <w:r w:rsidR="0042714D">
        <w:rPr>
          <w:rFonts w:ascii="Bookman Old Style" w:hAnsi="Bookman Old Style" w:cstheme="minorBidi"/>
          <w:sz w:val="24"/>
          <w:szCs w:val="24"/>
          <w:lang w:val="es-CO"/>
        </w:rPr>
        <w:t xml:space="preserve">que salieron beneficiados con el proyecto de vivienda Villa Renacer. </w:t>
      </w:r>
    </w:p>
    <w:p w14:paraId="76C90096" w14:textId="77777777" w:rsidR="0042714D" w:rsidRDefault="0042714D" w:rsidP="00AE3569">
      <w:pPr>
        <w:pStyle w:val="Textoindependiente3"/>
        <w:ind w:right="-136"/>
        <w:rPr>
          <w:rFonts w:ascii="Bookman Old Style" w:hAnsi="Bookman Old Style" w:cstheme="minorBidi"/>
          <w:sz w:val="24"/>
          <w:szCs w:val="24"/>
          <w:lang w:val="es-CO"/>
        </w:rPr>
      </w:pPr>
    </w:p>
    <w:p w14:paraId="788B09E1" w14:textId="77777777" w:rsidR="0042714D" w:rsidRDefault="0042714D" w:rsidP="00AE3569">
      <w:pPr>
        <w:pStyle w:val="Textoindependiente3"/>
        <w:ind w:right="-136"/>
        <w:rPr>
          <w:rFonts w:ascii="Bookman Old Style" w:hAnsi="Bookman Old Style" w:cstheme="minorBidi"/>
          <w:sz w:val="24"/>
          <w:szCs w:val="24"/>
          <w:lang w:val="es-CO"/>
        </w:rPr>
      </w:pPr>
      <w:r>
        <w:rPr>
          <w:rFonts w:ascii="Bookman Old Style" w:hAnsi="Bookman Old Style" w:cstheme="minorBidi"/>
          <w:sz w:val="24"/>
          <w:szCs w:val="24"/>
          <w:lang w:val="es-CO"/>
        </w:rPr>
        <w:t>La accionada el respondió con cifras más no suministró nombres, pues de hacerlo -estima- violaría la intimidad de las personas.</w:t>
      </w:r>
    </w:p>
    <w:p w14:paraId="6C2DFAC7" w14:textId="77777777" w:rsidR="0042714D" w:rsidRDefault="0042714D" w:rsidP="00AE3569">
      <w:pPr>
        <w:pStyle w:val="Textoindependiente3"/>
        <w:ind w:right="-136"/>
        <w:rPr>
          <w:rFonts w:ascii="Bookman Old Style" w:hAnsi="Bookman Old Style" w:cstheme="minorBidi"/>
          <w:sz w:val="24"/>
          <w:szCs w:val="24"/>
          <w:lang w:val="es-CO"/>
        </w:rPr>
      </w:pPr>
    </w:p>
    <w:p w14:paraId="3AFA9A88" w14:textId="20B5FEB9" w:rsidR="0042714D" w:rsidRDefault="0042714D" w:rsidP="00AE3569">
      <w:pPr>
        <w:pStyle w:val="Textoindependiente3"/>
        <w:ind w:right="-136"/>
        <w:rPr>
          <w:rFonts w:ascii="Bookman Old Style" w:hAnsi="Bookman Old Style" w:cstheme="minorBidi"/>
          <w:sz w:val="24"/>
          <w:szCs w:val="24"/>
          <w:lang w:val="es-CO"/>
        </w:rPr>
      </w:pPr>
      <w:r>
        <w:rPr>
          <w:rFonts w:ascii="Bookman Old Style" w:hAnsi="Bookman Old Style" w:cstheme="minorBidi"/>
          <w:sz w:val="24"/>
          <w:szCs w:val="24"/>
          <w:lang w:val="es-CO"/>
        </w:rPr>
        <w:t>La posición asumida por el establecimiento público descentralizado del municipio de Floridablanca denominado Banco Inmobiliario es violatoria del derecho fundamental de petición, en tanto el nombre y número de cédula de las personas no puede calificarse como reservado, privado ni semiprivado, pues no se indagaba en la solicitud del actor por datos financieros, crediticios, creencias religiosas, políticas ni orientación sexual</w:t>
      </w:r>
      <w:r w:rsidR="00D47135">
        <w:rPr>
          <w:rFonts w:ascii="Bookman Old Style" w:hAnsi="Bookman Old Style" w:cstheme="minorBidi"/>
          <w:sz w:val="24"/>
          <w:szCs w:val="24"/>
          <w:lang w:val="es-CO"/>
        </w:rPr>
        <w:t>, como tampoco se cuestionaba por datos de ubicación</w:t>
      </w:r>
      <w:r>
        <w:rPr>
          <w:rFonts w:ascii="Bookman Old Style" w:hAnsi="Bookman Old Style" w:cstheme="minorBidi"/>
          <w:sz w:val="24"/>
          <w:szCs w:val="24"/>
          <w:lang w:val="es-CO"/>
        </w:rPr>
        <w:t>.</w:t>
      </w:r>
    </w:p>
    <w:p w14:paraId="33E7617E" w14:textId="77777777" w:rsidR="0042714D" w:rsidRDefault="0042714D" w:rsidP="00AE3569">
      <w:pPr>
        <w:pStyle w:val="Textoindependiente3"/>
        <w:ind w:right="-136"/>
        <w:rPr>
          <w:rFonts w:ascii="Bookman Old Style" w:hAnsi="Bookman Old Style" w:cstheme="minorBidi"/>
          <w:sz w:val="24"/>
          <w:szCs w:val="24"/>
          <w:lang w:val="es-CO"/>
        </w:rPr>
      </w:pPr>
    </w:p>
    <w:p w14:paraId="4E93F23E" w14:textId="164B261C" w:rsidR="0042714D" w:rsidRDefault="0042714D" w:rsidP="00AE3569">
      <w:pPr>
        <w:pStyle w:val="Textoindependiente3"/>
        <w:ind w:right="-136"/>
        <w:rPr>
          <w:rFonts w:ascii="Bookman Old Style" w:hAnsi="Bookman Old Style" w:cstheme="minorBidi"/>
          <w:sz w:val="24"/>
          <w:szCs w:val="24"/>
          <w:lang w:val="es-CO"/>
        </w:rPr>
      </w:pPr>
      <w:r>
        <w:rPr>
          <w:rFonts w:ascii="Bookman Old Style" w:hAnsi="Bookman Old Style" w:cstheme="minorBidi"/>
          <w:sz w:val="24"/>
          <w:szCs w:val="24"/>
          <w:lang w:val="es-CO"/>
        </w:rPr>
        <w:lastRenderedPageBreak/>
        <w:t>Lejos de lo anterior</w:t>
      </w:r>
      <w:r w:rsidR="00D47135">
        <w:rPr>
          <w:rFonts w:ascii="Bookman Old Style" w:hAnsi="Bookman Old Style" w:cstheme="minorBidi"/>
          <w:sz w:val="24"/>
          <w:szCs w:val="24"/>
          <w:lang w:val="es-CO"/>
        </w:rPr>
        <w:t>, el ciudadano expone su deseo de realizar un escrutinio público sobre el manejo de los recursos de aquél programa. De este modo, en aras de la transparencia ese tipo de listados deberían fijarse en una cartelera donde todos los ciudadanos puedan observar el proceder de la administración, con lo cual se evitaría el trámite de derechos de petición.</w:t>
      </w:r>
    </w:p>
    <w:p w14:paraId="5EC3BD89" w14:textId="77777777" w:rsidR="00D47135" w:rsidRDefault="00D47135" w:rsidP="00AE3569">
      <w:pPr>
        <w:pStyle w:val="Textoindependiente3"/>
        <w:ind w:right="-136"/>
        <w:rPr>
          <w:rFonts w:ascii="Bookman Old Style" w:hAnsi="Bookman Old Style" w:cstheme="minorBidi"/>
          <w:sz w:val="24"/>
          <w:szCs w:val="24"/>
          <w:lang w:val="es-CO"/>
        </w:rPr>
      </w:pPr>
    </w:p>
    <w:p w14:paraId="5C01C4E1" w14:textId="60CB5019" w:rsidR="00D47135" w:rsidRPr="00D47135" w:rsidRDefault="00D47135" w:rsidP="00AE3569">
      <w:pPr>
        <w:pStyle w:val="Textoindependiente3"/>
        <w:ind w:right="-136"/>
        <w:rPr>
          <w:rFonts w:ascii="Bookman Old Style" w:hAnsi="Bookman Old Style" w:cstheme="minorBidi"/>
          <w:sz w:val="24"/>
          <w:szCs w:val="24"/>
          <w:lang w:val="es-CO"/>
        </w:rPr>
      </w:pPr>
      <w:r>
        <w:rPr>
          <w:rFonts w:ascii="Bookman Old Style" w:hAnsi="Bookman Old Style" w:cstheme="minorBidi"/>
          <w:sz w:val="24"/>
          <w:szCs w:val="24"/>
          <w:lang w:val="es-CO"/>
        </w:rPr>
        <w:t xml:space="preserve">Como bien se anotó en la jurisprudencia traída a colación, es vital garantizar la transparencia y la publicidad de la gestión pública. Luego la interpretación </w:t>
      </w:r>
      <w:r w:rsidR="000101D5">
        <w:rPr>
          <w:rFonts w:ascii="Bookman Old Style" w:hAnsi="Bookman Old Style" w:cstheme="minorBidi"/>
          <w:sz w:val="24"/>
          <w:szCs w:val="24"/>
          <w:lang w:val="es-CO"/>
        </w:rPr>
        <w:t xml:space="preserve">de la accionada </w:t>
      </w:r>
      <w:r>
        <w:rPr>
          <w:rFonts w:ascii="Bookman Old Style" w:hAnsi="Bookman Old Style" w:cstheme="minorBidi"/>
          <w:sz w:val="24"/>
          <w:szCs w:val="24"/>
          <w:lang w:val="es-CO"/>
        </w:rPr>
        <w:t xml:space="preserve">sobre ley de </w:t>
      </w:r>
      <w:r>
        <w:rPr>
          <w:rFonts w:ascii="Bookman Old Style" w:hAnsi="Bookman Old Style" w:cstheme="minorBidi"/>
          <w:i/>
          <w:sz w:val="24"/>
          <w:szCs w:val="24"/>
          <w:lang w:val="es-CO"/>
        </w:rPr>
        <w:t xml:space="preserve">habeas data </w:t>
      </w:r>
      <w:r>
        <w:rPr>
          <w:rFonts w:ascii="Bookman Old Style" w:hAnsi="Bookman Old Style" w:cstheme="minorBidi"/>
          <w:sz w:val="24"/>
          <w:szCs w:val="24"/>
          <w:lang w:val="es-CO"/>
        </w:rPr>
        <w:t>es bastante desafortunada y de paso lesiona el derecho a la información.</w:t>
      </w:r>
    </w:p>
    <w:p w14:paraId="4AEADB3B" w14:textId="77777777" w:rsidR="00D47135" w:rsidRDefault="00D47135" w:rsidP="00AE3569">
      <w:pPr>
        <w:pStyle w:val="Textoindependiente3"/>
        <w:ind w:right="-136"/>
        <w:rPr>
          <w:rFonts w:ascii="Bookman Old Style" w:hAnsi="Bookman Old Style" w:cstheme="minorBidi"/>
          <w:sz w:val="24"/>
          <w:szCs w:val="24"/>
          <w:lang w:val="es-CO"/>
        </w:rPr>
      </w:pPr>
    </w:p>
    <w:p w14:paraId="3B071F29" w14:textId="5F841E39" w:rsidR="0042714D" w:rsidRDefault="007B1578" w:rsidP="00AE3569">
      <w:pPr>
        <w:pStyle w:val="Textoindependiente3"/>
        <w:ind w:right="-136"/>
        <w:rPr>
          <w:rFonts w:ascii="Bookman Old Style" w:hAnsi="Bookman Old Style" w:cstheme="minorBidi"/>
          <w:sz w:val="24"/>
          <w:szCs w:val="24"/>
          <w:lang w:val="es-CO"/>
        </w:rPr>
      </w:pPr>
      <w:r>
        <w:rPr>
          <w:rFonts w:ascii="Bookman Old Style" w:hAnsi="Bookman Old Style" w:cstheme="minorBidi"/>
          <w:sz w:val="24"/>
          <w:szCs w:val="24"/>
          <w:lang w:val="es-CO"/>
        </w:rPr>
        <w:t xml:space="preserve">Corolario de lo anterior, se tutelará el derecho fundamental de petición y en consecuencia se ordenará al Banco Inmobiliario que complemente su respuesta y suministre </w:t>
      </w:r>
      <w:r w:rsidR="00ED020C">
        <w:rPr>
          <w:rFonts w:ascii="Bookman Old Style" w:hAnsi="Bookman Old Style" w:cstheme="minorBidi"/>
          <w:sz w:val="24"/>
          <w:szCs w:val="24"/>
          <w:lang w:val="es-CO"/>
        </w:rPr>
        <w:t xml:space="preserve">al actor </w:t>
      </w:r>
      <w:r>
        <w:rPr>
          <w:rFonts w:ascii="Bookman Old Style" w:hAnsi="Bookman Old Style" w:cstheme="minorBidi"/>
          <w:sz w:val="24"/>
          <w:szCs w:val="24"/>
          <w:lang w:val="es-CO"/>
        </w:rPr>
        <w:t>el listado pedido</w:t>
      </w:r>
      <w:r w:rsidR="00ED020C">
        <w:rPr>
          <w:rFonts w:ascii="Bookman Old Style" w:hAnsi="Bookman Old Style" w:cstheme="minorBidi"/>
          <w:sz w:val="24"/>
          <w:szCs w:val="24"/>
          <w:lang w:val="es-CO"/>
        </w:rPr>
        <w:t>, para lo cual se otorgará un plazo de cuarenta y ocho (48) horas contadas a partir de la notificación del fallo.</w:t>
      </w:r>
    </w:p>
    <w:p w14:paraId="53166A03" w14:textId="77777777" w:rsidR="00ED020C" w:rsidRDefault="00ED020C" w:rsidP="00AE3569">
      <w:pPr>
        <w:pStyle w:val="Textoindependiente3"/>
        <w:ind w:right="-136"/>
        <w:rPr>
          <w:rFonts w:ascii="Bookman Old Style" w:hAnsi="Bookman Old Style" w:cstheme="minorBidi"/>
          <w:sz w:val="24"/>
          <w:szCs w:val="24"/>
          <w:lang w:val="es-CO"/>
        </w:rPr>
      </w:pPr>
    </w:p>
    <w:p w14:paraId="34954A74" w14:textId="084D6B79" w:rsidR="00ED020C" w:rsidRDefault="00ED020C" w:rsidP="00AE3569">
      <w:pPr>
        <w:pStyle w:val="Textoindependiente3"/>
        <w:ind w:right="-136"/>
        <w:rPr>
          <w:rFonts w:ascii="Bookman Old Style" w:hAnsi="Bookman Old Style" w:cstheme="minorBidi"/>
          <w:sz w:val="24"/>
          <w:szCs w:val="24"/>
          <w:lang w:val="es-CO"/>
        </w:rPr>
      </w:pPr>
      <w:r>
        <w:rPr>
          <w:rFonts w:ascii="Bookman Old Style" w:hAnsi="Bookman Old Style" w:cstheme="minorBidi"/>
          <w:sz w:val="24"/>
          <w:szCs w:val="24"/>
          <w:lang w:val="es-CO"/>
        </w:rPr>
        <w:t>Por último y por sustracción de materia valga mencionar que frente a</w:t>
      </w:r>
      <w:r w:rsidR="001B4FFC">
        <w:rPr>
          <w:rFonts w:ascii="Bookman Old Style" w:hAnsi="Bookman Old Style" w:cstheme="minorBidi"/>
          <w:sz w:val="24"/>
          <w:szCs w:val="24"/>
          <w:lang w:val="es-CO"/>
        </w:rPr>
        <w:t>l municipio de Floridablanca existe falta de legitimación por pasiva, en tanto no fue el destinatario de la solicitud.</w:t>
      </w:r>
    </w:p>
    <w:p w14:paraId="5E561C2E" w14:textId="77777777" w:rsidR="00ED020C" w:rsidRDefault="00ED020C" w:rsidP="00AE3569">
      <w:pPr>
        <w:pStyle w:val="Textoindependiente3"/>
        <w:ind w:right="-136"/>
        <w:rPr>
          <w:rFonts w:ascii="Bookman Old Style" w:hAnsi="Bookman Old Style" w:cstheme="minorBidi"/>
          <w:sz w:val="24"/>
          <w:szCs w:val="24"/>
          <w:lang w:val="es-CO"/>
        </w:rPr>
      </w:pPr>
    </w:p>
    <w:p w14:paraId="585E0AE9" w14:textId="77777777" w:rsidR="00D97475" w:rsidRPr="00CA1F20" w:rsidRDefault="00D97475" w:rsidP="00AE3569">
      <w:pPr>
        <w:pStyle w:val="Textoindependiente3"/>
        <w:ind w:right="-136"/>
        <w:rPr>
          <w:rFonts w:ascii="Bookman Old Style" w:hAnsi="Bookman Old Style"/>
          <w:sz w:val="24"/>
          <w:szCs w:val="24"/>
          <w:lang w:val="es-CO"/>
        </w:rPr>
      </w:pPr>
      <w:r w:rsidRPr="00CA1F20">
        <w:rPr>
          <w:rFonts w:ascii="Bookman Old Style" w:hAnsi="Bookman Old Style" w:cs="Arial"/>
          <w:sz w:val="24"/>
          <w:szCs w:val="24"/>
        </w:rPr>
        <w:t>En mérito de lo expuesto, el Juzgado Segundo (2º)</w:t>
      </w:r>
      <w:r w:rsidR="00CB191D" w:rsidRPr="00CA1F20">
        <w:rPr>
          <w:rFonts w:ascii="Bookman Old Style" w:hAnsi="Bookman Old Style" w:cs="Arial"/>
          <w:sz w:val="24"/>
          <w:szCs w:val="24"/>
        </w:rPr>
        <w:t xml:space="preserve"> </w:t>
      </w:r>
      <w:r w:rsidRPr="00CA1F20">
        <w:rPr>
          <w:rFonts w:ascii="Bookman Old Style" w:hAnsi="Bookman Old Style" w:cs="Arial"/>
          <w:sz w:val="24"/>
          <w:szCs w:val="24"/>
        </w:rPr>
        <w:t xml:space="preserve">Civil Municipal de Floridablanca, administrando justicia en nombre de la República y por autoridad de la Ley, </w:t>
      </w:r>
    </w:p>
    <w:p w14:paraId="2AD56A88" w14:textId="77777777" w:rsidR="001F7415" w:rsidRPr="00CA1F20" w:rsidRDefault="001F7415" w:rsidP="00AE3569">
      <w:pPr>
        <w:spacing w:after="0" w:line="240" w:lineRule="auto"/>
        <w:jc w:val="both"/>
        <w:rPr>
          <w:rFonts w:ascii="Bookman Old Style" w:hAnsi="Bookman Old Style" w:cs="Arial"/>
          <w:sz w:val="24"/>
          <w:szCs w:val="24"/>
        </w:rPr>
      </w:pPr>
    </w:p>
    <w:p w14:paraId="5864ADBC" w14:textId="77777777" w:rsidR="00D97475" w:rsidRPr="00CA1F20" w:rsidRDefault="00D97475" w:rsidP="00AE3569">
      <w:pPr>
        <w:pStyle w:val="Ttulo4"/>
        <w:rPr>
          <w:rFonts w:ascii="Bookman Old Style" w:hAnsi="Bookman Old Style"/>
          <w:b w:val="0"/>
          <w:sz w:val="24"/>
          <w:szCs w:val="24"/>
        </w:rPr>
      </w:pPr>
      <w:r w:rsidRPr="00CA1F20">
        <w:rPr>
          <w:rFonts w:ascii="Bookman Old Style" w:hAnsi="Bookman Old Style"/>
          <w:b w:val="0"/>
          <w:sz w:val="24"/>
          <w:szCs w:val="24"/>
        </w:rPr>
        <w:t>V. RESUELVE</w:t>
      </w:r>
    </w:p>
    <w:p w14:paraId="2969E655" w14:textId="77777777" w:rsidR="00D97475" w:rsidRPr="00CA1F20" w:rsidRDefault="00D97475" w:rsidP="00AE3569">
      <w:pPr>
        <w:spacing w:after="0" w:line="240" w:lineRule="auto"/>
        <w:rPr>
          <w:rFonts w:ascii="Bookman Old Style" w:hAnsi="Bookman Old Style"/>
          <w:sz w:val="24"/>
          <w:szCs w:val="24"/>
          <w:lang w:val="es-ES"/>
        </w:rPr>
      </w:pPr>
    </w:p>
    <w:p w14:paraId="4385E93C" w14:textId="13DAB7C8" w:rsidR="00DE32A7" w:rsidRPr="004D398E" w:rsidRDefault="00A44F36" w:rsidP="00DE32A7">
      <w:pPr>
        <w:spacing w:after="0" w:line="240" w:lineRule="auto"/>
        <w:ind w:right="-40"/>
        <w:jc w:val="both"/>
        <w:rPr>
          <w:rFonts w:ascii="Bookman Old Style" w:hAnsi="Bookman Old Style"/>
          <w:iCs/>
          <w:sz w:val="24"/>
          <w:szCs w:val="24"/>
        </w:rPr>
      </w:pPr>
      <w:r w:rsidRPr="00CA1F20">
        <w:rPr>
          <w:rFonts w:ascii="Bookman Old Style" w:hAnsi="Bookman Old Style" w:cs="Arial"/>
          <w:sz w:val="24"/>
          <w:szCs w:val="24"/>
        </w:rPr>
        <w:t>PRIMERO:</w:t>
      </w:r>
      <w:r w:rsidRPr="00CA1F20">
        <w:rPr>
          <w:rFonts w:ascii="Bookman Old Style" w:hAnsi="Bookman Old Style" w:cs="Arial"/>
          <w:sz w:val="24"/>
          <w:szCs w:val="24"/>
        </w:rPr>
        <w:tab/>
      </w:r>
      <w:r w:rsidRPr="00CA1F20">
        <w:rPr>
          <w:rFonts w:ascii="Bookman Old Style" w:hAnsi="Bookman Old Style" w:cs="Arial"/>
          <w:sz w:val="24"/>
          <w:szCs w:val="24"/>
        </w:rPr>
        <w:tab/>
      </w:r>
      <w:r w:rsidR="00ED020C">
        <w:rPr>
          <w:rFonts w:ascii="Bookman Old Style" w:hAnsi="Bookman Old Style" w:cs="Arial"/>
          <w:sz w:val="24"/>
          <w:szCs w:val="24"/>
        </w:rPr>
        <w:t xml:space="preserve">TUTELAR el derecho fundamental de petición. </w:t>
      </w:r>
    </w:p>
    <w:p w14:paraId="7F52D5E5" w14:textId="578A6A3F" w:rsidR="00A44F36" w:rsidRPr="00CA1F20" w:rsidRDefault="00A44F36" w:rsidP="00A44F36">
      <w:pPr>
        <w:spacing w:after="0" w:line="240" w:lineRule="auto"/>
        <w:ind w:right="-40"/>
        <w:jc w:val="both"/>
        <w:rPr>
          <w:rFonts w:ascii="Bookman Old Style" w:hAnsi="Bookman Old Style"/>
          <w:iCs/>
          <w:sz w:val="24"/>
          <w:szCs w:val="24"/>
        </w:rPr>
      </w:pPr>
    </w:p>
    <w:p w14:paraId="48C93E82" w14:textId="51E58CC3" w:rsidR="00ED020C" w:rsidRDefault="00A44F36" w:rsidP="00A44F36">
      <w:pPr>
        <w:spacing w:after="0" w:line="240" w:lineRule="auto"/>
        <w:ind w:right="-40"/>
        <w:jc w:val="both"/>
        <w:rPr>
          <w:rFonts w:ascii="Bookman Old Style" w:hAnsi="Bookman Old Style" w:cs="Arial"/>
          <w:sz w:val="24"/>
          <w:szCs w:val="24"/>
        </w:rPr>
      </w:pPr>
      <w:r w:rsidRPr="00CA1F20">
        <w:rPr>
          <w:rFonts w:ascii="Bookman Old Style" w:hAnsi="Bookman Old Style" w:cs="Arial"/>
          <w:sz w:val="24"/>
          <w:szCs w:val="24"/>
        </w:rPr>
        <w:t>SEGUNDO:</w:t>
      </w:r>
      <w:r w:rsidRPr="00CA1F20">
        <w:rPr>
          <w:rFonts w:ascii="Bookman Old Style" w:hAnsi="Bookman Old Style" w:cs="Arial"/>
          <w:sz w:val="24"/>
          <w:szCs w:val="24"/>
        </w:rPr>
        <w:tab/>
      </w:r>
      <w:r w:rsidRPr="00CA1F20">
        <w:rPr>
          <w:rFonts w:ascii="Bookman Old Style" w:hAnsi="Bookman Old Style" w:cs="Arial"/>
          <w:sz w:val="24"/>
          <w:szCs w:val="24"/>
        </w:rPr>
        <w:tab/>
      </w:r>
      <w:r w:rsidR="00ED020C">
        <w:rPr>
          <w:rFonts w:ascii="Bookman Old Style" w:hAnsi="Bookman Old Style" w:cs="Arial"/>
          <w:sz w:val="24"/>
          <w:szCs w:val="24"/>
        </w:rPr>
        <w:t xml:space="preserve">En </w:t>
      </w:r>
      <w:r w:rsidR="001B4FFC">
        <w:rPr>
          <w:rFonts w:ascii="Bookman Old Style" w:hAnsi="Bookman Old Style" w:cs="Arial"/>
          <w:sz w:val="24"/>
          <w:szCs w:val="24"/>
        </w:rPr>
        <w:t>consecuencia</w:t>
      </w:r>
      <w:r w:rsidR="00ED020C">
        <w:rPr>
          <w:rFonts w:ascii="Bookman Old Style" w:hAnsi="Bookman Old Style" w:cs="Arial"/>
          <w:sz w:val="24"/>
          <w:szCs w:val="24"/>
        </w:rPr>
        <w:t xml:space="preserve">, </w:t>
      </w:r>
      <w:r w:rsidR="001B4FFC">
        <w:rPr>
          <w:rFonts w:ascii="Bookman Old Style" w:hAnsi="Bookman Old Style"/>
          <w:sz w:val="24"/>
          <w:szCs w:val="24"/>
        </w:rPr>
        <w:t xml:space="preserve">ORDENAR al Banco Inmobiliario de Floridablanca que complemente su respuesta y suministre al señor José </w:t>
      </w:r>
      <w:proofErr w:type="spellStart"/>
      <w:r w:rsidR="001B4FFC">
        <w:rPr>
          <w:rFonts w:ascii="Bookman Old Style" w:hAnsi="Bookman Old Style"/>
          <w:sz w:val="24"/>
          <w:szCs w:val="24"/>
        </w:rPr>
        <w:t>Gualdrón</w:t>
      </w:r>
      <w:proofErr w:type="spellEnd"/>
      <w:r w:rsidR="001B4FFC">
        <w:rPr>
          <w:rFonts w:ascii="Bookman Old Style" w:hAnsi="Bookman Old Style"/>
          <w:sz w:val="24"/>
          <w:szCs w:val="24"/>
        </w:rPr>
        <w:t xml:space="preserve"> Guerrero el listado pedido, para lo cual se otorga un plazo de cuarenta y ocho (48) horas contadas a partir de la notificación del fallo.</w:t>
      </w:r>
    </w:p>
    <w:p w14:paraId="3FD76E75" w14:textId="77777777" w:rsidR="00ED020C" w:rsidRDefault="00ED020C" w:rsidP="00A44F36">
      <w:pPr>
        <w:spacing w:after="0" w:line="240" w:lineRule="auto"/>
        <w:ind w:right="-40"/>
        <w:jc w:val="both"/>
        <w:rPr>
          <w:rFonts w:ascii="Bookman Old Style" w:hAnsi="Bookman Old Style" w:cs="Arial"/>
          <w:sz w:val="24"/>
          <w:szCs w:val="24"/>
        </w:rPr>
      </w:pPr>
    </w:p>
    <w:p w14:paraId="27E4A85B" w14:textId="71E8F86C" w:rsidR="00A44F36" w:rsidRPr="00CA1F20" w:rsidRDefault="001B4FFC" w:rsidP="00A44F36">
      <w:pPr>
        <w:spacing w:after="0" w:line="240" w:lineRule="auto"/>
        <w:ind w:right="-40"/>
        <w:jc w:val="both"/>
        <w:rPr>
          <w:rFonts w:ascii="Bookman Old Style" w:hAnsi="Bookman Old Style" w:cs="Arial"/>
          <w:sz w:val="24"/>
          <w:szCs w:val="24"/>
        </w:rPr>
      </w:pPr>
      <w:r>
        <w:rPr>
          <w:rFonts w:ascii="Bookman Old Style" w:hAnsi="Bookman Old Style" w:cs="Arial"/>
          <w:sz w:val="24"/>
          <w:szCs w:val="24"/>
        </w:rPr>
        <w:t xml:space="preserve">TERCERO: </w:t>
      </w:r>
      <w:r>
        <w:rPr>
          <w:rFonts w:ascii="Bookman Old Style" w:hAnsi="Bookman Old Style" w:cs="Arial"/>
          <w:sz w:val="24"/>
          <w:szCs w:val="24"/>
        </w:rPr>
        <w:tab/>
      </w:r>
      <w:r>
        <w:rPr>
          <w:rFonts w:ascii="Bookman Old Style" w:hAnsi="Bookman Old Style" w:cs="Arial"/>
          <w:sz w:val="24"/>
          <w:szCs w:val="24"/>
        </w:rPr>
        <w:tab/>
      </w:r>
      <w:r w:rsidR="00A44F36" w:rsidRPr="00CA1F20">
        <w:rPr>
          <w:rFonts w:ascii="Bookman Old Style" w:hAnsi="Bookman Old Style" w:cs="Arial"/>
          <w:sz w:val="24"/>
          <w:szCs w:val="24"/>
        </w:rPr>
        <w:t>INFORMAR a las partes que el presente fallo es impugnable dentro de los tres (3) días siguientes a su notificación.</w:t>
      </w:r>
    </w:p>
    <w:p w14:paraId="0A1B6FC5" w14:textId="77777777" w:rsidR="00A44F36" w:rsidRPr="00CA1F20" w:rsidRDefault="00A44F36" w:rsidP="00A44F36">
      <w:pPr>
        <w:spacing w:after="0" w:line="240" w:lineRule="auto"/>
        <w:ind w:right="-40"/>
        <w:jc w:val="both"/>
        <w:rPr>
          <w:rFonts w:ascii="Bookman Old Style" w:hAnsi="Bookman Old Style" w:cs="Arial"/>
          <w:sz w:val="24"/>
          <w:szCs w:val="24"/>
        </w:rPr>
      </w:pPr>
    </w:p>
    <w:p w14:paraId="599BA1B2" w14:textId="4069A8CC" w:rsidR="00A44F36" w:rsidRPr="00CA1F20" w:rsidRDefault="001B4FFC" w:rsidP="00A44F36">
      <w:pPr>
        <w:spacing w:after="0" w:line="240" w:lineRule="auto"/>
        <w:ind w:right="-40"/>
        <w:jc w:val="both"/>
        <w:rPr>
          <w:rFonts w:ascii="Bookman Old Style" w:hAnsi="Bookman Old Style" w:cs="Arial"/>
          <w:sz w:val="24"/>
          <w:szCs w:val="24"/>
        </w:rPr>
      </w:pPr>
      <w:r>
        <w:rPr>
          <w:rFonts w:ascii="Bookman Old Style" w:hAnsi="Bookman Old Style"/>
          <w:sz w:val="24"/>
          <w:szCs w:val="24"/>
        </w:rPr>
        <w:t>CUART</w:t>
      </w:r>
      <w:r w:rsidR="00A44F36">
        <w:rPr>
          <w:rFonts w:ascii="Bookman Old Style" w:hAnsi="Bookman Old Style"/>
          <w:sz w:val="24"/>
          <w:szCs w:val="24"/>
        </w:rPr>
        <w:t>O</w:t>
      </w:r>
      <w:r w:rsidR="00A44F36" w:rsidRPr="00CA1F20">
        <w:rPr>
          <w:rFonts w:ascii="Bookman Old Style" w:hAnsi="Bookman Old Style"/>
          <w:sz w:val="24"/>
          <w:szCs w:val="24"/>
        </w:rPr>
        <w:t xml:space="preserve">: </w:t>
      </w:r>
      <w:r w:rsidR="00A44F36" w:rsidRPr="00CA1F20">
        <w:rPr>
          <w:rFonts w:ascii="Bookman Old Style" w:hAnsi="Bookman Old Style"/>
          <w:sz w:val="24"/>
          <w:szCs w:val="24"/>
        </w:rPr>
        <w:tab/>
      </w:r>
      <w:r w:rsidR="00A44F36" w:rsidRPr="00CA1F20">
        <w:rPr>
          <w:rFonts w:ascii="Bookman Old Style" w:hAnsi="Bookman Old Style"/>
          <w:sz w:val="24"/>
          <w:szCs w:val="24"/>
        </w:rPr>
        <w:tab/>
      </w:r>
      <w:r w:rsidR="009042CA">
        <w:rPr>
          <w:rFonts w:ascii="Bookman Old Style" w:hAnsi="Bookman Old Style" w:cs="Arial"/>
          <w:sz w:val="24"/>
          <w:szCs w:val="24"/>
        </w:rPr>
        <w:t>Si el presente</w:t>
      </w:r>
      <w:r w:rsidR="00A44F36" w:rsidRPr="00CA1F20">
        <w:rPr>
          <w:rFonts w:ascii="Bookman Old Style" w:hAnsi="Bookman Old Style" w:cs="Arial"/>
          <w:sz w:val="24"/>
          <w:szCs w:val="24"/>
        </w:rPr>
        <w:t xml:space="preserve"> fallo no fuere impugnado, </w:t>
      </w:r>
      <w:r w:rsidR="009042CA">
        <w:rPr>
          <w:rFonts w:ascii="Bookman Old Style" w:hAnsi="Bookman Old Style" w:cs="Arial"/>
          <w:sz w:val="24"/>
          <w:szCs w:val="24"/>
        </w:rPr>
        <w:t xml:space="preserve">remítase el expediente </w:t>
      </w:r>
      <w:r w:rsidR="00A44F36" w:rsidRPr="00CA1F20">
        <w:rPr>
          <w:rFonts w:ascii="Bookman Old Style" w:hAnsi="Bookman Old Style" w:cs="Arial"/>
          <w:sz w:val="24"/>
          <w:szCs w:val="24"/>
        </w:rPr>
        <w:t>a la Corte Constitucional para su eventual revisión, tal como lo dispone el artículo 31 del Decreto 2591 de 1991.</w:t>
      </w:r>
    </w:p>
    <w:p w14:paraId="42970E4B" w14:textId="77777777" w:rsidR="00A44F36" w:rsidRDefault="00A44F36" w:rsidP="00A44F36">
      <w:pPr>
        <w:spacing w:after="0" w:line="240" w:lineRule="auto"/>
        <w:jc w:val="both"/>
        <w:rPr>
          <w:rFonts w:ascii="Bookman Old Style" w:hAnsi="Bookman Old Style" w:cs="Arial"/>
          <w:sz w:val="24"/>
          <w:szCs w:val="24"/>
        </w:rPr>
      </w:pPr>
    </w:p>
    <w:p w14:paraId="3DDC20E5" w14:textId="77777777" w:rsidR="00E420A6" w:rsidRPr="00CA1F20" w:rsidRDefault="00E420A6" w:rsidP="00AE3569">
      <w:pPr>
        <w:spacing w:after="0" w:line="240" w:lineRule="auto"/>
        <w:jc w:val="both"/>
        <w:rPr>
          <w:rFonts w:ascii="Bookman Old Style" w:hAnsi="Bookman Old Style" w:cs="Arial"/>
          <w:sz w:val="24"/>
          <w:szCs w:val="24"/>
        </w:rPr>
      </w:pPr>
    </w:p>
    <w:p w14:paraId="40E6CE07" w14:textId="77777777" w:rsidR="00D97475" w:rsidRPr="00CA1F20" w:rsidRDefault="00D97475" w:rsidP="00AE3569">
      <w:pPr>
        <w:spacing w:after="0" w:line="240" w:lineRule="auto"/>
        <w:jc w:val="center"/>
        <w:rPr>
          <w:rFonts w:ascii="Bookman Old Style" w:hAnsi="Bookman Old Style" w:cs="Arial"/>
          <w:sz w:val="24"/>
          <w:szCs w:val="24"/>
        </w:rPr>
      </w:pPr>
      <w:r w:rsidRPr="00CA1F20">
        <w:rPr>
          <w:rFonts w:ascii="Bookman Old Style" w:hAnsi="Bookman Old Style" w:cs="Arial"/>
          <w:sz w:val="24"/>
          <w:szCs w:val="24"/>
        </w:rPr>
        <w:t>NOTIFÍQUESE Y CÚMPLASE</w:t>
      </w:r>
    </w:p>
    <w:p w14:paraId="717ABE67" w14:textId="77777777" w:rsidR="00D97475" w:rsidRPr="00CA1F20" w:rsidRDefault="00D97475" w:rsidP="00AE3569">
      <w:pPr>
        <w:spacing w:after="0" w:line="240" w:lineRule="auto"/>
        <w:jc w:val="center"/>
        <w:rPr>
          <w:rFonts w:ascii="Bookman Old Style" w:hAnsi="Bookman Old Style" w:cs="Arial"/>
          <w:sz w:val="24"/>
          <w:szCs w:val="24"/>
        </w:rPr>
      </w:pPr>
    </w:p>
    <w:p w14:paraId="0CE769C9" w14:textId="77777777" w:rsidR="00D97475" w:rsidRDefault="00D97475" w:rsidP="00AE3569">
      <w:pPr>
        <w:spacing w:after="0" w:line="240" w:lineRule="auto"/>
        <w:jc w:val="center"/>
        <w:rPr>
          <w:rFonts w:ascii="Bookman Old Style" w:hAnsi="Bookman Old Style" w:cs="Arial"/>
          <w:sz w:val="24"/>
          <w:szCs w:val="24"/>
        </w:rPr>
      </w:pPr>
    </w:p>
    <w:p w14:paraId="2C038593" w14:textId="77777777" w:rsidR="00EC7D50" w:rsidRPr="00CA1F20" w:rsidRDefault="00EC7D50" w:rsidP="00AE3569">
      <w:pPr>
        <w:spacing w:after="0" w:line="240" w:lineRule="auto"/>
        <w:jc w:val="center"/>
        <w:rPr>
          <w:rFonts w:ascii="Bookman Old Style" w:hAnsi="Bookman Old Style" w:cs="Arial"/>
          <w:sz w:val="24"/>
          <w:szCs w:val="24"/>
        </w:rPr>
      </w:pPr>
    </w:p>
    <w:p w14:paraId="2694CEDD" w14:textId="77777777" w:rsidR="00512E59" w:rsidRDefault="00512E59" w:rsidP="00AE3569">
      <w:pPr>
        <w:spacing w:after="0" w:line="240" w:lineRule="auto"/>
        <w:rPr>
          <w:rFonts w:ascii="Bookman Old Style" w:hAnsi="Bookman Old Style" w:cs="Arial"/>
          <w:sz w:val="24"/>
          <w:szCs w:val="24"/>
        </w:rPr>
      </w:pPr>
    </w:p>
    <w:p w14:paraId="35D0A98F" w14:textId="77777777" w:rsidR="00D97475" w:rsidRPr="00CA1F20" w:rsidRDefault="00D97475" w:rsidP="00AE3569">
      <w:pPr>
        <w:spacing w:after="0" w:line="240" w:lineRule="auto"/>
        <w:jc w:val="center"/>
        <w:rPr>
          <w:rFonts w:ascii="Bookman Old Style" w:hAnsi="Bookman Old Style" w:cs="Arial"/>
          <w:sz w:val="24"/>
          <w:szCs w:val="24"/>
        </w:rPr>
      </w:pPr>
      <w:r w:rsidRPr="00CA1F20">
        <w:rPr>
          <w:rFonts w:ascii="Bookman Old Style" w:hAnsi="Bookman Old Style" w:cs="Arial"/>
          <w:sz w:val="24"/>
          <w:szCs w:val="24"/>
        </w:rPr>
        <w:t>DANILO ALARCÓN MÉNDEZ</w:t>
      </w:r>
    </w:p>
    <w:p w14:paraId="2105B269" w14:textId="77777777" w:rsidR="00D97475" w:rsidRPr="00CA1F20" w:rsidRDefault="00D97475" w:rsidP="00AE3569">
      <w:pPr>
        <w:spacing w:after="0" w:line="240" w:lineRule="auto"/>
        <w:jc w:val="center"/>
        <w:rPr>
          <w:rFonts w:ascii="Bookman Old Style" w:hAnsi="Bookman Old Style"/>
          <w:sz w:val="24"/>
          <w:szCs w:val="24"/>
        </w:rPr>
      </w:pPr>
      <w:r w:rsidRPr="00CA1F20">
        <w:rPr>
          <w:rFonts w:ascii="Bookman Old Style" w:hAnsi="Bookman Old Style" w:cs="Arial"/>
          <w:sz w:val="24"/>
          <w:szCs w:val="24"/>
        </w:rPr>
        <w:t>Juez</w:t>
      </w:r>
    </w:p>
    <w:sectPr w:rsidR="00D97475" w:rsidRPr="00CA1F20" w:rsidSect="00006EBB">
      <w:headerReference w:type="default" r:id="rId10"/>
      <w:footerReference w:type="default" r:id="rId11"/>
      <w:pgSz w:w="12242" w:h="18722" w:code="14"/>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15936" w14:textId="77777777" w:rsidR="00AE39D1" w:rsidRDefault="00AE39D1" w:rsidP="00FB6FFA">
      <w:pPr>
        <w:spacing w:after="0" w:line="240" w:lineRule="auto"/>
      </w:pPr>
      <w:r>
        <w:separator/>
      </w:r>
    </w:p>
  </w:endnote>
  <w:endnote w:type="continuationSeparator" w:id="0">
    <w:p w14:paraId="2C0E8AF7" w14:textId="77777777" w:rsidR="00AE39D1" w:rsidRDefault="00AE39D1" w:rsidP="00FB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sz w:val="20"/>
        <w:szCs w:val="20"/>
      </w:rPr>
      <w:id w:val="1883590947"/>
      <w:docPartObj>
        <w:docPartGallery w:val="Page Numbers (Bottom of Page)"/>
        <w:docPartUnique/>
      </w:docPartObj>
    </w:sdtPr>
    <w:sdtEndPr/>
    <w:sdtContent>
      <w:sdt>
        <w:sdtPr>
          <w:rPr>
            <w:rFonts w:ascii="Bookman Old Style" w:hAnsi="Bookman Old Style"/>
            <w:sz w:val="20"/>
            <w:szCs w:val="20"/>
          </w:rPr>
          <w:id w:val="-1769616900"/>
          <w:docPartObj>
            <w:docPartGallery w:val="Page Numbers (Top of Page)"/>
            <w:docPartUnique/>
          </w:docPartObj>
        </w:sdtPr>
        <w:sdtEndPr/>
        <w:sdtContent>
          <w:p w14:paraId="4A5F5812" w14:textId="77777777" w:rsidR="00AE39D1" w:rsidRPr="00B630CD" w:rsidRDefault="00AE39D1">
            <w:pPr>
              <w:pStyle w:val="Piedepgina"/>
              <w:jc w:val="right"/>
              <w:rPr>
                <w:rFonts w:ascii="Bookman Old Style" w:hAnsi="Bookman Old Style"/>
                <w:sz w:val="20"/>
                <w:szCs w:val="20"/>
              </w:rPr>
            </w:pPr>
            <w:r w:rsidRPr="00B630CD">
              <w:rPr>
                <w:rFonts w:ascii="Bookman Old Style" w:hAnsi="Bookman Old Style"/>
                <w:sz w:val="20"/>
                <w:szCs w:val="20"/>
                <w:lang w:val="es-ES"/>
              </w:rPr>
              <w:t xml:space="preserve">Página </w:t>
            </w:r>
            <w:r w:rsidRPr="00B630CD">
              <w:rPr>
                <w:rFonts w:ascii="Bookman Old Style" w:hAnsi="Bookman Old Style"/>
                <w:b/>
                <w:bCs/>
                <w:sz w:val="20"/>
                <w:szCs w:val="20"/>
              </w:rPr>
              <w:fldChar w:fldCharType="begin"/>
            </w:r>
            <w:r w:rsidRPr="00B630CD">
              <w:rPr>
                <w:rFonts w:ascii="Bookman Old Style" w:hAnsi="Bookman Old Style"/>
                <w:b/>
                <w:bCs/>
                <w:sz w:val="20"/>
                <w:szCs w:val="20"/>
              </w:rPr>
              <w:instrText>PAGE</w:instrText>
            </w:r>
            <w:r w:rsidRPr="00B630CD">
              <w:rPr>
                <w:rFonts w:ascii="Bookman Old Style" w:hAnsi="Bookman Old Style"/>
                <w:b/>
                <w:bCs/>
                <w:sz w:val="20"/>
                <w:szCs w:val="20"/>
              </w:rPr>
              <w:fldChar w:fldCharType="separate"/>
            </w:r>
            <w:r w:rsidR="007613C1">
              <w:rPr>
                <w:rFonts w:ascii="Bookman Old Style" w:hAnsi="Bookman Old Style"/>
                <w:b/>
                <w:bCs/>
                <w:noProof/>
                <w:sz w:val="20"/>
                <w:szCs w:val="20"/>
              </w:rPr>
              <w:t>4</w:t>
            </w:r>
            <w:r w:rsidRPr="00B630CD">
              <w:rPr>
                <w:rFonts w:ascii="Bookman Old Style" w:hAnsi="Bookman Old Style"/>
                <w:b/>
                <w:bCs/>
                <w:sz w:val="20"/>
                <w:szCs w:val="20"/>
              </w:rPr>
              <w:fldChar w:fldCharType="end"/>
            </w:r>
            <w:r w:rsidRPr="00B630CD">
              <w:rPr>
                <w:rFonts w:ascii="Bookman Old Style" w:hAnsi="Bookman Old Style"/>
                <w:sz w:val="20"/>
                <w:szCs w:val="20"/>
                <w:lang w:val="es-ES"/>
              </w:rPr>
              <w:t xml:space="preserve"> de </w:t>
            </w:r>
            <w:r w:rsidRPr="00B630CD">
              <w:rPr>
                <w:rFonts w:ascii="Bookman Old Style" w:hAnsi="Bookman Old Style"/>
                <w:b/>
                <w:bCs/>
                <w:sz w:val="20"/>
                <w:szCs w:val="20"/>
              </w:rPr>
              <w:fldChar w:fldCharType="begin"/>
            </w:r>
            <w:r w:rsidRPr="00B630CD">
              <w:rPr>
                <w:rFonts w:ascii="Bookman Old Style" w:hAnsi="Bookman Old Style"/>
                <w:b/>
                <w:bCs/>
                <w:sz w:val="20"/>
                <w:szCs w:val="20"/>
              </w:rPr>
              <w:instrText>NUMPAGES</w:instrText>
            </w:r>
            <w:r w:rsidRPr="00B630CD">
              <w:rPr>
                <w:rFonts w:ascii="Bookman Old Style" w:hAnsi="Bookman Old Style"/>
                <w:b/>
                <w:bCs/>
                <w:sz w:val="20"/>
                <w:szCs w:val="20"/>
              </w:rPr>
              <w:fldChar w:fldCharType="separate"/>
            </w:r>
            <w:r w:rsidR="007613C1">
              <w:rPr>
                <w:rFonts w:ascii="Bookman Old Style" w:hAnsi="Bookman Old Style"/>
                <w:b/>
                <w:bCs/>
                <w:noProof/>
                <w:sz w:val="20"/>
                <w:szCs w:val="20"/>
              </w:rPr>
              <w:t>4</w:t>
            </w:r>
            <w:r w:rsidRPr="00B630CD">
              <w:rPr>
                <w:rFonts w:ascii="Bookman Old Style" w:hAnsi="Bookman Old Style"/>
                <w:b/>
                <w:bCs/>
                <w:sz w:val="20"/>
                <w:szCs w:val="20"/>
              </w:rPr>
              <w:fldChar w:fldCharType="end"/>
            </w:r>
          </w:p>
        </w:sdtContent>
      </w:sdt>
    </w:sdtContent>
  </w:sdt>
  <w:p w14:paraId="46C278EA" w14:textId="77777777" w:rsidR="00AE39D1" w:rsidRDefault="00AE39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0EAC1" w14:textId="77777777" w:rsidR="00AE39D1" w:rsidRDefault="00AE39D1" w:rsidP="00FB6FFA">
      <w:pPr>
        <w:spacing w:after="0" w:line="240" w:lineRule="auto"/>
      </w:pPr>
      <w:r>
        <w:separator/>
      </w:r>
    </w:p>
  </w:footnote>
  <w:footnote w:type="continuationSeparator" w:id="0">
    <w:p w14:paraId="0BC2DE00" w14:textId="77777777" w:rsidR="00AE39D1" w:rsidRDefault="00AE39D1" w:rsidP="00FB6FFA">
      <w:pPr>
        <w:spacing w:after="0" w:line="240" w:lineRule="auto"/>
      </w:pPr>
      <w:r>
        <w:continuationSeparator/>
      </w:r>
    </w:p>
  </w:footnote>
  <w:footnote w:id="1">
    <w:p w14:paraId="58C30604" w14:textId="77777777" w:rsidR="00AA07A9" w:rsidRDefault="00AA07A9" w:rsidP="00AA07A9">
      <w:pPr>
        <w:pStyle w:val="Textonotapie"/>
        <w:ind w:right="-164"/>
      </w:pPr>
      <w:r w:rsidRPr="00DA1F54">
        <w:rPr>
          <w:rStyle w:val="Refdenotaalpie"/>
        </w:rPr>
        <w:footnoteRef/>
      </w:r>
      <w:r w:rsidRPr="00DA1F54">
        <w:t xml:space="preserve"> </w:t>
      </w:r>
      <w:r w:rsidRPr="00DA1F54">
        <w:rPr>
          <w:i/>
        </w:rPr>
        <w:t>Cfr</w:t>
      </w:r>
      <w:r w:rsidRPr="00DA1F54">
        <w:t>. Sentencia T-157 de 2010.</w:t>
      </w:r>
    </w:p>
  </w:footnote>
  <w:footnote w:id="2">
    <w:p w14:paraId="4CCAB9DE" w14:textId="77777777" w:rsidR="00AA07A9" w:rsidRDefault="00AA07A9" w:rsidP="00AA07A9">
      <w:pPr>
        <w:tabs>
          <w:tab w:val="left" w:pos="3119"/>
        </w:tabs>
        <w:spacing w:line="240" w:lineRule="atLeast"/>
        <w:ind w:right="-164"/>
        <w:jc w:val="both"/>
      </w:pPr>
      <w:r w:rsidRPr="00930CB8">
        <w:rPr>
          <w:rStyle w:val="Refdenotaalpie"/>
        </w:rPr>
        <w:footnoteRef/>
      </w:r>
      <w:r w:rsidRPr="00930CB8">
        <w:rPr>
          <w:sz w:val="20"/>
          <w:szCs w:val="20"/>
        </w:rPr>
        <w:t xml:space="preserve"> Al respecto puede consultarse, entre otras, la sentencia T-464 de </w:t>
      </w:r>
      <w:smartTag w:uri="urn:schemas-microsoft-com:office:smarttags" w:element="metricconverter">
        <w:smartTagPr>
          <w:attr w:name="ProductID" w:val="1992. M"/>
        </w:smartTagPr>
        <w:r w:rsidRPr="00930CB8">
          <w:rPr>
            <w:sz w:val="20"/>
            <w:szCs w:val="20"/>
          </w:rPr>
          <w:t>1992. M</w:t>
        </w:r>
      </w:smartTag>
      <w:r w:rsidRPr="00930CB8">
        <w:rPr>
          <w:sz w:val="20"/>
          <w:szCs w:val="20"/>
        </w:rPr>
        <w:t>.P. Eduardo Cifuentes Muñoz: “</w:t>
      </w:r>
      <w:r w:rsidRPr="00930CB8">
        <w:rPr>
          <w:i/>
          <w:sz w:val="20"/>
          <w:szCs w:val="20"/>
        </w:rPr>
        <w:t xml:space="preserve">La efectividad del derecho a obtener copias es manifestación concreta del derecho a obtener pronta resolución a las peticiones formuladas que también hace parte del núcleo esencial del derecho de petición. // También es contrario al derecho constitucional de petición, tratándose de la protección inmediata de su núcleo esencial, exigir luego de consumado el silencio administrativo especial a que se refiere el artículo 25 de </w:t>
      </w:r>
      <w:smartTag w:uri="urn:schemas-microsoft-com:office:smarttags" w:element="PersonName">
        <w:smartTagPr>
          <w:attr w:name="ProductID" w:val="la Ley"/>
        </w:smartTagPr>
        <w:r w:rsidRPr="00930CB8">
          <w:rPr>
            <w:i/>
            <w:sz w:val="20"/>
            <w:szCs w:val="20"/>
          </w:rPr>
          <w:t>la Ley</w:t>
        </w:r>
      </w:smartTag>
      <w:r w:rsidRPr="00930CB8">
        <w:rPr>
          <w:i/>
          <w:sz w:val="20"/>
          <w:szCs w:val="20"/>
        </w:rPr>
        <w:t xml:space="preserve"> 57 de 1985, otros requisitos adicionales a la simple solicitud de entrega de las copias. Su entrega debe tener lugar dentro de los tres (3) días inmediatamente siguientes, sin necesidad -contrariamente a lo que supone el fallador de segunda instancia- de protocolizar la constancia de la solicitud presentada o declaraciones juramentadas sobre la no contestación (artículo </w:t>
      </w:r>
      <w:smartTag w:uri="urn:schemas-microsoft-com:office:smarttags" w:element="metricconverter">
        <w:smartTagPr>
          <w:attr w:name="ProductID" w:val="42 C"/>
        </w:smartTagPr>
        <w:r w:rsidRPr="00930CB8">
          <w:rPr>
            <w:i/>
            <w:sz w:val="20"/>
            <w:szCs w:val="20"/>
          </w:rPr>
          <w:t>42 C</w:t>
        </w:r>
      </w:smartTag>
      <w:r w:rsidRPr="00930CB8">
        <w:rPr>
          <w:i/>
          <w:sz w:val="20"/>
          <w:szCs w:val="20"/>
        </w:rPr>
        <w:t xml:space="preserve">.C.A.), requisitos contrarios al procedimiento especial y perentorio del derecho a obtener copias, así como violatorios de la presunción de buena fe en las actuaciones ante las autoridades (CP art. 83).// Por último, la negativa de la autoridad pública a contestar dentro del plazo legal la solicitud de copias de un documento público, vulnera igualmente el derecho constitucional a acceder a los documentos públicos, consagrado en el artículo 74 de </w:t>
      </w:r>
      <w:smartTag w:uri="urn:schemas-microsoft-com:office:smarttags" w:element="PersonName">
        <w:smartTagPr>
          <w:attr w:name="ProductID" w:val="la Constitución.”"/>
        </w:smartTagPr>
        <w:r w:rsidRPr="00930CB8">
          <w:rPr>
            <w:i/>
            <w:sz w:val="20"/>
            <w:szCs w:val="20"/>
          </w:rPr>
          <w:t>la Constitución.</w:t>
        </w:r>
        <w:r w:rsidRPr="00930CB8">
          <w:rPr>
            <w:sz w:val="20"/>
            <w:szCs w:val="20"/>
          </w:rPr>
          <w:t>”</w:t>
        </w:r>
      </w:smartTag>
      <w:r w:rsidRPr="00930CB8">
        <w:rPr>
          <w:sz w:val="20"/>
          <w:szCs w:val="20"/>
        </w:rPr>
        <w:t>.</w:t>
      </w:r>
    </w:p>
  </w:footnote>
  <w:footnote w:id="3">
    <w:p w14:paraId="18496180" w14:textId="77777777" w:rsidR="00AA07A9" w:rsidRDefault="00AA07A9" w:rsidP="00AA07A9">
      <w:pPr>
        <w:pStyle w:val="Textonotapie"/>
        <w:ind w:right="-164"/>
      </w:pPr>
      <w:r w:rsidRPr="00930CB8">
        <w:rPr>
          <w:rStyle w:val="Refdenotaalpie"/>
        </w:rPr>
        <w:footnoteRef/>
      </w:r>
      <w:r w:rsidRPr="00930CB8">
        <w:t xml:space="preserve"> Sentencia T-473 de </w:t>
      </w:r>
      <w:smartTag w:uri="urn:schemas-microsoft-com:office:smarttags" w:element="metricconverter">
        <w:smartTagPr>
          <w:attr w:name="ProductID" w:val="1992. M"/>
        </w:smartTagPr>
        <w:r w:rsidRPr="00930CB8">
          <w:t>1992. M</w:t>
        </w:r>
      </w:smartTag>
      <w:r w:rsidRPr="00930CB8">
        <w:t>.P. Ciro Angarita Barón.</w:t>
      </w:r>
    </w:p>
  </w:footnote>
  <w:footnote w:id="4">
    <w:p w14:paraId="522E3BE6" w14:textId="77777777" w:rsidR="00AA07A9" w:rsidRDefault="00AA07A9" w:rsidP="00AA07A9">
      <w:pPr>
        <w:spacing w:line="240" w:lineRule="atLeast"/>
        <w:ind w:right="-164"/>
        <w:jc w:val="both"/>
      </w:pPr>
      <w:r w:rsidRPr="00930CB8">
        <w:rPr>
          <w:rStyle w:val="Refdenotaalpie"/>
        </w:rPr>
        <w:footnoteRef/>
      </w:r>
      <w:r w:rsidRPr="00930CB8">
        <w:rPr>
          <w:sz w:val="20"/>
          <w:szCs w:val="20"/>
        </w:rPr>
        <w:t xml:space="preserve"> Sentencia T-158/94 M.P. Hernando Herrera Vergara. En el mismo sentido, puede consultarse la sentencia T-163 de </w:t>
      </w:r>
      <w:smartTag w:uri="urn:schemas-microsoft-com:office:smarttags" w:element="metricconverter">
        <w:smartTagPr>
          <w:attr w:name="ProductID" w:val="1994. M"/>
        </w:smartTagPr>
        <w:r w:rsidRPr="00930CB8">
          <w:rPr>
            <w:sz w:val="20"/>
            <w:szCs w:val="20"/>
          </w:rPr>
          <w:t>1994. M</w:t>
        </w:r>
      </w:smartTag>
      <w:r w:rsidRPr="00930CB8">
        <w:rPr>
          <w:sz w:val="20"/>
          <w:szCs w:val="20"/>
        </w:rPr>
        <w:t>.P. Hernando Herrera Vergara.</w:t>
      </w:r>
    </w:p>
  </w:footnote>
  <w:footnote w:id="5">
    <w:p w14:paraId="52BCBC92" w14:textId="77777777" w:rsidR="00AA07A9" w:rsidRDefault="00AA07A9" w:rsidP="00AA07A9">
      <w:pPr>
        <w:pStyle w:val="Textonotapie"/>
        <w:ind w:right="-164"/>
      </w:pPr>
      <w:r w:rsidRPr="00930CB8">
        <w:rPr>
          <w:rStyle w:val="Refdenotaalpie"/>
        </w:rPr>
        <w:footnoteRef/>
      </w:r>
      <w:r w:rsidRPr="00930CB8">
        <w:t xml:space="preserve"> M.P. Manuel José Cepeda Espinosa. En esa oportunidad </w:t>
      </w:r>
      <w:smartTag w:uri="urn:schemas-microsoft-com:office:smarttags" w:element="PersonName">
        <w:smartTagPr>
          <w:attr w:name="ProductID" w:val="la Corte"/>
        </w:smartTagPr>
        <w:r w:rsidRPr="00930CB8">
          <w:t>la Corte</w:t>
        </w:r>
      </w:smartTag>
      <w:r w:rsidRPr="00930CB8">
        <w:t xml:space="preserve"> concedió la tutela al agente oficioso de </w:t>
      </w:r>
      <w:smartTag w:uri="urn:schemas-microsoft-com:office:smarttags" w:element="PersonName">
        <w:smartTagPr>
          <w:attr w:name="ProductID" w:val="la Comunidad"/>
        </w:smartTagPr>
        <w:r w:rsidRPr="00930CB8">
          <w:t>la Comunidad</w:t>
        </w:r>
      </w:smartTag>
      <w:r w:rsidRPr="00930CB8">
        <w:t xml:space="preserve"> de Paz de San José de Apartadó, a quien le habían negado información sobre los nombres de los miembros de </w:t>
      </w:r>
      <w:smartTag w:uri="urn:schemas-microsoft-com:office:smarttags" w:element="PersonName">
        <w:smartTagPr>
          <w:attr w:name="ProductID" w:val="la Fuerza P￺blica"/>
        </w:smartTagPr>
        <w:r w:rsidRPr="00930CB8">
          <w:t>la Fuerza Pública</w:t>
        </w:r>
      </w:smartTag>
      <w:r w:rsidRPr="00930CB8">
        <w:t xml:space="preserve"> que se encontraban en determinados lugares, en ciertas fechas y horas. </w:t>
      </w:r>
    </w:p>
  </w:footnote>
  <w:footnote w:id="6">
    <w:p w14:paraId="2D9B1AF6" w14:textId="77777777" w:rsidR="00AA07A9" w:rsidRDefault="00AA07A9" w:rsidP="00AA07A9">
      <w:pPr>
        <w:pStyle w:val="Textonotapie"/>
        <w:ind w:right="-164"/>
      </w:pPr>
      <w:r w:rsidRPr="00930CB8">
        <w:rPr>
          <w:rStyle w:val="Refdenotaalpie"/>
        </w:rPr>
        <w:footnoteRef/>
      </w:r>
      <w:r w:rsidRPr="00930CB8">
        <w:t xml:space="preserve"> M.P. Jaime Córdoba Triviño. La sentencia contó con el salvamento de voto del magistrado Jaime </w:t>
      </w:r>
      <w:proofErr w:type="spellStart"/>
      <w:r w:rsidRPr="00930CB8">
        <w:t>Araújo</w:t>
      </w:r>
      <w:proofErr w:type="spellEnd"/>
      <w:r w:rsidRPr="00930CB8">
        <w:t xml:space="preserve"> Rentería. La sentencia versó sobre una demanda de inconstitucionalidad presentada contra </w:t>
      </w:r>
      <w:smartTag w:uri="urn:schemas-microsoft-com:office:smarttags" w:element="PersonName">
        <w:smartTagPr>
          <w:attr w:name="ProductID" w:val="la Ley"/>
        </w:smartTagPr>
        <w:r w:rsidRPr="00930CB8">
          <w:t>la Ley</w:t>
        </w:r>
      </w:smartTag>
      <w:r w:rsidRPr="00930CB8">
        <w:t xml:space="preserve"> 1097 de 2006, “por la cual se regulan los gastos reservados.” </w:t>
      </w:r>
    </w:p>
  </w:footnote>
  <w:footnote w:id="7">
    <w:p w14:paraId="326614C0" w14:textId="77777777" w:rsidR="00AA07A9" w:rsidRDefault="00AA07A9" w:rsidP="00AA07A9">
      <w:pPr>
        <w:pStyle w:val="Textonotapie"/>
        <w:ind w:right="-164"/>
      </w:pPr>
      <w:r w:rsidRPr="00930CB8">
        <w:rPr>
          <w:rStyle w:val="Refdenotaalpie"/>
        </w:rPr>
        <w:footnoteRef/>
      </w:r>
      <w:r w:rsidRPr="00930CB8">
        <w:t xml:space="preserve"> Sentencia T-1025 de </w:t>
      </w:r>
      <w:smartTag w:uri="urn:schemas-microsoft-com:office:smarttags" w:element="metricconverter">
        <w:smartTagPr>
          <w:attr w:name="ProductID" w:val="2007. M"/>
        </w:smartTagPr>
        <w:r w:rsidRPr="00930CB8">
          <w:t>2007. M</w:t>
        </w:r>
      </w:smartTag>
      <w:r w:rsidRPr="00930CB8">
        <w:t>.P. Manuel José Cepeda Espinosa.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0BD58" w14:textId="639B061E" w:rsidR="00AE39D1" w:rsidRDefault="009A0B6C" w:rsidP="00FB6FFA">
    <w:pPr>
      <w:pStyle w:val="Default"/>
      <w:rPr>
        <w:sz w:val="20"/>
        <w:szCs w:val="20"/>
      </w:rPr>
    </w:pPr>
    <w:r>
      <w:rPr>
        <w:sz w:val="20"/>
        <w:szCs w:val="20"/>
      </w:rPr>
      <w:t>Tutela:</w:t>
    </w:r>
    <w:r>
      <w:rPr>
        <w:sz w:val="20"/>
        <w:szCs w:val="20"/>
      </w:rPr>
      <w:tab/>
    </w:r>
    <w:r>
      <w:rPr>
        <w:sz w:val="20"/>
        <w:szCs w:val="20"/>
      </w:rPr>
      <w:tab/>
      <w:t>2019-00196-00 (concede</w:t>
    </w:r>
    <w:r w:rsidR="00AE39D1">
      <w:rPr>
        <w:sz w:val="20"/>
        <w:szCs w:val="20"/>
      </w:rPr>
      <w:t>)</w:t>
    </w:r>
  </w:p>
  <w:p w14:paraId="365C98F5" w14:textId="27AB7B50" w:rsidR="00AE39D1" w:rsidRDefault="00AE39D1" w:rsidP="00FB6FFA">
    <w:pPr>
      <w:pStyle w:val="Default"/>
      <w:rPr>
        <w:sz w:val="20"/>
        <w:szCs w:val="20"/>
      </w:rPr>
    </w:pPr>
    <w:r>
      <w:rPr>
        <w:sz w:val="20"/>
        <w:szCs w:val="20"/>
      </w:rPr>
      <w:t>Accionante:</w:t>
    </w:r>
    <w:r>
      <w:rPr>
        <w:sz w:val="20"/>
        <w:szCs w:val="20"/>
      </w:rPr>
      <w:tab/>
      <w:t xml:space="preserve">José </w:t>
    </w:r>
    <w:proofErr w:type="spellStart"/>
    <w:r>
      <w:rPr>
        <w:sz w:val="20"/>
        <w:szCs w:val="20"/>
      </w:rPr>
      <w:t>Gualdrón</w:t>
    </w:r>
    <w:proofErr w:type="spellEnd"/>
    <w:r>
      <w:rPr>
        <w:sz w:val="20"/>
        <w:szCs w:val="20"/>
      </w:rPr>
      <w:t xml:space="preserve"> Guerrero, c.</w:t>
    </w:r>
    <w:r w:rsidR="009A0B6C">
      <w:rPr>
        <w:sz w:val="20"/>
        <w:szCs w:val="20"/>
      </w:rPr>
      <w:t xml:space="preserve"> </w:t>
    </w:r>
    <w:r>
      <w:rPr>
        <w:sz w:val="20"/>
        <w:szCs w:val="20"/>
      </w:rPr>
      <w:t xml:space="preserve">c. </w:t>
    </w:r>
    <w:r w:rsidR="009A0B6C">
      <w:rPr>
        <w:sz w:val="20"/>
        <w:szCs w:val="20"/>
      </w:rPr>
      <w:t xml:space="preserve"># </w:t>
    </w:r>
    <w:r>
      <w:rPr>
        <w:sz w:val="20"/>
        <w:szCs w:val="20"/>
      </w:rPr>
      <w:t>91.261.484.</w:t>
    </w:r>
  </w:p>
  <w:p w14:paraId="1964CD7E" w14:textId="1766E3AF" w:rsidR="00AE39D1" w:rsidRDefault="00AE39D1" w:rsidP="00FB6FFA">
    <w:pPr>
      <w:pStyle w:val="Default"/>
      <w:rPr>
        <w:sz w:val="20"/>
        <w:szCs w:val="20"/>
      </w:rPr>
    </w:pPr>
    <w:r>
      <w:rPr>
        <w:sz w:val="20"/>
        <w:szCs w:val="20"/>
      </w:rPr>
      <w:t>Accionados:</w:t>
    </w:r>
    <w:r>
      <w:rPr>
        <w:sz w:val="20"/>
        <w:szCs w:val="20"/>
      </w:rPr>
      <w:tab/>
      <w:t xml:space="preserve">Banco </w:t>
    </w:r>
    <w:r w:rsidR="009A0B6C">
      <w:rPr>
        <w:sz w:val="20"/>
        <w:szCs w:val="20"/>
      </w:rPr>
      <w:t xml:space="preserve">Inmobiliario </w:t>
    </w:r>
    <w:r>
      <w:rPr>
        <w:sz w:val="20"/>
        <w:szCs w:val="20"/>
      </w:rPr>
      <w:t>de Floridablanca – Alcaldía Municipal de Floridablanca</w:t>
    </w:r>
    <w:r w:rsidR="009A0B6C">
      <w:rPr>
        <w:sz w:val="20"/>
        <w:szCs w:val="20"/>
      </w:rPr>
      <w:t>.</w:t>
    </w:r>
  </w:p>
  <w:p w14:paraId="4B2C101F" w14:textId="77777777" w:rsidR="00AE39D1" w:rsidRDefault="00AE39D1" w:rsidP="00FB6FFA">
    <w:pPr>
      <w:pStyle w:val="Default"/>
      <w:rPr>
        <w:sz w:val="20"/>
        <w:szCs w:val="20"/>
      </w:rPr>
    </w:pPr>
  </w:p>
  <w:p w14:paraId="74735BB0" w14:textId="77777777" w:rsidR="00AE39D1" w:rsidRDefault="00AE39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364EA"/>
    <w:multiLevelType w:val="hybridMultilevel"/>
    <w:tmpl w:val="5E80C85C"/>
    <w:lvl w:ilvl="0" w:tplc="235E2330">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FFA"/>
    <w:rsid w:val="00006A47"/>
    <w:rsid w:val="00006EBB"/>
    <w:rsid w:val="000101D5"/>
    <w:rsid w:val="00014CE4"/>
    <w:rsid w:val="00024F8F"/>
    <w:rsid w:val="00025CC9"/>
    <w:rsid w:val="00027DE7"/>
    <w:rsid w:val="00035084"/>
    <w:rsid w:val="0003651E"/>
    <w:rsid w:val="000443B2"/>
    <w:rsid w:val="00050557"/>
    <w:rsid w:val="00071021"/>
    <w:rsid w:val="00074C89"/>
    <w:rsid w:val="000A116D"/>
    <w:rsid w:val="000B7224"/>
    <w:rsid w:val="000C2EE5"/>
    <w:rsid w:val="000C5919"/>
    <w:rsid w:val="000E0E7E"/>
    <w:rsid w:val="000E52D1"/>
    <w:rsid w:val="000F0343"/>
    <w:rsid w:val="00103BE1"/>
    <w:rsid w:val="001110AB"/>
    <w:rsid w:val="00116367"/>
    <w:rsid w:val="00133203"/>
    <w:rsid w:val="00137AF1"/>
    <w:rsid w:val="00151F0A"/>
    <w:rsid w:val="00161C3A"/>
    <w:rsid w:val="0019062A"/>
    <w:rsid w:val="0019132B"/>
    <w:rsid w:val="0019763A"/>
    <w:rsid w:val="001A20A7"/>
    <w:rsid w:val="001A3231"/>
    <w:rsid w:val="001B253C"/>
    <w:rsid w:val="001B4FFC"/>
    <w:rsid w:val="001C1ED9"/>
    <w:rsid w:val="001C3456"/>
    <w:rsid w:val="001D4F3A"/>
    <w:rsid w:val="001F1C1F"/>
    <w:rsid w:val="001F7415"/>
    <w:rsid w:val="002042BD"/>
    <w:rsid w:val="0020791B"/>
    <w:rsid w:val="0021173A"/>
    <w:rsid w:val="00222839"/>
    <w:rsid w:val="00222E80"/>
    <w:rsid w:val="002272BC"/>
    <w:rsid w:val="00252BD8"/>
    <w:rsid w:val="0026164A"/>
    <w:rsid w:val="00296E63"/>
    <w:rsid w:val="002A182F"/>
    <w:rsid w:val="002A4FC6"/>
    <w:rsid w:val="002A61B1"/>
    <w:rsid w:val="002C5A4B"/>
    <w:rsid w:val="002E4090"/>
    <w:rsid w:val="00303562"/>
    <w:rsid w:val="00330AA4"/>
    <w:rsid w:val="00340EDC"/>
    <w:rsid w:val="00343B22"/>
    <w:rsid w:val="00353090"/>
    <w:rsid w:val="003630D2"/>
    <w:rsid w:val="00364E2F"/>
    <w:rsid w:val="00375523"/>
    <w:rsid w:val="003978D2"/>
    <w:rsid w:val="003A5522"/>
    <w:rsid w:val="003B1AC2"/>
    <w:rsid w:val="003C735B"/>
    <w:rsid w:val="003D16E2"/>
    <w:rsid w:val="003E3891"/>
    <w:rsid w:val="003E52C5"/>
    <w:rsid w:val="0042528E"/>
    <w:rsid w:val="00425F4A"/>
    <w:rsid w:val="0042714D"/>
    <w:rsid w:val="00434DDB"/>
    <w:rsid w:val="00442DDC"/>
    <w:rsid w:val="0045051F"/>
    <w:rsid w:val="004519CE"/>
    <w:rsid w:val="00473459"/>
    <w:rsid w:val="004A184A"/>
    <w:rsid w:val="004A26E7"/>
    <w:rsid w:val="004A399A"/>
    <w:rsid w:val="004C340A"/>
    <w:rsid w:val="004F1981"/>
    <w:rsid w:val="004F5571"/>
    <w:rsid w:val="00500FC5"/>
    <w:rsid w:val="005029A1"/>
    <w:rsid w:val="00512E59"/>
    <w:rsid w:val="00514886"/>
    <w:rsid w:val="005157FE"/>
    <w:rsid w:val="00517833"/>
    <w:rsid w:val="0052129E"/>
    <w:rsid w:val="005267A3"/>
    <w:rsid w:val="00535A08"/>
    <w:rsid w:val="00535B31"/>
    <w:rsid w:val="00594BB7"/>
    <w:rsid w:val="005A6A9B"/>
    <w:rsid w:val="005B24E8"/>
    <w:rsid w:val="00607E10"/>
    <w:rsid w:val="006108B2"/>
    <w:rsid w:val="0063071D"/>
    <w:rsid w:val="00634487"/>
    <w:rsid w:val="006664F8"/>
    <w:rsid w:val="006853A4"/>
    <w:rsid w:val="006A1BC3"/>
    <w:rsid w:val="006A247E"/>
    <w:rsid w:val="006B5F59"/>
    <w:rsid w:val="006C1A0E"/>
    <w:rsid w:val="006D4B09"/>
    <w:rsid w:val="006D7F10"/>
    <w:rsid w:val="007204AE"/>
    <w:rsid w:val="00721126"/>
    <w:rsid w:val="0072128A"/>
    <w:rsid w:val="00740B80"/>
    <w:rsid w:val="00746797"/>
    <w:rsid w:val="00760AD5"/>
    <w:rsid w:val="007613C1"/>
    <w:rsid w:val="007706B7"/>
    <w:rsid w:val="00785854"/>
    <w:rsid w:val="007875D0"/>
    <w:rsid w:val="007B1578"/>
    <w:rsid w:val="007C0F42"/>
    <w:rsid w:val="007E118B"/>
    <w:rsid w:val="007E254D"/>
    <w:rsid w:val="007E7684"/>
    <w:rsid w:val="00812494"/>
    <w:rsid w:val="00815211"/>
    <w:rsid w:val="00815923"/>
    <w:rsid w:val="00820BF4"/>
    <w:rsid w:val="008301EA"/>
    <w:rsid w:val="00854DAE"/>
    <w:rsid w:val="0085557E"/>
    <w:rsid w:val="00856D73"/>
    <w:rsid w:val="00865E4E"/>
    <w:rsid w:val="0087022F"/>
    <w:rsid w:val="008A709C"/>
    <w:rsid w:val="008C36CC"/>
    <w:rsid w:val="008D68ED"/>
    <w:rsid w:val="00901275"/>
    <w:rsid w:val="00902567"/>
    <w:rsid w:val="009042CA"/>
    <w:rsid w:val="00914F8F"/>
    <w:rsid w:val="0092245E"/>
    <w:rsid w:val="00924C11"/>
    <w:rsid w:val="00934510"/>
    <w:rsid w:val="00941468"/>
    <w:rsid w:val="009414B4"/>
    <w:rsid w:val="009551DA"/>
    <w:rsid w:val="00962EA3"/>
    <w:rsid w:val="00971A53"/>
    <w:rsid w:val="00974C27"/>
    <w:rsid w:val="00983295"/>
    <w:rsid w:val="0098622F"/>
    <w:rsid w:val="00992B22"/>
    <w:rsid w:val="009A0B6C"/>
    <w:rsid w:val="009B2D4B"/>
    <w:rsid w:val="009E2357"/>
    <w:rsid w:val="009E5504"/>
    <w:rsid w:val="00A31C0B"/>
    <w:rsid w:val="00A44F36"/>
    <w:rsid w:val="00A52889"/>
    <w:rsid w:val="00A726E3"/>
    <w:rsid w:val="00A7770B"/>
    <w:rsid w:val="00A80562"/>
    <w:rsid w:val="00A85687"/>
    <w:rsid w:val="00A91073"/>
    <w:rsid w:val="00AA07A9"/>
    <w:rsid w:val="00AA7727"/>
    <w:rsid w:val="00AB0736"/>
    <w:rsid w:val="00AB0A56"/>
    <w:rsid w:val="00AB4573"/>
    <w:rsid w:val="00AD7813"/>
    <w:rsid w:val="00AE3569"/>
    <w:rsid w:val="00AE39D1"/>
    <w:rsid w:val="00AF35E0"/>
    <w:rsid w:val="00AF4102"/>
    <w:rsid w:val="00B012B5"/>
    <w:rsid w:val="00B02257"/>
    <w:rsid w:val="00B067C9"/>
    <w:rsid w:val="00B12003"/>
    <w:rsid w:val="00B13EC6"/>
    <w:rsid w:val="00B23F6D"/>
    <w:rsid w:val="00B2754E"/>
    <w:rsid w:val="00B323FD"/>
    <w:rsid w:val="00B363B6"/>
    <w:rsid w:val="00B54FC6"/>
    <w:rsid w:val="00B630CD"/>
    <w:rsid w:val="00B86EAA"/>
    <w:rsid w:val="00B871DE"/>
    <w:rsid w:val="00B930D2"/>
    <w:rsid w:val="00B93BEB"/>
    <w:rsid w:val="00BC584E"/>
    <w:rsid w:val="00BE59E2"/>
    <w:rsid w:val="00BF1878"/>
    <w:rsid w:val="00BF1F2C"/>
    <w:rsid w:val="00C15430"/>
    <w:rsid w:val="00C23E43"/>
    <w:rsid w:val="00C3686E"/>
    <w:rsid w:val="00C4221C"/>
    <w:rsid w:val="00C45DE5"/>
    <w:rsid w:val="00C47E95"/>
    <w:rsid w:val="00C52538"/>
    <w:rsid w:val="00C87E50"/>
    <w:rsid w:val="00C93B52"/>
    <w:rsid w:val="00CA1F20"/>
    <w:rsid w:val="00CB191D"/>
    <w:rsid w:val="00CB4120"/>
    <w:rsid w:val="00CC2556"/>
    <w:rsid w:val="00CD0B18"/>
    <w:rsid w:val="00CD2DC3"/>
    <w:rsid w:val="00CE1201"/>
    <w:rsid w:val="00CF39DB"/>
    <w:rsid w:val="00D00EEE"/>
    <w:rsid w:val="00D0208A"/>
    <w:rsid w:val="00D1046D"/>
    <w:rsid w:val="00D261FA"/>
    <w:rsid w:val="00D42CD7"/>
    <w:rsid w:val="00D47135"/>
    <w:rsid w:val="00D930B7"/>
    <w:rsid w:val="00D952FB"/>
    <w:rsid w:val="00D97475"/>
    <w:rsid w:val="00DA0AAA"/>
    <w:rsid w:val="00DA4279"/>
    <w:rsid w:val="00DB12D2"/>
    <w:rsid w:val="00DD0543"/>
    <w:rsid w:val="00DD5D60"/>
    <w:rsid w:val="00DE32A7"/>
    <w:rsid w:val="00DF05A1"/>
    <w:rsid w:val="00DF3E74"/>
    <w:rsid w:val="00E06438"/>
    <w:rsid w:val="00E06DA5"/>
    <w:rsid w:val="00E25FB4"/>
    <w:rsid w:val="00E260FC"/>
    <w:rsid w:val="00E420A6"/>
    <w:rsid w:val="00E7193E"/>
    <w:rsid w:val="00E74934"/>
    <w:rsid w:val="00E8419A"/>
    <w:rsid w:val="00E901B7"/>
    <w:rsid w:val="00EA5406"/>
    <w:rsid w:val="00EB567A"/>
    <w:rsid w:val="00EB653D"/>
    <w:rsid w:val="00EC7D50"/>
    <w:rsid w:val="00ED020C"/>
    <w:rsid w:val="00ED58A1"/>
    <w:rsid w:val="00ED731D"/>
    <w:rsid w:val="00EE1BE0"/>
    <w:rsid w:val="00EF32D2"/>
    <w:rsid w:val="00F0391B"/>
    <w:rsid w:val="00F10A52"/>
    <w:rsid w:val="00F2241F"/>
    <w:rsid w:val="00F31516"/>
    <w:rsid w:val="00F3377C"/>
    <w:rsid w:val="00F446F4"/>
    <w:rsid w:val="00F55207"/>
    <w:rsid w:val="00F63303"/>
    <w:rsid w:val="00F77D88"/>
    <w:rsid w:val="00F91C9A"/>
    <w:rsid w:val="00F93BCE"/>
    <w:rsid w:val="00FA1FA0"/>
    <w:rsid w:val="00FB5209"/>
    <w:rsid w:val="00FB6439"/>
    <w:rsid w:val="00FB6FFA"/>
    <w:rsid w:val="00FB7AC2"/>
    <w:rsid w:val="00FC029B"/>
    <w:rsid w:val="00FC5725"/>
    <w:rsid w:val="00FC71CF"/>
    <w:rsid w:val="00FD168B"/>
    <w:rsid w:val="00FD1FC5"/>
    <w:rsid w:val="00FE281A"/>
    <w:rsid w:val="00FF5E5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BE0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qFormat/>
    <w:rsid w:val="00D97475"/>
    <w:pPr>
      <w:keepNext/>
      <w:spacing w:after="0" w:line="240" w:lineRule="auto"/>
      <w:jc w:val="center"/>
      <w:outlineLvl w:val="3"/>
    </w:pPr>
    <w:rPr>
      <w:rFonts w:ascii="Century Gothic" w:eastAsia="Calibri" w:hAnsi="Century Gothic" w:cs="Times New Roman"/>
      <w:b/>
      <w:bCs/>
      <w:sz w:val="36"/>
      <w:szCs w:val="3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B6FFA"/>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FB6F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6FFA"/>
  </w:style>
  <w:style w:type="paragraph" w:styleId="Piedepgina">
    <w:name w:val="footer"/>
    <w:basedOn w:val="Normal"/>
    <w:link w:val="PiedepginaCar"/>
    <w:uiPriority w:val="99"/>
    <w:unhideWhenUsed/>
    <w:rsid w:val="00FB6F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6FFA"/>
  </w:style>
  <w:style w:type="paragraph" w:styleId="Textodeglobo">
    <w:name w:val="Balloon Text"/>
    <w:basedOn w:val="Normal"/>
    <w:link w:val="TextodegloboCar"/>
    <w:uiPriority w:val="99"/>
    <w:semiHidden/>
    <w:unhideWhenUsed/>
    <w:rsid w:val="00FB6F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FFA"/>
    <w:rPr>
      <w:rFonts w:ascii="Tahoma" w:hAnsi="Tahoma" w:cs="Tahoma"/>
      <w:sz w:val="16"/>
      <w:szCs w:val="16"/>
    </w:rPr>
  </w:style>
  <w:style w:type="table" w:styleId="Tablaconcuadrcula">
    <w:name w:val="Table Grid"/>
    <w:basedOn w:val="Tablanormal"/>
    <w:uiPriority w:val="59"/>
    <w:rsid w:val="009E2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 Char,Footnote Text Char Char Char Char,Footnote reference,FA Fu,texto de nota al pie,Footnote Text Char Char Char,Footnote Text Char,Texto nota pie Car Car Car,ft,texto de nota al pi,Texto nota pie Car Ca"/>
    <w:basedOn w:val="Normal"/>
    <w:link w:val="TextonotapieCar"/>
    <w:uiPriority w:val="99"/>
    <w:unhideWhenUsed/>
    <w:qFormat/>
    <w:rsid w:val="00B067C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1,Footnote Text Char Char Char Car,Footnote Text Char Car1,Texto nota pie Car Car Car Car1"/>
    <w:basedOn w:val="Fuentedeprrafopredeter"/>
    <w:link w:val="Textonotapie"/>
    <w:uiPriority w:val="99"/>
    <w:semiHidden/>
    <w:rsid w:val="00B067C9"/>
    <w:rPr>
      <w:sz w:val="20"/>
      <w:szCs w:val="20"/>
    </w:rPr>
  </w:style>
  <w:style w:type="character" w:styleId="Refdenotaalpie">
    <w:name w:val="footnote reference"/>
    <w:aliases w:val="Texto de nota al pie,referencia nota al pie,Footnotes refss,Texto nota pie Car2,Fago Fußnotenzeichen,BVI fnr,Texto nota pie Car Car1"/>
    <w:basedOn w:val="Fuentedeprrafopredeter"/>
    <w:uiPriority w:val="99"/>
    <w:semiHidden/>
    <w:unhideWhenUsed/>
    <w:rsid w:val="00B067C9"/>
    <w:rPr>
      <w:vertAlign w:val="superscript"/>
    </w:rPr>
  </w:style>
  <w:style w:type="character" w:customStyle="1" w:styleId="Ttulo4Car">
    <w:name w:val="Título 4 Car"/>
    <w:basedOn w:val="Fuentedeprrafopredeter"/>
    <w:link w:val="Ttulo4"/>
    <w:rsid w:val="00D97475"/>
    <w:rPr>
      <w:rFonts w:ascii="Century Gothic" w:eastAsia="Calibri" w:hAnsi="Century Gothic" w:cs="Times New Roman"/>
      <w:b/>
      <w:bCs/>
      <w:sz w:val="36"/>
      <w:szCs w:val="36"/>
      <w:lang w:val="x-none" w:eastAsia="es-ES"/>
    </w:rPr>
  </w:style>
  <w:style w:type="paragraph" w:styleId="Textoindependiente3">
    <w:name w:val="Body Text 3"/>
    <w:basedOn w:val="Normal"/>
    <w:link w:val="Textoindependiente3Car"/>
    <w:rsid w:val="00D97475"/>
    <w:pPr>
      <w:spacing w:after="0" w:line="240" w:lineRule="auto"/>
      <w:jc w:val="both"/>
    </w:pPr>
    <w:rPr>
      <w:rFonts w:ascii="Century Gothic" w:eastAsia="Calibri" w:hAnsi="Century Gothic" w:cs="Times New Roman"/>
      <w:sz w:val="32"/>
      <w:szCs w:val="32"/>
      <w:lang w:val="x-none" w:eastAsia="es-ES"/>
    </w:rPr>
  </w:style>
  <w:style w:type="character" w:customStyle="1" w:styleId="Textoindependiente3Car">
    <w:name w:val="Texto independiente 3 Car"/>
    <w:basedOn w:val="Fuentedeprrafopredeter"/>
    <w:link w:val="Textoindependiente3"/>
    <w:rsid w:val="00D97475"/>
    <w:rPr>
      <w:rFonts w:ascii="Century Gothic" w:eastAsia="Calibri" w:hAnsi="Century Gothic" w:cs="Times New Roman"/>
      <w:sz w:val="32"/>
      <w:szCs w:val="32"/>
      <w:lang w:val="x-none" w:eastAsia="es-ES"/>
    </w:rPr>
  </w:style>
  <w:style w:type="character" w:customStyle="1" w:styleId="TextonotapieCar1">
    <w:name w:val="Texto nota pie Car1"/>
    <w:aliases w:val="Footnote Text Char Char Char Char Char Car1,Footnote Text Char Char Char Char Car1,Footnote reference Car1,FA Fu Car1,texto de nota al pie Car,Footnote Text Char Char Char Car1,Footnote Text Char Car,Texto nota pie Car Car Car Car"/>
    <w:locked/>
    <w:rsid w:val="00D97475"/>
    <w:rPr>
      <w:rFonts w:ascii="Times New Roman" w:hAnsi="Times New Roman" w:cs="Times New Roman"/>
      <w:sz w:val="20"/>
      <w:szCs w:val="20"/>
      <w:lang w:val="es-ES_tradnl" w:eastAsia="es-ES"/>
    </w:rPr>
  </w:style>
  <w:style w:type="paragraph" w:styleId="Prrafodelista">
    <w:name w:val="List Paragraph"/>
    <w:basedOn w:val="Normal"/>
    <w:uiPriority w:val="34"/>
    <w:qFormat/>
    <w:rsid w:val="00137AF1"/>
    <w:pPr>
      <w:ind w:left="720"/>
      <w:contextualSpacing/>
    </w:pPr>
  </w:style>
  <w:style w:type="character" w:styleId="Hipervnculo">
    <w:name w:val="Hyperlink"/>
    <w:basedOn w:val="Fuentedeprrafopredeter"/>
    <w:uiPriority w:val="99"/>
    <w:unhideWhenUsed/>
    <w:rsid w:val="00ED731D"/>
    <w:rPr>
      <w:color w:val="0000FF" w:themeColor="hyperlink"/>
      <w:u w:val="single"/>
    </w:rPr>
  </w:style>
  <w:style w:type="paragraph" w:styleId="Textoindependiente">
    <w:name w:val="Body Text"/>
    <w:basedOn w:val="Normal"/>
    <w:link w:val="TextoindependienteCar"/>
    <w:uiPriority w:val="99"/>
    <w:semiHidden/>
    <w:unhideWhenUsed/>
    <w:rsid w:val="00AB0A56"/>
    <w:pPr>
      <w:spacing w:after="120"/>
    </w:pPr>
  </w:style>
  <w:style w:type="character" w:customStyle="1" w:styleId="TextoindependienteCar">
    <w:name w:val="Texto independiente Car"/>
    <w:basedOn w:val="Fuentedeprrafopredeter"/>
    <w:link w:val="Textoindependiente"/>
    <w:uiPriority w:val="99"/>
    <w:semiHidden/>
    <w:rsid w:val="00AB0A56"/>
  </w:style>
  <w:style w:type="character" w:customStyle="1" w:styleId="TextoindependienteCar1">
    <w:name w:val="Texto independiente Car1"/>
    <w:locked/>
    <w:rsid w:val="00AB0A56"/>
    <w:rPr>
      <w:rFonts w:ascii="Times New Roman" w:hAnsi="Times New Roman" w:cs="Times New Roman"/>
      <w:i/>
      <w:sz w:val="28"/>
      <w:szCs w:val="28"/>
      <w:lang w:val="es-ES_tradnl" w:eastAsia="es-ES"/>
    </w:rPr>
  </w:style>
  <w:style w:type="paragraph" w:styleId="Textoindependiente2">
    <w:name w:val="Body Text 2"/>
    <w:basedOn w:val="Normal"/>
    <w:link w:val="Textoindependiente2Car"/>
    <w:uiPriority w:val="99"/>
    <w:semiHidden/>
    <w:unhideWhenUsed/>
    <w:rsid w:val="003D16E2"/>
    <w:pPr>
      <w:spacing w:after="120" w:line="480" w:lineRule="auto"/>
    </w:pPr>
  </w:style>
  <w:style w:type="character" w:customStyle="1" w:styleId="Textoindependiente2Car">
    <w:name w:val="Texto independiente 2 Car"/>
    <w:basedOn w:val="Fuentedeprrafopredeter"/>
    <w:link w:val="Textoindependiente2"/>
    <w:uiPriority w:val="99"/>
    <w:semiHidden/>
    <w:rsid w:val="003D16E2"/>
  </w:style>
  <w:style w:type="paragraph" w:customStyle="1" w:styleId="bodytextindent1">
    <w:name w:val="bodytextindent1"/>
    <w:basedOn w:val="Normal"/>
    <w:rsid w:val="00F10A5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517833"/>
    <w:rPr>
      <w:color w:val="605E5C"/>
      <w:shd w:val="clear" w:color="auto" w:fill="E1DFDD"/>
    </w:rPr>
  </w:style>
  <w:style w:type="paragraph" w:customStyle="1" w:styleId="pa6">
    <w:name w:val="pa6"/>
    <w:basedOn w:val="Normal"/>
    <w:rsid w:val="00535A0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ar">
    <w:name w:val="Car"/>
    <w:basedOn w:val="Normal"/>
    <w:rsid w:val="00AA07A9"/>
    <w:pPr>
      <w:spacing w:after="160" w:line="240" w:lineRule="exact"/>
    </w:pPr>
    <w:rPr>
      <w:rFonts w:ascii="Times New Roman" w:eastAsia="Times New Roman" w:hAnsi="Times New Roman" w:cs="Times New Roman"/>
      <w:noProof/>
      <w:color w:val="000000"/>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qFormat/>
    <w:rsid w:val="00D97475"/>
    <w:pPr>
      <w:keepNext/>
      <w:spacing w:after="0" w:line="240" w:lineRule="auto"/>
      <w:jc w:val="center"/>
      <w:outlineLvl w:val="3"/>
    </w:pPr>
    <w:rPr>
      <w:rFonts w:ascii="Century Gothic" w:eastAsia="Calibri" w:hAnsi="Century Gothic" w:cs="Times New Roman"/>
      <w:b/>
      <w:bCs/>
      <w:sz w:val="36"/>
      <w:szCs w:val="3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B6FFA"/>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FB6F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6FFA"/>
  </w:style>
  <w:style w:type="paragraph" w:styleId="Piedepgina">
    <w:name w:val="footer"/>
    <w:basedOn w:val="Normal"/>
    <w:link w:val="PiedepginaCar"/>
    <w:uiPriority w:val="99"/>
    <w:unhideWhenUsed/>
    <w:rsid w:val="00FB6F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6FFA"/>
  </w:style>
  <w:style w:type="paragraph" w:styleId="Textodeglobo">
    <w:name w:val="Balloon Text"/>
    <w:basedOn w:val="Normal"/>
    <w:link w:val="TextodegloboCar"/>
    <w:uiPriority w:val="99"/>
    <w:semiHidden/>
    <w:unhideWhenUsed/>
    <w:rsid w:val="00FB6F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FFA"/>
    <w:rPr>
      <w:rFonts w:ascii="Tahoma" w:hAnsi="Tahoma" w:cs="Tahoma"/>
      <w:sz w:val="16"/>
      <w:szCs w:val="16"/>
    </w:rPr>
  </w:style>
  <w:style w:type="table" w:styleId="Tablaconcuadrcula">
    <w:name w:val="Table Grid"/>
    <w:basedOn w:val="Tablanormal"/>
    <w:uiPriority w:val="59"/>
    <w:rsid w:val="009E2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 Char,Footnote Text Char Char Char Char,Footnote reference,FA Fu,texto de nota al pie,Footnote Text Char Char Char,Footnote Text Char,Texto nota pie Car Car Car,ft,texto de nota al pi,Texto nota pie Car Ca"/>
    <w:basedOn w:val="Normal"/>
    <w:link w:val="TextonotapieCar"/>
    <w:uiPriority w:val="99"/>
    <w:unhideWhenUsed/>
    <w:qFormat/>
    <w:rsid w:val="00B067C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1,Footnote Text Char Char Char Car,Footnote Text Char Car1,Texto nota pie Car Car Car Car1"/>
    <w:basedOn w:val="Fuentedeprrafopredeter"/>
    <w:link w:val="Textonotapie"/>
    <w:uiPriority w:val="99"/>
    <w:semiHidden/>
    <w:rsid w:val="00B067C9"/>
    <w:rPr>
      <w:sz w:val="20"/>
      <w:szCs w:val="20"/>
    </w:rPr>
  </w:style>
  <w:style w:type="character" w:styleId="Refdenotaalpie">
    <w:name w:val="footnote reference"/>
    <w:aliases w:val="Texto de nota al pie,referencia nota al pie,Footnotes refss,Texto nota pie Car2,Fago Fußnotenzeichen,BVI fnr,Texto nota pie Car Car1"/>
    <w:basedOn w:val="Fuentedeprrafopredeter"/>
    <w:uiPriority w:val="99"/>
    <w:semiHidden/>
    <w:unhideWhenUsed/>
    <w:rsid w:val="00B067C9"/>
    <w:rPr>
      <w:vertAlign w:val="superscript"/>
    </w:rPr>
  </w:style>
  <w:style w:type="character" w:customStyle="1" w:styleId="Ttulo4Car">
    <w:name w:val="Título 4 Car"/>
    <w:basedOn w:val="Fuentedeprrafopredeter"/>
    <w:link w:val="Ttulo4"/>
    <w:rsid w:val="00D97475"/>
    <w:rPr>
      <w:rFonts w:ascii="Century Gothic" w:eastAsia="Calibri" w:hAnsi="Century Gothic" w:cs="Times New Roman"/>
      <w:b/>
      <w:bCs/>
      <w:sz w:val="36"/>
      <w:szCs w:val="36"/>
      <w:lang w:val="x-none" w:eastAsia="es-ES"/>
    </w:rPr>
  </w:style>
  <w:style w:type="paragraph" w:styleId="Textoindependiente3">
    <w:name w:val="Body Text 3"/>
    <w:basedOn w:val="Normal"/>
    <w:link w:val="Textoindependiente3Car"/>
    <w:rsid w:val="00D97475"/>
    <w:pPr>
      <w:spacing w:after="0" w:line="240" w:lineRule="auto"/>
      <w:jc w:val="both"/>
    </w:pPr>
    <w:rPr>
      <w:rFonts w:ascii="Century Gothic" w:eastAsia="Calibri" w:hAnsi="Century Gothic" w:cs="Times New Roman"/>
      <w:sz w:val="32"/>
      <w:szCs w:val="32"/>
      <w:lang w:val="x-none" w:eastAsia="es-ES"/>
    </w:rPr>
  </w:style>
  <w:style w:type="character" w:customStyle="1" w:styleId="Textoindependiente3Car">
    <w:name w:val="Texto independiente 3 Car"/>
    <w:basedOn w:val="Fuentedeprrafopredeter"/>
    <w:link w:val="Textoindependiente3"/>
    <w:rsid w:val="00D97475"/>
    <w:rPr>
      <w:rFonts w:ascii="Century Gothic" w:eastAsia="Calibri" w:hAnsi="Century Gothic" w:cs="Times New Roman"/>
      <w:sz w:val="32"/>
      <w:szCs w:val="32"/>
      <w:lang w:val="x-none" w:eastAsia="es-ES"/>
    </w:rPr>
  </w:style>
  <w:style w:type="character" w:customStyle="1" w:styleId="TextonotapieCar1">
    <w:name w:val="Texto nota pie Car1"/>
    <w:aliases w:val="Footnote Text Char Char Char Char Char Car1,Footnote Text Char Char Char Char Car1,Footnote reference Car1,FA Fu Car1,texto de nota al pie Car,Footnote Text Char Char Char Car1,Footnote Text Char Car,Texto nota pie Car Car Car Car"/>
    <w:locked/>
    <w:rsid w:val="00D97475"/>
    <w:rPr>
      <w:rFonts w:ascii="Times New Roman" w:hAnsi="Times New Roman" w:cs="Times New Roman"/>
      <w:sz w:val="20"/>
      <w:szCs w:val="20"/>
      <w:lang w:val="es-ES_tradnl" w:eastAsia="es-ES"/>
    </w:rPr>
  </w:style>
  <w:style w:type="paragraph" w:styleId="Prrafodelista">
    <w:name w:val="List Paragraph"/>
    <w:basedOn w:val="Normal"/>
    <w:uiPriority w:val="34"/>
    <w:qFormat/>
    <w:rsid w:val="00137AF1"/>
    <w:pPr>
      <w:ind w:left="720"/>
      <w:contextualSpacing/>
    </w:pPr>
  </w:style>
  <w:style w:type="character" w:styleId="Hipervnculo">
    <w:name w:val="Hyperlink"/>
    <w:basedOn w:val="Fuentedeprrafopredeter"/>
    <w:uiPriority w:val="99"/>
    <w:unhideWhenUsed/>
    <w:rsid w:val="00ED731D"/>
    <w:rPr>
      <w:color w:val="0000FF" w:themeColor="hyperlink"/>
      <w:u w:val="single"/>
    </w:rPr>
  </w:style>
  <w:style w:type="paragraph" w:styleId="Textoindependiente">
    <w:name w:val="Body Text"/>
    <w:basedOn w:val="Normal"/>
    <w:link w:val="TextoindependienteCar"/>
    <w:uiPriority w:val="99"/>
    <w:semiHidden/>
    <w:unhideWhenUsed/>
    <w:rsid w:val="00AB0A56"/>
    <w:pPr>
      <w:spacing w:after="120"/>
    </w:pPr>
  </w:style>
  <w:style w:type="character" w:customStyle="1" w:styleId="TextoindependienteCar">
    <w:name w:val="Texto independiente Car"/>
    <w:basedOn w:val="Fuentedeprrafopredeter"/>
    <w:link w:val="Textoindependiente"/>
    <w:uiPriority w:val="99"/>
    <w:semiHidden/>
    <w:rsid w:val="00AB0A56"/>
  </w:style>
  <w:style w:type="character" w:customStyle="1" w:styleId="TextoindependienteCar1">
    <w:name w:val="Texto independiente Car1"/>
    <w:locked/>
    <w:rsid w:val="00AB0A56"/>
    <w:rPr>
      <w:rFonts w:ascii="Times New Roman" w:hAnsi="Times New Roman" w:cs="Times New Roman"/>
      <w:i/>
      <w:sz w:val="28"/>
      <w:szCs w:val="28"/>
      <w:lang w:val="es-ES_tradnl" w:eastAsia="es-ES"/>
    </w:rPr>
  </w:style>
  <w:style w:type="paragraph" w:styleId="Textoindependiente2">
    <w:name w:val="Body Text 2"/>
    <w:basedOn w:val="Normal"/>
    <w:link w:val="Textoindependiente2Car"/>
    <w:uiPriority w:val="99"/>
    <w:semiHidden/>
    <w:unhideWhenUsed/>
    <w:rsid w:val="003D16E2"/>
    <w:pPr>
      <w:spacing w:after="120" w:line="480" w:lineRule="auto"/>
    </w:pPr>
  </w:style>
  <w:style w:type="character" w:customStyle="1" w:styleId="Textoindependiente2Car">
    <w:name w:val="Texto independiente 2 Car"/>
    <w:basedOn w:val="Fuentedeprrafopredeter"/>
    <w:link w:val="Textoindependiente2"/>
    <w:uiPriority w:val="99"/>
    <w:semiHidden/>
    <w:rsid w:val="003D16E2"/>
  </w:style>
  <w:style w:type="paragraph" w:customStyle="1" w:styleId="bodytextindent1">
    <w:name w:val="bodytextindent1"/>
    <w:basedOn w:val="Normal"/>
    <w:rsid w:val="00F10A5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517833"/>
    <w:rPr>
      <w:color w:val="605E5C"/>
      <w:shd w:val="clear" w:color="auto" w:fill="E1DFDD"/>
    </w:rPr>
  </w:style>
  <w:style w:type="paragraph" w:customStyle="1" w:styleId="pa6">
    <w:name w:val="pa6"/>
    <w:basedOn w:val="Normal"/>
    <w:rsid w:val="00535A0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ar">
    <w:name w:val="Car"/>
    <w:basedOn w:val="Normal"/>
    <w:rsid w:val="00AA07A9"/>
    <w:pPr>
      <w:spacing w:after="160" w:line="240" w:lineRule="exact"/>
    </w:pPr>
    <w:rPr>
      <w:rFonts w:ascii="Times New Roman" w:eastAsia="Times New Roman" w:hAnsi="Times New Roman" w:cs="Times New Roman"/>
      <w:noProof/>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936500">
      <w:bodyDiv w:val="1"/>
      <w:marLeft w:val="0"/>
      <w:marRight w:val="0"/>
      <w:marTop w:val="0"/>
      <w:marBottom w:val="0"/>
      <w:divBdr>
        <w:top w:val="none" w:sz="0" w:space="0" w:color="auto"/>
        <w:left w:val="none" w:sz="0" w:space="0" w:color="auto"/>
        <w:bottom w:val="none" w:sz="0" w:space="0" w:color="auto"/>
        <w:right w:val="none" w:sz="0" w:space="0" w:color="auto"/>
      </w:divBdr>
    </w:div>
    <w:div w:id="1422215148">
      <w:bodyDiv w:val="1"/>
      <w:marLeft w:val="0"/>
      <w:marRight w:val="0"/>
      <w:marTop w:val="0"/>
      <w:marBottom w:val="0"/>
      <w:divBdr>
        <w:top w:val="none" w:sz="0" w:space="0" w:color="auto"/>
        <w:left w:val="none" w:sz="0" w:space="0" w:color="auto"/>
        <w:bottom w:val="none" w:sz="0" w:space="0" w:color="auto"/>
        <w:right w:val="none" w:sz="0" w:space="0" w:color="auto"/>
      </w:divBdr>
    </w:div>
    <w:div w:id="1735006018">
      <w:bodyDiv w:val="1"/>
      <w:marLeft w:val="0"/>
      <w:marRight w:val="0"/>
      <w:marTop w:val="0"/>
      <w:marBottom w:val="0"/>
      <w:divBdr>
        <w:top w:val="none" w:sz="0" w:space="0" w:color="auto"/>
        <w:left w:val="none" w:sz="0" w:space="0" w:color="auto"/>
        <w:bottom w:val="none" w:sz="0" w:space="0" w:color="auto"/>
        <w:right w:val="none" w:sz="0" w:space="0" w:color="auto"/>
      </w:divBdr>
    </w:div>
    <w:div w:id="201210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EBA86-BD7B-41A6-A73F-0565B7FD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7787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 Juzgados Floridablanca</dc:creator>
  <cp:lastModifiedBy>Yolima Ardila Duarte</cp:lastModifiedBy>
  <cp:revision>2</cp:revision>
  <cp:lastPrinted>2019-05-07T20:55:00Z</cp:lastPrinted>
  <dcterms:created xsi:type="dcterms:W3CDTF">2019-05-07T21:02:00Z</dcterms:created>
  <dcterms:modified xsi:type="dcterms:W3CDTF">2019-05-07T21:02:00Z</dcterms:modified>
</cp:coreProperties>
</file>