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0A6" w:rsidRDefault="00E420A6" w:rsidP="00AE3569">
      <w:pPr>
        <w:pStyle w:val="Default"/>
        <w:jc w:val="center"/>
        <w:rPr>
          <w:rFonts w:cstheme="minorBidi"/>
          <w:color w:val="auto"/>
        </w:rPr>
      </w:pPr>
    </w:p>
    <w:p w:rsidR="00FB6FFA" w:rsidRPr="00CA1F20" w:rsidRDefault="00FB6FFA" w:rsidP="00AE3569">
      <w:pPr>
        <w:pStyle w:val="Default"/>
        <w:jc w:val="center"/>
        <w:rPr>
          <w:rFonts w:cstheme="minorBidi"/>
          <w:color w:val="auto"/>
        </w:rPr>
      </w:pPr>
      <w:r w:rsidRPr="00CA1F20">
        <w:rPr>
          <w:rFonts w:cstheme="minorBidi"/>
          <w:color w:val="auto"/>
        </w:rPr>
        <w:t>REPÚBLICA DE COLOMBIA</w:t>
      </w:r>
    </w:p>
    <w:p w:rsidR="00FB6FFA" w:rsidRPr="00CA1F20" w:rsidRDefault="00FB6FFA" w:rsidP="00AE3569">
      <w:pPr>
        <w:pStyle w:val="Default"/>
        <w:jc w:val="center"/>
        <w:rPr>
          <w:rFonts w:cstheme="minorBidi"/>
          <w:color w:val="auto"/>
        </w:rPr>
      </w:pPr>
      <w:r w:rsidRPr="00CA1F20">
        <w:rPr>
          <w:rFonts w:cstheme="minorBidi"/>
          <w:noProof/>
          <w:color w:val="auto"/>
          <w:lang w:eastAsia="es-CO"/>
        </w:rPr>
        <w:drawing>
          <wp:inline distT="0" distB="0" distL="0" distR="0">
            <wp:extent cx="794653" cy="716507"/>
            <wp:effectExtent l="19050" t="0" r="5447"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619" cy="714673"/>
                    </a:xfrm>
                    <a:prstGeom prst="rect">
                      <a:avLst/>
                    </a:prstGeom>
                    <a:noFill/>
                    <a:ln>
                      <a:noFill/>
                    </a:ln>
                  </pic:spPr>
                </pic:pic>
              </a:graphicData>
            </a:graphic>
          </wp:inline>
        </w:drawing>
      </w:r>
    </w:p>
    <w:p w:rsidR="00FB6FFA" w:rsidRPr="00CA1F20" w:rsidRDefault="00FB6FFA" w:rsidP="00AE3569">
      <w:pPr>
        <w:pStyle w:val="Default"/>
        <w:jc w:val="center"/>
        <w:rPr>
          <w:rFonts w:cstheme="minorBidi"/>
          <w:color w:val="auto"/>
        </w:rPr>
      </w:pPr>
      <w:r w:rsidRPr="00CA1F20">
        <w:rPr>
          <w:rFonts w:cstheme="minorBidi"/>
          <w:color w:val="auto"/>
        </w:rPr>
        <w:t>RAMA JUDICIAL DEL PODER PÚBLICO</w:t>
      </w:r>
    </w:p>
    <w:p w:rsidR="00FB6FFA" w:rsidRPr="00CA1F20" w:rsidRDefault="00FB6FFA" w:rsidP="00AE3569">
      <w:pPr>
        <w:pStyle w:val="Default"/>
        <w:jc w:val="center"/>
        <w:rPr>
          <w:rFonts w:cstheme="minorBidi"/>
          <w:color w:val="auto"/>
        </w:rPr>
      </w:pPr>
      <w:r w:rsidRPr="00CA1F20">
        <w:rPr>
          <w:rFonts w:cstheme="minorBidi"/>
          <w:color w:val="auto"/>
        </w:rPr>
        <w:t>JUZGADO SEGUNDO (2</w:t>
      </w:r>
      <w:r w:rsidR="00E961EA">
        <w:rPr>
          <w:rFonts w:cstheme="minorBidi"/>
          <w:color w:val="auto"/>
        </w:rPr>
        <w:t>.</w:t>
      </w:r>
      <w:r w:rsidRPr="00CA1F20">
        <w:rPr>
          <w:rFonts w:cstheme="minorBidi"/>
          <w:color w:val="auto"/>
        </w:rPr>
        <w:t>º) CIVIL MUNICIPAL</w:t>
      </w:r>
    </w:p>
    <w:p w:rsidR="00FB6FFA" w:rsidRPr="00CA1F20" w:rsidRDefault="00FB6FFA" w:rsidP="00AE3569">
      <w:pPr>
        <w:pStyle w:val="Default"/>
        <w:jc w:val="center"/>
        <w:rPr>
          <w:rFonts w:cstheme="minorBidi"/>
          <w:color w:val="auto"/>
        </w:rPr>
      </w:pPr>
    </w:p>
    <w:p w:rsidR="00FB6FFA" w:rsidRPr="00CA1F20" w:rsidRDefault="00FB6FFA" w:rsidP="00AE3569">
      <w:pPr>
        <w:pStyle w:val="Default"/>
        <w:jc w:val="center"/>
        <w:rPr>
          <w:rFonts w:cstheme="minorBidi"/>
          <w:color w:val="auto"/>
        </w:rPr>
      </w:pPr>
      <w:r w:rsidRPr="00CA1F20">
        <w:rPr>
          <w:rFonts w:cstheme="minorBidi"/>
          <w:color w:val="auto"/>
        </w:rPr>
        <w:t xml:space="preserve">Floridablanca, </w:t>
      </w:r>
      <w:r w:rsidR="00600F1A">
        <w:rPr>
          <w:rFonts w:cstheme="minorBidi"/>
          <w:color w:val="auto"/>
        </w:rPr>
        <w:t>septiembre dos</w:t>
      </w:r>
      <w:r w:rsidR="005430C4">
        <w:rPr>
          <w:rFonts w:cstheme="minorBidi"/>
          <w:color w:val="auto"/>
        </w:rPr>
        <w:t xml:space="preserve"> (</w:t>
      </w:r>
      <w:r w:rsidR="00E961EA">
        <w:rPr>
          <w:rFonts w:cstheme="minorBidi"/>
          <w:color w:val="auto"/>
        </w:rPr>
        <w:t>2</w:t>
      </w:r>
      <w:r w:rsidR="005430C4">
        <w:rPr>
          <w:rFonts w:cstheme="minorBidi"/>
          <w:color w:val="auto"/>
        </w:rPr>
        <w:t>) de dos mil diecinueve (2019)</w:t>
      </w:r>
    </w:p>
    <w:p w:rsidR="00FB6FFA" w:rsidRPr="00CA1F20" w:rsidRDefault="00FB6FFA" w:rsidP="00AE3569">
      <w:pPr>
        <w:pStyle w:val="Default"/>
        <w:rPr>
          <w:rFonts w:cstheme="minorBidi"/>
          <w:color w:val="auto"/>
        </w:rPr>
      </w:pPr>
    </w:p>
    <w:p w:rsidR="00FB6FFA" w:rsidRPr="00CA1F20" w:rsidRDefault="00856D73" w:rsidP="00AE3569">
      <w:pPr>
        <w:pStyle w:val="Default"/>
        <w:jc w:val="center"/>
        <w:rPr>
          <w:rFonts w:cstheme="minorBidi"/>
          <w:color w:val="auto"/>
        </w:rPr>
      </w:pPr>
      <w:r w:rsidRPr="00CA1F20">
        <w:rPr>
          <w:rFonts w:cstheme="minorBidi"/>
          <w:color w:val="auto"/>
        </w:rPr>
        <w:t xml:space="preserve">I. </w:t>
      </w:r>
      <w:r w:rsidR="00FB6FFA" w:rsidRPr="00CA1F20">
        <w:rPr>
          <w:rFonts w:cstheme="minorBidi"/>
          <w:color w:val="auto"/>
        </w:rPr>
        <w:t>ASUNTO</w:t>
      </w:r>
    </w:p>
    <w:p w:rsidR="00FB6FFA" w:rsidRPr="00CA1F20" w:rsidRDefault="00FB6FFA" w:rsidP="00AE3569">
      <w:pPr>
        <w:pStyle w:val="Default"/>
        <w:jc w:val="both"/>
        <w:rPr>
          <w:rFonts w:cstheme="minorBidi"/>
          <w:color w:val="auto"/>
        </w:rPr>
      </w:pPr>
    </w:p>
    <w:p w:rsidR="00FB6FFA" w:rsidRPr="00CA1F20" w:rsidRDefault="00FB6FFA" w:rsidP="00AE3569">
      <w:pPr>
        <w:pStyle w:val="Default"/>
        <w:jc w:val="both"/>
        <w:rPr>
          <w:rFonts w:cstheme="minorBidi"/>
          <w:color w:val="auto"/>
        </w:rPr>
      </w:pPr>
      <w:r w:rsidRPr="00CA1F20">
        <w:rPr>
          <w:rFonts w:cstheme="minorBidi"/>
          <w:color w:val="auto"/>
        </w:rPr>
        <w:t xml:space="preserve">Proferir fallo dentro de la acción de tutela de la referencia. </w:t>
      </w:r>
    </w:p>
    <w:p w:rsidR="00D261FA" w:rsidRPr="00CA1F20" w:rsidRDefault="00D261FA" w:rsidP="00AE3569">
      <w:pPr>
        <w:pStyle w:val="Default"/>
        <w:jc w:val="both"/>
        <w:rPr>
          <w:rFonts w:cstheme="minorBidi"/>
          <w:color w:val="auto"/>
        </w:rPr>
      </w:pPr>
    </w:p>
    <w:p w:rsidR="00FB6FFA" w:rsidRPr="00CA1F20" w:rsidRDefault="00C4221C" w:rsidP="00AE3569">
      <w:pPr>
        <w:pStyle w:val="Default"/>
        <w:jc w:val="center"/>
        <w:rPr>
          <w:rFonts w:cstheme="minorBidi"/>
          <w:color w:val="auto"/>
        </w:rPr>
      </w:pPr>
      <w:r w:rsidRPr="00CA1F20">
        <w:rPr>
          <w:rFonts w:cstheme="minorBidi"/>
          <w:color w:val="auto"/>
        </w:rPr>
        <w:t>I</w:t>
      </w:r>
      <w:r w:rsidR="00FB6FFA" w:rsidRPr="00CA1F20">
        <w:rPr>
          <w:rFonts w:cstheme="minorBidi"/>
          <w:color w:val="auto"/>
        </w:rPr>
        <w:t>I. FUNDAMENTOS DE LA ACCIÓN CONSTITUCIONAL Y HECHOS RELEVANTES</w:t>
      </w:r>
    </w:p>
    <w:p w:rsidR="00FD168B" w:rsidRPr="00CA1F20" w:rsidRDefault="00FD168B" w:rsidP="00AE3569">
      <w:pPr>
        <w:pStyle w:val="Default"/>
        <w:jc w:val="both"/>
        <w:rPr>
          <w:rFonts w:cstheme="minorBidi"/>
          <w:color w:val="auto"/>
        </w:rPr>
      </w:pPr>
    </w:p>
    <w:p w:rsidR="00B2754E" w:rsidRPr="00CA1F20" w:rsidRDefault="00E763DC" w:rsidP="00AE3569">
      <w:pPr>
        <w:pStyle w:val="Default"/>
        <w:jc w:val="both"/>
        <w:rPr>
          <w:rFonts w:cstheme="minorBidi"/>
          <w:color w:val="auto"/>
        </w:rPr>
      </w:pPr>
      <w:proofErr w:type="spellStart"/>
      <w:r>
        <w:rPr>
          <w:rFonts w:cstheme="minorBidi"/>
          <w:color w:val="auto"/>
        </w:rPr>
        <w:t>Yohanni</w:t>
      </w:r>
      <w:proofErr w:type="spellEnd"/>
      <w:r>
        <w:rPr>
          <w:rFonts w:cstheme="minorBidi"/>
          <w:color w:val="auto"/>
        </w:rPr>
        <w:t xml:space="preserve"> Abril Calderón</w:t>
      </w:r>
      <w:r w:rsidR="009B2D4B" w:rsidRPr="00CA1F20">
        <w:rPr>
          <w:rFonts w:cstheme="minorBidi"/>
          <w:color w:val="auto"/>
        </w:rPr>
        <w:t xml:space="preserve"> instauró acción de tutela pues</w:t>
      </w:r>
      <w:r w:rsidR="00B2754E" w:rsidRPr="00CA1F20">
        <w:rPr>
          <w:rFonts w:cstheme="minorBidi"/>
          <w:color w:val="auto"/>
        </w:rPr>
        <w:t xml:space="preserve"> </w:t>
      </w:r>
      <w:r w:rsidR="009B2D4B" w:rsidRPr="00CA1F20">
        <w:rPr>
          <w:rFonts w:cstheme="minorBidi"/>
          <w:color w:val="auto"/>
        </w:rPr>
        <w:t>considera vulnerado</w:t>
      </w:r>
      <w:r w:rsidR="003B1AC2" w:rsidRPr="00CA1F20">
        <w:rPr>
          <w:rFonts w:cstheme="minorBidi"/>
          <w:color w:val="auto"/>
        </w:rPr>
        <w:t xml:space="preserve"> su derecho fundamental</w:t>
      </w:r>
      <w:r w:rsidR="00B2754E" w:rsidRPr="00CA1F20">
        <w:rPr>
          <w:rFonts w:cstheme="minorBidi"/>
          <w:color w:val="auto"/>
        </w:rPr>
        <w:t xml:space="preserve"> de petición por parte</w:t>
      </w:r>
      <w:r w:rsidR="009E5504">
        <w:rPr>
          <w:rFonts w:cstheme="minorBidi"/>
          <w:color w:val="auto"/>
        </w:rPr>
        <w:t xml:space="preserve"> </w:t>
      </w:r>
      <w:r w:rsidR="00B2754E" w:rsidRPr="00CA1F20">
        <w:rPr>
          <w:rFonts w:cstheme="minorBidi"/>
          <w:color w:val="auto"/>
        </w:rPr>
        <w:t>de</w:t>
      </w:r>
      <w:r w:rsidR="00FB6439">
        <w:rPr>
          <w:rFonts w:cstheme="minorBidi"/>
          <w:color w:val="auto"/>
        </w:rPr>
        <w:t xml:space="preserve"> </w:t>
      </w:r>
      <w:r w:rsidR="00E961EA">
        <w:rPr>
          <w:rFonts w:cstheme="minorBidi"/>
          <w:color w:val="auto"/>
        </w:rPr>
        <w:t xml:space="preserve">la Dirección de Transito y Transporte de </w:t>
      </w:r>
      <w:r>
        <w:rPr>
          <w:rFonts w:cstheme="minorBidi"/>
          <w:color w:val="auto"/>
        </w:rPr>
        <w:t>Bucaramanga</w:t>
      </w:r>
      <w:r w:rsidR="009B2D4B" w:rsidRPr="00CA1F20">
        <w:rPr>
          <w:rFonts w:cstheme="minorBidi"/>
          <w:color w:val="auto"/>
        </w:rPr>
        <w:t xml:space="preserve"> </w:t>
      </w:r>
      <w:r w:rsidR="009E5504" w:rsidRPr="00CA1F20">
        <w:rPr>
          <w:rFonts w:cstheme="minorBidi"/>
          <w:color w:val="auto"/>
        </w:rPr>
        <w:t>ya que</w:t>
      </w:r>
      <w:r w:rsidR="005430C4">
        <w:rPr>
          <w:rFonts w:cstheme="minorBidi"/>
          <w:color w:val="auto"/>
        </w:rPr>
        <w:t xml:space="preserve"> </w:t>
      </w:r>
      <w:r w:rsidR="00B2754E" w:rsidRPr="00CA1F20">
        <w:rPr>
          <w:rFonts w:cstheme="minorBidi"/>
          <w:color w:val="auto"/>
        </w:rPr>
        <w:t xml:space="preserve">el </w:t>
      </w:r>
      <w:r>
        <w:rPr>
          <w:rFonts w:cstheme="minorBidi"/>
          <w:color w:val="auto"/>
        </w:rPr>
        <w:t>22</w:t>
      </w:r>
      <w:r w:rsidR="009B2D4B" w:rsidRPr="00CA1F20">
        <w:rPr>
          <w:rFonts w:cstheme="minorBidi"/>
          <w:color w:val="auto"/>
        </w:rPr>
        <w:t xml:space="preserve"> de </w:t>
      </w:r>
      <w:r>
        <w:rPr>
          <w:rFonts w:cstheme="minorBidi"/>
          <w:color w:val="auto"/>
        </w:rPr>
        <w:t>jul</w:t>
      </w:r>
      <w:r w:rsidR="00E961EA">
        <w:rPr>
          <w:rFonts w:cstheme="minorBidi"/>
          <w:color w:val="auto"/>
        </w:rPr>
        <w:t>io</w:t>
      </w:r>
      <w:r w:rsidR="009B2D4B" w:rsidRPr="00CA1F20">
        <w:rPr>
          <w:rFonts w:cstheme="minorBidi"/>
          <w:color w:val="auto"/>
        </w:rPr>
        <w:t xml:space="preserve"> </w:t>
      </w:r>
      <w:r w:rsidR="009E5504">
        <w:rPr>
          <w:rFonts w:cstheme="minorBidi"/>
          <w:color w:val="auto"/>
        </w:rPr>
        <w:t>presentó</w:t>
      </w:r>
      <w:r w:rsidR="009B2D4B" w:rsidRPr="00CA1F20">
        <w:rPr>
          <w:rFonts w:cstheme="minorBidi"/>
          <w:color w:val="auto"/>
        </w:rPr>
        <w:t xml:space="preserve"> el escrito mediante el cual ejerció </w:t>
      </w:r>
      <w:r w:rsidR="00A44D79">
        <w:rPr>
          <w:rFonts w:cstheme="minorBidi"/>
          <w:color w:val="auto"/>
        </w:rPr>
        <w:t>tal</w:t>
      </w:r>
      <w:r w:rsidR="009B2D4B" w:rsidRPr="00CA1F20">
        <w:rPr>
          <w:rFonts w:cstheme="minorBidi"/>
          <w:color w:val="auto"/>
        </w:rPr>
        <w:t xml:space="preserve"> derecho </w:t>
      </w:r>
      <w:r w:rsidR="009E5504">
        <w:rPr>
          <w:rFonts w:cstheme="minorBidi"/>
          <w:color w:val="auto"/>
        </w:rPr>
        <w:t>sin que a la fecha de presentación de la acción de tutela hubiera recibido respuesta alguna por la entidad aquí accionada.</w:t>
      </w:r>
      <w:r w:rsidR="001C1ED9">
        <w:rPr>
          <w:rFonts w:cstheme="minorBidi"/>
          <w:color w:val="auto"/>
        </w:rPr>
        <w:t xml:space="preserve"> </w:t>
      </w:r>
      <w:r w:rsidR="00B2754E" w:rsidRPr="00CA1F20">
        <w:rPr>
          <w:rFonts w:cstheme="minorBidi"/>
          <w:color w:val="auto"/>
        </w:rPr>
        <w:t>Por l</w:t>
      </w:r>
      <w:r w:rsidR="0087022F" w:rsidRPr="00CA1F20">
        <w:rPr>
          <w:rFonts w:cstheme="minorBidi"/>
          <w:color w:val="auto"/>
        </w:rPr>
        <w:t>o anterior, solicita se</w:t>
      </w:r>
      <w:r w:rsidR="00FB6439">
        <w:rPr>
          <w:rFonts w:cstheme="minorBidi"/>
          <w:color w:val="auto"/>
        </w:rPr>
        <w:t xml:space="preserve"> le</w:t>
      </w:r>
      <w:r w:rsidR="0087022F" w:rsidRPr="00CA1F20">
        <w:rPr>
          <w:rFonts w:cstheme="minorBidi"/>
          <w:color w:val="auto"/>
        </w:rPr>
        <w:t xml:space="preserve"> ordene que emita una respuesta de fondo</w:t>
      </w:r>
      <w:r w:rsidR="001C1ED9">
        <w:rPr>
          <w:rFonts w:cstheme="minorBidi"/>
          <w:color w:val="auto"/>
        </w:rPr>
        <w:t>.</w:t>
      </w:r>
    </w:p>
    <w:p w:rsidR="00B067C9" w:rsidRPr="00CA1F20" w:rsidRDefault="00B067C9" w:rsidP="00AE3569">
      <w:pPr>
        <w:pStyle w:val="Default"/>
        <w:jc w:val="both"/>
        <w:rPr>
          <w:rFonts w:cstheme="minorBidi"/>
          <w:color w:val="auto"/>
        </w:rPr>
      </w:pPr>
    </w:p>
    <w:p w:rsidR="00FB6FFA" w:rsidRPr="00CA1F20" w:rsidRDefault="00941468" w:rsidP="00AE3569">
      <w:pPr>
        <w:pStyle w:val="Default"/>
        <w:jc w:val="center"/>
        <w:rPr>
          <w:rFonts w:cstheme="minorBidi"/>
          <w:color w:val="auto"/>
        </w:rPr>
      </w:pPr>
      <w:r w:rsidRPr="00CA1F20">
        <w:rPr>
          <w:rFonts w:cstheme="minorBidi"/>
          <w:color w:val="auto"/>
        </w:rPr>
        <w:t>I</w:t>
      </w:r>
      <w:r w:rsidR="00FB6FFA" w:rsidRPr="00CA1F20">
        <w:rPr>
          <w:rFonts w:cstheme="minorBidi"/>
          <w:color w:val="auto"/>
        </w:rPr>
        <w:t xml:space="preserve">II. TRÁMITE ADELANTADO Y RESPUESTA DE LA ENTIDAD </w:t>
      </w:r>
      <w:r w:rsidR="003E52C5" w:rsidRPr="00CA1F20">
        <w:rPr>
          <w:rFonts w:cstheme="minorBidi"/>
          <w:color w:val="auto"/>
        </w:rPr>
        <w:t>INVOLUCRADA</w:t>
      </w:r>
    </w:p>
    <w:p w:rsidR="00B067C9" w:rsidRPr="00CA1F20" w:rsidRDefault="00B067C9" w:rsidP="00AE3569">
      <w:pPr>
        <w:pStyle w:val="Default"/>
        <w:jc w:val="both"/>
        <w:rPr>
          <w:rFonts w:cstheme="minorBidi"/>
          <w:color w:val="auto"/>
        </w:rPr>
      </w:pPr>
    </w:p>
    <w:p w:rsidR="00B2754E" w:rsidRPr="00E961EA" w:rsidRDefault="00941468" w:rsidP="00E961EA">
      <w:pPr>
        <w:spacing w:after="0" w:line="240" w:lineRule="auto"/>
        <w:jc w:val="both"/>
        <w:rPr>
          <w:rFonts w:ascii="Bookman Old Style" w:hAnsi="Bookman Old Style"/>
          <w:sz w:val="24"/>
          <w:szCs w:val="24"/>
        </w:rPr>
      </w:pPr>
      <w:r w:rsidRPr="00E961EA">
        <w:rPr>
          <w:rFonts w:ascii="Bookman Old Style" w:hAnsi="Bookman Old Style"/>
          <w:sz w:val="24"/>
          <w:szCs w:val="24"/>
        </w:rPr>
        <w:t>3</w:t>
      </w:r>
      <w:r w:rsidR="00FB6FFA" w:rsidRPr="00E961EA">
        <w:rPr>
          <w:rFonts w:ascii="Bookman Old Style" w:hAnsi="Bookman Old Style"/>
          <w:sz w:val="24"/>
          <w:szCs w:val="24"/>
        </w:rPr>
        <w:t>.1.</w:t>
      </w:r>
      <w:r w:rsidR="003B1AC2" w:rsidRPr="00E961EA">
        <w:rPr>
          <w:rFonts w:ascii="Bookman Old Style" w:hAnsi="Bookman Old Style"/>
          <w:sz w:val="24"/>
          <w:szCs w:val="24"/>
        </w:rPr>
        <w:t xml:space="preserve"> Mediante auto del </w:t>
      </w:r>
      <w:r w:rsidR="00E763DC">
        <w:rPr>
          <w:rFonts w:ascii="Bookman Old Style" w:hAnsi="Bookman Old Style"/>
          <w:sz w:val="24"/>
          <w:szCs w:val="24"/>
        </w:rPr>
        <w:t>20</w:t>
      </w:r>
      <w:r w:rsidR="003B1AC2" w:rsidRPr="00E961EA">
        <w:rPr>
          <w:rFonts w:ascii="Bookman Old Style" w:hAnsi="Bookman Old Style"/>
          <w:sz w:val="24"/>
          <w:szCs w:val="24"/>
        </w:rPr>
        <w:t xml:space="preserve"> de </w:t>
      </w:r>
      <w:r w:rsidR="00E763DC">
        <w:rPr>
          <w:rFonts w:ascii="Bookman Old Style" w:hAnsi="Bookman Old Style"/>
          <w:sz w:val="24"/>
          <w:szCs w:val="24"/>
        </w:rPr>
        <w:t>agosto</w:t>
      </w:r>
      <w:r w:rsidR="0087022F" w:rsidRPr="00E961EA">
        <w:rPr>
          <w:rFonts w:ascii="Bookman Old Style" w:hAnsi="Bookman Old Style"/>
          <w:sz w:val="24"/>
          <w:szCs w:val="24"/>
        </w:rPr>
        <w:t>,</w:t>
      </w:r>
      <w:r w:rsidR="003B1AC2" w:rsidRPr="00E961EA">
        <w:rPr>
          <w:rFonts w:ascii="Bookman Old Style" w:hAnsi="Bookman Old Style"/>
          <w:sz w:val="24"/>
          <w:szCs w:val="24"/>
        </w:rPr>
        <w:t xml:space="preserve"> </w:t>
      </w:r>
      <w:r w:rsidR="002A61B1" w:rsidRPr="00E961EA">
        <w:rPr>
          <w:rFonts w:ascii="Bookman Old Style" w:hAnsi="Bookman Old Style"/>
          <w:sz w:val="24"/>
          <w:szCs w:val="24"/>
        </w:rPr>
        <w:t>este juzgado avocó conocimiento y</w:t>
      </w:r>
      <w:r w:rsidR="003B1AC2" w:rsidRPr="00E961EA">
        <w:rPr>
          <w:rFonts w:ascii="Bookman Old Style" w:hAnsi="Bookman Old Style"/>
          <w:sz w:val="24"/>
          <w:szCs w:val="24"/>
        </w:rPr>
        <w:t xml:space="preserve"> ordenó</w:t>
      </w:r>
      <w:r w:rsidR="00E763DC">
        <w:rPr>
          <w:rFonts w:ascii="Bookman Old Style" w:hAnsi="Bookman Old Style"/>
          <w:sz w:val="24"/>
          <w:szCs w:val="24"/>
        </w:rPr>
        <w:t xml:space="preserve"> </w:t>
      </w:r>
      <w:r w:rsidR="003B1AC2" w:rsidRPr="00E961EA">
        <w:rPr>
          <w:rFonts w:ascii="Bookman Old Style" w:hAnsi="Bookman Old Style"/>
          <w:sz w:val="24"/>
          <w:szCs w:val="24"/>
        </w:rPr>
        <w:t>correr</w:t>
      </w:r>
      <w:r w:rsidR="005430C4" w:rsidRPr="00E961EA">
        <w:rPr>
          <w:rFonts w:ascii="Bookman Old Style" w:hAnsi="Bookman Old Style"/>
          <w:sz w:val="24"/>
          <w:szCs w:val="24"/>
        </w:rPr>
        <w:t>le</w:t>
      </w:r>
      <w:r w:rsidR="003B1AC2" w:rsidRPr="00E961EA">
        <w:rPr>
          <w:rFonts w:ascii="Bookman Old Style" w:hAnsi="Bookman Old Style"/>
          <w:sz w:val="24"/>
          <w:szCs w:val="24"/>
        </w:rPr>
        <w:t xml:space="preserve"> traslado</w:t>
      </w:r>
      <w:r w:rsidR="001C1ED9" w:rsidRPr="00E961EA">
        <w:rPr>
          <w:rFonts w:ascii="Bookman Old Style" w:hAnsi="Bookman Old Style"/>
          <w:sz w:val="24"/>
          <w:szCs w:val="24"/>
        </w:rPr>
        <w:t xml:space="preserve"> </w:t>
      </w:r>
      <w:r w:rsidR="00E763DC">
        <w:rPr>
          <w:rFonts w:ascii="Bookman Old Style" w:hAnsi="Bookman Old Style"/>
          <w:sz w:val="24"/>
          <w:szCs w:val="24"/>
        </w:rPr>
        <w:t xml:space="preserve">a la accionada </w:t>
      </w:r>
      <w:r w:rsidR="0087022F" w:rsidRPr="00E961EA">
        <w:rPr>
          <w:rFonts w:ascii="Bookman Old Style" w:hAnsi="Bookman Old Style"/>
          <w:sz w:val="24"/>
          <w:szCs w:val="24"/>
        </w:rPr>
        <w:t>para que ejerciera su derecho de defensa</w:t>
      </w:r>
      <w:r w:rsidR="002A0040">
        <w:rPr>
          <w:rFonts w:ascii="Bookman Old Style" w:hAnsi="Bookman Old Style"/>
          <w:sz w:val="24"/>
          <w:szCs w:val="24"/>
        </w:rPr>
        <w:t>.</w:t>
      </w:r>
      <w:r w:rsidR="0087022F" w:rsidRPr="00E961EA">
        <w:rPr>
          <w:rFonts w:ascii="Bookman Old Style" w:hAnsi="Bookman Old Style"/>
          <w:sz w:val="24"/>
          <w:szCs w:val="24"/>
        </w:rPr>
        <w:t xml:space="preserve"> </w:t>
      </w:r>
    </w:p>
    <w:p w:rsidR="0087022F" w:rsidRPr="00CA1F20" w:rsidRDefault="0087022F" w:rsidP="00AE3569">
      <w:pPr>
        <w:pStyle w:val="Default"/>
        <w:jc w:val="both"/>
        <w:rPr>
          <w:rFonts w:cstheme="minorBidi"/>
          <w:color w:val="auto"/>
        </w:rPr>
      </w:pPr>
    </w:p>
    <w:p w:rsidR="00E763DC" w:rsidRDefault="00EB653D" w:rsidP="00AE3569">
      <w:pPr>
        <w:pStyle w:val="Default"/>
        <w:jc w:val="both"/>
        <w:rPr>
          <w:rFonts w:cstheme="minorBidi"/>
          <w:color w:val="auto"/>
        </w:rPr>
      </w:pPr>
      <w:r w:rsidRPr="00CA1F20">
        <w:rPr>
          <w:rFonts w:cstheme="minorBidi"/>
          <w:color w:val="auto"/>
        </w:rPr>
        <w:t>3</w:t>
      </w:r>
      <w:r w:rsidR="00FA1FA0" w:rsidRPr="00CA1F20">
        <w:rPr>
          <w:rFonts w:cstheme="minorBidi"/>
          <w:color w:val="auto"/>
        </w:rPr>
        <w:t xml:space="preserve">.2. </w:t>
      </w:r>
      <w:r w:rsidR="00A1360F">
        <w:rPr>
          <w:rFonts w:cstheme="minorBidi"/>
          <w:color w:val="auto"/>
        </w:rPr>
        <w:t xml:space="preserve">El </w:t>
      </w:r>
      <w:r w:rsidR="00E763DC">
        <w:rPr>
          <w:rFonts w:cstheme="minorBidi"/>
          <w:color w:val="auto"/>
        </w:rPr>
        <w:t xml:space="preserve">26 de agosto la Dirección de Tránsito y Transporte de Bucaramanga </w:t>
      </w:r>
      <w:r w:rsidR="00D73E93">
        <w:rPr>
          <w:rFonts w:cstheme="minorBidi"/>
          <w:color w:val="auto"/>
        </w:rPr>
        <w:t xml:space="preserve">informó que </w:t>
      </w:r>
      <w:r w:rsidR="00E763DC">
        <w:rPr>
          <w:rFonts w:cstheme="minorBidi"/>
          <w:color w:val="auto"/>
        </w:rPr>
        <w:t>la respuesta a la petición fue enviada a la Carrera 8 # 8-68, barrio Santa Ana de Floridablanca pero fue devuelta al no existir la dirección de entr</w:t>
      </w:r>
      <w:r w:rsidR="003E5DDD">
        <w:rPr>
          <w:rFonts w:cstheme="minorBidi"/>
          <w:color w:val="auto"/>
        </w:rPr>
        <w:t>e</w:t>
      </w:r>
      <w:r w:rsidR="00E763DC">
        <w:rPr>
          <w:rFonts w:cstheme="minorBidi"/>
          <w:color w:val="auto"/>
        </w:rPr>
        <w:t xml:space="preserve">ga, según consta en el certificado de entrega emitido por la empresa 4-72. Por lo anterior, estimó que en el presente caso se evidencia una carencia actual de objeto por hecho superado. </w:t>
      </w:r>
    </w:p>
    <w:p w:rsidR="00E763DC" w:rsidRDefault="00E763DC" w:rsidP="00AE3569">
      <w:pPr>
        <w:pStyle w:val="Default"/>
        <w:jc w:val="both"/>
        <w:rPr>
          <w:rFonts w:cstheme="minorBidi"/>
          <w:color w:val="auto"/>
        </w:rPr>
      </w:pPr>
    </w:p>
    <w:p w:rsidR="00E763DC" w:rsidRDefault="00E763DC" w:rsidP="00AE3569">
      <w:pPr>
        <w:pStyle w:val="Default"/>
        <w:jc w:val="both"/>
        <w:rPr>
          <w:rFonts w:cstheme="minorBidi"/>
          <w:color w:val="auto"/>
        </w:rPr>
      </w:pPr>
      <w:r>
        <w:rPr>
          <w:rFonts w:cstheme="minorBidi"/>
          <w:color w:val="auto"/>
        </w:rPr>
        <w:t>3.3.</w:t>
      </w:r>
      <w:r w:rsidR="00EE370E">
        <w:rPr>
          <w:rFonts w:cstheme="minorBidi"/>
          <w:color w:val="auto"/>
        </w:rPr>
        <w:t xml:space="preserve"> Según la constancia que antecede, en la fecha</w:t>
      </w:r>
      <w:r>
        <w:rPr>
          <w:rFonts w:cstheme="minorBidi"/>
          <w:color w:val="auto"/>
        </w:rPr>
        <w:t xml:space="preserve"> la secretaría del juzgado se comunicó al número telefónico </w:t>
      </w:r>
      <w:r w:rsidR="00EE370E">
        <w:rPr>
          <w:rFonts w:cstheme="minorBidi"/>
          <w:color w:val="auto"/>
        </w:rPr>
        <w:t>d</w:t>
      </w:r>
      <w:r>
        <w:rPr>
          <w:rFonts w:cstheme="minorBidi"/>
          <w:color w:val="auto"/>
        </w:rPr>
        <w:t>el accionante con el fin de indagar si había recibido o no respuesta por la Dirección de Tránsito y Transporte de Bucaramanga</w:t>
      </w:r>
      <w:r w:rsidR="00862695">
        <w:rPr>
          <w:rFonts w:cstheme="minorBidi"/>
          <w:color w:val="auto"/>
        </w:rPr>
        <w:t xml:space="preserve">, quien manifestó que </w:t>
      </w:r>
      <w:r w:rsidR="00CB3920">
        <w:rPr>
          <w:rFonts w:cstheme="minorBidi"/>
          <w:color w:val="auto"/>
        </w:rPr>
        <w:t>no había recibido respuesta alguna a su petición.</w:t>
      </w:r>
    </w:p>
    <w:p w:rsidR="00CB3920" w:rsidRDefault="00CB3920" w:rsidP="00AE3569">
      <w:pPr>
        <w:pStyle w:val="Default"/>
        <w:jc w:val="both"/>
        <w:rPr>
          <w:rFonts w:cstheme="minorBidi"/>
          <w:color w:val="auto"/>
        </w:rPr>
      </w:pPr>
    </w:p>
    <w:p w:rsidR="00CB3920" w:rsidRDefault="00CB3920" w:rsidP="00AE3569">
      <w:pPr>
        <w:pStyle w:val="Default"/>
        <w:jc w:val="both"/>
        <w:rPr>
          <w:rFonts w:cstheme="minorBidi"/>
          <w:color w:val="auto"/>
        </w:rPr>
      </w:pPr>
      <w:r>
        <w:rPr>
          <w:rFonts w:cstheme="minorBidi"/>
          <w:color w:val="auto"/>
        </w:rPr>
        <w:t xml:space="preserve">De igual forma, </w:t>
      </w:r>
      <w:r w:rsidR="00862695">
        <w:rPr>
          <w:rFonts w:cstheme="minorBidi"/>
          <w:color w:val="auto"/>
        </w:rPr>
        <w:t>se verificó</w:t>
      </w:r>
      <w:r>
        <w:rPr>
          <w:rFonts w:cstheme="minorBidi"/>
          <w:color w:val="auto"/>
        </w:rPr>
        <w:t xml:space="preserve"> que el barrio Santa Ana hace parte de l</w:t>
      </w:r>
      <w:r w:rsidR="00862695">
        <w:rPr>
          <w:rFonts w:cstheme="minorBidi"/>
          <w:color w:val="auto"/>
        </w:rPr>
        <w:t xml:space="preserve">a comuna Santa Ana – </w:t>
      </w:r>
      <w:proofErr w:type="spellStart"/>
      <w:r w:rsidR="00862695">
        <w:rPr>
          <w:rFonts w:cstheme="minorBidi"/>
          <w:color w:val="auto"/>
        </w:rPr>
        <w:t>Villabel</w:t>
      </w:r>
      <w:proofErr w:type="spellEnd"/>
      <w:r w:rsidR="00862695">
        <w:rPr>
          <w:rFonts w:cstheme="minorBidi"/>
          <w:color w:val="auto"/>
        </w:rPr>
        <w:t xml:space="preserve"> y que, según </w:t>
      </w:r>
      <w:r>
        <w:rPr>
          <w:rFonts w:cstheme="minorBidi"/>
          <w:color w:val="auto"/>
        </w:rPr>
        <w:t xml:space="preserve">la aplicación Google </w:t>
      </w:r>
      <w:proofErr w:type="spellStart"/>
      <w:r>
        <w:rPr>
          <w:rFonts w:cstheme="minorBidi"/>
          <w:color w:val="auto"/>
        </w:rPr>
        <w:t>Maps</w:t>
      </w:r>
      <w:proofErr w:type="spellEnd"/>
      <w:r w:rsidR="00862695">
        <w:rPr>
          <w:rFonts w:cstheme="minorBidi"/>
          <w:color w:val="auto"/>
        </w:rPr>
        <w:t>,</w:t>
      </w:r>
      <w:r>
        <w:rPr>
          <w:rFonts w:cstheme="minorBidi"/>
          <w:color w:val="auto"/>
        </w:rPr>
        <w:t xml:space="preserve"> </w:t>
      </w:r>
      <w:r w:rsidR="003E5DDD">
        <w:rPr>
          <w:rFonts w:cstheme="minorBidi"/>
          <w:color w:val="auto"/>
        </w:rPr>
        <w:t>las nomenclaturas</w:t>
      </w:r>
      <w:r>
        <w:rPr>
          <w:rFonts w:cstheme="minorBidi"/>
          <w:color w:val="auto"/>
        </w:rPr>
        <w:t xml:space="preserve"> del barrio Santa Ana tienen cierta similitud co</w:t>
      </w:r>
      <w:r w:rsidR="003E5DDD">
        <w:rPr>
          <w:rFonts w:cstheme="minorBidi"/>
          <w:color w:val="auto"/>
        </w:rPr>
        <w:t>n las del barrio Casco Antiguo de Floridablanca.</w:t>
      </w:r>
    </w:p>
    <w:p w:rsidR="00E763DC" w:rsidRDefault="00E763DC" w:rsidP="00AE3569">
      <w:pPr>
        <w:pStyle w:val="Default"/>
        <w:jc w:val="both"/>
        <w:rPr>
          <w:rFonts w:cstheme="minorBidi"/>
          <w:color w:val="auto"/>
        </w:rPr>
      </w:pPr>
    </w:p>
    <w:p w:rsidR="00B630CD" w:rsidRPr="00CA1F20" w:rsidRDefault="00B630CD" w:rsidP="00AE3569">
      <w:pPr>
        <w:pStyle w:val="Default"/>
        <w:jc w:val="both"/>
        <w:rPr>
          <w:rFonts w:cstheme="minorBidi"/>
          <w:color w:val="auto"/>
        </w:rPr>
      </w:pPr>
      <w:r w:rsidRPr="00CA1F20">
        <w:rPr>
          <w:rFonts w:cstheme="minorBidi"/>
          <w:color w:val="auto"/>
        </w:rPr>
        <w:t>3.</w:t>
      </w:r>
      <w:r w:rsidR="00E763DC">
        <w:rPr>
          <w:rFonts w:cstheme="minorBidi"/>
          <w:color w:val="auto"/>
        </w:rPr>
        <w:t>4</w:t>
      </w:r>
      <w:r w:rsidRPr="00CA1F20">
        <w:rPr>
          <w:rFonts w:cstheme="minorBidi"/>
          <w:color w:val="auto"/>
        </w:rPr>
        <w:t xml:space="preserve">. </w:t>
      </w:r>
      <w:r w:rsidRPr="00CA1F20">
        <w:rPr>
          <w:rFonts w:cstheme="minorBidi"/>
        </w:rPr>
        <w:t xml:space="preserve">Con el trámite antes indicado este Despacho estima integrado debidamente el contradictorio. </w:t>
      </w:r>
      <w:r w:rsidRPr="00CA1F20">
        <w:t xml:space="preserve">Al respecto, la Honorable Corte Constitucional en Auto 059 de 2011 estableció cuál es la fórmula que debe </w:t>
      </w:r>
      <w:r w:rsidRPr="00CA1F20">
        <w:lastRenderedPageBreak/>
        <w:t xml:space="preserve">aplicarse cuando el Juez de segunda instancia considere que el </w:t>
      </w:r>
      <w:r w:rsidRPr="00CA1F20">
        <w:rPr>
          <w:i/>
          <w:iCs/>
        </w:rPr>
        <w:t xml:space="preserve">A quo </w:t>
      </w:r>
      <w:r w:rsidRPr="00CA1F20">
        <w:t xml:space="preserve">omitió vincular alguna entidad que se pudiera ver afectada con la decisión. Dijo la Corte en dicha providencia que lo procedente era que el </w:t>
      </w:r>
      <w:r w:rsidRPr="00CA1F20">
        <w:rPr>
          <w:i/>
          <w:iCs/>
        </w:rPr>
        <w:t xml:space="preserve">Ad </w:t>
      </w:r>
      <w:proofErr w:type="spellStart"/>
      <w:r w:rsidRPr="00CA1F20">
        <w:rPr>
          <w:i/>
          <w:iCs/>
        </w:rPr>
        <w:t>quem</w:t>
      </w:r>
      <w:proofErr w:type="spellEnd"/>
      <w:r w:rsidRPr="00CA1F20">
        <w:rPr>
          <w:i/>
          <w:iCs/>
        </w:rPr>
        <w:t xml:space="preserve"> </w:t>
      </w:r>
      <w:r w:rsidRPr="00CA1F20">
        <w:t>resuelva la impugnación vinculando a la entidad que hubiese echado de menos y no decretar la nulidad de lo actuado, esto en aras de evitar dilaciones injustificadas.</w:t>
      </w:r>
    </w:p>
    <w:p w:rsidR="00006A47" w:rsidRPr="00CA1F20" w:rsidRDefault="00006A47" w:rsidP="00AE3569">
      <w:pPr>
        <w:pStyle w:val="Default"/>
        <w:jc w:val="both"/>
        <w:rPr>
          <w:color w:val="auto"/>
        </w:rPr>
      </w:pPr>
    </w:p>
    <w:p w:rsidR="00FB6FFA" w:rsidRPr="00CA1F20" w:rsidRDefault="00FB6FFA" w:rsidP="00AE3569">
      <w:pPr>
        <w:pStyle w:val="Default"/>
        <w:jc w:val="center"/>
        <w:rPr>
          <w:color w:val="auto"/>
        </w:rPr>
      </w:pPr>
      <w:r w:rsidRPr="00CA1F20">
        <w:rPr>
          <w:color w:val="auto"/>
        </w:rPr>
        <w:t>I</w:t>
      </w:r>
      <w:r w:rsidR="00EB653D" w:rsidRPr="00CA1F20">
        <w:rPr>
          <w:color w:val="auto"/>
        </w:rPr>
        <w:t>V</w:t>
      </w:r>
      <w:r w:rsidRPr="00CA1F20">
        <w:rPr>
          <w:color w:val="auto"/>
        </w:rPr>
        <w:t>. CONSIDERACIONES</w:t>
      </w:r>
    </w:p>
    <w:p w:rsidR="00B067C9" w:rsidRPr="00CA1F20" w:rsidRDefault="00B067C9" w:rsidP="00AE3569">
      <w:pPr>
        <w:pStyle w:val="Default"/>
        <w:jc w:val="both"/>
        <w:rPr>
          <w:color w:val="auto"/>
        </w:rPr>
      </w:pPr>
    </w:p>
    <w:p w:rsidR="00FB6FFA" w:rsidRPr="00CA1F20" w:rsidRDefault="00EB653D" w:rsidP="00AE3569">
      <w:pPr>
        <w:pStyle w:val="Default"/>
        <w:jc w:val="both"/>
        <w:rPr>
          <w:color w:val="auto"/>
        </w:rPr>
      </w:pPr>
      <w:r w:rsidRPr="00CA1F20">
        <w:rPr>
          <w:color w:val="auto"/>
        </w:rPr>
        <w:t>4</w:t>
      </w:r>
      <w:r w:rsidR="00FB6FFA" w:rsidRPr="00CA1F20">
        <w:rPr>
          <w:color w:val="auto"/>
        </w:rPr>
        <w:t>.1. Competencia</w:t>
      </w:r>
      <w:r w:rsidRPr="00CA1F20">
        <w:rPr>
          <w:color w:val="auto"/>
        </w:rPr>
        <w:t>.</w:t>
      </w:r>
      <w:r w:rsidR="00FB6FFA" w:rsidRPr="00CA1F20">
        <w:rPr>
          <w:color w:val="auto"/>
        </w:rPr>
        <w:t xml:space="preserve"> </w:t>
      </w:r>
    </w:p>
    <w:p w:rsidR="002A4FC6" w:rsidRPr="00CA1F20" w:rsidRDefault="002A4FC6" w:rsidP="00AE3569">
      <w:pPr>
        <w:pStyle w:val="Default"/>
        <w:jc w:val="both"/>
        <w:rPr>
          <w:color w:val="auto"/>
        </w:rPr>
      </w:pPr>
    </w:p>
    <w:p w:rsidR="00B630CD" w:rsidRPr="00CA1F20" w:rsidRDefault="00B630CD" w:rsidP="00AE3569">
      <w:pPr>
        <w:pStyle w:val="Textoindependiente3"/>
        <w:rPr>
          <w:rFonts w:ascii="Bookman Old Style" w:hAnsi="Bookman Old Style"/>
          <w:iCs/>
          <w:sz w:val="24"/>
          <w:szCs w:val="24"/>
        </w:rPr>
      </w:pPr>
      <w:r w:rsidRPr="00CA1F20">
        <w:rPr>
          <w:rFonts w:ascii="Bookman Old Style" w:hAnsi="Bookman Old Style"/>
          <w:iCs/>
          <w:sz w:val="24"/>
          <w:szCs w:val="24"/>
        </w:rPr>
        <w:t xml:space="preserve">Este juzgado es competente para conocer de la presente actuación de conformidad con lo previsto en los artículos 86 de la Constitución Política y 37 del Decreto 2591 de 1991, en consonancia con las reglas de reparto previstas en el Decreto </w:t>
      </w:r>
      <w:r w:rsidRPr="00CA1F20">
        <w:rPr>
          <w:rFonts w:ascii="Bookman Old Style" w:eastAsia="Batang" w:hAnsi="Bookman Old Style" w:cs="Bookman Old Style"/>
          <w:sz w:val="24"/>
          <w:szCs w:val="24"/>
        </w:rPr>
        <w:t>1983 de 2017</w:t>
      </w:r>
      <w:r w:rsidRPr="00CA1F20">
        <w:rPr>
          <w:rFonts w:ascii="Bookman Old Style" w:hAnsi="Bookman Old Style"/>
          <w:iCs/>
          <w:sz w:val="24"/>
          <w:szCs w:val="24"/>
        </w:rPr>
        <w:t>.</w:t>
      </w:r>
    </w:p>
    <w:p w:rsidR="00006A47" w:rsidRPr="00CA1F20" w:rsidRDefault="00006A47" w:rsidP="00AE3569">
      <w:pPr>
        <w:pStyle w:val="Default"/>
        <w:jc w:val="both"/>
        <w:rPr>
          <w:color w:val="auto"/>
        </w:rPr>
      </w:pPr>
    </w:p>
    <w:p w:rsidR="00FB6FFA" w:rsidRPr="00CA1F20" w:rsidRDefault="00EB653D" w:rsidP="00AE3569">
      <w:pPr>
        <w:pStyle w:val="Default"/>
        <w:jc w:val="both"/>
        <w:rPr>
          <w:color w:val="auto"/>
        </w:rPr>
      </w:pPr>
      <w:r w:rsidRPr="00CA1F20">
        <w:rPr>
          <w:color w:val="auto"/>
        </w:rPr>
        <w:t>4</w:t>
      </w:r>
      <w:r w:rsidR="00FB6FFA" w:rsidRPr="00CA1F20">
        <w:rPr>
          <w:color w:val="auto"/>
        </w:rPr>
        <w:t>.2. Problema</w:t>
      </w:r>
      <w:r w:rsidR="007E254D" w:rsidRPr="00CA1F20">
        <w:rPr>
          <w:color w:val="auto"/>
        </w:rPr>
        <w:t xml:space="preserve"> jurídico.</w:t>
      </w:r>
    </w:p>
    <w:p w:rsidR="002A4FC6" w:rsidRPr="00CA1F20" w:rsidRDefault="002A4FC6" w:rsidP="00AE3569">
      <w:pPr>
        <w:pStyle w:val="Default"/>
        <w:jc w:val="both"/>
        <w:rPr>
          <w:color w:val="auto"/>
        </w:rPr>
      </w:pPr>
    </w:p>
    <w:p w:rsidR="00AB0A56" w:rsidRPr="00CA1F20" w:rsidRDefault="00AB0A56" w:rsidP="00AE3569">
      <w:pPr>
        <w:pStyle w:val="Textoindependiente3"/>
        <w:ind w:right="51"/>
        <w:rPr>
          <w:rFonts w:ascii="Bookman Old Style" w:hAnsi="Bookman Old Style"/>
          <w:sz w:val="24"/>
          <w:szCs w:val="24"/>
        </w:rPr>
      </w:pPr>
      <w:r w:rsidRPr="00CA1F20">
        <w:rPr>
          <w:rFonts w:ascii="Bookman Old Style" w:hAnsi="Bookman Old Style"/>
          <w:sz w:val="24"/>
          <w:szCs w:val="24"/>
        </w:rPr>
        <w:t>¿Se configuran los elementos necesarios para determinar que se ha dado respuesta a un escrito mediante el cual se ejerce el derecho fundamental de petición?</w:t>
      </w:r>
    </w:p>
    <w:p w:rsidR="00AB0A56" w:rsidRPr="00CA1F20" w:rsidRDefault="00AB0A56" w:rsidP="00AE3569">
      <w:pPr>
        <w:pStyle w:val="Textoindependiente3"/>
        <w:ind w:right="-136"/>
        <w:rPr>
          <w:rFonts w:ascii="Bookman Old Style" w:hAnsi="Bookman Old Style"/>
          <w:sz w:val="24"/>
          <w:szCs w:val="24"/>
        </w:rPr>
      </w:pPr>
    </w:p>
    <w:p w:rsidR="00C20ADA" w:rsidRPr="002E131A" w:rsidRDefault="00C20ADA" w:rsidP="00C20ADA">
      <w:pPr>
        <w:pStyle w:val="Textoindependiente3"/>
        <w:ind w:right="-136"/>
        <w:rPr>
          <w:rFonts w:ascii="Bookman Old Style" w:hAnsi="Bookman Old Style"/>
          <w:sz w:val="24"/>
          <w:szCs w:val="24"/>
        </w:rPr>
      </w:pPr>
      <w:r w:rsidRPr="002E131A">
        <w:rPr>
          <w:rFonts w:ascii="Bookman Old Style" w:hAnsi="Bookman Old Style"/>
          <w:sz w:val="24"/>
          <w:szCs w:val="24"/>
        </w:rPr>
        <w:t xml:space="preserve">4.3. </w:t>
      </w:r>
      <w:r w:rsidRPr="005B4A7F">
        <w:rPr>
          <w:rFonts w:ascii="Bookman Old Style" w:hAnsi="Bookman Old Style"/>
          <w:sz w:val="24"/>
          <w:szCs w:val="24"/>
        </w:rPr>
        <w:t>El núcleo esencial del derecho fundamental de petición</w:t>
      </w:r>
      <w:r>
        <w:rPr>
          <w:rFonts w:ascii="Bookman Old Style" w:hAnsi="Bookman Old Style"/>
          <w:sz w:val="24"/>
          <w:szCs w:val="24"/>
        </w:rPr>
        <w:t>;</w:t>
      </w:r>
      <w:r w:rsidRPr="002E131A">
        <w:rPr>
          <w:rFonts w:ascii="Bookman Old Style" w:hAnsi="Bookman Old Style"/>
          <w:sz w:val="24"/>
          <w:szCs w:val="24"/>
        </w:rPr>
        <w:t xml:space="preserve"> hecho superado. </w:t>
      </w:r>
    </w:p>
    <w:p w:rsidR="00C20ADA" w:rsidRPr="002E131A" w:rsidRDefault="00C20ADA" w:rsidP="00C20ADA">
      <w:pPr>
        <w:pStyle w:val="Textoindependiente3"/>
        <w:ind w:right="-136"/>
        <w:rPr>
          <w:rFonts w:ascii="Bookman Old Style" w:hAnsi="Bookman Old Style"/>
          <w:sz w:val="24"/>
          <w:szCs w:val="24"/>
        </w:rPr>
      </w:pPr>
    </w:p>
    <w:p w:rsidR="00C20ADA" w:rsidRDefault="00C20ADA" w:rsidP="00C20ADA">
      <w:pPr>
        <w:pStyle w:val="Textoindependiente3"/>
        <w:rPr>
          <w:rFonts w:ascii="Bookman Old Style" w:hAnsi="Bookman Old Style"/>
          <w:sz w:val="24"/>
          <w:szCs w:val="24"/>
        </w:rPr>
      </w:pPr>
      <w:r>
        <w:rPr>
          <w:rFonts w:ascii="Bookman Old Style" w:hAnsi="Bookman Old Style"/>
          <w:sz w:val="24"/>
          <w:szCs w:val="24"/>
        </w:rPr>
        <w:t>4</w:t>
      </w:r>
      <w:r w:rsidRPr="005B4A7F">
        <w:rPr>
          <w:rFonts w:ascii="Bookman Old Style" w:hAnsi="Bookman Old Style"/>
          <w:sz w:val="24"/>
          <w:szCs w:val="24"/>
        </w:rPr>
        <w:t>.3.</w:t>
      </w:r>
      <w:r>
        <w:rPr>
          <w:rFonts w:ascii="Bookman Old Style" w:hAnsi="Bookman Old Style"/>
          <w:sz w:val="24"/>
          <w:szCs w:val="24"/>
        </w:rPr>
        <w:t>1.</w:t>
      </w:r>
      <w:r w:rsidRPr="005B4A7F">
        <w:rPr>
          <w:rFonts w:ascii="Bookman Old Style" w:hAnsi="Bookman Old Style"/>
          <w:sz w:val="24"/>
          <w:szCs w:val="24"/>
        </w:rPr>
        <w:t xml:space="preserve"> El núcleo esencial del derecho fundamental de petición</w:t>
      </w:r>
      <w:r>
        <w:rPr>
          <w:rFonts w:ascii="Bookman Old Style" w:hAnsi="Bookman Old Style"/>
          <w:sz w:val="24"/>
          <w:szCs w:val="24"/>
        </w:rPr>
        <w:t>.</w:t>
      </w:r>
    </w:p>
    <w:p w:rsidR="00C20ADA" w:rsidRPr="003A1E1E" w:rsidRDefault="00C20ADA" w:rsidP="00C20ADA">
      <w:pPr>
        <w:pStyle w:val="Textoindependiente3"/>
        <w:ind w:right="-136"/>
        <w:rPr>
          <w:rFonts w:ascii="Bookman Old Style" w:hAnsi="Bookman Old Style"/>
          <w:sz w:val="24"/>
          <w:szCs w:val="24"/>
        </w:rPr>
      </w:pPr>
    </w:p>
    <w:p w:rsidR="00C20ADA" w:rsidRDefault="00C20ADA" w:rsidP="00C20ADA">
      <w:pPr>
        <w:pStyle w:val="Textoindependiente3"/>
        <w:ind w:right="-136"/>
        <w:rPr>
          <w:rFonts w:ascii="Bookman Old Style" w:hAnsi="Bookman Old Style" w:cs="Arial"/>
          <w:sz w:val="24"/>
          <w:szCs w:val="24"/>
        </w:rPr>
      </w:pPr>
      <w:r>
        <w:rPr>
          <w:rFonts w:ascii="Bookman Old Style" w:hAnsi="Bookman Old Style"/>
          <w:sz w:val="24"/>
          <w:szCs w:val="24"/>
        </w:rPr>
        <w:t xml:space="preserve">El artículo 23 de </w:t>
      </w:r>
      <w:smartTag w:uri="urn:schemas-microsoft-com:office:smarttags" w:element="PersonName">
        <w:smartTagPr>
          <w:attr w:name="ProductID" w:val="la Constituci￳n Pol￭tica"/>
        </w:smartTagPr>
        <w:r>
          <w:rPr>
            <w:rFonts w:ascii="Bookman Old Style" w:hAnsi="Bookman Old Style"/>
            <w:sz w:val="24"/>
            <w:szCs w:val="24"/>
          </w:rPr>
          <w:t>la Constitución Política</w:t>
        </w:r>
      </w:smartTag>
      <w:r>
        <w:rPr>
          <w:rFonts w:ascii="Bookman Old Style" w:hAnsi="Bookman Old Style"/>
          <w:sz w:val="24"/>
          <w:szCs w:val="24"/>
        </w:rPr>
        <w:t xml:space="preserve"> consagra el derecho fundamental de petición. A su vez, la Ley Estatutaria 1755 del 30 de junio de 2015 regula todo lo atiente al mismo, mientras que </w:t>
      </w:r>
      <w:smartTag w:uri="urn:schemas-microsoft-com:office:smarttags" w:element="PersonName">
        <w:smartTagPr>
          <w:attr w:name="ProductID" w:val="La Honorable Corte"/>
        </w:smartTagPr>
        <w:smartTag w:uri="urn:schemas-microsoft-com:office:smarttags" w:element="PersonName">
          <w:smartTagPr>
            <w:attr w:name="ProductID" w:val="La Honorable"/>
          </w:smartTagPr>
          <w:r>
            <w:rPr>
              <w:rFonts w:ascii="Bookman Old Style" w:hAnsi="Bookman Old Style"/>
              <w:sz w:val="24"/>
              <w:szCs w:val="24"/>
            </w:rPr>
            <w:t>la Honorable</w:t>
          </w:r>
        </w:smartTag>
        <w:r>
          <w:rPr>
            <w:rFonts w:ascii="Bookman Old Style" w:hAnsi="Bookman Old Style"/>
            <w:sz w:val="24"/>
            <w:szCs w:val="24"/>
          </w:rPr>
          <w:t xml:space="preserve"> Corte</w:t>
        </w:r>
      </w:smartTag>
      <w:r>
        <w:rPr>
          <w:rFonts w:ascii="Bookman Old Style" w:hAnsi="Bookman Old Style"/>
          <w:sz w:val="24"/>
          <w:szCs w:val="24"/>
        </w:rPr>
        <w:t xml:space="preserve"> Constitucional ha establecido los parámetros bajo los cuales se satisface el derecho de petición, que no son otros sino una respuesta de fondo y acorde con lo solicitado independiente de ser o no favorable a los intereses del peticionario </w:t>
      </w:r>
      <w:r w:rsidRPr="004B3472">
        <w:rPr>
          <w:rFonts w:ascii="Bookman Old Style" w:hAnsi="Bookman Old Style"/>
          <w:sz w:val="24"/>
          <w:szCs w:val="24"/>
        </w:rPr>
        <w:t>y que la misma le sea puesta en conocimiento.</w:t>
      </w:r>
      <w:r w:rsidRPr="000D051E">
        <w:rPr>
          <w:rFonts w:ascii="Bookman Old Style" w:hAnsi="Bookman Old Style"/>
          <w:sz w:val="24"/>
          <w:szCs w:val="24"/>
        </w:rPr>
        <w:t xml:space="preserve"> </w:t>
      </w:r>
      <w:r>
        <w:rPr>
          <w:rFonts w:ascii="Bookman Old Style" w:hAnsi="Bookman Old Style"/>
          <w:sz w:val="24"/>
          <w:szCs w:val="24"/>
        </w:rPr>
        <w:t>Sumado a que el derecho de petición no está sujeto a formalidades, por lo que no es necesario titularlo como tal ni invocar las normas que lo gobiernan (ver, entre otras, Sentencia T-146 de 2012)</w:t>
      </w:r>
    </w:p>
    <w:p w:rsidR="00C20ADA" w:rsidRPr="00CA1F20" w:rsidRDefault="00C20ADA" w:rsidP="00C20ADA">
      <w:pPr>
        <w:pStyle w:val="Textoindependiente3"/>
        <w:ind w:right="51"/>
        <w:rPr>
          <w:rFonts w:ascii="Bookman Old Style" w:hAnsi="Bookman Old Style"/>
          <w:sz w:val="24"/>
          <w:szCs w:val="24"/>
        </w:rPr>
      </w:pPr>
    </w:p>
    <w:p w:rsidR="00C20ADA" w:rsidRPr="00CA1F20" w:rsidRDefault="00C20ADA" w:rsidP="00C20ADA">
      <w:pPr>
        <w:pStyle w:val="Textoindependiente3"/>
        <w:ind w:right="51"/>
        <w:rPr>
          <w:rFonts w:ascii="Bookman Old Style" w:hAnsi="Bookman Old Style"/>
          <w:sz w:val="24"/>
          <w:szCs w:val="24"/>
          <w:lang w:val="es-ES_tradnl"/>
        </w:rPr>
      </w:pPr>
      <w:r w:rsidRPr="00CA1F20">
        <w:rPr>
          <w:rFonts w:ascii="Bookman Old Style" w:hAnsi="Bookman Old Style"/>
          <w:sz w:val="24"/>
          <w:szCs w:val="24"/>
        </w:rPr>
        <w:t>4.3.</w:t>
      </w:r>
      <w:r>
        <w:rPr>
          <w:rFonts w:ascii="Bookman Old Style" w:hAnsi="Bookman Old Style"/>
          <w:sz w:val="24"/>
          <w:szCs w:val="24"/>
        </w:rPr>
        <w:t>2</w:t>
      </w:r>
      <w:r w:rsidRPr="00CA1F20">
        <w:rPr>
          <w:rFonts w:ascii="Bookman Old Style" w:hAnsi="Bookman Old Style"/>
          <w:sz w:val="24"/>
          <w:szCs w:val="24"/>
        </w:rPr>
        <w:t xml:space="preserve">. </w:t>
      </w:r>
      <w:r>
        <w:rPr>
          <w:rFonts w:ascii="Bookman Old Style" w:hAnsi="Bookman Old Style"/>
          <w:sz w:val="24"/>
          <w:szCs w:val="24"/>
        </w:rPr>
        <w:t>H</w:t>
      </w:r>
      <w:r w:rsidRPr="00CA1F20">
        <w:rPr>
          <w:rFonts w:ascii="Bookman Old Style" w:hAnsi="Bookman Old Style"/>
          <w:sz w:val="24"/>
          <w:szCs w:val="24"/>
        </w:rPr>
        <w:t>echo superado.</w:t>
      </w:r>
    </w:p>
    <w:p w:rsidR="00C20ADA" w:rsidRPr="00CA1F20" w:rsidRDefault="00C20ADA" w:rsidP="00C20ADA">
      <w:pPr>
        <w:pStyle w:val="Textoindependiente3"/>
        <w:ind w:right="51"/>
        <w:rPr>
          <w:rFonts w:ascii="Bookman Old Style" w:hAnsi="Bookman Old Style"/>
          <w:sz w:val="24"/>
          <w:szCs w:val="24"/>
        </w:rPr>
      </w:pPr>
    </w:p>
    <w:p w:rsidR="00C20ADA" w:rsidRDefault="00C20ADA" w:rsidP="00C20ADA">
      <w:pPr>
        <w:spacing w:after="0" w:line="240" w:lineRule="auto"/>
        <w:ind w:right="51"/>
        <w:jc w:val="both"/>
        <w:rPr>
          <w:rFonts w:ascii="Bookman Old Style" w:hAnsi="Bookman Old Style" w:cs="Bookman Old Style"/>
          <w:sz w:val="24"/>
          <w:szCs w:val="24"/>
        </w:rPr>
      </w:pPr>
      <w:r w:rsidRPr="00CA1F20">
        <w:rPr>
          <w:rFonts w:ascii="Bookman Old Style" w:hAnsi="Bookman Old Style" w:cs="Bookman Old Style"/>
          <w:sz w:val="24"/>
          <w:szCs w:val="24"/>
        </w:rPr>
        <w:t>La Honorable Corte Constitucional ha sostenido de manera repetida que cuando acaecen hechos durante el trámite de la acción de tutela que llevan a concluir que la vulneración o amenaza a los derechos fundamentales invocados ha cesado, se configura un hecho superado. Este fenómeno extingue el objeto jurídico sobre el que gira la tutela, pues resta toda eficacia a las decisiones adoptadas por el juez</w:t>
      </w:r>
      <w:r w:rsidRPr="00CA1F20">
        <w:rPr>
          <w:rStyle w:val="Refdenotaalpie"/>
          <w:rFonts w:ascii="Bookman Old Style" w:hAnsi="Bookman Old Style" w:cs="Bookman Old Style"/>
          <w:sz w:val="24"/>
          <w:szCs w:val="24"/>
        </w:rPr>
        <w:footnoteReference w:id="1"/>
      </w:r>
      <w:r w:rsidRPr="00CA1F20">
        <w:rPr>
          <w:rFonts w:ascii="Bookman Old Style" w:hAnsi="Bookman Old Style" w:cs="Bookman Old Style"/>
          <w:sz w:val="24"/>
          <w:szCs w:val="24"/>
        </w:rPr>
        <w:t xml:space="preserve">. </w:t>
      </w:r>
    </w:p>
    <w:p w:rsidR="00F446F4" w:rsidRPr="00CA1F20" w:rsidRDefault="00F446F4" w:rsidP="00AE3569">
      <w:pPr>
        <w:pStyle w:val="Textoindependiente3"/>
        <w:ind w:right="-136"/>
        <w:rPr>
          <w:rFonts w:ascii="Bookman Old Style" w:hAnsi="Bookman Old Style"/>
          <w:sz w:val="24"/>
          <w:szCs w:val="24"/>
        </w:rPr>
      </w:pPr>
    </w:p>
    <w:p w:rsidR="00962EA3" w:rsidRPr="00CA1F20" w:rsidRDefault="00EB653D" w:rsidP="00AE3569">
      <w:pPr>
        <w:pStyle w:val="Textoindependiente3"/>
        <w:ind w:right="-136"/>
        <w:rPr>
          <w:rFonts w:ascii="Bookman Old Style" w:hAnsi="Bookman Old Style"/>
          <w:iCs/>
          <w:sz w:val="24"/>
          <w:szCs w:val="24"/>
        </w:rPr>
      </w:pPr>
      <w:r w:rsidRPr="00CA1F20">
        <w:rPr>
          <w:rFonts w:ascii="Bookman Old Style" w:hAnsi="Bookman Old Style"/>
          <w:iCs/>
          <w:sz w:val="24"/>
          <w:szCs w:val="24"/>
        </w:rPr>
        <w:t>4</w:t>
      </w:r>
      <w:r w:rsidR="00D97475" w:rsidRPr="00CA1F20">
        <w:rPr>
          <w:rFonts w:ascii="Bookman Old Style" w:hAnsi="Bookman Old Style"/>
          <w:iCs/>
          <w:sz w:val="24"/>
          <w:szCs w:val="24"/>
        </w:rPr>
        <w:t>.4. Caso concreto</w:t>
      </w:r>
      <w:r w:rsidR="00E74934" w:rsidRPr="00CA1F20">
        <w:rPr>
          <w:rFonts w:ascii="Bookman Old Style" w:hAnsi="Bookman Old Style"/>
          <w:iCs/>
          <w:sz w:val="24"/>
          <w:szCs w:val="24"/>
        </w:rPr>
        <w:t>.</w:t>
      </w:r>
    </w:p>
    <w:p w:rsidR="00962EA3" w:rsidRPr="00CA1F20" w:rsidRDefault="00962EA3" w:rsidP="00AE3569">
      <w:pPr>
        <w:pStyle w:val="Textoindependiente3"/>
        <w:ind w:right="-136"/>
        <w:rPr>
          <w:rFonts w:ascii="Bookman Old Style" w:hAnsi="Bookman Old Style"/>
          <w:iCs/>
          <w:sz w:val="24"/>
          <w:szCs w:val="24"/>
        </w:rPr>
      </w:pPr>
    </w:p>
    <w:p w:rsidR="00B23F6D" w:rsidRPr="00CA1F20" w:rsidRDefault="003E5DDD" w:rsidP="00AE3569">
      <w:pPr>
        <w:pStyle w:val="Textoindependiente3"/>
        <w:ind w:right="-136"/>
        <w:rPr>
          <w:rFonts w:ascii="Bookman Old Style" w:hAnsi="Bookman Old Style"/>
          <w:iCs/>
          <w:sz w:val="24"/>
          <w:szCs w:val="24"/>
        </w:rPr>
      </w:pPr>
      <w:r>
        <w:rPr>
          <w:rFonts w:ascii="Bookman Old Style" w:hAnsi="Bookman Old Style"/>
          <w:iCs/>
          <w:sz w:val="24"/>
          <w:szCs w:val="24"/>
        </w:rPr>
        <w:t>El ciudadano</w:t>
      </w:r>
      <w:r w:rsidR="002378AF">
        <w:rPr>
          <w:rFonts w:ascii="Bookman Old Style" w:hAnsi="Bookman Old Style"/>
          <w:iCs/>
          <w:sz w:val="24"/>
          <w:szCs w:val="24"/>
        </w:rPr>
        <w:t xml:space="preserve"> </w:t>
      </w:r>
      <w:proofErr w:type="spellStart"/>
      <w:r>
        <w:rPr>
          <w:rFonts w:ascii="Bookman Old Style" w:hAnsi="Bookman Old Style"/>
          <w:iCs/>
          <w:sz w:val="24"/>
          <w:szCs w:val="24"/>
        </w:rPr>
        <w:t>Yohani</w:t>
      </w:r>
      <w:proofErr w:type="spellEnd"/>
      <w:r>
        <w:rPr>
          <w:rFonts w:ascii="Bookman Old Style" w:hAnsi="Bookman Old Style"/>
          <w:iCs/>
          <w:sz w:val="24"/>
          <w:szCs w:val="24"/>
        </w:rPr>
        <w:t xml:space="preserve"> Abril Calderón</w:t>
      </w:r>
      <w:r w:rsidR="00B23F6D" w:rsidRPr="00CA1F20">
        <w:rPr>
          <w:rFonts w:ascii="Bookman Old Style" w:hAnsi="Bookman Old Style"/>
          <w:iCs/>
          <w:sz w:val="24"/>
          <w:szCs w:val="24"/>
        </w:rPr>
        <w:t xml:space="preserve"> solicita se ampare su derecho fundamental de petición y en consecuencia se ordene a</w:t>
      </w:r>
      <w:r w:rsidR="00517833">
        <w:rPr>
          <w:rFonts w:ascii="Bookman Old Style" w:hAnsi="Bookman Old Style"/>
          <w:iCs/>
          <w:sz w:val="24"/>
          <w:szCs w:val="24"/>
        </w:rPr>
        <w:t xml:space="preserve"> </w:t>
      </w:r>
      <w:r w:rsidR="002378AF">
        <w:rPr>
          <w:rFonts w:ascii="Bookman Old Style" w:hAnsi="Bookman Old Style"/>
          <w:iCs/>
          <w:sz w:val="24"/>
          <w:szCs w:val="24"/>
        </w:rPr>
        <w:t xml:space="preserve">la Dirección de Tránsito y Transporte de </w:t>
      </w:r>
      <w:r>
        <w:rPr>
          <w:rFonts w:ascii="Bookman Old Style" w:hAnsi="Bookman Old Style"/>
          <w:iCs/>
          <w:sz w:val="24"/>
          <w:szCs w:val="24"/>
        </w:rPr>
        <w:t>Bucaramanga</w:t>
      </w:r>
      <w:r w:rsidR="00380A92">
        <w:rPr>
          <w:rFonts w:ascii="Bookman Old Style" w:hAnsi="Bookman Old Style"/>
          <w:iCs/>
          <w:sz w:val="24"/>
          <w:szCs w:val="24"/>
        </w:rPr>
        <w:t xml:space="preserve"> </w:t>
      </w:r>
      <w:r w:rsidR="00512E59">
        <w:rPr>
          <w:rFonts w:ascii="Bookman Old Style" w:hAnsi="Bookman Old Style"/>
          <w:iCs/>
          <w:sz w:val="24"/>
          <w:szCs w:val="24"/>
        </w:rPr>
        <w:t>que le dé</w:t>
      </w:r>
      <w:r w:rsidR="00B23F6D" w:rsidRPr="00CA1F20">
        <w:rPr>
          <w:rFonts w:ascii="Bookman Old Style" w:hAnsi="Bookman Old Style"/>
          <w:iCs/>
          <w:sz w:val="24"/>
          <w:szCs w:val="24"/>
        </w:rPr>
        <w:t xml:space="preserve"> una respuesta de fondo e inmediata a su escrito</w:t>
      </w:r>
      <w:r w:rsidR="00517833">
        <w:rPr>
          <w:rFonts w:ascii="Bookman Old Style" w:hAnsi="Bookman Old Style"/>
          <w:iCs/>
          <w:sz w:val="24"/>
          <w:szCs w:val="24"/>
        </w:rPr>
        <w:t xml:space="preserve"> </w:t>
      </w:r>
      <w:r w:rsidR="00B23F6D" w:rsidRPr="00CA1F20">
        <w:rPr>
          <w:rFonts w:ascii="Bookman Old Style" w:hAnsi="Bookman Old Style"/>
          <w:iCs/>
          <w:sz w:val="24"/>
          <w:szCs w:val="24"/>
        </w:rPr>
        <w:t xml:space="preserve">presentado el </w:t>
      </w:r>
      <w:r>
        <w:rPr>
          <w:rFonts w:ascii="Bookman Old Style" w:hAnsi="Bookman Old Style"/>
          <w:iCs/>
          <w:sz w:val="24"/>
          <w:szCs w:val="24"/>
        </w:rPr>
        <w:t>22 de julio</w:t>
      </w:r>
      <w:r w:rsidR="00380A92">
        <w:rPr>
          <w:rFonts w:ascii="Bookman Old Style" w:hAnsi="Bookman Old Style"/>
          <w:iCs/>
          <w:sz w:val="24"/>
          <w:szCs w:val="24"/>
        </w:rPr>
        <w:t>.</w:t>
      </w:r>
      <w:r w:rsidR="00B23F6D" w:rsidRPr="00CA1F20">
        <w:rPr>
          <w:rFonts w:ascii="Bookman Old Style" w:hAnsi="Bookman Old Style"/>
          <w:iCs/>
          <w:sz w:val="24"/>
          <w:szCs w:val="24"/>
        </w:rPr>
        <w:t xml:space="preserve"> </w:t>
      </w:r>
    </w:p>
    <w:p w:rsidR="00B23F6D" w:rsidRPr="00CA1F20" w:rsidRDefault="00B23F6D" w:rsidP="00AE3569">
      <w:pPr>
        <w:pStyle w:val="Textoindependiente3"/>
        <w:ind w:right="-136"/>
        <w:rPr>
          <w:rFonts w:ascii="Bookman Old Style" w:hAnsi="Bookman Old Style"/>
          <w:iCs/>
          <w:sz w:val="24"/>
          <w:szCs w:val="24"/>
        </w:rPr>
      </w:pPr>
    </w:p>
    <w:p w:rsidR="00B23F6D" w:rsidRPr="00CA1F20" w:rsidRDefault="00B23F6D" w:rsidP="00AE3569">
      <w:pPr>
        <w:pStyle w:val="Textoindependiente3"/>
        <w:ind w:right="-136"/>
        <w:rPr>
          <w:rFonts w:ascii="Bookman Old Style" w:hAnsi="Bookman Old Style"/>
          <w:iCs/>
          <w:sz w:val="24"/>
          <w:szCs w:val="24"/>
        </w:rPr>
      </w:pPr>
      <w:r w:rsidRPr="00CA1F20">
        <w:rPr>
          <w:rFonts w:ascii="Bookman Old Style" w:hAnsi="Bookman Old Style"/>
          <w:iCs/>
          <w:sz w:val="24"/>
          <w:szCs w:val="24"/>
        </w:rPr>
        <w:t xml:space="preserve">De otro lado, la </w:t>
      </w:r>
      <w:r w:rsidR="004F1981">
        <w:rPr>
          <w:rFonts w:ascii="Bookman Old Style" w:hAnsi="Bookman Old Style"/>
          <w:iCs/>
          <w:sz w:val="24"/>
          <w:szCs w:val="24"/>
        </w:rPr>
        <w:t>entidad</w:t>
      </w:r>
      <w:r w:rsidRPr="00CA1F20">
        <w:rPr>
          <w:rFonts w:ascii="Bookman Old Style" w:hAnsi="Bookman Old Style"/>
          <w:iCs/>
          <w:sz w:val="24"/>
          <w:szCs w:val="24"/>
        </w:rPr>
        <w:t xml:space="preserve"> accionada solicitó se declarara </w:t>
      </w:r>
      <w:r w:rsidR="00517833">
        <w:rPr>
          <w:rFonts w:ascii="Bookman Old Style" w:hAnsi="Bookman Old Style"/>
          <w:iCs/>
          <w:sz w:val="24"/>
          <w:szCs w:val="24"/>
        </w:rPr>
        <w:t>la improcedencia de la presente acción</w:t>
      </w:r>
      <w:r w:rsidRPr="00CA1F20">
        <w:rPr>
          <w:rFonts w:ascii="Bookman Old Style" w:hAnsi="Bookman Old Style"/>
          <w:iCs/>
          <w:sz w:val="24"/>
          <w:szCs w:val="24"/>
        </w:rPr>
        <w:t>, por cuanto dio respuesta a la petición incoada</w:t>
      </w:r>
      <w:r w:rsidR="003E5DDD">
        <w:rPr>
          <w:rFonts w:ascii="Bookman Old Style" w:hAnsi="Bookman Old Style"/>
          <w:iCs/>
          <w:sz w:val="24"/>
          <w:szCs w:val="24"/>
        </w:rPr>
        <w:t xml:space="preserve">, pero que esta fue devuelta al no existir la dirección reportada por el actor. </w:t>
      </w:r>
    </w:p>
    <w:p w:rsidR="0042528E" w:rsidRPr="00CA1F20" w:rsidRDefault="0042528E" w:rsidP="00AE3569">
      <w:pPr>
        <w:pStyle w:val="Textoindependiente3"/>
        <w:ind w:right="-136"/>
        <w:rPr>
          <w:rFonts w:ascii="Bookman Old Style" w:hAnsi="Bookman Old Style"/>
          <w:iCs/>
          <w:sz w:val="24"/>
          <w:szCs w:val="24"/>
        </w:rPr>
      </w:pPr>
    </w:p>
    <w:p w:rsidR="00B23F6D" w:rsidRPr="00CA1F20" w:rsidRDefault="00512E59" w:rsidP="00AE3569">
      <w:pPr>
        <w:pStyle w:val="Textoindependiente3"/>
        <w:ind w:right="-136"/>
        <w:rPr>
          <w:rFonts w:ascii="Bookman Old Style" w:hAnsi="Bookman Old Style"/>
          <w:iCs/>
          <w:sz w:val="24"/>
          <w:szCs w:val="24"/>
        </w:rPr>
      </w:pPr>
      <w:r>
        <w:rPr>
          <w:rFonts w:ascii="Bookman Old Style" w:hAnsi="Bookman Old Style"/>
          <w:iCs/>
          <w:sz w:val="24"/>
          <w:szCs w:val="24"/>
        </w:rPr>
        <w:t>Contrastado</w:t>
      </w:r>
      <w:r w:rsidR="00B23F6D" w:rsidRPr="00CA1F20">
        <w:rPr>
          <w:rFonts w:ascii="Bookman Old Style" w:hAnsi="Bookman Old Style"/>
          <w:iCs/>
          <w:sz w:val="24"/>
          <w:szCs w:val="24"/>
        </w:rPr>
        <w:t xml:space="preserve"> lo expuesto en el presente caso y las pruebas aportadas con los parámetros legales y jurisprudenciales referidos, para el despacho debe </w:t>
      </w:r>
      <w:r w:rsidR="003E5DDD">
        <w:rPr>
          <w:rFonts w:ascii="Bookman Old Style" w:hAnsi="Bookman Old Style"/>
          <w:iCs/>
          <w:sz w:val="24"/>
          <w:szCs w:val="24"/>
        </w:rPr>
        <w:t>concederse</w:t>
      </w:r>
      <w:r w:rsidR="00AE3569">
        <w:rPr>
          <w:rFonts w:ascii="Bookman Old Style" w:hAnsi="Bookman Old Style"/>
          <w:iCs/>
          <w:sz w:val="24"/>
          <w:szCs w:val="24"/>
        </w:rPr>
        <w:t xml:space="preserve"> el amparo</w:t>
      </w:r>
      <w:r w:rsidR="00B23F6D" w:rsidRPr="00CA1F20">
        <w:rPr>
          <w:rFonts w:ascii="Bookman Old Style" w:hAnsi="Bookman Old Style"/>
          <w:iCs/>
          <w:sz w:val="24"/>
          <w:szCs w:val="24"/>
        </w:rPr>
        <w:t xml:space="preserve">, por las </w:t>
      </w:r>
      <w:r w:rsidR="00380A92">
        <w:rPr>
          <w:rFonts w:ascii="Bookman Old Style" w:hAnsi="Bookman Old Style"/>
          <w:iCs/>
          <w:sz w:val="24"/>
          <w:szCs w:val="24"/>
        </w:rPr>
        <w:t xml:space="preserve">siguientes </w:t>
      </w:r>
      <w:r w:rsidR="00B23F6D" w:rsidRPr="00CA1F20">
        <w:rPr>
          <w:rFonts w:ascii="Bookman Old Style" w:hAnsi="Bookman Old Style"/>
          <w:iCs/>
          <w:sz w:val="24"/>
          <w:szCs w:val="24"/>
        </w:rPr>
        <w:t>razones:</w:t>
      </w:r>
    </w:p>
    <w:p w:rsidR="00B23F6D" w:rsidRPr="00CA1F20" w:rsidRDefault="00B23F6D" w:rsidP="00AE3569">
      <w:pPr>
        <w:pStyle w:val="Textoindependiente3"/>
        <w:ind w:right="-136"/>
        <w:rPr>
          <w:rFonts w:ascii="Bookman Old Style" w:hAnsi="Bookman Old Style"/>
          <w:sz w:val="24"/>
          <w:szCs w:val="24"/>
        </w:rPr>
      </w:pPr>
    </w:p>
    <w:p w:rsidR="00380A92" w:rsidRDefault="00B23F6D" w:rsidP="00AE3569">
      <w:pPr>
        <w:pStyle w:val="Textoindependiente3"/>
        <w:ind w:right="-136"/>
        <w:rPr>
          <w:rFonts w:ascii="Bookman Old Style" w:hAnsi="Bookman Old Style"/>
          <w:sz w:val="24"/>
          <w:szCs w:val="24"/>
        </w:rPr>
      </w:pPr>
      <w:r w:rsidRPr="00CA1F20">
        <w:rPr>
          <w:rFonts w:ascii="Bookman Old Style" w:hAnsi="Bookman Old Style"/>
          <w:sz w:val="24"/>
          <w:szCs w:val="24"/>
        </w:rPr>
        <w:t xml:space="preserve">El escrito mediante el cual se ejerció el derecho de petición tiene como fin </w:t>
      </w:r>
      <w:r w:rsidR="003E5DDD">
        <w:rPr>
          <w:rFonts w:ascii="Bookman Old Style" w:hAnsi="Bookman Old Style"/>
          <w:sz w:val="24"/>
          <w:szCs w:val="24"/>
        </w:rPr>
        <w:t>la entrega de copias de las actuaciones realizadas respecto a una orden de comparendo</w:t>
      </w:r>
      <w:r w:rsidR="002378AF">
        <w:rPr>
          <w:rFonts w:ascii="Bookman Old Style" w:hAnsi="Bookman Old Style"/>
          <w:sz w:val="24"/>
          <w:szCs w:val="24"/>
        </w:rPr>
        <w:t>.</w:t>
      </w:r>
      <w:r w:rsidR="009D1708">
        <w:rPr>
          <w:rFonts w:ascii="Bookman Old Style" w:hAnsi="Bookman Old Style"/>
          <w:sz w:val="24"/>
          <w:szCs w:val="24"/>
        </w:rPr>
        <w:t xml:space="preserve"> </w:t>
      </w:r>
    </w:p>
    <w:p w:rsidR="00380A92" w:rsidRDefault="00380A92" w:rsidP="00AE3569">
      <w:pPr>
        <w:pStyle w:val="Textoindependiente3"/>
        <w:ind w:right="-136"/>
        <w:rPr>
          <w:rFonts w:ascii="Bookman Old Style" w:hAnsi="Bookman Old Style"/>
          <w:sz w:val="24"/>
          <w:szCs w:val="24"/>
        </w:rPr>
      </w:pPr>
    </w:p>
    <w:p w:rsidR="003E5DDD" w:rsidRDefault="002378AF" w:rsidP="002378AF">
      <w:pPr>
        <w:pStyle w:val="Textoindependiente3"/>
        <w:ind w:right="-136"/>
        <w:rPr>
          <w:rFonts w:ascii="Bookman Old Style" w:hAnsi="Bookman Old Style"/>
          <w:sz w:val="24"/>
          <w:szCs w:val="24"/>
        </w:rPr>
      </w:pPr>
      <w:r>
        <w:rPr>
          <w:rFonts w:ascii="Bookman Old Style" w:hAnsi="Bookman Old Style"/>
          <w:sz w:val="24"/>
          <w:szCs w:val="24"/>
        </w:rPr>
        <w:t>La Dirección de Tránsito y Transporte</w:t>
      </w:r>
      <w:r w:rsidR="009D1708" w:rsidRPr="009D1708">
        <w:rPr>
          <w:rFonts w:ascii="Bookman Old Style" w:hAnsi="Bookman Old Style"/>
          <w:sz w:val="24"/>
          <w:szCs w:val="24"/>
        </w:rPr>
        <w:t xml:space="preserve"> </w:t>
      </w:r>
      <w:r w:rsidR="003E5DDD">
        <w:rPr>
          <w:rFonts w:ascii="Bookman Old Style" w:hAnsi="Bookman Old Style"/>
          <w:sz w:val="24"/>
          <w:szCs w:val="24"/>
        </w:rPr>
        <w:t xml:space="preserve">de Bucaramanga </w:t>
      </w:r>
      <w:r w:rsidR="009D1708" w:rsidRPr="009D1708">
        <w:rPr>
          <w:rFonts w:ascii="Bookman Old Style" w:hAnsi="Bookman Old Style"/>
          <w:sz w:val="24"/>
          <w:szCs w:val="24"/>
        </w:rPr>
        <w:t>manifes</w:t>
      </w:r>
      <w:r w:rsidR="009D1708">
        <w:rPr>
          <w:rFonts w:ascii="Bookman Old Style" w:hAnsi="Bookman Old Style"/>
          <w:sz w:val="24"/>
          <w:szCs w:val="24"/>
        </w:rPr>
        <w:t>tó que</w:t>
      </w:r>
      <w:r w:rsidR="003E5DDD">
        <w:rPr>
          <w:rFonts w:ascii="Bookman Old Style" w:hAnsi="Bookman Old Style"/>
          <w:sz w:val="24"/>
          <w:szCs w:val="24"/>
        </w:rPr>
        <w:t xml:space="preserve"> respondió la petición incoada pero fue devuelta al no existir la dirección de entrega reportada por el accionante, según consta en el certificado de entrega expedido por la empresa 4-72. Por lo anterior, estimó que se configuró la carencia de objeto por hecho superado. </w:t>
      </w:r>
    </w:p>
    <w:p w:rsidR="003E5DDD" w:rsidRDefault="003E5DDD" w:rsidP="002378AF">
      <w:pPr>
        <w:pStyle w:val="Textoindependiente3"/>
        <w:ind w:right="-136"/>
        <w:rPr>
          <w:rFonts w:ascii="Bookman Old Style" w:hAnsi="Bookman Old Style"/>
          <w:sz w:val="24"/>
          <w:szCs w:val="24"/>
        </w:rPr>
      </w:pPr>
    </w:p>
    <w:p w:rsidR="003E5DDD" w:rsidRDefault="003E5DDD" w:rsidP="002378AF">
      <w:pPr>
        <w:pStyle w:val="Textoindependiente3"/>
        <w:ind w:right="-136"/>
        <w:rPr>
          <w:rFonts w:ascii="Bookman Old Style" w:hAnsi="Bookman Old Style"/>
          <w:sz w:val="24"/>
          <w:szCs w:val="24"/>
        </w:rPr>
      </w:pPr>
      <w:r>
        <w:rPr>
          <w:rFonts w:ascii="Bookman Old Style" w:hAnsi="Bookman Old Style"/>
          <w:sz w:val="24"/>
          <w:szCs w:val="24"/>
        </w:rPr>
        <w:t xml:space="preserve">Revisada la certificación expedida por la empresa 4-72 se puede constatar que </w:t>
      </w:r>
      <w:r w:rsidR="00893D29">
        <w:rPr>
          <w:rFonts w:ascii="Bookman Old Style" w:hAnsi="Bookman Old Style"/>
          <w:sz w:val="24"/>
          <w:szCs w:val="24"/>
        </w:rPr>
        <w:t xml:space="preserve">la respuesta fue enviada el 26 de julio a la </w:t>
      </w:r>
      <w:r w:rsidR="00893D29" w:rsidRPr="00893D29">
        <w:rPr>
          <w:rFonts w:ascii="Bookman Old Style" w:hAnsi="Bookman Old Style"/>
          <w:i/>
          <w:sz w:val="24"/>
          <w:szCs w:val="24"/>
        </w:rPr>
        <w:t>«CARRERA 8 N 8-68»</w:t>
      </w:r>
      <w:r w:rsidR="00893D29">
        <w:rPr>
          <w:rFonts w:ascii="Bookman Old Style" w:hAnsi="Bookman Old Style"/>
          <w:sz w:val="24"/>
          <w:szCs w:val="24"/>
        </w:rPr>
        <w:t xml:space="preserve"> y que fue devuelta por la causal </w:t>
      </w:r>
      <w:r w:rsidR="00893D29">
        <w:rPr>
          <w:rFonts w:ascii="Bookman Old Style" w:hAnsi="Bookman Old Style"/>
          <w:i/>
          <w:sz w:val="24"/>
          <w:szCs w:val="24"/>
        </w:rPr>
        <w:t xml:space="preserve">«No existe» </w:t>
      </w:r>
      <w:r w:rsidR="00893D29">
        <w:rPr>
          <w:rFonts w:ascii="Bookman Old Style" w:hAnsi="Bookman Old Style"/>
          <w:sz w:val="24"/>
          <w:szCs w:val="24"/>
        </w:rPr>
        <w:t xml:space="preserve">bajo la observación </w:t>
      </w:r>
      <w:r w:rsidR="00893D29">
        <w:rPr>
          <w:rFonts w:ascii="Bookman Old Style" w:hAnsi="Bookman Old Style"/>
          <w:i/>
          <w:sz w:val="24"/>
          <w:szCs w:val="24"/>
        </w:rPr>
        <w:t xml:space="preserve">Pasa de </w:t>
      </w:r>
      <w:r w:rsidR="00893D29" w:rsidRPr="00893D29">
        <w:rPr>
          <w:rFonts w:ascii="Bookman Old Style" w:hAnsi="Bookman Old Style"/>
          <w:i/>
          <w:sz w:val="24"/>
          <w:szCs w:val="24"/>
        </w:rPr>
        <w:t>«3-64 a 8-72»</w:t>
      </w:r>
      <w:r w:rsidR="00893D29">
        <w:rPr>
          <w:rFonts w:ascii="Bookman Old Style" w:hAnsi="Bookman Old Style"/>
          <w:sz w:val="24"/>
          <w:szCs w:val="24"/>
        </w:rPr>
        <w:t>.</w:t>
      </w:r>
    </w:p>
    <w:p w:rsidR="00893D29" w:rsidRDefault="00893D29" w:rsidP="002378AF">
      <w:pPr>
        <w:pStyle w:val="Textoindependiente3"/>
        <w:ind w:right="-136"/>
        <w:rPr>
          <w:rFonts w:ascii="Bookman Old Style" w:hAnsi="Bookman Old Style"/>
          <w:sz w:val="24"/>
          <w:szCs w:val="24"/>
        </w:rPr>
      </w:pPr>
    </w:p>
    <w:p w:rsidR="00893D29" w:rsidRDefault="00893D29" w:rsidP="002378AF">
      <w:pPr>
        <w:pStyle w:val="Textoindependiente3"/>
        <w:ind w:right="-136"/>
        <w:rPr>
          <w:rFonts w:ascii="Bookman Old Style" w:hAnsi="Bookman Old Style"/>
          <w:sz w:val="24"/>
          <w:szCs w:val="24"/>
        </w:rPr>
      </w:pPr>
      <w:r>
        <w:rPr>
          <w:rFonts w:ascii="Bookman Old Style" w:hAnsi="Bookman Old Style"/>
          <w:sz w:val="24"/>
          <w:szCs w:val="24"/>
        </w:rPr>
        <w:t xml:space="preserve">Con fundamento en lo anterior, puede observarse que </w:t>
      </w:r>
      <w:r w:rsidR="00862695">
        <w:rPr>
          <w:rFonts w:ascii="Bookman Old Style" w:hAnsi="Bookman Old Style"/>
          <w:sz w:val="24"/>
          <w:szCs w:val="24"/>
        </w:rPr>
        <w:t xml:space="preserve">si bien en la respuesta emitida se indicó la dirección reportada por el peticionario, </w:t>
      </w:r>
      <w:r w:rsidR="00ED35F5">
        <w:rPr>
          <w:rFonts w:ascii="Bookman Old Style" w:hAnsi="Bookman Old Style"/>
          <w:sz w:val="24"/>
          <w:szCs w:val="24"/>
        </w:rPr>
        <w:t xml:space="preserve">no </w:t>
      </w:r>
      <w:r w:rsidR="00862695">
        <w:rPr>
          <w:rFonts w:ascii="Bookman Old Style" w:hAnsi="Bookman Old Style"/>
          <w:sz w:val="24"/>
          <w:szCs w:val="24"/>
        </w:rPr>
        <w:t>se plasmó</w:t>
      </w:r>
      <w:r w:rsidR="00ED35F5">
        <w:rPr>
          <w:rFonts w:ascii="Bookman Old Style" w:hAnsi="Bookman Old Style"/>
          <w:sz w:val="24"/>
          <w:szCs w:val="24"/>
        </w:rPr>
        <w:t xml:space="preserve"> de manera completa al momento de diligenciar la guía de envío pues no consta en ella ni el barrio ni el piso que el accionante anunció en su petici</w:t>
      </w:r>
      <w:r w:rsidR="00721950">
        <w:rPr>
          <w:rFonts w:ascii="Bookman Old Style" w:hAnsi="Bookman Old Style"/>
          <w:sz w:val="24"/>
          <w:szCs w:val="24"/>
        </w:rPr>
        <w:t xml:space="preserve">ón, los cuales resultan necesarios si se tiene en cuenta que las nomenclaturas de los barrios Santa Ana y Casco Antiguo tienen cierta similitud, lo cual se podría prestar para confusiones en su diligenciamiento. </w:t>
      </w:r>
    </w:p>
    <w:p w:rsidR="00893D29" w:rsidRDefault="00893D29" w:rsidP="002378AF">
      <w:pPr>
        <w:pStyle w:val="Textoindependiente3"/>
        <w:ind w:right="-136"/>
        <w:rPr>
          <w:rFonts w:ascii="Bookman Old Style" w:hAnsi="Bookman Old Style"/>
          <w:sz w:val="24"/>
          <w:szCs w:val="24"/>
        </w:rPr>
      </w:pPr>
    </w:p>
    <w:p w:rsidR="00893D29" w:rsidRDefault="00ED35F5" w:rsidP="002378AF">
      <w:pPr>
        <w:pStyle w:val="Textoindependiente3"/>
        <w:ind w:right="-136"/>
        <w:rPr>
          <w:rFonts w:ascii="Bookman Old Style" w:hAnsi="Bookman Old Style"/>
          <w:sz w:val="24"/>
          <w:szCs w:val="24"/>
        </w:rPr>
      </w:pPr>
      <w:r>
        <w:rPr>
          <w:rFonts w:ascii="Bookman Old Style" w:hAnsi="Bookman Old Style"/>
          <w:sz w:val="24"/>
          <w:szCs w:val="24"/>
        </w:rPr>
        <w:t xml:space="preserve">En este orden, </w:t>
      </w:r>
      <w:r w:rsidR="00893D29">
        <w:rPr>
          <w:rFonts w:ascii="Bookman Old Style" w:hAnsi="Bookman Old Style"/>
          <w:sz w:val="24"/>
          <w:szCs w:val="24"/>
        </w:rPr>
        <w:t xml:space="preserve">no se cumplieron los requisitos necesarios para considerar que en el presente caso se </w:t>
      </w:r>
      <w:r w:rsidR="00862695">
        <w:rPr>
          <w:rFonts w:ascii="Bookman Old Style" w:hAnsi="Bookman Old Style"/>
          <w:sz w:val="24"/>
          <w:szCs w:val="24"/>
        </w:rPr>
        <w:t>puso</w:t>
      </w:r>
      <w:r>
        <w:rPr>
          <w:rFonts w:ascii="Bookman Old Style" w:hAnsi="Bookman Old Style"/>
          <w:sz w:val="24"/>
          <w:szCs w:val="24"/>
        </w:rPr>
        <w:t xml:space="preserve"> en conocimiento del peticionario </w:t>
      </w:r>
      <w:r w:rsidR="00721950">
        <w:rPr>
          <w:rFonts w:ascii="Bookman Old Style" w:hAnsi="Bookman Old Style"/>
          <w:sz w:val="24"/>
          <w:szCs w:val="24"/>
        </w:rPr>
        <w:t xml:space="preserve">la respuesta emitida, y por lo tanto, es claro que la Dirección de Tránsito y Transporte de Bucaramanga vulneró el derecho de petición del señor </w:t>
      </w:r>
      <w:proofErr w:type="spellStart"/>
      <w:r w:rsidR="00721950">
        <w:rPr>
          <w:rFonts w:ascii="Bookman Old Style" w:hAnsi="Bookman Old Style"/>
          <w:sz w:val="24"/>
          <w:szCs w:val="24"/>
        </w:rPr>
        <w:t>Yohani</w:t>
      </w:r>
      <w:proofErr w:type="spellEnd"/>
      <w:r w:rsidR="00721950">
        <w:rPr>
          <w:rFonts w:ascii="Bookman Old Style" w:hAnsi="Bookman Old Style"/>
          <w:sz w:val="24"/>
          <w:szCs w:val="24"/>
        </w:rPr>
        <w:t xml:space="preserve"> Abril Calderón. </w:t>
      </w:r>
    </w:p>
    <w:p w:rsidR="00721950" w:rsidRDefault="00721950" w:rsidP="002378AF">
      <w:pPr>
        <w:pStyle w:val="Textoindependiente3"/>
        <w:ind w:right="-136"/>
        <w:rPr>
          <w:rFonts w:ascii="Bookman Old Style" w:hAnsi="Bookman Old Style"/>
          <w:sz w:val="24"/>
          <w:szCs w:val="24"/>
        </w:rPr>
      </w:pPr>
    </w:p>
    <w:p w:rsidR="00721950" w:rsidRPr="00721950" w:rsidRDefault="00721950" w:rsidP="002378AF">
      <w:pPr>
        <w:pStyle w:val="Textoindependiente3"/>
        <w:ind w:right="-136"/>
        <w:rPr>
          <w:rFonts w:ascii="Bookman Old Style" w:hAnsi="Bookman Old Style"/>
          <w:sz w:val="24"/>
          <w:szCs w:val="24"/>
        </w:rPr>
      </w:pPr>
      <w:r>
        <w:rPr>
          <w:rFonts w:ascii="Bookman Old Style" w:hAnsi="Bookman Old Style"/>
          <w:sz w:val="24"/>
          <w:szCs w:val="24"/>
        </w:rPr>
        <w:t>Así las cosas, se ordenará a la Dirección de Tránsito y Transporte de Bucaramanga que dentro de las cuarenta y ocho (48) horas siguientes a la notificación de esta decisión profiera una respuesta de fondo y acorde con lo solicitado independiente de ser o no favorable a los intereses del peticionario</w:t>
      </w:r>
      <w:r w:rsidR="00536EF2">
        <w:rPr>
          <w:rFonts w:ascii="Bookman Old Style" w:hAnsi="Bookman Old Style"/>
          <w:sz w:val="24"/>
          <w:szCs w:val="24"/>
        </w:rPr>
        <w:t xml:space="preserve"> </w:t>
      </w:r>
      <w:proofErr w:type="spellStart"/>
      <w:r w:rsidR="00536EF2">
        <w:rPr>
          <w:rFonts w:ascii="Bookman Old Style" w:hAnsi="Bookman Old Style"/>
          <w:sz w:val="24"/>
          <w:szCs w:val="24"/>
        </w:rPr>
        <w:t>Yohani</w:t>
      </w:r>
      <w:proofErr w:type="spellEnd"/>
      <w:r w:rsidR="00536EF2">
        <w:rPr>
          <w:rFonts w:ascii="Bookman Old Style" w:hAnsi="Bookman Old Style"/>
          <w:sz w:val="24"/>
          <w:szCs w:val="24"/>
        </w:rPr>
        <w:t xml:space="preserve"> Abril Calderón,</w:t>
      </w:r>
      <w:r>
        <w:rPr>
          <w:rFonts w:ascii="Bookman Old Style" w:hAnsi="Bookman Old Style"/>
          <w:sz w:val="24"/>
          <w:szCs w:val="24"/>
        </w:rPr>
        <w:t xml:space="preserve"> que sea remitida a la dirección de correspondencia </w:t>
      </w:r>
      <w:r w:rsidR="00536EF2">
        <w:rPr>
          <w:rFonts w:ascii="Bookman Old Style" w:hAnsi="Bookman Old Style"/>
          <w:sz w:val="24"/>
          <w:szCs w:val="24"/>
        </w:rPr>
        <w:t>que él suministró.</w:t>
      </w:r>
    </w:p>
    <w:p w:rsidR="00721950" w:rsidRDefault="00721950" w:rsidP="002378AF">
      <w:pPr>
        <w:pStyle w:val="Textoindependiente3"/>
        <w:ind w:right="-136"/>
        <w:rPr>
          <w:rFonts w:ascii="Bookman Old Style" w:hAnsi="Bookman Old Style"/>
          <w:sz w:val="24"/>
          <w:szCs w:val="24"/>
        </w:rPr>
      </w:pPr>
    </w:p>
    <w:p w:rsidR="000120B5" w:rsidRDefault="00536EF2" w:rsidP="00536EF2">
      <w:pPr>
        <w:pStyle w:val="Textoindependiente3"/>
        <w:ind w:right="-136"/>
        <w:rPr>
          <w:rFonts w:ascii="Bookman Old Style" w:hAnsi="Bookman Old Style"/>
          <w:sz w:val="24"/>
          <w:szCs w:val="24"/>
        </w:rPr>
      </w:pPr>
      <w:r>
        <w:rPr>
          <w:rFonts w:ascii="Bookman Old Style" w:hAnsi="Bookman Old Style"/>
          <w:sz w:val="24"/>
          <w:szCs w:val="24"/>
        </w:rPr>
        <w:t xml:space="preserve">Por último, debe aclararse a la entidad accionada que la carencia de objeto por hecho superado se configura cuando la vulneración o amenaza a un derecho fundamental se extingue dentro del trámite de tutela. </w:t>
      </w:r>
    </w:p>
    <w:p w:rsidR="000120B5" w:rsidRPr="00CA1F20" w:rsidRDefault="000120B5" w:rsidP="00AE3569">
      <w:pPr>
        <w:pStyle w:val="Textoindependiente3"/>
        <w:ind w:right="-136"/>
        <w:rPr>
          <w:rFonts w:ascii="Bookman Old Style" w:hAnsi="Bookman Old Style"/>
          <w:sz w:val="24"/>
          <w:szCs w:val="24"/>
        </w:rPr>
      </w:pPr>
    </w:p>
    <w:p w:rsidR="00D97475" w:rsidRPr="00CA1F20" w:rsidRDefault="00D97475" w:rsidP="00AE3569">
      <w:pPr>
        <w:pStyle w:val="Textoindependiente3"/>
        <w:ind w:right="-136"/>
        <w:rPr>
          <w:rFonts w:ascii="Bookman Old Style" w:hAnsi="Bookman Old Style"/>
          <w:sz w:val="24"/>
          <w:szCs w:val="24"/>
        </w:rPr>
      </w:pPr>
      <w:r w:rsidRPr="00CA1F20">
        <w:rPr>
          <w:rFonts w:ascii="Bookman Old Style" w:hAnsi="Bookman Old Style" w:cs="Arial"/>
          <w:sz w:val="24"/>
          <w:szCs w:val="24"/>
        </w:rPr>
        <w:t>En mérito de lo expuesto, el Juzgado Segundo (2</w:t>
      </w:r>
      <w:r w:rsidR="000120B5">
        <w:rPr>
          <w:rFonts w:ascii="Bookman Old Style" w:hAnsi="Bookman Old Style" w:cs="Arial"/>
          <w:sz w:val="24"/>
          <w:szCs w:val="24"/>
        </w:rPr>
        <w:t>.</w:t>
      </w:r>
      <w:r w:rsidRPr="00CA1F20">
        <w:rPr>
          <w:rFonts w:ascii="Bookman Old Style" w:hAnsi="Bookman Old Style" w:cs="Arial"/>
          <w:sz w:val="24"/>
          <w:szCs w:val="24"/>
        </w:rPr>
        <w:t>º)</w:t>
      </w:r>
      <w:r w:rsidR="00CB191D" w:rsidRPr="00CA1F20">
        <w:rPr>
          <w:rFonts w:ascii="Bookman Old Style" w:hAnsi="Bookman Old Style" w:cs="Arial"/>
          <w:sz w:val="24"/>
          <w:szCs w:val="24"/>
        </w:rPr>
        <w:t xml:space="preserve"> </w:t>
      </w:r>
      <w:r w:rsidRPr="00CA1F20">
        <w:rPr>
          <w:rFonts w:ascii="Bookman Old Style" w:hAnsi="Bookman Old Style" w:cs="Arial"/>
          <w:sz w:val="24"/>
          <w:szCs w:val="24"/>
        </w:rPr>
        <w:t xml:space="preserve">Civil Municipal de Floridablanca, administrando justicia en nombre de la República y por autoridad de la Ley, </w:t>
      </w:r>
    </w:p>
    <w:p w:rsidR="001F7415" w:rsidRPr="00CA1F20" w:rsidRDefault="001F7415" w:rsidP="00AE3569">
      <w:pPr>
        <w:spacing w:after="0" w:line="240" w:lineRule="auto"/>
        <w:jc w:val="both"/>
        <w:rPr>
          <w:rFonts w:ascii="Bookman Old Style" w:hAnsi="Bookman Old Style" w:cs="Arial"/>
          <w:sz w:val="24"/>
          <w:szCs w:val="24"/>
        </w:rPr>
      </w:pPr>
    </w:p>
    <w:p w:rsidR="00D97475" w:rsidRPr="00CA1F20" w:rsidRDefault="00D97475" w:rsidP="00AE3569">
      <w:pPr>
        <w:pStyle w:val="Ttulo4"/>
        <w:rPr>
          <w:rFonts w:ascii="Bookman Old Style" w:hAnsi="Bookman Old Style"/>
          <w:b w:val="0"/>
          <w:sz w:val="24"/>
          <w:szCs w:val="24"/>
        </w:rPr>
      </w:pPr>
      <w:r w:rsidRPr="00CA1F20">
        <w:rPr>
          <w:rFonts w:ascii="Bookman Old Style" w:hAnsi="Bookman Old Style"/>
          <w:b w:val="0"/>
          <w:sz w:val="24"/>
          <w:szCs w:val="24"/>
        </w:rPr>
        <w:t>V. RESUELVE</w:t>
      </w:r>
    </w:p>
    <w:p w:rsidR="00D97475" w:rsidRPr="00CA1F20" w:rsidRDefault="00D97475" w:rsidP="00AE3569">
      <w:pPr>
        <w:spacing w:after="0" w:line="240" w:lineRule="auto"/>
        <w:rPr>
          <w:rFonts w:ascii="Bookman Old Style" w:hAnsi="Bookman Old Style"/>
          <w:sz w:val="24"/>
          <w:szCs w:val="24"/>
          <w:lang w:val="es-ES"/>
        </w:rPr>
      </w:pPr>
    </w:p>
    <w:p w:rsidR="00D97475" w:rsidRPr="00CA1F20" w:rsidRDefault="00D97475" w:rsidP="00AE3569">
      <w:pPr>
        <w:spacing w:after="0" w:line="240" w:lineRule="auto"/>
        <w:ind w:right="-40"/>
        <w:jc w:val="both"/>
        <w:rPr>
          <w:rFonts w:ascii="Bookman Old Style" w:hAnsi="Bookman Old Style"/>
          <w:iCs/>
          <w:sz w:val="24"/>
          <w:szCs w:val="24"/>
        </w:rPr>
      </w:pPr>
      <w:r w:rsidRPr="00CA1F20">
        <w:rPr>
          <w:rFonts w:ascii="Bookman Old Style" w:hAnsi="Bookman Old Style" w:cs="Arial"/>
          <w:sz w:val="24"/>
          <w:szCs w:val="24"/>
        </w:rPr>
        <w:t>PRIMERO:</w:t>
      </w:r>
      <w:r w:rsidRPr="00CA1F20">
        <w:rPr>
          <w:rFonts w:ascii="Bookman Old Style" w:hAnsi="Bookman Old Style" w:cs="Arial"/>
          <w:sz w:val="24"/>
          <w:szCs w:val="24"/>
        </w:rPr>
        <w:tab/>
      </w:r>
      <w:r w:rsidRPr="00CA1F20">
        <w:rPr>
          <w:rFonts w:ascii="Bookman Old Style" w:hAnsi="Bookman Old Style" w:cs="Arial"/>
          <w:sz w:val="24"/>
          <w:szCs w:val="24"/>
        </w:rPr>
        <w:tab/>
      </w:r>
      <w:r w:rsidR="00536EF2">
        <w:rPr>
          <w:rFonts w:ascii="Bookman Old Style" w:hAnsi="Bookman Old Style" w:cs="Arial"/>
          <w:sz w:val="24"/>
          <w:szCs w:val="24"/>
        </w:rPr>
        <w:t xml:space="preserve">AMPARAR el derecho de petición del señor </w:t>
      </w:r>
      <w:proofErr w:type="spellStart"/>
      <w:r w:rsidR="00536EF2">
        <w:rPr>
          <w:rFonts w:ascii="Bookman Old Style" w:hAnsi="Bookman Old Style" w:cs="Arial"/>
          <w:sz w:val="24"/>
          <w:szCs w:val="24"/>
        </w:rPr>
        <w:t>Yohani</w:t>
      </w:r>
      <w:proofErr w:type="spellEnd"/>
      <w:r w:rsidR="00536EF2">
        <w:rPr>
          <w:rFonts w:ascii="Bookman Old Style" w:hAnsi="Bookman Old Style" w:cs="Arial"/>
          <w:sz w:val="24"/>
          <w:szCs w:val="24"/>
        </w:rPr>
        <w:t xml:space="preserve"> Abril Calderón, identificado con la c.c. 1.098.150.024, </w:t>
      </w:r>
      <w:r w:rsidR="008D68ED" w:rsidRPr="00CA1F20">
        <w:rPr>
          <w:rFonts w:ascii="Bookman Old Style" w:hAnsi="Bookman Old Style" w:cs="Arial"/>
          <w:sz w:val="24"/>
          <w:szCs w:val="24"/>
        </w:rPr>
        <w:t>de</w:t>
      </w:r>
      <w:r w:rsidRPr="00CA1F20">
        <w:rPr>
          <w:rFonts w:ascii="Bookman Old Style" w:hAnsi="Bookman Old Style"/>
          <w:iCs/>
          <w:sz w:val="24"/>
          <w:szCs w:val="24"/>
        </w:rPr>
        <w:t xml:space="preserve"> conformidad con lo señalado en la parte motiva.</w:t>
      </w:r>
    </w:p>
    <w:p w:rsidR="00D97475" w:rsidRDefault="00D97475" w:rsidP="00AE3569">
      <w:pPr>
        <w:spacing w:after="0" w:line="240" w:lineRule="auto"/>
        <w:ind w:right="-40"/>
        <w:jc w:val="both"/>
        <w:rPr>
          <w:rFonts w:ascii="Bookman Old Style" w:hAnsi="Bookman Old Style"/>
          <w:iCs/>
          <w:sz w:val="24"/>
          <w:szCs w:val="24"/>
        </w:rPr>
      </w:pPr>
    </w:p>
    <w:p w:rsidR="00536EF2" w:rsidRDefault="00536EF2" w:rsidP="00AE3569">
      <w:pPr>
        <w:spacing w:after="0" w:line="240" w:lineRule="auto"/>
        <w:ind w:right="-40"/>
        <w:jc w:val="both"/>
        <w:rPr>
          <w:rFonts w:ascii="Bookman Old Style" w:hAnsi="Bookman Old Style"/>
          <w:iCs/>
          <w:sz w:val="24"/>
          <w:szCs w:val="24"/>
        </w:rPr>
      </w:pPr>
      <w:r>
        <w:rPr>
          <w:rFonts w:ascii="Bookman Old Style" w:hAnsi="Bookman Old Style"/>
          <w:iCs/>
          <w:sz w:val="24"/>
          <w:szCs w:val="24"/>
        </w:rPr>
        <w:t>SEGUNDO:</w:t>
      </w:r>
      <w:r>
        <w:rPr>
          <w:rFonts w:ascii="Bookman Old Style" w:hAnsi="Bookman Old Style"/>
          <w:iCs/>
          <w:sz w:val="24"/>
          <w:szCs w:val="24"/>
        </w:rPr>
        <w:tab/>
      </w:r>
      <w:r>
        <w:rPr>
          <w:rFonts w:ascii="Bookman Old Style" w:hAnsi="Bookman Old Style"/>
          <w:iCs/>
          <w:sz w:val="24"/>
          <w:szCs w:val="24"/>
        </w:rPr>
        <w:tab/>
        <w:t xml:space="preserve">ORDENAR a la Dirección de Tránsito y Transporte de Bucaramanga que dentro de las cuarenta y ocho (48) horas siguientes a la notificación del presente fallo </w:t>
      </w:r>
      <w:r>
        <w:rPr>
          <w:rFonts w:ascii="Bookman Old Style" w:hAnsi="Bookman Old Style"/>
          <w:sz w:val="24"/>
          <w:szCs w:val="24"/>
        </w:rPr>
        <w:t xml:space="preserve">profiera una respuesta de fondo y acorde con lo solicitado independiente de ser o no favorable a los intereses del peticionario </w:t>
      </w:r>
      <w:proofErr w:type="spellStart"/>
      <w:r>
        <w:rPr>
          <w:rFonts w:ascii="Bookman Old Style" w:hAnsi="Bookman Old Style"/>
          <w:sz w:val="24"/>
          <w:szCs w:val="24"/>
        </w:rPr>
        <w:t>Yohani</w:t>
      </w:r>
      <w:proofErr w:type="spellEnd"/>
      <w:r>
        <w:rPr>
          <w:rFonts w:ascii="Bookman Old Style" w:hAnsi="Bookman Old Style"/>
          <w:sz w:val="24"/>
          <w:szCs w:val="24"/>
        </w:rPr>
        <w:t xml:space="preserve"> Abril Calderón, que sea remitida a la dirección de correspondencia que él suministró en su petición.</w:t>
      </w:r>
      <w:r>
        <w:rPr>
          <w:rFonts w:ascii="Bookman Old Style" w:hAnsi="Bookman Old Style"/>
          <w:iCs/>
          <w:sz w:val="24"/>
          <w:szCs w:val="24"/>
        </w:rPr>
        <w:t xml:space="preserve"> </w:t>
      </w:r>
    </w:p>
    <w:p w:rsidR="00536EF2" w:rsidRPr="00CA1F20" w:rsidRDefault="00536EF2" w:rsidP="00AE3569">
      <w:pPr>
        <w:spacing w:after="0" w:line="240" w:lineRule="auto"/>
        <w:ind w:right="-40"/>
        <w:jc w:val="both"/>
        <w:rPr>
          <w:rFonts w:ascii="Bookman Old Style" w:hAnsi="Bookman Old Style"/>
          <w:iCs/>
          <w:sz w:val="24"/>
          <w:szCs w:val="24"/>
        </w:rPr>
      </w:pPr>
    </w:p>
    <w:p w:rsidR="00D97475" w:rsidRPr="00CA1F20" w:rsidRDefault="00536EF2" w:rsidP="00AE3569">
      <w:pPr>
        <w:spacing w:after="0" w:line="240" w:lineRule="auto"/>
        <w:ind w:right="-40"/>
        <w:jc w:val="both"/>
        <w:rPr>
          <w:rFonts w:ascii="Bookman Old Style" w:hAnsi="Bookman Old Style" w:cs="Arial"/>
          <w:sz w:val="24"/>
          <w:szCs w:val="24"/>
        </w:rPr>
      </w:pPr>
      <w:r>
        <w:rPr>
          <w:rFonts w:ascii="Bookman Old Style" w:hAnsi="Bookman Old Style" w:cs="Arial"/>
          <w:sz w:val="24"/>
          <w:szCs w:val="24"/>
        </w:rPr>
        <w:t>TERCERO</w:t>
      </w:r>
      <w:r w:rsidR="00D97475" w:rsidRPr="00CA1F20">
        <w:rPr>
          <w:rFonts w:ascii="Bookman Old Style" w:hAnsi="Bookman Old Style" w:cs="Arial"/>
          <w:sz w:val="24"/>
          <w:szCs w:val="24"/>
        </w:rPr>
        <w:t>:</w:t>
      </w:r>
      <w:r w:rsidR="00D97475" w:rsidRPr="00CA1F20">
        <w:rPr>
          <w:rFonts w:ascii="Bookman Old Style" w:hAnsi="Bookman Old Style" w:cs="Arial"/>
          <w:sz w:val="24"/>
          <w:szCs w:val="24"/>
        </w:rPr>
        <w:tab/>
      </w:r>
      <w:r w:rsidR="00D97475" w:rsidRPr="00CA1F20">
        <w:rPr>
          <w:rFonts w:ascii="Bookman Old Style" w:hAnsi="Bookman Old Style" w:cs="Arial"/>
          <w:sz w:val="24"/>
          <w:szCs w:val="24"/>
        </w:rPr>
        <w:tab/>
      </w:r>
      <w:r w:rsidR="00AA7727" w:rsidRPr="00CA1F20">
        <w:rPr>
          <w:rFonts w:ascii="Bookman Old Style" w:hAnsi="Bookman Old Style" w:cs="Arial"/>
          <w:sz w:val="24"/>
          <w:szCs w:val="24"/>
        </w:rPr>
        <w:t>INFORMAR</w:t>
      </w:r>
      <w:r w:rsidR="00D97475" w:rsidRPr="00CA1F20">
        <w:rPr>
          <w:rFonts w:ascii="Bookman Old Style" w:hAnsi="Bookman Old Style" w:cs="Arial"/>
          <w:sz w:val="24"/>
          <w:szCs w:val="24"/>
        </w:rPr>
        <w:t xml:space="preserve"> a las partes que el presente fallo es impugnable dentro de los tres (3) días siguientes a su notificación.</w:t>
      </w:r>
    </w:p>
    <w:p w:rsidR="00D97475" w:rsidRPr="00CA1F20" w:rsidRDefault="00D97475" w:rsidP="00AE3569">
      <w:pPr>
        <w:spacing w:after="0" w:line="240" w:lineRule="auto"/>
        <w:ind w:right="-40"/>
        <w:jc w:val="both"/>
        <w:rPr>
          <w:rFonts w:ascii="Bookman Old Style" w:hAnsi="Bookman Old Style" w:cs="Arial"/>
          <w:sz w:val="24"/>
          <w:szCs w:val="24"/>
        </w:rPr>
      </w:pPr>
    </w:p>
    <w:p w:rsidR="00D97475" w:rsidRPr="00CA1F20" w:rsidRDefault="00536EF2" w:rsidP="00AE3569">
      <w:pPr>
        <w:spacing w:after="0" w:line="240" w:lineRule="auto"/>
        <w:ind w:right="-40"/>
        <w:jc w:val="both"/>
        <w:rPr>
          <w:rFonts w:ascii="Bookman Old Style" w:hAnsi="Bookman Old Style" w:cs="Arial"/>
          <w:sz w:val="24"/>
          <w:szCs w:val="24"/>
        </w:rPr>
      </w:pPr>
      <w:r>
        <w:rPr>
          <w:rFonts w:ascii="Bookman Old Style" w:hAnsi="Bookman Old Style"/>
          <w:sz w:val="24"/>
          <w:szCs w:val="24"/>
        </w:rPr>
        <w:t>CUARTO</w:t>
      </w:r>
      <w:r w:rsidR="00D97475" w:rsidRPr="00CA1F20">
        <w:rPr>
          <w:rFonts w:ascii="Bookman Old Style" w:hAnsi="Bookman Old Style"/>
          <w:sz w:val="24"/>
          <w:szCs w:val="24"/>
        </w:rPr>
        <w:t>:</w:t>
      </w:r>
      <w:r w:rsidR="00CB191D" w:rsidRPr="00CA1F20">
        <w:rPr>
          <w:rFonts w:ascii="Bookman Old Style" w:hAnsi="Bookman Old Style"/>
          <w:sz w:val="24"/>
          <w:szCs w:val="24"/>
        </w:rPr>
        <w:t xml:space="preserve"> </w:t>
      </w:r>
      <w:r w:rsidR="00CB191D" w:rsidRPr="00CA1F20">
        <w:rPr>
          <w:rFonts w:ascii="Bookman Old Style" w:hAnsi="Bookman Old Style"/>
          <w:sz w:val="24"/>
          <w:szCs w:val="24"/>
        </w:rPr>
        <w:tab/>
      </w:r>
      <w:r w:rsidR="00CB191D" w:rsidRPr="00CA1F20">
        <w:rPr>
          <w:rFonts w:ascii="Bookman Old Style" w:hAnsi="Bookman Old Style"/>
          <w:sz w:val="24"/>
          <w:szCs w:val="24"/>
        </w:rPr>
        <w:tab/>
      </w:r>
      <w:r w:rsidR="00C20ADA">
        <w:rPr>
          <w:rFonts w:ascii="Bookman Old Style" w:hAnsi="Bookman Old Style" w:cs="Arial"/>
          <w:sz w:val="24"/>
          <w:szCs w:val="24"/>
        </w:rPr>
        <w:t>Si el presente</w:t>
      </w:r>
      <w:r w:rsidR="00C20ADA" w:rsidRPr="00CA1F20">
        <w:rPr>
          <w:rFonts w:ascii="Bookman Old Style" w:hAnsi="Bookman Old Style" w:cs="Arial"/>
          <w:sz w:val="24"/>
          <w:szCs w:val="24"/>
        </w:rPr>
        <w:t xml:space="preserve"> fallo no fuere impugnado, </w:t>
      </w:r>
      <w:r w:rsidR="00C20ADA">
        <w:rPr>
          <w:rFonts w:ascii="Bookman Old Style" w:hAnsi="Bookman Old Style" w:cs="Arial"/>
          <w:sz w:val="24"/>
          <w:szCs w:val="24"/>
        </w:rPr>
        <w:t xml:space="preserve">remítase el expediente </w:t>
      </w:r>
      <w:r w:rsidR="00C20ADA" w:rsidRPr="00CA1F20">
        <w:rPr>
          <w:rFonts w:ascii="Bookman Old Style" w:hAnsi="Bookman Old Style" w:cs="Arial"/>
          <w:sz w:val="24"/>
          <w:szCs w:val="24"/>
        </w:rPr>
        <w:t>a la Corte Constitucional para su eventual revisión, tal como lo dispone el artículo 31 del Decreto 2591 de 1991.</w:t>
      </w:r>
    </w:p>
    <w:p w:rsidR="00BF1F2C" w:rsidRDefault="00BF1F2C" w:rsidP="00AE3569">
      <w:pPr>
        <w:spacing w:after="0" w:line="240" w:lineRule="auto"/>
        <w:jc w:val="both"/>
        <w:rPr>
          <w:rFonts w:ascii="Bookman Old Style" w:hAnsi="Bookman Old Style" w:cs="Arial"/>
          <w:sz w:val="24"/>
          <w:szCs w:val="24"/>
        </w:rPr>
      </w:pPr>
      <w:bookmarkStart w:id="0" w:name="_GoBack"/>
      <w:bookmarkEnd w:id="0"/>
    </w:p>
    <w:p w:rsidR="00E420A6" w:rsidRPr="00CA1F20" w:rsidRDefault="00E420A6" w:rsidP="00AE3569">
      <w:pPr>
        <w:spacing w:after="0" w:line="240" w:lineRule="auto"/>
        <w:jc w:val="both"/>
        <w:rPr>
          <w:rFonts w:ascii="Bookman Old Style" w:hAnsi="Bookman Old Style" w:cs="Arial"/>
          <w:sz w:val="24"/>
          <w:szCs w:val="24"/>
        </w:rPr>
      </w:pPr>
    </w:p>
    <w:p w:rsidR="00D97475" w:rsidRPr="00CA1F20" w:rsidRDefault="00D97475" w:rsidP="00AE3569">
      <w:pPr>
        <w:spacing w:after="0" w:line="240" w:lineRule="auto"/>
        <w:jc w:val="center"/>
        <w:rPr>
          <w:rFonts w:ascii="Bookman Old Style" w:hAnsi="Bookman Old Style" w:cs="Arial"/>
          <w:sz w:val="24"/>
          <w:szCs w:val="24"/>
        </w:rPr>
      </w:pPr>
      <w:r w:rsidRPr="00CA1F20">
        <w:rPr>
          <w:rFonts w:ascii="Bookman Old Style" w:hAnsi="Bookman Old Style" w:cs="Arial"/>
          <w:sz w:val="24"/>
          <w:szCs w:val="24"/>
        </w:rPr>
        <w:t>NOTIFÍQUESE Y CÚMPLASE</w:t>
      </w:r>
    </w:p>
    <w:p w:rsidR="00D97475" w:rsidRPr="00CA1F20" w:rsidRDefault="00D97475" w:rsidP="00AE3569">
      <w:pPr>
        <w:spacing w:after="0" w:line="240" w:lineRule="auto"/>
        <w:jc w:val="center"/>
        <w:rPr>
          <w:rFonts w:ascii="Bookman Old Style" w:hAnsi="Bookman Old Style" w:cs="Arial"/>
          <w:sz w:val="24"/>
          <w:szCs w:val="24"/>
        </w:rPr>
      </w:pPr>
    </w:p>
    <w:p w:rsidR="00D97475" w:rsidRPr="00CA1F20" w:rsidRDefault="00D97475" w:rsidP="00AE3569">
      <w:pPr>
        <w:spacing w:after="0" w:line="240" w:lineRule="auto"/>
        <w:jc w:val="center"/>
        <w:rPr>
          <w:rFonts w:ascii="Bookman Old Style" w:hAnsi="Bookman Old Style" w:cs="Arial"/>
          <w:sz w:val="24"/>
          <w:szCs w:val="24"/>
        </w:rPr>
      </w:pPr>
    </w:p>
    <w:p w:rsidR="00D97475" w:rsidRPr="00CA1F20" w:rsidRDefault="00D97475" w:rsidP="00AE3569">
      <w:pPr>
        <w:spacing w:after="0" w:line="240" w:lineRule="auto"/>
        <w:rPr>
          <w:rFonts w:ascii="Bookman Old Style" w:hAnsi="Bookman Old Style" w:cs="Arial"/>
          <w:sz w:val="24"/>
          <w:szCs w:val="24"/>
        </w:rPr>
      </w:pPr>
    </w:p>
    <w:p w:rsidR="00512E59" w:rsidRDefault="00512E59" w:rsidP="00AE3569">
      <w:pPr>
        <w:spacing w:after="0" w:line="240" w:lineRule="auto"/>
        <w:rPr>
          <w:rFonts w:ascii="Bookman Old Style" w:hAnsi="Bookman Old Style" w:cs="Arial"/>
          <w:sz w:val="24"/>
          <w:szCs w:val="24"/>
        </w:rPr>
      </w:pPr>
    </w:p>
    <w:p w:rsidR="00077D9D" w:rsidRDefault="00077D9D" w:rsidP="00AE3569">
      <w:pPr>
        <w:spacing w:after="0" w:line="240" w:lineRule="auto"/>
        <w:rPr>
          <w:rFonts w:ascii="Bookman Old Style" w:hAnsi="Bookman Old Style" w:cs="Arial"/>
          <w:sz w:val="24"/>
          <w:szCs w:val="24"/>
        </w:rPr>
      </w:pPr>
    </w:p>
    <w:p w:rsidR="00D97475" w:rsidRPr="00CA1F20" w:rsidRDefault="00D97475" w:rsidP="00AE3569">
      <w:pPr>
        <w:spacing w:after="0" w:line="240" w:lineRule="auto"/>
        <w:jc w:val="center"/>
        <w:rPr>
          <w:rFonts w:ascii="Bookman Old Style" w:hAnsi="Bookman Old Style" w:cs="Arial"/>
          <w:sz w:val="24"/>
          <w:szCs w:val="24"/>
        </w:rPr>
      </w:pPr>
      <w:r w:rsidRPr="00CA1F20">
        <w:rPr>
          <w:rFonts w:ascii="Bookman Old Style" w:hAnsi="Bookman Old Style" w:cs="Arial"/>
          <w:sz w:val="24"/>
          <w:szCs w:val="24"/>
        </w:rPr>
        <w:t>DANILO ALARCÓN MÉNDEZ</w:t>
      </w:r>
    </w:p>
    <w:p w:rsidR="00D97475" w:rsidRPr="00CA1F20" w:rsidRDefault="00D97475" w:rsidP="00AE3569">
      <w:pPr>
        <w:spacing w:after="0" w:line="240" w:lineRule="auto"/>
        <w:jc w:val="center"/>
        <w:rPr>
          <w:rFonts w:ascii="Bookman Old Style" w:hAnsi="Bookman Old Style"/>
          <w:sz w:val="24"/>
          <w:szCs w:val="24"/>
        </w:rPr>
      </w:pPr>
      <w:r w:rsidRPr="00CA1F20">
        <w:rPr>
          <w:rFonts w:ascii="Bookman Old Style" w:hAnsi="Bookman Old Style" w:cs="Arial"/>
          <w:sz w:val="24"/>
          <w:szCs w:val="24"/>
        </w:rPr>
        <w:t>Juez</w:t>
      </w:r>
    </w:p>
    <w:sectPr w:rsidR="00D97475" w:rsidRPr="00CA1F20" w:rsidSect="00862695">
      <w:headerReference w:type="default" r:id="rId9"/>
      <w:footerReference w:type="default" r:id="rId10"/>
      <w:pgSz w:w="12242" w:h="18722" w:code="14"/>
      <w:pgMar w:top="1701" w:right="1134"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201" w:rsidRDefault="00CE1201" w:rsidP="00FB6FFA">
      <w:pPr>
        <w:spacing w:after="0" w:line="240" w:lineRule="auto"/>
      </w:pPr>
      <w:r>
        <w:separator/>
      </w:r>
    </w:p>
  </w:endnote>
  <w:endnote w:type="continuationSeparator" w:id="0">
    <w:p w:rsidR="00CE1201" w:rsidRDefault="00CE1201" w:rsidP="00FB6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Bookman Old Style" w:hAnsi="Bookman Old Style"/>
        <w:sz w:val="20"/>
        <w:szCs w:val="20"/>
      </w:rPr>
      <w:id w:val="1883590947"/>
      <w:docPartObj>
        <w:docPartGallery w:val="Page Numbers (Bottom of Page)"/>
        <w:docPartUnique/>
      </w:docPartObj>
    </w:sdtPr>
    <w:sdtEndPr/>
    <w:sdtContent>
      <w:sdt>
        <w:sdtPr>
          <w:rPr>
            <w:rFonts w:ascii="Bookman Old Style" w:hAnsi="Bookman Old Style"/>
            <w:sz w:val="20"/>
            <w:szCs w:val="20"/>
          </w:rPr>
          <w:id w:val="-1769616900"/>
          <w:docPartObj>
            <w:docPartGallery w:val="Page Numbers (Top of Page)"/>
            <w:docPartUnique/>
          </w:docPartObj>
        </w:sdtPr>
        <w:sdtEndPr/>
        <w:sdtContent>
          <w:p w:rsidR="00B630CD" w:rsidRPr="00B630CD" w:rsidRDefault="00B630CD">
            <w:pPr>
              <w:pStyle w:val="Piedepgina"/>
              <w:jc w:val="right"/>
              <w:rPr>
                <w:rFonts w:ascii="Bookman Old Style" w:hAnsi="Bookman Old Style"/>
                <w:sz w:val="20"/>
                <w:szCs w:val="20"/>
              </w:rPr>
            </w:pPr>
            <w:r w:rsidRPr="00B630CD">
              <w:rPr>
                <w:rFonts w:ascii="Bookman Old Style" w:hAnsi="Bookman Old Style"/>
                <w:sz w:val="20"/>
                <w:szCs w:val="20"/>
                <w:lang w:val="es-ES"/>
              </w:rPr>
              <w:t xml:space="preserve">Página </w:t>
            </w:r>
            <w:r w:rsidR="00A30E9A" w:rsidRPr="00B630CD">
              <w:rPr>
                <w:rFonts w:ascii="Bookman Old Style" w:hAnsi="Bookman Old Style"/>
                <w:b/>
                <w:bCs/>
                <w:sz w:val="20"/>
                <w:szCs w:val="20"/>
              </w:rPr>
              <w:fldChar w:fldCharType="begin"/>
            </w:r>
            <w:r w:rsidRPr="00B630CD">
              <w:rPr>
                <w:rFonts w:ascii="Bookman Old Style" w:hAnsi="Bookman Old Style"/>
                <w:b/>
                <w:bCs/>
                <w:sz w:val="20"/>
                <w:szCs w:val="20"/>
              </w:rPr>
              <w:instrText>PAGE</w:instrText>
            </w:r>
            <w:r w:rsidR="00A30E9A" w:rsidRPr="00B630CD">
              <w:rPr>
                <w:rFonts w:ascii="Bookman Old Style" w:hAnsi="Bookman Old Style"/>
                <w:b/>
                <w:bCs/>
                <w:sz w:val="20"/>
                <w:szCs w:val="20"/>
              </w:rPr>
              <w:fldChar w:fldCharType="separate"/>
            </w:r>
            <w:r w:rsidR="00B159CE">
              <w:rPr>
                <w:rFonts w:ascii="Bookman Old Style" w:hAnsi="Bookman Old Style"/>
                <w:b/>
                <w:bCs/>
                <w:noProof/>
                <w:sz w:val="20"/>
                <w:szCs w:val="20"/>
              </w:rPr>
              <w:t>4</w:t>
            </w:r>
            <w:r w:rsidR="00A30E9A" w:rsidRPr="00B630CD">
              <w:rPr>
                <w:rFonts w:ascii="Bookman Old Style" w:hAnsi="Bookman Old Style"/>
                <w:b/>
                <w:bCs/>
                <w:sz w:val="20"/>
                <w:szCs w:val="20"/>
              </w:rPr>
              <w:fldChar w:fldCharType="end"/>
            </w:r>
            <w:r w:rsidRPr="00B630CD">
              <w:rPr>
                <w:rFonts w:ascii="Bookman Old Style" w:hAnsi="Bookman Old Style"/>
                <w:sz w:val="20"/>
                <w:szCs w:val="20"/>
                <w:lang w:val="es-ES"/>
              </w:rPr>
              <w:t xml:space="preserve"> de </w:t>
            </w:r>
            <w:r w:rsidR="00A30E9A" w:rsidRPr="00B630CD">
              <w:rPr>
                <w:rFonts w:ascii="Bookman Old Style" w:hAnsi="Bookman Old Style"/>
                <w:b/>
                <w:bCs/>
                <w:sz w:val="20"/>
                <w:szCs w:val="20"/>
              </w:rPr>
              <w:fldChar w:fldCharType="begin"/>
            </w:r>
            <w:r w:rsidRPr="00B630CD">
              <w:rPr>
                <w:rFonts w:ascii="Bookman Old Style" w:hAnsi="Bookman Old Style"/>
                <w:b/>
                <w:bCs/>
                <w:sz w:val="20"/>
                <w:szCs w:val="20"/>
              </w:rPr>
              <w:instrText>NUMPAGES</w:instrText>
            </w:r>
            <w:r w:rsidR="00A30E9A" w:rsidRPr="00B630CD">
              <w:rPr>
                <w:rFonts w:ascii="Bookman Old Style" w:hAnsi="Bookman Old Style"/>
                <w:b/>
                <w:bCs/>
                <w:sz w:val="20"/>
                <w:szCs w:val="20"/>
              </w:rPr>
              <w:fldChar w:fldCharType="separate"/>
            </w:r>
            <w:r w:rsidR="00B159CE">
              <w:rPr>
                <w:rFonts w:ascii="Bookman Old Style" w:hAnsi="Bookman Old Style"/>
                <w:b/>
                <w:bCs/>
                <w:noProof/>
                <w:sz w:val="20"/>
                <w:szCs w:val="20"/>
              </w:rPr>
              <w:t>4</w:t>
            </w:r>
            <w:r w:rsidR="00A30E9A" w:rsidRPr="00B630CD">
              <w:rPr>
                <w:rFonts w:ascii="Bookman Old Style" w:hAnsi="Bookman Old Style"/>
                <w:b/>
                <w:bCs/>
                <w:sz w:val="20"/>
                <w:szCs w:val="20"/>
              </w:rPr>
              <w:fldChar w:fldCharType="end"/>
            </w:r>
          </w:p>
        </w:sdtContent>
      </w:sdt>
    </w:sdtContent>
  </w:sdt>
  <w:p w:rsidR="006D4B09" w:rsidRDefault="006D4B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201" w:rsidRDefault="00CE1201" w:rsidP="00FB6FFA">
      <w:pPr>
        <w:spacing w:after="0" w:line="240" w:lineRule="auto"/>
      </w:pPr>
      <w:r>
        <w:separator/>
      </w:r>
    </w:p>
  </w:footnote>
  <w:footnote w:type="continuationSeparator" w:id="0">
    <w:p w:rsidR="00CE1201" w:rsidRDefault="00CE1201" w:rsidP="00FB6FFA">
      <w:pPr>
        <w:spacing w:after="0" w:line="240" w:lineRule="auto"/>
      </w:pPr>
      <w:r>
        <w:continuationSeparator/>
      </w:r>
    </w:p>
  </w:footnote>
  <w:footnote w:id="1">
    <w:p w:rsidR="00C20ADA" w:rsidRPr="00512E59" w:rsidRDefault="00C20ADA" w:rsidP="00C20ADA">
      <w:pPr>
        <w:pStyle w:val="Textonotapie"/>
        <w:jc w:val="both"/>
        <w:rPr>
          <w:rFonts w:ascii="Bookman Old Style" w:hAnsi="Bookman Old Style"/>
        </w:rPr>
      </w:pPr>
      <w:r w:rsidRPr="00512E59">
        <w:rPr>
          <w:rStyle w:val="Refdenotaalpie"/>
          <w:rFonts w:ascii="Bookman Old Style" w:hAnsi="Bookman Old Style"/>
        </w:rPr>
        <w:footnoteRef/>
      </w:r>
      <w:r w:rsidRPr="00512E59">
        <w:rPr>
          <w:rFonts w:ascii="Bookman Old Style" w:hAnsi="Bookman Old Style"/>
        </w:rPr>
        <w:t xml:space="preserve"> Ver, entre otras, las sentencias T-436/10, T-253/09, T-442/06, T-082/06, T-610/06, T-442/06, T-902/01, T-492/01, T-262/00, T-321/97, T-505/96, T-081/95 y T-535/92.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B09" w:rsidRDefault="00DA0AAA" w:rsidP="00FB6FFA">
    <w:pPr>
      <w:pStyle w:val="Default"/>
      <w:rPr>
        <w:sz w:val="20"/>
        <w:szCs w:val="20"/>
      </w:rPr>
    </w:pPr>
    <w:r>
      <w:rPr>
        <w:sz w:val="20"/>
        <w:szCs w:val="20"/>
      </w:rPr>
      <w:t>Tutela:</w:t>
    </w:r>
    <w:r>
      <w:rPr>
        <w:sz w:val="20"/>
        <w:szCs w:val="20"/>
      </w:rPr>
      <w:tab/>
    </w:r>
    <w:r>
      <w:rPr>
        <w:sz w:val="20"/>
        <w:szCs w:val="20"/>
      </w:rPr>
      <w:tab/>
    </w:r>
    <w:r w:rsidR="005430C4">
      <w:rPr>
        <w:sz w:val="20"/>
        <w:szCs w:val="20"/>
      </w:rPr>
      <w:t>2019-</w:t>
    </w:r>
    <w:r w:rsidR="00600F1A">
      <w:rPr>
        <w:sz w:val="20"/>
        <w:szCs w:val="20"/>
      </w:rPr>
      <w:t>00885</w:t>
    </w:r>
    <w:r>
      <w:rPr>
        <w:sz w:val="20"/>
        <w:szCs w:val="20"/>
      </w:rPr>
      <w:t>-00</w:t>
    </w:r>
    <w:r w:rsidR="006D4B09">
      <w:rPr>
        <w:sz w:val="20"/>
        <w:szCs w:val="20"/>
      </w:rPr>
      <w:t xml:space="preserve"> (</w:t>
    </w:r>
    <w:r w:rsidR="00600F1A">
      <w:rPr>
        <w:sz w:val="20"/>
        <w:szCs w:val="20"/>
      </w:rPr>
      <w:t>concede</w:t>
    </w:r>
    <w:r w:rsidR="006D4B09">
      <w:rPr>
        <w:sz w:val="20"/>
        <w:szCs w:val="20"/>
      </w:rPr>
      <w:t>)</w:t>
    </w:r>
  </w:p>
  <w:p w:rsidR="006D4B09" w:rsidRDefault="00DA0AAA" w:rsidP="00FB6FFA">
    <w:pPr>
      <w:pStyle w:val="Default"/>
      <w:rPr>
        <w:sz w:val="20"/>
        <w:szCs w:val="20"/>
      </w:rPr>
    </w:pPr>
    <w:r>
      <w:rPr>
        <w:sz w:val="20"/>
        <w:szCs w:val="20"/>
      </w:rPr>
      <w:t>Accion</w:t>
    </w:r>
    <w:r w:rsidR="00EA5406">
      <w:rPr>
        <w:sz w:val="20"/>
        <w:szCs w:val="20"/>
      </w:rPr>
      <w:t>ante:</w:t>
    </w:r>
    <w:r w:rsidR="00EA5406">
      <w:rPr>
        <w:sz w:val="20"/>
        <w:szCs w:val="20"/>
      </w:rPr>
      <w:tab/>
    </w:r>
    <w:proofErr w:type="spellStart"/>
    <w:r w:rsidR="00600F1A">
      <w:rPr>
        <w:sz w:val="20"/>
        <w:szCs w:val="20"/>
      </w:rPr>
      <w:t>Yohani</w:t>
    </w:r>
    <w:proofErr w:type="spellEnd"/>
    <w:r w:rsidR="00600F1A">
      <w:rPr>
        <w:sz w:val="20"/>
        <w:szCs w:val="20"/>
      </w:rPr>
      <w:t xml:space="preserve"> Abril Calderón</w:t>
    </w:r>
  </w:p>
  <w:p w:rsidR="006D4B09" w:rsidRDefault="00DA0AAA" w:rsidP="00600F1A">
    <w:pPr>
      <w:pStyle w:val="Default"/>
      <w:rPr>
        <w:sz w:val="20"/>
        <w:szCs w:val="20"/>
      </w:rPr>
    </w:pPr>
    <w:r>
      <w:rPr>
        <w:sz w:val="20"/>
        <w:szCs w:val="20"/>
      </w:rPr>
      <w:t>Accionada</w:t>
    </w:r>
    <w:r w:rsidR="006D4B09">
      <w:rPr>
        <w:sz w:val="20"/>
        <w:szCs w:val="20"/>
      </w:rPr>
      <w:t>:</w:t>
    </w:r>
    <w:r>
      <w:rPr>
        <w:sz w:val="20"/>
        <w:szCs w:val="20"/>
      </w:rPr>
      <w:tab/>
    </w:r>
    <w:r w:rsidR="00E961EA">
      <w:rPr>
        <w:sz w:val="20"/>
        <w:szCs w:val="20"/>
      </w:rPr>
      <w:t xml:space="preserve">Dirección de Tránsito y Transporte de </w:t>
    </w:r>
    <w:r w:rsidR="00600F1A">
      <w:rPr>
        <w:sz w:val="20"/>
        <w:szCs w:val="20"/>
      </w:rPr>
      <w:t>Bucaramanga</w:t>
    </w:r>
  </w:p>
  <w:p w:rsidR="00600F1A" w:rsidRPr="00600F1A" w:rsidRDefault="00600F1A" w:rsidP="00600F1A">
    <w:pPr>
      <w:pStyle w:val="Defaul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364EA"/>
    <w:multiLevelType w:val="hybridMultilevel"/>
    <w:tmpl w:val="5E80C85C"/>
    <w:lvl w:ilvl="0" w:tplc="235E2330">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B6FFA"/>
    <w:rsid w:val="00006A47"/>
    <w:rsid w:val="000120B5"/>
    <w:rsid w:val="00025CC9"/>
    <w:rsid w:val="00035084"/>
    <w:rsid w:val="0003651E"/>
    <w:rsid w:val="000443B2"/>
    <w:rsid w:val="00071021"/>
    <w:rsid w:val="00074C89"/>
    <w:rsid w:val="00077D9D"/>
    <w:rsid w:val="000B7224"/>
    <w:rsid w:val="000C5919"/>
    <w:rsid w:val="000E0E7E"/>
    <w:rsid w:val="00103BE1"/>
    <w:rsid w:val="00133203"/>
    <w:rsid w:val="00137AF1"/>
    <w:rsid w:val="0019763A"/>
    <w:rsid w:val="001B253C"/>
    <w:rsid w:val="001C1ED9"/>
    <w:rsid w:val="001D4F3A"/>
    <w:rsid w:val="001F7415"/>
    <w:rsid w:val="002042BD"/>
    <w:rsid w:val="0020791B"/>
    <w:rsid w:val="0021173A"/>
    <w:rsid w:val="00222E80"/>
    <w:rsid w:val="002272BC"/>
    <w:rsid w:val="002378AF"/>
    <w:rsid w:val="00252BD8"/>
    <w:rsid w:val="00296E63"/>
    <w:rsid w:val="002A0040"/>
    <w:rsid w:val="002A4FC6"/>
    <w:rsid w:val="002A61B1"/>
    <w:rsid w:val="002E4090"/>
    <w:rsid w:val="00330AA4"/>
    <w:rsid w:val="00340EDC"/>
    <w:rsid w:val="00343B22"/>
    <w:rsid w:val="003630D2"/>
    <w:rsid w:val="00364E2F"/>
    <w:rsid w:val="00380A92"/>
    <w:rsid w:val="00387CD4"/>
    <w:rsid w:val="003B1AC2"/>
    <w:rsid w:val="003C735B"/>
    <w:rsid w:val="003D16E2"/>
    <w:rsid w:val="003E52C5"/>
    <w:rsid w:val="003E5DDD"/>
    <w:rsid w:val="0042528E"/>
    <w:rsid w:val="00434DDB"/>
    <w:rsid w:val="00442DDC"/>
    <w:rsid w:val="004A184A"/>
    <w:rsid w:val="004F1981"/>
    <w:rsid w:val="004F5571"/>
    <w:rsid w:val="00500FC5"/>
    <w:rsid w:val="00502D9C"/>
    <w:rsid w:val="00512E59"/>
    <w:rsid w:val="00514886"/>
    <w:rsid w:val="005157FE"/>
    <w:rsid w:val="00517833"/>
    <w:rsid w:val="0052129E"/>
    <w:rsid w:val="00535B31"/>
    <w:rsid w:val="00536EF2"/>
    <w:rsid w:val="005430C4"/>
    <w:rsid w:val="00594BB7"/>
    <w:rsid w:val="005A6A9B"/>
    <w:rsid w:val="005B24E8"/>
    <w:rsid w:val="00600F1A"/>
    <w:rsid w:val="00607E10"/>
    <w:rsid w:val="006108B2"/>
    <w:rsid w:val="006664F8"/>
    <w:rsid w:val="006A1BC3"/>
    <w:rsid w:val="006A247E"/>
    <w:rsid w:val="006C1A0E"/>
    <w:rsid w:val="006C2CA3"/>
    <w:rsid w:val="006D4B09"/>
    <w:rsid w:val="006D7F10"/>
    <w:rsid w:val="00721950"/>
    <w:rsid w:val="00740B80"/>
    <w:rsid w:val="00746797"/>
    <w:rsid w:val="00760AD5"/>
    <w:rsid w:val="007706B7"/>
    <w:rsid w:val="00785854"/>
    <w:rsid w:val="007C0F42"/>
    <w:rsid w:val="007E118B"/>
    <w:rsid w:val="007E254D"/>
    <w:rsid w:val="007E7684"/>
    <w:rsid w:val="00815211"/>
    <w:rsid w:val="00820BF4"/>
    <w:rsid w:val="008301EA"/>
    <w:rsid w:val="00854DAE"/>
    <w:rsid w:val="00856D73"/>
    <w:rsid w:val="00862695"/>
    <w:rsid w:val="00865E4E"/>
    <w:rsid w:val="0087022F"/>
    <w:rsid w:val="00893D29"/>
    <w:rsid w:val="008C36CC"/>
    <w:rsid w:val="008D68ED"/>
    <w:rsid w:val="008E7B80"/>
    <w:rsid w:val="00901275"/>
    <w:rsid w:val="00902567"/>
    <w:rsid w:val="00924C11"/>
    <w:rsid w:val="00934510"/>
    <w:rsid w:val="00941468"/>
    <w:rsid w:val="009414B4"/>
    <w:rsid w:val="00962EA3"/>
    <w:rsid w:val="00971A53"/>
    <w:rsid w:val="00983295"/>
    <w:rsid w:val="0098622F"/>
    <w:rsid w:val="00992B22"/>
    <w:rsid w:val="009B2D4B"/>
    <w:rsid w:val="009D1708"/>
    <w:rsid w:val="009E2357"/>
    <w:rsid w:val="009E5504"/>
    <w:rsid w:val="00A1360F"/>
    <w:rsid w:val="00A153B8"/>
    <w:rsid w:val="00A30E9A"/>
    <w:rsid w:val="00A44D79"/>
    <w:rsid w:val="00AA7727"/>
    <w:rsid w:val="00AB0736"/>
    <w:rsid w:val="00AB0A56"/>
    <w:rsid w:val="00AB4573"/>
    <w:rsid w:val="00AE3569"/>
    <w:rsid w:val="00AF35E0"/>
    <w:rsid w:val="00AF4102"/>
    <w:rsid w:val="00B02257"/>
    <w:rsid w:val="00B067C9"/>
    <w:rsid w:val="00B12003"/>
    <w:rsid w:val="00B13EC6"/>
    <w:rsid w:val="00B159CE"/>
    <w:rsid w:val="00B23F6D"/>
    <w:rsid w:val="00B2754E"/>
    <w:rsid w:val="00B54FC6"/>
    <w:rsid w:val="00B630CD"/>
    <w:rsid w:val="00B871DE"/>
    <w:rsid w:val="00B93BEB"/>
    <w:rsid w:val="00B9634C"/>
    <w:rsid w:val="00BC584E"/>
    <w:rsid w:val="00BE59E2"/>
    <w:rsid w:val="00BF1878"/>
    <w:rsid w:val="00BF1F2C"/>
    <w:rsid w:val="00C15430"/>
    <w:rsid w:val="00C20ADA"/>
    <w:rsid w:val="00C3686E"/>
    <w:rsid w:val="00C4221C"/>
    <w:rsid w:val="00C45DE5"/>
    <w:rsid w:val="00C87E50"/>
    <w:rsid w:val="00CA1F20"/>
    <w:rsid w:val="00CB191D"/>
    <w:rsid w:val="00CB3920"/>
    <w:rsid w:val="00CB4120"/>
    <w:rsid w:val="00CC2556"/>
    <w:rsid w:val="00CD2DC3"/>
    <w:rsid w:val="00CE1201"/>
    <w:rsid w:val="00CF39DB"/>
    <w:rsid w:val="00D00EEE"/>
    <w:rsid w:val="00D0208A"/>
    <w:rsid w:val="00D1046D"/>
    <w:rsid w:val="00D261FA"/>
    <w:rsid w:val="00D42CD7"/>
    <w:rsid w:val="00D73E93"/>
    <w:rsid w:val="00D97475"/>
    <w:rsid w:val="00DA0AAA"/>
    <w:rsid w:val="00DB12D2"/>
    <w:rsid w:val="00DD0543"/>
    <w:rsid w:val="00E25FB4"/>
    <w:rsid w:val="00E260FC"/>
    <w:rsid w:val="00E420A6"/>
    <w:rsid w:val="00E7193E"/>
    <w:rsid w:val="00E74934"/>
    <w:rsid w:val="00E763DC"/>
    <w:rsid w:val="00E961EA"/>
    <w:rsid w:val="00EA5406"/>
    <w:rsid w:val="00EB653D"/>
    <w:rsid w:val="00ED35F5"/>
    <w:rsid w:val="00ED731D"/>
    <w:rsid w:val="00EE370E"/>
    <w:rsid w:val="00F10A52"/>
    <w:rsid w:val="00F31516"/>
    <w:rsid w:val="00F446F4"/>
    <w:rsid w:val="00F55207"/>
    <w:rsid w:val="00F63303"/>
    <w:rsid w:val="00F91C9A"/>
    <w:rsid w:val="00FA1FA0"/>
    <w:rsid w:val="00FB5209"/>
    <w:rsid w:val="00FB6439"/>
    <w:rsid w:val="00FB6FFA"/>
    <w:rsid w:val="00FC5725"/>
    <w:rsid w:val="00FC71CF"/>
    <w:rsid w:val="00FD168B"/>
    <w:rsid w:val="00FD1FC5"/>
    <w:rsid w:val="00FF5E5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957031AB-0835-4EBC-A3FD-568D0DFCD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E9A"/>
  </w:style>
  <w:style w:type="paragraph" w:styleId="Ttulo4">
    <w:name w:val="heading 4"/>
    <w:basedOn w:val="Normal"/>
    <w:next w:val="Normal"/>
    <w:link w:val="Ttulo4Car"/>
    <w:qFormat/>
    <w:rsid w:val="00D97475"/>
    <w:pPr>
      <w:keepNext/>
      <w:spacing w:after="0" w:line="240" w:lineRule="auto"/>
      <w:jc w:val="center"/>
      <w:outlineLvl w:val="3"/>
    </w:pPr>
    <w:rPr>
      <w:rFonts w:ascii="Century Gothic" w:eastAsia="Calibri" w:hAnsi="Century Gothic"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B6FFA"/>
    <w:pPr>
      <w:autoSpaceDE w:val="0"/>
      <w:autoSpaceDN w:val="0"/>
      <w:adjustRightInd w:val="0"/>
      <w:spacing w:after="0" w:line="240" w:lineRule="auto"/>
    </w:pPr>
    <w:rPr>
      <w:rFonts w:ascii="Bookman Old Style" w:hAnsi="Bookman Old Style" w:cs="Bookman Old Style"/>
      <w:color w:val="000000"/>
      <w:sz w:val="24"/>
      <w:szCs w:val="24"/>
    </w:rPr>
  </w:style>
  <w:style w:type="paragraph" w:styleId="Encabezado">
    <w:name w:val="header"/>
    <w:basedOn w:val="Normal"/>
    <w:link w:val="EncabezadoCar"/>
    <w:uiPriority w:val="99"/>
    <w:unhideWhenUsed/>
    <w:rsid w:val="00FB6F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6FFA"/>
  </w:style>
  <w:style w:type="paragraph" w:styleId="Piedepgina">
    <w:name w:val="footer"/>
    <w:basedOn w:val="Normal"/>
    <w:link w:val="PiedepginaCar"/>
    <w:uiPriority w:val="99"/>
    <w:unhideWhenUsed/>
    <w:rsid w:val="00FB6F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6FFA"/>
  </w:style>
  <w:style w:type="paragraph" w:styleId="Textodeglobo">
    <w:name w:val="Balloon Text"/>
    <w:basedOn w:val="Normal"/>
    <w:link w:val="TextodegloboCar"/>
    <w:uiPriority w:val="99"/>
    <w:semiHidden/>
    <w:unhideWhenUsed/>
    <w:rsid w:val="00FB6F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6FFA"/>
    <w:rPr>
      <w:rFonts w:ascii="Tahoma" w:hAnsi="Tahoma" w:cs="Tahoma"/>
      <w:sz w:val="16"/>
      <w:szCs w:val="16"/>
    </w:rPr>
  </w:style>
  <w:style w:type="table" w:styleId="Tablaconcuadrcula">
    <w:name w:val="Table Grid"/>
    <w:basedOn w:val="Tablanormal"/>
    <w:uiPriority w:val="59"/>
    <w:rsid w:val="009E2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aliases w:val="Footnote Text Char Char Char Char Char,Footnote Text Char Char Char Char,Footnote reference,FA Fu,texto de nota al pie,Footnote Text Char Char Char,Footnote Text Char,Texto nota pie Car Car Car,ft,texto de nota al pi,Texto nota pie Car Ca"/>
    <w:basedOn w:val="Normal"/>
    <w:link w:val="TextonotapieCar"/>
    <w:uiPriority w:val="99"/>
    <w:unhideWhenUsed/>
    <w:qFormat/>
    <w:rsid w:val="00B067C9"/>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texto de nota al pie Car1,Footnote Text Char Char Char Car,Footnote Text Char Car1,Texto nota pie Car Car Car Car1"/>
    <w:basedOn w:val="Fuentedeprrafopredeter"/>
    <w:link w:val="Textonotapie"/>
    <w:uiPriority w:val="99"/>
    <w:semiHidden/>
    <w:rsid w:val="00B067C9"/>
    <w:rPr>
      <w:sz w:val="20"/>
      <w:szCs w:val="20"/>
    </w:rPr>
  </w:style>
  <w:style w:type="character" w:styleId="Refdenotaalpie">
    <w:name w:val="footnote reference"/>
    <w:aliases w:val="Texto de nota al pie,referencia nota al pie,Footnotes refss,Texto nota pie Car2,Fago Fußnotenzeichen,BVI fnr,Texto nota pie Car Car1"/>
    <w:basedOn w:val="Fuentedeprrafopredeter"/>
    <w:uiPriority w:val="99"/>
    <w:semiHidden/>
    <w:unhideWhenUsed/>
    <w:rsid w:val="00B067C9"/>
    <w:rPr>
      <w:vertAlign w:val="superscript"/>
    </w:rPr>
  </w:style>
  <w:style w:type="character" w:customStyle="1" w:styleId="Ttulo4Car">
    <w:name w:val="Título 4 Car"/>
    <w:basedOn w:val="Fuentedeprrafopredeter"/>
    <w:link w:val="Ttulo4"/>
    <w:rsid w:val="00D97475"/>
    <w:rPr>
      <w:rFonts w:ascii="Century Gothic" w:eastAsia="Calibri" w:hAnsi="Century Gothic" w:cs="Times New Roman"/>
      <w:b/>
      <w:bCs/>
      <w:sz w:val="36"/>
      <w:szCs w:val="36"/>
      <w:lang w:eastAsia="es-ES"/>
    </w:rPr>
  </w:style>
  <w:style w:type="paragraph" w:styleId="Textoindependiente3">
    <w:name w:val="Body Text 3"/>
    <w:basedOn w:val="Normal"/>
    <w:link w:val="Textoindependiente3Car"/>
    <w:rsid w:val="00D97475"/>
    <w:pPr>
      <w:spacing w:after="0" w:line="240" w:lineRule="auto"/>
      <w:jc w:val="both"/>
    </w:pPr>
    <w:rPr>
      <w:rFonts w:ascii="Century Gothic" w:eastAsia="Calibri" w:hAnsi="Century Gothic" w:cs="Times New Roman"/>
      <w:sz w:val="32"/>
      <w:szCs w:val="32"/>
      <w:lang w:eastAsia="es-ES"/>
    </w:rPr>
  </w:style>
  <w:style w:type="character" w:customStyle="1" w:styleId="Textoindependiente3Car">
    <w:name w:val="Texto independiente 3 Car"/>
    <w:basedOn w:val="Fuentedeprrafopredeter"/>
    <w:link w:val="Textoindependiente3"/>
    <w:rsid w:val="00D97475"/>
    <w:rPr>
      <w:rFonts w:ascii="Century Gothic" w:eastAsia="Calibri" w:hAnsi="Century Gothic" w:cs="Times New Roman"/>
      <w:sz w:val="32"/>
      <w:szCs w:val="32"/>
      <w:lang w:eastAsia="es-ES"/>
    </w:rPr>
  </w:style>
  <w:style w:type="character" w:customStyle="1" w:styleId="TextonotapieCar1">
    <w:name w:val="Texto nota pie Car1"/>
    <w:aliases w:val="Footnote Text Char Char Char Char Char Car1,Footnote Text Char Char Char Char Car1,Footnote reference Car1,FA Fu Car1,texto de nota al pie Car,Footnote Text Char Char Char Car1,Footnote Text Char Car,Texto nota pie Car Car Car Car"/>
    <w:uiPriority w:val="99"/>
    <w:locked/>
    <w:rsid w:val="00D97475"/>
    <w:rPr>
      <w:rFonts w:ascii="Times New Roman" w:hAnsi="Times New Roman" w:cs="Times New Roman"/>
      <w:sz w:val="20"/>
      <w:szCs w:val="20"/>
      <w:lang w:val="es-ES_tradnl" w:eastAsia="es-ES"/>
    </w:rPr>
  </w:style>
  <w:style w:type="paragraph" w:styleId="Prrafodelista">
    <w:name w:val="List Paragraph"/>
    <w:basedOn w:val="Normal"/>
    <w:uiPriority w:val="34"/>
    <w:qFormat/>
    <w:rsid w:val="00137AF1"/>
    <w:pPr>
      <w:ind w:left="720"/>
      <w:contextualSpacing/>
    </w:pPr>
  </w:style>
  <w:style w:type="character" w:styleId="Hipervnculo">
    <w:name w:val="Hyperlink"/>
    <w:basedOn w:val="Fuentedeprrafopredeter"/>
    <w:uiPriority w:val="99"/>
    <w:unhideWhenUsed/>
    <w:rsid w:val="00ED731D"/>
    <w:rPr>
      <w:color w:val="0000FF" w:themeColor="hyperlink"/>
      <w:u w:val="single"/>
    </w:rPr>
  </w:style>
  <w:style w:type="paragraph" w:styleId="Textoindependiente">
    <w:name w:val="Body Text"/>
    <w:basedOn w:val="Normal"/>
    <w:link w:val="TextoindependienteCar"/>
    <w:uiPriority w:val="99"/>
    <w:semiHidden/>
    <w:unhideWhenUsed/>
    <w:rsid w:val="00AB0A56"/>
    <w:pPr>
      <w:spacing w:after="120"/>
    </w:pPr>
  </w:style>
  <w:style w:type="character" w:customStyle="1" w:styleId="TextoindependienteCar">
    <w:name w:val="Texto independiente Car"/>
    <w:basedOn w:val="Fuentedeprrafopredeter"/>
    <w:link w:val="Textoindependiente"/>
    <w:uiPriority w:val="99"/>
    <w:semiHidden/>
    <w:rsid w:val="00AB0A56"/>
  </w:style>
  <w:style w:type="character" w:customStyle="1" w:styleId="TextoindependienteCar1">
    <w:name w:val="Texto independiente Car1"/>
    <w:locked/>
    <w:rsid w:val="00AB0A56"/>
    <w:rPr>
      <w:rFonts w:ascii="Times New Roman" w:hAnsi="Times New Roman" w:cs="Times New Roman"/>
      <w:i/>
      <w:sz w:val="28"/>
      <w:szCs w:val="28"/>
      <w:lang w:val="es-ES_tradnl" w:eastAsia="es-ES"/>
    </w:rPr>
  </w:style>
  <w:style w:type="paragraph" w:styleId="Textoindependiente2">
    <w:name w:val="Body Text 2"/>
    <w:basedOn w:val="Normal"/>
    <w:link w:val="Textoindependiente2Car"/>
    <w:uiPriority w:val="99"/>
    <w:semiHidden/>
    <w:unhideWhenUsed/>
    <w:rsid w:val="003D16E2"/>
    <w:pPr>
      <w:spacing w:after="120" w:line="480" w:lineRule="auto"/>
    </w:pPr>
  </w:style>
  <w:style w:type="character" w:customStyle="1" w:styleId="Textoindependiente2Car">
    <w:name w:val="Texto independiente 2 Car"/>
    <w:basedOn w:val="Fuentedeprrafopredeter"/>
    <w:link w:val="Textoindependiente2"/>
    <w:uiPriority w:val="99"/>
    <w:semiHidden/>
    <w:rsid w:val="003D16E2"/>
  </w:style>
  <w:style w:type="paragraph" w:customStyle="1" w:styleId="bodytextindent1">
    <w:name w:val="bodytextindent1"/>
    <w:basedOn w:val="Normal"/>
    <w:rsid w:val="00F10A5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semiHidden/>
    <w:unhideWhenUsed/>
    <w:rsid w:val="00517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936500">
      <w:bodyDiv w:val="1"/>
      <w:marLeft w:val="0"/>
      <w:marRight w:val="0"/>
      <w:marTop w:val="0"/>
      <w:marBottom w:val="0"/>
      <w:divBdr>
        <w:top w:val="none" w:sz="0" w:space="0" w:color="auto"/>
        <w:left w:val="none" w:sz="0" w:space="0" w:color="auto"/>
        <w:bottom w:val="none" w:sz="0" w:space="0" w:color="auto"/>
        <w:right w:val="none" w:sz="0" w:space="0" w:color="auto"/>
      </w:divBdr>
    </w:div>
    <w:div w:id="1735006018">
      <w:bodyDiv w:val="1"/>
      <w:marLeft w:val="0"/>
      <w:marRight w:val="0"/>
      <w:marTop w:val="0"/>
      <w:marBottom w:val="0"/>
      <w:divBdr>
        <w:top w:val="none" w:sz="0" w:space="0" w:color="auto"/>
        <w:left w:val="none" w:sz="0" w:space="0" w:color="auto"/>
        <w:bottom w:val="none" w:sz="0" w:space="0" w:color="auto"/>
        <w:right w:val="none" w:sz="0" w:space="0" w:color="auto"/>
      </w:divBdr>
    </w:div>
    <w:div w:id="201210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CE5B9-D42F-4532-9BB9-FF890DB9E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1272</Words>
  <Characters>6997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8253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Reparto Juzgados Floridablanca</dc:creator>
  <cp:lastModifiedBy>Fabio Vargas Torres</cp:lastModifiedBy>
  <cp:revision>5</cp:revision>
  <cp:lastPrinted>2019-09-02T18:26:00Z</cp:lastPrinted>
  <dcterms:created xsi:type="dcterms:W3CDTF">2019-09-02T14:50:00Z</dcterms:created>
  <dcterms:modified xsi:type="dcterms:W3CDTF">2019-09-02T18:36:00Z</dcterms:modified>
</cp:coreProperties>
</file>