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F0" w:rsidRPr="0089165B" w:rsidRDefault="000813F0" w:rsidP="000813F0">
      <w:pPr>
        <w:tabs>
          <w:tab w:val="left" w:pos="426"/>
        </w:tabs>
        <w:spacing w:after="0" w:line="240" w:lineRule="auto"/>
        <w:jc w:val="right"/>
        <w:outlineLvl w:val="6"/>
        <w:rPr>
          <w:rFonts w:ascii="Garamond" w:eastAsia="Calibri" w:hAnsi="Garamond" w:cs="Bookman Old Style"/>
          <w:b/>
          <w:i/>
          <w:sz w:val="31"/>
          <w:szCs w:val="31"/>
          <w:lang w:val="es-ES"/>
        </w:rPr>
      </w:pPr>
      <w:r w:rsidRPr="0089165B">
        <w:rPr>
          <w:rFonts w:ascii="Garamond" w:eastAsia="Calibri" w:hAnsi="Garamond" w:cs="Bookman Old Style"/>
          <w:b/>
          <w:i/>
          <w:sz w:val="31"/>
          <w:szCs w:val="31"/>
          <w:lang w:val="es-ES"/>
        </w:rPr>
        <w:t>Fl.15</w:t>
      </w:r>
    </w:p>
    <w:p w:rsidR="000813F0" w:rsidRPr="0089165B" w:rsidRDefault="000813F0" w:rsidP="000813F0">
      <w:pPr>
        <w:spacing w:after="0" w:line="240" w:lineRule="auto"/>
        <w:jc w:val="center"/>
        <w:outlineLvl w:val="6"/>
        <w:rPr>
          <w:rFonts w:ascii="Garamond" w:eastAsia="Calibri" w:hAnsi="Garamond" w:cs="Bookman Old Style"/>
          <w:b/>
          <w:i/>
          <w:sz w:val="31"/>
          <w:szCs w:val="31"/>
          <w:lang w:val="es-ES"/>
        </w:rPr>
      </w:pPr>
      <w:r w:rsidRPr="0089165B">
        <w:rPr>
          <w:rFonts w:ascii="Garamond" w:eastAsia="Calibri" w:hAnsi="Garamond" w:cs="Bookman Old Style"/>
          <w:b/>
          <w:i/>
          <w:sz w:val="31"/>
          <w:szCs w:val="31"/>
          <w:lang w:val="es-ES"/>
        </w:rPr>
        <w:t>REPÚBLICA DE COLOMBIA</w:t>
      </w:r>
    </w:p>
    <w:p w:rsidR="000813F0" w:rsidRPr="0089165B" w:rsidRDefault="000813F0" w:rsidP="000813F0">
      <w:pPr>
        <w:spacing w:after="0" w:line="240" w:lineRule="auto"/>
        <w:jc w:val="center"/>
        <w:outlineLvl w:val="6"/>
        <w:rPr>
          <w:rFonts w:ascii="Garamond" w:eastAsia="Calibri" w:hAnsi="Garamond" w:cs="Bookman Old Style"/>
          <w:b/>
          <w:i/>
          <w:sz w:val="31"/>
          <w:szCs w:val="31"/>
          <w:lang w:val="es-ES"/>
        </w:rPr>
      </w:pPr>
      <w:r w:rsidRPr="0089165B">
        <w:rPr>
          <w:rFonts w:ascii="Garamond" w:eastAsia="Calibri" w:hAnsi="Garamond" w:cs="Bookman Old Style"/>
          <w:b/>
          <w:i/>
          <w:noProof/>
          <w:sz w:val="31"/>
          <w:szCs w:val="31"/>
          <w:lang w:val="en-US"/>
        </w:rPr>
        <w:drawing>
          <wp:inline distT="0" distB="0" distL="0" distR="0" wp14:anchorId="488880B1" wp14:editId="37BDF2CC">
            <wp:extent cx="1619250" cy="942975"/>
            <wp:effectExtent l="0" t="0" r="0" b="9525"/>
            <wp:docPr id="1" name="Imagen 2" descr="Descripción: Descripción: C:\Users\JUANPA\AppData\Local\Microsoft\Windows\Temporary Internet Files\Content.Word\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JUANPA\AppData\Local\Microsoft\Windows\Temporary Internet Files\Content.Word\Escud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p w:rsidR="000813F0" w:rsidRPr="0089165B" w:rsidRDefault="000813F0" w:rsidP="000813F0">
      <w:pPr>
        <w:spacing w:after="0" w:line="240" w:lineRule="auto"/>
        <w:jc w:val="center"/>
        <w:outlineLvl w:val="6"/>
        <w:rPr>
          <w:rFonts w:ascii="Garamond" w:eastAsia="Calibri" w:hAnsi="Garamond" w:cs="Bookman Old Style"/>
          <w:b/>
          <w:i/>
          <w:sz w:val="31"/>
          <w:szCs w:val="31"/>
          <w:lang w:val="es-ES"/>
        </w:rPr>
      </w:pPr>
      <w:r w:rsidRPr="0089165B">
        <w:rPr>
          <w:rFonts w:ascii="Garamond" w:eastAsia="Calibri" w:hAnsi="Garamond" w:cs="Bookman Old Style"/>
          <w:b/>
          <w:bCs/>
          <w:i/>
          <w:sz w:val="31"/>
          <w:szCs w:val="31"/>
          <w:lang w:val="es-ES"/>
        </w:rPr>
        <w:t>RAMA JUDICIAL</w:t>
      </w:r>
    </w:p>
    <w:p w:rsidR="000813F0" w:rsidRPr="0089165B" w:rsidRDefault="000813F0" w:rsidP="000813F0">
      <w:pPr>
        <w:keepNext/>
        <w:tabs>
          <w:tab w:val="center" w:pos="4308"/>
          <w:tab w:val="left" w:pos="6900"/>
        </w:tabs>
        <w:spacing w:after="0" w:line="240" w:lineRule="auto"/>
        <w:jc w:val="center"/>
        <w:outlineLvl w:val="3"/>
        <w:rPr>
          <w:rFonts w:ascii="Garamond" w:eastAsia="Calibri" w:hAnsi="Garamond" w:cs="Bookman Old Style"/>
          <w:b/>
          <w:i/>
          <w:sz w:val="31"/>
          <w:szCs w:val="31"/>
          <w:lang w:val="es-ES"/>
        </w:rPr>
      </w:pPr>
      <w:r w:rsidRPr="0089165B">
        <w:rPr>
          <w:rFonts w:ascii="Garamond" w:eastAsia="Calibri" w:hAnsi="Garamond" w:cs="Bookman Old Style"/>
          <w:b/>
          <w:bCs/>
          <w:i/>
          <w:sz w:val="31"/>
          <w:szCs w:val="31"/>
          <w:lang w:val="es-ES"/>
        </w:rPr>
        <w:t>TRIBUNAL SUPERIOR DEL DISTRITO JUDICIAL</w:t>
      </w:r>
    </w:p>
    <w:p w:rsidR="000813F0" w:rsidRPr="0089165B" w:rsidRDefault="000813F0" w:rsidP="000813F0">
      <w:pPr>
        <w:spacing w:after="0" w:line="240" w:lineRule="auto"/>
        <w:jc w:val="center"/>
        <w:rPr>
          <w:rFonts w:ascii="Garamond" w:eastAsia="Calibri" w:hAnsi="Garamond" w:cs="Bookman Old Style"/>
          <w:b/>
          <w:i/>
          <w:sz w:val="31"/>
          <w:szCs w:val="31"/>
          <w:lang w:val="es-ES"/>
        </w:rPr>
      </w:pPr>
      <w:r w:rsidRPr="0089165B">
        <w:rPr>
          <w:rFonts w:ascii="Garamond" w:eastAsia="Calibri" w:hAnsi="Garamond" w:cs="Bookman Old Style"/>
          <w:b/>
          <w:i/>
          <w:sz w:val="31"/>
          <w:szCs w:val="31"/>
          <w:lang w:val="es-ES"/>
        </w:rPr>
        <w:t>SALA SÉPTIMA CIVIL DE DECISIÓN</w:t>
      </w:r>
    </w:p>
    <w:p w:rsidR="000813F0" w:rsidRPr="0089165B" w:rsidRDefault="000813F0" w:rsidP="000813F0">
      <w:pPr>
        <w:spacing w:after="0" w:line="240" w:lineRule="auto"/>
        <w:jc w:val="center"/>
        <w:rPr>
          <w:rFonts w:ascii="Garamond" w:eastAsia="Calibri" w:hAnsi="Garamond" w:cs="Bookman Old Style"/>
          <w:b/>
          <w:i/>
          <w:sz w:val="31"/>
          <w:szCs w:val="31"/>
          <w:lang w:val="es-ES"/>
        </w:rPr>
      </w:pPr>
    </w:p>
    <w:p w:rsidR="000813F0" w:rsidRPr="0089165B" w:rsidRDefault="000813F0" w:rsidP="000813F0">
      <w:pPr>
        <w:spacing w:after="0" w:line="240" w:lineRule="auto"/>
        <w:jc w:val="center"/>
        <w:rPr>
          <w:rFonts w:ascii="Garamond" w:eastAsia="Calibri" w:hAnsi="Garamond" w:cs="Bookman Old Style"/>
          <w:i/>
          <w:sz w:val="31"/>
          <w:szCs w:val="31"/>
          <w:lang w:val="es-ES"/>
        </w:rPr>
      </w:pPr>
      <w:r w:rsidRPr="0089165B">
        <w:rPr>
          <w:rFonts w:ascii="Garamond" w:eastAsia="Calibri" w:hAnsi="Garamond" w:cs="Bookman Old Style"/>
          <w:i/>
          <w:sz w:val="31"/>
          <w:szCs w:val="31"/>
          <w:lang w:val="es-ES"/>
        </w:rPr>
        <w:t xml:space="preserve">Bogotá D.C., </w:t>
      </w:r>
      <w:r w:rsidR="007A048C">
        <w:rPr>
          <w:rFonts w:ascii="Garamond" w:eastAsia="Calibri" w:hAnsi="Garamond" w:cs="Bookman Old Style"/>
          <w:i/>
          <w:sz w:val="31"/>
          <w:szCs w:val="31"/>
          <w:lang w:val="es-ES"/>
        </w:rPr>
        <w:t>dieciocho (18)</w:t>
      </w:r>
      <w:r w:rsidRPr="0089165B">
        <w:rPr>
          <w:rFonts w:ascii="Garamond" w:eastAsia="Calibri" w:hAnsi="Garamond" w:cs="Bookman Old Style"/>
          <w:i/>
          <w:sz w:val="31"/>
          <w:szCs w:val="31"/>
          <w:lang w:val="es-ES"/>
        </w:rPr>
        <w:t xml:space="preserve"> </w:t>
      </w:r>
      <w:r w:rsidR="007A048C">
        <w:rPr>
          <w:rFonts w:ascii="Garamond" w:eastAsia="Calibri" w:hAnsi="Garamond" w:cs="Bookman Old Style"/>
          <w:i/>
          <w:sz w:val="31"/>
          <w:szCs w:val="31"/>
          <w:lang w:val="es-ES"/>
        </w:rPr>
        <w:t xml:space="preserve">de </w:t>
      </w:r>
      <w:r w:rsidRPr="0089165B">
        <w:rPr>
          <w:rFonts w:ascii="Garamond" w:eastAsia="Calibri" w:hAnsi="Garamond" w:cs="Bookman Old Style"/>
          <w:i/>
          <w:sz w:val="31"/>
          <w:szCs w:val="31"/>
          <w:lang w:val="es-ES"/>
        </w:rPr>
        <w:t>febrero de dos mil veinte (2020).</w:t>
      </w:r>
    </w:p>
    <w:p w:rsidR="000813F0" w:rsidRPr="0089165B" w:rsidRDefault="000813F0" w:rsidP="000813F0">
      <w:pPr>
        <w:spacing w:after="0" w:line="240" w:lineRule="auto"/>
        <w:jc w:val="center"/>
        <w:rPr>
          <w:rFonts w:ascii="Garamond" w:eastAsia="Calibri" w:hAnsi="Garamond" w:cs="Bookman Old Style"/>
          <w:i/>
          <w:sz w:val="31"/>
          <w:szCs w:val="31"/>
          <w:lang w:val="es-ES"/>
        </w:rPr>
      </w:pPr>
    </w:p>
    <w:p w:rsidR="000813F0" w:rsidRPr="0089165B" w:rsidRDefault="000813F0" w:rsidP="000813F0">
      <w:pPr>
        <w:spacing w:after="0" w:line="240" w:lineRule="auto"/>
        <w:rPr>
          <w:rFonts w:ascii="Garamond" w:eastAsia="Calibri" w:hAnsi="Garamond" w:cs="Bookman Old Style"/>
          <w:b/>
          <w:sz w:val="31"/>
          <w:szCs w:val="31"/>
          <w:lang w:val="es-ES"/>
        </w:rPr>
      </w:pPr>
      <w:r w:rsidRPr="0089165B">
        <w:rPr>
          <w:rFonts w:ascii="Garamond" w:eastAsia="Calibri" w:hAnsi="Garamond" w:cs="Bookman Old Style"/>
          <w:sz w:val="31"/>
          <w:szCs w:val="31"/>
          <w:lang w:val="es-ES"/>
        </w:rPr>
        <w:t xml:space="preserve">Magistrado ponente: </w:t>
      </w:r>
      <w:r w:rsidRPr="0089165B">
        <w:rPr>
          <w:rFonts w:ascii="Garamond" w:eastAsia="Calibri" w:hAnsi="Garamond" w:cs="Bookman Old Style"/>
          <w:b/>
          <w:sz w:val="31"/>
          <w:szCs w:val="31"/>
          <w:lang w:val="es-ES"/>
        </w:rPr>
        <w:t>MANUEL ALFONSO ZAMUDIO MORA</w:t>
      </w:r>
    </w:p>
    <w:p w:rsidR="000813F0" w:rsidRPr="0089165B" w:rsidRDefault="000813F0" w:rsidP="000813F0">
      <w:pPr>
        <w:widowControl w:val="0"/>
        <w:spacing w:after="0" w:line="240" w:lineRule="auto"/>
        <w:jc w:val="center"/>
        <w:rPr>
          <w:rFonts w:ascii="Garamond" w:eastAsia="Arial" w:hAnsi="Garamond" w:cs="Arial"/>
          <w:b/>
          <w:sz w:val="31"/>
          <w:szCs w:val="31"/>
          <w:lang w:val="es-ES" w:eastAsia="es-CO"/>
        </w:rPr>
      </w:pPr>
    </w:p>
    <w:tbl>
      <w:tblPr>
        <w:tblW w:w="8472" w:type="dxa"/>
        <w:jc w:val="center"/>
        <w:tblLook w:val="04A0" w:firstRow="1" w:lastRow="0" w:firstColumn="1" w:lastColumn="0" w:noHBand="0" w:noVBand="1"/>
      </w:tblPr>
      <w:tblGrid>
        <w:gridCol w:w="2093"/>
        <w:gridCol w:w="6379"/>
      </w:tblGrid>
      <w:tr w:rsidR="000813F0" w:rsidRPr="0089165B" w:rsidTr="00D36FBB">
        <w:trPr>
          <w:jc w:val="center"/>
        </w:trPr>
        <w:tc>
          <w:tcPr>
            <w:tcW w:w="2093"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i/>
                <w:sz w:val="31"/>
                <w:szCs w:val="31"/>
              </w:rPr>
              <w:t>Proceso No.</w:t>
            </w:r>
            <w:r w:rsidRPr="0089165B">
              <w:rPr>
                <w:rFonts w:ascii="Garamond" w:hAnsi="Garamond"/>
                <w:sz w:val="31"/>
                <w:szCs w:val="31"/>
              </w:rPr>
              <w:t xml:space="preserve"> </w:t>
            </w:r>
          </w:p>
        </w:tc>
        <w:tc>
          <w:tcPr>
            <w:tcW w:w="6379"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sz w:val="31"/>
                <w:szCs w:val="31"/>
              </w:rPr>
              <w:t>110013103002201700131 01</w:t>
            </w:r>
          </w:p>
        </w:tc>
      </w:tr>
      <w:tr w:rsidR="000813F0" w:rsidRPr="0089165B" w:rsidTr="00D36FBB">
        <w:trPr>
          <w:jc w:val="center"/>
        </w:trPr>
        <w:tc>
          <w:tcPr>
            <w:tcW w:w="2093"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i/>
                <w:sz w:val="31"/>
                <w:szCs w:val="31"/>
              </w:rPr>
              <w:t>Clase:</w:t>
            </w:r>
          </w:p>
        </w:tc>
        <w:tc>
          <w:tcPr>
            <w:tcW w:w="6379"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sz w:val="31"/>
                <w:szCs w:val="31"/>
              </w:rPr>
              <w:t>VERBAL</w:t>
            </w:r>
          </w:p>
        </w:tc>
      </w:tr>
      <w:tr w:rsidR="000813F0" w:rsidRPr="0089165B" w:rsidTr="00D36FBB">
        <w:trPr>
          <w:jc w:val="center"/>
        </w:trPr>
        <w:tc>
          <w:tcPr>
            <w:tcW w:w="2093"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i/>
                <w:sz w:val="31"/>
                <w:szCs w:val="31"/>
              </w:rPr>
              <w:t xml:space="preserve">Demandantes: </w:t>
            </w:r>
          </w:p>
        </w:tc>
        <w:tc>
          <w:tcPr>
            <w:tcW w:w="6379"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sz w:val="31"/>
                <w:szCs w:val="31"/>
              </w:rPr>
              <w:t>CARLOS ALBERTO MOLINA RAMOS Y MARYI ROCIO MORA CAMPOS</w:t>
            </w:r>
          </w:p>
        </w:tc>
      </w:tr>
      <w:tr w:rsidR="000813F0" w:rsidRPr="0089165B" w:rsidTr="00AA6E63">
        <w:trPr>
          <w:trHeight w:val="563"/>
          <w:jc w:val="center"/>
        </w:trPr>
        <w:tc>
          <w:tcPr>
            <w:tcW w:w="2093"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i/>
                <w:sz w:val="31"/>
                <w:szCs w:val="31"/>
              </w:rPr>
              <w:t>Demandada:</w:t>
            </w:r>
          </w:p>
        </w:tc>
        <w:tc>
          <w:tcPr>
            <w:tcW w:w="6379" w:type="dxa"/>
            <w:hideMark/>
          </w:tcPr>
          <w:p w:rsidR="000813F0" w:rsidRPr="0089165B" w:rsidRDefault="000813F0" w:rsidP="000813F0">
            <w:pPr>
              <w:spacing w:after="0" w:line="240" w:lineRule="auto"/>
              <w:jc w:val="both"/>
              <w:rPr>
                <w:rFonts w:ascii="Garamond" w:hAnsi="Garamond"/>
                <w:sz w:val="31"/>
                <w:szCs w:val="31"/>
              </w:rPr>
            </w:pPr>
            <w:r w:rsidRPr="0089165B">
              <w:rPr>
                <w:rFonts w:ascii="Garamond" w:hAnsi="Garamond"/>
                <w:sz w:val="31"/>
                <w:szCs w:val="31"/>
              </w:rPr>
              <w:t>OMAIRA INÉS MONTAÑA VELANDIA</w:t>
            </w:r>
            <w:r w:rsidR="007A048C">
              <w:rPr>
                <w:rFonts w:ascii="Garamond" w:hAnsi="Garamond"/>
                <w:sz w:val="31"/>
                <w:szCs w:val="31"/>
              </w:rPr>
              <w:t>.</w:t>
            </w:r>
          </w:p>
          <w:p w:rsidR="000813F0" w:rsidRPr="0089165B" w:rsidRDefault="000813F0" w:rsidP="000813F0">
            <w:pPr>
              <w:spacing w:after="0" w:line="240" w:lineRule="auto"/>
              <w:jc w:val="both"/>
              <w:rPr>
                <w:rFonts w:ascii="Garamond" w:hAnsi="Garamond"/>
                <w:sz w:val="31"/>
                <w:szCs w:val="31"/>
              </w:rPr>
            </w:pPr>
          </w:p>
        </w:tc>
      </w:tr>
    </w:tbl>
    <w:p w:rsidR="000813F0" w:rsidRPr="0089165B" w:rsidRDefault="000813F0" w:rsidP="000813F0">
      <w:pPr>
        <w:pStyle w:val="Textoindependiente"/>
        <w:ind w:firstLine="708"/>
        <w:rPr>
          <w:rFonts w:ascii="Garamond" w:hAnsi="Garamond"/>
          <w:sz w:val="31"/>
          <w:szCs w:val="31"/>
        </w:rPr>
      </w:pPr>
      <w:r w:rsidRPr="0089165B">
        <w:rPr>
          <w:rFonts w:ascii="Garamond" w:hAnsi="Garamond"/>
          <w:sz w:val="31"/>
          <w:szCs w:val="31"/>
        </w:rPr>
        <w:t xml:space="preserve">Como se anunció en la audiencia del pasado 4 de febrero, se decide el recurso de apelación interpuesto por la demandada (actora en reconvención) contra la sentencia de 15 de noviembre de 2019 proferida por el señor Juez 2° Civil del Circuito de Bogotá, en la que, por un lado, declaró próspera la resolución del contrato de promesa de compraventa celebrada el 5 de mayo de 2015 entre las partes aquí comprometidas, entre otras, y por el otro, negó las pretensiones del libelo de mutua petición. </w:t>
      </w:r>
    </w:p>
    <w:p w:rsidR="000813F0" w:rsidRPr="0089165B" w:rsidRDefault="000813F0" w:rsidP="000813F0">
      <w:pPr>
        <w:spacing w:after="0" w:line="240" w:lineRule="auto"/>
        <w:jc w:val="both"/>
        <w:rPr>
          <w:rFonts w:ascii="Garamond" w:hAnsi="Garamond"/>
          <w:b/>
          <w:sz w:val="31"/>
          <w:szCs w:val="31"/>
        </w:rPr>
      </w:pPr>
    </w:p>
    <w:p w:rsidR="000813F0" w:rsidRPr="0089165B" w:rsidRDefault="000813F0" w:rsidP="000813F0">
      <w:pPr>
        <w:pStyle w:val="Textoindependiente"/>
        <w:jc w:val="center"/>
        <w:rPr>
          <w:rFonts w:ascii="Garamond" w:hAnsi="Garamond"/>
          <w:b/>
          <w:sz w:val="31"/>
          <w:szCs w:val="31"/>
        </w:rPr>
      </w:pPr>
      <w:r w:rsidRPr="0089165B">
        <w:rPr>
          <w:rFonts w:ascii="Garamond" w:hAnsi="Garamond"/>
          <w:b/>
          <w:sz w:val="31"/>
          <w:szCs w:val="31"/>
        </w:rPr>
        <w:t>ANTECEDENTES</w:t>
      </w:r>
    </w:p>
    <w:p w:rsidR="000813F0" w:rsidRPr="0089165B" w:rsidRDefault="000813F0" w:rsidP="000813F0">
      <w:pPr>
        <w:pStyle w:val="Textoindependiente"/>
        <w:rPr>
          <w:rFonts w:ascii="Garamond" w:hAnsi="Garamond"/>
          <w:sz w:val="31"/>
          <w:szCs w:val="31"/>
        </w:rPr>
      </w:pPr>
    </w:p>
    <w:p w:rsidR="000813F0" w:rsidRPr="0089165B" w:rsidRDefault="000813F0" w:rsidP="000813F0">
      <w:pPr>
        <w:pStyle w:val="Textoindependiente"/>
        <w:ind w:firstLine="708"/>
        <w:rPr>
          <w:rFonts w:ascii="Garamond" w:hAnsi="Garamond"/>
          <w:sz w:val="31"/>
          <w:szCs w:val="31"/>
        </w:rPr>
      </w:pPr>
      <w:r w:rsidRPr="0089165B">
        <w:rPr>
          <w:rFonts w:ascii="Garamond" w:hAnsi="Garamond"/>
          <w:b/>
          <w:sz w:val="31"/>
          <w:szCs w:val="31"/>
        </w:rPr>
        <w:t>1.</w:t>
      </w:r>
      <w:r w:rsidRPr="0089165B">
        <w:rPr>
          <w:rFonts w:ascii="Garamond" w:hAnsi="Garamond"/>
          <w:sz w:val="31"/>
          <w:szCs w:val="31"/>
        </w:rPr>
        <w:t xml:space="preserve"> Maryi Rocío Mora Ramos y Carlos Alberto Molina </w:t>
      </w:r>
      <w:r w:rsidR="00A14C65">
        <w:rPr>
          <w:rFonts w:ascii="Garamond" w:hAnsi="Garamond"/>
          <w:sz w:val="31"/>
          <w:szCs w:val="31"/>
        </w:rPr>
        <w:t xml:space="preserve">convocaron </w:t>
      </w:r>
      <w:r w:rsidRPr="0089165B">
        <w:rPr>
          <w:rFonts w:ascii="Garamond" w:hAnsi="Garamond"/>
          <w:sz w:val="31"/>
          <w:szCs w:val="31"/>
        </w:rPr>
        <w:t>a Omaira Inés Mont</w:t>
      </w:r>
      <w:r w:rsidR="007A048C">
        <w:rPr>
          <w:rFonts w:ascii="Garamond" w:hAnsi="Garamond"/>
          <w:sz w:val="31"/>
          <w:szCs w:val="31"/>
        </w:rPr>
        <w:t>añ</w:t>
      </w:r>
      <w:r w:rsidRPr="0089165B">
        <w:rPr>
          <w:rFonts w:ascii="Garamond" w:hAnsi="Garamond"/>
          <w:sz w:val="31"/>
          <w:szCs w:val="31"/>
        </w:rPr>
        <w:t xml:space="preserve">a Velandia, para que se declare que </w:t>
      </w:r>
      <w:r w:rsidR="00A14C65">
        <w:rPr>
          <w:rFonts w:ascii="Garamond" w:hAnsi="Garamond"/>
          <w:sz w:val="31"/>
          <w:szCs w:val="31"/>
        </w:rPr>
        <w:t>ésta “</w:t>
      </w:r>
      <w:r w:rsidRPr="0089165B">
        <w:rPr>
          <w:rFonts w:ascii="Garamond" w:hAnsi="Garamond"/>
          <w:sz w:val="31"/>
          <w:szCs w:val="31"/>
        </w:rPr>
        <w:t>incumplió el contrato de promesa de compraventa</w:t>
      </w:r>
      <w:r w:rsidR="00B06702" w:rsidRPr="0089165B">
        <w:rPr>
          <w:rFonts w:ascii="Garamond" w:hAnsi="Garamond"/>
          <w:sz w:val="31"/>
          <w:szCs w:val="31"/>
        </w:rPr>
        <w:t xml:space="preserve"> suscrito </w:t>
      </w:r>
      <w:r w:rsidR="00A14C65">
        <w:rPr>
          <w:rFonts w:ascii="Garamond" w:hAnsi="Garamond"/>
          <w:sz w:val="31"/>
          <w:szCs w:val="31"/>
        </w:rPr>
        <w:t>[el 5 de mayo de 2015</w:t>
      </w:r>
      <w:r w:rsidR="00A14C65">
        <w:rPr>
          <w:rStyle w:val="Refdenotaalpie"/>
          <w:rFonts w:ascii="Garamond" w:hAnsi="Garamond"/>
          <w:sz w:val="31"/>
          <w:szCs w:val="31"/>
        </w:rPr>
        <w:footnoteReference w:id="1"/>
      </w:r>
      <w:r w:rsidR="00A14C65">
        <w:rPr>
          <w:rFonts w:ascii="Garamond" w:hAnsi="Garamond"/>
          <w:sz w:val="31"/>
          <w:szCs w:val="31"/>
        </w:rPr>
        <w:t xml:space="preserve">] </w:t>
      </w:r>
      <w:r w:rsidR="00B06702" w:rsidRPr="0089165B">
        <w:rPr>
          <w:rFonts w:ascii="Garamond" w:hAnsi="Garamond"/>
          <w:sz w:val="31"/>
          <w:szCs w:val="31"/>
        </w:rPr>
        <w:t>con</w:t>
      </w:r>
      <w:r w:rsidR="00A14C65">
        <w:rPr>
          <w:rFonts w:ascii="Garamond" w:hAnsi="Garamond"/>
          <w:sz w:val="31"/>
          <w:szCs w:val="31"/>
        </w:rPr>
        <w:t>” los actores “</w:t>
      </w:r>
      <w:r w:rsidRPr="0089165B">
        <w:rPr>
          <w:rFonts w:ascii="Garamond" w:hAnsi="Garamond"/>
          <w:sz w:val="31"/>
          <w:szCs w:val="31"/>
        </w:rPr>
        <w:t>en relación con el inmueble</w:t>
      </w:r>
      <w:r w:rsidR="00B06702" w:rsidRPr="0089165B">
        <w:rPr>
          <w:rFonts w:ascii="Garamond" w:hAnsi="Garamond"/>
          <w:sz w:val="31"/>
          <w:szCs w:val="31"/>
        </w:rPr>
        <w:t>;</w:t>
      </w:r>
      <w:r w:rsidRPr="0089165B">
        <w:rPr>
          <w:rFonts w:ascii="Garamond" w:hAnsi="Garamond"/>
          <w:sz w:val="31"/>
          <w:szCs w:val="31"/>
        </w:rPr>
        <w:t xml:space="preserve"> vivienda </w:t>
      </w:r>
      <w:r w:rsidR="00B06702" w:rsidRPr="0089165B">
        <w:rPr>
          <w:rFonts w:ascii="Garamond" w:hAnsi="Garamond"/>
          <w:sz w:val="31"/>
          <w:szCs w:val="31"/>
        </w:rPr>
        <w:t>veintiuno (</w:t>
      </w:r>
      <w:r w:rsidRPr="0089165B">
        <w:rPr>
          <w:rFonts w:ascii="Garamond" w:hAnsi="Garamond"/>
          <w:sz w:val="31"/>
          <w:szCs w:val="31"/>
        </w:rPr>
        <w:t>21</w:t>
      </w:r>
      <w:r w:rsidR="00B06702" w:rsidRPr="0089165B">
        <w:rPr>
          <w:rFonts w:ascii="Garamond" w:hAnsi="Garamond"/>
          <w:sz w:val="31"/>
          <w:szCs w:val="31"/>
        </w:rPr>
        <w:t>)</w:t>
      </w:r>
      <w:r w:rsidRPr="0089165B">
        <w:rPr>
          <w:rFonts w:ascii="Garamond" w:hAnsi="Garamond"/>
          <w:sz w:val="31"/>
          <w:szCs w:val="31"/>
        </w:rPr>
        <w:t>, que hace parte del Conjunto Residencial “Brisas del Mar” II Etapa,</w:t>
      </w:r>
      <w:r w:rsidR="00B06702" w:rsidRPr="0089165B">
        <w:rPr>
          <w:rFonts w:ascii="Garamond" w:hAnsi="Garamond"/>
          <w:sz w:val="31"/>
          <w:szCs w:val="31"/>
        </w:rPr>
        <w:t xml:space="preserve"> conjunto</w:t>
      </w:r>
      <w:r w:rsidR="00A14C65">
        <w:rPr>
          <w:rFonts w:ascii="Garamond" w:hAnsi="Garamond"/>
          <w:sz w:val="31"/>
          <w:szCs w:val="31"/>
        </w:rPr>
        <w:t xml:space="preserve"> </w:t>
      </w:r>
      <w:r w:rsidRPr="0089165B">
        <w:rPr>
          <w:rFonts w:ascii="Garamond" w:hAnsi="Garamond"/>
          <w:sz w:val="31"/>
          <w:szCs w:val="31"/>
        </w:rPr>
        <w:t xml:space="preserve">sometido al régimen </w:t>
      </w:r>
      <w:r w:rsidR="00B06702" w:rsidRPr="0089165B">
        <w:rPr>
          <w:rFonts w:ascii="Garamond" w:hAnsi="Garamond"/>
          <w:sz w:val="31"/>
          <w:szCs w:val="31"/>
        </w:rPr>
        <w:t xml:space="preserve">al régimen como consta en el reglamento </w:t>
      </w:r>
      <w:r w:rsidRPr="0089165B">
        <w:rPr>
          <w:rFonts w:ascii="Garamond" w:hAnsi="Garamond"/>
          <w:sz w:val="31"/>
          <w:szCs w:val="31"/>
        </w:rPr>
        <w:t>de propiedad horizontal</w:t>
      </w:r>
      <w:r w:rsidR="00B06702" w:rsidRPr="0089165B">
        <w:rPr>
          <w:rFonts w:ascii="Garamond" w:hAnsi="Garamond"/>
          <w:sz w:val="31"/>
          <w:szCs w:val="31"/>
        </w:rPr>
        <w:t>” (folio 31)</w:t>
      </w:r>
      <w:r w:rsidRPr="0089165B">
        <w:rPr>
          <w:rFonts w:ascii="Garamond" w:hAnsi="Garamond"/>
          <w:sz w:val="31"/>
          <w:szCs w:val="31"/>
        </w:rPr>
        <w:t>, ubicado en la Transversal 44 No. 99 C 70 de la ciudad de Barranquilla, cuyas medidas y linderos se especifican en la Escritura Pública n.° 1012 de la Notaría 50 de Bogotá; en consecuencia, que su opositora le “pague el saldo de noventa y cinco millones de pesos ($95.000.000,oo) m/cte)”.</w:t>
      </w:r>
    </w:p>
    <w:p w:rsidR="000813F0" w:rsidRPr="0089165B" w:rsidRDefault="000813F0" w:rsidP="000813F0">
      <w:pPr>
        <w:pStyle w:val="Textoindependiente"/>
        <w:ind w:firstLine="708"/>
        <w:rPr>
          <w:rFonts w:ascii="Garamond" w:hAnsi="Garamond"/>
          <w:sz w:val="31"/>
          <w:szCs w:val="31"/>
        </w:rPr>
      </w:pPr>
      <w:r w:rsidRPr="0089165B">
        <w:rPr>
          <w:rFonts w:ascii="Garamond" w:hAnsi="Garamond"/>
          <w:b/>
          <w:sz w:val="31"/>
          <w:szCs w:val="31"/>
        </w:rPr>
        <w:lastRenderedPageBreak/>
        <w:t>2.</w:t>
      </w:r>
      <w:r w:rsidRPr="0089165B">
        <w:rPr>
          <w:rFonts w:ascii="Garamond" w:hAnsi="Garamond"/>
          <w:sz w:val="31"/>
          <w:szCs w:val="31"/>
        </w:rPr>
        <w:t xml:space="preserve"> La parte actora apoyó sus pretensiones en los hechos que resumidos son:</w:t>
      </w:r>
    </w:p>
    <w:p w:rsidR="000813F0" w:rsidRPr="0089165B" w:rsidRDefault="000813F0" w:rsidP="000813F0">
      <w:pPr>
        <w:pStyle w:val="Textoindependiente"/>
        <w:ind w:firstLine="708"/>
        <w:rPr>
          <w:rFonts w:ascii="Garamond" w:hAnsi="Garamond"/>
          <w:sz w:val="24"/>
          <w:szCs w:val="31"/>
        </w:rPr>
      </w:pPr>
    </w:p>
    <w:p w:rsidR="000813F0" w:rsidRPr="0089165B" w:rsidRDefault="000813F0" w:rsidP="000813F0">
      <w:pPr>
        <w:pStyle w:val="Textoindependiente"/>
        <w:ind w:firstLine="708"/>
        <w:rPr>
          <w:rFonts w:ascii="Garamond" w:hAnsi="Garamond"/>
          <w:sz w:val="31"/>
          <w:szCs w:val="31"/>
        </w:rPr>
      </w:pPr>
      <w:r w:rsidRPr="0089165B">
        <w:rPr>
          <w:rFonts w:ascii="Garamond" w:hAnsi="Garamond"/>
          <w:sz w:val="31"/>
          <w:szCs w:val="31"/>
        </w:rPr>
        <w:t xml:space="preserve">Que entre las partes aquí convocadas, el 5 de mayo de 2015 se celebró un contrato de promesa de compraventa respecto del inmueble referido en las pretensiones, por un valor de $250.000.000,oo que la promitente compradora pagaría conforme se indica en los hechos 2 a 5, con un saldo de $95.000.000,oo, “a la venta del inmueble a una tercera persona, saldo que debía ser entregado a los promitentes vendedores el 5 de mayo de 2016 (folio 30), obligación de pago que la compradora no cumplió; no obstante, los promitentes vendedores otorgaron la escritura pública a la </w:t>
      </w:r>
      <w:r w:rsidR="00E35343" w:rsidRPr="0089165B">
        <w:rPr>
          <w:rFonts w:ascii="Garamond" w:hAnsi="Garamond"/>
          <w:sz w:val="31"/>
          <w:szCs w:val="31"/>
        </w:rPr>
        <w:t xml:space="preserve">adquirente </w:t>
      </w:r>
      <w:r w:rsidRPr="0089165B">
        <w:rPr>
          <w:rFonts w:ascii="Garamond" w:hAnsi="Garamond"/>
          <w:sz w:val="31"/>
          <w:szCs w:val="31"/>
        </w:rPr>
        <w:t>el 5 de mayo de 2015 en la Notaría 50 de Bogotá, a la que le correspondió el número 1012.</w:t>
      </w:r>
    </w:p>
    <w:p w:rsidR="000813F0" w:rsidRPr="0089165B" w:rsidRDefault="000813F0" w:rsidP="000813F0">
      <w:pPr>
        <w:pStyle w:val="Textoindependiente"/>
        <w:ind w:firstLine="708"/>
        <w:rPr>
          <w:rFonts w:ascii="Garamond" w:hAnsi="Garamond"/>
          <w:sz w:val="28"/>
          <w:szCs w:val="31"/>
        </w:rPr>
      </w:pPr>
    </w:p>
    <w:p w:rsidR="000813F0" w:rsidRPr="0089165B" w:rsidRDefault="000813F0" w:rsidP="000813F0">
      <w:pPr>
        <w:pStyle w:val="Textoindependiente"/>
        <w:ind w:firstLine="708"/>
        <w:rPr>
          <w:rFonts w:ascii="Garamond" w:hAnsi="Garamond"/>
          <w:sz w:val="31"/>
          <w:szCs w:val="31"/>
        </w:rPr>
      </w:pPr>
      <w:r w:rsidRPr="0089165B">
        <w:rPr>
          <w:rFonts w:ascii="Garamond" w:hAnsi="Garamond"/>
          <w:sz w:val="31"/>
          <w:szCs w:val="31"/>
        </w:rPr>
        <w:t xml:space="preserve">Agregaron, entre otros supuestos, que a pesar de los requerimientos a la convocada para que cancelara la suma adeudada, no ha sido posible, razón por la cual debe también los intereses de mora y la indemnización por los perjuicios causados, situación que les ha causado graves perjuicios a los </w:t>
      </w:r>
      <w:r w:rsidR="00E35343" w:rsidRPr="0089165B">
        <w:rPr>
          <w:rFonts w:ascii="Garamond" w:hAnsi="Garamond"/>
          <w:sz w:val="31"/>
          <w:szCs w:val="31"/>
        </w:rPr>
        <w:t xml:space="preserve">actores </w:t>
      </w:r>
      <w:r w:rsidRPr="0089165B">
        <w:rPr>
          <w:rFonts w:ascii="Garamond" w:hAnsi="Garamond"/>
          <w:sz w:val="31"/>
          <w:szCs w:val="31"/>
        </w:rPr>
        <w:t>y la única opción que tienen es que la señora Montoya Velandia pague lo adeudado, junto con la cláusula penal por valor de $25.000.000 pactada en la “cláusula octava de la promesa de compraventa”. (folio 30)</w:t>
      </w:r>
    </w:p>
    <w:p w:rsidR="000813F0" w:rsidRPr="0089165B" w:rsidRDefault="000813F0" w:rsidP="000813F0">
      <w:pPr>
        <w:pStyle w:val="Textoindependiente"/>
        <w:ind w:firstLine="708"/>
        <w:rPr>
          <w:rFonts w:ascii="Garamond" w:hAnsi="Garamond"/>
          <w:sz w:val="28"/>
          <w:szCs w:val="31"/>
        </w:rPr>
      </w:pPr>
      <w:r w:rsidRPr="0089165B">
        <w:rPr>
          <w:rFonts w:ascii="Garamond" w:hAnsi="Garamond"/>
          <w:sz w:val="31"/>
          <w:szCs w:val="31"/>
        </w:rPr>
        <w:t xml:space="preserve"> </w:t>
      </w:r>
    </w:p>
    <w:p w:rsidR="000813F0" w:rsidRPr="0089165B" w:rsidRDefault="000813F0" w:rsidP="000813F0">
      <w:pPr>
        <w:pStyle w:val="Textoindependiente"/>
        <w:ind w:firstLine="708"/>
        <w:rPr>
          <w:rFonts w:ascii="Garamond" w:hAnsi="Garamond"/>
          <w:sz w:val="31"/>
          <w:szCs w:val="31"/>
        </w:rPr>
      </w:pPr>
      <w:r w:rsidRPr="0089165B">
        <w:rPr>
          <w:rFonts w:ascii="Garamond" w:hAnsi="Garamond"/>
          <w:b/>
          <w:sz w:val="31"/>
          <w:szCs w:val="31"/>
        </w:rPr>
        <w:t>3.</w:t>
      </w:r>
      <w:r w:rsidRPr="0089165B">
        <w:rPr>
          <w:rFonts w:ascii="Garamond" w:hAnsi="Garamond"/>
          <w:sz w:val="31"/>
          <w:szCs w:val="31"/>
        </w:rPr>
        <w:t xml:space="preserve"> Notificada personalmente la accionada, excepcionó: “</w:t>
      </w:r>
      <w:r w:rsidR="00B76E33">
        <w:rPr>
          <w:rFonts w:ascii="Garamond" w:hAnsi="Garamond"/>
          <w:sz w:val="31"/>
          <w:szCs w:val="31"/>
        </w:rPr>
        <w:t>d</w:t>
      </w:r>
      <w:r w:rsidRPr="0089165B">
        <w:rPr>
          <w:rFonts w:ascii="Garamond" w:hAnsi="Garamond"/>
          <w:sz w:val="31"/>
          <w:szCs w:val="31"/>
        </w:rPr>
        <w:t>olo y mala fe por parte de la demandante” y “desconocimiento del negocio primigenio que dio lugar a la celebración del contrato con el que se demanda” (folio 46).</w:t>
      </w:r>
    </w:p>
    <w:p w:rsidR="000813F0" w:rsidRPr="0089165B" w:rsidRDefault="000813F0" w:rsidP="000813F0">
      <w:pPr>
        <w:pStyle w:val="Textoindependiente"/>
        <w:ind w:firstLine="708"/>
        <w:rPr>
          <w:rFonts w:ascii="Garamond" w:hAnsi="Garamond"/>
          <w:sz w:val="28"/>
          <w:szCs w:val="31"/>
        </w:rPr>
      </w:pPr>
    </w:p>
    <w:p w:rsidR="000813F0" w:rsidRPr="0089165B" w:rsidRDefault="000813F0" w:rsidP="000813F0">
      <w:pPr>
        <w:pStyle w:val="Textoindependiente"/>
        <w:ind w:firstLine="708"/>
        <w:rPr>
          <w:rFonts w:ascii="Garamond" w:hAnsi="Garamond"/>
          <w:sz w:val="31"/>
          <w:szCs w:val="31"/>
        </w:rPr>
      </w:pPr>
      <w:r w:rsidRPr="0089165B">
        <w:rPr>
          <w:rFonts w:ascii="Garamond" w:hAnsi="Garamond"/>
          <w:sz w:val="31"/>
          <w:szCs w:val="31"/>
        </w:rPr>
        <w:t xml:space="preserve">Respecto a los hechos indica que existió un contrato de promesa anterior en el cual se permitía que los </w:t>
      </w:r>
      <w:r w:rsidR="00E35343" w:rsidRPr="0089165B">
        <w:rPr>
          <w:rFonts w:ascii="Garamond" w:hAnsi="Garamond"/>
          <w:sz w:val="31"/>
          <w:szCs w:val="31"/>
        </w:rPr>
        <w:t xml:space="preserve">enajenantes </w:t>
      </w:r>
      <w:r w:rsidRPr="0089165B">
        <w:rPr>
          <w:rFonts w:ascii="Garamond" w:hAnsi="Garamond"/>
          <w:sz w:val="31"/>
          <w:szCs w:val="31"/>
        </w:rPr>
        <w:t xml:space="preserve">demandantes pudieran </w:t>
      </w:r>
      <w:r w:rsidR="00E35343" w:rsidRPr="0089165B">
        <w:rPr>
          <w:rFonts w:ascii="Garamond" w:hAnsi="Garamond"/>
          <w:sz w:val="31"/>
          <w:szCs w:val="31"/>
        </w:rPr>
        <w:t>“</w:t>
      </w:r>
      <w:r w:rsidRPr="0089165B">
        <w:rPr>
          <w:rFonts w:ascii="Garamond" w:hAnsi="Garamond"/>
          <w:sz w:val="31"/>
          <w:szCs w:val="31"/>
        </w:rPr>
        <w:t>recomprar</w:t>
      </w:r>
      <w:r w:rsidR="00E35343" w:rsidRPr="0089165B">
        <w:rPr>
          <w:rFonts w:ascii="Garamond" w:hAnsi="Garamond"/>
          <w:sz w:val="31"/>
          <w:szCs w:val="31"/>
        </w:rPr>
        <w:t>”</w:t>
      </w:r>
      <w:r w:rsidRPr="0089165B">
        <w:rPr>
          <w:rFonts w:ascii="Garamond" w:hAnsi="Garamond"/>
          <w:sz w:val="31"/>
          <w:szCs w:val="31"/>
        </w:rPr>
        <w:t xml:space="preserve"> el inmueble que enajenaban; que es cierto el valor pactado por la compra, pero los actores omiten decir la verdad respecto al negocio celebrado, pues ocultan que ya habían recibido dineros prestados por la suma de $250</w:t>
      </w:r>
      <w:r w:rsidR="00E35343" w:rsidRPr="0089165B">
        <w:rPr>
          <w:rFonts w:ascii="Garamond" w:hAnsi="Garamond"/>
          <w:sz w:val="31"/>
          <w:szCs w:val="31"/>
        </w:rPr>
        <w:t>’000.000,oo</w:t>
      </w:r>
      <w:r w:rsidRPr="0089165B">
        <w:rPr>
          <w:rFonts w:ascii="Garamond" w:hAnsi="Garamond"/>
          <w:sz w:val="31"/>
          <w:szCs w:val="31"/>
        </w:rPr>
        <w:t xml:space="preserve"> por parte de la demandada y su esposo, tal y como consta en las letras de cambio que en copia adosó a la contestación, y que como no pudieron pagar dicho </w:t>
      </w:r>
      <w:r w:rsidR="00E35343" w:rsidRPr="0089165B">
        <w:rPr>
          <w:rFonts w:ascii="Garamond" w:hAnsi="Garamond"/>
          <w:sz w:val="31"/>
          <w:szCs w:val="31"/>
        </w:rPr>
        <w:t>mutuo</w:t>
      </w:r>
      <w:r w:rsidRPr="0089165B">
        <w:rPr>
          <w:rFonts w:ascii="Garamond" w:hAnsi="Garamond"/>
          <w:sz w:val="31"/>
          <w:szCs w:val="31"/>
        </w:rPr>
        <w:t xml:space="preserve">, dieron como pago el </w:t>
      </w:r>
      <w:r w:rsidR="00E35343" w:rsidRPr="0089165B">
        <w:rPr>
          <w:rFonts w:ascii="Garamond" w:hAnsi="Garamond"/>
          <w:sz w:val="31"/>
          <w:szCs w:val="31"/>
        </w:rPr>
        <w:t xml:space="preserve">predio </w:t>
      </w:r>
      <w:r w:rsidRPr="0089165B">
        <w:rPr>
          <w:rFonts w:ascii="Garamond" w:hAnsi="Garamond"/>
          <w:sz w:val="31"/>
          <w:szCs w:val="31"/>
        </w:rPr>
        <w:t xml:space="preserve">mediante contrato de compraventa base de este declarativo, razón por cual no adeuda suma alguna. </w:t>
      </w:r>
    </w:p>
    <w:p w:rsidR="00AA6E63" w:rsidRPr="0089165B" w:rsidRDefault="00AA6E63" w:rsidP="000813F0">
      <w:pPr>
        <w:pStyle w:val="Textoindependiente"/>
        <w:ind w:firstLine="708"/>
        <w:rPr>
          <w:rFonts w:ascii="Garamond" w:hAnsi="Garamond"/>
          <w:sz w:val="28"/>
          <w:szCs w:val="31"/>
        </w:rPr>
      </w:pPr>
    </w:p>
    <w:p w:rsidR="00E35343" w:rsidRPr="0089165B" w:rsidRDefault="000813F0" w:rsidP="00E35343">
      <w:pPr>
        <w:pStyle w:val="Textoindependiente"/>
        <w:ind w:firstLine="708"/>
        <w:rPr>
          <w:rStyle w:val="Ninguno"/>
          <w:rFonts w:ascii="Garamond" w:hAnsi="Garamond" w:cs="Helvetica"/>
          <w:iCs/>
          <w:sz w:val="31"/>
          <w:szCs w:val="31"/>
        </w:rPr>
      </w:pPr>
      <w:r w:rsidRPr="0089165B">
        <w:rPr>
          <w:rFonts w:ascii="Garamond" w:hAnsi="Garamond"/>
          <w:b/>
          <w:sz w:val="31"/>
          <w:szCs w:val="31"/>
        </w:rPr>
        <w:t>4.</w:t>
      </w:r>
      <w:r w:rsidRPr="0089165B">
        <w:rPr>
          <w:rFonts w:ascii="Garamond" w:hAnsi="Garamond"/>
          <w:sz w:val="31"/>
          <w:szCs w:val="31"/>
        </w:rPr>
        <w:t xml:space="preserve"> </w:t>
      </w:r>
      <w:r w:rsidR="00E35343" w:rsidRPr="0089165B">
        <w:rPr>
          <w:rFonts w:ascii="Garamond" w:hAnsi="Garamond"/>
          <w:b/>
          <w:sz w:val="31"/>
          <w:szCs w:val="31"/>
        </w:rPr>
        <w:t>Demanda</w:t>
      </w:r>
      <w:r w:rsidR="00E35343" w:rsidRPr="0089165B">
        <w:rPr>
          <w:rFonts w:ascii="Garamond" w:hAnsi="Garamond"/>
          <w:sz w:val="31"/>
          <w:szCs w:val="31"/>
        </w:rPr>
        <w:t xml:space="preserve"> </w:t>
      </w:r>
      <w:r w:rsidRPr="0089165B">
        <w:rPr>
          <w:rFonts w:ascii="Garamond" w:hAnsi="Garamond"/>
          <w:b/>
          <w:sz w:val="31"/>
          <w:szCs w:val="31"/>
        </w:rPr>
        <w:t>de reconvención</w:t>
      </w:r>
      <w:r w:rsidRPr="0089165B">
        <w:rPr>
          <w:rFonts w:ascii="Garamond" w:hAnsi="Garamond"/>
          <w:sz w:val="31"/>
          <w:szCs w:val="31"/>
        </w:rPr>
        <w:t xml:space="preserve">. En escrito separado, </w:t>
      </w:r>
      <w:r w:rsidR="00E35343" w:rsidRPr="0089165B">
        <w:rPr>
          <w:rFonts w:ascii="Garamond" w:hAnsi="Garamond"/>
          <w:sz w:val="31"/>
          <w:szCs w:val="31"/>
        </w:rPr>
        <w:t xml:space="preserve">el extremo pasivo </w:t>
      </w:r>
      <w:r w:rsidRPr="0089165B">
        <w:rPr>
          <w:rFonts w:ascii="Garamond" w:hAnsi="Garamond"/>
          <w:sz w:val="31"/>
          <w:szCs w:val="31"/>
        </w:rPr>
        <w:t xml:space="preserve">presenta libelo de mutua petición en el que pretende que se declare que entre las partes el 30 de octubre de 2014 </w:t>
      </w:r>
      <w:r w:rsidR="00E35343" w:rsidRPr="0089165B">
        <w:rPr>
          <w:rFonts w:ascii="Garamond" w:hAnsi="Garamond"/>
          <w:sz w:val="31"/>
          <w:szCs w:val="31"/>
        </w:rPr>
        <w:t xml:space="preserve">celebraron </w:t>
      </w:r>
      <w:r w:rsidRPr="0089165B">
        <w:rPr>
          <w:rFonts w:ascii="Garamond" w:hAnsi="Garamond"/>
          <w:sz w:val="31"/>
          <w:szCs w:val="31"/>
        </w:rPr>
        <w:t xml:space="preserve">un </w:t>
      </w:r>
      <w:r w:rsidRPr="0089165B">
        <w:rPr>
          <w:rFonts w:ascii="Garamond" w:hAnsi="Garamond"/>
          <w:sz w:val="31"/>
          <w:szCs w:val="31"/>
        </w:rPr>
        <w:lastRenderedPageBreak/>
        <w:t>contrato de promesa de compraventa respecto del inmueble arriba indicado; en igual sentido, que la demandante en reconvención, señora Omaira Inés Montaño Velandia, pagó la suma de $250</w:t>
      </w:r>
      <w:r w:rsidR="00E35343" w:rsidRPr="0089165B">
        <w:rPr>
          <w:rFonts w:ascii="Garamond" w:hAnsi="Garamond"/>
          <w:sz w:val="31"/>
          <w:szCs w:val="31"/>
        </w:rPr>
        <w:t>’</w:t>
      </w:r>
      <w:r w:rsidRPr="0089165B">
        <w:rPr>
          <w:rFonts w:ascii="Garamond" w:hAnsi="Garamond"/>
          <w:sz w:val="31"/>
          <w:szCs w:val="31"/>
        </w:rPr>
        <w:t>000.000,</w:t>
      </w:r>
      <w:r w:rsidR="00E35343" w:rsidRPr="0089165B">
        <w:rPr>
          <w:rFonts w:ascii="Garamond" w:hAnsi="Garamond"/>
          <w:sz w:val="31"/>
          <w:szCs w:val="31"/>
        </w:rPr>
        <w:t>oo,</w:t>
      </w:r>
      <w:r w:rsidRPr="0089165B">
        <w:rPr>
          <w:rFonts w:ascii="Garamond" w:hAnsi="Garamond"/>
          <w:sz w:val="31"/>
          <w:szCs w:val="31"/>
        </w:rPr>
        <w:t xml:space="preserve"> cantidad correspondiente al precio pactado; también solicitó</w:t>
      </w:r>
      <w:r w:rsidRPr="0089165B">
        <w:rPr>
          <w:rStyle w:val="Ninguno"/>
          <w:rFonts w:ascii="Garamond" w:hAnsi="Garamond" w:cs="Helvetica"/>
          <w:iCs/>
          <w:sz w:val="31"/>
          <w:szCs w:val="31"/>
        </w:rPr>
        <w:t xml:space="preserve"> el pago de $50</w:t>
      </w:r>
      <w:r w:rsidR="00E35343" w:rsidRPr="0089165B">
        <w:rPr>
          <w:rStyle w:val="Ninguno"/>
          <w:rFonts w:ascii="Garamond" w:hAnsi="Garamond" w:cs="Helvetica"/>
          <w:iCs/>
          <w:sz w:val="31"/>
          <w:szCs w:val="31"/>
        </w:rPr>
        <w:t>’</w:t>
      </w:r>
      <w:r w:rsidRPr="0089165B">
        <w:rPr>
          <w:rStyle w:val="Ninguno"/>
          <w:rFonts w:ascii="Garamond" w:hAnsi="Garamond" w:cs="Helvetica"/>
          <w:iCs/>
          <w:sz w:val="31"/>
          <w:szCs w:val="31"/>
        </w:rPr>
        <w:t>000.000</w:t>
      </w:r>
      <w:r w:rsidR="00E35343" w:rsidRPr="0089165B">
        <w:rPr>
          <w:rStyle w:val="Ninguno"/>
          <w:rFonts w:ascii="Garamond" w:hAnsi="Garamond" w:cs="Helvetica"/>
          <w:iCs/>
          <w:sz w:val="31"/>
          <w:szCs w:val="31"/>
        </w:rPr>
        <w:t>,oo</w:t>
      </w:r>
      <w:r w:rsidRPr="0089165B">
        <w:rPr>
          <w:rStyle w:val="Ninguno"/>
          <w:rFonts w:ascii="Garamond" w:hAnsi="Garamond" w:cs="Helvetica"/>
          <w:iCs/>
          <w:sz w:val="31"/>
          <w:szCs w:val="31"/>
        </w:rPr>
        <w:t xml:space="preserve"> por concepto de la cláusula penal, pues a pesar de la firma de la escritura, no se realizó la entrega del inmueble por cuanto se encontraba arrendado, de suerte que tan solo el 27 de marzo de 2017 se efectuó la entrega real y material del bien, por lo que solicitó el pago de la cláusula penal y los arriendos causados y no pagados por el término de 27 meses, lo cual tiene como resultado la suma de $29</w:t>
      </w:r>
      <w:r w:rsidR="00E35343" w:rsidRPr="0089165B">
        <w:rPr>
          <w:rStyle w:val="Ninguno"/>
          <w:rFonts w:ascii="Garamond" w:hAnsi="Garamond" w:cs="Helvetica"/>
          <w:iCs/>
          <w:sz w:val="31"/>
          <w:szCs w:val="31"/>
        </w:rPr>
        <w:t>’</w:t>
      </w:r>
      <w:r w:rsidRPr="0089165B">
        <w:rPr>
          <w:rStyle w:val="Ninguno"/>
          <w:rFonts w:ascii="Garamond" w:hAnsi="Garamond" w:cs="Helvetica"/>
          <w:iCs/>
          <w:sz w:val="31"/>
          <w:szCs w:val="31"/>
        </w:rPr>
        <w:t>700.000</w:t>
      </w:r>
      <w:r w:rsidR="00E35343" w:rsidRPr="0089165B">
        <w:rPr>
          <w:rStyle w:val="Ninguno"/>
          <w:rFonts w:ascii="Garamond" w:hAnsi="Garamond" w:cs="Helvetica"/>
          <w:iCs/>
          <w:sz w:val="31"/>
          <w:szCs w:val="31"/>
        </w:rPr>
        <w:t>,oo</w:t>
      </w:r>
      <w:r w:rsidRPr="0089165B">
        <w:rPr>
          <w:rStyle w:val="Ninguno"/>
          <w:rFonts w:ascii="Garamond" w:hAnsi="Garamond" w:cs="Helvetica"/>
          <w:iCs/>
          <w:sz w:val="31"/>
          <w:szCs w:val="31"/>
        </w:rPr>
        <w:t xml:space="preserve"> a razón de $1</w:t>
      </w:r>
      <w:r w:rsidR="00E35343" w:rsidRPr="0089165B">
        <w:rPr>
          <w:rStyle w:val="Ninguno"/>
          <w:rFonts w:ascii="Garamond" w:hAnsi="Garamond" w:cs="Helvetica"/>
          <w:iCs/>
          <w:sz w:val="31"/>
          <w:szCs w:val="31"/>
        </w:rPr>
        <w:t>’</w:t>
      </w:r>
      <w:r w:rsidRPr="0089165B">
        <w:rPr>
          <w:rStyle w:val="Ninguno"/>
          <w:rFonts w:ascii="Garamond" w:hAnsi="Garamond" w:cs="Helvetica"/>
          <w:iCs/>
          <w:sz w:val="31"/>
          <w:szCs w:val="31"/>
        </w:rPr>
        <w:t>100.000</w:t>
      </w:r>
      <w:r w:rsidR="00E35343" w:rsidRPr="0089165B">
        <w:rPr>
          <w:rStyle w:val="Ninguno"/>
          <w:rFonts w:ascii="Garamond" w:hAnsi="Garamond" w:cs="Helvetica"/>
          <w:iCs/>
          <w:sz w:val="31"/>
          <w:szCs w:val="31"/>
        </w:rPr>
        <w:t>,oo</w:t>
      </w:r>
      <w:r w:rsidRPr="0089165B">
        <w:rPr>
          <w:rStyle w:val="Ninguno"/>
          <w:rFonts w:ascii="Garamond" w:hAnsi="Garamond" w:cs="Helvetica"/>
          <w:iCs/>
          <w:sz w:val="31"/>
          <w:szCs w:val="31"/>
        </w:rPr>
        <w:t xml:space="preserve"> cada mes, junto con los respectivos intereses.</w:t>
      </w:r>
    </w:p>
    <w:p w:rsidR="00B745A5" w:rsidRPr="0089165B" w:rsidRDefault="00B745A5" w:rsidP="00E35343">
      <w:pPr>
        <w:pStyle w:val="Textoindependiente"/>
        <w:ind w:firstLine="708"/>
        <w:rPr>
          <w:rStyle w:val="Ninguno"/>
          <w:rFonts w:ascii="Garamond" w:hAnsi="Garamond" w:cs="Helvetica"/>
          <w:iCs/>
          <w:sz w:val="28"/>
          <w:szCs w:val="31"/>
        </w:rPr>
      </w:pPr>
    </w:p>
    <w:p w:rsidR="00E35343" w:rsidRPr="0089165B" w:rsidRDefault="000813F0" w:rsidP="00E35343">
      <w:pPr>
        <w:pStyle w:val="Textoindependiente"/>
        <w:ind w:firstLine="708"/>
        <w:rPr>
          <w:rFonts w:ascii="Garamond" w:hAnsi="Garamond"/>
          <w:sz w:val="31"/>
          <w:szCs w:val="31"/>
        </w:rPr>
      </w:pPr>
      <w:r w:rsidRPr="0089165B">
        <w:rPr>
          <w:rFonts w:ascii="Garamond" w:hAnsi="Garamond"/>
          <w:b/>
          <w:sz w:val="31"/>
          <w:szCs w:val="31"/>
        </w:rPr>
        <w:t>5. La sentencia de primera instancia</w:t>
      </w:r>
      <w:r w:rsidRPr="0089165B">
        <w:rPr>
          <w:rFonts w:ascii="Garamond" w:hAnsi="Garamond"/>
          <w:sz w:val="31"/>
          <w:szCs w:val="31"/>
        </w:rPr>
        <w:t>.</w:t>
      </w:r>
      <w:r w:rsidRPr="0089165B">
        <w:rPr>
          <w:rStyle w:val="Refdenotaalpie"/>
          <w:rFonts w:ascii="Garamond" w:hAnsi="Garamond"/>
          <w:sz w:val="31"/>
          <w:szCs w:val="31"/>
        </w:rPr>
        <w:footnoteReference w:id="2"/>
      </w:r>
      <w:r w:rsidRPr="0089165B">
        <w:rPr>
          <w:rFonts w:ascii="Garamond" w:hAnsi="Garamond"/>
          <w:sz w:val="31"/>
          <w:szCs w:val="31"/>
        </w:rPr>
        <w:t xml:space="preserve"> </w:t>
      </w:r>
    </w:p>
    <w:p w:rsidR="00E35343" w:rsidRPr="0089165B" w:rsidRDefault="00E35343" w:rsidP="00E35343">
      <w:pPr>
        <w:pStyle w:val="Textoindependiente"/>
        <w:ind w:firstLine="708"/>
        <w:rPr>
          <w:rFonts w:ascii="Garamond" w:hAnsi="Garamond"/>
          <w:sz w:val="28"/>
          <w:szCs w:val="31"/>
        </w:rPr>
      </w:pPr>
    </w:p>
    <w:p w:rsidR="00E35343" w:rsidRPr="0089165B" w:rsidRDefault="000813F0" w:rsidP="00E35343">
      <w:pPr>
        <w:pStyle w:val="Textoindependiente"/>
        <w:ind w:firstLine="708"/>
        <w:rPr>
          <w:rFonts w:ascii="Garamond" w:hAnsi="Garamond" w:cs="Helvetica"/>
          <w:sz w:val="31"/>
          <w:szCs w:val="31"/>
        </w:rPr>
      </w:pPr>
      <w:r w:rsidRPr="0089165B">
        <w:rPr>
          <w:rFonts w:ascii="Garamond" w:hAnsi="Garamond"/>
          <w:sz w:val="31"/>
          <w:szCs w:val="31"/>
        </w:rPr>
        <w:t xml:space="preserve">El juzgador de primer grado accedió a las pretensiones de la demanda principal, y por ese camino declaró la resolución de </w:t>
      </w:r>
      <w:r w:rsidRPr="0089165B">
        <w:rPr>
          <w:rFonts w:ascii="Garamond" w:hAnsi="Garamond" w:cs="Arial"/>
          <w:iCs/>
          <w:sz w:val="31"/>
          <w:szCs w:val="31"/>
        </w:rPr>
        <w:t xml:space="preserve">la </w:t>
      </w:r>
      <w:r w:rsidRPr="0089165B">
        <w:rPr>
          <w:rStyle w:val="Ninguno"/>
          <w:rFonts w:ascii="Garamond" w:hAnsi="Garamond" w:cs="Helvetica"/>
          <w:iCs/>
          <w:sz w:val="31"/>
          <w:szCs w:val="31"/>
        </w:rPr>
        <w:t xml:space="preserve">promesa de contrato de compraventa celebrada el 5 de mayo de 2015 entre los señores </w:t>
      </w:r>
      <w:r w:rsidRPr="0089165B">
        <w:rPr>
          <w:rStyle w:val="Ninguno"/>
          <w:rFonts w:ascii="Garamond" w:hAnsi="Garamond" w:cs="Helvetica"/>
          <w:bCs/>
          <w:iCs/>
          <w:sz w:val="31"/>
          <w:szCs w:val="31"/>
        </w:rPr>
        <w:t>Carlos Alberto Molina Ramos</w:t>
      </w:r>
      <w:r w:rsidRPr="0089165B">
        <w:rPr>
          <w:rStyle w:val="Ninguno"/>
          <w:rFonts w:ascii="Garamond" w:hAnsi="Garamond" w:cs="Helvetica"/>
          <w:iCs/>
          <w:sz w:val="31"/>
          <w:szCs w:val="31"/>
        </w:rPr>
        <w:t xml:space="preserve"> y Maryi Rocío Mora Campos, en calidad de vendedores, y la señora </w:t>
      </w:r>
      <w:r w:rsidRPr="0089165B">
        <w:rPr>
          <w:rStyle w:val="Ninguno"/>
          <w:rFonts w:ascii="Garamond" w:hAnsi="Garamond" w:cs="Helvetica"/>
          <w:bCs/>
          <w:iCs/>
          <w:sz w:val="31"/>
          <w:szCs w:val="31"/>
        </w:rPr>
        <w:t xml:space="preserve">Omaira Inés Montaño Velandia, </w:t>
      </w:r>
      <w:r w:rsidRPr="0089165B">
        <w:rPr>
          <w:rStyle w:val="Ninguno"/>
          <w:rFonts w:ascii="Garamond" w:hAnsi="Garamond" w:cs="Helvetica"/>
          <w:iCs/>
          <w:sz w:val="31"/>
          <w:szCs w:val="31"/>
        </w:rPr>
        <w:t>en calidad de compradora</w:t>
      </w:r>
      <w:r w:rsidRPr="0089165B">
        <w:rPr>
          <w:rFonts w:ascii="Garamond" w:hAnsi="Garamond" w:cs="Arial"/>
          <w:iCs/>
          <w:sz w:val="31"/>
          <w:szCs w:val="31"/>
        </w:rPr>
        <w:t>; ordenó el pago de la suma de $95</w:t>
      </w:r>
      <w:r w:rsidR="00E35343" w:rsidRPr="0089165B">
        <w:rPr>
          <w:rFonts w:ascii="Garamond" w:hAnsi="Garamond" w:cs="Arial"/>
          <w:iCs/>
          <w:sz w:val="31"/>
          <w:szCs w:val="31"/>
        </w:rPr>
        <w:t>’</w:t>
      </w:r>
      <w:r w:rsidRPr="0089165B">
        <w:rPr>
          <w:rFonts w:ascii="Garamond" w:hAnsi="Garamond" w:cs="Arial"/>
          <w:iCs/>
          <w:sz w:val="31"/>
          <w:szCs w:val="31"/>
        </w:rPr>
        <w:t>000.000</w:t>
      </w:r>
      <w:r w:rsidR="00E35343" w:rsidRPr="0089165B">
        <w:rPr>
          <w:rFonts w:ascii="Garamond" w:hAnsi="Garamond" w:cs="Arial"/>
          <w:iCs/>
          <w:sz w:val="31"/>
          <w:szCs w:val="31"/>
        </w:rPr>
        <w:t>,oo</w:t>
      </w:r>
      <w:r w:rsidRPr="0089165B">
        <w:rPr>
          <w:rFonts w:ascii="Garamond" w:hAnsi="Garamond" w:cs="Arial"/>
          <w:iCs/>
          <w:sz w:val="31"/>
          <w:szCs w:val="31"/>
        </w:rPr>
        <w:t xml:space="preserve"> por parte de </w:t>
      </w:r>
      <w:r w:rsidRPr="0089165B">
        <w:rPr>
          <w:rStyle w:val="Ninguno"/>
          <w:rFonts w:ascii="Garamond" w:hAnsi="Garamond" w:cs="Helvetica"/>
          <w:iCs/>
          <w:sz w:val="31"/>
          <w:szCs w:val="31"/>
        </w:rPr>
        <w:t xml:space="preserve">la compradora a los vendedores, </w:t>
      </w:r>
      <w:r w:rsidR="00E35343" w:rsidRPr="0089165B">
        <w:rPr>
          <w:rStyle w:val="Ninguno"/>
          <w:rFonts w:ascii="Garamond" w:hAnsi="Garamond" w:cs="Helvetica"/>
          <w:iCs/>
          <w:sz w:val="31"/>
          <w:szCs w:val="31"/>
        </w:rPr>
        <w:t xml:space="preserve">emolumentos </w:t>
      </w:r>
      <w:r w:rsidRPr="0089165B">
        <w:rPr>
          <w:rFonts w:ascii="Garamond" w:hAnsi="Garamond" w:cs="Arial"/>
          <w:sz w:val="31"/>
          <w:szCs w:val="31"/>
        </w:rPr>
        <w:t>que debi</w:t>
      </w:r>
      <w:r w:rsidR="00E35343" w:rsidRPr="0089165B">
        <w:rPr>
          <w:rFonts w:ascii="Garamond" w:hAnsi="Garamond" w:cs="Arial"/>
          <w:sz w:val="31"/>
          <w:szCs w:val="31"/>
        </w:rPr>
        <w:t>eron</w:t>
      </w:r>
      <w:r w:rsidRPr="0089165B">
        <w:rPr>
          <w:rFonts w:ascii="Garamond" w:hAnsi="Garamond" w:cs="Arial"/>
          <w:sz w:val="31"/>
          <w:szCs w:val="31"/>
        </w:rPr>
        <w:t xml:space="preserve"> ser cancelado</w:t>
      </w:r>
      <w:r w:rsidR="00E35343" w:rsidRPr="0089165B">
        <w:rPr>
          <w:rFonts w:ascii="Garamond" w:hAnsi="Garamond" w:cs="Arial"/>
          <w:sz w:val="31"/>
          <w:szCs w:val="31"/>
        </w:rPr>
        <w:t>s</w:t>
      </w:r>
      <w:r w:rsidRPr="0089165B">
        <w:rPr>
          <w:rFonts w:ascii="Garamond" w:hAnsi="Garamond" w:cs="Arial"/>
          <w:sz w:val="31"/>
          <w:szCs w:val="31"/>
        </w:rPr>
        <w:t xml:space="preserve"> el 5 de mayo de 2015 a la firma de la promesa de contrato de compraventa; ordenó la </w:t>
      </w:r>
      <w:r w:rsidRPr="0089165B">
        <w:rPr>
          <w:rFonts w:ascii="Garamond" w:hAnsi="Garamond" w:cs="Helvetica"/>
          <w:sz w:val="31"/>
          <w:szCs w:val="31"/>
        </w:rPr>
        <w:t>indexación de la suma antes dispuesta; negó la cláusula penal por cuanto las dos partes fueron incumplidas</w:t>
      </w:r>
      <w:r w:rsidR="00E35343" w:rsidRPr="0089165B">
        <w:rPr>
          <w:rFonts w:ascii="Garamond" w:hAnsi="Garamond" w:cs="Helvetica"/>
          <w:sz w:val="31"/>
          <w:szCs w:val="31"/>
        </w:rPr>
        <w:t>,</w:t>
      </w:r>
      <w:r w:rsidRPr="0089165B">
        <w:rPr>
          <w:rFonts w:ascii="Garamond" w:hAnsi="Garamond" w:cs="Helvetica"/>
          <w:sz w:val="31"/>
          <w:szCs w:val="31"/>
        </w:rPr>
        <w:t xml:space="preserve"> y la demanda de reconvención por las mismas razones indicadas para la prosperidad del libelo inicial.</w:t>
      </w:r>
    </w:p>
    <w:p w:rsidR="00E35343" w:rsidRPr="0089165B" w:rsidRDefault="00E35343" w:rsidP="00E35343">
      <w:pPr>
        <w:pStyle w:val="Textoindependiente"/>
        <w:ind w:firstLine="708"/>
        <w:rPr>
          <w:rFonts w:ascii="Garamond" w:hAnsi="Garamond" w:cs="Helvetica"/>
          <w:sz w:val="22"/>
          <w:szCs w:val="31"/>
        </w:rPr>
      </w:pPr>
    </w:p>
    <w:p w:rsidR="00E35343" w:rsidRPr="0089165B" w:rsidRDefault="000813F0" w:rsidP="00AA6E63">
      <w:pPr>
        <w:pStyle w:val="Textoindependiente"/>
        <w:ind w:firstLine="709"/>
        <w:rPr>
          <w:rFonts w:ascii="Garamond" w:hAnsi="Garamond"/>
          <w:sz w:val="31"/>
          <w:szCs w:val="31"/>
        </w:rPr>
      </w:pPr>
      <w:r w:rsidRPr="0089165B">
        <w:rPr>
          <w:rFonts w:ascii="Garamond" w:hAnsi="Garamond"/>
          <w:sz w:val="31"/>
          <w:szCs w:val="31"/>
        </w:rPr>
        <w:t xml:space="preserve">En su momento, el juez </w:t>
      </w:r>
      <w:r w:rsidRPr="0089165B">
        <w:rPr>
          <w:rFonts w:ascii="Garamond" w:hAnsi="Garamond"/>
          <w:i/>
          <w:sz w:val="31"/>
          <w:szCs w:val="31"/>
        </w:rPr>
        <w:t>a quo</w:t>
      </w:r>
      <w:r w:rsidRPr="0089165B">
        <w:rPr>
          <w:rFonts w:ascii="Garamond" w:hAnsi="Garamond"/>
          <w:sz w:val="31"/>
          <w:szCs w:val="31"/>
        </w:rPr>
        <w:t xml:space="preserve"> negó la aclaración que con soporte en </w:t>
      </w:r>
      <w:r w:rsidR="00AA6E63" w:rsidRPr="0089165B">
        <w:rPr>
          <w:rFonts w:ascii="Garamond" w:hAnsi="Garamond"/>
          <w:sz w:val="31"/>
          <w:szCs w:val="31"/>
        </w:rPr>
        <w:t xml:space="preserve">el </w:t>
      </w:r>
      <w:r w:rsidRPr="0089165B">
        <w:rPr>
          <w:rFonts w:ascii="Garamond" w:hAnsi="Garamond"/>
          <w:sz w:val="31"/>
          <w:szCs w:val="31"/>
        </w:rPr>
        <w:t xml:space="preserve">artículo 285 del CGP, en concordancia en el artículo 1546 del C.C., le solicitó la parte demandada (principal) relacionada con su pretensión tendiente a declarar el incumplimiento. </w:t>
      </w:r>
    </w:p>
    <w:p w:rsidR="00B745A5" w:rsidRPr="0089165B" w:rsidRDefault="00B745A5" w:rsidP="00AA6E63">
      <w:pPr>
        <w:pStyle w:val="Textoindependiente"/>
        <w:ind w:firstLine="709"/>
        <w:rPr>
          <w:rFonts w:ascii="Garamond" w:hAnsi="Garamond"/>
          <w:sz w:val="31"/>
          <w:szCs w:val="31"/>
        </w:rPr>
      </w:pPr>
    </w:p>
    <w:p w:rsidR="00E35343" w:rsidRPr="0089165B" w:rsidRDefault="000813F0" w:rsidP="00AA6E63">
      <w:pPr>
        <w:pStyle w:val="Textoindependiente"/>
        <w:ind w:firstLine="709"/>
        <w:rPr>
          <w:rFonts w:ascii="Garamond" w:hAnsi="Garamond"/>
          <w:b/>
          <w:sz w:val="31"/>
          <w:szCs w:val="31"/>
        </w:rPr>
      </w:pPr>
      <w:r w:rsidRPr="0089165B">
        <w:rPr>
          <w:rFonts w:ascii="Garamond" w:hAnsi="Garamond"/>
          <w:b/>
          <w:sz w:val="31"/>
          <w:szCs w:val="31"/>
        </w:rPr>
        <w:t>6. El recurso de apelación.</w:t>
      </w:r>
      <w:r w:rsidRPr="0089165B">
        <w:rPr>
          <w:rStyle w:val="Refdenotaalpie"/>
          <w:rFonts w:ascii="Garamond" w:hAnsi="Garamond"/>
          <w:b/>
          <w:sz w:val="31"/>
          <w:szCs w:val="31"/>
        </w:rPr>
        <w:footnoteReference w:id="3"/>
      </w:r>
    </w:p>
    <w:p w:rsidR="00E35343" w:rsidRPr="0089165B" w:rsidRDefault="00E35343" w:rsidP="00AA6E63">
      <w:pPr>
        <w:pStyle w:val="Textoindependiente"/>
        <w:ind w:firstLine="709"/>
        <w:rPr>
          <w:rFonts w:ascii="Garamond" w:hAnsi="Garamond"/>
          <w:b/>
          <w:sz w:val="31"/>
          <w:szCs w:val="31"/>
        </w:rPr>
      </w:pPr>
    </w:p>
    <w:p w:rsidR="00E35343" w:rsidRPr="0089165B" w:rsidRDefault="000813F0" w:rsidP="00AA6E63">
      <w:pPr>
        <w:pStyle w:val="Textoindependiente"/>
        <w:ind w:firstLine="709"/>
        <w:rPr>
          <w:rFonts w:ascii="Garamond" w:hAnsi="Garamond"/>
          <w:sz w:val="31"/>
          <w:szCs w:val="31"/>
        </w:rPr>
      </w:pPr>
      <w:r w:rsidRPr="0089165B">
        <w:rPr>
          <w:rFonts w:ascii="Garamond" w:hAnsi="Garamond"/>
          <w:sz w:val="31"/>
          <w:szCs w:val="31"/>
        </w:rPr>
        <w:t>Inconforme con lo decidido</w:t>
      </w:r>
      <w:r w:rsidR="00E35343" w:rsidRPr="0089165B">
        <w:rPr>
          <w:rFonts w:ascii="Garamond" w:hAnsi="Garamond"/>
          <w:sz w:val="31"/>
          <w:szCs w:val="31"/>
        </w:rPr>
        <w:t>,</w:t>
      </w:r>
      <w:r w:rsidRPr="0089165B">
        <w:rPr>
          <w:rFonts w:ascii="Garamond" w:hAnsi="Garamond"/>
          <w:sz w:val="31"/>
          <w:szCs w:val="31"/>
        </w:rPr>
        <w:t xml:space="preserve"> la </w:t>
      </w:r>
      <w:r w:rsidR="00E35343" w:rsidRPr="0089165B">
        <w:rPr>
          <w:rFonts w:ascii="Garamond" w:hAnsi="Garamond"/>
          <w:sz w:val="31"/>
          <w:szCs w:val="31"/>
        </w:rPr>
        <w:softHyphen/>
      </w:r>
      <w:r w:rsidRPr="0089165B">
        <w:rPr>
          <w:rFonts w:ascii="Garamond" w:hAnsi="Garamond"/>
          <w:sz w:val="31"/>
          <w:szCs w:val="31"/>
        </w:rPr>
        <w:t xml:space="preserve">demandada </w:t>
      </w:r>
      <w:r w:rsidR="00E35343" w:rsidRPr="0089165B">
        <w:rPr>
          <w:rFonts w:ascii="Garamond" w:hAnsi="Garamond"/>
          <w:sz w:val="31"/>
          <w:szCs w:val="31"/>
        </w:rPr>
        <w:t xml:space="preserve">principal </w:t>
      </w:r>
      <w:r w:rsidRPr="0089165B">
        <w:rPr>
          <w:rFonts w:ascii="Garamond" w:hAnsi="Garamond"/>
          <w:sz w:val="31"/>
          <w:szCs w:val="31"/>
        </w:rPr>
        <w:t xml:space="preserve">(actora en reconvención), interpuso en audiencia el recurso de apelación, cuyos reparos concretos se pueden concretar de la siguiente manera: </w:t>
      </w:r>
    </w:p>
    <w:p w:rsidR="00B06702" w:rsidRPr="0089165B" w:rsidRDefault="00B06702" w:rsidP="00E35343">
      <w:pPr>
        <w:pStyle w:val="Textoindependiente"/>
        <w:ind w:firstLine="708"/>
        <w:rPr>
          <w:rFonts w:ascii="Garamond" w:hAnsi="Garamond"/>
          <w:sz w:val="31"/>
          <w:szCs w:val="31"/>
        </w:rPr>
      </w:pPr>
    </w:p>
    <w:p w:rsidR="00E35343" w:rsidRDefault="000813F0" w:rsidP="00E35343">
      <w:pPr>
        <w:pStyle w:val="Textoindependiente"/>
        <w:ind w:firstLine="708"/>
        <w:rPr>
          <w:rFonts w:ascii="Garamond" w:hAnsi="Garamond"/>
          <w:sz w:val="31"/>
          <w:szCs w:val="31"/>
        </w:rPr>
      </w:pPr>
      <w:r w:rsidRPr="0089165B">
        <w:rPr>
          <w:rFonts w:ascii="Garamond" w:hAnsi="Garamond"/>
          <w:sz w:val="31"/>
          <w:szCs w:val="31"/>
        </w:rPr>
        <w:t xml:space="preserve">La parte </w:t>
      </w:r>
      <w:r w:rsidR="00E35343" w:rsidRPr="0089165B">
        <w:rPr>
          <w:rFonts w:ascii="Garamond" w:hAnsi="Garamond"/>
          <w:sz w:val="31"/>
          <w:szCs w:val="31"/>
        </w:rPr>
        <w:t xml:space="preserve">actora </w:t>
      </w:r>
      <w:r w:rsidRPr="0089165B">
        <w:rPr>
          <w:rFonts w:ascii="Garamond" w:hAnsi="Garamond"/>
          <w:sz w:val="31"/>
          <w:szCs w:val="31"/>
        </w:rPr>
        <w:t xml:space="preserve">no pidió la resolución sino la declaración del incumplimiento del contrato de promesa de compraventa celebrado el 5 </w:t>
      </w:r>
      <w:r w:rsidRPr="0089165B">
        <w:rPr>
          <w:rFonts w:ascii="Garamond" w:hAnsi="Garamond"/>
          <w:sz w:val="31"/>
          <w:szCs w:val="31"/>
        </w:rPr>
        <w:lastRenderedPageBreak/>
        <w:t>de mayo de 2015, el cual carecía de eficacia, pues de conformidad con el artículo 1546 del Código Civil, ese mismo día se firmó la escritura de compraventa que solemnizaba la venta del inmueble referido en la actuación.</w:t>
      </w:r>
    </w:p>
    <w:p w:rsidR="00B76E33" w:rsidRPr="0089165B" w:rsidRDefault="00B76E33" w:rsidP="00E35343">
      <w:pPr>
        <w:pStyle w:val="Textoindependiente"/>
        <w:ind w:firstLine="708"/>
        <w:rPr>
          <w:rFonts w:ascii="Garamond" w:hAnsi="Garamond"/>
          <w:sz w:val="31"/>
          <w:szCs w:val="31"/>
        </w:rPr>
      </w:pPr>
    </w:p>
    <w:p w:rsidR="00E35343" w:rsidRPr="0089165B" w:rsidRDefault="000813F0" w:rsidP="00E35343">
      <w:pPr>
        <w:pStyle w:val="Textoindependiente"/>
        <w:ind w:firstLine="708"/>
        <w:rPr>
          <w:rFonts w:ascii="Garamond" w:hAnsi="Garamond"/>
          <w:sz w:val="31"/>
          <w:szCs w:val="31"/>
        </w:rPr>
      </w:pPr>
      <w:r w:rsidRPr="0089165B">
        <w:rPr>
          <w:rFonts w:ascii="Garamond" w:hAnsi="Garamond"/>
          <w:sz w:val="31"/>
          <w:szCs w:val="31"/>
        </w:rPr>
        <w:t xml:space="preserve">Se allegó al proceso el contrato de promesa de compraventa celebrado entre las misma partes el 30 de octubre de 2014, en el que se pactó que la fecha para celebrar la escritura era el 14 de diciembre siguiente, el que tenía obligaciones similares a la promesa de contrato celebrada el 5 de mayo de 2015, con fecha para la firma de la escritura que se debía firmar el 5 de diciembre </w:t>
      </w:r>
      <w:r w:rsidR="00E35343" w:rsidRPr="0089165B">
        <w:rPr>
          <w:rFonts w:ascii="Garamond" w:hAnsi="Garamond"/>
          <w:sz w:val="31"/>
          <w:szCs w:val="31"/>
        </w:rPr>
        <w:t>siguiente</w:t>
      </w:r>
      <w:r w:rsidRPr="0089165B">
        <w:rPr>
          <w:rFonts w:ascii="Garamond" w:hAnsi="Garamond"/>
          <w:sz w:val="31"/>
          <w:szCs w:val="31"/>
        </w:rPr>
        <w:t xml:space="preserve">; ese contrato era leonino y buscaba facilitar la </w:t>
      </w:r>
      <w:r w:rsidR="00E35343" w:rsidRPr="0089165B">
        <w:rPr>
          <w:rFonts w:ascii="Garamond" w:hAnsi="Garamond"/>
          <w:sz w:val="31"/>
          <w:szCs w:val="31"/>
        </w:rPr>
        <w:t>“</w:t>
      </w:r>
      <w:r w:rsidRPr="0089165B">
        <w:rPr>
          <w:rFonts w:ascii="Garamond" w:hAnsi="Garamond"/>
          <w:sz w:val="31"/>
          <w:szCs w:val="31"/>
        </w:rPr>
        <w:t>recompra</w:t>
      </w:r>
      <w:r w:rsidR="00E35343" w:rsidRPr="0089165B">
        <w:rPr>
          <w:rFonts w:ascii="Garamond" w:hAnsi="Garamond"/>
          <w:sz w:val="31"/>
          <w:szCs w:val="31"/>
        </w:rPr>
        <w:t>”</w:t>
      </w:r>
      <w:r w:rsidRPr="0089165B">
        <w:rPr>
          <w:rFonts w:ascii="Garamond" w:hAnsi="Garamond"/>
          <w:sz w:val="31"/>
          <w:szCs w:val="31"/>
        </w:rPr>
        <w:t xml:space="preserve"> del inmueble por los vendedores.</w:t>
      </w:r>
    </w:p>
    <w:p w:rsidR="00E35343" w:rsidRPr="0089165B" w:rsidRDefault="00E35343" w:rsidP="00E35343">
      <w:pPr>
        <w:pStyle w:val="Textoindependiente"/>
        <w:ind w:firstLine="708"/>
        <w:rPr>
          <w:rFonts w:ascii="Garamond" w:hAnsi="Garamond"/>
          <w:sz w:val="31"/>
          <w:szCs w:val="31"/>
        </w:rPr>
      </w:pPr>
    </w:p>
    <w:p w:rsidR="00E35343" w:rsidRPr="0089165B" w:rsidRDefault="000813F0" w:rsidP="00E35343">
      <w:pPr>
        <w:pStyle w:val="Textoindependiente"/>
        <w:ind w:firstLine="708"/>
        <w:rPr>
          <w:rFonts w:ascii="Garamond" w:hAnsi="Garamond"/>
          <w:sz w:val="31"/>
          <w:szCs w:val="31"/>
        </w:rPr>
      </w:pPr>
      <w:r w:rsidRPr="0089165B">
        <w:rPr>
          <w:rFonts w:ascii="Garamond" w:hAnsi="Garamond"/>
          <w:sz w:val="31"/>
          <w:szCs w:val="31"/>
        </w:rPr>
        <w:t xml:space="preserve">Las letras de cambio allegadas por </w:t>
      </w:r>
      <w:r w:rsidR="00A14C65">
        <w:rPr>
          <w:rFonts w:ascii="Garamond" w:hAnsi="Garamond"/>
          <w:sz w:val="31"/>
          <w:szCs w:val="31"/>
        </w:rPr>
        <w:t xml:space="preserve">los demandantes principales </w:t>
      </w:r>
      <w:r w:rsidRPr="0089165B">
        <w:rPr>
          <w:rFonts w:ascii="Garamond" w:hAnsi="Garamond"/>
          <w:sz w:val="31"/>
          <w:szCs w:val="31"/>
        </w:rPr>
        <w:t>deben ser valoradas en su justa dimensión, de conformidad con los artículo</w:t>
      </w:r>
      <w:r w:rsidR="000230DB">
        <w:rPr>
          <w:rFonts w:ascii="Garamond" w:hAnsi="Garamond"/>
          <w:sz w:val="31"/>
          <w:szCs w:val="31"/>
        </w:rPr>
        <w:t>s</w:t>
      </w:r>
      <w:bookmarkStart w:id="0" w:name="_GoBack"/>
      <w:bookmarkEnd w:id="0"/>
      <w:r w:rsidRPr="0089165B">
        <w:rPr>
          <w:rFonts w:ascii="Garamond" w:hAnsi="Garamond"/>
          <w:sz w:val="31"/>
          <w:szCs w:val="31"/>
        </w:rPr>
        <w:t xml:space="preserve"> 424, 425 y 426 del CGP, pues las mismas no se desconocieron ni tacharon de falsas por </w:t>
      </w:r>
      <w:r w:rsidR="00B76E33">
        <w:rPr>
          <w:rFonts w:ascii="Garamond" w:hAnsi="Garamond"/>
          <w:sz w:val="31"/>
          <w:szCs w:val="31"/>
        </w:rPr>
        <w:t>sus opositores</w:t>
      </w:r>
      <w:r w:rsidRPr="0089165B">
        <w:rPr>
          <w:rFonts w:ascii="Garamond" w:hAnsi="Garamond"/>
          <w:sz w:val="31"/>
          <w:szCs w:val="31"/>
        </w:rPr>
        <w:t>; se debe admitir que el cobro de una obligación puede hacer parte de un negocio y que en el supuesto que no tengan una fecha de exigibilidad, deben ser consideradas que son títulos valores pagaderos a la vista.</w:t>
      </w:r>
    </w:p>
    <w:p w:rsidR="00E35343" w:rsidRPr="0089165B" w:rsidRDefault="00E35343" w:rsidP="00E35343">
      <w:pPr>
        <w:pStyle w:val="Textoindependiente"/>
        <w:ind w:firstLine="708"/>
        <w:rPr>
          <w:rFonts w:ascii="Garamond" w:hAnsi="Garamond"/>
          <w:sz w:val="31"/>
          <w:szCs w:val="31"/>
        </w:rPr>
      </w:pPr>
    </w:p>
    <w:p w:rsidR="00E35343" w:rsidRPr="0089165B" w:rsidRDefault="000813F0" w:rsidP="00E35343">
      <w:pPr>
        <w:pStyle w:val="Textoindependiente"/>
        <w:ind w:firstLine="708"/>
        <w:rPr>
          <w:rFonts w:ascii="Garamond" w:hAnsi="Garamond"/>
          <w:sz w:val="31"/>
          <w:szCs w:val="31"/>
        </w:rPr>
      </w:pPr>
      <w:r w:rsidRPr="0089165B">
        <w:rPr>
          <w:rFonts w:ascii="Garamond" w:hAnsi="Garamond"/>
          <w:sz w:val="31"/>
          <w:szCs w:val="31"/>
        </w:rPr>
        <w:t>El error de las partes al celebrar el contrato, que debe ser entendible por no ser abogados, es que se trató de una dación en pago y no de una compraventa, así se deduce de las respuestas en los interrogatorios de parte absueltos por</w:t>
      </w:r>
      <w:r w:rsidR="00A14C65">
        <w:rPr>
          <w:rFonts w:ascii="Garamond" w:hAnsi="Garamond"/>
          <w:sz w:val="31"/>
          <w:szCs w:val="31"/>
        </w:rPr>
        <w:t xml:space="preserve"> los </w:t>
      </w:r>
      <w:r w:rsidR="004E4CBF">
        <w:rPr>
          <w:rFonts w:ascii="Garamond" w:hAnsi="Garamond"/>
          <w:sz w:val="31"/>
          <w:szCs w:val="31"/>
        </w:rPr>
        <w:t xml:space="preserve">señores </w:t>
      </w:r>
      <w:r w:rsidR="00B06702" w:rsidRPr="0089165B">
        <w:rPr>
          <w:rFonts w:ascii="Garamond" w:hAnsi="Garamond"/>
          <w:sz w:val="31"/>
          <w:szCs w:val="31"/>
        </w:rPr>
        <w:t>Mora Ramos y</w:t>
      </w:r>
      <w:r w:rsidR="00A14C65">
        <w:rPr>
          <w:rFonts w:ascii="Garamond" w:hAnsi="Garamond"/>
          <w:sz w:val="31"/>
          <w:szCs w:val="31"/>
        </w:rPr>
        <w:t xml:space="preserve"> </w:t>
      </w:r>
      <w:r w:rsidR="00B06702" w:rsidRPr="0089165B">
        <w:rPr>
          <w:rFonts w:ascii="Garamond" w:hAnsi="Garamond"/>
          <w:sz w:val="31"/>
          <w:szCs w:val="31"/>
        </w:rPr>
        <w:t>Molina</w:t>
      </w:r>
      <w:r w:rsidRPr="0089165B">
        <w:rPr>
          <w:rFonts w:ascii="Garamond" w:hAnsi="Garamond"/>
          <w:sz w:val="31"/>
          <w:szCs w:val="31"/>
        </w:rPr>
        <w:t>,</w:t>
      </w:r>
      <w:r w:rsidR="0037101C" w:rsidRPr="0089165B">
        <w:rPr>
          <w:rFonts w:ascii="Garamond" w:hAnsi="Garamond"/>
          <w:sz w:val="31"/>
          <w:szCs w:val="31"/>
        </w:rPr>
        <w:t xml:space="preserve"> </w:t>
      </w:r>
      <w:r w:rsidRPr="0089165B">
        <w:rPr>
          <w:rFonts w:ascii="Garamond" w:hAnsi="Garamond"/>
          <w:sz w:val="31"/>
          <w:szCs w:val="31"/>
        </w:rPr>
        <w:t>quienes confesaron que ante las dificultades económicas y la imposibilidad de pagar las deudas</w:t>
      </w:r>
      <w:r w:rsidR="00B76E33">
        <w:rPr>
          <w:rFonts w:ascii="Garamond" w:hAnsi="Garamond"/>
          <w:sz w:val="31"/>
          <w:szCs w:val="31"/>
        </w:rPr>
        <w:t>,</w:t>
      </w:r>
      <w:r w:rsidRPr="0089165B">
        <w:rPr>
          <w:rFonts w:ascii="Garamond" w:hAnsi="Garamond"/>
          <w:sz w:val="31"/>
          <w:szCs w:val="31"/>
        </w:rPr>
        <w:t xml:space="preserve"> fue que vendieron el inmueble con la eventualidad de recuperarlo, como lo confirma la abogada María Angélica Prieto Bustos, quien elaboró el primer contrato de promesa de compraventa (30 de octubre de 2014), pero no el segundo (5 de mayo de 2015), que no deja de ser una reproducción del primero, pero que es ineficaz, pues ese mismo día se celebró la escritura de compraventa que solemnizaba el primero de los nombrados, razón por la cual el saldo que se indica en el segundo es inexistente.</w:t>
      </w:r>
    </w:p>
    <w:p w:rsidR="00E35343" w:rsidRPr="0089165B" w:rsidRDefault="00E35343" w:rsidP="00E35343">
      <w:pPr>
        <w:pStyle w:val="Textoindependiente"/>
        <w:ind w:firstLine="708"/>
        <w:rPr>
          <w:rFonts w:ascii="Garamond" w:hAnsi="Garamond"/>
          <w:sz w:val="31"/>
          <w:szCs w:val="31"/>
        </w:rPr>
      </w:pPr>
    </w:p>
    <w:p w:rsidR="00E35343" w:rsidRPr="0089165B" w:rsidRDefault="000813F0" w:rsidP="00E35343">
      <w:pPr>
        <w:pStyle w:val="Textoindependiente"/>
        <w:ind w:firstLine="708"/>
        <w:rPr>
          <w:rFonts w:ascii="Garamond" w:hAnsi="Garamond"/>
          <w:sz w:val="31"/>
          <w:szCs w:val="31"/>
        </w:rPr>
      </w:pPr>
      <w:r w:rsidRPr="0089165B">
        <w:rPr>
          <w:rFonts w:ascii="Garamond" w:hAnsi="Garamond"/>
          <w:sz w:val="31"/>
          <w:szCs w:val="31"/>
        </w:rPr>
        <w:t>En los dos contratos de promesa de compraventa se pactaron unos cánones de arrendamiento que debían ser consignados en la cuenta de la compradora, y si a ello se le suma la deuda de $95</w:t>
      </w:r>
      <w:r w:rsidR="00E35343" w:rsidRPr="0089165B">
        <w:rPr>
          <w:rFonts w:ascii="Garamond" w:hAnsi="Garamond"/>
          <w:sz w:val="31"/>
          <w:szCs w:val="31"/>
        </w:rPr>
        <w:t>’</w:t>
      </w:r>
      <w:r w:rsidRPr="0089165B">
        <w:rPr>
          <w:rFonts w:ascii="Garamond" w:hAnsi="Garamond"/>
          <w:sz w:val="31"/>
          <w:szCs w:val="31"/>
        </w:rPr>
        <w:t>000.000,</w:t>
      </w:r>
      <w:r w:rsidR="00E35343" w:rsidRPr="0089165B">
        <w:rPr>
          <w:rFonts w:ascii="Garamond" w:hAnsi="Garamond"/>
          <w:sz w:val="31"/>
          <w:szCs w:val="31"/>
        </w:rPr>
        <w:t>oo</w:t>
      </w:r>
      <w:r w:rsidRPr="0089165B">
        <w:rPr>
          <w:rFonts w:ascii="Garamond" w:hAnsi="Garamond"/>
          <w:sz w:val="31"/>
          <w:szCs w:val="31"/>
        </w:rPr>
        <w:t xml:space="preserve"> que reclaman los demandantes, la obligación sería de $130</w:t>
      </w:r>
      <w:r w:rsidR="00E35343" w:rsidRPr="0089165B">
        <w:rPr>
          <w:rFonts w:ascii="Garamond" w:hAnsi="Garamond"/>
          <w:sz w:val="31"/>
          <w:szCs w:val="31"/>
        </w:rPr>
        <w:t>’</w:t>
      </w:r>
      <w:r w:rsidRPr="0089165B">
        <w:rPr>
          <w:rFonts w:ascii="Garamond" w:hAnsi="Garamond"/>
          <w:sz w:val="31"/>
          <w:szCs w:val="31"/>
        </w:rPr>
        <w:t>000.000</w:t>
      </w:r>
      <w:r w:rsidR="00E35343" w:rsidRPr="0089165B">
        <w:rPr>
          <w:rFonts w:ascii="Garamond" w:hAnsi="Garamond"/>
          <w:sz w:val="31"/>
          <w:szCs w:val="31"/>
        </w:rPr>
        <w:t>,oo,</w:t>
      </w:r>
      <w:r w:rsidRPr="0089165B">
        <w:rPr>
          <w:rFonts w:ascii="Garamond" w:hAnsi="Garamond"/>
          <w:sz w:val="31"/>
          <w:szCs w:val="31"/>
        </w:rPr>
        <w:t xml:space="preserve"> aproximadamente.</w:t>
      </w:r>
    </w:p>
    <w:p w:rsidR="00E35343" w:rsidRPr="0089165B" w:rsidRDefault="00E35343" w:rsidP="00E35343">
      <w:pPr>
        <w:pStyle w:val="Textoindependiente"/>
        <w:ind w:firstLine="708"/>
        <w:rPr>
          <w:rFonts w:ascii="Garamond" w:hAnsi="Garamond"/>
          <w:sz w:val="31"/>
          <w:szCs w:val="31"/>
        </w:rPr>
      </w:pPr>
    </w:p>
    <w:p w:rsidR="00E35343" w:rsidRPr="0089165B" w:rsidRDefault="000813F0" w:rsidP="00E35343">
      <w:pPr>
        <w:pStyle w:val="Textoindependiente"/>
        <w:ind w:firstLine="708"/>
        <w:rPr>
          <w:rFonts w:ascii="Garamond" w:hAnsi="Garamond"/>
          <w:sz w:val="31"/>
          <w:szCs w:val="31"/>
        </w:rPr>
      </w:pPr>
      <w:r w:rsidRPr="0089165B">
        <w:rPr>
          <w:rFonts w:ascii="Garamond" w:hAnsi="Garamond"/>
          <w:sz w:val="31"/>
          <w:szCs w:val="31"/>
        </w:rPr>
        <w:lastRenderedPageBreak/>
        <w:t xml:space="preserve">El juez </w:t>
      </w:r>
      <w:r w:rsidR="00E35343" w:rsidRPr="0089165B">
        <w:rPr>
          <w:rFonts w:ascii="Garamond" w:hAnsi="Garamond"/>
          <w:sz w:val="31"/>
          <w:szCs w:val="31"/>
        </w:rPr>
        <w:t xml:space="preserve">no </w:t>
      </w:r>
      <w:r w:rsidRPr="0089165B">
        <w:rPr>
          <w:rFonts w:ascii="Garamond" w:hAnsi="Garamond"/>
          <w:sz w:val="31"/>
          <w:szCs w:val="31"/>
        </w:rPr>
        <w:t xml:space="preserve">valoró en </w:t>
      </w:r>
      <w:r w:rsidR="00E35343" w:rsidRPr="0089165B">
        <w:rPr>
          <w:rFonts w:ascii="Garamond" w:hAnsi="Garamond"/>
          <w:sz w:val="31"/>
          <w:szCs w:val="31"/>
        </w:rPr>
        <w:t xml:space="preserve">debida </w:t>
      </w:r>
      <w:r w:rsidRPr="0089165B">
        <w:rPr>
          <w:rFonts w:ascii="Garamond" w:hAnsi="Garamond"/>
          <w:sz w:val="31"/>
          <w:szCs w:val="31"/>
        </w:rPr>
        <w:t xml:space="preserve">forma los </w:t>
      </w:r>
      <w:r w:rsidR="00E35343" w:rsidRPr="0089165B">
        <w:rPr>
          <w:rFonts w:ascii="Garamond" w:hAnsi="Garamond"/>
          <w:sz w:val="31"/>
          <w:szCs w:val="31"/>
        </w:rPr>
        <w:t xml:space="preserve">testimonios </w:t>
      </w:r>
      <w:r w:rsidR="0037101C" w:rsidRPr="0089165B">
        <w:rPr>
          <w:rFonts w:ascii="Garamond" w:hAnsi="Garamond"/>
          <w:sz w:val="31"/>
          <w:szCs w:val="31"/>
        </w:rPr>
        <w:t xml:space="preserve">allegados al proceso por </w:t>
      </w:r>
      <w:r w:rsidR="00A14C65">
        <w:rPr>
          <w:rFonts w:ascii="Garamond" w:hAnsi="Garamond"/>
          <w:sz w:val="31"/>
          <w:szCs w:val="31"/>
        </w:rPr>
        <w:t xml:space="preserve">los </w:t>
      </w:r>
      <w:r w:rsidR="004E4CBF">
        <w:rPr>
          <w:rFonts w:ascii="Garamond" w:hAnsi="Garamond"/>
          <w:sz w:val="31"/>
          <w:szCs w:val="31"/>
        </w:rPr>
        <w:t>actores principales</w:t>
      </w:r>
      <w:r w:rsidRPr="0089165B">
        <w:rPr>
          <w:rFonts w:ascii="Garamond" w:hAnsi="Garamond"/>
          <w:sz w:val="31"/>
          <w:szCs w:val="31"/>
        </w:rPr>
        <w:t>, quienes son testigos de oídas, pero les dio credibilidad respecto a las transacciones de la empresa en la cual laboran</w:t>
      </w:r>
      <w:r w:rsidR="00D2328C">
        <w:rPr>
          <w:rFonts w:ascii="Garamond" w:hAnsi="Garamond"/>
          <w:sz w:val="31"/>
          <w:szCs w:val="31"/>
        </w:rPr>
        <w:t xml:space="preserve"> ellos</w:t>
      </w:r>
      <w:r w:rsidRPr="0089165B">
        <w:rPr>
          <w:rFonts w:ascii="Garamond" w:hAnsi="Garamond"/>
          <w:sz w:val="31"/>
          <w:szCs w:val="31"/>
        </w:rPr>
        <w:t>.</w:t>
      </w:r>
    </w:p>
    <w:p w:rsidR="00E35343" w:rsidRPr="0089165B" w:rsidRDefault="00E35343" w:rsidP="00E35343">
      <w:pPr>
        <w:pStyle w:val="Textoindependiente"/>
        <w:ind w:firstLine="708"/>
        <w:rPr>
          <w:rFonts w:ascii="Garamond" w:hAnsi="Garamond"/>
          <w:sz w:val="31"/>
          <w:szCs w:val="31"/>
        </w:rPr>
      </w:pPr>
    </w:p>
    <w:p w:rsidR="00E35343" w:rsidRPr="0089165B" w:rsidRDefault="000813F0" w:rsidP="00B76E33">
      <w:pPr>
        <w:pStyle w:val="Textoindependiente"/>
        <w:ind w:firstLine="708"/>
        <w:rPr>
          <w:rFonts w:ascii="Garamond" w:hAnsi="Garamond"/>
          <w:sz w:val="31"/>
          <w:szCs w:val="31"/>
        </w:rPr>
      </w:pPr>
      <w:r w:rsidRPr="0089165B">
        <w:rPr>
          <w:rFonts w:ascii="Garamond" w:hAnsi="Garamond"/>
          <w:sz w:val="31"/>
          <w:szCs w:val="31"/>
        </w:rPr>
        <w:t>En segunda instancia, el juez colegiado debe pronunciarse respecto a las obligaciones recíprocas en los términos del artículo 1546 del Código Civil, pues si bien se hace referencia al incumplimiento de la compradora en pagar la suma de $95</w:t>
      </w:r>
      <w:r w:rsidR="00E35343" w:rsidRPr="0089165B">
        <w:rPr>
          <w:rFonts w:ascii="Garamond" w:hAnsi="Garamond"/>
          <w:sz w:val="31"/>
          <w:szCs w:val="31"/>
        </w:rPr>
        <w:t>’</w:t>
      </w:r>
      <w:r w:rsidRPr="0089165B">
        <w:rPr>
          <w:rFonts w:ascii="Garamond" w:hAnsi="Garamond"/>
          <w:sz w:val="31"/>
          <w:szCs w:val="31"/>
        </w:rPr>
        <w:t>000.000,</w:t>
      </w:r>
      <w:r w:rsidR="00E35343" w:rsidRPr="0089165B">
        <w:rPr>
          <w:rFonts w:ascii="Garamond" w:hAnsi="Garamond"/>
          <w:sz w:val="31"/>
          <w:szCs w:val="31"/>
        </w:rPr>
        <w:t>oo,</w:t>
      </w:r>
      <w:r w:rsidRPr="0089165B">
        <w:rPr>
          <w:rFonts w:ascii="Garamond" w:hAnsi="Garamond"/>
          <w:sz w:val="31"/>
          <w:szCs w:val="31"/>
        </w:rPr>
        <w:t xml:space="preserve"> también debe haber un pronunciamiento respecto a que los demandantes no acudieron a firmar la escritura en la notaría el 5 de diciembre de 2015, como tampoco entregaron el inmueble en la fecha convenida; es decir, no fueron unos contratantes cumplidos.</w:t>
      </w:r>
    </w:p>
    <w:p w:rsidR="00E35343" w:rsidRPr="0089165B" w:rsidRDefault="00E35343" w:rsidP="00B76E33">
      <w:pPr>
        <w:pStyle w:val="Textoindependiente"/>
        <w:rPr>
          <w:rFonts w:ascii="Garamond" w:hAnsi="Garamond"/>
          <w:sz w:val="31"/>
          <w:szCs w:val="31"/>
        </w:rPr>
      </w:pPr>
    </w:p>
    <w:p w:rsidR="000E4095" w:rsidRDefault="000E4095" w:rsidP="00B76E33">
      <w:pPr>
        <w:spacing w:after="0" w:line="240" w:lineRule="auto"/>
        <w:jc w:val="center"/>
        <w:rPr>
          <w:rFonts w:ascii="Garamond" w:hAnsi="Garamond"/>
          <w:b/>
          <w:bCs/>
          <w:sz w:val="32"/>
          <w:szCs w:val="32"/>
        </w:rPr>
      </w:pPr>
      <w:r w:rsidRPr="0089165B">
        <w:rPr>
          <w:rFonts w:ascii="Garamond" w:hAnsi="Garamond"/>
          <w:b/>
          <w:bCs/>
          <w:sz w:val="32"/>
          <w:szCs w:val="32"/>
        </w:rPr>
        <w:t>CONSIDERACIONES</w:t>
      </w:r>
    </w:p>
    <w:p w:rsidR="00B76E33" w:rsidRPr="0089165B" w:rsidRDefault="00B76E33" w:rsidP="00B76E33">
      <w:pPr>
        <w:spacing w:after="0" w:line="240" w:lineRule="auto"/>
        <w:jc w:val="center"/>
        <w:rPr>
          <w:rFonts w:ascii="Garamond" w:hAnsi="Garamond"/>
          <w:b/>
          <w:bCs/>
          <w:sz w:val="32"/>
          <w:szCs w:val="32"/>
        </w:rPr>
      </w:pPr>
    </w:p>
    <w:p w:rsidR="000E4095" w:rsidRPr="0089165B" w:rsidRDefault="000E4095" w:rsidP="00B76E33">
      <w:pPr>
        <w:pStyle w:val="Textoindependiente"/>
        <w:ind w:firstLine="708"/>
        <w:rPr>
          <w:rFonts w:ascii="Garamond" w:hAnsi="Garamond"/>
          <w:szCs w:val="32"/>
        </w:rPr>
      </w:pPr>
      <w:r w:rsidRPr="0089165B">
        <w:rPr>
          <w:rFonts w:ascii="Garamond" w:hAnsi="Garamond"/>
          <w:szCs w:val="32"/>
        </w:rPr>
        <w:t>La Sala encuentra que la actuación se ha desarrollado normalmente, no hay causal de nulidad que se tenga que declarar, se cumple con los presupuestos procesales y el Tribunal es competente para decidir el recurso de apelación en los términos y con las limitaciones que establece el artículo 328 del C.G.P y la jurisprudencia de la Sala de Casación Civil de la Corte Suprema de Justicia</w:t>
      </w:r>
      <w:r w:rsidRPr="0089165B">
        <w:rPr>
          <w:rFonts w:ascii="Garamond" w:hAnsi="Garamond"/>
          <w:szCs w:val="32"/>
          <w:vertAlign w:val="superscript"/>
        </w:rPr>
        <w:footnoteReference w:id="4"/>
      </w:r>
      <w:r w:rsidRPr="0089165B">
        <w:rPr>
          <w:rFonts w:ascii="Garamond" w:hAnsi="Garamond"/>
          <w:szCs w:val="32"/>
        </w:rPr>
        <w:t>.</w:t>
      </w:r>
    </w:p>
    <w:p w:rsidR="000E4095" w:rsidRPr="0089165B" w:rsidRDefault="000E4095" w:rsidP="00B76E33">
      <w:pPr>
        <w:spacing w:after="0" w:line="240" w:lineRule="auto"/>
        <w:ind w:firstLine="708"/>
        <w:jc w:val="both"/>
        <w:rPr>
          <w:rFonts w:ascii="Garamond" w:hAnsi="Garamond"/>
          <w:sz w:val="32"/>
          <w:szCs w:val="32"/>
        </w:rPr>
      </w:pPr>
    </w:p>
    <w:p w:rsidR="00FC6010" w:rsidRPr="0089165B" w:rsidRDefault="00995522" w:rsidP="00B76E33">
      <w:pPr>
        <w:pStyle w:val="Textoindependiente"/>
        <w:ind w:firstLine="709"/>
        <w:rPr>
          <w:rFonts w:ascii="Garamond" w:hAnsi="Garamond"/>
          <w:szCs w:val="32"/>
        </w:rPr>
      </w:pPr>
      <w:r w:rsidRPr="0089165B">
        <w:rPr>
          <w:rFonts w:ascii="Garamond" w:hAnsi="Garamond"/>
          <w:szCs w:val="32"/>
        </w:rPr>
        <w:t xml:space="preserve">Revisadas las pretensiones de </w:t>
      </w:r>
      <w:r w:rsidR="004E4CBF">
        <w:rPr>
          <w:rFonts w:ascii="Garamond" w:hAnsi="Garamond"/>
          <w:szCs w:val="32"/>
        </w:rPr>
        <w:t xml:space="preserve">la demanda principal </w:t>
      </w:r>
      <w:r w:rsidR="000E4095" w:rsidRPr="0089165B">
        <w:rPr>
          <w:rFonts w:ascii="Garamond" w:hAnsi="Garamond"/>
          <w:szCs w:val="32"/>
        </w:rPr>
        <w:t xml:space="preserve">y </w:t>
      </w:r>
      <w:r w:rsidR="004E4CBF">
        <w:rPr>
          <w:rFonts w:ascii="Garamond" w:hAnsi="Garamond"/>
          <w:szCs w:val="32"/>
        </w:rPr>
        <w:t xml:space="preserve">el libelo de </w:t>
      </w:r>
      <w:r w:rsidR="000E4095" w:rsidRPr="0089165B">
        <w:rPr>
          <w:rFonts w:ascii="Garamond" w:hAnsi="Garamond"/>
          <w:szCs w:val="32"/>
        </w:rPr>
        <w:t>reconvención, se observa que</w:t>
      </w:r>
      <w:r w:rsidR="00D2328C">
        <w:rPr>
          <w:rFonts w:ascii="Garamond" w:hAnsi="Garamond"/>
          <w:szCs w:val="32"/>
        </w:rPr>
        <w:t>,</w:t>
      </w:r>
      <w:r w:rsidR="000E4095" w:rsidRPr="0089165B">
        <w:rPr>
          <w:rFonts w:ascii="Garamond" w:hAnsi="Garamond"/>
          <w:szCs w:val="32"/>
        </w:rPr>
        <w:t xml:space="preserve"> en lo medular, van orientadas </w:t>
      </w:r>
      <w:r w:rsidR="0037101C" w:rsidRPr="0089165B">
        <w:rPr>
          <w:rFonts w:ascii="Garamond" w:hAnsi="Garamond"/>
          <w:szCs w:val="32"/>
        </w:rPr>
        <w:t xml:space="preserve">a </w:t>
      </w:r>
      <w:r w:rsidR="000E4095" w:rsidRPr="0089165B">
        <w:rPr>
          <w:rFonts w:ascii="Garamond" w:hAnsi="Garamond"/>
          <w:szCs w:val="32"/>
        </w:rPr>
        <w:t>que se declare el incumplimiento de su contraparte</w:t>
      </w:r>
      <w:r w:rsidR="00FC6010" w:rsidRPr="0089165B">
        <w:rPr>
          <w:rFonts w:ascii="Garamond" w:hAnsi="Garamond"/>
          <w:szCs w:val="32"/>
        </w:rPr>
        <w:t xml:space="preserve"> en </w:t>
      </w:r>
      <w:r w:rsidRPr="0089165B">
        <w:rPr>
          <w:rFonts w:ascii="Garamond" w:hAnsi="Garamond"/>
          <w:szCs w:val="32"/>
        </w:rPr>
        <w:t xml:space="preserve">los contratos referidos a la “promesa de compraventa el 5 de mayo de 2015” y “promesa de compraventa el 30 de octubre de 2014”, respectivamente, </w:t>
      </w:r>
      <w:r w:rsidR="00FC6010" w:rsidRPr="0089165B">
        <w:rPr>
          <w:rFonts w:ascii="Garamond" w:hAnsi="Garamond"/>
          <w:szCs w:val="32"/>
        </w:rPr>
        <w:t>como se explica a continuación:</w:t>
      </w:r>
    </w:p>
    <w:p w:rsidR="00FC6010" w:rsidRPr="0089165B" w:rsidRDefault="00FC6010" w:rsidP="00B76E33">
      <w:pPr>
        <w:pStyle w:val="Textoindependiente"/>
        <w:ind w:firstLine="709"/>
        <w:rPr>
          <w:rFonts w:ascii="Garamond" w:hAnsi="Garamond"/>
          <w:szCs w:val="32"/>
        </w:rPr>
      </w:pPr>
    </w:p>
    <w:p w:rsidR="003915B7" w:rsidRPr="0089165B" w:rsidRDefault="003915B7" w:rsidP="00B76E33">
      <w:pPr>
        <w:pStyle w:val="Textoindependiente"/>
        <w:ind w:firstLine="709"/>
        <w:rPr>
          <w:rFonts w:ascii="Garamond" w:hAnsi="Garamond"/>
          <w:szCs w:val="32"/>
        </w:rPr>
      </w:pPr>
      <w:r w:rsidRPr="00D2328C">
        <w:rPr>
          <w:rFonts w:ascii="Garamond" w:hAnsi="Garamond"/>
          <w:b/>
          <w:szCs w:val="32"/>
        </w:rPr>
        <w:t>L</w:t>
      </w:r>
      <w:r w:rsidR="00FC6010" w:rsidRPr="00D2328C">
        <w:rPr>
          <w:rFonts w:ascii="Garamond" w:hAnsi="Garamond"/>
          <w:b/>
          <w:szCs w:val="32"/>
        </w:rPr>
        <w:t>a demanda principal.</w:t>
      </w:r>
      <w:r w:rsidR="00FC6010" w:rsidRPr="0089165B">
        <w:rPr>
          <w:rFonts w:ascii="Garamond" w:hAnsi="Garamond"/>
          <w:szCs w:val="32"/>
        </w:rPr>
        <w:t xml:space="preserve"> S</w:t>
      </w:r>
      <w:r w:rsidR="0037101C" w:rsidRPr="0089165B">
        <w:rPr>
          <w:rFonts w:ascii="Garamond" w:hAnsi="Garamond"/>
          <w:szCs w:val="32"/>
        </w:rPr>
        <w:t xml:space="preserve">egún el supuesto fáctico, la parte </w:t>
      </w:r>
      <w:r w:rsidR="000E4095" w:rsidRPr="0089165B">
        <w:rPr>
          <w:rFonts w:ascii="Garamond" w:hAnsi="Garamond"/>
          <w:szCs w:val="32"/>
        </w:rPr>
        <w:t xml:space="preserve">demandante </w:t>
      </w:r>
      <w:r w:rsidR="0037101C" w:rsidRPr="0089165B">
        <w:rPr>
          <w:rFonts w:ascii="Garamond" w:hAnsi="Garamond"/>
          <w:szCs w:val="32"/>
        </w:rPr>
        <w:t xml:space="preserve">refiere </w:t>
      </w:r>
      <w:r w:rsidR="00FC6010" w:rsidRPr="0089165B">
        <w:rPr>
          <w:rFonts w:ascii="Garamond" w:hAnsi="Garamond"/>
          <w:szCs w:val="32"/>
        </w:rPr>
        <w:t xml:space="preserve">en el hecho primero que celebró el contrato </w:t>
      </w:r>
      <w:r w:rsidR="000E4095" w:rsidRPr="0089165B">
        <w:rPr>
          <w:rFonts w:ascii="Garamond" w:hAnsi="Garamond"/>
          <w:szCs w:val="32"/>
        </w:rPr>
        <w:t xml:space="preserve">promesa de compraventa el 5 de mayo de 2015 respecto de la “vivienda veintiuno (21), que hace parte del Conjunto Residencial “Brisas del Mar” II Etapa, sometido al régimen de propiedad horizontal, ubicado en la Transversal 44 No. 99 C 70 de la ciudad de </w:t>
      </w:r>
      <w:r w:rsidR="000E4095" w:rsidRPr="0089165B">
        <w:rPr>
          <w:rFonts w:ascii="Garamond" w:hAnsi="Garamond"/>
          <w:szCs w:val="32"/>
        </w:rPr>
        <w:lastRenderedPageBreak/>
        <w:t>Barranquilla”</w:t>
      </w:r>
      <w:r w:rsidR="00FC6010" w:rsidRPr="0089165B">
        <w:rPr>
          <w:rFonts w:ascii="Garamond" w:hAnsi="Garamond"/>
          <w:szCs w:val="32"/>
        </w:rPr>
        <w:t xml:space="preserve">, el cual incumplió Omaira Inés Montaño </w:t>
      </w:r>
      <w:r w:rsidRPr="0089165B">
        <w:rPr>
          <w:rFonts w:ascii="Garamond" w:hAnsi="Garamond"/>
          <w:szCs w:val="32"/>
        </w:rPr>
        <w:t>mientras que ellos (los demandantes principales)</w:t>
      </w:r>
      <w:r w:rsidR="00A14C65">
        <w:rPr>
          <w:rFonts w:ascii="Garamond" w:hAnsi="Garamond"/>
          <w:szCs w:val="32"/>
        </w:rPr>
        <w:t xml:space="preserve"> </w:t>
      </w:r>
      <w:r w:rsidRPr="0089165B">
        <w:rPr>
          <w:rFonts w:ascii="Garamond" w:hAnsi="Garamond"/>
          <w:szCs w:val="32"/>
        </w:rPr>
        <w:t xml:space="preserve">otorgaron la escritura pública a la compradora el 5 de mayo de 2015, en la Notaría 50 de Bogotá, a la que le correspondió el número 1012 </w:t>
      </w:r>
      <w:r w:rsidR="00FC6010" w:rsidRPr="0089165B">
        <w:rPr>
          <w:rFonts w:ascii="Garamond" w:hAnsi="Garamond"/>
          <w:szCs w:val="32"/>
        </w:rPr>
        <w:t>(folio 30)</w:t>
      </w:r>
      <w:r w:rsidRPr="0089165B">
        <w:rPr>
          <w:rFonts w:ascii="Garamond" w:hAnsi="Garamond"/>
          <w:szCs w:val="32"/>
        </w:rPr>
        <w:t>.</w:t>
      </w:r>
    </w:p>
    <w:p w:rsidR="003915B7" w:rsidRPr="0089165B" w:rsidRDefault="003915B7" w:rsidP="00B76E33">
      <w:pPr>
        <w:pStyle w:val="Textoindependiente"/>
        <w:ind w:firstLine="709"/>
        <w:rPr>
          <w:rFonts w:ascii="Garamond" w:hAnsi="Garamond"/>
          <w:szCs w:val="32"/>
        </w:rPr>
      </w:pPr>
    </w:p>
    <w:p w:rsidR="00FC6010" w:rsidRDefault="003915B7" w:rsidP="00B76E33">
      <w:pPr>
        <w:pStyle w:val="Textoindependiente"/>
        <w:ind w:firstLine="709"/>
        <w:rPr>
          <w:rFonts w:ascii="Garamond" w:hAnsi="Garamond"/>
          <w:szCs w:val="32"/>
        </w:rPr>
      </w:pPr>
      <w:r w:rsidRPr="0089165B">
        <w:rPr>
          <w:rFonts w:ascii="Garamond" w:hAnsi="Garamond"/>
          <w:szCs w:val="32"/>
        </w:rPr>
        <w:t>La demanda de reconvención presentada por</w:t>
      </w:r>
      <w:r w:rsidR="00A14C65">
        <w:rPr>
          <w:rFonts w:ascii="Garamond" w:hAnsi="Garamond"/>
          <w:szCs w:val="32"/>
        </w:rPr>
        <w:t xml:space="preserve"> </w:t>
      </w:r>
      <w:r w:rsidR="00FC6010" w:rsidRPr="0089165B">
        <w:rPr>
          <w:rFonts w:ascii="Garamond" w:hAnsi="Garamond"/>
          <w:szCs w:val="32"/>
        </w:rPr>
        <w:t xml:space="preserve">Omaira Inés Montaño </w:t>
      </w:r>
      <w:r w:rsidRPr="0089165B">
        <w:rPr>
          <w:rFonts w:ascii="Garamond" w:hAnsi="Garamond"/>
          <w:szCs w:val="32"/>
        </w:rPr>
        <w:t>procura</w:t>
      </w:r>
      <w:r w:rsidR="000E4095" w:rsidRPr="0089165B">
        <w:rPr>
          <w:rFonts w:ascii="Garamond" w:hAnsi="Garamond"/>
          <w:szCs w:val="32"/>
        </w:rPr>
        <w:t xml:space="preserve"> que</w:t>
      </w:r>
      <w:r w:rsidR="00A14C65">
        <w:rPr>
          <w:rFonts w:ascii="Garamond" w:hAnsi="Garamond"/>
          <w:szCs w:val="32"/>
        </w:rPr>
        <w:t xml:space="preserve"> </w:t>
      </w:r>
      <w:r w:rsidR="000E4095" w:rsidRPr="0089165B">
        <w:rPr>
          <w:rFonts w:ascii="Garamond" w:hAnsi="Garamond"/>
          <w:szCs w:val="32"/>
        </w:rPr>
        <w:t xml:space="preserve">se declare el incumplimiento de </w:t>
      </w:r>
      <w:r w:rsidR="004E4CBF">
        <w:rPr>
          <w:rFonts w:ascii="Garamond" w:hAnsi="Garamond"/>
          <w:szCs w:val="32"/>
        </w:rPr>
        <w:t>su contraparte</w:t>
      </w:r>
      <w:r w:rsidR="000E4095" w:rsidRPr="0089165B">
        <w:rPr>
          <w:rFonts w:ascii="Garamond" w:hAnsi="Garamond"/>
          <w:szCs w:val="32"/>
        </w:rPr>
        <w:t>, respecto de la promesa de compraventa el 30 de octubre de 2014, en el que se pactó que la fecha para celebrar la escritura era el 14 de diciembre siguiente</w:t>
      </w:r>
      <w:r w:rsidR="00FC6010" w:rsidRPr="0089165B">
        <w:rPr>
          <w:rFonts w:ascii="Garamond" w:hAnsi="Garamond"/>
          <w:szCs w:val="32"/>
        </w:rPr>
        <w:t>.</w:t>
      </w:r>
    </w:p>
    <w:p w:rsidR="00D2328C" w:rsidRPr="0089165B" w:rsidRDefault="00D2328C" w:rsidP="00B76E33">
      <w:pPr>
        <w:pStyle w:val="Textoindependiente"/>
        <w:ind w:firstLine="709"/>
        <w:rPr>
          <w:rFonts w:ascii="Garamond" w:hAnsi="Garamond"/>
          <w:szCs w:val="32"/>
        </w:rPr>
      </w:pPr>
    </w:p>
    <w:p w:rsidR="000E4095" w:rsidRPr="0089165B" w:rsidRDefault="000E4095" w:rsidP="00B76E33">
      <w:pPr>
        <w:pStyle w:val="Textoindependiente"/>
        <w:ind w:firstLine="708"/>
        <w:rPr>
          <w:rFonts w:ascii="Garamond" w:hAnsi="Garamond"/>
          <w:szCs w:val="32"/>
        </w:rPr>
      </w:pPr>
      <w:r w:rsidRPr="0089165B">
        <w:rPr>
          <w:rFonts w:ascii="Garamond" w:hAnsi="Garamond"/>
          <w:szCs w:val="32"/>
        </w:rPr>
        <w:t>Se deduce del soporte fáctico de las demandas referidas y de las pruebas allegadas al proceso</w:t>
      </w:r>
      <w:r w:rsidR="00D2328C">
        <w:rPr>
          <w:rFonts w:ascii="Garamond" w:hAnsi="Garamond"/>
          <w:szCs w:val="32"/>
        </w:rPr>
        <w:t>,</w:t>
      </w:r>
      <w:r w:rsidRPr="0089165B">
        <w:rPr>
          <w:rFonts w:ascii="Garamond" w:hAnsi="Garamond"/>
          <w:szCs w:val="32"/>
        </w:rPr>
        <w:t xml:space="preserve"> que respecto de ese inmueble las partes aquí comprometidas celebraron el día 5 de mayo de 2015, en la Notaría 50 de Bogotá, la correspondiente e</w:t>
      </w:r>
      <w:r w:rsidR="003915B7" w:rsidRPr="0089165B">
        <w:rPr>
          <w:rFonts w:ascii="Garamond" w:hAnsi="Garamond"/>
          <w:szCs w:val="32"/>
        </w:rPr>
        <w:t>scritura pública de compraventa</w:t>
      </w:r>
      <w:r w:rsidRPr="0089165B">
        <w:rPr>
          <w:rFonts w:ascii="Garamond" w:hAnsi="Garamond"/>
          <w:szCs w:val="32"/>
        </w:rPr>
        <w:t>, razón por la cual</w:t>
      </w:r>
      <w:r w:rsidR="00D2328C">
        <w:rPr>
          <w:rFonts w:ascii="Garamond" w:hAnsi="Garamond"/>
          <w:szCs w:val="32"/>
        </w:rPr>
        <w:t>,</w:t>
      </w:r>
      <w:r w:rsidRPr="0089165B">
        <w:rPr>
          <w:rFonts w:ascii="Garamond" w:hAnsi="Garamond"/>
          <w:szCs w:val="32"/>
        </w:rPr>
        <w:t xml:space="preserve"> </w:t>
      </w:r>
      <w:r w:rsidR="003915B7" w:rsidRPr="0089165B">
        <w:rPr>
          <w:rFonts w:ascii="Garamond" w:hAnsi="Garamond"/>
          <w:szCs w:val="32"/>
        </w:rPr>
        <w:t xml:space="preserve">el </w:t>
      </w:r>
      <w:r w:rsidRPr="0089165B">
        <w:rPr>
          <w:rFonts w:ascii="Garamond" w:hAnsi="Garamond"/>
          <w:szCs w:val="32"/>
        </w:rPr>
        <w:t xml:space="preserve">Tribunal, </w:t>
      </w:r>
      <w:r w:rsidR="003915B7" w:rsidRPr="0089165B">
        <w:rPr>
          <w:rFonts w:ascii="Garamond" w:hAnsi="Garamond"/>
          <w:szCs w:val="32"/>
        </w:rPr>
        <w:t>en el orden que fueron celebrado</w:t>
      </w:r>
      <w:r w:rsidRPr="0089165B">
        <w:rPr>
          <w:rFonts w:ascii="Garamond" w:hAnsi="Garamond"/>
          <w:szCs w:val="32"/>
        </w:rPr>
        <w:t xml:space="preserve">s </w:t>
      </w:r>
      <w:r w:rsidR="003915B7" w:rsidRPr="0089165B">
        <w:rPr>
          <w:rFonts w:ascii="Garamond" w:hAnsi="Garamond"/>
          <w:szCs w:val="32"/>
        </w:rPr>
        <w:t>los contrato</w:t>
      </w:r>
      <w:r w:rsidR="0089165B" w:rsidRPr="0089165B">
        <w:rPr>
          <w:rFonts w:ascii="Garamond" w:hAnsi="Garamond"/>
          <w:szCs w:val="32"/>
        </w:rPr>
        <w:t>s</w:t>
      </w:r>
      <w:r w:rsidR="003915B7" w:rsidRPr="0089165B">
        <w:rPr>
          <w:rFonts w:ascii="Garamond" w:hAnsi="Garamond"/>
          <w:szCs w:val="32"/>
        </w:rPr>
        <w:t xml:space="preserve"> de promesa</w:t>
      </w:r>
      <w:r w:rsidRPr="0089165B">
        <w:rPr>
          <w:rFonts w:ascii="Garamond" w:hAnsi="Garamond"/>
          <w:szCs w:val="32"/>
        </w:rPr>
        <w:t>, procede a su análisi</w:t>
      </w:r>
      <w:r w:rsidR="0089165B" w:rsidRPr="0089165B">
        <w:rPr>
          <w:rFonts w:ascii="Garamond" w:hAnsi="Garamond"/>
          <w:szCs w:val="32"/>
        </w:rPr>
        <w:t>s para determinar si sobre dicha</w:t>
      </w:r>
      <w:r w:rsidRPr="0089165B">
        <w:rPr>
          <w:rFonts w:ascii="Garamond" w:hAnsi="Garamond"/>
          <w:szCs w:val="32"/>
        </w:rPr>
        <w:t xml:space="preserve">s </w:t>
      </w:r>
      <w:r w:rsidR="0089165B" w:rsidRPr="0089165B">
        <w:rPr>
          <w:rFonts w:ascii="Garamond" w:hAnsi="Garamond"/>
          <w:szCs w:val="32"/>
        </w:rPr>
        <w:t>convenciones</w:t>
      </w:r>
      <w:r w:rsidRPr="0089165B">
        <w:rPr>
          <w:rFonts w:ascii="Garamond" w:hAnsi="Garamond"/>
          <w:szCs w:val="32"/>
        </w:rPr>
        <w:t xml:space="preserve"> se puede</w:t>
      </w:r>
      <w:r w:rsidR="004E4CBF">
        <w:rPr>
          <w:rFonts w:ascii="Garamond" w:hAnsi="Garamond"/>
          <w:szCs w:val="32"/>
        </w:rPr>
        <w:t>n</w:t>
      </w:r>
      <w:r w:rsidRPr="0089165B">
        <w:rPr>
          <w:rFonts w:ascii="Garamond" w:hAnsi="Garamond"/>
          <w:szCs w:val="32"/>
        </w:rPr>
        <w:t xml:space="preserve"> edificar las pretensiones de cumplimiento de las partes. Desde ahora, se debe advertir que no fueron afortunadas las demandas en ese sentido, como pasa a explicarse:</w:t>
      </w:r>
    </w:p>
    <w:p w:rsidR="000E4095" w:rsidRPr="0089165B" w:rsidRDefault="000E4095" w:rsidP="00B76E33">
      <w:pPr>
        <w:spacing w:after="0" w:line="240" w:lineRule="auto"/>
        <w:jc w:val="both"/>
        <w:rPr>
          <w:rFonts w:ascii="Garamond" w:hAnsi="Garamond"/>
          <w:sz w:val="32"/>
          <w:szCs w:val="32"/>
        </w:rPr>
      </w:pPr>
    </w:p>
    <w:p w:rsidR="000E4095" w:rsidRPr="0089165B" w:rsidRDefault="000E4095" w:rsidP="00B76E33">
      <w:pPr>
        <w:spacing w:after="0" w:line="240" w:lineRule="auto"/>
        <w:ind w:firstLine="708"/>
        <w:jc w:val="both"/>
        <w:rPr>
          <w:rFonts w:ascii="Garamond" w:hAnsi="Garamond"/>
          <w:sz w:val="32"/>
          <w:szCs w:val="32"/>
        </w:rPr>
      </w:pPr>
      <w:r w:rsidRPr="0089165B">
        <w:rPr>
          <w:rFonts w:ascii="Garamond" w:hAnsi="Garamond"/>
          <w:b/>
          <w:sz w:val="32"/>
          <w:szCs w:val="32"/>
        </w:rPr>
        <w:t xml:space="preserve">1.- Incumplimiento de la promesa de compraventa de </w:t>
      </w:r>
      <w:r w:rsidRPr="00D2328C">
        <w:rPr>
          <w:rFonts w:ascii="Garamond" w:hAnsi="Garamond"/>
          <w:b/>
          <w:sz w:val="32"/>
          <w:szCs w:val="32"/>
          <w:u w:val="single"/>
        </w:rPr>
        <w:t>30 de octubre de 2014</w:t>
      </w:r>
      <w:r w:rsidRPr="0089165B">
        <w:rPr>
          <w:rFonts w:ascii="Garamond" w:hAnsi="Garamond"/>
          <w:b/>
          <w:sz w:val="32"/>
          <w:szCs w:val="32"/>
        </w:rPr>
        <w:t>. Referida en la contestación a la demanda principal y soporte de la demanda de reconvención</w:t>
      </w:r>
      <w:r w:rsidRPr="0089165B">
        <w:rPr>
          <w:rFonts w:ascii="Garamond" w:hAnsi="Garamond"/>
          <w:sz w:val="32"/>
          <w:szCs w:val="32"/>
        </w:rPr>
        <w:t>.</w:t>
      </w:r>
    </w:p>
    <w:p w:rsidR="000E4095" w:rsidRPr="0089165B" w:rsidRDefault="000E4095" w:rsidP="00B76E33">
      <w:pPr>
        <w:spacing w:after="0" w:line="240" w:lineRule="auto"/>
        <w:jc w:val="both"/>
        <w:rPr>
          <w:rFonts w:ascii="Garamond" w:hAnsi="Garamond"/>
          <w:sz w:val="32"/>
          <w:szCs w:val="32"/>
        </w:rPr>
      </w:pPr>
    </w:p>
    <w:p w:rsidR="000E4095" w:rsidRPr="0089165B" w:rsidRDefault="000E4095" w:rsidP="00B76E33">
      <w:pPr>
        <w:spacing w:after="0" w:line="240" w:lineRule="auto"/>
        <w:ind w:firstLine="708"/>
        <w:jc w:val="both"/>
        <w:rPr>
          <w:rFonts w:ascii="Garamond" w:hAnsi="Garamond"/>
          <w:sz w:val="32"/>
          <w:szCs w:val="32"/>
        </w:rPr>
      </w:pPr>
      <w:r w:rsidRPr="0089165B">
        <w:rPr>
          <w:rFonts w:ascii="Garamond" w:hAnsi="Garamond"/>
          <w:sz w:val="32"/>
          <w:szCs w:val="32"/>
        </w:rPr>
        <w:t>Una vez analizado en su conjunto el material probatorio se llega a la conclusión que las partes celebraron el contrato aludido y que el mismo generó la obligación de</w:t>
      </w:r>
      <w:r w:rsidR="003915B7" w:rsidRPr="0089165B">
        <w:rPr>
          <w:rFonts w:ascii="Garamond" w:hAnsi="Garamond"/>
          <w:sz w:val="32"/>
          <w:szCs w:val="32"/>
        </w:rPr>
        <w:t xml:space="preserve"> firmar</w:t>
      </w:r>
      <w:r w:rsidRPr="0089165B">
        <w:rPr>
          <w:rFonts w:ascii="Garamond" w:hAnsi="Garamond"/>
          <w:sz w:val="32"/>
          <w:szCs w:val="32"/>
        </w:rPr>
        <w:t xml:space="preserve"> la escritura pública </w:t>
      </w:r>
      <w:r w:rsidR="003915B7" w:rsidRPr="0089165B">
        <w:rPr>
          <w:rFonts w:ascii="Garamond" w:hAnsi="Garamond"/>
          <w:sz w:val="32"/>
          <w:szCs w:val="32"/>
        </w:rPr>
        <w:t>el 14 de diciembre siguiente, l</w:t>
      </w:r>
      <w:r w:rsidR="004E4CBF">
        <w:rPr>
          <w:rFonts w:ascii="Garamond" w:hAnsi="Garamond"/>
          <w:sz w:val="32"/>
          <w:szCs w:val="32"/>
        </w:rPr>
        <w:t>a</w:t>
      </w:r>
      <w:r w:rsidRPr="0089165B">
        <w:rPr>
          <w:rFonts w:ascii="Garamond" w:hAnsi="Garamond"/>
          <w:sz w:val="32"/>
          <w:szCs w:val="32"/>
        </w:rPr>
        <w:t xml:space="preserve"> que</w:t>
      </w:r>
      <w:r w:rsidR="00A14C65">
        <w:rPr>
          <w:rFonts w:ascii="Garamond" w:hAnsi="Garamond"/>
          <w:sz w:val="32"/>
          <w:szCs w:val="32"/>
        </w:rPr>
        <w:t xml:space="preserve"> </w:t>
      </w:r>
      <w:r w:rsidRPr="0089165B">
        <w:rPr>
          <w:rFonts w:ascii="Garamond" w:hAnsi="Garamond"/>
          <w:sz w:val="32"/>
          <w:szCs w:val="32"/>
        </w:rPr>
        <w:t xml:space="preserve">finalmente </w:t>
      </w:r>
      <w:r w:rsidR="004E4CBF">
        <w:rPr>
          <w:rFonts w:ascii="Garamond" w:hAnsi="Garamond"/>
          <w:sz w:val="32"/>
          <w:szCs w:val="32"/>
        </w:rPr>
        <w:t xml:space="preserve">fue otorgada </w:t>
      </w:r>
      <w:r w:rsidRPr="0089165B">
        <w:rPr>
          <w:rFonts w:ascii="Garamond" w:hAnsi="Garamond"/>
          <w:sz w:val="32"/>
          <w:szCs w:val="32"/>
        </w:rPr>
        <w:t>el 5 de mayo de 2015 en la Notaría 50 de Bogotá</w:t>
      </w:r>
      <w:r w:rsidR="00D2328C">
        <w:rPr>
          <w:rFonts w:ascii="Garamond" w:hAnsi="Garamond"/>
          <w:sz w:val="32"/>
          <w:szCs w:val="32"/>
        </w:rPr>
        <w:t>,</w:t>
      </w:r>
      <w:r w:rsidRPr="0089165B">
        <w:rPr>
          <w:rFonts w:ascii="Garamond" w:hAnsi="Garamond"/>
          <w:sz w:val="32"/>
          <w:szCs w:val="32"/>
        </w:rPr>
        <w:t xml:space="preserve"> y le correspondió el número 1012,</w:t>
      </w:r>
      <w:r w:rsidR="00A14C65">
        <w:rPr>
          <w:rFonts w:ascii="Garamond" w:hAnsi="Garamond"/>
          <w:sz w:val="32"/>
          <w:szCs w:val="32"/>
        </w:rPr>
        <w:t xml:space="preserve"> </w:t>
      </w:r>
      <w:r w:rsidR="00995522" w:rsidRPr="0089165B">
        <w:rPr>
          <w:rFonts w:ascii="Garamond" w:hAnsi="Garamond"/>
          <w:sz w:val="32"/>
          <w:szCs w:val="32"/>
        </w:rPr>
        <w:t xml:space="preserve">la cual fue </w:t>
      </w:r>
      <w:r w:rsidRPr="0089165B">
        <w:rPr>
          <w:rFonts w:ascii="Garamond" w:hAnsi="Garamond"/>
          <w:sz w:val="32"/>
          <w:szCs w:val="32"/>
        </w:rPr>
        <w:t xml:space="preserve">allegada por los demandantes </w:t>
      </w:r>
      <w:r w:rsidR="00995522" w:rsidRPr="00B76E33">
        <w:rPr>
          <w:rFonts w:ascii="Garamond" w:hAnsi="Garamond"/>
          <w:sz w:val="32"/>
          <w:szCs w:val="32"/>
        </w:rPr>
        <w:t xml:space="preserve">principales </w:t>
      </w:r>
      <w:r w:rsidRPr="00B76E33">
        <w:rPr>
          <w:rFonts w:ascii="Garamond" w:hAnsi="Garamond"/>
          <w:sz w:val="32"/>
          <w:szCs w:val="32"/>
        </w:rPr>
        <w:t>a</w:t>
      </w:r>
      <w:r w:rsidR="00A14C65" w:rsidRPr="00B76E33">
        <w:rPr>
          <w:rFonts w:ascii="Garamond" w:hAnsi="Garamond"/>
          <w:sz w:val="32"/>
          <w:szCs w:val="32"/>
        </w:rPr>
        <w:t xml:space="preserve"> </w:t>
      </w:r>
      <w:r w:rsidRPr="00B76E33">
        <w:rPr>
          <w:rFonts w:ascii="Garamond" w:hAnsi="Garamond"/>
          <w:sz w:val="32"/>
          <w:szCs w:val="32"/>
        </w:rPr>
        <w:t xml:space="preserve">la actuación y que obra a folios 11 a 25; </w:t>
      </w:r>
      <w:r w:rsidR="00995522" w:rsidRPr="00B76E33">
        <w:rPr>
          <w:rFonts w:ascii="Garamond" w:hAnsi="Garamond"/>
          <w:sz w:val="32"/>
          <w:szCs w:val="32"/>
        </w:rPr>
        <w:t xml:space="preserve">documento </w:t>
      </w:r>
      <w:r w:rsidRPr="00B76E33">
        <w:rPr>
          <w:rFonts w:ascii="Garamond" w:hAnsi="Garamond"/>
          <w:sz w:val="32"/>
          <w:szCs w:val="32"/>
        </w:rPr>
        <w:t xml:space="preserve">público que fue aceptado en forma expresa por las partes, con el cual se perfeccionó dicha promesa, lo cual conlleva </w:t>
      </w:r>
      <w:r w:rsidR="00D2328C">
        <w:rPr>
          <w:rFonts w:ascii="Garamond" w:hAnsi="Garamond"/>
          <w:sz w:val="32"/>
          <w:szCs w:val="32"/>
        </w:rPr>
        <w:t xml:space="preserve">a </w:t>
      </w:r>
      <w:r w:rsidRPr="00B76E33">
        <w:rPr>
          <w:rFonts w:ascii="Garamond" w:hAnsi="Garamond"/>
          <w:sz w:val="32"/>
          <w:szCs w:val="32"/>
        </w:rPr>
        <w:t>que se hubiera cumplido lo pactado y a partir de ese instante</w:t>
      </w:r>
      <w:r w:rsidR="00A14C65" w:rsidRPr="00B76E33">
        <w:rPr>
          <w:rFonts w:ascii="Garamond" w:hAnsi="Garamond"/>
          <w:sz w:val="32"/>
          <w:szCs w:val="32"/>
        </w:rPr>
        <w:t xml:space="preserve"> </w:t>
      </w:r>
      <w:r w:rsidRPr="00B76E33">
        <w:rPr>
          <w:rFonts w:ascii="Garamond" w:hAnsi="Garamond"/>
          <w:sz w:val="32"/>
          <w:szCs w:val="32"/>
        </w:rPr>
        <w:t xml:space="preserve">cesaron los efectos de </w:t>
      </w:r>
      <w:r w:rsidRPr="00B76E33">
        <w:rPr>
          <w:rFonts w:ascii="Garamond" w:hAnsi="Garamond"/>
          <w:i/>
          <w:sz w:val="32"/>
          <w:szCs w:val="32"/>
        </w:rPr>
        <w:t>“la promesa de compraventa”</w:t>
      </w:r>
      <w:r w:rsidRPr="00B76E33">
        <w:rPr>
          <w:rFonts w:ascii="Garamond" w:hAnsi="Garamond"/>
          <w:sz w:val="32"/>
          <w:szCs w:val="32"/>
        </w:rPr>
        <w:t>, razón por la cual cae en</w:t>
      </w:r>
      <w:r w:rsidRPr="0089165B">
        <w:rPr>
          <w:rFonts w:ascii="Garamond" w:hAnsi="Garamond"/>
          <w:sz w:val="32"/>
          <w:szCs w:val="32"/>
        </w:rPr>
        <w:t xml:space="preserve"> el vac</w:t>
      </w:r>
      <w:r w:rsidR="00B76E33">
        <w:rPr>
          <w:rFonts w:ascii="Garamond" w:hAnsi="Garamond"/>
          <w:sz w:val="32"/>
          <w:szCs w:val="32"/>
        </w:rPr>
        <w:t>ío</w:t>
      </w:r>
      <w:r w:rsidRPr="0089165B">
        <w:rPr>
          <w:rFonts w:ascii="Garamond" w:hAnsi="Garamond"/>
          <w:sz w:val="32"/>
          <w:szCs w:val="32"/>
        </w:rPr>
        <w:t xml:space="preserve"> la pretensión del demandante en reconvención, como pasa a explicarse.</w:t>
      </w:r>
    </w:p>
    <w:p w:rsidR="000E4095" w:rsidRPr="0089165B" w:rsidRDefault="000E4095" w:rsidP="00B76E33">
      <w:pPr>
        <w:spacing w:after="0" w:line="240" w:lineRule="auto"/>
        <w:jc w:val="both"/>
        <w:rPr>
          <w:rFonts w:ascii="Garamond" w:hAnsi="Garamond"/>
          <w:sz w:val="32"/>
          <w:szCs w:val="32"/>
        </w:rPr>
      </w:pPr>
    </w:p>
    <w:p w:rsidR="000E4095" w:rsidRPr="0089165B" w:rsidRDefault="000E4095" w:rsidP="00B76E33">
      <w:pPr>
        <w:spacing w:after="0" w:line="240" w:lineRule="auto"/>
        <w:ind w:firstLine="708"/>
        <w:jc w:val="both"/>
        <w:rPr>
          <w:rFonts w:ascii="Garamond" w:hAnsi="Garamond"/>
          <w:sz w:val="32"/>
          <w:szCs w:val="32"/>
        </w:rPr>
      </w:pPr>
      <w:r w:rsidRPr="0089165B">
        <w:rPr>
          <w:rFonts w:ascii="Garamond" w:hAnsi="Garamond"/>
          <w:sz w:val="32"/>
          <w:szCs w:val="32"/>
        </w:rPr>
        <w:lastRenderedPageBreak/>
        <w:t>Al celebrarse l</w:t>
      </w:r>
      <w:r w:rsidR="00D2328C">
        <w:rPr>
          <w:rFonts w:ascii="Garamond" w:hAnsi="Garamond"/>
          <w:sz w:val="32"/>
          <w:szCs w:val="32"/>
        </w:rPr>
        <w:t>a</w:t>
      </w:r>
      <w:r w:rsidRPr="0089165B">
        <w:rPr>
          <w:rFonts w:ascii="Garamond" w:hAnsi="Garamond"/>
          <w:sz w:val="32"/>
          <w:szCs w:val="32"/>
        </w:rPr>
        <w:t xml:space="preserve"> </w:t>
      </w:r>
      <w:r w:rsidR="00D2328C">
        <w:rPr>
          <w:rFonts w:ascii="Garamond" w:hAnsi="Garamond"/>
          <w:sz w:val="32"/>
          <w:szCs w:val="32"/>
        </w:rPr>
        <w:t>“</w:t>
      </w:r>
      <w:r w:rsidRPr="0089165B">
        <w:rPr>
          <w:rFonts w:ascii="Garamond" w:hAnsi="Garamond"/>
          <w:sz w:val="32"/>
          <w:szCs w:val="32"/>
        </w:rPr>
        <w:t>compraventa” por escritura pública (como en este caso), los efectos de la</w:t>
      </w:r>
      <w:r w:rsidR="00A14C65">
        <w:rPr>
          <w:rFonts w:ascii="Garamond" w:hAnsi="Garamond"/>
          <w:sz w:val="32"/>
          <w:szCs w:val="32"/>
        </w:rPr>
        <w:t xml:space="preserve"> </w:t>
      </w:r>
      <w:r w:rsidRPr="0089165B">
        <w:rPr>
          <w:rFonts w:ascii="Garamond" w:hAnsi="Garamond"/>
          <w:sz w:val="32"/>
          <w:szCs w:val="32"/>
        </w:rPr>
        <w:t>promesa de contrato que la antecedió, la calendada de 30 de octubre de 2014, se extinguieron, y con ella las obligaciones que allí se habían acordado; por consiguiente, ni se puede declarar su incumplimiento ni menos resolver, como lo pretende la demandante</w:t>
      </w:r>
      <w:r w:rsidR="00995522" w:rsidRPr="0089165B">
        <w:rPr>
          <w:rFonts w:ascii="Garamond" w:hAnsi="Garamond"/>
          <w:sz w:val="32"/>
          <w:szCs w:val="32"/>
        </w:rPr>
        <w:t xml:space="preserve"> en reconvención, lo cual lleva</w:t>
      </w:r>
      <w:r w:rsidRPr="0089165B">
        <w:rPr>
          <w:rFonts w:ascii="Garamond" w:hAnsi="Garamond"/>
          <w:sz w:val="32"/>
          <w:szCs w:val="32"/>
        </w:rPr>
        <w:t xml:space="preserve"> a que se tenga que confirmar la decisión del </w:t>
      </w:r>
      <w:r w:rsidRPr="00B76E33">
        <w:rPr>
          <w:rFonts w:ascii="Garamond" w:hAnsi="Garamond"/>
          <w:i/>
          <w:sz w:val="32"/>
          <w:szCs w:val="32"/>
        </w:rPr>
        <w:t>a quo</w:t>
      </w:r>
      <w:r w:rsidRPr="0089165B">
        <w:rPr>
          <w:rFonts w:ascii="Garamond" w:hAnsi="Garamond"/>
          <w:sz w:val="32"/>
          <w:szCs w:val="32"/>
        </w:rPr>
        <w:t>, pero por lo aquí expuesto.</w:t>
      </w:r>
    </w:p>
    <w:p w:rsidR="000E4095" w:rsidRPr="009E7F33" w:rsidRDefault="000E4095" w:rsidP="00B76E33">
      <w:pPr>
        <w:spacing w:after="0" w:line="240" w:lineRule="auto"/>
        <w:ind w:firstLine="708"/>
        <w:jc w:val="both"/>
        <w:rPr>
          <w:rFonts w:ascii="Garamond" w:hAnsi="Garamond"/>
          <w:sz w:val="44"/>
          <w:szCs w:val="32"/>
        </w:rPr>
      </w:pPr>
    </w:p>
    <w:p w:rsidR="000E4095" w:rsidRPr="0089165B" w:rsidRDefault="000E4095" w:rsidP="00B76E33">
      <w:pPr>
        <w:spacing w:after="0" w:line="240" w:lineRule="auto"/>
        <w:ind w:firstLine="708"/>
        <w:jc w:val="both"/>
        <w:rPr>
          <w:rFonts w:ascii="Garamond" w:hAnsi="Garamond"/>
          <w:sz w:val="32"/>
          <w:szCs w:val="32"/>
        </w:rPr>
      </w:pPr>
      <w:r w:rsidRPr="0089165B">
        <w:rPr>
          <w:rFonts w:ascii="Garamond" w:hAnsi="Garamond"/>
          <w:sz w:val="32"/>
          <w:szCs w:val="32"/>
        </w:rPr>
        <w:t>Para los efectos de la decisión que adoptará el Tribunal</w:t>
      </w:r>
      <w:r w:rsidR="00D2328C">
        <w:rPr>
          <w:rFonts w:ascii="Garamond" w:hAnsi="Garamond"/>
          <w:sz w:val="32"/>
          <w:szCs w:val="32"/>
        </w:rPr>
        <w:t>,</w:t>
      </w:r>
      <w:r w:rsidRPr="0089165B">
        <w:rPr>
          <w:rFonts w:ascii="Garamond" w:hAnsi="Garamond"/>
          <w:sz w:val="32"/>
          <w:szCs w:val="32"/>
        </w:rPr>
        <w:t xml:space="preserve"> téngase en cuenta que en el mencionado </w:t>
      </w:r>
      <w:r w:rsidR="00995522" w:rsidRPr="0089165B">
        <w:rPr>
          <w:rFonts w:ascii="Garamond" w:hAnsi="Garamond"/>
          <w:sz w:val="32"/>
          <w:szCs w:val="32"/>
        </w:rPr>
        <w:t xml:space="preserve">documento </w:t>
      </w:r>
      <w:r w:rsidRPr="0089165B">
        <w:rPr>
          <w:rFonts w:ascii="Garamond" w:hAnsi="Garamond"/>
          <w:sz w:val="32"/>
          <w:szCs w:val="32"/>
        </w:rPr>
        <w:t>púb</w:t>
      </w:r>
      <w:r w:rsidR="00B76E33">
        <w:rPr>
          <w:rFonts w:ascii="Garamond" w:hAnsi="Garamond"/>
          <w:sz w:val="32"/>
          <w:szCs w:val="32"/>
        </w:rPr>
        <w:t>l</w:t>
      </w:r>
      <w:r w:rsidRPr="0089165B">
        <w:rPr>
          <w:rFonts w:ascii="Garamond" w:hAnsi="Garamond"/>
          <w:sz w:val="32"/>
          <w:szCs w:val="32"/>
        </w:rPr>
        <w:t>ico, en la cláusula primera, los vendedores dijeron transferir en favor de la compradora, hoy demandada</w:t>
      </w:r>
      <w:r w:rsidR="00995522" w:rsidRPr="0089165B">
        <w:rPr>
          <w:rFonts w:ascii="Garamond" w:hAnsi="Garamond"/>
          <w:sz w:val="32"/>
          <w:szCs w:val="32"/>
        </w:rPr>
        <w:t xml:space="preserve"> principal</w:t>
      </w:r>
      <w:r w:rsidRPr="0089165B">
        <w:rPr>
          <w:rFonts w:ascii="Garamond" w:hAnsi="Garamond"/>
          <w:sz w:val="32"/>
          <w:szCs w:val="32"/>
        </w:rPr>
        <w:t>, el pleno derecho y la posesión material del inmueble antes referido, y en la cuarta, respecto del precio del mismo, expresaron “los vendedores declaran haber recibido de manos de la compradora en dinero efectivo y a entera satisfacción” (folio 13 vto); es decir, saldaron cualquier obligación dineraria entre ellas, razones suficientes para el naufragio de las pretensiones de la demanda principal, lo que trae como consecuencia la revocatoria de la sentencia recurrida.</w:t>
      </w:r>
    </w:p>
    <w:p w:rsidR="000E4095" w:rsidRPr="009E7F33" w:rsidRDefault="000E4095" w:rsidP="00B76E33">
      <w:pPr>
        <w:autoSpaceDE w:val="0"/>
        <w:autoSpaceDN w:val="0"/>
        <w:adjustRightInd w:val="0"/>
        <w:spacing w:after="0" w:line="240" w:lineRule="auto"/>
        <w:ind w:firstLine="708"/>
        <w:jc w:val="both"/>
        <w:rPr>
          <w:rFonts w:ascii="Garamond" w:hAnsi="Garamond"/>
          <w:sz w:val="40"/>
          <w:szCs w:val="32"/>
        </w:rPr>
      </w:pPr>
    </w:p>
    <w:p w:rsidR="000E4095" w:rsidRPr="0089165B" w:rsidRDefault="000E4095" w:rsidP="00B76E33">
      <w:pPr>
        <w:autoSpaceDE w:val="0"/>
        <w:autoSpaceDN w:val="0"/>
        <w:adjustRightInd w:val="0"/>
        <w:spacing w:after="0" w:line="240" w:lineRule="auto"/>
        <w:ind w:firstLine="708"/>
        <w:jc w:val="both"/>
        <w:rPr>
          <w:rFonts w:ascii="Garamond" w:hAnsi="Garamond"/>
          <w:sz w:val="32"/>
          <w:szCs w:val="32"/>
        </w:rPr>
      </w:pPr>
      <w:r w:rsidRPr="0089165B">
        <w:rPr>
          <w:rFonts w:ascii="Garamond" w:hAnsi="Garamond"/>
          <w:sz w:val="32"/>
          <w:szCs w:val="32"/>
        </w:rPr>
        <w:t xml:space="preserve">Así lo ha establecido la jurisprudencia, cuando dijo: </w:t>
      </w:r>
      <w:r w:rsidRPr="0089165B">
        <w:rPr>
          <w:rFonts w:ascii="Garamond" w:hAnsi="Garamond"/>
          <w:i/>
          <w:sz w:val="32"/>
          <w:szCs w:val="32"/>
        </w:rPr>
        <w:t xml:space="preserve">“Algo más, al celebrarse el contrato de compraventa, </w:t>
      </w:r>
      <w:r w:rsidRPr="0089165B">
        <w:rPr>
          <w:rFonts w:ascii="Garamond" w:hAnsi="Garamond"/>
          <w:b/>
          <w:i/>
          <w:sz w:val="32"/>
          <w:szCs w:val="32"/>
        </w:rPr>
        <w:t>la promesa de contrato se agotó</w:t>
      </w:r>
      <w:r w:rsidRPr="0089165B">
        <w:rPr>
          <w:rFonts w:ascii="Garamond" w:hAnsi="Garamond"/>
          <w:i/>
          <w:sz w:val="32"/>
          <w:szCs w:val="32"/>
        </w:rPr>
        <w:t>”</w:t>
      </w:r>
      <w:r w:rsidRPr="0089165B">
        <w:rPr>
          <w:rStyle w:val="Refdenotaalpie"/>
          <w:rFonts w:ascii="Garamond" w:hAnsi="Garamond"/>
          <w:szCs w:val="32"/>
        </w:rPr>
        <w:footnoteReference w:id="5"/>
      </w:r>
      <w:r w:rsidRPr="0089165B">
        <w:rPr>
          <w:rFonts w:ascii="Garamond" w:hAnsi="Garamond"/>
          <w:sz w:val="32"/>
          <w:szCs w:val="32"/>
        </w:rPr>
        <w:t>, lo cual se reiteró en el siguiente fallo:</w:t>
      </w:r>
    </w:p>
    <w:p w:rsidR="000E4095" w:rsidRPr="0089165B" w:rsidRDefault="000E4095" w:rsidP="000E4095">
      <w:pPr>
        <w:autoSpaceDE w:val="0"/>
        <w:autoSpaceDN w:val="0"/>
        <w:adjustRightInd w:val="0"/>
        <w:spacing w:line="240" w:lineRule="auto"/>
        <w:jc w:val="both"/>
        <w:rPr>
          <w:rFonts w:ascii="Garamond" w:hAnsi="Garamond"/>
          <w:sz w:val="32"/>
          <w:szCs w:val="32"/>
        </w:rPr>
      </w:pPr>
    </w:p>
    <w:tbl>
      <w:tblPr>
        <w:tblW w:w="0" w:type="auto"/>
        <w:tblLook w:val="04A0" w:firstRow="1" w:lastRow="0" w:firstColumn="1" w:lastColumn="0" w:noHBand="0" w:noVBand="1"/>
      </w:tblPr>
      <w:tblGrid>
        <w:gridCol w:w="703"/>
        <w:gridCol w:w="7371"/>
        <w:gridCol w:w="622"/>
      </w:tblGrid>
      <w:tr w:rsidR="000E4095" w:rsidRPr="0089165B" w:rsidTr="00745DCB">
        <w:tc>
          <w:tcPr>
            <w:tcW w:w="703" w:type="dxa"/>
            <w:shd w:val="clear" w:color="auto" w:fill="auto"/>
          </w:tcPr>
          <w:p w:rsidR="000E4095" w:rsidRPr="0089165B" w:rsidRDefault="000E4095" w:rsidP="00745DCB">
            <w:pPr>
              <w:autoSpaceDE w:val="0"/>
              <w:autoSpaceDN w:val="0"/>
              <w:adjustRightInd w:val="0"/>
              <w:spacing w:line="240" w:lineRule="auto"/>
              <w:jc w:val="both"/>
              <w:rPr>
                <w:rFonts w:ascii="Garamond" w:hAnsi="Garamond"/>
                <w:sz w:val="26"/>
                <w:szCs w:val="26"/>
              </w:rPr>
            </w:pPr>
          </w:p>
        </w:tc>
        <w:tc>
          <w:tcPr>
            <w:tcW w:w="7371" w:type="dxa"/>
            <w:shd w:val="clear" w:color="auto" w:fill="auto"/>
          </w:tcPr>
          <w:p w:rsidR="000E4095" w:rsidRPr="0089165B" w:rsidRDefault="000E4095" w:rsidP="00745DCB">
            <w:pPr>
              <w:pStyle w:val="unico"/>
              <w:shd w:val="clear" w:color="auto" w:fill="FFFFFF"/>
              <w:spacing w:before="0" w:beforeAutospacing="0" w:after="0" w:afterAutospacing="0"/>
              <w:jc w:val="both"/>
              <w:rPr>
                <w:rFonts w:ascii="Garamond" w:hAnsi="Garamond"/>
                <w:i/>
                <w:sz w:val="28"/>
                <w:szCs w:val="28"/>
              </w:rPr>
            </w:pPr>
            <w:r w:rsidRPr="009E7F33">
              <w:rPr>
                <w:rFonts w:ascii="Garamond" w:hAnsi="Garamond"/>
                <w:i/>
                <w:sz w:val="31"/>
                <w:szCs w:val="31"/>
              </w:rPr>
              <w:t>“</w:t>
            </w:r>
            <w:r w:rsidRPr="002D48FB">
              <w:rPr>
                <w:rFonts w:ascii="Garamond" w:hAnsi="Garamond"/>
                <w:i/>
                <w:sz w:val="32"/>
                <w:szCs w:val="32"/>
              </w:rPr>
              <w:t xml:space="preserve">3. </w:t>
            </w:r>
            <w:r w:rsidRPr="002D48FB">
              <w:rPr>
                <w:rFonts w:ascii="Garamond" w:hAnsi="Garamond"/>
                <w:b/>
                <w:i/>
                <w:sz w:val="32"/>
                <w:szCs w:val="32"/>
              </w:rPr>
              <w:t xml:space="preserve">Es indudable que se celebró el contrato de promesa a que alude el casacionista, el cual tenía por objeto la compraventa relacionada por la parte demandante en su libelo, pero no es menos evidente que con fecha 9 de octubre de 1980 se otorgó la escritura pública que debía perfeccionar dicha venta. Este hecho dejó sin sentido el primer acuerdo, </w:t>
            </w:r>
            <w:r w:rsidRPr="002D48FB">
              <w:rPr>
                <w:rFonts w:ascii="Garamond" w:hAnsi="Garamond"/>
                <w:i/>
                <w:sz w:val="32"/>
                <w:szCs w:val="32"/>
              </w:rPr>
              <w:t xml:space="preserve">bien sea que estuviere viciado o no, y causó fenecimiento, ya que las mismas partes por medio de nuevo acto estaban logrando el resultado económico jurídico que con anterioridad no querían o no podían realizar en forma inmediata. Si las partes, pues, entrecruzaron sus voluntades y cumplieron con las formalidades </w:t>
            </w:r>
            <w:r w:rsidRPr="002D48FB">
              <w:rPr>
                <w:rFonts w:ascii="Garamond" w:hAnsi="Garamond"/>
                <w:i/>
                <w:sz w:val="32"/>
                <w:szCs w:val="32"/>
              </w:rPr>
              <w:lastRenderedPageBreak/>
              <w:t>exigidas por la ley para perfeccionar la compraventa y a través del acuerdo contractual se obligó la una a entregar la cosa, a efectuar su tradición, a sanear en caso de vicios redhibitorios o de evicción, etc., y la otra a pagar el precio del modo convenido y a realizar las demás prestaciones pactadas, es decir, si directamente lograron el propósito que se habían forjado: celebrar el negocio de venta, resulta errado considerar que las obligaciones que esta origina tienen su fuente en un negocio previo aunque haya podido constituir una etapa importante en la conducción al contrato definitivo y aunque algunas de sus estipulaciones quedaran incorporadas en el negocio fin. Por tanto carece de asidero sostener que en el presente caso el juzgador ha debido de pronunciarse sobre la nulidad de que pudo estar viciada la promesa de compraventa inicial</w:t>
            </w:r>
            <w:r w:rsidRPr="009E7F33">
              <w:rPr>
                <w:rFonts w:ascii="Garamond" w:hAnsi="Garamond"/>
                <w:i/>
                <w:sz w:val="31"/>
                <w:szCs w:val="31"/>
              </w:rPr>
              <w:t>”</w:t>
            </w:r>
            <w:r w:rsidRPr="009E7F33">
              <w:rPr>
                <w:rStyle w:val="Refdenotaalpie"/>
                <w:rFonts w:ascii="Garamond" w:hAnsi="Garamond"/>
                <w:i/>
                <w:sz w:val="31"/>
                <w:szCs w:val="31"/>
              </w:rPr>
              <w:footnoteReference w:id="6"/>
            </w:r>
            <w:r w:rsidRPr="009E7F33">
              <w:rPr>
                <w:rFonts w:ascii="Garamond" w:hAnsi="Garamond"/>
                <w:i/>
                <w:sz w:val="31"/>
                <w:szCs w:val="31"/>
              </w:rPr>
              <w:t>.</w:t>
            </w:r>
            <w:r w:rsidRPr="0089165B">
              <w:rPr>
                <w:rFonts w:ascii="Garamond" w:hAnsi="Garamond"/>
                <w:i/>
                <w:sz w:val="30"/>
                <w:szCs w:val="30"/>
              </w:rPr>
              <w:t xml:space="preserve"> </w:t>
            </w:r>
            <w:r w:rsidRPr="0089165B">
              <w:rPr>
                <w:rFonts w:ascii="Garamond" w:hAnsi="Garamond"/>
                <w:sz w:val="30"/>
                <w:szCs w:val="30"/>
              </w:rPr>
              <w:t>(se resalta)</w:t>
            </w:r>
          </w:p>
        </w:tc>
        <w:tc>
          <w:tcPr>
            <w:tcW w:w="622" w:type="dxa"/>
            <w:shd w:val="clear" w:color="auto" w:fill="auto"/>
          </w:tcPr>
          <w:p w:rsidR="000E4095" w:rsidRPr="0089165B" w:rsidRDefault="000E4095" w:rsidP="00745DCB">
            <w:pPr>
              <w:autoSpaceDE w:val="0"/>
              <w:autoSpaceDN w:val="0"/>
              <w:adjustRightInd w:val="0"/>
              <w:spacing w:line="240" w:lineRule="auto"/>
              <w:jc w:val="both"/>
              <w:rPr>
                <w:rFonts w:ascii="Garamond" w:hAnsi="Garamond"/>
                <w:sz w:val="26"/>
                <w:szCs w:val="26"/>
              </w:rPr>
            </w:pPr>
          </w:p>
        </w:tc>
      </w:tr>
    </w:tbl>
    <w:p w:rsidR="000E4095" w:rsidRPr="0089165B" w:rsidRDefault="000E4095" w:rsidP="000E4095">
      <w:pPr>
        <w:tabs>
          <w:tab w:val="left" w:pos="-720"/>
        </w:tabs>
        <w:suppressAutoHyphens/>
        <w:jc w:val="both"/>
        <w:rPr>
          <w:rFonts w:ascii="Garamond" w:hAnsi="Garamond"/>
          <w:sz w:val="26"/>
          <w:szCs w:val="26"/>
        </w:rPr>
      </w:pPr>
    </w:p>
    <w:p w:rsidR="009E7F33" w:rsidRDefault="000E4095" w:rsidP="009E7F33">
      <w:pPr>
        <w:tabs>
          <w:tab w:val="left" w:pos="-720"/>
        </w:tabs>
        <w:suppressAutoHyphens/>
        <w:spacing w:after="0" w:line="240" w:lineRule="auto"/>
        <w:jc w:val="both"/>
        <w:rPr>
          <w:rFonts w:ascii="Garamond" w:hAnsi="Garamond"/>
          <w:sz w:val="32"/>
          <w:szCs w:val="32"/>
        </w:rPr>
      </w:pPr>
      <w:r w:rsidRPr="0089165B">
        <w:rPr>
          <w:rFonts w:ascii="Garamond" w:hAnsi="Garamond"/>
          <w:sz w:val="32"/>
          <w:szCs w:val="32"/>
        </w:rPr>
        <w:tab/>
        <w:t>En conclusión, no es dable entrar a estudiar el supuesto incumplimiento de la promesa de contrato de compraventa de 30 de octubre de 2014, pues como se dijo, cesaron sus efectos con la celebración de</w:t>
      </w:r>
      <w:r w:rsidR="00995522" w:rsidRPr="0089165B">
        <w:rPr>
          <w:rFonts w:ascii="Garamond" w:hAnsi="Garamond"/>
          <w:sz w:val="32"/>
          <w:szCs w:val="32"/>
        </w:rPr>
        <w:t xml:space="preserve"> la escritura pública arriba mencionada.</w:t>
      </w:r>
    </w:p>
    <w:p w:rsidR="009E7F33" w:rsidRPr="009E7F33" w:rsidRDefault="009E7F33" w:rsidP="009E7F33">
      <w:pPr>
        <w:tabs>
          <w:tab w:val="left" w:pos="-720"/>
        </w:tabs>
        <w:suppressAutoHyphens/>
        <w:spacing w:after="0" w:line="240" w:lineRule="auto"/>
        <w:jc w:val="both"/>
        <w:rPr>
          <w:rFonts w:ascii="Garamond" w:hAnsi="Garamond"/>
          <w:sz w:val="44"/>
          <w:szCs w:val="32"/>
        </w:rPr>
      </w:pPr>
    </w:p>
    <w:p w:rsidR="00B76E33" w:rsidRDefault="009E7F33" w:rsidP="009E7F33">
      <w:pPr>
        <w:tabs>
          <w:tab w:val="left" w:pos="-720"/>
        </w:tabs>
        <w:suppressAutoHyphens/>
        <w:spacing w:after="0" w:line="240" w:lineRule="auto"/>
        <w:jc w:val="both"/>
        <w:rPr>
          <w:rFonts w:ascii="Garamond" w:hAnsi="Garamond"/>
          <w:b/>
          <w:sz w:val="32"/>
          <w:szCs w:val="32"/>
        </w:rPr>
      </w:pPr>
      <w:r>
        <w:rPr>
          <w:rFonts w:ascii="Garamond" w:hAnsi="Garamond"/>
          <w:sz w:val="32"/>
          <w:szCs w:val="32"/>
        </w:rPr>
        <w:tab/>
      </w:r>
      <w:r w:rsidR="000E4095" w:rsidRPr="00B76E33">
        <w:rPr>
          <w:rFonts w:ascii="Garamond" w:hAnsi="Garamond"/>
          <w:b/>
          <w:sz w:val="32"/>
          <w:szCs w:val="32"/>
        </w:rPr>
        <w:t xml:space="preserve">2.- Incumplimiento de la promesa de contrato </w:t>
      </w:r>
      <w:r w:rsidR="009039D8" w:rsidRPr="00B76E33">
        <w:rPr>
          <w:rFonts w:ascii="Garamond" w:hAnsi="Garamond"/>
          <w:b/>
          <w:sz w:val="32"/>
          <w:szCs w:val="32"/>
        </w:rPr>
        <w:t xml:space="preserve">de compraventa </w:t>
      </w:r>
      <w:r>
        <w:rPr>
          <w:rFonts w:ascii="Garamond" w:hAnsi="Garamond"/>
          <w:b/>
          <w:sz w:val="32"/>
          <w:szCs w:val="32"/>
        </w:rPr>
        <w:t xml:space="preserve">de </w:t>
      </w:r>
      <w:r w:rsidR="000E4095" w:rsidRPr="00D2328C">
        <w:rPr>
          <w:rFonts w:ascii="Garamond" w:hAnsi="Garamond"/>
          <w:b/>
          <w:sz w:val="32"/>
          <w:szCs w:val="32"/>
          <w:u w:val="single"/>
        </w:rPr>
        <w:t>5 de mayo de 2015</w:t>
      </w:r>
      <w:r w:rsidR="000E4095" w:rsidRPr="00B76E33">
        <w:rPr>
          <w:rFonts w:ascii="Garamond" w:hAnsi="Garamond"/>
          <w:b/>
          <w:sz w:val="32"/>
          <w:szCs w:val="32"/>
        </w:rPr>
        <w:t xml:space="preserve">. </w:t>
      </w:r>
    </w:p>
    <w:p w:rsidR="009E7F33" w:rsidRPr="009E7F33" w:rsidRDefault="009E7F33" w:rsidP="009E7F33">
      <w:pPr>
        <w:tabs>
          <w:tab w:val="left" w:pos="-720"/>
        </w:tabs>
        <w:suppressAutoHyphens/>
        <w:spacing w:after="0" w:line="240" w:lineRule="auto"/>
        <w:jc w:val="both"/>
        <w:rPr>
          <w:rFonts w:ascii="Garamond" w:hAnsi="Garamond"/>
          <w:b/>
          <w:sz w:val="40"/>
          <w:szCs w:val="32"/>
        </w:rPr>
      </w:pPr>
    </w:p>
    <w:p w:rsidR="009E7F33" w:rsidRDefault="00B76E33" w:rsidP="009E7F33">
      <w:pPr>
        <w:tabs>
          <w:tab w:val="left" w:pos="-720"/>
        </w:tabs>
        <w:suppressAutoHyphens/>
        <w:spacing w:after="0" w:line="240" w:lineRule="auto"/>
        <w:jc w:val="both"/>
        <w:rPr>
          <w:rFonts w:ascii="Garamond" w:hAnsi="Garamond"/>
          <w:sz w:val="32"/>
          <w:szCs w:val="32"/>
        </w:rPr>
      </w:pPr>
      <w:r w:rsidRPr="00B76E33">
        <w:rPr>
          <w:rFonts w:ascii="Garamond" w:hAnsi="Garamond"/>
          <w:b/>
          <w:sz w:val="32"/>
          <w:szCs w:val="32"/>
        </w:rPr>
        <w:tab/>
      </w:r>
      <w:r w:rsidR="000E4095" w:rsidRPr="00B76E33">
        <w:rPr>
          <w:rFonts w:ascii="Garamond" w:hAnsi="Garamond"/>
          <w:sz w:val="32"/>
          <w:szCs w:val="32"/>
        </w:rPr>
        <w:t xml:space="preserve">El mismo día en que las partes firmaron en la Notaría 50 de Bogotá la escritura pública con el número 1012, que como se dijo, perfeccionó la promesa </w:t>
      </w:r>
      <w:r w:rsidR="009E7F33">
        <w:rPr>
          <w:rFonts w:ascii="Garamond" w:hAnsi="Garamond"/>
          <w:sz w:val="32"/>
          <w:szCs w:val="32"/>
        </w:rPr>
        <w:t xml:space="preserve">de </w:t>
      </w:r>
      <w:r w:rsidR="000E4095" w:rsidRPr="00B76E33">
        <w:rPr>
          <w:rFonts w:ascii="Garamond" w:hAnsi="Garamond"/>
          <w:sz w:val="32"/>
          <w:szCs w:val="32"/>
        </w:rPr>
        <w:t xml:space="preserve">30 de octubre de 2014, celebraron </w:t>
      </w:r>
      <w:r w:rsidR="009E7F33">
        <w:rPr>
          <w:rFonts w:ascii="Garamond" w:hAnsi="Garamond"/>
          <w:sz w:val="32"/>
          <w:szCs w:val="32"/>
        </w:rPr>
        <w:t xml:space="preserve">el segundo convenio preparatorio </w:t>
      </w:r>
      <w:r w:rsidR="00C66E03" w:rsidRPr="00B76E33">
        <w:rPr>
          <w:rFonts w:ascii="Garamond" w:hAnsi="Garamond"/>
          <w:sz w:val="32"/>
          <w:szCs w:val="32"/>
        </w:rPr>
        <w:t xml:space="preserve">de compraventa, </w:t>
      </w:r>
      <w:r w:rsidR="009E7F33">
        <w:rPr>
          <w:rFonts w:ascii="Garamond" w:hAnsi="Garamond"/>
          <w:sz w:val="32"/>
          <w:szCs w:val="32"/>
        </w:rPr>
        <w:t>el</w:t>
      </w:r>
      <w:r w:rsidR="000E4095" w:rsidRPr="00B76E33">
        <w:rPr>
          <w:rFonts w:ascii="Garamond" w:hAnsi="Garamond"/>
          <w:sz w:val="32"/>
          <w:szCs w:val="32"/>
        </w:rPr>
        <w:t xml:space="preserve"> cual, en criterio del Tribunal</w:t>
      </w:r>
      <w:r w:rsidR="00D2328C">
        <w:rPr>
          <w:rFonts w:ascii="Garamond" w:hAnsi="Garamond"/>
          <w:sz w:val="32"/>
          <w:szCs w:val="32"/>
        </w:rPr>
        <w:t>,</w:t>
      </w:r>
      <w:r w:rsidR="000E4095" w:rsidRPr="00B76E33">
        <w:rPr>
          <w:rFonts w:ascii="Garamond" w:hAnsi="Garamond"/>
          <w:sz w:val="32"/>
          <w:szCs w:val="32"/>
        </w:rPr>
        <w:t xml:space="preserve"> </w:t>
      </w:r>
      <w:r w:rsidR="00995522" w:rsidRPr="00B76E33">
        <w:rPr>
          <w:rFonts w:ascii="Garamond" w:hAnsi="Garamond"/>
          <w:sz w:val="32"/>
          <w:szCs w:val="32"/>
        </w:rPr>
        <w:t>ya se había agotado</w:t>
      </w:r>
      <w:r w:rsidR="000E4095" w:rsidRPr="00B76E33">
        <w:rPr>
          <w:rFonts w:ascii="Garamond" w:hAnsi="Garamond"/>
          <w:sz w:val="32"/>
          <w:szCs w:val="32"/>
        </w:rPr>
        <w:t xml:space="preserve">, pues para ese entonces la aquí demandada ostentaba la calidad de </w:t>
      </w:r>
      <w:r w:rsidR="009E7F33">
        <w:rPr>
          <w:rFonts w:ascii="Garamond" w:hAnsi="Garamond"/>
          <w:sz w:val="32"/>
          <w:szCs w:val="32"/>
        </w:rPr>
        <w:t xml:space="preserve">compradora </w:t>
      </w:r>
      <w:r w:rsidR="000E4095" w:rsidRPr="00B76E33">
        <w:rPr>
          <w:rFonts w:ascii="Garamond" w:hAnsi="Garamond"/>
          <w:sz w:val="32"/>
          <w:szCs w:val="32"/>
        </w:rPr>
        <w:t xml:space="preserve">del bien inmueble </w:t>
      </w:r>
      <w:r w:rsidR="009039D8" w:rsidRPr="00B76E33">
        <w:rPr>
          <w:rFonts w:ascii="Garamond" w:hAnsi="Garamond"/>
          <w:sz w:val="32"/>
          <w:szCs w:val="32"/>
        </w:rPr>
        <w:t>referido en</w:t>
      </w:r>
      <w:r w:rsidR="000E4095" w:rsidRPr="00B76E33">
        <w:rPr>
          <w:rFonts w:ascii="Garamond" w:hAnsi="Garamond"/>
          <w:sz w:val="32"/>
          <w:szCs w:val="32"/>
        </w:rPr>
        <w:t xml:space="preserve"> los mencionados contrato</w:t>
      </w:r>
      <w:r w:rsidR="009039D8" w:rsidRPr="00B76E33">
        <w:rPr>
          <w:rFonts w:ascii="Garamond" w:hAnsi="Garamond"/>
          <w:sz w:val="32"/>
          <w:szCs w:val="32"/>
        </w:rPr>
        <w:t>s</w:t>
      </w:r>
      <w:r w:rsidR="009E7F33">
        <w:rPr>
          <w:rFonts w:ascii="Garamond" w:hAnsi="Garamond"/>
          <w:sz w:val="32"/>
          <w:szCs w:val="32"/>
        </w:rPr>
        <w:t>.</w:t>
      </w:r>
    </w:p>
    <w:p w:rsidR="009E7F33" w:rsidRDefault="009E7F33" w:rsidP="00B76E33">
      <w:pPr>
        <w:tabs>
          <w:tab w:val="left" w:pos="-720"/>
        </w:tabs>
        <w:suppressAutoHyphens/>
        <w:spacing w:after="0" w:line="240" w:lineRule="auto"/>
        <w:jc w:val="both"/>
        <w:rPr>
          <w:rFonts w:ascii="Garamond" w:hAnsi="Garamond"/>
          <w:sz w:val="32"/>
          <w:szCs w:val="32"/>
        </w:rPr>
      </w:pPr>
    </w:p>
    <w:p w:rsidR="009E7F33" w:rsidRPr="009E7F33" w:rsidRDefault="009E7F33" w:rsidP="00B76E33">
      <w:pPr>
        <w:tabs>
          <w:tab w:val="left" w:pos="-720"/>
        </w:tabs>
        <w:suppressAutoHyphens/>
        <w:spacing w:after="0" w:line="240" w:lineRule="auto"/>
        <w:jc w:val="both"/>
        <w:rPr>
          <w:rFonts w:ascii="Garamond" w:hAnsi="Garamond"/>
          <w:sz w:val="32"/>
          <w:szCs w:val="32"/>
        </w:rPr>
      </w:pPr>
      <w:r>
        <w:rPr>
          <w:rFonts w:ascii="Garamond" w:hAnsi="Garamond"/>
          <w:sz w:val="32"/>
          <w:szCs w:val="32"/>
        </w:rPr>
        <w:tab/>
        <w:t xml:space="preserve">En ese escenario, se ve un tanto comprometida la utilidad de ese segundo </w:t>
      </w:r>
      <w:r w:rsidRPr="009E7F33">
        <w:rPr>
          <w:rFonts w:ascii="Garamond" w:hAnsi="Garamond"/>
          <w:sz w:val="32"/>
          <w:szCs w:val="32"/>
        </w:rPr>
        <w:t xml:space="preserve">negocio jurídico preliminar, máxime si se tiene </w:t>
      </w:r>
      <w:r w:rsidR="007C2A3C">
        <w:rPr>
          <w:rFonts w:ascii="Garamond" w:hAnsi="Garamond"/>
          <w:sz w:val="32"/>
          <w:szCs w:val="32"/>
        </w:rPr>
        <w:t xml:space="preserve">en cuenta </w:t>
      </w:r>
      <w:r w:rsidRPr="009E7F33">
        <w:rPr>
          <w:rFonts w:ascii="Garamond" w:hAnsi="Garamond"/>
          <w:sz w:val="32"/>
          <w:szCs w:val="32"/>
        </w:rPr>
        <w:t xml:space="preserve">que el perfeccionamiento del mismo, podría redundar en la transgresión del artículo 1872 </w:t>
      </w:r>
      <w:r w:rsidR="000E4095" w:rsidRPr="009E7F33">
        <w:rPr>
          <w:rFonts w:ascii="Garamond" w:hAnsi="Garamond"/>
          <w:sz w:val="32"/>
          <w:szCs w:val="32"/>
        </w:rPr>
        <w:t>del Código Civil</w:t>
      </w:r>
      <w:r w:rsidR="00D2328C" w:rsidRPr="009E7F33">
        <w:rPr>
          <w:rFonts w:ascii="Garamond" w:hAnsi="Garamond"/>
          <w:sz w:val="32"/>
          <w:szCs w:val="32"/>
        </w:rPr>
        <w:t xml:space="preserve">, </w:t>
      </w:r>
      <w:r w:rsidRPr="009E7F33">
        <w:rPr>
          <w:rFonts w:ascii="Garamond" w:hAnsi="Garamond"/>
          <w:sz w:val="32"/>
          <w:szCs w:val="32"/>
        </w:rPr>
        <w:t>a cuyo tenor “La compra de la cosa propia no vale; el comprador tendrá derecho a que se restituya lo que hubiere dado por ella”</w:t>
      </w:r>
    </w:p>
    <w:p w:rsidR="000E4095" w:rsidRPr="00B76E33" w:rsidRDefault="00C13313" w:rsidP="00B76E33">
      <w:pPr>
        <w:tabs>
          <w:tab w:val="left" w:pos="-720"/>
        </w:tabs>
        <w:suppressAutoHyphens/>
        <w:spacing w:after="0" w:line="240" w:lineRule="auto"/>
        <w:jc w:val="both"/>
        <w:rPr>
          <w:rFonts w:ascii="Garamond" w:hAnsi="Garamond"/>
          <w:snapToGrid w:val="0"/>
          <w:sz w:val="32"/>
          <w:szCs w:val="32"/>
          <w:lang w:val="es-ES_tradnl"/>
        </w:rPr>
      </w:pPr>
      <w:r w:rsidRPr="009E7F33">
        <w:rPr>
          <w:rFonts w:ascii="Garamond" w:hAnsi="Garamond" w:cs="Arial"/>
          <w:color w:val="000000"/>
          <w:sz w:val="32"/>
          <w:szCs w:val="32"/>
        </w:rPr>
        <w:lastRenderedPageBreak/>
        <w:tab/>
      </w:r>
      <w:r w:rsidR="000E4095" w:rsidRPr="009E7F33">
        <w:rPr>
          <w:rFonts w:ascii="Garamond" w:hAnsi="Garamond"/>
          <w:sz w:val="32"/>
          <w:szCs w:val="32"/>
        </w:rPr>
        <w:t xml:space="preserve">En </w:t>
      </w:r>
      <w:r w:rsidR="00995522" w:rsidRPr="009E7F33">
        <w:rPr>
          <w:rFonts w:ascii="Garamond" w:hAnsi="Garamond"/>
          <w:sz w:val="32"/>
          <w:szCs w:val="32"/>
        </w:rPr>
        <w:t>síntesis</w:t>
      </w:r>
      <w:r w:rsidR="000E4095" w:rsidRPr="009E7F33">
        <w:rPr>
          <w:rFonts w:ascii="Garamond" w:hAnsi="Garamond"/>
          <w:sz w:val="32"/>
          <w:szCs w:val="32"/>
        </w:rPr>
        <w:t xml:space="preserve">, ninguna de las demandas </w:t>
      </w:r>
      <w:r w:rsidR="00666EDC" w:rsidRPr="009E7F33">
        <w:rPr>
          <w:rFonts w:ascii="Garamond" w:hAnsi="Garamond"/>
          <w:sz w:val="32"/>
          <w:szCs w:val="32"/>
        </w:rPr>
        <w:t>allegadas a la actuación</w:t>
      </w:r>
      <w:r w:rsidR="000E4095" w:rsidRPr="009E7F33">
        <w:rPr>
          <w:rFonts w:ascii="Garamond" w:hAnsi="Garamond"/>
          <w:sz w:val="32"/>
          <w:szCs w:val="32"/>
        </w:rPr>
        <w:t xml:space="preserve"> estaba llamada a prosperar</w:t>
      </w:r>
      <w:r w:rsidR="00D2328C">
        <w:rPr>
          <w:rFonts w:ascii="Garamond" w:hAnsi="Garamond"/>
          <w:sz w:val="32"/>
          <w:szCs w:val="32"/>
        </w:rPr>
        <w:t>,</w:t>
      </w:r>
      <w:r w:rsidR="000E4095" w:rsidRPr="00B76E33">
        <w:rPr>
          <w:rFonts w:ascii="Garamond" w:hAnsi="Garamond"/>
          <w:sz w:val="32"/>
          <w:szCs w:val="32"/>
        </w:rPr>
        <w:t xml:space="preserve"> y en tal evento no queda otra alternativa que revocar los numerales primero a cuarto y sexto de la providencia recurrida</w:t>
      </w:r>
      <w:r w:rsidR="00C66E03" w:rsidRPr="00B76E33">
        <w:rPr>
          <w:rFonts w:ascii="Garamond" w:hAnsi="Garamond"/>
          <w:sz w:val="32"/>
          <w:szCs w:val="32"/>
        </w:rPr>
        <w:t xml:space="preserve">. </w:t>
      </w:r>
      <w:r w:rsidR="000130F1" w:rsidRPr="00B76E33">
        <w:rPr>
          <w:rFonts w:ascii="Garamond" w:hAnsi="Garamond"/>
          <w:sz w:val="32"/>
          <w:szCs w:val="32"/>
        </w:rPr>
        <w:t>Se confirmará e</w:t>
      </w:r>
      <w:r w:rsidR="000E4095" w:rsidRPr="00B76E33">
        <w:rPr>
          <w:rFonts w:ascii="Garamond" w:hAnsi="Garamond"/>
          <w:sz w:val="32"/>
          <w:szCs w:val="32"/>
        </w:rPr>
        <w:t xml:space="preserve">l numeral quinto </w:t>
      </w:r>
      <w:r w:rsidR="00C66E03" w:rsidRPr="00B76E33">
        <w:rPr>
          <w:rFonts w:ascii="Garamond" w:hAnsi="Garamond"/>
          <w:sz w:val="32"/>
          <w:szCs w:val="32"/>
        </w:rPr>
        <w:t>que negó las pretensiones de la demandada de reconvención</w:t>
      </w:r>
      <w:r w:rsidR="000E4095" w:rsidRPr="00B76E33">
        <w:rPr>
          <w:rFonts w:ascii="Garamond" w:hAnsi="Garamond"/>
          <w:sz w:val="32"/>
          <w:szCs w:val="32"/>
        </w:rPr>
        <w:t xml:space="preserve">. </w:t>
      </w:r>
      <w:r w:rsidR="000E4095" w:rsidRPr="00B76E33">
        <w:rPr>
          <w:rFonts w:ascii="Garamond" w:hAnsi="Garamond"/>
          <w:snapToGrid w:val="0"/>
          <w:sz w:val="32"/>
          <w:szCs w:val="32"/>
          <w:lang w:val="es-ES_tradnl"/>
        </w:rPr>
        <w:t xml:space="preserve">Sin condena en costas de ambas instancias ante el fracaso de las </w:t>
      </w:r>
      <w:r w:rsidR="000130F1" w:rsidRPr="00B76E33">
        <w:rPr>
          <w:rFonts w:ascii="Garamond" w:hAnsi="Garamond"/>
          <w:snapToGrid w:val="0"/>
          <w:sz w:val="32"/>
          <w:szCs w:val="32"/>
          <w:lang w:val="es-ES_tradnl"/>
        </w:rPr>
        <w:t>súplicas</w:t>
      </w:r>
      <w:r w:rsidR="000E4095" w:rsidRPr="00B76E33">
        <w:rPr>
          <w:rFonts w:ascii="Garamond" w:hAnsi="Garamond"/>
          <w:snapToGrid w:val="0"/>
          <w:sz w:val="32"/>
          <w:szCs w:val="32"/>
          <w:lang w:val="es-ES_tradnl"/>
        </w:rPr>
        <w:t xml:space="preserve"> aludidas (artículo 365 del CGP).</w:t>
      </w:r>
    </w:p>
    <w:p w:rsidR="0089165B" w:rsidRPr="00B76E33" w:rsidRDefault="0089165B" w:rsidP="00B76E33">
      <w:pPr>
        <w:tabs>
          <w:tab w:val="left" w:pos="-720"/>
        </w:tabs>
        <w:suppressAutoHyphens/>
        <w:spacing w:after="0" w:line="240" w:lineRule="auto"/>
        <w:jc w:val="both"/>
        <w:rPr>
          <w:rFonts w:ascii="Garamond" w:hAnsi="Garamond" w:cs="Arial"/>
          <w:color w:val="000000"/>
          <w:sz w:val="31"/>
          <w:szCs w:val="31"/>
        </w:rPr>
      </w:pPr>
    </w:p>
    <w:p w:rsidR="000E4095" w:rsidRPr="00B76E33" w:rsidRDefault="000E4095" w:rsidP="00B76E33">
      <w:pPr>
        <w:tabs>
          <w:tab w:val="left" w:pos="-720"/>
        </w:tabs>
        <w:suppressAutoHyphens/>
        <w:spacing w:after="0" w:line="240" w:lineRule="auto"/>
        <w:jc w:val="both"/>
        <w:rPr>
          <w:rFonts w:ascii="Garamond" w:hAnsi="Garamond"/>
          <w:sz w:val="32"/>
          <w:szCs w:val="32"/>
        </w:rPr>
      </w:pPr>
      <w:r w:rsidRPr="00B76E33">
        <w:rPr>
          <w:rFonts w:ascii="Garamond" w:hAnsi="Garamond"/>
          <w:sz w:val="32"/>
          <w:szCs w:val="32"/>
        </w:rPr>
        <w:tab/>
        <w:t xml:space="preserve">En mérito de lo expuesto, el Tribunal Superior de Bogotá en Sala Séptima Civil de Decisión, administrando justicia en nombre de la República </w:t>
      </w:r>
      <w:r w:rsidR="00D2328C">
        <w:rPr>
          <w:rFonts w:ascii="Garamond" w:hAnsi="Garamond"/>
          <w:sz w:val="32"/>
          <w:szCs w:val="32"/>
        </w:rPr>
        <w:t xml:space="preserve">de Colombia </w:t>
      </w:r>
      <w:r w:rsidRPr="00B76E33">
        <w:rPr>
          <w:rFonts w:ascii="Garamond" w:hAnsi="Garamond"/>
          <w:sz w:val="32"/>
          <w:szCs w:val="32"/>
        </w:rPr>
        <w:t>y por autoridad de la ley,</w:t>
      </w:r>
    </w:p>
    <w:p w:rsidR="00995522" w:rsidRPr="00B76E33" w:rsidRDefault="00995522" w:rsidP="00B76E33">
      <w:pPr>
        <w:spacing w:after="0" w:line="240" w:lineRule="auto"/>
        <w:jc w:val="center"/>
        <w:rPr>
          <w:rFonts w:ascii="Garamond" w:hAnsi="Garamond"/>
          <w:b/>
          <w:sz w:val="32"/>
          <w:szCs w:val="32"/>
        </w:rPr>
      </w:pPr>
    </w:p>
    <w:p w:rsidR="000E4095" w:rsidRPr="00B76E33" w:rsidRDefault="000E4095" w:rsidP="00B76E33">
      <w:pPr>
        <w:spacing w:after="0" w:line="240" w:lineRule="auto"/>
        <w:jc w:val="center"/>
        <w:rPr>
          <w:rFonts w:ascii="Garamond" w:hAnsi="Garamond"/>
          <w:b/>
          <w:sz w:val="32"/>
          <w:szCs w:val="32"/>
        </w:rPr>
      </w:pPr>
      <w:r w:rsidRPr="00B76E33">
        <w:rPr>
          <w:rFonts w:ascii="Garamond" w:hAnsi="Garamond"/>
          <w:b/>
          <w:sz w:val="32"/>
          <w:szCs w:val="32"/>
        </w:rPr>
        <w:t>RESUELVE</w:t>
      </w:r>
    </w:p>
    <w:p w:rsidR="000E4095" w:rsidRPr="00B76E33" w:rsidRDefault="000E4095" w:rsidP="00B76E33">
      <w:pPr>
        <w:pStyle w:val="Textoindependiente"/>
        <w:rPr>
          <w:rFonts w:ascii="Garamond" w:hAnsi="Garamond"/>
          <w:szCs w:val="32"/>
        </w:rPr>
      </w:pPr>
    </w:p>
    <w:p w:rsidR="000E4095" w:rsidRPr="00B76E33" w:rsidRDefault="000E4095" w:rsidP="00B76E33">
      <w:pPr>
        <w:tabs>
          <w:tab w:val="left" w:pos="-720"/>
        </w:tabs>
        <w:suppressAutoHyphens/>
        <w:spacing w:after="0" w:line="240" w:lineRule="auto"/>
        <w:jc w:val="both"/>
        <w:rPr>
          <w:rFonts w:ascii="Garamond" w:hAnsi="Garamond" w:cs="Arial"/>
          <w:bCs/>
          <w:sz w:val="32"/>
          <w:szCs w:val="32"/>
        </w:rPr>
      </w:pPr>
      <w:r w:rsidRPr="00B76E33">
        <w:rPr>
          <w:rFonts w:ascii="Garamond" w:hAnsi="Garamond"/>
          <w:b/>
          <w:sz w:val="32"/>
          <w:szCs w:val="32"/>
        </w:rPr>
        <w:t xml:space="preserve">Primero. </w:t>
      </w:r>
      <w:r w:rsidRPr="00B76E33">
        <w:rPr>
          <w:rFonts w:ascii="Garamond" w:hAnsi="Garamond"/>
          <w:sz w:val="32"/>
          <w:szCs w:val="32"/>
        </w:rPr>
        <w:t>Revocar los numerales primero a cuarto y sexto de la sentencia</w:t>
      </w:r>
      <w:r w:rsidRPr="00B76E33">
        <w:rPr>
          <w:rFonts w:ascii="Garamond" w:hAnsi="Garamond"/>
          <w:b/>
          <w:sz w:val="32"/>
          <w:szCs w:val="32"/>
        </w:rPr>
        <w:t xml:space="preserve"> </w:t>
      </w:r>
      <w:r w:rsidRPr="00B76E33">
        <w:rPr>
          <w:rFonts w:ascii="Garamond" w:hAnsi="Garamond"/>
          <w:sz w:val="32"/>
          <w:szCs w:val="32"/>
        </w:rPr>
        <w:t>de 15 de noviembre de 2019 proferida por el Juzgado 2° Civil del Circuito de Bogotá</w:t>
      </w:r>
      <w:r w:rsidRPr="00B76E33">
        <w:rPr>
          <w:rFonts w:ascii="Garamond" w:hAnsi="Garamond" w:cs="Arial"/>
          <w:bCs/>
          <w:sz w:val="32"/>
          <w:szCs w:val="32"/>
        </w:rPr>
        <w:t xml:space="preserve"> y, en su lugar, negar las pretensiones de la demanda principal, conforme a lo dicho.</w:t>
      </w:r>
      <w:r w:rsidR="00A14C65" w:rsidRPr="00B76E33">
        <w:rPr>
          <w:rFonts w:ascii="Garamond" w:hAnsi="Garamond" w:cs="Arial"/>
          <w:bCs/>
          <w:sz w:val="32"/>
          <w:szCs w:val="32"/>
        </w:rPr>
        <w:t xml:space="preserve"> </w:t>
      </w:r>
    </w:p>
    <w:p w:rsidR="000E4095" w:rsidRPr="00B76E33" w:rsidRDefault="000E4095" w:rsidP="00B76E33">
      <w:pPr>
        <w:overflowPunct w:val="0"/>
        <w:autoSpaceDE w:val="0"/>
        <w:autoSpaceDN w:val="0"/>
        <w:adjustRightInd w:val="0"/>
        <w:spacing w:after="0" w:line="240" w:lineRule="auto"/>
        <w:jc w:val="both"/>
        <w:textAlignment w:val="baseline"/>
        <w:rPr>
          <w:rFonts w:ascii="Garamond" w:hAnsi="Garamond" w:cs="Arial"/>
          <w:bCs/>
          <w:sz w:val="32"/>
          <w:szCs w:val="32"/>
        </w:rPr>
      </w:pPr>
    </w:p>
    <w:p w:rsidR="000E4095" w:rsidRPr="00B76E33" w:rsidRDefault="000E4095" w:rsidP="00B76E33">
      <w:pPr>
        <w:spacing w:after="0" w:line="240" w:lineRule="auto"/>
        <w:jc w:val="both"/>
        <w:rPr>
          <w:rFonts w:ascii="Garamond" w:hAnsi="Garamond"/>
          <w:color w:val="000000"/>
          <w:sz w:val="32"/>
          <w:szCs w:val="32"/>
        </w:rPr>
      </w:pPr>
      <w:r w:rsidRPr="00B76E33">
        <w:rPr>
          <w:rFonts w:ascii="Garamond" w:hAnsi="Garamond"/>
          <w:b/>
          <w:color w:val="000000"/>
          <w:sz w:val="32"/>
          <w:szCs w:val="32"/>
        </w:rPr>
        <w:t xml:space="preserve">Segundo. </w:t>
      </w:r>
      <w:r w:rsidRPr="00B76E33">
        <w:rPr>
          <w:rFonts w:ascii="Garamond" w:hAnsi="Garamond"/>
          <w:color w:val="000000"/>
          <w:sz w:val="32"/>
          <w:szCs w:val="32"/>
        </w:rPr>
        <w:t>En lo demás, se confirma.</w:t>
      </w:r>
    </w:p>
    <w:p w:rsidR="000E4095" w:rsidRPr="00B76E33" w:rsidRDefault="000E4095" w:rsidP="00B76E33">
      <w:pPr>
        <w:spacing w:after="0" w:line="240" w:lineRule="auto"/>
        <w:jc w:val="both"/>
        <w:rPr>
          <w:rFonts w:ascii="Garamond" w:hAnsi="Garamond"/>
          <w:b/>
          <w:color w:val="000000"/>
          <w:sz w:val="32"/>
          <w:szCs w:val="32"/>
        </w:rPr>
      </w:pPr>
    </w:p>
    <w:p w:rsidR="000E4095" w:rsidRPr="00B76E33" w:rsidRDefault="000E4095" w:rsidP="00B76E33">
      <w:pPr>
        <w:spacing w:after="0" w:line="240" w:lineRule="auto"/>
        <w:jc w:val="both"/>
        <w:rPr>
          <w:rFonts w:ascii="Garamond" w:hAnsi="Garamond"/>
          <w:color w:val="000000"/>
          <w:sz w:val="32"/>
          <w:szCs w:val="32"/>
        </w:rPr>
      </w:pPr>
      <w:r w:rsidRPr="00B76E33">
        <w:rPr>
          <w:rFonts w:ascii="Garamond" w:hAnsi="Garamond"/>
          <w:b/>
          <w:color w:val="000000"/>
          <w:sz w:val="32"/>
          <w:szCs w:val="32"/>
        </w:rPr>
        <w:t xml:space="preserve">Tercero. </w:t>
      </w:r>
      <w:r w:rsidRPr="00B76E33">
        <w:rPr>
          <w:rFonts w:ascii="Garamond" w:hAnsi="Garamond"/>
          <w:color w:val="000000"/>
          <w:sz w:val="32"/>
          <w:szCs w:val="32"/>
        </w:rPr>
        <w:t xml:space="preserve">Sin condena en costas en el proceso ante el fracaso de las demandas, como se dijo en la parte motiva (artículo 365 del CGP). </w:t>
      </w:r>
    </w:p>
    <w:p w:rsidR="000E4095" w:rsidRPr="00B76E33" w:rsidRDefault="000E4095" w:rsidP="00B76E33">
      <w:pPr>
        <w:spacing w:after="0" w:line="240" w:lineRule="auto"/>
        <w:jc w:val="both"/>
        <w:rPr>
          <w:rFonts w:ascii="Garamond" w:hAnsi="Garamond"/>
          <w:b/>
          <w:color w:val="000000"/>
          <w:sz w:val="32"/>
          <w:szCs w:val="32"/>
        </w:rPr>
      </w:pPr>
    </w:p>
    <w:p w:rsidR="000E4095" w:rsidRPr="00B76E33" w:rsidRDefault="000E4095" w:rsidP="00B76E33">
      <w:pPr>
        <w:spacing w:after="0" w:line="240" w:lineRule="auto"/>
        <w:jc w:val="center"/>
        <w:rPr>
          <w:rFonts w:ascii="Garamond" w:hAnsi="Garamond"/>
          <w:b/>
          <w:sz w:val="32"/>
          <w:szCs w:val="32"/>
        </w:rPr>
      </w:pPr>
      <w:r w:rsidRPr="00B76E33">
        <w:rPr>
          <w:rFonts w:ascii="Garamond" w:hAnsi="Garamond"/>
          <w:b/>
          <w:sz w:val="32"/>
          <w:szCs w:val="32"/>
        </w:rPr>
        <w:t>NOTIFÍQUESE y DEVUÉLVASE</w:t>
      </w:r>
    </w:p>
    <w:p w:rsidR="00D2328C" w:rsidRDefault="00D2328C" w:rsidP="00B76E33">
      <w:pPr>
        <w:spacing w:after="0" w:line="240" w:lineRule="auto"/>
        <w:rPr>
          <w:rFonts w:ascii="Garamond" w:hAnsi="Garamond"/>
          <w:b/>
          <w:sz w:val="32"/>
          <w:szCs w:val="32"/>
        </w:rPr>
      </w:pPr>
    </w:p>
    <w:p w:rsidR="000E4095" w:rsidRPr="00B76E33" w:rsidRDefault="000E4095" w:rsidP="00B76E33">
      <w:pPr>
        <w:spacing w:after="0" w:line="240" w:lineRule="auto"/>
        <w:rPr>
          <w:rFonts w:ascii="Garamond" w:hAnsi="Garamond"/>
          <w:b/>
          <w:sz w:val="32"/>
          <w:szCs w:val="32"/>
        </w:rPr>
      </w:pPr>
      <w:r w:rsidRPr="00B76E33">
        <w:rPr>
          <w:rFonts w:ascii="Garamond" w:hAnsi="Garamond"/>
          <w:b/>
          <w:sz w:val="32"/>
          <w:szCs w:val="32"/>
        </w:rPr>
        <w:t xml:space="preserve">Los magistrados, </w:t>
      </w:r>
    </w:p>
    <w:p w:rsidR="000E4095" w:rsidRDefault="000E4095" w:rsidP="00B76E33">
      <w:pPr>
        <w:spacing w:after="0" w:line="240" w:lineRule="auto"/>
        <w:rPr>
          <w:rFonts w:ascii="Garamond" w:hAnsi="Garamond"/>
          <w:b/>
          <w:sz w:val="32"/>
          <w:szCs w:val="32"/>
        </w:rPr>
      </w:pPr>
    </w:p>
    <w:p w:rsidR="00D2328C" w:rsidRPr="00D2328C" w:rsidRDefault="00D2328C" w:rsidP="00B76E33">
      <w:pPr>
        <w:spacing w:after="0" w:line="240" w:lineRule="auto"/>
        <w:rPr>
          <w:rFonts w:ascii="Garamond" w:hAnsi="Garamond"/>
          <w:b/>
          <w:sz w:val="40"/>
          <w:szCs w:val="32"/>
        </w:rPr>
      </w:pPr>
    </w:p>
    <w:p w:rsidR="000E4095" w:rsidRPr="00B76E33" w:rsidRDefault="000E4095" w:rsidP="00B76E33">
      <w:pPr>
        <w:pStyle w:val="Ttulo1"/>
        <w:rPr>
          <w:rFonts w:ascii="Garamond" w:hAnsi="Garamond"/>
          <w:szCs w:val="32"/>
        </w:rPr>
      </w:pPr>
      <w:r w:rsidRPr="00B76E33">
        <w:rPr>
          <w:rFonts w:ascii="Garamond" w:hAnsi="Garamond"/>
          <w:szCs w:val="32"/>
        </w:rPr>
        <w:t>MANUEL ALFONSO ZAMUDIO MORA</w:t>
      </w:r>
    </w:p>
    <w:p w:rsidR="000E4095" w:rsidRPr="0089165B" w:rsidRDefault="000E4095" w:rsidP="000E4095">
      <w:pPr>
        <w:jc w:val="center"/>
        <w:rPr>
          <w:rFonts w:ascii="Garamond" w:hAnsi="Garamond"/>
          <w:i/>
        </w:rPr>
      </w:pPr>
      <w:r w:rsidRPr="0089165B">
        <w:rPr>
          <w:rFonts w:ascii="Garamond" w:hAnsi="Garamond"/>
          <w:i/>
        </w:rPr>
        <w:t>(Rad. n.° 110013103002201700131 01)</w:t>
      </w:r>
    </w:p>
    <w:p w:rsidR="000E4095" w:rsidRPr="00D2328C" w:rsidRDefault="000E4095" w:rsidP="000E4095">
      <w:pPr>
        <w:pStyle w:val="Ttulo1"/>
        <w:rPr>
          <w:rFonts w:ascii="Garamond" w:hAnsi="Garamond"/>
          <w:i/>
          <w:sz w:val="44"/>
          <w:szCs w:val="32"/>
        </w:rPr>
      </w:pPr>
    </w:p>
    <w:p w:rsidR="000E4095" w:rsidRPr="0089165B" w:rsidRDefault="000E4095" w:rsidP="000E4095">
      <w:pPr>
        <w:pStyle w:val="Ttulo1"/>
        <w:rPr>
          <w:rFonts w:ascii="Garamond" w:hAnsi="Garamond"/>
          <w:i/>
          <w:szCs w:val="32"/>
        </w:rPr>
      </w:pPr>
    </w:p>
    <w:p w:rsidR="000E4095" w:rsidRPr="00D2328C" w:rsidRDefault="000E4095" w:rsidP="000E4095">
      <w:pPr>
        <w:pStyle w:val="Ttulo1"/>
        <w:rPr>
          <w:rFonts w:ascii="Garamond" w:hAnsi="Garamond"/>
          <w:szCs w:val="32"/>
        </w:rPr>
      </w:pPr>
      <w:r w:rsidRPr="00D2328C">
        <w:rPr>
          <w:rFonts w:ascii="Garamond" w:hAnsi="Garamond"/>
          <w:szCs w:val="32"/>
        </w:rPr>
        <w:t>GERMÁN VALENZUELA VALBUENA</w:t>
      </w:r>
    </w:p>
    <w:p w:rsidR="000E4095" w:rsidRPr="0089165B" w:rsidRDefault="000E4095" w:rsidP="000E4095">
      <w:pPr>
        <w:jc w:val="center"/>
        <w:rPr>
          <w:rFonts w:ascii="Garamond" w:hAnsi="Garamond"/>
          <w:i/>
        </w:rPr>
      </w:pPr>
      <w:r w:rsidRPr="0089165B">
        <w:rPr>
          <w:rFonts w:ascii="Garamond" w:hAnsi="Garamond"/>
          <w:i/>
        </w:rPr>
        <w:t>(Rad. n.° 110013103002201700131 01)</w:t>
      </w:r>
    </w:p>
    <w:p w:rsidR="000E4095" w:rsidRPr="0089165B" w:rsidRDefault="000E4095" w:rsidP="000E4095">
      <w:pPr>
        <w:pStyle w:val="Ttulo1"/>
        <w:rPr>
          <w:rFonts w:ascii="Garamond" w:hAnsi="Garamond"/>
          <w:i/>
          <w:szCs w:val="32"/>
        </w:rPr>
      </w:pPr>
    </w:p>
    <w:p w:rsidR="000E4095" w:rsidRPr="00D2328C" w:rsidRDefault="000E4095" w:rsidP="000E4095">
      <w:pPr>
        <w:pStyle w:val="Ttulo1"/>
        <w:rPr>
          <w:rFonts w:ascii="Garamond" w:hAnsi="Garamond"/>
          <w:i/>
          <w:sz w:val="40"/>
          <w:szCs w:val="32"/>
        </w:rPr>
      </w:pPr>
    </w:p>
    <w:p w:rsidR="000E4095" w:rsidRPr="00D2328C" w:rsidRDefault="000E4095" w:rsidP="000E4095">
      <w:pPr>
        <w:pStyle w:val="Ttulo1"/>
        <w:rPr>
          <w:rFonts w:ascii="Garamond" w:hAnsi="Garamond"/>
          <w:szCs w:val="32"/>
        </w:rPr>
      </w:pPr>
      <w:r w:rsidRPr="00D2328C">
        <w:rPr>
          <w:rFonts w:ascii="Garamond" w:hAnsi="Garamond"/>
          <w:szCs w:val="32"/>
        </w:rPr>
        <w:t>ÓSCAR FERNANDO YAYA PEÑA</w:t>
      </w:r>
    </w:p>
    <w:p w:rsidR="000E4095" w:rsidRPr="0089165B" w:rsidRDefault="000E4095" w:rsidP="000E4095">
      <w:pPr>
        <w:jc w:val="center"/>
        <w:rPr>
          <w:rFonts w:ascii="Garamond" w:hAnsi="Garamond"/>
          <w:i/>
        </w:rPr>
      </w:pPr>
      <w:r w:rsidRPr="0089165B">
        <w:rPr>
          <w:rFonts w:ascii="Garamond" w:hAnsi="Garamond"/>
          <w:i/>
        </w:rPr>
        <w:t>(Rad. n.° 110013103002201700131 01)</w:t>
      </w:r>
    </w:p>
    <w:sectPr w:rsidR="000E4095" w:rsidRPr="0089165B" w:rsidSect="00B76E33">
      <w:headerReference w:type="default" r:id="rId8"/>
      <w:footerReference w:type="even" r:id="rId9"/>
      <w:footerReference w:type="default" r:id="rId10"/>
      <w:pgSz w:w="12242" w:h="18722" w:code="14"/>
      <w:pgMar w:top="1701" w:right="1701" w:bottom="1701" w:left="1701" w:header="794" w:footer="964"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B9" w:rsidRDefault="003502B9" w:rsidP="000813F0">
      <w:pPr>
        <w:spacing w:after="0" w:line="240" w:lineRule="auto"/>
      </w:pPr>
      <w:r>
        <w:separator/>
      </w:r>
    </w:p>
  </w:endnote>
  <w:endnote w:type="continuationSeparator" w:id="0">
    <w:p w:rsidR="003502B9" w:rsidRDefault="003502B9" w:rsidP="0008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49" w:rsidRDefault="00AA6E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1949" w:rsidRDefault="003502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49" w:rsidRDefault="003502B9">
    <w:pPr>
      <w:pStyle w:val="Piedepgina"/>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B9" w:rsidRDefault="003502B9" w:rsidP="000813F0">
      <w:pPr>
        <w:spacing w:after="0" w:line="240" w:lineRule="auto"/>
      </w:pPr>
      <w:r>
        <w:separator/>
      </w:r>
    </w:p>
  </w:footnote>
  <w:footnote w:type="continuationSeparator" w:id="0">
    <w:p w:rsidR="003502B9" w:rsidRDefault="003502B9" w:rsidP="000813F0">
      <w:pPr>
        <w:spacing w:after="0" w:line="240" w:lineRule="auto"/>
      </w:pPr>
      <w:r>
        <w:continuationSeparator/>
      </w:r>
    </w:p>
  </w:footnote>
  <w:footnote w:id="1">
    <w:p w:rsidR="00A14C65" w:rsidRPr="00B76E33" w:rsidRDefault="00A14C65" w:rsidP="00B76E33">
      <w:pPr>
        <w:pStyle w:val="Textonotapie"/>
        <w:rPr>
          <w:rFonts w:ascii="Garamond" w:hAnsi="Garamond"/>
          <w:sz w:val="22"/>
          <w:szCs w:val="22"/>
        </w:rPr>
      </w:pPr>
      <w:r w:rsidRPr="00B76E33">
        <w:rPr>
          <w:rStyle w:val="Refdenotaalpie"/>
          <w:rFonts w:ascii="Garamond" w:hAnsi="Garamond"/>
          <w:sz w:val="22"/>
          <w:szCs w:val="22"/>
        </w:rPr>
        <w:footnoteRef/>
      </w:r>
      <w:r w:rsidRPr="00B76E33">
        <w:rPr>
          <w:rFonts w:ascii="Garamond" w:hAnsi="Garamond"/>
          <w:sz w:val="22"/>
          <w:szCs w:val="22"/>
        </w:rPr>
        <w:t xml:space="preserve"> Según se deduce del convenio obrante a folios 3 a 6 del cuaderno 1. </w:t>
      </w:r>
    </w:p>
  </w:footnote>
  <w:footnote w:id="2">
    <w:p w:rsidR="000813F0" w:rsidRPr="00B76E33" w:rsidRDefault="000813F0" w:rsidP="00B76E33">
      <w:pPr>
        <w:spacing w:after="0" w:line="240" w:lineRule="auto"/>
        <w:jc w:val="both"/>
        <w:rPr>
          <w:rFonts w:ascii="Garamond" w:hAnsi="Garamond"/>
        </w:rPr>
      </w:pPr>
      <w:r w:rsidRPr="00B76E33">
        <w:rPr>
          <w:rStyle w:val="Refdenotaalpie"/>
          <w:rFonts w:ascii="Garamond" w:hAnsi="Garamond"/>
        </w:rPr>
        <w:footnoteRef/>
      </w:r>
      <w:r w:rsidRPr="00B76E33">
        <w:rPr>
          <w:rFonts w:ascii="Garamond" w:hAnsi="Garamond"/>
        </w:rPr>
        <w:t xml:space="preserve"> Audiencia </w:t>
      </w:r>
      <w:r w:rsidR="00B745A5" w:rsidRPr="00B76E33">
        <w:rPr>
          <w:rFonts w:ascii="Garamond" w:hAnsi="Garamond"/>
        </w:rPr>
        <w:t>del</w:t>
      </w:r>
      <w:r w:rsidRPr="00B76E33">
        <w:rPr>
          <w:rFonts w:ascii="Garamond" w:hAnsi="Garamond" w:cs="Arial"/>
        </w:rPr>
        <w:t xml:space="preserve"> 15 de noviembre de 2019, a las</w:t>
      </w:r>
      <w:r w:rsidR="00B745A5" w:rsidRPr="00B76E33">
        <w:rPr>
          <w:rFonts w:ascii="Garamond" w:hAnsi="Garamond" w:cs="Arial"/>
        </w:rPr>
        <w:t xml:space="preserve"> 10:00 a.m.</w:t>
      </w:r>
    </w:p>
  </w:footnote>
  <w:footnote w:id="3">
    <w:p w:rsidR="000813F0" w:rsidRPr="00B76E33" w:rsidRDefault="000813F0" w:rsidP="00B76E33">
      <w:pPr>
        <w:spacing w:after="0" w:line="240" w:lineRule="auto"/>
        <w:jc w:val="both"/>
        <w:rPr>
          <w:rFonts w:ascii="Garamond" w:hAnsi="Garamond"/>
        </w:rPr>
      </w:pPr>
      <w:r w:rsidRPr="00B76E33">
        <w:rPr>
          <w:rStyle w:val="Refdenotaalpie"/>
          <w:rFonts w:ascii="Garamond" w:hAnsi="Garamond"/>
        </w:rPr>
        <w:footnoteRef/>
      </w:r>
      <w:r w:rsidRPr="00B76E33">
        <w:rPr>
          <w:rFonts w:ascii="Garamond" w:hAnsi="Garamond" w:cs="Arial"/>
        </w:rPr>
        <w:t xml:space="preserve"> </w:t>
      </w:r>
      <w:r w:rsidRPr="00B76E33">
        <w:rPr>
          <w:rFonts w:ascii="Garamond" w:hAnsi="Garamond"/>
        </w:rPr>
        <w:t>minuto 30:58.</w:t>
      </w:r>
    </w:p>
  </w:footnote>
  <w:footnote w:id="4">
    <w:p w:rsidR="000E4095" w:rsidRPr="00B76E33" w:rsidRDefault="000E4095" w:rsidP="00B76E33">
      <w:pPr>
        <w:spacing w:after="0" w:line="240" w:lineRule="auto"/>
        <w:jc w:val="both"/>
        <w:rPr>
          <w:rFonts w:ascii="Garamond" w:hAnsi="Garamond"/>
          <w:i/>
        </w:rPr>
      </w:pPr>
      <w:r w:rsidRPr="00B76E33">
        <w:rPr>
          <w:rStyle w:val="Refdenotaalpie"/>
          <w:rFonts w:ascii="Garamond" w:hAnsi="Garamond"/>
        </w:rPr>
        <w:footnoteRef/>
      </w:r>
      <w:r w:rsidRPr="00B76E33">
        <w:rPr>
          <w:rFonts w:ascii="Garamond" w:hAnsi="Garamond"/>
        </w:rPr>
        <w:t xml:space="preserve"> “</w:t>
      </w:r>
      <w:r w:rsidRPr="00B76E33">
        <w:rPr>
          <w:rFonts w:ascii="Garamond" w:hAnsi="Garamond"/>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B76E33">
        <w:rPr>
          <w:rFonts w:ascii="Garamond" w:hAnsi="Garamond"/>
        </w:rPr>
        <w:t>CSJ, sentencia del 1° de agosto de 2014, expediente SC10223-2014, M.P. Luis Armando Tolosa Villabona).</w:t>
      </w:r>
    </w:p>
  </w:footnote>
  <w:footnote w:id="5">
    <w:p w:rsidR="000E4095" w:rsidRPr="00B76E33" w:rsidRDefault="000E4095" w:rsidP="00B76E33">
      <w:pPr>
        <w:autoSpaceDE w:val="0"/>
        <w:autoSpaceDN w:val="0"/>
        <w:adjustRightInd w:val="0"/>
        <w:spacing w:after="0" w:line="240" w:lineRule="auto"/>
        <w:jc w:val="both"/>
        <w:rPr>
          <w:rFonts w:ascii="Garamond" w:hAnsi="Garamond"/>
        </w:rPr>
      </w:pPr>
      <w:r w:rsidRPr="00B76E33">
        <w:rPr>
          <w:rStyle w:val="Refdenotaalpie"/>
          <w:rFonts w:ascii="Garamond" w:hAnsi="Garamond"/>
        </w:rPr>
        <w:footnoteRef/>
      </w:r>
      <w:r w:rsidRPr="00B76E33">
        <w:rPr>
          <w:rFonts w:ascii="Garamond" w:hAnsi="Garamond"/>
        </w:rPr>
        <w:t xml:space="preserve"> Corte Suprema de Justicia. SALA DE CASACIÓN CIVIL. “</w:t>
      </w:r>
      <w:r w:rsidRPr="00B76E33">
        <w:rPr>
          <w:rFonts w:ascii="Garamond" w:hAnsi="Garamond"/>
          <w:bCs/>
        </w:rPr>
        <w:t>SIMULACIÓN”</w:t>
      </w:r>
      <w:r w:rsidRPr="00B76E33">
        <w:rPr>
          <w:rFonts w:ascii="Garamond" w:hAnsi="Garamond"/>
        </w:rPr>
        <w:t xml:space="preserve"> Sentencia de septiembre 14 de 1976. - Precedida de promesa de contrato. Magistrado Ponente: </w:t>
      </w:r>
      <w:r w:rsidRPr="00B76E33">
        <w:rPr>
          <w:rFonts w:ascii="Garamond" w:hAnsi="Garamond"/>
          <w:bCs/>
        </w:rPr>
        <w:t xml:space="preserve">Dr. Alberto Ospina Botero. </w:t>
      </w:r>
      <w:r w:rsidRPr="00B76E33">
        <w:rPr>
          <w:rFonts w:ascii="Garamond" w:hAnsi="Garamond"/>
        </w:rPr>
        <w:t>Bogotá, D.E., catorce de septiembre de mil novecientos setenta y seis”.</w:t>
      </w:r>
    </w:p>
  </w:footnote>
  <w:footnote w:id="6">
    <w:p w:rsidR="000E4095" w:rsidRPr="00B76E33" w:rsidRDefault="000E4095" w:rsidP="00B76E33">
      <w:pPr>
        <w:pStyle w:val="Textonotapie"/>
        <w:jc w:val="both"/>
        <w:rPr>
          <w:rFonts w:ascii="Garamond" w:hAnsi="Garamond"/>
          <w:sz w:val="22"/>
          <w:szCs w:val="22"/>
          <w:lang w:val="es-CO"/>
        </w:rPr>
      </w:pPr>
      <w:r w:rsidRPr="00B76E33">
        <w:rPr>
          <w:rStyle w:val="Refdenotaalpie"/>
          <w:rFonts w:ascii="Garamond" w:hAnsi="Garamond"/>
          <w:sz w:val="22"/>
          <w:szCs w:val="22"/>
        </w:rPr>
        <w:footnoteRef/>
      </w:r>
      <w:r w:rsidRPr="00B76E33">
        <w:rPr>
          <w:rFonts w:ascii="Garamond" w:hAnsi="Garamond"/>
          <w:sz w:val="22"/>
          <w:szCs w:val="22"/>
        </w:rPr>
        <w:t xml:space="preserve"> Corte Suprema de Justicia. SALA DE CASACIÓN CIVIL. Sentencia de 21 de febrero de 1984. Magistrado Ponente: </w:t>
      </w:r>
      <w:r w:rsidRPr="00B76E33">
        <w:rPr>
          <w:rFonts w:ascii="Garamond" w:hAnsi="Garamond"/>
          <w:bCs/>
          <w:sz w:val="22"/>
          <w:szCs w:val="22"/>
        </w:rPr>
        <w:t xml:space="preserve">Dr. Horacio Montoya Gil. </w:t>
      </w:r>
      <w:r w:rsidRPr="00B76E33">
        <w:rPr>
          <w:rFonts w:ascii="Garamond" w:hAnsi="Garamond"/>
          <w:sz w:val="22"/>
          <w:szCs w:val="22"/>
        </w:rPr>
        <w:t>Bogotá, D.E., GACETA JUDICIAL No. 2415. Pág. 17 y siguientes.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49" w:rsidRPr="003270DF" w:rsidRDefault="00AA6E63" w:rsidP="002C6FDC">
    <w:pPr>
      <w:tabs>
        <w:tab w:val="center" w:pos="4419"/>
        <w:tab w:val="right" w:pos="8838"/>
      </w:tabs>
      <w:jc w:val="right"/>
      <w:rPr>
        <w:rFonts w:ascii="Garamond" w:hAnsi="Garamond"/>
        <w:sz w:val="23"/>
        <w:szCs w:val="23"/>
      </w:rPr>
    </w:pPr>
    <w:r w:rsidRPr="003270DF">
      <w:rPr>
        <w:rFonts w:ascii="Garamond" w:hAnsi="Garamond"/>
        <w:sz w:val="23"/>
        <w:szCs w:val="23"/>
      </w:rPr>
      <w:fldChar w:fldCharType="begin"/>
    </w:r>
    <w:r w:rsidRPr="003270DF">
      <w:rPr>
        <w:rFonts w:ascii="Garamond" w:hAnsi="Garamond"/>
        <w:sz w:val="23"/>
        <w:szCs w:val="23"/>
      </w:rPr>
      <w:instrText>PAGE   \* MERGEFORMAT</w:instrText>
    </w:r>
    <w:r w:rsidRPr="003270DF">
      <w:rPr>
        <w:rFonts w:ascii="Garamond" w:hAnsi="Garamond"/>
        <w:sz w:val="23"/>
        <w:szCs w:val="23"/>
      </w:rPr>
      <w:fldChar w:fldCharType="separate"/>
    </w:r>
    <w:r w:rsidR="000230DB">
      <w:rPr>
        <w:rFonts w:ascii="Garamond" w:hAnsi="Garamond"/>
        <w:noProof/>
        <w:sz w:val="23"/>
        <w:szCs w:val="23"/>
      </w:rPr>
      <w:t>18</w:t>
    </w:r>
    <w:r w:rsidRPr="003270DF">
      <w:rPr>
        <w:rFonts w:ascii="Garamond" w:hAnsi="Garamond"/>
        <w:sz w:val="23"/>
        <w:szCs w:val="23"/>
      </w:rPr>
      <w:fldChar w:fldCharType="end"/>
    </w:r>
  </w:p>
  <w:p w:rsidR="000813F0" w:rsidRPr="000813F0" w:rsidRDefault="000813F0" w:rsidP="000813F0">
    <w:pPr>
      <w:spacing w:after="0" w:line="240" w:lineRule="auto"/>
      <w:rPr>
        <w:rFonts w:ascii="Garamond" w:hAnsi="Garamond"/>
        <w:i/>
      </w:rPr>
    </w:pPr>
    <w:r w:rsidRPr="000813F0">
      <w:rPr>
        <w:rFonts w:ascii="Garamond" w:hAnsi="Garamond"/>
        <w:i/>
      </w:rPr>
      <w:t>Sentencia en el proceso No. 110013103002201700131 01</w:t>
    </w:r>
  </w:p>
  <w:p w:rsidR="000813F0" w:rsidRPr="000813F0" w:rsidRDefault="000813F0" w:rsidP="000813F0">
    <w:pPr>
      <w:pStyle w:val="Encabezado"/>
      <w:rPr>
        <w:rFonts w:ascii="Garamond" w:hAnsi="Garamond"/>
        <w:i/>
        <w:sz w:val="22"/>
        <w:szCs w:val="22"/>
      </w:rPr>
    </w:pPr>
    <w:r w:rsidRPr="000813F0">
      <w:rPr>
        <w:rFonts w:ascii="Garamond" w:hAnsi="Garamond"/>
        <w:i/>
        <w:sz w:val="22"/>
        <w:szCs w:val="22"/>
      </w:rPr>
      <w:t xml:space="preserve">Clase: Verbal </w:t>
    </w:r>
  </w:p>
  <w:p w:rsidR="00DC1949" w:rsidRPr="003270DF" w:rsidRDefault="00AA6E63" w:rsidP="003270DF">
    <w:pPr>
      <w:tabs>
        <w:tab w:val="center" w:pos="4419"/>
        <w:tab w:val="right" w:pos="8838"/>
      </w:tabs>
      <w:spacing w:after="0"/>
      <w:rPr>
        <w:rFonts w:ascii="Garamond" w:hAnsi="Garamond"/>
        <w:i/>
        <w:sz w:val="23"/>
        <w:szCs w:val="23"/>
      </w:rPr>
    </w:pPr>
    <w:r w:rsidRPr="003270DF">
      <w:rPr>
        <w:rFonts w:ascii="Garamond" w:hAnsi="Garamond"/>
        <w:i/>
        <w:sz w:val="23"/>
        <w:szCs w:val="23"/>
      </w:rPr>
      <w:t>------------------------------</w:t>
    </w:r>
  </w:p>
  <w:p w:rsidR="00DC1949" w:rsidRDefault="003502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F0"/>
    <w:rsid w:val="000130F1"/>
    <w:rsid w:val="000230DB"/>
    <w:rsid w:val="000813F0"/>
    <w:rsid w:val="000E4095"/>
    <w:rsid w:val="001725B5"/>
    <w:rsid w:val="002D48FB"/>
    <w:rsid w:val="003502B9"/>
    <w:rsid w:val="0037101C"/>
    <w:rsid w:val="003915B7"/>
    <w:rsid w:val="004E4CBF"/>
    <w:rsid w:val="004F5D6B"/>
    <w:rsid w:val="00561926"/>
    <w:rsid w:val="00573AD2"/>
    <w:rsid w:val="00666EDC"/>
    <w:rsid w:val="007A048C"/>
    <w:rsid w:val="007C2A3C"/>
    <w:rsid w:val="0089165B"/>
    <w:rsid w:val="008A0020"/>
    <w:rsid w:val="009039D8"/>
    <w:rsid w:val="009326D0"/>
    <w:rsid w:val="00995522"/>
    <w:rsid w:val="009E7F33"/>
    <w:rsid w:val="00A14C65"/>
    <w:rsid w:val="00AA6C2E"/>
    <w:rsid w:val="00AA6E63"/>
    <w:rsid w:val="00B06702"/>
    <w:rsid w:val="00B63A83"/>
    <w:rsid w:val="00B745A5"/>
    <w:rsid w:val="00B76E33"/>
    <w:rsid w:val="00C13313"/>
    <w:rsid w:val="00C22658"/>
    <w:rsid w:val="00C66E03"/>
    <w:rsid w:val="00D2328C"/>
    <w:rsid w:val="00DD7616"/>
    <w:rsid w:val="00E35343"/>
    <w:rsid w:val="00E94B12"/>
    <w:rsid w:val="00FC60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763C"/>
  <w15:docId w15:val="{9455F1D1-975A-49C5-AF9C-55D4613B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F0"/>
  </w:style>
  <w:style w:type="paragraph" w:styleId="Ttulo1">
    <w:name w:val="heading 1"/>
    <w:basedOn w:val="Normal"/>
    <w:next w:val="Normal"/>
    <w:link w:val="Ttulo1Car"/>
    <w:qFormat/>
    <w:rsid w:val="000813F0"/>
    <w:pPr>
      <w:keepNext/>
      <w:spacing w:after="0" w:line="240" w:lineRule="auto"/>
      <w:jc w:val="center"/>
      <w:outlineLvl w:val="0"/>
    </w:pPr>
    <w:rPr>
      <w:rFonts w:ascii="Times New Roman" w:eastAsia="Times New Roman" w:hAnsi="Times New Roman" w:cs="Times New Roman"/>
      <w:b/>
      <w:bCs/>
      <w:sz w:val="3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13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3F0"/>
  </w:style>
  <w:style w:type="character" w:styleId="Nmerodepgina">
    <w:name w:val="page number"/>
    <w:basedOn w:val="Fuentedeprrafopredeter"/>
    <w:rsid w:val="000813F0"/>
  </w:style>
  <w:style w:type="paragraph" w:styleId="Encabezado">
    <w:name w:val="header"/>
    <w:basedOn w:val="Normal"/>
    <w:link w:val="EncabezadoCar"/>
    <w:unhideWhenUsed/>
    <w:rsid w:val="000813F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0813F0"/>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t,Car,FN,fn"/>
    <w:basedOn w:val="Normal"/>
    <w:link w:val="TextonotapieCar"/>
    <w:unhideWhenUsed/>
    <w:qFormat/>
    <w:rsid w:val="000813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0813F0"/>
    <w:rPr>
      <w:rFonts w:ascii="Times New Roman" w:eastAsia="Times New Roman" w:hAnsi="Times New Roman" w:cs="Times New Roman"/>
      <w:sz w:val="20"/>
      <w:szCs w:val="20"/>
      <w:lang w:val="es-ES"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qFormat/>
    <w:rsid w:val="000813F0"/>
    <w:rPr>
      <w:vertAlign w:val="superscript"/>
    </w:rPr>
  </w:style>
  <w:style w:type="paragraph" w:styleId="Textodeglobo">
    <w:name w:val="Balloon Text"/>
    <w:basedOn w:val="Normal"/>
    <w:link w:val="TextodegloboCar"/>
    <w:uiPriority w:val="99"/>
    <w:semiHidden/>
    <w:unhideWhenUsed/>
    <w:rsid w:val="000813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3F0"/>
    <w:rPr>
      <w:rFonts w:ascii="Tahoma" w:hAnsi="Tahoma" w:cs="Tahoma"/>
      <w:sz w:val="16"/>
      <w:szCs w:val="16"/>
    </w:rPr>
  </w:style>
  <w:style w:type="character" w:customStyle="1" w:styleId="Ttulo1Car">
    <w:name w:val="Título 1 Car"/>
    <w:basedOn w:val="Fuentedeprrafopredeter"/>
    <w:link w:val="Ttulo1"/>
    <w:rsid w:val="000813F0"/>
    <w:rPr>
      <w:rFonts w:ascii="Times New Roman" w:eastAsia="Times New Roman" w:hAnsi="Times New Roman" w:cs="Times New Roman"/>
      <w:b/>
      <w:bCs/>
      <w:sz w:val="32"/>
      <w:szCs w:val="24"/>
      <w:lang w:val="es-ES" w:eastAsia="es-ES"/>
    </w:rPr>
  </w:style>
  <w:style w:type="paragraph" w:styleId="Textoindependiente">
    <w:name w:val="Body Text"/>
    <w:basedOn w:val="Normal"/>
    <w:link w:val="TextoindependienteCar"/>
    <w:rsid w:val="000813F0"/>
    <w:pPr>
      <w:spacing w:after="0" w:line="240" w:lineRule="auto"/>
      <w:jc w:val="both"/>
    </w:pPr>
    <w:rPr>
      <w:rFonts w:ascii="Times New Roman" w:eastAsia="Times New Roman" w:hAnsi="Times New Roman" w:cs="Times New Roman"/>
      <w:sz w:val="32"/>
      <w:szCs w:val="24"/>
      <w:lang w:val="es-ES" w:eastAsia="es-ES"/>
    </w:rPr>
  </w:style>
  <w:style w:type="character" w:customStyle="1" w:styleId="TextoindependienteCar">
    <w:name w:val="Texto independiente Car"/>
    <w:basedOn w:val="Fuentedeprrafopredeter"/>
    <w:link w:val="Textoindependiente"/>
    <w:rsid w:val="000813F0"/>
    <w:rPr>
      <w:rFonts w:ascii="Times New Roman" w:eastAsia="Times New Roman" w:hAnsi="Times New Roman" w:cs="Times New Roman"/>
      <w:sz w:val="32"/>
      <w:szCs w:val="24"/>
      <w:lang w:val="es-ES" w:eastAsia="es-ES"/>
    </w:rPr>
  </w:style>
  <w:style w:type="paragraph" w:styleId="Textoindependiente2">
    <w:name w:val="Body Text 2"/>
    <w:basedOn w:val="Normal"/>
    <w:link w:val="Textoindependiente2Car"/>
    <w:rsid w:val="000813F0"/>
    <w:pPr>
      <w:spacing w:after="0" w:line="240" w:lineRule="auto"/>
      <w:jc w:val="both"/>
    </w:pPr>
    <w:rPr>
      <w:rFonts w:ascii="Times New Roman" w:eastAsia="Times New Roman" w:hAnsi="Times New Roman" w:cs="Times New Roman"/>
      <w:i/>
      <w:iCs/>
      <w:sz w:val="32"/>
      <w:szCs w:val="24"/>
      <w:lang w:val="es-ES" w:eastAsia="es-ES"/>
    </w:rPr>
  </w:style>
  <w:style w:type="character" w:customStyle="1" w:styleId="Textoindependiente2Car">
    <w:name w:val="Texto independiente 2 Car"/>
    <w:basedOn w:val="Fuentedeprrafopredeter"/>
    <w:link w:val="Textoindependiente2"/>
    <w:rsid w:val="000813F0"/>
    <w:rPr>
      <w:rFonts w:ascii="Times New Roman" w:eastAsia="Times New Roman" w:hAnsi="Times New Roman" w:cs="Times New Roman"/>
      <w:i/>
      <w:iCs/>
      <w:sz w:val="32"/>
      <w:szCs w:val="24"/>
      <w:lang w:val="es-ES" w:eastAsia="es-ES"/>
    </w:rPr>
  </w:style>
  <w:style w:type="paragraph" w:customStyle="1" w:styleId="unico">
    <w:name w:val="unico"/>
    <w:basedOn w:val="Normal"/>
    <w:rsid w:val="000813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inguno">
    <w:name w:val="Ninguno"/>
    <w:rsid w:val="000813F0"/>
    <w:rPr>
      <w:lang w:val="es-ES_tradnl"/>
    </w:rPr>
  </w:style>
  <w:style w:type="table" w:styleId="Tablaconcuadrcula">
    <w:name w:val="Table Grid"/>
    <w:basedOn w:val="Tablanormal"/>
    <w:rsid w:val="000E409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8EEA-2009-4DDD-A8C3-F6C074AF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2643</Words>
  <Characters>15069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Cabra Gonzalez</dc:creator>
  <cp:lastModifiedBy>usuario</cp:lastModifiedBy>
  <cp:revision>3</cp:revision>
  <cp:lastPrinted>2020-02-18T21:30:00Z</cp:lastPrinted>
  <dcterms:created xsi:type="dcterms:W3CDTF">2020-02-18T21:33:00Z</dcterms:created>
  <dcterms:modified xsi:type="dcterms:W3CDTF">2020-07-28T21:39:00Z</dcterms:modified>
</cp:coreProperties>
</file>