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C50" w:rsidRPr="003D1C50" w:rsidRDefault="003D1C50" w:rsidP="003D1C50">
      <w:pPr>
        <w:jc w:val="both"/>
        <w:rPr>
          <w:rFonts w:ascii="Segoe Print" w:hAnsi="Segoe Print"/>
          <w:sz w:val="24"/>
          <w:szCs w:val="24"/>
        </w:rPr>
      </w:pPr>
      <w:bookmarkStart w:id="0" w:name="_Hlk146873839"/>
      <w:r w:rsidRPr="003D1C50">
        <w:rPr>
          <w:rFonts w:ascii="Segoe Print" w:hAnsi="Segoe Print"/>
          <w:sz w:val="24"/>
          <w:szCs w:val="24"/>
        </w:rPr>
        <w:t xml:space="preserve">Villavicencio, </w:t>
      </w:r>
      <w:r w:rsidR="00696FAE">
        <w:rPr>
          <w:rFonts w:ascii="Segoe Print" w:hAnsi="Segoe Print"/>
          <w:sz w:val="24"/>
          <w:szCs w:val="24"/>
        </w:rPr>
        <w:t xml:space="preserve">19 </w:t>
      </w:r>
      <w:r w:rsidRPr="003D1C50">
        <w:rPr>
          <w:rFonts w:ascii="Segoe Print" w:hAnsi="Segoe Print"/>
          <w:sz w:val="24"/>
          <w:szCs w:val="24"/>
        </w:rPr>
        <w:t xml:space="preserve">de </w:t>
      </w:r>
      <w:r>
        <w:rPr>
          <w:rFonts w:ascii="Segoe Print" w:hAnsi="Segoe Print"/>
          <w:sz w:val="24"/>
          <w:szCs w:val="24"/>
        </w:rPr>
        <w:t xml:space="preserve">enero </w:t>
      </w:r>
      <w:r w:rsidRPr="003D1C50">
        <w:rPr>
          <w:rFonts w:ascii="Segoe Print" w:hAnsi="Segoe Print"/>
          <w:sz w:val="24"/>
          <w:szCs w:val="24"/>
        </w:rPr>
        <w:t>de 202</w:t>
      </w:r>
      <w:r>
        <w:rPr>
          <w:rFonts w:ascii="Segoe Print" w:hAnsi="Segoe Print"/>
          <w:sz w:val="24"/>
          <w:szCs w:val="24"/>
        </w:rPr>
        <w:t>4</w:t>
      </w:r>
    </w:p>
    <w:p w:rsidR="003D1C50" w:rsidRDefault="003D1C50" w:rsidP="003D1C50">
      <w:pPr>
        <w:spacing w:after="0"/>
        <w:jc w:val="both"/>
        <w:rPr>
          <w:rFonts w:ascii="Segoe Print" w:hAnsi="Segoe Print"/>
          <w:b/>
          <w:sz w:val="24"/>
          <w:szCs w:val="24"/>
        </w:rPr>
      </w:pPr>
    </w:p>
    <w:p w:rsidR="003D1C50" w:rsidRPr="003D1C50" w:rsidRDefault="003D1C50" w:rsidP="003D1C50">
      <w:pPr>
        <w:spacing w:after="0"/>
        <w:jc w:val="both"/>
        <w:rPr>
          <w:rFonts w:ascii="Segoe Print" w:hAnsi="Segoe Print"/>
          <w:b/>
          <w:sz w:val="24"/>
          <w:szCs w:val="24"/>
        </w:rPr>
      </w:pPr>
      <w:r w:rsidRPr="003D1C50">
        <w:rPr>
          <w:rFonts w:ascii="Segoe Print" w:hAnsi="Segoe Print"/>
          <w:b/>
          <w:sz w:val="24"/>
          <w:szCs w:val="24"/>
        </w:rPr>
        <w:t xml:space="preserve">AUTO No. </w:t>
      </w:r>
      <w:r>
        <w:rPr>
          <w:rFonts w:ascii="Segoe Print" w:hAnsi="Segoe Print"/>
          <w:b/>
          <w:sz w:val="24"/>
          <w:szCs w:val="24"/>
        </w:rPr>
        <w:t>05</w:t>
      </w:r>
      <w:r w:rsidR="00020D68">
        <w:rPr>
          <w:rFonts w:ascii="Segoe Print" w:hAnsi="Segoe Print"/>
          <w:b/>
          <w:sz w:val="24"/>
          <w:szCs w:val="24"/>
        </w:rPr>
        <w:t>6</w:t>
      </w:r>
      <w:r w:rsidRPr="003D1C50">
        <w:rPr>
          <w:rFonts w:ascii="Segoe Print" w:hAnsi="Segoe Print"/>
          <w:b/>
          <w:sz w:val="24"/>
          <w:szCs w:val="24"/>
        </w:rPr>
        <w:t xml:space="preserve"> </w:t>
      </w:r>
      <w:r>
        <w:rPr>
          <w:rFonts w:ascii="Segoe Print" w:hAnsi="Segoe Print"/>
          <w:b/>
          <w:sz w:val="24"/>
          <w:szCs w:val="24"/>
        </w:rPr>
        <w:t xml:space="preserve">Rechazo por Competencia </w:t>
      </w:r>
    </w:p>
    <w:p w:rsidR="003D1C50" w:rsidRPr="003D1C50" w:rsidRDefault="003D1C50" w:rsidP="003D1C50">
      <w:pPr>
        <w:spacing w:after="0"/>
        <w:jc w:val="both"/>
        <w:rPr>
          <w:rFonts w:ascii="Segoe Print" w:hAnsi="Segoe Print"/>
          <w:b/>
          <w:sz w:val="24"/>
          <w:szCs w:val="24"/>
        </w:rPr>
      </w:pPr>
      <w:r w:rsidRPr="003D1C50">
        <w:rPr>
          <w:rFonts w:ascii="Segoe Print" w:hAnsi="Segoe Print"/>
          <w:b/>
          <w:sz w:val="24"/>
          <w:szCs w:val="24"/>
        </w:rPr>
        <w:t>Radicado: 500014003009202300</w:t>
      </w:r>
      <w:r>
        <w:rPr>
          <w:rFonts w:ascii="Segoe Print" w:hAnsi="Segoe Print"/>
          <w:b/>
          <w:sz w:val="24"/>
          <w:szCs w:val="24"/>
        </w:rPr>
        <w:t>59</w:t>
      </w:r>
      <w:r w:rsidR="00020D68">
        <w:rPr>
          <w:rFonts w:ascii="Segoe Print" w:hAnsi="Segoe Print"/>
          <w:b/>
          <w:sz w:val="24"/>
          <w:szCs w:val="24"/>
        </w:rPr>
        <w:t>4</w:t>
      </w:r>
      <w:r w:rsidRPr="003D1C50">
        <w:rPr>
          <w:rFonts w:ascii="Segoe Print" w:hAnsi="Segoe Print"/>
          <w:b/>
          <w:sz w:val="24"/>
          <w:szCs w:val="24"/>
        </w:rPr>
        <w:t>00</w:t>
      </w:r>
    </w:p>
    <w:p w:rsidR="003D1C50" w:rsidRPr="003D1C50" w:rsidRDefault="00E23583" w:rsidP="003D1C50">
      <w:pPr>
        <w:spacing w:after="0"/>
        <w:jc w:val="both"/>
        <w:rPr>
          <w:rFonts w:ascii="Segoe Print" w:hAnsi="Segoe Print"/>
          <w:b/>
          <w:bCs/>
          <w:sz w:val="24"/>
          <w:szCs w:val="24"/>
        </w:rPr>
      </w:pPr>
      <w:r w:rsidRPr="00E23583">
        <w:rPr>
          <w:rFonts w:ascii="Segoe Print" w:hAnsi="Segoe Print"/>
          <w:b/>
          <w:bCs/>
          <w:sz w:val="24"/>
          <w:szCs w:val="24"/>
        </w:rPr>
        <w:t>SOLICITUD ORDEN APREHENSIÓN GARANTÍA MOBILIARIA</w:t>
      </w:r>
    </w:p>
    <w:p w:rsidR="003D1C50" w:rsidRPr="003D1C50" w:rsidRDefault="003D1C50" w:rsidP="003D1C50">
      <w:pPr>
        <w:spacing w:after="0"/>
        <w:jc w:val="both"/>
        <w:rPr>
          <w:rFonts w:ascii="Segoe Print" w:hAnsi="Segoe Print"/>
          <w:b/>
          <w:bCs/>
          <w:sz w:val="24"/>
          <w:szCs w:val="24"/>
        </w:rPr>
      </w:pPr>
    </w:p>
    <w:p w:rsidR="003D1C50" w:rsidRPr="003D1C50" w:rsidRDefault="003D1C50" w:rsidP="003D1C50">
      <w:pPr>
        <w:jc w:val="both"/>
        <w:rPr>
          <w:rFonts w:ascii="Segoe Print" w:hAnsi="Segoe Print"/>
          <w:sz w:val="24"/>
          <w:szCs w:val="24"/>
        </w:rPr>
      </w:pPr>
      <w:r w:rsidRPr="003D1C50">
        <w:rPr>
          <w:rFonts w:ascii="Segoe Print" w:hAnsi="Segoe Print"/>
          <w:sz w:val="24"/>
          <w:szCs w:val="24"/>
        </w:rPr>
        <w:t xml:space="preserve">De conformidad con lo ordenado en el Acuerdo No. CSJMEA23-190 del 23 de agosto de 2023, emanado del Consejo Seccional de la Judicatura “Por medio del cual se establece la redistribución de procesos conforme el Acuerdo PCSJA22-12028 del 19 de diciembre de 2022”, previa remisión y revisión electrónica de este expediente por parte del </w:t>
      </w:r>
      <w:r w:rsidRPr="003D1C50">
        <w:rPr>
          <w:rFonts w:ascii="Segoe Print" w:hAnsi="Segoe Print"/>
          <w:b/>
          <w:sz w:val="24"/>
          <w:szCs w:val="24"/>
        </w:rPr>
        <w:t xml:space="preserve">Juzgado Noveno Civil Municipal de Villavicencio </w:t>
      </w:r>
      <w:r w:rsidRPr="003D1C50">
        <w:rPr>
          <w:rFonts w:ascii="Segoe Print" w:hAnsi="Segoe Print"/>
          <w:sz w:val="24"/>
          <w:szCs w:val="24"/>
        </w:rPr>
        <w:t xml:space="preserve">del </w:t>
      </w:r>
      <w:r w:rsidRPr="003D1C50">
        <w:rPr>
          <w:rFonts w:ascii="Segoe Print" w:hAnsi="Segoe Print"/>
          <w:b/>
          <w:sz w:val="24"/>
          <w:szCs w:val="24"/>
        </w:rPr>
        <w:t>28 de septiembre de 2023</w:t>
      </w:r>
      <w:r w:rsidRPr="003D1C50">
        <w:rPr>
          <w:rFonts w:ascii="Segoe Print" w:hAnsi="Segoe Print"/>
          <w:sz w:val="24"/>
          <w:szCs w:val="24"/>
        </w:rPr>
        <w:t>, en consecuencia:</w:t>
      </w:r>
    </w:p>
    <w:p w:rsidR="003D1C50" w:rsidRPr="003D1C50" w:rsidRDefault="003D1C50" w:rsidP="003D1C50">
      <w:pPr>
        <w:jc w:val="both"/>
        <w:rPr>
          <w:rFonts w:ascii="Segoe Print" w:hAnsi="Segoe Print"/>
          <w:sz w:val="24"/>
          <w:szCs w:val="24"/>
        </w:rPr>
      </w:pPr>
      <w:r w:rsidRPr="003D1C50">
        <w:rPr>
          <w:rFonts w:ascii="Segoe Print" w:hAnsi="Segoe Print"/>
          <w:bCs/>
          <w:sz w:val="24"/>
          <w:szCs w:val="24"/>
        </w:rPr>
        <w:t>Se Avoca</w:t>
      </w:r>
      <w:r w:rsidRPr="003D1C50">
        <w:rPr>
          <w:rFonts w:ascii="Segoe Print" w:hAnsi="Segoe Print"/>
          <w:sz w:val="24"/>
          <w:szCs w:val="24"/>
        </w:rPr>
        <w:t xml:space="preserve"> conocimiento de la demanda instaurada y se continua con el trámite pertinente. </w:t>
      </w:r>
    </w:p>
    <w:p w:rsidR="00E23583" w:rsidRPr="003D1C50" w:rsidRDefault="003D1C50" w:rsidP="003D1C50">
      <w:pPr>
        <w:jc w:val="both"/>
        <w:rPr>
          <w:rFonts w:ascii="Segoe Print" w:hAnsi="Segoe Print"/>
          <w:sz w:val="24"/>
          <w:szCs w:val="24"/>
          <w:lang w:val="es-ES"/>
        </w:rPr>
      </w:pPr>
      <w:r w:rsidRPr="003D1C50">
        <w:rPr>
          <w:rFonts w:ascii="Segoe Print" w:hAnsi="Segoe Print"/>
          <w:sz w:val="24"/>
          <w:szCs w:val="24"/>
          <w:lang w:val="es-ES"/>
        </w:rPr>
        <w:t>Se allega al despac</w:t>
      </w:r>
      <w:r>
        <w:rPr>
          <w:rFonts w:ascii="Segoe Print" w:hAnsi="Segoe Print"/>
          <w:sz w:val="24"/>
          <w:szCs w:val="24"/>
          <w:lang w:val="es-ES"/>
        </w:rPr>
        <w:t xml:space="preserve">ho SOLICITUD </w:t>
      </w:r>
      <w:r w:rsidRPr="003D1C50">
        <w:rPr>
          <w:rFonts w:ascii="Segoe Print" w:hAnsi="Segoe Print"/>
          <w:sz w:val="24"/>
          <w:szCs w:val="24"/>
        </w:rPr>
        <w:t xml:space="preserve">ORDEN </w:t>
      </w:r>
      <w:r>
        <w:rPr>
          <w:rFonts w:ascii="Segoe Print" w:hAnsi="Segoe Print"/>
          <w:sz w:val="24"/>
          <w:szCs w:val="24"/>
        </w:rPr>
        <w:t xml:space="preserve">DE </w:t>
      </w:r>
      <w:r w:rsidRPr="003D1C50">
        <w:rPr>
          <w:rFonts w:ascii="Segoe Print" w:hAnsi="Segoe Print"/>
          <w:sz w:val="24"/>
          <w:szCs w:val="24"/>
        </w:rPr>
        <w:t>APREHENSIÓN GARANTÍA MOBILIARIA</w:t>
      </w:r>
      <w:r w:rsidRPr="003D1C50">
        <w:rPr>
          <w:rFonts w:ascii="Segoe Print" w:hAnsi="Segoe Print"/>
          <w:b/>
          <w:bCs/>
          <w:sz w:val="24"/>
          <w:szCs w:val="24"/>
        </w:rPr>
        <w:t xml:space="preserve"> </w:t>
      </w:r>
      <w:r w:rsidRPr="003D1C50">
        <w:rPr>
          <w:rFonts w:ascii="Segoe Print" w:hAnsi="Segoe Print"/>
          <w:bCs/>
          <w:sz w:val="24"/>
          <w:szCs w:val="24"/>
          <w:lang w:val="es-ES"/>
        </w:rPr>
        <w:t xml:space="preserve">adelantada por </w:t>
      </w:r>
      <w:r w:rsidRPr="003D1C50">
        <w:rPr>
          <w:rFonts w:ascii="Segoe Print" w:hAnsi="Segoe Print"/>
          <w:bCs/>
          <w:sz w:val="24"/>
          <w:szCs w:val="24"/>
        </w:rPr>
        <w:t>MOVIAVAL S.A.S.</w:t>
      </w:r>
      <w:r w:rsidRPr="003D1C50">
        <w:rPr>
          <w:rFonts w:ascii="Segoe Print" w:hAnsi="Segoe Print"/>
          <w:b/>
          <w:bCs/>
          <w:sz w:val="24"/>
          <w:szCs w:val="24"/>
          <w:lang w:val="es-ES"/>
        </w:rPr>
        <w:t xml:space="preserve"> </w:t>
      </w:r>
      <w:r w:rsidRPr="003D1C50">
        <w:rPr>
          <w:rFonts w:ascii="Segoe Print" w:hAnsi="Segoe Print"/>
          <w:sz w:val="24"/>
          <w:szCs w:val="24"/>
          <w:lang w:val="es-ES"/>
        </w:rPr>
        <w:t xml:space="preserve">contra </w:t>
      </w:r>
      <w:r w:rsidRPr="003D1C50">
        <w:rPr>
          <w:rFonts w:ascii="Segoe Print" w:hAnsi="Segoe Print"/>
          <w:sz w:val="24"/>
          <w:szCs w:val="24"/>
        </w:rPr>
        <w:t>KEVIN MANUEL ROMERO GUEVARA de</w:t>
      </w:r>
      <w:r w:rsidRPr="003D1C50">
        <w:rPr>
          <w:rFonts w:ascii="Segoe Print" w:hAnsi="Segoe Print"/>
          <w:sz w:val="24"/>
          <w:szCs w:val="24"/>
          <w:lang w:val="es-ES"/>
        </w:rPr>
        <w:t xml:space="preserve"> </w:t>
      </w:r>
      <w:r w:rsidR="00E23583" w:rsidRPr="00E23583">
        <w:rPr>
          <w:rFonts w:ascii="Segoe Print" w:hAnsi="Segoe Print"/>
          <w:sz w:val="24"/>
          <w:szCs w:val="24"/>
        </w:rPr>
        <w:t>conformidad con lo previsto en este particular la ley 1676 del 20 de agosto de 2013</w:t>
      </w:r>
      <w:r w:rsidR="00E23583" w:rsidRPr="00E23583">
        <w:t xml:space="preserve"> </w:t>
      </w:r>
      <w:r w:rsidR="00E23583" w:rsidRPr="00E23583">
        <w:rPr>
          <w:rFonts w:ascii="Segoe Print" w:hAnsi="Segoe Print"/>
          <w:sz w:val="24"/>
          <w:szCs w:val="24"/>
        </w:rPr>
        <w:t>Decreto complementario 1835 de 2015 art. 2.2.2.4.2.3.</w:t>
      </w:r>
    </w:p>
    <w:p w:rsidR="003D1C50" w:rsidRPr="003D1C50" w:rsidRDefault="003D1C50" w:rsidP="003D1C50">
      <w:pPr>
        <w:jc w:val="both"/>
        <w:rPr>
          <w:rFonts w:ascii="Segoe Print" w:hAnsi="Segoe Print"/>
          <w:sz w:val="24"/>
          <w:szCs w:val="24"/>
        </w:rPr>
      </w:pPr>
      <w:r w:rsidRPr="003D1C50">
        <w:rPr>
          <w:rFonts w:ascii="Segoe Print" w:hAnsi="Segoe Print"/>
          <w:sz w:val="24"/>
          <w:szCs w:val="24"/>
        </w:rPr>
        <w:t>El artículo 28 del C.G.P. determina frente a la COMPETENCIA TERRITORIAL lo siguiente: “1. En los procesos contenciosos, salvo disposición legal en contrario, es competente el juez del domicilio del demandado. Si son varios los demandados o el demandado tiene varios domicilios, el de cualquiera de ellos a elección del demandante. Cuando el demandado carezca de domicilio en el país, será competente el juez de su residencia. Cuando tampoco tenga residencia en el país o esta se desconozca, será competente el juez del domicilio o de la residencia del demandante.” (subrayado del despacho)</w:t>
      </w:r>
    </w:p>
    <w:p w:rsidR="003D1C50" w:rsidRPr="003D1C50" w:rsidRDefault="003D1C50" w:rsidP="003D1C50">
      <w:pPr>
        <w:jc w:val="both"/>
        <w:rPr>
          <w:rFonts w:ascii="Segoe Print" w:hAnsi="Segoe Print"/>
          <w:sz w:val="24"/>
          <w:szCs w:val="24"/>
        </w:rPr>
      </w:pPr>
      <w:r w:rsidRPr="003D1C50">
        <w:rPr>
          <w:rFonts w:ascii="Segoe Print" w:hAnsi="Segoe Print"/>
          <w:sz w:val="24"/>
          <w:szCs w:val="24"/>
        </w:rPr>
        <w:lastRenderedPageBreak/>
        <w:t>De acuerdo con lo anterior, la parte ejecutante señala como lugar de notificaciones judiciales de la parta ejecutada la</w:t>
      </w:r>
      <w:r w:rsidR="00E23583" w:rsidRPr="00E23583">
        <w:t xml:space="preserve"> </w:t>
      </w:r>
      <w:r w:rsidR="00E23583" w:rsidRPr="00E23583">
        <w:rPr>
          <w:rFonts w:ascii="Segoe Print" w:hAnsi="Segoe Print"/>
          <w:sz w:val="24"/>
          <w:szCs w:val="24"/>
        </w:rPr>
        <w:t>DIAGONAL 5 BIS 43 05 Vizcaya Villavicencio</w:t>
      </w:r>
      <w:r w:rsidR="00E23583">
        <w:rPr>
          <w:rFonts w:ascii="Segoe Print" w:hAnsi="Segoe Print"/>
          <w:sz w:val="24"/>
          <w:szCs w:val="24"/>
        </w:rPr>
        <w:t>-</w:t>
      </w:r>
      <w:r w:rsidR="00E23583" w:rsidRPr="00E23583">
        <w:rPr>
          <w:rFonts w:ascii="Segoe Print" w:hAnsi="Segoe Print"/>
          <w:sz w:val="24"/>
          <w:szCs w:val="24"/>
        </w:rPr>
        <w:t xml:space="preserve">Meta, </w:t>
      </w:r>
      <w:r w:rsidRPr="003D1C50">
        <w:rPr>
          <w:rFonts w:ascii="Segoe Print" w:hAnsi="Segoe Print"/>
          <w:sz w:val="24"/>
          <w:szCs w:val="24"/>
        </w:rPr>
        <w:t xml:space="preserve">es pertinente indicar que, la competencia territorial de este Juzgado, le fue asignada exclusivamente para la </w:t>
      </w:r>
      <w:r w:rsidRPr="003D1C50">
        <w:rPr>
          <w:rFonts w:ascii="Segoe Print" w:hAnsi="Segoe Print"/>
          <w:b/>
          <w:sz w:val="24"/>
          <w:szCs w:val="24"/>
        </w:rPr>
        <w:t>comuna</w:t>
      </w:r>
      <w:r w:rsidRPr="003D1C50">
        <w:rPr>
          <w:rFonts w:ascii="Segoe Print" w:hAnsi="Segoe Print"/>
          <w:sz w:val="24"/>
          <w:szCs w:val="24"/>
        </w:rPr>
        <w:t xml:space="preserve"> </w:t>
      </w:r>
      <w:r w:rsidRPr="003D1C50">
        <w:rPr>
          <w:rFonts w:ascii="Segoe Print" w:hAnsi="Segoe Print"/>
          <w:b/>
          <w:sz w:val="24"/>
          <w:szCs w:val="24"/>
        </w:rPr>
        <w:t>uno, dos, tres, cuatro, seis y siete</w:t>
      </w:r>
      <w:r w:rsidRPr="003D1C50">
        <w:rPr>
          <w:rFonts w:ascii="Segoe Print" w:hAnsi="Segoe Print"/>
          <w:sz w:val="24"/>
          <w:szCs w:val="24"/>
        </w:rPr>
        <w:t xml:space="preserve"> de la ciudad de Villavicencio - Meta, por parte del Consejo Seccional de la Judicatura del Departamento del Meta, mediante Acuerdo CSJMEA17-827 del 13 de febrero del 2017.</w:t>
      </w:r>
    </w:p>
    <w:p w:rsidR="003D1C50" w:rsidRPr="003D1C50" w:rsidRDefault="003D1C50" w:rsidP="003D1C50">
      <w:pPr>
        <w:jc w:val="both"/>
        <w:rPr>
          <w:rFonts w:ascii="Segoe Print" w:hAnsi="Segoe Print"/>
          <w:sz w:val="24"/>
          <w:szCs w:val="24"/>
        </w:rPr>
      </w:pPr>
      <w:r w:rsidRPr="003D1C50">
        <w:rPr>
          <w:rFonts w:ascii="Segoe Print" w:hAnsi="Segoe Print"/>
          <w:sz w:val="24"/>
          <w:szCs w:val="24"/>
        </w:rPr>
        <w:t xml:space="preserve">Así las cosas, la dirección relacionada, no corresponde a ninguna de las comunas relacionadas anteriormente de esta ciudad, haciendo parte de la comuna No 5, siendo entonces, procedente aludir que no se </w:t>
      </w:r>
      <w:r w:rsidR="00E23583" w:rsidRPr="003D1C50">
        <w:rPr>
          <w:rFonts w:ascii="Segoe Print" w:hAnsi="Segoe Print"/>
          <w:sz w:val="24"/>
          <w:szCs w:val="24"/>
        </w:rPr>
        <w:t>asum</w:t>
      </w:r>
      <w:r w:rsidR="00E23583">
        <w:rPr>
          <w:rFonts w:ascii="Segoe Print" w:hAnsi="Segoe Print"/>
          <w:sz w:val="24"/>
          <w:szCs w:val="24"/>
        </w:rPr>
        <w:t>irá</w:t>
      </w:r>
      <w:r w:rsidRPr="003D1C50">
        <w:rPr>
          <w:rFonts w:ascii="Segoe Print" w:hAnsi="Segoe Print"/>
          <w:sz w:val="24"/>
          <w:szCs w:val="24"/>
        </w:rPr>
        <w:t xml:space="preserve"> el conocimiento del proceso de la referencia por no ser</w:t>
      </w:r>
      <w:r w:rsidR="00E23583">
        <w:rPr>
          <w:rFonts w:ascii="Segoe Print" w:hAnsi="Segoe Print"/>
          <w:sz w:val="24"/>
          <w:szCs w:val="24"/>
        </w:rPr>
        <w:t xml:space="preserve"> de nuestra </w:t>
      </w:r>
      <w:r w:rsidR="00E23583" w:rsidRPr="003D1C50">
        <w:rPr>
          <w:rFonts w:ascii="Segoe Print" w:hAnsi="Segoe Print"/>
          <w:sz w:val="24"/>
          <w:szCs w:val="24"/>
        </w:rPr>
        <w:t>competencia</w:t>
      </w:r>
      <w:r w:rsidRPr="003D1C50">
        <w:rPr>
          <w:rFonts w:ascii="Segoe Print" w:hAnsi="Segoe Print"/>
          <w:sz w:val="24"/>
          <w:szCs w:val="24"/>
        </w:rPr>
        <w:t xml:space="preserve">. </w:t>
      </w:r>
    </w:p>
    <w:p w:rsidR="003D1C50" w:rsidRPr="003D1C50" w:rsidRDefault="003D1C50" w:rsidP="003D1C50">
      <w:pPr>
        <w:jc w:val="both"/>
        <w:rPr>
          <w:rFonts w:ascii="Segoe Print" w:hAnsi="Segoe Print"/>
          <w:sz w:val="24"/>
          <w:szCs w:val="24"/>
        </w:rPr>
      </w:pPr>
      <w:r w:rsidRPr="003D1C50">
        <w:rPr>
          <w:rFonts w:ascii="Segoe Print" w:hAnsi="Segoe Print"/>
          <w:sz w:val="24"/>
          <w:szCs w:val="24"/>
        </w:rPr>
        <w:t>En ese orden de ideas y, con el fin de evitar nulidades, en acatamiento de las normas indicadas, y en aplicación del artículo 90 en concordancia con el artículo 139 del Código General del Proceso, DEVENDRÁ rechazar de plano la presente demanda y remitirla al JUZGADO SEGUNDO DE PEQUEÑAS CAUSAS Y COMPETENCIA MÚLTIPLE DE VILLACIENCIO-META.</w:t>
      </w:r>
    </w:p>
    <w:p w:rsidR="003D1C50" w:rsidRPr="003D1C50" w:rsidRDefault="003D1C50" w:rsidP="003D1C50">
      <w:pPr>
        <w:jc w:val="both"/>
        <w:rPr>
          <w:rFonts w:ascii="Segoe Print" w:hAnsi="Segoe Print"/>
          <w:sz w:val="24"/>
          <w:szCs w:val="24"/>
        </w:rPr>
      </w:pPr>
      <w:r w:rsidRPr="003D1C50">
        <w:rPr>
          <w:rFonts w:ascii="Segoe Print" w:hAnsi="Segoe Print"/>
          <w:sz w:val="24"/>
          <w:szCs w:val="24"/>
        </w:rPr>
        <w:t xml:space="preserve">En mérito de lo expuesto, el Juzgado Décimo Primero Civil Municipal de Villavicencio, Meta, </w:t>
      </w:r>
    </w:p>
    <w:p w:rsidR="003D1C50" w:rsidRPr="003D1C50" w:rsidRDefault="003D1C50" w:rsidP="003D1C50">
      <w:pPr>
        <w:jc w:val="center"/>
        <w:rPr>
          <w:rFonts w:ascii="Segoe Print" w:hAnsi="Segoe Print"/>
          <w:sz w:val="24"/>
          <w:szCs w:val="24"/>
        </w:rPr>
      </w:pPr>
      <w:r w:rsidRPr="003D1C50">
        <w:rPr>
          <w:rFonts w:ascii="Segoe Print" w:hAnsi="Segoe Print"/>
          <w:sz w:val="24"/>
          <w:szCs w:val="24"/>
        </w:rPr>
        <w:t>RESUELVE:</w:t>
      </w:r>
    </w:p>
    <w:p w:rsidR="003D1C50" w:rsidRPr="003D1C50" w:rsidRDefault="003D1C50" w:rsidP="003D1C50">
      <w:pPr>
        <w:jc w:val="both"/>
        <w:rPr>
          <w:rFonts w:ascii="Segoe Print" w:hAnsi="Segoe Print"/>
          <w:sz w:val="24"/>
          <w:szCs w:val="24"/>
        </w:rPr>
      </w:pPr>
      <w:r w:rsidRPr="003D1C50">
        <w:rPr>
          <w:rFonts w:ascii="Segoe Print" w:hAnsi="Segoe Print"/>
          <w:sz w:val="24"/>
          <w:szCs w:val="24"/>
        </w:rPr>
        <w:t xml:space="preserve">PRIMERO: RECHAZAR DE PLANO </w:t>
      </w:r>
      <w:r w:rsidR="00E23583">
        <w:rPr>
          <w:rFonts w:ascii="Segoe Print" w:hAnsi="Segoe Print"/>
          <w:sz w:val="24"/>
          <w:szCs w:val="24"/>
        </w:rPr>
        <w:t xml:space="preserve">la </w:t>
      </w:r>
      <w:r w:rsidR="00E23583" w:rsidRPr="00E23583">
        <w:rPr>
          <w:rFonts w:ascii="Segoe Print" w:hAnsi="Segoe Print"/>
          <w:sz w:val="24"/>
          <w:szCs w:val="24"/>
          <w:lang w:val="es-ES"/>
        </w:rPr>
        <w:t xml:space="preserve">SOLICITUD </w:t>
      </w:r>
      <w:r w:rsidR="00E23583" w:rsidRPr="00E23583">
        <w:rPr>
          <w:rFonts w:ascii="Segoe Print" w:hAnsi="Segoe Print"/>
          <w:sz w:val="24"/>
          <w:szCs w:val="24"/>
        </w:rPr>
        <w:t>ORDEN DE APREHENSIÓN GARANTÍA MOBILIARIA</w:t>
      </w:r>
      <w:r w:rsidR="00E23583" w:rsidRPr="00E23583">
        <w:rPr>
          <w:rFonts w:ascii="Segoe Print" w:hAnsi="Segoe Print"/>
          <w:b/>
          <w:bCs/>
          <w:sz w:val="24"/>
          <w:szCs w:val="24"/>
        </w:rPr>
        <w:t xml:space="preserve"> </w:t>
      </w:r>
      <w:r w:rsidR="00E23583" w:rsidRPr="00E23583">
        <w:rPr>
          <w:rFonts w:ascii="Segoe Print" w:hAnsi="Segoe Print"/>
          <w:bCs/>
          <w:sz w:val="24"/>
          <w:szCs w:val="24"/>
          <w:lang w:val="es-ES"/>
        </w:rPr>
        <w:t xml:space="preserve">adelantada por </w:t>
      </w:r>
      <w:r w:rsidR="00E23583" w:rsidRPr="00E23583">
        <w:rPr>
          <w:rFonts w:ascii="Segoe Print" w:hAnsi="Segoe Print"/>
          <w:bCs/>
          <w:sz w:val="24"/>
          <w:szCs w:val="24"/>
        </w:rPr>
        <w:t>MOVIAVAL S.A.S.</w:t>
      </w:r>
      <w:r w:rsidR="00E23583" w:rsidRPr="00E23583">
        <w:rPr>
          <w:rFonts w:ascii="Segoe Print" w:hAnsi="Segoe Print"/>
          <w:b/>
          <w:bCs/>
          <w:sz w:val="24"/>
          <w:szCs w:val="24"/>
          <w:lang w:val="es-ES"/>
        </w:rPr>
        <w:t xml:space="preserve"> </w:t>
      </w:r>
      <w:r w:rsidR="00E23583" w:rsidRPr="00E23583">
        <w:rPr>
          <w:rFonts w:ascii="Segoe Print" w:hAnsi="Segoe Print"/>
          <w:sz w:val="24"/>
          <w:szCs w:val="24"/>
          <w:lang w:val="es-ES"/>
        </w:rPr>
        <w:t xml:space="preserve">contra </w:t>
      </w:r>
      <w:r w:rsidR="00E23583" w:rsidRPr="00E23583">
        <w:rPr>
          <w:rFonts w:ascii="Segoe Print" w:hAnsi="Segoe Print"/>
          <w:sz w:val="24"/>
          <w:szCs w:val="24"/>
        </w:rPr>
        <w:t>KEVIN MANUEL ROMERO GUEVARA</w:t>
      </w:r>
      <w:r w:rsidRPr="003D1C50">
        <w:rPr>
          <w:rFonts w:ascii="Segoe Print" w:hAnsi="Segoe Print"/>
          <w:sz w:val="24"/>
          <w:szCs w:val="24"/>
        </w:rPr>
        <w:t xml:space="preserve"> por falta de competencia – factor territorial. </w:t>
      </w:r>
    </w:p>
    <w:p w:rsidR="003D1C50" w:rsidRPr="003D1C50" w:rsidRDefault="003D1C50" w:rsidP="003D1C50">
      <w:pPr>
        <w:jc w:val="both"/>
        <w:rPr>
          <w:rFonts w:ascii="Segoe Print" w:hAnsi="Segoe Print"/>
          <w:sz w:val="24"/>
          <w:szCs w:val="24"/>
        </w:rPr>
      </w:pPr>
      <w:r w:rsidRPr="003D1C50">
        <w:rPr>
          <w:rFonts w:ascii="Segoe Print" w:hAnsi="Segoe Print"/>
          <w:sz w:val="24"/>
          <w:szCs w:val="24"/>
        </w:rPr>
        <w:t xml:space="preserve">SEGUNDO: ORDENAR la remisión del expediente al Juzgado Segundo De Pequeñas Causas Y Competencia Múltiple de la ciudad de Villavicencio, a </w:t>
      </w:r>
      <w:r w:rsidRPr="003D1C50">
        <w:rPr>
          <w:rFonts w:ascii="Segoe Print" w:hAnsi="Segoe Print"/>
          <w:sz w:val="24"/>
          <w:szCs w:val="24"/>
        </w:rPr>
        <w:lastRenderedPageBreak/>
        <w:t xml:space="preserve">través de oficina judicial, por lo expuesto anteriormente, para lo de su cargo. </w:t>
      </w:r>
    </w:p>
    <w:p w:rsidR="003D1C50" w:rsidRPr="003D1C50" w:rsidRDefault="003D1C50" w:rsidP="003D1C50">
      <w:pPr>
        <w:jc w:val="both"/>
        <w:rPr>
          <w:rFonts w:ascii="Segoe Print" w:hAnsi="Segoe Print"/>
          <w:sz w:val="24"/>
          <w:szCs w:val="24"/>
        </w:rPr>
      </w:pPr>
      <w:r w:rsidRPr="003D1C50">
        <w:rPr>
          <w:rFonts w:ascii="Segoe Print" w:hAnsi="Segoe Print"/>
          <w:sz w:val="24"/>
          <w:szCs w:val="24"/>
        </w:rPr>
        <w:t xml:space="preserve">TERCERO: En el evento que el(a) señor(a) Juez que le corresponda conocer no comparta la decisión aquí tomada, desde ya se propone colisión de competencia NEGATIVA. </w:t>
      </w:r>
    </w:p>
    <w:p w:rsidR="003D1C50" w:rsidRPr="003D1C50" w:rsidRDefault="003D1C50" w:rsidP="003D1C50">
      <w:pPr>
        <w:jc w:val="both"/>
        <w:rPr>
          <w:rFonts w:ascii="Segoe Print" w:hAnsi="Segoe Print"/>
          <w:sz w:val="24"/>
          <w:szCs w:val="24"/>
        </w:rPr>
      </w:pPr>
    </w:p>
    <w:p w:rsidR="003D1C50" w:rsidRPr="003D1C50" w:rsidRDefault="003D1C50" w:rsidP="003D1C50">
      <w:pPr>
        <w:spacing w:after="0"/>
        <w:jc w:val="center"/>
        <w:rPr>
          <w:rFonts w:ascii="Segoe Print" w:hAnsi="Segoe Print"/>
          <w:bCs/>
          <w:sz w:val="24"/>
          <w:szCs w:val="24"/>
          <w:lang w:val="es-ES"/>
        </w:rPr>
      </w:pPr>
      <w:bookmarkStart w:id="1" w:name="_Hlk142917429"/>
      <w:r w:rsidRPr="003D1C50">
        <w:rPr>
          <w:rFonts w:ascii="Segoe Print" w:hAnsi="Segoe Print"/>
          <w:bCs/>
          <w:sz w:val="24"/>
          <w:szCs w:val="24"/>
          <w:lang w:val="es-ES"/>
        </w:rPr>
        <w:t>NOTIFÍQUESE Y CÚMPLASE</w:t>
      </w:r>
    </w:p>
    <w:p w:rsidR="003D1C50" w:rsidRPr="003D1C50" w:rsidRDefault="003D1C50" w:rsidP="003D1C50">
      <w:pPr>
        <w:spacing w:after="0"/>
        <w:jc w:val="center"/>
        <w:rPr>
          <w:rFonts w:ascii="Segoe Print" w:hAnsi="Segoe Print"/>
          <w:bCs/>
          <w:sz w:val="24"/>
          <w:szCs w:val="24"/>
          <w:lang w:val="es-ES"/>
        </w:rPr>
      </w:pPr>
    </w:p>
    <w:bookmarkEnd w:id="1"/>
    <w:p w:rsidR="003D1C50" w:rsidRPr="003D1C50" w:rsidRDefault="003D1C50" w:rsidP="003D1C50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3D1C50">
        <w:rPr>
          <w:rFonts w:ascii="Segoe Print" w:hAnsi="Segoe Print"/>
          <w:sz w:val="24"/>
          <w:szCs w:val="24"/>
          <w:lang w:val="es-ES"/>
        </w:rPr>
        <w:t>(Firmado Electrónicamente)</w:t>
      </w:r>
    </w:p>
    <w:p w:rsidR="003D1C50" w:rsidRPr="003D1C50" w:rsidRDefault="003D1C50" w:rsidP="003D1C50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3D1C50">
        <w:rPr>
          <w:rFonts w:ascii="Segoe Print" w:hAnsi="Segoe Print"/>
          <w:sz w:val="24"/>
          <w:szCs w:val="24"/>
          <w:lang w:val="es-ES"/>
        </w:rPr>
        <w:t>LORENA PATRICIA ARANDA ORTIZ</w:t>
      </w:r>
    </w:p>
    <w:p w:rsidR="003D1C50" w:rsidRPr="003D1C50" w:rsidRDefault="003D1C50" w:rsidP="003D1C50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3D1C50">
        <w:rPr>
          <w:rFonts w:ascii="Segoe Print" w:hAnsi="Segoe Print"/>
          <w:sz w:val="24"/>
          <w:szCs w:val="24"/>
          <w:lang w:val="es-ES"/>
        </w:rPr>
        <w:t>JUEZ</w:t>
      </w:r>
    </w:p>
    <w:p w:rsidR="003D1C50" w:rsidRPr="003D1C50" w:rsidRDefault="003D1C50" w:rsidP="003D1C50">
      <w:pPr>
        <w:jc w:val="both"/>
        <w:rPr>
          <w:rFonts w:ascii="Segoe Print" w:hAnsi="Segoe Print"/>
          <w:b/>
          <w:sz w:val="24"/>
          <w:szCs w:val="24"/>
        </w:rPr>
      </w:pPr>
      <w:r w:rsidRPr="003D1C50">
        <w:rPr>
          <w:rFonts w:ascii="Segoe Print" w:hAnsi="Segoe Prin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59674A" wp14:editId="30DC82B0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1645920" cy="1609725"/>
                <wp:effectExtent l="19050" t="19050" r="11430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C50" w:rsidRDefault="003D1C50" w:rsidP="003D1C50">
                            <w:pPr>
                              <w:pStyle w:val="Sinespaciado"/>
                              <w:jc w:val="center"/>
                              <w:rPr>
                                <w:rFonts w:ascii="Calibri Light" w:eastAsia="Tahoma" w:hAnsi="Calibri Light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34B03315" wp14:editId="66A476CE">
                                  <wp:extent cx="142875" cy="152400"/>
                                  <wp:effectExtent l="0" t="0" r="9525" b="0"/>
                                  <wp:docPr id="5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1C50" w:rsidRDefault="003D1C50" w:rsidP="003D1C50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JUZGADO DÉCIMO PRIMERO CIVIL MUNICIPAL </w:t>
                            </w:r>
                          </w:p>
                          <w:p w:rsidR="003D1C50" w:rsidRDefault="003D1C50" w:rsidP="003D1C50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DE VILLAVICENCIO</w:t>
                            </w:r>
                          </w:p>
                          <w:p w:rsidR="003D1C50" w:rsidRDefault="003D1C50" w:rsidP="003D1C50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  <w:t xml:space="preserve">La anterior providencia se notifica por anotación en el Estado de fecha: </w:t>
                            </w:r>
                          </w:p>
                          <w:p w:rsidR="003D1C50" w:rsidRPr="00A641B3" w:rsidRDefault="00696FAE" w:rsidP="003D1C50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22</w:t>
                            </w:r>
                            <w:r w:rsidR="003D1C5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E2358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01</w:t>
                            </w:r>
                            <w:r w:rsidR="003D1C50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/202</w:t>
                            </w:r>
                            <w:r w:rsidR="00E2358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3D1C50" w:rsidRDefault="003D1C50" w:rsidP="003D1C50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3D1C50" w:rsidRDefault="003D1C50" w:rsidP="003D1C50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D1C50" w:rsidRDefault="003D1C50" w:rsidP="003D1C50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>Secretaria-</w:t>
                            </w:r>
                            <w:proofErr w:type="gramStart"/>
                            <w:r w:rsidR="00E23583"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>P.L</w:t>
                            </w:r>
                            <w:proofErr w:type="gramEnd"/>
                          </w:p>
                          <w:p w:rsidR="003D1C50" w:rsidRDefault="003D1C50" w:rsidP="003D1C50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D1C50" w:rsidRDefault="003D1C50" w:rsidP="003D1C5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D1C50" w:rsidRDefault="003D1C50" w:rsidP="003D1C5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D1C50" w:rsidRDefault="003D1C50" w:rsidP="003D1C5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D1C50" w:rsidRDefault="003D1C50" w:rsidP="003D1C5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674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18.45pt;width:129.6pt;height:126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" strokeweight="3pt">
                <v:stroke linestyle="thinThick"/>
                <v:textbox>
                  <w:txbxContent>
                    <w:p w:rsidR="003D1C50" w:rsidRDefault="003D1C50" w:rsidP="003D1C50">
                      <w:pPr>
                        <w:pStyle w:val="Sinespaciado"/>
                        <w:jc w:val="center"/>
                        <w:rPr>
                          <w:rFonts w:ascii="Calibri Light" w:eastAsia="Tahoma" w:hAnsi="Calibri Light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34B03315" wp14:editId="66A476CE">
                            <wp:extent cx="142875" cy="152400"/>
                            <wp:effectExtent l="0" t="0" r="9525" b="0"/>
                            <wp:docPr id="5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1C50" w:rsidRDefault="003D1C50" w:rsidP="003D1C50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JUZGADO DÉCIMO PRIMERO CIVIL MUNICIPAL </w:t>
                      </w:r>
                    </w:p>
                    <w:p w:rsidR="003D1C50" w:rsidRDefault="003D1C50" w:rsidP="003D1C50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 DE VILLAVICENCIO</w:t>
                      </w:r>
                    </w:p>
                    <w:p w:rsidR="003D1C50" w:rsidRDefault="003D1C50" w:rsidP="003D1C50">
                      <w:pPr>
                        <w:spacing w:line="240" w:lineRule="auto"/>
                        <w:jc w:val="both"/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  <w:t xml:space="preserve">La anterior providencia se notifica por anotación en el Estado de fecha: </w:t>
                      </w:r>
                    </w:p>
                    <w:p w:rsidR="003D1C50" w:rsidRPr="00A641B3" w:rsidRDefault="00696FAE" w:rsidP="003D1C50">
                      <w:pPr>
                        <w:spacing w:line="240" w:lineRule="auto"/>
                        <w:jc w:val="center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22</w:t>
                      </w:r>
                      <w:r w:rsidR="003D1C5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/</w:t>
                      </w:r>
                      <w:r w:rsidR="00E2358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01</w:t>
                      </w:r>
                      <w:r w:rsidR="003D1C50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/202</w:t>
                      </w:r>
                      <w:r w:rsidR="00E2358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4</w:t>
                      </w:r>
                    </w:p>
                    <w:p w:rsidR="003D1C50" w:rsidRDefault="003D1C50" w:rsidP="003D1C50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3D1C50" w:rsidRDefault="003D1C50" w:rsidP="003D1C50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</w:p>
                    <w:p w:rsidR="003D1C50" w:rsidRDefault="003D1C50" w:rsidP="003D1C50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>Secretaria-</w:t>
                      </w:r>
                      <w:proofErr w:type="gramStart"/>
                      <w:r w:rsidR="00E23583"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>P.L</w:t>
                      </w:r>
                      <w:proofErr w:type="gramEnd"/>
                    </w:p>
                    <w:p w:rsidR="003D1C50" w:rsidRDefault="003D1C50" w:rsidP="003D1C50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3D1C50" w:rsidRDefault="003D1C50" w:rsidP="003D1C50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3D1C50" w:rsidRDefault="003D1C50" w:rsidP="003D1C50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3D1C50" w:rsidRDefault="003D1C50" w:rsidP="003D1C50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3D1C50" w:rsidRDefault="003D1C50" w:rsidP="003D1C50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1C50" w:rsidRPr="003D1C50" w:rsidRDefault="003D1C50" w:rsidP="003D1C50">
      <w:pPr>
        <w:jc w:val="both"/>
        <w:rPr>
          <w:rFonts w:ascii="Segoe Print" w:hAnsi="Segoe Print"/>
          <w:b/>
          <w:sz w:val="24"/>
          <w:szCs w:val="24"/>
        </w:rPr>
      </w:pPr>
    </w:p>
    <w:p w:rsidR="003D1C50" w:rsidRPr="003D1C50" w:rsidRDefault="003D1C50" w:rsidP="003D1C50">
      <w:pPr>
        <w:jc w:val="both"/>
        <w:rPr>
          <w:rFonts w:ascii="Segoe Print" w:hAnsi="Segoe Print"/>
          <w:b/>
          <w:sz w:val="24"/>
          <w:szCs w:val="24"/>
        </w:rPr>
      </w:pPr>
    </w:p>
    <w:p w:rsidR="003D1C50" w:rsidRPr="003D1C50" w:rsidRDefault="003D1C50" w:rsidP="003D1C50">
      <w:pPr>
        <w:jc w:val="both"/>
        <w:rPr>
          <w:rFonts w:ascii="Segoe Print" w:hAnsi="Segoe Print"/>
          <w:b/>
          <w:sz w:val="24"/>
          <w:szCs w:val="24"/>
        </w:rPr>
      </w:pPr>
      <w:bookmarkStart w:id="2" w:name="_GoBack"/>
      <w:bookmarkEnd w:id="2"/>
    </w:p>
    <w:bookmarkEnd w:id="0"/>
    <w:p w:rsidR="003D1C50" w:rsidRPr="003D1C50" w:rsidRDefault="003D1C50" w:rsidP="003D1C50">
      <w:pPr>
        <w:jc w:val="both"/>
        <w:rPr>
          <w:rFonts w:ascii="Segoe Print" w:hAnsi="Segoe Print"/>
          <w:sz w:val="24"/>
          <w:szCs w:val="24"/>
        </w:rPr>
      </w:pPr>
    </w:p>
    <w:p w:rsidR="003D1C50" w:rsidRPr="003D1C50" w:rsidRDefault="003D1C50" w:rsidP="003D1C50">
      <w:pPr>
        <w:jc w:val="both"/>
        <w:rPr>
          <w:rFonts w:ascii="Segoe Print" w:hAnsi="Segoe Print"/>
          <w:sz w:val="24"/>
          <w:szCs w:val="24"/>
        </w:rPr>
      </w:pPr>
    </w:p>
    <w:p w:rsidR="003D1C50" w:rsidRPr="003D1C50" w:rsidRDefault="003D1C50" w:rsidP="003D1C50">
      <w:pPr>
        <w:jc w:val="both"/>
        <w:rPr>
          <w:rFonts w:ascii="Segoe Print" w:hAnsi="Segoe Print"/>
          <w:sz w:val="24"/>
          <w:szCs w:val="24"/>
        </w:rPr>
      </w:pPr>
    </w:p>
    <w:p w:rsidR="003D1C50" w:rsidRPr="003D1C50" w:rsidRDefault="003D1C50" w:rsidP="003D1C50">
      <w:pPr>
        <w:jc w:val="both"/>
        <w:rPr>
          <w:rFonts w:ascii="Segoe Print" w:hAnsi="Segoe Print"/>
          <w:sz w:val="24"/>
          <w:szCs w:val="24"/>
        </w:rPr>
      </w:pPr>
    </w:p>
    <w:p w:rsidR="00364D05" w:rsidRDefault="00364D05"/>
    <w:sectPr w:rsidR="00364D05" w:rsidSect="001529B7">
      <w:headerReference w:type="default" r:id="rId7"/>
      <w:footerReference w:type="default" r:id="rId8"/>
      <w:pgSz w:w="12242" w:h="18722" w:code="14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380" w:rsidRDefault="00A02380">
      <w:pPr>
        <w:spacing w:after="0" w:line="240" w:lineRule="auto"/>
      </w:pPr>
      <w:r>
        <w:separator/>
      </w:r>
    </w:p>
  </w:endnote>
  <w:endnote w:type="continuationSeparator" w:id="0">
    <w:p w:rsidR="00A02380" w:rsidRDefault="00A0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B7" w:rsidRPr="006779F4" w:rsidRDefault="00E23583" w:rsidP="006779F4">
    <w:pPr>
      <w:pStyle w:val="Piedepgina"/>
      <w:jc w:val="center"/>
      <w:rPr>
        <w:rFonts w:ascii="Century Gothic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Carrera 29 No. 33B- 79 Plaza de Bandera Palacio de Justicia Torre B Oficina </w:t>
    </w:r>
    <w:r>
      <w:rPr>
        <w:rFonts w:ascii="Century Gothic" w:hAnsi="Century Gothic" w:cs="Tahoma"/>
        <w:sz w:val="14"/>
        <w:szCs w:val="14"/>
      </w:rPr>
      <w:t>213</w:t>
    </w:r>
  </w:p>
  <w:p w:rsidR="001529B7" w:rsidRPr="002D774F" w:rsidRDefault="00E23583" w:rsidP="001529B7">
    <w:pPr>
      <w:pStyle w:val="Piedepgina"/>
      <w:jc w:val="center"/>
      <w:rPr>
        <w:rFonts w:ascii="Century Gothic" w:hAnsi="Century Gothic" w:cs="Tahoma"/>
        <w:sz w:val="14"/>
        <w:szCs w:val="14"/>
        <w:lang w:val="en-US"/>
      </w:rPr>
    </w:pPr>
    <w:r w:rsidRPr="002D774F">
      <w:rPr>
        <w:rFonts w:ascii="Century Gothic" w:hAnsi="Century Gothic" w:cs="Tahoma"/>
        <w:sz w:val="14"/>
        <w:szCs w:val="14"/>
        <w:lang w:val="en-US"/>
      </w:rPr>
      <w:t xml:space="preserve">e-mail: </w:t>
    </w:r>
    <w:r>
      <w:rPr>
        <w:rFonts w:ascii="Century Gothic" w:hAnsi="Century Gothic" w:cs="Tahoma"/>
        <w:sz w:val="14"/>
        <w:szCs w:val="14"/>
        <w:lang w:val="en-US"/>
      </w:rPr>
      <w:t>j11cmpalvcio</w:t>
    </w:r>
    <w:r w:rsidRPr="002D774F">
      <w:rPr>
        <w:rFonts w:ascii="Century Gothic" w:hAnsi="Century Gothic" w:cs="Tahoma"/>
        <w:sz w:val="14"/>
        <w:szCs w:val="14"/>
        <w:lang w:val="en-US"/>
      </w:rPr>
      <w:t>@cendoj.ramajudicial.gov.co</w:t>
    </w:r>
  </w:p>
  <w:p w:rsidR="001529B7" w:rsidRPr="00C55BF2" w:rsidRDefault="00E23583" w:rsidP="001529B7">
    <w:pPr>
      <w:pStyle w:val="Piedepgina"/>
      <w:jc w:val="center"/>
      <w:rPr>
        <w:rStyle w:val="Hipervnculo"/>
        <w:rFonts w:ascii="Century Gothic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Home Page de la Rama Judicial: </w:t>
    </w:r>
    <w:hyperlink r:id="rId1" w:history="1">
      <w:r w:rsidRPr="00C55BF2">
        <w:rPr>
          <w:rStyle w:val="Hipervnculo"/>
          <w:rFonts w:ascii="Century Gothic" w:hAnsi="Century Gothic" w:cs="Tahoma"/>
          <w:sz w:val="14"/>
          <w:szCs w:val="14"/>
        </w:rPr>
        <w:t>www.ramajudicial.gov.co</w:t>
      </w:r>
    </w:hyperlink>
  </w:p>
  <w:p w:rsidR="00C55BF2" w:rsidRDefault="00696FAE" w:rsidP="001529B7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  <w:p w:rsidR="001529B7" w:rsidRPr="00C15D68" w:rsidRDefault="00696FAE" w:rsidP="001529B7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380" w:rsidRDefault="00A02380">
      <w:pPr>
        <w:spacing w:after="0" w:line="240" w:lineRule="auto"/>
      </w:pPr>
      <w:r>
        <w:separator/>
      </w:r>
    </w:p>
  </w:footnote>
  <w:footnote w:type="continuationSeparator" w:id="0">
    <w:p w:rsidR="00A02380" w:rsidRDefault="00A02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B7" w:rsidRPr="00057311" w:rsidRDefault="00E23583" w:rsidP="001529B7">
    <w:pPr>
      <w:pStyle w:val="Sangra3detindependiente"/>
      <w:ind w:left="0" w:right="-127"/>
      <w:rPr>
        <w:rFonts w:ascii="Century Gothic" w:hAnsi="Century Gothic"/>
        <w:b/>
        <w:noProof/>
      </w:rPr>
    </w:pPr>
    <w:r w:rsidRPr="00972DEF">
      <w:rPr>
        <w:rFonts w:ascii="Arial" w:hAnsi="Arial" w:cs="Arial"/>
        <w:b/>
        <w:noProof/>
        <w:sz w:val="26"/>
      </w:rPr>
      <w:drawing>
        <wp:anchor distT="0" distB="0" distL="114300" distR="114300" simplePos="0" relativeHeight="251659264" behindDoc="1" locked="0" layoutInCell="1" allowOverlap="1" wp14:anchorId="6AEBF4D3" wp14:editId="791C3C2F">
          <wp:simplePos x="0" y="0"/>
          <wp:positionH relativeFrom="margin">
            <wp:posOffset>-337185</wp:posOffset>
          </wp:positionH>
          <wp:positionV relativeFrom="paragraph">
            <wp:posOffset>-220980</wp:posOffset>
          </wp:positionV>
          <wp:extent cx="2114550" cy="749935"/>
          <wp:effectExtent l="0" t="0" r="0" b="0"/>
          <wp:wrapTight wrapText="bothSides">
            <wp:wrapPolygon edited="0">
              <wp:start x="2335" y="0"/>
              <wp:lineTo x="1168" y="2743"/>
              <wp:lineTo x="0" y="7133"/>
              <wp:lineTo x="0" y="12071"/>
              <wp:lineTo x="1168" y="18655"/>
              <wp:lineTo x="1946" y="20301"/>
              <wp:lineTo x="4670" y="20301"/>
              <wp:lineTo x="12259" y="18655"/>
              <wp:lineTo x="21405" y="13717"/>
              <wp:lineTo x="21405" y="8779"/>
              <wp:lineTo x="4281" y="0"/>
              <wp:lineTo x="2335" y="0"/>
            </wp:wrapPolygon>
          </wp:wrapTight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29B7" w:rsidRDefault="00696FAE" w:rsidP="001529B7">
    <w:pPr>
      <w:pStyle w:val="Sangra3detindependiente"/>
      <w:ind w:right="-127"/>
      <w:jc w:val="center"/>
      <w:rPr>
        <w:rFonts w:ascii="Century Gothic" w:hAnsi="Century Gothic"/>
        <w:b/>
        <w:noProof/>
      </w:rPr>
    </w:pPr>
  </w:p>
  <w:p w:rsidR="001529B7" w:rsidRPr="00185DA8" w:rsidRDefault="00E23583" w:rsidP="001529B7">
    <w:pPr>
      <w:jc w:val="both"/>
      <w:rPr>
        <w:rFonts w:ascii="Century Gothic" w:hAnsi="Century Gothic"/>
        <w:color w:val="767171" w:themeColor="background2" w:themeShade="80"/>
        <w:sz w:val="16"/>
      </w:rPr>
    </w:pPr>
    <w:r>
      <w:rPr>
        <w:rFonts w:ascii="Century Gothic" w:hAnsi="Century Gothic"/>
        <w:b/>
        <w:noProof/>
      </w:rPr>
      <w:t xml:space="preserve">                                                      </w:t>
    </w:r>
  </w:p>
  <w:p w:rsidR="001529B7" w:rsidRDefault="00E23583" w:rsidP="00824CC0">
    <w:pPr>
      <w:rPr>
        <w:rFonts w:ascii="Century Gothic" w:hAnsi="Century Gothic"/>
        <w:b/>
        <w:sz w:val="20"/>
      </w:rPr>
    </w:pPr>
    <w:r>
      <w:rPr>
        <w:rFonts w:ascii="Century Gothic" w:hAnsi="Century Gothic"/>
        <w:b/>
        <w:sz w:val="20"/>
      </w:rPr>
      <w:t xml:space="preserve">                                              </w:t>
    </w:r>
    <w:r w:rsidRPr="0097308D">
      <w:rPr>
        <w:rFonts w:ascii="Century Gothic" w:hAnsi="Century Gothic"/>
        <w:b/>
        <w:sz w:val="20"/>
      </w:rPr>
      <w:t xml:space="preserve">JUZGADO </w:t>
    </w:r>
    <w:r>
      <w:rPr>
        <w:rFonts w:ascii="Century Gothic" w:hAnsi="Century Gothic"/>
        <w:b/>
        <w:sz w:val="20"/>
      </w:rPr>
      <w:t xml:space="preserve">DÉCIMO PRIMERO </w:t>
    </w:r>
    <w:r w:rsidRPr="0097308D">
      <w:rPr>
        <w:rFonts w:ascii="Century Gothic" w:hAnsi="Century Gothic"/>
        <w:b/>
        <w:sz w:val="20"/>
      </w:rPr>
      <w:t>CIVIL MUNICIPAL</w:t>
    </w:r>
    <w:r>
      <w:rPr>
        <w:rFonts w:ascii="Century Gothic" w:hAnsi="Century Gothic"/>
        <w:b/>
        <w:sz w:val="20"/>
      </w:rPr>
      <w:t xml:space="preserve"> DE V</w:t>
    </w:r>
    <w:r w:rsidRPr="0097308D">
      <w:rPr>
        <w:rFonts w:ascii="Century Gothic" w:hAnsi="Century Gothic"/>
        <w:b/>
        <w:sz w:val="20"/>
      </w:rPr>
      <w:t>ILLAVICENCIO</w:t>
    </w:r>
  </w:p>
  <w:p w:rsidR="009135CD" w:rsidRPr="002D774F" w:rsidRDefault="00696FAE" w:rsidP="001529B7">
    <w:pPr>
      <w:jc w:val="right"/>
      <w:rPr>
        <w:rFonts w:ascii="Century Gothic" w:hAnsi="Century Gothic"/>
        <w:b/>
        <w:sz w:val="16"/>
        <w:szCs w:val="32"/>
      </w:rPr>
    </w:pPr>
  </w:p>
  <w:p w:rsidR="009135CD" w:rsidRPr="009135CD" w:rsidRDefault="00696FAE" w:rsidP="001529B7">
    <w:pPr>
      <w:jc w:val="right"/>
      <w:rPr>
        <w:rFonts w:ascii="Century Gothic" w:hAnsi="Century Gothic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50"/>
    <w:rsid w:val="00020D68"/>
    <w:rsid w:val="00364D05"/>
    <w:rsid w:val="003D1C50"/>
    <w:rsid w:val="00696FAE"/>
    <w:rsid w:val="00A02380"/>
    <w:rsid w:val="00E2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A8D2"/>
  <w15:chartTrackingRefBased/>
  <w15:docId w15:val="{6D1B7C2B-92F5-4CEF-9A79-882292C3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D1C5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D1C50"/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3D1C50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C50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3D1C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D1C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Fernanda Leon Figueroa</dc:creator>
  <cp:keywords/>
  <dc:description/>
  <cp:lastModifiedBy>Lorena Patricia Aranda Ortiz</cp:lastModifiedBy>
  <cp:revision>3</cp:revision>
  <dcterms:created xsi:type="dcterms:W3CDTF">2024-01-18T19:57:00Z</dcterms:created>
  <dcterms:modified xsi:type="dcterms:W3CDTF">2024-01-19T16:24:00Z</dcterms:modified>
</cp:coreProperties>
</file>