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C89" w:rsidRPr="00CB543A" w:rsidRDefault="00171C89" w:rsidP="00CB543A">
      <w:pPr>
        <w:spacing w:after="0" w:line="240" w:lineRule="auto"/>
        <w:contextualSpacing/>
        <w:rPr>
          <w:rFonts w:ascii="Times New Roman" w:hAnsi="Times New Roman" w:cs="Times New Roman"/>
          <w:b/>
          <w:sz w:val="28"/>
          <w:szCs w:val="28"/>
        </w:rPr>
      </w:pPr>
      <w:r w:rsidRPr="00CB543A">
        <w:rPr>
          <w:rFonts w:ascii="Times New Roman" w:hAnsi="Times New Roman" w:cs="Times New Roman"/>
          <w:b/>
          <w:sz w:val="28"/>
          <w:szCs w:val="28"/>
        </w:rPr>
        <w:t>S</w:t>
      </w:r>
      <w:r w:rsidR="00CB543A" w:rsidRPr="00CB543A">
        <w:rPr>
          <w:rFonts w:ascii="Times New Roman" w:hAnsi="Times New Roman" w:cs="Times New Roman"/>
          <w:b/>
          <w:sz w:val="28"/>
          <w:szCs w:val="28"/>
        </w:rPr>
        <w:t>entencia</w:t>
      </w:r>
      <w:r w:rsidR="00CB543A">
        <w:rPr>
          <w:rFonts w:ascii="Times New Roman" w:hAnsi="Times New Roman" w:cs="Times New Roman"/>
          <w:b/>
          <w:sz w:val="28"/>
          <w:szCs w:val="28"/>
        </w:rPr>
        <w:t xml:space="preserve"> SU</w:t>
      </w:r>
      <w:r w:rsidRPr="00CB543A">
        <w:rPr>
          <w:rFonts w:ascii="Times New Roman" w:hAnsi="Times New Roman" w:cs="Times New Roman"/>
          <w:b/>
          <w:sz w:val="28"/>
          <w:szCs w:val="28"/>
        </w:rPr>
        <w:t>023</w:t>
      </w:r>
      <w:r w:rsidR="00CB543A">
        <w:rPr>
          <w:rFonts w:ascii="Times New Roman" w:hAnsi="Times New Roman" w:cs="Times New Roman"/>
          <w:b/>
          <w:sz w:val="28"/>
          <w:szCs w:val="28"/>
        </w:rPr>
        <w:t>/</w:t>
      </w:r>
      <w:r w:rsidRPr="00CB543A">
        <w:rPr>
          <w:rFonts w:ascii="Times New Roman" w:hAnsi="Times New Roman" w:cs="Times New Roman"/>
          <w:b/>
          <w:sz w:val="28"/>
          <w:szCs w:val="28"/>
        </w:rPr>
        <w:t>18</w:t>
      </w:r>
    </w:p>
    <w:p w:rsidR="00171C89" w:rsidRPr="00CB543A" w:rsidRDefault="00171C89" w:rsidP="00CB543A">
      <w:pPr>
        <w:tabs>
          <w:tab w:val="left" w:pos="3301"/>
        </w:tabs>
        <w:spacing w:after="0" w:line="240" w:lineRule="auto"/>
        <w:contextualSpacing/>
        <w:rPr>
          <w:rFonts w:ascii="Times New Roman" w:hAnsi="Times New Roman" w:cs="Times New Roman"/>
          <w:b/>
          <w:sz w:val="28"/>
          <w:szCs w:val="28"/>
        </w:rPr>
      </w:pPr>
    </w:p>
    <w:p w:rsidR="00CB543A" w:rsidRDefault="00CB543A" w:rsidP="00CB543A">
      <w:pPr>
        <w:shd w:val="clear" w:color="auto" w:fill="FFFFFF"/>
        <w:spacing w:after="0" w:line="240" w:lineRule="auto"/>
        <w:ind w:left="3969" w:right="49"/>
        <w:contextualSpacing/>
        <w:jc w:val="both"/>
        <w:rPr>
          <w:rFonts w:ascii="Times New Roman" w:hAnsi="Times New Roman" w:cs="Times New Roman"/>
          <w:b/>
          <w:sz w:val="28"/>
          <w:szCs w:val="28"/>
        </w:rPr>
      </w:pPr>
    </w:p>
    <w:p w:rsidR="00171C89" w:rsidRPr="00CB543A" w:rsidRDefault="00171C89" w:rsidP="00CB543A">
      <w:pPr>
        <w:shd w:val="clear" w:color="auto" w:fill="FFFFFF"/>
        <w:spacing w:after="0" w:line="240" w:lineRule="auto"/>
        <w:ind w:left="3969" w:right="49"/>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Referencia: T-2.202.165 </w:t>
      </w:r>
    </w:p>
    <w:p w:rsidR="00171C89" w:rsidRPr="00CB543A" w:rsidRDefault="00171C89" w:rsidP="00CB543A">
      <w:pPr>
        <w:shd w:val="clear" w:color="auto" w:fill="FFFFFF"/>
        <w:spacing w:after="0" w:line="240" w:lineRule="auto"/>
        <w:ind w:left="3969" w:right="49"/>
        <w:contextualSpacing/>
        <w:jc w:val="both"/>
        <w:rPr>
          <w:rFonts w:ascii="Times New Roman" w:hAnsi="Times New Roman" w:cs="Times New Roman"/>
          <w:sz w:val="28"/>
          <w:szCs w:val="28"/>
        </w:rPr>
      </w:pPr>
    </w:p>
    <w:p w:rsidR="00171C89" w:rsidRPr="00CB543A" w:rsidRDefault="00171C89" w:rsidP="00CB543A">
      <w:pPr>
        <w:spacing w:after="0" w:line="240" w:lineRule="auto"/>
        <w:ind w:left="3960"/>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Acción de tutela interpuesta por LAUREANO AUGUSTO RAMÍREZ GIL en contra de la CORTE SUPREMA DE JUSTICIA - SALA DE CASACIÓN LABORAL -. </w:t>
      </w:r>
    </w:p>
    <w:p w:rsidR="00171C89" w:rsidRPr="00CB543A" w:rsidRDefault="00171C89" w:rsidP="00CB543A">
      <w:pPr>
        <w:shd w:val="clear" w:color="auto" w:fill="FFFFFF"/>
        <w:spacing w:after="0" w:line="240" w:lineRule="auto"/>
        <w:ind w:right="49"/>
        <w:contextualSpacing/>
        <w:jc w:val="both"/>
        <w:rPr>
          <w:rFonts w:ascii="Times New Roman" w:hAnsi="Times New Roman" w:cs="Times New Roman"/>
          <w:sz w:val="28"/>
          <w:szCs w:val="28"/>
        </w:rPr>
      </w:pPr>
    </w:p>
    <w:p w:rsidR="00171C89" w:rsidRPr="00CB543A" w:rsidRDefault="00171C89" w:rsidP="00CB543A">
      <w:pPr>
        <w:shd w:val="clear" w:color="auto" w:fill="FFFFFF"/>
        <w:spacing w:after="0" w:line="240" w:lineRule="auto"/>
        <w:ind w:left="3969" w:right="49"/>
        <w:contextualSpacing/>
        <w:jc w:val="both"/>
        <w:rPr>
          <w:rFonts w:ascii="Times New Roman" w:hAnsi="Times New Roman" w:cs="Times New Roman"/>
          <w:sz w:val="28"/>
          <w:szCs w:val="28"/>
        </w:rPr>
      </w:pPr>
      <w:r w:rsidRPr="00CB543A">
        <w:rPr>
          <w:rFonts w:ascii="Times New Roman" w:hAnsi="Times New Roman" w:cs="Times New Roman"/>
          <w:sz w:val="28"/>
          <w:szCs w:val="28"/>
        </w:rPr>
        <w:t>Magistrado Ponente:</w:t>
      </w:r>
    </w:p>
    <w:p w:rsidR="00171C89" w:rsidRPr="00CB543A" w:rsidRDefault="00171C89" w:rsidP="00CB543A">
      <w:pPr>
        <w:shd w:val="clear" w:color="auto" w:fill="FFFFFF"/>
        <w:spacing w:after="0" w:line="240" w:lineRule="auto"/>
        <w:ind w:left="3969" w:right="49"/>
        <w:contextualSpacing/>
        <w:jc w:val="both"/>
        <w:rPr>
          <w:rFonts w:ascii="Times New Roman" w:hAnsi="Times New Roman" w:cs="Times New Roman"/>
          <w:sz w:val="28"/>
          <w:szCs w:val="28"/>
        </w:rPr>
      </w:pPr>
      <w:r w:rsidRPr="00CB543A">
        <w:rPr>
          <w:rFonts w:ascii="Times New Roman" w:hAnsi="Times New Roman" w:cs="Times New Roman"/>
          <w:sz w:val="28"/>
          <w:szCs w:val="28"/>
        </w:rPr>
        <w:t>CARLOS BERNAL PULIDO</w:t>
      </w:r>
    </w:p>
    <w:p w:rsidR="00171C89" w:rsidRPr="00CB543A" w:rsidRDefault="00171C89" w:rsidP="00CB543A">
      <w:pPr>
        <w:shd w:val="clear" w:color="auto" w:fill="FFFFFF"/>
        <w:spacing w:after="0" w:line="240" w:lineRule="auto"/>
        <w:ind w:right="49"/>
        <w:contextualSpacing/>
        <w:jc w:val="both"/>
        <w:rPr>
          <w:rFonts w:ascii="Times New Roman" w:hAnsi="Times New Roman" w:cs="Times New Roman"/>
          <w:sz w:val="28"/>
          <w:szCs w:val="28"/>
        </w:rPr>
      </w:pPr>
    </w:p>
    <w:p w:rsidR="00171C89" w:rsidRPr="00CB543A" w:rsidRDefault="00171C89" w:rsidP="00CB543A">
      <w:pPr>
        <w:shd w:val="clear" w:color="auto" w:fill="FFFFFF"/>
        <w:spacing w:after="0" w:line="240" w:lineRule="auto"/>
        <w:ind w:right="49"/>
        <w:contextualSpacing/>
        <w:jc w:val="both"/>
        <w:rPr>
          <w:rFonts w:ascii="Times New Roman" w:hAnsi="Times New Roman" w:cs="Times New Roman"/>
          <w:sz w:val="28"/>
          <w:szCs w:val="28"/>
        </w:rPr>
      </w:pPr>
    </w:p>
    <w:p w:rsidR="00171C89" w:rsidRPr="00CB543A" w:rsidRDefault="00171C89" w:rsidP="00CB543A">
      <w:pPr>
        <w:shd w:val="clear" w:color="auto" w:fill="FFFFFF"/>
        <w:spacing w:after="0" w:line="240" w:lineRule="auto"/>
        <w:ind w:right="49"/>
        <w:contextualSpacing/>
        <w:jc w:val="both"/>
        <w:rPr>
          <w:rFonts w:ascii="Times New Roman" w:hAnsi="Times New Roman" w:cs="Times New Roman"/>
          <w:sz w:val="28"/>
          <w:szCs w:val="28"/>
        </w:rPr>
      </w:pPr>
      <w:r w:rsidRPr="00CB543A">
        <w:rPr>
          <w:rFonts w:ascii="Times New Roman" w:hAnsi="Times New Roman" w:cs="Times New Roman"/>
          <w:sz w:val="28"/>
          <w:szCs w:val="28"/>
        </w:rPr>
        <w:t>Bogotá, D. C., cinco (5) de abril de dos mil dieciocho (2018).</w:t>
      </w:r>
    </w:p>
    <w:p w:rsidR="00171C89" w:rsidRDefault="00171C89" w:rsidP="00CB543A">
      <w:pPr>
        <w:shd w:val="clear" w:color="auto" w:fill="FFFFFF"/>
        <w:spacing w:after="0" w:line="240" w:lineRule="auto"/>
        <w:ind w:right="49"/>
        <w:contextualSpacing/>
        <w:jc w:val="both"/>
        <w:rPr>
          <w:rFonts w:ascii="Times New Roman" w:hAnsi="Times New Roman" w:cs="Times New Roman"/>
          <w:sz w:val="28"/>
          <w:szCs w:val="28"/>
        </w:rPr>
      </w:pPr>
      <w:r w:rsidRPr="00CB543A">
        <w:rPr>
          <w:rFonts w:ascii="Times New Roman" w:hAnsi="Times New Roman" w:cs="Times New Roman"/>
          <w:sz w:val="28"/>
          <w:szCs w:val="28"/>
        </w:rPr>
        <w:t> </w:t>
      </w:r>
    </w:p>
    <w:p w:rsidR="00CB543A" w:rsidRPr="00CB543A" w:rsidRDefault="00CB543A" w:rsidP="00CB543A">
      <w:pPr>
        <w:shd w:val="clear" w:color="auto" w:fill="FFFFFF"/>
        <w:spacing w:after="0" w:line="240" w:lineRule="auto"/>
        <w:ind w:right="49"/>
        <w:contextualSpacing/>
        <w:jc w:val="both"/>
        <w:rPr>
          <w:rFonts w:ascii="Times New Roman" w:hAnsi="Times New Roman" w:cs="Times New Roman"/>
          <w:sz w:val="28"/>
          <w:szCs w:val="28"/>
        </w:rPr>
      </w:pPr>
    </w:p>
    <w:p w:rsidR="00171C89" w:rsidRPr="00CB543A" w:rsidRDefault="00171C89" w:rsidP="00CB543A">
      <w:pPr>
        <w:shd w:val="clear" w:color="auto" w:fill="FFFFFF"/>
        <w:spacing w:after="0" w:line="240" w:lineRule="auto"/>
        <w:ind w:right="49"/>
        <w:contextualSpacing/>
        <w:jc w:val="both"/>
        <w:rPr>
          <w:rFonts w:ascii="Times New Roman" w:hAnsi="Times New Roman" w:cs="Times New Roman"/>
          <w:sz w:val="28"/>
          <w:szCs w:val="28"/>
        </w:rPr>
      </w:pPr>
      <w:r w:rsidRPr="00CB543A">
        <w:rPr>
          <w:rFonts w:ascii="Times New Roman" w:hAnsi="Times New Roman" w:cs="Times New Roman"/>
          <w:sz w:val="28"/>
          <w:szCs w:val="28"/>
        </w:rPr>
        <w:t>La Sala Plena de la Corte Constitucional, en ejercicio de sus competencias constitucionales y legales, específicamente las previstas en los artículos 86 y 241 numeral 9º de la Constitución Política, 33 y siguientes del Decreto 2591 de 1991, y de conformidad con lo dispuesto en el Auto 144 de junio 21 de 2012, que declaró la nulidad de la sentencia T-022 de 2010, profiere la siguiente:</w:t>
      </w:r>
    </w:p>
    <w:p w:rsidR="00171C89" w:rsidRPr="00CB543A" w:rsidRDefault="00171C89" w:rsidP="00CB543A">
      <w:pPr>
        <w:shd w:val="clear" w:color="auto" w:fill="FFFFFF"/>
        <w:spacing w:after="0" w:line="240" w:lineRule="auto"/>
        <w:ind w:right="49"/>
        <w:contextualSpacing/>
        <w:jc w:val="both"/>
        <w:rPr>
          <w:rFonts w:ascii="Times New Roman" w:hAnsi="Times New Roman" w:cs="Times New Roman"/>
          <w:sz w:val="28"/>
          <w:szCs w:val="28"/>
        </w:rPr>
      </w:pPr>
    </w:p>
    <w:p w:rsidR="00171C89" w:rsidRPr="00CB543A" w:rsidRDefault="00171C89" w:rsidP="00CB543A">
      <w:pPr>
        <w:shd w:val="clear" w:color="auto" w:fill="FFFFFF"/>
        <w:spacing w:after="0" w:line="240" w:lineRule="auto"/>
        <w:ind w:right="49"/>
        <w:contextualSpacing/>
        <w:jc w:val="center"/>
        <w:rPr>
          <w:rFonts w:ascii="Times New Roman" w:hAnsi="Times New Roman" w:cs="Times New Roman"/>
          <w:sz w:val="28"/>
          <w:szCs w:val="28"/>
        </w:rPr>
      </w:pPr>
      <w:r w:rsidRPr="00CB543A">
        <w:rPr>
          <w:rFonts w:ascii="Times New Roman" w:hAnsi="Times New Roman" w:cs="Times New Roman"/>
          <w:b/>
          <w:sz w:val="28"/>
          <w:szCs w:val="28"/>
        </w:rPr>
        <w:t>SENTENCIA</w:t>
      </w:r>
    </w:p>
    <w:p w:rsidR="00171C89" w:rsidRPr="00CB543A" w:rsidRDefault="00171C89" w:rsidP="00CB543A">
      <w:pPr>
        <w:shd w:val="clear" w:color="auto" w:fill="FFFFFF"/>
        <w:spacing w:after="0" w:line="240" w:lineRule="auto"/>
        <w:ind w:right="49"/>
        <w:contextualSpacing/>
        <w:jc w:val="both"/>
        <w:rPr>
          <w:rFonts w:ascii="Times New Roman" w:hAnsi="Times New Roman" w:cs="Times New Roman"/>
          <w:sz w:val="28"/>
          <w:szCs w:val="28"/>
        </w:rPr>
      </w:pPr>
      <w:r w:rsidRPr="00CB543A">
        <w:rPr>
          <w:rFonts w:ascii="Times New Roman" w:hAnsi="Times New Roman" w:cs="Times New Roman"/>
          <w:sz w:val="28"/>
          <w:szCs w:val="28"/>
        </w:rPr>
        <w:t> </w:t>
      </w:r>
      <w:bookmarkStart w:id="0" w:name="_GoBack"/>
      <w:bookmarkEnd w:id="0"/>
    </w:p>
    <w:p w:rsidR="00171C89" w:rsidRPr="00CB543A" w:rsidRDefault="00171C89" w:rsidP="00CB543A">
      <w:pPr>
        <w:shd w:val="clear" w:color="auto" w:fill="FFFFFF"/>
        <w:spacing w:after="0" w:line="240" w:lineRule="auto"/>
        <w:ind w:right="60"/>
        <w:contextualSpacing/>
        <w:jc w:val="both"/>
        <w:rPr>
          <w:rFonts w:ascii="Times New Roman" w:hAnsi="Times New Roman" w:cs="Times New Roman"/>
          <w:sz w:val="28"/>
          <w:szCs w:val="28"/>
        </w:rPr>
      </w:pPr>
      <w:r w:rsidRPr="00CB543A">
        <w:rPr>
          <w:rFonts w:ascii="Times New Roman" w:hAnsi="Times New Roman" w:cs="Times New Roman"/>
          <w:sz w:val="28"/>
          <w:szCs w:val="28"/>
        </w:rPr>
        <w:t>En el proceso de revisión de la decisión proferida el 16 de diciembre de 2008 por la Sala de Casación Penal de la Corte Suprema de Justicia (única instancia), que declaró improcedente la acción de tutela que fue promovida por Laureano Augusto Ramírez Gil contra la Sala de Casación Civil de la Corte Suprema de Justicia.</w:t>
      </w:r>
    </w:p>
    <w:p w:rsidR="00171C89" w:rsidRPr="00CB543A" w:rsidRDefault="00171C89" w:rsidP="00CB543A">
      <w:pPr>
        <w:shd w:val="clear" w:color="auto" w:fill="FFFFFF"/>
        <w:spacing w:after="0" w:line="240" w:lineRule="auto"/>
        <w:ind w:right="60"/>
        <w:contextualSpacing/>
        <w:jc w:val="both"/>
        <w:rPr>
          <w:rFonts w:ascii="Times New Roman" w:hAnsi="Times New Roman" w:cs="Times New Roman"/>
          <w:sz w:val="28"/>
          <w:szCs w:val="28"/>
        </w:rPr>
      </w:pPr>
    </w:p>
    <w:p w:rsidR="00171C89" w:rsidRPr="00CB543A" w:rsidRDefault="00171C89" w:rsidP="00CB543A">
      <w:pPr>
        <w:shd w:val="clear" w:color="auto" w:fill="FFFFFF"/>
        <w:spacing w:after="0" w:line="240" w:lineRule="auto"/>
        <w:ind w:right="60"/>
        <w:contextualSpacing/>
        <w:jc w:val="both"/>
        <w:rPr>
          <w:rFonts w:ascii="Times New Roman" w:hAnsi="Times New Roman" w:cs="Times New Roman"/>
          <w:sz w:val="28"/>
          <w:szCs w:val="28"/>
        </w:rPr>
      </w:pPr>
      <w:r w:rsidRPr="00CB543A">
        <w:rPr>
          <w:rFonts w:ascii="Times New Roman" w:hAnsi="Times New Roman" w:cs="Times New Roman"/>
          <w:sz w:val="28"/>
          <w:szCs w:val="28"/>
        </w:rPr>
        <w:t>El expediente</w:t>
      </w:r>
      <w:r w:rsidRPr="00CB543A">
        <w:rPr>
          <w:rStyle w:val="Refdenotaalpie"/>
          <w:rFonts w:ascii="Times New Roman" w:hAnsi="Times New Roman" w:cs="Times New Roman"/>
          <w:sz w:val="28"/>
          <w:szCs w:val="28"/>
        </w:rPr>
        <w:footnoteReference w:id="1"/>
      </w:r>
      <w:r w:rsidRPr="00CB543A">
        <w:rPr>
          <w:rFonts w:ascii="Times New Roman" w:hAnsi="Times New Roman" w:cs="Times New Roman"/>
          <w:sz w:val="28"/>
          <w:szCs w:val="28"/>
        </w:rPr>
        <w:t xml:space="preserve"> de la referencia fue escogido para revisión mediante Auto del 10 de marzo de 2009, proferido por la Sala de Selección número Tres</w:t>
      </w:r>
      <w:r w:rsidRPr="00CB543A">
        <w:rPr>
          <w:rFonts w:ascii="Times New Roman" w:hAnsi="Times New Roman" w:cs="Times New Roman"/>
          <w:sz w:val="28"/>
          <w:szCs w:val="28"/>
          <w:vertAlign w:val="superscript"/>
        </w:rPr>
        <w:footnoteReference w:id="2"/>
      </w:r>
      <w:r w:rsidRPr="00CB543A">
        <w:rPr>
          <w:rFonts w:ascii="Times New Roman" w:hAnsi="Times New Roman" w:cs="Times New Roman"/>
          <w:sz w:val="28"/>
          <w:szCs w:val="28"/>
        </w:rPr>
        <w:t>.</w:t>
      </w:r>
    </w:p>
    <w:p w:rsidR="00583B2D" w:rsidRPr="00CB543A" w:rsidRDefault="00583B2D" w:rsidP="00CB543A">
      <w:pPr>
        <w:spacing w:after="0" w:line="240" w:lineRule="auto"/>
        <w:contextualSpacing/>
        <w:jc w:val="both"/>
        <w:rPr>
          <w:rFonts w:ascii="Times New Roman" w:hAnsi="Times New Roman" w:cs="Times New Roman"/>
          <w:sz w:val="28"/>
          <w:szCs w:val="28"/>
        </w:rPr>
      </w:pPr>
    </w:p>
    <w:p w:rsidR="00171C89" w:rsidRPr="00CB543A" w:rsidRDefault="00171C89" w:rsidP="00CB543A">
      <w:pPr>
        <w:widowControl w:val="0"/>
        <w:numPr>
          <w:ilvl w:val="0"/>
          <w:numId w:val="34"/>
        </w:numPr>
        <w:spacing w:after="0" w:line="240" w:lineRule="auto"/>
        <w:ind w:left="0" w:firstLine="0"/>
        <w:contextualSpacing/>
        <w:rPr>
          <w:rFonts w:ascii="Times New Roman" w:hAnsi="Times New Roman" w:cs="Times New Roman"/>
          <w:b/>
          <w:color w:val="auto"/>
          <w:sz w:val="28"/>
          <w:szCs w:val="28"/>
          <w:lang w:eastAsia="en-US"/>
        </w:rPr>
      </w:pPr>
      <w:r w:rsidRPr="00CB543A">
        <w:rPr>
          <w:rFonts w:ascii="Times New Roman" w:hAnsi="Times New Roman" w:cs="Times New Roman"/>
          <w:b/>
          <w:color w:val="auto"/>
          <w:sz w:val="28"/>
          <w:szCs w:val="28"/>
          <w:lang w:eastAsia="en-US"/>
        </w:rPr>
        <w:t>ANTECEDENTES</w:t>
      </w:r>
    </w:p>
    <w:p w:rsidR="00171C89" w:rsidRPr="00CB543A" w:rsidRDefault="00171C89" w:rsidP="00CB543A">
      <w:pPr>
        <w:widowControl w:val="0"/>
        <w:spacing w:after="0" w:line="240" w:lineRule="auto"/>
        <w:contextualSpacing/>
        <w:rPr>
          <w:rFonts w:ascii="Times New Roman" w:hAnsi="Times New Roman" w:cs="Times New Roman"/>
          <w:b/>
          <w:sz w:val="28"/>
          <w:szCs w:val="28"/>
        </w:rPr>
      </w:pPr>
    </w:p>
    <w:p w:rsidR="00171C89" w:rsidRPr="00CB543A" w:rsidRDefault="00171C89" w:rsidP="00CB543A">
      <w:pPr>
        <w:widowControl w:val="0"/>
        <w:numPr>
          <w:ilvl w:val="0"/>
          <w:numId w:val="33"/>
        </w:numPr>
        <w:tabs>
          <w:tab w:val="left" w:pos="283"/>
        </w:tabs>
        <w:spacing w:after="0" w:line="240" w:lineRule="auto"/>
        <w:ind w:left="360"/>
        <w:contextualSpacing/>
        <w:jc w:val="both"/>
        <w:rPr>
          <w:rFonts w:ascii="Times New Roman" w:hAnsi="Times New Roman" w:cs="Times New Roman"/>
          <w:b/>
          <w:sz w:val="28"/>
          <w:szCs w:val="28"/>
        </w:rPr>
      </w:pPr>
      <w:r w:rsidRPr="00CB543A">
        <w:rPr>
          <w:rFonts w:ascii="Times New Roman" w:hAnsi="Times New Roman" w:cs="Times New Roman"/>
          <w:b/>
          <w:sz w:val="28"/>
          <w:szCs w:val="28"/>
        </w:rPr>
        <w:t>Hechos probados</w:t>
      </w:r>
    </w:p>
    <w:p w:rsidR="00171C89" w:rsidRPr="00CB543A" w:rsidRDefault="00171C89" w:rsidP="00CB543A">
      <w:pPr>
        <w:widowControl w:val="0"/>
        <w:spacing w:after="0" w:line="240" w:lineRule="auto"/>
        <w:contextualSpacing/>
        <w:jc w:val="both"/>
        <w:rPr>
          <w:rFonts w:ascii="Times New Roman" w:hAnsi="Times New Roman" w:cs="Times New Roman"/>
          <w:b/>
          <w:sz w:val="28"/>
          <w:szCs w:val="28"/>
        </w:rPr>
      </w:pPr>
    </w:p>
    <w:p w:rsidR="00171C89" w:rsidRPr="00CB543A" w:rsidRDefault="00171C89" w:rsidP="00CB543A">
      <w:pPr>
        <w:widowControl w:val="0"/>
        <w:numPr>
          <w:ilvl w:val="0"/>
          <w:numId w:val="32"/>
        </w:numPr>
        <w:tabs>
          <w:tab w:val="left" w:pos="284"/>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El accionante nació el 28 de julio de 1950. Para el momento de presentación de la acción de tutela tenía 58 años. Cuando entró en vigencia la </w:t>
      </w:r>
      <w:r w:rsidRPr="00CB543A">
        <w:rPr>
          <w:rFonts w:ascii="Times New Roman" w:hAnsi="Times New Roman" w:cs="Times New Roman"/>
          <w:sz w:val="28"/>
          <w:szCs w:val="28"/>
        </w:rPr>
        <w:lastRenderedPageBreak/>
        <w:t>Ley 100 de 1993</w:t>
      </w:r>
      <w:r w:rsidRPr="00CB543A">
        <w:rPr>
          <w:rFonts w:ascii="Times New Roman" w:hAnsi="Times New Roman" w:cs="Times New Roman"/>
          <w:sz w:val="28"/>
          <w:szCs w:val="28"/>
          <w:vertAlign w:val="superscript"/>
        </w:rPr>
        <w:footnoteReference w:id="3"/>
      </w:r>
      <w:r w:rsidRPr="00CB543A">
        <w:rPr>
          <w:rFonts w:ascii="Times New Roman" w:hAnsi="Times New Roman" w:cs="Times New Roman"/>
          <w:sz w:val="28"/>
          <w:szCs w:val="28"/>
        </w:rPr>
        <w:t xml:space="preserve">, el señor Ramírez Gil tenía 43 años y </w:t>
      </w:r>
      <w:r w:rsidRPr="00CB543A">
        <w:rPr>
          <w:rFonts w:ascii="Times New Roman" w:hAnsi="Times New Roman" w:cs="Times New Roman"/>
          <w:i/>
          <w:sz w:val="28"/>
          <w:szCs w:val="28"/>
        </w:rPr>
        <w:t>“[…] llevaba laborando para el Estado más de 15 años”</w:t>
      </w:r>
      <w:r w:rsidRPr="00CB543A">
        <w:rPr>
          <w:rStyle w:val="Refdenotaalpie"/>
          <w:rFonts w:ascii="Times New Roman" w:hAnsi="Times New Roman" w:cs="Times New Roman"/>
          <w:sz w:val="28"/>
          <w:szCs w:val="28"/>
        </w:rPr>
        <w:footnoteReference w:id="4"/>
      </w:r>
      <w:r w:rsidRPr="00CB543A">
        <w:rPr>
          <w:rFonts w:ascii="Times New Roman" w:hAnsi="Times New Roman" w:cs="Times New Roman"/>
          <w:sz w:val="28"/>
          <w:szCs w:val="28"/>
        </w:rPr>
        <w:t xml:space="preserve">. Esta situación, según lo que se deriva del expediente de tutela, hace que el tutelante sea beneficiario del régimen de transición de que trata el artículo 36 </w:t>
      </w:r>
      <w:r w:rsidRPr="00CB543A">
        <w:rPr>
          <w:rFonts w:ascii="Times New Roman" w:hAnsi="Times New Roman" w:cs="Times New Roman"/>
          <w:i/>
          <w:sz w:val="28"/>
          <w:szCs w:val="28"/>
        </w:rPr>
        <w:t>ibídem</w:t>
      </w:r>
      <w:r w:rsidRPr="00CB543A">
        <w:rPr>
          <w:rFonts w:ascii="Times New Roman" w:hAnsi="Times New Roman" w:cs="Times New Roman"/>
          <w:sz w:val="28"/>
          <w:szCs w:val="28"/>
        </w:rPr>
        <w:t>.</w:t>
      </w:r>
    </w:p>
    <w:p w:rsidR="00171C89" w:rsidRPr="00CB543A" w:rsidRDefault="00171C89" w:rsidP="00CB543A">
      <w:pPr>
        <w:tabs>
          <w:tab w:val="left" w:pos="284"/>
        </w:tabs>
        <w:spacing w:after="0" w:line="240" w:lineRule="auto"/>
        <w:ind w:right="56"/>
        <w:contextualSpacing/>
        <w:jc w:val="both"/>
        <w:rPr>
          <w:rFonts w:ascii="Times New Roman" w:hAnsi="Times New Roman" w:cs="Times New Roman"/>
          <w:sz w:val="28"/>
          <w:szCs w:val="28"/>
        </w:rPr>
      </w:pPr>
    </w:p>
    <w:p w:rsidR="00171C89" w:rsidRPr="00CB543A" w:rsidRDefault="00171C89" w:rsidP="00CB543A">
      <w:pPr>
        <w:widowControl w:val="0"/>
        <w:numPr>
          <w:ilvl w:val="0"/>
          <w:numId w:val="32"/>
        </w:numPr>
        <w:tabs>
          <w:tab w:val="left" w:pos="284"/>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El 27 de junio de 1996, en ejercicio del derecho fundamental de petición, el accionante le solicitó a la otrora Caja de Previsión Social de Comunicaciones (CAPRECOM), el reconocimiento y pago de la pensión de jubilación a la que consideró tener derecho. La solicitud se resolvió favorablemente en la Resolución No. 0458 del 11 de marzo de 1997, en la que se dispuso lo siguiente:</w:t>
      </w:r>
    </w:p>
    <w:p w:rsidR="00171C89" w:rsidRPr="00CB543A" w:rsidRDefault="00171C89" w:rsidP="00CB543A">
      <w:pPr>
        <w:tabs>
          <w:tab w:val="left" w:pos="284"/>
        </w:tabs>
        <w:spacing w:after="0" w:line="240" w:lineRule="auto"/>
        <w:contextualSpacing/>
        <w:rPr>
          <w:rFonts w:ascii="Times New Roman" w:hAnsi="Times New Roman" w:cs="Times New Roman"/>
          <w:sz w:val="28"/>
          <w:szCs w:val="28"/>
        </w:rPr>
      </w:pPr>
    </w:p>
    <w:p w:rsidR="00171C89" w:rsidRPr="00CB543A" w:rsidRDefault="00171C89" w:rsidP="00CB543A">
      <w:pPr>
        <w:spacing w:after="0" w:line="240" w:lineRule="auto"/>
        <w:ind w:left="564" w:right="624"/>
        <w:contextualSpacing/>
        <w:jc w:val="both"/>
        <w:rPr>
          <w:rFonts w:ascii="Times New Roman" w:hAnsi="Times New Roman" w:cs="Times New Roman"/>
          <w:b/>
          <w:i/>
          <w:sz w:val="28"/>
          <w:szCs w:val="28"/>
        </w:rPr>
      </w:pPr>
      <w:r w:rsidRPr="00CB543A">
        <w:rPr>
          <w:rFonts w:ascii="Times New Roman" w:hAnsi="Times New Roman" w:cs="Times New Roman"/>
          <w:i/>
          <w:sz w:val="28"/>
          <w:szCs w:val="28"/>
        </w:rPr>
        <w:t xml:space="preserve">“ARTÍCULO PRIMERO: Reconocer a LAUREANO AUGUSTO RAMÍREZ GIL (…), una pensión mensual vitalicia de jubilación, en cuantía de (…) $ 864.285,33, </w:t>
      </w:r>
      <w:r w:rsidRPr="00CB543A">
        <w:rPr>
          <w:rFonts w:ascii="Times New Roman" w:hAnsi="Times New Roman" w:cs="Times New Roman"/>
          <w:b/>
          <w:i/>
          <w:sz w:val="28"/>
          <w:szCs w:val="28"/>
        </w:rPr>
        <w:t>a partir de la fecha en que demuestre el retiro definitivo del servicio oficial.</w:t>
      </w:r>
    </w:p>
    <w:p w:rsidR="00171C89" w:rsidRPr="00CB543A" w:rsidRDefault="00171C89" w:rsidP="00CB543A">
      <w:pPr>
        <w:spacing w:after="0" w:line="240" w:lineRule="auto"/>
        <w:ind w:left="564" w:right="624"/>
        <w:contextualSpacing/>
        <w:jc w:val="both"/>
        <w:rPr>
          <w:rFonts w:ascii="Times New Roman" w:hAnsi="Times New Roman" w:cs="Times New Roman"/>
          <w:i/>
          <w:sz w:val="28"/>
          <w:szCs w:val="28"/>
        </w:rPr>
      </w:pPr>
    </w:p>
    <w:p w:rsidR="00171C89" w:rsidRPr="00CB543A" w:rsidRDefault="00171C89" w:rsidP="00CB543A">
      <w:pPr>
        <w:spacing w:after="0" w:line="240" w:lineRule="auto"/>
        <w:ind w:left="564" w:right="624"/>
        <w:contextualSpacing/>
        <w:jc w:val="both"/>
        <w:rPr>
          <w:rFonts w:ascii="Times New Roman" w:hAnsi="Times New Roman" w:cs="Times New Roman"/>
          <w:i/>
          <w:sz w:val="28"/>
          <w:szCs w:val="28"/>
        </w:rPr>
      </w:pPr>
      <w:r w:rsidRPr="00CB543A">
        <w:rPr>
          <w:rFonts w:ascii="Times New Roman" w:hAnsi="Times New Roman" w:cs="Times New Roman"/>
          <w:i/>
          <w:sz w:val="28"/>
          <w:szCs w:val="28"/>
        </w:rPr>
        <w:t>La suma anterior estará a cargo de CAJANAL $300.499,82, Empresas de Energía de Bogotá $24.101,28, Telecom $446.593,83 y [Fondo Reserva] Pensional Caprecom $ 93.140,40</w:t>
      </w:r>
      <w:r w:rsidR="00583B2D" w:rsidRPr="00CB543A">
        <w:rPr>
          <w:rFonts w:ascii="Times New Roman" w:hAnsi="Times New Roman" w:cs="Times New Roman"/>
          <w:i/>
          <w:sz w:val="28"/>
          <w:szCs w:val="28"/>
        </w:rPr>
        <w:t xml:space="preserve"> </w:t>
      </w:r>
      <w:r w:rsidRPr="00CB543A">
        <w:rPr>
          <w:rFonts w:ascii="Times New Roman" w:hAnsi="Times New Roman" w:cs="Times New Roman"/>
          <w:i/>
          <w:sz w:val="28"/>
          <w:szCs w:val="28"/>
        </w:rPr>
        <w:t>(…)”</w:t>
      </w:r>
      <w:r w:rsidRPr="00CB543A">
        <w:rPr>
          <w:rFonts w:ascii="Times New Roman" w:hAnsi="Times New Roman" w:cs="Times New Roman"/>
          <w:sz w:val="28"/>
          <w:szCs w:val="28"/>
          <w:vertAlign w:val="superscript"/>
        </w:rPr>
        <w:footnoteReference w:id="5"/>
      </w:r>
      <w:r w:rsidR="00583B2D" w:rsidRPr="00CB543A">
        <w:rPr>
          <w:rFonts w:ascii="Times New Roman" w:hAnsi="Times New Roman" w:cs="Times New Roman"/>
          <w:i/>
          <w:sz w:val="28"/>
          <w:szCs w:val="28"/>
        </w:rPr>
        <w:t xml:space="preserve"> </w:t>
      </w:r>
      <w:r w:rsidRPr="00CB543A">
        <w:rPr>
          <w:rFonts w:ascii="Times New Roman" w:hAnsi="Times New Roman" w:cs="Times New Roman"/>
          <w:sz w:val="28"/>
          <w:szCs w:val="28"/>
        </w:rPr>
        <w:t>(negrillas propias)</w:t>
      </w:r>
      <w:r w:rsidRPr="00CB543A">
        <w:rPr>
          <w:rFonts w:ascii="Times New Roman" w:hAnsi="Times New Roman" w:cs="Times New Roman"/>
          <w:i/>
          <w:sz w:val="28"/>
          <w:szCs w:val="28"/>
        </w:rPr>
        <w:t>.</w:t>
      </w:r>
    </w:p>
    <w:p w:rsidR="00171C89" w:rsidRPr="00CB543A" w:rsidRDefault="00171C89" w:rsidP="00CB543A">
      <w:pPr>
        <w:widowControl w:val="0"/>
        <w:spacing w:after="0" w:line="240" w:lineRule="auto"/>
        <w:ind w:right="56"/>
        <w:contextualSpacing/>
        <w:jc w:val="both"/>
        <w:rPr>
          <w:rFonts w:ascii="Times New Roman" w:hAnsi="Times New Roman" w:cs="Times New Roman"/>
          <w:sz w:val="28"/>
          <w:szCs w:val="28"/>
        </w:rPr>
      </w:pPr>
    </w:p>
    <w:p w:rsidR="00171C89" w:rsidRPr="00CB543A" w:rsidRDefault="00171C89" w:rsidP="00CB543A">
      <w:pPr>
        <w:widowControl w:val="0"/>
        <w:numPr>
          <w:ilvl w:val="0"/>
          <w:numId w:val="32"/>
        </w:numPr>
        <w:tabs>
          <w:tab w:val="left" w:pos="284"/>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La pensión fue liquidada con fundamento en el régimen especial contenido en los Decretos 1237 de 1946, 2661 de 1990, 1848 de 1969, 3135 de 1966 y las leyes</w:t>
      </w:r>
      <w:r w:rsidR="00BB221A">
        <w:rPr>
          <w:rFonts w:ascii="Times New Roman" w:hAnsi="Times New Roman" w:cs="Times New Roman"/>
          <w:sz w:val="28"/>
          <w:szCs w:val="28"/>
        </w:rPr>
        <w:t xml:space="preserve"> </w:t>
      </w:r>
      <w:r w:rsidRPr="00CB543A">
        <w:rPr>
          <w:rFonts w:ascii="Times New Roman" w:hAnsi="Times New Roman" w:cs="Times New Roman"/>
          <w:sz w:val="28"/>
          <w:szCs w:val="28"/>
        </w:rPr>
        <w:t>4ª de 1966 y 33 y 62 de 1985</w:t>
      </w:r>
      <w:r w:rsidRPr="00CB543A">
        <w:rPr>
          <w:rStyle w:val="Refdenotaalpie"/>
          <w:rFonts w:ascii="Times New Roman" w:hAnsi="Times New Roman" w:cs="Times New Roman"/>
          <w:sz w:val="28"/>
          <w:szCs w:val="28"/>
        </w:rPr>
        <w:footnoteReference w:id="6"/>
      </w:r>
      <w:r w:rsidRPr="00CB543A">
        <w:rPr>
          <w:rFonts w:ascii="Times New Roman" w:hAnsi="Times New Roman" w:cs="Times New Roman"/>
          <w:sz w:val="28"/>
          <w:szCs w:val="28"/>
        </w:rPr>
        <w:t xml:space="preserve">, esto es, tomando como </w:t>
      </w:r>
      <w:r w:rsidRPr="00CB543A">
        <w:rPr>
          <w:rFonts w:ascii="Times New Roman" w:hAnsi="Times New Roman" w:cs="Times New Roman"/>
          <w:i/>
          <w:sz w:val="28"/>
          <w:szCs w:val="28"/>
        </w:rPr>
        <w:t>“[…] ingreso base para el reconocimiento del monto de la [prestación], el 75% del promedio mensual de las asignaciones devengadas en el último año de servicios […]”</w:t>
      </w:r>
      <w:r w:rsidRPr="00CB543A">
        <w:rPr>
          <w:rStyle w:val="Refdenotaalpie"/>
          <w:rFonts w:ascii="Times New Roman" w:hAnsi="Times New Roman" w:cs="Times New Roman"/>
          <w:sz w:val="28"/>
          <w:szCs w:val="28"/>
        </w:rPr>
        <w:footnoteReference w:id="7"/>
      </w:r>
      <w:r w:rsidRPr="00CB543A">
        <w:rPr>
          <w:rFonts w:ascii="Times New Roman" w:hAnsi="Times New Roman" w:cs="Times New Roman"/>
          <w:sz w:val="28"/>
          <w:szCs w:val="28"/>
        </w:rPr>
        <w:t>.</w:t>
      </w:r>
    </w:p>
    <w:p w:rsidR="00171C89" w:rsidRPr="00CB543A" w:rsidRDefault="00171C89" w:rsidP="00CB543A">
      <w:pPr>
        <w:widowControl w:val="0"/>
        <w:tabs>
          <w:tab w:val="left" w:pos="284"/>
        </w:tabs>
        <w:spacing w:after="0" w:line="240" w:lineRule="auto"/>
        <w:ind w:right="56"/>
        <w:contextualSpacing/>
        <w:jc w:val="both"/>
        <w:rPr>
          <w:rFonts w:ascii="Times New Roman" w:hAnsi="Times New Roman" w:cs="Times New Roman"/>
          <w:sz w:val="28"/>
          <w:szCs w:val="28"/>
        </w:rPr>
      </w:pPr>
    </w:p>
    <w:p w:rsidR="00171C89" w:rsidRPr="00CB543A" w:rsidRDefault="00171C89" w:rsidP="00CB543A">
      <w:pPr>
        <w:widowControl w:val="0"/>
        <w:numPr>
          <w:ilvl w:val="0"/>
          <w:numId w:val="32"/>
        </w:numPr>
        <w:tabs>
          <w:tab w:val="left" w:pos="284"/>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El señor Ramírez Gil se retiró definitivamente del servicio el 1 de mayo del año 2003</w:t>
      </w:r>
      <w:r w:rsidRPr="00CB543A">
        <w:rPr>
          <w:rStyle w:val="Refdenotaalpie"/>
          <w:rFonts w:ascii="Times New Roman" w:hAnsi="Times New Roman" w:cs="Times New Roman"/>
          <w:sz w:val="28"/>
          <w:szCs w:val="28"/>
        </w:rPr>
        <w:footnoteReference w:id="8"/>
      </w:r>
      <w:r w:rsidRPr="00CB543A">
        <w:rPr>
          <w:rFonts w:ascii="Times New Roman" w:hAnsi="Times New Roman" w:cs="Times New Roman"/>
          <w:sz w:val="28"/>
          <w:szCs w:val="28"/>
        </w:rPr>
        <w:t xml:space="preserve"> y, en consecuencia, le solicitó</w:t>
      </w:r>
      <w:r w:rsidRPr="00CB543A">
        <w:rPr>
          <w:rStyle w:val="Refdenotaalpie"/>
          <w:rFonts w:ascii="Times New Roman" w:hAnsi="Times New Roman" w:cs="Times New Roman"/>
          <w:sz w:val="28"/>
          <w:szCs w:val="28"/>
        </w:rPr>
        <w:footnoteReference w:id="9"/>
      </w:r>
      <w:r w:rsidRPr="00CB543A">
        <w:rPr>
          <w:rFonts w:ascii="Times New Roman" w:hAnsi="Times New Roman" w:cs="Times New Roman"/>
          <w:sz w:val="28"/>
          <w:szCs w:val="28"/>
        </w:rPr>
        <w:t xml:space="preserve"> a CAPRECOM la reliquidación de la pensión de jubilación reconocida por la Resolución No. 0458 de 1997</w:t>
      </w:r>
      <w:r w:rsidR="00817A53" w:rsidRPr="00CB543A">
        <w:rPr>
          <w:rFonts w:ascii="Times New Roman" w:hAnsi="Times New Roman" w:cs="Times New Roman"/>
          <w:sz w:val="28"/>
          <w:szCs w:val="28"/>
        </w:rPr>
        <w:t>, de conformidad con lo dispuesto por el artículo 150 de la Ley 100 de 1993</w:t>
      </w:r>
      <w:r w:rsidR="00DB2500" w:rsidRPr="00CB543A">
        <w:rPr>
          <w:rStyle w:val="Refdenotaalpie"/>
          <w:rFonts w:ascii="Times New Roman" w:hAnsi="Times New Roman" w:cs="Times New Roman"/>
          <w:sz w:val="28"/>
          <w:szCs w:val="28"/>
        </w:rPr>
        <w:footnoteReference w:id="10"/>
      </w:r>
      <w:r w:rsidRPr="00CB543A">
        <w:rPr>
          <w:rFonts w:ascii="Times New Roman" w:hAnsi="Times New Roman" w:cs="Times New Roman"/>
          <w:sz w:val="28"/>
          <w:szCs w:val="28"/>
        </w:rPr>
        <w:t xml:space="preserve">. La entidad, por medio de la Resolución No. 1927 del 3 de septiembre del 2003, </w:t>
      </w:r>
      <w:r w:rsidRPr="00CB543A">
        <w:rPr>
          <w:rFonts w:ascii="Times New Roman" w:hAnsi="Times New Roman" w:cs="Times New Roman"/>
          <w:sz w:val="28"/>
          <w:szCs w:val="28"/>
        </w:rPr>
        <w:lastRenderedPageBreak/>
        <w:t>accedió a la reliquidación de la prestación, pero tomó como ingreso base el promedio de lo devengado en los últimos diez (10) años de servicios; en otras palabras, aplicó el inciso 3º del artículo 36 de la Ley 100 de 1993. En efecto, en dicha resolución se calculó el 75% de los factores legales</w:t>
      </w:r>
      <w:r w:rsidRPr="00CB543A">
        <w:rPr>
          <w:rStyle w:val="Refdenotaalpie"/>
          <w:rFonts w:ascii="Times New Roman" w:hAnsi="Times New Roman" w:cs="Times New Roman"/>
          <w:sz w:val="28"/>
          <w:szCs w:val="28"/>
        </w:rPr>
        <w:footnoteReference w:id="11"/>
      </w:r>
      <w:r w:rsidR="00BB221A">
        <w:rPr>
          <w:rFonts w:ascii="Times New Roman" w:hAnsi="Times New Roman" w:cs="Times New Roman"/>
          <w:sz w:val="28"/>
          <w:szCs w:val="28"/>
        </w:rPr>
        <w:t xml:space="preserve"> </w:t>
      </w:r>
      <w:r w:rsidRPr="00CB543A">
        <w:rPr>
          <w:rFonts w:ascii="Times New Roman" w:hAnsi="Times New Roman" w:cs="Times New Roman"/>
          <w:sz w:val="28"/>
          <w:szCs w:val="28"/>
        </w:rPr>
        <w:t>y extralegales</w:t>
      </w:r>
      <w:r w:rsidRPr="00CB543A">
        <w:rPr>
          <w:rStyle w:val="Refdenotaalpie"/>
          <w:rFonts w:ascii="Times New Roman" w:hAnsi="Times New Roman" w:cs="Times New Roman"/>
          <w:sz w:val="28"/>
          <w:szCs w:val="28"/>
        </w:rPr>
        <w:footnoteReference w:id="12"/>
      </w:r>
      <w:r w:rsidRPr="00CB543A">
        <w:rPr>
          <w:rFonts w:ascii="Times New Roman" w:hAnsi="Times New Roman" w:cs="Times New Roman"/>
          <w:sz w:val="28"/>
          <w:szCs w:val="28"/>
        </w:rPr>
        <w:t xml:space="preserve"> de los últimos diez (10) años y, con fundamento en esto, resolvió:</w:t>
      </w:r>
    </w:p>
    <w:p w:rsidR="00171C89" w:rsidRPr="00CB543A" w:rsidRDefault="00171C89" w:rsidP="00CB543A">
      <w:pPr>
        <w:pStyle w:val="Prrafodelista"/>
        <w:spacing w:after="0" w:line="240" w:lineRule="auto"/>
        <w:rPr>
          <w:rFonts w:ascii="Times New Roman" w:hAnsi="Times New Roman" w:cs="Times New Roman"/>
          <w:sz w:val="28"/>
          <w:szCs w:val="28"/>
        </w:rPr>
      </w:pPr>
    </w:p>
    <w:p w:rsidR="00171C89" w:rsidRPr="00CB543A" w:rsidRDefault="00171C89" w:rsidP="00CB543A">
      <w:pPr>
        <w:spacing w:after="0" w:line="240" w:lineRule="auto"/>
        <w:ind w:left="564" w:right="624"/>
        <w:contextualSpacing/>
        <w:jc w:val="both"/>
        <w:rPr>
          <w:rFonts w:ascii="Times New Roman" w:hAnsi="Times New Roman" w:cs="Times New Roman"/>
          <w:i/>
          <w:sz w:val="28"/>
          <w:szCs w:val="28"/>
        </w:rPr>
      </w:pPr>
      <w:r w:rsidRPr="00CB543A">
        <w:rPr>
          <w:rFonts w:ascii="Times New Roman" w:hAnsi="Times New Roman" w:cs="Times New Roman"/>
          <w:i/>
          <w:sz w:val="28"/>
          <w:szCs w:val="28"/>
        </w:rPr>
        <w:t>“ARTÍCULO PRIMERO: RELIQUIDAR la pensión mensual de jubilación a LAUREANO AUGUSTO RAMÍREZ GIL (…), en cuantía de CUATRO MILLONES VEINTISIETE MIL NOVECIENTOS CINCUENTA Y OCHO PESOS ($4.027.958,00) M/cte, a partir del 1º de mayo de 2003, fecha en la cual demostró el retiro definitivo del servicio oficial</w:t>
      </w:r>
      <w:r w:rsidR="00583B2D" w:rsidRPr="00CB543A">
        <w:rPr>
          <w:rFonts w:ascii="Times New Roman" w:hAnsi="Times New Roman" w:cs="Times New Roman"/>
          <w:i/>
          <w:sz w:val="28"/>
          <w:szCs w:val="28"/>
        </w:rPr>
        <w:t xml:space="preserve"> </w:t>
      </w:r>
      <w:r w:rsidRPr="00CB543A">
        <w:rPr>
          <w:rFonts w:ascii="Times New Roman" w:hAnsi="Times New Roman" w:cs="Times New Roman"/>
          <w:i/>
          <w:sz w:val="28"/>
          <w:szCs w:val="28"/>
        </w:rPr>
        <w:t>(…)”</w:t>
      </w:r>
      <w:r w:rsidRPr="00CB543A">
        <w:rPr>
          <w:rFonts w:ascii="Times New Roman" w:hAnsi="Times New Roman" w:cs="Times New Roman"/>
          <w:sz w:val="28"/>
          <w:szCs w:val="28"/>
          <w:vertAlign w:val="superscript"/>
        </w:rPr>
        <w:footnoteReference w:id="13"/>
      </w:r>
      <w:r w:rsidRPr="00CB543A">
        <w:rPr>
          <w:rFonts w:ascii="Times New Roman" w:hAnsi="Times New Roman" w:cs="Times New Roman"/>
          <w:i/>
          <w:sz w:val="28"/>
          <w:szCs w:val="28"/>
        </w:rPr>
        <w:t>.</w:t>
      </w:r>
    </w:p>
    <w:p w:rsidR="00171C89" w:rsidRPr="00CB543A" w:rsidRDefault="00171C89" w:rsidP="00CB543A">
      <w:pPr>
        <w:pStyle w:val="Prrafodelista"/>
        <w:spacing w:after="0" w:line="240" w:lineRule="auto"/>
        <w:rPr>
          <w:rFonts w:ascii="Times New Roman" w:hAnsi="Times New Roman" w:cs="Times New Roman"/>
          <w:sz w:val="28"/>
          <w:szCs w:val="28"/>
        </w:rPr>
      </w:pPr>
    </w:p>
    <w:p w:rsidR="00171C89" w:rsidRPr="00CB543A" w:rsidRDefault="00171C89" w:rsidP="00CB543A">
      <w:pPr>
        <w:widowControl w:val="0"/>
        <w:numPr>
          <w:ilvl w:val="0"/>
          <w:numId w:val="32"/>
        </w:numPr>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El 2 de mayo del 2005, la parte actora le solicitó a CAPRECOM que reliquidara la pensión de jubilación, teniendo como base de liquidación el 75% de los factores legales y extralegales devengados en el último año de servicios, esto es, basado en el </w:t>
      </w:r>
      <w:r w:rsidR="00103F1D" w:rsidRPr="00CB543A">
        <w:rPr>
          <w:rFonts w:ascii="Times New Roman" w:hAnsi="Times New Roman" w:cs="Times New Roman"/>
          <w:sz w:val="28"/>
          <w:szCs w:val="28"/>
        </w:rPr>
        <w:t>Ingreso Base de Liquidación (IBL)</w:t>
      </w:r>
      <w:r w:rsidR="00103F1D" w:rsidRPr="00CB543A">
        <w:rPr>
          <w:rStyle w:val="Refdenotaalpie"/>
          <w:rFonts w:ascii="Times New Roman" w:hAnsi="Times New Roman" w:cs="Times New Roman"/>
          <w:sz w:val="28"/>
          <w:szCs w:val="28"/>
        </w:rPr>
        <w:footnoteReference w:id="14"/>
      </w:r>
      <w:r w:rsidR="00103F1D" w:rsidRPr="00CB543A">
        <w:rPr>
          <w:rFonts w:ascii="Times New Roman" w:hAnsi="Times New Roman" w:cs="Times New Roman"/>
          <w:sz w:val="28"/>
          <w:szCs w:val="28"/>
        </w:rPr>
        <w:t xml:space="preserve"> </w:t>
      </w:r>
      <w:r w:rsidRPr="00CB543A">
        <w:rPr>
          <w:rFonts w:ascii="Times New Roman" w:hAnsi="Times New Roman" w:cs="Times New Roman"/>
          <w:sz w:val="28"/>
          <w:szCs w:val="28"/>
        </w:rPr>
        <w:t>del régimen especial y no en el de la Ley 100 de 1993. La petición, sin embargo, se resolvió de forma negativa por la Caja de Previsión</w:t>
      </w:r>
      <w:r w:rsidRPr="00CB543A">
        <w:rPr>
          <w:rStyle w:val="Refdenotaalpie"/>
          <w:rFonts w:ascii="Times New Roman" w:hAnsi="Times New Roman" w:cs="Times New Roman"/>
          <w:sz w:val="28"/>
          <w:szCs w:val="28"/>
        </w:rPr>
        <w:footnoteReference w:id="15"/>
      </w:r>
      <w:r w:rsidRPr="00CB543A">
        <w:rPr>
          <w:rFonts w:ascii="Times New Roman" w:hAnsi="Times New Roman" w:cs="Times New Roman"/>
          <w:sz w:val="28"/>
          <w:szCs w:val="28"/>
        </w:rPr>
        <w:t>.</w:t>
      </w:r>
    </w:p>
    <w:p w:rsidR="00171C89" w:rsidRPr="00CB543A" w:rsidRDefault="00171C89" w:rsidP="00CB543A">
      <w:pPr>
        <w:widowControl w:val="0"/>
        <w:spacing w:after="0" w:line="240" w:lineRule="auto"/>
        <w:ind w:right="56"/>
        <w:contextualSpacing/>
        <w:jc w:val="both"/>
        <w:rPr>
          <w:rFonts w:ascii="Times New Roman" w:hAnsi="Times New Roman" w:cs="Times New Roman"/>
          <w:sz w:val="28"/>
          <w:szCs w:val="28"/>
        </w:rPr>
      </w:pPr>
    </w:p>
    <w:p w:rsidR="00171C89" w:rsidRPr="00CB543A" w:rsidRDefault="00171C89" w:rsidP="00CB543A">
      <w:pPr>
        <w:widowControl w:val="0"/>
        <w:numPr>
          <w:ilvl w:val="0"/>
          <w:numId w:val="32"/>
        </w:numPr>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En ejercicio de la acción de tutela, el accionante demandó a CAPRECOM con la pretensión de que se ordenara la reliquidación de su pensión de jubilación. Para tales fines, puso de presente que, según la jurisprudencia del Consejo de Estado y de la Corte Constitucional, la forma para calcular el monto base de la pensión, contenida en el inciso 3º del artículo 36 de la Ley 100 del año 1993, únicamente se aplica en aquellos casos en los que el régimen especial no hubiese estipulado formula alguna para calcularlo</w:t>
      </w:r>
      <w:r w:rsidRPr="00CB543A">
        <w:rPr>
          <w:rStyle w:val="Refdenotaalpie"/>
          <w:rFonts w:ascii="Times New Roman" w:hAnsi="Times New Roman" w:cs="Times New Roman"/>
          <w:sz w:val="28"/>
          <w:szCs w:val="28"/>
        </w:rPr>
        <w:footnoteReference w:id="16"/>
      </w:r>
      <w:r w:rsidRPr="00CB543A">
        <w:rPr>
          <w:rFonts w:ascii="Times New Roman" w:hAnsi="Times New Roman" w:cs="Times New Roman"/>
          <w:sz w:val="28"/>
          <w:szCs w:val="28"/>
        </w:rPr>
        <w:t>.</w:t>
      </w:r>
    </w:p>
    <w:p w:rsidR="00171C89" w:rsidRPr="00CB543A" w:rsidRDefault="00171C89" w:rsidP="00CB543A">
      <w:pPr>
        <w:widowControl w:val="0"/>
        <w:spacing w:after="0" w:line="240" w:lineRule="auto"/>
        <w:ind w:left="720"/>
        <w:contextualSpacing/>
        <w:rPr>
          <w:rFonts w:ascii="Times New Roman" w:hAnsi="Times New Roman" w:cs="Times New Roman"/>
          <w:sz w:val="28"/>
          <w:szCs w:val="28"/>
        </w:rPr>
      </w:pPr>
    </w:p>
    <w:p w:rsidR="00171C89" w:rsidRPr="00CB543A" w:rsidRDefault="00171C89" w:rsidP="00CB543A">
      <w:pPr>
        <w:widowControl w:val="0"/>
        <w:numPr>
          <w:ilvl w:val="0"/>
          <w:numId w:val="32"/>
        </w:numPr>
        <w:tabs>
          <w:tab w:val="left" w:pos="284"/>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Los jueces de tutela de instancia declararon la improcedencia de la acción, al considerar que no se acreditaron los requisitos de inmediatez</w:t>
      </w:r>
      <w:r w:rsidRPr="00CB543A">
        <w:rPr>
          <w:rStyle w:val="Refdenotaalpie"/>
          <w:rFonts w:ascii="Times New Roman" w:hAnsi="Times New Roman" w:cs="Times New Roman"/>
          <w:sz w:val="28"/>
          <w:szCs w:val="28"/>
        </w:rPr>
        <w:footnoteReference w:id="17"/>
      </w:r>
      <w:r w:rsidRPr="00CB543A">
        <w:rPr>
          <w:rFonts w:ascii="Times New Roman" w:hAnsi="Times New Roman" w:cs="Times New Roman"/>
          <w:sz w:val="28"/>
          <w:szCs w:val="28"/>
        </w:rPr>
        <w:t xml:space="preserve"> y de subsidiariedad. Para lo primero, consideraron que entre la decisión referida en el numeral anterior y la presentación de la demanda, habían transcurrido aproximadamente veinte (20) meses y, para lo segundo, que se debió acudir a los jueces ordinarios para solucionar la controversia. </w:t>
      </w:r>
    </w:p>
    <w:p w:rsidR="00171C89" w:rsidRPr="00CB543A" w:rsidRDefault="00171C89" w:rsidP="00CB543A">
      <w:pPr>
        <w:widowControl w:val="0"/>
        <w:tabs>
          <w:tab w:val="left" w:pos="284"/>
        </w:tabs>
        <w:spacing w:after="0" w:line="240" w:lineRule="auto"/>
        <w:ind w:right="56"/>
        <w:contextualSpacing/>
        <w:jc w:val="both"/>
        <w:rPr>
          <w:rFonts w:ascii="Times New Roman" w:hAnsi="Times New Roman" w:cs="Times New Roman"/>
          <w:sz w:val="28"/>
          <w:szCs w:val="28"/>
        </w:rPr>
      </w:pPr>
    </w:p>
    <w:p w:rsidR="00171C89" w:rsidRPr="00CB543A" w:rsidRDefault="00171C89" w:rsidP="00CB543A">
      <w:pPr>
        <w:widowControl w:val="0"/>
        <w:numPr>
          <w:ilvl w:val="0"/>
          <w:numId w:val="32"/>
        </w:numPr>
        <w:tabs>
          <w:tab w:val="left" w:pos="284"/>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El proceso fue seleccionado por la Corte para revisión. Mediante la sentencia T-158 de 2006 confirmó la decisión con fundamento en estas razones:</w:t>
      </w:r>
    </w:p>
    <w:p w:rsidR="00171C89" w:rsidRPr="00CB543A" w:rsidRDefault="00171C89" w:rsidP="00CB543A">
      <w:pPr>
        <w:pStyle w:val="Prrafodelista"/>
        <w:spacing w:after="0" w:line="240" w:lineRule="auto"/>
        <w:rPr>
          <w:rFonts w:ascii="Times New Roman" w:hAnsi="Times New Roman" w:cs="Times New Roman"/>
          <w:sz w:val="28"/>
          <w:szCs w:val="28"/>
        </w:rPr>
      </w:pPr>
    </w:p>
    <w:p w:rsidR="00171C89" w:rsidRPr="00CB543A" w:rsidRDefault="00171C89" w:rsidP="00CB543A">
      <w:pPr>
        <w:spacing w:after="0" w:line="240" w:lineRule="auto"/>
        <w:ind w:left="564" w:right="624"/>
        <w:contextualSpacing/>
        <w:jc w:val="both"/>
        <w:rPr>
          <w:rFonts w:ascii="Times New Roman" w:hAnsi="Times New Roman" w:cs="Times New Roman"/>
          <w:i/>
          <w:sz w:val="28"/>
          <w:szCs w:val="28"/>
        </w:rPr>
      </w:pPr>
      <w:r w:rsidRPr="00CB543A">
        <w:rPr>
          <w:rFonts w:ascii="Times New Roman" w:hAnsi="Times New Roman" w:cs="Times New Roman"/>
          <w:i/>
          <w:sz w:val="28"/>
          <w:szCs w:val="28"/>
        </w:rPr>
        <w:t xml:space="preserve">“Tal como lo ha estipulado esta Corte, la orden de tutela consistente en que se liquide o reliquide una pensión sólo es procedente, entre otros, (i) si el jubilado ha agotado la vía gubernativa para lograrlo, (ii) si no tiene otros mecanismos judiciales para ello o si por razones ajenas a su voluntad no puede hacer uso de éstos, o aquellos no resultan eficaces, y (iii) si con ello se pretende proteger derechos fundamentales del jubilado. La Corte encuentra que en el presente caso no se da ninguno de los supuestos anteriores. Además, la sala halla razón en los argumentos de los jueces de instancia, en el sentido que (iv) la falta de inmediatez en la interposición de la acción de tutela, refuerza el hecho que no se configure vulneración alguna de los derechos constitucionales del demandante, lo cual es una razón adicional para que no se conceda el amparo. </w:t>
      </w:r>
    </w:p>
    <w:p w:rsidR="00171C89" w:rsidRPr="00CB543A" w:rsidRDefault="00171C89" w:rsidP="00CB543A">
      <w:pPr>
        <w:spacing w:after="0" w:line="240" w:lineRule="auto"/>
        <w:ind w:left="564" w:right="624"/>
        <w:contextualSpacing/>
        <w:jc w:val="both"/>
        <w:rPr>
          <w:rFonts w:ascii="Times New Roman" w:hAnsi="Times New Roman" w:cs="Times New Roman"/>
          <w:i/>
          <w:sz w:val="28"/>
          <w:szCs w:val="28"/>
        </w:rPr>
      </w:pPr>
    </w:p>
    <w:p w:rsidR="00171C89" w:rsidRPr="00CB543A" w:rsidRDefault="00171C89" w:rsidP="00CB543A">
      <w:pPr>
        <w:spacing w:after="0" w:line="240" w:lineRule="auto"/>
        <w:ind w:left="564" w:right="624"/>
        <w:contextualSpacing/>
        <w:jc w:val="both"/>
        <w:rPr>
          <w:rFonts w:ascii="Times New Roman" w:hAnsi="Times New Roman" w:cs="Times New Roman"/>
          <w:i/>
          <w:sz w:val="28"/>
          <w:szCs w:val="28"/>
        </w:rPr>
      </w:pPr>
      <w:r w:rsidRPr="00CB543A">
        <w:rPr>
          <w:rFonts w:ascii="Times New Roman" w:hAnsi="Times New Roman" w:cs="Times New Roman"/>
          <w:i/>
          <w:sz w:val="28"/>
          <w:szCs w:val="28"/>
        </w:rPr>
        <w:t>24.- Por un lado, el actor no interpuso los recursos a su disposición para controvertir la resolución de reliquidación de la pensión. Surtiéndose la notificación de esta última en septiembre de 2003, el interesado sólo en mayo del 2005, es decir veinte (20) meses después, elevó derecho de petición para solicitar el reajuste. Ni el tutelante lo alega, ni en el expediente se demuestra que existió alguna razón de fuerza mayor o derivada de la especial condición del demandante que le hubiese significado la imposibilidad de haber recurrido la resolución en comento o haber solicitado antes la revisión de la misma. Tan sólo, el actor atina a decir en los escritos de tutela que los derechos laborales son imprescriptibles, y como tales el momento en que los haya alegado no incide en la procedencia de su protección por tutela. Sobre el anterior argumento la Sala de revisión se pronunciará más adelante.</w:t>
      </w:r>
    </w:p>
    <w:p w:rsidR="00171C89" w:rsidRPr="00CB543A" w:rsidRDefault="00171C89" w:rsidP="00CB543A">
      <w:pPr>
        <w:spacing w:after="0" w:line="240" w:lineRule="auto"/>
        <w:ind w:left="564" w:right="624"/>
        <w:contextualSpacing/>
        <w:jc w:val="both"/>
        <w:rPr>
          <w:rFonts w:ascii="Times New Roman" w:hAnsi="Times New Roman" w:cs="Times New Roman"/>
          <w:i/>
          <w:sz w:val="28"/>
          <w:szCs w:val="28"/>
        </w:rPr>
      </w:pPr>
    </w:p>
    <w:p w:rsidR="00171C89" w:rsidRPr="00CB543A" w:rsidRDefault="00171C89" w:rsidP="00CB543A">
      <w:pPr>
        <w:spacing w:after="0" w:line="240" w:lineRule="auto"/>
        <w:ind w:left="564" w:right="624"/>
        <w:contextualSpacing/>
        <w:jc w:val="both"/>
        <w:rPr>
          <w:rFonts w:ascii="Times New Roman" w:hAnsi="Times New Roman" w:cs="Times New Roman"/>
          <w:i/>
          <w:sz w:val="28"/>
          <w:szCs w:val="28"/>
        </w:rPr>
      </w:pPr>
      <w:r w:rsidRPr="00CB543A">
        <w:rPr>
          <w:rFonts w:ascii="Times New Roman" w:hAnsi="Times New Roman" w:cs="Times New Roman"/>
          <w:i/>
          <w:sz w:val="28"/>
          <w:szCs w:val="28"/>
        </w:rPr>
        <w:t xml:space="preserve">25.- De otro lado, el actor cuenta en efecto con la acción de nulidad y restablecimiento del derecho ante los jueces administrativos, para atacar la resolución de reliquidación con la cual no está conforme. Esta acción procede incluso en la actualidad, teniendo en cuenta que dicha resolución es de aquellos actos que reconocen una prestación periódica, frente a los cuales determina el artículo 136 del Código Contencioso Administrativo que la acción de restablecimiento procederá en cualquier tiempo[30]. Ahora bien, para efectos de lo que ha dispuesto esta Corporación respecto de la procedencia de la tutela en estos casos, en el expediente no se demuestra que el actor haya iniciado el proceso referido por la vía contencioso-administrativa. Así como tampoco, que hayan existido causas externas de fuerza mayor que se lo hayan impedido. De igual manera, las condiciones materiales del accionante, reveladas tanto por sus escritos como por los supuestos de hecho que enmarcan su situación, no permiten </w:t>
      </w:r>
      <w:r w:rsidRPr="00CB543A">
        <w:rPr>
          <w:rFonts w:ascii="Times New Roman" w:hAnsi="Times New Roman" w:cs="Times New Roman"/>
          <w:i/>
          <w:sz w:val="28"/>
          <w:szCs w:val="28"/>
        </w:rPr>
        <w:lastRenderedPageBreak/>
        <w:t>concluir que se trate de una persona sujeto de especial protección. No está cercano a la tercera edad[31] [en ese momento tenía 55 años] (71 años) [se refiere a la edad que se requería a juicio de la Sala], ni alega quebrantos de salud que hagan ineficaz los términos judiciales propios de la acción judicial idónea con la que cuenta.</w:t>
      </w:r>
    </w:p>
    <w:p w:rsidR="00171C89" w:rsidRPr="00CB543A" w:rsidRDefault="00171C89" w:rsidP="00CB543A">
      <w:pPr>
        <w:spacing w:after="0" w:line="240" w:lineRule="auto"/>
        <w:ind w:left="564" w:right="624"/>
        <w:contextualSpacing/>
        <w:jc w:val="both"/>
        <w:rPr>
          <w:rFonts w:ascii="Times New Roman" w:hAnsi="Times New Roman" w:cs="Times New Roman"/>
          <w:i/>
          <w:sz w:val="28"/>
          <w:szCs w:val="28"/>
        </w:rPr>
      </w:pPr>
    </w:p>
    <w:p w:rsidR="00171C89" w:rsidRPr="00CB543A" w:rsidRDefault="00171C89" w:rsidP="00CB543A">
      <w:pPr>
        <w:spacing w:after="0" w:line="240" w:lineRule="auto"/>
        <w:ind w:left="564" w:right="624"/>
        <w:contextualSpacing/>
        <w:jc w:val="both"/>
        <w:rPr>
          <w:rFonts w:ascii="Times New Roman" w:hAnsi="Times New Roman" w:cs="Times New Roman"/>
          <w:i/>
          <w:sz w:val="28"/>
          <w:szCs w:val="28"/>
        </w:rPr>
      </w:pPr>
      <w:r w:rsidRPr="00CB543A">
        <w:rPr>
          <w:rFonts w:ascii="Times New Roman" w:hAnsi="Times New Roman" w:cs="Times New Roman"/>
          <w:i/>
          <w:sz w:val="28"/>
          <w:szCs w:val="28"/>
        </w:rPr>
        <w:t>29.- Por último, no encuentra la Corte que se vulneren los derechos fundamentales del actor al debido proceso, ni a la seguridad social y la protección de los derechos adquiridos por este concepto, ni al mínimo vital. Esto, por cuanto el actor en la actualidad está recibiendo cumplidamente el pago de su mesada pensional, y porque la falta de inmediatez en la interposición no sólo de la tutela sino de los demás mecanismos judiciales con que cuenta para hacer valer su solicitud, hace presumir que la pretensión económica no cobra relevancia constitucional.”</w:t>
      </w:r>
    </w:p>
    <w:p w:rsidR="00171C89" w:rsidRPr="00CB543A" w:rsidRDefault="00171C89" w:rsidP="00CB543A">
      <w:pPr>
        <w:pStyle w:val="Prrafodelista"/>
        <w:spacing w:after="0" w:line="240" w:lineRule="auto"/>
        <w:rPr>
          <w:rFonts w:ascii="Times New Roman" w:hAnsi="Times New Roman" w:cs="Times New Roman"/>
          <w:sz w:val="28"/>
          <w:szCs w:val="28"/>
        </w:rPr>
      </w:pPr>
    </w:p>
    <w:p w:rsidR="00171C89" w:rsidRPr="00CB543A" w:rsidRDefault="00171C89" w:rsidP="00CB543A">
      <w:pPr>
        <w:widowControl w:val="0"/>
        <w:numPr>
          <w:ilvl w:val="0"/>
          <w:numId w:val="32"/>
        </w:numPr>
        <w:tabs>
          <w:tab w:val="left" w:pos="284"/>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Ante esta decisión, Laureano Augusto Ramírez Gil inició el proceso ordinario ante los jueces laborales de la jurisdicción ordinaria. El proceso le correspondió, en primera instancia, al Juzgado Trece Laboral del Circuito de Bogotá. Mediante fallo del 13 de octubre del 2006, resolvió lo siguiente:</w:t>
      </w:r>
    </w:p>
    <w:p w:rsidR="00171C89" w:rsidRPr="00CB543A" w:rsidRDefault="00171C89" w:rsidP="00CB543A">
      <w:pPr>
        <w:widowControl w:val="0"/>
        <w:spacing w:after="0" w:line="240" w:lineRule="auto"/>
        <w:ind w:right="56"/>
        <w:contextualSpacing/>
        <w:jc w:val="both"/>
        <w:rPr>
          <w:rFonts w:ascii="Times New Roman" w:hAnsi="Times New Roman" w:cs="Times New Roman"/>
          <w:sz w:val="28"/>
          <w:szCs w:val="28"/>
        </w:rPr>
      </w:pPr>
    </w:p>
    <w:p w:rsidR="00171C89" w:rsidRPr="00CB543A" w:rsidRDefault="00171C89" w:rsidP="00CB543A">
      <w:pPr>
        <w:spacing w:after="0" w:line="240" w:lineRule="auto"/>
        <w:ind w:left="564" w:right="624"/>
        <w:contextualSpacing/>
        <w:jc w:val="both"/>
        <w:rPr>
          <w:rFonts w:ascii="Times New Roman" w:hAnsi="Times New Roman" w:cs="Times New Roman"/>
          <w:i/>
          <w:sz w:val="28"/>
          <w:szCs w:val="28"/>
        </w:rPr>
      </w:pPr>
      <w:r w:rsidRPr="00CB543A">
        <w:rPr>
          <w:rFonts w:ascii="Times New Roman" w:hAnsi="Times New Roman" w:cs="Times New Roman"/>
          <w:i/>
          <w:sz w:val="28"/>
          <w:szCs w:val="28"/>
        </w:rPr>
        <w:t>“</w:t>
      </w:r>
      <w:r w:rsidRPr="00CB543A">
        <w:rPr>
          <w:rFonts w:ascii="Times New Roman" w:hAnsi="Times New Roman" w:cs="Times New Roman"/>
          <w:b/>
          <w:i/>
          <w:sz w:val="28"/>
          <w:szCs w:val="28"/>
        </w:rPr>
        <w:t xml:space="preserve">PRIMERO. CONDENAR A LA CAJA DE PREVISIÓN SOCIAL DE COMUNICACIONES a pagar </w:t>
      </w:r>
      <w:r w:rsidRPr="00CB543A">
        <w:rPr>
          <w:rFonts w:ascii="Times New Roman" w:hAnsi="Times New Roman" w:cs="Times New Roman"/>
          <w:i/>
          <w:sz w:val="28"/>
          <w:szCs w:val="28"/>
        </w:rPr>
        <w:t>al demandante (…) la PENSIÓN DE JUBILACIÓN a partir del 1º de mayo de 2.003 en cuantía mensual de $5.304.219,37 por tanto deberá cancelar el valor adeudado con base en esta mesada, y pagar las diferencias que resulten entre el valor de la pensión reajustada y el valor cancelado por mesadas pensionales y adicionales conforme a lo expuesto en la parte motiva de la presente providencia (…)”</w:t>
      </w:r>
      <w:r w:rsidRPr="00CB543A">
        <w:rPr>
          <w:rFonts w:ascii="Times New Roman" w:hAnsi="Times New Roman" w:cs="Times New Roman"/>
          <w:sz w:val="28"/>
          <w:szCs w:val="28"/>
          <w:vertAlign w:val="superscript"/>
        </w:rPr>
        <w:footnoteReference w:id="18"/>
      </w:r>
      <w:r w:rsidRPr="00CB543A">
        <w:rPr>
          <w:rFonts w:ascii="Times New Roman" w:hAnsi="Times New Roman" w:cs="Times New Roman"/>
          <w:i/>
          <w:sz w:val="28"/>
          <w:szCs w:val="28"/>
        </w:rPr>
        <w:t>.</w:t>
      </w:r>
    </w:p>
    <w:p w:rsidR="00171C89" w:rsidRPr="00CB543A" w:rsidRDefault="00171C89" w:rsidP="00CB543A">
      <w:pPr>
        <w:widowControl w:val="0"/>
        <w:spacing w:after="0" w:line="240" w:lineRule="auto"/>
        <w:ind w:left="720"/>
        <w:contextualSpacing/>
        <w:rPr>
          <w:rFonts w:ascii="Times New Roman" w:hAnsi="Times New Roman" w:cs="Times New Roman"/>
          <w:sz w:val="28"/>
          <w:szCs w:val="28"/>
        </w:rPr>
      </w:pPr>
    </w:p>
    <w:p w:rsidR="00171C89" w:rsidRPr="00CB543A" w:rsidRDefault="00171C89" w:rsidP="00CB543A">
      <w:pPr>
        <w:widowControl w:val="0"/>
        <w:numPr>
          <w:ilvl w:val="0"/>
          <w:numId w:val="32"/>
        </w:numPr>
        <w:tabs>
          <w:tab w:val="left" w:pos="284"/>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El juez ordinario consideró que el señor Ramírez Gil sí tenía derecho a que su mesada pensional fuera liquidada en la forma prevista por el Decreto 1237 de 1946, esto es, con fundamento en el 75% del promedio salarial devengado en los últimos doce (12) meses de labores. Tal conclusión estuvo fundada en que la Ley 100 de 1993, para el juez, no podía ser aplicada en forma parcial so pena de desconocer el principio de inescindibilidad de las normas. Adicionalmente, el juez </w:t>
      </w:r>
      <w:r w:rsidRPr="00CB543A">
        <w:rPr>
          <w:rFonts w:ascii="Times New Roman" w:hAnsi="Times New Roman" w:cs="Times New Roman"/>
          <w:i/>
          <w:sz w:val="28"/>
          <w:szCs w:val="28"/>
        </w:rPr>
        <w:t xml:space="preserve">a quo </w:t>
      </w:r>
      <w:r w:rsidRPr="00CB543A">
        <w:rPr>
          <w:rFonts w:ascii="Times New Roman" w:hAnsi="Times New Roman" w:cs="Times New Roman"/>
          <w:sz w:val="28"/>
          <w:szCs w:val="28"/>
        </w:rPr>
        <w:t>tuvo en cuenta la jurisprudencia de la Corte Constitucional en la que, antes del año 2013, se reconocía que, tratándose de regímenes especiales, se debía tener en cuenta la base reguladora y el porcentaje que señalaran, de manera específica, los regímenes pensionales derogados.</w:t>
      </w:r>
    </w:p>
    <w:p w:rsidR="00171C89" w:rsidRPr="00CB543A" w:rsidRDefault="00171C89" w:rsidP="00CB543A">
      <w:pPr>
        <w:widowControl w:val="0"/>
        <w:tabs>
          <w:tab w:val="left" w:pos="284"/>
          <w:tab w:val="left" w:pos="426"/>
        </w:tabs>
        <w:spacing w:after="0" w:line="240" w:lineRule="auto"/>
        <w:ind w:right="56"/>
        <w:contextualSpacing/>
        <w:jc w:val="both"/>
        <w:rPr>
          <w:rFonts w:ascii="Times New Roman" w:hAnsi="Times New Roman" w:cs="Times New Roman"/>
          <w:sz w:val="28"/>
          <w:szCs w:val="28"/>
        </w:rPr>
      </w:pPr>
    </w:p>
    <w:p w:rsidR="00171C89" w:rsidRPr="00CB543A" w:rsidRDefault="00171C89" w:rsidP="00CB543A">
      <w:pPr>
        <w:widowControl w:val="0"/>
        <w:numPr>
          <w:ilvl w:val="0"/>
          <w:numId w:val="32"/>
        </w:numPr>
        <w:tabs>
          <w:tab w:val="left" w:pos="284"/>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Mediante sentencia del 16 de febrero de 2007, la Sala Laboral del Tribunal Superior de Bogotá revocó la providencia antes referida y, en su lugar, negó las pretensiones de la demanda. Señaló que, </w:t>
      </w:r>
      <w:r w:rsidRPr="00CB543A">
        <w:rPr>
          <w:rFonts w:ascii="Times New Roman" w:hAnsi="Times New Roman" w:cs="Times New Roman"/>
          <w:i/>
          <w:sz w:val="28"/>
          <w:szCs w:val="28"/>
        </w:rPr>
        <w:t xml:space="preserve">“la entidad demandada liquidó la pensión ciñéndose a lo previsto en el mentado artículo </w:t>
      </w:r>
      <w:r w:rsidRPr="00CB543A">
        <w:rPr>
          <w:rFonts w:ascii="Times New Roman" w:hAnsi="Times New Roman" w:cs="Times New Roman"/>
          <w:i/>
          <w:sz w:val="28"/>
          <w:szCs w:val="28"/>
        </w:rPr>
        <w:lastRenderedPageBreak/>
        <w:t>36 [de la Ley 100 de 1993], por lo que no hay lugar al reajuste demandado, dado que la edad, tiempo de servicios y monto de la pensión, se hizo conforme al régimen anterior y el [IBL] se efectuó según la perceptiva de la Ley 100 [de 1993]”</w:t>
      </w:r>
      <w:r w:rsidRPr="00CB543A">
        <w:rPr>
          <w:rStyle w:val="Refdenotaalpie"/>
          <w:rFonts w:ascii="Times New Roman" w:hAnsi="Times New Roman" w:cs="Times New Roman"/>
          <w:sz w:val="28"/>
          <w:szCs w:val="28"/>
        </w:rPr>
        <w:footnoteReference w:id="19"/>
      </w:r>
      <w:r w:rsidRPr="00CB543A">
        <w:rPr>
          <w:rFonts w:ascii="Times New Roman" w:hAnsi="Times New Roman" w:cs="Times New Roman"/>
          <w:sz w:val="28"/>
          <w:szCs w:val="28"/>
        </w:rPr>
        <w:t>. En esa providencia, el Tribunal recordó que la liquidación pensional, objeto del litigio, se hizo según la tesis vigente en la jurisprudencia laboral ordinaria, esto es, tomando como base el IBL de que trata el inciso 3º del referido artículo 36 y no el de los regímenes anteriores.</w:t>
      </w:r>
    </w:p>
    <w:p w:rsidR="00171C89" w:rsidRPr="00CB543A" w:rsidRDefault="00171C89" w:rsidP="00CB543A">
      <w:pPr>
        <w:pStyle w:val="Prrafodelista"/>
        <w:tabs>
          <w:tab w:val="left" w:pos="284"/>
          <w:tab w:val="left" w:pos="426"/>
        </w:tabs>
        <w:spacing w:after="0" w:line="240" w:lineRule="auto"/>
        <w:rPr>
          <w:rFonts w:ascii="Times New Roman" w:hAnsi="Times New Roman" w:cs="Times New Roman"/>
          <w:i/>
          <w:sz w:val="28"/>
          <w:szCs w:val="28"/>
        </w:rPr>
      </w:pPr>
    </w:p>
    <w:p w:rsidR="00171C89" w:rsidRPr="00CB543A" w:rsidRDefault="00171C89" w:rsidP="00CB543A">
      <w:pPr>
        <w:widowControl w:val="0"/>
        <w:numPr>
          <w:ilvl w:val="0"/>
          <w:numId w:val="32"/>
        </w:numPr>
        <w:tabs>
          <w:tab w:val="left" w:pos="284"/>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Inconforme con la decisión, la parte actora interpuso recurso extraordinario de casación en contra de la decisión de segunda instancia. Los cargos del recurrente se relacionaron con lo siguiente: </w:t>
      </w:r>
      <w:r w:rsidRPr="00CB543A">
        <w:rPr>
          <w:rFonts w:ascii="Times New Roman" w:hAnsi="Times New Roman" w:cs="Times New Roman"/>
          <w:i/>
          <w:sz w:val="28"/>
          <w:szCs w:val="28"/>
        </w:rPr>
        <w:t xml:space="preserve">(i) </w:t>
      </w:r>
      <w:r w:rsidRPr="00CB543A">
        <w:rPr>
          <w:rFonts w:ascii="Times New Roman" w:hAnsi="Times New Roman" w:cs="Times New Roman"/>
          <w:sz w:val="28"/>
          <w:szCs w:val="28"/>
        </w:rPr>
        <w:t xml:space="preserve">no se tuvo en cuenta que el objeto de la resolución demandada era reliquidar una pensión ya reconocida, pero no la revocatoria de lo ordenado en la primera resolución; </w:t>
      </w:r>
      <w:r w:rsidRPr="00CB543A">
        <w:rPr>
          <w:rFonts w:ascii="Times New Roman" w:hAnsi="Times New Roman" w:cs="Times New Roman"/>
          <w:i/>
          <w:sz w:val="28"/>
          <w:szCs w:val="28"/>
        </w:rPr>
        <w:t xml:space="preserve">(ii) </w:t>
      </w:r>
      <w:r w:rsidRPr="00CB543A">
        <w:rPr>
          <w:rFonts w:ascii="Times New Roman" w:hAnsi="Times New Roman" w:cs="Times New Roman"/>
          <w:sz w:val="28"/>
          <w:szCs w:val="28"/>
        </w:rPr>
        <w:t xml:space="preserve">que se había configurado un </w:t>
      </w:r>
      <w:r w:rsidRPr="00CB543A">
        <w:rPr>
          <w:rFonts w:ascii="Times New Roman" w:hAnsi="Times New Roman" w:cs="Times New Roman"/>
          <w:i/>
          <w:sz w:val="28"/>
          <w:szCs w:val="28"/>
        </w:rPr>
        <w:t>“acto propio”</w:t>
      </w:r>
      <w:r w:rsidRPr="00CB543A">
        <w:rPr>
          <w:rFonts w:ascii="Times New Roman" w:hAnsi="Times New Roman" w:cs="Times New Roman"/>
          <w:sz w:val="28"/>
          <w:szCs w:val="28"/>
        </w:rPr>
        <w:t xml:space="preserve"> de CAPRECOM y, por lo tanto, no era procedente la modificación del reconocimiento prestacional previo; </w:t>
      </w:r>
      <w:r w:rsidRPr="00CB543A">
        <w:rPr>
          <w:rFonts w:ascii="Times New Roman" w:hAnsi="Times New Roman" w:cs="Times New Roman"/>
          <w:i/>
          <w:sz w:val="28"/>
          <w:szCs w:val="28"/>
        </w:rPr>
        <w:t>(iii)</w:t>
      </w:r>
      <w:r w:rsidRPr="00CB543A">
        <w:rPr>
          <w:rFonts w:ascii="Times New Roman" w:hAnsi="Times New Roman" w:cs="Times New Roman"/>
          <w:sz w:val="28"/>
          <w:szCs w:val="28"/>
        </w:rPr>
        <w:t xml:space="preserve"> el derecho inicialmente reconocido era un </w:t>
      </w:r>
      <w:r w:rsidRPr="00CB543A">
        <w:rPr>
          <w:rFonts w:ascii="Times New Roman" w:hAnsi="Times New Roman" w:cs="Times New Roman"/>
          <w:i/>
          <w:sz w:val="28"/>
          <w:szCs w:val="28"/>
        </w:rPr>
        <w:t>derecho adquirido</w:t>
      </w:r>
      <w:r w:rsidRPr="00CB543A">
        <w:rPr>
          <w:rFonts w:ascii="Times New Roman" w:hAnsi="Times New Roman" w:cs="Times New Roman"/>
          <w:sz w:val="28"/>
          <w:szCs w:val="28"/>
        </w:rPr>
        <w:t xml:space="preserve"> y, como tal, irrevocable en el sentido de las condiciones, la base de liquidación y las </w:t>
      </w:r>
      <w:r w:rsidRPr="00CB543A">
        <w:rPr>
          <w:rFonts w:ascii="Times New Roman" w:hAnsi="Times New Roman" w:cs="Times New Roman"/>
          <w:i/>
          <w:sz w:val="28"/>
          <w:szCs w:val="28"/>
        </w:rPr>
        <w:t>“tarifas”</w:t>
      </w:r>
      <w:r w:rsidRPr="00CB543A">
        <w:rPr>
          <w:rFonts w:ascii="Times New Roman" w:hAnsi="Times New Roman" w:cs="Times New Roman"/>
          <w:sz w:val="28"/>
          <w:szCs w:val="28"/>
        </w:rPr>
        <w:t xml:space="preserve"> respectivas; y </w:t>
      </w:r>
      <w:r w:rsidRPr="00CB543A">
        <w:rPr>
          <w:rFonts w:ascii="Times New Roman" w:hAnsi="Times New Roman" w:cs="Times New Roman"/>
          <w:i/>
          <w:sz w:val="28"/>
          <w:szCs w:val="28"/>
        </w:rPr>
        <w:t>(iv)</w:t>
      </w:r>
      <w:r w:rsidRPr="00CB543A">
        <w:rPr>
          <w:rFonts w:ascii="Times New Roman" w:hAnsi="Times New Roman" w:cs="Times New Roman"/>
          <w:sz w:val="28"/>
          <w:szCs w:val="28"/>
        </w:rPr>
        <w:t xml:space="preserve"> cuando a una situación jurídica se le pueden aplicar diferentes fuentes formales de derecho, en aplicación del principio de favorabilidad en materia laboral, es deber de quien las aplica o interpreta, acoger aquella que resulte ser la más beneficiosa para el trabajador.</w:t>
      </w:r>
    </w:p>
    <w:p w:rsidR="00171C89" w:rsidRPr="00CB543A" w:rsidRDefault="00171C89" w:rsidP="00CB543A">
      <w:pPr>
        <w:pStyle w:val="Prrafodelista"/>
        <w:tabs>
          <w:tab w:val="left" w:pos="284"/>
          <w:tab w:val="left" w:pos="426"/>
        </w:tabs>
        <w:spacing w:after="0" w:line="240" w:lineRule="auto"/>
        <w:rPr>
          <w:rFonts w:ascii="Times New Roman" w:hAnsi="Times New Roman" w:cs="Times New Roman"/>
          <w:sz w:val="28"/>
          <w:szCs w:val="28"/>
        </w:rPr>
      </w:pPr>
    </w:p>
    <w:p w:rsidR="00171C89" w:rsidRPr="00CB543A" w:rsidRDefault="00171C89" w:rsidP="00CB543A">
      <w:pPr>
        <w:widowControl w:val="0"/>
        <w:numPr>
          <w:ilvl w:val="0"/>
          <w:numId w:val="32"/>
        </w:numPr>
        <w:tabs>
          <w:tab w:val="left" w:pos="284"/>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La Sala Laboral de la Corte Suprema de Justicia, en sentencia del 11 de noviembre de 2008, decidió no casar la sentencia del Tribunal Superior de Bogotá. Para adoptar tal determinación se expusieron estas consideraciones: </w:t>
      </w:r>
      <w:r w:rsidRPr="00CB543A">
        <w:rPr>
          <w:rFonts w:ascii="Times New Roman" w:hAnsi="Times New Roman" w:cs="Times New Roman"/>
          <w:i/>
          <w:sz w:val="28"/>
          <w:szCs w:val="28"/>
        </w:rPr>
        <w:t>(i)</w:t>
      </w:r>
      <w:r w:rsidRPr="00CB543A">
        <w:rPr>
          <w:rFonts w:ascii="Times New Roman" w:hAnsi="Times New Roman" w:cs="Times New Roman"/>
          <w:sz w:val="28"/>
          <w:szCs w:val="28"/>
        </w:rPr>
        <w:t xml:space="preserve"> si bien es cierto que el actor era beneficiario del régimen de transición, también lo era que, según la jurisprudencia de esa Sala, lo que garantizaba dicho régimen era la aplicación de la norma anterior en cuanto a la edad, el tiempo de servicios o el número de semanas cotizadas y el monto de la prestación, pero no la aplicación en cuanto al IBL, pues, respecto de esto último, se debía acudir a lo regulado en el inciso 3º del artículo 36 de la Ley 100 de 1993; </w:t>
      </w:r>
      <w:r w:rsidRPr="00CB543A">
        <w:rPr>
          <w:rFonts w:ascii="Times New Roman" w:hAnsi="Times New Roman" w:cs="Times New Roman"/>
          <w:i/>
          <w:sz w:val="28"/>
          <w:szCs w:val="28"/>
        </w:rPr>
        <w:t>(ii)</w:t>
      </w:r>
      <w:r w:rsidRPr="00CB543A">
        <w:rPr>
          <w:rFonts w:ascii="Times New Roman" w:hAnsi="Times New Roman" w:cs="Times New Roman"/>
          <w:sz w:val="28"/>
          <w:szCs w:val="28"/>
        </w:rPr>
        <w:t xml:space="preserve"> no era cierto que la entidad demandada hubiere revocado directamente la Resolución 0458 de 1997, pues </w:t>
      </w:r>
      <w:r w:rsidRPr="00CB543A">
        <w:rPr>
          <w:rFonts w:ascii="Times New Roman" w:hAnsi="Times New Roman" w:cs="Times New Roman"/>
          <w:i/>
          <w:sz w:val="28"/>
          <w:szCs w:val="28"/>
        </w:rPr>
        <w:t>“[…] el reconocimiento del derecho permaneció intangible y lo único que se hizo fue proceder a la liquidación definitiva de una prestación que lo había sido en forma provisional […]”</w:t>
      </w:r>
      <w:r w:rsidRPr="00CB543A">
        <w:rPr>
          <w:rStyle w:val="Refdenotaalpie"/>
          <w:rFonts w:ascii="Times New Roman" w:hAnsi="Times New Roman" w:cs="Times New Roman"/>
          <w:sz w:val="28"/>
          <w:szCs w:val="28"/>
        </w:rPr>
        <w:footnoteReference w:id="20"/>
      </w:r>
      <w:r w:rsidRPr="00CB543A">
        <w:rPr>
          <w:rFonts w:ascii="Times New Roman" w:hAnsi="Times New Roman" w:cs="Times New Roman"/>
          <w:sz w:val="28"/>
          <w:szCs w:val="28"/>
        </w:rPr>
        <w:t xml:space="preserve">; y </w:t>
      </w:r>
      <w:r w:rsidRPr="00CB543A">
        <w:rPr>
          <w:rFonts w:ascii="Times New Roman" w:hAnsi="Times New Roman" w:cs="Times New Roman"/>
          <w:i/>
          <w:sz w:val="28"/>
          <w:szCs w:val="28"/>
        </w:rPr>
        <w:t>(iii)</w:t>
      </w:r>
      <w:r w:rsidRPr="00CB543A">
        <w:rPr>
          <w:rFonts w:ascii="Times New Roman" w:hAnsi="Times New Roman" w:cs="Times New Roman"/>
          <w:sz w:val="28"/>
          <w:szCs w:val="28"/>
        </w:rPr>
        <w:t xml:space="preserve"> las entidades de seguridad social, para efectos de la revocatoria de prestaciones económicas concedidas sin el lleno de los requisitos legales, no estaban sujetas a las reglas de revocatoria directa de los actos administrativos, máxime cuando el artículo 19 de la Ley 797 de 2003, vigente para cuando se dictó la reliquidación cuestionada, imponía el deber de revocar las prestaciones reconocidas sin el cumplimiento de requisitos o con base en documentación falsa.</w:t>
      </w:r>
    </w:p>
    <w:p w:rsidR="00171C89" w:rsidRPr="00CB543A" w:rsidRDefault="00171C89" w:rsidP="00CB543A">
      <w:pPr>
        <w:widowControl w:val="0"/>
        <w:tabs>
          <w:tab w:val="left" w:pos="284"/>
          <w:tab w:val="left" w:pos="426"/>
        </w:tabs>
        <w:spacing w:after="0" w:line="240" w:lineRule="auto"/>
        <w:ind w:right="56"/>
        <w:contextualSpacing/>
        <w:jc w:val="both"/>
        <w:rPr>
          <w:rFonts w:ascii="Times New Roman" w:hAnsi="Times New Roman" w:cs="Times New Roman"/>
          <w:sz w:val="28"/>
          <w:szCs w:val="28"/>
        </w:rPr>
      </w:pPr>
    </w:p>
    <w:p w:rsidR="00171C89" w:rsidRPr="00CB543A" w:rsidRDefault="00171C89" w:rsidP="00CB543A">
      <w:pPr>
        <w:widowControl w:val="0"/>
        <w:numPr>
          <w:ilvl w:val="0"/>
          <w:numId w:val="33"/>
        </w:numPr>
        <w:tabs>
          <w:tab w:val="left" w:pos="283"/>
        </w:tabs>
        <w:spacing w:after="0" w:line="240" w:lineRule="auto"/>
        <w:ind w:left="360"/>
        <w:contextualSpacing/>
        <w:jc w:val="both"/>
        <w:rPr>
          <w:rFonts w:ascii="Times New Roman" w:hAnsi="Times New Roman" w:cs="Times New Roman"/>
          <w:b/>
          <w:sz w:val="28"/>
          <w:szCs w:val="28"/>
        </w:rPr>
      </w:pPr>
      <w:r w:rsidRPr="00CB543A">
        <w:rPr>
          <w:rFonts w:ascii="Times New Roman" w:hAnsi="Times New Roman" w:cs="Times New Roman"/>
          <w:b/>
          <w:sz w:val="28"/>
          <w:szCs w:val="28"/>
        </w:rPr>
        <w:t>Pretensiones</w:t>
      </w:r>
    </w:p>
    <w:p w:rsidR="00171C89" w:rsidRPr="00CB543A" w:rsidRDefault="00171C89" w:rsidP="00CB543A">
      <w:pPr>
        <w:widowControl w:val="0"/>
        <w:spacing w:after="0" w:line="240" w:lineRule="auto"/>
        <w:contextualSpacing/>
        <w:jc w:val="both"/>
        <w:rPr>
          <w:rFonts w:ascii="Times New Roman" w:hAnsi="Times New Roman" w:cs="Times New Roman"/>
          <w:sz w:val="28"/>
          <w:szCs w:val="28"/>
        </w:rPr>
      </w:pPr>
    </w:p>
    <w:p w:rsidR="00171C89" w:rsidRPr="00CB543A" w:rsidRDefault="00171C89" w:rsidP="00CB543A">
      <w:pPr>
        <w:widowControl w:val="0"/>
        <w:numPr>
          <w:ilvl w:val="0"/>
          <w:numId w:val="32"/>
        </w:numPr>
        <w:tabs>
          <w:tab w:val="left" w:pos="284"/>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lastRenderedPageBreak/>
        <w:t>En ejercicio de la acción de tutela, el 28 de noviembre del año 2008</w:t>
      </w:r>
      <w:r w:rsidRPr="00CB543A">
        <w:rPr>
          <w:rFonts w:ascii="Times New Roman" w:hAnsi="Times New Roman" w:cs="Times New Roman"/>
          <w:sz w:val="28"/>
          <w:szCs w:val="28"/>
          <w:vertAlign w:val="superscript"/>
        </w:rPr>
        <w:footnoteReference w:id="21"/>
      </w:r>
      <w:r w:rsidRPr="00CB543A">
        <w:rPr>
          <w:rFonts w:ascii="Times New Roman" w:hAnsi="Times New Roman" w:cs="Times New Roman"/>
          <w:sz w:val="28"/>
          <w:szCs w:val="28"/>
        </w:rPr>
        <w:t xml:space="preserve">, Laureano Augusto Ramírez Gil demandó a la Sala de Casación Laboral de la Corte Suprema de Justicia por la presunta vulneración de sus derechos fundamentales al debido proceso, igualdad, dignidad humana, derecho a la seguridad social y los </w:t>
      </w:r>
      <w:r w:rsidRPr="00CB543A">
        <w:rPr>
          <w:rFonts w:ascii="Times New Roman" w:hAnsi="Times New Roman" w:cs="Times New Roman"/>
          <w:i/>
          <w:sz w:val="28"/>
          <w:szCs w:val="28"/>
        </w:rPr>
        <w:t>“derechos adquiridos de los trabajadores”</w:t>
      </w:r>
      <w:r w:rsidRPr="00CB543A">
        <w:rPr>
          <w:rFonts w:ascii="Times New Roman" w:hAnsi="Times New Roman" w:cs="Times New Roman"/>
          <w:sz w:val="28"/>
          <w:szCs w:val="28"/>
        </w:rPr>
        <w:t xml:space="preserve">. Pretendió que se dejara sin efectos la sentencia del 11 de noviembre de 2008, proferida por la Sala de Casación Laboral de la Corte Suprema de Justicia, y que se ordenara proferir una nueva decisión en la que se respetaran sus derechos constitucionales y se dispusiera que la pensión de jubilación </w:t>
      </w:r>
      <w:r w:rsidRPr="00CB543A">
        <w:rPr>
          <w:rFonts w:ascii="Times New Roman" w:hAnsi="Times New Roman" w:cs="Times New Roman"/>
          <w:i/>
          <w:sz w:val="28"/>
          <w:szCs w:val="28"/>
        </w:rPr>
        <w:t xml:space="preserve">sub examine </w:t>
      </w:r>
      <w:r w:rsidRPr="00CB543A">
        <w:rPr>
          <w:rFonts w:ascii="Times New Roman" w:hAnsi="Times New Roman" w:cs="Times New Roman"/>
          <w:sz w:val="28"/>
          <w:szCs w:val="28"/>
        </w:rPr>
        <w:t>fue</w:t>
      </w:r>
      <w:r w:rsidR="0080083C" w:rsidRPr="00CB543A">
        <w:rPr>
          <w:rFonts w:ascii="Times New Roman" w:hAnsi="Times New Roman" w:cs="Times New Roman"/>
          <w:sz w:val="28"/>
          <w:szCs w:val="28"/>
        </w:rPr>
        <w:t>ra</w:t>
      </w:r>
      <w:r w:rsidRPr="00CB543A">
        <w:rPr>
          <w:rFonts w:ascii="Times New Roman" w:hAnsi="Times New Roman" w:cs="Times New Roman"/>
          <w:sz w:val="28"/>
          <w:szCs w:val="28"/>
        </w:rPr>
        <w:t xml:space="preserve"> reliquidada</w:t>
      </w:r>
      <w:r w:rsidR="00BB221A">
        <w:rPr>
          <w:rFonts w:ascii="Times New Roman" w:hAnsi="Times New Roman" w:cs="Times New Roman"/>
          <w:sz w:val="28"/>
          <w:szCs w:val="28"/>
        </w:rPr>
        <w:t xml:space="preserve"> </w:t>
      </w:r>
      <w:r w:rsidRPr="00CB543A">
        <w:rPr>
          <w:rFonts w:ascii="Times New Roman" w:hAnsi="Times New Roman" w:cs="Times New Roman"/>
          <w:i/>
          <w:sz w:val="28"/>
          <w:szCs w:val="28"/>
        </w:rPr>
        <w:t>“[…] teniendo en cuenta los salarios percibidos durante el último año de labores”</w:t>
      </w:r>
      <w:r w:rsidRPr="00CB543A">
        <w:rPr>
          <w:rStyle w:val="Refdenotaalpie"/>
          <w:rFonts w:ascii="Times New Roman" w:hAnsi="Times New Roman" w:cs="Times New Roman"/>
          <w:sz w:val="28"/>
          <w:szCs w:val="28"/>
        </w:rPr>
        <w:footnoteReference w:id="22"/>
      </w:r>
      <w:r w:rsidRPr="00CB543A">
        <w:rPr>
          <w:rFonts w:ascii="Times New Roman" w:hAnsi="Times New Roman" w:cs="Times New Roman"/>
          <w:sz w:val="28"/>
          <w:szCs w:val="28"/>
        </w:rPr>
        <w:t>.</w:t>
      </w:r>
    </w:p>
    <w:p w:rsidR="00171C89" w:rsidRPr="00CB543A" w:rsidRDefault="00171C89" w:rsidP="00CB543A">
      <w:pPr>
        <w:tabs>
          <w:tab w:val="left" w:pos="284"/>
          <w:tab w:val="left" w:pos="426"/>
        </w:tabs>
        <w:spacing w:after="0" w:line="240" w:lineRule="auto"/>
        <w:ind w:right="56"/>
        <w:contextualSpacing/>
        <w:jc w:val="both"/>
        <w:rPr>
          <w:rFonts w:ascii="Times New Roman" w:hAnsi="Times New Roman" w:cs="Times New Roman"/>
          <w:sz w:val="28"/>
          <w:szCs w:val="28"/>
        </w:rPr>
      </w:pPr>
    </w:p>
    <w:p w:rsidR="00171C89" w:rsidRPr="00CB543A" w:rsidRDefault="00171C89" w:rsidP="00CB543A">
      <w:pPr>
        <w:widowControl w:val="0"/>
        <w:numPr>
          <w:ilvl w:val="0"/>
          <w:numId w:val="32"/>
        </w:numPr>
        <w:tabs>
          <w:tab w:val="left" w:pos="284"/>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La parte tutelante insistió en que la sentencia reprochada desconocía la jurisprudencia de esta Corporación</w:t>
      </w:r>
      <w:r w:rsidRPr="00CB543A">
        <w:rPr>
          <w:rStyle w:val="Refdenotaalpie"/>
          <w:rFonts w:ascii="Times New Roman" w:hAnsi="Times New Roman" w:cs="Times New Roman"/>
          <w:sz w:val="28"/>
          <w:szCs w:val="28"/>
        </w:rPr>
        <w:footnoteReference w:id="23"/>
      </w:r>
      <w:r w:rsidRPr="00CB543A">
        <w:rPr>
          <w:rFonts w:ascii="Times New Roman" w:hAnsi="Times New Roman" w:cs="Times New Roman"/>
          <w:sz w:val="28"/>
          <w:szCs w:val="28"/>
        </w:rPr>
        <w:t xml:space="preserve">, debido a que la Sala de Casación Laboral de la Corte avaló que: </w:t>
      </w:r>
      <w:r w:rsidRPr="00CB543A">
        <w:rPr>
          <w:rFonts w:ascii="Times New Roman" w:hAnsi="Times New Roman" w:cs="Times New Roman"/>
          <w:i/>
          <w:sz w:val="28"/>
          <w:szCs w:val="28"/>
        </w:rPr>
        <w:t>(i)</w:t>
      </w:r>
      <w:r w:rsidR="00BB221A">
        <w:rPr>
          <w:rFonts w:ascii="Times New Roman" w:hAnsi="Times New Roman" w:cs="Times New Roman"/>
          <w:sz w:val="28"/>
          <w:szCs w:val="28"/>
        </w:rPr>
        <w:t xml:space="preserve"> </w:t>
      </w:r>
      <w:r w:rsidRPr="00CB543A">
        <w:rPr>
          <w:rFonts w:ascii="Times New Roman" w:hAnsi="Times New Roman" w:cs="Times New Roman"/>
          <w:sz w:val="28"/>
          <w:szCs w:val="28"/>
        </w:rPr>
        <w:t xml:space="preserve">CAPRECOM desechó su </w:t>
      </w:r>
      <w:r w:rsidRPr="00CB543A">
        <w:rPr>
          <w:rFonts w:ascii="Times New Roman" w:hAnsi="Times New Roman" w:cs="Times New Roman"/>
          <w:i/>
          <w:sz w:val="28"/>
          <w:szCs w:val="28"/>
        </w:rPr>
        <w:t>“acto propio”</w:t>
      </w:r>
      <w:r w:rsidRPr="00CB543A">
        <w:rPr>
          <w:rFonts w:ascii="Times New Roman" w:hAnsi="Times New Roman" w:cs="Times New Roman"/>
          <w:sz w:val="28"/>
          <w:szCs w:val="28"/>
        </w:rPr>
        <w:t xml:space="preserve"> al revocar la Resolución 0458 de 1997; </w:t>
      </w:r>
      <w:r w:rsidRPr="00CB543A">
        <w:rPr>
          <w:rFonts w:ascii="Times New Roman" w:hAnsi="Times New Roman" w:cs="Times New Roman"/>
          <w:i/>
          <w:sz w:val="28"/>
          <w:szCs w:val="28"/>
        </w:rPr>
        <w:t>(ii)</w:t>
      </w:r>
      <w:r w:rsidRPr="00CB543A">
        <w:rPr>
          <w:rFonts w:ascii="Times New Roman" w:hAnsi="Times New Roman" w:cs="Times New Roman"/>
          <w:sz w:val="28"/>
          <w:szCs w:val="28"/>
        </w:rPr>
        <w:t xml:space="preserve"> no aplicó íntegramente el régimen pensional que amparaba al accionante en virtud del régimen de transición de que trata el artículo 36 de la Ley 100 de 1993; </w:t>
      </w:r>
      <w:r w:rsidRPr="00CB543A">
        <w:rPr>
          <w:rFonts w:ascii="Times New Roman" w:hAnsi="Times New Roman" w:cs="Times New Roman"/>
          <w:i/>
          <w:sz w:val="28"/>
          <w:szCs w:val="28"/>
        </w:rPr>
        <w:t xml:space="preserve">(iii) </w:t>
      </w:r>
      <w:r w:rsidRPr="00CB543A">
        <w:rPr>
          <w:rFonts w:ascii="Times New Roman" w:hAnsi="Times New Roman" w:cs="Times New Roman"/>
          <w:sz w:val="28"/>
          <w:szCs w:val="28"/>
        </w:rPr>
        <w:t xml:space="preserve">desconoció que el monto y la base de liquidación forman una </w:t>
      </w:r>
      <w:r w:rsidRPr="00CB543A">
        <w:rPr>
          <w:rFonts w:ascii="Times New Roman" w:hAnsi="Times New Roman" w:cs="Times New Roman"/>
          <w:i/>
          <w:sz w:val="28"/>
          <w:szCs w:val="28"/>
        </w:rPr>
        <w:t>“unidad inescindible”</w:t>
      </w:r>
      <w:r w:rsidRPr="00CB543A">
        <w:rPr>
          <w:rFonts w:ascii="Times New Roman" w:hAnsi="Times New Roman" w:cs="Times New Roman"/>
          <w:sz w:val="28"/>
          <w:szCs w:val="28"/>
        </w:rPr>
        <w:t xml:space="preserve"> y, en consecuencia, que </w:t>
      </w:r>
      <w:r w:rsidRPr="00CB543A">
        <w:rPr>
          <w:rFonts w:ascii="Times New Roman" w:hAnsi="Times New Roman" w:cs="Times New Roman"/>
          <w:i/>
          <w:sz w:val="28"/>
          <w:szCs w:val="28"/>
        </w:rPr>
        <w:t>“[…] debe aplicarse la totalidad de lo establecido en el régimen especial anterior […]”</w:t>
      </w:r>
      <w:r w:rsidRPr="00CB543A">
        <w:rPr>
          <w:rStyle w:val="Refdenotaalpie"/>
          <w:rFonts w:ascii="Times New Roman" w:hAnsi="Times New Roman" w:cs="Times New Roman"/>
          <w:sz w:val="28"/>
          <w:szCs w:val="28"/>
        </w:rPr>
        <w:footnoteReference w:id="24"/>
      </w:r>
      <w:r w:rsidRPr="00CB543A">
        <w:rPr>
          <w:rFonts w:ascii="Times New Roman" w:hAnsi="Times New Roman" w:cs="Times New Roman"/>
          <w:sz w:val="28"/>
          <w:szCs w:val="28"/>
        </w:rPr>
        <w:t xml:space="preserve">; </w:t>
      </w:r>
      <w:r w:rsidRPr="00CB543A">
        <w:rPr>
          <w:rFonts w:ascii="Times New Roman" w:hAnsi="Times New Roman" w:cs="Times New Roman"/>
          <w:i/>
          <w:sz w:val="28"/>
          <w:szCs w:val="28"/>
        </w:rPr>
        <w:t xml:space="preserve">(iii) </w:t>
      </w:r>
      <w:r w:rsidRPr="00CB543A">
        <w:rPr>
          <w:rFonts w:ascii="Times New Roman" w:hAnsi="Times New Roman" w:cs="Times New Roman"/>
          <w:sz w:val="28"/>
          <w:szCs w:val="28"/>
        </w:rPr>
        <w:t>no tuvo en cuenta que, según la jurisprudencia constitucional, el inciso 2º del referido artículo 36 únicamente se aplicaba cuando el régimen especial no hubiere establecido la base de liquidación para la prestación económica, hipótesis que, aseguró, no ocurría en su caso.</w:t>
      </w:r>
    </w:p>
    <w:p w:rsidR="00171C89" w:rsidRPr="00CB543A" w:rsidRDefault="00171C89" w:rsidP="00CB543A">
      <w:pPr>
        <w:widowControl w:val="0"/>
        <w:tabs>
          <w:tab w:val="left" w:pos="284"/>
          <w:tab w:val="left" w:pos="426"/>
        </w:tabs>
        <w:spacing w:after="0" w:line="240" w:lineRule="auto"/>
        <w:ind w:right="56"/>
        <w:contextualSpacing/>
        <w:jc w:val="both"/>
        <w:rPr>
          <w:rFonts w:ascii="Times New Roman" w:hAnsi="Times New Roman" w:cs="Times New Roman"/>
          <w:sz w:val="28"/>
          <w:szCs w:val="28"/>
        </w:rPr>
      </w:pPr>
    </w:p>
    <w:p w:rsidR="00171C89" w:rsidRPr="00CB543A" w:rsidRDefault="00171C89" w:rsidP="00CB543A">
      <w:pPr>
        <w:widowControl w:val="0"/>
        <w:numPr>
          <w:ilvl w:val="0"/>
          <w:numId w:val="32"/>
        </w:numPr>
        <w:tabs>
          <w:tab w:val="left" w:pos="284"/>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En criterio del tutelante, la decisión adoptada por la Corte Suprema de Justicia, cuestionada en la presente acción de tutela, comprometía su derecho fundamental al mínimo vital, debido a que </w:t>
      </w:r>
      <w:r w:rsidRPr="00CB543A">
        <w:rPr>
          <w:rFonts w:ascii="Times New Roman" w:hAnsi="Times New Roman" w:cs="Times New Roman"/>
          <w:i/>
          <w:sz w:val="28"/>
          <w:szCs w:val="28"/>
        </w:rPr>
        <w:t>“[…] no h[a] podido gozar del descanso al que t[iene] derecho al jubilar[s]e, por cuanto el monto que se [le] ha fijado, no solamente no es el que [le] corresponde, sino que representa una ostensible disminución de [sus] ingresos, y no corresponde efectivamente al salario que devengaba cuando era trabajador activo de la TELECOM”</w:t>
      </w:r>
      <w:r w:rsidRPr="00CB543A">
        <w:rPr>
          <w:rStyle w:val="Refdenotaalpie"/>
          <w:rFonts w:ascii="Times New Roman" w:hAnsi="Times New Roman" w:cs="Times New Roman"/>
          <w:sz w:val="28"/>
          <w:szCs w:val="28"/>
        </w:rPr>
        <w:footnoteReference w:id="25"/>
      </w:r>
      <w:r w:rsidRPr="00CB543A">
        <w:rPr>
          <w:rFonts w:ascii="Times New Roman" w:hAnsi="Times New Roman" w:cs="Times New Roman"/>
          <w:sz w:val="28"/>
          <w:szCs w:val="28"/>
        </w:rPr>
        <w:t>.</w:t>
      </w:r>
    </w:p>
    <w:p w:rsidR="00171C89" w:rsidRPr="00CB543A" w:rsidRDefault="00171C89" w:rsidP="00CB543A">
      <w:pPr>
        <w:widowControl w:val="0"/>
        <w:spacing w:after="0" w:line="240" w:lineRule="auto"/>
        <w:contextualSpacing/>
        <w:jc w:val="both"/>
        <w:rPr>
          <w:rFonts w:ascii="Times New Roman" w:hAnsi="Times New Roman" w:cs="Times New Roman"/>
          <w:sz w:val="28"/>
          <w:szCs w:val="28"/>
        </w:rPr>
      </w:pPr>
    </w:p>
    <w:p w:rsidR="00171C89" w:rsidRPr="00CB543A" w:rsidRDefault="00171C89" w:rsidP="00CB543A">
      <w:pPr>
        <w:widowControl w:val="0"/>
        <w:numPr>
          <w:ilvl w:val="0"/>
          <w:numId w:val="33"/>
        </w:numPr>
        <w:tabs>
          <w:tab w:val="left" w:pos="283"/>
        </w:tabs>
        <w:spacing w:after="0" w:line="240" w:lineRule="auto"/>
        <w:ind w:left="360"/>
        <w:contextualSpacing/>
        <w:jc w:val="both"/>
        <w:rPr>
          <w:rFonts w:ascii="Times New Roman" w:hAnsi="Times New Roman" w:cs="Times New Roman"/>
          <w:b/>
          <w:sz w:val="28"/>
          <w:szCs w:val="28"/>
        </w:rPr>
      </w:pPr>
      <w:r w:rsidRPr="00CB543A">
        <w:rPr>
          <w:rFonts w:ascii="Times New Roman" w:hAnsi="Times New Roman" w:cs="Times New Roman"/>
          <w:b/>
          <w:sz w:val="28"/>
          <w:szCs w:val="28"/>
        </w:rPr>
        <w:t>Respuesta de la entidad accionada</w:t>
      </w:r>
    </w:p>
    <w:p w:rsidR="00171C89" w:rsidRPr="00CB543A" w:rsidRDefault="00171C89" w:rsidP="00CB543A">
      <w:pPr>
        <w:widowControl w:val="0"/>
        <w:spacing w:after="0" w:line="240" w:lineRule="auto"/>
        <w:contextualSpacing/>
        <w:jc w:val="both"/>
        <w:rPr>
          <w:rFonts w:ascii="Times New Roman" w:hAnsi="Times New Roman" w:cs="Times New Roman"/>
          <w:sz w:val="28"/>
          <w:szCs w:val="28"/>
        </w:rPr>
      </w:pPr>
    </w:p>
    <w:p w:rsidR="00171C89" w:rsidRPr="00CB543A" w:rsidRDefault="00171C89" w:rsidP="00CB543A">
      <w:pPr>
        <w:widowControl w:val="0"/>
        <w:numPr>
          <w:ilvl w:val="0"/>
          <w:numId w:val="32"/>
        </w:numPr>
        <w:tabs>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El proceso de amparo le correspondió a la Sala Penal de la Corte Suprema de Justicia, que, mediante auto del 1 de diciembre del año 2008, admitió la demanda y dispuso la vinculación de la Sala Laboral del Tribunal Superior de Bogotá, el Juzgado Trece Laboral del Circuito de Bogotá y de CAPRECOM, a los que les otorgó un término de veinticuatro (24) horas para intervenir dentro del proceso de tutela.</w:t>
      </w:r>
    </w:p>
    <w:p w:rsidR="00171C89" w:rsidRPr="00CB543A" w:rsidRDefault="00171C89" w:rsidP="00CB543A">
      <w:pPr>
        <w:widowControl w:val="0"/>
        <w:tabs>
          <w:tab w:val="left" w:pos="426"/>
        </w:tabs>
        <w:spacing w:after="0" w:line="240" w:lineRule="auto"/>
        <w:ind w:right="56"/>
        <w:contextualSpacing/>
        <w:jc w:val="both"/>
        <w:rPr>
          <w:rFonts w:ascii="Times New Roman" w:hAnsi="Times New Roman" w:cs="Times New Roman"/>
          <w:sz w:val="28"/>
          <w:szCs w:val="28"/>
        </w:rPr>
      </w:pPr>
    </w:p>
    <w:p w:rsidR="00171C89" w:rsidRPr="00CB543A" w:rsidRDefault="00171C89" w:rsidP="00CB543A">
      <w:pPr>
        <w:widowControl w:val="0"/>
        <w:numPr>
          <w:ilvl w:val="0"/>
          <w:numId w:val="32"/>
        </w:numPr>
        <w:tabs>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La Sala de Casación Laboral de la Corte Suprema de Justicia, por conducto de la Secretaría, remitió el expediente ordinario objeto de tutela, sin emitir pronunciamiento alguno sobre la demanda de tutela</w:t>
      </w:r>
      <w:r w:rsidRPr="00CB543A">
        <w:rPr>
          <w:rStyle w:val="Refdenotaalpie"/>
          <w:rFonts w:ascii="Times New Roman" w:hAnsi="Times New Roman" w:cs="Times New Roman"/>
          <w:sz w:val="28"/>
          <w:szCs w:val="28"/>
        </w:rPr>
        <w:footnoteReference w:id="26"/>
      </w:r>
      <w:r w:rsidRPr="00CB543A">
        <w:rPr>
          <w:rFonts w:ascii="Times New Roman" w:hAnsi="Times New Roman" w:cs="Times New Roman"/>
          <w:sz w:val="28"/>
          <w:szCs w:val="28"/>
        </w:rPr>
        <w:t xml:space="preserve"> o sus pretensiones.</w:t>
      </w:r>
    </w:p>
    <w:p w:rsidR="00171C89" w:rsidRPr="00CB543A" w:rsidRDefault="00171C89" w:rsidP="00CB543A">
      <w:pPr>
        <w:pStyle w:val="Prrafodelista"/>
        <w:tabs>
          <w:tab w:val="left" w:pos="426"/>
        </w:tabs>
        <w:spacing w:after="0" w:line="240" w:lineRule="auto"/>
        <w:rPr>
          <w:rFonts w:ascii="Times New Roman" w:hAnsi="Times New Roman" w:cs="Times New Roman"/>
          <w:sz w:val="28"/>
          <w:szCs w:val="28"/>
        </w:rPr>
      </w:pPr>
    </w:p>
    <w:p w:rsidR="00171C89" w:rsidRPr="00CB543A" w:rsidRDefault="00171C89" w:rsidP="00CB543A">
      <w:pPr>
        <w:widowControl w:val="0"/>
        <w:numPr>
          <w:ilvl w:val="0"/>
          <w:numId w:val="32"/>
        </w:numPr>
        <w:tabs>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El Juzgado Trece Laboral del Circuito de Bogotá informó sobre el sentido de la decisión adoptada en ese despacho, pero tampoco se pronunció acerca de las pretensiones o los fundamentos de la demanda de tutela</w:t>
      </w:r>
      <w:r w:rsidRPr="00CB543A">
        <w:rPr>
          <w:rStyle w:val="Refdenotaalpie"/>
          <w:rFonts w:ascii="Times New Roman" w:hAnsi="Times New Roman" w:cs="Times New Roman"/>
          <w:sz w:val="28"/>
          <w:szCs w:val="28"/>
        </w:rPr>
        <w:footnoteReference w:id="27"/>
      </w:r>
      <w:r w:rsidRPr="00CB543A">
        <w:rPr>
          <w:rFonts w:ascii="Times New Roman" w:hAnsi="Times New Roman" w:cs="Times New Roman"/>
          <w:sz w:val="28"/>
          <w:szCs w:val="28"/>
        </w:rPr>
        <w:t>.</w:t>
      </w:r>
    </w:p>
    <w:p w:rsidR="00171C89" w:rsidRPr="00CB543A" w:rsidRDefault="00171C89" w:rsidP="00CB543A">
      <w:pPr>
        <w:pStyle w:val="Prrafodelista"/>
        <w:tabs>
          <w:tab w:val="left" w:pos="426"/>
        </w:tabs>
        <w:spacing w:after="0" w:line="240" w:lineRule="auto"/>
        <w:rPr>
          <w:rFonts w:ascii="Times New Roman" w:hAnsi="Times New Roman" w:cs="Times New Roman"/>
          <w:sz w:val="28"/>
          <w:szCs w:val="28"/>
        </w:rPr>
      </w:pPr>
    </w:p>
    <w:p w:rsidR="00171C89" w:rsidRPr="00CB543A" w:rsidRDefault="00171C89" w:rsidP="00CB543A">
      <w:pPr>
        <w:widowControl w:val="0"/>
        <w:numPr>
          <w:ilvl w:val="0"/>
          <w:numId w:val="32"/>
        </w:numPr>
        <w:tabs>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La Caja de Previsión Social de Telecomunicaciones (CAPRECOM) solicitó que se negaran las pretensiones del tutelante por las siguientes razones: </w:t>
      </w:r>
      <w:r w:rsidRPr="00CB543A">
        <w:rPr>
          <w:rFonts w:ascii="Times New Roman" w:hAnsi="Times New Roman" w:cs="Times New Roman"/>
          <w:i/>
          <w:sz w:val="28"/>
          <w:szCs w:val="28"/>
        </w:rPr>
        <w:t>(i)</w:t>
      </w:r>
      <w:r w:rsidRPr="00CB543A">
        <w:rPr>
          <w:rFonts w:ascii="Times New Roman" w:hAnsi="Times New Roman" w:cs="Times New Roman"/>
          <w:b/>
          <w:sz w:val="28"/>
          <w:szCs w:val="28"/>
        </w:rPr>
        <w:t xml:space="preserve"> </w:t>
      </w:r>
      <w:r w:rsidRPr="00CB543A">
        <w:rPr>
          <w:rFonts w:ascii="Times New Roman" w:hAnsi="Times New Roman" w:cs="Times New Roman"/>
          <w:sz w:val="28"/>
          <w:szCs w:val="28"/>
        </w:rPr>
        <w:t xml:space="preserve">la reliquidación objeto de controversia, contenida en la Resolución No. 1927 de 2003, se hizo con fundamento en las normas legales y convencionales aplicables; </w:t>
      </w:r>
      <w:r w:rsidRPr="00CB543A">
        <w:rPr>
          <w:rFonts w:ascii="Times New Roman" w:hAnsi="Times New Roman" w:cs="Times New Roman"/>
          <w:i/>
          <w:sz w:val="28"/>
          <w:szCs w:val="28"/>
        </w:rPr>
        <w:t>(ii)</w:t>
      </w:r>
      <w:r w:rsidRPr="00CB543A">
        <w:rPr>
          <w:rFonts w:ascii="Times New Roman" w:hAnsi="Times New Roman" w:cs="Times New Roman"/>
          <w:b/>
          <w:sz w:val="28"/>
          <w:szCs w:val="28"/>
        </w:rPr>
        <w:t xml:space="preserve"> </w:t>
      </w:r>
      <w:r w:rsidRPr="00CB543A">
        <w:rPr>
          <w:rFonts w:ascii="Times New Roman" w:hAnsi="Times New Roman" w:cs="Times New Roman"/>
          <w:sz w:val="28"/>
          <w:szCs w:val="28"/>
        </w:rPr>
        <w:t xml:space="preserve">las partes fueron oídas en juicio y, por ende, no podía el demandante alegar la violación de su derecho fundamental al debido proceso; </w:t>
      </w:r>
      <w:r w:rsidRPr="00CB543A">
        <w:rPr>
          <w:rFonts w:ascii="Times New Roman" w:hAnsi="Times New Roman" w:cs="Times New Roman"/>
          <w:i/>
          <w:sz w:val="28"/>
          <w:szCs w:val="28"/>
        </w:rPr>
        <w:t>(iii)</w:t>
      </w:r>
      <w:r w:rsidRPr="00CB543A">
        <w:rPr>
          <w:rFonts w:ascii="Times New Roman" w:hAnsi="Times New Roman" w:cs="Times New Roman"/>
          <w:b/>
          <w:sz w:val="28"/>
          <w:szCs w:val="28"/>
        </w:rPr>
        <w:t xml:space="preserve"> </w:t>
      </w:r>
      <w:r w:rsidRPr="00CB543A">
        <w:rPr>
          <w:rFonts w:ascii="Times New Roman" w:hAnsi="Times New Roman" w:cs="Times New Roman"/>
          <w:sz w:val="28"/>
          <w:szCs w:val="28"/>
        </w:rPr>
        <w:t xml:space="preserve">las decisiones de los jueces laborales, incluida la del recurso extraordinario de casación, </w:t>
      </w:r>
      <w:r w:rsidRPr="00CB543A">
        <w:rPr>
          <w:rFonts w:ascii="Times New Roman" w:hAnsi="Times New Roman" w:cs="Times New Roman"/>
          <w:i/>
          <w:sz w:val="28"/>
          <w:szCs w:val="28"/>
        </w:rPr>
        <w:t>“[…] estuvieron acordes a las normas procesales</w:t>
      </w:r>
      <w:r w:rsidRPr="00CB543A">
        <w:rPr>
          <w:rFonts w:ascii="Times New Roman" w:hAnsi="Times New Roman" w:cs="Times New Roman"/>
          <w:sz w:val="28"/>
          <w:szCs w:val="28"/>
        </w:rPr>
        <w:t xml:space="preserve"> </w:t>
      </w:r>
      <w:r w:rsidRPr="00CB543A">
        <w:rPr>
          <w:rFonts w:ascii="Times New Roman" w:hAnsi="Times New Roman" w:cs="Times New Roman"/>
          <w:i/>
          <w:sz w:val="28"/>
          <w:szCs w:val="28"/>
        </w:rPr>
        <w:t>[…]”</w:t>
      </w:r>
      <w:r w:rsidRPr="00CB543A">
        <w:rPr>
          <w:rStyle w:val="Refdenotaalpie"/>
          <w:rFonts w:ascii="Times New Roman" w:hAnsi="Times New Roman" w:cs="Times New Roman"/>
          <w:sz w:val="28"/>
          <w:szCs w:val="28"/>
        </w:rPr>
        <w:footnoteReference w:id="28"/>
      </w:r>
      <w:r w:rsidRPr="00CB543A">
        <w:rPr>
          <w:rFonts w:ascii="Times New Roman" w:hAnsi="Times New Roman" w:cs="Times New Roman"/>
          <w:i/>
          <w:sz w:val="28"/>
          <w:szCs w:val="28"/>
        </w:rPr>
        <w:t xml:space="preserve"> </w:t>
      </w:r>
      <w:r w:rsidRPr="00CB543A">
        <w:rPr>
          <w:rFonts w:ascii="Times New Roman" w:hAnsi="Times New Roman" w:cs="Times New Roman"/>
          <w:sz w:val="28"/>
          <w:szCs w:val="28"/>
        </w:rPr>
        <w:t>y sustantivas que debían tenerse en cuenta para liquidar la pensión al accionante.</w:t>
      </w:r>
    </w:p>
    <w:p w:rsidR="00171C89" w:rsidRPr="00CB543A" w:rsidRDefault="00171C89" w:rsidP="00CB543A">
      <w:pPr>
        <w:widowControl w:val="0"/>
        <w:spacing w:after="0" w:line="240" w:lineRule="auto"/>
        <w:ind w:right="56"/>
        <w:contextualSpacing/>
        <w:jc w:val="both"/>
        <w:rPr>
          <w:rFonts w:ascii="Times New Roman" w:hAnsi="Times New Roman" w:cs="Times New Roman"/>
          <w:sz w:val="28"/>
          <w:szCs w:val="28"/>
        </w:rPr>
      </w:pPr>
    </w:p>
    <w:p w:rsidR="00171C89" w:rsidRPr="00CB543A" w:rsidRDefault="00171C89" w:rsidP="00CB543A">
      <w:pPr>
        <w:widowControl w:val="0"/>
        <w:numPr>
          <w:ilvl w:val="0"/>
          <w:numId w:val="33"/>
        </w:numPr>
        <w:tabs>
          <w:tab w:val="left" w:pos="283"/>
        </w:tabs>
        <w:spacing w:after="0" w:line="240" w:lineRule="auto"/>
        <w:ind w:left="360"/>
        <w:contextualSpacing/>
        <w:jc w:val="both"/>
        <w:rPr>
          <w:rFonts w:ascii="Times New Roman" w:hAnsi="Times New Roman" w:cs="Times New Roman"/>
          <w:b/>
          <w:sz w:val="28"/>
          <w:szCs w:val="28"/>
        </w:rPr>
      </w:pPr>
      <w:r w:rsidRPr="00CB543A">
        <w:rPr>
          <w:rFonts w:ascii="Times New Roman" w:hAnsi="Times New Roman" w:cs="Times New Roman"/>
          <w:b/>
          <w:sz w:val="28"/>
          <w:szCs w:val="28"/>
        </w:rPr>
        <w:t>Decisiones objeto de revisión</w:t>
      </w:r>
    </w:p>
    <w:p w:rsidR="00171C89" w:rsidRPr="00CB543A" w:rsidRDefault="00171C89" w:rsidP="00CB543A">
      <w:pPr>
        <w:spacing w:after="0" w:line="240" w:lineRule="auto"/>
        <w:contextualSpacing/>
        <w:jc w:val="both"/>
        <w:rPr>
          <w:rFonts w:ascii="Times New Roman" w:hAnsi="Times New Roman" w:cs="Times New Roman"/>
          <w:sz w:val="28"/>
          <w:szCs w:val="28"/>
        </w:rPr>
      </w:pPr>
      <w:r w:rsidRPr="00CB543A">
        <w:rPr>
          <w:rFonts w:ascii="Times New Roman" w:hAnsi="Times New Roman" w:cs="Times New Roman"/>
          <w:sz w:val="28"/>
          <w:szCs w:val="28"/>
        </w:rPr>
        <w:t> </w:t>
      </w:r>
    </w:p>
    <w:p w:rsidR="00171C89" w:rsidRPr="00CB543A" w:rsidRDefault="00171C89" w:rsidP="00CB543A">
      <w:pPr>
        <w:widowControl w:val="0"/>
        <w:numPr>
          <w:ilvl w:val="0"/>
          <w:numId w:val="32"/>
        </w:numPr>
        <w:tabs>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La </w:t>
      </w:r>
      <w:r w:rsidRPr="00CB543A">
        <w:rPr>
          <w:rFonts w:ascii="Times New Roman" w:hAnsi="Times New Roman" w:cs="Times New Roman"/>
          <w:b/>
          <w:sz w:val="28"/>
          <w:szCs w:val="28"/>
        </w:rPr>
        <w:t>Corte Suprema de Justicia, Sala de Casación Laboral</w:t>
      </w:r>
      <w:r w:rsidRPr="00CB543A">
        <w:rPr>
          <w:rFonts w:ascii="Times New Roman" w:hAnsi="Times New Roman" w:cs="Times New Roman"/>
          <w:sz w:val="28"/>
          <w:szCs w:val="28"/>
        </w:rPr>
        <w:t>, en sentencia del 16 de diciembre de 2008, declaró improcedente la acción de tutela</w:t>
      </w:r>
      <w:r w:rsidRPr="00CB543A">
        <w:rPr>
          <w:rStyle w:val="Refdenotaalpie"/>
          <w:rFonts w:ascii="Times New Roman" w:hAnsi="Times New Roman" w:cs="Times New Roman"/>
          <w:sz w:val="28"/>
          <w:szCs w:val="28"/>
        </w:rPr>
        <w:footnoteReference w:id="29"/>
      </w:r>
      <w:r w:rsidRPr="00CB543A">
        <w:rPr>
          <w:rFonts w:ascii="Times New Roman" w:hAnsi="Times New Roman" w:cs="Times New Roman"/>
          <w:sz w:val="28"/>
          <w:szCs w:val="28"/>
        </w:rPr>
        <w:t xml:space="preserve">. Consideró, para tales fines, que la decisión que se cuestionaba había estado soportada y en ella se observaba un estudio razonable sobre el régimen pensional aplicable al accionante, otra cosa era que dicho estudio </w:t>
      </w:r>
      <w:r w:rsidRPr="00CB543A">
        <w:rPr>
          <w:rFonts w:ascii="Times New Roman" w:hAnsi="Times New Roman" w:cs="Times New Roman"/>
          <w:i/>
          <w:sz w:val="28"/>
          <w:szCs w:val="28"/>
        </w:rPr>
        <w:t>“[…] comportó un norte distinto al pretendido por el quejoso”</w:t>
      </w:r>
      <w:r w:rsidRPr="00CB543A">
        <w:rPr>
          <w:rStyle w:val="Refdenotaalpie"/>
          <w:rFonts w:ascii="Times New Roman" w:hAnsi="Times New Roman" w:cs="Times New Roman"/>
          <w:sz w:val="28"/>
          <w:szCs w:val="28"/>
        </w:rPr>
        <w:footnoteReference w:id="30"/>
      </w:r>
      <w:r w:rsidRPr="00CB543A">
        <w:rPr>
          <w:rFonts w:ascii="Times New Roman" w:hAnsi="Times New Roman" w:cs="Times New Roman"/>
          <w:sz w:val="28"/>
          <w:szCs w:val="28"/>
        </w:rPr>
        <w:t>. En ese sentido, en el fallo se puso de presente que la tutela no era el mecanismo idóneo para cuestionar o rebatir los criterios de interpretación judicial no compartidos por las partes, menos aún si estos no eran caprichosos o arbitrarios.</w:t>
      </w:r>
    </w:p>
    <w:p w:rsidR="00171C89" w:rsidRPr="00CB543A" w:rsidRDefault="00171C89" w:rsidP="00CB543A">
      <w:pPr>
        <w:widowControl w:val="0"/>
        <w:tabs>
          <w:tab w:val="left" w:pos="426"/>
        </w:tabs>
        <w:spacing w:after="0" w:line="240" w:lineRule="auto"/>
        <w:ind w:right="56"/>
        <w:contextualSpacing/>
        <w:jc w:val="both"/>
        <w:rPr>
          <w:rFonts w:ascii="Times New Roman" w:hAnsi="Times New Roman" w:cs="Times New Roman"/>
          <w:sz w:val="28"/>
          <w:szCs w:val="28"/>
        </w:rPr>
      </w:pPr>
    </w:p>
    <w:p w:rsidR="00171C89" w:rsidRPr="00CB543A" w:rsidRDefault="00171C89" w:rsidP="00CB543A">
      <w:pPr>
        <w:widowControl w:val="0"/>
        <w:numPr>
          <w:ilvl w:val="0"/>
          <w:numId w:val="32"/>
        </w:numPr>
        <w:tabs>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Agregó, de un lado, que no era posible que el juez constitucional reabriera una discusión jurídica que había concluido, entre otros, en aquellos casos en los que a las partes les asistía inconformidad con las tesis planteadas por los jueces ordinarios y, del otro, que una postura diferente terminaría socavando el principio de autonomía judicial y el carácter subsidiario de la acción de tutela.</w:t>
      </w:r>
    </w:p>
    <w:p w:rsidR="00171C89" w:rsidRPr="00CB543A" w:rsidRDefault="00171C89" w:rsidP="00CB543A">
      <w:pPr>
        <w:widowControl w:val="0"/>
        <w:tabs>
          <w:tab w:val="left" w:pos="426"/>
        </w:tabs>
        <w:spacing w:after="0" w:line="240" w:lineRule="auto"/>
        <w:contextualSpacing/>
        <w:jc w:val="both"/>
        <w:rPr>
          <w:rFonts w:ascii="Times New Roman" w:hAnsi="Times New Roman" w:cs="Times New Roman"/>
          <w:sz w:val="28"/>
          <w:szCs w:val="28"/>
        </w:rPr>
      </w:pPr>
    </w:p>
    <w:p w:rsidR="00171C89" w:rsidRPr="00CB543A" w:rsidRDefault="00171C89" w:rsidP="00CB543A">
      <w:pPr>
        <w:widowControl w:val="0"/>
        <w:numPr>
          <w:ilvl w:val="0"/>
          <w:numId w:val="32"/>
        </w:numPr>
        <w:tabs>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El accionante no impugnó la decisión de primera instancia. </w:t>
      </w:r>
    </w:p>
    <w:p w:rsidR="00171C89" w:rsidRPr="00CB543A" w:rsidRDefault="00171C89" w:rsidP="00CB543A">
      <w:pPr>
        <w:widowControl w:val="0"/>
        <w:spacing w:after="0" w:line="240" w:lineRule="auto"/>
        <w:contextualSpacing/>
        <w:jc w:val="both"/>
        <w:rPr>
          <w:rFonts w:ascii="Times New Roman" w:hAnsi="Times New Roman" w:cs="Times New Roman"/>
          <w:sz w:val="28"/>
          <w:szCs w:val="28"/>
        </w:rPr>
      </w:pPr>
    </w:p>
    <w:p w:rsidR="00171C89" w:rsidRPr="00CB543A" w:rsidRDefault="00171C89" w:rsidP="00CB543A">
      <w:pPr>
        <w:widowControl w:val="0"/>
        <w:numPr>
          <w:ilvl w:val="0"/>
          <w:numId w:val="33"/>
        </w:numPr>
        <w:tabs>
          <w:tab w:val="left" w:pos="283"/>
        </w:tabs>
        <w:spacing w:after="0" w:line="240" w:lineRule="auto"/>
        <w:ind w:left="360"/>
        <w:contextualSpacing/>
        <w:jc w:val="both"/>
        <w:rPr>
          <w:rFonts w:ascii="Times New Roman" w:hAnsi="Times New Roman" w:cs="Times New Roman"/>
          <w:b/>
          <w:sz w:val="28"/>
          <w:szCs w:val="28"/>
        </w:rPr>
      </w:pPr>
      <w:r w:rsidRPr="00CB543A">
        <w:rPr>
          <w:rFonts w:ascii="Times New Roman" w:hAnsi="Times New Roman" w:cs="Times New Roman"/>
          <w:b/>
          <w:sz w:val="28"/>
          <w:szCs w:val="28"/>
        </w:rPr>
        <w:t>Trámite ante la Corte Constitucional</w:t>
      </w:r>
    </w:p>
    <w:p w:rsidR="00171C89" w:rsidRPr="00CB543A" w:rsidRDefault="00171C89" w:rsidP="00CB543A">
      <w:pPr>
        <w:widowControl w:val="0"/>
        <w:spacing w:after="0" w:line="240" w:lineRule="auto"/>
        <w:contextualSpacing/>
        <w:jc w:val="both"/>
        <w:rPr>
          <w:rFonts w:ascii="Times New Roman" w:hAnsi="Times New Roman" w:cs="Times New Roman"/>
          <w:sz w:val="28"/>
          <w:szCs w:val="28"/>
        </w:rPr>
      </w:pPr>
    </w:p>
    <w:p w:rsidR="00171C89" w:rsidRPr="00CB543A" w:rsidRDefault="00171C89" w:rsidP="00CB543A">
      <w:pPr>
        <w:widowControl w:val="0"/>
        <w:numPr>
          <w:ilvl w:val="0"/>
          <w:numId w:val="32"/>
        </w:numPr>
        <w:tabs>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El expediente fue seleccionado para revisión, por medio de Auto del 10 de marzo de 2009, proferido por la Sala Tercera de Selección de la Corte Constitucional.</w:t>
      </w:r>
    </w:p>
    <w:p w:rsidR="00171C89" w:rsidRPr="00CB543A" w:rsidRDefault="00171C89" w:rsidP="00CB543A">
      <w:pPr>
        <w:tabs>
          <w:tab w:val="left" w:pos="426"/>
        </w:tabs>
        <w:spacing w:after="0" w:line="240" w:lineRule="auto"/>
        <w:ind w:right="56"/>
        <w:contextualSpacing/>
        <w:jc w:val="both"/>
        <w:rPr>
          <w:rFonts w:ascii="Times New Roman" w:hAnsi="Times New Roman" w:cs="Times New Roman"/>
          <w:sz w:val="28"/>
          <w:szCs w:val="28"/>
        </w:rPr>
      </w:pPr>
    </w:p>
    <w:p w:rsidR="00171C89" w:rsidRPr="00CB543A" w:rsidRDefault="00171C89" w:rsidP="00CB543A">
      <w:pPr>
        <w:widowControl w:val="0"/>
        <w:numPr>
          <w:ilvl w:val="0"/>
          <w:numId w:val="32"/>
        </w:numPr>
        <w:tabs>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El 5 de marzo</w:t>
      </w:r>
      <w:r w:rsidRPr="00CB543A">
        <w:rPr>
          <w:rStyle w:val="Refdenotaalpie"/>
          <w:rFonts w:ascii="Times New Roman" w:hAnsi="Times New Roman" w:cs="Times New Roman"/>
          <w:sz w:val="28"/>
          <w:szCs w:val="28"/>
        </w:rPr>
        <w:footnoteReference w:id="31"/>
      </w:r>
      <w:r w:rsidRPr="00CB543A">
        <w:rPr>
          <w:rFonts w:ascii="Times New Roman" w:hAnsi="Times New Roman" w:cs="Times New Roman"/>
          <w:sz w:val="28"/>
          <w:szCs w:val="28"/>
        </w:rPr>
        <w:t>, el 20 de abril</w:t>
      </w:r>
      <w:r w:rsidRPr="00CB543A">
        <w:rPr>
          <w:rStyle w:val="Refdenotaalpie"/>
          <w:rFonts w:ascii="Times New Roman" w:hAnsi="Times New Roman" w:cs="Times New Roman"/>
          <w:sz w:val="28"/>
          <w:szCs w:val="28"/>
        </w:rPr>
        <w:footnoteReference w:id="32"/>
      </w:r>
      <w:r w:rsidRPr="00CB543A">
        <w:rPr>
          <w:rFonts w:ascii="Times New Roman" w:hAnsi="Times New Roman" w:cs="Times New Roman"/>
          <w:sz w:val="28"/>
          <w:szCs w:val="28"/>
        </w:rPr>
        <w:t xml:space="preserve"> y el 24 de junio</w:t>
      </w:r>
      <w:r w:rsidRPr="00CB543A">
        <w:rPr>
          <w:rStyle w:val="Refdenotaalpie"/>
          <w:rFonts w:ascii="Times New Roman" w:hAnsi="Times New Roman" w:cs="Times New Roman"/>
          <w:sz w:val="28"/>
          <w:szCs w:val="28"/>
        </w:rPr>
        <w:footnoteReference w:id="33"/>
      </w:r>
      <w:r w:rsidRPr="00CB543A">
        <w:rPr>
          <w:rFonts w:ascii="Times New Roman" w:hAnsi="Times New Roman" w:cs="Times New Roman"/>
          <w:sz w:val="28"/>
          <w:szCs w:val="28"/>
        </w:rPr>
        <w:t xml:space="preserve"> de 2009, el apoderado del señor Laureano Augusto Ramírez Gil remitió a la Corte Constitucional memoriales en los que, entre otros aspectos, insistió en los argumentos y solicitudes mencionadas en el numeral 2 </w:t>
      </w:r>
      <w:r w:rsidRPr="00CB543A">
        <w:rPr>
          <w:rFonts w:ascii="Times New Roman" w:hAnsi="Times New Roman" w:cs="Times New Roman"/>
          <w:i/>
          <w:sz w:val="28"/>
          <w:szCs w:val="28"/>
        </w:rPr>
        <w:t>supra</w:t>
      </w:r>
      <w:r w:rsidRPr="00CB543A">
        <w:rPr>
          <w:rFonts w:ascii="Times New Roman" w:hAnsi="Times New Roman" w:cs="Times New Roman"/>
          <w:sz w:val="28"/>
          <w:szCs w:val="28"/>
        </w:rPr>
        <w:t>. Asimismo, solicitó valorar la sentencia C-835 de 2003, por la cual se declaró la exequibilidad condicionada del artículo 19 de la Ley 797 de 2003. Igualmente, mediante memoriales del 7 de mayo de ese mismo año, el abogado de la parte accionante remitió al proceso copias de las decisiones que consideró relevantes para resolver el caso concreto, incluida la referida sentencia de constitucionalidad.</w:t>
      </w:r>
    </w:p>
    <w:p w:rsidR="00171C89" w:rsidRPr="00CB543A" w:rsidRDefault="00171C89" w:rsidP="00CB543A">
      <w:pPr>
        <w:widowControl w:val="0"/>
        <w:tabs>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 </w:t>
      </w:r>
    </w:p>
    <w:p w:rsidR="00171C89" w:rsidRPr="00CB543A" w:rsidRDefault="00171C89" w:rsidP="00CB543A">
      <w:pPr>
        <w:widowControl w:val="0"/>
        <w:numPr>
          <w:ilvl w:val="1"/>
          <w:numId w:val="33"/>
        </w:numPr>
        <w:tabs>
          <w:tab w:val="left" w:pos="283"/>
        </w:tabs>
        <w:spacing w:after="0" w:line="240" w:lineRule="auto"/>
        <w:contextualSpacing/>
        <w:jc w:val="both"/>
        <w:rPr>
          <w:rFonts w:ascii="Times New Roman" w:hAnsi="Times New Roman" w:cs="Times New Roman"/>
          <w:b/>
          <w:sz w:val="28"/>
          <w:szCs w:val="28"/>
        </w:rPr>
      </w:pPr>
      <w:r w:rsidRPr="00CB543A">
        <w:rPr>
          <w:rFonts w:ascii="Times New Roman" w:hAnsi="Times New Roman" w:cs="Times New Roman"/>
          <w:b/>
          <w:sz w:val="28"/>
          <w:szCs w:val="28"/>
        </w:rPr>
        <w:t>Sentencia T-022 de 2010</w:t>
      </w:r>
    </w:p>
    <w:p w:rsidR="00171C89" w:rsidRPr="00CB543A" w:rsidRDefault="00171C89" w:rsidP="00CB543A">
      <w:pPr>
        <w:widowControl w:val="0"/>
        <w:spacing w:after="0" w:line="240" w:lineRule="auto"/>
        <w:contextualSpacing/>
        <w:jc w:val="both"/>
        <w:rPr>
          <w:rFonts w:ascii="Times New Roman" w:hAnsi="Times New Roman" w:cs="Times New Roman"/>
          <w:b/>
          <w:sz w:val="28"/>
          <w:szCs w:val="28"/>
        </w:rPr>
      </w:pPr>
    </w:p>
    <w:p w:rsidR="00171C89" w:rsidRPr="00CB543A" w:rsidRDefault="00171C89" w:rsidP="00CB543A">
      <w:pPr>
        <w:widowControl w:val="0"/>
        <w:numPr>
          <w:ilvl w:val="0"/>
          <w:numId w:val="32"/>
        </w:numPr>
        <w:tabs>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Mediante la Sentencia T-022 del 25 de enero de 2010, la Sala Séptima de Revisión de la Corte Constitucional confirmó la decisión del juez de instancia, con fundamento en que, </w:t>
      </w:r>
      <w:r w:rsidRPr="00CB543A">
        <w:rPr>
          <w:rFonts w:ascii="Times New Roman" w:hAnsi="Times New Roman" w:cs="Times New Roman"/>
          <w:i/>
          <w:sz w:val="28"/>
          <w:szCs w:val="28"/>
        </w:rPr>
        <w:t>“[…] en la presente oportunidad[,] no se está en presencia de una de aquellas situaciones excepcionalísimas en las que procede el amparo contra providencias judiciales, pues […] la corporación accionada al dictar la sentencia censurada actuó de manera razonable, dentro de su órbita de autonomía, en la aplicación e interpretación de las normas que regulan la liquidación de pensiones de quienes, como el actor, pertenecen al régimen de transición establecido en el artículo 36 de la Ley 100 de 1993”</w:t>
      </w:r>
      <w:r w:rsidRPr="00CB543A">
        <w:rPr>
          <w:rFonts w:ascii="Times New Roman" w:hAnsi="Times New Roman" w:cs="Times New Roman"/>
          <w:sz w:val="28"/>
          <w:szCs w:val="28"/>
          <w:vertAlign w:val="superscript"/>
        </w:rPr>
        <w:t xml:space="preserve"> </w:t>
      </w:r>
      <w:r w:rsidRPr="00CB543A">
        <w:rPr>
          <w:rFonts w:ascii="Times New Roman" w:hAnsi="Times New Roman" w:cs="Times New Roman"/>
          <w:sz w:val="28"/>
          <w:szCs w:val="28"/>
          <w:vertAlign w:val="superscript"/>
        </w:rPr>
        <w:footnoteReference w:id="34"/>
      </w:r>
      <w:r w:rsidRPr="00CB543A">
        <w:rPr>
          <w:rFonts w:ascii="Times New Roman" w:hAnsi="Times New Roman" w:cs="Times New Roman"/>
          <w:sz w:val="28"/>
          <w:szCs w:val="28"/>
        </w:rPr>
        <w:t>. Esta conclusión se fundamentó en dos premisas: de una parte, en que el juez de tutela no estaba habilitado para invadir el ámbito propio de las funciones del juez ordinario haciendo prevalecer o imponer su propia interpretación y, de la otra, que la simple divergencia interpretativa del juez constitucional con el criterio del fallador no constituía irregularidad alguna que hiciera procedente la acción de tutela contra providencias judiciales, así como tampoco lo constituía el hecho de contrariar el criterio interpretativo que tenían otros operadores judiciales</w:t>
      </w:r>
      <w:r w:rsidRPr="00CB543A">
        <w:rPr>
          <w:rStyle w:val="Refdenotaalpie"/>
          <w:rFonts w:ascii="Times New Roman" w:hAnsi="Times New Roman" w:cs="Times New Roman"/>
          <w:sz w:val="28"/>
          <w:szCs w:val="28"/>
        </w:rPr>
        <w:footnoteReference w:id="35"/>
      </w:r>
      <w:r w:rsidRPr="00CB543A">
        <w:rPr>
          <w:rFonts w:ascii="Times New Roman" w:hAnsi="Times New Roman" w:cs="Times New Roman"/>
          <w:sz w:val="28"/>
          <w:szCs w:val="28"/>
        </w:rPr>
        <w:t>.</w:t>
      </w:r>
    </w:p>
    <w:p w:rsidR="00171C89" w:rsidRPr="00CB543A" w:rsidRDefault="00171C89" w:rsidP="00CB543A">
      <w:pPr>
        <w:widowControl w:val="0"/>
        <w:tabs>
          <w:tab w:val="left" w:pos="426"/>
        </w:tabs>
        <w:spacing w:after="0" w:line="240" w:lineRule="auto"/>
        <w:ind w:right="56"/>
        <w:contextualSpacing/>
        <w:jc w:val="both"/>
        <w:rPr>
          <w:rFonts w:ascii="Times New Roman" w:hAnsi="Times New Roman" w:cs="Times New Roman"/>
          <w:sz w:val="28"/>
          <w:szCs w:val="28"/>
        </w:rPr>
      </w:pPr>
    </w:p>
    <w:p w:rsidR="00171C89" w:rsidRPr="00CB543A" w:rsidRDefault="00171C89" w:rsidP="00CB543A">
      <w:pPr>
        <w:widowControl w:val="0"/>
        <w:numPr>
          <w:ilvl w:val="0"/>
          <w:numId w:val="32"/>
        </w:numPr>
        <w:tabs>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Sin perjuicio de lo anterior, la Sala Séptima de Revisión reconoció que la decisión objeto de tutela difería de la posición fijada, para esos momentos, por las diferentes Salas de Revisión de la Corte, según la cual: </w:t>
      </w:r>
      <w:r w:rsidRPr="00CB543A">
        <w:rPr>
          <w:rFonts w:ascii="Times New Roman" w:hAnsi="Times New Roman" w:cs="Times New Roman"/>
          <w:i/>
          <w:sz w:val="28"/>
          <w:szCs w:val="28"/>
        </w:rPr>
        <w:t xml:space="preserve">“ </w:t>
      </w:r>
      <w:r w:rsidRPr="00CB543A">
        <w:rPr>
          <w:rFonts w:ascii="Times New Roman" w:hAnsi="Times New Roman" w:cs="Times New Roman"/>
          <w:b/>
          <w:i/>
          <w:sz w:val="28"/>
          <w:szCs w:val="28"/>
        </w:rPr>
        <w:t>(i)</w:t>
      </w:r>
      <w:r w:rsidRPr="00CB543A">
        <w:rPr>
          <w:rFonts w:ascii="Times New Roman" w:hAnsi="Times New Roman" w:cs="Times New Roman"/>
          <w:i/>
          <w:sz w:val="28"/>
          <w:szCs w:val="28"/>
        </w:rPr>
        <w:t xml:space="preserve"> el concepto de ingreso base de liquidación a que refiere el inciso del artículo 36 de la Ley 100 de 1993, forma parte de la noción del monto de la pensión señalada en el inciso segundo del mismo artículo, razón por la cual uno y </w:t>
      </w:r>
      <w:r w:rsidRPr="00CB543A">
        <w:rPr>
          <w:rFonts w:ascii="Times New Roman" w:hAnsi="Times New Roman" w:cs="Times New Roman"/>
          <w:i/>
          <w:sz w:val="28"/>
          <w:szCs w:val="28"/>
        </w:rPr>
        <w:lastRenderedPageBreak/>
        <w:t xml:space="preserve">otro se determinan por un solo régimen y la excepción del inciso tercero resulta inocua, razón por la cual </w:t>
      </w:r>
      <w:r w:rsidRPr="00CB543A">
        <w:rPr>
          <w:rFonts w:ascii="Times New Roman" w:hAnsi="Times New Roman" w:cs="Times New Roman"/>
          <w:b/>
          <w:i/>
          <w:sz w:val="28"/>
          <w:szCs w:val="28"/>
        </w:rPr>
        <w:t>(ii)</w:t>
      </w:r>
      <w:r w:rsidRPr="00CB543A">
        <w:rPr>
          <w:rFonts w:ascii="Times New Roman" w:hAnsi="Times New Roman" w:cs="Times New Roman"/>
          <w:i/>
          <w:sz w:val="28"/>
          <w:szCs w:val="28"/>
        </w:rPr>
        <w:t xml:space="preserve"> el inciso tercero del artículo 36 de la Ley 100 de 1993 es aplicable excepcionalmente, cuando el régimen especial no estipula explícitamente el ingreso base para liquidar la pensión”</w:t>
      </w:r>
      <w:r w:rsidRPr="00CB543A">
        <w:rPr>
          <w:rFonts w:ascii="Times New Roman" w:hAnsi="Times New Roman" w:cs="Times New Roman"/>
          <w:sz w:val="28"/>
          <w:szCs w:val="28"/>
          <w:vertAlign w:val="superscript"/>
        </w:rPr>
        <w:footnoteReference w:id="36"/>
      </w:r>
      <w:r w:rsidRPr="00CB543A">
        <w:rPr>
          <w:rFonts w:ascii="Times New Roman" w:hAnsi="Times New Roman" w:cs="Times New Roman"/>
          <w:sz w:val="28"/>
          <w:szCs w:val="28"/>
        </w:rPr>
        <w:t>. Con todo, en la misma providencia se dejó claro que la divergencia de criterios entre las Cortes sobre la interpretación del artículo 36 de la Ley 100 de 1993, no tenía la entidad suficiente para constituir un vicio que afectara la validez de la decisión objeto de tutela, por las siguiente razones:</w:t>
      </w:r>
    </w:p>
    <w:p w:rsidR="00171C89" w:rsidRPr="00CB543A" w:rsidRDefault="00171C89" w:rsidP="00CB543A">
      <w:pPr>
        <w:widowControl w:val="0"/>
        <w:tabs>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 </w:t>
      </w:r>
    </w:p>
    <w:p w:rsidR="00171C89" w:rsidRPr="00CB543A" w:rsidRDefault="00171C89" w:rsidP="00CB543A">
      <w:pPr>
        <w:widowControl w:val="0"/>
        <w:tabs>
          <w:tab w:val="left" w:pos="426"/>
          <w:tab w:val="left" w:pos="7938"/>
        </w:tabs>
        <w:spacing w:after="0" w:line="240" w:lineRule="auto"/>
        <w:ind w:left="564" w:right="624"/>
        <w:contextualSpacing/>
        <w:jc w:val="both"/>
        <w:rPr>
          <w:rFonts w:ascii="Times New Roman" w:hAnsi="Times New Roman" w:cs="Times New Roman"/>
          <w:i/>
          <w:sz w:val="28"/>
          <w:szCs w:val="28"/>
        </w:rPr>
      </w:pPr>
      <w:r w:rsidRPr="00CB543A">
        <w:rPr>
          <w:rFonts w:ascii="Times New Roman" w:hAnsi="Times New Roman" w:cs="Times New Roman"/>
          <w:i/>
          <w:sz w:val="28"/>
          <w:szCs w:val="28"/>
        </w:rPr>
        <w:t>“[…] la hermenéutica realizada sobre dicha disposición es trasunto de la función que la Carta Política le asigna para ‘actuar como tribunal de casación’ (art. 235-1 Const.), facultad en virtud de la cual cumple el objetivo trascendental de unificar la jurisprudencia nacional en ese ámbito de la jurisdicción ordinaria[16], fijando el alcance de las normas jurídicas que aplican los jueces de instancia para dirimir los conflictos sometidos a su conocimiento. Tampoco encuentra esta Sala que la interpretación realizada por la corporación accionada atente contra otros principios y valores constitucionales, toda vez que fue producto del análisis efectuado con base en los hechos probados y controvertidos por las partes dentro del proceso ordinario laboral iniciado por el accionante contra CAPRECOM, a fin de obtener la reliquidación de la pensión.”</w:t>
      </w:r>
      <w:r w:rsidRPr="00CB543A">
        <w:rPr>
          <w:rStyle w:val="Refdenotaalpie"/>
          <w:rFonts w:ascii="Times New Roman" w:hAnsi="Times New Roman" w:cs="Times New Roman"/>
          <w:sz w:val="28"/>
          <w:szCs w:val="28"/>
        </w:rPr>
        <w:footnoteReference w:id="37"/>
      </w:r>
    </w:p>
    <w:p w:rsidR="00171C89" w:rsidRPr="00CB543A" w:rsidRDefault="00171C89" w:rsidP="00CB543A">
      <w:pPr>
        <w:tabs>
          <w:tab w:val="left" w:pos="426"/>
        </w:tabs>
        <w:spacing w:after="0" w:line="240" w:lineRule="auto"/>
        <w:ind w:right="56"/>
        <w:contextualSpacing/>
        <w:jc w:val="both"/>
        <w:rPr>
          <w:rFonts w:ascii="Times New Roman" w:hAnsi="Times New Roman" w:cs="Times New Roman"/>
          <w:sz w:val="28"/>
          <w:szCs w:val="28"/>
        </w:rPr>
      </w:pPr>
    </w:p>
    <w:p w:rsidR="00171C89" w:rsidRPr="00CB543A" w:rsidRDefault="00171C89" w:rsidP="00CB543A">
      <w:pPr>
        <w:widowControl w:val="0"/>
        <w:numPr>
          <w:ilvl w:val="0"/>
          <w:numId w:val="32"/>
        </w:numPr>
        <w:tabs>
          <w:tab w:val="left" w:pos="426"/>
        </w:tabs>
        <w:spacing w:after="0" w:line="240" w:lineRule="auto"/>
        <w:ind w:right="56"/>
        <w:contextualSpacing/>
        <w:jc w:val="both"/>
        <w:rPr>
          <w:rFonts w:ascii="Times New Roman" w:hAnsi="Times New Roman" w:cs="Times New Roman"/>
          <w:b/>
          <w:sz w:val="28"/>
          <w:szCs w:val="28"/>
        </w:rPr>
      </w:pPr>
      <w:r w:rsidRPr="00CB543A">
        <w:rPr>
          <w:rFonts w:ascii="Times New Roman" w:hAnsi="Times New Roman" w:cs="Times New Roman"/>
          <w:sz w:val="28"/>
          <w:szCs w:val="28"/>
        </w:rPr>
        <w:t>Por otra parte, la Sala Séptima de Revisión tuvo en cuenta, primero, que, en aplicación del precedente de la Corte</w:t>
      </w:r>
      <w:r w:rsidRPr="00CB543A">
        <w:rPr>
          <w:rStyle w:val="Refdenotaalpie"/>
          <w:rFonts w:ascii="Times New Roman" w:hAnsi="Times New Roman" w:cs="Times New Roman"/>
          <w:sz w:val="28"/>
          <w:szCs w:val="28"/>
        </w:rPr>
        <w:footnoteReference w:id="38"/>
      </w:r>
      <w:r w:rsidRPr="00CB543A">
        <w:rPr>
          <w:rFonts w:ascii="Times New Roman" w:hAnsi="Times New Roman" w:cs="Times New Roman"/>
          <w:sz w:val="28"/>
          <w:szCs w:val="28"/>
        </w:rPr>
        <w:t xml:space="preserve">, no era posible cuestionar, por vía de tutela, una sentencia frente a la que solo se reprochaba la interpretación normativa, ya que era necesario que dicha valoración hubiese sido equivocada y burda, y, segundo, que dentro del otro proceso de tutela promovido por el señor Ramírez Gil (numeral 1 </w:t>
      </w:r>
      <w:r w:rsidRPr="00CB543A">
        <w:rPr>
          <w:rFonts w:ascii="Times New Roman" w:hAnsi="Times New Roman" w:cs="Times New Roman"/>
          <w:i/>
          <w:sz w:val="28"/>
          <w:szCs w:val="28"/>
        </w:rPr>
        <w:t>supra</w:t>
      </w:r>
      <w:r w:rsidRPr="00CB543A">
        <w:rPr>
          <w:rFonts w:ascii="Times New Roman" w:hAnsi="Times New Roman" w:cs="Times New Roman"/>
          <w:sz w:val="28"/>
          <w:szCs w:val="28"/>
        </w:rPr>
        <w:t xml:space="preserve">), la Corte </w:t>
      </w:r>
      <w:r w:rsidRPr="00CB543A">
        <w:rPr>
          <w:rFonts w:ascii="Times New Roman" w:hAnsi="Times New Roman" w:cs="Times New Roman"/>
          <w:i/>
          <w:sz w:val="28"/>
          <w:szCs w:val="28"/>
        </w:rPr>
        <w:t>“[…] reconoció la improcedencia de la acción de tutela para ajustar el criterio de los jueces a dicha doctrina [se refiere a la interpretación que tenía la Corte del artículo 36 de la Ley 100 de 1993]”</w:t>
      </w:r>
      <w:r w:rsidRPr="00CB543A">
        <w:rPr>
          <w:rStyle w:val="Refdenotaalpie"/>
          <w:rFonts w:ascii="Times New Roman" w:hAnsi="Times New Roman" w:cs="Times New Roman"/>
          <w:i/>
          <w:sz w:val="28"/>
          <w:szCs w:val="28"/>
        </w:rPr>
        <w:footnoteReference w:id="39"/>
      </w:r>
      <w:r w:rsidRPr="00CB543A">
        <w:rPr>
          <w:rFonts w:ascii="Times New Roman" w:hAnsi="Times New Roman" w:cs="Times New Roman"/>
          <w:sz w:val="28"/>
          <w:szCs w:val="28"/>
        </w:rPr>
        <w:t>.</w:t>
      </w:r>
    </w:p>
    <w:p w:rsidR="00171C89" w:rsidRPr="00CB543A" w:rsidRDefault="00171C89" w:rsidP="00CB543A">
      <w:pPr>
        <w:widowControl w:val="0"/>
        <w:tabs>
          <w:tab w:val="left" w:pos="426"/>
        </w:tabs>
        <w:spacing w:after="0" w:line="240" w:lineRule="auto"/>
        <w:ind w:right="56"/>
        <w:contextualSpacing/>
        <w:jc w:val="both"/>
        <w:rPr>
          <w:rFonts w:ascii="Times New Roman" w:hAnsi="Times New Roman" w:cs="Times New Roman"/>
          <w:b/>
          <w:sz w:val="28"/>
          <w:szCs w:val="28"/>
        </w:rPr>
      </w:pPr>
    </w:p>
    <w:p w:rsidR="00171C89" w:rsidRPr="00CB543A" w:rsidRDefault="00171C89" w:rsidP="00CB543A">
      <w:pPr>
        <w:widowControl w:val="0"/>
        <w:numPr>
          <w:ilvl w:val="1"/>
          <w:numId w:val="33"/>
        </w:numPr>
        <w:tabs>
          <w:tab w:val="left" w:pos="283"/>
        </w:tabs>
        <w:spacing w:after="0" w:line="240" w:lineRule="auto"/>
        <w:contextualSpacing/>
        <w:jc w:val="both"/>
        <w:rPr>
          <w:rFonts w:ascii="Times New Roman" w:hAnsi="Times New Roman" w:cs="Times New Roman"/>
          <w:b/>
          <w:sz w:val="28"/>
          <w:szCs w:val="28"/>
        </w:rPr>
      </w:pPr>
      <w:r w:rsidRPr="00CB543A">
        <w:rPr>
          <w:rFonts w:ascii="Times New Roman" w:hAnsi="Times New Roman" w:cs="Times New Roman"/>
          <w:b/>
          <w:sz w:val="28"/>
          <w:szCs w:val="28"/>
        </w:rPr>
        <w:t>Auto 144 de 2012, que declaró la nulidad de la Sentencia T-022 de 2010</w:t>
      </w:r>
    </w:p>
    <w:p w:rsidR="00171C89" w:rsidRPr="00CB543A" w:rsidRDefault="00171C89" w:rsidP="00CB543A">
      <w:pPr>
        <w:widowControl w:val="0"/>
        <w:spacing w:after="0" w:line="240" w:lineRule="auto"/>
        <w:contextualSpacing/>
        <w:jc w:val="both"/>
        <w:rPr>
          <w:rFonts w:ascii="Times New Roman" w:hAnsi="Times New Roman" w:cs="Times New Roman"/>
          <w:b/>
          <w:sz w:val="28"/>
          <w:szCs w:val="28"/>
        </w:rPr>
      </w:pPr>
    </w:p>
    <w:p w:rsidR="00171C89" w:rsidRPr="00CB543A" w:rsidRDefault="00171C89" w:rsidP="00CB543A">
      <w:pPr>
        <w:widowControl w:val="0"/>
        <w:numPr>
          <w:ilvl w:val="0"/>
          <w:numId w:val="32"/>
        </w:numPr>
        <w:spacing w:after="0" w:line="240" w:lineRule="auto"/>
        <w:ind w:right="56"/>
        <w:contextualSpacing/>
        <w:jc w:val="both"/>
        <w:rPr>
          <w:rFonts w:ascii="Times New Roman" w:hAnsi="Times New Roman" w:cs="Times New Roman"/>
          <w:color w:val="auto"/>
          <w:sz w:val="28"/>
          <w:szCs w:val="28"/>
        </w:rPr>
      </w:pPr>
      <w:r w:rsidRPr="00CB543A">
        <w:rPr>
          <w:rFonts w:ascii="Times New Roman" w:hAnsi="Times New Roman" w:cs="Times New Roman"/>
          <w:sz w:val="28"/>
          <w:szCs w:val="28"/>
        </w:rPr>
        <w:t xml:space="preserve">Laureano Augusto Ramírez Gil, en su condición de accionante, solicitó la nulidad de la sentencia T-022 de 2010 y, para tales fines, invocó y desarrolló dos cargos: </w:t>
      </w:r>
      <w:r w:rsidRPr="00CB543A">
        <w:rPr>
          <w:rFonts w:ascii="Times New Roman" w:hAnsi="Times New Roman" w:cs="Times New Roman"/>
          <w:i/>
          <w:sz w:val="28"/>
          <w:szCs w:val="28"/>
        </w:rPr>
        <w:t>(i)</w:t>
      </w:r>
      <w:r w:rsidRPr="00CB543A">
        <w:rPr>
          <w:rFonts w:ascii="Times New Roman" w:hAnsi="Times New Roman" w:cs="Times New Roman"/>
          <w:sz w:val="28"/>
          <w:szCs w:val="28"/>
        </w:rPr>
        <w:t xml:space="preserve"> la Sala de Revisión cambió la jurisprudencia constitucional en vigor sin acudir a la Sala Plena; y </w:t>
      </w:r>
      <w:r w:rsidRPr="00CB543A">
        <w:rPr>
          <w:rFonts w:ascii="Times New Roman" w:hAnsi="Times New Roman" w:cs="Times New Roman"/>
          <w:i/>
          <w:sz w:val="28"/>
          <w:szCs w:val="28"/>
        </w:rPr>
        <w:t>(ii)</w:t>
      </w:r>
      <w:r w:rsidRPr="00CB543A">
        <w:rPr>
          <w:rFonts w:ascii="Times New Roman" w:hAnsi="Times New Roman" w:cs="Times New Roman"/>
          <w:sz w:val="28"/>
          <w:szCs w:val="28"/>
        </w:rPr>
        <w:t xml:space="preserve"> la Sala de Revisión omitió resolver un problema jurídico de relevancia constitucional, cargo que fundamentó en la presunta falta de estudio de la sentencia C-835 de 2003, por </w:t>
      </w:r>
      <w:r w:rsidRPr="00CB543A">
        <w:rPr>
          <w:rFonts w:ascii="Times New Roman" w:hAnsi="Times New Roman" w:cs="Times New Roman"/>
          <w:sz w:val="28"/>
          <w:szCs w:val="28"/>
        </w:rPr>
        <w:lastRenderedPageBreak/>
        <w:t xml:space="preserve">medio de la que se declaró la exequibilidad condicionada del artículo 19 de la Ley 797 de 2003, norma que, a su vez, le sirvió de fundamento a la Corte Suprema de Justicia para negar el cargo de casación relacionado con la revocatoria directa de la Resolución 0458 de 1997 (numeral 1 </w:t>
      </w:r>
      <w:r w:rsidRPr="00CB543A">
        <w:rPr>
          <w:rFonts w:ascii="Times New Roman" w:hAnsi="Times New Roman" w:cs="Times New Roman"/>
          <w:i/>
          <w:sz w:val="28"/>
          <w:szCs w:val="28"/>
        </w:rPr>
        <w:t>supra</w:t>
      </w:r>
      <w:r w:rsidRPr="00CB543A">
        <w:rPr>
          <w:rFonts w:ascii="Times New Roman" w:hAnsi="Times New Roman" w:cs="Times New Roman"/>
          <w:sz w:val="28"/>
          <w:szCs w:val="28"/>
        </w:rPr>
        <w:t xml:space="preserve">). Para sustentar el primer cargo, el recurrente afirmó que la Sala Séptima de Revisión: </w:t>
      </w:r>
      <w:r w:rsidRPr="00CB543A">
        <w:rPr>
          <w:rFonts w:ascii="Times New Roman" w:hAnsi="Times New Roman" w:cs="Times New Roman"/>
          <w:i/>
          <w:sz w:val="28"/>
          <w:szCs w:val="28"/>
        </w:rPr>
        <w:t xml:space="preserve">(i) </w:t>
      </w:r>
      <w:r w:rsidRPr="00CB543A">
        <w:rPr>
          <w:rFonts w:ascii="Times New Roman" w:hAnsi="Times New Roman" w:cs="Times New Roman"/>
          <w:sz w:val="28"/>
          <w:szCs w:val="28"/>
        </w:rPr>
        <w:t xml:space="preserve">había modificado la jurisprudencia de la Corte vigente para ese momento, sobre la interpretación de los incisos 2º y 3º del artículo 36 de la Ley 100 de 1993; </w:t>
      </w:r>
      <w:r w:rsidRPr="00CB543A">
        <w:rPr>
          <w:rFonts w:ascii="Times New Roman" w:hAnsi="Times New Roman" w:cs="Times New Roman"/>
          <w:i/>
          <w:sz w:val="28"/>
          <w:szCs w:val="28"/>
        </w:rPr>
        <w:t xml:space="preserve">(ii) </w:t>
      </w:r>
      <w:r w:rsidRPr="00CB543A">
        <w:rPr>
          <w:rFonts w:ascii="Times New Roman" w:hAnsi="Times New Roman" w:cs="Times New Roman"/>
          <w:sz w:val="28"/>
          <w:szCs w:val="28"/>
        </w:rPr>
        <w:t xml:space="preserve">había aplicado el precedente judicial relativo a las </w:t>
      </w:r>
      <w:r w:rsidRPr="00CB543A">
        <w:rPr>
          <w:rFonts w:ascii="Times New Roman" w:hAnsi="Times New Roman" w:cs="Times New Roman"/>
          <w:i/>
          <w:sz w:val="28"/>
          <w:szCs w:val="28"/>
        </w:rPr>
        <w:t>“vías de hecho”</w:t>
      </w:r>
      <w:r w:rsidRPr="00CB543A">
        <w:rPr>
          <w:rFonts w:ascii="Times New Roman" w:hAnsi="Times New Roman" w:cs="Times New Roman"/>
          <w:sz w:val="28"/>
          <w:szCs w:val="28"/>
        </w:rPr>
        <w:t xml:space="preserve"> y no el atinente a la procedencia de la tutela contra providencias judiciales; y </w:t>
      </w:r>
      <w:r w:rsidRPr="00CB543A">
        <w:rPr>
          <w:rFonts w:ascii="Times New Roman" w:hAnsi="Times New Roman" w:cs="Times New Roman"/>
          <w:i/>
          <w:sz w:val="28"/>
          <w:szCs w:val="28"/>
        </w:rPr>
        <w:t xml:space="preserve">(iii) </w:t>
      </w:r>
      <w:r w:rsidRPr="00CB543A">
        <w:rPr>
          <w:rFonts w:ascii="Times New Roman" w:hAnsi="Times New Roman" w:cs="Times New Roman"/>
          <w:sz w:val="28"/>
          <w:szCs w:val="28"/>
        </w:rPr>
        <w:t xml:space="preserve">había desconocido la sentencia T-158 de 2016 (numeral 1 </w:t>
      </w:r>
      <w:r w:rsidRPr="00CB543A">
        <w:rPr>
          <w:rFonts w:ascii="Times New Roman" w:hAnsi="Times New Roman" w:cs="Times New Roman"/>
          <w:i/>
          <w:sz w:val="28"/>
          <w:szCs w:val="28"/>
        </w:rPr>
        <w:t>supra</w:t>
      </w:r>
      <w:r w:rsidRPr="00CB543A">
        <w:rPr>
          <w:rFonts w:ascii="Times New Roman" w:hAnsi="Times New Roman" w:cs="Times New Roman"/>
          <w:sz w:val="28"/>
          <w:szCs w:val="28"/>
        </w:rPr>
        <w:t xml:space="preserve">), en la cual, según su criterio, esta Corte había reconocido que la reliquidación de la pensión del accionante sí era procedente, pero resolvió que la misma </w:t>
      </w:r>
      <w:r w:rsidRPr="00CB543A">
        <w:rPr>
          <w:rFonts w:ascii="Times New Roman" w:hAnsi="Times New Roman" w:cs="Times New Roman"/>
          <w:color w:val="auto"/>
          <w:sz w:val="28"/>
          <w:szCs w:val="28"/>
        </w:rPr>
        <w:t>debía ser tramitada ante los jueces ordinarios laborales.</w:t>
      </w:r>
    </w:p>
    <w:p w:rsidR="00171C89" w:rsidRPr="00CB543A" w:rsidRDefault="00171C89" w:rsidP="00CB543A">
      <w:pPr>
        <w:widowControl w:val="0"/>
        <w:spacing w:after="0" w:line="240" w:lineRule="auto"/>
        <w:ind w:right="56"/>
        <w:contextualSpacing/>
        <w:jc w:val="both"/>
        <w:rPr>
          <w:rFonts w:ascii="Times New Roman" w:hAnsi="Times New Roman" w:cs="Times New Roman"/>
          <w:color w:val="auto"/>
          <w:sz w:val="28"/>
          <w:szCs w:val="28"/>
        </w:rPr>
      </w:pPr>
    </w:p>
    <w:p w:rsidR="00171C89" w:rsidRPr="00CB543A" w:rsidRDefault="00171C89" w:rsidP="00CB543A">
      <w:pPr>
        <w:widowControl w:val="0"/>
        <w:numPr>
          <w:ilvl w:val="0"/>
          <w:numId w:val="32"/>
        </w:numPr>
        <w:spacing w:after="0" w:line="240" w:lineRule="auto"/>
        <w:ind w:right="56"/>
        <w:contextualSpacing/>
        <w:jc w:val="both"/>
        <w:rPr>
          <w:rFonts w:ascii="Times New Roman" w:hAnsi="Times New Roman" w:cs="Times New Roman"/>
          <w:b/>
          <w:sz w:val="28"/>
          <w:szCs w:val="28"/>
        </w:rPr>
      </w:pPr>
      <w:r w:rsidRPr="00CB543A">
        <w:rPr>
          <w:rFonts w:ascii="Times New Roman" w:hAnsi="Times New Roman" w:cs="Times New Roman"/>
          <w:color w:val="auto"/>
          <w:sz w:val="28"/>
          <w:szCs w:val="28"/>
        </w:rPr>
        <w:t>La Sala Plena de la Corte Constitucional, mediante el Auto 144 del 21 de junio de 2012</w:t>
      </w:r>
      <w:r w:rsidRPr="00CB543A">
        <w:rPr>
          <w:rStyle w:val="Refdenotaalpie"/>
          <w:rFonts w:ascii="Times New Roman" w:hAnsi="Times New Roman" w:cs="Times New Roman"/>
          <w:color w:val="auto"/>
          <w:sz w:val="28"/>
          <w:szCs w:val="28"/>
        </w:rPr>
        <w:footnoteReference w:id="40"/>
      </w:r>
      <w:r w:rsidRPr="00CB543A">
        <w:rPr>
          <w:rFonts w:ascii="Times New Roman" w:hAnsi="Times New Roman" w:cs="Times New Roman"/>
          <w:color w:val="auto"/>
          <w:sz w:val="28"/>
          <w:szCs w:val="28"/>
        </w:rPr>
        <w:t xml:space="preserve">, declaró la nulidad de la </w:t>
      </w:r>
      <w:r w:rsidRPr="00CB543A">
        <w:rPr>
          <w:rFonts w:ascii="Times New Roman" w:hAnsi="Times New Roman" w:cs="Times New Roman"/>
          <w:sz w:val="28"/>
          <w:szCs w:val="28"/>
        </w:rPr>
        <w:t xml:space="preserve">Sentencia T-022 del 2010. Consideró que la sentencia de la Sala Séptima de Revisión, por una parte, había cambiado la jurisprudencia en vigor de esta Corte y, por la otra, había omitido pronunciarse sobre un asunto considerado como de relevancia constitucional. </w:t>
      </w:r>
    </w:p>
    <w:p w:rsidR="00171C89" w:rsidRPr="00CB543A" w:rsidRDefault="00171C89" w:rsidP="00CB543A">
      <w:pPr>
        <w:pStyle w:val="Prrafodelista"/>
        <w:spacing w:after="0" w:line="240" w:lineRule="auto"/>
        <w:rPr>
          <w:rFonts w:ascii="Times New Roman" w:hAnsi="Times New Roman" w:cs="Times New Roman"/>
          <w:sz w:val="28"/>
          <w:szCs w:val="28"/>
        </w:rPr>
      </w:pPr>
    </w:p>
    <w:p w:rsidR="00E11F07" w:rsidRPr="00CB543A" w:rsidRDefault="00171C89" w:rsidP="00CB543A">
      <w:pPr>
        <w:widowControl w:val="0"/>
        <w:numPr>
          <w:ilvl w:val="0"/>
          <w:numId w:val="32"/>
        </w:numPr>
        <w:spacing w:after="0" w:line="240" w:lineRule="auto"/>
        <w:ind w:right="56"/>
        <w:contextualSpacing/>
        <w:jc w:val="both"/>
        <w:rPr>
          <w:rFonts w:ascii="Times New Roman" w:hAnsi="Times New Roman" w:cs="Times New Roman"/>
          <w:b/>
          <w:sz w:val="28"/>
          <w:szCs w:val="28"/>
        </w:rPr>
      </w:pPr>
      <w:r w:rsidRPr="00CB543A">
        <w:rPr>
          <w:rFonts w:ascii="Times New Roman" w:hAnsi="Times New Roman" w:cs="Times New Roman"/>
          <w:sz w:val="28"/>
          <w:szCs w:val="28"/>
        </w:rPr>
        <w:t xml:space="preserve">Sobre lo primero, en la providencia se concluyó que la Sala Séptima de Revisión </w:t>
      </w:r>
      <w:r w:rsidRPr="00CB543A">
        <w:rPr>
          <w:rFonts w:ascii="Times New Roman" w:hAnsi="Times New Roman" w:cs="Times New Roman"/>
          <w:i/>
          <w:sz w:val="28"/>
          <w:szCs w:val="28"/>
        </w:rPr>
        <w:t xml:space="preserve">“[…] cambió la jurisprudencia en vigor sobre </w:t>
      </w:r>
      <w:r w:rsidRPr="00CB543A">
        <w:rPr>
          <w:rFonts w:ascii="Times New Roman" w:hAnsi="Times New Roman" w:cs="Times New Roman"/>
          <w:b/>
          <w:i/>
          <w:sz w:val="28"/>
          <w:szCs w:val="28"/>
        </w:rPr>
        <w:t xml:space="preserve">(i) </w:t>
      </w:r>
      <w:r w:rsidRPr="00CB543A">
        <w:rPr>
          <w:rFonts w:ascii="Times New Roman" w:hAnsi="Times New Roman" w:cs="Times New Roman"/>
          <w:i/>
          <w:sz w:val="28"/>
          <w:szCs w:val="28"/>
        </w:rPr>
        <w:t xml:space="preserve">la procedencia de la acción de tutela contra providencias judiciales y, en particular, </w:t>
      </w:r>
      <w:r w:rsidRPr="00CB543A">
        <w:rPr>
          <w:rFonts w:ascii="Times New Roman" w:hAnsi="Times New Roman" w:cs="Times New Roman"/>
          <w:b/>
          <w:i/>
          <w:sz w:val="28"/>
          <w:szCs w:val="28"/>
        </w:rPr>
        <w:t xml:space="preserve">(ii) </w:t>
      </w:r>
      <w:r w:rsidRPr="00CB543A">
        <w:rPr>
          <w:rFonts w:ascii="Times New Roman" w:hAnsi="Times New Roman" w:cs="Times New Roman"/>
          <w:i/>
          <w:sz w:val="28"/>
          <w:szCs w:val="28"/>
        </w:rPr>
        <w:t>sobre el desconocimiento del precedente constitucional como causal específica de procedibilidad en tales casos, sin tener competencia para el efecto”</w:t>
      </w:r>
      <w:r w:rsidRPr="00CB543A">
        <w:rPr>
          <w:rStyle w:val="Refdenotaalpie"/>
          <w:rFonts w:ascii="Times New Roman" w:hAnsi="Times New Roman" w:cs="Times New Roman"/>
          <w:sz w:val="28"/>
          <w:szCs w:val="28"/>
        </w:rPr>
        <w:footnoteReference w:id="41"/>
      </w:r>
      <w:r w:rsidRPr="00CB543A">
        <w:rPr>
          <w:rFonts w:ascii="Times New Roman" w:hAnsi="Times New Roman" w:cs="Times New Roman"/>
          <w:sz w:val="28"/>
          <w:szCs w:val="28"/>
        </w:rPr>
        <w:t xml:space="preserve">. Para el pleno de la Corte, la Sala de Revisión había retornado a la tesis de las </w:t>
      </w:r>
      <w:r w:rsidRPr="00CB543A">
        <w:rPr>
          <w:rFonts w:ascii="Times New Roman" w:hAnsi="Times New Roman" w:cs="Times New Roman"/>
          <w:i/>
          <w:sz w:val="28"/>
          <w:szCs w:val="28"/>
        </w:rPr>
        <w:t>vías de hecho</w:t>
      </w:r>
      <w:r w:rsidRPr="00CB543A">
        <w:rPr>
          <w:rFonts w:ascii="Times New Roman" w:hAnsi="Times New Roman" w:cs="Times New Roman"/>
          <w:sz w:val="28"/>
          <w:szCs w:val="28"/>
        </w:rPr>
        <w:t>, a pesar de que tal postura había sido superada, a partir, entre otras, de la sentencia C-590 del año 2005.</w:t>
      </w:r>
    </w:p>
    <w:p w:rsidR="00E11F07" w:rsidRPr="00CB543A" w:rsidRDefault="00E11F07" w:rsidP="00CB543A">
      <w:pPr>
        <w:widowControl w:val="0"/>
        <w:spacing w:after="0" w:line="240" w:lineRule="auto"/>
        <w:ind w:right="56"/>
        <w:contextualSpacing/>
        <w:jc w:val="both"/>
        <w:rPr>
          <w:rFonts w:ascii="Times New Roman" w:hAnsi="Times New Roman" w:cs="Times New Roman"/>
          <w:b/>
          <w:sz w:val="28"/>
          <w:szCs w:val="28"/>
        </w:rPr>
      </w:pPr>
    </w:p>
    <w:p w:rsidR="00171C89" w:rsidRPr="00CB543A" w:rsidRDefault="00171C89" w:rsidP="00CB543A">
      <w:pPr>
        <w:widowControl w:val="0"/>
        <w:numPr>
          <w:ilvl w:val="0"/>
          <w:numId w:val="32"/>
        </w:numPr>
        <w:spacing w:after="0" w:line="240" w:lineRule="auto"/>
        <w:ind w:right="56"/>
        <w:contextualSpacing/>
        <w:jc w:val="both"/>
        <w:rPr>
          <w:rFonts w:ascii="Times New Roman" w:hAnsi="Times New Roman" w:cs="Times New Roman"/>
          <w:b/>
          <w:sz w:val="28"/>
          <w:szCs w:val="28"/>
        </w:rPr>
      </w:pPr>
      <w:r w:rsidRPr="00CB543A">
        <w:rPr>
          <w:rFonts w:ascii="Times New Roman" w:hAnsi="Times New Roman" w:cs="Times New Roman"/>
          <w:sz w:val="28"/>
          <w:szCs w:val="28"/>
        </w:rPr>
        <w:t xml:space="preserve">También, frente al primer aspecto, la Sala Plena concluyó que </w:t>
      </w:r>
      <w:r w:rsidRPr="00CB543A">
        <w:rPr>
          <w:rFonts w:ascii="Times New Roman" w:hAnsi="Times New Roman" w:cs="Times New Roman"/>
          <w:i/>
          <w:sz w:val="28"/>
          <w:szCs w:val="28"/>
        </w:rPr>
        <w:t>“[…] la Sala Séptima de Revisión cambió la jurisprudencia en vigor sin tener competencia para ello”</w:t>
      </w:r>
      <w:r w:rsidRPr="00CB543A">
        <w:rPr>
          <w:rStyle w:val="Refdenotaalpie"/>
          <w:rFonts w:ascii="Times New Roman" w:hAnsi="Times New Roman" w:cs="Times New Roman"/>
          <w:sz w:val="28"/>
          <w:szCs w:val="28"/>
        </w:rPr>
        <w:footnoteReference w:id="42"/>
      </w:r>
      <w:r w:rsidRPr="00CB543A">
        <w:rPr>
          <w:rFonts w:ascii="Times New Roman" w:hAnsi="Times New Roman" w:cs="Times New Roman"/>
          <w:sz w:val="28"/>
          <w:szCs w:val="28"/>
        </w:rPr>
        <w:t xml:space="preserve">, en el sentido que reconoció y avaló que el juez de casación laboral “abandonara” el precedente constitucional sobre la inescindibilidad de los regímenes pensionales y, especialmente, debido a que no explicó </w:t>
      </w:r>
      <w:r w:rsidRPr="00CB543A">
        <w:rPr>
          <w:rFonts w:ascii="Times New Roman" w:hAnsi="Times New Roman" w:cs="Times New Roman"/>
          <w:i/>
          <w:sz w:val="28"/>
          <w:szCs w:val="28"/>
        </w:rPr>
        <w:t>“[…] las razones por las cuales [la Sala] decidió apartarse del precedente constitucional”</w:t>
      </w:r>
      <w:r w:rsidRPr="00CB543A">
        <w:rPr>
          <w:rStyle w:val="Refdenotaalpie"/>
          <w:rFonts w:ascii="Times New Roman" w:hAnsi="Times New Roman" w:cs="Times New Roman"/>
          <w:sz w:val="28"/>
          <w:szCs w:val="28"/>
        </w:rPr>
        <w:footnoteReference w:id="43"/>
      </w:r>
      <w:r w:rsidRPr="00CB543A">
        <w:rPr>
          <w:rFonts w:ascii="Times New Roman" w:hAnsi="Times New Roman" w:cs="Times New Roman"/>
          <w:sz w:val="28"/>
          <w:szCs w:val="28"/>
        </w:rPr>
        <w:t>. En la providencia de anulación se resaltó, frente al particular, que se pasaron por alto las siguientes subreglas en materia de aplicación del régimen de transición</w:t>
      </w:r>
      <w:r w:rsidRPr="00CB543A">
        <w:rPr>
          <w:rStyle w:val="Refdenotaalpie"/>
          <w:rFonts w:ascii="Times New Roman" w:hAnsi="Times New Roman" w:cs="Times New Roman"/>
          <w:sz w:val="28"/>
          <w:szCs w:val="28"/>
        </w:rPr>
        <w:footnoteReference w:id="44"/>
      </w:r>
      <w:r w:rsidRPr="00CB543A">
        <w:rPr>
          <w:rFonts w:ascii="Times New Roman" w:hAnsi="Times New Roman" w:cs="Times New Roman"/>
          <w:sz w:val="28"/>
          <w:szCs w:val="28"/>
        </w:rPr>
        <w:t xml:space="preserve">: </w:t>
      </w:r>
      <w:r w:rsidRPr="00CB543A">
        <w:rPr>
          <w:rFonts w:ascii="Times New Roman" w:hAnsi="Times New Roman" w:cs="Times New Roman"/>
          <w:i/>
          <w:sz w:val="28"/>
          <w:szCs w:val="28"/>
        </w:rPr>
        <w:t xml:space="preserve">(i) </w:t>
      </w:r>
      <w:r w:rsidRPr="00CB543A">
        <w:rPr>
          <w:rFonts w:ascii="Times New Roman" w:hAnsi="Times New Roman" w:cs="Times New Roman"/>
          <w:sz w:val="28"/>
          <w:szCs w:val="28"/>
        </w:rPr>
        <w:t xml:space="preserve">que no era procedente aplicar, de forma fragmentada, las reglas del régimen especial, pues, según la jurisprudencia constitucional, se debían aplicar las reglas del régimen </w:t>
      </w:r>
      <w:r w:rsidRPr="00CB543A">
        <w:rPr>
          <w:rFonts w:ascii="Times New Roman" w:hAnsi="Times New Roman" w:cs="Times New Roman"/>
          <w:sz w:val="28"/>
          <w:szCs w:val="28"/>
        </w:rPr>
        <w:lastRenderedPageBreak/>
        <w:t xml:space="preserve">pensional anterior de forma integral; </w:t>
      </w:r>
      <w:r w:rsidRPr="00CB543A">
        <w:rPr>
          <w:rFonts w:ascii="Times New Roman" w:hAnsi="Times New Roman" w:cs="Times New Roman"/>
          <w:i/>
          <w:sz w:val="28"/>
          <w:szCs w:val="28"/>
        </w:rPr>
        <w:t>(ii)</w:t>
      </w:r>
      <w:r w:rsidRPr="00CB543A">
        <w:rPr>
          <w:rFonts w:ascii="Times New Roman" w:hAnsi="Times New Roman" w:cs="Times New Roman"/>
          <w:sz w:val="28"/>
          <w:szCs w:val="28"/>
        </w:rPr>
        <w:t xml:space="preserve">que solo era procedente aplicar las reglas del inciso 3º del artículo 36 de la Ley 100 de 1993, cuando el régimen especial no hubiese establecido la “manera” de liquidar el monto de la mesada pensional; y </w:t>
      </w:r>
      <w:r w:rsidRPr="00CB543A">
        <w:rPr>
          <w:rFonts w:ascii="Times New Roman" w:hAnsi="Times New Roman" w:cs="Times New Roman"/>
          <w:i/>
          <w:sz w:val="28"/>
          <w:szCs w:val="28"/>
        </w:rPr>
        <w:t>(iii)</w:t>
      </w:r>
      <w:r w:rsidR="00BB221A">
        <w:rPr>
          <w:rFonts w:ascii="Times New Roman" w:hAnsi="Times New Roman" w:cs="Times New Roman"/>
          <w:i/>
          <w:sz w:val="28"/>
          <w:szCs w:val="28"/>
        </w:rPr>
        <w:t xml:space="preserve"> </w:t>
      </w:r>
      <w:r w:rsidRPr="00CB543A">
        <w:rPr>
          <w:rFonts w:ascii="Times New Roman" w:hAnsi="Times New Roman" w:cs="Times New Roman"/>
          <w:sz w:val="28"/>
          <w:szCs w:val="28"/>
        </w:rPr>
        <w:t>que un régimen pensional especial comprendía, por un lado, los requisitos de edad y semanas cotizadas o tiempo de servicios y, por el otro, lo atinente al IBL, la fórmula para calcularlo y el porcentaje de dicho ingreso que se reconocía como mesada pensional, entre otros</w:t>
      </w:r>
      <w:r w:rsidRPr="00CB543A">
        <w:rPr>
          <w:rStyle w:val="Refdenotaalpie"/>
          <w:rFonts w:ascii="Times New Roman" w:hAnsi="Times New Roman" w:cs="Times New Roman"/>
          <w:sz w:val="28"/>
          <w:szCs w:val="28"/>
        </w:rPr>
        <w:footnoteReference w:id="45"/>
      </w:r>
      <w:r w:rsidRPr="00CB543A">
        <w:rPr>
          <w:rFonts w:ascii="Times New Roman" w:hAnsi="Times New Roman" w:cs="Times New Roman"/>
          <w:sz w:val="28"/>
          <w:szCs w:val="28"/>
        </w:rPr>
        <w:t>.</w:t>
      </w:r>
    </w:p>
    <w:p w:rsidR="00171C89" w:rsidRPr="00CB543A" w:rsidRDefault="00171C89" w:rsidP="00CB543A">
      <w:pPr>
        <w:widowControl w:val="0"/>
        <w:spacing w:after="0" w:line="240" w:lineRule="auto"/>
        <w:ind w:right="56"/>
        <w:contextualSpacing/>
        <w:jc w:val="both"/>
        <w:rPr>
          <w:rFonts w:ascii="Times New Roman" w:hAnsi="Times New Roman" w:cs="Times New Roman"/>
          <w:b/>
          <w:sz w:val="28"/>
          <w:szCs w:val="28"/>
        </w:rPr>
      </w:pPr>
    </w:p>
    <w:p w:rsidR="00171C89" w:rsidRPr="00CB543A" w:rsidRDefault="00171C89" w:rsidP="00CB543A">
      <w:pPr>
        <w:widowControl w:val="0"/>
        <w:numPr>
          <w:ilvl w:val="0"/>
          <w:numId w:val="32"/>
        </w:numPr>
        <w:spacing w:after="0" w:line="240" w:lineRule="auto"/>
        <w:ind w:right="56"/>
        <w:contextualSpacing/>
        <w:jc w:val="both"/>
        <w:rPr>
          <w:rFonts w:ascii="Times New Roman" w:hAnsi="Times New Roman" w:cs="Times New Roman"/>
          <w:b/>
          <w:sz w:val="28"/>
          <w:szCs w:val="28"/>
        </w:rPr>
      </w:pPr>
      <w:r w:rsidRPr="00CB543A">
        <w:rPr>
          <w:rFonts w:ascii="Times New Roman" w:hAnsi="Times New Roman" w:cs="Times New Roman"/>
          <w:sz w:val="28"/>
          <w:szCs w:val="28"/>
        </w:rPr>
        <w:t xml:space="preserve">En cuanto a la segunda consideración, relacionada con la omisión de resolver un asunto de relevancia constitucional, se tuvo en cuenta que la Sala Séptima de Revisión, al dictar la sentencia T-022 de 2010, se ocupó de analizar lo referente a la interpretación de los incisos 2º y 3º del artículo 36 de la Ley 100 de 1993, pero guardó silencio sobre la eventual vulneración del derecho al debido proceso del accionante ante la aplicación del artículo 19 de la Ley 797 de 2003, sin tener en cuenta la sentencia de la Corte que delimitó las hipótesis de aplicación de dicha norma. </w:t>
      </w:r>
    </w:p>
    <w:p w:rsidR="00171C89" w:rsidRPr="00CB543A" w:rsidRDefault="00171C89" w:rsidP="00CB543A">
      <w:pPr>
        <w:pStyle w:val="Prrafodelista"/>
        <w:spacing w:after="0" w:line="240" w:lineRule="auto"/>
        <w:rPr>
          <w:rFonts w:ascii="Times New Roman" w:hAnsi="Times New Roman" w:cs="Times New Roman"/>
          <w:b/>
          <w:sz w:val="28"/>
          <w:szCs w:val="28"/>
        </w:rPr>
      </w:pPr>
    </w:p>
    <w:p w:rsidR="00171C89" w:rsidRPr="00CB543A" w:rsidRDefault="00171C89" w:rsidP="00CB543A">
      <w:pPr>
        <w:widowControl w:val="0"/>
        <w:numPr>
          <w:ilvl w:val="0"/>
          <w:numId w:val="32"/>
        </w:numPr>
        <w:spacing w:after="0" w:line="240" w:lineRule="auto"/>
        <w:ind w:right="56"/>
        <w:contextualSpacing/>
        <w:jc w:val="both"/>
        <w:rPr>
          <w:rFonts w:ascii="Times New Roman" w:hAnsi="Times New Roman" w:cs="Times New Roman"/>
          <w:b/>
          <w:sz w:val="28"/>
          <w:szCs w:val="28"/>
        </w:rPr>
      </w:pPr>
      <w:r w:rsidRPr="00CB543A">
        <w:rPr>
          <w:rFonts w:ascii="Times New Roman" w:hAnsi="Times New Roman" w:cs="Times New Roman"/>
          <w:sz w:val="28"/>
          <w:szCs w:val="28"/>
        </w:rPr>
        <w:t>En la providencia, frente a los temas antes referidos, la Corte concluyó:</w:t>
      </w:r>
    </w:p>
    <w:p w:rsidR="00171C89" w:rsidRPr="00CB543A" w:rsidRDefault="00171C89" w:rsidP="00CB543A">
      <w:pPr>
        <w:pStyle w:val="Prrafodelista"/>
        <w:spacing w:after="0" w:line="240" w:lineRule="auto"/>
        <w:rPr>
          <w:rFonts w:ascii="Times New Roman" w:hAnsi="Times New Roman" w:cs="Times New Roman"/>
          <w:b/>
          <w:sz w:val="28"/>
          <w:szCs w:val="28"/>
        </w:rPr>
      </w:pPr>
    </w:p>
    <w:p w:rsidR="00171C89" w:rsidRPr="00CB543A" w:rsidRDefault="00171C89" w:rsidP="00CB543A">
      <w:pPr>
        <w:widowControl w:val="0"/>
        <w:tabs>
          <w:tab w:val="left" w:pos="7938"/>
        </w:tabs>
        <w:spacing w:after="0" w:line="240" w:lineRule="auto"/>
        <w:ind w:left="564" w:right="624"/>
        <w:contextualSpacing/>
        <w:jc w:val="both"/>
        <w:rPr>
          <w:rFonts w:ascii="Times New Roman" w:hAnsi="Times New Roman" w:cs="Times New Roman"/>
          <w:i/>
          <w:sz w:val="28"/>
          <w:szCs w:val="28"/>
        </w:rPr>
      </w:pPr>
      <w:r w:rsidRPr="00CB543A">
        <w:rPr>
          <w:rFonts w:ascii="Times New Roman" w:hAnsi="Times New Roman" w:cs="Times New Roman"/>
          <w:i/>
          <w:sz w:val="28"/>
          <w:szCs w:val="28"/>
        </w:rPr>
        <w:t xml:space="preserve">“En síntesis, la Sala Plena observa que la Sala Séptima de Revisión, al proferir la sentencia T-022 de 2010, incurrió en las siguientes causales de nulidad alegadas por el señor Laureano Augusto Ramírez Gil: </w:t>
      </w:r>
    </w:p>
    <w:p w:rsidR="00171C89" w:rsidRPr="00CB543A" w:rsidRDefault="00171C89" w:rsidP="00CB543A">
      <w:pPr>
        <w:widowControl w:val="0"/>
        <w:tabs>
          <w:tab w:val="left" w:pos="7938"/>
        </w:tabs>
        <w:spacing w:after="0" w:line="240" w:lineRule="auto"/>
        <w:ind w:left="564" w:right="624"/>
        <w:contextualSpacing/>
        <w:jc w:val="both"/>
        <w:rPr>
          <w:rFonts w:ascii="Times New Roman" w:hAnsi="Times New Roman" w:cs="Times New Roman"/>
          <w:i/>
          <w:sz w:val="28"/>
          <w:szCs w:val="28"/>
        </w:rPr>
      </w:pPr>
    </w:p>
    <w:p w:rsidR="00171C89" w:rsidRPr="00CB543A" w:rsidRDefault="00171C89" w:rsidP="00CB543A">
      <w:pPr>
        <w:widowControl w:val="0"/>
        <w:tabs>
          <w:tab w:val="left" w:pos="7938"/>
        </w:tabs>
        <w:spacing w:after="0" w:line="240" w:lineRule="auto"/>
        <w:ind w:left="564" w:right="624"/>
        <w:contextualSpacing/>
        <w:jc w:val="both"/>
        <w:rPr>
          <w:rFonts w:ascii="Times New Roman" w:hAnsi="Times New Roman" w:cs="Times New Roman"/>
          <w:i/>
          <w:sz w:val="28"/>
          <w:szCs w:val="28"/>
        </w:rPr>
      </w:pPr>
      <w:r w:rsidRPr="00CB543A">
        <w:rPr>
          <w:rFonts w:ascii="Times New Roman" w:hAnsi="Times New Roman" w:cs="Times New Roman"/>
          <w:i/>
          <w:sz w:val="28"/>
          <w:szCs w:val="28"/>
        </w:rPr>
        <w:t>En primer término, cambió la jurisprudencia en vigor, sin tener competencia para el efecto –recuérdese que la competencia radica exclusivamente en la Sala Plena, en relación con dos puntos específicos: (i) la doctrina constitucional sobre la procedencia de la acción de tutela contra providencias judiciales y, específicamente, sobre el desconocimiento del precedente constitucional como causal específica de procedibilidad; y (ii) el alcance y la interpretación de los incisos 2 y 3 del artículo 36 de la Ley 100 de 1993 sobre la aplicación integral de las reglas de los regímenes especiales de pensiones a los beneficiarios del régimen de transición. La Sala Séptima de Revisión cambió la jurisprudencia en vigor (a) al retornar a la antigua teoría de las vías de hecho y, a su amparo, avalar el desconocimiento del precedente constitucional, y (b) al avalar la interpretación hecha por la Corte Suprema de Justicia del artículo 36 de la ley 100 y dejar de lado la línea jurisprudencial que desde el año 2000 ha sido reiterada por la Corte Constitucional sobre la aplicación integral de las reglas de los regímenes especiales de pensiones, específicamente sobre la obligación de acoger las reglas para el cálculo del ingreso base de cotización.</w:t>
      </w:r>
    </w:p>
    <w:p w:rsidR="00171C89" w:rsidRPr="00CB543A" w:rsidRDefault="00171C89" w:rsidP="00CB543A">
      <w:pPr>
        <w:widowControl w:val="0"/>
        <w:tabs>
          <w:tab w:val="left" w:pos="7938"/>
        </w:tabs>
        <w:spacing w:after="0" w:line="240" w:lineRule="auto"/>
        <w:ind w:left="564" w:right="624"/>
        <w:contextualSpacing/>
        <w:jc w:val="both"/>
        <w:rPr>
          <w:rFonts w:ascii="Times New Roman" w:hAnsi="Times New Roman" w:cs="Times New Roman"/>
          <w:i/>
          <w:sz w:val="28"/>
          <w:szCs w:val="28"/>
        </w:rPr>
      </w:pPr>
    </w:p>
    <w:p w:rsidR="00171C89" w:rsidRPr="00CB543A" w:rsidRDefault="00171C89" w:rsidP="00CB543A">
      <w:pPr>
        <w:widowControl w:val="0"/>
        <w:tabs>
          <w:tab w:val="left" w:pos="7938"/>
        </w:tabs>
        <w:spacing w:after="0" w:line="240" w:lineRule="auto"/>
        <w:ind w:left="564" w:right="624"/>
        <w:contextualSpacing/>
        <w:jc w:val="both"/>
        <w:rPr>
          <w:rFonts w:ascii="Times New Roman" w:hAnsi="Times New Roman" w:cs="Times New Roman"/>
          <w:i/>
          <w:sz w:val="28"/>
          <w:szCs w:val="28"/>
        </w:rPr>
      </w:pPr>
      <w:r w:rsidRPr="00CB543A">
        <w:rPr>
          <w:rFonts w:ascii="Times New Roman" w:hAnsi="Times New Roman" w:cs="Times New Roman"/>
          <w:i/>
          <w:sz w:val="28"/>
          <w:szCs w:val="28"/>
        </w:rPr>
        <w:t xml:space="preserve">En segundo término, la Sala Séptima omitió de manera absoluta </w:t>
      </w:r>
      <w:r w:rsidRPr="00CB543A">
        <w:rPr>
          <w:rFonts w:ascii="Times New Roman" w:hAnsi="Times New Roman" w:cs="Times New Roman"/>
          <w:i/>
          <w:sz w:val="28"/>
          <w:szCs w:val="28"/>
        </w:rPr>
        <w:lastRenderedPageBreak/>
        <w:t>ocuparse de un problema de relevancia constitucional planteado con claridad por el señor Ramírez Gil en su demanda de tutela: si la Sala Laboral avaló el desconocimiento del acto propio por parte de CAPRECOM, y en este orden, consintió la revocatoria directa y unilateral del acto administrativo particular y concreto que reconoció la pensión al actor en 1997, en oposición a lo fijado en la sentencia C-835 de 2003 en la que se declaró la exequibilidad condicionada del artículo 19 de la ley 797.”</w:t>
      </w:r>
      <w:r w:rsidRPr="00CB543A">
        <w:rPr>
          <w:rStyle w:val="Refdenotaalpie"/>
          <w:rFonts w:ascii="Times New Roman" w:hAnsi="Times New Roman" w:cs="Times New Roman"/>
          <w:sz w:val="28"/>
          <w:szCs w:val="28"/>
        </w:rPr>
        <w:footnoteReference w:id="46"/>
      </w:r>
    </w:p>
    <w:p w:rsidR="00171C89" w:rsidRPr="00CB543A" w:rsidRDefault="00171C89" w:rsidP="00CB543A">
      <w:pPr>
        <w:pStyle w:val="Prrafodelista"/>
        <w:spacing w:after="0" w:line="240" w:lineRule="auto"/>
        <w:rPr>
          <w:rFonts w:ascii="Times New Roman" w:hAnsi="Times New Roman" w:cs="Times New Roman"/>
          <w:b/>
          <w:sz w:val="28"/>
          <w:szCs w:val="28"/>
        </w:rPr>
      </w:pPr>
    </w:p>
    <w:p w:rsidR="00171C89" w:rsidRPr="00CB543A" w:rsidRDefault="00171C89" w:rsidP="00CB543A">
      <w:pPr>
        <w:widowControl w:val="0"/>
        <w:numPr>
          <w:ilvl w:val="0"/>
          <w:numId w:val="32"/>
        </w:numPr>
        <w:tabs>
          <w:tab w:val="left" w:pos="426"/>
        </w:tabs>
        <w:spacing w:after="0" w:line="240" w:lineRule="auto"/>
        <w:ind w:right="56"/>
        <w:contextualSpacing/>
        <w:jc w:val="both"/>
        <w:rPr>
          <w:rFonts w:ascii="Times New Roman" w:hAnsi="Times New Roman" w:cs="Times New Roman"/>
          <w:b/>
          <w:sz w:val="28"/>
          <w:szCs w:val="28"/>
        </w:rPr>
      </w:pPr>
      <w:r w:rsidRPr="00CB543A">
        <w:rPr>
          <w:rFonts w:ascii="Times New Roman" w:hAnsi="Times New Roman" w:cs="Times New Roman"/>
          <w:sz w:val="28"/>
          <w:szCs w:val="28"/>
        </w:rPr>
        <w:t>Apoyada en las consideraciones precedentes, la Corte dispuso que, dentro del proceso de la referencia, la Sala Plena debía adoptar una nueva decisión.</w:t>
      </w:r>
    </w:p>
    <w:p w:rsidR="00171C89" w:rsidRPr="00CB543A" w:rsidRDefault="00171C89" w:rsidP="00CB543A">
      <w:pPr>
        <w:widowControl w:val="0"/>
        <w:spacing w:after="0" w:line="240" w:lineRule="auto"/>
        <w:ind w:right="56"/>
        <w:contextualSpacing/>
        <w:jc w:val="both"/>
        <w:rPr>
          <w:rFonts w:ascii="Times New Roman" w:hAnsi="Times New Roman" w:cs="Times New Roman"/>
          <w:b/>
          <w:sz w:val="28"/>
          <w:szCs w:val="28"/>
        </w:rPr>
      </w:pPr>
    </w:p>
    <w:p w:rsidR="00171C89" w:rsidRPr="00CB543A" w:rsidRDefault="00171C89" w:rsidP="00CB543A">
      <w:pPr>
        <w:widowControl w:val="0"/>
        <w:numPr>
          <w:ilvl w:val="1"/>
          <w:numId w:val="33"/>
        </w:numPr>
        <w:tabs>
          <w:tab w:val="left" w:pos="283"/>
        </w:tabs>
        <w:spacing w:after="0" w:line="240" w:lineRule="auto"/>
        <w:contextualSpacing/>
        <w:jc w:val="both"/>
        <w:rPr>
          <w:rFonts w:ascii="Times New Roman" w:hAnsi="Times New Roman" w:cs="Times New Roman"/>
          <w:b/>
          <w:sz w:val="28"/>
          <w:szCs w:val="28"/>
        </w:rPr>
      </w:pPr>
      <w:r w:rsidRPr="00CB543A">
        <w:rPr>
          <w:rFonts w:ascii="Times New Roman" w:hAnsi="Times New Roman" w:cs="Times New Roman"/>
          <w:b/>
          <w:sz w:val="28"/>
          <w:szCs w:val="28"/>
        </w:rPr>
        <w:t>Otras actuaciones procesales en sede de revisión</w:t>
      </w:r>
      <w:r w:rsidRPr="00CB543A">
        <w:rPr>
          <w:rStyle w:val="Refdenotaalpie"/>
          <w:rFonts w:ascii="Times New Roman" w:hAnsi="Times New Roman" w:cs="Times New Roman"/>
          <w:sz w:val="28"/>
          <w:szCs w:val="28"/>
        </w:rPr>
        <w:footnoteReference w:id="47"/>
      </w:r>
    </w:p>
    <w:p w:rsidR="00171C89" w:rsidRPr="00CB543A" w:rsidRDefault="00171C89" w:rsidP="00CB543A">
      <w:pPr>
        <w:widowControl w:val="0"/>
        <w:spacing w:after="0" w:line="240" w:lineRule="auto"/>
        <w:contextualSpacing/>
        <w:rPr>
          <w:rFonts w:ascii="Times New Roman" w:hAnsi="Times New Roman" w:cs="Times New Roman"/>
          <w:sz w:val="28"/>
          <w:szCs w:val="28"/>
        </w:rPr>
      </w:pPr>
    </w:p>
    <w:p w:rsidR="00171C89" w:rsidRPr="00CB543A" w:rsidRDefault="00171C89" w:rsidP="00CB543A">
      <w:pPr>
        <w:widowControl w:val="0"/>
        <w:numPr>
          <w:ilvl w:val="0"/>
          <w:numId w:val="32"/>
        </w:numPr>
        <w:tabs>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Notificado el Auto 144 de 2012, el expediente pasó al despacho del magistrado ponente para redactar la sentencia sustitutiva. El proyecto presentado no obtuvo las mayorías necesarias; en consecuencia, pasó al despacho del magistrado Jorge Ignacio Pretelt Chaljub para elaborar la nueva ponencia. El referido magistrado, por su parte, se declaró impedido para conocer del asunto de la referencia y la Sala Plena, en sesión del 1 de julio del 2015, aceptó su impedimento. Por esta razón el plenario fue remitido al despacho del magistrado Alberto Rojas Ríos, en auto del 8 de julio de 2015.</w:t>
      </w:r>
    </w:p>
    <w:p w:rsidR="00171C89" w:rsidRPr="00CB543A" w:rsidRDefault="00171C89" w:rsidP="00CB543A">
      <w:pPr>
        <w:widowControl w:val="0"/>
        <w:tabs>
          <w:tab w:val="left" w:pos="426"/>
        </w:tabs>
        <w:spacing w:after="0" w:line="240" w:lineRule="auto"/>
        <w:contextualSpacing/>
        <w:rPr>
          <w:rFonts w:ascii="Times New Roman" w:hAnsi="Times New Roman" w:cs="Times New Roman"/>
          <w:sz w:val="28"/>
          <w:szCs w:val="28"/>
        </w:rPr>
      </w:pPr>
    </w:p>
    <w:p w:rsidR="00171C89" w:rsidRPr="00CB543A" w:rsidRDefault="00171C89" w:rsidP="00CB543A">
      <w:pPr>
        <w:widowControl w:val="0"/>
        <w:numPr>
          <w:ilvl w:val="0"/>
          <w:numId w:val="32"/>
        </w:numPr>
        <w:tabs>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El magistrado Rojas Ríos, en memorial presentado ante los miembros de la Sala Plena el 28 de agosto de 2015, solicitó ser apartado del conocimiento del expediente de tutela de la referencia, por considerar que se encontraba inmerso en causal de impedimento. La solicitud fue negada por los magistrados de la Plenaria, por lo cual, el 1 de junio del año 2017, registró proyecto de fallo para estudio de la Sala Plena. </w:t>
      </w:r>
    </w:p>
    <w:p w:rsidR="00171C89" w:rsidRPr="00CB543A" w:rsidRDefault="00171C89" w:rsidP="00CB543A">
      <w:pPr>
        <w:widowControl w:val="0"/>
        <w:tabs>
          <w:tab w:val="left" w:pos="426"/>
        </w:tabs>
        <w:spacing w:after="0" w:line="240" w:lineRule="auto"/>
        <w:ind w:right="56"/>
        <w:contextualSpacing/>
        <w:jc w:val="both"/>
        <w:rPr>
          <w:rFonts w:ascii="Times New Roman" w:hAnsi="Times New Roman" w:cs="Times New Roman"/>
          <w:sz w:val="28"/>
          <w:szCs w:val="28"/>
        </w:rPr>
      </w:pPr>
    </w:p>
    <w:p w:rsidR="00171C89" w:rsidRPr="00CB543A" w:rsidRDefault="00171C89" w:rsidP="00CB543A">
      <w:pPr>
        <w:widowControl w:val="0"/>
        <w:numPr>
          <w:ilvl w:val="0"/>
          <w:numId w:val="32"/>
        </w:numPr>
        <w:tabs>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El 7 de junio de 2017, la doctora Cristina Pardo Schlesinger manifestó su impedimento para participar en la decisión del caso concreto. La solicitud se aceptó en sesión plenaria del 25 de octubre de 2017.</w:t>
      </w:r>
    </w:p>
    <w:p w:rsidR="00171C89" w:rsidRPr="00CB543A" w:rsidRDefault="00171C89" w:rsidP="00CB543A">
      <w:pPr>
        <w:widowControl w:val="0"/>
        <w:tabs>
          <w:tab w:val="left" w:pos="426"/>
        </w:tabs>
        <w:spacing w:after="0" w:line="240" w:lineRule="auto"/>
        <w:ind w:right="56"/>
        <w:contextualSpacing/>
        <w:jc w:val="both"/>
        <w:rPr>
          <w:rFonts w:ascii="Times New Roman" w:hAnsi="Times New Roman" w:cs="Times New Roman"/>
          <w:sz w:val="28"/>
          <w:szCs w:val="28"/>
        </w:rPr>
      </w:pPr>
    </w:p>
    <w:p w:rsidR="00171C89" w:rsidRPr="00CB543A" w:rsidRDefault="00171C89" w:rsidP="00CB543A">
      <w:pPr>
        <w:widowControl w:val="0"/>
        <w:numPr>
          <w:ilvl w:val="0"/>
          <w:numId w:val="32"/>
        </w:numPr>
        <w:tabs>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En sesión del 5 de abril del año 2018, la ponencia presentada no fue acogida por la mayoría de la Sala. En consecuencia, en auto del 16 de abril del mismo año</w:t>
      </w:r>
      <w:r w:rsidRPr="00CB543A">
        <w:rPr>
          <w:rStyle w:val="Refdenotaalpie"/>
          <w:rFonts w:ascii="Times New Roman" w:hAnsi="Times New Roman" w:cs="Times New Roman"/>
          <w:sz w:val="28"/>
          <w:szCs w:val="28"/>
        </w:rPr>
        <w:footnoteReference w:id="48"/>
      </w:r>
      <w:r w:rsidRPr="00CB543A">
        <w:rPr>
          <w:rFonts w:ascii="Times New Roman" w:hAnsi="Times New Roman" w:cs="Times New Roman"/>
          <w:sz w:val="28"/>
          <w:szCs w:val="28"/>
        </w:rPr>
        <w:t>, el expediente fue remitido al despacho del suscrito magistrado ponente para elaborar el nuevo texto de la decisión aprobada por el pleno de la Corte</w:t>
      </w:r>
      <w:r w:rsidRPr="00CB543A">
        <w:rPr>
          <w:rStyle w:val="Refdenotaalpie"/>
          <w:rFonts w:ascii="Times New Roman" w:hAnsi="Times New Roman" w:cs="Times New Roman"/>
          <w:sz w:val="28"/>
          <w:szCs w:val="28"/>
        </w:rPr>
        <w:footnoteReference w:id="49"/>
      </w:r>
      <w:r w:rsidRPr="00CB543A">
        <w:rPr>
          <w:rFonts w:ascii="Times New Roman" w:hAnsi="Times New Roman" w:cs="Times New Roman"/>
          <w:sz w:val="28"/>
          <w:szCs w:val="28"/>
        </w:rPr>
        <w:t>.</w:t>
      </w:r>
    </w:p>
    <w:p w:rsidR="00171C89" w:rsidRPr="00CB543A" w:rsidRDefault="00171C89" w:rsidP="00CB543A">
      <w:pPr>
        <w:pStyle w:val="Prrafodelista"/>
        <w:tabs>
          <w:tab w:val="left" w:pos="426"/>
        </w:tabs>
        <w:spacing w:after="0" w:line="240" w:lineRule="auto"/>
        <w:rPr>
          <w:rFonts w:ascii="Times New Roman" w:hAnsi="Times New Roman" w:cs="Times New Roman"/>
          <w:sz w:val="28"/>
          <w:szCs w:val="28"/>
        </w:rPr>
      </w:pPr>
    </w:p>
    <w:p w:rsidR="00EE653C" w:rsidRPr="00CB543A" w:rsidRDefault="00171C89" w:rsidP="00CB543A">
      <w:pPr>
        <w:widowControl w:val="0"/>
        <w:numPr>
          <w:ilvl w:val="0"/>
          <w:numId w:val="32"/>
        </w:numPr>
        <w:tabs>
          <w:tab w:val="left" w:pos="426"/>
        </w:tabs>
        <w:spacing w:after="0" w:line="240" w:lineRule="auto"/>
        <w:ind w:right="56"/>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Es del caso precisar que, mediante autos del 1 de agosto de 2012 y del 25 de septiembre de 2014, la Corte le solicitó a la Secretaría de la Sala Laboral </w:t>
      </w:r>
      <w:r w:rsidRPr="00CB543A">
        <w:rPr>
          <w:rFonts w:ascii="Times New Roman" w:hAnsi="Times New Roman" w:cs="Times New Roman"/>
          <w:sz w:val="28"/>
          <w:szCs w:val="28"/>
        </w:rPr>
        <w:lastRenderedPageBreak/>
        <w:t>de la Corte Suprema de Justicia el envío del expediente ordinario objeto de la acción de tutela, el cual, finalmente, no fue remitido con destino a este proceso.</w:t>
      </w:r>
    </w:p>
    <w:p w:rsidR="00EE653C" w:rsidRPr="00CB543A" w:rsidRDefault="00EE653C" w:rsidP="00CB543A">
      <w:pPr>
        <w:widowControl w:val="0"/>
        <w:spacing w:after="0" w:line="240" w:lineRule="auto"/>
        <w:contextualSpacing/>
        <w:jc w:val="both"/>
        <w:rPr>
          <w:rFonts w:ascii="Times New Roman" w:hAnsi="Times New Roman" w:cs="Times New Roman"/>
          <w:sz w:val="28"/>
          <w:szCs w:val="28"/>
        </w:rPr>
      </w:pPr>
    </w:p>
    <w:p w:rsidR="008345C3" w:rsidRPr="00CB543A" w:rsidRDefault="00EE41C8" w:rsidP="00CB543A">
      <w:pPr>
        <w:widowControl w:val="0"/>
        <w:numPr>
          <w:ilvl w:val="0"/>
          <w:numId w:val="12"/>
        </w:numPr>
        <w:spacing w:after="0" w:line="240" w:lineRule="auto"/>
        <w:ind w:hanging="720"/>
        <w:contextualSpacing/>
        <w:jc w:val="both"/>
        <w:rPr>
          <w:rFonts w:ascii="Times New Roman" w:hAnsi="Times New Roman" w:cs="Times New Roman"/>
          <w:b/>
          <w:sz w:val="28"/>
          <w:szCs w:val="28"/>
        </w:rPr>
      </w:pPr>
      <w:r w:rsidRPr="00CB543A">
        <w:rPr>
          <w:rFonts w:ascii="Times New Roman" w:hAnsi="Times New Roman" w:cs="Times New Roman"/>
          <w:b/>
          <w:sz w:val="28"/>
          <w:szCs w:val="28"/>
        </w:rPr>
        <w:t>CONSIDERACIONES</w:t>
      </w:r>
    </w:p>
    <w:p w:rsidR="00846196" w:rsidRPr="00CB543A" w:rsidRDefault="00846196" w:rsidP="00CB543A">
      <w:pPr>
        <w:spacing w:after="0" w:line="240" w:lineRule="auto"/>
        <w:contextualSpacing/>
        <w:jc w:val="both"/>
        <w:rPr>
          <w:rFonts w:ascii="Times New Roman" w:hAnsi="Times New Roman" w:cs="Times New Roman"/>
          <w:sz w:val="28"/>
          <w:szCs w:val="28"/>
        </w:rPr>
      </w:pPr>
      <w:r w:rsidRPr="00CB543A">
        <w:rPr>
          <w:rFonts w:ascii="Times New Roman" w:hAnsi="Times New Roman" w:cs="Times New Roman"/>
          <w:sz w:val="28"/>
          <w:szCs w:val="28"/>
        </w:rPr>
        <w:t> </w:t>
      </w:r>
    </w:p>
    <w:p w:rsidR="00846196" w:rsidRPr="00CB543A" w:rsidRDefault="00846196" w:rsidP="00CB543A">
      <w:pPr>
        <w:widowControl w:val="0"/>
        <w:numPr>
          <w:ilvl w:val="0"/>
          <w:numId w:val="11"/>
        </w:numPr>
        <w:spacing w:after="0" w:line="240" w:lineRule="auto"/>
        <w:ind w:left="0" w:firstLine="0"/>
        <w:contextualSpacing/>
        <w:jc w:val="both"/>
        <w:rPr>
          <w:rFonts w:ascii="Times New Roman" w:hAnsi="Times New Roman" w:cs="Times New Roman"/>
          <w:b/>
          <w:bCs/>
          <w:sz w:val="28"/>
          <w:szCs w:val="28"/>
        </w:rPr>
      </w:pPr>
      <w:r w:rsidRPr="00CB543A">
        <w:rPr>
          <w:rFonts w:ascii="Times New Roman" w:hAnsi="Times New Roman" w:cs="Times New Roman"/>
          <w:b/>
          <w:bCs/>
          <w:sz w:val="28"/>
          <w:szCs w:val="28"/>
        </w:rPr>
        <w:t>Competencia</w:t>
      </w:r>
    </w:p>
    <w:p w:rsidR="00846196" w:rsidRPr="00CB543A" w:rsidRDefault="00846196" w:rsidP="00CB543A">
      <w:pPr>
        <w:spacing w:after="0" w:line="240" w:lineRule="auto"/>
        <w:contextualSpacing/>
        <w:jc w:val="both"/>
        <w:rPr>
          <w:rFonts w:ascii="Times New Roman" w:hAnsi="Times New Roman" w:cs="Times New Roman"/>
          <w:sz w:val="28"/>
          <w:szCs w:val="28"/>
        </w:rPr>
      </w:pPr>
    </w:p>
    <w:p w:rsidR="00846196" w:rsidRPr="00CB543A" w:rsidRDefault="00846196" w:rsidP="00CB543A">
      <w:pPr>
        <w:pStyle w:val="Prrafodelista"/>
        <w:numPr>
          <w:ilvl w:val="0"/>
          <w:numId w:val="32"/>
        </w:numPr>
        <w:tabs>
          <w:tab w:val="left" w:pos="426"/>
        </w:tabs>
        <w:spacing w:after="0" w:line="240" w:lineRule="auto"/>
        <w:ind w:left="0" w:right="51"/>
        <w:jc w:val="both"/>
        <w:rPr>
          <w:rFonts w:ascii="Times New Roman" w:hAnsi="Times New Roman" w:cs="Times New Roman"/>
          <w:sz w:val="28"/>
          <w:szCs w:val="28"/>
        </w:rPr>
      </w:pPr>
      <w:r w:rsidRPr="00CB543A">
        <w:rPr>
          <w:rFonts w:ascii="Times New Roman" w:hAnsi="Times New Roman" w:cs="Times New Roman"/>
          <w:sz w:val="28"/>
          <w:szCs w:val="28"/>
        </w:rPr>
        <w:t xml:space="preserve">La Corte Constitucional es competente para revisar </w:t>
      </w:r>
      <w:r w:rsidR="005E2B71" w:rsidRPr="00CB543A">
        <w:rPr>
          <w:rFonts w:ascii="Times New Roman" w:hAnsi="Times New Roman" w:cs="Times New Roman"/>
          <w:sz w:val="28"/>
          <w:szCs w:val="28"/>
        </w:rPr>
        <w:t xml:space="preserve">el </w:t>
      </w:r>
      <w:r w:rsidRPr="00CB543A">
        <w:rPr>
          <w:rFonts w:ascii="Times New Roman" w:hAnsi="Times New Roman" w:cs="Times New Roman"/>
          <w:sz w:val="28"/>
          <w:szCs w:val="28"/>
        </w:rPr>
        <w:t xml:space="preserve">fallo de tutela proferido dentro del trámite de la referencia, con fundamento en lo dispuesto por el inciso 3° del artículo 86 y el numeral 9° del artículo 241 de la Constitución Política, en concordancia con los artículos 33, 34, 35 y 36 del Decreto 2591 de 1991. Igualmente, </w:t>
      </w:r>
      <w:r w:rsidR="00537D2B" w:rsidRPr="00CB543A">
        <w:rPr>
          <w:rFonts w:ascii="Times New Roman" w:hAnsi="Times New Roman" w:cs="Times New Roman"/>
          <w:sz w:val="28"/>
          <w:szCs w:val="28"/>
        </w:rPr>
        <w:t>mediante el Auto 144 del 21 de junio de 2012</w:t>
      </w:r>
      <w:r w:rsidR="00FB0BB0" w:rsidRPr="00CB543A">
        <w:rPr>
          <w:rFonts w:ascii="Times New Roman" w:hAnsi="Times New Roman" w:cs="Times New Roman"/>
          <w:sz w:val="28"/>
          <w:szCs w:val="28"/>
        </w:rPr>
        <w:t xml:space="preserve">, </w:t>
      </w:r>
      <w:r w:rsidRPr="00CB543A">
        <w:rPr>
          <w:rFonts w:ascii="Times New Roman" w:hAnsi="Times New Roman" w:cs="Times New Roman"/>
          <w:sz w:val="28"/>
          <w:szCs w:val="28"/>
        </w:rPr>
        <w:t xml:space="preserve">la Sala Plena asumió el conocimiento </w:t>
      </w:r>
      <w:r w:rsidR="00FB0BB0" w:rsidRPr="00CB543A">
        <w:rPr>
          <w:rFonts w:ascii="Times New Roman" w:hAnsi="Times New Roman" w:cs="Times New Roman"/>
          <w:sz w:val="28"/>
          <w:szCs w:val="28"/>
        </w:rPr>
        <w:t>del expediente</w:t>
      </w:r>
      <w:r w:rsidR="00537D2B" w:rsidRPr="00CB543A">
        <w:rPr>
          <w:rFonts w:ascii="Times New Roman" w:hAnsi="Times New Roman" w:cs="Times New Roman"/>
          <w:sz w:val="28"/>
          <w:szCs w:val="28"/>
        </w:rPr>
        <w:t xml:space="preserve"> de la referencia</w:t>
      </w:r>
      <w:r w:rsidRPr="00CB543A">
        <w:rPr>
          <w:rFonts w:ascii="Times New Roman" w:hAnsi="Times New Roman" w:cs="Times New Roman"/>
          <w:sz w:val="28"/>
          <w:szCs w:val="28"/>
        </w:rPr>
        <w:t xml:space="preserve">, razón por la cual es competente para proferir </w:t>
      </w:r>
      <w:r w:rsidR="009D1A20" w:rsidRPr="00CB543A">
        <w:rPr>
          <w:rFonts w:ascii="Times New Roman" w:hAnsi="Times New Roman" w:cs="Times New Roman"/>
          <w:sz w:val="28"/>
          <w:szCs w:val="28"/>
        </w:rPr>
        <w:t>la presente providencia</w:t>
      </w:r>
      <w:r w:rsidRPr="00CB543A">
        <w:rPr>
          <w:rFonts w:ascii="Times New Roman" w:hAnsi="Times New Roman" w:cs="Times New Roman"/>
          <w:sz w:val="28"/>
          <w:szCs w:val="28"/>
        </w:rPr>
        <w:t>.</w:t>
      </w:r>
    </w:p>
    <w:p w:rsidR="00846196" w:rsidRPr="00CB543A" w:rsidRDefault="00846196" w:rsidP="00CB543A">
      <w:pPr>
        <w:tabs>
          <w:tab w:val="left" w:pos="426"/>
        </w:tabs>
        <w:spacing w:after="0" w:line="240" w:lineRule="auto"/>
        <w:ind w:left="1440"/>
        <w:contextualSpacing/>
        <w:jc w:val="both"/>
        <w:rPr>
          <w:rFonts w:ascii="Times New Roman" w:hAnsi="Times New Roman" w:cs="Times New Roman"/>
          <w:sz w:val="28"/>
          <w:szCs w:val="28"/>
        </w:rPr>
      </w:pPr>
      <w:r w:rsidRPr="00CB543A">
        <w:rPr>
          <w:rFonts w:ascii="Times New Roman" w:hAnsi="Times New Roman" w:cs="Times New Roman"/>
          <w:sz w:val="28"/>
          <w:szCs w:val="28"/>
        </w:rPr>
        <w:t> </w:t>
      </w:r>
    </w:p>
    <w:p w:rsidR="00846196" w:rsidRPr="00CB543A" w:rsidRDefault="00846196" w:rsidP="00CB543A">
      <w:pPr>
        <w:widowControl w:val="0"/>
        <w:numPr>
          <w:ilvl w:val="0"/>
          <w:numId w:val="11"/>
        </w:numPr>
        <w:spacing w:after="0" w:line="240" w:lineRule="auto"/>
        <w:ind w:left="0" w:firstLine="0"/>
        <w:contextualSpacing/>
        <w:jc w:val="both"/>
        <w:rPr>
          <w:rFonts w:ascii="Times New Roman" w:hAnsi="Times New Roman" w:cs="Times New Roman"/>
          <w:b/>
          <w:bCs/>
          <w:sz w:val="28"/>
          <w:szCs w:val="28"/>
        </w:rPr>
      </w:pPr>
      <w:r w:rsidRPr="00CB543A">
        <w:rPr>
          <w:rFonts w:ascii="Times New Roman" w:hAnsi="Times New Roman" w:cs="Times New Roman"/>
          <w:b/>
          <w:bCs/>
          <w:sz w:val="28"/>
          <w:szCs w:val="28"/>
        </w:rPr>
        <w:t>Problemas jurídicos</w:t>
      </w:r>
    </w:p>
    <w:p w:rsidR="00846196" w:rsidRPr="00CB543A" w:rsidRDefault="00846196" w:rsidP="00CB543A">
      <w:pPr>
        <w:tabs>
          <w:tab w:val="left" w:pos="426"/>
        </w:tabs>
        <w:spacing w:after="0" w:line="240" w:lineRule="auto"/>
        <w:contextualSpacing/>
        <w:jc w:val="both"/>
        <w:rPr>
          <w:rFonts w:ascii="Times New Roman" w:hAnsi="Times New Roman" w:cs="Times New Roman"/>
          <w:sz w:val="28"/>
          <w:szCs w:val="28"/>
        </w:rPr>
      </w:pPr>
    </w:p>
    <w:p w:rsidR="0080083C" w:rsidRPr="00CB543A" w:rsidRDefault="00846196" w:rsidP="00CB543A">
      <w:pPr>
        <w:numPr>
          <w:ilvl w:val="0"/>
          <w:numId w:val="32"/>
        </w:numPr>
        <w:tabs>
          <w:tab w:val="left" w:pos="426"/>
        </w:tabs>
        <w:autoSpaceDE w:val="0"/>
        <w:autoSpaceDN w:val="0"/>
        <w:adjustRightInd w:val="0"/>
        <w:spacing w:after="0" w:line="240" w:lineRule="auto"/>
        <w:ind w:right="51"/>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Antes de </w:t>
      </w:r>
      <w:r w:rsidR="00D66C20" w:rsidRPr="00CB543A">
        <w:rPr>
          <w:rFonts w:ascii="Times New Roman" w:hAnsi="Times New Roman" w:cs="Times New Roman"/>
          <w:sz w:val="28"/>
          <w:szCs w:val="28"/>
        </w:rPr>
        <w:t xml:space="preserve">realizar los respectivos estudios </w:t>
      </w:r>
      <w:r w:rsidR="00B73F13" w:rsidRPr="00CB543A">
        <w:rPr>
          <w:rFonts w:ascii="Times New Roman" w:hAnsi="Times New Roman" w:cs="Times New Roman"/>
          <w:sz w:val="28"/>
          <w:szCs w:val="28"/>
        </w:rPr>
        <w:t>de procedibilidad y sustanciales</w:t>
      </w:r>
      <w:r w:rsidR="00EA61D1" w:rsidRPr="00CB543A">
        <w:rPr>
          <w:rFonts w:ascii="Times New Roman" w:hAnsi="Times New Roman" w:cs="Times New Roman"/>
          <w:sz w:val="28"/>
          <w:szCs w:val="28"/>
        </w:rPr>
        <w:t xml:space="preserve">, </w:t>
      </w:r>
      <w:r w:rsidRPr="00CB543A">
        <w:rPr>
          <w:rFonts w:ascii="Times New Roman" w:hAnsi="Times New Roman" w:cs="Times New Roman"/>
          <w:sz w:val="28"/>
          <w:szCs w:val="28"/>
        </w:rPr>
        <w:t>debe la Sala</w:t>
      </w:r>
      <w:r w:rsidR="0048524A" w:rsidRPr="00CB543A">
        <w:rPr>
          <w:rFonts w:ascii="Times New Roman" w:hAnsi="Times New Roman" w:cs="Times New Roman"/>
          <w:sz w:val="28"/>
          <w:szCs w:val="28"/>
        </w:rPr>
        <w:t xml:space="preserve"> </w:t>
      </w:r>
      <w:r w:rsidR="00EA61D1" w:rsidRPr="00CB543A">
        <w:rPr>
          <w:rFonts w:ascii="Times New Roman" w:hAnsi="Times New Roman" w:cs="Times New Roman"/>
          <w:sz w:val="28"/>
          <w:szCs w:val="28"/>
        </w:rPr>
        <w:t xml:space="preserve">resolver </w:t>
      </w:r>
      <w:r w:rsidR="00092F01" w:rsidRPr="00CB543A">
        <w:rPr>
          <w:rFonts w:ascii="Times New Roman" w:hAnsi="Times New Roman" w:cs="Times New Roman"/>
          <w:sz w:val="28"/>
          <w:szCs w:val="28"/>
        </w:rPr>
        <w:t xml:space="preserve">el </w:t>
      </w:r>
      <w:r w:rsidR="00EA61D1" w:rsidRPr="00CB543A">
        <w:rPr>
          <w:rFonts w:ascii="Times New Roman" w:hAnsi="Times New Roman" w:cs="Times New Roman"/>
          <w:sz w:val="28"/>
          <w:szCs w:val="28"/>
        </w:rPr>
        <w:t>siguiente problema jurídico</w:t>
      </w:r>
      <w:r w:rsidR="009E6C29" w:rsidRPr="00CB543A">
        <w:rPr>
          <w:rFonts w:ascii="Times New Roman" w:hAnsi="Times New Roman" w:cs="Times New Roman"/>
          <w:sz w:val="28"/>
          <w:szCs w:val="28"/>
        </w:rPr>
        <w:t>, para determinar su competencia, en concreto</w:t>
      </w:r>
      <w:r w:rsidR="00EA61D1" w:rsidRPr="00CB543A">
        <w:rPr>
          <w:rFonts w:ascii="Times New Roman" w:hAnsi="Times New Roman" w:cs="Times New Roman"/>
          <w:sz w:val="28"/>
          <w:szCs w:val="28"/>
        </w:rPr>
        <w:t xml:space="preserve">: </w:t>
      </w:r>
      <w:r w:rsidR="009E6C29" w:rsidRPr="00CB543A">
        <w:rPr>
          <w:rFonts w:ascii="Times New Roman" w:hAnsi="Times New Roman" w:cs="Times New Roman"/>
          <w:sz w:val="28"/>
          <w:szCs w:val="28"/>
        </w:rPr>
        <w:t xml:space="preserve">si </w:t>
      </w:r>
      <w:r w:rsidR="00B25878" w:rsidRPr="00CB543A">
        <w:rPr>
          <w:rFonts w:ascii="Times New Roman" w:hAnsi="Times New Roman" w:cs="Times New Roman"/>
          <w:sz w:val="28"/>
          <w:szCs w:val="28"/>
        </w:rPr>
        <w:t xml:space="preserve">las consideraciones </w:t>
      </w:r>
      <w:r w:rsidR="00374F06" w:rsidRPr="00CB543A">
        <w:rPr>
          <w:rFonts w:ascii="Times New Roman" w:hAnsi="Times New Roman" w:cs="Times New Roman"/>
          <w:sz w:val="28"/>
          <w:szCs w:val="28"/>
        </w:rPr>
        <w:t>d</w:t>
      </w:r>
      <w:r w:rsidR="00B25878" w:rsidRPr="00CB543A">
        <w:rPr>
          <w:rFonts w:ascii="Times New Roman" w:hAnsi="Times New Roman" w:cs="Times New Roman"/>
          <w:sz w:val="28"/>
          <w:szCs w:val="28"/>
        </w:rPr>
        <w:t xml:space="preserve">el Auto </w:t>
      </w:r>
      <w:r w:rsidR="004C3EB8" w:rsidRPr="00CB543A">
        <w:rPr>
          <w:rFonts w:ascii="Times New Roman" w:hAnsi="Times New Roman" w:cs="Times New Roman"/>
          <w:sz w:val="28"/>
          <w:szCs w:val="28"/>
        </w:rPr>
        <w:t>144 de 2012</w:t>
      </w:r>
      <w:r w:rsidR="00B25878" w:rsidRPr="00CB543A">
        <w:rPr>
          <w:rFonts w:ascii="Times New Roman" w:hAnsi="Times New Roman" w:cs="Times New Roman"/>
          <w:sz w:val="28"/>
          <w:szCs w:val="28"/>
        </w:rPr>
        <w:t>, relativas a</w:t>
      </w:r>
      <w:r w:rsidR="00374F06" w:rsidRPr="00CB543A">
        <w:rPr>
          <w:rFonts w:ascii="Times New Roman" w:hAnsi="Times New Roman" w:cs="Times New Roman"/>
          <w:sz w:val="28"/>
          <w:szCs w:val="28"/>
        </w:rPr>
        <w:t xml:space="preserve"> </w:t>
      </w:r>
      <w:r w:rsidR="00B25878" w:rsidRPr="00CB543A">
        <w:rPr>
          <w:rFonts w:ascii="Times New Roman" w:hAnsi="Times New Roman" w:cs="Times New Roman"/>
          <w:sz w:val="28"/>
          <w:szCs w:val="28"/>
        </w:rPr>
        <w:t>l</w:t>
      </w:r>
      <w:r w:rsidR="00374F06" w:rsidRPr="00CB543A">
        <w:rPr>
          <w:rFonts w:ascii="Times New Roman" w:hAnsi="Times New Roman" w:cs="Times New Roman"/>
          <w:sz w:val="28"/>
          <w:szCs w:val="28"/>
        </w:rPr>
        <w:t>a jurisprudencia de las Salas de Revisión en materia d</w:t>
      </w:r>
      <w:r w:rsidR="009E6C29" w:rsidRPr="00CB543A">
        <w:rPr>
          <w:rFonts w:ascii="Times New Roman" w:hAnsi="Times New Roman" w:cs="Times New Roman"/>
          <w:sz w:val="28"/>
          <w:szCs w:val="28"/>
        </w:rPr>
        <w:t>e</w:t>
      </w:r>
      <w:r w:rsidR="00B25878" w:rsidRPr="00CB543A">
        <w:rPr>
          <w:rFonts w:ascii="Times New Roman" w:hAnsi="Times New Roman" w:cs="Times New Roman"/>
          <w:sz w:val="28"/>
          <w:szCs w:val="28"/>
        </w:rPr>
        <w:t xml:space="preserve"> IBL</w:t>
      </w:r>
      <w:r w:rsidR="009E6C29" w:rsidRPr="00CB543A">
        <w:rPr>
          <w:rFonts w:ascii="Times New Roman" w:hAnsi="Times New Roman" w:cs="Times New Roman"/>
          <w:sz w:val="28"/>
          <w:szCs w:val="28"/>
        </w:rPr>
        <w:t>,</w:t>
      </w:r>
      <w:r w:rsidR="00B25878" w:rsidRPr="00CB543A">
        <w:rPr>
          <w:rFonts w:ascii="Times New Roman" w:hAnsi="Times New Roman" w:cs="Times New Roman"/>
          <w:sz w:val="28"/>
          <w:szCs w:val="28"/>
        </w:rPr>
        <w:t xml:space="preserve"> en</w:t>
      </w:r>
      <w:r w:rsidR="004C3EB8" w:rsidRPr="00CB543A">
        <w:rPr>
          <w:rFonts w:ascii="Times New Roman" w:hAnsi="Times New Roman" w:cs="Times New Roman"/>
          <w:sz w:val="28"/>
          <w:szCs w:val="28"/>
        </w:rPr>
        <w:t xml:space="preserve"> los casos regulados por</w:t>
      </w:r>
      <w:r w:rsidR="00B25878" w:rsidRPr="00CB543A">
        <w:rPr>
          <w:rFonts w:ascii="Times New Roman" w:hAnsi="Times New Roman" w:cs="Times New Roman"/>
          <w:sz w:val="28"/>
          <w:szCs w:val="28"/>
        </w:rPr>
        <w:t xml:space="preserve"> el régimen de transición, vinculan el sentido de la decisión que </w:t>
      </w:r>
      <w:r w:rsidR="00F15392" w:rsidRPr="00CB543A">
        <w:rPr>
          <w:rFonts w:ascii="Times New Roman" w:hAnsi="Times New Roman" w:cs="Times New Roman"/>
          <w:sz w:val="28"/>
          <w:szCs w:val="28"/>
        </w:rPr>
        <w:t xml:space="preserve">debe </w:t>
      </w:r>
      <w:r w:rsidR="00B25878" w:rsidRPr="00CB543A">
        <w:rPr>
          <w:rFonts w:ascii="Times New Roman" w:hAnsi="Times New Roman" w:cs="Times New Roman"/>
          <w:sz w:val="28"/>
          <w:szCs w:val="28"/>
        </w:rPr>
        <w:t>adoptar la Sala Plena</w:t>
      </w:r>
      <w:r w:rsidR="008E58DA" w:rsidRPr="00CB543A">
        <w:rPr>
          <w:rFonts w:ascii="Times New Roman" w:hAnsi="Times New Roman" w:cs="Times New Roman"/>
          <w:sz w:val="28"/>
          <w:szCs w:val="28"/>
        </w:rPr>
        <w:t xml:space="preserve"> en el presente asunto. </w:t>
      </w:r>
    </w:p>
    <w:p w:rsidR="0080083C" w:rsidRPr="00CB543A" w:rsidRDefault="0080083C" w:rsidP="00CB543A">
      <w:pPr>
        <w:tabs>
          <w:tab w:val="left" w:pos="426"/>
        </w:tabs>
        <w:autoSpaceDE w:val="0"/>
        <w:autoSpaceDN w:val="0"/>
        <w:adjustRightInd w:val="0"/>
        <w:spacing w:after="0" w:line="240" w:lineRule="auto"/>
        <w:ind w:right="51"/>
        <w:contextualSpacing/>
        <w:jc w:val="both"/>
        <w:rPr>
          <w:rFonts w:ascii="Times New Roman" w:hAnsi="Times New Roman" w:cs="Times New Roman"/>
          <w:sz w:val="28"/>
          <w:szCs w:val="28"/>
        </w:rPr>
      </w:pPr>
    </w:p>
    <w:p w:rsidR="0080083C" w:rsidRPr="00CB543A" w:rsidRDefault="008E58DA" w:rsidP="00CB543A">
      <w:pPr>
        <w:numPr>
          <w:ilvl w:val="0"/>
          <w:numId w:val="32"/>
        </w:numPr>
        <w:tabs>
          <w:tab w:val="left" w:pos="426"/>
        </w:tabs>
        <w:autoSpaceDE w:val="0"/>
        <w:autoSpaceDN w:val="0"/>
        <w:adjustRightInd w:val="0"/>
        <w:spacing w:after="0" w:line="240" w:lineRule="auto"/>
        <w:ind w:right="51"/>
        <w:contextualSpacing/>
        <w:jc w:val="both"/>
        <w:rPr>
          <w:rFonts w:ascii="Times New Roman" w:hAnsi="Times New Roman" w:cs="Times New Roman"/>
          <w:sz w:val="28"/>
          <w:szCs w:val="28"/>
        </w:rPr>
      </w:pPr>
      <w:r w:rsidRPr="00CB543A">
        <w:rPr>
          <w:rFonts w:ascii="Times New Roman" w:hAnsi="Times New Roman" w:cs="Times New Roman"/>
          <w:sz w:val="28"/>
          <w:szCs w:val="28"/>
        </w:rPr>
        <w:t>L</w:t>
      </w:r>
      <w:r w:rsidR="009E6C29" w:rsidRPr="00CB543A">
        <w:rPr>
          <w:rFonts w:ascii="Times New Roman" w:hAnsi="Times New Roman" w:cs="Times New Roman"/>
          <w:sz w:val="28"/>
          <w:szCs w:val="28"/>
        </w:rPr>
        <w:t xml:space="preserve">uego, debe establecer, </w:t>
      </w:r>
      <w:r w:rsidR="004C3EB8" w:rsidRPr="00CB543A">
        <w:rPr>
          <w:rFonts w:ascii="Times New Roman" w:hAnsi="Times New Roman" w:cs="Times New Roman"/>
          <w:sz w:val="28"/>
          <w:szCs w:val="28"/>
        </w:rPr>
        <w:t>si se cumplen los requisitos generales de procedencia de la acción de tutela contra providencias judiciales</w:t>
      </w:r>
      <w:r w:rsidR="009E6C29" w:rsidRPr="00CB543A">
        <w:rPr>
          <w:rFonts w:ascii="Times New Roman" w:hAnsi="Times New Roman" w:cs="Times New Roman"/>
          <w:sz w:val="28"/>
          <w:szCs w:val="28"/>
        </w:rPr>
        <w:t xml:space="preserve"> (problema jurídico de procedibilidad). </w:t>
      </w:r>
    </w:p>
    <w:p w:rsidR="0080083C" w:rsidRPr="00CB543A" w:rsidRDefault="0080083C" w:rsidP="00CB543A">
      <w:pPr>
        <w:tabs>
          <w:tab w:val="left" w:pos="426"/>
        </w:tabs>
        <w:autoSpaceDE w:val="0"/>
        <w:autoSpaceDN w:val="0"/>
        <w:adjustRightInd w:val="0"/>
        <w:spacing w:after="0" w:line="240" w:lineRule="auto"/>
        <w:ind w:right="51"/>
        <w:contextualSpacing/>
        <w:jc w:val="both"/>
        <w:rPr>
          <w:rFonts w:ascii="Times New Roman" w:hAnsi="Times New Roman" w:cs="Times New Roman"/>
          <w:sz w:val="28"/>
          <w:szCs w:val="28"/>
        </w:rPr>
      </w:pPr>
    </w:p>
    <w:p w:rsidR="00846196" w:rsidRPr="00CB543A" w:rsidRDefault="009E6C29" w:rsidP="00CB543A">
      <w:pPr>
        <w:numPr>
          <w:ilvl w:val="0"/>
          <w:numId w:val="32"/>
        </w:numPr>
        <w:tabs>
          <w:tab w:val="left" w:pos="426"/>
        </w:tabs>
        <w:autoSpaceDE w:val="0"/>
        <w:autoSpaceDN w:val="0"/>
        <w:adjustRightInd w:val="0"/>
        <w:spacing w:after="0" w:line="240" w:lineRule="auto"/>
        <w:ind w:right="51"/>
        <w:contextualSpacing/>
        <w:jc w:val="both"/>
        <w:rPr>
          <w:rFonts w:ascii="Times New Roman" w:hAnsi="Times New Roman" w:cs="Times New Roman"/>
          <w:sz w:val="28"/>
          <w:szCs w:val="28"/>
        </w:rPr>
      </w:pPr>
      <w:r w:rsidRPr="00CB543A">
        <w:rPr>
          <w:rFonts w:ascii="Times New Roman" w:hAnsi="Times New Roman" w:cs="Times New Roman"/>
          <w:sz w:val="28"/>
          <w:szCs w:val="28"/>
        </w:rPr>
        <w:t xml:space="preserve">Finalmente, en caso de que la acción sea procedente, </w:t>
      </w:r>
      <w:r w:rsidR="008E58DA" w:rsidRPr="00CB543A">
        <w:rPr>
          <w:rFonts w:ascii="Times New Roman" w:hAnsi="Times New Roman" w:cs="Times New Roman"/>
          <w:sz w:val="28"/>
          <w:szCs w:val="28"/>
        </w:rPr>
        <w:t xml:space="preserve">le corresponde </w:t>
      </w:r>
      <w:r w:rsidRPr="00CB543A">
        <w:rPr>
          <w:rFonts w:ascii="Times New Roman" w:hAnsi="Times New Roman" w:cs="Times New Roman"/>
          <w:sz w:val="28"/>
          <w:szCs w:val="28"/>
        </w:rPr>
        <w:t xml:space="preserve">resolver </w:t>
      </w:r>
      <w:r w:rsidR="00040105" w:rsidRPr="00CB543A">
        <w:rPr>
          <w:rFonts w:ascii="Times New Roman" w:hAnsi="Times New Roman" w:cs="Times New Roman"/>
          <w:sz w:val="28"/>
          <w:szCs w:val="28"/>
        </w:rPr>
        <w:t>el siguiente problema jurídico sustancial: si la sentencia proferida por la Sala de Casación Laboral de la Corte Suprema de Justicia, que negó el recurso extraordinario de casación contra la decisión de segunda instancia, vulneró los derechos fundamentales incoados por el tutelante, primero, al haberse fundamentado en argumentos y consideraciones que habrían desconocido la jurisprudencia de las Salas de Revisión de la Corte Constitucional</w:t>
      </w:r>
      <w:r w:rsidR="0080083C" w:rsidRPr="00CB543A">
        <w:rPr>
          <w:rFonts w:ascii="Times New Roman" w:hAnsi="Times New Roman" w:cs="Times New Roman"/>
          <w:sz w:val="28"/>
          <w:szCs w:val="28"/>
        </w:rPr>
        <w:t>.</w:t>
      </w:r>
      <w:r w:rsidR="00040105" w:rsidRPr="00CB543A">
        <w:rPr>
          <w:rFonts w:ascii="Times New Roman" w:hAnsi="Times New Roman" w:cs="Times New Roman"/>
          <w:sz w:val="28"/>
          <w:szCs w:val="28"/>
        </w:rPr>
        <w:t xml:space="preserve"> </w:t>
      </w:r>
      <w:r w:rsidR="0080083C" w:rsidRPr="00CB543A">
        <w:rPr>
          <w:rFonts w:ascii="Times New Roman" w:hAnsi="Times New Roman" w:cs="Times New Roman"/>
          <w:sz w:val="28"/>
          <w:szCs w:val="28"/>
        </w:rPr>
        <w:t>Y</w:t>
      </w:r>
      <w:r w:rsidR="00040105" w:rsidRPr="00CB543A">
        <w:rPr>
          <w:rFonts w:ascii="Times New Roman" w:hAnsi="Times New Roman" w:cs="Times New Roman"/>
          <w:sz w:val="28"/>
          <w:szCs w:val="28"/>
        </w:rPr>
        <w:t xml:space="preserve">, segundo, al no haberse pronunciado acerca del presunto desconocimiento del </w:t>
      </w:r>
      <w:r w:rsidR="00040105" w:rsidRPr="00CB543A">
        <w:rPr>
          <w:rFonts w:ascii="Times New Roman" w:hAnsi="Times New Roman" w:cs="Times New Roman"/>
          <w:i/>
          <w:sz w:val="28"/>
          <w:szCs w:val="28"/>
        </w:rPr>
        <w:t>acto propio</w:t>
      </w:r>
      <w:r w:rsidR="00040105" w:rsidRPr="00CB543A">
        <w:rPr>
          <w:rFonts w:ascii="Times New Roman" w:hAnsi="Times New Roman" w:cs="Times New Roman"/>
          <w:sz w:val="28"/>
          <w:szCs w:val="28"/>
        </w:rPr>
        <w:t xml:space="preserve"> por parte de CAPRECOM</w:t>
      </w:r>
      <w:r w:rsidR="0080083C" w:rsidRPr="00CB543A">
        <w:rPr>
          <w:rFonts w:ascii="Times New Roman" w:hAnsi="Times New Roman" w:cs="Times New Roman"/>
          <w:sz w:val="28"/>
          <w:szCs w:val="28"/>
        </w:rPr>
        <w:t xml:space="preserve"> y de </w:t>
      </w:r>
      <w:r w:rsidR="00040105" w:rsidRPr="00CB543A">
        <w:rPr>
          <w:rFonts w:ascii="Times New Roman" w:hAnsi="Times New Roman" w:cs="Times New Roman"/>
          <w:sz w:val="28"/>
          <w:szCs w:val="28"/>
        </w:rPr>
        <w:t xml:space="preserve">la imposibilidad </w:t>
      </w:r>
      <w:r w:rsidR="0080083C" w:rsidRPr="00CB543A">
        <w:rPr>
          <w:rFonts w:ascii="Times New Roman" w:hAnsi="Times New Roman" w:cs="Times New Roman"/>
          <w:sz w:val="28"/>
          <w:szCs w:val="28"/>
        </w:rPr>
        <w:t xml:space="preserve">para esta </w:t>
      </w:r>
      <w:r w:rsidR="00040105" w:rsidRPr="00CB543A">
        <w:rPr>
          <w:rFonts w:ascii="Times New Roman" w:hAnsi="Times New Roman" w:cs="Times New Roman"/>
          <w:sz w:val="28"/>
          <w:szCs w:val="28"/>
        </w:rPr>
        <w:t xml:space="preserve">de revocar </w:t>
      </w:r>
      <w:r w:rsidR="0080083C" w:rsidRPr="00CB543A">
        <w:rPr>
          <w:rFonts w:ascii="Times New Roman" w:hAnsi="Times New Roman" w:cs="Times New Roman"/>
          <w:sz w:val="28"/>
          <w:szCs w:val="28"/>
        </w:rPr>
        <w:t xml:space="preserve">el </w:t>
      </w:r>
      <w:r w:rsidR="00040105" w:rsidRPr="00CB543A">
        <w:rPr>
          <w:rFonts w:ascii="Times New Roman" w:hAnsi="Times New Roman" w:cs="Times New Roman"/>
          <w:sz w:val="28"/>
          <w:szCs w:val="28"/>
        </w:rPr>
        <w:t xml:space="preserve">acto administrativo </w:t>
      </w:r>
      <w:r w:rsidR="0080083C" w:rsidRPr="00CB543A">
        <w:rPr>
          <w:rFonts w:ascii="Times New Roman" w:hAnsi="Times New Roman" w:cs="Times New Roman"/>
          <w:sz w:val="28"/>
          <w:szCs w:val="28"/>
        </w:rPr>
        <w:t xml:space="preserve">que le reconoció su derecho pensional, </w:t>
      </w:r>
      <w:r w:rsidR="00040105" w:rsidRPr="00CB543A">
        <w:rPr>
          <w:rFonts w:ascii="Times New Roman" w:hAnsi="Times New Roman" w:cs="Times New Roman"/>
          <w:sz w:val="28"/>
          <w:szCs w:val="28"/>
        </w:rPr>
        <w:t xml:space="preserve">sin </w:t>
      </w:r>
      <w:r w:rsidR="0080083C" w:rsidRPr="00CB543A">
        <w:rPr>
          <w:rFonts w:ascii="Times New Roman" w:hAnsi="Times New Roman" w:cs="Times New Roman"/>
          <w:sz w:val="28"/>
          <w:szCs w:val="28"/>
        </w:rPr>
        <w:t xml:space="preserve">su </w:t>
      </w:r>
      <w:r w:rsidR="00040105" w:rsidRPr="00CB543A">
        <w:rPr>
          <w:rFonts w:ascii="Times New Roman" w:hAnsi="Times New Roman" w:cs="Times New Roman"/>
          <w:sz w:val="28"/>
          <w:szCs w:val="28"/>
        </w:rPr>
        <w:t>consentimiento y</w:t>
      </w:r>
      <w:r w:rsidR="0080083C" w:rsidRPr="00CB543A">
        <w:rPr>
          <w:rFonts w:ascii="Times New Roman" w:hAnsi="Times New Roman" w:cs="Times New Roman"/>
          <w:sz w:val="28"/>
          <w:szCs w:val="28"/>
        </w:rPr>
        <w:t xml:space="preserve">; finalmente, al haber aplicado </w:t>
      </w:r>
      <w:r w:rsidR="00040105" w:rsidRPr="00CB543A">
        <w:rPr>
          <w:rFonts w:ascii="Times New Roman" w:hAnsi="Times New Roman" w:cs="Times New Roman"/>
          <w:sz w:val="28"/>
          <w:szCs w:val="28"/>
        </w:rPr>
        <w:t xml:space="preserve">una norma declarada condicionalmente exequible mediante la </w:t>
      </w:r>
      <w:r w:rsidR="00642695" w:rsidRPr="00CB543A">
        <w:rPr>
          <w:rFonts w:ascii="Times New Roman" w:hAnsi="Times New Roman" w:cs="Times New Roman"/>
          <w:sz w:val="28"/>
          <w:szCs w:val="28"/>
        </w:rPr>
        <w:t>S</w:t>
      </w:r>
      <w:r w:rsidR="00040105" w:rsidRPr="00CB543A">
        <w:rPr>
          <w:rFonts w:ascii="Times New Roman" w:hAnsi="Times New Roman" w:cs="Times New Roman"/>
          <w:sz w:val="28"/>
          <w:szCs w:val="28"/>
        </w:rPr>
        <w:t>entencia C-835 del 2003.</w:t>
      </w:r>
      <w:r w:rsidR="00642695" w:rsidRPr="00CB543A">
        <w:rPr>
          <w:rFonts w:ascii="Times New Roman" w:hAnsi="Times New Roman" w:cs="Times New Roman"/>
          <w:sz w:val="28"/>
          <w:szCs w:val="28"/>
        </w:rPr>
        <w:t xml:space="preserve"> </w:t>
      </w:r>
      <w:r w:rsidRPr="00CB543A">
        <w:rPr>
          <w:rFonts w:ascii="Times New Roman" w:hAnsi="Times New Roman" w:cs="Times New Roman"/>
          <w:sz w:val="28"/>
          <w:szCs w:val="28"/>
        </w:rPr>
        <w:t>El primer</w:t>
      </w:r>
      <w:r w:rsidR="00EA61D1" w:rsidRPr="00CB543A">
        <w:rPr>
          <w:rFonts w:ascii="Times New Roman" w:hAnsi="Times New Roman" w:cs="Times New Roman"/>
          <w:sz w:val="28"/>
          <w:szCs w:val="28"/>
        </w:rPr>
        <w:t xml:space="preserve"> </w:t>
      </w:r>
      <w:r w:rsidRPr="00CB543A">
        <w:rPr>
          <w:rFonts w:ascii="Times New Roman" w:hAnsi="Times New Roman" w:cs="Times New Roman"/>
          <w:sz w:val="28"/>
          <w:szCs w:val="28"/>
        </w:rPr>
        <w:t xml:space="preserve">asunto </w:t>
      </w:r>
      <w:r w:rsidR="00EA61D1" w:rsidRPr="00CB543A">
        <w:rPr>
          <w:rFonts w:ascii="Times New Roman" w:hAnsi="Times New Roman" w:cs="Times New Roman"/>
          <w:sz w:val="28"/>
          <w:szCs w:val="28"/>
        </w:rPr>
        <w:t xml:space="preserve">se estudia en el numeral 3 </w:t>
      </w:r>
      <w:r w:rsidR="00EA61D1" w:rsidRPr="00CB543A">
        <w:rPr>
          <w:rFonts w:ascii="Times New Roman" w:hAnsi="Times New Roman" w:cs="Times New Roman"/>
          <w:i/>
          <w:sz w:val="28"/>
          <w:szCs w:val="28"/>
        </w:rPr>
        <w:t>infra</w:t>
      </w:r>
      <w:r w:rsidR="001D1AEB" w:rsidRPr="00CB543A">
        <w:rPr>
          <w:rFonts w:ascii="Times New Roman" w:hAnsi="Times New Roman" w:cs="Times New Roman"/>
          <w:sz w:val="28"/>
          <w:szCs w:val="28"/>
        </w:rPr>
        <w:t>,</w:t>
      </w:r>
      <w:r w:rsidR="00EA61D1" w:rsidRPr="00CB543A">
        <w:rPr>
          <w:rFonts w:ascii="Times New Roman" w:hAnsi="Times New Roman" w:cs="Times New Roman"/>
          <w:sz w:val="28"/>
          <w:szCs w:val="28"/>
        </w:rPr>
        <w:t xml:space="preserve"> el </w:t>
      </w:r>
      <w:r w:rsidR="001D1AEB" w:rsidRPr="00CB543A">
        <w:rPr>
          <w:rFonts w:ascii="Times New Roman" w:hAnsi="Times New Roman" w:cs="Times New Roman"/>
          <w:sz w:val="28"/>
          <w:szCs w:val="28"/>
        </w:rPr>
        <w:t xml:space="preserve">problema jurídico de procedibilidad </w:t>
      </w:r>
      <w:r w:rsidR="00EA61D1" w:rsidRPr="00CB543A">
        <w:rPr>
          <w:rFonts w:ascii="Times New Roman" w:hAnsi="Times New Roman" w:cs="Times New Roman"/>
          <w:sz w:val="28"/>
          <w:szCs w:val="28"/>
        </w:rPr>
        <w:t xml:space="preserve">en el numeral 4 </w:t>
      </w:r>
      <w:r w:rsidR="00EA61D1" w:rsidRPr="00CB543A">
        <w:rPr>
          <w:rFonts w:ascii="Times New Roman" w:hAnsi="Times New Roman" w:cs="Times New Roman"/>
          <w:i/>
          <w:sz w:val="28"/>
          <w:szCs w:val="28"/>
        </w:rPr>
        <w:t>infra</w:t>
      </w:r>
      <w:r w:rsidR="001D1AEB" w:rsidRPr="00CB543A">
        <w:rPr>
          <w:rFonts w:ascii="Times New Roman" w:hAnsi="Times New Roman" w:cs="Times New Roman"/>
          <w:sz w:val="28"/>
          <w:szCs w:val="28"/>
        </w:rPr>
        <w:t xml:space="preserve"> y </w:t>
      </w:r>
      <w:r w:rsidR="00D550CD" w:rsidRPr="00CB543A">
        <w:rPr>
          <w:rFonts w:ascii="Times New Roman" w:hAnsi="Times New Roman" w:cs="Times New Roman"/>
          <w:sz w:val="28"/>
          <w:szCs w:val="28"/>
        </w:rPr>
        <w:t xml:space="preserve">el </w:t>
      </w:r>
      <w:r w:rsidR="001D1AEB" w:rsidRPr="00CB543A">
        <w:rPr>
          <w:rFonts w:ascii="Times New Roman" w:hAnsi="Times New Roman" w:cs="Times New Roman"/>
          <w:sz w:val="28"/>
          <w:szCs w:val="28"/>
        </w:rPr>
        <w:t xml:space="preserve">problema jurídico sustancial </w:t>
      </w:r>
      <w:r w:rsidR="00D550CD" w:rsidRPr="00CB543A">
        <w:rPr>
          <w:rFonts w:ascii="Times New Roman" w:hAnsi="Times New Roman" w:cs="Times New Roman"/>
          <w:sz w:val="28"/>
          <w:szCs w:val="28"/>
        </w:rPr>
        <w:t xml:space="preserve">en el numeral 5 </w:t>
      </w:r>
      <w:r w:rsidR="00D550CD" w:rsidRPr="00CB543A">
        <w:rPr>
          <w:rFonts w:ascii="Times New Roman" w:hAnsi="Times New Roman" w:cs="Times New Roman"/>
          <w:i/>
          <w:sz w:val="28"/>
          <w:szCs w:val="28"/>
        </w:rPr>
        <w:t>infra</w:t>
      </w:r>
      <w:r w:rsidR="00846196" w:rsidRPr="00CB543A">
        <w:rPr>
          <w:rFonts w:ascii="Times New Roman" w:hAnsi="Times New Roman" w:cs="Times New Roman"/>
          <w:sz w:val="28"/>
          <w:szCs w:val="28"/>
        </w:rPr>
        <w:t>.</w:t>
      </w:r>
    </w:p>
    <w:p w:rsidR="00F01A20" w:rsidRPr="00CB543A" w:rsidRDefault="00F01A20" w:rsidP="00CB543A">
      <w:pPr>
        <w:spacing w:after="0" w:line="240" w:lineRule="auto"/>
        <w:contextualSpacing/>
        <w:jc w:val="both"/>
        <w:rPr>
          <w:rFonts w:ascii="Times New Roman" w:hAnsi="Times New Roman" w:cs="Times New Roman"/>
          <w:sz w:val="28"/>
          <w:szCs w:val="28"/>
        </w:rPr>
      </w:pPr>
    </w:p>
    <w:p w:rsidR="00821625" w:rsidRPr="00CB543A" w:rsidRDefault="003F7FAF" w:rsidP="00CB543A">
      <w:pPr>
        <w:widowControl w:val="0"/>
        <w:numPr>
          <w:ilvl w:val="0"/>
          <w:numId w:val="11"/>
        </w:numPr>
        <w:spacing w:after="0" w:line="240" w:lineRule="auto"/>
        <w:ind w:left="0" w:firstLine="0"/>
        <w:contextualSpacing/>
        <w:jc w:val="both"/>
        <w:rPr>
          <w:rFonts w:ascii="Times New Roman" w:hAnsi="Times New Roman" w:cs="Times New Roman"/>
          <w:b/>
          <w:bCs/>
          <w:sz w:val="28"/>
          <w:szCs w:val="28"/>
        </w:rPr>
      </w:pPr>
      <w:r w:rsidRPr="00CB543A">
        <w:rPr>
          <w:rFonts w:ascii="Times New Roman" w:hAnsi="Times New Roman" w:cs="Times New Roman"/>
          <w:b/>
          <w:bCs/>
          <w:sz w:val="28"/>
          <w:szCs w:val="28"/>
        </w:rPr>
        <w:t xml:space="preserve">El </w:t>
      </w:r>
      <w:r w:rsidR="00E871A0" w:rsidRPr="00CB543A">
        <w:rPr>
          <w:rFonts w:ascii="Times New Roman" w:hAnsi="Times New Roman" w:cs="Times New Roman"/>
          <w:b/>
          <w:bCs/>
          <w:sz w:val="28"/>
          <w:szCs w:val="28"/>
        </w:rPr>
        <w:t>A</w:t>
      </w:r>
      <w:r w:rsidRPr="00CB543A">
        <w:rPr>
          <w:rFonts w:ascii="Times New Roman" w:hAnsi="Times New Roman" w:cs="Times New Roman"/>
          <w:b/>
          <w:bCs/>
          <w:sz w:val="28"/>
          <w:szCs w:val="28"/>
        </w:rPr>
        <w:t xml:space="preserve">uto </w:t>
      </w:r>
      <w:r w:rsidR="00E871A0" w:rsidRPr="00CB543A">
        <w:rPr>
          <w:rFonts w:ascii="Times New Roman" w:hAnsi="Times New Roman" w:cs="Times New Roman"/>
          <w:b/>
          <w:bCs/>
          <w:sz w:val="28"/>
          <w:szCs w:val="28"/>
        </w:rPr>
        <w:t xml:space="preserve">144 de 2012 otorga competencia a la Sala Plena para pronunciarse de fondo acerca de la acción de tutela interpuesta y sus </w:t>
      </w:r>
      <w:r w:rsidR="00E871A0" w:rsidRPr="00CB543A">
        <w:rPr>
          <w:rFonts w:ascii="Times New Roman" w:hAnsi="Times New Roman" w:cs="Times New Roman"/>
          <w:b/>
          <w:bCs/>
          <w:sz w:val="28"/>
          <w:szCs w:val="28"/>
        </w:rPr>
        <w:lastRenderedPageBreak/>
        <w:t>fundamentos no condicionan aquella</w:t>
      </w:r>
      <w:r w:rsidR="002B50DB" w:rsidRPr="00CB543A">
        <w:rPr>
          <w:rFonts w:ascii="Times New Roman" w:hAnsi="Times New Roman" w:cs="Times New Roman"/>
          <w:b/>
          <w:bCs/>
          <w:sz w:val="28"/>
          <w:szCs w:val="28"/>
        </w:rPr>
        <w:t xml:space="preserve"> (la competencia)</w:t>
      </w:r>
    </w:p>
    <w:p w:rsidR="00846196" w:rsidRPr="00CB543A" w:rsidRDefault="00846196" w:rsidP="00CB543A">
      <w:pPr>
        <w:widowControl w:val="0"/>
        <w:spacing w:after="0" w:line="240" w:lineRule="auto"/>
        <w:contextualSpacing/>
        <w:jc w:val="both"/>
        <w:rPr>
          <w:rFonts w:ascii="Times New Roman" w:hAnsi="Times New Roman" w:cs="Times New Roman"/>
          <w:b/>
          <w:bCs/>
          <w:sz w:val="28"/>
          <w:szCs w:val="28"/>
        </w:rPr>
      </w:pPr>
    </w:p>
    <w:p w:rsidR="002B50DB" w:rsidRPr="00CB543A" w:rsidRDefault="002B50DB" w:rsidP="00CB543A">
      <w:pPr>
        <w:pStyle w:val="Prrafodelista"/>
        <w:widowControl w:val="0"/>
        <w:numPr>
          <w:ilvl w:val="0"/>
          <w:numId w:val="32"/>
        </w:numPr>
        <w:tabs>
          <w:tab w:val="left" w:pos="426"/>
        </w:tabs>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Para la Sala, las consideraciones expuestas en el Auto 144 de 2012, relativas al precedente judicial sobre el IBL, en los casos regulados por el régimen de transición, para el momento en que se expidió la sentencia T-022 de 2010</w:t>
      </w:r>
      <w:r w:rsidR="00D601CB" w:rsidRPr="00CB543A">
        <w:rPr>
          <w:rFonts w:ascii="Times New Roman" w:hAnsi="Times New Roman" w:cs="Times New Roman"/>
          <w:sz w:val="28"/>
          <w:szCs w:val="28"/>
        </w:rPr>
        <w:t>,</w:t>
      </w:r>
      <w:r w:rsidRPr="00CB543A">
        <w:rPr>
          <w:rFonts w:ascii="Times New Roman" w:hAnsi="Times New Roman" w:cs="Times New Roman"/>
          <w:sz w:val="28"/>
          <w:szCs w:val="28"/>
        </w:rPr>
        <w:t xml:space="preserve"> no vinculan, en la actualidad, el sentido de la decisión que debe adoptar la Sala Plena. </w:t>
      </w:r>
      <w:r w:rsidR="00D601CB" w:rsidRPr="00CB543A">
        <w:rPr>
          <w:rFonts w:ascii="Times New Roman" w:hAnsi="Times New Roman" w:cs="Times New Roman"/>
          <w:sz w:val="28"/>
          <w:szCs w:val="28"/>
        </w:rPr>
        <w:t>E</w:t>
      </w:r>
      <w:r w:rsidRPr="00CB543A">
        <w:rPr>
          <w:rFonts w:ascii="Times New Roman" w:hAnsi="Times New Roman" w:cs="Times New Roman"/>
          <w:sz w:val="28"/>
          <w:szCs w:val="28"/>
        </w:rPr>
        <w:t>l objeto del auto de anulación fue afirmar la competencia de la Sala Plena para fijar una postura de unificación jurisprudencial, cualquiera que aquella fuere, sobre esta materia, dada</w:t>
      </w:r>
      <w:r w:rsidR="00D601CB" w:rsidRPr="00CB543A">
        <w:rPr>
          <w:rFonts w:ascii="Times New Roman" w:hAnsi="Times New Roman" w:cs="Times New Roman"/>
          <w:sz w:val="28"/>
          <w:szCs w:val="28"/>
        </w:rPr>
        <w:t>s</w:t>
      </w:r>
      <w:r w:rsidRPr="00CB543A">
        <w:rPr>
          <w:rFonts w:ascii="Times New Roman" w:hAnsi="Times New Roman" w:cs="Times New Roman"/>
          <w:sz w:val="28"/>
          <w:szCs w:val="28"/>
        </w:rPr>
        <w:t xml:space="preserve"> la</w:t>
      </w:r>
      <w:r w:rsidR="00D601CB" w:rsidRPr="00CB543A">
        <w:rPr>
          <w:rFonts w:ascii="Times New Roman" w:hAnsi="Times New Roman" w:cs="Times New Roman"/>
          <w:sz w:val="28"/>
          <w:szCs w:val="28"/>
        </w:rPr>
        <w:t>s</w:t>
      </w:r>
      <w:r w:rsidRPr="00CB543A">
        <w:rPr>
          <w:rFonts w:ascii="Times New Roman" w:hAnsi="Times New Roman" w:cs="Times New Roman"/>
          <w:sz w:val="28"/>
          <w:szCs w:val="28"/>
        </w:rPr>
        <w:t xml:space="preserve"> </w:t>
      </w:r>
      <w:r w:rsidR="00D601CB" w:rsidRPr="00CB543A">
        <w:rPr>
          <w:rFonts w:ascii="Times New Roman" w:hAnsi="Times New Roman" w:cs="Times New Roman"/>
          <w:sz w:val="28"/>
          <w:szCs w:val="28"/>
        </w:rPr>
        <w:t xml:space="preserve">diferencias que existían entre las </w:t>
      </w:r>
      <w:r w:rsidRPr="00CB543A">
        <w:rPr>
          <w:rFonts w:ascii="Times New Roman" w:hAnsi="Times New Roman" w:cs="Times New Roman"/>
          <w:sz w:val="28"/>
          <w:szCs w:val="28"/>
        </w:rPr>
        <w:t>Salas de Revisión</w:t>
      </w:r>
      <w:r w:rsidR="003302C5" w:rsidRPr="00CB543A">
        <w:rPr>
          <w:rStyle w:val="Refdenotaalpie"/>
          <w:rFonts w:ascii="Times New Roman" w:hAnsi="Times New Roman" w:cs="Times New Roman"/>
          <w:sz w:val="28"/>
          <w:szCs w:val="28"/>
        </w:rPr>
        <w:footnoteReference w:id="50"/>
      </w:r>
      <w:r w:rsidRPr="00CB543A">
        <w:rPr>
          <w:rFonts w:ascii="Times New Roman" w:hAnsi="Times New Roman" w:cs="Times New Roman"/>
          <w:sz w:val="28"/>
          <w:szCs w:val="28"/>
        </w:rPr>
        <w:t>.</w:t>
      </w:r>
    </w:p>
    <w:p w:rsidR="002B50DB" w:rsidRPr="00CB543A" w:rsidRDefault="002B50DB" w:rsidP="00CB543A">
      <w:pPr>
        <w:pStyle w:val="Prrafodelista"/>
        <w:widowControl w:val="0"/>
        <w:tabs>
          <w:tab w:val="left" w:pos="426"/>
        </w:tabs>
        <w:spacing w:after="0" w:line="240" w:lineRule="auto"/>
        <w:ind w:left="0"/>
        <w:jc w:val="both"/>
        <w:rPr>
          <w:rFonts w:ascii="Times New Roman" w:hAnsi="Times New Roman" w:cs="Times New Roman"/>
          <w:sz w:val="28"/>
          <w:szCs w:val="28"/>
        </w:rPr>
      </w:pPr>
    </w:p>
    <w:p w:rsidR="002B50DB" w:rsidRPr="00CB543A" w:rsidRDefault="002B50DB" w:rsidP="00CB543A">
      <w:pPr>
        <w:pStyle w:val="Prrafodelista"/>
        <w:widowControl w:val="0"/>
        <w:numPr>
          <w:ilvl w:val="0"/>
          <w:numId w:val="32"/>
        </w:numPr>
        <w:tabs>
          <w:tab w:val="left" w:pos="426"/>
        </w:tabs>
        <w:spacing w:after="0" w:line="240" w:lineRule="auto"/>
        <w:ind w:left="0"/>
        <w:jc w:val="both"/>
        <w:rPr>
          <w:rFonts w:ascii="Times New Roman" w:hAnsi="Times New Roman" w:cs="Times New Roman"/>
          <w:color w:val="2D2D2D"/>
          <w:sz w:val="28"/>
          <w:szCs w:val="28"/>
          <w:shd w:val="clear" w:color="auto" w:fill="FFFFFF"/>
        </w:rPr>
      </w:pPr>
      <w:r w:rsidRPr="00CB543A">
        <w:rPr>
          <w:rFonts w:ascii="Times New Roman" w:hAnsi="Times New Roman" w:cs="Times New Roman"/>
          <w:bCs/>
          <w:sz w:val="28"/>
          <w:szCs w:val="28"/>
        </w:rPr>
        <w:t xml:space="preserve">El incidente de nulidad es un mecanismo excepcional encaminado a preservar el derecho fundamental al debido proceso de las partes </w:t>
      </w:r>
      <w:r w:rsidR="00A32CAC" w:rsidRPr="00CB543A">
        <w:rPr>
          <w:rFonts w:ascii="Times New Roman" w:hAnsi="Times New Roman" w:cs="Times New Roman"/>
          <w:bCs/>
          <w:sz w:val="28"/>
          <w:szCs w:val="28"/>
        </w:rPr>
        <w:t>e</w:t>
      </w:r>
      <w:r w:rsidRPr="00CB543A">
        <w:rPr>
          <w:rFonts w:ascii="Times New Roman" w:hAnsi="Times New Roman" w:cs="Times New Roman"/>
          <w:bCs/>
          <w:sz w:val="28"/>
          <w:szCs w:val="28"/>
        </w:rPr>
        <w:t xml:space="preserve"> intervinientes</w:t>
      </w:r>
      <w:r w:rsidR="001C5E7D" w:rsidRPr="00CB543A">
        <w:rPr>
          <w:rStyle w:val="Refdenotaalpie"/>
          <w:rFonts w:ascii="Times New Roman" w:hAnsi="Times New Roman" w:cs="Times New Roman"/>
          <w:bCs/>
          <w:sz w:val="28"/>
          <w:szCs w:val="28"/>
        </w:rPr>
        <w:footnoteReference w:id="51"/>
      </w:r>
      <w:r w:rsidRPr="00CB543A">
        <w:rPr>
          <w:rFonts w:ascii="Times New Roman" w:hAnsi="Times New Roman" w:cs="Times New Roman"/>
          <w:bCs/>
          <w:sz w:val="28"/>
          <w:szCs w:val="28"/>
        </w:rPr>
        <w:t>, que pudiera</w:t>
      </w:r>
      <w:r w:rsidR="00A32CAC" w:rsidRPr="00CB543A">
        <w:rPr>
          <w:rFonts w:ascii="Times New Roman" w:hAnsi="Times New Roman" w:cs="Times New Roman"/>
          <w:bCs/>
          <w:sz w:val="28"/>
          <w:szCs w:val="28"/>
        </w:rPr>
        <w:t>n</w:t>
      </w:r>
      <w:r w:rsidRPr="00CB543A">
        <w:rPr>
          <w:rFonts w:ascii="Times New Roman" w:hAnsi="Times New Roman" w:cs="Times New Roman"/>
          <w:bCs/>
          <w:sz w:val="28"/>
          <w:szCs w:val="28"/>
        </w:rPr>
        <w:t xml:space="preserve"> haber sufrido una lesión relevante con ocasión de una decisión adoptada por la Corte</w:t>
      </w:r>
      <w:r w:rsidR="00A32CAC" w:rsidRPr="00CB543A">
        <w:rPr>
          <w:rFonts w:ascii="Times New Roman" w:hAnsi="Times New Roman" w:cs="Times New Roman"/>
          <w:bCs/>
          <w:sz w:val="28"/>
          <w:szCs w:val="28"/>
        </w:rPr>
        <w:t xml:space="preserve"> Constitucional</w:t>
      </w:r>
      <w:r w:rsidR="00D601CB" w:rsidRPr="00CB543A">
        <w:rPr>
          <w:rStyle w:val="Refdenotaalpie"/>
          <w:rFonts w:ascii="Times New Roman" w:hAnsi="Times New Roman" w:cs="Times New Roman"/>
          <w:bCs/>
          <w:sz w:val="28"/>
          <w:szCs w:val="28"/>
        </w:rPr>
        <w:footnoteReference w:id="52"/>
      </w:r>
      <w:r w:rsidRPr="00CB543A">
        <w:rPr>
          <w:rFonts w:ascii="Times New Roman" w:hAnsi="Times New Roman" w:cs="Times New Roman"/>
          <w:bCs/>
          <w:sz w:val="28"/>
          <w:szCs w:val="28"/>
        </w:rPr>
        <w:t>. Del carácter excepcional de la solicitud de nulidad, según la jurisprudencia reiterada de la Corte</w:t>
      </w:r>
      <w:r w:rsidRPr="00CB543A">
        <w:rPr>
          <w:rStyle w:val="Refdenotaalpie"/>
          <w:rFonts w:ascii="Times New Roman" w:hAnsi="Times New Roman" w:cs="Times New Roman"/>
          <w:bCs/>
          <w:sz w:val="28"/>
          <w:szCs w:val="28"/>
        </w:rPr>
        <w:footnoteReference w:id="53"/>
      </w:r>
      <w:r w:rsidRPr="00CB543A">
        <w:rPr>
          <w:rFonts w:ascii="Times New Roman" w:hAnsi="Times New Roman" w:cs="Times New Roman"/>
          <w:bCs/>
          <w:sz w:val="28"/>
          <w:szCs w:val="28"/>
        </w:rPr>
        <w:t xml:space="preserve">, se deriva, primero, que el trámite de nulidad no </w:t>
      </w:r>
      <w:r w:rsidR="001C5E7D" w:rsidRPr="00CB543A">
        <w:rPr>
          <w:rFonts w:ascii="Times New Roman" w:hAnsi="Times New Roman" w:cs="Times New Roman"/>
          <w:bCs/>
          <w:sz w:val="28"/>
          <w:szCs w:val="28"/>
        </w:rPr>
        <w:t xml:space="preserve">constituye una </w:t>
      </w:r>
      <w:r w:rsidRPr="00CB543A">
        <w:rPr>
          <w:rFonts w:ascii="Times New Roman" w:hAnsi="Times New Roman" w:cs="Times New Roman"/>
          <w:bCs/>
          <w:sz w:val="28"/>
          <w:szCs w:val="28"/>
        </w:rPr>
        <w:t>nueva instancia procesal</w:t>
      </w:r>
      <w:r w:rsidR="001C5E7D" w:rsidRPr="00CB543A">
        <w:rPr>
          <w:rFonts w:ascii="Times New Roman" w:hAnsi="Times New Roman" w:cs="Times New Roman"/>
          <w:bCs/>
          <w:sz w:val="28"/>
          <w:szCs w:val="28"/>
        </w:rPr>
        <w:t xml:space="preserve">, que permita </w:t>
      </w:r>
      <w:r w:rsidR="001C5E7D" w:rsidRPr="00CB543A">
        <w:rPr>
          <w:rFonts w:ascii="Times New Roman" w:hAnsi="Times New Roman" w:cs="Times New Roman"/>
          <w:color w:val="auto"/>
          <w:sz w:val="28"/>
          <w:szCs w:val="28"/>
          <w:lang w:val="es-ES" w:eastAsia="es-ES_tradnl"/>
        </w:rPr>
        <w:t>impugnar o controvertir las decisiones de la Corte, o reabrir debates probatorios y argumentativos concluidos</w:t>
      </w:r>
      <w:r w:rsidRPr="00CB543A">
        <w:rPr>
          <w:rStyle w:val="Refdenotaalpie"/>
          <w:rFonts w:ascii="Times New Roman" w:hAnsi="Times New Roman" w:cs="Times New Roman"/>
          <w:bCs/>
          <w:sz w:val="28"/>
          <w:szCs w:val="28"/>
        </w:rPr>
        <w:footnoteReference w:id="54"/>
      </w:r>
      <w:r w:rsidRPr="00CB543A">
        <w:rPr>
          <w:rFonts w:ascii="Times New Roman" w:hAnsi="Times New Roman" w:cs="Times New Roman"/>
          <w:bCs/>
          <w:sz w:val="28"/>
          <w:szCs w:val="28"/>
        </w:rPr>
        <w:t xml:space="preserve"> y, segund</w:t>
      </w:r>
      <w:r w:rsidR="00171C89" w:rsidRPr="00CB543A">
        <w:rPr>
          <w:rFonts w:ascii="Times New Roman" w:hAnsi="Times New Roman" w:cs="Times New Roman"/>
          <w:bCs/>
          <w:sz w:val="28"/>
          <w:szCs w:val="28"/>
        </w:rPr>
        <w:t xml:space="preserve">o, que la solicitud de nulidad no tiene un carácter análogo al de un </w:t>
      </w:r>
      <w:r w:rsidRPr="00CB543A">
        <w:rPr>
          <w:rFonts w:ascii="Times New Roman" w:hAnsi="Times New Roman" w:cs="Times New Roman"/>
          <w:bCs/>
          <w:sz w:val="28"/>
          <w:szCs w:val="28"/>
        </w:rPr>
        <w:t xml:space="preserve">recurso </w:t>
      </w:r>
      <w:r w:rsidR="00171C89" w:rsidRPr="00CB543A">
        <w:rPr>
          <w:rFonts w:ascii="Times New Roman" w:hAnsi="Times New Roman" w:cs="Times New Roman"/>
          <w:bCs/>
          <w:sz w:val="28"/>
          <w:szCs w:val="28"/>
        </w:rPr>
        <w:lastRenderedPageBreak/>
        <w:t xml:space="preserve">procesal </w:t>
      </w:r>
      <w:r w:rsidRPr="00CB543A">
        <w:rPr>
          <w:rFonts w:ascii="Times New Roman" w:hAnsi="Times New Roman" w:cs="Times New Roman"/>
          <w:bCs/>
          <w:sz w:val="28"/>
          <w:szCs w:val="28"/>
        </w:rPr>
        <w:t xml:space="preserve">contra las providencias de </w:t>
      </w:r>
      <w:r w:rsidR="00171C89" w:rsidRPr="00CB543A">
        <w:rPr>
          <w:rFonts w:ascii="Times New Roman" w:hAnsi="Times New Roman" w:cs="Times New Roman"/>
          <w:bCs/>
          <w:sz w:val="28"/>
          <w:szCs w:val="28"/>
        </w:rPr>
        <w:t>la Corte</w:t>
      </w:r>
      <w:r w:rsidRPr="00CB543A">
        <w:rPr>
          <w:rFonts w:ascii="Times New Roman" w:hAnsi="Times New Roman" w:cs="Times New Roman"/>
          <w:color w:val="auto"/>
          <w:sz w:val="28"/>
          <w:szCs w:val="28"/>
          <w:vertAlign w:val="superscript"/>
          <w:lang w:val="es-ES" w:eastAsia="es-ES_tradnl"/>
        </w:rPr>
        <w:footnoteReference w:id="55"/>
      </w:r>
      <w:r w:rsidRPr="00CB543A">
        <w:rPr>
          <w:rFonts w:ascii="Times New Roman" w:hAnsi="Times New Roman" w:cs="Times New Roman"/>
          <w:bCs/>
          <w:sz w:val="28"/>
          <w:szCs w:val="28"/>
        </w:rPr>
        <w:t>.</w:t>
      </w:r>
      <w:r w:rsidR="00B9709E" w:rsidRPr="00CB543A">
        <w:rPr>
          <w:rFonts w:ascii="Times New Roman" w:hAnsi="Times New Roman" w:cs="Times New Roman"/>
          <w:bCs/>
          <w:sz w:val="28"/>
          <w:szCs w:val="28"/>
        </w:rPr>
        <w:t xml:space="preserve"> De esto se </w:t>
      </w:r>
      <w:r w:rsidR="0031102D" w:rsidRPr="00CB543A">
        <w:rPr>
          <w:rFonts w:ascii="Times New Roman" w:hAnsi="Times New Roman" w:cs="Times New Roman"/>
          <w:bCs/>
          <w:sz w:val="28"/>
          <w:szCs w:val="28"/>
        </w:rPr>
        <w:t xml:space="preserve">infiere </w:t>
      </w:r>
      <w:r w:rsidR="00B9709E" w:rsidRPr="00CB543A">
        <w:rPr>
          <w:rFonts w:ascii="Times New Roman" w:hAnsi="Times New Roman" w:cs="Times New Roman"/>
          <w:bCs/>
          <w:sz w:val="28"/>
          <w:szCs w:val="28"/>
        </w:rPr>
        <w:t xml:space="preserve">que </w:t>
      </w:r>
      <w:r w:rsidRPr="00CB543A">
        <w:rPr>
          <w:rFonts w:ascii="Times New Roman" w:hAnsi="Times New Roman" w:cs="Times New Roman"/>
          <w:bCs/>
          <w:sz w:val="28"/>
          <w:szCs w:val="28"/>
        </w:rPr>
        <w:t xml:space="preserve">la Sala Plena, en el trámite </w:t>
      </w:r>
      <w:r w:rsidR="00A32CAC" w:rsidRPr="00CB543A">
        <w:rPr>
          <w:rFonts w:ascii="Times New Roman" w:hAnsi="Times New Roman" w:cs="Times New Roman"/>
          <w:bCs/>
          <w:sz w:val="28"/>
          <w:szCs w:val="28"/>
        </w:rPr>
        <w:t>de</w:t>
      </w:r>
      <w:r w:rsidR="00B9709E" w:rsidRPr="00CB543A">
        <w:rPr>
          <w:rFonts w:ascii="Times New Roman" w:hAnsi="Times New Roman" w:cs="Times New Roman"/>
          <w:bCs/>
          <w:sz w:val="28"/>
          <w:szCs w:val="28"/>
        </w:rPr>
        <w:t>l</w:t>
      </w:r>
      <w:r w:rsidR="00A32CAC" w:rsidRPr="00CB543A">
        <w:rPr>
          <w:rFonts w:ascii="Times New Roman" w:hAnsi="Times New Roman" w:cs="Times New Roman"/>
          <w:bCs/>
          <w:sz w:val="28"/>
          <w:szCs w:val="28"/>
        </w:rPr>
        <w:t xml:space="preserve"> </w:t>
      </w:r>
      <w:r w:rsidRPr="00CB543A">
        <w:rPr>
          <w:rFonts w:ascii="Times New Roman" w:hAnsi="Times New Roman" w:cs="Times New Roman"/>
          <w:bCs/>
          <w:sz w:val="28"/>
          <w:szCs w:val="28"/>
        </w:rPr>
        <w:t>inciden</w:t>
      </w:r>
      <w:r w:rsidR="00A32CAC" w:rsidRPr="00CB543A">
        <w:rPr>
          <w:rFonts w:ascii="Times New Roman" w:hAnsi="Times New Roman" w:cs="Times New Roman"/>
          <w:bCs/>
          <w:sz w:val="28"/>
          <w:szCs w:val="28"/>
        </w:rPr>
        <w:t>te</w:t>
      </w:r>
      <w:r w:rsidRPr="00CB543A">
        <w:rPr>
          <w:rFonts w:ascii="Times New Roman" w:hAnsi="Times New Roman" w:cs="Times New Roman"/>
          <w:bCs/>
          <w:sz w:val="28"/>
          <w:szCs w:val="28"/>
        </w:rPr>
        <w:t xml:space="preserve"> de nulidad, </w:t>
      </w:r>
      <w:r w:rsidR="00171C89" w:rsidRPr="00CB543A">
        <w:rPr>
          <w:rFonts w:ascii="Times New Roman" w:hAnsi="Times New Roman" w:cs="Times New Roman"/>
          <w:bCs/>
          <w:sz w:val="28"/>
          <w:szCs w:val="28"/>
        </w:rPr>
        <w:t xml:space="preserve">por ejemplo, </w:t>
      </w:r>
      <w:r w:rsidR="00B9709E" w:rsidRPr="00CB543A">
        <w:rPr>
          <w:rFonts w:ascii="Times New Roman" w:hAnsi="Times New Roman" w:cs="Times New Roman"/>
          <w:bCs/>
          <w:sz w:val="28"/>
          <w:szCs w:val="28"/>
        </w:rPr>
        <w:t xml:space="preserve">no puede </w:t>
      </w:r>
      <w:r w:rsidRPr="00CB543A">
        <w:rPr>
          <w:rFonts w:ascii="Times New Roman" w:hAnsi="Times New Roman" w:cs="Times New Roman"/>
          <w:bCs/>
          <w:sz w:val="28"/>
          <w:szCs w:val="28"/>
        </w:rPr>
        <w:t>actuar como juez de segunda instancia para examinar si una Sala de Revisión acertó al momento de establecer la vulneración de los derechos fundamentales en litigio, se equivocó al realizar el análisis jurídico o la valoración del acervo probatorio correspondiente</w:t>
      </w:r>
      <w:r w:rsidR="00B9709E" w:rsidRPr="00CB543A">
        <w:rPr>
          <w:rFonts w:ascii="Times New Roman" w:hAnsi="Times New Roman" w:cs="Times New Roman"/>
          <w:bCs/>
          <w:sz w:val="28"/>
          <w:szCs w:val="28"/>
        </w:rPr>
        <w:t xml:space="preserve">; esto </w:t>
      </w:r>
      <w:r w:rsidR="00A32CAC" w:rsidRPr="00CB543A">
        <w:rPr>
          <w:rFonts w:ascii="Times New Roman" w:hAnsi="Times New Roman" w:cs="Times New Roman"/>
          <w:bCs/>
          <w:sz w:val="28"/>
          <w:szCs w:val="28"/>
        </w:rPr>
        <w:t>supondría</w:t>
      </w:r>
      <w:r w:rsidRPr="00CB543A">
        <w:rPr>
          <w:rFonts w:ascii="Times New Roman" w:hAnsi="Times New Roman" w:cs="Times New Roman"/>
          <w:bCs/>
          <w:sz w:val="28"/>
          <w:szCs w:val="28"/>
        </w:rPr>
        <w:t xml:space="preserve">, de un lado, el desconocimiento </w:t>
      </w:r>
      <w:r w:rsidR="00A32CAC" w:rsidRPr="00CB543A">
        <w:rPr>
          <w:rFonts w:ascii="Times New Roman" w:hAnsi="Times New Roman" w:cs="Times New Roman"/>
          <w:bCs/>
          <w:sz w:val="28"/>
          <w:szCs w:val="28"/>
        </w:rPr>
        <w:t xml:space="preserve">de los </w:t>
      </w:r>
      <w:r w:rsidRPr="00CB543A">
        <w:rPr>
          <w:rFonts w:ascii="Times New Roman" w:hAnsi="Times New Roman" w:cs="Times New Roman"/>
          <w:bCs/>
          <w:sz w:val="28"/>
          <w:szCs w:val="28"/>
        </w:rPr>
        <w:t>principio</w:t>
      </w:r>
      <w:r w:rsidR="00A32CAC" w:rsidRPr="00CB543A">
        <w:rPr>
          <w:rFonts w:ascii="Times New Roman" w:hAnsi="Times New Roman" w:cs="Times New Roman"/>
          <w:bCs/>
          <w:sz w:val="28"/>
          <w:szCs w:val="28"/>
        </w:rPr>
        <w:t>s</w:t>
      </w:r>
      <w:r w:rsidRPr="00CB543A">
        <w:rPr>
          <w:rFonts w:ascii="Times New Roman" w:hAnsi="Times New Roman" w:cs="Times New Roman"/>
          <w:bCs/>
          <w:sz w:val="28"/>
          <w:szCs w:val="28"/>
        </w:rPr>
        <w:t xml:space="preserve"> de autonomía </w:t>
      </w:r>
      <w:r w:rsidR="00A32CAC" w:rsidRPr="00CB543A">
        <w:rPr>
          <w:rFonts w:ascii="Times New Roman" w:hAnsi="Times New Roman" w:cs="Times New Roman"/>
          <w:bCs/>
          <w:sz w:val="28"/>
          <w:szCs w:val="28"/>
        </w:rPr>
        <w:t xml:space="preserve">e independencia </w:t>
      </w:r>
      <w:r w:rsidRPr="00CB543A">
        <w:rPr>
          <w:rFonts w:ascii="Times New Roman" w:hAnsi="Times New Roman" w:cs="Times New Roman"/>
          <w:bCs/>
          <w:sz w:val="28"/>
          <w:szCs w:val="28"/>
        </w:rPr>
        <w:t>judicial y</w:t>
      </w:r>
      <w:r w:rsidR="00A32CAC" w:rsidRPr="00CB543A">
        <w:rPr>
          <w:rFonts w:ascii="Times New Roman" w:hAnsi="Times New Roman" w:cs="Times New Roman"/>
          <w:bCs/>
          <w:sz w:val="28"/>
          <w:szCs w:val="28"/>
        </w:rPr>
        <w:t>, de</w:t>
      </w:r>
      <w:r w:rsidRPr="00CB543A">
        <w:rPr>
          <w:rFonts w:ascii="Times New Roman" w:hAnsi="Times New Roman" w:cs="Times New Roman"/>
          <w:bCs/>
          <w:sz w:val="28"/>
          <w:szCs w:val="28"/>
        </w:rPr>
        <w:t xml:space="preserve"> otro, la desnaturalización del incidente</w:t>
      </w:r>
      <w:r w:rsidR="00A32CAC" w:rsidRPr="00CB543A">
        <w:rPr>
          <w:rFonts w:ascii="Times New Roman" w:hAnsi="Times New Roman" w:cs="Times New Roman"/>
          <w:color w:val="auto"/>
          <w:sz w:val="28"/>
          <w:szCs w:val="28"/>
          <w:vertAlign w:val="superscript"/>
          <w:lang w:val="es-ES" w:eastAsia="es-ES_tradnl"/>
        </w:rPr>
        <w:footnoteReference w:id="56"/>
      </w:r>
      <w:r w:rsidRPr="00CB543A">
        <w:rPr>
          <w:rFonts w:ascii="Times New Roman" w:hAnsi="Times New Roman" w:cs="Times New Roman"/>
          <w:bCs/>
          <w:sz w:val="28"/>
          <w:szCs w:val="28"/>
        </w:rPr>
        <w:t>.</w:t>
      </w:r>
      <w:r w:rsidR="00031012" w:rsidRPr="00CB543A">
        <w:rPr>
          <w:rFonts w:ascii="Times New Roman" w:hAnsi="Times New Roman" w:cs="Times New Roman"/>
          <w:bCs/>
          <w:sz w:val="28"/>
          <w:szCs w:val="28"/>
        </w:rPr>
        <w:t xml:space="preserve"> Exigencias de </w:t>
      </w:r>
      <w:r w:rsidR="00031012" w:rsidRPr="00CB543A">
        <w:rPr>
          <w:rFonts w:ascii="Times New Roman" w:hAnsi="Times New Roman" w:cs="Times New Roman"/>
          <w:color w:val="auto"/>
          <w:sz w:val="28"/>
          <w:szCs w:val="28"/>
          <w:lang w:val="es-ES" w:eastAsia="es-ES_tradnl"/>
        </w:rPr>
        <w:t>seguridad jurídica</w:t>
      </w:r>
      <w:r w:rsidR="00031012" w:rsidRPr="00CB543A">
        <w:rPr>
          <w:rFonts w:ascii="Times New Roman" w:hAnsi="Times New Roman" w:cs="Times New Roman"/>
          <w:color w:val="auto"/>
          <w:sz w:val="28"/>
          <w:szCs w:val="28"/>
          <w:vertAlign w:val="superscript"/>
          <w:lang w:val="es-ES" w:eastAsia="es-ES_tradnl"/>
        </w:rPr>
        <w:footnoteReference w:id="57"/>
      </w:r>
      <w:r w:rsidR="00031012" w:rsidRPr="00CB543A">
        <w:rPr>
          <w:rFonts w:ascii="Times New Roman" w:hAnsi="Times New Roman" w:cs="Times New Roman"/>
          <w:color w:val="auto"/>
          <w:sz w:val="28"/>
          <w:szCs w:val="28"/>
          <w:lang w:val="es-ES" w:eastAsia="es-ES_tradnl"/>
        </w:rPr>
        <w:t xml:space="preserve"> y certeza en la aplicación del derecho, los cuales “</w:t>
      </w:r>
      <w:r w:rsidR="00031012" w:rsidRPr="00CB543A">
        <w:rPr>
          <w:rFonts w:ascii="Times New Roman" w:hAnsi="Times New Roman" w:cs="Times New Roman"/>
          <w:i/>
          <w:iCs/>
          <w:color w:val="auto"/>
          <w:sz w:val="28"/>
          <w:szCs w:val="28"/>
          <w:lang w:val="es-ES" w:eastAsia="es-ES_tradnl"/>
        </w:rPr>
        <w:t>garantiza</w:t>
      </w:r>
      <w:r w:rsidR="00031012" w:rsidRPr="00CB543A">
        <w:rPr>
          <w:rFonts w:ascii="Times New Roman" w:hAnsi="Times New Roman" w:cs="Times New Roman"/>
          <w:i/>
          <w:color w:val="auto"/>
          <w:sz w:val="28"/>
          <w:szCs w:val="28"/>
          <w:lang w:val="es-ES" w:eastAsia="es-ES_tradnl"/>
        </w:rPr>
        <w:t>[n]</w:t>
      </w:r>
      <w:r w:rsidR="00031012" w:rsidRPr="00CB543A">
        <w:rPr>
          <w:rFonts w:ascii="Times New Roman" w:hAnsi="Times New Roman" w:cs="Times New Roman"/>
          <w:i/>
          <w:iCs/>
          <w:color w:val="auto"/>
          <w:sz w:val="28"/>
          <w:szCs w:val="28"/>
          <w:lang w:val="es-ES" w:eastAsia="es-ES_tradnl"/>
        </w:rPr>
        <w:t xml:space="preserve"> a la sociedad la certeza sobre el significado y alcance de las determinaciones adoptadas por la Corte Constitucional</w:t>
      </w:r>
      <w:r w:rsidR="00031012" w:rsidRPr="00CB543A">
        <w:rPr>
          <w:rFonts w:ascii="Times New Roman" w:hAnsi="Times New Roman" w:cs="Times New Roman"/>
          <w:color w:val="auto"/>
          <w:sz w:val="28"/>
          <w:szCs w:val="28"/>
          <w:lang w:val="es-ES" w:eastAsia="es-ES_tradnl"/>
        </w:rPr>
        <w:t>”</w:t>
      </w:r>
      <w:r w:rsidR="00031012" w:rsidRPr="00CB543A">
        <w:rPr>
          <w:rFonts w:ascii="Times New Roman" w:hAnsi="Times New Roman" w:cs="Times New Roman"/>
          <w:color w:val="auto"/>
          <w:sz w:val="28"/>
          <w:szCs w:val="28"/>
          <w:vertAlign w:val="superscript"/>
          <w:lang w:val="es-ES" w:eastAsia="es-ES_tradnl"/>
        </w:rPr>
        <w:footnoteReference w:id="58"/>
      </w:r>
      <w:r w:rsidR="00031012" w:rsidRPr="00CB543A">
        <w:rPr>
          <w:rFonts w:ascii="Times New Roman" w:hAnsi="Times New Roman" w:cs="Times New Roman"/>
          <w:color w:val="auto"/>
          <w:sz w:val="28"/>
          <w:szCs w:val="28"/>
          <w:lang w:val="es-ES" w:eastAsia="es-ES_tradnl"/>
        </w:rPr>
        <w:t>, han justificado esta fundamentación.</w:t>
      </w:r>
    </w:p>
    <w:p w:rsidR="00A32CAC" w:rsidRPr="00CB543A" w:rsidRDefault="00A32CAC" w:rsidP="00CB543A">
      <w:pPr>
        <w:pStyle w:val="Prrafodelista"/>
        <w:widowControl w:val="0"/>
        <w:tabs>
          <w:tab w:val="left" w:pos="426"/>
        </w:tabs>
        <w:spacing w:after="0" w:line="240" w:lineRule="auto"/>
        <w:ind w:left="0"/>
        <w:jc w:val="both"/>
        <w:rPr>
          <w:rFonts w:ascii="Times New Roman" w:hAnsi="Times New Roman" w:cs="Times New Roman"/>
          <w:color w:val="2D2D2D"/>
          <w:sz w:val="28"/>
          <w:szCs w:val="28"/>
          <w:shd w:val="clear" w:color="auto" w:fill="FFFFFF"/>
        </w:rPr>
      </w:pPr>
    </w:p>
    <w:p w:rsidR="002B50DB" w:rsidRPr="00CB543A" w:rsidRDefault="004A138A" w:rsidP="00CB543A">
      <w:pPr>
        <w:pStyle w:val="Prrafodelista"/>
        <w:widowControl w:val="0"/>
        <w:numPr>
          <w:ilvl w:val="0"/>
          <w:numId w:val="32"/>
        </w:numPr>
        <w:tabs>
          <w:tab w:val="left" w:pos="426"/>
        </w:tabs>
        <w:spacing w:after="0" w:line="240" w:lineRule="auto"/>
        <w:ind w:left="0"/>
        <w:jc w:val="both"/>
        <w:rPr>
          <w:rFonts w:ascii="Times New Roman" w:hAnsi="Times New Roman" w:cs="Times New Roman"/>
          <w:b/>
          <w:bCs/>
          <w:sz w:val="28"/>
          <w:szCs w:val="28"/>
        </w:rPr>
      </w:pPr>
      <w:r w:rsidRPr="00CB543A">
        <w:rPr>
          <w:rFonts w:ascii="Times New Roman" w:hAnsi="Times New Roman" w:cs="Times New Roman"/>
          <w:bCs/>
          <w:sz w:val="28"/>
          <w:szCs w:val="28"/>
        </w:rPr>
        <w:t>Esta distinción resulta</w:t>
      </w:r>
      <w:r w:rsidR="002B50DB" w:rsidRPr="00CB543A">
        <w:rPr>
          <w:rFonts w:ascii="Times New Roman" w:hAnsi="Times New Roman" w:cs="Times New Roman"/>
          <w:bCs/>
          <w:sz w:val="28"/>
          <w:szCs w:val="28"/>
        </w:rPr>
        <w:t xml:space="preserve"> </w:t>
      </w:r>
      <w:r w:rsidRPr="00CB543A">
        <w:rPr>
          <w:rFonts w:ascii="Times New Roman" w:hAnsi="Times New Roman" w:cs="Times New Roman"/>
          <w:bCs/>
          <w:sz w:val="28"/>
          <w:szCs w:val="28"/>
        </w:rPr>
        <w:t xml:space="preserve">relevante </w:t>
      </w:r>
      <w:r w:rsidR="002B50DB" w:rsidRPr="00CB543A">
        <w:rPr>
          <w:rFonts w:ascii="Times New Roman" w:hAnsi="Times New Roman" w:cs="Times New Roman"/>
          <w:bCs/>
          <w:sz w:val="28"/>
          <w:szCs w:val="28"/>
        </w:rPr>
        <w:t xml:space="preserve">porque al no ser un recurso propiamente dicho o </w:t>
      </w:r>
      <w:r w:rsidR="0031102D" w:rsidRPr="00CB543A">
        <w:rPr>
          <w:rFonts w:ascii="Times New Roman" w:hAnsi="Times New Roman" w:cs="Times New Roman"/>
          <w:bCs/>
          <w:sz w:val="28"/>
          <w:szCs w:val="28"/>
        </w:rPr>
        <w:t xml:space="preserve">de </w:t>
      </w:r>
      <w:r w:rsidR="002B50DB" w:rsidRPr="00CB543A">
        <w:rPr>
          <w:rFonts w:ascii="Times New Roman" w:hAnsi="Times New Roman" w:cs="Times New Roman"/>
          <w:bCs/>
          <w:sz w:val="28"/>
          <w:szCs w:val="28"/>
        </w:rPr>
        <w:t xml:space="preserve">una instancia procesal, la decisión que se adopta </w:t>
      </w:r>
      <w:r w:rsidRPr="00CB543A">
        <w:rPr>
          <w:rFonts w:ascii="Times New Roman" w:hAnsi="Times New Roman" w:cs="Times New Roman"/>
          <w:bCs/>
          <w:sz w:val="28"/>
          <w:szCs w:val="28"/>
        </w:rPr>
        <w:t xml:space="preserve">en sede de nulidad </w:t>
      </w:r>
      <w:r w:rsidR="002B50DB" w:rsidRPr="00CB543A">
        <w:rPr>
          <w:rFonts w:ascii="Times New Roman" w:hAnsi="Times New Roman" w:cs="Times New Roman"/>
          <w:bCs/>
          <w:sz w:val="28"/>
          <w:szCs w:val="28"/>
        </w:rPr>
        <w:t xml:space="preserve">no tienen </w:t>
      </w:r>
      <w:r w:rsidRPr="00CB543A">
        <w:rPr>
          <w:rFonts w:ascii="Times New Roman" w:hAnsi="Times New Roman" w:cs="Times New Roman"/>
          <w:bCs/>
          <w:sz w:val="28"/>
          <w:szCs w:val="28"/>
        </w:rPr>
        <w:t xml:space="preserve">tales </w:t>
      </w:r>
      <w:r w:rsidR="002B50DB" w:rsidRPr="00CB543A">
        <w:rPr>
          <w:rFonts w:ascii="Times New Roman" w:hAnsi="Times New Roman" w:cs="Times New Roman"/>
          <w:bCs/>
          <w:sz w:val="28"/>
          <w:szCs w:val="28"/>
        </w:rPr>
        <w:t xml:space="preserve">efectos. </w:t>
      </w:r>
      <w:r w:rsidRPr="00CB543A">
        <w:rPr>
          <w:rFonts w:ascii="Times New Roman" w:hAnsi="Times New Roman" w:cs="Times New Roman"/>
          <w:bCs/>
          <w:sz w:val="28"/>
          <w:szCs w:val="28"/>
        </w:rPr>
        <w:t>L</w:t>
      </w:r>
      <w:r w:rsidR="002B50DB" w:rsidRPr="00CB543A">
        <w:rPr>
          <w:rFonts w:ascii="Times New Roman" w:hAnsi="Times New Roman" w:cs="Times New Roman"/>
          <w:bCs/>
          <w:sz w:val="28"/>
          <w:szCs w:val="28"/>
        </w:rPr>
        <w:t xml:space="preserve">a decisión del juez que </w:t>
      </w:r>
      <w:r w:rsidRPr="00CB543A">
        <w:rPr>
          <w:rFonts w:ascii="Times New Roman" w:hAnsi="Times New Roman" w:cs="Times New Roman"/>
          <w:bCs/>
          <w:sz w:val="28"/>
          <w:szCs w:val="28"/>
        </w:rPr>
        <w:t xml:space="preserve">resuelve un </w:t>
      </w:r>
      <w:r w:rsidR="002B50DB" w:rsidRPr="00CB543A">
        <w:rPr>
          <w:rFonts w:ascii="Times New Roman" w:hAnsi="Times New Roman" w:cs="Times New Roman"/>
          <w:bCs/>
          <w:sz w:val="28"/>
          <w:szCs w:val="28"/>
        </w:rPr>
        <w:t xml:space="preserve">recurso vincula </w:t>
      </w:r>
      <w:r w:rsidRPr="00CB543A">
        <w:rPr>
          <w:rFonts w:ascii="Times New Roman" w:hAnsi="Times New Roman" w:cs="Times New Roman"/>
          <w:bCs/>
          <w:sz w:val="28"/>
          <w:szCs w:val="28"/>
        </w:rPr>
        <w:t xml:space="preserve">al servidor judicial </w:t>
      </w:r>
      <w:r w:rsidR="002B50DB" w:rsidRPr="00CB543A">
        <w:rPr>
          <w:rFonts w:ascii="Times New Roman" w:hAnsi="Times New Roman" w:cs="Times New Roman"/>
          <w:bCs/>
          <w:sz w:val="28"/>
          <w:szCs w:val="28"/>
        </w:rPr>
        <w:t xml:space="preserve">que </w:t>
      </w:r>
      <w:r w:rsidR="00031012" w:rsidRPr="00CB543A">
        <w:rPr>
          <w:rFonts w:ascii="Times New Roman" w:hAnsi="Times New Roman" w:cs="Times New Roman"/>
          <w:bCs/>
          <w:sz w:val="28"/>
          <w:szCs w:val="28"/>
        </w:rPr>
        <w:t xml:space="preserve">hubiese proferido </w:t>
      </w:r>
      <w:r w:rsidR="002B50DB" w:rsidRPr="00CB543A">
        <w:rPr>
          <w:rFonts w:ascii="Times New Roman" w:hAnsi="Times New Roman" w:cs="Times New Roman"/>
          <w:bCs/>
          <w:sz w:val="28"/>
          <w:szCs w:val="28"/>
        </w:rPr>
        <w:t xml:space="preserve">la decisión inicial, bien para </w:t>
      </w:r>
      <w:r w:rsidR="002B50DB" w:rsidRPr="00CB543A">
        <w:rPr>
          <w:rFonts w:ascii="Times New Roman" w:hAnsi="Times New Roman" w:cs="Times New Roman"/>
          <w:bCs/>
          <w:i/>
          <w:sz w:val="28"/>
          <w:szCs w:val="28"/>
        </w:rPr>
        <w:t xml:space="preserve">“estarse a lo resuelto” </w:t>
      </w:r>
      <w:r w:rsidR="002B50DB" w:rsidRPr="00CB543A">
        <w:rPr>
          <w:rFonts w:ascii="Times New Roman" w:hAnsi="Times New Roman" w:cs="Times New Roman"/>
          <w:bCs/>
          <w:sz w:val="28"/>
          <w:szCs w:val="28"/>
        </w:rPr>
        <w:t xml:space="preserve">o para adoptar las medidas correspondientes para el cumplimiento de la decisión. En cambio, en el caso de la </w:t>
      </w:r>
      <w:r w:rsidRPr="00CB543A">
        <w:rPr>
          <w:rFonts w:ascii="Times New Roman" w:hAnsi="Times New Roman" w:cs="Times New Roman"/>
          <w:bCs/>
          <w:sz w:val="28"/>
          <w:szCs w:val="28"/>
        </w:rPr>
        <w:t xml:space="preserve">declaratoria de nulidad de las providencias </w:t>
      </w:r>
      <w:r w:rsidR="002B50DB" w:rsidRPr="00CB543A">
        <w:rPr>
          <w:rFonts w:ascii="Times New Roman" w:hAnsi="Times New Roman" w:cs="Times New Roman"/>
          <w:bCs/>
          <w:sz w:val="28"/>
          <w:szCs w:val="28"/>
        </w:rPr>
        <w:t xml:space="preserve">de esta Corte, la decisión o los argumentos de la misma no vinculan a la Sala Plena al momento de dictar la sentencia </w:t>
      </w:r>
      <w:r w:rsidR="00F759C4" w:rsidRPr="00CB543A">
        <w:rPr>
          <w:rFonts w:ascii="Times New Roman" w:hAnsi="Times New Roman" w:cs="Times New Roman"/>
          <w:bCs/>
          <w:sz w:val="28"/>
          <w:szCs w:val="28"/>
        </w:rPr>
        <w:t xml:space="preserve">sustitutiva o </w:t>
      </w:r>
      <w:r w:rsidR="002B50DB" w:rsidRPr="00CB543A">
        <w:rPr>
          <w:rFonts w:ascii="Times New Roman" w:hAnsi="Times New Roman" w:cs="Times New Roman"/>
          <w:bCs/>
          <w:sz w:val="28"/>
          <w:szCs w:val="28"/>
        </w:rPr>
        <w:t>de reemplazo; únicamente la habilita para adoptar una nueva decisión.</w:t>
      </w:r>
    </w:p>
    <w:p w:rsidR="002B50DB" w:rsidRPr="00CB543A" w:rsidRDefault="002B50DB" w:rsidP="00CB543A">
      <w:pPr>
        <w:pStyle w:val="Prrafodelista"/>
        <w:spacing w:after="0" w:line="240" w:lineRule="auto"/>
        <w:rPr>
          <w:rFonts w:ascii="Times New Roman" w:hAnsi="Times New Roman" w:cs="Times New Roman"/>
          <w:b/>
          <w:bCs/>
          <w:sz w:val="28"/>
          <w:szCs w:val="28"/>
        </w:rPr>
      </w:pPr>
    </w:p>
    <w:p w:rsidR="00E11F07" w:rsidRPr="00CB543A" w:rsidRDefault="002B50DB" w:rsidP="00CB543A">
      <w:pPr>
        <w:pStyle w:val="Prrafodelista"/>
        <w:widowControl w:val="0"/>
        <w:numPr>
          <w:ilvl w:val="0"/>
          <w:numId w:val="32"/>
        </w:numPr>
        <w:tabs>
          <w:tab w:val="left" w:pos="426"/>
        </w:tabs>
        <w:spacing w:after="0" w:line="240" w:lineRule="auto"/>
        <w:ind w:left="0"/>
        <w:jc w:val="both"/>
        <w:rPr>
          <w:rFonts w:ascii="Times New Roman" w:hAnsi="Times New Roman" w:cs="Times New Roman"/>
          <w:b/>
          <w:bCs/>
          <w:sz w:val="28"/>
          <w:szCs w:val="28"/>
        </w:rPr>
      </w:pPr>
      <w:r w:rsidRPr="00CB543A">
        <w:rPr>
          <w:rFonts w:ascii="Times New Roman" w:hAnsi="Times New Roman" w:cs="Times New Roman"/>
          <w:bCs/>
          <w:sz w:val="28"/>
          <w:szCs w:val="28"/>
        </w:rPr>
        <w:t xml:space="preserve">Por tanto, </w:t>
      </w:r>
      <w:r w:rsidR="004A138A" w:rsidRPr="00CB543A">
        <w:rPr>
          <w:rFonts w:ascii="Times New Roman" w:hAnsi="Times New Roman" w:cs="Times New Roman"/>
          <w:bCs/>
          <w:sz w:val="28"/>
          <w:szCs w:val="28"/>
        </w:rPr>
        <w:t xml:space="preserve">en el caso en concreto, </w:t>
      </w:r>
      <w:r w:rsidRPr="00CB543A">
        <w:rPr>
          <w:rFonts w:ascii="Times New Roman" w:hAnsi="Times New Roman" w:cs="Times New Roman"/>
          <w:bCs/>
          <w:sz w:val="28"/>
          <w:szCs w:val="28"/>
        </w:rPr>
        <w:t xml:space="preserve">las consideraciones expuestas </w:t>
      </w:r>
      <w:r w:rsidR="004A138A" w:rsidRPr="00CB543A">
        <w:rPr>
          <w:rFonts w:ascii="Times New Roman" w:hAnsi="Times New Roman" w:cs="Times New Roman"/>
          <w:bCs/>
          <w:sz w:val="28"/>
          <w:szCs w:val="28"/>
        </w:rPr>
        <w:t xml:space="preserve">en el Auto 144 de 2012 </w:t>
      </w:r>
      <w:r w:rsidRPr="00CB543A">
        <w:rPr>
          <w:rFonts w:ascii="Times New Roman" w:hAnsi="Times New Roman" w:cs="Times New Roman"/>
          <w:bCs/>
          <w:sz w:val="28"/>
          <w:szCs w:val="28"/>
        </w:rPr>
        <w:t xml:space="preserve">no vinculan el sentido de </w:t>
      </w:r>
      <w:r w:rsidR="004A138A" w:rsidRPr="00CB543A">
        <w:rPr>
          <w:rFonts w:ascii="Times New Roman" w:hAnsi="Times New Roman" w:cs="Times New Roman"/>
          <w:bCs/>
          <w:sz w:val="28"/>
          <w:szCs w:val="28"/>
        </w:rPr>
        <w:t xml:space="preserve">esta </w:t>
      </w:r>
      <w:r w:rsidRPr="00CB543A">
        <w:rPr>
          <w:rFonts w:ascii="Times New Roman" w:hAnsi="Times New Roman" w:cs="Times New Roman"/>
          <w:bCs/>
          <w:sz w:val="28"/>
          <w:szCs w:val="28"/>
        </w:rPr>
        <w:t xml:space="preserve">sentencia sustitutiva, por lo menos, por </w:t>
      </w:r>
      <w:r w:rsidR="0092605A" w:rsidRPr="00CB543A">
        <w:rPr>
          <w:rFonts w:ascii="Times New Roman" w:hAnsi="Times New Roman" w:cs="Times New Roman"/>
          <w:bCs/>
          <w:sz w:val="28"/>
          <w:szCs w:val="28"/>
        </w:rPr>
        <w:t>las siguientes razones</w:t>
      </w:r>
      <w:r w:rsidRPr="00CB543A">
        <w:rPr>
          <w:rFonts w:ascii="Times New Roman" w:hAnsi="Times New Roman" w:cs="Times New Roman"/>
          <w:bCs/>
          <w:sz w:val="28"/>
          <w:szCs w:val="28"/>
        </w:rPr>
        <w:t xml:space="preserve">: </w:t>
      </w:r>
      <w:r w:rsidR="0092605A" w:rsidRPr="00CB543A">
        <w:rPr>
          <w:rFonts w:ascii="Times New Roman" w:hAnsi="Times New Roman" w:cs="Times New Roman"/>
          <w:bCs/>
          <w:i/>
          <w:sz w:val="28"/>
          <w:szCs w:val="28"/>
        </w:rPr>
        <w:t>(i)</w:t>
      </w:r>
      <w:r w:rsidR="0092605A" w:rsidRPr="00CB543A">
        <w:rPr>
          <w:rFonts w:ascii="Times New Roman" w:hAnsi="Times New Roman" w:cs="Times New Roman"/>
          <w:bCs/>
          <w:sz w:val="28"/>
          <w:szCs w:val="28"/>
        </w:rPr>
        <w:t xml:space="preserve"> el objeto del trámite incidental de nulidad es diferente al de la acción de tutela; en el primero se constata la presunta configuración de una irregularidad procesal, en el segundo se resuelve</w:t>
      </w:r>
      <w:r w:rsidR="00E11F07" w:rsidRPr="00CB543A">
        <w:rPr>
          <w:rFonts w:ascii="Times New Roman" w:hAnsi="Times New Roman" w:cs="Times New Roman"/>
          <w:bCs/>
          <w:sz w:val="28"/>
          <w:szCs w:val="28"/>
        </w:rPr>
        <w:t>n</w:t>
      </w:r>
      <w:r w:rsidR="0092605A" w:rsidRPr="00CB543A">
        <w:rPr>
          <w:rFonts w:ascii="Times New Roman" w:hAnsi="Times New Roman" w:cs="Times New Roman"/>
          <w:bCs/>
          <w:sz w:val="28"/>
          <w:szCs w:val="28"/>
        </w:rPr>
        <w:t xml:space="preserve"> la</w:t>
      </w:r>
      <w:r w:rsidR="00E11F07" w:rsidRPr="00CB543A">
        <w:rPr>
          <w:rFonts w:ascii="Times New Roman" w:hAnsi="Times New Roman" w:cs="Times New Roman"/>
          <w:bCs/>
          <w:sz w:val="28"/>
          <w:szCs w:val="28"/>
        </w:rPr>
        <w:t>s pretensiones de protección de los derechos fundamentales</w:t>
      </w:r>
      <w:r w:rsidR="0092605A" w:rsidRPr="00CB543A">
        <w:rPr>
          <w:rFonts w:ascii="Times New Roman" w:hAnsi="Times New Roman" w:cs="Times New Roman"/>
          <w:bCs/>
          <w:sz w:val="28"/>
          <w:szCs w:val="28"/>
        </w:rPr>
        <w:t>.</w:t>
      </w:r>
      <w:r w:rsidRPr="00CB543A">
        <w:rPr>
          <w:rFonts w:ascii="Times New Roman" w:hAnsi="Times New Roman" w:cs="Times New Roman"/>
          <w:bCs/>
          <w:sz w:val="28"/>
          <w:szCs w:val="28"/>
        </w:rPr>
        <w:t xml:space="preserve"> </w:t>
      </w:r>
      <w:r w:rsidRPr="00CB543A">
        <w:rPr>
          <w:rFonts w:ascii="Times New Roman" w:hAnsi="Times New Roman" w:cs="Times New Roman"/>
          <w:bCs/>
          <w:i/>
          <w:sz w:val="28"/>
          <w:szCs w:val="28"/>
        </w:rPr>
        <w:t>(ii)</w:t>
      </w:r>
      <w:r w:rsidR="0092605A" w:rsidRPr="00CB543A">
        <w:rPr>
          <w:rFonts w:ascii="Times New Roman" w:hAnsi="Times New Roman" w:cs="Times New Roman"/>
          <w:bCs/>
          <w:sz w:val="28"/>
          <w:szCs w:val="28"/>
        </w:rPr>
        <w:t xml:space="preserve"> L</w:t>
      </w:r>
      <w:r w:rsidRPr="00CB543A">
        <w:rPr>
          <w:rFonts w:ascii="Times New Roman" w:hAnsi="Times New Roman" w:cs="Times New Roman"/>
          <w:bCs/>
          <w:sz w:val="28"/>
          <w:szCs w:val="28"/>
        </w:rPr>
        <w:t>a nulidad</w:t>
      </w:r>
      <w:r w:rsidR="00031012" w:rsidRPr="00CB543A">
        <w:rPr>
          <w:rFonts w:ascii="Times New Roman" w:hAnsi="Times New Roman" w:cs="Times New Roman"/>
          <w:bCs/>
          <w:sz w:val="28"/>
          <w:szCs w:val="28"/>
        </w:rPr>
        <w:t xml:space="preserve"> decretada, como consecuencia de la constatación del </w:t>
      </w:r>
      <w:r w:rsidR="00031012" w:rsidRPr="00CB543A">
        <w:rPr>
          <w:rFonts w:ascii="Times New Roman" w:hAnsi="Times New Roman" w:cs="Times New Roman"/>
          <w:bCs/>
          <w:i/>
          <w:sz w:val="28"/>
          <w:szCs w:val="28"/>
        </w:rPr>
        <w:t>presupuesto material</w:t>
      </w:r>
      <w:r w:rsidRPr="00CB543A">
        <w:rPr>
          <w:rFonts w:ascii="Times New Roman" w:hAnsi="Times New Roman" w:cs="Times New Roman"/>
          <w:bCs/>
          <w:sz w:val="28"/>
          <w:szCs w:val="28"/>
        </w:rPr>
        <w:t xml:space="preserve"> </w:t>
      </w:r>
      <w:r w:rsidR="00031012" w:rsidRPr="00CB543A">
        <w:rPr>
          <w:rFonts w:ascii="Times New Roman" w:hAnsi="Times New Roman" w:cs="Times New Roman"/>
          <w:bCs/>
          <w:sz w:val="28"/>
          <w:szCs w:val="28"/>
        </w:rPr>
        <w:t xml:space="preserve">por </w:t>
      </w:r>
      <w:r w:rsidRPr="00CB543A">
        <w:rPr>
          <w:rFonts w:ascii="Times New Roman" w:hAnsi="Times New Roman" w:cs="Times New Roman"/>
          <w:bCs/>
          <w:sz w:val="28"/>
          <w:szCs w:val="28"/>
        </w:rPr>
        <w:t xml:space="preserve">cambio </w:t>
      </w:r>
      <w:r w:rsidR="004A138A" w:rsidRPr="00CB543A">
        <w:rPr>
          <w:rFonts w:ascii="Times New Roman" w:hAnsi="Times New Roman" w:cs="Times New Roman"/>
          <w:bCs/>
          <w:sz w:val="28"/>
          <w:szCs w:val="28"/>
        </w:rPr>
        <w:t xml:space="preserve">irregular </w:t>
      </w:r>
      <w:r w:rsidRPr="00CB543A">
        <w:rPr>
          <w:rFonts w:ascii="Times New Roman" w:hAnsi="Times New Roman" w:cs="Times New Roman"/>
          <w:bCs/>
          <w:sz w:val="28"/>
          <w:szCs w:val="28"/>
        </w:rPr>
        <w:t xml:space="preserve">de </w:t>
      </w:r>
      <w:r w:rsidR="004A138A" w:rsidRPr="00CB543A">
        <w:rPr>
          <w:rFonts w:ascii="Times New Roman" w:hAnsi="Times New Roman" w:cs="Times New Roman"/>
          <w:bCs/>
          <w:sz w:val="28"/>
          <w:szCs w:val="28"/>
        </w:rPr>
        <w:t xml:space="preserve">la </w:t>
      </w:r>
      <w:r w:rsidRPr="00CB543A">
        <w:rPr>
          <w:rFonts w:ascii="Times New Roman" w:hAnsi="Times New Roman" w:cs="Times New Roman"/>
          <w:bCs/>
          <w:sz w:val="28"/>
          <w:szCs w:val="28"/>
        </w:rPr>
        <w:t>jurisprudencia</w:t>
      </w:r>
      <w:r w:rsidR="004A138A" w:rsidRPr="00CB543A">
        <w:rPr>
          <w:rFonts w:ascii="Times New Roman" w:hAnsi="Times New Roman" w:cs="Times New Roman"/>
          <w:bCs/>
          <w:sz w:val="28"/>
          <w:szCs w:val="28"/>
        </w:rPr>
        <w:t xml:space="preserve"> </w:t>
      </w:r>
      <w:r w:rsidR="00B57AA6" w:rsidRPr="00CB543A">
        <w:rPr>
          <w:rFonts w:ascii="Times New Roman" w:hAnsi="Times New Roman" w:cs="Times New Roman"/>
          <w:bCs/>
          <w:sz w:val="28"/>
          <w:szCs w:val="28"/>
        </w:rPr>
        <w:t xml:space="preserve">constitucional </w:t>
      </w:r>
      <w:r w:rsidR="004A138A" w:rsidRPr="00CB543A">
        <w:rPr>
          <w:rFonts w:ascii="Times New Roman" w:hAnsi="Times New Roman" w:cs="Times New Roman"/>
          <w:bCs/>
          <w:sz w:val="28"/>
          <w:szCs w:val="28"/>
        </w:rPr>
        <w:t>en vigor</w:t>
      </w:r>
      <w:r w:rsidR="0092605A" w:rsidRPr="00CB543A">
        <w:rPr>
          <w:rFonts w:ascii="Times New Roman" w:hAnsi="Times New Roman" w:cs="Times New Roman"/>
          <w:bCs/>
          <w:sz w:val="28"/>
          <w:szCs w:val="28"/>
        </w:rPr>
        <w:t>,</w:t>
      </w:r>
      <w:r w:rsidR="004A138A" w:rsidRPr="00CB543A">
        <w:rPr>
          <w:rFonts w:ascii="Times New Roman" w:hAnsi="Times New Roman" w:cs="Times New Roman"/>
          <w:bCs/>
          <w:sz w:val="28"/>
          <w:szCs w:val="28"/>
        </w:rPr>
        <w:t xml:space="preserve"> </w:t>
      </w:r>
      <w:r w:rsidR="00031012" w:rsidRPr="00CB543A">
        <w:rPr>
          <w:rFonts w:ascii="Times New Roman" w:hAnsi="Times New Roman" w:cs="Times New Roman"/>
          <w:bCs/>
          <w:sz w:val="28"/>
          <w:szCs w:val="28"/>
        </w:rPr>
        <w:t xml:space="preserve">habilitó a la </w:t>
      </w:r>
      <w:r w:rsidR="00E11F07" w:rsidRPr="00CB543A">
        <w:rPr>
          <w:rFonts w:ascii="Times New Roman" w:hAnsi="Times New Roman" w:cs="Times New Roman"/>
          <w:bCs/>
          <w:sz w:val="28"/>
          <w:szCs w:val="28"/>
        </w:rPr>
        <w:t xml:space="preserve">Sala Plena </w:t>
      </w:r>
      <w:r w:rsidR="00031012" w:rsidRPr="00CB543A">
        <w:rPr>
          <w:rFonts w:ascii="Times New Roman" w:hAnsi="Times New Roman" w:cs="Times New Roman"/>
          <w:bCs/>
          <w:sz w:val="28"/>
          <w:szCs w:val="28"/>
        </w:rPr>
        <w:t xml:space="preserve">para unificar </w:t>
      </w:r>
      <w:r w:rsidR="0092605A" w:rsidRPr="00CB543A">
        <w:rPr>
          <w:rFonts w:ascii="Times New Roman" w:hAnsi="Times New Roman" w:cs="Times New Roman"/>
          <w:bCs/>
          <w:sz w:val="28"/>
          <w:szCs w:val="28"/>
        </w:rPr>
        <w:t xml:space="preserve">la jurisprudencia </w:t>
      </w:r>
      <w:r w:rsidR="00031012" w:rsidRPr="00CB543A">
        <w:rPr>
          <w:rFonts w:ascii="Times New Roman" w:hAnsi="Times New Roman" w:cs="Times New Roman"/>
          <w:bCs/>
          <w:sz w:val="28"/>
          <w:szCs w:val="28"/>
        </w:rPr>
        <w:t xml:space="preserve">constitucional </w:t>
      </w:r>
      <w:r w:rsidR="0092605A" w:rsidRPr="00CB543A">
        <w:rPr>
          <w:rFonts w:ascii="Times New Roman" w:hAnsi="Times New Roman" w:cs="Times New Roman"/>
          <w:sz w:val="28"/>
          <w:szCs w:val="28"/>
        </w:rPr>
        <w:t>sobre el IBL, en los casos regulados por el régimen de transición</w:t>
      </w:r>
      <w:r w:rsidR="00E11F07" w:rsidRPr="00CB543A">
        <w:rPr>
          <w:rFonts w:ascii="Times New Roman" w:hAnsi="Times New Roman" w:cs="Times New Roman"/>
          <w:sz w:val="28"/>
          <w:szCs w:val="28"/>
        </w:rPr>
        <w:t xml:space="preserve">; por tanto, el </w:t>
      </w:r>
      <w:r w:rsidR="00E11F07" w:rsidRPr="00CB543A">
        <w:rPr>
          <w:rFonts w:ascii="Times New Roman" w:hAnsi="Times New Roman" w:cs="Times New Roman"/>
          <w:i/>
          <w:sz w:val="28"/>
          <w:szCs w:val="28"/>
        </w:rPr>
        <w:t xml:space="preserve">juez natural </w:t>
      </w:r>
      <w:r w:rsidR="00E11F07" w:rsidRPr="00CB543A">
        <w:rPr>
          <w:rFonts w:ascii="Times New Roman" w:hAnsi="Times New Roman" w:cs="Times New Roman"/>
          <w:sz w:val="28"/>
          <w:szCs w:val="28"/>
        </w:rPr>
        <w:t xml:space="preserve">para su definición es </w:t>
      </w:r>
      <w:r w:rsidR="0092605A" w:rsidRPr="00CB543A">
        <w:rPr>
          <w:rFonts w:ascii="Times New Roman" w:hAnsi="Times New Roman" w:cs="Times New Roman"/>
          <w:sz w:val="28"/>
          <w:szCs w:val="28"/>
        </w:rPr>
        <w:t xml:space="preserve">la Sala Plena </w:t>
      </w:r>
      <w:r w:rsidR="00E11F07" w:rsidRPr="00CB543A">
        <w:rPr>
          <w:rFonts w:ascii="Times New Roman" w:hAnsi="Times New Roman" w:cs="Times New Roman"/>
          <w:sz w:val="28"/>
          <w:szCs w:val="28"/>
        </w:rPr>
        <w:t xml:space="preserve">de la Corte Constitucional </w:t>
      </w:r>
      <w:r w:rsidR="0092605A" w:rsidRPr="00CB543A">
        <w:rPr>
          <w:rFonts w:ascii="Times New Roman" w:hAnsi="Times New Roman" w:cs="Times New Roman"/>
          <w:sz w:val="28"/>
          <w:szCs w:val="28"/>
        </w:rPr>
        <w:t xml:space="preserve">y no </w:t>
      </w:r>
      <w:r w:rsidR="00E11F07" w:rsidRPr="00CB543A">
        <w:rPr>
          <w:rFonts w:ascii="Times New Roman" w:hAnsi="Times New Roman" w:cs="Times New Roman"/>
          <w:sz w:val="28"/>
          <w:szCs w:val="28"/>
        </w:rPr>
        <w:t xml:space="preserve">sus </w:t>
      </w:r>
      <w:r w:rsidR="0092605A" w:rsidRPr="00CB543A">
        <w:rPr>
          <w:rFonts w:ascii="Times New Roman" w:hAnsi="Times New Roman" w:cs="Times New Roman"/>
          <w:sz w:val="28"/>
          <w:szCs w:val="28"/>
        </w:rPr>
        <w:t>Salas de Revisión.</w:t>
      </w:r>
    </w:p>
    <w:p w:rsidR="00E11F07" w:rsidRPr="00CB543A" w:rsidRDefault="00E11F07" w:rsidP="00CB543A">
      <w:pPr>
        <w:pStyle w:val="Prrafodelista"/>
        <w:spacing w:after="0" w:line="240" w:lineRule="auto"/>
        <w:rPr>
          <w:rFonts w:ascii="Times New Roman" w:hAnsi="Times New Roman" w:cs="Times New Roman"/>
          <w:sz w:val="28"/>
          <w:szCs w:val="28"/>
        </w:rPr>
      </w:pPr>
    </w:p>
    <w:p w:rsidR="0092605A" w:rsidRPr="00CB543A" w:rsidRDefault="0092605A" w:rsidP="00CB543A">
      <w:pPr>
        <w:pStyle w:val="Prrafodelista"/>
        <w:widowControl w:val="0"/>
        <w:numPr>
          <w:ilvl w:val="0"/>
          <w:numId w:val="32"/>
        </w:numPr>
        <w:tabs>
          <w:tab w:val="left" w:pos="426"/>
        </w:tabs>
        <w:spacing w:after="0" w:line="240" w:lineRule="auto"/>
        <w:ind w:left="0"/>
        <w:jc w:val="both"/>
        <w:rPr>
          <w:rFonts w:ascii="Times New Roman" w:hAnsi="Times New Roman" w:cs="Times New Roman"/>
          <w:b/>
          <w:bCs/>
          <w:sz w:val="28"/>
          <w:szCs w:val="28"/>
        </w:rPr>
      </w:pPr>
      <w:r w:rsidRPr="00CB543A">
        <w:rPr>
          <w:rFonts w:ascii="Times New Roman" w:hAnsi="Times New Roman" w:cs="Times New Roman"/>
          <w:sz w:val="28"/>
          <w:szCs w:val="28"/>
        </w:rPr>
        <w:t xml:space="preserve">En consecuencia, </w:t>
      </w:r>
      <w:r w:rsidR="00E11F07" w:rsidRPr="00CB543A">
        <w:rPr>
          <w:rFonts w:ascii="Times New Roman" w:hAnsi="Times New Roman" w:cs="Times New Roman"/>
          <w:sz w:val="28"/>
          <w:szCs w:val="28"/>
        </w:rPr>
        <w:t>el deber que impone</w:t>
      </w:r>
      <w:r w:rsidR="00242165" w:rsidRPr="00CB543A">
        <w:rPr>
          <w:rFonts w:ascii="Times New Roman" w:hAnsi="Times New Roman" w:cs="Times New Roman"/>
          <w:sz w:val="28"/>
          <w:szCs w:val="28"/>
        </w:rPr>
        <w:t xml:space="preserve"> la declaratoria de nulidad de la Sentencia T-022 de 2010, </w:t>
      </w:r>
      <w:r w:rsidR="00E11F07" w:rsidRPr="00CB543A">
        <w:rPr>
          <w:rFonts w:ascii="Times New Roman" w:hAnsi="Times New Roman" w:cs="Times New Roman"/>
          <w:sz w:val="28"/>
          <w:szCs w:val="28"/>
        </w:rPr>
        <w:t xml:space="preserve">es </w:t>
      </w:r>
      <w:r w:rsidR="00242165" w:rsidRPr="00CB543A">
        <w:rPr>
          <w:rFonts w:ascii="Times New Roman" w:hAnsi="Times New Roman" w:cs="Times New Roman"/>
          <w:sz w:val="28"/>
          <w:szCs w:val="28"/>
        </w:rPr>
        <w:t xml:space="preserve">el de unificar la jurisprudencia constitucional </w:t>
      </w:r>
      <w:r w:rsidR="000B39EF" w:rsidRPr="00CB543A">
        <w:rPr>
          <w:rFonts w:ascii="Times New Roman" w:hAnsi="Times New Roman" w:cs="Times New Roman"/>
          <w:sz w:val="28"/>
          <w:szCs w:val="28"/>
        </w:rPr>
        <w:t xml:space="preserve">(en cualquier sentido) </w:t>
      </w:r>
      <w:r w:rsidR="00E1256B" w:rsidRPr="00CB543A">
        <w:rPr>
          <w:rFonts w:ascii="Times New Roman" w:hAnsi="Times New Roman" w:cs="Times New Roman"/>
          <w:sz w:val="28"/>
          <w:szCs w:val="28"/>
        </w:rPr>
        <w:t xml:space="preserve">en cuanto a la determinación del IBL para los beneficiarios </w:t>
      </w:r>
      <w:r w:rsidR="00E1256B" w:rsidRPr="00CB543A">
        <w:rPr>
          <w:rFonts w:ascii="Times New Roman" w:hAnsi="Times New Roman" w:cs="Times New Roman"/>
          <w:sz w:val="28"/>
          <w:szCs w:val="28"/>
        </w:rPr>
        <w:lastRenderedPageBreak/>
        <w:t>del régimen de transición.</w:t>
      </w:r>
      <w:r w:rsidR="00420537" w:rsidRPr="00CB543A">
        <w:rPr>
          <w:rFonts w:ascii="Times New Roman" w:hAnsi="Times New Roman" w:cs="Times New Roman"/>
          <w:sz w:val="28"/>
          <w:szCs w:val="28"/>
        </w:rPr>
        <w:t xml:space="preserve"> Lo dicho no excluye, claro está, el deber de la Sala Plena de verificar la acreditación de los requisitos de procedibilidad de la acción en el caso concreto y de resolver los demás problemas jurídicos que se deriven del caso, en especial, </w:t>
      </w:r>
      <w:r w:rsidR="00CE6A51" w:rsidRPr="00CB543A">
        <w:rPr>
          <w:rFonts w:ascii="Times New Roman" w:hAnsi="Times New Roman" w:cs="Times New Roman"/>
          <w:sz w:val="28"/>
          <w:szCs w:val="28"/>
        </w:rPr>
        <w:t xml:space="preserve">aquel que omitió resolver la Sala de Séptima de Revisión en la sentencia antes indicada, relativo a si, </w:t>
      </w:r>
      <w:r w:rsidR="008F7B40" w:rsidRPr="00CB543A">
        <w:rPr>
          <w:rFonts w:ascii="Times New Roman" w:hAnsi="Times New Roman" w:cs="Times New Roman"/>
          <w:sz w:val="28"/>
          <w:szCs w:val="28"/>
        </w:rPr>
        <w:t>“</w:t>
      </w:r>
      <w:r w:rsidR="008F7B40" w:rsidRPr="00CB543A">
        <w:rPr>
          <w:rFonts w:ascii="Times New Roman" w:hAnsi="Times New Roman" w:cs="Times New Roman"/>
          <w:i/>
          <w:sz w:val="28"/>
          <w:szCs w:val="28"/>
        </w:rPr>
        <w:t>la Sala Laboral avaló el desconocimiento del acto propio por parte de CAPRECOM, y en este orden, consintió la revocatoria directa y unilateral del acto administrativo particular y concreto que reconoció la pensión al actor en 1997, en oposición a lo fijado en la sentencia C-835 de 2003 en la que se declaró la exequibilidad condicionada del artículo 19 de la ley 797”</w:t>
      </w:r>
      <w:r w:rsidR="008F7B40" w:rsidRPr="00CB543A">
        <w:rPr>
          <w:rFonts w:ascii="Times New Roman" w:hAnsi="Times New Roman" w:cs="Times New Roman"/>
          <w:sz w:val="28"/>
          <w:szCs w:val="28"/>
        </w:rPr>
        <w:t xml:space="preserve">, segundo cargo que consideró </w:t>
      </w:r>
      <w:r w:rsidR="005B7C9D" w:rsidRPr="00CB543A">
        <w:rPr>
          <w:rFonts w:ascii="Times New Roman" w:hAnsi="Times New Roman" w:cs="Times New Roman"/>
          <w:sz w:val="28"/>
          <w:szCs w:val="28"/>
        </w:rPr>
        <w:t>acreditado la Sala Plena, en el Auto 144 de 2012, para decretar la nulidad de la Sentencia T-022 de 2010</w:t>
      </w:r>
      <w:r w:rsidR="008F7B40" w:rsidRPr="00CB543A">
        <w:rPr>
          <w:rFonts w:ascii="Times New Roman" w:hAnsi="Times New Roman" w:cs="Times New Roman"/>
          <w:i/>
          <w:sz w:val="28"/>
          <w:szCs w:val="28"/>
        </w:rPr>
        <w:t>.</w:t>
      </w:r>
      <w:r w:rsidR="00350E44" w:rsidRPr="00CB543A">
        <w:rPr>
          <w:rFonts w:ascii="Times New Roman" w:hAnsi="Times New Roman" w:cs="Times New Roman"/>
          <w:i/>
          <w:sz w:val="28"/>
          <w:szCs w:val="28"/>
        </w:rPr>
        <w:t xml:space="preserve"> </w:t>
      </w:r>
      <w:r w:rsidR="00350E44" w:rsidRPr="00CB543A">
        <w:rPr>
          <w:rFonts w:ascii="Times New Roman" w:hAnsi="Times New Roman" w:cs="Times New Roman"/>
          <w:sz w:val="28"/>
          <w:szCs w:val="28"/>
        </w:rPr>
        <w:t xml:space="preserve">Todo lo anterior, en la medida en que la competencia </w:t>
      </w:r>
      <w:r w:rsidR="003C1EBB" w:rsidRPr="00CB543A">
        <w:rPr>
          <w:rFonts w:ascii="Times New Roman" w:hAnsi="Times New Roman" w:cs="Times New Roman"/>
          <w:sz w:val="28"/>
          <w:szCs w:val="28"/>
        </w:rPr>
        <w:t xml:space="preserve">para proferir la presente sentencia de tutela </w:t>
      </w:r>
      <w:r w:rsidR="007D5CDB" w:rsidRPr="00CB543A">
        <w:rPr>
          <w:rFonts w:ascii="Times New Roman" w:hAnsi="Times New Roman" w:cs="Times New Roman"/>
          <w:sz w:val="28"/>
          <w:szCs w:val="28"/>
        </w:rPr>
        <w:t>es plena.</w:t>
      </w:r>
    </w:p>
    <w:p w:rsidR="003F7FAF" w:rsidRPr="00CB543A" w:rsidRDefault="003F7FAF" w:rsidP="00CB543A">
      <w:pPr>
        <w:spacing w:after="0" w:line="240" w:lineRule="auto"/>
        <w:contextualSpacing/>
        <w:rPr>
          <w:rFonts w:ascii="Times New Roman" w:hAnsi="Times New Roman" w:cs="Times New Roman"/>
          <w:b/>
          <w:bCs/>
          <w:sz w:val="28"/>
          <w:szCs w:val="28"/>
        </w:rPr>
      </w:pPr>
    </w:p>
    <w:p w:rsidR="008345C3" w:rsidRPr="00CB543A" w:rsidRDefault="005A37EA" w:rsidP="00CB543A">
      <w:pPr>
        <w:widowControl w:val="0"/>
        <w:numPr>
          <w:ilvl w:val="0"/>
          <w:numId w:val="11"/>
        </w:numPr>
        <w:spacing w:after="0" w:line="240" w:lineRule="auto"/>
        <w:ind w:left="0" w:firstLine="0"/>
        <w:contextualSpacing/>
        <w:jc w:val="both"/>
        <w:rPr>
          <w:rFonts w:ascii="Times New Roman" w:hAnsi="Times New Roman" w:cs="Times New Roman"/>
          <w:b/>
          <w:sz w:val="28"/>
          <w:szCs w:val="28"/>
        </w:rPr>
      </w:pPr>
      <w:r w:rsidRPr="00CB543A">
        <w:rPr>
          <w:rFonts w:ascii="Times New Roman" w:hAnsi="Times New Roman" w:cs="Times New Roman"/>
          <w:b/>
          <w:sz w:val="28"/>
          <w:szCs w:val="28"/>
        </w:rPr>
        <w:t>Análisis del prob</w:t>
      </w:r>
      <w:r w:rsidR="004A6462" w:rsidRPr="00CB543A">
        <w:rPr>
          <w:rFonts w:ascii="Times New Roman" w:hAnsi="Times New Roman" w:cs="Times New Roman"/>
          <w:b/>
          <w:sz w:val="28"/>
          <w:szCs w:val="28"/>
        </w:rPr>
        <w:t>lema jurídico de procedibilidad</w:t>
      </w:r>
      <w:r w:rsidRPr="00CB543A">
        <w:rPr>
          <w:rFonts w:ascii="Times New Roman" w:hAnsi="Times New Roman" w:cs="Times New Roman"/>
          <w:b/>
          <w:sz w:val="28"/>
          <w:szCs w:val="28"/>
        </w:rPr>
        <w:t xml:space="preserve">, relativo a la acreditación de las exigencias de la acción </w:t>
      </w:r>
      <w:r w:rsidR="001E62EE" w:rsidRPr="00CB543A">
        <w:rPr>
          <w:rFonts w:ascii="Times New Roman" w:hAnsi="Times New Roman" w:cs="Times New Roman"/>
          <w:b/>
          <w:sz w:val="28"/>
          <w:szCs w:val="28"/>
        </w:rPr>
        <w:t xml:space="preserve">de tutela </w:t>
      </w:r>
      <w:r w:rsidRPr="00CB543A">
        <w:rPr>
          <w:rFonts w:ascii="Times New Roman" w:hAnsi="Times New Roman" w:cs="Times New Roman"/>
          <w:b/>
          <w:sz w:val="28"/>
          <w:szCs w:val="28"/>
        </w:rPr>
        <w:t>en contra de providencias judiciales de Altas Cortes</w:t>
      </w:r>
    </w:p>
    <w:p w:rsidR="008345C3" w:rsidRPr="00CB543A" w:rsidRDefault="008345C3" w:rsidP="00CB543A">
      <w:pPr>
        <w:spacing w:after="0" w:line="240" w:lineRule="auto"/>
        <w:ind w:right="51"/>
        <w:contextualSpacing/>
        <w:jc w:val="both"/>
        <w:rPr>
          <w:rFonts w:ascii="Times New Roman" w:hAnsi="Times New Roman" w:cs="Times New Roman"/>
          <w:b/>
          <w:sz w:val="28"/>
          <w:szCs w:val="28"/>
        </w:rPr>
      </w:pPr>
    </w:p>
    <w:p w:rsidR="0094427A" w:rsidRPr="00CB543A" w:rsidRDefault="0094427A" w:rsidP="00CB543A">
      <w:pPr>
        <w:pStyle w:val="Prrafodelista"/>
        <w:numPr>
          <w:ilvl w:val="0"/>
          <w:numId w:val="32"/>
        </w:numPr>
        <w:shd w:val="clear" w:color="auto" w:fill="FFFFFF"/>
        <w:tabs>
          <w:tab w:val="left" w:pos="426"/>
        </w:tabs>
        <w:spacing w:after="0" w:line="240" w:lineRule="auto"/>
        <w:ind w:left="0"/>
        <w:jc w:val="both"/>
        <w:textAlignment w:val="baseline"/>
        <w:rPr>
          <w:rFonts w:ascii="Times New Roman" w:hAnsi="Times New Roman" w:cs="Times New Roman"/>
          <w:sz w:val="28"/>
          <w:szCs w:val="28"/>
          <w:shd w:val="clear" w:color="auto" w:fill="FFFFFF"/>
        </w:rPr>
      </w:pPr>
      <w:r w:rsidRPr="00CB543A">
        <w:rPr>
          <w:rFonts w:ascii="Times New Roman" w:hAnsi="Times New Roman" w:cs="Times New Roman"/>
          <w:sz w:val="28"/>
          <w:szCs w:val="28"/>
        </w:rPr>
        <w:t>La acción de tutela fue concebida como un mecanismo de protección inmediato, oportuno y adecuado para las garantías fundamentales, frente a situaciones de amenaza o vulneración, ya fuera por la acción u omisión de las autoridades públicas, o de los particulares en casos excepcionales. De lo dispuesto por el artículo 86 de la Constitución y el Decreto 2591 de 1991 se ha considerado, pacíficamente, por esta Corte, que son requisitos para la procedencia o estudio de fondo de la acción de tutela la acreditación de legitimación en la causa, un ejercicio oportuno (inmediat</w:t>
      </w:r>
      <w:r w:rsidR="00DD4818" w:rsidRPr="00CB543A">
        <w:rPr>
          <w:rFonts w:ascii="Times New Roman" w:hAnsi="Times New Roman" w:cs="Times New Roman"/>
          <w:sz w:val="28"/>
          <w:szCs w:val="28"/>
        </w:rPr>
        <w:t>ez) y un ejercicio subsidiario.</w:t>
      </w:r>
    </w:p>
    <w:p w:rsidR="0094427A" w:rsidRPr="00CB543A" w:rsidRDefault="0094427A" w:rsidP="00CB543A">
      <w:pPr>
        <w:pStyle w:val="Prrafodelista"/>
        <w:shd w:val="clear" w:color="auto" w:fill="FFFFFF"/>
        <w:tabs>
          <w:tab w:val="left" w:pos="426"/>
        </w:tabs>
        <w:spacing w:after="0" w:line="240" w:lineRule="auto"/>
        <w:ind w:left="0"/>
        <w:jc w:val="both"/>
        <w:textAlignment w:val="baseline"/>
        <w:rPr>
          <w:rFonts w:ascii="Times New Roman" w:hAnsi="Times New Roman" w:cs="Times New Roman"/>
          <w:sz w:val="28"/>
          <w:szCs w:val="28"/>
          <w:shd w:val="clear" w:color="auto" w:fill="FFFFFF"/>
        </w:rPr>
      </w:pPr>
    </w:p>
    <w:p w:rsidR="00DD4818" w:rsidRPr="00CB543A" w:rsidRDefault="0094427A" w:rsidP="00CB543A">
      <w:pPr>
        <w:pStyle w:val="Prrafodelista"/>
        <w:numPr>
          <w:ilvl w:val="0"/>
          <w:numId w:val="32"/>
        </w:numPr>
        <w:shd w:val="clear" w:color="auto" w:fill="FFFFFF"/>
        <w:tabs>
          <w:tab w:val="left" w:pos="426"/>
        </w:tabs>
        <w:spacing w:after="0" w:line="240" w:lineRule="auto"/>
        <w:ind w:left="0"/>
        <w:jc w:val="both"/>
        <w:textAlignment w:val="baseline"/>
        <w:rPr>
          <w:rFonts w:ascii="Times New Roman" w:hAnsi="Times New Roman" w:cs="Times New Roman"/>
          <w:sz w:val="28"/>
          <w:szCs w:val="28"/>
          <w:shd w:val="clear" w:color="auto" w:fill="FFFFFF"/>
        </w:rPr>
      </w:pPr>
      <w:r w:rsidRPr="00CB543A">
        <w:rPr>
          <w:rFonts w:ascii="Times New Roman" w:hAnsi="Times New Roman" w:cs="Times New Roman"/>
          <w:sz w:val="28"/>
          <w:szCs w:val="28"/>
        </w:rPr>
        <w:t>En caso de que la acción se interponga contra una autoridad judicial, con el fin de cuestionar una providencia suya, en ejercicio de su función jurisdiccional, algunos de estos requisitos se modulan y, además, es necesario satisfacer otras condiciones que la jurisprudencia constitucional ha considerado necesarias</w:t>
      </w:r>
      <w:r w:rsidRPr="00CB543A">
        <w:rPr>
          <w:rStyle w:val="Refdenotaalpie"/>
          <w:rFonts w:ascii="Times New Roman" w:hAnsi="Times New Roman" w:cs="Times New Roman"/>
          <w:sz w:val="28"/>
          <w:szCs w:val="28"/>
        </w:rPr>
        <w:footnoteReference w:id="59"/>
      </w:r>
      <w:r w:rsidRPr="00CB543A">
        <w:rPr>
          <w:rFonts w:ascii="Times New Roman" w:hAnsi="Times New Roman" w:cs="Times New Roman"/>
          <w:sz w:val="28"/>
          <w:szCs w:val="28"/>
        </w:rPr>
        <w:t xml:space="preserve">: </w:t>
      </w:r>
      <w:r w:rsidRPr="00CB543A">
        <w:rPr>
          <w:rFonts w:ascii="Times New Roman" w:hAnsi="Times New Roman" w:cs="Times New Roman"/>
          <w:i/>
          <w:sz w:val="28"/>
          <w:szCs w:val="28"/>
          <w:shd w:val="clear" w:color="auto" w:fill="FFFFFF"/>
        </w:rPr>
        <w:t>(i)</w:t>
      </w:r>
      <w:r w:rsidRPr="00CB543A">
        <w:rPr>
          <w:rFonts w:ascii="Times New Roman" w:hAnsi="Times New Roman" w:cs="Times New Roman"/>
          <w:sz w:val="28"/>
          <w:szCs w:val="28"/>
          <w:shd w:val="clear" w:color="auto" w:fill="FFFFFF"/>
        </w:rPr>
        <w:t xml:space="preserve"> que el caso tenga relevancia constitucional, esto es, que involucre la posible vulneración de los derechos fundamentales de las partes; </w:t>
      </w:r>
      <w:r w:rsidRPr="00CB543A">
        <w:rPr>
          <w:rFonts w:ascii="Times New Roman" w:hAnsi="Times New Roman" w:cs="Times New Roman"/>
          <w:i/>
          <w:sz w:val="28"/>
          <w:szCs w:val="28"/>
          <w:shd w:val="clear" w:color="auto" w:fill="FFFFFF"/>
        </w:rPr>
        <w:t>(ii)</w:t>
      </w:r>
      <w:r w:rsidRPr="00CB543A">
        <w:rPr>
          <w:rFonts w:ascii="Times New Roman" w:hAnsi="Times New Roman" w:cs="Times New Roman"/>
          <w:sz w:val="28"/>
          <w:szCs w:val="28"/>
          <w:shd w:val="clear" w:color="auto" w:fill="FFFFFF"/>
        </w:rPr>
        <w:t xml:space="preserve"> que se cumpla con el presupuesto de subsidiariedad, es decir, que, al interior del proceso se hubiesen agotado todos los medios de defensa judiciales al alcance del afectado, salvo que se trate de evitar un perjuicio irremediable; </w:t>
      </w:r>
      <w:r w:rsidRPr="00CB543A">
        <w:rPr>
          <w:rFonts w:ascii="Times New Roman" w:hAnsi="Times New Roman" w:cs="Times New Roman"/>
          <w:i/>
          <w:sz w:val="28"/>
          <w:szCs w:val="28"/>
          <w:shd w:val="clear" w:color="auto" w:fill="FFFFFF"/>
        </w:rPr>
        <w:t>(iii)</w:t>
      </w:r>
      <w:r w:rsidRPr="00CB543A">
        <w:rPr>
          <w:rFonts w:ascii="Times New Roman" w:hAnsi="Times New Roman" w:cs="Times New Roman"/>
          <w:sz w:val="28"/>
          <w:szCs w:val="28"/>
          <w:shd w:val="clear" w:color="auto" w:fill="FFFFFF"/>
        </w:rPr>
        <w:t xml:space="preserve"> que</w:t>
      </w:r>
      <w:r w:rsidRPr="00CB543A">
        <w:rPr>
          <w:rStyle w:val="apple-converted-space"/>
          <w:rFonts w:ascii="Times New Roman" w:hAnsi="Times New Roman"/>
          <w:i/>
          <w:iCs/>
          <w:sz w:val="28"/>
          <w:szCs w:val="28"/>
          <w:bdr w:val="none" w:sz="0" w:space="0" w:color="auto" w:frame="1"/>
          <w:shd w:val="clear" w:color="auto" w:fill="FFFFFF"/>
        </w:rPr>
        <w:t> </w:t>
      </w:r>
      <w:r w:rsidRPr="00CB543A">
        <w:rPr>
          <w:rFonts w:ascii="Times New Roman" w:hAnsi="Times New Roman" w:cs="Times New Roman"/>
          <w:sz w:val="28"/>
          <w:szCs w:val="28"/>
          <w:shd w:val="clear" w:color="auto" w:fill="FFFFFF"/>
        </w:rPr>
        <w:t xml:space="preserve">se cumpla el requisito de inmediatez, esto es, que la tutela se hubiese interpuesto en un término razonable y proporcionado a partir del hecho que originó la presunta vulneración; </w:t>
      </w:r>
      <w:r w:rsidRPr="00CB543A">
        <w:rPr>
          <w:rFonts w:ascii="Times New Roman" w:hAnsi="Times New Roman" w:cs="Times New Roman"/>
          <w:i/>
          <w:sz w:val="28"/>
          <w:szCs w:val="28"/>
          <w:shd w:val="clear" w:color="auto" w:fill="FFFFFF"/>
        </w:rPr>
        <w:t>(iv)</w:t>
      </w:r>
      <w:r w:rsidRPr="00CB543A">
        <w:rPr>
          <w:rFonts w:ascii="Times New Roman" w:hAnsi="Times New Roman" w:cs="Times New Roman"/>
          <w:sz w:val="28"/>
          <w:szCs w:val="28"/>
          <w:shd w:val="clear" w:color="auto" w:fill="FFFFFF"/>
        </w:rPr>
        <w:t xml:space="preserve"> que se trate de una irregularidad procesal con un efecto decisivo en la providencia que se impugna</w:t>
      </w:r>
      <w:r w:rsidRPr="00CB543A">
        <w:rPr>
          <w:rStyle w:val="Refdenotaalpie"/>
          <w:rFonts w:ascii="Times New Roman" w:hAnsi="Times New Roman" w:cs="Times New Roman"/>
          <w:sz w:val="28"/>
          <w:szCs w:val="28"/>
          <w:shd w:val="clear" w:color="auto" w:fill="FFFFFF"/>
        </w:rPr>
        <w:footnoteReference w:id="60"/>
      </w:r>
      <w:r w:rsidRPr="00CB543A">
        <w:rPr>
          <w:rFonts w:ascii="Times New Roman" w:hAnsi="Times New Roman" w:cs="Times New Roman"/>
          <w:sz w:val="28"/>
          <w:szCs w:val="28"/>
          <w:shd w:val="clear" w:color="auto" w:fill="FFFFFF"/>
        </w:rPr>
        <w:t xml:space="preserve">; </w:t>
      </w:r>
      <w:r w:rsidRPr="00CB543A">
        <w:rPr>
          <w:rFonts w:ascii="Times New Roman" w:hAnsi="Times New Roman" w:cs="Times New Roman"/>
          <w:i/>
          <w:sz w:val="28"/>
          <w:szCs w:val="28"/>
          <w:shd w:val="clear" w:color="auto" w:fill="FFFFFF"/>
        </w:rPr>
        <w:t>(v)</w:t>
      </w:r>
      <w:r w:rsidRPr="00CB543A">
        <w:rPr>
          <w:rFonts w:ascii="Times New Roman" w:hAnsi="Times New Roman" w:cs="Times New Roman"/>
          <w:sz w:val="28"/>
          <w:szCs w:val="28"/>
          <w:shd w:val="clear" w:color="auto" w:fill="FFFFFF"/>
        </w:rPr>
        <w:t xml:space="preserve"> que el tutelante identifique, de manera razonable, los hechos que generaron la vulneración y los derechos vulnerados, así como, de haber </w:t>
      </w:r>
      <w:r w:rsidRPr="00CB543A">
        <w:rPr>
          <w:rFonts w:ascii="Times New Roman" w:hAnsi="Times New Roman" w:cs="Times New Roman"/>
          <w:sz w:val="28"/>
          <w:szCs w:val="28"/>
          <w:shd w:val="clear" w:color="auto" w:fill="FFFFFF"/>
        </w:rPr>
        <w:lastRenderedPageBreak/>
        <w:t xml:space="preserve">sido posible, la etapa en que fueron alegados </w:t>
      </w:r>
      <w:r w:rsidRPr="00CB543A">
        <w:rPr>
          <w:rFonts w:ascii="Times New Roman" w:hAnsi="Times New Roman" w:cs="Times New Roman"/>
          <w:iCs/>
          <w:sz w:val="28"/>
          <w:szCs w:val="28"/>
          <w:bdr w:val="none" w:sz="0" w:space="0" w:color="auto" w:frame="1"/>
          <w:shd w:val="clear" w:color="auto" w:fill="FFFFFF"/>
        </w:rPr>
        <w:t>en el proceso ordinario</w:t>
      </w:r>
      <w:r w:rsidRPr="00CB543A">
        <w:rPr>
          <w:rFonts w:ascii="Times New Roman" w:hAnsi="Times New Roman" w:cs="Times New Roman"/>
          <w:sz w:val="28"/>
          <w:szCs w:val="28"/>
          <w:shd w:val="clear" w:color="auto" w:fill="FFFFFF"/>
        </w:rPr>
        <w:t xml:space="preserve"> y, finalmente, </w:t>
      </w:r>
      <w:r w:rsidRPr="00CB543A">
        <w:rPr>
          <w:rFonts w:ascii="Times New Roman" w:hAnsi="Times New Roman" w:cs="Times New Roman"/>
          <w:i/>
          <w:sz w:val="28"/>
          <w:szCs w:val="28"/>
          <w:shd w:val="clear" w:color="auto" w:fill="FFFFFF"/>
        </w:rPr>
        <w:t>(vi)</w:t>
      </w:r>
      <w:r w:rsidRPr="00CB543A">
        <w:rPr>
          <w:rFonts w:ascii="Times New Roman" w:hAnsi="Times New Roman" w:cs="Times New Roman"/>
          <w:sz w:val="28"/>
          <w:szCs w:val="28"/>
          <w:shd w:val="clear" w:color="auto" w:fill="FFFFFF"/>
        </w:rPr>
        <w:t xml:space="preserve"> que la decisión judicial que se cuestione no sea de tutela</w:t>
      </w:r>
      <w:r w:rsidRPr="00CB543A">
        <w:rPr>
          <w:rStyle w:val="Refdenotaalpie"/>
          <w:rFonts w:ascii="Times New Roman" w:hAnsi="Times New Roman" w:cs="Times New Roman"/>
          <w:sz w:val="28"/>
          <w:szCs w:val="28"/>
          <w:shd w:val="clear" w:color="auto" w:fill="FFFFFF"/>
        </w:rPr>
        <w:footnoteReference w:id="61"/>
      </w:r>
      <w:r w:rsidRPr="00CB543A">
        <w:rPr>
          <w:rFonts w:ascii="Times New Roman" w:hAnsi="Times New Roman" w:cs="Times New Roman"/>
          <w:sz w:val="28"/>
          <w:szCs w:val="28"/>
          <w:shd w:val="clear" w:color="auto" w:fill="FFFFFF"/>
        </w:rPr>
        <w:t>.</w:t>
      </w:r>
      <w:r w:rsidR="001E62EE" w:rsidRPr="00CB543A">
        <w:rPr>
          <w:rFonts w:ascii="Times New Roman" w:hAnsi="Times New Roman" w:cs="Times New Roman"/>
          <w:sz w:val="28"/>
          <w:szCs w:val="28"/>
          <w:shd w:val="clear" w:color="auto" w:fill="FFFFFF"/>
        </w:rPr>
        <w:t xml:space="preserve"> </w:t>
      </w:r>
      <w:r w:rsidR="00DD4818" w:rsidRPr="00CB543A">
        <w:rPr>
          <w:rFonts w:ascii="Times New Roman" w:hAnsi="Times New Roman" w:cs="Times New Roman"/>
          <w:sz w:val="28"/>
          <w:szCs w:val="28"/>
          <w:shd w:val="clear" w:color="auto" w:fill="FFFFFF"/>
        </w:rPr>
        <w:t>A continuación se analiza la acreditación de cada una de estas exigencias.</w:t>
      </w:r>
    </w:p>
    <w:p w:rsidR="002D09B3" w:rsidRPr="00CB543A" w:rsidRDefault="002D09B3" w:rsidP="00CB543A">
      <w:pPr>
        <w:pStyle w:val="Prrafodelista"/>
        <w:shd w:val="clear" w:color="auto" w:fill="FFFFFF"/>
        <w:tabs>
          <w:tab w:val="left" w:pos="567"/>
        </w:tabs>
        <w:spacing w:after="0" w:line="240" w:lineRule="auto"/>
        <w:ind w:left="0"/>
        <w:jc w:val="both"/>
        <w:textAlignment w:val="baseline"/>
        <w:rPr>
          <w:rFonts w:ascii="Times New Roman" w:hAnsi="Times New Roman" w:cs="Times New Roman"/>
          <w:sz w:val="28"/>
          <w:szCs w:val="28"/>
          <w:shd w:val="clear" w:color="auto" w:fill="FFFFFF"/>
        </w:rPr>
      </w:pPr>
    </w:p>
    <w:p w:rsidR="0094427A" w:rsidRPr="00CB543A" w:rsidRDefault="0094427A" w:rsidP="00CB543A">
      <w:pPr>
        <w:pStyle w:val="Prrafodelista"/>
        <w:widowControl w:val="0"/>
        <w:numPr>
          <w:ilvl w:val="1"/>
          <w:numId w:val="11"/>
        </w:numPr>
        <w:spacing w:after="0" w:line="240" w:lineRule="auto"/>
        <w:ind w:left="0" w:firstLine="0"/>
        <w:jc w:val="both"/>
        <w:rPr>
          <w:rFonts w:ascii="Times New Roman" w:hAnsi="Times New Roman" w:cs="Times New Roman"/>
          <w:b/>
          <w:sz w:val="28"/>
          <w:szCs w:val="28"/>
        </w:rPr>
      </w:pPr>
      <w:r w:rsidRPr="00CB543A">
        <w:rPr>
          <w:rFonts w:ascii="Times New Roman" w:hAnsi="Times New Roman" w:cs="Times New Roman"/>
          <w:b/>
          <w:sz w:val="28"/>
          <w:szCs w:val="28"/>
        </w:rPr>
        <w:t>Legitimación en la causa</w:t>
      </w:r>
    </w:p>
    <w:p w:rsidR="0094427A" w:rsidRPr="00CB543A" w:rsidRDefault="0094427A" w:rsidP="00CB543A">
      <w:pPr>
        <w:spacing w:after="0" w:line="240" w:lineRule="auto"/>
        <w:jc w:val="both"/>
        <w:rPr>
          <w:rFonts w:ascii="Times New Roman" w:hAnsi="Times New Roman" w:cs="Times New Roman"/>
          <w:iCs/>
          <w:sz w:val="28"/>
          <w:szCs w:val="28"/>
          <w:bdr w:val="none" w:sz="0" w:space="0" w:color="auto" w:frame="1"/>
          <w:shd w:val="clear" w:color="auto" w:fill="FFFFFF"/>
        </w:rPr>
      </w:pPr>
    </w:p>
    <w:p w:rsidR="0094427A" w:rsidRPr="00CB543A" w:rsidRDefault="0094427A" w:rsidP="00CB543A">
      <w:pPr>
        <w:pStyle w:val="Prrafodelista"/>
        <w:numPr>
          <w:ilvl w:val="0"/>
          <w:numId w:val="32"/>
        </w:numPr>
        <w:tabs>
          <w:tab w:val="left" w:pos="426"/>
        </w:tabs>
        <w:spacing w:after="0" w:line="240" w:lineRule="auto"/>
        <w:ind w:left="0"/>
        <w:jc w:val="both"/>
        <w:rPr>
          <w:rFonts w:ascii="Times New Roman" w:hAnsi="Times New Roman" w:cs="Times New Roman"/>
          <w:b/>
          <w:sz w:val="28"/>
          <w:szCs w:val="28"/>
          <w:shd w:val="clear" w:color="auto" w:fill="FFFFFF"/>
        </w:rPr>
      </w:pPr>
      <w:r w:rsidRPr="00CB543A">
        <w:rPr>
          <w:rFonts w:ascii="Times New Roman" w:hAnsi="Times New Roman" w:cs="Times New Roman"/>
          <w:iCs/>
          <w:sz w:val="28"/>
          <w:szCs w:val="28"/>
          <w:bdr w:val="none" w:sz="0" w:space="0" w:color="auto" w:frame="1"/>
          <w:shd w:val="clear" w:color="auto" w:fill="FFFFFF"/>
        </w:rPr>
        <w:t xml:space="preserve"> En el presente caso, se cumplen los requisitos de legitimación en la causa tanto por activa como por pasiva</w:t>
      </w:r>
      <w:r w:rsidRPr="00CB543A">
        <w:rPr>
          <w:rFonts w:ascii="Times New Roman" w:hAnsi="Times New Roman" w:cs="Times New Roman"/>
          <w:sz w:val="28"/>
          <w:szCs w:val="28"/>
          <w:vertAlign w:val="superscript"/>
        </w:rPr>
        <w:footnoteReference w:id="62"/>
      </w:r>
      <w:r w:rsidRPr="00CB543A">
        <w:rPr>
          <w:rFonts w:ascii="Times New Roman" w:hAnsi="Times New Roman" w:cs="Times New Roman"/>
          <w:iCs/>
          <w:sz w:val="28"/>
          <w:szCs w:val="28"/>
          <w:bdr w:val="none" w:sz="0" w:space="0" w:color="auto" w:frame="1"/>
          <w:shd w:val="clear" w:color="auto" w:fill="FFFFFF"/>
        </w:rPr>
        <w:t xml:space="preserve">. Por una parte, el tutelante conformó la parte actora en el proceso ordinario laboral que concluyó con la sentencia que cuestiona. De otra parte, </w:t>
      </w:r>
      <w:r w:rsidRPr="00CB543A">
        <w:rPr>
          <w:rFonts w:ascii="Times New Roman" w:hAnsi="Times New Roman" w:cs="Times New Roman"/>
          <w:sz w:val="28"/>
          <w:szCs w:val="28"/>
        </w:rPr>
        <w:t>la acción se interpuso en contra de la Sala</w:t>
      </w:r>
      <w:r w:rsidR="004413AF" w:rsidRPr="00CB543A">
        <w:rPr>
          <w:rFonts w:ascii="Times New Roman" w:hAnsi="Times New Roman" w:cs="Times New Roman"/>
          <w:sz w:val="28"/>
          <w:szCs w:val="28"/>
        </w:rPr>
        <w:t xml:space="preserve"> de Casación </w:t>
      </w:r>
      <w:r w:rsidRPr="00CB543A">
        <w:rPr>
          <w:rFonts w:ascii="Times New Roman" w:hAnsi="Times New Roman" w:cs="Times New Roman"/>
          <w:sz w:val="28"/>
          <w:szCs w:val="28"/>
        </w:rPr>
        <w:t>Laboral</w:t>
      </w:r>
      <w:r w:rsidR="004413AF" w:rsidRPr="00CB543A">
        <w:rPr>
          <w:rFonts w:ascii="Times New Roman" w:hAnsi="Times New Roman" w:cs="Times New Roman"/>
          <w:sz w:val="28"/>
          <w:szCs w:val="28"/>
        </w:rPr>
        <w:t xml:space="preserve"> de </w:t>
      </w:r>
      <w:r w:rsidRPr="00CB543A">
        <w:rPr>
          <w:rFonts w:ascii="Times New Roman" w:hAnsi="Times New Roman" w:cs="Times New Roman"/>
          <w:sz w:val="28"/>
          <w:szCs w:val="28"/>
        </w:rPr>
        <w:t xml:space="preserve">la Corte Suprema de Justicia, que </w:t>
      </w:r>
      <w:r w:rsidR="004413AF" w:rsidRPr="00CB543A">
        <w:rPr>
          <w:rFonts w:ascii="Times New Roman" w:hAnsi="Times New Roman" w:cs="Times New Roman"/>
          <w:sz w:val="28"/>
          <w:szCs w:val="28"/>
        </w:rPr>
        <w:t xml:space="preserve">el día </w:t>
      </w:r>
      <w:r w:rsidRPr="00CB543A">
        <w:rPr>
          <w:rFonts w:ascii="Times New Roman" w:hAnsi="Times New Roman" w:cs="Times New Roman"/>
          <w:sz w:val="28"/>
          <w:szCs w:val="28"/>
        </w:rPr>
        <w:t>11 de noviembre de 2008, emiti</w:t>
      </w:r>
      <w:r w:rsidR="004413AF" w:rsidRPr="00CB543A">
        <w:rPr>
          <w:rFonts w:ascii="Times New Roman" w:hAnsi="Times New Roman" w:cs="Times New Roman"/>
          <w:sz w:val="28"/>
          <w:szCs w:val="28"/>
        </w:rPr>
        <w:t xml:space="preserve">ó </w:t>
      </w:r>
      <w:r w:rsidRPr="00CB543A">
        <w:rPr>
          <w:rFonts w:ascii="Times New Roman" w:hAnsi="Times New Roman" w:cs="Times New Roman"/>
          <w:sz w:val="28"/>
          <w:szCs w:val="28"/>
        </w:rPr>
        <w:t xml:space="preserve">la </w:t>
      </w:r>
      <w:r w:rsidR="004413AF" w:rsidRPr="00CB543A">
        <w:rPr>
          <w:rFonts w:ascii="Times New Roman" w:hAnsi="Times New Roman" w:cs="Times New Roman"/>
          <w:sz w:val="28"/>
          <w:szCs w:val="28"/>
        </w:rPr>
        <w:t xml:space="preserve">providencia judicial </w:t>
      </w:r>
      <w:r w:rsidRPr="00CB543A">
        <w:rPr>
          <w:rFonts w:ascii="Times New Roman" w:hAnsi="Times New Roman" w:cs="Times New Roman"/>
          <w:sz w:val="28"/>
          <w:szCs w:val="28"/>
        </w:rPr>
        <w:t>objeto de conocimiento en sede de tutela</w:t>
      </w:r>
      <w:r w:rsidRPr="00CB543A">
        <w:rPr>
          <w:rFonts w:ascii="Times New Roman" w:hAnsi="Times New Roman" w:cs="Times New Roman"/>
          <w:i/>
          <w:iCs/>
          <w:sz w:val="28"/>
          <w:szCs w:val="28"/>
          <w:bdr w:val="none" w:sz="0" w:space="0" w:color="auto" w:frame="1"/>
        </w:rPr>
        <w:t>.</w:t>
      </w:r>
    </w:p>
    <w:p w:rsidR="0094427A" w:rsidRPr="00CB543A" w:rsidRDefault="0094427A" w:rsidP="00CB543A">
      <w:pPr>
        <w:pStyle w:val="NormalWeb"/>
        <w:tabs>
          <w:tab w:val="left" w:pos="426"/>
        </w:tabs>
        <w:spacing w:before="0" w:beforeAutospacing="0" w:after="0" w:afterAutospacing="0"/>
        <w:jc w:val="both"/>
        <w:rPr>
          <w:color w:val="000000"/>
          <w:sz w:val="28"/>
          <w:szCs w:val="28"/>
          <w:shd w:val="clear" w:color="auto" w:fill="FFFFFF"/>
        </w:rPr>
      </w:pPr>
    </w:p>
    <w:p w:rsidR="0094427A" w:rsidRPr="00CB543A" w:rsidRDefault="0094427A" w:rsidP="00CB543A">
      <w:pPr>
        <w:pStyle w:val="Prrafodelista"/>
        <w:widowControl w:val="0"/>
        <w:numPr>
          <w:ilvl w:val="1"/>
          <w:numId w:val="11"/>
        </w:numPr>
        <w:spacing w:after="0" w:line="240" w:lineRule="auto"/>
        <w:ind w:left="0" w:firstLine="0"/>
        <w:jc w:val="both"/>
        <w:rPr>
          <w:rFonts w:ascii="Times New Roman" w:hAnsi="Times New Roman" w:cs="Times New Roman"/>
          <w:b/>
          <w:sz w:val="28"/>
          <w:szCs w:val="28"/>
        </w:rPr>
      </w:pPr>
      <w:r w:rsidRPr="00CB543A">
        <w:rPr>
          <w:rFonts w:ascii="Times New Roman" w:hAnsi="Times New Roman" w:cs="Times New Roman"/>
          <w:b/>
          <w:sz w:val="28"/>
          <w:szCs w:val="28"/>
        </w:rPr>
        <w:t>Relevancia constitucional del caso</w:t>
      </w:r>
    </w:p>
    <w:p w:rsidR="0094427A" w:rsidRPr="00CB543A" w:rsidRDefault="0094427A" w:rsidP="00CB543A">
      <w:pPr>
        <w:pStyle w:val="NormalWeb"/>
        <w:spacing w:before="0" w:beforeAutospacing="0" w:after="0" w:afterAutospacing="0"/>
        <w:jc w:val="both"/>
        <w:rPr>
          <w:color w:val="000000"/>
          <w:sz w:val="28"/>
          <w:szCs w:val="28"/>
          <w:shd w:val="clear" w:color="auto" w:fill="FFFFFF"/>
        </w:rPr>
      </w:pPr>
    </w:p>
    <w:p w:rsidR="0094427A" w:rsidRPr="00CB543A" w:rsidRDefault="0094427A" w:rsidP="00CB543A">
      <w:pPr>
        <w:pStyle w:val="NormalWeb"/>
        <w:numPr>
          <w:ilvl w:val="0"/>
          <w:numId w:val="32"/>
        </w:numPr>
        <w:tabs>
          <w:tab w:val="left" w:pos="426"/>
        </w:tabs>
        <w:spacing w:before="0" w:beforeAutospacing="0" w:after="0" w:afterAutospacing="0"/>
        <w:jc w:val="both"/>
        <w:rPr>
          <w:color w:val="000000"/>
          <w:sz w:val="28"/>
          <w:szCs w:val="28"/>
          <w:shd w:val="clear" w:color="auto" w:fill="FFFFFF"/>
        </w:rPr>
      </w:pPr>
      <w:r w:rsidRPr="00CB543A">
        <w:rPr>
          <w:color w:val="000000"/>
          <w:sz w:val="28"/>
          <w:szCs w:val="28"/>
          <w:shd w:val="clear" w:color="auto" w:fill="FFFFFF"/>
        </w:rPr>
        <w:t>El asunto objeto de revisión involucra la posible vulneración de los derechos fundamentales del accionante al debido proceso (artículo 29 de la Constitución Política),</w:t>
      </w:r>
      <w:r w:rsidR="00BA7D17" w:rsidRPr="00CB543A">
        <w:rPr>
          <w:color w:val="000000"/>
          <w:sz w:val="28"/>
          <w:szCs w:val="28"/>
          <w:shd w:val="clear" w:color="auto" w:fill="FFFFFF"/>
        </w:rPr>
        <w:t xml:space="preserve"> la igualdad (artículo 13 </w:t>
      </w:r>
      <w:r w:rsidR="00BA7D17" w:rsidRPr="00CB543A">
        <w:rPr>
          <w:i/>
          <w:color w:val="000000"/>
          <w:sz w:val="28"/>
          <w:szCs w:val="28"/>
          <w:shd w:val="clear" w:color="auto" w:fill="FFFFFF"/>
        </w:rPr>
        <w:t>ibídem</w:t>
      </w:r>
      <w:r w:rsidR="00BA7D17" w:rsidRPr="00CB543A">
        <w:rPr>
          <w:color w:val="000000"/>
          <w:sz w:val="28"/>
          <w:szCs w:val="28"/>
          <w:shd w:val="clear" w:color="auto" w:fill="FFFFFF"/>
        </w:rPr>
        <w:t>),</w:t>
      </w:r>
      <w:r w:rsidRPr="00CB543A">
        <w:rPr>
          <w:color w:val="000000"/>
          <w:sz w:val="28"/>
          <w:szCs w:val="28"/>
          <w:shd w:val="clear" w:color="auto" w:fill="FFFFFF"/>
        </w:rPr>
        <w:t xml:space="preserve"> la seguridad social (artículo 48 </w:t>
      </w:r>
      <w:r w:rsidRPr="00CB543A">
        <w:rPr>
          <w:i/>
          <w:color w:val="000000"/>
          <w:sz w:val="28"/>
          <w:szCs w:val="28"/>
          <w:shd w:val="clear" w:color="auto" w:fill="FFFFFF"/>
        </w:rPr>
        <w:t>ibídem</w:t>
      </w:r>
      <w:r w:rsidRPr="00CB543A">
        <w:rPr>
          <w:color w:val="000000"/>
          <w:sz w:val="28"/>
          <w:szCs w:val="28"/>
          <w:shd w:val="clear" w:color="auto" w:fill="FFFFFF"/>
        </w:rPr>
        <w:t>) y</w:t>
      </w:r>
      <w:r w:rsidR="00BA7D17" w:rsidRPr="00CB543A">
        <w:rPr>
          <w:color w:val="000000"/>
          <w:sz w:val="28"/>
          <w:szCs w:val="28"/>
          <w:shd w:val="clear" w:color="auto" w:fill="FFFFFF"/>
        </w:rPr>
        <w:t xml:space="preserve"> la dignidad humana</w:t>
      </w:r>
      <w:r w:rsidRPr="00CB543A">
        <w:rPr>
          <w:color w:val="000000"/>
          <w:sz w:val="28"/>
          <w:szCs w:val="28"/>
          <w:shd w:val="clear" w:color="auto" w:fill="FFFFFF"/>
        </w:rPr>
        <w:t xml:space="preserve">. La presunta vulneración de estos derechos tiene origen en la sentencia proferida por </w:t>
      </w:r>
      <w:r w:rsidR="00F70D14" w:rsidRPr="00CB543A">
        <w:rPr>
          <w:sz w:val="28"/>
          <w:szCs w:val="28"/>
        </w:rPr>
        <w:t>la Sala de Casación Laboral de la Corte Suprema de Justicia</w:t>
      </w:r>
      <w:r w:rsidR="00040105" w:rsidRPr="00CB543A">
        <w:rPr>
          <w:color w:val="000000"/>
          <w:sz w:val="28"/>
          <w:szCs w:val="28"/>
          <w:shd w:val="clear" w:color="auto" w:fill="FFFFFF"/>
        </w:rPr>
        <w:t xml:space="preserve">, </w:t>
      </w:r>
      <w:r w:rsidRPr="00CB543A">
        <w:rPr>
          <w:color w:val="000000"/>
          <w:sz w:val="28"/>
          <w:szCs w:val="28"/>
          <w:shd w:val="clear" w:color="auto" w:fill="FFFFFF"/>
        </w:rPr>
        <w:t xml:space="preserve">que negó el recurso extraordinario de casación contra la decisión de segunda instancia, con fundamento en argumentos </w:t>
      </w:r>
      <w:r w:rsidR="00F70D14" w:rsidRPr="00CB543A">
        <w:rPr>
          <w:color w:val="000000"/>
          <w:sz w:val="28"/>
          <w:szCs w:val="28"/>
          <w:shd w:val="clear" w:color="auto" w:fill="FFFFFF"/>
        </w:rPr>
        <w:t xml:space="preserve">y consideraciones </w:t>
      </w:r>
      <w:r w:rsidRPr="00CB543A">
        <w:rPr>
          <w:color w:val="000000"/>
          <w:sz w:val="28"/>
          <w:szCs w:val="28"/>
          <w:shd w:val="clear" w:color="auto" w:fill="FFFFFF"/>
        </w:rPr>
        <w:t xml:space="preserve">que, según el tutelante, </w:t>
      </w:r>
      <w:r w:rsidR="00F70D14" w:rsidRPr="00CB543A">
        <w:rPr>
          <w:color w:val="000000"/>
          <w:sz w:val="28"/>
          <w:szCs w:val="28"/>
          <w:shd w:val="clear" w:color="auto" w:fill="FFFFFF"/>
        </w:rPr>
        <w:t xml:space="preserve">primero, </w:t>
      </w:r>
      <w:r w:rsidR="00040105" w:rsidRPr="00CB543A">
        <w:rPr>
          <w:color w:val="000000"/>
          <w:sz w:val="28"/>
          <w:szCs w:val="28"/>
          <w:shd w:val="clear" w:color="auto" w:fill="FFFFFF"/>
        </w:rPr>
        <w:t>desconocieron</w:t>
      </w:r>
      <w:r w:rsidR="00BA7D17" w:rsidRPr="00CB543A">
        <w:rPr>
          <w:color w:val="000000"/>
          <w:sz w:val="28"/>
          <w:szCs w:val="28"/>
          <w:shd w:val="clear" w:color="auto" w:fill="FFFFFF"/>
        </w:rPr>
        <w:t xml:space="preserve"> la jurisprudencia de las Salas de Revisión de </w:t>
      </w:r>
      <w:r w:rsidR="00F70D14" w:rsidRPr="00CB543A">
        <w:rPr>
          <w:color w:val="000000"/>
          <w:sz w:val="28"/>
          <w:szCs w:val="28"/>
          <w:shd w:val="clear" w:color="auto" w:fill="FFFFFF"/>
        </w:rPr>
        <w:t xml:space="preserve">la </w:t>
      </w:r>
      <w:r w:rsidR="00BA7D17" w:rsidRPr="00CB543A">
        <w:rPr>
          <w:color w:val="000000"/>
          <w:sz w:val="28"/>
          <w:szCs w:val="28"/>
          <w:shd w:val="clear" w:color="auto" w:fill="FFFFFF"/>
        </w:rPr>
        <w:t>Corte</w:t>
      </w:r>
      <w:r w:rsidR="00F70D14" w:rsidRPr="00CB543A">
        <w:rPr>
          <w:color w:val="000000"/>
          <w:sz w:val="28"/>
          <w:szCs w:val="28"/>
          <w:shd w:val="clear" w:color="auto" w:fill="FFFFFF"/>
        </w:rPr>
        <w:t xml:space="preserve"> </w:t>
      </w:r>
      <w:r w:rsidR="00040105" w:rsidRPr="00CB543A">
        <w:rPr>
          <w:color w:val="000000"/>
          <w:sz w:val="28"/>
          <w:szCs w:val="28"/>
          <w:shd w:val="clear" w:color="auto" w:fill="FFFFFF"/>
        </w:rPr>
        <w:t>Constitucional y, segundo, pasaron</w:t>
      </w:r>
      <w:r w:rsidR="00F70D14" w:rsidRPr="00CB543A">
        <w:rPr>
          <w:color w:val="000000"/>
          <w:sz w:val="28"/>
          <w:szCs w:val="28"/>
          <w:shd w:val="clear" w:color="auto" w:fill="FFFFFF"/>
        </w:rPr>
        <w:t xml:space="preserve"> por alto</w:t>
      </w:r>
      <w:r w:rsidR="002D6063" w:rsidRPr="00CB543A">
        <w:rPr>
          <w:color w:val="000000"/>
          <w:sz w:val="28"/>
          <w:szCs w:val="28"/>
          <w:shd w:val="clear" w:color="auto" w:fill="FFFFFF"/>
        </w:rPr>
        <w:t xml:space="preserve">, de un lado, </w:t>
      </w:r>
      <w:r w:rsidR="00F70D14" w:rsidRPr="00CB543A">
        <w:rPr>
          <w:color w:val="000000"/>
          <w:sz w:val="28"/>
          <w:szCs w:val="28"/>
          <w:shd w:val="clear" w:color="auto" w:fill="FFFFFF"/>
        </w:rPr>
        <w:t xml:space="preserve">el desconocimiento del </w:t>
      </w:r>
      <w:r w:rsidR="00F70D14" w:rsidRPr="00CB543A">
        <w:rPr>
          <w:i/>
          <w:color w:val="000000"/>
          <w:sz w:val="28"/>
          <w:szCs w:val="28"/>
          <w:shd w:val="clear" w:color="auto" w:fill="FFFFFF"/>
        </w:rPr>
        <w:t>acto propio</w:t>
      </w:r>
      <w:r w:rsidR="00F70D14" w:rsidRPr="00CB543A">
        <w:rPr>
          <w:color w:val="000000"/>
          <w:sz w:val="28"/>
          <w:szCs w:val="28"/>
          <w:shd w:val="clear" w:color="auto" w:fill="FFFFFF"/>
        </w:rPr>
        <w:t xml:space="preserve"> por parte de CAPRECOM</w:t>
      </w:r>
      <w:r w:rsidR="002D6063" w:rsidRPr="00CB543A">
        <w:rPr>
          <w:color w:val="000000"/>
          <w:sz w:val="28"/>
          <w:szCs w:val="28"/>
          <w:shd w:val="clear" w:color="auto" w:fill="FFFFFF"/>
        </w:rPr>
        <w:t xml:space="preserve"> y </w:t>
      </w:r>
      <w:r w:rsidR="00F70D14" w:rsidRPr="00CB543A">
        <w:rPr>
          <w:color w:val="000000"/>
          <w:sz w:val="28"/>
          <w:szCs w:val="28"/>
          <w:shd w:val="clear" w:color="auto" w:fill="FFFFFF"/>
        </w:rPr>
        <w:t>la imposibilidad de revocar un acto administrativo sin el consentimiento del titular de los derechos y</w:t>
      </w:r>
      <w:r w:rsidR="002D6063" w:rsidRPr="00CB543A">
        <w:rPr>
          <w:color w:val="000000"/>
          <w:sz w:val="28"/>
          <w:szCs w:val="28"/>
          <w:shd w:val="clear" w:color="auto" w:fill="FFFFFF"/>
        </w:rPr>
        <w:t>, del otro,</w:t>
      </w:r>
      <w:r w:rsidR="00F70D14" w:rsidRPr="00CB543A">
        <w:rPr>
          <w:color w:val="000000"/>
          <w:sz w:val="28"/>
          <w:szCs w:val="28"/>
          <w:shd w:val="clear" w:color="auto" w:fill="FFFFFF"/>
        </w:rPr>
        <w:t xml:space="preserve"> la aplicación de una norma declarada exequible condic</w:t>
      </w:r>
      <w:r w:rsidR="002D6063" w:rsidRPr="00CB543A">
        <w:rPr>
          <w:color w:val="000000"/>
          <w:sz w:val="28"/>
          <w:szCs w:val="28"/>
          <w:shd w:val="clear" w:color="auto" w:fill="FFFFFF"/>
        </w:rPr>
        <w:t>ionalmente mediante la sentencia C-</w:t>
      </w:r>
      <w:r w:rsidR="007E02CF" w:rsidRPr="00CB543A">
        <w:rPr>
          <w:color w:val="000000"/>
          <w:sz w:val="28"/>
          <w:szCs w:val="28"/>
          <w:shd w:val="clear" w:color="auto" w:fill="FFFFFF"/>
        </w:rPr>
        <w:t>835 del 2003.</w:t>
      </w:r>
    </w:p>
    <w:p w:rsidR="00BA7D17" w:rsidRPr="00CB543A" w:rsidRDefault="00BA7D17" w:rsidP="00CB543A">
      <w:pPr>
        <w:pStyle w:val="NormalWeb"/>
        <w:tabs>
          <w:tab w:val="left" w:pos="567"/>
        </w:tabs>
        <w:spacing w:before="0" w:beforeAutospacing="0" w:after="0" w:afterAutospacing="0"/>
        <w:jc w:val="both"/>
        <w:rPr>
          <w:color w:val="000000"/>
          <w:sz w:val="28"/>
          <w:szCs w:val="28"/>
          <w:shd w:val="clear" w:color="auto" w:fill="FFFFFF"/>
        </w:rPr>
      </w:pPr>
    </w:p>
    <w:p w:rsidR="0094427A" w:rsidRPr="00CB543A" w:rsidRDefault="0094427A" w:rsidP="00CB543A">
      <w:pPr>
        <w:widowControl w:val="0"/>
        <w:numPr>
          <w:ilvl w:val="1"/>
          <w:numId w:val="11"/>
        </w:numPr>
        <w:spacing w:after="0" w:line="240" w:lineRule="auto"/>
        <w:ind w:left="0" w:firstLine="0"/>
        <w:jc w:val="both"/>
        <w:rPr>
          <w:rFonts w:ascii="Times New Roman" w:hAnsi="Times New Roman" w:cs="Times New Roman"/>
          <w:b/>
          <w:sz w:val="28"/>
          <w:szCs w:val="28"/>
        </w:rPr>
      </w:pPr>
      <w:r w:rsidRPr="00CB543A">
        <w:rPr>
          <w:rFonts w:ascii="Times New Roman" w:hAnsi="Times New Roman" w:cs="Times New Roman"/>
          <w:b/>
          <w:sz w:val="28"/>
          <w:szCs w:val="28"/>
        </w:rPr>
        <w:t>Subsidiariedad</w:t>
      </w:r>
    </w:p>
    <w:p w:rsidR="0094427A" w:rsidRPr="00CB543A" w:rsidRDefault="0094427A" w:rsidP="00CB543A">
      <w:pPr>
        <w:pStyle w:val="NormalWeb"/>
        <w:tabs>
          <w:tab w:val="left" w:pos="567"/>
        </w:tabs>
        <w:spacing w:before="0" w:beforeAutospacing="0" w:after="0" w:afterAutospacing="0"/>
        <w:jc w:val="both"/>
        <w:rPr>
          <w:sz w:val="28"/>
          <w:szCs w:val="28"/>
        </w:rPr>
      </w:pPr>
    </w:p>
    <w:p w:rsidR="0094427A" w:rsidRPr="00CB543A" w:rsidRDefault="0094427A" w:rsidP="00CB543A">
      <w:pPr>
        <w:pStyle w:val="Prrafodelista"/>
        <w:numPr>
          <w:ilvl w:val="0"/>
          <w:numId w:val="32"/>
        </w:numPr>
        <w:shd w:val="clear" w:color="auto" w:fill="FFFFFF"/>
        <w:tabs>
          <w:tab w:val="left" w:pos="567"/>
        </w:tabs>
        <w:spacing w:after="0" w:line="240" w:lineRule="auto"/>
        <w:ind w:left="0"/>
        <w:jc w:val="both"/>
        <w:textAlignment w:val="baseline"/>
        <w:rPr>
          <w:rFonts w:ascii="Times New Roman" w:hAnsi="Times New Roman" w:cs="Times New Roman"/>
          <w:iCs/>
          <w:sz w:val="28"/>
          <w:szCs w:val="28"/>
          <w:bdr w:val="none" w:sz="0" w:space="0" w:color="auto" w:frame="1"/>
          <w:shd w:val="clear" w:color="auto" w:fill="FFFFFF"/>
        </w:rPr>
      </w:pPr>
      <w:r w:rsidRPr="00CB543A">
        <w:rPr>
          <w:rFonts w:ascii="Times New Roman" w:hAnsi="Times New Roman" w:cs="Times New Roman"/>
          <w:iCs/>
          <w:sz w:val="28"/>
          <w:szCs w:val="28"/>
          <w:bdr w:val="none" w:sz="0" w:space="0" w:color="auto" w:frame="1"/>
          <w:shd w:val="clear" w:color="auto" w:fill="FFFFFF"/>
        </w:rPr>
        <w:t xml:space="preserve">En el presente asunto se satisface el requisito de subsidiariedad de la acción de tutela, en la medida en que </w:t>
      </w:r>
      <w:r w:rsidRPr="00CB543A">
        <w:rPr>
          <w:rFonts w:ascii="Times New Roman" w:hAnsi="Times New Roman" w:cs="Times New Roman"/>
          <w:sz w:val="28"/>
          <w:szCs w:val="28"/>
        </w:rPr>
        <w:t xml:space="preserve">el accionante ha agotado, en el proceso, todos los medios ordinarios y extraordinarios de defensa, para la protección de sus derechos fundamentales. El tutelante </w:t>
      </w:r>
      <w:r w:rsidRPr="00CB543A">
        <w:rPr>
          <w:rFonts w:ascii="Times New Roman" w:hAnsi="Times New Roman" w:cs="Times New Roman"/>
          <w:iCs/>
          <w:sz w:val="28"/>
          <w:szCs w:val="28"/>
          <w:bdr w:val="none" w:sz="0" w:space="0" w:color="auto" w:frame="1"/>
          <w:shd w:val="clear" w:color="auto" w:fill="FFFFFF"/>
        </w:rPr>
        <w:t xml:space="preserve">cuestiona la sentencia del </w:t>
      </w:r>
      <w:r w:rsidR="003766E1" w:rsidRPr="00CB543A">
        <w:rPr>
          <w:rFonts w:ascii="Times New Roman" w:hAnsi="Times New Roman" w:cs="Times New Roman"/>
          <w:iCs/>
          <w:sz w:val="28"/>
          <w:szCs w:val="28"/>
          <w:bdr w:val="none" w:sz="0" w:space="0" w:color="auto" w:frame="1"/>
          <w:shd w:val="clear" w:color="auto" w:fill="FFFFFF"/>
        </w:rPr>
        <w:t>11 de noviembre de 2008</w:t>
      </w:r>
      <w:r w:rsidRPr="00CB543A">
        <w:rPr>
          <w:rFonts w:ascii="Times New Roman" w:hAnsi="Times New Roman" w:cs="Times New Roman"/>
          <w:iCs/>
          <w:sz w:val="28"/>
          <w:szCs w:val="28"/>
          <w:bdr w:val="none" w:sz="0" w:space="0" w:color="auto" w:frame="1"/>
          <w:shd w:val="clear" w:color="auto" w:fill="FFFFFF"/>
        </w:rPr>
        <w:t xml:space="preserve">, de la Sala de Casación Laboral de la Corte Suprema de Justicia, proferida dentro del proceso ordinario laboral, tramitado según lo dispuesto por el </w:t>
      </w:r>
      <w:r w:rsidRPr="00CB543A">
        <w:rPr>
          <w:rFonts w:ascii="Times New Roman" w:hAnsi="Times New Roman" w:cs="Times New Roman"/>
          <w:sz w:val="28"/>
          <w:szCs w:val="28"/>
        </w:rPr>
        <w:t>Código Procesal del Trabajo y de la Seguridad Social (CPTSS)</w:t>
      </w:r>
      <w:r w:rsidRPr="00CB543A">
        <w:rPr>
          <w:rStyle w:val="Refdenotaalpie"/>
          <w:rFonts w:ascii="Times New Roman" w:hAnsi="Times New Roman" w:cs="Times New Roman"/>
          <w:sz w:val="28"/>
          <w:szCs w:val="28"/>
        </w:rPr>
        <w:footnoteReference w:id="63"/>
      </w:r>
      <w:r w:rsidRPr="00CB543A">
        <w:rPr>
          <w:rFonts w:ascii="Times New Roman" w:hAnsi="Times New Roman" w:cs="Times New Roman"/>
          <w:sz w:val="28"/>
          <w:szCs w:val="28"/>
        </w:rPr>
        <w:t>, en contra de</w:t>
      </w:r>
      <w:r w:rsidR="003766E1" w:rsidRPr="00CB543A">
        <w:rPr>
          <w:rFonts w:ascii="Times New Roman" w:hAnsi="Times New Roman" w:cs="Times New Roman"/>
          <w:sz w:val="28"/>
          <w:szCs w:val="28"/>
        </w:rPr>
        <w:t xml:space="preserve"> </w:t>
      </w:r>
      <w:r w:rsidRPr="00CB543A">
        <w:rPr>
          <w:rFonts w:ascii="Times New Roman" w:hAnsi="Times New Roman" w:cs="Times New Roman"/>
          <w:sz w:val="28"/>
          <w:szCs w:val="28"/>
        </w:rPr>
        <w:t>l</w:t>
      </w:r>
      <w:r w:rsidR="003766E1" w:rsidRPr="00CB543A">
        <w:rPr>
          <w:rFonts w:ascii="Times New Roman" w:hAnsi="Times New Roman" w:cs="Times New Roman"/>
          <w:sz w:val="28"/>
          <w:szCs w:val="28"/>
        </w:rPr>
        <w:t>a otrora CAPRECOM</w:t>
      </w:r>
      <w:r w:rsidRPr="00CB543A">
        <w:rPr>
          <w:rFonts w:ascii="Times New Roman" w:hAnsi="Times New Roman" w:cs="Times New Roman"/>
          <w:iCs/>
          <w:sz w:val="28"/>
          <w:szCs w:val="28"/>
          <w:bdr w:val="none" w:sz="0" w:space="0" w:color="auto" w:frame="1"/>
          <w:shd w:val="clear" w:color="auto" w:fill="FFFFFF"/>
        </w:rPr>
        <w:t>. Si bien</w:t>
      </w:r>
      <w:r w:rsidR="00912028" w:rsidRPr="00CB543A">
        <w:rPr>
          <w:rFonts w:ascii="Times New Roman" w:hAnsi="Times New Roman" w:cs="Times New Roman"/>
          <w:iCs/>
          <w:sz w:val="28"/>
          <w:szCs w:val="28"/>
          <w:bdr w:val="none" w:sz="0" w:space="0" w:color="auto" w:frame="1"/>
          <w:shd w:val="clear" w:color="auto" w:fill="FFFFFF"/>
        </w:rPr>
        <w:t xml:space="preserve"> es cierto que</w:t>
      </w:r>
      <w:r w:rsidRPr="00CB543A">
        <w:rPr>
          <w:rFonts w:ascii="Times New Roman" w:hAnsi="Times New Roman" w:cs="Times New Roman"/>
          <w:iCs/>
          <w:sz w:val="28"/>
          <w:szCs w:val="28"/>
          <w:bdr w:val="none" w:sz="0" w:space="0" w:color="auto" w:frame="1"/>
          <w:shd w:val="clear" w:color="auto" w:fill="FFFFFF"/>
        </w:rPr>
        <w:t xml:space="preserve">, de conformidad con lo dispuesto por el artículo 30 de la Ley 712 de 2001, el recurso extraordinario de revisión procede contra las sentencias ejecutoriadas de la Sala Laboral de la Corte Suprema de Justicia y de las Salas Laborales de los Tribunales Superiores, </w:t>
      </w:r>
      <w:r w:rsidR="00912028" w:rsidRPr="00CB543A">
        <w:rPr>
          <w:rFonts w:ascii="Times New Roman" w:hAnsi="Times New Roman" w:cs="Times New Roman"/>
          <w:iCs/>
          <w:sz w:val="28"/>
          <w:szCs w:val="28"/>
          <w:bdr w:val="none" w:sz="0" w:space="0" w:color="auto" w:frame="1"/>
          <w:shd w:val="clear" w:color="auto" w:fill="FFFFFF"/>
        </w:rPr>
        <w:t xml:space="preserve">también lo es que </w:t>
      </w:r>
      <w:r w:rsidRPr="00CB543A">
        <w:rPr>
          <w:rFonts w:ascii="Times New Roman" w:hAnsi="Times New Roman" w:cs="Times New Roman"/>
          <w:iCs/>
          <w:sz w:val="28"/>
          <w:szCs w:val="28"/>
          <w:bdr w:val="none" w:sz="0" w:space="0" w:color="auto" w:frame="1"/>
          <w:shd w:val="clear" w:color="auto" w:fill="FFFFFF"/>
        </w:rPr>
        <w:t>en el presente asunto ninguna de las causales que ampara</w:t>
      </w:r>
      <w:r w:rsidR="00CB543A">
        <w:rPr>
          <w:rFonts w:ascii="Times New Roman" w:hAnsi="Times New Roman" w:cs="Times New Roman"/>
          <w:iCs/>
          <w:sz w:val="28"/>
          <w:szCs w:val="28"/>
          <w:bdr w:val="none" w:sz="0" w:space="0" w:color="auto" w:frame="1"/>
          <w:shd w:val="clear" w:color="auto" w:fill="FFFFFF"/>
        </w:rPr>
        <w:t xml:space="preserve"> </w:t>
      </w:r>
      <w:r w:rsidRPr="00CB543A">
        <w:rPr>
          <w:rFonts w:ascii="Times New Roman" w:hAnsi="Times New Roman" w:cs="Times New Roman"/>
          <w:iCs/>
          <w:sz w:val="28"/>
          <w:szCs w:val="28"/>
          <w:bdr w:val="none" w:sz="0" w:space="0" w:color="auto" w:frame="1"/>
          <w:shd w:val="clear" w:color="auto" w:fill="FFFFFF"/>
        </w:rPr>
        <w:t>(</w:t>
      </w:r>
      <w:r w:rsidRPr="00CB543A">
        <w:rPr>
          <w:rFonts w:ascii="Times New Roman" w:hAnsi="Times New Roman" w:cs="Times New Roman"/>
          <w:i/>
          <w:iCs/>
          <w:sz w:val="28"/>
          <w:szCs w:val="28"/>
          <w:bdr w:val="none" w:sz="0" w:space="0" w:color="auto" w:frame="1"/>
          <w:shd w:val="clear" w:color="auto" w:fill="FFFFFF"/>
        </w:rPr>
        <w:t xml:space="preserve">cfr., </w:t>
      </w:r>
      <w:r w:rsidRPr="00CB543A">
        <w:rPr>
          <w:rFonts w:ascii="Times New Roman" w:hAnsi="Times New Roman" w:cs="Times New Roman"/>
          <w:iCs/>
          <w:sz w:val="28"/>
          <w:szCs w:val="28"/>
          <w:bdr w:val="none" w:sz="0" w:space="0" w:color="auto" w:frame="1"/>
          <w:shd w:val="clear" w:color="auto" w:fill="FFFFFF"/>
        </w:rPr>
        <w:t xml:space="preserve">artículo 31 </w:t>
      </w:r>
      <w:r w:rsidRPr="00CB543A">
        <w:rPr>
          <w:rFonts w:ascii="Times New Roman" w:hAnsi="Times New Roman" w:cs="Times New Roman"/>
          <w:i/>
          <w:iCs/>
          <w:sz w:val="28"/>
          <w:szCs w:val="28"/>
          <w:bdr w:val="none" w:sz="0" w:space="0" w:color="auto" w:frame="1"/>
          <w:shd w:val="clear" w:color="auto" w:fill="FFFFFF"/>
        </w:rPr>
        <w:t>ibídem</w:t>
      </w:r>
      <w:r w:rsidRPr="00CB543A">
        <w:rPr>
          <w:rStyle w:val="Refdenotaalpie"/>
          <w:rFonts w:ascii="Times New Roman" w:hAnsi="Times New Roman" w:cs="Times New Roman"/>
          <w:iCs/>
          <w:sz w:val="28"/>
          <w:szCs w:val="28"/>
          <w:bdr w:val="none" w:sz="0" w:space="0" w:color="auto" w:frame="1"/>
          <w:shd w:val="clear" w:color="auto" w:fill="FFFFFF"/>
        </w:rPr>
        <w:footnoteReference w:id="64"/>
      </w:r>
      <w:r w:rsidRPr="00CB543A">
        <w:rPr>
          <w:rFonts w:ascii="Times New Roman" w:hAnsi="Times New Roman" w:cs="Times New Roman"/>
          <w:iCs/>
          <w:sz w:val="28"/>
          <w:szCs w:val="28"/>
          <w:bdr w:val="none" w:sz="0" w:space="0" w:color="auto" w:frame="1"/>
          <w:shd w:val="clear" w:color="auto" w:fill="FFFFFF"/>
        </w:rPr>
        <w:t xml:space="preserve">) tiene relación con las pretensiones en sede de tutela, de allí que no pueda considerarse un mecanismo </w:t>
      </w:r>
      <w:r w:rsidR="006B167B" w:rsidRPr="00CB543A">
        <w:rPr>
          <w:rFonts w:ascii="Times New Roman" w:hAnsi="Times New Roman" w:cs="Times New Roman"/>
          <w:i/>
          <w:iCs/>
          <w:sz w:val="28"/>
          <w:szCs w:val="28"/>
          <w:bdr w:val="none" w:sz="0" w:space="0" w:color="auto" w:frame="1"/>
          <w:shd w:val="clear" w:color="auto" w:fill="FFFFFF"/>
        </w:rPr>
        <w:t xml:space="preserve">existente </w:t>
      </w:r>
      <w:r w:rsidR="006B167B" w:rsidRPr="00CB543A">
        <w:rPr>
          <w:rFonts w:ascii="Times New Roman" w:hAnsi="Times New Roman" w:cs="Times New Roman"/>
          <w:iCs/>
          <w:sz w:val="28"/>
          <w:szCs w:val="28"/>
          <w:bdr w:val="none" w:sz="0" w:space="0" w:color="auto" w:frame="1"/>
          <w:shd w:val="clear" w:color="auto" w:fill="FFFFFF"/>
        </w:rPr>
        <w:t xml:space="preserve">o </w:t>
      </w:r>
      <w:r w:rsidR="006B167B" w:rsidRPr="00CB543A">
        <w:rPr>
          <w:rFonts w:ascii="Times New Roman" w:hAnsi="Times New Roman" w:cs="Times New Roman"/>
          <w:i/>
          <w:iCs/>
          <w:sz w:val="28"/>
          <w:szCs w:val="28"/>
          <w:bdr w:val="none" w:sz="0" w:space="0" w:color="auto" w:frame="1"/>
          <w:shd w:val="clear" w:color="auto" w:fill="FFFFFF"/>
        </w:rPr>
        <w:t>idóneo</w:t>
      </w:r>
      <w:r w:rsidRPr="00CB543A">
        <w:rPr>
          <w:rStyle w:val="Refdenotaalpie"/>
          <w:rFonts w:ascii="Times New Roman" w:hAnsi="Times New Roman" w:cs="Times New Roman"/>
          <w:iCs/>
          <w:sz w:val="28"/>
          <w:szCs w:val="28"/>
          <w:bdr w:val="none" w:sz="0" w:space="0" w:color="auto" w:frame="1"/>
          <w:shd w:val="clear" w:color="auto" w:fill="FFFFFF"/>
        </w:rPr>
        <w:footnoteReference w:id="65"/>
      </w:r>
      <w:r w:rsidR="00912028" w:rsidRPr="00CB543A">
        <w:rPr>
          <w:rFonts w:ascii="Times New Roman" w:hAnsi="Times New Roman" w:cs="Times New Roman"/>
          <w:iCs/>
          <w:sz w:val="28"/>
          <w:szCs w:val="28"/>
          <w:bdr w:val="none" w:sz="0" w:space="0" w:color="auto" w:frame="1"/>
          <w:shd w:val="clear" w:color="auto" w:fill="FFFFFF"/>
        </w:rPr>
        <w:t xml:space="preserve"> en el presente caso</w:t>
      </w:r>
      <w:r w:rsidRPr="00CB543A">
        <w:rPr>
          <w:rFonts w:ascii="Times New Roman" w:hAnsi="Times New Roman" w:cs="Times New Roman"/>
          <w:iCs/>
          <w:sz w:val="28"/>
          <w:szCs w:val="28"/>
          <w:bdr w:val="none" w:sz="0" w:space="0" w:color="auto" w:frame="1"/>
          <w:shd w:val="clear" w:color="auto" w:fill="FFFFFF"/>
        </w:rPr>
        <w:t>.</w:t>
      </w:r>
    </w:p>
    <w:p w:rsidR="0094427A" w:rsidRPr="00CB543A" w:rsidRDefault="0094427A" w:rsidP="00CB543A">
      <w:pPr>
        <w:shd w:val="clear" w:color="auto" w:fill="FFFFFF"/>
        <w:spacing w:after="0" w:line="240" w:lineRule="auto"/>
        <w:jc w:val="both"/>
        <w:textAlignment w:val="baseline"/>
        <w:rPr>
          <w:rFonts w:ascii="Times New Roman" w:hAnsi="Times New Roman" w:cs="Times New Roman"/>
          <w:iCs/>
          <w:sz w:val="28"/>
          <w:szCs w:val="28"/>
          <w:bdr w:val="none" w:sz="0" w:space="0" w:color="auto" w:frame="1"/>
          <w:shd w:val="clear" w:color="auto" w:fill="FFFFFF"/>
        </w:rPr>
      </w:pPr>
    </w:p>
    <w:p w:rsidR="0094427A" w:rsidRPr="00CB543A" w:rsidRDefault="0094427A" w:rsidP="00CB543A">
      <w:pPr>
        <w:widowControl w:val="0"/>
        <w:numPr>
          <w:ilvl w:val="1"/>
          <w:numId w:val="11"/>
        </w:numPr>
        <w:spacing w:after="0" w:line="240" w:lineRule="auto"/>
        <w:ind w:left="0" w:firstLine="0"/>
        <w:jc w:val="both"/>
        <w:rPr>
          <w:rFonts w:ascii="Times New Roman" w:hAnsi="Times New Roman" w:cs="Times New Roman"/>
          <w:b/>
          <w:sz w:val="28"/>
          <w:szCs w:val="28"/>
        </w:rPr>
      </w:pPr>
      <w:r w:rsidRPr="00CB543A">
        <w:rPr>
          <w:rFonts w:ascii="Times New Roman" w:hAnsi="Times New Roman" w:cs="Times New Roman"/>
          <w:b/>
          <w:sz w:val="28"/>
          <w:szCs w:val="28"/>
        </w:rPr>
        <w:t>Inmediatez</w:t>
      </w:r>
    </w:p>
    <w:p w:rsidR="0094427A" w:rsidRPr="00CB543A" w:rsidRDefault="0094427A" w:rsidP="00CB543A">
      <w:pPr>
        <w:shd w:val="clear" w:color="auto" w:fill="FFFFFF"/>
        <w:spacing w:after="0" w:line="240" w:lineRule="auto"/>
        <w:jc w:val="both"/>
        <w:textAlignment w:val="baseline"/>
        <w:rPr>
          <w:rFonts w:ascii="Times New Roman" w:hAnsi="Times New Roman" w:cs="Times New Roman"/>
          <w:iCs/>
          <w:sz w:val="28"/>
          <w:szCs w:val="28"/>
          <w:bdr w:val="none" w:sz="0" w:space="0" w:color="auto" w:frame="1"/>
          <w:shd w:val="clear" w:color="auto" w:fill="FFFFFF"/>
        </w:rPr>
      </w:pPr>
    </w:p>
    <w:p w:rsidR="0094427A" w:rsidRPr="00CB543A" w:rsidRDefault="0094427A" w:rsidP="00CB543A">
      <w:pPr>
        <w:pStyle w:val="NormalWeb"/>
        <w:numPr>
          <w:ilvl w:val="0"/>
          <w:numId w:val="32"/>
        </w:numPr>
        <w:shd w:val="clear" w:color="auto" w:fill="FFFFFF"/>
        <w:tabs>
          <w:tab w:val="left" w:pos="426"/>
          <w:tab w:val="left" w:pos="1177"/>
        </w:tabs>
        <w:spacing w:before="0" w:beforeAutospacing="0" w:after="0" w:afterAutospacing="0"/>
        <w:jc w:val="both"/>
        <w:textAlignment w:val="baseline"/>
        <w:rPr>
          <w:iCs/>
          <w:sz w:val="28"/>
          <w:szCs w:val="28"/>
          <w:bdr w:val="none" w:sz="0" w:space="0" w:color="auto" w:frame="1"/>
          <w:shd w:val="clear" w:color="auto" w:fill="FFFFFF"/>
        </w:rPr>
      </w:pPr>
      <w:r w:rsidRPr="00CB543A">
        <w:rPr>
          <w:sz w:val="28"/>
          <w:szCs w:val="28"/>
        </w:rPr>
        <w:t xml:space="preserve">En cuanto a la inmediatez, la acción se ejerció de manera oportuna, si se tiene en cuenta que entre la notificación de la última decisión judicial que se cuestiona, </w:t>
      </w:r>
      <w:r w:rsidRPr="00CB543A">
        <w:rPr>
          <w:iCs/>
          <w:sz w:val="28"/>
          <w:szCs w:val="28"/>
          <w:bdr w:val="none" w:sz="0" w:space="0" w:color="auto" w:frame="1"/>
          <w:shd w:val="clear" w:color="auto" w:fill="FFFFFF"/>
        </w:rPr>
        <w:t>adoptada por la Sala de Casación Laboral de la Corte Suprema de Justicia (</w:t>
      </w:r>
      <w:r w:rsidR="00C52306" w:rsidRPr="00CB543A">
        <w:rPr>
          <w:iCs/>
          <w:sz w:val="28"/>
          <w:szCs w:val="28"/>
          <w:bdr w:val="none" w:sz="0" w:space="0" w:color="auto" w:frame="1"/>
          <w:shd w:val="clear" w:color="auto" w:fill="FFFFFF"/>
        </w:rPr>
        <w:t xml:space="preserve">notificada mediante </w:t>
      </w:r>
      <w:r w:rsidRPr="00CB543A">
        <w:rPr>
          <w:iCs/>
          <w:sz w:val="28"/>
          <w:szCs w:val="28"/>
          <w:bdr w:val="none" w:sz="0" w:space="0" w:color="auto" w:frame="1"/>
          <w:shd w:val="clear" w:color="auto" w:fill="FFFFFF"/>
        </w:rPr>
        <w:t>edicto del 2</w:t>
      </w:r>
      <w:r w:rsidR="003766E1" w:rsidRPr="00CB543A">
        <w:rPr>
          <w:iCs/>
          <w:sz w:val="28"/>
          <w:szCs w:val="28"/>
          <w:bdr w:val="none" w:sz="0" w:space="0" w:color="auto" w:frame="1"/>
          <w:shd w:val="clear" w:color="auto" w:fill="FFFFFF"/>
        </w:rPr>
        <w:t>0</w:t>
      </w:r>
      <w:r w:rsidRPr="00CB543A">
        <w:rPr>
          <w:iCs/>
          <w:sz w:val="28"/>
          <w:szCs w:val="28"/>
          <w:bdr w:val="none" w:sz="0" w:space="0" w:color="auto" w:frame="1"/>
          <w:shd w:val="clear" w:color="auto" w:fill="FFFFFF"/>
        </w:rPr>
        <w:t xml:space="preserve"> de noviembre de 20</w:t>
      </w:r>
      <w:r w:rsidR="003766E1" w:rsidRPr="00CB543A">
        <w:rPr>
          <w:iCs/>
          <w:sz w:val="28"/>
          <w:szCs w:val="28"/>
          <w:bdr w:val="none" w:sz="0" w:space="0" w:color="auto" w:frame="1"/>
          <w:shd w:val="clear" w:color="auto" w:fill="FFFFFF"/>
        </w:rPr>
        <w:t>08</w:t>
      </w:r>
      <w:r w:rsidRPr="00CB543A">
        <w:rPr>
          <w:iCs/>
          <w:sz w:val="28"/>
          <w:szCs w:val="28"/>
          <w:bdr w:val="none" w:sz="0" w:space="0" w:color="auto" w:frame="1"/>
          <w:shd w:val="clear" w:color="auto" w:fill="FFFFFF"/>
        </w:rPr>
        <w:t>)</w:t>
      </w:r>
      <w:r w:rsidRPr="00CB543A">
        <w:rPr>
          <w:sz w:val="28"/>
          <w:szCs w:val="28"/>
        </w:rPr>
        <w:t>, y la presentación de la acción de tutela (</w:t>
      </w:r>
      <w:r w:rsidR="003766E1" w:rsidRPr="00CB543A">
        <w:rPr>
          <w:sz w:val="28"/>
          <w:szCs w:val="28"/>
        </w:rPr>
        <w:t xml:space="preserve">28 de noviembre </w:t>
      </w:r>
      <w:r w:rsidRPr="00CB543A">
        <w:rPr>
          <w:sz w:val="28"/>
          <w:szCs w:val="28"/>
        </w:rPr>
        <w:t>de 20</w:t>
      </w:r>
      <w:r w:rsidR="003766E1" w:rsidRPr="00CB543A">
        <w:rPr>
          <w:sz w:val="28"/>
          <w:szCs w:val="28"/>
        </w:rPr>
        <w:t>08</w:t>
      </w:r>
      <w:r w:rsidRPr="00CB543A">
        <w:rPr>
          <w:sz w:val="28"/>
          <w:szCs w:val="28"/>
        </w:rPr>
        <w:t xml:space="preserve">) transcurrieron </w:t>
      </w:r>
      <w:r w:rsidR="003766E1" w:rsidRPr="00CB543A">
        <w:rPr>
          <w:sz w:val="28"/>
          <w:szCs w:val="28"/>
        </w:rPr>
        <w:t>8</w:t>
      </w:r>
      <w:r w:rsidRPr="00CB543A">
        <w:rPr>
          <w:sz w:val="28"/>
          <w:szCs w:val="28"/>
        </w:rPr>
        <w:t xml:space="preserve"> días, periodo que se considera razonable, según el precedente de esta </w:t>
      </w:r>
      <w:r w:rsidR="006B167B" w:rsidRPr="00CB543A">
        <w:rPr>
          <w:sz w:val="28"/>
          <w:szCs w:val="28"/>
        </w:rPr>
        <w:t>Corte</w:t>
      </w:r>
      <w:r w:rsidRPr="00CB543A">
        <w:rPr>
          <w:sz w:val="28"/>
          <w:szCs w:val="28"/>
          <w:vertAlign w:val="superscript"/>
        </w:rPr>
        <w:footnoteReference w:id="66"/>
      </w:r>
      <w:r w:rsidR="006B167B" w:rsidRPr="00CB543A">
        <w:rPr>
          <w:sz w:val="28"/>
          <w:szCs w:val="28"/>
        </w:rPr>
        <w:t>.</w:t>
      </w:r>
    </w:p>
    <w:p w:rsidR="003766E1" w:rsidRPr="00CB543A" w:rsidRDefault="003766E1" w:rsidP="00CB543A">
      <w:pPr>
        <w:pStyle w:val="NormalWeb"/>
        <w:shd w:val="clear" w:color="auto" w:fill="FFFFFF"/>
        <w:tabs>
          <w:tab w:val="left" w:pos="567"/>
          <w:tab w:val="left" w:pos="1177"/>
        </w:tabs>
        <w:spacing w:before="0" w:beforeAutospacing="0" w:after="0" w:afterAutospacing="0"/>
        <w:jc w:val="both"/>
        <w:textAlignment w:val="baseline"/>
        <w:rPr>
          <w:iCs/>
          <w:sz w:val="28"/>
          <w:szCs w:val="28"/>
          <w:bdr w:val="none" w:sz="0" w:space="0" w:color="auto" w:frame="1"/>
          <w:shd w:val="clear" w:color="auto" w:fill="FFFFFF"/>
        </w:rPr>
      </w:pPr>
    </w:p>
    <w:p w:rsidR="00583B2D" w:rsidRPr="00CB543A" w:rsidRDefault="00583B2D" w:rsidP="00CB543A">
      <w:pPr>
        <w:pStyle w:val="NormalWeb"/>
        <w:shd w:val="clear" w:color="auto" w:fill="FFFFFF"/>
        <w:tabs>
          <w:tab w:val="left" w:pos="567"/>
          <w:tab w:val="left" w:pos="1177"/>
        </w:tabs>
        <w:spacing w:before="0" w:beforeAutospacing="0" w:after="0" w:afterAutospacing="0"/>
        <w:jc w:val="both"/>
        <w:textAlignment w:val="baseline"/>
        <w:rPr>
          <w:iCs/>
          <w:sz w:val="28"/>
          <w:szCs w:val="28"/>
          <w:bdr w:val="none" w:sz="0" w:space="0" w:color="auto" w:frame="1"/>
          <w:shd w:val="clear" w:color="auto" w:fill="FFFFFF"/>
        </w:rPr>
      </w:pPr>
    </w:p>
    <w:p w:rsidR="0094427A" w:rsidRPr="00CB543A" w:rsidRDefault="0094427A" w:rsidP="00CB543A">
      <w:pPr>
        <w:widowControl w:val="0"/>
        <w:numPr>
          <w:ilvl w:val="1"/>
          <w:numId w:val="11"/>
        </w:numPr>
        <w:spacing w:after="0" w:line="240" w:lineRule="auto"/>
        <w:ind w:left="0" w:firstLine="0"/>
        <w:jc w:val="both"/>
        <w:rPr>
          <w:rFonts w:ascii="Times New Roman" w:hAnsi="Times New Roman" w:cs="Times New Roman"/>
          <w:b/>
          <w:sz w:val="28"/>
          <w:szCs w:val="28"/>
        </w:rPr>
      </w:pPr>
      <w:r w:rsidRPr="00CB543A">
        <w:rPr>
          <w:rFonts w:ascii="Times New Roman" w:hAnsi="Times New Roman" w:cs="Times New Roman"/>
          <w:b/>
          <w:sz w:val="28"/>
          <w:szCs w:val="28"/>
        </w:rPr>
        <w:t>Carácter decisivo de la irregularidad</w:t>
      </w:r>
    </w:p>
    <w:p w:rsidR="0094427A" w:rsidRPr="00CB543A" w:rsidRDefault="0094427A" w:rsidP="00CB543A">
      <w:pPr>
        <w:shd w:val="clear" w:color="auto" w:fill="FFFFFF"/>
        <w:tabs>
          <w:tab w:val="left" w:pos="567"/>
        </w:tabs>
        <w:spacing w:after="0" w:line="240" w:lineRule="auto"/>
        <w:jc w:val="both"/>
        <w:textAlignment w:val="baseline"/>
        <w:rPr>
          <w:rFonts w:ascii="Times New Roman" w:hAnsi="Times New Roman" w:cs="Times New Roman"/>
          <w:iCs/>
          <w:sz w:val="28"/>
          <w:szCs w:val="28"/>
          <w:bdr w:val="none" w:sz="0" w:space="0" w:color="auto" w:frame="1"/>
          <w:shd w:val="clear" w:color="auto" w:fill="FFFFFF"/>
        </w:rPr>
      </w:pPr>
    </w:p>
    <w:p w:rsidR="0094427A" w:rsidRPr="00CB543A" w:rsidRDefault="0094427A" w:rsidP="00CB543A">
      <w:pPr>
        <w:pStyle w:val="Prrafodelista"/>
        <w:numPr>
          <w:ilvl w:val="0"/>
          <w:numId w:val="32"/>
        </w:numPr>
        <w:shd w:val="clear" w:color="auto" w:fill="FFFFFF"/>
        <w:tabs>
          <w:tab w:val="left" w:pos="426"/>
        </w:tabs>
        <w:spacing w:after="0" w:line="240" w:lineRule="auto"/>
        <w:ind w:left="0"/>
        <w:jc w:val="both"/>
        <w:textAlignment w:val="baseline"/>
        <w:rPr>
          <w:rFonts w:ascii="Times New Roman" w:hAnsi="Times New Roman" w:cs="Times New Roman"/>
          <w:iCs/>
          <w:sz w:val="28"/>
          <w:szCs w:val="28"/>
          <w:bdr w:val="none" w:sz="0" w:space="0" w:color="auto" w:frame="1"/>
          <w:shd w:val="clear" w:color="auto" w:fill="FFFFFF"/>
        </w:rPr>
      </w:pPr>
      <w:r w:rsidRPr="00CB543A">
        <w:rPr>
          <w:rFonts w:ascii="Times New Roman" w:hAnsi="Times New Roman" w:cs="Times New Roman"/>
          <w:iCs/>
          <w:sz w:val="28"/>
          <w:szCs w:val="28"/>
          <w:bdr w:val="none" w:sz="0" w:space="0" w:color="auto" w:frame="1"/>
          <w:shd w:val="clear" w:color="auto" w:fill="FFFFFF"/>
        </w:rPr>
        <w:t xml:space="preserve"> En el asunto que se analiza, el Tribunal </w:t>
      </w:r>
      <w:r w:rsidRPr="00CB543A">
        <w:rPr>
          <w:rFonts w:ascii="Times New Roman" w:hAnsi="Times New Roman" w:cs="Times New Roman"/>
          <w:sz w:val="28"/>
          <w:szCs w:val="28"/>
        </w:rPr>
        <w:t xml:space="preserve">Superior de </w:t>
      </w:r>
      <w:r w:rsidR="003766E1" w:rsidRPr="00CB543A">
        <w:rPr>
          <w:rFonts w:ascii="Times New Roman" w:hAnsi="Times New Roman" w:cs="Times New Roman"/>
          <w:sz w:val="28"/>
          <w:szCs w:val="28"/>
        </w:rPr>
        <w:t>Bogotá</w:t>
      </w:r>
      <w:r w:rsidRPr="00CB543A">
        <w:rPr>
          <w:rFonts w:ascii="Times New Roman" w:hAnsi="Times New Roman" w:cs="Times New Roman"/>
          <w:iCs/>
          <w:sz w:val="28"/>
          <w:szCs w:val="28"/>
          <w:bdr w:val="none" w:sz="0" w:space="0" w:color="auto" w:frame="1"/>
          <w:shd w:val="clear" w:color="auto" w:fill="FFFFFF"/>
        </w:rPr>
        <w:t xml:space="preserve"> revocó la decisión del juez de primera instancia, al considerar que </w:t>
      </w:r>
      <w:r w:rsidR="003766E1" w:rsidRPr="00CB543A">
        <w:rPr>
          <w:rFonts w:ascii="Times New Roman" w:hAnsi="Times New Roman" w:cs="Times New Roman"/>
          <w:iCs/>
          <w:sz w:val="28"/>
          <w:szCs w:val="28"/>
          <w:bdr w:val="none" w:sz="0" w:space="0" w:color="auto" w:frame="1"/>
          <w:shd w:val="clear" w:color="auto" w:fill="FFFFFF"/>
        </w:rPr>
        <w:t>la liquidación efectuada por CAPRECOM se ajustaba al ordenamiento jurídico</w:t>
      </w:r>
      <w:r w:rsidRPr="00CB543A">
        <w:rPr>
          <w:rFonts w:ascii="Times New Roman" w:hAnsi="Times New Roman" w:cs="Times New Roman"/>
          <w:iCs/>
          <w:sz w:val="28"/>
          <w:szCs w:val="28"/>
          <w:bdr w:val="none" w:sz="0" w:space="0" w:color="auto" w:frame="1"/>
          <w:shd w:val="clear" w:color="auto" w:fill="FFFFFF"/>
        </w:rPr>
        <w:t xml:space="preserve">. La </w:t>
      </w:r>
      <w:r w:rsidR="008E6581" w:rsidRPr="00CB543A">
        <w:rPr>
          <w:rFonts w:ascii="Times New Roman" w:hAnsi="Times New Roman" w:cs="Times New Roman"/>
          <w:iCs/>
          <w:sz w:val="28"/>
          <w:szCs w:val="28"/>
          <w:bdr w:val="none" w:sz="0" w:space="0" w:color="auto" w:frame="1"/>
          <w:shd w:val="clear" w:color="auto" w:fill="FFFFFF"/>
        </w:rPr>
        <w:t xml:space="preserve">Sala de Casación </w:t>
      </w:r>
      <w:r w:rsidR="006B167B" w:rsidRPr="00CB543A">
        <w:rPr>
          <w:rFonts w:ascii="Times New Roman" w:hAnsi="Times New Roman" w:cs="Times New Roman"/>
          <w:iCs/>
          <w:sz w:val="28"/>
          <w:szCs w:val="28"/>
          <w:bdr w:val="none" w:sz="0" w:space="0" w:color="auto" w:frame="1"/>
          <w:shd w:val="clear" w:color="auto" w:fill="FFFFFF"/>
        </w:rPr>
        <w:t xml:space="preserve">Laboral de la </w:t>
      </w:r>
      <w:r w:rsidRPr="00CB543A">
        <w:rPr>
          <w:rFonts w:ascii="Times New Roman" w:hAnsi="Times New Roman" w:cs="Times New Roman"/>
          <w:iCs/>
          <w:sz w:val="28"/>
          <w:szCs w:val="28"/>
          <w:bdr w:val="none" w:sz="0" w:space="0" w:color="auto" w:frame="1"/>
          <w:shd w:val="clear" w:color="auto" w:fill="FFFFFF"/>
        </w:rPr>
        <w:t xml:space="preserve">Corte Suprema de Justicia, por su parte, resolvió no casar la sentencia recurrida, al considerar que </w:t>
      </w:r>
      <w:r w:rsidR="003766E1" w:rsidRPr="00CB543A">
        <w:rPr>
          <w:rFonts w:ascii="Times New Roman" w:hAnsi="Times New Roman" w:cs="Times New Roman"/>
          <w:iCs/>
          <w:sz w:val="28"/>
          <w:szCs w:val="28"/>
          <w:bdr w:val="none" w:sz="0" w:space="0" w:color="auto" w:frame="1"/>
          <w:shd w:val="clear" w:color="auto" w:fill="FFFFFF"/>
        </w:rPr>
        <w:t>la decisión reprochada, primero, estaba debidamente fundada en las normas aplicables y, segundo, se ajustaba a la jurisprudencia laboral, especialmente, a la línea jurisprudencia sobre la interpretación de los incisos 2º y 3º del artículo 36 de la Ley 100 de 1993. Esto, a juicio de la parte actora, pasando por alto la línea jurisprudencia</w:t>
      </w:r>
      <w:r w:rsidR="006B167B" w:rsidRPr="00CB543A">
        <w:rPr>
          <w:rFonts w:ascii="Times New Roman" w:hAnsi="Times New Roman" w:cs="Times New Roman"/>
          <w:iCs/>
          <w:sz w:val="28"/>
          <w:szCs w:val="28"/>
          <w:bdr w:val="none" w:sz="0" w:space="0" w:color="auto" w:frame="1"/>
          <w:shd w:val="clear" w:color="auto" w:fill="FFFFFF"/>
        </w:rPr>
        <w:t>l</w:t>
      </w:r>
      <w:r w:rsidR="003766E1" w:rsidRPr="00CB543A">
        <w:rPr>
          <w:rFonts w:ascii="Times New Roman" w:hAnsi="Times New Roman" w:cs="Times New Roman"/>
          <w:iCs/>
          <w:sz w:val="28"/>
          <w:szCs w:val="28"/>
          <w:bdr w:val="none" w:sz="0" w:space="0" w:color="auto" w:frame="1"/>
          <w:shd w:val="clear" w:color="auto" w:fill="FFFFFF"/>
        </w:rPr>
        <w:t xml:space="preserve"> de la Corte </w:t>
      </w:r>
      <w:r w:rsidR="006B167B" w:rsidRPr="00CB543A">
        <w:rPr>
          <w:rFonts w:ascii="Times New Roman" w:hAnsi="Times New Roman" w:cs="Times New Roman"/>
          <w:iCs/>
          <w:sz w:val="28"/>
          <w:szCs w:val="28"/>
          <w:bdr w:val="none" w:sz="0" w:space="0" w:color="auto" w:frame="1"/>
          <w:shd w:val="clear" w:color="auto" w:fill="FFFFFF"/>
        </w:rPr>
        <w:t xml:space="preserve">Constitucional </w:t>
      </w:r>
      <w:r w:rsidR="003766E1" w:rsidRPr="00CB543A">
        <w:rPr>
          <w:rFonts w:ascii="Times New Roman" w:hAnsi="Times New Roman" w:cs="Times New Roman"/>
          <w:iCs/>
          <w:sz w:val="28"/>
          <w:szCs w:val="28"/>
          <w:bdr w:val="none" w:sz="0" w:space="0" w:color="auto" w:frame="1"/>
          <w:shd w:val="clear" w:color="auto" w:fill="FFFFFF"/>
        </w:rPr>
        <w:t xml:space="preserve">en </w:t>
      </w:r>
      <w:r w:rsidR="00CC73C7" w:rsidRPr="00CB543A">
        <w:rPr>
          <w:rFonts w:ascii="Times New Roman" w:hAnsi="Times New Roman" w:cs="Times New Roman"/>
          <w:iCs/>
          <w:sz w:val="28"/>
          <w:szCs w:val="28"/>
          <w:bdr w:val="none" w:sz="0" w:space="0" w:color="auto" w:frame="1"/>
          <w:shd w:val="clear" w:color="auto" w:fill="FFFFFF"/>
        </w:rPr>
        <w:t xml:space="preserve">la </w:t>
      </w:r>
      <w:r w:rsidR="003766E1" w:rsidRPr="00CB543A">
        <w:rPr>
          <w:rFonts w:ascii="Times New Roman" w:hAnsi="Times New Roman" w:cs="Times New Roman"/>
          <w:iCs/>
          <w:sz w:val="28"/>
          <w:szCs w:val="28"/>
          <w:bdr w:val="none" w:sz="0" w:space="0" w:color="auto" w:frame="1"/>
          <w:shd w:val="clear" w:color="auto" w:fill="FFFFFF"/>
        </w:rPr>
        <w:t>materia</w:t>
      </w:r>
      <w:r w:rsidR="00CC73C7" w:rsidRPr="00CB543A">
        <w:rPr>
          <w:rFonts w:ascii="Times New Roman" w:hAnsi="Times New Roman" w:cs="Times New Roman"/>
          <w:iCs/>
          <w:sz w:val="28"/>
          <w:szCs w:val="28"/>
          <w:bdr w:val="none" w:sz="0" w:space="0" w:color="auto" w:frame="1"/>
          <w:shd w:val="clear" w:color="auto" w:fill="FFFFFF"/>
        </w:rPr>
        <w:t xml:space="preserve">, y sin </w:t>
      </w:r>
      <w:r w:rsidR="008E6581" w:rsidRPr="00CB543A">
        <w:rPr>
          <w:rFonts w:ascii="Times New Roman" w:hAnsi="Times New Roman" w:cs="Times New Roman"/>
          <w:iCs/>
          <w:sz w:val="28"/>
          <w:szCs w:val="28"/>
          <w:bdr w:val="none" w:sz="0" w:space="0" w:color="auto" w:frame="1"/>
          <w:shd w:val="clear" w:color="auto" w:fill="FFFFFF"/>
        </w:rPr>
        <w:t xml:space="preserve">considerar que CAPRECOM </w:t>
      </w:r>
      <w:r w:rsidR="006B167B" w:rsidRPr="00CB543A">
        <w:rPr>
          <w:rFonts w:ascii="Times New Roman" w:hAnsi="Times New Roman" w:cs="Times New Roman"/>
          <w:iCs/>
          <w:sz w:val="28"/>
          <w:szCs w:val="28"/>
          <w:bdr w:val="none" w:sz="0" w:space="0" w:color="auto" w:frame="1"/>
          <w:shd w:val="clear" w:color="auto" w:fill="FFFFFF"/>
        </w:rPr>
        <w:t>había revocado</w:t>
      </w:r>
      <w:r w:rsidR="008E6581" w:rsidRPr="00CB543A">
        <w:rPr>
          <w:rFonts w:ascii="Times New Roman" w:hAnsi="Times New Roman" w:cs="Times New Roman"/>
          <w:iCs/>
          <w:sz w:val="28"/>
          <w:szCs w:val="28"/>
          <w:bdr w:val="none" w:sz="0" w:space="0" w:color="auto" w:frame="1"/>
          <w:shd w:val="clear" w:color="auto" w:fill="FFFFFF"/>
        </w:rPr>
        <w:t xml:space="preserve"> su propio acto sin </w:t>
      </w:r>
      <w:r w:rsidR="006B167B" w:rsidRPr="00CB543A">
        <w:rPr>
          <w:rFonts w:ascii="Times New Roman" w:hAnsi="Times New Roman" w:cs="Times New Roman"/>
          <w:iCs/>
          <w:sz w:val="28"/>
          <w:szCs w:val="28"/>
          <w:bdr w:val="none" w:sz="0" w:space="0" w:color="auto" w:frame="1"/>
          <w:shd w:val="clear" w:color="auto" w:fill="FFFFFF"/>
        </w:rPr>
        <w:t xml:space="preserve">contar con </w:t>
      </w:r>
      <w:r w:rsidR="00D06D6D" w:rsidRPr="00CB543A">
        <w:rPr>
          <w:rFonts w:ascii="Times New Roman" w:hAnsi="Times New Roman" w:cs="Times New Roman"/>
          <w:iCs/>
          <w:sz w:val="28"/>
          <w:szCs w:val="28"/>
          <w:bdr w:val="none" w:sz="0" w:space="0" w:color="auto" w:frame="1"/>
          <w:shd w:val="clear" w:color="auto" w:fill="FFFFFF"/>
        </w:rPr>
        <w:t xml:space="preserve">la </w:t>
      </w:r>
      <w:r w:rsidR="008E6581" w:rsidRPr="00CB543A">
        <w:rPr>
          <w:rFonts w:ascii="Times New Roman" w:hAnsi="Times New Roman" w:cs="Times New Roman"/>
          <w:iCs/>
          <w:sz w:val="28"/>
          <w:szCs w:val="28"/>
          <w:bdr w:val="none" w:sz="0" w:space="0" w:color="auto" w:frame="1"/>
          <w:shd w:val="clear" w:color="auto" w:fill="FFFFFF"/>
        </w:rPr>
        <w:t>autorización</w:t>
      </w:r>
      <w:r w:rsidR="006B167B" w:rsidRPr="00CB543A">
        <w:rPr>
          <w:rFonts w:ascii="Times New Roman" w:hAnsi="Times New Roman" w:cs="Times New Roman"/>
          <w:iCs/>
          <w:sz w:val="28"/>
          <w:szCs w:val="28"/>
          <w:bdr w:val="none" w:sz="0" w:space="0" w:color="auto" w:frame="1"/>
          <w:shd w:val="clear" w:color="auto" w:fill="FFFFFF"/>
        </w:rPr>
        <w:t xml:space="preserve"> correspondiente</w:t>
      </w:r>
      <w:r w:rsidR="008E6581" w:rsidRPr="00CB543A">
        <w:rPr>
          <w:rFonts w:ascii="Times New Roman" w:hAnsi="Times New Roman" w:cs="Times New Roman"/>
          <w:iCs/>
          <w:sz w:val="28"/>
          <w:szCs w:val="28"/>
          <w:bdr w:val="none" w:sz="0" w:space="0" w:color="auto" w:frame="1"/>
          <w:shd w:val="clear" w:color="auto" w:fill="FFFFFF"/>
        </w:rPr>
        <w:t>.</w:t>
      </w:r>
    </w:p>
    <w:p w:rsidR="0094427A" w:rsidRPr="00CB543A" w:rsidRDefault="0094427A" w:rsidP="00CB543A">
      <w:pPr>
        <w:shd w:val="clear" w:color="auto" w:fill="FFFFFF"/>
        <w:tabs>
          <w:tab w:val="left" w:pos="426"/>
        </w:tabs>
        <w:spacing w:after="0" w:line="240" w:lineRule="auto"/>
        <w:jc w:val="both"/>
        <w:textAlignment w:val="baseline"/>
        <w:rPr>
          <w:rFonts w:ascii="Times New Roman" w:hAnsi="Times New Roman" w:cs="Times New Roman"/>
          <w:iCs/>
          <w:sz w:val="28"/>
          <w:szCs w:val="28"/>
          <w:bdr w:val="none" w:sz="0" w:space="0" w:color="auto" w:frame="1"/>
          <w:shd w:val="clear" w:color="auto" w:fill="FFFFFF"/>
        </w:rPr>
      </w:pPr>
    </w:p>
    <w:p w:rsidR="0094427A" w:rsidRPr="00CB543A" w:rsidRDefault="0094427A" w:rsidP="00CB543A">
      <w:pPr>
        <w:pStyle w:val="Prrafodelista"/>
        <w:numPr>
          <w:ilvl w:val="0"/>
          <w:numId w:val="32"/>
        </w:numPr>
        <w:shd w:val="clear" w:color="auto" w:fill="FFFFFF"/>
        <w:tabs>
          <w:tab w:val="left" w:pos="426"/>
        </w:tabs>
        <w:spacing w:after="0" w:line="240" w:lineRule="auto"/>
        <w:ind w:left="0"/>
        <w:jc w:val="both"/>
        <w:textAlignment w:val="baseline"/>
        <w:rPr>
          <w:rFonts w:ascii="Times New Roman" w:hAnsi="Times New Roman" w:cs="Times New Roman"/>
          <w:iCs/>
          <w:sz w:val="28"/>
          <w:szCs w:val="28"/>
          <w:bdr w:val="none" w:sz="0" w:space="0" w:color="auto" w:frame="1"/>
          <w:shd w:val="clear" w:color="auto" w:fill="FFFFFF"/>
        </w:rPr>
      </w:pPr>
      <w:r w:rsidRPr="00CB543A">
        <w:rPr>
          <w:rFonts w:ascii="Times New Roman" w:hAnsi="Times New Roman" w:cs="Times New Roman"/>
          <w:iCs/>
          <w:sz w:val="28"/>
          <w:szCs w:val="28"/>
          <w:bdr w:val="none" w:sz="0" w:space="0" w:color="auto" w:frame="1"/>
          <w:shd w:val="clear" w:color="auto" w:fill="FFFFFF"/>
        </w:rPr>
        <w:t xml:space="preserve">De acreditarse las irregularidades alegadas por el tutelante tendrían un efecto decisivo en las providencias cuestionadas. En caso de que se acreditara que </w:t>
      </w:r>
      <w:r w:rsidR="00B156BB" w:rsidRPr="00CB543A">
        <w:rPr>
          <w:rFonts w:ascii="Times New Roman" w:hAnsi="Times New Roman" w:cs="Times New Roman"/>
          <w:iCs/>
          <w:sz w:val="28"/>
          <w:szCs w:val="28"/>
          <w:bdr w:val="none" w:sz="0" w:space="0" w:color="auto" w:frame="1"/>
          <w:shd w:val="clear" w:color="auto" w:fill="FFFFFF"/>
        </w:rPr>
        <w:t xml:space="preserve">las autoridades accionadas no se pronunciaron </w:t>
      </w:r>
      <w:r w:rsidRPr="00CB543A">
        <w:rPr>
          <w:rFonts w:ascii="Times New Roman" w:hAnsi="Times New Roman" w:cs="Times New Roman"/>
          <w:iCs/>
          <w:sz w:val="28"/>
          <w:szCs w:val="28"/>
          <w:bdr w:val="none" w:sz="0" w:space="0" w:color="auto" w:frame="1"/>
          <w:shd w:val="clear" w:color="auto" w:fill="FFFFFF"/>
        </w:rPr>
        <w:t xml:space="preserve">acerca de </w:t>
      </w:r>
      <w:r w:rsidR="00B156BB" w:rsidRPr="00CB543A">
        <w:rPr>
          <w:rFonts w:ascii="Times New Roman" w:hAnsi="Times New Roman" w:cs="Times New Roman"/>
          <w:iCs/>
          <w:sz w:val="28"/>
          <w:szCs w:val="28"/>
          <w:bdr w:val="none" w:sz="0" w:space="0" w:color="auto" w:frame="1"/>
          <w:shd w:val="clear" w:color="auto" w:fill="FFFFFF"/>
        </w:rPr>
        <w:t xml:space="preserve">cuestiones de relevancia constitucional y, además, </w:t>
      </w:r>
      <w:r w:rsidRPr="00CB543A">
        <w:rPr>
          <w:rFonts w:ascii="Times New Roman" w:hAnsi="Times New Roman" w:cs="Times New Roman"/>
          <w:iCs/>
          <w:sz w:val="28"/>
          <w:szCs w:val="28"/>
          <w:bdr w:val="none" w:sz="0" w:space="0" w:color="auto" w:frame="1"/>
          <w:shd w:val="clear" w:color="auto" w:fill="FFFFFF"/>
        </w:rPr>
        <w:t>pas</w:t>
      </w:r>
      <w:r w:rsidR="00B156BB" w:rsidRPr="00CB543A">
        <w:rPr>
          <w:rFonts w:ascii="Times New Roman" w:hAnsi="Times New Roman" w:cs="Times New Roman"/>
          <w:iCs/>
          <w:sz w:val="28"/>
          <w:szCs w:val="28"/>
          <w:bdr w:val="none" w:sz="0" w:space="0" w:color="auto" w:frame="1"/>
          <w:shd w:val="clear" w:color="auto" w:fill="FFFFFF"/>
        </w:rPr>
        <w:t>aron</w:t>
      </w:r>
      <w:r w:rsidRPr="00CB543A">
        <w:rPr>
          <w:rFonts w:ascii="Times New Roman" w:hAnsi="Times New Roman" w:cs="Times New Roman"/>
          <w:iCs/>
          <w:sz w:val="28"/>
          <w:szCs w:val="28"/>
          <w:bdr w:val="none" w:sz="0" w:space="0" w:color="auto" w:frame="1"/>
          <w:shd w:val="clear" w:color="auto" w:fill="FFFFFF"/>
        </w:rPr>
        <w:t xml:space="preserve"> por alto</w:t>
      </w:r>
      <w:r w:rsidR="00B156BB" w:rsidRPr="00CB543A">
        <w:rPr>
          <w:rFonts w:ascii="Times New Roman" w:hAnsi="Times New Roman" w:cs="Times New Roman"/>
          <w:iCs/>
          <w:sz w:val="28"/>
          <w:szCs w:val="28"/>
          <w:bdr w:val="none" w:sz="0" w:space="0" w:color="auto" w:frame="1"/>
          <w:shd w:val="clear" w:color="auto" w:fill="FFFFFF"/>
        </w:rPr>
        <w:t xml:space="preserve"> la jurisprudencia de esta Corte</w:t>
      </w:r>
      <w:r w:rsidRPr="00CB543A">
        <w:rPr>
          <w:rFonts w:ascii="Times New Roman" w:hAnsi="Times New Roman" w:cs="Times New Roman"/>
          <w:iCs/>
          <w:sz w:val="28"/>
          <w:szCs w:val="28"/>
          <w:bdr w:val="none" w:sz="0" w:space="0" w:color="auto" w:frame="1"/>
          <w:shd w:val="clear" w:color="auto" w:fill="FFFFFF"/>
        </w:rPr>
        <w:t xml:space="preserve">, se </w:t>
      </w:r>
      <w:r w:rsidR="003A0AD9" w:rsidRPr="00CB543A">
        <w:rPr>
          <w:rFonts w:ascii="Times New Roman" w:hAnsi="Times New Roman" w:cs="Times New Roman"/>
          <w:iCs/>
          <w:sz w:val="28"/>
          <w:szCs w:val="28"/>
          <w:bdr w:val="none" w:sz="0" w:space="0" w:color="auto" w:frame="1"/>
          <w:shd w:val="clear" w:color="auto" w:fill="FFFFFF"/>
        </w:rPr>
        <w:t>podrían vulnerar</w:t>
      </w:r>
      <w:r w:rsidR="00B156BB" w:rsidRPr="00CB543A">
        <w:rPr>
          <w:rFonts w:ascii="Times New Roman" w:hAnsi="Times New Roman" w:cs="Times New Roman"/>
          <w:iCs/>
          <w:sz w:val="28"/>
          <w:szCs w:val="28"/>
          <w:bdr w:val="none" w:sz="0" w:space="0" w:color="auto" w:frame="1"/>
          <w:shd w:val="clear" w:color="auto" w:fill="FFFFFF"/>
        </w:rPr>
        <w:t xml:space="preserve"> los derechos alegados</w:t>
      </w:r>
      <w:r w:rsidRPr="00CB543A">
        <w:rPr>
          <w:rFonts w:ascii="Times New Roman" w:hAnsi="Times New Roman" w:cs="Times New Roman"/>
          <w:iCs/>
          <w:sz w:val="28"/>
          <w:szCs w:val="28"/>
          <w:bdr w:val="none" w:sz="0" w:space="0" w:color="auto" w:frame="1"/>
          <w:shd w:val="clear" w:color="auto" w:fill="FFFFFF"/>
        </w:rPr>
        <w:t xml:space="preserve">, </w:t>
      </w:r>
      <w:r w:rsidR="00B156BB" w:rsidRPr="00CB543A">
        <w:rPr>
          <w:rFonts w:ascii="Times New Roman" w:hAnsi="Times New Roman" w:cs="Times New Roman"/>
          <w:iCs/>
          <w:sz w:val="28"/>
          <w:szCs w:val="28"/>
          <w:bdr w:val="none" w:sz="0" w:space="0" w:color="auto" w:frame="1"/>
          <w:shd w:val="clear" w:color="auto" w:fill="FFFFFF"/>
        </w:rPr>
        <w:t xml:space="preserve">lo </w:t>
      </w:r>
      <w:r w:rsidRPr="00CB543A">
        <w:rPr>
          <w:rFonts w:ascii="Times New Roman" w:hAnsi="Times New Roman" w:cs="Times New Roman"/>
          <w:iCs/>
          <w:sz w:val="28"/>
          <w:szCs w:val="28"/>
          <w:bdr w:val="none" w:sz="0" w:space="0" w:color="auto" w:frame="1"/>
          <w:shd w:val="clear" w:color="auto" w:fill="FFFFFF"/>
        </w:rPr>
        <w:t>que daría lugar a considerar que tales decisiones adolecieran de un defecto</w:t>
      </w:r>
      <w:r w:rsidR="00B156BB" w:rsidRPr="00CB543A">
        <w:rPr>
          <w:rFonts w:ascii="Times New Roman" w:hAnsi="Times New Roman" w:cs="Times New Roman"/>
          <w:iCs/>
          <w:sz w:val="28"/>
          <w:szCs w:val="28"/>
          <w:bdr w:val="none" w:sz="0" w:space="0" w:color="auto" w:frame="1"/>
          <w:shd w:val="clear" w:color="auto" w:fill="FFFFFF"/>
        </w:rPr>
        <w:t xml:space="preserve"> por desconocimiento </w:t>
      </w:r>
      <w:r w:rsidR="003A0AD9" w:rsidRPr="00CB543A">
        <w:rPr>
          <w:rFonts w:ascii="Times New Roman" w:hAnsi="Times New Roman" w:cs="Times New Roman"/>
          <w:iCs/>
          <w:sz w:val="28"/>
          <w:szCs w:val="28"/>
          <w:bdr w:val="none" w:sz="0" w:space="0" w:color="auto" w:frame="1"/>
          <w:shd w:val="clear" w:color="auto" w:fill="FFFFFF"/>
        </w:rPr>
        <w:t>de la jurisprudencia constitucional</w:t>
      </w:r>
      <w:r w:rsidRPr="00CB543A">
        <w:rPr>
          <w:rFonts w:ascii="Times New Roman" w:hAnsi="Times New Roman" w:cs="Times New Roman"/>
          <w:iCs/>
          <w:sz w:val="28"/>
          <w:szCs w:val="28"/>
          <w:bdr w:val="none" w:sz="0" w:space="0" w:color="auto" w:frame="1"/>
          <w:shd w:val="clear" w:color="auto" w:fill="FFFFFF"/>
        </w:rPr>
        <w:t>.</w:t>
      </w:r>
    </w:p>
    <w:p w:rsidR="0094427A" w:rsidRPr="00CB543A" w:rsidRDefault="0094427A" w:rsidP="00CB543A">
      <w:pPr>
        <w:shd w:val="clear" w:color="auto" w:fill="FFFFFF"/>
        <w:tabs>
          <w:tab w:val="left" w:pos="426"/>
        </w:tabs>
        <w:spacing w:after="0" w:line="240" w:lineRule="auto"/>
        <w:jc w:val="both"/>
        <w:textAlignment w:val="baseline"/>
        <w:rPr>
          <w:rFonts w:ascii="Times New Roman" w:hAnsi="Times New Roman" w:cs="Times New Roman"/>
          <w:iCs/>
          <w:sz w:val="28"/>
          <w:szCs w:val="28"/>
          <w:bdr w:val="none" w:sz="0" w:space="0" w:color="auto" w:frame="1"/>
          <w:shd w:val="clear" w:color="auto" w:fill="FFFFFF"/>
        </w:rPr>
      </w:pPr>
    </w:p>
    <w:p w:rsidR="0094427A" w:rsidRPr="00CB543A" w:rsidRDefault="0094427A" w:rsidP="00CB543A">
      <w:pPr>
        <w:widowControl w:val="0"/>
        <w:numPr>
          <w:ilvl w:val="1"/>
          <w:numId w:val="11"/>
        </w:numPr>
        <w:spacing w:after="0" w:line="240" w:lineRule="auto"/>
        <w:ind w:left="0" w:firstLine="0"/>
        <w:jc w:val="both"/>
        <w:rPr>
          <w:rFonts w:ascii="Times New Roman" w:hAnsi="Times New Roman" w:cs="Times New Roman"/>
          <w:b/>
          <w:sz w:val="28"/>
          <w:szCs w:val="28"/>
        </w:rPr>
      </w:pPr>
      <w:r w:rsidRPr="00CB543A">
        <w:rPr>
          <w:rFonts w:ascii="Times New Roman" w:hAnsi="Times New Roman" w:cs="Times New Roman"/>
          <w:b/>
          <w:sz w:val="28"/>
          <w:szCs w:val="28"/>
        </w:rPr>
        <w:t>Identificación razonable de los hechos y alegación en el proceso ordinario</w:t>
      </w:r>
    </w:p>
    <w:p w:rsidR="0094427A" w:rsidRPr="00CB543A" w:rsidRDefault="0094427A" w:rsidP="00CB543A">
      <w:pPr>
        <w:shd w:val="clear" w:color="auto" w:fill="FFFFFF"/>
        <w:tabs>
          <w:tab w:val="left" w:pos="426"/>
        </w:tabs>
        <w:spacing w:after="0" w:line="240" w:lineRule="auto"/>
        <w:jc w:val="both"/>
        <w:textAlignment w:val="baseline"/>
        <w:rPr>
          <w:rFonts w:ascii="Times New Roman" w:hAnsi="Times New Roman" w:cs="Times New Roman"/>
          <w:iCs/>
          <w:sz w:val="28"/>
          <w:szCs w:val="28"/>
          <w:bdr w:val="none" w:sz="0" w:space="0" w:color="auto" w:frame="1"/>
          <w:shd w:val="clear" w:color="auto" w:fill="FFFFFF"/>
        </w:rPr>
      </w:pPr>
    </w:p>
    <w:p w:rsidR="0094427A" w:rsidRPr="00CB543A" w:rsidRDefault="0094427A" w:rsidP="00CB543A">
      <w:pPr>
        <w:pStyle w:val="Prrafodelista"/>
        <w:numPr>
          <w:ilvl w:val="0"/>
          <w:numId w:val="32"/>
        </w:numPr>
        <w:shd w:val="clear" w:color="auto" w:fill="FFFFFF"/>
        <w:tabs>
          <w:tab w:val="left" w:pos="426"/>
        </w:tabs>
        <w:spacing w:after="0" w:line="240" w:lineRule="auto"/>
        <w:ind w:left="0"/>
        <w:jc w:val="both"/>
        <w:textAlignment w:val="baseline"/>
        <w:rPr>
          <w:rFonts w:ascii="Times New Roman" w:hAnsi="Times New Roman" w:cs="Times New Roman"/>
          <w:iCs/>
          <w:sz w:val="28"/>
          <w:szCs w:val="28"/>
          <w:bdr w:val="none" w:sz="0" w:space="0" w:color="auto" w:frame="1"/>
          <w:shd w:val="clear" w:color="auto" w:fill="FFFFFF"/>
        </w:rPr>
      </w:pPr>
      <w:r w:rsidRPr="00CB543A">
        <w:rPr>
          <w:rFonts w:ascii="Times New Roman" w:hAnsi="Times New Roman" w:cs="Times New Roman"/>
          <w:iCs/>
          <w:sz w:val="28"/>
          <w:szCs w:val="28"/>
          <w:bdr w:val="none" w:sz="0" w:space="0" w:color="auto" w:frame="1"/>
          <w:shd w:val="clear" w:color="auto" w:fill="FFFFFF"/>
        </w:rPr>
        <w:t>En el asunto sometido a revisión de esta Sala, el tutelante refiere de forma clara, detallada y comprensible los hechos constitutivos de violación de sus derechos fundamentales, los cuales, además, fueron expuestos ante la Sala Laboral de la Corte Suprema de Justicia al presentar la demanda d</w:t>
      </w:r>
      <w:r w:rsidR="00850F24" w:rsidRPr="00CB543A">
        <w:rPr>
          <w:rFonts w:ascii="Times New Roman" w:hAnsi="Times New Roman" w:cs="Times New Roman"/>
          <w:iCs/>
          <w:sz w:val="28"/>
          <w:szCs w:val="28"/>
          <w:bdr w:val="none" w:sz="0" w:space="0" w:color="auto" w:frame="1"/>
          <w:shd w:val="clear" w:color="auto" w:fill="FFFFFF"/>
        </w:rPr>
        <w:t>e casación, tal como de ello da</w:t>
      </w:r>
      <w:r w:rsidRPr="00CB543A">
        <w:rPr>
          <w:rFonts w:ascii="Times New Roman" w:hAnsi="Times New Roman" w:cs="Times New Roman"/>
          <w:iCs/>
          <w:sz w:val="28"/>
          <w:szCs w:val="28"/>
          <w:bdr w:val="none" w:sz="0" w:space="0" w:color="auto" w:frame="1"/>
          <w:shd w:val="clear" w:color="auto" w:fill="FFFFFF"/>
        </w:rPr>
        <w:t xml:space="preserve"> cuenta </w:t>
      </w:r>
      <w:r w:rsidR="004A2392" w:rsidRPr="00CB543A">
        <w:rPr>
          <w:rFonts w:ascii="Times New Roman" w:hAnsi="Times New Roman" w:cs="Times New Roman"/>
          <w:iCs/>
          <w:sz w:val="28"/>
          <w:szCs w:val="28"/>
          <w:bdr w:val="none" w:sz="0" w:space="0" w:color="auto" w:frame="1"/>
          <w:shd w:val="clear" w:color="auto" w:fill="FFFFFF"/>
        </w:rPr>
        <w:t xml:space="preserve">el numeral 1 </w:t>
      </w:r>
      <w:r w:rsidR="004A2392" w:rsidRPr="00CB543A">
        <w:rPr>
          <w:rFonts w:ascii="Times New Roman" w:hAnsi="Times New Roman" w:cs="Times New Roman"/>
          <w:i/>
          <w:iCs/>
          <w:sz w:val="28"/>
          <w:szCs w:val="28"/>
          <w:bdr w:val="none" w:sz="0" w:space="0" w:color="auto" w:frame="1"/>
          <w:shd w:val="clear" w:color="auto" w:fill="FFFFFF"/>
        </w:rPr>
        <w:t xml:space="preserve">supra </w:t>
      </w:r>
      <w:r w:rsidR="004A2392" w:rsidRPr="00CB543A">
        <w:rPr>
          <w:rFonts w:ascii="Times New Roman" w:hAnsi="Times New Roman" w:cs="Times New Roman"/>
          <w:iCs/>
          <w:sz w:val="28"/>
          <w:szCs w:val="28"/>
          <w:bdr w:val="none" w:sz="0" w:space="0" w:color="auto" w:frame="1"/>
          <w:shd w:val="clear" w:color="auto" w:fill="FFFFFF"/>
        </w:rPr>
        <w:t>(sobre los hechos probados)</w:t>
      </w:r>
      <w:r w:rsidRPr="00CB543A">
        <w:rPr>
          <w:rFonts w:ascii="Times New Roman" w:hAnsi="Times New Roman" w:cs="Times New Roman"/>
          <w:iCs/>
          <w:sz w:val="28"/>
          <w:szCs w:val="28"/>
          <w:bdr w:val="none" w:sz="0" w:space="0" w:color="auto" w:frame="1"/>
          <w:shd w:val="clear" w:color="auto" w:fill="FFFFFF"/>
        </w:rPr>
        <w:t>.</w:t>
      </w:r>
    </w:p>
    <w:p w:rsidR="0094427A" w:rsidRPr="00CB543A" w:rsidRDefault="0094427A" w:rsidP="00CB543A">
      <w:pPr>
        <w:shd w:val="clear" w:color="auto" w:fill="FFFFFF"/>
        <w:tabs>
          <w:tab w:val="left" w:pos="426"/>
        </w:tabs>
        <w:spacing w:after="0" w:line="240" w:lineRule="auto"/>
        <w:jc w:val="both"/>
        <w:textAlignment w:val="baseline"/>
        <w:rPr>
          <w:rFonts w:ascii="Times New Roman" w:hAnsi="Times New Roman" w:cs="Times New Roman"/>
          <w:iCs/>
          <w:sz w:val="28"/>
          <w:szCs w:val="28"/>
          <w:bdr w:val="none" w:sz="0" w:space="0" w:color="auto" w:frame="1"/>
          <w:shd w:val="clear" w:color="auto" w:fill="FFFFFF"/>
        </w:rPr>
      </w:pPr>
    </w:p>
    <w:p w:rsidR="0094427A" w:rsidRPr="00CB543A" w:rsidRDefault="0094427A" w:rsidP="00CB543A">
      <w:pPr>
        <w:widowControl w:val="0"/>
        <w:numPr>
          <w:ilvl w:val="1"/>
          <w:numId w:val="11"/>
        </w:numPr>
        <w:spacing w:after="0" w:line="240" w:lineRule="auto"/>
        <w:ind w:left="0" w:firstLine="0"/>
        <w:jc w:val="both"/>
        <w:rPr>
          <w:rFonts w:ascii="Times New Roman" w:hAnsi="Times New Roman" w:cs="Times New Roman"/>
          <w:b/>
          <w:sz w:val="28"/>
          <w:szCs w:val="28"/>
        </w:rPr>
      </w:pPr>
      <w:r w:rsidRPr="00CB543A">
        <w:rPr>
          <w:rFonts w:ascii="Times New Roman" w:hAnsi="Times New Roman" w:cs="Times New Roman"/>
          <w:b/>
          <w:sz w:val="28"/>
          <w:szCs w:val="28"/>
        </w:rPr>
        <w:t>La providencia cuya constitucionalidad se cuestiona no es una sentencia de tutela</w:t>
      </w:r>
    </w:p>
    <w:p w:rsidR="0094427A" w:rsidRPr="00CB543A" w:rsidRDefault="0094427A" w:rsidP="00CB543A">
      <w:pPr>
        <w:widowControl w:val="0"/>
        <w:tabs>
          <w:tab w:val="left" w:pos="283"/>
          <w:tab w:val="left" w:pos="426"/>
        </w:tabs>
        <w:spacing w:after="0" w:line="240" w:lineRule="auto"/>
        <w:ind w:left="360"/>
        <w:jc w:val="both"/>
        <w:rPr>
          <w:rFonts w:ascii="Times New Roman" w:hAnsi="Times New Roman" w:cs="Times New Roman"/>
          <w:b/>
          <w:sz w:val="28"/>
          <w:szCs w:val="28"/>
        </w:rPr>
      </w:pPr>
    </w:p>
    <w:p w:rsidR="0094427A" w:rsidRPr="00CB543A" w:rsidRDefault="0094427A" w:rsidP="00CB543A">
      <w:pPr>
        <w:pStyle w:val="Prrafodelista"/>
        <w:numPr>
          <w:ilvl w:val="0"/>
          <w:numId w:val="32"/>
        </w:numPr>
        <w:shd w:val="clear" w:color="auto" w:fill="FFFFFF"/>
        <w:tabs>
          <w:tab w:val="left" w:pos="426"/>
        </w:tabs>
        <w:spacing w:after="0" w:line="240" w:lineRule="auto"/>
        <w:ind w:left="0"/>
        <w:jc w:val="both"/>
        <w:textAlignment w:val="baseline"/>
        <w:rPr>
          <w:rFonts w:ascii="Times New Roman" w:hAnsi="Times New Roman" w:cs="Times New Roman"/>
          <w:sz w:val="28"/>
          <w:szCs w:val="28"/>
          <w:shd w:val="clear" w:color="auto" w:fill="FFFFFF"/>
        </w:rPr>
      </w:pPr>
      <w:r w:rsidRPr="00CB543A">
        <w:rPr>
          <w:rFonts w:ascii="Times New Roman" w:hAnsi="Times New Roman" w:cs="Times New Roman"/>
          <w:sz w:val="28"/>
          <w:szCs w:val="28"/>
          <w:shd w:val="clear" w:color="auto" w:fill="FFFFFF"/>
        </w:rPr>
        <w:t xml:space="preserve">En el asunto que se examina, es evidente que la acción de tutela no se </w:t>
      </w:r>
      <w:r w:rsidR="00D809C8" w:rsidRPr="00CB543A">
        <w:rPr>
          <w:rFonts w:ascii="Times New Roman" w:hAnsi="Times New Roman" w:cs="Times New Roman"/>
          <w:sz w:val="28"/>
          <w:szCs w:val="28"/>
          <w:shd w:val="clear" w:color="auto" w:fill="FFFFFF"/>
        </w:rPr>
        <w:t xml:space="preserve">interpuso </w:t>
      </w:r>
      <w:r w:rsidRPr="00CB543A">
        <w:rPr>
          <w:rFonts w:ascii="Times New Roman" w:hAnsi="Times New Roman" w:cs="Times New Roman"/>
          <w:sz w:val="28"/>
          <w:szCs w:val="28"/>
          <w:shd w:val="clear" w:color="auto" w:fill="FFFFFF"/>
        </w:rPr>
        <w:t>contra una sentencia de tutela, sino contra una sentenci</w:t>
      </w:r>
      <w:r w:rsidR="00D809C8" w:rsidRPr="00CB543A">
        <w:rPr>
          <w:rFonts w:ascii="Times New Roman" w:hAnsi="Times New Roman" w:cs="Times New Roman"/>
          <w:sz w:val="28"/>
          <w:szCs w:val="28"/>
          <w:shd w:val="clear" w:color="auto" w:fill="FFFFFF"/>
        </w:rPr>
        <w:t xml:space="preserve">a por medio del cual se resolvió un </w:t>
      </w:r>
      <w:r w:rsidRPr="00CB543A">
        <w:rPr>
          <w:rFonts w:ascii="Times New Roman" w:hAnsi="Times New Roman" w:cs="Times New Roman"/>
          <w:sz w:val="28"/>
          <w:szCs w:val="28"/>
          <w:shd w:val="clear" w:color="auto" w:fill="FFFFFF"/>
        </w:rPr>
        <w:t xml:space="preserve">recurso de casación en contra </w:t>
      </w:r>
      <w:r w:rsidR="00850F24" w:rsidRPr="00CB543A">
        <w:rPr>
          <w:rFonts w:ascii="Times New Roman" w:hAnsi="Times New Roman" w:cs="Times New Roman"/>
          <w:sz w:val="28"/>
          <w:szCs w:val="28"/>
          <w:shd w:val="clear" w:color="auto" w:fill="FFFFFF"/>
        </w:rPr>
        <w:t xml:space="preserve">de </w:t>
      </w:r>
      <w:r w:rsidR="00D06D6D" w:rsidRPr="00CB543A">
        <w:rPr>
          <w:rFonts w:ascii="Times New Roman" w:hAnsi="Times New Roman" w:cs="Times New Roman"/>
          <w:sz w:val="28"/>
          <w:szCs w:val="28"/>
          <w:shd w:val="clear" w:color="auto" w:fill="FFFFFF"/>
        </w:rPr>
        <w:t>una</w:t>
      </w:r>
      <w:r w:rsidRPr="00CB543A">
        <w:rPr>
          <w:rFonts w:ascii="Times New Roman" w:hAnsi="Times New Roman" w:cs="Times New Roman"/>
          <w:sz w:val="28"/>
          <w:szCs w:val="28"/>
          <w:shd w:val="clear" w:color="auto" w:fill="FFFFFF"/>
        </w:rPr>
        <w:t xml:space="preserve"> sentencia</w:t>
      </w:r>
      <w:r w:rsidR="00D06D6D" w:rsidRPr="00CB543A">
        <w:rPr>
          <w:rFonts w:ascii="Times New Roman" w:hAnsi="Times New Roman" w:cs="Times New Roman"/>
          <w:sz w:val="28"/>
          <w:szCs w:val="28"/>
          <w:shd w:val="clear" w:color="auto" w:fill="FFFFFF"/>
        </w:rPr>
        <w:t xml:space="preserve"> de segunda instancia, proferida en un proceso ordinario del que conoció el </w:t>
      </w:r>
      <w:r w:rsidR="00D809C8" w:rsidRPr="00CB543A">
        <w:rPr>
          <w:rFonts w:ascii="Times New Roman" w:hAnsi="Times New Roman" w:cs="Times New Roman"/>
          <w:sz w:val="28"/>
          <w:szCs w:val="28"/>
          <w:shd w:val="clear" w:color="auto" w:fill="FFFFFF"/>
        </w:rPr>
        <w:t>J</w:t>
      </w:r>
      <w:r w:rsidR="00D06D6D" w:rsidRPr="00CB543A">
        <w:rPr>
          <w:rFonts w:ascii="Times New Roman" w:hAnsi="Times New Roman" w:cs="Times New Roman"/>
          <w:sz w:val="28"/>
          <w:szCs w:val="28"/>
          <w:shd w:val="clear" w:color="auto" w:fill="FFFFFF"/>
        </w:rPr>
        <w:t xml:space="preserve">uez del </w:t>
      </w:r>
      <w:r w:rsidR="00D809C8" w:rsidRPr="00CB543A">
        <w:rPr>
          <w:rFonts w:ascii="Times New Roman" w:hAnsi="Times New Roman" w:cs="Times New Roman"/>
          <w:sz w:val="28"/>
          <w:szCs w:val="28"/>
          <w:shd w:val="clear" w:color="auto" w:fill="FFFFFF"/>
        </w:rPr>
        <w:t>T</w:t>
      </w:r>
      <w:r w:rsidR="00D06D6D" w:rsidRPr="00CB543A">
        <w:rPr>
          <w:rFonts w:ascii="Times New Roman" w:hAnsi="Times New Roman" w:cs="Times New Roman"/>
          <w:sz w:val="28"/>
          <w:szCs w:val="28"/>
          <w:shd w:val="clear" w:color="auto" w:fill="FFFFFF"/>
        </w:rPr>
        <w:t>rabajo</w:t>
      </w:r>
      <w:r w:rsidRPr="00CB543A">
        <w:rPr>
          <w:rFonts w:ascii="Times New Roman" w:hAnsi="Times New Roman" w:cs="Times New Roman"/>
          <w:sz w:val="28"/>
          <w:szCs w:val="28"/>
          <w:shd w:val="clear" w:color="auto" w:fill="FFFFFF"/>
        </w:rPr>
        <w:t>.</w:t>
      </w:r>
    </w:p>
    <w:p w:rsidR="00583B2D" w:rsidRPr="00CB543A" w:rsidRDefault="00583B2D" w:rsidP="00CB543A">
      <w:pPr>
        <w:widowControl w:val="0"/>
        <w:tabs>
          <w:tab w:val="left" w:pos="283"/>
          <w:tab w:val="left" w:pos="426"/>
        </w:tabs>
        <w:spacing w:after="0" w:line="240" w:lineRule="auto"/>
        <w:jc w:val="both"/>
        <w:rPr>
          <w:rFonts w:ascii="Times New Roman" w:hAnsi="Times New Roman" w:cs="Times New Roman"/>
          <w:b/>
          <w:sz w:val="28"/>
          <w:szCs w:val="28"/>
        </w:rPr>
      </w:pPr>
    </w:p>
    <w:p w:rsidR="0094427A" w:rsidRPr="00CB543A" w:rsidRDefault="004A6AEE" w:rsidP="00CB543A">
      <w:pPr>
        <w:widowControl w:val="0"/>
        <w:numPr>
          <w:ilvl w:val="0"/>
          <w:numId w:val="11"/>
        </w:numPr>
        <w:spacing w:after="0" w:line="240" w:lineRule="auto"/>
        <w:ind w:left="0" w:firstLine="0"/>
        <w:jc w:val="both"/>
        <w:rPr>
          <w:rFonts w:ascii="Times New Roman" w:hAnsi="Times New Roman" w:cs="Times New Roman"/>
          <w:b/>
          <w:sz w:val="28"/>
          <w:szCs w:val="28"/>
        </w:rPr>
      </w:pPr>
      <w:r w:rsidRPr="00CB543A">
        <w:rPr>
          <w:rFonts w:ascii="Times New Roman" w:hAnsi="Times New Roman" w:cs="Times New Roman"/>
          <w:b/>
          <w:sz w:val="28"/>
          <w:szCs w:val="28"/>
        </w:rPr>
        <w:t>Análisis del problema jurídico sustancial del caso</w:t>
      </w:r>
    </w:p>
    <w:p w:rsidR="0094427A" w:rsidRPr="00CB543A" w:rsidRDefault="0094427A" w:rsidP="00CB543A">
      <w:pPr>
        <w:shd w:val="clear" w:color="auto" w:fill="FFFFFF"/>
        <w:tabs>
          <w:tab w:val="left" w:pos="426"/>
        </w:tabs>
        <w:spacing w:after="0" w:line="240" w:lineRule="auto"/>
        <w:jc w:val="both"/>
        <w:textAlignment w:val="baseline"/>
        <w:rPr>
          <w:rFonts w:ascii="Times New Roman" w:hAnsi="Times New Roman" w:cs="Times New Roman"/>
          <w:sz w:val="28"/>
          <w:szCs w:val="28"/>
          <w:shd w:val="clear" w:color="auto" w:fill="FFFFFF"/>
        </w:rPr>
      </w:pPr>
    </w:p>
    <w:p w:rsidR="00AB722A" w:rsidRPr="00CB543A" w:rsidRDefault="0094427A" w:rsidP="00CB543A">
      <w:pPr>
        <w:pStyle w:val="Prrafodelista"/>
        <w:numPr>
          <w:ilvl w:val="0"/>
          <w:numId w:val="32"/>
        </w:numPr>
        <w:shd w:val="clear" w:color="auto" w:fill="FFFFFF"/>
        <w:tabs>
          <w:tab w:val="left" w:pos="426"/>
        </w:tabs>
        <w:spacing w:after="0" w:line="240" w:lineRule="auto"/>
        <w:ind w:left="0"/>
        <w:jc w:val="both"/>
        <w:textAlignment w:val="baseline"/>
        <w:rPr>
          <w:rFonts w:ascii="Times New Roman" w:hAnsi="Times New Roman" w:cs="Times New Roman"/>
          <w:iCs/>
          <w:sz w:val="28"/>
          <w:szCs w:val="28"/>
          <w:bdr w:val="none" w:sz="0" w:space="0" w:color="auto" w:frame="1"/>
          <w:shd w:val="clear" w:color="auto" w:fill="FFFFFF"/>
        </w:rPr>
      </w:pPr>
      <w:r w:rsidRPr="00CB543A">
        <w:rPr>
          <w:rFonts w:ascii="Times New Roman" w:hAnsi="Times New Roman" w:cs="Times New Roman"/>
          <w:sz w:val="28"/>
          <w:szCs w:val="28"/>
          <w:shd w:val="clear" w:color="auto" w:fill="FFFFFF"/>
        </w:rPr>
        <w:t xml:space="preserve">Como conclusión del análisis que se realizó en los numerales 4.1 a 4.7 </w:t>
      </w:r>
      <w:r w:rsidRPr="00CB543A">
        <w:rPr>
          <w:rFonts w:ascii="Times New Roman" w:hAnsi="Times New Roman" w:cs="Times New Roman"/>
          <w:i/>
          <w:sz w:val="28"/>
          <w:szCs w:val="28"/>
          <w:shd w:val="clear" w:color="auto" w:fill="FFFFFF"/>
        </w:rPr>
        <w:t>supra</w:t>
      </w:r>
      <w:r w:rsidRPr="00CB543A">
        <w:rPr>
          <w:rFonts w:ascii="Times New Roman" w:hAnsi="Times New Roman" w:cs="Times New Roman"/>
          <w:sz w:val="28"/>
          <w:szCs w:val="28"/>
          <w:shd w:val="clear" w:color="auto" w:fill="FFFFFF"/>
        </w:rPr>
        <w:t>, la Sala encuentra que en el presente asunto se cumplen los requisitos generales de procedencia de la acción de tutela contra providencias judiciales. Por tanto, es procedente el estu</w:t>
      </w:r>
      <w:r w:rsidR="00AB722A" w:rsidRPr="00CB543A">
        <w:rPr>
          <w:rFonts w:ascii="Times New Roman" w:hAnsi="Times New Roman" w:cs="Times New Roman"/>
          <w:sz w:val="28"/>
          <w:szCs w:val="28"/>
          <w:shd w:val="clear" w:color="auto" w:fill="FFFFFF"/>
        </w:rPr>
        <w:t>d</w:t>
      </w:r>
      <w:r w:rsidRPr="00CB543A">
        <w:rPr>
          <w:rFonts w:ascii="Times New Roman" w:hAnsi="Times New Roman" w:cs="Times New Roman"/>
          <w:sz w:val="28"/>
          <w:szCs w:val="28"/>
          <w:shd w:val="clear" w:color="auto" w:fill="FFFFFF"/>
        </w:rPr>
        <w:t xml:space="preserve">io del problema jurídico sustancial de que da </w:t>
      </w:r>
      <w:r w:rsidRPr="00CB543A">
        <w:rPr>
          <w:rFonts w:ascii="Times New Roman" w:hAnsi="Times New Roman" w:cs="Times New Roman"/>
          <w:sz w:val="28"/>
          <w:szCs w:val="28"/>
          <w:shd w:val="clear" w:color="auto" w:fill="FFFFFF"/>
        </w:rPr>
        <w:lastRenderedPageBreak/>
        <w:t xml:space="preserve">cuenta el numeral 2 </w:t>
      </w:r>
      <w:r w:rsidRPr="00CB543A">
        <w:rPr>
          <w:rFonts w:ascii="Times New Roman" w:hAnsi="Times New Roman" w:cs="Times New Roman"/>
          <w:i/>
          <w:sz w:val="28"/>
          <w:szCs w:val="28"/>
          <w:shd w:val="clear" w:color="auto" w:fill="FFFFFF"/>
        </w:rPr>
        <w:t>supra</w:t>
      </w:r>
      <w:r w:rsidRPr="00CB543A">
        <w:rPr>
          <w:rFonts w:ascii="Times New Roman" w:hAnsi="Times New Roman" w:cs="Times New Roman"/>
          <w:sz w:val="28"/>
          <w:szCs w:val="28"/>
          <w:shd w:val="clear" w:color="auto" w:fill="FFFFFF"/>
        </w:rPr>
        <w:t>.</w:t>
      </w:r>
      <w:r w:rsidR="00DB194E" w:rsidRPr="00CB543A">
        <w:rPr>
          <w:rFonts w:ascii="Times New Roman" w:hAnsi="Times New Roman" w:cs="Times New Roman"/>
          <w:sz w:val="28"/>
          <w:szCs w:val="28"/>
          <w:shd w:val="clear" w:color="auto" w:fill="FFFFFF"/>
        </w:rPr>
        <w:t xml:space="preserve"> </w:t>
      </w:r>
      <w:r w:rsidR="00AB722A" w:rsidRPr="00CB543A">
        <w:rPr>
          <w:rFonts w:ascii="Times New Roman" w:hAnsi="Times New Roman" w:cs="Times New Roman"/>
          <w:sz w:val="28"/>
          <w:szCs w:val="28"/>
          <w:shd w:val="clear" w:color="auto" w:fill="FFFFFF"/>
        </w:rPr>
        <w:t xml:space="preserve">Este análisis, </w:t>
      </w:r>
      <w:r w:rsidR="00AB722A" w:rsidRPr="00CB543A">
        <w:rPr>
          <w:rFonts w:ascii="Times New Roman" w:hAnsi="Times New Roman" w:cs="Times New Roman"/>
          <w:iCs/>
          <w:sz w:val="28"/>
          <w:szCs w:val="28"/>
          <w:bdr w:val="none" w:sz="0" w:space="0" w:color="auto" w:frame="1"/>
          <w:shd w:val="clear" w:color="auto" w:fill="FFFFFF"/>
        </w:rPr>
        <w:t>en los términos de la jurisprudencia constitucional, supone la valoración acerca de si se configura alguno de los siguientes defectos</w:t>
      </w:r>
      <w:r w:rsidR="00AB722A" w:rsidRPr="00CB543A">
        <w:rPr>
          <w:rFonts w:ascii="Times New Roman" w:hAnsi="Times New Roman" w:cs="Times New Roman"/>
          <w:iCs/>
          <w:sz w:val="28"/>
          <w:szCs w:val="28"/>
          <w:bdr w:val="none" w:sz="0" w:space="0" w:color="auto" w:frame="1"/>
          <w:shd w:val="clear" w:color="auto" w:fill="FFFFFF"/>
          <w:vertAlign w:val="superscript"/>
        </w:rPr>
        <w:footnoteReference w:id="67"/>
      </w:r>
      <w:r w:rsidR="00AB722A" w:rsidRPr="00CB543A">
        <w:rPr>
          <w:rFonts w:ascii="Times New Roman" w:hAnsi="Times New Roman" w:cs="Times New Roman"/>
          <w:iCs/>
          <w:sz w:val="28"/>
          <w:szCs w:val="28"/>
          <w:bdr w:val="none" w:sz="0" w:space="0" w:color="auto" w:frame="1"/>
          <w:shd w:val="clear" w:color="auto" w:fill="FFFFFF"/>
        </w:rPr>
        <w:t>: material o sustantivo</w:t>
      </w:r>
      <w:r w:rsidR="00AB722A" w:rsidRPr="00CB543A">
        <w:rPr>
          <w:rFonts w:ascii="Times New Roman" w:hAnsi="Times New Roman" w:cs="Times New Roman"/>
          <w:sz w:val="28"/>
          <w:szCs w:val="28"/>
          <w:shd w:val="clear" w:color="auto" w:fill="FFFFFF"/>
          <w:vertAlign w:val="superscript"/>
        </w:rPr>
        <w:footnoteReference w:id="68"/>
      </w:r>
      <w:r w:rsidR="00AB722A" w:rsidRPr="00CB543A">
        <w:rPr>
          <w:rFonts w:ascii="Times New Roman" w:hAnsi="Times New Roman" w:cs="Times New Roman"/>
          <w:iCs/>
          <w:sz w:val="28"/>
          <w:szCs w:val="28"/>
          <w:bdr w:val="none" w:sz="0" w:space="0" w:color="auto" w:frame="1"/>
          <w:shd w:val="clear" w:color="auto" w:fill="FFFFFF"/>
        </w:rPr>
        <w:t>, fáctico</w:t>
      </w:r>
      <w:r w:rsidR="00AB722A" w:rsidRPr="00CB543A">
        <w:rPr>
          <w:rFonts w:ascii="Times New Roman" w:hAnsi="Times New Roman" w:cs="Times New Roman"/>
          <w:sz w:val="28"/>
          <w:szCs w:val="28"/>
          <w:shd w:val="clear" w:color="auto" w:fill="FFFFFF"/>
          <w:vertAlign w:val="superscript"/>
        </w:rPr>
        <w:footnoteReference w:id="69"/>
      </w:r>
      <w:r w:rsidR="00AB722A" w:rsidRPr="00CB543A">
        <w:rPr>
          <w:rFonts w:ascii="Times New Roman" w:hAnsi="Times New Roman" w:cs="Times New Roman"/>
          <w:iCs/>
          <w:sz w:val="28"/>
          <w:szCs w:val="28"/>
          <w:bdr w:val="none" w:sz="0" w:space="0" w:color="auto" w:frame="1"/>
          <w:shd w:val="clear" w:color="auto" w:fill="FFFFFF"/>
        </w:rPr>
        <w:t>, procedimental</w:t>
      </w:r>
      <w:r w:rsidR="00AB722A" w:rsidRPr="00CB543A">
        <w:rPr>
          <w:rFonts w:ascii="Times New Roman" w:hAnsi="Times New Roman" w:cs="Times New Roman"/>
          <w:sz w:val="28"/>
          <w:szCs w:val="28"/>
          <w:shd w:val="clear" w:color="auto" w:fill="FFFFFF"/>
          <w:vertAlign w:val="superscript"/>
        </w:rPr>
        <w:footnoteReference w:id="70"/>
      </w:r>
      <w:r w:rsidR="00AB722A" w:rsidRPr="00CB543A">
        <w:rPr>
          <w:rFonts w:ascii="Times New Roman" w:hAnsi="Times New Roman" w:cs="Times New Roman"/>
          <w:iCs/>
          <w:sz w:val="28"/>
          <w:szCs w:val="28"/>
          <w:bdr w:val="none" w:sz="0" w:space="0" w:color="auto" w:frame="1"/>
          <w:shd w:val="clear" w:color="auto" w:fill="FFFFFF"/>
        </w:rPr>
        <w:t>, decisión sin motivación</w:t>
      </w:r>
      <w:r w:rsidR="00AB722A" w:rsidRPr="00CB543A">
        <w:rPr>
          <w:rFonts w:ascii="Times New Roman" w:hAnsi="Times New Roman" w:cs="Times New Roman"/>
          <w:sz w:val="28"/>
          <w:szCs w:val="28"/>
          <w:shd w:val="clear" w:color="auto" w:fill="FFFFFF"/>
          <w:vertAlign w:val="superscript"/>
        </w:rPr>
        <w:footnoteReference w:id="71"/>
      </w:r>
      <w:r w:rsidR="00AB722A" w:rsidRPr="00CB543A">
        <w:rPr>
          <w:rFonts w:ascii="Times New Roman" w:hAnsi="Times New Roman" w:cs="Times New Roman"/>
          <w:iCs/>
          <w:sz w:val="28"/>
          <w:szCs w:val="28"/>
          <w:bdr w:val="none" w:sz="0" w:space="0" w:color="auto" w:frame="1"/>
          <w:shd w:val="clear" w:color="auto" w:fill="FFFFFF"/>
        </w:rPr>
        <w:t>, desconocimiento del precedente</w:t>
      </w:r>
      <w:r w:rsidR="00AB722A" w:rsidRPr="00CB543A">
        <w:rPr>
          <w:rFonts w:ascii="Times New Roman" w:hAnsi="Times New Roman" w:cs="Times New Roman"/>
          <w:sz w:val="28"/>
          <w:szCs w:val="28"/>
          <w:shd w:val="clear" w:color="auto" w:fill="FFFFFF"/>
          <w:vertAlign w:val="superscript"/>
        </w:rPr>
        <w:footnoteReference w:id="72"/>
      </w:r>
      <w:r w:rsidR="00AB722A" w:rsidRPr="00CB543A">
        <w:rPr>
          <w:rFonts w:ascii="Times New Roman" w:hAnsi="Times New Roman" w:cs="Times New Roman"/>
          <w:iCs/>
          <w:sz w:val="28"/>
          <w:szCs w:val="28"/>
          <w:bdr w:val="none" w:sz="0" w:space="0" w:color="auto" w:frame="1"/>
          <w:shd w:val="clear" w:color="auto" w:fill="FFFFFF"/>
        </w:rPr>
        <w:t>, orgánico</w:t>
      </w:r>
      <w:r w:rsidR="00AB722A" w:rsidRPr="00CB543A">
        <w:rPr>
          <w:rFonts w:ascii="Times New Roman" w:hAnsi="Times New Roman" w:cs="Times New Roman"/>
          <w:sz w:val="28"/>
          <w:szCs w:val="28"/>
          <w:shd w:val="clear" w:color="auto" w:fill="FFFFFF"/>
          <w:vertAlign w:val="superscript"/>
        </w:rPr>
        <w:footnoteReference w:id="73"/>
      </w:r>
      <w:r w:rsidR="00AB722A" w:rsidRPr="00CB543A">
        <w:rPr>
          <w:rFonts w:ascii="Times New Roman" w:hAnsi="Times New Roman" w:cs="Times New Roman"/>
          <w:iCs/>
          <w:sz w:val="28"/>
          <w:szCs w:val="28"/>
          <w:bdr w:val="none" w:sz="0" w:space="0" w:color="auto" w:frame="1"/>
          <w:shd w:val="clear" w:color="auto" w:fill="FFFFFF"/>
        </w:rPr>
        <w:t>, error inducido</w:t>
      </w:r>
      <w:r w:rsidR="00AB722A" w:rsidRPr="00CB543A">
        <w:rPr>
          <w:rFonts w:ascii="Times New Roman" w:hAnsi="Times New Roman" w:cs="Times New Roman"/>
          <w:sz w:val="28"/>
          <w:szCs w:val="28"/>
          <w:shd w:val="clear" w:color="auto" w:fill="FFFFFF"/>
          <w:vertAlign w:val="superscript"/>
        </w:rPr>
        <w:footnoteReference w:id="74"/>
      </w:r>
      <w:r w:rsidR="00AB722A" w:rsidRPr="00CB543A">
        <w:rPr>
          <w:rFonts w:ascii="Times New Roman" w:hAnsi="Times New Roman" w:cs="Times New Roman"/>
          <w:iCs/>
          <w:sz w:val="28"/>
          <w:szCs w:val="28"/>
          <w:bdr w:val="none" w:sz="0" w:space="0" w:color="auto" w:frame="1"/>
          <w:shd w:val="clear" w:color="auto" w:fill="FFFFFF"/>
        </w:rPr>
        <w:t xml:space="preserve"> o violación directa de la Constitución.</w:t>
      </w:r>
    </w:p>
    <w:p w:rsidR="00AB722A" w:rsidRPr="00CB543A" w:rsidRDefault="00AB722A" w:rsidP="00CB543A">
      <w:pPr>
        <w:pStyle w:val="Prrafodelista"/>
        <w:shd w:val="clear" w:color="auto" w:fill="FFFFFF"/>
        <w:tabs>
          <w:tab w:val="left" w:pos="426"/>
        </w:tabs>
        <w:spacing w:after="0" w:line="240" w:lineRule="auto"/>
        <w:ind w:left="0"/>
        <w:jc w:val="both"/>
        <w:textAlignment w:val="baseline"/>
        <w:rPr>
          <w:rFonts w:ascii="Times New Roman" w:hAnsi="Times New Roman" w:cs="Times New Roman"/>
          <w:sz w:val="28"/>
          <w:szCs w:val="28"/>
          <w:shd w:val="clear" w:color="auto" w:fill="FFFFFF"/>
        </w:rPr>
      </w:pPr>
    </w:p>
    <w:p w:rsidR="0094427A" w:rsidRPr="00CB543A" w:rsidRDefault="0096784D" w:rsidP="00CB543A">
      <w:pPr>
        <w:pStyle w:val="Prrafodelista"/>
        <w:numPr>
          <w:ilvl w:val="0"/>
          <w:numId w:val="32"/>
        </w:numPr>
        <w:shd w:val="clear" w:color="auto" w:fill="FFFFFF"/>
        <w:tabs>
          <w:tab w:val="left" w:pos="426"/>
        </w:tabs>
        <w:spacing w:after="0" w:line="240" w:lineRule="auto"/>
        <w:ind w:left="0"/>
        <w:jc w:val="both"/>
        <w:textAlignment w:val="baseline"/>
        <w:rPr>
          <w:rFonts w:ascii="Times New Roman" w:hAnsi="Times New Roman" w:cs="Times New Roman"/>
          <w:sz w:val="28"/>
          <w:szCs w:val="28"/>
          <w:shd w:val="clear" w:color="auto" w:fill="FFFFFF"/>
        </w:rPr>
      </w:pPr>
      <w:r w:rsidRPr="00CB543A">
        <w:rPr>
          <w:rFonts w:ascii="Times New Roman" w:hAnsi="Times New Roman" w:cs="Times New Roman"/>
          <w:sz w:val="28"/>
          <w:szCs w:val="28"/>
        </w:rPr>
        <w:t xml:space="preserve">En el presente asunto, la </w:t>
      </w:r>
      <w:r w:rsidR="00DB194E" w:rsidRPr="00CB543A">
        <w:rPr>
          <w:rFonts w:ascii="Times New Roman" w:hAnsi="Times New Roman" w:cs="Times New Roman"/>
          <w:sz w:val="28"/>
          <w:szCs w:val="28"/>
        </w:rPr>
        <w:t>resolución</w:t>
      </w:r>
      <w:r w:rsidRPr="00CB543A">
        <w:rPr>
          <w:rFonts w:ascii="Times New Roman" w:hAnsi="Times New Roman" w:cs="Times New Roman"/>
          <w:sz w:val="28"/>
          <w:szCs w:val="28"/>
        </w:rPr>
        <w:t xml:space="preserve"> de aquel</w:t>
      </w:r>
      <w:r w:rsidR="00DB194E" w:rsidRPr="00CB543A">
        <w:rPr>
          <w:rFonts w:ascii="Times New Roman" w:hAnsi="Times New Roman" w:cs="Times New Roman"/>
          <w:sz w:val="28"/>
          <w:szCs w:val="28"/>
        </w:rPr>
        <w:t xml:space="preserve">, supone, </w:t>
      </w:r>
      <w:r w:rsidR="00320FC6" w:rsidRPr="00CB543A">
        <w:rPr>
          <w:rFonts w:ascii="Times New Roman" w:hAnsi="Times New Roman" w:cs="Times New Roman"/>
          <w:sz w:val="28"/>
          <w:szCs w:val="28"/>
        </w:rPr>
        <w:t>por una parte</w:t>
      </w:r>
      <w:r w:rsidR="00DB194E" w:rsidRPr="00CB543A">
        <w:rPr>
          <w:rFonts w:ascii="Times New Roman" w:hAnsi="Times New Roman" w:cs="Times New Roman"/>
          <w:sz w:val="28"/>
          <w:szCs w:val="28"/>
        </w:rPr>
        <w:t>, el análisis del régimen jurídico aplicable para la reliquidación de la pensión de jubilación del tutelante y si este tenía derecho a que su pensión hubiese sido reliquidada acudiendo al IBL del régimen anterior (derogado) o, por el contrario, debía hacerse con fundamento en lo previsto por el inciso 3º del artículo 36 de la Ley 100 de 1993, como lo consideró la Sala de Casación Laboral de la Corte Suprema de Justicia</w:t>
      </w:r>
      <w:r w:rsidR="00E856D9" w:rsidRPr="00CB543A">
        <w:rPr>
          <w:rFonts w:ascii="Times New Roman" w:hAnsi="Times New Roman" w:cs="Times New Roman"/>
          <w:sz w:val="28"/>
          <w:szCs w:val="28"/>
        </w:rPr>
        <w:t xml:space="preserve"> (primera parte del problema jurídico sustancial</w:t>
      </w:r>
      <w:r w:rsidR="00371464" w:rsidRPr="00CB543A">
        <w:rPr>
          <w:rFonts w:ascii="Times New Roman" w:hAnsi="Times New Roman" w:cs="Times New Roman"/>
          <w:sz w:val="28"/>
          <w:szCs w:val="28"/>
        </w:rPr>
        <w:t xml:space="preserve">, numeral 5.1 </w:t>
      </w:r>
      <w:r w:rsidR="00371464" w:rsidRPr="00CB543A">
        <w:rPr>
          <w:rFonts w:ascii="Times New Roman" w:hAnsi="Times New Roman" w:cs="Times New Roman"/>
          <w:i/>
          <w:sz w:val="28"/>
          <w:szCs w:val="28"/>
        </w:rPr>
        <w:t>infra</w:t>
      </w:r>
      <w:r w:rsidR="00E856D9" w:rsidRPr="00CB543A">
        <w:rPr>
          <w:rFonts w:ascii="Times New Roman" w:hAnsi="Times New Roman" w:cs="Times New Roman"/>
          <w:sz w:val="28"/>
          <w:szCs w:val="28"/>
        </w:rPr>
        <w:t>)</w:t>
      </w:r>
      <w:r w:rsidR="00DB194E" w:rsidRPr="00CB543A">
        <w:rPr>
          <w:rFonts w:ascii="Times New Roman" w:hAnsi="Times New Roman" w:cs="Times New Roman"/>
          <w:sz w:val="28"/>
          <w:szCs w:val="28"/>
        </w:rPr>
        <w:t>.</w:t>
      </w:r>
      <w:r w:rsidR="00320FC6" w:rsidRPr="00CB543A">
        <w:rPr>
          <w:rFonts w:ascii="Times New Roman" w:hAnsi="Times New Roman" w:cs="Times New Roman"/>
          <w:sz w:val="28"/>
          <w:szCs w:val="28"/>
        </w:rPr>
        <w:t xml:space="preserve"> Por otra parte, </w:t>
      </w:r>
      <w:r w:rsidR="00E856D9" w:rsidRPr="00CB543A">
        <w:rPr>
          <w:rFonts w:ascii="Times New Roman" w:hAnsi="Times New Roman" w:cs="Times New Roman"/>
          <w:sz w:val="28"/>
          <w:szCs w:val="28"/>
        </w:rPr>
        <w:t xml:space="preserve">analizar el cargo </w:t>
      </w:r>
      <w:r w:rsidR="0080046D" w:rsidRPr="00CB543A">
        <w:rPr>
          <w:rFonts w:ascii="Times New Roman" w:hAnsi="Times New Roman" w:cs="Times New Roman"/>
          <w:sz w:val="28"/>
          <w:szCs w:val="28"/>
        </w:rPr>
        <w:t>relativo a la presunta falta de aplicación del artículo 19 de Ley 797 de 2003</w:t>
      </w:r>
      <w:r w:rsidR="003E2D65" w:rsidRPr="00CB543A">
        <w:rPr>
          <w:rFonts w:ascii="Times New Roman" w:hAnsi="Times New Roman" w:cs="Times New Roman"/>
          <w:sz w:val="28"/>
          <w:szCs w:val="28"/>
        </w:rPr>
        <w:t xml:space="preserve"> (declarado condicionalmente exequible en la Sentencia C-835 de 2003)</w:t>
      </w:r>
      <w:r w:rsidR="0080046D" w:rsidRPr="00CB543A">
        <w:rPr>
          <w:rFonts w:ascii="Times New Roman" w:hAnsi="Times New Roman" w:cs="Times New Roman"/>
          <w:sz w:val="28"/>
          <w:szCs w:val="28"/>
        </w:rPr>
        <w:t>, del cual derivó el tutelante que se había desconocido</w:t>
      </w:r>
      <w:r w:rsidR="00E856D9" w:rsidRPr="00CB543A">
        <w:rPr>
          <w:rFonts w:ascii="Times New Roman" w:hAnsi="Times New Roman" w:cs="Times New Roman"/>
          <w:sz w:val="28"/>
          <w:szCs w:val="28"/>
        </w:rPr>
        <w:t xml:space="preserve"> el </w:t>
      </w:r>
      <w:r w:rsidR="00E856D9" w:rsidRPr="00CB543A">
        <w:rPr>
          <w:rFonts w:ascii="Times New Roman" w:hAnsi="Times New Roman" w:cs="Times New Roman"/>
          <w:i/>
          <w:sz w:val="28"/>
          <w:szCs w:val="28"/>
        </w:rPr>
        <w:t>acto propio</w:t>
      </w:r>
      <w:r w:rsidR="0080046D" w:rsidRPr="00CB543A">
        <w:rPr>
          <w:rFonts w:ascii="Times New Roman" w:hAnsi="Times New Roman" w:cs="Times New Roman"/>
          <w:sz w:val="28"/>
          <w:szCs w:val="28"/>
        </w:rPr>
        <w:t xml:space="preserve"> por parte de CAPRECOM</w:t>
      </w:r>
      <w:r w:rsidR="003E2D65" w:rsidRPr="00CB543A">
        <w:rPr>
          <w:rFonts w:ascii="Times New Roman" w:hAnsi="Times New Roman" w:cs="Times New Roman"/>
          <w:sz w:val="28"/>
          <w:szCs w:val="28"/>
        </w:rPr>
        <w:t xml:space="preserve"> y </w:t>
      </w:r>
      <w:r w:rsidR="00E856D9" w:rsidRPr="00CB543A">
        <w:rPr>
          <w:rFonts w:ascii="Times New Roman" w:hAnsi="Times New Roman" w:cs="Times New Roman"/>
          <w:sz w:val="28"/>
          <w:szCs w:val="28"/>
        </w:rPr>
        <w:t xml:space="preserve">la imposibilidad de revocar </w:t>
      </w:r>
      <w:r w:rsidR="003E2D65" w:rsidRPr="00CB543A">
        <w:rPr>
          <w:rFonts w:ascii="Times New Roman" w:hAnsi="Times New Roman" w:cs="Times New Roman"/>
          <w:sz w:val="28"/>
          <w:szCs w:val="28"/>
        </w:rPr>
        <w:t xml:space="preserve">el </w:t>
      </w:r>
      <w:r w:rsidR="00E856D9" w:rsidRPr="00CB543A">
        <w:rPr>
          <w:rFonts w:ascii="Times New Roman" w:hAnsi="Times New Roman" w:cs="Times New Roman"/>
          <w:sz w:val="28"/>
          <w:szCs w:val="28"/>
        </w:rPr>
        <w:t xml:space="preserve">acto administrativo </w:t>
      </w:r>
      <w:r w:rsidR="003E2D65" w:rsidRPr="00CB543A">
        <w:rPr>
          <w:rFonts w:ascii="Times New Roman" w:hAnsi="Times New Roman" w:cs="Times New Roman"/>
          <w:sz w:val="28"/>
          <w:szCs w:val="28"/>
        </w:rPr>
        <w:t xml:space="preserve">que había reconocido, de manera inicial, su pensión, </w:t>
      </w:r>
      <w:r w:rsidR="00E856D9" w:rsidRPr="00CB543A">
        <w:rPr>
          <w:rFonts w:ascii="Times New Roman" w:hAnsi="Times New Roman" w:cs="Times New Roman"/>
          <w:sz w:val="28"/>
          <w:szCs w:val="28"/>
        </w:rPr>
        <w:t xml:space="preserve">sin </w:t>
      </w:r>
      <w:r w:rsidR="003E2D65" w:rsidRPr="00CB543A">
        <w:rPr>
          <w:rFonts w:ascii="Times New Roman" w:hAnsi="Times New Roman" w:cs="Times New Roman"/>
          <w:sz w:val="28"/>
          <w:szCs w:val="28"/>
        </w:rPr>
        <w:t xml:space="preserve">su </w:t>
      </w:r>
      <w:r w:rsidR="00E856D9" w:rsidRPr="00CB543A">
        <w:rPr>
          <w:rFonts w:ascii="Times New Roman" w:hAnsi="Times New Roman" w:cs="Times New Roman"/>
          <w:sz w:val="28"/>
          <w:szCs w:val="28"/>
        </w:rPr>
        <w:t>consentimiento (segunda parte del problema jurídico sustancial</w:t>
      </w:r>
      <w:r w:rsidR="00371464" w:rsidRPr="00CB543A">
        <w:rPr>
          <w:rFonts w:ascii="Times New Roman" w:hAnsi="Times New Roman" w:cs="Times New Roman"/>
          <w:sz w:val="28"/>
          <w:szCs w:val="28"/>
        </w:rPr>
        <w:t xml:space="preserve">, numeral 5.2 </w:t>
      </w:r>
      <w:r w:rsidR="00371464" w:rsidRPr="00CB543A">
        <w:rPr>
          <w:rFonts w:ascii="Times New Roman" w:hAnsi="Times New Roman" w:cs="Times New Roman"/>
          <w:i/>
          <w:sz w:val="28"/>
          <w:szCs w:val="28"/>
        </w:rPr>
        <w:t>infra</w:t>
      </w:r>
      <w:r w:rsidR="00E856D9" w:rsidRPr="00CB543A">
        <w:rPr>
          <w:rFonts w:ascii="Times New Roman" w:hAnsi="Times New Roman" w:cs="Times New Roman"/>
          <w:sz w:val="28"/>
          <w:szCs w:val="28"/>
        </w:rPr>
        <w:t>).</w:t>
      </w:r>
    </w:p>
    <w:p w:rsidR="00357C8C" w:rsidRPr="00CB543A" w:rsidRDefault="00357C8C" w:rsidP="00CB543A">
      <w:pPr>
        <w:spacing w:after="0" w:line="240" w:lineRule="auto"/>
        <w:contextualSpacing/>
        <w:jc w:val="both"/>
        <w:rPr>
          <w:rFonts w:ascii="Times New Roman" w:hAnsi="Times New Roman" w:cs="Times New Roman"/>
          <w:sz w:val="28"/>
          <w:szCs w:val="28"/>
        </w:rPr>
      </w:pPr>
    </w:p>
    <w:p w:rsidR="00371464" w:rsidRPr="00CB543A" w:rsidRDefault="00371464" w:rsidP="00CB543A">
      <w:pPr>
        <w:widowControl w:val="0"/>
        <w:numPr>
          <w:ilvl w:val="1"/>
          <w:numId w:val="11"/>
        </w:numPr>
        <w:spacing w:after="0" w:line="240" w:lineRule="auto"/>
        <w:ind w:left="0" w:firstLine="0"/>
        <w:jc w:val="both"/>
        <w:rPr>
          <w:rFonts w:ascii="Times New Roman" w:hAnsi="Times New Roman" w:cs="Times New Roman"/>
          <w:b/>
          <w:sz w:val="28"/>
          <w:szCs w:val="28"/>
        </w:rPr>
      </w:pPr>
      <w:r w:rsidRPr="00CB543A">
        <w:rPr>
          <w:rFonts w:ascii="Times New Roman" w:hAnsi="Times New Roman" w:cs="Times New Roman"/>
          <w:b/>
          <w:sz w:val="28"/>
          <w:szCs w:val="28"/>
        </w:rPr>
        <w:t>Análisis de la primera parte del problema jurídico sustancial del caso</w:t>
      </w:r>
    </w:p>
    <w:p w:rsidR="00371464" w:rsidRPr="00CB543A" w:rsidRDefault="00371464" w:rsidP="00CB543A">
      <w:pPr>
        <w:spacing w:after="0" w:line="240" w:lineRule="auto"/>
        <w:contextualSpacing/>
        <w:jc w:val="both"/>
        <w:rPr>
          <w:rFonts w:ascii="Times New Roman" w:hAnsi="Times New Roman" w:cs="Times New Roman"/>
          <w:sz w:val="28"/>
          <w:szCs w:val="28"/>
        </w:rPr>
      </w:pPr>
    </w:p>
    <w:p w:rsidR="00811ADF" w:rsidRPr="00CB543A" w:rsidRDefault="00493E72" w:rsidP="00CB543A">
      <w:pPr>
        <w:pStyle w:val="Prrafodelista"/>
        <w:numPr>
          <w:ilvl w:val="0"/>
          <w:numId w:val="32"/>
        </w:numPr>
        <w:shd w:val="clear" w:color="auto" w:fill="FFFFFF"/>
        <w:tabs>
          <w:tab w:val="left" w:pos="567"/>
        </w:tabs>
        <w:spacing w:after="0" w:line="240" w:lineRule="auto"/>
        <w:ind w:left="0" w:right="49"/>
        <w:jc w:val="both"/>
        <w:textAlignment w:val="baseline"/>
        <w:rPr>
          <w:rFonts w:ascii="Times New Roman" w:hAnsi="Times New Roman" w:cs="Times New Roman"/>
          <w:sz w:val="28"/>
          <w:szCs w:val="28"/>
        </w:rPr>
      </w:pPr>
      <w:r w:rsidRPr="00CB543A">
        <w:rPr>
          <w:rFonts w:ascii="Times New Roman" w:hAnsi="Times New Roman" w:cs="Times New Roman"/>
          <w:sz w:val="28"/>
          <w:szCs w:val="28"/>
        </w:rPr>
        <w:t>Las regla</w:t>
      </w:r>
      <w:r w:rsidR="00B4586D" w:rsidRPr="00CB543A">
        <w:rPr>
          <w:rFonts w:ascii="Times New Roman" w:hAnsi="Times New Roman" w:cs="Times New Roman"/>
          <w:sz w:val="28"/>
          <w:szCs w:val="28"/>
        </w:rPr>
        <w:t>s</w:t>
      </w:r>
      <w:r w:rsidRPr="00CB543A">
        <w:rPr>
          <w:rFonts w:ascii="Times New Roman" w:hAnsi="Times New Roman" w:cs="Times New Roman"/>
          <w:sz w:val="28"/>
          <w:szCs w:val="28"/>
        </w:rPr>
        <w:t xml:space="preserve"> de decisión que utilizará la Sala para resolver </w:t>
      </w:r>
      <w:r w:rsidR="00E856D9" w:rsidRPr="00CB543A">
        <w:rPr>
          <w:rFonts w:ascii="Times New Roman" w:hAnsi="Times New Roman" w:cs="Times New Roman"/>
          <w:sz w:val="28"/>
          <w:szCs w:val="28"/>
        </w:rPr>
        <w:t>la primera parte d</w:t>
      </w:r>
      <w:r w:rsidR="00D749FD" w:rsidRPr="00CB543A">
        <w:rPr>
          <w:rFonts w:ascii="Times New Roman" w:hAnsi="Times New Roman" w:cs="Times New Roman"/>
          <w:sz w:val="28"/>
          <w:szCs w:val="28"/>
        </w:rPr>
        <w:t xml:space="preserve">el </w:t>
      </w:r>
      <w:r w:rsidR="002A7375" w:rsidRPr="00CB543A">
        <w:rPr>
          <w:rFonts w:ascii="Times New Roman" w:hAnsi="Times New Roman" w:cs="Times New Roman"/>
          <w:sz w:val="28"/>
          <w:szCs w:val="28"/>
        </w:rPr>
        <w:t xml:space="preserve">problema jurídico sustancial </w:t>
      </w:r>
      <w:r w:rsidR="00D749FD" w:rsidRPr="00CB543A">
        <w:rPr>
          <w:rFonts w:ascii="Times New Roman" w:hAnsi="Times New Roman" w:cs="Times New Roman"/>
          <w:sz w:val="28"/>
          <w:szCs w:val="28"/>
        </w:rPr>
        <w:t xml:space="preserve">son </w:t>
      </w:r>
      <w:r w:rsidRPr="00CB543A">
        <w:rPr>
          <w:rFonts w:ascii="Times New Roman" w:hAnsi="Times New Roman" w:cs="Times New Roman"/>
          <w:sz w:val="28"/>
          <w:szCs w:val="28"/>
        </w:rPr>
        <w:t xml:space="preserve">las siguientes: </w:t>
      </w:r>
    </w:p>
    <w:p w:rsidR="00811ADF" w:rsidRPr="00CB543A" w:rsidRDefault="00811ADF" w:rsidP="00CB543A">
      <w:pPr>
        <w:pStyle w:val="Prrafodelista"/>
        <w:spacing w:after="0" w:line="240" w:lineRule="auto"/>
        <w:rPr>
          <w:rFonts w:ascii="Times New Roman" w:hAnsi="Times New Roman" w:cs="Times New Roman"/>
          <w:i/>
          <w:sz w:val="28"/>
          <w:szCs w:val="28"/>
        </w:rPr>
      </w:pPr>
    </w:p>
    <w:p w:rsidR="007D6100" w:rsidRPr="00CB543A" w:rsidRDefault="00493E72" w:rsidP="00CB543A">
      <w:pPr>
        <w:pStyle w:val="Prrafodelista"/>
        <w:numPr>
          <w:ilvl w:val="0"/>
          <w:numId w:val="32"/>
        </w:numPr>
        <w:shd w:val="clear" w:color="auto" w:fill="FFFFFF"/>
        <w:tabs>
          <w:tab w:val="left" w:pos="567"/>
        </w:tabs>
        <w:spacing w:after="0" w:line="240" w:lineRule="auto"/>
        <w:ind w:left="0" w:right="49"/>
        <w:jc w:val="both"/>
        <w:textAlignment w:val="baseline"/>
        <w:rPr>
          <w:rFonts w:ascii="Times New Roman" w:hAnsi="Times New Roman" w:cs="Times New Roman"/>
          <w:sz w:val="28"/>
          <w:szCs w:val="28"/>
        </w:rPr>
      </w:pPr>
      <w:r w:rsidRPr="00CB543A">
        <w:rPr>
          <w:rFonts w:ascii="Times New Roman" w:hAnsi="Times New Roman" w:cs="Times New Roman"/>
          <w:i/>
          <w:sz w:val="28"/>
          <w:szCs w:val="28"/>
        </w:rPr>
        <w:t>(i)</w:t>
      </w:r>
      <w:r w:rsidRPr="00CB543A">
        <w:rPr>
          <w:rFonts w:ascii="Times New Roman" w:hAnsi="Times New Roman" w:cs="Times New Roman"/>
          <w:sz w:val="28"/>
          <w:szCs w:val="28"/>
        </w:rPr>
        <w:t xml:space="preserve"> </w:t>
      </w:r>
      <w:r w:rsidR="00811ADF" w:rsidRPr="00CB543A">
        <w:rPr>
          <w:rFonts w:ascii="Times New Roman" w:hAnsi="Times New Roman" w:cs="Times New Roman"/>
          <w:sz w:val="28"/>
          <w:szCs w:val="28"/>
        </w:rPr>
        <w:t>E</w:t>
      </w:r>
      <w:r w:rsidR="00D749FD" w:rsidRPr="00CB543A">
        <w:rPr>
          <w:rFonts w:ascii="Times New Roman" w:hAnsi="Times New Roman" w:cs="Times New Roman"/>
          <w:sz w:val="28"/>
          <w:szCs w:val="28"/>
        </w:rPr>
        <w:t xml:space="preserve">l </w:t>
      </w:r>
      <w:r w:rsidR="00B4586D" w:rsidRPr="00CB543A">
        <w:rPr>
          <w:rFonts w:ascii="Times New Roman" w:hAnsi="Times New Roman" w:cs="Times New Roman"/>
          <w:sz w:val="28"/>
          <w:szCs w:val="28"/>
        </w:rPr>
        <w:t>accionante</w:t>
      </w:r>
      <w:r w:rsidR="00D749FD" w:rsidRPr="00CB543A">
        <w:rPr>
          <w:rFonts w:ascii="Times New Roman" w:hAnsi="Times New Roman" w:cs="Times New Roman"/>
          <w:sz w:val="28"/>
          <w:szCs w:val="28"/>
        </w:rPr>
        <w:t xml:space="preserve"> no tenía un derecho cierto a la reliquidaci</w:t>
      </w:r>
      <w:r w:rsidR="00B4586D" w:rsidRPr="00CB543A">
        <w:rPr>
          <w:rFonts w:ascii="Times New Roman" w:hAnsi="Times New Roman" w:cs="Times New Roman"/>
          <w:sz w:val="28"/>
          <w:szCs w:val="28"/>
        </w:rPr>
        <w:t>ón de su mesada pensional</w:t>
      </w:r>
      <w:r w:rsidR="00811ADF" w:rsidRPr="00CB543A">
        <w:rPr>
          <w:rFonts w:ascii="Times New Roman" w:hAnsi="Times New Roman" w:cs="Times New Roman"/>
          <w:sz w:val="28"/>
          <w:szCs w:val="28"/>
        </w:rPr>
        <w:t>,</w:t>
      </w:r>
      <w:r w:rsidR="00B4586D" w:rsidRPr="00CB543A">
        <w:rPr>
          <w:rFonts w:ascii="Times New Roman" w:hAnsi="Times New Roman" w:cs="Times New Roman"/>
          <w:sz w:val="28"/>
          <w:szCs w:val="28"/>
        </w:rPr>
        <w:t xml:space="preserve"> en los términos en los que este la solicitó, pues se trataba de </w:t>
      </w:r>
      <w:r w:rsidR="00D749FD" w:rsidRPr="00CB543A">
        <w:rPr>
          <w:rFonts w:ascii="Times New Roman" w:hAnsi="Times New Roman" w:cs="Times New Roman"/>
          <w:sz w:val="28"/>
          <w:szCs w:val="28"/>
        </w:rPr>
        <w:t xml:space="preserve">una </w:t>
      </w:r>
      <w:r w:rsidR="00B4586D" w:rsidRPr="00CB543A">
        <w:rPr>
          <w:rFonts w:ascii="Times New Roman" w:hAnsi="Times New Roman" w:cs="Times New Roman"/>
          <w:i/>
          <w:sz w:val="28"/>
          <w:szCs w:val="28"/>
        </w:rPr>
        <w:t>mera expectativa</w:t>
      </w:r>
      <w:r w:rsidR="00B4586D" w:rsidRPr="00CB543A">
        <w:rPr>
          <w:rFonts w:ascii="Times New Roman" w:hAnsi="Times New Roman" w:cs="Times New Roman"/>
          <w:sz w:val="28"/>
          <w:szCs w:val="28"/>
        </w:rPr>
        <w:t xml:space="preserve">, </w:t>
      </w:r>
      <w:r w:rsidR="00D749FD" w:rsidRPr="00CB543A">
        <w:rPr>
          <w:rFonts w:ascii="Times New Roman" w:hAnsi="Times New Roman" w:cs="Times New Roman"/>
          <w:sz w:val="28"/>
          <w:szCs w:val="28"/>
        </w:rPr>
        <w:t xml:space="preserve">que en </w:t>
      </w:r>
      <w:r w:rsidR="00B4586D" w:rsidRPr="00CB543A">
        <w:rPr>
          <w:rFonts w:ascii="Times New Roman" w:hAnsi="Times New Roman" w:cs="Times New Roman"/>
          <w:sz w:val="28"/>
          <w:szCs w:val="28"/>
        </w:rPr>
        <w:t xml:space="preserve">cierto </w:t>
      </w:r>
      <w:r w:rsidR="00D749FD" w:rsidRPr="00CB543A">
        <w:rPr>
          <w:rFonts w:ascii="Times New Roman" w:hAnsi="Times New Roman" w:cs="Times New Roman"/>
          <w:sz w:val="28"/>
          <w:szCs w:val="28"/>
        </w:rPr>
        <w:t>momento encontró sustento en algunas sentencias de las Salas de Revisión</w:t>
      </w:r>
      <w:r w:rsidR="00B4586D" w:rsidRPr="00CB543A">
        <w:rPr>
          <w:rFonts w:ascii="Times New Roman" w:hAnsi="Times New Roman" w:cs="Times New Roman"/>
          <w:sz w:val="28"/>
          <w:szCs w:val="28"/>
        </w:rPr>
        <w:t xml:space="preserve"> que, posteriormente, entraron en tensión con providencias dictadas por las otras Salas de Revisión, y con otros postulados constitucionales contenidos en el Acto Legislativo 01 de 2005</w:t>
      </w:r>
      <w:r w:rsidR="007D6100" w:rsidRPr="00CB543A">
        <w:rPr>
          <w:rFonts w:ascii="Times New Roman" w:hAnsi="Times New Roman" w:cs="Times New Roman"/>
          <w:sz w:val="28"/>
          <w:szCs w:val="28"/>
        </w:rPr>
        <w:t xml:space="preserve">. </w:t>
      </w:r>
    </w:p>
    <w:p w:rsidR="007D6100" w:rsidRPr="00CB543A" w:rsidRDefault="007D6100" w:rsidP="00CB543A">
      <w:pPr>
        <w:pStyle w:val="Prrafodelista"/>
        <w:spacing w:after="0" w:line="240" w:lineRule="auto"/>
        <w:rPr>
          <w:rFonts w:ascii="Times New Roman" w:hAnsi="Times New Roman" w:cs="Times New Roman"/>
          <w:sz w:val="28"/>
          <w:szCs w:val="28"/>
        </w:rPr>
      </w:pPr>
    </w:p>
    <w:p w:rsidR="007D6100" w:rsidRPr="00CB543A" w:rsidRDefault="00493E72" w:rsidP="00CB543A">
      <w:pPr>
        <w:pStyle w:val="Prrafodelista"/>
        <w:numPr>
          <w:ilvl w:val="0"/>
          <w:numId w:val="32"/>
        </w:numPr>
        <w:shd w:val="clear" w:color="auto" w:fill="FFFFFF"/>
        <w:tabs>
          <w:tab w:val="left" w:pos="567"/>
        </w:tabs>
        <w:spacing w:after="0" w:line="240" w:lineRule="auto"/>
        <w:ind w:left="0" w:right="49"/>
        <w:jc w:val="both"/>
        <w:textAlignment w:val="baseline"/>
        <w:rPr>
          <w:rFonts w:ascii="Times New Roman" w:hAnsi="Times New Roman" w:cs="Times New Roman"/>
          <w:sz w:val="28"/>
          <w:szCs w:val="28"/>
        </w:rPr>
      </w:pPr>
      <w:r w:rsidRPr="00CB543A">
        <w:rPr>
          <w:rFonts w:ascii="Times New Roman" w:hAnsi="Times New Roman" w:cs="Times New Roman"/>
          <w:i/>
          <w:sz w:val="28"/>
          <w:szCs w:val="28"/>
        </w:rPr>
        <w:t xml:space="preserve">(ii) </w:t>
      </w:r>
      <w:r w:rsidR="007D6100" w:rsidRPr="00CB543A">
        <w:rPr>
          <w:rFonts w:ascii="Times New Roman" w:hAnsi="Times New Roman" w:cs="Times New Roman"/>
          <w:sz w:val="28"/>
          <w:szCs w:val="28"/>
        </w:rPr>
        <w:t>A</w:t>
      </w:r>
      <w:r w:rsidR="00B4586D" w:rsidRPr="00CB543A">
        <w:rPr>
          <w:rFonts w:ascii="Times New Roman" w:hAnsi="Times New Roman" w:cs="Times New Roman"/>
          <w:sz w:val="28"/>
          <w:szCs w:val="28"/>
        </w:rPr>
        <w:t>unque pudiera asumirse la existencia de una línea jurisprudencial</w:t>
      </w:r>
      <w:r w:rsidR="00811ADF" w:rsidRPr="00CB543A">
        <w:rPr>
          <w:rFonts w:ascii="Times New Roman" w:hAnsi="Times New Roman" w:cs="Times New Roman"/>
          <w:sz w:val="28"/>
          <w:szCs w:val="28"/>
        </w:rPr>
        <w:t>, para el momento de presentación de la acción de tutela,</w:t>
      </w:r>
      <w:r w:rsidR="002A7375" w:rsidRPr="00CB543A">
        <w:rPr>
          <w:rFonts w:ascii="Times New Roman" w:hAnsi="Times New Roman" w:cs="Times New Roman"/>
          <w:sz w:val="28"/>
          <w:szCs w:val="28"/>
        </w:rPr>
        <w:t xml:space="preserve"> en virtud de la </w:t>
      </w:r>
      <w:r w:rsidR="00811ADF" w:rsidRPr="00CB543A">
        <w:rPr>
          <w:rFonts w:ascii="Times New Roman" w:hAnsi="Times New Roman" w:cs="Times New Roman"/>
          <w:sz w:val="28"/>
          <w:szCs w:val="28"/>
        </w:rPr>
        <w:t xml:space="preserve">cual </w:t>
      </w:r>
      <w:r w:rsidR="00B4586D" w:rsidRPr="00CB543A">
        <w:rPr>
          <w:rFonts w:ascii="Times New Roman" w:hAnsi="Times New Roman" w:cs="Times New Roman"/>
          <w:sz w:val="28"/>
          <w:szCs w:val="28"/>
        </w:rPr>
        <w:t>el IBL de las pensiones sometidas al régimen de transición debía calcularse con fundamento en la normativa anterior</w:t>
      </w:r>
      <w:r w:rsidR="002A7375" w:rsidRPr="00CB543A">
        <w:rPr>
          <w:rFonts w:ascii="Times New Roman" w:hAnsi="Times New Roman" w:cs="Times New Roman"/>
          <w:sz w:val="28"/>
          <w:szCs w:val="28"/>
        </w:rPr>
        <w:t xml:space="preserve"> (derogada)</w:t>
      </w:r>
      <w:r w:rsidR="00B4586D" w:rsidRPr="00CB543A">
        <w:rPr>
          <w:rFonts w:ascii="Times New Roman" w:hAnsi="Times New Roman" w:cs="Times New Roman"/>
          <w:sz w:val="28"/>
          <w:szCs w:val="28"/>
        </w:rPr>
        <w:t xml:space="preserve"> y no con la que estuviera vigente, lo cierto es que, para cuando se profirieron la sentencia anulada </w:t>
      </w:r>
      <w:r w:rsidR="00811ADF" w:rsidRPr="00CB543A">
        <w:rPr>
          <w:rFonts w:ascii="Times New Roman" w:hAnsi="Times New Roman" w:cs="Times New Roman"/>
          <w:sz w:val="28"/>
          <w:szCs w:val="28"/>
        </w:rPr>
        <w:t xml:space="preserve">(T-022 de 2010) </w:t>
      </w:r>
      <w:r w:rsidR="00B4586D" w:rsidRPr="00CB543A">
        <w:rPr>
          <w:rFonts w:ascii="Times New Roman" w:hAnsi="Times New Roman" w:cs="Times New Roman"/>
          <w:sz w:val="28"/>
          <w:szCs w:val="28"/>
        </w:rPr>
        <w:t>y la que se cuestiona en este proceso de tutela</w:t>
      </w:r>
      <w:r w:rsidR="00811ADF" w:rsidRPr="00CB543A">
        <w:rPr>
          <w:rFonts w:ascii="Times New Roman" w:hAnsi="Times New Roman" w:cs="Times New Roman"/>
          <w:sz w:val="28"/>
          <w:szCs w:val="28"/>
        </w:rPr>
        <w:t xml:space="preserve"> (de la Sala </w:t>
      </w:r>
      <w:r w:rsidR="00811ADF" w:rsidRPr="00CB543A">
        <w:rPr>
          <w:rFonts w:ascii="Times New Roman" w:hAnsi="Times New Roman" w:cs="Times New Roman"/>
          <w:sz w:val="28"/>
          <w:szCs w:val="28"/>
        </w:rPr>
        <w:lastRenderedPageBreak/>
        <w:t>Laboral de la Corte Suprema de Justicia)</w:t>
      </w:r>
      <w:r w:rsidR="00B4586D" w:rsidRPr="00CB543A">
        <w:rPr>
          <w:rFonts w:ascii="Times New Roman" w:hAnsi="Times New Roman" w:cs="Times New Roman"/>
          <w:sz w:val="28"/>
          <w:szCs w:val="28"/>
        </w:rPr>
        <w:t xml:space="preserve">, esta </w:t>
      </w:r>
      <w:r w:rsidR="00811ADF" w:rsidRPr="00CB543A">
        <w:rPr>
          <w:rFonts w:ascii="Times New Roman" w:hAnsi="Times New Roman" w:cs="Times New Roman"/>
          <w:sz w:val="28"/>
          <w:szCs w:val="28"/>
        </w:rPr>
        <w:t xml:space="preserve">Corte </w:t>
      </w:r>
      <w:r w:rsidR="00B4586D" w:rsidRPr="00CB543A">
        <w:rPr>
          <w:rFonts w:ascii="Times New Roman" w:hAnsi="Times New Roman" w:cs="Times New Roman"/>
          <w:sz w:val="28"/>
          <w:szCs w:val="28"/>
        </w:rPr>
        <w:t>no se había pronunciado en sede de constitucionalidad acer</w:t>
      </w:r>
      <w:r w:rsidR="00811ADF" w:rsidRPr="00CB543A">
        <w:rPr>
          <w:rFonts w:ascii="Times New Roman" w:hAnsi="Times New Roman" w:cs="Times New Roman"/>
          <w:sz w:val="28"/>
          <w:szCs w:val="28"/>
        </w:rPr>
        <w:t>ca de la interpretación que debía</w:t>
      </w:r>
      <w:r w:rsidR="00B4586D" w:rsidRPr="00CB543A">
        <w:rPr>
          <w:rFonts w:ascii="Times New Roman" w:hAnsi="Times New Roman" w:cs="Times New Roman"/>
          <w:sz w:val="28"/>
          <w:szCs w:val="28"/>
        </w:rPr>
        <w:t xml:space="preserve"> otorgarse al inciso </w:t>
      </w:r>
      <w:r w:rsidR="00811ADF" w:rsidRPr="00CB543A">
        <w:rPr>
          <w:rFonts w:ascii="Times New Roman" w:hAnsi="Times New Roman" w:cs="Times New Roman"/>
          <w:sz w:val="28"/>
          <w:szCs w:val="28"/>
        </w:rPr>
        <w:t xml:space="preserve">3º </w:t>
      </w:r>
      <w:r w:rsidR="00B4586D" w:rsidRPr="00CB543A">
        <w:rPr>
          <w:rFonts w:ascii="Times New Roman" w:hAnsi="Times New Roman" w:cs="Times New Roman"/>
          <w:sz w:val="28"/>
          <w:szCs w:val="28"/>
        </w:rPr>
        <w:t xml:space="preserve">del artículo 36 de la Ley 100 de 1993, señalando que el IBL no </w:t>
      </w:r>
      <w:r w:rsidR="007D6100" w:rsidRPr="00CB543A">
        <w:rPr>
          <w:rFonts w:ascii="Times New Roman" w:hAnsi="Times New Roman" w:cs="Times New Roman"/>
          <w:sz w:val="28"/>
          <w:szCs w:val="28"/>
        </w:rPr>
        <w:t xml:space="preserve">era </w:t>
      </w:r>
      <w:r w:rsidR="00B4586D" w:rsidRPr="00CB543A">
        <w:rPr>
          <w:rFonts w:ascii="Times New Roman" w:hAnsi="Times New Roman" w:cs="Times New Roman"/>
          <w:sz w:val="28"/>
          <w:szCs w:val="28"/>
        </w:rPr>
        <w:t>un elemento del régimen de transición</w:t>
      </w:r>
      <w:r w:rsidRPr="00CB543A">
        <w:rPr>
          <w:rFonts w:ascii="Times New Roman" w:hAnsi="Times New Roman" w:cs="Times New Roman"/>
          <w:sz w:val="28"/>
          <w:szCs w:val="28"/>
        </w:rPr>
        <w:t xml:space="preserve">. </w:t>
      </w:r>
    </w:p>
    <w:p w:rsidR="007D6100" w:rsidRPr="00CB543A" w:rsidRDefault="007D6100" w:rsidP="00CB543A">
      <w:pPr>
        <w:pStyle w:val="Prrafodelista"/>
        <w:spacing w:after="0" w:line="240" w:lineRule="auto"/>
        <w:rPr>
          <w:rFonts w:ascii="Times New Roman" w:hAnsi="Times New Roman" w:cs="Times New Roman"/>
          <w:sz w:val="28"/>
          <w:szCs w:val="28"/>
        </w:rPr>
      </w:pPr>
    </w:p>
    <w:p w:rsidR="00493E72" w:rsidRPr="00CB543A" w:rsidRDefault="00493E72" w:rsidP="00CB543A">
      <w:pPr>
        <w:pStyle w:val="Prrafodelista"/>
        <w:numPr>
          <w:ilvl w:val="0"/>
          <w:numId w:val="32"/>
        </w:numPr>
        <w:shd w:val="clear" w:color="auto" w:fill="FFFFFF"/>
        <w:tabs>
          <w:tab w:val="left" w:pos="567"/>
        </w:tabs>
        <w:spacing w:after="0" w:line="240" w:lineRule="auto"/>
        <w:ind w:left="0" w:right="49"/>
        <w:jc w:val="both"/>
        <w:textAlignment w:val="baseline"/>
        <w:rPr>
          <w:rFonts w:ascii="Times New Roman" w:hAnsi="Times New Roman" w:cs="Times New Roman"/>
          <w:sz w:val="28"/>
          <w:szCs w:val="28"/>
        </w:rPr>
      </w:pPr>
      <w:r w:rsidRPr="00CB543A">
        <w:rPr>
          <w:rFonts w:ascii="Times New Roman" w:hAnsi="Times New Roman" w:cs="Times New Roman"/>
          <w:sz w:val="28"/>
          <w:szCs w:val="28"/>
        </w:rPr>
        <w:t xml:space="preserve">Para efectos de </w:t>
      </w:r>
      <w:r w:rsidR="002A7375" w:rsidRPr="00CB543A">
        <w:rPr>
          <w:rFonts w:ascii="Times New Roman" w:hAnsi="Times New Roman" w:cs="Times New Roman"/>
          <w:sz w:val="28"/>
          <w:szCs w:val="28"/>
        </w:rPr>
        <w:t xml:space="preserve">la </w:t>
      </w:r>
      <w:r w:rsidRPr="00CB543A">
        <w:rPr>
          <w:rFonts w:ascii="Times New Roman" w:hAnsi="Times New Roman" w:cs="Times New Roman"/>
          <w:sz w:val="28"/>
          <w:szCs w:val="28"/>
        </w:rPr>
        <w:t>fundamentación</w:t>
      </w:r>
      <w:r w:rsidR="002A7375" w:rsidRPr="00CB543A">
        <w:rPr>
          <w:rFonts w:ascii="Times New Roman" w:hAnsi="Times New Roman" w:cs="Times New Roman"/>
          <w:sz w:val="28"/>
          <w:szCs w:val="28"/>
        </w:rPr>
        <w:t xml:space="preserve"> de </w:t>
      </w:r>
      <w:r w:rsidR="007D6100" w:rsidRPr="00CB543A">
        <w:rPr>
          <w:rFonts w:ascii="Times New Roman" w:hAnsi="Times New Roman" w:cs="Times New Roman"/>
          <w:sz w:val="28"/>
          <w:szCs w:val="28"/>
        </w:rPr>
        <w:t xml:space="preserve">estas </w:t>
      </w:r>
      <w:r w:rsidR="002A7375" w:rsidRPr="00CB543A">
        <w:rPr>
          <w:rFonts w:ascii="Times New Roman" w:hAnsi="Times New Roman" w:cs="Times New Roman"/>
          <w:sz w:val="28"/>
          <w:szCs w:val="28"/>
        </w:rPr>
        <w:t>reglas de decisión</w:t>
      </w:r>
      <w:r w:rsidRPr="00CB543A">
        <w:rPr>
          <w:rFonts w:ascii="Times New Roman" w:hAnsi="Times New Roman" w:cs="Times New Roman"/>
          <w:sz w:val="28"/>
          <w:szCs w:val="28"/>
        </w:rPr>
        <w:t xml:space="preserve">, de manera previa al análisis de las circunstancias fácticas </w:t>
      </w:r>
      <w:r w:rsidR="002A7375" w:rsidRPr="00CB543A">
        <w:rPr>
          <w:rFonts w:ascii="Times New Roman" w:hAnsi="Times New Roman" w:cs="Times New Roman"/>
          <w:sz w:val="28"/>
          <w:szCs w:val="28"/>
        </w:rPr>
        <w:t xml:space="preserve">demostradas en </w:t>
      </w:r>
      <w:r w:rsidRPr="00CB543A">
        <w:rPr>
          <w:rFonts w:ascii="Times New Roman" w:hAnsi="Times New Roman" w:cs="Times New Roman"/>
          <w:sz w:val="28"/>
          <w:szCs w:val="28"/>
        </w:rPr>
        <w:t>el expediente</w:t>
      </w:r>
      <w:r w:rsidR="007D6100" w:rsidRPr="00CB543A">
        <w:rPr>
          <w:rFonts w:ascii="Times New Roman" w:hAnsi="Times New Roman" w:cs="Times New Roman"/>
          <w:sz w:val="28"/>
          <w:szCs w:val="28"/>
        </w:rPr>
        <w:t xml:space="preserve"> (numeral </w:t>
      </w:r>
      <w:r w:rsidR="00430085" w:rsidRPr="00CB543A">
        <w:rPr>
          <w:rFonts w:ascii="Times New Roman" w:hAnsi="Times New Roman" w:cs="Times New Roman"/>
          <w:sz w:val="28"/>
          <w:szCs w:val="28"/>
        </w:rPr>
        <w:t>5.1.4</w:t>
      </w:r>
      <w:r w:rsidR="007D6100" w:rsidRPr="00CB543A">
        <w:rPr>
          <w:rFonts w:ascii="Times New Roman" w:hAnsi="Times New Roman" w:cs="Times New Roman"/>
          <w:sz w:val="28"/>
          <w:szCs w:val="28"/>
        </w:rPr>
        <w:t xml:space="preserve"> </w:t>
      </w:r>
      <w:r w:rsidR="007D6100" w:rsidRPr="00CB543A">
        <w:rPr>
          <w:rFonts w:ascii="Times New Roman" w:hAnsi="Times New Roman" w:cs="Times New Roman"/>
          <w:i/>
          <w:sz w:val="28"/>
          <w:szCs w:val="28"/>
        </w:rPr>
        <w:t>infra</w:t>
      </w:r>
      <w:r w:rsidR="007D6100" w:rsidRPr="00CB543A">
        <w:rPr>
          <w:rFonts w:ascii="Times New Roman" w:hAnsi="Times New Roman" w:cs="Times New Roman"/>
          <w:sz w:val="28"/>
          <w:szCs w:val="28"/>
        </w:rPr>
        <w:t>)</w:t>
      </w:r>
      <w:r w:rsidRPr="00CB543A">
        <w:rPr>
          <w:rFonts w:ascii="Times New Roman" w:hAnsi="Times New Roman" w:cs="Times New Roman"/>
          <w:sz w:val="28"/>
          <w:szCs w:val="28"/>
        </w:rPr>
        <w:t xml:space="preserve">, la </w:t>
      </w:r>
      <w:r w:rsidR="002A7375" w:rsidRPr="00CB543A">
        <w:rPr>
          <w:rFonts w:ascii="Times New Roman" w:hAnsi="Times New Roman" w:cs="Times New Roman"/>
          <w:sz w:val="28"/>
          <w:szCs w:val="28"/>
        </w:rPr>
        <w:t xml:space="preserve">Sala </w:t>
      </w:r>
      <w:r w:rsidRPr="00CB543A">
        <w:rPr>
          <w:rFonts w:ascii="Times New Roman" w:hAnsi="Times New Roman" w:cs="Times New Roman"/>
          <w:sz w:val="28"/>
          <w:szCs w:val="28"/>
        </w:rPr>
        <w:t xml:space="preserve">se pronunciará </w:t>
      </w:r>
      <w:r w:rsidR="002A7375" w:rsidRPr="00CB543A">
        <w:rPr>
          <w:rFonts w:ascii="Times New Roman" w:hAnsi="Times New Roman" w:cs="Times New Roman"/>
          <w:sz w:val="28"/>
          <w:szCs w:val="28"/>
        </w:rPr>
        <w:t>frente a la</w:t>
      </w:r>
      <w:r w:rsidRPr="00CB543A">
        <w:rPr>
          <w:rFonts w:ascii="Times New Roman" w:hAnsi="Times New Roman" w:cs="Times New Roman"/>
          <w:sz w:val="28"/>
          <w:szCs w:val="28"/>
        </w:rPr>
        <w:t>s siguientes premi</w:t>
      </w:r>
      <w:r w:rsidR="00AE1918" w:rsidRPr="00CB543A">
        <w:rPr>
          <w:rFonts w:ascii="Times New Roman" w:hAnsi="Times New Roman" w:cs="Times New Roman"/>
          <w:sz w:val="28"/>
          <w:szCs w:val="28"/>
        </w:rPr>
        <w:t>s</w:t>
      </w:r>
      <w:r w:rsidRPr="00CB543A">
        <w:rPr>
          <w:rFonts w:ascii="Times New Roman" w:hAnsi="Times New Roman" w:cs="Times New Roman"/>
          <w:sz w:val="28"/>
          <w:szCs w:val="28"/>
        </w:rPr>
        <w:t xml:space="preserve">as generales del análisis: </w:t>
      </w:r>
      <w:r w:rsidRPr="00CB543A">
        <w:rPr>
          <w:rFonts w:ascii="Times New Roman" w:hAnsi="Times New Roman" w:cs="Times New Roman"/>
          <w:i/>
          <w:sz w:val="28"/>
          <w:szCs w:val="28"/>
        </w:rPr>
        <w:t>(i)</w:t>
      </w:r>
      <w:r w:rsidRPr="00CB543A">
        <w:rPr>
          <w:rFonts w:ascii="Times New Roman" w:hAnsi="Times New Roman" w:cs="Times New Roman"/>
          <w:b/>
          <w:sz w:val="28"/>
          <w:szCs w:val="28"/>
        </w:rPr>
        <w:t xml:space="preserve"> </w:t>
      </w:r>
      <w:r w:rsidRPr="00CB543A">
        <w:rPr>
          <w:rFonts w:ascii="Times New Roman" w:hAnsi="Times New Roman" w:cs="Times New Roman"/>
          <w:sz w:val="28"/>
          <w:szCs w:val="28"/>
        </w:rPr>
        <w:t xml:space="preserve">el desconocimiento del precedente como requisito de procedencia </w:t>
      </w:r>
      <w:r w:rsidR="002A7375" w:rsidRPr="00CB543A">
        <w:rPr>
          <w:rFonts w:ascii="Times New Roman" w:hAnsi="Times New Roman" w:cs="Times New Roman"/>
          <w:sz w:val="28"/>
          <w:szCs w:val="28"/>
        </w:rPr>
        <w:t xml:space="preserve">de la acción de tutela </w:t>
      </w:r>
      <w:r w:rsidRPr="00CB543A">
        <w:rPr>
          <w:rFonts w:ascii="Times New Roman" w:hAnsi="Times New Roman" w:cs="Times New Roman"/>
          <w:sz w:val="28"/>
          <w:szCs w:val="28"/>
        </w:rPr>
        <w:t>contra providencias judiciales</w:t>
      </w:r>
      <w:r w:rsidR="007D6100" w:rsidRPr="00CB543A">
        <w:rPr>
          <w:rFonts w:ascii="Times New Roman" w:hAnsi="Times New Roman" w:cs="Times New Roman"/>
          <w:sz w:val="28"/>
          <w:szCs w:val="28"/>
        </w:rPr>
        <w:t xml:space="preserve"> (numeral </w:t>
      </w:r>
      <w:r w:rsidR="00371464" w:rsidRPr="00CB543A">
        <w:rPr>
          <w:rFonts w:ascii="Times New Roman" w:hAnsi="Times New Roman" w:cs="Times New Roman"/>
          <w:sz w:val="28"/>
          <w:szCs w:val="28"/>
        </w:rPr>
        <w:t xml:space="preserve">5.1.1 </w:t>
      </w:r>
      <w:r w:rsidR="007D6100" w:rsidRPr="00CB543A">
        <w:rPr>
          <w:rFonts w:ascii="Times New Roman" w:hAnsi="Times New Roman" w:cs="Times New Roman"/>
          <w:i/>
          <w:sz w:val="28"/>
          <w:szCs w:val="28"/>
        </w:rPr>
        <w:t>infra</w:t>
      </w:r>
      <w:r w:rsidR="007D6100" w:rsidRPr="00CB543A">
        <w:rPr>
          <w:rFonts w:ascii="Times New Roman" w:hAnsi="Times New Roman" w:cs="Times New Roman"/>
          <w:sz w:val="28"/>
          <w:szCs w:val="28"/>
        </w:rPr>
        <w:t>)</w:t>
      </w:r>
      <w:r w:rsidRPr="00CB543A">
        <w:rPr>
          <w:rFonts w:ascii="Times New Roman" w:hAnsi="Times New Roman" w:cs="Times New Roman"/>
          <w:sz w:val="28"/>
          <w:szCs w:val="28"/>
        </w:rPr>
        <w:t xml:space="preserve">; </w:t>
      </w:r>
      <w:r w:rsidRPr="00CB543A">
        <w:rPr>
          <w:rFonts w:ascii="Times New Roman" w:hAnsi="Times New Roman" w:cs="Times New Roman"/>
          <w:i/>
          <w:sz w:val="28"/>
          <w:szCs w:val="28"/>
        </w:rPr>
        <w:t xml:space="preserve">(ii) </w:t>
      </w:r>
      <w:r w:rsidR="00A24AF8" w:rsidRPr="00CB543A">
        <w:rPr>
          <w:rFonts w:ascii="Times New Roman" w:hAnsi="Times New Roman" w:cs="Times New Roman"/>
          <w:sz w:val="28"/>
          <w:szCs w:val="28"/>
        </w:rPr>
        <w:t>el contenido normativo</w:t>
      </w:r>
      <w:r w:rsidR="001D1B33" w:rsidRPr="00CB543A">
        <w:rPr>
          <w:rFonts w:ascii="Times New Roman" w:hAnsi="Times New Roman" w:cs="Times New Roman"/>
          <w:sz w:val="28"/>
          <w:szCs w:val="28"/>
        </w:rPr>
        <w:t xml:space="preserve"> </w:t>
      </w:r>
      <w:r w:rsidRPr="00CB543A">
        <w:rPr>
          <w:rFonts w:ascii="Times New Roman" w:hAnsi="Times New Roman" w:cs="Times New Roman"/>
          <w:sz w:val="28"/>
          <w:szCs w:val="28"/>
        </w:rPr>
        <w:t>de</w:t>
      </w:r>
      <w:r w:rsidR="00156D83" w:rsidRPr="00CB543A">
        <w:rPr>
          <w:rFonts w:ascii="Times New Roman" w:hAnsi="Times New Roman" w:cs="Times New Roman"/>
          <w:sz w:val="28"/>
          <w:szCs w:val="28"/>
        </w:rPr>
        <w:t>l</w:t>
      </w:r>
      <w:r w:rsidR="002A7375" w:rsidRPr="00CB543A">
        <w:rPr>
          <w:rFonts w:ascii="Times New Roman" w:hAnsi="Times New Roman" w:cs="Times New Roman"/>
          <w:sz w:val="28"/>
          <w:szCs w:val="28"/>
        </w:rPr>
        <w:t xml:space="preserve"> </w:t>
      </w:r>
      <w:r w:rsidRPr="00CB543A">
        <w:rPr>
          <w:rFonts w:ascii="Times New Roman" w:hAnsi="Times New Roman" w:cs="Times New Roman"/>
          <w:sz w:val="28"/>
          <w:szCs w:val="28"/>
        </w:rPr>
        <w:t xml:space="preserve">artículo 36 de la Ley 100 de 1993 </w:t>
      </w:r>
      <w:r w:rsidR="007D6100" w:rsidRPr="00CB543A">
        <w:rPr>
          <w:rFonts w:ascii="Times New Roman" w:hAnsi="Times New Roman" w:cs="Times New Roman"/>
          <w:sz w:val="28"/>
          <w:szCs w:val="28"/>
        </w:rPr>
        <w:t xml:space="preserve">(numeral </w:t>
      </w:r>
      <w:r w:rsidR="00430085" w:rsidRPr="00CB543A">
        <w:rPr>
          <w:rFonts w:ascii="Times New Roman" w:hAnsi="Times New Roman" w:cs="Times New Roman"/>
          <w:sz w:val="28"/>
          <w:szCs w:val="28"/>
        </w:rPr>
        <w:t xml:space="preserve">5.1.2 </w:t>
      </w:r>
      <w:r w:rsidR="007D6100" w:rsidRPr="00CB543A">
        <w:rPr>
          <w:rFonts w:ascii="Times New Roman" w:hAnsi="Times New Roman" w:cs="Times New Roman"/>
          <w:i/>
          <w:sz w:val="28"/>
          <w:szCs w:val="28"/>
        </w:rPr>
        <w:t>infra</w:t>
      </w:r>
      <w:r w:rsidR="007D6100" w:rsidRPr="00CB543A">
        <w:rPr>
          <w:rFonts w:ascii="Times New Roman" w:hAnsi="Times New Roman" w:cs="Times New Roman"/>
          <w:sz w:val="28"/>
          <w:szCs w:val="28"/>
        </w:rPr>
        <w:t xml:space="preserve">) </w:t>
      </w:r>
      <w:r w:rsidRPr="00CB543A">
        <w:rPr>
          <w:rFonts w:ascii="Times New Roman" w:hAnsi="Times New Roman" w:cs="Times New Roman"/>
          <w:sz w:val="28"/>
          <w:szCs w:val="28"/>
        </w:rPr>
        <w:t xml:space="preserve">y </w:t>
      </w:r>
      <w:r w:rsidRPr="00CB543A">
        <w:rPr>
          <w:rFonts w:ascii="Times New Roman" w:hAnsi="Times New Roman" w:cs="Times New Roman"/>
          <w:i/>
          <w:sz w:val="28"/>
          <w:szCs w:val="28"/>
        </w:rPr>
        <w:t>(iii)</w:t>
      </w:r>
      <w:r w:rsidRPr="00CB543A">
        <w:rPr>
          <w:rFonts w:ascii="Times New Roman" w:hAnsi="Times New Roman" w:cs="Times New Roman"/>
          <w:b/>
          <w:sz w:val="28"/>
          <w:szCs w:val="28"/>
        </w:rPr>
        <w:t xml:space="preserve"> </w:t>
      </w:r>
      <w:r w:rsidRPr="00CB543A">
        <w:rPr>
          <w:rFonts w:ascii="Times New Roman" w:hAnsi="Times New Roman" w:cs="Times New Roman"/>
          <w:sz w:val="28"/>
          <w:szCs w:val="28"/>
        </w:rPr>
        <w:t xml:space="preserve">el régimen jurídico aplicable al caso </w:t>
      </w:r>
      <w:r w:rsidR="00B726C6" w:rsidRPr="00CB543A">
        <w:rPr>
          <w:rFonts w:ascii="Times New Roman" w:hAnsi="Times New Roman" w:cs="Times New Roman"/>
          <w:sz w:val="28"/>
          <w:szCs w:val="28"/>
        </w:rPr>
        <w:t>del señor Ramírez Gil</w:t>
      </w:r>
      <w:r w:rsidR="00430085" w:rsidRPr="00CB543A">
        <w:rPr>
          <w:rFonts w:ascii="Times New Roman" w:hAnsi="Times New Roman" w:cs="Times New Roman"/>
          <w:sz w:val="28"/>
          <w:szCs w:val="28"/>
        </w:rPr>
        <w:t xml:space="preserve">, de conformidad con </w:t>
      </w:r>
      <w:r w:rsidR="00584FB1" w:rsidRPr="00CB543A">
        <w:rPr>
          <w:rFonts w:ascii="Times New Roman" w:hAnsi="Times New Roman" w:cs="Times New Roman"/>
          <w:sz w:val="28"/>
          <w:szCs w:val="28"/>
        </w:rPr>
        <w:t>las reglas de la jurisprudencia constitucional aplicables al régimen de transición y, en particular, al IBL</w:t>
      </w:r>
      <w:r w:rsidR="007D6100" w:rsidRPr="00CB543A">
        <w:rPr>
          <w:rFonts w:ascii="Times New Roman" w:hAnsi="Times New Roman" w:cs="Times New Roman"/>
          <w:sz w:val="28"/>
          <w:szCs w:val="28"/>
        </w:rPr>
        <w:t xml:space="preserve"> (numeral </w:t>
      </w:r>
      <w:r w:rsidR="00430085" w:rsidRPr="00CB543A">
        <w:rPr>
          <w:rFonts w:ascii="Times New Roman" w:hAnsi="Times New Roman" w:cs="Times New Roman"/>
          <w:sz w:val="28"/>
          <w:szCs w:val="28"/>
        </w:rPr>
        <w:t>5.1.3</w:t>
      </w:r>
      <w:r w:rsidR="007D6100" w:rsidRPr="00CB543A">
        <w:rPr>
          <w:rFonts w:ascii="Times New Roman" w:hAnsi="Times New Roman" w:cs="Times New Roman"/>
          <w:sz w:val="28"/>
          <w:szCs w:val="28"/>
        </w:rPr>
        <w:t xml:space="preserve"> </w:t>
      </w:r>
      <w:r w:rsidR="007D6100" w:rsidRPr="00CB543A">
        <w:rPr>
          <w:rFonts w:ascii="Times New Roman" w:hAnsi="Times New Roman" w:cs="Times New Roman"/>
          <w:i/>
          <w:sz w:val="28"/>
          <w:szCs w:val="28"/>
        </w:rPr>
        <w:t>infra</w:t>
      </w:r>
      <w:r w:rsidR="007D6100" w:rsidRPr="00CB543A">
        <w:rPr>
          <w:rFonts w:ascii="Times New Roman" w:hAnsi="Times New Roman" w:cs="Times New Roman"/>
          <w:sz w:val="28"/>
          <w:szCs w:val="28"/>
        </w:rPr>
        <w:t>)</w:t>
      </w:r>
      <w:r w:rsidRPr="00CB543A">
        <w:rPr>
          <w:rFonts w:ascii="Times New Roman" w:hAnsi="Times New Roman" w:cs="Times New Roman"/>
          <w:sz w:val="28"/>
          <w:szCs w:val="28"/>
        </w:rPr>
        <w:t>.</w:t>
      </w:r>
    </w:p>
    <w:p w:rsidR="00B4586D" w:rsidRPr="00CB543A" w:rsidRDefault="00B4586D" w:rsidP="00CB543A">
      <w:pPr>
        <w:widowControl w:val="0"/>
        <w:spacing w:after="0" w:line="240" w:lineRule="auto"/>
        <w:contextualSpacing/>
        <w:jc w:val="both"/>
        <w:rPr>
          <w:rFonts w:ascii="Times New Roman" w:hAnsi="Times New Roman" w:cs="Times New Roman"/>
          <w:b/>
          <w:sz w:val="28"/>
          <w:szCs w:val="28"/>
        </w:rPr>
      </w:pPr>
    </w:p>
    <w:p w:rsidR="00B726C6" w:rsidRPr="00CB543A" w:rsidRDefault="00595153" w:rsidP="00CB543A">
      <w:pPr>
        <w:pStyle w:val="Prrafodelista"/>
        <w:widowControl w:val="0"/>
        <w:numPr>
          <w:ilvl w:val="2"/>
          <w:numId w:val="11"/>
        </w:numPr>
        <w:spacing w:after="0" w:line="240" w:lineRule="auto"/>
        <w:ind w:left="0" w:firstLine="0"/>
        <w:jc w:val="both"/>
        <w:rPr>
          <w:rFonts w:ascii="Times New Roman" w:hAnsi="Times New Roman" w:cs="Times New Roman"/>
          <w:b/>
          <w:sz w:val="28"/>
          <w:szCs w:val="28"/>
        </w:rPr>
      </w:pPr>
      <w:r w:rsidRPr="00CB543A">
        <w:rPr>
          <w:rFonts w:ascii="Times New Roman" w:hAnsi="Times New Roman" w:cs="Times New Roman"/>
          <w:b/>
          <w:sz w:val="28"/>
          <w:szCs w:val="28"/>
        </w:rPr>
        <w:t>Caracterización del defecto por d</w:t>
      </w:r>
      <w:r w:rsidR="00493E72" w:rsidRPr="00CB543A">
        <w:rPr>
          <w:rFonts w:ascii="Times New Roman" w:hAnsi="Times New Roman" w:cs="Times New Roman"/>
          <w:b/>
          <w:sz w:val="28"/>
          <w:szCs w:val="28"/>
        </w:rPr>
        <w:t xml:space="preserve">esconocimiento del </w:t>
      </w:r>
      <w:r w:rsidR="00001A84" w:rsidRPr="00CB543A">
        <w:rPr>
          <w:rFonts w:ascii="Times New Roman" w:hAnsi="Times New Roman" w:cs="Times New Roman"/>
          <w:b/>
          <w:sz w:val="28"/>
          <w:szCs w:val="28"/>
        </w:rPr>
        <w:t>“</w:t>
      </w:r>
      <w:r w:rsidR="00493E72" w:rsidRPr="00CB543A">
        <w:rPr>
          <w:rFonts w:ascii="Times New Roman" w:hAnsi="Times New Roman" w:cs="Times New Roman"/>
          <w:b/>
          <w:sz w:val="28"/>
          <w:szCs w:val="28"/>
        </w:rPr>
        <w:t>precedent</w:t>
      </w:r>
      <w:r w:rsidRPr="00CB543A">
        <w:rPr>
          <w:rFonts w:ascii="Times New Roman" w:hAnsi="Times New Roman" w:cs="Times New Roman"/>
          <w:b/>
          <w:sz w:val="28"/>
          <w:szCs w:val="28"/>
        </w:rPr>
        <w:t>e</w:t>
      </w:r>
      <w:r w:rsidR="00001A84" w:rsidRPr="00CB543A">
        <w:rPr>
          <w:rFonts w:ascii="Times New Roman" w:hAnsi="Times New Roman" w:cs="Times New Roman"/>
          <w:b/>
          <w:sz w:val="28"/>
          <w:szCs w:val="28"/>
        </w:rPr>
        <w:t xml:space="preserve"> constitucional”</w:t>
      </w:r>
      <w:r w:rsidR="00493E72" w:rsidRPr="00CB543A">
        <w:rPr>
          <w:rFonts w:ascii="Times New Roman" w:hAnsi="Times New Roman" w:cs="Times New Roman"/>
          <w:b/>
          <w:sz w:val="28"/>
          <w:szCs w:val="28"/>
        </w:rPr>
        <w:t xml:space="preserve"> </w:t>
      </w:r>
    </w:p>
    <w:p w:rsidR="00B726C6" w:rsidRPr="00CB543A" w:rsidRDefault="00B726C6" w:rsidP="00CB543A">
      <w:pPr>
        <w:widowControl w:val="0"/>
        <w:spacing w:after="0" w:line="240" w:lineRule="auto"/>
        <w:jc w:val="both"/>
        <w:rPr>
          <w:rFonts w:ascii="Times New Roman" w:hAnsi="Times New Roman" w:cs="Times New Roman"/>
          <w:b/>
          <w:sz w:val="28"/>
          <w:szCs w:val="28"/>
        </w:rPr>
      </w:pPr>
    </w:p>
    <w:p w:rsidR="00936589" w:rsidRPr="00CB543A" w:rsidRDefault="003C671B" w:rsidP="00CB543A">
      <w:pPr>
        <w:pStyle w:val="Prrafodelista"/>
        <w:widowControl w:val="0"/>
        <w:numPr>
          <w:ilvl w:val="0"/>
          <w:numId w:val="32"/>
        </w:numPr>
        <w:shd w:val="clear" w:color="auto" w:fill="FFFFFF"/>
        <w:tabs>
          <w:tab w:val="left" w:pos="426"/>
        </w:tabs>
        <w:spacing w:after="0" w:line="240" w:lineRule="auto"/>
        <w:ind w:left="0"/>
        <w:jc w:val="both"/>
        <w:textAlignment w:val="baseline"/>
        <w:rPr>
          <w:rFonts w:ascii="Times New Roman" w:hAnsi="Times New Roman" w:cs="Times New Roman"/>
          <w:b/>
          <w:sz w:val="28"/>
          <w:szCs w:val="28"/>
        </w:rPr>
      </w:pPr>
      <w:r w:rsidRPr="00CB543A">
        <w:rPr>
          <w:rFonts w:ascii="Times New Roman" w:hAnsi="Times New Roman" w:cs="Times New Roman"/>
          <w:iCs/>
          <w:sz w:val="28"/>
          <w:szCs w:val="28"/>
          <w:bdr w:val="none" w:sz="0" w:space="0" w:color="auto" w:frame="1"/>
          <w:shd w:val="clear" w:color="auto" w:fill="FFFFFF"/>
        </w:rPr>
        <w:t>L</w:t>
      </w:r>
      <w:r w:rsidR="00F96238" w:rsidRPr="00CB543A">
        <w:rPr>
          <w:rFonts w:ascii="Times New Roman" w:hAnsi="Times New Roman" w:cs="Times New Roman"/>
          <w:iCs/>
          <w:sz w:val="28"/>
          <w:szCs w:val="28"/>
          <w:bdr w:val="none" w:sz="0" w:space="0" w:color="auto" w:frame="1"/>
          <w:shd w:val="clear" w:color="auto" w:fill="FFFFFF"/>
        </w:rPr>
        <w:t>os jueces</w:t>
      </w:r>
      <w:r w:rsidR="00A56907" w:rsidRPr="00CB543A">
        <w:rPr>
          <w:rFonts w:ascii="Times New Roman" w:hAnsi="Times New Roman" w:cs="Times New Roman"/>
          <w:iCs/>
          <w:sz w:val="28"/>
          <w:szCs w:val="28"/>
          <w:bdr w:val="none" w:sz="0" w:space="0" w:color="auto" w:frame="1"/>
          <w:shd w:val="clear" w:color="auto" w:fill="FFFFFF"/>
        </w:rPr>
        <w:t xml:space="preserve"> </w:t>
      </w:r>
      <w:r w:rsidR="009C6514" w:rsidRPr="00CB543A">
        <w:rPr>
          <w:rFonts w:ascii="Times New Roman" w:hAnsi="Times New Roman" w:cs="Times New Roman"/>
          <w:iCs/>
          <w:sz w:val="28"/>
          <w:szCs w:val="28"/>
          <w:bdr w:val="none" w:sz="0" w:space="0" w:color="auto" w:frame="1"/>
          <w:shd w:val="clear" w:color="auto" w:fill="FFFFFF"/>
        </w:rPr>
        <w:t xml:space="preserve">de instancia </w:t>
      </w:r>
      <w:r w:rsidRPr="00CB543A">
        <w:rPr>
          <w:rFonts w:ascii="Times New Roman" w:hAnsi="Times New Roman" w:cs="Times New Roman"/>
          <w:iCs/>
          <w:sz w:val="28"/>
          <w:szCs w:val="28"/>
          <w:bdr w:val="none" w:sz="0" w:space="0" w:color="auto" w:frame="1"/>
          <w:shd w:val="clear" w:color="auto" w:fill="FFFFFF"/>
        </w:rPr>
        <w:t xml:space="preserve">tienen un deber </w:t>
      </w:r>
      <w:r w:rsidRPr="00CB543A">
        <w:rPr>
          <w:rFonts w:ascii="Times New Roman" w:hAnsi="Times New Roman" w:cs="Times New Roman"/>
          <w:i/>
          <w:iCs/>
          <w:sz w:val="28"/>
          <w:szCs w:val="28"/>
          <w:bdr w:val="none" w:sz="0" w:space="0" w:color="auto" w:frame="1"/>
          <w:shd w:val="clear" w:color="auto" w:fill="FFFFFF"/>
        </w:rPr>
        <w:t xml:space="preserve">prima facie </w:t>
      </w:r>
      <w:r w:rsidRPr="00CB543A">
        <w:rPr>
          <w:rFonts w:ascii="Times New Roman" w:hAnsi="Times New Roman" w:cs="Times New Roman"/>
          <w:iCs/>
          <w:sz w:val="28"/>
          <w:szCs w:val="28"/>
          <w:bdr w:val="none" w:sz="0" w:space="0" w:color="auto" w:frame="1"/>
          <w:shd w:val="clear" w:color="auto" w:fill="FFFFFF"/>
        </w:rPr>
        <w:t xml:space="preserve">de aplicar, de manera análoga, los precedentes vinculantes de las Altas Cortes, </w:t>
      </w:r>
      <w:r w:rsidR="00A56907" w:rsidRPr="00CB543A">
        <w:rPr>
          <w:rFonts w:ascii="Times New Roman" w:hAnsi="Times New Roman" w:cs="Times New Roman"/>
          <w:iCs/>
          <w:sz w:val="28"/>
          <w:szCs w:val="28"/>
          <w:bdr w:val="none" w:sz="0" w:space="0" w:color="auto" w:frame="1"/>
          <w:shd w:val="clear" w:color="auto" w:fill="FFFFFF"/>
        </w:rPr>
        <w:t>a la resolución de casos concretos, así como de aplicar la jurisprudencia vinculante de est</w:t>
      </w:r>
      <w:r w:rsidR="00007BC0" w:rsidRPr="00CB543A">
        <w:rPr>
          <w:rFonts w:ascii="Times New Roman" w:hAnsi="Times New Roman" w:cs="Times New Roman"/>
          <w:iCs/>
          <w:sz w:val="28"/>
          <w:szCs w:val="28"/>
          <w:bdr w:val="none" w:sz="0" w:space="0" w:color="auto" w:frame="1"/>
          <w:shd w:val="clear" w:color="auto" w:fill="FFFFFF"/>
        </w:rPr>
        <w:t>a</w:t>
      </w:r>
      <w:r w:rsidR="00A56907" w:rsidRPr="00CB543A">
        <w:rPr>
          <w:rFonts w:ascii="Times New Roman" w:hAnsi="Times New Roman" w:cs="Times New Roman"/>
          <w:iCs/>
          <w:sz w:val="28"/>
          <w:szCs w:val="28"/>
          <w:bdr w:val="none" w:sz="0" w:space="0" w:color="auto" w:frame="1"/>
          <w:shd w:val="clear" w:color="auto" w:fill="FFFFFF"/>
        </w:rPr>
        <w:t>s</w:t>
      </w:r>
      <w:r w:rsidR="00F96238" w:rsidRPr="00CB543A">
        <w:rPr>
          <w:rFonts w:ascii="Times New Roman" w:hAnsi="Times New Roman" w:cs="Times New Roman"/>
          <w:iCs/>
          <w:sz w:val="28"/>
          <w:szCs w:val="28"/>
          <w:bdr w:val="none" w:sz="0" w:space="0" w:color="auto" w:frame="1"/>
          <w:shd w:val="clear" w:color="auto" w:fill="FFFFFF"/>
        </w:rPr>
        <w:t xml:space="preserve">. </w:t>
      </w:r>
      <w:r w:rsidR="009C6514" w:rsidRPr="00CB543A">
        <w:rPr>
          <w:rFonts w:ascii="Times New Roman" w:hAnsi="Times New Roman" w:cs="Times New Roman"/>
          <w:iCs/>
          <w:sz w:val="28"/>
          <w:szCs w:val="28"/>
          <w:bdr w:val="none" w:sz="0" w:space="0" w:color="auto" w:frame="1"/>
          <w:shd w:val="clear" w:color="auto" w:fill="FFFFFF"/>
        </w:rPr>
        <w:t>Lo dicho se explica</w:t>
      </w:r>
      <w:r w:rsidR="00234A7B" w:rsidRPr="00CB543A">
        <w:rPr>
          <w:rFonts w:ascii="Times New Roman" w:hAnsi="Times New Roman" w:cs="Times New Roman"/>
          <w:iCs/>
          <w:sz w:val="28"/>
          <w:szCs w:val="28"/>
          <w:bdr w:val="none" w:sz="0" w:space="0" w:color="auto" w:frame="1"/>
          <w:shd w:val="clear" w:color="auto" w:fill="FFFFFF"/>
        </w:rPr>
        <w:t>, con fundamento</w:t>
      </w:r>
      <w:r w:rsidR="00001A84" w:rsidRPr="00CB543A">
        <w:rPr>
          <w:rFonts w:ascii="Times New Roman" w:hAnsi="Times New Roman" w:cs="Times New Roman"/>
          <w:iCs/>
          <w:sz w:val="28"/>
          <w:szCs w:val="28"/>
          <w:bdr w:val="none" w:sz="0" w:space="0" w:color="auto" w:frame="1"/>
          <w:shd w:val="clear" w:color="auto" w:fill="FFFFFF"/>
        </w:rPr>
        <w:t xml:space="preserve"> en</w:t>
      </w:r>
      <w:r w:rsidR="009C6514" w:rsidRPr="00CB543A">
        <w:rPr>
          <w:rFonts w:ascii="Times New Roman" w:hAnsi="Times New Roman" w:cs="Times New Roman"/>
          <w:iCs/>
          <w:sz w:val="28"/>
          <w:szCs w:val="28"/>
          <w:bdr w:val="none" w:sz="0" w:space="0" w:color="auto" w:frame="1"/>
          <w:shd w:val="clear" w:color="auto" w:fill="FFFFFF"/>
        </w:rPr>
        <w:t xml:space="preserve">, por lo menos, </w:t>
      </w:r>
      <w:r w:rsidR="00234A7B" w:rsidRPr="00CB543A">
        <w:rPr>
          <w:rFonts w:ascii="Times New Roman" w:hAnsi="Times New Roman" w:cs="Times New Roman"/>
          <w:iCs/>
          <w:sz w:val="28"/>
          <w:szCs w:val="28"/>
          <w:bdr w:val="none" w:sz="0" w:space="0" w:color="auto" w:frame="1"/>
          <w:shd w:val="clear" w:color="auto" w:fill="FFFFFF"/>
        </w:rPr>
        <w:t xml:space="preserve">estas cuatro razones: </w:t>
      </w:r>
      <w:r w:rsidR="00234A7B" w:rsidRPr="00CB543A">
        <w:rPr>
          <w:rFonts w:ascii="Times New Roman" w:hAnsi="Times New Roman" w:cs="Times New Roman"/>
          <w:i/>
          <w:iCs/>
          <w:sz w:val="28"/>
          <w:szCs w:val="28"/>
          <w:bdr w:val="none" w:sz="0" w:space="0" w:color="auto" w:frame="1"/>
          <w:shd w:val="clear" w:color="auto" w:fill="FFFFFF"/>
        </w:rPr>
        <w:t>(i)</w:t>
      </w:r>
      <w:r w:rsidR="00234A7B" w:rsidRPr="00CB543A">
        <w:rPr>
          <w:rFonts w:ascii="Times New Roman" w:hAnsi="Times New Roman" w:cs="Times New Roman"/>
          <w:sz w:val="28"/>
          <w:szCs w:val="28"/>
        </w:rPr>
        <w:t xml:space="preserve"> en virtud del principio de igualdad en la aplicación de la ley, que exige tratar de manera igual situaciones </w:t>
      </w:r>
      <w:r w:rsidR="009C6514" w:rsidRPr="00CB543A">
        <w:rPr>
          <w:rFonts w:ascii="Times New Roman" w:hAnsi="Times New Roman" w:cs="Times New Roman"/>
          <w:sz w:val="28"/>
          <w:szCs w:val="28"/>
        </w:rPr>
        <w:t>análogas</w:t>
      </w:r>
      <w:r w:rsidR="00234A7B" w:rsidRPr="00CB543A">
        <w:rPr>
          <w:rFonts w:ascii="Times New Roman" w:hAnsi="Times New Roman" w:cs="Times New Roman"/>
          <w:sz w:val="28"/>
          <w:szCs w:val="28"/>
        </w:rPr>
        <w:t xml:space="preserve">; </w:t>
      </w:r>
      <w:r w:rsidR="00234A7B" w:rsidRPr="00CB543A">
        <w:rPr>
          <w:rFonts w:ascii="Times New Roman" w:hAnsi="Times New Roman" w:cs="Times New Roman"/>
          <w:i/>
          <w:sz w:val="28"/>
          <w:szCs w:val="28"/>
        </w:rPr>
        <w:t>(ii)</w:t>
      </w:r>
      <w:r w:rsidR="00234A7B" w:rsidRPr="00CB543A">
        <w:rPr>
          <w:rFonts w:ascii="Times New Roman" w:hAnsi="Times New Roman" w:cs="Times New Roman"/>
          <w:sz w:val="28"/>
          <w:szCs w:val="28"/>
        </w:rPr>
        <w:t xml:space="preserve"> por razones de seguridad jurídica; </w:t>
      </w:r>
      <w:r w:rsidR="00234A7B" w:rsidRPr="00CB543A">
        <w:rPr>
          <w:rFonts w:ascii="Times New Roman" w:hAnsi="Times New Roman" w:cs="Times New Roman"/>
          <w:i/>
          <w:sz w:val="28"/>
          <w:szCs w:val="28"/>
        </w:rPr>
        <w:t>(iii)</w:t>
      </w:r>
      <w:r w:rsidR="00234A7B" w:rsidRPr="00CB543A">
        <w:rPr>
          <w:rFonts w:ascii="Times New Roman" w:hAnsi="Times New Roman" w:cs="Times New Roman"/>
          <w:sz w:val="28"/>
          <w:szCs w:val="28"/>
        </w:rPr>
        <w:t xml:space="preserve"> en atención a los principios de buena fe y de confianza legítima, los cuales imponen el deber de respetar las expectativas generadas por las reglas judiciales previas; y </w:t>
      </w:r>
      <w:r w:rsidR="00234A7B" w:rsidRPr="00CB543A">
        <w:rPr>
          <w:rFonts w:ascii="Times New Roman" w:hAnsi="Times New Roman" w:cs="Times New Roman"/>
          <w:i/>
          <w:sz w:val="28"/>
          <w:szCs w:val="28"/>
        </w:rPr>
        <w:t>(iv)</w:t>
      </w:r>
      <w:r w:rsidR="00234A7B" w:rsidRPr="00CB543A">
        <w:rPr>
          <w:rFonts w:ascii="Times New Roman" w:hAnsi="Times New Roman" w:cs="Times New Roman"/>
          <w:sz w:val="28"/>
          <w:szCs w:val="28"/>
        </w:rPr>
        <w:t xml:space="preserve"> por razones de rigor judicial y de coherencia en el sistema jurídico</w:t>
      </w:r>
      <w:r w:rsidR="00234A7B" w:rsidRPr="00CB543A">
        <w:rPr>
          <w:rStyle w:val="Refdenotaalpie"/>
          <w:rFonts w:ascii="Times New Roman" w:hAnsi="Times New Roman" w:cs="Times New Roman"/>
          <w:sz w:val="28"/>
          <w:szCs w:val="28"/>
        </w:rPr>
        <w:footnoteReference w:id="75"/>
      </w:r>
      <w:r w:rsidR="00234A7B" w:rsidRPr="00CB543A">
        <w:rPr>
          <w:rFonts w:ascii="Times New Roman" w:hAnsi="Times New Roman" w:cs="Times New Roman"/>
          <w:sz w:val="28"/>
          <w:szCs w:val="28"/>
        </w:rPr>
        <w:t>. L</w:t>
      </w:r>
      <w:r w:rsidR="00234A7B" w:rsidRPr="00CB543A">
        <w:rPr>
          <w:rFonts w:ascii="Times New Roman" w:hAnsi="Times New Roman" w:cs="Times New Roman"/>
          <w:iCs/>
          <w:sz w:val="28"/>
          <w:szCs w:val="28"/>
          <w:bdr w:val="none" w:sz="0" w:space="0" w:color="auto" w:frame="1"/>
          <w:shd w:val="clear" w:color="auto" w:fill="FFFFFF"/>
        </w:rPr>
        <w:t>os jueces</w:t>
      </w:r>
      <w:r w:rsidR="00F96238" w:rsidRPr="00CB543A">
        <w:rPr>
          <w:rFonts w:ascii="Times New Roman" w:hAnsi="Times New Roman" w:cs="Times New Roman"/>
          <w:iCs/>
          <w:sz w:val="28"/>
          <w:szCs w:val="28"/>
          <w:bdr w:val="none" w:sz="0" w:space="0" w:color="auto" w:frame="1"/>
          <w:shd w:val="clear" w:color="auto" w:fill="FFFFFF"/>
        </w:rPr>
        <w:t xml:space="preserve">, sin embargo, pueden apartarse de </w:t>
      </w:r>
      <w:r w:rsidR="009C6514" w:rsidRPr="00CB543A">
        <w:rPr>
          <w:rFonts w:ascii="Times New Roman" w:hAnsi="Times New Roman" w:cs="Times New Roman"/>
          <w:iCs/>
          <w:sz w:val="28"/>
          <w:szCs w:val="28"/>
          <w:bdr w:val="none" w:sz="0" w:space="0" w:color="auto" w:frame="1"/>
          <w:shd w:val="clear" w:color="auto" w:fill="FFFFFF"/>
        </w:rPr>
        <w:t xml:space="preserve">los </w:t>
      </w:r>
      <w:r w:rsidR="00F96238" w:rsidRPr="00CB543A">
        <w:rPr>
          <w:rFonts w:ascii="Times New Roman" w:hAnsi="Times New Roman" w:cs="Times New Roman"/>
          <w:iCs/>
          <w:sz w:val="28"/>
          <w:szCs w:val="28"/>
          <w:bdr w:val="none" w:sz="0" w:space="0" w:color="auto" w:frame="1"/>
          <w:shd w:val="clear" w:color="auto" w:fill="FFFFFF"/>
        </w:rPr>
        <w:t>precedente</w:t>
      </w:r>
      <w:r w:rsidR="009C6514" w:rsidRPr="00CB543A">
        <w:rPr>
          <w:rFonts w:ascii="Times New Roman" w:hAnsi="Times New Roman" w:cs="Times New Roman"/>
          <w:iCs/>
          <w:sz w:val="28"/>
          <w:szCs w:val="28"/>
          <w:bdr w:val="none" w:sz="0" w:space="0" w:color="auto" w:frame="1"/>
          <w:shd w:val="clear" w:color="auto" w:fill="FFFFFF"/>
        </w:rPr>
        <w:t>s y jurisprudencia vinculante</w:t>
      </w:r>
      <w:r w:rsidR="00F96238" w:rsidRPr="00CB543A">
        <w:rPr>
          <w:rFonts w:ascii="Times New Roman" w:hAnsi="Times New Roman" w:cs="Times New Roman"/>
          <w:iCs/>
          <w:sz w:val="28"/>
          <w:szCs w:val="28"/>
          <w:bdr w:val="none" w:sz="0" w:space="0" w:color="auto" w:frame="1"/>
          <w:shd w:val="clear" w:color="auto" w:fill="FFFFFF"/>
        </w:rPr>
        <w:t>, siempre que cumplan una carga argumentativa estricta tendiente a demostrar</w:t>
      </w:r>
      <w:r w:rsidR="009C6514" w:rsidRPr="00CB543A">
        <w:rPr>
          <w:rFonts w:ascii="Times New Roman" w:hAnsi="Times New Roman" w:cs="Times New Roman"/>
          <w:iCs/>
          <w:sz w:val="28"/>
          <w:szCs w:val="28"/>
          <w:bdr w:val="none" w:sz="0" w:space="0" w:color="auto" w:frame="1"/>
          <w:shd w:val="clear" w:color="auto" w:fill="FFFFFF"/>
        </w:rPr>
        <w:t>,</w:t>
      </w:r>
      <w:r w:rsidR="00F96238" w:rsidRPr="00CB543A">
        <w:rPr>
          <w:rFonts w:ascii="Times New Roman" w:hAnsi="Times New Roman" w:cs="Times New Roman"/>
          <w:iCs/>
          <w:sz w:val="28"/>
          <w:szCs w:val="28"/>
          <w:bdr w:val="none" w:sz="0" w:space="0" w:color="auto" w:frame="1"/>
          <w:shd w:val="clear" w:color="auto" w:fill="FFFFFF"/>
        </w:rPr>
        <w:t xml:space="preserve"> de manera adecuada y suficiente, las razones por las cuales lo hacen</w:t>
      </w:r>
      <w:r w:rsidR="009C6514" w:rsidRPr="00CB543A">
        <w:rPr>
          <w:rFonts w:ascii="Times New Roman" w:hAnsi="Times New Roman" w:cs="Times New Roman"/>
          <w:iCs/>
          <w:sz w:val="28"/>
          <w:szCs w:val="28"/>
          <w:bdr w:val="none" w:sz="0" w:space="0" w:color="auto" w:frame="1"/>
          <w:shd w:val="clear" w:color="auto" w:fill="FFFFFF"/>
        </w:rPr>
        <w:t>;</w:t>
      </w:r>
      <w:r w:rsidR="00F96238" w:rsidRPr="00CB543A">
        <w:rPr>
          <w:rFonts w:ascii="Times New Roman" w:hAnsi="Times New Roman" w:cs="Times New Roman"/>
          <w:iCs/>
          <w:sz w:val="28"/>
          <w:szCs w:val="28"/>
          <w:bdr w:val="none" w:sz="0" w:space="0" w:color="auto" w:frame="1"/>
          <w:shd w:val="clear" w:color="auto" w:fill="FFFFFF"/>
        </w:rPr>
        <w:t xml:space="preserve"> de lo contrario, </w:t>
      </w:r>
      <w:r w:rsidR="009C6514" w:rsidRPr="00CB543A">
        <w:rPr>
          <w:rFonts w:ascii="Times New Roman" w:hAnsi="Times New Roman" w:cs="Times New Roman"/>
          <w:iCs/>
          <w:sz w:val="28"/>
          <w:szCs w:val="28"/>
          <w:bdr w:val="none" w:sz="0" w:space="0" w:color="auto" w:frame="1"/>
          <w:shd w:val="clear" w:color="auto" w:fill="FFFFFF"/>
        </w:rPr>
        <w:t xml:space="preserve">sus decisiones podrían estar incursas </w:t>
      </w:r>
      <w:r w:rsidR="00F96238" w:rsidRPr="00CB543A">
        <w:rPr>
          <w:rFonts w:ascii="Times New Roman" w:hAnsi="Times New Roman" w:cs="Times New Roman"/>
          <w:iCs/>
          <w:sz w:val="28"/>
          <w:szCs w:val="28"/>
          <w:bdr w:val="none" w:sz="0" w:space="0" w:color="auto" w:frame="1"/>
          <w:shd w:val="clear" w:color="auto" w:fill="FFFFFF"/>
        </w:rPr>
        <w:t>en un defecto que hace procedente la acción de tutela.</w:t>
      </w:r>
    </w:p>
    <w:p w:rsidR="00936589" w:rsidRPr="00CB543A" w:rsidRDefault="00936589" w:rsidP="00CB543A">
      <w:pPr>
        <w:spacing w:after="0" w:line="240" w:lineRule="auto"/>
        <w:rPr>
          <w:rFonts w:ascii="Times New Roman" w:hAnsi="Times New Roman" w:cs="Times New Roman"/>
          <w:iCs/>
          <w:sz w:val="28"/>
          <w:szCs w:val="28"/>
          <w:bdr w:val="none" w:sz="0" w:space="0" w:color="auto" w:frame="1"/>
          <w:shd w:val="clear" w:color="auto" w:fill="FFFFFF"/>
        </w:rPr>
      </w:pPr>
    </w:p>
    <w:p w:rsidR="00001A84" w:rsidRPr="00CB543A" w:rsidRDefault="00160BB6" w:rsidP="00CB543A">
      <w:pPr>
        <w:pStyle w:val="Prrafodelista"/>
        <w:widowControl w:val="0"/>
        <w:numPr>
          <w:ilvl w:val="0"/>
          <w:numId w:val="32"/>
        </w:numPr>
        <w:shd w:val="clear" w:color="auto" w:fill="FFFFFF"/>
        <w:tabs>
          <w:tab w:val="left" w:pos="426"/>
        </w:tabs>
        <w:spacing w:after="0" w:line="240" w:lineRule="auto"/>
        <w:ind w:left="0"/>
        <w:jc w:val="both"/>
        <w:textAlignment w:val="baseline"/>
        <w:rPr>
          <w:rFonts w:ascii="Times New Roman" w:hAnsi="Times New Roman" w:cs="Times New Roman"/>
          <w:b/>
          <w:sz w:val="28"/>
          <w:szCs w:val="28"/>
        </w:rPr>
      </w:pPr>
      <w:r w:rsidRPr="00CB543A">
        <w:rPr>
          <w:rFonts w:ascii="Times New Roman" w:hAnsi="Times New Roman" w:cs="Times New Roman"/>
          <w:iCs/>
          <w:sz w:val="28"/>
          <w:szCs w:val="28"/>
          <w:bdr w:val="none" w:sz="0" w:space="0" w:color="auto" w:frame="1"/>
          <w:shd w:val="clear" w:color="auto" w:fill="FFFFFF"/>
        </w:rPr>
        <w:t>E</w:t>
      </w:r>
      <w:r w:rsidR="001C34D0" w:rsidRPr="00CB543A">
        <w:rPr>
          <w:rFonts w:ascii="Times New Roman" w:hAnsi="Times New Roman" w:cs="Times New Roman"/>
          <w:iCs/>
          <w:sz w:val="28"/>
          <w:szCs w:val="28"/>
          <w:bdr w:val="none" w:sz="0" w:space="0" w:color="auto" w:frame="1"/>
          <w:shd w:val="clear" w:color="auto" w:fill="FFFFFF"/>
        </w:rPr>
        <w:t>l desconocimiento de</w:t>
      </w:r>
      <w:r w:rsidR="00007BC0" w:rsidRPr="00CB543A">
        <w:rPr>
          <w:rFonts w:ascii="Times New Roman" w:hAnsi="Times New Roman" w:cs="Times New Roman"/>
          <w:iCs/>
          <w:sz w:val="28"/>
          <w:szCs w:val="28"/>
          <w:bdr w:val="none" w:sz="0" w:space="0" w:color="auto" w:frame="1"/>
          <w:shd w:val="clear" w:color="auto" w:fill="FFFFFF"/>
        </w:rPr>
        <w:t xml:space="preserve"> </w:t>
      </w:r>
      <w:r w:rsidR="001C34D0" w:rsidRPr="00CB543A">
        <w:rPr>
          <w:rFonts w:ascii="Times New Roman" w:hAnsi="Times New Roman" w:cs="Times New Roman"/>
          <w:iCs/>
          <w:sz w:val="28"/>
          <w:szCs w:val="28"/>
          <w:bdr w:val="none" w:sz="0" w:space="0" w:color="auto" w:frame="1"/>
          <w:shd w:val="clear" w:color="auto" w:fill="FFFFFF"/>
        </w:rPr>
        <w:t>l</w:t>
      </w:r>
      <w:r w:rsidR="00007BC0" w:rsidRPr="00CB543A">
        <w:rPr>
          <w:rFonts w:ascii="Times New Roman" w:hAnsi="Times New Roman" w:cs="Times New Roman"/>
          <w:iCs/>
          <w:sz w:val="28"/>
          <w:szCs w:val="28"/>
          <w:bdr w:val="none" w:sz="0" w:space="0" w:color="auto" w:frame="1"/>
          <w:shd w:val="clear" w:color="auto" w:fill="FFFFFF"/>
        </w:rPr>
        <w:t>os</w:t>
      </w:r>
      <w:r w:rsidR="001C34D0" w:rsidRPr="00CB543A">
        <w:rPr>
          <w:rFonts w:ascii="Times New Roman" w:hAnsi="Times New Roman" w:cs="Times New Roman"/>
          <w:iCs/>
          <w:sz w:val="28"/>
          <w:szCs w:val="28"/>
          <w:bdr w:val="none" w:sz="0" w:space="0" w:color="auto" w:frame="1"/>
          <w:shd w:val="clear" w:color="auto" w:fill="FFFFFF"/>
        </w:rPr>
        <w:t xml:space="preserve"> precedente</w:t>
      </w:r>
      <w:r w:rsidR="00007BC0" w:rsidRPr="00CB543A">
        <w:rPr>
          <w:rFonts w:ascii="Times New Roman" w:hAnsi="Times New Roman" w:cs="Times New Roman"/>
          <w:iCs/>
          <w:sz w:val="28"/>
          <w:szCs w:val="28"/>
          <w:bdr w:val="none" w:sz="0" w:space="0" w:color="auto" w:frame="1"/>
          <w:shd w:val="clear" w:color="auto" w:fill="FFFFFF"/>
        </w:rPr>
        <w:t>s</w:t>
      </w:r>
      <w:r w:rsidR="001C34D0" w:rsidRPr="00CB543A">
        <w:rPr>
          <w:rFonts w:ascii="Times New Roman" w:hAnsi="Times New Roman" w:cs="Times New Roman"/>
          <w:iCs/>
          <w:sz w:val="28"/>
          <w:szCs w:val="28"/>
          <w:bdr w:val="none" w:sz="0" w:space="0" w:color="auto" w:frame="1"/>
          <w:shd w:val="clear" w:color="auto" w:fill="FFFFFF"/>
        </w:rPr>
        <w:t xml:space="preserve"> y </w:t>
      </w:r>
      <w:r w:rsidR="00420F57" w:rsidRPr="00CB543A">
        <w:rPr>
          <w:rFonts w:ascii="Times New Roman" w:hAnsi="Times New Roman" w:cs="Times New Roman"/>
          <w:iCs/>
          <w:sz w:val="28"/>
          <w:szCs w:val="28"/>
          <w:bdr w:val="none" w:sz="0" w:space="0" w:color="auto" w:frame="1"/>
          <w:shd w:val="clear" w:color="auto" w:fill="FFFFFF"/>
        </w:rPr>
        <w:t xml:space="preserve">la </w:t>
      </w:r>
      <w:r w:rsidR="001C34D0" w:rsidRPr="00CB543A">
        <w:rPr>
          <w:rFonts w:ascii="Times New Roman" w:hAnsi="Times New Roman" w:cs="Times New Roman"/>
          <w:iCs/>
          <w:sz w:val="28"/>
          <w:szCs w:val="28"/>
          <w:bdr w:val="none" w:sz="0" w:space="0" w:color="auto" w:frame="1"/>
          <w:shd w:val="clear" w:color="auto" w:fill="FFFFFF"/>
        </w:rPr>
        <w:t>jurisprudencia constitucional</w:t>
      </w:r>
      <w:r w:rsidR="00C11181" w:rsidRPr="00CB543A">
        <w:rPr>
          <w:rFonts w:ascii="Times New Roman" w:hAnsi="Times New Roman" w:cs="Times New Roman"/>
          <w:iCs/>
          <w:sz w:val="28"/>
          <w:szCs w:val="28"/>
          <w:bdr w:val="none" w:sz="0" w:space="0" w:color="auto" w:frame="1"/>
          <w:shd w:val="clear" w:color="auto" w:fill="FFFFFF"/>
        </w:rPr>
        <w:t>, por parte de los jueces de instancia, tanto de la jurisdicción constitucional como de la jurisdicción ordinaria y de l</w:t>
      </w:r>
      <w:r w:rsidR="00E526C8" w:rsidRPr="00CB543A">
        <w:rPr>
          <w:rFonts w:ascii="Times New Roman" w:hAnsi="Times New Roman" w:cs="Times New Roman"/>
          <w:iCs/>
          <w:sz w:val="28"/>
          <w:szCs w:val="28"/>
          <w:bdr w:val="none" w:sz="0" w:space="0" w:color="auto" w:frame="1"/>
          <w:shd w:val="clear" w:color="auto" w:fill="FFFFFF"/>
        </w:rPr>
        <w:t>o</w:t>
      </w:r>
      <w:r w:rsidR="00C11181" w:rsidRPr="00CB543A">
        <w:rPr>
          <w:rFonts w:ascii="Times New Roman" w:hAnsi="Times New Roman" w:cs="Times New Roman"/>
          <w:iCs/>
          <w:sz w:val="28"/>
          <w:szCs w:val="28"/>
          <w:bdr w:val="none" w:sz="0" w:space="0" w:color="auto" w:frame="1"/>
          <w:shd w:val="clear" w:color="auto" w:fill="FFFFFF"/>
        </w:rPr>
        <w:t xml:space="preserve"> contencioso administrativa,</w:t>
      </w:r>
      <w:r w:rsidRPr="00CB543A">
        <w:rPr>
          <w:rFonts w:ascii="Times New Roman" w:hAnsi="Times New Roman" w:cs="Times New Roman"/>
          <w:iCs/>
          <w:sz w:val="28"/>
          <w:szCs w:val="28"/>
          <w:bdr w:val="none" w:sz="0" w:space="0" w:color="auto" w:frame="1"/>
          <w:shd w:val="clear" w:color="auto" w:fill="FFFFFF"/>
        </w:rPr>
        <w:t xml:space="preserve"> puede </w:t>
      </w:r>
      <w:r w:rsidR="00E34176" w:rsidRPr="00CB543A">
        <w:rPr>
          <w:rFonts w:ascii="Times New Roman" w:hAnsi="Times New Roman" w:cs="Times New Roman"/>
          <w:iCs/>
          <w:sz w:val="28"/>
          <w:szCs w:val="28"/>
          <w:bdr w:val="none" w:sz="0" w:space="0" w:color="auto" w:frame="1"/>
          <w:shd w:val="clear" w:color="auto" w:fill="FFFFFF"/>
        </w:rPr>
        <w:t>tener diversas fuentes</w:t>
      </w:r>
      <w:r w:rsidRPr="00CB543A">
        <w:rPr>
          <w:rFonts w:ascii="Times New Roman" w:hAnsi="Times New Roman" w:cs="Times New Roman"/>
          <w:iCs/>
          <w:sz w:val="28"/>
          <w:szCs w:val="28"/>
          <w:bdr w:val="none" w:sz="0" w:space="0" w:color="auto" w:frame="1"/>
          <w:shd w:val="clear" w:color="auto" w:fill="FFFFFF"/>
        </w:rPr>
        <w:t xml:space="preserve">. </w:t>
      </w:r>
      <w:r w:rsidR="00E34176" w:rsidRPr="00CB543A">
        <w:rPr>
          <w:rFonts w:ascii="Times New Roman" w:hAnsi="Times New Roman" w:cs="Times New Roman"/>
          <w:iCs/>
          <w:sz w:val="28"/>
          <w:szCs w:val="28"/>
          <w:bdr w:val="none" w:sz="0" w:space="0" w:color="auto" w:frame="1"/>
          <w:shd w:val="clear" w:color="auto" w:fill="FFFFFF"/>
        </w:rPr>
        <w:t xml:space="preserve">En primer lugar, </w:t>
      </w:r>
      <w:r w:rsidR="00001A84" w:rsidRPr="00CB543A">
        <w:rPr>
          <w:rFonts w:ascii="Times New Roman" w:hAnsi="Times New Roman" w:cs="Times New Roman"/>
          <w:iCs/>
          <w:sz w:val="28"/>
          <w:szCs w:val="28"/>
          <w:bdr w:val="none" w:sz="0" w:space="0" w:color="auto" w:frame="1"/>
          <w:shd w:val="clear" w:color="auto" w:fill="FFFFFF"/>
        </w:rPr>
        <w:t xml:space="preserve">puede obedecer al desconocimiento de la cosa juzgada constitucional, </w:t>
      </w:r>
      <w:r w:rsidR="00E526C8" w:rsidRPr="00CB543A">
        <w:rPr>
          <w:rFonts w:ascii="Times New Roman" w:hAnsi="Times New Roman" w:cs="Times New Roman"/>
          <w:iCs/>
          <w:sz w:val="28"/>
          <w:szCs w:val="28"/>
          <w:bdr w:val="none" w:sz="0" w:space="0" w:color="auto" w:frame="1"/>
          <w:shd w:val="clear" w:color="auto" w:fill="FFFFFF"/>
        </w:rPr>
        <w:t xml:space="preserve">esto es, </w:t>
      </w:r>
      <w:r w:rsidR="00001A84" w:rsidRPr="00CB543A">
        <w:rPr>
          <w:rFonts w:ascii="Times New Roman" w:hAnsi="Times New Roman" w:cs="Times New Roman"/>
          <w:iCs/>
          <w:sz w:val="28"/>
          <w:szCs w:val="28"/>
          <w:bdr w:val="none" w:sz="0" w:space="0" w:color="auto" w:frame="1"/>
          <w:shd w:val="clear" w:color="auto" w:fill="FFFFFF"/>
        </w:rPr>
        <w:t>al desconocimiento de la jurisprudencia que la Corte profiere en ejercicio del control abstracto de constitucionalidad. Esta puede ser consecuencia, como lo ha reconocido la jurisprudencia constitucional</w:t>
      </w:r>
      <w:r w:rsidR="004B38E4" w:rsidRPr="00CB543A">
        <w:rPr>
          <w:rStyle w:val="Refdenotaalpie"/>
          <w:rFonts w:ascii="Times New Roman" w:hAnsi="Times New Roman" w:cs="Times New Roman"/>
          <w:iCs/>
          <w:sz w:val="28"/>
          <w:szCs w:val="28"/>
          <w:bdr w:val="none" w:sz="0" w:space="0" w:color="auto" w:frame="1"/>
          <w:shd w:val="clear" w:color="auto" w:fill="FFFFFF"/>
        </w:rPr>
        <w:footnoteReference w:id="76"/>
      </w:r>
      <w:r w:rsidR="00001A84" w:rsidRPr="00CB543A">
        <w:rPr>
          <w:rFonts w:ascii="Times New Roman" w:hAnsi="Times New Roman" w:cs="Times New Roman"/>
          <w:iCs/>
          <w:sz w:val="28"/>
          <w:szCs w:val="28"/>
          <w:bdr w:val="none" w:sz="0" w:space="0" w:color="auto" w:frame="1"/>
          <w:shd w:val="clear" w:color="auto" w:fill="FFFFFF"/>
        </w:rPr>
        <w:t xml:space="preserve">, </w:t>
      </w:r>
      <w:r w:rsidR="00001A84" w:rsidRPr="00CB543A">
        <w:rPr>
          <w:rFonts w:ascii="Times New Roman" w:hAnsi="Times New Roman" w:cs="Times New Roman"/>
          <w:i/>
          <w:iCs/>
          <w:sz w:val="28"/>
          <w:szCs w:val="28"/>
          <w:bdr w:val="none" w:sz="0" w:space="0" w:color="auto" w:frame="1"/>
          <w:shd w:val="clear" w:color="auto" w:fill="FFFFFF"/>
        </w:rPr>
        <w:t>(i)</w:t>
      </w:r>
      <w:r w:rsidR="00001A84" w:rsidRPr="00CB543A">
        <w:rPr>
          <w:rFonts w:ascii="Times New Roman" w:hAnsi="Times New Roman" w:cs="Times New Roman"/>
          <w:iCs/>
          <w:sz w:val="28"/>
          <w:szCs w:val="28"/>
          <w:bdr w:val="none" w:sz="0" w:space="0" w:color="auto" w:frame="1"/>
          <w:shd w:val="clear" w:color="auto" w:fill="FFFFFF"/>
        </w:rPr>
        <w:t xml:space="preserve"> de la aplicación de disposiciones de orden </w:t>
      </w:r>
      <w:r w:rsidR="00E526C8" w:rsidRPr="00CB543A">
        <w:rPr>
          <w:rFonts w:ascii="Times New Roman" w:hAnsi="Times New Roman" w:cs="Times New Roman"/>
          <w:iCs/>
          <w:sz w:val="28"/>
          <w:szCs w:val="28"/>
          <w:bdr w:val="none" w:sz="0" w:space="0" w:color="auto" w:frame="1"/>
          <w:shd w:val="clear" w:color="auto" w:fill="FFFFFF"/>
        </w:rPr>
        <w:t>legal,</w:t>
      </w:r>
      <w:r w:rsidR="00001A84" w:rsidRPr="00CB543A">
        <w:rPr>
          <w:rFonts w:ascii="Times New Roman" w:hAnsi="Times New Roman" w:cs="Times New Roman"/>
          <w:iCs/>
          <w:sz w:val="28"/>
          <w:szCs w:val="28"/>
          <w:bdr w:val="none" w:sz="0" w:space="0" w:color="auto" w:frame="1"/>
          <w:shd w:val="clear" w:color="auto" w:fill="FFFFFF"/>
        </w:rPr>
        <w:t xml:space="preserve"> declaradas inexequibles</w:t>
      </w:r>
      <w:r w:rsidR="004B38E4" w:rsidRPr="00CB543A">
        <w:rPr>
          <w:rFonts w:ascii="Times New Roman" w:hAnsi="Times New Roman" w:cs="Times New Roman"/>
          <w:iCs/>
          <w:sz w:val="28"/>
          <w:szCs w:val="28"/>
          <w:bdr w:val="none" w:sz="0" w:space="0" w:color="auto" w:frame="1"/>
          <w:shd w:val="clear" w:color="auto" w:fill="FFFFFF"/>
        </w:rPr>
        <w:t>,</w:t>
      </w:r>
      <w:r w:rsidR="00001A84" w:rsidRPr="00CB543A">
        <w:rPr>
          <w:rFonts w:ascii="Times New Roman" w:hAnsi="Times New Roman" w:cs="Times New Roman"/>
          <w:iCs/>
          <w:sz w:val="28"/>
          <w:szCs w:val="28"/>
          <w:bdr w:val="none" w:sz="0" w:space="0" w:color="auto" w:frame="1"/>
          <w:shd w:val="clear" w:color="auto" w:fill="FFFFFF"/>
        </w:rPr>
        <w:t xml:space="preserve"> </w:t>
      </w:r>
      <w:r w:rsidR="00001A84" w:rsidRPr="00CB543A">
        <w:rPr>
          <w:rFonts w:ascii="Times New Roman" w:hAnsi="Times New Roman" w:cs="Times New Roman"/>
          <w:i/>
          <w:iCs/>
          <w:sz w:val="28"/>
          <w:szCs w:val="28"/>
          <w:bdr w:val="none" w:sz="0" w:space="0" w:color="auto" w:frame="1"/>
          <w:shd w:val="clear" w:color="auto" w:fill="FFFFFF"/>
        </w:rPr>
        <w:t>(ii)</w:t>
      </w:r>
      <w:r w:rsidR="00001A84" w:rsidRPr="00CB543A">
        <w:rPr>
          <w:rFonts w:ascii="Times New Roman" w:hAnsi="Times New Roman" w:cs="Times New Roman"/>
          <w:iCs/>
          <w:sz w:val="28"/>
          <w:szCs w:val="28"/>
          <w:bdr w:val="none" w:sz="0" w:space="0" w:color="auto" w:frame="1"/>
          <w:shd w:val="clear" w:color="auto" w:fill="FFFFFF"/>
        </w:rPr>
        <w:t xml:space="preserve"> </w:t>
      </w:r>
      <w:r w:rsidR="004B38E4" w:rsidRPr="00CB543A">
        <w:rPr>
          <w:rFonts w:ascii="Times New Roman" w:hAnsi="Times New Roman" w:cs="Times New Roman"/>
          <w:iCs/>
          <w:sz w:val="28"/>
          <w:szCs w:val="28"/>
          <w:bdr w:val="none" w:sz="0" w:space="0" w:color="auto" w:frame="1"/>
          <w:shd w:val="clear" w:color="auto" w:fill="FFFFFF"/>
        </w:rPr>
        <w:t xml:space="preserve">de la aplicación de </w:t>
      </w:r>
      <w:r w:rsidR="00001A84" w:rsidRPr="00CB543A">
        <w:rPr>
          <w:rFonts w:ascii="Times New Roman" w:hAnsi="Times New Roman" w:cs="Times New Roman"/>
          <w:iCs/>
          <w:sz w:val="28"/>
          <w:szCs w:val="28"/>
          <w:bdr w:val="none" w:sz="0" w:space="0" w:color="auto" w:frame="1"/>
          <w:shd w:val="clear" w:color="auto" w:fill="FFFFFF"/>
        </w:rPr>
        <w:t>disposiciones legales cuyo contenido normativo ha sido encontrado contrario a la Constitución</w:t>
      </w:r>
      <w:r w:rsidR="00E526C8" w:rsidRPr="00CB543A">
        <w:rPr>
          <w:rFonts w:ascii="Times New Roman" w:hAnsi="Times New Roman" w:cs="Times New Roman"/>
          <w:iCs/>
          <w:sz w:val="28"/>
          <w:szCs w:val="28"/>
          <w:bdr w:val="none" w:sz="0" w:space="0" w:color="auto" w:frame="1"/>
          <w:shd w:val="clear" w:color="auto" w:fill="FFFFFF"/>
        </w:rPr>
        <w:t>,</w:t>
      </w:r>
      <w:r w:rsidR="00001A84" w:rsidRPr="00CB543A">
        <w:rPr>
          <w:rFonts w:ascii="Times New Roman" w:hAnsi="Times New Roman" w:cs="Times New Roman"/>
          <w:iCs/>
          <w:sz w:val="28"/>
          <w:szCs w:val="28"/>
          <w:bdr w:val="none" w:sz="0" w:space="0" w:color="auto" w:frame="1"/>
          <w:shd w:val="clear" w:color="auto" w:fill="FFFFFF"/>
        </w:rPr>
        <w:t xml:space="preserve"> </w:t>
      </w:r>
      <w:r w:rsidR="00001A84" w:rsidRPr="00CB543A">
        <w:rPr>
          <w:rFonts w:ascii="Times New Roman" w:hAnsi="Times New Roman" w:cs="Times New Roman"/>
          <w:i/>
          <w:iCs/>
          <w:sz w:val="28"/>
          <w:szCs w:val="28"/>
          <w:bdr w:val="none" w:sz="0" w:space="0" w:color="auto" w:frame="1"/>
          <w:shd w:val="clear" w:color="auto" w:fill="FFFFFF"/>
        </w:rPr>
        <w:t>(iii)</w:t>
      </w:r>
      <w:r w:rsidR="00001A84" w:rsidRPr="00CB543A">
        <w:rPr>
          <w:rFonts w:ascii="Times New Roman" w:hAnsi="Times New Roman" w:cs="Times New Roman"/>
          <w:iCs/>
          <w:sz w:val="28"/>
          <w:szCs w:val="28"/>
          <w:bdr w:val="none" w:sz="0" w:space="0" w:color="auto" w:frame="1"/>
          <w:shd w:val="clear" w:color="auto" w:fill="FFFFFF"/>
        </w:rPr>
        <w:t xml:space="preserve"> </w:t>
      </w:r>
      <w:r w:rsidR="004B38E4" w:rsidRPr="00CB543A">
        <w:rPr>
          <w:rFonts w:ascii="Times New Roman" w:hAnsi="Times New Roman" w:cs="Times New Roman"/>
          <w:iCs/>
          <w:sz w:val="28"/>
          <w:szCs w:val="28"/>
          <w:bdr w:val="none" w:sz="0" w:space="0" w:color="auto" w:frame="1"/>
          <w:shd w:val="clear" w:color="auto" w:fill="FFFFFF"/>
        </w:rPr>
        <w:t xml:space="preserve">o </w:t>
      </w:r>
      <w:r w:rsidR="00E526C8" w:rsidRPr="00CB543A">
        <w:rPr>
          <w:rFonts w:ascii="Times New Roman" w:hAnsi="Times New Roman" w:cs="Times New Roman"/>
          <w:iCs/>
          <w:sz w:val="28"/>
          <w:szCs w:val="28"/>
          <w:bdr w:val="none" w:sz="0" w:space="0" w:color="auto" w:frame="1"/>
          <w:shd w:val="clear" w:color="auto" w:fill="FFFFFF"/>
        </w:rPr>
        <w:t xml:space="preserve">de </w:t>
      </w:r>
      <w:r w:rsidR="004B38E4" w:rsidRPr="00CB543A">
        <w:rPr>
          <w:rFonts w:ascii="Times New Roman" w:hAnsi="Times New Roman" w:cs="Times New Roman"/>
          <w:iCs/>
          <w:sz w:val="28"/>
          <w:szCs w:val="28"/>
          <w:bdr w:val="none" w:sz="0" w:space="0" w:color="auto" w:frame="1"/>
          <w:shd w:val="clear" w:color="auto" w:fill="FFFFFF"/>
        </w:rPr>
        <w:t>la resolución de casos concretos, que exigen la aplicación</w:t>
      </w:r>
      <w:r w:rsidR="00E526C8" w:rsidRPr="00CB543A">
        <w:rPr>
          <w:rFonts w:ascii="Times New Roman" w:hAnsi="Times New Roman" w:cs="Times New Roman"/>
          <w:iCs/>
          <w:sz w:val="28"/>
          <w:szCs w:val="28"/>
          <w:bdr w:val="none" w:sz="0" w:space="0" w:color="auto" w:frame="1"/>
          <w:shd w:val="clear" w:color="auto" w:fill="FFFFFF"/>
        </w:rPr>
        <w:t xml:space="preserve"> del derecho </w:t>
      </w:r>
      <w:r w:rsidR="00E526C8" w:rsidRPr="00CB543A">
        <w:rPr>
          <w:rFonts w:ascii="Times New Roman" w:hAnsi="Times New Roman" w:cs="Times New Roman"/>
          <w:iCs/>
          <w:sz w:val="28"/>
          <w:szCs w:val="28"/>
          <w:bdr w:val="none" w:sz="0" w:space="0" w:color="auto" w:frame="1"/>
          <w:shd w:val="clear" w:color="auto" w:fill="FFFFFF"/>
        </w:rPr>
        <w:lastRenderedPageBreak/>
        <w:t>ordinario</w:t>
      </w:r>
      <w:r w:rsidR="004B38E4" w:rsidRPr="00CB543A">
        <w:rPr>
          <w:rFonts w:ascii="Times New Roman" w:hAnsi="Times New Roman" w:cs="Times New Roman"/>
          <w:iCs/>
          <w:sz w:val="28"/>
          <w:szCs w:val="28"/>
          <w:bdr w:val="none" w:sz="0" w:space="0" w:color="auto" w:frame="1"/>
          <w:shd w:val="clear" w:color="auto" w:fill="FFFFFF"/>
        </w:rPr>
        <w:t xml:space="preserve">, pero </w:t>
      </w:r>
      <w:r w:rsidR="00E526C8" w:rsidRPr="00CB543A">
        <w:rPr>
          <w:rFonts w:ascii="Times New Roman" w:hAnsi="Times New Roman" w:cs="Times New Roman"/>
          <w:iCs/>
          <w:sz w:val="28"/>
          <w:szCs w:val="28"/>
          <w:bdr w:val="none" w:sz="0" w:space="0" w:color="auto" w:frame="1"/>
          <w:shd w:val="clear" w:color="auto" w:fill="FFFFFF"/>
        </w:rPr>
        <w:t xml:space="preserve">que se realiza </w:t>
      </w:r>
      <w:r w:rsidR="004B38E4" w:rsidRPr="00CB543A">
        <w:rPr>
          <w:rFonts w:ascii="Times New Roman" w:hAnsi="Times New Roman" w:cs="Times New Roman"/>
          <w:iCs/>
          <w:sz w:val="28"/>
          <w:szCs w:val="28"/>
          <w:bdr w:val="none" w:sz="0" w:space="0" w:color="auto" w:frame="1"/>
          <w:shd w:val="clear" w:color="auto" w:fill="FFFFFF"/>
        </w:rPr>
        <w:t xml:space="preserve">en contravía de </w:t>
      </w:r>
      <w:r w:rsidR="00001A84" w:rsidRPr="00CB543A">
        <w:rPr>
          <w:rFonts w:ascii="Times New Roman" w:hAnsi="Times New Roman" w:cs="Times New Roman"/>
          <w:iCs/>
          <w:sz w:val="28"/>
          <w:szCs w:val="28"/>
          <w:bdr w:val="none" w:sz="0" w:space="0" w:color="auto" w:frame="1"/>
          <w:shd w:val="clear" w:color="auto" w:fill="FFFFFF"/>
        </w:rPr>
        <w:t xml:space="preserve">la </w:t>
      </w:r>
      <w:r w:rsidR="00001A84" w:rsidRPr="00CB543A">
        <w:rPr>
          <w:rFonts w:ascii="Times New Roman" w:hAnsi="Times New Roman" w:cs="Times New Roman"/>
          <w:i/>
          <w:iCs/>
          <w:sz w:val="28"/>
          <w:szCs w:val="28"/>
          <w:bdr w:val="none" w:sz="0" w:space="0" w:color="auto" w:frame="1"/>
          <w:shd w:val="clear" w:color="auto" w:fill="FFFFFF"/>
        </w:rPr>
        <w:t>ratio decidendi</w:t>
      </w:r>
      <w:r w:rsidR="00001A84" w:rsidRPr="00CB543A">
        <w:rPr>
          <w:rFonts w:ascii="Times New Roman" w:hAnsi="Times New Roman" w:cs="Times New Roman"/>
          <w:iCs/>
          <w:sz w:val="28"/>
          <w:szCs w:val="28"/>
          <w:bdr w:val="none" w:sz="0" w:space="0" w:color="auto" w:frame="1"/>
          <w:shd w:val="clear" w:color="auto" w:fill="FFFFFF"/>
        </w:rPr>
        <w:t xml:space="preserve"> de </w:t>
      </w:r>
      <w:r w:rsidR="004B38E4" w:rsidRPr="00CB543A">
        <w:rPr>
          <w:rFonts w:ascii="Times New Roman" w:hAnsi="Times New Roman" w:cs="Times New Roman"/>
          <w:iCs/>
          <w:sz w:val="28"/>
          <w:szCs w:val="28"/>
          <w:bdr w:val="none" w:sz="0" w:space="0" w:color="auto" w:frame="1"/>
          <w:shd w:val="clear" w:color="auto" w:fill="FFFFFF"/>
        </w:rPr>
        <w:t xml:space="preserve">las </w:t>
      </w:r>
      <w:r w:rsidR="00001A84" w:rsidRPr="00CB543A">
        <w:rPr>
          <w:rFonts w:ascii="Times New Roman" w:hAnsi="Times New Roman" w:cs="Times New Roman"/>
          <w:iCs/>
          <w:sz w:val="28"/>
          <w:szCs w:val="28"/>
          <w:bdr w:val="none" w:sz="0" w:space="0" w:color="auto" w:frame="1"/>
          <w:shd w:val="clear" w:color="auto" w:fill="FFFFFF"/>
        </w:rPr>
        <w:t>s</w:t>
      </w:r>
      <w:r w:rsidR="004B38E4" w:rsidRPr="00CB543A">
        <w:rPr>
          <w:rFonts w:ascii="Times New Roman" w:hAnsi="Times New Roman" w:cs="Times New Roman"/>
          <w:iCs/>
          <w:sz w:val="28"/>
          <w:szCs w:val="28"/>
          <w:bdr w:val="none" w:sz="0" w:space="0" w:color="auto" w:frame="1"/>
          <w:shd w:val="clear" w:color="auto" w:fill="FFFFFF"/>
        </w:rPr>
        <w:t>entencias de constitucionalidad que expide la Corte</w:t>
      </w:r>
      <w:r w:rsidR="00F30CE2" w:rsidRPr="00CB543A">
        <w:rPr>
          <w:rFonts w:ascii="Times New Roman" w:hAnsi="Times New Roman" w:cs="Times New Roman"/>
          <w:iCs/>
          <w:sz w:val="28"/>
          <w:szCs w:val="28"/>
          <w:bdr w:val="none" w:sz="0" w:space="0" w:color="auto" w:frame="1"/>
          <w:shd w:val="clear" w:color="auto" w:fill="FFFFFF"/>
        </w:rPr>
        <w:t xml:space="preserve">. En segundo lugar, </w:t>
      </w:r>
      <w:r w:rsidR="00E526C8" w:rsidRPr="00CB543A">
        <w:rPr>
          <w:rFonts w:ascii="Times New Roman" w:hAnsi="Times New Roman" w:cs="Times New Roman"/>
          <w:iCs/>
          <w:sz w:val="28"/>
          <w:szCs w:val="28"/>
          <w:bdr w:val="none" w:sz="0" w:space="0" w:color="auto" w:frame="1"/>
          <w:shd w:val="clear" w:color="auto" w:fill="FFFFFF"/>
        </w:rPr>
        <w:t xml:space="preserve">también </w:t>
      </w:r>
      <w:r w:rsidR="00F30CE2" w:rsidRPr="00CB543A">
        <w:rPr>
          <w:rFonts w:ascii="Times New Roman" w:hAnsi="Times New Roman" w:cs="Times New Roman"/>
          <w:iCs/>
          <w:sz w:val="28"/>
          <w:szCs w:val="28"/>
          <w:bdr w:val="none" w:sz="0" w:space="0" w:color="auto" w:frame="1"/>
          <w:shd w:val="clear" w:color="auto" w:fill="FFFFFF"/>
        </w:rPr>
        <w:t xml:space="preserve">puede obedecer al desconocimiento del alcance de los derechos fundamentales que </w:t>
      </w:r>
      <w:r w:rsidR="00C11181" w:rsidRPr="00CB543A">
        <w:rPr>
          <w:rFonts w:ascii="Times New Roman" w:hAnsi="Times New Roman" w:cs="Times New Roman"/>
          <w:iCs/>
          <w:sz w:val="28"/>
          <w:szCs w:val="28"/>
          <w:bdr w:val="none" w:sz="0" w:space="0" w:color="auto" w:frame="1"/>
          <w:shd w:val="clear" w:color="auto" w:fill="FFFFFF"/>
        </w:rPr>
        <w:t xml:space="preserve">ha </w:t>
      </w:r>
      <w:r w:rsidR="00007BC0" w:rsidRPr="00CB543A">
        <w:rPr>
          <w:rFonts w:ascii="Times New Roman" w:hAnsi="Times New Roman" w:cs="Times New Roman"/>
          <w:iCs/>
          <w:sz w:val="28"/>
          <w:szCs w:val="28"/>
          <w:bdr w:val="none" w:sz="0" w:space="0" w:color="auto" w:frame="1"/>
          <w:shd w:val="clear" w:color="auto" w:fill="FFFFFF"/>
        </w:rPr>
        <w:t xml:space="preserve">sido </w:t>
      </w:r>
      <w:r w:rsidR="00F30CE2" w:rsidRPr="00CB543A">
        <w:rPr>
          <w:rFonts w:ascii="Times New Roman" w:hAnsi="Times New Roman" w:cs="Times New Roman"/>
          <w:iCs/>
          <w:sz w:val="28"/>
          <w:szCs w:val="28"/>
          <w:bdr w:val="none" w:sz="0" w:space="0" w:color="auto" w:frame="1"/>
          <w:shd w:val="clear" w:color="auto" w:fill="FFFFFF"/>
        </w:rPr>
        <w:t>fija</w:t>
      </w:r>
      <w:r w:rsidR="00C11181" w:rsidRPr="00CB543A">
        <w:rPr>
          <w:rFonts w:ascii="Times New Roman" w:hAnsi="Times New Roman" w:cs="Times New Roman"/>
          <w:iCs/>
          <w:sz w:val="28"/>
          <w:szCs w:val="28"/>
          <w:bdr w:val="none" w:sz="0" w:space="0" w:color="auto" w:frame="1"/>
          <w:shd w:val="clear" w:color="auto" w:fill="FFFFFF"/>
        </w:rPr>
        <w:t>do</w:t>
      </w:r>
      <w:r w:rsidR="00F30CE2" w:rsidRPr="00CB543A">
        <w:rPr>
          <w:rFonts w:ascii="Times New Roman" w:hAnsi="Times New Roman" w:cs="Times New Roman"/>
          <w:iCs/>
          <w:sz w:val="28"/>
          <w:szCs w:val="28"/>
          <w:bdr w:val="none" w:sz="0" w:space="0" w:color="auto" w:frame="1"/>
          <w:shd w:val="clear" w:color="auto" w:fill="FFFFFF"/>
        </w:rPr>
        <w:t xml:space="preserve"> </w:t>
      </w:r>
      <w:r w:rsidR="00007BC0" w:rsidRPr="00CB543A">
        <w:rPr>
          <w:rFonts w:ascii="Times New Roman" w:hAnsi="Times New Roman" w:cs="Times New Roman"/>
          <w:iCs/>
          <w:sz w:val="28"/>
          <w:szCs w:val="28"/>
          <w:bdr w:val="none" w:sz="0" w:space="0" w:color="auto" w:frame="1"/>
          <w:shd w:val="clear" w:color="auto" w:fill="FFFFFF"/>
        </w:rPr>
        <w:t xml:space="preserve">por </w:t>
      </w:r>
      <w:r w:rsidR="00F30CE2" w:rsidRPr="00CB543A">
        <w:rPr>
          <w:rFonts w:ascii="Times New Roman" w:hAnsi="Times New Roman" w:cs="Times New Roman"/>
          <w:iCs/>
          <w:sz w:val="28"/>
          <w:szCs w:val="28"/>
          <w:bdr w:val="none" w:sz="0" w:space="0" w:color="auto" w:frame="1"/>
          <w:shd w:val="clear" w:color="auto" w:fill="FFFFFF"/>
        </w:rPr>
        <w:t>la Corte Constitucional por medio de sus sentencias de tutela</w:t>
      </w:r>
      <w:r w:rsidR="00006F60" w:rsidRPr="00CB543A">
        <w:rPr>
          <w:rStyle w:val="Refdenotaalpie"/>
          <w:rFonts w:ascii="Times New Roman" w:hAnsi="Times New Roman" w:cs="Times New Roman"/>
          <w:iCs/>
          <w:sz w:val="28"/>
          <w:szCs w:val="28"/>
          <w:bdr w:val="none" w:sz="0" w:space="0" w:color="auto" w:frame="1"/>
          <w:shd w:val="clear" w:color="auto" w:fill="FFFFFF"/>
        </w:rPr>
        <w:footnoteReference w:id="77"/>
      </w:r>
      <w:r w:rsidR="00007BC0" w:rsidRPr="00CB543A">
        <w:rPr>
          <w:rFonts w:ascii="Times New Roman" w:hAnsi="Times New Roman" w:cs="Times New Roman"/>
          <w:iCs/>
          <w:sz w:val="28"/>
          <w:szCs w:val="28"/>
          <w:bdr w:val="none" w:sz="0" w:space="0" w:color="auto" w:frame="1"/>
          <w:shd w:val="clear" w:color="auto" w:fill="FFFFFF"/>
        </w:rPr>
        <w:t xml:space="preserve">, bien por sus Salas de Revisión (sentencias T) </w:t>
      </w:r>
      <w:r w:rsidR="00006F60" w:rsidRPr="00CB543A">
        <w:rPr>
          <w:rFonts w:ascii="Times New Roman" w:hAnsi="Times New Roman" w:cs="Times New Roman"/>
          <w:iCs/>
          <w:sz w:val="28"/>
          <w:szCs w:val="28"/>
          <w:bdr w:val="none" w:sz="0" w:space="0" w:color="auto" w:frame="1"/>
          <w:shd w:val="clear" w:color="auto" w:fill="FFFFFF"/>
        </w:rPr>
        <w:t xml:space="preserve">o </w:t>
      </w:r>
      <w:r w:rsidR="00007BC0" w:rsidRPr="00CB543A">
        <w:rPr>
          <w:rFonts w:ascii="Times New Roman" w:hAnsi="Times New Roman" w:cs="Times New Roman"/>
          <w:iCs/>
          <w:sz w:val="28"/>
          <w:szCs w:val="28"/>
          <w:bdr w:val="none" w:sz="0" w:space="0" w:color="auto" w:frame="1"/>
          <w:shd w:val="clear" w:color="auto" w:fill="FFFFFF"/>
        </w:rPr>
        <w:t>por la Sala Plena</w:t>
      </w:r>
      <w:r w:rsidR="00006F60" w:rsidRPr="00CB543A">
        <w:rPr>
          <w:rFonts w:ascii="Times New Roman" w:hAnsi="Times New Roman" w:cs="Times New Roman"/>
          <w:iCs/>
          <w:sz w:val="28"/>
          <w:szCs w:val="28"/>
          <w:bdr w:val="none" w:sz="0" w:space="0" w:color="auto" w:frame="1"/>
          <w:shd w:val="clear" w:color="auto" w:fill="FFFFFF"/>
        </w:rPr>
        <w:t xml:space="preserve"> (sentencias SU)</w:t>
      </w:r>
      <w:r w:rsidR="00E526C8" w:rsidRPr="00CB543A">
        <w:rPr>
          <w:rFonts w:ascii="Times New Roman" w:hAnsi="Times New Roman" w:cs="Times New Roman"/>
          <w:iCs/>
          <w:sz w:val="28"/>
          <w:szCs w:val="28"/>
          <w:bdr w:val="none" w:sz="0" w:space="0" w:color="auto" w:frame="1"/>
          <w:shd w:val="clear" w:color="auto" w:fill="FFFFFF"/>
        </w:rPr>
        <w:t xml:space="preserve">. Esta puede tener dos modalidades: el desconocimiento del </w:t>
      </w:r>
      <w:r w:rsidR="00E526C8" w:rsidRPr="00CB543A">
        <w:rPr>
          <w:rFonts w:ascii="Times New Roman" w:hAnsi="Times New Roman" w:cs="Times New Roman"/>
          <w:i/>
          <w:iCs/>
          <w:sz w:val="28"/>
          <w:szCs w:val="28"/>
          <w:bdr w:val="none" w:sz="0" w:space="0" w:color="auto" w:frame="1"/>
          <w:shd w:val="clear" w:color="auto" w:fill="FFFFFF"/>
        </w:rPr>
        <w:t xml:space="preserve">precedente </w:t>
      </w:r>
      <w:r w:rsidR="00E526C8" w:rsidRPr="00CB543A">
        <w:rPr>
          <w:rFonts w:ascii="Times New Roman" w:hAnsi="Times New Roman" w:cs="Times New Roman"/>
          <w:iCs/>
          <w:sz w:val="28"/>
          <w:szCs w:val="28"/>
          <w:bdr w:val="none" w:sz="0" w:space="0" w:color="auto" w:frame="1"/>
          <w:shd w:val="clear" w:color="auto" w:fill="FFFFFF"/>
        </w:rPr>
        <w:t>constitucional (</w:t>
      </w:r>
      <w:r w:rsidR="00E526C8" w:rsidRPr="00CB543A">
        <w:rPr>
          <w:rFonts w:ascii="Times New Roman" w:hAnsi="Times New Roman" w:cs="Times New Roman"/>
          <w:i/>
          <w:iCs/>
          <w:sz w:val="28"/>
          <w:szCs w:val="28"/>
          <w:bdr w:val="none" w:sz="0" w:space="0" w:color="auto" w:frame="1"/>
          <w:shd w:val="clear" w:color="auto" w:fill="FFFFFF"/>
        </w:rPr>
        <w:t>stricto sensu</w:t>
      </w:r>
      <w:r w:rsidR="00E526C8" w:rsidRPr="00CB543A">
        <w:rPr>
          <w:rFonts w:ascii="Times New Roman" w:hAnsi="Times New Roman" w:cs="Times New Roman"/>
          <w:iCs/>
          <w:sz w:val="28"/>
          <w:szCs w:val="28"/>
          <w:bdr w:val="none" w:sz="0" w:space="0" w:color="auto" w:frame="1"/>
          <w:shd w:val="clear" w:color="auto" w:fill="FFFFFF"/>
        </w:rPr>
        <w:t>) o el de la jurisprudencia en vigor. El primer</w:t>
      </w:r>
      <w:r w:rsidR="00006F60" w:rsidRPr="00CB543A">
        <w:rPr>
          <w:rFonts w:ascii="Times New Roman" w:hAnsi="Times New Roman" w:cs="Times New Roman"/>
          <w:iCs/>
          <w:sz w:val="28"/>
          <w:szCs w:val="28"/>
          <w:bdr w:val="none" w:sz="0" w:space="0" w:color="auto" w:frame="1"/>
          <w:shd w:val="clear" w:color="auto" w:fill="FFFFFF"/>
        </w:rPr>
        <w:t>o</w:t>
      </w:r>
      <w:r w:rsidR="00E526C8" w:rsidRPr="00CB543A">
        <w:rPr>
          <w:rFonts w:ascii="Times New Roman" w:hAnsi="Times New Roman" w:cs="Times New Roman"/>
          <w:iCs/>
          <w:sz w:val="28"/>
          <w:szCs w:val="28"/>
          <w:bdr w:val="none" w:sz="0" w:space="0" w:color="auto" w:frame="1"/>
          <w:shd w:val="clear" w:color="auto" w:fill="FFFFFF"/>
        </w:rPr>
        <w:t xml:space="preserve"> </w:t>
      </w:r>
      <w:r w:rsidR="00006F60" w:rsidRPr="00CB543A">
        <w:rPr>
          <w:rFonts w:ascii="Times New Roman" w:hAnsi="Times New Roman" w:cs="Times New Roman"/>
          <w:iCs/>
          <w:sz w:val="28"/>
          <w:szCs w:val="28"/>
          <w:bdr w:val="none" w:sz="0" w:space="0" w:color="auto" w:frame="1"/>
          <w:shd w:val="clear" w:color="auto" w:fill="FFFFFF"/>
        </w:rPr>
        <w:t xml:space="preserve">supone </w:t>
      </w:r>
      <w:r w:rsidR="00E526C8" w:rsidRPr="00CB543A">
        <w:rPr>
          <w:rFonts w:ascii="Times New Roman" w:hAnsi="Times New Roman" w:cs="Times New Roman"/>
          <w:iCs/>
          <w:sz w:val="28"/>
          <w:szCs w:val="28"/>
          <w:bdr w:val="none" w:sz="0" w:space="0" w:color="auto" w:frame="1"/>
          <w:shd w:val="clear" w:color="auto" w:fill="FFFFFF"/>
        </w:rPr>
        <w:t xml:space="preserve">el desconocimiento de aquella sentencia anterior que, por guardar identidad fáctica y jurídica con el caso actual, debía considerarse, en atención a la regla de decisión que contenía, de manera necesaria, para su resolución, según se trate, por los jueces constitucionales o por los jueces de la jurisdicción ordinaria o de lo contencioso administrativo. El segundo supuesto exige acreditar el desconocimiento de la jurisprudencia constitucional, esto es, de aquellas </w:t>
      </w:r>
      <w:r w:rsidR="00E526C8" w:rsidRPr="00CB543A">
        <w:rPr>
          <w:rFonts w:ascii="Times New Roman" w:hAnsi="Times New Roman" w:cs="Times New Roman"/>
          <w:i/>
          <w:iCs/>
          <w:sz w:val="28"/>
          <w:szCs w:val="28"/>
          <w:bdr w:val="none" w:sz="0" w:space="0" w:color="auto" w:frame="1"/>
          <w:shd w:val="clear" w:color="auto" w:fill="FFFFFF"/>
        </w:rPr>
        <w:t>“pautas plausibles de orientación a los tribunales y jueces de niveles subalternos”</w:t>
      </w:r>
      <w:r w:rsidR="00E526C8" w:rsidRPr="00CB543A">
        <w:rPr>
          <w:rStyle w:val="Refdenotaalpie"/>
          <w:rFonts w:ascii="Times New Roman" w:hAnsi="Times New Roman" w:cs="Times New Roman"/>
          <w:iCs/>
          <w:sz w:val="28"/>
          <w:szCs w:val="28"/>
          <w:bdr w:val="none" w:sz="0" w:space="0" w:color="auto" w:frame="1"/>
          <w:shd w:val="clear" w:color="auto" w:fill="FFFFFF"/>
        </w:rPr>
        <w:footnoteReference w:id="78"/>
      </w:r>
      <w:r w:rsidR="00E526C8" w:rsidRPr="00CB543A">
        <w:rPr>
          <w:rFonts w:ascii="Times New Roman" w:hAnsi="Times New Roman" w:cs="Times New Roman"/>
          <w:iCs/>
          <w:sz w:val="28"/>
          <w:szCs w:val="28"/>
          <w:bdr w:val="none" w:sz="0" w:space="0" w:color="auto" w:frame="1"/>
          <w:shd w:val="clear" w:color="auto" w:fill="FFFFFF"/>
        </w:rPr>
        <w:t xml:space="preserve">, que se dilucidan de la pluralidad de decisiones consistentes y anteriores, relativas a un tema en particular, que no necesariamente </w:t>
      </w:r>
      <w:r w:rsidR="008A1267" w:rsidRPr="00CB543A">
        <w:rPr>
          <w:rFonts w:ascii="Times New Roman" w:hAnsi="Times New Roman" w:cs="Times New Roman"/>
          <w:iCs/>
          <w:sz w:val="28"/>
          <w:szCs w:val="28"/>
          <w:bdr w:val="none" w:sz="0" w:space="0" w:color="auto" w:frame="1"/>
          <w:shd w:val="clear" w:color="auto" w:fill="FFFFFF"/>
        </w:rPr>
        <w:t>debe</w:t>
      </w:r>
      <w:r w:rsidR="00006F60" w:rsidRPr="00CB543A">
        <w:rPr>
          <w:rFonts w:ascii="Times New Roman" w:hAnsi="Times New Roman" w:cs="Times New Roman"/>
          <w:iCs/>
          <w:sz w:val="28"/>
          <w:szCs w:val="28"/>
          <w:bdr w:val="none" w:sz="0" w:space="0" w:color="auto" w:frame="1"/>
          <w:shd w:val="clear" w:color="auto" w:fill="FFFFFF"/>
        </w:rPr>
        <w:t xml:space="preserve"> </w:t>
      </w:r>
      <w:r w:rsidR="00E526C8" w:rsidRPr="00CB543A">
        <w:rPr>
          <w:rFonts w:ascii="Times New Roman" w:hAnsi="Times New Roman" w:cs="Times New Roman"/>
          <w:iCs/>
          <w:sz w:val="28"/>
          <w:szCs w:val="28"/>
          <w:bdr w:val="none" w:sz="0" w:space="0" w:color="auto" w:frame="1"/>
          <w:shd w:val="clear" w:color="auto" w:fill="FFFFFF"/>
        </w:rPr>
        <w:t>guarda</w:t>
      </w:r>
      <w:r w:rsidR="00006F60" w:rsidRPr="00CB543A">
        <w:rPr>
          <w:rFonts w:ascii="Times New Roman" w:hAnsi="Times New Roman" w:cs="Times New Roman"/>
          <w:iCs/>
          <w:sz w:val="28"/>
          <w:szCs w:val="28"/>
          <w:bdr w:val="none" w:sz="0" w:space="0" w:color="auto" w:frame="1"/>
          <w:shd w:val="clear" w:color="auto" w:fill="FFFFFF"/>
        </w:rPr>
        <w:t>r</w:t>
      </w:r>
      <w:r w:rsidR="00E526C8" w:rsidRPr="00CB543A">
        <w:rPr>
          <w:rFonts w:ascii="Times New Roman" w:hAnsi="Times New Roman" w:cs="Times New Roman"/>
          <w:iCs/>
          <w:sz w:val="28"/>
          <w:szCs w:val="28"/>
          <w:bdr w:val="none" w:sz="0" w:space="0" w:color="auto" w:frame="1"/>
          <w:shd w:val="clear" w:color="auto" w:fill="FFFFFF"/>
        </w:rPr>
        <w:t xml:space="preserve"> identidad fáctica con el caso </w:t>
      </w:r>
      <w:r w:rsidR="008A1267" w:rsidRPr="00CB543A">
        <w:rPr>
          <w:rFonts w:ascii="Times New Roman" w:hAnsi="Times New Roman" w:cs="Times New Roman"/>
          <w:iCs/>
          <w:sz w:val="28"/>
          <w:szCs w:val="28"/>
          <w:bdr w:val="none" w:sz="0" w:space="0" w:color="auto" w:frame="1"/>
          <w:shd w:val="clear" w:color="auto" w:fill="FFFFFF"/>
        </w:rPr>
        <w:t>objeto de decisión</w:t>
      </w:r>
      <w:r w:rsidR="008A1267" w:rsidRPr="00CB543A">
        <w:rPr>
          <w:rStyle w:val="Refdenotaalpie"/>
          <w:rFonts w:ascii="Times New Roman" w:hAnsi="Times New Roman" w:cs="Times New Roman"/>
          <w:iCs/>
          <w:sz w:val="28"/>
          <w:szCs w:val="28"/>
          <w:bdr w:val="none" w:sz="0" w:space="0" w:color="auto" w:frame="1"/>
          <w:shd w:val="clear" w:color="auto" w:fill="FFFFFF"/>
        </w:rPr>
        <w:footnoteReference w:id="79"/>
      </w:r>
      <w:r w:rsidR="00E526C8" w:rsidRPr="00CB543A">
        <w:rPr>
          <w:rFonts w:ascii="Times New Roman" w:hAnsi="Times New Roman" w:cs="Times New Roman"/>
          <w:iCs/>
          <w:sz w:val="28"/>
          <w:szCs w:val="28"/>
          <w:bdr w:val="none" w:sz="0" w:space="0" w:color="auto" w:frame="1"/>
          <w:shd w:val="clear" w:color="auto" w:fill="FFFFFF"/>
        </w:rPr>
        <w:t>.</w:t>
      </w:r>
    </w:p>
    <w:p w:rsidR="00354347" w:rsidRPr="00CB543A" w:rsidRDefault="00354347" w:rsidP="00CB543A">
      <w:pPr>
        <w:pStyle w:val="Prrafodelista"/>
        <w:widowControl w:val="0"/>
        <w:shd w:val="clear" w:color="auto" w:fill="FFFFFF"/>
        <w:tabs>
          <w:tab w:val="left" w:pos="426"/>
        </w:tabs>
        <w:spacing w:after="0" w:line="240" w:lineRule="auto"/>
        <w:ind w:left="0"/>
        <w:jc w:val="both"/>
        <w:textAlignment w:val="baseline"/>
        <w:rPr>
          <w:rFonts w:ascii="Times New Roman" w:hAnsi="Times New Roman" w:cs="Times New Roman"/>
          <w:b/>
          <w:sz w:val="28"/>
          <w:szCs w:val="28"/>
        </w:rPr>
      </w:pPr>
    </w:p>
    <w:p w:rsidR="00B726C6" w:rsidRPr="00CB543A" w:rsidRDefault="00354347" w:rsidP="00CB543A">
      <w:pPr>
        <w:pStyle w:val="Prrafodelista"/>
        <w:widowControl w:val="0"/>
        <w:numPr>
          <w:ilvl w:val="0"/>
          <w:numId w:val="32"/>
        </w:numPr>
        <w:shd w:val="clear" w:color="auto" w:fill="FFFFFF"/>
        <w:tabs>
          <w:tab w:val="left" w:pos="426"/>
        </w:tabs>
        <w:spacing w:after="0" w:line="240" w:lineRule="auto"/>
        <w:ind w:left="0"/>
        <w:jc w:val="both"/>
        <w:textAlignment w:val="baseline"/>
        <w:rPr>
          <w:rFonts w:ascii="Times New Roman" w:hAnsi="Times New Roman" w:cs="Times New Roman"/>
          <w:b/>
          <w:sz w:val="28"/>
          <w:szCs w:val="28"/>
        </w:rPr>
      </w:pPr>
      <w:r w:rsidRPr="00CB543A">
        <w:rPr>
          <w:rFonts w:ascii="Times New Roman" w:hAnsi="Times New Roman" w:cs="Times New Roman"/>
          <w:iCs/>
          <w:sz w:val="28"/>
          <w:szCs w:val="28"/>
          <w:bdr w:val="none" w:sz="0" w:space="0" w:color="auto" w:frame="1"/>
          <w:shd w:val="clear" w:color="auto" w:fill="FFFFFF"/>
        </w:rPr>
        <w:t xml:space="preserve">Finalmente, </w:t>
      </w:r>
      <w:r w:rsidR="00EA0331" w:rsidRPr="00CB543A">
        <w:rPr>
          <w:rFonts w:ascii="Times New Roman" w:hAnsi="Times New Roman" w:cs="Times New Roman"/>
          <w:iCs/>
          <w:sz w:val="28"/>
          <w:szCs w:val="28"/>
          <w:bdr w:val="none" w:sz="0" w:space="0" w:color="auto" w:frame="1"/>
          <w:shd w:val="clear" w:color="auto" w:fill="FFFFFF"/>
        </w:rPr>
        <w:t xml:space="preserve">advierte la Sala que si </w:t>
      </w:r>
      <w:r w:rsidRPr="00CB543A">
        <w:rPr>
          <w:rFonts w:ascii="Times New Roman" w:hAnsi="Times New Roman" w:cs="Times New Roman"/>
          <w:iCs/>
          <w:sz w:val="28"/>
          <w:szCs w:val="28"/>
          <w:bdr w:val="none" w:sz="0" w:space="0" w:color="auto" w:frame="1"/>
          <w:shd w:val="clear" w:color="auto" w:fill="FFFFFF"/>
        </w:rPr>
        <w:t xml:space="preserve">los jueces </w:t>
      </w:r>
      <w:r w:rsidR="00045CD5" w:rsidRPr="00CB543A">
        <w:rPr>
          <w:rFonts w:ascii="Times New Roman" w:hAnsi="Times New Roman" w:cs="Times New Roman"/>
          <w:iCs/>
          <w:sz w:val="28"/>
          <w:szCs w:val="28"/>
          <w:bdr w:val="none" w:sz="0" w:space="0" w:color="auto" w:frame="1"/>
          <w:shd w:val="clear" w:color="auto" w:fill="FFFFFF"/>
        </w:rPr>
        <w:t>pretend</w:t>
      </w:r>
      <w:r w:rsidR="001836CF" w:rsidRPr="00CB543A">
        <w:rPr>
          <w:rFonts w:ascii="Times New Roman" w:hAnsi="Times New Roman" w:cs="Times New Roman"/>
          <w:iCs/>
          <w:sz w:val="28"/>
          <w:szCs w:val="28"/>
          <w:bdr w:val="none" w:sz="0" w:space="0" w:color="auto" w:frame="1"/>
          <w:shd w:val="clear" w:color="auto" w:fill="FFFFFF"/>
        </w:rPr>
        <w:t>e</w:t>
      </w:r>
      <w:r w:rsidRPr="00CB543A">
        <w:rPr>
          <w:rFonts w:ascii="Times New Roman" w:hAnsi="Times New Roman" w:cs="Times New Roman"/>
          <w:iCs/>
          <w:sz w:val="28"/>
          <w:szCs w:val="28"/>
          <w:bdr w:val="none" w:sz="0" w:space="0" w:color="auto" w:frame="1"/>
          <w:shd w:val="clear" w:color="auto" w:fill="FFFFFF"/>
        </w:rPr>
        <w:t>n</w:t>
      </w:r>
      <w:r w:rsidR="00045CD5" w:rsidRPr="00CB543A">
        <w:rPr>
          <w:rFonts w:ascii="Times New Roman" w:hAnsi="Times New Roman" w:cs="Times New Roman"/>
          <w:iCs/>
          <w:sz w:val="28"/>
          <w:szCs w:val="28"/>
          <w:bdr w:val="none" w:sz="0" w:space="0" w:color="auto" w:frame="1"/>
          <w:shd w:val="clear" w:color="auto" w:fill="FFFFFF"/>
        </w:rPr>
        <w:t xml:space="preserve"> apartarse de</w:t>
      </w:r>
      <w:r w:rsidRPr="00CB543A">
        <w:rPr>
          <w:rFonts w:ascii="Times New Roman" w:hAnsi="Times New Roman" w:cs="Times New Roman"/>
          <w:iCs/>
          <w:sz w:val="28"/>
          <w:szCs w:val="28"/>
          <w:bdr w:val="none" w:sz="0" w:space="0" w:color="auto" w:frame="1"/>
          <w:shd w:val="clear" w:color="auto" w:fill="FFFFFF"/>
        </w:rPr>
        <w:t xml:space="preserve">l </w:t>
      </w:r>
      <w:r w:rsidR="00045CD5" w:rsidRPr="00CB543A">
        <w:rPr>
          <w:rFonts w:ascii="Times New Roman" w:hAnsi="Times New Roman" w:cs="Times New Roman"/>
          <w:iCs/>
          <w:sz w:val="28"/>
          <w:szCs w:val="28"/>
          <w:bdr w:val="none" w:sz="0" w:space="0" w:color="auto" w:frame="1"/>
          <w:shd w:val="clear" w:color="auto" w:fill="FFFFFF"/>
        </w:rPr>
        <w:t>precedente constitucional</w:t>
      </w:r>
      <w:r w:rsidRPr="00CB543A">
        <w:rPr>
          <w:rFonts w:ascii="Times New Roman" w:hAnsi="Times New Roman" w:cs="Times New Roman"/>
          <w:iCs/>
          <w:sz w:val="28"/>
          <w:szCs w:val="28"/>
          <w:bdr w:val="none" w:sz="0" w:space="0" w:color="auto" w:frame="1"/>
          <w:shd w:val="clear" w:color="auto" w:fill="FFFFFF"/>
        </w:rPr>
        <w:t xml:space="preserve"> o de la jurisprudencia en vigor</w:t>
      </w:r>
      <w:r w:rsidR="00045CD5" w:rsidRPr="00CB543A">
        <w:rPr>
          <w:rFonts w:ascii="Times New Roman" w:hAnsi="Times New Roman" w:cs="Times New Roman"/>
          <w:iCs/>
          <w:sz w:val="28"/>
          <w:szCs w:val="28"/>
          <w:bdr w:val="none" w:sz="0" w:space="0" w:color="auto" w:frame="1"/>
          <w:shd w:val="clear" w:color="auto" w:fill="FFFFFF"/>
        </w:rPr>
        <w:t xml:space="preserve">: </w:t>
      </w:r>
      <w:r w:rsidR="00045CD5" w:rsidRPr="00CB543A">
        <w:rPr>
          <w:rFonts w:ascii="Times New Roman" w:hAnsi="Times New Roman" w:cs="Times New Roman"/>
          <w:i/>
          <w:iCs/>
          <w:sz w:val="28"/>
          <w:szCs w:val="28"/>
          <w:bdr w:val="none" w:sz="0" w:space="0" w:color="auto" w:frame="1"/>
          <w:shd w:val="clear" w:color="auto" w:fill="FFFFFF"/>
        </w:rPr>
        <w:t>(i)</w:t>
      </w:r>
      <w:r w:rsidR="00045CD5" w:rsidRPr="00CB543A">
        <w:rPr>
          <w:rFonts w:ascii="Times New Roman" w:hAnsi="Times New Roman" w:cs="Times New Roman"/>
          <w:iCs/>
          <w:sz w:val="28"/>
          <w:szCs w:val="28"/>
          <w:bdr w:val="none" w:sz="0" w:space="0" w:color="auto" w:frame="1"/>
          <w:shd w:val="clear" w:color="auto" w:fill="FFFFFF"/>
        </w:rPr>
        <w:t xml:space="preserve"> debe</w:t>
      </w:r>
      <w:r w:rsidRPr="00CB543A">
        <w:rPr>
          <w:rFonts w:ascii="Times New Roman" w:hAnsi="Times New Roman" w:cs="Times New Roman"/>
          <w:iCs/>
          <w:sz w:val="28"/>
          <w:szCs w:val="28"/>
          <w:bdr w:val="none" w:sz="0" w:space="0" w:color="auto" w:frame="1"/>
          <w:shd w:val="clear" w:color="auto" w:fill="FFFFFF"/>
        </w:rPr>
        <w:t>n</w:t>
      </w:r>
      <w:r w:rsidR="00045CD5" w:rsidRPr="00CB543A">
        <w:rPr>
          <w:rFonts w:ascii="Times New Roman" w:hAnsi="Times New Roman" w:cs="Times New Roman"/>
          <w:iCs/>
          <w:sz w:val="28"/>
          <w:szCs w:val="28"/>
          <w:bdr w:val="none" w:sz="0" w:space="0" w:color="auto" w:frame="1"/>
          <w:shd w:val="clear" w:color="auto" w:fill="FFFFFF"/>
        </w:rPr>
        <w:t xml:space="preserve"> hacer explícitas las razones por las cuales se abstiene</w:t>
      </w:r>
      <w:r w:rsidRPr="00CB543A">
        <w:rPr>
          <w:rFonts w:ascii="Times New Roman" w:hAnsi="Times New Roman" w:cs="Times New Roman"/>
          <w:iCs/>
          <w:sz w:val="28"/>
          <w:szCs w:val="28"/>
          <w:bdr w:val="none" w:sz="0" w:space="0" w:color="auto" w:frame="1"/>
          <w:shd w:val="clear" w:color="auto" w:fill="FFFFFF"/>
        </w:rPr>
        <w:t>n</w:t>
      </w:r>
      <w:r w:rsidR="00045CD5" w:rsidRPr="00CB543A">
        <w:rPr>
          <w:rFonts w:ascii="Times New Roman" w:hAnsi="Times New Roman" w:cs="Times New Roman"/>
          <w:iCs/>
          <w:sz w:val="28"/>
          <w:szCs w:val="28"/>
          <w:bdr w:val="none" w:sz="0" w:space="0" w:color="auto" w:frame="1"/>
          <w:shd w:val="clear" w:color="auto" w:fill="FFFFFF"/>
        </w:rPr>
        <w:t xml:space="preserve"> de </w:t>
      </w:r>
      <w:r w:rsidRPr="00CB543A">
        <w:rPr>
          <w:rFonts w:ascii="Times New Roman" w:hAnsi="Times New Roman" w:cs="Times New Roman"/>
          <w:iCs/>
          <w:sz w:val="28"/>
          <w:szCs w:val="28"/>
          <w:bdr w:val="none" w:sz="0" w:space="0" w:color="auto" w:frame="1"/>
          <w:shd w:val="clear" w:color="auto" w:fill="FFFFFF"/>
        </w:rPr>
        <w:t xml:space="preserve">aplicar el precedente o de </w:t>
      </w:r>
      <w:r w:rsidR="00045CD5" w:rsidRPr="00CB543A">
        <w:rPr>
          <w:rFonts w:ascii="Times New Roman" w:hAnsi="Times New Roman" w:cs="Times New Roman"/>
          <w:iCs/>
          <w:sz w:val="28"/>
          <w:szCs w:val="28"/>
          <w:bdr w:val="none" w:sz="0" w:space="0" w:color="auto" w:frame="1"/>
          <w:shd w:val="clear" w:color="auto" w:fill="FFFFFF"/>
        </w:rPr>
        <w:t>seguir la jurisprudencia en vigor sobre la materia objeto de escrutinio judicial</w:t>
      </w:r>
      <w:r w:rsidRPr="00CB543A">
        <w:rPr>
          <w:rFonts w:ascii="Times New Roman" w:hAnsi="Times New Roman" w:cs="Times New Roman"/>
          <w:iCs/>
          <w:sz w:val="28"/>
          <w:szCs w:val="28"/>
          <w:bdr w:val="none" w:sz="0" w:space="0" w:color="auto" w:frame="1"/>
          <w:shd w:val="clear" w:color="auto" w:fill="FFFFFF"/>
        </w:rPr>
        <w:t>;</w:t>
      </w:r>
      <w:r w:rsidR="00045CD5" w:rsidRPr="00CB543A">
        <w:rPr>
          <w:rFonts w:ascii="Times New Roman" w:hAnsi="Times New Roman" w:cs="Times New Roman"/>
          <w:iCs/>
          <w:sz w:val="28"/>
          <w:szCs w:val="28"/>
          <w:bdr w:val="none" w:sz="0" w:space="0" w:color="auto" w:frame="1"/>
          <w:shd w:val="clear" w:color="auto" w:fill="FFFFFF"/>
        </w:rPr>
        <w:t xml:space="preserve"> </w:t>
      </w:r>
      <w:r w:rsidR="00045CD5" w:rsidRPr="00CB543A">
        <w:rPr>
          <w:rFonts w:ascii="Times New Roman" w:hAnsi="Times New Roman" w:cs="Times New Roman"/>
          <w:i/>
          <w:iCs/>
          <w:sz w:val="28"/>
          <w:szCs w:val="28"/>
          <w:bdr w:val="none" w:sz="0" w:space="0" w:color="auto" w:frame="1"/>
          <w:shd w:val="clear" w:color="auto" w:fill="FFFFFF"/>
        </w:rPr>
        <w:t>(ii)</w:t>
      </w:r>
      <w:r w:rsidR="00045CD5" w:rsidRPr="00CB543A">
        <w:rPr>
          <w:rFonts w:ascii="Times New Roman" w:hAnsi="Times New Roman" w:cs="Times New Roman"/>
          <w:iCs/>
          <w:sz w:val="28"/>
          <w:szCs w:val="28"/>
          <w:bdr w:val="none" w:sz="0" w:space="0" w:color="auto" w:frame="1"/>
          <w:shd w:val="clear" w:color="auto" w:fill="FFFFFF"/>
        </w:rPr>
        <w:t xml:space="preserve"> debe demostrar que la interpretación alternativa que se ofrece desarrolla y amplía</w:t>
      </w:r>
      <w:r w:rsidRPr="00CB543A">
        <w:rPr>
          <w:rFonts w:ascii="Times New Roman" w:hAnsi="Times New Roman" w:cs="Times New Roman"/>
          <w:iCs/>
          <w:sz w:val="28"/>
          <w:szCs w:val="28"/>
          <w:bdr w:val="none" w:sz="0" w:space="0" w:color="auto" w:frame="1"/>
          <w:shd w:val="clear" w:color="auto" w:fill="FFFFFF"/>
        </w:rPr>
        <w:t>,</w:t>
      </w:r>
      <w:r w:rsidR="00045CD5" w:rsidRPr="00CB543A">
        <w:rPr>
          <w:rFonts w:ascii="Times New Roman" w:hAnsi="Times New Roman" w:cs="Times New Roman"/>
          <w:iCs/>
          <w:sz w:val="28"/>
          <w:szCs w:val="28"/>
          <w:bdr w:val="none" w:sz="0" w:space="0" w:color="auto" w:frame="1"/>
          <w:shd w:val="clear" w:color="auto" w:fill="FFFFFF"/>
        </w:rPr>
        <w:t xml:space="preserve"> de mejor manera</w:t>
      </w:r>
      <w:r w:rsidRPr="00CB543A">
        <w:rPr>
          <w:rFonts w:ascii="Times New Roman" w:hAnsi="Times New Roman" w:cs="Times New Roman"/>
          <w:iCs/>
          <w:sz w:val="28"/>
          <w:szCs w:val="28"/>
          <w:bdr w:val="none" w:sz="0" w:space="0" w:color="auto" w:frame="1"/>
          <w:shd w:val="clear" w:color="auto" w:fill="FFFFFF"/>
        </w:rPr>
        <w:t>,</w:t>
      </w:r>
      <w:r w:rsidR="00045CD5" w:rsidRPr="00CB543A">
        <w:rPr>
          <w:rFonts w:ascii="Times New Roman" w:hAnsi="Times New Roman" w:cs="Times New Roman"/>
          <w:iCs/>
          <w:sz w:val="28"/>
          <w:szCs w:val="28"/>
          <w:bdr w:val="none" w:sz="0" w:space="0" w:color="auto" w:frame="1"/>
          <w:shd w:val="clear" w:color="auto" w:fill="FFFFFF"/>
        </w:rPr>
        <w:t xml:space="preserve"> el contenido de los derechos, principios y valores constitucionales objeto de protección</w:t>
      </w:r>
      <w:r w:rsidR="007F01F2" w:rsidRPr="00CB543A">
        <w:rPr>
          <w:rStyle w:val="Refdenotaalpie"/>
          <w:rFonts w:ascii="Times New Roman" w:hAnsi="Times New Roman" w:cs="Times New Roman"/>
          <w:iCs/>
          <w:sz w:val="28"/>
          <w:szCs w:val="28"/>
          <w:bdr w:val="none" w:sz="0" w:space="0" w:color="auto" w:frame="1"/>
          <w:shd w:val="clear" w:color="auto" w:fill="FFFFFF"/>
        </w:rPr>
        <w:footnoteReference w:id="80"/>
      </w:r>
      <w:r w:rsidR="00045CD5" w:rsidRPr="00CB543A">
        <w:rPr>
          <w:rFonts w:ascii="Times New Roman" w:hAnsi="Times New Roman" w:cs="Times New Roman"/>
          <w:iCs/>
          <w:sz w:val="28"/>
          <w:szCs w:val="28"/>
          <w:bdr w:val="none" w:sz="0" w:space="0" w:color="auto" w:frame="1"/>
          <w:shd w:val="clear" w:color="auto" w:fill="FFFFFF"/>
        </w:rPr>
        <w:t xml:space="preserve">. En ese sentido, para la Corte resultan contrarias al debido proceso, entre otras, </w:t>
      </w:r>
      <w:r w:rsidR="00045CD5" w:rsidRPr="00CB543A">
        <w:rPr>
          <w:rFonts w:ascii="Times New Roman" w:hAnsi="Times New Roman" w:cs="Times New Roman"/>
          <w:i/>
          <w:iCs/>
          <w:sz w:val="28"/>
          <w:szCs w:val="28"/>
          <w:bdr w:val="none" w:sz="0" w:space="0" w:color="auto" w:frame="1"/>
          <w:shd w:val="clear" w:color="auto" w:fill="FFFFFF"/>
        </w:rPr>
        <w:t>(</w:t>
      </w:r>
      <w:r w:rsidRPr="00CB543A">
        <w:rPr>
          <w:rFonts w:ascii="Times New Roman" w:hAnsi="Times New Roman" w:cs="Times New Roman"/>
          <w:i/>
          <w:iCs/>
          <w:sz w:val="28"/>
          <w:szCs w:val="28"/>
          <w:bdr w:val="none" w:sz="0" w:space="0" w:color="auto" w:frame="1"/>
          <w:shd w:val="clear" w:color="auto" w:fill="FFFFFF"/>
        </w:rPr>
        <w:t>i</w:t>
      </w:r>
      <w:r w:rsidR="00045CD5" w:rsidRPr="00CB543A">
        <w:rPr>
          <w:rFonts w:ascii="Times New Roman" w:hAnsi="Times New Roman" w:cs="Times New Roman"/>
          <w:i/>
          <w:iCs/>
          <w:sz w:val="28"/>
          <w:szCs w:val="28"/>
          <w:bdr w:val="none" w:sz="0" w:space="0" w:color="auto" w:frame="1"/>
          <w:shd w:val="clear" w:color="auto" w:fill="FFFFFF"/>
        </w:rPr>
        <w:t>)</w:t>
      </w:r>
      <w:r w:rsidR="00045CD5" w:rsidRPr="00CB543A">
        <w:rPr>
          <w:rFonts w:ascii="Times New Roman" w:hAnsi="Times New Roman" w:cs="Times New Roman"/>
          <w:iCs/>
          <w:sz w:val="28"/>
          <w:szCs w:val="28"/>
          <w:bdr w:val="none" w:sz="0" w:space="0" w:color="auto" w:frame="1"/>
          <w:shd w:val="clear" w:color="auto" w:fill="FFFFFF"/>
        </w:rPr>
        <w:t xml:space="preserve"> el incumplimiento de una carga mínima de argumentación que, a partir del principio de razón suficiente, justifique apartarse del precedente </w:t>
      </w:r>
      <w:r w:rsidRPr="00CB543A">
        <w:rPr>
          <w:rFonts w:ascii="Times New Roman" w:hAnsi="Times New Roman" w:cs="Times New Roman"/>
          <w:iCs/>
          <w:sz w:val="28"/>
          <w:szCs w:val="28"/>
          <w:bdr w:val="none" w:sz="0" w:space="0" w:color="auto" w:frame="1"/>
          <w:shd w:val="clear" w:color="auto" w:fill="FFFFFF"/>
        </w:rPr>
        <w:t>constitucional</w:t>
      </w:r>
      <w:r w:rsidR="00045CD5" w:rsidRPr="00CB543A">
        <w:rPr>
          <w:rFonts w:ascii="Times New Roman" w:hAnsi="Times New Roman" w:cs="Times New Roman"/>
          <w:iCs/>
          <w:sz w:val="28"/>
          <w:szCs w:val="28"/>
          <w:bdr w:val="none" w:sz="0" w:space="0" w:color="auto" w:frame="1"/>
          <w:shd w:val="clear" w:color="auto" w:fill="FFFFFF"/>
        </w:rPr>
        <w:t xml:space="preserve">; y </w:t>
      </w:r>
      <w:r w:rsidR="00045CD5" w:rsidRPr="00CB543A">
        <w:rPr>
          <w:rFonts w:ascii="Times New Roman" w:hAnsi="Times New Roman" w:cs="Times New Roman"/>
          <w:i/>
          <w:iCs/>
          <w:sz w:val="28"/>
          <w:szCs w:val="28"/>
          <w:bdr w:val="none" w:sz="0" w:space="0" w:color="auto" w:frame="1"/>
          <w:shd w:val="clear" w:color="auto" w:fill="FFFFFF"/>
        </w:rPr>
        <w:t>(</w:t>
      </w:r>
      <w:r w:rsidRPr="00CB543A">
        <w:rPr>
          <w:rFonts w:ascii="Times New Roman" w:hAnsi="Times New Roman" w:cs="Times New Roman"/>
          <w:i/>
          <w:iCs/>
          <w:sz w:val="28"/>
          <w:szCs w:val="28"/>
          <w:bdr w:val="none" w:sz="0" w:space="0" w:color="auto" w:frame="1"/>
          <w:shd w:val="clear" w:color="auto" w:fill="FFFFFF"/>
        </w:rPr>
        <w:t>ii</w:t>
      </w:r>
      <w:r w:rsidR="00045CD5" w:rsidRPr="00CB543A">
        <w:rPr>
          <w:rFonts w:ascii="Times New Roman" w:hAnsi="Times New Roman" w:cs="Times New Roman"/>
          <w:i/>
          <w:iCs/>
          <w:sz w:val="28"/>
          <w:szCs w:val="28"/>
          <w:bdr w:val="none" w:sz="0" w:space="0" w:color="auto" w:frame="1"/>
          <w:shd w:val="clear" w:color="auto" w:fill="FFFFFF"/>
        </w:rPr>
        <w:t>)</w:t>
      </w:r>
      <w:r w:rsidR="00045CD5" w:rsidRPr="00CB543A">
        <w:rPr>
          <w:rFonts w:ascii="Times New Roman" w:hAnsi="Times New Roman" w:cs="Times New Roman"/>
          <w:iCs/>
          <w:sz w:val="28"/>
          <w:szCs w:val="28"/>
          <w:bdr w:val="none" w:sz="0" w:space="0" w:color="auto" w:frame="1"/>
          <w:shd w:val="clear" w:color="auto" w:fill="FFFFFF"/>
        </w:rPr>
        <w:t xml:space="preserve"> la simple omisión o negativa del juez en su aplicación, a partir de un erróneo entendimiento d</w:t>
      </w:r>
      <w:r w:rsidR="00007BC0" w:rsidRPr="00CB543A">
        <w:rPr>
          <w:rFonts w:ascii="Times New Roman" w:hAnsi="Times New Roman" w:cs="Times New Roman"/>
          <w:iCs/>
          <w:sz w:val="28"/>
          <w:szCs w:val="28"/>
          <w:bdr w:val="none" w:sz="0" w:space="0" w:color="auto" w:frame="1"/>
          <w:shd w:val="clear" w:color="auto" w:fill="FFFFFF"/>
        </w:rPr>
        <w:t xml:space="preserve">e la autonomía </w:t>
      </w:r>
      <w:r w:rsidRPr="00CB543A">
        <w:rPr>
          <w:rFonts w:ascii="Times New Roman" w:hAnsi="Times New Roman" w:cs="Times New Roman"/>
          <w:iCs/>
          <w:sz w:val="28"/>
          <w:szCs w:val="28"/>
          <w:bdr w:val="none" w:sz="0" w:space="0" w:color="auto" w:frame="1"/>
          <w:shd w:val="clear" w:color="auto" w:fill="FFFFFF"/>
        </w:rPr>
        <w:t>judicial o en un ejercicio abusivo de ella</w:t>
      </w:r>
      <w:r w:rsidR="00045CD5" w:rsidRPr="00CB543A">
        <w:rPr>
          <w:rFonts w:ascii="Times New Roman" w:hAnsi="Times New Roman" w:cs="Times New Roman"/>
          <w:iCs/>
          <w:sz w:val="28"/>
          <w:szCs w:val="28"/>
          <w:bdr w:val="none" w:sz="0" w:space="0" w:color="auto" w:frame="1"/>
          <w:shd w:val="clear" w:color="auto" w:fill="FFFFFF"/>
        </w:rPr>
        <w:t>.</w:t>
      </w:r>
    </w:p>
    <w:p w:rsidR="00B726C6" w:rsidRPr="00CB543A" w:rsidRDefault="00B726C6" w:rsidP="00CB543A">
      <w:pPr>
        <w:widowControl w:val="0"/>
        <w:spacing w:after="0" w:line="240" w:lineRule="auto"/>
        <w:jc w:val="both"/>
        <w:rPr>
          <w:rFonts w:ascii="Times New Roman" w:hAnsi="Times New Roman" w:cs="Times New Roman"/>
          <w:b/>
          <w:sz w:val="28"/>
          <w:szCs w:val="28"/>
        </w:rPr>
      </w:pPr>
    </w:p>
    <w:p w:rsidR="00357C8C" w:rsidRPr="00CB543A" w:rsidRDefault="00A24AF8" w:rsidP="00CB543A">
      <w:pPr>
        <w:pStyle w:val="Prrafodelista"/>
        <w:widowControl w:val="0"/>
        <w:numPr>
          <w:ilvl w:val="2"/>
          <w:numId w:val="11"/>
        </w:numPr>
        <w:spacing w:after="0" w:line="240" w:lineRule="auto"/>
        <w:ind w:left="0" w:firstLine="0"/>
        <w:jc w:val="both"/>
        <w:rPr>
          <w:rFonts w:ascii="Times New Roman" w:hAnsi="Times New Roman" w:cs="Times New Roman"/>
          <w:b/>
          <w:sz w:val="28"/>
          <w:szCs w:val="28"/>
        </w:rPr>
      </w:pPr>
      <w:r w:rsidRPr="00CB543A">
        <w:rPr>
          <w:rFonts w:ascii="Times New Roman" w:hAnsi="Times New Roman" w:cs="Times New Roman"/>
          <w:b/>
          <w:sz w:val="28"/>
          <w:szCs w:val="28"/>
        </w:rPr>
        <w:t>El contenido normativo del artículo 36 de la Ley 100 de 1993</w:t>
      </w:r>
    </w:p>
    <w:p w:rsidR="00C97AB2" w:rsidRPr="00CB543A" w:rsidRDefault="00C97AB2" w:rsidP="00CB543A">
      <w:pPr>
        <w:pStyle w:val="Prrafodelista"/>
        <w:widowControl w:val="0"/>
        <w:spacing w:after="0" w:line="240" w:lineRule="auto"/>
        <w:ind w:left="792"/>
        <w:jc w:val="both"/>
        <w:rPr>
          <w:rFonts w:ascii="Times New Roman" w:hAnsi="Times New Roman" w:cs="Times New Roman"/>
          <w:b/>
          <w:sz w:val="28"/>
          <w:szCs w:val="28"/>
        </w:rPr>
      </w:pPr>
    </w:p>
    <w:p w:rsidR="00AB4697" w:rsidRPr="00CB543A" w:rsidRDefault="00041DB7" w:rsidP="00CB543A">
      <w:pPr>
        <w:pStyle w:val="Prrafodelista"/>
        <w:widowControl w:val="0"/>
        <w:numPr>
          <w:ilvl w:val="0"/>
          <w:numId w:val="32"/>
        </w:numPr>
        <w:tabs>
          <w:tab w:val="left" w:pos="426"/>
        </w:tabs>
        <w:spacing w:after="0" w:line="240" w:lineRule="auto"/>
        <w:ind w:left="0"/>
        <w:jc w:val="both"/>
        <w:rPr>
          <w:rFonts w:ascii="Times New Roman" w:hAnsi="Times New Roman" w:cs="Times New Roman"/>
          <w:b/>
          <w:sz w:val="28"/>
          <w:szCs w:val="28"/>
        </w:rPr>
      </w:pPr>
      <w:r w:rsidRPr="00CB543A">
        <w:rPr>
          <w:rFonts w:ascii="Times New Roman" w:hAnsi="Times New Roman" w:cs="Times New Roman"/>
          <w:sz w:val="28"/>
          <w:szCs w:val="28"/>
        </w:rPr>
        <w:t>La</w:t>
      </w:r>
      <w:r w:rsidR="00AB4697" w:rsidRPr="00CB543A">
        <w:rPr>
          <w:rFonts w:ascii="Times New Roman" w:hAnsi="Times New Roman" w:cs="Times New Roman"/>
          <w:sz w:val="28"/>
          <w:szCs w:val="28"/>
        </w:rPr>
        <w:t xml:space="preserve"> seguridad social es tanto un derecho fundamental social como un </w:t>
      </w:r>
      <w:r w:rsidR="00AB4697" w:rsidRPr="00CB543A">
        <w:rPr>
          <w:rFonts w:ascii="Times New Roman" w:hAnsi="Times New Roman" w:cs="Times New Roman"/>
          <w:sz w:val="28"/>
          <w:szCs w:val="28"/>
        </w:rPr>
        <w:lastRenderedPageBreak/>
        <w:t>servicio público</w:t>
      </w:r>
      <w:r w:rsidRPr="00CB543A">
        <w:rPr>
          <w:rFonts w:ascii="Times New Roman" w:hAnsi="Times New Roman" w:cs="Times New Roman"/>
          <w:sz w:val="28"/>
          <w:szCs w:val="28"/>
          <w:vertAlign w:val="superscript"/>
        </w:rPr>
        <w:footnoteReference w:id="81"/>
      </w:r>
      <w:r w:rsidR="00AB4697" w:rsidRPr="00CB543A">
        <w:rPr>
          <w:rFonts w:ascii="Times New Roman" w:hAnsi="Times New Roman" w:cs="Times New Roman"/>
          <w:sz w:val="28"/>
          <w:szCs w:val="28"/>
        </w:rPr>
        <w:t>. Además de su reconocimiento constitucional (art</w:t>
      </w:r>
      <w:r w:rsidRPr="00CB543A">
        <w:rPr>
          <w:rFonts w:ascii="Times New Roman" w:hAnsi="Times New Roman" w:cs="Times New Roman"/>
          <w:sz w:val="28"/>
          <w:szCs w:val="28"/>
        </w:rPr>
        <w:t>ículo</w:t>
      </w:r>
      <w:r w:rsidR="00AB4697" w:rsidRPr="00CB543A">
        <w:rPr>
          <w:rFonts w:ascii="Times New Roman" w:hAnsi="Times New Roman" w:cs="Times New Roman"/>
          <w:sz w:val="28"/>
          <w:szCs w:val="28"/>
        </w:rPr>
        <w:t xml:space="preserve"> 48), se consagra en los artículos 45 de la Carta de la Organización de los Estados Americanos, 19 del Protocolo de San Salvador y 9 del Pacto Internacional de Derechos Económicos, Sociales y Culturales</w:t>
      </w:r>
      <w:r w:rsidR="00AB4697" w:rsidRPr="00CB543A">
        <w:rPr>
          <w:rFonts w:ascii="Times New Roman" w:hAnsi="Times New Roman" w:cs="Times New Roman"/>
          <w:sz w:val="28"/>
          <w:szCs w:val="28"/>
          <w:vertAlign w:val="superscript"/>
        </w:rPr>
        <w:footnoteReference w:id="82"/>
      </w:r>
      <w:r w:rsidR="00AB4697" w:rsidRPr="00CB543A">
        <w:rPr>
          <w:rFonts w:ascii="Times New Roman" w:hAnsi="Times New Roman" w:cs="Times New Roman"/>
          <w:sz w:val="28"/>
          <w:szCs w:val="28"/>
        </w:rPr>
        <w:t xml:space="preserve">. Adicionalmente, impone a los Estados tres deberes concretos: </w:t>
      </w:r>
      <w:r w:rsidR="00AB4697" w:rsidRPr="00CB543A">
        <w:rPr>
          <w:rFonts w:ascii="Times New Roman" w:hAnsi="Times New Roman" w:cs="Times New Roman"/>
          <w:i/>
          <w:sz w:val="28"/>
          <w:szCs w:val="28"/>
        </w:rPr>
        <w:t>(i)</w:t>
      </w:r>
      <w:r w:rsidR="00AB4697" w:rsidRPr="00CB543A">
        <w:rPr>
          <w:rFonts w:ascii="Times New Roman" w:hAnsi="Times New Roman" w:cs="Times New Roman"/>
          <w:sz w:val="28"/>
          <w:szCs w:val="28"/>
        </w:rPr>
        <w:t xml:space="preserve"> respetar, </w:t>
      </w:r>
      <w:r w:rsidR="00AB4697" w:rsidRPr="00CB543A">
        <w:rPr>
          <w:rFonts w:ascii="Times New Roman" w:hAnsi="Times New Roman" w:cs="Times New Roman"/>
          <w:i/>
          <w:sz w:val="28"/>
          <w:szCs w:val="28"/>
        </w:rPr>
        <w:t>(ii)</w:t>
      </w:r>
      <w:r w:rsidR="00AB4697" w:rsidRPr="00CB543A">
        <w:rPr>
          <w:rFonts w:ascii="Times New Roman" w:hAnsi="Times New Roman" w:cs="Times New Roman"/>
          <w:sz w:val="28"/>
          <w:szCs w:val="28"/>
        </w:rPr>
        <w:t xml:space="preserve"> cumplir y </w:t>
      </w:r>
      <w:r w:rsidR="00AB4697" w:rsidRPr="00CB543A">
        <w:rPr>
          <w:rFonts w:ascii="Times New Roman" w:hAnsi="Times New Roman" w:cs="Times New Roman"/>
          <w:i/>
          <w:sz w:val="28"/>
          <w:szCs w:val="28"/>
        </w:rPr>
        <w:t>(iii)</w:t>
      </w:r>
      <w:r w:rsidR="00AB4697" w:rsidRPr="00CB543A">
        <w:rPr>
          <w:rFonts w:ascii="Times New Roman" w:hAnsi="Times New Roman" w:cs="Times New Roman"/>
          <w:sz w:val="28"/>
          <w:szCs w:val="28"/>
        </w:rPr>
        <w:t xml:space="preserve"> proteger.</w:t>
      </w:r>
    </w:p>
    <w:p w:rsidR="00AB4697" w:rsidRPr="00CB543A" w:rsidRDefault="00AB4697" w:rsidP="00CB543A">
      <w:pPr>
        <w:tabs>
          <w:tab w:val="left" w:pos="8789"/>
        </w:tabs>
        <w:spacing w:after="0" w:line="240" w:lineRule="auto"/>
        <w:ind w:right="49"/>
        <w:jc w:val="both"/>
        <w:rPr>
          <w:rFonts w:ascii="Times New Roman" w:hAnsi="Times New Roman" w:cs="Times New Roman"/>
          <w:sz w:val="28"/>
          <w:szCs w:val="28"/>
        </w:rPr>
      </w:pPr>
    </w:p>
    <w:p w:rsidR="00AB4697" w:rsidRPr="00CB543A" w:rsidRDefault="00AB4697" w:rsidP="00CB543A">
      <w:pPr>
        <w:pStyle w:val="Prrafodelista"/>
        <w:numPr>
          <w:ilvl w:val="0"/>
          <w:numId w:val="32"/>
        </w:numPr>
        <w:tabs>
          <w:tab w:val="left" w:pos="426"/>
          <w:tab w:val="left" w:pos="567"/>
          <w:tab w:val="left" w:pos="8789"/>
        </w:tabs>
        <w:spacing w:after="0" w:line="240" w:lineRule="auto"/>
        <w:ind w:left="0" w:right="49"/>
        <w:jc w:val="both"/>
        <w:rPr>
          <w:rFonts w:ascii="Times New Roman" w:hAnsi="Times New Roman" w:cs="Times New Roman"/>
          <w:sz w:val="28"/>
          <w:szCs w:val="28"/>
        </w:rPr>
      </w:pPr>
      <w:r w:rsidRPr="00CB543A">
        <w:rPr>
          <w:rFonts w:ascii="Times New Roman" w:hAnsi="Times New Roman" w:cs="Times New Roman"/>
          <w:sz w:val="28"/>
          <w:szCs w:val="28"/>
        </w:rPr>
        <w:t>En virtud del segundo, le corresponde al Estado facilitar, promover,</w:t>
      </w:r>
      <w:r w:rsidR="00BB221A">
        <w:rPr>
          <w:rFonts w:ascii="Times New Roman" w:hAnsi="Times New Roman" w:cs="Times New Roman"/>
          <w:sz w:val="28"/>
          <w:szCs w:val="28"/>
        </w:rPr>
        <w:t xml:space="preserve"> </w:t>
      </w:r>
      <w:r w:rsidRPr="00CB543A">
        <w:rPr>
          <w:rFonts w:ascii="Times New Roman" w:hAnsi="Times New Roman" w:cs="Times New Roman"/>
          <w:sz w:val="28"/>
          <w:szCs w:val="28"/>
        </w:rPr>
        <w:t>garantizar el goce y el ejercicio del derecho, impedir la interferencia en su disfrute, abstenerse de toda práctica o actividad que deniegue o restrinja el acceso en igualdad de condiciones a una seguridad social adecuada</w:t>
      </w:r>
      <w:r w:rsidRPr="00CB543A">
        <w:rPr>
          <w:rFonts w:ascii="Times New Roman" w:hAnsi="Times New Roman" w:cs="Times New Roman"/>
          <w:sz w:val="28"/>
          <w:szCs w:val="28"/>
          <w:vertAlign w:val="superscript"/>
        </w:rPr>
        <w:footnoteReference w:id="83"/>
      </w:r>
      <w:r w:rsidRPr="00CB543A">
        <w:rPr>
          <w:rFonts w:ascii="Times New Roman" w:hAnsi="Times New Roman" w:cs="Times New Roman"/>
          <w:sz w:val="28"/>
          <w:szCs w:val="28"/>
        </w:rPr>
        <w:t>. Igualmente, supone la obligación de implementar sistemas y procedimientos acordes con las condiciones especiales de ciertos grupos en condiciones de vulnerabilidad o debilidad, entre ellos las personas en situación de discapacidad</w:t>
      </w:r>
      <w:r w:rsidR="004A2A41" w:rsidRPr="00CB543A">
        <w:rPr>
          <w:rFonts w:ascii="Times New Roman" w:hAnsi="Times New Roman" w:cs="Times New Roman"/>
          <w:sz w:val="28"/>
          <w:szCs w:val="28"/>
        </w:rPr>
        <w:t>, adultos mayores o sujetos en condiciones de pobreza extrema</w:t>
      </w:r>
      <w:r w:rsidRPr="00CB543A">
        <w:rPr>
          <w:rFonts w:ascii="Times New Roman" w:hAnsi="Times New Roman" w:cs="Times New Roman"/>
          <w:sz w:val="28"/>
          <w:szCs w:val="28"/>
        </w:rPr>
        <w:t>.</w:t>
      </w:r>
    </w:p>
    <w:p w:rsidR="00AB4697" w:rsidRPr="00CB543A" w:rsidRDefault="00AB4697" w:rsidP="00CB543A">
      <w:pPr>
        <w:pStyle w:val="Prrafodelista"/>
        <w:spacing w:after="0" w:line="240" w:lineRule="auto"/>
        <w:rPr>
          <w:rFonts w:ascii="Times New Roman" w:hAnsi="Times New Roman" w:cs="Times New Roman"/>
          <w:sz w:val="28"/>
          <w:szCs w:val="28"/>
        </w:rPr>
      </w:pPr>
    </w:p>
    <w:p w:rsidR="00B74C29" w:rsidRPr="00CB543A" w:rsidRDefault="00AB4697" w:rsidP="00CB543A">
      <w:pPr>
        <w:pStyle w:val="Prrafodelista"/>
        <w:numPr>
          <w:ilvl w:val="0"/>
          <w:numId w:val="32"/>
        </w:numPr>
        <w:tabs>
          <w:tab w:val="left" w:pos="567"/>
        </w:tabs>
        <w:spacing w:after="0" w:line="240" w:lineRule="auto"/>
        <w:ind w:left="0" w:right="49"/>
        <w:jc w:val="both"/>
        <w:rPr>
          <w:rFonts w:ascii="Times New Roman" w:hAnsi="Times New Roman" w:cs="Times New Roman"/>
          <w:sz w:val="28"/>
          <w:szCs w:val="28"/>
        </w:rPr>
      </w:pPr>
      <w:r w:rsidRPr="00CB543A">
        <w:rPr>
          <w:rFonts w:ascii="Times New Roman" w:hAnsi="Times New Roman" w:cs="Times New Roman"/>
          <w:sz w:val="28"/>
          <w:szCs w:val="28"/>
        </w:rPr>
        <w:t>La Ley 100 de 1993, además de organizar el Sistema General de Seguridad Social</w:t>
      </w:r>
      <w:r w:rsidR="00372F5D" w:rsidRPr="00CB543A">
        <w:rPr>
          <w:rFonts w:ascii="Times New Roman" w:hAnsi="Times New Roman" w:cs="Times New Roman"/>
          <w:sz w:val="28"/>
          <w:szCs w:val="28"/>
        </w:rPr>
        <w:t xml:space="preserve"> (SGSS)</w:t>
      </w:r>
      <w:r w:rsidRPr="00CB543A">
        <w:rPr>
          <w:rFonts w:ascii="Times New Roman" w:hAnsi="Times New Roman" w:cs="Times New Roman"/>
          <w:sz w:val="28"/>
          <w:szCs w:val="28"/>
        </w:rPr>
        <w:t xml:space="preserve">, dispuso el reconocimiento de ciertas contingencias asegurables. La imposibilidad de continuar </w:t>
      </w:r>
      <w:r w:rsidR="00B74C29" w:rsidRPr="00CB543A">
        <w:rPr>
          <w:rFonts w:ascii="Times New Roman" w:hAnsi="Times New Roman" w:cs="Times New Roman"/>
          <w:sz w:val="28"/>
          <w:szCs w:val="28"/>
        </w:rPr>
        <w:t xml:space="preserve">trabajando como consecuencia natural de la edad </w:t>
      </w:r>
      <w:r w:rsidRPr="00CB543A">
        <w:rPr>
          <w:rFonts w:ascii="Times New Roman" w:hAnsi="Times New Roman" w:cs="Times New Roman"/>
          <w:sz w:val="28"/>
          <w:szCs w:val="28"/>
        </w:rPr>
        <w:t>es una de ellas y se asegura por medio del otorgami</w:t>
      </w:r>
      <w:r w:rsidR="00B74C29" w:rsidRPr="00CB543A">
        <w:rPr>
          <w:rFonts w:ascii="Times New Roman" w:hAnsi="Times New Roman" w:cs="Times New Roman"/>
          <w:sz w:val="28"/>
          <w:szCs w:val="28"/>
        </w:rPr>
        <w:t>ento de una pensión de vejez</w:t>
      </w:r>
      <w:r w:rsidRPr="00CB543A">
        <w:rPr>
          <w:rFonts w:ascii="Times New Roman" w:hAnsi="Times New Roman" w:cs="Times New Roman"/>
          <w:sz w:val="28"/>
          <w:szCs w:val="28"/>
        </w:rPr>
        <w:t>.</w:t>
      </w:r>
      <w:r w:rsidR="00B74C29" w:rsidRPr="00CB543A">
        <w:rPr>
          <w:rFonts w:ascii="Times New Roman" w:hAnsi="Times New Roman" w:cs="Times New Roman"/>
          <w:sz w:val="28"/>
          <w:szCs w:val="28"/>
        </w:rPr>
        <w:t xml:space="preserve"> Esta prestación es reconocida en el régimen solidario de prima media con prestación definida (RPM) o en el régimen de ahorro individual con solidaridad (RAIS), de todas formas, siempre que acrediten los requisitos legales. En lo que tiene que </w:t>
      </w:r>
      <w:r w:rsidR="00137102" w:rsidRPr="00CB543A">
        <w:rPr>
          <w:rFonts w:ascii="Times New Roman" w:hAnsi="Times New Roman" w:cs="Times New Roman"/>
          <w:sz w:val="28"/>
          <w:szCs w:val="28"/>
        </w:rPr>
        <w:t xml:space="preserve">ver </w:t>
      </w:r>
      <w:r w:rsidR="00372F5D" w:rsidRPr="00CB543A">
        <w:rPr>
          <w:rFonts w:ascii="Times New Roman" w:hAnsi="Times New Roman" w:cs="Times New Roman"/>
          <w:sz w:val="28"/>
          <w:szCs w:val="28"/>
        </w:rPr>
        <w:t>con aquel</w:t>
      </w:r>
      <w:r w:rsidR="00B74C29" w:rsidRPr="00CB543A">
        <w:rPr>
          <w:rFonts w:ascii="Times New Roman" w:hAnsi="Times New Roman" w:cs="Times New Roman"/>
          <w:sz w:val="28"/>
          <w:szCs w:val="28"/>
        </w:rPr>
        <w:t xml:space="preserve">, las normas aplicables son los artículos 33 y siguientes de la Ley 100 de 1993, y </w:t>
      </w:r>
      <w:r w:rsidR="00C63B6B" w:rsidRPr="00CB543A">
        <w:rPr>
          <w:rFonts w:ascii="Times New Roman" w:hAnsi="Times New Roman" w:cs="Times New Roman"/>
          <w:sz w:val="28"/>
          <w:szCs w:val="28"/>
        </w:rPr>
        <w:t xml:space="preserve">en </w:t>
      </w:r>
      <w:r w:rsidR="00B74C29" w:rsidRPr="00CB543A">
        <w:rPr>
          <w:rFonts w:ascii="Times New Roman" w:hAnsi="Times New Roman" w:cs="Times New Roman"/>
          <w:sz w:val="28"/>
          <w:szCs w:val="28"/>
        </w:rPr>
        <w:t xml:space="preserve">cuanto </w:t>
      </w:r>
      <w:r w:rsidR="00372F5D" w:rsidRPr="00CB543A">
        <w:rPr>
          <w:rFonts w:ascii="Times New Roman" w:hAnsi="Times New Roman" w:cs="Times New Roman"/>
          <w:sz w:val="28"/>
          <w:szCs w:val="28"/>
        </w:rPr>
        <w:t xml:space="preserve">a este </w:t>
      </w:r>
      <w:r w:rsidR="00B74C29" w:rsidRPr="00CB543A">
        <w:rPr>
          <w:rFonts w:ascii="Times New Roman" w:hAnsi="Times New Roman" w:cs="Times New Roman"/>
          <w:sz w:val="28"/>
          <w:szCs w:val="28"/>
        </w:rPr>
        <w:t xml:space="preserve">lo son los artículos 64 </w:t>
      </w:r>
      <w:r w:rsidR="00E311CF" w:rsidRPr="00CB543A">
        <w:rPr>
          <w:rFonts w:ascii="Times New Roman" w:hAnsi="Times New Roman" w:cs="Times New Roman"/>
          <w:sz w:val="28"/>
          <w:szCs w:val="28"/>
        </w:rPr>
        <w:t>y siguientes de la misma norma.</w:t>
      </w:r>
    </w:p>
    <w:p w:rsidR="00BB0604" w:rsidRPr="00CB543A" w:rsidRDefault="00BB0604" w:rsidP="00CB543A">
      <w:pPr>
        <w:pStyle w:val="Prrafodelista"/>
        <w:spacing w:after="0" w:line="240" w:lineRule="auto"/>
        <w:rPr>
          <w:rFonts w:ascii="Times New Roman" w:hAnsi="Times New Roman" w:cs="Times New Roman"/>
          <w:sz w:val="28"/>
          <w:szCs w:val="28"/>
        </w:rPr>
      </w:pPr>
    </w:p>
    <w:p w:rsidR="00B74C29" w:rsidRPr="00CB543A" w:rsidRDefault="00BB0604" w:rsidP="00CB543A">
      <w:pPr>
        <w:pStyle w:val="Prrafodelista"/>
        <w:numPr>
          <w:ilvl w:val="0"/>
          <w:numId w:val="32"/>
        </w:numPr>
        <w:tabs>
          <w:tab w:val="left" w:pos="567"/>
        </w:tabs>
        <w:spacing w:after="0" w:line="240" w:lineRule="auto"/>
        <w:ind w:left="0" w:right="49"/>
        <w:jc w:val="both"/>
        <w:rPr>
          <w:rFonts w:ascii="Times New Roman" w:hAnsi="Times New Roman" w:cs="Times New Roman"/>
          <w:sz w:val="28"/>
          <w:szCs w:val="28"/>
        </w:rPr>
      </w:pPr>
      <w:r w:rsidRPr="00CB543A">
        <w:rPr>
          <w:rFonts w:ascii="Times New Roman" w:hAnsi="Times New Roman" w:cs="Times New Roman"/>
          <w:sz w:val="28"/>
          <w:szCs w:val="28"/>
        </w:rPr>
        <w:t xml:space="preserve">No obstante lo anterior, antes de la expedición </w:t>
      </w:r>
      <w:r w:rsidR="001D22C3" w:rsidRPr="00CB543A">
        <w:rPr>
          <w:rFonts w:ascii="Times New Roman" w:hAnsi="Times New Roman" w:cs="Times New Roman"/>
          <w:sz w:val="28"/>
          <w:szCs w:val="28"/>
        </w:rPr>
        <w:t xml:space="preserve">de la Ley 100 de 1993 e, incluso, antes de la </w:t>
      </w:r>
      <w:r w:rsidR="00E311CF" w:rsidRPr="00CB543A">
        <w:rPr>
          <w:rFonts w:ascii="Times New Roman" w:hAnsi="Times New Roman" w:cs="Times New Roman"/>
          <w:sz w:val="28"/>
          <w:szCs w:val="28"/>
        </w:rPr>
        <w:t xml:space="preserve">entrada en vigencia de la </w:t>
      </w:r>
      <w:r w:rsidR="001D22C3" w:rsidRPr="00CB543A">
        <w:rPr>
          <w:rFonts w:ascii="Times New Roman" w:hAnsi="Times New Roman" w:cs="Times New Roman"/>
          <w:sz w:val="28"/>
          <w:szCs w:val="28"/>
        </w:rPr>
        <w:t>Constitución Política</w:t>
      </w:r>
      <w:r w:rsidR="00E311CF" w:rsidRPr="00CB543A">
        <w:rPr>
          <w:rFonts w:ascii="Times New Roman" w:hAnsi="Times New Roman" w:cs="Times New Roman"/>
          <w:sz w:val="28"/>
          <w:szCs w:val="28"/>
        </w:rPr>
        <w:t xml:space="preserve"> de 1991</w:t>
      </w:r>
      <w:r w:rsidR="001D22C3" w:rsidRPr="00CB543A">
        <w:rPr>
          <w:rFonts w:ascii="Times New Roman" w:hAnsi="Times New Roman" w:cs="Times New Roman"/>
          <w:sz w:val="28"/>
          <w:szCs w:val="28"/>
        </w:rPr>
        <w:t xml:space="preserve">, no existía un sistema integral de pensiones, sino que coexistían múltiples regímenes administrados por diferentes entidades de seguridad social. A título de ejemplo, en lo </w:t>
      </w:r>
      <w:r w:rsidR="000349CB" w:rsidRPr="00CB543A">
        <w:rPr>
          <w:rFonts w:ascii="Times New Roman" w:hAnsi="Times New Roman" w:cs="Times New Roman"/>
          <w:sz w:val="28"/>
          <w:szCs w:val="28"/>
        </w:rPr>
        <w:t xml:space="preserve">relativo </w:t>
      </w:r>
      <w:r w:rsidR="001D22C3" w:rsidRPr="00CB543A">
        <w:rPr>
          <w:rFonts w:ascii="Times New Roman" w:hAnsi="Times New Roman" w:cs="Times New Roman"/>
          <w:sz w:val="28"/>
          <w:szCs w:val="28"/>
        </w:rPr>
        <w:t xml:space="preserve">al sector oficial, la administración del régimen pensional le correspondía a la extinta Caja Nacional de Previsión (CAJANAL) o a las cajas de las entidades territoriales, dependiendo del caso, y, excepcionalmente, a las entidades creadas para determinados sectores de empleados como los miembros de la Fuerza Pública, los docentes y los congresistas, entre otros. </w:t>
      </w:r>
    </w:p>
    <w:p w:rsidR="000F1180" w:rsidRPr="00CB543A" w:rsidRDefault="000F1180" w:rsidP="00CB543A">
      <w:pPr>
        <w:pStyle w:val="Prrafodelista"/>
        <w:tabs>
          <w:tab w:val="left" w:pos="567"/>
        </w:tabs>
        <w:spacing w:after="0" w:line="240" w:lineRule="auto"/>
        <w:ind w:left="0" w:right="49"/>
        <w:jc w:val="both"/>
        <w:rPr>
          <w:rFonts w:ascii="Times New Roman" w:hAnsi="Times New Roman" w:cs="Times New Roman"/>
          <w:sz w:val="28"/>
          <w:szCs w:val="28"/>
        </w:rPr>
      </w:pPr>
      <w:r w:rsidRPr="00CB543A">
        <w:rPr>
          <w:rFonts w:ascii="Times New Roman" w:hAnsi="Times New Roman" w:cs="Times New Roman"/>
          <w:sz w:val="28"/>
          <w:szCs w:val="28"/>
        </w:rPr>
        <w:t> </w:t>
      </w:r>
    </w:p>
    <w:p w:rsidR="009822FF" w:rsidRPr="00CB543A" w:rsidRDefault="009822FF" w:rsidP="00CB543A">
      <w:pPr>
        <w:pStyle w:val="Prrafodelista"/>
        <w:numPr>
          <w:ilvl w:val="0"/>
          <w:numId w:val="32"/>
        </w:numPr>
        <w:tabs>
          <w:tab w:val="left" w:pos="567"/>
        </w:tabs>
        <w:spacing w:after="0" w:line="240" w:lineRule="auto"/>
        <w:ind w:left="0" w:right="49"/>
        <w:jc w:val="both"/>
        <w:rPr>
          <w:rFonts w:ascii="Times New Roman" w:hAnsi="Times New Roman" w:cs="Times New Roman"/>
          <w:sz w:val="28"/>
          <w:szCs w:val="28"/>
        </w:rPr>
      </w:pPr>
      <w:r w:rsidRPr="00CB543A">
        <w:rPr>
          <w:rFonts w:ascii="Times New Roman" w:hAnsi="Times New Roman" w:cs="Times New Roman"/>
          <w:sz w:val="28"/>
          <w:szCs w:val="28"/>
        </w:rPr>
        <w:t xml:space="preserve">En ese contexto, con el </w:t>
      </w:r>
      <w:r w:rsidR="0093147B" w:rsidRPr="00CB543A">
        <w:rPr>
          <w:rFonts w:ascii="Times New Roman" w:hAnsi="Times New Roman" w:cs="Times New Roman"/>
          <w:sz w:val="28"/>
          <w:szCs w:val="28"/>
        </w:rPr>
        <w:t>SGSS</w:t>
      </w:r>
      <w:r w:rsidRPr="00CB543A">
        <w:rPr>
          <w:rFonts w:ascii="Times New Roman" w:hAnsi="Times New Roman" w:cs="Times New Roman"/>
          <w:sz w:val="28"/>
          <w:szCs w:val="28"/>
        </w:rPr>
        <w:t xml:space="preserve"> que </w:t>
      </w:r>
      <w:r w:rsidR="0093147B" w:rsidRPr="00CB543A">
        <w:rPr>
          <w:rFonts w:ascii="Times New Roman" w:hAnsi="Times New Roman" w:cs="Times New Roman"/>
          <w:sz w:val="28"/>
          <w:szCs w:val="28"/>
        </w:rPr>
        <w:t xml:space="preserve">organizó </w:t>
      </w:r>
      <w:r w:rsidRPr="00CB543A">
        <w:rPr>
          <w:rFonts w:ascii="Times New Roman" w:hAnsi="Times New Roman" w:cs="Times New Roman"/>
          <w:sz w:val="28"/>
          <w:szCs w:val="28"/>
        </w:rPr>
        <w:t xml:space="preserve">la Ley 100 de 1993, primero, </w:t>
      </w:r>
      <w:r w:rsidR="000F1180" w:rsidRPr="00CB543A">
        <w:rPr>
          <w:rFonts w:ascii="Times New Roman" w:hAnsi="Times New Roman" w:cs="Times New Roman"/>
          <w:sz w:val="28"/>
          <w:szCs w:val="28"/>
        </w:rPr>
        <w:t>se implementaron nuevos requisitos para el recono</w:t>
      </w:r>
      <w:r w:rsidRPr="00CB543A">
        <w:rPr>
          <w:rFonts w:ascii="Times New Roman" w:hAnsi="Times New Roman" w:cs="Times New Roman"/>
          <w:sz w:val="28"/>
          <w:szCs w:val="28"/>
        </w:rPr>
        <w:t xml:space="preserve">cimiento de la pensión de vejez; segundo, </w:t>
      </w:r>
      <w:r w:rsidR="000F1180" w:rsidRPr="00CB543A">
        <w:rPr>
          <w:rFonts w:ascii="Times New Roman" w:hAnsi="Times New Roman" w:cs="Times New Roman"/>
          <w:sz w:val="28"/>
          <w:szCs w:val="28"/>
        </w:rPr>
        <w:t>se establecieron reglas sobre el cálculo de semanas de cotización y</w:t>
      </w:r>
      <w:r w:rsidRPr="00CB543A">
        <w:rPr>
          <w:rFonts w:ascii="Times New Roman" w:hAnsi="Times New Roman" w:cs="Times New Roman"/>
          <w:sz w:val="28"/>
          <w:szCs w:val="28"/>
        </w:rPr>
        <w:t>, tercero,</w:t>
      </w:r>
      <w:r w:rsidR="000F1180" w:rsidRPr="00CB543A">
        <w:rPr>
          <w:rFonts w:ascii="Times New Roman" w:hAnsi="Times New Roman" w:cs="Times New Roman"/>
          <w:sz w:val="28"/>
          <w:szCs w:val="28"/>
        </w:rPr>
        <w:t xml:space="preserve"> se creó un régimen de transición.</w:t>
      </w:r>
      <w:r w:rsidR="000349CB" w:rsidRPr="00CB543A">
        <w:rPr>
          <w:rFonts w:ascii="Times New Roman" w:hAnsi="Times New Roman" w:cs="Times New Roman"/>
          <w:sz w:val="28"/>
          <w:szCs w:val="28"/>
        </w:rPr>
        <w:t xml:space="preserve"> Este</w:t>
      </w:r>
      <w:r w:rsidRPr="00CB543A">
        <w:rPr>
          <w:rFonts w:ascii="Times New Roman" w:hAnsi="Times New Roman" w:cs="Times New Roman"/>
          <w:sz w:val="28"/>
          <w:szCs w:val="28"/>
        </w:rPr>
        <w:t xml:space="preserve"> último, según el </w:t>
      </w:r>
      <w:r w:rsidRPr="00CB543A">
        <w:rPr>
          <w:rFonts w:ascii="Times New Roman" w:hAnsi="Times New Roman" w:cs="Times New Roman"/>
          <w:sz w:val="28"/>
          <w:szCs w:val="28"/>
        </w:rPr>
        <w:lastRenderedPageBreak/>
        <w:t>entendimiento de esta Corte</w:t>
      </w:r>
      <w:r w:rsidR="00FD70F5" w:rsidRPr="00CB543A">
        <w:rPr>
          <w:rStyle w:val="Refdenotaalpie"/>
          <w:rFonts w:ascii="Times New Roman" w:hAnsi="Times New Roman" w:cs="Times New Roman"/>
          <w:sz w:val="28"/>
          <w:szCs w:val="28"/>
        </w:rPr>
        <w:footnoteReference w:id="84"/>
      </w:r>
      <w:r w:rsidRPr="00CB543A">
        <w:rPr>
          <w:rFonts w:ascii="Times New Roman" w:hAnsi="Times New Roman" w:cs="Times New Roman"/>
          <w:sz w:val="28"/>
          <w:szCs w:val="28"/>
        </w:rPr>
        <w:t xml:space="preserve">, </w:t>
      </w:r>
      <w:r w:rsidR="00D46ECF" w:rsidRPr="00CB543A">
        <w:rPr>
          <w:rFonts w:ascii="Times New Roman" w:hAnsi="Times New Roman" w:cs="Times New Roman"/>
          <w:sz w:val="28"/>
          <w:szCs w:val="28"/>
        </w:rPr>
        <w:t xml:space="preserve">tuvo por </w:t>
      </w:r>
      <w:r w:rsidRPr="00CB543A">
        <w:rPr>
          <w:rFonts w:ascii="Times New Roman" w:hAnsi="Times New Roman" w:cs="Times New Roman"/>
          <w:sz w:val="28"/>
          <w:szCs w:val="28"/>
        </w:rPr>
        <w:t xml:space="preserve">objeto respetar las </w:t>
      </w:r>
      <w:r w:rsidRPr="00CB543A">
        <w:rPr>
          <w:rFonts w:ascii="Times New Roman" w:hAnsi="Times New Roman" w:cs="Times New Roman"/>
          <w:i/>
          <w:sz w:val="28"/>
          <w:szCs w:val="28"/>
        </w:rPr>
        <w:t xml:space="preserve">expectativas </w:t>
      </w:r>
      <w:r w:rsidR="00FF13FE" w:rsidRPr="00CB543A">
        <w:rPr>
          <w:rFonts w:ascii="Times New Roman" w:hAnsi="Times New Roman" w:cs="Times New Roman"/>
          <w:i/>
          <w:sz w:val="28"/>
          <w:szCs w:val="28"/>
        </w:rPr>
        <w:t>legítimas</w:t>
      </w:r>
      <w:r w:rsidR="00FF13FE" w:rsidRPr="00CB543A">
        <w:rPr>
          <w:rFonts w:ascii="Times New Roman" w:hAnsi="Times New Roman" w:cs="Times New Roman"/>
          <w:sz w:val="28"/>
          <w:szCs w:val="28"/>
        </w:rPr>
        <w:t xml:space="preserve"> </w:t>
      </w:r>
      <w:r w:rsidRPr="00CB543A">
        <w:rPr>
          <w:rFonts w:ascii="Times New Roman" w:hAnsi="Times New Roman" w:cs="Times New Roman"/>
          <w:sz w:val="28"/>
          <w:szCs w:val="28"/>
        </w:rPr>
        <w:t xml:space="preserve">de quienes aspiraban a obtener su pensión </w:t>
      </w:r>
      <w:r w:rsidR="00313F79" w:rsidRPr="00CB543A">
        <w:rPr>
          <w:rFonts w:ascii="Times New Roman" w:hAnsi="Times New Roman" w:cs="Times New Roman"/>
          <w:sz w:val="28"/>
          <w:szCs w:val="28"/>
        </w:rPr>
        <w:t xml:space="preserve">de jubilación </w:t>
      </w:r>
      <w:r w:rsidRPr="00CB543A">
        <w:rPr>
          <w:rFonts w:ascii="Times New Roman" w:hAnsi="Times New Roman" w:cs="Times New Roman"/>
          <w:sz w:val="28"/>
          <w:szCs w:val="28"/>
        </w:rPr>
        <w:t>al cumplir con los requisitos señalados en l</w:t>
      </w:r>
      <w:r w:rsidR="00313F79" w:rsidRPr="00CB543A">
        <w:rPr>
          <w:rFonts w:ascii="Times New Roman" w:hAnsi="Times New Roman" w:cs="Times New Roman"/>
          <w:sz w:val="28"/>
          <w:szCs w:val="28"/>
        </w:rPr>
        <w:t>a</w:t>
      </w:r>
      <w:r w:rsidRPr="00CB543A">
        <w:rPr>
          <w:rFonts w:ascii="Times New Roman" w:hAnsi="Times New Roman" w:cs="Times New Roman"/>
          <w:sz w:val="28"/>
          <w:szCs w:val="28"/>
        </w:rPr>
        <w:t xml:space="preserve"> </w:t>
      </w:r>
      <w:r w:rsidR="00313F79" w:rsidRPr="00CB543A">
        <w:rPr>
          <w:rFonts w:ascii="Times New Roman" w:hAnsi="Times New Roman" w:cs="Times New Roman"/>
          <w:sz w:val="28"/>
          <w:szCs w:val="28"/>
        </w:rPr>
        <w:t xml:space="preserve">norma </w:t>
      </w:r>
      <w:r w:rsidRPr="00CB543A">
        <w:rPr>
          <w:rFonts w:ascii="Times New Roman" w:hAnsi="Times New Roman" w:cs="Times New Roman"/>
          <w:sz w:val="28"/>
          <w:szCs w:val="28"/>
        </w:rPr>
        <w:t>anterior, los cuales, se insiste, se modificaron en el régimen general de seguridad social.</w:t>
      </w:r>
    </w:p>
    <w:p w:rsidR="009822FF" w:rsidRPr="00CB543A" w:rsidRDefault="009822FF" w:rsidP="00CB543A">
      <w:pPr>
        <w:pStyle w:val="Prrafodelista"/>
        <w:spacing w:after="0" w:line="240" w:lineRule="auto"/>
        <w:rPr>
          <w:rFonts w:ascii="Times New Roman" w:hAnsi="Times New Roman" w:cs="Times New Roman"/>
          <w:sz w:val="28"/>
          <w:szCs w:val="28"/>
        </w:rPr>
      </w:pPr>
    </w:p>
    <w:p w:rsidR="00B929F4" w:rsidRPr="00CB543A" w:rsidRDefault="000F1180" w:rsidP="00CB543A">
      <w:pPr>
        <w:pStyle w:val="Prrafodelista"/>
        <w:numPr>
          <w:ilvl w:val="0"/>
          <w:numId w:val="32"/>
        </w:numPr>
        <w:shd w:val="clear" w:color="auto" w:fill="FFFFFF"/>
        <w:tabs>
          <w:tab w:val="left" w:pos="567"/>
        </w:tabs>
        <w:spacing w:after="0" w:line="240" w:lineRule="auto"/>
        <w:ind w:left="0" w:right="49"/>
        <w:jc w:val="both"/>
        <w:textAlignment w:val="baseline"/>
        <w:rPr>
          <w:rFonts w:ascii="Times New Roman" w:hAnsi="Times New Roman" w:cs="Times New Roman"/>
          <w:color w:val="auto"/>
          <w:sz w:val="28"/>
          <w:szCs w:val="28"/>
        </w:rPr>
      </w:pPr>
      <w:r w:rsidRPr="00CB543A">
        <w:rPr>
          <w:rFonts w:ascii="Times New Roman" w:hAnsi="Times New Roman" w:cs="Times New Roman"/>
          <w:sz w:val="28"/>
          <w:szCs w:val="28"/>
        </w:rPr>
        <w:t xml:space="preserve">En torno a este último aspecto, el artículo 36 de la Ley 100 de 1993 ofreció a </w:t>
      </w:r>
      <w:r w:rsidR="00BE1EDD" w:rsidRPr="00CB543A">
        <w:rPr>
          <w:rFonts w:ascii="Times New Roman" w:hAnsi="Times New Roman" w:cs="Times New Roman"/>
          <w:sz w:val="28"/>
          <w:szCs w:val="28"/>
        </w:rPr>
        <w:t>dichas personas</w:t>
      </w:r>
      <w:r w:rsidRPr="00CB543A">
        <w:rPr>
          <w:rFonts w:ascii="Times New Roman" w:hAnsi="Times New Roman" w:cs="Times New Roman"/>
          <w:sz w:val="28"/>
          <w:szCs w:val="28"/>
        </w:rPr>
        <w:t xml:space="preserve"> </w:t>
      </w:r>
      <w:r w:rsidR="00BE1EDD" w:rsidRPr="00CB543A">
        <w:rPr>
          <w:rFonts w:ascii="Times New Roman" w:hAnsi="Times New Roman" w:cs="Times New Roman"/>
          <w:sz w:val="28"/>
          <w:szCs w:val="28"/>
        </w:rPr>
        <w:t xml:space="preserve">un </w:t>
      </w:r>
      <w:r w:rsidRPr="00CB543A">
        <w:rPr>
          <w:rFonts w:ascii="Times New Roman" w:hAnsi="Times New Roman" w:cs="Times New Roman"/>
          <w:sz w:val="28"/>
          <w:szCs w:val="28"/>
        </w:rPr>
        <w:t>beneficio</w:t>
      </w:r>
      <w:r w:rsidR="00D46ECF" w:rsidRPr="00CB543A">
        <w:rPr>
          <w:rFonts w:ascii="Times New Roman" w:hAnsi="Times New Roman" w:cs="Times New Roman"/>
          <w:sz w:val="28"/>
          <w:szCs w:val="28"/>
        </w:rPr>
        <w:t>,</w:t>
      </w:r>
      <w:r w:rsidR="00BE1EDD" w:rsidRPr="00CB543A">
        <w:rPr>
          <w:rFonts w:ascii="Times New Roman" w:hAnsi="Times New Roman" w:cs="Times New Roman"/>
          <w:sz w:val="28"/>
          <w:szCs w:val="28"/>
        </w:rPr>
        <w:t xml:space="preserve"> consistente en aplicar</w:t>
      </w:r>
      <w:r w:rsidR="00D46ECF" w:rsidRPr="00CB543A">
        <w:rPr>
          <w:rFonts w:ascii="Times New Roman" w:hAnsi="Times New Roman" w:cs="Times New Roman"/>
          <w:sz w:val="28"/>
          <w:szCs w:val="28"/>
        </w:rPr>
        <w:t>,</w:t>
      </w:r>
      <w:r w:rsidR="00BE1EDD" w:rsidRPr="00CB543A">
        <w:rPr>
          <w:rFonts w:ascii="Times New Roman" w:hAnsi="Times New Roman" w:cs="Times New Roman"/>
          <w:sz w:val="28"/>
          <w:szCs w:val="28"/>
        </w:rPr>
        <w:t xml:space="preserve"> con </w:t>
      </w:r>
      <w:r w:rsidRPr="00CB543A">
        <w:rPr>
          <w:rFonts w:ascii="Times New Roman" w:hAnsi="Times New Roman" w:cs="Times New Roman"/>
          <w:sz w:val="28"/>
          <w:szCs w:val="28"/>
        </w:rPr>
        <w:t>efecto</w:t>
      </w:r>
      <w:r w:rsidR="00BE1EDD" w:rsidRPr="00CB543A">
        <w:rPr>
          <w:rFonts w:ascii="Times New Roman" w:hAnsi="Times New Roman" w:cs="Times New Roman"/>
          <w:sz w:val="28"/>
          <w:szCs w:val="28"/>
        </w:rPr>
        <w:t>s</w:t>
      </w:r>
      <w:r w:rsidRPr="00CB543A">
        <w:rPr>
          <w:rFonts w:ascii="Times New Roman" w:hAnsi="Times New Roman" w:cs="Times New Roman"/>
          <w:sz w:val="28"/>
          <w:szCs w:val="28"/>
        </w:rPr>
        <w:t xml:space="preserve"> ultractivo</w:t>
      </w:r>
      <w:r w:rsidR="00BE1EDD" w:rsidRPr="00CB543A">
        <w:rPr>
          <w:rFonts w:ascii="Times New Roman" w:hAnsi="Times New Roman" w:cs="Times New Roman"/>
          <w:sz w:val="28"/>
          <w:szCs w:val="28"/>
        </w:rPr>
        <w:t>s</w:t>
      </w:r>
      <w:r w:rsidR="00D46ECF" w:rsidRPr="00CB543A">
        <w:rPr>
          <w:rFonts w:ascii="Times New Roman" w:hAnsi="Times New Roman" w:cs="Times New Roman"/>
          <w:sz w:val="28"/>
          <w:szCs w:val="28"/>
        </w:rPr>
        <w:t>,</w:t>
      </w:r>
      <w:r w:rsidRPr="00CB543A">
        <w:rPr>
          <w:rFonts w:ascii="Times New Roman" w:hAnsi="Times New Roman" w:cs="Times New Roman"/>
          <w:sz w:val="28"/>
          <w:szCs w:val="28"/>
        </w:rPr>
        <w:t xml:space="preserve"> los requisitos de edad, monto y número de semanas o tiempo de servicio del régimen al cual estaban vinculados al momento de la entrada en vigencia del </w:t>
      </w:r>
      <w:bookmarkStart w:id="1" w:name="_ftnref85"/>
      <w:r w:rsidR="00B929F4" w:rsidRPr="00CB543A">
        <w:rPr>
          <w:rFonts w:ascii="Times New Roman" w:hAnsi="Times New Roman" w:cs="Times New Roman"/>
          <w:sz w:val="28"/>
          <w:szCs w:val="28"/>
        </w:rPr>
        <w:t>SGSS</w:t>
      </w:r>
      <w:r w:rsidR="00BE1EDD" w:rsidRPr="00CB543A">
        <w:rPr>
          <w:rStyle w:val="Refdenotaalpie"/>
          <w:rFonts w:ascii="Times New Roman" w:hAnsi="Times New Roman" w:cs="Times New Roman"/>
          <w:sz w:val="28"/>
          <w:szCs w:val="28"/>
        </w:rPr>
        <w:footnoteReference w:id="85"/>
      </w:r>
      <w:bookmarkEnd w:id="1"/>
      <w:r w:rsidRPr="00CB543A">
        <w:rPr>
          <w:rFonts w:ascii="Times New Roman" w:hAnsi="Times New Roman" w:cs="Times New Roman"/>
          <w:sz w:val="28"/>
          <w:szCs w:val="28"/>
        </w:rPr>
        <w:t>.</w:t>
      </w:r>
      <w:r w:rsidR="00BE1EDD" w:rsidRPr="00CB543A">
        <w:rPr>
          <w:rFonts w:ascii="Times New Roman" w:hAnsi="Times New Roman" w:cs="Times New Roman"/>
          <w:sz w:val="28"/>
          <w:szCs w:val="28"/>
        </w:rPr>
        <w:t xml:space="preserve"> </w:t>
      </w:r>
      <w:r w:rsidR="000F7E42" w:rsidRPr="00CB543A">
        <w:rPr>
          <w:rFonts w:ascii="Times New Roman" w:hAnsi="Times New Roman" w:cs="Times New Roman"/>
          <w:sz w:val="28"/>
          <w:szCs w:val="28"/>
        </w:rPr>
        <w:t>La vigencia de este beneficio,</w:t>
      </w:r>
      <w:r w:rsidR="00D46ECF" w:rsidRPr="00CB543A">
        <w:rPr>
          <w:rFonts w:ascii="Times New Roman" w:hAnsi="Times New Roman" w:cs="Times New Roman"/>
          <w:sz w:val="28"/>
          <w:szCs w:val="28"/>
        </w:rPr>
        <w:t xml:space="preserve"> sin embargo, según lo dispuso</w:t>
      </w:r>
      <w:r w:rsidR="000F7E42" w:rsidRPr="00CB543A">
        <w:rPr>
          <w:rFonts w:ascii="Times New Roman" w:hAnsi="Times New Roman" w:cs="Times New Roman"/>
          <w:sz w:val="28"/>
          <w:szCs w:val="28"/>
        </w:rPr>
        <w:t xml:space="preserve"> el Acto Legislativo 01 de 2005, </w:t>
      </w:r>
      <w:r w:rsidR="00B929F4" w:rsidRPr="00CB543A">
        <w:rPr>
          <w:rFonts w:ascii="Times New Roman" w:hAnsi="Times New Roman" w:cs="Times New Roman"/>
          <w:sz w:val="28"/>
          <w:szCs w:val="28"/>
        </w:rPr>
        <w:t xml:space="preserve">se extendió </w:t>
      </w:r>
      <w:r w:rsidR="000F7E42" w:rsidRPr="00CB543A">
        <w:rPr>
          <w:rFonts w:ascii="Times New Roman" w:hAnsi="Times New Roman" w:cs="Times New Roman"/>
          <w:sz w:val="28"/>
          <w:szCs w:val="28"/>
        </w:rPr>
        <w:t>ha</w:t>
      </w:r>
      <w:r w:rsidR="00D46ECF" w:rsidRPr="00CB543A">
        <w:rPr>
          <w:rFonts w:ascii="Times New Roman" w:hAnsi="Times New Roman" w:cs="Times New Roman"/>
          <w:sz w:val="28"/>
          <w:szCs w:val="28"/>
        </w:rPr>
        <w:t>sta el 31 de diciembre de 2014.</w:t>
      </w:r>
    </w:p>
    <w:p w:rsidR="00B929F4" w:rsidRPr="00CB543A" w:rsidRDefault="00B929F4" w:rsidP="00CB543A">
      <w:pPr>
        <w:pStyle w:val="Prrafodelista"/>
        <w:spacing w:after="0" w:line="240" w:lineRule="auto"/>
        <w:rPr>
          <w:rFonts w:ascii="Times New Roman" w:hAnsi="Times New Roman" w:cs="Times New Roman"/>
          <w:sz w:val="28"/>
          <w:szCs w:val="28"/>
        </w:rPr>
      </w:pPr>
    </w:p>
    <w:p w:rsidR="00F041FD" w:rsidRPr="00CB543A" w:rsidRDefault="00BE1EDD" w:rsidP="00CB543A">
      <w:pPr>
        <w:pStyle w:val="Prrafodelista"/>
        <w:numPr>
          <w:ilvl w:val="0"/>
          <w:numId w:val="32"/>
        </w:numPr>
        <w:shd w:val="clear" w:color="auto" w:fill="FFFFFF"/>
        <w:spacing w:after="0" w:line="240" w:lineRule="auto"/>
        <w:ind w:left="0" w:right="49"/>
        <w:jc w:val="both"/>
        <w:textAlignment w:val="baseline"/>
        <w:rPr>
          <w:rFonts w:ascii="Times New Roman" w:hAnsi="Times New Roman" w:cs="Times New Roman"/>
          <w:color w:val="auto"/>
          <w:sz w:val="28"/>
          <w:szCs w:val="28"/>
        </w:rPr>
      </w:pPr>
      <w:r w:rsidRPr="00CB543A">
        <w:rPr>
          <w:rFonts w:ascii="Times New Roman" w:hAnsi="Times New Roman" w:cs="Times New Roman"/>
          <w:sz w:val="28"/>
          <w:szCs w:val="28"/>
        </w:rPr>
        <w:t>S</w:t>
      </w:r>
      <w:r w:rsidR="00F041FD" w:rsidRPr="00CB543A">
        <w:rPr>
          <w:rFonts w:ascii="Times New Roman" w:hAnsi="Times New Roman" w:cs="Times New Roman"/>
          <w:color w:val="auto"/>
          <w:sz w:val="28"/>
          <w:szCs w:val="28"/>
          <w:bdr w:val="none" w:sz="0" w:space="0" w:color="auto" w:frame="1"/>
        </w:rPr>
        <w:t>on tres los parámetros aplicables al reconocimiento de las pensiones regidas por normas anteriores a la Ley 100 de 1993, los que</w:t>
      </w:r>
      <w:r w:rsidR="00D46ECF" w:rsidRPr="00CB543A">
        <w:rPr>
          <w:rFonts w:ascii="Times New Roman" w:hAnsi="Times New Roman" w:cs="Times New Roman"/>
          <w:color w:val="auto"/>
          <w:sz w:val="28"/>
          <w:szCs w:val="28"/>
          <w:bdr w:val="none" w:sz="0" w:space="0" w:color="auto" w:frame="1"/>
        </w:rPr>
        <w:t>,</w:t>
      </w:r>
      <w:r w:rsidR="00F041FD" w:rsidRPr="00CB543A">
        <w:rPr>
          <w:rFonts w:ascii="Times New Roman" w:hAnsi="Times New Roman" w:cs="Times New Roman"/>
          <w:color w:val="auto"/>
          <w:sz w:val="28"/>
          <w:szCs w:val="28"/>
          <w:bdr w:val="none" w:sz="0" w:space="0" w:color="auto" w:frame="1"/>
        </w:rPr>
        <w:t xml:space="preserve"> a su vez</w:t>
      </w:r>
      <w:r w:rsidR="00D46ECF" w:rsidRPr="00CB543A">
        <w:rPr>
          <w:rFonts w:ascii="Times New Roman" w:hAnsi="Times New Roman" w:cs="Times New Roman"/>
          <w:color w:val="auto"/>
          <w:sz w:val="28"/>
          <w:szCs w:val="28"/>
          <w:bdr w:val="none" w:sz="0" w:space="0" w:color="auto" w:frame="1"/>
        </w:rPr>
        <w:t>,</w:t>
      </w:r>
      <w:r w:rsidR="00F041FD" w:rsidRPr="00CB543A">
        <w:rPr>
          <w:rFonts w:ascii="Times New Roman" w:hAnsi="Times New Roman" w:cs="Times New Roman"/>
          <w:color w:val="auto"/>
          <w:sz w:val="28"/>
          <w:szCs w:val="28"/>
          <w:bdr w:val="none" w:sz="0" w:space="0" w:color="auto" w:frame="1"/>
        </w:rPr>
        <w:t xml:space="preserve"> </w:t>
      </w:r>
      <w:r w:rsidR="00D46ECF" w:rsidRPr="00CB543A">
        <w:rPr>
          <w:rFonts w:ascii="Times New Roman" w:hAnsi="Times New Roman" w:cs="Times New Roman"/>
          <w:color w:val="auto"/>
          <w:sz w:val="28"/>
          <w:szCs w:val="28"/>
          <w:bdr w:val="none" w:sz="0" w:space="0" w:color="auto" w:frame="1"/>
        </w:rPr>
        <w:t xml:space="preserve">integran </w:t>
      </w:r>
      <w:r w:rsidR="00F041FD" w:rsidRPr="00CB543A">
        <w:rPr>
          <w:rFonts w:ascii="Times New Roman" w:hAnsi="Times New Roman" w:cs="Times New Roman"/>
          <w:color w:val="auto"/>
          <w:sz w:val="28"/>
          <w:szCs w:val="28"/>
          <w:bdr w:val="none" w:sz="0" w:space="0" w:color="auto" w:frame="1"/>
        </w:rPr>
        <w:t>el</w:t>
      </w:r>
      <w:r w:rsidRPr="00CB543A">
        <w:rPr>
          <w:rFonts w:ascii="Times New Roman" w:hAnsi="Times New Roman" w:cs="Times New Roman"/>
          <w:color w:val="auto"/>
          <w:sz w:val="28"/>
          <w:szCs w:val="28"/>
          <w:bdr w:val="none" w:sz="0" w:space="0" w:color="auto" w:frame="1"/>
        </w:rPr>
        <w:t xml:space="preserve"> denominado </w:t>
      </w:r>
      <w:r w:rsidR="00F041FD" w:rsidRPr="00CB543A">
        <w:rPr>
          <w:rFonts w:ascii="Times New Roman" w:hAnsi="Times New Roman" w:cs="Times New Roman"/>
          <w:color w:val="auto"/>
          <w:sz w:val="28"/>
          <w:szCs w:val="28"/>
          <w:bdr w:val="none" w:sz="0" w:space="0" w:color="auto" w:frame="1"/>
        </w:rPr>
        <w:t>régimen de transición</w:t>
      </w:r>
      <w:r w:rsidR="00FD70F5" w:rsidRPr="00CB543A">
        <w:rPr>
          <w:rStyle w:val="Refdenotaalpie"/>
          <w:rFonts w:ascii="Times New Roman" w:hAnsi="Times New Roman" w:cs="Times New Roman"/>
          <w:color w:val="auto"/>
          <w:sz w:val="28"/>
          <w:szCs w:val="28"/>
          <w:bdr w:val="none" w:sz="0" w:space="0" w:color="auto" w:frame="1"/>
        </w:rPr>
        <w:footnoteReference w:id="86"/>
      </w:r>
      <w:r w:rsidR="00F041FD" w:rsidRPr="00CB543A">
        <w:rPr>
          <w:rFonts w:ascii="Times New Roman" w:hAnsi="Times New Roman" w:cs="Times New Roman"/>
          <w:color w:val="auto"/>
          <w:sz w:val="28"/>
          <w:szCs w:val="28"/>
          <w:bdr w:val="none" w:sz="0" w:space="0" w:color="auto" w:frame="1"/>
        </w:rPr>
        <w:t>:</w:t>
      </w:r>
      <w:r w:rsidRPr="00CB543A">
        <w:rPr>
          <w:rFonts w:ascii="Times New Roman" w:hAnsi="Times New Roman" w:cs="Times New Roman"/>
          <w:color w:val="auto"/>
          <w:sz w:val="28"/>
          <w:szCs w:val="28"/>
          <w:bdr w:val="none" w:sz="0" w:space="0" w:color="auto" w:frame="1"/>
        </w:rPr>
        <w:t xml:space="preserve"> </w:t>
      </w:r>
      <w:r w:rsidR="00F041FD" w:rsidRPr="00CB543A">
        <w:rPr>
          <w:rFonts w:ascii="Times New Roman" w:hAnsi="Times New Roman" w:cs="Times New Roman"/>
          <w:i/>
          <w:sz w:val="28"/>
          <w:szCs w:val="28"/>
        </w:rPr>
        <w:t>(i)</w:t>
      </w:r>
      <w:r w:rsidR="00F041FD" w:rsidRPr="00CB543A">
        <w:rPr>
          <w:rFonts w:ascii="Times New Roman" w:hAnsi="Times New Roman" w:cs="Times New Roman"/>
          <w:sz w:val="28"/>
          <w:szCs w:val="28"/>
        </w:rPr>
        <w:t xml:space="preserve"> </w:t>
      </w:r>
      <w:r w:rsidR="00FD70F5" w:rsidRPr="00CB543A">
        <w:rPr>
          <w:rFonts w:ascii="Times New Roman" w:hAnsi="Times New Roman" w:cs="Times New Roman"/>
          <w:sz w:val="28"/>
          <w:szCs w:val="28"/>
        </w:rPr>
        <w:t>l</w:t>
      </w:r>
      <w:r w:rsidR="00F041FD" w:rsidRPr="00CB543A">
        <w:rPr>
          <w:rFonts w:ascii="Times New Roman" w:hAnsi="Times New Roman" w:cs="Times New Roman"/>
          <w:sz w:val="28"/>
          <w:szCs w:val="28"/>
        </w:rPr>
        <w:t xml:space="preserve">a </w:t>
      </w:r>
      <w:r w:rsidR="00F041FD" w:rsidRPr="00CB543A">
        <w:rPr>
          <w:rFonts w:ascii="Times New Roman" w:hAnsi="Times New Roman" w:cs="Times New Roman"/>
          <w:i/>
          <w:sz w:val="28"/>
          <w:szCs w:val="28"/>
        </w:rPr>
        <w:t>edad</w:t>
      </w:r>
      <w:r w:rsidR="00F041FD" w:rsidRPr="00CB543A">
        <w:rPr>
          <w:rFonts w:ascii="Times New Roman" w:hAnsi="Times New Roman" w:cs="Times New Roman"/>
          <w:sz w:val="28"/>
          <w:szCs w:val="28"/>
        </w:rPr>
        <w:t xml:space="preserve"> para consolidar el a</w:t>
      </w:r>
      <w:r w:rsidRPr="00CB543A">
        <w:rPr>
          <w:rFonts w:ascii="Times New Roman" w:hAnsi="Times New Roman" w:cs="Times New Roman"/>
          <w:sz w:val="28"/>
          <w:szCs w:val="28"/>
        </w:rPr>
        <w:t xml:space="preserve">cceso al beneficio prestacional; </w:t>
      </w:r>
      <w:r w:rsidR="00F041FD" w:rsidRPr="00CB543A">
        <w:rPr>
          <w:rFonts w:ascii="Times New Roman" w:hAnsi="Times New Roman" w:cs="Times New Roman"/>
          <w:i/>
          <w:sz w:val="28"/>
          <w:szCs w:val="28"/>
        </w:rPr>
        <w:t>(ii)</w:t>
      </w:r>
      <w:r w:rsidR="00F041FD" w:rsidRPr="00CB543A">
        <w:rPr>
          <w:rFonts w:ascii="Times New Roman" w:hAnsi="Times New Roman" w:cs="Times New Roman"/>
          <w:sz w:val="28"/>
          <w:szCs w:val="28"/>
        </w:rPr>
        <w:t xml:space="preserve"> </w:t>
      </w:r>
      <w:r w:rsidR="00FD70F5" w:rsidRPr="00CB543A">
        <w:rPr>
          <w:rFonts w:ascii="Times New Roman" w:hAnsi="Times New Roman" w:cs="Times New Roman"/>
          <w:sz w:val="28"/>
          <w:szCs w:val="28"/>
        </w:rPr>
        <w:t>e</w:t>
      </w:r>
      <w:r w:rsidR="00F041FD" w:rsidRPr="00CB543A">
        <w:rPr>
          <w:rFonts w:ascii="Times New Roman" w:hAnsi="Times New Roman" w:cs="Times New Roman"/>
          <w:sz w:val="28"/>
          <w:szCs w:val="28"/>
        </w:rPr>
        <w:t xml:space="preserve">l </w:t>
      </w:r>
      <w:r w:rsidR="00F041FD" w:rsidRPr="00CB543A">
        <w:rPr>
          <w:rFonts w:ascii="Times New Roman" w:hAnsi="Times New Roman" w:cs="Times New Roman"/>
          <w:i/>
          <w:sz w:val="28"/>
          <w:szCs w:val="28"/>
        </w:rPr>
        <w:t>tiempo</w:t>
      </w:r>
      <w:r w:rsidR="00F041FD" w:rsidRPr="00CB543A">
        <w:rPr>
          <w:rFonts w:ascii="Times New Roman" w:hAnsi="Times New Roman" w:cs="Times New Roman"/>
          <w:sz w:val="28"/>
          <w:szCs w:val="28"/>
        </w:rPr>
        <w:t xml:space="preserve"> de servicios o el número de semanas cotizadas</w:t>
      </w:r>
      <w:r w:rsidRPr="00CB543A">
        <w:rPr>
          <w:rFonts w:ascii="Times New Roman" w:hAnsi="Times New Roman" w:cs="Times New Roman"/>
          <w:sz w:val="28"/>
          <w:szCs w:val="28"/>
        </w:rPr>
        <w:t xml:space="preserve">; y </w:t>
      </w:r>
      <w:r w:rsidR="00F041FD" w:rsidRPr="00CB543A">
        <w:rPr>
          <w:rFonts w:ascii="Times New Roman" w:hAnsi="Times New Roman" w:cs="Times New Roman"/>
          <w:i/>
          <w:sz w:val="28"/>
          <w:szCs w:val="28"/>
        </w:rPr>
        <w:t>(iii)</w:t>
      </w:r>
      <w:r w:rsidR="00F041FD" w:rsidRPr="00CB543A">
        <w:rPr>
          <w:rFonts w:ascii="Times New Roman" w:hAnsi="Times New Roman" w:cs="Times New Roman"/>
          <w:sz w:val="28"/>
          <w:szCs w:val="28"/>
        </w:rPr>
        <w:t xml:space="preserve"> </w:t>
      </w:r>
      <w:r w:rsidR="00FD70F5" w:rsidRPr="00CB543A">
        <w:rPr>
          <w:rFonts w:ascii="Times New Roman" w:hAnsi="Times New Roman" w:cs="Times New Roman"/>
          <w:sz w:val="28"/>
          <w:szCs w:val="28"/>
        </w:rPr>
        <w:t>e</w:t>
      </w:r>
      <w:r w:rsidR="00F041FD" w:rsidRPr="00CB543A">
        <w:rPr>
          <w:rFonts w:ascii="Times New Roman" w:hAnsi="Times New Roman" w:cs="Times New Roman"/>
          <w:sz w:val="28"/>
          <w:szCs w:val="28"/>
        </w:rPr>
        <w:t xml:space="preserve">l </w:t>
      </w:r>
      <w:r w:rsidR="00F041FD" w:rsidRPr="00CB543A">
        <w:rPr>
          <w:rFonts w:ascii="Times New Roman" w:hAnsi="Times New Roman" w:cs="Times New Roman"/>
          <w:i/>
          <w:sz w:val="28"/>
          <w:szCs w:val="28"/>
        </w:rPr>
        <w:t>monto</w:t>
      </w:r>
      <w:r w:rsidR="00F041FD" w:rsidRPr="00CB543A">
        <w:rPr>
          <w:rFonts w:ascii="Times New Roman" w:hAnsi="Times New Roman" w:cs="Times New Roman"/>
          <w:sz w:val="28"/>
          <w:szCs w:val="28"/>
        </w:rPr>
        <w:t xml:space="preserve"> </w:t>
      </w:r>
      <w:r w:rsidR="00FD70F5" w:rsidRPr="00CB543A">
        <w:rPr>
          <w:rFonts w:ascii="Times New Roman" w:hAnsi="Times New Roman" w:cs="Times New Roman"/>
          <w:sz w:val="28"/>
          <w:szCs w:val="28"/>
        </w:rPr>
        <w:t xml:space="preserve">para </w:t>
      </w:r>
      <w:r w:rsidRPr="00CB543A">
        <w:rPr>
          <w:rFonts w:ascii="Times New Roman" w:hAnsi="Times New Roman" w:cs="Times New Roman"/>
          <w:sz w:val="28"/>
          <w:szCs w:val="28"/>
        </w:rPr>
        <w:t>la pensión</w:t>
      </w:r>
      <w:r w:rsidR="00F041FD" w:rsidRPr="00CB543A">
        <w:rPr>
          <w:rFonts w:ascii="Times New Roman" w:hAnsi="Times New Roman" w:cs="Times New Roman"/>
          <w:sz w:val="28"/>
          <w:szCs w:val="28"/>
        </w:rPr>
        <w:t>.</w:t>
      </w:r>
      <w:r w:rsidR="00B929F4" w:rsidRPr="00CB543A">
        <w:rPr>
          <w:rFonts w:ascii="Times New Roman" w:hAnsi="Times New Roman" w:cs="Times New Roman"/>
          <w:sz w:val="28"/>
          <w:szCs w:val="28"/>
        </w:rPr>
        <w:t xml:space="preserve"> </w:t>
      </w:r>
      <w:r w:rsidR="00F041FD" w:rsidRPr="00CB543A">
        <w:rPr>
          <w:rFonts w:ascii="Times New Roman" w:hAnsi="Times New Roman" w:cs="Times New Roman"/>
          <w:color w:val="auto"/>
          <w:sz w:val="28"/>
          <w:szCs w:val="28"/>
          <w:bdr w:val="none" w:sz="0" w:space="0" w:color="auto" w:frame="1"/>
        </w:rPr>
        <w:t>Respecto de los dos primeros presupuestos no ha habido mayor dificultad en su interpretación. Sin embargo, frent</w:t>
      </w:r>
      <w:r w:rsidR="002B5F97" w:rsidRPr="00CB543A">
        <w:rPr>
          <w:rFonts w:ascii="Times New Roman" w:hAnsi="Times New Roman" w:cs="Times New Roman"/>
          <w:color w:val="auto"/>
          <w:sz w:val="28"/>
          <w:szCs w:val="28"/>
          <w:bdr w:val="none" w:sz="0" w:space="0" w:color="auto" w:frame="1"/>
        </w:rPr>
        <w:t>e al tercero de ellos, esto es, el</w:t>
      </w:r>
      <w:r w:rsidR="00F041FD" w:rsidRPr="00CB543A">
        <w:rPr>
          <w:rFonts w:ascii="Times New Roman" w:hAnsi="Times New Roman" w:cs="Times New Roman"/>
          <w:i/>
          <w:iCs/>
          <w:color w:val="auto"/>
          <w:sz w:val="28"/>
          <w:szCs w:val="28"/>
          <w:bdr w:val="none" w:sz="0" w:space="0" w:color="auto" w:frame="1"/>
        </w:rPr>
        <w:t xml:space="preserve"> monto</w:t>
      </w:r>
      <w:r w:rsidR="00F041FD" w:rsidRPr="00CB543A">
        <w:rPr>
          <w:rFonts w:ascii="Times New Roman" w:hAnsi="Times New Roman" w:cs="Times New Roman"/>
          <w:color w:val="auto"/>
          <w:sz w:val="28"/>
          <w:szCs w:val="28"/>
          <w:bdr w:val="none" w:sz="0" w:space="0" w:color="auto" w:frame="1"/>
        </w:rPr>
        <w:t xml:space="preserve">, cabe decir que ha sido objeto de amplios debates a nivel doctrinario y jurisprudencial. A continuación </w:t>
      </w:r>
      <w:r w:rsidR="00D46ECF" w:rsidRPr="00CB543A">
        <w:rPr>
          <w:rFonts w:ascii="Times New Roman" w:hAnsi="Times New Roman" w:cs="Times New Roman"/>
          <w:color w:val="auto"/>
          <w:sz w:val="28"/>
          <w:szCs w:val="28"/>
          <w:bdr w:val="none" w:sz="0" w:space="0" w:color="auto" w:frame="1"/>
        </w:rPr>
        <w:t>se hace</w:t>
      </w:r>
      <w:r w:rsidR="00F041FD" w:rsidRPr="00CB543A">
        <w:rPr>
          <w:rFonts w:ascii="Times New Roman" w:hAnsi="Times New Roman" w:cs="Times New Roman"/>
          <w:color w:val="auto"/>
          <w:sz w:val="28"/>
          <w:szCs w:val="28"/>
          <w:bdr w:val="none" w:sz="0" w:space="0" w:color="auto" w:frame="1"/>
        </w:rPr>
        <w:t xml:space="preserve"> referencia a la postura que</w:t>
      </w:r>
      <w:r w:rsidR="00D46ECF" w:rsidRPr="00CB543A">
        <w:rPr>
          <w:rFonts w:ascii="Times New Roman" w:hAnsi="Times New Roman" w:cs="Times New Roman"/>
          <w:color w:val="auto"/>
          <w:sz w:val="28"/>
          <w:szCs w:val="28"/>
          <w:bdr w:val="none" w:sz="0" w:space="0" w:color="auto" w:frame="1"/>
        </w:rPr>
        <w:t>,</w:t>
      </w:r>
      <w:r w:rsidR="00F041FD" w:rsidRPr="00CB543A">
        <w:rPr>
          <w:rFonts w:ascii="Times New Roman" w:hAnsi="Times New Roman" w:cs="Times New Roman"/>
          <w:color w:val="auto"/>
          <w:sz w:val="28"/>
          <w:szCs w:val="28"/>
          <w:bdr w:val="none" w:sz="0" w:space="0" w:color="auto" w:frame="1"/>
        </w:rPr>
        <w:t xml:space="preserve"> al respecto</w:t>
      </w:r>
      <w:r w:rsidR="00D46ECF" w:rsidRPr="00CB543A">
        <w:rPr>
          <w:rFonts w:ascii="Times New Roman" w:hAnsi="Times New Roman" w:cs="Times New Roman"/>
          <w:color w:val="auto"/>
          <w:sz w:val="28"/>
          <w:szCs w:val="28"/>
          <w:bdr w:val="none" w:sz="0" w:space="0" w:color="auto" w:frame="1"/>
        </w:rPr>
        <w:t>,</w:t>
      </w:r>
      <w:r w:rsidR="00F041FD" w:rsidRPr="00CB543A">
        <w:rPr>
          <w:rFonts w:ascii="Times New Roman" w:hAnsi="Times New Roman" w:cs="Times New Roman"/>
          <w:color w:val="auto"/>
          <w:sz w:val="28"/>
          <w:szCs w:val="28"/>
          <w:bdr w:val="none" w:sz="0" w:space="0" w:color="auto" w:frame="1"/>
        </w:rPr>
        <w:t xml:space="preserve"> han tenido las </w:t>
      </w:r>
      <w:r w:rsidR="00D46ECF" w:rsidRPr="00CB543A">
        <w:rPr>
          <w:rFonts w:ascii="Times New Roman" w:hAnsi="Times New Roman" w:cs="Times New Roman"/>
          <w:color w:val="auto"/>
          <w:sz w:val="28"/>
          <w:szCs w:val="28"/>
          <w:bdr w:val="none" w:sz="0" w:space="0" w:color="auto" w:frame="1"/>
        </w:rPr>
        <w:t>A</w:t>
      </w:r>
      <w:r w:rsidR="00F041FD" w:rsidRPr="00CB543A">
        <w:rPr>
          <w:rFonts w:ascii="Times New Roman" w:hAnsi="Times New Roman" w:cs="Times New Roman"/>
          <w:color w:val="auto"/>
          <w:sz w:val="28"/>
          <w:szCs w:val="28"/>
          <w:bdr w:val="none" w:sz="0" w:space="0" w:color="auto" w:frame="1"/>
        </w:rPr>
        <w:t xml:space="preserve">ltas </w:t>
      </w:r>
      <w:r w:rsidR="00D46ECF" w:rsidRPr="00CB543A">
        <w:rPr>
          <w:rFonts w:ascii="Times New Roman" w:hAnsi="Times New Roman" w:cs="Times New Roman"/>
          <w:color w:val="auto"/>
          <w:sz w:val="28"/>
          <w:szCs w:val="28"/>
          <w:bdr w:val="none" w:sz="0" w:space="0" w:color="auto" w:frame="1"/>
        </w:rPr>
        <w:t>C</w:t>
      </w:r>
      <w:r w:rsidR="00F041FD" w:rsidRPr="00CB543A">
        <w:rPr>
          <w:rFonts w:ascii="Times New Roman" w:hAnsi="Times New Roman" w:cs="Times New Roman"/>
          <w:color w:val="auto"/>
          <w:sz w:val="28"/>
          <w:szCs w:val="28"/>
          <w:bdr w:val="none" w:sz="0" w:space="0" w:color="auto" w:frame="1"/>
        </w:rPr>
        <w:t>ortes</w:t>
      </w:r>
      <w:r w:rsidR="00D46ECF" w:rsidRPr="00CB543A">
        <w:rPr>
          <w:rFonts w:ascii="Times New Roman" w:hAnsi="Times New Roman" w:cs="Times New Roman"/>
          <w:color w:val="auto"/>
          <w:sz w:val="28"/>
          <w:szCs w:val="28"/>
          <w:bdr w:val="none" w:sz="0" w:space="0" w:color="auto" w:frame="1"/>
        </w:rPr>
        <w:t>,</w:t>
      </w:r>
      <w:r w:rsidR="00F041FD" w:rsidRPr="00CB543A">
        <w:rPr>
          <w:rFonts w:ascii="Times New Roman" w:hAnsi="Times New Roman" w:cs="Times New Roman"/>
          <w:color w:val="auto"/>
          <w:sz w:val="28"/>
          <w:szCs w:val="28"/>
          <w:bdr w:val="none" w:sz="0" w:space="0" w:color="auto" w:frame="1"/>
        </w:rPr>
        <w:t xml:space="preserve"> para luego establecer las reglas aplicables al caso concreto y proceder </w:t>
      </w:r>
      <w:r w:rsidR="00F927AE" w:rsidRPr="00CB543A">
        <w:rPr>
          <w:rFonts w:ascii="Times New Roman" w:hAnsi="Times New Roman" w:cs="Times New Roman"/>
          <w:color w:val="auto"/>
          <w:sz w:val="28"/>
          <w:szCs w:val="28"/>
          <w:bdr w:val="none" w:sz="0" w:space="0" w:color="auto" w:frame="1"/>
        </w:rPr>
        <w:t>a la solución de</w:t>
      </w:r>
      <w:r w:rsidR="00D46ECF" w:rsidRPr="00CB543A">
        <w:rPr>
          <w:rFonts w:ascii="Times New Roman" w:hAnsi="Times New Roman" w:cs="Times New Roman"/>
          <w:color w:val="auto"/>
          <w:sz w:val="28"/>
          <w:szCs w:val="28"/>
          <w:bdr w:val="none" w:sz="0" w:space="0" w:color="auto" w:frame="1"/>
        </w:rPr>
        <w:t>l</w:t>
      </w:r>
      <w:r w:rsidR="00F927AE" w:rsidRPr="00CB543A">
        <w:rPr>
          <w:rFonts w:ascii="Times New Roman" w:hAnsi="Times New Roman" w:cs="Times New Roman"/>
          <w:color w:val="auto"/>
          <w:sz w:val="28"/>
          <w:szCs w:val="28"/>
          <w:bdr w:val="none" w:sz="0" w:space="0" w:color="auto" w:frame="1"/>
        </w:rPr>
        <w:t xml:space="preserve"> caso.</w:t>
      </w:r>
    </w:p>
    <w:p w:rsidR="000F1180" w:rsidRPr="00CB543A" w:rsidRDefault="000F1180" w:rsidP="00CB543A">
      <w:pPr>
        <w:pStyle w:val="Prrafodelista"/>
        <w:widowControl w:val="0"/>
        <w:spacing w:after="0" w:line="240" w:lineRule="auto"/>
        <w:ind w:left="0"/>
        <w:jc w:val="both"/>
        <w:rPr>
          <w:rFonts w:ascii="Times New Roman" w:hAnsi="Times New Roman" w:cs="Times New Roman"/>
          <w:b/>
          <w:sz w:val="28"/>
          <w:szCs w:val="28"/>
        </w:rPr>
      </w:pPr>
    </w:p>
    <w:p w:rsidR="00357C8C" w:rsidRPr="00CB543A" w:rsidRDefault="00357C8C" w:rsidP="00CB543A">
      <w:pPr>
        <w:pStyle w:val="Prrafodelista"/>
        <w:widowControl w:val="0"/>
        <w:numPr>
          <w:ilvl w:val="3"/>
          <w:numId w:val="11"/>
        </w:numPr>
        <w:spacing w:after="0" w:line="240" w:lineRule="auto"/>
        <w:ind w:left="0" w:firstLine="0"/>
        <w:jc w:val="both"/>
        <w:rPr>
          <w:rFonts w:ascii="Times New Roman" w:hAnsi="Times New Roman" w:cs="Times New Roman"/>
          <w:b/>
          <w:sz w:val="28"/>
          <w:szCs w:val="28"/>
        </w:rPr>
      </w:pPr>
      <w:r w:rsidRPr="00CB543A">
        <w:rPr>
          <w:rFonts w:ascii="Times New Roman" w:hAnsi="Times New Roman" w:cs="Times New Roman"/>
          <w:b/>
          <w:sz w:val="28"/>
          <w:szCs w:val="28"/>
        </w:rPr>
        <w:t>Corte Suprema de Justicia</w:t>
      </w:r>
    </w:p>
    <w:p w:rsidR="00B46506" w:rsidRPr="00CB543A" w:rsidRDefault="00B46506" w:rsidP="00CB543A">
      <w:pPr>
        <w:pStyle w:val="Prrafodelista"/>
        <w:widowControl w:val="0"/>
        <w:spacing w:after="0" w:line="240" w:lineRule="auto"/>
        <w:ind w:left="0"/>
        <w:jc w:val="both"/>
        <w:rPr>
          <w:rFonts w:ascii="Times New Roman" w:hAnsi="Times New Roman" w:cs="Times New Roman"/>
          <w:b/>
          <w:sz w:val="28"/>
          <w:szCs w:val="28"/>
        </w:rPr>
      </w:pPr>
    </w:p>
    <w:p w:rsidR="00AF3724" w:rsidRPr="00CB543A" w:rsidRDefault="00C97AB2" w:rsidP="00CB543A">
      <w:pPr>
        <w:pStyle w:val="Prrafodelista"/>
        <w:widowControl w:val="0"/>
        <w:numPr>
          <w:ilvl w:val="0"/>
          <w:numId w:val="32"/>
        </w:numPr>
        <w:tabs>
          <w:tab w:val="left" w:pos="426"/>
        </w:tabs>
        <w:spacing w:after="0" w:line="240" w:lineRule="auto"/>
        <w:ind w:left="0"/>
        <w:jc w:val="both"/>
        <w:rPr>
          <w:rFonts w:ascii="Times New Roman" w:hAnsi="Times New Roman" w:cs="Times New Roman"/>
          <w:b/>
          <w:sz w:val="28"/>
          <w:szCs w:val="28"/>
        </w:rPr>
      </w:pPr>
      <w:r w:rsidRPr="00CB543A">
        <w:rPr>
          <w:rFonts w:ascii="Times New Roman" w:hAnsi="Times New Roman" w:cs="Times New Roman"/>
          <w:sz w:val="28"/>
          <w:szCs w:val="28"/>
        </w:rPr>
        <w:t xml:space="preserve">Para la Sala de Casación Laboral de la Corte Suprema de Justicia, el régimen de transición regulado en el artículo 36 de la Ley 100 de 1993 </w:t>
      </w:r>
      <w:r w:rsidR="00D1151E" w:rsidRPr="00CB543A">
        <w:rPr>
          <w:rFonts w:ascii="Times New Roman" w:hAnsi="Times New Roman" w:cs="Times New Roman"/>
          <w:sz w:val="28"/>
          <w:szCs w:val="28"/>
        </w:rPr>
        <w:t xml:space="preserve">solo </w:t>
      </w:r>
      <w:r w:rsidRPr="00CB543A">
        <w:rPr>
          <w:rFonts w:ascii="Times New Roman" w:hAnsi="Times New Roman" w:cs="Times New Roman"/>
          <w:sz w:val="28"/>
          <w:szCs w:val="28"/>
        </w:rPr>
        <w:t>conservó a sus beneficiarios lo relativo a la edad, tiempo de servicios y monto porcentual de la prestación</w:t>
      </w:r>
      <w:r w:rsidR="00D1151E" w:rsidRPr="00CB543A">
        <w:rPr>
          <w:rFonts w:ascii="Times New Roman" w:hAnsi="Times New Roman" w:cs="Times New Roman"/>
          <w:sz w:val="28"/>
          <w:szCs w:val="28"/>
        </w:rPr>
        <w:t xml:space="preserve">. Por tanto, </w:t>
      </w:r>
      <w:r w:rsidRPr="00CB543A">
        <w:rPr>
          <w:rFonts w:ascii="Times New Roman" w:hAnsi="Times New Roman" w:cs="Times New Roman"/>
          <w:sz w:val="28"/>
          <w:szCs w:val="28"/>
        </w:rPr>
        <w:t>los demás aspectos</w:t>
      </w:r>
      <w:r w:rsidR="00AF3724" w:rsidRPr="00CB543A">
        <w:rPr>
          <w:rFonts w:ascii="Times New Roman" w:hAnsi="Times New Roman" w:cs="Times New Roman"/>
          <w:sz w:val="28"/>
          <w:szCs w:val="28"/>
        </w:rPr>
        <w:t xml:space="preserve"> del régimen pensional</w:t>
      </w:r>
      <w:r w:rsidRPr="00CB543A">
        <w:rPr>
          <w:rFonts w:ascii="Times New Roman" w:hAnsi="Times New Roman" w:cs="Times New Roman"/>
          <w:sz w:val="28"/>
          <w:szCs w:val="28"/>
        </w:rPr>
        <w:t>, incluido el IBL, quedaron sometidos a la nueva legislación en materia de seguridad social</w:t>
      </w:r>
      <w:r w:rsidR="00AF3724" w:rsidRPr="00CB543A">
        <w:rPr>
          <w:rFonts w:ascii="Times New Roman" w:hAnsi="Times New Roman" w:cs="Times New Roman"/>
          <w:sz w:val="28"/>
          <w:szCs w:val="28"/>
        </w:rPr>
        <w:t xml:space="preserve">, especialmente, a </w:t>
      </w:r>
      <w:r w:rsidR="00D1151E" w:rsidRPr="00CB543A">
        <w:rPr>
          <w:rFonts w:ascii="Times New Roman" w:hAnsi="Times New Roman" w:cs="Times New Roman"/>
          <w:sz w:val="28"/>
          <w:szCs w:val="28"/>
        </w:rPr>
        <w:t xml:space="preserve">lo dispuesto en los </w:t>
      </w:r>
      <w:r w:rsidR="00AF3724" w:rsidRPr="00CB543A">
        <w:rPr>
          <w:rFonts w:ascii="Times New Roman" w:hAnsi="Times New Roman" w:cs="Times New Roman"/>
          <w:sz w:val="28"/>
          <w:szCs w:val="28"/>
        </w:rPr>
        <w:t xml:space="preserve">artículos 21 y 36 </w:t>
      </w:r>
      <w:r w:rsidR="00AF3724" w:rsidRPr="00CB543A">
        <w:rPr>
          <w:rFonts w:ascii="Times New Roman" w:hAnsi="Times New Roman" w:cs="Times New Roman"/>
          <w:i/>
          <w:sz w:val="28"/>
          <w:szCs w:val="28"/>
        </w:rPr>
        <w:t>ibídem</w:t>
      </w:r>
      <w:r w:rsidRPr="00CB543A">
        <w:rPr>
          <w:rFonts w:ascii="Times New Roman" w:hAnsi="Times New Roman" w:cs="Times New Roman"/>
          <w:sz w:val="28"/>
          <w:szCs w:val="28"/>
        </w:rPr>
        <w:t xml:space="preserve">. Esto se justifica, según dicho Tribunal, en que el concepto </w:t>
      </w:r>
      <w:r w:rsidR="00D1151E" w:rsidRPr="00CB543A">
        <w:rPr>
          <w:rFonts w:ascii="Times New Roman" w:hAnsi="Times New Roman" w:cs="Times New Roman"/>
          <w:sz w:val="28"/>
          <w:szCs w:val="28"/>
        </w:rPr>
        <w:t xml:space="preserve">de </w:t>
      </w:r>
      <w:r w:rsidRPr="00CB543A">
        <w:rPr>
          <w:rFonts w:ascii="Times New Roman" w:hAnsi="Times New Roman" w:cs="Times New Roman"/>
          <w:i/>
          <w:sz w:val="28"/>
          <w:szCs w:val="28"/>
        </w:rPr>
        <w:t xml:space="preserve">monto </w:t>
      </w:r>
      <w:r w:rsidRPr="00CB543A">
        <w:rPr>
          <w:rFonts w:ascii="Times New Roman" w:hAnsi="Times New Roman" w:cs="Times New Roman"/>
          <w:sz w:val="28"/>
          <w:szCs w:val="28"/>
        </w:rPr>
        <w:t xml:space="preserve">hace referencia únicamente al </w:t>
      </w:r>
      <w:r w:rsidRPr="00CB543A">
        <w:rPr>
          <w:rFonts w:ascii="Times New Roman" w:hAnsi="Times New Roman" w:cs="Times New Roman"/>
          <w:i/>
          <w:sz w:val="28"/>
          <w:szCs w:val="28"/>
        </w:rPr>
        <w:t xml:space="preserve">porcentaje </w:t>
      </w:r>
      <w:r w:rsidRPr="00CB543A">
        <w:rPr>
          <w:rFonts w:ascii="Times New Roman" w:hAnsi="Times New Roman" w:cs="Times New Roman"/>
          <w:sz w:val="28"/>
          <w:szCs w:val="28"/>
        </w:rPr>
        <w:t xml:space="preserve">que se aplica y no a la base reguladora de la pensión o a los ingresos en los que </w:t>
      </w:r>
      <w:r w:rsidR="001D5A45" w:rsidRPr="00CB543A">
        <w:rPr>
          <w:rFonts w:ascii="Times New Roman" w:hAnsi="Times New Roman" w:cs="Times New Roman"/>
          <w:sz w:val="28"/>
          <w:szCs w:val="28"/>
        </w:rPr>
        <w:t xml:space="preserve">esta </w:t>
      </w:r>
      <w:r w:rsidRPr="00CB543A">
        <w:rPr>
          <w:rFonts w:ascii="Times New Roman" w:hAnsi="Times New Roman" w:cs="Times New Roman"/>
          <w:sz w:val="28"/>
          <w:szCs w:val="28"/>
        </w:rPr>
        <w:t xml:space="preserve">se fundamenta. </w:t>
      </w:r>
      <w:r w:rsidR="00AF3724" w:rsidRPr="00CB543A">
        <w:rPr>
          <w:rFonts w:ascii="Times New Roman" w:hAnsi="Times New Roman" w:cs="Times New Roman"/>
          <w:sz w:val="28"/>
          <w:szCs w:val="28"/>
        </w:rPr>
        <w:t xml:space="preserve">Tal postura, se dice, no vulnera el principio de inescindibilidad normativa, debido a que </w:t>
      </w:r>
      <w:r w:rsidR="00F54F0F" w:rsidRPr="00CB543A">
        <w:rPr>
          <w:rFonts w:ascii="Times New Roman" w:hAnsi="Times New Roman" w:cs="Times New Roman"/>
          <w:sz w:val="28"/>
          <w:szCs w:val="28"/>
        </w:rPr>
        <w:t>fue el legislador el que dispuso que la norma en comento se aplicara de esa manera. Al respecto y</w:t>
      </w:r>
      <w:r w:rsidR="00D1151E" w:rsidRPr="00CB543A">
        <w:rPr>
          <w:rFonts w:ascii="Times New Roman" w:hAnsi="Times New Roman" w:cs="Times New Roman"/>
          <w:sz w:val="28"/>
          <w:szCs w:val="28"/>
        </w:rPr>
        <w:t>,</w:t>
      </w:r>
      <w:r w:rsidR="00F54F0F" w:rsidRPr="00CB543A">
        <w:rPr>
          <w:rFonts w:ascii="Times New Roman" w:hAnsi="Times New Roman" w:cs="Times New Roman"/>
          <w:sz w:val="28"/>
          <w:szCs w:val="28"/>
        </w:rPr>
        <w:t xml:space="preserve"> en general</w:t>
      </w:r>
      <w:r w:rsidR="00D1151E" w:rsidRPr="00CB543A">
        <w:rPr>
          <w:rFonts w:ascii="Times New Roman" w:hAnsi="Times New Roman" w:cs="Times New Roman"/>
          <w:sz w:val="28"/>
          <w:szCs w:val="28"/>
        </w:rPr>
        <w:t>,</w:t>
      </w:r>
      <w:r w:rsidR="00F54F0F" w:rsidRPr="00CB543A">
        <w:rPr>
          <w:rFonts w:ascii="Times New Roman" w:hAnsi="Times New Roman" w:cs="Times New Roman"/>
          <w:sz w:val="28"/>
          <w:szCs w:val="28"/>
        </w:rPr>
        <w:t xml:space="preserve"> sobre el tema</w:t>
      </w:r>
      <w:r w:rsidR="0011096C" w:rsidRPr="00CB543A">
        <w:rPr>
          <w:rFonts w:ascii="Times New Roman" w:hAnsi="Times New Roman" w:cs="Times New Roman"/>
          <w:sz w:val="28"/>
          <w:szCs w:val="28"/>
        </w:rPr>
        <w:t xml:space="preserve"> en comento, ha </w:t>
      </w:r>
      <w:r w:rsidR="00D1151E" w:rsidRPr="00CB543A">
        <w:rPr>
          <w:rFonts w:ascii="Times New Roman" w:hAnsi="Times New Roman" w:cs="Times New Roman"/>
          <w:sz w:val="28"/>
          <w:szCs w:val="28"/>
        </w:rPr>
        <w:t>señalado lo siguiente</w:t>
      </w:r>
      <w:r w:rsidR="00F54F0F" w:rsidRPr="00CB543A">
        <w:rPr>
          <w:rFonts w:ascii="Times New Roman" w:hAnsi="Times New Roman" w:cs="Times New Roman"/>
          <w:sz w:val="28"/>
          <w:szCs w:val="28"/>
        </w:rPr>
        <w:t>:</w:t>
      </w:r>
    </w:p>
    <w:p w:rsidR="00F54F0F" w:rsidRPr="00CB543A" w:rsidRDefault="00F54F0F" w:rsidP="00CB543A">
      <w:pPr>
        <w:pStyle w:val="Prrafodelista"/>
        <w:widowControl w:val="0"/>
        <w:tabs>
          <w:tab w:val="left" w:pos="426"/>
        </w:tabs>
        <w:spacing w:after="0" w:line="240" w:lineRule="auto"/>
        <w:ind w:left="0"/>
        <w:jc w:val="both"/>
        <w:rPr>
          <w:rFonts w:ascii="Times New Roman" w:hAnsi="Times New Roman" w:cs="Times New Roman"/>
          <w:sz w:val="28"/>
          <w:szCs w:val="28"/>
        </w:rPr>
      </w:pPr>
    </w:p>
    <w:p w:rsidR="00F54F0F" w:rsidRPr="00CB543A" w:rsidRDefault="00F54F0F" w:rsidP="00CB543A">
      <w:pPr>
        <w:pStyle w:val="Prrafodelista"/>
        <w:widowControl w:val="0"/>
        <w:spacing w:after="0" w:line="240" w:lineRule="auto"/>
        <w:ind w:left="567" w:right="616"/>
        <w:jc w:val="both"/>
        <w:rPr>
          <w:rFonts w:ascii="Times New Roman" w:hAnsi="Times New Roman" w:cs="Times New Roman"/>
          <w:i/>
          <w:iCs/>
          <w:color w:val="auto"/>
          <w:sz w:val="28"/>
          <w:szCs w:val="28"/>
          <w:lang w:val="es-ES" w:eastAsia="es-ES_tradnl"/>
        </w:rPr>
      </w:pPr>
      <w:r w:rsidRPr="00CB543A">
        <w:rPr>
          <w:rFonts w:ascii="Times New Roman" w:hAnsi="Times New Roman" w:cs="Times New Roman"/>
          <w:i/>
          <w:color w:val="auto"/>
          <w:sz w:val="28"/>
          <w:szCs w:val="28"/>
          <w:lang w:val="es-ES" w:eastAsia="es-ES_tradnl"/>
        </w:rPr>
        <w:t>“</w:t>
      </w:r>
      <w:r w:rsidRPr="00CB543A">
        <w:rPr>
          <w:rFonts w:ascii="Times New Roman" w:hAnsi="Times New Roman" w:cs="Times New Roman"/>
          <w:i/>
          <w:iCs/>
          <w:color w:val="auto"/>
          <w:sz w:val="28"/>
          <w:szCs w:val="28"/>
          <w:lang w:val="es-ES" w:eastAsia="es-ES_tradnl"/>
        </w:rPr>
        <w:t xml:space="preserve">Es sabido que con los regímenes de transición especialmente creados para cuando se modifiquen los requisitos para acceder a los derechos pensionales, se ha buscado por el legislador no </w:t>
      </w:r>
      <w:r w:rsidRPr="00CB543A">
        <w:rPr>
          <w:rFonts w:ascii="Times New Roman" w:hAnsi="Times New Roman" w:cs="Times New Roman"/>
          <w:i/>
          <w:iCs/>
          <w:color w:val="auto"/>
          <w:sz w:val="28"/>
          <w:szCs w:val="28"/>
          <w:lang w:val="es-ES" w:eastAsia="es-ES_tradnl"/>
        </w:rPr>
        <w:lastRenderedPageBreak/>
        <w:t>afectar de manera grave las expectativas legítimas de quienes, al momento de producirse el cambio normativo, se hallaban más o menos próximos a consolidar el derecho.</w:t>
      </w:r>
    </w:p>
    <w:p w:rsidR="00F54F0F" w:rsidRPr="00CB543A" w:rsidRDefault="00F54F0F" w:rsidP="00CB543A">
      <w:pPr>
        <w:pStyle w:val="Prrafodelista"/>
        <w:widowControl w:val="0"/>
        <w:tabs>
          <w:tab w:val="left" w:pos="426"/>
        </w:tabs>
        <w:spacing w:after="0" w:line="240" w:lineRule="auto"/>
        <w:ind w:left="567" w:right="616"/>
        <w:jc w:val="both"/>
        <w:rPr>
          <w:rFonts w:ascii="Times New Roman" w:hAnsi="Times New Roman" w:cs="Times New Roman"/>
          <w:i/>
          <w:iCs/>
          <w:color w:val="auto"/>
          <w:sz w:val="28"/>
          <w:szCs w:val="28"/>
          <w:lang w:val="es-ES" w:eastAsia="es-ES_tradnl"/>
        </w:rPr>
      </w:pPr>
    </w:p>
    <w:p w:rsidR="00F54F0F" w:rsidRPr="00CB543A" w:rsidRDefault="00F54F0F" w:rsidP="00CB543A">
      <w:pPr>
        <w:pStyle w:val="Prrafodelista"/>
        <w:widowControl w:val="0"/>
        <w:tabs>
          <w:tab w:val="left" w:pos="426"/>
        </w:tabs>
        <w:spacing w:after="0" w:line="240" w:lineRule="auto"/>
        <w:ind w:left="567" w:right="616"/>
        <w:jc w:val="both"/>
        <w:rPr>
          <w:rFonts w:ascii="Times New Roman" w:hAnsi="Times New Roman" w:cs="Times New Roman"/>
          <w:i/>
          <w:iCs/>
          <w:color w:val="auto"/>
          <w:sz w:val="28"/>
          <w:szCs w:val="28"/>
          <w:lang w:val="es-ES" w:eastAsia="es-ES_tradnl"/>
        </w:rPr>
      </w:pPr>
      <w:r w:rsidRPr="00CB543A">
        <w:rPr>
          <w:rFonts w:ascii="Times New Roman" w:hAnsi="Times New Roman" w:cs="Times New Roman"/>
          <w:i/>
          <w:iCs/>
          <w:color w:val="auto"/>
          <w:sz w:val="28"/>
          <w:szCs w:val="28"/>
          <w:lang w:val="es-ES" w:eastAsia="es-ES_tradnl"/>
        </w:rPr>
        <w:t>Desde luego, esos regímenes pueden tener diferentes modalidades respecto de la utilización de la nueva preceptiva y la vigencia de las normas derogadas o modificadas, de ahí que no impliquen necesariamente la aplicación, en su integridad, de estas normas, que, por lo general, consagran beneficios más favorables al trabajador o al afiliado a la seguridad social. Ya la Corte Constitucional ha explicado, al referirse al artículo 36 de la Ley 100 de 1993, que goza el legislador de un amplio poder de configuración al momento de definir la protección que le otorgue a las expectativas de los ciudadanos, como las referidas a los derechos prestacionales.</w:t>
      </w:r>
    </w:p>
    <w:p w:rsidR="00F54F0F" w:rsidRPr="00CB543A" w:rsidRDefault="00F54F0F" w:rsidP="00CB543A">
      <w:pPr>
        <w:pStyle w:val="Prrafodelista"/>
        <w:widowControl w:val="0"/>
        <w:tabs>
          <w:tab w:val="left" w:pos="426"/>
        </w:tabs>
        <w:spacing w:after="0" w:line="240" w:lineRule="auto"/>
        <w:ind w:left="567" w:right="616"/>
        <w:jc w:val="both"/>
        <w:rPr>
          <w:rFonts w:ascii="Times New Roman" w:hAnsi="Times New Roman" w:cs="Times New Roman"/>
          <w:i/>
          <w:iCs/>
          <w:color w:val="auto"/>
          <w:sz w:val="28"/>
          <w:szCs w:val="28"/>
          <w:lang w:val="es-ES" w:eastAsia="es-ES_tradnl"/>
        </w:rPr>
      </w:pPr>
    </w:p>
    <w:p w:rsidR="00F54F0F" w:rsidRPr="00CB543A" w:rsidRDefault="00F54F0F" w:rsidP="00CB543A">
      <w:pPr>
        <w:pStyle w:val="Prrafodelista"/>
        <w:widowControl w:val="0"/>
        <w:tabs>
          <w:tab w:val="left" w:pos="426"/>
        </w:tabs>
        <w:spacing w:after="0" w:line="240" w:lineRule="auto"/>
        <w:ind w:left="567" w:right="616"/>
        <w:jc w:val="both"/>
        <w:rPr>
          <w:rFonts w:ascii="Times New Roman" w:hAnsi="Times New Roman" w:cs="Times New Roman"/>
          <w:bCs/>
          <w:i/>
          <w:sz w:val="28"/>
          <w:szCs w:val="28"/>
        </w:rPr>
      </w:pPr>
      <w:r w:rsidRPr="00CB543A">
        <w:rPr>
          <w:rFonts w:ascii="Times New Roman" w:hAnsi="Times New Roman" w:cs="Times New Roman"/>
          <w:i/>
          <w:iCs/>
          <w:color w:val="auto"/>
          <w:sz w:val="28"/>
          <w:szCs w:val="28"/>
          <w:lang w:val="es-ES" w:eastAsia="es-ES_tradnl"/>
        </w:rPr>
        <w:t>Precisamente con el régimen de transición pensional consagrado en el artículo 36 de la Ley 100 de 1993 no quiso el legislador mantener para los beneficiarios la aplicación en su totalidad de la normatividad que gobernaba sus derechos pensionales, sino solamente una parte de ella. Esta Sala de la Corte ha consolidado, por reiterado y pacífico, el criterio de que dicho régimen comporta para sus beneficiarios la aplicación de las normas legales anteriores a la vigencia del Sistema General de Pensiones, en tres puntuales aspectos: edad, tiempo de servicios o semanas cotizadas y monto de la pensión. Y que el tema de la base salarial de liquidación de la pensión no se rige por tales disposiciones legales, sino que pasa a ser regido, en principio, y para quienes les hacía falta menos de diez años para adquirir el derecho por el inciso 3º del artículo 36 citado (…)</w:t>
      </w:r>
      <w:r w:rsidRPr="00CB543A">
        <w:rPr>
          <w:rFonts w:ascii="Times New Roman" w:hAnsi="Times New Roman" w:cs="Times New Roman"/>
          <w:i/>
          <w:color w:val="auto"/>
          <w:sz w:val="28"/>
          <w:szCs w:val="28"/>
          <w:lang w:val="es-ES" w:eastAsia="es-ES_tradnl"/>
        </w:rPr>
        <w:t>”</w:t>
      </w:r>
      <w:r w:rsidRPr="00CB543A">
        <w:rPr>
          <w:rFonts w:ascii="Times New Roman" w:hAnsi="Times New Roman" w:cs="Times New Roman"/>
          <w:color w:val="auto"/>
          <w:sz w:val="28"/>
          <w:szCs w:val="28"/>
          <w:vertAlign w:val="superscript"/>
          <w:lang w:val="es-ES" w:eastAsia="es-ES_tradnl"/>
        </w:rPr>
        <w:footnoteReference w:id="87"/>
      </w:r>
      <w:r w:rsidR="00BD7251" w:rsidRPr="00CB543A">
        <w:rPr>
          <w:rFonts w:ascii="Times New Roman" w:hAnsi="Times New Roman" w:cs="Times New Roman"/>
          <w:i/>
          <w:color w:val="auto"/>
          <w:sz w:val="28"/>
          <w:szCs w:val="28"/>
          <w:lang w:val="es-ES" w:eastAsia="es-ES_tradnl"/>
        </w:rPr>
        <w:t>.</w:t>
      </w:r>
    </w:p>
    <w:p w:rsidR="00AF3724" w:rsidRPr="00CB543A" w:rsidRDefault="00AF3724" w:rsidP="00CB543A">
      <w:pPr>
        <w:pStyle w:val="Prrafodelista"/>
        <w:widowControl w:val="0"/>
        <w:tabs>
          <w:tab w:val="left" w:pos="426"/>
        </w:tabs>
        <w:spacing w:after="0" w:line="240" w:lineRule="auto"/>
        <w:ind w:left="0"/>
        <w:jc w:val="both"/>
        <w:rPr>
          <w:rFonts w:ascii="Times New Roman" w:hAnsi="Times New Roman" w:cs="Times New Roman"/>
          <w:b/>
          <w:sz w:val="28"/>
          <w:szCs w:val="28"/>
        </w:rPr>
      </w:pPr>
    </w:p>
    <w:p w:rsidR="00C97AB2" w:rsidRPr="00CB543A" w:rsidRDefault="00C97AB2" w:rsidP="00CB543A">
      <w:pPr>
        <w:pStyle w:val="Prrafodelista"/>
        <w:widowControl w:val="0"/>
        <w:numPr>
          <w:ilvl w:val="0"/>
          <w:numId w:val="32"/>
        </w:numPr>
        <w:tabs>
          <w:tab w:val="left" w:pos="426"/>
        </w:tabs>
        <w:spacing w:after="0" w:line="240" w:lineRule="auto"/>
        <w:ind w:left="0"/>
        <w:jc w:val="both"/>
        <w:rPr>
          <w:rFonts w:ascii="Times New Roman" w:hAnsi="Times New Roman" w:cs="Times New Roman"/>
          <w:b/>
          <w:sz w:val="28"/>
          <w:szCs w:val="28"/>
        </w:rPr>
      </w:pPr>
      <w:r w:rsidRPr="00CB543A">
        <w:rPr>
          <w:rFonts w:ascii="Times New Roman" w:hAnsi="Times New Roman" w:cs="Times New Roman"/>
          <w:sz w:val="28"/>
          <w:szCs w:val="28"/>
        </w:rPr>
        <w:t>Esta tesis ha sido reiterada</w:t>
      </w:r>
      <w:r w:rsidR="00BD7251" w:rsidRPr="00CB543A">
        <w:rPr>
          <w:rFonts w:ascii="Times New Roman" w:hAnsi="Times New Roman" w:cs="Times New Roman"/>
          <w:sz w:val="28"/>
          <w:szCs w:val="28"/>
        </w:rPr>
        <w:t>,</w:t>
      </w:r>
      <w:r w:rsidRPr="00CB543A">
        <w:rPr>
          <w:rFonts w:ascii="Times New Roman" w:hAnsi="Times New Roman" w:cs="Times New Roman"/>
          <w:sz w:val="28"/>
          <w:szCs w:val="28"/>
        </w:rPr>
        <w:t xml:space="preserve"> de forma pacífica y uniforme</w:t>
      </w:r>
      <w:r w:rsidR="00BD7251" w:rsidRPr="00CB543A">
        <w:rPr>
          <w:rFonts w:ascii="Times New Roman" w:hAnsi="Times New Roman" w:cs="Times New Roman"/>
          <w:sz w:val="28"/>
          <w:szCs w:val="28"/>
        </w:rPr>
        <w:t>,</w:t>
      </w:r>
      <w:r w:rsidRPr="00CB543A">
        <w:rPr>
          <w:rFonts w:ascii="Times New Roman" w:hAnsi="Times New Roman" w:cs="Times New Roman"/>
          <w:sz w:val="28"/>
          <w:szCs w:val="28"/>
        </w:rPr>
        <w:t xml:space="preserve"> desde </w:t>
      </w:r>
      <w:r w:rsidR="001D5A45" w:rsidRPr="00CB543A">
        <w:rPr>
          <w:rFonts w:ascii="Times New Roman" w:hAnsi="Times New Roman" w:cs="Times New Roman"/>
          <w:sz w:val="28"/>
          <w:szCs w:val="28"/>
        </w:rPr>
        <w:t>junio del año 2000 (exp. 13336)</w:t>
      </w:r>
      <w:r w:rsidR="00BD7251" w:rsidRPr="00CB543A">
        <w:rPr>
          <w:rFonts w:ascii="Times New Roman" w:hAnsi="Times New Roman" w:cs="Times New Roman"/>
          <w:sz w:val="28"/>
          <w:szCs w:val="28"/>
        </w:rPr>
        <w:t>.</w:t>
      </w:r>
      <w:r w:rsidR="001D5A45" w:rsidRPr="00CB543A">
        <w:rPr>
          <w:rFonts w:ascii="Times New Roman" w:hAnsi="Times New Roman" w:cs="Times New Roman"/>
          <w:sz w:val="28"/>
          <w:szCs w:val="28"/>
        </w:rPr>
        <w:t xml:space="preserve"> </w:t>
      </w:r>
      <w:r w:rsidR="00BD7251" w:rsidRPr="00CB543A">
        <w:rPr>
          <w:rFonts w:ascii="Times New Roman" w:hAnsi="Times New Roman" w:cs="Times New Roman"/>
          <w:sz w:val="28"/>
          <w:szCs w:val="28"/>
        </w:rPr>
        <w:t>S</w:t>
      </w:r>
      <w:r w:rsidR="001D5A45" w:rsidRPr="00CB543A">
        <w:rPr>
          <w:rFonts w:ascii="Times New Roman" w:hAnsi="Times New Roman" w:cs="Times New Roman"/>
          <w:sz w:val="28"/>
          <w:szCs w:val="28"/>
        </w:rPr>
        <w:t>us bases se cimentaron entre 1997 (exp. 20223),</w:t>
      </w:r>
      <w:r w:rsidR="00AF3724" w:rsidRPr="00CB543A">
        <w:rPr>
          <w:rFonts w:ascii="Times New Roman" w:hAnsi="Times New Roman" w:cs="Times New Roman"/>
          <w:sz w:val="28"/>
          <w:szCs w:val="28"/>
        </w:rPr>
        <w:t xml:space="preserve"> </w:t>
      </w:r>
      <w:r w:rsidR="001D5A45" w:rsidRPr="00CB543A">
        <w:rPr>
          <w:rFonts w:ascii="Times New Roman" w:hAnsi="Times New Roman" w:cs="Times New Roman"/>
          <w:sz w:val="28"/>
          <w:szCs w:val="28"/>
        </w:rPr>
        <w:t>1998 (exp. 11128) y 1999 (exp. 11455)</w:t>
      </w:r>
      <w:r w:rsidRPr="00CB543A">
        <w:rPr>
          <w:rFonts w:ascii="Times New Roman" w:hAnsi="Times New Roman" w:cs="Times New Roman"/>
          <w:sz w:val="28"/>
          <w:szCs w:val="28"/>
        </w:rPr>
        <w:t xml:space="preserve">, y se </w:t>
      </w:r>
      <w:r w:rsidR="00BD7251" w:rsidRPr="00CB543A">
        <w:rPr>
          <w:rFonts w:ascii="Times New Roman" w:hAnsi="Times New Roman" w:cs="Times New Roman"/>
          <w:sz w:val="28"/>
          <w:szCs w:val="28"/>
        </w:rPr>
        <w:t xml:space="preserve">ha reiterado, entre otras, </w:t>
      </w:r>
      <w:r w:rsidRPr="00CB543A">
        <w:rPr>
          <w:rFonts w:ascii="Times New Roman" w:hAnsi="Times New Roman" w:cs="Times New Roman"/>
          <w:sz w:val="28"/>
          <w:szCs w:val="28"/>
        </w:rPr>
        <w:t xml:space="preserve">en las sentencias del </w:t>
      </w:r>
      <w:r w:rsidR="001D5A45" w:rsidRPr="00CB543A">
        <w:rPr>
          <w:rFonts w:ascii="Times New Roman" w:hAnsi="Times New Roman" w:cs="Times New Roman"/>
          <w:sz w:val="28"/>
          <w:szCs w:val="28"/>
        </w:rPr>
        <w:t xml:space="preserve">5 de marzo de 2003 (exp. 19663), 27 de junio de 2004 (exp. 22226), </w:t>
      </w:r>
      <w:r w:rsidR="000C6EAA" w:rsidRPr="00CB543A">
        <w:rPr>
          <w:rFonts w:ascii="Times New Roman" w:hAnsi="Times New Roman" w:cs="Times New Roman"/>
          <w:sz w:val="28"/>
          <w:szCs w:val="28"/>
        </w:rPr>
        <w:t xml:space="preserve">2 de septiembre de 2008 (exp. 33578), </w:t>
      </w:r>
      <w:r w:rsidR="00BD7251" w:rsidRPr="00CB543A">
        <w:rPr>
          <w:rFonts w:ascii="Times New Roman" w:hAnsi="Times New Roman" w:cs="Times New Roman"/>
          <w:sz w:val="28"/>
          <w:szCs w:val="28"/>
        </w:rPr>
        <w:t xml:space="preserve">17 de octubre de 2008 (exp. 33343), </w:t>
      </w:r>
      <w:r w:rsidR="000C6EAA" w:rsidRPr="00CB543A">
        <w:rPr>
          <w:rFonts w:ascii="Times New Roman" w:hAnsi="Times New Roman" w:cs="Times New Roman"/>
          <w:sz w:val="28"/>
          <w:szCs w:val="28"/>
        </w:rPr>
        <w:t>24 de febrero de 2009 (exp. 31711)</w:t>
      </w:r>
      <w:r w:rsidR="001D5A45" w:rsidRPr="00CB543A">
        <w:rPr>
          <w:rFonts w:ascii="Times New Roman" w:hAnsi="Times New Roman" w:cs="Times New Roman"/>
          <w:sz w:val="28"/>
          <w:szCs w:val="28"/>
        </w:rPr>
        <w:t xml:space="preserve"> y, recientemente, del 14 de marzo de 2018 (exp. 571960)</w:t>
      </w:r>
      <w:r w:rsidRPr="00CB543A">
        <w:rPr>
          <w:rFonts w:ascii="Times New Roman" w:hAnsi="Times New Roman" w:cs="Times New Roman"/>
          <w:sz w:val="28"/>
          <w:szCs w:val="28"/>
        </w:rPr>
        <w:t>.</w:t>
      </w:r>
      <w:r w:rsidR="00AF3724" w:rsidRPr="00CB543A">
        <w:rPr>
          <w:rFonts w:ascii="Times New Roman" w:hAnsi="Times New Roman" w:cs="Times New Roman"/>
          <w:sz w:val="28"/>
          <w:szCs w:val="28"/>
        </w:rPr>
        <w:t xml:space="preserve"> </w:t>
      </w:r>
      <w:r w:rsidR="001D5A45" w:rsidRPr="00CB543A">
        <w:rPr>
          <w:rFonts w:ascii="Times New Roman" w:hAnsi="Times New Roman" w:cs="Times New Roman"/>
          <w:sz w:val="28"/>
          <w:szCs w:val="28"/>
        </w:rPr>
        <w:t xml:space="preserve">Esa fue, precisamente, la tesis que se expuso en la sentencia cuestionada </w:t>
      </w:r>
      <w:r w:rsidR="001D5A45" w:rsidRPr="00CB543A">
        <w:rPr>
          <w:rFonts w:ascii="Times New Roman" w:hAnsi="Times New Roman" w:cs="Times New Roman"/>
          <w:sz w:val="28"/>
          <w:szCs w:val="28"/>
          <w:lang w:val="es-US"/>
        </w:rPr>
        <w:t>para resolver el recurso de casación interpuesto por el accionante.</w:t>
      </w:r>
      <w:r w:rsidRPr="00CB543A">
        <w:rPr>
          <w:rFonts w:ascii="Times New Roman" w:hAnsi="Times New Roman" w:cs="Times New Roman"/>
          <w:i/>
          <w:sz w:val="28"/>
          <w:szCs w:val="28"/>
        </w:rPr>
        <w:t xml:space="preserve"> </w:t>
      </w:r>
    </w:p>
    <w:p w:rsidR="00C97AB2" w:rsidRPr="00CB543A" w:rsidRDefault="00C97AB2" w:rsidP="00CB543A">
      <w:pPr>
        <w:pStyle w:val="Prrafodelista"/>
        <w:widowControl w:val="0"/>
        <w:tabs>
          <w:tab w:val="left" w:pos="426"/>
        </w:tabs>
        <w:spacing w:after="0" w:line="240" w:lineRule="auto"/>
        <w:ind w:left="0"/>
        <w:jc w:val="both"/>
        <w:rPr>
          <w:rFonts w:ascii="Times New Roman" w:hAnsi="Times New Roman" w:cs="Times New Roman"/>
          <w:sz w:val="28"/>
          <w:szCs w:val="28"/>
        </w:rPr>
      </w:pPr>
    </w:p>
    <w:p w:rsidR="00B46506" w:rsidRPr="00CB543A" w:rsidRDefault="00AF3724" w:rsidP="00CB543A">
      <w:pPr>
        <w:pStyle w:val="Prrafodelista"/>
        <w:widowControl w:val="0"/>
        <w:numPr>
          <w:ilvl w:val="0"/>
          <w:numId w:val="32"/>
        </w:numPr>
        <w:tabs>
          <w:tab w:val="left" w:pos="426"/>
        </w:tabs>
        <w:spacing w:after="0" w:line="240" w:lineRule="auto"/>
        <w:ind w:left="0"/>
        <w:jc w:val="both"/>
        <w:rPr>
          <w:rFonts w:ascii="Times New Roman" w:hAnsi="Times New Roman" w:cs="Times New Roman"/>
          <w:b/>
          <w:sz w:val="28"/>
          <w:szCs w:val="28"/>
        </w:rPr>
      </w:pPr>
      <w:r w:rsidRPr="00CB543A">
        <w:rPr>
          <w:rFonts w:ascii="Times New Roman" w:hAnsi="Times New Roman" w:cs="Times New Roman"/>
          <w:sz w:val="28"/>
          <w:szCs w:val="28"/>
        </w:rPr>
        <w:t xml:space="preserve">Las otras Salas de Casación de la Corte Suprema de Justicia, al actuar como jueces de tutela, han sostenido la misma tesis </w:t>
      </w:r>
      <w:r w:rsidR="009E4D6E" w:rsidRPr="00CB543A">
        <w:rPr>
          <w:rFonts w:ascii="Times New Roman" w:hAnsi="Times New Roman" w:cs="Times New Roman"/>
          <w:sz w:val="28"/>
          <w:szCs w:val="28"/>
        </w:rPr>
        <w:t>de la Sala de Casación Laboral</w:t>
      </w:r>
      <w:r w:rsidRPr="00CB543A">
        <w:rPr>
          <w:rFonts w:ascii="Times New Roman" w:hAnsi="Times New Roman" w:cs="Times New Roman"/>
          <w:sz w:val="28"/>
          <w:szCs w:val="28"/>
        </w:rPr>
        <w:t xml:space="preserve">. De lo anterior dan cuenta </w:t>
      </w:r>
      <w:r w:rsidR="009E4D6E" w:rsidRPr="00CB543A">
        <w:rPr>
          <w:rFonts w:ascii="Times New Roman" w:hAnsi="Times New Roman" w:cs="Times New Roman"/>
          <w:sz w:val="28"/>
          <w:szCs w:val="28"/>
        </w:rPr>
        <w:t xml:space="preserve">los fallos del 1 de febrero </w:t>
      </w:r>
      <w:r w:rsidRPr="00CB543A">
        <w:rPr>
          <w:rFonts w:ascii="Times New Roman" w:hAnsi="Times New Roman" w:cs="Times New Roman"/>
          <w:sz w:val="28"/>
          <w:szCs w:val="28"/>
        </w:rPr>
        <w:t xml:space="preserve">y del </w:t>
      </w:r>
      <w:r w:rsidR="009E4D6E" w:rsidRPr="00CB543A">
        <w:rPr>
          <w:rFonts w:ascii="Times New Roman" w:hAnsi="Times New Roman" w:cs="Times New Roman"/>
          <w:sz w:val="28"/>
          <w:szCs w:val="28"/>
        </w:rPr>
        <w:t>22 de marzo de 2018</w:t>
      </w:r>
      <w:r w:rsidR="00B23A8B" w:rsidRPr="00CB543A">
        <w:rPr>
          <w:rStyle w:val="Refdenotaalpie"/>
          <w:rFonts w:ascii="Times New Roman" w:hAnsi="Times New Roman" w:cs="Times New Roman"/>
          <w:sz w:val="28"/>
          <w:szCs w:val="28"/>
        </w:rPr>
        <w:footnoteReference w:id="88"/>
      </w:r>
      <w:r w:rsidRPr="00CB543A">
        <w:rPr>
          <w:rFonts w:ascii="Times New Roman" w:hAnsi="Times New Roman" w:cs="Times New Roman"/>
          <w:sz w:val="28"/>
          <w:szCs w:val="28"/>
        </w:rPr>
        <w:t>,</w:t>
      </w:r>
      <w:r w:rsidR="009E4D6E" w:rsidRPr="00CB543A">
        <w:rPr>
          <w:rFonts w:ascii="Times New Roman" w:hAnsi="Times New Roman" w:cs="Times New Roman"/>
          <w:sz w:val="28"/>
          <w:szCs w:val="28"/>
        </w:rPr>
        <w:t xml:space="preserve"> dictados por las </w:t>
      </w:r>
      <w:r w:rsidRPr="00CB543A">
        <w:rPr>
          <w:rFonts w:ascii="Times New Roman" w:hAnsi="Times New Roman" w:cs="Times New Roman"/>
          <w:sz w:val="28"/>
          <w:szCs w:val="28"/>
        </w:rPr>
        <w:t>Sala</w:t>
      </w:r>
      <w:r w:rsidR="009E4D6E" w:rsidRPr="00CB543A">
        <w:rPr>
          <w:rFonts w:ascii="Times New Roman" w:hAnsi="Times New Roman" w:cs="Times New Roman"/>
          <w:sz w:val="28"/>
          <w:szCs w:val="28"/>
        </w:rPr>
        <w:t>s</w:t>
      </w:r>
      <w:r w:rsidRPr="00CB543A">
        <w:rPr>
          <w:rFonts w:ascii="Times New Roman" w:hAnsi="Times New Roman" w:cs="Times New Roman"/>
          <w:sz w:val="28"/>
          <w:szCs w:val="28"/>
        </w:rPr>
        <w:t xml:space="preserve"> </w:t>
      </w:r>
      <w:r w:rsidR="009E4D6E" w:rsidRPr="00CB543A">
        <w:rPr>
          <w:rFonts w:ascii="Times New Roman" w:hAnsi="Times New Roman" w:cs="Times New Roman"/>
          <w:sz w:val="28"/>
          <w:szCs w:val="28"/>
        </w:rPr>
        <w:t xml:space="preserve">Penal y </w:t>
      </w:r>
      <w:r w:rsidRPr="00CB543A">
        <w:rPr>
          <w:rFonts w:ascii="Times New Roman" w:hAnsi="Times New Roman" w:cs="Times New Roman"/>
          <w:sz w:val="28"/>
          <w:szCs w:val="28"/>
        </w:rPr>
        <w:t>Civil y de Familia</w:t>
      </w:r>
      <w:r w:rsidR="009E4D6E" w:rsidRPr="00CB543A">
        <w:rPr>
          <w:rFonts w:ascii="Times New Roman" w:hAnsi="Times New Roman" w:cs="Times New Roman"/>
          <w:sz w:val="28"/>
          <w:szCs w:val="28"/>
        </w:rPr>
        <w:t xml:space="preserve">, a </w:t>
      </w:r>
      <w:r w:rsidR="00BD7251" w:rsidRPr="00CB543A">
        <w:rPr>
          <w:rFonts w:ascii="Times New Roman" w:hAnsi="Times New Roman" w:cs="Times New Roman"/>
          <w:sz w:val="28"/>
          <w:szCs w:val="28"/>
        </w:rPr>
        <w:t>las que les correspondió</w:t>
      </w:r>
      <w:r w:rsidR="009E4D6E" w:rsidRPr="00CB543A">
        <w:rPr>
          <w:rFonts w:ascii="Times New Roman" w:hAnsi="Times New Roman" w:cs="Times New Roman"/>
          <w:sz w:val="28"/>
          <w:szCs w:val="28"/>
        </w:rPr>
        <w:t xml:space="preserve"> conocer </w:t>
      </w:r>
      <w:r w:rsidR="00B23A8B" w:rsidRPr="00CB543A">
        <w:rPr>
          <w:rFonts w:ascii="Times New Roman" w:hAnsi="Times New Roman" w:cs="Times New Roman"/>
          <w:sz w:val="28"/>
          <w:szCs w:val="28"/>
        </w:rPr>
        <w:t xml:space="preserve">en primera y segunda instancia, respectivamente, </w:t>
      </w:r>
      <w:r w:rsidR="009E4D6E" w:rsidRPr="00CB543A">
        <w:rPr>
          <w:rFonts w:ascii="Times New Roman" w:hAnsi="Times New Roman" w:cs="Times New Roman"/>
          <w:sz w:val="28"/>
          <w:szCs w:val="28"/>
        </w:rPr>
        <w:t xml:space="preserve">las demandas de amparo interpuestas contra la Sala de Casación Laboral, </w:t>
      </w:r>
      <w:r w:rsidR="00B23A8B" w:rsidRPr="00CB543A">
        <w:rPr>
          <w:rFonts w:ascii="Times New Roman" w:hAnsi="Times New Roman" w:cs="Times New Roman"/>
          <w:sz w:val="28"/>
          <w:szCs w:val="28"/>
        </w:rPr>
        <w:t xml:space="preserve">según el </w:t>
      </w:r>
      <w:r w:rsidR="009E4D6E" w:rsidRPr="00CB543A">
        <w:rPr>
          <w:rFonts w:ascii="Times New Roman" w:hAnsi="Times New Roman" w:cs="Times New Roman"/>
          <w:sz w:val="28"/>
          <w:szCs w:val="28"/>
        </w:rPr>
        <w:t xml:space="preserve">Decreto 1382 del 2000, modificado por el Decreto </w:t>
      </w:r>
      <w:r w:rsidR="00B23A8B" w:rsidRPr="00CB543A">
        <w:rPr>
          <w:rFonts w:ascii="Times New Roman" w:hAnsi="Times New Roman" w:cs="Times New Roman"/>
          <w:sz w:val="28"/>
          <w:szCs w:val="28"/>
        </w:rPr>
        <w:t>1983 de noviembre de 2017.</w:t>
      </w:r>
    </w:p>
    <w:p w:rsidR="00B46506" w:rsidRPr="00CB543A" w:rsidRDefault="00B46506" w:rsidP="00CB543A">
      <w:pPr>
        <w:pStyle w:val="Prrafodelista"/>
        <w:widowControl w:val="0"/>
        <w:tabs>
          <w:tab w:val="left" w:pos="426"/>
        </w:tabs>
        <w:spacing w:after="0" w:line="240" w:lineRule="auto"/>
        <w:ind w:left="0"/>
        <w:jc w:val="both"/>
        <w:rPr>
          <w:rFonts w:ascii="Times New Roman" w:hAnsi="Times New Roman" w:cs="Times New Roman"/>
          <w:b/>
          <w:sz w:val="28"/>
          <w:szCs w:val="28"/>
        </w:rPr>
      </w:pPr>
    </w:p>
    <w:p w:rsidR="00B46506" w:rsidRPr="00CB543A" w:rsidRDefault="0030513D" w:rsidP="00CB543A">
      <w:pPr>
        <w:pStyle w:val="Prrafodelista"/>
        <w:widowControl w:val="0"/>
        <w:numPr>
          <w:ilvl w:val="3"/>
          <w:numId w:val="11"/>
        </w:numPr>
        <w:spacing w:after="0" w:line="240" w:lineRule="auto"/>
        <w:ind w:left="0" w:firstLine="0"/>
        <w:jc w:val="both"/>
        <w:rPr>
          <w:rFonts w:ascii="Times New Roman" w:hAnsi="Times New Roman" w:cs="Times New Roman"/>
          <w:b/>
          <w:sz w:val="28"/>
          <w:szCs w:val="28"/>
        </w:rPr>
      </w:pPr>
      <w:r w:rsidRPr="00CB543A">
        <w:rPr>
          <w:rFonts w:ascii="Times New Roman" w:hAnsi="Times New Roman" w:cs="Times New Roman"/>
          <w:b/>
          <w:sz w:val="28"/>
          <w:szCs w:val="28"/>
        </w:rPr>
        <w:t>Consejo de Estado</w:t>
      </w:r>
    </w:p>
    <w:p w:rsidR="0030513D" w:rsidRPr="00CB543A" w:rsidRDefault="0030513D" w:rsidP="00CB543A">
      <w:pPr>
        <w:widowControl w:val="0"/>
        <w:tabs>
          <w:tab w:val="left" w:pos="426"/>
        </w:tabs>
        <w:spacing w:after="0" w:line="240" w:lineRule="auto"/>
        <w:jc w:val="both"/>
        <w:rPr>
          <w:rFonts w:ascii="Times New Roman" w:hAnsi="Times New Roman" w:cs="Times New Roman"/>
          <w:b/>
          <w:sz w:val="28"/>
          <w:szCs w:val="28"/>
        </w:rPr>
      </w:pPr>
    </w:p>
    <w:p w:rsidR="001B38D5" w:rsidRPr="00CB543A" w:rsidRDefault="00C07BC6" w:rsidP="00CB543A">
      <w:pPr>
        <w:pStyle w:val="Prrafodelista"/>
        <w:widowControl w:val="0"/>
        <w:numPr>
          <w:ilvl w:val="0"/>
          <w:numId w:val="32"/>
        </w:numPr>
        <w:tabs>
          <w:tab w:val="left" w:pos="426"/>
        </w:tabs>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 xml:space="preserve">Para el </w:t>
      </w:r>
      <w:r w:rsidR="0030513D" w:rsidRPr="00CB543A">
        <w:rPr>
          <w:rFonts w:ascii="Times New Roman" w:hAnsi="Times New Roman" w:cs="Times New Roman"/>
          <w:sz w:val="28"/>
          <w:szCs w:val="28"/>
        </w:rPr>
        <w:t>Consejo de Estado</w:t>
      </w:r>
      <w:r w:rsidR="00947F38" w:rsidRPr="00CB543A">
        <w:rPr>
          <w:rFonts w:ascii="Times New Roman" w:hAnsi="Times New Roman" w:cs="Times New Roman"/>
          <w:sz w:val="28"/>
          <w:szCs w:val="28"/>
        </w:rPr>
        <w:t xml:space="preserve">, al igual que </w:t>
      </w:r>
      <w:r w:rsidRPr="00CB543A">
        <w:rPr>
          <w:rFonts w:ascii="Times New Roman" w:hAnsi="Times New Roman" w:cs="Times New Roman"/>
          <w:sz w:val="28"/>
          <w:szCs w:val="28"/>
        </w:rPr>
        <w:t xml:space="preserve">para </w:t>
      </w:r>
      <w:r w:rsidR="00947F38" w:rsidRPr="00CB543A">
        <w:rPr>
          <w:rFonts w:ascii="Times New Roman" w:hAnsi="Times New Roman" w:cs="Times New Roman"/>
          <w:sz w:val="28"/>
          <w:szCs w:val="28"/>
        </w:rPr>
        <w:t xml:space="preserve">la Corte Suprema de Justicia, </w:t>
      </w:r>
      <w:r w:rsidR="001B38D5" w:rsidRPr="00CB543A">
        <w:rPr>
          <w:rFonts w:ascii="Times New Roman" w:hAnsi="Times New Roman" w:cs="Times New Roman"/>
          <w:sz w:val="28"/>
          <w:szCs w:val="28"/>
        </w:rPr>
        <w:t>los elementos esenciales del régimen de transición</w:t>
      </w:r>
      <w:r w:rsidR="00BD7251" w:rsidRPr="00CB543A">
        <w:rPr>
          <w:rFonts w:ascii="Times New Roman" w:hAnsi="Times New Roman" w:cs="Times New Roman"/>
          <w:sz w:val="28"/>
          <w:szCs w:val="28"/>
        </w:rPr>
        <w:t>,</w:t>
      </w:r>
      <w:r w:rsidR="001B38D5" w:rsidRPr="00CB543A">
        <w:rPr>
          <w:rFonts w:ascii="Times New Roman" w:hAnsi="Times New Roman" w:cs="Times New Roman"/>
          <w:sz w:val="28"/>
          <w:szCs w:val="28"/>
        </w:rPr>
        <w:t xml:space="preserve"> de que trata el </w:t>
      </w:r>
      <w:r w:rsidR="004F6C1D" w:rsidRPr="00CB543A">
        <w:rPr>
          <w:rFonts w:ascii="Times New Roman" w:hAnsi="Times New Roman" w:cs="Times New Roman"/>
          <w:sz w:val="28"/>
          <w:szCs w:val="28"/>
        </w:rPr>
        <w:t>artículo 36 de la Ley 100 de 1993</w:t>
      </w:r>
      <w:r w:rsidR="001B38D5" w:rsidRPr="00CB543A">
        <w:rPr>
          <w:rFonts w:ascii="Times New Roman" w:hAnsi="Times New Roman" w:cs="Times New Roman"/>
          <w:sz w:val="28"/>
          <w:szCs w:val="28"/>
        </w:rPr>
        <w:t xml:space="preserve">, son </w:t>
      </w:r>
      <w:r w:rsidR="004F6C1D" w:rsidRPr="00CB543A">
        <w:rPr>
          <w:rFonts w:ascii="Times New Roman" w:hAnsi="Times New Roman" w:cs="Times New Roman"/>
          <w:sz w:val="28"/>
          <w:szCs w:val="28"/>
        </w:rPr>
        <w:t>la edad, el tiempo de servicios y el monto de la pensión</w:t>
      </w:r>
      <w:r w:rsidR="001B38D5" w:rsidRPr="00CB543A">
        <w:rPr>
          <w:rFonts w:ascii="Times New Roman" w:hAnsi="Times New Roman" w:cs="Times New Roman"/>
          <w:sz w:val="28"/>
          <w:szCs w:val="28"/>
        </w:rPr>
        <w:t>. Inicialmente,</w:t>
      </w:r>
      <w:r w:rsidR="004F6C1D" w:rsidRPr="00CB543A">
        <w:rPr>
          <w:rFonts w:ascii="Times New Roman" w:hAnsi="Times New Roman" w:cs="Times New Roman"/>
          <w:sz w:val="28"/>
          <w:szCs w:val="28"/>
        </w:rPr>
        <w:t xml:space="preserve"> </w:t>
      </w:r>
      <w:r w:rsidR="00BA2F65" w:rsidRPr="00CB543A">
        <w:rPr>
          <w:rFonts w:ascii="Times New Roman" w:hAnsi="Times New Roman" w:cs="Times New Roman"/>
          <w:sz w:val="28"/>
          <w:szCs w:val="28"/>
        </w:rPr>
        <w:t xml:space="preserve">con fundamento </w:t>
      </w:r>
      <w:r w:rsidR="004F6C1D" w:rsidRPr="00CB543A">
        <w:rPr>
          <w:rFonts w:ascii="Times New Roman" w:hAnsi="Times New Roman" w:cs="Times New Roman"/>
          <w:sz w:val="28"/>
          <w:szCs w:val="28"/>
        </w:rPr>
        <w:t xml:space="preserve">en una interpretación que luego consideró exegética, </w:t>
      </w:r>
      <w:r w:rsidR="00BA2F65" w:rsidRPr="00CB543A">
        <w:rPr>
          <w:rFonts w:ascii="Times New Roman" w:hAnsi="Times New Roman" w:cs="Times New Roman"/>
          <w:sz w:val="28"/>
          <w:szCs w:val="28"/>
        </w:rPr>
        <w:t xml:space="preserve">consideró </w:t>
      </w:r>
      <w:r w:rsidR="001B38D5" w:rsidRPr="00CB543A">
        <w:rPr>
          <w:rFonts w:ascii="Times New Roman" w:hAnsi="Times New Roman" w:cs="Times New Roman"/>
          <w:sz w:val="28"/>
          <w:szCs w:val="28"/>
        </w:rPr>
        <w:t>que el IBL era un factor que no estaba</w:t>
      </w:r>
      <w:r w:rsidR="004F6C1D" w:rsidRPr="00CB543A">
        <w:rPr>
          <w:rFonts w:ascii="Times New Roman" w:hAnsi="Times New Roman" w:cs="Times New Roman"/>
          <w:sz w:val="28"/>
          <w:szCs w:val="28"/>
        </w:rPr>
        <w:t xml:space="preserve"> </w:t>
      </w:r>
      <w:r w:rsidR="003653A7" w:rsidRPr="00CB543A">
        <w:rPr>
          <w:rFonts w:ascii="Times New Roman" w:hAnsi="Times New Roman" w:cs="Times New Roman"/>
          <w:sz w:val="28"/>
          <w:szCs w:val="28"/>
        </w:rPr>
        <w:t>regulado por el régimen de transición</w:t>
      </w:r>
      <w:r w:rsidR="004F6C1D" w:rsidRPr="00CB543A">
        <w:rPr>
          <w:rFonts w:ascii="Times New Roman" w:hAnsi="Times New Roman" w:cs="Times New Roman"/>
          <w:sz w:val="28"/>
          <w:szCs w:val="28"/>
        </w:rPr>
        <w:t xml:space="preserve">. Posteriormente, </w:t>
      </w:r>
      <w:r w:rsidR="00BA2F65" w:rsidRPr="00CB543A">
        <w:rPr>
          <w:rFonts w:ascii="Times New Roman" w:hAnsi="Times New Roman" w:cs="Times New Roman"/>
          <w:sz w:val="28"/>
          <w:szCs w:val="28"/>
        </w:rPr>
        <w:t xml:space="preserve">a partir de razones de </w:t>
      </w:r>
      <w:r w:rsidR="004F6C1D" w:rsidRPr="00CB543A">
        <w:rPr>
          <w:rFonts w:ascii="Times New Roman" w:hAnsi="Times New Roman" w:cs="Times New Roman"/>
          <w:sz w:val="28"/>
          <w:szCs w:val="28"/>
        </w:rPr>
        <w:t xml:space="preserve">favorabilidad </w:t>
      </w:r>
      <w:r w:rsidR="003653A7" w:rsidRPr="00CB543A">
        <w:rPr>
          <w:rFonts w:ascii="Times New Roman" w:hAnsi="Times New Roman" w:cs="Times New Roman"/>
          <w:sz w:val="28"/>
          <w:szCs w:val="28"/>
        </w:rPr>
        <w:t xml:space="preserve">laboral </w:t>
      </w:r>
      <w:r w:rsidR="001917C4" w:rsidRPr="00CB543A">
        <w:rPr>
          <w:rFonts w:ascii="Times New Roman" w:hAnsi="Times New Roman" w:cs="Times New Roman"/>
          <w:sz w:val="28"/>
          <w:szCs w:val="28"/>
        </w:rPr>
        <w:t>y del efecto útil de las normas</w:t>
      </w:r>
      <w:r w:rsidR="003653A7" w:rsidRPr="00CB543A">
        <w:rPr>
          <w:rFonts w:ascii="Times New Roman" w:hAnsi="Times New Roman" w:cs="Times New Roman"/>
          <w:sz w:val="28"/>
          <w:szCs w:val="28"/>
        </w:rPr>
        <w:t xml:space="preserve">, </w:t>
      </w:r>
      <w:r w:rsidR="004F6C1D" w:rsidRPr="00CB543A">
        <w:rPr>
          <w:rFonts w:ascii="Times New Roman" w:hAnsi="Times New Roman" w:cs="Times New Roman"/>
          <w:sz w:val="28"/>
          <w:szCs w:val="28"/>
        </w:rPr>
        <w:t>cambió su jurisprudencia y asumi</w:t>
      </w:r>
      <w:r w:rsidR="003653A7" w:rsidRPr="00CB543A">
        <w:rPr>
          <w:rFonts w:ascii="Times New Roman" w:hAnsi="Times New Roman" w:cs="Times New Roman"/>
          <w:sz w:val="28"/>
          <w:szCs w:val="28"/>
        </w:rPr>
        <w:t xml:space="preserve">ó que </w:t>
      </w:r>
      <w:r w:rsidR="002B54B5" w:rsidRPr="00CB543A">
        <w:rPr>
          <w:rFonts w:ascii="Times New Roman" w:hAnsi="Times New Roman" w:cs="Times New Roman"/>
          <w:sz w:val="28"/>
          <w:szCs w:val="28"/>
        </w:rPr>
        <w:t xml:space="preserve">a los beneficiarios del régimen de transición se les </w:t>
      </w:r>
      <w:r w:rsidR="00BD7251" w:rsidRPr="00CB543A">
        <w:rPr>
          <w:rFonts w:ascii="Times New Roman" w:hAnsi="Times New Roman" w:cs="Times New Roman"/>
          <w:sz w:val="28"/>
          <w:szCs w:val="28"/>
        </w:rPr>
        <w:t xml:space="preserve">debía </w:t>
      </w:r>
      <w:r w:rsidR="002B54B5" w:rsidRPr="00CB543A">
        <w:rPr>
          <w:rFonts w:ascii="Times New Roman" w:hAnsi="Times New Roman" w:cs="Times New Roman"/>
          <w:sz w:val="28"/>
          <w:szCs w:val="28"/>
        </w:rPr>
        <w:t>aplica</w:t>
      </w:r>
      <w:r w:rsidR="00BD7251" w:rsidRPr="00CB543A">
        <w:rPr>
          <w:rFonts w:ascii="Times New Roman" w:hAnsi="Times New Roman" w:cs="Times New Roman"/>
          <w:sz w:val="28"/>
          <w:szCs w:val="28"/>
        </w:rPr>
        <w:t>r,</w:t>
      </w:r>
      <w:r w:rsidR="002B54B5" w:rsidRPr="00CB543A">
        <w:rPr>
          <w:rFonts w:ascii="Times New Roman" w:hAnsi="Times New Roman" w:cs="Times New Roman"/>
          <w:sz w:val="28"/>
          <w:szCs w:val="28"/>
        </w:rPr>
        <w:t xml:space="preserve"> en su integridad</w:t>
      </w:r>
      <w:r w:rsidR="00BD7251" w:rsidRPr="00CB543A">
        <w:rPr>
          <w:rFonts w:ascii="Times New Roman" w:hAnsi="Times New Roman" w:cs="Times New Roman"/>
          <w:sz w:val="28"/>
          <w:szCs w:val="28"/>
        </w:rPr>
        <w:t>,</w:t>
      </w:r>
      <w:r w:rsidR="002B54B5" w:rsidRPr="00CB543A">
        <w:rPr>
          <w:rFonts w:ascii="Times New Roman" w:hAnsi="Times New Roman" w:cs="Times New Roman"/>
          <w:sz w:val="28"/>
          <w:szCs w:val="28"/>
        </w:rPr>
        <w:t xml:space="preserve"> el régimen anterior</w:t>
      </w:r>
      <w:r w:rsidR="003653A7" w:rsidRPr="00CB543A">
        <w:rPr>
          <w:rFonts w:ascii="Times New Roman" w:hAnsi="Times New Roman" w:cs="Times New Roman"/>
          <w:sz w:val="28"/>
          <w:szCs w:val="28"/>
        </w:rPr>
        <w:t>; en otras palabras, que el ingreso base de liquidación</w:t>
      </w:r>
      <w:r w:rsidR="003653A7" w:rsidRPr="00CB543A">
        <w:rPr>
          <w:rFonts w:ascii="Times New Roman" w:hAnsi="Times New Roman" w:cs="Times New Roman"/>
          <w:b/>
          <w:i/>
          <w:sz w:val="28"/>
          <w:szCs w:val="28"/>
        </w:rPr>
        <w:t xml:space="preserve"> </w:t>
      </w:r>
      <w:r w:rsidR="002B54B5" w:rsidRPr="00CB543A">
        <w:rPr>
          <w:rFonts w:ascii="Times New Roman" w:hAnsi="Times New Roman" w:cs="Times New Roman"/>
          <w:sz w:val="28"/>
          <w:szCs w:val="28"/>
        </w:rPr>
        <w:t xml:space="preserve">no </w:t>
      </w:r>
      <w:r w:rsidR="00BD7251" w:rsidRPr="00CB543A">
        <w:rPr>
          <w:rFonts w:ascii="Times New Roman" w:hAnsi="Times New Roman" w:cs="Times New Roman"/>
          <w:sz w:val="28"/>
          <w:szCs w:val="28"/>
        </w:rPr>
        <w:t xml:space="preserve">podía </w:t>
      </w:r>
      <w:r w:rsidR="002B54B5" w:rsidRPr="00CB543A">
        <w:rPr>
          <w:rFonts w:ascii="Times New Roman" w:hAnsi="Times New Roman" w:cs="Times New Roman"/>
          <w:sz w:val="28"/>
          <w:szCs w:val="28"/>
        </w:rPr>
        <w:t xml:space="preserve">calcularse con fundamento en </w:t>
      </w:r>
      <w:r w:rsidR="00947F38" w:rsidRPr="00CB543A">
        <w:rPr>
          <w:rFonts w:ascii="Times New Roman" w:hAnsi="Times New Roman" w:cs="Times New Roman"/>
          <w:sz w:val="28"/>
          <w:szCs w:val="28"/>
        </w:rPr>
        <w:t>las normas del SGSS</w:t>
      </w:r>
      <w:r w:rsidR="004F6C1D" w:rsidRPr="00CB543A">
        <w:rPr>
          <w:rFonts w:ascii="Times New Roman" w:hAnsi="Times New Roman" w:cs="Times New Roman"/>
          <w:sz w:val="28"/>
          <w:szCs w:val="28"/>
        </w:rPr>
        <w:t>. La primera tesis encontró fundamento en un concepto de la Sala de Consulta y Servicio Civil del 20 de mayo del año 1998</w:t>
      </w:r>
      <w:r w:rsidR="004F6C1D" w:rsidRPr="00CB543A">
        <w:rPr>
          <w:rStyle w:val="Refdenotaalpie"/>
          <w:rFonts w:ascii="Times New Roman" w:hAnsi="Times New Roman" w:cs="Times New Roman"/>
          <w:sz w:val="28"/>
          <w:szCs w:val="28"/>
        </w:rPr>
        <w:footnoteReference w:id="89"/>
      </w:r>
      <w:r w:rsidR="00BD7251" w:rsidRPr="00CB543A">
        <w:rPr>
          <w:rFonts w:ascii="Times New Roman" w:hAnsi="Times New Roman" w:cs="Times New Roman"/>
          <w:sz w:val="28"/>
          <w:szCs w:val="28"/>
        </w:rPr>
        <w:t>,</w:t>
      </w:r>
      <w:r w:rsidR="004F6C1D" w:rsidRPr="00CB543A">
        <w:rPr>
          <w:rFonts w:ascii="Times New Roman" w:hAnsi="Times New Roman" w:cs="Times New Roman"/>
          <w:sz w:val="28"/>
          <w:szCs w:val="28"/>
        </w:rPr>
        <w:t xml:space="preserve"> mientras que la segunda postura</w:t>
      </w:r>
      <w:r w:rsidR="001B38D5" w:rsidRPr="00CB543A">
        <w:rPr>
          <w:rFonts w:ascii="Times New Roman" w:hAnsi="Times New Roman" w:cs="Times New Roman"/>
          <w:sz w:val="28"/>
          <w:szCs w:val="28"/>
        </w:rPr>
        <w:t xml:space="preserve"> </w:t>
      </w:r>
      <w:r w:rsidR="003653A7" w:rsidRPr="00CB543A">
        <w:rPr>
          <w:rFonts w:ascii="Times New Roman" w:hAnsi="Times New Roman" w:cs="Times New Roman"/>
          <w:sz w:val="28"/>
          <w:szCs w:val="28"/>
        </w:rPr>
        <w:t xml:space="preserve">data de dos sentencias del año 2000, una del </w:t>
      </w:r>
      <w:r w:rsidR="0058347E" w:rsidRPr="00CB543A">
        <w:rPr>
          <w:rFonts w:ascii="Times New Roman" w:hAnsi="Times New Roman" w:cs="Times New Roman"/>
          <w:sz w:val="28"/>
          <w:szCs w:val="28"/>
        </w:rPr>
        <w:t>21 de septiembre</w:t>
      </w:r>
      <w:r w:rsidR="0058347E" w:rsidRPr="00CB543A">
        <w:rPr>
          <w:rStyle w:val="Refdenotaalpie"/>
          <w:rFonts w:ascii="Times New Roman" w:hAnsi="Times New Roman" w:cs="Times New Roman"/>
          <w:sz w:val="28"/>
          <w:szCs w:val="28"/>
        </w:rPr>
        <w:footnoteReference w:id="90"/>
      </w:r>
      <w:r w:rsidR="0058347E" w:rsidRPr="00CB543A">
        <w:rPr>
          <w:rFonts w:ascii="Times New Roman" w:hAnsi="Times New Roman" w:cs="Times New Roman"/>
          <w:sz w:val="28"/>
          <w:szCs w:val="28"/>
        </w:rPr>
        <w:t xml:space="preserve"> y otra del 30 de noviembre</w:t>
      </w:r>
      <w:r w:rsidR="0058347E" w:rsidRPr="00CB543A">
        <w:rPr>
          <w:rStyle w:val="Refdenotaalpie"/>
          <w:rFonts w:ascii="Times New Roman" w:hAnsi="Times New Roman" w:cs="Times New Roman"/>
          <w:sz w:val="28"/>
          <w:szCs w:val="28"/>
        </w:rPr>
        <w:footnoteReference w:id="91"/>
      </w:r>
      <w:r w:rsidR="0058347E" w:rsidRPr="00CB543A">
        <w:rPr>
          <w:rFonts w:ascii="Times New Roman" w:hAnsi="Times New Roman" w:cs="Times New Roman"/>
          <w:sz w:val="28"/>
          <w:szCs w:val="28"/>
        </w:rPr>
        <w:t xml:space="preserve">. En </w:t>
      </w:r>
      <w:r w:rsidR="006B6F72" w:rsidRPr="00CB543A">
        <w:rPr>
          <w:rFonts w:ascii="Times New Roman" w:hAnsi="Times New Roman" w:cs="Times New Roman"/>
          <w:sz w:val="28"/>
          <w:szCs w:val="28"/>
        </w:rPr>
        <w:t>estas</w:t>
      </w:r>
      <w:r w:rsidR="0058347E" w:rsidRPr="00CB543A">
        <w:rPr>
          <w:rFonts w:ascii="Times New Roman" w:hAnsi="Times New Roman" w:cs="Times New Roman"/>
          <w:sz w:val="28"/>
          <w:szCs w:val="28"/>
        </w:rPr>
        <w:t xml:space="preserve"> </w:t>
      </w:r>
      <w:r w:rsidR="00BA2F65" w:rsidRPr="00CB543A">
        <w:rPr>
          <w:rFonts w:ascii="Times New Roman" w:hAnsi="Times New Roman" w:cs="Times New Roman"/>
          <w:sz w:val="28"/>
          <w:szCs w:val="28"/>
        </w:rPr>
        <w:t xml:space="preserve">dos providencias se consideró </w:t>
      </w:r>
      <w:r w:rsidR="0058347E" w:rsidRPr="00CB543A">
        <w:rPr>
          <w:rFonts w:ascii="Times New Roman" w:hAnsi="Times New Roman" w:cs="Times New Roman"/>
          <w:sz w:val="28"/>
          <w:szCs w:val="28"/>
        </w:rPr>
        <w:t xml:space="preserve">que </w:t>
      </w:r>
      <w:r w:rsidR="00BA2F65" w:rsidRPr="00CB543A">
        <w:rPr>
          <w:rFonts w:ascii="Times New Roman" w:hAnsi="Times New Roman" w:cs="Times New Roman"/>
          <w:sz w:val="28"/>
          <w:szCs w:val="28"/>
        </w:rPr>
        <w:t>el inciso</w:t>
      </w:r>
      <w:r w:rsidR="002B54B5" w:rsidRPr="00CB543A">
        <w:rPr>
          <w:rFonts w:ascii="Times New Roman" w:hAnsi="Times New Roman" w:cs="Times New Roman"/>
          <w:sz w:val="28"/>
          <w:szCs w:val="28"/>
        </w:rPr>
        <w:t xml:space="preserve"> 2º y </w:t>
      </w:r>
      <w:r w:rsidR="00BA2F65" w:rsidRPr="00CB543A">
        <w:rPr>
          <w:rFonts w:ascii="Times New Roman" w:hAnsi="Times New Roman" w:cs="Times New Roman"/>
          <w:sz w:val="28"/>
          <w:szCs w:val="28"/>
        </w:rPr>
        <w:t xml:space="preserve">el </w:t>
      </w:r>
      <w:r w:rsidR="002B54B5" w:rsidRPr="00CB543A">
        <w:rPr>
          <w:rFonts w:ascii="Times New Roman" w:hAnsi="Times New Roman" w:cs="Times New Roman"/>
          <w:sz w:val="28"/>
          <w:szCs w:val="28"/>
        </w:rPr>
        <w:t>3</w:t>
      </w:r>
      <w:r w:rsidR="006B6F72" w:rsidRPr="00CB543A">
        <w:rPr>
          <w:rFonts w:ascii="Times New Roman" w:hAnsi="Times New Roman" w:cs="Times New Roman"/>
          <w:sz w:val="28"/>
          <w:szCs w:val="28"/>
        </w:rPr>
        <w:t>º d</w:t>
      </w:r>
      <w:r w:rsidR="0058347E" w:rsidRPr="00CB543A">
        <w:rPr>
          <w:rFonts w:ascii="Times New Roman" w:hAnsi="Times New Roman" w:cs="Times New Roman"/>
          <w:sz w:val="28"/>
          <w:szCs w:val="28"/>
        </w:rPr>
        <w:t xml:space="preserve">el artículo </w:t>
      </w:r>
      <w:r w:rsidR="002B54B5" w:rsidRPr="00CB543A">
        <w:rPr>
          <w:rFonts w:ascii="Times New Roman" w:hAnsi="Times New Roman" w:cs="Times New Roman"/>
          <w:sz w:val="28"/>
          <w:szCs w:val="28"/>
        </w:rPr>
        <w:t xml:space="preserve">36 </w:t>
      </w:r>
      <w:r w:rsidR="002B54B5" w:rsidRPr="00CB543A">
        <w:rPr>
          <w:rFonts w:ascii="Times New Roman" w:hAnsi="Times New Roman" w:cs="Times New Roman"/>
          <w:i/>
          <w:sz w:val="28"/>
          <w:szCs w:val="28"/>
        </w:rPr>
        <w:t>ibídem</w:t>
      </w:r>
      <w:r w:rsidR="0058347E" w:rsidRPr="00CB543A">
        <w:rPr>
          <w:rFonts w:ascii="Times New Roman" w:hAnsi="Times New Roman" w:cs="Times New Roman"/>
          <w:sz w:val="28"/>
          <w:szCs w:val="28"/>
        </w:rPr>
        <w:t xml:space="preserve"> tenía</w:t>
      </w:r>
      <w:r w:rsidR="002B54B5" w:rsidRPr="00CB543A">
        <w:rPr>
          <w:rFonts w:ascii="Times New Roman" w:hAnsi="Times New Roman" w:cs="Times New Roman"/>
          <w:sz w:val="28"/>
          <w:szCs w:val="28"/>
        </w:rPr>
        <w:t>n</w:t>
      </w:r>
      <w:r w:rsidR="0058347E" w:rsidRPr="00CB543A">
        <w:rPr>
          <w:rFonts w:ascii="Times New Roman" w:hAnsi="Times New Roman" w:cs="Times New Roman"/>
          <w:sz w:val="28"/>
          <w:szCs w:val="28"/>
        </w:rPr>
        <w:t xml:space="preserve"> una redacción confusa y, por ende, debía acudirse a la interpretación más favorable para el trabajador</w:t>
      </w:r>
      <w:r w:rsidR="00BA2F65" w:rsidRPr="00CB543A">
        <w:rPr>
          <w:rFonts w:ascii="Times New Roman" w:hAnsi="Times New Roman" w:cs="Times New Roman"/>
          <w:sz w:val="28"/>
          <w:szCs w:val="28"/>
        </w:rPr>
        <w:t xml:space="preserve">, pues lo daría lugar a </w:t>
      </w:r>
      <w:r w:rsidR="00A7346F" w:rsidRPr="00CB543A">
        <w:rPr>
          <w:rFonts w:ascii="Times New Roman" w:hAnsi="Times New Roman" w:cs="Times New Roman"/>
          <w:sz w:val="28"/>
          <w:szCs w:val="28"/>
        </w:rPr>
        <w:t xml:space="preserve">desconocer </w:t>
      </w:r>
      <w:r w:rsidR="001E6D70" w:rsidRPr="00CB543A">
        <w:rPr>
          <w:rFonts w:ascii="Times New Roman" w:hAnsi="Times New Roman" w:cs="Times New Roman"/>
          <w:sz w:val="28"/>
          <w:szCs w:val="28"/>
        </w:rPr>
        <w:t xml:space="preserve">los </w:t>
      </w:r>
      <w:r w:rsidR="00A7346F" w:rsidRPr="00CB543A">
        <w:rPr>
          <w:rFonts w:ascii="Times New Roman" w:hAnsi="Times New Roman" w:cs="Times New Roman"/>
          <w:sz w:val="28"/>
          <w:szCs w:val="28"/>
        </w:rPr>
        <w:t>principio</w:t>
      </w:r>
      <w:r w:rsidR="001E6D70" w:rsidRPr="00CB543A">
        <w:rPr>
          <w:rFonts w:ascii="Times New Roman" w:hAnsi="Times New Roman" w:cs="Times New Roman"/>
          <w:sz w:val="28"/>
          <w:szCs w:val="28"/>
        </w:rPr>
        <w:t>s</w:t>
      </w:r>
      <w:r w:rsidR="00A7346F" w:rsidRPr="00CB543A">
        <w:rPr>
          <w:rFonts w:ascii="Times New Roman" w:hAnsi="Times New Roman" w:cs="Times New Roman"/>
          <w:sz w:val="28"/>
          <w:szCs w:val="28"/>
        </w:rPr>
        <w:t xml:space="preserve"> de inescindibilidad normativa</w:t>
      </w:r>
      <w:r w:rsidR="001E6D70" w:rsidRPr="00CB543A">
        <w:rPr>
          <w:rFonts w:ascii="Times New Roman" w:hAnsi="Times New Roman" w:cs="Times New Roman"/>
          <w:sz w:val="28"/>
          <w:szCs w:val="28"/>
        </w:rPr>
        <w:t xml:space="preserve"> y seguridad jurídica</w:t>
      </w:r>
      <w:r w:rsidR="00A7346F" w:rsidRPr="00CB543A">
        <w:rPr>
          <w:rFonts w:ascii="Times New Roman" w:hAnsi="Times New Roman" w:cs="Times New Roman"/>
          <w:sz w:val="28"/>
          <w:szCs w:val="28"/>
        </w:rPr>
        <w:t xml:space="preserve">. Frente a este último aspecto, en </w:t>
      </w:r>
      <w:r w:rsidR="00BA2F65" w:rsidRPr="00CB543A">
        <w:rPr>
          <w:rFonts w:ascii="Times New Roman" w:hAnsi="Times New Roman" w:cs="Times New Roman"/>
          <w:sz w:val="28"/>
          <w:szCs w:val="28"/>
        </w:rPr>
        <w:t>la sentencia de noviembre 30 de 2000</w:t>
      </w:r>
      <w:r w:rsidR="00BD7251" w:rsidRPr="00CB543A">
        <w:rPr>
          <w:rFonts w:ascii="Times New Roman" w:hAnsi="Times New Roman" w:cs="Times New Roman"/>
          <w:sz w:val="28"/>
          <w:szCs w:val="28"/>
        </w:rPr>
        <w:t>,</w:t>
      </w:r>
      <w:r w:rsidR="00A7346F" w:rsidRPr="00CB543A">
        <w:rPr>
          <w:rFonts w:ascii="Times New Roman" w:hAnsi="Times New Roman" w:cs="Times New Roman"/>
          <w:sz w:val="28"/>
          <w:szCs w:val="28"/>
        </w:rPr>
        <w:t xml:space="preserve"> </w:t>
      </w:r>
      <w:r w:rsidR="001E6D70" w:rsidRPr="00CB543A">
        <w:rPr>
          <w:rFonts w:ascii="Times New Roman" w:hAnsi="Times New Roman" w:cs="Times New Roman"/>
          <w:sz w:val="28"/>
          <w:szCs w:val="28"/>
        </w:rPr>
        <w:t>sostuvo lo siguiente</w:t>
      </w:r>
      <w:r w:rsidR="00A7346F" w:rsidRPr="00CB543A">
        <w:rPr>
          <w:rFonts w:ascii="Times New Roman" w:hAnsi="Times New Roman" w:cs="Times New Roman"/>
          <w:sz w:val="28"/>
          <w:szCs w:val="28"/>
        </w:rPr>
        <w:t>:</w:t>
      </w:r>
    </w:p>
    <w:p w:rsidR="00A7346F" w:rsidRPr="00CB543A" w:rsidRDefault="00A7346F" w:rsidP="00CB543A">
      <w:pPr>
        <w:widowControl w:val="0"/>
        <w:spacing w:after="0" w:line="240" w:lineRule="auto"/>
        <w:jc w:val="both"/>
        <w:rPr>
          <w:rFonts w:ascii="Times New Roman" w:hAnsi="Times New Roman" w:cs="Times New Roman"/>
          <w:sz w:val="28"/>
          <w:szCs w:val="28"/>
        </w:rPr>
      </w:pPr>
    </w:p>
    <w:p w:rsidR="00A7346F" w:rsidRPr="00CB543A" w:rsidRDefault="00A7346F" w:rsidP="00CB543A">
      <w:pPr>
        <w:pStyle w:val="Prrafodelista"/>
        <w:widowControl w:val="0"/>
        <w:tabs>
          <w:tab w:val="left" w:pos="426"/>
        </w:tabs>
        <w:spacing w:after="0" w:line="240" w:lineRule="auto"/>
        <w:ind w:left="567" w:right="616"/>
        <w:jc w:val="both"/>
        <w:rPr>
          <w:rFonts w:ascii="Times New Roman" w:hAnsi="Times New Roman" w:cs="Times New Roman"/>
          <w:b/>
          <w:bCs/>
          <w:sz w:val="28"/>
          <w:szCs w:val="28"/>
        </w:rPr>
      </w:pPr>
      <w:r w:rsidRPr="00CB543A">
        <w:rPr>
          <w:rFonts w:ascii="Times New Roman" w:hAnsi="Times New Roman" w:cs="Times New Roman"/>
          <w:i/>
          <w:color w:val="auto"/>
          <w:sz w:val="28"/>
          <w:szCs w:val="28"/>
          <w:lang w:val="es-ES" w:eastAsia="es-ES_tradnl"/>
        </w:rPr>
        <w:t xml:space="preserve">“[…] </w:t>
      </w:r>
      <w:r w:rsidRPr="00CB543A">
        <w:rPr>
          <w:rFonts w:ascii="Times New Roman" w:hAnsi="Times New Roman" w:cs="Times New Roman"/>
          <w:i/>
          <w:iCs/>
          <w:color w:val="auto"/>
          <w:sz w:val="28"/>
          <w:szCs w:val="28"/>
          <w:lang w:val="es-ES" w:eastAsia="es-ES_tradnl"/>
        </w:rPr>
        <w:t xml:space="preserve">al aplicar el régimen de transición, como sucede en el caso presente, aplicando las disposiciones legales anteriores consagratorias de los requisitos de edad y tiempo de servicio, por una parte, y por otra, aplicar la nueva ley para establecer la base de liquidación de la pensión, </w:t>
      </w:r>
      <w:r w:rsidRPr="00CB543A">
        <w:rPr>
          <w:rFonts w:ascii="Times New Roman" w:hAnsi="Times New Roman" w:cs="Times New Roman"/>
          <w:b/>
          <w:i/>
          <w:iCs/>
          <w:color w:val="auto"/>
          <w:sz w:val="28"/>
          <w:szCs w:val="28"/>
          <w:lang w:val="es-ES" w:eastAsia="es-ES_tradnl"/>
        </w:rPr>
        <w:t xml:space="preserve">se incurre en violación del principio de </w:t>
      </w:r>
      <w:r w:rsidR="00BA2F65" w:rsidRPr="00CB543A">
        <w:rPr>
          <w:rFonts w:ascii="Times New Roman" w:hAnsi="Times New Roman" w:cs="Times New Roman"/>
          <w:b/>
          <w:i/>
          <w:iCs/>
          <w:color w:val="auto"/>
          <w:sz w:val="28"/>
          <w:szCs w:val="28"/>
          <w:lang w:val="es-ES" w:eastAsia="es-ES_tradnl"/>
        </w:rPr>
        <w:t>‘</w:t>
      </w:r>
      <w:r w:rsidRPr="00CB543A">
        <w:rPr>
          <w:rFonts w:ascii="Times New Roman" w:hAnsi="Times New Roman" w:cs="Times New Roman"/>
          <w:b/>
          <w:i/>
          <w:iCs/>
          <w:color w:val="auto"/>
          <w:sz w:val="28"/>
          <w:szCs w:val="28"/>
          <w:lang w:val="es-ES" w:eastAsia="es-ES_tradnl"/>
        </w:rPr>
        <w:t>inescindibilidad de la ley</w:t>
      </w:r>
      <w:r w:rsidR="00BA2F65" w:rsidRPr="00CB543A">
        <w:rPr>
          <w:rFonts w:ascii="Times New Roman" w:hAnsi="Times New Roman" w:cs="Times New Roman"/>
          <w:b/>
          <w:i/>
          <w:iCs/>
          <w:color w:val="auto"/>
          <w:sz w:val="28"/>
          <w:szCs w:val="28"/>
          <w:lang w:val="es-ES" w:eastAsia="es-ES_tradnl"/>
        </w:rPr>
        <w:t>’</w:t>
      </w:r>
      <w:r w:rsidRPr="00CB543A">
        <w:rPr>
          <w:rFonts w:ascii="Times New Roman" w:hAnsi="Times New Roman" w:cs="Times New Roman"/>
          <w:b/>
          <w:i/>
          <w:iCs/>
          <w:color w:val="auto"/>
          <w:sz w:val="28"/>
          <w:szCs w:val="28"/>
          <w:lang w:val="es-ES" w:eastAsia="es-ES_tradnl"/>
        </w:rPr>
        <w:t xml:space="preserve"> que prohíbe dentro de una sana hermenéutica desmembrar las normas legales, rompiendo de tal manera el principio de la seguridad jurídica</w:t>
      </w:r>
      <w:r w:rsidRPr="00CB543A">
        <w:rPr>
          <w:rFonts w:ascii="Times New Roman" w:hAnsi="Times New Roman" w:cs="Times New Roman"/>
          <w:i/>
          <w:color w:val="auto"/>
          <w:sz w:val="28"/>
          <w:szCs w:val="28"/>
          <w:lang w:val="es-ES" w:eastAsia="es-ES_tradnl"/>
        </w:rPr>
        <w:t>”</w:t>
      </w:r>
      <w:r w:rsidRPr="00CB543A">
        <w:rPr>
          <w:rFonts w:ascii="Times New Roman" w:hAnsi="Times New Roman" w:cs="Times New Roman"/>
          <w:color w:val="auto"/>
          <w:sz w:val="28"/>
          <w:szCs w:val="28"/>
          <w:lang w:val="es-ES" w:eastAsia="es-ES_tradnl"/>
        </w:rPr>
        <w:t xml:space="preserve"> (</w:t>
      </w:r>
      <w:r w:rsidR="00BA2F65" w:rsidRPr="00CB543A">
        <w:rPr>
          <w:rFonts w:ascii="Times New Roman" w:hAnsi="Times New Roman" w:cs="Times New Roman"/>
          <w:color w:val="auto"/>
          <w:sz w:val="28"/>
          <w:szCs w:val="28"/>
          <w:lang w:val="es-ES" w:eastAsia="es-ES_tradnl"/>
        </w:rPr>
        <w:t>n</w:t>
      </w:r>
      <w:r w:rsidRPr="00CB543A">
        <w:rPr>
          <w:rFonts w:ascii="Times New Roman" w:hAnsi="Times New Roman" w:cs="Times New Roman"/>
          <w:color w:val="auto"/>
          <w:sz w:val="28"/>
          <w:szCs w:val="28"/>
          <w:lang w:val="es-ES" w:eastAsia="es-ES_tradnl"/>
        </w:rPr>
        <w:t>egrillas propias)</w:t>
      </w:r>
      <w:r w:rsidR="00BA2F65" w:rsidRPr="00CB543A">
        <w:rPr>
          <w:rFonts w:ascii="Times New Roman" w:hAnsi="Times New Roman" w:cs="Times New Roman"/>
          <w:color w:val="auto"/>
          <w:sz w:val="28"/>
          <w:szCs w:val="28"/>
          <w:lang w:val="es-ES" w:eastAsia="es-ES_tradnl"/>
        </w:rPr>
        <w:t>.</w:t>
      </w:r>
    </w:p>
    <w:p w:rsidR="00A7346F" w:rsidRPr="00CB543A" w:rsidRDefault="00A7346F" w:rsidP="00CB543A">
      <w:pPr>
        <w:pStyle w:val="Prrafodelista"/>
        <w:widowControl w:val="0"/>
        <w:spacing w:after="0" w:line="240" w:lineRule="auto"/>
        <w:ind w:left="0"/>
        <w:jc w:val="both"/>
        <w:rPr>
          <w:rFonts w:ascii="Times New Roman" w:hAnsi="Times New Roman" w:cs="Times New Roman"/>
          <w:b/>
          <w:sz w:val="28"/>
          <w:szCs w:val="28"/>
        </w:rPr>
      </w:pPr>
    </w:p>
    <w:p w:rsidR="00FF1499" w:rsidRPr="00CB543A" w:rsidRDefault="000B4E36" w:rsidP="00CB543A">
      <w:pPr>
        <w:pStyle w:val="Prrafodelista"/>
        <w:widowControl w:val="0"/>
        <w:numPr>
          <w:ilvl w:val="0"/>
          <w:numId w:val="32"/>
        </w:numPr>
        <w:tabs>
          <w:tab w:val="left" w:pos="426"/>
          <w:tab w:val="left" w:pos="567"/>
        </w:tabs>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P</w:t>
      </w:r>
      <w:r w:rsidR="00FF1499" w:rsidRPr="00CB543A">
        <w:rPr>
          <w:rFonts w:ascii="Times New Roman" w:hAnsi="Times New Roman" w:cs="Times New Roman"/>
          <w:sz w:val="28"/>
          <w:szCs w:val="28"/>
        </w:rPr>
        <w:t xml:space="preserve">ara </w:t>
      </w:r>
      <w:r w:rsidRPr="00CB543A">
        <w:rPr>
          <w:rFonts w:ascii="Times New Roman" w:hAnsi="Times New Roman" w:cs="Times New Roman"/>
          <w:sz w:val="28"/>
          <w:szCs w:val="28"/>
        </w:rPr>
        <w:t>tal momento</w:t>
      </w:r>
      <w:r w:rsidR="00FF1499" w:rsidRPr="00CB543A">
        <w:rPr>
          <w:rFonts w:ascii="Times New Roman" w:hAnsi="Times New Roman" w:cs="Times New Roman"/>
          <w:sz w:val="28"/>
          <w:szCs w:val="28"/>
        </w:rPr>
        <w:t xml:space="preserve">, </w:t>
      </w:r>
      <w:r w:rsidR="00B4255F" w:rsidRPr="00CB543A">
        <w:rPr>
          <w:rFonts w:ascii="Times New Roman" w:hAnsi="Times New Roman" w:cs="Times New Roman"/>
          <w:sz w:val="28"/>
          <w:szCs w:val="28"/>
        </w:rPr>
        <w:t xml:space="preserve">el Consejo de Estado </w:t>
      </w:r>
      <w:r w:rsidR="00790769" w:rsidRPr="00CB543A">
        <w:rPr>
          <w:rFonts w:ascii="Times New Roman" w:hAnsi="Times New Roman" w:cs="Times New Roman"/>
          <w:sz w:val="28"/>
          <w:szCs w:val="28"/>
        </w:rPr>
        <w:t xml:space="preserve">asumió que </w:t>
      </w:r>
      <w:r w:rsidR="00FB2A1C" w:rsidRPr="00CB543A">
        <w:rPr>
          <w:rFonts w:ascii="Times New Roman" w:hAnsi="Times New Roman" w:cs="Times New Roman"/>
          <w:sz w:val="28"/>
          <w:szCs w:val="28"/>
        </w:rPr>
        <w:t xml:space="preserve">el </w:t>
      </w:r>
      <w:r w:rsidR="00FB2A1C" w:rsidRPr="00CB543A">
        <w:rPr>
          <w:rFonts w:ascii="Times New Roman" w:hAnsi="Times New Roman" w:cs="Times New Roman"/>
          <w:i/>
          <w:sz w:val="28"/>
          <w:szCs w:val="28"/>
        </w:rPr>
        <w:t>monto</w:t>
      </w:r>
      <w:r w:rsidRPr="00CB543A">
        <w:rPr>
          <w:rFonts w:ascii="Times New Roman" w:hAnsi="Times New Roman" w:cs="Times New Roman"/>
          <w:sz w:val="28"/>
          <w:szCs w:val="28"/>
        </w:rPr>
        <w:t>,</w:t>
      </w:r>
      <w:r w:rsidR="00FB2A1C" w:rsidRPr="00CB543A">
        <w:rPr>
          <w:rFonts w:ascii="Times New Roman" w:hAnsi="Times New Roman" w:cs="Times New Roman"/>
          <w:i/>
          <w:sz w:val="28"/>
          <w:szCs w:val="28"/>
        </w:rPr>
        <w:t xml:space="preserve"> </w:t>
      </w:r>
      <w:r w:rsidR="00790769" w:rsidRPr="00CB543A">
        <w:rPr>
          <w:rFonts w:ascii="Times New Roman" w:hAnsi="Times New Roman" w:cs="Times New Roman"/>
          <w:sz w:val="28"/>
          <w:szCs w:val="28"/>
        </w:rPr>
        <w:t>como elemento del régimen de transición</w:t>
      </w:r>
      <w:r w:rsidRPr="00CB543A">
        <w:rPr>
          <w:rFonts w:ascii="Times New Roman" w:hAnsi="Times New Roman" w:cs="Times New Roman"/>
          <w:sz w:val="28"/>
          <w:szCs w:val="28"/>
        </w:rPr>
        <w:t>,</w:t>
      </w:r>
      <w:r w:rsidR="00790769" w:rsidRPr="00CB543A">
        <w:rPr>
          <w:rFonts w:ascii="Times New Roman" w:hAnsi="Times New Roman" w:cs="Times New Roman"/>
          <w:sz w:val="28"/>
          <w:szCs w:val="28"/>
        </w:rPr>
        <w:t xml:space="preserve"> </w:t>
      </w:r>
      <w:r w:rsidRPr="00CB543A">
        <w:rPr>
          <w:rFonts w:ascii="Times New Roman" w:hAnsi="Times New Roman" w:cs="Times New Roman"/>
          <w:sz w:val="28"/>
          <w:szCs w:val="28"/>
        </w:rPr>
        <w:t>incluía</w:t>
      </w:r>
      <w:r w:rsidR="00FB2A1C" w:rsidRPr="00CB543A">
        <w:rPr>
          <w:rFonts w:ascii="Times New Roman" w:hAnsi="Times New Roman" w:cs="Times New Roman"/>
          <w:sz w:val="28"/>
          <w:szCs w:val="28"/>
        </w:rPr>
        <w:t xml:space="preserve">, entre otros, el IBL, </w:t>
      </w:r>
      <w:r w:rsidR="00790769" w:rsidRPr="00CB543A">
        <w:rPr>
          <w:rFonts w:ascii="Times New Roman" w:hAnsi="Times New Roman" w:cs="Times New Roman"/>
          <w:sz w:val="28"/>
          <w:szCs w:val="28"/>
        </w:rPr>
        <w:t xml:space="preserve">conclusión a la que arribó al </w:t>
      </w:r>
      <w:r w:rsidRPr="00CB543A">
        <w:rPr>
          <w:rFonts w:ascii="Times New Roman" w:hAnsi="Times New Roman" w:cs="Times New Roman"/>
          <w:sz w:val="28"/>
          <w:szCs w:val="28"/>
        </w:rPr>
        <w:t xml:space="preserve">diferenciar </w:t>
      </w:r>
      <w:r w:rsidR="00FB2A1C" w:rsidRPr="00CB543A">
        <w:rPr>
          <w:rFonts w:ascii="Times New Roman" w:hAnsi="Times New Roman" w:cs="Times New Roman"/>
          <w:sz w:val="28"/>
          <w:szCs w:val="28"/>
        </w:rPr>
        <w:t xml:space="preserve">las nociones de </w:t>
      </w:r>
      <w:r w:rsidR="00FB2A1C" w:rsidRPr="00CB543A">
        <w:rPr>
          <w:rFonts w:ascii="Times New Roman" w:hAnsi="Times New Roman" w:cs="Times New Roman"/>
          <w:i/>
          <w:sz w:val="28"/>
          <w:szCs w:val="28"/>
        </w:rPr>
        <w:t>porcentaje</w:t>
      </w:r>
      <w:r w:rsidR="00B4255F" w:rsidRPr="00CB543A">
        <w:rPr>
          <w:rFonts w:ascii="Times New Roman" w:hAnsi="Times New Roman" w:cs="Times New Roman"/>
          <w:sz w:val="28"/>
          <w:szCs w:val="28"/>
        </w:rPr>
        <w:t xml:space="preserve"> y </w:t>
      </w:r>
      <w:r w:rsidR="00B4255F" w:rsidRPr="00CB543A">
        <w:rPr>
          <w:rFonts w:ascii="Times New Roman" w:hAnsi="Times New Roman" w:cs="Times New Roman"/>
          <w:i/>
          <w:sz w:val="28"/>
          <w:szCs w:val="28"/>
        </w:rPr>
        <w:t>monto</w:t>
      </w:r>
      <w:r w:rsidRPr="00CB543A">
        <w:rPr>
          <w:rFonts w:ascii="Times New Roman" w:hAnsi="Times New Roman" w:cs="Times New Roman"/>
          <w:sz w:val="28"/>
          <w:szCs w:val="28"/>
        </w:rPr>
        <w:t xml:space="preserve">. En particular, precisó </w:t>
      </w:r>
      <w:r w:rsidR="00B4255F" w:rsidRPr="00CB543A">
        <w:rPr>
          <w:rFonts w:ascii="Times New Roman" w:hAnsi="Times New Roman" w:cs="Times New Roman"/>
          <w:sz w:val="28"/>
          <w:szCs w:val="28"/>
        </w:rPr>
        <w:t xml:space="preserve">que este último </w:t>
      </w:r>
      <w:r w:rsidRPr="00CB543A">
        <w:rPr>
          <w:rFonts w:ascii="Times New Roman" w:hAnsi="Times New Roman" w:cs="Times New Roman"/>
          <w:sz w:val="28"/>
          <w:szCs w:val="28"/>
        </w:rPr>
        <w:t>correspondía</w:t>
      </w:r>
      <w:r w:rsidR="00FB2A1C" w:rsidRPr="00CB543A">
        <w:rPr>
          <w:rFonts w:ascii="Times New Roman" w:hAnsi="Times New Roman" w:cs="Times New Roman"/>
          <w:sz w:val="28"/>
          <w:szCs w:val="28"/>
        </w:rPr>
        <w:t xml:space="preserve"> </w:t>
      </w:r>
      <w:r w:rsidR="00B4255F" w:rsidRPr="00CB543A">
        <w:rPr>
          <w:rFonts w:ascii="Times New Roman" w:hAnsi="Times New Roman" w:cs="Times New Roman"/>
          <w:sz w:val="28"/>
          <w:szCs w:val="28"/>
        </w:rPr>
        <w:t xml:space="preserve">a </w:t>
      </w:r>
      <w:r w:rsidR="00B4255F" w:rsidRPr="00CB543A">
        <w:rPr>
          <w:rFonts w:ascii="Times New Roman" w:hAnsi="Times New Roman" w:cs="Times New Roman"/>
          <w:i/>
          <w:sz w:val="28"/>
          <w:szCs w:val="28"/>
        </w:rPr>
        <w:t>“la liquidación aritmética del derecho, que precisamente se realiza con la suma del respectivo promedio de los factores que deben tenerse en cuenta y que debe hacerse, según el referido artículo 36, con apoyo en las normas anteriores a la Ley 100</w:t>
      </w:r>
      <w:r w:rsidR="00B4255F" w:rsidRPr="00CB543A">
        <w:rPr>
          <w:rFonts w:ascii="Times New Roman" w:hAnsi="Times New Roman" w:cs="Times New Roman"/>
          <w:sz w:val="28"/>
          <w:szCs w:val="28"/>
        </w:rPr>
        <w:t xml:space="preserve"> </w:t>
      </w:r>
      <w:r w:rsidR="00B4255F" w:rsidRPr="00CB543A">
        <w:rPr>
          <w:rFonts w:ascii="Times New Roman" w:hAnsi="Times New Roman" w:cs="Times New Roman"/>
          <w:i/>
          <w:sz w:val="28"/>
          <w:szCs w:val="28"/>
        </w:rPr>
        <w:t>[de 1993]”</w:t>
      </w:r>
      <w:r w:rsidR="00B4255F" w:rsidRPr="00CB543A">
        <w:rPr>
          <w:rStyle w:val="Refdenotaalpie"/>
          <w:rFonts w:ascii="Times New Roman" w:hAnsi="Times New Roman" w:cs="Times New Roman"/>
          <w:sz w:val="28"/>
          <w:szCs w:val="28"/>
        </w:rPr>
        <w:footnoteReference w:id="92"/>
      </w:r>
      <w:r w:rsidRPr="00CB543A">
        <w:rPr>
          <w:rFonts w:ascii="Times New Roman" w:hAnsi="Times New Roman" w:cs="Times New Roman"/>
          <w:sz w:val="28"/>
          <w:szCs w:val="28"/>
        </w:rPr>
        <w:t>.</w:t>
      </w:r>
    </w:p>
    <w:p w:rsidR="00FF1499" w:rsidRPr="00CB543A" w:rsidRDefault="00FF1499" w:rsidP="00CB543A">
      <w:pPr>
        <w:pStyle w:val="Prrafodelista"/>
        <w:widowControl w:val="0"/>
        <w:tabs>
          <w:tab w:val="left" w:pos="426"/>
          <w:tab w:val="left" w:pos="6096"/>
        </w:tabs>
        <w:spacing w:after="0" w:line="240" w:lineRule="auto"/>
        <w:ind w:left="0"/>
        <w:jc w:val="both"/>
        <w:rPr>
          <w:rFonts w:ascii="Times New Roman" w:hAnsi="Times New Roman" w:cs="Times New Roman"/>
          <w:sz w:val="28"/>
          <w:szCs w:val="28"/>
        </w:rPr>
      </w:pPr>
    </w:p>
    <w:p w:rsidR="000B4E36" w:rsidRPr="00CB543A" w:rsidRDefault="006D5A29" w:rsidP="00CB543A">
      <w:pPr>
        <w:pStyle w:val="Prrafodelista"/>
        <w:widowControl w:val="0"/>
        <w:numPr>
          <w:ilvl w:val="0"/>
          <w:numId w:val="32"/>
        </w:numPr>
        <w:tabs>
          <w:tab w:val="left" w:pos="426"/>
          <w:tab w:val="left" w:pos="567"/>
        </w:tabs>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 xml:space="preserve">Esta </w:t>
      </w:r>
      <w:r w:rsidR="00814E03" w:rsidRPr="00CB543A">
        <w:rPr>
          <w:rFonts w:ascii="Times New Roman" w:hAnsi="Times New Roman" w:cs="Times New Roman"/>
          <w:sz w:val="28"/>
          <w:szCs w:val="28"/>
        </w:rPr>
        <w:t>tesis ha sido reiterada en casos posteriores</w:t>
      </w:r>
      <w:r w:rsidR="000B4E36" w:rsidRPr="00CB543A">
        <w:rPr>
          <w:rFonts w:ascii="Times New Roman" w:hAnsi="Times New Roman" w:cs="Times New Roman"/>
          <w:sz w:val="28"/>
          <w:szCs w:val="28"/>
        </w:rPr>
        <w:t>,</w:t>
      </w:r>
      <w:r w:rsidR="00814E03" w:rsidRPr="00CB543A">
        <w:rPr>
          <w:rFonts w:ascii="Times New Roman" w:hAnsi="Times New Roman" w:cs="Times New Roman"/>
          <w:sz w:val="28"/>
          <w:szCs w:val="28"/>
        </w:rPr>
        <w:t xml:space="preserve"> del 16 de febrero de 2006 (</w:t>
      </w:r>
      <w:r w:rsidR="000B4E36" w:rsidRPr="00CB543A">
        <w:rPr>
          <w:rFonts w:ascii="Times New Roman" w:hAnsi="Times New Roman" w:cs="Times New Roman"/>
          <w:sz w:val="28"/>
          <w:szCs w:val="28"/>
        </w:rPr>
        <w:t xml:space="preserve">radicación </w:t>
      </w:r>
      <w:r w:rsidR="00814E03" w:rsidRPr="00CB543A">
        <w:rPr>
          <w:rFonts w:ascii="Times New Roman" w:hAnsi="Times New Roman" w:cs="Times New Roman"/>
          <w:sz w:val="28"/>
          <w:szCs w:val="28"/>
        </w:rPr>
        <w:t>4076-04), 6 de marzo de 2008 (</w:t>
      </w:r>
      <w:r w:rsidR="000B4E36" w:rsidRPr="00CB543A">
        <w:rPr>
          <w:rFonts w:ascii="Times New Roman" w:hAnsi="Times New Roman" w:cs="Times New Roman"/>
          <w:sz w:val="28"/>
          <w:szCs w:val="28"/>
        </w:rPr>
        <w:t xml:space="preserve">radicación </w:t>
      </w:r>
      <w:r w:rsidR="00814E03" w:rsidRPr="00CB543A">
        <w:rPr>
          <w:rFonts w:ascii="Times New Roman" w:hAnsi="Times New Roman" w:cs="Times New Roman"/>
          <w:sz w:val="28"/>
          <w:szCs w:val="28"/>
        </w:rPr>
        <w:t>4799-05</w:t>
      </w:r>
      <w:r w:rsidR="000B4E36" w:rsidRPr="00CB543A">
        <w:rPr>
          <w:rFonts w:ascii="Times New Roman" w:hAnsi="Times New Roman" w:cs="Times New Roman"/>
          <w:sz w:val="28"/>
          <w:szCs w:val="28"/>
        </w:rPr>
        <w:t>)</w:t>
      </w:r>
      <w:r w:rsidR="00814E03" w:rsidRPr="00CB543A">
        <w:rPr>
          <w:rFonts w:ascii="Times New Roman" w:hAnsi="Times New Roman" w:cs="Times New Roman"/>
          <w:sz w:val="28"/>
          <w:szCs w:val="28"/>
        </w:rPr>
        <w:t xml:space="preserve"> y 17 de abril de 2013 (</w:t>
      </w:r>
      <w:r w:rsidR="000B4E36" w:rsidRPr="00CB543A">
        <w:rPr>
          <w:rFonts w:ascii="Times New Roman" w:hAnsi="Times New Roman" w:cs="Times New Roman"/>
          <w:sz w:val="28"/>
          <w:szCs w:val="28"/>
        </w:rPr>
        <w:t xml:space="preserve">radicación </w:t>
      </w:r>
      <w:r w:rsidR="00814E03" w:rsidRPr="00CB543A">
        <w:rPr>
          <w:rFonts w:ascii="Times New Roman" w:hAnsi="Times New Roman" w:cs="Times New Roman"/>
          <w:sz w:val="28"/>
          <w:szCs w:val="28"/>
        </w:rPr>
        <w:t xml:space="preserve">0112-12). </w:t>
      </w:r>
    </w:p>
    <w:p w:rsidR="000B4E36" w:rsidRPr="00CB543A" w:rsidRDefault="000B4E36" w:rsidP="00CB543A">
      <w:pPr>
        <w:pStyle w:val="Prrafodelista"/>
        <w:widowControl w:val="0"/>
        <w:tabs>
          <w:tab w:val="left" w:pos="426"/>
          <w:tab w:val="left" w:pos="567"/>
        </w:tabs>
        <w:spacing w:after="0" w:line="240" w:lineRule="auto"/>
        <w:ind w:left="0"/>
        <w:jc w:val="both"/>
        <w:rPr>
          <w:rFonts w:ascii="Times New Roman" w:hAnsi="Times New Roman" w:cs="Times New Roman"/>
          <w:sz w:val="28"/>
          <w:szCs w:val="28"/>
        </w:rPr>
      </w:pPr>
    </w:p>
    <w:p w:rsidR="00FF1499" w:rsidRPr="00CB543A" w:rsidRDefault="000B4E36" w:rsidP="00CB543A">
      <w:pPr>
        <w:pStyle w:val="Prrafodelista"/>
        <w:widowControl w:val="0"/>
        <w:numPr>
          <w:ilvl w:val="0"/>
          <w:numId w:val="32"/>
        </w:numPr>
        <w:tabs>
          <w:tab w:val="left" w:pos="426"/>
          <w:tab w:val="left" w:pos="567"/>
        </w:tabs>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 xml:space="preserve">De manera reciente, ha señalado que, </w:t>
      </w:r>
      <w:r w:rsidR="008A0127" w:rsidRPr="00CB543A">
        <w:rPr>
          <w:rFonts w:ascii="Times New Roman" w:hAnsi="Times New Roman" w:cs="Times New Roman"/>
          <w:i/>
          <w:sz w:val="28"/>
          <w:szCs w:val="28"/>
        </w:rPr>
        <w:t>“el régimen de transición no hace excepción respecto de los factores base de liquidación de la pensión ni de la forma de liquidar la misma</w:t>
      </w:r>
      <w:r w:rsidR="008A0127" w:rsidRPr="00CB543A">
        <w:rPr>
          <w:rFonts w:ascii="Times New Roman" w:hAnsi="Times New Roman" w:cs="Times New Roman"/>
          <w:sz w:val="28"/>
          <w:szCs w:val="28"/>
        </w:rPr>
        <w:t xml:space="preserve">” de lo que </w:t>
      </w:r>
      <w:r w:rsidR="008E1292" w:rsidRPr="00CB543A">
        <w:rPr>
          <w:rFonts w:ascii="Times New Roman" w:hAnsi="Times New Roman" w:cs="Times New Roman"/>
          <w:sz w:val="28"/>
          <w:szCs w:val="28"/>
        </w:rPr>
        <w:t xml:space="preserve">podría </w:t>
      </w:r>
      <w:r w:rsidRPr="00CB543A">
        <w:rPr>
          <w:rFonts w:ascii="Times New Roman" w:hAnsi="Times New Roman" w:cs="Times New Roman"/>
          <w:sz w:val="28"/>
          <w:szCs w:val="28"/>
        </w:rPr>
        <w:t xml:space="preserve">inferirse </w:t>
      </w:r>
      <w:r w:rsidR="008A0127" w:rsidRPr="00CB543A">
        <w:rPr>
          <w:rFonts w:ascii="Times New Roman" w:hAnsi="Times New Roman" w:cs="Times New Roman"/>
          <w:sz w:val="28"/>
          <w:szCs w:val="28"/>
        </w:rPr>
        <w:t>que el IBL hace parte del régimen de transición</w:t>
      </w:r>
      <w:r w:rsidR="001C09C0" w:rsidRPr="00CB543A">
        <w:rPr>
          <w:rFonts w:ascii="Times New Roman" w:hAnsi="Times New Roman" w:cs="Times New Roman"/>
          <w:sz w:val="28"/>
          <w:szCs w:val="28"/>
        </w:rPr>
        <w:t xml:space="preserve">. </w:t>
      </w:r>
      <w:r w:rsidRPr="00CB543A">
        <w:rPr>
          <w:rFonts w:ascii="Times New Roman" w:hAnsi="Times New Roman" w:cs="Times New Roman"/>
          <w:sz w:val="28"/>
          <w:szCs w:val="28"/>
        </w:rPr>
        <w:t>Esta afirmación se hizo</w:t>
      </w:r>
      <w:r w:rsidR="00424E9E" w:rsidRPr="00CB543A">
        <w:rPr>
          <w:rFonts w:ascii="Times New Roman" w:hAnsi="Times New Roman" w:cs="Times New Roman"/>
          <w:sz w:val="28"/>
          <w:szCs w:val="28"/>
        </w:rPr>
        <w:t>, por parte de la Sección Segunda del Consejo de Estado,</w:t>
      </w:r>
      <w:r w:rsidR="00BB221A">
        <w:rPr>
          <w:rFonts w:ascii="Times New Roman" w:hAnsi="Times New Roman" w:cs="Times New Roman"/>
          <w:sz w:val="28"/>
          <w:szCs w:val="28"/>
        </w:rPr>
        <w:t xml:space="preserve"> </w:t>
      </w:r>
      <w:r w:rsidRPr="00CB543A">
        <w:rPr>
          <w:rFonts w:ascii="Times New Roman" w:hAnsi="Times New Roman" w:cs="Times New Roman"/>
          <w:sz w:val="28"/>
          <w:szCs w:val="28"/>
        </w:rPr>
        <w:t xml:space="preserve">en </w:t>
      </w:r>
      <w:r w:rsidR="006D5A29" w:rsidRPr="00CB543A">
        <w:rPr>
          <w:rFonts w:ascii="Times New Roman" w:hAnsi="Times New Roman" w:cs="Times New Roman"/>
          <w:sz w:val="28"/>
          <w:szCs w:val="28"/>
        </w:rPr>
        <w:t xml:space="preserve">sentencia de </w:t>
      </w:r>
      <w:r w:rsidR="009E39B6" w:rsidRPr="00CB543A">
        <w:rPr>
          <w:rFonts w:ascii="Times New Roman" w:hAnsi="Times New Roman" w:cs="Times New Roman"/>
          <w:sz w:val="28"/>
          <w:szCs w:val="28"/>
        </w:rPr>
        <w:t xml:space="preserve">9 </w:t>
      </w:r>
      <w:r w:rsidRPr="00CB543A">
        <w:rPr>
          <w:rFonts w:ascii="Times New Roman" w:hAnsi="Times New Roman" w:cs="Times New Roman"/>
          <w:sz w:val="28"/>
          <w:szCs w:val="28"/>
        </w:rPr>
        <w:t xml:space="preserve">de </w:t>
      </w:r>
      <w:r w:rsidR="009E39B6" w:rsidRPr="00CB543A">
        <w:rPr>
          <w:rFonts w:ascii="Times New Roman" w:hAnsi="Times New Roman" w:cs="Times New Roman"/>
          <w:sz w:val="28"/>
          <w:szCs w:val="28"/>
        </w:rPr>
        <w:t xml:space="preserve">septiembre </w:t>
      </w:r>
      <w:r w:rsidRPr="00CB543A">
        <w:rPr>
          <w:rFonts w:ascii="Times New Roman" w:hAnsi="Times New Roman" w:cs="Times New Roman"/>
          <w:sz w:val="28"/>
          <w:szCs w:val="28"/>
        </w:rPr>
        <w:t>de</w:t>
      </w:r>
      <w:r w:rsidR="00814E03" w:rsidRPr="00CB543A">
        <w:rPr>
          <w:rFonts w:ascii="Times New Roman" w:hAnsi="Times New Roman" w:cs="Times New Roman"/>
          <w:sz w:val="28"/>
          <w:szCs w:val="28"/>
        </w:rPr>
        <w:t xml:space="preserve"> </w:t>
      </w:r>
      <w:r w:rsidR="009E39B6" w:rsidRPr="00CB543A">
        <w:rPr>
          <w:rFonts w:ascii="Times New Roman" w:hAnsi="Times New Roman" w:cs="Times New Roman"/>
          <w:sz w:val="28"/>
          <w:szCs w:val="28"/>
        </w:rPr>
        <w:t>2017</w:t>
      </w:r>
      <w:r w:rsidR="00814E03" w:rsidRPr="00CB543A">
        <w:rPr>
          <w:rStyle w:val="Refdenotaalpie"/>
          <w:rFonts w:ascii="Times New Roman" w:hAnsi="Times New Roman" w:cs="Times New Roman"/>
          <w:sz w:val="28"/>
          <w:szCs w:val="28"/>
        </w:rPr>
        <w:footnoteReference w:id="93"/>
      </w:r>
      <w:r w:rsidR="005F7757" w:rsidRPr="00CB543A">
        <w:rPr>
          <w:rFonts w:ascii="Times New Roman" w:hAnsi="Times New Roman" w:cs="Times New Roman"/>
          <w:sz w:val="28"/>
          <w:szCs w:val="28"/>
        </w:rPr>
        <w:t xml:space="preserve">, </w:t>
      </w:r>
      <w:r w:rsidR="006D5A29" w:rsidRPr="00CB543A">
        <w:rPr>
          <w:rFonts w:ascii="Times New Roman" w:hAnsi="Times New Roman" w:cs="Times New Roman"/>
          <w:sz w:val="28"/>
          <w:szCs w:val="28"/>
        </w:rPr>
        <w:t xml:space="preserve">que se dictó </w:t>
      </w:r>
      <w:r w:rsidR="00814E03" w:rsidRPr="00CB543A">
        <w:rPr>
          <w:rFonts w:ascii="Times New Roman" w:hAnsi="Times New Roman" w:cs="Times New Roman"/>
          <w:sz w:val="28"/>
          <w:szCs w:val="28"/>
        </w:rPr>
        <w:t xml:space="preserve">en reemplazo de la </w:t>
      </w:r>
      <w:r w:rsidR="009E39B6" w:rsidRPr="00CB543A">
        <w:rPr>
          <w:rFonts w:ascii="Times New Roman" w:hAnsi="Times New Roman" w:cs="Times New Roman"/>
          <w:sz w:val="28"/>
          <w:szCs w:val="28"/>
        </w:rPr>
        <w:t>sentencia de unificación</w:t>
      </w:r>
      <w:r w:rsidR="001842D6" w:rsidRPr="00CB543A">
        <w:rPr>
          <w:rFonts w:ascii="Times New Roman" w:hAnsi="Times New Roman" w:cs="Times New Roman"/>
          <w:sz w:val="28"/>
          <w:szCs w:val="28"/>
        </w:rPr>
        <w:t xml:space="preserve"> </w:t>
      </w:r>
      <w:r w:rsidR="009E39B6" w:rsidRPr="00CB543A">
        <w:rPr>
          <w:rFonts w:ascii="Times New Roman" w:hAnsi="Times New Roman" w:cs="Times New Roman"/>
          <w:sz w:val="28"/>
          <w:szCs w:val="28"/>
        </w:rPr>
        <w:t xml:space="preserve">del 25 de febrero de 2016, </w:t>
      </w:r>
      <w:r w:rsidR="006D5A29" w:rsidRPr="00CB543A">
        <w:rPr>
          <w:rFonts w:ascii="Times New Roman" w:hAnsi="Times New Roman" w:cs="Times New Roman"/>
          <w:sz w:val="28"/>
          <w:szCs w:val="28"/>
        </w:rPr>
        <w:t>luego de que</w:t>
      </w:r>
      <w:r w:rsidR="00814E03" w:rsidRPr="00CB543A">
        <w:rPr>
          <w:rFonts w:ascii="Times New Roman" w:hAnsi="Times New Roman" w:cs="Times New Roman"/>
          <w:sz w:val="28"/>
          <w:szCs w:val="28"/>
        </w:rPr>
        <w:t xml:space="preserve"> </w:t>
      </w:r>
      <w:r w:rsidR="00424E9E" w:rsidRPr="00CB543A">
        <w:rPr>
          <w:rFonts w:ascii="Times New Roman" w:hAnsi="Times New Roman" w:cs="Times New Roman"/>
          <w:sz w:val="28"/>
          <w:szCs w:val="28"/>
        </w:rPr>
        <w:t xml:space="preserve">esta </w:t>
      </w:r>
      <w:r w:rsidR="00814E03" w:rsidRPr="00CB543A">
        <w:rPr>
          <w:rFonts w:ascii="Times New Roman" w:hAnsi="Times New Roman" w:cs="Times New Roman"/>
          <w:sz w:val="28"/>
          <w:szCs w:val="28"/>
        </w:rPr>
        <w:t xml:space="preserve">fuera anulada por </w:t>
      </w:r>
      <w:r w:rsidR="004C46BD" w:rsidRPr="00CB543A">
        <w:rPr>
          <w:rFonts w:ascii="Times New Roman" w:hAnsi="Times New Roman" w:cs="Times New Roman"/>
          <w:sz w:val="28"/>
          <w:szCs w:val="28"/>
        </w:rPr>
        <w:t>la S</w:t>
      </w:r>
      <w:r w:rsidR="00814E03" w:rsidRPr="00CB543A">
        <w:rPr>
          <w:rFonts w:ascii="Times New Roman" w:hAnsi="Times New Roman" w:cs="Times New Roman"/>
          <w:sz w:val="28"/>
          <w:szCs w:val="28"/>
        </w:rPr>
        <w:t xml:space="preserve">ección </w:t>
      </w:r>
      <w:r w:rsidR="004C46BD" w:rsidRPr="00CB543A">
        <w:rPr>
          <w:rFonts w:ascii="Times New Roman" w:hAnsi="Times New Roman" w:cs="Times New Roman"/>
          <w:sz w:val="28"/>
          <w:szCs w:val="28"/>
        </w:rPr>
        <w:t xml:space="preserve">Quinta </w:t>
      </w:r>
      <w:r w:rsidR="00814E03" w:rsidRPr="00CB543A">
        <w:rPr>
          <w:rFonts w:ascii="Times New Roman" w:hAnsi="Times New Roman" w:cs="Times New Roman"/>
          <w:sz w:val="28"/>
          <w:szCs w:val="28"/>
        </w:rPr>
        <w:t>del Consejo de Estado, actuando como juez de tutela de segunda instancia</w:t>
      </w:r>
      <w:r w:rsidR="00B15CE6" w:rsidRPr="00CB543A">
        <w:rPr>
          <w:rStyle w:val="Refdenotaalpie"/>
          <w:rFonts w:ascii="Times New Roman" w:hAnsi="Times New Roman" w:cs="Times New Roman"/>
          <w:sz w:val="28"/>
          <w:szCs w:val="28"/>
        </w:rPr>
        <w:footnoteReference w:id="94"/>
      </w:r>
      <w:r w:rsidR="00B15CE6" w:rsidRPr="00CB543A">
        <w:rPr>
          <w:rFonts w:ascii="Times New Roman" w:hAnsi="Times New Roman" w:cs="Times New Roman"/>
          <w:sz w:val="28"/>
          <w:szCs w:val="28"/>
        </w:rPr>
        <w:t xml:space="preserve">, ante </w:t>
      </w:r>
      <w:r w:rsidR="00FD507F" w:rsidRPr="00CB543A">
        <w:rPr>
          <w:rFonts w:ascii="Times New Roman" w:hAnsi="Times New Roman" w:cs="Times New Roman"/>
          <w:sz w:val="28"/>
          <w:szCs w:val="28"/>
        </w:rPr>
        <w:t xml:space="preserve">la configuración del defecto por </w:t>
      </w:r>
      <w:r w:rsidR="00B15CE6" w:rsidRPr="00CB543A">
        <w:rPr>
          <w:rFonts w:ascii="Times New Roman" w:hAnsi="Times New Roman" w:cs="Times New Roman"/>
          <w:sz w:val="28"/>
          <w:szCs w:val="28"/>
        </w:rPr>
        <w:t xml:space="preserve">desconocimiento del precedente </w:t>
      </w:r>
      <w:r w:rsidR="00261FFD" w:rsidRPr="00CB543A">
        <w:rPr>
          <w:rFonts w:ascii="Times New Roman" w:hAnsi="Times New Roman" w:cs="Times New Roman"/>
          <w:sz w:val="28"/>
          <w:szCs w:val="28"/>
        </w:rPr>
        <w:t xml:space="preserve">judicial de la Corte </w:t>
      </w:r>
      <w:r w:rsidR="00B15CE6" w:rsidRPr="00CB543A">
        <w:rPr>
          <w:rFonts w:ascii="Times New Roman" w:hAnsi="Times New Roman" w:cs="Times New Roman"/>
          <w:sz w:val="28"/>
          <w:szCs w:val="28"/>
        </w:rPr>
        <w:t>Constitucional</w:t>
      </w:r>
      <w:r w:rsidR="004C46BD" w:rsidRPr="00CB543A">
        <w:rPr>
          <w:rFonts w:ascii="Times New Roman" w:hAnsi="Times New Roman" w:cs="Times New Roman"/>
          <w:sz w:val="28"/>
          <w:szCs w:val="28"/>
        </w:rPr>
        <w:t xml:space="preserve"> (al que se hace referencia en el título siguiente)</w:t>
      </w:r>
      <w:r w:rsidR="00B15CE6" w:rsidRPr="00CB543A">
        <w:rPr>
          <w:rFonts w:ascii="Times New Roman" w:hAnsi="Times New Roman" w:cs="Times New Roman"/>
          <w:sz w:val="28"/>
          <w:szCs w:val="28"/>
        </w:rPr>
        <w:t>.</w:t>
      </w:r>
    </w:p>
    <w:p w:rsidR="00790769" w:rsidRPr="00CB543A" w:rsidRDefault="00790769" w:rsidP="00CB543A">
      <w:pPr>
        <w:pStyle w:val="Prrafodelista"/>
        <w:widowControl w:val="0"/>
        <w:tabs>
          <w:tab w:val="left" w:pos="426"/>
          <w:tab w:val="left" w:pos="6096"/>
        </w:tabs>
        <w:spacing w:after="0" w:line="240" w:lineRule="auto"/>
        <w:ind w:left="0"/>
        <w:jc w:val="both"/>
        <w:rPr>
          <w:rFonts w:ascii="Times New Roman" w:hAnsi="Times New Roman" w:cs="Times New Roman"/>
          <w:sz w:val="28"/>
          <w:szCs w:val="28"/>
        </w:rPr>
      </w:pPr>
    </w:p>
    <w:p w:rsidR="00802621" w:rsidRPr="00CB543A" w:rsidRDefault="005F7757" w:rsidP="00CB543A">
      <w:pPr>
        <w:pStyle w:val="Prrafodelista"/>
        <w:widowControl w:val="0"/>
        <w:numPr>
          <w:ilvl w:val="0"/>
          <w:numId w:val="32"/>
        </w:numPr>
        <w:tabs>
          <w:tab w:val="left" w:pos="426"/>
          <w:tab w:val="left" w:pos="567"/>
        </w:tabs>
        <w:spacing w:after="0" w:line="240" w:lineRule="auto"/>
        <w:ind w:left="0"/>
        <w:jc w:val="both"/>
        <w:rPr>
          <w:rFonts w:ascii="Times New Roman" w:hAnsi="Times New Roman" w:cs="Times New Roman"/>
          <w:i/>
          <w:sz w:val="28"/>
          <w:szCs w:val="28"/>
        </w:rPr>
      </w:pPr>
      <w:r w:rsidRPr="00CB543A">
        <w:rPr>
          <w:rFonts w:ascii="Times New Roman" w:hAnsi="Times New Roman" w:cs="Times New Roman"/>
          <w:sz w:val="28"/>
          <w:szCs w:val="28"/>
        </w:rPr>
        <w:t xml:space="preserve">Finalmente, es importante resaltar que la Sala Plena del Consejo de Estado, </w:t>
      </w:r>
      <w:r w:rsidR="00416F56" w:rsidRPr="00CB543A">
        <w:rPr>
          <w:rFonts w:ascii="Times New Roman" w:hAnsi="Times New Roman" w:cs="Times New Roman"/>
          <w:sz w:val="28"/>
          <w:szCs w:val="28"/>
        </w:rPr>
        <w:t xml:space="preserve">mediante </w:t>
      </w:r>
      <w:r w:rsidR="00814E03" w:rsidRPr="00CB543A">
        <w:rPr>
          <w:rFonts w:ascii="Times New Roman" w:hAnsi="Times New Roman" w:cs="Times New Roman"/>
          <w:sz w:val="28"/>
          <w:szCs w:val="28"/>
        </w:rPr>
        <w:t xml:space="preserve">auto del </w:t>
      </w:r>
      <w:r w:rsidR="00802621" w:rsidRPr="00CB543A">
        <w:rPr>
          <w:rFonts w:ascii="Times New Roman" w:hAnsi="Times New Roman" w:cs="Times New Roman"/>
          <w:sz w:val="28"/>
          <w:szCs w:val="28"/>
        </w:rPr>
        <w:t xml:space="preserve">29 de agosto de 2017, avocó conocimiento del proceso ordinario con número de expediente 52001-23-33-000-2012-00143-01, con el objetivo de unificar </w:t>
      </w:r>
      <w:r w:rsidRPr="00CB543A">
        <w:rPr>
          <w:rFonts w:ascii="Times New Roman" w:hAnsi="Times New Roman" w:cs="Times New Roman"/>
          <w:sz w:val="28"/>
          <w:szCs w:val="28"/>
        </w:rPr>
        <w:t xml:space="preserve">su </w:t>
      </w:r>
      <w:r w:rsidR="00802621" w:rsidRPr="00CB543A">
        <w:rPr>
          <w:rFonts w:ascii="Times New Roman" w:hAnsi="Times New Roman" w:cs="Times New Roman"/>
          <w:sz w:val="28"/>
          <w:szCs w:val="28"/>
        </w:rPr>
        <w:t xml:space="preserve">jurisprudencia sobre </w:t>
      </w:r>
      <w:r w:rsidR="00802621" w:rsidRPr="00CB543A">
        <w:rPr>
          <w:rFonts w:ascii="Times New Roman" w:hAnsi="Times New Roman" w:cs="Times New Roman"/>
          <w:i/>
          <w:sz w:val="28"/>
          <w:szCs w:val="28"/>
        </w:rPr>
        <w:t>“la interpretación que se ha dado al inciso 3º del artículo 36 de la Ley 100 de 1993 dentro del régimen de transición”</w:t>
      </w:r>
      <w:r w:rsidR="00802621" w:rsidRPr="00CB543A">
        <w:rPr>
          <w:rFonts w:ascii="Times New Roman" w:hAnsi="Times New Roman" w:cs="Times New Roman"/>
          <w:sz w:val="28"/>
          <w:szCs w:val="28"/>
        </w:rPr>
        <w:t>. En ese auto, sobre el tema en cuestión, la Sala Plena resaltó que:</w:t>
      </w:r>
    </w:p>
    <w:p w:rsidR="00526276" w:rsidRPr="00CB543A" w:rsidRDefault="00526276" w:rsidP="00CB543A">
      <w:pPr>
        <w:pStyle w:val="Prrafodelista"/>
        <w:spacing w:after="0" w:line="240" w:lineRule="auto"/>
        <w:rPr>
          <w:rFonts w:ascii="Times New Roman" w:hAnsi="Times New Roman" w:cs="Times New Roman"/>
          <w:sz w:val="28"/>
          <w:szCs w:val="28"/>
        </w:rPr>
      </w:pPr>
    </w:p>
    <w:p w:rsidR="00802621" w:rsidRPr="00CB543A" w:rsidRDefault="00802621" w:rsidP="00CB543A">
      <w:pPr>
        <w:pStyle w:val="Prrafodelista"/>
        <w:spacing w:after="0" w:line="240" w:lineRule="auto"/>
        <w:ind w:right="616"/>
        <w:jc w:val="both"/>
        <w:rPr>
          <w:rFonts w:ascii="Times New Roman" w:hAnsi="Times New Roman" w:cs="Times New Roman"/>
          <w:i/>
          <w:iCs/>
          <w:color w:val="auto"/>
          <w:sz w:val="28"/>
          <w:szCs w:val="28"/>
          <w:lang w:val="es-ES" w:eastAsia="es-ES_tradnl"/>
        </w:rPr>
      </w:pPr>
      <w:r w:rsidRPr="00CB543A">
        <w:rPr>
          <w:rFonts w:ascii="Times New Roman" w:hAnsi="Times New Roman" w:cs="Times New Roman"/>
          <w:i/>
          <w:color w:val="auto"/>
          <w:sz w:val="28"/>
          <w:szCs w:val="28"/>
          <w:lang w:val="es-ES" w:eastAsia="es-ES_tradnl"/>
        </w:rPr>
        <w:t>“[…]</w:t>
      </w:r>
      <w:r w:rsidR="005F7757" w:rsidRPr="00CB543A">
        <w:rPr>
          <w:rFonts w:ascii="Times New Roman" w:hAnsi="Times New Roman" w:cs="Times New Roman"/>
          <w:i/>
          <w:color w:val="auto"/>
          <w:sz w:val="28"/>
          <w:szCs w:val="28"/>
          <w:lang w:val="es-ES" w:eastAsia="es-ES_tradnl"/>
        </w:rPr>
        <w:t xml:space="preserve"> </w:t>
      </w:r>
      <w:r w:rsidRPr="00CB543A">
        <w:rPr>
          <w:rFonts w:ascii="Times New Roman" w:hAnsi="Times New Roman" w:cs="Times New Roman"/>
          <w:i/>
          <w:iCs/>
          <w:color w:val="auto"/>
          <w:sz w:val="28"/>
          <w:szCs w:val="28"/>
          <w:lang w:val="es-ES" w:eastAsia="es-ES_tradnl"/>
        </w:rPr>
        <w:t>Esta diferencia de interpretaciones entre ambas Cortes, evidencia, precisamente,</w:t>
      </w:r>
      <w:r w:rsidR="00FD507F" w:rsidRPr="00CB543A">
        <w:rPr>
          <w:rFonts w:ascii="Times New Roman" w:hAnsi="Times New Roman" w:cs="Times New Roman"/>
          <w:i/>
          <w:iCs/>
          <w:color w:val="auto"/>
          <w:sz w:val="28"/>
          <w:szCs w:val="28"/>
          <w:lang w:val="es-ES" w:eastAsia="es-ES_tradnl"/>
        </w:rPr>
        <w:t xml:space="preserve"> </w:t>
      </w:r>
      <w:r w:rsidRPr="00CB543A">
        <w:rPr>
          <w:rFonts w:ascii="Times New Roman" w:hAnsi="Times New Roman" w:cs="Times New Roman"/>
          <w:i/>
          <w:iCs/>
          <w:color w:val="auto"/>
          <w:sz w:val="28"/>
          <w:szCs w:val="28"/>
          <w:lang w:val="es-ES" w:eastAsia="es-ES_tradnl"/>
        </w:rPr>
        <w:t xml:space="preserve">la necesidad de que sea la Sala Plena de lo Contencioso </w:t>
      </w:r>
      <w:r w:rsidR="00FD507F" w:rsidRPr="00CB543A">
        <w:rPr>
          <w:rFonts w:ascii="Times New Roman" w:hAnsi="Times New Roman" w:cs="Times New Roman"/>
          <w:i/>
          <w:iCs/>
          <w:color w:val="auto"/>
          <w:sz w:val="28"/>
          <w:szCs w:val="28"/>
          <w:lang w:val="es-ES" w:eastAsia="es-ES_tradnl"/>
        </w:rPr>
        <w:t>A</w:t>
      </w:r>
      <w:r w:rsidRPr="00CB543A">
        <w:rPr>
          <w:rFonts w:ascii="Times New Roman" w:hAnsi="Times New Roman" w:cs="Times New Roman"/>
          <w:i/>
          <w:iCs/>
          <w:color w:val="auto"/>
          <w:sz w:val="28"/>
          <w:szCs w:val="28"/>
          <w:lang w:val="es-ES" w:eastAsia="es-ES_tradnl"/>
        </w:rPr>
        <w:t>dministrativo del</w:t>
      </w:r>
      <w:r w:rsidR="00FD507F" w:rsidRPr="00CB543A">
        <w:rPr>
          <w:rFonts w:ascii="Times New Roman" w:hAnsi="Times New Roman" w:cs="Times New Roman"/>
          <w:i/>
          <w:iCs/>
          <w:color w:val="auto"/>
          <w:sz w:val="28"/>
          <w:szCs w:val="28"/>
          <w:lang w:val="es-ES" w:eastAsia="es-ES_tradnl"/>
        </w:rPr>
        <w:t xml:space="preserve"> </w:t>
      </w:r>
      <w:r w:rsidRPr="00CB543A">
        <w:rPr>
          <w:rFonts w:ascii="Times New Roman" w:hAnsi="Times New Roman" w:cs="Times New Roman"/>
          <w:i/>
          <w:iCs/>
          <w:color w:val="auto"/>
          <w:sz w:val="28"/>
          <w:szCs w:val="28"/>
          <w:lang w:val="es-ES" w:eastAsia="es-ES_tradnl"/>
        </w:rPr>
        <w:t>Consejo de Estado la que examine la línea jurisprudencial, tanto de la Corte</w:t>
      </w:r>
      <w:r w:rsidR="00FD507F" w:rsidRPr="00CB543A">
        <w:rPr>
          <w:rFonts w:ascii="Times New Roman" w:hAnsi="Times New Roman" w:cs="Times New Roman"/>
          <w:i/>
          <w:iCs/>
          <w:color w:val="auto"/>
          <w:sz w:val="28"/>
          <w:szCs w:val="28"/>
          <w:lang w:val="es-ES" w:eastAsia="es-ES_tradnl"/>
        </w:rPr>
        <w:t xml:space="preserve"> </w:t>
      </w:r>
      <w:r w:rsidRPr="00CB543A">
        <w:rPr>
          <w:rFonts w:ascii="Times New Roman" w:hAnsi="Times New Roman" w:cs="Times New Roman"/>
          <w:i/>
          <w:iCs/>
          <w:color w:val="auto"/>
          <w:sz w:val="28"/>
          <w:szCs w:val="28"/>
          <w:lang w:val="es-ES" w:eastAsia="es-ES_tradnl"/>
        </w:rPr>
        <w:t>Constitucional como la de la Sección Segunda de esta Corporación en</w:t>
      </w:r>
      <w:r w:rsidR="00FD507F" w:rsidRPr="00CB543A">
        <w:rPr>
          <w:rFonts w:ascii="Times New Roman" w:hAnsi="Times New Roman" w:cs="Times New Roman"/>
          <w:i/>
          <w:iCs/>
          <w:color w:val="auto"/>
          <w:sz w:val="28"/>
          <w:szCs w:val="28"/>
          <w:lang w:val="es-ES" w:eastAsia="es-ES_tradnl"/>
        </w:rPr>
        <w:t xml:space="preserve"> </w:t>
      </w:r>
      <w:r w:rsidRPr="00CB543A">
        <w:rPr>
          <w:rFonts w:ascii="Times New Roman" w:hAnsi="Times New Roman" w:cs="Times New Roman"/>
          <w:i/>
          <w:iCs/>
          <w:color w:val="auto"/>
          <w:sz w:val="28"/>
          <w:szCs w:val="28"/>
          <w:lang w:val="es-ES" w:eastAsia="es-ES_tradnl"/>
        </w:rPr>
        <w:t>la materia</w:t>
      </w:r>
      <w:r w:rsidR="00FD507F" w:rsidRPr="00CB543A">
        <w:rPr>
          <w:rFonts w:ascii="Times New Roman" w:hAnsi="Times New Roman" w:cs="Times New Roman"/>
          <w:i/>
          <w:iCs/>
          <w:color w:val="auto"/>
          <w:sz w:val="28"/>
          <w:szCs w:val="28"/>
          <w:lang w:val="es-ES" w:eastAsia="es-ES_tradnl"/>
        </w:rPr>
        <w:t xml:space="preserve"> </w:t>
      </w:r>
      <w:r w:rsidRPr="00CB543A">
        <w:rPr>
          <w:rFonts w:ascii="Times New Roman" w:hAnsi="Times New Roman" w:cs="Times New Roman"/>
          <w:i/>
          <w:iCs/>
          <w:color w:val="auto"/>
          <w:sz w:val="28"/>
          <w:szCs w:val="28"/>
          <w:lang w:val="es-ES" w:eastAsia="es-ES_tradnl"/>
        </w:rPr>
        <w:t>en cuestión, y asuma la postura que deba guiar no solo a la jurisdicción</w:t>
      </w:r>
      <w:r w:rsidR="00FD507F" w:rsidRPr="00CB543A">
        <w:rPr>
          <w:rFonts w:ascii="Times New Roman" w:hAnsi="Times New Roman" w:cs="Times New Roman"/>
          <w:i/>
          <w:iCs/>
          <w:color w:val="auto"/>
          <w:sz w:val="28"/>
          <w:szCs w:val="28"/>
          <w:lang w:val="es-ES" w:eastAsia="es-ES_tradnl"/>
        </w:rPr>
        <w:t xml:space="preserve"> </w:t>
      </w:r>
      <w:r w:rsidRPr="00CB543A">
        <w:rPr>
          <w:rFonts w:ascii="Times New Roman" w:hAnsi="Times New Roman" w:cs="Times New Roman"/>
          <w:i/>
          <w:iCs/>
          <w:color w:val="auto"/>
          <w:sz w:val="28"/>
          <w:szCs w:val="28"/>
          <w:lang w:val="es-ES" w:eastAsia="es-ES_tradnl"/>
        </w:rPr>
        <w:t>contenciosa administrativa del país sino las decisiones administrativas en materia</w:t>
      </w:r>
      <w:r w:rsidR="00FD507F" w:rsidRPr="00CB543A">
        <w:rPr>
          <w:rFonts w:ascii="Times New Roman" w:hAnsi="Times New Roman" w:cs="Times New Roman"/>
          <w:i/>
          <w:iCs/>
          <w:color w:val="auto"/>
          <w:sz w:val="28"/>
          <w:szCs w:val="28"/>
          <w:lang w:val="es-ES" w:eastAsia="es-ES_tradnl"/>
        </w:rPr>
        <w:t xml:space="preserve"> </w:t>
      </w:r>
      <w:r w:rsidRPr="00CB543A">
        <w:rPr>
          <w:rFonts w:ascii="Times New Roman" w:hAnsi="Times New Roman" w:cs="Times New Roman"/>
          <w:i/>
          <w:iCs/>
          <w:color w:val="auto"/>
          <w:sz w:val="28"/>
          <w:szCs w:val="28"/>
          <w:lang w:val="es-ES" w:eastAsia="es-ES_tradnl"/>
        </w:rPr>
        <w:t>pensional del régimen de transición. Que con los pronunciamientos de unos y</w:t>
      </w:r>
      <w:r w:rsidR="00FD507F" w:rsidRPr="00CB543A">
        <w:rPr>
          <w:rFonts w:ascii="Times New Roman" w:hAnsi="Times New Roman" w:cs="Times New Roman"/>
          <w:i/>
          <w:iCs/>
          <w:color w:val="auto"/>
          <w:sz w:val="28"/>
          <w:szCs w:val="28"/>
          <w:lang w:val="es-ES" w:eastAsia="es-ES_tradnl"/>
        </w:rPr>
        <w:t xml:space="preserve"> </w:t>
      </w:r>
      <w:r w:rsidRPr="00CB543A">
        <w:rPr>
          <w:rFonts w:ascii="Times New Roman" w:hAnsi="Times New Roman" w:cs="Times New Roman"/>
          <w:i/>
          <w:iCs/>
          <w:color w:val="auto"/>
          <w:sz w:val="28"/>
          <w:szCs w:val="28"/>
          <w:lang w:val="es-ES" w:eastAsia="es-ES_tradnl"/>
        </w:rPr>
        <w:t>otros se adquiera la seguridad que están acatando el precedente vertical y que</w:t>
      </w:r>
      <w:r w:rsidR="00FD507F" w:rsidRPr="00CB543A">
        <w:rPr>
          <w:rFonts w:ascii="Times New Roman" w:hAnsi="Times New Roman" w:cs="Times New Roman"/>
          <w:i/>
          <w:iCs/>
          <w:color w:val="auto"/>
          <w:sz w:val="28"/>
          <w:szCs w:val="28"/>
          <w:lang w:val="es-ES" w:eastAsia="es-ES_tradnl"/>
        </w:rPr>
        <w:t xml:space="preserve"> </w:t>
      </w:r>
      <w:r w:rsidRPr="00CB543A">
        <w:rPr>
          <w:rFonts w:ascii="Times New Roman" w:hAnsi="Times New Roman" w:cs="Times New Roman"/>
          <w:i/>
          <w:iCs/>
          <w:color w:val="auto"/>
          <w:sz w:val="28"/>
          <w:szCs w:val="28"/>
          <w:lang w:val="es-ES" w:eastAsia="es-ES_tradnl"/>
        </w:rPr>
        <w:t>aún en sede de tutela será respaldado por este órgano de cierre.</w:t>
      </w:r>
    </w:p>
    <w:p w:rsidR="00FD507F" w:rsidRPr="00CB543A" w:rsidRDefault="00FD507F" w:rsidP="00CB543A">
      <w:pPr>
        <w:pStyle w:val="Prrafodelista"/>
        <w:spacing w:after="0" w:line="240" w:lineRule="auto"/>
        <w:ind w:right="616"/>
        <w:jc w:val="both"/>
        <w:rPr>
          <w:rFonts w:ascii="Times New Roman" w:hAnsi="Times New Roman" w:cs="Times New Roman"/>
          <w:i/>
          <w:iCs/>
          <w:color w:val="auto"/>
          <w:sz w:val="28"/>
          <w:szCs w:val="28"/>
          <w:lang w:val="es-ES" w:eastAsia="es-ES_tradnl"/>
        </w:rPr>
      </w:pPr>
    </w:p>
    <w:p w:rsidR="00802621" w:rsidRPr="00CB543A" w:rsidRDefault="00802621" w:rsidP="00CB543A">
      <w:pPr>
        <w:pStyle w:val="Prrafodelista"/>
        <w:spacing w:after="0" w:line="240" w:lineRule="auto"/>
        <w:ind w:right="616"/>
        <w:jc w:val="both"/>
        <w:rPr>
          <w:rFonts w:ascii="Times New Roman" w:hAnsi="Times New Roman" w:cs="Times New Roman"/>
          <w:color w:val="auto"/>
          <w:sz w:val="28"/>
          <w:szCs w:val="28"/>
          <w:lang w:val="es-ES" w:eastAsia="es-ES_tradnl"/>
        </w:rPr>
      </w:pPr>
      <w:r w:rsidRPr="00CB543A">
        <w:rPr>
          <w:rFonts w:ascii="Times New Roman" w:hAnsi="Times New Roman" w:cs="Times New Roman"/>
          <w:i/>
          <w:iCs/>
          <w:color w:val="auto"/>
          <w:sz w:val="28"/>
          <w:szCs w:val="28"/>
          <w:lang w:val="es-ES" w:eastAsia="es-ES_tradnl"/>
        </w:rPr>
        <w:t>La gran importancia del tema radica en que deben materializarse dos de los</w:t>
      </w:r>
      <w:r w:rsidR="00FD507F" w:rsidRPr="00CB543A">
        <w:rPr>
          <w:rFonts w:ascii="Times New Roman" w:hAnsi="Times New Roman" w:cs="Times New Roman"/>
          <w:i/>
          <w:iCs/>
          <w:color w:val="auto"/>
          <w:sz w:val="28"/>
          <w:szCs w:val="28"/>
          <w:lang w:val="es-ES" w:eastAsia="es-ES_tradnl"/>
        </w:rPr>
        <w:t xml:space="preserve"> </w:t>
      </w:r>
      <w:r w:rsidRPr="00CB543A">
        <w:rPr>
          <w:rFonts w:ascii="Times New Roman" w:hAnsi="Times New Roman" w:cs="Times New Roman"/>
          <w:i/>
          <w:iCs/>
          <w:color w:val="auto"/>
          <w:sz w:val="28"/>
          <w:szCs w:val="28"/>
          <w:lang w:val="es-ES" w:eastAsia="es-ES_tradnl"/>
        </w:rPr>
        <w:t>principios fundamentales de todo ordenamiento, que son la justicia y la seguridad</w:t>
      </w:r>
      <w:r w:rsidR="00FD507F" w:rsidRPr="00CB543A">
        <w:rPr>
          <w:rFonts w:ascii="Times New Roman" w:hAnsi="Times New Roman" w:cs="Times New Roman"/>
          <w:i/>
          <w:iCs/>
          <w:color w:val="auto"/>
          <w:sz w:val="28"/>
          <w:szCs w:val="28"/>
          <w:lang w:val="es-ES" w:eastAsia="es-ES_tradnl"/>
        </w:rPr>
        <w:t xml:space="preserve"> </w:t>
      </w:r>
      <w:r w:rsidRPr="00CB543A">
        <w:rPr>
          <w:rFonts w:ascii="Times New Roman" w:hAnsi="Times New Roman" w:cs="Times New Roman"/>
          <w:i/>
          <w:iCs/>
          <w:color w:val="auto"/>
          <w:sz w:val="28"/>
          <w:szCs w:val="28"/>
          <w:lang w:val="es-ES" w:eastAsia="es-ES_tradnl"/>
        </w:rPr>
        <w:t>jurídica, no solo traducidos en función del derecho a la igualdad de que todos los</w:t>
      </w:r>
      <w:r w:rsidR="00FD507F" w:rsidRPr="00CB543A">
        <w:rPr>
          <w:rFonts w:ascii="Times New Roman" w:hAnsi="Times New Roman" w:cs="Times New Roman"/>
          <w:i/>
          <w:iCs/>
          <w:color w:val="auto"/>
          <w:sz w:val="28"/>
          <w:szCs w:val="28"/>
          <w:lang w:val="es-ES" w:eastAsia="es-ES_tradnl"/>
        </w:rPr>
        <w:t xml:space="preserve"> </w:t>
      </w:r>
      <w:r w:rsidRPr="00CB543A">
        <w:rPr>
          <w:rFonts w:ascii="Times New Roman" w:hAnsi="Times New Roman" w:cs="Times New Roman"/>
          <w:i/>
          <w:iCs/>
          <w:color w:val="auto"/>
          <w:sz w:val="28"/>
          <w:szCs w:val="28"/>
          <w:lang w:val="es-ES" w:eastAsia="es-ES_tradnl"/>
        </w:rPr>
        <w:t>casos de situaciones similares se resuelvan de la misma manera, sino también,</w:t>
      </w:r>
      <w:r w:rsidR="00FD507F" w:rsidRPr="00CB543A">
        <w:rPr>
          <w:rFonts w:ascii="Times New Roman" w:hAnsi="Times New Roman" w:cs="Times New Roman"/>
          <w:i/>
          <w:iCs/>
          <w:color w:val="auto"/>
          <w:sz w:val="28"/>
          <w:szCs w:val="28"/>
          <w:lang w:val="es-ES" w:eastAsia="es-ES_tradnl"/>
        </w:rPr>
        <w:t xml:space="preserve"> </w:t>
      </w:r>
      <w:r w:rsidRPr="00CB543A">
        <w:rPr>
          <w:rFonts w:ascii="Times New Roman" w:hAnsi="Times New Roman" w:cs="Times New Roman"/>
          <w:i/>
          <w:iCs/>
          <w:color w:val="auto"/>
          <w:sz w:val="28"/>
          <w:szCs w:val="28"/>
          <w:lang w:val="es-ES" w:eastAsia="es-ES_tradnl"/>
        </w:rPr>
        <w:t>que realmente se honre la cosa</w:t>
      </w:r>
      <w:r w:rsidR="004C46BD" w:rsidRPr="00CB543A">
        <w:rPr>
          <w:rFonts w:ascii="Times New Roman" w:hAnsi="Times New Roman" w:cs="Times New Roman"/>
          <w:i/>
          <w:iCs/>
          <w:color w:val="auto"/>
          <w:sz w:val="28"/>
          <w:szCs w:val="28"/>
          <w:lang w:val="es-ES" w:eastAsia="es-ES_tradnl"/>
        </w:rPr>
        <w:t xml:space="preserve"> juzgada y la justicia material</w:t>
      </w:r>
      <w:r w:rsidRPr="00CB543A">
        <w:rPr>
          <w:rFonts w:ascii="Times New Roman" w:hAnsi="Times New Roman" w:cs="Times New Roman"/>
          <w:i/>
          <w:color w:val="auto"/>
          <w:sz w:val="28"/>
          <w:szCs w:val="28"/>
          <w:lang w:val="es-ES" w:eastAsia="es-ES_tradnl"/>
        </w:rPr>
        <w:t>”</w:t>
      </w:r>
      <w:r w:rsidR="004C46BD" w:rsidRPr="00CB543A">
        <w:rPr>
          <w:rFonts w:ascii="Times New Roman" w:hAnsi="Times New Roman" w:cs="Times New Roman"/>
          <w:color w:val="auto"/>
          <w:sz w:val="28"/>
          <w:szCs w:val="28"/>
          <w:lang w:val="es-ES" w:eastAsia="es-ES_tradnl"/>
        </w:rPr>
        <w:t>.</w:t>
      </w:r>
    </w:p>
    <w:p w:rsidR="00FD507F" w:rsidRPr="00CB543A" w:rsidRDefault="00FD507F" w:rsidP="00CB543A">
      <w:pPr>
        <w:pStyle w:val="Prrafodelista"/>
        <w:spacing w:after="0" w:line="240" w:lineRule="auto"/>
        <w:jc w:val="both"/>
        <w:rPr>
          <w:rFonts w:ascii="Times New Roman" w:hAnsi="Times New Roman" w:cs="Times New Roman"/>
          <w:i/>
          <w:color w:val="auto"/>
          <w:sz w:val="28"/>
          <w:szCs w:val="28"/>
          <w:lang w:val="es-ES" w:eastAsia="es-ES_tradnl"/>
        </w:rPr>
      </w:pPr>
    </w:p>
    <w:p w:rsidR="00526276" w:rsidRPr="00CB543A" w:rsidRDefault="00FD507F" w:rsidP="00CB543A">
      <w:pPr>
        <w:pStyle w:val="Prrafodelista"/>
        <w:widowControl w:val="0"/>
        <w:numPr>
          <w:ilvl w:val="0"/>
          <w:numId w:val="32"/>
        </w:numPr>
        <w:tabs>
          <w:tab w:val="left" w:pos="284"/>
          <w:tab w:val="left" w:pos="426"/>
          <w:tab w:val="left" w:pos="567"/>
        </w:tabs>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 xml:space="preserve">En suma, advierte la Sala que la tesis vigente en la jurisdicción de lo contencioso administrativo, en cuanto a la interpretación del artículo </w:t>
      </w:r>
      <w:r w:rsidR="00FC6FE1" w:rsidRPr="00CB543A">
        <w:rPr>
          <w:rFonts w:ascii="Times New Roman" w:hAnsi="Times New Roman" w:cs="Times New Roman"/>
          <w:sz w:val="28"/>
          <w:szCs w:val="28"/>
        </w:rPr>
        <w:t>36 de la Ley 100 de 1993</w:t>
      </w:r>
      <w:r w:rsidRPr="00CB543A">
        <w:rPr>
          <w:rFonts w:ascii="Times New Roman" w:hAnsi="Times New Roman" w:cs="Times New Roman"/>
          <w:sz w:val="28"/>
          <w:szCs w:val="28"/>
        </w:rPr>
        <w:t xml:space="preserve">, </w:t>
      </w:r>
      <w:r w:rsidR="004C46BD" w:rsidRPr="00CB543A">
        <w:rPr>
          <w:rFonts w:ascii="Times New Roman" w:hAnsi="Times New Roman" w:cs="Times New Roman"/>
          <w:sz w:val="28"/>
          <w:szCs w:val="28"/>
        </w:rPr>
        <w:t xml:space="preserve">es </w:t>
      </w:r>
      <w:r w:rsidRPr="00CB543A">
        <w:rPr>
          <w:rFonts w:ascii="Times New Roman" w:hAnsi="Times New Roman" w:cs="Times New Roman"/>
          <w:sz w:val="28"/>
          <w:szCs w:val="28"/>
        </w:rPr>
        <w:t xml:space="preserve">que </w:t>
      </w:r>
      <w:r w:rsidR="00FC6FE1" w:rsidRPr="00CB543A">
        <w:rPr>
          <w:rFonts w:ascii="Times New Roman" w:hAnsi="Times New Roman" w:cs="Times New Roman"/>
          <w:sz w:val="28"/>
          <w:szCs w:val="28"/>
        </w:rPr>
        <w:t>a los beneficiarios del régimen de transición se les debe aplicar en su integridad el régimen anterior</w:t>
      </w:r>
      <w:r w:rsidRPr="00CB543A">
        <w:rPr>
          <w:rFonts w:ascii="Times New Roman" w:hAnsi="Times New Roman" w:cs="Times New Roman"/>
          <w:sz w:val="28"/>
          <w:szCs w:val="28"/>
        </w:rPr>
        <w:t xml:space="preserve">, incluso, calculando el IBL </w:t>
      </w:r>
      <w:r w:rsidR="00671A4F" w:rsidRPr="00CB543A">
        <w:rPr>
          <w:rFonts w:ascii="Times New Roman" w:hAnsi="Times New Roman" w:cs="Times New Roman"/>
          <w:sz w:val="28"/>
          <w:szCs w:val="28"/>
        </w:rPr>
        <w:t>con fundamento en</w:t>
      </w:r>
      <w:r w:rsidR="00FC6FE1" w:rsidRPr="00CB543A">
        <w:rPr>
          <w:rFonts w:ascii="Times New Roman" w:hAnsi="Times New Roman" w:cs="Times New Roman"/>
          <w:sz w:val="28"/>
          <w:szCs w:val="28"/>
        </w:rPr>
        <w:t xml:space="preserve"> </w:t>
      </w:r>
      <w:r w:rsidR="00671A4F" w:rsidRPr="00CB543A">
        <w:rPr>
          <w:rFonts w:ascii="Times New Roman" w:hAnsi="Times New Roman" w:cs="Times New Roman"/>
          <w:sz w:val="28"/>
          <w:szCs w:val="28"/>
        </w:rPr>
        <w:t xml:space="preserve">dicho </w:t>
      </w:r>
      <w:r w:rsidR="00FC6FE1" w:rsidRPr="00CB543A">
        <w:rPr>
          <w:rFonts w:ascii="Times New Roman" w:hAnsi="Times New Roman" w:cs="Times New Roman"/>
          <w:sz w:val="28"/>
          <w:szCs w:val="28"/>
        </w:rPr>
        <w:t xml:space="preserve">régimen y no </w:t>
      </w:r>
      <w:r w:rsidR="00671A4F" w:rsidRPr="00CB543A">
        <w:rPr>
          <w:rFonts w:ascii="Times New Roman" w:hAnsi="Times New Roman" w:cs="Times New Roman"/>
          <w:sz w:val="28"/>
          <w:szCs w:val="28"/>
        </w:rPr>
        <w:t xml:space="preserve">con la legislación </w:t>
      </w:r>
      <w:r w:rsidR="009046EF" w:rsidRPr="00CB543A">
        <w:rPr>
          <w:rFonts w:ascii="Times New Roman" w:hAnsi="Times New Roman" w:cs="Times New Roman"/>
          <w:sz w:val="28"/>
          <w:szCs w:val="28"/>
        </w:rPr>
        <w:t xml:space="preserve">que se encuentre </w:t>
      </w:r>
      <w:r w:rsidR="00671A4F" w:rsidRPr="00CB543A">
        <w:rPr>
          <w:rFonts w:ascii="Times New Roman" w:hAnsi="Times New Roman" w:cs="Times New Roman"/>
          <w:sz w:val="28"/>
          <w:szCs w:val="28"/>
        </w:rPr>
        <w:t>vigente a la hora de liquidar la prestación económica</w:t>
      </w:r>
      <w:r w:rsidR="009046EF" w:rsidRPr="00CB543A">
        <w:rPr>
          <w:rFonts w:ascii="Times New Roman" w:hAnsi="Times New Roman" w:cs="Times New Roman"/>
          <w:sz w:val="28"/>
          <w:szCs w:val="28"/>
        </w:rPr>
        <w:t xml:space="preserve"> respectiva</w:t>
      </w:r>
      <w:r w:rsidRPr="00CB543A">
        <w:rPr>
          <w:rFonts w:ascii="Times New Roman" w:hAnsi="Times New Roman" w:cs="Times New Roman"/>
          <w:sz w:val="28"/>
          <w:szCs w:val="28"/>
        </w:rPr>
        <w:t>.</w:t>
      </w:r>
    </w:p>
    <w:p w:rsidR="001B38D5" w:rsidRPr="00CB543A" w:rsidRDefault="001B38D5" w:rsidP="00CB543A">
      <w:pPr>
        <w:widowControl w:val="0"/>
        <w:tabs>
          <w:tab w:val="left" w:pos="426"/>
          <w:tab w:val="left" w:pos="6096"/>
        </w:tabs>
        <w:spacing w:after="0" w:line="240" w:lineRule="auto"/>
        <w:jc w:val="both"/>
        <w:rPr>
          <w:rFonts w:ascii="Times New Roman" w:hAnsi="Times New Roman" w:cs="Times New Roman"/>
          <w:sz w:val="28"/>
          <w:szCs w:val="28"/>
        </w:rPr>
      </w:pPr>
    </w:p>
    <w:p w:rsidR="00790769" w:rsidRPr="00CB543A" w:rsidRDefault="00357C8C" w:rsidP="00CB543A">
      <w:pPr>
        <w:pStyle w:val="Prrafodelista"/>
        <w:widowControl w:val="0"/>
        <w:numPr>
          <w:ilvl w:val="3"/>
          <w:numId w:val="11"/>
        </w:numPr>
        <w:spacing w:after="0" w:line="240" w:lineRule="auto"/>
        <w:ind w:left="0" w:firstLine="0"/>
        <w:jc w:val="both"/>
        <w:rPr>
          <w:rFonts w:ascii="Times New Roman" w:hAnsi="Times New Roman" w:cs="Times New Roman"/>
          <w:b/>
          <w:sz w:val="28"/>
          <w:szCs w:val="28"/>
        </w:rPr>
      </w:pPr>
      <w:r w:rsidRPr="00CB543A">
        <w:rPr>
          <w:rFonts w:ascii="Times New Roman" w:hAnsi="Times New Roman" w:cs="Times New Roman"/>
          <w:b/>
          <w:sz w:val="28"/>
          <w:szCs w:val="28"/>
        </w:rPr>
        <w:t xml:space="preserve">Corte Constitucional </w:t>
      </w:r>
    </w:p>
    <w:p w:rsidR="00FB51B1" w:rsidRPr="00CB543A" w:rsidRDefault="00FB51B1" w:rsidP="00CB543A">
      <w:pPr>
        <w:widowControl w:val="0"/>
        <w:spacing w:after="0" w:line="240" w:lineRule="auto"/>
        <w:jc w:val="both"/>
        <w:rPr>
          <w:rFonts w:ascii="Times New Roman" w:hAnsi="Times New Roman" w:cs="Times New Roman"/>
          <w:b/>
          <w:sz w:val="28"/>
          <w:szCs w:val="28"/>
        </w:rPr>
      </w:pPr>
    </w:p>
    <w:p w:rsidR="00FB51B1" w:rsidRPr="00CB543A" w:rsidRDefault="0095369C" w:rsidP="00CB543A">
      <w:pPr>
        <w:pStyle w:val="Prrafodelista"/>
        <w:widowControl w:val="0"/>
        <w:numPr>
          <w:ilvl w:val="0"/>
          <w:numId w:val="32"/>
        </w:numPr>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 xml:space="preserve">En la </w:t>
      </w:r>
      <w:r w:rsidR="00F96C8C" w:rsidRPr="00CB543A">
        <w:rPr>
          <w:rFonts w:ascii="Times New Roman" w:hAnsi="Times New Roman" w:cs="Times New Roman"/>
          <w:sz w:val="28"/>
          <w:szCs w:val="28"/>
        </w:rPr>
        <w:t xml:space="preserve">jurisprudencia constitucional pueden diferenciarse </w:t>
      </w:r>
      <w:r w:rsidRPr="00CB543A">
        <w:rPr>
          <w:rFonts w:ascii="Times New Roman" w:hAnsi="Times New Roman" w:cs="Times New Roman"/>
          <w:sz w:val="28"/>
          <w:szCs w:val="28"/>
        </w:rPr>
        <w:t>dos etapas</w:t>
      </w:r>
      <w:r w:rsidR="00F96C8C" w:rsidRPr="00CB543A">
        <w:rPr>
          <w:rFonts w:ascii="Times New Roman" w:hAnsi="Times New Roman" w:cs="Times New Roman"/>
          <w:sz w:val="28"/>
          <w:szCs w:val="28"/>
        </w:rPr>
        <w:t>. U</w:t>
      </w:r>
      <w:r w:rsidRPr="00CB543A">
        <w:rPr>
          <w:rFonts w:ascii="Times New Roman" w:hAnsi="Times New Roman" w:cs="Times New Roman"/>
          <w:sz w:val="28"/>
          <w:szCs w:val="28"/>
        </w:rPr>
        <w:t>na</w:t>
      </w:r>
      <w:r w:rsidR="00F96C8C" w:rsidRPr="00CB543A">
        <w:rPr>
          <w:rFonts w:ascii="Times New Roman" w:hAnsi="Times New Roman" w:cs="Times New Roman"/>
          <w:sz w:val="28"/>
          <w:szCs w:val="28"/>
        </w:rPr>
        <w:t>,</w:t>
      </w:r>
      <w:r w:rsidRPr="00CB543A">
        <w:rPr>
          <w:rFonts w:ascii="Times New Roman" w:hAnsi="Times New Roman" w:cs="Times New Roman"/>
          <w:sz w:val="28"/>
          <w:szCs w:val="28"/>
        </w:rPr>
        <w:t xml:space="preserve"> antes de </w:t>
      </w:r>
      <w:r w:rsidR="00F96C8C" w:rsidRPr="00CB543A">
        <w:rPr>
          <w:rFonts w:ascii="Times New Roman" w:hAnsi="Times New Roman" w:cs="Times New Roman"/>
          <w:sz w:val="28"/>
          <w:szCs w:val="28"/>
        </w:rPr>
        <w:t>la expedición de las</w:t>
      </w:r>
      <w:r w:rsidRPr="00CB543A">
        <w:rPr>
          <w:rFonts w:ascii="Times New Roman" w:hAnsi="Times New Roman" w:cs="Times New Roman"/>
          <w:sz w:val="28"/>
          <w:szCs w:val="28"/>
        </w:rPr>
        <w:t xml:space="preserve"> sentencia</w:t>
      </w:r>
      <w:r w:rsidR="00F96C8C" w:rsidRPr="00CB543A">
        <w:rPr>
          <w:rFonts w:ascii="Times New Roman" w:hAnsi="Times New Roman" w:cs="Times New Roman"/>
          <w:sz w:val="28"/>
          <w:szCs w:val="28"/>
        </w:rPr>
        <w:t>s</w:t>
      </w:r>
      <w:r w:rsidRPr="00CB543A">
        <w:rPr>
          <w:rFonts w:ascii="Times New Roman" w:hAnsi="Times New Roman" w:cs="Times New Roman"/>
          <w:sz w:val="28"/>
          <w:szCs w:val="28"/>
        </w:rPr>
        <w:t xml:space="preserve"> C-253 de 2013 y SU-230 de 2015</w:t>
      </w:r>
      <w:r w:rsidR="00F96C8C" w:rsidRPr="00CB543A">
        <w:rPr>
          <w:rFonts w:ascii="Times New Roman" w:hAnsi="Times New Roman" w:cs="Times New Roman"/>
          <w:sz w:val="28"/>
          <w:szCs w:val="28"/>
        </w:rPr>
        <w:t xml:space="preserve"> (periodo en el cual se profirió la Sentencia </w:t>
      </w:r>
      <w:r w:rsidR="0081119E" w:rsidRPr="00CB543A">
        <w:rPr>
          <w:rFonts w:ascii="Times New Roman" w:hAnsi="Times New Roman" w:cs="Times New Roman"/>
          <w:sz w:val="28"/>
          <w:szCs w:val="28"/>
        </w:rPr>
        <w:t>T-022 de 2010</w:t>
      </w:r>
      <w:r w:rsidR="00D92754" w:rsidRPr="00CB543A">
        <w:rPr>
          <w:rFonts w:ascii="Times New Roman" w:hAnsi="Times New Roman" w:cs="Times New Roman"/>
          <w:sz w:val="28"/>
          <w:szCs w:val="28"/>
        </w:rPr>
        <w:t xml:space="preserve"> y el Auto 144 de 2012</w:t>
      </w:r>
      <w:r w:rsidR="00F96C8C" w:rsidRPr="00CB543A">
        <w:rPr>
          <w:rFonts w:ascii="Times New Roman" w:hAnsi="Times New Roman" w:cs="Times New Roman"/>
          <w:sz w:val="28"/>
          <w:szCs w:val="28"/>
        </w:rPr>
        <w:t>)</w:t>
      </w:r>
      <w:r w:rsidRPr="00CB543A">
        <w:rPr>
          <w:rFonts w:ascii="Times New Roman" w:hAnsi="Times New Roman" w:cs="Times New Roman"/>
          <w:sz w:val="28"/>
          <w:szCs w:val="28"/>
        </w:rPr>
        <w:t xml:space="preserve"> y otra después de estas decisiones. En la primera etapa, de la que son </w:t>
      </w:r>
      <w:r w:rsidR="00D92754" w:rsidRPr="00CB543A">
        <w:rPr>
          <w:rFonts w:ascii="Times New Roman" w:hAnsi="Times New Roman" w:cs="Times New Roman"/>
          <w:sz w:val="28"/>
          <w:szCs w:val="28"/>
        </w:rPr>
        <w:t xml:space="preserve">ejemplo </w:t>
      </w:r>
      <w:r w:rsidRPr="00CB543A">
        <w:rPr>
          <w:rFonts w:ascii="Times New Roman" w:hAnsi="Times New Roman" w:cs="Times New Roman"/>
          <w:sz w:val="28"/>
          <w:szCs w:val="28"/>
        </w:rPr>
        <w:t xml:space="preserve">las sentencias </w:t>
      </w:r>
      <w:r w:rsidR="00076BFA" w:rsidRPr="00CB543A">
        <w:rPr>
          <w:rFonts w:ascii="Times New Roman" w:hAnsi="Times New Roman" w:cs="Times New Roman"/>
          <w:sz w:val="28"/>
          <w:szCs w:val="28"/>
        </w:rPr>
        <w:t>T-1122 de 2000, T-1000 de 2002, T-830 de 2004</w:t>
      </w:r>
      <w:r w:rsidR="00D92754" w:rsidRPr="00CB543A">
        <w:rPr>
          <w:rFonts w:ascii="Times New Roman" w:hAnsi="Times New Roman" w:cs="Times New Roman"/>
          <w:sz w:val="28"/>
          <w:szCs w:val="28"/>
        </w:rPr>
        <w:t xml:space="preserve">, </w:t>
      </w:r>
      <w:r w:rsidR="00076BFA" w:rsidRPr="00CB543A">
        <w:rPr>
          <w:rFonts w:ascii="Times New Roman" w:hAnsi="Times New Roman" w:cs="Times New Roman"/>
          <w:sz w:val="28"/>
          <w:szCs w:val="28"/>
        </w:rPr>
        <w:t>T-1087 de 2006, T</w:t>
      </w:r>
      <w:r w:rsidR="00D92754" w:rsidRPr="00CB543A">
        <w:rPr>
          <w:rFonts w:ascii="Times New Roman" w:hAnsi="Times New Roman" w:cs="Times New Roman"/>
          <w:sz w:val="28"/>
          <w:szCs w:val="28"/>
        </w:rPr>
        <w:t>-</w:t>
      </w:r>
      <w:r w:rsidR="00076BFA" w:rsidRPr="00CB543A">
        <w:rPr>
          <w:rFonts w:ascii="Times New Roman" w:hAnsi="Times New Roman" w:cs="Times New Roman"/>
          <w:sz w:val="28"/>
          <w:szCs w:val="28"/>
        </w:rPr>
        <w:t>143 de 2008 y T-610 de 2009</w:t>
      </w:r>
      <w:r w:rsidRPr="00CB543A">
        <w:rPr>
          <w:rFonts w:ascii="Times New Roman" w:hAnsi="Times New Roman" w:cs="Times New Roman"/>
          <w:sz w:val="28"/>
          <w:szCs w:val="28"/>
        </w:rPr>
        <w:t>, la</w:t>
      </w:r>
      <w:r w:rsidR="00D92754" w:rsidRPr="00CB543A">
        <w:rPr>
          <w:rFonts w:ascii="Times New Roman" w:hAnsi="Times New Roman" w:cs="Times New Roman"/>
          <w:sz w:val="28"/>
          <w:szCs w:val="28"/>
        </w:rPr>
        <w:t xml:space="preserve">s Salas de Revisión de la Corte Constitucional señalaron </w:t>
      </w:r>
      <w:r w:rsidRPr="00CB543A">
        <w:rPr>
          <w:rFonts w:ascii="Times New Roman" w:hAnsi="Times New Roman" w:cs="Times New Roman"/>
          <w:sz w:val="28"/>
          <w:szCs w:val="28"/>
        </w:rPr>
        <w:t xml:space="preserve">que </w:t>
      </w:r>
      <w:r w:rsidR="00D92754" w:rsidRPr="00CB543A">
        <w:rPr>
          <w:rFonts w:ascii="Times New Roman" w:hAnsi="Times New Roman" w:cs="Times New Roman"/>
          <w:sz w:val="28"/>
          <w:szCs w:val="28"/>
        </w:rPr>
        <w:t>se vulneraban</w:t>
      </w:r>
      <w:r w:rsidR="00076BFA" w:rsidRPr="00CB543A">
        <w:rPr>
          <w:rFonts w:ascii="Times New Roman" w:hAnsi="Times New Roman" w:cs="Times New Roman"/>
          <w:sz w:val="28"/>
          <w:szCs w:val="28"/>
        </w:rPr>
        <w:t xml:space="preserve"> los derechos </w:t>
      </w:r>
      <w:r w:rsidR="003D0D03" w:rsidRPr="00CB543A">
        <w:rPr>
          <w:rFonts w:ascii="Times New Roman" w:hAnsi="Times New Roman" w:cs="Times New Roman"/>
          <w:sz w:val="28"/>
          <w:szCs w:val="28"/>
        </w:rPr>
        <w:t>pensionales cuando no se aplicaba</w:t>
      </w:r>
      <w:r w:rsidR="00076BFA" w:rsidRPr="00CB543A">
        <w:rPr>
          <w:rFonts w:ascii="Times New Roman" w:hAnsi="Times New Roman" w:cs="Times New Roman"/>
          <w:sz w:val="28"/>
          <w:szCs w:val="28"/>
        </w:rPr>
        <w:t xml:space="preserve"> en su integridad el régimen especial en el que se enc</w:t>
      </w:r>
      <w:r w:rsidR="003D0D03" w:rsidRPr="00CB543A">
        <w:rPr>
          <w:rFonts w:ascii="Times New Roman" w:hAnsi="Times New Roman" w:cs="Times New Roman"/>
          <w:sz w:val="28"/>
          <w:szCs w:val="28"/>
        </w:rPr>
        <w:t>ontraban</w:t>
      </w:r>
      <w:r w:rsidR="00076BFA" w:rsidRPr="00CB543A">
        <w:rPr>
          <w:rFonts w:ascii="Times New Roman" w:hAnsi="Times New Roman" w:cs="Times New Roman"/>
          <w:sz w:val="28"/>
          <w:szCs w:val="28"/>
        </w:rPr>
        <w:t xml:space="preserve"> amparado</w:t>
      </w:r>
      <w:r w:rsidR="003D0D03" w:rsidRPr="00CB543A">
        <w:rPr>
          <w:rFonts w:ascii="Times New Roman" w:hAnsi="Times New Roman" w:cs="Times New Roman"/>
          <w:sz w:val="28"/>
          <w:szCs w:val="28"/>
        </w:rPr>
        <w:t>s</w:t>
      </w:r>
      <w:r w:rsidR="00076BFA" w:rsidRPr="00CB543A">
        <w:rPr>
          <w:rFonts w:ascii="Times New Roman" w:hAnsi="Times New Roman" w:cs="Times New Roman"/>
          <w:sz w:val="28"/>
          <w:szCs w:val="28"/>
        </w:rPr>
        <w:t xml:space="preserve"> </w:t>
      </w:r>
      <w:r w:rsidR="003D0D03" w:rsidRPr="00CB543A">
        <w:rPr>
          <w:rFonts w:ascii="Times New Roman" w:hAnsi="Times New Roman" w:cs="Times New Roman"/>
          <w:sz w:val="28"/>
          <w:szCs w:val="28"/>
        </w:rPr>
        <w:t xml:space="preserve">los </w:t>
      </w:r>
      <w:r w:rsidR="00076BFA" w:rsidRPr="00CB543A">
        <w:rPr>
          <w:rFonts w:ascii="Times New Roman" w:hAnsi="Times New Roman" w:cs="Times New Roman"/>
          <w:sz w:val="28"/>
          <w:szCs w:val="28"/>
        </w:rPr>
        <w:t>beneficiario</w:t>
      </w:r>
      <w:r w:rsidR="003D0D03" w:rsidRPr="00CB543A">
        <w:rPr>
          <w:rFonts w:ascii="Times New Roman" w:hAnsi="Times New Roman" w:cs="Times New Roman"/>
          <w:sz w:val="28"/>
          <w:szCs w:val="28"/>
        </w:rPr>
        <w:t>s</w:t>
      </w:r>
      <w:r w:rsidR="00076BFA" w:rsidRPr="00CB543A">
        <w:rPr>
          <w:rFonts w:ascii="Times New Roman" w:hAnsi="Times New Roman" w:cs="Times New Roman"/>
          <w:sz w:val="28"/>
          <w:szCs w:val="28"/>
        </w:rPr>
        <w:t xml:space="preserve"> del régimen de transición</w:t>
      </w:r>
      <w:r w:rsidRPr="00CB543A">
        <w:rPr>
          <w:rFonts w:ascii="Times New Roman" w:hAnsi="Times New Roman" w:cs="Times New Roman"/>
          <w:sz w:val="28"/>
          <w:szCs w:val="28"/>
        </w:rPr>
        <w:t xml:space="preserve">. </w:t>
      </w:r>
      <w:r w:rsidR="00D92754" w:rsidRPr="00CB543A">
        <w:rPr>
          <w:rFonts w:ascii="Times New Roman" w:hAnsi="Times New Roman" w:cs="Times New Roman"/>
          <w:sz w:val="28"/>
          <w:szCs w:val="28"/>
        </w:rPr>
        <w:t xml:space="preserve">Lo anterior, </w:t>
      </w:r>
      <w:r w:rsidRPr="00CB543A">
        <w:rPr>
          <w:rFonts w:ascii="Times New Roman" w:hAnsi="Times New Roman" w:cs="Times New Roman"/>
          <w:sz w:val="28"/>
          <w:szCs w:val="28"/>
        </w:rPr>
        <w:t xml:space="preserve">con fundamento en el principio de favorabilidad en material laboral y la interpretación </w:t>
      </w:r>
      <w:r w:rsidR="00144F7F" w:rsidRPr="00CB543A">
        <w:rPr>
          <w:rFonts w:ascii="Times New Roman" w:hAnsi="Times New Roman" w:cs="Times New Roman"/>
          <w:sz w:val="28"/>
          <w:szCs w:val="28"/>
        </w:rPr>
        <w:t xml:space="preserve">constitucional </w:t>
      </w:r>
      <w:r w:rsidRPr="00CB543A">
        <w:rPr>
          <w:rFonts w:ascii="Times New Roman" w:hAnsi="Times New Roman" w:cs="Times New Roman"/>
          <w:sz w:val="28"/>
          <w:szCs w:val="28"/>
        </w:rPr>
        <w:t>que del mismo</w:t>
      </w:r>
      <w:r w:rsidR="00076BFA" w:rsidRPr="00CB543A">
        <w:rPr>
          <w:rFonts w:ascii="Times New Roman" w:hAnsi="Times New Roman" w:cs="Times New Roman"/>
          <w:sz w:val="28"/>
          <w:szCs w:val="28"/>
        </w:rPr>
        <w:t xml:space="preserve">, hasta ese momento, </w:t>
      </w:r>
      <w:r w:rsidR="00D92754" w:rsidRPr="00CB543A">
        <w:rPr>
          <w:rFonts w:ascii="Times New Roman" w:hAnsi="Times New Roman" w:cs="Times New Roman"/>
          <w:sz w:val="28"/>
          <w:szCs w:val="28"/>
        </w:rPr>
        <w:t xml:space="preserve">había hecho la Sala Plena, en ejercicio del control abstracto de constitucionalidad, en especial, en </w:t>
      </w:r>
      <w:r w:rsidRPr="00CB543A">
        <w:rPr>
          <w:rFonts w:ascii="Times New Roman" w:hAnsi="Times New Roman" w:cs="Times New Roman"/>
          <w:sz w:val="28"/>
          <w:szCs w:val="28"/>
        </w:rPr>
        <w:t xml:space="preserve">las sentencias </w:t>
      </w:r>
      <w:r w:rsidR="00076BFA" w:rsidRPr="00CB543A">
        <w:rPr>
          <w:rFonts w:ascii="Times New Roman" w:hAnsi="Times New Roman" w:cs="Times New Roman"/>
          <w:sz w:val="28"/>
          <w:szCs w:val="28"/>
        </w:rPr>
        <w:t>C-168 de 1995 y C-</w:t>
      </w:r>
      <w:r w:rsidR="00D0351A" w:rsidRPr="00CB543A">
        <w:rPr>
          <w:rFonts w:ascii="Times New Roman" w:hAnsi="Times New Roman" w:cs="Times New Roman"/>
          <w:sz w:val="28"/>
          <w:szCs w:val="28"/>
        </w:rPr>
        <w:t>279 de 1996</w:t>
      </w:r>
      <w:r w:rsidRPr="00CB543A">
        <w:rPr>
          <w:rFonts w:ascii="Times New Roman" w:hAnsi="Times New Roman" w:cs="Times New Roman"/>
          <w:sz w:val="28"/>
          <w:szCs w:val="28"/>
        </w:rPr>
        <w:t>.</w:t>
      </w:r>
    </w:p>
    <w:p w:rsidR="00A06C1D" w:rsidRPr="00CB543A" w:rsidRDefault="00A06C1D" w:rsidP="00CB543A">
      <w:pPr>
        <w:pStyle w:val="Prrafodelista"/>
        <w:widowControl w:val="0"/>
        <w:spacing w:after="0" w:line="240" w:lineRule="auto"/>
        <w:ind w:left="0"/>
        <w:jc w:val="both"/>
        <w:rPr>
          <w:rFonts w:ascii="Times New Roman" w:hAnsi="Times New Roman" w:cs="Times New Roman"/>
          <w:sz w:val="28"/>
          <w:szCs w:val="28"/>
        </w:rPr>
      </w:pPr>
    </w:p>
    <w:p w:rsidR="00D03A46" w:rsidRPr="00CB543A" w:rsidRDefault="00D92754" w:rsidP="00CB543A">
      <w:pPr>
        <w:pStyle w:val="Prrafodelista"/>
        <w:widowControl w:val="0"/>
        <w:numPr>
          <w:ilvl w:val="0"/>
          <w:numId w:val="32"/>
        </w:numPr>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La segunda etapa inició con la expedición de la S</w:t>
      </w:r>
      <w:r w:rsidR="003E2728" w:rsidRPr="00CB543A">
        <w:rPr>
          <w:rFonts w:ascii="Times New Roman" w:hAnsi="Times New Roman" w:cs="Times New Roman"/>
          <w:sz w:val="28"/>
          <w:szCs w:val="28"/>
        </w:rPr>
        <w:t xml:space="preserve">entencia </w:t>
      </w:r>
      <w:r w:rsidR="000F1180" w:rsidRPr="00CB543A">
        <w:rPr>
          <w:rFonts w:ascii="Times New Roman" w:hAnsi="Times New Roman" w:cs="Times New Roman"/>
          <w:sz w:val="28"/>
          <w:szCs w:val="28"/>
        </w:rPr>
        <w:t>C-258</w:t>
      </w:r>
      <w:r w:rsidR="00A06C1D" w:rsidRPr="00CB543A">
        <w:rPr>
          <w:rFonts w:ascii="Times New Roman" w:hAnsi="Times New Roman" w:cs="Times New Roman"/>
          <w:sz w:val="28"/>
          <w:szCs w:val="28"/>
        </w:rPr>
        <w:t xml:space="preserve"> </w:t>
      </w:r>
      <w:r w:rsidRPr="00CB543A">
        <w:rPr>
          <w:rFonts w:ascii="Times New Roman" w:hAnsi="Times New Roman" w:cs="Times New Roman"/>
          <w:sz w:val="28"/>
          <w:szCs w:val="28"/>
        </w:rPr>
        <w:t xml:space="preserve">de </w:t>
      </w:r>
      <w:r w:rsidR="003E2728" w:rsidRPr="00CB543A">
        <w:rPr>
          <w:rFonts w:ascii="Times New Roman" w:hAnsi="Times New Roman" w:cs="Times New Roman"/>
          <w:sz w:val="28"/>
          <w:szCs w:val="28"/>
        </w:rPr>
        <w:t>2013</w:t>
      </w:r>
      <w:r w:rsidRPr="00CB543A">
        <w:rPr>
          <w:rFonts w:ascii="Times New Roman" w:hAnsi="Times New Roman" w:cs="Times New Roman"/>
          <w:sz w:val="28"/>
          <w:szCs w:val="28"/>
        </w:rPr>
        <w:t xml:space="preserve">, la cual se ha consolidado hasta la actualidad. En dicha sentencia, </w:t>
      </w:r>
      <w:r w:rsidR="003E2728" w:rsidRPr="00CB543A">
        <w:rPr>
          <w:rFonts w:ascii="Times New Roman" w:hAnsi="Times New Roman" w:cs="Times New Roman"/>
          <w:sz w:val="28"/>
          <w:szCs w:val="28"/>
        </w:rPr>
        <w:t xml:space="preserve">la Corte estableció unos parámetros de interpretación del régimen especial que </w:t>
      </w:r>
      <w:r w:rsidR="00D03A46" w:rsidRPr="00CB543A">
        <w:rPr>
          <w:rFonts w:ascii="Times New Roman" w:hAnsi="Times New Roman" w:cs="Times New Roman"/>
          <w:sz w:val="28"/>
          <w:szCs w:val="28"/>
        </w:rPr>
        <w:t xml:space="preserve">se contenía en </w:t>
      </w:r>
      <w:r w:rsidR="003E2728" w:rsidRPr="00CB543A">
        <w:rPr>
          <w:rFonts w:ascii="Times New Roman" w:hAnsi="Times New Roman" w:cs="Times New Roman"/>
          <w:sz w:val="28"/>
          <w:szCs w:val="28"/>
        </w:rPr>
        <w:t>la Ley 4ª de 1992</w:t>
      </w:r>
      <w:r w:rsidR="00D03A46" w:rsidRPr="00CB543A">
        <w:rPr>
          <w:rFonts w:ascii="Times New Roman" w:hAnsi="Times New Roman" w:cs="Times New Roman"/>
          <w:sz w:val="28"/>
          <w:szCs w:val="28"/>
        </w:rPr>
        <w:t>.</w:t>
      </w:r>
      <w:r w:rsidR="003E2728" w:rsidRPr="00CB543A">
        <w:rPr>
          <w:rFonts w:ascii="Times New Roman" w:hAnsi="Times New Roman" w:cs="Times New Roman"/>
          <w:sz w:val="28"/>
          <w:szCs w:val="28"/>
        </w:rPr>
        <w:t xml:space="preserve"> </w:t>
      </w:r>
      <w:r w:rsidR="00D03A46" w:rsidRPr="00CB543A">
        <w:rPr>
          <w:rFonts w:ascii="Times New Roman" w:hAnsi="Times New Roman" w:cs="Times New Roman"/>
          <w:sz w:val="28"/>
          <w:szCs w:val="28"/>
        </w:rPr>
        <w:t>Estableció</w:t>
      </w:r>
      <w:r w:rsidR="003E2728" w:rsidRPr="00CB543A">
        <w:rPr>
          <w:rFonts w:ascii="Times New Roman" w:hAnsi="Times New Roman" w:cs="Times New Roman"/>
          <w:sz w:val="28"/>
          <w:szCs w:val="28"/>
        </w:rPr>
        <w:t xml:space="preserve">, </w:t>
      </w:r>
      <w:r w:rsidR="00BC4EBD" w:rsidRPr="00CB543A">
        <w:rPr>
          <w:rFonts w:ascii="Times New Roman" w:hAnsi="Times New Roman" w:cs="Times New Roman"/>
          <w:sz w:val="28"/>
          <w:szCs w:val="28"/>
        </w:rPr>
        <w:t>entre otras cosas</w:t>
      </w:r>
      <w:r w:rsidR="003E2728" w:rsidRPr="00CB543A">
        <w:rPr>
          <w:rFonts w:ascii="Times New Roman" w:hAnsi="Times New Roman" w:cs="Times New Roman"/>
          <w:sz w:val="28"/>
          <w:szCs w:val="28"/>
        </w:rPr>
        <w:t xml:space="preserve">, </w:t>
      </w:r>
      <w:r w:rsidR="00BC4EBD" w:rsidRPr="00CB543A">
        <w:rPr>
          <w:rFonts w:ascii="Times New Roman" w:hAnsi="Times New Roman" w:cs="Times New Roman"/>
          <w:sz w:val="28"/>
          <w:szCs w:val="28"/>
        </w:rPr>
        <w:t xml:space="preserve">que no </w:t>
      </w:r>
      <w:r w:rsidR="00D03A46" w:rsidRPr="00CB543A">
        <w:rPr>
          <w:rFonts w:ascii="Times New Roman" w:hAnsi="Times New Roman" w:cs="Times New Roman"/>
          <w:sz w:val="28"/>
          <w:szCs w:val="28"/>
        </w:rPr>
        <w:t xml:space="preserve">había fundamento alguno </w:t>
      </w:r>
      <w:r w:rsidR="00BC4EBD" w:rsidRPr="00CB543A">
        <w:rPr>
          <w:rFonts w:ascii="Times New Roman" w:hAnsi="Times New Roman" w:cs="Times New Roman"/>
          <w:sz w:val="28"/>
          <w:szCs w:val="28"/>
        </w:rPr>
        <w:t xml:space="preserve">para extender </w:t>
      </w:r>
      <w:r w:rsidR="00066822" w:rsidRPr="00CB543A">
        <w:rPr>
          <w:rFonts w:ascii="Times New Roman" w:hAnsi="Times New Roman" w:cs="Times New Roman"/>
          <w:sz w:val="28"/>
          <w:szCs w:val="28"/>
        </w:rPr>
        <w:t>un tratamiento diferenciado y ventajoso en materia de IBL a los beneficiarios del régimen especial que consagra</w:t>
      </w:r>
      <w:r w:rsidR="00D03A46" w:rsidRPr="00CB543A">
        <w:rPr>
          <w:rFonts w:ascii="Times New Roman" w:hAnsi="Times New Roman" w:cs="Times New Roman"/>
          <w:sz w:val="28"/>
          <w:szCs w:val="28"/>
        </w:rPr>
        <w:t>ba</w:t>
      </w:r>
      <w:r w:rsidR="00066822" w:rsidRPr="00CB543A">
        <w:rPr>
          <w:rFonts w:ascii="Times New Roman" w:hAnsi="Times New Roman" w:cs="Times New Roman"/>
          <w:sz w:val="28"/>
          <w:szCs w:val="28"/>
        </w:rPr>
        <w:t xml:space="preserve"> </w:t>
      </w:r>
      <w:r w:rsidR="00D03A46" w:rsidRPr="00CB543A">
        <w:rPr>
          <w:rFonts w:ascii="Times New Roman" w:hAnsi="Times New Roman" w:cs="Times New Roman"/>
          <w:sz w:val="28"/>
          <w:szCs w:val="28"/>
        </w:rPr>
        <w:t xml:space="preserve">dicha </w:t>
      </w:r>
      <w:r w:rsidR="00066822" w:rsidRPr="00CB543A">
        <w:rPr>
          <w:rFonts w:ascii="Times New Roman" w:hAnsi="Times New Roman" w:cs="Times New Roman"/>
          <w:sz w:val="28"/>
          <w:szCs w:val="28"/>
        </w:rPr>
        <w:t>normativa</w:t>
      </w:r>
      <w:r w:rsidR="00BC4EBD" w:rsidRPr="00CB543A">
        <w:rPr>
          <w:rFonts w:ascii="Times New Roman" w:hAnsi="Times New Roman" w:cs="Times New Roman"/>
          <w:sz w:val="28"/>
          <w:szCs w:val="28"/>
        </w:rPr>
        <w:t xml:space="preserve">, </w:t>
      </w:r>
      <w:r w:rsidR="00D03A46" w:rsidRPr="00CB543A">
        <w:rPr>
          <w:rFonts w:ascii="Times New Roman" w:hAnsi="Times New Roman" w:cs="Times New Roman"/>
          <w:sz w:val="28"/>
          <w:szCs w:val="28"/>
        </w:rPr>
        <w:t xml:space="preserve">pues ello daría lugar a </w:t>
      </w:r>
      <w:r w:rsidR="00BC4EBD" w:rsidRPr="00CB543A">
        <w:rPr>
          <w:rFonts w:ascii="Times New Roman" w:hAnsi="Times New Roman" w:cs="Times New Roman"/>
          <w:sz w:val="28"/>
          <w:szCs w:val="28"/>
        </w:rPr>
        <w:t xml:space="preserve">la concesión de una ventaja que, según se </w:t>
      </w:r>
      <w:r w:rsidR="00D03A46" w:rsidRPr="00CB543A">
        <w:rPr>
          <w:rFonts w:ascii="Times New Roman" w:hAnsi="Times New Roman" w:cs="Times New Roman"/>
          <w:sz w:val="28"/>
          <w:szCs w:val="28"/>
        </w:rPr>
        <w:t>indicó</w:t>
      </w:r>
      <w:r w:rsidR="00BC4EBD" w:rsidRPr="00CB543A">
        <w:rPr>
          <w:rFonts w:ascii="Times New Roman" w:hAnsi="Times New Roman" w:cs="Times New Roman"/>
          <w:sz w:val="28"/>
          <w:szCs w:val="28"/>
        </w:rPr>
        <w:t xml:space="preserve">, no </w:t>
      </w:r>
      <w:r w:rsidR="00D03A46" w:rsidRPr="00CB543A">
        <w:rPr>
          <w:rFonts w:ascii="Times New Roman" w:hAnsi="Times New Roman" w:cs="Times New Roman"/>
          <w:sz w:val="28"/>
          <w:szCs w:val="28"/>
        </w:rPr>
        <w:t xml:space="preserve">había sido </w:t>
      </w:r>
      <w:r w:rsidR="00BC4EBD" w:rsidRPr="00CB543A">
        <w:rPr>
          <w:rFonts w:ascii="Times New Roman" w:hAnsi="Times New Roman" w:cs="Times New Roman"/>
          <w:sz w:val="28"/>
          <w:szCs w:val="28"/>
        </w:rPr>
        <w:t>prevista originalmente por el legislador al expedir la Ley 100 de 1993. Frente a este aspecto, la Sala resaltó que</w:t>
      </w:r>
      <w:r w:rsidR="00D03A46" w:rsidRPr="00CB543A">
        <w:rPr>
          <w:rFonts w:ascii="Times New Roman" w:hAnsi="Times New Roman" w:cs="Times New Roman"/>
          <w:sz w:val="28"/>
          <w:szCs w:val="28"/>
        </w:rPr>
        <w:t>,</w:t>
      </w:r>
      <w:r w:rsidR="00BC4EBD" w:rsidRPr="00CB543A">
        <w:rPr>
          <w:rFonts w:ascii="Times New Roman" w:hAnsi="Times New Roman" w:cs="Times New Roman"/>
          <w:sz w:val="28"/>
          <w:szCs w:val="28"/>
        </w:rPr>
        <w:t xml:space="preserve"> </w:t>
      </w:r>
      <w:r w:rsidR="00BC4EBD" w:rsidRPr="00CB543A">
        <w:rPr>
          <w:rFonts w:ascii="Times New Roman" w:hAnsi="Times New Roman" w:cs="Times New Roman"/>
          <w:i/>
          <w:sz w:val="28"/>
          <w:szCs w:val="28"/>
        </w:rPr>
        <w:t>“el propósito original del Legislador al introducir el artículo 36 de la Ley 100 de 1993</w:t>
      </w:r>
      <w:r w:rsidR="00D03A46" w:rsidRPr="00CB543A">
        <w:rPr>
          <w:rFonts w:ascii="Times New Roman" w:hAnsi="Times New Roman" w:cs="Times New Roman"/>
          <w:i/>
          <w:sz w:val="28"/>
          <w:szCs w:val="28"/>
        </w:rPr>
        <w:t xml:space="preserve"> </w:t>
      </w:r>
      <w:r w:rsidR="00BC4EBD" w:rsidRPr="00CB543A">
        <w:rPr>
          <w:rFonts w:ascii="Times New Roman" w:hAnsi="Times New Roman" w:cs="Times New Roman"/>
          <w:i/>
          <w:sz w:val="28"/>
          <w:szCs w:val="28"/>
        </w:rPr>
        <w:t>[228], tal como se desprende del texto de la disposición y de los antecedentes legislativos, fue crear un régimen de transición que beneficiara a quienes tenían una expectativa legítima de pensionarse conforme a las reglas especiales que serían derogadas”</w:t>
      </w:r>
      <w:r w:rsidR="005E5D82" w:rsidRPr="00CB543A">
        <w:rPr>
          <w:rFonts w:ascii="Times New Roman" w:hAnsi="Times New Roman" w:cs="Times New Roman"/>
          <w:sz w:val="28"/>
          <w:szCs w:val="28"/>
        </w:rPr>
        <w:t>.</w:t>
      </w:r>
      <w:r w:rsidR="00D03A46" w:rsidRPr="00CB543A">
        <w:rPr>
          <w:rFonts w:ascii="Times New Roman" w:hAnsi="Times New Roman" w:cs="Times New Roman"/>
          <w:sz w:val="28"/>
          <w:szCs w:val="28"/>
        </w:rPr>
        <w:t xml:space="preserve"> Con fundamento en esta </w:t>
      </w:r>
      <w:r w:rsidR="00170CF3" w:rsidRPr="00CB543A">
        <w:rPr>
          <w:rFonts w:ascii="Times New Roman" w:hAnsi="Times New Roman" w:cs="Times New Roman"/>
          <w:sz w:val="28"/>
          <w:szCs w:val="28"/>
        </w:rPr>
        <w:t xml:space="preserve">consideración </w:t>
      </w:r>
      <w:r w:rsidR="00066822" w:rsidRPr="00CB543A">
        <w:rPr>
          <w:rFonts w:ascii="Times New Roman" w:hAnsi="Times New Roman" w:cs="Times New Roman"/>
          <w:sz w:val="28"/>
          <w:szCs w:val="28"/>
        </w:rPr>
        <w:t xml:space="preserve">concluyó, </w:t>
      </w:r>
      <w:r w:rsidR="002E4CE5" w:rsidRPr="00CB543A">
        <w:rPr>
          <w:rFonts w:ascii="Times New Roman" w:hAnsi="Times New Roman" w:cs="Times New Roman"/>
          <w:sz w:val="28"/>
          <w:szCs w:val="28"/>
        </w:rPr>
        <w:t>primero</w:t>
      </w:r>
      <w:r w:rsidR="00066822" w:rsidRPr="00CB543A">
        <w:rPr>
          <w:rFonts w:ascii="Times New Roman" w:hAnsi="Times New Roman" w:cs="Times New Roman"/>
          <w:sz w:val="28"/>
          <w:szCs w:val="28"/>
        </w:rPr>
        <w:t>, que el régimen de transición autoriza</w:t>
      </w:r>
      <w:r w:rsidR="00D03A46" w:rsidRPr="00CB543A">
        <w:rPr>
          <w:rFonts w:ascii="Times New Roman" w:hAnsi="Times New Roman" w:cs="Times New Roman"/>
          <w:sz w:val="28"/>
          <w:szCs w:val="28"/>
        </w:rPr>
        <w:t>ba</w:t>
      </w:r>
      <w:r w:rsidR="00066822" w:rsidRPr="00CB543A">
        <w:rPr>
          <w:rFonts w:ascii="Times New Roman" w:hAnsi="Times New Roman" w:cs="Times New Roman"/>
          <w:sz w:val="28"/>
          <w:szCs w:val="28"/>
        </w:rPr>
        <w:t xml:space="preserve"> la aplicación ultractiva de reglas las relacionadas con los requisitos de edad, tiempo de servicios o cotizaciones y </w:t>
      </w:r>
      <w:r w:rsidR="00066822" w:rsidRPr="00CB543A">
        <w:rPr>
          <w:rFonts w:ascii="Times New Roman" w:hAnsi="Times New Roman" w:cs="Times New Roman"/>
          <w:i/>
          <w:sz w:val="28"/>
          <w:szCs w:val="28"/>
        </w:rPr>
        <w:t>tasa de reemplazo</w:t>
      </w:r>
      <w:r w:rsidR="002E4CE5" w:rsidRPr="00CB543A">
        <w:rPr>
          <w:rFonts w:ascii="Times New Roman" w:hAnsi="Times New Roman" w:cs="Times New Roman"/>
          <w:sz w:val="28"/>
          <w:szCs w:val="28"/>
        </w:rPr>
        <w:t xml:space="preserve"> y, segundo</w:t>
      </w:r>
      <w:r w:rsidR="00066822" w:rsidRPr="00CB543A">
        <w:rPr>
          <w:rFonts w:ascii="Times New Roman" w:hAnsi="Times New Roman" w:cs="Times New Roman"/>
          <w:sz w:val="28"/>
          <w:szCs w:val="28"/>
        </w:rPr>
        <w:t xml:space="preserve">, que el </w:t>
      </w:r>
      <w:r w:rsidR="00066822" w:rsidRPr="00CB543A">
        <w:rPr>
          <w:rFonts w:ascii="Times New Roman" w:hAnsi="Times New Roman" w:cs="Times New Roman"/>
          <w:i/>
          <w:sz w:val="28"/>
          <w:szCs w:val="28"/>
        </w:rPr>
        <w:t xml:space="preserve">“Ingreso Base de Liquidación no fue un aspecto sometido a transición, como se aprecia claramente en el texto del artículo 36” </w:t>
      </w:r>
      <w:r w:rsidR="00066822" w:rsidRPr="00CB543A">
        <w:rPr>
          <w:rFonts w:ascii="Times New Roman" w:hAnsi="Times New Roman" w:cs="Times New Roman"/>
          <w:sz w:val="28"/>
          <w:szCs w:val="28"/>
        </w:rPr>
        <w:t>de la Ley 100 de 1993.</w:t>
      </w:r>
      <w:r w:rsidR="0064624E" w:rsidRPr="00CB543A">
        <w:rPr>
          <w:rFonts w:ascii="Times New Roman" w:hAnsi="Times New Roman" w:cs="Times New Roman"/>
          <w:sz w:val="28"/>
          <w:szCs w:val="28"/>
        </w:rPr>
        <w:t xml:space="preserve"> </w:t>
      </w:r>
    </w:p>
    <w:p w:rsidR="00A06C1D" w:rsidRPr="00CB543A" w:rsidRDefault="00A06C1D" w:rsidP="00CB543A">
      <w:pPr>
        <w:spacing w:after="0" w:line="240" w:lineRule="auto"/>
        <w:rPr>
          <w:rFonts w:ascii="Times New Roman" w:hAnsi="Times New Roman" w:cs="Times New Roman"/>
          <w:sz w:val="28"/>
          <w:szCs w:val="28"/>
        </w:rPr>
      </w:pPr>
    </w:p>
    <w:p w:rsidR="00914670" w:rsidRPr="00CB543A" w:rsidRDefault="00622E46" w:rsidP="00CB543A">
      <w:pPr>
        <w:pStyle w:val="Prrafodelista"/>
        <w:widowControl w:val="0"/>
        <w:numPr>
          <w:ilvl w:val="0"/>
          <w:numId w:val="32"/>
        </w:numPr>
        <w:spacing w:after="0" w:line="240" w:lineRule="auto"/>
        <w:ind w:left="0"/>
        <w:jc w:val="both"/>
        <w:rPr>
          <w:rFonts w:ascii="Times New Roman" w:hAnsi="Times New Roman" w:cs="Times New Roman"/>
          <w:b/>
          <w:i/>
          <w:sz w:val="28"/>
          <w:szCs w:val="28"/>
        </w:rPr>
      </w:pPr>
      <w:r w:rsidRPr="00CB543A">
        <w:rPr>
          <w:rFonts w:ascii="Times New Roman" w:hAnsi="Times New Roman" w:cs="Times New Roman"/>
          <w:sz w:val="28"/>
          <w:szCs w:val="28"/>
        </w:rPr>
        <w:t>E</w:t>
      </w:r>
      <w:r w:rsidR="00F759C4" w:rsidRPr="00CB543A">
        <w:rPr>
          <w:rFonts w:ascii="Times New Roman" w:hAnsi="Times New Roman" w:cs="Times New Roman"/>
          <w:sz w:val="28"/>
          <w:szCs w:val="28"/>
        </w:rPr>
        <w:t xml:space="preserve">n la sentencia </w:t>
      </w:r>
      <w:r w:rsidR="00914670" w:rsidRPr="00CB543A">
        <w:rPr>
          <w:rFonts w:ascii="Times New Roman" w:hAnsi="Times New Roman" w:cs="Times New Roman"/>
          <w:sz w:val="28"/>
          <w:szCs w:val="28"/>
        </w:rPr>
        <w:t xml:space="preserve">SU-230 del 29 de abril de 2015, </w:t>
      </w:r>
      <w:r w:rsidR="00F16ABD" w:rsidRPr="00CB543A">
        <w:rPr>
          <w:rFonts w:ascii="Times New Roman" w:hAnsi="Times New Roman" w:cs="Times New Roman"/>
          <w:sz w:val="28"/>
          <w:szCs w:val="28"/>
        </w:rPr>
        <w:t xml:space="preserve">la Sala Plena unificó su jurisprudencia en la materia. </w:t>
      </w:r>
      <w:r w:rsidR="00914670" w:rsidRPr="00CB543A">
        <w:rPr>
          <w:rFonts w:ascii="Times New Roman" w:hAnsi="Times New Roman" w:cs="Times New Roman"/>
          <w:sz w:val="28"/>
          <w:szCs w:val="28"/>
        </w:rPr>
        <w:t xml:space="preserve">Consideró que, </w:t>
      </w:r>
      <w:r w:rsidR="004B1344" w:rsidRPr="00CB543A">
        <w:rPr>
          <w:rFonts w:ascii="Times New Roman" w:hAnsi="Times New Roman" w:cs="Times New Roman"/>
          <w:i/>
          <w:sz w:val="28"/>
          <w:szCs w:val="28"/>
        </w:rPr>
        <w:t>“[a]unque la interpretación de las reglas del IBL establecidas en la Sentencia C-258 de 2013</w:t>
      </w:r>
      <w:r w:rsidR="00914670" w:rsidRPr="00CB543A">
        <w:rPr>
          <w:rFonts w:ascii="Times New Roman" w:hAnsi="Times New Roman" w:cs="Times New Roman"/>
          <w:i/>
          <w:sz w:val="28"/>
          <w:szCs w:val="28"/>
        </w:rPr>
        <w:t xml:space="preserve"> </w:t>
      </w:r>
      <w:r w:rsidR="004B1344" w:rsidRPr="00CB543A">
        <w:rPr>
          <w:rFonts w:ascii="Times New Roman" w:hAnsi="Times New Roman" w:cs="Times New Roman"/>
          <w:i/>
          <w:sz w:val="28"/>
          <w:szCs w:val="28"/>
        </w:rPr>
        <w:t xml:space="preserve">[80] se enmarcan en el análisis del régimen especial consagrado en el artículo 17 de la Ley 4 de 1992, (…), </w:t>
      </w:r>
      <w:r w:rsidR="004B1344" w:rsidRPr="00CB543A">
        <w:rPr>
          <w:rFonts w:ascii="Times New Roman" w:hAnsi="Times New Roman" w:cs="Times New Roman"/>
          <w:b/>
          <w:i/>
          <w:sz w:val="28"/>
          <w:szCs w:val="28"/>
        </w:rPr>
        <w:t>ello no excluye la interpretación en abstracto que se realizó sobre el artículo 36 de la Ley 100 de 1993 en el sentido de establecer que el IBL no es un aspecto de la transición</w:t>
      </w:r>
      <w:r w:rsidR="004B1344" w:rsidRPr="00CB543A">
        <w:rPr>
          <w:rFonts w:ascii="Times New Roman" w:hAnsi="Times New Roman" w:cs="Times New Roman"/>
          <w:i/>
          <w:sz w:val="28"/>
          <w:szCs w:val="28"/>
        </w:rPr>
        <w:t xml:space="preserve"> y, por tanto, son las reglas contenidas en este las que deben observarse para determinar el monto pensional con independencia del régimen especial al que se pertenezca”</w:t>
      </w:r>
      <w:r w:rsidR="00487EEB" w:rsidRPr="00CB543A">
        <w:rPr>
          <w:rFonts w:ascii="Times New Roman" w:hAnsi="Times New Roman" w:cs="Times New Roman"/>
          <w:sz w:val="28"/>
          <w:szCs w:val="28"/>
        </w:rPr>
        <w:t xml:space="preserve"> (negrillas propias)</w:t>
      </w:r>
      <w:r w:rsidR="00487EEB" w:rsidRPr="00CB543A">
        <w:rPr>
          <w:rStyle w:val="Refdenotaalpie"/>
          <w:rFonts w:ascii="Times New Roman" w:hAnsi="Times New Roman" w:cs="Times New Roman"/>
          <w:color w:val="auto"/>
          <w:sz w:val="28"/>
          <w:szCs w:val="28"/>
          <w:lang w:val="es-ES" w:eastAsia="es-ES_tradnl"/>
        </w:rPr>
        <w:t xml:space="preserve"> </w:t>
      </w:r>
      <w:r w:rsidR="00487EEB" w:rsidRPr="00CB543A">
        <w:rPr>
          <w:rStyle w:val="Refdenotaalpie"/>
          <w:rFonts w:ascii="Times New Roman" w:hAnsi="Times New Roman" w:cs="Times New Roman"/>
          <w:color w:val="auto"/>
          <w:sz w:val="28"/>
          <w:szCs w:val="28"/>
          <w:lang w:val="es-ES" w:eastAsia="es-ES_tradnl"/>
        </w:rPr>
        <w:footnoteReference w:id="95"/>
      </w:r>
      <w:r w:rsidR="00487EEB" w:rsidRPr="00CB543A">
        <w:rPr>
          <w:rFonts w:ascii="Times New Roman" w:hAnsi="Times New Roman" w:cs="Times New Roman"/>
          <w:sz w:val="28"/>
          <w:szCs w:val="28"/>
        </w:rPr>
        <w:t>.</w:t>
      </w:r>
    </w:p>
    <w:p w:rsidR="00914670" w:rsidRPr="00CB543A" w:rsidRDefault="00914670" w:rsidP="00CB543A">
      <w:pPr>
        <w:pStyle w:val="Prrafodelista"/>
        <w:widowControl w:val="0"/>
        <w:spacing w:after="0" w:line="240" w:lineRule="auto"/>
        <w:ind w:left="0"/>
        <w:jc w:val="both"/>
        <w:rPr>
          <w:rFonts w:ascii="Times New Roman" w:hAnsi="Times New Roman" w:cs="Times New Roman"/>
          <w:b/>
          <w:i/>
          <w:sz w:val="28"/>
          <w:szCs w:val="28"/>
        </w:rPr>
      </w:pPr>
    </w:p>
    <w:p w:rsidR="008A4A02" w:rsidRPr="00CB543A" w:rsidRDefault="00914670" w:rsidP="00CB543A">
      <w:pPr>
        <w:pStyle w:val="Prrafodelista"/>
        <w:widowControl w:val="0"/>
        <w:numPr>
          <w:ilvl w:val="0"/>
          <w:numId w:val="32"/>
        </w:numPr>
        <w:spacing w:after="0" w:line="240" w:lineRule="auto"/>
        <w:ind w:left="0"/>
        <w:jc w:val="both"/>
        <w:rPr>
          <w:rFonts w:ascii="Times New Roman" w:hAnsi="Times New Roman" w:cs="Times New Roman"/>
          <w:b/>
          <w:i/>
          <w:sz w:val="28"/>
          <w:szCs w:val="28"/>
        </w:rPr>
      </w:pPr>
      <w:r w:rsidRPr="00CB543A">
        <w:rPr>
          <w:rFonts w:ascii="Times New Roman" w:hAnsi="Times New Roman" w:cs="Times New Roman"/>
          <w:sz w:val="28"/>
          <w:szCs w:val="28"/>
        </w:rPr>
        <w:t xml:space="preserve">Con fundamento en esta postura unificada, y en virtud </w:t>
      </w:r>
      <w:r w:rsidR="00CD58B7" w:rsidRPr="00CB543A">
        <w:rPr>
          <w:rFonts w:ascii="Times New Roman" w:hAnsi="Times New Roman" w:cs="Times New Roman"/>
          <w:sz w:val="28"/>
          <w:szCs w:val="28"/>
        </w:rPr>
        <w:t xml:space="preserve">de lo dispuesto </w:t>
      </w:r>
      <w:r w:rsidR="002F7DDD" w:rsidRPr="00CB543A">
        <w:rPr>
          <w:rFonts w:ascii="Times New Roman" w:hAnsi="Times New Roman" w:cs="Times New Roman"/>
          <w:sz w:val="28"/>
          <w:szCs w:val="28"/>
        </w:rPr>
        <w:t>en la segunda parte d</w:t>
      </w:r>
      <w:r w:rsidR="00CD58B7" w:rsidRPr="00CB543A">
        <w:rPr>
          <w:rFonts w:ascii="Times New Roman" w:hAnsi="Times New Roman" w:cs="Times New Roman"/>
          <w:sz w:val="28"/>
          <w:szCs w:val="28"/>
        </w:rPr>
        <w:t xml:space="preserve">el artículo 34 del </w:t>
      </w:r>
      <w:r w:rsidR="002F7DDD" w:rsidRPr="00CB543A">
        <w:rPr>
          <w:rFonts w:ascii="Times New Roman" w:hAnsi="Times New Roman" w:cs="Times New Roman"/>
          <w:sz w:val="28"/>
          <w:szCs w:val="28"/>
        </w:rPr>
        <w:t>Decreto 2591 de 1991</w:t>
      </w:r>
      <w:r w:rsidR="002F7DDD" w:rsidRPr="00CB543A">
        <w:rPr>
          <w:rStyle w:val="Refdenotaalpie"/>
          <w:rFonts w:ascii="Times New Roman" w:hAnsi="Times New Roman" w:cs="Times New Roman"/>
          <w:sz w:val="28"/>
          <w:szCs w:val="28"/>
        </w:rPr>
        <w:footnoteReference w:id="96"/>
      </w:r>
      <w:r w:rsidR="00CD58B7" w:rsidRPr="00CB543A">
        <w:rPr>
          <w:rFonts w:ascii="Times New Roman" w:hAnsi="Times New Roman" w:cs="Times New Roman"/>
          <w:sz w:val="28"/>
          <w:szCs w:val="28"/>
        </w:rPr>
        <w:t xml:space="preserve">, </w:t>
      </w:r>
      <w:r w:rsidR="004B1344" w:rsidRPr="00CB543A">
        <w:rPr>
          <w:rFonts w:ascii="Times New Roman" w:hAnsi="Times New Roman" w:cs="Times New Roman"/>
          <w:sz w:val="28"/>
          <w:szCs w:val="28"/>
        </w:rPr>
        <w:t xml:space="preserve">las Salas de Revisión han </w:t>
      </w:r>
      <w:r w:rsidR="002F7DDD" w:rsidRPr="00CB543A">
        <w:rPr>
          <w:rFonts w:ascii="Times New Roman" w:hAnsi="Times New Roman" w:cs="Times New Roman"/>
          <w:sz w:val="28"/>
          <w:szCs w:val="28"/>
        </w:rPr>
        <w:t>reiterado</w:t>
      </w:r>
      <w:r w:rsidR="004B1344" w:rsidRPr="00CB543A">
        <w:rPr>
          <w:rFonts w:ascii="Times New Roman" w:hAnsi="Times New Roman" w:cs="Times New Roman"/>
          <w:sz w:val="28"/>
          <w:szCs w:val="28"/>
        </w:rPr>
        <w:t xml:space="preserve"> que el régimen de transición en comento únicamente ampara las reglas relacionadas con la edad, el tiempo de servicios o cotizaciones y </w:t>
      </w:r>
      <w:r w:rsidR="002F7DDD" w:rsidRPr="00CB543A">
        <w:rPr>
          <w:rFonts w:ascii="Times New Roman" w:hAnsi="Times New Roman" w:cs="Times New Roman"/>
          <w:sz w:val="28"/>
          <w:szCs w:val="28"/>
        </w:rPr>
        <w:t xml:space="preserve">la </w:t>
      </w:r>
      <w:r w:rsidR="004B1344" w:rsidRPr="00CB543A">
        <w:rPr>
          <w:rFonts w:ascii="Times New Roman" w:hAnsi="Times New Roman" w:cs="Times New Roman"/>
          <w:i/>
          <w:sz w:val="28"/>
          <w:szCs w:val="28"/>
        </w:rPr>
        <w:t>tasa de reemplazo</w:t>
      </w:r>
      <w:r w:rsidR="004B1344" w:rsidRPr="00CB543A">
        <w:rPr>
          <w:rFonts w:ascii="Times New Roman" w:hAnsi="Times New Roman" w:cs="Times New Roman"/>
          <w:sz w:val="28"/>
          <w:szCs w:val="28"/>
        </w:rPr>
        <w:t xml:space="preserve">; en otras palabras, que los aspectos referentes al cálculo del IBL deben regirse por las normas que </w:t>
      </w:r>
      <w:r w:rsidR="002F7DDD" w:rsidRPr="00CB543A">
        <w:rPr>
          <w:rFonts w:ascii="Times New Roman" w:hAnsi="Times New Roman" w:cs="Times New Roman"/>
          <w:sz w:val="28"/>
          <w:szCs w:val="28"/>
        </w:rPr>
        <w:t xml:space="preserve">se encuentren </w:t>
      </w:r>
      <w:r w:rsidR="004B1344" w:rsidRPr="00CB543A">
        <w:rPr>
          <w:rFonts w:ascii="Times New Roman" w:hAnsi="Times New Roman" w:cs="Times New Roman"/>
          <w:sz w:val="28"/>
          <w:szCs w:val="28"/>
        </w:rPr>
        <w:t>vigentes.</w:t>
      </w:r>
      <w:r w:rsidR="002F7DDD" w:rsidRPr="00CB543A">
        <w:rPr>
          <w:rFonts w:ascii="Times New Roman" w:hAnsi="Times New Roman" w:cs="Times New Roman"/>
          <w:sz w:val="28"/>
          <w:szCs w:val="28"/>
        </w:rPr>
        <w:t xml:space="preserve"> </w:t>
      </w:r>
    </w:p>
    <w:p w:rsidR="008A4A02" w:rsidRPr="00CB543A" w:rsidRDefault="008A4A02" w:rsidP="00CB543A">
      <w:pPr>
        <w:pStyle w:val="Prrafodelista"/>
        <w:spacing w:after="0" w:line="240" w:lineRule="auto"/>
        <w:rPr>
          <w:rFonts w:ascii="Times New Roman" w:hAnsi="Times New Roman" w:cs="Times New Roman"/>
          <w:sz w:val="28"/>
          <w:szCs w:val="28"/>
        </w:rPr>
      </w:pPr>
    </w:p>
    <w:p w:rsidR="00D26429" w:rsidRPr="00CB543A" w:rsidRDefault="008A4A02" w:rsidP="00CB543A">
      <w:pPr>
        <w:pStyle w:val="Prrafodelista"/>
        <w:widowControl w:val="0"/>
        <w:numPr>
          <w:ilvl w:val="0"/>
          <w:numId w:val="32"/>
        </w:numPr>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Adicionalmente, la Sala Plena, en las distintas sentencias de unificación que ha expedido luego de aquella, y en que ha desarrollado de manera tangencial la materia</w:t>
      </w:r>
      <w:r w:rsidR="0096161A" w:rsidRPr="00CB543A">
        <w:rPr>
          <w:rFonts w:ascii="Times New Roman" w:hAnsi="Times New Roman" w:cs="Times New Roman"/>
          <w:sz w:val="28"/>
          <w:szCs w:val="28"/>
        </w:rPr>
        <w:t xml:space="preserve"> (sentencias SU-427 de 2016</w:t>
      </w:r>
      <w:r w:rsidR="0096161A" w:rsidRPr="00CB543A">
        <w:rPr>
          <w:rStyle w:val="Refdenotaalpie"/>
          <w:rFonts w:ascii="Times New Roman" w:hAnsi="Times New Roman" w:cs="Times New Roman"/>
          <w:sz w:val="28"/>
          <w:szCs w:val="28"/>
        </w:rPr>
        <w:footnoteReference w:id="97"/>
      </w:r>
      <w:r w:rsidR="0096161A" w:rsidRPr="00CB543A">
        <w:rPr>
          <w:rFonts w:ascii="Times New Roman" w:hAnsi="Times New Roman" w:cs="Times New Roman"/>
          <w:sz w:val="28"/>
          <w:szCs w:val="28"/>
        </w:rPr>
        <w:t xml:space="preserve"> y SU-631 de 2017</w:t>
      </w:r>
      <w:r w:rsidR="00974A61" w:rsidRPr="00CB543A">
        <w:rPr>
          <w:rStyle w:val="Refdenotaalpie"/>
          <w:rFonts w:ascii="Times New Roman" w:hAnsi="Times New Roman" w:cs="Times New Roman"/>
          <w:sz w:val="28"/>
          <w:szCs w:val="28"/>
        </w:rPr>
        <w:footnoteReference w:id="98"/>
      </w:r>
      <w:r w:rsidR="0096161A" w:rsidRPr="00CB543A">
        <w:rPr>
          <w:rFonts w:ascii="Times New Roman" w:hAnsi="Times New Roman" w:cs="Times New Roman"/>
          <w:sz w:val="28"/>
          <w:szCs w:val="28"/>
        </w:rPr>
        <w:t>, SU-210 de 2017</w:t>
      </w:r>
      <w:r w:rsidR="009B6DAA" w:rsidRPr="00CB543A">
        <w:rPr>
          <w:rFonts w:ascii="Times New Roman" w:hAnsi="Times New Roman" w:cs="Times New Roman"/>
          <w:sz w:val="28"/>
          <w:szCs w:val="28"/>
        </w:rPr>
        <w:t xml:space="preserve"> y</w:t>
      </w:r>
      <w:r w:rsidR="0096161A" w:rsidRPr="00CB543A">
        <w:rPr>
          <w:rFonts w:ascii="Times New Roman" w:hAnsi="Times New Roman" w:cs="Times New Roman"/>
          <w:sz w:val="28"/>
          <w:szCs w:val="28"/>
        </w:rPr>
        <w:t xml:space="preserve"> SU-395 de 2017)</w:t>
      </w:r>
      <w:r w:rsidRPr="00CB543A">
        <w:rPr>
          <w:rFonts w:ascii="Times New Roman" w:hAnsi="Times New Roman" w:cs="Times New Roman"/>
          <w:sz w:val="28"/>
          <w:szCs w:val="28"/>
        </w:rPr>
        <w:t xml:space="preserve">, ha reiterado </w:t>
      </w:r>
      <w:r w:rsidR="0096161A" w:rsidRPr="00CB543A">
        <w:rPr>
          <w:rFonts w:ascii="Times New Roman" w:hAnsi="Times New Roman" w:cs="Times New Roman"/>
          <w:sz w:val="28"/>
          <w:szCs w:val="28"/>
        </w:rPr>
        <w:t xml:space="preserve">dicha </w:t>
      </w:r>
      <w:r w:rsidRPr="00CB543A">
        <w:rPr>
          <w:rFonts w:ascii="Times New Roman" w:hAnsi="Times New Roman" w:cs="Times New Roman"/>
          <w:sz w:val="28"/>
          <w:szCs w:val="28"/>
        </w:rPr>
        <w:t xml:space="preserve">postura sin que hasta la fecha </w:t>
      </w:r>
      <w:r w:rsidR="0096161A" w:rsidRPr="00CB543A">
        <w:rPr>
          <w:rFonts w:ascii="Times New Roman" w:hAnsi="Times New Roman" w:cs="Times New Roman"/>
          <w:sz w:val="28"/>
          <w:szCs w:val="28"/>
        </w:rPr>
        <w:t>se hubiese modificado su jurisprudencia.</w:t>
      </w:r>
      <w:r w:rsidR="009B6DAA" w:rsidRPr="00CB543A">
        <w:rPr>
          <w:rFonts w:ascii="Times New Roman" w:hAnsi="Times New Roman" w:cs="Times New Roman"/>
          <w:sz w:val="28"/>
          <w:szCs w:val="28"/>
        </w:rPr>
        <w:t xml:space="preserve"> En particular, en las </w:t>
      </w:r>
      <w:r w:rsidR="00394E04" w:rsidRPr="00CB543A">
        <w:rPr>
          <w:rFonts w:ascii="Times New Roman" w:hAnsi="Times New Roman" w:cs="Times New Roman"/>
          <w:sz w:val="28"/>
          <w:szCs w:val="28"/>
        </w:rPr>
        <w:t>sentencia</w:t>
      </w:r>
      <w:r w:rsidR="00D0351A" w:rsidRPr="00CB543A">
        <w:rPr>
          <w:rFonts w:ascii="Times New Roman" w:hAnsi="Times New Roman" w:cs="Times New Roman"/>
          <w:sz w:val="28"/>
          <w:szCs w:val="28"/>
        </w:rPr>
        <w:t>s</w:t>
      </w:r>
      <w:r w:rsidR="00394E04" w:rsidRPr="00CB543A">
        <w:rPr>
          <w:rFonts w:ascii="Times New Roman" w:hAnsi="Times New Roman" w:cs="Times New Roman"/>
          <w:sz w:val="28"/>
          <w:szCs w:val="28"/>
        </w:rPr>
        <w:t xml:space="preserve"> </w:t>
      </w:r>
      <w:r w:rsidR="009B6DAA" w:rsidRPr="00CB543A">
        <w:rPr>
          <w:rFonts w:ascii="Times New Roman" w:hAnsi="Times New Roman" w:cs="Times New Roman"/>
          <w:sz w:val="28"/>
          <w:szCs w:val="28"/>
        </w:rPr>
        <w:t>SU-</w:t>
      </w:r>
      <w:r w:rsidR="00D0351A" w:rsidRPr="00CB543A">
        <w:rPr>
          <w:rFonts w:ascii="Times New Roman" w:hAnsi="Times New Roman" w:cs="Times New Roman"/>
          <w:sz w:val="28"/>
          <w:szCs w:val="28"/>
        </w:rPr>
        <w:t xml:space="preserve">210 y </w:t>
      </w:r>
      <w:r w:rsidR="00394E04" w:rsidRPr="00CB543A">
        <w:rPr>
          <w:rFonts w:ascii="Times New Roman" w:hAnsi="Times New Roman" w:cs="Times New Roman"/>
          <w:sz w:val="28"/>
          <w:szCs w:val="28"/>
        </w:rPr>
        <w:t>SU-395 de 2017</w:t>
      </w:r>
      <w:r w:rsidR="00223F43" w:rsidRPr="00CB543A">
        <w:rPr>
          <w:rFonts w:ascii="Times New Roman" w:hAnsi="Times New Roman" w:cs="Times New Roman"/>
          <w:sz w:val="28"/>
          <w:szCs w:val="28"/>
        </w:rPr>
        <w:t xml:space="preserve"> la Corte</w:t>
      </w:r>
      <w:r w:rsidR="00E303C4" w:rsidRPr="00CB543A">
        <w:rPr>
          <w:rFonts w:ascii="Times New Roman" w:hAnsi="Times New Roman" w:cs="Times New Roman"/>
          <w:sz w:val="28"/>
          <w:szCs w:val="28"/>
        </w:rPr>
        <w:t xml:space="preserve">, por una parte, </w:t>
      </w:r>
      <w:r w:rsidR="009B6DAA" w:rsidRPr="00CB543A">
        <w:rPr>
          <w:rFonts w:ascii="Times New Roman" w:hAnsi="Times New Roman" w:cs="Times New Roman"/>
          <w:sz w:val="28"/>
          <w:szCs w:val="28"/>
        </w:rPr>
        <w:t xml:space="preserve">reiteró </w:t>
      </w:r>
      <w:r w:rsidR="000C0C3B" w:rsidRPr="00CB543A">
        <w:rPr>
          <w:rFonts w:ascii="Times New Roman" w:hAnsi="Times New Roman" w:cs="Times New Roman"/>
          <w:sz w:val="28"/>
          <w:szCs w:val="28"/>
        </w:rPr>
        <w:t>la tesis expuesta</w:t>
      </w:r>
      <w:r w:rsidR="00E303C4" w:rsidRPr="00CB543A">
        <w:rPr>
          <w:rFonts w:ascii="Times New Roman" w:hAnsi="Times New Roman" w:cs="Times New Roman"/>
          <w:sz w:val="28"/>
          <w:szCs w:val="28"/>
        </w:rPr>
        <w:t xml:space="preserve"> y, de otra, </w:t>
      </w:r>
      <w:r w:rsidR="000C0C3B" w:rsidRPr="00CB543A">
        <w:rPr>
          <w:rFonts w:ascii="Times New Roman" w:hAnsi="Times New Roman" w:cs="Times New Roman"/>
          <w:sz w:val="28"/>
          <w:szCs w:val="28"/>
        </w:rPr>
        <w:t xml:space="preserve">precisó que los pagos por primas técnicas y especiales no </w:t>
      </w:r>
      <w:r w:rsidR="009B6DAA" w:rsidRPr="00CB543A">
        <w:rPr>
          <w:rFonts w:ascii="Times New Roman" w:hAnsi="Times New Roman" w:cs="Times New Roman"/>
          <w:sz w:val="28"/>
          <w:szCs w:val="28"/>
        </w:rPr>
        <w:t xml:space="preserve">podían considerarse </w:t>
      </w:r>
      <w:r w:rsidR="000C0C3B" w:rsidRPr="00CB543A">
        <w:rPr>
          <w:rFonts w:ascii="Times New Roman" w:hAnsi="Times New Roman" w:cs="Times New Roman"/>
          <w:sz w:val="28"/>
          <w:szCs w:val="28"/>
        </w:rPr>
        <w:t>factor</w:t>
      </w:r>
      <w:r w:rsidR="009B6DAA" w:rsidRPr="00CB543A">
        <w:rPr>
          <w:rFonts w:ascii="Times New Roman" w:hAnsi="Times New Roman" w:cs="Times New Roman"/>
          <w:sz w:val="28"/>
          <w:szCs w:val="28"/>
        </w:rPr>
        <w:t>es</w:t>
      </w:r>
      <w:r w:rsidR="000C0C3B" w:rsidRPr="00CB543A">
        <w:rPr>
          <w:rFonts w:ascii="Times New Roman" w:hAnsi="Times New Roman" w:cs="Times New Roman"/>
          <w:sz w:val="28"/>
          <w:szCs w:val="28"/>
        </w:rPr>
        <w:t xml:space="preserve"> salarial</w:t>
      </w:r>
      <w:r w:rsidR="009B6DAA" w:rsidRPr="00CB543A">
        <w:rPr>
          <w:rFonts w:ascii="Times New Roman" w:hAnsi="Times New Roman" w:cs="Times New Roman"/>
          <w:sz w:val="28"/>
          <w:szCs w:val="28"/>
        </w:rPr>
        <w:t>es</w:t>
      </w:r>
      <w:r w:rsidR="00605849" w:rsidRPr="00CB543A">
        <w:rPr>
          <w:rFonts w:ascii="Times New Roman" w:hAnsi="Times New Roman" w:cs="Times New Roman"/>
          <w:sz w:val="28"/>
          <w:szCs w:val="28"/>
        </w:rPr>
        <w:t xml:space="preserve"> para efectos de </w:t>
      </w:r>
      <w:r w:rsidR="0086358A" w:rsidRPr="00CB543A">
        <w:rPr>
          <w:rFonts w:ascii="Times New Roman" w:hAnsi="Times New Roman" w:cs="Times New Roman"/>
          <w:sz w:val="28"/>
          <w:szCs w:val="28"/>
        </w:rPr>
        <w:t>considerarlos incluidos en el IBL</w:t>
      </w:r>
      <w:r w:rsidR="00E303C4" w:rsidRPr="00CB543A">
        <w:rPr>
          <w:rFonts w:ascii="Times New Roman" w:hAnsi="Times New Roman" w:cs="Times New Roman"/>
          <w:sz w:val="28"/>
          <w:szCs w:val="28"/>
        </w:rPr>
        <w:t xml:space="preserve">. Ambas conclusiones, para la Sala Plena </w:t>
      </w:r>
      <w:r w:rsidR="000C0C3B" w:rsidRPr="00CB543A">
        <w:rPr>
          <w:rFonts w:ascii="Times New Roman" w:hAnsi="Times New Roman" w:cs="Times New Roman"/>
          <w:sz w:val="28"/>
          <w:szCs w:val="28"/>
        </w:rPr>
        <w:t xml:space="preserve">no </w:t>
      </w:r>
      <w:r w:rsidR="00E303C4" w:rsidRPr="00CB543A">
        <w:rPr>
          <w:rFonts w:ascii="Times New Roman" w:hAnsi="Times New Roman" w:cs="Times New Roman"/>
          <w:sz w:val="28"/>
          <w:szCs w:val="28"/>
        </w:rPr>
        <w:t>lesionaban</w:t>
      </w:r>
      <w:r w:rsidR="000C0C3B" w:rsidRPr="00CB543A">
        <w:rPr>
          <w:rFonts w:ascii="Times New Roman" w:hAnsi="Times New Roman" w:cs="Times New Roman"/>
          <w:sz w:val="28"/>
          <w:szCs w:val="28"/>
        </w:rPr>
        <w:t xml:space="preserve"> los derechos de los trabajadores, </w:t>
      </w:r>
      <w:r w:rsidR="00E303C4" w:rsidRPr="00CB543A">
        <w:rPr>
          <w:rFonts w:ascii="Times New Roman" w:hAnsi="Times New Roman" w:cs="Times New Roman"/>
          <w:sz w:val="28"/>
          <w:szCs w:val="28"/>
        </w:rPr>
        <w:t>como tampoco se incumplía</w:t>
      </w:r>
      <w:r w:rsidR="000C0C3B" w:rsidRPr="00CB543A">
        <w:rPr>
          <w:rFonts w:ascii="Times New Roman" w:hAnsi="Times New Roman" w:cs="Times New Roman"/>
          <w:sz w:val="28"/>
          <w:szCs w:val="28"/>
        </w:rPr>
        <w:t xml:space="preserve"> el deber de protección en relación con el derecho al trabajo</w:t>
      </w:r>
      <w:r w:rsidR="004F4C2B" w:rsidRPr="00CB543A">
        <w:rPr>
          <w:rFonts w:ascii="Times New Roman" w:hAnsi="Times New Roman" w:cs="Times New Roman"/>
          <w:sz w:val="28"/>
          <w:szCs w:val="28"/>
        </w:rPr>
        <w:t xml:space="preserve"> ni desconocían derechos adquiridos</w:t>
      </w:r>
      <w:r w:rsidR="00E303C4" w:rsidRPr="00CB543A">
        <w:rPr>
          <w:rFonts w:ascii="Times New Roman" w:hAnsi="Times New Roman" w:cs="Times New Roman"/>
          <w:sz w:val="28"/>
          <w:szCs w:val="28"/>
        </w:rPr>
        <w:t>, por las siguientes razones</w:t>
      </w:r>
      <w:r w:rsidR="000C0C3B" w:rsidRPr="00CB543A">
        <w:rPr>
          <w:rFonts w:ascii="Times New Roman" w:hAnsi="Times New Roman" w:cs="Times New Roman"/>
          <w:sz w:val="28"/>
          <w:szCs w:val="28"/>
        </w:rPr>
        <w:t xml:space="preserve">: </w:t>
      </w:r>
      <w:r w:rsidR="00D0351A" w:rsidRPr="00CB543A">
        <w:rPr>
          <w:rFonts w:ascii="Times New Roman" w:hAnsi="Times New Roman" w:cs="Times New Roman"/>
          <w:i/>
          <w:sz w:val="28"/>
          <w:szCs w:val="28"/>
        </w:rPr>
        <w:t>(i)</w:t>
      </w:r>
      <w:r w:rsidR="00D26429" w:rsidRPr="00CB543A">
        <w:rPr>
          <w:rFonts w:ascii="Times New Roman" w:hAnsi="Times New Roman" w:cs="Times New Roman"/>
          <w:sz w:val="28"/>
          <w:szCs w:val="28"/>
        </w:rPr>
        <w:t xml:space="preserve"> la estabilidad del régimen pensional, si bien no da lugar a un derecho adquirido, sí protege una expectativa legítima</w:t>
      </w:r>
      <w:r w:rsidR="00E303C4" w:rsidRPr="00CB543A">
        <w:rPr>
          <w:rFonts w:ascii="Times New Roman" w:hAnsi="Times New Roman" w:cs="Times New Roman"/>
          <w:sz w:val="28"/>
          <w:szCs w:val="28"/>
        </w:rPr>
        <w:t xml:space="preserve">. </w:t>
      </w:r>
      <w:r w:rsidR="00E303C4" w:rsidRPr="00CB543A">
        <w:rPr>
          <w:rFonts w:ascii="Times New Roman" w:hAnsi="Times New Roman" w:cs="Times New Roman"/>
          <w:i/>
          <w:sz w:val="28"/>
          <w:szCs w:val="28"/>
        </w:rPr>
        <w:t>(ii</w:t>
      </w:r>
      <w:r w:rsidR="00D26429" w:rsidRPr="00CB543A">
        <w:rPr>
          <w:rFonts w:ascii="Times New Roman" w:hAnsi="Times New Roman" w:cs="Times New Roman"/>
          <w:i/>
          <w:sz w:val="28"/>
          <w:szCs w:val="28"/>
        </w:rPr>
        <w:t>)</w:t>
      </w:r>
      <w:r w:rsidR="00E303C4" w:rsidRPr="00CB543A">
        <w:rPr>
          <w:rFonts w:ascii="Times New Roman" w:hAnsi="Times New Roman" w:cs="Times New Roman"/>
          <w:sz w:val="28"/>
          <w:szCs w:val="28"/>
        </w:rPr>
        <w:t xml:space="preserve"> E</w:t>
      </w:r>
      <w:r w:rsidR="00D26429" w:rsidRPr="00CB543A">
        <w:rPr>
          <w:rFonts w:ascii="Times New Roman" w:hAnsi="Times New Roman" w:cs="Times New Roman"/>
          <w:sz w:val="28"/>
          <w:szCs w:val="28"/>
        </w:rPr>
        <w:t xml:space="preserve">sa especial protección </w:t>
      </w:r>
      <w:r w:rsidR="00E303C4" w:rsidRPr="00CB543A">
        <w:rPr>
          <w:rFonts w:ascii="Times New Roman" w:hAnsi="Times New Roman" w:cs="Times New Roman"/>
          <w:sz w:val="28"/>
          <w:szCs w:val="28"/>
        </w:rPr>
        <w:t xml:space="preserve">se </w:t>
      </w:r>
      <w:r w:rsidR="00D26429" w:rsidRPr="00CB543A">
        <w:rPr>
          <w:rFonts w:ascii="Times New Roman" w:hAnsi="Times New Roman" w:cs="Times New Roman"/>
          <w:sz w:val="28"/>
          <w:szCs w:val="28"/>
        </w:rPr>
        <w:t>deriva no s</w:t>
      </w:r>
      <w:r w:rsidR="00E303C4" w:rsidRPr="00CB543A">
        <w:rPr>
          <w:rFonts w:ascii="Times New Roman" w:hAnsi="Times New Roman" w:cs="Times New Roman"/>
          <w:sz w:val="28"/>
          <w:szCs w:val="28"/>
        </w:rPr>
        <w:t>o</w:t>
      </w:r>
      <w:r w:rsidR="00D26429" w:rsidRPr="00CB543A">
        <w:rPr>
          <w:rFonts w:ascii="Times New Roman" w:hAnsi="Times New Roman" w:cs="Times New Roman"/>
          <w:sz w:val="28"/>
          <w:szCs w:val="28"/>
        </w:rPr>
        <w:t>lo de la confianza a la estabilidad de las reglas pensionales, sino también del carácter progresivo de los derechos sociales</w:t>
      </w:r>
      <w:r w:rsidR="00CC6208" w:rsidRPr="00CB543A">
        <w:rPr>
          <w:rFonts w:ascii="Times New Roman" w:hAnsi="Times New Roman" w:cs="Times New Roman"/>
          <w:sz w:val="28"/>
          <w:szCs w:val="28"/>
        </w:rPr>
        <w:t>, y, por consiguiente</w:t>
      </w:r>
      <w:r w:rsidR="00E303C4" w:rsidRPr="00CB543A">
        <w:rPr>
          <w:rFonts w:ascii="Times New Roman" w:hAnsi="Times New Roman" w:cs="Times New Roman"/>
          <w:sz w:val="28"/>
          <w:szCs w:val="28"/>
        </w:rPr>
        <w:t>, si bien</w:t>
      </w:r>
      <w:r w:rsidR="00CC6208" w:rsidRPr="00CB543A">
        <w:rPr>
          <w:rFonts w:ascii="Times New Roman" w:hAnsi="Times New Roman" w:cs="Times New Roman"/>
          <w:sz w:val="28"/>
          <w:szCs w:val="28"/>
        </w:rPr>
        <w:t xml:space="preserve"> el l</w:t>
      </w:r>
      <w:r w:rsidR="00D26429" w:rsidRPr="00CB543A">
        <w:rPr>
          <w:rFonts w:ascii="Times New Roman" w:hAnsi="Times New Roman" w:cs="Times New Roman"/>
          <w:sz w:val="28"/>
          <w:szCs w:val="28"/>
        </w:rPr>
        <w:t xml:space="preserve">egislador puede reformar ese régimen, </w:t>
      </w:r>
      <w:r w:rsidR="00E303C4" w:rsidRPr="00CB543A">
        <w:rPr>
          <w:rFonts w:ascii="Times New Roman" w:hAnsi="Times New Roman" w:cs="Times New Roman"/>
          <w:sz w:val="28"/>
          <w:szCs w:val="28"/>
        </w:rPr>
        <w:t>tal potestad debe estar fundamentada en criterios de razonabilidad, proporcionalidad, justificación suficiente. Finalmente,</w:t>
      </w:r>
      <w:r w:rsidR="00D26429" w:rsidRPr="00CB543A">
        <w:rPr>
          <w:rFonts w:ascii="Times New Roman" w:hAnsi="Times New Roman" w:cs="Times New Roman"/>
          <w:i/>
          <w:sz w:val="28"/>
          <w:szCs w:val="28"/>
        </w:rPr>
        <w:t xml:space="preserve"> (</w:t>
      </w:r>
      <w:r w:rsidR="00E303C4" w:rsidRPr="00CB543A">
        <w:rPr>
          <w:rFonts w:ascii="Times New Roman" w:hAnsi="Times New Roman" w:cs="Times New Roman"/>
          <w:i/>
          <w:sz w:val="28"/>
          <w:szCs w:val="28"/>
        </w:rPr>
        <w:t>iii</w:t>
      </w:r>
      <w:r w:rsidR="00D26429" w:rsidRPr="00CB543A">
        <w:rPr>
          <w:rFonts w:ascii="Times New Roman" w:hAnsi="Times New Roman" w:cs="Times New Roman"/>
          <w:i/>
          <w:sz w:val="28"/>
          <w:szCs w:val="28"/>
        </w:rPr>
        <w:t>)</w:t>
      </w:r>
      <w:r w:rsidR="00D26429" w:rsidRPr="00CB543A">
        <w:rPr>
          <w:rFonts w:ascii="Times New Roman" w:hAnsi="Times New Roman" w:cs="Times New Roman"/>
          <w:sz w:val="28"/>
          <w:szCs w:val="28"/>
        </w:rPr>
        <w:t xml:space="preserve"> </w:t>
      </w:r>
      <w:r w:rsidR="00E303C4" w:rsidRPr="00CB543A">
        <w:rPr>
          <w:rFonts w:ascii="Times New Roman" w:hAnsi="Times New Roman" w:cs="Times New Roman"/>
          <w:sz w:val="28"/>
          <w:szCs w:val="28"/>
        </w:rPr>
        <w:t xml:space="preserve">estas razones permitieron que </w:t>
      </w:r>
      <w:r w:rsidR="00D26429" w:rsidRPr="00CB543A">
        <w:rPr>
          <w:rFonts w:ascii="Times New Roman" w:hAnsi="Times New Roman" w:cs="Times New Roman"/>
          <w:sz w:val="28"/>
          <w:szCs w:val="28"/>
        </w:rPr>
        <w:t xml:space="preserve">el </w:t>
      </w:r>
      <w:r w:rsidR="00E303C4" w:rsidRPr="00CB543A">
        <w:rPr>
          <w:rFonts w:ascii="Times New Roman" w:hAnsi="Times New Roman" w:cs="Times New Roman"/>
          <w:sz w:val="28"/>
          <w:szCs w:val="28"/>
        </w:rPr>
        <w:t>constituyente derivado reformara</w:t>
      </w:r>
      <w:r w:rsidR="00D26429" w:rsidRPr="00CB543A">
        <w:rPr>
          <w:rFonts w:ascii="Times New Roman" w:hAnsi="Times New Roman" w:cs="Times New Roman"/>
          <w:sz w:val="28"/>
          <w:szCs w:val="28"/>
        </w:rPr>
        <w:t xml:space="preserve"> </w:t>
      </w:r>
      <w:r w:rsidR="000C0C3B" w:rsidRPr="00CB543A">
        <w:rPr>
          <w:rFonts w:ascii="Times New Roman" w:hAnsi="Times New Roman" w:cs="Times New Roman"/>
          <w:sz w:val="28"/>
          <w:szCs w:val="28"/>
        </w:rPr>
        <w:t>el artículo 48 de la Constitución (Acto Legislativo 01 de 2005)</w:t>
      </w:r>
      <w:r w:rsidR="00D26429" w:rsidRPr="00CB543A">
        <w:rPr>
          <w:rFonts w:ascii="Times New Roman" w:hAnsi="Times New Roman" w:cs="Times New Roman"/>
          <w:sz w:val="28"/>
          <w:szCs w:val="28"/>
        </w:rPr>
        <w:t xml:space="preserve">, debido a que el régimen de transición no </w:t>
      </w:r>
      <w:r w:rsidR="00E303C4" w:rsidRPr="00CB543A">
        <w:rPr>
          <w:rFonts w:ascii="Times New Roman" w:hAnsi="Times New Roman" w:cs="Times New Roman"/>
          <w:sz w:val="28"/>
          <w:szCs w:val="28"/>
        </w:rPr>
        <w:t xml:space="preserve">podía </w:t>
      </w:r>
      <w:r w:rsidR="00D26429" w:rsidRPr="00CB543A">
        <w:rPr>
          <w:rFonts w:ascii="Times New Roman" w:hAnsi="Times New Roman" w:cs="Times New Roman"/>
          <w:sz w:val="28"/>
          <w:szCs w:val="28"/>
        </w:rPr>
        <w:t xml:space="preserve">ser, en sí mismo, </w:t>
      </w:r>
      <w:r w:rsidR="000C0C3B" w:rsidRPr="00CB543A">
        <w:rPr>
          <w:rFonts w:ascii="Times New Roman" w:hAnsi="Times New Roman" w:cs="Times New Roman"/>
          <w:sz w:val="28"/>
          <w:szCs w:val="28"/>
        </w:rPr>
        <w:t xml:space="preserve">considerado como </w:t>
      </w:r>
      <w:r w:rsidR="00E303C4" w:rsidRPr="00CB543A">
        <w:rPr>
          <w:rFonts w:ascii="Times New Roman" w:hAnsi="Times New Roman" w:cs="Times New Roman"/>
          <w:sz w:val="28"/>
          <w:szCs w:val="28"/>
        </w:rPr>
        <w:t>indefinido en el tiempo.</w:t>
      </w:r>
    </w:p>
    <w:p w:rsidR="00D26429" w:rsidRPr="00CB543A" w:rsidRDefault="00D26429" w:rsidP="00CB543A">
      <w:pPr>
        <w:pStyle w:val="Prrafodelista"/>
        <w:widowControl w:val="0"/>
        <w:spacing w:after="0" w:line="240" w:lineRule="auto"/>
        <w:ind w:left="0"/>
        <w:jc w:val="both"/>
        <w:rPr>
          <w:rFonts w:ascii="Times New Roman" w:hAnsi="Times New Roman" w:cs="Times New Roman"/>
          <w:sz w:val="28"/>
          <w:szCs w:val="28"/>
        </w:rPr>
      </w:pPr>
    </w:p>
    <w:p w:rsidR="007C45FF" w:rsidRPr="00CB543A" w:rsidRDefault="007C45FF" w:rsidP="00CB543A">
      <w:pPr>
        <w:pStyle w:val="Prrafodelista"/>
        <w:widowControl w:val="0"/>
        <w:numPr>
          <w:ilvl w:val="3"/>
          <w:numId w:val="11"/>
        </w:numPr>
        <w:spacing w:after="0" w:line="240" w:lineRule="auto"/>
        <w:ind w:left="0" w:firstLine="0"/>
        <w:jc w:val="both"/>
        <w:rPr>
          <w:rFonts w:ascii="Times New Roman" w:hAnsi="Times New Roman" w:cs="Times New Roman"/>
          <w:b/>
          <w:sz w:val="28"/>
          <w:szCs w:val="28"/>
        </w:rPr>
      </w:pPr>
      <w:r w:rsidRPr="00CB543A">
        <w:rPr>
          <w:rFonts w:ascii="Times New Roman" w:hAnsi="Times New Roman" w:cs="Times New Roman"/>
          <w:b/>
          <w:sz w:val="28"/>
          <w:szCs w:val="28"/>
        </w:rPr>
        <w:t xml:space="preserve">Síntesis de la jurisprudencia de las Altas Cortes </w:t>
      </w:r>
      <w:r w:rsidR="00367CF7" w:rsidRPr="00CB543A">
        <w:rPr>
          <w:rFonts w:ascii="Times New Roman" w:hAnsi="Times New Roman" w:cs="Times New Roman"/>
          <w:b/>
          <w:sz w:val="28"/>
          <w:szCs w:val="28"/>
        </w:rPr>
        <w:t>en cuanto al alcance del artículo 36 de la Ley 100 de 1993</w:t>
      </w:r>
    </w:p>
    <w:p w:rsidR="007C45FF" w:rsidRPr="00CB543A" w:rsidRDefault="007C45FF" w:rsidP="00CB543A">
      <w:pPr>
        <w:pStyle w:val="Prrafodelista"/>
        <w:widowControl w:val="0"/>
        <w:spacing w:after="0" w:line="240" w:lineRule="auto"/>
        <w:ind w:left="0"/>
        <w:jc w:val="both"/>
        <w:rPr>
          <w:rFonts w:ascii="Times New Roman" w:hAnsi="Times New Roman" w:cs="Times New Roman"/>
          <w:sz w:val="28"/>
          <w:szCs w:val="28"/>
        </w:rPr>
      </w:pPr>
    </w:p>
    <w:p w:rsidR="004F2F77" w:rsidRPr="00CB543A" w:rsidRDefault="00740ECD" w:rsidP="00CB543A">
      <w:pPr>
        <w:pStyle w:val="Prrafodelista"/>
        <w:widowControl w:val="0"/>
        <w:numPr>
          <w:ilvl w:val="0"/>
          <w:numId w:val="32"/>
        </w:numPr>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Colofón del recuento</w:t>
      </w:r>
      <w:r w:rsidR="00A84D86" w:rsidRPr="00CB543A">
        <w:rPr>
          <w:rFonts w:ascii="Times New Roman" w:hAnsi="Times New Roman" w:cs="Times New Roman"/>
          <w:sz w:val="28"/>
          <w:szCs w:val="28"/>
        </w:rPr>
        <w:t xml:space="preserve"> anterior, puede presentarse el siguiente cuadro:</w:t>
      </w:r>
    </w:p>
    <w:p w:rsidR="00790769" w:rsidRPr="00CB543A" w:rsidRDefault="00790769" w:rsidP="00CB543A">
      <w:pPr>
        <w:widowControl w:val="0"/>
        <w:spacing w:after="0" w:line="240" w:lineRule="auto"/>
        <w:jc w:val="both"/>
        <w:rPr>
          <w:rFonts w:ascii="Times New Roman" w:hAnsi="Times New Roman" w:cs="Times New Roman"/>
          <w:b/>
          <w:sz w:val="28"/>
          <w:szCs w:val="28"/>
        </w:rPr>
      </w:pP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1391"/>
        <w:gridCol w:w="1533"/>
        <w:gridCol w:w="2017"/>
        <w:gridCol w:w="1526"/>
      </w:tblGrid>
      <w:tr w:rsidR="003C7399" w:rsidRPr="00CB543A" w:rsidTr="00E111DF">
        <w:trPr>
          <w:jc w:val="center"/>
        </w:trPr>
        <w:tc>
          <w:tcPr>
            <w:tcW w:w="2319" w:type="dxa"/>
            <w:vAlign w:val="center"/>
          </w:tcPr>
          <w:p w:rsidR="00225752" w:rsidRPr="00CB543A" w:rsidRDefault="007C45FF" w:rsidP="00CB543A">
            <w:pPr>
              <w:pStyle w:val="Prrafodelista"/>
              <w:widowControl w:val="0"/>
              <w:spacing w:after="0" w:line="240" w:lineRule="auto"/>
              <w:ind w:left="0"/>
              <w:jc w:val="center"/>
              <w:rPr>
                <w:rFonts w:ascii="Times New Roman" w:hAnsi="Times New Roman" w:cs="Times New Roman"/>
                <w:sz w:val="28"/>
                <w:szCs w:val="28"/>
              </w:rPr>
            </w:pPr>
            <w:r w:rsidRPr="00CB543A">
              <w:rPr>
                <w:rFonts w:ascii="Times New Roman" w:hAnsi="Times New Roman" w:cs="Times New Roman"/>
                <w:sz w:val="28"/>
                <w:szCs w:val="28"/>
              </w:rPr>
              <w:t xml:space="preserve">Alta </w:t>
            </w:r>
            <w:r w:rsidR="00225752" w:rsidRPr="00CB543A">
              <w:rPr>
                <w:rFonts w:ascii="Times New Roman" w:hAnsi="Times New Roman" w:cs="Times New Roman"/>
                <w:sz w:val="28"/>
                <w:szCs w:val="28"/>
              </w:rPr>
              <w:t>Corte</w:t>
            </w:r>
          </w:p>
        </w:tc>
        <w:tc>
          <w:tcPr>
            <w:tcW w:w="1223" w:type="dxa"/>
            <w:vAlign w:val="center"/>
          </w:tcPr>
          <w:p w:rsidR="00225752" w:rsidRPr="00CB543A" w:rsidRDefault="00225752" w:rsidP="00CB543A">
            <w:pPr>
              <w:pStyle w:val="Prrafodelista"/>
              <w:widowControl w:val="0"/>
              <w:spacing w:after="0" w:line="240" w:lineRule="auto"/>
              <w:ind w:left="0"/>
              <w:jc w:val="center"/>
              <w:rPr>
                <w:rFonts w:ascii="Times New Roman" w:hAnsi="Times New Roman" w:cs="Times New Roman"/>
                <w:sz w:val="28"/>
                <w:szCs w:val="28"/>
              </w:rPr>
            </w:pPr>
            <w:r w:rsidRPr="00CB543A">
              <w:rPr>
                <w:rFonts w:ascii="Times New Roman" w:hAnsi="Times New Roman" w:cs="Times New Roman"/>
                <w:sz w:val="28"/>
                <w:szCs w:val="28"/>
              </w:rPr>
              <w:t>Edad (norma)</w:t>
            </w:r>
          </w:p>
        </w:tc>
        <w:tc>
          <w:tcPr>
            <w:tcW w:w="1556" w:type="dxa"/>
            <w:vAlign w:val="center"/>
          </w:tcPr>
          <w:p w:rsidR="00225752" w:rsidRPr="00CB543A" w:rsidRDefault="00225752" w:rsidP="00CB543A">
            <w:pPr>
              <w:pStyle w:val="Prrafodelista"/>
              <w:widowControl w:val="0"/>
              <w:spacing w:after="0" w:line="240" w:lineRule="auto"/>
              <w:ind w:left="0"/>
              <w:jc w:val="center"/>
              <w:rPr>
                <w:rFonts w:ascii="Times New Roman" w:hAnsi="Times New Roman" w:cs="Times New Roman"/>
                <w:sz w:val="28"/>
                <w:szCs w:val="28"/>
              </w:rPr>
            </w:pPr>
            <w:r w:rsidRPr="00CB543A">
              <w:rPr>
                <w:rFonts w:ascii="Times New Roman" w:hAnsi="Times New Roman" w:cs="Times New Roman"/>
                <w:sz w:val="28"/>
                <w:szCs w:val="28"/>
              </w:rPr>
              <w:t>Tiempo o semanas de cotización (norma)</w:t>
            </w:r>
          </w:p>
        </w:tc>
        <w:tc>
          <w:tcPr>
            <w:tcW w:w="2086" w:type="dxa"/>
            <w:vAlign w:val="center"/>
          </w:tcPr>
          <w:p w:rsidR="00225752" w:rsidRPr="00CB543A" w:rsidRDefault="00225752" w:rsidP="00CB543A">
            <w:pPr>
              <w:pStyle w:val="Prrafodelista"/>
              <w:widowControl w:val="0"/>
              <w:spacing w:after="0" w:line="240" w:lineRule="auto"/>
              <w:ind w:left="0"/>
              <w:jc w:val="center"/>
              <w:rPr>
                <w:rFonts w:ascii="Times New Roman" w:hAnsi="Times New Roman" w:cs="Times New Roman"/>
                <w:sz w:val="28"/>
                <w:szCs w:val="28"/>
              </w:rPr>
            </w:pPr>
            <w:r w:rsidRPr="00CB543A">
              <w:rPr>
                <w:rFonts w:ascii="Times New Roman" w:hAnsi="Times New Roman" w:cs="Times New Roman"/>
                <w:sz w:val="28"/>
                <w:szCs w:val="28"/>
              </w:rPr>
              <w:t>Monto</w:t>
            </w:r>
            <w:r w:rsidR="00931AE2" w:rsidRPr="00CB543A">
              <w:rPr>
                <w:rFonts w:ascii="Times New Roman" w:hAnsi="Times New Roman" w:cs="Times New Roman"/>
                <w:sz w:val="28"/>
                <w:szCs w:val="28"/>
              </w:rPr>
              <w:t xml:space="preserve"> corresponde a:</w:t>
            </w:r>
          </w:p>
        </w:tc>
        <w:tc>
          <w:tcPr>
            <w:tcW w:w="1537" w:type="dxa"/>
            <w:vAlign w:val="center"/>
          </w:tcPr>
          <w:p w:rsidR="00225752" w:rsidRPr="00CB543A" w:rsidRDefault="00225752" w:rsidP="00CB543A">
            <w:pPr>
              <w:pStyle w:val="Prrafodelista"/>
              <w:widowControl w:val="0"/>
              <w:spacing w:after="0" w:line="240" w:lineRule="auto"/>
              <w:ind w:left="0"/>
              <w:jc w:val="center"/>
              <w:rPr>
                <w:rFonts w:ascii="Times New Roman" w:hAnsi="Times New Roman" w:cs="Times New Roman"/>
                <w:sz w:val="28"/>
                <w:szCs w:val="28"/>
              </w:rPr>
            </w:pPr>
            <w:r w:rsidRPr="00CB543A">
              <w:rPr>
                <w:rFonts w:ascii="Times New Roman" w:hAnsi="Times New Roman" w:cs="Times New Roman"/>
                <w:sz w:val="28"/>
                <w:szCs w:val="28"/>
              </w:rPr>
              <w:t>IBL (norma)</w:t>
            </w:r>
          </w:p>
        </w:tc>
      </w:tr>
      <w:tr w:rsidR="003C7399" w:rsidRPr="00CB543A" w:rsidTr="00E111DF">
        <w:trPr>
          <w:jc w:val="center"/>
        </w:trPr>
        <w:tc>
          <w:tcPr>
            <w:tcW w:w="2319" w:type="dxa"/>
          </w:tcPr>
          <w:p w:rsidR="00225752" w:rsidRPr="00CB543A" w:rsidRDefault="00367CF7" w:rsidP="00CB543A">
            <w:pPr>
              <w:pStyle w:val="Prrafodelista"/>
              <w:widowControl w:val="0"/>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Consejo de Estado (numeral 5.1</w:t>
            </w:r>
            <w:r w:rsidR="00225752" w:rsidRPr="00CB543A">
              <w:rPr>
                <w:rFonts w:ascii="Times New Roman" w:hAnsi="Times New Roman" w:cs="Times New Roman"/>
                <w:sz w:val="28"/>
                <w:szCs w:val="28"/>
              </w:rPr>
              <w:t>.2</w:t>
            </w:r>
            <w:r w:rsidRPr="00CB543A">
              <w:rPr>
                <w:rFonts w:ascii="Times New Roman" w:hAnsi="Times New Roman" w:cs="Times New Roman"/>
                <w:sz w:val="28"/>
                <w:szCs w:val="28"/>
              </w:rPr>
              <w:t>.1</w:t>
            </w:r>
            <w:r w:rsidR="00225752" w:rsidRPr="00CB543A">
              <w:rPr>
                <w:rFonts w:ascii="Times New Roman" w:hAnsi="Times New Roman" w:cs="Times New Roman"/>
                <w:sz w:val="28"/>
                <w:szCs w:val="28"/>
              </w:rPr>
              <w:t xml:space="preserve"> </w:t>
            </w:r>
            <w:r w:rsidR="00225752" w:rsidRPr="00CB543A">
              <w:rPr>
                <w:rFonts w:ascii="Times New Roman" w:hAnsi="Times New Roman" w:cs="Times New Roman"/>
                <w:i/>
                <w:sz w:val="28"/>
                <w:szCs w:val="28"/>
              </w:rPr>
              <w:t>supra</w:t>
            </w:r>
            <w:r w:rsidR="00225752" w:rsidRPr="00CB543A">
              <w:rPr>
                <w:rFonts w:ascii="Times New Roman" w:hAnsi="Times New Roman" w:cs="Times New Roman"/>
                <w:sz w:val="28"/>
                <w:szCs w:val="28"/>
              </w:rPr>
              <w:t xml:space="preserve">) </w:t>
            </w:r>
          </w:p>
        </w:tc>
        <w:tc>
          <w:tcPr>
            <w:tcW w:w="1223" w:type="dxa"/>
          </w:tcPr>
          <w:p w:rsidR="00225752" w:rsidRPr="00CB543A" w:rsidRDefault="00225752" w:rsidP="00CB543A">
            <w:pPr>
              <w:pStyle w:val="Prrafodelista"/>
              <w:widowControl w:val="0"/>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Rég. de</w:t>
            </w:r>
            <w:r w:rsidR="00BB221A">
              <w:rPr>
                <w:rFonts w:ascii="Times New Roman" w:hAnsi="Times New Roman" w:cs="Times New Roman"/>
                <w:sz w:val="28"/>
                <w:szCs w:val="28"/>
              </w:rPr>
              <w:t xml:space="preserve"> </w:t>
            </w:r>
            <w:r w:rsidR="00367CF7" w:rsidRPr="00CB543A">
              <w:rPr>
                <w:rFonts w:ascii="Times New Roman" w:hAnsi="Times New Roman" w:cs="Times New Roman"/>
                <w:sz w:val="28"/>
                <w:szCs w:val="28"/>
              </w:rPr>
              <w:t>t</w:t>
            </w:r>
            <w:r w:rsidRPr="00CB543A">
              <w:rPr>
                <w:rFonts w:ascii="Times New Roman" w:hAnsi="Times New Roman" w:cs="Times New Roman"/>
                <w:sz w:val="28"/>
                <w:szCs w:val="28"/>
              </w:rPr>
              <w:t>ran</w:t>
            </w:r>
            <w:r w:rsidR="00931AE2" w:rsidRPr="00CB543A">
              <w:rPr>
                <w:rFonts w:ascii="Times New Roman" w:hAnsi="Times New Roman" w:cs="Times New Roman"/>
                <w:sz w:val="28"/>
                <w:szCs w:val="28"/>
              </w:rPr>
              <w:t>sición</w:t>
            </w:r>
            <w:r w:rsidRPr="00CB543A">
              <w:rPr>
                <w:rFonts w:ascii="Times New Roman" w:hAnsi="Times New Roman" w:cs="Times New Roman"/>
                <w:sz w:val="28"/>
                <w:szCs w:val="28"/>
              </w:rPr>
              <w:t>.</w:t>
            </w:r>
          </w:p>
        </w:tc>
        <w:tc>
          <w:tcPr>
            <w:tcW w:w="1556" w:type="dxa"/>
          </w:tcPr>
          <w:p w:rsidR="00225752" w:rsidRPr="00CB543A" w:rsidRDefault="00225752" w:rsidP="00CB543A">
            <w:pPr>
              <w:pStyle w:val="Prrafodelista"/>
              <w:widowControl w:val="0"/>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 xml:space="preserve">Rég. de </w:t>
            </w:r>
            <w:r w:rsidR="00367CF7" w:rsidRPr="00CB543A">
              <w:rPr>
                <w:rFonts w:ascii="Times New Roman" w:hAnsi="Times New Roman" w:cs="Times New Roman"/>
                <w:sz w:val="28"/>
                <w:szCs w:val="28"/>
              </w:rPr>
              <w:t>t</w:t>
            </w:r>
            <w:r w:rsidRPr="00CB543A">
              <w:rPr>
                <w:rFonts w:ascii="Times New Roman" w:hAnsi="Times New Roman" w:cs="Times New Roman"/>
                <w:sz w:val="28"/>
                <w:szCs w:val="28"/>
              </w:rPr>
              <w:t>ran</w:t>
            </w:r>
            <w:r w:rsidR="00931AE2" w:rsidRPr="00CB543A">
              <w:rPr>
                <w:rFonts w:ascii="Times New Roman" w:hAnsi="Times New Roman" w:cs="Times New Roman"/>
                <w:sz w:val="28"/>
                <w:szCs w:val="28"/>
              </w:rPr>
              <w:t>sición</w:t>
            </w:r>
            <w:r w:rsidRPr="00CB543A">
              <w:rPr>
                <w:rFonts w:ascii="Times New Roman" w:hAnsi="Times New Roman" w:cs="Times New Roman"/>
                <w:sz w:val="28"/>
                <w:szCs w:val="28"/>
              </w:rPr>
              <w:t>.</w:t>
            </w:r>
          </w:p>
        </w:tc>
        <w:tc>
          <w:tcPr>
            <w:tcW w:w="2086" w:type="dxa"/>
          </w:tcPr>
          <w:p w:rsidR="00225752" w:rsidRPr="00CB543A" w:rsidRDefault="00931AE2" w:rsidP="00CB543A">
            <w:pPr>
              <w:pStyle w:val="Prrafodelista"/>
              <w:widowControl w:val="0"/>
              <w:spacing w:after="0" w:line="240" w:lineRule="auto"/>
              <w:ind w:left="0"/>
              <w:jc w:val="both"/>
              <w:rPr>
                <w:rFonts w:ascii="Times New Roman" w:hAnsi="Times New Roman" w:cs="Times New Roman"/>
                <w:b/>
                <w:i/>
                <w:sz w:val="28"/>
                <w:szCs w:val="28"/>
              </w:rPr>
            </w:pPr>
            <w:r w:rsidRPr="00CB543A">
              <w:rPr>
                <w:rFonts w:ascii="Times New Roman" w:hAnsi="Times New Roman" w:cs="Times New Roman"/>
                <w:b/>
                <w:i/>
                <w:sz w:val="28"/>
                <w:szCs w:val="28"/>
              </w:rPr>
              <w:t>La liquidación aritmética del derecho</w:t>
            </w:r>
          </w:p>
        </w:tc>
        <w:tc>
          <w:tcPr>
            <w:tcW w:w="1537" w:type="dxa"/>
          </w:tcPr>
          <w:p w:rsidR="00225752" w:rsidRPr="00CB543A" w:rsidRDefault="00931AE2" w:rsidP="00CB543A">
            <w:pPr>
              <w:pStyle w:val="Prrafodelista"/>
              <w:widowControl w:val="0"/>
              <w:spacing w:after="0" w:line="240" w:lineRule="auto"/>
              <w:ind w:left="0"/>
              <w:jc w:val="both"/>
              <w:rPr>
                <w:rFonts w:ascii="Times New Roman" w:hAnsi="Times New Roman" w:cs="Times New Roman"/>
                <w:b/>
                <w:i/>
                <w:sz w:val="28"/>
                <w:szCs w:val="28"/>
              </w:rPr>
            </w:pPr>
            <w:r w:rsidRPr="00CB543A">
              <w:rPr>
                <w:rFonts w:ascii="Times New Roman" w:hAnsi="Times New Roman" w:cs="Times New Roman"/>
                <w:b/>
                <w:i/>
                <w:sz w:val="28"/>
                <w:szCs w:val="28"/>
              </w:rPr>
              <w:t xml:space="preserve">Rég. de </w:t>
            </w:r>
            <w:r w:rsidR="00367CF7" w:rsidRPr="00CB543A">
              <w:rPr>
                <w:rFonts w:ascii="Times New Roman" w:hAnsi="Times New Roman" w:cs="Times New Roman"/>
                <w:b/>
                <w:i/>
                <w:sz w:val="28"/>
                <w:szCs w:val="28"/>
              </w:rPr>
              <w:t>t</w:t>
            </w:r>
            <w:r w:rsidRPr="00CB543A">
              <w:rPr>
                <w:rFonts w:ascii="Times New Roman" w:hAnsi="Times New Roman" w:cs="Times New Roman"/>
                <w:b/>
                <w:i/>
                <w:sz w:val="28"/>
                <w:szCs w:val="28"/>
              </w:rPr>
              <w:t>ransición.</w:t>
            </w:r>
          </w:p>
        </w:tc>
      </w:tr>
      <w:tr w:rsidR="003C7399" w:rsidRPr="00CB543A" w:rsidTr="00E111DF">
        <w:trPr>
          <w:jc w:val="center"/>
        </w:trPr>
        <w:tc>
          <w:tcPr>
            <w:tcW w:w="2319" w:type="dxa"/>
          </w:tcPr>
          <w:p w:rsidR="00225752" w:rsidRPr="00CB543A" w:rsidRDefault="00225752" w:rsidP="00CB543A">
            <w:pPr>
              <w:pStyle w:val="Prrafodelista"/>
              <w:widowControl w:val="0"/>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 xml:space="preserve">Corte Suprema (numeral </w:t>
            </w:r>
            <w:r w:rsidR="00367CF7" w:rsidRPr="00CB543A">
              <w:rPr>
                <w:rFonts w:ascii="Times New Roman" w:hAnsi="Times New Roman" w:cs="Times New Roman"/>
                <w:sz w:val="28"/>
                <w:szCs w:val="28"/>
              </w:rPr>
              <w:t>5.1.2.2</w:t>
            </w:r>
            <w:r w:rsidRPr="00CB543A">
              <w:rPr>
                <w:rFonts w:ascii="Times New Roman" w:hAnsi="Times New Roman" w:cs="Times New Roman"/>
                <w:sz w:val="28"/>
                <w:szCs w:val="28"/>
              </w:rPr>
              <w:t xml:space="preserve"> </w:t>
            </w:r>
            <w:r w:rsidRPr="00CB543A">
              <w:rPr>
                <w:rFonts w:ascii="Times New Roman" w:hAnsi="Times New Roman" w:cs="Times New Roman"/>
                <w:i/>
                <w:sz w:val="28"/>
                <w:szCs w:val="28"/>
              </w:rPr>
              <w:t>supra</w:t>
            </w:r>
            <w:r w:rsidRPr="00CB543A">
              <w:rPr>
                <w:rFonts w:ascii="Times New Roman" w:hAnsi="Times New Roman" w:cs="Times New Roman"/>
                <w:sz w:val="28"/>
                <w:szCs w:val="28"/>
              </w:rPr>
              <w:t>)</w:t>
            </w:r>
          </w:p>
        </w:tc>
        <w:tc>
          <w:tcPr>
            <w:tcW w:w="1223" w:type="dxa"/>
          </w:tcPr>
          <w:p w:rsidR="00225752" w:rsidRPr="00CB543A" w:rsidRDefault="00225752" w:rsidP="00CB543A">
            <w:pPr>
              <w:pStyle w:val="Prrafodelista"/>
              <w:widowControl w:val="0"/>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 xml:space="preserve">Rég. de </w:t>
            </w:r>
            <w:r w:rsidR="00367CF7" w:rsidRPr="00CB543A">
              <w:rPr>
                <w:rFonts w:ascii="Times New Roman" w:hAnsi="Times New Roman" w:cs="Times New Roman"/>
                <w:sz w:val="28"/>
                <w:szCs w:val="28"/>
              </w:rPr>
              <w:t>t</w:t>
            </w:r>
            <w:r w:rsidRPr="00CB543A">
              <w:rPr>
                <w:rFonts w:ascii="Times New Roman" w:hAnsi="Times New Roman" w:cs="Times New Roman"/>
                <w:sz w:val="28"/>
                <w:szCs w:val="28"/>
              </w:rPr>
              <w:t>ran</w:t>
            </w:r>
            <w:r w:rsidR="00931AE2" w:rsidRPr="00CB543A">
              <w:rPr>
                <w:rFonts w:ascii="Times New Roman" w:hAnsi="Times New Roman" w:cs="Times New Roman"/>
                <w:sz w:val="28"/>
                <w:szCs w:val="28"/>
              </w:rPr>
              <w:t>sición</w:t>
            </w:r>
            <w:r w:rsidRPr="00CB543A">
              <w:rPr>
                <w:rFonts w:ascii="Times New Roman" w:hAnsi="Times New Roman" w:cs="Times New Roman"/>
                <w:sz w:val="28"/>
                <w:szCs w:val="28"/>
              </w:rPr>
              <w:t>.</w:t>
            </w:r>
          </w:p>
        </w:tc>
        <w:tc>
          <w:tcPr>
            <w:tcW w:w="1556" w:type="dxa"/>
          </w:tcPr>
          <w:p w:rsidR="00225752" w:rsidRPr="00CB543A" w:rsidRDefault="00225752" w:rsidP="00CB543A">
            <w:pPr>
              <w:pStyle w:val="Prrafodelista"/>
              <w:widowControl w:val="0"/>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 xml:space="preserve">Rég. de </w:t>
            </w:r>
            <w:r w:rsidR="00367CF7" w:rsidRPr="00CB543A">
              <w:rPr>
                <w:rFonts w:ascii="Times New Roman" w:hAnsi="Times New Roman" w:cs="Times New Roman"/>
                <w:sz w:val="28"/>
                <w:szCs w:val="28"/>
              </w:rPr>
              <w:t>t</w:t>
            </w:r>
            <w:r w:rsidRPr="00CB543A">
              <w:rPr>
                <w:rFonts w:ascii="Times New Roman" w:hAnsi="Times New Roman" w:cs="Times New Roman"/>
                <w:sz w:val="28"/>
                <w:szCs w:val="28"/>
              </w:rPr>
              <w:t>ran</w:t>
            </w:r>
            <w:r w:rsidR="00931AE2" w:rsidRPr="00CB543A">
              <w:rPr>
                <w:rFonts w:ascii="Times New Roman" w:hAnsi="Times New Roman" w:cs="Times New Roman"/>
                <w:sz w:val="28"/>
                <w:szCs w:val="28"/>
              </w:rPr>
              <w:t>sición</w:t>
            </w:r>
            <w:r w:rsidRPr="00CB543A">
              <w:rPr>
                <w:rFonts w:ascii="Times New Roman" w:hAnsi="Times New Roman" w:cs="Times New Roman"/>
                <w:sz w:val="28"/>
                <w:szCs w:val="28"/>
              </w:rPr>
              <w:t>.</w:t>
            </w:r>
          </w:p>
        </w:tc>
        <w:tc>
          <w:tcPr>
            <w:tcW w:w="2086" w:type="dxa"/>
          </w:tcPr>
          <w:p w:rsidR="00225752" w:rsidRPr="00CB543A" w:rsidRDefault="00931AE2" w:rsidP="00CB543A">
            <w:pPr>
              <w:pStyle w:val="Prrafodelista"/>
              <w:widowControl w:val="0"/>
              <w:spacing w:after="0" w:line="240" w:lineRule="auto"/>
              <w:ind w:left="0"/>
              <w:jc w:val="both"/>
              <w:rPr>
                <w:rFonts w:ascii="Times New Roman" w:hAnsi="Times New Roman" w:cs="Times New Roman"/>
                <w:b/>
                <w:i/>
                <w:sz w:val="28"/>
                <w:szCs w:val="28"/>
              </w:rPr>
            </w:pPr>
            <w:r w:rsidRPr="00CB543A">
              <w:rPr>
                <w:rFonts w:ascii="Times New Roman" w:hAnsi="Times New Roman" w:cs="Times New Roman"/>
                <w:b/>
                <w:i/>
                <w:sz w:val="28"/>
                <w:szCs w:val="28"/>
              </w:rPr>
              <w:t>Al porcentaje</w:t>
            </w:r>
          </w:p>
        </w:tc>
        <w:tc>
          <w:tcPr>
            <w:tcW w:w="1537" w:type="dxa"/>
          </w:tcPr>
          <w:p w:rsidR="00225752" w:rsidRPr="00CB543A" w:rsidRDefault="00931AE2" w:rsidP="00CB543A">
            <w:pPr>
              <w:pStyle w:val="Prrafodelista"/>
              <w:widowControl w:val="0"/>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Ley 100</w:t>
            </w:r>
            <w:r w:rsidR="00367CF7" w:rsidRPr="00CB543A">
              <w:rPr>
                <w:rFonts w:ascii="Times New Roman" w:hAnsi="Times New Roman" w:cs="Times New Roman"/>
                <w:sz w:val="28"/>
                <w:szCs w:val="28"/>
              </w:rPr>
              <w:t xml:space="preserve"> de 19</w:t>
            </w:r>
            <w:r w:rsidRPr="00CB543A">
              <w:rPr>
                <w:rFonts w:ascii="Times New Roman" w:hAnsi="Times New Roman" w:cs="Times New Roman"/>
                <w:sz w:val="28"/>
                <w:szCs w:val="28"/>
              </w:rPr>
              <w:t>93</w:t>
            </w:r>
          </w:p>
        </w:tc>
      </w:tr>
      <w:tr w:rsidR="003C7399" w:rsidRPr="00CB543A" w:rsidTr="00E111DF">
        <w:trPr>
          <w:jc w:val="center"/>
        </w:trPr>
        <w:tc>
          <w:tcPr>
            <w:tcW w:w="2319" w:type="dxa"/>
          </w:tcPr>
          <w:p w:rsidR="00225752" w:rsidRPr="00CB543A" w:rsidRDefault="00225752" w:rsidP="00CB543A">
            <w:pPr>
              <w:pStyle w:val="Prrafodelista"/>
              <w:widowControl w:val="0"/>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Corte Constitucional</w:t>
            </w:r>
            <w:r w:rsidR="00BB221A">
              <w:rPr>
                <w:rFonts w:ascii="Times New Roman" w:hAnsi="Times New Roman" w:cs="Times New Roman"/>
                <w:sz w:val="28"/>
                <w:szCs w:val="28"/>
              </w:rPr>
              <w:t xml:space="preserve"> </w:t>
            </w:r>
            <w:r w:rsidRPr="00CB543A">
              <w:rPr>
                <w:rFonts w:ascii="Times New Roman" w:hAnsi="Times New Roman" w:cs="Times New Roman"/>
                <w:sz w:val="28"/>
                <w:szCs w:val="28"/>
              </w:rPr>
              <w:t xml:space="preserve">(numeral </w:t>
            </w:r>
            <w:r w:rsidR="00367CF7" w:rsidRPr="00CB543A">
              <w:rPr>
                <w:rFonts w:ascii="Times New Roman" w:hAnsi="Times New Roman" w:cs="Times New Roman"/>
                <w:sz w:val="28"/>
                <w:szCs w:val="28"/>
              </w:rPr>
              <w:t>5.1.2.3</w:t>
            </w:r>
            <w:r w:rsidRPr="00CB543A">
              <w:rPr>
                <w:rFonts w:ascii="Times New Roman" w:hAnsi="Times New Roman" w:cs="Times New Roman"/>
                <w:sz w:val="28"/>
                <w:szCs w:val="28"/>
              </w:rPr>
              <w:t xml:space="preserve"> </w:t>
            </w:r>
            <w:r w:rsidRPr="00CB543A">
              <w:rPr>
                <w:rFonts w:ascii="Times New Roman" w:hAnsi="Times New Roman" w:cs="Times New Roman"/>
                <w:i/>
                <w:sz w:val="28"/>
                <w:szCs w:val="28"/>
              </w:rPr>
              <w:t>supra</w:t>
            </w:r>
            <w:r w:rsidRPr="00CB543A">
              <w:rPr>
                <w:rFonts w:ascii="Times New Roman" w:hAnsi="Times New Roman" w:cs="Times New Roman"/>
                <w:sz w:val="28"/>
                <w:szCs w:val="28"/>
              </w:rPr>
              <w:t xml:space="preserve">) </w:t>
            </w:r>
          </w:p>
        </w:tc>
        <w:tc>
          <w:tcPr>
            <w:tcW w:w="1223" w:type="dxa"/>
          </w:tcPr>
          <w:p w:rsidR="00225752" w:rsidRPr="00CB543A" w:rsidRDefault="00225752" w:rsidP="00CB543A">
            <w:pPr>
              <w:pStyle w:val="Prrafodelista"/>
              <w:widowControl w:val="0"/>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 xml:space="preserve">Rég. de </w:t>
            </w:r>
            <w:r w:rsidR="00367CF7" w:rsidRPr="00CB543A">
              <w:rPr>
                <w:rFonts w:ascii="Times New Roman" w:hAnsi="Times New Roman" w:cs="Times New Roman"/>
                <w:sz w:val="28"/>
                <w:szCs w:val="28"/>
              </w:rPr>
              <w:t>t</w:t>
            </w:r>
            <w:r w:rsidRPr="00CB543A">
              <w:rPr>
                <w:rFonts w:ascii="Times New Roman" w:hAnsi="Times New Roman" w:cs="Times New Roman"/>
                <w:sz w:val="28"/>
                <w:szCs w:val="28"/>
              </w:rPr>
              <w:t>ran</w:t>
            </w:r>
            <w:r w:rsidR="00931AE2" w:rsidRPr="00CB543A">
              <w:rPr>
                <w:rFonts w:ascii="Times New Roman" w:hAnsi="Times New Roman" w:cs="Times New Roman"/>
                <w:sz w:val="28"/>
                <w:szCs w:val="28"/>
              </w:rPr>
              <w:t>sición</w:t>
            </w:r>
            <w:r w:rsidRPr="00CB543A">
              <w:rPr>
                <w:rFonts w:ascii="Times New Roman" w:hAnsi="Times New Roman" w:cs="Times New Roman"/>
                <w:sz w:val="28"/>
                <w:szCs w:val="28"/>
              </w:rPr>
              <w:t>.</w:t>
            </w:r>
          </w:p>
        </w:tc>
        <w:tc>
          <w:tcPr>
            <w:tcW w:w="1556" w:type="dxa"/>
          </w:tcPr>
          <w:p w:rsidR="00225752" w:rsidRPr="00CB543A" w:rsidRDefault="00225752" w:rsidP="00CB543A">
            <w:pPr>
              <w:pStyle w:val="Prrafodelista"/>
              <w:widowControl w:val="0"/>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 xml:space="preserve">Rég. de </w:t>
            </w:r>
            <w:r w:rsidR="00367CF7" w:rsidRPr="00CB543A">
              <w:rPr>
                <w:rFonts w:ascii="Times New Roman" w:hAnsi="Times New Roman" w:cs="Times New Roman"/>
                <w:sz w:val="28"/>
                <w:szCs w:val="28"/>
              </w:rPr>
              <w:t>t</w:t>
            </w:r>
            <w:r w:rsidRPr="00CB543A">
              <w:rPr>
                <w:rFonts w:ascii="Times New Roman" w:hAnsi="Times New Roman" w:cs="Times New Roman"/>
                <w:sz w:val="28"/>
                <w:szCs w:val="28"/>
              </w:rPr>
              <w:t>ran</w:t>
            </w:r>
            <w:r w:rsidR="00931AE2" w:rsidRPr="00CB543A">
              <w:rPr>
                <w:rFonts w:ascii="Times New Roman" w:hAnsi="Times New Roman" w:cs="Times New Roman"/>
                <w:sz w:val="28"/>
                <w:szCs w:val="28"/>
              </w:rPr>
              <w:t>sición</w:t>
            </w:r>
            <w:r w:rsidRPr="00CB543A">
              <w:rPr>
                <w:rFonts w:ascii="Times New Roman" w:hAnsi="Times New Roman" w:cs="Times New Roman"/>
                <w:sz w:val="28"/>
                <w:szCs w:val="28"/>
              </w:rPr>
              <w:t>.</w:t>
            </w:r>
          </w:p>
        </w:tc>
        <w:tc>
          <w:tcPr>
            <w:tcW w:w="2086" w:type="dxa"/>
          </w:tcPr>
          <w:p w:rsidR="00225752" w:rsidRPr="00CB543A" w:rsidRDefault="00931AE2" w:rsidP="00CB543A">
            <w:pPr>
              <w:pStyle w:val="Prrafodelista"/>
              <w:widowControl w:val="0"/>
              <w:spacing w:after="0" w:line="240" w:lineRule="auto"/>
              <w:ind w:left="0"/>
              <w:jc w:val="both"/>
              <w:rPr>
                <w:rFonts w:ascii="Times New Roman" w:hAnsi="Times New Roman" w:cs="Times New Roman"/>
                <w:b/>
                <w:i/>
                <w:sz w:val="28"/>
                <w:szCs w:val="28"/>
              </w:rPr>
            </w:pPr>
            <w:r w:rsidRPr="00CB543A">
              <w:rPr>
                <w:rFonts w:ascii="Times New Roman" w:hAnsi="Times New Roman" w:cs="Times New Roman"/>
                <w:b/>
                <w:i/>
                <w:sz w:val="28"/>
                <w:szCs w:val="28"/>
              </w:rPr>
              <w:t>A la tasa de reemplazo</w:t>
            </w:r>
          </w:p>
        </w:tc>
        <w:tc>
          <w:tcPr>
            <w:tcW w:w="1537" w:type="dxa"/>
          </w:tcPr>
          <w:p w:rsidR="00225752" w:rsidRPr="00CB543A" w:rsidRDefault="00931AE2" w:rsidP="00CB543A">
            <w:pPr>
              <w:pStyle w:val="Prrafodelista"/>
              <w:widowControl w:val="0"/>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Ley 100</w:t>
            </w:r>
            <w:r w:rsidR="00367CF7" w:rsidRPr="00CB543A">
              <w:rPr>
                <w:rFonts w:ascii="Times New Roman" w:hAnsi="Times New Roman" w:cs="Times New Roman"/>
                <w:sz w:val="28"/>
                <w:szCs w:val="28"/>
              </w:rPr>
              <w:t xml:space="preserve"> de 19</w:t>
            </w:r>
            <w:r w:rsidRPr="00CB543A">
              <w:rPr>
                <w:rFonts w:ascii="Times New Roman" w:hAnsi="Times New Roman" w:cs="Times New Roman"/>
                <w:sz w:val="28"/>
                <w:szCs w:val="28"/>
              </w:rPr>
              <w:t>93</w:t>
            </w:r>
          </w:p>
        </w:tc>
      </w:tr>
    </w:tbl>
    <w:p w:rsidR="00740ECD" w:rsidRPr="00CB543A" w:rsidRDefault="00740ECD" w:rsidP="00CB543A">
      <w:pPr>
        <w:pStyle w:val="Prrafodelista"/>
        <w:widowControl w:val="0"/>
        <w:spacing w:after="0" w:line="240" w:lineRule="auto"/>
        <w:ind w:left="0"/>
        <w:jc w:val="both"/>
        <w:rPr>
          <w:rFonts w:ascii="Times New Roman" w:hAnsi="Times New Roman" w:cs="Times New Roman"/>
          <w:sz w:val="28"/>
          <w:szCs w:val="28"/>
        </w:rPr>
      </w:pPr>
    </w:p>
    <w:p w:rsidR="00FB51B1" w:rsidRPr="00CB543A" w:rsidRDefault="00A84D86" w:rsidP="00CB543A">
      <w:pPr>
        <w:pStyle w:val="Prrafodelista"/>
        <w:widowControl w:val="0"/>
        <w:numPr>
          <w:ilvl w:val="0"/>
          <w:numId w:val="32"/>
        </w:numPr>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 xml:space="preserve">Dos conclusiones se derivan del </w:t>
      </w:r>
      <w:r w:rsidR="00367CF7" w:rsidRPr="00CB543A">
        <w:rPr>
          <w:rFonts w:ascii="Times New Roman" w:hAnsi="Times New Roman" w:cs="Times New Roman"/>
          <w:sz w:val="28"/>
          <w:szCs w:val="28"/>
        </w:rPr>
        <w:t xml:space="preserve">estudio </w:t>
      </w:r>
      <w:r w:rsidRPr="00CB543A">
        <w:rPr>
          <w:rFonts w:ascii="Times New Roman" w:hAnsi="Times New Roman" w:cs="Times New Roman"/>
          <w:sz w:val="28"/>
          <w:szCs w:val="28"/>
        </w:rPr>
        <w:t>contenido en los n</w:t>
      </w:r>
      <w:r w:rsidR="00931AE2" w:rsidRPr="00CB543A">
        <w:rPr>
          <w:rFonts w:ascii="Times New Roman" w:hAnsi="Times New Roman" w:cs="Times New Roman"/>
          <w:sz w:val="28"/>
          <w:szCs w:val="28"/>
        </w:rPr>
        <w:t>umerales anteriores: primero, qu</w:t>
      </w:r>
      <w:r w:rsidRPr="00CB543A">
        <w:rPr>
          <w:rFonts w:ascii="Times New Roman" w:hAnsi="Times New Roman" w:cs="Times New Roman"/>
          <w:sz w:val="28"/>
          <w:szCs w:val="28"/>
        </w:rPr>
        <w:t>e</w:t>
      </w:r>
      <w:r w:rsidR="00367CF7" w:rsidRPr="00CB543A">
        <w:rPr>
          <w:rFonts w:ascii="Times New Roman" w:hAnsi="Times New Roman" w:cs="Times New Roman"/>
          <w:sz w:val="28"/>
          <w:szCs w:val="28"/>
        </w:rPr>
        <w:t>, en la actualidad,</w:t>
      </w:r>
      <w:r w:rsidRPr="00CB543A">
        <w:rPr>
          <w:rFonts w:ascii="Times New Roman" w:hAnsi="Times New Roman" w:cs="Times New Roman"/>
          <w:sz w:val="28"/>
          <w:szCs w:val="28"/>
        </w:rPr>
        <w:t xml:space="preserve"> la Corte Suprema de Justicia y la Corte Constitucional tienen una interpretación similar del régimen de transición de que trata el artículo 36 de la Ley 100 de 1993, y</w:t>
      </w:r>
      <w:r w:rsidR="00CC6208" w:rsidRPr="00CB543A">
        <w:rPr>
          <w:rFonts w:ascii="Times New Roman" w:hAnsi="Times New Roman" w:cs="Times New Roman"/>
          <w:sz w:val="28"/>
          <w:szCs w:val="28"/>
        </w:rPr>
        <w:t xml:space="preserve">, segundo, que </w:t>
      </w:r>
      <w:r w:rsidRPr="00CB543A">
        <w:rPr>
          <w:rFonts w:ascii="Times New Roman" w:hAnsi="Times New Roman" w:cs="Times New Roman"/>
          <w:sz w:val="28"/>
          <w:szCs w:val="28"/>
        </w:rPr>
        <w:t xml:space="preserve">el Consejo de Estado difiere de </w:t>
      </w:r>
      <w:r w:rsidR="00931AE2" w:rsidRPr="00CB543A">
        <w:rPr>
          <w:rFonts w:ascii="Times New Roman" w:hAnsi="Times New Roman" w:cs="Times New Roman"/>
          <w:sz w:val="28"/>
          <w:szCs w:val="28"/>
        </w:rPr>
        <w:t xml:space="preserve">la </w:t>
      </w:r>
      <w:r w:rsidRPr="00CB543A">
        <w:rPr>
          <w:rFonts w:ascii="Times New Roman" w:hAnsi="Times New Roman" w:cs="Times New Roman"/>
          <w:sz w:val="28"/>
          <w:szCs w:val="28"/>
        </w:rPr>
        <w:t>interpretación</w:t>
      </w:r>
      <w:r w:rsidR="00931AE2" w:rsidRPr="00CB543A">
        <w:rPr>
          <w:rFonts w:ascii="Times New Roman" w:hAnsi="Times New Roman" w:cs="Times New Roman"/>
          <w:sz w:val="28"/>
          <w:szCs w:val="28"/>
        </w:rPr>
        <w:t xml:space="preserve"> de</w:t>
      </w:r>
      <w:r w:rsidR="00CC6208" w:rsidRPr="00CB543A">
        <w:rPr>
          <w:rFonts w:ascii="Times New Roman" w:hAnsi="Times New Roman" w:cs="Times New Roman"/>
          <w:sz w:val="28"/>
          <w:szCs w:val="28"/>
        </w:rPr>
        <w:t xml:space="preserve"> las otras </w:t>
      </w:r>
      <w:r w:rsidR="00367CF7" w:rsidRPr="00CB543A">
        <w:rPr>
          <w:rFonts w:ascii="Times New Roman" w:hAnsi="Times New Roman" w:cs="Times New Roman"/>
          <w:sz w:val="28"/>
          <w:szCs w:val="28"/>
        </w:rPr>
        <w:t>Altas C</w:t>
      </w:r>
      <w:r w:rsidR="00CC6208" w:rsidRPr="00CB543A">
        <w:rPr>
          <w:rFonts w:ascii="Times New Roman" w:hAnsi="Times New Roman" w:cs="Times New Roman"/>
          <w:sz w:val="28"/>
          <w:szCs w:val="28"/>
        </w:rPr>
        <w:t>ortes</w:t>
      </w:r>
      <w:r w:rsidRPr="00CB543A">
        <w:rPr>
          <w:rFonts w:ascii="Times New Roman" w:hAnsi="Times New Roman" w:cs="Times New Roman"/>
          <w:sz w:val="28"/>
          <w:szCs w:val="28"/>
        </w:rPr>
        <w:t>, b</w:t>
      </w:r>
      <w:r w:rsidR="00332CF9" w:rsidRPr="00CB543A">
        <w:rPr>
          <w:rFonts w:ascii="Times New Roman" w:hAnsi="Times New Roman" w:cs="Times New Roman"/>
          <w:sz w:val="28"/>
          <w:szCs w:val="28"/>
        </w:rPr>
        <w:t xml:space="preserve">ásicamente, porque considera: </w:t>
      </w:r>
      <w:r w:rsidR="00332CF9" w:rsidRPr="00CB543A">
        <w:rPr>
          <w:rFonts w:ascii="Times New Roman" w:hAnsi="Times New Roman" w:cs="Times New Roman"/>
          <w:i/>
          <w:sz w:val="28"/>
          <w:szCs w:val="28"/>
        </w:rPr>
        <w:t>(</w:t>
      </w:r>
      <w:r w:rsidR="00367CF7" w:rsidRPr="00CB543A">
        <w:rPr>
          <w:rFonts w:ascii="Times New Roman" w:hAnsi="Times New Roman" w:cs="Times New Roman"/>
          <w:i/>
          <w:sz w:val="28"/>
          <w:szCs w:val="28"/>
        </w:rPr>
        <w:t>i</w:t>
      </w:r>
      <w:r w:rsidR="00332CF9" w:rsidRPr="00CB543A">
        <w:rPr>
          <w:rFonts w:ascii="Times New Roman" w:hAnsi="Times New Roman" w:cs="Times New Roman"/>
          <w:i/>
          <w:sz w:val="28"/>
          <w:szCs w:val="28"/>
        </w:rPr>
        <w:t>)</w:t>
      </w:r>
      <w:r w:rsidR="00332CF9" w:rsidRPr="00CB543A">
        <w:rPr>
          <w:rFonts w:ascii="Times New Roman" w:hAnsi="Times New Roman" w:cs="Times New Roman"/>
          <w:sz w:val="28"/>
          <w:szCs w:val="28"/>
        </w:rPr>
        <w:t xml:space="preserve"> que el artículo 36 da lugar a varias interpretaciones y que, ante esa situación, debe acudirse a la interpretación más favorable para quien se pretende pensionar, es decir, la que resulte más conveniente en cada caso; </w:t>
      </w:r>
      <w:r w:rsidR="00332CF9" w:rsidRPr="00CB543A">
        <w:rPr>
          <w:rFonts w:ascii="Times New Roman" w:hAnsi="Times New Roman" w:cs="Times New Roman"/>
          <w:i/>
          <w:sz w:val="28"/>
          <w:szCs w:val="28"/>
        </w:rPr>
        <w:t>(</w:t>
      </w:r>
      <w:r w:rsidR="00367CF7" w:rsidRPr="00CB543A">
        <w:rPr>
          <w:rFonts w:ascii="Times New Roman" w:hAnsi="Times New Roman" w:cs="Times New Roman"/>
          <w:i/>
          <w:sz w:val="28"/>
          <w:szCs w:val="28"/>
        </w:rPr>
        <w:t>ii</w:t>
      </w:r>
      <w:r w:rsidR="00332CF9" w:rsidRPr="00CB543A">
        <w:rPr>
          <w:rFonts w:ascii="Times New Roman" w:hAnsi="Times New Roman" w:cs="Times New Roman"/>
          <w:i/>
          <w:sz w:val="28"/>
          <w:szCs w:val="28"/>
        </w:rPr>
        <w:t xml:space="preserve">) </w:t>
      </w:r>
      <w:r w:rsidR="00332CF9" w:rsidRPr="00CB543A">
        <w:rPr>
          <w:rFonts w:ascii="Times New Roman" w:hAnsi="Times New Roman" w:cs="Times New Roman"/>
          <w:sz w:val="28"/>
          <w:szCs w:val="28"/>
        </w:rPr>
        <w:t xml:space="preserve">que el concepto </w:t>
      </w:r>
      <w:r w:rsidR="00367CF7" w:rsidRPr="00CB543A">
        <w:rPr>
          <w:rFonts w:ascii="Times New Roman" w:hAnsi="Times New Roman" w:cs="Times New Roman"/>
          <w:sz w:val="28"/>
          <w:szCs w:val="28"/>
        </w:rPr>
        <w:t xml:space="preserve">de </w:t>
      </w:r>
      <w:r w:rsidR="00332CF9" w:rsidRPr="00CB543A">
        <w:rPr>
          <w:rFonts w:ascii="Times New Roman" w:hAnsi="Times New Roman" w:cs="Times New Roman"/>
          <w:i/>
          <w:sz w:val="28"/>
          <w:szCs w:val="28"/>
        </w:rPr>
        <w:t>“monto”</w:t>
      </w:r>
      <w:r w:rsidR="00332CF9" w:rsidRPr="00CB543A">
        <w:rPr>
          <w:rFonts w:ascii="Times New Roman" w:hAnsi="Times New Roman" w:cs="Times New Roman"/>
          <w:sz w:val="28"/>
          <w:szCs w:val="28"/>
        </w:rPr>
        <w:t xml:space="preserve">, desde una perspectiva gramatical, no excluye </w:t>
      </w:r>
      <w:r w:rsidR="00332CF9" w:rsidRPr="00CB543A">
        <w:rPr>
          <w:rFonts w:ascii="Times New Roman" w:hAnsi="Times New Roman" w:cs="Times New Roman"/>
          <w:i/>
          <w:sz w:val="28"/>
          <w:szCs w:val="28"/>
        </w:rPr>
        <w:t>per se</w:t>
      </w:r>
      <w:r w:rsidR="00367CF7" w:rsidRPr="00CB543A">
        <w:rPr>
          <w:rFonts w:ascii="Times New Roman" w:hAnsi="Times New Roman" w:cs="Times New Roman"/>
          <w:sz w:val="28"/>
          <w:szCs w:val="28"/>
        </w:rPr>
        <w:t>,</w:t>
      </w:r>
      <w:r w:rsidR="00332CF9" w:rsidRPr="00CB543A">
        <w:rPr>
          <w:rFonts w:ascii="Times New Roman" w:hAnsi="Times New Roman" w:cs="Times New Roman"/>
          <w:i/>
          <w:sz w:val="28"/>
          <w:szCs w:val="28"/>
        </w:rPr>
        <w:t xml:space="preserve"> </w:t>
      </w:r>
      <w:r w:rsidR="00332CF9" w:rsidRPr="00CB543A">
        <w:rPr>
          <w:rFonts w:ascii="Times New Roman" w:hAnsi="Times New Roman" w:cs="Times New Roman"/>
          <w:sz w:val="28"/>
          <w:szCs w:val="28"/>
        </w:rPr>
        <w:t xml:space="preserve">la noción de IBL; y </w:t>
      </w:r>
      <w:r w:rsidR="00332CF9" w:rsidRPr="00CB543A">
        <w:rPr>
          <w:rFonts w:ascii="Times New Roman" w:hAnsi="Times New Roman" w:cs="Times New Roman"/>
          <w:i/>
          <w:sz w:val="28"/>
          <w:szCs w:val="28"/>
        </w:rPr>
        <w:t>(</w:t>
      </w:r>
      <w:r w:rsidR="00367CF7" w:rsidRPr="00CB543A">
        <w:rPr>
          <w:rFonts w:ascii="Times New Roman" w:hAnsi="Times New Roman" w:cs="Times New Roman"/>
          <w:i/>
          <w:sz w:val="28"/>
          <w:szCs w:val="28"/>
        </w:rPr>
        <w:t>iii</w:t>
      </w:r>
      <w:r w:rsidR="00332CF9" w:rsidRPr="00CB543A">
        <w:rPr>
          <w:rFonts w:ascii="Times New Roman" w:hAnsi="Times New Roman" w:cs="Times New Roman"/>
          <w:i/>
          <w:sz w:val="28"/>
          <w:szCs w:val="28"/>
        </w:rPr>
        <w:t>)</w:t>
      </w:r>
      <w:r w:rsidR="00332CF9" w:rsidRPr="00CB543A">
        <w:rPr>
          <w:rFonts w:ascii="Times New Roman" w:hAnsi="Times New Roman" w:cs="Times New Roman"/>
          <w:sz w:val="28"/>
          <w:szCs w:val="28"/>
        </w:rPr>
        <w:t xml:space="preserve"> que aplicar de forma </w:t>
      </w:r>
      <w:r w:rsidR="00332CF9" w:rsidRPr="00CB543A">
        <w:rPr>
          <w:rFonts w:ascii="Times New Roman" w:hAnsi="Times New Roman" w:cs="Times New Roman"/>
          <w:i/>
          <w:sz w:val="28"/>
          <w:szCs w:val="28"/>
        </w:rPr>
        <w:t>“fraccionada”</w:t>
      </w:r>
      <w:r w:rsidR="00332CF9" w:rsidRPr="00CB543A">
        <w:rPr>
          <w:rFonts w:ascii="Times New Roman" w:hAnsi="Times New Roman" w:cs="Times New Roman"/>
          <w:sz w:val="28"/>
          <w:szCs w:val="28"/>
        </w:rPr>
        <w:t xml:space="preserve"> el régimen de transición, esto es, </w:t>
      </w:r>
      <w:r w:rsidR="00367CF7" w:rsidRPr="00CB543A">
        <w:rPr>
          <w:rFonts w:ascii="Times New Roman" w:hAnsi="Times New Roman" w:cs="Times New Roman"/>
          <w:sz w:val="28"/>
          <w:szCs w:val="28"/>
        </w:rPr>
        <w:t xml:space="preserve">determinando </w:t>
      </w:r>
      <w:r w:rsidR="00332CF9" w:rsidRPr="00CB543A">
        <w:rPr>
          <w:rFonts w:ascii="Times New Roman" w:hAnsi="Times New Roman" w:cs="Times New Roman"/>
          <w:sz w:val="28"/>
          <w:szCs w:val="28"/>
        </w:rPr>
        <w:t xml:space="preserve">la edad, el tiempo de servicios o cotizaciones y el </w:t>
      </w:r>
      <w:r w:rsidR="00332CF9" w:rsidRPr="00CB543A">
        <w:rPr>
          <w:rFonts w:ascii="Times New Roman" w:hAnsi="Times New Roman" w:cs="Times New Roman"/>
          <w:i/>
          <w:sz w:val="28"/>
          <w:szCs w:val="28"/>
        </w:rPr>
        <w:t>“monto”</w:t>
      </w:r>
      <w:r w:rsidR="00332CF9" w:rsidRPr="00CB543A">
        <w:rPr>
          <w:rFonts w:ascii="Times New Roman" w:hAnsi="Times New Roman" w:cs="Times New Roman"/>
          <w:sz w:val="28"/>
          <w:szCs w:val="28"/>
        </w:rPr>
        <w:t xml:space="preserve"> con la norma derogada</w:t>
      </w:r>
      <w:r w:rsidR="00367CF7" w:rsidRPr="00CB543A">
        <w:rPr>
          <w:rFonts w:ascii="Times New Roman" w:hAnsi="Times New Roman" w:cs="Times New Roman"/>
          <w:sz w:val="28"/>
          <w:szCs w:val="28"/>
        </w:rPr>
        <w:t>,</w:t>
      </w:r>
      <w:r w:rsidR="00332CF9" w:rsidRPr="00CB543A">
        <w:rPr>
          <w:rFonts w:ascii="Times New Roman" w:hAnsi="Times New Roman" w:cs="Times New Roman"/>
          <w:sz w:val="28"/>
          <w:szCs w:val="28"/>
        </w:rPr>
        <w:t xml:space="preserve"> y el IBL con la norma vigente, implica el desconocimiento de los principios de inescindibilidad normativa y de seguridad jurídica. Estos argumentos</w:t>
      </w:r>
      <w:r w:rsidRPr="00CB543A">
        <w:rPr>
          <w:rFonts w:ascii="Times New Roman" w:hAnsi="Times New Roman" w:cs="Times New Roman"/>
          <w:sz w:val="28"/>
          <w:szCs w:val="28"/>
        </w:rPr>
        <w:t xml:space="preserve">, sin embargo, no </w:t>
      </w:r>
      <w:r w:rsidR="00322878" w:rsidRPr="00CB543A">
        <w:rPr>
          <w:rFonts w:ascii="Times New Roman" w:hAnsi="Times New Roman" w:cs="Times New Roman"/>
          <w:sz w:val="28"/>
          <w:szCs w:val="28"/>
        </w:rPr>
        <w:t xml:space="preserve">son </w:t>
      </w:r>
      <w:r w:rsidR="006F24B8" w:rsidRPr="00CB543A">
        <w:rPr>
          <w:rFonts w:ascii="Times New Roman" w:hAnsi="Times New Roman" w:cs="Times New Roman"/>
          <w:sz w:val="28"/>
          <w:szCs w:val="28"/>
        </w:rPr>
        <w:t xml:space="preserve">compatibles con la jurisprudencia constitucional de unificación de la </w:t>
      </w:r>
      <w:r w:rsidRPr="00CB543A">
        <w:rPr>
          <w:rFonts w:ascii="Times New Roman" w:hAnsi="Times New Roman" w:cs="Times New Roman"/>
          <w:sz w:val="28"/>
          <w:szCs w:val="28"/>
        </w:rPr>
        <w:t>Sala</w:t>
      </w:r>
      <w:r w:rsidR="00332CF9" w:rsidRPr="00CB543A">
        <w:rPr>
          <w:rFonts w:ascii="Times New Roman" w:hAnsi="Times New Roman" w:cs="Times New Roman"/>
          <w:sz w:val="28"/>
          <w:szCs w:val="28"/>
        </w:rPr>
        <w:t xml:space="preserve"> Plena</w:t>
      </w:r>
      <w:r w:rsidRPr="00CB543A">
        <w:rPr>
          <w:rFonts w:ascii="Times New Roman" w:hAnsi="Times New Roman" w:cs="Times New Roman"/>
          <w:sz w:val="28"/>
          <w:szCs w:val="28"/>
        </w:rPr>
        <w:t xml:space="preserve"> </w:t>
      </w:r>
      <w:r w:rsidR="006F24B8" w:rsidRPr="00CB543A">
        <w:rPr>
          <w:rFonts w:ascii="Times New Roman" w:hAnsi="Times New Roman" w:cs="Times New Roman"/>
          <w:sz w:val="28"/>
          <w:szCs w:val="28"/>
        </w:rPr>
        <w:t xml:space="preserve">de la Corte Constitucional, </w:t>
      </w:r>
      <w:r w:rsidRPr="00CB543A">
        <w:rPr>
          <w:rFonts w:ascii="Times New Roman" w:hAnsi="Times New Roman" w:cs="Times New Roman"/>
          <w:sz w:val="28"/>
          <w:szCs w:val="28"/>
        </w:rPr>
        <w:t xml:space="preserve">por </w:t>
      </w:r>
      <w:r w:rsidR="006F24B8" w:rsidRPr="00CB543A">
        <w:rPr>
          <w:rFonts w:ascii="Times New Roman" w:hAnsi="Times New Roman" w:cs="Times New Roman"/>
          <w:sz w:val="28"/>
          <w:szCs w:val="28"/>
        </w:rPr>
        <w:t xml:space="preserve">las </w:t>
      </w:r>
      <w:r w:rsidR="00322878" w:rsidRPr="00CB543A">
        <w:rPr>
          <w:rFonts w:ascii="Times New Roman" w:hAnsi="Times New Roman" w:cs="Times New Roman"/>
          <w:sz w:val="28"/>
          <w:szCs w:val="28"/>
        </w:rPr>
        <w:t>siguiente</w:t>
      </w:r>
      <w:r w:rsidR="006F24B8" w:rsidRPr="00CB543A">
        <w:rPr>
          <w:rFonts w:ascii="Times New Roman" w:hAnsi="Times New Roman" w:cs="Times New Roman"/>
          <w:sz w:val="28"/>
          <w:szCs w:val="28"/>
        </w:rPr>
        <w:t>s razones</w:t>
      </w:r>
      <w:r w:rsidRPr="00CB543A">
        <w:rPr>
          <w:rFonts w:ascii="Times New Roman" w:hAnsi="Times New Roman" w:cs="Times New Roman"/>
          <w:sz w:val="28"/>
          <w:szCs w:val="28"/>
        </w:rPr>
        <w:t>:</w:t>
      </w:r>
    </w:p>
    <w:p w:rsidR="00F205E5" w:rsidRPr="00CB543A" w:rsidRDefault="00F205E5" w:rsidP="00CB543A">
      <w:pPr>
        <w:pStyle w:val="Prrafodelista"/>
        <w:widowControl w:val="0"/>
        <w:spacing w:after="0" w:line="240" w:lineRule="auto"/>
        <w:ind w:left="0"/>
        <w:jc w:val="both"/>
        <w:rPr>
          <w:rFonts w:ascii="Times New Roman" w:hAnsi="Times New Roman" w:cs="Times New Roman"/>
          <w:sz w:val="28"/>
          <w:szCs w:val="28"/>
        </w:rPr>
      </w:pPr>
    </w:p>
    <w:p w:rsidR="00066F2A" w:rsidRPr="00CB543A" w:rsidRDefault="00DB194E" w:rsidP="00CB543A">
      <w:pPr>
        <w:pStyle w:val="Prrafodelista"/>
        <w:widowControl w:val="0"/>
        <w:numPr>
          <w:ilvl w:val="0"/>
          <w:numId w:val="32"/>
        </w:numPr>
        <w:spacing w:after="0" w:line="240" w:lineRule="auto"/>
        <w:ind w:left="0"/>
        <w:jc w:val="both"/>
        <w:rPr>
          <w:rFonts w:ascii="Times New Roman" w:hAnsi="Times New Roman" w:cs="Times New Roman"/>
          <w:sz w:val="28"/>
          <w:szCs w:val="28"/>
        </w:rPr>
      </w:pPr>
      <w:r w:rsidRPr="00CB543A">
        <w:rPr>
          <w:rFonts w:ascii="Times New Roman" w:hAnsi="Times New Roman" w:cs="Times New Roman"/>
          <w:i/>
          <w:sz w:val="28"/>
          <w:szCs w:val="28"/>
        </w:rPr>
        <w:t xml:space="preserve">(i) </w:t>
      </w:r>
      <w:r w:rsidR="00A27F0D" w:rsidRPr="00CB543A">
        <w:rPr>
          <w:rFonts w:ascii="Times New Roman" w:hAnsi="Times New Roman" w:cs="Times New Roman"/>
          <w:sz w:val="28"/>
          <w:szCs w:val="28"/>
        </w:rPr>
        <w:t xml:space="preserve">Según los criterios expuestos en la sentencia C-168 del año 1995, en la que la Corte analizó la constitucionalidad de los incisos </w:t>
      </w:r>
      <w:r w:rsidR="006F24B8" w:rsidRPr="00CB543A">
        <w:rPr>
          <w:rFonts w:ascii="Times New Roman" w:hAnsi="Times New Roman" w:cs="Times New Roman"/>
          <w:sz w:val="28"/>
          <w:szCs w:val="28"/>
        </w:rPr>
        <w:t xml:space="preserve">2° </w:t>
      </w:r>
      <w:r w:rsidR="00A27F0D" w:rsidRPr="00CB543A">
        <w:rPr>
          <w:rFonts w:ascii="Times New Roman" w:hAnsi="Times New Roman" w:cs="Times New Roman"/>
          <w:sz w:val="28"/>
          <w:szCs w:val="28"/>
        </w:rPr>
        <w:t xml:space="preserve">y </w:t>
      </w:r>
      <w:r w:rsidR="006F24B8" w:rsidRPr="00CB543A">
        <w:rPr>
          <w:rFonts w:ascii="Times New Roman" w:hAnsi="Times New Roman" w:cs="Times New Roman"/>
          <w:sz w:val="28"/>
          <w:szCs w:val="28"/>
        </w:rPr>
        <w:t xml:space="preserve">3° </w:t>
      </w:r>
      <w:r w:rsidR="00A27F0D" w:rsidRPr="00CB543A">
        <w:rPr>
          <w:rFonts w:ascii="Times New Roman" w:hAnsi="Times New Roman" w:cs="Times New Roman"/>
          <w:sz w:val="28"/>
          <w:szCs w:val="28"/>
        </w:rPr>
        <w:t>del artículo 36 de la ley 100 de 1993, la favorabilidad en materia laboral opera cuando existe conflicto entre dos normas de distinta fuente formal o entre dos normas de idéntica fuente y, adicionalmente, cuando existe una sola norma que admite varias interpretaciones</w:t>
      </w:r>
      <w:r w:rsidR="005544FD" w:rsidRPr="00CB543A">
        <w:rPr>
          <w:rStyle w:val="Refdenotaalpie"/>
          <w:rFonts w:ascii="Times New Roman" w:hAnsi="Times New Roman" w:cs="Times New Roman"/>
          <w:sz w:val="28"/>
          <w:szCs w:val="28"/>
        </w:rPr>
        <w:footnoteReference w:id="99"/>
      </w:r>
      <w:r w:rsidR="00A27F0D" w:rsidRPr="00CB543A">
        <w:rPr>
          <w:rFonts w:ascii="Times New Roman" w:hAnsi="Times New Roman" w:cs="Times New Roman"/>
          <w:sz w:val="28"/>
          <w:szCs w:val="28"/>
        </w:rPr>
        <w:t xml:space="preserve">. A juicio de la Sala, ninguno de los dos eventos se presenta en el caso concreto, primero, porque las normas que se aplican de forma ultractiva en virtud del régimen de transición no están vigentes y, por ende, </w:t>
      </w:r>
      <w:r w:rsidR="00066F2A" w:rsidRPr="00CB543A">
        <w:rPr>
          <w:rFonts w:ascii="Times New Roman" w:hAnsi="Times New Roman" w:cs="Times New Roman"/>
          <w:sz w:val="28"/>
          <w:szCs w:val="28"/>
        </w:rPr>
        <w:t xml:space="preserve">en estricto sentido </w:t>
      </w:r>
      <w:r w:rsidR="00A27F0D" w:rsidRPr="00CB543A">
        <w:rPr>
          <w:rFonts w:ascii="Times New Roman" w:hAnsi="Times New Roman" w:cs="Times New Roman"/>
          <w:sz w:val="28"/>
          <w:szCs w:val="28"/>
        </w:rPr>
        <w:t xml:space="preserve">no puede </w:t>
      </w:r>
      <w:r w:rsidR="00066F2A" w:rsidRPr="00CB543A">
        <w:rPr>
          <w:rFonts w:ascii="Times New Roman" w:hAnsi="Times New Roman" w:cs="Times New Roman"/>
          <w:sz w:val="28"/>
          <w:szCs w:val="28"/>
        </w:rPr>
        <w:t xml:space="preserve">predicarse </w:t>
      </w:r>
      <w:r w:rsidR="00A27F0D" w:rsidRPr="00CB543A">
        <w:rPr>
          <w:rFonts w:ascii="Times New Roman" w:hAnsi="Times New Roman" w:cs="Times New Roman"/>
          <w:sz w:val="28"/>
          <w:szCs w:val="28"/>
        </w:rPr>
        <w:t>un conflicto entre dos normas</w:t>
      </w:r>
      <w:r w:rsidR="008F037C" w:rsidRPr="00CB543A">
        <w:rPr>
          <w:rFonts w:ascii="Times New Roman" w:hAnsi="Times New Roman" w:cs="Times New Roman"/>
          <w:sz w:val="28"/>
          <w:szCs w:val="28"/>
        </w:rPr>
        <w:t xml:space="preserve"> válidas</w:t>
      </w:r>
      <w:r w:rsidR="008F037C" w:rsidRPr="00CB543A">
        <w:rPr>
          <w:rStyle w:val="Refdenotaalpie"/>
          <w:rFonts w:ascii="Times New Roman" w:hAnsi="Times New Roman" w:cs="Times New Roman"/>
          <w:sz w:val="28"/>
          <w:szCs w:val="28"/>
        </w:rPr>
        <w:footnoteReference w:id="100"/>
      </w:r>
      <w:r w:rsidR="00A27F0D" w:rsidRPr="00CB543A">
        <w:rPr>
          <w:rFonts w:ascii="Times New Roman" w:hAnsi="Times New Roman" w:cs="Times New Roman"/>
          <w:sz w:val="28"/>
          <w:szCs w:val="28"/>
        </w:rPr>
        <w:t xml:space="preserve"> y, segundo, porque el mencionado artículo 36</w:t>
      </w:r>
      <w:r w:rsidR="00066F2A" w:rsidRPr="00CB543A">
        <w:rPr>
          <w:rFonts w:ascii="Times New Roman" w:hAnsi="Times New Roman" w:cs="Times New Roman"/>
          <w:sz w:val="28"/>
          <w:szCs w:val="28"/>
        </w:rPr>
        <w:t>, de todas formas</w:t>
      </w:r>
      <w:r w:rsidR="00A27F0D" w:rsidRPr="00CB543A">
        <w:rPr>
          <w:rFonts w:ascii="Times New Roman" w:hAnsi="Times New Roman" w:cs="Times New Roman"/>
          <w:sz w:val="28"/>
          <w:szCs w:val="28"/>
        </w:rPr>
        <w:t>, no tiene varias interpretaciones; tiene una que fue fijada</w:t>
      </w:r>
      <w:r w:rsidR="006C4186" w:rsidRPr="00CB543A">
        <w:rPr>
          <w:rFonts w:ascii="Times New Roman" w:hAnsi="Times New Roman" w:cs="Times New Roman"/>
          <w:sz w:val="28"/>
          <w:szCs w:val="28"/>
        </w:rPr>
        <w:t>, en ejercicio del control abstracto de constitucionalidad,</w:t>
      </w:r>
      <w:r w:rsidR="00A27F0D" w:rsidRPr="00CB543A">
        <w:rPr>
          <w:rFonts w:ascii="Times New Roman" w:hAnsi="Times New Roman" w:cs="Times New Roman"/>
          <w:sz w:val="28"/>
          <w:szCs w:val="28"/>
        </w:rPr>
        <w:t xml:space="preserve"> por la </w:t>
      </w:r>
      <w:r w:rsidR="006C4186" w:rsidRPr="00CB543A">
        <w:rPr>
          <w:rFonts w:ascii="Times New Roman" w:hAnsi="Times New Roman" w:cs="Times New Roman"/>
          <w:sz w:val="28"/>
          <w:szCs w:val="28"/>
        </w:rPr>
        <w:t xml:space="preserve">Sala Plena </w:t>
      </w:r>
      <w:r w:rsidR="00A27F0D" w:rsidRPr="00CB543A">
        <w:rPr>
          <w:rFonts w:ascii="Times New Roman" w:hAnsi="Times New Roman" w:cs="Times New Roman"/>
          <w:sz w:val="28"/>
          <w:szCs w:val="28"/>
        </w:rPr>
        <w:t xml:space="preserve">en la </w:t>
      </w:r>
      <w:r w:rsidR="006C4186" w:rsidRPr="00CB543A">
        <w:rPr>
          <w:rFonts w:ascii="Times New Roman" w:hAnsi="Times New Roman" w:cs="Times New Roman"/>
          <w:sz w:val="28"/>
          <w:szCs w:val="28"/>
        </w:rPr>
        <w:t>S</w:t>
      </w:r>
      <w:r w:rsidR="00A27F0D" w:rsidRPr="00CB543A">
        <w:rPr>
          <w:rFonts w:ascii="Times New Roman" w:hAnsi="Times New Roman" w:cs="Times New Roman"/>
          <w:sz w:val="28"/>
          <w:szCs w:val="28"/>
        </w:rPr>
        <w:t>entencia C-258 de 2013, en los términos</w:t>
      </w:r>
      <w:r w:rsidR="00066F2A" w:rsidRPr="00CB543A">
        <w:rPr>
          <w:rFonts w:ascii="Times New Roman" w:hAnsi="Times New Roman" w:cs="Times New Roman"/>
          <w:sz w:val="28"/>
          <w:szCs w:val="28"/>
        </w:rPr>
        <w:t xml:space="preserve"> del numeral 5.</w:t>
      </w:r>
      <w:r w:rsidR="006C4186" w:rsidRPr="00CB543A">
        <w:rPr>
          <w:rFonts w:ascii="Times New Roman" w:hAnsi="Times New Roman" w:cs="Times New Roman"/>
          <w:sz w:val="28"/>
          <w:szCs w:val="28"/>
        </w:rPr>
        <w:t>1.</w:t>
      </w:r>
      <w:r w:rsidR="00066F2A" w:rsidRPr="00CB543A">
        <w:rPr>
          <w:rFonts w:ascii="Times New Roman" w:hAnsi="Times New Roman" w:cs="Times New Roman"/>
          <w:sz w:val="28"/>
          <w:szCs w:val="28"/>
        </w:rPr>
        <w:t xml:space="preserve">2.3 </w:t>
      </w:r>
      <w:r w:rsidR="00066F2A" w:rsidRPr="00CB543A">
        <w:rPr>
          <w:rFonts w:ascii="Times New Roman" w:hAnsi="Times New Roman" w:cs="Times New Roman"/>
          <w:i/>
          <w:sz w:val="28"/>
          <w:szCs w:val="28"/>
        </w:rPr>
        <w:t>supra</w:t>
      </w:r>
      <w:r w:rsidR="006C4186" w:rsidRPr="00CB543A">
        <w:rPr>
          <w:rStyle w:val="Refdenotaalpie"/>
          <w:rFonts w:ascii="Times New Roman" w:hAnsi="Times New Roman" w:cs="Times New Roman"/>
          <w:sz w:val="28"/>
          <w:szCs w:val="28"/>
        </w:rPr>
        <w:footnoteReference w:id="101"/>
      </w:r>
      <w:r w:rsidR="00A27F0D" w:rsidRPr="00CB543A">
        <w:rPr>
          <w:rFonts w:ascii="Times New Roman" w:hAnsi="Times New Roman" w:cs="Times New Roman"/>
          <w:sz w:val="28"/>
          <w:szCs w:val="28"/>
        </w:rPr>
        <w:t>.</w:t>
      </w:r>
    </w:p>
    <w:p w:rsidR="00444409" w:rsidRPr="00CB543A" w:rsidRDefault="00444409" w:rsidP="00CB543A">
      <w:pPr>
        <w:pStyle w:val="Prrafodelista"/>
        <w:widowControl w:val="0"/>
        <w:tabs>
          <w:tab w:val="left" w:pos="1005"/>
        </w:tabs>
        <w:spacing w:after="0" w:line="240" w:lineRule="auto"/>
        <w:ind w:left="0"/>
        <w:jc w:val="both"/>
        <w:rPr>
          <w:rFonts w:ascii="Times New Roman" w:hAnsi="Times New Roman" w:cs="Times New Roman"/>
          <w:sz w:val="28"/>
          <w:szCs w:val="28"/>
        </w:rPr>
      </w:pPr>
    </w:p>
    <w:p w:rsidR="00A45A00" w:rsidRPr="00CB543A" w:rsidRDefault="00DB194E" w:rsidP="00CB543A">
      <w:pPr>
        <w:pStyle w:val="Prrafodelista"/>
        <w:widowControl w:val="0"/>
        <w:numPr>
          <w:ilvl w:val="0"/>
          <w:numId w:val="32"/>
        </w:numPr>
        <w:spacing w:after="0" w:line="240" w:lineRule="auto"/>
        <w:ind w:left="0"/>
        <w:jc w:val="both"/>
        <w:rPr>
          <w:rFonts w:ascii="Times New Roman" w:hAnsi="Times New Roman" w:cs="Times New Roman"/>
          <w:i/>
          <w:sz w:val="28"/>
          <w:szCs w:val="28"/>
        </w:rPr>
      </w:pPr>
      <w:r w:rsidRPr="00CB543A">
        <w:rPr>
          <w:rFonts w:ascii="Times New Roman" w:hAnsi="Times New Roman" w:cs="Times New Roman"/>
          <w:i/>
          <w:sz w:val="28"/>
          <w:szCs w:val="28"/>
        </w:rPr>
        <w:t xml:space="preserve">(ii) </w:t>
      </w:r>
      <w:r w:rsidR="00A45A00" w:rsidRPr="00CB543A">
        <w:rPr>
          <w:rFonts w:ascii="Times New Roman" w:hAnsi="Times New Roman" w:cs="Times New Roman"/>
          <w:sz w:val="28"/>
          <w:szCs w:val="28"/>
        </w:rPr>
        <w:t xml:space="preserve">Más allá del </w:t>
      </w:r>
      <w:r w:rsidR="00E0556B" w:rsidRPr="00CB543A">
        <w:rPr>
          <w:rFonts w:ascii="Times New Roman" w:hAnsi="Times New Roman" w:cs="Times New Roman"/>
          <w:sz w:val="28"/>
          <w:szCs w:val="28"/>
        </w:rPr>
        <w:t xml:space="preserve">alcance </w:t>
      </w:r>
      <w:r w:rsidR="007D4B86" w:rsidRPr="00CB543A">
        <w:rPr>
          <w:rFonts w:ascii="Times New Roman" w:hAnsi="Times New Roman" w:cs="Times New Roman"/>
          <w:sz w:val="28"/>
          <w:szCs w:val="28"/>
        </w:rPr>
        <w:t>gramatical</w:t>
      </w:r>
      <w:r w:rsidR="00A45A00" w:rsidRPr="00CB543A">
        <w:rPr>
          <w:rFonts w:ascii="Times New Roman" w:hAnsi="Times New Roman" w:cs="Times New Roman"/>
          <w:sz w:val="28"/>
          <w:szCs w:val="28"/>
        </w:rPr>
        <w:t xml:space="preserve"> de la palabra </w:t>
      </w:r>
      <w:r w:rsidR="007D4B86" w:rsidRPr="00CB543A">
        <w:rPr>
          <w:rFonts w:ascii="Times New Roman" w:hAnsi="Times New Roman" w:cs="Times New Roman"/>
          <w:i/>
          <w:sz w:val="28"/>
          <w:szCs w:val="28"/>
        </w:rPr>
        <w:t>“</w:t>
      </w:r>
      <w:r w:rsidR="00A45A00" w:rsidRPr="00CB543A">
        <w:rPr>
          <w:rFonts w:ascii="Times New Roman" w:hAnsi="Times New Roman" w:cs="Times New Roman"/>
          <w:i/>
          <w:sz w:val="28"/>
          <w:szCs w:val="28"/>
        </w:rPr>
        <w:t>monto</w:t>
      </w:r>
      <w:r w:rsidR="007D4B86" w:rsidRPr="00CB543A">
        <w:rPr>
          <w:rFonts w:ascii="Times New Roman" w:hAnsi="Times New Roman" w:cs="Times New Roman"/>
          <w:i/>
          <w:sz w:val="28"/>
          <w:szCs w:val="28"/>
        </w:rPr>
        <w:t>”</w:t>
      </w:r>
      <w:r w:rsidR="00A45A00" w:rsidRPr="00CB543A">
        <w:rPr>
          <w:rFonts w:ascii="Times New Roman" w:hAnsi="Times New Roman" w:cs="Times New Roman"/>
          <w:sz w:val="28"/>
          <w:szCs w:val="28"/>
        </w:rPr>
        <w:t xml:space="preserve">, lo cierto es que, al analizar los antecedentes legislativos de la Ley 100 de 1993 y </w:t>
      </w:r>
      <w:r w:rsidR="007D4B86" w:rsidRPr="00CB543A">
        <w:rPr>
          <w:rFonts w:ascii="Times New Roman" w:hAnsi="Times New Roman" w:cs="Times New Roman"/>
          <w:sz w:val="28"/>
          <w:szCs w:val="28"/>
        </w:rPr>
        <w:t xml:space="preserve">la literalidad del </w:t>
      </w:r>
      <w:r w:rsidR="00A45A00" w:rsidRPr="00CB543A">
        <w:rPr>
          <w:rFonts w:ascii="Times New Roman" w:hAnsi="Times New Roman" w:cs="Times New Roman"/>
          <w:sz w:val="28"/>
          <w:szCs w:val="28"/>
        </w:rPr>
        <w:t xml:space="preserve">inciso 3º del artículo 36 </w:t>
      </w:r>
      <w:r w:rsidR="00A45A00" w:rsidRPr="00CB543A">
        <w:rPr>
          <w:rFonts w:ascii="Times New Roman" w:hAnsi="Times New Roman" w:cs="Times New Roman"/>
          <w:i/>
          <w:sz w:val="28"/>
          <w:szCs w:val="28"/>
        </w:rPr>
        <w:t>ibídem</w:t>
      </w:r>
      <w:r w:rsidR="00A45A00" w:rsidRPr="00CB543A">
        <w:rPr>
          <w:rFonts w:ascii="Times New Roman" w:hAnsi="Times New Roman" w:cs="Times New Roman"/>
          <w:sz w:val="28"/>
          <w:szCs w:val="28"/>
        </w:rPr>
        <w:t>, puede concluirse que el legislador excluyó del régimen de transición lo relacionado con el IBL, toda vez que</w:t>
      </w:r>
      <w:r w:rsidR="007D4B86" w:rsidRPr="00CB543A">
        <w:rPr>
          <w:rFonts w:ascii="Times New Roman" w:hAnsi="Times New Roman" w:cs="Times New Roman"/>
          <w:sz w:val="28"/>
          <w:szCs w:val="28"/>
        </w:rPr>
        <w:t>,</w:t>
      </w:r>
      <w:r w:rsidR="00A45A00" w:rsidRPr="00CB543A">
        <w:rPr>
          <w:rFonts w:ascii="Times New Roman" w:hAnsi="Times New Roman" w:cs="Times New Roman"/>
          <w:sz w:val="28"/>
          <w:szCs w:val="28"/>
        </w:rPr>
        <w:t xml:space="preserve"> en el mencionado numeral</w:t>
      </w:r>
      <w:r w:rsidR="007D4B86" w:rsidRPr="00CB543A">
        <w:rPr>
          <w:rFonts w:ascii="Times New Roman" w:hAnsi="Times New Roman" w:cs="Times New Roman"/>
          <w:sz w:val="28"/>
          <w:szCs w:val="28"/>
        </w:rPr>
        <w:t>,</w:t>
      </w:r>
      <w:r w:rsidR="00A45A00" w:rsidRPr="00CB543A">
        <w:rPr>
          <w:rFonts w:ascii="Times New Roman" w:hAnsi="Times New Roman" w:cs="Times New Roman"/>
          <w:sz w:val="28"/>
          <w:szCs w:val="28"/>
        </w:rPr>
        <w:t xml:space="preserve"> dispuso</w:t>
      </w:r>
      <w:r w:rsidR="007D4B86" w:rsidRPr="00CB543A">
        <w:rPr>
          <w:rFonts w:ascii="Times New Roman" w:hAnsi="Times New Roman" w:cs="Times New Roman"/>
          <w:sz w:val="28"/>
          <w:szCs w:val="28"/>
        </w:rPr>
        <w:t>:</w:t>
      </w:r>
      <w:r w:rsidR="00A45A00" w:rsidRPr="00CB543A">
        <w:rPr>
          <w:rFonts w:ascii="Times New Roman" w:hAnsi="Times New Roman" w:cs="Times New Roman"/>
          <w:sz w:val="28"/>
          <w:szCs w:val="28"/>
        </w:rPr>
        <w:t xml:space="preserve"> </w:t>
      </w:r>
      <w:r w:rsidR="00A45A00" w:rsidRPr="00CB543A">
        <w:rPr>
          <w:rFonts w:ascii="Times New Roman" w:hAnsi="Times New Roman" w:cs="Times New Roman"/>
          <w:i/>
          <w:sz w:val="28"/>
          <w:szCs w:val="28"/>
        </w:rPr>
        <w:t>“[e]l ingreso base para liquidar la pensión de vejez de las personas referidas en el inciso anterior</w:t>
      </w:r>
      <w:r w:rsidR="00540F8E" w:rsidRPr="00CB543A">
        <w:rPr>
          <w:rFonts w:ascii="Times New Roman" w:hAnsi="Times New Roman" w:cs="Times New Roman"/>
          <w:i/>
          <w:sz w:val="28"/>
          <w:szCs w:val="28"/>
        </w:rPr>
        <w:t xml:space="preserve"> [numeral 2º]</w:t>
      </w:r>
      <w:r w:rsidR="00A45A00" w:rsidRPr="00CB543A">
        <w:rPr>
          <w:rFonts w:ascii="Times New Roman" w:hAnsi="Times New Roman" w:cs="Times New Roman"/>
          <w:i/>
          <w:sz w:val="28"/>
          <w:szCs w:val="28"/>
        </w:rPr>
        <w:t xml:space="preserve">” </w:t>
      </w:r>
      <w:r w:rsidR="007D4B86" w:rsidRPr="00CB543A">
        <w:rPr>
          <w:rFonts w:ascii="Times New Roman" w:hAnsi="Times New Roman" w:cs="Times New Roman"/>
          <w:sz w:val="28"/>
          <w:szCs w:val="28"/>
        </w:rPr>
        <w:t xml:space="preserve">debe ser </w:t>
      </w:r>
      <w:r w:rsidR="00A45A00" w:rsidRPr="00CB543A">
        <w:rPr>
          <w:rFonts w:ascii="Times New Roman" w:hAnsi="Times New Roman" w:cs="Times New Roman"/>
          <w:sz w:val="28"/>
          <w:szCs w:val="28"/>
        </w:rPr>
        <w:t>el promedio de lo devengado en el tiempo que les hiciere falta para adquirir el derecho, si es que para ello falta</w:t>
      </w:r>
      <w:r w:rsidR="00540F8E" w:rsidRPr="00CB543A">
        <w:rPr>
          <w:rFonts w:ascii="Times New Roman" w:hAnsi="Times New Roman" w:cs="Times New Roman"/>
          <w:sz w:val="28"/>
          <w:szCs w:val="28"/>
        </w:rPr>
        <w:t>sen</w:t>
      </w:r>
      <w:r w:rsidR="00A45A00" w:rsidRPr="00CB543A">
        <w:rPr>
          <w:rFonts w:ascii="Times New Roman" w:hAnsi="Times New Roman" w:cs="Times New Roman"/>
          <w:sz w:val="28"/>
          <w:szCs w:val="28"/>
        </w:rPr>
        <w:t xml:space="preserve"> menos de diez años, o el cotizado durante </w:t>
      </w:r>
      <w:r w:rsidR="00A45A00" w:rsidRPr="00CB543A">
        <w:rPr>
          <w:rFonts w:ascii="Times New Roman" w:hAnsi="Times New Roman" w:cs="Times New Roman"/>
          <w:i/>
          <w:sz w:val="28"/>
          <w:szCs w:val="28"/>
        </w:rPr>
        <w:t>“todo el tiempo”</w:t>
      </w:r>
      <w:r w:rsidR="00A45A00" w:rsidRPr="00CB543A">
        <w:rPr>
          <w:rFonts w:ascii="Times New Roman" w:hAnsi="Times New Roman" w:cs="Times New Roman"/>
          <w:sz w:val="28"/>
          <w:szCs w:val="28"/>
        </w:rPr>
        <w:t xml:space="preserve"> </w:t>
      </w:r>
      <w:r w:rsidR="007D4B86" w:rsidRPr="00CB543A">
        <w:rPr>
          <w:rFonts w:ascii="Times New Roman" w:hAnsi="Times New Roman" w:cs="Times New Roman"/>
          <w:sz w:val="28"/>
          <w:szCs w:val="28"/>
        </w:rPr>
        <w:t>cuando faltaren</w:t>
      </w:r>
      <w:r w:rsidR="00A45A00" w:rsidRPr="00CB543A">
        <w:rPr>
          <w:rFonts w:ascii="Times New Roman" w:hAnsi="Times New Roman" w:cs="Times New Roman"/>
          <w:sz w:val="28"/>
          <w:szCs w:val="28"/>
        </w:rPr>
        <w:t xml:space="preserve"> menos de diez años para adquirir e</w:t>
      </w:r>
      <w:r w:rsidR="00287585" w:rsidRPr="00CB543A">
        <w:rPr>
          <w:rFonts w:ascii="Times New Roman" w:hAnsi="Times New Roman" w:cs="Times New Roman"/>
          <w:sz w:val="28"/>
          <w:szCs w:val="28"/>
        </w:rPr>
        <w:t>se</w:t>
      </w:r>
      <w:r w:rsidR="00A45A00" w:rsidRPr="00CB543A">
        <w:rPr>
          <w:rFonts w:ascii="Times New Roman" w:hAnsi="Times New Roman" w:cs="Times New Roman"/>
          <w:sz w:val="28"/>
          <w:szCs w:val="28"/>
        </w:rPr>
        <w:t xml:space="preserve"> derecho.</w:t>
      </w:r>
    </w:p>
    <w:p w:rsidR="008F037C" w:rsidRPr="00CB543A" w:rsidRDefault="008F037C" w:rsidP="00CB543A">
      <w:pPr>
        <w:spacing w:after="0" w:line="240" w:lineRule="auto"/>
        <w:rPr>
          <w:rFonts w:ascii="Times New Roman" w:hAnsi="Times New Roman" w:cs="Times New Roman"/>
          <w:sz w:val="28"/>
          <w:szCs w:val="28"/>
        </w:rPr>
      </w:pPr>
    </w:p>
    <w:p w:rsidR="009D5ADA" w:rsidRPr="00CB543A" w:rsidRDefault="00EE1922" w:rsidP="00CB543A">
      <w:pPr>
        <w:pStyle w:val="Prrafodelista"/>
        <w:widowControl w:val="0"/>
        <w:numPr>
          <w:ilvl w:val="0"/>
          <w:numId w:val="32"/>
        </w:numPr>
        <w:spacing w:after="0" w:line="240" w:lineRule="auto"/>
        <w:ind w:left="0"/>
        <w:jc w:val="both"/>
        <w:rPr>
          <w:rFonts w:ascii="Times New Roman" w:hAnsi="Times New Roman" w:cs="Times New Roman"/>
          <w:i/>
          <w:sz w:val="28"/>
          <w:szCs w:val="28"/>
        </w:rPr>
      </w:pPr>
      <w:r w:rsidRPr="00CB543A">
        <w:rPr>
          <w:rFonts w:ascii="Times New Roman" w:hAnsi="Times New Roman" w:cs="Times New Roman"/>
          <w:i/>
          <w:sz w:val="28"/>
          <w:szCs w:val="28"/>
        </w:rPr>
        <w:t xml:space="preserve">(iii) </w:t>
      </w:r>
      <w:r w:rsidR="00030AB9" w:rsidRPr="00CB543A">
        <w:rPr>
          <w:rFonts w:ascii="Times New Roman" w:hAnsi="Times New Roman" w:cs="Times New Roman"/>
          <w:sz w:val="28"/>
          <w:szCs w:val="28"/>
        </w:rPr>
        <w:t xml:space="preserve">No es cierto que se vulnere </w:t>
      </w:r>
      <w:r w:rsidR="00210EFE" w:rsidRPr="00CB543A">
        <w:rPr>
          <w:rFonts w:ascii="Times New Roman" w:hAnsi="Times New Roman" w:cs="Times New Roman"/>
          <w:sz w:val="28"/>
          <w:szCs w:val="28"/>
        </w:rPr>
        <w:t>la</w:t>
      </w:r>
      <w:r w:rsidR="00030AB9" w:rsidRPr="00CB543A">
        <w:rPr>
          <w:rFonts w:ascii="Times New Roman" w:hAnsi="Times New Roman" w:cs="Times New Roman"/>
          <w:sz w:val="28"/>
          <w:szCs w:val="28"/>
        </w:rPr>
        <w:t xml:space="preserve"> seguridad jurídica, pues, precisamente, lo que se busca con la implementación de un régimen de transición es</w:t>
      </w:r>
      <w:r w:rsidR="00AA3CBD" w:rsidRPr="00CB543A">
        <w:rPr>
          <w:rFonts w:ascii="Times New Roman" w:hAnsi="Times New Roman" w:cs="Times New Roman"/>
          <w:sz w:val="28"/>
          <w:szCs w:val="28"/>
        </w:rPr>
        <w:t xml:space="preserve"> </w:t>
      </w:r>
      <w:r w:rsidR="00030AB9" w:rsidRPr="00CB543A">
        <w:rPr>
          <w:rFonts w:ascii="Times New Roman" w:hAnsi="Times New Roman" w:cs="Times New Roman"/>
          <w:sz w:val="28"/>
          <w:szCs w:val="28"/>
        </w:rPr>
        <w:t>beneficiar a quienes tenían una expectativa legítima de pensionarse conforme a las reglas especiales que serían derogadas</w:t>
      </w:r>
      <w:r w:rsidR="00AA3CBD" w:rsidRPr="00CB543A">
        <w:rPr>
          <w:rFonts w:ascii="Times New Roman" w:hAnsi="Times New Roman" w:cs="Times New Roman"/>
          <w:sz w:val="28"/>
          <w:szCs w:val="28"/>
        </w:rPr>
        <w:t xml:space="preserve">, esto es, adoptar medidas tendientes a </w:t>
      </w:r>
      <w:r w:rsidR="00210EFE" w:rsidRPr="00CB543A">
        <w:rPr>
          <w:rFonts w:ascii="Times New Roman" w:hAnsi="Times New Roman" w:cs="Times New Roman"/>
          <w:sz w:val="28"/>
          <w:szCs w:val="28"/>
        </w:rPr>
        <w:t>darles certeza sobre el régimen jurídico aplicable</w:t>
      </w:r>
      <w:r w:rsidR="00AA3CBD" w:rsidRPr="00CB543A">
        <w:rPr>
          <w:rFonts w:ascii="Times New Roman" w:hAnsi="Times New Roman" w:cs="Times New Roman"/>
          <w:sz w:val="28"/>
          <w:szCs w:val="28"/>
        </w:rPr>
        <w:t xml:space="preserve"> </w:t>
      </w:r>
      <w:r w:rsidR="00210EFE" w:rsidRPr="00CB543A">
        <w:rPr>
          <w:rFonts w:ascii="Times New Roman" w:hAnsi="Times New Roman" w:cs="Times New Roman"/>
          <w:sz w:val="28"/>
          <w:szCs w:val="28"/>
        </w:rPr>
        <w:t>y los inst</w:t>
      </w:r>
      <w:r w:rsidR="00412749" w:rsidRPr="00CB543A">
        <w:rPr>
          <w:rFonts w:ascii="Times New Roman" w:hAnsi="Times New Roman" w:cs="Times New Roman"/>
          <w:sz w:val="28"/>
          <w:szCs w:val="28"/>
        </w:rPr>
        <w:t>rumentos y mecanismos necesarios</w:t>
      </w:r>
      <w:r w:rsidR="00210EFE" w:rsidRPr="00CB543A">
        <w:rPr>
          <w:rFonts w:ascii="Times New Roman" w:hAnsi="Times New Roman" w:cs="Times New Roman"/>
          <w:sz w:val="28"/>
          <w:szCs w:val="28"/>
        </w:rPr>
        <w:t xml:space="preserve"> para </w:t>
      </w:r>
      <w:r w:rsidR="00412749" w:rsidRPr="00CB543A">
        <w:rPr>
          <w:rFonts w:ascii="Times New Roman" w:hAnsi="Times New Roman" w:cs="Times New Roman"/>
          <w:sz w:val="28"/>
          <w:szCs w:val="28"/>
        </w:rPr>
        <w:t xml:space="preserve">garantizar </w:t>
      </w:r>
      <w:r w:rsidR="00210EFE" w:rsidRPr="00CB543A">
        <w:rPr>
          <w:rFonts w:ascii="Times New Roman" w:hAnsi="Times New Roman" w:cs="Times New Roman"/>
          <w:sz w:val="28"/>
          <w:szCs w:val="28"/>
        </w:rPr>
        <w:t>la vigencia de sus derechos e intereses</w:t>
      </w:r>
      <w:r w:rsidR="00002F4E" w:rsidRPr="00CB543A">
        <w:rPr>
          <w:rFonts w:ascii="Times New Roman" w:hAnsi="Times New Roman" w:cs="Times New Roman"/>
          <w:sz w:val="28"/>
          <w:szCs w:val="28"/>
        </w:rPr>
        <w:t xml:space="preserve"> pensionales</w:t>
      </w:r>
      <w:r w:rsidR="00AA3CBD" w:rsidRPr="00CB543A">
        <w:rPr>
          <w:rFonts w:ascii="Times New Roman" w:hAnsi="Times New Roman" w:cs="Times New Roman"/>
          <w:sz w:val="28"/>
          <w:szCs w:val="28"/>
        </w:rPr>
        <w:t>.</w:t>
      </w:r>
    </w:p>
    <w:p w:rsidR="009D5ADA" w:rsidRPr="00CB543A" w:rsidRDefault="009D5ADA" w:rsidP="00CB543A">
      <w:pPr>
        <w:spacing w:after="0" w:line="240" w:lineRule="auto"/>
        <w:rPr>
          <w:rFonts w:ascii="Times New Roman" w:hAnsi="Times New Roman" w:cs="Times New Roman"/>
          <w:sz w:val="28"/>
          <w:szCs w:val="28"/>
        </w:rPr>
      </w:pPr>
    </w:p>
    <w:p w:rsidR="0067423A" w:rsidRPr="00CB543A" w:rsidRDefault="00EE1922" w:rsidP="00CB543A">
      <w:pPr>
        <w:pStyle w:val="Prrafodelista"/>
        <w:widowControl w:val="0"/>
        <w:numPr>
          <w:ilvl w:val="0"/>
          <w:numId w:val="32"/>
        </w:numPr>
        <w:spacing w:after="0" w:line="240" w:lineRule="auto"/>
        <w:ind w:left="0"/>
        <w:jc w:val="both"/>
        <w:rPr>
          <w:rFonts w:ascii="Times New Roman" w:hAnsi="Times New Roman" w:cs="Times New Roman"/>
          <w:sz w:val="28"/>
          <w:szCs w:val="28"/>
        </w:rPr>
      </w:pPr>
      <w:r w:rsidRPr="00CB543A">
        <w:rPr>
          <w:rFonts w:ascii="Times New Roman" w:hAnsi="Times New Roman" w:cs="Times New Roman"/>
          <w:i/>
          <w:sz w:val="28"/>
          <w:szCs w:val="28"/>
        </w:rPr>
        <w:t xml:space="preserve">(iv) </w:t>
      </w:r>
      <w:r w:rsidR="00F93036" w:rsidRPr="00CB543A">
        <w:rPr>
          <w:rFonts w:ascii="Times New Roman" w:hAnsi="Times New Roman" w:cs="Times New Roman"/>
          <w:sz w:val="28"/>
          <w:szCs w:val="28"/>
        </w:rPr>
        <w:t xml:space="preserve">Tampoco es cierto que la aplicación del inciso 3º del artículo 36 de la Ley 100 de 1993, </w:t>
      </w:r>
      <w:r w:rsidR="00412749" w:rsidRPr="00CB543A">
        <w:rPr>
          <w:rFonts w:ascii="Times New Roman" w:hAnsi="Times New Roman" w:cs="Times New Roman"/>
          <w:sz w:val="28"/>
          <w:szCs w:val="28"/>
        </w:rPr>
        <w:t xml:space="preserve">de lugar, </w:t>
      </w:r>
      <w:r w:rsidR="00F93036" w:rsidRPr="00CB543A">
        <w:rPr>
          <w:rFonts w:ascii="Times New Roman" w:hAnsi="Times New Roman" w:cs="Times New Roman"/>
          <w:i/>
          <w:sz w:val="28"/>
          <w:szCs w:val="28"/>
        </w:rPr>
        <w:t>per se</w:t>
      </w:r>
      <w:r w:rsidR="00412749" w:rsidRPr="00CB543A">
        <w:rPr>
          <w:rFonts w:ascii="Times New Roman" w:hAnsi="Times New Roman" w:cs="Times New Roman"/>
          <w:sz w:val="28"/>
          <w:szCs w:val="28"/>
        </w:rPr>
        <w:t>,</w:t>
      </w:r>
      <w:r w:rsidR="00F93036" w:rsidRPr="00CB543A">
        <w:rPr>
          <w:rFonts w:ascii="Times New Roman" w:hAnsi="Times New Roman" w:cs="Times New Roman"/>
          <w:i/>
          <w:sz w:val="28"/>
          <w:szCs w:val="28"/>
        </w:rPr>
        <w:t xml:space="preserve"> </w:t>
      </w:r>
      <w:r w:rsidR="00412749" w:rsidRPr="00CB543A">
        <w:rPr>
          <w:rFonts w:ascii="Times New Roman" w:hAnsi="Times New Roman" w:cs="Times New Roman"/>
          <w:sz w:val="28"/>
          <w:szCs w:val="28"/>
        </w:rPr>
        <w:t xml:space="preserve">al desconocimiento </w:t>
      </w:r>
      <w:r w:rsidR="00F93036" w:rsidRPr="00CB543A">
        <w:rPr>
          <w:rFonts w:ascii="Times New Roman" w:hAnsi="Times New Roman" w:cs="Times New Roman"/>
          <w:sz w:val="28"/>
          <w:szCs w:val="28"/>
        </w:rPr>
        <w:t xml:space="preserve">del principio de </w:t>
      </w:r>
      <w:r w:rsidR="00412749" w:rsidRPr="00CB543A">
        <w:rPr>
          <w:rFonts w:ascii="Times New Roman" w:hAnsi="Times New Roman" w:cs="Times New Roman"/>
          <w:i/>
          <w:sz w:val="28"/>
          <w:szCs w:val="28"/>
        </w:rPr>
        <w:t>“</w:t>
      </w:r>
      <w:r w:rsidR="00F93036" w:rsidRPr="00CB543A">
        <w:rPr>
          <w:rFonts w:ascii="Times New Roman" w:hAnsi="Times New Roman" w:cs="Times New Roman"/>
          <w:i/>
          <w:sz w:val="28"/>
          <w:szCs w:val="28"/>
        </w:rPr>
        <w:t>inescindibilidad</w:t>
      </w:r>
      <w:r w:rsidR="00412749" w:rsidRPr="00CB543A">
        <w:rPr>
          <w:rFonts w:ascii="Times New Roman" w:hAnsi="Times New Roman" w:cs="Times New Roman"/>
          <w:i/>
          <w:sz w:val="28"/>
          <w:szCs w:val="28"/>
        </w:rPr>
        <w:t>”</w:t>
      </w:r>
      <w:r w:rsidR="009D5ADA" w:rsidRPr="00CB543A">
        <w:rPr>
          <w:rFonts w:ascii="Times New Roman" w:hAnsi="Times New Roman" w:cs="Times New Roman"/>
          <w:i/>
          <w:sz w:val="28"/>
          <w:szCs w:val="28"/>
        </w:rPr>
        <w:t xml:space="preserve"> </w:t>
      </w:r>
      <w:r w:rsidR="009D5ADA" w:rsidRPr="00CB543A">
        <w:rPr>
          <w:rFonts w:ascii="Times New Roman" w:hAnsi="Times New Roman" w:cs="Times New Roman"/>
          <w:sz w:val="28"/>
          <w:szCs w:val="28"/>
        </w:rPr>
        <w:t xml:space="preserve">o </w:t>
      </w:r>
      <w:r w:rsidR="00412749" w:rsidRPr="00CB543A">
        <w:rPr>
          <w:rFonts w:ascii="Times New Roman" w:hAnsi="Times New Roman" w:cs="Times New Roman"/>
          <w:i/>
          <w:sz w:val="28"/>
          <w:szCs w:val="28"/>
        </w:rPr>
        <w:t>“</w:t>
      </w:r>
      <w:r w:rsidR="009D5ADA" w:rsidRPr="00CB543A">
        <w:rPr>
          <w:rFonts w:ascii="Times New Roman" w:hAnsi="Times New Roman" w:cs="Times New Roman"/>
          <w:i/>
          <w:sz w:val="28"/>
          <w:szCs w:val="28"/>
        </w:rPr>
        <w:t>conglobamento</w:t>
      </w:r>
      <w:r w:rsidR="00412749" w:rsidRPr="00CB543A">
        <w:rPr>
          <w:rFonts w:ascii="Times New Roman" w:hAnsi="Times New Roman" w:cs="Times New Roman"/>
          <w:i/>
          <w:sz w:val="28"/>
          <w:szCs w:val="28"/>
        </w:rPr>
        <w:t>”</w:t>
      </w:r>
      <w:r w:rsidR="00412749" w:rsidRPr="00CB543A">
        <w:rPr>
          <w:rFonts w:ascii="Times New Roman" w:hAnsi="Times New Roman" w:cs="Times New Roman"/>
          <w:sz w:val="28"/>
          <w:szCs w:val="28"/>
        </w:rPr>
        <w:t>, en los términos de la jurisprudencia del Consejo de Estado</w:t>
      </w:r>
      <w:r w:rsidR="00985898" w:rsidRPr="00CB543A">
        <w:rPr>
          <w:rFonts w:ascii="Times New Roman" w:hAnsi="Times New Roman" w:cs="Times New Roman"/>
          <w:sz w:val="28"/>
          <w:szCs w:val="28"/>
        </w:rPr>
        <w:t>.</w:t>
      </w:r>
      <w:r w:rsidR="00F93036" w:rsidRPr="00CB543A">
        <w:rPr>
          <w:rFonts w:ascii="Times New Roman" w:hAnsi="Times New Roman" w:cs="Times New Roman"/>
          <w:sz w:val="28"/>
          <w:szCs w:val="28"/>
        </w:rPr>
        <w:t xml:space="preserve"> </w:t>
      </w:r>
      <w:r w:rsidR="00985898" w:rsidRPr="00CB543A">
        <w:rPr>
          <w:rFonts w:ascii="Times New Roman" w:hAnsi="Times New Roman" w:cs="Times New Roman"/>
          <w:sz w:val="28"/>
          <w:szCs w:val="28"/>
        </w:rPr>
        <w:t>S</w:t>
      </w:r>
      <w:r w:rsidR="00F93036" w:rsidRPr="00CB543A">
        <w:rPr>
          <w:rFonts w:ascii="Times New Roman" w:hAnsi="Times New Roman" w:cs="Times New Roman"/>
          <w:sz w:val="28"/>
          <w:szCs w:val="28"/>
        </w:rPr>
        <w:t xml:space="preserve">i bien es cierto que </w:t>
      </w:r>
      <w:r w:rsidR="009D5ADA" w:rsidRPr="00CB543A">
        <w:rPr>
          <w:rFonts w:ascii="Times New Roman" w:hAnsi="Times New Roman" w:cs="Times New Roman"/>
          <w:sz w:val="28"/>
          <w:szCs w:val="28"/>
        </w:rPr>
        <w:t xml:space="preserve">las </w:t>
      </w:r>
      <w:r w:rsidR="00412749" w:rsidRPr="00CB543A">
        <w:rPr>
          <w:rFonts w:ascii="Times New Roman" w:hAnsi="Times New Roman" w:cs="Times New Roman"/>
          <w:sz w:val="28"/>
          <w:szCs w:val="28"/>
        </w:rPr>
        <w:t xml:space="preserve">disposiciones </w:t>
      </w:r>
      <w:r w:rsidR="009D5ADA" w:rsidRPr="00CB543A">
        <w:rPr>
          <w:rFonts w:ascii="Times New Roman" w:hAnsi="Times New Roman" w:cs="Times New Roman"/>
          <w:sz w:val="28"/>
          <w:szCs w:val="28"/>
        </w:rPr>
        <w:t xml:space="preserve">deben </w:t>
      </w:r>
      <w:r w:rsidR="009D5ADA" w:rsidRPr="00CB543A">
        <w:rPr>
          <w:rFonts w:ascii="Times New Roman" w:hAnsi="Times New Roman" w:cs="Times New Roman"/>
          <w:i/>
          <w:sz w:val="28"/>
          <w:szCs w:val="28"/>
        </w:rPr>
        <w:t>“aplicarse de manera íntegra en su relación con la totalidad del cuerpo normativo al que pertenece, sin que sea admisible escisiones o fragmentaciones tomando lo más favorable de las disposiciones en conflicto, o utilizando disposiciones jurídicas contenidas en un régimen normativo distinto al elegido”</w:t>
      </w:r>
      <w:r w:rsidR="009D5ADA" w:rsidRPr="00CB543A">
        <w:rPr>
          <w:rStyle w:val="Refdenotaalpie"/>
          <w:rFonts w:ascii="Times New Roman" w:hAnsi="Times New Roman" w:cs="Times New Roman"/>
          <w:i/>
          <w:sz w:val="28"/>
          <w:szCs w:val="28"/>
        </w:rPr>
        <w:footnoteReference w:id="102"/>
      </w:r>
      <w:r w:rsidR="00F93036" w:rsidRPr="00CB543A">
        <w:rPr>
          <w:rFonts w:ascii="Times New Roman" w:hAnsi="Times New Roman" w:cs="Times New Roman"/>
          <w:sz w:val="28"/>
          <w:szCs w:val="28"/>
        </w:rPr>
        <w:t xml:space="preserve">, también lo es que </w:t>
      </w:r>
      <w:r w:rsidR="00985898" w:rsidRPr="00CB543A">
        <w:rPr>
          <w:rFonts w:ascii="Times New Roman" w:hAnsi="Times New Roman" w:cs="Times New Roman"/>
          <w:sz w:val="28"/>
          <w:szCs w:val="28"/>
        </w:rPr>
        <w:t xml:space="preserve">aquel </w:t>
      </w:r>
      <w:r w:rsidR="0067423A" w:rsidRPr="00CB543A">
        <w:rPr>
          <w:rFonts w:ascii="Times New Roman" w:hAnsi="Times New Roman" w:cs="Times New Roman"/>
          <w:sz w:val="28"/>
          <w:szCs w:val="28"/>
        </w:rPr>
        <w:t>principio no es absoluto</w:t>
      </w:r>
      <w:r w:rsidR="00C47510" w:rsidRPr="00CB543A">
        <w:rPr>
          <w:rFonts w:ascii="Times New Roman" w:hAnsi="Times New Roman" w:cs="Times New Roman"/>
          <w:sz w:val="28"/>
          <w:szCs w:val="28"/>
        </w:rPr>
        <w:t xml:space="preserve">, pues </w:t>
      </w:r>
      <w:r w:rsidR="0067423A" w:rsidRPr="00CB543A">
        <w:rPr>
          <w:rFonts w:ascii="Times New Roman" w:hAnsi="Times New Roman" w:cs="Times New Roman"/>
          <w:sz w:val="28"/>
          <w:szCs w:val="28"/>
        </w:rPr>
        <w:t xml:space="preserve">el propio legislador puede determinar la forma en la que se debe aplicar una </w:t>
      </w:r>
      <w:r w:rsidR="00412749" w:rsidRPr="00CB543A">
        <w:rPr>
          <w:rFonts w:ascii="Times New Roman" w:hAnsi="Times New Roman" w:cs="Times New Roman"/>
          <w:sz w:val="28"/>
          <w:szCs w:val="28"/>
        </w:rPr>
        <w:t>disposición</w:t>
      </w:r>
      <w:r w:rsidR="0067423A" w:rsidRPr="00CB543A">
        <w:rPr>
          <w:rFonts w:ascii="Times New Roman" w:hAnsi="Times New Roman" w:cs="Times New Roman"/>
          <w:sz w:val="28"/>
          <w:szCs w:val="28"/>
        </w:rPr>
        <w:t xml:space="preserve">, </w:t>
      </w:r>
      <w:r w:rsidR="00BB6C0D" w:rsidRPr="00CB543A">
        <w:rPr>
          <w:rFonts w:ascii="Times New Roman" w:hAnsi="Times New Roman" w:cs="Times New Roman"/>
          <w:sz w:val="28"/>
          <w:szCs w:val="28"/>
        </w:rPr>
        <w:t>como</w:t>
      </w:r>
      <w:r w:rsidR="00412749" w:rsidRPr="00CB543A">
        <w:rPr>
          <w:rFonts w:ascii="Times New Roman" w:hAnsi="Times New Roman" w:cs="Times New Roman"/>
          <w:sz w:val="28"/>
          <w:szCs w:val="28"/>
        </w:rPr>
        <w:t>, de manera expresa,</w:t>
      </w:r>
      <w:r w:rsidR="00BB6C0D" w:rsidRPr="00CB543A">
        <w:rPr>
          <w:rFonts w:ascii="Times New Roman" w:hAnsi="Times New Roman" w:cs="Times New Roman"/>
          <w:sz w:val="28"/>
          <w:szCs w:val="28"/>
        </w:rPr>
        <w:t xml:space="preserve"> lo hizo en el artículo 36 de la Ley 100 de 1993</w:t>
      </w:r>
      <w:r w:rsidR="00412749" w:rsidRPr="00CB543A">
        <w:rPr>
          <w:rFonts w:ascii="Times New Roman" w:hAnsi="Times New Roman" w:cs="Times New Roman"/>
          <w:sz w:val="28"/>
          <w:szCs w:val="28"/>
        </w:rPr>
        <w:t>. D</w:t>
      </w:r>
      <w:r w:rsidR="0067423A" w:rsidRPr="00CB543A">
        <w:rPr>
          <w:rFonts w:ascii="Times New Roman" w:hAnsi="Times New Roman" w:cs="Times New Roman"/>
          <w:sz w:val="28"/>
          <w:szCs w:val="28"/>
        </w:rPr>
        <w:t xml:space="preserve">e no ser así, incluso, no </w:t>
      </w:r>
      <w:r w:rsidR="00BB6C0D" w:rsidRPr="00CB543A">
        <w:rPr>
          <w:rFonts w:ascii="Times New Roman" w:hAnsi="Times New Roman" w:cs="Times New Roman"/>
          <w:sz w:val="28"/>
          <w:szCs w:val="28"/>
        </w:rPr>
        <w:t xml:space="preserve">tendría razón de ser </w:t>
      </w:r>
      <w:r w:rsidR="0067423A" w:rsidRPr="00CB543A">
        <w:rPr>
          <w:rFonts w:ascii="Times New Roman" w:hAnsi="Times New Roman" w:cs="Times New Roman"/>
          <w:sz w:val="28"/>
          <w:szCs w:val="28"/>
        </w:rPr>
        <w:t xml:space="preserve">la aplicación del régimen de transición en materia pensional. De otra parte, advierte la Sala que, de todas formas, dicho principio admite diversas limitaciones </w:t>
      </w:r>
      <w:r w:rsidR="003503C1" w:rsidRPr="00CB543A">
        <w:rPr>
          <w:rFonts w:ascii="Times New Roman" w:hAnsi="Times New Roman" w:cs="Times New Roman"/>
          <w:sz w:val="28"/>
          <w:szCs w:val="28"/>
        </w:rPr>
        <w:t>por parte del juez</w:t>
      </w:r>
      <w:r w:rsidR="00BA3981" w:rsidRPr="00CB543A">
        <w:rPr>
          <w:rFonts w:ascii="Times New Roman" w:hAnsi="Times New Roman" w:cs="Times New Roman"/>
          <w:sz w:val="28"/>
          <w:szCs w:val="28"/>
        </w:rPr>
        <w:t>, la</w:t>
      </w:r>
      <w:r w:rsidR="003503C1" w:rsidRPr="00CB543A">
        <w:rPr>
          <w:rFonts w:ascii="Times New Roman" w:hAnsi="Times New Roman" w:cs="Times New Roman"/>
          <w:sz w:val="28"/>
          <w:szCs w:val="28"/>
        </w:rPr>
        <w:t>s</w:t>
      </w:r>
      <w:r w:rsidR="00BA3981" w:rsidRPr="00CB543A">
        <w:rPr>
          <w:rFonts w:ascii="Times New Roman" w:hAnsi="Times New Roman" w:cs="Times New Roman"/>
          <w:sz w:val="28"/>
          <w:szCs w:val="28"/>
        </w:rPr>
        <w:t xml:space="preserve"> cual</w:t>
      </w:r>
      <w:r w:rsidR="003503C1" w:rsidRPr="00CB543A">
        <w:rPr>
          <w:rFonts w:ascii="Times New Roman" w:hAnsi="Times New Roman" w:cs="Times New Roman"/>
          <w:sz w:val="28"/>
          <w:szCs w:val="28"/>
        </w:rPr>
        <w:t>es, en todo caso,</w:t>
      </w:r>
      <w:r w:rsidR="00BA3981" w:rsidRPr="00CB543A">
        <w:rPr>
          <w:rFonts w:ascii="Times New Roman" w:hAnsi="Times New Roman" w:cs="Times New Roman"/>
          <w:sz w:val="28"/>
          <w:szCs w:val="28"/>
        </w:rPr>
        <w:t xml:space="preserve"> tienen que ser valorada</w:t>
      </w:r>
      <w:r w:rsidR="003503C1" w:rsidRPr="00CB543A">
        <w:rPr>
          <w:rFonts w:ascii="Times New Roman" w:hAnsi="Times New Roman" w:cs="Times New Roman"/>
          <w:sz w:val="28"/>
          <w:szCs w:val="28"/>
        </w:rPr>
        <w:t>s</w:t>
      </w:r>
      <w:r w:rsidR="00BA3981" w:rsidRPr="00CB543A">
        <w:rPr>
          <w:rFonts w:ascii="Times New Roman" w:hAnsi="Times New Roman" w:cs="Times New Roman"/>
          <w:sz w:val="28"/>
          <w:szCs w:val="28"/>
        </w:rPr>
        <w:t xml:space="preserve"> atendiendo a los principios de razonabilidad y proporcionalidad</w:t>
      </w:r>
      <w:r w:rsidR="00EB60BF" w:rsidRPr="00CB543A">
        <w:rPr>
          <w:rFonts w:ascii="Times New Roman" w:hAnsi="Times New Roman" w:cs="Times New Roman"/>
          <w:sz w:val="28"/>
          <w:szCs w:val="28"/>
        </w:rPr>
        <w:t>.</w:t>
      </w:r>
    </w:p>
    <w:p w:rsidR="0099174F" w:rsidRPr="00CB543A" w:rsidRDefault="0099174F" w:rsidP="00CB543A">
      <w:pPr>
        <w:widowControl w:val="0"/>
        <w:tabs>
          <w:tab w:val="left" w:pos="2130"/>
        </w:tabs>
        <w:spacing w:after="0" w:line="240" w:lineRule="auto"/>
        <w:jc w:val="both"/>
        <w:rPr>
          <w:rFonts w:ascii="Times New Roman" w:hAnsi="Times New Roman" w:cs="Times New Roman"/>
          <w:sz w:val="28"/>
          <w:szCs w:val="28"/>
        </w:rPr>
      </w:pPr>
      <w:r w:rsidRPr="00CB543A">
        <w:rPr>
          <w:rFonts w:ascii="Times New Roman" w:hAnsi="Times New Roman" w:cs="Times New Roman"/>
          <w:sz w:val="28"/>
          <w:szCs w:val="28"/>
        </w:rPr>
        <w:tab/>
      </w:r>
    </w:p>
    <w:p w:rsidR="0099174F" w:rsidRPr="00CB543A" w:rsidRDefault="0099174F" w:rsidP="00CB543A">
      <w:pPr>
        <w:pStyle w:val="Prrafodelista"/>
        <w:widowControl w:val="0"/>
        <w:numPr>
          <w:ilvl w:val="0"/>
          <w:numId w:val="32"/>
        </w:numPr>
        <w:tabs>
          <w:tab w:val="left" w:pos="567"/>
        </w:tabs>
        <w:spacing w:after="0" w:line="240" w:lineRule="auto"/>
        <w:ind w:left="0"/>
        <w:jc w:val="both"/>
        <w:rPr>
          <w:rFonts w:ascii="Times New Roman" w:hAnsi="Times New Roman" w:cs="Times New Roman"/>
          <w:i/>
          <w:sz w:val="28"/>
          <w:szCs w:val="28"/>
        </w:rPr>
      </w:pPr>
      <w:r w:rsidRPr="00CB543A">
        <w:rPr>
          <w:rFonts w:ascii="Times New Roman" w:hAnsi="Times New Roman" w:cs="Times New Roman"/>
          <w:sz w:val="28"/>
          <w:szCs w:val="28"/>
        </w:rPr>
        <w:t>Por lo demás, advierte la Sala que fue el legislador el que estableció que el IBL debía regularse de esa forma, es decir, que no se trata del fraccionamiento de un régimen sino de la aplicación del mismo según los postulados legislativos, incluso, así lo entendió el Consejo de Estado antes de noviembre del año 2000</w:t>
      </w:r>
      <w:r w:rsidR="00412749" w:rsidRPr="00CB543A">
        <w:rPr>
          <w:rFonts w:ascii="Times New Roman" w:hAnsi="Times New Roman" w:cs="Times New Roman"/>
          <w:sz w:val="28"/>
          <w:szCs w:val="28"/>
        </w:rPr>
        <w:t xml:space="preserve">, como tuvo oportunidad de precisarse en el numeral 5.1.2.1 </w:t>
      </w:r>
      <w:r w:rsidR="00412749" w:rsidRPr="00CB543A">
        <w:rPr>
          <w:rFonts w:ascii="Times New Roman" w:hAnsi="Times New Roman" w:cs="Times New Roman"/>
          <w:i/>
          <w:sz w:val="28"/>
          <w:szCs w:val="28"/>
        </w:rPr>
        <w:t>supra</w:t>
      </w:r>
      <w:r w:rsidRPr="00CB543A">
        <w:rPr>
          <w:rFonts w:ascii="Times New Roman" w:hAnsi="Times New Roman" w:cs="Times New Roman"/>
          <w:sz w:val="28"/>
          <w:szCs w:val="28"/>
        </w:rPr>
        <w:t>.</w:t>
      </w:r>
    </w:p>
    <w:p w:rsidR="0099174F" w:rsidRPr="00CB543A" w:rsidRDefault="0099174F" w:rsidP="00CB543A">
      <w:pPr>
        <w:pStyle w:val="Prrafodelista"/>
        <w:widowControl w:val="0"/>
        <w:tabs>
          <w:tab w:val="left" w:pos="567"/>
        </w:tabs>
        <w:spacing w:after="0" w:line="240" w:lineRule="auto"/>
        <w:ind w:left="0"/>
        <w:jc w:val="both"/>
        <w:rPr>
          <w:rFonts w:ascii="Times New Roman" w:hAnsi="Times New Roman" w:cs="Times New Roman"/>
          <w:i/>
          <w:sz w:val="28"/>
          <w:szCs w:val="28"/>
        </w:rPr>
      </w:pPr>
    </w:p>
    <w:p w:rsidR="0099174F" w:rsidRPr="00CB543A" w:rsidRDefault="0099174F" w:rsidP="00CB543A">
      <w:pPr>
        <w:pStyle w:val="Prrafodelista"/>
        <w:widowControl w:val="0"/>
        <w:numPr>
          <w:ilvl w:val="2"/>
          <w:numId w:val="11"/>
        </w:numPr>
        <w:spacing w:after="0" w:line="240" w:lineRule="auto"/>
        <w:ind w:left="0" w:firstLine="0"/>
        <w:jc w:val="both"/>
        <w:rPr>
          <w:rFonts w:ascii="Times New Roman" w:hAnsi="Times New Roman" w:cs="Times New Roman"/>
          <w:b/>
          <w:sz w:val="28"/>
          <w:szCs w:val="28"/>
        </w:rPr>
      </w:pPr>
      <w:r w:rsidRPr="00CB543A">
        <w:rPr>
          <w:rFonts w:ascii="Times New Roman" w:hAnsi="Times New Roman" w:cs="Times New Roman"/>
          <w:b/>
          <w:sz w:val="28"/>
          <w:szCs w:val="28"/>
        </w:rPr>
        <w:t xml:space="preserve">Reglas </w:t>
      </w:r>
      <w:r w:rsidR="002814F6" w:rsidRPr="00CB543A">
        <w:rPr>
          <w:rFonts w:ascii="Times New Roman" w:hAnsi="Times New Roman" w:cs="Times New Roman"/>
          <w:b/>
          <w:sz w:val="28"/>
          <w:szCs w:val="28"/>
        </w:rPr>
        <w:t>de la jurisprudencia constitucional</w:t>
      </w:r>
      <w:r w:rsidRPr="00CB543A">
        <w:rPr>
          <w:rFonts w:ascii="Times New Roman" w:hAnsi="Times New Roman" w:cs="Times New Roman"/>
          <w:b/>
          <w:sz w:val="28"/>
          <w:szCs w:val="28"/>
        </w:rPr>
        <w:t xml:space="preserve"> apli</w:t>
      </w:r>
      <w:r w:rsidR="002814F6" w:rsidRPr="00CB543A">
        <w:rPr>
          <w:rFonts w:ascii="Times New Roman" w:hAnsi="Times New Roman" w:cs="Times New Roman"/>
          <w:b/>
          <w:sz w:val="28"/>
          <w:szCs w:val="28"/>
        </w:rPr>
        <w:t>cables al régimen de transición y, en particular, al IBL</w:t>
      </w:r>
    </w:p>
    <w:p w:rsidR="0099174F" w:rsidRPr="00CB543A" w:rsidRDefault="0099174F" w:rsidP="00CB543A">
      <w:pPr>
        <w:widowControl w:val="0"/>
        <w:tabs>
          <w:tab w:val="left" w:pos="567"/>
        </w:tabs>
        <w:spacing w:after="0" w:line="240" w:lineRule="auto"/>
        <w:jc w:val="both"/>
        <w:rPr>
          <w:rFonts w:ascii="Times New Roman" w:hAnsi="Times New Roman" w:cs="Times New Roman"/>
          <w:sz w:val="28"/>
          <w:szCs w:val="28"/>
        </w:rPr>
      </w:pPr>
    </w:p>
    <w:p w:rsidR="00302820" w:rsidRPr="00CB543A" w:rsidRDefault="0099174F" w:rsidP="00CB543A">
      <w:pPr>
        <w:pStyle w:val="Prrafodelista"/>
        <w:numPr>
          <w:ilvl w:val="0"/>
          <w:numId w:val="32"/>
        </w:numPr>
        <w:shd w:val="clear" w:color="auto" w:fill="FFFFFF"/>
        <w:tabs>
          <w:tab w:val="left" w:pos="426"/>
          <w:tab w:val="left" w:pos="567"/>
        </w:tabs>
        <w:spacing w:after="0" w:line="240" w:lineRule="auto"/>
        <w:ind w:left="0"/>
        <w:jc w:val="both"/>
        <w:textAlignment w:val="baseline"/>
        <w:rPr>
          <w:rFonts w:ascii="Times New Roman" w:hAnsi="Times New Roman" w:cs="Times New Roman"/>
          <w:sz w:val="28"/>
          <w:szCs w:val="28"/>
          <w:shd w:val="clear" w:color="auto" w:fill="FFFFFF"/>
        </w:rPr>
      </w:pPr>
      <w:r w:rsidRPr="00CB543A">
        <w:rPr>
          <w:rFonts w:ascii="Times New Roman" w:hAnsi="Times New Roman" w:cs="Times New Roman"/>
          <w:sz w:val="28"/>
          <w:szCs w:val="28"/>
          <w:shd w:val="clear" w:color="auto" w:fill="FFFFFF"/>
        </w:rPr>
        <w:t xml:space="preserve">Como conclusión del análisis que </w:t>
      </w:r>
      <w:r w:rsidR="007B22AC" w:rsidRPr="00CB543A">
        <w:rPr>
          <w:rFonts w:ascii="Times New Roman" w:hAnsi="Times New Roman" w:cs="Times New Roman"/>
          <w:sz w:val="28"/>
          <w:szCs w:val="28"/>
          <w:shd w:val="clear" w:color="auto" w:fill="FFFFFF"/>
        </w:rPr>
        <w:t xml:space="preserve">antecede, las </w:t>
      </w:r>
      <w:r w:rsidR="00302820" w:rsidRPr="00CB543A">
        <w:rPr>
          <w:rFonts w:ascii="Times New Roman" w:hAnsi="Times New Roman" w:cs="Times New Roman"/>
          <w:sz w:val="28"/>
          <w:szCs w:val="28"/>
          <w:shd w:val="clear" w:color="auto" w:fill="FFFFFF"/>
        </w:rPr>
        <w:t xml:space="preserve">principales </w:t>
      </w:r>
      <w:r w:rsidR="007B22AC" w:rsidRPr="00CB543A">
        <w:rPr>
          <w:rFonts w:ascii="Times New Roman" w:hAnsi="Times New Roman" w:cs="Times New Roman"/>
          <w:sz w:val="28"/>
          <w:szCs w:val="28"/>
          <w:shd w:val="clear" w:color="auto" w:fill="FFFFFF"/>
        </w:rPr>
        <w:t>reglas jurisprudenciales</w:t>
      </w:r>
      <w:r w:rsidR="00302820" w:rsidRPr="00CB543A">
        <w:rPr>
          <w:rFonts w:ascii="Times New Roman" w:hAnsi="Times New Roman" w:cs="Times New Roman"/>
          <w:sz w:val="28"/>
          <w:szCs w:val="28"/>
          <w:shd w:val="clear" w:color="auto" w:fill="FFFFFF"/>
        </w:rPr>
        <w:t xml:space="preserve">, en cuanto </w:t>
      </w:r>
      <w:r w:rsidR="00302820" w:rsidRPr="00CB543A">
        <w:rPr>
          <w:rFonts w:ascii="Times New Roman" w:hAnsi="Times New Roman" w:cs="Times New Roman"/>
          <w:sz w:val="28"/>
          <w:szCs w:val="28"/>
        </w:rPr>
        <w:t>al alcance del régimen de transición que estatuyó el artículo 36 de la Ley 100 de 1993,</w:t>
      </w:r>
      <w:r w:rsidR="007B22AC" w:rsidRPr="00CB543A">
        <w:rPr>
          <w:rFonts w:ascii="Times New Roman" w:hAnsi="Times New Roman" w:cs="Times New Roman"/>
          <w:sz w:val="28"/>
          <w:szCs w:val="28"/>
          <w:shd w:val="clear" w:color="auto" w:fill="FFFFFF"/>
        </w:rPr>
        <w:t xml:space="preserve"> </w:t>
      </w:r>
      <w:r w:rsidR="00302820" w:rsidRPr="00CB543A">
        <w:rPr>
          <w:rFonts w:ascii="Times New Roman" w:hAnsi="Times New Roman" w:cs="Times New Roman"/>
          <w:sz w:val="28"/>
          <w:szCs w:val="28"/>
          <w:shd w:val="clear" w:color="auto" w:fill="FFFFFF"/>
        </w:rPr>
        <w:t xml:space="preserve">derivadas del </w:t>
      </w:r>
      <w:r w:rsidR="00302820" w:rsidRPr="00CB543A">
        <w:rPr>
          <w:rFonts w:ascii="Times New Roman" w:hAnsi="Times New Roman" w:cs="Times New Roman"/>
          <w:iCs/>
          <w:sz w:val="28"/>
          <w:szCs w:val="28"/>
          <w:bdr w:val="none" w:sz="0" w:space="0" w:color="auto" w:frame="1"/>
          <w:shd w:val="clear" w:color="auto" w:fill="FFFFFF"/>
        </w:rPr>
        <w:t>ejercicio del control abstracto de constitucionalidad</w:t>
      </w:r>
      <w:r w:rsidR="00302820" w:rsidRPr="00CB543A">
        <w:rPr>
          <w:rFonts w:ascii="Times New Roman" w:hAnsi="Times New Roman" w:cs="Times New Roman"/>
          <w:sz w:val="28"/>
          <w:szCs w:val="28"/>
          <w:shd w:val="clear" w:color="auto" w:fill="FFFFFF"/>
        </w:rPr>
        <w:t xml:space="preserve"> (Sentencia C-258 de 2013) y del </w:t>
      </w:r>
      <w:r w:rsidR="00302820" w:rsidRPr="00CB543A">
        <w:rPr>
          <w:rFonts w:ascii="Times New Roman" w:hAnsi="Times New Roman" w:cs="Times New Roman"/>
          <w:iCs/>
          <w:sz w:val="28"/>
          <w:szCs w:val="28"/>
          <w:bdr w:val="none" w:sz="0" w:space="0" w:color="auto" w:frame="1"/>
          <w:shd w:val="clear" w:color="auto" w:fill="FFFFFF"/>
        </w:rPr>
        <w:t xml:space="preserve">alcance de los derechos fundamentales que involucra, </w:t>
      </w:r>
      <w:r w:rsidR="00302820" w:rsidRPr="00CB543A">
        <w:rPr>
          <w:rFonts w:ascii="Times New Roman" w:hAnsi="Times New Roman" w:cs="Times New Roman"/>
          <w:sz w:val="28"/>
          <w:szCs w:val="28"/>
          <w:shd w:val="clear" w:color="auto" w:fill="FFFFFF"/>
        </w:rPr>
        <w:t xml:space="preserve">decantadas </w:t>
      </w:r>
      <w:r w:rsidR="007B22AC" w:rsidRPr="00CB543A">
        <w:rPr>
          <w:rFonts w:ascii="Times New Roman" w:hAnsi="Times New Roman" w:cs="Times New Roman"/>
          <w:sz w:val="28"/>
          <w:szCs w:val="28"/>
        </w:rPr>
        <w:t xml:space="preserve">en las sentencias de unificación </w:t>
      </w:r>
      <w:r w:rsidR="00302820" w:rsidRPr="00CB543A">
        <w:rPr>
          <w:rFonts w:ascii="Times New Roman" w:hAnsi="Times New Roman" w:cs="Times New Roman"/>
          <w:sz w:val="28"/>
          <w:szCs w:val="28"/>
        </w:rPr>
        <w:t>antes citadas</w:t>
      </w:r>
      <w:r w:rsidRPr="00CB543A">
        <w:rPr>
          <w:rFonts w:ascii="Times New Roman" w:hAnsi="Times New Roman" w:cs="Times New Roman"/>
          <w:sz w:val="28"/>
          <w:szCs w:val="28"/>
        </w:rPr>
        <w:t xml:space="preserve">, </w:t>
      </w:r>
      <w:r w:rsidR="00302820" w:rsidRPr="00CB543A">
        <w:rPr>
          <w:rFonts w:ascii="Times New Roman" w:hAnsi="Times New Roman" w:cs="Times New Roman"/>
          <w:sz w:val="28"/>
          <w:szCs w:val="28"/>
        </w:rPr>
        <w:t>son las siguientes</w:t>
      </w:r>
      <w:r w:rsidRPr="00CB543A">
        <w:rPr>
          <w:rFonts w:ascii="Times New Roman" w:hAnsi="Times New Roman" w:cs="Times New Roman"/>
          <w:sz w:val="28"/>
          <w:szCs w:val="28"/>
          <w:shd w:val="clear" w:color="auto" w:fill="FFFFFF"/>
        </w:rPr>
        <w:t xml:space="preserve">: </w:t>
      </w:r>
    </w:p>
    <w:p w:rsidR="00302820" w:rsidRPr="00CB543A" w:rsidRDefault="00302820" w:rsidP="00CB543A">
      <w:pPr>
        <w:pStyle w:val="Prrafodelista"/>
        <w:shd w:val="clear" w:color="auto" w:fill="FFFFFF"/>
        <w:tabs>
          <w:tab w:val="left" w:pos="426"/>
          <w:tab w:val="left" w:pos="567"/>
        </w:tabs>
        <w:spacing w:after="0" w:line="240" w:lineRule="auto"/>
        <w:ind w:left="0"/>
        <w:jc w:val="both"/>
        <w:textAlignment w:val="baseline"/>
        <w:rPr>
          <w:rFonts w:ascii="Times New Roman" w:hAnsi="Times New Roman" w:cs="Times New Roman"/>
          <w:sz w:val="28"/>
          <w:szCs w:val="28"/>
          <w:shd w:val="clear" w:color="auto" w:fill="FFFFFF"/>
        </w:rPr>
      </w:pPr>
    </w:p>
    <w:p w:rsidR="00302820" w:rsidRPr="00CB543A" w:rsidRDefault="00302820" w:rsidP="00CB543A">
      <w:pPr>
        <w:pStyle w:val="Prrafodelista"/>
        <w:numPr>
          <w:ilvl w:val="0"/>
          <w:numId w:val="32"/>
        </w:numPr>
        <w:shd w:val="clear" w:color="auto" w:fill="FFFFFF"/>
        <w:tabs>
          <w:tab w:val="left" w:pos="426"/>
          <w:tab w:val="left" w:pos="567"/>
        </w:tabs>
        <w:spacing w:after="0" w:line="240" w:lineRule="auto"/>
        <w:ind w:left="0"/>
        <w:jc w:val="both"/>
        <w:textAlignment w:val="baseline"/>
        <w:rPr>
          <w:rFonts w:ascii="Times New Roman" w:hAnsi="Times New Roman" w:cs="Times New Roman"/>
          <w:sz w:val="28"/>
          <w:szCs w:val="28"/>
          <w:shd w:val="clear" w:color="auto" w:fill="FFFFFF"/>
        </w:rPr>
      </w:pPr>
      <w:r w:rsidRPr="00CB543A">
        <w:rPr>
          <w:rFonts w:ascii="Times New Roman" w:hAnsi="Times New Roman" w:cs="Times New Roman"/>
          <w:i/>
          <w:sz w:val="28"/>
          <w:szCs w:val="28"/>
          <w:shd w:val="clear" w:color="auto" w:fill="FFFFFF"/>
        </w:rPr>
        <w:t xml:space="preserve">(i) </w:t>
      </w:r>
      <w:r w:rsidR="0099174F" w:rsidRPr="00CB543A">
        <w:rPr>
          <w:rFonts w:ascii="Times New Roman" w:hAnsi="Times New Roman" w:cs="Times New Roman"/>
          <w:sz w:val="28"/>
          <w:szCs w:val="28"/>
          <w:shd w:val="clear" w:color="auto" w:fill="FFFFFF"/>
        </w:rPr>
        <w:t xml:space="preserve">El régimen de transición no </w:t>
      </w:r>
      <w:r w:rsidR="00EC0146" w:rsidRPr="00CB543A">
        <w:rPr>
          <w:rFonts w:ascii="Times New Roman" w:hAnsi="Times New Roman" w:cs="Times New Roman"/>
          <w:sz w:val="28"/>
          <w:szCs w:val="28"/>
          <w:shd w:val="clear" w:color="auto" w:fill="FFFFFF"/>
        </w:rPr>
        <w:t xml:space="preserve">puede caracterizarse como una especie de </w:t>
      </w:r>
      <w:r w:rsidR="0099174F" w:rsidRPr="00CB543A">
        <w:rPr>
          <w:rFonts w:ascii="Times New Roman" w:hAnsi="Times New Roman" w:cs="Times New Roman"/>
          <w:sz w:val="28"/>
          <w:szCs w:val="28"/>
          <w:shd w:val="clear" w:color="auto" w:fill="FFFFFF"/>
        </w:rPr>
        <w:t xml:space="preserve">derecho adquirido sino </w:t>
      </w:r>
      <w:r w:rsidR="00EC0146" w:rsidRPr="00CB543A">
        <w:rPr>
          <w:rFonts w:ascii="Times New Roman" w:hAnsi="Times New Roman" w:cs="Times New Roman"/>
          <w:sz w:val="28"/>
          <w:szCs w:val="28"/>
          <w:shd w:val="clear" w:color="auto" w:fill="FFFFFF"/>
        </w:rPr>
        <w:t xml:space="preserve">de </w:t>
      </w:r>
      <w:r w:rsidR="0099174F" w:rsidRPr="00CB543A">
        <w:rPr>
          <w:rFonts w:ascii="Times New Roman" w:hAnsi="Times New Roman" w:cs="Times New Roman"/>
          <w:sz w:val="28"/>
          <w:szCs w:val="28"/>
          <w:shd w:val="clear" w:color="auto" w:fill="FFFFFF"/>
        </w:rPr>
        <w:t>expectativa.</w:t>
      </w:r>
    </w:p>
    <w:p w:rsidR="00302820" w:rsidRPr="00CB543A" w:rsidRDefault="00302820" w:rsidP="00CB543A">
      <w:pPr>
        <w:pStyle w:val="Prrafodelista"/>
        <w:spacing w:after="0" w:line="240" w:lineRule="auto"/>
        <w:rPr>
          <w:rFonts w:ascii="Times New Roman" w:hAnsi="Times New Roman" w:cs="Times New Roman"/>
          <w:sz w:val="28"/>
          <w:szCs w:val="28"/>
          <w:shd w:val="clear" w:color="auto" w:fill="FFFFFF"/>
        </w:rPr>
      </w:pPr>
    </w:p>
    <w:p w:rsidR="00302820" w:rsidRPr="00CB543A" w:rsidRDefault="00302820" w:rsidP="00CB543A">
      <w:pPr>
        <w:pStyle w:val="Prrafodelista"/>
        <w:numPr>
          <w:ilvl w:val="0"/>
          <w:numId w:val="32"/>
        </w:numPr>
        <w:shd w:val="clear" w:color="auto" w:fill="FFFFFF"/>
        <w:tabs>
          <w:tab w:val="left" w:pos="426"/>
          <w:tab w:val="left" w:pos="567"/>
        </w:tabs>
        <w:spacing w:after="0" w:line="240" w:lineRule="auto"/>
        <w:ind w:left="0"/>
        <w:jc w:val="both"/>
        <w:textAlignment w:val="baseline"/>
        <w:rPr>
          <w:rFonts w:ascii="Times New Roman" w:hAnsi="Times New Roman" w:cs="Times New Roman"/>
          <w:sz w:val="28"/>
          <w:szCs w:val="28"/>
          <w:shd w:val="clear" w:color="auto" w:fill="FFFFFF"/>
        </w:rPr>
      </w:pPr>
      <w:r w:rsidRPr="00CB543A">
        <w:rPr>
          <w:rFonts w:ascii="Times New Roman" w:hAnsi="Times New Roman" w:cs="Times New Roman"/>
          <w:i/>
          <w:sz w:val="28"/>
          <w:szCs w:val="28"/>
          <w:shd w:val="clear" w:color="auto" w:fill="FFFFFF"/>
        </w:rPr>
        <w:t xml:space="preserve">(ii) </w:t>
      </w:r>
      <w:r w:rsidR="0099174F" w:rsidRPr="00CB543A">
        <w:rPr>
          <w:rFonts w:ascii="Times New Roman" w:hAnsi="Times New Roman" w:cs="Times New Roman"/>
          <w:sz w:val="28"/>
          <w:szCs w:val="28"/>
          <w:shd w:val="clear" w:color="auto" w:fill="FFFFFF"/>
        </w:rPr>
        <w:t xml:space="preserve">El régimen de transición tenía como fecha final el 31 de julio de 2010, excepto para quienes </w:t>
      </w:r>
      <w:r w:rsidR="00EC0146" w:rsidRPr="00CB543A">
        <w:rPr>
          <w:rFonts w:ascii="Times New Roman" w:hAnsi="Times New Roman" w:cs="Times New Roman"/>
          <w:sz w:val="28"/>
          <w:szCs w:val="28"/>
          <w:shd w:val="clear" w:color="auto" w:fill="FFFFFF"/>
        </w:rPr>
        <w:t xml:space="preserve">hubiesen cotizado, </w:t>
      </w:r>
      <w:r w:rsidR="0099174F" w:rsidRPr="00CB543A">
        <w:rPr>
          <w:rFonts w:ascii="Times New Roman" w:hAnsi="Times New Roman" w:cs="Times New Roman"/>
          <w:sz w:val="28"/>
          <w:szCs w:val="28"/>
          <w:shd w:val="clear" w:color="auto" w:fill="FFFFFF"/>
        </w:rPr>
        <w:t>al menos</w:t>
      </w:r>
      <w:r w:rsidR="00EC0146" w:rsidRPr="00CB543A">
        <w:rPr>
          <w:rFonts w:ascii="Times New Roman" w:hAnsi="Times New Roman" w:cs="Times New Roman"/>
          <w:sz w:val="28"/>
          <w:szCs w:val="28"/>
          <w:shd w:val="clear" w:color="auto" w:fill="FFFFFF"/>
        </w:rPr>
        <w:t>,</w:t>
      </w:r>
      <w:r w:rsidR="0099174F" w:rsidRPr="00CB543A">
        <w:rPr>
          <w:rFonts w:ascii="Times New Roman" w:hAnsi="Times New Roman" w:cs="Times New Roman"/>
          <w:sz w:val="28"/>
          <w:szCs w:val="28"/>
          <w:shd w:val="clear" w:color="auto" w:fill="FFFFFF"/>
        </w:rPr>
        <w:t xml:space="preserve"> 750 semanas al 25 de julio de 2005, </w:t>
      </w:r>
      <w:r w:rsidR="00EC0146" w:rsidRPr="00CB543A">
        <w:rPr>
          <w:rFonts w:ascii="Times New Roman" w:hAnsi="Times New Roman" w:cs="Times New Roman"/>
          <w:sz w:val="28"/>
          <w:szCs w:val="28"/>
          <w:shd w:val="clear" w:color="auto" w:fill="FFFFFF"/>
        </w:rPr>
        <w:t xml:space="preserve">momento en el cual </w:t>
      </w:r>
      <w:r w:rsidR="0099174F" w:rsidRPr="00CB543A">
        <w:rPr>
          <w:rFonts w:ascii="Times New Roman" w:hAnsi="Times New Roman" w:cs="Times New Roman"/>
          <w:sz w:val="28"/>
          <w:szCs w:val="28"/>
          <w:shd w:val="clear" w:color="auto" w:fill="FFFFFF"/>
        </w:rPr>
        <w:t>entró en vigencia el Acto Legislativo 01 de 2005</w:t>
      </w:r>
      <w:r w:rsidR="00EC0146" w:rsidRPr="00CB543A">
        <w:rPr>
          <w:rFonts w:ascii="Times New Roman" w:hAnsi="Times New Roman" w:cs="Times New Roman"/>
          <w:sz w:val="28"/>
          <w:szCs w:val="28"/>
          <w:shd w:val="clear" w:color="auto" w:fill="FFFFFF"/>
        </w:rPr>
        <w:t xml:space="preserve">; para estas personas, dicho </w:t>
      </w:r>
      <w:r w:rsidR="0099174F" w:rsidRPr="00CB543A">
        <w:rPr>
          <w:rFonts w:ascii="Times New Roman" w:hAnsi="Times New Roman" w:cs="Times New Roman"/>
          <w:sz w:val="28"/>
          <w:szCs w:val="28"/>
          <w:shd w:val="clear" w:color="auto" w:fill="FFFFFF"/>
        </w:rPr>
        <w:t xml:space="preserve">régimen se </w:t>
      </w:r>
      <w:r w:rsidR="00EC0146" w:rsidRPr="00CB543A">
        <w:rPr>
          <w:rFonts w:ascii="Times New Roman" w:hAnsi="Times New Roman" w:cs="Times New Roman"/>
          <w:sz w:val="28"/>
          <w:szCs w:val="28"/>
          <w:shd w:val="clear" w:color="auto" w:fill="FFFFFF"/>
        </w:rPr>
        <w:t xml:space="preserve">mantuvo </w:t>
      </w:r>
      <w:r w:rsidR="0099174F" w:rsidRPr="00CB543A">
        <w:rPr>
          <w:rFonts w:ascii="Times New Roman" w:hAnsi="Times New Roman" w:cs="Times New Roman"/>
          <w:sz w:val="28"/>
          <w:szCs w:val="28"/>
          <w:shd w:val="clear" w:color="auto" w:fill="FFFFFF"/>
        </w:rPr>
        <w:t xml:space="preserve">hasta el 31 de diciembre de 2014, con el fin de que pudieran reunir los requisitos para ser acreedores </w:t>
      </w:r>
      <w:r w:rsidR="00EC0146" w:rsidRPr="00CB543A">
        <w:rPr>
          <w:rFonts w:ascii="Times New Roman" w:hAnsi="Times New Roman" w:cs="Times New Roman"/>
          <w:sz w:val="28"/>
          <w:szCs w:val="28"/>
          <w:shd w:val="clear" w:color="auto" w:fill="FFFFFF"/>
        </w:rPr>
        <w:t xml:space="preserve">a </w:t>
      </w:r>
      <w:r w:rsidR="0099174F" w:rsidRPr="00CB543A">
        <w:rPr>
          <w:rFonts w:ascii="Times New Roman" w:hAnsi="Times New Roman" w:cs="Times New Roman"/>
          <w:sz w:val="28"/>
          <w:szCs w:val="28"/>
          <w:shd w:val="clear" w:color="auto" w:fill="FFFFFF"/>
        </w:rPr>
        <w:t xml:space="preserve">la pensión de vejez. </w:t>
      </w:r>
      <w:r w:rsidR="00EC0146" w:rsidRPr="00CB543A">
        <w:rPr>
          <w:rFonts w:ascii="Times New Roman" w:hAnsi="Times New Roman" w:cs="Times New Roman"/>
          <w:sz w:val="28"/>
          <w:szCs w:val="28"/>
          <w:shd w:val="clear" w:color="auto" w:fill="FFFFFF"/>
        </w:rPr>
        <w:t xml:space="preserve">Para estos últimos efectos, </w:t>
      </w:r>
      <w:r w:rsidR="0099174F" w:rsidRPr="00CB543A">
        <w:rPr>
          <w:rFonts w:ascii="Times New Roman" w:hAnsi="Times New Roman" w:cs="Times New Roman"/>
          <w:sz w:val="28"/>
          <w:szCs w:val="28"/>
          <w:shd w:val="clear" w:color="auto" w:fill="FFFFFF"/>
        </w:rPr>
        <w:t xml:space="preserve">el derecho debía </w:t>
      </w:r>
      <w:r w:rsidR="00EC0146" w:rsidRPr="00CB543A">
        <w:rPr>
          <w:rFonts w:ascii="Times New Roman" w:hAnsi="Times New Roman" w:cs="Times New Roman"/>
          <w:sz w:val="28"/>
          <w:szCs w:val="28"/>
          <w:shd w:val="clear" w:color="auto" w:fill="FFFFFF"/>
        </w:rPr>
        <w:t>consolidarse hasta e</w:t>
      </w:r>
      <w:r w:rsidR="0099174F" w:rsidRPr="00CB543A">
        <w:rPr>
          <w:rFonts w:ascii="Times New Roman" w:hAnsi="Times New Roman" w:cs="Times New Roman"/>
          <w:sz w:val="28"/>
          <w:szCs w:val="28"/>
          <w:shd w:val="clear" w:color="auto" w:fill="FFFFFF"/>
        </w:rPr>
        <w:t>l 31 de diciembre de 2014.</w:t>
      </w:r>
    </w:p>
    <w:p w:rsidR="00302820" w:rsidRPr="00CB543A" w:rsidRDefault="00302820" w:rsidP="00CB543A">
      <w:pPr>
        <w:pStyle w:val="Prrafodelista"/>
        <w:spacing w:after="0" w:line="240" w:lineRule="auto"/>
        <w:rPr>
          <w:rFonts w:ascii="Times New Roman" w:hAnsi="Times New Roman" w:cs="Times New Roman"/>
          <w:sz w:val="28"/>
          <w:szCs w:val="28"/>
          <w:shd w:val="clear" w:color="auto" w:fill="FFFFFF"/>
        </w:rPr>
      </w:pPr>
    </w:p>
    <w:p w:rsidR="00302820" w:rsidRPr="00CB543A" w:rsidRDefault="00302820" w:rsidP="00CB543A">
      <w:pPr>
        <w:pStyle w:val="Prrafodelista"/>
        <w:numPr>
          <w:ilvl w:val="0"/>
          <w:numId w:val="32"/>
        </w:numPr>
        <w:shd w:val="clear" w:color="auto" w:fill="FFFFFF"/>
        <w:tabs>
          <w:tab w:val="left" w:pos="426"/>
          <w:tab w:val="left" w:pos="567"/>
        </w:tabs>
        <w:spacing w:after="0" w:line="240" w:lineRule="auto"/>
        <w:ind w:left="0"/>
        <w:jc w:val="both"/>
        <w:textAlignment w:val="baseline"/>
        <w:rPr>
          <w:rFonts w:ascii="Times New Roman" w:hAnsi="Times New Roman" w:cs="Times New Roman"/>
          <w:sz w:val="28"/>
          <w:szCs w:val="28"/>
          <w:shd w:val="clear" w:color="auto" w:fill="FFFFFF"/>
        </w:rPr>
      </w:pPr>
      <w:r w:rsidRPr="00CB543A">
        <w:rPr>
          <w:rFonts w:ascii="Times New Roman" w:hAnsi="Times New Roman" w:cs="Times New Roman"/>
          <w:i/>
          <w:sz w:val="28"/>
          <w:szCs w:val="28"/>
          <w:shd w:val="clear" w:color="auto" w:fill="FFFFFF"/>
        </w:rPr>
        <w:t xml:space="preserve">(iii) </w:t>
      </w:r>
      <w:r w:rsidR="0099174F" w:rsidRPr="00CB543A">
        <w:rPr>
          <w:rFonts w:ascii="Times New Roman" w:hAnsi="Times New Roman" w:cs="Times New Roman"/>
          <w:sz w:val="28"/>
          <w:szCs w:val="28"/>
          <w:shd w:val="clear" w:color="auto" w:fill="FFFFFF"/>
        </w:rPr>
        <w:t xml:space="preserve">El régimen de transición está </w:t>
      </w:r>
      <w:r w:rsidR="00EC0146" w:rsidRPr="00CB543A">
        <w:rPr>
          <w:rFonts w:ascii="Times New Roman" w:hAnsi="Times New Roman" w:cs="Times New Roman"/>
          <w:sz w:val="28"/>
          <w:szCs w:val="28"/>
          <w:shd w:val="clear" w:color="auto" w:fill="FFFFFF"/>
        </w:rPr>
        <w:t xml:space="preserve">restringido </w:t>
      </w:r>
      <w:r w:rsidR="0099174F" w:rsidRPr="00CB543A">
        <w:rPr>
          <w:rFonts w:ascii="Times New Roman" w:hAnsi="Times New Roman" w:cs="Times New Roman"/>
          <w:sz w:val="28"/>
          <w:szCs w:val="28"/>
          <w:shd w:val="clear" w:color="auto" w:fill="FFFFFF"/>
        </w:rPr>
        <w:t xml:space="preserve">a tres categorías de trabajadores: </w:t>
      </w:r>
      <w:r w:rsidR="0099174F" w:rsidRPr="00CB543A">
        <w:rPr>
          <w:rFonts w:ascii="Times New Roman" w:hAnsi="Times New Roman" w:cs="Times New Roman"/>
          <w:i/>
          <w:sz w:val="28"/>
          <w:szCs w:val="28"/>
          <w:shd w:val="clear" w:color="auto" w:fill="FFFFFF"/>
        </w:rPr>
        <w:t>(</w:t>
      </w:r>
      <w:r w:rsidR="00EC0146" w:rsidRPr="00CB543A">
        <w:rPr>
          <w:rFonts w:ascii="Times New Roman" w:hAnsi="Times New Roman" w:cs="Times New Roman"/>
          <w:i/>
          <w:sz w:val="28"/>
          <w:szCs w:val="28"/>
          <w:shd w:val="clear" w:color="auto" w:fill="FFFFFF"/>
        </w:rPr>
        <w:t>i</w:t>
      </w:r>
      <w:r w:rsidR="0099174F" w:rsidRPr="00CB543A">
        <w:rPr>
          <w:rFonts w:ascii="Times New Roman" w:hAnsi="Times New Roman" w:cs="Times New Roman"/>
          <w:i/>
          <w:sz w:val="28"/>
          <w:szCs w:val="28"/>
          <w:shd w:val="clear" w:color="auto" w:fill="FFFFFF"/>
        </w:rPr>
        <w:t>)</w:t>
      </w:r>
      <w:r w:rsidR="00EC0146" w:rsidRPr="00CB543A">
        <w:rPr>
          <w:rFonts w:ascii="Times New Roman" w:hAnsi="Times New Roman" w:cs="Times New Roman"/>
          <w:sz w:val="28"/>
          <w:szCs w:val="28"/>
          <w:shd w:val="clear" w:color="auto" w:fill="FFFFFF"/>
        </w:rPr>
        <w:t xml:space="preserve"> mujeres que al 1 </w:t>
      </w:r>
      <w:r w:rsidR="0099174F" w:rsidRPr="00CB543A">
        <w:rPr>
          <w:rFonts w:ascii="Times New Roman" w:hAnsi="Times New Roman" w:cs="Times New Roman"/>
          <w:sz w:val="28"/>
          <w:szCs w:val="28"/>
          <w:shd w:val="clear" w:color="auto" w:fill="FFFFFF"/>
        </w:rPr>
        <w:t>de abril de 1994 tuvieran 35 años de edad o más;</w:t>
      </w:r>
      <w:r w:rsidR="0099174F" w:rsidRPr="00CB543A">
        <w:rPr>
          <w:rFonts w:ascii="Times New Roman" w:hAnsi="Times New Roman" w:cs="Times New Roman"/>
          <w:i/>
          <w:sz w:val="28"/>
          <w:szCs w:val="28"/>
          <w:shd w:val="clear" w:color="auto" w:fill="FFFFFF"/>
        </w:rPr>
        <w:t xml:space="preserve"> (</w:t>
      </w:r>
      <w:r w:rsidR="00EC0146" w:rsidRPr="00CB543A">
        <w:rPr>
          <w:rFonts w:ascii="Times New Roman" w:hAnsi="Times New Roman" w:cs="Times New Roman"/>
          <w:i/>
          <w:sz w:val="28"/>
          <w:szCs w:val="28"/>
          <w:shd w:val="clear" w:color="auto" w:fill="FFFFFF"/>
        </w:rPr>
        <w:t>ii</w:t>
      </w:r>
      <w:r w:rsidR="0099174F" w:rsidRPr="00CB543A">
        <w:rPr>
          <w:rFonts w:ascii="Times New Roman" w:hAnsi="Times New Roman" w:cs="Times New Roman"/>
          <w:i/>
          <w:sz w:val="28"/>
          <w:szCs w:val="28"/>
          <w:shd w:val="clear" w:color="auto" w:fill="FFFFFF"/>
        </w:rPr>
        <w:t xml:space="preserve">) </w:t>
      </w:r>
      <w:r w:rsidR="0099174F" w:rsidRPr="00CB543A">
        <w:rPr>
          <w:rFonts w:ascii="Times New Roman" w:hAnsi="Times New Roman" w:cs="Times New Roman"/>
          <w:sz w:val="28"/>
          <w:szCs w:val="28"/>
          <w:shd w:val="clear" w:color="auto" w:fill="FFFFFF"/>
        </w:rPr>
        <w:t xml:space="preserve">hombres que al 1 de abril de 1994 tuvieran 40 años de edad o más; y </w:t>
      </w:r>
      <w:r w:rsidR="0099174F" w:rsidRPr="00CB543A">
        <w:rPr>
          <w:rFonts w:ascii="Times New Roman" w:hAnsi="Times New Roman" w:cs="Times New Roman"/>
          <w:i/>
          <w:sz w:val="28"/>
          <w:szCs w:val="28"/>
          <w:shd w:val="clear" w:color="auto" w:fill="FFFFFF"/>
        </w:rPr>
        <w:t>(</w:t>
      </w:r>
      <w:r w:rsidR="00EC0146" w:rsidRPr="00CB543A">
        <w:rPr>
          <w:rFonts w:ascii="Times New Roman" w:hAnsi="Times New Roman" w:cs="Times New Roman"/>
          <w:i/>
          <w:sz w:val="28"/>
          <w:szCs w:val="28"/>
          <w:shd w:val="clear" w:color="auto" w:fill="FFFFFF"/>
        </w:rPr>
        <w:t>iii</w:t>
      </w:r>
      <w:r w:rsidR="0099174F" w:rsidRPr="00CB543A">
        <w:rPr>
          <w:rFonts w:ascii="Times New Roman" w:hAnsi="Times New Roman" w:cs="Times New Roman"/>
          <w:i/>
          <w:sz w:val="28"/>
          <w:szCs w:val="28"/>
          <w:shd w:val="clear" w:color="auto" w:fill="FFFFFF"/>
        </w:rPr>
        <w:t xml:space="preserve">) </w:t>
      </w:r>
      <w:r w:rsidR="0099174F" w:rsidRPr="00CB543A">
        <w:rPr>
          <w:rFonts w:ascii="Times New Roman" w:hAnsi="Times New Roman" w:cs="Times New Roman"/>
          <w:sz w:val="28"/>
          <w:szCs w:val="28"/>
          <w:shd w:val="clear" w:color="auto" w:fill="FFFFFF"/>
        </w:rPr>
        <w:t xml:space="preserve">trabajadores que </w:t>
      </w:r>
      <w:r w:rsidR="00EC0146" w:rsidRPr="00CB543A">
        <w:rPr>
          <w:rFonts w:ascii="Times New Roman" w:hAnsi="Times New Roman" w:cs="Times New Roman"/>
          <w:sz w:val="28"/>
          <w:szCs w:val="28"/>
          <w:shd w:val="clear" w:color="auto" w:fill="FFFFFF"/>
        </w:rPr>
        <w:t xml:space="preserve">hubieren acreditado </w:t>
      </w:r>
      <w:r w:rsidR="0099174F" w:rsidRPr="00CB543A">
        <w:rPr>
          <w:rFonts w:ascii="Times New Roman" w:hAnsi="Times New Roman" w:cs="Times New Roman"/>
          <w:sz w:val="28"/>
          <w:szCs w:val="28"/>
          <w:shd w:val="clear" w:color="auto" w:fill="FFFFFF"/>
        </w:rPr>
        <w:t xml:space="preserve">15 o más años de servicios cotizados al 1 de abril de 1994 (750 semanas) sin </w:t>
      </w:r>
      <w:r w:rsidR="00EC0146" w:rsidRPr="00CB543A">
        <w:rPr>
          <w:rFonts w:ascii="Times New Roman" w:hAnsi="Times New Roman" w:cs="Times New Roman"/>
          <w:sz w:val="28"/>
          <w:szCs w:val="28"/>
          <w:shd w:val="clear" w:color="auto" w:fill="FFFFFF"/>
        </w:rPr>
        <w:t>consideración de su edad</w:t>
      </w:r>
      <w:r w:rsidR="0099174F" w:rsidRPr="00CB543A">
        <w:rPr>
          <w:rFonts w:ascii="Times New Roman" w:hAnsi="Times New Roman" w:cs="Times New Roman"/>
          <w:sz w:val="28"/>
          <w:szCs w:val="28"/>
          <w:shd w:val="clear" w:color="auto" w:fill="FFFFFF"/>
        </w:rPr>
        <w:t>.</w:t>
      </w:r>
    </w:p>
    <w:p w:rsidR="00302820" w:rsidRPr="00CB543A" w:rsidRDefault="00302820" w:rsidP="00CB543A">
      <w:pPr>
        <w:pStyle w:val="Prrafodelista"/>
        <w:spacing w:after="0" w:line="240" w:lineRule="auto"/>
        <w:rPr>
          <w:rFonts w:ascii="Times New Roman" w:hAnsi="Times New Roman" w:cs="Times New Roman"/>
          <w:sz w:val="28"/>
          <w:szCs w:val="28"/>
          <w:shd w:val="clear" w:color="auto" w:fill="FFFFFF"/>
        </w:rPr>
      </w:pPr>
    </w:p>
    <w:p w:rsidR="00302820" w:rsidRPr="00CB543A" w:rsidRDefault="00302820" w:rsidP="00CB543A">
      <w:pPr>
        <w:pStyle w:val="Prrafodelista"/>
        <w:numPr>
          <w:ilvl w:val="0"/>
          <w:numId w:val="32"/>
        </w:numPr>
        <w:shd w:val="clear" w:color="auto" w:fill="FFFFFF"/>
        <w:tabs>
          <w:tab w:val="left" w:pos="426"/>
          <w:tab w:val="left" w:pos="567"/>
        </w:tabs>
        <w:spacing w:after="0" w:line="240" w:lineRule="auto"/>
        <w:ind w:left="0"/>
        <w:jc w:val="both"/>
        <w:textAlignment w:val="baseline"/>
        <w:rPr>
          <w:rFonts w:ascii="Times New Roman" w:hAnsi="Times New Roman" w:cs="Times New Roman"/>
          <w:sz w:val="28"/>
          <w:szCs w:val="28"/>
          <w:shd w:val="clear" w:color="auto" w:fill="FFFFFF"/>
        </w:rPr>
      </w:pPr>
      <w:r w:rsidRPr="00CB543A">
        <w:rPr>
          <w:rFonts w:ascii="Times New Roman" w:hAnsi="Times New Roman" w:cs="Times New Roman"/>
          <w:i/>
          <w:sz w:val="28"/>
          <w:szCs w:val="28"/>
          <w:shd w:val="clear" w:color="auto" w:fill="FFFFFF"/>
        </w:rPr>
        <w:t xml:space="preserve">(iv) </w:t>
      </w:r>
      <w:r w:rsidR="0099174F" w:rsidRPr="00CB543A">
        <w:rPr>
          <w:rFonts w:ascii="Times New Roman" w:hAnsi="Times New Roman" w:cs="Times New Roman"/>
          <w:sz w:val="28"/>
          <w:szCs w:val="28"/>
          <w:shd w:val="clear" w:color="auto" w:fill="FFFFFF"/>
        </w:rPr>
        <w:t xml:space="preserve">A los beneficiarios del régimen de transición </w:t>
      </w:r>
      <w:r w:rsidR="00EC0146" w:rsidRPr="00CB543A">
        <w:rPr>
          <w:rFonts w:ascii="Times New Roman" w:hAnsi="Times New Roman" w:cs="Times New Roman"/>
          <w:sz w:val="28"/>
          <w:szCs w:val="28"/>
          <w:shd w:val="clear" w:color="auto" w:fill="FFFFFF"/>
        </w:rPr>
        <w:t xml:space="preserve">les son aplicables </w:t>
      </w:r>
      <w:r w:rsidR="0099174F" w:rsidRPr="00CB543A">
        <w:rPr>
          <w:rFonts w:ascii="Times New Roman" w:hAnsi="Times New Roman" w:cs="Times New Roman"/>
          <w:sz w:val="28"/>
          <w:szCs w:val="28"/>
          <w:shd w:val="clear" w:color="auto" w:fill="FFFFFF"/>
        </w:rPr>
        <w:t xml:space="preserve">las reglas previstas en las normas anteriores a la Ley 100 de 1993 sobre: </w:t>
      </w:r>
      <w:r w:rsidR="0099174F" w:rsidRPr="00CB543A">
        <w:rPr>
          <w:rFonts w:ascii="Times New Roman" w:hAnsi="Times New Roman" w:cs="Times New Roman"/>
          <w:i/>
          <w:sz w:val="28"/>
          <w:szCs w:val="28"/>
          <w:shd w:val="clear" w:color="auto" w:fill="FFFFFF"/>
        </w:rPr>
        <w:t>(</w:t>
      </w:r>
      <w:r w:rsidR="00EC0146" w:rsidRPr="00CB543A">
        <w:rPr>
          <w:rFonts w:ascii="Times New Roman" w:hAnsi="Times New Roman" w:cs="Times New Roman"/>
          <w:i/>
          <w:sz w:val="28"/>
          <w:szCs w:val="28"/>
          <w:shd w:val="clear" w:color="auto" w:fill="FFFFFF"/>
        </w:rPr>
        <w:t>i</w:t>
      </w:r>
      <w:r w:rsidR="0099174F" w:rsidRPr="00CB543A">
        <w:rPr>
          <w:rFonts w:ascii="Times New Roman" w:hAnsi="Times New Roman" w:cs="Times New Roman"/>
          <w:i/>
          <w:sz w:val="28"/>
          <w:szCs w:val="28"/>
          <w:shd w:val="clear" w:color="auto" w:fill="FFFFFF"/>
        </w:rPr>
        <w:t>)</w:t>
      </w:r>
      <w:r w:rsidR="0099174F" w:rsidRPr="00CB543A">
        <w:rPr>
          <w:rFonts w:ascii="Times New Roman" w:hAnsi="Times New Roman" w:cs="Times New Roman"/>
          <w:sz w:val="28"/>
          <w:szCs w:val="28"/>
          <w:shd w:val="clear" w:color="auto" w:fill="FFFFFF"/>
        </w:rPr>
        <w:t xml:space="preserve"> </w:t>
      </w:r>
      <w:r w:rsidR="0099174F" w:rsidRPr="00CB543A">
        <w:rPr>
          <w:rFonts w:ascii="Times New Roman" w:hAnsi="Times New Roman" w:cs="Times New Roman"/>
          <w:i/>
          <w:sz w:val="28"/>
          <w:szCs w:val="28"/>
          <w:shd w:val="clear" w:color="auto" w:fill="FFFFFF"/>
        </w:rPr>
        <w:t xml:space="preserve">edad </w:t>
      </w:r>
      <w:r w:rsidR="0099174F" w:rsidRPr="00CB543A">
        <w:rPr>
          <w:rFonts w:ascii="Times New Roman" w:hAnsi="Times New Roman" w:cs="Times New Roman"/>
          <w:sz w:val="28"/>
          <w:szCs w:val="28"/>
          <w:shd w:val="clear" w:color="auto" w:fill="FFFFFF"/>
        </w:rPr>
        <w:t xml:space="preserve">para consolidar el derecho; </w:t>
      </w:r>
      <w:r w:rsidR="0099174F" w:rsidRPr="00CB543A">
        <w:rPr>
          <w:rFonts w:ascii="Times New Roman" w:hAnsi="Times New Roman" w:cs="Times New Roman"/>
          <w:i/>
          <w:sz w:val="28"/>
          <w:szCs w:val="28"/>
          <w:shd w:val="clear" w:color="auto" w:fill="FFFFFF"/>
        </w:rPr>
        <w:t>(</w:t>
      </w:r>
      <w:r w:rsidR="00EC0146" w:rsidRPr="00CB543A">
        <w:rPr>
          <w:rFonts w:ascii="Times New Roman" w:hAnsi="Times New Roman" w:cs="Times New Roman"/>
          <w:i/>
          <w:sz w:val="28"/>
          <w:szCs w:val="28"/>
          <w:shd w:val="clear" w:color="auto" w:fill="FFFFFF"/>
        </w:rPr>
        <w:t>ii</w:t>
      </w:r>
      <w:r w:rsidR="0099174F" w:rsidRPr="00CB543A">
        <w:rPr>
          <w:rFonts w:ascii="Times New Roman" w:hAnsi="Times New Roman" w:cs="Times New Roman"/>
          <w:i/>
          <w:sz w:val="28"/>
          <w:szCs w:val="28"/>
          <w:shd w:val="clear" w:color="auto" w:fill="FFFFFF"/>
        </w:rPr>
        <w:t>)</w:t>
      </w:r>
      <w:r w:rsidR="0099174F" w:rsidRPr="00CB543A">
        <w:rPr>
          <w:rFonts w:ascii="Times New Roman" w:hAnsi="Times New Roman" w:cs="Times New Roman"/>
          <w:sz w:val="28"/>
          <w:szCs w:val="28"/>
          <w:shd w:val="clear" w:color="auto" w:fill="FFFFFF"/>
        </w:rPr>
        <w:t xml:space="preserve"> </w:t>
      </w:r>
      <w:r w:rsidR="0099174F" w:rsidRPr="00CB543A">
        <w:rPr>
          <w:rFonts w:ascii="Times New Roman" w:hAnsi="Times New Roman" w:cs="Times New Roman"/>
          <w:i/>
          <w:sz w:val="28"/>
          <w:szCs w:val="28"/>
          <w:shd w:val="clear" w:color="auto" w:fill="FFFFFF"/>
        </w:rPr>
        <w:t xml:space="preserve">tiempo </w:t>
      </w:r>
      <w:r w:rsidR="0099174F" w:rsidRPr="00CB543A">
        <w:rPr>
          <w:rFonts w:ascii="Times New Roman" w:hAnsi="Times New Roman" w:cs="Times New Roman"/>
          <w:sz w:val="28"/>
          <w:szCs w:val="28"/>
          <w:shd w:val="clear" w:color="auto" w:fill="FFFFFF"/>
        </w:rPr>
        <w:t xml:space="preserve">de servicios o </w:t>
      </w:r>
      <w:r w:rsidR="0099174F" w:rsidRPr="00CB543A">
        <w:rPr>
          <w:rFonts w:ascii="Times New Roman" w:hAnsi="Times New Roman" w:cs="Times New Roman"/>
          <w:i/>
          <w:sz w:val="28"/>
          <w:szCs w:val="28"/>
          <w:shd w:val="clear" w:color="auto" w:fill="FFFFFF"/>
        </w:rPr>
        <w:t xml:space="preserve">semanas </w:t>
      </w:r>
      <w:r w:rsidR="0099174F" w:rsidRPr="00CB543A">
        <w:rPr>
          <w:rFonts w:ascii="Times New Roman" w:hAnsi="Times New Roman" w:cs="Times New Roman"/>
          <w:sz w:val="28"/>
          <w:szCs w:val="28"/>
          <w:shd w:val="clear" w:color="auto" w:fill="FFFFFF"/>
        </w:rPr>
        <w:t>cotizadas; y</w:t>
      </w:r>
      <w:r w:rsidR="0099174F" w:rsidRPr="00CB543A">
        <w:rPr>
          <w:rFonts w:ascii="Times New Roman" w:hAnsi="Times New Roman" w:cs="Times New Roman"/>
          <w:i/>
          <w:sz w:val="28"/>
          <w:szCs w:val="28"/>
          <w:shd w:val="clear" w:color="auto" w:fill="FFFFFF"/>
        </w:rPr>
        <w:t xml:space="preserve"> (</w:t>
      </w:r>
      <w:r w:rsidR="00EC0146" w:rsidRPr="00CB543A">
        <w:rPr>
          <w:rFonts w:ascii="Times New Roman" w:hAnsi="Times New Roman" w:cs="Times New Roman"/>
          <w:i/>
          <w:sz w:val="28"/>
          <w:szCs w:val="28"/>
          <w:shd w:val="clear" w:color="auto" w:fill="FFFFFF"/>
        </w:rPr>
        <w:t>iii</w:t>
      </w:r>
      <w:r w:rsidR="0099174F" w:rsidRPr="00CB543A">
        <w:rPr>
          <w:rFonts w:ascii="Times New Roman" w:hAnsi="Times New Roman" w:cs="Times New Roman"/>
          <w:i/>
          <w:sz w:val="28"/>
          <w:szCs w:val="28"/>
          <w:shd w:val="clear" w:color="auto" w:fill="FFFFFF"/>
        </w:rPr>
        <w:t xml:space="preserve">) monto </w:t>
      </w:r>
      <w:r w:rsidR="0099174F" w:rsidRPr="00CB543A">
        <w:rPr>
          <w:rFonts w:ascii="Times New Roman" w:hAnsi="Times New Roman" w:cs="Times New Roman"/>
          <w:sz w:val="28"/>
          <w:szCs w:val="28"/>
          <w:shd w:val="clear" w:color="auto" w:fill="FFFFFF"/>
        </w:rPr>
        <w:t>de la pensión.</w:t>
      </w:r>
    </w:p>
    <w:p w:rsidR="00302820" w:rsidRPr="00CB543A" w:rsidRDefault="00302820" w:rsidP="00CB543A">
      <w:pPr>
        <w:pStyle w:val="Prrafodelista"/>
        <w:spacing w:after="0" w:line="240" w:lineRule="auto"/>
        <w:rPr>
          <w:rFonts w:ascii="Times New Roman" w:hAnsi="Times New Roman" w:cs="Times New Roman"/>
          <w:sz w:val="28"/>
          <w:szCs w:val="28"/>
          <w:shd w:val="clear" w:color="auto" w:fill="FFFFFF"/>
        </w:rPr>
      </w:pPr>
    </w:p>
    <w:p w:rsidR="00302820" w:rsidRPr="00CB543A" w:rsidRDefault="00302820" w:rsidP="00CB543A">
      <w:pPr>
        <w:pStyle w:val="Prrafodelista"/>
        <w:numPr>
          <w:ilvl w:val="0"/>
          <w:numId w:val="32"/>
        </w:numPr>
        <w:shd w:val="clear" w:color="auto" w:fill="FFFFFF"/>
        <w:tabs>
          <w:tab w:val="left" w:pos="426"/>
          <w:tab w:val="left" w:pos="567"/>
        </w:tabs>
        <w:spacing w:after="0" w:line="240" w:lineRule="auto"/>
        <w:ind w:left="0"/>
        <w:jc w:val="both"/>
        <w:textAlignment w:val="baseline"/>
        <w:rPr>
          <w:rFonts w:ascii="Times New Roman" w:hAnsi="Times New Roman" w:cs="Times New Roman"/>
          <w:sz w:val="28"/>
          <w:szCs w:val="28"/>
          <w:shd w:val="clear" w:color="auto" w:fill="FFFFFF"/>
        </w:rPr>
      </w:pPr>
      <w:r w:rsidRPr="00CB543A">
        <w:rPr>
          <w:rFonts w:ascii="Times New Roman" w:hAnsi="Times New Roman" w:cs="Times New Roman"/>
          <w:i/>
          <w:sz w:val="28"/>
          <w:szCs w:val="28"/>
          <w:shd w:val="clear" w:color="auto" w:fill="FFFFFF"/>
        </w:rPr>
        <w:t xml:space="preserve">(v) </w:t>
      </w:r>
      <w:r w:rsidR="00EC0146" w:rsidRPr="00CB543A">
        <w:rPr>
          <w:rFonts w:ascii="Times New Roman" w:hAnsi="Times New Roman" w:cs="Times New Roman"/>
          <w:sz w:val="28"/>
          <w:szCs w:val="28"/>
          <w:shd w:val="clear" w:color="auto" w:fill="FFFFFF"/>
        </w:rPr>
        <w:t xml:space="preserve">El </w:t>
      </w:r>
      <w:r w:rsidR="0099174F" w:rsidRPr="00CB543A">
        <w:rPr>
          <w:rFonts w:ascii="Times New Roman" w:hAnsi="Times New Roman" w:cs="Times New Roman"/>
          <w:i/>
          <w:sz w:val="28"/>
          <w:szCs w:val="28"/>
          <w:shd w:val="clear" w:color="auto" w:fill="FFFFFF"/>
        </w:rPr>
        <w:t>monto</w:t>
      </w:r>
      <w:r w:rsidR="0099174F" w:rsidRPr="00CB543A">
        <w:rPr>
          <w:rFonts w:ascii="Times New Roman" w:hAnsi="Times New Roman" w:cs="Times New Roman"/>
          <w:sz w:val="28"/>
          <w:szCs w:val="28"/>
          <w:shd w:val="clear" w:color="auto" w:fill="FFFFFF"/>
        </w:rPr>
        <w:t xml:space="preserve"> </w:t>
      </w:r>
      <w:r w:rsidR="00EC0146" w:rsidRPr="00CB543A">
        <w:rPr>
          <w:rFonts w:ascii="Times New Roman" w:hAnsi="Times New Roman" w:cs="Times New Roman"/>
          <w:sz w:val="28"/>
          <w:szCs w:val="28"/>
          <w:shd w:val="clear" w:color="auto" w:fill="FFFFFF"/>
        </w:rPr>
        <w:t xml:space="preserve">corresponde a la </w:t>
      </w:r>
      <w:r w:rsidR="0099174F" w:rsidRPr="00CB543A">
        <w:rPr>
          <w:rFonts w:ascii="Times New Roman" w:hAnsi="Times New Roman" w:cs="Times New Roman"/>
          <w:i/>
          <w:sz w:val="28"/>
          <w:szCs w:val="28"/>
          <w:shd w:val="clear" w:color="auto" w:fill="FFFFFF"/>
        </w:rPr>
        <w:t>tasa de reemplazo</w:t>
      </w:r>
      <w:r w:rsidR="0099174F" w:rsidRPr="00CB543A">
        <w:rPr>
          <w:rFonts w:ascii="Times New Roman" w:hAnsi="Times New Roman" w:cs="Times New Roman"/>
          <w:sz w:val="28"/>
          <w:szCs w:val="28"/>
          <w:shd w:val="clear" w:color="auto" w:fill="FFFFFF"/>
        </w:rPr>
        <w:t xml:space="preserve"> o, en </w:t>
      </w:r>
      <w:r w:rsidR="00EC0146" w:rsidRPr="00CB543A">
        <w:rPr>
          <w:rFonts w:ascii="Times New Roman" w:hAnsi="Times New Roman" w:cs="Times New Roman"/>
          <w:sz w:val="28"/>
          <w:szCs w:val="28"/>
          <w:shd w:val="clear" w:color="auto" w:fill="FFFFFF"/>
        </w:rPr>
        <w:t xml:space="preserve">términos </w:t>
      </w:r>
      <w:r w:rsidR="0099174F" w:rsidRPr="00CB543A">
        <w:rPr>
          <w:rFonts w:ascii="Times New Roman" w:hAnsi="Times New Roman" w:cs="Times New Roman"/>
          <w:sz w:val="28"/>
          <w:szCs w:val="28"/>
          <w:shd w:val="clear" w:color="auto" w:fill="FFFFFF"/>
        </w:rPr>
        <w:t xml:space="preserve">de la Corte Suprema de Justicia, </w:t>
      </w:r>
      <w:r w:rsidR="00225774" w:rsidRPr="00CB543A">
        <w:rPr>
          <w:rFonts w:ascii="Times New Roman" w:hAnsi="Times New Roman" w:cs="Times New Roman"/>
          <w:sz w:val="28"/>
          <w:szCs w:val="28"/>
          <w:shd w:val="clear" w:color="auto" w:fill="FFFFFF"/>
        </w:rPr>
        <w:t>a</w:t>
      </w:r>
      <w:r w:rsidR="0099174F" w:rsidRPr="00CB543A">
        <w:rPr>
          <w:rFonts w:ascii="Times New Roman" w:hAnsi="Times New Roman" w:cs="Times New Roman"/>
          <w:sz w:val="28"/>
          <w:szCs w:val="28"/>
          <w:shd w:val="clear" w:color="auto" w:fill="FFFFFF"/>
        </w:rPr>
        <w:t xml:space="preserve">l </w:t>
      </w:r>
      <w:r w:rsidR="0099174F" w:rsidRPr="00CB543A">
        <w:rPr>
          <w:rFonts w:ascii="Times New Roman" w:hAnsi="Times New Roman" w:cs="Times New Roman"/>
          <w:i/>
          <w:sz w:val="28"/>
          <w:szCs w:val="28"/>
          <w:shd w:val="clear" w:color="auto" w:fill="FFFFFF"/>
        </w:rPr>
        <w:t>porcentaje</w:t>
      </w:r>
      <w:r w:rsidR="0099174F" w:rsidRPr="00CB543A">
        <w:rPr>
          <w:rFonts w:ascii="Times New Roman" w:hAnsi="Times New Roman" w:cs="Times New Roman"/>
          <w:sz w:val="28"/>
          <w:szCs w:val="28"/>
          <w:shd w:val="clear" w:color="auto" w:fill="FFFFFF"/>
        </w:rPr>
        <w:t xml:space="preserve"> que se aplica al calcular la pensión.</w:t>
      </w:r>
    </w:p>
    <w:p w:rsidR="00302820" w:rsidRPr="00CB543A" w:rsidRDefault="00302820" w:rsidP="00CB543A">
      <w:pPr>
        <w:pStyle w:val="Prrafodelista"/>
        <w:spacing w:after="0" w:line="240" w:lineRule="auto"/>
        <w:rPr>
          <w:rFonts w:ascii="Times New Roman" w:hAnsi="Times New Roman" w:cs="Times New Roman"/>
          <w:sz w:val="28"/>
          <w:szCs w:val="28"/>
          <w:shd w:val="clear" w:color="auto" w:fill="FFFFFF"/>
        </w:rPr>
      </w:pPr>
    </w:p>
    <w:p w:rsidR="00302820" w:rsidRPr="00CB543A" w:rsidRDefault="00302820" w:rsidP="00CB543A">
      <w:pPr>
        <w:pStyle w:val="Prrafodelista"/>
        <w:numPr>
          <w:ilvl w:val="0"/>
          <w:numId w:val="32"/>
        </w:numPr>
        <w:shd w:val="clear" w:color="auto" w:fill="FFFFFF"/>
        <w:tabs>
          <w:tab w:val="left" w:pos="426"/>
          <w:tab w:val="left" w:pos="567"/>
        </w:tabs>
        <w:spacing w:after="0" w:line="240" w:lineRule="auto"/>
        <w:ind w:left="0"/>
        <w:jc w:val="both"/>
        <w:textAlignment w:val="baseline"/>
        <w:rPr>
          <w:rFonts w:ascii="Times New Roman" w:hAnsi="Times New Roman" w:cs="Times New Roman"/>
          <w:sz w:val="28"/>
          <w:szCs w:val="28"/>
          <w:shd w:val="clear" w:color="auto" w:fill="FFFFFF"/>
        </w:rPr>
      </w:pPr>
      <w:r w:rsidRPr="00CB543A">
        <w:rPr>
          <w:rFonts w:ascii="Times New Roman" w:hAnsi="Times New Roman" w:cs="Times New Roman"/>
          <w:i/>
          <w:sz w:val="28"/>
          <w:szCs w:val="28"/>
          <w:shd w:val="clear" w:color="auto" w:fill="FFFFFF"/>
        </w:rPr>
        <w:t xml:space="preserve">(vi) </w:t>
      </w:r>
      <w:r w:rsidR="0099174F" w:rsidRPr="00CB543A">
        <w:rPr>
          <w:rFonts w:ascii="Times New Roman" w:hAnsi="Times New Roman" w:cs="Times New Roman"/>
          <w:sz w:val="28"/>
          <w:szCs w:val="28"/>
          <w:shd w:val="clear" w:color="auto" w:fill="FFFFFF"/>
        </w:rPr>
        <w:t xml:space="preserve">El Ingreso Base de Liquidación (IBL), para el caso de las personas a las que se refiere el </w:t>
      </w:r>
      <w:r w:rsidR="00EC0146" w:rsidRPr="00CB543A">
        <w:rPr>
          <w:rFonts w:ascii="Times New Roman" w:hAnsi="Times New Roman" w:cs="Times New Roman"/>
          <w:sz w:val="28"/>
          <w:szCs w:val="28"/>
          <w:shd w:val="clear" w:color="auto" w:fill="FFFFFF"/>
        </w:rPr>
        <w:t xml:space="preserve">inciso </w:t>
      </w:r>
      <w:r w:rsidR="0099174F" w:rsidRPr="00CB543A">
        <w:rPr>
          <w:rFonts w:ascii="Times New Roman" w:hAnsi="Times New Roman" w:cs="Times New Roman"/>
          <w:sz w:val="28"/>
          <w:szCs w:val="28"/>
          <w:shd w:val="clear" w:color="auto" w:fill="FFFFFF"/>
        </w:rPr>
        <w:t xml:space="preserve">2º del artículo 36 de la Ley 100 del año 1993 (regla </w:t>
      </w:r>
      <w:r w:rsidR="0099174F" w:rsidRPr="00CB543A">
        <w:rPr>
          <w:rFonts w:ascii="Times New Roman" w:hAnsi="Times New Roman" w:cs="Times New Roman"/>
          <w:i/>
          <w:sz w:val="28"/>
          <w:szCs w:val="28"/>
          <w:shd w:val="clear" w:color="auto" w:fill="FFFFFF"/>
        </w:rPr>
        <w:t>iii</w:t>
      </w:r>
      <w:r w:rsidR="0099174F" w:rsidRPr="00CB543A">
        <w:rPr>
          <w:rFonts w:ascii="Times New Roman" w:hAnsi="Times New Roman" w:cs="Times New Roman"/>
          <w:sz w:val="28"/>
          <w:szCs w:val="28"/>
          <w:shd w:val="clear" w:color="auto" w:fill="FFFFFF"/>
        </w:rPr>
        <w:t xml:space="preserve"> </w:t>
      </w:r>
      <w:r w:rsidR="0099174F" w:rsidRPr="00CB543A">
        <w:rPr>
          <w:rFonts w:ascii="Times New Roman" w:hAnsi="Times New Roman" w:cs="Times New Roman"/>
          <w:i/>
          <w:sz w:val="28"/>
          <w:szCs w:val="28"/>
          <w:shd w:val="clear" w:color="auto" w:fill="FFFFFF"/>
        </w:rPr>
        <w:t>supra</w:t>
      </w:r>
      <w:r w:rsidR="0099174F" w:rsidRPr="00CB543A">
        <w:rPr>
          <w:rFonts w:ascii="Times New Roman" w:hAnsi="Times New Roman" w:cs="Times New Roman"/>
          <w:sz w:val="28"/>
          <w:szCs w:val="28"/>
          <w:shd w:val="clear" w:color="auto" w:fill="FFFFFF"/>
        </w:rPr>
        <w:t xml:space="preserve">), es el que regula el inciso 3º del referido artículo 36, en concordancia con el artículo 21 </w:t>
      </w:r>
      <w:r w:rsidR="0099174F" w:rsidRPr="00CB543A">
        <w:rPr>
          <w:rFonts w:ascii="Times New Roman" w:hAnsi="Times New Roman" w:cs="Times New Roman"/>
          <w:i/>
          <w:sz w:val="28"/>
          <w:szCs w:val="28"/>
          <w:shd w:val="clear" w:color="auto" w:fill="FFFFFF"/>
        </w:rPr>
        <w:t xml:space="preserve">ibídem </w:t>
      </w:r>
      <w:r w:rsidR="0099174F" w:rsidRPr="00CB543A">
        <w:rPr>
          <w:rFonts w:ascii="Times New Roman" w:hAnsi="Times New Roman" w:cs="Times New Roman"/>
          <w:sz w:val="28"/>
          <w:szCs w:val="28"/>
          <w:shd w:val="clear" w:color="auto" w:fill="FFFFFF"/>
        </w:rPr>
        <w:t>y otras normas especiales en la materia.</w:t>
      </w:r>
    </w:p>
    <w:p w:rsidR="00302820" w:rsidRPr="00CB543A" w:rsidRDefault="00302820" w:rsidP="00CB543A">
      <w:pPr>
        <w:pStyle w:val="Prrafodelista"/>
        <w:spacing w:after="0" w:line="240" w:lineRule="auto"/>
        <w:rPr>
          <w:rFonts w:ascii="Times New Roman" w:hAnsi="Times New Roman" w:cs="Times New Roman"/>
          <w:sz w:val="28"/>
          <w:szCs w:val="28"/>
          <w:shd w:val="clear" w:color="auto" w:fill="FFFFFF"/>
        </w:rPr>
      </w:pPr>
    </w:p>
    <w:p w:rsidR="00302820" w:rsidRPr="00CB543A" w:rsidRDefault="004E5051" w:rsidP="00CB543A">
      <w:pPr>
        <w:pStyle w:val="Prrafodelista"/>
        <w:numPr>
          <w:ilvl w:val="0"/>
          <w:numId w:val="32"/>
        </w:numPr>
        <w:shd w:val="clear" w:color="auto" w:fill="FFFFFF"/>
        <w:tabs>
          <w:tab w:val="left" w:pos="426"/>
          <w:tab w:val="left" w:pos="567"/>
        </w:tabs>
        <w:spacing w:after="0" w:line="240" w:lineRule="auto"/>
        <w:ind w:left="0"/>
        <w:jc w:val="both"/>
        <w:textAlignment w:val="baseline"/>
        <w:rPr>
          <w:rFonts w:ascii="Times New Roman" w:hAnsi="Times New Roman" w:cs="Times New Roman"/>
          <w:sz w:val="28"/>
          <w:szCs w:val="28"/>
          <w:shd w:val="clear" w:color="auto" w:fill="FFFFFF"/>
        </w:rPr>
      </w:pPr>
      <w:r w:rsidRPr="00CB543A">
        <w:rPr>
          <w:rFonts w:ascii="Times New Roman" w:hAnsi="Times New Roman" w:cs="Times New Roman"/>
          <w:i/>
          <w:sz w:val="28"/>
          <w:szCs w:val="28"/>
          <w:shd w:val="clear" w:color="auto" w:fill="FFFFFF"/>
        </w:rPr>
        <w:t xml:space="preserve">(vii) </w:t>
      </w:r>
      <w:r w:rsidRPr="00CB543A">
        <w:rPr>
          <w:rFonts w:ascii="Times New Roman" w:hAnsi="Times New Roman" w:cs="Times New Roman"/>
          <w:sz w:val="28"/>
          <w:szCs w:val="28"/>
          <w:shd w:val="clear" w:color="auto" w:fill="FFFFFF"/>
        </w:rPr>
        <w:t>Los factores constitutivos de salario, que deben tenerse en cuenta para calcular el monto de la pensión de jubilación, por un lado, deben valorarse según las consideraciones de la sentencia SU-395 de 2017 y, por el otro, tienen que ser específicamente calculados para cada caso en concreto</w:t>
      </w:r>
      <w:r w:rsidR="0099174F" w:rsidRPr="00CB543A">
        <w:rPr>
          <w:rFonts w:ascii="Times New Roman" w:hAnsi="Times New Roman" w:cs="Times New Roman"/>
          <w:sz w:val="28"/>
          <w:szCs w:val="28"/>
          <w:shd w:val="clear" w:color="auto" w:fill="FFFFFF"/>
        </w:rPr>
        <w:t>.</w:t>
      </w:r>
    </w:p>
    <w:p w:rsidR="00302820" w:rsidRPr="00CB543A" w:rsidRDefault="00302820" w:rsidP="00CB543A">
      <w:pPr>
        <w:pStyle w:val="Prrafodelista"/>
        <w:spacing w:after="0" w:line="240" w:lineRule="auto"/>
        <w:rPr>
          <w:rFonts w:ascii="Times New Roman" w:hAnsi="Times New Roman" w:cs="Times New Roman"/>
          <w:sz w:val="28"/>
          <w:szCs w:val="28"/>
          <w:shd w:val="clear" w:color="auto" w:fill="FFFFFF"/>
        </w:rPr>
      </w:pPr>
    </w:p>
    <w:p w:rsidR="0099174F" w:rsidRPr="00CB543A" w:rsidRDefault="00302820" w:rsidP="00CB543A">
      <w:pPr>
        <w:pStyle w:val="Prrafodelista"/>
        <w:numPr>
          <w:ilvl w:val="0"/>
          <w:numId w:val="32"/>
        </w:numPr>
        <w:shd w:val="clear" w:color="auto" w:fill="FFFFFF"/>
        <w:tabs>
          <w:tab w:val="left" w:pos="426"/>
          <w:tab w:val="left" w:pos="567"/>
        </w:tabs>
        <w:spacing w:after="0" w:line="240" w:lineRule="auto"/>
        <w:ind w:left="0"/>
        <w:jc w:val="both"/>
        <w:textAlignment w:val="baseline"/>
        <w:rPr>
          <w:rFonts w:ascii="Times New Roman" w:hAnsi="Times New Roman" w:cs="Times New Roman"/>
          <w:sz w:val="28"/>
          <w:szCs w:val="28"/>
          <w:shd w:val="clear" w:color="auto" w:fill="FFFFFF"/>
        </w:rPr>
      </w:pPr>
      <w:r w:rsidRPr="00CB543A">
        <w:rPr>
          <w:rFonts w:ascii="Times New Roman" w:hAnsi="Times New Roman" w:cs="Times New Roman"/>
          <w:i/>
          <w:sz w:val="28"/>
          <w:szCs w:val="28"/>
          <w:shd w:val="clear" w:color="auto" w:fill="FFFFFF"/>
        </w:rPr>
        <w:t xml:space="preserve">(viii) </w:t>
      </w:r>
      <w:r w:rsidR="00B83973" w:rsidRPr="00CB543A">
        <w:rPr>
          <w:rFonts w:ascii="Times New Roman" w:hAnsi="Times New Roman" w:cs="Times New Roman"/>
          <w:sz w:val="28"/>
          <w:szCs w:val="28"/>
          <w:shd w:val="clear" w:color="auto" w:fill="FFFFFF"/>
        </w:rPr>
        <w:t xml:space="preserve">La acreditación del carácter subsidiario de </w:t>
      </w:r>
      <w:r w:rsidR="0099174F" w:rsidRPr="00CB543A">
        <w:rPr>
          <w:rFonts w:ascii="Times New Roman" w:hAnsi="Times New Roman" w:cs="Times New Roman"/>
          <w:sz w:val="28"/>
          <w:szCs w:val="28"/>
        </w:rPr>
        <w:t xml:space="preserve">la acción de tutela, </w:t>
      </w:r>
      <w:r w:rsidR="00B83973" w:rsidRPr="00CB543A">
        <w:rPr>
          <w:rFonts w:ascii="Times New Roman" w:hAnsi="Times New Roman" w:cs="Times New Roman"/>
          <w:sz w:val="28"/>
          <w:szCs w:val="28"/>
        </w:rPr>
        <w:t xml:space="preserve">en los términos de las sentencias SU-427 de 2016 y SU-631 de 2017, a pesar de que se cuente con </w:t>
      </w:r>
      <w:r w:rsidR="0099174F" w:rsidRPr="00CB543A">
        <w:rPr>
          <w:rFonts w:ascii="Times New Roman" w:hAnsi="Times New Roman" w:cs="Times New Roman"/>
          <w:sz w:val="28"/>
          <w:szCs w:val="28"/>
        </w:rPr>
        <w:t>la posibilidad de agotar los recursos ordinarios y, eventualmente, el recurso extraordinario de revisión que regulan los artículos 19 y 20 de la Ley 797 de 2003</w:t>
      </w:r>
      <w:r w:rsidR="0099174F" w:rsidRPr="00CB543A">
        <w:rPr>
          <w:rStyle w:val="Refdenotaalpie"/>
          <w:rFonts w:ascii="Times New Roman" w:hAnsi="Times New Roman" w:cs="Times New Roman"/>
          <w:sz w:val="28"/>
          <w:szCs w:val="28"/>
        </w:rPr>
        <w:footnoteReference w:id="103"/>
      </w:r>
      <w:r w:rsidR="0099174F" w:rsidRPr="00CB543A">
        <w:rPr>
          <w:rFonts w:ascii="Times New Roman" w:hAnsi="Times New Roman" w:cs="Times New Roman"/>
          <w:sz w:val="28"/>
          <w:szCs w:val="28"/>
        </w:rPr>
        <w:t xml:space="preserve">, está supeditada, </w:t>
      </w:r>
      <w:r w:rsidR="00B83973" w:rsidRPr="00CB543A">
        <w:rPr>
          <w:rFonts w:ascii="Times New Roman" w:hAnsi="Times New Roman" w:cs="Times New Roman"/>
          <w:sz w:val="28"/>
          <w:szCs w:val="28"/>
        </w:rPr>
        <w:t xml:space="preserve">a que se trate de </w:t>
      </w:r>
      <w:r w:rsidR="0099174F" w:rsidRPr="00CB543A">
        <w:rPr>
          <w:rFonts w:ascii="Times New Roman" w:hAnsi="Times New Roman" w:cs="Times New Roman"/>
          <w:color w:val="auto"/>
          <w:sz w:val="28"/>
          <w:szCs w:val="28"/>
        </w:rPr>
        <w:t xml:space="preserve">un supuesto de </w:t>
      </w:r>
      <w:r w:rsidR="0099174F" w:rsidRPr="00CB543A">
        <w:rPr>
          <w:rFonts w:ascii="Times New Roman" w:hAnsi="Times New Roman" w:cs="Times New Roman"/>
          <w:i/>
          <w:color w:val="auto"/>
          <w:sz w:val="28"/>
          <w:szCs w:val="28"/>
        </w:rPr>
        <w:t>“abuso palmario del derecho”</w:t>
      </w:r>
      <w:r w:rsidR="00B83973" w:rsidRPr="00CB543A">
        <w:rPr>
          <w:rFonts w:ascii="Times New Roman" w:hAnsi="Times New Roman" w:cs="Times New Roman"/>
          <w:color w:val="auto"/>
          <w:sz w:val="28"/>
          <w:szCs w:val="28"/>
        </w:rPr>
        <w:t xml:space="preserve">. Este se configura, si se constata </w:t>
      </w:r>
      <w:r w:rsidR="0099174F" w:rsidRPr="00CB543A">
        <w:rPr>
          <w:rFonts w:ascii="Times New Roman" w:hAnsi="Times New Roman" w:cs="Times New Roman"/>
          <w:i/>
          <w:color w:val="auto"/>
          <w:sz w:val="28"/>
          <w:szCs w:val="28"/>
        </w:rPr>
        <w:t xml:space="preserve">(i) </w:t>
      </w:r>
      <w:r w:rsidR="00B83973" w:rsidRPr="00CB543A">
        <w:rPr>
          <w:rFonts w:ascii="Times New Roman" w:hAnsi="Times New Roman" w:cs="Times New Roman"/>
          <w:color w:val="auto"/>
          <w:sz w:val="28"/>
          <w:szCs w:val="28"/>
        </w:rPr>
        <w:t xml:space="preserve">un caso de </w:t>
      </w:r>
      <w:r w:rsidR="0099174F" w:rsidRPr="00CB543A">
        <w:rPr>
          <w:rFonts w:ascii="Times New Roman" w:hAnsi="Times New Roman" w:cs="Times New Roman"/>
          <w:i/>
          <w:color w:val="auto"/>
          <w:sz w:val="28"/>
          <w:szCs w:val="28"/>
        </w:rPr>
        <w:t>“vinculación precaria”</w:t>
      </w:r>
      <w:r w:rsidR="0099174F" w:rsidRPr="00CB543A">
        <w:rPr>
          <w:rFonts w:ascii="Times New Roman" w:hAnsi="Times New Roman" w:cs="Times New Roman"/>
          <w:color w:val="auto"/>
          <w:sz w:val="28"/>
          <w:szCs w:val="28"/>
        </w:rPr>
        <w:t xml:space="preserve"> </w:t>
      </w:r>
      <w:r w:rsidR="00B83973" w:rsidRPr="00CB543A">
        <w:rPr>
          <w:rFonts w:ascii="Times New Roman" w:hAnsi="Times New Roman" w:cs="Times New Roman"/>
          <w:color w:val="auto"/>
          <w:sz w:val="28"/>
          <w:szCs w:val="28"/>
        </w:rPr>
        <w:t xml:space="preserve">en </w:t>
      </w:r>
      <w:r w:rsidR="00B83973" w:rsidRPr="00CB543A">
        <w:rPr>
          <w:rFonts w:ascii="Times New Roman" w:hAnsi="Times New Roman" w:cs="Times New Roman"/>
          <w:i/>
          <w:color w:val="auto"/>
          <w:sz w:val="28"/>
          <w:szCs w:val="28"/>
        </w:rPr>
        <w:t>“un cargo de mayor jerarquía y remuneración”</w:t>
      </w:r>
      <w:r w:rsidR="00B83973" w:rsidRPr="00CB543A">
        <w:rPr>
          <w:rFonts w:ascii="Times New Roman" w:hAnsi="Times New Roman" w:cs="Times New Roman"/>
          <w:color w:val="auto"/>
          <w:sz w:val="28"/>
          <w:szCs w:val="28"/>
        </w:rPr>
        <w:t xml:space="preserve"> </w:t>
      </w:r>
      <w:r w:rsidR="0099174F" w:rsidRPr="00CB543A">
        <w:rPr>
          <w:rFonts w:ascii="Times New Roman" w:hAnsi="Times New Roman" w:cs="Times New Roman"/>
          <w:color w:val="auto"/>
          <w:sz w:val="28"/>
          <w:szCs w:val="28"/>
        </w:rPr>
        <w:t>y</w:t>
      </w:r>
      <w:r w:rsidR="00B83973" w:rsidRPr="00CB543A">
        <w:rPr>
          <w:rFonts w:ascii="Times New Roman" w:hAnsi="Times New Roman" w:cs="Times New Roman"/>
          <w:color w:val="auto"/>
          <w:sz w:val="28"/>
          <w:szCs w:val="28"/>
        </w:rPr>
        <w:t>,</w:t>
      </w:r>
      <w:r w:rsidR="0099174F" w:rsidRPr="00CB543A">
        <w:rPr>
          <w:rFonts w:ascii="Times New Roman" w:hAnsi="Times New Roman" w:cs="Times New Roman"/>
          <w:color w:val="auto"/>
          <w:sz w:val="28"/>
          <w:szCs w:val="28"/>
        </w:rPr>
        <w:t xml:space="preserve"> </w:t>
      </w:r>
      <w:r w:rsidR="0099174F" w:rsidRPr="00CB543A">
        <w:rPr>
          <w:rFonts w:ascii="Times New Roman" w:hAnsi="Times New Roman" w:cs="Times New Roman"/>
          <w:i/>
          <w:color w:val="auto"/>
          <w:sz w:val="28"/>
          <w:szCs w:val="28"/>
        </w:rPr>
        <w:t xml:space="preserve">(ii) </w:t>
      </w:r>
      <w:r w:rsidR="00B83973" w:rsidRPr="00CB543A">
        <w:rPr>
          <w:rFonts w:ascii="Times New Roman" w:hAnsi="Times New Roman" w:cs="Times New Roman"/>
          <w:color w:val="auto"/>
          <w:sz w:val="28"/>
          <w:szCs w:val="28"/>
        </w:rPr>
        <w:t xml:space="preserve">que hubiese conllevado a un </w:t>
      </w:r>
      <w:r w:rsidR="0099174F" w:rsidRPr="00CB543A">
        <w:rPr>
          <w:rFonts w:ascii="Times New Roman" w:hAnsi="Times New Roman" w:cs="Times New Roman"/>
          <w:i/>
          <w:color w:val="auto"/>
          <w:sz w:val="28"/>
          <w:szCs w:val="28"/>
        </w:rPr>
        <w:t>“incremento excesivo en la mesada pensional”.</w:t>
      </w:r>
    </w:p>
    <w:p w:rsidR="002560DE" w:rsidRPr="00CB543A" w:rsidRDefault="002560DE" w:rsidP="00CB543A">
      <w:pPr>
        <w:pStyle w:val="Prrafodelista"/>
        <w:widowControl w:val="0"/>
        <w:tabs>
          <w:tab w:val="left" w:pos="567"/>
        </w:tabs>
        <w:spacing w:after="0" w:line="240" w:lineRule="auto"/>
        <w:ind w:left="0"/>
        <w:jc w:val="both"/>
        <w:rPr>
          <w:rFonts w:ascii="Times New Roman" w:hAnsi="Times New Roman" w:cs="Times New Roman"/>
          <w:sz w:val="28"/>
          <w:szCs w:val="28"/>
        </w:rPr>
      </w:pPr>
    </w:p>
    <w:p w:rsidR="0099174F" w:rsidRPr="00CB543A" w:rsidRDefault="0099174F" w:rsidP="00CB543A">
      <w:pPr>
        <w:pStyle w:val="Prrafodelista"/>
        <w:widowControl w:val="0"/>
        <w:numPr>
          <w:ilvl w:val="2"/>
          <w:numId w:val="11"/>
        </w:numPr>
        <w:spacing w:after="0" w:line="240" w:lineRule="auto"/>
        <w:ind w:left="0" w:firstLine="0"/>
        <w:jc w:val="both"/>
        <w:rPr>
          <w:rFonts w:ascii="Times New Roman" w:hAnsi="Times New Roman" w:cs="Times New Roman"/>
          <w:b/>
          <w:sz w:val="28"/>
          <w:szCs w:val="28"/>
        </w:rPr>
      </w:pPr>
      <w:r w:rsidRPr="00CB543A">
        <w:rPr>
          <w:rFonts w:ascii="Times New Roman" w:hAnsi="Times New Roman" w:cs="Times New Roman"/>
          <w:b/>
          <w:sz w:val="28"/>
          <w:szCs w:val="28"/>
        </w:rPr>
        <w:t>Análisis de subsunción del caso en el precedente vinculante que se fijó</w:t>
      </w:r>
      <w:r w:rsidR="002560DE" w:rsidRPr="00CB543A">
        <w:rPr>
          <w:rFonts w:ascii="Times New Roman" w:hAnsi="Times New Roman" w:cs="Times New Roman"/>
          <w:b/>
          <w:sz w:val="28"/>
          <w:szCs w:val="28"/>
        </w:rPr>
        <w:t xml:space="preserve"> en la sentencia SU-230 de 2015</w:t>
      </w:r>
    </w:p>
    <w:p w:rsidR="0099174F" w:rsidRPr="00CB543A" w:rsidRDefault="0099174F" w:rsidP="00CB543A">
      <w:pPr>
        <w:pStyle w:val="Prrafodelista"/>
        <w:widowControl w:val="0"/>
        <w:spacing w:after="0" w:line="240" w:lineRule="auto"/>
        <w:ind w:left="0"/>
        <w:jc w:val="both"/>
        <w:rPr>
          <w:rFonts w:ascii="Times New Roman" w:hAnsi="Times New Roman" w:cs="Times New Roman"/>
          <w:sz w:val="28"/>
          <w:szCs w:val="28"/>
        </w:rPr>
      </w:pPr>
    </w:p>
    <w:p w:rsidR="0099174F" w:rsidRPr="00CB543A" w:rsidRDefault="0099174F" w:rsidP="00CB543A">
      <w:pPr>
        <w:pStyle w:val="Prrafodelista"/>
        <w:numPr>
          <w:ilvl w:val="0"/>
          <w:numId w:val="32"/>
        </w:numPr>
        <w:shd w:val="clear" w:color="auto" w:fill="FFFFFF"/>
        <w:spacing w:after="0" w:line="240" w:lineRule="auto"/>
        <w:ind w:left="0"/>
        <w:jc w:val="both"/>
        <w:rPr>
          <w:rFonts w:ascii="Times New Roman" w:hAnsi="Times New Roman" w:cs="Times New Roman"/>
          <w:color w:val="auto"/>
          <w:sz w:val="28"/>
          <w:szCs w:val="28"/>
        </w:rPr>
      </w:pPr>
      <w:r w:rsidRPr="00CB543A">
        <w:rPr>
          <w:rFonts w:ascii="Times New Roman" w:hAnsi="Times New Roman" w:cs="Times New Roman"/>
          <w:color w:val="auto"/>
          <w:sz w:val="28"/>
          <w:szCs w:val="28"/>
        </w:rPr>
        <w:t xml:space="preserve">Resalta la Sala que, ni en el proceso ordinario laboral, como tampoco en el trámite de tutela, incluido el proceso de revisión ante la Corte, se cuestionaron los asuntos relacionados con la pertenencia del actor al régimen de transición ni el requisito de </w:t>
      </w:r>
      <w:r w:rsidRPr="00CB543A">
        <w:rPr>
          <w:rFonts w:ascii="Times New Roman" w:hAnsi="Times New Roman" w:cs="Times New Roman"/>
          <w:i/>
          <w:color w:val="auto"/>
          <w:sz w:val="28"/>
          <w:szCs w:val="28"/>
        </w:rPr>
        <w:t>tiempo de servicios</w:t>
      </w:r>
      <w:r w:rsidRPr="00CB543A">
        <w:rPr>
          <w:rFonts w:ascii="Times New Roman" w:hAnsi="Times New Roman" w:cs="Times New Roman"/>
          <w:color w:val="auto"/>
          <w:sz w:val="28"/>
          <w:szCs w:val="28"/>
        </w:rPr>
        <w:t xml:space="preserve">. Igualmente, en lo relacionado con el requisito de </w:t>
      </w:r>
      <w:r w:rsidRPr="00CB543A">
        <w:rPr>
          <w:rFonts w:ascii="Times New Roman" w:hAnsi="Times New Roman" w:cs="Times New Roman"/>
          <w:i/>
          <w:color w:val="auto"/>
          <w:sz w:val="28"/>
          <w:szCs w:val="28"/>
        </w:rPr>
        <w:t>edad</w:t>
      </w:r>
      <w:r w:rsidRPr="00CB543A">
        <w:rPr>
          <w:rFonts w:ascii="Times New Roman" w:hAnsi="Times New Roman" w:cs="Times New Roman"/>
          <w:color w:val="auto"/>
          <w:sz w:val="28"/>
          <w:szCs w:val="28"/>
        </w:rPr>
        <w:t xml:space="preserve">, el régimen especial que cobijó al accionante </w:t>
      </w:r>
      <w:r w:rsidR="00AF71C8" w:rsidRPr="00CB543A">
        <w:rPr>
          <w:rFonts w:ascii="Times New Roman" w:hAnsi="Times New Roman" w:cs="Times New Roman"/>
          <w:color w:val="auto"/>
          <w:sz w:val="28"/>
          <w:szCs w:val="28"/>
        </w:rPr>
        <w:t xml:space="preserve">le </w:t>
      </w:r>
      <w:r w:rsidRPr="00CB543A">
        <w:rPr>
          <w:rFonts w:ascii="Times New Roman" w:hAnsi="Times New Roman" w:cs="Times New Roman"/>
          <w:color w:val="auto"/>
          <w:sz w:val="28"/>
          <w:szCs w:val="28"/>
        </w:rPr>
        <w:t xml:space="preserve">permitía el reconocimiento de </w:t>
      </w:r>
      <w:r w:rsidR="00917D93" w:rsidRPr="00CB543A">
        <w:rPr>
          <w:rFonts w:ascii="Times New Roman" w:hAnsi="Times New Roman" w:cs="Times New Roman"/>
          <w:color w:val="auto"/>
          <w:sz w:val="28"/>
          <w:szCs w:val="28"/>
        </w:rPr>
        <w:t xml:space="preserve">su </w:t>
      </w:r>
      <w:r w:rsidRPr="00CB543A">
        <w:rPr>
          <w:rFonts w:ascii="Times New Roman" w:hAnsi="Times New Roman" w:cs="Times New Roman"/>
          <w:color w:val="auto"/>
          <w:sz w:val="28"/>
          <w:szCs w:val="28"/>
        </w:rPr>
        <w:t>pensión de vejez con 25 años de servicios</w:t>
      </w:r>
      <w:r w:rsidR="00917D93" w:rsidRPr="00CB543A">
        <w:rPr>
          <w:rFonts w:ascii="Times New Roman" w:hAnsi="Times New Roman" w:cs="Times New Roman"/>
          <w:color w:val="auto"/>
          <w:sz w:val="28"/>
          <w:szCs w:val="28"/>
        </w:rPr>
        <w:t>,</w:t>
      </w:r>
      <w:r w:rsidRPr="00CB543A">
        <w:rPr>
          <w:rFonts w:ascii="Times New Roman" w:hAnsi="Times New Roman" w:cs="Times New Roman"/>
          <w:color w:val="auto"/>
          <w:sz w:val="28"/>
          <w:szCs w:val="28"/>
        </w:rPr>
        <w:t xml:space="preserve"> sin tener en cuenta la edad acreditada, </w:t>
      </w:r>
      <w:r w:rsidR="00917D93" w:rsidRPr="00CB543A">
        <w:rPr>
          <w:rFonts w:ascii="Times New Roman" w:hAnsi="Times New Roman" w:cs="Times New Roman"/>
          <w:color w:val="auto"/>
          <w:sz w:val="28"/>
          <w:szCs w:val="28"/>
        </w:rPr>
        <w:t xml:space="preserve">aspecto </w:t>
      </w:r>
      <w:r w:rsidRPr="00CB543A">
        <w:rPr>
          <w:rFonts w:ascii="Times New Roman" w:hAnsi="Times New Roman" w:cs="Times New Roman"/>
          <w:color w:val="auto"/>
          <w:sz w:val="28"/>
          <w:szCs w:val="28"/>
        </w:rPr>
        <w:t xml:space="preserve">sobre </w:t>
      </w:r>
      <w:r w:rsidR="00917D93" w:rsidRPr="00CB543A">
        <w:rPr>
          <w:rFonts w:ascii="Times New Roman" w:hAnsi="Times New Roman" w:cs="Times New Roman"/>
          <w:color w:val="auto"/>
          <w:sz w:val="28"/>
          <w:szCs w:val="28"/>
        </w:rPr>
        <w:t xml:space="preserve">el cual no </w:t>
      </w:r>
      <w:r w:rsidRPr="00CB543A">
        <w:rPr>
          <w:rFonts w:ascii="Times New Roman" w:hAnsi="Times New Roman" w:cs="Times New Roman"/>
          <w:color w:val="auto"/>
          <w:sz w:val="28"/>
          <w:szCs w:val="28"/>
        </w:rPr>
        <w:t>existió controversia</w:t>
      </w:r>
      <w:r w:rsidR="004E5051" w:rsidRPr="00CB543A">
        <w:rPr>
          <w:rStyle w:val="Refdenotaalpie"/>
          <w:rFonts w:ascii="Times New Roman" w:hAnsi="Times New Roman" w:cs="Times New Roman"/>
          <w:color w:val="auto"/>
          <w:sz w:val="28"/>
          <w:szCs w:val="28"/>
        </w:rPr>
        <w:footnoteReference w:id="104"/>
      </w:r>
      <w:r w:rsidRPr="00CB543A">
        <w:rPr>
          <w:rFonts w:ascii="Times New Roman" w:hAnsi="Times New Roman" w:cs="Times New Roman"/>
          <w:color w:val="auto"/>
          <w:sz w:val="28"/>
          <w:szCs w:val="28"/>
        </w:rPr>
        <w:t>.</w:t>
      </w:r>
    </w:p>
    <w:p w:rsidR="0099174F" w:rsidRPr="00CB543A" w:rsidRDefault="0099174F" w:rsidP="00CB543A">
      <w:pPr>
        <w:pStyle w:val="Prrafodelista"/>
        <w:shd w:val="clear" w:color="auto" w:fill="FFFFFF"/>
        <w:spacing w:after="0" w:line="240" w:lineRule="auto"/>
        <w:ind w:left="0"/>
        <w:jc w:val="both"/>
        <w:rPr>
          <w:rFonts w:ascii="Times New Roman" w:hAnsi="Times New Roman" w:cs="Times New Roman"/>
          <w:color w:val="auto"/>
          <w:sz w:val="28"/>
          <w:szCs w:val="28"/>
        </w:rPr>
      </w:pPr>
      <w:r w:rsidRPr="00CB543A">
        <w:rPr>
          <w:rFonts w:ascii="Times New Roman" w:hAnsi="Times New Roman" w:cs="Times New Roman"/>
          <w:color w:val="auto"/>
          <w:sz w:val="28"/>
          <w:szCs w:val="28"/>
        </w:rPr>
        <w:t xml:space="preserve"> </w:t>
      </w:r>
    </w:p>
    <w:p w:rsidR="0099174F" w:rsidRPr="00CB543A" w:rsidRDefault="00917D93" w:rsidP="00CB543A">
      <w:pPr>
        <w:pStyle w:val="Prrafodelista"/>
        <w:numPr>
          <w:ilvl w:val="0"/>
          <w:numId w:val="32"/>
        </w:numPr>
        <w:shd w:val="clear" w:color="auto" w:fill="FFFFFF"/>
        <w:spacing w:after="0" w:line="240" w:lineRule="auto"/>
        <w:ind w:left="0"/>
        <w:jc w:val="both"/>
        <w:rPr>
          <w:rFonts w:ascii="Times New Roman" w:hAnsi="Times New Roman" w:cs="Times New Roman"/>
          <w:color w:val="auto"/>
          <w:sz w:val="28"/>
          <w:szCs w:val="28"/>
        </w:rPr>
      </w:pPr>
      <w:r w:rsidRPr="00CB543A">
        <w:rPr>
          <w:rFonts w:ascii="Times New Roman" w:hAnsi="Times New Roman" w:cs="Times New Roman"/>
          <w:color w:val="auto"/>
          <w:sz w:val="28"/>
          <w:szCs w:val="28"/>
        </w:rPr>
        <w:t xml:space="preserve">Así las cosas, </w:t>
      </w:r>
      <w:r w:rsidR="0099174F" w:rsidRPr="00CB543A">
        <w:rPr>
          <w:rFonts w:ascii="Times New Roman" w:hAnsi="Times New Roman" w:cs="Times New Roman"/>
          <w:color w:val="auto"/>
          <w:sz w:val="28"/>
          <w:szCs w:val="28"/>
        </w:rPr>
        <w:t>la acción de tutela interpuesta por Laureano Augusto Ramírez Gil en contra de la Sala de Casación Laboral de la Cor</w:t>
      </w:r>
      <w:r w:rsidRPr="00CB543A">
        <w:rPr>
          <w:rFonts w:ascii="Times New Roman" w:hAnsi="Times New Roman" w:cs="Times New Roman"/>
          <w:color w:val="auto"/>
          <w:sz w:val="28"/>
          <w:szCs w:val="28"/>
        </w:rPr>
        <w:t>te Suprema de Justicia pretende</w:t>
      </w:r>
      <w:r w:rsidR="0099174F" w:rsidRPr="00CB543A">
        <w:rPr>
          <w:rFonts w:ascii="Times New Roman" w:hAnsi="Times New Roman" w:cs="Times New Roman"/>
          <w:color w:val="auto"/>
          <w:sz w:val="28"/>
          <w:szCs w:val="28"/>
        </w:rPr>
        <w:t xml:space="preserve"> que</w:t>
      </w:r>
      <w:r w:rsidRPr="00CB543A">
        <w:rPr>
          <w:rFonts w:ascii="Times New Roman" w:hAnsi="Times New Roman" w:cs="Times New Roman"/>
          <w:color w:val="auto"/>
          <w:sz w:val="28"/>
          <w:szCs w:val="28"/>
        </w:rPr>
        <w:t xml:space="preserve"> se deje</w:t>
      </w:r>
      <w:r w:rsidR="0099174F" w:rsidRPr="00CB543A">
        <w:rPr>
          <w:rFonts w:ascii="Times New Roman" w:hAnsi="Times New Roman" w:cs="Times New Roman"/>
          <w:color w:val="auto"/>
          <w:sz w:val="28"/>
          <w:szCs w:val="28"/>
        </w:rPr>
        <w:t xml:space="preserve"> sin efectos la decisión que dicha autoridad tomó, consistente en no casar la sentencia ordinaria de segunda instancia mediante la que se negó al actor la solicitud de que su pensión de jubilación fuera reliquidada tomando como base de liquidación los montos referidos en los </w:t>
      </w:r>
      <w:r w:rsidR="0099174F" w:rsidRPr="00CB543A">
        <w:rPr>
          <w:rFonts w:ascii="Times New Roman" w:hAnsi="Times New Roman" w:cs="Times New Roman"/>
          <w:sz w:val="28"/>
          <w:szCs w:val="28"/>
        </w:rPr>
        <w:t>Decretos 1237 de 1946, 2661 de 1990, 1848 de 1969, 3135 de 1966 y las Leyes</w:t>
      </w:r>
      <w:r w:rsidR="00BB221A">
        <w:rPr>
          <w:rFonts w:ascii="Times New Roman" w:hAnsi="Times New Roman" w:cs="Times New Roman"/>
          <w:sz w:val="28"/>
          <w:szCs w:val="28"/>
        </w:rPr>
        <w:t xml:space="preserve"> </w:t>
      </w:r>
      <w:r w:rsidR="0099174F" w:rsidRPr="00CB543A">
        <w:rPr>
          <w:rFonts w:ascii="Times New Roman" w:hAnsi="Times New Roman" w:cs="Times New Roman"/>
          <w:sz w:val="28"/>
          <w:szCs w:val="28"/>
        </w:rPr>
        <w:t>4ª de 1966 y 33 y 62 de 1985</w:t>
      </w:r>
      <w:r w:rsidR="0099174F" w:rsidRPr="00CB543A">
        <w:rPr>
          <w:rStyle w:val="Refdenotaalpie"/>
          <w:rFonts w:ascii="Times New Roman" w:hAnsi="Times New Roman" w:cs="Times New Roman"/>
          <w:sz w:val="28"/>
          <w:szCs w:val="28"/>
        </w:rPr>
        <w:footnoteReference w:id="105"/>
      </w:r>
      <w:r w:rsidR="0099174F" w:rsidRPr="00CB543A">
        <w:rPr>
          <w:rFonts w:ascii="Times New Roman" w:hAnsi="Times New Roman" w:cs="Times New Roman"/>
          <w:color w:val="auto"/>
          <w:sz w:val="28"/>
          <w:szCs w:val="28"/>
        </w:rPr>
        <w:t>. La controversia</w:t>
      </w:r>
      <w:r w:rsidRPr="00CB543A">
        <w:rPr>
          <w:rFonts w:ascii="Times New Roman" w:hAnsi="Times New Roman" w:cs="Times New Roman"/>
          <w:color w:val="auto"/>
          <w:sz w:val="28"/>
          <w:szCs w:val="28"/>
        </w:rPr>
        <w:t>,</w:t>
      </w:r>
      <w:r w:rsidR="0099174F" w:rsidRPr="00CB543A">
        <w:rPr>
          <w:rFonts w:ascii="Times New Roman" w:hAnsi="Times New Roman" w:cs="Times New Roman"/>
          <w:color w:val="auto"/>
          <w:sz w:val="28"/>
          <w:szCs w:val="28"/>
        </w:rPr>
        <w:t xml:space="preserve"> en el proceso de la referencia, entonces, gira en torno a determinar </w:t>
      </w:r>
      <w:r w:rsidR="0099174F" w:rsidRPr="00CB543A">
        <w:rPr>
          <w:rFonts w:ascii="Times New Roman" w:hAnsi="Times New Roman" w:cs="Times New Roman"/>
          <w:sz w:val="28"/>
          <w:szCs w:val="28"/>
        </w:rPr>
        <w:t>si la pensión del señor Ramírez G</w:t>
      </w:r>
      <w:r w:rsidRPr="00CB543A">
        <w:rPr>
          <w:rFonts w:ascii="Times New Roman" w:hAnsi="Times New Roman" w:cs="Times New Roman"/>
          <w:sz w:val="28"/>
          <w:szCs w:val="28"/>
        </w:rPr>
        <w:t>il debe</w:t>
      </w:r>
      <w:r w:rsidR="0099174F" w:rsidRPr="00CB543A">
        <w:rPr>
          <w:rFonts w:ascii="Times New Roman" w:hAnsi="Times New Roman" w:cs="Times New Roman"/>
          <w:sz w:val="28"/>
          <w:szCs w:val="28"/>
        </w:rPr>
        <w:t xml:space="preserve"> ser reliquidada con fundamento en el IBL que regula el inciso 3º de la Ley 100 de 1993</w:t>
      </w:r>
      <w:r w:rsidRPr="00CB543A">
        <w:rPr>
          <w:rFonts w:ascii="Times New Roman" w:hAnsi="Times New Roman" w:cs="Times New Roman"/>
          <w:sz w:val="28"/>
          <w:szCs w:val="28"/>
        </w:rPr>
        <w:t xml:space="preserve"> o con fundamento en las normas antes citadas</w:t>
      </w:r>
      <w:r w:rsidR="0099174F" w:rsidRPr="00CB543A">
        <w:rPr>
          <w:rFonts w:ascii="Times New Roman" w:hAnsi="Times New Roman" w:cs="Times New Roman"/>
          <w:color w:val="auto"/>
          <w:sz w:val="28"/>
          <w:szCs w:val="28"/>
        </w:rPr>
        <w:t xml:space="preserve">; en otras palabras, si dicho aspecto hace parte del régimen de transición de que trata </w:t>
      </w:r>
      <w:r w:rsidRPr="00CB543A">
        <w:rPr>
          <w:rFonts w:ascii="Times New Roman" w:hAnsi="Times New Roman" w:cs="Times New Roman"/>
          <w:color w:val="auto"/>
          <w:sz w:val="28"/>
          <w:szCs w:val="28"/>
        </w:rPr>
        <w:t>el artículo 36 de la Ley 100 de</w:t>
      </w:r>
      <w:r w:rsidR="0099174F" w:rsidRPr="00CB543A">
        <w:rPr>
          <w:rFonts w:ascii="Times New Roman" w:hAnsi="Times New Roman" w:cs="Times New Roman"/>
          <w:color w:val="auto"/>
          <w:sz w:val="28"/>
          <w:szCs w:val="28"/>
        </w:rPr>
        <w:t xml:space="preserve"> 1993.</w:t>
      </w:r>
    </w:p>
    <w:p w:rsidR="0099174F" w:rsidRPr="00CB543A" w:rsidRDefault="0099174F" w:rsidP="00CB543A">
      <w:pPr>
        <w:pStyle w:val="Prrafodelista"/>
        <w:shd w:val="clear" w:color="auto" w:fill="FFFFFF"/>
        <w:spacing w:after="0" w:line="240" w:lineRule="auto"/>
        <w:ind w:left="0"/>
        <w:jc w:val="both"/>
        <w:rPr>
          <w:rFonts w:ascii="Times New Roman" w:hAnsi="Times New Roman" w:cs="Times New Roman"/>
          <w:color w:val="auto"/>
          <w:sz w:val="28"/>
          <w:szCs w:val="28"/>
        </w:rPr>
      </w:pPr>
    </w:p>
    <w:p w:rsidR="0099174F" w:rsidRPr="00CB543A" w:rsidRDefault="0099174F" w:rsidP="00CB543A">
      <w:pPr>
        <w:pStyle w:val="Prrafodelista"/>
        <w:numPr>
          <w:ilvl w:val="0"/>
          <w:numId w:val="32"/>
        </w:numPr>
        <w:tabs>
          <w:tab w:val="left" w:pos="709"/>
          <w:tab w:val="left" w:pos="8789"/>
        </w:tabs>
        <w:spacing w:after="0" w:line="240" w:lineRule="auto"/>
        <w:ind w:left="0" w:right="49"/>
        <w:jc w:val="both"/>
        <w:rPr>
          <w:rFonts w:ascii="Times New Roman" w:hAnsi="Times New Roman" w:cs="Times New Roman"/>
          <w:sz w:val="28"/>
          <w:szCs w:val="28"/>
        </w:rPr>
      </w:pPr>
      <w:r w:rsidRPr="00CB543A">
        <w:rPr>
          <w:rFonts w:ascii="Times New Roman" w:hAnsi="Times New Roman" w:cs="Times New Roman"/>
          <w:sz w:val="28"/>
          <w:szCs w:val="28"/>
        </w:rPr>
        <w:t>Teniendo en cuenta lo anterior, el an</w:t>
      </w:r>
      <w:r w:rsidR="00C24DCC" w:rsidRPr="00CB543A">
        <w:rPr>
          <w:rFonts w:ascii="Times New Roman" w:hAnsi="Times New Roman" w:cs="Times New Roman"/>
          <w:sz w:val="28"/>
          <w:szCs w:val="28"/>
        </w:rPr>
        <w:t>álisis de la Sala se restringe</w:t>
      </w:r>
      <w:r w:rsidRPr="00CB543A">
        <w:rPr>
          <w:rFonts w:ascii="Times New Roman" w:hAnsi="Times New Roman" w:cs="Times New Roman"/>
          <w:sz w:val="28"/>
          <w:szCs w:val="28"/>
        </w:rPr>
        <w:t xml:space="preserve"> a determinar, con fundamento en los hechos probados (numeral 1 </w:t>
      </w:r>
      <w:r w:rsidRPr="00CB543A">
        <w:rPr>
          <w:rFonts w:ascii="Times New Roman" w:hAnsi="Times New Roman" w:cs="Times New Roman"/>
          <w:i/>
          <w:sz w:val="28"/>
          <w:szCs w:val="28"/>
        </w:rPr>
        <w:t>supra</w:t>
      </w:r>
      <w:r w:rsidR="00917D93" w:rsidRPr="00CB543A">
        <w:rPr>
          <w:rFonts w:ascii="Times New Roman" w:hAnsi="Times New Roman" w:cs="Times New Roman"/>
          <w:sz w:val="28"/>
          <w:szCs w:val="28"/>
        </w:rPr>
        <w:t xml:space="preserve"> del acápite de </w:t>
      </w:r>
      <w:r w:rsidR="00917D93" w:rsidRPr="00CB543A">
        <w:rPr>
          <w:rFonts w:ascii="Times New Roman" w:hAnsi="Times New Roman" w:cs="Times New Roman"/>
          <w:i/>
          <w:sz w:val="28"/>
          <w:szCs w:val="28"/>
        </w:rPr>
        <w:t>“I. Antecedentes”</w:t>
      </w:r>
      <w:r w:rsidRPr="00CB543A">
        <w:rPr>
          <w:rFonts w:ascii="Times New Roman" w:hAnsi="Times New Roman" w:cs="Times New Roman"/>
          <w:sz w:val="28"/>
          <w:szCs w:val="28"/>
        </w:rPr>
        <w:t xml:space="preserve">), si la decisión </w:t>
      </w:r>
      <w:r w:rsidR="00917D93" w:rsidRPr="00CB543A">
        <w:rPr>
          <w:rFonts w:ascii="Times New Roman" w:hAnsi="Times New Roman" w:cs="Times New Roman"/>
          <w:sz w:val="28"/>
          <w:szCs w:val="28"/>
        </w:rPr>
        <w:t>objeto de cuestionamiento</w:t>
      </w:r>
      <w:r w:rsidRPr="00CB543A">
        <w:rPr>
          <w:rFonts w:ascii="Times New Roman" w:hAnsi="Times New Roman" w:cs="Times New Roman"/>
          <w:sz w:val="28"/>
          <w:szCs w:val="28"/>
        </w:rPr>
        <w:t xml:space="preserve"> desconoce los parámetros interpretativos </w:t>
      </w:r>
      <w:r w:rsidR="00917D93" w:rsidRPr="00CB543A">
        <w:rPr>
          <w:rFonts w:ascii="Times New Roman" w:hAnsi="Times New Roman" w:cs="Times New Roman"/>
          <w:sz w:val="28"/>
          <w:szCs w:val="28"/>
        </w:rPr>
        <w:t xml:space="preserve">de la jurisprudencia constitucional </w:t>
      </w:r>
      <w:r w:rsidRPr="00CB543A">
        <w:rPr>
          <w:rFonts w:ascii="Times New Roman" w:hAnsi="Times New Roman" w:cs="Times New Roman"/>
          <w:sz w:val="28"/>
          <w:szCs w:val="28"/>
        </w:rPr>
        <w:t>en torno a los elementos que constituyen el régimen de transición</w:t>
      </w:r>
      <w:r w:rsidR="00C24DCC" w:rsidRPr="00CB543A">
        <w:rPr>
          <w:rFonts w:ascii="Times New Roman" w:hAnsi="Times New Roman" w:cs="Times New Roman"/>
          <w:sz w:val="28"/>
          <w:szCs w:val="28"/>
        </w:rPr>
        <w:t xml:space="preserve"> y, en especial, el precedente de la Sentencia SU-230 de 2015</w:t>
      </w:r>
      <w:r w:rsidRPr="00CB543A">
        <w:rPr>
          <w:rFonts w:ascii="Times New Roman" w:hAnsi="Times New Roman" w:cs="Times New Roman"/>
          <w:sz w:val="28"/>
          <w:szCs w:val="28"/>
        </w:rPr>
        <w:t xml:space="preserve">. Con fundamento en esta providencia y </w:t>
      </w:r>
      <w:r w:rsidR="00582F08" w:rsidRPr="00CB543A">
        <w:rPr>
          <w:rFonts w:ascii="Times New Roman" w:hAnsi="Times New Roman" w:cs="Times New Roman"/>
          <w:sz w:val="28"/>
          <w:szCs w:val="28"/>
        </w:rPr>
        <w:t xml:space="preserve">de conformidad con </w:t>
      </w:r>
      <w:r w:rsidR="00C24DCC" w:rsidRPr="00CB543A">
        <w:rPr>
          <w:rFonts w:ascii="Times New Roman" w:hAnsi="Times New Roman" w:cs="Times New Roman"/>
          <w:sz w:val="28"/>
          <w:szCs w:val="28"/>
        </w:rPr>
        <w:t xml:space="preserve">la síntesis de que trata el numeral que antecede, </w:t>
      </w:r>
      <w:r w:rsidRPr="00CB543A">
        <w:rPr>
          <w:rFonts w:ascii="Times New Roman" w:hAnsi="Times New Roman" w:cs="Times New Roman"/>
          <w:sz w:val="28"/>
          <w:szCs w:val="28"/>
        </w:rPr>
        <w:t xml:space="preserve">la Sala </w:t>
      </w:r>
      <w:r w:rsidR="00C24DCC" w:rsidRPr="00CB543A">
        <w:rPr>
          <w:rFonts w:ascii="Times New Roman" w:hAnsi="Times New Roman" w:cs="Times New Roman"/>
          <w:sz w:val="28"/>
          <w:szCs w:val="28"/>
        </w:rPr>
        <w:t>plantea la subsunción del caso</w:t>
      </w:r>
      <w:r w:rsidRPr="00CB543A">
        <w:rPr>
          <w:rFonts w:ascii="Times New Roman" w:hAnsi="Times New Roman" w:cs="Times New Roman"/>
          <w:sz w:val="28"/>
          <w:szCs w:val="28"/>
        </w:rPr>
        <w:t>.</w:t>
      </w:r>
    </w:p>
    <w:p w:rsidR="0099174F" w:rsidRPr="00CB543A" w:rsidRDefault="0099174F" w:rsidP="00CB543A">
      <w:pPr>
        <w:shd w:val="clear" w:color="auto" w:fill="FFFFFF"/>
        <w:spacing w:after="0" w:line="240" w:lineRule="auto"/>
        <w:jc w:val="both"/>
        <w:rPr>
          <w:rFonts w:ascii="Times New Roman" w:hAnsi="Times New Roman" w:cs="Times New Roman"/>
          <w:color w:val="auto"/>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118"/>
        <w:gridCol w:w="3447"/>
      </w:tblGrid>
      <w:tr w:rsidR="003C7399" w:rsidRPr="00CB543A" w:rsidTr="00E111DF">
        <w:trPr>
          <w:tblHeader/>
          <w:jc w:val="center"/>
        </w:trPr>
        <w:tc>
          <w:tcPr>
            <w:tcW w:w="2263" w:type="dxa"/>
            <w:vAlign w:val="center"/>
          </w:tcPr>
          <w:p w:rsidR="0099174F" w:rsidRPr="00CB543A" w:rsidRDefault="0099174F" w:rsidP="00CB543A">
            <w:pPr>
              <w:spacing w:after="0" w:line="240" w:lineRule="auto"/>
              <w:contextualSpacing/>
              <w:jc w:val="center"/>
              <w:rPr>
                <w:rFonts w:ascii="Times New Roman" w:hAnsi="Times New Roman" w:cs="Times New Roman"/>
                <w:b/>
                <w:color w:val="auto"/>
                <w:sz w:val="28"/>
                <w:szCs w:val="28"/>
              </w:rPr>
            </w:pPr>
            <w:r w:rsidRPr="00CB543A">
              <w:rPr>
                <w:rFonts w:ascii="Times New Roman" w:hAnsi="Times New Roman" w:cs="Times New Roman"/>
                <w:b/>
                <w:i/>
                <w:color w:val="auto"/>
                <w:sz w:val="28"/>
                <w:szCs w:val="28"/>
              </w:rPr>
              <w:t>Regla</w:t>
            </w:r>
            <w:r w:rsidR="00225774" w:rsidRPr="00CB543A">
              <w:rPr>
                <w:rFonts w:ascii="Times New Roman" w:hAnsi="Times New Roman" w:cs="Times New Roman"/>
                <w:b/>
                <w:i/>
                <w:color w:val="auto"/>
                <w:sz w:val="28"/>
                <w:szCs w:val="28"/>
              </w:rPr>
              <w:t xml:space="preserve"> jurisprudencial</w:t>
            </w:r>
          </w:p>
        </w:tc>
        <w:tc>
          <w:tcPr>
            <w:tcW w:w="3118" w:type="dxa"/>
            <w:vAlign w:val="center"/>
          </w:tcPr>
          <w:p w:rsidR="0099174F" w:rsidRPr="00CB543A" w:rsidRDefault="0099174F" w:rsidP="00CB543A">
            <w:pPr>
              <w:spacing w:after="0" w:line="240" w:lineRule="auto"/>
              <w:contextualSpacing/>
              <w:jc w:val="center"/>
              <w:rPr>
                <w:rFonts w:ascii="Times New Roman" w:hAnsi="Times New Roman" w:cs="Times New Roman"/>
                <w:b/>
                <w:i/>
                <w:color w:val="auto"/>
                <w:sz w:val="28"/>
                <w:szCs w:val="28"/>
              </w:rPr>
            </w:pPr>
            <w:r w:rsidRPr="00CB543A">
              <w:rPr>
                <w:rFonts w:ascii="Times New Roman" w:hAnsi="Times New Roman" w:cs="Times New Roman"/>
                <w:b/>
                <w:i/>
                <w:color w:val="auto"/>
                <w:sz w:val="28"/>
                <w:szCs w:val="28"/>
              </w:rPr>
              <w:t>Caso concreto</w:t>
            </w:r>
          </w:p>
        </w:tc>
        <w:tc>
          <w:tcPr>
            <w:tcW w:w="3447" w:type="dxa"/>
            <w:vAlign w:val="center"/>
          </w:tcPr>
          <w:p w:rsidR="0099174F" w:rsidRPr="00CB543A" w:rsidRDefault="0099174F" w:rsidP="00CB543A">
            <w:pPr>
              <w:spacing w:after="0" w:line="240" w:lineRule="auto"/>
              <w:contextualSpacing/>
              <w:jc w:val="center"/>
              <w:rPr>
                <w:rFonts w:ascii="Times New Roman" w:hAnsi="Times New Roman" w:cs="Times New Roman"/>
                <w:b/>
                <w:i/>
                <w:color w:val="auto"/>
                <w:sz w:val="28"/>
                <w:szCs w:val="28"/>
              </w:rPr>
            </w:pPr>
            <w:r w:rsidRPr="00CB543A">
              <w:rPr>
                <w:rFonts w:ascii="Times New Roman" w:hAnsi="Times New Roman" w:cs="Times New Roman"/>
                <w:b/>
                <w:i/>
                <w:color w:val="auto"/>
                <w:sz w:val="28"/>
                <w:szCs w:val="28"/>
              </w:rPr>
              <w:t>Análisis</w:t>
            </w:r>
          </w:p>
        </w:tc>
      </w:tr>
      <w:tr w:rsidR="003C7399" w:rsidRPr="00CB543A" w:rsidTr="00E111DF">
        <w:trPr>
          <w:jc w:val="center"/>
        </w:trPr>
        <w:tc>
          <w:tcPr>
            <w:tcW w:w="2263" w:type="dxa"/>
            <w:vAlign w:val="center"/>
          </w:tcPr>
          <w:p w:rsidR="0099174F" w:rsidRPr="00CB543A" w:rsidRDefault="0099174F" w:rsidP="00CB543A">
            <w:pPr>
              <w:spacing w:after="0" w:line="240" w:lineRule="auto"/>
              <w:contextualSpacing/>
              <w:jc w:val="center"/>
              <w:rPr>
                <w:rFonts w:ascii="Times New Roman" w:hAnsi="Times New Roman" w:cs="Times New Roman"/>
                <w:i/>
                <w:color w:val="auto"/>
                <w:sz w:val="28"/>
                <w:szCs w:val="28"/>
              </w:rPr>
            </w:pPr>
          </w:p>
          <w:p w:rsidR="0099174F" w:rsidRPr="00CB543A" w:rsidRDefault="00225774" w:rsidP="00CB543A">
            <w:pPr>
              <w:spacing w:after="0" w:line="240" w:lineRule="auto"/>
              <w:contextualSpacing/>
              <w:jc w:val="center"/>
              <w:rPr>
                <w:rFonts w:ascii="Times New Roman" w:hAnsi="Times New Roman" w:cs="Times New Roman"/>
                <w:i/>
                <w:color w:val="auto"/>
                <w:sz w:val="28"/>
                <w:szCs w:val="28"/>
              </w:rPr>
            </w:pPr>
            <w:r w:rsidRPr="00CB543A">
              <w:rPr>
                <w:rFonts w:ascii="Times New Roman" w:hAnsi="Times New Roman" w:cs="Times New Roman"/>
                <w:i/>
                <w:color w:val="auto"/>
                <w:sz w:val="28"/>
                <w:szCs w:val="28"/>
              </w:rPr>
              <w:t>A los beneficiarios del régimen de transición les son aplicables las reglas previstas en las normas anteriores a la Ley 100 de 1993 sobre: (i) edad para consolidar el derecho; (ii) tiempo de servicios o semanas cotizadas; y (iii) monto de la pensión</w:t>
            </w:r>
            <w:r w:rsidR="0099174F" w:rsidRPr="00CB543A">
              <w:rPr>
                <w:rFonts w:ascii="Times New Roman" w:hAnsi="Times New Roman" w:cs="Times New Roman"/>
                <w:i/>
                <w:color w:val="auto"/>
                <w:sz w:val="28"/>
                <w:szCs w:val="28"/>
              </w:rPr>
              <w:t>.</w:t>
            </w:r>
          </w:p>
        </w:tc>
        <w:tc>
          <w:tcPr>
            <w:tcW w:w="3118" w:type="dxa"/>
          </w:tcPr>
          <w:p w:rsidR="0099174F" w:rsidRPr="00CB543A" w:rsidRDefault="0099174F" w:rsidP="00CB543A">
            <w:pPr>
              <w:spacing w:after="0" w:line="240" w:lineRule="auto"/>
              <w:contextualSpacing/>
              <w:jc w:val="both"/>
              <w:rPr>
                <w:rFonts w:ascii="Times New Roman" w:hAnsi="Times New Roman" w:cs="Times New Roman"/>
                <w:color w:val="auto"/>
                <w:sz w:val="28"/>
                <w:szCs w:val="28"/>
              </w:rPr>
            </w:pPr>
          </w:p>
          <w:p w:rsidR="0099174F" w:rsidRPr="00CB543A" w:rsidRDefault="0099174F" w:rsidP="00CB543A">
            <w:pPr>
              <w:spacing w:after="0" w:line="240" w:lineRule="auto"/>
              <w:contextualSpacing/>
              <w:jc w:val="both"/>
              <w:rPr>
                <w:rFonts w:ascii="Times New Roman" w:hAnsi="Times New Roman" w:cs="Times New Roman"/>
                <w:color w:val="auto"/>
                <w:sz w:val="28"/>
                <w:szCs w:val="28"/>
              </w:rPr>
            </w:pPr>
            <w:r w:rsidRPr="00CB543A">
              <w:rPr>
                <w:rFonts w:ascii="Times New Roman" w:hAnsi="Times New Roman" w:cs="Times New Roman"/>
                <w:color w:val="auto"/>
                <w:sz w:val="28"/>
                <w:szCs w:val="28"/>
              </w:rPr>
              <w:t>Para efectos del reconocimiento de la pensión de jubilación, en la reliquidación objeto de tutela</w:t>
            </w:r>
            <w:r w:rsidR="00225774" w:rsidRPr="00CB543A">
              <w:rPr>
                <w:rFonts w:ascii="Times New Roman" w:hAnsi="Times New Roman" w:cs="Times New Roman"/>
                <w:color w:val="auto"/>
                <w:sz w:val="28"/>
                <w:szCs w:val="28"/>
              </w:rPr>
              <w:t>,</w:t>
            </w:r>
            <w:r w:rsidRPr="00CB543A">
              <w:rPr>
                <w:rFonts w:ascii="Times New Roman" w:hAnsi="Times New Roman" w:cs="Times New Roman"/>
                <w:color w:val="auto"/>
                <w:sz w:val="28"/>
                <w:szCs w:val="28"/>
              </w:rPr>
              <w:t xml:space="preserve"> se tuvieron en cuenta el </w:t>
            </w:r>
            <w:r w:rsidRPr="00CB543A">
              <w:rPr>
                <w:rFonts w:ascii="Times New Roman" w:hAnsi="Times New Roman" w:cs="Times New Roman"/>
                <w:i/>
                <w:color w:val="auto"/>
                <w:sz w:val="28"/>
                <w:szCs w:val="28"/>
              </w:rPr>
              <w:t xml:space="preserve">tiempo de servicios </w:t>
            </w:r>
            <w:r w:rsidRPr="00CB543A">
              <w:rPr>
                <w:rFonts w:ascii="Times New Roman" w:hAnsi="Times New Roman" w:cs="Times New Roman"/>
                <w:color w:val="auto"/>
                <w:sz w:val="28"/>
                <w:szCs w:val="28"/>
              </w:rPr>
              <w:t>y el monto que regulaba el régimen anterior, esto es, la Ley 33 de 1985 y el Decreto 1237 de 1946</w:t>
            </w:r>
            <w:r w:rsidR="00225774" w:rsidRPr="00CB543A">
              <w:rPr>
                <w:rStyle w:val="Refdenotaalpie"/>
                <w:rFonts w:ascii="Times New Roman" w:hAnsi="Times New Roman" w:cs="Times New Roman"/>
                <w:color w:val="auto"/>
                <w:sz w:val="28"/>
                <w:szCs w:val="28"/>
              </w:rPr>
              <w:footnoteReference w:id="106"/>
            </w:r>
            <w:r w:rsidRPr="00CB543A">
              <w:rPr>
                <w:rFonts w:ascii="Times New Roman" w:hAnsi="Times New Roman" w:cs="Times New Roman"/>
                <w:color w:val="auto"/>
                <w:sz w:val="28"/>
                <w:szCs w:val="28"/>
              </w:rPr>
              <w:t>.</w:t>
            </w:r>
          </w:p>
        </w:tc>
        <w:tc>
          <w:tcPr>
            <w:tcW w:w="3447" w:type="dxa"/>
          </w:tcPr>
          <w:p w:rsidR="0099174F" w:rsidRPr="00CB543A" w:rsidRDefault="0099174F" w:rsidP="00CB543A">
            <w:pPr>
              <w:spacing w:after="0" w:line="240" w:lineRule="auto"/>
              <w:contextualSpacing/>
              <w:jc w:val="both"/>
              <w:rPr>
                <w:rFonts w:ascii="Times New Roman" w:hAnsi="Times New Roman" w:cs="Times New Roman"/>
                <w:color w:val="auto"/>
                <w:sz w:val="28"/>
                <w:szCs w:val="28"/>
              </w:rPr>
            </w:pPr>
          </w:p>
          <w:p w:rsidR="0099174F" w:rsidRPr="00CB543A" w:rsidRDefault="0099174F" w:rsidP="00CB543A">
            <w:pPr>
              <w:spacing w:after="0" w:line="240" w:lineRule="auto"/>
              <w:contextualSpacing/>
              <w:jc w:val="both"/>
              <w:rPr>
                <w:rFonts w:ascii="Times New Roman" w:hAnsi="Times New Roman" w:cs="Times New Roman"/>
                <w:color w:val="auto"/>
                <w:sz w:val="28"/>
                <w:szCs w:val="28"/>
              </w:rPr>
            </w:pPr>
            <w:r w:rsidRPr="00CB543A">
              <w:rPr>
                <w:rFonts w:ascii="Times New Roman" w:hAnsi="Times New Roman" w:cs="Times New Roman"/>
                <w:color w:val="auto"/>
                <w:sz w:val="28"/>
                <w:szCs w:val="28"/>
              </w:rPr>
              <w:t>La re</w:t>
            </w:r>
            <w:r w:rsidR="00225774" w:rsidRPr="00CB543A">
              <w:rPr>
                <w:rFonts w:ascii="Times New Roman" w:hAnsi="Times New Roman" w:cs="Times New Roman"/>
                <w:color w:val="auto"/>
                <w:sz w:val="28"/>
                <w:szCs w:val="28"/>
              </w:rPr>
              <w:t>liquidación objeto controversia</w:t>
            </w:r>
            <w:r w:rsidRPr="00CB543A">
              <w:rPr>
                <w:rFonts w:ascii="Times New Roman" w:hAnsi="Times New Roman" w:cs="Times New Roman"/>
                <w:color w:val="auto"/>
                <w:sz w:val="28"/>
                <w:szCs w:val="28"/>
              </w:rPr>
              <w:t xml:space="preserve">, contenida en la Resolución 1297 de 2003, y demandada en los procesos que concluyeron con la sentencia que aquí se cuestiona, se ajustó a los parámetros de la legislación aplicable. </w:t>
            </w:r>
          </w:p>
        </w:tc>
      </w:tr>
      <w:tr w:rsidR="003C7399" w:rsidRPr="00CB543A" w:rsidTr="00E111DF">
        <w:trPr>
          <w:jc w:val="center"/>
        </w:trPr>
        <w:tc>
          <w:tcPr>
            <w:tcW w:w="2263" w:type="dxa"/>
            <w:vAlign w:val="center"/>
          </w:tcPr>
          <w:p w:rsidR="00DB6E47" w:rsidRPr="00CB543A" w:rsidRDefault="00DB6E47" w:rsidP="00CB543A">
            <w:pPr>
              <w:spacing w:after="0" w:line="240" w:lineRule="auto"/>
              <w:contextualSpacing/>
              <w:jc w:val="center"/>
              <w:rPr>
                <w:rFonts w:ascii="Times New Roman" w:hAnsi="Times New Roman" w:cs="Times New Roman"/>
                <w:i/>
                <w:color w:val="auto"/>
                <w:sz w:val="28"/>
                <w:szCs w:val="28"/>
              </w:rPr>
            </w:pPr>
          </w:p>
          <w:p w:rsidR="0099174F" w:rsidRPr="00CB543A" w:rsidRDefault="00225774" w:rsidP="00CB543A">
            <w:pPr>
              <w:spacing w:after="0" w:line="240" w:lineRule="auto"/>
              <w:contextualSpacing/>
              <w:jc w:val="center"/>
              <w:rPr>
                <w:rFonts w:ascii="Times New Roman" w:hAnsi="Times New Roman" w:cs="Times New Roman"/>
                <w:i/>
                <w:color w:val="auto"/>
                <w:sz w:val="28"/>
                <w:szCs w:val="28"/>
              </w:rPr>
            </w:pPr>
            <w:r w:rsidRPr="00CB543A">
              <w:rPr>
                <w:rFonts w:ascii="Times New Roman" w:hAnsi="Times New Roman" w:cs="Times New Roman"/>
                <w:i/>
                <w:color w:val="auto"/>
                <w:sz w:val="28"/>
                <w:szCs w:val="28"/>
              </w:rPr>
              <w:t>El monto corresponde a la tasa de reemplazo o, en términos de la Corte Suprema de Justicia, al porcentaje que se aplica al calcular la pensión</w:t>
            </w:r>
            <w:r w:rsidR="0099174F" w:rsidRPr="00CB543A">
              <w:rPr>
                <w:rFonts w:ascii="Times New Roman" w:hAnsi="Times New Roman" w:cs="Times New Roman"/>
                <w:i/>
                <w:color w:val="auto"/>
                <w:sz w:val="28"/>
                <w:szCs w:val="28"/>
              </w:rPr>
              <w:t>.</w:t>
            </w:r>
          </w:p>
        </w:tc>
        <w:tc>
          <w:tcPr>
            <w:tcW w:w="3118" w:type="dxa"/>
          </w:tcPr>
          <w:p w:rsidR="00DB6E47" w:rsidRPr="00CB543A" w:rsidRDefault="00DB6E47" w:rsidP="00CB543A">
            <w:pPr>
              <w:spacing w:after="0" w:line="240" w:lineRule="auto"/>
              <w:contextualSpacing/>
              <w:jc w:val="both"/>
              <w:rPr>
                <w:rFonts w:ascii="Times New Roman" w:hAnsi="Times New Roman" w:cs="Times New Roman"/>
                <w:color w:val="auto"/>
                <w:sz w:val="28"/>
                <w:szCs w:val="28"/>
              </w:rPr>
            </w:pPr>
          </w:p>
          <w:p w:rsidR="0099174F" w:rsidRPr="00CB543A" w:rsidRDefault="0099174F" w:rsidP="00CB543A">
            <w:pPr>
              <w:spacing w:after="0" w:line="240" w:lineRule="auto"/>
              <w:contextualSpacing/>
              <w:jc w:val="both"/>
              <w:rPr>
                <w:rFonts w:ascii="Times New Roman" w:hAnsi="Times New Roman" w:cs="Times New Roman"/>
                <w:b/>
                <w:i/>
                <w:color w:val="auto"/>
                <w:sz w:val="28"/>
                <w:szCs w:val="28"/>
              </w:rPr>
            </w:pPr>
            <w:r w:rsidRPr="00CB543A">
              <w:rPr>
                <w:rFonts w:ascii="Times New Roman" w:hAnsi="Times New Roman" w:cs="Times New Roman"/>
                <w:color w:val="auto"/>
                <w:sz w:val="28"/>
                <w:szCs w:val="28"/>
              </w:rPr>
              <w:t xml:space="preserve">En el caso concreto, tanto </w:t>
            </w:r>
            <w:r w:rsidR="00DB6E47" w:rsidRPr="00CB543A">
              <w:rPr>
                <w:rFonts w:ascii="Times New Roman" w:hAnsi="Times New Roman" w:cs="Times New Roman"/>
                <w:color w:val="auto"/>
                <w:sz w:val="28"/>
                <w:szCs w:val="28"/>
              </w:rPr>
              <w:t xml:space="preserve">para </w:t>
            </w:r>
            <w:r w:rsidRPr="00CB543A">
              <w:rPr>
                <w:rFonts w:ascii="Times New Roman" w:hAnsi="Times New Roman" w:cs="Times New Roman"/>
                <w:color w:val="auto"/>
                <w:sz w:val="28"/>
                <w:szCs w:val="28"/>
              </w:rPr>
              <w:t xml:space="preserve">la administradora de pensiones, como </w:t>
            </w:r>
            <w:r w:rsidR="00DB6E47" w:rsidRPr="00CB543A">
              <w:rPr>
                <w:rFonts w:ascii="Times New Roman" w:hAnsi="Times New Roman" w:cs="Times New Roman"/>
                <w:color w:val="auto"/>
                <w:sz w:val="28"/>
                <w:szCs w:val="28"/>
              </w:rPr>
              <w:t xml:space="preserve">para </w:t>
            </w:r>
            <w:r w:rsidRPr="00CB543A">
              <w:rPr>
                <w:rFonts w:ascii="Times New Roman" w:hAnsi="Times New Roman" w:cs="Times New Roman"/>
                <w:color w:val="auto"/>
                <w:sz w:val="28"/>
                <w:szCs w:val="28"/>
              </w:rPr>
              <w:t xml:space="preserve">los jueces laborales, el </w:t>
            </w:r>
            <w:r w:rsidR="00DB6E47" w:rsidRPr="00CB543A">
              <w:rPr>
                <w:rFonts w:ascii="Times New Roman" w:hAnsi="Times New Roman" w:cs="Times New Roman"/>
                <w:color w:val="auto"/>
                <w:sz w:val="28"/>
                <w:szCs w:val="28"/>
              </w:rPr>
              <w:t xml:space="preserve">término </w:t>
            </w:r>
            <w:r w:rsidRPr="00CB543A">
              <w:rPr>
                <w:rFonts w:ascii="Times New Roman" w:hAnsi="Times New Roman" w:cs="Times New Roman"/>
                <w:i/>
                <w:color w:val="auto"/>
                <w:sz w:val="28"/>
                <w:szCs w:val="28"/>
              </w:rPr>
              <w:t xml:space="preserve">monto </w:t>
            </w:r>
            <w:r w:rsidRPr="00CB543A">
              <w:rPr>
                <w:rFonts w:ascii="Times New Roman" w:hAnsi="Times New Roman" w:cs="Times New Roman"/>
                <w:color w:val="auto"/>
                <w:sz w:val="28"/>
                <w:szCs w:val="28"/>
              </w:rPr>
              <w:t xml:space="preserve">corresponde a la </w:t>
            </w:r>
            <w:r w:rsidRPr="00CB543A">
              <w:rPr>
                <w:rFonts w:ascii="Times New Roman" w:hAnsi="Times New Roman" w:cs="Times New Roman"/>
                <w:i/>
                <w:color w:val="auto"/>
                <w:sz w:val="28"/>
                <w:szCs w:val="28"/>
              </w:rPr>
              <w:t xml:space="preserve">tasa de reemplazo </w:t>
            </w:r>
            <w:r w:rsidRPr="00CB543A">
              <w:rPr>
                <w:rFonts w:ascii="Times New Roman" w:hAnsi="Times New Roman" w:cs="Times New Roman"/>
                <w:color w:val="auto"/>
                <w:sz w:val="28"/>
                <w:szCs w:val="28"/>
              </w:rPr>
              <w:t>o</w:t>
            </w:r>
            <w:r w:rsidRPr="00CB543A">
              <w:rPr>
                <w:rFonts w:ascii="Times New Roman" w:hAnsi="Times New Roman" w:cs="Times New Roman"/>
                <w:i/>
                <w:color w:val="auto"/>
                <w:sz w:val="28"/>
                <w:szCs w:val="28"/>
              </w:rPr>
              <w:t xml:space="preserve"> porcentaje</w:t>
            </w:r>
            <w:r w:rsidR="00DB6E47" w:rsidRPr="00CB543A">
              <w:rPr>
                <w:rFonts w:ascii="Times New Roman" w:hAnsi="Times New Roman" w:cs="Times New Roman"/>
                <w:color w:val="auto"/>
                <w:sz w:val="28"/>
                <w:szCs w:val="28"/>
              </w:rPr>
              <w:t xml:space="preserve"> que se aplica para calcular la pensión</w:t>
            </w:r>
            <w:r w:rsidRPr="00CB543A">
              <w:rPr>
                <w:rFonts w:ascii="Times New Roman" w:hAnsi="Times New Roman" w:cs="Times New Roman"/>
                <w:color w:val="auto"/>
                <w:sz w:val="28"/>
                <w:szCs w:val="28"/>
              </w:rPr>
              <w:t>.</w:t>
            </w:r>
            <w:r w:rsidRPr="00CB543A">
              <w:rPr>
                <w:rFonts w:ascii="Times New Roman" w:hAnsi="Times New Roman" w:cs="Times New Roman"/>
                <w:i/>
                <w:color w:val="auto"/>
                <w:sz w:val="28"/>
                <w:szCs w:val="28"/>
              </w:rPr>
              <w:t xml:space="preserve"> </w:t>
            </w:r>
          </w:p>
        </w:tc>
        <w:tc>
          <w:tcPr>
            <w:tcW w:w="3447" w:type="dxa"/>
          </w:tcPr>
          <w:p w:rsidR="00DB6E47" w:rsidRPr="00CB543A" w:rsidRDefault="00DB6E47" w:rsidP="00CB543A">
            <w:pPr>
              <w:spacing w:after="0" w:line="240" w:lineRule="auto"/>
              <w:contextualSpacing/>
              <w:jc w:val="both"/>
              <w:rPr>
                <w:rFonts w:ascii="Times New Roman" w:hAnsi="Times New Roman" w:cs="Times New Roman"/>
                <w:color w:val="auto"/>
                <w:sz w:val="28"/>
                <w:szCs w:val="28"/>
              </w:rPr>
            </w:pPr>
          </w:p>
          <w:p w:rsidR="0099174F" w:rsidRPr="00CB543A" w:rsidRDefault="0099174F" w:rsidP="00CB543A">
            <w:pPr>
              <w:spacing w:after="0" w:line="240" w:lineRule="auto"/>
              <w:contextualSpacing/>
              <w:jc w:val="both"/>
              <w:rPr>
                <w:rFonts w:ascii="Times New Roman" w:hAnsi="Times New Roman" w:cs="Times New Roman"/>
                <w:color w:val="auto"/>
                <w:sz w:val="28"/>
                <w:szCs w:val="28"/>
              </w:rPr>
            </w:pPr>
            <w:r w:rsidRPr="00CB543A">
              <w:rPr>
                <w:rFonts w:ascii="Times New Roman" w:hAnsi="Times New Roman" w:cs="Times New Roman"/>
                <w:color w:val="auto"/>
                <w:sz w:val="28"/>
                <w:szCs w:val="28"/>
              </w:rPr>
              <w:t>Ni la autoridad accionada</w:t>
            </w:r>
            <w:r w:rsidR="00DB6E47" w:rsidRPr="00CB543A">
              <w:rPr>
                <w:rFonts w:ascii="Times New Roman" w:hAnsi="Times New Roman" w:cs="Times New Roman"/>
                <w:color w:val="auto"/>
                <w:sz w:val="28"/>
                <w:szCs w:val="28"/>
              </w:rPr>
              <w:t>,</w:t>
            </w:r>
            <w:r w:rsidRPr="00CB543A">
              <w:rPr>
                <w:rFonts w:ascii="Times New Roman" w:hAnsi="Times New Roman" w:cs="Times New Roman"/>
                <w:color w:val="auto"/>
                <w:sz w:val="28"/>
                <w:szCs w:val="28"/>
              </w:rPr>
              <w:t xml:space="preserve"> ni CAPRECOM</w:t>
            </w:r>
            <w:r w:rsidR="00DB6E47" w:rsidRPr="00CB543A">
              <w:rPr>
                <w:rFonts w:ascii="Times New Roman" w:hAnsi="Times New Roman" w:cs="Times New Roman"/>
                <w:color w:val="auto"/>
                <w:sz w:val="28"/>
                <w:szCs w:val="28"/>
              </w:rPr>
              <w:t>,</w:t>
            </w:r>
            <w:r w:rsidRPr="00CB543A">
              <w:rPr>
                <w:rFonts w:ascii="Times New Roman" w:hAnsi="Times New Roman" w:cs="Times New Roman"/>
                <w:color w:val="auto"/>
                <w:sz w:val="28"/>
                <w:szCs w:val="28"/>
              </w:rPr>
              <w:t xml:space="preserve"> confundieron el </w:t>
            </w:r>
            <w:r w:rsidRPr="00CB543A">
              <w:rPr>
                <w:rFonts w:ascii="Times New Roman" w:hAnsi="Times New Roman" w:cs="Times New Roman"/>
                <w:i/>
                <w:color w:val="auto"/>
                <w:sz w:val="28"/>
                <w:szCs w:val="28"/>
              </w:rPr>
              <w:t xml:space="preserve">monto </w:t>
            </w:r>
            <w:r w:rsidRPr="00CB543A">
              <w:rPr>
                <w:rFonts w:ascii="Times New Roman" w:hAnsi="Times New Roman" w:cs="Times New Roman"/>
                <w:color w:val="auto"/>
                <w:sz w:val="28"/>
                <w:szCs w:val="28"/>
              </w:rPr>
              <w:t>con el IBL, por lo menos, para los efectos de la reliquidación.</w:t>
            </w:r>
          </w:p>
        </w:tc>
      </w:tr>
      <w:tr w:rsidR="003C7399" w:rsidRPr="00CB543A" w:rsidTr="00E111DF">
        <w:trPr>
          <w:jc w:val="center"/>
        </w:trPr>
        <w:tc>
          <w:tcPr>
            <w:tcW w:w="2263" w:type="dxa"/>
            <w:vAlign w:val="center"/>
          </w:tcPr>
          <w:p w:rsidR="00DB6E47" w:rsidRPr="00CB543A" w:rsidRDefault="00DB6E47" w:rsidP="00CB543A">
            <w:pPr>
              <w:spacing w:after="0" w:line="240" w:lineRule="auto"/>
              <w:contextualSpacing/>
              <w:jc w:val="center"/>
              <w:rPr>
                <w:rFonts w:ascii="Times New Roman" w:hAnsi="Times New Roman" w:cs="Times New Roman"/>
                <w:i/>
                <w:color w:val="auto"/>
                <w:sz w:val="28"/>
                <w:szCs w:val="28"/>
              </w:rPr>
            </w:pPr>
          </w:p>
          <w:p w:rsidR="0099174F" w:rsidRPr="00CB543A" w:rsidRDefault="00DB6E47" w:rsidP="00CB543A">
            <w:pPr>
              <w:spacing w:after="0" w:line="240" w:lineRule="auto"/>
              <w:contextualSpacing/>
              <w:jc w:val="center"/>
              <w:rPr>
                <w:rFonts w:ascii="Times New Roman" w:hAnsi="Times New Roman" w:cs="Times New Roman"/>
                <w:i/>
                <w:color w:val="auto"/>
                <w:sz w:val="28"/>
                <w:szCs w:val="28"/>
              </w:rPr>
            </w:pPr>
            <w:r w:rsidRPr="00CB543A">
              <w:rPr>
                <w:rFonts w:ascii="Times New Roman" w:hAnsi="Times New Roman" w:cs="Times New Roman"/>
                <w:i/>
                <w:color w:val="auto"/>
                <w:sz w:val="28"/>
                <w:szCs w:val="28"/>
              </w:rPr>
              <w:t>El Ingreso Base de Liquidación (IBL), para el caso de las personas a las que se refiere el inciso 2º del artículo 36 de la Ley 100 del año 1993, es el que regula el inciso 3º del referido artículo 36, en concordancia con el artículo 21 ibídem y otras normas especiales en la materia</w:t>
            </w:r>
            <w:r w:rsidR="0099174F" w:rsidRPr="00CB543A">
              <w:rPr>
                <w:rFonts w:ascii="Times New Roman" w:hAnsi="Times New Roman" w:cs="Times New Roman"/>
                <w:i/>
                <w:color w:val="auto"/>
                <w:sz w:val="28"/>
                <w:szCs w:val="28"/>
              </w:rPr>
              <w:t>.</w:t>
            </w:r>
          </w:p>
        </w:tc>
        <w:tc>
          <w:tcPr>
            <w:tcW w:w="3118" w:type="dxa"/>
          </w:tcPr>
          <w:p w:rsidR="00DB6E47" w:rsidRPr="00CB543A" w:rsidRDefault="00DB6E47" w:rsidP="00CB543A">
            <w:pPr>
              <w:spacing w:after="0" w:line="240" w:lineRule="auto"/>
              <w:contextualSpacing/>
              <w:jc w:val="both"/>
              <w:rPr>
                <w:rFonts w:ascii="Times New Roman" w:hAnsi="Times New Roman" w:cs="Times New Roman"/>
                <w:color w:val="auto"/>
                <w:sz w:val="28"/>
                <w:szCs w:val="28"/>
              </w:rPr>
            </w:pPr>
          </w:p>
          <w:p w:rsidR="0099174F" w:rsidRPr="00CB543A" w:rsidRDefault="0099174F" w:rsidP="00CB543A">
            <w:pPr>
              <w:spacing w:after="0" w:line="240" w:lineRule="auto"/>
              <w:contextualSpacing/>
              <w:jc w:val="both"/>
              <w:rPr>
                <w:rFonts w:ascii="Times New Roman" w:hAnsi="Times New Roman" w:cs="Times New Roman"/>
                <w:color w:val="auto"/>
                <w:sz w:val="28"/>
                <w:szCs w:val="28"/>
              </w:rPr>
            </w:pPr>
            <w:r w:rsidRPr="00CB543A">
              <w:rPr>
                <w:rFonts w:ascii="Times New Roman" w:hAnsi="Times New Roman" w:cs="Times New Roman"/>
                <w:color w:val="auto"/>
                <w:sz w:val="28"/>
                <w:szCs w:val="28"/>
              </w:rPr>
              <w:t>La reliquidación de la pensión se hizo con fundamento en los últimos diez años de cotización y teniendo en cuenta los factores legales y extralegales que regulan, respectivamente, el Decreto 1158 de 1994 y el artículo 283 de la Ley 100 de 1993.</w:t>
            </w:r>
          </w:p>
        </w:tc>
        <w:tc>
          <w:tcPr>
            <w:tcW w:w="3447" w:type="dxa"/>
          </w:tcPr>
          <w:p w:rsidR="00DB6E47" w:rsidRPr="00CB543A" w:rsidRDefault="00DB6E47" w:rsidP="00CB543A">
            <w:pPr>
              <w:spacing w:after="0" w:line="240" w:lineRule="auto"/>
              <w:contextualSpacing/>
              <w:jc w:val="both"/>
              <w:rPr>
                <w:rFonts w:ascii="Times New Roman" w:hAnsi="Times New Roman" w:cs="Times New Roman"/>
                <w:color w:val="auto"/>
                <w:sz w:val="28"/>
                <w:szCs w:val="28"/>
              </w:rPr>
            </w:pPr>
          </w:p>
          <w:p w:rsidR="0099174F" w:rsidRPr="00CB543A" w:rsidRDefault="0099174F" w:rsidP="00CB543A">
            <w:pPr>
              <w:spacing w:after="0" w:line="240" w:lineRule="auto"/>
              <w:contextualSpacing/>
              <w:jc w:val="both"/>
              <w:rPr>
                <w:rFonts w:ascii="Times New Roman" w:hAnsi="Times New Roman" w:cs="Times New Roman"/>
                <w:color w:val="auto"/>
                <w:sz w:val="28"/>
                <w:szCs w:val="28"/>
              </w:rPr>
            </w:pPr>
            <w:r w:rsidRPr="00CB543A">
              <w:rPr>
                <w:rFonts w:ascii="Times New Roman" w:hAnsi="Times New Roman" w:cs="Times New Roman"/>
                <w:color w:val="auto"/>
                <w:sz w:val="28"/>
                <w:szCs w:val="28"/>
              </w:rPr>
              <w:t xml:space="preserve">La regla corresponde a la </w:t>
            </w:r>
            <w:r w:rsidR="00DB6E47" w:rsidRPr="00CB543A">
              <w:rPr>
                <w:rFonts w:ascii="Times New Roman" w:hAnsi="Times New Roman" w:cs="Times New Roman"/>
                <w:color w:val="auto"/>
                <w:sz w:val="28"/>
                <w:szCs w:val="28"/>
              </w:rPr>
              <w:t>decantada en la jurisprudencia constitucional</w:t>
            </w:r>
            <w:r w:rsidRPr="00CB543A">
              <w:rPr>
                <w:rFonts w:ascii="Times New Roman" w:hAnsi="Times New Roman" w:cs="Times New Roman"/>
                <w:color w:val="auto"/>
                <w:sz w:val="28"/>
                <w:szCs w:val="28"/>
              </w:rPr>
              <w:t xml:space="preserve">, pues se tuvo en cuenta la </w:t>
            </w:r>
            <w:r w:rsidRPr="00CB543A">
              <w:rPr>
                <w:rFonts w:ascii="Times New Roman" w:hAnsi="Times New Roman" w:cs="Times New Roman"/>
                <w:i/>
                <w:color w:val="auto"/>
                <w:sz w:val="28"/>
                <w:szCs w:val="28"/>
              </w:rPr>
              <w:t xml:space="preserve">tasa de reemplazo </w:t>
            </w:r>
            <w:r w:rsidRPr="00CB543A">
              <w:rPr>
                <w:rFonts w:ascii="Times New Roman" w:hAnsi="Times New Roman" w:cs="Times New Roman"/>
                <w:color w:val="auto"/>
                <w:sz w:val="28"/>
                <w:szCs w:val="28"/>
              </w:rPr>
              <w:t xml:space="preserve">del régimen anterior </w:t>
            </w:r>
            <w:r w:rsidR="00DB6E47" w:rsidRPr="00CB543A">
              <w:rPr>
                <w:rFonts w:ascii="Times New Roman" w:hAnsi="Times New Roman" w:cs="Times New Roman"/>
                <w:color w:val="auto"/>
                <w:sz w:val="28"/>
                <w:szCs w:val="28"/>
              </w:rPr>
              <w:t xml:space="preserve">y </w:t>
            </w:r>
            <w:r w:rsidRPr="00CB543A">
              <w:rPr>
                <w:rFonts w:ascii="Times New Roman" w:hAnsi="Times New Roman" w:cs="Times New Roman"/>
                <w:color w:val="auto"/>
                <w:sz w:val="28"/>
                <w:szCs w:val="28"/>
              </w:rPr>
              <w:t>el IBL y los factores salariales del régimen vigente.</w:t>
            </w:r>
          </w:p>
        </w:tc>
      </w:tr>
    </w:tbl>
    <w:p w:rsidR="0099174F" w:rsidRPr="00CB543A" w:rsidRDefault="0099174F" w:rsidP="00CB543A">
      <w:pPr>
        <w:spacing w:after="0" w:line="240" w:lineRule="auto"/>
        <w:contextualSpacing/>
        <w:jc w:val="both"/>
        <w:rPr>
          <w:rFonts w:ascii="Times New Roman" w:hAnsi="Times New Roman" w:cs="Times New Roman"/>
          <w:color w:val="auto"/>
          <w:sz w:val="28"/>
          <w:szCs w:val="28"/>
        </w:rPr>
      </w:pPr>
    </w:p>
    <w:p w:rsidR="0099174F" w:rsidRPr="00CB543A" w:rsidRDefault="0099174F" w:rsidP="00CB543A">
      <w:pPr>
        <w:pStyle w:val="Prrafodelista"/>
        <w:numPr>
          <w:ilvl w:val="0"/>
          <w:numId w:val="32"/>
        </w:numPr>
        <w:spacing w:after="0" w:line="240" w:lineRule="auto"/>
        <w:ind w:left="0"/>
        <w:jc w:val="both"/>
        <w:rPr>
          <w:rFonts w:ascii="Times New Roman" w:hAnsi="Times New Roman" w:cs="Times New Roman"/>
          <w:color w:val="auto"/>
          <w:sz w:val="28"/>
          <w:szCs w:val="28"/>
        </w:rPr>
      </w:pPr>
      <w:r w:rsidRPr="00CB543A">
        <w:rPr>
          <w:rFonts w:ascii="Times New Roman" w:hAnsi="Times New Roman" w:cs="Times New Roman"/>
          <w:color w:val="auto"/>
          <w:sz w:val="28"/>
          <w:szCs w:val="28"/>
        </w:rPr>
        <w:t xml:space="preserve">De conformidad con </w:t>
      </w:r>
      <w:r w:rsidR="0052028C" w:rsidRPr="00CB543A">
        <w:rPr>
          <w:rFonts w:ascii="Times New Roman" w:hAnsi="Times New Roman" w:cs="Times New Roman"/>
          <w:color w:val="auto"/>
          <w:sz w:val="28"/>
          <w:szCs w:val="28"/>
        </w:rPr>
        <w:t xml:space="preserve">este </w:t>
      </w:r>
      <w:r w:rsidRPr="00CB543A">
        <w:rPr>
          <w:rFonts w:ascii="Times New Roman" w:hAnsi="Times New Roman" w:cs="Times New Roman"/>
          <w:color w:val="auto"/>
          <w:sz w:val="28"/>
          <w:szCs w:val="28"/>
        </w:rPr>
        <w:t xml:space="preserve">ejercicio de subsunción, en los términos de las subreglas decantadas en </w:t>
      </w:r>
      <w:r w:rsidR="00DB6E47" w:rsidRPr="00CB543A">
        <w:rPr>
          <w:rFonts w:ascii="Times New Roman" w:hAnsi="Times New Roman" w:cs="Times New Roman"/>
          <w:color w:val="auto"/>
          <w:sz w:val="28"/>
          <w:szCs w:val="28"/>
        </w:rPr>
        <w:t>el precedente contenido en la S</w:t>
      </w:r>
      <w:r w:rsidRPr="00CB543A">
        <w:rPr>
          <w:rFonts w:ascii="Times New Roman" w:hAnsi="Times New Roman" w:cs="Times New Roman"/>
          <w:color w:val="auto"/>
          <w:sz w:val="28"/>
          <w:szCs w:val="28"/>
        </w:rPr>
        <w:t xml:space="preserve">entencia </w:t>
      </w:r>
      <w:r w:rsidRPr="00CB543A">
        <w:rPr>
          <w:rFonts w:ascii="Times New Roman" w:hAnsi="Times New Roman" w:cs="Times New Roman"/>
          <w:sz w:val="28"/>
          <w:szCs w:val="28"/>
        </w:rPr>
        <w:t xml:space="preserve">SU-230 de 2015, </w:t>
      </w:r>
      <w:r w:rsidRPr="00CB543A">
        <w:rPr>
          <w:rFonts w:ascii="Times New Roman" w:hAnsi="Times New Roman" w:cs="Times New Roman"/>
          <w:color w:val="auto"/>
          <w:sz w:val="28"/>
          <w:szCs w:val="28"/>
        </w:rPr>
        <w:t xml:space="preserve">concluye </w:t>
      </w:r>
      <w:r w:rsidR="0052028C" w:rsidRPr="00CB543A">
        <w:rPr>
          <w:rFonts w:ascii="Times New Roman" w:hAnsi="Times New Roman" w:cs="Times New Roman"/>
          <w:color w:val="auto"/>
          <w:sz w:val="28"/>
          <w:szCs w:val="28"/>
        </w:rPr>
        <w:t xml:space="preserve">la Sala Plena </w:t>
      </w:r>
      <w:r w:rsidRPr="00CB543A">
        <w:rPr>
          <w:rFonts w:ascii="Times New Roman" w:hAnsi="Times New Roman" w:cs="Times New Roman"/>
          <w:color w:val="auto"/>
          <w:sz w:val="28"/>
          <w:szCs w:val="28"/>
        </w:rPr>
        <w:t xml:space="preserve">que la decisión adoptada por la Sala de Casación Laboral de la Corte Suprema de Justicia se ajusta, primero, a los criterios de unificación que </w:t>
      </w:r>
      <w:r w:rsidR="0052028C" w:rsidRPr="00CB543A">
        <w:rPr>
          <w:rFonts w:ascii="Times New Roman" w:hAnsi="Times New Roman" w:cs="Times New Roman"/>
          <w:color w:val="auto"/>
          <w:sz w:val="28"/>
          <w:szCs w:val="28"/>
        </w:rPr>
        <w:t xml:space="preserve">la </w:t>
      </w:r>
      <w:r w:rsidRPr="00CB543A">
        <w:rPr>
          <w:rFonts w:ascii="Times New Roman" w:hAnsi="Times New Roman" w:cs="Times New Roman"/>
          <w:color w:val="auto"/>
          <w:sz w:val="28"/>
          <w:szCs w:val="28"/>
        </w:rPr>
        <w:t xml:space="preserve">Corte </w:t>
      </w:r>
      <w:r w:rsidR="0052028C" w:rsidRPr="00CB543A">
        <w:rPr>
          <w:rFonts w:ascii="Times New Roman" w:hAnsi="Times New Roman" w:cs="Times New Roman"/>
          <w:color w:val="auto"/>
          <w:sz w:val="28"/>
          <w:szCs w:val="28"/>
        </w:rPr>
        <w:t xml:space="preserve">Constitucional </w:t>
      </w:r>
      <w:r w:rsidR="00DB6E47" w:rsidRPr="00CB543A">
        <w:rPr>
          <w:rFonts w:ascii="Times New Roman" w:hAnsi="Times New Roman" w:cs="Times New Roman"/>
          <w:color w:val="auto"/>
          <w:sz w:val="28"/>
          <w:szCs w:val="28"/>
        </w:rPr>
        <w:t xml:space="preserve">ha fijado </w:t>
      </w:r>
      <w:r w:rsidRPr="00CB543A">
        <w:rPr>
          <w:rFonts w:ascii="Times New Roman" w:hAnsi="Times New Roman" w:cs="Times New Roman"/>
          <w:color w:val="auto"/>
          <w:sz w:val="28"/>
          <w:szCs w:val="28"/>
        </w:rPr>
        <w:t>en torno a los elementos constitutivos del régimen de transición de que trata la Ley 100 de 1993 (numeral 5</w:t>
      </w:r>
      <w:r w:rsidR="0052028C" w:rsidRPr="00CB543A">
        <w:rPr>
          <w:rFonts w:ascii="Times New Roman" w:hAnsi="Times New Roman" w:cs="Times New Roman"/>
          <w:color w:val="auto"/>
          <w:sz w:val="28"/>
          <w:szCs w:val="28"/>
        </w:rPr>
        <w:t>.1</w:t>
      </w:r>
      <w:r w:rsidRPr="00CB543A">
        <w:rPr>
          <w:rFonts w:ascii="Times New Roman" w:hAnsi="Times New Roman" w:cs="Times New Roman"/>
          <w:color w:val="auto"/>
          <w:sz w:val="28"/>
          <w:szCs w:val="28"/>
        </w:rPr>
        <w:t xml:space="preserve">.3 </w:t>
      </w:r>
      <w:r w:rsidRPr="00CB543A">
        <w:rPr>
          <w:rFonts w:ascii="Times New Roman" w:hAnsi="Times New Roman" w:cs="Times New Roman"/>
          <w:i/>
          <w:color w:val="auto"/>
          <w:sz w:val="28"/>
          <w:szCs w:val="28"/>
        </w:rPr>
        <w:t>supra</w:t>
      </w:r>
      <w:r w:rsidRPr="00CB543A">
        <w:rPr>
          <w:rFonts w:ascii="Times New Roman" w:hAnsi="Times New Roman" w:cs="Times New Roman"/>
          <w:color w:val="auto"/>
          <w:sz w:val="28"/>
          <w:szCs w:val="28"/>
        </w:rPr>
        <w:t xml:space="preserve">) y, segundo, a la interpretación constitucional de los numerales 2º y 3º del artículo 36 </w:t>
      </w:r>
      <w:r w:rsidRPr="00CB543A">
        <w:rPr>
          <w:rFonts w:ascii="Times New Roman" w:hAnsi="Times New Roman" w:cs="Times New Roman"/>
          <w:i/>
          <w:color w:val="auto"/>
          <w:sz w:val="28"/>
          <w:szCs w:val="28"/>
        </w:rPr>
        <w:t>ibídem</w:t>
      </w:r>
      <w:r w:rsidRPr="00CB543A">
        <w:rPr>
          <w:rFonts w:ascii="Times New Roman" w:hAnsi="Times New Roman" w:cs="Times New Roman"/>
          <w:color w:val="auto"/>
          <w:sz w:val="28"/>
          <w:szCs w:val="28"/>
        </w:rPr>
        <w:t>, contenida en la sentencia C-258 del año 2013 (numeral</w:t>
      </w:r>
      <w:r w:rsidR="0052028C" w:rsidRPr="00CB543A">
        <w:rPr>
          <w:rFonts w:ascii="Times New Roman" w:hAnsi="Times New Roman" w:cs="Times New Roman"/>
          <w:color w:val="auto"/>
          <w:sz w:val="28"/>
          <w:szCs w:val="28"/>
        </w:rPr>
        <w:t>es</w:t>
      </w:r>
      <w:r w:rsidRPr="00CB543A">
        <w:rPr>
          <w:rFonts w:ascii="Times New Roman" w:hAnsi="Times New Roman" w:cs="Times New Roman"/>
          <w:color w:val="auto"/>
          <w:sz w:val="28"/>
          <w:szCs w:val="28"/>
        </w:rPr>
        <w:t xml:space="preserve"> </w:t>
      </w:r>
      <w:r w:rsidR="0052028C" w:rsidRPr="00CB543A">
        <w:rPr>
          <w:rFonts w:ascii="Times New Roman" w:hAnsi="Times New Roman" w:cs="Times New Roman"/>
          <w:color w:val="auto"/>
          <w:sz w:val="28"/>
          <w:szCs w:val="28"/>
        </w:rPr>
        <w:t xml:space="preserve">5.1.2.3 y 5.1.2.4 </w:t>
      </w:r>
      <w:r w:rsidRPr="00CB543A">
        <w:rPr>
          <w:rFonts w:ascii="Times New Roman" w:hAnsi="Times New Roman" w:cs="Times New Roman"/>
          <w:i/>
          <w:color w:val="auto"/>
          <w:sz w:val="28"/>
          <w:szCs w:val="28"/>
        </w:rPr>
        <w:t>supra</w:t>
      </w:r>
      <w:r w:rsidRPr="00CB543A">
        <w:rPr>
          <w:rFonts w:ascii="Times New Roman" w:hAnsi="Times New Roman" w:cs="Times New Roman"/>
          <w:color w:val="auto"/>
          <w:sz w:val="28"/>
          <w:szCs w:val="28"/>
        </w:rPr>
        <w:t xml:space="preserve">). </w:t>
      </w:r>
      <w:r w:rsidR="0052028C" w:rsidRPr="00CB543A">
        <w:rPr>
          <w:rFonts w:ascii="Times New Roman" w:hAnsi="Times New Roman" w:cs="Times New Roman"/>
          <w:color w:val="auto"/>
          <w:sz w:val="28"/>
          <w:szCs w:val="28"/>
        </w:rPr>
        <w:t>Así las cosas, l</w:t>
      </w:r>
      <w:r w:rsidRPr="00CB543A">
        <w:rPr>
          <w:rFonts w:ascii="Times New Roman" w:hAnsi="Times New Roman" w:cs="Times New Roman"/>
          <w:color w:val="auto"/>
          <w:sz w:val="28"/>
          <w:szCs w:val="28"/>
        </w:rPr>
        <w:t>a decisión de no casar la sentencia</w:t>
      </w:r>
      <w:r w:rsidR="0052028C" w:rsidRPr="00CB543A">
        <w:rPr>
          <w:rFonts w:ascii="Times New Roman" w:hAnsi="Times New Roman" w:cs="Times New Roman"/>
          <w:color w:val="auto"/>
          <w:sz w:val="28"/>
          <w:szCs w:val="28"/>
        </w:rPr>
        <w:t>,</w:t>
      </w:r>
      <w:r w:rsidRPr="00CB543A">
        <w:rPr>
          <w:rFonts w:ascii="Times New Roman" w:hAnsi="Times New Roman" w:cs="Times New Roman"/>
          <w:color w:val="auto"/>
          <w:sz w:val="28"/>
          <w:szCs w:val="28"/>
        </w:rPr>
        <w:t xml:space="preserve"> que desestimó las pretensiones reliquidatorias del accionante, encuentra </w:t>
      </w:r>
      <w:r w:rsidR="0052028C" w:rsidRPr="00CB543A">
        <w:rPr>
          <w:rFonts w:ascii="Times New Roman" w:hAnsi="Times New Roman" w:cs="Times New Roman"/>
          <w:color w:val="auto"/>
          <w:sz w:val="28"/>
          <w:szCs w:val="28"/>
        </w:rPr>
        <w:t xml:space="preserve">fundamento </w:t>
      </w:r>
      <w:r w:rsidRPr="00CB543A">
        <w:rPr>
          <w:rFonts w:ascii="Times New Roman" w:hAnsi="Times New Roman" w:cs="Times New Roman"/>
          <w:color w:val="auto"/>
          <w:sz w:val="28"/>
          <w:szCs w:val="28"/>
        </w:rPr>
        <w:t xml:space="preserve">en la jurisprudencia </w:t>
      </w:r>
      <w:r w:rsidR="0052028C" w:rsidRPr="00CB543A">
        <w:rPr>
          <w:rFonts w:ascii="Times New Roman" w:hAnsi="Times New Roman" w:cs="Times New Roman"/>
          <w:color w:val="auto"/>
          <w:sz w:val="28"/>
          <w:szCs w:val="28"/>
        </w:rPr>
        <w:t xml:space="preserve">en vigor de </w:t>
      </w:r>
      <w:r w:rsidRPr="00CB543A">
        <w:rPr>
          <w:rFonts w:ascii="Times New Roman" w:hAnsi="Times New Roman" w:cs="Times New Roman"/>
          <w:color w:val="auto"/>
          <w:sz w:val="28"/>
          <w:szCs w:val="28"/>
        </w:rPr>
        <w:t xml:space="preserve">la Corte Constitucional, pues, como se pudo </w:t>
      </w:r>
      <w:r w:rsidR="0052028C" w:rsidRPr="00CB543A">
        <w:rPr>
          <w:rFonts w:ascii="Times New Roman" w:hAnsi="Times New Roman" w:cs="Times New Roman"/>
          <w:color w:val="auto"/>
          <w:sz w:val="28"/>
          <w:szCs w:val="28"/>
        </w:rPr>
        <w:t>constatar</w:t>
      </w:r>
      <w:r w:rsidRPr="00CB543A">
        <w:rPr>
          <w:rFonts w:ascii="Times New Roman" w:hAnsi="Times New Roman" w:cs="Times New Roman"/>
          <w:color w:val="auto"/>
          <w:sz w:val="28"/>
          <w:szCs w:val="28"/>
        </w:rPr>
        <w:t xml:space="preserve">, la prestación en litigio fue reliquidada con </w:t>
      </w:r>
      <w:r w:rsidR="0052028C" w:rsidRPr="00CB543A">
        <w:rPr>
          <w:rFonts w:ascii="Times New Roman" w:hAnsi="Times New Roman" w:cs="Times New Roman"/>
          <w:color w:val="auto"/>
          <w:sz w:val="28"/>
          <w:szCs w:val="28"/>
        </w:rPr>
        <w:t xml:space="preserve">fundamento </w:t>
      </w:r>
      <w:r w:rsidRPr="00CB543A">
        <w:rPr>
          <w:rFonts w:ascii="Times New Roman" w:hAnsi="Times New Roman" w:cs="Times New Roman"/>
          <w:color w:val="auto"/>
          <w:sz w:val="28"/>
          <w:szCs w:val="28"/>
        </w:rPr>
        <w:t>en el IBL de las normas vigentes y no de las derogadas.</w:t>
      </w:r>
    </w:p>
    <w:p w:rsidR="0099174F" w:rsidRPr="00CB543A" w:rsidRDefault="0099174F" w:rsidP="00CB543A">
      <w:pPr>
        <w:spacing w:after="0" w:line="240" w:lineRule="auto"/>
        <w:contextualSpacing/>
        <w:jc w:val="both"/>
        <w:rPr>
          <w:rFonts w:ascii="Times New Roman" w:hAnsi="Times New Roman" w:cs="Times New Roman"/>
          <w:color w:val="auto"/>
          <w:sz w:val="28"/>
          <w:szCs w:val="28"/>
        </w:rPr>
      </w:pPr>
    </w:p>
    <w:p w:rsidR="0099174F" w:rsidRPr="00CB543A" w:rsidRDefault="0099174F" w:rsidP="00CB543A">
      <w:pPr>
        <w:numPr>
          <w:ilvl w:val="0"/>
          <w:numId w:val="32"/>
        </w:numPr>
        <w:spacing w:after="0" w:line="240" w:lineRule="auto"/>
        <w:contextualSpacing/>
        <w:jc w:val="both"/>
        <w:rPr>
          <w:rFonts w:ascii="Times New Roman" w:hAnsi="Times New Roman" w:cs="Times New Roman"/>
          <w:color w:val="auto"/>
          <w:sz w:val="28"/>
          <w:szCs w:val="28"/>
        </w:rPr>
      </w:pPr>
      <w:r w:rsidRPr="00CB543A">
        <w:rPr>
          <w:rFonts w:ascii="Times New Roman" w:hAnsi="Times New Roman" w:cs="Times New Roman"/>
          <w:color w:val="auto"/>
          <w:sz w:val="28"/>
          <w:szCs w:val="28"/>
        </w:rPr>
        <w:t>Resulta del caso precisar que</w:t>
      </w:r>
      <w:r w:rsidR="0052028C" w:rsidRPr="00CB543A">
        <w:rPr>
          <w:rFonts w:ascii="Times New Roman" w:hAnsi="Times New Roman" w:cs="Times New Roman"/>
          <w:color w:val="auto"/>
          <w:sz w:val="28"/>
          <w:szCs w:val="28"/>
        </w:rPr>
        <w:t>,</w:t>
      </w:r>
      <w:r w:rsidRPr="00CB543A">
        <w:rPr>
          <w:rFonts w:ascii="Times New Roman" w:hAnsi="Times New Roman" w:cs="Times New Roman"/>
          <w:color w:val="auto"/>
          <w:sz w:val="28"/>
          <w:szCs w:val="28"/>
        </w:rPr>
        <w:t xml:space="preserve"> si bien la sentencia T-022 de 2010 fue anulada, precisamente, por modificar la jurisprudencia en vigor</w:t>
      </w:r>
      <w:r w:rsidR="0052028C" w:rsidRPr="00CB543A">
        <w:rPr>
          <w:rFonts w:ascii="Times New Roman" w:hAnsi="Times New Roman" w:cs="Times New Roman"/>
          <w:color w:val="auto"/>
          <w:sz w:val="28"/>
          <w:szCs w:val="28"/>
        </w:rPr>
        <w:t xml:space="preserve"> para ese momento</w:t>
      </w:r>
      <w:r w:rsidRPr="00CB543A">
        <w:rPr>
          <w:rFonts w:ascii="Times New Roman" w:hAnsi="Times New Roman" w:cs="Times New Roman"/>
          <w:color w:val="auto"/>
          <w:sz w:val="28"/>
          <w:szCs w:val="28"/>
        </w:rPr>
        <w:t xml:space="preserve">, </w:t>
      </w:r>
      <w:r w:rsidR="0052028C" w:rsidRPr="00CB543A">
        <w:rPr>
          <w:rFonts w:ascii="Times New Roman" w:hAnsi="Times New Roman" w:cs="Times New Roman"/>
          <w:color w:val="auto"/>
          <w:sz w:val="28"/>
          <w:szCs w:val="28"/>
        </w:rPr>
        <w:t>no le imponía</w:t>
      </w:r>
      <w:r w:rsidRPr="00CB543A">
        <w:rPr>
          <w:rFonts w:ascii="Times New Roman" w:hAnsi="Times New Roman" w:cs="Times New Roman"/>
          <w:color w:val="auto"/>
          <w:sz w:val="28"/>
          <w:szCs w:val="28"/>
        </w:rPr>
        <w:t xml:space="preserve"> a la Sala una obligación diferente a la de unificar, precisar o reiterar su jurisprudencia (</w:t>
      </w:r>
      <w:r w:rsidR="0052028C" w:rsidRPr="00CB543A">
        <w:rPr>
          <w:rFonts w:ascii="Times New Roman" w:hAnsi="Times New Roman" w:cs="Times New Roman"/>
          <w:color w:val="auto"/>
          <w:sz w:val="28"/>
          <w:szCs w:val="28"/>
        </w:rPr>
        <w:t xml:space="preserve">tal como se </w:t>
      </w:r>
      <w:r w:rsidR="00583B2D" w:rsidRPr="00CB543A">
        <w:rPr>
          <w:rFonts w:ascii="Times New Roman" w:hAnsi="Times New Roman" w:cs="Times New Roman"/>
          <w:color w:val="auto"/>
          <w:sz w:val="28"/>
          <w:szCs w:val="28"/>
        </w:rPr>
        <w:t xml:space="preserve">indicó </w:t>
      </w:r>
      <w:r w:rsidR="0052028C" w:rsidRPr="00CB543A">
        <w:rPr>
          <w:rFonts w:ascii="Times New Roman" w:hAnsi="Times New Roman" w:cs="Times New Roman"/>
          <w:color w:val="auto"/>
          <w:sz w:val="28"/>
          <w:szCs w:val="28"/>
        </w:rPr>
        <w:t xml:space="preserve">en el </w:t>
      </w:r>
      <w:r w:rsidRPr="00CB543A">
        <w:rPr>
          <w:rFonts w:ascii="Times New Roman" w:hAnsi="Times New Roman" w:cs="Times New Roman"/>
          <w:color w:val="auto"/>
          <w:sz w:val="28"/>
          <w:szCs w:val="28"/>
        </w:rPr>
        <w:t>numeral 3</w:t>
      </w:r>
      <w:r w:rsidR="0052028C" w:rsidRPr="00CB543A">
        <w:rPr>
          <w:rFonts w:ascii="Times New Roman" w:hAnsi="Times New Roman" w:cs="Times New Roman"/>
          <w:color w:val="auto"/>
          <w:sz w:val="28"/>
          <w:szCs w:val="28"/>
        </w:rPr>
        <w:t xml:space="preserve"> </w:t>
      </w:r>
      <w:r w:rsidR="0052028C" w:rsidRPr="00CB543A">
        <w:rPr>
          <w:rFonts w:ascii="Times New Roman" w:hAnsi="Times New Roman" w:cs="Times New Roman"/>
          <w:i/>
          <w:color w:val="auto"/>
          <w:sz w:val="28"/>
          <w:szCs w:val="28"/>
        </w:rPr>
        <w:t>supra</w:t>
      </w:r>
      <w:r w:rsidRPr="00CB543A">
        <w:rPr>
          <w:rFonts w:ascii="Times New Roman" w:hAnsi="Times New Roman" w:cs="Times New Roman"/>
          <w:color w:val="auto"/>
          <w:sz w:val="28"/>
          <w:szCs w:val="28"/>
        </w:rPr>
        <w:t>)</w:t>
      </w:r>
      <w:r w:rsidR="0052028C" w:rsidRPr="00CB543A">
        <w:rPr>
          <w:rFonts w:ascii="Times New Roman" w:hAnsi="Times New Roman" w:cs="Times New Roman"/>
          <w:color w:val="auto"/>
          <w:sz w:val="28"/>
          <w:szCs w:val="28"/>
        </w:rPr>
        <w:t xml:space="preserve">. En la actualidad, habiéndose unificado la jurisprudencia constitucional en la materia, </w:t>
      </w:r>
      <w:r w:rsidRPr="00CB543A">
        <w:rPr>
          <w:rFonts w:ascii="Times New Roman" w:hAnsi="Times New Roman" w:cs="Times New Roman"/>
          <w:color w:val="auto"/>
          <w:sz w:val="28"/>
          <w:szCs w:val="28"/>
        </w:rPr>
        <w:t xml:space="preserve">en los términos expuestos </w:t>
      </w:r>
      <w:r w:rsidR="0052028C" w:rsidRPr="00CB543A">
        <w:rPr>
          <w:rFonts w:ascii="Times New Roman" w:hAnsi="Times New Roman" w:cs="Times New Roman"/>
          <w:color w:val="auto"/>
          <w:sz w:val="28"/>
          <w:szCs w:val="28"/>
        </w:rPr>
        <w:t xml:space="preserve">en los </w:t>
      </w:r>
      <w:r w:rsidRPr="00CB543A">
        <w:rPr>
          <w:rFonts w:ascii="Times New Roman" w:hAnsi="Times New Roman" w:cs="Times New Roman"/>
          <w:color w:val="auto"/>
          <w:sz w:val="28"/>
          <w:szCs w:val="28"/>
        </w:rPr>
        <w:t>numeral</w:t>
      </w:r>
      <w:r w:rsidR="0052028C" w:rsidRPr="00CB543A">
        <w:rPr>
          <w:rFonts w:ascii="Times New Roman" w:hAnsi="Times New Roman" w:cs="Times New Roman"/>
          <w:color w:val="auto"/>
          <w:sz w:val="28"/>
          <w:szCs w:val="28"/>
        </w:rPr>
        <w:t>es que anteceden</w:t>
      </w:r>
      <w:r w:rsidRPr="00CB543A">
        <w:rPr>
          <w:rFonts w:ascii="Times New Roman" w:hAnsi="Times New Roman" w:cs="Times New Roman"/>
          <w:color w:val="auto"/>
          <w:sz w:val="28"/>
          <w:szCs w:val="28"/>
        </w:rPr>
        <w:t xml:space="preserve">, lo que corresponde es analizar el caso concreto a partir de </w:t>
      </w:r>
      <w:r w:rsidR="0052028C" w:rsidRPr="00CB543A">
        <w:rPr>
          <w:rFonts w:ascii="Times New Roman" w:hAnsi="Times New Roman" w:cs="Times New Roman"/>
          <w:color w:val="auto"/>
          <w:sz w:val="28"/>
          <w:szCs w:val="28"/>
        </w:rPr>
        <w:t xml:space="preserve">la jurisprudencia en vigor </w:t>
      </w:r>
      <w:r w:rsidRPr="00CB543A">
        <w:rPr>
          <w:rFonts w:ascii="Times New Roman" w:hAnsi="Times New Roman" w:cs="Times New Roman"/>
          <w:color w:val="auto"/>
          <w:sz w:val="28"/>
          <w:szCs w:val="28"/>
        </w:rPr>
        <w:t xml:space="preserve">de la Corte </w:t>
      </w:r>
      <w:r w:rsidR="0052028C" w:rsidRPr="00CB543A">
        <w:rPr>
          <w:rFonts w:ascii="Times New Roman" w:hAnsi="Times New Roman" w:cs="Times New Roman"/>
          <w:color w:val="auto"/>
          <w:sz w:val="28"/>
          <w:szCs w:val="28"/>
        </w:rPr>
        <w:t xml:space="preserve">Constitucional </w:t>
      </w:r>
      <w:r w:rsidRPr="00CB543A">
        <w:rPr>
          <w:rFonts w:ascii="Times New Roman" w:hAnsi="Times New Roman" w:cs="Times New Roman"/>
          <w:color w:val="auto"/>
          <w:sz w:val="28"/>
          <w:szCs w:val="28"/>
        </w:rPr>
        <w:t xml:space="preserve">y no </w:t>
      </w:r>
      <w:r w:rsidR="0052028C" w:rsidRPr="00CB543A">
        <w:rPr>
          <w:rFonts w:ascii="Times New Roman" w:hAnsi="Times New Roman" w:cs="Times New Roman"/>
          <w:color w:val="auto"/>
          <w:sz w:val="28"/>
          <w:szCs w:val="28"/>
        </w:rPr>
        <w:t xml:space="preserve">con fundamento en </w:t>
      </w:r>
      <w:r w:rsidRPr="00CB543A">
        <w:rPr>
          <w:rFonts w:ascii="Times New Roman" w:hAnsi="Times New Roman" w:cs="Times New Roman"/>
          <w:color w:val="auto"/>
          <w:sz w:val="28"/>
          <w:szCs w:val="28"/>
        </w:rPr>
        <w:t>criterios de las Salas de Revisión</w:t>
      </w:r>
      <w:r w:rsidR="0052028C" w:rsidRPr="00CB543A">
        <w:rPr>
          <w:rFonts w:ascii="Times New Roman" w:hAnsi="Times New Roman" w:cs="Times New Roman"/>
          <w:color w:val="auto"/>
          <w:sz w:val="28"/>
          <w:szCs w:val="28"/>
        </w:rPr>
        <w:t>,</w:t>
      </w:r>
      <w:r w:rsidRPr="00CB543A">
        <w:rPr>
          <w:rFonts w:ascii="Times New Roman" w:hAnsi="Times New Roman" w:cs="Times New Roman"/>
          <w:color w:val="auto"/>
          <w:sz w:val="28"/>
          <w:szCs w:val="28"/>
        </w:rPr>
        <w:t xml:space="preserve"> que fueron descartados y supe</w:t>
      </w:r>
      <w:r w:rsidR="0052028C" w:rsidRPr="00CB543A">
        <w:rPr>
          <w:rFonts w:ascii="Times New Roman" w:hAnsi="Times New Roman" w:cs="Times New Roman"/>
          <w:color w:val="auto"/>
          <w:sz w:val="28"/>
          <w:szCs w:val="28"/>
        </w:rPr>
        <w:t>rados por la propia Sala Plena.</w:t>
      </w:r>
    </w:p>
    <w:p w:rsidR="0099174F" w:rsidRPr="00CB543A" w:rsidRDefault="0099174F" w:rsidP="00CB543A">
      <w:pPr>
        <w:pStyle w:val="Prrafodelista"/>
        <w:spacing w:after="0" w:line="240" w:lineRule="auto"/>
        <w:rPr>
          <w:rFonts w:ascii="Times New Roman" w:hAnsi="Times New Roman" w:cs="Times New Roman"/>
          <w:color w:val="auto"/>
          <w:sz w:val="28"/>
          <w:szCs w:val="28"/>
        </w:rPr>
      </w:pPr>
    </w:p>
    <w:p w:rsidR="0099174F" w:rsidRPr="00CB543A" w:rsidRDefault="0099174F" w:rsidP="00CB543A">
      <w:pPr>
        <w:pStyle w:val="Prrafodelista"/>
        <w:widowControl w:val="0"/>
        <w:numPr>
          <w:ilvl w:val="0"/>
          <w:numId w:val="32"/>
        </w:numPr>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 xml:space="preserve">En suma, advierte la Sala que la sentencia del 11 de noviembre de 2008, dictada por la Sala de Casación Civil de la Corte Suprema de Justicia, dentro del proceso ordinario iniciado por el señor Laureano Augusto Ramírez Gil, no </w:t>
      </w:r>
      <w:r w:rsidR="00A9649B" w:rsidRPr="00CB543A">
        <w:rPr>
          <w:rFonts w:ascii="Times New Roman" w:hAnsi="Times New Roman" w:cs="Times New Roman"/>
          <w:sz w:val="28"/>
          <w:szCs w:val="28"/>
        </w:rPr>
        <w:t xml:space="preserve">adolece de </w:t>
      </w:r>
      <w:r w:rsidRPr="00CB543A">
        <w:rPr>
          <w:rFonts w:ascii="Times New Roman" w:hAnsi="Times New Roman" w:cs="Times New Roman"/>
          <w:sz w:val="28"/>
          <w:szCs w:val="28"/>
        </w:rPr>
        <w:t>un defecto por desconocimiento del precedente judicial</w:t>
      </w:r>
      <w:r w:rsidR="00A9649B" w:rsidRPr="00CB543A">
        <w:rPr>
          <w:rFonts w:ascii="Times New Roman" w:hAnsi="Times New Roman" w:cs="Times New Roman"/>
          <w:sz w:val="28"/>
          <w:szCs w:val="28"/>
        </w:rPr>
        <w:t xml:space="preserve"> </w:t>
      </w:r>
      <w:r w:rsidR="00583B2D" w:rsidRPr="00CB543A">
        <w:rPr>
          <w:rFonts w:ascii="Times New Roman" w:hAnsi="Times New Roman" w:cs="Times New Roman"/>
          <w:sz w:val="28"/>
          <w:szCs w:val="28"/>
        </w:rPr>
        <w:t xml:space="preserve">en vigor </w:t>
      </w:r>
      <w:r w:rsidR="00A9649B" w:rsidRPr="00CB543A">
        <w:rPr>
          <w:rFonts w:ascii="Times New Roman" w:hAnsi="Times New Roman" w:cs="Times New Roman"/>
          <w:sz w:val="28"/>
          <w:szCs w:val="28"/>
        </w:rPr>
        <w:t>y, en consecuencia, no desconoce los derechos fundamentales incoados por el tutelante</w:t>
      </w:r>
      <w:r w:rsidR="00CF41BE" w:rsidRPr="00CB543A">
        <w:rPr>
          <w:rFonts w:ascii="Times New Roman" w:hAnsi="Times New Roman" w:cs="Times New Roman"/>
          <w:sz w:val="28"/>
          <w:szCs w:val="28"/>
        </w:rPr>
        <w:t xml:space="preserve"> al debido proceso, igualdad, dignidad humana, derecho a la seguridad social y los </w:t>
      </w:r>
      <w:r w:rsidR="00CF41BE" w:rsidRPr="00CB543A">
        <w:rPr>
          <w:rFonts w:ascii="Times New Roman" w:hAnsi="Times New Roman" w:cs="Times New Roman"/>
          <w:i/>
          <w:sz w:val="28"/>
          <w:szCs w:val="28"/>
        </w:rPr>
        <w:t>“derechos adquiridos de los trabajadores”</w:t>
      </w:r>
      <w:r w:rsidRPr="00CB543A">
        <w:rPr>
          <w:rFonts w:ascii="Times New Roman" w:hAnsi="Times New Roman" w:cs="Times New Roman"/>
          <w:sz w:val="28"/>
          <w:szCs w:val="28"/>
        </w:rPr>
        <w:t>.</w:t>
      </w:r>
    </w:p>
    <w:p w:rsidR="0099174F" w:rsidRPr="00CB543A" w:rsidRDefault="0099174F" w:rsidP="00CB543A">
      <w:pPr>
        <w:spacing w:after="0" w:line="240" w:lineRule="auto"/>
        <w:rPr>
          <w:rFonts w:ascii="Times New Roman" w:hAnsi="Times New Roman" w:cs="Times New Roman"/>
          <w:sz w:val="28"/>
          <w:szCs w:val="28"/>
        </w:rPr>
      </w:pPr>
    </w:p>
    <w:p w:rsidR="00DB194E" w:rsidRPr="00CB543A" w:rsidRDefault="003132A9" w:rsidP="00CB543A">
      <w:pPr>
        <w:widowControl w:val="0"/>
        <w:numPr>
          <w:ilvl w:val="1"/>
          <w:numId w:val="11"/>
        </w:numPr>
        <w:spacing w:after="0" w:line="240" w:lineRule="auto"/>
        <w:ind w:left="0" w:firstLine="0"/>
        <w:jc w:val="both"/>
        <w:rPr>
          <w:rFonts w:ascii="Times New Roman" w:hAnsi="Times New Roman" w:cs="Times New Roman"/>
          <w:b/>
          <w:sz w:val="28"/>
          <w:szCs w:val="28"/>
        </w:rPr>
      </w:pPr>
      <w:r w:rsidRPr="00CB543A">
        <w:rPr>
          <w:rFonts w:ascii="Times New Roman" w:hAnsi="Times New Roman" w:cs="Times New Roman"/>
          <w:b/>
          <w:sz w:val="28"/>
          <w:szCs w:val="28"/>
        </w:rPr>
        <w:t>Análisis de la segunda parte del problema jurídico sustancial del caso</w:t>
      </w:r>
    </w:p>
    <w:p w:rsidR="00DB194E" w:rsidRPr="00CB543A" w:rsidRDefault="00DB194E" w:rsidP="00CB543A">
      <w:pPr>
        <w:spacing w:after="0" w:line="240" w:lineRule="auto"/>
        <w:rPr>
          <w:rFonts w:ascii="Times New Roman" w:hAnsi="Times New Roman" w:cs="Times New Roman"/>
          <w:sz w:val="28"/>
          <w:szCs w:val="28"/>
        </w:rPr>
      </w:pPr>
    </w:p>
    <w:p w:rsidR="003132A9" w:rsidRPr="00CB543A" w:rsidRDefault="0099174F" w:rsidP="00CB543A">
      <w:pPr>
        <w:pStyle w:val="Prrafodelista"/>
        <w:widowControl w:val="0"/>
        <w:numPr>
          <w:ilvl w:val="0"/>
          <w:numId w:val="32"/>
        </w:numPr>
        <w:spacing w:after="0" w:line="240" w:lineRule="auto"/>
        <w:ind w:left="0"/>
        <w:jc w:val="both"/>
        <w:rPr>
          <w:rFonts w:ascii="Times New Roman" w:hAnsi="Times New Roman" w:cs="Times New Roman"/>
          <w:b/>
          <w:sz w:val="28"/>
          <w:szCs w:val="28"/>
        </w:rPr>
      </w:pPr>
      <w:r w:rsidRPr="00CB543A">
        <w:rPr>
          <w:rFonts w:ascii="Times New Roman" w:hAnsi="Times New Roman" w:cs="Times New Roman"/>
          <w:sz w:val="28"/>
          <w:szCs w:val="28"/>
        </w:rPr>
        <w:t xml:space="preserve">Por último, </w:t>
      </w:r>
      <w:r w:rsidR="003132A9" w:rsidRPr="00CB543A">
        <w:rPr>
          <w:rFonts w:ascii="Times New Roman" w:hAnsi="Times New Roman" w:cs="Times New Roman"/>
          <w:sz w:val="28"/>
          <w:szCs w:val="28"/>
        </w:rPr>
        <w:t xml:space="preserve">en cuanto a la segunda parte del problema jurídico sustancial del caso, a que se hizo referencia en el numeral 5 </w:t>
      </w:r>
      <w:r w:rsidR="003132A9" w:rsidRPr="00CB543A">
        <w:rPr>
          <w:rFonts w:ascii="Times New Roman" w:hAnsi="Times New Roman" w:cs="Times New Roman"/>
          <w:i/>
          <w:sz w:val="28"/>
          <w:szCs w:val="28"/>
        </w:rPr>
        <w:t>supra</w:t>
      </w:r>
      <w:r w:rsidR="003132A9" w:rsidRPr="00CB543A">
        <w:rPr>
          <w:rFonts w:ascii="Times New Roman" w:hAnsi="Times New Roman" w:cs="Times New Roman"/>
          <w:sz w:val="28"/>
          <w:szCs w:val="28"/>
        </w:rPr>
        <w:t xml:space="preserve">, </w:t>
      </w:r>
      <w:r w:rsidRPr="00CB543A">
        <w:rPr>
          <w:rFonts w:ascii="Times New Roman" w:hAnsi="Times New Roman" w:cs="Times New Roman"/>
          <w:sz w:val="28"/>
          <w:szCs w:val="28"/>
        </w:rPr>
        <w:t>advierte la Sala que los argumentos relacionados con la aplicación del artículo 19 de la Ley 797 de 2003</w:t>
      </w:r>
      <w:r w:rsidR="003132A9" w:rsidRPr="00CB543A">
        <w:rPr>
          <w:rFonts w:ascii="Times New Roman" w:hAnsi="Times New Roman" w:cs="Times New Roman"/>
          <w:sz w:val="28"/>
          <w:szCs w:val="28"/>
        </w:rPr>
        <w:t xml:space="preserve">, </w:t>
      </w:r>
      <w:r w:rsidRPr="00CB543A">
        <w:rPr>
          <w:rFonts w:ascii="Times New Roman" w:hAnsi="Times New Roman" w:cs="Times New Roman"/>
          <w:sz w:val="28"/>
          <w:szCs w:val="28"/>
        </w:rPr>
        <w:t>tampoco tienen vocación de prosperidad</w:t>
      </w:r>
      <w:r w:rsidR="00CF41BE" w:rsidRPr="00CB543A">
        <w:rPr>
          <w:rFonts w:ascii="Times New Roman" w:hAnsi="Times New Roman" w:cs="Times New Roman"/>
          <w:sz w:val="28"/>
          <w:szCs w:val="28"/>
        </w:rPr>
        <w:t>.</w:t>
      </w:r>
    </w:p>
    <w:p w:rsidR="003132A9" w:rsidRPr="00CB543A" w:rsidRDefault="003132A9" w:rsidP="00CB543A">
      <w:pPr>
        <w:pStyle w:val="Prrafodelista"/>
        <w:widowControl w:val="0"/>
        <w:spacing w:after="0" w:line="240" w:lineRule="auto"/>
        <w:ind w:left="0"/>
        <w:jc w:val="both"/>
        <w:rPr>
          <w:rFonts w:ascii="Times New Roman" w:hAnsi="Times New Roman" w:cs="Times New Roman"/>
          <w:b/>
          <w:sz w:val="28"/>
          <w:szCs w:val="28"/>
        </w:rPr>
      </w:pPr>
    </w:p>
    <w:p w:rsidR="0099174F" w:rsidRPr="00CB543A" w:rsidRDefault="003132A9" w:rsidP="00CB543A">
      <w:pPr>
        <w:pStyle w:val="Prrafodelista"/>
        <w:widowControl w:val="0"/>
        <w:numPr>
          <w:ilvl w:val="0"/>
          <w:numId w:val="32"/>
        </w:numPr>
        <w:spacing w:after="0" w:line="240" w:lineRule="auto"/>
        <w:ind w:left="0"/>
        <w:jc w:val="both"/>
        <w:rPr>
          <w:rFonts w:ascii="Times New Roman" w:hAnsi="Times New Roman" w:cs="Times New Roman"/>
          <w:b/>
          <w:sz w:val="28"/>
          <w:szCs w:val="28"/>
        </w:rPr>
      </w:pPr>
      <w:r w:rsidRPr="00CB543A">
        <w:rPr>
          <w:rFonts w:ascii="Times New Roman" w:hAnsi="Times New Roman" w:cs="Times New Roman"/>
          <w:sz w:val="28"/>
          <w:szCs w:val="28"/>
        </w:rPr>
        <w:t>S</w:t>
      </w:r>
      <w:r w:rsidR="0099174F" w:rsidRPr="00CB543A">
        <w:rPr>
          <w:rFonts w:ascii="Times New Roman" w:hAnsi="Times New Roman" w:cs="Times New Roman"/>
          <w:sz w:val="28"/>
          <w:szCs w:val="28"/>
        </w:rPr>
        <w:t xml:space="preserve">i bien es cierto que en la sentencia </w:t>
      </w:r>
      <w:r w:rsidR="00430085" w:rsidRPr="00CB543A">
        <w:rPr>
          <w:rFonts w:ascii="Times New Roman" w:hAnsi="Times New Roman" w:cs="Times New Roman"/>
          <w:sz w:val="28"/>
          <w:szCs w:val="28"/>
        </w:rPr>
        <w:t xml:space="preserve">que se cuestiona en sede de tutela, </w:t>
      </w:r>
      <w:r w:rsidR="0099174F" w:rsidRPr="00CB543A">
        <w:rPr>
          <w:rFonts w:ascii="Times New Roman" w:hAnsi="Times New Roman" w:cs="Times New Roman"/>
          <w:sz w:val="28"/>
          <w:szCs w:val="28"/>
        </w:rPr>
        <w:t xml:space="preserve">se acudió a esa norma sin considerar </w:t>
      </w:r>
      <w:r w:rsidR="00430085" w:rsidRPr="00CB543A">
        <w:rPr>
          <w:rFonts w:ascii="Times New Roman" w:hAnsi="Times New Roman" w:cs="Times New Roman"/>
          <w:sz w:val="28"/>
          <w:szCs w:val="28"/>
        </w:rPr>
        <w:t xml:space="preserve">lo señalado en la </w:t>
      </w:r>
      <w:r w:rsidR="0099174F" w:rsidRPr="00CB543A">
        <w:rPr>
          <w:rFonts w:ascii="Times New Roman" w:hAnsi="Times New Roman" w:cs="Times New Roman"/>
          <w:sz w:val="28"/>
          <w:szCs w:val="28"/>
        </w:rPr>
        <w:t xml:space="preserve">sentencia C-835 de 2003, también lo es que esos argumentos fueron invocados, en cierta medida, como subsidiarios. </w:t>
      </w:r>
      <w:r w:rsidR="00430085" w:rsidRPr="00CB543A">
        <w:rPr>
          <w:rFonts w:ascii="Times New Roman" w:hAnsi="Times New Roman" w:cs="Times New Roman"/>
          <w:sz w:val="28"/>
          <w:szCs w:val="28"/>
        </w:rPr>
        <w:t>L</w:t>
      </w:r>
      <w:r w:rsidR="0099174F" w:rsidRPr="00CB543A">
        <w:rPr>
          <w:rFonts w:ascii="Times New Roman" w:hAnsi="Times New Roman" w:cs="Times New Roman"/>
          <w:sz w:val="28"/>
          <w:szCs w:val="28"/>
        </w:rPr>
        <w:t xml:space="preserve">as razones principales para negar el cargo correspondiente, </w:t>
      </w:r>
      <w:r w:rsidR="00CF41BE" w:rsidRPr="00CB543A">
        <w:rPr>
          <w:rFonts w:ascii="Times New Roman" w:hAnsi="Times New Roman" w:cs="Times New Roman"/>
          <w:sz w:val="28"/>
          <w:szCs w:val="28"/>
        </w:rPr>
        <w:t xml:space="preserve">en sede de casación, </w:t>
      </w:r>
      <w:r w:rsidR="0099174F" w:rsidRPr="00CB543A">
        <w:rPr>
          <w:rFonts w:ascii="Times New Roman" w:hAnsi="Times New Roman" w:cs="Times New Roman"/>
          <w:sz w:val="28"/>
          <w:szCs w:val="28"/>
        </w:rPr>
        <w:t xml:space="preserve">fueron: </w:t>
      </w:r>
      <w:r w:rsidR="0099174F" w:rsidRPr="00CB543A">
        <w:rPr>
          <w:rFonts w:ascii="Times New Roman" w:hAnsi="Times New Roman" w:cs="Times New Roman"/>
          <w:i/>
          <w:sz w:val="28"/>
          <w:szCs w:val="28"/>
        </w:rPr>
        <w:t>(i)</w:t>
      </w:r>
      <w:r w:rsidR="0099174F" w:rsidRPr="00CB543A">
        <w:rPr>
          <w:rFonts w:ascii="Times New Roman" w:hAnsi="Times New Roman" w:cs="Times New Roman"/>
          <w:sz w:val="28"/>
          <w:szCs w:val="28"/>
        </w:rPr>
        <w:t xml:space="preserve"> </w:t>
      </w:r>
      <w:r w:rsidR="0099174F" w:rsidRPr="00CB543A">
        <w:rPr>
          <w:rFonts w:ascii="Times New Roman" w:hAnsi="Times New Roman" w:cs="Times New Roman"/>
          <w:i/>
          <w:sz w:val="28"/>
          <w:szCs w:val="28"/>
        </w:rPr>
        <w:t xml:space="preserve">“[n]o es exacto afirmar que CAPRECOM (…) procedió a la Revocatoria de la Resolución 0458 de 11 de marzo de 1997, sino que como esta última efectuó el reconocimiento pensional condicionado a la demostración por parte del beneficiario del retiro (…), se imponía a la entidad pagadora de pensiones proceder a la reliquidación de la misma teniendo en cuenta esta circunstancia, en consecuencia, </w:t>
      </w:r>
      <w:r w:rsidR="0099174F" w:rsidRPr="00CB543A">
        <w:rPr>
          <w:rFonts w:ascii="Times New Roman" w:hAnsi="Times New Roman" w:cs="Times New Roman"/>
          <w:b/>
          <w:i/>
          <w:sz w:val="28"/>
          <w:szCs w:val="28"/>
        </w:rPr>
        <w:t>en tanto el reconocimiento del derecho permaneció intangible y lo único que se hizo fue proceder a la liquidación definitiva de una prestación que lo había sido en forma provisional, por no haberse cumplido la condición de retiro definitivo del servicio oficial, no puede hablarse de una revocatoria</w:t>
      </w:r>
      <w:r w:rsidR="0099174F" w:rsidRPr="00CB543A">
        <w:rPr>
          <w:rFonts w:ascii="Times New Roman" w:hAnsi="Times New Roman" w:cs="Times New Roman"/>
          <w:i/>
          <w:sz w:val="28"/>
          <w:szCs w:val="28"/>
        </w:rPr>
        <w:t xml:space="preserve">” </w:t>
      </w:r>
      <w:r w:rsidR="00CF41BE" w:rsidRPr="00CB543A">
        <w:rPr>
          <w:rFonts w:ascii="Times New Roman" w:hAnsi="Times New Roman" w:cs="Times New Roman"/>
          <w:sz w:val="28"/>
          <w:szCs w:val="28"/>
        </w:rPr>
        <w:t>(negrillas propias).</w:t>
      </w:r>
      <w:r w:rsidR="0099174F" w:rsidRPr="00CB543A">
        <w:rPr>
          <w:rFonts w:ascii="Times New Roman" w:hAnsi="Times New Roman" w:cs="Times New Roman"/>
          <w:sz w:val="28"/>
          <w:szCs w:val="28"/>
        </w:rPr>
        <w:t xml:space="preserve"> </w:t>
      </w:r>
      <w:r w:rsidR="00CF41BE" w:rsidRPr="00CB543A">
        <w:rPr>
          <w:rFonts w:ascii="Times New Roman" w:hAnsi="Times New Roman" w:cs="Times New Roman"/>
          <w:sz w:val="28"/>
          <w:szCs w:val="28"/>
        </w:rPr>
        <w:t>Y,</w:t>
      </w:r>
      <w:r w:rsidR="0099174F" w:rsidRPr="00CB543A">
        <w:rPr>
          <w:rFonts w:ascii="Times New Roman" w:hAnsi="Times New Roman" w:cs="Times New Roman"/>
          <w:sz w:val="28"/>
          <w:szCs w:val="28"/>
        </w:rPr>
        <w:t xml:space="preserve"> </w:t>
      </w:r>
      <w:r w:rsidR="0099174F" w:rsidRPr="00CB543A">
        <w:rPr>
          <w:rFonts w:ascii="Times New Roman" w:hAnsi="Times New Roman" w:cs="Times New Roman"/>
          <w:i/>
          <w:sz w:val="28"/>
          <w:szCs w:val="28"/>
        </w:rPr>
        <w:t>(ii)</w:t>
      </w:r>
      <w:r w:rsidR="0099174F" w:rsidRPr="00CB543A">
        <w:rPr>
          <w:rFonts w:ascii="Times New Roman" w:hAnsi="Times New Roman" w:cs="Times New Roman"/>
          <w:sz w:val="28"/>
          <w:szCs w:val="28"/>
        </w:rPr>
        <w:t xml:space="preserve"> aun aceptando que la nueva resolución </w:t>
      </w:r>
      <w:r w:rsidR="00CF41BE" w:rsidRPr="00CB543A">
        <w:rPr>
          <w:rFonts w:ascii="Times New Roman" w:hAnsi="Times New Roman" w:cs="Times New Roman"/>
          <w:sz w:val="28"/>
          <w:szCs w:val="28"/>
        </w:rPr>
        <w:t xml:space="preserve">expedida por CAPRECOM </w:t>
      </w:r>
      <w:r w:rsidR="00E856D9" w:rsidRPr="00CB543A">
        <w:rPr>
          <w:rFonts w:ascii="Times New Roman" w:hAnsi="Times New Roman" w:cs="Times New Roman"/>
          <w:sz w:val="28"/>
          <w:szCs w:val="28"/>
        </w:rPr>
        <w:t>hubiese modificado</w:t>
      </w:r>
      <w:r w:rsidR="0099174F" w:rsidRPr="00CB543A">
        <w:rPr>
          <w:rFonts w:ascii="Times New Roman" w:hAnsi="Times New Roman" w:cs="Times New Roman"/>
          <w:sz w:val="28"/>
          <w:szCs w:val="28"/>
        </w:rPr>
        <w:t xml:space="preserve"> la forma de calcular el IBL</w:t>
      </w:r>
      <w:r w:rsidR="00CF41BE" w:rsidRPr="00CB543A">
        <w:rPr>
          <w:rFonts w:ascii="Times New Roman" w:hAnsi="Times New Roman" w:cs="Times New Roman"/>
          <w:sz w:val="28"/>
          <w:szCs w:val="28"/>
        </w:rPr>
        <w:t>,</w:t>
      </w:r>
      <w:r w:rsidR="0099174F" w:rsidRPr="00CB543A">
        <w:rPr>
          <w:rFonts w:ascii="Times New Roman" w:hAnsi="Times New Roman" w:cs="Times New Roman"/>
          <w:sz w:val="28"/>
          <w:szCs w:val="28"/>
        </w:rPr>
        <w:t xml:space="preserve"> respecto de la decisión adoptada inicialmente, </w:t>
      </w:r>
      <w:r w:rsidR="00CF41BE" w:rsidRPr="00CB543A">
        <w:rPr>
          <w:rFonts w:ascii="Times New Roman" w:hAnsi="Times New Roman" w:cs="Times New Roman"/>
          <w:sz w:val="28"/>
          <w:szCs w:val="28"/>
        </w:rPr>
        <w:t xml:space="preserve">tal como lo consideró la Sala de Casación Laboral, </w:t>
      </w:r>
      <w:r w:rsidR="0099174F" w:rsidRPr="00CB543A">
        <w:rPr>
          <w:rFonts w:ascii="Times New Roman" w:hAnsi="Times New Roman" w:cs="Times New Roman"/>
          <w:sz w:val="28"/>
          <w:szCs w:val="28"/>
        </w:rPr>
        <w:t>lo que se procedió fue a ajustarla a los parámetros de la legislación vigent</w:t>
      </w:r>
      <w:r w:rsidR="00CF41BE" w:rsidRPr="00CB543A">
        <w:rPr>
          <w:rFonts w:ascii="Times New Roman" w:hAnsi="Times New Roman" w:cs="Times New Roman"/>
          <w:sz w:val="28"/>
          <w:szCs w:val="28"/>
        </w:rPr>
        <w:t xml:space="preserve">e y aplicable al caso concreto; por tanto, concluyó que no existía </w:t>
      </w:r>
      <w:r w:rsidR="0099174F" w:rsidRPr="00CB543A">
        <w:rPr>
          <w:rFonts w:ascii="Times New Roman" w:hAnsi="Times New Roman" w:cs="Times New Roman"/>
          <w:i/>
          <w:sz w:val="28"/>
          <w:szCs w:val="28"/>
        </w:rPr>
        <w:t xml:space="preserve">“yerro del Tribunal al haber avalado esta conducta, por cuanto sabido es </w:t>
      </w:r>
      <w:r w:rsidR="0099174F" w:rsidRPr="00CB543A">
        <w:rPr>
          <w:rFonts w:ascii="Times New Roman" w:hAnsi="Times New Roman" w:cs="Times New Roman"/>
          <w:b/>
          <w:i/>
          <w:sz w:val="28"/>
          <w:szCs w:val="28"/>
        </w:rPr>
        <w:t>que el error no es fuente de derechos</w:t>
      </w:r>
      <w:r w:rsidR="0099174F" w:rsidRPr="00CB543A">
        <w:rPr>
          <w:rFonts w:ascii="Times New Roman" w:hAnsi="Times New Roman" w:cs="Times New Roman"/>
          <w:i/>
          <w:sz w:val="28"/>
          <w:szCs w:val="28"/>
        </w:rPr>
        <w:t>”</w:t>
      </w:r>
      <w:r w:rsidR="0099174F" w:rsidRPr="00CB543A">
        <w:rPr>
          <w:rFonts w:ascii="Times New Roman" w:hAnsi="Times New Roman" w:cs="Times New Roman"/>
          <w:sz w:val="28"/>
          <w:szCs w:val="28"/>
        </w:rPr>
        <w:t xml:space="preserve"> (negrillas propias).</w:t>
      </w:r>
    </w:p>
    <w:p w:rsidR="0099174F" w:rsidRPr="00CB543A" w:rsidRDefault="0099174F" w:rsidP="00CB543A">
      <w:pPr>
        <w:pStyle w:val="Prrafodelista"/>
        <w:widowControl w:val="0"/>
        <w:spacing w:after="0" w:line="240" w:lineRule="auto"/>
        <w:ind w:left="0"/>
        <w:jc w:val="both"/>
        <w:rPr>
          <w:rFonts w:ascii="Times New Roman" w:hAnsi="Times New Roman" w:cs="Times New Roman"/>
          <w:b/>
          <w:sz w:val="28"/>
          <w:szCs w:val="28"/>
        </w:rPr>
      </w:pPr>
      <w:r w:rsidRPr="00CB543A">
        <w:rPr>
          <w:rFonts w:ascii="Times New Roman" w:hAnsi="Times New Roman" w:cs="Times New Roman"/>
          <w:sz w:val="28"/>
          <w:szCs w:val="28"/>
        </w:rPr>
        <w:t xml:space="preserve"> </w:t>
      </w:r>
    </w:p>
    <w:p w:rsidR="0099174F" w:rsidRPr="00CB543A" w:rsidRDefault="0099174F" w:rsidP="00CB543A">
      <w:pPr>
        <w:pStyle w:val="Prrafodelista"/>
        <w:widowControl w:val="0"/>
        <w:numPr>
          <w:ilvl w:val="0"/>
          <w:numId w:val="32"/>
        </w:numPr>
        <w:spacing w:after="0" w:line="240" w:lineRule="auto"/>
        <w:ind w:left="0"/>
        <w:jc w:val="both"/>
        <w:rPr>
          <w:rFonts w:ascii="Times New Roman" w:hAnsi="Times New Roman" w:cs="Times New Roman"/>
          <w:b/>
          <w:sz w:val="28"/>
          <w:szCs w:val="28"/>
        </w:rPr>
      </w:pPr>
      <w:r w:rsidRPr="00CB543A">
        <w:rPr>
          <w:rFonts w:ascii="Times New Roman" w:hAnsi="Times New Roman" w:cs="Times New Roman"/>
          <w:sz w:val="28"/>
          <w:szCs w:val="28"/>
        </w:rPr>
        <w:t xml:space="preserve">Como se observa, la conclusión </w:t>
      </w:r>
      <w:r w:rsidR="00CF41BE" w:rsidRPr="00CB543A">
        <w:rPr>
          <w:rFonts w:ascii="Times New Roman" w:hAnsi="Times New Roman" w:cs="Times New Roman"/>
          <w:sz w:val="28"/>
          <w:szCs w:val="28"/>
        </w:rPr>
        <w:t xml:space="preserve">a la que arribó la Sala de Casación Laboral de la Corte Suprema de Justicia </w:t>
      </w:r>
      <w:r w:rsidRPr="00CB543A">
        <w:rPr>
          <w:rFonts w:ascii="Times New Roman" w:hAnsi="Times New Roman" w:cs="Times New Roman"/>
          <w:sz w:val="28"/>
          <w:szCs w:val="28"/>
        </w:rPr>
        <w:t>no se funda</w:t>
      </w:r>
      <w:r w:rsidR="00E856D9" w:rsidRPr="00CB543A">
        <w:rPr>
          <w:rFonts w:ascii="Times New Roman" w:hAnsi="Times New Roman" w:cs="Times New Roman"/>
          <w:sz w:val="28"/>
          <w:szCs w:val="28"/>
        </w:rPr>
        <w:t>mentó</w:t>
      </w:r>
      <w:r w:rsidRPr="00CB543A">
        <w:rPr>
          <w:rFonts w:ascii="Times New Roman" w:hAnsi="Times New Roman" w:cs="Times New Roman"/>
          <w:sz w:val="28"/>
          <w:szCs w:val="28"/>
        </w:rPr>
        <w:t xml:space="preserve"> en la Ley 797 de 2003, </w:t>
      </w:r>
      <w:r w:rsidR="00CF41BE" w:rsidRPr="00CB543A">
        <w:rPr>
          <w:rFonts w:ascii="Times New Roman" w:hAnsi="Times New Roman" w:cs="Times New Roman"/>
          <w:sz w:val="28"/>
          <w:szCs w:val="28"/>
        </w:rPr>
        <w:t xml:space="preserve">normativa </w:t>
      </w:r>
      <w:r w:rsidRPr="00CB543A">
        <w:rPr>
          <w:rFonts w:ascii="Times New Roman" w:hAnsi="Times New Roman" w:cs="Times New Roman"/>
          <w:sz w:val="28"/>
          <w:szCs w:val="28"/>
        </w:rPr>
        <w:t>frente a la cual se pronunció en los siguientes términos:</w:t>
      </w:r>
    </w:p>
    <w:p w:rsidR="0099174F" w:rsidRPr="00CB543A" w:rsidRDefault="0099174F" w:rsidP="00CB543A">
      <w:pPr>
        <w:pStyle w:val="Prrafodelista"/>
        <w:widowControl w:val="0"/>
        <w:spacing w:after="0" w:line="240" w:lineRule="auto"/>
        <w:ind w:left="0"/>
        <w:jc w:val="both"/>
        <w:rPr>
          <w:rFonts w:ascii="Times New Roman" w:hAnsi="Times New Roman" w:cs="Times New Roman"/>
          <w:sz w:val="28"/>
          <w:szCs w:val="28"/>
        </w:rPr>
      </w:pPr>
    </w:p>
    <w:p w:rsidR="0099174F" w:rsidRPr="00CB543A" w:rsidRDefault="0099174F" w:rsidP="00CB543A">
      <w:pPr>
        <w:pStyle w:val="Prrafodelista"/>
        <w:widowControl w:val="0"/>
        <w:tabs>
          <w:tab w:val="left" w:pos="426"/>
        </w:tabs>
        <w:spacing w:after="0" w:line="240" w:lineRule="auto"/>
        <w:ind w:left="567" w:right="616"/>
        <w:jc w:val="both"/>
        <w:rPr>
          <w:rFonts w:ascii="Times New Roman" w:hAnsi="Times New Roman" w:cs="Times New Roman"/>
          <w:b/>
          <w:bCs/>
          <w:sz w:val="28"/>
          <w:szCs w:val="28"/>
        </w:rPr>
      </w:pPr>
      <w:r w:rsidRPr="00CB543A">
        <w:rPr>
          <w:rFonts w:ascii="Times New Roman" w:hAnsi="Times New Roman" w:cs="Times New Roman"/>
          <w:i/>
          <w:color w:val="auto"/>
          <w:sz w:val="28"/>
          <w:szCs w:val="28"/>
          <w:lang w:val="es-ES" w:eastAsia="es-ES_tradnl"/>
        </w:rPr>
        <w:t>“</w:t>
      </w:r>
      <w:r w:rsidRPr="00CB543A">
        <w:rPr>
          <w:rFonts w:ascii="Times New Roman" w:hAnsi="Times New Roman" w:cs="Times New Roman"/>
          <w:i/>
          <w:iCs/>
          <w:color w:val="auto"/>
          <w:sz w:val="28"/>
          <w:szCs w:val="28"/>
          <w:lang w:val="es-ES" w:eastAsia="es-ES_tradnl"/>
        </w:rPr>
        <w:t xml:space="preserve">Por lo demás, la jurisprudencia de esta Sala ha admitido que las entidades de seguridad social para efectos de la revocatoria de prestaciones económicas concedidas sin el lleno de los requisitos exigidos o contrariando disposiciones legales, no están sujetas a las reglas del artículo 73 del Código Contencioso Administrativo, </w:t>
      </w:r>
      <w:r w:rsidRPr="00CB543A">
        <w:rPr>
          <w:rFonts w:ascii="Times New Roman" w:hAnsi="Times New Roman" w:cs="Times New Roman"/>
          <w:b/>
          <w:i/>
          <w:iCs/>
          <w:color w:val="auto"/>
          <w:sz w:val="28"/>
          <w:szCs w:val="28"/>
          <w:lang w:val="es-ES" w:eastAsia="es-ES_tradnl"/>
        </w:rPr>
        <w:t xml:space="preserve">y con mayor razón ahora que el artículo 19 de la Ley 797 de 2003 (…) impone el deber a los funcionarios competentes de revocar los actos administrativos que reconozcan tales prestaciones sin el cumplimiento de requisitos o con base en documentación falsa, aun sin el consentimiento del particular </w:t>
      </w:r>
      <w:r w:rsidRPr="00CB543A">
        <w:rPr>
          <w:rFonts w:ascii="Times New Roman" w:hAnsi="Times New Roman" w:cs="Times New Roman"/>
          <w:i/>
          <w:iCs/>
          <w:color w:val="auto"/>
          <w:sz w:val="28"/>
          <w:szCs w:val="28"/>
          <w:lang w:val="es-ES" w:eastAsia="es-ES_tradnl"/>
        </w:rPr>
        <w:t>(…)</w:t>
      </w:r>
      <w:r w:rsidRPr="00CB543A">
        <w:rPr>
          <w:rFonts w:ascii="Times New Roman" w:hAnsi="Times New Roman" w:cs="Times New Roman"/>
          <w:i/>
          <w:color w:val="auto"/>
          <w:sz w:val="28"/>
          <w:szCs w:val="28"/>
          <w:lang w:val="es-ES" w:eastAsia="es-ES_tradnl"/>
        </w:rPr>
        <w:t>”</w:t>
      </w:r>
      <w:r w:rsidRPr="00CB543A">
        <w:rPr>
          <w:rFonts w:ascii="Times New Roman" w:hAnsi="Times New Roman" w:cs="Times New Roman"/>
          <w:color w:val="auto"/>
          <w:sz w:val="28"/>
          <w:szCs w:val="28"/>
          <w:vertAlign w:val="superscript"/>
          <w:lang w:val="es-ES" w:eastAsia="es-ES_tradnl"/>
        </w:rPr>
        <w:footnoteReference w:id="107"/>
      </w:r>
      <w:r w:rsidR="00CF41BE" w:rsidRPr="00CB543A">
        <w:rPr>
          <w:rFonts w:ascii="Times New Roman" w:hAnsi="Times New Roman" w:cs="Times New Roman"/>
          <w:i/>
          <w:color w:val="auto"/>
          <w:sz w:val="28"/>
          <w:szCs w:val="28"/>
          <w:lang w:val="es-ES" w:eastAsia="es-ES_tradnl"/>
        </w:rPr>
        <w:t xml:space="preserve"> </w:t>
      </w:r>
      <w:r w:rsidRPr="00CB543A">
        <w:rPr>
          <w:rFonts w:ascii="Times New Roman" w:hAnsi="Times New Roman" w:cs="Times New Roman"/>
          <w:color w:val="auto"/>
          <w:sz w:val="28"/>
          <w:szCs w:val="28"/>
          <w:lang w:val="es-ES" w:eastAsia="es-ES_tradnl"/>
        </w:rPr>
        <w:t>(</w:t>
      </w:r>
      <w:r w:rsidR="00CF41BE" w:rsidRPr="00CB543A">
        <w:rPr>
          <w:rFonts w:ascii="Times New Roman" w:hAnsi="Times New Roman" w:cs="Times New Roman"/>
          <w:color w:val="auto"/>
          <w:sz w:val="28"/>
          <w:szCs w:val="28"/>
          <w:lang w:val="es-ES" w:eastAsia="es-ES_tradnl"/>
        </w:rPr>
        <w:t>n</w:t>
      </w:r>
      <w:r w:rsidRPr="00CB543A">
        <w:rPr>
          <w:rFonts w:ascii="Times New Roman" w:hAnsi="Times New Roman" w:cs="Times New Roman"/>
          <w:color w:val="auto"/>
          <w:sz w:val="28"/>
          <w:szCs w:val="28"/>
          <w:lang w:val="es-ES" w:eastAsia="es-ES_tradnl"/>
        </w:rPr>
        <w:t>egrillas propias)</w:t>
      </w:r>
    </w:p>
    <w:p w:rsidR="0099174F" w:rsidRPr="00CB543A" w:rsidRDefault="0099174F" w:rsidP="00CB543A">
      <w:pPr>
        <w:pStyle w:val="Prrafodelista"/>
        <w:widowControl w:val="0"/>
        <w:spacing w:after="0" w:line="240" w:lineRule="auto"/>
        <w:ind w:left="0"/>
        <w:jc w:val="both"/>
        <w:rPr>
          <w:rFonts w:ascii="Times New Roman" w:hAnsi="Times New Roman" w:cs="Times New Roman"/>
          <w:b/>
          <w:sz w:val="28"/>
          <w:szCs w:val="28"/>
        </w:rPr>
      </w:pPr>
    </w:p>
    <w:p w:rsidR="0099174F" w:rsidRPr="00CB543A" w:rsidRDefault="0099174F" w:rsidP="00CB543A">
      <w:pPr>
        <w:pStyle w:val="Prrafodelista"/>
        <w:widowControl w:val="0"/>
        <w:numPr>
          <w:ilvl w:val="0"/>
          <w:numId w:val="32"/>
        </w:numPr>
        <w:spacing w:after="0" w:line="240" w:lineRule="auto"/>
        <w:ind w:left="0"/>
        <w:jc w:val="both"/>
        <w:rPr>
          <w:rFonts w:ascii="Times New Roman" w:hAnsi="Times New Roman" w:cs="Times New Roman"/>
          <w:b/>
          <w:sz w:val="28"/>
          <w:szCs w:val="28"/>
        </w:rPr>
      </w:pPr>
      <w:r w:rsidRPr="00CB543A">
        <w:rPr>
          <w:rFonts w:ascii="Times New Roman" w:hAnsi="Times New Roman" w:cs="Times New Roman"/>
          <w:sz w:val="28"/>
          <w:szCs w:val="28"/>
        </w:rPr>
        <w:t xml:space="preserve">Nótese que este tercer argumento, incluso, estaba orientado a afirmar que en casos como el presente, para la Corte Suprema de Justicia, las </w:t>
      </w:r>
      <w:r w:rsidRPr="00CB543A">
        <w:rPr>
          <w:rFonts w:ascii="Times New Roman" w:hAnsi="Times New Roman" w:cs="Times New Roman"/>
          <w:i/>
          <w:sz w:val="28"/>
          <w:szCs w:val="28"/>
        </w:rPr>
        <w:t>“entidades de seguridad social”</w:t>
      </w:r>
      <w:r w:rsidRPr="00CB543A">
        <w:rPr>
          <w:rFonts w:ascii="Times New Roman" w:hAnsi="Times New Roman" w:cs="Times New Roman"/>
          <w:sz w:val="28"/>
          <w:szCs w:val="28"/>
        </w:rPr>
        <w:t xml:space="preserve"> </w:t>
      </w:r>
      <w:r w:rsidR="00E856D9" w:rsidRPr="00CB543A">
        <w:rPr>
          <w:rFonts w:ascii="Times New Roman" w:hAnsi="Times New Roman" w:cs="Times New Roman"/>
          <w:sz w:val="28"/>
          <w:szCs w:val="28"/>
        </w:rPr>
        <w:t xml:space="preserve">estaban </w:t>
      </w:r>
      <w:r w:rsidRPr="00CB543A">
        <w:rPr>
          <w:rFonts w:ascii="Times New Roman" w:hAnsi="Times New Roman" w:cs="Times New Roman"/>
          <w:sz w:val="28"/>
          <w:szCs w:val="28"/>
        </w:rPr>
        <w:t xml:space="preserve">relevadas de las reglas del artículo 73 del </w:t>
      </w:r>
      <w:r w:rsidR="00E856D9" w:rsidRPr="00CB543A">
        <w:rPr>
          <w:rFonts w:ascii="Times New Roman" w:hAnsi="Times New Roman" w:cs="Times New Roman"/>
          <w:sz w:val="28"/>
          <w:szCs w:val="28"/>
        </w:rPr>
        <w:t>Código Contencioso Administrativo (vigente para la época de los hechos)</w:t>
      </w:r>
      <w:r w:rsidRPr="00CB543A">
        <w:rPr>
          <w:rFonts w:ascii="Times New Roman" w:hAnsi="Times New Roman" w:cs="Times New Roman"/>
          <w:sz w:val="28"/>
          <w:szCs w:val="28"/>
        </w:rPr>
        <w:t xml:space="preserve">, entre ellas, la de solicitar la autorización al </w:t>
      </w:r>
      <w:r w:rsidR="00CF41BE" w:rsidRPr="00CB543A">
        <w:rPr>
          <w:rFonts w:ascii="Times New Roman" w:hAnsi="Times New Roman" w:cs="Times New Roman"/>
          <w:sz w:val="28"/>
          <w:szCs w:val="28"/>
        </w:rPr>
        <w:t>titular de los derechos.</w:t>
      </w:r>
      <w:r w:rsidR="002610B2" w:rsidRPr="00CB543A">
        <w:rPr>
          <w:rFonts w:ascii="Times New Roman" w:hAnsi="Times New Roman" w:cs="Times New Roman"/>
          <w:sz w:val="28"/>
          <w:szCs w:val="28"/>
        </w:rPr>
        <w:t xml:space="preserve"> </w:t>
      </w:r>
      <w:r w:rsidRPr="00CB543A">
        <w:rPr>
          <w:rFonts w:ascii="Times New Roman" w:hAnsi="Times New Roman" w:cs="Times New Roman"/>
          <w:sz w:val="28"/>
          <w:szCs w:val="28"/>
        </w:rPr>
        <w:t>La Sala presta especial atención a</w:t>
      </w:r>
      <w:r w:rsidR="00CF41BE" w:rsidRPr="00CB543A">
        <w:rPr>
          <w:rFonts w:ascii="Times New Roman" w:hAnsi="Times New Roman" w:cs="Times New Roman"/>
          <w:sz w:val="28"/>
          <w:szCs w:val="28"/>
        </w:rPr>
        <w:t xml:space="preserve"> </w:t>
      </w:r>
      <w:r w:rsidRPr="00CB543A">
        <w:rPr>
          <w:rFonts w:ascii="Times New Roman" w:hAnsi="Times New Roman" w:cs="Times New Roman"/>
          <w:sz w:val="28"/>
          <w:szCs w:val="28"/>
        </w:rPr>
        <w:t>l</w:t>
      </w:r>
      <w:r w:rsidR="00CF41BE" w:rsidRPr="00CB543A">
        <w:rPr>
          <w:rFonts w:ascii="Times New Roman" w:hAnsi="Times New Roman" w:cs="Times New Roman"/>
          <w:sz w:val="28"/>
          <w:szCs w:val="28"/>
        </w:rPr>
        <w:t xml:space="preserve">a expresión, </w:t>
      </w:r>
      <w:r w:rsidRPr="00CB543A">
        <w:rPr>
          <w:rFonts w:ascii="Times New Roman" w:hAnsi="Times New Roman" w:cs="Times New Roman"/>
          <w:i/>
          <w:sz w:val="28"/>
          <w:szCs w:val="28"/>
        </w:rPr>
        <w:t>“con mayor razón”</w:t>
      </w:r>
      <w:r w:rsidR="00CF41BE" w:rsidRPr="00CB543A">
        <w:rPr>
          <w:rFonts w:ascii="Times New Roman" w:hAnsi="Times New Roman" w:cs="Times New Roman"/>
          <w:sz w:val="28"/>
          <w:szCs w:val="28"/>
        </w:rPr>
        <w:t>,</w:t>
      </w:r>
      <w:r w:rsidRPr="00CB543A">
        <w:rPr>
          <w:rFonts w:ascii="Times New Roman" w:hAnsi="Times New Roman" w:cs="Times New Roman"/>
          <w:i/>
          <w:sz w:val="28"/>
          <w:szCs w:val="28"/>
        </w:rPr>
        <w:t xml:space="preserve"> </w:t>
      </w:r>
      <w:r w:rsidRPr="00CB543A">
        <w:rPr>
          <w:rFonts w:ascii="Times New Roman" w:hAnsi="Times New Roman" w:cs="Times New Roman"/>
          <w:sz w:val="28"/>
          <w:szCs w:val="28"/>
        </w:rPr>
        <w:t xml:space="preserve">ya que da cuenta </w:t>
      </w:r>
      <w:r w:rsidR="00E856D9" w:rsidRPr="00CB543A">
        <w:rPr>
          <w:rFonts w:ascii="Times New Roman" w:hAnsi="Times New Roman" w:cs="Times New Roman"/>
          <w:sz w:val="28"/>
          <w:szCs w:val="28"/>
        </w:rPr>
        <w:t xml:space="preserve">de </w:t>
      </w:r>
      <w:r w:rsidRPr="00CB543A">
        <w:rPr>
          <w:rFonts w:ascii="Times New Roman" w:hAnsi="Times New Roman" w:cs="Times New Roman"/>
          <w:sz w:val="28"/>
          <w:szCs w:val="28"/>
        </w:rPr>
        <w:t>que se trató de un argumento adicional al anteriormente descrito, esto es, a un</w:t>
      </w:r>
      <w:r w:rsidR="002610B2" w:rsidRPr="00CB543A">
        <w:rPr>
          <w:rFonts w:ascii="Times New Roman" w:hAnsi="Times New Roman" w:cs="Times New Roman"/>
          <w:sz w:val="28"/>
          <w:szCs w:val="28"/>
        </w:rPr>
        <w:t>a</w:t>
      </w:r>
      <w:r w:rsidRPr="00CB543A">
        <w:rPr>
          <w:rFonts w:ascii="Times New Roman" w:hAnsi="Times New Roman" w:cs="Times New Roman"/>
          <w:sz w:val="28"/>
          <w:szCs w:val="28"/>
        </w:rPr>
        <w:t xml:space="preserve"> </w:t>
      </w:r>
      <w:r w:rsidR="002610B2" w:rsidRPr="00CB543A">
        <w:rPr>
          <w:rFonts w:ascii="Times New Roman" w:hAnsi="Times New Roman" w:cs="Times New Roman"/>
          <w:sz w:val="28"/>
          <w:szCs w:val="28"/>
        </w:rPr>
        <w:t xml:space="preserve">razón </w:t>
      </w:r>
      <w:r w:rsidRPr="00CB543A">
        <w:rPr>
          <w:rFonts w:ascii="Times New Roman" w:hAnsi="Times New Roman" w:cs="Times New Roman"/>
          <w:sz w:val="28"/>
          <w:szCs w:val="28"/>
        </w:rPr>
        <w:t xml:space="preserve">cuya ausencia no </w:t>
      </w:r>
      <w:r w:rsidR="002610B2" w:rsidRPr="00CB543A">
        <w:rPr>
          <w:rFonts w:ascii="Times New Roman" w:hAnsi="Times New Roman" w:cs="Times New Roman"/>
          <w:sz w:val="28"/>
          <w:szCs w:val="28"/>
        </w:rPr>
        <w:t xml:space="preserve">afecta </w:t>
      </w:r>
      <w:r w:rsidRPr="00CB543A">
        <w:rPr>
          <w:rFonts w:ascii="Times New Roman" w:hAnsi="Times New Roman" w:cs="Times New Roman"/>
          <w:sz w:val="28"/>
          <w:szCs w:val="28"/>
        </w:rPr>
        <w:t>el sentido de</w:t>
      </w:r>
      <w:r w:rsidR="002610B2" w:rsidRPr="00CB543A">
        <w:rPr>
          <w:rFonts w:ascii="Times New Roman" w:hAnsi="Times New Roman" w:cs="Times New Roman"/>
          <w:sz w:val="28"/>
          <w:szCs w:val="28"/>
        </w:rPr>
        <w:t>l argumento</w:t>
      </w:r>
      <w:r w:rsidRPr="00CB543A">
        <w:rPr>
          <w:rFonts w:ascii="Times New Roman" w:hAnsi="Times New Roman" w:cs="Times New Roman"/>
          <w:sz w:val="28"/>
          <w:szCs w:val="28"/>
        </w:rPr>
        <w:t>.</w:t>
      </w:r>
    </w:p>
    <w:p w:rsidR="0099174F" w:rsidRPr="00CB543A" w:rsidRDefault="0099174F" w:rsidP="00CB543A">
      <w:pPr>
        <w:spacing w:after="0" w:line="240" w:lineRule="auto"/>
        <w:rPr>
          <w:rFonts w:ascii="Times New Roman" w:hAnsi="Times New Roman" w:cs="Times New Roman"/>
          <w:b/>
          <w:sz w:val="28"/>
          <w:szCs w:val="28"/>
        </w:rPr>
      </w:pPr>
    </w:p>
    <w:p w:rsidR="006E3924" w:rsidRPr="00CB543A" w:rsidRDefault="006E3924" w:rsidP="00CB543A">
      <w:pPr>
        <w:pStyle w:val="Prrafodelista"/>
        <w:widowControl w:val="0"/>
        <w:numPr>
          <w:ilvl w:val="0"/>
          <w:numId w:val="32"/>
        </w:numPr>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 xml:space="preserve">Al </w:t>
      </w:r>
      <w:r w:rsidR="00A61261" w:rsidRPr="00CB543A">
        <w:rPr>
          <w:rFonts w:ascii="Times New Roman" w:hAnsi="Times New Roman" w:cs="Times New Roman"/>
          <w:sz w:val="28"/>
          <w:szCs w:val="28"/>
        </w:rPr>
        <w:t>margen de la discusión que pudiera</w:t>
      </w:r>
      <w:r w:rsidRPr="00CB543A">
        <w:rPr>
          <w:rFonts w:ascii="Times New Roman" w:hAnsi="Times New Roman" w:cs="Times New Roman"/>
          <w:sz w:val="28"/>
          <w:szCs w:val="28"/>
        </w:rPr>
        <w:t xml:space="preserve"> surgir acerca del </w:t>
      </w:r>
      <w:r w:rsidR="00A61261" w:rsidRPr="00CB543A">
        <w:rPr>
          <w:rFonts w:ascii="Times New Roman" w:hAnsi="Times New Roman" w:cs="Times New Roman"/>
          <w:sz w:val="28"/>
          <w:szCs w:val="28"/>
        </w:rPr>
        <w:t xml:space="preserve">ámbito de aplicación </w:t>
      </w:r>
      <w:r w:rsidRPr="00CB543A">
        <w:rPr>
          <w:rFonts w:ascii="Times New Roman" w:hAnsi="Times New Roman" w:cs="Times New Roman"/>
          <w:sz w:val="28"/>
          <w:szCs w:val="28"/>
        </w:rPr>
        <w:t>del artículo 150 de la Ley 100 de 1993</w:t>
      </w:r>
      <w:r w:rsidRPr="00CB543A">
        <w:rPr>
          <w:rStyle w:val="Refdenotaalpie"/>
          <w:rFonts w:ascii="Times New Roman" w:hAnsi="Times New Roman" w:cs="Times New Roman"/>
          <w:sz w:val="28"/>
          <w:szCs w:val="28"/>
        </w:rPr>
        <w:footnoteReference w:id="108"/>
      </w:r>
      <w:r w:rsidRPr="00CB543A">
        <w:rPr>
          <w:rFonts w:ascii="Times New Roman" w:hAnsi="Times New Roman" w:cs="Times New Roman"/>
          <w:sz w:val="28"/>
          <w:szCs w:val="28"/>
        </w:rPr>
        <w:t>, que permite la reliquidación del monto de la</w:t>
      </w:r>
      <w:r w:rsidR="00A61261" w:rsidRPr="00CB543A">
        <w:rPr>
          <w:rFonts w:ascii="Times New Roman" w:hAnsi="Times New Roman" w:cs="Times New Roman"/>
          <w:sz w:val="28"/>
          <w:szCs w:val="28"/>
        </w:rPr>
        <w:t>s pensiones</w:t>
      </w:r>
      <w:r w:rsidRPr="00CB543A">
        <w:rPr>
          <w:rFonts w:ascii="Times New Roman" w:hAnsi="Times New Roman" w:cs="Times New Roman"/>
          <w:sz w:val="28"/>
          <w:szCs w:val="28"/>
        </w:rPr>
        <w:t xml:space="preserve"> para los funcionarios y empleados públicos que hubiesen sido notificados de la resolución de jubilación y que no se hubieren retirado del cargo, lo cierto es que la reliquidación objeto del proceso ordinario </w:t>
      </w:r>
      <w:r w:rsidR="00A61261" w:rsidRPr="00CB543A">
        <w:rPr>
          <w:rFonts w:ascii="Times New Roman" w:hAnsi="Times New Roman" w:cs="Times New Roman"/>
          <w:sz w:val="28"/>
          <w:szCs w:val="28"/>
        </w:rPr>
        <w:t xml:space="preserve">sí </w:t>
      </w:r>
      <w:r w:rsidRPr="00CB543A">
        <w:rPr>
          <w:rFonts w:ascii="Times New Roman" w:hAnsi="Times New Roman" w:cs="Times New Roman"/>
          <w:sz w:val="28"/>
          <w:szCs w:val="28"/>
        </w:rPr>
        <w:t xml:space="preserve">se profirió con fundamento en los criterios que señala esa normativa, </w:t>
      </w:r>
      <w:r w:rsidR="00A61261" w:rsidRPr="00CB543A">
        <w:rPr>
          <w:rFonts w:ascii="Times New Roman" w:hAnsi="Times New Roman" w:cs="Times New Roman"/>
          <w:sz w:val="28"/>
          <w:szCs w:val="28"/>
        </w:rPr>
        <w:t xml:space="preserve">que se propuso </w:t>
      </w:r>
      <w:r w:rsidRPr="00CB543A">
        <w:rPr>
          <w:rFonts w:ascii="Times New Roman" w:hAnsi="Times New Roman" w:cs="Times New Roman"/>
          <w:sz w:val="28"/>
          <w:szCs w:val="28"/>
        </w:rPr>
        <w:t xml:space="preserve">como fundamento de la demanda de tutela </w:t>
      </w:r>
      <w:r w:rsidRPr="00CB543A">
        <w:rPr>
          <w:rFonts w:ascii="Times New Roman" w:hAnsi="Times New Roman" w:cs="Times New Roman"/>
          <w:i/>
          <w:sz w:val="28"/>
          <w:szCs w:val="28"/>
        </w:rPr>
        <w:t>sub examine</w:t>
      </w:r>
      <w:r w:rsidRPr="00CB543A">
        <w:rPr>
          <w:rFonts w:ascii="Times New Roman" w:hAnsi="Times New Roman" w:cs="Times New Roman"/>
          <w:sz w:val="28"/>
          <w:szCs w:val="28"/>
        </w:rPr>
        <w:t xml:space="preserve">, ya que la pensión se reliquidó teniendo en cuenta los ingresos que el accionante </w:t>
      </w:r>
      <w:r w:rsidR="00A61261" w:rsidRPr="00CB543A">
        <w:rPr>
          <w:rFonts w:ascii="Times New Roman" w:hAnsi="Times New Roman" w:cs="Times New Roman"/>
          <w:sz w:val="28"/>
          <w:szCs w:val="28"/>
        </w:rPr>
        <w:t>había percibido</w:t>
      </w:r>
      <w:r w:rsidRPr="00CB543A">
        <w:rPr>
          <w:rFonts w:ascii="Times New Roman" w:hAnsi="Times New Roman" w:cs="Times New Roman"/>
          <w:sz w:val="28"/>
          <w:szCs w:val="28"/>
        </w:rPr>
        <w:t xml:space="preserve"> después de su retiro, otra cosa es que el IBL que </w:t>
      </w:r>
      <w:r w:rsidR="00A61261" w:rsidRPr="00CB543A">
        <w:rPr>
          <w:rFonts w:ascii="Times New Roman" w:hAnsi="Times New Roman" w:cs="Times New Roman"/>
          <w:sz w:val="28"/>
          <w:szCs w:val="28"/>
        </w:rPr>
        <w:t xml:space="preserve">sirvió </w:t>
      </w:r>
      <w:r w:rsidRPr="00CB543A">
        <w:rPr>
          <w:rFonts w:ascii="Times New Roman" w:hAnsi="Times New Roman" w:cs="Times New Roman"/>
          <w:sz w:val="28"/>
          <w:szCs w:val="28"/>
        </w:rPr>
        <w:t>par</w:t>
      </w:r>
      <w:r w:rsidR="00A61261" w:rsidRPr="00CB543A">
        <w:rPr>
          <w:rFonts w:ascii="Times New Roman" w:hAnsi="Times New Roman" w:cs="Times New Roman"/>
          <w:sz w:val="28"/>
          <w:szCs w:val="28"/>
        </w:rPr>
        <w:t>a dicha reliquidación no hubiere</w:t>
      </w:r>
      <w:r w:rsidRPr="00CB543A">
        <w:rPr>
          <w:rFonts w:ascii="Times New Roman" w:hAnsi="Times New Roman" w:cs="Times New Roman"/>
          <w:sz w:val="28"/>
          <w:szCs w:val="28"/>
        </w:rPr>
        <w:t xml:space="preserve"> sido el mismo que se tuvo en cuenta en el año 1997. De todas formas, la valoración de la legalidad de la reliquidación pensional era un asunto de </w:t>
      </w:r>
      <w:r w:rsidR="009A5004" w:rsidRPr="00CB543A">
        <w:rPr>
          <w:rFonts w:ascii="Times New Roman" w:hAnsi="Times New Roman" w:cs="Times New Roman"/>
          <w:sz w:val="28"/>
          <w:szCs w:val="28"/>
        </w:rPr>
        <w:t xml:space="preserve">competencia </w:t>
      </w:r>
      <w:r w:rsidRPr="00CB543A">
        <w:rPr>
          <w:rFonts w:ascii="Times New Roman" w:hAnsi="Times New Roman" w:cs="Times New Roman"/>
          <w:sz w:val="28"/>
          <w:szCs w:val="28"/>
        </w:rPr>
        <w:t xml:space="preserve">del juez ordinario y, para los efectos del presente caso, </w:t>
      </w:r>
      <w:r w:rsidR="009A5004" w:rsidRPr="00CB543A">
        <w:rPr>
          <w:rFonts w:ascii="Times New Roman" w:hAnsi="Times New Roman" w:cs="Times New Roman"/>
          <w:sz w:val="28"/>
          <w:szCs w:val="28"/>
        </w:rPr>
        <w:t xml:space="preserve">este </w:t>
      </w:r>
      <w:r w:rsidRPr="00CB543A">
        <w:rPr>
          <w:rFonts w:ascii="Times New Roman" w:hAnsi="Times New Roman" w:cs="Times New Roman"/>
          <w:sz w:val="28"/>
          <w:szCs w:val="28"/>
        </w:rPr>
        <w:t xml:space="preserve">efectuó dicho control </w:t>
      </w:r>
      <w:r w:rsidR="00A61261" w:rsidRPr="00CB543A">
        <w:rPr>
          <w:rFonts w:ascii="Times New Roman" w:hAnsi="Times New Roman" w:cs="Times New Roman"/>
          <w:sz w:val="28"/>
          <w:szCs w:val="28"/>
        </w:rPr>
        <w:t>y concluyó</w:t>
      </w:r>
      <w:r w:rsidRPr="00CB543A">
        <w:rPr>
          <w:rFonts w:ascii="Times New Roman" w:hAnsi="Times New Roman" w:cs="Times New Roman"/>
          <w:sz w:val="28"/>
          <w:szCs w:val="28"/>
        </w:rPr>
        <w:t xml:space="preserve">, de un lado, que CAPRECOM sí podía modificar la liquidación provisional y, del otro, que, de todas formas, un eventual error no </w:t>
      </w:r>
      <w:r w:rsidR="00A61261" w:rsidRPr="00CB543A">
        <w:rPr>
          <w:rFonts w:ascii="Times New Roman" w:hAnsi="Times New Roman" w:cs="Times New Roman"/>
          <w:sz w:val="28"/>
          <w:szCs w:val="28"/>
        </w:rPr>
        <w:t xml:space="preserve">podía </w:t>
      </w:r>
      <w:r w:rsidRPr="00CB543A">
        <w:rPr>
          <w:rFonts w:ascii="Times New Roman" w:hAnsi="Times New Roman" w:cs="Times New Roman"/>
          <w:sz w:val="28"/>
          <w:szCs w:val="28"/>
        </w:rPr>
        <w:t>ser fuente de derechos en materia de pensiones.</w:t>
      </w:r>
    </w:p>
    <w:p w:rsidR="006E3924" w:rsidRPr="00CB543A" w:rsidRDefault="006E3924" w:rsidP="00CB543A">
      <w:pPr>
        <w:pStyle w:val="Prrafodelista"/>
        <w:spacing w:after="0" w:line="240" w:lineRule="auto"/>
        <w:rPr>
          <w:rFonts w:ascii="Times New Roman" w:hAnsi="Times New Roman" w:cs="Times New Roman"/>
          <w:sz w:val="28"/>
          <w:szCs w:val="28"/>
        </w:rPr>
      </w:pPr>
    </w:p>
    <w:p w:rsidR="006E3924" w:rsidRPr="00CB543A" w:rsidRDefault="006E3924" w:rsidP="00CB543A">
      <w:pPr>
        <w:pStyle w:val="Prrafodelista"/>
        <w:widowControl w:val="0"/>
        <w:numPr>
          <w:ilvl w:val="0"/>
          <w:numId w:val="32"/>
        </w:numPr>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 xml:space="preserve">Por lo demás, en lo referente a la vulneración del derecho a la seguridad social, advierte la Sala que, en estricto sentido, la pensión del accionante sí presentó </w:t>
      </w:r>
      <w:r w:rsidR="00A61261" w:rsidRPr="00CB543A">
        <w:rPr>
          <w:rFonts w:ascii="Times New Roman" w:hAnsi="Times New Roman" w:cs="Times New Roman"/>
          <w:sz w:val="28"/>
          <w:szCs w:val="28"/>
        </w:rPr>
        <w:t>un aumento respecto de aquella a la que</w:t>
      </w:r>
      <w:r w:rsidRPr="00CB543A">
        <w:rPr>
          <w:rFonts w:ascii="Times New Roman" w:hAnsi="Times New Roman" w:cs="Times New Roman"/>
          <w:sz w:val="28"/>
          <w:szCs w:val="28"/>
        </w:rPr>
        <w:t xml:space="preserve"> tenía derecho si se hubiera retirado </w:t>
      </w:r>
      <w:r w:rsidR="00A61261" w:rsidRPr="00CB543A">
        <w:rPr>
          <w:rFonts w:ascii="Times New Roman" w:hAnsi="Times New Roman" w:cs="Times New Roman"/>
          <w:sz w:val="28"/>
          <w:szCs w:val="28"/>
        </w:rPr>
        <w:t xml:space="preserve">del servicio </w:t>
      </w:r>
      <w:r w:rsidRPr="00CB543A">
        <w:rPr>
          <w:rFonts w:ascii="Times New Roman" w:hAnsi="Times New Roman" w:cs="Times New Roman"/>
          <w:sz w:val="28"/>
          <w:szCs w:val="28"/>
        </w:rPr>
        <w:t xml:space="preserve">en el año </w:t>
      </w:r>
      <w:r w:rsidR="00A61261" w:rsidRPr="00CB543A">
        <w:rPr>
          <w:rFonts w:ascii="Times New Roman" w:hAnsi="Times New Roman" w:cs="Times New Roman"/>
          <w:sz w:val="28"/>
          <w:szCs w:val="28"/>
        </w:rPr>
        <w:t xml:space="preserve">de </w:t>
      </w:r>
      <w:r w:rsidRPr="00CB543A">
        <w:rPr>
          <w:rFonts w:ascii="Times New Roman" w:hAnsi="Times New Roman" w:cs="Times New Roman"/>
          <w:sz w:val="28"/>
          <w:szCs w:val="28"/>
        </w:rPr>
        <w:t>1997</w:t>
      </w:r>
      <w:r w:rsidR="009F7597" w:rsidRPr="00CB543A">
        <w:rPr>
          <w:rFonts w:ascii="Times New Roman" w:hAnsi="Times New Roman" w:cs="Times New Roman"/>
          <w:sz w:val="28"/>
          <w:szCs w:val="28"/>
        </w:rPr>
        <w:t xml:space="preserve"> y se hubiere dado aplicación, como correspondía, a </w:t>
      </w:r>
      <w:r w:rsidRPr="00CB543A">
        <w:rPr>
          <w:rFonts w:ascii="Times New Roman" w:hAnsi="Times New Roman" w:cs="Times New Roman"/>
          <w:sz w:val="28"/>
          <w:szCs w:val="28"/>
        </w:rPr>
        <w:t xml:space="preserve">lo dispuesto </w:t>
      </w:r>
      <w:r w:rsidR="009F7597" w:rsidRPr="00CB543A">
        <w:rPr>
          <w:rFonts w:ascii="Times New Roman" w:hAnsi="Times New Roman" w:cs="Times New Roman"/>
          <w:sz w:val="28"/>
          <w:szCs w:val="28"/>
        </w:rPr>
        <w:t xml:space="preserve">por </w:t>
      </w:r>
      <w:r w:rsidRPr="00CB543A">
        <w:rPr>
          <w:rFonts w:ascii="Times New Roman" w:hAnsi="Times New Roman" w:cs="Times New Roman"/>
          <w:sz w:val="28"/>
          <w:szCs w:val="28"/>
        </w:rPr>
        <w:t xml:space="preserve">el artículo 36 de la Ley 100 de 1993, </w:t>
      </w:r>
      <w:r w:rsidR="009F7597" w:rsidRPr="00CB543A">
        <w:rPr>
          <w:rFonts w:ascii="Times New Roman" w:hAnsi="Times New Roman" w:cs="Times New Roman"/>
          <w:sz w:val="28"/>
          <w:szCs w:val="28"/>
        </w:rPr>
        <w:t xml:space="preserve">para efectos de su liquidación, en el sentido de que </w:t>
      </w:r>
      <w:r w:rsidRPr="00CB543A">
        <w:rPr>
          <w:rFonts w:ascii="Times New Roman" w:hAnsi="Times New Roman" w:cs="Times New Roman"/>
          <w:sz w:val="28"/>
          <w:szCs w:val="28"/>
        </w:rPr>
        <w:t xml:space="preserve">el IBL no </w:t>
      </w:r>
      <w:r w:rsidR="009F7597" w:rsidRPr="00CB543A">
        <w:rPr>
          <w:rFonts w:ascii="Times New Roman" w:hAnsi="Times New Roman" w:cs="Times New Roman"/>
          <w:sz w:val="28"/>
          <w:szCs w:val="28"/>
        </w:rPr>
        <w:t xml:space="preserve">hacía </w:t>
      </w:r>
      <w:r w:rsidRPr="00CB543A">
        <w:rPr>
          <w:rFonts w:ascii="Times New Roman" w:hAnsi="Times New Roman" w:cs="Times New Roman"/>
          <w:sz w:val="28"/>
          <w:szCs w:val="28"/>
        </w:rPr>
        <w:t>parte del régimen de transic</w:t>
      </w:r>
      <w:r w:rsidR="009F7597" w:rsidRPr="00CB543A">
        <w:rPr>
          <w:rFonts w:ascii="Times New Roman" w:hAnsi="Times New Roman" w:cs="Times New Roman"/>
          <w:sz w:val="28"/>
          <w:szCs w:val="28"/>
        </w:rPr>
        <w:t>ión, como quedó expuesto en esta decisión</w:t>
      </w:r>
      <w:r w:rsidRPr="00CB543A">
        <w:rPr>
          <w:rFonts w:ascii="Times New Roman" w:hAnsi="Times New Roman" w:cs="Times New Roman"/>
          <w:sz w:val="28"/>
          <w:szCs w:val="28"/>
        </w:rPr>
        <w:t>.</w:t>
      </w:r>
    </w:p>
    <w:p w:rsidR="004A2A41" w:rsidRPr="00CB543A" w:rsidRDefault="004A2A41" w:rsidP="00CB543A">
      <w:pPr>
        <w:pStyle w:val="Prrafodelista"/>
        <w:spacing w:after="0" w:line="240" w:lineRule="auto"/>
        <w:rPr>
          <w:rFonts w:ascii="Times New Roman" w:hAnsi="Times New Roman" w:cs="Times New Roman"/>
          <w:sz w:val="28"/>
          <w:szCs w:val="28"/>
        </w:rPr>
      </w:pPr>
    </w:p>
    <w:p w:rsidR="004A2A41" w:rsidRPr="00CB543A" w:rsidRDefault="004A2A41" w:rsidP="00CB543A">
      <w:pPr>
        <w:pStyle w:val="Prrafodelista"/>
        <w:widowControl w:val="0"/>
        <w:numPr>
          <w:ilvl w:val="0"/>
          <w:numId w:val="32"/>
        </w:numPr>
        <w:spacing w:after="0" w:line="240" w:lineRule="auto"/>
        <w:ind w:left="0"/>
        <w:jc w:val="both"/>
        <w:rPr>
          <w:rFonts w:ascii="Times New Roman" w:hAnsi="Times New Roman" w:cs="Times New Roman"/>
          <w:sz w:val="28"/>
          <w:szCs w:val="28"/>
        </w:rPr>
      </w:pPr>
      <w:r w:rsidRPr="00CB543A">
        <w:rPr>
          <w:rFonts w:ascii="Times New Roman" w:hAnsi="Times New Roman" w:cs="Times New Roman"/>
          <w:sz w:val="28"/>
          <w:szCs w:val="28"/>
        </w:rPr>
        <w:t xml:space="preserve">La Sala no puede pasar por alto el hecho </w:t>
      </w:r>
      <w:r w:rsidR="003A753B" w:rsidRPr="00CB543A">
        <w:rPr>
          <w:rFonts w:ascii="Times New Roman" w:hAnsi="Times New Roman" w:cs="Times New Roman"/>
          <w:sz w:val="28"/>
          <w:szCs w:val="28"/>
        </w:rPr>
        <w:t xml:space="preserve">de </w:t>
      </w:r>
      <w:r w:rsidRPr="00CB543A">
        <w:rPr>
          <w:rFonts w:ascii="Times New Roman" w:hAnsi="Times New Roman" w:cs="Times New Roman"/>
          <w:sz w:val="28"/>
          <w:szCs w:val="28"/>
        </w:rPr>
        <w:t xml:space="preserve">que, incluso, desde que se profirió la Resolución No. 458 de 1997, existía controversia en torno a la determinación de la norma que debía aplicarse en el caso del señor Ramírez Gil. De esto dan cuenta las objeciones que presentó CAJANAL, a </w:t>
      </w:r>
      <w:r w:rsidR="003A753B" w:rsidRPr="00CB543A">
        <w:rPr>
          <w:rFonts w:ascii="Times New Roman" w:hAnsi="Times New Roman" w:cs="Times New Roman"/>
          <w:sz w:val="28"/>
          <w:szCs w:val="28"/>
        </w:rPr>
        <w:t xml:space="preserve">la que </w:t>
      </w:r>
      <w:r w:rsidRPr="00CB543A">
        <w:rPr>
          <w:rFonts w:ascii="Times New Roman" w:hAnsi="Times New Roman" w:cs="Times New Roman"/>
          <w:sz w:val="28"/>
          <w:szCs w:val="28"/>
        </w:rPr>
        <w:t xml:space="preserve">le correspondió asumir una parte de la prestación económica, precisamente, porque consideraba que el IBL para </w:t>
      </w:r>
      <w:r w:rsidR="003A753B" w:rsidRPr="00CB543A">
        <w:rPr>
          <w:rFonts w:ascii="Times New Roman" w:hAnsi="Times New Roman" w:cs="Times New Roman"/>
          <w:sz w:val="28"/>
          <w:szCs w:val="28"/>
        </w:rPr>
        <w:t>el caso del accionante debía</w:t>
      </w:r>
      <w:r w:rsidRPr="00CB543A">
        <w:rPr>
          <w:rFonts w:ascii="Times New Roman" w:hAnsi="Times New Roman" w:cs="Times New Roman"/>
          <w:sz w:val="28"/>
          <w:szCs w:val="28"/>
        </w:rPr>
        <w:t xml:space="preserve"> calcularse con fundamento en las normas vigentes y no en la derogada</w:t>
      </w:r>
      <w:r w:rsidRPr="00CB543A">
        <w:rPr>
          <w:rStyle w:val="Refdenotaalpie"/>
          <w:rFonts w:ascii="Times New Roman" w:hAnsi="Times New Roman" w:cs="Times New Roman"/>
          <w:sz w:val="28"/>
          <w:szCs w:val="28"/>
        </w:rPr>
        <w:footnoteReference w:id="109"/>
      </w:r>
      <w:r w:rsidRPr="00CB543A">
        <w:rPr>
          <w:rFonts w:ascii="Times New Roman" w:hAnsi="Times New Roman" w:cs="Times New Roman"/>
          <w:sz w:val="28"/>
          <w:szCs w:val="28"/>
        </w:rPr>
        <w:t>.</w:t>
      </w:r>
    </w:p>
    <w:p w:rsidR="006E3924" w:rsidRPr="00CB543A" w:rsidRDefault="006E3924" w:rsidP="00CB543A">
      <w:pPr>
        <w:spacing w:after="0" w:line="240" w:lineRule="auto"/>
        <w:rPr>
          <w:rFonts w:ascii="Times New Roman" w:hAnsi="Times New Roman" w:cs="Times New Roman"/>
          <w:b/>
          <w:sz w:val="28"/>
          <w:szCs w:val="28"/>
        </w:rPr>
      </w:pPr>
    </w:p>
    <w:p w:rsidR="0099174F" w:rsidRPr="00CB543A" w:rsidRDefault="0099174F" w:rsidP="00CB543A">
      <w:pPr>
        <w:pStyle w:val="Prrafodelista"/>
        <w:widowControl w:val="0"/>
        <w:numPr>
          <w:ilvl w:val="0"/>
          <w:numId w:val="32"/>
        </w:numPr>
        <w:spacing w:after="0" w:line="240" w:lineRule="auto"/>
        <w:ind w:left="0"/>
        <w:jc w:val="both"/>
        <w:rPr>
          <w:rFonts w:ascii="Times New Roman" w:hAnsi="Times New Roman" w:cs="Times New Roman"/>
          <w:b/>
          <w:sz w:val="28"/>
          <w:szCs w:val="28"/>
        </w:rPr>
      </w:pPr>
      <w:r w:rsidRPr="00CB543A">
        <w:rPr>
          <w:rFonts w:ascii="Times New Roman" w:hAnsi="Times New Roman" w:cs="Times New Roman"/>
          <w:sz w:val="28"/>
          <w:szCs w:val="28"/>
        </w:rPr>
        <w:t>Corolario de todo lo anterior, la Sala encuentra que la autoridad judicial accionada no vulneró los derechos fundamentales alegados en la demanda de tutela y, por ende, se deben negar las pretensiones de la acción. En consecuencia, la Sala revocará la decisión del juez de tutela que declaró la improcedencia del amparo y, en su lugar, dispondrá negar</w:t>
      </w:r>
      <w:r w:rsidR="009F7597" w:rsidRPr="00CB543A">
        <w:rPr>
          <w:rFonts w:ascii="Times New Roman" w:hAnsi="Times New Roman" w:cs="Times New Roman"/>
          <w:sz w:val="28"/>
          <w:szCs w:val="28"/>
        </w:rPr>
        <w:t>la</w:t>
      </w:r>
      <w:r w:rsidRPr="00CB543A">
        <w:rPr>
          <w:rFonts w:ascii="Times New Roman" w:hAnsi="Times New Roman" w:cs="Times New Roman"/>
          <w:sz w:val="28"/>
          <w:szCs w:val="28"/>
        </w:rPr>
        <w:t>.</w:t>
      </w:r>
    </w:p>
    <w:p w:rsidR="0099174F" w:rsidRPr="00CB543A" w:rsidRDefault="0099174F" w:rsidP="00CB543A">
      <w:pPr>
        <w:pStyle w:val="Prrafodelista"/>
        <w:widowControl w:val="0"/>
        <w:spacing w:after="0" w:line="240" w:lineRule="auto"/>
        <w:ind w:left="0"/>
        <w:jc w:val="both"/>
        <w:rPr>
          <w:rFonts w:ascii="Times New Roman" w:hAnsi="Times New Roman" w:cs="Times New Roman"/>
          <w:b/>
          <w:sz w:val="28"/>
          <w:szCs w:val="28"/>
        </w:rPr>
      </w:pPr>
    </w:p>
    <w:p w:rsidR="0099174F" w:rsidRPr="00CB543A" w:rsidRDefault="0099174F" w:rsidP="00CB543A">
      <w:pPr>
        <w:pStyle w:val="Prrafodelista"/>
        <w:widowControl w:val="0"/>
        <w:numPr>
          <w:ilvl w:val="0"/>
          <w:numId w:val="33"/>
        </w:numPr>
        <w:spacing w:after="0" w:line="240" w:lineRule="auto"/>
        <w:ind w:left="0"/>
        <w:jc w:val="both"/>
        <w:rPr>
          <w:rFonts w:ascii="Times New Roman" w:hAnsi="Times New Roman" w:cs="Times New Roman"/>
          <w:b/>
          <w:sz w:val="28"/>
          <w:szCs w:val="28"/>
        </w:rPr>
      </w:pPr>
      <w:r w:rsidRPr="00CB543A">
        <w:rPr>
          <w:rFonts w:ascii="Times New Roman" w:hAnsi="Times New Roman" w:cs="Times New Roman"/>
          <w:b/>
          <w:sz w:val="28"/>
          <w:szCs w:val="28"/>
        </w:rPr>
        <w:t>Síntesis de la decisión</w:t>
      </w:r>
    </w:p>
    <w:p w:rsidR="0099174F" w:rsidRPr="00CB543A" w:rsidRDefault="0099174F" w:rsidP="00CB543A">
      <w:pPr>
        <w:spacing w:after="0" w:line="240" w:lineRule="auto"/>
        <w:rPr>
          <w:rFonts w:ascii="Times New Roman" w:hAnsi="Times New Roman" w:cs="Times New Roman"/>
          <w:b/>
          <w:sz w:val="28"/>
          <w:szCs w:val="28"/>
        </w:rPr>
      </w:pPr>
    </w:p>
    <w:p w:rsidR="0099174F" w:rsidRPr="00CB543A" w:rsidRDefault="0099174F" w:rsidP="00CB543A">
      <w:pPr>
        <w:pStyle w:val="Prrafodelista"/>
        <w:widowControl w:val="0"/>
        <w:numPr>
          <w:ilvl w:val="0"/>
          <w:numId w:val="32"/>
        </w:numPr>
        <w:spacing w:after="0" w:line="240" w:lineRule="auto"/>
        <w:ind w:left="0"/>
        <w:jc w:val="both"/>
        <w:rPr>
          <w:rFonts w:ascii="Times New Roman" w:hAnsi="Times New Roman" w:cs="Times New Roman"/>
          <w:b/>
          <w:sz w:val="28"/>
          <w:szCs w:val="28"/>
        </w:rPr>
      </w:pPr>
      <w:r w:rsidRPr="00CB543A">
        <w:rPr>
          <w:rFonts w:ascii="Times New Roman" w:hAnsi="Times New Roman" w:cs="Times New Roman"/>
          <w:sz w:val="28"/>
          <w:szCs w:val="28"/>
        </w:rPr>
        <w:t xml:space="preserve">La Sala </w:t>
      </w:r>
      <w:r w:rsidR="009A5004" w:rsidRPr="00CB543A">
        <w:rPr>
          <w:rFonts w:ascii="Times New Roman" w:hAnsi="Times New Roman" w:cs="Times New Roman"/>
          <w:sz w:val="28"/>
          <w:szCs w:val="28"/>
        </w:rPr>
        <w:t xml:space="preserve">Plena </w:t>
      </w:r>
      <w:r w:rsidR="009F7597" w:rsidRPr="00CB543A">
        <w:rPr>
          <w:rFonts w:ascii="Times New Roman" w:hAnsi="Times New Roman" w:cs="Times New Roman"/>
          <w:sz w:val="28"/>
          <w:szCs w:val="28"/>
        </w:rPr>
        <w:t xml:space="preserve">negó </w:t>
      </w:r>
      <w:r w:rsidRPr="00CB543A">
        <w:rPr>
          <w:rFonts w:ascii="Times New Roman" w:hAnsi="Times New Roman" w:cs="Times New Roman"/>
          <w:sz w:val="28"/>
          <w:szCs w:val="28"/>
        </w:rPr>
        <w:t xml:space="preserve">la acción de tutela al constatar que la decisión adoptada por la </w:t>
      </w:r>
      <w:r w:rsidR="009A5004" w:rsidRPr="00CB543A">
        <w:rPr>
          <w:rFonts w:ascii="Times New Roman" w:hAnsi="Times New Roman" w:cs="Times New Roman"/>
          <w:sz w:val="28"/>
          <w:szCs w:val="28"/>
        </w:rPr>
        <w:t xml:space="preserve">Sala de Casación Laboral de la Corte Suprema de Justicia </w:t>
      </w:r>
      <w:r w:rsidR="00420771" w:rsidRPr="00CB543A">
        <w:rPr>
          <w:rFonts w:ascii="Times New Roman" w:hAnsi="Times New Roman" w:cs="Times New Roman"/>
          <w:sz w:val="28"/>
          <w:szCs w:val="28"/>
        </w:rPr>
        <w:t xml:space="preserve">no </w:t>
      </w:r>
      <w:r w:rsidR="009F7597" w:rsidRPr="00CB543A">
        <w:rPr>
          <w:rFonts w:ascii="Times New Roman" w:hAnsi="Times New Roman" w:cs="Times New Roman"/>
          <w:sz w:val="28"/>
          <w:szCs w:val="28"/>
        </w:rPr>
        <w:t xml:space="preserve">se encontraba </w:t>
      </w:r>
      <w:r w:rsidRPr="00CB543A">
        <w:rPr>
          <w:rFonts w:ascii="Times New Roman" w:hAnsi="Times New Roman" w:cs="Times New Roman"/>
          <w:sz w:val="28"/>
          <w:szCs w:val="28"/>
        </w:rPr>
        <w:t xml:space="preserve">viciada de un defecto por desconocimiento del precedente judicial, </w:t>
      </w:r>
      <w:r w:rsidR="009F7597" w:rsidRPr="00CB543A">
        <w:rPr>
          <w:rFonts w:ascii="Times New Roman" w:hAnsi="Times New Roman" w:cs="Times New Roman"/>
          <w:sz w:val="28"/>
          <w:szCs w:val="28"/>
        </w:rPr>
        <w:t xml:space="preserve">pues </w:t>
      </w:r>
      <w:r w:rsidR="009A5004" w:rsidRPr="00CB543A">
        <w:rPr>
          <w:rFonts w:ascii="Times New Roman" w:hAnsi="Times New Roman" w:cs="Times New Roman"/>
          <w:sz w:val="28"/>
          <w:szCs w:val="28"/>
        </w:rPr>
        <w:t xml:space="preserve">es </w:t>
      </w:r>
      <w:r w:rsidR="00644798" w:rsidRPr="00CB543A">
        <w:rPr>
          <w:rFonts w:ascii="Times New Roman" w:hAnsi="Times New Roman" w:cs="Times New Roman"/>
          <w:sz w:val="28"/>
          <w:szCs w:val="28"/>
        </w:rPr>
        <w:t xml:space="preserve">consecuente con </w:t>
      </w:r>
      <w:r w:rsidR="00D330CC" w:rsidRPr="00CB543A">
        <w:rPr>
          <w:rFonts w:ascii="Times New Roman" w:hAnsi="Times New Roman" w:cs="Times New Roman"/>
          <w:sz w:val="28"/>
          <w:szCs w:val="28"/>
        </w:rPr>
        <w:t xml:space="preserve">la jurisprudencia </w:t>
      </w:r>
      <w:r w:rsidR="009F7597" w:rsidRPr="00CB543A">
        <w:rPr>
          <w:rFonts w:ascii="Times New Roman" w:hAnsi="Times New Roman" w:cs="Times New Roman"/>
          <w:sz w:val="28"/>
          <w:szCs w:val="28"/>
        </w:rPr>
        <w:t xml:space="preserve">de unificación en vigor </w:t>
      </w:r>
      <w:r w:rsidR="00D330CC" w:rsidRPr="00CB543A">
        <w:rPr>
          <w:rFonts w:ascii="Times New Roman" w:hAnsi="Times New Roman" w:cs="Times New Roman"/>
          <w:sz w:val="28"/>
          <w:szCs w:val="28"/>
        </w:rPr>
        <w:t xml:space="preserve">de la Corte Constitucional, </w:t>
      </w:r>
      <w:r w:rsidRPr="00CB543A">
        <w:rPr>
          <w:rFonts w:ascii="Times New Roman" w:hAnsi="Times New Roman" w:cs="Times New Roman"/>
          <w:sz w:val="28"/>
          <w:szCs w:val="28"/>
        </w:rPr>
        <w:t xml:space="preserve">en materia de IBL para las personas del régimen de transición. En esa medida, la Sala </w:t>
      </w:r>
      <w:r w:rsidR="00D330CC" w:rsidRPr="00CB543A">
        <w:rPr>
          <w:rFonts w:ascii="Times New Roman" w:hAnsi="Times New Roman" w:cs="Times New Roman"/>
          <w:sz w:val="28"/>
          <w:szCs w:val="28"/>
        </w:rPr>
        <w:t>reiteró su jurisprudencia y realizó</w:t>
      </w:r>
      <w:r w:rsidRPr="00CB543A">
        <w:rPr>
          <w:rFonts w:ascii="Times New Roman" w:hAnsi="Times New Roman" w:cs="Times New Roman"/>
          <w:sz w:val="28"/>
          <w:szCs w:val="28"/>
        </w:rPr>
        <w:t xml:space="preserve"> la subsunción del </w:t>
      </w:r>
      <w:r w:rsidR="009A5004" w:rsidRPr="00CB543A">
        <w:rPr>
          <w:rFonts w:ascii="Times New Roman" w:hAnsi="Times New Roman" w:cs="Times New Roman"/>
          <w:sz w:val="28"/>
          <w:szCs w:val="28"/>
        </w:rPr>
        <w:t xml:space="preserve">caso concreto en el </w:t>
      </w:r>
      <w:r w:rsidRPr="00CB543A">
        <w:rPr>
          <w:rFonts w:ascii="Times New Roman" w:hAnsi="Times New Roman" w:cs="Times New Roman"/>
          <w:sz w:val="28"/>
          <w:szCs w:val="28"/>
        </w:rPr>
        <w:t xml:space="preserve">precedente </w:t>
      </w:r>
      <w:r w:rsidR="009A5004" w:rsidRPr="00CB543A">
        <w:rPr>
          <w:rFonts w:ascii="Times New Roman" w:hAnsi="Times New Roman" w:cs="Times New Roman"/>
          <w:sz w:val="28"/>
          <w:szCs w:val="28"/>
        </w:rPr>
        <w:t>contenido en la Sentencia SU-230 de 2015</w:t>
      </w:r>
      <w:r w:rsidRPr="00CB543A">
        <w:rPr>
          <w:rFonts w:ascii="Times New Roman" w:hAnsi="Times New Roman" w:cs="Times New Roman"/>
          <w:sz w:val="28"/>
          <w:szCs w:val="28"/>
        </w:rPr>
        <w:t>.</w:t>
      </w:r>
    </w:p>
    <w:p w:rsidR="0099174F" w:rsidRPr="00CB543A" w:rsidRDefault="0099174F" w:rsidP="00CB543A">
      <w:pPr>
        <w:pStyle w:val="Prrafodelista"/>
        <w:widowControl w:val="0"/>
        <w:spacing w:after="0" w:line="240" w:lineRule="auto"/>
        <w:ind w:left="0"/>
        <w:jc w:val="both"/>
        <w:rPr>
          <w:rFonts w:ascii="Times New Roman" w:hAnsi="Times New Roman" w:cs="Times New Roman"/>
          <w:b/>
          <w:sz w:val="28"/>
          <w:szCs w:val="28"/>
        </w:rPr>
      </w:pPr>
    </w:p>
    <w:p w:rsidR="0099174F" w:rsidRPr="00CB543A" w:rsidRDefault="00644798" w:rsidP="00CB543A">
      <w:pPr>
        <w:pStyle w:val="Prrafodelista"/>
        <w:widowControl w:val="0"/>
        <w:numPr>
          <w:ilvl w:val="0"/>
          <w:numId w:val="32"/>
        </w:numPr>
        <w:spacing w:after="0" w:line="240" w:lineRule="auto"/>
        <w:ind w:left="0"/>
        <w:jc w:val="both"/>
        <w:rPr>
          <w:rFonts w:ascii="Times New Roman" w:hAnsi="Times New Roman" w:cs="Times New Roman"/>
          <w:b/>
          <w:sz w:val="28"/>
          <w:szCs w:val="28"/>
        </w:rPr>
      </w:pPr>
      <w:r w:rsidRPr="00CB543A">
        <w:rPr>
          <w:rFonts w:ascii="Times New Roman" w:hAnsi="Times New Roman" w:cs="Times New Roman"/>
          <w:sz w:val="28"/>
          <w:szCs w:val="28"/>
        </w:rPr>
        <w:t>Consideró la Sala Plena que los fundamentos del Auto 144 de 2012, relativas al precedente judicial sobre el IBL, en los casos regulados por el régimen de transición, para el momento en que se expidió la sentencia T-022 de 2010, no vinculaban, en la actualidad, el sentido de la decisión que debía adoptar la Sala Plena. El objeto del auto de anulación fue afirmar la competencia de la Sala Plena para fijar una postura de unificación jurisprudencial, cualquiera que aquella fuere, sobre esta materia, dadas las diferencias que existían entre las Salas de Revisión</w:t>
      </w:r>
      <w:r w:rsidR="0099174F" w:rsidRPr="00CB543A">
        <w:rPr>
          <w:rFonts w:ascii="Times New Roman" w:hAnsi="Times New Roman" w:cs="Times New Roman"/>
          <w:sz w:val="28"/>
          <w:szCs w:val="28"/>
        </w:rPr>
        <w:t>.</w:t>
      </w:r>
    </w:p>
    <w:p w:rsidR="00C70D48" w:rsidRPr="00CB543A" w:rsidRDefault="00C70D48" w:rsidP="00CB543A">
      <w:pPr>
        <w:pStyle w:val="Prrafodelista"/>
        <w:spacing w:after="0" w:line="240" w:lineRule="auto"/>
        <w:rPr>
          <w:rFonts w:ascii="Times New Roman" w:hAnsi="Times New Roman" w:cs="Times New Roman"/>
          <w:b/>
          <w:sz w:val="28"/>
          <w:szCs w:val="28"/>
        </w:rPr>
      </w:pPr>
    </w:p>
    <w:p w:rsidR="00C70D48" w:rsidRPr="00CB543A" w:rsidRDefault="00C70D48" w:rsidP="00CB543A">
      <w:pPr>
        <w:pStyle w:val="Prrafodelista"/>
        <w:widowControl w:val="0"/>
        <w:numPr>
          <w:ilvl w:val="0"/>
          <w:numId w:val="32"/>
        </w:numPr>
        <w:spacing w:after="0" w:line="240" w:lineRule="auto"/>
        <w:ind w:left="0"/>
        <w:jc w:val="both"/>
        <w:rPr>
          <w:rFonts w:ascii="Times New Roman" w:hAnsi="Times New Roman" w:cs="Times New Roman"/>
          <w:b/>
          <w:sz w:val="28"/>
          <w:szCs w:val="28"/>
        </w:rPr>
      </w:pPr>
      <w:r w:rsidRPr="00CB543A">
        <w:rPr>
          <w:rFonts w:ascii="Times New Roman" w:hAnsi="Times New Roman" w:cs="Times New Roman"/>
          <w:sz w:val="28"/>
          <w:szCs w:val="28"/>
        </w:rPr>
        <w:t xml:space="preserve">Con posterioridad a la expedición del auto de anulación (Auto 144 de 2012) y antes de que se profiriera la sentencia de reemplazo, la Sala Plena unificó su jurisprudencia en cuanto a la determinación del IBL para los beneficiarios del régimen de transición, en la Sentencia SU-230 de 2015, reiterada, de manera reciente, en las sentencias SU-210 y SU-395, ambas de 2017. Este precedente, consideró la Sala Plena, vinculaba la solución del caso y no las consideraciones plasmadas en el Auto 144 de 2012, en relación con el </w:t>
      </w:r>
      <w:r w:rsidRPr="00CB543A">
        <w:rPr>
          <w:rFonts w:ascii="Times New Roman" w:hAnsi="Times New Roman" w:cs="Times New Roman"/>
          <w:i/>
          <w:sz w:val="28"/>
          <w:szCs w:val="28"/>
        </w:rPr>
        <w:t>“alcance y la interpretación de los incisos 2 y 3 del artículo 36 de la Ley 100 de 1993 sobre la aplicación integral de las reglas de los regímenes especiales de pensiones a los beneficiarios del régimen de transición”</w:t>
      </w:r>
      <w:r w:rsidRPr="00CB543A">
        <w:rPr>
          <w:rFonts w:ascii="Times New Roman" w:hAnsi="Times New Roman" w:cs="Times New Roman"/>
          <w:sz w:val="28"/>
          <w:szCs w:val="28"/>
        </w:rPr>
        <w:t xml:space="preserve">. El objeto del auto de anulación fue afirmar la competencia de la Sala Plena para fijar una postura de unificación jurisprudencial, cualquiera que aquella fuere, sobre la referida materia y no de las Salas de Revisión. Con fundamento en lo anterior, concluyó la Sala Plena que el tutelante nunca tuvo un derecho cierto a la reliquidación de su mesada pensional, con fundamento en factores salariales sobre los cuales no realizó el respectivo aporte y en el promedio de liquidación fijado por una norma derogada. Se trataba de una mera expectativa, que en algún momento encontró sustento en algunas sentencias de las </w:t>
      </w:r>
      <w:r w:rsidR="00B30D3C" w:rsidRPr="00CB543A">
        <w:rPr>
          <w:rFonts w:ascii="Times New Roman" w:hAnsi="Times New Roman" w:cs="Times New Roman"/>
          <w:sz w:val="28"/>
          <w:szCs w:val="28"/>
        </w:rPr>
        <w:t>S</w:t>
      </w:r>
      <w:r w:rsidRPr="00CB543A">
        <w:rPr>
          <w:rFonts w:ascii="Times New Roman" w:hAnsi="Times New Roman" w:cs="Times New Roman"/>
          <w:sz w:val="28"/>
          <w:szCs w:val="28"/>
        </w:rPr>
        <w:t xml:space="preserve">alas de </w:t>
      </w:r>
      <w:r w:rsidR="00B30D3C" w:rsidRPr="00CB543A">
        <w:rPr>
          <w:rFonts w:ascii="Times New Roman" w:hAnsi="Times New Roman" w:cs="Times New Roman"/>
          <w:sz w:val="28"/>
          <w:szCs w:val="28"/>
        </w:rPr>
        <w:t>R</w:t>
      </w:r>
      <w:r w:rsidRPr="00CB543A">
        <w:rPr>
          <w:rFonts w:ascii="Times New Roman" w:hAnsi="Times New Roman" w:cs="Times New Roman"/>
          <w:sz w:val="28"/>
          <w:szCs w:val="28"/>
        </w:rPr>
        <w:t>evisión, citadas por el tutelante y que fueron consideradas en el Auto 144 de 2012. Sin embargo, tal como se indicó en la Sentencia SU-230 de 2015, dichas providencias se encontraban en tensión con otras sentencias proferidas por las demás salas de revisión, y con otros postulados constitucionales contenidos en el Acto Legislativo 01 de 2005. Esta situación, finalmente, condujo a la unificación de la jurisprudencia de la Corte Constitucional en la materia, por medio de la Sentencia SU-230 de 2015, precedente en el que, insistió la Sala Plena, era el relevante y vinculante para la resolución del caso actual.</w:t>
      </w:r>
    </w:p>
    <w:p w:rsidR="0099174F" w:rsidRPr="00CB543A" w:rsidRDefault="0099174F" w:rsidP="00CB543A">
      <w:pPr>
        <w:tabs>
          <w:tab w:val="left" w:pos="3570"/>
        </w:tabs>
        <w:autoSpaceDE w:val="0"/>
        <w:autoSpaceDN w:val="0"/>
        <w:adjustRightInd w:val="0"/>
        <w:spacing w:after="0" w:line="240" w:lineRule="auto"/>
        <w:contextualSpacing/>
        <w:rPr>
          <w:rFonts w:ascii="Times New Roman" w:hAnsi="Times New Roman" w:cs="Times New Roman"/>
          <w:sz w:val="28"/>
          <w:szCs w:val="28"/>
        </w:rPr>
      </w:pPr>
    </w:p>
    <w:p w:rsidR="0099174F" w:rsidRPr="00CB543A" w:rsidRDefault="0099174F" w:rsidP="00CB543A">
      <w:pPr>
        <w:widowControl w:val="0"/>
        <w:numPr>
          <w:ilvl w:val="0"/>
          <w:numId w:val="12"/>
        </w:numPr>
        <w:spacing w:after="0" w:line="240" w:lineRule="auto"/>
        <w:ind w:hanging="720"/>
        <w:contextualSpacing/>
        <w:jc w:val="both"/>
        <w:rPr>
          <w:rFonts w:ascii="Times New Roman" w:hAnsi="Times New Roman" w:cs="Times New Roman"/>
          <w:b/>
          <w:sz w:val="28"/>
          <w:szCs w:val="28"/>
        </w:rPr>
      </w:pPr>
      <w:r w:rsidRPr="00CB543A">
        <w:rPr>
          <w:rFonts w:ascii="Times New Roman" w:hAnsi="Times New Roman" w:cs="Times New Roman"/>
          <w:b/>
          <w:sz w:val="28"/>
          <w:szCs w:val="28"/>
        </w:rPr>
        <w:t>DECISIÓN</w:t>
      </w:r>
    </w:p>
    <w:p w:rsidR="0099174F" w:rsidRPr="00CB543A" w:rsidRDefault="0099174F" w:rsidP="00CB543A">
      <w:pPr>
        <w:spacing w:after="0" w:line="240" w:lineRule="auto"/>
        <w:ind w:left="360"/>
        <w:contextualSpacing/>
        <w:jc w:val="both"/>
        <w:rPr>
          <w:rFonts w:ascii="Times New Roman" w:hAnsi="Times New Roman" w:cs="Times New Roman"/>
          <w:sz w:val="28"/>
          <w:szCs w:val="28"/>
        </w:rPr>
      </w:pPr>
      <w:r w:rsidRPr="00CB543A">
        <w:rPr>
          <w:rFonts w:ascii="Times New Roman" w:hAnsi="Times New Roman" w:cs="Times New Roman"/>
          <w:sz w:val="28"/>
          <w:szCs w:val="28"/>
        </w:rPr>
        <w:t> </w:t>
      </w:r>
    </w:p>
    <w:p w:rsidR="0099174F" w:rsidRPr="00CB543A" w:rsidRDefault="0099174F" w:rsidP="00CB543A">
      <w:pPr>
        <w:shd w:val="clear" w:color="auto" w:fill="FFFFFF"/>
        <w:spacing w:after="0" w:line="240" w:lineRule="auto"/>
        <w:ind w:right="49"/>
        <w:contextualSpacing/>
        <w:jc w:val="both"/>
        <w:rPr>
          <w:rFonts w:ascii="Times New Roman" w:hAnsi="Times New Roman" w:cs="Times New Roman"/>
          <w:sz w:val="28"/>
          <w:szCs w:val="28"/>
        </w:rPr>
      </w:pPr>
      <w:r w:rsidRPr="00CB543A">
        <w:rPr>
          <w:rFonts w:ascii="Times New Roman" w:hAnsi="Times New Roman" w:cs="Times New Roman"/>
          <w:sz w:val="28"/>
          <w:szCs w:val="28"/>
        </w:rPr>
        <w:t>En mérito de lo expuesto, la Sala Plena de la Corte Constitucional, administrando justicia en nombre del pueblo y por mandato de la Constitución,</w:t>
      </w:r>
    </w:p>
    <w:p w:rsidR="0099174F" w:rsidRPr="00CB543A" w:rsidRDefault="0099174F" w:rsidP="00CB543A">
      <w:pPr>
        <w:shd w:val="clear" w:color="auto" w:fill="FFFFFF"/>
        <w:spacing w:after="0" w:line="240" w:lineRule="auto"/>
        <w:ind w:right="49"/>
        <w:contextualSpacing/>
        <w:jc w:val="center"/>
        <w:rPr>
          <w:rFonts w:ascii="Times New Roman" w:hAnsi="Times New Roman" w:cs="Times New Roman"/>
          <w:sz w:val="28"/>
          <w:szCs w:val="28"/>
        </w:rPr>
      </w:pPr>
    </w:p>
    <w:p w:rsidR="0099174F" w:rsidRPr="00CB543A" w:rsidRDefault="0099174F" w:rsidP="00CB543A">
      <w:pPr>
        <w:shd w:val="clear" w:color="auto" w:fill="FFFFFF"/>
        <w:spacing w:after="0" w:line="240" w:lineRule="auto"/>
        <w:ind w:right="49"/>
        <w:contextualSpacing/>
        <w:jc w:val="center"/>
        <w:rPr>
          <w:rFonts w:ascii="Times New Roman" w:hAnsi="Times New Roman" w:cs="Times New Roman"/>
          <w:sz w:val="28"/>
          <w:szCs w:val="28"/>
        </w:rPr>
      </w:pPr>
      <w:bookmarkStart w:id="2" w:name="_30j0zll" w:colFirst="0" w:colLast="0"/>
      <w:bookmarkEnd w:id="2"/>
      <w:r w:rsidRPr="00CB543A">
        <w:rPr>
          <w:rFonts w:ascii="Times New Roman" w:hAnsi="Times New Roman" w:cs="Times New Roman"/>
          <w:b/>
          <w:sz w:val="28"/>
          <w:szCs w:val="28"/>
        </w:rPr>
        <w:t>RESUELVE</w:t>
      </w:r>
    </w:p>
    <w:p w:rsidR="0099174F" w:rsidRDefault="0099174F" w:rsidP="00CB543A">
      <w:pPr>
        <w:spacing w:after="0" w:line="240" w:lineRule="auto"/>
        <w:ind w:right="51"/>
        <w:contextualSpacing/>
        <w:jc w:val="both"/>
        <w:rPr>
          <w:rFonts w:ascii="Times New Roman" w:hAnsi="Times New Roman" w:cs="Times New Roman"/>
          <w:sz w:val="28"/>
          <w:szCs w:val="28"/>
        </w:rPr>
      </w:pPr>
    </w:p>
    <w:p w:rsidR="00CB543A" w:rsidRPr="00CB543A" w:rsidRDefault="00CB543A" w:rsidP="00CB543A">
      <w:pPr>
        <w:spacing w:after="0" w:line="240" w:lineRule="auto"/>
        <w:ind w:right="51"/>
        <w:contextualSpacing/>
        <w:jc w:val="both"/>
        <w:rPr>
          <w:rFonts w:ascii="Times New Roman" w:hAnsi="Times New Roman" w:cs="Times New Roman"/>
          <w:sz w:val="28"/>
          <w:szCs w:val="28"/>
        </w:rPr>
      </w:pPr>
    </w:p>
    <w:p w:rsidR="0099174F" w:rsidRPr="00CB543A" w:rsidRDefault="0099174F" w:rsidP="00CB543A">
      <w:pPr>
        <w:spacing w:after="0" w:line="240" w:lineRule="auto"/>
        <w:ind w:right="51"/>
        <w:contextualSpacing/>
        <w:jc w:val="both"/>
        <w:rPr>
          <w:rFonts w:ascii="Times New Roman" w:hAnsi="Times New Roman" w:cs="Times New Roman"/>
          <w:sz w:val="28"/>
          <w:szCs w:val="28"/>
        </w:rPr>
      </w:pPr>
      <w:r w:rsidRPr="00CB543A">
        <w:rPr>
          <w:rFonts w:ascii="Times New Roman" w:hAnsi="Times New Roman" w:cs="Times New Roman"/>
          <w:b/>
          <w:sz w:val="28"/>
          <w:szCs w:val="28"/>
        </w:rPr>
        <w:t>Primero. REVOCAR</w:t>
      </w:r>
      <w:r w:rsidRPr="00CB543A">
        <w:rPr>
          <w:rFonts w:ascii="Times New Roman" w:hAnsi="Times New Roman" w:cs="Times New Roman"/>
          <w:sz w:val="28"/>
          <w:szCs w:val="28"/>
        </w:rPr>
        <w:t xml:space="preserve"> la decisión del 16 de diciembre de 2008, de la Sala de Casación Penal de la Corte Suprema de Justicia, que declaró la improcedencia de la acción de tutela interpuesta por Laureano Augusto Ramírez Gil. En su lugar, </w:t>
      </w:r>
      <w:r w:rsidRPr="00CB543A">
        <w:rPr>
          <w:rFonts w:ascii="Times New Roman" w:hAnsi="Times New Roman" w:cs="Times New Roman"/>
          <w:b/>
          <w:sz w:val="28"/>
          <w:szCs w:val="28"/>
        </w:rPr>
        <w:t>NEGAR</w:t>
      </w:r>
      <w:r w:rsidRPr="00CB543A">
        <w:rPr>
          <w:rFonts w:ascii="Times New Roman" w:hAnsi="Times New Roman" w:cs="Times New Roman"/>
          <w:sz w:val="28"/>
          <w:szCs w:val="28"/>
        </w:rPr>
        <w:t xml:space="preserve"> la acción de tutela, por lo dicho en la parte motiva.</w:t>
      </w:r>
    </w:p>
    <w:p w:rsidR="0099174F" w:rsidRPr="00CB543A" w:rsidRDefault="0099174F" w:rsidP="00CB543A">
      <w:pPr>
        <w:spacing w:after="0" w:line="240" w:lineRule="auto"/>
        <w:ind w:right="51"/>
        <w:contextualSpacing/>
        <w:jc w:val="both"/>
        <w:rPr>
          <w:rFonts w:ascii="Times New Roman" w:hAnsi="Times New Roman" w:cs="Times New Roman"/>
          <w:sz w:val="28"/>
          <w:szCs w:val="28"/>
        </w:rPr>
      </w:pPr>
    </w:p>
    <w:p w:rsidR="0099174F" w:rsidRPr="00CB543A" w:rsidRDefault="0099174F" w:rsidP="00CB543A">
      <w:pPr>
        <w:spacing w:after="0" w:line="240" w:lineRule="auto"/>
        <w:ind w:right="51"/>
        <w:contextualSpacing/>
        <w:jc w:val="both"/>
        <w:rPr>
          <w:rFonts w:ascii="Times New Roman" w:hAnsi="Times New Roman" w:cs="Times New Roman"/>
          <w:sz w:val="28"/>
          <w:szCs w:val="28"/>
        </w:rPr>
      </w:pPr>
      <w:r w:rsidRPr="00CB543A">
        <w:rPr>
          <w:rFonts w:ascii="Times New Roman" w:hAnsi="Times New Roman" w:cs="Times New Roman"/>
          <w:b/>
          <w:sz w:val="28"/>
          <w:szCs w:val="28"/>
        </w:rPr>
        <w:t>Segundo. EXPEDIR</w:t>
      </w:r>
      <w:r w:rsidRPr="00CB543A">
        <w:rPr>
          <w:rFonts w:ascii="Times New Roman" w:hAnsi="Times New Roman" w:cs="Times New Roman"/>
          <w:sz w:val="28"/>
          <w:szCs w:val="28"/>
        </w:rPr>
        <w:t>, por Secretaría General, las comunicaciones previstas en el artículo 36 del Decreto Ley 2591 de 1991.</w:t>
      </w:r>
    </w:p>
    <w:p w:rsidR="0099174F" w:rsidRPr="00CB543A" w:rsidRDefault="0099174F" w:rsidP="00CB543A">
      <w:pPr>
        <w:spacing w:after="0" w:line="240" w:lineRule="auto"/>
        <w:ind w:right="51"/>
        <w:contextualSpacing/>
        <w:jc w:val="both"/>
        <w:rPr>
          <w:rFonts w:ascii="Times New Roman" w:hAnsi="Times New Roman" w:cs="Times New Roman"/>
          <w:sz w:val="28"/>
          <w:szCs w:val="28"/>
        </w:rPr>
      </w:pPr>
    </w:p>
    <w:p w:rsidR="0099174F" w:rsidRPr="00CB543A" w:rsidRDefault="0099174F" w:rsidP="00CB543A">
      <w:pPr>
        <w:spacing w:after="0" w:line="240" w:lineRule="auto"/>
        <w:ind w:right="51"/>
        <w:contextualSpacing/>
        <w:jc w:val="both"/>
        <w:rPr>
          <w:rFonts w:ascii="Times New Roman" w:hAnsi="Times New Roman" w:cs="Times New Roman"/>
          <w:sz w:val="28"/>
          <w:szCs w:val="28"/>
        </w:rPr>
      </w:pPr>
      <w:r w:rsidRPr="00CB543A">
        <w:rPr>
          <w:rFonts w:ascii="Times New Roman" w:hAnsi="Times New Roman" w:cs="Times New Roman"/>
          <w:sz w:val="28"/>
          <w:szCs w:val="28"/>
        </w:rPr>
        <w:t>Comuníquese y cúmplase,</w:t>
      </w: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bookmarkStart w:id="3" w:name="_1fob9te" w:colFirst="0" w:colLast="0"/>
      <w:bookmarkEnd w:id="3"/>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ALEJANDRO LINARES CANTILLO</w:t>
      </w: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Presidente</w:t>
      </w: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CARLOS BERNAL PULIDO</w:t>
      </w: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Magistrado</w:t>
      </w: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A0550" w:rsidRPr="00CB543A" w:rsidRDefault="009A0550"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DIANA FAJARDO RIVERA</w:t>
      </w: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Magistrada</w:t>
      </w:r>
    </w:p>
    <w:p w:rsidR="0099174F" w:rsidRPr="00CB543A" w:rsidRDefault="00CB543A" w:rsidP="00CB543A">
      <w:pPr>
        <w:spacing w:after="0" w:line="240" w:lineRule="auto"/>
        <w:ind w:right="51"/>
        <w:contextualSpacing/>
        <w:jc w:val="center"/>
        <w:rPr>
          <w:rFonts w:ascii="Times New Roman" w:hAnsi="Times New Roman" w:cs="Times New Roman"/>
          <w:sz w:val="28"/>
          <w:szCs w:val="28"/>
        </w:rPr>
      </w:pPr>
      <w:r>
        <w:rPr>
          <w:rFonts w:ascii="Times New Roman" w:hAnsi="Times New Roman" w:cs="Times New Roman"/>
          <w:i/>
          <w:sz w:val="28"/>
          <w:szCs w:val="28"/>
        </w:rPr>
        <w:t>Con salvamento de voto</w:t>
      </w: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LUIS GUILLERMO GUERRERO PÉREZ</w:t>
      </w: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Magistrado</w:t>
      </w: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ANTONIO JOSÉ LIZARAZO OCAMPO</w:t>
      </w: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Magistrado</w:t>
      </w: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GLORIA STELLA ORTIZ DELGADO</w:t>
      </w: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Magistrada</w:t>
      </w: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0913CF" w:rsidRPr="00CB543A" w:rsidRDefault="000913CF" w:rsidP="00CB543A">
      <w:pPr>
        <w:spacing w:after="0" w:line="240" w:lineRule="auto"/>
        <w:ind w:right="51"/>
        <w:contextualSpacing/>
        <w:jc w:val="center"/>
        <w:rPr>
          <w:rFonts w:ascii="Times New Roman" w:hAnsi="Times New Roman" w:cs="Times New Roman"/>
          <w:sz w:val="28"/>
          <w:szCs w:val="28"/>
        </w:rPr>
      </w:pPr>
    </w:p>
    <w:p w:rsidR="000913CF" w:rsidRPr="00CB543A" w:rsidRDefault="000913C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CRISTINA PARDO SCHLESINGER</w:t>
      </w: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Magistrada</w:t>
      </w:r>
    </w:p>
    <w:p w:rsidR="0099174F" w:rsidRPr="00CB543A" w:rsidRDefault="00C93644" w:rsidP="00CB543A">
      <w:pPr>
        <w:spacing w:after="0" w:line="240" w:lineRule="auto"/>
        <w:ind w:right="51"/>
        <w:contextualSpacing/>
        <w:jc w:val="center"/>
        <w:rPr>
          <w:rFonts w:ascii="Times New Roman" w:hAnsi="Times New Roman" w:cs="Times New Roman"/>
          <w:i/>
          <w:sz w:val="28"/>
          <w:szCs w:val="28"/>
        </w:rPr>
      </w:pPr>
      <w:r w:rsidRPr="00CB543A">
        <w:rPr>
          <w:rFonts w:ascii="Times New Roman" w:hAnsi="Times New Roman" w:cs="Times New Roman"/>
          <w:i/>
          <w:sz w:val="28"/>
          <w:szCs w:val="28"/>
        </w:rPr>
        <w:t>Con impedimento aceptado</w:t>
      </w: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C70D48" w:rsidRPr="00CB543A" w:rsidRDefault="00C70D48"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JOSÉ FERNANDO REYES CUARTAS</w:t>
      </w: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Magistrado</w:t>
      </w:r>
    </w:p>
    <w:p w:rsidR="000913CF" w:rsidRPr="00CB543A" w:rsidRDefault="00CB543A" w:rsidP="00CB543A">
      <w:pPr>
        <w:spacing w:after="0" w:line="240" w:lineRule="auto"/>
        <w:ind w:right="51"/>
        <w:contextualSpacing/>
        <w:jc w:val="center"/>
        <w:rPr>
          <w:rFonts w:ascii="Times New Roman" w:hAnsi="Times New Roman" w:cs="Times New Roman"/>
          <w:sz w:val="28"/>
          <w:szCs w:val="28"/>
          <w:lang w:val="es-ES"/>
        </w:rPr>
      </w:pPr>
      <w:r>
        <w:rPr>
          <w:rFonts w:ascii="Times New Roman" w:hAnsi="Times New Roman" w:cs="Times New Roman"/>
          <w:i/>
          <w:sz w:val="28"/>
          <w:szCs w:val="28"/>
          <w:lang w:val="es-ES"/>
        </w:rPr>
        <w:t>Con salvamento de voto</w:t>
      </w:r>
    </w:p>
    <w:p w:rsidR="000913CF" w:rsidRPr="00CB543A" w:rsidRDefault="000913CF" w:rsidP="00CB543A">
      <w:pPr>
        <w:spacing w:after="0" w:line="240" w:lineRule="auto"/>
        <w:ind w:right="51"/>
        <w:contextualSpacing/>
        <w:jc w:val="center"/>
        <w:rPr>
          <w:rFonts w:ascii="Times New Roman" w:hAnsi="Times New Roman" w:cs="Times New Roman"/>
          <w:sz w:val="28"/>
          <w:szCs w:val="28"/>
          <w:lang w:val="es-ES"/>
        </w:rPr>
      </w:pPr>
    </w:p>
    <w:p w:rsidR="000913CF" w:rsidRPr="00CB543A" w:rsidRDefault="000913CF" w:rsidP="00CB543A">
      <w:pPr>
        <w:spacing w:after="0" w:line="240" w:lineRule="auto"/>
        <w:ind w:right="51"/>
        <w:contextualSpacing/>
        <w:jc w:val="center"/>
        <w:rPr>
          <w:rFonts w:ascii="Times New Roman" w:hAnsi="Times New Roman" w:cs="Times New Roman"/>
          <w:sz w:val="28"/>
          <w:szCs w:val="28"/>
          <w:lang w:val="es-ES"/>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ALBERTO ROJAS RÍOS</w:t>
      </w: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Magistrado</w:t>
      </w:r>
    </w:p>
    <w:p w:rsidR="00CB543A" w:rsidRPr="00CB543A" w:rsidRDefault="00CB543A" w:rsidP="00CB543A">
      <w:pPr>
        <w:spacing w:after="0" w:line="240" w:lineRule="auto"/>
        <w:ind w:right="51"/>
        <w:contextualSpacing/>
        <w:jc w:val="center"/>
        <w:rPr>
          <w:rFonts w:ascii="Times New Roman" w:hAnsi="Times New Roman" w:cs="Times New Roman"/>
          <w:sz w:val="28"/>
          <w:szCs w:val="28"/>
          <w:lang w:val="es-ES"/>
        </w:rPr>
      </w:pPr>
      <w:r>
        <w:rPr>
          <w:rFonts w:ascii="Times New Roman" w:hAnsi="Times New Roman" w:cs="Times New Roman"/>
          <w:i/>
          <w:sz w:val="28"/>
          <w:szCs w:val="28"/>
          <w:lang w:val="es-ES"/>
        </w:rPr>
        <w:t>Con salvamento de voto</w:t>
      </w:r>
    </w:p>
    <w:p w:rsidR="00CB543A" w:rsidRPr="00CB543A" w:rsidRDefault="00CB543A" w:rsidP="00CB543A">
      <w:pPr>
        <w:spacing w:after="0" w:line="240" w:lineRule="auto"/>
        <w:ind w:right="51"/>
        <w:contextualSpacing/>
        <w:jc w:val="center"/>
        <w:rPr>
          <w:rFonts w:ascii="Times New Roman" w:hAnsi="Times New Roman" w:cs="Times New Roman"/>
          <w:sz w:val="28"/>
          <w:szCs w:val="28"/>
          <w:lang w:val="es-ES"/>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p>
    <w:p w:rsidR="0099174F" w:rsidRPr="00CB543A"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MARTHA VICTORIA SÁCHICA MÉNDEZ</w:t>
      </w:r>
    </w:p>
    <w:p w:rsidR="00B675E0" w:rsidRDefault="0099174F" w:rsidP="00CB543A">
      <w:pPr>
        <w:spacing w:after="0" w:line="240" w:lineRule="auto"/>
        <w:ind w:right="51"/>
        <w:contextualSpacing/>
        <w:jc w:val="center"/>
        <w:rPr>
          <w:rFonts w:ascii="Times New Roman" w:hAnsi="Times New Roman" w:cs="Times New Roman"/>
          <w:sz w:val="28"/>
          <w:szCs w:val="28"/>
        </w:rPr>
      </w:pPr>
      <w:r w:rsidRPr="00CB543A">
        <w:rPr>
          <w:rFonts w:ascii="Times New Roman" w:hAnsi="Times New Roman" w:cs="Times New Roman"/>
          <w:sz w:val="28"/>
          <w:szCs w:val="28"/>
        </w:rPr>
        <w:t>Secretaria General</w:t>
      </w:r>
    </w:p>
    <w:p w:rsidR="00373A96" w:rsidRDefault="00373A96" w:rsidP="00CB543A">
      <w:pPr>
        <w:spacing w:after="0" w:line="240" w:lineRule="auto"/>
        <w:ind w:right="51"/>
        <w:contextualSpacing/>
        <w:jc w:val="center"/>
        <w:rPr>
          <w:rFonts w:ascii="Times New Roman" w:hAnsi="Times New Roman" w:cs="Times New Roman"/>
          <w:sz w:val="28"/>
          <w:szCs w:val="28"/>
        </w:rPr>
      </w:pPr>
    </w:p>
    <w:p w:rsidR="00373A96" w:rsidRPr="00CB543A" w:rsidRDefault="00373A96" w:rsidP="00CB543A">
      <w:pPr>
        <w:spacing w:after="0" w:line="240" w:lineRule="auto"/>
        <w:ind w:right="51"/>
        <w:contextualSpacing/>
        <w:jc w:val="center"/>
        <w:rPr>
          <w:rFonts w:ascii="Times New Roman" w:hAnsi="Times New Roman" w:cs="Times New Roman"/>
          <w:sz w:val="28"/>
          <w:szCs w:val="28"/>
        </w:rPr>
      </w:pPr>
    </w:p>
    <w:sectPr w:rsidR="00373A96" w:rsidRPr="00CB543A" w:rsidSect="00084D20">
      <w:headerReference w:type="even" r:id="rId8"/>
      <w:headerReference w:type="default" r:id="rId9"/>
      <w:footerReference w:type="even" r:id="rId10"/>
      <w:footerReference w:type="default" r:id="rId11"/>
      <w:headerReference w:type="first" r:id="rId12"/>
      <w:footerReference w:type="first" r:id="rId13"/>
      <w:pgSz w:w="12240" w:h="18720"/>
      <w:pgMar w:top="1701" w:right="1701" w:bottom="1701" w:left="1701" w:header="0" w:footer="720" w:gutter="0"/>
      <w:pgNumType w:start="1"/>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274" w:rsidRDefault="00C54274" w:rsidP="00CB543A">
      <w:pPr>
        <w:spacing w:after="0" w:line="240" w:lineRule="auto"/>
      </w:pPr>
      <w:r>
        <w:separator/>
      </w:r>
    </w:p>
  </w:endnote>
  <w:endnote w:type="continuationSeparator" w:id="0">
    <w:p w:rsidR="00C54274" w:rsidRDefault="00C54274" w:rsidP="00CB5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43A" w:rsidRDefault="00CB543A" w:rsidP="00CB54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9B6" w:rsidRPr="003F02C1" w:rsidRDefault="009E39B6" w:rsidP="00CB543A">
    <w:pPr>
      <w:pStyle w:val="Piedepgina"/>
      <w:jc w:val="right"/>
      <w:rPr>
        <w:rFonts w:ascii="Times New Roman" w:hAnsi="Times New Roman" w:cs="Times New Roman"/>
        <w:sz w:val="20"/>
        <w:szCs w:val="20"/>
      </w:rPr>
    </w:pPr>
    <w:r w:rsidRPr="003F02C1">
      <w:rPr>
        <w:rFonts w:ascii="Times New Roman" w:hAnsi="Times New Roman" w:cs="Times New Roman"/>
        <w:sz w:val="20"/>
        <w:szCs w:val="20"/>
        <w:lang w:val="es-ES"/>
      </w:rPr>
      <w:t xml:space="preserve">Página </w:t>
    </w:r>
    <w:r w:rsidRPr="003F02C1">
      <w:rPr>
        <w:rFonts w:ascii="Times New Roman" w:hAnsi="Times New Roman" w:cs="Times New Roman"/>
        <w:b/>
        <w:bCs/>
        <w:sz w:val="20"/>
        <w:szCs w:val="20"/>
      </w:rPr>
      <w:fldChar w:fldCharType="begin"/>
    </w:r>
    <w:r w:rsidRPr="003F02C1">
      <w:rPr>
        <w:rFonts w:ascii="Times New Roman" w:hAnsi="Times New Roman" w:cs="Times New Roman"/>
        <w:b/>
        <w:bCs/>
        <w:sz w:val="20"/>
        <w:szCs w:val="20"/>
      </w:rPr>
      <w:instrText>PAGE</w:instrText>
    </w:r>
    <w:r w:rsidRPr="003F02C1">
      <w:rPr>
        <w:rFonts w:ascii="Times New Roman" w:hAnsi="Times New Roman" w:cs="Times New Roman"/>
        <w:b/>
        <w:bCs/>
        <w:sz w:val="20"/>
        <w:szCs w:val="20"/>
      </w:rPr>
      <w:fldChar w:fldCharType="separate"/>
    </w:r>
    <w:r w:rsidR="0077028B">
      <w:rPr>
        <w:rFonts w:ascii="Times New Roman" w:hAnsi="Times New Roman" w:cs="Times New Roman"/>
        <w:b/>
        <w:bCs/>
        <w:noProof/>
        <w:sz w:val="20"/>
        <w:szCs w:val="20"/>
      </w:rPr>
      <w:t>11</w:t>
    </w:r>
    <w:r w:rsidRPr="003F02C1">
      <w:rPr>
        <w:rFonts w:ascii="Times New Roman" w:hAnsi="Times New Roman" w:cs="Times New Roman"/>
        <w:b/>
        <w:bCs/>
        <w:sz w:val="20"/>
        <w:szCs w:val="20"/>
      </w:rPr>
      <w:fldChar w:fldCharType="end"/>
    </w:r>
    <w:r w:rsidRPr="003F02C1">
      <w:rPr>
        <w:rFonts w:ascii="Times New Roman" w:hAnsi="Times New Roman" w:cs="Times New Roman"/>
        <w:sz w:val="20"/>
        <w:szCs w:val="20"/>
        <w:lang w:val="es-ES"/>
      </w:rPr>
      <w:t xml:space="preserve"> de </w:t>
    </w:r>
    <w:r w:rsidRPr="003F02C1">
      <w:rPr>
        <w:rFonts w:ascii="Times New Roman" w:hAnsi="Times New Roman" w:cs="Times New Roman"/>
        <w:b/>
        <w:bCs/>
        <w:sz w:val="20"/>
        <w:szCs w:val="20"/>
      </w:rPr>
      <w:fldChar w:fldCharType="begin"/>
    </w:r>
    <w:r w:rsidRPr="003F02C1">
      <w:rPr>
        <w:rFonts w:ascii="Times New Roman" w:hAnsi="Times New Roman" w:cs="Times New Roman"/>
        <w:b/>
        <w:bCs/>
        <w:sz w:val="20"/>
        <w:szCs w:val="20"/>
      </w:rPr>
      <w:instrText>NUMPAGES</w:instrText>
    </w:r>
    <w:r w:rsidRPr="003F02C1">
      <w:rPr>
        <w:rFonts w:ascii="Times New Roman" w:hAnsi="Times New Roman" w:cs="Times New Roman"/>
        <w:b/>
        <w:bCs/>
        <w:sz w:val="20"/>
        <w:szCs w:val="20"/>
      </w:rPr>
      <w:fldChar w:fldCharType="separate"/>
    </w:r>
    <w:r w:rsidR="0077028B">
      <w:rPr>
        <w:rFonts w:ascii="Times New Roman" w:hAnsi="Times New Roman" w:cs="Times New Roman"/>
        <w:b/>
        <w:bCs/>
        <w:noProof/>
        <w:sz w:val="20"/>
        <w:szCs w:val="20"/>
      </w:rPr>
      <w:t>11</w:t>
    </w:r>
    <w:r w:rsidRPr="003F02C1">
      <w:rPr>
        <w:rFonts w:ascii="Times New Roman" w:hAnsi="Times New Roman" w:cs="Times New Roman"/>
        <w:b/>
        <w:bCs/>
        <w:sz w:val="20"/>
        <w:szCs w:val="20"/>
      </w:rPr>
      <w:fldChar w:fldCharType="end"/>
    </w:r>
  </w:p>
  <w:p w:rsidR="009E39B6" w:rsidRDefault="009E39B6" w:rsidP="00CB543A">
    <w:pPr>
      <w:tabs>
        <w:tab w:val="center" w:pos="4419"/>
        <w:tab w:val="right" w:pos="8838"/>
      </w:tabs>
      <w:spacing w:after="0" w:line="240" w:lineRule="auto"/>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43A" w:rsidRDefault="00CB543A" w:rsidP="00CB54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274" w:rsidRDefault="00C54274" w:rsidP="00CB543A">
      <w:pPr>
        <w:spacing w:after="0" w:line="240" w:lineRule="auto"/>
      </w:pPr>
      <w:r>
        <w:separator/>
      </w:r>
    </w:p>
  </w:footnote>
  <w:footnote w:type="continuationSeparator" w:id="0">
    <w:p w:rsidR="00C54274" w:rsidRDefault="00C54274" w:rsidP="00CB543A">
      <w:pPr>
        <w:spacing w:after="0" w:line="240" w:lineRule="auto"/>
      </w:pPr>
      <w:r>
        <w:continuationSeparator/>
      </w:r>
    </w:p>
  </w:footnote>
  <w:footnote w:id="1">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Los dos</w:t>
      </w:r>
      <w:r w:rsidR="00BB221A">
        <w:rPr>
          <w:rFonts w:ascii="Times New Roman" w:hAnsi="Times New Roman" w:cs="Times New Roman"/>
        </w:rPr>
        <w:t xml:space="preserve"> </w:t>
      </w:r>
      <w:r w:rsidRPr="00487EEB">
        <w:rPr>
          <w:rFonts w:ascii="Times New Roman" w:hAnsi="Times New Roman" w:cs="Times New Roman"/>
        </w:rPr>
        <w:t>cuadernos que integran el expediente de tutela fueron allegados al despacho del Magistrado ponente, por conducto de la Secretaría General, con el contenido de que da cuenta la constancia secretarial que obra a fl. 161 del cuaderno principal de la tutela ante la Corte Constitucional.</w:t>
      </w:r>
    </w:p>
  </w:footnote>
  <w:footnote w:id="2">
    <w:p w:rsidR="006F646A" w:rsidRDefault="009E39B6" w:rsidP="00487EEB">
      <w:pPr>
        <w:spacing w:after="0" w:line="240" w:lineRule="auto"/>
        <w:jc w:val="both"/>
      </w:pPr>
      <w:r w:rsidRPr="00487EEB">
        <w:rPr>
          <w:rFonts w:ascii="Times New Roman" w:hAnsi="Times New Roman" w:cs="Times New Roman"/>
          <w:sz w:val="20"/>
          <w:szCs w:val="20"/>
          <w:vertAlign w:val="superscript"/>
        </w:rPr>
        <w:footnoteRef/>
      </w:r>
      <w:r w:rsidRPr="00487EEB">
        <w:rPr>
          <w:rFonts w:ascii="Times New Roman" w:hAnsi="Times New Roman" w:cs="Times New Roman"/>
          <w:sz w:val="20"/>
          <w:szCs w:val="20"/>
        </w:rPr>
        <w:t xml:space="preserve"> La Sala de Selección fue integrada por la magistrada Cristina Pardo Schlesinger y el magistrado Mauricio González Cuervo (fl. 3 a 10, Cdno. 2).</w:t>
      </w:r>
    </w:p>
  </w:footnote>
  <w:footnote w:id="3">
    <w:p w:rsidR="006F646A" w:rsidRDefault="009E39B6" w:rsidP="00487EEB">
      <w:pPr>
        <w:spacing w:after="0" w:line="240" w:lineRule="auto"/>
        <w:jc w:val="both"/>
      </w:pPr>
      <w:r w:rsidRPr="00487EEB">
        <w:rPr>
          <w:rFonts w:ascii="Times New Roman" w:hAnsi="Times New Roman" w:cs="Times New Roman"/>
          <w:sz w:val="20"/>
          <w:szCs w:val="20"/>
          <w:vertAlign w:val="superscript"/>
        </w:rPr>
        <w:footnoteRef/>
      </w:r>
      <w:r w:rsidRPr="00487EEB">
        <w:rPr>
          <w:rFonts w:ascii="Times New Roman" w:hAnsi="Times New Roman" w:cs="Times New Roman"/>
          <w:sz w:val="20"/>
          <w:szCs w:val="20"/>
        </w:rPr>
        <w:t xml:space="preserve"> En el artículo 151 de la Ley 100 de 1993 se establecieron dos fechas para la entrada en vigencia del Sistema General de Pensiones (SGP), según la calidad del destinatario, de la siguiente manera: </w:t>
      </w:r>
      <w:r w:rsidRPr="00487EEB">
        <w:rPr>
          <w:rFonts w:ascii="Times New Roman" w:hAnsi="Times New Roman" w:cs="Times New Roman"/>
          <w:i/>
          <w:sz w:val="20"/>
          <w:szCs w:val="20"/>
        </w:rPr>
        <w:t>(i)</w:t>
      </w:r>
      <w:r w:rsidRPr="00487EEB">
        <w:rPr>
          <w:rFonts w:ascii="Times New Roman" w:hAnsi="Times New Roman" w:cs="Times New Roman"/>
          <w:sz w:val="20"/>
          <w:szCs w:val="20"/>
        </w:rPr>
        <w:t xml:space="preserve"> a partir de 1 de abril de 1994, para los trabajadores particulares y los servidores públicos del orden nacional; y </w:t>
      </w:r>
      <w:r w:rsidRPr="00487EEB">
        <w:rPr>
          <w:rFonts w:ascii="Times New Roman" w:hAnsi="Times New Roman" w:cs="Times New Roman"/>
          <w:i/>
          <w:sz w:val="20"/>
          <w:szCs w:val="20"/>
        </w:rPr>
        <w:t>(ii)</w:t>
      </w:r>
      <w:r w:rsidRPr="00487EEB">
        <w:rPr>
          <w:rFonts w:ascii="Times New Roman" w:hAnsi="Times New Roman" w:cs="Times New Roman"/>
          <w:sz w:val="20"/>
          <w:szCs w:val="20"/>
        </w:rPr>
        <w:t xml:space="preserve"> a más tardar el 30 de junio de 1995, para los servidores públicos de los órdenes departamental, municipal y distrital.</w:t>
      </w:r>
    </w:p>
  </w:footnote>
  <w:footnote w:id="4">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29, Cdno. 1.</w:t>
      </w:r>
    </w:p>
  </w:footnote>
  <w:footnote w:id="5">
    <w:p w:rsidR="006F646A" w:rsidRDefault="009E39B6" w:rsidP="00487EEB">
      <w:pPr>
        <w:spacing w:after="0" w:line="240" w:lineRule="auto"/>
        <w:jc w:val="both"/>
      </w:pPr>
      <w:r w:rsidRPr="00487EEB">
        <w:rPr>
          <w:rFonts w:ascii="Times New Roman" w:hAnsi="Times New Roman" w:cs="Times New Roman"/>
          <w:sz w:val="20"/>
          <w:szCs w:val="20"/>
          <w:vertAlign w:val="superscript"/>
        </w:rPr>
        <w:footnoteRef/>
      </w:r>
      <w:r w:rsidRPr="00487EEB">
        <w:rPr>
          <w:rFonts w:ascii="Times New Roman" w:hAnsi="Times New Roman" w:cs="Times New Roman"/>
          <w:sz w:val="20"/>
          <w:szCs w:val="20"/>
        </w:rPr>
        <w:t xml:space="preserve"> Fl. 19, Cdno. 1.</w:t>
      </w:r>
    </w:p>
  </w:footnote>
  <w:footnote w:id="6">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19, Cdno. 1.</w:t>
      </w:r>
    </w:p>
  </w:footnote>
  <w:footnote w:id="7">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25, Cdno. 1.</w:t>
      </w:r>
    </w:p>
  </w:footnote>
  <w:footnote w:id="8">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21, Cdno. 1.</w:t>
      </w:r>
    </w:p>
  </w:footnote>
  <w:footnote w:id="9">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97, Cdno. 1.</w:t>
      </w:r>
    </w:p>
  </w:footnote>
  <w:footnote w:id="10">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i/>
        </w:rPr>
        <w:t>“ARTÍCULO 150. RELIQUIDACIÓN DEL MONTO DE LA PENSIÓN PARA FUNCIONARIOS Y EMPLEADOS PÚBLICOS. Los funcionarios y empleados públicos que hubiesen sido notificados de la resolución de jubilación y que no se hayan retirado del cargo, tendrán derecho a que se les reliquide el ingreso base para calcular la pensión, incluyendo los sueldos devengados con posterioridad a la fecha de notificación de la resolución. || PARÁGRAFO. No podrá obligarse a ningún funcionario o empleado público a retirarse del cargo por el sólo hecho de haberse expedido a su favor la resolución de jubilación, si no ha llegado a la edad de retiro forzoso”</w:t>
      </w:r>
      <w:r w:rsidRPr="00487EEB">
        <w:rPr>
          <w:rFonts w:ascii="Times New Roman" w:hAnsi="Times New Roman" w:cs="Times New Roman"/>
        </w:rPr>
        <w:t>.</w:t>
      </w:r>
    </w:p>
  </w:footnote>
  <w:footnote w:id="11">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Liquidados con fundamento en el Decreto 1158 de 1994.</w:t>
      </w:r>
    </w:p>
  </w:footnote>
  <w:footnote w:id="12">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Liquidados con fundamento en el artículo 283 de la Ley 100 de 1993.</w:t>
      </w:r>
    </w:p>
  </w:footnote>
  <w:footnote w:id="13">
    <w:p w:rsidR="006F646A" w:rsidRDefault="009E39B6" w:rsidP="00487EEB">
      <w:pPr>
        <w:spacing w:after="0" w:line="240" w:lineRule="auto"/>
        <w:jc w:val="both"/>
      </w:pPr>
      <w:r w:rsidRPr="00487EEB">
        <w:rPr>
          <w:rFonts w:ascii="Times New Roman" w:hAnsi="Times New Roman" w:cs="Times New Roman"/>
          <w:sz w:val="20"/>
          <w:szCs w:val="20"/>
          <w:vertAlign w:val="superscript"/>
        </w:rPr>
        <w:footnoteRef/>
      </w:r>
      <w:r w:rsidRPr="00487EEB">
        <w:rPr>
          <w:rFonts w:ascii="Times New Roman" w:hAnsi="Times New Roman" w:cs="Times New Roman"/>
          <w:sz w:val="20"/>
          <w:szCs w:val="20"/>
        </w:rPr>
        <w:t xml:space="preserve"> Fl. 22, Cdno. 1.</w:t>
      </w:r>
    </w:p>
  </w:footnote>
  <w:footnote w:id="14">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Corresponde, en los términos del artículo 21 de la Ley 100 de 1993, al promedio de factores constitutivos de ingreso sobre los cuales hubiere cotizado el afiliado y que deben tenerse en cuenta al momento de calcular el monto de la prestación pensional.</w:t>
      </w:r>
    </w:p>
  </w:footnote>
  <w:footnote w:id="15">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Información extraída de los hechos probados de la sentencia T-158 de 2006.</w:t>
      </w:r>
    </w:p>
  </w:footnote>
  <w:footnote w:id="16">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Ibíd.</w:t>
      </w:r>
    </w:p>
  </w:footnote>
  <w:footnote w:id="17">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La acción de tutela fue interpuesta el 5 de julio de 2005 y la Resolución No. 1927 de 2003 fue notificada el 03 de septiembre de 2003.</w:t>
      </w:r>
    </w:p>
  </w:footnote>
  <w:footnote w:id="18">
    <w:p w:rsidR="006F646A" w:rsidRDefault="009E39B6" w:rsidP="00487EEB">
      <w:pPr>
        <w:spacing w:after="0" w:line="240" w:lineRule="auto"/>
        <w:jc w:val="both"/>
      </w:pPr>
      <w:r w:rsidRPr="00487EEB">
        <w:rPr>
          <w:rFonts w:ascii="Times New Roman" w:hAnsi="Times New Roman" w:cs="Times New Roman"/>
          <w:sz w:val="20"/>
          <w:szCs w:val="20"/>
          <w:vertAlign w:val="superscript"/>
        </w:rPr>
        <w:footnoteRef/>
      </w:r>
      <w:r w:rsidRPr="00487EEB">
        <w:rPr>
          <w:rFonts w:ascii="Times New Roman" w:hAnsi="Times New Roman" w:cs="Times New Roman"/>
          <w:sz w:val="20"/>
          <w:szCs w:val="20"/>
        </w:rPr>
        <w:t xml:space="preserve"> Fl. 34, Cdno. 1.</w:t>
      </w:r>
    </w:p>
  </w:footnote>
  <w:footnote w:id="19">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40, Cdno. 1.</w:t>
      </w:r>
    </w:p>
  </w:footnote>
  <w:footnote w:id="20">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11, Cdno. 1.</w:t>
      </w:r>
    </w:p>
  </w:footnote>
  <w:footnote w:id="21">
    <w:p w:rsidR="006F646A" w:rsidRDefault="009E39B6" w:rsidP="00487EEB">
      <w:pPr>
        <w:spacing w:after="0" w:line="240" w:lineRule="auto"/>
        <w:jc w:val="both"/>
      </w:pPr>
      <w:r w:rsidRPr="00487EEB">
        <w:rPr>
          <w:rFonts w:ascii="Times New Roman" w:hAnsi="Times New Roman" w:cs="Times New Roman"/>
          <w:sz w:val="20"/>
          <w:szCs w:val="20"/>
          <w:vertAlign w:val="superscript"/>
        </w:rPr>
        <w:footnoteRef/>
      </w:r>
      <w:r w:rsidRPr="00487EEB">
        <w:rPr>
          <w:rFonts w:ascii="Times New Roman" w:hAnsi="Times New Roman" w:cs="Times New Roman"/>
          <w:sz w:val="20"/>
          <w:szCs w:val="20"/>
        </w:rPr>
        <w:t xml:space="preserve"> Fl. 321, Cdno. 1.</w:t>
      </w:r>
    </w:p>
  </w:footnote>
  <w:footnote w:id="22">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114, Cdno. 1.</w:t>
      </w:r>
    </w:p>
  </w:footnote>
  <w:footnote w:id="23">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lang w:val="es-US"/>
        </w:rPr>
        <w:t>Citó, principalmente, las sentencias C-168 de 1995,</w:t>
      </w:r>
      <w:r w:rsidR="00BB221A">
        <w:rPr>
          <w:rFonts w:ascii="Times New Roman" w:hAnsi="Times New Roman" w:cs="Times New Roman"/>
          <w:lang w:val="es-US"/>
        </w:rPr>
        <w:t xml:space="preserve"> </w:t>
      </w:r>
      <w:r w:rsidRPr="00487EEB">
        <w:rPr>
          <w:rFonts w:ascii="Times New Roman" w:hAnsi="Times New Roman" w:cs="Times New Roman"/>
          <w:lang w:val="es-US"/>
        </w:rPr>
        <w:t>T-439 de 2000, T-631 de 2002, T-1000 de 2002, T-169 de 2003 y T-180 de 2008.</w:t>
      </w:r>
    </w:p>
  </w:footnote>
  <w:footnote w:id="24">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102, Cdno. 1.</w:t>
      </w:r>
    </w:p>
  </w:footnote>
  <w:footnote w:id="25">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103, Cdno. 1.</w:t>
      </w:r>
    </w:p>
  </w:footnote>
  <w:footnote w:id="26">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361, Cdno. 1.</w:t>
      </w:r>
    </w:p>
  </w:footnote>
  <w:footnote w:id="27">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371, Cdno. 1.</w:t>
      </w:r>
    </w:p>
  </w:footnote>
  <w:footnote w:id="28">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375, Cdno. 1.</w:t>
      </w:r>
    </w:p>
  </w:footnote>
  <w:footnote w:id="29">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lang w:val="es-US"/>
        </w:rPr>
        <w:t xml:space="preserve">Los magistrados María del Rosario González de Lemos y Jorge Luis Quintero Milanés salvaron su voto. Argumentaron que la tutela tuvo que ser rechazada </w:t>
      </w:r>
      <w:r w:rsidRPr="00487EEB">
        <w:rPr>
          <w:rFonts w:ascii="Times New Roman" w:hAnsi="Times New Roman" w:cs="Times New Roman"/>
          <w:i/>
          <w:lang w:val="es-US"/>
        </w:rPr>
        <w:t xml:space="preserve">in limine </w:t>
      </w:r>
      <w:r w:rsidRPr="00487EEB">
        <w:rPr>
          <w:rFonts w:ascii="Times New Roman" w:hAnsi="Times New Roman" w:cs="Times New Roman"/>
          <w:lang w:val="es-US"/>
        </w:rPr>
        <w:t>y no tramitada hasta la sentencia. Esto, debido a que la Corte Suprema de Justicia era el órgano de cierre de todas las especialidades de la jurisdicción ordinaria.</w:t>
      </w:r>
    </w:p>
  </w:footnote>
  <w:footnote w:id="30">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384, Cdno. 1.</w:t>
      </w:r>
    </w:p>
  </w:footnote>
  <w:footnote w:id="31">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Fls. 13 a 17, Cdno. 2.</w:t>
      </w:r>
    </w:p>
  </w:footnote>
  <w:footnote w:id="32">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Fls. 21 a 23, Cdno. 2.</w:t>
      </w:r>
    </w:p>
  </w:footnote>
  <w:footnote w:id="33">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Fls. 84 a 86, 105 a 107 y 128 a 130, Cdno. 2.</w:t>
      </w:r>
    </w:p>
  </w:footnote>
  <w:footnote w:id="34">
    <w:p w:rsidR="006F646A" w:rsidRDefault="009E39B6" w:rsidP="00487EEB">
      <w:pPr>
        <w:pStyle w:val="Textonotapie"/>
        <w:jc w:val="both"/>
      </w:pPr>
      <w:r w:rsidRPr="00487EEB">
        <w:rPr>
          <w:rFonts w:ascii="Times New Roman" w:hAnsi="Times New Roman" w:cs="Times New Roman"/>
          <w:vertAlign w:val="superscript"/>
        </w:rPr>
        <w:footnoteRef/>
      </w:r>
      <w:r w:rsidRPr="00487EEB">
        <w:rPr>
          <w:rFonts w:ascii="Times New Roman" w:hAnsi="Times New Roman" w:cs="Times New Roman"/>
        </w:rPr>
        <w:t xml:space="preserve"> Fl. 411, Cdno. 1.</w:t>
      </w:r>
    </w:p>
  </w:footnote>
  <w:footnote w:id="35">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409 (vto.), Cdno. 1.</w:t>
      </w:r>
    </w:p>
  </w:footnote>
  <w:footnote w:id="36">
    <w:p w:rsidR="006F646A" w:rsidRDefault="009E39B6" w:rsidP="00487EEB">
      <w:pPr>
        <w:pStyle w:val="Textonotapie"/>
        <w:jc w:val="both"/>
      </w:pPr>
      <w:r w:rsidRPr="00487EEB">
        <w:rPr>
          <w:rFonts w:ascii="Times New Roman" w:hAnsi="Times New Roman" w:cs="Times New Roman"/>
          <w:vertAlign w:val="superscript"/>
        </w:rPr>
        <w:footnoteRef/>
      </w:r>
      <w:r w:rsidRPr="00487EEB">
        <w:rPr>
          <w:rFonts w:ascii="Times New Roman" w:hAnsi="Times New Roman" w:cs="Times New Roman"/>
        </w:rPr>
        <w:t xml:space="preserve"> Fl. 412, Cdno. 1.</w:t>
      </w:r>
    </w:p>
  </w:footnote>
  <w:footnote w:id="37">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412, Cdno. 1.</w:t>
      </w:r>
    </w:p>
  </w:footnote>
  <w:footnote w:id="38">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Se citan las sentencias T-588 de 2005 y T-070 de 2007.</w:t>
      </w:r>
    </w:p>
  </w:footnote>
  <w:footnote w:id="39">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412, Cdno. 1.</w:t>
      </w:r>
    </w:p>
  </w:footnote>
  <w:footnote w:id="40">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Las referencias que se hacen a este corresponden a copia suministrada por la Secretaría General de la Corte Constitucional, que concuerda con la obrante en su medio de divulgación (página Web).</w:t>
      </w:r>
    </w:p>
  </w:footnote>
  <w:footnote w:id="41">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Página 37 del Auto A-144 de 2012.</w:t>
      </w:r>
    </w:p>
  </w:footnote>
  <w:footnote w:id="42">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Página 46 del Auto A-144 de 2012.</w:t>
      </w:r>
    </w:p>
  </w:footnote>
  <w:footnote w:id="43">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Página 46 del Auto A-144 de 2012.</w:t>
      </w:r>
    </w:p>
  </w:footnote>
  <w:footnote w:id="44">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Se citaron las sentencias T-631 de 2002, T-1000 de 2002, T-169 de 2003, T-651 de 2004, T-386 de 2005, T-158 de 2006, T-251 de 2007 y T-019 de 2009, entre otras.</w:t>
      </w:r>
    </w:p>
  </w:footnote>
  <w:footnote w:id="45">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Página 46 del Auto A-144 de 2010.</w:t>
      </w:r>
    </w:p>
  </w:footnote>
  <w:footnote w:id="46">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Páginas 55 y 56 del Auto A-144 de 2012.</w:t>
      </w:r>
    </w:p>
  </w:footnote>
  <w:footnote w:id="47">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Se aclara que la información fue extraída de la página Web de la Corte y no del expediente como tal, dado que los documentos obrantes en el plenario no dan cuenta de la mayoría de las actuaciones referidas.</w:t>
      </w:r>
    </w:p>
  </w:footnote>
  <w:footnote w:id="48">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160, Cdno. 2.</w:t>
      </w:r>
    </w:p>
  </w:footnote>
  <w:footnote w:id="49">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El expediente pasó al despacho hasta el 17 de abril del 2018, según consta en el informe obrante en el folio 161 del cuaderno 2 del expediente de tutela de la referencia.</w:t>
      </w:r>
    </w:p>
  </w:footnote>
  <w:footnote w:id="50">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lang w:val="es-ES"/>
        </w:rPr>
        <w:t xml:space="preserve">En la fundamentación del auto en cita, al hacer referencia al tema del </w:t>
      </w:r>
      <w:r w:rsidRPr="00487EEB">
        <w:rPr>
          <w:rFonts w:ascii="Times New Roman" w:hAnsi="Times New Roman" w:cs="Times New Roman"/>
          <w:i/>
          <w:lang w:val="es-ES"/>
        </w:rPr>
        <w:t>“</w:t>
      </w:r>
      <w:r w:rsidRPr="00487EEB">
        <w:rPr>
          <w:rFonts w:ascii="Times New Roman" w:hAnsi="Times New Roman" w:cs="Times New Roman"/>
          <w:i/>
          <w:lang w:val="es-ES_tradnl"/>
        </w:rPr>
        <w:t>CAMBIO DE LA JURISPRUDENCIA CONSTITUCIONAL EN VIGOR COMO CAUSAL DE NULIDAD DE LAS SENTENCIAS DE REVISIÓN DE TUTELA”</w:t>
      </w:r>
      <w:r w:rsidRPr="00487EEB">
        <w:rPr>
          <w:rFonts w:ascii="Times New Roman" w:hAnsi="Times New Roman" w:cs="Times New Roman"/>
          <w:lang w:val="es-ES_tradnl"/>
        </w:rPr>
        <w:t xml:space="preserve"> (numeral 2.5), señaló: </w:t>
      </w:r>
      <w:r w:rsidRPr="00487EEB">
        <w:rPr>
          <w:rFonts w:ascii="Times New Roman" w:hAnsi="Times New Roman" w:cs="Times New Roman"/>
          <w:i/>
          <w:lang w:val="es-ES_tradnl"/>
        </w:rPr>
        <w:t>“</w:t>
      </w:r>
      <w:r w:rsidRPr="00487EEB">
        <w:rPr>
          <w:rFonts w:ascii="Times New Roman" w:hAnsi="Times New Roman" w:cs="Times New Roman"/>
          <w:i/>
        </w:rPr>
        <w:t>Con fundamento en estas consideraciones, la Corte ha señalado que uno de los supuestos materiales de procedencia de la nulidad de las sentencias que profieren las salas de revisión es el cambio de la jurisprudencia constitucional.</w:t>
      </w:r>
      <w:r w:rsidR="00BB221A">
        <w:rPr>
          <w:rFonts w:ascii="Times New Roman" w:hAnsi="Times New Roman" w:cs="Times New Roman"/>
          <w:i/>
        </w:rPr>
        <w:t xml:space="preserve"> </w:t>
      </w:r>
      <w:r w:rsidRPr="00487EEB">
        <w:rPr>
          <w:rFonts w:ascii="Times New Roman" w:hAnsi="Times New Roman" w:cs="Times New Roman"/>
          <w:i/>
        </w:rPr>
        <w:t xml:space="preserve">Esta causal tiene fundamento además en la regla de competencia prevista por el artículo 34 del Decreto 2591 de 1991, según la cual </w:t>
      </w:r>
      <w:r w:rsidRPr="00487EEB">
        <w:rPr>
          <w:rFonts w:ascii="Times New Roman" w:hAnsi="Times New Roman" w:cs="Times New Roman"/>
          <w:i/>
          <w:iCs/>
        </w:rPr>
        <w:t>‘los cambios de jurisprudencia deberán ser decididos por la Sala Plena de la Corte, previo registro del proyecto de fallo correspondiente’. </w:t>
      </w:r>
      <w:r w:rsidRPr="00487EEB">
        <w:rPr>
          <w:rFonts w:ascii="Times New Roman" w:hAnsi="Times New Roman" w:cs="Times New Roman"/>
          <w:i/>
        </w:rPr>
        <w:t>Así, la existencia de una posición jurisprudencial definida por la Corte Constitucional vincula a las salas de revisión, las cuales deben respetarla en las providencias que profieran, o someterlas a la consideración de la Sala Plena de la Corte si consideran que determinada posición debe ser modificada. Un proceder distinto no sólo resultaría contrario a la regla citada, sino que también afectaría el principio de seguridad jurídica y el derecho a la igualdad de trato ante las autoridades judiciales”</w:t>
      </w:r>
      <w:r w:rsidRPr="00487EEB">
        <w:rPr>
          <w:rFonts w:ascii="Times New Roman" w:hAnsi="Times New Roman" w:cs="Times New Roman"/>
        </w:rPr>
        <w:t xml:space="preserve"> (fundamento jurídico 2.5.2 del Auto 144 de 2012).</w:t>
      </w:r>
    </w:p>
  </w:footnote>
  <w:footnote w:id="51">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lang w:val="es-ES"/>
        </w:rPr>
        <w:t>En particular, ha señalado la Sala Plena que la solicitud de nulidad se trata de “</w:t>
      </w:r>
      <w:r w:rsidRPr="00487EEB">
        <w:rPr>
          <w:rFonts w:ascii="Times New Roman" w:hAnsi="Times New Roman" w:cs="Times New Roman"/>
          <w:i/>
          <w:iCs/>
          <w:lang w:val="es-ES"/>
        </w:rPr>
        <w:t>una petición que genera un incidente especial y particular</w:t>
      </w:r>
      <w:r w:rsidRPr="00487EEB">
        <w:rPr>
          <w:rFonts w:ascii="Times New Roman" w:hAnsi="Times New Roman" w:cs="Times New Roman"/>
          <w:lang w:val="es-ES"/>
        </w:rPr>
        <w:t>” (</w:t>
      </w:r>
      <w:r w:rsidRPr="00487EEB">
        <w:rPr>
          <w:rFonts w:ascii="Times New Roman" w:hAnsi="Times New Roman" w:cs="Times New Roman"/>
        </w:rPr>
        <w:t xml:space="preserve">Auto 111 de 2016, concordante con lo señalado, de manera reciente, en el </w:t>
      </w:r>
      <w:r w:rsidRPr="00487EEB">
        <w:rPr>
          <w:rFonts w:ascii="Times New Roman" w:hAnsi="Times New Roman" w:cs="Times New Roman"/>
          <w:lang w:val="es-US"/>
        </w:rPr>
        <w:t>Auto 031 de 2018</w:t>
      </w:r>
      <w:r w:rsidRPr="00487EEB">
        <w:rPr>
          <w:rFonts w:ascii="Times New Roman" w:hAnsi="Times New Roman" w:cs="Times New Roman"/>
          <w:lang w:val="es-ES"/>
        </w:rPr>
        <w:t>), relacionada con la protección al debido proceso.</w:t>
      </w:r>
    </w:p>
  </w:footnote>
  <w:footnote w:id="52">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bCs/>
        </w:rPr>
        <w:t xml:space="preserve">La jurisprudencia constitucional, luego de un análisis armónico de la legislación aplicable a los procesos tramitados por esta Corte, ha reconocido la posibilidad de solicitar la nulidad de sus sentencias, incluso con posterioridad a su expedición y aún de manera oficiosa. Para tales fines, ha fijado unos </w:t>
      </w:r>
      <w:r w:rsidRPr="00487EEB">
        <w:rPr>
          <w:rFonts w:ascii="Times New Roman" w:hAnsi="Times New Roman" w:cs="Times New Roman"/>
          <w:bCs/>
          <w:i/>
        </w:rPr>
        <w:t xml:space="preserve">presupuestos formales de procedencia </w:t>
      </w:r>
      <w:r w:rsidRPr="00487EEB">
        <w:rPr>
          <w:rFonts w:ascii="Times New Roman" w:hAnsi="Times New Roman" w:cs="Times New Roman"/>
          <w:bCs/>
        </w:rPr>
        <w:t>(</w:t>
      </w:r>
      <w:r w:rsidRPr="00487EEB">
        <w:rPr>
          <w:rFonts w:ascii="Times New Roman" w:hAnsi="Times New Roman" w:cs="Times New Roman"/>
          <w:bCs/>
          <w:i/>
        </w:rPr>
        <w:t xml:space="preserve">cfr., </w:t>
      </w:r>
      <w:r w:rsidRPr="00487EEB">
        <w:rPr>
          <w:rFonts w:ascii="Times New Roman" w:hAnsi="Times New Roman" w:cs="Times New Roman"/>
        </w:rPr>
        <w:t>los autos 256 de 2001, 146A, 162 de 2003, 208 de 2006, 035 de 2014, 043A de 2016 y 020 de 2017</w:t>
      </w:r>
      <w:r w:rsidRPr="00487EEB">
        <w:rPr>
          <w:rFonts w:ascii="Times New Roman" w:hAnsi="Times New Roman" w:cs="Times New Roman"/>
          <w:bCs/>
        </w:rPr>
        <w:t>)</w:t>
      </w:r>
      <w:r w:rsidRPr="00487EEB">
        <w:rPr>
          <w:rFonts w:ascii="Times New Roman" w:hAnsi="Times New Roman" w:cs="Times New Roman"/>
          <w:bCs/>
          <w:i/>
        </w:rPr>
        <w:t xml:space="preserve"> </w:t>
      </w:r>
      <w:r w:rsidRPr="00487EEB">
        <w:rPr>
          <w:rFonts w:ascii="Times New Roman" w:hAnsi="Times New Roman" w:cs="Times New Roman"/>
          <w:bCs/>
        </w:rPr>
        <w:t xml:space="preserve">y unas causales o </w:t>
      </w:r>
      <w:r w:rsidRPr="00487EEB">
        <w:rPr>
          <w:rFonts w:ascii="Times New Roman" w:hAnsi="Times New Roman" w:cs="Times New Roman"/>
          <w:bCs/>
          <w:i/>
        </w:rPr>
        <w:t xml:space="preserve">presupuestos materiales de prosperidad </w:t>
      </w:r>
      <w:r w:rsidRPr="00487EEB">
        <w:rPr>
          <w:rFonts w:ascii="Times New Roman" w:hAnsi="Times New Roman" w:cs="Times New Roman"/>
          <w:bCs/>
        </w:rPr>
        <w:t>(</w:t>
      </w:r>
      <w:r w:rsidRPr="00487EEB">
        <w:rPr>
          <w:rFonts w:ascii="Times New Roman" w:hAnsi="Times New Roman" w:cs="Times New Roman"/>
          <w:bCs/>
          <w:i/>
        </w:rPr>
        <w:t xml:space="preserve">cfr., </w:t>
      </w:r>
      <w:r w:rsidRPr="00487EEB">
        <w:rPr>
          <w:rFonts w:ascii="Times New Roman" w:hAnsi="Times New Roman" w:cs="Times New Roman"/>
          <w:bCs/>
        </w:rPr>
        <w:t xml:space="preserve">el </w:t>
      </w:r>
      <w:r w:rsidRPr="00487EEB">
        <w:rPr>
          <w:rFonts w:ascii="Times New Roman" w:hAnsi="Times New Roman" w:cs="Times New Roman"/>
          <w:lang w:val="es-US"/>
        </w:rPr>
        <w:t>Auto 362 de 2017</w:t>
      </w:r>
      <w:r w:rsidRPr="00487EEB">
        <w:rPr>
          <w:rFonts w:ascii="Times New Roman" w:hAnsi="Times New Roman" w:cs="Times New Roman"/>
          <w:bCs/>
        </w:rPr>
        <w:t>); con relación a estas últimas, la prosperidad del incidente está supeditada a la acreditación de una violación ostensible, probada, significativa y trascendental al debido proceso, que no referida a asuntos relacionados con el fondo del litigio. Esta posibilidad, actualmente, se encuentra reglada en el artículo 106 del Reglamento de la Corte, Acuerdo 2 de 2015.</w:t>
      </w:r>
    </w:p>
  </w:footnote>
  <w:footnote w:id="53">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i/>
        </w:rPr>
        <w:t xml:space="preserve">Cfr., </w:t>
      </w:r>
      <w:r w:rsidRPr="00487EEB">
        <w:rPr>
          <w:rFonts w:ascii="Times New Roman" w:hAnsi="Times New Roman" w:cs="Times New Roman"/>
        </w:rPr>
        <w:t xml:space="preserve">entre otros, los autos </w:t>
      </w:r>
      <w:r w:rsidRPr="00487EEB">
        <w:rPr>
          <w:rFonts w:ascii="Times New Roman" w:hAnsi="Times New Roman" w:cs="Times New Roman"/>
          <w:color w:val="2D2D2D"/>
          <w:shd w:val="clear" w:color="auto" w:fill="FFFFFF"/>
        </w:rPr>
        <w:t>162 de 2003, 013 de 2008, 026 de 2010, 059 de 2010, 063 de 2010, 074 de 2010, 050 de 2013, 107 de 2013, 010 de 2014, 012 de 20014 y 229 de 2014.</w:t>
      </w:r>
    </w:p>
  </w:footnote>
  <w:footnote w:id="54">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i/>
        </w:rPr>
        <w:t>Cfr.,</w:t>
      </w:r>
      <w:r w:rsidRPr="00487EEB">
        <w:rPr>
          <w:rFonts w:ascii="Times New Roman" w:hAnsi="Times New Roman" w:cs="Times New Roman"/>
        </w:rPr>
        <w:t xml:space="preserve"> los autos </w:t>
      </w:r>
      <w:r w:rsidRPr="00487EEB">
        <w:rPr>
          <w:rFonts w:ascii="Times New Roman" w:hAnsi="Times New Roman" w:cs="Times New Roman"/>
          <w:color w:val="2D2D2D"/>
          <w:shd w:val="clear" w:color="auto" w:fill="FFFFFF"/>
        </w:rPr>
        <w:t xml:space="preserve">010A de 2002, 087 de 2008, 099 de 2008 y </w:t>
      </w:r>
      <w:r w:rsidRPr="00487EEB">
        <w:rPr>
          <w:rFonts w:ascii="Times New Roman" w:hAnsi="Times New Roman" w:cs="Times New Roman"/>
        </w:rPr>
        <w:t>536 de 2016</w:t>
      </w:r>
      <w:r w:rsidRPr="00487EEB">
        <w:rPr>
          <w:rFonts w:ascii="Times New Roman" w:hAnsi="Times New Roman" w:cs="Times New Roman"/>
          <w:color w:val="2D2D2D"/>
          <w:shd w:val="clear" w:color="auto" w:fill="FFFFFF"/>
        </w:rPr>
        <w:t xml:space="preserve">. En este último, se indicó: </w:t>
      </w:r>
      <w:r w:rsidRPr="00487EEB">
        <w:rPr>
          <w:rFonts w:ascii="Times New Roman" w:hAnsi="Times New Roman" w:cs="Times New Roman"/>
        </w:rPr>
        <w:t>“</w:t>
      </w:r>
      <w:r w:rsidRPr="00487EEB">
        <w:rPr>
          <w:rFonts w:ascii="Times New Roman" w:hAnsi="Times New Roman" w:cs="Times New Roman"/>
          <w:i/>
        </w:rPr>
        <w:t xml:space="preserve">la solicitud de nulidad no puede constituirse en una instancia en la que </w:t>
      </w:r>
      <w:r w:rsidRPr="00487EEB">
        <w:rPr>
          <w:rFonts w:ascii="Times New Roman" w:hAnsi="Times New Roman" w:cs="Times New Roman"/>
        </w:rPr>
        <w:t xml:space="preserve">[la] </w:t>
      </w:r>
      <w:r w:rsidRPr="00487EEB">
        <w:rPr>
          <w:rFonts w:ascii="Times New Roman" w:hAnsi="Times New Roman" w:cs="Times New Roman"/>
          <w:i/>
        </w:rPr>
        <w:t>Sala Plena de la Corte efectúe un análisis acerca de la corrección de los argumentos expuestos</w:t>
      </w:r>
      <w:r w:rsidR="00BB221A">
        <w:rPr>
          <w:rFonts w:ascii="Times New Roman" w:hAnsi="Times New Roman" w:cs="Times New Roman"/>
          <w:i/>
        </w:rPr>
        <w:t xml:space="preserve"> </w:t>
      </w:r>
      <w:r w:rsidRPr="00487EEB">
        <w:rPr>
          <w:rFonts w:ascii="Times New Roman" w:hAnsi="Times New Roman" w:cs="Times New Roman"/>
          <w:i/>
        </w:rPr>
        <w:t xml:space="preserve">por la Sala de Revisión correspondiente. La sentencia que profiere la Sala de Revisión está cobijada por los efectos de cosa juzgada, de manera tal que tanto la valoración probatoria como la interpretación que se haya plasmado en la sentencia no son asuntos objeto de cuestionamiento a través del incidente de nulidad. En cambio, este incidente se restringe a la identificación de un vicio significativo y trascendental, el cual haga la sentencia abiertamente incompatible con el derecho al debido proceso </w:t>
      </w:r>
      <w:r w:rsidRPr="00487EEB">
        <w:rPr>
          <w:rFonts w:ascii="Times New Roman" w:hAnsi="Times New Roman" w:cs="Times New Roman"/>
        </w:rPr>
        <w:t>[...]</w:t>
      </w:r>
      <w:r w:rsidRPr="00487EEB">
        <w:rPr>
          <w:rFonts w:ascii="Times New Roman" w:hAnsi="Times New Roman" w:cs="Times New Roman"/>
          <w:i/>
        </w:rPr>
        <w:t>”.</w:t>
      </w:r>
    </w:p>
  </w:footnote>
  <w:footnote w:id="55">
    <w:p w:rsidR="006F646A" w:rsidRDefault="009E39B6" w:rsidP="00487EEB">
      <w:pPr>
        <w:pStyle w:val="Textonotapie"/>
        <w:jc w:val="both"/>
      </w:pPr>
      <w:r w:rsidRPr="00487EEB">
        <w:rPr>
          <w:rFonts w:ascii="Times New Roman" w:hAnsi="Times New Roman" w:cs="Times New Roman"/>
          <w:vertAlign w:val="superscript"/>
        </w:rPr>
        <w:footnoteRef/>
      </w:r>
      <w:r w:rsidRPr="00487EEB">
        <w:rPr>
          <w:rFonts w:ascii="Times New Roman" w:hAnsi="Times New Roman" w:cs="Times New Roman"/>
        </w:rPr>
        <w:t xml:space="preserve"> En el Auto 020 de 2017, con relación a este aspecto, se señaló: </w:t>
      </w:r>
      <w:r w:rsidRPr="00487EEB">
        <w:rPr>
          <w:rFonts w:ascii="Times New Roman" w:hAnsi="Times New Roman" w:cs="Times New Roman"/>
          <w:i/>
          <w:color w:val="auto"/>
          <w:lang w:val="es-ES" w:eastAsia="es-ES_tradnl"/>
        </w:rPr>
        <w:t>“</w:t>
      </w:r>
      <w:r w:rsidRPr="00487EEB">
        <w:rPr>
          <w:rFonts w:ascii="Times New Roman" w:hAnsi="Times New Roman" w:cs="Times New Roman"/>
          <w:i/>
          <w:iCs/>
          <w:color w:val="auto"/>
          <w:lang w:val="es-ES" w:eastAsia="es-ES_tradnl"/>
        </w:rPr>
        <w:t>[r]azones de seguridad jurídica y de certeza en la aplicación del derecho [7] permiten afirmar de manera categórica que las decisiones adoptadas por una de las Salas del órgano judicial límite de la jurisdicción constitucional hacen tránsito a cosa juzgada y cierran el debate sobre el asunto respectivo, el cual no puede reabrirse utilizándose como medio para ello una solicitud de declaratoria de nulidad de la sentencia. Así, sólo una censura a la decisión fundada no en una controversia acerca del fondo del asunto estudiado por la Corte, sino en la presencia de circunstancias con base en las cuales pueda predicarse la vulneración del debido proceso en razón del fallo, servirá de sustento válido para la declaratoria de nulidad</w:t>
      </w:r>
      <w:r w:rsidRPr="00487EEB">
        <w:rPr>
          <w:rFonts w:ascii="Times New Roman" w:hAnsi="Times New Roman" w:cs="Times New Roman"/>
          <w:i/>
          <w:color w:val="auto"/>
          <w:lang w:val="es-ES" w:eastAsia="es-ES_tradnl"/>
        </w:rPr>
        <w:t>”</w:t>
      </w:r>
      <w:r w:rsidRPr="00487EEB">
        <w:rPr>
          <w:rFonts w:ascii="Times New Roman" w:hAnsi="Times New Roman" w:cs="Times New Roman"/>
          <w:color w:val="auto"/>
          <w:lang w:val="es-ES" w:eastAsia="es-ES_tradnl"/>
        </w:rPr>
        <w:t>.</w:t>
      </w:r>
    </w:p>
  </w:footnote>
  <w:footnote w:id="56">
    <w:p w:rsidR="006F646A" w:rsidRDefault="009E39B6" w:rsidP="00487EEB">
      <w:pPr>
        <w:pStyle w:val="Textonotapie"/>
        <w:jc w:val="both"/>
      </w:pPr>
      <w:r w:rsidRPr="00487EEB">
        <w:rPr>
          <w:rFonts w:ascii="Times New Roman" w:hAnsi="Times New Roman" w:cs="Times New Roman"/>
          <w:vertAlign w:val="superscript"/>
        </w:rPr>
        <w:footnoteRef/>
      </w:r>
      <w:r w:rsidRPr="00487EEB">
        <w:rPr>
          <w:rFonts w:ascii="Times New Roman" w:hAnsi="Times New Roman" w:cs="Times New Roman"/>
        </w:rPr>
        <w:t xml:space="preserve"> </w:t>
      </w:r>
      <w:r w:rsidRPr="00487EEB">
        <w:rPr>
          <w:rFonts w:ascii="Times New Roman" w:hAnsi="Times New Roman" w:cs="Times New Roman"/>
          <w:i/>
        </w:rPr>
        <w:t xml:space="preserve">Cfr., </w:t>
      </w:r>
      <w:r w:rsidRPr="00487EEB">
        <w:rPr>
          <w:rFonts w:ascii="Times New Roman" w:hAnsi="Times New Roman" w:cs="Times New Roman"/>
        </w:rPr>
        <w:t>Auto 102 de 2010</w:t>
      </w:r>
      <w:r w:rsidRPr="00487EEB">
        <w:rPr>
          <w:rFonts w:ascii="Times New Roman" w:hAnsi="Times New Roman" w:cs="Times New Roman"/>
          <w:color w:val="auto"/>
          <w:lang w:val="es-ES" w:eastAsia="es-ES_tradnl"/>
        </w:rPr>
        <w:t>.</w:t>
      </w:r>
    </w:p>
  </w:footnote>
  <w:footnote w:id="57">
    <w:p w:rsidR="006F646A" w:rsidRDefault="009E39B6" w:rsidP="00487EEB">
      <w:pPr>
        <w:spacing w:after="0" w:line="240" w:lineRule="auto"/>
        <w:jc w:val="both"/>
      </w:pPr>
      <w:r w:rsidRPr="00487EEB">
        <w:rPr>
          <w:rFonts w:ascii="Times New Roman" w:hAnsi="Times New Roman" w:cs="Times New Roman"/>
          <w:sz w:val="20"/>
          <w:szCs w:val="20"/>
          <w:vertAlign w:val="superscript"/>
        </w:rPr>
        <w:footnoteRef/>
      </w:r>
      <w:r w:rsidRPr="00487EEB">
        <w:rPr>
          <w:rFonts w:ascii="Times New Roman" w:hAnsi="Times New Roman" w:cs="Times New Roman"/>
          <w:sz w:val="20"/>
          <w:szCs w:val="20"/>
        </w:rPr>
        <w:t xml:space="preserve"> Auto 536 de 2015.</w:t>
      </w:r>
    </w:p>
  </w:footnote>
  <w:footnote w:id="58">
    <w:p w:rsidR="006F646A" w:rsidRDefault="009E39B6" w:rsidP="00487EEB">
      <w:pPr>
        <w:spacing w:after="0" w:line="240" w:lineRule="auto"/>
        <w:jc w:val="both"/>
      </w:pPr>
      <w:r w:rsidRPr="00487EEB">
        <w:rPr>
          <w:rFonts w:ascii="Times New Roman" w:hAnsi="Times New Roman" w:cs="Times New Roman"/>
          <w:sz w:val="20"/>
          <w:szCs w:val="20"/>
          <w:vertAlign w:val="superscript"/>
        </w:rPr>
        <w:footnoteRef/>
      </w:r>
      <w:r w:rsidRPr="00487EEB">
        <w:rPr>
          <w:rFonts w:ascii="Times New Roman" w:hAnsi="Times New Roman" w:cs="Times New Roman"/>
          <w:sz w:val="20"/>
          <w:szCs w:val="20"/>
        </w:rPr>
        <w:t xml:space="preserve"> Sentencia C-153 de 2002.</w:t>
      </w:r>
    </w:p>
  </w:footnote>
  <w:footnote w:id="59">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Corte Constitucional, Sentencia C-590 de 2005.</w:t>
      </w:r>
    </w:p>
  </w:footnote>
  <w:footnote w:id="60">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Este requisito no supone que la decisión cuestionada comporte necesariamente una irregularidad procesal, sino que la irregularidad que se alega por el tutelante tenga un efecto determinante en la providencia que se cuestiona.</w:t>
      </w:r>
    </w:p>
  </w:footnote>
  <w:footnote w:id="61">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i/>
        </w:rPr>
        <w:t xml:space="preserve">Cfr., </w:t>
      </w:r>
      <w:r w:rsidRPr="00487EEB">
        <w:rPr>
          <w:rFonts w:ascii="Times New Roman" w:hAnsi="Times New Roman" w:cs="Times New Roman"/>
        </w:rPr>
        <w:t xml:space="preserve">Corte Constitucional, Sentencia </w:t>
      </w:r>
      <w:r w:rsidRPr="00487EEB">
        <w:rPr>
          <w:rFonts w:ascii="Times New Roman" w:hAnsi="Times New Roman" w:cs="Times New Roman"/>
          <w:bCs/>
          <w:bdr w:val="none" w:sz="0" w:space="0" w:color="auto" w:frame="1"/>
          <w:shd w:val="clear" w:color="auto" w:fill="FFFFFF"/>
        </w:rPr>
        <w:t>SU-1219 de 2001</w:t>
      </w:r>
      <w:r w:rsidRPr="00487EEB">
        <w:rPr>
          <w:rFonts w:ascii="Times New Roman" w:hAnsi="Times New Roman" w:cs="Times New Roman"/>
        </w:rPr>
        <w:t>.</w:t>
      </w:r>
    </w:p>
  </w:footnote>
  <w:footnote w:id="62">
    <w:p w:rsidR="006F646A" w:rsidRDefault="009E39B6" w:rsidP="00487EEB">
      <w:pPr>
        <w:spacing w:after="0" w:line="240" w:lineRule="auto"/>
        <w:contextualSpacing/>
        <w:jc w:val="both"/>
      </w:pPr>
      <w:r w:rsidRPr="00487EEB">
        <w:rPr>
          <w:rFonts w:ascii="Times New Roman" w:hAnsi="Times New Roman" w:cs="Times New Roman"/>
          <w:sz w:val="20"/>
          <w:szCs w:val="20"/>
          <w:vertAlign w:val="superscript"/>
        </w:rPr>
        <w:footnoteRef/>
      </w:r>
      <w:r w:rsidRPr="00487EEB">
        <w:rPr>
          <w:rFonts w:ascii="Times New Roman" w:hAnsi="Times New Roman" w:cs="Times New Roman"/>
          <w:sz w:val="20"/>
          <w:szCs w:val="20"/>
        </w:rPr>
        <w:t xml:space="preserve"> Con relación a este requisito, el inciso 1º del artículo 1 (de manera general), los artículos 5 e inciso 1º del 13 (en cuanto a la legitimación por pasiva) y el artículo 10 (en cuanto a la legitimación por activa) del Decreto 2591 de 1991, respectivamente, disponen: </w:t>
      </w:r>
      <w:r w:rsidRPr="00487EEB">
        <w:rPr>
          <w:rFonts w:ascii="Times New Roman" w:hAnsi="Times New Roman" w:cs="Times New Roman"/>
          <w:i/>
          <w:sz w:val="20"/>
          <w:szCs w:val="20"/>
        </w:rPr>
        <w:t>“Artículo 1. Objeto.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o de los particulares </w:t>
      </w:r>
      <w:r w:rsidRPr="00487EEB">
        <w:rPr>
          <w:rFonts w:ascii="Times New Roman" w:hAnsi="Times New Roman" w:cs="Times New Roman"/>
          <w:bCs/>
          <w:i/>
          <w:sz w:val="20"/>
          <w:szCs w:val="20"/>
        </w:rPr>
        <w:t>en los casos que señala este Decreto”</w:t>
      </w:r>
      <w:r w:rsidRPr="00487EEB">
        <w:rPr>
          <w:rFonts w:ascii="Times New Roman" w:hAnsi="Times New Roman" w:cs="Times New Roman"/>
          <w:bCs/>
          <w:sz w:val="20"/>
          <w:szCs w:val="20"/>
        </w:rPr>
        <w:t>;</w:t>
      </w:r>
      <w:r w:rsidRPr="00487EEB">
        <w:rPr>
          <w:rFonts w:ascii="Times New Roman" w:hAnsi="Times New Roman" w:cs="Times New Roman"/>
          <w:i/>
          <w:sz w:val="20"/>
          <w:szCs w:val="20"/>
        </w:rPr>
        <w:t xml:space="preserve"> “Artículo 5. Procedencia de la acción de tutela. La acción de tutela procede contra toda acción u omisión de las autoridades públicas, que haya violado, viole o amenace violar cualquiera de los derechos de que trata el artículo 2o. de esta ley. También procede contra acciones u omisiones de particulares, de conformidad con lo establecido en el Capítulo lll de este Decreto. La procedencia de la tutela en ningún caso está sujeta a que la acción de la autoridad o del particular se haya manifestado en un acto jurídico escrito”</w:t>
      </w:r>
      <w:r w:rsidRPr="00487EEB">
        <w:rPr>
          <w:rFonts w:ascii="Times New Roman" w:hAnsi="Times New Roman" w:cs="Times New Roman"/>
          <w:sz w:val="20"/>
          <w:szCs w:val="20"/>
        </w:rPr>
        <w:t>;</w:t>
      </w:r>
      <w:r w:rsidRPr="00487EEB">
        <w:rPr>
          <w:rFonts w:ascii="Times New Roman" w:hAnsi="Times New Roman" w:cs="Times New Roman"/>
          <w:i/>
          <w:sz w:val="20"/>
          <w:szCs w:val="20"/>
        </w:rPr>
        <w:t xml:space="preserve"> “Artículo 13. Personas contra quien se dirige la acción e intervinientes. La acción se dirigirá contra la autoridad pública o el representante del órgano que presuntamente violó o amenazó el derecho fundamental. Si uno u otro hubiesen actuado en cumplimiento de órdenes o instrucciones impartidas por un superior, o con su autorización o aprobación, la acción se entenderá dirigida contra ambos, sin perjuicio de lo que se decida en el fallo. De ignorarse la identidad de la autoridad pública, la acción se tendrá por ejercida contra el superior”</w:t>
      </w:r>
      <w:r w:rsidRPr="00487EEB">
        <w:rPr>
          <w:rFonts w:ascii="Times New Roman" w:hAnsi="Times New Roman" w:cs="Times New Roman"/>
          <w:sz w:val="20"/>
          <w:szCs w:val="20"/>
        </w:rPr>
        <w:t>;</w:t>
      </w:r>
      <w:r w:rsidRPr="00487EEB">
        <w:rPr>
          <w:rFonts w:ascii="Times New Roman" w:hAnsi="Times New Roman" w:cs="Times New Roman"/>
          <w:i/>
          <w:sz w:val="20"/>
          <w:szCs w:val="20"/>
        </w:rPr>
        <w:t xml:space="preserve"> “Artículo 10. Legitimidad e interés. La acción de tutela podrá ser ejercida, en todo momento y lugar, por cualquiera persona vulnerada o amenazada en uno de sus derechos fundamentales, quien actuará por sí misma o a través de representante. Los poderes se presumirán auténticos. </w:t>
      </w:r>
      <w:r w:rsidRPr="00487EEB">
        <w:rPr>
          <w:rFonts w:ascii="Times New Roman" w:hAnsi="Times New Roman" w:cs="Times New Roman"/>
          <w:sz w:val="20"/>
          <w:szCs w:val="20"/>
        </w:rPr>
        <w:t xml:space="preserve">|| </w:t>
      </w:r>
      <w:r w:rsidRPr="00487EEB">
        <w:rPr>
          <w:rFonts w:ascii="Times New Roman" w:hAnsi="Times New Roman" w:cs="Times New Roman"/>
          <w:i/>
          <w:sz w:val="20"/>
          <w:szCs w:val="20"/>
        </w:rPr>
        <w:t>También se pueden agenciar derechos ajenos cuando el titular de los mismos no esté en condiciones de promover su propia defensa. Cuando tal circunstancia ocurra, deberá manifestarse en la solicitud</w:t>
      </w:r>
      <w:r w:rsidRPr="00487EEB">
        <w:rPr>
          <w:rFonts w:ascii="Times New Roman" w:hAnsi="Times New Roman" w:cs="Times New Roman"/>
          <w:sz w:val="20"/>
          <w:szCs w:val="20"/>
        </w:rPr>
        <w:t>”.</w:t>
      </w:r>
    </w:p>
  </w:footnote>
  <w:footnote w:id="63">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Contenido en el Decreto Ley 2158 de 1948, modificado</w:t>
      </w:r>
      <w:r w:rsidRPr="00487EEB">
        <w:rPr>
          <w:rFonts w:ascii="Times New Roman" w:hAnsi="Times New Roman" w:cs="Times New Roman"/>
          <w:lang w:val="es-ES"/>
        </w:rPr>
        <w:t xml:space="preserve"> por las leyes 712 de 2001 y 1149 de 2007.</w:t>
      </w:r>
    </w:p>
  </w:footnote>
  <w:footnote w:id="64">
    <w:p w:rsidR="006F646A" w:rsidRDefault="009E39B6" w:rsidP="00487EEB">
      <w:pPr>
        <w:pStyle w:val="cuerpotexto"/>
        <w:spacing w:before="0" w:beforeAutospacing="0" w:after="0" w:afterAutospacing="0"/>
        <w:jc w:val="both"/>
      </w:pPr>
      <w:r w:rsidRPr="00487EEB">
        <w:rPr>
          <w:rStyle w:val="Refdenotaalpie"/>
          <w:sz w:val="20"/>
          <w:szCs w:val="20"/>
        </w:rPr>
        <w:footnoteRef/>
      </w:r>
      <w:r w:rsidRPr="00487EEB">
        <w:rPr>
          <w:sz w:val="20"/>
          <w:szCs w:val="20"/>
        </w:rPr>
        <w:t xml:space="preserve"> </w:t>
      </w:r>
      <w:r w:rsidRPr="00487EEB">
        <w:rPr>
          <w:i/>
          <w:sz w:val="20"/>
          <w:szCs w:val="20"/>
        </w:rPr>
        <w:t>“</w:t>
      </w:r>
      <w:r w:rsidRPr="00487EEB">
        <w:rPr>
          <w:i/>
          <w:sz w:val="20"/>
          <w:szCs w:val="20"/>
          <w:lang w:val="es-MX"/>
        </w:rPr>
        <w:t>Artículo 31. Causales de revisión: || 1. Haberse declarado falsos por la justicia penal documentos que fueron decisivos para el pronunciamiento de la sentencia recurrida. || 2. Haberse cimentado la sentencia en declaraciones de personas que fueron condenadas por falsos testimonios en razón de ellas. || 3. Cuando después de ejecutoriada la sentencia se demuestre que la decisión fue determinada por un hecho delictivo del juez, decidido por la justicia penal. || 4. Haber incurrido el apoderado judicial o mandatario en el delito de infidelidad de los deberes profesionales, en perjuicio de la parte que representó en el proceso laboral, siempre que ello haya sido determinante en este. || Parágrafo. Este recurso también procede respecto de conciliaciones laborales en los casos previstos en los numerales 1, 3 y 4 de este artículo. En este caso conocerán los Tribunales Superiores de Distrito Judicial”</w:t>
      </w:r>
      <w:r w:rsidRPr="00487EEB">
        <w:rPr>
          <w:sz w:val="20"/>
          <w:szCs w:val="20"/>
          <w:lang w:val="es-MX"/>
        </w:rPr>
        <w:t>.</w:t>
      </w:r>
    </w:p>
  </w:footnote>
  <w:footnote w:id="65">
    <w:p w:rsidR="006F646A" w:rsidRDefault="009E39B6" w:rsidP="00487EEB">
      <w:pPr>
        <w:pStyle w:val="cuerpotexto"/>
        <w:spacing w:before="0" w:beforeAutospacing="0" w:after="0" w:afterAutospacing="0"/>
        <w:jc w:val="both"/>
      </w:pPr>
      <w:r w:rsidRPr="00487EEB">
        <w:rPr>
          <w:rStyle w:val="Refdenotaalpie"/>
          <w:sz w:val="20"/>
          <w:szCs w:val="20"/>
        </w:rPr>
        <w:footnoteRef/>
      </w:r>
      <w:r w:rsidRPr="00487EEB">
        <w:rPr>
          <w:sz w:val="20"/>
          <w:szCs w:val="20"/>
        </w:rPr>
        <w:t xml:space="preserve"> Este concepto hace referencia a la capacidad del medio judicial para remediar la situación jurídica infringida o, en otros términos, para resolver el problema jurídico sustancial, de rango constitucional, que se plantea.</w:t>
      </w:r>
    </w:p>
  </w:footnote>
  <w:footnote w:id="66">
    <w:p w:rsidR="006F646A" w:rsidRDefault="009E39B6" w:rsidP="00487EEB">
      <w:pPr>
        <w:spacing w:after="0" w:line="240" w:lineRule="auto"/>
        <w:jc w:val="both"/>
      </w:pPr>
      <w:r w:rsidRPr="00487EEB">
        <w:rPr>
          <w:sz w:val="20"/>
          <w:szCs w:val="20"/>
          <w:vertAlign w:val="superscript"/>
        </w:rPr>
        <w:footnoteRef/>
      </w:r>
      <w:r w:rsidRPr="00487EEB">
        <w:rPr>
          <w:rFonts w:ascii="Times New Roman" w:hAnsi="Times New Roman" w:cs="Times New Roman"/>
          <w:sz w:val="20"/>
          <w:szCs w:val="20"/>
        </w:rPr>
        <w:t xml:space="preserve"> La definición acerca de cuál es el término </w:t>
      </w:r>
      <w:r w:rsidRPr="00487EEB">
        <w:rPr>
          <w:rFonts w:ascii="Times New Roman" w:hAnsi="Times New Roman" w:cs="Times New Roman"/>
          <w:i/>
          <w:sz w:val="20"/>
          <w:szCs w:val="20"/>
        </w:rPr>
        <w:t>“razonable”</w:t>
      </w:r>
      <w:r w:rsidRPr="00487EEB">
        <w:rPr>
          <w:rFonts w:ascii="Times New Roman" w:hAnsi="Times New Roman" w:cs="Times New Roman"/>
          <w:sz w:val="20"/>
          <w:szCs w:val="20"/>
        </w:rPr>
        <w:t xml:space="preserve"> que debe mediar entre la fecha de ocurrencia de la presunta afectación de los derechos fundamentales y su cuestionamiento en sede de tutela no ha sido pacífica en la jurisprudencia. Por tal razón, de manera abstracta y previa, este solo puede catalogarse como </w:t>
      </w:r>
      <w:r w:rsidRPr="00487EEB">
        <w:rPr>
          <w:rFonts w:ascii="Times New Roman" w:hAnsi="Times New Roman" w:cs="Times New Roman"/>
          <w:i/>
          <w:sz w:val="20"/>
          <w:szCs w:val="20"/>
        </w:rPr>
        <w:t>prima facie</w:t>
      </w:r>
      <w:r w:rsidRPr="00487EEB">
        <w:rPr>
          <w:rFonts w:ascii="Times New Roman" w:hAnsi="Times New Roman" w:cs="Times New Roman"/>
          <w:sz w:val="20"/>
          <w:szCs w:val="20"/>
        </w:rPr>
        <w:t xml:space="preserve">, pues su valoración concreta está sujeta a las circunstancias específicas del caso, a las condiciones del tutelante (en especial a su situación concreta de vulnerabilidad), a los intereses jurídicos creados a favor de terceros por la actuación que se cuestiona y a la jurisprudencia constitucional en casos análogos. El término que </w:t>
      </w:r>
      <w:r w:rsidRPr="00487EEB">
        <w:rPr>
          <w:rFonts w:ascii="Times New Roman" w:hAnsi="Times New Roman" w:cs="Times New Roman"/>
          <w:i/>
          <w:sz w:val="20"/>
          <w:szCs w:val="20"/>
        </w:rPr>
        <w:t>prima facie</w:t>
      </w:r>
      <w:r w:rsidRPr="00487EEB">
        <w:rPr>
          <w:rFonts w:ascii="Times New Roman" w:hAnsi="Times New Roman" w:cs="Times New Roman"/>
          <w:sz w:val="20"/>
          <w:szCs w:val="20"/>
        </w:rPr>
        <w:t xml:space="preserve"> se ha considerado como razonable para tal efecto es de 6 meses. Sin embargo, según la jurisprudencia constitucional, por la razón antes mencionada, de conformidad con las circunstancias del caso, este término puede considerarse como </w:t>
      </w:r>
      <w:r w:rsidRPr="00487EEB">
        <w:rPr>
          <w:rFonts w:ascii="Times New Roman" w:hAnsi="Times New Roman" w:cs="Times New Roman"/>
          <w:i/>
          <w:sz w:val="20"/>
          <w:szCs w:val="20"/>
        </w:rPr>
        <w:t xml:space="preserve">excesivo </w:t>
      </w:r>
      <w:r w:rsidRPr="00487EEB">
        <w:rPr>
          <w:rFonts w:ascii="Times New Roman" w:hAnsi="Times New Roman" w:cs="Times New Roman"/>
          <w:sz w:val="20"/>
          <w:szCs w:val="20"/>
        </w:rPr>
        <w:t xml:space="preserve">o </w:t>
      </w:r>
      <w:r w:rsidRPr="00487EEB">
        <w:rPr>
          <w:rFonts w:ascii="Times New Roman" w:hAnsi="Times New Roman" w:cs="Times New Roman"/>
          <w:i/>
          <w:sz w:val="20"/>
          <w:szCs w:val="20"/>
        </w:rPr>
        <w:t>insuficiente</w:t>
      </w:r>
      <w:r w:rsidRPr="00487EEB">
        <w:rPr>
          <w:rFonts w:ascii="Times New Roman" w:hAnsi="Times New Roman" w:cs="Times New Roman"/>
          <w:sz w:val="20"/>
          <w:szCs w:val="20"/>
        </w:rPr>
        <w:t xml:space="preserve">. Con relación a esta última inferencia, </w:t>
      </w:r>
      <w:r w:rsidRPr="00487EEB">
        <w:rPr>
          <w:rFonts w:ascii="Times New Roman" w:hAnsi="Times New Roman" w:cs="Times New Roman"/>
          <w:i/>
          <w:sz w:val="20"/>
          <w:szCs w:val="20"/>
        </w:rPr>
        <w:t>cfr.</w:t>
      </w:r>
      <w:r w:rsidRPr="00487EEB">
        <w:rPr>
          <w:rFonts w:ascii="Times New Roman" w:hAnsi="Times New Roman" w:cs="Times New Roman"/>
          <w:sz w:val="20"/>
          <w:szCs w:val="20"/>
        </w:rPr>
        <w:t xml:space="preserve"> entre otras, las sentencias T-001 de 1992, C-543 de 1992, SU-961 de 1999, T-575 de 2002, </w:t>
      </w:r>
      <w:r w:rsidRPr="00487EEB">
        <w:rPr>
          <w:rFonts w:ascii="Times New Roman" w:hAnsi="Times New Roman" w:cs="Times New Roman"/>
          <w:color w:val="2D2D2D"/>
          <w:sz w:val="20"/>
          <w:szCs w:val="20"/>
          <w:highlight w:val="white"/>
        </w:rPr>
        <w:t>T-526 de 2005, T-033 de 2010, T-060 de 2016 y SU-391 de 2016).</w:t>
      </w:r>
      <w:r w:rsidRPr="00487EEB">
        <w:rPr>
          <w:rFonts w:ascii="Times New Roman" w:hAnsi="Times New Roman" w:cs="Times New Roman"/>
          <w:color w:val="2D2D2D"/>
          <w:sz w:val="20"/>
          <w:szCs w:val="20"/>
        </w:rPr>
        <w:t xml:space="preserve"> La exigencia de razonabilidad, según la jurisprudencia constitucional, es más estricta en caso de que la actuación que se cuestione en sede de tutela sea una providencia judicial (c</w:t>
      </w:r>
      <w:r w:rsidRPr="00487EEB">
        <w:rPr>
          <w:rFonts w:ascii="Times New Roman" w:hAnsi="Times New Roman" w:cs="Times New Roman"/>
          <w:i/>
          <w:color w:val="2D2D2D"/>
          <w:sz w:val="20"/>
          <w:szCs w:val="20"/>
        </w:rPr>
        <w:t xml:space="preserve">fr., </w:t>
      </w:r>
      <w:r w:rsidRPr="00487EEB">
        <w:rPr>
          <w:rFonts w:ascii="Times New Roman" w:hAnsi="Times New Roman" w:cs="Times New Roman"/>
          <w:color w:val="2D2D2D"/>
          <w:sz w:val="20"/>
          <w:szCs w:val="20"/>
        </w:rPr>
        <w:t xml:space="preserve">sentencias C-590 de 2005, T-594 de 2008 y T-265 de 2015). </w:t>
      </w:r>
    </w:p>
  </w:footnote>
  <w:footnote w:id="67">
    <w:p w:rsidR="006F646A" w:rsidRDefault="009E39B6" w:rsidP="00487EEB">
      <w:pPr>
        <w:pStyle w:val="Textonotapie"/>
        <w:jc w:val="both"/>
      </w:pPr>
      <w:r w:rsidRPr="00487EEB">
        <w:rPr>
          <w:rStyle w:val="Refdenotaalpie"/>
          <w:rFonts w:ascii="Times New Roman" w:hAnsi="Times New Roman" w:cs="Times New Roman"/>
        </w:rPr>
        <w:footnoteRef/>
      </w:r>
      <w:r w:rsidRPr="00487EEB">
        <w:rPr>
          <w:rStyle w:val="Refdenotaalpie"/>
          <w:rFonts w:ascii="Times New Roman" w:hAnsi="Times New Roman" w:cs="Times New Roman"/>
        </w:rPr>
        <w:t xml:space="preserve"> </w:t>
      </w:r>
      <w:r w:rsidRPr="00487EEB">
        <w:rPr>
          <w:rFonts w:ascii="Times New Roman" w:hAnsi="Times New Roman" w:cs="Times New Roman"/>
          <w:i/>
        </w:rPr>
        <w:t xml:space="preserve">Cfr., </w:t>
      </w:r>
      <w:r w:rsidRPr="00487EEB">
        <w:rPr>
          <w:rFonts w:ascii="Times New Roman" w:hAnsi="Times New Roman" w:cs="Times New Roman"/>
        </w:rPr>
        <w:t xml:space="preserve">de manera general, la Sentencia </w:t>
      </w:r>
      <w:r w:rsidRPr="00487EEB">
        <w:rPr>
          <w:rFonts w:ascii="Times New Roman" w:hAnsi="Times New Roman" w:cs="Times New Roman"/>
          <w:bCs/>
          <w:bdr w:val="none" w:sz="0" w:space="0" w:color="auto" w:frame="1"/>
          <w:shd w:val="clear" w:color="auto" w:fill="FFFFFF"/>
        </w:rPr>
        <w:t>C-590 de 2005.</w:t>
      </w:r>
    </w:p>
  </w:footnote>
  <w:footnote w:id="68">
    <w:p w:rsidR="006F646A" w:rsidRDefault="009E39B6" w:rsidP="00487EEB">
      <w:pPr>
        <w:pStyle w:val="Textonotapie"/>
        <w:jc w:val="both"/>
      </w:pPr>
      <w:r w:rsidRPr="00487EEB">
        <w:rPr>
          <w:rStyle w:val="Refdenotaalpie"/>
          <w:rFonts w:ascii="Times New Roman" w:hAnsi="Times New Roman" w:cs="Times New Roman"/>
        </w:rPr>
        <w:footnoteRef/>
      </w:r>
      <w:r w:rsidRPr="00487EEB">
        <w:rPr>
          <w:rStyle w:val="Refdenotaalpie"/>
          <w:rFonts w:ascii="Times New Roman" w:hAnsi="Times New Roman" w:cs="Times New Roman"/>
        </w:rPr>
        <w:t xml:space="preserve"> </w:t>
      </w:r>
      <w:r w:rsidRPr="00487EEB">
        <w:rPr>
          <w:rFonts w:ascii="Times New Roman" w:hAnsi="Times New Roman" w:cs="Times New Roman"/>
          <w:i/>
        </w:rPr>
        <w:t xml:space="preserve">Cfr., </w:t>
      </w:r>
      <w:r w:rsidRPr="00487EEB">
        <w:rPr>
          <w:rFonts w:ascii="Times New Roman" w:hAnsi="Times New Roman" w:cs="Times New Roman"/>
        </w:rPr>
        <w:t xml:space="preserve">Corte Constitucional, sentencias SU-448 de 2011, </w:t>
      </w:r>
      <w:r w:rsidRPr="00487EEB">
        <w:rPr>
          <w:rFonts w:ascii="Times New Roman" w:hAnsi="Times New Roman" w:cs="Times New Roman"/>
          <w:bCs/>
          <w:bdr w:val="none" w:sz="0" w:space="0" w:color="auto" w:frame="1"/>
          <w:shd w:val="clear" w:color="auto" w:fill="FFFFFF"/>
        </w:rPr>
        <w:t>SU-424 de 2012 y SU-132 de 2013.</w:t>
      </w:r>
    </w:p>
  </w:footnote>
  <w:footnote w:id="69">
    <w:p w:rsidR="006F646A" w:rsidRDefault="009E39B6" w:rsidP="00487EEB">
      <w:pPr>
        <w:pStyle w:val="Textonotapie"/>
        <w:jc w:val="both"/>
      </w:pPr>
      <w:r w:rsidRPr="00487EEB">
        <w:rPr>
          <w:rStyle w:val="Refdenotaalpie"/>
          <w:rFonts w:ascii="Times New Roman" w:hAnsi="Times New Roman" w:cs="Times New Roman"/>
        </w:rPr>
        <w:footnoteRef/>
      </w:r>
      <w:r w:rsidRPr="00487EEB">
        <w:rPr>
          <w:rStyle w:val="Refdenotaalpie"/>
          <w:rFonts w:ascii="Times New Roman" w:hAnsi="Times New Roman" w:cs="Times New Roman"/>
        </w:rPr>
        <w:t xml:space="preserve"> </w:t>
      </w:r>
      <w:r w:rsidRPr="00487EEB">
        <w:rPr>
          <w:rFonts w:ascii="Times New Roman" w:hAnsi="Times New Roman" w:cs="Times New Roman"/>
          <w:i/>
        </w:rPr>
        <w:t xml:space="preserve">Cfr., </w:t>
      </w:r>
      <w:r w:rsidRPr="00487EEB">
        <w:rPr>
          <w:rFonts w:ascii="Times New Roman" w:hAnsi="Times New Roman" w:cs="Times New Roman"/>
        </w:rPr>
        <w:t>Corte Constitucional, Sentencia SU-159 de 2002 y SU-226 de 2013</w:t>
      </w:r>
      <w:r w:rsidRPr="00487EEB">
        <w:rPr>
          <w:rFonts w:ascii="Times New Roman" w:hAnsi="Times New Roman" w:cs="Times New Roman"/>
          <w:bCs/>
          <w:bdr w:val="none" w:sz="0" w:space="0" w:color="auto" w:frame="1"/>
          <w:shd w:val="clear" w:color="auto" w:fill="FFFFFF"/>
        </w:rPr>
        <w:t>.</w:t>
      </w:r>
    </w:p>
  </w:footnote>
  <w:footnote w:id="70">
    <w:p w:rsidR="006F646A" w:rsidRDefault="009E39B6" w:rsidP="00487EEB">
      <w:pPr>
        <w:pStyle w:val="Textonotapie"/>
        <w:jc w:val="both"/>
      </w:pPr>
      <w:r w:rsidRPr="00487EEB">
        <w:rPr>
          <w:rStyle w:val="Refdenotaalpie"/>
          <w:rFonts w:ascii="Times New Roman" w:hAnsi="Times New Roman" w:cs="Times New Roman"/>
        </w:rPr>
        <w:footnoteRef/>
      </w:r>
      <w:r w:rsidRPr="00487EEB">
        <w:rPr>
          <w:rStyle w:val="Refdenotaalpie"/>
          <w:rFonts w:ascii="Times New Roman" w:hAnsi="Times New Roman" w:cs="Times New Roman"/>
        </w:rPr>
        <w:t xml:space="preserve"> </w:t>
      </w:r>
      <w:r w:rsidRPr="00487EEB">
        <w:rPr>
          <w:rFonts w:ascii="Times New Roman" w:hAnsi="Times New Roman" w:cs="Times New Roman"/>
          <w:i/>
        </w:rPr>
        <w:t xml:space="preserve">Cfr., </w:t>
      </w:r>
      <w:r w:rsidRPr="00487EEB">
        <w:rPr>
          <w:rFonts w:ascii="Times New Roman" w:hAnsi="Times New Roman" w:cs="Times New Roman"/>
        </w:rPr>
        <w:t xml:space="preserve">Corte Constitucional, Sentencia </w:t>
      </w:r>
      <w:r w:rsidRPr="00487EEB">
        <w:rPr>
          <w:rFonts w:ascii="Times New Roman" w:hAnsi="Times New Roman" w:cs="Times New Roman"/>
          <w:iCs/>
        </w:rPr>
        <w:t>SU-215 de 2016</w:t>
      </w:r>
      <w:r w:rsidRPr="00487EEB">
        <w:rPr>
          <w:rFonts w:ascii="Times New Roman" w:hAnsi="Times New Roman" w:cs="Times New Roman"/>
          <w:bCs/>
          <w:bdr w:val="none" w:sz="0" w:space="0" w:color="auto" w:frame="1"/>
          <w:shd w:val="clear" w:color="auto" w:fill="FFFFFF"/>
        </w:rPr>
        <w:t>.</w:t>
      </w:r>
    </w:p>
  </w:footnote>
  <w:footnote w:id="71">
    <w:p w:rsidR="006F646A" w:rsidRDefault="009E39B6" w:rsidP="00487EEB">
      <w:pPr>
        <w:pStyle w:val="Textonotapie"/>
        <w:jc w:val="both"/>
      </w:pPr>
      <w:r w:rsidRPr="00487EEB">
        <w:rPr>
          <w:rStyle w:val="Refdenotaalpie"/>
          <w:rFonts w:ascii="Times New Roman" w:hAnsi="Times New Roman" w:cs="Times New Roman"/>
        </w:rPr>
        <w:footnoteRef/>
      </w:r>
      <w:r w:rsidRPr="00487EEB">
        <w:rPr>
          <w:rStyle w:val="Refdenotaalpie"/>
          <w:rFonts w:ascii="Times New Roman" w:hAnsi="Times New Roman" w:cs="Times New Roman"/>
        </w:rPr>
        <w:t xml:space="preserve"> </w:t>
      </w:r>
      <w:r w:rsidRPr="00487EEB">
        <w:rPr>
          <w:rFonts w:ascii="Times New Roman" w:hAnsi="Times New Roman" w:cs="Times New Roman"/>
          <w:i/>
        </w:rPr>
        <w:t xml:space="preserve">Cfr., </w:t>
      </w:r>
      <w:r w:rsidRPr="00487EEB">
        <w:rPr>
          <w:rFonts w:ascii="Times New Roman" w:hAnsi="Times New Roman" w:cs="Times New Roman"/>
        </w:rPr>
        <w:t>Corte Constitucional, Sentencia T-709 de 2010</w:t>
      </w:r>
      <w:r w:rsidRPr="00487EEB">
        <w:rPr>
          <w:rFonts w:ascii="Times New Roman" w:hAnsi="Times New Roman" w:cs="Times New Roman"/>
          <w:bCs/>
          <w:bdr w:val="none" w:sz="0" w:space="0" w:color="auto" w:frame="1"/>
          <w:shd w:val="clear" w:color="auto" w:fill="FFFFFF"/>
        </w:rPr>
        <w:t>.</w:t>
      </w:r>
    </w:p>
  </w:footnote>
  <w:footnote w:id="72">
    <w:p w:rsidR="006F646A" w:rsidRDefault="009E39B6" w:rsidP="00487EEB">
      <w:pPr>
        <w:pStyle w:val="Textonotapie"/>
        <w:jc w:val="both"/>
      </w:pPr>
      <w:r w:rsidRPr="00487EEB">
        <w:rPr>
          <w:rStyle w:val="Refdenotaalpie"/>
          <w:rFonts w:ascii="Times New Roman" w:hAnsi="Times New Roman" w:cs="Times New Roman"/>
        </w:rPr>
        <w:footnoteRef/>
      </w:r>
      <w:r w:rsidRPr="00487EEB">
        <w:rPr>
          <w:rStyle w:val="Refdenotaalpie"/>
          <w:rFonts w:ascii="Times New Roman" w:hAnsi="Times New Roman" w:cs="Times New Roman"/>
        </w:rPr>
        <w:t xml:space="preserve"> </w:t>
      </w:r>
      <w:r w:rsidRPr="00487EEB">
        <w:rPr>
          <w:rFonts w:ascii="Times New Roman" w:hAnsi="Times New Roman" w:cs="Times New Roman"/>
          <w:i/>
        </w:rPr>
        <w:t xml:space="preserve">Cfr., </w:t>
      </w:r>
      <w:r w:rsidRPr="00487EEB">
        <w:rPr>
          <w:rFonts w:ascii="Times New Roman" w:hAnsi="Times New Roman" w:cs="Times New Roman"/>
        </w:rPr>
        <w:t xml:space="preserve">Corte Constitucional, sentencias </w:t>
      </w:r>
      <w:r w:rsidRPr="00487EEB">
        <w:rPr>
          <w:rFonts w:ascii="Times New Roman" w:hAnsi="Times New Roman" w:cs="Times New Roman"/>
          <w:lang w:val="es-ES_tradnl"/>
        </w:rPr>
        <w:t>C-083 de 1995, C-836 de 2001, C-634 de 2011, C-816 de 2011, C-818 de 2011 y C-588 de 2012</w:t>
      </w:r>
      <w:r w:rsidRPr="00487EEB">
        <w:rPr>
          <w:rFonts w:ascii="Times New Roman" w:hAnsi="Times New Roman" w:cs="Times New Roman"/>
          <w:bCs/>
          <w:bdr w:val="none" w:sz="0" w:space="0" w:color="auto" w:frame="1"/>
          <w:shd w:val="clear" w:color="auto" w:fill="FFFFFF"/>
        </w:rPr>
        <w:t>.</w:t>
      </w:r>
    </w:p>
  </w:footnote>
  <w:footnote w:id="73">
    <w:p w:rsidR="006F646A" w:rsidRDefault="009E39B6" w:rsidP="00487EEB">
      <w:pPr>
        <w:pStyle w:val="Textonotapie"/>
        <w:jc w:val="both"/>
      </w:pPr>
      <w:r w:rsidRPr="00487EEB">
        <w:rPr>
          <w:rStyle w:val="Refdenotaalpie"/>
          <w:rFonts w:ascii="Times New Roman" w:hAnsi="Times New Roman" w:cs="Times New Roman"/>
        </w:rPr>
        <w:footnoteRef/>
      </w:r>
      <w:r w:rsidRPr="00487EEB">
        <w:rPr>
          <w:rStyle w:val="Refdenotaalpie"/>
          <w:rFonts w:ascii="Times New Roman" w:hAnsi="Times New Roman" w:cs="Times New Roman"/>
        </w:rPr>
        <w:t xml:space="preserve"> </w:t>
      </w:r>
      <w:r w:rsidRPr="00487EEB">
        <w:rPr>
          <w:rFonts w:ascii="Times New Roman" w:hAnsi="Times New Roman" w:cs="Times New Roman"/>
          <w:i/>
        </w:rPr>
        <w:t xml:space="preserve">Cfr., </w:t>
      </w:r>
      <w:r w:rsidRPr="00487EEB">
        <w:rPr>
          <w:rFonts w:ascii="Times New Roman" w:hAnsi="Times New Roman" w:cs="Times New Roman"/>
        </w:rPr>
        <w:t xml:space="preserve">Corte Constitucional, sentencias T-929 de 2008 y </w:t>
      </w:r>
      <w:r w:rsidRPr="00487EEB">
        <w:rPr>
          <w:rFonts w:ascii="Times New Roman" w:hAnsi="Times New Roman" w:cs="Times New Roman"/>
          <w:lang w:val="es-ES_tradnl"/>
        </w:rPr>
        <w:t>SU-447 de 2011</w:t>
      </w:r>
      <w:r w:rsidRPr="00487EEB">
        <w:rPr>
          <w:rFonts w:ascii="Times New Roman" w:hAnsi="Times New Roman" w:cs="Times New Roman"/>
          <w:bCs/>
          <w:bdr w:val="none" w:sz="0" w:space="0" w:color="auto" w:frame="1"/>
          <w:shd w:val="clear" w:color="auto" w:fill="FFFFFF"/>
        </w:rPr>
        <w:t>.</w:t>
      </w:r>
    </w:p>
  </w:footnote>
  <w:footnote w:id="74">
    <w:p w:rsidR="006F646A" w:rsidRDefault="009E39B6" w:rsidP="00487EEB">
      <w:pPr>
        <w:pStyle w:val="Textonotapie"/>
        <w:jc w:val="both"/>
      </w:pPr>
      <w:r w:rsidRPr="00487EEB">
        <w:rPr>
          <w:rStyle w:val="Refdenotaalpie"/>
          <w:rFonts w:ascii="Times New Roman" w:hAnsi="Times New Roman" w:cs="Times New Roman"/>
        </w:rPr>
        <w:footnoteRef/>
      </w:r>
      <w:r w:rsidRPr="00487EEB">
        <w:rPr>
          <w:rStyle w:val="Refdenotaalpie"/>
          <w:rFonts w:ascii="Times New Roman" w:hAnsi="Times New Roman" w:cs="Times New Roman"/>
        </w:rPr>
        <w:t xml:space="preserve"> </w:t>
      </w:r>
      <w:r w:rsidRPr="00487EEB">
        <w:rPr>
          <w:rFonts w:ascii="Times New Roman" w:hAnsi="Times New Roman" w:cs="Times New Roman"/>
          <w:i/>
        </w:rPr>
        <w:t xml:space="preserve">Cfr., </w:t>
      </w:r>
      <w:r w:rsidRPr="00487EEB">
        <w:rPr>
          <w:rFonts w:ascii="Times New Roman" w:hAnsi="Times New Roman" w:cs="Times New Roman"/>
        </w:rPr>
        <w:t xml:space="preserve">Corte Constitucional, Sentencia </w:t>
      </w:r>
      <w:r w:rsidRPr="00487EEB">
        <w:rPr>
          <w:rFonts w:ascii="Times New Roman" w:hAnsi="Times New Roman" w:cs="Times New Roman"/>
          <w:shd w:val="clear" w:color="auto" w:fill="FFFFFF"/>
        </w:rPr>
        <w:t>T-863 de 2013</w:t>
      </w:r>
      <w:r w:rsidRPr="00487EEB">
        <w:rPr>
          <w:rFonts w:ascii="Times New Roman" w:hAnsi="Times New Roman" w:cs="Times New Roman"/>
          <w:bCs/>
          <w:bdr w:val="none" w:sz="0" w:space="0" w:color="auto" w:frame="1"/>
          <w:shd w:val="clear" w:color="auto" w:fill="FFFFFF"/>
        </w:rPr>
        <w:t>.</w:t>
      </w:r>
    </w:p>
  </w:footnote>
  <w:footnote w:id="75">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i/>
        </w:rPr>
        <w:t>Cfr.,</w:t>
      </w:r>
      <w:r w:rsidRPr="00487EEB">
        <w:rPr>
          <w:rFonts w:ascii="Times New Roman" w:hAnsi="Times New Roman" w:cs="Times New Roman"/>
        </w:rPr>
        <w:t xml:space="preserve"> Sentencia T-102 de 2014.</w:t>
      </w:r>
    </w:p>
  </w:footnote>
  <w:footnote w:id="76">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i/>
        </w:rPr>
        <w:t xml:space="preserve">Cfr., </w:t>
      </w:r>
      <w:r w:rsidRPr="00487EEB">
        <w:rPr>
          <w:rFonts w:ascii="Times New Roman" w:hAnsi="Times New Roman" w:cs="Times New Roman"/>
        </w:rPr>
        <w:t>entre otras, las sentencias T-351 de 2011 y T-744 de 2017.</w:t>
      </w:r>
    </w:p>
  </w:footnote>
  <w:footnote w:id="77">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i/>
        </w:rPr>
        <w:t xml:space="preserve">Cfr., </w:t>
      </w:r>
      <w:r w:rsidRPr="00487EEB">
        <w:rPr>
          <w:rFonts w:ascii="Times New Roman" w:hAnsi="Times New Roman" w:cs="Times New Roman"/>
        </w:rPr>
        <w:t>entre otras, las sentencias T-351 de 2011 y T-744 de 2017.</w:t>
      </w:r>
    </w:p>
  </w:footnote>
  <w:footnote w:id="78">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lang w:val="es-ES"/>
        </w:rPr>
        <w:t>Sentencia C-083 de 1995.</w:t>
      </w:r>
    </w:p>
  </w:footnote>
  <w:footnote w:id="79">
    <w:p w:rsidR="006F646A" w:rsidRDefault="009E39B6" w:rsidP="00487EEB">
      <w:pPr>
        <w:widowControl w:val="0"/>
        <w:tabs>
          <w:tab w:val="left" w:pos="426"/>
          <w:tab w:val="left" w:pos="7938"/>
        </w:tabs>
        <w:spacing w:after="0" w:line="240" w:lineRule="auto"/>
        <w:ind w:right="624"/>
        <w:contextualSpacing/>
        <w:jc w:val="both"/>
      </w:pPr>
      <w:r w:rsidRPr="00487EEB">
        <w:rPr>
          <w:rStyle w:val="Refdenotaalpie"/>
          <w:rFonts w:ascii="Times New Roman" w:hAnsi="Times New Roman" w:cs="Times New Roman"/>
          <w:sz w:val="20"/>
          <w:szCs w:val="20"/>
        </w:rPr>
        <w:footnoteRef/>
      </w:r>
      <w:r w:rsidRPr="00487EEB">
        <w:rPr>
          <w:rFonts w:ascii="Times New Roman" w:hAnsi="Times New Roman" w:cs="Times New Roman"/>
          <w:sz w:val="20"/>
          <w:szCs w:val="20"/>
        </w:rPr>
        <w:t xml:space="preserve"> </w:t>
      </w:r>
      <w:r w:rsidRPr="00487EEB">
        <w:rPr>
          <w:rFonts w:ascii="Times New Roman" w:hAnsi="Times New Roman" w:cs="Times New Roman"/>
          <w:sz w:val="20"/>
          <w:szCs w:val="20"/>
          <w:lang w:val="es-ES"/>
        </w:rPr>
        <w:t xml:space="preserve">En sede de nulidad, la Sala Plena le ha dado el siguiente alcance al concepto: </w:t>
      </w:r>
      <w:r w:rsidRPr="00487EEB">
        <w:rPr>
          <w:rFonts w:ascii="Times New Roman" w:hAnsi="Times New Roman" w:cs="Times New Roman"/>
          <w:i/>
          <w:sz w:val="20"/>
          <w:szCs w:val="20"/>
        </w:rPr>
        <w:t>“[…] la jurisprudencia en vigor, puede constituirse a través de sentencias proferidas por la Sala Plena de la Corte o por las diversas Salas de Revisión de Tutelas de esta misma Corporación, sin que ello haga la diferencia. Por lo tanto, lo que se deberá evaluar en adelante, es si existe una línea jurisprudencial sostenida, uniforme y pacífica sobre un determinado tema, que fue desconocida por la sentencia cuya nulidad se solicita. || En vista de lo anterior, cabe aclarar que cuando la solicitud de nulidad sea solicitada por desconocimiento de la jurisprudencia en vigor proferida por las distintas Salas de Revisión, la línea debe ser clara, uniforme, reiterada, constante y pacífica; es decir, no contradicha por otra Sala de Revisión, pues cuando esto ocurre, ya no se está en presencia del fenómeno de jurisprudencia en vigor. || En conclusión, el desconocimiento de la jurisprudencia en vigor, aun cuando ésta no está contenida en una sentencia dictada por la Sala Plena, también es una causal de nulidad de las sentencias proferidas por la Corte Constitucional”</w:t>
      </w:r>
      <w:r w:rsidRPr="00487EEB">
        <w:rPr>
          <w:rFonts w:ascii="Times New Roman" w:hAnsi="Times New Roman" w:cs="Times New Roman"/>
          <w:sz w:val="20"/>
          <w:szCs w:val="20"/>
        </w:rPr>
        <w:t xml:space="preserve"> (Auto 397 de 2014).</w:t>
      </w:r>
    </w:p>
  </w:footnote>
  <w:footnote w:id="80">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i/>
          <w:lang w:val="es-ES"/>
        </w:rPr>
        <w:t>Cfr.,</w:t>
      </w:r>
      <w:r w:rsidRPr="00487EEB">
        <w:rPr>
          <w:rFonts w:ascii="Times New Roman" w:hAnsi="Times New Roman" w:cs="Times New Roman"/>
          <w:lang w:val="es-ES"/>
        </w:rPr>
        <w:t xml:space="preserve"> Sentencia SU-395 de 2017.</w:t>
      </w:r>
    </w:p>
  </w:footnote>
  <w:footnote w:id="81">
    <w:p w:rsidR="006F646A" w:rsidRDefault="009E39B6" w:rsidP="00487EEB">
      <w:pPr>
        <w:widowControl w:val="0"/>
        <w:spacing w:after="0" w:line="240" w:lineRule="auto"/>
        <w:jc w:val="both"/>
      </w:pPr>
      <w:r w:rsidRPr="00487EEB">
        <w:rPr>
          <w:rFonts w:ascii="Times New Roman" w:hAnsi="Times New Roman" w:cs="Times New Roman"/>
          <w:sz w:val="20"/>
          <w:szCs w:val="20"/>
          <w:vertAlign w:val="superscript"/>
        </w:rPr>
        <w:footnoteRef/>
      </w:r>
      <w:r w:rsidRPr="00487EEB">
        <w:rPr>
          <w:rFonts w:ascii="Times New Roman" w:hAnsi="Times New Roman" w:cs="Times New Roman"/>
          <w:sz w:val="20"/>
          <w:szCs w:val="20"/>
        </w:rPr>
        <w:t xml:space="preserve"> </w:t>
      </w:r>
      <w:r w:rsidRPr="00487EEB">
        <w:rPr>
          <w:rFonts w:ascii="Times New Roman" w:hAnsi="Times New Roman" w:cs="Times New Roman"/>
          <w:i/>
          <w:sz w:val="20"/>
          <w:szCs w:val="20"/>
        </w:rPr>
        <w:t xml:space="preserve">Cfr., </w:t>
      </w:r>
      <w:r w:rsidRPr="00487EEB">
        <w:rPr>
          <w:rFonts w:ascii="Times New Roman" w:hAnsi="Times New Roman" w:cs="Times New Roman"/>
          <w:sz w:val="20"/>
          <w:szCs w:val="20"/>
        </w:rPr>
        <w:t>Sentencia T-380 de 2017.</w:t>
      </w:r>
    </w:p>
  </w:footnote>
  <w:footnote w:id="82">
    <w:p w:rsidR="006F646A" w:rsidRDefault="009E39B6" w:rsidP="00487EEB">
      <w:pPr>
        <w:spacing w:after="0" w:line="240" w:lineRule="auto"/>
        <w:jc w:val="both"/>
      </w:pPr>
      <w:r w:rsidRPr="00487EEB">
        <w:rPr>
          <w:rFonts w:ascii="Times New Roman" w:hAnsi="Times New Roman" w:cs="Times New Roman"/>
          <w:sz w:val="20"/>
          <w:szCs w:val="20"/>
          <w:vertAlign w:val="superscript"/>
        </w:rPr>
        <w:footnoteRef/>
      </w:r>
      <w:r w:rsidRPr="00487EEB">
        <w:rPr>
          <w:rFonts w:ascii="Times New Roman" w:hAnsi="Times New Roman" w:cs="Times New Roman"/>
          <w:sz w:val="20"/>
          <w:szCs w:val="20"/>
        </w:rPr>
        <w:t xml:space="preserve"> Con relación a esta disposición, en la Observación General 19 del Comité de Derechos Económicos Sociales y Culturales de la Organización de Naciones Unidas, se afirma que, </w:t>
      </w:r>
      <w:r w:rsidRPr="00487EEB">
        <w:rPr>
          <w:rFonts w:ascii="Times New Roman" w:hAnsi="Times New Roman" w:cs="Times New Roman"/>
          <w:i/>
          <w:sz w:val="20"/>
          <w:szCs w:val="20"/>
        </w:rPr>
        <w:t>“El derecho a la seguridad social incluye el derecho a no ser sometido a restricciones arbitrarias o poco razonables de la cobertura social existente, ya sea del sector público o del privado, así como del derecho a la igualdad en el disfrute de una protección suficiente contra los riesgos e imprevistos sociales.”</w:t>
      </w:r>
      <w:r w:rsidRPr="00487EEB">
        <w:rPr>
          <w:rFonts w:ascii="Times New Roman" w:hAnsi="Times New Roman" w:cs="Times New Roman"/>
          <w:sz w:val="20"/>
          <w:szCs w:val="20"/>
        </w:rPr>
        <w:t>.</w:t>
      </w:r>
    </w:p>
  </w:footnote>
  <w:footnote w:id="83">
    <w:p w:rsidR="006F646A" w:rsidRDefault="009E39B6" w:rsidP="00487EEB">
      <w:pPr>
        <w:spacing w:after="0" w:line="240" w:lineRule="auto"/>
        <w:jc w:val="both"/>
      </w:pPr>
      <w:r w:rsidRPr="00487EEB">
        <w:rPr>
          <w:rFonts w:ascii="Times New Roman" w:hAnsi="Times New Roman" w:cs="Times New Roman"/>
          <w:sz w:val="20"/>
          <w:szCs w:val="20"/>
          <w:vertAlign w:val="superscript"/>
        </w:rPr>
        <w:footnoteRef/>
      </w:r>
      <w:r w:rsidRPr="00487EEB">
        <w:rPr>
          <w:rFonts w:ascii="Times New Roman" w:hAnsi="Times New Roman" w:cs="Times New Roman"/>
          <w:sz w:val="20"/>
          <w:szCs w:val="20"/>
        </w:rPr>
        <w:t xml:space="preserve"> Ibídem.</w:t>
      </w:r>
    </w:p>
  </w:footnote>
  <w:footnote w:id="84">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i/>
        </w:rPr>
        <w:t xml:space="preserve">Cfr., </w:t>
      </w:r>
      <w:r w:rsidRPr="00487EEB">
        <w:rPr>
          <w:rFonts w:ascii="Times New Roman" w:hAnsi="Times New Roman" w:cs="Times New Roman"/>
        </w:rPr>
        <w:t>entre otras, las sentencias C-789 de 2002, T-543 de 2015 y T-045 de 2016.</w:t>
      </w:r>
    </w:p>
  </w:footnote>
  <w:footnote w:id="85">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i/>
        </w:rPr>
        <w:t>Cfr.,</w:t>
      </w:r>
      <w:r w:rsidRPr="00487EEB">
        <w:rPr>
          <w:rFonts w:ascii="Times New Roman" w:hAnsi="Times New Roman" w:cs="Times New Roman"/>
        </w:rPr>
        <w:t xml:space="preserve"> Sentencia T-078 de 2014.</w:t>
      </w:r>
    </w:p>
  </w:footnote>
  <w:footnote w:id="86">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i/>
        </w:rPr>
        <w:t>Cfr.,</w:t>
      </w:r>
      <w:r w:rsidRPr="00487EEB">
        <w:rPr>
          <w:rFonts w:ascii="Times New Roman" w:hAnsi="Times New Roman" w:cs="Times New Roman"/>
        </w:rPr>
        <w:t xml:space="preserve"> SU-427 de 2016.</w:t>
      </w:r>
    </w:p>
  </w:footnote>
  <w:footnote w:id="87">
    <w:p w:rsidR="006F646A" w:rsidRDefault="009E39B6" w:rsidP="00487EEB">
      <w:pPr>
        <w:pStyle w:val="Textonotapie"/>
        <w:jc w:val="both"/>
      </w:pPr>
      <w:r w:rsidRPr="00487EEB">
        <w:rPr>
          <w:rFonts w:ascii="Times New Roman" w:hAnsi="Times New Roman" w:cs="Times New Roman"/>
          <w:vertAlign w:val="superscript"/>
        </w:rPr>
        <w:footnoteRef/>
      </w:r>
      <w:r w:rsidRPr="00487EEB">
        <w:rPr>
          <w:rFonts w:ascii="Times New Roman" w:hAnsi="Times New Roman" w:cs="Times New Roman"/>
        </w:rPr>
        <w:t xml:space="preserve"> Corte Suprema de Justicia, Sala de Casación Laboral. Sentencia del 7 de febrero de 2018 (52594). </w:t>
      </w:r>
    </w:p>
  </w:footnote>
  <w:footnote w:id="88">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lang w:val="es-US"/>
        </w:rPr>
        <w:t>Proferidas dentro del expediente 11001-02-04-000-2018-00091-01 (STC4022-2018).</w:t>
      </w:r>
    </w:p>
  </w:footnote>
  <w:footnote w:id="89">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Radicación No. 960. Allí se dijo: </w:t>
      </w:r>
      <w:r w:rsidRPr="00487EEB">
        <w:rPr>
          <w:rFonts w:ascii="Times New Roman" w:hAnsi="Times New Roman" w:cs="Times New Roman"/>
          <w:i/>
        </w:rPr>
        <w:t>“Para tales personas [los beneficiarios del régimen de transición], la ley 100 de 1993, por razón del régimen de transición, remite excepcionalmente a la normatividad que corresponde al ‘régimen anterior al cual se encuentren afiliados’, si es más favorable, en los siguientes aspectos: || -edad para acceder a la pensión de vejez. || -tiempo de servicio o número de semanas cotizadas, y || -monto de la pensión. Las demás situaciones se regulan en los términos del inciso 2º, artículo 36, por las normas de la ley 100 de 1993, según el siguiente texto: || ‘Las demás condiciones y requisitos aplicables a estas personas para acceder a la pensión de vejez, se regirán por las disposiciones contenidas en la presente ley’. ||</w:t>
      </w:r>
      <w:r w:rsidR="00BB221A">
        <w:rPr>
          <w:rFonts w:ascii="Times New Roman" w:hAnsi="Times New Roman" w:cs="Times New Roman"/>
          <w:i/>
        </w:rPr>
        <w:t xml:space="preserve"> </w:t>
      </w:r>
      <w:r w:rsidRPr="00487EEB">
        <w:rPr>
          <w:rFonts w:ascii="Times New Roman" w:hAnsi="Times New Roman" w:cs="Times New Roman"/>
          <w:i/>
        </w:rPr>
        <w:t xml:space="preserve">Como consecuencia de lo anterior, </w:t>
      </w:r>
      <w:r w:rsidRPr="00487EEB">
        <w:rPr>
          <w:rFonts w:ascii="Times New Roman" w:hAnsi="Times New Roman" w:cs="Times New Roman"/>
          <w:b/>
          <w:i/>
        </w:rPr>
        <w:t>el ingreso base para liquidar la pensión es un factor que no está considerado entre los tres descritos y porque el mismo artículo 36, de manera especial y expresa determina el ingreso base aplicable a dichas personas</w:t>
      </w:r>
      <w:r w:rsidRPr="00487EEB">
        <w:rPr>
          <w:rFonts w:ascii="Times New Roman" w:hAnsi="Times New Roman" w:cs="Times New Roman"/>
          <w:i/>
        </w:rPr>
        <w:t xml:space="preserve">, así: || -a quienes les falten menos de diez (10) años para adquirir el derecho: es el promedio de lo devengado en el tiempo que les haga falta para pensionarse. || -a quienes les falten más de diez (10) años para adquirir el derecho: es lo cotizado durante todo el tiempo, actualizado anualmente con base en la variación IPC, según certificación del DANE. || No se aplica lo anterior a las personas del régimen de transición que se acojan al régimen de ahorro individual o las que habiendo escogido éste decidan cambiarse al de prima media con prestación definida” </w:t>
      </w:r>
      <w:r w:rsidRPr="00487EEB">
        <w:rPr>
          <w:rFonts w:ascii="Times New Roman" w:hAnsi="Times New Roman" w:cs="Times New Roman"/>
        </w:rPr>
        <w:t>(negrillas propias).</w:t>
      </w:r>
    </w:p>
  </w:footnote>
  <w:footnote w:id="90">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Expediente No. 470-90.</w:t>
      </w:r>
    </w:p>
  </w:footnote>
  <w:footnote w:id="91">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Expediente No. 2004-00. En este fallo se dijo: </w:t>
      </w:r>
      <w:r w:rsidRPr="00487EEB">
        <w:rPr>
          <w:rFonts w:ascii="Times New Roman" w:hAnsi="Times New Roman" w:cs="Times New Roman"/>
          <w:i/>
        </w:rPr>
        <w:t xml:space="preserve">“[e]n armonía con lo anterior, concluye la Sala, el inciso segundo del artículo 36 de la Ley 100 de 1993, consagró el régimen de transición, consistente en que, las personas que cumplan las hipótesis allí previstas, en cuanto a edad, tiempo de servicio y monto de la pensión, </w:t>
      </w:r>
      <w:r w:rsidRPr="00487EEB">
        <w:rPr>
          <w:rFonts w:ascii="Times New Roman" w:hAnsi="Times New Roman" w:cs="Times New Roman"/>
          <w:b/>
          <w:i/>
        </w:rPr>
        <w:t>se les aplica en su integridad el régimen anterior que las regula y beneficia</w:t>
      </w:r>
      <w:r w:rsidRPr="00487EEB">
        <w:rPr>
          <w:rFonts w:ascii="Times New Roman" w:hAnsi="Times New Roman" w:cs="Times New Roman"/>
          <w:i/>
        </w:rPr>
        <w:t>.</w:t>
      </w:r>
      <w:r w:rsidR="00BB221A">
        <w:rPr>
          <w:rFonts w:ascii="Times New Roman" w:hAnsi="Times New Roman" w:cs="Times New Roman"/>
          <w:i/>
        </w:rPr>
        <w:t xml:space="preserve"> </w:t>
      </w:r>
      <w:r w:rsidRPr="00487EEB">
        <w:rPr>
          <w:rFonts w:ascii="Times New Roman" w:hAnsi="Times New Roman" w:cs="Times New Roman"/>
          <w:i/>
        </w:rPr>
        <w:t>Si se aplica el inciso tercero del mismo artículo 36 de la citada ley, para establecer la base de liquidación de la pensión, se escinde la ley, pues la normatividad anterior (Ley 33 de 1985) señala la forma de liquidar la pensión, se desnaturaliza el régimen, y se dejaría de aplicar el principio de favorabilidad de la ley en los términos ya indicados”</w:t>
      </w:r>
      <w:r w:rsidRPr="00487EEB">
        <w:rPr>
          <w:rFonts w:ascii="Times New Roman" w:hAnsi="Times New Roman" w:cs="Times New Roman"/>
        </w:rPr>
        <w:t xml:space="preserve"> (negrillas propias).</w:t>
      </w:r>
    </w:p>
  </w:footnote>
  <w:footnote w:id="92">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Sentencia del 21 de septiembre del año 2000, proferida dentro del expediente No. 470-99.</w:t>
      </w:r>
    </w:p>
  </w:footnote>
  <w:footnote w:id="93">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lang w:val="es-US"/>
        </w:rPr>
        <w:t>Consejo de Estado, Sección Segunda. Expediente No. 0112-2009.</w:t>
      </w:r>
    </w:p>
  </w:footnote>
  <w:footnote w:id="94">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lang w:val="es-US"/>
        </w:rPr>
        <w:t>Sentencia del 15 de diciembre de 2016, dictada en el expediente 11001-03-15-000-2016-01334-01.</w:t>
      </w:r>
    </w:p>
  </w:footnote>
  <w:footnote w:id="95">
    <w:p w:rsidR="006F646A" w:rsidRDefault="00487EEB"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De manera previa, en el Auto 326 de 2014, al conocer el incidente de nulidad de la sentencia T-078 de 2014, en la que la Sala Segunda de Revisión había negado las pretensiones, en un caso similar al que se estudia, la Sala Plena consideró lo siguiente: </w:t>
      </w:r>
      <w:r w:rsidRPr="00487EEB">
        <w:rPr>
          <w:rFonts w:ascii="Times New Roman" w:hAnsi="Times New Roman" w:cs="Times New Roman"/>
          <w:i/>
          <w:color w:val="auto"/>
          <w:lang w:val="es-ES" w:eastAsia="es-ES_tradnl"/>
        </w:rPr>
        <w:t>“</w:t>
      </w:r>
      <w:r w:rsidRPr="00487EEB">
        <w:rPr>
          <w:rFonts w:ascii="Times New Roman" w:hAnsi="Times New Roman" w:cs="Times New Roman"/>
          <w:i/>
          <w:iCs/>
          <w:color w:val="auto"/>
          <w:lang w:val="es-ES" w:eastAsia="es-ES_tradnl"/>
        </w:rPr>
        <w:t>A partir de las anteriores razones, la Sala Plena considera que la solicitud de nulidad no está llamada a prosperar, por cuanto la Sala Segunda de Revisión de Tutelas no cambió la jurisprudencia constitucional en vigor, relativa a la interpretación del inciso 2º y 3º del artículo 36 de la Ley 100 de 1993, en lo atinente a la forma de liquidar el monto y el ingreso base de liquidación, sino que, por el contrario, siguió en estricto rigor la interpretación autorizada que realizó la Sala Plena en la Sentencia C-258 de 2013, que por un lado, ha hecho tránsito a cosa juzgada constitucional sólo en cuanto al régimen pensional especial contenido en la Ley 4 de 1992 y, que por otro lado, preciso es reiterarlo, establece un precedente interpretativo sobre la aplicación del artículo 21 y el inciso 3° del artículo 36 de la Ley 100/93, según el cual el monto y el ingreso base de liquidación se calculan bajo presupuestos diferentes, el primer concepto, bajo el régimen especial del que fuese beneficiario el afiliado antes de la entrada en vigencia del tránsito normativo, y el segundo, siguiendo lo previsto en las normas antes mencionadas de la Ley 100/93 [32]</w:t>
      </w:r>
      <w:r w:rsidRPr="00487EEB">
        <w:rPr>
          <w:rFonts w:ascii="Times New Roman" w:hAnsi="Times New Roman" w:cs="Times New Roman"/>
          <w:i/>
          <w:color w:val="auto"/>
          <w:lang w:val="es-ES" w:eastAsia="es-ES_tradnl"/>
        </w:rPr>
        <w:t>”</w:t>
      </w:r>
      <w:r w:rsidRPr="00487EEB">
        <w:rPr>
          <w:rFonts w:ascii="Times New Roman" w:hAnsi="Times New Roman" w:cs="Times New Roman"/>
          <w:color w:val="auto"/>
          <w:lang w:val="es-ES" w:eastAsia="es-ES_tradnl"/>
        </w:rPr>
        <w:t>.</w:t>
      </w:r>
    </w:p>
  </w:footnote>
  <w:footnote w:id="96">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Según este, </w:t>
      </w:r>
      <w:r w:rsidRPr="00487EEB">
        <w:rPr>
          <w:rFonts w:ascii="Times New Roman" w:hAnsi="Times New Roman" w:cs="Times New Roman"/>
          <w:i/>
          <w:iCs/>
        </w:rPr>
        <w:t>“[…] Los cambios de jurisprudencia deberán ser decididos por la Sala Plena de la Corte, previo registro del proyecto de fallo correspondiente”</w:t>
      </w:r>
      <w:r w:rsidRPr="00487EEB">
        <w:rPr>
          <w:rFonts w:ascii="Times New Roman" w:hAnsi="Times New Roman" w:cs="Times New Roman"/>
          <w:iCs/>
        </w:rPr>
        <w:t>.</w:t>
      </w:r>
    </w:p>
  </w:footnote>
  <w:footnote w:id="97">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En esta sentencia, la Sala Plena, </w:t>
      </w:r>
      <w:r w:rsidRPr="00487EEB">
        <w:rPr>
          <w:rFonts w:ascii="Times New Roman" w:hAnsi="Times New Roman" w:cs="Times New Roman"/>
          <w:color w:val="auto"/>
        </w:rPr>
        <w:t xml:space="preserve">además de reiterar la regla antes referida, </w:t>
      </w:r>
      <w:r w:rsidRPr="00487EEB">
        <w:rPr>
          <w:rFonts w:ascii="Times New Roman" w:hAnsi="Times New Roman" w:cs="Times New Roman"/>
        </w:rPr>
        <w:t xml:space="preserve">unificó su jurisprudencia en relación con la satisfacción del requisito de subsidiaridad de la acción de tutela, para los casos en los que se cuestionara </w:t>
      </w:r>
      <w:r w:rsidRPr="00487EEB">
        <w:rPr>
          <w:rFonts w:ascii="Times New Roman" w:hAnsi="Times New Roman" w:cs="Times New Roman"/>
          <w:color w:val="auto"/>
        </w:rPr>
        <w:t>un posible abuso del derecho en un reconocimiento pensional, entre otros, con fundamento en la aplicación del IBL de regímenes especiales</w:t>
      </w:r>
      <w:r w:rsidRPr="00487EEB">
        <w:rPr>
          <w:rFonts w:ascii="Times New Roman" w:hAnsi="Times New Roman" w:cs="Times New Roman"/>
        </w:rPr>
        <w:t xml:space="preserve">. En esta sentencia, luego de señalar las distintas posturas jurisprudenciales hasta la fecha, en cuanto a la valoración del requisito de subsidiariedad de la acción, señaló que procedería a </w:t>
      </w:r>
      <w:r w:rsidRPr="00487EEB">
        <w:rPr>
          <w:rFonts w:ascii="Times New Roman" w:hAnsi="Times New Roman" w:cs="Times New Roman"/>
          <w:i/>
        </w:rPr>
        <w:t>“</w:t>
      </w:r>
      <w:r w:rsidRPr="00487EEB">
        <w:rPr>
          <w:rFonts w:ascii="Times New Roman" w:hAnsi="Times New Roman" w:cs="Times New Roman"/>
          <w:i/>
          <w:lang w:val="es-ES"/>
        </w:rPr>
        <w:t>unificar los distintos criterios expuestos”</w:t>
      </w:r>
      <w:r w:rsidRPr="00487EEB">
        <w:rPr>
          <w:rFonts w:ascii="Times New Roman" w:hAnsi="Times New Roman" w:cs="Times New Roman"/>
          <w:lang w:val="es-ES"/>
        </w:rPr>
        <w:t xml:space="preserve"> (fundamento jurídico 7.14), en los siguientes términos: </w:t>
      </w:r>
      <w:r w:rsidRPr="00487EEB">
        <w:rPr>
          <w:rFonts w:ascii="Times New Roman" w:hAnsi="Times New Roman" w:cs="Times New Roman"/>
          <w:i/>
          <w:lang w:val="es-ES"/>
        </w:rPr>
        <w:t>“7.25. Así las cosas, ante la existencia otro mecanismo judicial como lo es el recurso de revisión consagrado en el artículo 20 de la Ley 797 de 2003, en principio, las acciones de tutela interpuestas por la UGPP para cuestionar decisiones judiciales en las que presuntamente se haya incurrido en un abuso del derecho son improcedentes al tenor del artículo 86 de la Constitución. || 7.26. No obstante lo anterior, este Tribunal avizora que la afectación del erario público con ocasión de una prestación evidentemente reconocida con abuso del derecho tiene la vocación de generar un perjuicio irremediable a las finanzas del Estado, las cuales se utilizan para garantizar, entre otros, el derecho a la seguridad social de los colombianos, por lo que en casos de graves cuestionamientos jurídicos frente a un fallo judicial que impone el pago de prestaciones periódicas a la UGPP, el amparo será viable con el fin de verificar la configuración de la irregularidad advertida y adoptar las medidas respectivas”</w:t>
      </w:r>
      <w:r w:rsidRPr="00487EEB">
        <w:rPr>
          <w:rFonts w:ascii="Times New Roman" w:hAnsi="Times New Roman" w:cs="Times New Roman"/>
          <w:lang w:val="es-ES"/>
        </w:rPr>
        <w:t>.</w:t>
      </w:r>
    </w:p>
  </w:footnote>
  <w:footnote w:id="98">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La regla de unificación, en materia de subsidiariedad de la acción de tutela, en el caso de pensiones reconocidas con abuso del derecho, decantada en la Sentencia SU-427 de 2016, fue objeto de reciente precisión en la Sentencia SU-631 de 2017. En esta, se supeditó la procedencia de la acción de tutela, a pesar de que la parte tutelante contara con la posibilidad de agotar el recurso extraordinario de revisión que regulan los artículos 19 y 20 de la Ley 797 de 2003, a que </w:t>
      </w:r>
      <w:r w:rsidRPr="00487EEB">
        <w:rPr>
          <w:rFonts w:ascii="Times New Roman" w:hAnsi="Times New Roman" w:cs="Times New Roman"/>
          <w:color w:val="auto"/>
        </w:rPr>
        <w:t xml:space="preserve">se tratara de un supuesto de </w:t>
      </w:r>
      <w:r w:rsidRPr="00487EEB">
        <w:rPr>
          <w:rFonts w:ascii="Times New Roman" w:hAnsi="Times New Roman" w:cs="Times New Roman"/>
          <w:i/>
          <w:color w:val="auto"/>
        </w:rPr>
        <w:t>“abuso palmario del derecho”</w:t>
      </w:r>
      <w:r w:rsidRPr="00487EEB">
        <w:rPr>
          <w:rFonts w:ascii="Times New Roman" w:hAnsi="Times New Roman" w:cs="Times New Roman"/>
          <w:color w:val="auto"/>
        </w:rPr>
        <w:t xml:space="preserve">, cuya configuración sujetó a dos condiciones: </w:t>
      </w:r>
      <w:r w:rsidRPr="00487EEB">
        <w:rPr>
          <w:rFonts w:ascii="Times New Roman" w:hAnsi="Times New Roman" w:cs="Times New Roman"/>
          <w:i/>
          <w:color w:val="auto"/>
        </w:rPr>
        <w:t xml:space="preserve">(i) </w:t>
      </w:r>
      <w:r w:rsidRPr="00487EEB">
        <w:rPr>
          <w:rFonts w:ascii="Times New Roman" w:hAnsi="Times New Roman" w:cs="Times New Roman"/>
          <w:color w:val="auto"/>
        </w:rPr>
        <w:t xml:space="preserve">la necesidad de verificar que se tratara de una </w:t>
      </w:r>
      <w:r w:rsidRPr="00487EEB">
        <w:rPr>
          <w:rFonts w:ascii="Times New Roman" w:hAnsi="Times New Roman" w:cs="Times New Roman"/>
          <w:i/>
          <w:color w:val="auto"/>
        </w:rPr>
        <w:t>“vinculación precaria”</w:t>
      </w:r>
      <w:r w:rsidRPr="00487EEB">
        <w:rPr>
          <w:rFonts w:ascii="Times New Roman" w:hAnsi="Times New Roman" w:cs="Times New Roman"/>
          <w:color w:val="auto"/>
        </w:rPr>
        <w:t xml:space="preserve"> en </w:t>
      </w:r>
      <w:r w:rsidRPr="00487EEB">
        <w:rPr>
          <w:rFonts w:ascii="Times New Roman" w:hAnsi="Times New Roman" w:cs="Times New Roman"/>
          <w:i/>
          <w:color w:val="auto"/>
        </w:rPr>
        <w:t>“un cargo de mayor jerarquía y remuneración”</w:t>
      </w:r>
      <w:r w:rsidRPr="00487EEB">
        <w:rPr>
          <w:rFonts w:ascii="Times New Roman" w:hAnsi="Times New Roman" w:cs="Times New Roman"/>
          <w:color w:val="auto"/>
        </w:rPr>
        <w:t xml:space="preserve"> y </w:t>
      </w:r>
      <w:r w:rsidRPr="00487EEB">
        <w:rPr>
          <w:rFonts w:ascii="Times New Roman" w:hAnsi="Times New Roman" w:cs="Times New Roman"/>
          <w:i/>
          <w:color w:val="auto"/>
        </w:rPr>
        <w:t xml:space="preserve">(ii) </w:t>
      </w:r>
      <w:r w:rsidRPr="00487EEB">
        <w:rPr>
          <w:rFonts w:ascii="Times New Roman" w:hAnsi="Times New Roman" w:cs="Times New Roman"/>
          <w:color w:val="auto"/>
        </w:rPr>
        <w:t xml:space="preserve">que se tratara de un </w:t>
      </w:r>
      <w:r w:rsidRPr="00487EEB">
        <w:rPr>
          <w:rFonts w:ascii="Times New Roman" w:hAnsi="Times New Roman" w:cs="Times New Roman"/>
          <w:i/>
          <w:color w:val="auto"/>
        </w:rPr>
        <w:t>“incremento excesivo en la mesada pensional”.</w:t>
      </w:r>
      <w:r w:rsidRPr="00487EEB">
        <w:rPr>
          <w:rFonts w:ascii="Times New Roman" w:hAnsi="Times New Roman" w:cs="Times New Roman"/>
          <w:color w:val="auto"/>
        </w:rPr>
        <w:t xml:space="preserve"> Para la Sala Plena, en caso de que no se acreditara este supuesto, el medio judicial disponible sería no solo eficaz, sino, además, no podría considerarse que se tratara de un caso de </w:t>
      </w:r>
      <w:r w:rsidRPr="00487EEB">
        <w:rPr>
          <w:rFonts w:ascii="Times New Roman" w:hAnsi="Times New Roman" w:cs="Times New Roman"/>
          <w:i/>
          <w:color w:val="auto"/>
        </w:rPr>
        <w:t>perjuicio irremediable</w:t>
      </w:r>
      <w:r w:rsidRPr="00487EEB">
        <w:rPr>
          <w:rFonts w:ascii="Times New Roman" w:hAnsi="Times New Roman" w:cs="Times New Roman"/>
          <w:color w:val="auto"/>
        </w:rPr>
        <w:t>, que ameritara la protección constitucional transitoria.</w:t>
      </w:r>
    </w:p>
  </w:footnote>
  <w:footnote w:id="99">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En esa sentencia se dijo</w:t>
      </w:r>
      <w:r w:rsidRPr="00487EEB">
        <w:rPr>
          <w:rFonts w:ascii="Times New Roman" w:hAnsi="Times New Roman" w:cs="Times New Roman"/>
          <w:i/>
        </w:rPr>
        <w:t>: “De conformidad con este mandato [el principio de favorabilidad], cuando una misma situación jurídica se halla regulada en distintas fuentes formales del derecho (ley, costumbre, convención colectiva, etc), o en una misma, es deber de quien ha de aplicar o interpretar las normas escoger aquella que resulte más beneficiosa o favorezca al trabajador. La favorabilidad opera, entonces, no sólo cuando existe conflicto entre dos normas de distinta fuente formal, o entre dos normas de idéntica fuente, sino también cuando existe una sola norma que admite varias interpretaciones; la norma así escogida debe ser aplicada en su integridad, ya que no le está permitido al juez elegir de cada norma lo más ventajoso y crear una tercera, pues se estaría convirtiendo en legislador”</w:t>
      </w:r>
      <w:r w:rsidRPr="00487EEB">
        <w:rPr>
          <w:rFonts w:ascii="Times New Roman" w:hAnsi="Times New Roman" w:cs="Times New Roman"/>
        </w:rPr>
        <w:t xml:space="preserve">. En similar sentido, </w:t>
      </w:r>
      <w:r w:rsidRPr="00487EEB">
        <w:rPr>
          <w:rFonts w:ascii="Times New Roman" w:hAnsi="Times New Roman" w:cs="Times New Roman"/>
          <w:i/>
        </w:rPr>
        <w:t>cfr.,</w:t>
      </w:r>
      <w:r w:rsidRPr="00487EEB">
        <w:rPr>
          <w:rFonts w:ascii="Times New Roman" w:hAnsi="Times New Roman" w:cs="Times New Roman"/>
        </w:rPr>
        <w:t xml:space="preserve"> entre otras,</w:t>
      </w:r>
      <w:r w:rsidRPr="00487EEB">
        <w:rPr>
          <w:rFonts w:ascii="Times New Roman" w:hAnsi="Times New Roman" w:cs="Times New Roman"/>
          <w:i/>
        </w:rPr>
        <w:t xml:space="preserve"> </w:t>
      </w:r>
      <w:r w:rsidRPr="00487EEB">
        <w:rPr>
          <w:rFonts w:ascii="Times New Roman" w:hAnsi="Times New Roman" w:cs="Times New Roman"/>
        </w:rPr>
        <w:t>las sentencias</w:t>
      </w:r>
      <w:r w:rsidRPr="00487EEB">
        <w:rPr>
          <w:rFonts w:ascii="Times New Roman" w:hAnsi="Times New Roman" w:cs="Times New Roman"/>
          <w:i/>
        </w:rPr>
        <w:t xml:space="preserve"> </w:t>
      </w:r>
      <w:r w:rsidRPr="00487EEB">
        <w:rPr>
          <w:rFonts w:ascii="Times New Roman" w:hAnsi="Times New Roman" w:cs="Times New Roman"/>
        </w:rPr>
        <w:t>SU-1185 de 2001, T-832A de 2013, T-292 de 2010 y T-350 de 2012.</w:t>
      </w:r>
    </w:p>
  </w:footnote>
  <w:footnote w:id="100">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lang w:val="es-US"/>
        </w:rPr>
        <w:t>Ver, entre otras, las sentencias T-717 de 2014 y el artículo 21 del Código Sustantivo del Trabajo.</w:t>
      </w:r>
    </w:p>
  </w:footnote>
  <w:footnote w:id="101">
    <w:p w:rsidR="006F646A" w:rsidRDefault="009E39B6" w:rsidP="00487EEB">
      <w:pPr>
        <w:pStyle w:val="Prrafodelista"/>
        <w:widowControl w:val="0"/>
        <w:spacing w:after="0" w:line="240" w:lineRule="auto"/>
        <w:ind w:left="0"/>
        <w:jc w:val="both"/>
      </w:pPr>
      <w:r w:rsidRPr="00487EEB">
        <w:rPr>
          <w:rStyle w:val="Refdenotaalpie"/>
          <w:rFonts w:ascii="Times New Roman" w:hAnsi="Times New Roman" w:cs="Times New Roman"/>
          <w:sz w:val="20"/>
          <w:szCs w:val="20"/>
        </w:rPr>
        <w:footnoteRef/>
      </w:r>
      <w:r w:rsidRPr="00487EEB">
        <w:rPr>
          <w:rFonts w:ascii="Times New Roman" w:hAnsi="Times New Roman" w:cs="Times New Roman"/>
          <w:sz w:val="20"/>
          <w:szCs w:val="20"/>
        </w:rPr>
        <w:t xml:space="preserve"> Según la jurisprudencia constitucional, </w:t>
      </w:r>
      <w:r w:rsidRPr="00487EEB">
        <w:rPr>
          <w:rFonts w:ascii="Times New Roman" w:hAnsi="Times New Roman" w:cs="Times New Roman"/>
          <w:i/>
          <w:sz w:val="20"/>
          <w:szCs w:val="20"/>
        </w:rPr>
        <w:t>“la aplicación de la interpretación judicial es imperativa cuando se trata de aquella consignada en una sentencia de la Corte proferida en el ejercicio del control abstracto de constitucionalidad”</w:t>
      </w:r>
      <w:r w:rsidRPr="00487EEB">
        <w:rPr>
          <w:rFonts w:ascii="Times New Roman" w:hAnsi="Times New Roman" w:cs="Times New Roman"/>
          <w:sz w:val="20"/>
          <w:szCs w:val="20"/>
        </w:rPr>
        <w:t xml:space="preserve"> (Sentencia C-634 de 2011, proferida en control de constitucionalidad de la última parte del artículo 10 de la Ley 1437 de 2011, relativo al </w:t>
      </w:r>
      <w:r w:rsidRPr="00487EEB">
        <w:rPr>
          <w:rFonts w:ascii="Times New Roman" w:hAnsi="Times New Roman" w:cs="Times New Roman"/>
          <w:i/>
          <w:sz w:val="20"/>
          <w:szCs w:val="20"/>
        </w:rPr>
        <w:t>“d</w:t>
      </w:r>
      <w:r w:rsidRPr="00487EEB">
        <w:rPr>
          <w:rFonts w:ascii="Times New Roman" w:hAnsi="Times New Roman" w:cs="Times New Roman"/>
          <w:bCs/>
          <w:i/>
          <w:sz w:val="20"/>
          <w:szCs w:val="20"/>
        </w:rPr>
        <w:t>eber de aplicación uniforme de las normas y la jurisprudencia”</w:t>
      </w:r>
      <w:r w:rsidRPr="00487EEB">
        <w:rPr>
          <w:rFonts w:ascii="Times New Roman" w:hAnsi="Times New Roman" w:cs="Times New Roman"/>
          <w:sz w:val="20"/>
          <w:szCs w:val="20"/>
        </w:rPr>
        <w:t xml:space="preserve">), esto es, que los argumentos que conforman la razón de la decisión de los fallos de control de constitucionalidad, como es el caso de las consideraciones plasmadas en la Sentencia C-258 de 2013, en cuanto al alcance del artículo 36 de la Ley 100 de 1993, tienen carácter vinculante. En efecto, en la sentencia en cita, esta Corte señaló: </w:t>
      </w:r>
      <w:r w:rsidRPr="00487EEB">
        <w:rPr>
          <w:rFonts w:ascii="Times New Roman" w:hAnsi="Times New Roman" w:cs="Times New Roman"/>
          <w:i/>
          <w:color w:val="auto"/>
          <w:sz w:val="20"/>
          <w:szCs w:val="20"/>
          <w:lang w:val="es-ES" w:eastAsia="es-ES_tradnl"/>
        </w:rPr>
        <w:t>“</w:t>
      </w:r>
      <w:r w:rsidRPr="00487EEB">
        <w:rPr>
          <w:rFonts w:ascii="Times New Roman" w:hAnsi="Times New Roman" w:cs="Times New Roman"/>
          <w:i/>
          <w:iCs/>
          <w:color w:val="auto"/>
          <w:sz w:val="20"/>
          <w:szCs w:val="20"/>
          <w:lang w:val="es-ES" w:eastAsia="es-ES_tradnl"/>
        </w:rPr>
        <w:t>Los fallos de la Corte Constitucional, tanto en ejercicio del control concreto como abstracto de constitucionalidad, hacen tránsito a cosa juzgada y tienen fuerza vinculante, tanto en su parte resolutiva (erga ommes en el caso de los fallos de control de constitucionalidad de leyes, e inter partes para los fallos de revisión de tutela) y, en ambos casos, las consideraciones de la ratio decidendi, tienen fuerza vinculante para todas las autoridades públicas. Esto en razón de la jerarquía del sistema de fuentes formales de derecho y el principio de supremacía constitucional, que obligan a la aplicación preferente de las disposiciones de la Carta Política y, en consecuencia, de los contenidos normativos identificados por la jurisprudencia constitucional, en ejercicio de su labor de intérprete autorizado del Texto Superior</w:t>
      </w:r>
      <w:r w:rsidRPr="00487EEB">
        <w:rPr>
          <w:rFonts w:ascii="Times New Roman" w:hAnsi="Times New Roman" w:cs="Times New Roman"/>
          <w:i/>
          <w:color w:val="auto"/>
          <w:sz w:val="20"/>
          <w:szCs w:val="20"/>
          <w:lang w:val="es-ES" w:eastAsia="es-ES_tradnl"/>
        </w:rPr>
        <w:t>”</w:t>
      </w:r>
      <w:r w:rsidRPr="00487EEB">
        <w:rPr>
          <w:rFonts w:ascii="Times New Roman" w:hAnsi="Times New Roman" w:cs="Times New Roman"/>
          <w:color w:val="auto"/>
          <w:sz w:val="20"/>
          <w:szCs w:val="20"/>
          <w:lang w:val="es-ES" w:eastAsia="es-ES_tradnl"/>
        </w:rPr>
        <w:t>.</w:t>
      </w:r>
    </w:p>
  </w:footnote>
  <w:footnote w:id="102">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lang w:val="es-US"/>
        </w:rPr>
        <w:t>Sentencia T-832A de 2013.</w:t>
      </w:r>
    </w:p>
  </w:footnote>
  <w:footnote w:id="103">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El Acto Legislativo 01 de 2005 dispuso en su artículo 1 que el Legislador debía regular un procedimiento breve para la revisión de las pensiones reconocidas con abuso del derecho, o sin el cumplimiento de los requisitos establecidos en la ley o en las convenciones y laudos arbitrales válidamente celebrados. Esta disposición no ha sido objeto de desarrollo legislativo, por tanto, tal como se ha considerado a partir de las sentencias C-258 de 2013 y SU-230 de 2015, reiteradas en las sentencias SU-427 de 2016, SU-395 de 2017 y SU-631 de 2017, el medio judicial procedente es el recurso extraordinario de revisión que contemplan los artículos 19 y 20 de la Ley 797 de 2003.</w:t>
      </w:r>
    </w:p>
  </w:footnote>
  <w:footnote w:id="104">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La a Junta Directiva de TELECOM expidió la Resolución 012 de 1992, mediante la cual adoptó las disposiciones contenidas en el Manual de Administración y Desarrollo de Recursos Humanos y en el Manual de Prestaciones, que además contiene un régimen especial de jubilación para sus servidores. El artículo 321 de dicho acto estableció que todo empleado al servicio de dicha empresa, al cumplir 25 años continuos o discontinuos, cualquiera que fuera su edad, tendría derecho a gozar de la pensión de jubilación. Esta normativa fue considerada como vinculante por parte de CAPRECOM en la Resolución 0458 de 1997, que inicialmente reconoció la pensión de jubilación al tutelante.</w:t>
      </w:r>
    </w:p>
  </w:footnote>
  <w:footnote w:id="105">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19, Cdno. 1.</w:t>
      </w:r>
    </w:p>
  </w:footnote>
  <w:footnote w:id="106">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Fl. 136, Cdno. 1. </w:t>
      </w:r>
    </w:p>
  </w:footnote>
  <w:footnote w:id="107">
    <w:p w:rsidR="006F646A" w:rsidRDefault="009E39B6" w:rsidP="00487EEB">
      <w:pPr>
        <w:pStyle w:val="Textonotapie"/>
        <w:jc w:val="both"/>
      </w:pPr>
      <w:r w:rsidRPr="00487EEB">
        <w:rPr>
          <w:rFonts w:ascii="Times New Roman" w:hAnsi="Times New Roman" w:cs="Times New Roman"/>
          <w:vertAlign w:val="superscript"/>
        </w:rPr>
        <w:footnoteRef/>
      </w:r>
      <w:r w:rsidRPr="00487EEB">
        <w:rPr>
          <w:rFonts w:ascii="Times New Roman" w:hAnsi="Times New Roman" w:cs="Times New Roman"/>
        </w:rPr>
        <w:t xml:space="preserve"> Fl. 12, Cdno. 1. </w:t>
      </w:r>
    </w:p>
  </w:footnote>
  <w:footnote w:id="108">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i/>
        </w:rPr>
        <w:t>“ARTÍCULO 150. RELIQUIDACIÓN DEL MONTO DE LA PENSIÓN PARA FUNCIONARIOS Y EMPLEADOS PÚBLICOS. Los funcionarios y empleados públicos que hubiesen sido notificados de la resolución de jubilación y que no se hayan retirado del cargo, tendrán derecho a que se les reliquide el ingreso base para calcular la pensión, incluyendo los sueldos devengados con posterioridad a la fecha de notificación de la resolución. || PARÁGRAFO. No podrá obligarse a ningún funcionario o empleado público a retirarse del cargo por el sólo hecho de haberse expedido a su favor la resolución de jubilación, si no ha llegado a la edad de retiro forzoso”</w:t>
      </w:r>
      <w:r w:rsidRPr="00487EEB">
        <w:rPr>
          <w:rFonts w:ascii="Times New Roman" w:hAnsi="Times New Roman" w:cs="Times New Roman"/>
        </w:rPr>
        <w:t>.</w:t>
      </w:r>
    </w:p>
  </w:footnote>
  <w:footnote w:id="109">
    <w:p w:rsidR="006F646A" w:rsidRDefault="009E39B6" w:rsidP="00487EEB">
      <w:pPr>
        <w:pStyle w:val="Textonotapie"/>
        <w:jc w:val="both"/>
      </w:pPr>
      <w:r w:rsidRPr="00487EEB">
        <w:rPr>
          <w:rStyle w:val="Refdenotaalpie"/>
          <w:rFonts w:ascii="Times New Roman" w:hAnsi="Times New Roman" w:cs="Times New Roman"/>
        </w:rPr>
        <w:footnoteRef/>
      </w:r>
      <w:r w:rsidRPr="00487EEB">
        <w:rPr>
          <w:rFonts w:ascii="Times New Roman" w:hAnsi="Times New Roman" w:cs="Times New Roman"/>
        </w:rPr>
        <w:t xml:space="preserve"> </w:t>
      </w:r>
      <w:r w:rsidRPr="00487EEB">
        <w:rPr>
          <w:rFonts w:ascii="Times New Roman" w:hAnsi="Times New Roman" w:cs="Times New Roman"/>
          <w:lang w:val="es-US"/>
        </w:rPr>
        <w:t>Fl. 17, Cdno.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43A" w:rsidRDefault="00CB543A" w:rsidP="00CB54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9B6" w:rsidRDefault="009E39B6" w:rsidP="00CB543A">
    <w:pPr>
      <w:spacing w:after="0" w:line="240" w:lineRule="auto"/>
    </w:pPr>
  </w:p>
  <w:p w:rsidR="009E39B6" w:rsidRDefault="009E39B6" w:rsidP="00CB543A">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43A" w:rsidRDefault="00CB543A" w:rsidP="00CB54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8109E72"/>
    <w:lvl w:ilvl="0" w:tplc="F6DA8DA2">
      <w:start w:val="1"/>
      <w:numFmt w:val="decimal"/>
      <w:lvlText w:val="%1."/>
      <w:lvlJc w:val="left"/>
      <w:pPr>
        <w:ind w:left="720" w:hanging="360"/>
      </w:pPr>
      <w:rPr>
        <w:rFonts w:cs="Times New Roman"/>
        <w:b w:val="0"/>
        <w:i w:val="0"/>
        <w:strike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7346DA"/>
    <w:multiLevelType w:val="multilevel"/>
    <w:tmpl w:val="B8566BAA"/>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15:restartNumberingAfterBreak="0">
    <w:nsid w:val="04C35617"/>
    <w:multiLevelType w:val="multilevel"/>
    <w:tmpl w:val="359047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3"/>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A51650C"/>
    <w:multiLevelType w:val="multilevel"/>
    <w:tmpl w:val="9D94B020"/>
    <w:lvl w:ilvl="0">
      <w:start w:val="1"/>
      <w:numFmt w:val="decimal"/>
      <w:lvlText w:val="%1."/>
      <w:lvlJc w:val="left"/>
      <w:rPr>
        <w:rFonts w:cs="Times New Roman"/>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15:restartNumberingAfterBreak="0">
    <w:nsid w:val="103D2F09"/>
    <w:multiLevelType w:val="hybridMultilevel"/>
    <w:tmpl w:val="74AA0326"/>
    <w:lvl w:ilvl="0" w:tplc="1BC6F536">
      <w:start w:val="1"/>
      <w:numFmt w:val="lowerRoman"/>
      <w:lvlText w:val="(%1)"/>
      <w:lvlJc w:val="left"/>
      <w:pPr>
        <w:ind w:left="1080" w:hanging="720"/>
      </w:pPr>
      <w:rPr>
        <w:rFonts w:cs="Times New Roman" w:hint="default"/>
        <w:b/>
        <w:color w:val="auto"/>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 w15:restartNumberingAfterBreak="0">
    <w:nsid w:val="116F0F92"/>
    <w:multiLevelType w:val="multilevel"/>
    <w:tmpl w:val="359047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3"/>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5C60956"/>
    <w:multiLevelType w:val="multilevel"/>
    <w:tmpl w:val="8CB8D11E"/>
    <w:lvl w:ilvl="0">
      <w:start w:val="1"/>
      <w:numFmt w:val="upperRoman"/>
      <w:lvlText w:val="%1."/>
      <w:lvlJc w:val="left"/>
      <w:pPr>
        <w:ind w:left="1080" w:firstLine="1440"/>
      </w:pPr>
      <w:rPr>
        <w:rFonts w:cs="Times New Roman"/>
      </w:rPr>
    </w:lvl>
    <w:lvl w:ilvl="1">
      <w:start w:val="1"/>
      <w:numFmt w:val="lowerLetter"/>
      <w:lvlText w:val="%2."/>
      <w:lvlJc w:val="left"/>
      <w:pPr>
        <w:ind w:left="1440" w:firstLine="2520"/>
      </w:pPr>
      <w:rPr>
        <w:rFonts w:cs="Times New Roman"/>
      </w:rPr>
    </w:lvl>
    <w:lvl w:ilvl="2">
      <w:start w:val="1"/>
      <w:numFmt w:val="lowerRoman"/>
      <w:lvlText w:val="%3."/>
      <w:lvlJc w:val="right"/>
      <w:pPr>
        <w:ind w:left="2160" w:firstLine="4140"/>
      </w:pPr>
      <w:rPr>
        <w:rFonts w:cs="Times New Roman"/>
      </w:rPr>
    </w:lvl>
    <w:lvl w:ilvl="3">
      <w:start w:val="1"/>
      <w:numFmt w:val="decimal"/>
      <w:lvlText w:val="%4."/>
      <w:lvlJc w:val="left"/>
      <w:pPr>
        <w:ind w:left="2880" w:firstLine="5400"/>
      </w:pPr>
      <w:rPr>
        <w:rFonts w:cs="Times New Roman"/>
      </w:rPr>
    </w:lvl>
    <w:lvl w:ilvl="4">
      <w:start w:val="1"/>
      <w:numFmt w:val="lowerLetter"/>
      <w:lvlText w:val="%5."/>
      <w:lvlJc w:val="left"/>
      <w:pPr>
        <w:ind w:left="3600" w:firstLine="6840"/>
      </w:pPr>
      <w:rPr>
        <w:rFonts w:cs="Times New Roman"/>
      </w:rPr>
    </w:lvl>
    <w:lvl w:ilvl="5">
      <w:start w:val="1"/>
      <w:numFmt w:val="lowerRoman"/>
      <w:lvlText w:val="%6."/>
      <w:lvlJc w:val="right"/>
      <w:pPr>
        <w:ind w:left="4320" w:firstLine="8460"/>
      </w:pPr>
      <w:rPr>
        <w:rFonts w:cs="Times New Roman"/>
      </w:rPr>
    </w:lvl>
    <w:lvl w:ilvl="6">
      <w:start w:val="1"/>
      <w:numFmt w:val="decimal"/>
      <w:lvlText w:val="%7."/>
      <w:lvlJc w:val="left"/>
      <w:pPr>
        <w:ind w:left="5040" w:firstLine="9720"/>
      </w:pPr>
      <w:rPr>
        <w:rFonts w:cs="Times New Roman"/>
      </w:rPr>
    </w:lvl>
    <w:lvl w:ilvl="7">
      <w:start w:val="1"/>
      <w:numFmt w:val="lowerLetter"/>
      <w:lvlText w:val="%8."/>
      <w:lvlJc w:val="left"/>
      <w:pPr>
        <w:ind w:left="5760" w:firstLine="11160"/>
      </w:pPr>
      <w:rPr>
        <w:rFonts w:cs="Times New Roman"/>
      </w:rPr>
    </w:lvl>
    <w:lvl w:ilvl="8">
      <w:start w:val="1"/>
      <w:numFmt w:val="lowerRoman"/>
      <w:lvlText w:val="%9."/>
      <w:lvlJc w:val="right"/>
      <w:pPr>
        <w:ind w:left="6480" w:firstLine="12780"/>
      </w:pPr>
      <w:rPr>
        <w:rFonts w:cs="Times New Roman"/>
      </w:rPr>
    </w:lvl>
  </w:abstractNum>
  <w:abstractNum w:abstractNumId="7"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1BD56F78"/>
    <w:multiLevelType w:val="hybridMultilevel"/>
    <w:tmpl w:val="6F0238A8"/>
    <w:lvl w:ilvl="0" w:tplc="240A0019">
      <w:start w:val="1"/>
      <w:numFmt w:val="lowerLetter"/>
      <w:lvlText w:val="%1."/>
      <w:lvlJc w:val="left"/>
      <w:pPr>
        <w:ind w:left="2520" w:hanging="720"/>
      </w:pPr>
      <w:rPr>
        <w:rFonts w:cs="Times New Roman" w:hint="default"/>
        <w:i/>
      </w:rPr>
    </w:lvl>
    <w:lvl w:ilvl="1" w:tplc="240A0019" w:tentative="1">
      <w:start w:val="1"/>
      <w:numFmt w:val="lowerLetter"/>
      <w:lvlText w:val="%2."/>
      <w:lvlJc w:val="left"/>
      <w:pPr>
        <w:ind w:left="2880" w:hanging="360"/>
      </w:pPr>
      <w:rPr>
        <w:rFonts w:cs="Times New Roman"/>
      </w:rPr>
    </w:lvl>
    <w:lvl w:ilvl="2" w:tplc="240A001B" w:tentative="1">
      <w:start w:val="1"/>
      <w:numFmt w:val="lowerRoman"/>
      <w:lvlText w:val="%3."/>
      <w:lvlJc w:val="right"/>
      <w:pPr>
        <w:ind w:left="3600" w:hanging="180"/>
      </w:pPr>
      <w:rPr>
        <w:rFonts w:cs="Times New Roman"/>
      </w:rPr>
    </w:lvl>
    <w:lvl w:ilvl="3" w:tplc="240A000F" w:tentative="1">
      <w:start w:val="1"/>
      <w:numFmt w:val="decimal"/>
      <w:lvlText w:val="%4."/>
      <w:lvlJc w:val="left"/>
      <w:pPr>
        <w:ind w:left="4320" w:hanging="360"/>
      </w:pPr>
      <w:rPr>
        <w:rFonts w:cs="Times New Roman"/>
      </w:rPr>
    </w:lvl>
    <w:lvl w:ilvl="4" w:tplc="240A0019" w:tentative="1">
      <w:start w:val="1"/>
      <w:numFmt w:val="lowerLetter"/>
      <w:lvlText w:val="%5."/>
      <w:lvlJc w:val="left"/>
      <w:pPr>
        <w:ind w:left="5040" w:hanging="360"/>
      </w:pPr>
      <w:rPr>
        <w:rFonts w:cs="Times New Roman"/>
      </w:rPr>
    </w:lvl>
    <w:lvl w:ilvl="5" w:tplc="240A001B" w:tentative="1">
      <w:start w:val="1"/>
      <w:numFmt w:val="lowerRoman"/>
      <w:lvlText w:val="%6."/>
      <w:lvlJc w:val="right"/>
      <w:pPr>
        <w:ind w:left="5760" w:hanging="180"/>
      </w:pPr>
      <w:rPr>
        <w:rFonts w:cs="Times New Roman"/>
      </w:rPr>
    </w:lvl>
    <w:lvl w:ilvl="6" w:tplc="240A000F" w:tentative="1">
      <w:start w:val="1"/>
      <w:numFmt w:val="decimal"/>
      <w:lvlText w:val="%7."/>
      <w:lvlJc w:val="left"/>
      <w:pPr>
        <w:ind w:left="6480" w:hanging="360"/>
      </w:pPr>
      <w:rPr>
        <w:rFonts w:cs="Times New Roman"/>
      </w:rPr>
    </w:lvl>
    <w:lvl w:ilvl="7" w:tplc="240A0019" w:tentative="1">
      <w:start w:val="1"/>
      <w:numFmt w:val="lowerLetter"/>
      <w:lvlText w:val="%8."/>
      <w:lvlJc w:val="left"/>
      <w:pPr>
        <w:ind w:left="7200" w:hanging="360"/>
      </w:pPr>
      <w:rPr>
        <w:rFonts w:cs="Times New Roman"/>
      </w:rPr>
    </w:lvl>
    <w:lvl w:ilvl="8" w:tplc="240A001B" w:tentative="1">
      <w:start w:val="1"/>
      <w:numFmt w:val="lowerRoman"/>
      <w:lvlText w:val="%9."/>
      <w:lvlJc w:val="right"/>
      <w:pPr>
        <w:ind w:left="7920" w:hanging="180"/>
      </w:pPr>
      <w:rPr>
        <w:rFonts w:cs="Times New Roman"/>
      </w:rPr>
    </w:lvl>
  </w:abstractNum>
  <w:abstractNum w:abstractNumId="9" w15:restartNumberingAfterBreak="0">
    <w:nsid w:val="1E1D7015"/>
    <w:multiLevelType w:val="multilevel"/>
    <w:tmpl w:val="359047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3"/>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F314724"/>
    <w:multiLevelType w:val="multilevel"/>
    <w:tmpl w:val="74BE1E9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 w15:restartNumberingAfterBreak="0">
    <w:nsid w:val="277D2429"/>
    <w:multiLevelType w:val="multilevel"/>
    <w:tmpl w:val="359047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3"/>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944499D"/>
    <w:multiLevelType w:val="multilevel"/>
    <w:tmpl w:val="359047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3"/>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F657215"/>
    <w:multiLevelType w:val="multilevel"/>
    <w:tmpl w:val="D62AC0A0"/>
    <w:lvl w:ilvl="0">
      <w:start w:val="1"/>
      <w:numFmt w:val="decimal"/>
      <w:lvlText w:val="%1."/>
      <w:lvlJc w:val="left"/>
      <w:rPr>
        <w:rFonts w:ascii="Times New Roman" w:hAnsi="Times New Roman" w:cs="Times New Roman" w:hint="default"/>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15:restartNumberingAfterBreak="0">
    <w:nsid w:val="37126826"/>
    <w:multiLevelType w:val="multilevel"/>
    <w:tmpl w:val="74BE1E9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38930F97"/>
    <w:multiLevelType w:val="multilevel"/>
    <w:tmpl w:val="359047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3"/>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BD17DB3"/>
    <w:multiLevelType w:val="multilevel"/>
    <w:tmpl w:val="FEACB84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7" w15:restartNumberingAfterBreak="0">
    <w:nsid w:val="3E6E464E"/>
    <w:multiLevelType w:val="multilevel"/>
    <w:tmpl w:val="24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1A1048E"/>
    <w:multiLevelType w:val="multilevel"/>
    <w:tmpl w:val="359047FA"/>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3"/>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1C43961"/>
    <w:multiLevelType w:val="multilevel"/>
    <w:tmpl w:val="5986C72E"/>
    <w:lvl w:ilvl="0">
      <w:start w:val="1"/>
      <w:numFmt w:val="decimal"/>
      <w:lvlText w:val="%1."/>
      <w:lvlJc w:val="left"/>
      <w:rPr>
        <w:rFonts w:ascii="Times New Roman" w:hAnsi="Times New Roman" w:cs="Times New Roman" w:hint="default"/>
        <w:b w:val="0"/>
        <w:i w:val="0"/>
        <w:sz w:val="28"/>
        <w:szCs w:val="28"/>
      </w:rPr>
    </w:lvl>
    <w:lvl w:ilvl="1">
      <w:start w:val="1"/>
      <w:numFmt w:val="decimal"/>
      <w:lvlText w:val="%1.%2."/>
      <w:lvlJc w:val="left"/>
      <w:rPr>
        <w:rFonts w:cs="Times New Roman" w:hint="default"/>
        <w:i w:val="0"/>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20" w15:restartNumberingAfterBreak="0">
    <w:nsid w:val="421C6186"/>
    <w:multiLevelType w:val="multilevel"/>
    <w:tmpl w:val="359047FA"/>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3"/>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73918F8"/>
    <w:multiLevelType w:val="multilevel"/>
    <w:tmpl w:val="218C66B8"/>
    <w:lvl w:ilvl="0">
      <w:start w:val="1"/>
      <w:numFmt w:val="decimal"/>
      <w:lvlText w:val="%1."/>
      <w:lvlJc w:val="left"/>
      <w:rPr>
        <w:rFonts w:cs="Times New Roman" w:hint="default"/>
        <w:b/>
        <w:i w:val="0"/>
        <w:sz w:val="28"/>
        <w:szCs w:val="28"/>
        <w:u w:val="none"/>
      </w:rPr>
    </w:lvl>
    <w:lvl w:ilvl="1">
      <w:start w:val="1"/>
      <w:numFmt w:val="decimal"/>
      <w:lvlText w:val="%1.%2."/>
      <w:lvlJc w:val="left"/>
      <w:rPr>
        <w:rFonts w:cs="Times New Roman" w:hint="default"/>
        <w:b/>
        <w:i w:val="0"/>
        <w:u w:val="none"/>
      </w:rPr>
    </w:lvl>
    <w:lvl w:ilvl="2">
      <w:start w:val="1"/>
      <w:numFmt w:val="decimal"/>
      <w:lvlText w:val="%1.%2.%3."/>
      <w:lvlJc w:val="left"/>
      <w:rPr>
        <w:rFonts w:cs="Times New Roman" w:hint="default"/>
        <w:b/>
        <w:i w:val="0"/>
        <w:u w:val="none"/>
      </w:rPr>
    </w:lvl>
    <w:lvl w:ilvl="3">
      <w:start w:val="1"/>
      <w:numFmt w:val="decimal"/>
      <w:lvlText w:val="%1.%2.%3.%4."/>
      <w:lvlJc w:val="left"/>
      <w:rPr>
        <w:rFonts w:cs="Times New Roman" w:hint="default"/>
        <w:u w:val="none"/>
      </w:rPr>
    </w:lvl>
    <w:lvl w:ilvl="4">
      <w:start w:val="1"/>
      <w:numFmt w:val="decimal"/>
      <w:lvlText w:val="%1.%2.%3.%4.%5."/>
      <w:lvlJc w:val="left"/>
      <w:rPr>
        <w:rFonts w:cs="Times New Roman" w:hint="default"/>
        <w:u w:val="none"/>
      </w:rPr>
    </w:lvl>
    <w:lvl w:ilvl="5">
      <w:start w:val="1"/>
      <w:numFmt w:val="decimal"/>
      <w:lvlText w:val="%1.%2.%3.%4.%5.%6."/>
      <w:lvlJc w:val="left"/>
      <w:rPr>
        <w:rFonts w:cs="Times New Roman" w:hint="default"/>
        <w:u w:val="none"/>
      </w:rPr>
    </w:lvl>
    <w:lvl w:ilvl="6">
      <w:start w:val="1"/>
      <w:numFmt w:val="decimal"/>
      <w:lvlText w:val="%1.%2.%3.%4.%5.%6.%7."/>
      <w:lvlJc w:val="left"/>
      <w:rPr>
        <w:rFonts w:cs="Times New Roman" w:hint="default"/>
        <w:u w:val="none"/>
      </w:rPr>
    </w:lvl>
    <w:lvl w:ilvl="7">
      <w:start w:val="1"/>
      <w:numFmt w:val="decimal"/>
      <w:lvlText w:val="%1.%2.%3.%4.%5.%6.%7.%8."/>
      <w:lvlJc w:val="left"/>
      <w:rPr>
        <w:rFonts w:cs="Times New Roman" w:hint="default"/>
        <w:u w:val="none"/>
      </w:rPr>
    </w:lvl>
    <w:lvl w:ilvl="8">
      <w:start w:val="1"/>
      <w:numFmt w:val="decimal"/>
      <w:lvlText w:val="%1.%2.%3.%4.%5.%6.%7.%8.%9."/>
      <w:lvlJc w:val="left"/>
      <w:rPr>
        <w:rFonts w:cs="Times New Roman" w:hint="default"/>
        <w:u w:val="none"/>
      </w:rPr>
    </w:lvl>
  </w:abstractNum>
  <w:abstractNum w:abstractNumId="22" w15:restartNumberingAfterBreak="0">
    <w:nsid w:val="47944289"/>
    <w:multiLevelType w:val="multilevel"/>
    <w:tmpl w:val="359047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3"/>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4C383A54"/>
    <w:multiLevelType w:val="multilevel"/>
    <w:tmpl w:val="D62AC0A0"/>
    <w:lvl w:ilvl="0">
      <w:start w:val="1"/>
      <w:numFmt w:val="decimal"/>
      <w:lvlText w:val="%1."/>
      <w:lvlJc w:val="left"/>
      <w:rPr>
        <w:rFonts w:ascii="Times New Roman" w:hAnsi="Times New Roman" w:cs="Times New Roman" w:hint="default"/>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15:restartNumberingAfterBreak="0">
    <w:nsid w:val="4C8854BA"/>
    <w:multiLevelType w:val="multilevel"/>
    <w:tmpl w:val="59CE8888"/>
    <w:lvl w:ilvl="0">
      <w:start w:val="120"/>
      <w:numFmt w:val="decimal"/>
      <w:lvlText w:val="%1"/>
      <w:lvlJc w:val="left"/>
      <w:pPr>
        <w:ind w:left="675" w:hanging="675"/>
      </w:pPr>
      <w:rPr>
        <w:rFonts w:cs="Times New Roman" w:hint="default"/>
      </w:rPr>
    </w:lvl>
    <w:lvl w:ilvl="1">
      <w:start w:val="1"/>
      <w:numFmt w:val="decimal"/>
      <w:lvlText w:val="%1.%2"/>
      <w:lvlJc w:val="left"/>
      <w:pPr>
        <w:ind w:left="675" w:hanging="6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4DFC0E84"/>
    <w:multiLevelType w:val="multilevel"/>
    <w:tmpl w:val="74BE1E9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6" w15:restartNumberingAfterBreak="0">
    <w:nsid w:val="50412629"/>
    <w:multiLevelType w:val="multilevel"/>
    <w:tmpl w:val="359047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3"/>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442232D"/>
    <w:multiLevelType w:val="multilevel"/>
    <w:tmpl w:val="EF4E141A"/>
    <w:lvl w:ilvl="0">
      <w:start w:val="1"/>
      <w:numFmt w:val="decimal"/>
      <w:lvlText w:val="%1."/>
      <w:lvlJc w:val="left"/>
      <w:rPr>
        <w:rFonts w:cs="Times New Roman"/>
        <w:b w:val="0"/>
        <w:i w:val="0"/>
        <w:sz w:val="28"/>
        <w:szCs w:val="28"/>
      </w:rPr>
    </w:lvl>
    <w:lvl w:ilvl="1">
      <w:start w:val="1"/>
      <w:numFmt w:val="lowerLetter"/>
      <w:lvlText w:val="%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15:restartNumberingAfterBreak="0">
    <w:nsid w:val="562043C5"/>
    <w:multiLevelType w:val="multilevel"/>
    <w:tmpl w:val="575018DE"/>
    <w:lvl w:ilvl="0">
      <w:start w:val="121"/>
      <w:numFmt w:val="decimal"/>
      <w:lvlText w:val="%1"/>
      <w:lvlJc w:val="left"/>
      <w:pPr>
        <w:ind w:left="675" w:hanging="675"/>
      </w:pPr>
      <w:rPr>
        <w:rFonts w:cs="Times New Roman" w:hint="default"/>
        <w:i w:val="0"/>
      </w:rPr>
    </w:lvl>
    <w:lvl w:ilvl="1">
      <w:start w:val="2"/>
      <w:numFmt w:val="decimal"/>
      <w:lvlText w:val="%1.%2"/>
      <w:lvlJc w:val="left"/>
      <w:pPr>
        <w:ind w:left="675" w:hanging="675"/>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080" w:hanging="108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440" w:hanging="144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800" w:hanging="1800"/>
      </w:pPr>
      <w:rPr>
        <w:rFonts w:cs="Times New Roman" w:hint="default"/>
        <w:i w:val="0"/>
      </w:rPr>
    </w:lvl>
    <w:lvl w:ilvl="8">
      <w:start w:val="1"/>
      <w:numFmt w:val="decimal"/>
      <w:lvlText w:val="%1.%2.%3.%4.%5.%6.%7.%8.%9"/>
      <w:lvlJc w:val="left"/>
      <w:pPr>
        <w:ind w:left="2160" w:hanging="2160"/>
      </w:pPr>
      <w:rPr>
        <w:rFonts w:cs="Times New Roman" w:hint="default"/>
        <w:i w:val="0"/>
      </w:rPr>
    </w:lvl>
  </w:abstractNum>
  <w:abstractNum w:abstractNumId="29" w15:restartNumberingAfterBreak="0">
    <w:nsid w:val="594B6349"/>
    <w:multiLevelType w:val="multilevel"/>
    <w:tmpl w:val="54583E72"/>
    <w:lvl w:ilvl="0">
      <w:start w:val="19"/>
      <w:numFmt w:val="decimal"/>
      <w:lvlText w:val="%1."/>
      <w:lvlJc w:val="left"/>
      <w:pPr>
        <w:ind w:left="659" w:hanging="374"/>
      </w:pPr>
      <w:rPr>
        <w:rFonts w:cs="Times New Roman"/>
        <w:i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60712664"/>
    <w:multiLevelType w:val="multilevel"/>
    <w:tmpl w:val="2508E8FE"/>
    <w:lvl w:ilvl="0">
      <w:start w:val="1"/>
      <w:numFmt w:val="decimal"/>
      <w:lvlText w:val="%1."/>
      <w:lvlJc w:val="left"/>
      <w:pPr>
        <w:ind w:left="720" w:hanging="36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7381FC1"/>
    <w:multiLevelType w:val="multilevel"/>
    <w:tmpl w:val="359047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3"/>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76429AB"/>
    <w:multiLevelType w:val="hybridMultilevel"/>
    <w:tmpl w:val="E30AB454"/>
    <w:lvl w:ilvl="0" w:tplc="AB402456">
      <w:start w:val="1"/>
      <w:numFmt w:val="decimal"/>
      <w:lvlText w:val="%1."/>
      <w:lvlJc w:val="left"/>
      <w:pPr>
        <w:ind w:left="720" w:hanging="360"/>
      </w:pPr>
      <w:rPr>
        <w:rFonts w:ascii="Times New Roman" w:hAnsi="Times New Roman" w:cs="Times New Roman" w:hint="default"/>
        <w:b w:val="0"/>
        <w:i w:val="0"/>
        <w:color w:val="000000"/>
        <w:sz w:val="28"/>
        <w:szCs w:val="28"/>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3" w15:restartNumberingAfterBreak="0">
    <w:nsid w:val="6A1503FC"/>
    <w:multiLevelType w:val="multilevel"/>
    <w:tmpl w:val="359047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3"/>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A465C10"/>
    <w:multiLevelType w:val="multilevel"/>
    <w:tmpl w:val="359047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3"/>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B143209"/>
    <w:multiLevelType w:val="multilevel"/>
    <w:tmpl w:val="6F940E5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6" w15:restartNumberingAfterBreak="0">
    <w:nsid w:val="6C566FBD"/>
    <w:multiLevelType w:val="multilevel"/>
    <w:tmpl w:val="E5E077D4"/>
    <w:lvl w:ilvl="0">
      <w:start w:val="1"/>
      <w:numFmt w:val="upperRoman"/>
      <w:lvlText w:val="%1."/>
      <w:lvlJc w:val="left"/>
      <w:pPr>
        <w:ind w:left="1080" w:firstLine="2520"/>
      </w:pPr>
      <w:rPr>
        <w:rFonts w:cs="Times New Roman"/>
      </w:rPr>
    </w:lvl>
    <w:lvl w:ilvl="1">
      <w:start w:val="1"/>
      <w:numFmt w:val="lowerLetter"/>
      <w:lvlText w:val="%2."/>
      <w:lvlJc w:val="left"/>
      <w:pPr>
        <w:ind w:left="1440" w:firstLine="3960"/>
      </w:pPr>
      <w:rPr>
        <w:rFonts w:cs="Times New Roman"/>
      </w:rPr>
    </w:lvl>
    <w:lvl w:ilvl="2">
      <w:start w:val="1"/>
      <w:numFmt w:val="lowerRoman"/>
      <w:lvlText w:val="%3."/>
      <w:lvlJc w:val="right"/>
      <w:pPr>
        <w:ind w:left="2160" w:firstLine="6300"/>
      </w:pPr>
      <w:rPr>
        <w:rFonts w:cs="Times New Roman"/>
      </w:rPr>
    </w:lvl>
    <w:lvl w:ilvl="3">
      <w:start w:val="1"/>
      <w:numFmt w:val="decimal"/>
      <w:lvlText w:val="%4."/>
      <w:lvlJc w:val="left"/>
      <w:pPr>
        <w:ind w:left="2880" w:firstLine="8280"/>
      </w:pPr>
      <w:rPr>
        <w:rFonts w:cs="Times New Roman"/>
      </w:rPr>
    </w:lvl>
    <w:lvl w:ilvl="4">
      <w:start w:val="1"/>
      <w:numFmt w:val="lowerLetter"/>
      <w:lvlText w:val="%5."/>
      <w:lvlJc w:val="left"/>
      <w:pPr>
        <w:ind w:left="3600" w:firstLine="10440"/>
      </w:pPr>
      <w:rPr>
        <w:rFonts w:cs="Times New Roman"/>
      </w:rPr>
    </w:lvl>
    <w:lvl w:ilvl="5">
      <w:start w:val="1"/>
      <w:numFmt w:val="lowerRoman"/>
      <w:lvlText w:val="%6."/>
      <w:lvlJc w:val="right"/>
      <w:pPr>
        <w:ind w:left="4320" w:firstLine="12780"/>
      </w:pPr>
      <w:rPr>
        <w:rFonts w:cs="Times New Roman"/>
      </w:rPr>
    </w:lvl>
    <w:lvl w:ilvl="6">
      <w:start w:val="1"/>
      <w:numFmt w:val="decimal"/>
      <w:lvlText w:val="%7."/>
      <w:lvlJc w:val="left"/>
      <w:pPr>
        <w:ind w:left="5040" w:firstLine="14760"/>
      </w:pPr>
      <w:rPr>
        <w:rFonts w:cs="Times New Roman"/>
      </w:rPr>
    </w:lvl>
    <w:lvl w:ilvl="7">
      <w:start w:val="1"/>
      <w:numFmt w:val="lowerLetter"/>
      <w:lvlText w:val="%8."/>
      <w:lvlJc w:val="left"/>
      <w:pPr>
        <w:ind w:left="5760" w:firstLine="16920"/>
      </w:pPr>
      <w:rPr>
        <w:rFonts w:cs="Times New Roman"/>
      </w:rPr>
    </w:lvl>
    <w:lvl w:ilvl="8">
      <w:start w:val="1"/>
      <w:numFmt w:val="lowerRoman"/>
      <w:lvlText w:val="%9."/>
      <w:lvlJc w:val="right"/>
      <w:pPr>
        <w:ind w:left="6480" w:firstLine="19260"/>
      </w:pPr>
      <w:rPr>
        <w:rFonts w:cs="Times New Roman"/>
      </w:rPr>
    </w:lvl>
  </w:abstractNum>
  <w:abstractNum w:abstractNumId="37" w15:restartNumberingAfterBreak="0">
    <w:nsid w:val="6DE404EC"/>
    <w:multiLevelType w:val="multilevel"/>
    <w:tmpl w:val="74BE1E9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8" w15:restartNumberingAfterBreak="0">
    <w:nsid w:val="707D3050"/>
    <w:multiLevelType w:val="multilevel"/>
    <w:tmpl w:val="3A0679CA"/>
    <w:lvl w:ilvl="0">
      <w:start w:val="121"/>
      <w:numFmt w:val="decimal"/>
      <w:lvlText w:val="%1."/>
      <w:lvlJc w:val="left"/>
      <w:pPr>
        <w:ind w:left="720" w:hanging="720"/>
      </w:pPr>
      <w:rPr>
        <w:rFonts w:cs="Times New Roman" w:hint="default"/>
        <w:i w:val="0"/>
      </w:rPr>
    </w:lvl>
    <w:lvl w:ilvl="1">
      <w:start w:val="3"/>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080" w:hanging="108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440" w:hanging="1440"/>
      </w:pPr>
      <w:rPr>
        <w:rFonts w:cs="Times New Roman" w:hint="default"/>
        <w:i w:val="0"/>
      </w:rPr>
    </w:lvl>
    <w:lvl w:ilvl="6">
      <w:start w:val="1"/>
      <w:numFmt w:val="decimal"/>
      <w:lvlText w:val="%1.%2.%3.%4.%5.%6.%7."/>
      <w:lvlJc w:val="left"/>
      <w:pPr>
        <w:ind w:left="1800" w:hanging="1800"/>
      </w:pPr>
      <w:rPr>
        <w:rFonts w:cs="Times New Roman" w:hint="default"/>
        <w:i w:val="0"/>
      </w:rPr>
    </w:lvl>
    <w:lvl w:ilvl="7">
      <w:start w:val="1"/>
      <w:numFmt w:val="decimal"/>
      <w:lvlText w:val="%1.%2.%3.%4.%5.%6.%7.%8."/>
      <w:lvlJc w:val="left"/>
      <w:pPr>
        <w:ind w:left="1800" w:hanging="1800"/>
      </w:pPr>
      <w:rPr>
        <w:rFonts w:cs="Times New Roman" w:hint="default"/>
        <w:i w:val="0"/>
      </w:rPr>
    </w:lvl>
    <w:lvl w:ilvl="8">
      <w:start w:val="1"/>
      <w:numFmt w:val="decimal"/>
      <w:lvlText w:val="%1.%2.%3.%4.%5.%6.%7.%8.%9."/>
      <w:lvlJc w:val="left"/>
      <w:pPr>
        <w:ind w:left="2160" w:hanging="2160"/>
      </w:pPr>
      <w:rPr>
        <w:rFonts w:cs="Times New Roman" w:hint="default"/>
        <w:i w:val="0"/>
      </w:rPr>
    </w:lvl>
  </w:abstractNum>
  <w:abstractNum w:abstractNumId="39" w15:restartNumberingAfterBreak="0">
    <w:nsid w:val="770B205B"/>
    <w:multiLevelType w:val="multilevel"/>
    <w:tmpl w:val="359047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3"/>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8923D81"/>
    <w:multiLevelType w:val="multilevel"/>
    <w:tmpl w:val="54ACC90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3"/>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78941756"/>
    <w:multiLevelType w:val="multilevel"/>
    <w:tmpl w:val="74BE1E9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2" w15:restartNumberingAfterBreak="0">
    <w:nsid w:val="79A56FD8"/>
    <w:multiLevelType w:val="hybridMultilevel"/>
    <w:tmpl w:val="08AAE12E"/>
    <w:lvl w:ilvl="0" w:tplc="F5E02502">
      <w:numFmt w:val="bullet"/>
      <w:lvlText w:val="-"/>
      <w:lvlJc w:val="left"/>
      <w:pPr>
        <w:ind w:left="4329" w:hanging="360"/>
      </w:pPr>
      <w:rPr>
        <w:rFonts w:ascii="Times New Roman" w:eastAsia="Times New Roman" w:hAnsi="Times New Roman" w:hint="default"/>
      </w:rPr>
    </w:lvl>
    <w:lvl w:ilvl="1" w:tplc="240A0003" w:tentative="1">
      <w:start w:val="1"/>
      <w:numFmt w:val="bullet"/>
      <w:lvlText w:val="o"/>
      <w:lvlJc w:val="left"/>
      <w:pPr>
        <w:ind w:left="5049" w:hanging="360"/>
      </w:pPr>
      <w:rPr>
        <w:rFonts w:ascii="Courier New" w:hAnsi="Courier New" w:hint="default"/>
      </w:rPr>
    </w:lvl>
    <w:lvl w:ilvl="2" w:tplc="240A0005" w:tentative="1">
      <w:start w:val="1"/>
      <w:numFmt w:val="bullet"/>
      <w:lvlText w:val=""/>
      <w:lvlJc w:val="left"/>
      <w:pPr>
        <w:ind w:left="5769" w:hanging="360"/>
      </w:pPr>
      <w:rPr>
        <w:rFonts w:ascii="Wingdings" w:hAnsi="Wingdings" w:hint="default"/>
      </w:rPr>
    </w:lvl>
    <w:lvl w:ilvl="3" w:tplc="240A0001" w:tentative="1">
      <w:start w:val="1"/>
      <w:numFmt w:val="bullet"/>
      <w:lvlText w:val=""/>
      <w:lvlJc w:val="left"/>
      <w:pPr>
        <w:ind w:left="6489" w:hanging="360"/>
      </w:pPr>
      <w:rPr>
        <w:rFonts w:ascii="Symbol" w:hAnsi="Symbol" w:hint="default"/>
      </w:rPr>
    </w:lvl>
    <w:lvl w:ilvl="4" w:tplc="240A0003" w:tentative="1">
      <w:start w:val="1"/>
      <w:numFmt w:val="bullet"/>
      <w:lvlText w:val="o"/>
      <w:lvlJc w:val="left"/>
      <w:pPr>
        <w:ind w:left="7209" w:hanging="360"/>
      </w:pPr>
      <w:rPr>
        <w:rFonts w:ascii="Courier New" w:hAnsi="Courier New" w:hint="default"/>
      </w:rPr>
    </w:lvl>
    <w:lvl w:ilvl="5" w:tplc="240A0005" w:tentative="1">
      <w:start w:val="1"/>
      <w:numFmt w:val="bullet"/>
      <w:lvlText w:val=""/>
      <w:lvlJc w:val="left"/>
      <w:pPr>
        <w:ind w:left="7929" w:hanging="360"/>
      </w:pPr>
      <w:rPr>
        <w:rFonts w:ascii="Wingdings" w:hAnsi="Wingdings" w:hint="default"/>
      </w:rPr>
    </w:lvl>
    <w:lvl w:ilvl="6" w:tplc="240A0001" w:tentative="1">
      <w:start w:val="1"/>
      <w:numFmt w:val="bullet"/>
      <w:lvlText w:val=""/>
      <w:lvlJc w:val="left"/>
      <w:pPr>
        <w:ind w:left="8649" w:hanging="360"/>
      </w:pPr>
      <w:rPr>
        <w:rFonts w:ascii="Symbol" w:hAnsi="Symbol" w:hint="default"/>
      </w:rPr>
    </w:lvl>
    <w:lvl w:ilvl="7" w:tplc="240A0003" w:tentative="1">
      <w:start w:val="1"/>
      <w:numFmt w:val="bullet"/>
      <w:lvlText w:val="o"/>
      <w:lvlJc w:val="left"/>
      <w:pPr>
        <w:ind w:left="9369" w:hanging="360"/>
      </w:pPr>
      <w:rPr>
        <w:rFonts w:ascii="Courier New" w:hAnsi="Courier New" w:hint="default"/>
      </w:rPr>
    </w:lvl>
    <w:lvl w:ilvl="8" w:tplc="240A0005" w:tentative="1">
      <w:start w:val="1"/>
      <w:numFmt w:val="bullet"/>
      <w:lvlText w:val=""/>
      <w:lvlJc w:val="left"/>
      <w:pPr>
        <w:ind w:left="10089" w:hanging="360"/>
      </w:pPr>
      <w:rPr>
        <w:rFonts w:ascii="Wingdings" w:hAnsi="Wingdings" w:hint="default"/>
      </w:rPr>
    </w:lvl>
  </w:abstractNum>
  <w:num w:numId="1">
    <w:abstractNumId w:val="35"/>
  </w:num>
  <w:num w:numId="2">
    <w:abstractNumId w:val="14"/>
  </w:num>
  <w:num w:numId="3">
    <w:abstractNumId w:val="7"/>
  </w:num>
  <w:num w:numId="4">
    <w:abstractNumId w:val="16"/>
  </w:num>
  <w:num w:numId="5">
    <w:abstractNumId w:val="10"/>
  </w:num>
  <w:num w:numId="6">
    <w:abstractNumId w:val="37"/>
  </w:num>
  <w:num w:numId="7">
    <w:abstractNumId w:val="41"/>
  </w:num>
  <w:num w:numId="8">
    <w:abstractNumId w:val="25"/>
  </w:num>
  <w:num w:numId="9">
    <w:abstractNumId w:val="42"/>
  </w:num>
  <w:num w:numId="10">
    <w:abstractNumId w:val="20"/>
  </w:num>
  <w:num w:numId="11">
    <w:abstractNumId w:val="40"/>
  </w:num>
  <w:num w:numId="12">
    <w:abstractNumId w:val="6"/>
  </w:num>
  <w:num w:numId="13">
    <w:abstractNumId w:val="2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6"/>
  </w:num>
  <w:num w:numId="16">
    <w:abstractNumId w:val="3"/>
  </w:num>
  <w:num w:numId="17">
    <w:abstractNumId w:val="32"/>
  </w:num>
  <w:num w:numId="18">
    <w:abstractNumId w:val="30"/>
  </w:num>
  <w:num w:numId="19">
    <w:abstractNumId w:val="23"/>
  </w:num>
  <w:num w:numId="20">
    <w:abstractNumId w:val="13"/>
  </w:num>
  <w:num w:numId="21">
    <w:abstractNumId w:val="15"/>
  </w:num>
  <w:num w:numId="22">
    <w:abstractNumId w:val="34"/>
  </w:num>
  <w:num w:numId="23">
    <w:abstractNumId w:val="9"/>
  </w:num>
  <w:num w:numId="24">
    <w:abstractNumId w:val="22"/>
  </w:num>
  <w:num w:numId="25">
    <w:abstractNumId w:val="5"/>
  </w:num>
  <w:num w:numId="26">
    <w:abstractNumId w:val="39"/>
  </w:num>
  <w:num w:numId="27">
    <w:abstractNumId w:val="18"/>
  </w:num>
  <w:num w:numId="28">
    <w:abstractNumId w:val="2"/>
  </w:num>
  <w:num w:numId="29">
    <w:abstractNumId w:val="33"/>
  </w:num>
  <w:num w:numId="30">
    <w:abstractNumId w:val="31"/>
  </w:num>
  <w:num w:numId="31">
    <w:abstractNumId w:val="12"/>
  </w:num>
  <w:num w:numId="32">
    <w:abstractNumId w:val="19"/>
  </w:num>
  <w:num w:numId="33">
    <w:abstractNumId w:val="21"/>
  </w:num>
  <w:num w:numId="34">
    <w:abstractNumId w:val="36"/>
  </w:num>
  <w:num w:numId="35">
    <w:abstractNumId w:val="0"/>
  </w:num>
  <w:num w:numId="36">
    <w:abstractNumId w:val="17"/>
  </w:num>
  <w:num w:numId="37">
    <w:abstractNumId w:val="1"/>
  </w:num>
  <w:num w:numId="38">
    <w:abstractNumId w:val="8"/>
  </w:num>
  <w:num w:numId="39">
    <w:abstractNumId w:val="4"/>
  </w:num>
  <w:num w:numId="40">
    <w:abstractNumId w:val="27"/>
  </w:num>
  <w:num w:numId="41">
    <w:abstractNumId w:val="24"/>
  </w:num>
  <w:num w:numId="42">
    <w:abstractNumId w:val="28"/>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C3"/>
    <w:rsid w:val="000002D8"/>
    <w:rsid w:val="0000070B"/>
    <w:rsid w:val="00000959"/>
    <w:rsid w:val="00000EE6"/>
    <w:rsid w:val="00001A84"/>
    <w:rsid w:val="00002F27"/>
    <w:rsid w:val="00002F4E"/>
    <w:rsid w:val="00004C91"/>
    <w:rsid w:val="00004EEB"/>
    <w:rsid w:val="000050BF"/>
    <w:rsid w:val="00005922"/>
    <w:rsid w:val="00006F60"/>
    <w:rsid w:val="00006FA9"/>
    <w:rsid w:val="00007BC0"/>
    <w:rsid w:val="00007FD9"/>
    <w:rsid w:val="000124E9"/>
    <w:rsid w:val="000126CF"/>
    <w:rsid w:val="00012747"/>
    <w:rsid w:val="00012B9C"/>
    <w:rsid w:val="00013ECF"/>
    <w:rsid w:val="00014E5F"/>
    <w:rsid w:val="00015108"/>
    <w:rsid w:val="00016D03"/>
    <w:rsid w:val="00016EDD"/>
    <w:rsid w:val="00020297"/>
    <w:rsid w:val="000206A5"/>
    <w:rsid w:val="00020A31"/>
    <w:rsid w:val="000212BD"/>
    <w:rsid w:val="000215F6"/>
    <w:rsid w:val="00024E52"/>
    <w:rsid w:val="000266AF"/>
    <w:rsid w:val="00027211"/>
    <w:rsid w:val="00027482"/>
    <w:rsid w:val="00030149"/>
    <w:rsid w:val="00030AB9"/>
    <w:rsid w:val="00031012"/>
    <w:rsid w:val="0003471A"/>
    <w:rsid w:val="000349CB"/>
    <w:rsid w:val="0003651B"/>
    <w:rsid w:val="00037008"/>
    <w:rsid w:val="000373AE"/>
    <w:rsid w:val="00040105"/>
    <w:rsid w:val="00041889"/>
    <w:rsid w:val="00041DB7"/>
    <w:rsid w:val="00041EF4"/>
    <w:rsid w:val="000435FC"/>
    <w:rsid w:val="00043BE7"/>
    <w:rsid w:val="00043E67"/>
    <w:rsid w:val="000443B0"/>
    <w:rsid w:val="0004499D"/>
    <w:rsid w:val="00044D18"/>
    <w:rsid w:val="00044F2C"/>
    <w:rsid w:val="00045AE1"/>
    <w:rsid w:val="00045CD5"/>
    <w:rsid w:val="00045F3D"/>
    <w:rsid w:val="000477BB"/>
    <w:rsid w:val="000479F1"/>
    <w:rsid w:val="00047B9B"/>
    <w:rsid w:val="000508B5"/>
    <w:rsid w:val="00050D67"/>
    <w:rsid w:val="00050EAC"/>
    <w:rsid w:val="0005195E"/>
    <w:rsid w:val="0005420A"/>
    <w:rsid w:val="0005463F"/>
    <w:rsid w:val="000551F2"/>
    <w:rsid w:val="00056206"/>
    <w:rsid w:val="0006016D"/>
    <w:rsid w:val="000615DD"/>
    <w:rsid w:val="00062538"/>
    <w:rsid w:val="000651C2"/>
    <w:rsid w:val="000657DA"/>
    <w:rsid w:val="00065EC0"/>
    <w:rsid w:val="00065FFA"/>
    <w:rsid w:val="00066822"/>
    <w:rsid w:val="00066F2A"/>
    <w:rsid w:val="000701CC"/>
    <w:rsid w:val="0007115E"/>
    <w:rsid w:val="00071BBE"/>
    <w:rsid w:val="00072076"/>
    <w:rsid w:val="000722FC"/>
    <w:rsid w:val="00072BE1"/>
    <w:rsid w:val="0007474B"/>
    <w:rsid w:val="00076BFA"/>
    <w:rsid w:val="00076C27"/>
    <w:rsid w:val="00080C6D"/>
    <w:rsid w:val="00080D87"/>
    <w:rsid w:val="0008179B"/>
    <w:rsid w:val="00081A8C"/>
    <w:rsid w:val="000834CF"/>
    <w:rsid w:val="00083BF7"/>
    <w:rsid w:val="00084D20"/>
    <w:rsid w:val="000853B5"/>
    <w:rsid w:val="0008552F"/>
    <w:rsid w:val="00087AEB"/>
    <w:rsid w:val="00087FD3"/>
    <w:rsid w:val="000904AD"/>
    <w:rsid w:val="00090A03"/>
    <w:rsid w:val="00091113"/>
    <w:rsid w:val="00091227"/>
    <w:rsid w:val="000913CF"/>
    <w:rsid w:val="00091463"/>
    <w:rsid w:val="000925EB"/>
    <w:rsid w:val="00092F01"/>
    <w:rsid w:val="00093051"/>
    <w:rsid w:val="000935C7"/>
    <w:rsid w:val="000938E9"/>
    <w:rsid w:val="000940DE"/>
    <w:rsid w:val="000946B7"/>
    <w:rsid w:val="0009471C"/>
    <w:rsid w:val="00094F21"/>
    <w:rsid w:val="00095252"/>
    <w:rsid w:val="00095E8A"/>
    <w:rsid w:val="000978EC"/>
    <w:rsid w:val="00097F6E"/>
    <w:rsid w:val="000A024A"/>
    <w:rsid w:val="000A031D"/>
    <w:rsid w:val="000A094D"/>
    <w:rsid w:val="000A0C91"/>
    <w:rsid w:val="000A0E85"/>
    <w:rsid w:val="000A12EF"/>
    <w:rsid w:val="000A1839"/>
    <w:rsid w:val="000A2611"/>
    <w:rsid w:val="000A3A20"/>
    <w:rsid w:val="000A3C9F"/>
    <w:rsid w:val="000A4269"/>
    <w:rsid w:val="000A5476"/>
    <w:rsid w:val="000A652E"/>
    <w:rsid w:val="000A6AC7"/>
    <w:rsid w:val="000A7434"/>
    <w:rsid w:val="000B06E9"/>
    <w:rsid w:val="000B2E67"/>
    <w:rsid w:val="000B3345"/>
    <w:rsid w:val="000B360D"/>
    <w:rsid w:val="000B39EF"/>
    <w:rsid w:val="000B4E36"/>
    <w:rsid w:val="000B59F4"/>
    <w:rsid w:val="000B644F"/>
    <w:rsid w:val="000B65DD"/>
    <w:rsid w:val="000B665F"/>
    <w:rsid w:val="000B67E7"/>
    <w:rsid w:val="000B6CED"/>
    <w:rsid w:val="000B6E99"/>
    <w:rsid w:val="000B743E"/>
    <w:rsid w:val="000B7C11"/>
    <w:rsid w:val="000C0684"/>
    <w:rsid w:val="000C0836"/>
    <w:rsid w:val="000C08A6"/>
    <w:rsid w:val="000C0C3B"/>
    <w:rsid w:val="000C11BB"/>
    <w:rsid w:val="000C1A85"/>
    <w:rsid w:val="000C1E2D"/>
    <w:rsid w:val="000C2BC4"/>
    <w:rsid w:val="000C335E"/>
    <w:rsid w:val="000C45F3"/>
    <w:rsid w:val="000C4819"/>
    <w:rsid w:val="000C685F"/>
    <w:rsid w:val="000C6B58"/>
    <w:rsid w:val="000C6EAA"/>
    <w:rsid w:val="000C73D4"/>
    <w:rsid w:val="000D07D4"/>
    <w:rsid w:val="000D3EA0"/>
    <w:rsid w:val="000D3FAD"/>
    <w:rsid w:val="000D5714"/>
    <w:rsid w:val="000E109F"/>
    <w:rsid w:val="000E1716"/>
    <w:rsid w:val="000E17C1"/>
    <w:rsid w:val="000E22A2"/>
    <w:rsid w:val="000E3503"/>
    <w:rsid w:val="000E3592"/>
    <w:rsid w:val="000E3C18"/>
    <w:rsid w:val="000E3FB1"/>
    <w:rsid w:val="000E4350"/>
    <w:rsid w:val="000E44BC"/>
    <w:rsid w:val="000E4628"/>
    <w:rsid w:val="000E686B"/>
    <w:rsid w:val="000E7718"/>
    <w:rsid w:val="000F1180"/>
    <w:rsid w:val="000F1F58"/>
    <w:rsid w:val="000F2813"/>
    <w:rsid w:val="000F317A"/>
    <w:rsid w:val="000F358F"/>
    <w:rsid w:val="000F36FE"/>
    <w:rsid w:val="000F541E"/>
    <w:rsid w:val="000F61C7"/>
    <w:rsid w:val="000F680C"/>
    <w:rsid w:val="000F684D"/>
    <w:rsid w:val="000F6DB5"/>
    <w:rsid w:val="000F7634"/>
    <w:rsid w:val="000F7E42"/>
    <w:rsid w:val="001009B1"/>
    <w:rsid w:val="00100F0D"/>
    <w:rsid w:val="0010109F"/>
    <w:rsid w:val="00101F8C"/>
    <w:rsid w:val="00102082"/>
    <w:rsid w:val="001020A9"/>
    <w:rsid w:val="0010215E"/>
    <w:rsid w:val="00102BF3"/>
    <w:rsid w:val="00102E69"/>
    <w:rsid w:val="00103355"/>
    <w:rsid w:val="00103D72"/>
    <w:rsid w:val="00103F1D"/>
    <w:rsid w:val="00104B8B"/>
    <w:rsid w:val="001051DE"/>
    <w:rsid w:val="00105963"/>
    <w:rsid w:val="00105E0A"/>
    <w:rsid w:val="00106EAE"/>
    <w:rsid w:val="00107647"/>
    <w:rsid w:val="0011096C"/>
    <w:rsid w:val="00110D6A"/>
    <w:rsid w:val="00110DE3"/>
    <w:rsid w:val="001115C3"/>
    <w:rsid w:val="00112D9D"/>
    <w:rsid w:val="001134C2"/>
    <w:rsid w:val="0011386E"/>
    <w:rsid w:val="00113C7C"/>
    <w:rsid w:val="00113D33"/>
    <w:rsid w:val="00113DDF"/>
    <w:rsid w:val="00113F10"/>
    <w:rsid w:val="0011441C"/>
    <w:rsid w:val="0011445C"/>
    <w:rsid w:val="00114B5D"/>
    <w:rsid w:val="00114BB8"/>
    <w:rsid w:val="00116220"/>
    <w:rsid w:val="001162BF"/>
    <w:rsid w:val="0011644F"/>
    <w:rsid w:val="00117204"/>
    <w:rsid w:val="001211FF"/>
    <w:rsid w:val="00122809"/>
    <w:rsid w:val="00124076"/>
    <w:rsid w:val="00125144"/>
    <w:rsid w:val="0012630A"/>
    <w:rsid w:val="00126637"/>
    <w:rsid w:val="001271FC"/>
    <w:rsid w:val="0012758B"/>
    <w:rsid w:val="001309DB"/>
    <w:rsid w:val="00130C17"/>
    <w:rsid w:val="001327CF"/>
    <w:rsid w:val="00134090"/>
    <w:rsid w:val="00134591"/>
    <w:rsid w:val="001366FF"/>
    <w:rsid w:val="0013693A"/>
    <w:rsid w:val="00136A4B"/>
    <w:rsid w:val="00136AB2"/>
    <w:rsid w:val="00137102"/>
    <w:rsid w:val="0013761E"/>
    <w:rsid w:val="0014033B"/>
    <w:rsid w:val="001404D8"/>
    <w:rsid w:val="00140584"/>
    <w:rsid w:val="0014130F"/>
    <w:rsid w:val="0014140A"/>
    <w:rsid w:val="0014305F"/>
    <w:rsid w:val="00143077"/>
    <w:rsid w:val="0014424A"/>
    <w:rsid w:val="00144973"/>
    <w:rsid w:val="00144A60"/>
    <w:rsid w:val="00144CA0"/>
    <w:rsid w:val="00144F7F"/>
    <w:rsid w:val="00146036"/>
    <w:rsid w:val="00146D07"/>
    <w:rsid w:val="00147B7D"/>
    <w:rsid w:val="00150DE5"/>
    <w:rsid w:val="00152AAF"/>
    <w:rsid w:val="001557B5"/>
    <w:rsid w:val="001559F9"/>
    <w:rsid w:val="0015683B"/>
    <w:rsid w:val="00156D83"/>
    <w:rsid w:val="00160136"/>
    <w:rsid w:val="00160BB6"/>
    <w:rsid w:val="0016103A"/>
    <w:rsid w:val="0016145C"/>
    <w:rsid w:val="0016152B"/>
    <w:rsid w:val="0016171D"/>
    <w:rsid w:val="0016239C"/>
    <w:rsid w:val="00162451"/>
    <w:rsid w:val="0016268B"/>
    <w:rsid w:val="00162AB6"/>
    <w:rsid w:val="00165C0B"/>
    <w:rsid w:val="00165CC7"/>
    <w:rsid w:val="00165FCF"/>
    <w:rsid w:val="00167B2D"/>
    <w:rsid w:val="0017040D"/>
    <w:rsid w:val="00170C74"/>
    <w:rsid w:val="00170CF3"/>
    <w:rsid w:val="00171C89"/>
    <w:rsid w:val="00172538"/>
    <w:rsid w:val="00172E61"/>
    <w:rsid w:val="0017302D"/>
    <w:rsid w:val="001732C9"/>
    <w:rsid w:val="00174692"/>
    <w:rsid w:val="00174C61"/>
    <w:rsid w:val="00175CA9"/>
    <w:rsid w:val="00176DD5"/>
    <w:rsid w:val="0017763C"/>
    <w:rsid w:val="00177696"/>
    <w:rsid w:val="00180691"/>
    <w:rsid w:val="001822D2"/>
    <w:rsid w:val="0018319D"/>
    <w:rsid w:val="001836CF"/>
    <w:rsid w:val="00183D4E"/>
    <w:rsid w:val="001841F7"/>
    <w:rsid w:val="001842D6"/>
    <w:rsid w:val="0018572C"/>
    <w:rsid w:val="00187E99"/>
    <w:rsid w:val="00190185"/>
    <w:rsid w:val="00190389"/>
    <w:rsid w:val="00190622"/>
    <w:rsid w:val="0019062B"/>
    <w:rsid w:val="00190BCA"/>
    <w:rsid w:val="001917C4"/>
    <w:rsid w:val="00191F35"/>
    <w:rsid w:val="0019258E"/>
    <w:rsid w:val="00193740"/>
    <w:rsid w:val="00193F04"/>
    <w:rsid w:val="00194326"/>
    <w:rsid w:val="0019607E"/>
    <w:rsid w:val="00196131"/>
    <w:rsid w:val="001973FA"/>
    <w:rsid w:val="00197C19"/>
    <w:rsid w:val="001A0247"/>
    <w:rsid w:val="001A0C44"/>
    <w:rsid w:val="001A0ECA"/>
    <w:rsid w:val="001A18DB"/>
    <w:rsid w:val="001A2C7B"/>
    <w:rsid w:val="001A4565"/>
    <w:rsid w:val="001A4CFB"/>
    <w:rsid w:val="001A4E0B"/>
    <w:rsid w:val="001A53D6"/>
    <w:rsid w:val="001A5B7B"/>
    <w:rsid w:val="001A61F4"/>
    <w:rsid w:val="001B1866"/>
    <w:rsid w:val="001B2F5F"/>
    <w:rsid w:val="001B38D5"/>
    <w:rsid w:val="001B39B6"/>
    <w:rsid w:val="001B3B6E"/>
    <w:rsid w:val="001B4A8D"/>
    <w:rsid w:val="001B4D06"/>
    <w:rsid w:val="001B5143"/>
    <w:rsid w:val="001B56F9"/>
    <w:rsid w:val="001B5BB2"/>
    <w:rsid w:val="001B5F26"/>
    <w:rsid w:val="001B694E"/>
    <w:rsid w:val="001B6B71"/>
    <w:rsid w:val="001C09C0"/>
    <w:rsid w:val="001C1A54"/>
    <w:rsid w:val="001C20EF"/>
    <w:rsid w:val="001C333F"/>
    <w:rsid w:val="001C34D0"/>
    <w:rsid w:val="001C42C6"/>
    <w:rsid w:val="001C454C"/>
    <w:rsid w:val="001C4CE3"/>
    <w:rsid w:val="001C5D06"/>
    <w:rsid w:val="001C5E7D"/>
    <w:rsid w:val="001C671D"/>
    <w:rsid w:val="001C6E47"/>
    <w:rsid w:val="001C7185"/>
    <w:rsid w:val="001C71C9"/>
    <w:rsid w:val="001D167B"/>
    <w:rsid w:val="001D187E"/>
    <w:rsid w:val="001D1AEB"/>
    <w:rsid w:val="001D1B33"/>
    <w:rsid w:val="001D22C3"/>
    <w:rsid w:val="001D286C"/>
    <w:rsid w:val="001D50FB"/>
    <w:rsid w:val="001D5A45"/>
    <w:rsid w:val="001D5FFA"/>
    <w:rsid w:val="001D6E06"/>
    <w:rsid w:val="001E0661"/>
    <w:rsid w:val="001E0F3D"/>
    <w:rsid w:val="001E3150"/>
    <w:rsid w:val="001E3A48"/>
    <w:rsid w:val="001E43C3"/>
    <w:rsid w:val="001E46F4"/>
    <w:rsid w:val="001E55EB"/>
    <w:rsid w:val="001E567F"/>
    <w:rsid w:val="001E62EE"/>
    <w:rsid w:val="001E6D70"/>
    <w:rsid w:val="001E7851"/>
    <w:rsid w:val="001F143D"/>
    <w:rsid w:val="001F2EFC"/>
    <w:rsid w:val="001F3267"/>
    <w:rsid w:val="001F42B8"/>
    <w:rsid w:val="001F4ABB"/>
    <w:rsid w:val="001F56F6"/>
    <w:rsid w:val="001F5D1D"/>
    <w:rsid w:val="001F74FA"/>
    <w:rsid w:val="001F7CD3"/>
    <w:rsid w:val="00200085"/>
    <w:rsid w:val="00200243"/>
    <w:rsid w:val="00203967"/>
    <w:rsid w:val="00204A77"/>
    <w:rsid w:val="00204F17"/>
    <w:rsid w:val="0020657F"/>
    <w:rsid w:val="002067B3"/>
    <w:rsid w:val="0020751E"/>
    <w:rsid w:val="00207983"/>
    <w:rsid w:val="00210C40"/>
    <w:rsid w:val="00210EFE"/>
    <w:rsid w:val="00211139"/>
    <w:rsid w:val="00211B91"/>
    <w:rsid w:val="002129E6"/>
    <w:rsid w:val="00213AC4"/>
    <w:rsid w:val="00213CDA"/>
    <w:rsid w:val="002145D9"/>
    <w:rsid w:val="002148EC"/>
    <w:rsid w:val="002154D2"/>
    <w:rsid w:val="002159B9"/>
    <w:rsid w:val="00222E90"/>
    <w:rsid w:val="00223498"/>
    <w:rsid w:val="00223B4D"/>
    <w:rsid w:val="00223C71"/>
    <w:rsid w:val="00223F43"/>
    <w:rsid w:val="00224B89"/>
    <w:rsid w:val="002251F1"/>
    <w:rsid w:val="00225752"/>
    <w:rsid w:val="00225774"/>
    <w:rsid w:val="00226923"/>
    <w:rsid w:val="00230267"/>
    <w:rsid w:val="002303C5"/>
    <w:rsid w:val="0023059C"/>
    <w:rsid w:val="00230809"/>
    <w:rsid w:val="00231B15"/>
    <w:rsid w:val="00232362"/>
    <w:rsid w:val="002325E2"/>
    <w:rsid w:val="0023341B"/>
    <w:rsid w:val="00233857"/>
    <w:rsid w:val="00233A2F"/>
    <w:rsid w:val="00234A7B"/>
    <w:rsid w:val="0023787E"/>
    <w:rsid w:val="00237C7F"/>
    <w:rsid w:val="0024140E"/>
    <w:rsid w:val="00241426"/>
    <w:rsid w:val="00241993"/>
    <w:rsid w:val="00242165"/>
    <w:rsid w:val="00242755"/>
    <w:rsid w:val="0024279A"/>
    <w:rsid w:val="00247FC7"/>
    <w:rsid w:val="00250DDF"/>
    <w:rsid w:val="00252C5A"/>
    <w:rsid w:val="002533EE"/>
    <w:rsid w:val="0025351F"/>
    <w:rsid w:val="0025382F"/>
    <w:rsid w:val="002545C8"/>
    <w:rsid w:val="0025465D"/>
    <w:rsid w:val="00255A0C"/>
    <w:rsid w:val="002560DE"/>
    <w:rsid w:val="00256303"/>
    <w:rsid w:val="00256718"/>
    <w:rsid w:val="0025722D"/>
    <w:rsid w:val="002601BA"/>
    <w:rsid w:val="002610B2"/>
    <w:rsid w:val="00261FFD"/>
    <w:rsid w:val="002622EB"/>
    <w:rsid w:val="002628EC"/>
    <w:rsid w:val="0026316E"/>
    <w:rsid w:val="002634C3"/>
    <w:rsid w:val="00265687"/>
    <w:rsid w:val="00265FA3"/>
    <w:rsid w:val="0026621F"/>
    <w:rsid w:val="002665FA"/>
    <w:rsid w:val="00267749"/>
    <w:rsid w:val="00267866"/>
    <w:rsid w:val="002678EA"/>
    <w:rsid w:val="002717F7"/>
    <w:rsid w:val="00271B97"/>
    <w:rsid w:val="002722C3"/>
    <w:rsid w:val="00273632"/>
    <w:rsid w:val="00273D35"/>
    <w:rsid w:val="002744D3"/>
    <w:rsid w:val="0027644D"/>
    <w:rsid w:val="002768EB"/>
    <w:rsid w:val="00276A75"/>
    <w:rsid w:val="002778AB"/>
    <w:rsid w:val="00280B4F"/>
    <w:rsid w:val="00280D8A"/>
    <w:rsid w:val="002814F6"/>
    <w:rsid w:val="002825C6"/>
    <w:rsid w:val="002838B7"/>
    <w:rsid w:val="00283FFF"/>
    <w:rsid w:val="00286E5A"/>
    <w:rsid w:val="00287585"/>
    <w:rsid w:val="00287B23"/>
    <w:rsid w:val="00290911"/>
    <w:rsid w:val="00290E53"/>
    <w:rsid w:val="002914F9"/>
    <w:rsid w:val="00292A7B"/>
    <w:rsid w:val="00293B14"/>
    <w:rsid w:val="00294E32"/>
    <w:rsid w:val="0029574C"/>
    <w:rsid w:val="0029614C"/>
    <w:rsid w:val="002964FA"/>
    <w:rsid w:val="00296E10"/>
    <w:rsid w:val="00297B18"/>
    <w:rsid w:val="002A188C"/>
    <w:rsid w:val="002A3188"/>
    <w:rsid w:val="002A40CB"/>
    <w:rsid w:val="002A54E9"/>
    <w:rsid w:val="002A5C3B"/>
    <w:rsid w:val="002A7375"/>
    <w:rsid w:val="002B115E"/>
    <w:rsid w:val="002B1B1C"/>
    <w:rsid w:val="002B49BD"/>
    <w:rsid w:val="002B4D64"/>
    <w:rsid w:val="002B50DB"/>
    <w:rsid w:val="002B53A7"/>
    <w:rsid w:val="002B54B5"/>
    <w:rsid w:val="002B59DA"/>
    <w:rsid w:val="002B5F97"/>
    <w:rsid w:val="002B6C8D"/>
    <w:rsid w:val="002B6CBC"/>
    <w:rsid w:val="002B7217"/>
    <w:rsid w:val="002C132F"/>
    <w:rsid w:val="002C280C"/>
    <w:rsid w:val="002C2C49"/>
    <w:rsid w:val="002C3546"/>
    <w:rsid w:val="002C62D1"/>
    <w:rsid w:val="002C63C1"/>
    <w:rsid w:val="002D09B3"/>
    <w:rsid w:val="002D117A"/>
    <w:rsid w:val="002D1B26"/>
    <w:rsid w:val="002D2F24"/>
    <w:rsid w:val="002D40C5"/>
    <w:rsid w:val="002D4545"/>
    <w:rsid w:val="002D5F6A"/>
    <w:rsid w:val="002D6063"/>
    <w:rsid w:val="002D68C8"/>
    <w:rsid w:val="002D68FE"/>
    <w:rsid w:val="002D69FB"/>
    <w:rsid w:val="002D6B43"/>
    <w:rsid w:val="002D7BB8"/>
    <w:rsid w:val="002E04B6"/>
    <w:rsid w:val="002E0E24"/>
    <w:rsid w:val="002E18C1"/>
    <w:rsid w:val="002E1D22"/>
    <w:rsid w:val="002E29C1"/>
    <w:rsid w:val="002E3CB0"/>
    <w:rsid w:val="002E48EE"/>
    <w:rsid w:val="002E4CE5"/>
    <w:rsid w:val="002E4E7C"/>
    <w:rsid w:val="002E5371"/>
    <w:rsid w:val="002E69F0"/>
    <w:rsid w:val="002E6D66"/>
    <w:rsid w:val="002E6F73"/>
    <w:rsid w:val="002E7823"/>
    <w:rsid w:val="002F0D9E"/>
    <w:rsid w:val="002F14D0"/>
    <w:rsid w:val="002F1FBE"/>
    <w:rsid w:val="002F2431"/>
    <w:rsid w:val="002F27B4"/>
    <w:rsid w:val="002F2AD3"/>
    <w:rsid w:val="002F2E20"/>
    <w:rsid w:val="002F30C5"/>
    <w:rsid w:val="002F424B"/>
    <w:rsid w:val="002F5605"/>
    <w:rsid w:val="002F6993"/>
    <w:rsid w:val="002F7DDD"/>
    <w:rsid w:val="0030046D"/>
    <w:rsid w:val="00301B0F"/>
    <w:rsid w:val="00302221"/>
    <w:rsid w:val="00302820"/>
    <w:rsid w:val="00303EB3"/>
    <w:rsid w:val="00304B29"/>
    <w:rsid w:val="0030513D"/>
    <w:rsid w:val="0030593E"/>
    <w:rsid w:val="00307407"/>
    <w:rsid w:val="0030759D"/>
    <w:rsid w:val="00307FDA"/>
    <w:rsid w:val="0031065D"/>
    <w:rsid w:val="0031102D"/>
    <w:rsid w:val="003121EB"/>
    <w:rsid w:val="003132A9"/>
    <w:rsid w:val="00313F79"/>
    <w:rsid w:val="00314BDD"/>
    <w:rsid w:val="00315292"/>
    <w:rsid w:val="003153FA"/>
    <w:rsid w:val="00316EDC"/>
    <w:rsid w:val="00317304"/>
    <w:rsid w:val="00320FC6"/>
    <w:rsid w:val="003212BD"/>
    <w:rsid w:val="00321F74"/>
    <w:rsid w:val="003226CD"/>
    <w:rsid w:val="003227FE"/>
    <w:rsid w:val="00322878"/>
    <w:rsid w:val="00323345"/>
    <w:rsid w:val="00323745"/>
    <w:rsid w:val="003237D8"/>
    <w:rsid w:val="00324997"/>
    <w:rsid w:val="00324D33"/>
    <w:rsid w:val="00324D8C"/>
    <w:rsid w:val="003302C5"/>
    <w:rsid w:val="003308AB"/>
    <w:rsid w:val="00330B1B"/>
    <w:rsid w:val="003316C1"/>
    <w:rsid w:val="00332CF9"/>
    <w:rsid w:val="0033417B"/>
    <w:rsid w:val="003343A6"/>
    <w:rsid w:val="00335617"/>
    <w:rsid w:val="00335DEF"/>
    <w:rsid w:val="00340F7E"/>
    <w:rsid w:val="0034166F"/>
    <w:rsid w:val="00342141"/>
    <w:rsid w:val="00342364"/>
    <w:rsid w:val="00343141"/>
    <w:rsid w:val="00343B34"/>
    <w:rsid w:val="0034576C"/>
    <w:rsid w:val="00345EFF"/>
    <w:rsid w:val="0034628C"/>
    <w:rsid w:val="0034692F"/>
    <w:rsid w:val="003503C1"/>
    <w:rsid w:val="00350A8E"/>
    <w:rsid w:val="00350E44"/>
    <w:rsid w:val="0035128C"/>
    <w:rsid w:val="00351CFB"/>
    <w:rsid w:val="00351F33"/>
    <w:rsid w:val="0035257B"/>
    <w:rsid w:val="003534A7"/>
    <w:rsid w:val="0035366A"/>
    <w:rsid w:val="00354347"/>
    <w:rsid w:val="00355557"/>
    <w:rsid w:val="00355618"/>
    <w:rsid w:val="00355BB8"/>
    <w:rsid w:val="0035710E"/>
    <w:rsid w:val="0035735C"/>
    <w:rsid w:val="00357C8C"/>
    <w:rsid w:val="0036062A"/>
    <w:rsid w:val="00360BD6"/>
    <w:rsid w:val="00363409"/>
    <w:rsid w:val="0036343D"/>
    <w:rsid w:val="003653A7"/>
    <w:rsid w:val="003660BE"/>
    <w:rsid w:val="00366F33"/>
    <w:rsid w:val="0036726A"/>
    <w:rsid w:val="00367CF7"/>
    <w:rsid w:val="00371464"/>
    <w:rsid w:val="003721E1"/>
    <w:rsid w:val="003729C7"/>
    <w:rsid w:val="00372F5D"/>
    <w:rsid w:val="0037305B"/>
    <w:rsid w:val="00373A96"/>
    <w:rsid w:val="00373ED3"/>
    <w:rsid w:val="00374F06"/>
    <w:rsid w:val="003759D0"/>
    <w:rsid w:val="003766E1"/>
    <w:rsid w:val="003774FE"/>
    <w:rsid w:val="00377877"/>
    <w:rsid w:val="00377C32"/>
    <w:rsid w:val="0038086B"/>
    <w:rsid w:val="00380F0F"/>
    <w:rsid w:val="00380FFB"/>
    <w:rsid w:val="00381032"/>
    <w:rsid w:val="00381A16"/>
    <w:rsid w:val="00381E42"/>
    <w:rsid w:val="00382164"/>
    <w:rsid w:val="003827AE"/>
    <w:rsid w:val="00382BAE"/>
    <w:rsid w:val="00382BDF"/>
    <w:rsid w:val="00382EC5"/>
    <w:rsid w:val="00383371"/>
    <w:rsid w:val="003834BA"/>
    <w:rsid w:val="003835F3"/>
    <w:rsid w:val="00383ED4"/>
    <w:rsid w:val="003845D3"/>
    <w:rsid w:val="00384ADC"/>
    <w:rsid w:val="00385C4C"/>
    <w:rsid w:val="00386308"/>
    <w:rsid w:val="003877EA"/>
    <w:rsid w:val="003914F8"/>
    <w:rsid w:val="00391AD9"/>
    <w:rsid w:val="00391E8C"/>
    <w:rsid w:val="003933CF"/>
    <w:rsid w:val="00394E04"/>
    <w:rsid w:val="003960F7"/>
    <w:rsid w:val="00396C6B"/>
    <w:rsid w:val="00397D6A"/>
    <w:rsid w:val="003A0854"/>
    <w:rsid w:val="003A0AD9"/>
    <w:rsid w:val="003A1B84"/>
    <w:rsid w:val="003A22D4"/>
    <w:rsid w:val="003A2323"/>
    <w:rsid w:val="003A25D2"/>
    <w:rsid w:val="003A3E41"/>
    <w:rsid w:val="003A4AC3"/>
    <w:rsid w:val="003A4B89"/>
    <w:rsid w:val="003A6187"/>
    <w:rsid w:val="003A6349"/>
    <w:rsid w:val="003A6AA0"/>
    <w:rsid w:val="003A724B"/>
    <w:rsid w:val="003A753B"/>
    <w:rsid w:val="003A7EDC"/>
    <w:rsid w:val="003B0938"/>
    <w:rsid w:val="003B184D"/>
    <w:rsid w:val="003B2BEB"/>
    <w:rsid w:val="003B3871"/>
    <w:rsid w:val="003B3ABA"/>
    <w:rsid w:val="003B4399"/>
    <w:rsid w:val="003B48B6"/>
    <w:rsid w:val="003B759F"/>
    <w:rsid w:val="003C051B"/>
    <w:rsid w:val="003C1B78"/>
    <w:rsid w:val="003C1EBB"/>
    <w:rsid w:val="003C2161"/>
    <w:rsid w:val="003C21D8"/>
    <w:rsid w:val="003C2645"/>
    <w:rsid w:val="003C48EF"/>
    <w:rsid w:val="003C4997"/>
    <w:rsid w:val="003C4D84"/>
    <w:rsid w:val="003C5A40"/>
    <w:rsid w:val="003C671B"/>
    <w:rsid w:val="003C6BBE"/>
    <w:rsid w:val="003C7399"/>
    <w:rsid w:val="003D0557"/>
    <w:rsid w:val="003D0654"/>
    <w:rsid w:val="003D0D03"/>
    <w:rsid w:val="003D18A1"/>
    <w:rsid w:val="003D1A58"/>
    <w:rsid w:val="003D2E16"/>
    <w:rsid w:val="003D325A"/>
    <w:rsid w:val="003D3288"/>
    <w:rsid w:val="003D3AF8"/>
    <w:rsid w:val="003D45CD"/>
    <w:rsid w:val="003D68A1"/>
    <w:rsid w:val="003D6DA2"/>
    <w:rsid w:val="003D6F2F"/>
    <w:rsid w:val="003D724E"/>
    <w:rsid w:val="003E16E5"/>
    <w:rsid w:val="003E1BCC"/>
    <w:rsid w:val="003E25C1"/>
    <w:rsid w:val="003E2728"/>
    <w:rsid w:val="003E293F"/>
    <w:rsid w:val="003E2D65"/>
    <w:rsid w:val="003E4260"/>
    <w:rsid w:val="003E4F3E"/>
    <w:rsid w:val="003E566F"/>
    <w:rsid w:val="003E58E7"/>
    <w:rsid w:val="003E6A75"/>
    <w:rsid w:val="003F02C1"/>
    <w:rsid w:val="003F0615"/>
    <w:rsid w:val="003F13E6"/>
    <w:rsid w:val="003F14BA"/>
    <w:rsid w:val="003F3097"/>
    <w:rsid w:val="003F5266"/>
    <w:rsid w:val="003F54D5"/>
    <w:rsid w:val="003F5981"/>
    <w:rsid w:val="003F644C"/>
    <w:rsid w:val="003F7507"/>
    <w:rsid w:val="003F759D"/>
    <w:rsid w:val="003F7D20"/>
    <w:rsid w:val="003F7FAF"/>
    <w:rsid w:val="00400981"/>
    <w:rsid w:val="0040196C"/>
    <w:rsid w:val="00401E1F"/>
    <w:rsid w:val="00401F37"/>
    <w:rsid w:val="004024A4"/>
    <w:rsid w:val="0040257D"/>
    <w:rsid w:val="00402BAC"/>
    <w:rsid w:val="004032B6"/>
    <w:rsid w:val="00403B76"/>
    <w:rsid w:val="0040575D"/>
    <w:rsid w:val="00405D4E"/>
    <w:rsid w:val="00405FE9"/>
    <w:rsid w:val="004064E8"/>
    <w:rsid w:val="00406C61"/>
    <w:rsid w:val="00407207"/>
    <w:rsid w:val="00410C52"/>
    <w:rsid w:val="00412749"/>
    <w:rsid w:val="004133B2"/>
    <w:rsid w:val="00413CA3"/>
    <w:rsid w:val="004141AE"/>
    <w:rsid w:val="00414F11"/>
    <w:rsid w:val="00416428"/>
    <w:rsid w:val="00416F56"/>
    <w:rsid w:val="00417E71"/>
    <w:rsid w:val="00420537"/>
    <w:rsid w:val="00420771"/>
    <w:rsid w:val="00420B77"/>
    <w:rsid w:val="00420F57"/>
    <w:rsid w:val="00420F5E"/>
    <w:rsid w:val="00421550"/>
    <w:rsid w:val="00421839"/>
    <w:rsid w:val="00423FFF"/>
    <w:rsid w:val="004249BE"/>
    <w:rsid w:val="00424E9E"/>
    <w:rsid w:val="0042638A"/>
    <w:rsid w:val="004265F0"/>
    <w:rsid w:val="004271D1"/>
    <w:rsid w:val="00430085"/>
    <w:rsid w:val="004308FC"/>
    <w:rsid w:val="0043108B"/>
    <w:rsid w:val="00431097"/>
    <w:rsid w:val="00431BDD"/>
    <w:rsid w:val="00431ED3"/>
    <w:rsid w:val="004331F0"/>
    <w:rsid w:val="00433E75"/>
    <w:rsid w:val="00434873"/>
    <w:rsid w:val="00434E5D"/>
    <w:rsid w:val="004356D3"/>
    <w:rsid w:val="00437653"/>
    <w:rsid w:val="004376EF"/>
    <w:rsid w:val="00441357"/>
    <w:rsid w:val="004413AF"/>
    <w:rsid w:val="00441B52"/>
    <w:rsid w:val="004424EB"/>
    <w:rsid w:val="004426B2"/>
    <w:rsid w:val="00442AF0"/>
    <w:rsid w:val="00444409"/>
    <w:rsid w:val="004469EA"/>
    <w:rsid w:val="00447FAC"/>
    <w:rsid w:val="00450404"/>
    <w:rsid w:val="004504FD"/>
    <w:rsid w:val="00452189"/>
    <w:rsid w:val="0045385E"/>
    <w:rsid w:val="00453B69"/>
    <w:rsid w:val="004541B2"/>
    <w:rsid w:val="004549AC"/>
    <w:rsid w:val="00454D40"/>
    <w:rsid w:val="00455502"/>
    <w:rsid w:val="00455865"/>
    <w:rsid w:val="00455F09"/>
    <w:rsid w:val="0045702C"/>
    <w:rsid w:val="0046042E"/>
    <w:rsid w:val="004607A7"/>
    <w:rsid w:val="00460AD9"/>
    <w:rsid w:val="0046531B"/>
    <w:rsid w:val="00465622"/>
    <w:rsid w:val="00465F85"/>
    <w:rsid w:val="004661FB"/>
    <w:rsid w:val="004677FB"/>
    <w:rsid w:val="004710C1"/>
    <w:rsid w:val="00471E14"/>
    <w:rsid w:val="004751CC"/>
    <w:rsid w:val="00476669"/>
    <w:rsid w:val="0047694E"/>
    <w:rsid w:val="004772D7"/>
    <w:rsid w:val="00477CA1"/>
    <w:rsid w:val="004802FA"/>
    <w:rsid w:val="004816A5"/>
    <w:rsid w:val="0048201B"/>
    <w:rsid w:val="004832EA"/>
    <w:rsid w:val="00483410"/>
    <w:rsid w:val="0048524A"/>
    <w:rsid w:val="00485F6C"/>
    <w:rsid w:val="00486628"/>
    <w:rsid w:val="00487993"/>
    <w:rsid w:val="00487EEB"/>
    <w:rsid w:val="004913B3"/>
    <w:rsid w:val="0049157A"/>
    <w:rsid w:val="00491D3C"/>
    <w:rsid w:val="00491E6D"/>
    <w:rsid w:val="00493155"/>
    <w:rsid w:val="004931CE"/>
    <w:rsid w:val="00493728"/>
    <w:rsid w:val="0049393E"/>
    <w:rsid w:val="00493CCD"/>
    <w:rsid w:val="00493E72"/>
    <w:rsid w:val="00494253"/>
    <w:rsid w:val="004945BF"/>
    <w:rsid w:val="004948F7"/>
    <w:rsid w:val="004972A3"/>
    <w:rsid w:val="00497517"/>
    <w:rsid w:val="00497896"/>
    <w:rsid w:val="004A0308"/>
    <w:rsid w:val="004A0969"/>
    <w:rsid w:val="004A138A"/>
    <w:rsid w:val="004A2392"/>
    <w:rsid w:val="004A2A41"/>
    <w:rsid w:val="004A3585"/>
    <w:rsid w:val="004A37F4"/>
    <w:rsid w:val="004A4827"/>
    <w:rsid w:val="004A6462"/>
    <w:rsid w:val="004A64FF"/>
    <w:rsid w:val="004A6AEE"/>
    <w:rsid w:val="004B1344"/>
    <w:rsid w:val="004B38E4"/>
    <w:rsid w:val="004B41DC"/>
    <w:rsid w:val="004B45DA"/>
    <w:rsid w:val="004B4880"/>
    <w:rsid w:val="004B5308"/>
    <w:rsid w:val="004B55D5"/>
    <w:rsid w:val="004B5CA0"/>
    <w:rsid w:val="004B602B"/>
    <w:rsid w:val="004B6559"/>
    <w:rsid w:val="004B722A"/>
    <w:rsid w:val="004C061F"/>
    <w:rsid w:val="004C11F9"/>
    <w:rsid w:val="004C38BE"/>
    <w:rsid w:val="004C397B"/>
    <w:rsid w:val="004C3EB8"/>
    <w:rsid w:val="004C46BD"/>
    <w:rsid w:val="004C53A9"/>
    <w:rsid w:val="004C6CC2"/>
    <w:rsid w:val="004C6E8F"/>
    <w:rsid w:val="004C7E6B"/>
    <w:rsid w:val="004D0BA6"/>
    <w:rsid w:val="004D32CA"/>
    <w:rsid w:val="004D4172"/>
    <w:rsid w:val="004D4B86"/>
    <w:rsid w:val="004D5A84"/>
    <w:rsid w:val="004D7147"/>
    <w:rsid w:val="004D7925"/>
    <w:rsid w:val="004D7F92"/>
    <w:rsid w:val="004E038F"/>
    <w:rsid w:val="004E065D"/>
    <w:rsid w:val="004E1596"/>
    <w:rsid w:val="004E1E4B"/>
    <w:rsid w:val="004E2117"/>
    <w:rsid w:val="004E3E7B"/>
    <w:rsid w:val="004E4739"/>
    <w:rsid w:val="004E4DFE"/>
    <w:rsid w:val="004E5051"/>
    <w:rsid w:val="004E51FC"/>
    <w:rsid w:val="004E63E4"/>
    <w:rsid w:val="004F1B8A"/>
    <w:rsid w:val="004F1D4B"/>
    <w:rsid w:val="004F2F77"/>
    <w:rsid w:val="004F47EA"/>
    <w:rsid w:val="004F4C2B"/>
    <w:rsid w:val="004F54E2"/>
    <w:rsid w:val="004F5655"/>
    <w:rsid w:val="004F594C"/>
    <w:rsid w:val="004F62AF"/>
    <w:rsid w:val="004F6C1D"/>
    <w:rsid w:val="004F755A"/>
    <w:rsid w:val="004F78A1"/>
    <w:rsid w:val="005010AD"/>
    <w:rsid w:val="00501750"/>
    <w:rsid w:val="00502E71"/>
    <w:rsid w:val="00504660"/>
    <w:rsid w:val="00504875"/>
    <w:rsid w:val="00505E22"/>
    <w:rsid w:val="00510DCF"/>
    <w:rsid w:val="00511839"/>
    <w:rsid w:val="00511B24"/>
    <w:rsid w:val="00514AB1"/>
    <w:rsid w:val="00515677"/>
    <w:rsid w:val="0051575A"/>
    <w:rsid w:val="00515CA1"/>
    <w:rsid w:val="00516056"/>
    <w:rsid w:val="00516665"/>
    <w:rsid w:val="00517646"/>
    <w:rsid w:val="0052028C"/>
    <w:rsid w:val="00520C57"/>
    <w:rsid w:val="00521A6B"/>
    <w:rsid w:val="00521F76"/>
    <w:rsid w:val="005227BD"/>
    <w:rsid w:val="00523B6B"/>
    <w:rsid w:val="005246C3"/>
    <w:rsid w:val="00526276"/>
    <w:rsid w:val="0052653A"/>
    <w:rsid w:val="0052721D"/>
    <w:rsid w:val="005301AB"/>
    <w:rsid w:val="0053033D"/>
    <w:rsid w:val="00530556"/>
    <w:rsid w:val="00531000"/>
    <w:rsid w:val="0053131C"/>
    <w:rsid w:val="00532492"/>
    <w:rsid w:val="00532D9E"/>
    <w:rsid w:val="00532F5A"/>
    <w:rsid w:val="005355A1"/>
    <w:rsid w:val="00535A6B"/>
    <w:rsid w:val="00535EB1"/>
    <w:rsid w:val="005368AD"/>
    <w:rsid w:val="00537794"/>
    <w:rsid w:val="00537D2B"/>
    <w:rsid w:val="00537FFB"/>
    <w:rsid w:val="00540F8E"/>
    <w:rsid w:val="00541A99"/>
    <w:rsid w:val="00542FDF"/>
    <w:rsid w:val="005437C2"/>
    <w:rsid w:val="005445AE"/>
    <w:rsid w:val="005469EB"/>
    <w:rsid w:val="00546A3F"/>
    <w:rsid w:val="00547010"/>
    <w:rsid w:val="00547910"/>
    <w:rsid w:val="00550B30"/>
    <w:rsid w:val="005511C7"/>
    <w:rsid w:val="00552EAC"/>
    <w:rsid w:val="0055339C"/>
    <w:rsid w:val="00553F2C"/>
    <w:rsid w:val="005544FA"/>
    <w:rsid w:val="005544FD"/>
    <w:rsid w:val="00557E2F"/>
    <w:rsid w:val="0056038A"/>
    <w:rsid w:val="0056066F"/>
    <w:rsid w:val="0056070F"/>
    <w:rsid w:val="0056205C"/>
    <w:rsid w:val="00562B71"/>
    <w:rsid w:val="00564208"/>
    <w:rsid w:val="00565026"/>
    <w:rsid w:val="0056579C"/>
    <w:rsid w:val="0057034F"/>
    <w:rsid w:val="00573082"/>
    <w:rsid w:val="0057485E"/>
    <w:rsid w:val="00574E45"/>
    <w:rsid w:val="00575C40"/>
    <w:rsid w:val="00576988"/>
    <w:rsid w:val="005775C7"/>
    <w:rsid w:val="005776F5"/>
    <w:rsid w:val="0058011A"/>
    <w:rsid w:val="0058070B"/>
    <w:rsid w:val="00582F08"/>
    <w:rsid w:val="0058347E"/>
    <w:rsid w:val="00583B2D"/>
    <w:rsid w:val="0058480D"/>
    <w:rsid w:val="00584EC2"/>
    <w:rsid w:val="00584FB1"/>
    <w:rsid w:val="0058778A"/>
    <w:rsid w:val="005902E0"/>
    <w:rsid w:val="0059094E"/>
    <w:rsid w:val="00590D96"/>
    <w:rsid w:val="0059368D"/>
    <w:rsid w:val="00595153"/>
    <w:rsid w:val="00595183"/>
    <w:rsid w:val="0059614F"/>
    <w:rsid w:val="005976C6"/>
    <w:rsid w:val="00597A5A"/>
    <w:rsid w:val="005A022E"/>
    <w:rsid w:val="005A21CA"/>
    <w:rsid w:val="005A242B"/>
    <w:rsid w:val="005A277A"/>
    <w:rsid w:val="005A2CB3"/>
    <w:rsid w:val="005A315C"/>
    <w:rsid w:val="005A37EA"/>
    <w:rsid w:val="005A45B7"/>
    <w:rsid w:val="005A5CD4"/>
    <w:rsid w:val="005A6445"/>
    <w:rsid w:val="005A7048"/>
    <w:rsid w:val="005B0160"/>
    <w:rsid w:val="005B0911"/>
    <w:rsid w:val="005B40EE"/>
    <w:rsid w:val="005B4363"/>
    <w:rsid w:val="005B4AA3"/>
    <w:rsid w:val="005B510D"/>
    <w:rsid w:val="005B5359"/>
    <w:rsid w:val="005B5872"/>
    <w:rsid w:val="005B657D"/>
    <w:rsid w:val="005B6A34"/>
    <w:rsid w:val="005B6C1C"/>
    <w:rsid w:val="005B7C9D"/>
    <w:rsid w:val="005C0999"/>
    <w:rsid w:val="005C1235"/>
    <w:rsid w:val="005C34A5"/>
    <w:rsid w:val="005C3E06"/>
    <w:rsid w:val="005C4A53"/>
    <w:rsid w:val="005C4F54"/>
    <w:rsid w:val="005C5E11"/>
    <w:rsid w:val="005C7814"/>
    <w:rsid w:val="005C7E61"/>
    <w:rsid w:val="005D13FA"/>
    <w:rsid w:val="005D14BF"/>
    <w:rsid w:val="005D1A9A"/>
    <w:rsid w:val="005D273A"/>
    <w:rsid w:val="005D293B"/>
    <w:rsid w:val="005D4D4C"/>
    <w:rsid w:val="005D5AAC"/>
    <w:rsid w:val="005D68DF"/>
    <w:rsid w:val="005D6D88"/>
    <w:rsid w:val="005D7AF3"/>
    <w:rsid w:val="005E0548"/>
    <w:rsid w:val="005E0B61"/>
    <w:rsid w:val="005E172D"/>
    <w:rsid w:val="005E2B71"/>
    <w:rsid w:val="005E2FBE"/>
    <w:rsid w:val="005E3147"/>
    <w:rsid w:val="005E34A3"/>
    <w:rsid w:val="005E3C38"/>
    <w:rsid w:val="005E40BA"/>
    <w:rsid w:val="005E50C2"/>
    <w:rsid w:val="005E5D27"/>
    <w:rsid w:val="005E5D82"/>
    <w:rsid w:val="005E713E"/>
    <w:rsid w:val="005E78F0"/>
    <w:rsid w:val="005E7AB0"/>
    <w:rsid w:val="005F0467"/>
    <w:rsid w:val="005F0E50"/>
    <w:rsid w:val="005F1445"/>
    <w:rsid w:val="005F1AD2"/>
    <w:rsid w:val="005F1EAD"/>
    <w:rsid w:val="005F31CC"/>
    <w:rsid w:val="005F3ECD"/>
    <w:rsid w:val="005F3F44"/>
    <w:rsid w:val="005F64A3"/>
    <w:rsid w:val="005F65EE"/>
    <w:rsid w:val="005F7012"/>
    <w:rsid w:val="005F7042"/>
    <w:rsid w:val="005F70DE"/>
    <w:rsid w:val="005F7757"/>
    <w:rsid w:val="005F7995"/>
    <w:rsid w:val="006012D8"/>
    <w:rsid w:val="00602F5C"/>
    <w:rsid w:val="00604773"/>
    <w:rsid w:val="00604E17"/>
    <w:rsid w:val="00605849"/>
    <w:rsid w:val="00606C61"/>
    <w:rsid w:val="006070CE"/>
    <w:rsid w:val="0060780E"/>
    <w:rsid w:val="0061039F"/>
    <w:rsid w:val="00610623"/>
    <w:rsid w:val="00611653"/>
    <w:rsid w:val="00611672"/>
    <w:rsid w:val="006119D9"/>
    <w:rsid w:val="00611C38"/>
    <w:rsid w:val="00613669"/>
    <w:rsid w:val="00615EF0"/>
    <w:rsid w:val="00620DCD"/>
    <w:rsid w:val="00620E57"/>
    <w:rsid w:val="006212E1"/>
    <w:rsid w:val="006219E2"/>
    <w:rsid w:val="006222F2"/>
    <w:rsid w:val="00622E46"/>
    <w:rsid w:val="00623C46"/>
    <w:rsid w:val="00624F64"/>
    <w:rsid w:val="00625522"/>
    <w:rsid w:val="00625602"/>
    <w:rsid w:val="006263F5"/>
    <w:rsid w:val="00627C98"/>
    <w:rsid w:val="006303E3"/>
    <w:rsid w:val="00630B31"/>
    <w:rsid w:val="006316E2"/>
    <w:rsid w:val="006325B0"/>
    <w:rsid w:val="00632A7A"/>
    <w:rsid w:val="006345A7"/>
    <w:rsid w:val="00634AB3"/>
    <w:rsid w:val="00634CF1"/>
    <w:rsid w:val="006379A4"/>
    <w:rsid w:val="00640069"/>
    <w:rsid w:val="0064189B"/>
    <w:rsid w:val="00641A54"/>
    <w:rsid w:val="00642695"/>
    <w:rsid w:val="0064340A"/>
    <w:rsid w:val="00643DDA"/>
    <w:rsid w:val="00644798"/>
    <w:rsid w:val="0064624E"/>
    <w:rsid w:val="00650967"/>
    <w:rsid w:val="00650D26"/>
    <w:rsid w:val="00651AA6"/>
    <w:rsid w:val="00651C90"/>
    <w:rsid w:val="00654797"/>
    <w:rsid w:val="006548FF"/>
    <w:rsid w:val="00654D96"/>
    <w:rsid w:val="00655630"/>
    <w:rsid w:val="00655988"/>
    <w:rsid w:val="0065664D"/>
    <w:rsid w:val="006569A5"/>
    <w:rsid w:val="00661A29"/>
    <w:rsid w:val="006631B5"/>
    <w:rsid w:val="006643F8"/>
    <w:rsid w:val="0066522F"/>
    <w:rsid w:val="00665772"/>
    <w:rsid w:val="006702C6"/>
    <w:rsid w:val="00670504"/>
    <w:rsid w:val="00670D42"/>
    <w:rsid w:val="006711B8"/>
    <w:rsid w:val="00671A4F"/>
    <w:rsid w:val="00673E5F"/>
    <w:rsid w:val="0067423A"/>
    <w:rsid w:val="00674CD5"/>
    <w:rsid w:val="00676168"/>
    <w:rsid w:val="0067792A"/>
    <w:rsid w:val="00677A5D"/>
    <w:rsid w:val="00680798"/>
    <w:rsid w:val="00680870"/>
    <w:rsid w:val="006832CD"/>
    <w:rsid w:val="006833ED"/>
    <w:rsid w:val="00684BC4"/>
    <w:rsid w:val="0068521C"/>
    <w:rsid w:val="0068523E"/>
    <w:rsid w:val="00686494"/>
    <w:rsid w:val="0068653D"/>
    <w:rsid w:val="00690015"/>
    <w:rsid w:val="0069043C"/>
    <w:rsid w:val="006910BB"/>
    <w:rsid w:val="006913B9"/>
    <w:rsid w:val="00691722"/>
    <w:rsid w:val="00691AA9"/>
    <w:rsid w:val="006925C4"/>
    <w:rsid w:val="00693441"/>
    <w:rsid w:val="0069473D"/>
    <w:rsid w:val="0069523A"/>
    <w:rsid w:val="00696184"/>
    <w:rsid w:val="00696451"/>
    <w:rsid w:val="00696D4A"/>
    <w:rsid w:val="00697462"/>
    <w:rsid w:val="006A193A"/>
    <w:rsid w:val="006A1AC8"/>
    <w:rsid w:val="006A38CA"/>
    <w:rsid w:val="006A3CD2"/>
    <w:rsid w:val="006A3F17"/>
    <w:rsid w:val="006A4E1D"/>
    <w:rsid w:val="006A5063"/>
    <w:rsid w:val="006A67A7"/>
    <w:rsid w:val="006B02AD"/>
    <w:rsid w:val="006B167B"/>
    <w:rsid w:val="006B18CB"/>
    <w:rsid w:val="006B22B9"/>
    <w:rsid w:val="006B25DB"/>
    <w:rsid w:val="006B5EC5"/>
    <w:rsid w:val="006B6C28"/>
    <w:rsid w:val="006B6F72"/>
    <w:rsid w:val="006B71E2"/>
    <w:rsid w:val="006C0606"/>
    <w:rsid w:val="006C08B8"/>
    <w:rsid w:val="006C2F93"/>
    <w:rsid w:val="006C318B"/>
    <w:rsid w:val="006C3353"/>
    <w:rsid w:val="006C3471"/>
    <w:rsid w:val="006C3C08"/>
    <w:rsid w:val="006C4186"/>
    <w:rsid w:val="006C4202"/>
    <w:rsid w:val="006C4606"/>
    <w:rsid w:val="006C562A"/>
    <w:rsid w:val="006C7610"/>
    <w:rsid w:val="006C7BAE"/>
    <w:rsid w:val="006C7E4E"/>
    <w:rsid w:val="006D0437"/>
    <w:rsid w:val="006D2206"/>
    <w:rsid w:val="006D28FF"/>
    <w:rsid w:val="006D5A29"/>
    <w:rsid w:val="006D5E59"/>
    <w:rsid w:val="006D64D0"/>
    <w:rsid w:val="006D723F"/>
    <w:rsid w:val="006D7A68"/>
    <w:rsid w:val="006E04EA"/>
    <w:rsid w:val="006E126B"/>
    <w:rsid w:val="006E150F"/>
    <w:rsid w:val="006E2443"/>
    <w:rsid w:val="006E3576"/>
    <w:rsid w:val="006E3924"/>
    <w:rsid w:val="006E5658"/>
    <w:rsid w:val="006E5913"/>
    <w:rsid w:val="006E5C46"/>
    <w:rsid w:val="006E5EB1"/>
    <w:rsid w:val="006E6CC4"/>
    <w:rsid w:val="006E6FE6"/>
    <w:rsid w:val="006E7760"/>
    <w:rsid w:val="006E798D"/>
    <w:rsid w:val="006F019A"/>
    <w:rsid w:val="006F0500"/>
    <w:rsid w:val="006F0ED4"/>
    <w:rsid w:val="006F0F10"/>
    <w:rsid w:val="006F1055"/>
    <w:rsid w:val="006F2369"/>
    <w:rsid w:val="006F24B8"/>
    <w:rsid w:val="006F2B69"/>
    <w:rsid w:val="006F2F76"/>
    <w:rsid w:val="006F4D3E"/>
    <w:rsid w:val="006F646A"/>
    <w:rsid w:val="006F7275"/>
    <w:rsid w:val="006F79FC"/>
    <w:rsid w:val="007001F3"/>
    <w:rsid w:val="00700264"/>
    <w:rsid w:val="00700515"/>
    <w:rsid w:val="0070087B"/>
    <w:rsid w:val="007010D4"/>
    <w:rsid w:val="00701393"/>
    <w:rsid w:val="0070191A"/>
    <w:rsid w:val="00703FEA"/>
    <w:rsid w:val="0070459C"/>
    <w:rsid w:val="007075A2"/>
    <w:rsid w:val="0071035B"/>
    <w:rsid w:val="00710B22"/>
    <w:rsid w:val="00711BE3"/>
    <w:rsid w:val="00713C04"/>
    <w:rsid w:val="00714458"/>
    <w:rsid w:val="00714763"/>
    <w:rsid w:val="00716B7B"/>
    <w:rsid w:val="00720458"/>
    <w:rsid w:val="00720A18"/>
    <w:rsid w:val="00720DEC"/>
    <w:rsid w:val="00720E23"/>
    <w:rsid w:val="00721D6C"/>
    <w:rsid w:val="00721FFD"/>
    <w:rsid w:val="00722B7B"/>
    <w:rsid w:val="00723DD2"/>
    <w:rsid w:val="007251D6"/>
    <w:rsid w:val="007260BF"/>
    <w:rsid w:val="00726910"/>
    <w:rsid w:val="00727995"/>
    <w:rsid w:val="00731180"/>
    <w:rsid w:val="007312F6"/>
    <w:rsid w:val="00731780"/>
    <w:rsid w:val="00731C1C"/>
    <w:rsid w:val="00733C61"/>
    <w:rsid w:val="00735E44"/>
    <w:rsid w:val="007360AB"/>
    <w:rsid w:val="007373E1"/>
    <w:rsid w:val="007378CD"/>
    <w:rsid w:val="00737AC8"/>
    <w:rsid w:val="00740ECD"/>
    <w:rsid w:val="007412C8"/>
    <w:rsid w:val="007419AA"/>
    <w:rsid w:val="00741BFD"/>
    <w:rsid w:val="007452BD"/>
    <w:rsid w:val="00745E00"/>
    <w:rsid w:val="00746D29"/>
    <w:rsid w:val="00747010"/>
    <w:rsid w:val="0074731B"/>
    <w:rsid w:val="0074736D"/>
    <w:rsid w:val="0074738C"/>
    <w:rsid w:val="007501EE"/>
    <w:rsid w:val="00751869"/>
    <w:rsid w:val="00752795"/>
    <w:rsid w:val="00753BA8"/>
    <w:rsid w:val="007562F6"/>
    <w:rsid w:val="00757F96"/>
    <w:rsid w:val="0076031B"/>
    <w:rsid w:val="007604A0"/>
    <w:rsid w:val="00760A26"/>
    <w:rsid w:val="00761DDB"/>
    <w:rsid w:val="0076248A"/>
    <w:rsid w:val="00763A64"/>
    <w:rsid w:val="00763F79"/>
    <w:rsid w:val="007644DF"/>
    <w:rsid w:val="00766C13"/>
    <w:rsid w:val="007677EC"/>
    <w:rsid w:val="0077028B"/>
    <w:rsid w:val="00770430"/>
    <w:rsid w:val="00770C86"/>
    <w:rsid w:val="0077189E"/>
    <w:rsid w:val="0077211E"/>
    <w:rsid w:val="00772344"/>
    <w:rsid w:val="00772912"/>
    <w:rsid w:val="00772ADC"/>
    <w:rsid w:val="00774991"/>
    <w:rsid w:val="00774B7F"/>
    <w:rsid w:val="00774F21"/>
    <w:rsid w:val="00775B9F"/>
    <w:rsid w:val="007762F4"/>
    <w:rsid w:val="007773D8"/>
    <w:rsid w:val="00777612"/>
    <w:rsid w:val="00780F59"/>
    <w:rsid w:val="00781100"/>
    <w:rsid w:val="00781BA7"/>
    <w:rsid w:val="00782106"/>
    <w:rsid w:val="007829D5"/>
    <w:rsid w:val="00783102"/>
    <w:rsid w:val="00784161"/>
    <w:rsid w:val="00785D07"/>
    <w:rsid w:val="00786412"/>
    <w:rsid w:val="0079058F"/>
    <w:rsid w:val="00790769"/>
    <w:rsid w:val="007916B4"/>
    <w:rsid w:val="00792182"/>
    <w:rsid w:val="00792B2B"/>
    <w:rsid w:val="00792DFB"/>
    <w:rsid w:val="00793942"/>
    <w:rsid w:val="00794B29"/>
    <w:rsid w:val="00797299"/>
    <w:rsid w:val="007A030D"/>
    <w:rsid w:val="007A05D7"/>
    <w:rsid w:val="007A0D8E"/>
    <w:rsid w:val="007A16CE"/>
    <w:rsid w:val="007A2F4D"/>
    <w:rsid w:val="007A4380"/>
    <w:rsid w:val="007A4774"/>
    <w:rsid w:val="007A76D9"/>
    <w:rsid w:val="007A7F20"/>
    <w:rsid w:val="007B073E"/>
    <w:rsid w:val="007B0AB1"/>
    <w:rsid w:val="007B22AC"/>
    <w:rsid w:val="007B5174"/>
    <w:rsid w:val="007B6A29"/>
    <w:rsid w:val="007B6E12"/>
    <w:rsid w:val="007B7DCC"/>
    <w:rsid w:val="007C1117"/>
    <w:rsid w:val="007C2437"/>
    <w:rsid w:val="007C2965"/>
    <w:rsid w:val="007C38AE"/>
    <w:rsid w:val="007C45FF"/>
    <w:rsid w:val="007C5546"/>
    <w:rsid w:val="007C576B"/>
    <w:rsid w:val="007C74B6"/>
    <w:rsid w:val="007C7547"/>
    <w:rsid w:val="007C7F97"/>
    <w:rsid w:val="007D13CE"/>
    <w:rsid w:val="007D154C"/>
    <w:rsid w:val="007D1EE7"/>
    <w:rsid w:val="007D34A7"/>
    <w:rsid w:val="007D35C3"/>
    <w:rsid w:val="007D4799"/>
    <w:rsid w:val="007D4B86"/>
    <w:rsid w:val="007D5432"/>
    <w:rsid w:val="007D56D8"/>
    <w:rsid w:val="007D5CDB"/>
    <w:rsid w:val="007D5E15"/>
    <w:rsid w:val="007D5F57"/>
    <w:rsid w:val="007D6064"/>
    <w:rsid w:val="007D6100"/>
    <w:rsid w:val="007D6FC3"/>
    <w:rsid w:val="007E02CF"/>
    <w:rsid w:val="007E0B68"/>
    <w:rsid w:val="007E13AF"/>
    <w:rsid w:val="007E2DAB"/>
    <w:rsid w:val="007E4239"/>
    <w:rsid w:val="007E47D7"/>
    <w:rsid w:val="007E4826"/>
    <w:rsid w:val="007E4D62"/>
    <w:rsid w:val="007E50BE"/>
    <w:rsid w:val="007E52E2"/>
    <w:rsid w:val="007E5498"/>
    <w:rsid w:val="007E6074"/>
    <w:rsid w:val="007E72D3"/>
    <w:rsid w:val="007E7F51"/>
    <w:rsid w:val="007F0029"/>
    <w:rsid w:val="007F01F2"/>
    <w:rsid w:val="007F1772"/>
    <w:rsid w:val="007F185F"/>
    <w:rsid w:val="007F20B7"/>
    <w:rsid w:val="007F302A"/>
    <w:rsid w:val="007F3ED9"/>
    <w:rsid w:val="007F4AF2"/>
    <w:rsid w:val="007F51D7"/>
    <w:rsid w:val="007F56A6"/>
    <w:rsid w:val="007F7A01"/>
    <w:rsid w:val="0080038D"/>
    <w:rsid w:val="0080046D"/>
    <w:rsid w:val="0080083C"/>
    <w:rsid w:val="008012AF"/>
    <w:rsid w:val="00802621"/>
    <w:rsid w:val="00803659"/>
    <w:rsid w:val="00805418"/>
    <w:rsid w:val="00805A48"/>
    <w:rsid w:val="00805B0C"/>
    <w:rsid w:val="00806C31"/>
    <w:rsid w:val="0080727C"/>
    <w:rsid w:val="00807472"/>
    <w:rsid w:val="008107FB"/>
    <w:rsid w:val="0081119E"/>
    <w:rsid w:val="0081134B"/>
    <w:rsid w:val="008113DD"/>
    <w:rsid w:val="008116A0"/>
    <w:rsid w:val="00811ADF"/>
    <w:rsid w:val="00812F33"/>
    <w:rsid w:val="00814000"/>
    <w:rsid w:val="00814B16"/>
    <w:rsid w:val="00814E03"/>
    <w:rsid w:val="008150A0"/>
    <w:rsid w:val="00816843"/>
    <w:rsid w:val="00816FA2"/>
    <w:rsid w:val="0081761A"/>
    <w:rsid w:val="00817A53"/>
    <w:rsid w:val="00817FE5"/>
    <w:rsid w:val="00821182"/>
    <w:rsid w:val="00821625"/>
    <w:rsid w:val="00821AD9"/>
    <w:rsid w:val="00822CAA"/>
    <w:rsid w:val="00827749"/>
    <w:rsid w:val="00833084"/>
    <w:rsid w:val="00833A3F"/>
    <w:rsid w:val="00834159"/>
    <w:rsid w:val="008345C3"/>
    <w:rsid w:val="008354E9"/>
    <w:rsid w:val="00835575"/>
    <w:rsid w:val="00835AF5"/>
    <w:rsid w:val="008361E3"/>
    <w:rsid w:val="00836A03"/>
    <w:rsid w:val="00837314"/>
    <w:rsid w:val="008376A2"/>
    <w:rsid w:val="0084056C"/>
    <w:rsid w:val="00840723"/>
    <w:rsid w:val="00840FC4"/>
    <w:rsid w:val="00841643"/>
    <w:rsid w:val="008429A9"/>
    <w:rsid w:val="00842ADF"/>
    <w:rsid w:val="0084446B"/>
    <w:rsid w:val="00844F35"/>
    <w:rsid w:val="00846196"/>
    <w:rsid w:val="008461C8"/>
    <w:rsid w:val="0084683D"/>
    <w:rsid w:val="00847262"/>
    <w:rsid w:val="0084798C"/>
    <w:rsid w:val="00847C25"/>
    <w:rsid w:val="0085003B"/>
    <w:rsid w:val="00850F24"/>
    <w:rsid w:val="00850F58"/>
    <w:rsid w:val="00851899"/>
    <w:rsid w:val="00851AC5"/>
    <w:rsid w:val="00851DCA"/>
    <w:rsid w:val="008520F4"/>
    <w:rsid w:val="00852B1F"/>
    <w:rsid w:val="00855469"/>
    <w:rsid w:val="00856336"/>
    <w:rsid w:val="0085671C"/>
    <w:rsid w:val="00856834"/>
    <w:rsid w:val="008571E8"/>
    <w:rsid w:val="00857E32"/>
    <w:rsid w:val="008603BD"/>
    <w:rsid w:val="00860533"/>
    <w:rsid w:val="00860831"/>
    <w:rsid w:val="0086213A"/>
    <w:rsid w:val="00862EA6"/>
    <w:rsid w:val="00863348"/>
    <w:rsid w:val="0086358A"/>
    <w:rsid w:val="008639E4"/>
    <w:rsid w:val="00863FBC"/>
    <w:rsid w:val="008650A5"/>
    <w:rsid w:val="008654AC"/>
    <w:rsid w:val="008663EB"/>
    <w:rsid w:val="0086785E"/>
    <w:rsid w:val="00867F15"/>
    <w:rsid w:val="0087152D"/>
    <w:rsid w:val="008720BE"/>
    <w:rsid w:val="00873CF8"/>
    <w:rsid w:val="00874939"/>
    <w:rsid w:val="0087552B"/>
    <w:rsid w:val="00875820"/>
    <w:rsid w:val="00875E7B"/>
    <w:rsid w:val="00875FCD"/>
    <w:rsid w:val="008762AA"/>
    <w:rsid w:val="00877380"/>
    <w:rsid w:val="00877B6B"/>
    <w:rsid w:val="00880202"/>
    <w:rsid w:val="00881039"/>
    <w:rsid w:val="008835A2"/>
    <w:rsid w:val="00883A3B"/>
    <w:rsid w:val="008844D6"/>
    <w:rsid w:val="0088532E"/>
    <w:rsid w:val="00885DFB"/>
    <w:rsid w:val="00885EFC"/>
    <w:rsid w:val="0088617C"/>
    <w:rsid w:val="0088734E"/>
    <w:rsid w:val="00890149"/>
    <w:rsid w:val="00891E83"/>
    <w:rsid w:val="0089300F"/>
    <w:rsid w:val="0089341A"/>
    <w:rsid w:val="008934DE"/>
    <w:rsid w:val="008935A6"/>
    <w:rsid w:val="0089461C"/>
    <w:rsid w:val="00894DBC"/>
    <w:rsid w:val="00895545"/>
    <w:rsid w:val="008955DE"/>
    <w:rsid w:val="00896444"/>
    <w:rsid w:val="00896C66"/>
    <w:rsid w:val="00896DA7"/>
    <w:rsid w:val="00897881"/>
    <w:rsid w:val="00897A43"/>
    <w:rsid w:val="008A0127"/>
    <w:rsid w:val="008A11BC"/>
    <w:rsid w:val="008A1267"/>
    <w:rsid w:val="008A1454"/>
    <w:rsid w:val="008A179C"/>
    <w:rsid w:val="008A2D63"/>
    <w:rsid w:val="008A4A02"/>
    <w:rsid w:val="008A5157"/>
    <w:rsid w:val="008A5A20"/>
    <w:rsid w:val="008A7BB3"/>
    <w:rsid w:val="008A7D4C"/>
    <w:rsid w:val="008B0022"/>
    <w:rsid w:val="008B04F8"/>
    <w:rsid w:val="008B0FA2"/>
    <w:rsid w:val="008B290C"/>
    <w:rsid w:val="008B4689"/>
    <w:rsid w:val="008B4E9F"/>
    <w:rsid w:val="008B593B"/>
    <w:rsid w:val="008B6485"/>
    <w:rsid w:val="008B7E19"/>
    <w:rsid w:val="008C053E"/>
    <w:rsid w:val="008C1025"/>
    <w:rsid w:val="008C1A9B"/>
    <w:rsid w:val="008C3E56"/>
    <w:rsid w:val="008C7534"/>
    <w:rsid w:val="008C78AA"/>
    <w:rsid w:val="008C7C13"/>
    <w:rsid w:val="008D2C53"/>
    <w:rsid w:val="008D3AFB"/>
    <w:rsid w:val="008D3F6B"/>
    <w:rsid w:val="008D44EB"/>
    <w:rsid w:val="008D51C7"/>
    <w:rsid w:val="008D591C"/>
    <w:rsid w:val="008D5BE8"/>
    <w:rsid w:val="008E0264"/>
    <w:rsid w:val="008E0574"/>
    <w:rsid w:val="008E1292"/>
    <w:rsid w:val="008E12E4"/>
    <w:rsid w:val="008E230C"/>
    <w:rsid w:val="008E25CC"/>
    <w:rsid w:val="008E2B5E"/>
    <w:rsid w:val="008E3191"/>
    <w:rsid w:val="008E3341"/>
    <w:rsid w:val="008E3F14"/>
    <w:rsid w:val="008E4CC5"/>
    <w:rsid w:val="008E4F47"/>
    <w:rsid w:val="008E58BF"/>
    <w:rsid w:val="008E58DA"/>
    <w:rsid w:val="008E5A49"/>
    <w:rsid w:val="008E6581"/>
    <w:rsid w:val="008E6747"/>
    <w:rsid w:val="008E6F79"/>
    <w:rsid w:val="008E7C15"/>
    <w:rsid w:val="008F037C"/>
    <w:rsid w:val="008F0C15"/>
    <w:rsid w:val="008F0EF1"/>
    <w:rsid w:val="008F20B1"/>
    <w:rsid w:val="008F47AD"/>
    <w:rsid w:val="008F72C3"/>
    <w:rsid w:val="008F7461"/>
    <w:rsid w:val="008F7B40"/>
    <w:rsid w:val="009008EE"/>
    <w:rsid w:val="00901B44"/>
    <w:rsid w:val="0090299F"/>
    <w:rsid w:val="00902C7B"/>
    <w:rsid w:val="009031E9"/>
    <w:rsid w:val="0090321F"/>
    <w:rsid w:val="00903524"/>
    <w:rsid w:val="0090383E"/>
    <w:rsid w:val="00904628"/>
    <w:rsid w:val="009046EF"/>
    <w:rsid w:val="00904ED9"/>
    <w:rsid w:val="0090645A"/>
    <w:rsid w:val="009070B1"/>
    <w:rsid w:val="00907631"/>
    <w:rsid w:val="00910A2F"/>
    <w:rsid w:val="00910B8E"/>
    <w:rsid w:val="00910D20"/>
    <w:rsid w:val="00911EE7"/>
    <w:rsid w:val="00912028"/>
    <w:rsid w:val="00914670"/>
    <w:rsid w:val="00914B9D"/>
    <w:rsid w:val="00914C5C"/>
    <w:rsid w:val="00915279"/>
    <w:rsid w:val="00915A33"/>
    <w:rsid w:val="00916B65"/>
    <w:rsid w:val="009174AB"/>
    <w:rsid w:val="00917D93"/>
    <w:rsid w:val="00920C45"/>
    <w:rsid w:val="009225DD"/>
    <w:rsid w:val="00923906"/>
    <w:rsid w:val="00923B34"/>
    <w:rsid w:val="009244A8"/>
    <w:rsid w:val="0092563A"/>
    <w:rsid w:val="0092605A"/>
    <w:rsid w:val="009267F1"/>
    <w:rsid w:val="00926FC7"/>
    <w:rsid w:val="00927967"/>
    <w:rsid w:val="0093147B"/>
    <w:rsid w:val="00931AE2"/>
    <w:rsid w:val="00932D1B"/>
    <w:rsid w:val="009332A5"/>
    <w:rsid w:val="00933D29"/>
    <w:rsid w:val="0093454F"/>
    <w:rsid w:val="00934595"/>
    <w:rsid w:val="00935C90"/>
    <w:rsid w:val="00936589"/>
    <w:rsid w:val="00936C19"/>
    <w:rsid w:val="00936C8C"/>
    <w:rsid w:val="00937B47"/>
    <w:rsid w:val="00937D17"/>
    <w:rsid w:val="009426D9"/>
    <w:rsid w:val="00943BEA"/>
    <w:rsid w:val="0094427A"/>
    <w:rsid w:val="0094440C"/>
    <w:rsid w:val="009450BF"/>
    <w:rsid w:val="00945B74"/>
    <w:rsid w:val="00945FE7"/>
    <w:rsid w:val="00946F81"/>
    <w:rsid w:val="00946F8C"/>
    <w:rsid w:val="00947DBA"/>
    <w:rsid w:val="00947F38"/>
    <w:rsid w:val="00950478"/>
    <w:rsid w:val="0095369C"/>
    <w:rsid w:val="00953CE0"/>
    <w:rsid w:val="009549A7"/>
    <w:rsid w:val="009559DE"/>
    <w:rsid w:val="00955BE9"/>
    <w:rsid w:val="00956D15"/>
    <w:rsid w:val="00957444"/>
    <w:rsid w:val="00960013"/>
    <w:rsid w:val="00961166"/>
    <w:rsid w:val="0096161A"/>
    <w:rsid w:val="00961D35"/>
    <w:rsid w:val="009625D4"/>
    <w:rsid w:val="009629BF"/>
    <w:rsid w:val="00962C08"/>
    <w:rsid w:val="00963215"/>
    <w:rsid w:val="00963801"/>
    <w:rsid w:val="00963F54"/>
    <w:rsid w:val="00964377"/>
    <w:rsid w:val="009649B2"/>
    <w:rsid w:val="00966981"/>
    <w:rsid w:val="0096784D"/>
    <w:rsid w:val="009704B5"/>
    <w:rsid w:val="00971457"/>
    <w:rsid w:val="00971DBC"/>
    <w:rsid w:val="00972822"/>
    <w:rsid w:val="009739DA"/>
    <w:rsid w:val="00974A61"/>
    <w:rsid w:val="00974D54"/>
    <w:rsid w:val="00976C8F"/>
    <w:rsid w:val="00976FD9"/>
    <w:rsid w:val="00980DC6"/>
    <w:rsid w:val="00981568"/>
    <w:rsid w:val="00981BFB"/>
    <w:rsid w:val="00981E8F"/>
    <w:rsid w:val="009822FF"/>
    <w:rsid w:val="0098254E"/>
    <w:rsid w:val="009847D8"/>
    <w:rsid w:val="00985898"/>
    <w:rsid w:val="00985CAD"/>
    <w:rsid w:val="00986A9A"/>
    <w:rsid w:val="00986AD3"/>
    <w:rsid w:val="00987B96"/>
    <w:rsid w:val="0099065D"/>
    <w:rsid w:val="00990FDC"/>
    <w:rsid w:val="009914DC"/>
    <w:rsid w:val="0099174F"/>
    <w:rsid w:val="009924AC"/>
    <w:rsid w:val="00992CA7"/>
    <w:rsid w:val="009934A3"/>
    <w:rsid w:val="0099410E"/>
    <w:rsid w:val="00994EC0"/>
    <w:rsid w:val="009960BF"/>
    <w:rsid w:val="0099688D"/>
    <w:rsid w:val="00997390"/>
    <w:rsid w:val="009A0550"/>
    <w:rsid w:val="009A1303"/>
    <w:rsid w:val="009A16F7"/>
    <w:rsid w:val="009A1F39"/>
    <w:rsid w:val="009A2786"/>
    <w:rsid w:val="009A27D6"/>
    <w:rsid w:val="009A2B7D"/>
    <w:rsid w:val="009A2FE5"/>
    <w:rsid w:val="009A3018"/>
    <w:rsid w:val="009A3358"/>
    <w:rsid w:val="009A3D52"/>
    <w:rsid w:val="009A5004"/>
    <w:rsid w:val="009A5516"/>
    <w:rsid w:val="009A65FD"/>
    <w:rsid w:val="009B0458"/>
    <w:rsid w:val="009B06DD"/>
    <w:rsid w:val="009B1CE3"/>
    <w:rsid w:val="009B2424"/>
    <w:rsid w:val="009B307E"/>
    <w:rsid w:val="009B36B1"/>
    <w:rsid w:val="009B520B"/>
    <w:rsid w:val="009B55FB"/>
    <w:rsid w:val="009B5D1D"/>
    <w:rsid w:val="009B670D"/>
    <w:rsid w:val="009B6DAA"/>
    <w:rsid w:val="009B70AF"/>
    <w:rsid w:val="009B786C"/>
    <w:rsid w:val="009B793C"/>
    <w:rsid w:val="009B79A5"/>
    <w:rsid w:val="009C0F57"/>
    <w:rsid w:val="009C117A"/>
    <w:rsid w:val="009C2737"/>
    <w:rsid w:val="009C3AEB"/>
    <w:rsid w:val="009C4136"/>
    <w:rsid w:val="009C4D87"/>
    <w:rsid w:val="009C5295"/>
    <w:rsid w:val="009C54BE"/>
    <w:rsid w:val="009C6514"/>
    <w:rsid w:val="009C6A1A"/>
    <w:rsid w:val="009D03EF"/>
    <w:rsid w:val="009D0782"/>
    <w:rsid w:val="009D1622"/>
    <w:rsid w:val="009D1A20"/>
    <w:rsid w:val="009D1C5D"/>
    <w:rsid w:val="009D2400"/>
    <w:rsid w:val="009D3B9A"/>
    <w:rsid w:val="009D4330"/>
    <w:rsid w:val="009D5ADA"/>
    <w:rsid w:val="009D6135"/>
    <w:rsid w:val="009D63E6"/>
    <w:rsid w:val="009D64C4"/>
    <w:rsid w:val="009D678E"/>
    <w:rsid w:val="009D6C95"/>
    <w:rsid w:val="009D6E47"/>
    <w:rsid w:val="009D7B94"/>
    <w:rsid w:val="009E03DC"/>
    <w:rsid w:val="009E0CC0"/>
    <w:rsid w:val="009E1271"/>
    <w:rsid w:val="009E237B"/>
    <w:rsid w:val="009E2620"/>
    <w:rsid w:val="009E39B6"/>
    <w:rsid w:val="009E41A1"/>
    <w:rsid w:val="009E45C2"/>
    <w:rsid w:val="009E4D6E"/>
    <w:rsid w:val="009E5585"/>
    <w:rsid w:val="009E6C24"/>
    <w:rsid w:val="009E6C29"/>
    <w:rsid w:val="009E7FF7"/>
    <w:rsid w:val="009F0070"/>
    <w:rsid w:val="009F17BC"/>
    <w:rsid w:val="009F1C53"/>
    <w:rsid w:val="009F241B"/>
    <w:rsid w:val="009F3009"/>
    <w:rsid w:val="009F4A5C"/>
    <w:rsid w:val="009F4E20"/>
    <w:rsid w:val="009F5838"/>
    <w:rsid w:val="009F5AFB"/>
    <w:rsid w:val="009F625E"/>
    <w:rsid w:val="009F6D2F"/>
    <w:rsid w:val="009F7243"/>
    <w:rsid w:val="009F746A"/>
    <w:rsid w:val="009F7597"/>
    <w:rsid w:val="009F76FC"/>
    <w:rsid w:val="00A0135E"/>
    <w:rsid w:val="00A0234F"/>
    <w:rsid w:val="00A0330C"/>
    <w:rsid w:val="00A04BF5"/>
    <w:rsid w:val="00A06799"/>
    <w:rsid w:val="00A06B49"/>
    <w:rsid w:val="00A06C1D"/>
    <w:rsid w:val="00A107B3"/>
    <w:rsid w:val="00A107C5"/>
    <w:rsid w:val="00A10C09"/>
    <w:rsid w:val="00A114FA"/>
    <w:rsid w:val="00A121FC"/>
    <w:rsid w:val="00A132D2"/>
    <w:rsid w:val="00A13BBD"/>
    <w:rsid w:val="00A13CFD"/>
    <w:rsid w:val="00A14179"/>
    <w:rsid w:val="00A14C4F"/>
    <w:rsid w:val="00A16204"/>
    <w:rsid w:val="00A16F3D"/>
    <w:rsid w:val="00A17A5F"/>
    <w:rsid w:val="00A17E9E"/>
    <w:rsid w:val="00A2002E"/>
    <w:rsid w:val="00A222C2"/>
    <w:rsid w:val="00A22BE8"/>
    <w:rsid w:val="00A22D62"/>
    <w:rsid w:val="00A24AF8"/>
    <w:rsid w:val="00A25FEC"/>
    <w:rsid w:val="00A269E1"/>
    <w:rsid w:val="00A27D9F"/>
    <w:rsid w:val="00A27F0D"/>
    <w:rsid w:val="00A30A6F"/>
    <w:rsid w:val="00A31E09"/>
    <w:rsid w:val="00A3230A"/>
    <w:rsid w:val="00A32CAC"/>
    <w:rsid w:val="00A32D0F"/>
    <w:rsid w:val="00A35C82"/>
    <w:rsid w:val="00A35D87"/>
    <w:rsid w:val="00A36B66"/>
    <w:rsid w:val="00A400C3"/>
    <w:rsid w:val="00A40409"/>
    <w:rsid w:val="00A40603"/>
    <w:rsid w:val="00A41F37"/>
    <w:rsid w:val="00A41F7E"/>
    <w:rsid w:val="00A42C00"/>
    <w:rsid w:val="00A4319C"/>
    <w:rsid w:val="00A4411B"/>
    <w:rsid w:val="00A45950"/>
    <w:rsid w:val="00A45A00"/>
    <w:rsid w:val="00A45DD2"/>
    <w:rsid w:val="00A46477"/>
    <w:rsid w:val="00A46E65"/>
    <w:rsid w:val="00A47C17"/>
    <w:rsid w:val="00A52F2B"/>
    <w:rsid w:val="00A539F3"/>
    <w:rsid w:val="00A53CCF"/>
    <w:rsid w:val="00A546D9"/>
    <w:rsid w:val="00A54C45"/>
    <w:rsid w:val="00A5607D"/>
    <w:rsid w:val="00A564E3"/>
    <w:rsid w:val="00A56907"/>
    <w:rsid w:val="00A56A85"/>
    <w:rsid w:val="00A56E9E"/>
    <w:rsid w:val="00A61261"/>
    <w:rsid w:val="00A61927"/>
    <w:rsid w:val="00A63763"/>
    <w:rsid w:val="00A63993"/>
    <w:rsid w:val="00A6485D"/>
    <w:rsid w:val="00A6492C"/>
    <w:rsid w:val="00A6500A"/>
    <w:rsid w:val="00A654E3"/>
    <w:rsid w:val="00A65603"/>
    <w:rsid w:val="00A659B7"/>
    <w:rsid w:val="00A70189"/>
    <w:rsid w:val="00A70D82"/>
    <w:rsid w:val="00A717B9"/>
    <w:rsid w:val="00A7225A"/>
    <w:rsid w:val="00A7346F"/>
    <w:rsid w:val="00A73AFC"/>
    <w:rsid w:val="00A742A0"/>
    <w:rsid w:val="00A74FB0"/>
    <w:rsid w:val="00A75025"/>
    <w:rsid w:val="00A75BCE"/>
    <w:rsid w:val="00A75E67"/>
    <w:rsid w:val="00A765B8"/>
    <w:rsid w:val="00A76833"/>
    <w:rsid w:val="00A76BD3"/>
    <w:rsid w:val="00A83237"/>
    <w:rsid w:val="00A83AE6"/>
    <w:rsid w:val="00A84773"/>
    <w:rsid w:val="00A84D86"/>
    <w:rsid w:val="00A852C2"/>
    <w:rsid w:val="00A8595A"/>
    <w:rsid w:val="00A86974"/>
    <w:rsid w:val="00A86C4C"/>
    <w:rsid w:val="00A86E9F"/>
    <w:rsid w:val="00A926E2"/>
    <w:rsid w:val="00A93CDB"/>
    <w:rsid w:val="00A9569D"/>
    <w:rsid w:val="00A95785"/>
    <w:rsid w:val="00A9649B"/>
    <w:rsid w:val="00A972DF"/>
    <w:rsid w:val="00A97D81"/>
    <w:rsid w:val="00AA01B3"/>
    <w:rsid w:val="00AA0883"/>
    <w:rsid w:val="00AA0E4D"/>
    <w:rsid w:val="00AA189B"/>
    <w:rsid w:val="00AA2ECF"/>
    <w:rsid w:val="00AA3457"/>
    <w:rsid w:val="00AA37D0"/>
    <w:rsid w:val="00AA3CBD"/>
    <w:rsid w:val="00AA3E2A"/>
    <w:rsid w:val="00AA509F"/>
    <w:rsid w:val="00AA5384"/>
    <w:rsid w:val="00AA5D68"/>
    <w:rsid w:val="00AA6518"/>
    <w:rsid w:val="00AA6767"/>
    <w:rsid w:val="00AA6ECB"/>
    <w:rsid w:val="00AB08D5"/>
    <w:rsid w:val="00AB0F62"/>
    <w:rsid w:val="00AB1843"/>
    <w:rsid w:val="00AB252D"/>
    <w:rsid w:val="00AB3479"/>
    <w:rsid w:val="00AB4697"/>
    <w:rsid w:val="00AB4993"/>
    <w:rsid w:val="00AB506D"/>
    <w:rsid w:val="00AB5762"/>
    <w:rsid w:val="00AB60D9"/>
    <w:rsid w:val="00AB722A"/>
    <w:rsid w:val="00AC40C5"/>
    <w:rsid w:val="00AC52B6"/>
    <w:rsid w:val="00AC5559"/>
    <w:rsid w:val="00AC7FD5"/>
    <w:rsid w:val="00AD0731"/>
    <w:rsid w:val="00AD09E0"/>
    <w:rsid w:val="00AD22DD"/>
    <w:rsid w:val="00AD283B"/>
    <w:rsid w:val="00AD2FFC"/>
    <w:rsid w:val="00AD3759"/>
    <w:rsid w:val="00AD4601"/>
    <w:rsid w:val="00AD65AE"/>
    <w:rsid w:val="00AD69DD"/>
    <w:rsid w:val="00AE061D"/>
    <w:rsid w:val="00AE074D"/>
    <w:rsid w:val="00AE09CB"/>
    <w:rsid w:val="00AE12D2"/>
    <w:rsid w:val="00AE1918"/>
    <w:rsid w:val="00AE203F"/>
    <w:rsid w:val="00AE2746"/>
    <w:rsid w:val="00AE27E0"/>
    <w:rsid w:val="00AE36E0"/>
    <w:rsid w:val="00AE3943"/>
    <w:rsid w:val="00AE478B"/>
    <w:rsid w:val="00AE4D27"/>
    <w:rsid w:val="00AE6B4C"/>
    <w:rsid w:val="00AE7C28"/>
    <w:rsid w:val="00AF0170"/>
    <w:rsid w:val="00AF0638"/>
    <w:rsid w:val="00AF196E"/>
    <w:rsid w:val="00AF1981"/>
    <w:rsid w:val="00AF2DEB"/>
    <w:rsid w:val="00AF3724"/>
    <w:rsid w:val="00AF4D54"/>
    <w:rsid w:val="00AF4F7F"/>
    <w:rsid w:val="00AF5D08"/>
    <w:rsid w:val="00AF71C8"/>
    <w:rsid w:val="00B02820"/>
    <w:rsid w:val="00B03663"/>
    <w:rsid w:val="00B045A1"/>
    <w:rsid w:val="00B04758"/>
    <w:rsid w:val="00B047B1"/>
    <w:rsid w:val="00B04C74"/>
    <w:rsid w:val="00B05A6B"/>
    <w:rsid w:val="00B05C6B"/>
    <w:rsid w:val="00B0794B"/>
    <w:rsid w:val="00B07CB2"/>
    <w:rsid w:val="00B103F9"/>
    <w:rsid w:val="00B117C3"/>
    <w:rsid w:val="00B132E9"/>
    <w:rsid w:val="00B14DC1"/>
    <w:rsid w:val="00B15414"/>
    <w:rsid w:val="00B156BB"/>
    <w:rsid w:val="00B15CE6"/>
    <w:rsid w:val="00B167CB"/>
    <w:rsid w:val="00B169B5"/>
    <w:rsid w:val="00B20132"/>
    <w:rsid w:val="00B201DD"/>
    <w:rsid w:val="00B20624"/>
    <w:rsid w:val="00B2092E"/>
    <w:rsid w:val="00B20A83"/>
    <w:rsid w:val="00B20C35"/>
    <w:rsid w:val="00B2137E"/>
    <w:rsid w:val="00B22567"/>
    <w:rsid w:val="00B23A8B"/>
    <w:rsid w:val="00B23DC3"/>
    <w:rsid w:val="00B23F43"/>
    <w:rsid w:val="00B243C5"/>
    <w:rsid w:val="00B24997"/>
    <w:rsid w:val="00B24D2C"/>
    <w:rsid w:val="00B25878"/>
    <w:rsid w:val="00B272CF"/>
    <w:rsid w:val="00B27ABC"/>
    <w:rsid w:val="00B3052A"/>
    <w:rsid w:val="00B30D3C"/>
    <w:rsid w:val="00B30DF0"/>
    <w:rsid w:val="00B30E2C"/>
    <w:rsid w:val="00B311C4"/>
    <w:rsid w:val="00B413F6"/>
    <w:rsid w:val="00B414D1"/>
    <w:rsid w:val="00B4255F"/>
    <w:rsid w:val="00B42B2E"/>
    <w:rsid w:val="00B4571D"/>
    <w:rsid w:val="00B4586D"/>
    <w:rsid w:val="00B45C74"/>
    <w:rsid w:val="00B45D82"/>
    <w:rsid w:val="00B45EE8"/>
    <w:rsid w:val="00B46506"/>
    <w:rsid w:val="00B4691A"/>
    <w:rsid w:val="00B4694C"/>
    <w:rsid w:val="00B47CFB"/>
    <w:rsid w:val="00B50E61"/>
    <w:rsid w:val="00B518D5"/>
    <w:rsid w:val="00B5213E"/>
    <w:rsid w:val="00B52905"/>
    <w:rsid w:val="00B52F29"/>
    <w:rsid w:val="00B53A99"/>
    <w:rsid w:val="00B53F22"/>
    <w:rsid w:val="00B54067"/>
    <w:rsid w:val="00B545CB"/>
    <w:rsid w:val="00B54C74"/>
    <w:rsid w:val="00B55BD2"/>
    <w:rsid w:val="00B56188"/>
    <w:rsid w:val="00B5795A"/>
    <w:rsid w:val="00B57AA6"/>
    <w:rsid w:val="00B613EA"/>
    <w:rsid w:val="00B614C8"/>
    <w:rsid w:val="00B6309B"/>
    <w:rsid w:val="00B633B8"/>
    <w:rsid w:val="00B64CCC"/>
    <w:rsid w:val="00B675E0"/>
    <w:rsid w:val="00B70044"/>
    <w:rsid w:val="00B704F5"/>
    <w:rsid w:val="00B70508"/>
    <w:rsid w:val="00B7222A"/>
    <w:rsid w:val="00B726C6"/>
    <w:rsid w:val="00B73F13"/>
    <w:rsid w:val="00B74C29"/>
    <w:rsid w:val="00B74F77"/>
    <w:rsid w:val="00B75218"/>
    <w:rsid w:val="00B752BD"/>
    <w:rsid w:val="00B760C6"/>
    <w:rsid w:val="00B76368"/>
    <w:rsid w:val="00B764E0"/>
    <w:rsid w:val="00B76C74"/>
    <w:rsid w:val="00B76D01"/>
    <w:rsid w:val="00B77E44"/>
    <w:rsid w:val="00B80336"/>
    <w:rsid w:val="00B80AD5"/>
    <w:rsid w:val="00B80CC1"/>
    <w:rsid w:val="00B81202"/>
    <w:rsid w:val="00B81F09"/>
    <w:rsid w:val="00B81F5D"/>
    <w:rsid w:val="00B824CF"/>
    <w:rsid w:val="00B83617"/>
    <w:rsid w:val="00B83973"/>
    <w:rsid w:val="00B83EBA"/>
    <w:rsid w:val="00B8446E"/>
    <w:rsid w:val="00B85436"/>
    <w:rsid w:val="00B85D80"/>
    <w:rsid w:val="00B86173"/>
    <w:rsid w:val="00B87773"/>
    <w:rsid w:val="00B90931"/>
    <w:rsid w:val="00B90E3B"/>
    <w:rsid w:val="00B9219E"/>
    <w:rsid w:val="00B92362"/>
    <w:rsid w:val="00B92880"/>
    <w:rsid w:val="00B929F4"/>
    <w:rsid w:val="00B932EA"/>
    <w:rsid w:val="00B9511D"/>
    <w:rsid w:val="00B9709E"/>
    <w:rsid w:val="00B97168"/>
    <w:rsid w:val="00B97E9B"/>
    <w:rsid w:val="00BA09AE"/>
    <w:rsid w:val="00BA0BC6"/>
    <w:rsid w:val="00BA23CA"/>
    <w:rsid w:val="00BA2F65"/>
    <w:rsid w:val="00BA3437"/>
    <w:rsid w:val="00BA3981"/>
    <w:rsid w:val="00BA3B18"/>
    <w:rsid w:val="00BA44E7"/>
    <w:rsid w:val="00BA77E4"/>
    <w:rsid w:val="00BA7D17"/>
    <w:rsid w:val="00BA7D93"/>
    <w:rsid w:val="00BB0089"/>
    <w:rsid w:val="00BB0604"/>
    <w:rsid w:val="00BB0AD5"/>
    <w:rsid w:val="00BB161D"/>
    <w:rsid w:val="00BB1663"/>
    <w:rsid w:val="00BB221A"/>
    <w:rsid w:val="00BB2C23"/>
    <w:rsid w:val="00BB2DBE"/>
    <w:rsid w:val="00BB3065"/>
    <w:rsid w:val="00BB5D01"/>
    <w:rsid w:val="00BB65DB"/>
    <w:rsid w:val="00BB6C0D"/>
    <w:rsid w:val="00BB70C9"/>
    <w:rsid w:val="00BB754F"/>
    <w:rsid w:val="00BB76F8"/>
    <w:rsid w:val="00BB7F22"/>
    <w:rsid w:val="00BC06D3"/>
    <w:rsid w:val="00BC0A22"/>
    <w:rsid w:val="00BC210F"/>
    <w:rsid w:val="00BC3F6D"/>
    <w:rsid w:val="00BC445D"/>
    <w:rsid w:val="00BC471A"/>
    <w:rsid w:val="00BC4823"/>
    <w:rsid w:val="00BC4EBD"/>
    <w:rsid w:val="00BD07C0"/>
    <w:rsid w:val="00BD1548"/>
    <w:rsid w:val="00BD1C4F"/>
    <w:rsid w:val="00BD1DB7"/>
    <w:rsid w:val="00BD2B89"/>
    <w:rsid w:val="00BD2BA2"/>
    <w:rsid w:val="00BD4116"/>
    <w:rsid w:val="00BD4F95"/>
    <w:rsid w:val="00BD60DD"/>
    <w:rsid w:val="00BD6BF9"/>
    <w:rsid w:val="00BD7251"/>
    <w:rsid w:val="00BD7CEB"/>
    <w:rsid w:val="00BE0487"/>
    <w:rsid w:val="00BE1EDD"/>
    <w:rsid w:val="00BE2915"/>
    <w:rsid w:val="00BE2AB5"/>
    <w:rsid w:val="00BE3102"/>
    <w:rsid w:val="00BE31BB"/>
    <w:rsid w:val="00BE4E5D"/>
    <w:rsid w:val="00BE5904"/>
    <w:rsid w:val="00BE7E25"/>
    <w:rsid w:val="00BF0637"/>
    <w:rsid w:val="00BF11EF"/>
    <w:rsid w:val="00BF25D9"/>
    <w:rsid w:val="00BF583D"/>
    <w:rsid w:val="00BF7FFD"/>
    <w:rsid w:val="00C01033"/>
    <w:rsid w:val="00C0228E"/>
    <w:rsid w:val="00C02425"/>
    <w:rsid w:val="00C02AFB"/>
    <w:rsid w:val="00C047E0"/>
    <w:rsid w:val="00C0619B"/>
    <w:rsid w:val="00C06AA8"/>
    <w:rsid w:val="00C06D56"/>
    <w:rsid w:val="00C06DB6"/>
    <w:rsid w:val="00C073AB"/>
    <w:rsid w:val="00C07BC6"/>
    <w:rsid w:val="00C07D10"/>
    <w:rsid w:val="00C07F05"/>
    <w:rsid w:val="00C11181"/>
    <w:rsid w:val="00C12B17"/>
    <w:rsid w:val="00C149EA"/>
    <w:rsid w:val="00C151D8"/>
    <w:rsid w:val="00C1528C"/>
    <w:rsid w:val="00C16A35"/>
    <w:rsid w:val="00C16D64"/>
    <w:rsid w:val="00C16DF5"/>
    <w:rsid w:val="00C172BC"/>
    <w:rsid w:val="00C172CB"/>
    <w:rsid w:val="00C175E3"/>
    <w:rsid w:val="00C17E64"/>
    <w:rsid w:val="00C200A8"/>
    <w:rsid w:val="00C20305"/>
    <w:rsid w:val="00C216DC"/>
    <w:rsid w:val="00C21E05"/>
    <w:rsid w:val="00C22A7B"/>
    <w:rsid w:val="00C2368B"/>
    <w:rsid w:val="00C23A92"/>
    <w:rsid w:val="00C23C44"/>
    <w:rsid w:val="00C248FB"/>
    <w:rsid w:val="00C249D5"/>
    <w:rsid w:val="00C24ACA"/>
    <w:rsid w:val="00C24DCC"/>
    <w:rsid w:val="00C26378"/>
    <w:rsid w:val="00C26A3F"/>
    <w:rsid w:val="00C27558"/>
    <w:rsid w:val="00C27956"/>
    <w:rsid w:val="00C27D8B"/>
    <w:rsid w:val="00C31F70"/>
    <w:rsid w:val="00C31FBB"/>
    <w:rsid w:val="00C32AF5"/>
    <w:rsid w:val="00C34D34"/>
    <w:rsid w:val="00C40AA1"/>
    <w:rsid w:val="00C41B18"/>
    <w:rsid w:val="00C428FF"/>
    <w:rsid w:val="00C429A5"/>
    <w:rsid w:val="00C44B34"/>
    <w:rsid w:val="00C44C8A"/>
    <w:rsid w:val="00C45620"/>
    <w:rsid w:val="00C456B4"/>
    <w:rsid w:val="00C4574A"/>
    <w:rsid w:val="00C463D6"/>
    <w:rsid w:val="00C46498"/>
    <w:rsid w:val="00C47510"/>
    <w:rsid w:val="00C47A02"/>
    <w:rsid w:val="00C52306"/>
    <w:rsid w:val="00C5323C"/>
    <w:rsid w:val="00C53FEB"/>
    <w:rsid w:val="00C54274"/>
    <w:rsid w:val="00C5447B"/>
    <w:rsid w:val="00C5462A"/>
    <w:rsid w:val="00C54FB6"/>
    <w:rsid w:val="00C567A3"/>
    <w:rsid w:val="00C60CFE"/>
    <w:rsid w:val="00C61258"/>
    <w:rsid w:val="00C612CD"/>
    <w:rsid w:val="00C61DCF"/>
    <w:rsid w:val="00C622A0"/>
    <w:rsid w:val="00C6325A"/>
    <w:rsid w:val="00C63B6B"/>
    <w:rsid w:val="00C65C54"/>
    <w:rsid w:val="00C70D48"/>
    <w:rsid w:val="00C72A84"/>
    <w:rsid w:val="00C72AFC"/>
    <w:rsid w:val="00C73799"/>
    <w:rsid w:val="00C73E55"/>
    <w:rsid w:val="00C74017"/>
    <w:rsid w:val="00C76178"/>
    <w:rsid w:val="00C76813"/>
    <w:rsid w:val="00C77355"/>
    <w:rsid w:val="00C77DEF"/>
    <w:rsid w:val="00C80CE6"/>
    <w:rsid w:val="00C80E23"/>
    <w:rsid w:val="00C80E26"/>
    <w:rsid w:val="00C8183C"/>
    <w:rsid w:val="00C8230A"/>
    <w:rsid w:val="00C829B6"/>
    <w:rsid w:val="00C83616"/>
    <w:rsid w:val="00C847AC"/>
    <w:rsid w:val="00C84C2F"/>
    <w:rsid w:val="00C858F6"/>
    <w:rsid w:val="00C85C42"/>
    <w:rsid w:val="00C86EE0"/>
    <w:rsid w:val="00C87FF6"/>
    <w:rsid w:val="00C906ED"/>
    <w:rsid w:val="00C9077B"/>
    <w:rsid w:val="00C90D62"/>
    <w:rsid w:val="00C90D78"/>
    <w:rsid w:val="00C90D7F"/>
    <w:rsid w:val="00C91172"/>
    <w:rsid w:val="00C913CA"/>
    <w:rsid w:val="00C92ADD"/>
    <w:rsid w:val="00C93209"/>
    <w:rsid w:val="00C9347D"/>
    <w:rsid w:val="00C93644"/>
    <w:rsid w:val="00C946E6"/>
    <w:rsid w:val="00C95318"/>
    <w:rsid w:val="00C95513"/>
    <w:rsid w:val="00C9606B"/>
    <w:rsid w:val="00C96ABC"/>
    <w:rsid w:val="00C97696"/>
    <w:rsid w:val="00C97AB2"/>
    <w:rsid w:val="00C97E19"/>
    <w:rsid w:val="00CA0556"/>
    <w:rsid w:val="00CA0C1A"/>
    <w:rsid w:val="00CA11DC"/>
    <w:rsid w:val="00CA169E"/>
    <w:rsid w:val="00CA1963"/>
    <w:rsid w:val="00CA1A27"/>
    <w:rsid w:val="00CA2793"/>
    <w:rsid w:val="00CA27A5"/>
    <w:rsid w:val="00CA288D"/>
    <w:rsid w:val="00CA45AB"/>
    <w:rsid w:val="00CA56DB"/>
    <w:rsid w:val="00CA7F05"/>
    <w:rsid w:val="00CB1342"/>
    <w:rsid w:val="00CB1D80"/>
    <w:rsid w:val="00CB1E2B"/>
    <w:rsid w:val="00CB24FE"/>
    <w:rsid w:val="00CB3AC3"/>
    <w:rsid w:val="00CB3E71"/>
    <w:rsid w:val="00CB3FB5"/>
    <w:rsid w:val="00CB4E92"/>
    <w:rsid w:val="00CB526A"/>
    <w:rsid w:val="00CB5395"/>
    <w:rsid w:val="00CB543A"/>
    <w:rsid w:val="00CB651E"/>
    <w:rsid w:val="00CB6A21"/>
    <w:rsid w:val="00CB6E96"/>
    <w:rsid w:val="00CC1BB8"/>
    <w:rsid w:val="00CC1C79"/>
    <w:rsid w:val="00CC3115"/>
    <w:rsid w:val="00CC6208"/>
    <w:rsid w:val="00CC6500"/>
    <w:rsid w:val="00CC650B"/>
    <w:rsid w:val="00CC6D6C"/>
    <w:rsid w:val="00CC6DAA"/>
    <w:rsid w:val="00CC73C7"/>
    <w:rsid w:val="00CD164C"/>
    <w:rsid w:val="00CD192D"/>
    <w:rsid w:val="00CD1958"/>
    <w:rsid w:val="00CD1BC1"/>
    <w:rsid w:val="00CD4DFA"/>
    <w:rsid w:val="00CD5083"/>
    <w:rsid w:val="00CD51C9"/>
    <w:rsid w:val="00CD58B7"/>
    <w:rsid w:val="00CD5B85"/>
    <w:rsid w:val="00CD5B9B"/>
    <w:rsid w:val="00CD63EC"/>
    <w:rsid w:val="00CD7A8A"/>
    <w:rsid w:val="00CE0231"/>
    <w:rsid w:val="00CE0C07"/>
    <w:rsid w:val="00CE14DB"/>
    <w:rsid w:val="00CE3025"/>
    <w:rsid w:val="00CE3936"/>
    <w:rsid w:val="00CE3CCA"/>
    <w:rsid w:val="00CE4B21"/>
    <w:rsid w:val="00CE6A51"/>
    <w:rsid w:val="00CE72E2"/>
    <w:rsid w:val="00CE7FFE"/>
    <w:rsid w:val="00CF2A19"/>
    <w:rsid w:val="00CF34CF"/>
    <w:rsid w:val="00CF34E3"/>
    <w:rsid w:val="00CF3B3D"/>
    <w:rsid w:val="00CF4107"/>
    <w:rsid w:val="00CF41BE"/>
    <w:rsid w:val="00CF44CB"/>
    <w:rsid w:val="00CF468B"/>
    <w:rsid w:val="00CF48D1"/>
    <w:rsid w:val="00CF539D"/>
    <w:rsid w:val="00CF61C6"/>
    <w:rsid w:val="00CF7694"/>
    <w:rsid w:val="00CF7969"/>
    <w:rsid w:val="00CF7E41"/>
    <w:rsid w:val="00D00E39"/>
    <w:rsid w:val="00D02264"/>
    <w:rsid w:val="00D023A8"/>
    <w:rsid w:val="00D0279A"/>
    <w:rsid w:val="00D0317F"/>
    <w:rsid w:val="00D0351A"/>
    <w:rsid w:val="00D035E6"/>
    <w:rsid w:val="00D03635"/>
    <w:rsid w:val="00D03A46"/>
    <w:rsid w:val="00D06468"/>
    <w:rsid w:val="00D06C02"/>
    <w:rsid w:val="00D06D6D"/>
    <w:rsid w:val="00D076A3"/>
    <w:rsid w:val="00D07CCB"/>
    <w:rsid w:val="00D07F65"/>
    <w:rsid w:val="00D10990"/>
    <w:rsid w:val="00D11171"/>
    <w:rsid w:val="00D1151E"/>
    <w:rsid w:val="00D11FCC"/>
    <w:rsid w:val="00D125A3"/>
    <w:rsid w:val="00D12F3F"/>
    <w:rsid w:val="00D147B7"/>
    <w:rsid w:val="00D155A5"/>
    <w:rsid w:val="00D1682F"/>
    <w:rsid w:val="00D21356"/>
    <w:rsid w:val="00D216B7"/>
    <w:rsid w:val="00D22661"/>
    <w:rsid w:val="00D23E77"/>
    <w:rsid w:val="00D24711"/>
    <w:rsid w:val="00D252C7"/>
    <w:rsid w:val="00D26429"/>
    <w:rsid w:val="00D267D3"/>
    <w:rsid w:val="00D26C86"/>
    <w:rsid w:val="00D27313"/>
    <w:rsid w:val="00D302AF"/>
    <w:rsid w:val="00D31352"/>
    <w:rsid w:val="00D330CC"/>
    <w:rsid w:val="00D3336C"/>
    <w:rsid w:val="00D344B3"/>
    <w:rsid w:val="00D35217"/>
    <w:rsid w:val="00D35CBD"/>
    <w:rsid w:val="00D3637A"/>
    <w:rsid w:val="00D37395"/>
    <w:rsid w:val="00D4129E"/>
    <w:rsid w:val="00D41F21"/>
    <w:rsid w:val="00D4238D"/>
    <w:rsid w:val="00D44070"/>
    <w:rsid w:val="00D4458E"/>
    <w:rsid w:val="00D4487D"/>
    <w:rsid w:val="00D45032"/>
    <w:rsid w:val="00D4691A"/>
    <w:rsid w:val="00D46EAC"/>
    <w:rsid w:val="00D46ECF"/>
    <w:rsid w:val="00D4764A"/>
    <w:rsid w:val="00D47BD1"/>
    <w:rsid w:val="00D50777"/>
    <w:rsid w:val="00D50896"/>
    <w:rsid w:val="00D50B44"/>
    <w:rsid w:val="00D51DAE"/>
    <w:rsid w:val="00D53D3A"/>
    <w:rsid w:val="00D53DF9"/>
    <w:rsid w:val="00D54A55"/>
    <w:rsid w:val="00D550CD"/>
    <w:rsid w:val="00D553B7"/>
    <w:rsid w:val="00D55895"/>
    <w:rsid w:val="00D55A7D"/>
    <w:rsid w:val="00D55ACF"/>
    <w:rsid w:val="00D55E6D"/>
    <w:rsid w:val="00D601CB"/>
    <w:rsid w:val="00D607F9"/>
    <w:rsid w:val="00D60C1A"/>
    <w:rsid w:val="00D61214"/>
    <w:rsid w:val="00D61C66"/>
    <w:rsid w:val="00D629DA"/>
    <w:rsid w:val="00D63ECB"/>
    <w:rsid w:val="00D6538A"/>
    <w:rsid w:val="00D66C20"/>
    <w:rsid w:val="00D6781A"/>
    <w:rsid w:val="00D67BDC"/>
    <w:rsid w:val="00D67F11"/>
    <w:rsid w:val="00D7007C"/>
    <w:rsid w:val="00D70E45"/>
    <w:rsid w:val="00D7294C"/>
    <w:rsid w:val="00D72B6A"/>
    <w:rsid w:val="00D730CF"/>
    <w:rsid w:val="00D73362"/>
    <w:rsid w:val="00D73AFB"/>
    <w:rsid w:val="00D73CD3"/>
    <w:rsid w:val="00D74257"/>
    <w:rsid w:val="00D7475F"/>
    <w:rsid w:val="00D749FD"/>
    <w:rsid w:val="00D74B87"/>
    <w:rsid w:val="00D757BF"/>
    <w:rsid w:val="00D75BC3"/>
    <w:rsid w:val="00D76244"/>
    <w:rsid w:val="00D77991"/>
    <w:rsid w:val="00D77A19"/>
    <w:rsid w:val="00D805DB"/>
    <w:rsid w:val="00D809C8"/>
    <w:rsid w:val="00D8115A"/>
    <w:rsid w:val="00D820FB"/>
    <w:rsid w:val="00D83B20"/>
    <w:rsid w:val="00D83F5C"/>
    <w:rsid w:val="00D84B2A"/>
    <w:rsid w:val="00D8559E"/>
    <w:rsid w:val="00D862DC"/>
    <w:rsid w:val="00D86ADE"/>
    <w:rsid w:val="00D87A39"/>
    <w:rsid w:val="00D9014B"/>
    <w:rsid w:val="00D91CB4"/>
    <w:rsid w:val="00D92754"/>
    <w:rsid w:val="00D92815"/>
    <w:rsid w:val="00D92CA9"/>
    <w:rsid w:val="00D92F13"/>
    <w:rsid w:val="00D946C4"/>
    <w:rsid w:val="00D94A15"/>
    <w:rsid w:val="00D95C31"/>
    <w:rsid w:val="00D95C6C"/>
    <w:rsid w:val="00D95D54"/>
    <w:rsid w:val="00D9787C"/>
    <w:rsid w:val="00D97EBE"/>
    <w:rsid w:val="00D97F9E"/>
    <w:rsid w:val="00DA2C1F"/>
    <w:rsid w:val="00DA3490"/>
    <w:rsid w:val="00DA48A9"/>
    <w:rsid w:val="00DB13A3"/>
    <w:rsid w:val="00DB194E"/>
    <w:rsid w:val="00DB2500"/>
    <w:rsid w:val="00DB2971"/>
    <w:rsid w:val="00DB2A7E"/>
    <w:rsid w:val="00DB3680"/>
    <w:rsid w:val="00DB494A"/>
    <w:rsid w:val="00DB4F5D"/>
    <w:rsid w:val="00DB53D0"/>
    <w:rsid w:val="00DB67F1"/>
    <w:rsid w:val="00DB6DF2"/>
    <w:rsid w:val="00DB6E47"/>
    <w:rsid w:val="00DB6FC9"/>
    <w:rsid w:val="00DC0854"/>
    <w:rsid w:val="00DC1539"/>
    <w:rsid w:val="00DC286A"/>
    <w:rsid w:val="00DC2E9B"/>
    <w:rsid w:val="00DC364D"/>
    <w:rsid w:val="00DC465B"/>
    <w:rsid w:val="00DC48DD"/>
    <w:rsid w:val="00DC5406"/>
    <w:rsid w:val="00DC664A"/>
    <w:rsid w:val="00DC76DA"/>
    <w:rsid w:val="00DC7870"/>
    <w:rsid w:val="00DD03C5"/>
    <w:rsid w:val="00DD16F4"/>
    <w:rsid w:val="00DD1E3A"/>
    <w:rsid w:val="00DD1EA0"/>
    <w:rsid w:val="00DD3D1A"/>
    <w:rsid w:val="00DD4808"/>
    <w:rsid w:val="00DD4818"/>
    <w:rsid w:val="00DD4B90"/>
    <w:rsid w:val="00DD54CC"/>
    <w:rsid w:val="00DD59CA"/>
    <w:rsid w:val="00DD5BCB"/>
    <w:rsid w:val="00DD695A"/>
    <w:rsid w:val="00DD708D"/>
    <w:rsid w:val="00DD7D33"/>
    <w:rsid w:val="00DE0CD3"/>
    <w:rsid w:val="00DE1847"/>
    <w:rsid w:val="00DE2A3E"/>
    <w:rsid w:val="00DE3409"/>
    <w:rsid w:val="00DE41B0"/>
    <w:rsid w:val="00DE4B1E"/>
    <w:rsid w:val="00DE4F97"/>
    <w:rsid w:val="00DE5AA1"/>
    <w:rsid w:val="00DE6295"/>
    <w:rsid w:val="00DE76F6"/>
    <w:rsid w:val="00DE7A06"/>
    <w:rsid w:val="00DF016A"/>
    <w:rsid w:val="00DF0197"/>
    <w:rsid w:val="00DF2FB8"/>
    <w:rsid w:val="00DF3368"/>
    <w:rsid w:val="00DF3A09"/>
    <w:rsid w:val="00DF3E53"/>
    <w:rsid w:val="00DF43B1"/>
    <w:rsid w:val="00DF4EE4"/>
    <w:rsid w:val="00DF6CC9"/>
    <w:rsid w:val="00DF78B0"/>
    <w:rsid w:val="00E01075"/>
    <w:rsid w:val="00E015B2"/>
    <w:rsid w:val="00E01776"/>
    <w:rsid w:val="00E01D4B"/>
    <w:rsid w:val="00E032F9"/>
    <w:rsid w:val="00E03A9A"/>
    <w:rsid w:val="00E0556B"/>
    <w:rsid w:val="00E061A7"/>
    <w:rsid w:val="00E07420"/>
    <w:rsid w:val="00E111DF"/>
    <w:rsid w:val="00E11F07"/>
    <w:rsid w:val="00E1256B"/>
    <w:rsid w:val="00E157E7"/>
    <w:rsid w:val="00E15D9F"/>
    <w:rsid w:val="00E16806"/>
    <w:rsid w:val="00E1693E"/>
    <w:rsid w:val="00E16FDC"/>
    <w:rsid w:val="00E20627"/>
    <w:rsid w:val="00E22D75"/>
    <w:rsid w:val="00E239A4"/>
    <w:rsid w:val="00E25CD3"/>
    <w:rsid w:val="00E26EB6"/>
    <w:rsid w:val="00E27481"/>
    <w:rsid w:val="00E27769"/>
    <w:rsid w:val="00E27DFA"/>
    <w:rsid w:val="00E27F45"/>
    <w:rsid w:val="00E3007D"/>
    <w:rsid w:val="00E303C4"/>
    <w:rsid w:val="00E311CF"/>
    <w:rsid w:val="00E32040"/>
    <w:rsid w:val="00E328EB"/>
    <w:rsid w:val="00E33C3F"/>
    <w:rsid w:val="00E34176"/>
    <w:rsid w:val="00E3430F"/>
    <w:rsid w:val="00E3538F"/>
    <w:rsid w:val="00E35746"/>
    <w:rsid w:val="00E3593D"/>
    <w:rsid w:val="00E36F9A"/>
    <w:rsid w:val="00E37802"/>
    <w:rsid w:val="00E37DC0"/>
    <w:rsid w:val="00E40980"/>
    <w:rsid w:val="00E40FB9"/>
    <w:rsid w:val="00E42CF8"/>
    <w:rsid w:val="00E43131"/>
    <w:rsid w:val="00E4394F"/>
    <w:rsid w:val="00E46835"/>
    <w:rsid w:val="00E521CF"/>
    <w:rsid w:val="00E526C8"/>
    <w:rsid w:val="00E53094"/>
    <w:rsid w:val="00E5321D"/>
    <w:rsid w:val="00E5386D"/>
    <w:rsid w:val="00E53D3F"/>
    <w:rsid w:val="00E53E9C"/>
    <w:rsid w:val="00E54649"/>
    <w:rsid w:val="00E54DC3"/>
    <w:rsid w:val="00E55BA5"/>
    <w:rsid w:val="00E56FFE"/>
    <w:rsid w:val="00E57CF1"/>
    <w:rsid w:val="00E57D4F"/>
    <w:rsid w:val="00E61945"/>
    <w:rsid w:val="00E61FE2"/>
    <w:rsid w:val="00E623D2"/>
    <w:rsid w:val="00E62BCE"/>
    <w:rsid w:val="00E639B9"/>
    <w:rsid w:val="00E64899"/>
    <w:rsid w:val="00E648D8"/>
    <w:rsid w:val="00E6530F"/>
    <w:rsid w:val="00E65581"/>
    <w:rsid w:val="00E65988"/>
    <w:rsid w:val="00E65CA9"/>
    <w:rsid w:val="00E667AD"/>
    <w:rsid w:val="00E668D8"/>
    <w:rsid w:val="00E70023"/>
    <w:rsid w:val="00E701AE"/>
    <w:rsid w:val="00E70E8F"/>
    <w:rsid w:val="00E71B6C"/>
    <w:rsid w:val="00E71CBC"/>
    <w:rsid w:val="00E7298E"/>
    <w:rsid w:val="00E75114"/>
    <w:rsid w:val="00E75C82"/>
    <w:rsid w:val="00E77DA3"/>
    <w:rsid w:val="00E810B9"/>
    <w:rsid w:val="00E81E97"/>
    <w:rsid w:val="00E81F36"/>
    <w:rsid w:val="00E8206B"/>
    <w:rsid w:val="00E829A9"/>
    <w:rsid w:val="00E8441D"/>
    <w:rsid w:val="00E848C2"/>
    <w:rsid w:val="00E85118"/>
    <w:rsid w:val="00E856D9"/>
    <w:rsid w:val="00E871A0"/>
    <w:rsid w:val="00E877BA"/>
    <w:rsid w:val="00E87944"/>
    <w:rsid w:val="00E87C4A"/>
    <w:rsid w:val="00E90AF7"/>
    <w:rsid w:val="00E91421"/>
    <w:rsid w:val="00E92BBA"/>
    <w:rsid w:val="00E94896"/>
    <w:rsid w:val="00E949C9"/>
    <w:rsid w:val="00E94E79"/>
    <w:rsid w:val="00E95024"/>
    <w:rsid w:val="00E9518C"/>
    <w:rsid w:val="00E95B24"/>
    <w:rsid w:val="00E95B2B"/>
    <w:rsid w:val="00E966C1"/>
    <w:rsid w:val="00E978B8"/>
    <w:rsid w:val="00E97E3F"/>
    <w:rsid w:val="00EA0331"/>
    <w:rsid w:val="00EA3FF4"/>
    <w:rsid w:val="00EA4158"/>
    <w:rsid w:val="00EA52C2"/>
    <w:rsid w:val="00EA5EDB"/>
    <w:rsid w:val="00EA5FB1"/>
    <w:rsid w:val="00EA61D1"/>
    <w:rsid w:val="00EA65C6"/>
    <w:rsid w:val="00EA6BED"/>
    <w:rsid w:val="00EA6E6D"/>
    <w:rsid w:val="00EA6E96"/>
    <w:rsid w:val="00EB1B5C"/>
    <w:rsid w:val="00EB3942"/>
    <w:rsid w:val="00EB411C"/>
    <w:rsid w:val="00EB5847"/>
    <w:rsid w:val="00EB60BF"/>
    <w:rsid w:val="00EB6C2F"/>
    <w:rsid w:val="00EB7F9F"/>
    <w:rsid w:val="00EC0146"/>
    <w:rsid w:val="00EC0229"/>
    <w:rsid w:val="00EC116A"/>
    <w:rsid w:val="00EC1B4A"/>
    <w:rsid w:val="00EC1D54"/>
    <w:rsid w:val="00EC26D3"/>
    <w:rsid w:val="00EC292E"/>
    <w:rsid w:val="00EC4707"/>
    <w:rsid w:val="00EC4E6E"/>
    <w:rsid w:val="00EC58F9"/>
    <w:rsid w:val="00EC5C0F"/>
    <w:rsid w:val="00ED05D3"/>
    <w:rsid w:val="00ED0B30"/>
    <w:rsid w:val="00ED0D98"/>
    <w:rsid w:val="00ED154A"/>
    <w:rsid w:val="00ED24C6"/>
    <w:rsid w:val="00ED28FC"/>
    <w:rsid w:val="00ED2E84"/>
    <w:rsid w:val="00ED3947"/>
    <w:rsid w:val="00ED46FB"/>
    <w:rsid w:val="00EE009A"/>
    <w:rsid w:val="00EE0186"/>
    <w:rsid w:val="00EE0392"/>
    <w:rsid w:val="00EE0734"/>
    <w:rsid w:val="00EE1922"/>
    <w:rsid w:val="00EE1E6C"/>
    <w:rsid w:val="00EE3CD8"/>
    <w:rsid w:val="00EE3DEE"/>
    <w:rsid w:val="00EE41C8"/>
    <w:rsid w:val="00EE46A9"/>
    <w:rsid w:val="00EE4C0E"/>
    <w:rsid w:val="00EE4D0A"/>
    <w:rsid w:val="00EE4D10"/>
    <w:rsid w:val="00EE52A5"/>
    <w:rsid w:val="00EE5727"/>
    <w:rsid w:val="00EE5F0B"/>
    <w:rsid w:val="00EE6164"/>
    <w:rsid w:val="00EE653C"/>
    <w:rsid w:val="00EE6717"/>
    <w:rsid w:val="00EF0175"/>
    <w:rsid w:val="00EF04D2"/>
    <w:rsid w:val="00EF0668"/>
    <w:rsid w:val="00EF0FD4"/>
    <w:rsid w:val="00EF1CBA"/>
    <w:rsid w:val="00EF1CDE"/>
    <w:rsid w:val="00EF27D4"/>
    <w:rsid w:val="00EF2DF0"/>
    <w:rsid w:val="00EF39BA"/>
    <w:rsid w:val="00EF4857"/>
    <w:rsid w:val="00EF4EB6"/>
    <w:rsid w:val="00EF5693"/>
    <w:rsid w:val="00EF60D0"/>
    <w:rsid w:val="00EF628E"/>
    <w:rsid w:val="00EF770D"/>
    <w:rsid w:val="00F00CFB"/>
    <w:rsid w:val="00F00D3B"/>
    <w:rsid w:val="00F00FDC"/>
    <w:rsid w:val="00F015C3"/>
    <w:rsid w:val="00F01A20"/>
    <w:rsid w:val="00F028FA"/>
    <w:rsid w:val="00F0329E"/>
    <w:rsid w:val="00F03870"/>
    <w:rsid w:val="00F03BF8"/>
    <w:rsid w:val="00F041FD"/>
    <w:rsid w:val="00F049AD"/>
    <w:rsid w:val="00F04A88"/>
    <w:rsid w:val="00F0729D"/>
    <w:rsid w:val="00F072BA"/>
    <w:rsid w:val="00F0762D"/>
    <w:rsid w:val="00F118CA"/>
    <w:rsid w:val="00F1311D"/>
    <w:rsid w:val="00F149F7"/>
    <w:rsid w:val="00F14CD1"/>
    <w:rsid w:val="00F150E8"/>
    <w:rsid w:val="00F15392"/>
    <w:rsid w:val="00F160CC"/>
    <w:rsid w:val="00F16ABD"/>
    <w:rsid w:val="00F16EA4"/>
    <w:rsid w:val="00F1704B"/>
    <w:rsid w:val="00F17AF5"/>
    <w:rsid w:val="00F205E5"/>
    <w:rsid w:val="00F21C20"/>
    <w:rsid w:val="00F21F03"/>
    <w:rsid w:val="00F23197"/>
    <w:rsid w:val="00F244AE"/>
    <w:rsid w:val="00F24806"/>
    <w:rsid w:val="00F24AAC"/>
    <w:rsid w:val="00F24B31"/>
    <w:rsid w:val="00F25B57"/>
    <w:rsid w:val="00F27168"/>
    <w:rsid w:val="00F27D74"/>
    <w:rsid w:val="00F3003E"/>
    <w:rsid w:val="00F30A17"/>
    <w:rsid w:val="00F30CE2"/>
    <w:rsid w:val="00F32826"/>
    <w:rsid w:val="00F328AF"/>
    <w:rsid w:val="00F349CC"/>
    <w:rsid w:val="00F37BE6"/>
    <w:rsid w:val="00F405F4"/>
    <w:rsid w:val="00F428B9"/>
    <w:rsid w:val="00F441B6"/>
    <w:rsid w:val="00F446A6"/>
    <w:rsid w:val="00F4490A"/>
    <w:rsid w:val="00F44B32"/>
    <w:rsid w:val="00F45FD0"/>
    <w:rsid w:val="00F4761D"/>
    <w:rsid w:val="00F4793C"/>
    <w:rsid w:val="00F504B3"/>
    <w:rsid w:val="00F5134F"/>
    <w:rsid w:val="00F5143F"/>
    <w:rsid w:val="00F51FA0"/>
    <w:rsid w:val="00F52023"/>
    <w:rsid w:val="00F5291C"/>
    <w:rsid w:val="00F52995"/>
    <w:rsid w:val="00F52D41"/>
    <w:rsid w:val="00F52F34"/>
    <w:rsid w:val="00F53F54"/>
    <w:rsid w:val="00F54673"/>
    <w:rsid w:val="00F54F0F"/>
    <w:rsid w:val="00F57F87"/>
    <w:rsid w:val="00F57FCD"/>
    <w:rsid w:val="00F6049A"/>
    <w:rsid w:val="00F60846"/>
    <w:rsid w:val="00F6103B"/>
    <w:rsid w:val="00F61DF0"/>
    <w:rsid w:val="00F62026"/>
    <w:rsid w:val="00F620C8"/>
    <w:rsid w:val="00F626A7"/>
    <w:rsid w:val="00F62ABC"/>
    <w:rsid w:val="00F62EBB"/>
    <w:rsid w:val="00F63B49"/>
    <w:rsid w:val="00F6424C"/>
    <w:rsid w:val="00F666E0"/>
    <w:rsid w:val="00F670E4"/>
    <w:rsid w:val="00F67569"/>
    <w:rsid w:val="00F70D14"/>
    <w:rsid w:val="00F71922"/>
    <w:rsid w:val="00F71C6D"/>
    <w:rsid w:val="00F721D6"/>
    <w:rsid w:val="00F7279D"/>
    <w:rsid w:val="00F728BC"/>
    <w:rsid w:val="00F72A96"/>
    <w:rsid w:val="00F735E4"/>
    <w:rsid w:val="00F759C4"/>
    <w:rsid w:val="00F773C9"/>
    <w:rsid w:val="00F7751A"/>
    <w:rsid w:val="00F77AFA"/>
    <w:rsid w:val="00F77B7C"/>
    <w:rsid w:val="00F80495"/>
    <w:rsid w:val="00F810F8"/>
    <w:rsid w:val="00F8126A"/>
    <w:rsid w:val="00F81634"/>
    <w:rsid w:val="00F83583"/>
    <w:rsid w:val="00F8365C"/>
    <w:rsid w:val="00F83AF1"/>
    <w:rsid w:val="00F83B3C"/>
    <w:rsid w:val="00F8452F"/>
    <w:rsid w:val="00F84869"/>
    <w:rsid w:val="00F84B39"/>
    <w:rsid w:val="00F84C94"/>
    <w:rsid w:val="00F862D5"/>
    <w:rsid w:val="00F87479"/>
    <w:rsid w:val="00F90BB7"/>
    <w:rsid w:val="00F9133B"/>
    <w:rsid w:val="00F91A2E"/>
    <w:rsid w:val="00F91A96"/>
    <w:rsid w:val="00F91DFB"/>
    <w:rsid w:val="00F927AE"/>
    <w:rsid w:val="00F93036"/>
    <w:rsid w:val="00F93FB8"/>
    <w:rsid w:val="00F95013"/>
    <w:rsid w:val="00F96238"/>
    <w:rsid w:val="00F96C8C"/>
    <w:rsid w:val="00F974CF"/>
    <w:rsid w:val="00FA07B8"/>
    <w:rsid w:val="00FA0911"/>
    <w:rsid w:val="00FA121C"/>
    <w:rsid w:val="00FA2601"/>
    <w:rsid w:val="00FA342B"/>
    <w:rsid w:val="00FA3FD8"/>
    <w:rsid w:val="00FA5D08"/>
    <w:rsid w:val="00FA6C2B"/>
    <w:rsid w:val="00FB02FE"/>
    <w:rsid w:val="00FB0BB0"/>
    <w:rsid w:val="00FB20F2"/>
    <w:rsid w:val="00FB2A1C"/>
    <w:rsid w:val="00FB2FE1"/>
    <w:rsid w:val="00FB3230"/>
    <w:rsid w:val="00FB3394"/>
    <w:rsid w:val="00FB407C"/>
    <w:rsid w:val="00FB4516"/>
    <w:rsid w:val="00FB46CE"/>
    <w:rsid w:val="00FB51B1"/>
    <w:rsid w:val="00FB56EE"/>
    <w:rsid w:val="00FB5D89"/>
    <w:rsid w:val="00FB5F50"/>
    <w:rsid w:val="00FB7135"/>
    <w:rsid w:val="00FB7225"/>
    <w:rsid w:val="00FB7A78"/>
    <w:rsid w:val="00FB7F4F"/>
    <w:rsid w:val="00FC01DA"/>
    <w:rsid w:val="00FC2C39"/>
    <w:rsid w:val="00FC30FB"/>
    <w:rsid w:val="00FC3119"/>
    <w:rsid w:val="00FC6552"/>
    <w:rsid w:val="00FC6A72"/>
    <w:rsid w:val="00FC6BED"/>
    <w:rsid w:val="00FC6FE1"/>
    <w:rsid w:val="00FC78E1"/>
    <w:rsid w:val="00FC7E57"/>
    <w:rsid w:val="00FD0542"/>
    <w:rsid w:val="00FD0ACF"/>
    <w:rsid w:val="00FD0DAF"/>
    <w:rsid w:val="00FD13D0"/>
    <w:rsid w:val="00FD393E"/>
    <w:rsid w:val="00FD4376"/>
    <w:rsid w:val="00FD507F"/>
    <w:rsid w:val="00FD60CC"/>
    <w:rsid w:val="00FD70F5"/>
    <w:rsid w:val="00FE308A"/>
    <w:rsid w:val="00FE4926"/>
    <w:rsid w:val="00FE5FB8"/>
    <w:rsid w:val="00FE67F9"/>
    <w:rsid w:val="00FF09BE"/>
    <w:rsid w:val="00FF0A77"/>
    <w:rsid w:val="00FF0F4F"/>
    <w:rsid w:val="00FF13FE"/>
    <w:rsid w:val="00FF1499"/>
    <w:rsid w:val="00FF1BC1"/>
    <w:rsid w:val="00FF1FC3"/>
    <w:rsid w:val="00FF4272"/>
    <w:rsid w:val="00FF592F"/>
    <w:rsid w:val="00FF68BC"/>
    <w:rsid w:val="00FF6DB0"/>
    <w:rsid w:val="00FF77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B534ED-6290-4137-AE4A-A6B0C122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160" w:line="259" w:lineRule="auto"/>
    </w:pPr>
    <w:rPr>
      <w:rFonts w:cs="Calibri"/>
      <w:color w:val="000000"/>
      <w:sz w:val="22"/>
      <w:szCs w:val="22"/>
    </w:rPr>
  </w:style>
  <w:style w:type="paragraph" w:styleId="Ttulo1">
    <w:name w:val="heading 1"/>
    <w:basedOn w:val="Normal"/>
    <w:next w:val="Normal"/>
    <w:link w:val="Ttulo1Car"/>
    <w:uiPriority w:val="9"/>
    <w:pPr>
      <w:keepNext/>
      <w:keepLines/>
      <w:spacing w:before="480" w:after="120"/>
      <w:outlineLvl w:val="0"/>
    </w:pPr>
    <w:rPr>
      <w:b/>
      <w:sz w:val="48"/>
      <w:szCs w:val="48"/>
    </w:rPr>
  </w:style>
  <w:style w:type="paragraph" w:styleId="Ttulo2">
    <w:name w:val="heading 2"/>
    <w:basedOn w:val="Normal"/>
    <w:next w:val="Normal"/>
    <w:link w:val="Ttulo2Car"/>
    <w:uiPriority w:val="9"/>
    <w:pPr>
      <w:keepNext/>
      <w:keepLines/>
      <w:spacing w:before="360" w:after="80"/>
      <w:outlineLvl w:val="1"/>
    </w:pPr>
    <w:rPr>
      <w:b/>
      <w:sz w:val="36"/>
      <w:szCs w:val="36"/>
    </w:rPr>
  </w:style>
  <w:style w:type="paragraph" w:styleId="Ttulo3">
    <w:name w:val="heading 3"/>
    <w:basedOn w:val="Normal"/>
    <w:next w:val="Normal"/>
    <w:link w:val="Ttulo3Car"/>
    <w:uiPriority w:val="9"/>
    <w:pPr>
      <w:keepNext/>
      <w:keepLines/>
      <w:spacing w:before="280" w:after="80"/>
      <w:outlineLvl w:val="2"/>
    </w:pPr>
    <w:rPr>
      <w:b/>
      <w:sz w:val="28"/>
      <w:szCs w:val="28"/>
    </w:rPr>
  </w:style>
  <w:style w:type="paragraph" w:styleId="Ttulo4">
    <w:name w:val="heading 4"/>
    <w:basedOn w:val="Normal"/>
    <w:next w:val="Normal"/>
    <w:link w:val="Ttulo4Car"/>
    <w:uiPriority w:val="9"/>
    <w:pPr>
      <w:keepNext/>
      <w:keepLines/>
      <w:spacing w:before="240" w:after="40"/>
      <w:outlineLvl w:val="3"/>
    </w:pPr>
    <w:rPr>
      <w:b/>
      <w:sz w:val="24"/>
      <w:szCs w:val="24"/>
    </w:rPr>
  </w:style>
  <w:style w:type="paragraph" w:styleId="Ttulo5">
    <w:name w:val="heading 5"/>
    <w:basedOn w:val="Normal"/>
    <w:next w:val="Normal"/>
    <w:link w:val="Ttulo5Car"/>
    <w:uiPriority w:val="9"/>
    <w:pPr>
      <w:keepNext/>
      <w:keepLines/>
      <w:spacing w:before="220" w:after="40"/>
      <w:outlineLvl w:val="4"/>
    </w:pPr>
    <w:rPr>
      <w:b/>
    </w:rPr>
  </w:style>
  <w:style w:type="paragraph" w:styleId="Ttulo6">
    <w:name w:val="heading 6"/>
    <w:basedOn w:val="Normal"/>
    <w:next w:val="Normal"/>
    <w:link w:val="Ttulo6Car"/>
    <w:uiPriority w:val="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000000"/>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color w:val="000000"/>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000000"/>
      <w:sz w:val="26"/>
      <w:szCs w:val="26"/>
    </w:rPr>
  </w:style>
  <w:style w:type="character" w:customStyle="1" w:styleId="Ttulo4Car">
    <w:name w:val="Título 4 Car"/>
    <w:basedOn w:val="Fuentedeprrafopredeter"/>
    <w:link w:val="Ttulo4"/>
    <w:uiPriority w:val="9"/>
    <w:semiHidden/>
    <w:rPr>
      <w:rFonts w:asciiTheme="minorHAnsi" w:eastAsiaTheme="minorEastAsia" w:hAnsiTheme="minorHAnsi" w:cstheme="minorBidi"/>
      <w:b/>
      <w:bCs/>
      <w:color w:val="000000"/>
      <w:sz w:val="28"/>
      <w:szCs w:val="28"/>
    </w:rPr>
  </w:style>
  <w:style w:type="character" w:customStyle="1" w:styleId="Ttulo5Car">
    <w:name w:val="Título 5 Car"/>
    <w:basedOn w:val="Fuentedeprrafopredeter"/>
    <w:link w:val="Ttulo5"/>
    <w:uiPriority w:val="9"/>
    <w:semiHidden/>
    <w:rPr>
      <w:rFonts w:asciiTheme="minorHAnsi" w:eastAsiaTheme="minorEastAsia" w:hAnsiTheme="minorHAnsi" w:cstheme="minorBidi"/>
      <w:b/>
      <w:bCs/>
      <w:i/>
      <w:iCs/>
      <w:color w:val="000000"/>
      <w:sz w:val="26"/>
      <w:szCs w:val="26"/>
    </w:rPr>
  </w:style>
  <w:style w:type="character" w:customStyle="1" w:styleId="Ttulo6Car">
    <w:name w:val="Título 6 Car"/>
    <w:basedOn w:val="Fuentedeprrafopredeter"/>
    <w:link w:val="Ttulo6"/>
    <w:uiPriority w:val="9"/>
    <w:semiHidden/>
    <w:rPr>
      <w:rFonts w:asciiTheme="minorHAnsi" w:eastAsiaTheme="minorEastAsia" w:hAnsiTheme="minorHAnsi" w:cstheme="minorBidi"/>
      <w:b/>
      <w:bCs/>
      <w:color w:val="000000"/>
      <w:sz w:val="22"/>
      <w:szCs w:val="22"/>
    </w:rPr>
  </w:style>
  <w:style w:type="table" w:customStyle="1" w:styleId="TableNormal">
    <w:name w:val="Table Normal"/>
    <w:pPr>
      <w:spacing w:after="160" w:line="259" w:lineRule="auto"/>
    </w:pPr>
    <w:rPr>
      <w:rFonts w:cs="Calibri"/>
      <w:color w:val="000000"/>
      <w:sz w:val="22"/>
      <w:szCs w:val="22"/>
    </w:rPr>
    <w:tblPr>
      <w:tblCellMar>
        <w:top w:w="0" w:type="dxa"/>
        <w:left w:w="0" w:type="dxa"/>
        <w:bottom w:w="0" w:type="dxa"/>
        <w:right w:w="0" w:type="dxa"/>
      </w:tblCellMar>
    </w:tblPr>
  </w:style>
  <w:style w:type="paragraph" w:styleId="Ttulo">
    <w:name w:val="Title"/>
    <w:basedOn w:val="Normal"/>
    <w:next w:val="Normal"/>
    <w:link w:val="TtuloCar"/>
    <w:uiPriority w:val="10"/>
    <w:pPr>
      <w:keepNext/>
      <w:keepLines/>
      <w:spacing w:before="480" w:after="120"/>
    </w:pPr>
    <w:rPr>
      <w:b/>
      <w:sz w:val="72"/>
      <w:szCs w:val="72"/>
    </w:rPr>
  </w:style>
  <w:style w:type="character" w:customStyle="1" w:styleId="TtuloCar">
    <w:name w:val="Título Car"/>
    <w:basedOn w:val="Fuentedeprrafopredeter"/>
    <w:link w:val="Ttulo"/>
    <w:uiPriority w:val="10"/>
    <w:rPr>
      <w:rFonts w:asciiTheme="majorHAnsi" w:eastAsiaTheme="majorEastAsia" w:hAnsiTheme="majorHAnsi" w:cstheme="majorBidi"/>
      <w:b/>
      <w:bCs/>
      <w:color w:val="000000"/>
      <w:kern w:val="28"/>
      <w:sz w:val="32"/>
      <w:szCs w:val="32"/>
    </w:rPr>
  </w:style>
  <w:style w:type="paragraph" w:styleId="Subttulo">
    <w:name w:val="Subtitle"/>
    <w:basedOn w:val="Normal"/>
    <w:next w:val="Normal"/>
    <w:link w:val="SubttuloCar"/>
    <w:uiPriority w:val="11"/>
    <w:pPr>
      <w:keepNext/>
      <w:keepLines/>
      <w:spacing w:before="360" w:after="80"/>
    </w:pPr>
    <w:rPr>
      <w:rFonts w:ascii="Georgia" w:hAnsi="Georgia" w:cs="Georgia"/>
      <w:i/>
      <w:color w:val="666666"/>
      <w:sz w:val="48"/>
      <w:szCs w:val="48"/>
    </w:rPr>
  </w:style>
  <w:style w:type="character" w:customStyle="1" w:styleId="SubttuloCar">
    <w:name w:val="Subtítulo Car"/>
    <w:basedOn w:val="Fuentedeprrafopredeter"/>
    <w:link w:val="Subttulo"/>
    <w:uiPriority w:val="11"/>
    <w:rPr>
      <w:rFonts w:asciiTheme="majorHAnsi" w:eastAsiaTheme="majorEastAsia" w:hAnsiTheme="majorHAnsi" w:cstheme="majorBidi"/>
      <w:color w:val="000000"/>
      <w:sz w:val="24"/>
      <w:szCs w:val="24"/>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F27168"/>
    <w:pPr>
      <w:ind w:left="720"/>
      <w:contextualSpacing/>
    </w:pPr>
  </w:style>
  <w:style w:type="paragraph" w:styleId="Textodeglobo">
    <w:name w:val="Balloon Text"/>
    <w:basedOn w:val="Normal"/>
    <w:link w:val="TextodegloboCar"/>
    <w:uiPriority w:val="99"/>
    <w:semiHidden/>
    <w:unhideWhenUsed/>
    <w:rsid w:val="00F271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F27168"/>
    <w:rPr>
      <w:rFonts w:ascii="Segoe UI" w:hAnsi="Segoe UI"/>
      <w:sz w:val="18"/>
    </w:rPr>
  </w:style>
  <w:style w:type="paragraph" w:styleId="Textonotapie">
    <w:name w:val="footnote text"/>
    <w:aliases w:val="Ref. de nota al pie1,Texto de nota al pie,referencia nota al pie,Footnotes refss,Appel note de bas de page,Fago Fußnotenzeichen,Footnote number,BVI fnr,f,Ref. de nota al pie 2,4_G,16 Point,Superscript 6 Point,Footnote symbol,Footnote,Ref"/>
    <w:basedOn w:val="Normal"/>
    <w:link w:val="TextonotapieCar"/>
    <w:uiPriority w:val="99"/>
    <w:unhideWhenUsed/>
    <w:qFormat/>
    <w:rsid w:val="006C7610"/>
    <w:pPr>
      <w:spacing w:after="0" w:line="240" w:lineRule="auto"/>
    </w:pPr>
    <w:rPr>
      <w:sz w:val="20"/>
      <w:szCs w:val="20"/>
    </w:r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Ref. de nota al pie 2 Car,4_G Car,Ref Car"/>
    <w:basedOn w:val="Fuentedeprrafopredeter"/>
    <w:link w:val="Textonotapie"/>
    <w:uiPriority w:val="99"/>
    <w:qFormat/>
    <w:locked/>
    <w:rsid w:val="006C7610"/>
    <w:rPr>
      <w:sz w:val="20"/>
    </w:rPr>
  </w:style>
  <w:style w:type="character" w:styleId="Refdenotaalpie">
    <w:name w:val="footnote reference"/>
    <w:aliases w:val="Texto nota al pie,Pie de Página,FC,Texto de nota al pi,Pie de P_gi"/>
    <w:basedOn w:val="Fuentedeprrafopredeter"/>
    <w:link w:val="4GChar"/>
    <w:uiPriority w:val="99"/>
    <w:unhideWhenUsed/>
    <w:qFormat/>
    <w:locked/>
    <w:rsid w:val="006C7610"/>
    <w:rPr>
      <w:vertAlign w:val="superscript"/>
    </w:rPr>
  </w:style>
  <w:style w:type="paragraph" w:styleId="Encabezado">
    <w:name w:val="header"/>
    <w:basedOn w:val="Normal"/>
    <w:link w:val="EncabezadoCar"/>
    <w:uiPriority w:val="99"/>
    <w:unhideWhenUsed/>
    <w:rsid w:val="009632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963215"/>
    <w:rPr>
      <w:rFonts w:cs="Times New Roman"/>
    </w:rPr>
  </w:style>
  <w:style w:type="paragraph" w:styleId="Piedepgina">
    <w:name w:val="footer"/>
    <w:basedOn w:val="Normal"/>
    <w:link w:val="PiedepginaCar"/>
    <w:uiPriority w:val="99"/>
    <w:unhideWhenUsed/>
    <w:rsid w:val="009632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963215"/>
    <w:rPr>
      <w:rFonts w:cs="Times New Roman"/>
    </w:rPr>
  </w:style>
  <w:style w:type="character" w:styleId="Refdecomentario">
    <w:name w:val="annotation reference"/>
    <w:basedOn w:val="Fuentedeprrafopredeter"/>
    <w:uiPriority w:val="99"/>
    <w:semiHidden/>
    <w:unhideWhenUsed/>
    <w:rsid w:val="00E623D2"/>
    <w:rPr>
      <w:sz w:val="16"/>
    </w:rPr>
  </w:style>
  <w:style w:type="paragraph" w:styleId="Textocomentario">
    <w:name w:val="annotation text"/>
    <w:basedOn w:val="Normal"/>
    <w:link w:val="TextocomentarioCar"/>
    <w:uiPriority w:val="99"/>
    <w:unhideWhenUsed/>
    <w:rsid w:val="00E623D2"/>
    <w:pPr>
      <w:spacing w:line="240" w:lineRule="auto"/>
    </w:pPr>
    <w:rPr>
      <w:sz w:val="20"/>
      <w:szCs w:val="20"/>
    </w:rPr>
  </w:style>
  <w:style w:type="character" w:customStyle="1" w:styleId="TextocomentarioCar">
    <w:name w:val="Texto comentario Car"/>
    <w:basedOn w:val="Fuentedeprrafopredeter"/>
    <w:link w:val="Textocomentario"/>
    <w:uiPriority w:val="99"/>
    <w:locked/>
    <w:rsid w:val="00E623D2"/>
    <w:rPr>
      <w:sz w:val="20"/>
    </w:rPr>
  </w:style>
  <w:style w:type="paragraph" w:styleId="Asuntodelcomentario">
    <w:name w:val="annotation subject"/>
    <w:basedOn w:val="Textocomentario"/>
    <w:next w:val="Textocomentario"/>
    <w:link w:val="AsuntodelcomentarioCar"/>
    <w:uiPriority w:val="99"/>
    <w:semiHidden/>
    <w:unhideWhenUsed/>
    <w:rsid w:val="00E623D2"/>
    <w:rPr>
      <w:b/>
      <w:bCs/>
    </w:rPr>
  </w:style>
  <w:style w:type="character" w:customStyle="1" w:styleId="AsuntodelcomentarioCar">
    <w:name w:val="Asunto del comentario Car"/>
    <w:basedOn w:val="TextocomentarioCar"/>
    <w:link w:val="Asuntodelcomentario"/>
    <w:uiPriority w:val="99"/>
    <w:semiHidden/>
    <w:locked/>
    <w:rsid w:val="00E623D2"/>
    <w:rPr>
      <w:b/>
      <w:sz w:val="20"/>
    </w:rPr>
  </w:style>
  <w:style w:type="character" w:customStyle="1" w:styleId="apple-converted-space">
    <w:name w:val="apple-converted-space"/>
    <w:basedOn w:val="Fuentedeprrafopredeter"/>
    <w:rsid w:val="009F5AFB"/>
    <w:rPr>
      <w:rFonts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F5AFB"/>
    <w:pPr>
      <w:spacing w:after="0" w:line="240" w:lineRule="auto"/>
      <w:jc w:val="both"/>
    </w:pPr>
    <w:rPr>
      <w:vertAlign w:val="superscript"/>
    </w:rPr>
  </w:style>
  <w:style w:type="paragraph" w:customStyle="1" w:styleId="Default">
    <w:name w:val="Default"/>
    <w:rsid w:val="00C07F05"/>
    <w:pPr>
      <w:autoSpaceDE w:val="0"/>
      <w:autoSpaceDN w:val="0"/>
      <w:adjustRightInd w:val="0"/>
    </w:pPr>
    <w:rPr>
      <w:rFonts w:ascii="Tahoma" w:hAnsi="Tahoma" w:cs="Tahoma"/>
      <w:color w:val="000000"/>
      <w:sz w:val="24"/>
      <w:szCs w:val="24"/>
      <w:lang w:eastAsia="en-US"/>
    </w:rPr>
  </w:style>
  <w:style w:type="character" w:styleId="Hipervnculo">
    <w:name w:val="Hyperlink"/>
    <w:basedOn w:val="Fuentedeprrafopredeter"/>
    <w:uiPriority w:val="99"/>
    <w:unhideWhenUsed/>
    <w:rsid w:val="00541A99"/>
    <w:rPr>
      <w:color w:val="0563C1"/>
      <w:u w:val="single"/>
    </w:rPr>
  </w:style>
  <w:style w:type="table" w:styleId="Tablaconcuadrcula">
    <w:name w:val="Table Grid"/>
    <w:basedOn w:val="Tablanormal"/>
    <w:uiPriority w:val="39"/>
    <w:rsid w:val="00677A5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E6F73"/>
    <w:rPr>
      <w:color w:val="954F72"/>
      <w:u w:val="single"/>
    </w:rPr>
  </w:style>
  <w:style w:type="paragraph" w:styleId="NormalWeb">
    <w:name w:val="Normal (Web)"/>
    <w:basedOn w:val="Normal"/>
    <w:uiPriority w:val="99"/>
    <w:unhideWhenUsed/>
    <w:rsid w:val="0094427A"/>
    <w:pPr>
      <w:spacing w:before="100" w:beforeAutospacing="1" w:after="100" w:afterAutospacing="1" w:line="240" w:lineRule="auto"/>
    </w:pPr>
    <w:rPr>
      <w:rFonts w:ascii="Times New Roman" w:hAnsi="Times New Roman" w:cs="Times New Roman"/>
      <w:color w:val="auto"/>
      <w:sz w:val="24"/>
      <w:szCs w:val="24"/>
    </w:rPr>
  </w:style>
  <w:style w:type="paragraph" w:customStyle="1" w:styleId="cuerpotexto">
    <w:name w:val="cuerpotexto"/>
    <w:basedOn w:val="Normal"/>
    <w:rsid w:val="0094427A"/>
    <w:pPr>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641162">
      <w:marLeft w:val="0"/>
      <w:marRight w:val="0"/>
      <w:marTop w:val="0"/>
      <w:marBottom w:val="0"/>
      <w:divBdr>
        <w:top w:val="none" w:sz="0" w:space="0" w:color="auto"/>
        <w:left w:val="none" w:sz="0" w:space="0" w:color="auto"/>
        <w:bottom w:val="none" w:sz="0" w:space="0" w:color="auto"/>
        <w:right w:val="none" w:sz="0" w:space="0" w:color="auto"/>
      </w:divBdr>
    </w:div>
    <w:div w:id="1991641163">
      <w:marLeft w:val="0"/>
      <w:marRight w:val="0"/>
      <w:marTop w:val="0"/>
      <w:marBottom w:val="0"/>
      <w:divBdr>
        <w:top w:val="none" w:sz="0" w:space="0" w:color="auto"/>
        <w:left w:val="none" w:sz="0" w:space="0" w:color="auto"/>
        <w:bottom w:val="none" w:sz="0" w:space="0" w:color="auto"/>
        <w:right w:val="none" w:sz="0" w:space="0" w:color="auto"/>
      </w:divBdr>
    </w:div>
    <w:div w:id="1991641164">
      <w:marLeft w:val="0"/>
      <w:marRight w:val="0"/>
      <w:marTop w:val="0"/>
      <w:marBottom w:val="0"/>
      <w:divBdr>
        <w:top w:val="none" w:sz="0" w:space="0" w:color="auto"/>
        <w:left w:val="none" w:sz="0" w:space="0" w:color="auto"/>
        <w:bottom w:val="none" w:sz="0" w:space="0" w:color="auto"/>
        <w:right w:val="none" w:sz="0" w:space="0" w:color="auto"/>
      </w:divBdr>
    </w:div>
    <w:div w:id="1991641165">
      <w:marLeft w:val="0"/>
      <w:marRight w:val="0"/>
      <w:marTop w:val="0"/>
      <w:marBottom w:val="0"/>
      <w:divBdr>
        <w:top w:val="none" w:sz="0" w:space="0" w:color="auto"/>
        <w:left w:val="none" w:sz="0" w:space="0" w:color="auto"/>
        <w:bottom w:val="none" w:sz="0" w:space="0" w:color="auto"/>
        <w:right w:val="none" w:sz="0" w:space="0" w:color="auto"/>
      </w:divBdr>
    </w:div>
    <w:div w:id="1991641166">
      <w:marLeft w:val="0"/>
      <w:marRight w:val="0"/>
      <w:marTop w:val="0"/>
      <w:marBottom w:val="0"/>
      <w:divBdr>
        <w:top w:val="none" w:sz="0" w:space="0" w:color="auto"/>
        <w:left w:val="none" w:sz="0" w:space="0" w:color="auto"/>
        <w:bottom w:val="none" w:sz="0" w:space="0" w:color="auto"/>
        <w:right w:val="none" w:sz="0" w:space="0" w:color="auto"/>
      </w:divBdr>
    </w:div>
    <w:div w:id="1991641167">
      <w:marLeft w:val="0"/>
      <w:marRight w:val="0"/>
      <w:marTop w:val="0"/>
      <w:marBottom w:val="0"/>
      <w:divBdr>
        <w:top w:val="none" w:sz="0" w:space="0" w:color="auto"/>
        <w:left w:val="none" w:sz="0" w:space="0" w:color="auto"/>
        <w:bottom w:val="none" w:sz="0" w:space="0" w:color="auto"/>
        <w:right w:val="none" w:sz="0" w:space="0" w:color="auto"/>
      </w:divBdr>
      <w:divsChild>
        <w:div w:id="1991641179">
          <w:marLeft w:val="547"/>
          <w:marRight w:val="0"/>
          <w:marTop w:val="0"/>
          <w:marBottom w:val="0"/>
          <w:divBdr>
            <w:top w:val="none" w:sz="0" w:space="0" w:color="auto"/>
            <w:left w:val="none" w:sz="0" w:space="0" w:color="auto"/>
            <w:bottom w:val="none" w:sz="0" w:space="0" w:color="auto"/>
            <w:right w:val="none" w:sz="0" w:space="0" w:color="auto"/>
          </w:divBdr>
        </w:div>
      </w:divsChild>
    </w:div>
    <w:div w:id="1991641168">
      <w:marLeft w:val="0"/>
      <w:marRight w:val="0"/>
      <w:marTop w:val="0"/>
      <w:marBottom w:val="0"/>
      <w:divBdr>
        <w:top w:val="none" w:sz="0" w:space="0" w:color="auto"/>
        <w:left w:val="none" w:sz="0" w:space="0" w:color="auto"/>
        <w:bottom w:val="none" w:sz="0" w:space="0" w:color="auto"/>
        <w:right w:val="none" w:sz="0" w:space="0" w:color="auto"/>
      </w:divBdr>
    </w:div>
    <w:div w:id="1991641169">
      <w:marLeft w:val="0"/>
      <w:marRight w:val="0"/>
      <w:marTop w:val="0"/>
      <w:marBottom w:val="0"/>
      <w:divBdr>
        <w:top w:val="none" w:sz="0" w:space="0" w:color="auto"/>
        <w:left w:val="none" w:sz="0" w:space="0" w:color="auto"/>
        <w:bottom w:val="none" w:sz="0" w:space="0" w:color="auto"/>
        <w:right w:val="none" w:sz="0" w:space="0" w:color="auto"/>
      </w:divBdr>
    </w:div>
    <w:div w:id="1991641170">
      <w:marLeft w:val="0"/>
      <w:marRight w:val="0"/>
      <w:marTop w:val="0"/>
      <w:marBottom w:val="0"/>
      <w:divBdr>
        <w:top w:val="none" w:sz="0" w:space="0" w:color="auto"/>
        <w:left w:val="none" w:sz="0" w:space="0" w:color="auto"/>
        <w:bottom w:val="none" w:sz="0" w:space="0" w:color="auto"/>
        <w:right w:val="none" w:sz="0" w:space="0" w:color="auto"/>
      </w:divBdr>
    </w:div>
    <w:div w:id="1991641171">
      <w:marLeft w:val="0"/>
      <w:marRight w:val="0"/>
      <w:marTop w:val="0"/>
      <w:marBottom w:val="0"/>
      <w:divBdr>
        <w:top w:val="none" w:sz="0" w:space="0" w:color="auto"/>
        <w:left w:val="none" w:sz="0" w:space="0" w:color="auto"/>
        <w:bottom w:val="none" w:sz="0" w:space="0" w:color="auto"/>
        <w:right w:val="none" w:sz="0" w:space="0" w:color="auto"/>
      </w:divBdr>
    </w:div>
    <w:div w:id="1991641172">
      <w:marLeft w:val="0"/>
      <w:marRight w:val="0"/>
      <w:marTop w:val="0"/>
      <w:marBottom w:val="0"/>
      <w:divBdr>
        <w:top w:val="none" w:sz="0" w:space="0" w:color="auto"/>
        <w:left w:val="none" w:sz="0" w:space="0" w:color="auto"/>
        <w:bottom w:val="none" w:sz="0" w:space="0" w:color="auto"/>
        <w:right w:val="none" w:sz="0" w:space="0" w:color="auto"/>
      </w:divBdr>
    </w:div>
    <w:div w:id="1991641173">
      <w:marLeft w:val="0"/>
      <w:marRight w:val="0"/>
      <w:marTop w:val="0"/>
      <w:marBottom w:val="0"/>
      <w:divBdr>
        <w:top w:val="none" w:sz="0" w:space="0" w:color="auto"/>
        <w:left w:val="none" w:sz="0" w:space="0" w:color="auto"/>
        <w:bottom w:val="none" w:sz="0" w:space="0" w:color="auto"/>
        <w:right w:val="none" w:sz="0" w:space="0" w:color="auto"/>
      </w:divBdr>
    </w:div>
    <w:div w:id="1991641174">
      <w:marLeft w:val="0"/>
      <w:marRight w:val="0"/>
      <w:marTop w:val="0"/>
      <w:marBottom w:val="0"/>
      <w:divBdr>
        <w:top w:val="none" w:sz="0" w:space="0" w:color="auto"/>
        <w:left w:val="none" w:sz="0" w:space="0" w:color="auto"/>
        <w:bottom w:val="none" w:sz="0" w:space="0" w:color="auto"/>
        <w:right w:val="none" w:sz="0" w:space="0" w:color="auto"/>
      </w:divBdr>
    </w:div>
    <w:div w:id="1991641175">
      <w:marLeft w:val="0"/>
      <w:marRight w:val="0"/>
      <w:marTop w:val="0"/>
      <w:marBottom w:val="0"/>
      <w:divBdr>
        <w:top w:val="none" w:sz="0" w:space="0" w:color="auto"/>
        <w:left w:val="none" w:sz="0" w:space="0" w:color="auto"/>
        <w:bottom w:val="none" w:sz="0" w:space="0" w:color="auto"/>
        <w:right w:val="none" w:sz="0" w:space="0" w:color="auto"/>
      </w:divBdr>
    </w:div>
    <w:div w:id="1991641176">
      <w:marLeft w:val="0"/>
      <w:marRight w:val="0"/>
      <w:marTop w:val="0"/>
      <w:marBottom w:val="0"/>
      <w:divBdr>
        <w:top w:val="none" w:sz="0" w:space="0" w:color="auto"/>
        <w:left w:val="none" w:sz="0" w:space="0" w:color="auto"/>
        <w:bottom w:val="none" w:sz="0" w:space="0" w:color="auto"/>
        <w:right w:val="none" w:sz="0" w:space="0" w:color="auto"/>
      </w:divBdr>
    </w:div>
    <w:div w:id="1991641177">
      <w:marLeft w:val="0"/>
      <w:marRight w:val="0"/>
      <w:marTop w:val="0"/>
      <w:marBottom w:val="0"/>
      <w:divBdr>
        <w:top w:val="none" w:sz="0" w:space="0" w:color="auto"/>
        <w:left w:val="none" w:sz="0" w:space="0" w:color="auto"/>
        <w:bottom w:val="none" w:sz="0" w:space="0" w:color="auto"/>
        <w:right w:val="none" w:sz="0" w:space="0" w:color="auto"/>
      </w:divBdr>
    </w:div>
    <w:div w:id="1991641178">
      <w:marLeft w:val="0"/>
      <w:marRight w:val="0"/>
      <w:marTop w:val="0"/>
      <w:marBottom w:val="0"/>
      <w:divBdr>
        <w:top w:val="none" w:sz="0" w:space="0" w:color="auto"/>
        <w:left w:val="none" w:sz="0" w:space="0" w:color="auto"/>
        <w:bottom w:val="none" w:sz="0" w:space="0" w:color="auto"/>
        <w:right w:val="none" w:sz="0" w:space="0" w:color="auto"/>
      </w:divBdr>
    </w:div>
    <w:div w:id="1991641180">
      <w:marLeft w:val="0"/>
      <w:marRight w:val="0"/>
      <w:marTop w:val="0"/>
      <w:marBottom w:val="0"/>
      <w:divBdr>
        <w:top w:val="none" w:sz="0" w:space="0" w:color="auto"/>
        <w:left w:val="none" w:sz="0" w:space="0" w:color="auto"/>
        <w:bottom w:val="none" w:sz="0" w:space="0" w:color="auto"/>
        <w:right w:val="none" w:sz="0" w:space="0" w:color="auto"/>
      </w:divBdr>
    </w:div>
    <w:div w:id="1991641181">
      <w:marLeft w:val="0"/>
      <w:marRight w:val="0"/>
      <w:marTop w:val="0"/>
      <w:marBottom w:val="0"/>
      <w:divBdr>
        <w:top w:val="none" w:sz="0" w:space="0" w:color="auto"/>
        <w:left w:val="none" w:sz="0" w:space="0" w:color="auto"/>
        <w:bottom w:val="none" w:sz="0" w:space="0" w:color="auto"/>
        <w:right w:val="none" w:sz="0" w:space="0" w:color="auto"/>
      </w:divBdr>
    </w:div>
    <w:div w:id="19916411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92064-DDB6-4932-BD0D-B7D34EF6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15160</Words>
  <Characters>83384</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Fernanda Rodríguez Rodriguez</dc:creator>
  <cp:lastModifiedBy>AW002</cp:lastModifiedBy>
  <cp:revision>2</cp:revision>
  <cp:lastPrinted>2018-05-24T15:39:00Z</cp:lastPrinted>
  <dcterms:created xsi:type="dcterms:W3CDTF">2018-07-09T14:13:00Z</dcterms:created>
  <dcterms:modified xsi:type="dcterms:W3CDTF">2018-07-09T14:13:00Z</dcterms:modified>
</cp:coreProperties>
</file>