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39" w:rsidRDefault="00C85E39" w:rsidP="00C85E39">
      <w:pPr>
        <w:tabs>
          <w:tab w:val="left" w:pos="8310"/>
        </w:tabs>
        <w:spacing w:after="0" w:line="300" w:lineRule="auto"/>
        <w:jc w:val="both"/>
        <w:rPr>
          <w:rFonts w:ascii="Century Gothic" w:hAnsi="Century Gothic" w:cs="Century Gothic"/>
          <w:sz w:val="24"/>
          <w:szCs w:val="24"/>
          <w:lang w:val="es-CO"/>
        </w:rPr>
      </w:pPr>
      <w:r w:rsidRPr="008A66F6">
        <w:rPr>
          <w:rFonts w:ascii="Century Gothic" w:hAnsi="Century Gothic" w:cs="Century Gothic"/>
          <w:sz w:val="24"/>
          <w:szCs w:val="24"/>
          <w:lang w:val="es-CO"/>
        </w:rPr>
        <w:t>Cartagena de Indias D. T. y C</w:t>
      </w:r>
      <w:r w:rsidRPr="00C85E39">
        <w:rPr>
          <w:rFonts w:ascii="Century Gothic" w:hAnsi="Century Gothic" w:cs="Century Gothic"/>
          <w:sz w:val="24"/>
          <w:szCs w:val="24"/>
          <w:lang w:val="es-CO"/>
        </w:rPr>
        <w:t>., veintidós (22) de mayo de dos mil veinte (2020)</w:t>
      </w:r>
    </w:p>
    <w:p w:rsidR="00C85E39" w:rsidRPr="008A66F6" w:rsidRDefault="00C85E39" w:rsidP="00C85E39">
      <w:pPr>
        <w:tabs>
          <w:tab w:val="left" w:pos="8310"/>
        </w:tabs>
        <w:spacing w:after="0" w:line="300" w:lineRule="auto"/>
        <w:jc w:val="both"/>
        <w:rPr>
          <w:rFonts w:ascii="Century Gothic" w:hAnsi="Century Gothic" w:cs="Century Gothic"/>
          <w:sz w:val="24"/>
          <w:szCs w:val="24"/>
          <w:lang w:val="es-CO"/>
        </w:rPr>
      </w:pPr>
    </w:p>
    <w:p w:rsidR="00C85E39" w:rsidRPr="008A66F6" w:rsidRDefault="00C85E39" w:rsidP="00C85E39">
      <w:pPr>
        <w:tabs>
          <w:tab w:val="left" w:pos="142"/>
          <w:tab w:val="left" w:pos="8439"/>
        </w:tabs>
        <w:spacing w:after="0" w:line="300" w:lineRule="auto"/>
        <w:jc w:val="both"/>
        <w:rPr>
          <w:rFonts w:ascii="Century Gothic" w:hAnsi="Century Gothic" w:cs="Century Gothic"/>
          <w:b/>
          <w:sz w:val="24"/>
          <w:szCs w:val="24"/>
          <w:lang w:val="es-CO"/>
        </w:rPr>
      </w:pPr>
      <w:r w:rsidRPr="008A66F6">
        <w:rPr>
          <w:rFonts w:ascii="Century Gothic" w:hAnsi="Century Gothic" w:cs="Century Gothic"/>
          <w:b/>
          <w:sz w:val="24"/>
          <w:szCs w:val="24"/>
          <w:lang w:val="es-CO"/>
        </w:rPr>
        <w:t xml:space="preserve">I. IDENTIFICACIÓN DEL PROCESO, </w:t>
      </w:r>
      <w:r>
        <w:rPr>
          <w:rFonts w:ascii="Century Gothic" w:hAnsi="Century Gothic" w:cs="Century Gothic"/>
          <w:b/>
          <w:sz w:val="24"/>
          <w:szCs w:val="24"/>
          <w:lang w:val="es-CO"/>
        </w:rPr>
        <w:t xml:space="preserve">RADICACIÓN, </w:t>
      </w:r>
      <w:r w:rsidRPr="008A66F6">
        <w:rPr>
          <w:rFonts w:ascii="Century Gothic" w:hAnsi="Century Gothic" w:cs="Century Gothic"/>
          <w:b/>
          <w:sz w:val="24"/>
          <w:szCs w:val="24"/>
          <w:lang w:val="es-CO"/>
        </w:rPr>
        <w:t xml:space="preserve">PARTES E INTERVINIENTES </w:t>
      </w:r>
    </w:p>
    <w:p w:rsidR="00C85E39" w:rsidRPr="008A66F6" w:rsidRDefault="00C85E39" w:rsidP="00C85E39">
      <w:pPr>
        <w:tabs>
          <w:tab w:val="left" w:pos="142"/>
          <w:tab w:val="left" w:pos="8439"/>
        </w:tabs>
        <w:spacing w:after="0" w:line="300" w:lineRule="auto"/>
        <w:jc w:val="both"/>
        <w:rPr>
          <w:rFonts w:ascii="Century Gothic" w:hAnsi="Century Gothic" w:cs="Century Gothic"/>
          <w:b/>
          <w:sz w:val="24"/>
          <w:szCs w:val="24"/>
          <w:lang w:val="es-CO"/>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221"/>
      </w:tblGrid>
      <w:tr w:rsidR="00C85E39" w:rsidRPr="008A66F6" w:rsidTr="00171C24">
        <w:trPr>
          <w:trHeight w:val="160"/>
        </w:trPr>
        <w:tc>
          <w:tcPr>
            <w:tcW w:w="1454"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b/>
                <w:bCs/>
                <w:sz w:val="24"/>
                <w:szCs w:val="24"/>
              </w:rPr>
            </w:pPr>
            <w:r w:rsidRPr="008A66F6">
              <w:rPr>
                <w:rFonts w:ascii="Century Gothic" w:hAnsi="Century Gothic" w:cs="Century Gothic"/>
                <w:b/>
                <w:bCs/>
                <w:sz w:val="24"/>
                <w:szCs w:val="24"/>
              </w:rPr>
              <w:t>Medio de control</w:t>
            </w:r>
          </w:p>
        </w:tc>
        <w:tc>
          <w:tcPr>
            <w:tcW w:w="3546"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sz w:val="24"/>
                <w:szCs w:val="24"/>
              </w:rPr>
            </w:pPr>
            <w:r w:rsidRPr="008A66F6">
              <w:rPr>
                <w:rFonts w:ascii="Century Gothic" w:hAnsi="Century Gothic" w:cs="Century Gothic"/>
                <w:sz w:val="24"/>
                <w:szCs w:val="24"/>
              </w:rPr>
              <w:t>NULIDAD Y RESTABLECIMIENTO DEL DERECHO</w:t>
            </w:r>
          </w:p>
        </w:tc>
      </w:tr>
      <w:tr w:rsidR="00C85E39" w:rsidRPr="008A66F6" w:rsidTr="00171C24">
        <w:trPr>
          <w:trHeight w:val="345"/>
        </w:trPr>
        <w:tc>
          <w:tcPr>
            <w:tcW w:w="1454"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b/>
                <w:bCs/>
                <w:sz w:val="24"/>
                <w:szCs w:val="24"/>
              </w:rPr>
            </w:pPr>
            <w:r w:rsidRPr="008A66F6">
              <w:rPr>
                <w:rFonts w:ascii="Century Gothic" w:hAnsi="Century Gothic" w:cs="Century Gothic"/>
                <w:b/>
                <w:bCs/>
                <w:sz w:val="24"/>
                <w:szCs w:val="24"/>
              </w:rPr>
              <w:t>Radicado</w:t>
            </w:r>
          </w:p>
        </w:tc>
        <w:tc>
          <w:tcPr>
            <w:tcW w:w="3546"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sz w:val="24"/>
                <w:szCs w:val="24"/>
              </w:rPr>
            </w:pPr>
            <w:r>
              <w:rPr>
                <w:rFonts w:ascii="Century Gothic" w:hAnsi="Century Gothic" w:cs="Century Gothic"/>
                <w:sz w:val="24"/>
                <w:szCs w:val="24"/>
              </w:rPr>
              <w:t>13-001-33-33-005-2014-00150-01</w:t>
            </w:r>
          </w:p>
        </w:tc>
      </w:tr>
      <w:tr w:rsidR="00C85E39" w:rsidRPr="008A66F6" w:rsidTr="00171C24">
        <w:trPr>
          <w:trHeight w:val="345"/>
        </w:trPr>
        <w:tc>
          <w:tcPr>
            <w:tcW w:w="1454"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b/>
                <w:bCs/>
                <w:sz w:val="24"/>
                <w:szCs w:val="24"/>
              </w:rPr>
            </w:pPr>
            <w:r w:rsidRPr="008A66F6">
              <w:rPr>
                <w:rFonts w:ascii="Century Gothic" w:hAnsi="Century Gothic" w:cs="Century Gothic"/>
                <w:b/>
                <w:bCs/>
                <w:sz w:val="24"/>
                <w:szCs w:val="24"/>
              </w:rPr>
              <w:t>Demandante</w:t>
            </w:r>
          </w:p>
        </w:tc>
        <w:tc>
          <w:tcPr>
            <w:tcW w:w="3546"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sz w:val="24"/>
                <w:szCs w:val="24"/>
              </w:rPr>
            </w:pPr>
            <w:r>
              <w:rPr>
                <w:rFonts w:ascii="Century Gothic" w:hAnsi="Century Gothic" w:cs="Century Gothic"/>
                <w:sz w:val="24"/>
                <w:szCs w:val="24"/>
              </w:rPr>
              <w:t>OSCAR JAIME DURAN MOSQUERA</w:t>
            </w:r>
          </w:p>
        </w:tc>
      </w:tr>
      <w:tr w:rsidR="00C85E39" w:rsidRPr="008A66F6" w:rsidTr="00171C24">
        <w:trPr>
          <w:trHeight w:val="345"/>
        </w:trPr>
        <w:tc>
          <w:tcPr>
            <w:tcW w:w="1454"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b/>
                <w:bCs/>
                <w:sz w:val="24"/>
                <w:szCs w:val="24"/>
              </w:rPr>
            </w:pPr>
            <w:r w:rsidRPr="008A66F6">
              <w:rPr>
                <w:rFonts w:ascii="Century Gothic" w:hAnsi="Century Gothic" w:cs="Century Gothic"/>
                <w:b/>
                <w:bCs/>
                <w:sz w:val="24"/>
                <w:szCs w:val="24"/>
              </w:rPr>
              <w:t>Demandado</w:t>
            </w:r>
          </w:p>
        </w:tc>
        <w:tc>
          <w:tcPr>
            <w:tcW w:w="3546"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sz w:val="24"/>
                <w:szCs w:val="24"/>
              </w:rPr>
            </w:pPr>
            <w:r>
              <w:rPr>
                <w:rFonts w:ascii="Century Gothic" w:hAnsi="Century Gothic" w:cs="Century Gothic"/>
                <w:sz w:val="24"/>
                <w:szCs w:val="24"/>
              </w:rPr>
              <w:t>DIAN</w:t>
            </w:r>
          </w:p>
        </w:tc>
      </w:tr>
      <w:tr w:rsidR="00C85E39" w:rsidRPr="008A66F6" w:rsidTr="00171C24">
        <w:trPr>
          <w:trHeight w:val="345"/>
        </w:trPr>
        <w:tc>
          <w:tcPr>
            <w:tcW w:w="1454" w:type="pct"/>
            <w:tcBorders>
              <w:top w:val="single" w:sz="4" w:space="0" w:color="auto"/>
              <w:left w:val="single" w:sz="4" w:space="0" w:color="auto"/>
              <w:bottom w:val="single" w:sz="4" w:space="0" w:color="auto"/>
              <w:right w:val="single" w:sz="4" w:space="0" w:color="auto"/>
            </w:tcBorders>
            <w:vAlign w:val="center"/>
          </w:tcPr>
          <w:p w:rsidR="00C85E39" w:rsidRPr="008A66F6" w:rsidRDefault="00C85E39" w:rsidP="00171C24">
            <w:pPr>
              <w:spacing w:after="0" w:line="300" w:lineRule="auto"/>
              <w:jc w:val="both"/>
              <w:rPr>
                <w:rFonts w:ascii="Century Gothic" w:hAnsi="Century Gothic" w:cs="Century Gothic"/>
                <w:b/>
                <w:bCs/>
                <w:sz w:val="24"/>
                <w:szCs w:val="24"/>
              </w:rPr>
            </w:pPr>
            <w:r w:rsidRPr="008A66F6">
              <w:rPr>
                <w:rFonts w:ascii="Century Gothic" w:hAnsi="Century Gothic" w:cs="Century Gothic"/>
                <w:b/>
                <w:bCs/>
                <w:sz w:val="24"/>
                <w:szCs w:val="24"/>
              </w:rPr>
              <w:t>Tema</w:t>
            </w:r>
          </w:p>
        </w:tc>
        <w:tc>
          <w:tcPr>
            <w:tcW w:w="3546" w:type="pct"/>
            <w:tcBorders>
              <w:top w:val="single" w:sz="4" w:space="0" w:color="auto"/>
              <w:left w:val="single" w:sz="4" w:space="0" w:color="auto"/>
              <w:bottom w:val="single" w:sz="4" w:space="0" w:color="auto"/>
              <w:right w:val="single" w:sz="4" w:space="0" w:color="auto"/>
            </w:tcBorders>
            <w:vAlign w:val="center"/>
          </w:tcPr>
          <w:p w:rsidR="00C85E39" w:rsidRPr="008A66F6" w:rsidRDefault="00C85E39" w:rsidP="00171C24">
            <w:pPr>
              <w:spacing w:after="0" w:line="300" w:lineRule="auto"/>
              <w:jc w:val="both"/>
              <w:rPr>
                <w:rFonts w:ascii="Century Gothic" w:hAnsi="Century Gothic" w:cs="Century Gothic"/>
                <w:sz w:val="24"/>
                <w:szCs w:val="24"/>
              </w:rPr>
            </w:pPr>
            <w:r>
              <w:rPr>
                <w:rFonts w:ascii="Century Gothic" w:hAnsi="Century Gothic" w:cs="Century Gothic"/>
                <w:sz w:val="24"/>
                <w:szCs w:val="24"/>
              </w:rPr>
              <w:t xml:space="preserve">DECOMISO DE MERCANCIA </w:t>
            </w:r>
          </w:p>
        </w:tc>
      </w:tr>
      <w:tr w:rsidR="00C85E39" w:rsidRPr="008A66F6" w:rsidTr="00171C24">
        <w:trPr>
          <w:trHeight w:val="345"/>
        </w:trPr>
        <w:tc>
          <w:tcPr>
            <w:tcW w:w="1454"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pStyle w:val="Encabezado"/>
              <w:spacing w:line="300" w:lineRule="auto"/>
              <w:jc w:val="both"/>
              <w:rPr>
                <w:rFonts w:ascii="Century Gothic" w:hAnsi="Century Gothic" w:cs="Century Gothic"/>
                <w:b/>
                <w:bCs/>
                <w:sz w:val="24"/>
                <w:szCs w:val="24"/>
              </w:rPr>
            </w:pPr>
            <w:r w:rsidRPr="008A66F6">
              <w:rPr>
                <w:rFonts w:ascii="Century Gothic" w:hAnsi="Century Gothic" w:cs="Century Gothic"/>
                <w:b/>
                <w:bCs/>
                <w:sz w:val="24"/>
                <w:szCs w:val="24"/>
                <w:lang w:val="es-CO"/>
              </w:rPr>
              <w:t xml:space="preserve">Magistrado Ponente </w:t>
            </w:r>
          </w:p>
        </w:tc>
        <w:tc>
          <w:tcPr>
            <w:tcW w:w="3546" w:type="pct"/>
            <w:tcBorders>
              <w:top w:val="single" w:sz="4" w:space="0" w:color="auto"/>
              <w:left w:val="single" w:sz="4" w:space="0" w:color="auto"/>
              <w:bottom w:val="single" w:sz="4" w:space="0" w:color="auto"/>
              <w:right w:val="single" w:sz="4" w:space="0" w:color="auto"/>
            </w:tcBorders>
            <w:vAlign w:val="center"/>
            <w:hideMark/>
          </w:tcPr>
          <w:p w:rsidR="00C85E39" w:rsidRPr="008A66F6" w:rsidRDefault="00C85E39" w:rsidP="00171C24">
            <w:pPr>
              <w:spacing w:after="0" w:line="300" w:lineRule="auto"/>
              <w:jc w:val="both"/>
              <w:rPr>
                <w:rFonts w:ascii="Century Gothic" w:hAnsi="Century Gothic" w:cs="Century Gothic"/>
                <w:sz w:val="24"/>
                <w:szCs w:val="24"/>
              </w:rPr>
            </w:pPr>
            <w:r w:rsidRPr="008A66F6">
              <w:rPr>
                <w:rFonts w:ascii="Century Gothic" w:hAnsi="Century Gothic" w:cs="Century Gothic"/>
                <w:sz w:val="24"/>
                <w:szCs w:val="24"/>
              </w:rPr>
              <w:t>LUIS MIGUEL VILLALOBOS ÁLVAREZ</w:t>
            </w:r>
          </w:p>
        </w:tc>
      </w:tr>
    </w:tbl>
    <w:p w:rsidR="00C85E39" w:rsidRPr="008A66F6" w:rsidRDefault="00C85E39" w:rsidP="00C85E39">
      <w:pPr>
        <w:spacing w:after="0" w:line="300" w:lineRule="auto"/>
        <w:jc w:val="both"/>
        <w:rPr>
          <w:rFonts w:ascii="Century Gothic" w:hAnsi="Century Gothic" w:cs="Century Gothic"/>
          <w:b/>
          <w:bCs/>
          <w:sz w:val="24"/>
          <w:szCs w:val="24"/>
        </w:rPr>
      </w:pPr>
    </w:p>
    <w:p w:rsidR="00C85E39" w:rsidRPr="008A66F6" w:rsidRDefault="00C85E39" w:rsidP="00C85E39">
      <w:pPr>
        <w:spacing w:after="0" w:line="300" w:lineRule="auto"/>
        <w:jc w:val="both"/>
        <w:rPr>
          <w:rFonts w:ascii="Century Gothic" w:hAnsi="Century Gothic" w:cs="Century Gothic"/>
          <w:b/>
          <w:bCs/>
          <w:sz w:val="24"/>
          <w:szCs w:val="24"/>
        </w:rPr>
      </w:pPr>
      <w:r>
        <w:rPr>
          <w:rFonts w:ascii="Century Gothic" w:hAnsi="Century Gothic" w:cs="Century Gothic"/>
          <w:b/>
          <w:bCs/>
          <w:sz w:val="24"/>
          <w:szCs w:val="24"/>
        </w:rPr>
        <w:t>II</w:t>
      </w:r>
      <w:r w:rsidRPr="008A66F6">
        <w:rPr>
          <w:rFonts w:ascii="Century Gothic" w:hAnsi="Century Gothic" w:cs="Century Gothic"/>
          <w:b/>
          <w:bCs/>
          <w:sz w:val="24"/>
          <w:szCs w:val="24"/>
        </w:rPr>
        <w:t xml:space="preserve">. PRONUNCIAMIENTO </w:t>
      </w:r>
    </w:p>
    <w:p w:rsidR="00C85E39" w:rsidRPr="008A66F6" w:rsidRDefault="00C85E39" w:rsidP="00C85E39">
      <w:pPr>
        <w:pStyle w:val="Textonormal"/>
        <w:spacing w:line="300" w:lineRule="auto"/>
        <w:rPr>
          <w:rFonts w:ascii="Century Gothic" w:hAnsi="Century Gothic" w:cs="Century Gothic"/>
          <w:lang w:val="es-ES"/>
        </w:rPr>
      </w:pPr>
    </w:p>
    <w:p w:rsidR="00C85E39" w:rsidRDefault="00C85E39" w:rsidP="00C85E39">
      <w:pPr>
        <w:spacing w:after="0"/>
        <w:jc w:val="both"/>
        <w:rPr>
          <w:rFonts w:ascii="Century Gothic" w:eastAsia="Times New Roman" w:hAnsi="Century Gothic" w:cs="Century Gothic"/>
          <w:sz w:val="24"/>
          <w:szCs w:val="24"/>
          <w:lang w:eastAsia="es-ES"/>
        </w:rPr>
      </w:pPr>
      <w:r w:rsidRPr="00342404">
        <w:rPr>
          <w:rFonts w:ascii="Century Gothic" w:eastAsia="Times New Roman" w:hAnsi="Century Gothic" w:cs="Century Gothic"/>
          <w:sz w:val="24"/>
          <w:szCs w:val="24"/>
          <w:lang w:eastAsia="es-ES"/>
        </w:rPr>
        <w:t>Procede la Sala de Decisión a resolver el recurso de apelación interpuesto por la parte demanda</w:t>
      </w:r>
      <w:r>
        <w:rPr>
          <w:rFonts w:ascii="Century Gothic" w:eastAsia="Times New Roman" w:hAnsi="Century Gothic" w:cs="Century Gothic"/>
          <w:sz w:val="24"/>
          <w:szCs w:val="24"/>
          <w:lang w:eastAsia="es-ES"/>
        </w:rPr>
        <w:t>nte</w:t>
      </w:r>
      <w:r w:rsidRPr="00342404">
        <w:rPr>
          <w:rFonts w:ascii="Century Gothic" w:eastAsia="Times New Roman" w:hAnsi="Century Gothic" w:cs="Century Gothic"/>
          <w:sz w:val="24"/>
          <w:szCs w:val="24"/>
          <w:lang w:eastAsia="es-ES"/>
        </w:rPr>
        <w:t xml:space="preserve"> contra la sentencia de fecha </w:t>
      </w:r>
      <w:r>
        <w:rPr>
          <w:rFonts w:ascii="Century Gothic" w:eastAsia="Times New Roman" w:hAnsi="Century Gothic" w:cs="Century Gothic"/>
          <w:sz w:val="24"/>
          <w:szCs w:val="24"/>
          <w:lang w:eastAsia="es-ES"/>
        </w:rPr>
        <w:t>veintiséis</w:t>
      </w:r>
      <w:r w:rsidRPr="00342404">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26</w:t>
      </w:r>
      <w:r w:rsidRPr="00342404">
        <w:rPr>
          <w:rFonts w:ascii="Century Gothic" w:eastAsia="Times New Roman" w:hAnsi="Century Gothic" w:cs="Century Gothic"/>
          <w:sz w:val="24"/>
          <w:szCs w:val="24"/>
          <w:lang w:eastAsia="es-ES"/>
        </w:rPr>
        <w:t xml:space="preserve">) de </w:t>
      </w:r>
      <w:r>
        <w:rPr>
          <w:rFonts w:ascii="Century Gothic" w:eastAsia="Times New Roman" w:hAnsi="Century Gothic" w:cs="Century Gothic"/>
          <w:sz w:val="24"/>
          <w:szCs w:val="24"/>
          <w:lang w:eastAsia="es-ES"/>
        </w:rPr>
        <w:t>enero</w:t>
      </w:r>
      <w:r w:rsidRPr="00342404">
        <w:rPr>
          <w:rFonts w:ascii="Century Gothic" w:eastAsia="Times New Roman" w:hAnsi="Century Gothic" w:cs="Century Gothic"/>
          <w:sz w:val="24"/>
          <w:szCs w:val="24"/>
          <w:lang w:eastAsia="es-ES"/>
        </w:rPr>
        <w:t xml:space="preserve"> de dos mil </w:t>
      </w:r>
      <w:r>
        <w:rPr>
          <w:rFonts w:ascii="Century Gothic" w:eastAsia="Times New Roman" w:hAnsi="Century Gothic" w:cs="Century Gothic"/>
          <w:sz w:val="24"/>
          <w:szCs w:val="24"/>
          <w:lang w:eastAsia="es-ES"/>
        </w:rPr>
        <w:t>diecisiete</w:t>
      </w:r>
      <w:r w:rsidRPr="00342404">
        <w:rPr>
          <w:rFonts w:ascii="Century Gothic" w:eastAsia="Times New Roman" w:hAnsi="Century Gothic" w:cs="Century Gothic"/>
          <w:sz w:val="24"/>
          <w:szCs w:val="24"/>
          <w:lang w:eastAsia="es-ES"/>
        </w:rPr>
        <w:t xml:space="preserve"> (201</w:t>
      </w:r>
      <w:r>
        <w:rPr>
          <w:rFonts w:ascii="Century Gothic" w:eastAsia="Times New Roman" w:hAnsi="Century Gothic" w:cs="Century Gothic"/>
          <w:sz w:val="24"/>
          <w:szCs w:val="24"/>
          <w:lang w:eastAsia="es-ES"/>
        </w:rPr>
        <w:t>7</w:t>
      </w:r>
      <w:r w:rsidRPr="00342404">
        <w:rPr>
          <w:rFonts w:ascii="Century Gothic" w:eastAsia="Times New Roman" w:hAnsi="Century Gothic" w:cs="Century Gothic"/>
          <w:sz w:val="24"/>
          <w:szCs w:val="24"/>
          <w:lang w:eastAsia="es-ES"/>
        </w:rPr>
        <w:t xml:space="preserve">), proferida por el Juzgado </w:t>
      </w:r>
      <w:r>
        <w:rPr>
          <w:rFonts w:ascii="Century Gothic" w:eastAsia="Times New Roman" w:hAnsi="Century Gothic" w:cs="Century Gothic"/>
          <w:sz w:val="24"/>
          <w:szCs w:val="24"/>
          <w:lang w:eastAsia="es-ES"/>
        </w:rPr>
        <w:t xml:space="preserve">Quinto </w:t>
      </w:r>
      <w:r w:rsidRPr="00342404">
        <w:rPr>
          <w:rFonts w:ascii="Century Gothic" w:eastAsia="Times New Roman" w:hAnsi="Century Gothic" w:cs="Century Gothic"/>
          <w:sz w:val="24"/>
          <w:szCs w:val="24"/>
          <w:lang w:eastAsia="es-ES"/>
        </w:rPr>
        <w:t>Administrativo del Circuito de Cartagena, mediante la cual se negaron las pretensiones de la demanda.</w:t>
      </w:r>
    </w:p>
    <w:p w:rsidR="00C85E39" w:rsidRPr="008A66F6"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center"/>
        <w:rPr>
          <w:rFonts w:ascii="Century Gothic" w:hAnsi="Century Gothic" w:cs="Century Gothic"/>
          <w:b/>
          <w:bCs/>
          <w:sz w:val="24"/>
          <w:szCs w:val="24"/>
        </w:rPr>
      </w:pPr>
      <w:r>
        <w:rPr>
          <w:rFonts w:ascii="Century Gothic" w:hAnsi="Century Gothic" w:cs="Century Gothic"/>
          <w:b/>
          <w:bCs/>
          <w:sz w:val="24"/>
          <w:szCs w:val="24"/>
        </w:rPr>
        <w:t>II</w:t>
      </w:r>
      <w:r w:rsidRPr="008A66F6">
        <w:rPr>
          <w:rFonts w:ascii="Century Gothic" w:hAnsi="Century Gothic" w:cs="Century Gothic"/>
          <w:b/>
          <w:bCs/>
          <w:sz w:val="24"/>
          <w:szCs w:val="24"/>
        </w:rPr>
        <w:t>I.- ANTECEDENTES</w:t>
      </w:r>
    </w:p>
    <w:p w:rsidR="00C85E39" w:rsidRPr="008A66F6"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sidRPr="008A66F6">
        <w:rPr>
          <w:rFonts w:ascii="Century Gothic" w:hAnsi="Century Gothic" w:cs="Century Gothic"/>
          <w:b/>
          <w:bCs/>
          <w:sz w:val="24"/>
          <w:szCs w:val="24"/>
        </w:rPr>
        <w:t>1. LA DEMANDA</w:t>
      </w:r>
    </w:p>
    <w:p w:rsidR="00C85E39" w:rsidRPr="008A66F6"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sidRPr="008A66F6">
        <w:rPr>
          <w:rFonts w:ascii="Century Gothic" w:hAnsi="Century Gothic" w:cs="Century Gothic"/>
          <w:b/>
          <w:bCs/>
          <w:sz w:val="24"/>
          <w:szCs w:val="24"/>
        </w:rPr>
        <w:t>1.1. PRETENSIONES</w:t>
      </w:r>
    </w:p>
    <w:p w:rsidR="00C85E39" w:rsidRPr="008A66F6" w:rsidRDefault="00C85E39" w:rsidP="00C85E39">
      <w:pPr>
        <w:spacing w:after="0"/>
        <w:jc w:val="both"/>
        <w:rPr>
          <w:rFonts w:ascii="Century Gothic" w:hAnsi="Century Gothic" w:cs="Century Gothic"/>
          <w:b/>
          <w:bCs/>
          <w:sz w:val="24"/>
          <w:szCs w:val="24"/>
        </w:rPr>
      </w:pPr>
    </w:p>
    <w:p w:rsidR="00C85E39" w:rsidRDefault="00C85E39" w:rsidP="00C85E39">
      <w:pPr>
        <w:spacing w:after="0"/>
        <w:jc w:val="both"/>
        <w:rPr>
          <w:rFonts w:ascii="Century Gothic" w:hAnsi="Century Gothic" w:cs="Century Gothic"/>
          <w:bCs/>
          <w:sz w:val="24"/>
          <w:szCs w:val="24"/>
        </w:rPr>
      </w:pPr>
      <w:r w:rsidRPr="008A66F6">
        <w:rPr>
          <w:rFonts w:ascii="Century Gothic" w:hAnsi="Century Gothic" w:cs="Century Gothic"/>
          <w:bCs/>
          <w:sz w:val="24"/>
          <w:szCs w:val="24"/>
        </w:rPr>
        <w:t xml:space="preserve">Se señalan como pretensiones de la demanda, las siguientes: </w:t>
      </w:r>
    </w:p>
    <w:p w:rsidR="00C85E39" w:rsidRPr="006D470E" w:rsidRDefault="00C85E39" w:rsidP="00C85E39">
      <w:pPr>
        <w:spacing w:after="0"/>
        <w:jc w:val="both"/>
        <w:rPr>
          <w:rFonts w:ascii="Century Gothic" w:hAnsi="Century Gothic" w:cs="Century Gothic"/>
          <w:bCs/>
          <w:sz w:val="24"/>
          <w:szCs w:val="24"/>
        </w:rPr>
      </w:pPr>
    </w:p>
    <w:p w:rsidR="00C85E39"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t>Que se declare la nulidad de la Resolución No. 03-238-421-636-1-000-4734 del 15 de agosto de 2013 y de la Resolución 03-236-408-601-944 del 29 de noviembre de 2013 expedidas por la Dirección Seccional de Aduanas de Bogotá.</w:t>
      </w:r>
    </w:p>
    <w:p w:rsidR="00C85E39" w:rsidRDefault="00C85E39" w:rsidP="00C85E39">
      <w:pPr>
        <w:pStyle w:val="Prrafodelista"/>
        <w:spacing w:after="0"/>
        <w:jc w:val="both"/>
        <w:rPr>
          <w:rFonts w:ascii="Century Gothic" w:hAnsi="Century Gothic" w:cs="Century Gothic"/>
          <w:bCs/>
          <w:sz w:val="24"/>
          <w:szCs w:val="24"/>
        </w:rPr>
      </w:pPr>
    </w:p>
    <w:p w:rsidR="00C85E39"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t>A título de restablecimiento del derecho solicita que se reconozca como válida la declaración de saneamiento No. 002572 del 2 de octubre de 1991, ante la Dirección Seccional de Cartagena, y se ordene la entrega de la mercancía incautada y decomisada por la Aduana.</w:t>
      </w:r>
    </w:p>
    <w:p w:rsidR="00C85E39" w:rsidRPr="000F0D7B" w:rsidRDefault="00C85E39" w:rsidP="00C85E39">
      <w:pPr>
        <w:spacing w:after="0"/>
        <w:jc w:val="both"/>
        <w:rPr>
          <w:rFonts w:ascii="Century Gothic" w:hAnsi="Century Gothic" w:cs="Century Gothic"/>
          <w:bCs/>
          <w:sz w:val="24"/>
          <w:szCs w:val="24"/>
        </w:rPr>
      </w:pPr>
    </w:p>
    <w:p w:rsidR="00C85E39"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lastRenderedPageBreak/>
        <w:t>Que se exonere al demandante de hacer cualquier pago oficial o sanción impuesta por la DIAN, y se archive el expediente que se hubiese iniciado en su contra como consecuencia de las resoluciones Nos. 03-238-421-636-1-000-4734 del 15 de agosto de 2013 y 03-236-408-601-944 del 29 de noviembre de 2013.</w:t>
      </w:r>
    </w:p>
    <w:p w:rsidR="00C85E39"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t>Ordenar la reparación de los daños causados al demandante en razón de la movilización, incautación y decomiso del vehículo de que tratan las resoluciones demandada que se cuantifican en la suma de ($80.000.000) ochenta millones de pesos, mas lo que se logre demostrar.</w:t>
      </w:r>
    </w:p>
    <w:p w:rsidR="00C85E39" w:rsidRDefault="00C85E39" w:rsidP="00C85E39">
      <w:pPr>
        <w:pStyle w:val="Prrafodelista"/>
        <w:spacing w:after="0"/>
        <w:jc w:val="both"/>
        <w:rPr>
          <w:rFonts w:ascii="Century Gothic" w:hAnsi="Century Gothic" w:cs="Century Gothic"/>
          <w:bCs/>
          <w:sz w:val="24"/>
          <w:szCs w:val="24"/>
        </w:rPr>
      </w:pPr>
    </w:p>
    <w:p w:rsidR="00C85E39"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t>Se ordene entregar al demandante los bienes incautados y decomisados en las condiciones en que se encontraba al ser aprehendidas por la autoridad aduanera, con su respectivo registro de licencia de tránsito y placas ante las autoridades de tránsito y transporte donde se encontraba matriculado el cabezote (tracto camión) TUQ000.</w:t>
      </w:r>
    </w:p>
    <w:p w:rsidR="00C85E39" w:rsidRPr="000F0D7B" w:rsidRDefault="00C85E39" w:rsidP="00C85E39">
      <w:pPr>
        <w:spacing w:after="0"/>
        <w:jc w:val="both"/>
        <w:rPr>
          <w:rFonts w:ascii="Century Gothic" w:hAnsi="Century Gothic" w:cs="Century Gothic"/>
          <w:bCs/>
          <w:sz w:val="24"/>
          <w:szCs w:val="24"/>
        </w:rPr>
      </w:pPr>
    </w:p>
    <w:p w:rsidR="00C85E39" w:rsidRPr="00303DD5" w:rsidRDefault="00C85E39" w:rsidP="00C85E39">
      <w:pPr>
        <w:pStyle w:val="Prrafodelista"/>
        <w:numPr>
          <w:ilvl w:val="0"/>
          <w:numId w:val="17"/>
        </w:numPr>
        <w:spacing w:after="0"/>
        <w:jc w:val="both"/>
        <w:rPr>
          <w:rFonts w:ascii="Century Gothic" w:hAnsi="Century Gothic" w:cs="Century Gothic"/>
          <w:bCs/>
          <w:sz w:val="24"/>
          <w:szCs w:val="24"/>
        </w:rPr>
      </w:pPr>
      <w:r>
        <w:rPr>
          <w:rFonts w:ascii="Century Gothic" w:hAnsi="Century Gothic" w:cs="Century Gothic"/>
          <w:bCs/>
          <w:sz w:val="24"/>
          <w:szCs w:val="24"/>
        </w:rPr>
        <w:t>Se ordene la suspensión del cobro coactivo, mientras se desarrolla y termina el proceso.</w:t>
      </w:r>
    </w:p>
    <w:p w:rsidR="00C85E39" w:rsidRPr="00303DD5" w:rsidRDefault="00C85E39" w:rsidP="00C85E39">
      <w:pPr>
        <w:autoSpaceDE w:val="0"/>
        <w:autoSpaceDN w:val="0"/>
        <w:adjustRightInd w:val="0"/>
        <w:spacing w:after="0"/>
        <w:jc w:val="both"/>
        <w:rPr>
          <w:rFonts w:ascii="Century Gothic" w:hAnsi="Century Gothic" w:cs="Arial"/>
          <w:b/>
          <w:i/>
          <w:sz w:val="24"/>
          <w:szCs w:val="24"/>
          <w:lang w:eastAsia="es-CO"/>
        </w:rPr>
      </w:pPr>
    </w:p>
    <w:p w:rsidR="00C85E39" w:rsidRPr="008A66F6" w:rsidRDefault="00C85E39" w:rsidP="00C85E39">
      <w:pPr>
        <w:autoSpaceDE w:val="0"/>
        <w:autoSpaceDN w:val="0"/>
        <w:adjustRightInd w:val="0"/>
        <w:spacing w:after="0"/>
        <w:jc w:val="both"/>
        <w:rPr>
          <w:rFonts w:ascii="Century Gothic" w:hAnsi="Century Gothic" w:cs="Arial"/>
          <w:b/>
          <w:sz w:val="24"/>
          <w:szCs w:val="24"/>
          <w:lang w:val="es-CO" w:eastAsia="es-CO"/>
        </w:rPr>
      </w:pPr>
      <w:r>
        <w:rPr>
          <w:rFonts w:ascii="Century Gothic" w:hAnsi="Century Gothic" w:cs="Arial"/>
          <w:b/>
          <w:sz w:val="24"/>
          <w:szCs w:val="24"/>
          <w:lang w:val="es-CO" w:eastAsia="es-CO"/>
        </w:rPr>
        <w:t>1.2. HECHOS</w:t>
      </w:r>
    </w:p>
    <w:p w:rsidR="00C85E39" w:rsidRPr="008A66F6" w:rsidRDefault="00C85E39" w:rsidP="00C85E39">
      <w:pPr>
        <w:autoSpaceDE w:val="0"/>
        <w:autoSpaceDN w:val="0"/>
        <w:adjustRightInd w:val="0"/>
        <w:spacing w:after="0"/>
        <w:jc w:val="both"/>
        <w:rPr>
          <w:rFonts w:ascii="Century Gothic" w:hAnsi="Century Gothic" w:cs="Arial"/>
          <w:sz w:val="24"/>
          <w:szCs w:val="24"/>
          <w:lang w:val="es-CO" w:eastAsia="es-CO"/>
        </w:rPr>
      </w:pPr>
    </w:p>
    <w:p w:rsidR="00C85E39" w:rsidRPr="008A66F6" w:rsidRDefault="00C85E39" w:rsidP="00C85E39">
      <w:pPr>
        <w:autoSpaceDE w:val="0"/>
        <w:autoSpaceDN w:val="0"/>
        <w:adjustRightInd w:val="0"/>
        <w:spacing w:after="0"/>
        <w:jc w:val="both"/>
        <w:rPr>
          <w:rFonts w:ascii="Century Gothic" w:hAnsi="Century Gothic" w:cs="Arial"/>
          <w:sz w:val="24"/>
          <w:szCs w:val="24"/>
          <w:lang w:val="es-CO" w:eastAsia="es-CO"/>
        </w:rPr>
      </w:pPr>
      <w:r w:rsidRPr="008A66F6">
        <w:rPr>
          <w:rFonts w:ascii="Century Gothic" w:hAnsi="Century Gothic" w:cs="Arial"/>
          <w:sz w:val="24"/>
          <w:szCs w:val="24"/>
          <w:lang w:val="es-CO" w:eastAsia="es-CO"/>
        </w:rPr>
        <w:t>Los hechos de la demanda se resumen de la siguiente manera:</w:t>
      </w:r>
    </w:p>
    <w:p w:rsidR="00C85E39" w:rsidRPr="008A66F6" w:rsidRDefault="00C85E39" w:rsidP="00C85E39">
      <w:pPr>
        <w:autoSpaceDE w:val="0"/>
        <w:autoSpaceDN w:val="0"/>
        <w:adjustRightInd w:val="0"/>
        <w:spacing w:after="0"/>
        <w:jc w:val="both"/>
        <w:rPr>
          <w:rFonts w:ascii="Century Gothic" w:hAnsi="Century Gothic" w:cs="Arial"/>
          <w:sz w:val="24"/>
          <w:szCs w:val="24"/>
          <w:lang w:val="es-CO" w:eastAsia="es-CO"/>
        </w:rPr>
      </w:pPr>
    </w:p>
    <w:p w:rsidR="00C85E39" w:rsidRPr="002D1EBB"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hAnsi="Century Gothic" w:cs="Arial Narrow"/>
          <w:iCs/>
          <w:sz w:val="24"/>
          <w:szCs w:val="24"/>
        </w:rPr>
        <w:t xml:space="preserve">El demandante adquirió el vehículo tracto camión (cabezote) de marca FORD de placas SB0226 el cual ya tenía chasis legalmente regrabado según se aprecia en la licencia No. 4007748.   </w:t>
      </w:r>
    </w:p>
    <w:p w:rsidR="00C85E39" w:rsidRPr="008C64F7" w:rsidRDefault="00C85E39" w:rsidP="00C85E39">
      <w:pPr>
        <w:pStyle w:val="Prrafodelista"/>
        <w:spacing w:after="0" w:line="300" w:lineRule="auto"/>
        <w:jc w:val="both"/>
        <w:rPr>
          <w:rFonts w:ascii="Century Gothic" w:eastAsia="Calibri" w:hAnsi="Century Gothic" w:cs="Arial"/>
          <w:sz w:val="24"/>
          <w:szCs w:val="24"/>
          <w:lang w:val="es-CO"/>
        </w:rPr>
      </w:pPr>
    </w:p>
    <w:p w:rsidR="00C85E39" w:rsidRPr="004518E7"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eastAsia="Calibri" w:hAnsi="Century Gothic" w:cs="Arial"/>
          <w:sz w:val="24"/>
          <w:szCs w:val="24"/>
          <w:lang w:val="es-CO"/>
        </w:rPr>
        <w:t>El demandante repotenció el vehículo con piezas legalmente importadas y se registró en las autoridades de tránsito y trasporte que hasta ese momento se identificada con la placa SB0226.</w:t>
      </w:r>
    </w:p>
    <w:p w:rsidR="00C85E39" w:rsidRPr="00DF25B2" w:rsidRDefault="00C85E39" w:rsidP="00C85E39">
      <w:pPr>
        <w:spacing w:after="0" w:line="300" w:lineRule="auto"/>
        <w:jc w:val="both"/>
        <w:rPr>
          <w:rFonts w:ascii="Century Gothic" w:eastAsia="Calibri" w:hAnsi="Century Gothic" w:cs="Arial"/>
          <w:sz w:val="24"/>
          <w:szCs w:val="24"/>
          <w:lang w:val="es-CO"/>
        </w:rPr>
      </w:pPr>
    </w:p>
    <w:p w:rsidR="00C85E39" w:rsidRPr="00DF25B2"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hAnsi="Century Gothic" w:cs="Arial Narrow"/>
          <w:iCs/>
          <w:sz w:val="24"/>
          <w:szCs w:val="24"/>
        </w:rPr>
        <w:t xml:space="preserve">Que el demandante se había acogido al Decreto 1751 de 1991 y presentó declaración de saneamiento No. 002572 del 2 de octubre de 1991, equivalente a un nuevo manifiesto de importación, pese a que era legal el vehículo. </w:t>
      </w:r>
    </w:p>
    <w:p w:rsidR="00C85E39" w:rsidRPr="00DF25B2" w:rsidRDefault="00C85E39" w:rsidP="00C85E39">
      <w:pPr>
        <w:spacing w:after="0" w:line="300" w:lineRule="auto"/>
        <w:jc w:val="both"/>
        <w:rPr>
          <w:rFonts w:ascii="Century Gothic" w:eastAsia="Calibri" w:hAnsi="Century Gothic" w:cs="Arial"/>
          <w:sz w:val="24"/>
          <w:szCs w:val="24"/>
          <w:lang w:val="es-CO"/>
        </w:rPr>
      </w:pPr>
    </w:p>
    <w:p w:rsidR="00C85E39" w:rsidRPr="002D1EBB"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hAnsi="Century Gothic" w:cs="Arial Narrow"/>
          <w:iCs/>
          <w:sz w:val="24"/>
          <w:szCs w:val="24"/>
        </w:rPr>
        <w:t xml:space="preserve">En la declaración de saneamiento No. 002572 del 2 de octubre de 1991 quedó consignado que se trataba de un cabezote de tractomula FORD </w:t>
      </w:r>
      <w:r>
        <w:rPr>
          <w:rFonts w:ascii="Century Gothic" w:hAnsi="Century Gothic" w:cs="Arial Narrow"/>
          <w:iCs/>
          <w:sz w:val="24"/>
          <w:szCs w:val="24"/>
        </w:rPr>
        <w:lastRenderedPageBreak/>
        <w:t xml:space="preserve">9000, modelo 1985, motor diesel, tipo 350 cummis No. 1123414, chasis No. F-90K4H60502, el cual fue inspeccionado por la autoridad aduanera de la época, haciéndole la anotación mediante la impronta impuesta físicamente en el cuerpo de la declaración que el número de chasis estaba grabado. </w:t>
      </w:r>
    </w:p>
    <w:p w:rsidR="00C85E39" w:rsidRPr="00674143" w:rsidRDefault="00C85E39" w:rsidP="00C85E39">
      <w:pPr>
        <w:pStyle w:val="Prrafodelista"/>
        <w:spacing w:after="0" w:line="300" w:lineRule="auto"/>
        <w:jc w:val="both"/>
        <w:rPr>
          <w:rFonts w:ascii="Century Gothic" w:eastAsia="Calibri" w:hAnsi="Century Gothic" w:cs="Arial"/>
          <w:sz w:val="24"/>
          <w:szCs w:val="24"/>
          <w:lang w:val="es-CO"/>
        </w:rPr>
      </w:pPr>
    </w:p>
    <w:p w:rsidR="00C85E39" w:rsidRPr="003A6202"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hAnsi="Century Gothic" w:cs="Arial Narrow"/>
          <w:iCs/>
          <w:sz w:val="24"/>
          <w:szCs w:val="24"/>
        </w:rPr>
        <w:t xml:space="preserve">Como se presentó la declaración de saneamiento que dio lugar a un nuevo manifiesto de importación, eso tuvo por efecto una nueva matrícula del vehículo ante las autoridades de tránsito y el consecuente otorgamiento de la nueva placa; por lo que el cabezote o tracto camión dejó de identificarse con la placa SB0226 y se le asignó la placa TUQ000. </w:t>
      </w:r>
    </w:p>
    <w:p w:rsidR="00C85E39" w:rsidRPr="003A6202" w:rsidRDefault="00C85E39" w:rsidP="00C85E39">
      <w:pPr>
        <w:pStyle w:val="Prrafodelista"/>
        <w:rPr>
          <w:rFonts w:ascii="Century Gothic" w:eastAsia="Calibri" w:hAnsi="Century Gothic" w:cs="Arial"/>
          <w:sz w:val="24"/>
          <w:szCs w:val="24"/>
          <w:lang w:val="es-CO"/>
        </w:rPr>
      </w:pPr>
    </w:p>
    <w:p w:rsidR="00C85E39"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eastAsia="Calibri" w:hAnsi="Century Gothic" w:cs="Arial"/>
          <w:sz w:val="24"/>
          <w:szCs w:val="24"/>
          <w:lang w:val="es-CO"/>
        </w:rPr>
        <w:t>El pago del saneamiento se hizo con un abono de $749.711, $1.472.422 y con cheque del Banco de Occidente No. 520676 por $4.166.497, según recibo oficial del 24 de abril de 1996, stiker DIAN No. 2384703054179-1.</w:t>
      </w:r>
    </w:p>
    <w:p w:rsidR="00C85E39" w:rsidRPr="00E83170" w:rsidRDefault="00C85E39" w:rsidP="00C85E39">
      <w:pPr>
        <w:pStyle w:val="Prrafodelista"/>
        <w:rPr>
          <w:rFonts w:ascii="Century Gothic" w:eastAsia="Calibri" w:hAnsi="Century Gothic" w:cs="Arial"/>
          <w:sz w:val="24"/>
          <w:szCs w:val="24"/>
          <w:lang w:val="es-CO"/>
        </w:rPr>
      </w:pPr>
    </w:p>
    <w:p w:rsidR="00C85E39"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eastAsia="Calibri" w:hAnsi="Century Gothic" w:cs="Arial"/>
          <w:sz w:val="24"/>
          <w:szCs w:val="24"/>
          <w:lang w:val="es-CO"/>
        </w:rPr>
        <w:t xml:space="preserve">El señor Oscar Jaime Duran Mosquera traspasó el dominio del vehículo al señor Jesús Laiton Miranda, quien a su vez lo traspasó a los señores Freddy Alexander Alba Camargo y Jorge Enrique Becerra Solano, a los cuales le fue incautado el automotor el 11 de abril de 2013, por autoridades aduaneras, aduciendo que era para verificar la legalidad de los documentos que amparaban el vehículo. </w:t>
      </w:r>
    </w:p>
    <w:p w:rsidR="00C85E39" w:rsidRPr="00E83170" w:rsidRDefault="00C85E39" w:rsidP="00C85E39">
      <w:pPr>
        <w:pStyle w:val="Prrafodelista"/>
        <w:rPr>
          <w:rFonts w:ascii="Century Gothic" w:eastAsia="Calibri" w:hAnsi="Century Gothic" w:cs="Arial"/>
          <w:sz w:val="24"/>
          <w:szCs w:val="24"/>
          <w:lang w:val="es-CO"/>
        </w:rPr>
      </w:pPr>
    </w:p>
    <w:p w:rsidR="00C85E39"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Pr>
          <w:rFonts w:ascii="Century Gothic" w:eastAsia="Calibri" w:hAnsi="Century Gothic" w:cs="Arial"/>
          <w:sz w:val="24"/>
          <w:szCs w:val="24"/>
          <w:lang w:val="es-CO"/>
        </w:rPr>
        <w:t xml:space="preserve">Se abrió expediente DM201320131544 en donde se expidió orden de decomiso mediante la resolución No. </w:t>
      </w:r>
      <w:r w:rsidRPr="00E83170">
        <w:rPr>
          <w:rFonts w:ascii="Century Gothic" w:eastAsia="Calibri" w:hAnsi="Century Gothic" w:cs="Arial"/>
          <w:sz w:val="24"/>
          <w:szCs w:val="24"/>
          <w:lang w:val="es-CO"/>
        </w:rPr>
        <w:t xml:space="preserve">Resolución No. 03-238-421-636-1-000-4734 del 15 de agosto de 2013 </w:t>
      </w:r>
      <w:r>
        <w:rPr>
          <w:rFonts w:ascii="Century Gothic" w:eastAsia="Calibri" w:hAnsi="Century Gothic" w:cs="Arial"/>
          <w:sz w:val="24"/>
          <w:szCs w:val="24"/>
          <w:lang w:val="es-CO"/>
        </w:rPr>
        <w:t xml:space="preserve">y se ordenó el registro del automotor de placas TUQ000 y la licencia de transito 10003117349 a nombre de Fredy Alexander Alba Camargo y otro, y se ordenó desmontar y hacer la devolución de las placas TUQ0000. </w:t>
      </w:r>
    </w:p>
    <w:p w:rsidR="00C85E39" w:rsidRPr="00E83170" w:rsidRDefault="00C85E39" w:rsidP="00C85E39">
      <w:pPr>
        <w:pStyle w:val="Prrafodelista"/>
        <w:rPr>
          <w:rFonts w:ascii="Century Gothic" w:eastAsia="Calibri" w:hAnsi="Century Gothic" w:cs="Arial"/>
          <w:sz w:val="24"/>
          <w:szCs w:val="24"/>
          <w:lang w:val="es-CO"/>
        </w:rPr>
      </w:pPr>
    </w:p>
    <w:p w:rsidR="00C85E39" w:rsidRPr="0050506D" w:rsidRDefault="00C85E39" w:rsidP="00C85E39">
      <w:pPr>
        <w:pStyle w:val="Prrafodelista"/>
        <w:numPr>
          <w:ilvl w:val="0"/>
          <w:numId w:val="15"/>
        </w:numPr>
        <w:spacing w:after="0" w:line="300" w:lineRule="auto"/>
        <w:jc w:val="both"/>
        <w:rPr>
          <w:rFonts w:ascii="Century Gothic" w:eastAsia="Calibri" w:hAnsi="Century Gothic" w:cs="Arial"/>
          <w:sz w:val="24"/>
          <w:szCs w:val="24"/>
          <w:lang w:val="es-CO"/>
        </w:rPr>
      </w:pPr>
      <w:r w:rsidRPr="0050506D">
        <w:rPr>
          <w:rFonts w:ascii="Century Gothic" w:eastAsia="Calibri" w:hAnsi="Century Gothic" w:cs="Arial"/>
          <w:sz w:val="24"/>
          <w:szCs w:val="24"/>
          <w:lang w:val="es-CO"/>
        </w:rPr>
        <w:t>El señor Oscar Jaime Duran Mosquera readquirió el vehículo el 20 de diciembre de 2013 por la suma de $80.000.000 ochenta millones de pesos y presentó recurso de reconsideración contra la resolución que ordenó el decomis</w:t>
      </w:r>
      <w:r>
        <w:rPr>
          <w:rFonts w:ascii="Century Gothic" w:eastAsia="Calibri" w:hAnsi="Century Gothic" w:cs="Arial"/>
          <w:sz w:val="24"/>
          <w:szCs w:val="24"/>
          <w:lang w:val="es-CO"/>
        </w:rPr>
        <w:t>o, decisión que</w:t>
      </w:r>
      <w:r w:rsidRPr="0050506D">
        <w:rPr>
          <w:rFonts w:ascii="Century Gothic" w:eastAsia="Calibri" w:hAnsi="Century Gothic" w:cs="Arial"/>
          <w:sz w:val="24"/>
          <w:szCs w:val="24"/>
          <w:lang w:val="es-CO"/>
        </w:rPr>
        <w:t xml:space="preserve"> fue confirmada por la Resolución 03-236-408-601-944 del 29 de noviembre de 2013</w:t>
      </w:r>
      <w:r>
        <w:rPr>
          <w:rFonts w:ascii="Century Gothic" w:eastAsia="Calibri" w:hAnsi="Century Gothic" w:cs="Arial"/>
          <w:sz w:val="24"/>
          <w:szCs w:val="24"/>
          <w:lang w:val="es-CO"/>
        </w:rPr>
        <w:t>.</w:t>
      </w:r>
    </w:p>
    <w:p w:rsidR="00C85E39" w:rsidRPr="0050506D" w:rsidRDefault="00C85E39" w:rsidP="00C85E39">
      <w:pPr>
        <w:autoSpaceDE w:val="0"/>
        <w:autoSpaceDN w:val="0"/>
        <w:adjustRightInd w:val="0"/>
        <w:spacing w:after="0"/>
        <w:jc w:val="both"/>
        <w:rPr>
          <w:rFonts w:ascii="Century Gothic" w:hAnsi="Century Gothic" w:cs="Arial"/>
          <w:sz w:val="24"/>
          <w:szCs w:val="24"/>
          <w:lang w:val="es-CO" w:eastAsia="es-CO"/>
        </w:rPr>
      </w:pPr>
    </w:p>
    <w:p w:rsidR="00C85E39" w:rsidRPr="00D43CE8" w:rsidRDefault="00C85E39" w:rsidP="00C85E39">
      <w:pPr>
        <w:autoSpaceDE w:val="0"/>
        <w:autoSpaceDN w:val="0"/>
        <w:adjustRightInd w:val="0"/>
        <w:spacing w:after="0"/>
        <w:jc w:val="both"/>
        <w:rPr>
          <w:rFonts w:ascii="Century Gothic" w:hAnsi="Century Gothic" w:cs="Arial"/>
          <w:b/>
          <w:sz w:val="24"/>
          <w:szCs w:val="24"/>
          <w:lang w:val="es-CO" w:eastAsia="es-CO"/>
        </w:rPr>
      </w:pPr>
      <w:r w:rsidRPr="008A66F6">
        <w:rPr>
          <w:rFonts w:ascii="Century Gothic" w:hAnsi="Century Gothic" w:cs="Arial"/>
          <w:b/>
          <w:sz w:val="24"/>
          <w:szCs w:val="24"/>
          <w:lang w:val="es-CO" w:eastAsia="es-CO"/>
        </w:rPr>
        <w:lastRenderedPageBreak/>
        <w:t xml:space="preserve">1.3. NORMAS VIOLADAS Y CONCEPTO DE VIOLACIÓN </w:t>
      </w:r>
    </w:p>
    <w:p w:rsidR="00C85E39" w:rsidRPr="0050506D" w:rsidRDefault="00C85E39" w:rsidP="00C85E39">
      <w:pPr>
        <w:spacing w:after="0"/>
        <w:jc w:val="both"/>
        <w:rPr>
          <w:rFonts w:ascii="Century Gothic" w:hAnsi="Century Gothic"/>
          <w:sz w:val="24"/>
          <w:szCs w:val="24"/>
          <w:lang w:val="es-CO"/>
        </w:rPr>
      </w:pPr>
    </w:p>
    <w:p w:rsidR="00C85E39" w:rsidRDefault="00C85E39" w:rsidP="00C85E39">
      <w:pPr>
        <w:spacing w:after="0"/>
        <w:jc w:val="both"/>
        <w:rPr>
          <w:rFonts w:ascii="Century Gothic" w:hAnsi="Century Gothic"/>
          <w:sz w:val="24"/>
          <w:szCs w:val="24"/>
        </w:rPr>
      </w:pPr>
      <w:r w:rsidRPr="008A66F6">
        <w:rPr>
          <w:rFonts w:ascii="Century Gothic" w:hAnsi="Century Gothic"/>
          <w:sz w:val="24"/>
          <w:szCs w:val="24"/>
        </w:rPr>
        <w:t xml:space="preserve">La demandante señaló </w:t>
      </w:r>
      <w:r>
        <w:rPr>
          <w:rFonts w:ascii="Century Gothic" w:hAnsi="Century Gothic"/>
          <w:sz w:val="24"/>
          <w:szCs w:val="24"/>
        </w:rPr>
        <w:t xml:space="preserve">como causales de nulidad la infracción de las normas en que debieron fundarse los actos administrativos demandado y falsa motivación. </w:t>
      </w:r>
    </w:p>
    <w:p w:rsidR="00C85E39" w:rsidRDefault="00C85E39" w:rsidP="00C85E39">
      <w:pPr>
        <w:spacing w:after="0"/>
        <w:jc w:val="both"/>
        <w:rPr>
          <w:rFonts w:ascii="Century Gothic" w:hAnsi="Century Gothic"/>
          <w:iCs/>
          <w:sz w:val="24"/>
          <w:szCs w:val="24"/>
        </w:rPr>
      </w:pPr>
    </w:p>
    <w:p w:rsidR="00C85E39" w:rsidRDefault="00C85E39" w:rsidP="00C85E39">
      <w:pPr>
        <w:suppressAutoHyphens/>
        <w:spacing w:after="0"/>
        <w:jc w:val="both"/>
        <w:rPr>
          <w:rFonts w:ascii="Century Gothic" w:hAnsi="Century Gothic"/>
          <w:iCs/>
          <w:sz w:val="24"/>
          <w:szCs w:val="24"/>
        </w:rPr>
      </w:pPr>
      <w:r>
        <w:rPr>
          <w:rFonts w:ascii="Century Gothic" w:hAnsi="Century Gothic"/>
          <w:iCs/>
          <w:sz w:val="24"/>
          <w:szCs w:val="24"/>
        </w:rPr>
        <w:t xml:space="preserve">Aduce que se infringe el artículo primero y subsiguientes del Decreto 1751 de 1991 y artículo 1 de la Ley 174 de 1994 reglamentada por el Decreto 1829 del 26 de octubre de 1995, toda vez que el accionante presentó la declaración de saneamiento No. 002572 del 2 de octubre de 1991 con la cual se saneo la mercancía que se encuentra decomisada, igualmente que existió falta de diligencia por parte de la DIAN en buscar y encontrar el expediente original que reposa en sus archivos en donde se encuentra todo el trámite de saneamiento que hace alusión la declaración No. 002572 del 2 de octubre de 1991. </w:t>
      </w:r>
    </w:p>
    <w:p w:rsidR="00C85E39" w:rsidRDefault="00C85E39" w:rsidP="00C85E39">
      <w:pPr>
        <w:suppressAutoHyphens/>
        <w:spacing w:after="0"/>
        <w:jc w:val="both"/>
        <w:rPr>
          <w:rFonts w:ascii="Century Gothic" w:hAnsi="Century Gothic"/>
          <w:iCs/>
          <w:sz w:val="24"/>
          <w:szCs w:val="24"/>
        </w:rPr>
      </w:pPr>
    </w:p>
    <w:p w:rsidR="00C85E39" w:rsidRDefault="00C85E39" w:rsidP="00C85E39">
      <w:pPr>
        <w:suppressAutoHyphens/>
        <w:spacing w:after="0"/>
        <w:jc w:val="both"/>
        <w:rPr>
          <w:rFonts w:ascii="Century Gothic" w:hAnsi="Century Gothic"/>
          <w:iCs/>
          <w:sz w:val="24"/>
          <w:szCs w:val="24"/>
        </w:rPr>
      </w:pPr>
      <w:r>
        <w:rPr>
          <w:rFonts w:ascii="Century Gothic" w:hAnsi="Century Gothic"/>
          <w:iCs/>
          <w:sz w:val="24"/>
          <w:szCs w:val="24"/>
        </w:rPr>
        <w:t>Señala que con el acta de aprehensión sirvió de base para la expedición de las resoluciones acusadas de nulas se viola la causal No. 1.6 del artículo 502 del Decreto 2685 de 1999 toda vez que se exige que la mercancía no este amparada por una declaración de importación, lo cual no ocurre en el sub examine pues la mercancía se encuentra amparada por la declaración de saneamiento No. 002572 del 2 de octubre de 1991, sin embargo, la misma se encuentra extraviada en los archivos de la DIAN.</w:t>
      </w:r>
    </w:p>
    <w:p w:rsidR="00C85E39" w:rsidRDefault="00C85E39" w:rsidP="00C85E39">
      <w:pPr>
        <w:suppressAutoHyphens/>
        <w:spacing w:after="0"/>
        <w:jc w:val="both"/>
        <w:rPr>
          <w:rFonts w:ascii="Century Gothic" w:hAnsi="Century Gothic"/>
          <w:iCs/>
          <w:sz w:val="24"/>
          <w:szCs w:val="24"/>
        </w:rPr>
      </w:pPr>
    </w:p>
    <w:p w:rsidR="00C85E39" w:rsidRPr="00C66513" w:rsidRDefault="00C85E39" w:rsidP="00C85E39">
      <w:pPr>
        <w:spacing w:after="0"/>
        <w:jc w:val="both"/>
        <w:rPr>
          <w:rFonts w:ascii="Century Gothic" w:hAnsi="Century Gothic" w:cs="Century Gothic"/>
          <w:b/>
          <w:bCs/>
          <w:sz w:val="24"/>
          <w:szCs w:val="24"/>
        </w:rPr>
      </w:pPr>
      <w:r>
        <w:rPr>
          <w:rFonts w:ascii="Century Gothic" w:hAnsi="Century Gothic" w:cs="Century Gothic"/>
          <w:b/>
          <w:bCs/>
          <w:sz w:val="24"/>
          <w:szCs w:val="24"/>
        </w:rPr>
        <w:t>2</w:t>
      </w:r>
      <w:r w:rsidRPr="008A66F6">
        <w:rPr>
          <w:rFonts w:ascii="Century Gothic" w:hAnsi="Century Gothic" w:cs="Century Gothic"/>
          <w:b/>
          <w:bCs/>
          <w:sz w:val="24"/>
          <w:szCs w:val="24"/>
        </w:rPr>
        <w:t xml:space="preserve">. </w:t>
      </w:r>
      <w:r>
        <w:rPr>
          <w:rFonts w:ascii="Century Gothic" w:hAnsi="Century Gothic" w:cs="Century Gothic"/>
          <w:b/>
          <w:bCs/>
          <w:sz w:val="24"/>
          <w:szCs w:val="24"/>
        </w:rPr>
        <w:t xml:space="preserve">Sentencia apelada </w:t>
      </w:r>
      <w:r w:rsidRPr="00C66513">
        <w:rPr>
          <w:rFonts w:ascii="Century Gothic" w:hAnsi="Century Gothic" w:cs="Century Gothic"/>
          <w:b/>
          <w:bCs/>
          <w:sz w:val="24"/>
          <w:szCs w:val="24"/>
        </w:rPr>
        <w:t>(</w:t>
      </w:r>
      <w:r>
        <w:rPr>
          <w:rFonts w:ascii="Century Gothic" w:hAnsi="Century Gothic" w:cs="Century Gothic"/>
          <w:b/>
          <w:bCs/>
          <w:sz w:val="24"/>
          <w:szCs w:val="24"/>
        </w:rPr>
        <w:t>Fl.437-442</w:t>
      </w:r>
      <w:r w:rsidRPr="00C66513">
        <w:rPr>
          <w:rFonts w:ascii="Century Gothic" w:hAnsi="Century Gothic" w:cs="Century Gothic"/>
          <w:b/>
          <w:bCs/>
          <w:sz w:val="24"/>
          <w:szCs w:val="24"/>
        </w:rPr>
        <w:t>)</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 xml:space="preserve">Mediante sentencia de fecha </w:t>
      </w:r>
      <w:r>
        <w:rPr>
          <w:rFonts w:ascii="Century Gothic" w:eastAsia="Times New Roman" w:hAnsi="Century Gothic" w:cs="Century Gothic"/>
          <w:sz w:val="24"/>
          <w:szCs w:val="24"/>
          <w:lang w:eastAsia="es-ES"/>
        </w:rPr>
        <w:t>veintiséis</w:t>
      </w:r>
      <w:r w:rsidRPr="00342404">
        <w:rPr>
          <w:rFonts w:ascii="Century Gothic" w:eastAsia="Times New Roman" w:hAnsi="Century Gothic" w:cs="Century Gothic"/>
          <w:sz w:val="24"/>
          <w:szCs w:val="24"/>
          <w:lang w:eastAsia="es-ES"/>
        </w:rPr>
        <w:t xml:space="preserve"> (</w:t>
      </w:r>
      <w:r>
        <w:rPr>
          <w:rFonts w:ascii="Century Gothic" w:eastAsia="Times New Roman" w:hAnsi="Century Gothic" w:cs="Century Gothic"/>
          <w:sz w:val="24"/>
          <w:szCs w:val="24"/>
          <w:lang w:eastAsia="es-ES"/>
        </w:rPr>
        <w:t>26</w:t>
      </w:r>
      <w:r w:rsidRPr="00342404">
        <w:rPr>
          <w:rFonts w:ascii="Century Gothic" w:eastAsia="Times New Roman" w:hAnsi="Century Gothic" w:cs="Century Gothic"/>
          <w:sz w:val="24"/>
          <w:szCs w:val="24"/>
          <w:lang w:eastAsia="es-ES"/>
        </w:rPr>
        <w:t xml:space="preserve">) de </w:t>
      </w:r>
      <w:r>
        <w:rPr>
          <w:rFonts w:ascii="Century Gothic" w:eastAsia="Times New Roman" w:hAnsi="Century Gothic" w:cs="Century Gothic"/>
          <w:sz w:val="24"/>
          <w:szCs w:val="24"/>
          <w:lang w:eastAsia="es-ES"/>
        </w:rPr>
        <w:t xml:space="preserve">enero </w:t>
      </w:r>
      <w:r w:rsidRPr="00342404">
        <w:rPr>
          <w:rFonts w:ascii="Century Gothic" w:eastAsia="Times New Roman" w:hAnsi="Century Gothic" w:cs="Century Gothic"/>
          <w:sz w:val="24"/>
          <w:szCs w:val="24"/>
          <w:lang w:eastAsia="es-ES"/>
        </w:rPr>
        <w:t xml:space="preserve">de dos mil </w:t>
      </w:r>
      <w:r>
        <w:rPr>
          <w:rFonts w:ascii="Century Gothic" w:eastAsia="Times New Roman" w:hAnsi="Century Gothic" w:cs="Century Gothic"/>
          <w:sz w:val="24"/>
          <w:szCs w:val="24"/>
          <w:lang w:eastAsia="es-ES"/>
        </w:rPr>
        <w:t>diecisiete</w:t>
      </w:r>
      <w:r w:rsidRPr="00342404">
        <w:rPr>
          <w:rFonts w:ascii="Century Gothic" w:eastAsia="Times New Roman" w:hAnsi="Century Gothic" w:cs="Century Gothic"/>
          <w:sz w:val="24"/>
          <w:szCs w:val="24"/>
          <w:lang w:eastAsia="es-ES"/>
        </w:rPr>
        <w:t xml:space="preserve"> (201</w:t>
      </w:r>
      <w:r>
        <w:rPr>
          <w:rFonts w:ascii="Century Gothic" w:eastAsia="Times New Roman" w:hAnsi="Century Gothic" w:cs="Century Gothic"/>
          <w:sz w:val="24"/>
          <w:szCs w:val="24"/>
          <w:lang w:eastAsia="es-ES"/>
        </w:rPr>
        <w:t>7</w:t>
      </w:r>
      <w:r w:rsidRPr="00342404">
        <w:rPr>
          <w:rFonts w:ascii="Century Gothic" w:eastAsia="Times New Roman" w:hAnsi="Century Gothic" w:cs="Century Gothic"/>
          <w:sz w:val="24"/>
          <w:szCs w:val="24"/>
          <w:lang w:eastAsia="es-ES"/>
        </w:rPr>
        <w:t>)</w:t>
      </w:r>
      <w:r w:rsidRPr="00080877">
        <w:rPr>
          <w:rFonts w:ascii="Century Gothic" w:hAnsi="Century Gothic" w:cs="Century Gothic"/>
          <w:bCs/>
          <w:sz w:val="24"/>
          <w:szCs w:val="24"/>
        </w:rPr>
        <w:t xml:space="preserve">, el Juzgado </w:t>
      </w:r>
      <w:r>
        <w:rPr>
          <w:rFonts w:ascii="Century Gothic" w:hAnsi="Century Gothic" w:cs="Century Gothic"/>
          <w:bCs/>
          <w:sz w:val="24"/>
          <w:szCs w:val="24"/>
        </w:rPr>
        <w:t xml:space="preserve">Quinto </w:t>
      </w:r>
      <w:r w:rsidRPr="00080877">
        <w:rPr>
          <w:rFonts w:ascii="Century Gothic" w:hAnsi="Century Gothic" w:cs="Century Gothic"/>
          <w:bCs/>
          <w:sz w:val="24"/>
          <w:szCs w:val="24"/>
        </w:rPr>
        <w:t xml:space="preserve">Administrativo Oral del Circuito de Cartagena, resolvió denegar </w:t>
      </w:r>
      <w:r>
        <w:rPr>
          <w:rFonts w:ascii="Century Gothic" w:hAnsi="Century Gothic" w:cs="Century Gothic"/>
          <w:bCs/>
          <w:sz w:val="24"/>
          <w:szCs w:val="24"/>
        </w:rPr>
        <w:t xml:space="preserve">las pretensiones de la demanda, aduciendo que la declaración de saneamiento No. 002572 del 2 de octubre de 1991 no puede amparar un vehículo en razón a que no pudo ser confirmado como individualizado con el chasis F90KH60502, que corresponde al modelo 1985 del camión aprehendido y decomisado, es decir que no hay certeza que el vehículo que fue objeto de aprehensión el 11 de abril de 2013 fuera el que estaba amparado don dicha declaración de saneamiento, toda vez que no se pudo constatar el VIN No. De chasis original por estar registrados dos vehículos con el mismo número de chasis que parece grabado en el automotor objeto del decomiso.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sidRPr="00C66513">
        <w:rPr>
          <w:rFonts w:ascii="Century Gothic" w:hAnsi="Century Gothic" w:cs="Century Gothic"/>
          <w:bCs/>
          <w:sz w:val="24"/>
          <w:szCs w:val="24"/>
        </w:rPr>
        <w:lastRenderedPageBreak/>
        <w:t xml:space="preserve">Adujo el A quo en el fallo recurrido que, </w:t>
      </w:r>
      <w:r>
        <w:rPr>
          <w:rFonts w:ascii="Century Gothic" w:hAnsi="Century Gothic" w:cs="Century Gothic"/>
          <w:bCs/>
          <w:sz w:val="24"/>
          <w:szCs w:val="24"/>
        </w:rPr>
        <w:t xml:space="preserve">el demandante no demostró que el vehículo readquirido era el mismo objeto del saneamiento en el año 1991.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
          <w:bCs/>
          <w:sz w:val="24"/>
          <w:szCs w:val="24"/>
        </w:rPr>
        <w:t>3</w:t>
      </w:r>
      <w:r w:rsidRPr="00EE34F9">
        <w:rPr>
          <w:rFonts w:ascii="Century Gothic" w:hAnsi="Century Gothic" w:cs="Century Gothic"/>
          <w:b/>
          <w:bCs/>
          <w:sz w:val="24"/>
          <w:szCs w:val="24"/>
        </w:rPr>
        <w:t xml:space="preserve">. El Recurso de Apelación. </w:t>
      </w:r>
      <w:r w:rsidRPr="00C17F12">
        <w:rPr>
          <w:rFonts w:ascii="Century Gothic" w:hAnsi="Century Gothic" w:cs="Century Gothic"/>
          <w:b/>
          <w:bCs/>
          <w:sz w:val="24"/>
          <w:szCs w:val="24"/>
        </w:rPr>
        <w:t xml:space="preserve">(Fls. </w:t>
      </w:r>
      <w:r>
        <w:rPr>
          <w:rFonts w:ascii="Century Gothic" w:hAnsi="Century Gothic" w:cs="Century Gothic"/>
          <w:b/>
          <w:bCs/>
          <w:sz w:val="24"/>
          <w:szCs w:val="24"/>
        </w:rPr>
        <w:t>448-456</w:t>
      </w:r>
      <w:r w:rsidRPr="00C17F12">
        <w:rPr>
          <w:rFonts w:ascii="Century Gothic" w:hAnsi="Century Gothic" w:cs="Century Gothic"/>
          <w:b/>
          <w:bCs/>
          <w:sz w:val="24"/>
          <w:szCs w:val="24"/>
        </w:rPr>
        <w:t>)</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sidRPr="00C17F12">
        <w:rPr>
          <w:rFonts w:ascii="Century Gothic" w:hAnsi="Century Gothic" w:cs="Century Gothic"/>
          <w:bCs/>
          <w:sz w:val="24"/>
          <w:szCs w:val="24"/>
        </w:rPr>
        <w:t>A través de escrito allegado por el a</w:t>
      </w:r>
      <w:r>
        <w:rPr>
          <w:rFonts w:ascii="Century Gothic" w:hAnsi="Century Gothic" w:cs="Century Gothic"/>
          <w:bCs/>
          <w:sz w:val="24"/>
          <w:szCs w:val="24"/>
        </w:rPr>
        <w:t>poderado del demandante</w:t>
      </w:r>
      <w:r w:rsidRPr="00C17F12">
        <w:rPr>
          <w:rFonts w:ascii="Century Gothic" w:hAnsi="Century Gothic" w:cs="Century Gothic"/>
          <w:bCs/>
          <w:sz w:val="24"/>
          <w:szCs w:val="24"/>
        </w:rPr>
        <w:t xml:space="preserve">, se interpuso recurso de apelación contra la sentencia de primera instancia, señalándose para el efecto que, </w:t>
      </w:r>
      <w:r>
        <w:rPr>
          <w:rFonts w:ascii="Century Gothic" w:hAnsi="Century Gothic" w:cs="Century Gothic"/>
          <w:bCs/>
          <w:sz w:val="24"/>
          <w:szCs w:val="24"/>
        </w:rPr>
        <w:t xml:space="preserve">el demandante obtuvo la declaración por saneamiento No. 002572 del 2 de octubre de 1991 ante las adunadas de Cartagena respecto del vehículo (cabezote o tracto camión) que inicialmente se identificaba con la placa SBO 226 y que precisamente como consecuencia jurídica de ese saneamiento que se equiparo al manifiesto de importación dio lugar a que las autoridades de transito matricularan al mismo vehículo pero con la plata TUQ 000.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 xml:space="preserve">Aduce que no es cierto que se trate de dos vehículos diferentes, sino de un mismo automotor en el que predominan las características contenidas en el señalado saneamiento aduanero, es decir, tractomula marca Ford, Modelo 1985, Color negro, Línea 9999, Motor 1123414, Diesel, Tipo CUMMIS y numero de Chasis F90K4H60502, dejándose constancia de que dicho tracto camión desde que tenía placa SBO 226 ya se encontraba con el chasis legalmente regrabado tal como se aprecia en la licencia No. 4007748 expedida por las autoridades de Tránsito y Transporte que cuentan con la expresión “rebg”.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 xml:space="preserve">Afirman que el demandante ya había informado que antes de la mencionada declaración de saneamiento se había repotenciado el vehículo con piezas legalmente importadas, registradas ante las autoridades de Tránsito y Transporte cuando el vehículo se identificaba con placa SBO 226. </w:t>
      </w:r>
    </w:p>
    <w:p w:rsidR="00C85E39"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Pr>
          <w:rFonts w:ascii="Century Gothic" w:hAnsi="Century Gothic" w:cs="Century Gothic"/>
          <w:b/>
          <w:bCs/>
          <w:sz w:val="24"/>
          <w:szCs w:val="24"/>
        </w:rPr>
        <w:t xml:space="preserve">4. </w:t>
      </w:r>
      <w:r w:rsidRPr="008A66F6">
        <w:rPr>
          <w:rFonts w:ascii="Century Gothic" w:hAnsi="Century Gothic" w:cs="Century Gothic"/>
          <w:b/>
          <w:bCs/>
          <w:sz w:val="24"/>
          <w:szCs w:val="24"/>
        </w:rPr>
        <w:t xml:space="preserve">TRÁMITE </w:t>
      </w:r>
      <w:r>
        <w:rPr>
          <w:rFonts w:ascii="Century Gothic" w:hAnsi="Century Gothic" w:cs="Century Gothic"/>
          <w:b/>
          <w:bCs/>
          <w:sz w:val="24"/>
          <w:szCs w:val="24"/>
        </w:rPr>
        <w:t>PROCESAL DE SEGUNDA INSTANCIA</w:t>
      </w:r>
    </w:p>
    <w:p w:rsidR="00C85E39" w:rsidRDefault="00C85E39" w:rsidP="00C85E39">
      <w:pPr>
        <w:spacing w:after="0"/>
        <w:jc w:val="both"/>
        <w:rPr>
          <w:rFonts w:ascii="Century Gothic" w:hAnsi="Century Gothic" w:cs="Century Gothic"/>
          <w:b/>
          <w:bCs/>
          <w:sz w:val="24"/>
          <w:szCs w:val="24"/>
        </w:rPr>
      </w:pPr>
    </w:p>
    <w:p w:rsidR="00C85E39" w:rsidRPr="00377E71"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Con auto de fecha tres (03</w:t>
      </w:r>
      <w:r w:rsidRPr="00377E71">
        <w:rPr>
          <w:rFonts w:ascii="Century Gothic" w:hAnsi="Century Gothic" w:cs="Century Gothic"/>
          <w:bCs/>
          <w:sz w:val="24"/>
          <w:szCs w:val="24"/>
        </w:rPr>
        <w:t xml:space="preserve">) de </w:t>
      </w:r>
      <w:r>
        <w:rPr>
          <w:rFonts w:ascii="Century Gothic" w:hAnsi="Century Gothic" w:cs="Century Gothic"/>
          <w:bCs/>
          <w:sz w:val="24"/>
          <w:szCs w:val="24"/>
        </w:rPr>
        <w:t xml:space="preserve">abril </w:t>
      </w:r>
      <w:r w:rsidRPr="00377E71">
        <w:rPr>
          <w:rFonts w:ascii="Century Gothic" w:hAnsi="Century Gothic" w:cs="Century Gothic"/>
          <w:bCs/>
          <w:sz w:val="24"/>
          <w:szCs w:val="24"/>
        </w:rPr>
        <w:t xml:space="preserve">de dos mil </w:t>
      </w:r>
      <w:r>
        <w:rPr>
          <w:rFonts w:ascii="Century Gothic" w:hAnsi="Century Gothic" w:cs="Century Gothic"/>
          <w:bCs/>
          <w:sz w:val="24"/>
          <w:szCs w:val="24"/>
        </w:rPr>
        <w:t>diecisiete (2017</w:t>
      </w:r>
      <w:r w:rsidRPr="00377E71">
        <w:rPr>
          <w:rFonts w:ascii="Century Gothic" w:hAnsi="Century Gothic" w:cs="Century Gothic"/>
          <w:bCs/>
          <w:sz w:val="24"/>
          <w:szCs w:val="24"/>
        </w:rPr>
        <w:t xml:space="preserve">), se admitió el recurso de apelación interpuesto por la parte demandante. Mediante auto de fecha </w:t>
      </w:r>
      <w:r>
        <w:rPr>
          <w:rFonts w:ascii="Century Gothic" w:hAnsi="Century Gothic" w:cs="Century Gothic"/>
          <w:bCs/>
          <w:sz w:val="24"/>
          <w:szCs w:val="24"/>
        </w:rPr>
        <w:t>veintisiete (27</w:t>
      </w:r>
      <w:r w:rsidRPr="00377E71">
        <w:rPr>
          <w:rFonts w:ascii="Century Gothic" w:hAnsi="Century Gothic" w:cs="Century Gothic"/>
          <w:bCs/>
          <w:sz w:val="24"/>
          <w:szCs w:val="24"/>
        </w:rPr>
        <w:t xml:space="preserve">) de </w:t>
      </w:r>
      <w:r>
        <w:rPr>
          <w:rFonts w:ascii="Century Gothic" w:hAnsi="Century Gothic" w:cs="Century Gothic"/>
          <w:bCs/>
          <w:sz w:val="24"/>
          <w:szCs w:val="24"/>
        </w:rPr>
        <w:t>junio</w:t>
      </w:r>
      <w:r w:rsidRPr="00377E71">
        <w:rPr>
          <w:rFonts w:ascii="Century Gothic" w:hAnsi="Century Gothic" w:cs="Century Gothic"/>
          <w:bCs/>
          <w:sz w:val="24"/>
          <w:szCs w:val="24"/>
        </w:rPr>
        <w:t xml:space="preserve"> de dos mil </w:t>
      </w:r>
      <w:r>
        <w:rPr>
          <w:rFonts w:ascii="Century Gothic" w:hAnsi="Century Gothic" w:cs="Century Gothic"/>
          <w:bCs/>
          <w:sz w:val="24"/>
          <w:szCs w:val="24"/>
        </w:rPr>
        <w:t>diecisiete (2017</w:t>
      </w:r>
      <w:r w:rsidRPr="00377E71">
        <w:rPr>
          <w:rFonts w:ascii="Century Gothic" w:hAnsi="Century Gothic" w:cs="Century Gothic"/>
          <w:bCs/>
          <w:sz w:val="24"/>
          <w:szCs w:val="24"/>
        </w:rPr>
        <w:t>) se corrió traslado a las partes para alegar de conclusión.</w:t>
      </w:r>
    </w:p>
    <w:p w:rsidR="00C85E39" w:rsidRPr="008A66F6"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Pr>
          <w:rFonts w:ascii="Century Gothic" w:hAnsi="Century Gothic" w:cs="Century Gothic"/>
          <w:b/>
          <w:bCs/>
          <w:sz w:val="24"/>
          <w:szCs w:val="24"/>
        </w:rPr>
        <w:t>6</w:t>
      </w:r>
      <w:r w:rsidRPr="008A66F6">
        <w:rPr>
          <w:rFonts w:ascii="Century Gothic" w:hAnsi="Century Gothic" w:cs="Century Gothic"/>
          <w:b/>
          <w:bCs/>
          <w:sz w:val="24"/>
          <w:szCs w:val="24"/>
        </w:rPr>
        <w:t xml:space="preserve">. ALEGATOS DE CONCLUSIÓN </w:t>
      </w:r>
    </w:p>
    <w:p w:rsidR="00C85E39"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Pr>
          <w:rFonts w:ascii="Century Gothic" w:hAnsi="Century Gothic" w:cs="Century Gothic"/>
          <w:b/>
          <w:bCs/>
          <w:sz w:val="24"/>
          <w:szCs w:val="24"/>
        </w:rPr>
        <w:t>6</w:t>
      </w:r>
      <w:r w:rsidRPr="008A66F6">
        <w:rPr>
          <w:rFonts w:ascii="Century Gothic" w:hAnsi="Century Gothic" w:cs="Century Gothic"/>
          <w:b/>
          <w:bCs/>
          <w:sz w:val="24"/>
          <w:szCs w:val="24"/>
        </w:rPr>
        <w:t xml:space="preserve">.1. </w:t>
      </w:r>
      <w:r>
        <w:rPr>
          <w:rFonts w:ascii="Century Gothic" w:hAnsi="Century Gothic" w:cs="Century Gothic"/>
          <w:b/>
          <w:bCs/>
          <w:sz w:val="24"/>
          <w:szCs w:val="24"/>
        </w:rPr>
        <w:t>Parte demandada (fs.11-15)</w:t>
      </w:r>
    </w:p>
    <w:p w:rsidR="00C85E39" w:rsidRDefault="00C85E39" w:rsidP="00C85E39">
      <w:pPr>
        <w:spacing w:after="0"/>
        <w:jc w:val="both"/>
        <w:rPr>
          <w:rFonts w:ascii="Century Gothic" w:hAnsi="Century Gothic" w:cs="Century Gothic"/>
          <w:b/>
          <w:bCs/>
          <w:sz w:val="24"/>
          <w:szCs w:val="24"/>
        </w:rPr>
      </w:pPr>
    </w:p>
    <w:p w:rsidR="00C85E39" w:rsidRPr="004C2C71"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lastRenderedPageBreak/>
        <w:t>La parte demandada</w:t>
      </w:r>
      <w:r w:rsidRPr="004C2C71">
        <w:rPr>
          <w:rFonts w:ascii="Century Gothic" w:hAnsi="Century Gothic" w:cs="Century Gothic"/>
          <w:bCs/>
          <w:sz w:val="24"/>
          <w:szCs w:val="24"/>
        </w:rPr>
        <w:t xml:space="preserve"> </w:t>
      </w:r>
      <w:r>
        <w:rPr>
          <w:rFonts w:ascii="Century Gothic" w:hAnsi="Century Gothic" w:cs="Century Gothic"/>
          <w:bCs/>
          <w:sz w:val="24"/>
          <w:szCs w:val="24"/>
        </w:rPr>
        <w:t>DIAN p</w:t>
      </w:r>
      <w:r w:rsidRPr="004C2C71">
        <w:rPr>
          <w:rFonts w:ascii="Century Gothic" w:hAnsi="Century Gothic" w:cs="Century Gothic"/>
          <w:bCs/>
          <w:sz w:val="24"/>
          <w:szCs w:val="24"/>
        </w:rPr>
        <w:t xml:space="preserve">resentó alegatos de conclusión </w:t>
      </w:r>
      <w:r>
        <w:rPr>
          <w:rFonts w:ascii="Century Gothic" w:hAnsi="Century Gothic" w:cs="Century Gothic"/>
          <w:bCs/>
          <w:sz w:val="24"/>
          <w:szCs w:val="24"/>
        </w:rPr>
        <w:t xml:space="preserve">manifestando que la parte demandante no demostró que el vehículo aprehendido por dicha entidad se encontrara amparado en un documento que permitiera su legal permanencia en el Territorio Aduanero Nacional, toda vez que la descripción de la mercancía consignada en la Declaración de Saneamiento, allegada al expediente no corresponde con la aprehenda, por lo que aduce se configura la causal prevista en el numeral 1.6 del artículo 502 del Decreto 2685 de 1999. </w:t>
      </w:r>
    </w:p>
    <w:p w:rsidR="00C85E39" w:rsidRPr="008A66F6" w:rsidRDefault="00C85E39" w:rsidP="00C85E39">
      <w:pPr>
        <w:spacing w:after="0"/>
        <w:jc w:val="both"/>
        <w:rPr>
          <w:rFonts w:ascii="Century Gothic" w:hAnsi="Century Gothic" w:cs="Century Gothic"/>
          <w:b/>
          <w:bCs/>
          <w:sz w:val="24"/>
          <w:szCs w:val="24"/>
        </w:rPr>
      </w:pPr>
    </w:p>
    <w:p w:rsidR="00C85E39" w:rsidRPr="008A66F6" w:rsidRDefault="00C85E39" w:rsidP="00C85E39">
      <w:pPr>
        <w:spacing w:after="0"/>
        <w:jc w:val="both"/>
        <w:rPr>
          <w:rFonts w:ascii="Century Gothic" w:hAnsi="Century Gothic" w:cs="Century Gothic"/>
          <w:b/>
          <w:bCs/>
          <w:sz w:val="24"/>
          <w:szCs w:val="24"/>
        </w:rPr>
      </w:pPr>
      <w:r>
        <w:rPr>
          <w:rFonts w:ascii="Century Gothic" w:hAnsi="Century Gothic" w:cs="Century Gothic"/>
          <w:b/>
          <w:bCs/>
          <w:sz w:val="24"/>
          <w:szCs w:val="24"/>
        </w:rPr>
        <w:t>6</w:t>
      </w:r>
      <w:r w:rsidRPr="008A66F6">
        <w:rPr>
          <w:rFonts w:ascii="Century Gothic" w:hAnsi="Century Gothic" w:cs="Century Gothic"/>
          <w:b/>
          <w:bCs/>
          <w:sz w:val="24"/>
          <w:szCs w:val="24"/>
        </w:rPr>
        <w:t xml:space="preserve">.1. </w:t>
      </w:r>
      <w:r>
        <w:rPr>
          <w:rFonts w:ascii="Century Gothic" w:hAnsi="Century Gothic" w:cs="Century Gothic"/>
          <w:b/>
          <w:bCs/>
          <w:sz w:val="24"/>
          <w:szCs w:val="24"/>
        </w:rPr>
        <w:t>Parte demandante (fs.28-37 )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sidRPr="00CB585F">
        <w:rPr>
          <w:rFonts w:ascii="Century Gothic" w:hAnsi="Century Gothic" w:cs="Century Gothic"/>
          <w:bCs/>
          <w:sz w:val="24"/>
          <w:szCs w:val="24"/>
        </w:rPr>
        <w:t xml:space="preserve">Señala en el escrito de alegaciones presentado que </w:t>
      </w:r>
      <w:r>
        <w:rPr>
          <w:rFonts w:ascii="Century Gothic" w:hAnsi="Century Gothic" w:cs="Century Gothic"/>
          <w:bCs/>
          <w:sz w:val="24"/>
          <w:szCs w:val="24"/>
        </w:rPr>
        <w:t>se debe revocar el fallo impugnado ratificando los argumentos expuestos en el recurso de apelación.</w:t>
      </w:r>
    </w:p>
    <w:p w:rsidR="00C85E39" w:rsidRPr="008A66F6" w:rsidRDefault="00C85E39" w:rsidP="00C85E39">
      <w:pPr>
        <w:spacing w:after="0"/>
        <w:jc w:val="center"/>
        <w:rPr>
          <w:rFonts w:ascii="Century Gothic" w:hAnsi="Century Gothic" w:cs="Arial"/>
          <w:b/>
          <w:iCs/>
          <w:lang w:val="es-CO"/>
        </w:rPr>
      </w:pPr>
      <w:r w:rsidRPr="008A66F6">
        <w:rPr>
          <w:rFonts w:ascii="Century Gothic" w:hAnsi="Century Gothic" w:cs="Arial"/>
          <w:b/>
          <w:iCs/>
          <w:lang w:val="es-CO"/>
        </w:rPr>
        <w:t>IV. CONTROL DE LEGALIDAD</w:t>
      </w:r>
    </w:p>
    <w:p w:rsidR="00C85E39" w:rsidRPr="008A66F6" w:rsidRDefault="00C85E39" w:rsidP="00C85E39">
      <w:pPr>
        <w:spacing w:after="0"/>
        <w:jc w:val="center"/>
        <w:rPr>
          <w:rFonts w:ascii="Century Gothic" w:hAnsi="Century Gothic" w:cs="Arial"/>
          <w:b/>
          <w:iCs/>
          <w:lang w:val="es-CO"/>
        </w:rPr>
      </w:pPr>
    </w:p>
    <w:p w:rsidR="00C85E39" w:rsidRPr="008A66F6" w:rsidRDefault="00C85E39" w:rsidP="00C85E39">
      <w:pPr>
        <w:spacing w:after="0"/>
        <w:jc w:val="both"/>
        <w:rPr>
          <w:rFonts w:ascii="Century Gothic" w:hAnsi="Century Gothic"/>
          <w:sz w:val="24"/>
          <w:szCs w:val="24"/>
        </w:rPr>
      </w:pPr>
      <w:r w:rsidRPr="008A66F6">
        <w:rPr>
          <w:rFonts w:ascii="Century Gothic" w:hAnsi="Century Gothic"/>
          <w:sz w:val="24"/>
          <w:szCs w:val="24"/>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C85E39" w:rsidRPr="008A66F6" w:rsidRDefault="00C85E39" w:rsidP="00C85E39">
      <w:pPr>
        <w:spacing w:after="0"/>
        <w:ind w:left="708"/>
        <w:jc w:val="center"/>
        <w:rPr>
          <w:rFonts w:ascii="Century Gothic" w:hAnsi="Century Gothic" w:cs="Arial"/>
          <w:b/>
          <w:iCs/>
        </w:rPr>
      </w:pPr>
    </w:p>
    <w:p w:rsidR="00C85E39" w:rsidRPr="008A66F6" w:rsidRDefault="00C85E39" w:rsidP="00C85E39">
      <w:pPr>
        <w:spacing w:after="0"/>
        <w:ind w:left="708"/>
        <w:jc w:val="center"/>
        <w:rPr>
          <w:rFonts w:ascii="Century Gothic" w:hAnsi="Century Gothic" w:cs="Arial"/>
          <w:b/>
          <w:iCs/>
          <w:sz w:val="24"/>
          <w:szCs w:val="24"/>
        </w:rPr>
      </w:pPr>
      <w:r w:rsidRPr="008A66F6">
        <w:rPr>
          <w:rFonts w:ascii="Century Gothic" w:hAnsi="Century Gothic" w:cs="Arial"/>
          <w:b/>
          <w:iCs/>
          <w:sz w:val="24"/>
          <w:szCs w:val="24"/>
        </w:rPr>
        <w:t>V. CONSIDERACIONES</w:t>
      </w:r>
    </w:p>
    <w:p w:rsidR="00C85E39" w:rsidRPr="008A66F6" w:rsidRDefault="00C85E39" w:rsidP="00C85E39">
      <w:pPr>
        <w:spacing w:after="0"/>
        <w:ind w:left="708"/>
        <w:jc w:val="center"/>
        <w:rPr>
          <w:rFonts w:ascii="Century Gothic" w:hAnsi="Century Gothic" w:cs="Arial"/>
          <w:b/>
          <w:iCs/>
          <w:sz w:val="24"/>
          <w:szCs w:val="24"/>
        </w:rPr>
      </w:pPr>
    </w:p>
    <w:p w:rsidR="00C85E39" w:rsidRPr="008A66F6" w:rsidRDefault="00C85E39" w:rsidP="00C85E39">
      <w:pPr>
        <w:spacing w:after="0"/>
        <w:rPr>
          <w:rFonts w:ascii="Century Gothic" w:hAnsi="Century Gothic" w:cs="Arial"/>
          <w:b/>
          <w:iCs/>
          <w:sz w:val="24"/>
          <w:szCs w:val="24"/>
        </w:rPr>
      </w:pPr>
      <w:r w:rsidRPr="008A66F6">
        <w:rPr>
          <w:rFonts w:ascii="Century Gothic" w:hAnsi="Century Gothic" w:cs="Arial"/>
          <w:b/>
          <w:iCs/>
          <w:sz w:val="24"/>
          <w:szCs w:val="24"/>
        </w:rPr>
        <w:t xml:space="preserve">1. COMPETENCIA </w:t>
      </w:r>
    </w:p>
    <w:p w:rsidR="00C85E39" w:rsidRPr="008A66F6" w:rsidRDefault="00C85E39" w:rsidP="00C85E39">
      <w:pPr>
        <w:spacing w:after="0"/>
        <w:rPr>
          <w:rFonts w:ascii="Century Gothic" w:hAnsi="Century Gothic" w:cs="Arial"/>
          <w:b/>
          <w:iCs/>
          <w:sz w:val="24"/>
          <w:szCs w:val="24"/>
        </w:rPr>
      </w:pPr>
    </w:p>
    <w:p w:rsidR="00C85E39" w:rsidRDefault="00C85E39" w:rsidP="00C85E39">
      <w:pPr>
        <w:spacing w:after="0"/>
        <w:jc w:val="both"/>
        <w:rPr>
          <w:rFonts w:ascii="Century Gothic" w:hAnsi="Century Gothic" w:cs="Arial"/>
          <w:sz w:val="24"/>
          <w:szCs w:val="24"/>
        </w:rPr>
      </w:pPr>
      <w:r w:rsidRPr="00BC7F55">
        <w:rPr>
          <w:rFonts w:ascii="Century Gothic" w:hAnsi="Century Gothic" w:cs="Arial"/>
          <w:sz w:val="24"/>
          <w:szCs w:val="24"/>
        </w:rPr>
        <w:t>De conformidad con lo dispuesto en el artículo 1</w:t>
      </w:r>
      <w:r>
        <w:rPr>
          <w:rFonts w:ascii="Century Gothic" w:hAnsi="Century Gothic" w:cs="Arial"/>
          <w:sz w:val="24"/>
          <w:szCs w:val="24"/>
        </w:rPr>
        <w:t>53</w:t>
      </w:r>
      <w:r w:rsidRPr="00BC7F55">
        <w:rPr>
          <w:rFonts w:ascii="Century Gothic" w:hAnsi="Century Gothic" w:cs="Arial"/>
          <w:sz w:val="24"/>
          <w:szCs w:val="24"/>
        </w:rPr>
        <w:t xml:space="preserve"> del CPACA, el Tribunal Administrativo es competente para conocer en </w:t>
      </w:r>
      <w:r>
        <w:rPr>
          <w:rFonts w:ascii="Century Gothic" w:hAnsi="Century Gothic" w:cs="Arial"/>
          <w:sz w:val="24"/>
          <w:szCs w:val="24"/>
        </w:rPr>
        <w:t>segunda</w:t>
      </w:r>
      <w:r w:rsidRPr="00BC7F55">
        <w:rPr>
          <w:rFonts w:ascii="Century Gothic" w:hAnsi="Century Gothic" w:cs="Arial"/>
          <w:sz w:val="24"/>
          <w:szCs w:val="24"/>
        </w:rPr>
        <w:t xml:space="preserve"> instancia </w:t>
      </w:r>
      <w:r>
        <w:rPr>
          <w:rFonts w:ascii="Century Gothic" w:hAnsi="Century Gothic" w:cs="Arial"/>
          <w:sz w:val="24"/>
          <w:szCs w:val="24"/>
        </w:rPr>
        <w:t>las apelaciones contra sentencias proferidas por los jueces administrativos.</w:t>
      </w:r>
    </w:p>
    <w:p w:rsidR="00C85E39" w:rsidRPr="008A66F6" w:rsidRDefault="00C85E39" w:rsidP="00C85E39">
      <w:pPr>
        <w:spacing w:after="0"/>
        <w:rPr>
          <w:rFonts w:ascii="Century Gothic" w:hAnsi="Century Gothic" w:cs="Arial"/>
          <w:b/>
          <w:iCs/>
          <w:sz w:val="24"/>
          <w:szCs w:val="24"/>
        </w:rPr>
      </w:pPr>
    </w:p>
    <w:p w:rsidR="00C85E39" w:rsidRPr="008A66F6" w:rsidRDefault="00C85E39" w:rsidP="00C85E39">
      <w:pPr>
        <w:spacing w:after="0"/>
        <w:rPr>
          <w:rFonts w:ascii="Century Gothic" w:hAnsi="Century Gothic" w:cs="Arial"/>
          <w:b/>
          <w:iCs/>
          <w:sz w:val="24"/>
          <w:szCs w:val="24"/>
        </w:rPr>
      </w:pPr>
      <w:r w:rsidRPr="008A66F6">
        <w:rPr>
          <w:rFonts w:ascii="Century Gothic" w:hAnsi="Century Gothic" w:cs="Arial"/>
          <w:b/>
          <w:iCs/>
          <w:sz w:val="24"/>
          <w:szCs w:val="24"/>
        </w:rPr>
        <w:t>2. PROBLEMA JURÍDICO</w:t>
      </w:r>
    </w:p>
    <w:p w:rsidR="00C85E39" w:rsidRPr="008A66F6" w:rsidRDefault="00C85E39" w:rsidP="00C85E39">
      <w:pPr>
        <w:spacing w:after="0"/>
        <w:rPr>
          <w:rFonts w:ascii="Century Gothic" w:hAnsi="Century Gothic" w:cs="Arial"/>
          <w:b/>
          <w:iCs/>
          <w:sz w:val="24"/>
          <w:szCs w:val="24"/>
        </w:rPr>
      </w:pPr>
    </w:p>
    <w:p w:rsidR="00C85E39" w:rsidRPr="008A66F6" w:rsidRDefault="00C85E39" w:rsidP="00C85E39">
      <w:pPr>
        <w:spacing w:after="0"/>
        <w:jc w:val="both"/>
        <w:rPr>
          <w:rFonts w:ascii="Century Gothic" w:hAnsi="Century Gothic" w:cs="Arial"/>
          <w:iCs/>
          <w:sz w:val="24"/>
          <w:szCs w:val="24"/>
        </w:rPr>
      </w:pPr>
      <w:r w:rsidRPr="008A66F6">
        <w:rPr>
          <w:rFonts w:ascii="Century Gothic" w:hAnsi="Century Gothic" w:cs="Arial"/>
          <w:iCs/>
          <w:sz w:val="24"/>
          <w:szCs w:val="24"/>
        </w:rPr>
        <w:t>Atendiendo a la fijación del litigio, el problema jurídico principal a resolver es el siguiente:</w:t>
      </w:r>
    </w:p>
    <w:p w:rsidR="00C85E39" w:rsidRPr="008A66F6" w:rsidRDefault="00C85E39" w:rsidP="00C85E39">
      <w:pPr>
        <w:spacing w:after="0"/>
        <w:jc w:val="both"/>
        <w:rPr>
          <w:rFonts w:ascii="Century Gothic" w:hAnsi="Century Gothic" w:cs="Arial"/>
          <w:i/>
          <w:iCs/>
          <w:sz w:val="24"/>
          <w:szCs w:val="24"/>
        </w:rPr>
      </w:pPr>
    </w:p>
    <w:p w:rsidR="00C85E39" w:rsidRDefault="00C85E39" w:rsidP="00C85E39">
      <w:pPr>
        <w:spacing w:after="0"/>
        <w:ind w:left="720"/>
        <w:jc w:val="both"/>
        <w:rPr>
          <w:rFonts w:ascii="Century Gothic" w:hAnsi="Century Gothic"/>
          <w:i/>
          <w:sz w:val="24"/>
          <w:szCs w:val="24"/>
        </w:rPr>
      </w:pPr>
      <w:r w:rsidRPr="008A66F6">
        <w:rPr>
          <w:rFonts w:ascii="Century Gothic" w:hAnsi="Century Gothic"/>
          <w:sz w:val="24"/>
          <w:szCs w:val="24"/>
        </w:rPr>
        <w:t xml:space="preserve">Esta Sala de Decisión, deberá determinar </w:t>
      </w:r>
      <w:r w:rsidRPr="008A66F6">
        <w:rPr>
          <w:rFonts w:ascii="Century Gothic" w:hAnsi="Century Gothic"/>
          <w:i/>
          <w:sz w:val="24"/>
          <w:szCs w:val="24"/>
        </w:rPr>
        <w:t>¿</w:t>
      </w:r>
      <w:r>
        <w:rPr>
          <w:rFonts w:ascii="Century Gothic" w:hAnsi="Century Gothic"/>
          <w:i/>
          <w:sz w:val="24"/>
          <w:szCs w:val="24"/>
        </w:rPr>
        <w:t xml:space="preserve">Si es procedente declarar la nulidad de la Resolución </w:t>
      </w:r>
      <w:r w:rsidRPr="00992C48">
        <w:rPr>
          <w:rFonts w:ascii="Century Gothic" w:hAnsi="Century Gothic"/>
          <w:i/>
          <w:sz w:val="24"/>
          <w:szCs w:val="24"/>
        </w:rPr>
        <w:t xml:space="preserve">No. 03-238-421-636-1-000-4734 del 15 de agosto de 2013 y de la Resolución 03-236-408-601-944 del 29 de noviembre de 2013 expedidas por la Dirección </w:t>
      </w:r>
      <w:r>
        <w:rPr>
          <w:rFonts w:ascii="Century Gothic" w:hAnsi="Century Gothic"/>
          <w:i/>
          <w:sz w:val="24"/>
          <w:szCs w:val="24"/>
        </w:rPr>
        <w:t xml:space="preserve">Seccional de Aduanas de Bogotá y </w:t>
      </w:r>
      <w:r w:rsidRPr="00992C48">
        <w:rPr>
          <w:rFonts w:ascii="Century Gothic" w:hAnsi="Century Gothic"/>
          <w:i/>
          <w:sz w:val="24"/>
          <w:szCs w:val="24"/>
        </w:rPr>
        <w:t xml:space="preserve">se reconozca como válida la declaración de saneamiento No. 002572 del 2 de octubre de 1991, ante la Dirección Seccional de Cartagena, y se </w:t>
      </w:r>
      <w:r w:rsidRPr="00992C48">
        <w:rPr>
          <w:rFonts w:ascii="Century Gothic" w:hAnsi="Century Gothic"/>
          <w:i/>
          <w:sz w:val="24"/>
          <w:szCs w:val="24"/>
        </w:rPr>
        <w:lastRenderedPageBreak/>
        <w:t xml:space="preserve">ordene la entrega de la mercancía incautada y decomisada por </w:t>
      </w:r>
      <w:r>
        <w:rPr>
          <w:rFonts w:ascii="Century Gothic" w:hAnsi="Century Gothic"/>
          <w:i/>
          <w:sz w:val="24"/>
          <w:szCs w:val="24"/>
        </w:rPr>
        <w:t>la Aduana?</w:t>
      </w:r>
    </w:p>
    <w:p w:rsidR="00C85E39" w:rsidRPr="008A66F6" w:rsidRDefault="00C85E39" w:rsidP="00C85E39">
      <w:pPr>
        <w:spacing w:after="0"/>
        <w:jc w:val="both"/>
        <w:rPr>
          <w:rFonts w:ascii="Century Gothic" w:hAnsi="Century Gothic"/>
          <w:i/>
          <w:sz w:val="24"/>
          <w:szCs w:val="24"/>
        </w:rPr>
      </w:pPr>
    </w:p>
    <w:p w:rsidR="00C85E39" w:rsidRPr="00C66865" w:rsidRDefault="00C85E39" w:rsidP="00C85E39">
      <w:pPr>
        <w:pStyle w:val="Prrafodelista"/>
        <w:spacing w:after="0"/>
        <w:ind w:left="0"/>
        <w:jc w:val="both"/>
        <w:rPr>
          <w:rFonts w:ascii="Century Gothic" w:hAnsi="Century Gothic" w:cs="Arial"/>
          <w:b/>
          <w:iCs/>
          <w:sz w:val="24"/>
          <w:szCs w:val="24"/>
        </w:rPr>
      </w:pPr>
      <w:r w:rsidRPr="00C66865">
        <w:rPr>
          <w:rFonts w:ascii="Century Gothic" w:hAnsi="Century Gothic" w:cs="Arial"/>
          <w:b/>
          <w:iCs/>
          <w:sz w:val="24"/>
          <w:szCs w:val="24"/>
        </w:rPr>
        <w:t xml:space="preserve">3. TESIS </w:t>
      </w:r>
    </w:p>
    <w:p w:rsidR="00C85E39" w:rsidRPr="00C66865" w:rsidRDefault="00C85E39" w:rsidP="00C85E39">
      <w:pPr>
        <w:spacing w:after="0"/>
        <w:jc w:val="both"/>
        <w:rPr>
          <w:rFonts w:ascii="Century Gothic" w:hAnsi="Century Gothic"/>
          <w:sz w:val="24"/>
          <w:szCs w:val="24"/>
        </w:rPr>
      </w:pPr>
    </w:p>
    <w:p w:rsidR="00C85E39" w:rsidRPr="00C15D3D" w:rsidRDefault="00C85E39" w:rsidP="00C85E39">
      <w:pPr>
        <w:spacing w:after="0"/>
        <w:jc w:val="both"/>
        <w:rPr>
          <w:rFonts w:ascii="Century Gothic" w:hAnsi="Century Gothic"/>
          <w:sz w:val="24"/>
          <w:szCs w:val="24"/>
        </w:rPr>
      </w:pPr>
      <w:r>
        <w:rPr>
          <w:rFonts w:ascii="Century Gothic" w:hAnsi="Century Gothic"/>
          <w:sz w:val="24"/>
          <w:szCs w:val="24"/>
        </w:rPr>
        <w:t>La Sala</w:t>
      </w:r>
      <w:r w:rsidRPr="009F4609">
        <w:rPr>
          <w:rFonts w:ascii="Century Gothic" w:hAnsi="Century Gothic"/>
          <w:sz w:val="24"/>
          <w:szCs w:val="24"/>
        </w:rPr>
        <w:t>, confirmará la sentencia de primera instancia, toda vez que no se demostró que los actos enjuiciados se encontraran falsamente motivados; pues el actor incurrió en la causal de Aprensión señalada en el 1.6 del artículo 502 del Decreto 2685 de 1999.</w:t>
      </w:r>
    </w:p>
    <w:p w:rsidR="00C85E39" w:rsidRPr="00C15D3D" w:rsidRDefault="00C85E39" w:rsidP="00C85E39">
      <w:pPr>
        <w:spacing w:after="0"/>
        <w:jc w:val="both"/>
        <w:rPr>
          <w:rFonts w:ascii="Century Gothic" w:hAnsi="Century Gothic"/>
          <w:sz w:val="24"/>
          <w:szCs w:val="24"/>
        </w:rPr>
      </w:pPr>
    </w:p>
    <w:p w:rsidR="00C85E39" w:rsidRDefault="00C85E39" w:rsidP="00C85E39">
      <w:pPr>
        <w:spacing w:after="0"/>
        <w:jc w:val="both"/>
        <w:rPr>
          <w:rFonts w:ascii="Century Gothic" w:hAnsi="Century Gothic"/>
          <w:sz w:val="24"/>
          <w:szCs w:val="24"/>
        </w:rPr>
      </w:pPr>
      <w:r w:rsidRPr="00C15D3D">
        <w:rPr>
          <w:rFonts w:ascii="Century Gothic" w:hAnsi="Century Gothic"/>
          <w:sz w:val="24"/>
          <w:szCs w:val="24"/>
        </w:rPr>
        <w:t>La anterior tesis se fundamenta en los argumentos que se exponen a continuación.</w:t>
      </w:r>
    </w:p>
    <w:p w:rsidR="00C85E39" w:rsidRPr="00317FA3" w:rsidRDefault="00C85E39" w:rsidP="00C85E39">
      <w:pPr>
        <w:spacing w:after="0"/>
        <w:jc w:val="both"/>
        <w:rPr>
          <w:rFonts w:ascii="Century Gothic" w:hAnsi="Century Gothic"/>
          <w:sz w:val="24"/>
          <w:szCs w:val="24"/>
        </w:rPr>
      </w:pPr>
    </w:p>
    <w:p w:rsidR="00C85E39" w:rsidRPr="008A66F6" w:rsidRDefault="00C85E39" w:rsidP="00C85E39">
      <w:pPr>
        <w:pStyle w:val="Prrafodelista"/>
        <w:spacing w:after="0"/>
        <w:ind w:left="0"/>
        <w:jc w:val="both"/>
        <w:rPr>
          <w:rFonts w:ascii="Century Gothic" w:hAnsi="Century Gothic"/>
          <w:b/>
          <w:sz w:val="24"/>
          <w:szCs w:val="24"/>
        </w:rPr>
      </w:pPr>
      <w:r w:rsidRPr="008A66F6">
        <w:rPr>
          <w:rFonts w:ascii="Century Gothic" w:hAnsi="Century Gothic" w:cs="Arial"/>
          <w:b/>
          <w:iCs/>
          <w:sz w:val="24"/>
          <w:szCs w:val="24"/>
        </w:rPr>
        <w:t xml:space="preserve">4. </w:t>
      </w:r>
      <w:r w:rsidRPr="008A66F6">
        <w:rPr>
          <w:rFonts w:ascii="Century Gothic" w:hAnsi="Century Gothic"/>
          <w:b/>
          <w:sz w:val="24"/>
          <w:szCs w:val="24"/>
        </w:rPr>
        <w:t>Marco normativo y jurisprudencial.</w:t>
      </w:r>
    </w:p>
    <w:p w:rsidR="00C85E39" w:rsidRDefault="00C85E39" w:rsidP="00C85E39">
      <w:pPr>
        <w:spacing w:after="0"/>
        <w:jc w:val="both"/>
        <w:rPr>
          <w:rFonts w:ascii="Century Gothic" w:hAnsi="Century Gothic"/>
          <w:sz w:val="24"/>
          <w:szCs w:val="24"/>
        </w:rPr>
      </w:pPr>
    </w:p>
    <w:p w:rsidR="00C85E39" w:rsidRPr="00A412F9" w:rsidRDefault="00C85E39" w:rsidP="00C85E39">
      <w:pPr>
        <w:tabs>
          <w:tab w:val="left" w:pos="-720"/>
        </w:tabs>
        <w:suppressAutoHyphens/>
        <w:spacing w:after="0" w:line="312" w:lineRule="auto"/>
        <w:jc w:val="both"/>
        <w:rPr>
          <w:rFonts w:ascii="Century Gothic" w:hAnsi="Century Gothic" w:cs="Arial"/>
          <w:b/>
          <w:sz w:val="24"/>
          <w:szCs w:val="24"/>
        </w:rPr>
      </w:pPr>
      <w:r w:rsidRPr="004C773A">
        <w:rPr>
          <w:rFonts w:ascii="Century Gothic" w:hAnsi="Century Gothic"/>
          <w:b/>
          <w:sz w:val="24"/>
          <w:szCs w:val="24"/>
        </w:rPr>
        <w:t xml:space="preserve">4.1 </w:t>
      </w:r>
      <w:r>
        <w:rPr>
          <w:rFonts w:ascii="Century Gothic" w:hAnsi="Century Gothic" w:cs="Arial"/>
          <w:b/>
          <w:sz w:val="24"/>
          <w:szCs w:val="24"/>
        </w:rPr>
        <w:t xml:space="preserve">Decomiso de mercancía </w:t>
      </w:r>
      <w:r w:rsidRPr="00A412F9">
        <w:rPr>
          <w:rFonts w:ascii="Century Gothic" w:hAnsi="Century Gothic" w:cs="Arial"/>
          <w:b/>
          <w:sz w:val="24"/>
          <w:szCs w:val="24"/>
        </w:rPr>
        <w:t xml:space="preserve"> </w:t>
      </w:r>
    </w:p>
    <w:p w:rsidR="00C85E39" w:rsidRPr="00A412F9" w:rsidRDefault="00C85E39" w:rsidP="00C85E39">
      <w:pPr>
        <w:tabs>
          <w:tab w:val="left" w:pos="-720"/>
        </w:tabs>
        <w:suppressAutoHyphens/>
        <w:spacing w:after="0" w:line="312" w:lineRule="auto"/>
        <w:ind w:left="1080"/>
        <w:jc w:val="both"/>
        <w:rPr>
          <w:rFonts w:ascii="Century Gothic" w:hAnsi="Century Gothic" w:cs="Arial"/>
          <w:sz w:val="24"/>
          <w:szCs w:val="24"/>
        </w:rPr>
      </w:pPr>
    </w:p>
    <w:p w:rsidR="00C85E39" w:rsidRPr="0059626B" w:rsidRDefault="00C85E39" w:rsidP="00C85E39">
      <w:pPr>
        <w:spacing w:after="0" w:line="300" w:lineRule="auto"/>
        <w:jc w:val="both"/>
        <w:rPr>
          <w:rFonts w:ascii="Century Gothic" w:hAnsi="Century Gothic" w:cs="Arial"/>
          <w:sz w:val="24"/>
          <w:szCs w:val="24"/>
        </w:rPr>
      </w:pPr>
      <w:r w:rsidRPr="0059626B">
        <w:rPr>
          <w:rFonts w:ascii="Century Gothic" w:hAnsi="Century Gothic" w:cs="Arial"/>
          <w:sz w:val="24"/>
          <w:szCs w:val="24"/>
        </w:rPr>
        <w:t>El decomiso de la mercancía, según lo estipulado en el artículo 1º del actual Estatuto Aduanero Nacional</w:t>
      </w:r>
      <w:r w:rsidRPr="0059626B">
        <w:rPr>
          <w:rStyle w:val="Refdenotaalpie"/>
          <w:rFonts w:ascii="Century Gothic" w:hAnsi="Century Gothic" w:cs="Arial"/>
          <w:sz w:val="24"/>
          <w:szCs w:val="24"/>
        </w:rPr>
        <w:footnoteReference w:id="1"/>
      </w:r>
      <w:r w:rsidRPr="0059626B">
        <w:rPr>
          <w:rFonts w:ascii="Century Gothic" w:hAnsi="Century Gothic" w:cs="Arial"/>
          <w:sz w:val="24"/>
          <w:szCs w:val="24"/>
        </w:rPr>
        <w:t xml:space="preserve">, es el acto en virtud del cual pasan a poder de </w:t>
      </w:r>
      <w:smartTag w:uri="urn:schemas-microsoft-com:office:smarttags" w:element="PersonName">
        <w:smartTagPr>
          <w:attr w:name="ProductID" w:val="la Naci￳n"/>
        </w:smartTagPr>
        <w:r w:rsidRPr="0059626B">
          <w:rPr>
            <w:rFonts w:ascii="Century Gothic" w:hAnsi="Century Gothic" w:cs="Arial"/>
            <w:sz w:val="24"/>
            <w:szCs w:val="24"/>
          </w:rPr>
          <w:t>la Nación</w:t>
        </w:r>
      </w:smartTag>
      <w:r w:rsidRPr="0059626B">
        <w:rPr>
          <w:rFonts w:ascii="Century Gothic" w:hAnsi="Century Gothic" w:cs="Arial"/>
          <w:sz w:val="24"/>
          <w:szCs w:val="24"/>
        </w:rPr>
        <w:t xml:space="preserve"> las mercancías aprehendidas, respecto de las cuales no se acredite el cumplimiento de los trámites previstos para su presentación o declaración ante las autoridades aduaneras, por presentarse alguna de las causales previstas en el artículo 502 del Estatuto Aduanero.</w:t>
      </w:r>
    </w:p>
    <w:p w:rsidR="00C85E39" w:rsidRDefault="00C85E39" w:rsidP="00C85E39">
      <w:pPr>
        <w:spacing w:after="0" w:line="300" w:lineRule="auto"/>
        <w:jc w:val="both"/>
        <w:rPr>
          <w:rFonts w:ascii="Century Gothic" w:hAnsi="Century Gothic" w:cs="Arial"/>
          <w:sz w:val="24"/>
          <w:szCs w:val="24"/>
        </w:rPr>
      </w:pPr>
    </w:p>
    <w:p w:rsidR="00C85E39" w:rsidRPr="0059626B" w:rsidRDefault="00C85E39" w:rsidP="00C85E39">
      <w:pPr>
        <w:spacing w:after="0" w:line="300" w:lineRule="auto"/>
        <w:jc w:val="both"/>
        <w:rPr>
          <w:rFonts w:ascii="Century Gothic" w:hAnsi="Century Gothic" w:cs="Arial"/>
          <w:sz w:val="24"/>
          <w:szCs w:val="24"/>
        </w:rPr>
      </w:pPr>
      <w:r w:rsidRPr="0059626B">
        <w:rPr>
          <w:rFonts w:ascii="Century Gothic" w:hAnsi="Century Gothic" w:cs="Arial"/>
          <w:sz w:val="24"/>
          <w:szCs w:val="24"/>
        </w:rPr>
        <w:t>Por su parte, el artículo 232-1 ibídem estipula en el literal a) respecto de la mercancía no declarada a la autoridad aduanera, lo siguiente:</w:t>
      </w:r>
    </w:p>
    <w:p w:rsidR="00C85E39" w:rsidRDefault="00C85E39" w:rsidP="00C85E39">
      <w:pPr>
        <w:pStyle w:val="NormalWeb"/>
        <w:spacing w:before="0" w:beforeAutospacing="0" w:after="0" w:afterAutospacing="0" w:line="300" w:lineRule="auto"/>
        <w:ind w:left="708"/>
        <w:jc w:val="both"/>
        <w:rPr>
          <w:rFonts w:ascii="Century Gothic" w:hAnsi="Century Gothic" w:cs="Arial"/>
        </w:rPr>
      </w:pPr>
    </w:p>
    <w:p w:rsidR="00C85E39" w:rsidRPr="000D4EC2" w:rsidRDefault="00C85E39" w:rsidP="00C85E39">
      <w:pPr>
        <w:pStyle w:val="NormalWeb"/>
        <w:spacing w:before="0" w:beforeAutospacing="0" w:after="0" w:afterAutospacing="0" w:line="300" w:lineRule="auto"/>
        <w:ind w:left="708"/>
        <w:jc w:val="both"/>
        <w:rPr>
          <w:rFonts w:ascii="Century Gothic" w:hAnsi="Century Gothic" w:cs="Arial"/>
          <w:i/>
          <w:sz w:val="20"/>
          <w:szCs w:val="20"/>
        </w:rPr>
      </w:pPr>
      <w:r w:rsidRPr="000D4EC2">
        <w:rPr>
          <w:rFonts w:ascii="Century Gothic" w:hAnsi="Century Gothic" w:cs="Arial"/>
          <w:i/>
          <w:sz w:val="20"/>
          <w:szCs w:val="20"/>
        </w:rPr>
        <w:t>“</w:t>
      </w:r>
      <w:r w:rsidRPr="000D4EC2">
        <w:rPr>
          <w:rFonts w:ascii="Century Gothic" w:hAnsi="Century Gothic" w:cs="Arial"/>
          <w:b/>
          <w:i/>
          <w:sz w:val="20"/>
          <w:szCs w:val="20"/>
        </w:rPr>
        <w:t>ARTÍCULO 232-1</w:t>
      </w:r>
      <w:r w:rsidRPr="000D4EC2">
        <w:rPr>
          <w:rFonts w:ascii="Century Gothic" w:hAnsi="Century Gothic" w:cs="Arial"/>
          <w:i/>
          <w:sz w:val="20"/>
          <w:szCs w:val="20"/>
        </w:rPr>
        <w:t xml:space="preserve">. MERCANCÍA NO DECLARADA A </w:t>
      </w:r>
      <w:smartTag w:uri="urn:schemas-microsoft-com:office:smarttags" w:element="PersonName">
        <w:smartTagPr>
          <w:attr w:name="ProductID" w:val="LA AUTORIDAD ADUANERA."/>
        </w:smartTagPr>
        <w:smartTag w:uri="urn:schemas-microsoft-com:office:smarttags" w:element="PersonName">
          <w:smartTagPr>
            <w:attr w:name="ProductID" w:val="LA AUTORIDAD"/>
          </w:smartTagPr>
          <w:r w:rsidRPr="000D4EC2">
            <w:rPr>
              <w:rFonts w:ascii="Century Gothic" w:hAnsi="Century Gothic" w:cs="Arial"/>
              <w:i/>
              <w:sz w:val="20"/>
              <w:szCs w:val="20"/>
            </w:rPr>
            <w:t>LA AUTORIDAD</w:t>
          </w:r>
        </w:smartTag>
        <w:r w:rsidRPr="000D4EC2">
          <w:rPr>
            <w:rFonts w:ascii="Century Gothic" w:hAnsi="Century Gothic" w:cs="Arial"/>
            <w:i/>
            <w:sz w:val="20"/>
            <w:szCs w:val="20"/>
          </w:rPr>
          <w:t xml:space="preserve"> ADUANERA.</w:t>
        </w:r>
      </w:smartTag>
      <w:r w:rsidRPr="000D4EC2">
        <w:rPr>
          <w:rFonts w:ascii="Century Gothic" w:hAnsi="Century Gothic" w:cs="Arial"/>
          <w:i/>
          <w:sz w:val="20"/>
          <w:szCs w:val="20"/>
        </w:rPr>
        <w:t xml:space="preserve"> Se entenderá que la mercancía no ha sido declarada a la autoridad aduanera cuando:</w:t>
      </w:r>
    </w:p>
    <w:p w:rsidR="00C85E39" w:rsidRPr="000D4EC2" w:rsidRDefault="00C85E39" w:rsidP="00C85E39">
      <w:pPr>
        <w:pStyle w:val="NormalWeb"/>
        <w:spacing w:before="0" w:beforeAutospacing="0" w:after="0" w:afterAutospacing="0" w:line="300" w:lineRule="auto"/>
        <w:ind w:left="708"/>
        <w:jc w:val="both"/>
        <w:rPr>
          <w:rFonts w:ascii="Century Gothic" w:hAnsi="Century Gothic" w:cs="Arial"/>
          <w:i/>
          <w:sz w:val="20"/>
          <w:szCs w:val="20"/>
        </w:rPr>
      </w:pPr>
      <w:r w:rsidRPr="000D4EC2">
        <w:rPr>
          <w:rFonts w:ascii="Century Gothic" w:hAnsi="Century Gothic" w:cs="Arial"/>
          <w:i/>
          <w:sz w:val="20"/>
          <w:szCs w:val="20"/>
        </w:rPr>
        <w:t xml:space="preserve">a) </w:t>
      </w:r>
      <w:r w:rsidRPr="000D4EC2">
        <w:rPr>
          <w:rFonts w:ascii="Century Gothic" w:hAnsi="Century Gothic" w:cs="Arial"/>
          <w:b/>
          <w:i/>
          <w:sz w:val="20"/>
          <w:szCs w:val="20"/>
          <w:u w:val="single"/>
        </w:rPr>
        <w:t>No se encuentre amparada por una Declaración de Importación</w:t>
      </w:r>
      <w:r w:rsidRPr="000D4EC2">
        <w:rPr>
          <w:rFonts w:ascii="Century Gothic" w:hAnsi="Century Gothic" w:cs="Arial"/>
          <w:i/>
          <w:sz w:val="20"/>
          <w:szCs w:val="20"/>
        </w:rPr>
        <w:t>;</w:t>
      </w:r>
      <w:r>
        <w:rPr>
          <w:rFonts w:ascii="Century Gothic" w:hAnsi="Century Gothic" w:cs="Arial"/>
          <w:i/>
          <w:sz w:val="20"/>
          <w:szCs w:val="20"/>
        </w:rPr>
        <w:t>”</w:t>
      </w:r>
    </w:p>
    <w:p w:rsidR="00C85E39" w:rsidRDefault="00C85E39" w:rsidP="00C85E39">
      <w:pPr>
        <w:spacing w:after="0" w:line="300" w:lineRule="auto"/>
        <w:jc w:val="both"/>
        <w:rPr>
          <w:rFonts w:ascii="Century Gothic" w:hAnsi="Century Gothic" w:cs="Arial"/>
          <w:sz w:val="24"/>
          <w:szCs w:val="24"/>
        </w:rPr>
      </w:pPr>
    </w:p>
    <w:p w:rsidR="00C85E39" w:rsidRPr="0059626B" w:rsidRDefault="00C85E39" w:rsidP="00C85E39">
      <w:pPr>
        <w:spacing w:after="0" w:line="300" w:lineRule="auto"/>
        <w:jc w:val="both"/>
        <w:rPr>
          <w:rFonts w:ascii="Century Gothic" w:hAnsi="Century Gothic" w:cs="Arial"/>
          <w:sz w:val="24"/>
          <w:szCs w:val="24"/>
        </w:rPr>
      </w:pPr>
      <w:r w:rsidRPr="0059626B">
        <w:rPr>
          <w:rFonts w:ascii="Century Gothic" w:hAnsi="Century Gothic" w:cs="Arial"/>
          <w:sz w:val="24"/>
          <w:szCs w:val="24"/>
        </w:rPr>
        <w:t>Finalmente, el artículo 502, dispone:</w:t>
      </w:r>
    </w:p>
    <w:p w:rsidR="00C85E39" w:rsidRPr="0059626B" w:rsidRDefault="00C85E39" w:rsidP="00C85E39">
      <w:pPr>
        <w:spacing w:after="0" w:line="300" w:lineRule="auto"/>
        <w:jc w:val="both"/>
        <w:rPr>
          <w:rFonts w:ascii="Century Gothic" w:hAnsi="Century Gothic" w:cs="Arial"/>
          <w:sz w:val="24"/>
          <w:szCs w:val="24"/>
        </w:rPr>
      </w:pPr>
    </w:p>
    <w:p w:rsidR="00C85E39" w:rsidRPr="000D4EC2" w:rsidRDefault="00C85E39" w:rsidP="00C85E39">
      <w:pPr>
        <w:spacing w:after="0" w:line="300" w:lineRule="auto"/>
        <w:ind w:left="708"/>
        <w:jc w:val="both"/>
        <w:rPr>
          <w:rFonts w:ascii="Century Gothic" w:hAnsi="Century Gothic" w:cs="Arial"/>
          <w:i/>
          <w:sz w:val="20"/>
          <w:szCs w:val="20"/>
        </w:rPr>
      </w:pPr>
      <w:r w:rsidRPr="000D4EC2">
        <w:rPr>
          <w:rFonts w:ascii="Century Gothic" w:hAnsi="Century Gothic" w:cs="Arial"/>
          <w:i/>
          <w:sz w:val="20"/>
          <w:szCs w:val="20"/>
        </w:rPr>
        <w:t>“</w:t>
      </w:r>
      <w:r w:rsidRPr="000D4EC2">
        <w:rPr>
          <w:rFonts w:ascii="Century Gothic" w:hAnsi="Century Gothic" w:cs="Arial"/>
          <w:b/>
          <w:i/>
          <w:sz w:val="20"/>
          <w:szCs w:val="20"/>
        </w:rPr>
        <w:t>ARTÍCULO 502</w:t>
      </w:r>
      <w:r w:rsidRPr="000D4EC2">
        <w:rPr>
          <w:rFonts w:ascii="Century Gothic" w:hAnsi="Century Gothic" w:cs="Arial"/>
          <w:i/>
          <w:sz w:val="20"/>
          <w:szCs w:val="20"/>
        </w:rPr>
        <w:t>: CAUSALES DE APREHENSIÓN Y DECOMISO DE MERCANCÍA. Dará lugar a la aprehensión y decomiso de mercancías la ocurrencia de cualquiera de las siguientes causales:</w:t>
      </w:r>
    </w:p>
    <w:p w:rsidR="00C85E39" w:rsidRPr="000D4EC2" w:rsidRDefault="00C85E39" w:rsidP="00C85E39">
      <w:pPr>
        <w:spacing w:after="0" w:line="300" w:lineRule="auto"/>
        <w:ind w:left="708"/>
        <w:jc w:val="both"/>
        <w:rPr>
          <w:rFonts w:ascii="Century Gothic" w:hAnsi="Century Gothic" w:cs="Arial"/>
          <w:i/>
          <w:sz w:val="20"/>
          <w:szCs w:val="20"/>
        </w:rPr>
      </w:pPr>
      <w:r w:rsidRPr="000D4EC2">
        <w:rPr>
          <w:rFonts w:ascii="Century Gothic" w:hAnsi="Century Gothic" w:cs="Arial"/>
          <w:i/>
          <w:sz w:val="20"/>
          <w:szCs w:val="20"/>
        </w:rPr>
        <w:t>“(…)</w:t>
      </w:r>
    </w:p>
    <w:p w:rsidR="00C85E39" w:rsidRPr="000D4EC2" w:rsidRDefault="00C85E39" w:rsidP="00C85E39">
      <w:pPr>
        <w:spacing w:after="0" w:line="300" w:lineRule="auto"/>
        <w:ind w:left="708"/>
        <w:jc w:val="both"/>
        <w:rPr>
          <w:rFonts w:ascii="Century Gothic" w:hAnsi="Century Gothic" w:cs="Arial"/>
          <w:i/>
          <w:sz w:val="20"/>
          <w:szCs w:val="20"/>
        </w:rPr>
      </w:pPr>
    </w:p>
    <w:p w:rsidR="00C85E39" w:rsidRPr="000D4EC2" w:rsidRDefault="00C85E39" w:rsidP="00C85E39">
      <w:pPr>
        <w:spacing w:after="0" w:line="300" w:lineRule="auto"/>
        <w:ind w:left="708"/>
        <w:jc w:val="both"/>
        <w:rPr>
          <w:rFonts w:ascii="Century Gothic" w:hAnsi="Century Gothic" w:cs="Arial"/>
          <w:i/>
          <w:sz w:val="20"/>
          <w:szCs w:val="20"/>
        </w:rPr>
      </w:pPr>
      <w:r w:rsidRPr="000D4EC2">
        <w:rPr>
          <w:rFonts w:ascii="Century Gothic" w:hAnsi="Century Gothic" w:cs="Arial"/>
          <w:i/>
          <w:sz w:val="20"/>
          <w:szCs w:val="20"/>
        </w:rPr>
        <w:t xml:space="preserve">1,6. </w:t>
      </w:r>
      <w:r w:rsidRPr="000D4EC2">
        <w:rPr>
          <w:rFonts w:ascii="Century Gothic" w:hAnsi="Century Gothic" w:cs="Arial"/>
          <w:b/>
          <w:i/>
          <w:sz w:val="20"/>
          <w:szCs w:val="20"/>
        </w:rPr>
        <w:t xml:space="preserve">Cuando la mercancía no se encuentre amparada en una Planilla de Envío, Factura de Nacionalización o </w:t>
      </w:r>
      <w:r w:rsidRPr="000D4EC2">
        <w:rPr>
          <w:rFonts w:ascii="Century Gothic" w:hAnsi="Century Gothic" w:cs="Arial"/>
          <w:b/>
          <w:i/>
          <w:sz w:val="20"/>
          <w:szCs w:val="20"/>
          <w:u w:val="single"/>
        </w:rPr>
        <w:t>Declaración de Importación</w:t>
      </w:r>
      <w:r w:rsidRPr="000D4EC2">
        <w:rPr>
          <w:rFonts w:ascii="Century Gothic" w:hAnsi="Century Gothic" w:cs="Arial"/>
          <w:i/>
          <w:sz w:val="20"/>
          <w:szCs w:val="20"/>
        </w:rPr>
        <w:t xml:space="preserve">, o no corresponda con la descripción declarada, o se encuentre una cantidad superior a la señalada en </w:t>
      </w:r>
      <w:smartTag w:uri="urn:schemas-microsoft-com:office:smarttags" w:element="PersonName">
        <w:smartTagPr>
          <w:attr w:name="ProductID" w:val="la Declaraci￳n"/>
        </w:smartTagPr>
        <w:r w:rsidRPr="000D4EC2">
          <w:rPr>
            <w:rFonts w:ascii="Century Gothic" w:hAnsi="Century Gothic" w:cs="Arial"/>
            <w:i/>
            <w:sz w:val="20"/>
            <w:szCs w:val="20"/>
          </w:rPr>
          <w:t>la Declaración</w:t>
        </w:r>
      </w:smartTag>
      <w:r w:rsidRPr="000D4EC2">
        <w:rPr>
          <w:rFonts w:ascii="Century Gothic" w:hAnsi="Century Gothic" w:cs="Arial"/>
          <w:i/>
          <w:sz w:val="20"/>
          <w:szCs w:val="20"/>
        </w:rPr>
        <w:t xml:space="preserve"> de Importación, o se haya incurrido en errores u omisiones en su descripción, salvo que estos últimos se hayan subsanado en la forma prevista en los numerales 4 y 7 del artículo 128 y en los parágrafos primero y segundo del artículo 231 del presente decreto, en cuyo caso no habrá lugar a la aprehensión.</w:t>
      </w:r>
      <w:r>
        <w:rPr>
          <w:rFonts w:ascii="Century Gothic" w:hAnsi="Century Gothic" w:cs="Arial"/>
          <w:i/>
          <w:sz w:val="20"/>
          <w:szCs w:val="20"/>
        </w:rPr>
        <w:t>”</w:t>
      </w:r>
    </w:p>
    <w:p w:rsidR="00C85E39" w:rsidRDefault="00C85E39" w:rsidP="00C85E39">
      <w:pPr>
        <w:tabs>
          <w:tab w:val="left" w:pos="-2550"/>
          <w:tab w:val="left" w:pos="-1830"/>
          <w:tab w:val="left" w:pos="-1110"/>
          <w:tab w:val="left" w:pos="-390"/>
        </w:tabs>
        <w:suppressAutoHyphens/>
        <w:overflowPunct w:val="0"/>
        <w:autoSpaceDE w:val="0"/>
        <w:autoSpaceDN w:val="0"/>
        <w:adjustRightInd w:val="0"/>
        <w:spacing w:after="0"/>
        <w:ind w:right="45"/>
        <w:jc w:val="both"/>
        <w:textAlignment w:val="baseline"/>
        <w:rPr>
          <w:rFonts w:ascii="Century Gothic" w:eastAsia="Times New Roman" w:hAnsi="Century Gothic" w:cs="Arial"/>
          <w:sz w:val="24"/>
          <w:szCs w:val="24"/>
          <w:lang w:val="es-ES_tradnl" w:eastAsia="es-ES"/>
        </w:rPr>
      </w:pPr>
    </w:p>
    <w:p w:rsidR="00C85E39" w:rsidRPr="00C9410A" w:rsidRDefault="00C85E39" w:rsidP="00C85E39">
      <w:pPr>
        <w:shd w:val="clear" w:color="auto" w:fill="FFFFFF"/>
        <w:spacing w:after="0"/>
        <w:jc w:val="both"/>
        <w:rPr>
          <w:rFonts w:ascii="Century Gothic" w:eastAsia="Calibri" w:hAnsi="Century Gothic" w:cs="Arial"/>
          <w:b/>
          <w:sz w:val="24"/>
          <w:szCs w:val="24"/>
          <w:lang w:val="es-CO"/>
        </w:rPr>
      </w:pPr>
      <w:r>
        <w:rPr>
          <w:rFonts w:ascii="Century Gothic" w:eastAsia="Calibri" w:hAnsi="Century Gothic" w:cs="Arial"/>
          <w:b/>
          <w:sz w:val="24"/>
          <w:szCs w:val="24"/>
          <w:lang w:val="es-CO"/>
        </w:rPr>
        <w:t xml:space="preserve">4.5. </w:t>
      </w:r>
      <w:r w:rsidRPr="00C9410A">
        <w:rPr>
          <w:rFonts w:ascii="Century Gothic" w:eastAsia="Calibri" w:hAnsi="Century Gothic" w:cs="Arial"/>
          <w:b/>
          <w:sz w:val="24"/>
          <w:szCs w:val="24"/>
          <w:lang w:val="es-CO"/>
        </w:rPr>
        <w:t>De la falsa motivación de los actos administrativos</w:t>
      </w:r>
    </w:p>
    <w:p w:rsidR="00C85E39" w:rsidRPr="00C9410A" w:rsidRDefault="00C85E39" w:rsidP="00C85E39">
      <w:pPr>
        <w:spacing w:after="0"/>
        <w:jc w:val="both"/>
        <w:rPr>
          <w:rFonts w:ascii="Century Gothic" w:eastAsia="Calibri" w:hAnsi="Century Gothic" w:cs="Arial"/>
          <w:b/>
          <w:sz w:val="24"/>
          <w:szCs w:val="24"/>
          <w:lang w:val="es-CO"/>
        </w:rPr>
      </w:pPr>
    </w:p>
    <w:p w:rsidR="00C85E39" w:rsidRPr="00C9410A" w:rsidRDefault="00C85E39" w:rsidP="00C85E39">
      <w:pPr>
        <w:spacing w:after="0"/>
        <w:ind w:right="51"/>
        <w:jc w:val="both"/>
        <w:rPr>
          <w:rFonts w:ascii="Century Gothic" w:eastAsia="Calibri" w:hAnsi="Century Gothic" w:cs="Arial"/>
          <w:sz w:val="24"/>
          <w:szCs w:val="24"/>
          <w:lang w:val="es-CO"/>
        </w:rPr>
      </w:pPr>
      <w:r w:rsidRPr="00C9410A">
        <w:rPr>
          <w:rFonts w:ascii="Century Gothic" w:eastAsia="Calibri" w:hAnsi="Century Gothic" w:cs="Arial"/>
          <w:sz w:val="24"/>
          <w:szCs w:val="24"/>
          <w:lang w:val="es-CO"/>
        </w:rPr>
        <w:t>La falsa de motivación como causal de nulidad de los actos administrativos</w:t>
      </w:r>
      <w:r w:rsidRPr="00C9410A">
        <w:rPr>
          <w:rFonts w:ascii="Century Gothic" w:eastAsia="Calibri" w:hAnsi="Century Gothic" w:cs="Arial"/>
          <w:sz w:val="24"/>
          <w:szCs w:val="24"/>
          <w:vertAlign w:val="superscript"/>
          <w:lang w:val="es-CO"/>
        </w:rPr>
        <w:footnoteReference w:id="2"/>
      </w:r>
      <w:r w:rsidRPr="00C9410A">
        <w:rPr>
          <w:rFonts w:ascii="Century Gothic" w:eastAsia="Calibri" w:hAnsi="Century Gothic" w:cs="Arial"/>
          <w:sz w:val="24"/>
          <w:szCs w:val="24"/>
          <w:lang w:val="es-CO"/>
        </w:rPr>
        <w:t xml:space="preserve">, hace alusión a un </w:t>
      </w:r>
      <w:r w:rsidRPr="00C9410A">
        <w:rPr>
          <w:rFonts w:ascii="Century Gothic" w:eastAsia="Calibri" w:hAnsi="Century Gothic" w:cs="Arial"/>
          <w:i/>
          <w:sz w:val="24"/>
          <w:szCs w:val="24"/>
          <w:lang w:val="es-CO"/>
        </w:rPr>
        <w:t>“[…] vicio que afecta el elemento causal del acto administrativo, referente a los antecedentes legales y de hecho previstos en el ordenamiento jurídico para provocarlo, es decir, que las razones expuestas por la Administración al tomar la decisión, sean contrarias a la realidad […]”</w:t>
      </w:r>
      <w:r w:rsidRPr="00C9410A">
        <w:rPr>
          <w:rFonts w:ascii="Century Gothic" w:eastAsia="Calibri" w:hAnsi="Century Gothic" w:cs="Arial"/>
          <w:i/>
          <w:sz w:val="24"/>
          <w:szCs w:val="24"/>
          <w:vertAlign w:val="superscript"/>
          <w:lang w:val="es-CO"/>
        </w:rPr>
        <w:footnoteReference w:id="3"/>
      </w:r>
      <w:r w:rsidRPr="00C9410A">
        <w:rPr>
          <w:rFonts w:ascii="Century Gothic" w:eastAsia="Calibri" w:hAnsi="Century Gothic" w:cs="Arial"/>
          <w:i/>
          <w:sz w:val="24"/>
          <w:szCs w:val="24"/>
          <w:lang w:val="es-CO"/>
        </w:rPr>
        <w:t>.</w:t>
      </w:r>
      <w:r w:rsidRPr="00C9410A">
        <w:rPr>
          <w:rFonts w:ascii="Century Gothic" w:eastAsia="Calibri" w:hAnsi="Century Gothic" w:cs="Arial"/>
          <w:bCs/>
          <w:i/>
          <w:iCs/>
          <w:sz w:val="24"/>
          <w:szCs w:val="24"/>
          <w:lang w:val="es-CO"/>
        </w:rPr>
        <w:t xml:space="preserve"> </w:t>
      </w:r>
    </w:p>
    <w:p w:rsidR="00C85E39" w:rsidRPr="00C9410A" w:rsidRDefault="00C85E39" w:rsidP="00C85E39">
      <w:pPr>
        <w:overflowPunct w:val="0"/>
        <w:autoSpaceDE w:val="0"/>
        <w:autoSpaceDN w:val="0"/>
        <w:adjustRightInd w:val="0"/>
        <w:spacing w:after="0"/>
        <w:ind w:right="51"/>
        <w:jc w:val="both"/>
        <w:textAlignment w:val="baseline"/>
        <w:rPr>
          <w:rFonts w:ascii="Century Gothic" w:eastAsia="Times New Roman" w:hAnsi="Century Gothic" w:cs="Arial"/>
          <w:bCs/>
          <w:sz w:val="24"/>
          <w:szCs w:val="24"/>
          <w:lang w:val="es-CO" w:eastAsia="es-ES"/>
        </w:rPr>
      </w:pPr>
    </w:p>
    <w:p w:rsidR="00C85E39" w:rsidRPr="00C9410A" w:rsidRDefault="00C85E39" w:rsidP="00C85E39">
      <w:pPr>
        <w:overflowPunct w:val="0"/>
        <w:autoSpaceDE w:val="0"/>
        <w:autoSpaceDN w:val="0"/>
        <w:adjustRightInd w:val="0"/>
        <w:spacing w:after="0"/>
        <w:ind w:right="51"/>
        <w:jc w:val="both"/>
        <w:textAlignment w:val="baseline"/>
        <w:rPr>
          <w:rFonts w:ascii="Century Gothic" w:eastAsia="Times New Roman" w:hAnsi="Century Gothic" w:cs="Arial"/>
          <w:bCs/>
          <w:i/>
          <w:sz w:val="24"/>
          <w:szCs w:val="24"/>
          <w:lang w:val="es-CO" w:eastAsia="es-ES"/>
        </w:rPr>
      </w:pPr>
      <w:r w:rsidRPr="00C9410A">
        <w:rPr>
          <w:rFonts w:ascii="Century Gothic" w:eastAsia="Times New Roman" w:hAnsi="Century Gothic" w:cs="Arial"/>
          <w:bCs/>
          <w:sz w:val="24"/>
          <w:szCs w:val="24"/>
          <w:lang w:val="es-CO" w:eastAsia="es-ES"/>
        </w:rPr>
        <w:t>La falsa motivación se configura cuando</w:t>
      </w:r>
      <w:r w:rsidRPr="00C9410A">
        <w:rPr>
          <w:rFonts w:ascii="Century Gothic" w:eastAsia="Times New Roman" w:hAnsi="Century Gothic" w:cs="Arial"/>
          <w:bCs/>
          <w:i/>
          <w:sz w:val="24"/>
          <w:szCs w:val="24"/>
          <w:lang w:val="es-CO" w:eastAsia="es-ES"/>
        </w:rPr>
        <w:t xml:space="preserve"> “[…] para fundamentar el acto se dan razones engañosas, simuladas, contrarias a la realidad. La motivación de un acto implica que la manifestación de la administración tiene una causa que la justifica, y ella debe obedecer a criterios de legalidad, certeza de los hechos, debida calificación jurídica y apreciación razonable […]”</w:t>
      </w:r>
      <w:r w:rsidRPr="00C9410A">
        <w:rPr>
          <w:rFonts w:ascii="Century Gothic" w:eastAsia="Times New Roman" w:hAnsi="Century Gothic" w:cs="Arial"/>
          <w:i/>
          <w:iCs/>
          <w:sz w:val="24"/>
          <w:szCs w:val="24"/>
          <w:vertAlign w:val="superscript"/>
          <w:lang w:val="es-CO" w:eastAsia="es-ES"/>
        </w:rPr>
        <w:footnoteReference w:id="4"/>
      </w:r>
      <w:r w:rsidRPr="00C9410A">
        <w:rPr>
          <w:rFonts w:ascii="Century Gothic" w:eastAsia="Times New Roman" w:hAnsi="Century Gothic" w:cs="Arial"/>
          <w:bCs/>
          <w:i/>
          <w:sz w:val="24"/>
          <w:szCs w:val="24"/>
          <w:lang w:val="es-CO" w:eastAsia="es-ES"/>
        </w:rPr>
        <w:t>.</w:t>
      </w:r>
    </w:p>
    <w:p w:rsidR="00C85E39" w:rsidRPr="00C9410A" w:rsidRDefault="00C85E39" w:rsidP="00C85E39">
      <w:pPr>
        <w:spacing w:after="0"/>
        <w:ind w:right="51"/>
        <w:jc w:val="both"/>
        <w:rPr>
          <w:rFonts w:ascii="Century Gothic" w:eastAsia="Calibri" w:hAnsi="Century Gothic" w:cs="Arial"/>
          <w:sz w:val="24"/>
          <w:szCs w:val="24"/>
          <w:lang w:val="es-CO"/>
        </w:rPr>
      </w:pPr>
    </w:p>
    <w:p w:rsidR="00C85E39" w:rsidRPr="00C9410A" w:rsidRDefault="00C85E39" w:rsidP="00C85E39">
      <w:pPr>
        <w:spacing w:after="0"/>
        <w:ind w:right="51"/>
        <w:jc w:val="both"/>
        <w:rPr>
          <w:rFonts w:ascii="Century Gothic" w:eastAsia="Calibri" w:hAnsi="Century Gothic" w:cs="Arial"/>
          <w:sz w:val="24"/>
          <w:szCs w:val="24"/>
          <w:lang w:val="es-CO"/>
        </w:rPr>
      </w:pPr>
      <w:r w:rsidRPr="00C9410A">
        <w:rPr>
          <w:rFonts w:ascii="Century Gothic" w:eastAsia="Calibri" w:hAnsi="Century Gothic" w:cs="Arial"/>
          <w:sz w:val="24"/>
          <w:szCs w:val="24"/>
          <w:lang w:val="es-CO"/>
        </w:rPr>
        <w:t>En la misma línea pueden apreciarse las siguientes consideraciones, en las que se ilustra que la falsa motivación también está relacionada con la forma en que se valoran los supuestos de hechos de la decisión enjuiciada:</w:t>
      </w:r>
    </w:p>
    <w:p w:rsidR="00C85E39" w:rsidRPr="00C96730" w:rsidRDefault="00C85E39" w:rsidP="00C85E39">
      <w:pPr>
        <w:spacing w:after="0"/>
        <w:ind w:left="708" w:right="51"/>
        <w:jc w:val="both"/>
        <w:rPr>
          <w:rFonts w:ascii="Century Gothic" w:eastAsia="Calibri" w:hAnsi="Century Gothic" w:cs="Arial"/>
          <w:i/>
          <w:sz w:val="20"/>
          <w:szCs w:val="20"/>
          <w:lang w:val="es-CO"/>
        </w:rPr>
      </w:pPr>
    </w:p>
    <w:p w:rsidR="00C85E39" w:rsidRPr="00C96730" w:rsidRDefault="00C85E39" w:rsidP="00C85E39">
      <w:pPr>
        <w:spacing w:after="0"/>
        <w:ind w:left="708" w:right="51"/>
        <w:jc w:val="both"/>
        <w:rPr>
          <w:rFonts w:ascii="Century Gothic" w:eastAsia="Calibri" w:hAnsi="Century Gothic" w:cs="Arial"/>
          <w:i/>
          <w:sz w:val="20"/>
          <w:szCs w:val="20"/>
          <w:lang w:val="es-CO"/>
        </w:rPr>
      </w:pPr>
      <w:r w:rsidRPr="00C96730">
        <w:rPr>
          <w:rFonts w:ascii="Century Gothic" w:eastAsia="Calibri" w:hAnsi="Century Gothic" w:cs="Arial"/>
          <w:i/>
          <w:sz w:val="20"/>
          <w:szCs w:val="20"/>
          <w:lang w:val="es-CO"/>
        </w:rPr>
        <w:t xml:space="preserve">“[…] Para que prospere la pretensión de nulidad de un acto administrativo con fundamento en la causal denominada falsa motivación es necesario que se demuestre una de dos circunstancias: a) que los hechos que la Administración tuvo en cuenta como motivos determinantes de la decisión no estuvieron debidamente </w:t>
      </w:r>
      <w:r w:rsidRPr="00C96730">
        <w:rPr>
          <w:rFonts w:ascii="Century Gothic" w:eastAsia="Calibri" w:hAnsi="Century Gothic" w:cs="Arial"/>
          <w:i/>
          <w:sz w:val="20"/>
          <w:szCs w:val="20"/>
          <w:lang w:val="es-CO"/>
        </w:rPr>
        <w:lastRenderedPageBreak/>
        <w:t>probados dentro de la actuación administrativa; o b) que la Administración omitió tener en cuenta hechos que sí estaban demostrados y que si hubiesen sido considerados habrían conducido a una decisión sustancialmente diferente.</w:t>
      </w:r>
    </w:p>
    <w:p w:rsidR="00C85E39" w:rsidRPr="00C96730" w:rsidRDefault="00C85E39" w:rsidP="00C85E39">
      <w:pPr>
        <w:spacing w:after="0"/>
        <w:ind w:left="708" w:right="51"/>
        <w:jc w:val="both"/>
        <w:rPr>
          <w:rFonts w:ascii="Century Gothic" w:eastAsia="Calibri" w:hAnsi="Century Gothic" w:cs="Arial"/>
          <w:i/>
          <w:sz w:val="20"/>
          <w:szCs w:val="20"/>
          <w:lang w:val="es-CO"/>
        </w:rPr>
      </w:pPr>
    </w:p>
    <w:p w:rsidR="00C85E39" w:rsidRPr="00C96730" w:rsidRDefault="00C85E39" w:rsidP="00C85E39">
      <w:pPr>
        <w:spacing w:after="0"/>
        <w:ind w:left="708" w:right="51"/>
        <w:jc w:val="both"/>
        <w:rPr>
          <w:rFonts w:ascii="Century Gothic" w:eastAsia="Calibri" w:hAnsi="Century Gothic" w:cs="Arial"/>
          <w:i/>
          <w:sz w:val="20"/>
          <w:szCs w:val="20"/>
          <w:lang w:val="es-CO"/>
        </w:rPr>
      </w:pPr>
      <w:r w:rsidRPr="00C96730">
        <w:rPr>
          <w:rFonts w:ascii="Century Gothic" w:eastAsia="Calibri" w:hAnsi="Century Gothic" w:cs="Arial"/>
          <w:i/>
          <w:sz w:val="20"/>
          <w:szCs w:val="20"/>
          <w:lang w:val="es-CO"/>
        </w:rPr>
        <w:t>Ahora bien, los hechos que fundamentan la decisión administrativa deben ser reales y la realidad, por supuesto, siempre será una sola. Por ende, cuando los hechos que tuvo en cuenta la Administración para adoptar la decisión no existieron o fueron apreciados en una dimensión equivocada, se incurre en falsa motivación porque la realidad no concuerda con el escenario fáctico que la Administración supuso que existía al tomar la decisión.</w:t>
      </w:r>
    </w:p>
    <w:p w:rsidR="00C85E39" w:rsidRPr="00C96730" w:rsidRDefault="00C85E39" w:rsidP="00C85E39">
      <w:pPr>
        <w:spacing w:after="0"/>
        <w:ind w:left="708" w:right="51"/>
        <w:jc w:val="both"/>
        <w:rPr>
          <w:rFonts w:ascii="Century Gothic" w:eastAsia="Calibri" w:hAnsi="Century Gothic" w:cs="Arial"/>
          <w:i/>
          <w:sz w:val="20"/>
          <w:szCs w:val="20"/>
          <w:lang w:val="es-CO"/>
        </w:rPr>
      </w:pPr>
    </w:p>
    <w:p w:rsidR="00C85E39" w:rsidRPr="00C96730" w:rsidRDefault="00C85E39" w:rsidP="00C85E39">
      <w:pPr>
        <w:spacing w:after="0"/>
        <w:ind w:left="708" w:right="51"/>
        <w:jc w:val="both"/>
        <w:rPr>
          <w:rFonts w:ascii="Century Gothic" w:eastAsia="Calibri" w:hAnsi="Century Gothic" w:cs="Arial"/>
          <w:i/>
          <w:sz w:val="20"/>
          <w:szCs w:val="20"/>
          <w:lang w:val="es-CO"/>
        </w:rPr>
      </w:pPr>
      <w:r w:rsidRPr="00C96730">
        <w:rPr>
          <w:rFonts w:ascii="Century Gothic" w:eastAsia="Calibri" w:hAnsi="Century Gothic" w:cs="Arial"/>
          <w:i/>
          <w:sz w:val="20"/>
          <w:szCs w:val="20"/>
          <w:lang w:val="es-CO"/>
        </w:rPr>
        <w:t>Todo lo anterior implica que quien acude a la jurisdicción para alegar la falsa motivación, debe, como mínimo, señalar cuáles son los hechos que el funcionario tuvo en cuenta para tomar la decisión y que en realidad no existieron, o, en qué consiste la errada interpretación de esos hechos ”  (negrillas fuera de texto).</w:t>
      </w:r>
      <w:r>
        <w:rPr>
          <w:rStyle w:val="Refdenotaalpie"/>
          <w:rFonts w:ascii="Century Gothic" w:eastAsia="Calibri" w:hAnsi="Century Gothic" w:cs="Arial"/>
          <w:i/>
          <w:sz w:val="20"/>
          <w:szCs w:val="20"/>
          <w:lang w:val="es-CO"/>
        </w:rPr>
        <w:footnoteReference w:id="5"/>
      </w:r>
    </w:p>
    <w:p w:rsidR="00C85E39" w:rsidRPr="00C9410A" w:rsidRDefault="00C85E39" w:rsidP="00C85E39">
      <w:pPr>
        <w:spacing w:after="0"/>
        <w:ind w:right="51"/>
        <w:jc w:val="both"/>
        <w:rPr>
          <w:rFonts w:ascii="Century Gothic" w:eastAsia="Calibri" w:hAnsi="Century Gothic" w:cs="Arial"/>
          <w:sz w:val="24"/>
          <w:szCs w:val="24"/>
          <w:lang w:val="es-CO"/>
        </w:rPr>
      </w:pPr>
    </w:p>
    <w:p w:rsidR="00C85E39" w:rsidRPr="00C9410A" w:rsidRDefault="00C85E39" w:rsidP="00C85E39">
      <w:pPr>
        <w:spacing w:after="0"/>
        <w:ind w:right="51"/>
        <w:jc w:val="both"/>
        <w:rPr>
          <w:rFonts w:ascii="Century Gothic" w:eastAsia="Calibri" w:hAnsi="Century Gothic" w:cs="Arial"/>
          <w:sz w:val="24"/>
          <w:szCs w:val="24"/>
          <w:lang w:val="es-CO"/>
        </w:rPr>
      </w:pPr>
      <w:r w:rsidRPr="00C9410A">
        <w:rPr>
          <w:rFonts w:ascii="Century Gothic" w:eastAsia="Calibri" w:hAnsi="Century Gothic" w:cs="Arial"/>
          <w:sz w:val="24"/>
          <w:szCs w:val="24"/>
          <w:lang w:val="es-CO"/>
        </w:rPr>
        <w:t>Así pues, se observa que la causal de falsa motivación está relacionada con la valoración de los hechos que sirvieron de fundamento para la adopción de la decisión, esto es, en verificar su veracidad, si existió o simulación o engaño, si fueron analizados con ligereza o rigor, de manera sistemática o aislada, razonable o irrazonable.</w:t>
      </w:r>
    </w:p>
    <w:p w:rsidR="00C85E39" w:rsidRDefault="00C85E39" w:rsidP="00C85E39">
      <w:pPr>
        <w:spacing w:after="0"/>
        <w:jc w:val="both"/>
        <w:rPr>
          <w:rFonts w:ascii="Century Gothic" w:eastAsia="Calibri" w:hAnsi="Century Gothic" w:cs="Arial"/>
          <w:bCs/>
          <w:sz w:val="24"/>
          <w:szCs w:val="24"/>
          <w:lang w:val="es-CO"/>
        </w:rPr>
      </w:pPr>
    </w:p>
    <w:p w:rsidR="00C85E39" w:rsidRPr="00C9410A" w:rsidRDefault="00C85E39" w:rsidP="00C85E39">
      <w:pPr>
        <w:spacing w:after="0"/>
        <w:jc w:val="both"/>
        <w:rPr>
          <w:rFonts w:ascii="Century Gothic" w:eastAsia="Calibri" w:hAnsi="Century Gothic" w:cs="Arial"/>
          <w:sz w:val="24"/>
          <w:szCs w:val="24"/>
          <w:lang w:val="es-CO"/>
        </w:rPr>
      </w:pPr>
      <w:r w:rsidRPr="00C9410A">
        <w:rPr>
          <w:rFonts w:ascii="Century Gothic" w:eastAsia="Calibri" w:hAnsi="Century Gothic" w:cs="Arial"/>
          <w:bCs/>
          <w:sz w:val="24"/>
          <w:szCs w:val="24"/>
          <w:lang w:val="es-CO"/>
        </w:rPr>
        <w:t>La Corte Constitucional en la sentencia T-204-12, al referirse a los fundamentos constitucionales de la motivación de los actos administrativos, consideró:</w:t>
      </w:r>
    </w:p>
    <w:p w:rsidR="00C85E39" w:rsidRPr="00C9410A" w:rsidRDefault="00C85E39" w:rsidP="00C85E39">
      <w:pPr>
        <w:spacing w:after="0"/>
        <w:jc w:val="both"/>
        <w:rPr>
          <w:rFonts w:ascii="Century Gothic" w:eastAsia="Calibri" w:hAnsi="Century Gothic" w:cs="Arial"/>
          <w:sz w:val="24"/>
          <w:szCs w:val="24"/>
          <w:lang w:val="es-CO"/>
        </w:rPr>
      </w:pPr>
    </w:p>
    <w:p w:rsidR="00C85E39" w:rsidRPr="00C96730" w:rsidRDefault="00C85E39" w:rsidP="00C85E39">
      <w:pPr>
        <w:autoSpaceDE w:val="0"/>
        <w:autoSpaceDN w:val="0"/>
        <w:adjustRightInd w:val="0"/>
        <w:spacing w:after="0"/>
        <w:ind w:left="567"/>
        <w:jc w:val="both"/>
        <w:rPr>
          <w:rFonts w:ascii="Century Gothic" w:eastAsia="Calibri" w:hAnsi="Century Gothic" w:cs="Arial"/>
          <w:b/>
          <w:bCs/>
          <w:i/>
          <w:sz w:val="20"/>
          <w:szCs w:val="20"/>
          <w:lang w:val="es-CO"/>
        </w:rPr>
      </w:pPr>
      <w:r w:rsidRPr="00C96730">
        <w:rPr>
          <w:rFonts w:ascii="Century Gothic" w:eastAsia="Calibri" w:hAnsi="Century Gothic" w:cs="Arial"/>
          <w:bCs/>
          <w:i/>
          <w:sz w:val="20"/>
          <w:szCs w:val="20"/>
          <w:lang w:val="es-CO"/>
        </w:rPr>
        <w:t xml:space="preserve">“[…] </w:t>
      </w:r>
      <w:r w:rsidRPr="00C96730">
        <w:rPr>
          <w:rFonts w:ascii="Century Gothic" w:eastAsia="Calibri" w:hAnsi="Century Gothic" w:cs="Arial"/>
          <w:b/>
          <w:bCs/>
          <w:i/>
          <w:sz w:val="20"/>
          <w:szCs w:val="20"/>
          <w:lang w:val="es-CO"/>
        </w:rPr>
        <w:t>3. Fundamentos constitucionales de la motivación de los actos administrativos</w:t>
      </w:r>
    </w:p>
    <w:p w:rsidR="00C85E39" w:rsidRPr="00C96730" w:rsidRDefault="00C85E39" w:rsidP="00C85E39">
      <w:pPr>
        <w:autoSpaceDE w:val="0"/>
        <w:autoSpaceDN w:val="0"/>
        <w:adjustRightInd w:val="0"/>
        <w:spacing w:after="0"/>
        <w:ind w:left="567"/>
        <w:jc w:val="both"/>
        <w:rPr>
          <w:rFonts w:ascii="Century Gothic" w:eastAsia="Calibri" w:hAnsi="Century Gothic" w:cs="Arial"/>
          <w:b/>
          <w:bCs/>
          <w:i/>
          <w:sz w:val="20"/>
          <w:szCs w:val="20"/>
          <w:lang w:val="es-CO"/>
        </w:rPr>
      </w:pPr>
    </w:p>
    <w:p w:rsidR="00C85E39" w:rsidRPr="00C96730" w:rsidRDefault="00C85E39" w:rsidP="00C85E39">
      <w:pPr>
        <w:autoSpaceDE w:val="0"/>
        <w:autoSpaceDN w:val="0"/>
        <w:adjustRightInd w:val="0"/>
        <w:spacing w:after="0"/>
        <w:ind w:left="567"/>
        <w:jc w:val="both"/>
        <w:rPr>
          <w:rFonts w:ascii="Century Gothic" w:eastAsia="Calibri" w:hAnsi="Century Gothic" w:cs="Arial"/>
          <w:bCs/>
          <w:i/>
          <w:sz w:val="20"/>
          <w:szCs w:val="20"/>
          <w:lang w:val="es-CO"/>
        </w:rPr>
      </w:pPr>
      <w:r w:rsidRPr="00C96730">
        <w:rPr>
          <w:rFonts w:ascii="Century Gothic" w:eastAsia="Calibri" w:hAnsi="Century Gothic" w:cs="Arial"/>
          <w:bCs/>
          <w:i/>
          <w:sz w:val="20"/>
          <w:szCs w:val="20"/>
          <w:lang w:val="es-CO"/>
        </w:rPr>
        <w:t>La sentencia SU-917 recogió los preceptos fijados por la jurisprudencia de esta Corporación</w:t>
      </w:r>
      <w:r w:rsidRPr="00C96730">
        <w:rPr>
          <w:rFonts w:ascii="Century Gothic" w:eastAsia="Calibri" w:hAnsi="Century Gothic" w:cs="Arial"/>
          <w:bCs/>
          <w:i/>
          <w:sz w:val="20"/>
          <w:szCs w:val="20"/>
          <w:vertAlign w:val="superscript"/>
          <w:lang w:val="es-CO"/>
        </w:rPr>
        <w:footnoteReference w:id="6"/>
      </w:r>
      <w:r w:rsidRPr="00C96730">
        <w:rPr>
          <w:rFonts w:ascii="Century Gothic" w:eastAsia="Calibri" w:hAnsi="Century Gothic" w:cs="Arial"/>
          <w:bCs/>
          <w:i/>
          <w:sz w:val="20"/>
          <w:szCs w:val="20"/>
          <w:lang w:val="es-CO"/>
        </w:rPr>
        <w:t xml:space="preserve"> al identificar los elementos constitucionales que sostienen el deber de motivar los actos administrativos. En síntesis se relacionan los siguientes:  </w:t>
      </w:r>
    </w:p>
    <w:p w:rsidR="00C85E39" w:rsidRPr="00C96730" w:rsidRDefault="00C85E39" w:rsidP="00C85E39">
      <w:pPr>
        <w:autoSpaceDE w:val="0"/>
        <w:autoSpaceDN w:val="0"/>
        <w:adjustRightInd w:val="0"/>
        <w:spacing w:after="0"/>
        <w:ind w:left="567"/>
        <w:jc w:val="both"/>
        <w:rPr>
          <w:rFonts w:ascii="Century Gothic" w:eastAsia="Calibri" w:hAnsi="Century Gothic" w:cs="Arial"/>
          <w:bCs/>
          <w:i/>
          <w:sz w:val="20"/>
          <w:szCs w:val="20"/>
          <w:lang w:val="es-CO"/>
        </w:rPr>
      </w:pPr>
    </w:p>
    <w:p w:rsidR="00C85E39" w:rsidRPr="00C96730" w:rsidRDefault="00C85E39" w:rsidP="00C85E39">
      <w:pPr>
        <w:numPr>
          <w:ilvl w:val="0"/>
          <w:numId w:val="16"/>
        </w:numPr>
        <w:autoSpaceDE w:val="0"/>
        <w:autoSpaceDN w:val="0"/>
        <w:adjustRightInd w:val="0"/>
        <w:spacing w:after="0"/>
        <w:ind w:left="567" w:firstLine="0"/>
        <w:jc w:val="both"/>
        <w:rPr>
          <w:rFonts w:ascii="Century Gothic" w:eastAsia="Calibri" w:hAnsi="Century Gothic" w:cs="Arial"/>
          <w:bCs/>
          <w:i/>
          <w:sz w:val="20"/>
          <w:szCs w:val="20"/>
          <w:lang w:val="es-CO"/>
        </w:rPr>
      </w:pPr>
      <w:r w:rsidRPr="00C96730">
        <w:rPr>
          <w:rFonts w:ascii="Century Gothic" w:eastAsia="Calibri" w:hAnsi="Century Gothic" w:cs="Arial"/>
          <w:b/>
          <w:bCs/>
          <w:i/>
          <w:sz w:val="20"/>
          <w:szCs w:val="20"/>
          <w:lang w:val="es-CO"/>
        </w:rPr>
        <w:t>Cláusula de Estado de Derecho</w:t>
      </w:r>
      <w:r w:rsidRPr="00C96730">
        <w:rPr>
          <w:rFonts w:ascii="Century Gothic" w:eastAsia="Calibri" w:hAnsi="Century Gothic" w:cs="Arial"/>
          <w:bCs/>
          <w:i/>
          <w:sz w:val="20"/>
          <w:szCs w:val="20"/>
          <w:lang w:val="es-CO"/>
        </w:rPr>
        <w:t>. Este concepto se encuentra fijado en el artículo 1° de la Carta</w:t>
      </w:r>
      <w:r w:rsidRPr="00C96730">
        <w:rPr>
          <w:rFonts w:ascii="Century Gothic" w:eastAsia="Calibri" w:hAnsi="Century Gothic" w:cs="Arial"/>
          <w:bCs/>
          <w:i/>
          <w:sz w:val="20"/>
          <w:szCs w:val="20"/>
          <w:vertAlign w:val="superscript"/>
          <w:lang w:val="es-CO"/>
        </w:rPr>
        <w:footnoteReference w:id="7"/>
      </w:r>
      <w:r w:rsidRPr="00C96730">
        <w:rPr>
          <w:rFonts w:ascii="Century Gothic" w:eastAsia="Calibri" w:hAnsi="Century Gothic" w:cs="Arial"/>
          <w:bCs/>
          <w:i/>
          <w:sz w:val="20"/>
          <w:szCs w:val="20"/>
          <w:lang w:val="es-CO"/>
        </w:rPr>
        <w:t xml:space="preserve"> y encierra el principio de legalidad de las actuaciones de los entes públicos, eliminando así la arbitrariedad en sus actuaciones. Una de las formas en las que se </w:t>
      </w:r>
      <w:r w:rsidRPr="00C96730">
        <w:rPr>
          <w:rFonts w:ascii="Century Gothic" w:eastAsia="Calibri" w:hAnsi="Century Gothic" w:cs="Arial"/>
          <w:bCs/>
          <w:i/>
          <w:sz w:val="20"/>
          <w:szCs w:val="20"/>
          <w:lang w:val="es-CO"/>
        </w:rPr>
        <w:lastRenderedPageBreak/>
        <w:t>materializa es en la obligación de motivar lo actos administrativos toda vez que ésta es la forma en la que se verifica la sujeción de la administración al imperio de la ley</w:t>
      </w:r>
      <w:r w:rsidRPr="00C96730">
        <w:rPr>
          <w:rFonts w:ascii="Century Gothic" w:eastAsia="Calibri" w:hAnsi="Century Gothic" w:cs="Arial"/>
          <w:bCs/>
          <w:i/>
          <w:sz w:val="20"/>
          <w:szCs w:val="20"/>
          <w:vertAlign w:val="superscript"/>
          <w:lang w:val="es-CO"/>
        </w:rPr>
        <w:footnoteReference w:id="8"/>
      </w:r>
      <w:r w:rsidRPr="00C96730">
        <w:rPr>
          <w:rFonts w:ascii="Century Gothic" w:eastAsia="Calibri" w:hAnsi="Century Gothic" w:cs="Arial"/>
          <w:bCs/>
          <w:i/>
          <w:sz w:val="20"/>
          <w:szCs w:val="20"/>
          <w:lang w:val="es-CO"/>
        </w:rPr>
        <w:t xml:space="preserve">. </w:t>
      </w:r>
    </w:p>
    <w:p w:rsidR="00C85E39" w:rsidRPr="00C96730" w:rsidRDefault="00C85E39" w:rsidP="00C85E39">
      <w:pPr>
        <w:autoSpaceDE w:val="0"/>
        <w:autoSpaceDN w:val="0"/>
        <w:adjustRightInd w:val="0"/>
        <w:spacing w:after="0"/>
        <w:ind w:left="567"/>
        <w:jc w:val="both"/>
        <w:rPr>
          <w:rFonts w:ascii="Century Gothic" w:eastAsia="Calibri" w:hAnsi="Century Gothic" w:cs="Arial"/>
          <w:bCs/>
          <w:i/>
          <w:sz w:val="20"/>
          <w:szCs w:val="20"/>
          <w:lang w:val="es-CO"/>
        </w:rPr>
      </w:pPr>
    </w:p>
    <w:p w:rsidR="00C85E39" w:rsidRPr="00C96730" w:rsidRDefault="00C85E39" w:rsidP="00C85E39">
      <w:pPr>
        <w:numPr>
          <w:ilvl w:val="0"/>
          <w:numId w:val="16"/>
        </w:numPr>
        <w:autoSpaceDE w:val="0"/>
        <w:autoSpaceDN w:val="0"/>
        <w:adjustRightInd w:val="0"/>
        <w:spacing w:after="0"/>
        <w:ind w:left="567" w:firstLine="0"/>
        <w:jc w:val="both"/>
        <w:rPr>
          <w:rFonts w:ascii="Century Gothic" w:eastAsia="Calibri" w:hAnsi="Century Gothic" w:cs="Arial"/>
          <w:bCs/>
          <w:i/>
          <w:sz w:val="20"/>
          <w:szCs w:val="20"/>
          <w:lang w:val="es-CO"/>
        </w:rPr>
      </w:pPr>
      <w:r w:rsidRPr="00C96730">
        <w:rPr>
          <w:rFonts w:ascii="Century Gothic" w:eastAsia="Calibri" w:hAnsi="Century Gothic" w:cs="Arial"/>
          <w:b/>
          <w:bCs/>
          <w:i/>
          <w:sz w:val="20"/>
          <w:szCs w:val="20"/>
          <w:lang w:val="es-CO"/>
        </w:rPr>
        <w:t>Debido proceso</w:t>
      </w:r>
      <w:r w:rsidRPr="00C96730">
        <w:rPr>
          <w:rFonts w:ascii="Century Gothic" w:eastAsia="Calibri" w:hAnsi="Century Gothic" w:cs="Arial"/>
          <w:bCs/>
          <w:i/>
          <w:sz w:val="20"/>
          <w:szCs w:val="20"/>
          <w:lang w:val="es-CO"/>
        </w:rPr>
        <w:t>. Igualmente, el artículo 29</w:t>
      </w:r>
      <w:r w:rsidRPr="00C96730">
        <w:rPr>
          <w:rFonts w:ascii="Century Gothic" w:eastAsia="Calibri" w:hAnsi="Century Gothic" w:cs="Arial"/>
          <w:bCs/>
          <w:i/>
          <w:sz w:val="20"/>
          <w:szCs w:val="20"/>
          <w:vertAlign w:val="superscript"/>
          <w:lang w:val="es-CO"/>
        </w:rPr>
        <w:footnoteReference w:id="9"/>
      </w:r>
      <w:r w:rsidRPr="00C96730">
        <w:rPr>
          <w:rFonts w:ascii="Century Gothic" w:eastAsia="Calibri" w:hAnsi="Century Gothic" w:cs="Arial"/>
          <w:bCs/>
          <w:i/>
          <w:sz w:val="20"/>
          <w:szCs w:val="20"/>
          <w:lang w:val="es-CO"/>
        </w:rPr>
        <w:t xml:space="preserve"> superior plantea como presupuesto para hacer efectivo el derecho de contradicción y de defensa, que los administrados tengan argumentos que puedan ser controvertidos cuando no están de acuerdo con las actuaciones de las autoridades. De esta forma, cuando en el acto no se expresan las razones que han dado sustento a la decisión, el particular se encuentra en un estado de indefinición derivado de la imposibilidad de expresar los motivos por los que disiente de la decisión tomada, vulnerando así su derecho a controvertir la actuación con la que no está de acuerdo</w:t>
      </w:r>
      <w:r w:rsidRPr="00C96730">
        <w:rPr>
          <w:rFonts w:ascii="Century Gothic" w:eastAsia="Calibri" w:hAnsi="Century Gothic" w:cs="Arial"/>
          <w:bCs/>
          <w:i/>
          <w:sz w:val="20"/>
          <w:szCs w:val="20"/>
          <w:vertAlign w:val="superscript"/>
          <w:lang w:val="es-CO"/>
        </w:rPr>
        <w:footnoteReference w:id="10"/>
      </w:r>
      <w:r w:rsidRPr="00C96730">
        <w:rPr>
          <w:rFonts w:ascii="Century Gothic" w:eastAsia="Calibri" w:hAnsi="Century Gothic" w:cs="Arial"/>
          <w:bCs/>
          <w:i/>
          <w:sz w:val="20"/>
          <w:szCs w:val="20"/>
          <w:lang w:val="es-CO"/>
        </w:rPr>
        <w:t xml:space="preserve">. </w:t>
      </w:r>
    </w:p>
    <w:p w:rsidR="00C85E39" w:rsidRPr="00C96730" w:rsidRDefault="00C85E39" w:rsidP="00C85E39">
      <w:pPr>
        <w:autoSpaceDE w:val="0"/>
        <w:autoSpaceDN w:val="0"/>
        <w:adjustRightInd w:val="0"/>
        <w:spacing w:after="0"/>
        <w:ind w:left="567"/>
        <w:jc w:val="both"/>
        <w:rPr>
          <w:rFonts w:ascii="Century Gothic" w:eastAsia="Calibri" w:hAnsi="Century Gothic" w:cs="Arial"/>
          <w:bCs/>
          <w:i/>
          <w:sz w:val="20"/>
          <w:szCs w:val="20"/>
          <w:lang w:val="es-CO"/>
        </w:rPr>
      </w:pPr>
    </w:p>
    <w:p w:rsidR="00C85E39" w:rsidRPr="00C96730" w:rsidRDefault="00C85E39" w:rsidP="00C85E39">
      <w:pPr>
        <w:numPr>
          <w:ilvl w:val="0"/>
          <w:numId w:val="16"/>
        </w:numPr>
        <w:autoSpaceDE w:val="0"/>
        <w:autoSpaceDN w:val="0"/>
        <w:adjustRightInd w:val="0"/>
        <w:spacing w:after="0"/>
        <w:ind w:left="567" w:firstLine="0"/>
        <w:jc w:val="both"/>
        <w:rPr>
          <w:rFonts w:ascii="Century Gothic" w:eastAsia="Calibri" w:hAnsi="Century Gothic" w:cs="Arial"/>
          <w:bCs/>
          <w:i/>
          <w:sz w:val="20"/>
          <w:szCs w:val="20"/>
          <w:lang w:val="es-CO"/>
        </w:rPr>
      </w:pPr>
      <w:r w:rsidRPr="00C96730">
        <w:rPr>
          <w:rFonts w:ascii="Century Gothic" w:eastAsia="Calibri" w:hAnsi="Century Gothic" w:cs="Arial"/>
          <w:b/>
          <w:bCs/>
          <w:i/>
          <w:sz w:val="20"/>
          <w:szCs w:val="20"/>
          <w:lang w:val="es-CO"/>
        </w:rPr>
        <w:t>Principio Democrático.</w:t>
      </w:r>
      <w:r w:rsidRPr="00C96730">
        <w:rPr>
          <w:rFonts w:ascii="Century Gothic" w:eastAsia="Calibri" w:hAnsi="Century Gothic" w:cs="Arial"/>
          <w:bCs/>
          <w:i/>
          <w:sz w:val="20"/>
          <w:szCs w:val="20"/>
          <w:lang w:val="es-CO"/>
        </w:rPr>
        <w:t xml:space="preserve"> En virtud de los artículos 1°, 123</w:t>
      </w:r>
      <w:r w:rsidRPr="00C96730">
        <w:rPr>
          <w:rFonts w:ascii="Century Gothic" w:eastAsia="Calibri" w:hAnsi="Century Gothic" w:cs="Arial"/>
          <w:bCs/>
          <w:i/>
          <w:sz w:val="20"/>
          <w:szCs w:val="20"/>
          <w:vertAlign w:val="superscript"/>
          <w:lang w:val="es-CO"/>
        </w:rPr>
        <w:footnoteReference w:id="11"/>
      </w:r>
      <w:r w:rsidRPr="00C96730">
        <w:rPr>
          <w:rFonts w:ascii="Century Gothic" w:eastAsia="Calibri" w:hAnsi="Century Gothic" w:cs="Arial"/>
          <w:bCs/>
          <w:i/>
          <w:sz w:val="20"/>
          <w:szCs w:val="20"/>
          <w:lang w:val="es-CO"/>
        </w:rPr>
        <w:t xml:space="preserve"> y 209</w:t>
      </w:r>
      <w:r w:rsidRPr="00C96730">
        <w:rPr>
          <w:rFonts w:ascii="Century Gothic" w:eastAsia="Calibri" w:hAnsi="Century Gothic" w:cs="Arial"/>
          <w:bCs/>
          <w:i/>
          <w:sz w:val="20"/>
          <w:szCs w:val="20"/>
          <w:vertAlign w:val="superscript"/>
          <w:lang w:val="es-CO"/>
        </w:rPr>
        <w:footnoteReference w:id="12"/>
      </w:r>
      <w:r w:rsidRPr="00C96730">
        <w:rPr>
          <w:rFonts w:ascii="Century Gothic" w:eastAsia="Calibri" w:hAnsi="Century Gothic" w:cs="Arial"/>
          <w:bCs/>
          <w:i/>
          <w:sz w:val="20"/>
          <w:szCs w:val="20"/>
          <w:lang w:val="es-CO"/>
        </w:rPr>
        <w:t xml:space="preserve"> de la Constitución, el deber de motivar los actos administrativos materializa la obligación que tienen las autoridades de rendir cuentas a los administrados acerca de sus actuaciones</w:t>
      </w:r>
      <w:r w:rsidRPr="00C96730">
        <w:rPr>
          <w:rFonts w:ascii="Century Gothic" w:eastAsia="Calibri" w:hAnsi="Century Gothic" w:cs="Arial"/>
          <w:bCs/>
          <w:i/>
          <w:sz w:val="20"/>
          <w:szCs w:val="20"/>
          <w:vertAlign w:val="superscript"/>
          <w:lang w:val="es-CO"/>
        </w:rPr>
        <w:footnoteReference w:id="13"/>
      </w:r>
      <w:r w:rsidRPr="00C96730">
        <w:rPr>
          <w:rFonts w:ascii="Century Gothic" w:eastAsia="Calibri" w:hAnsi="Century Gothic" w:cs="Arial"/>
          <w:bCs/>
          <w:i/>
          <w:sz w:val="20"/>
          <w:szCs w:val="20"/>
          <w:lang w:val="es-CO"/>
        </w:rPr>
        <w:t xml:space="preserve">.  </w:t>
      </w:r>
    </w:p>
    <w:p w:rsidR="00C85E39" w:rsidRPr="00C96730" w:rsidRDefault="00C85E39" w:rsidP="00C85E39">
      <w:pPr>
        <w:autoSpaceDE w:val="0"/>
        <w:autoSpaceDN w:val="0"/>
        <w:adjustRightInd w:val="0"/>
        <w:spacing w:after="0"/>
        <w:ind w:left="720"/>
        <w:contextualSpacing/>
        <w:rPr>
          <w:rFonts w:ascii="Century Gothic" w:eastAsia="SimSun" w:hAnsi="Century Gothic" w:cs="Arial"/>
          <w:bCs/>
          <w:i/>
          <w:sz w:val="20"/>
          <w:szCs w:val="20"/>
          <w:lang w:val="es-CO" w:eastAsia="zh-CN"/>
        </w:rPr>
      </w:pPr>
    </w:p>
    <w:p w:rsidR="00C85E39" w:rsidRPr="00C96730" w:rsidRDefault="00C85E39" w:rsidP="00C85E39">
      <w:pPr>
        <w:numPr>
          <w:ilvl w:val="0"/>
          <w:numId w:val="16"/>
        </w:numPr>
        <w:autoSpaceDE w:val="0"/>
        <w:autoSpaceDN w:val="0"/>
        <w:adjustRightInd w:val="0"/>
        <w:spacing w:after="0"/>
        <w:ind w:left="567" w:firstLine="0"/>
        <w:jc w:val="both"/>
        <w:rPr>
          <w:rFonts w:ascii="Century Gothic" w:eastAsia="Calibri" w:hAnsi="Century Gothic" w:cs="Arial"/>
          <w:bCs/>
          <w:i/>
          <w:sz w:val="20"/>
          <w:szCs w:val="20"/>
          <w:lang w:val="es-CO"/>
        </w:rPr>
      </w:pPr>
      <w:r w:rsidRPr="00C96730">
        <w:rPr>
          <w:rFonts w:ascii="Century Gothic" w:eastAsia="Calibri" w:hAnsi="Century Gothic" w:cs="Arial"/>
          <w:b/>
          <w:bCs/>
          <w:i/>
          <w:sz w:val="20"/>
          <w:szCs w:val="20"/>
          <w:lang w:val="es-CO"/>
        </w:rPr>
        <w:t>Principio de Publicidad</w:t>
      </w:r>
      <w:r w:rsidRPr="00C96730">
        <w:rPr>
          <w:rFonts w:ascii="Century Gothic" w:eastAsia="Calibri" w:hAnsi="Century Gothic" w:cs="Arial"/>
          <w:bCs/>
          <w:i/>
          <w:sz w:val="20"/>
          <w:szCs w:val="20"/>
          <w:lang w:val="es-CO"/>
        </w:rPr>
        <w:t>. El artículo 209 de la Carta establece que la función administrativa se deberá desarrollar con fundamento en el principio de publicidad. Este mandato se encuentra estrechamente relacionado con los conceptos de Estado de Derecho y de democracia, dado que garantiza la posibilidad de que los administrados conozcan las decisiones de las autoridades, y así puedan controvertir aquellas con las que no están de acuerdo</w:t>
      </w:r>
      <w:r w:rsidRPr="00C96730">
        <w:rPr>
          <w:rFonts w:ascii="Century Gothic" w:eastAsia="Calibri" w:hAnsi="Century Gothic" w:cs="Arial"/>
          <w:bCs/>
          <w:i/>
          <w:sz w:val="20"/>
          <w:szCs w:val="20"/>
          <w:vertAlign w:val="superscript"/>
          <w:lang w:val="es-CO"/>
        </w:rPr>
        <w:footnoteReference w:id="14"/>
      </w:r>
      <w:r w:rsidRPr="00C96730">
        <w:rPr>
          <w:rFonts w:ascii="Century Gothic" w:eastAsia="Calibri" w:hAnsi="Century Gothic" w:cs="Arial"/>
          <w:bCs/>
          <w:i/>
          <w:sz w:val="20"/>
          <w:szCs w:val="20"/>
          <w:lang w:val="es-CO"/>
        </w:rPr>
        <w:t xml:space="preserve">.    </w:t>
      </w:r>
    </w:p>
    <w:p w:rsidR="00C85E39" w:rsidRPr="00C96730" w:rsidRDefault="00C85E39" w:rsidP="00C85E39">
      <w:pPr>
        <w:autoSpaceDE w:val="0"/>
        <w:autoSpaceDN w:val="0"/>
        <w:adjustRightInd w:val="0"/>
        <w:spacing w:after="0"/>
        <w:ind w:left="567"/>
        <w:jc w:val="both"/>
        <w:rPr>
          <w:rFonts w:ascii="Century Gothic" w:eastAsia="Calibri" w:hAnsi="Century Gothic" w:cs="Arial"/>
          <w:bCs/>
          <w:i/>
          <w:sz w:val="20"/>
          <w:szCs w:val="20"/>
          <w:lang w:val="es-CO"/>
        </w:rPr>
      </w:pPr>
    </w:p>
    <w:p w:rsidR="00C85E39" w:rsidRPr="00C96730" w:rsidRDefault="00C85E39" w:rsidP="00C85E39">
      <w:pPr>
        <w:spacing w:after="0"/>
        <w:ind w:left="567"/>
        <w:jc w:val="both"/>
        <w:rPr>
          <w:rFonts w:ascii="Century Gothic" w:eastAsia="Calibri" w:hAnsi="Century Gothic" w:cs="Arial"/>
          <w:bCs/>
          <w:i/>
          <w:sz w:val="20"/>
          <w:szCs w:val="20"/>
          <w:lang w:val="es-CO"/>
        </w:rPr>
      </w:pPr>
      <w:r w:rsidRPr="00C96730">
        <w:rPr>
          <w:rFonts w:ascii="Century Gothic" w:eastAsia="Calibri" w:hAnsi="Century Gothic" w:cs="Arial"/>
          <w:bCs/>
          <w:i/>
          <w:sz w:val="20"/>
          <w:szCs w:val="20"/>
          <w:lang w:val="es-CO"/>
        </w:rPr>
        <w:t xml:space="preserve">Derivado de lo anterior, </w:t>
      </w:r>
      <w:r w:rsidRPr="00C96730">
        <w:rPr>
          <w:rFonts w:ascii="Century Gothic" w:eastAsia="Calibri" w:hAnsi="Century Gothic" w:cs="Arial"/>
          <w:b/>
          <w:bCs/>
          <w:i/>
          <w:sz w:val="20"/>
          <w:szCs w:val="20"/>
          <w:lang w:val="es-CO"/>
        </w:rPr>
        <w:t>la motivación de los actos administrativos proviene del cumplimiento de preceptos constitucionales que garantizan que los particulares tengan la posibilidad de contradecir las decisiones de los entes públicos ante las vías gubernativa y judicial, evitando de esta forma la configuración de actos de abuso de poder</w:t>
      </w:r>
      <w:r w:rsidRPr="00C96730">
        <w:rPr>
          <w:rFonts w:ascii="Century Gothic" w:eastAsia="Calibri" w:hAnsi="Century Gothic" w:cs="Arial"/>
          <w:bCs/>
          <w:i/>
          <w:sz w:val="20"/>
          <w:szCs w:val="20"/>
          <w:lang w:val="es-CO"/>
        </w:rPr>
        <w:t xml:space="preserve">. De esta forma, le corresponde a la administración motivar sus actos y a los entes judiciales decidir si tal argumentación se ajusta o no al ordenamiento jurídico […]” </w:t>
      </w:r>
      <w:r w:rsidRPr="00C96730">
        <w:rPr>
          <w:rFonts w:ascii="Century Gothic" w:eastAsia="Calibri" w:hAnsi="Century Gothic" w:cs="Arial"/>
          <w:bCs/>
          <w:sz w:val="20"/>
          <w:szCs w:val="20"/>
          <w:lang w:val="es-CO"/>
        </w:rPr>
        <w:t>(negrillas fuera de texto).</w:t>
      </w:r>
    </w:p>
    <w:p w:rsidR="00C85E39" w:rsidRPr="00C9410A" w:rsidRDefault="00C85E39" w:rsidP="00C85E39">
      <w:pPr>
        <w:spacing w:after="0"/>
        <w:jc w:val="both"/>
        <w:rPr>
          <w:rFonts w:ascii="Century Gothic" w:eastAsia="Calibri" w:hAnsi="Century Gothic" w:cs="Arial"/>
          <w:sz w:val="24"/>
          <w:szCs w:val="24"/>
          <w:lang w:val="es-CO"/>
        </w:rPr>
      </w:pPr>
    </w:p>
    <w:p w:rsidR="00C85E39" w:rsidRPr="00C9410A" w:rsidRDefault="00C85E39" w:rsidP="00C85E39">
      <w:pPr>
        <w:spacing w:after="0"/>
        <w:jc w:val="both"/>
        <w:rPr>
          <w:rFonts w:ascii="Century Gothic" w:eastAsia="Calibri" w:hAnsi="Century Gothic" w:cs="Arial"/>
          <w:sz w:val="24"/>
          <w:szCs w:val="24"/>
          <w:lang w:val="es-CO"/>
        </w:rPr>
      </w:pPr>
      <w:r w:rsidRPr="00C9410A">
        <w:rPr>
          <w:rFonts w:ascii="Century Gothic" w:eastAsia="Calibri" w:hAnsi="Century Gothic" w:cs="Arial"/>
          <w:sz w:val="24"/>
          <w:szCs w:val="24"/>
          <w:lang w:val="es-CO"/>
        </w:rPr>
        <w:t xml:space="preserve">Ahora ben, </w:t>
      </w:r>
      <w:r>
        <w:rPr>
          <w:rFonts w:ascii="Century Gothic" w:eastAsia="Calibri" w:hAnsi="Century Gothic" w:cs="Arial"/>
          <w:sz w:val="24"/>
          <w:szCs w:val="24"/>
          <w:lang w:val="es-CO"/>
        </w:rPr>
        <w:t>el Consejo de Estado</w:t>
      </w:r>
      <w:r w:rsidRPr="00C9410A">
        <w:rPr>
          <w:rFonts w:ascii="Century Gothic" w:eastAsia="Calibri" w:hAnsi="Century Gothic" w:cs="Arial"/>
          <w:sz w:val="24"/>
          <w:szCs w:val="24"/>
          <w:lang w:val="es-CO"/>
        </w:rPr>
        <w:t>, en pronunciamiento del 3 de diciembre de 2018</w:t>
      </w:r>
      <w:r w:rsidRPr="00C9410A">
        <w:rPr>
          <w:rFonts w:ascii="Century Gothic" w:eastAsia="Calibri" w:hAnsi="Century Gothic" w:cs="Arial"/>
          <w:sz w:val="24"/>
          <w:szCs w:val="24"/>
          <w:vertAlign w:val="superscript"/>
          <w:lang w:val="es-CO"/>
        </w:rPr>
        <w:footnoteReference w:id="15"/>
      </w:r>
      <w:r w:rsidRPr="00C9410A">
        <w:rPr>
          <w:rFonts w:ascii="Century Gothic" w:eastAsia="Calibri" w:hAnsi="Century Gothic" w:cs="Arial"/>
          <w:sz w:val="24"/>
          <w:szCs w:val="24"/>
          <w:lang w:val="es-CO"/>
        </w:rPr>
        <w:t>, al hacer referencia a los motivos por los cuales se expide un acto administrativo, expresó:</w:t>
      </w:r>
    </w:p>
    <w:p w:rsidR="00C85E39" w:rsidRPr="00C96730" w:rsidRDefault="00C85E39" w:rsidP="00C85E39">
      <w:pPr>
        <w:spacing w:after="0"/>
        <w:jc w:val="both"/>
        <w:rPr>
          <w:rFonts w:ascii="Century Gothic" w:eastAsia="Calibri" w:hAnsi="Century Gothic" w:cs="Arial"/>
          <w:b/>
          <w:sz w:val="20"/>
          <w:szCs w:val="20"/>
          <w:lang w:val="es-CO"/>
        </w:rPr>
      </w:pP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r w:rsidRPr="00C96730">
        <w:rPr>
          <w:rFonts w:ascii="Century Gothic" w:eastAsia="Times New Roman" w:hAnsi="Century Gothic" w:cs="Arial"/>
          <w:bCs/>
          <w:i/>
          <w:sz w:val="20"/>
          <w:szCs w:val="20"/>
          <w:lang w:val="es-CO" w:eastAsia="es-ES"/>
        </w:rPr>
        <w:t xml:space="preserve">“[…] </w:t>
      </w:r>
      <w:r w:rsidRPr="00C96730">
        <w:rPr>
          <w:rFonts w:ascii="Century Gothic" w:eastAsia="Times New Roman" w:hAnsi="Century Gothic" w:cs="Arial"/>
          <w:b/>
          <w:bCs/>
          <w:i/>
          <w:sz w:val="20"/>
          <w:szCs w:val="20"/>
          <w:lang w:val="es-CO" w:eastAsia="es-ES"/>
        </w:rPr>
        <w:t>L</w:t>
      </w:r>
      <w:r w:rsidRPr="00C96730">
        <w:rPr>
          <w:rFonts w:ascii="Century Gothic" w:eastAsia="Times New Roman" w:hAnsi="Century Gothic" w:cs="Arial"/>
          <w:b/>
          <w:i/>
          <w:sz w:val="20"/>
          <w:szCs w:val="20"/>
          <w:lang w:val="es-CO" w:eastAsia="es-ES"/>
        </w:rPr>
        <w:t>a validez del acto administrativo depende de que los motivos por los cuales se expide sean ciertos, pertinentes y tengan el mérito suficiente para justificar la decisión que mediante el mismo se haya tomado.</w:t>
      </w:r>
      <w:r w:rsidRPr="00C96730">
        <w:rPr>
          <w:rFonts w:ascii="Century Gothic" w:eastAsia="Times New Roman" w:hAnsi="Century Gothic" w:cs="Arial"/>
          <w:i/>
          <w:sz w:val="20"/>
          <w:szCs w:val="20"/>
          <w:lang w:val="es-CO" w:eastAsia="es-ES"/>
        </w:rPr>
        <w:t xml:space="preserve"> Es decir, que correspondan a los supuestos de hecho y de derecho jurídicamente necesarios para la expedición del acto administrativo de que se trate, y que se den en condiciones tales que hagan que deba preferirse la decisión tomada y no otra. </w:t>
      </w: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r w:rsidRPr="00C96730">
        <w:rPr>
          <w:rFonts w:ascii="Century Gothic" w:eastAsia="Times New Roman" w:hAnsi="Century Gothic" w:cs="Arial"/>
          <w:i/>
          <w:sz w:val="20"/>
          <w:szCs w:val="20"/>
          <w:lang w:val="es-CO" w:eastAsia="es-ES"/>
        </w:rPr>
        <w:t>Se trata de un requisito material, en cuanto depende de la correspondencia de lo que se aduzca en el acto administrativo como motivo o causa del mismo, con la realidad jurídica y/o fáctica del caso.</w:t>
      </w: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r w:rsidRPr="00C96730">
        <w:rPr>
          <w:rFonts w:ascii="Century Gothic" w:eastAsia="Times New Roman" w:hAnsi="Century Gothic" w:cs="Arial"/>
          <w:b/>
          <w:i/>
          <w:sz w:val="20"/>
          <w:szCs w:val="20"/>
          <w:lang w:val="es-CO" w:eastAsia="es-ES"/>
        </w:rPr>
        <w:t xml:space="preserve">El vicio de falsa motivación se presenta cuando la sustentación fáctica del acto carece de veracidad o de coherencia entre el hecho y el supuesto de derecho; </w:t>
      </w:r>
      <w:r w:rsidRPr="00C96730">
        <w:rPr>
          <w:rFonts w:ascii="Century Gothic" w:eastAsia="Times New Roman" w:hAnsi="Century Gothic" w:cs="Arial"/>
          <w:i/>
          <w:sz w:val="20"/>
          <w:szCs w:val="20"/>
          <w:lang w:val="es-CO" w:eastAsia="es-ES"/>
        </w:rPr>
        <w:t>es decir, o no es cierto lo que se afirma en las razones de hecho, o no hay correspondencia entre tales razones y los supuestos de derecho que se aducen para proferir el acto.</w:t>
      </w:r>
    </w:p>
    <w:p w:rsidR="00C85E39" w:rsidRPr="00C96730" w:rsidRDefault="00C85E39" w:rsidP="00C85E39">
      <w:pPr>
        <w:tabs>
          <w:tab w:val="left" w:pos="680"/>
          <w:tab w:val="left" w:pos="964"/>
        </w:tabs>
        <w:autoSpaceDE w:val="0"/>
        <w:autoSpaceDN w:val="0"/>
        <w:adjustRightInd w:val="0"/>
        <w:spacing w:after="0"/>
        <w:ind w:left="567"/>
        <w:jc w:val="both"/>
        <w:rPr>
          <w:rFonts w:ascii="Century Gothic" w:eastAsia="Times New Roman" w:hAnsi="Century Gothic" w:cs="Arial"/>
          <w:i/>
          <w:sz w:val="20"/>
          <w:szCs w:val="20"/>
          <w:lang w:val="es-CO" w:eastAsia="es-ES"/>
        </w:rPr>
      </w:pPr>
    </w:p>
    <w:p w:rsidR="00C85E39" w:rsidRPr="00C96730" w:rsidRDefault="00C85E39" w:rsidP="00C85E39">
      <w:pPr>
        <w:tabs>
          <w:tab w:val="left" w:pos="-2550"/>
          <w:tab w:val="left" w:pos="-1830"/>
          <w:tab w:val="left" w:pos="-1110"/>
          <w:tab w:val="left" w:pos="-390"/>
        </w:tabs>
        <w:suppressAutoHyphens/>
        <w:overflowPunct w:val="0"/>
        <w:autoSpaceDE w:val="0"/>
        <w:autoSpaceDN w:val="0"/>
        <w:adjustRightInd w:val="0"/>
        <w:spacing w:after="0"/>
        <w:ind w:right="45"/>
        <w:jc w:val="both"/>
        <w:textAlignment w:val="baseline"/>
        <w:rPr>
          <w:rFonts w:ascii="Century Gothic" w:eastAsia="Times New Roman" w:hAnsi="Century Gothic" w:cs="Arial"/>
          <w:sz w:val="20"/>
          <w:szCs w:val="20"/>
          <w:lang w:val="es-ES_tradnl" w:eastAsia="es-ES"/>
        </w:rPr>
      </w:pPr>
      <w:r w:rsidRPr="00C96730">
        <w:rPr>
          <w:rFonts w:ascii="Century Gothic" w:eastAsia="Times New Roman" w:hAnsi="Century Gothic" w:cs="Arial"/>
          <w:i/>
          <w:sz w:val="20"/>
          <w:szCs w:val="20"/>
          <w:lang w:val="es-CO" w:eastAsia="es-ES"/>
        </w:rPr>
        <w:t xml:space="preserve">Ahora bien, debe precisarse que una cosa es la </w:t>
      </w:r>
      <w:r w:rsidRPr="00C96730">
        <w:rPr>
          <w:rFonts w:ascii="Century Gothic" w:eastAsia="Times New Roman" w:hAnsi="Century Gothic" w:cs="Arial"/>
          <w:bCs/>
          <w:i/>
          <w:iCs/>
          <w:sz w:val="20"/>
          <w:szCs w:val="20"/>
          <w:lang w:val="es-CO" w:eastAsia="es-ES"/>
        </w:rPr>
        <w:t xml:space="preserve">falsa </w:t>
      </w:r>
      <w:r w:rsidRPr="00C96730">
        <w:rPr>
          <w:rFonts w:ascii="Century Gothic" w:eastAsia="Times New Roman" w:hAnsi="Century Gothic" w:cs="Arial"/>
          <w:i/>
          <w:sz w:val="20"/>
          <w:szCs w:val="20"/>
          <w:lang w:val="es-CO" w:eastAsia="es-ES"/>
        </w:rPr>
        <w:t xml:space="preserve">motivación y otra la </w:t>
      </w:r>
      <w:r w:rsidRPr="00C96730">
        <w:rPr>
          <w:rFonts w:ascii="Century Gothic" w:eastAsia="Times New Roman" w:hAnsi="Century Gothic" w:cs="Arial"/>
          <w:bCs/>
          <w:i/>
          <w:sz w:val="20"/>
          <w:szCs w:val="20"/>
          <w:lang w:val="es-CO" w:eastAsia="es-ES"/>
        </w:rPr>
        <w:t>falta de</w:t>
      </w:r>
      <w:r w:rsidRPr="00C96730">
        <w:rPr>
          <w:rFonts w:ascii="Century Gothic" w:eastAsia="Times New Roman" w:hAnsi="Century Gothic" w:cs="Arial"/>
          <w:i/>
          <w:sz w:val="20"/>
          <w:szCs w:val="20"/>
          <w:lang w:val="es-CO" w:eastAsia="es-ES"/>
        </w:rPr>
        <w:t xml:space="preserve"> motivación: la primera, es un evento sustancial, que atañe a la realidad fáctica y jurídica del acto administrativo, y la segunda, es un aspecto procedimental, formal, ya que corresponde a la omisión en hacer expresos o manifiestos en el acto administrativo los motivos del mismo. La falsa motivación plantea para el juzgador un problema probatorio, de confrontación de dos </w:t>
      </w:r>
      <w:r w:rsidRPr="00C96730">
        <w:rPr>
          <w:rFonts w:ascii="Century Gothic" w:eastAsia="Times New Roman" w:hAnsi="Century Gothic" w:cs="Arial"/>
          <w:i/>
          <w:sz w:val="20"/>
          <w:szCs w:val="20"/>
          <w:lang w:val="es-CO" w:eastAsia="es-ES"/>
        </w:rPr>
        <w:lastRenderedPageBreak/>
        <w:t xml:space="preserve">extremos, como son lo dicho en el acto y la realidad fáctica atinente al mismo, con miras a comprobar la veracidad; también plantea un juicio lógico de correspondencia entre la realidad constatada y la consecuencia jurídica que se pretende desprender de ella, cuando la primera resulta demostrada. De otro lado, la falta de motivación le significa un problema de valoración directa del cuerpo o contenido del acto sobre si se expresan o indican razones para su expedición, y si lo dicho es suficiente como para tenerse como motivación […]” </w:t>
      </w:r>
      <w:r w:rsidRPr="00C96730">
        <w:rPr>
          <w:rFonts w:ascii="Century Gothic" w:eastAsia="Calibri" w:hAnsi="Century Gothic" w:cs="Arial"/>
          <w:bCs/>
          <w:sz w:val="20"/>
          <w:szCs w:val="20"/>
          <w:lang w:val="es-CO"/>
        </w:rPr>
        <w:t>(negrillas fuera de texto).</w:t>
      </w:r>
    </w:p>
    <w:p w:rsidR="00C85E39" w:rsidRPr="00D629DE" w:rsidRDefault="00C85E39" w:rsidP="00C85E39">
      <w:pPr>
        <w:tabs>
          <w:tab w:val="left" w:pos="-2550"/>
          <w:tab w:val="left" w:pos="-1830"/>
          <w:tab w:val="left" w:pos="-1110"/>
          <w:tab w:val="left" w:pos="-390"/>
        </w:tabs>
        <w:suppressAutoHyphens/>
        <w:overflowPunct w:val="0"/>
        <w:autoSpaceDE w:val="0"/>
        <w:autoSpaceDN w:val="0"/>
        <w:adjustRightInd w:val="0"/>
        <w:spacing w:after="0"/>
        <w:ind w:right="45"/>
        <w:jc w:val="both"/>
        <w:textAlignment w:val="baseline"/>
        <w:rPr>
          <w:rFonts w:ascii="Century Gothic" w:eastAsia="Times New Roman" w:hAnsi="Century Gothic" w:cs="Arial"/>
          <w:sz w:val="24"/>
          <w:szCs w:val="24"/>
          <w:lang w:val="es-ES_tradnl" w:eastAsia="es-ES"/>
        </w:rPr>
      </w:pPr>
    </w:p>
    <w:p w:rsidR="00C85E39" w:rsidRPr="008A66F6" w:rsidRDefault="00C85E39" w:rsidP="00C85E39">
      <w:pPr>
        <w:pStyle w:val="Prrafodelista"/>
        <w:spacing w:after="0"/>
        <w:ind w:left="0"/>
        <w:jc w:val="both"/>
        <w:rPr>
          <w:rFonts w:ascii="Century Gothic" w:hAnsi="Century Gothic"/>
          <w:b/>
          <w:sz w:val="24"/>
          <w:szCs w:val="24"/>
        </w:rPr>
      </w:pPr>
      <w:r w:rsidRPr="008A66F6">
        <w:rPr>
          <w:rFonts w:ascii="Century Gothic" w:hAnsi="Century Gothic" w:cs="Arial"/>
          <w:b/>
          <w:sz w:val="24"/>
          <w:szCs w:val="24"/>
        </w:rPr>
        <w:t xml:space="preserve">5. Caso concreto </w:t>
      </w:r>
    </w:p>
    <w:p w:rsidR="00C85E39" w:rsidRPr="008A66F6" w:rsidRDefault="00C85E39" w:rsidP="00C85E39">
      <w:pPr>
        <w:pStyle w:val="Prrafodelista"/>
        <w:spacing w:after="0"/>
        <w:ind w:left="0"/>
        <w:jc w:val="both"/>
        <w:rPr>
          <w:rFonts w:ascii="Century Gothic" w:hAnsi="Century Gothic"/>
          <w:b/>
          <w:sz w:val="24"/>
          <w:szCs w:val="24"/>
        </w:rPr>
      </w:pPr>
    </w:p>
    <w:p w:rsidR="00C85E39" w:rsidRDefault="00C85E39" w:rsidP="00C85E39">
      <w:pPr>
        <w:pStyle w:val="Prrafodelista"/>
        <w:spacing w:after="0"/>
        <w:ind w:left="0"/>
        <w:jc w:val="both"/>
        <w:rPr>
          <w:rFonts w:ascii="Century Gothic" w:hAnsi="Century Gothic"/>
          <w:b/>
          <w:sz w:val="24"/>
          <w:szCs w:val="24"/>
        </w:rPr>
      </w:pPr>
      <w:r w:rsidRPr="008A66F6">
        <w:rPr>
          <w:rFonts w:ascii="Century Gothic" w:hAnsi="Century Gothic"/>
          <w:b/>
          <w:sz w:val="24"/>
          <w:szCs w:val="24"/>
        </w:rPr>
        <w:t xml:space="preserve">5.1. Hechos relevantes probados </w:t>
      </w:r>
    </w:p>
    <w:p w:rsidR="00C85E39" w:rsidRPr="007E1C53" w:rsidRDefault="00C85E39" w:rsidP="00C85E39">
      <w:pPr>
        <w:pStyle w:val="Prrafodelista"/>
        <w:spacing w:after="0"/>
        <w:ind w:left="0"/>
        <w:jc w:val="both"/>
        <w:rPr>
          <w:rFonts w:ascii="Century Gothic" w:hAnsi="Century Gothic"/>
          <w:b/>
          <w:sz w:val="24"/>
          <w:szCs w:val="24"/>
        </w:rPr>
      </w:pPr>
    </w:p>
    <w:p w:rsidR="00C85E39" w:rsidRPr="008A66F6" w:rsidRDefault="00C85E39" w:rsidP="00C85E39">
      <w:pPr>
        <w:pStyle w:val="Prrafodelista"/>
        <w:spacing w:after="0"/>
        <w:ind w:left="0"/>
        <w:jc w:val="both"/>
        <w:rPr>
          <w:rFonts w:ascii="Century Gothic" w:hAnsi="Century Gothic"/>
          <w:sz w:val="24"/>
          <w:szCs w:val="24"/>
        </w:rPr>
      </w:pPr>
      <w:r w:rsidRPr="008A66F6">
        <w:rPr>
          <w:rFonts w:ascii="Century Gothic" w:hAnsi="Century Gothic"/>
          <w:sz w:val="24"/>
          <w:szCs w:val="24"/>
        </w:rPr>
        <w:t xml:space="preserve">De conformidad con las pruebas obrantes dentro del expediente, se tiene acreditado lo siguiente: </w:t>
      </w:r>
    </w:p>
    <w:p w:rsidR="00C85E39" w:rsidRPr="008A66F6" w:rsidRDefault="00C85E39" w:rsidP="00C85E39">
      <w:pPr>
        <w:pStyle w:val="Prrafodelista"/>
        <w:spacing w:after="0"/>
        <w:ind w:left="0"/>
        <w:jc w:val="both"/>
        <w:rPr>
          <w:rFonts w:ascii="Century Gothic" w:hAnsi="Century Gothic"/>
          <w:b/>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A folio 30 a 40</w:t>
      </w:r>
      <w:r w:rsidRPr="00A27E96">
        <w:rPr>
          <w:rFonts w:ascii="Century Gothic" w:hAnsi="Century Gothic"/>
          <w:sz w:val="24"/>
          <w:szCs w:val="24"/>
        </w:rPr>
        <w:t xml:space="preserve"> del expediente se encuentra </w:t>
      </w:r>
      <w:r>
        <w:rPr>
          <w:rFonts w:ascii="Century Gothic" w:hAnsi="Century Gothic"/>
          <w:sz w:val="24"/>
          <w:szCs w:val="24"/>
        </w:rPr>
        <w:t xml:space="preserve">la Resolución No. 0004734 del 15 de agosto del 2013 proferida por la Dirección Seccional de Aduanas de Cartagena División de Gestión de fiscalización mediante el cual </w:t>
      </w:r>
      <w:r w:rsidRPr="00295009">
        <w:rPr>
          <w:rFonts w:ascii="Century Gothic" w:hAnsi="Century Gothic"/>
          <w:sz w:val="24"/>
          <w:szCs w:val="24"/>
        </w:rPr>
        <w:t xml:space="preserve">se ordena DECOMISAR </w:t>
      </w:r>
      <w:r>
        <w:rPr>
          <w:rFonts w:ascii="Century Gothic" w:hAnsi="Century Gothic"/>
          <w:sz w:val="24"/>
          <w:szCs w:val="24"/>
        </w:rPr>
        <w:t>un vehículo</w:t>
      </w:r>
      <w:r w:rsidRPr="00295009">
        <w:rPr>
          <w:rFonts w:ascii="Century Gothic" w:hAnsi="Century Gothic"/>
          <w:sz w:val="24"/>
          <w:szCs w:val="24"/>
        </w:rPr>
        <w:t xml:space="preserve"> de propiedad </w:t>
      </w:r>
      <w:r>
        <w:rPr>
          <w:rFonts w:ascii="Century Gothic" w:hAnsi="Century Gothic"/>
          <w:sz w:val="24"/>
          <w:szCs w:val="24"/>
        </w:rPr>
        <w:t xml:space="preserve">de los señores FREDDY ALEXANDER ALBA CAMARGO y DANIEL GARCIA ACERO, por encontrarse incursa en la causar prevista en el numeral 1.6 del artículo 502 del Decreto 2685 de 1999. </w:t>
      </w:r>
    </w:p>
    <w:p w:rsidR="00C85E39" w:rsidRDefault="00C85E39" w:rsidP="00C85E39">
      <w:pPr>
        <w:pStyle w:val="Prrafodelista"/>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A folio 41 a 49 obra Resolución No. 000944 del 29 de noviembre del 2913 mediante la cual se resuelve recurso de reconsideración y se confirmar la Resolución No. 0004734 del 15 de agosto del 2013.</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acta de aprehensión No. 834 del 31 de mayo de 2013 mediante el cual la DIAN aprehende el vehículo al considerar que los seriales de identificación se encuentran borrados y el número de chasis que porta pregrabado no corresponde al vehículo y no tiene documento que importación que ampare su lega</w:t>
      </w:r>
      <w:r w:rsidRPr="00B1077B">
        <w:rPr>
          <w:rFonts w:ascii="Century Gothic" w:hAnsi="Century Gothic"/>
          <w:sz w:val="24"/>
          <w:szCs w:val="24"/>
        </w:rPr>
        <w:t>l permanencia. (Fl. 50-51)</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comunicación de fecha 8 de mayo el 2013 mediante el cual el Jefe de la División de Fiscalización de la Aduana de Bogota solicita a la seccional de Cartagena copia de la Liquidación Oficial de Corrección de Saneamiento No. 10115 del 2 de septiembre de 1993 mediante la cual se aceptó la declaración de saneamiento No. 002572 del 2 de octubre de 1991.(Fl 52)</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lastRenderedPageBreak/>
        <w:t>Obra en el sub examine correo electrónico de fecha 20 de mayo del 2013 mediante la cual la Aduana de Cartagena informa que se realizó la busque de la documentación sin éxito.(Fl. 53)</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memorial de fecha 22 de abril de 1992 mediante el cual el señor JAIME DIRAN MOSQUERA se acoge al beneficio de Saneamiento Aduanero con el fin de completar el 25% y que el vehículo quede completamente legalizado. (Fl.64)</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comunicación de fecha 29 de enero del 199 mediante el cual la DIAN le informa al señor OSCAR JAIME MOSQUERA los parámetros que deben tomarse en cuenta para aplicar el Decreto 1829 de 1995 reglamentado por el artículo 1 de la Ley 174 de 1994. (Fl. 66-67)</w:t>
      </w:r>
    </w:p>
    <w:p w:rsidR="00C85E39" w:rsidRPr="00556033" w:rsidRDefault="00C85E39" w:rsidP="00C85E39">
      <w:pPr>
        <w:spacing w:after="0"/>
        <w:jc w:val="both"/>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Declaración de Saneamiento No. 831 del 2 de octubre de 1991 de la mercancía descrita así: CABEZOTE TRACTOMULA FORD 9000, MODELO 1985, MOTOR DIESEL TIPO 350 CUMMIS 6112 3414, CHSIS IF-90 KH60502. (Fl. 68-69)</w:t>
      </w:r>
    </w:p>
    <w:p w:rsidR="00C85E39" w:rsidRPr="00556033" w:rsidRDefault="00C85E39" w:rsidP="00C85E39">
      <w:pPr>
        <w:pStyle w:val="Prrafodelista"/>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“ACTA DE ENTREGA Y RECIBO DE VEHICULO AUTOMOTOR TIPO TRACTO CAMION” (Fl. 79-80)</w:t>
      </w:r>
    </w:p>
    <w:p w:rsidR="00C85E39" w:rsidRPr="00E26541" w:rsidRDefault="00C85E39" w:rsidP="00C85E39">
      <w:pPr>
        <w:pStyle w:val="Prrafodelista"/>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“ACTA DE ACUERDO” de fecha 8 de septiembre del 2013 en la cual el señor OSCAR JAIME DURAN MOSQUERA le entregará la suma de $80.000.000 al señor JESUS LAITON MIRANDA y a cambio este le entregara al señor DURAN MOSQUERA un vehículo tracto camión. (Fl. 82)</w:t>
      </w:r>
    </w:p>
    <w:p w:rsidR="00C85E39" w:rsidRPr="00691E03" w:rsidRDefault="00C85E39" w:rsidP="00C85E39">
      <w:pPr>
        <w:pStyle w:val="Prrafodelista"/>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ACTA DE CESION DE DERECHOS en la cual el señor FREDY ALEANDER ALBA CAMARGO Y JORGE ENRIQUE BECERRA le ceden al señor OSCAR JAIME DURNA MOSQUERA un vehiculo automotor placas: TUQ-000 marca: FORD, tipo: REMOLQUE, color: ROJO modelo 1985, numero de motor: 11213414, numero de chasis: F90KAH60502. (Fl. 84-85)</w:t>
      </w:r>
    </w:p>
    <w:p w:rsidR="00C85E39" w:rsidRPr="00AE6947" w:rsidRDefault="00C85E39" w:rsidP="00C85E39">
      <w:pPr>
        <w:pStyle w:val="Prrafodelista"/>
        <w:rPr>
          <w:rFonts w:ascii="Century Gothic" w:hAnsi="Century Gothic"/>
          <w:sz w:val="24"/>
          <w:szCs w:val="24"/>
        </w:rPr>
      </w:pPr>
    </w:p>
    <w:p w:rsidR="00C85E39"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t>Obra en el expediente acta de incautación de fecha 11 de abril del 2013 en la cual se incaute el tracto camión marca Ford, placas TUQ-000. (Fl 178)</w:t>
      </w:r>
    </w:p>
    <w:p w:rsidR="00C85E39" w:rsidRPr="00AE6947" w:rsidRDefault="00C85E39" w:rsidP="00C85E39">
      <w:pPr>
        <w:pStyle w:val="Prrafodelista"/>
        <w:rPr>
          <w:rFonts w:ascii="Century Gothic" w:hAnsi="Century Gothic"/>
          <w:sz w:val="24"/>
          <w:szCs w:val="24"/>
        </w:rPr>
      </w:pPr>
    </w:p>
    <w:p w:rsidR="00C85E39" w:rsidRPr="00B1077B" w:rsidRDefault="00C85E39" w:rsidP="00C85E39">
      <w:pPr>
        <w:pStyle w:val="Prrafodelista"/>
        <w:numPr>
          <w:ilvl w:val="0"/>
          <w:numId w:val="14"/>
        </w:numPr>
        <w:spacing w:after="0"/>
        <w:jc w:val="both"/>
        <w:rPr>
          <w:rFonts w:ascii="Century Gothic" w:hAnsi="Century Gothic"/>
          <w:sz w:val="24"/>
          <w:szCs w:val="24"/>
        </w:rPr>
      </w:pPr>
      <w:r>
        <w:rPr>
          <w:rFonts w:ascii="Century Gothic" w:hAnsi="Century Gothic"/>
          <w:sz w:val="24"/>
          <w:szCs w:val="24"/>
        </w:rPr>
        <w:lastRenderedPageBreak/>
        <w:t>Obra en el expediente INFORME INVESTIGADOR DE LABORATORIO FPJ-13 del 12 de abril del 2013 en el cual se concluyó que no fue posible la identificación del número de chasis y de seguridad, igualmente que el chasis que se encuentra grabado no corresponde al automotor. (Fl. 180-182)</w:t>
      </w:r>
    </w:p>
    <w:p w:rsidR="00C85E39" w:rsidRPr="00295009" w:rsidRDefault="00C85E39" w:rsidP="00C85E39">
      <w:pPr>
        <w:spacing w:after="0"/>
        <w:jc w:val="both"/>
        <w:rPr>
          <w:rFonts w:ascii="Century Gothic" w:hAnsi="Century Gothic"/>
          <w:sz w:val="24"/>
          <w:szCs w:val="24"/>
        </w:rPr>
      </w:pPr>
    </w:p>
    <w:p w:rsidR="00C85E39" w:rsidRPr="008A66F6" w:rsidRDefault="00C85E39" w:rsidP="00C85E39">
      <w:pPr>
        <w:spacing w:after="0"/>
        <w:jc w:val="both"/>
        <w:rPr>
          <w:rFonts w:ascii="Century Gothic" w:hAnsi="Century Gothic"/>
          <w:sz w:val="24"/>
          <w:szCs w:val="24"/>
          <w:u w:val="single"/>
        </w:rPr>
      </w:pPr>
      <w:r w:rsidRPr="008A66F6">
        <w:rPr>
          <w:rFonts w:ascii="Century Gothic" w:hAnsi="Century Gothic"/>
          <w:b/>
          <w:sz w:val="24"/>
          <w:szCs w:val="24"/>
        </w:rPr>
        <w:t>5.2. Análisis crítico de los hechos relevantes probados de cara al marco jurídico.</w:t>
      </w:r>
    </w:p>
    <w:p w:rsidR="00C85E39" w:rsidRDefault="00C85E39" w:rsidP="00C85E39">
      <w:pPr>
        <w:spacing w:after="0"/>
        <w:jc w:val="both"/>
        <w:rPr>
          <w:rFonts w:ascii="Century Gothic" w:hAnsi="Century Gothic"/>
          <w:sz w:val="24"/>
          <w:szCs w:val="24"/>
        </w:rPr>
      </w:pPr>
    </w:p>
    <w:p w:rsidR="00C85E39" w:rsidRPr="000C066E" w:rsidRDefault="00C85E39" w:rsidP="00C85E39">
      <w:pPr>
        <w:spacing w:after="0"/>
        <w:jc w:val="both"/>
        <w:rPr>
          <w:rFonts w:ascii="Century Gothic" w:hAnsi="Century Gothic" w:cs="Century Gothic"/>
          <w:bCs/>
          <w:sz w:val="24"/>
          <w:szCs w:val="24"/>
        </w:rPr>
      </w:pPr>
      <w:r w:rsidRPr="000C066E">
        <w:rPr>
          <w:rFonts w:ascii="Century Gothic" w:hAnsi="Century Gothic" w:cs="Arial"/>
          <w:sz w:val="24"/>
          <w:szCs w:val="24"/>
        </w:rPr>
        <w:t>En el sub exam</w:t>
      </w:r>
      <w:r>
        <w:rPr>
          <w:rFonts w:ascii="Century Gothic" w:hAnsi="Century Gothic" w:cs="Arial"/>
          <w:sz w:val="24"/>
          <w:szCs w:val="24"/>
        </w:rPr>
        <w:t xml:space="preserve">ine, se demanda la nulidad de </w:t>
      </w:r>
      <w:r w:rsidRPr="000C066E">
        <w:rPr>
          <w:rFonts w:ascii="Century Gothic" w:hAnsi="Century Gothic" w:cs="Century Gothic"/>
          <w:bCs/>
          <w:sz w:val="24"/>
          <w:szCs w:val="24"/>
        </w:rPr>
        <w:t xml:space="preserve">la Resolución No. 03-238-421-636-1-000-4734 del 15 de agosto de 2013 </w:t>
      </w:r>
      <w:r>
        <w:rPr>
          <w:rFonts w:ascii="Century Gothic" w:hAnsi="Century Gothic" w:cs="Century Gothic"/>
          <w:bCs/>
          <w:sz w:val="24"/>
          <w:szCs w:val="24"/>
        </w:rPr>
        <w:t>expedida</w:t>
      </w:r>
      <w:r w:rsidRPr="000C066E">
        <w:rPr>
          <w:rFonts w:ascii="Century Gothic" w:hAnsi="Century Gothic" w:cs="Century Gothic"/>
          <w:bCs/>
          <w:sz w:val="24"/>
          <w:szCs w:val="24"/>
        </w:rPr>
        <w:t xml:space="preserve"> por la Dirección</w:t>
      </w:r>
      <w:r>
        <w:rPr>
          <w:rFonts w:ascii="Century Gothic" w:hAnsi="Century Gothic" w:cs="Century Gothic"/>
          <w:bCs/>
          <w:sz w:val="24"/>
          <w:szCs w:val="24"/>
        </w:rPr>
        <w:t xml:space="preserve"> Seccional de Aduanas de Bogotá</w:t>
      </w:r>
      <w:r w:rsidRPr="00DE2F85">
        <w:rPr>
          <w:rFonts w:ascii="Century Gothic" w:hAnsi="Century Gothic"/>
          <w:sz w:val="24"/>
          <w:szCs w:val="24"/>
        </w:rPr>
        <w:t>, mediante la</w:t>
      </w:r>
      <w:r>
        <w:rPr>
          <w:rFonts w:ascii="Century Gothic" w:hAnsi="Century Gothic"/>
          <w:sz w:val="24"/>
          <w:szCs w:val="24"/>
        </w:rPr>
        <w:t xml:space="preserve"> </w:t>
      </w:r>
      <w:r w:rsidRPr="00DE2F85">
        <w:rPr>
          <w:rFonts w:ascii="Century Gothic" w:hAnsi="Century Gothic"/>
          <w:sz w:val="24"/>
          <w:szCs w:val="24"/>
        </w:rPr>
        <w:t>cual</w:t>
      </w:r>
      <w:r>
        <w:rPr>
          <w:rFonts w:ascii="Century Gothic" w:hAnsi="Century Gothic"/>
          <w:sz w:val="24"/>
          <w:szCs w:val="24"/>
        </w:rPr>
        <w:t xml:space="preserve"> se ordenó DECOMISAR un</w:t>
      </w:r>
      <w:r w:rsidRPr="00DE2F85">
        <w:rPr>
          <w:rFonts w:ascii="Century Gothic" w:hAnsi="Century Gothic"/>
          <w:sz w:val="24"/>
          <w:szCs w:val="24"/>
        </w:rPr>
        <w:t xml:space="preserve"> </w:t>
      </w:r>
      <w:r>
        <w:rPr>
          <w:rFonts w:ascii="Century Gothic" w:hAnsi="Century Gothic"/>
          <w:sz w:val="24"/>
          <w:szCs w:val="24"/>
        </w:rPr>
        <w:t xml:space="preserve">vehículo de propiedad actualmente del señor OSCAR JAIME DURAN MOSQUERA y de la </w:t>
      </w:r>
      <w:r w:rsidRPr="00DE2F85">
        <w:rPr>
          <w:rFonts w:ascii="Century Gothic" w:hAnsi="Century Gothic"/>
          <w:sz w:val="24"/>
          <w:szCs w:val="24"/>
        </w:rPr>
        <w:t xml:space="preserve"> </w:t>
      </w:r>
      <w:r w:rsidRPr="000C066E">
        <w:rPr>
          <w:rFonts w:ascii="Century Gothic" w:hAnsi="Century Gothic" w:cs="Century Gothic"/>
          <w:bCs/>
          <w:sz w:val="24"/>
          <w:szCs w:val="24"/>
        </w:rPr>
        <w:t>Resolución 03-236-408-601-944 del 29 de noviembre de 2013</w:t>
      </w:r>
      <w:r w:rsidRPr="00DE2F85">
        <w:rPr>
          <w:rFonts w:ascii="Century Gothic" w:hAnsi="Century Gothic"/>
          <w:sz w:val="24"/>
          <w:szCs w:val="24"/>
        </w:rPr>
        <w:t>, confirmatoria de la anterior resolución.</w:t>
      </w:r>
      <w:r w:rsidRPr="0024195E">
        <w:rPr>
          <w:rFonts w:ascii="Century Gothic" w:hAnsi="Century Gothic"/>
          <w:i/>
          <w:sz w:val="24"/>
          <w:szCs w:val="24"/>
        </w:rPr>
        <w:t xml:space="preserve"> </w:t>
      </w:r>
    </w:p>
    <w:p w:rsidR="00C85E39" w:rsidRPr="0024195E" w:rsidRDefault="00C85E39" w:rsidP="00C85E39">
      <w:pPr>
        <w:spacing w:after="0" w:line="300" w:lineRule="auto"/>
        <w:jc w:val="both"/>
        <w:rPr>
          <w:rFonts w:ascii="Century Gothic" w:hAnsi="Century Gothic" w:cs="Arial"/>
          <w:sz w:val="24"/>
          <w:szCs w:val="24"/>
        </w:rPr>
      </w:pPr>
    </w:p>
    <w:p w:rsidR="00C85E39" w:rsidRDefault="00C85E39" w:rsidP="00C85E39">
      <w:pPr>
        <w:spacing w:after="0" w:line="300" w:lineRule="auto"/>
        <w:jc w:val="both"/>
        <w:rPr>
          <w:rFonts w:ascii="Century Gothic" w:hAnsi="Century Gothic" w:cs="Arial"/>
          <w:sz w:val="24"/>
          <w:szCs w:val="24"/>
        </w:rPr>
      </w:pPr>
      <w:r>
        <w:rPr>
          <w:rFonts w:ascii="Century Gothic" w:hAnsi="Century Gothic" w:cs="Arial"/>
          <w:sz w:val="24"/>
          <w:szCs w:val="24"/>
        </w:rPr>
        <w:t>L</w:t>
      </w:r>
      <w:r w:rsidRPr="00E0010C">
        <w:rPr>
          <w:rFonts w:ascii="Century Gothic" w:hAnsi="Century Gothic" w:cs="Arial"/>
          <w:sz w:val="24"/>
          <w:szCs w:val="24"/>
        </w:rPr>
        <w:t xml:space="preserve">a Administración Especial de Aduanas de </w:t>
      </w:r>
      <w:r>
        <w:rPr>
          <w:rFonts w:ascii="Century Gothic" w:hAnsi="Century Gothic" w:cs="Arial"/>
          <w:sz w:val="24"/>
          <w:szCs w:val="24"/>
        </w:rPr>
        <w:t>Bogotá</w:t>
      </w:r>
      <w:r w:rsidRPr="00E0010C">
        <w:rPr>
          <w:rFonts w:ascii="Century Gothic" w:hAnsi="Century Gothic" w:cs="Arial"/>
          <w:sz w:val="24"/>
          <w:szCs w:val="24"/>
        </w:rPr>
        <w:t xml:space="preserve">, a través de los actos  demandados, </w:t>
      </w:r>
      <w:r w:rsidRPr="00D43CE8">
        <w:rPr>
          <w:rFonts w:ascii="Century Gothic" w:hAnsi="Century Gothic" w:cs="Arial"/>
          <w:sz w:val="24"/>
          <w:szCs w:val="24"/>
        </w:rPr>
        <w:t>decomisó a favor de la Na</w:t>
      </w:r>
      <w:r>
        <w:rPr>
          <w:rFonts w:ascii="Century Gothic" w:hAnsi="Century Gothic" w:cs="Arial"/>
          <w:sz w:val="24"/>
          <w:szCs w:val="24"/>
        </w:rPr>
        <w:t xml:space="preserve">ción un vehículo tipo tracto camión de propiedad del actor, </w:t>
      </w:r>
      <w:r w:rsidRPr="00D43CE8">
        <w:rPr>
          <w:rFonts w:ascii="Century Gothic" w:hAnsi="Century Gothic" w:cs="Arial"/>
          <w:sz w:val="24"/>
          <w:szCs w:val="24"/>
        </w:rPr>
        <w:t xml:space="preserve">por considerar que </w:t>
      </w:r>
      <w:r>
        <w:rPr>
          <w:rFonts w:ascii="Century Gothic" w:hAnsi="Century Gothic" w:cs="Arial"/>
          <w:sz w:val="24"/>
          <w:szCs w:val="24"/>
        </w:rPr>
        <w:t xml:space="preserve">la mercancía se encuentra inmersa la causal de aprehensión y decomiso tipificada en el numeral 1.6 del artículo 502 del Decreto 2685 de 1999, toda vez que a su juicio el número de chasis se dictamina GRABADO NO ORIGINAL, es decir que la numeración original fue borrada y el número de seguridad no fue posible su identificación por la pérdida del material o por tener soldado una lámina de acero sobre ella, por lo que advierten que el vehículo objeto de aprehensión no se encuentra plenamente identificado por lo que no es posible establecer que dicho automotor se encuentra amparado en declaración de importación alguna. </w:t>
      </w:r>
    </w:p>
    <w:p w:rsidR="00C85E39" w:rsidRDefault="00C85E39" w:rsidP="00C85E39">
      <w:pPr>
        <w:spacing w:after="0" w:line="300" w:lineRule="auto"/>
        <w:jc w:val="both"/>
        <w:rPr>
          <w:rFonts w:ascii="Century Gothic" w:hAnsi="Century Gothic" w:cs="Arial"/>
          <w:sz w:val="24"/>
          <w:szCs w:val="24"/>
        </w:rPr>
      </w:pPr>
    </w:p>
    <w:p w:rsidR="00C85E39" w:rsidRPr="0040785D" w:rsidRDefault="00C85E39" w:rsidP="00C85E39">
      <w:pPr>
        <w:spacing w:after="0" w:line="300" w:lineRule="auto"/>
        <w:jc w:val="both"/>
        <w:rPr>
          <w:rFonts w:ascii="Century Gothic" w:hAnsi="Century Gothic" w:cs="Arial"/>
          <w:sz w:val="24"/>
          <w:szCs w:val="24"/>
        </w:rPr>
      </w:pPr>
    </w:p>
    <w:p w:rsidR="00C85E39" w:rsidRDefault="00C85E39" w:rsidP="00C85E39">
      <w:pPr>
        <w:suppressAutoHyphens/>
        <w:spacing w:after="0"/>
        <w:jc w:val="both"/>
        <w:rPr>
          <w:rFonts w:ascii="Century Gothic" w:hAnsi="Century Gothic"/>
          <w:iCs/>
          <w:sz w:val="24"/>
          <w:szCs w:val="24"/>
        </w:rPr>
      </w:pPr>
      <w:r w:rsidRPr="0040785D">
        <w:rPr>
          <w:rFonts w:ascii="Century Gothic" w:hAnsi="Century Gothic"/>
          <w:sz w:val="24"/>
          <w:szCs w:val="24"/>
        </w:rPr>
        <w:t xml:space="preserve">La parte actora, argumentó </w:t>
      </w:r>
      <w:r>
        <w:rPr>
          <w:rFonts w:ascii="Century Gothic" w:hAnsi="Century Gothic"/>
          <w:iCs/>
          <w:sz w:val="24"/>
          <w:szCs w:val="24"/>
        </w:rPr>
        <w:t xml:space="preserve">que presentó la declaración de saneamiento No. 002572 del 2 de octubre de 1991 con la cual se saneo la mercancía que se encuentra decomisada, igualmente que existió falta de diligencia por parte de la DIAN en buscar y encontrar el expediente original que reposa en sus archivos en donde se encuentra todo el trámite de saneamiento que hace alusión la declaración No. 002572 del 2 de octubre de 1991. </w:t>
      </w:r>
    </w:p>
    <w:p w:rsidR="00C85E39" w:rsidRDefault="00C85E39" w:rsidP="00C85E39">
      <w:pPr>
        <w:suppressAutoHyphens/>
        <w:spacing w:after="0"/>
        <w:jc w:val="both"/>
        <w:rPr>
          <w:rFonts w:ascii="Century Gothic" w:hAnsi="Century Gothic"/>
          <w:iCs/>
          <w:sz w:val="24"/>
          <w:szCs w:val="24"/>
        </w:rPr>
      </w:pPr>
    </w:p>
    <w:p w:rsidR="00C85E39" w:rsidRDefault="00C85E39" w:rsidP="00C85E39">
      <w:pPr>
        <w:suppressAutoHyphens/>
        <w:spacing w:after="0"/>
        <w:jc w:val="both"/>
        <w:rPr>
          <w:rFonts w:ascii="Century Gothic" w:hAnsi="Century Gothic"/>
          <w:iCs/>
          <w:sz w:val="24"/>
          <w:szCs w:val="24"/>
        </w:rPr>
      </w:pPr>
      <w:r>
        <w:rPr>
          <w:rFonts w:ascii="Century Gothic" w:hAnsi="Century Gothic"/>
          <w:iCs/>
          <w:sz w:val="24"/>
          <w:szCs w:val="24"/>
        </w:rPr>
        <w:t xml:space="preserve">Señala que con el acta de aprehensión sirvió de base para la expedición de las resoluciones acusadas de nulas se viola la causal No. 1.6 del artículo 502 del </w:t>
      </w:r>
      <w:r>
        <w:rPr>
          <w:rFonts w:ascii="Century Gothic" w:hAnsi="Century Gothic"/>
          <w:iCs/>
          <w:sz w:val="24"/>
          <w:szCs w:val="24"/>
        </w:rPr>
        <w:lastRenderedPageBreak/>
        <w:t>Decreto 2685 de 1999 toda vez que se exige que la mercancía no este amparada por una declaración de importación, lo cual no ocurre en el sub examine pues la mercancía se encuentra amparada por la declaración de saneamiento No. 002572 del 2 de octubre de 1991, sin embargo, la misma se encuentra extraviada en los archivos de la DIAN.</w:t>
      </w:r>
    </w:p>
    <w:p w:rsidR="00C85E39" w:rsidRDefault="00C85E39" w:rsidP="00C85E39">
      <w:pPr>
        <w:spacing w:after="0"/>
        <w:jc w:val="both"/>
        <w:rPr>
          <w:rFonts w:ascii="Century Gothic" w:hAnsi="Century Gothic"/>
          <w:sz w:val="24"/>
          <w:szCs w:val="24"/>
        </w:rPr>
      </w:pPr>
    </w:p>
    <w:p w:rsidR="00C85E39" w:rsidRPr="00A7445E" w:rsidRDefault="00C85E39" w:rsidP="00C85E39">
      <w:pPr>
        <w:spacing w:after="0"/>
        <w:jc w:val="both"/>
        <w:rPr>
          <w:rFonts w:ascii="Century Gothic" w:hAnsi="Century Gothic" w:cs="Century Gothic"/>
          <w:bCs/>
          <w:sz w:val="24"/>
          <w:szCs w:val="24"/>
        </w:rPr>
      </w:pPr>
      <w:r>
        <w:rPr>
          <w:rFonts w:ascii="Century Gothic" w:hAnsi="Century Gothic"/>
          <w:sz w:val="24"/>
          <w:szCs w:val="24"/>
        </w:rPr>
        <w:t xml:space="preserve">El juez en primera instancia </w:t>
      </w:r>
      <w:r w:rsidRPr="00080877">
        <w:rPr>
          <w:rFonts w:ascii="Century Gothic" w:hAnsi="Century Gothic" w:cs="Century Gothic"/>
          <w:bCs/>
          <w:sz w:val="24"/>
          <w:szCs w:val="24"/>
        </w:rPr>
        <w:t>deneg</w:t>
      </w:r>
      <w:r>
        <w:rPr>
          <w:rFonts w:ascii="Century Gothic" w:hAnsi="Century Gothic" w:cs="Century Gothic"/>
          <w:bCs/>
          <w:sz w:val="24"/>
          <w:szCs w:val="24"/>
        </w:rPr>
        <w:t>ó</w:t>
      </w:r>
      <w:r w:rsidRPr="00080877">
        <w:rPr>
          <w:rFonts w:ascii="Century Gothic" w:hAnsi="Century Gothic" w:cs="Century Gothic"/>
          <w:bCs/>
          <w:sz w:val="24"/>
          <w:szCs w:val="24"/>
        </w:rPr>
        <w:t xml:space="preserve"> </w:t>
      </w:r>
      <w:r>
        <w:rPr>
          <w:rFonts w:ascii="Century Gothic" w:hAnsi="Century Gothic" w:cs="Century Gothic"/>
          <w:bCs/>
          <w:sz w:val="24"/>
          <w:szCs w:val="24"/>
        </w:rPr>
        <w:t xml:space="preserve">las pretensiones de la demanda, aduciendo </w:t>
      </w:r>
      <w:r w:rsidRPr="00A7445E">
        <w:rPr>
          <w:rFonts w:ascii="Century Gothic" w:hAnsi="Century Gothic" w:cs="Century Gothic"/>
          <w:bCs/>
          <w:sz w:val="24"/>
          <w:szCs w:val="24"/>
        </w:rPr>
        <w:t>que la declaración de saneamiento No. 002572 del 2 de octubre de 1991 no puede amparar un vehículo en razón a que no pudo ser confirmado como individualizado con el chasis F90KH60502, que corresponde al modelo 1985 del camión aprehendido y decomisado, es decir que no hay certeza que el vehículo que fue objeto de aprehensión el 11 de abril de 2013 fuera el que estaba amparado don dicha declaración de saneamiento, toda vez que n</w:t>
      </w:r>
      <w:r>
        <w:rPr>
          <w:rFonts w:ascii="Century Gothic" w:hAnsi="Century Gothic" w:cs="Century Gothic"/>
          <w:bCs/>
          <w:sz w:val="24"/>
          <w:szCs w:val="24"/>
        </w:rPr>
        <w:t>o se pudo constatar el VIN No. d</w:t>
      </w:r>
      <w:r w:rsidRPr="00A7445E">
        <w:rPr>
          <w:rFonts w:ascii="Century Gothic" w:hAnsi="Century Gothic" w:cs="Century Gothic"/>
          <w:bCs/>
          <w:sz w:val="24"/>
          <w:szCs w:val="24"/>
        </w:rPr>
        <w:t xml:space="preserve">e chasis original por estar registrados dos vehículos con el mismo número de chasis que parece grabado en el automotor objeto del decomiso.  </w:t>
      </w:r>
    </w:p>
    <w:p w:rsidR="00C85E39" w:rsidRPr="00A7445E"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sidRPr="00A7445E">
        <w:rPr>
          <w:rFonts w:ascii="Century Gothic" w:hAnsi="Century Gothic" w:cs="Century Gothic"/>
          <w:bCs/>
          <w:sz w:val="24"/>
          <w:szCs w:val="24"/>
        </w:rPr>
        <w:t>Adujo el A quo en el fallo recurrido que, el demandante no demostró que el vehículo readquirido era el mismo objeto del saneamiento en el año 1991.</w:t>
      </w:r>
    </w:p>
    <w:p w:rsidR="00C85E39" w:rsidRDefault="00C85E39" w:rsidP="00C85E39">
      <w:pPr>
        <w:spacing w:after="0"/>
        <w:jc w:val="both"/>
        <w:rPr>
          <w:rFonts w:ascii="Century Gothic" w:hAnsi="Century Gothic"/>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sz w:val="24"/>
          <w:szCs w:val="24"/>
        </w:rPr>
        <w:t xml:space="preserve">En su recurso de alzada, la parte demandante argumenta que </w:t>
      </w:r>
      <w:r>
        <w:rPr>
          <w:rFonts w:ascii="Century Gothic" w:hAnsi="Century Gothic" w:cs="Century Gothic"/>
          <w:bCs/>
          <w:sz w:val="24"/>
          <w:szCs w:val="24"/>
        </w:rPr>
        <w:t xml:space="preserve">obtuvo la declaración por saneamiento No. 002572 del 2 de octubre de 1991 ante las adunadas de Cartagena respecto del vehículo (cabezote o tracto camión) que inicialmente se identificaba con la placa SBO 226 y que precisamente como consecuencia jurídica de ese saneamiento que se equiparo al manifiesto de importación dio lugar a que las autoridades de transito matricularan al mismo vehículo pero con la plata TUQ 000. </w:t>
      </w:r>
    </w:p>
    <w:p w:rsidR="00D45C4A" w:rsidRDefault="00D45C4A" w:rsidP="00C85E39">
      <w:pPr>
        <w:spacing w:after="0"/>
        <w:jc w:val="both"/>
        <w:rPr>
          <w:rFonts w:ascii="Century Gothic" w:hAnsi="Century Gothic" w:cs="Century Gothic"/>
          <w:bCs/>
          <w:sz w:val="24"/>
          <w:szCs w:val="24"/>
        </w:rPr>
      </w:pPr>
      <w:bookmarkStart w:id="0" w:name="_GoBack"/>
      <w:bookmarkEnd w:id="0"/>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 xml:space="preserve">Aduce que no es cierto que se trate de dos vehículos diferentes, sino de un mismo automotor en el que predominan las características contenidas en el señalado saneamiento aduanero, es decir, tractomula marca Ford, Modelo 1985, Color negro, Linea 9999, Motor 1123414, Diesel, Tipo CUMMIS y numero de Chasis F90K4H60502, dejándose constancia de que dicho tracto camión desde que tenía placa SBO 226 ya se encontraba con el chasis legalmente regrabado tal como se aprecia en la licencia No. 4007748 expedida por las autoridades de Tránsito y Transporte que cuentan con la expresión “rebg”. </w:t>
      </w:r>
    </w:p>
    <w:p w:rsidR="00C85E39" w:rsidRDefault="00C85E39" w:rsidP="00C85E39">
      <w:pPr>
        <w:spacing w:after="0"/>
        <w:jc w:val="both"/>
        <w:rPr>
          <w:rFonts w:ascii="Century Gothic" w:hAnsi="Century Gothic" w:cs="Century Gothic"/>
          <w:bCs/>
          <w:sz w:val="24"/>
          <w:szCs w:val="24"/>
        </w:rPr>
      </w:pPr>
    </w:p>
    <w:p w:rsidR="00C85E39" w:rsidRDefault="00C85E39" w:rsidP="00C85E39">
      <w:pPr>
        <w:spacing w:after="0"/>
        <w:jc w:val="both"/>
        <w:rPr>
          <w:rFonts w:ascii="Century Gothic" w:hAnsi="Century Gothic" w:cs="Century Gothic"/>
          <w:bCs/>
          <w:sz w:val="24"/>
          <w:szCs w:val="24"/>
        </w:rPr>
      </w:pPr>
      <w:r>
        <w:rPr>
          <w:rFonts w:ascii="Century Gothic" w:hAnsi="Century Gothic" w:cs="Century Gothic"/>
          <w:bCs/>
          <w:sz w:val="24"/>
          <w:szCs w:val="24"/>
        </w:rPr>
        <w:t xml:space="preserve">Afirma que ya había informado que antes de la mencionada declaración de saneamiento se había repotenciado el vehículo con piezas legalmente </w:t>
      </w:r>
      <w:r>
        <w:rPr>
          <w:rFonts w:ascii="Century Gothic" w:hAnsi="Century Gothic" w:cs="Century Gothic"/>
          <w:bCs/>
          <w:sz w:val="24"/>
          <w:szCs w:val="24"/>
        </w:rPr>
        <w:lastRenderedPageBreak/>
        <w:t xml:space="preserve">importadas, registradas ante las autoridades de Tránsito y Transporte cuando el vehículo se identificaba con placa SBO 226. </w:t>
      </w:r>
    </w:p>
    <w:p w:rsidR="00C85E39" w:rsidRDefault="00C85E39" w:rsidP="00C85E39">
      <w:pPr>
        <w:spacing w:after="0"/>
        <w:jc w:val="both"/>
        <w:rPr>
          <w:rFonts w:ascii="Century Gothic" w:hAnsi="Century Gothic"/>
          <w:sz w:val="24"/>
          <w:szCs w:val="24"/>
        </w:rPr>
      </w:pPr>
    </w:p>
    <w:p w:rsidR="00C85E39" w:rsidRDefault="00C85E39" w:rsidP="00C85E39">
      <w:pPr>
        <w:spacing w:after="0"/>
        <w:jc w:val="both"/>
        <w:rPr>
          <w:rFonts w:ascii="Century Gothic" w:hAnsi="Century Gothic"/>
          <w:sz w:val="24"/>
          <w:szCs w:val="24"/>
        </w:rPr>
      </w:pPr>
      <w:r>
        <w:rPr>
          <w:rFonts w:ascii="Century Gothic" w:hAnsi="Century Gothic"/>
          <w:sz w:val="24"/>
          <w:szCs w:val="24"/>
        </w:rPr>
        <w:t>En este contexto, procede la Sala a resolver el problema jurídico planteado, previas las siguientes consideraciones.</w:t>
      </w:r>
    </w:p>
    <w:p w:rsidR="00C85E39" w:rsidRDefault="00C85E39" w:rsidP="00C85E39">
      <w:pPr>
        <w:spacing w:after="0"/>
        <w:jc w:val="both"/>
        <w:rPr>
          <w:rFonts w:ascii="Century Gothic" w:hAnsi="Century Gothic"/>
          <w:sz w:val="24"/>
          <w:szCs w:val="24"/>
        </w:rPr>
      </w:pPr>
      <w:r>
        <w:rPr>
          <w:rFonts w:ascii="Century Gothic" w:hAnsi="Century Gothic"/>
          <w:sz w:val="24"/>
          <w:szCs w:val="24"/>
        </w:rPr>
        <w:t xml:space="preserve"> </w:t>
      </w:r>
    </w:p>
    <w:p w:rsidR="00C85E39" w:rsidRDefault="00C85E39" w:rsidP="00C85E39">
      <w:pPr>
        <w:spacing w:after="0" w:line="300" w:lineRule="auto"/>
        <w:jc w:val="both"/>
        <w:rPr>
          <w:rFonts w:ascii="Century Gothic" w:hAnsi="Century Gothic" w:cs="Arial"/>
          <w:sz w:val="24"/>
          <w:szCs w:val="24"/>
        </w:rPr>
      </w:pPr>
      <w:r>
        <w:rPr>
          <w:rFonts w:ascii="Century Gothic" w:hAnsi="Century Gothic" w:cs="Arial"/>
          <w:sz w:val="24"/>
          <w:szCs w:val="24"/>
        </w:rPr>
        <w:t>E</w:t>
      </w:r>
      <w:r w:rsidRPr="00DE2F85">
        <w:rPr>
          <w:rFonts w:ascii="Century Gothic" w:hAnsi="Century Gothic" w:cs="Arial"/>
          <w:sz w:val="24"/>
          <w:szCs w:val="24"/>
        </w:rPr>
        <w:t>s preciso señalar que según lo dispuesto en el Decreto 1909 de 1992, la obligación aduanera en la importación nace por la introducción de la mercancía de procedencia extranjera al territorio nacional, la cual comprende la presentación de la declaración de importación, el pago de los tributos aduaneros y sanciones a que haya lugar, así como la de conservar los documentos que soportan tales obligaciones, atender las solicitudes de información y pruebas solicitadas por los importadores, transportadores o tenedores de las mercancías, así como cumplir con las exigencias, requisitos y condiciones establecidos en las normas correspondientes.</w:t>
      </w:r>
    </w:p>
    <w:p w:rsidR="00C85E39" w:rsidRPr="00DE2F85" w:rsidRDefault="00C85E39" w:rsidP="00C85E39">
      <w:pPr>
        <w:spacing w:after="0" w:line="300" w:lineRule="auto"/>
        <w:jc w:val="both"/>
        <w:rPr>
          <w:rFonts w:ascii="Century Gothic" w:hAnsi="Century Gothic" w:cs="Arial"/>
          <w:sz w:val="24"/>
          <w:szCs w:val="24"/>
        </w:rPr>
      </w:pPr>
    </w:p>
    <w:p w:rsidR="00C85E39" w:rsidRDefault="00C85E39" w:rsidP="00C85E39">
      <w:pPr>
        <w:spacing w:after="0" w:line="300" w:lineRule="auto"/>
        <w:jc w:val="both"/>
        <w:rPr>
          <w:rFonts w:ascii="Century Gothic" w:hAnsi="Century Gothic" w:cs="Arial"/>
          <w:sz w:val="24"/>
          <w:szCs w:val="24"/>
        </w:rPr>
      </w:pPr>
      <w:r w:rsidRPr="00DE2F85">
        <w:rPr>
          <w:rFonts w:ascii="Century Gothic" w:hAnsi="Century Gothic" w:cs="Arial"/>
          <w:sz w:val="24"/>
          <w:szCs w:val="24"/>
        </w:rPr>
        <w:t xml:space="preserve">De otro lado, el artículo 72 ibídem, relativo a la mercancía no declarada o no presentada, señala que </w:t>
      </w:r>
      <w:r w:rsidRPr="00DE2F85">
        <w:rPr>
          <w:rFonts w:ascii="Century Gothic" w:hAnsi="Century Gothic" w:cs="Arial"/>
          <w:i/>
          <w:sz w:val="24"/>
          <w:szCs w:val="24"/>
        </w:rPr>
        <w:t xml:space="preserve">“Se entenderá que la mercancía no fue declarada, cuando no se encuentra amparada por una declaración de importación, </w:t>
      </w:r>
      <w:r w:rsidRPr="00DE2F85">
        <w:rPr>
          <w:rFonts w:ascii="Century Gothic" w:hAnsi="Century Gothic" w:cs="Arial"/>
          <w:bCs/>
          <w:i/>
          <w:sz w:val="24"/>
          <w:szCs w:val="24"/>
        </w:rPr>
        <w:t>cuando en la declaración se haya omitido la descripción de la mercancía o</w:t>
      </w:r>
      <w:r w:rsidRPr="00DE2F85">
        <w:rPr>
          <w:rFonts w:ascii="Century Gothic" w:hAnsi="Century Gothic" w:cs="Arial"/>
          <w:b/>
          <w:bCs/>
          <w:i/>
          <w:sz w:val="24"/>
          <w:szCs w:val="24"/>
        </w:rPr>
        <w:t xml:space="preserve"> </w:t>
      </w:r>
      <w:r w:rsidRPr="004903DD">
        <w:rPr>
          <w:rFonts w:ascii="Century Gothic" w:hAnsi="Century Gothic" w:cs="Arial"/>
          <w:bCs/>
          <w:i/>
          <w:sz w:val="24"/>
          <w:szCs w:val="24"/>
        </w:rPr>
        <w:t>ésta no corresponda con la descripción declarada</w:t>
      </w:r>
      <w:r w:rsidRPr="004903DD">
        <w:rPr>
          <w:rFonts w:ascii="Century Gothic" w:hAnsi="Century Gothic" w:cs="Arial"/>
          <w:i/>
          <w:sz w:val="24"/>
          <w:szCs w:val="24"/>
        </w:rPr>
        <w:t>, o cuando la cantidad encontrada sea superior a la señalada en la declaración.”</w:t>
      </w:r>
      <w:r w:rsidRPr="00DE2F85">
        <w:rPr>
          <w:rFonts w:ascii="Century Gothic" w:hAnsi="Century Gothic" w:cs="Arial"/>
          <w:i/>
          <w:sz w:val="24"/>
          <w:szCs w:val="24"/>
        </w:rPr>
        <w:t xml:space="preserve"> </w:t>
      </w:r>
      <w:r>
        <w:rPr>
          <w:rFonts w:ascii="Century Gothic" w:hAnsi="Century Gothic" w:cs="Arial"/>
          <w:sz w:val="24"/>
          <w:szCs w:val="24"/>
        </w:rPr>
        <w:t>.</w:t>
      </w:r>
    </w:p>
    <w:p w:rsidR="00C85E39" w:rsidRDefault="00C85E39" w:rsidP="00C85E39">
      <w:pPr>
        <w:spacing w:after="0" w:line="300" w:lineRule="auto"/>
        <w:jc w:val="both"/>
        <w:rPr>
          <w:rFonts w:ascii="Century Gothic" w:hAnsi="Century Gothic" w:cs="Arial"/>
          <w:sz w:val="24"/>
          <w:szCs w:val="24"/>
        </w:rPr>
      </w:pPr>
    </w:p>
    <w:p w:rsidR="00C85E39" w:rsidRPr="00E0010C" w:rsidRDefault="00C85E39" w:rsidP="00C85E39">
      <w:pPr>
        <w:spacing w:after="0" w:line="300" w:lineRule="auto"/>
        <w:jc w:val="both"/>
        <w:rPr>
          <w:rFonts w:ascii="Century Gothic" w:hAnsi="Century Gothic" w:cs="Arial"/>
          <w:sz w:val="24"/>
          <w:szCs w:val="24"/>
        </w:rPr>
      </w:pPr>
      <w:r>
        <w:rPr>
          <w:rFonts w:ascii="Century Gothic" w:hAnsi="Century Gothic" w:cs="Arial"/>
          <w:sz w:val="24"/>
          <w:szCs w:val="24"/>
        </w:rPr>
        <w:t xml:space="preserve">A su turno,  el </w:t>
      </w:r>
      <w:r w:rsidRPr="0024195E">
        <w:rPr>
          <w:rFonts w:ascii="Century Gothic" w:hAnsi="Century Gothic" w:cs="Arial"/>
          <w:sz w:val="24"/>
          <w:szCs w:val="24"/>
        </w:rPr>
        <w:t>numeral 1.6 del artículo 502 del Decreto 2685 de 1999</w:t>
      </w:r>
      <w:r>
        <w:rPr>
          <w:rFonts w:ascii="Century Gothic" w:hAnsi="Century Gothic" w:cs="Arial"/>
          <w:sz w:val="24"/>
          <w:szCs w:val="24"/>
        </w:rPr>
        <w:t xml:space="preserve"> establece lo siguiente</w:t>
      </w:r>
      <w:r w:rsidRPr="00E0010C">
        <w:rPr>
          <w:rFonts w:ascii="Century Gothic" w:hAnsi="Century Gothic" w:cs="Arial"/>
          <w:sz w:val="24"/>
          <w:szCs w:val="24"/>
        </w:rPr>
        <w:t>:</w:t>
      </w:r>
    </w:p>
    <w:p w:rsidR="00C85E39" w:rsidRPr="00E0010C" w:rsidRDefault="00C85E39" w:rsidP="00C85E39">
      <w:pPr>
        <w:spacing w:after="0" w:line="300" w:lineRule="auto"/>
        <w:jc w:val="both"/>
        <w:rPr>
          <w:rFonts w:ascii="Century Gothic" w:hAnsi="Century Gothic" w:cs="Arial"/>
          <w:sz w:val="24"/>
          <w:szCs w:val="24"/>
        </w:rPr>
      </w:pPr>
    </w:p>
    <w:p w:rsidR="00C85E39" w:rsidRPr="0024195E" w:rsidRDefault="00C85E39" w:rsidP="00C85E39">
      <w:pPr>
        <w:tabs>
          <w:tab w:val="left" w:pos="8280"/>
        </w:tabs>
        <w:spacing w:after="0" w:line="240" w:lineRule="auto"/>
        <w:ind w:left="539" w:right="560"/>
        <w:jc w:val="both"/>
        <w:rPr>
          <w:rFonts w:ascii="Century Gothic" w:hAnsi="Century Gothic" w:cs="Arial"/>
          <w:bCs/>
          <w:i/>
          <w:color w:val="000000"/>
          <w:sz w:val="20"/>
          <w:szCs w:val="20"/>
        </w:rPr>
      </w:pPr>
      <w:r>
        <w:rPr>
          <w:rFonts w:ascii="Century Gothic" w:hAnsi="Century Gothic" w:cs="Arial"/>
          <w:bCs/>
          <w:i/>
          <w:color w:val="000000"/>
          <w:sz w:val="20"/>
          <w:szCs w:val="20"/>
        </w:rPr>
        <w:t>“</w:t>
      </w:r>
      <w:r w:rsidRPr="0024195E">
        <w:rPr>
          <w:rFonts w:ascii="Century Gothic" w:hAnsi="Century Gothic" w:cs="Arial"/>
          <w:bCs/>
          <w:i/>
          <w:color w:val="000000"/>
          <w:sz w:val="20"/>
          <w:szCs w:val="20"/>
        </w:rPr>
        <w:t>ARTÍCULO 502: CAUSALES DE APREHENSIÓN Y DECOMISO DE MERCANCÍA. Dará lugar a la aprehensión y decomiso de mercancías la ocurrencia de cualquiera de las siguientes causales:</w:t>
      </w:r>
    </w:p>
    <w:p w:rsidR="00C85E39" w:rsidRPr="0024195E" w:rsidRDefault="00C85E39" w:rsidP="00C85E39">
      <w:pPr>
        <w:tabs>
          <w:tab w:val="left" w:pos="8280"/>
        </w:tabs>
        <w:spacing w:after="0" w:line="240" w:lineRule="auto"/>
        <w:ind w:left="539" w:right="560"/>
        <w:jc w:val="both"/>
        <w:rPr>
          <w:rFonts w:ascii="Century Gothic" w:hAnsi="Century Gothic" w:cs="Arial"/>
          <w:bCs/>
          <w:i/>
          <w:color w:val="000000"/>
          <w:sz w:val="20"/>
          <w:szCs w:val="20"/>
        </w:rPr>
      </w:pPr>
      <w:r w:rsidRPr="0024195E">
        <w:rPr>
          <w:rFonts w:ascii="Century Gothic" w:hAnsi="Century Gothic" w:cs="Arial"/>
          <w:bCs/>
          <w:i/>
          <w:color w:val="000000"/>
          <w:sz w:val="20"/>
          <w:szCs w:val="20"/>
        </w:rPr>
        <w:t>“(…)</w:t>
      </w:r>
    </w:p>
    <w:p w:rsidR="00C85E39" w:rsidRPr="0024195E" w:rsidRDefault="00C85E39" w:rsidP="00C85E39">
      <w:pPr>
        <w:tabs>
          <w:tab w:val="left" w:pos="8280"/>
        </w:tabs>
        <w:spacing w:after="0" w:line="240" w:lineRule="auto"/>
        <w:ind w:left="539" w:right="560"/>
        <w:jc w:val="both"/>
        <w:rPr>
          <w:rFonts w:ascii="Century Gothic" w:hAnsi="Century Gothic" w:cs="Arial"/>
          <w:bCs/>
          <w:i/>
          <w:color w:val="000000"/>
          <w:sz w:val="20"/>
          <w:szCs w:val="20"/>
        </w:rPr>
      </w:pPr>
    </w:p>
    <w:p w:rsidR="00C85E39" w:rsidRPr="00B66C72" w:rsidRDefault="00C85E39" w:rsidP="00C85E39">
      <w:pPr>
        <w:tabs>
          <w:tab w:val="left" w:pos="8280"/>
        </w:tabs>
        <w:spacing w:after="0" w:line="240" w:lineRule="auto"/>
        <w:ind w:left="539" w:right="560"/>
        <w:jc w:val="both"/>
        <w:rPr>
          <w:rFonts w:ascii="Century Gothic" w:hAnsi="Century Gothic" w:cs="Arial"/>
          <w:b/>
          <w:bCs/>
          <w:i/>
          <w:color w:val="000000"/>
          <w:sz w:val="20"/>
          <w:szCs w:val="20"/>
        </w:rPr>
      </w:pPr>
      <w:r w:rsidRPr="00B66C72">
        <w:rPr>
          <w:rFonts w:ascii="Century Gothic" w:hAnsi="Century Gothic" w:cs="Arial"/>
          <w:b/>
          <w:bCs/>
          <w:i/>
          <w:color w:val="000000"/>
          <w:sz w:val="20"/>
          <w:szCs w:val="20"/>
        </w:rPr>
        <w:t>1,6. Cuando la mercancía no se encuentre amparada en una Planilla de Envío, Factura de Nacionalización o Declaración de Importación, o no corresponda con la descripción declarada, o se encuentre una cantidad superior a la señalada en la Declaración de Importación, o se haya incurrido en errores u omisiones en su descripción, salvo que estos últimos se hayan subsanado en la forma prevista en los numerales 4 y 7 del artículo 128 y en los parágrafos primero y segundo del artículo 231 del presente decreto, en cuyo caso no habrá lugar a la aprehensión.”</w:t>
      </w:r>
      <w:r>
        <w:rPr>
          <w:rFonts w:ascii="Century Gothic" w:hAnsi="Century Gothic" w:cs="Arial"/>
          <w:b/>
          <w:bCs/>
          <w:i/>
          <w:color w:val="000000"/>
          <w:sz w:val="20"/>
          <w:szCs w:val="20"/>
        </w:rPr>
        <w:t xml:space="preserve"> </w:t>
      </w:r>
    </w:p>
    <w:p w:rsidR="00C85E39" w:rsidRDefault="00C85E39" w:rsidP="00C85E39">
      <w:pPr>
        <w:spacing w:after="0" w:line="300" w:lineRule="auto"/>
        <w:jc w:val="both"/>
        <w:rPr>
          <w:rFonts w:ascii="Century Gothic" w:hAnsi="Century Gothic" w:cs="Arial"/>
          <w:sz w:val="24"/>
          <w:szCs w:val="24"/>
        </w:rPr>
      </w:pPr>
      <w:r>
        <w:rPr>
          <w:rFonts w:ascii="Century Gothic" w:hAnsi="Century Gothic" w:cs="Arial"/>
          <w:sz w:val="24"/>
          <w:szCs w:val="24"/>
        </w:rPr>
        <w:t xml:space="preserve"> </w:t>
      </w:r>
    </w:p>
    <w:p w:rsidR="00C85E39" w:rsidRDefault="00C85E39" w:rsidP="00C85E39">
      <w:pPr>
        <w:spacing w:after="0" w:line="300" w:lineRule="auto"/>
        <w:jc w:val="both"/>
        <w:rPr>
          <w:rFonts w:ascii="Century Gothic" w:hAnsi="Century Gothic" w:cs="Arial"/>
          <w:sz w:val="24"/>
          <w:szCs w:val="24"/>
        </w:rPr>
      </w:pPr>
    </w:p>
    <w:p w:rsidR="00C85E39" w:rsidRPr="00DE2F85" w:rsidRDefault="00C85E39" w:rsidP="00C85E39">
      <w:pPr>
        <w:spacing w:after="0" w:line="300" w:lineRule="auto"/>
        <w:jc w:val="both"/>
        <w:rPr>
          <w:rFonts w:ascii="Century Gothic" w:hAnsi="Century Gothic" w:cs="Arial"/>
          <w:sz w:val="24"/>
          <w:szCs w:val="24"/>
        </w:rPr>
      </w:pPr>
    </w:p>
    <w:p w:rsidR="00C85E39" w:rsidRDefault="00C85E39" w:rsidP="00C85E39">
      <w:pPr>
        <w:spacing w:after="0"/>
        <w:jc w:val="both"/>
        <w:rPr>
          <w:rFonts w:ascii="Century Gothic" w:hAnsi="Century Gothic"/>
          <w:sz w:val="24"/>
          <w:szCs w:val="24"/>
        </w:rPr>
      </w:pPr>
    </w:p>
    <w:p w:rsidR="00C85E39" w:rsidRDefault="00C85E39" w:rsidP="00C85E39">
      <w:pPr>
        <w:spacing w:after="480" w:line="312" w:lineRule="auto"/>
        <w:jc w:val="both"/>
        <w:rPr>
          <w:rFonts w:ascii="Century Gothic" w:hAnsi="Century Gothic" w:cs="Arial"/>
          <w:sz w:val="24"/>
          <w:szCs w:val="24"/>
        </w:rPr>
      </w:pPr>
      <w:r>
        <w:rPr>
          <w:rFonts w:ascii="Century Gothic" w:hAnsi="Century Gothic" w:cs="Arial"/>
          <w:sz w:val="24"/>
          <w:szCs w:val="24"/>
        </w:rPr>
        <w:t>Así las cosas,</w:t>
      </w:r>
      <w:r w:rsidRPr="00DE2F85">
        <w:rPr>
          <w:rFonts w:ascii="Century Gothic" w:hAnsi="Century Gothic" w:cs="Arial"/>
          <w:sz w:val="24"/>
          <w:szCs w:val="24"/>
        </w:rPr>
        <w:t xml:space="preserve"> en el sub judice</w:t>
      </w:r>
      <w:r>
        <w:rPr>
          <w:rFonts w:ascii="Century Gothic" w:hAnsi="Century Gothic" w:cs="Arial"/>
          <w:sz w:val="24"/>
          <w:szCs w:val="24"/>
        </w:rPr>
        <w:t xml:space="preserve"> se acreditó que el 11 de abril de 2013 fue incautado por parte de la Policía Nacional el vehículo tipo tracto camión, marca Ford de placas TUQ-000, modelo 1985, color rojo. </w:t>
      </w:r>
    </w:p>
    <w:p w:rsidR="00C85E39" w:rsidRDefault="00C85E39" w:rsidP="00C85E39">
      <w:pPr>
        <w:spacing w:after="480" w:line="312" w:lineRule="auto"/>
        <w:jc w:val="both"/>
        <w:rPr>
          <w:rFonts w:ascii="Century Gothic" w:hAnsi="Century Gothic"/>
          <w:sz w:val="24"/>
          <w:szCs w:val="24"/>
        </w:rPr>
      </w:pPr>
      <w:r>
        <w:rPr>
          <w:rFonts w:ascii="Century Gothic" w:hAnsi="Century Gothic" w:cs="Arial"/>
          <w:sz w:val="24"/>
          <w:szCs w:val="24"/>
        </w:rPr>
        <w:t xml:space="preserve">A su turno, mediante </w:t>
      </w:r>
      <w:r>
        <w:rPr>
          <w:rFonts w:ascii="Century Gothic" w:hAnsi="Century Gothic"/>
          <w:sz w:val="24"/>
          <w:szCs w:val="24"/>
        </w:rPr>
        <w:t xml:space="preserve">INFORME INVESTIGADOR DE LABORATORIO FPJ-13 del 12 de abril del 2013 </w:t>
      </w:r>
      <w:r w:rsidRPr="009E0EB0">
        <w:rPr>
          <w:rFonts w:ascii="Century Gothic" w:hAnsi="Century Gothic"/>
          <w:b/>
          <w:sz w:val="24"/>
          <w:szCs w:val="24"/>
        </w:rPr>
        <w:t>se concluyó que no fue posible la identificación del número de chasis y de seguridad, igualmente que el chasis que se encuentra grabado no corresponde al automotor</w:t>
      </w:r>
      <w:r>
        <w:rPr>
          <w:rFonts w:ascii="Century Gothic" w:hAnsi="Century Gothic"/>
          <w:sz w:val="24"/>
          <w:szCs w:val="24"/>
        </w:rPr>
        <w:t>, dicho informe fue remitido a la Dirección de Impuestos y Aduanas Nacionales (Fl. 180-182)</w:t>
      </w:r>
    </w:p>
    <w:p w:rsidR="00C85E39" w:rsidRDefault="00C85E39" w:rsidP="00C85E39">
      <w:pPr>
        <w:spacing w:after="480" w:line="312" w:lineRule="auto"/>
        <w:jc w:val="both"/>
        <w:rPr>
          <w:rFonts w:ascii="Century Gothic" w:hAnsi="Century Gothic" w:cs="Arial"/>
          <w:sz w:val="24"/>
          <w:szCs w:val="24"/>
        </w:rPr>
      </w:pPr>
      <w:r>
        <w:rPr>
          <w:rFonts w:ascii="Century Gothic" w:hAnsi="Century Gothic"/>
          <w:sz w:val="24"/>
          <w:szCs w:val="24"/>
        </w:rPr>
        <w:t xml:space="preserve">Por lo anterior, </w:t>
      </w:r>
      <w:r w:rsidRPr="00DE2F85">
        <w:rPr>
          <w:rFonts w:ascii="Century Gothic" w:hAnsi="Century Gothic" w:cs="Arial"/>
          <w:sz w:val="24"/>
          <w:szCs w:val="24"/>
        </w:rPr>
        <w:t xml:space="preserve">la Unidad Administrativa Especial de la Dirección de Impuestos y Aduanas Nacionales, aprehendió mediante acta No. </w:t>
      </w:r>
      <w:r>
        <w:rPr>
          <w:rFonts w:ascii="Century Gothic" w:hAnsi="Century Gothic" w:cs="Arial"/>
          <w:sz w:val="24"/>
          <w:szCs w:val="24"/>
        </w:rPr>
        <w:t>03-00892</w:t>
      </w:r>
      <w:r w:rsidRPr="00DE2F85">
        <w:rPr>
          <w:rFonts w:ascii="Century Gothic" w:hAnsi="Century Gothic" w:cs="Arial"/>
          <w:sz w:val="24"/>
          <w:szCs w:val="24"/>
        </w:rPr>
        <w:t xml:space="preserve">FISICA 0834  del </w:t>
      </w:r>
      <w:r>
        <w:rPr>
          <w:rFonts w:ascii="Century Gothic" w:hAnsi="Century Gothic" w:cs="Arial"/>
          <w:sz w:val="24"/>
          <w:szCs w:val="24"/>
        </w:rPr>
        <w:t>31 de mayo del 2013</w:t>
      </w:r>
      <w:r w:rsidRPr="00DE2F85">
        <w:rPr>
          <w:rFonts w:ascii="Century Gothic" w:hAnsi="Century Gothic" w:cs="Arial"/>
          <w:sz w:val="24"/>
          <w:szCs w:val="24"/>
        </w:rPr>
        <w:t xml:space="preserve"> y continuación de acta de Aprehensión</w:t>
      </w:r>
      <w:r>
        <w:rPr>
          <w:rFonts w:ascii="Century Gothic" w:hAnsi="Century Gothic" w:cs="Arial"/>
          <w:sz w:val="24"/>
          <w:szCs w:val="24"/>
        </w:rPr>
        <w:t xml:space="preserve"> de del 31 de mayo del 2013 (Fl. 50-51) el vehículo tipo tracto camión perteneciente</w:t>
      </w:r>
      <w:r w:rsidRPr="00DE2F85">
        <w:rPr>
          <w:rFonts w:ascii="Century Gothic" w:hAnsi="Century Gothic" w:cs="Arial"/>
          <w:sz w:val="24"/>
          <w:szCs w:val="24"/>
        </w:rPr>
        <w:t xml:space="preserve"> </w:t>
      </w:r>
      <w:r>
        <w:rPr>
          <w:rFonts w:ascii="Century Gothic" w:hAnsi="Century Gothic" w:cs="Arial"/>
          <w:sz w:val="24"/>
          <w:szCs w:val="24"/>
        </w:rPr>
        <w:t>en su momento a los señores FREDY ALEXANDER ALBA CAMARGO y JORGE ENRIQUE BECERRA SOLANO por encontrarse incurso en la causal de aprehensión 1.6 del Decreto 2685 de 1999.</w:t>
      </w:r>
    </w:p>
    <w:p w:rsidR="00C85E39" w:rsidRPr="000C066E" w:rsidRDefault="00C85E39" w:rsidP="00C85E39">
      <w:pPr>
        <w:spacing w:after="0"/>
        <w:jc w:val="both"/>
        <w:rPr>
          <w:rFonts w:ascii="Century Gothic" w:hAnsi="Century Gothic" w:cs="Century Gothic"/>
          <w:bCs/>
          <w:sz w:val="24"/>
          <w:szCs w:val="24"/>
        </w:rPr>
      </w:pPr>
      <w:r>
        <w:rPr>
          <w:rFonts w:ascii="Century Gothic" w:eastAsia="Calibri" w:hAnsi="Century Gothic" w:cs="Arial"/>
          <w:sz w:val="24"/>
          <w:szCs w:val="24"/>
          <w:lang w:val="es-CO"/>
        </w:rPr>
        <w:t xml:space="preserve">En virtud de lo anterior, mediante </w:t>
      </w:r>
      <w:r w:rsidRPr="000C066E">
        <w:rPr>
          <w:rFonts w:ascii="Century Gothic" w:hAnsi="Century Gothic" w:cs="Century Gothic"/>
          <w:bCs/>
          <w:sz w:val="24"/>
          <w:szCs w:val="24"/>
        </w:rPr>
        <w:t xml:space="preserve">la Resolución No. 03-238-421-636-1-000-4734 del 15 de agosto de 2013 </w:t>
      </w:r>
      <w:r>
        <w:rPr>
          <w:rFonts w:ascii="Century Gothic" w:hAnsi="Century Gothic" w:cs="Century Gothic"/>
          <w:bCs/>
          <w:sz w:val="24"/>
          <w:szCs w:val="24"/>
        </w:rPr>
        <w:t>expedida</w:t>
      </w:r>
      <w:r w:rsidRPr="000C066E">
        <w:rPr>
          <w:rFonts w:ascii="Century Gothic" w:hAnsi="Century Gothic" w:cs="Century Gothic"/>
          <w:bCs/>
          <w:sz w:val="24"/>
          <w:szCs w:val="24"/>
        </w:rPr>
        <w:t xml:space="preserve"> por la Dirección</w:t>
      </w:r>
      <w:r>
        <w:rPr>
          <w:rFonts w:ascii="Century Gothic" w:hAnsi="Century Gothic" w:cs="Century Gothic"/>
          <w:bCs/>
          <w:sz w:val="24"/>
          <w:szCs w:val="24"/>
        </w:rPr>
        <w:t xml:space="preserve"> Seccional de Aduanas de Bogotá</w:t>
      </w:r>
      <w:r>
        <w:rPr>
          <w:rFonts w:ascii="Century Gothic" w:hAnsi="Century Gothic"/>
          <w:sz w:val="24"/>
          <w:szCs w:val="24"/>
        </w:rPr>
        <w:t xml:space="preserve">, se ordenó DECOMISAR el vehículo y en </w:t>
      </w:r>
      <w:r w:rsidRPr="00DE2F85">
        <w:rPr>
          <w:rFonts w:ascii="Century Gothic" w:hAnsi="Century Gothic"/>
          <w:sz w:val="24"/>
          <w:szCs w:val="24"/>
        </w:rPr>
        <w:t xml:space="preserve"> </w:t>
      </w:r>
      <w:r w:rsidRPr="000C066E">
        <w:rPr>
          <w:rFonts w:ascii="Century Gothic" w:hAnsi="Century Gothic" w:cs="Century Gothic"/>
          <w:bCs/>
          <w:sz w:val="24"/>
          <w:szCs w:val="24"/>
        </w:rPr>
        <w:t>Resolución 03-236-408-601-944 del 29 de noviembre de 2013</w:t>
      </w:r>
      <w:r w:rsidRPr="00DE2F85">
        <w:rPr>
          <w:rFonts w:ascii="Century Gothic" w:hAnsi="Century Gothic"/>
          <w:sz w:val="24"/>
          <w:szCs w:val="24"/>
        </w:rPr>
        <w:t xml:space="preserve">, </w:t>
      </w:r>
      <w:r>
        <w:rPr>
          <w:rFonts w:ascii="Century Gothic" w:hAnsi="Century Gothic"/>
          <w:sz w:val="24"/>
          <w:szCs w:val="24"/>
        </w:rPr>
        <w:t>se confirmó</w:t>
      </w:r>
      <w:r w:rsidRPr="00DE2F85">
        <w:rPr>
          <w:rFonts w:ascii="Century Gothic" w:hAnsi="Century Gothic"/>
          <w:sz w:val="24"/>
          <w:szCs w:val="24"/>
        </w:rPr>
        <w:t xml:space="preserve"> la anterior resolución.</w:t>
      </w:r>
      <w:r w:rsidRPr="0024195E">
        <w:rPr>
          <w:rFonts w:ascii="Century Gothic" w:hAnsi="Century Gothic"/>
          <w:i/>
          <w:sz w:val="24"/>
          <w:szCs w:val="24"/>
        </w:rPr>
        <w:t xml:space="preserve"> </w:t>
      </w:r>
    </w:p>
    <w:p w:rsidR="00C85E39" w:rsidRDefault="00C85E39" w:rsidP="00C85E39">
      <w:pPr>
        <w:spacing w:after="0" w:line="300" w:lineRule="auto"/>
        <w:jc w:val="both"/>
        <w:rPr>
          <w:rFonts w:ascii="Century Gothic" w:hAnsi="Century Gothic"/>
          <w:sz w:val="24"/>
          <w:szCs w:val="24"/>
        </w:rPr>
      </w:pPr>
    </w:p>
    <w:p w:rsidR="00C85E39" w:rsidRPr="00635A9B" w:rsidRDefault="00C85E39" w:rsidP="00C85E39">
      <w:pPr>
        <w:spacing w:after="0"/>
        <w:jc w:val="both"/>
        <w:rPr>
          <w:rFonts w:ascii="Century Gothic" w:hAnsi="Century Gothic"/>
          <w:sz w:val="24"/>
          <w:szCs w:val="24"/>
        </w:rPr>
      </w:pPr>
      <w:r w:rsidRPr="00635A9B">
        <w:rPr>
          <w:rFonts w:ascii="Century Gothic" w:hAnsi="Century Gothic"/>
          <w:sz w:val="24"/>
          <w:szCs w:val="24"/>
        </w:rPr>
        <w:t>Por su parte, obra en el sub examine Declaración de Saneamiento No. 831 del 2 de octubre de 1991 de la mercancía descrita así: CABEZOTE TRACTOMULA FORD 9000, MODELO 1985, MOTOR DIESEL TIPO 350 CUMMIS 6112 3414, CHSIS IF-90 KH60502. (Fl. 68-69)</w:t>
      </w:r>
    </w:p>
    <w:p w:rsidR="00C85E39" w:rsidRDefault="00C85E39" w:rsidP="00C85E39">
      <w:pPr>
        <w:spacing w:after="0" w:line="300" w:lineRule="auto"/>
        <w:jc w:val="both"/>
        <w:rPr>
          <w:rFonts w:ascii="Century Gothic" w:hAnsi="Century Gothic"/>
          <w:sz w:val="24"/>
          <w:szCs w:val="24"/>
        </w:rPr>
      </w:pPr>
    </w:p>
    <w:p w:rsidR="00C85E39" w:rsidRPr="00B857D0" w:rsidRDefault="00C85E39" w:rsidP="00C85E39">
      <w:pPr>
        <w:spacing w:after="0" w:line="300" w:lineRule="auto"/>
        <w:jc w:val="both"/>
        <w:rPr>
          <w:rFonts w:ascii="Century Gothic" w:hAnsi="Century Gothic"/>
          <w:i/>
          <w:sz w:val="24"/>
          <w:szCs w:val="24"/>
        </w:rPr>
      </w:pPr>
      <w:r>
        <w:rPr>
          <w:rFonts w:ascii="Century Gothic" w:hAnsi="Century Gothic"/>
          <w:sz w:val="24"/>
          <w:szCs w:val="24"/>
        </w:rPr>
        <w:t>Ahora bien, de conformidad con el artículo primero del Decreto 1751 de 1991</w:t>
      </w:r>
      <w:r w:rsidRPr="00B857D0">
        <w:rPr>
          <w:rFonts w:ascii="Arial" w:eastAsia="Times New Roman" w:hAnsi="Arial" w:cs="Arial"/>
          <w:color w:val="000000"/>
          <w:sz w:val="24"/>
          <w:szCs w:val="24"/>
          <w:lang w:val="es-CO" w:eastAsia="es-CO"/>
        </w:rPr>
        <w:t xml:space="preserve"> </w:t>
      </w:r>
      <w:r w:rsidRPr="00B857D0">
        <w:rPr>
          <w:rFonts w:ascii="Century Gothic" w:eastAsia="Times New Roman" w:hAnsi="Century Gothic" w:cs="Arial"/>
          <w:i/>
          <w:color w:val="000000"/>
          <w:sz w:val="24"/>
          <w:szCs w:val="24"/>
          <w:lang w:val="es-CO" w:eastAsia="es-CO"/>
        </w:rPr>
        <w:t xml:space="preserve">“Quienes declaren mercancías que hubieren ingresado al país con anterioridad al 1º. De septiembre de 1990, que se encuentren en situación de incumplimiento de los requisitos establecidos en el régimen aduanero, podrán adelantar los trámites correspondientes al saneamiento de dichas mercancías, siempre y cuando se acredite el pago oportuno de la tarifa ad valorem, conforme al mecanismo que más adelante se establece, sin que haya lugar a </w:t>
      </w:r>
      <w:r w:rsidRPr="00B857D0">
        <w:rPr>
          <w:rFonts w:ascii="Century Gothic" w:eastAsia="Times New Roman" w:hAnsi="Century Gothic" w:cs="Arial"/>
          <w:i/>
          <w:color w:val="000000"/>
          <w:sz w:val="24"/>
          <w:szCs w:val="24"/>
          <w:lang w:val="es-CO" w:eastAsia="es-CO"/>
        </w:rPr>
        <w:lastRenderedPageBreak/>
        <w:t>decomiso, ni a formulación de cuentas adicionales, ni a imponer sanción alguna, ni al ejercicio de ninguna acción penal con ocasión de las infracciones aduaneras que se hubieren cometido.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b/>
          <w:bCs/>
          <w:i/>
          <w:color w:val="000000"/>
          <w:sz w:val="24"/>
          <w:szCs w:val="24"/>
          <w:lang w:val="es-CO" w:eastAsia="es-CO"/>
        </w:rPr>
        <w:t>PARAGRAFO 1</w:t>
      </w:r>
      <w:r w:rsidRPr="00B857D0">
        <w:rPr>
          <w:rFonts w:ascii="Century Gothic" w:eastAsia="Times New Roman" w:hAnsi="Century Gothic" w:cs="Arial"/>
          <w:i/>
          <w:color w:val="000000"/>
          <w:sz w:val="24"/>
          <w:szCs w:val="24"/>
          <w:lang w:val="es-CO" w:eastAsia="es-CO"/>
        </w:rPr>
        <w:t>. La presentación de la declaración de saneamiento deberá efectuarse en el lapso comprendido entre el 1º de agosto de 1991 y el 31 de octubre de l991.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b/>
          <w:bCs/>
          <w:i/>
          <w:color w:val="000000"/>
          <w:sz w:val="24"/>
          <w:szCs w:val="24"/>
          <w:lang w:val="es-CO" w:eastAsia="es-CO"/>
        </w:rPr>
        <w:t>PARAGRAFO 2</w:t>
      </w:r>
      <w:r w:rsidRPr="00B857D0">
        <w:rPr>
          <w:rFonts w:ascii="Century Gothic" w:eastAsia="Times New Roman" w:hAnsi="Century Gothic" w:cs="Arial"/>
          <w:i/>
          <w:color w:val="000000"/>
          <w:sz w:val="24"/>
          <w:szCs w:val="24"/>
          <w:lang w:val="es-CO" w:eastAsia="es-CO"/>
        </w:rPr>
        <w:t>. Sólo podrán acogerse al saneamiento las mercancías que se encuentren en Zona Secundaria Aduanera y que sean objeto de declaración y presentación voluntaria. El saneamiento no será aplicable respecto de mercancías que hubieren sido objeto de aprehensión por parte de las autoridades, ni respecto de mercancías en relación con las cuales se hubiere iniciado despacho o procedimiento aduanero alguno.”</w:t>
      </w:r>
    </w:p>
    <w:p w:rsidR="00C85E39" w:rsidRPr="00B857D0" w:rsidRDefault="00C85E39" w:rsidP="00C85E39">
      <w:pPr>
        <w:spacing w:after="0" w:line="300" w:lineRule="auto"/>
        <w:jc w:val="both"/>
        <w:rPr>
          <w:rFonts w:ascii="Century Gothic" w:hAnsi="Century Gothic"/>
          <w:sz w:val="24"/>
          <w:szCs w:val="24"/>
          <w:lang w:val="es-CO"/>
        </w:rPr>
      </w:pPr>
    </w:p>
    <w:p w:rsidR="00C85E39" w:rsidRPr="00B857D0" w:rsidRDefault="00C85E39" w:rsidP="00C85E39">
      <w:pPr>
        <w:pStyle w:val="NormalWeb"/>
        <w:spacing w:before="0" w:beforeAutospacing="0" w:after="0" w:afterAutospacing="0" w:line="254" w:lineRule="atLeast"/>
        <w:jc w:val="both"/>
        <w:rPr>
          <w:rFonts w:ascii="Century Gothic" w:hAnsi="Century Gothic" w:cs="Arial"/>
          <w:i/>
          <w:color w:val="000000"/>
        </w:rPr>
      </w:pPr>
      <w:r>
        <w:rPr>
          <w:rFonts w:ascii="Century Gothic" w:hAnsi="Century Gothic"/>
        </w:rPr>
        <w:t xml:space="preserve">A su turno, el articulo 4 ibídem establece </w:t>
      </w:r>
      <w:r w:rsidRPr="00B857D0">
        <w:rPr>
          <w:rFonts w:ascii="Century Gothic" w:hAnsi="Century Gothic"/>
        </w:rPr>
        <w:t>que “</w:t>
      </w:r>
      <w:r w:rsidRPr="00B857D0">
        <w:rPr>
          <w:rFonts w:ascii="Century Gothic" w:hAnsi="Century Gothic"/>
          <w:i/>
        </w:rPr>
        <w:t>e</w:t>
      </w:r>
      <w:r w:rsidRPr="00B857D0">
        <w:rPr>
          <w:rFonts w:ascii="Century Gothic" w:hAnsi="Century Gothic" w:cs="Arial"/>
          <w:i/>
          <w:color w:val="000000"/>
        </w:rPr>
        <w:t>l saneamiento de las mercancías se efectuará mediante la cancelación del monto resultante de aplicar las siguientes tarifas ad valorem de las mercancías: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75% - Vehículos.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10% - Maquinaria, equipos, partes y piezas, materias primas, aeronaves y barcos.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  </w:t>
      </w:r>
    </w:p>
    <w:p w:rsidR="00C85E39" w:rsidRPr="00B857D0" w:rsidRDefault="00C85E39" w:rsidP="00C85E39">
      <w:pPr>
        <w:spacing w:after="0" w:line="254" w:lineRule="atLeast"/>
        <w:jc w:val="both"/>
        <w:rPr>
          <w:rFonts w:ascii="Century Gothic" w:eastAsia="Times New Roman" w:hAnsi="Century Gothic" w:cs="Arial"/>
          <w:i/>
          <w:color w:val="000000"/>
          <w:sz w:val="24"/>
          <w:szCs w:val="24"/>
          <w:lang w:val="es-CO" w:eastAsia="es-CO"/>
        </w:rPr>
      </w:pPr>
      <w:r w:rsidRPr="00B857D0">
        <w:rPr>
          <w:rFonts w:ascii="Century Gothic" w:eastAsia="Times New Roman" w:hAnsi="Century Gothic" w:cs="Arial"/>
          <w:i/>
          <w:color w:val="000000"/>
          <w:sz w:val="24"/>
          <w:szCs w:val="24"/>
          <w:lang w:val="es-CO" w:eastAsia="es-CO"/>
        </w:rPr>
        <w:t>35% - Otras mercancías diferentes a las anteriores”. </w:t>
      </w:r>
    </w:p>
    <w:p w:rsidR="00C85E39" w:rsidRPr="00B857D0" w:rsidRDefault="00C85E39" w:rsidP="00C85E39">
      <w:pPr>
        <w:spacing w:after="0" w:line="254" w:lineRule="atLeast"/>
        <w:jc w:val="both"/>
        <w:rPr>
          <w:rFonts w:ascii="Arial" w:eastAsia="Times New Roman" w:hAnsi="Arial" w:cs="Arial"/>
          <w:i/>
          <w:color w:val="000000"/>
          <w:sz w:val="24"/>
          <w:szCs w:val="24"/>
          <w:lang w:val="es-CO" w:eastAsia="es-CO"/>
        </w:rPr>
      </w:pPr>
      <w:r w:rsidRPr="00B857D0">
        <w:rPr>
          <w:rFonts w:ascii="Arial" w:eastAsia="Times New Roman" w:hAnsi="Arial" w:cs="Arial"/>
          <w:i/>
          <w:color w:val="000000"/>
          <w:sz w:val="24"/>
          <w:szCs w:val="24"/>
          <w:lang w:val="es-CO" w:eastAsia="es-CO"/>
        </w:rPr>
        <w:t>  </w:t>
      </w:r>
    </w:p>
    <w:p w:rsidR="00C85E39" w:rsidRPr="00B857D0" w:rsidRDefault="00C85E39" w:rsidP="00C85E39">
      <w:pPr>
        <w:spacing w:after="0" w:line="300" w:lineRule="auto"/>
        <w:jc w:val="both"/>
        <w:rPr>
          <w:rFonts w:ascii="Century Gothic" w:hAnsi="Century Gothic"/>
          <w:sz w:val="24"/>
          <w:szCs w:val="24"/>
          <w:lang w:val="es-CO"/>
        </w:rPr>
      </w:pPr>
      <w:r>
        <w:rPr>
          <w:rFonts w:ascii="Century Gothic" w:hAnsi="Century Gothic"/>
          <w:sz w:val="24"/>
          <w:szCs w:val="24"/>
          <w:lang w:val="es-CO"/>
        </w:rPr>
        <w:t>Por lo anterior, y como quiera que se acreditó a folio 59 y 60 del expediente que el señor OSCAR JAIME DURAN MOSQUERA realizó el pago del 75% de la tarifa ad valorem la Dirección General de Aduanas expidió la declaración de saneamiento No. 2572 del 2 de octubre de 1991 de la mercancía descrita asi: CABEZOTE TRACTOMULA FORD 9000, MODELO DIESEL TIPO 350 CUMMIS #1123414, CHASIS #F-90 K4H60502. (Fl. 68-69)</w:t>
      </w:r>
    </w:p>
    <w:p w:rsidR="00C85E39" w:rsidRPr="005D56C8" w:rsidRDefault="00C85E39" w:rsidP="00C85E39">
      <w:pPr>
        <w:spacing w:after="0" w:line="300" w:lineRule="auto"/>
        <w:jc w:val="both"/>
        <w:rPr>
          <w:rFonts w:ascii="Century Gothic" w:hAnsi="Century Gothic"/>
          <w:sz w:val="24"/>
          <w:szCs w:val="24"/>
          <w:lang w:val="es-CO"/>
        </w:rPr>
      </w:pPr>
    </w:p>
    <w:p w:rsidR="00C85E39" w:rsidRDefault="00C85E39" w:rsidP="00C85E39">
      <w:pPr>
        <w:spacing w:after="0" w:line="300" w:lineRule="auto"/>
        <w:jc w:val="both"/>
        <w:rPr>
          <w:rFonts w:ascii="Century Gothic" w:hAnsi="Century Gothic"/>
          <w:sz w:val="24"/>
          <w:szCs w:val="24"/>
        </w:rPr>
      </w:pPr>
      <w:r>
        <w:rPr>
          <w:rFonts w:ascii="Century Gothic" w:hAnsi="Century Gothic"/>
          <w:sz w:val="24"/>
          <w:szCs w:val="24"/>
        </w:rPr>
        <w:t xml:space="preserve">En este orden, advierte esta Magistratura que el problema jurídico en el sub judice se contrae a determinar si el vehículo aprendido se encuentra amparado en la declaración de saneamiento No. </w:t>
      </w:r>
      <w:r>
        <w:rPr>
          <w:rFonts w:ascii="Century Gothic" w:hAnsi="Century Gothic"/>
          <w:sz w:val="24"/>
          <w:szCs w:val="24"/>
          <w:lang w:val="es-CO"/>
        </w:rPr>
        <w:t xml:space="preserve">2572 del 2 de octubre de 1991. </w:t>
      </w:r>
    </w:p>
    <w:p w:rsidR="00C85E39" w:rsidRDefault="00C85E39" w:rsidP="00C85E39">
      <w:pPr>
        <w:spacing w:after="0" w:line="300" w:lineRule="auto"/>
        <w:jc w:val="both"/>
        <w:rPr>
          <w:rFonts w:ascii="Century Gothic" w:hAnsi="Century Gothic"/>
          <w:sz w:val="24"/>
          <w:szCs w:val="24"/>
        </w:rPr>
      </w:pPr>
    </w:p>
    <w:p w:rsidR="00C85E39" w:rsidRDefault="00C85E39" w:rsidP="00C85E39">
      <w:pPr>
        <w:spacing w:after="0" w:line="300" w:lineRule="auto"/>
        <w:jc w:val="both"/>
        <w:rPr>
          <w:rFonts w:ascii="Century Gothic" w:hAnsi="Century Gothic"/>
          <w:sz w:val="24"/>
          <w:szCs w:val="24"/>
        </w:rPr>
      </w:pPr>
      <w:r>
        <w:rPr>
          <w:rFonts w:ascii="Century Gothic" w:hAnsi="Century Gothic"/>
          <w:sz w:val="24"/>
          <w:szCs w:val="24"/>
        </w:rPr>
        <w:t xml:space="preserve">En este sentido, es dable precisar que en el INFORME INVESTIGADOR DE LABORATORIO FPJ-13 del 12 de abril del 2013 realizado por el Técnico Profesional en Identificación de Automotores, Intendente YEISON GIOVANY </w:t>
      </w:r>
      <w:r>
        <w:rPr>
          <w:rFonts w:ascii="Century Gothic" w:hAnsi="Century Gothic"/>
          <w:sz w:val="24"/>
          <w:szCs w:val="24"/>
        </w:rPr>
        <w:lastRenderedPageBreak/>
        <w:t xml:space="preserve">WILCHES TOLOSA </w:t>
      </w:r>
      <w:r w:rsidRPr="009E0EB0">
        <w:rPr>
          <w:rFonts w:ascii="Century Gothic" w:hAnsi="Century Gothic"/>
          <w:b/>
          <w:sz w:val="24"/>
          <w:szCs w:val="24"/>
        </w:rPr>
        <w:t>se concluyó que no fue posible la identificación del número de chasis y de seguridad, igualmente que el chasis que se encuentra grabado no corresponde al automotor; afirma que el número de chasis corresponde a un camión Ford 900 modelo 1954 y no a un Ford 9000 modelo 1985 como aparece en los documentos</w:t>
      </w:r>
      <w:r>
        <w:rPr>
          <w:rFonts w:ascii="Century Gothic" w:hAnsi="Century Gothic"/>
          <w:sz w:val="24"/>
          <w:szCs w:val="24"/>
        </w:rPr>
        <w:t>. (Fl. 180-182)</w:t>
      </w:r>
    </w:p>
    <w:p w:rsidR="00C85E39" w:rsidRDefault="00C85E39" w:rsidP="00C85E39">
      <w:pPr>
        <w:spacing w:after="0" w:line="300" w:lineRule="auto"/>
        <w:jc w:val="both"/>
        <w:rPr>
          <w:rFonts w:ascii="Century Gothic" w:hAnsi="Century Gothic"/>
          <w:sz w:val="24"/>
          <w:szCs w:val="24"/>
        </w:rPr>
      </w:pPr>
    </w:p>
    <w:p w:rsidR="00C85E39" w:rsidRDefault="00C85E39" w:rsidP="00C85E39">
      <w:pPr>
        <w:spacing w:after="0" w:line="300" w:lineRule="auto"/>
        <w:jc w:val="both"/>
        <w:rPr>
          <w:rFonts w:ascii="Century Gothic" w:hAnsi="Century Gothic"/>
          <w:sz w:val="24"/>
          <w:szCs w:val="24"/>
        </w:rPr>
      </w:pPr>
      <w:r>
        <w:rPr>
          <w:rFonts w:ascii="Century Gothic" w:hAnsi="Century Gothic"/>
          <w:sz w:val="24"/>
          <w:szCs w:val="24"/>
        </w:rPr>
        <w:t xml:space="preserve">Así las cosas, para esta Corporación se configura la causal de aprensión y decomiso contenida en numeral </w:t>
      </w:r>
      <w:r w:rsidRPr="00A53135">
        <w:rPr>
          <w:rFonts w:ascii="Century Gothic" w:eastAsia="Calibri" w:hAnsi="Century Gothic" w:cs="Arial"/>
          <w:sz w:val="24"/>
          <w:szCs w:val="24"/>
          <w:lang w:val="es-CO"/>
        </w:rPr>
        <w:t>1.6 del artículo 502 del Decreto 2685 de 1999</w:t>
      </w:r>
      <w:r w:rsidRPr="008C347A">
        <w:rPr>
          <w:rFonts w:ascii="Century Gothic" w:hAnsi="Century Gothic"/>
          <w:sz w:val="24"/>
          <w:szCs w:val="24"/>
        </w:rPr>
        <w:t>, como quiera que</w:t>
      </w:r>
      <w:r>
        <w:rPr>
          <w:rFonts w:ascii="Century Gothic" w:hAnsi="Century Gothic"/>
          <w:sz w:val="24"/>
          <w:szCs w:val="24"/>
        </w:rPr>
        <w:t xml:space="preserve"> se encuentra </w:t>
      </w:r>
      <w:r w:rsidRPr="008C347A">
        <w:rPr>
          <w:rFonts w:ascii="Century Gothic" w:hAnsi="Century Gothic"/>
          <w:sz w:val="24"/>
          <w:szCs w:val="24"/>
        </w:rPr>
        <w:t xml:space="preserve">probado que </w:t>
      </w:r>
      <w:r>
        <w:rPr>
          <w:rFonts w:ascii="Century Gothic" w:hAnsi="Century Gothic"/>
          <w:sz w:val="24"/>
          <w:szCs w:val="24"/>
        </w:rPr>
        <w:t xml:space="preserve">las características de la mercancía descritas en la declaración de saneamiento No. </w:t>
      </w:r>
      <w:r>
        <w:rPr>
          <w:rFonts w:ascii="Century Gothic" w:hAnsi="Century Gothic"/>
          <w:sz w:val="24"/>
          <w:szCs w:val="24"/>
          <w:lang w:val="es-CO"/>
        </w:rPr>
        <w:t xml:space="preserve">2572 del 2 de octubre de 1991 </w:t>
      </w:r>
      <w:r>
        <w:rPr>
          <w:rFonts w:ascii="Century Gothic" w:hAnsi="Century Gothic"/>
          <w:sz w:val="24"/>
          <w:szCs w:val="24"/>
        </w:rPr>
        <w:t xml:space="preserve">presentada por la parte demandante no concuerda con la mercancía aprendida, toda vez que se advierte por un lado que en la Declaración de saneamiento se describe que la mercancía consiste en: </w:t>
      </w:r>
      <w:r>
        <w:rPr>
          <w:rFonts w:ascii="Century Gothic" w:hAnsi="Century Gothic"/>
          <w:sz w:val="24"/>
          <w:szCs w:val="24"/>
          <w:lang w:val="es-CO"/>
        </w:rPr>
        <w:t>CABEZOTE TRACTOMULA FORD 9000, MODELO DIESEL TIPO 350 CUMMIS #1123414, CHASIS #F-90 K4H60502</w:t>
      </w:r>
      <w:r>
        <w:rPr>
          <w:rFonts w:ascii="Century Gothic" w:hAnsi="Century Gothic"/>
          <w:sz w:val="24"/>
          <w:szCs w:val="24"/>
        </w:rPr>
        <w:t xml:space="preserve">, y por otro lado, en el informe técnico elaborado por el Técnico Profesional de Identificación de Automotores se advirtió que en el lugar donde la casa fabricante acostumbra a estampar el número de chasis se encuentra tapado con hueso duro y pintura que al remover aquella no se observa vestigios de la numeración original por lo que no pudo identificarse el número de chasis y el número de seguridad de chasis, sin embargo concluyó que de acuerdo a las características físicas del automotor, el chasis que se encuentra grabado no corresponde al automotor, de tal manera que a juicio de esta corporación la declaración de saneamiento no amparó el vehículo aprehendido. </w:t>
      </w:r>
    </w:p>
    <w:p w:rsidR="00C85E39" w:rsidRDefault="00C85E39" w:rsidP="00C85E39">
      <w:pPr>
        <w:spacing w:after="0"/>
        <w:jc w:val="both"/>
        <w:rPr>
          <w:rFonts w:ascii="Century Gothic" w:hAnsi="Century Gothic"/>
          <w:sz w:val="24"/>
          <w:szCs w:val="24"/>
        </w:rPr>
      </w:pPr>
    </w:p>
    <w:p w:rsidR="00C85E39" w:rsidRDefault="00C85E39" w:rsidP="00C85E39">
      <w:pPr>
        <w:spacing w:after="0"/>
        <w:jc w:val="both"/>
        <w:rPr>
          <w:rFonts w:ascii="Century Gothic" w:hAnsi="Century Gothic"/>
          <w:sz w:val="24"/>
          <w:szCs w:val="24"/>
        </w:rPr>
      </w:pPr>
      <w:r>
        <w:rPr>
          <w:rFonts w:ascii="Century Gothic" w:hAnsi="Century Gothic"/>
          <w:sz w:val="24"/>
          <w:szCs w:val="24"/>
        </w:rPr>
        <w:t xml:space="preserve">Ahora bien, el actor manifiesta que las características del tracto camión que antes se identificaba con placas SBO226 son las mimas que las del automotor identificado con placas TUQ000, pues con la declaración de saneamiento tuvo que cambiar las placas del vehiculo al momento de matricularse ante las autoridades de tránsito y transporte; no obstante, precisa la Sala que no obra ninguna prueba en el sub examine que permita acreditar que el vehículo identificado con placas SBO226 con chasis regrabado es el mismo del automotor identificado con placas TUQ000 el cual fue aprehendido por las autoridades aduaneras.  </w:t>
      </w:r>
    </w:p>
    <w:p w:rsidR="00C85E39" w:rsidRDefault="00C85E39" w:rsidP="00C85E39">
      <w:pPr>
        <w:spacing w:after="0"/>
        <w:jc w:val="both"/>
        <w:rPr>
          <w:rFonts w:ascii="Century Gothic" w:hAnsi="Century Gothic"/>
          <w:sz w:val="24"/>
          <w:szCs w:val="24"/>
        </w:rPr>
      </w:pPr>
    </w:p>
    <w:p w:rsidR="00C85E39" w:rsidRPr="009F4609" w:rsidRDefault="00C85E39" w:rsidP="00C85E39">
      <w:pPr>
        <w:spacing w:after="0" w:line="300" w:lineRule="auto"/>
        <w:jc w:val="both"/>
        <w:rPr>
          <w:rFonts w:ascii="Century Gothic" w:hAnsi="Century Gothic" w:cs="Arial"/>
          <w:sz w:val="24"/>
          <w:szCs w:val="24"/>
        </w:rPr>
      </w:pPr>
      <w:r w:rsidRPr="009F4609">
        <w:rPr>
          <w:rFonts w:ascii="Century Gothic" w:hAnsi="Century Gothic" w:cs="Arial"/>
          <w:sz w:val="24"/>
          <w:szCs w:val="24"/>
        </w:rPr>
        <w:t xml:space="preserve">Así las cosas, observa esta Sala de Decisión que a </w:t>
      </w:r>
      <w:smartTag w:uri="urn:schemas-microsoft-com:office:smarttags" w:element="PersonName">
        <w:smartTagPr>
          <w:attr w:name="ProductID" w:val="la Administraci￳n"/>
        </w:smartTagPr>
        <w:r w:rsidRPr="009F4609">
          <w:rPr>
            <w:rFonts w:ascii="Century Gothic" w:hAnsi="Century Gothic" w:cs="Arial"/>
            <w:sz w:val="24"/>
            <w:szCs w:val="24"/>
          </w:rPr>
          <w:t>la Administración</w:t>
        </w:r>
      </w:smartTag>
      <w:r w:rsidRPr="009F4609">
        <w:rPr>
          <w:rFonts w:ascii="Century Gothic" w:hAnsi="Century Gothic" w:cs="Arial"/>
          <w:sz w:val="24"/>
          <w:szCs w:val="24"/>
        </w:rPr>
        <w:t xml:space="preserve"> de Aduanas Nacionales no le consta que la mercancía amparada en la </w:t>
      </w:r>
      <w:r w:rsidRPr="009F4609">
        <w:rPr>
          <w:rFonts w:ascii="Century Gothic" w:hAnsi="Century Gothic" w:cs="Arial"/>
          <w:sz w:val="24"/>
          <w:szCs w:val="24"/>
        </w:rPr>
        <w:lastRenderedPageBreak/>
        <w:t>declaración de importación (declaración de saneamiento) allegadas legalmente al expediente, sea la misma mercancía decomisada, infiriéndose de tal situación que se están introduciendo al territorio nacional, mercancías diferentes amparadas con la misma declaración de importación.</w:t>
      </w:r>
    </w:p>
    <w:p w:rsidR="00C85E39" w:rsidRDefault="00C85E39" w:rsidP="00C85E39">
      <w:pPr>
        <w:spacing w:after="0"/>
        <w:jc w:val="both"/>
        <w:rPr>
          <w:rFonts w:ascii="Century Gothic" w:hAnsi="Century Gothic"/>
          <w:sz w:val="24"/>
          <w:szCs w:val="24"/>
        </w:rPr>
      </w:pPr>
    </w:p>
    <w:p w:rsidR="00C85E39" w:rsidRPr="00C15D3D" w:rsidRDefault="00C85E39" w:rsidP="00C85E39">
      <w:pPr>
        <w:spacing w:after="0"/>
        <w:jc w:val="both"/>
        <w:rPr>
          <w:rFonts w:ascii="Century Gothic" w:hAnsi="Century Gothic"/>
          <w:sz w:val="24"/>
          <w:szCs w:val="24"/>
        </w:rPr>
      </w:pPr>
      <w:r w:rsidRPr="00C15D3D">
        <w:rPr>
          <w:rFonts w:ascii="Century Gothic" w:hAnsi="Century Gothic"/>
          <w:sz w:val="24"/>
          <w:szCs w:val="24"/>
        </w:rPr>
        <w:t>En ese sentido, para la Sala no cabe duda del incumplimiento de las obligaciones aduaneras</w:t>
      </w:r>
      <w:r>
        <w:rPr>
          <w:rFonts w:ascii="Century Gothic" w:hAnsi="Century Gothic"/>
          <w:sz w:val="24"/>
          <w:szCs w:val="24"/>
        </w:rPr>
        <w:t xml:space="preserve"> por parte del </w:t>
      </w:r>
      <w:r w:rsidRPr="00C15D3D">
        <w:rPr>
          <w:rFonts w:ascii="Century Gothic" w:hAnsi="Century Gothic"/>
          <w:sz w:val="24"/>
          <w:szCs w:val="24"/>
        </w:rPr>
        <w:t xml:space="preserve">demandante, dado que de las pruebas allegadas al expediente no se desvirtúa la ausencia de su responsabilidad, como quiera que </w:t>
      </w:r>
      <w:r>
        <w:rPr>
          <w:rFonts w:ascii="Century Gothic" w:hAnsi="Century Gothic"/>
          <w:sz w:val="24"/>
          <w:szCs w:val="24"/>
        </w:rPr>
        <w:t>con la actuación de éste se configuro en una de las causales</w:t>
      </w:r>
      <w:r w:rsidRPr="00C15D3D">
        <w:rPr>
          <w:rFonts w:ascii="Century Gothic" w:hAnsi="Century Gothic"/>
          <w:sz w:val="24"/>
          <w:szCs w:val="24"/>
        </w:rPr>
        <w:t xml:space="preserve"> de</w:t>
      </w:r>
      <w:r>
        <w:rPr>
          <w:rFonts w:ascii="Century Gothic" w:hAnsi="Century Gothic"/>
          <w:sz w:val="24"/>
          <w:szCs w:val="24"/>
        </w:rPr>
        <w:t xml:space="preserve"> aprensión y decomiso de mercancía. </w:t>
      </w:r>
      <w:r w:rsidRPr="00C15D3D">
        <w:rPr>
          <w:rFonts w:ascii="Century Gothic" w:hAnsi="Century Gothic"/>
          <w:sz w:val="24"/>
          <w:szCs w:val="24"/>
        </w:rPr>
        <w:t xml:space="preserve"> </w:t>
      </w:r>
    </w:p>
    <w:p w:rsidR="00C85E39" w:rsidRPr="00CC62FD" w:rsidRDefault="00C85E39" w:rsidP="00C85E39">
      <w:pPr>
        <w:spacing w:after="0" w:line="300" w:lineRule="auto"/>
        <w:jc w:val="both"/>
        <w:rPr>
          <w:rFonts w:ascii="Century Gothic" w:hAnsi="Century Gothic" w:cs="Arial"/>
          <w:spacing w:val="-3"/>
          <w:sz w:val="24"/>
          <w:szCs w:val="24"/>
          <w:highlight w:val="yellow"/>
        </w:rPr>
      </w:pPr>
    </w:p>
    <w:p w:rsidR="00C85E39" w:rsidRDefault="00C85E39" w:rsidP="00C85E39">
      <w:pPr>
        <w:spacing w:after="0" w:line="300" w:lineRule="auto"/>
        <w:jc w:val="both"/>
        <w:rPr>
          <w:rFonts w:ascii="Century Gothic" w:hAnsi="Century Gothic" w:cs="Arial"/>
          <w:spacing w:val="-3"/>
          <w:sz w:val="24"/>
          <w:szCs w:val="24"/>
        </w:rPr>
      </w:pPr>
      <w:r w:rsidRPr="00C15D3D">
        <w:rPr>
          <w:rFonts w:ascii="Century Gothic" w:hAnsi="Century Gothic" w:cs="Arial"/>
          <w:spacing w:val="-3"/>
          <w:sz w:val="24"/>
          <w:szCs w:val="24"/>
        </w:rPr>
        <w:t>En tal virtud, la Sala considera que no</w:t>
      </w:r>
      <w:r>
        <w:rPr>
          <w:rFonts w:ascii="Century Gothic" w:hAnsi="Century Gothic" w:cs="Arial"/>
          <w:spacing w:val="-3"/>
          <w:sz w:val="24"/>
          <w:szCs w:val="24"/>
        </w:rPr>
        <w:t xml:space="preserve"> fue desvirtuada la legalidad de los </w:t>
      </w:r>
      <w:r w:rsidRPr="00C15D3D">
        <w:rPr>
          <w:rFonts w:ascii="Century Gothic" w:hAnsi="Century Gothic" w:cs="Arial"/>
          <w:spacing w:val="-3"/>
          <w:sz w:val="24"/>
          <w:szCs w:val="24"/>
        </w:rPr>
        <w:t>actos administrativos demandados</w:t>
      </w:r>
      <w:r>
        <w:rPr>
          <w:rFonts w:ascii="Century Gothic" w:hAnsi="Century Gothic" w:cs="Arial"/>
          <w:spacing w:val="-3"/>
          <w:sz w:val="24"/>
          <w:szCs w:val="24"/>
        </w:rPr>
        <w:t>,</w:t>
      </w:r>
      <w:r w:rsidRPr="00C15D3D">
        <w:rPr>
          <w:rFonts w:ascii="Century Gothic" w:hAnsi="Century Gothic" w:cs="Arial"/>
          <w:spacing w:val="-3"/>
          <w:sz w:val="24"/>
          <w:szCs w:val="24"/>
        </w:rPr>
        <w:t xml:space="preserve"> razón por la cual se confirmará la sentencia apelada.</w:t>
      </w:r>
    </w:p>
    <w:p w:rsidR="00C85E39" w:rsidRPr="00842328" w:rsidRDefault="00C85E39" w:rsidP="00C85E39">
      <w:pPr>
        <w:spacing w:after="0" w:line="300" w:lineRule="auto"/>
        <w:jc w:val="both"/>
        <w:rPr>
          <w:rFonts w:ascii="Century Gothic" w:hAnsi="Century Gothic"/>
          <w:b/>
          <w:sz w:val="24"/>
          <w:szCs w:val="24"/>
        </w:rPr>
      </w:pPr>
    </w:p>
    <w:p w:rsidR="00C85E39" w:rsidRPr="008A66F6" w:rsidRDefault="00C85E39" w:rsidP="00C85E39">
      <w:pPr>
        <w:spacing w:after="0"/>
        <w:jc w:val="both"/>
        <w:rPr>
          <w:rFonts w:ascii="Century Gothic" w:hAnsi="Century Gothic"/>
          <w:b/>
          <w:sz w:val="24"/>
          <w:szCs w:val="24"/>
        </w:rPr>
      </w:pPr>
      <w:r w:rsidRPr="008A66F6">
        <w:rPr>
          <w:rFonts w:ascii="Century Gothic" w:hAnsi="Century Gothic"/>
          <w:b/>
          <w:sz w:val="24"/>
          <w:szCs w:val="24"/>
        </w:rPr>
        <w:t>6. Condena en costas.</w:t>
      </w:r>
    </w:p>
    <w:p w:rsidR="00C85E39" w:rsidRPr="008A66F6" w:rsidRDefault="00C85E39" w:rsidP="00C85E39">
      <w:pPr>
        <w:spacing w:after="0"/>
        <w:jc w:val="both"/>
        <w:rPr>
          <w:rFonts w:ascii="Century Gothic" w:hAnsi="Century Gothic"/>
          <w:sz w:val="24"/>
          <w:szCs w:val="24"/>
        </w:rPr>
      </w:pPr>
    </w:p>
    <w:p w:rsidR="00C85E39" w:rsidRPr="008B04AD" w:rsidRDefault="00C85E39" w:rsidP="00C85E39">
      <w:pPr>
        <w:spacing w:after="0"/>
        <w:jc w:val="both"/>
        <w:rPr>
          <w:rFonts w:ascii="Century Gothic" w:eastAsia="Calibri" w:hAnsi="Century Gothic" w:cs="Times New Roman"/>
          <w:sz w:val="24"/>
          <w:szCs w:val="24"/>
          <w:lang w:eastAsia="es-CO"/>
        </w:rPr>
      </w:pPr>
      <w:r w:rsidRPr="008B04AD">
        <w:rPr>
          <w:rFonts w:ascii="Century Gothic" w:eastAsia="Calibri" w:hAnsi="Century Gothic" w:cs="Times New Roman"/>
          <w:sz w:val="24"/>
          <w:szCs w:val="24"/>
          <w:lang w:eastAsia="es-CO"/>
        </w:rPr>
        <w:t>Aplica la Sala el artículo 188 del CPACA, el cual remite al artículo 365 del Código General del Proceso, en el sentido de señalar que se condenará en costas a la parte vencida en el proceso, o a quien se le resuelva desfavorablemente el recurso de apelación.</w:t>
      </w:r>
    </w:p>
    <w:p w:rsidR="00C85E39" w:rsidRPr="008B04AD" w:rsidRDefault="00C85E39" w:rsidP="00C85E39">
      <w:pPr>
        <w:spacing w:after="0"/>
        <w:jc w:val="both"/>
        <w:rPr>
          <w:rFonts w:ascii="Century Gothic" w:eastAsia="Calibri" w:hAnsi="Century Gothic" w:cs="Times New Roman"/>
          <w:sz w:val="24"/>
          <w:szCs w:val="24"/>
          <w:lang w:eastAsia="es-CO"/>
        </w:rPr>
      </w:pPr>
    </w:p>
    <w:p w:rsidR="00C85E39" w:rsidRPr="008B04AD" w:rsidRDefault="00C85E39" w:rsidP="00C85E39">
      <w:pPr>
        <w:spacing w:after="0"/>
        <w:jc w:val="both"/>
        <w:rPr>
          <w:rFonts w:ascii="Century Gothic" w:eastAsia="Calibri" w:hAnsi="Century Gothic" w:cs="Times New Roman"/>
          <w:sz w:val="24"/>
          <w:szCs w:val="24"/>
          <w:lang w:eastAsia="es-CO"/>
        </w:rPr>
      </w:pPr>
      <w:r w:rsidRPr="008B04AD">
        <w:rPr>
          <w:rFonts w:ascii="Century Gothic" w:eastAsia="Calibri" w:hAnsi="Century Gothic" w:cs="Times New Roman"/>
          <w:sz w:val="24"/>
          <w:szCs w:val="24"/>
          <w:lang w:eastAsia="es-CO"/>
        </w:rPr>
        <w:t>En ese sentido, habiendo sido resuelto de forma desfavorable el recurso de apelación de la parte demandada en el presente asunto, se encuentra procedente la condena en costas en segunda instancia, en la modalidad de gastos del proceso y agencias en derecho, a favor de la parte demanda</w:t>
      </w:r>
      <w:r>
        <w:rPr>
          <w:rFonts w:ascii="Century Gothic" w:eastAsia="Calibri" w:hAnsi="Century Gothic" w:cs="Times New Roman"/>
          <w:sz w:val="24"/>
          <w:szCs w:val="24"/>
          <w:lang w:eastAsia="es-CO"/>
        </w:rPr>
        <w:t>nte</w:t>
      </w:r>
      <w:r w:rsidRPr="008B04AD">
        <w:rPr>
          <w:rFonts w:ascii="Century Gothic" w:eastAsia="Calibri" w:hAnsi="Century Gothic" w:cs="Times New Roman"/>
          <w:sz w:val="24"/>
          <w:szCs w:val="24"/>
          <w:lang w:eastAsia="es-CO"/>
        </w:rPr>
        <w:t xml:space="preserve">, condena que deberá ser liquidada por la Secretaría del Juzgado de Primera Instancia de conformidad con lo dispuesto en el artículo 366 del Código General del Proceso. </w:t>
      </w:r>
    </w:p>
    <w:p w:rsidR="00C85E39" w:rsidRPr="008B04AD" w:rsidRDefault="00C85E39" w:rsidP="00C85E39">
      <w:pPr>
        <w:spacing w:after="0"/>
        <w:jc w:val="both"/>
        <w:rPr>
          <w:rFonts w:ascii="Century Gothic" w:eastAsia="Calibri" w:hAnsi="Century Gothic" w:cs="Times New Roman"/>
          <w:sz w:val="24"/>
          <w:szCs w:val="24"/>
          <w:lang w:eastAsia="es-CO"/>
        </w:rPr>
      </w:pPr>
    </w:p>
    <w:p w:rsidR="00C85E39" w:rsidRPr="008B04AD" w:rsidRDefault="00C85E39" w:rsidP="00C85E39">
      <w:pPr>
        <w:spacing w:after="0"/>
        <w:jc w:val="both"/>
        <w:rPr>
          <w:rFonts w:ascii="Century Gothic" w:eastAsia="Calibri" w:hAnsi="Century Gothic" w:cs="Times New Roman"/>
          <w:sz w:val="24"/>
          <w:szCs w:val="24"/>
          <w:lang w:eastAsia="es-CO"/>
        </w:rPr>
      </w:pPr>
      <w:r w:rsidRPr="008B04AD">
        <w:rPr>
          <w:rFonts w:ascii="Century Gothic" w:eastAsia="Calibri" w:hAnsi="Century Gothic" w:cs="Times New Roman"/>
          <w:sz w:val="24"/>
          <w:szCs w:val="24"/>
          <w:lang w:eastAsia="es-CO"/>
        </w:rPr>
        <w:t>En este caso, se tendrán en cuenta los siguientes factores: i) el trámite del recurso, ii) la naturaleza del proceso y iii) la</w:t>
      </w:r>
      <w:r>
        <w:rPr>
          <w:rFonts w:ascii="Century Gothic" w:eastAsia="Calibri" w:hAnsi="Century Gothic" w:cs="Times New Roman"/>
          <w:sz w:val="24"/>
          <w:szCs w:val="24"/>
          <w:lang w:eastAsia="es-CO"/>
        </w:rPr>
        <w:t xml:space="preserve"> gestión de la parte demandante.</w:t>
      </w:r>
    </w:p>
    <w:p w:rsidR="00C85E39" w:rsidRPr="008B04AD" w:rsidRDefault="00C85E39" w:rsidP="00C85E39">
      <w:pPr>
        <w:spacing w:after="0"/>
        <w:jc w:val="both"/>
        <w:rPr>
          <w:rFonts w:ascii="Century Gothic" w:eastAsia="Calibri" w:hAnsi="Century Gothic" w:cs="Times New Roman"/>
          <w:sz w:val="24"/>
          <w:szCs w:val="24"/>
          <w:lang w:eastAsia="es-CO"/>
        </w:rPr>
      </w:pPr>
    </w:p>
    <w:p w:rsidR="00C85E39" w:rsidRPr="008B04AD" w:rsidRDefault="00C85E39" w:rsidP="00C85E39">
      <w:pPr>
        <w:spacing w:after="0"/>
        <w:jc w:val="both"/>
        <w:rPr>
          <w:rFonts w:ascii="Century Gothic" w:eastAsia="Calibri" w:hAnsi="Century Gothic" w:cs="Times New Roman"/>
          <w:sz w:val="24"/>
          <w:szCs w:val="24"/>
          <w:lang w:eastAsia="es-CO"/>
        </w:rPr>
      </w:pPr>
      <w:r w:rsidRPr="008B04AD">
        <w:rPr>
          <w:rFonts w:ascii="Century Gothic" w:eastAsia="Calibri" w:hAnsi="Century Gothic" w:cs="Times New Roman"/>
          <w:sz w:val="24"/>
          <w:szCs w:val="24"/>
          <w:lang w:eastAsia="es-CO"/>
        </w:rPr>
        <w:t>En consecuencia, se condenará en costas a la parte demandada, las cuales deberán ser liquidadas por el juzgado de primera instancia.</w:t>
      </w:r>
    </w:p>
    <w:p w:rsidR="00C85E39" w:rsidRPr="008B04AD" w:rsidRDefault="00C85E39" w:rsidP="00C85E39">
      <w:pPr>
        <w:spacing w:after="0"/>
        <w:jc w:val="both"/>
        <w:rPr>
          <w:rFonts w:ascii="Century Gothic" w:eastAsia="Calibri" w:hAnsi="Century Gothic" w:cs="Times New Roman"/>
          <w:sz w:val="24"/>
          <w:szCs w:val="24"/>
          <w:lang w:eastAsia="es-CO"/>
        </w:rPr>
      </w:pPr>
    </w:p>
    <w:p w:rsidR="00C85E39" w:rsidRDefault="00C85E39" w:rsidP="00C85E39">
      <w:pPr>
        <w:spacing w:after="0"/>
        <w:jc w:val="both"/>
        <w:rPr>
          <w:rFonts w:ascii="Century Gothic" w:eastAsia="Calibri" w:hAnsi="Century Gothic" w:cs="Times New Roman"/>
          <w:sz w:val="24"/>
          <w:szCs w:val="24"/>
          <w:lang w:eastAsia="es-CO"/>
        </w:rPr>
      </w:pPr>
      <w:r w:rsidRPr="008B04AD">
        <w:rPr>
          <w:rFonts w:ascii="Century Gothic" w:eastAsia="Calibri" w:hAnsi="Century Gothic" w:cs="Times New Roman"/>
          <w:sz w:val="24"/>
          <w:szCs w:val="24"/>
          <w:lang w:eastAsia="es-CO"/>
        </w:rPr>
        <w:t xml:space="preserve">En mérito de lo expuesto, el </w:t>
      </w:r>
      <w:r w:rsidRPr="008B04AD">
        <w:rPr>
          <w:rFonts w:ascii="Century Gothic" w:eastAsia="Calibri" w:hAnsi="Century Gothic" w:cs="Times New Roman"/>
          <w:b/>
          <w:sz w:val="24"/>
          <w:szCs w:val="24"/>
          <w:lang w:eastAsia="es-CO"/>
        </w:rPr>
        <w:t>TRIBUNAL ADMINISTRATIVO DE BOLÍVAR</w:t>
      </w:r>
      <w:r w:rsidRPr="008B04AD">
        <w:rPr>
          <w:rFonts w:ascii="Century Gothic" w:eastAsia="Calibri" w:hAnsi="Century Gothic" w:cs="Times New Roman"/>
          <w:sz w:val="24"/>
          <w:szCs w:val="24"/>
          <w:lang w:eastAsia="es-CO"/>
        </w:rPr>
        <w:t xml:space="preserve"> administrando justicia en nombre de la República y por autoridad de la Ley,</w:t>
      </w:r>
    </w:p>
    <w:p w:rsidR="00C85E39" w:rsidRPr="008A66F6" w:rsidRDefault="00C85E39" w:rsidP="00C85E39">
      <w:pPr>
        <w:spacing w:after="0"/>
        <w:jc w:val="both"/>
        <w:rPr>
          <w:rFonts w:ascii="Century Gothic" w:hAnsi="Century Gothic" w:cs="Century Gothic"/>
          <w:bCs/>
          <w:sz w:val="24"/>
          <w:szCs w:val="24"/>
        </w:rPr>
      </w:pPr>
      <w:r w:rsidRPr="008A66F6">
        <w:rPr>
          <w:rFonts w:ascii="Century Gothic" w:hAnsi="Century Gothic" w:cs="Century Gothic"/>
          <w:bCs/>
          <w:sz w:val="24"/>
          <w:szCs w:val="24"/>
        </w:rPr>
        <w:t xml:space="preserve">     </w:t>
      </w:r>
    </w:p>
    <w:p w:rsidR="00C85E39" w:rsidRPr="008A66F6" w:rsidRDefault="00C85E39" w:rsidP="00C85E39">
      <w:pPr>
        <w:spacing w:after="0"/>
        <w:jc w:val="center"/>
        <w:rPr>
          <w:rFonts w:ascii="Century Gothic" w:hAnsi="Century Gothic" w:cs="Arial"/>
          <w:b/>
          <w:iCs/>
          <w:sz w:val="24"/>
          <w:szCs w:val="24"/>
        </w:rPr>
      </w:pPr>
      <w:r>
        <w:rPr>
          <w:rFonts w:ascii="Century Gothic" w:hAnsi="Century Gothic" w:cs="Arial"/>
          <w:b/>
          <w:iCs/>
          <w:sz w:val="24"/>
          <w:szCs w:val="24"/>
        </w:rPr>
        <w:lastRenderedPageBreak/>
        <w:t xml:space="preserve">VI. </w:t>
      </w:r>
      <w:r w:rsidRPr="008A66F6">
        <w:rPr>
          <w:rFonts w:ascii="Century Gothic" w:hAnsi="Century Gothic" w:cs="Arial"/>
          <w:b/>
          <w:iCs/>
          <w:sz w:val="24"/>
          <w:szCs w:val="24"/>
        </w:rPr>
        <w:t>FALLA</w:t>
      </w:r>
    </w:p>
    <w:p w:rsidR="00C85E39" w:rsidRPr="008A66F6" w:rsidRDefault="00C85E39" w:rsidP="00C85E39">
      <w:pPr>
        <w:spacing w:after="0"/>
        <w:jc w:val="center"/>
        <w:rPr>
          <w:rFonts w:ascii="Century Gothic" w:hAnsi="Century Gothic" w:cs="Arial"/>
          <w:b/>
          <w:iCs/>
          <w:sz w:val="24"/>
          <w:szCs w:val="24"/>
          <w:lang w:val="es-CO"/>
        </w:rPr>
      </w:pPr>
    </w:p>
    <w:p w:rsidR="00C85E39" w:rsidRPr="001D2F6A" w:rsidRDefault="00C85E39" w:rsidP="00C85E39">
      <w:pPr>
        <w:spacing w:after="0" w:line="300" w:lineRule="auto"/>
        <w:jc w:val="both"/>
        <w:rPr>
          <w:rFonts w:ascii="Century Gothic" w:eastAsia="Calibri" w:hAnsi="Century Gothic" w:cs="Arial"/>
          <w:bCs/>
          <w:color w:val="000000" w:themeColor="text1"/>
          <w:sz w:val="24"/>
          <w:szCs w:val="24"/>
          <w:shd w:val="clear" w:color="auto" w:fill="FFFFFF"/>
        </w:rPr>
      </w:pPr>
      <w:r w:rsidRPr="001D2F6A">
        <w:rPr>
          <w:rFonts w:ascii="Century Gothic" w:hAnsi="Century Gothic"/>
          <w:b/>
          <w:iCs/>
          <w:sz w:val="24"/>
          <w:szCs w:val="24"/>
          <w:lang w:val="es-CO"/>
        </w:rPr>
        <w:t xml:space="preserve">PRIMERO: </w:t>
      </w:r>
      <w:r>
        <w:rPr>
          <w:rFonts w:ascii="Century Gothic" w:hAnsi="Century Gothic" w:cs="Arial"/>
          <w:b/>
          <w:iCs/>
          <w:sz w:val="24"/>
          <w:szCs w:val="24"/>
        </w:rPr>
        <w:t xml:space="preserve">CONFIRMAR </w:t>
      </w:r>
      <w:r w:rsidRPr="001D2F6A">
        <w:rPr>
          <w:rFonts w:ascii="Century Gothic" w:hAnsi="Century Gothic" w:cs="Arial"/>
          <w:iCs/>
          <w:sz w:val="24"/>
          <w:szCs w:val="24"/>
        </w:rPr>
        <w:t>la</w:t>
      </w:r>
      <w:r w:rsidRPr="001D2F6A">
        <w:rPr>
          <w:rFonts w:ascii="Century Gothic" w:hAnsi="Century Gothic" w:cs="Arial"/>
          <w:b/>
          <w:iCs/>
          <w:sz w:val="24"/>
          <w:szCs w:val="24"/>
        </w:rPr>
        <w:t xml:space="preserve"> </w:t>
      </w:r>
      <w:r w:rsidRPr="001D2F6A">
        <w:rPr>
          <w:rFonts w:ascii="Century Gothic" w:hAnsi="Century Gothic" w:cs="Century Gothic"/>
          <w:bCs/>
          <w:sz w:val="24"/>
          <w:szCs w:val="24"/>
        </w:rPr>
        <w:t>sentencia de fecha</w:t>
      </w:r>
      <w:r w:rsidRPr="00EA3442">
        <w:t xml:space="preserve"> </w:t>
      </w:r>
      <w:r w:rsidRPr="00EA3442">
        <w:rPr>
          <w:rFonts w:ascii="Century Gothic" w:hAnsi="Century Gothic" w:cs="Century Gothic"/>
          <w:bCs/>
          <w:sz w:val="24"/>
          <w:szCs w:val="24"/>
        </w:rPr>
        <w:t xml:space="preserve"> veintiséis (26) de enero de dos mil diecisiete (2017), proferida por el Juzgado Quinto Administrativo del Circuito de Cartagena</w:t>
      </w:r>
      <w:r w:rsidRPr="001D2F6A">
        <w:rPr>
          <w:rFonts w:ascii="Century Gothic" w:eastAsia="Times New Roman" w:hAnsi="Century Gothic" w:cs="Arial"/>
          <w:iCs/>
          <w:color w:val="000000" w:themeColor="text1"/>
          <w:sz w:val="24"/>
          <w:szCs w:val="24"/>
          <w:lang w:val="es-CO" w:eastAsia="es-ES"/>
        </w:rPr>
        <w:t xml:space="preserve">, </w:t>
      </w:r>
      <w:r w:rsidRPr="001D2F6A">
        <w:rPr>
          <w:rFonts w:ascii="Century Gothic" w:eastAsia="Calibri" w:hAnsi="Century Gothic" w:cs="Arial"/>
          <w:bCs/>
          <w:color w:val="000000" w:themeColor="text1"/>
          <w:sz w:val="24"/>
          <w:szCs w:val="24"/>
          <w:shd w:val="clear" w:color="auto" w:fill="FFFFFF"/>
        </w:rPr>
        <w:t xml:space="preserve">de conformidad con lo expuesto en la parte motiva de esta providencia. </w:t>
      </w:r>
    </w:p>
    <w:p w:rsidR="00C85E39" w:rsidRPr="001D2F6A" w:rsidRDefault="00C85E39" w:rsidP="00C85E39">
      <w:pPr>
        <w:spacing w:after="0" w:line="300" w:lineRule="auto"/>
        <w:jc w:val="both"/>
        <w:rPr>
          <w:rFonts w:ascii="Century Gothic" w:hAnsi="Century Gothic" w:cs="Arial"/>
          <w:b/>
          <w:iCs/>
          <w:sz w:val="24"/>
          <w:szCs w:val="24"/>
        </w:rPr>
      </w:pPr>
    </w:p>
    <w:p w:rsidR="00C85E39" w:rsidRPr="007A4DDB" w:rsidRDefault="00C85E39" w:rsidP="00C85E39">
      <w:pPr>
        <w:spacing w:after="0" w:line="300" w:lineRule="auto"/>
        <w:jc w:val="both"/>
        <w:rPr>
          <w:rFonts w:ascii="Century Gothic" w:hAnsi="Century Gothic" w:cs="Arial"/>
          <w:b/>
          <w:iCs/>
          <w:sz w:val="24"/>
          <w:szCs w:val="24"/>
          <w:lang w:val="es-CO"/>
        </w:rPr>
      </w:pPr>
      <w:r w:rsidRPr="001D2F6A">
        <w:rPr>
          <w:rFonts w:ascii="Century Gothic" w:hAnsi="Century Gothic" w:cs="Arial"/>
          <w:b/>
          <w:iCs/>
          <w:sz w:val="24"/>
          <w:szCs w:val="24"/>
        </w:rPr>
        <w:t xml:space="preserve">SEGUNDO: </w:t>
      </w:r>
      <w:r w:rsidRPr="001D2F6A">
        <w:rPr>
          <w:rFonts w:ascii="Century Gothic" w:hAnsi="Century Gothic" w:cs="Arial"/>
          <w:b/>
          <w:iCs/>
          <w:sz w:val="24"/>
          <w:szCs w:val="24"/>
          <w:lang w:val="es-CO"/>
        </w:rPr>
        <w:t xml:space="preserve">CONDENAR </w:t>
      </w:r>
      <w:r w:rsidRPr="00C66865">
        <w:rPr>
          <w:rFonts w:ascii="Century Gothic" w:hAnsi="Century Gothic" w:cs="Arial"/>
          <w:iCs/>
          <w:sz w:val="24"/>
          <w:szCs w:val="24"/>
          <w:lang w:val="es-CO"/>
        </w:rPr>
        <w:t>en costas de segunda instancia a la parte demandante, liquídense por la Secretaría del Juzgado de Primera instancia, conforme lo dispuesto en el artículo 366 del C.G.P., incluyéndose en dicha liquidación las agencias en derecho, de conformidad con lo expuesto en la parte motiva de esta providencia</w:t>
      </w:r>
    </w:p>
    <w:p w:rsidR="00C85E39" w:rsidRDefault="00C85E39" w:rsidP="00C85E39">
      <w:pPr>
        <w:spacing w:after="0" w:line="300" w:lineRule="auto"/>
        <w:jc w:val="both"/>
        <w:rPr>
          <w:rFonts w:ascii="Century Gothic" w:hAnsi="Century Gothic" w:cs="Arial"/>
          <w:b/>
          <w:iCs/>
          <w:sz w:val="24"/>
          <w:szCs w:val="24"/>
          <w:lang w:val="es-CO"/>
        </w:rPr>
      </w:pPr>
    </w:p>
    <w:p w:rsidR="00C85E39" w:rsidRPr="001D2F6A" w:rsidRDefault="00C85E39" w:rsidP="00C85E39">
      <w:pPr>
        <w:spacing w:after="0" w:line="300" w:lineRule="auto"/>
        <w:jc w:val="both"/>
        <w:rPr>
          <w:rFonts w:ascii="Century Gothic" w:eastAsia="Times New Roman" w:hAnsi="Century Gothic" w:cs="Times New Roman"/>
          <w:sz w:val="24"/>
          <w:szCs w:val="24"/>
          <w:lang w:val="es-CO" w:eastAsia="es-ES"/>
        </w:rPr>
      </w:pPr>
      <w:r>
        <w:rPr>
          <w:rFonts w:ascii="Century Gothic" w:hAnsi="Century Gothic" w:cs="Arial"/>
          <w:b/>
          <w:iCs/>
          <w:sz w:val="24"/>
          <w:szCs w:val="24"/>
          <w:lang w:val="es-CO"/>
        </w:rPr>
        <w:t>TERCERO</w:t>
      </w:r>
      <w:r w:rsidRPr="001D2F6A">
        <w:rPr>
          <w:rFonts w:ascii="Century Gothic" w:eastAsia="Times New Roman" w:hAnsi="Century Gothic" w:cs="Times New Roman"/>
          <w:b/>
          <w:sz w:val="24"/>
          <w:szCs w:val="24"/>
          <w:lang w:val="es-CO" w:eastAsia="es-ES"/>
        </w:rPr>
        <w:t>:</w:t>
      </w:r>
      <w:r w:rsidRPr="001D2F6A">
        <w:rPr>
          <w:rFonts w:ascii="Century Gothic" w:eastAsia="Times New Roman" w:hAnsi="Century Gothic" w:cs="Times New Roman"/>
          <w:sz w:val="24"/>
          <w:szCs w:val="24"/>
          <w:lang w:val="es-CO" w:eastAsia="es-ES"/>
        </w:rPr>
        <w:t xml:space="preserve"> Ejecutoriada la presente providencia, previas las anotaciones de rigor, devuélvase el expediente al juzgado de origen.</w:t>
      </w:r>
    </w:p>
    <w:p w:rsidR="00C85E39" w:rsidRPr="008A66F6" w:rsidRDefault="00C85E39" w:rsidP="00C85E39">
      <w:pPr>
        <w:spacing w:after="0"/>
        <w:jc w:val="both"/>
        <w:rPr>
          <w:rFonts w:ascii="Century Gothic" w:hAnsi="Century Gothic" w:cs="Arial"/>
          <w:b/>
          <w:iCs/>
          <w:sz w:val="24"/>
          <w:szCs w:val="24"/>
          <w:lang w:val="es-CO"/>
        </w:rPr>
      </w:pPr>
    </w:p>
    <w:p w:rsidR="00C85E39" w:rsidRPr="008A66F6" w:rsidRDefault="00C85E39" w:rsidP="00C85E39">
      <w:pPr>
        <w:spacing w:after="0"/>
        <w:jc w:val="center"/>
        <w:rPr>
          <w:rFonts w:ascii="Century Gothic" w:hAnsi="Century Gothic" w:cs="Arial"/>
          <w:b/>
          <w:iCs/>
          <w:sz w:val="24"/>
          <w:szCs w:val="24"/>
          <w:lang w:val="es-CO"/>
        </w:rPr>
      </w:pPr>
      <w:r>
        <w:rPr>
          <w:rFonts w:ascii="Century Gothic" w:hAnsi="Century Gothic" w:cs="Arial"/>
          <w:b/>
          <w:iCs/>
          <w:sz w:val="24"/>
          <w:szCs w:val="24"/>
          <w:lang w:val="es-CO"/>
        </w:rPr>
        <w:t>NOTIFÍQUESE Y CÚMPLASE</w:t>
      </w:r>
    </w:p>
    <w:p w:rsidR="00C85E39" w:rsidRPr="00C15D3D" w:rsidRDefault="00C85E39" w:rsidP="00C85E39">
      <w:pPr>
        <w:pStyle w:val="Sangra2detindependiente1"/>
        <w:spacing w:before="0" w:beforeAutospacing="0" w:afterAutospacing="0" w:line="276" w:lineRule="auto"/>
        <w:ind w:left="0" w:firstLine="0"/>
        <w:contextualSpacing/>
        <w:jc w:val="center"/>
        <w:rPr>
          <w:rFonts w:ascii="Century Gothic" w:hAnsi="Century Gothic"/>
          <w:i/>
          <w:sz w:val="20"/>
          <w:szCs w:val="20"/>
        </w:rPr>
      </w:pPr>
      <w:r w:rsidRPr="00C15D3D">
        <w:rPr>
          <w:rFonts w:ascii="Century Gothic" w:hAnsi="Century Gothic"/>
          <w:i/>
          <w:sz w:val="20"/>
          <w:szCs w:val="20"/>
        </w:rPr>
        <w:t>Constancia: el proyecto de esta providencia fue estudiado y decidido en sesión de la fecha.</w:t>
      </w:r>
    </w:p>
    <w:p w:rsidR="00C85E39" w:rsidRPr="008A66F6" w:rsidRDefault="00C85E39" w:rsidP="00C85E39">
      <w:pPr>
        <w:pStyle w:val="Sangra2detindependiente1"/>
        <w:spacing w:before="0" w:beforeAutospacing="0" w:afterAutospacing="0" w:line="276" w:lineRule="auto"/>
        <w:ind w:left="0" w:firstLine="0"/>
        <w:contextualSpacing/>
        <w:rPr>
          <w:rFonts w:ascii="Century Gothic" w:hAnsi="Century Gothic"/>
          <w:b/>
        </w:rPr>
      </w:pPr>
    </w:p>
    <w:p w:rsidR="00C85E39" w:rsidRDefault="00C85E39" w:rsidP="00C85E39">
      <w:pPr>
        <w:pStyle w:val="Sangra2detindependiente1"/>
        <w:spacing w:before="0" w:beforeAutospacing="0" w:afterAutospacing="0" w:line="276" w:lineRule="auto"/>
        <w:ind w:left="0" w:firstLine="0"/>
        <w:contextualSpacing/>
        <w:jc w:val="center"/>
        <w:rPr>
          <w:rFonts w:ascii="Century Gothic" w:hAnsi="Century Gothic"/>
          <w:b/>
        </w:rPr>
      </w:pPr>
      <w:r w:rsidRPr="008A66F6">
        <w:rPr>
          <w:rFonts w:ascii="Century Gothic" w:hAnsi="Century Gothic"/>
          <w:b/>
        </w:rPr>
        <w:t>LOS MAGISTRADOS</w:t>
      </w:r>
    </w:p>
    <w:p w:rsidR="00C85E39" w:rsidRDefault="00C85E39" w:rsidP="00C85E39">
      <w:pPr>
        <w:pStyle w:val="Sangra2detindependiente1"/>
        <w:spacing w:before="0" w:beforeAutospacing="0" w:afterAutospacing="0" w:line="276" w:lineRule="auto"/>
        <w:ind w:left="0" w:firstLine="0"/>
        <w:contextualSpacing/>
        <w:jc w:val="center"/>
        <w:rPr>
          <w:rFonts w:ascii="Century Gothic" w:hAnsi="Century Gothic"/>
          <w:b/>
        </w:rPr>
      </w:pPr>
    </w:p>
    <w:p w:rsidR="00C85E39" w:rsidRPr="008A66F6" w:rsidRDefault="00C85E39" w:rsidP="00C85E39">
      <w:pPr>
        <w:pStyle w:val="Sangra2detindependiente1"/>
        <w:spacing w:before="0" w:beforeAutospacing="0" w:afterAutospacing="0" w:line="276" w:lineRule="auto"/>
        <w:ind w:left="0" w:firstLine="0"/>
        <w:contextualSpacing/>
        <w:jc w:val="center"/>
        <w:rPr>
          <w:rFonts w:ascii="Century Gothic" w:hAnsi="Century Gothic"/>
          <w:b/>
        </w:rPr>
      </w:pPr>
    </w:p>
    <w:p w:rsidR="00C85E39" w:rsidRPr="008A66F6" w:rsidRDefault="00C85E39" w:rsidP="00C85E39">
      <w:pPr>
        <w:contextualSpacing/>
        <w:rPr>
          <w:rFonts w:ascii="Century Gothic" w:hAnsi="Century Gothic" w:cs="Arial"/>
        </w:rPr>
      </w:pPr>
      <w:r>
        <w:rPr>
          <w:rFonts w:ascii="Century Gothic" w:hAnsi="Century Gothic" w:cs="Arial"/>
        </w:rPr>
        <w:t xml:space="preserve">                                                            ORIGINAL CON FIRMA</w:t>
      </w:r>
    </w:p>
    <w:p w:rsidR="00C85E39" w:rsidRPr="008A66F6" w:rsidRDefault="00C85E39" w:rsidP="00C85E39">
      <w:pPr>
        <w:spacing w:after="0"/>
        <w:jc w:val="center"/>
        <w:rPr>
          <w:rFonts w:ascii="Century Gothic" w:hAnsi="Century Gothic" w:cs="Century Gothic"/>
          <w:b/>
          <w:bCs/>
          <w:sz w:val="24"/>
          <w:szCs w:val="24"/>
        </w:rPr>
      </w:pPr>
      <w:r>
        <w:rPr>
          <w:rFonts w:ascii="Century Gothic" w:hAnsi="Century Gothic" w:cs="Century Gothic"/>
          <w:b/>
          <w:bCs/>
          <w:sz w:val="24"/>
          <w:szCs w:val="24"/>
        </w:rPr>
        <w:t>LUIS MIGUEL VILLALOBOS ÁLVAREZ</w:t>
      </w:r>
    </w:p>
    <w:p w:rsidR="00C85E39" w:rsidRPr="00C85E39" w:rsidRDefault="00C85E39" w:rsidP="00C85E39">
      <w:pPr>
        <w:spacing w:after="0"/>
        <w:rPr>
          <w:rFonts w:ascii="Century Gothic" w:hAnsi="Century Gothic" w:cs="Century Gothic"/>
          <w:bCs/>
          <w:sz w:val="24"/>
          <w:szCs w:val="24"/>
        </w:rPr>
      </w:pPr>
    </w:p>
    <w:p w:rsidR="00C85E39" w:rsidRPr="00C85E39" w:rsidRDefault="00C85E39" w:rsidP="00C85E39">
      <w:pPr>
        <w:spacing w:after="0"/>
        <w:rPr>
          <w:rFonts w:ascii="Century Gothic" w:hAnsi="Century Gothic" w:cs="Century Gothic"/>
          <w:bCs/>
          <w:sz w:val="24"/>
          <w:szCs w:val="24"/>
        </w:rPr>
      </w:pPr>
      <w:r w:rsidRPr="00C85E39">
        <w:rPr>
          <w:rFonts w:ascii="Century Gothic" w:hAnsi="Century Gothic" w:cs="Century Gothic"/>
          <w:bCs/>
          <w:sz w:val="24"/>
          <w:szCs w:val="24"/>
        </w:rPr>
        <w:t xml:space="preserve">                ORIGINAL CON FRMA                                  ORIGINAL CON FIRMA </w:t>
      </w:r>
    </w:p>
    <w:p w:rsidR="00C85E39" w:rsidRPr="00A75FD6" w:rsidRDefault="00C85E39" w:rsidP="00C85E39">
      <w:pPr>
        <w:spacing w:after="0"/>
        <w:jc w:val="center"/>
        <w:rPr>
          <w:rFonts w:ascii="Century Gothic" w:hAnsi="Century Gothic" w:cs="Century Gothic"/>
          <w:b/>
          <w:bCs/>
          <w:color w:val="808080" w:themeColor="background1" w:themeShade="80"/>
          <w:sz w:val="24"/>
          <w:szCs w:val="24"/>
        </w:rPr>
      </w:pPr>
      <w:r w:rsidRPr="008A66F6">
        <w:rPr>
          <w:rFonts w:ascii="Century Gothic" w:hAnsi="Century Gothic" w:cs="Century Gothic"/>
          <w:b/>
          <w:bCs/>
          <w:sz w:val="24"/>
          <w:szCs w:val="24"/>
        </w:rPr>
        <w:t xml:space="preserve">ROBERTO MARIO CHAVARRO COLPAS       </w:t>
      </w:r>
      <w:r w:rsidRPr="008A66F6">
        <w:rPr>
          <w:rFonts w:ascii="Century Gothic" w:hAnsi="Century Gothic" w:cs="Century Gothic"/>
          <w:b/>
          <w:bCs/>
          <w:sz w:val="24"/>
          <w:szCs w:val="24"/>
        </w:rPr>
        <w:tab/>
        <w:t xml:space="preserve">JOSÉ </w:t>
      </w:r>
      <w:r w:rsidRPr="00592A3D">
        <w:rPr>
          <w:rFonts w:ascii="Century Gothic" w:hAnsi="Century Gothic" w:cs="Century Gothic"/>
          <w:b/>
          <w:bCs/>
          <w:sz w:val="24"/>
          <w:szCs w:val="24"/>
        </w:rPr>
        <w:t>RAFAEL GUERRERO LEAL</w:t>
      </w:r>
    </w:p>
    <w:p w:rsidR="00B24C5E" w:rsidRPr="00C85E39" w:rsidRDefault="00B24C5E" w:rsidP="00C85E39"/>
    <w:sectPr w:rsidR="00B24C5E" w:rsidRPr="00C85E39"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D45C4A"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D45C4A">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45C4A">
              <w:rPr>
                <w:b/>
                <w:bCs/>
                <w:noProof/>
              </w:rPr>
              <w:t>21</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C85E39" w:rsidRDefault="00C85E39" w:rsidP="00C85E39">
      <w:pPr>
        <w:pStyle w:val="Textonotapie"/>
      </w:pPr>
      <w:r>
        <w:rPr>
          <w:rStyle w:val="Refdenotaalpie"/>
        </w:rPr>
        <w:footnoteRef/>
      </w:r>
      <w:r>
        <w:t xml:space="preserve"> Decreto 2685 de 1999.</w:t>
      </w:r>
    </w:p>
  </w:footnote>
  <w:footnote w:id="2">
    <w:p w:rsidR="00C85E39" w:rsidRPr="00C96730" w:rsidRDefault="00C85E39" w:rsidP="00C85E39">
      <w:pPr>
        <w:pStyle w:val="Textonotapie"/>
        <w:jc w:val="both"/>
        <w:rPr>
          <w:rFonts w:ascii="Century Gothic" w:hAnsi="Century Gothic" w:cs="Arial"/>
        </w:rPr>
      </w:pPr>
      <w:r w:rsidRPr="00C96730">
        <w:rPr>
          <w:rStyle w:val="Refdenotaalpie"/>
          <w:rFonts w:ascii="Century Gothic" w:hAnsi="Century Gothic" w:cs="Arial"/>
        </w:rPr>
        <w:footnoteRef/>
      </w:r>
      <w:r w:rsidRPr="00C96730">
        <w:rPr>
          <w:rFonts w:ascii="Century Gothic" w:hAnsi="Century Gothic" w:cs="Arial"/>
        </w:rPr>
        <w:t xml:space="preserve"> Consejo de Estado, Sección Tercera, Subsección B, sentencia del 6 de abril de 2011, C.P. Stella Conto Díaz del Castillo, Rad. 23001-23-31-000-1999-00291-01(19483). Esta perspectiva de análisis también ha sido adoptada por la Sección Quinta de esta Corporación, como puede apreciarse en: Consejo de Estado, Sección Quinta, sentencia del 30 de agosto de 2017, C.P. Rocío Araujo Oñate, Rad. 13001-23-33-000-2016-00051-01.</w:t>
      </w:r>
    </w:p>
  </w:footnote>
  <w:footnote w:id="3">
    <w:p w:rsidR="00C85E39" w:rsidRPr="00C96730" w:rsidRDefault="00C85E39" w:rsidP="00C85E39">
      <w:pPr>
        <w:pStyle w:val="Textonotapie"/>
        <w:jc w:val="both"/>
        <w:rPr>
          <w:rFonts w:ascii="Century Gothic" w:hAnsi="Century Gothic" w:cs="Arial"/>
        </w:rPr>
      </w:pPr>
      <w:r w:rsidRPr="00C96730">
        <w:rPr>
          <w:rStyle w:val="Refdenotaalpie"/>
          <w:rFonts w:ascii="Century Gothic" w:hAnsi="Century Gothic" w:cs="Arial"/>
        </w:rPr>
        <w:footnoteRef/>
      </w:r>
      <w:r w:rsidRPr="00C96730">
        <w:rPr>
          <w:rFonts w:ascii="Century Gothic" w:hAnsi="Century Gothic" w:cs="Arial"/>
        </w:rPr>
        <w:t xml:space="preserve"> Consejo de Estado, Sección Cuarta, sentencia de 4 de marzo de 2000, Exp.1998-0503-01-9772, M.P. Daniel Manrique Guzmán. </w:t>
      </w:r>
    </w:p>
  </w:footnote>
  <w:footnote w:id="4">
    <w:p w:rsidR="00C85E39" w:rsidRPr="00C96730" w:rsidRDefault="00C85E39" w:rsidP="00C85E39">
      <w:pPr>
        <w:pStyle w:val="Textonotapie"/>
        <w:jc w:val="both"/>
        <w:rPr>
          <w:rFonts w:ascii="Century Gothic" w:hAnsi="Century Gothic" w:cs="Arial"/>
        </w:rPr>
      </w:pPr>
      <w:r w:rsidRPr="00C96730">
        <w:rPr>
          <w:rStyle w:val="Refdenotaalpie"/>
          <w:rFonts w:ascii="Century Gothic" w:hAnsi="Century Gothic" w:cs="Arial"/>
        </w:rPr>
        <w:footnoteRef/>
      </w:r>
      <w:r w:rsidRPr="00C96730">
        <w:rPr>
          <w:rFonts w:ascii="Century Gothic" w:hAnsi="Century Gothic" w:cs="Arial"/>
        </w:rPr>
        <w:t xml:space="preserve"> Consejo de Estado, Sección Segunda, s</w:t>
      </w:r>
      <w:r w:rsidRPr="00C96730">
        <w:rPr>
          <w:rFonts w:ascii="Century Gothic" w:hAnsi="Century Gothic" w:cs="Arial"/>
          <w:bCs/>
          <w:iCs/>
        </w:rPr>
        <w:t>entencia de 19 de mayo de 1998, expediente 10051, M.P. Clara Forero de Castro</w:t>
      </w:r>
      <w:r w:rsidRPr="00C96730">
        <w:rPr>
          <w:rFonts w:ascii="Century Gothic" w:hAnsi="Century Gothic" w:cs="Arial"/>
        </w:rPr>
        <w:t>.</w:t>
      </w:r>
    </w:p>
  </w:footnote>
  <w:footnote w:id="5">
    <w:p w:rsidR="00C85E39" w:rsidRPr="00C96730" w:rsidRDefault="00C85E39" w:rsidP="00C85E39">
      <w:pPr>
        <w:pStyle w:val="Textonotapie"/>
        <w:rPr>
          <w:rFonts w:ascii="Century Gothic" w:hAnsi="Century Gothic"/>
        </w:rPr>
      </w:pPr>
      <w:r w:rsidRPr="00C96730">
        <w:rPr>
          <w:rStyle w:val="Refdenotaalpie"/>
          <w:rFonts w:ascii="Century Gothic" w:hAnsi="Century Gothic"/>
        </w:rPr>
        <w:footnoteRef/>
      </w:r>
      <w:r w:rsidRPr="00C96730">
        <w:rPr>
          <w:rFonts w:ascii="Century Gothic" w:hAnsi="Century Gothic"/>
        </w:rPr>
        <w:t xml:space="preserve"> Consejo de Estado, Sección Cuarta, sentencia del 25 de octubre de 2017, C.P. Julio Roberto Piza Rodríguez. Rad. 76001-23-31-000-2011-01859-01(20762).</w:t>
      </w:r>
    </w:p>
  </w:footnote>
  <w:footnote w:id="6">
    <w:p w:rsidR="00C85E39" w:rsidRPr="00C96730" w:rsidRDefault="00C85E39" w:rsidP="00C85E39">
      <w:pPr>
        <w:pStyle w:val="Textonotapie"/>
        <w:rPr>
          <w:rFonts w:ascii="Century Gothic" w:hAnsi="Century Gothic" w:cs="Arial"/>
        </w:rPr>
      </w:pPr>
      <w:r w:rsidRPr="00C96730">
        <w:rPr>
          <w:rFonts w:ascii="Century Gothic" w:hAnsi="Century Gothic" w:cs="Arial"/>
          <w:vertAlign w:val="superscript"/>
        </w:rPr>
        <w:footnoteRef/>
      </w:r>
      <w:r w:rsidRPr="00C96730">
        <w:rPr>
          <w:rFonts w:ascii="Century Gothic" w:hAnsi="Century Gothic" w:cs="Arial"/>
          <w:iCs/>
          <w:color w:val="000000"/>
        </w:rPr>
        <w:t xml:space="preserve">Ver sentencias: SU-250 de 1998, </w:t>
      </w:r>
      <w:r w:rsidRPr="00C96730">
        <w:rPr>
          <w:rFonts w:ascii="Century Gothic" w:hAnsi="Century Gothic" w:cs="Arial"/>
        </w:rPr>
        <w:t>C-038 de 1996, C-054 de 1996, C-368 de 1999, C-371 de 1999, C-599 de 2000, C-646 de 2000, C-734 de 2000, C-292 de 2001, C-392 de 2001 y C-1142 de 2001.</w:t>
      </w:r>
    </w:p>
  </w:footnote>
  <w:footnote w:id="7">
    <w:p w:rsidR="00C85E39" w:rsidRPr="00C96730" w:rsidRDefault="00C85E39" w:rsidP="00C85E39">
      <w:pPr>
        <w:overflowPunct w:val="0"/>
        <w:jc w:val="both"/>
        <w:rPr>
          <w:rFonts w:ascii="Century Gothic" w:hAnsi="Century Gothic" w:cs="Arial"/>
          <w:sz w:val="20"/>
          <w:szCs w:val="20"/>
        </w:rPr>
      </w:pPr>
      <w:r w:rsidRPr="00C96730">
        <w:rPr>
          <w:rFonts w:ascii="Century Gothic" w:hAnsi="Century Gothic" w:cs="Arial"/>
          <w:sz w:val="20"/>
          <w:szCs w:val="20"/>
          <w:vertAlign w:val="superscript"/>
        </w:rPr>
        <w:footnoteRef/>
      </w:r>
      <w:r w:rsidRPr="00C96730">
        <w:rPr>
          <w:rFonts w:ascii="Century Gothic" w:hAnsi="Century Gothic" w:cs="Arial"/>
          <w:sz w:val="20"/>
          <w:szCs w:val="20"/>
        </w:rPr>
        <w:t xml:space="preserve"> </w:t>
      </w:r>
      <w:r w:rsidRPr="00C96730">
        <w:rPr>
          <w:rFonts w:ascii="Century Gothic" w:hAnsi="Century Gothic" w:cs="Arial"/>
          <w:bCs/>
          <w:sz w:val="20"/>
          <w:szCs w:val="20"/>
        </w:rPr>
        <w:t xml:space="preserve">Artículo 1. </w:t>
      </w:r>
      <w:r w:rsidRPr="00C96730">
        <w:rPr>
          <w:rFonts w:ascii="Century Gothic" w:hAnsi="Century Gothic" w:cs="Arial"/>
          <w:sz w:val="20"/>
          <w:szCs w:val="20"/>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footnote>
  <w:footnote w:id="8">
    <w:p w:rsidR="00C85E39" w:rsidRPr="00C96730" w:rsidRDefault="00C85E39" w:rsidP="00C85E39">
      <w:pPr>
        <w:pStyle w:val="Textonotapie"/>
        <w:rPr>
          <w:rFonts w:ascii="Century Gothic" w:hAnsi="Century Gothic" w:cs="Arial"/>
        </w:rPr>
      </w:pPr>
      <w:r w:rsidRPr="00C96730">
        <w:rPr>
          <w:rFonts w:ascii="Century Gothic" w:hAnsi="Century Gothic" w:cs="Arial"/>
          <w:vertAlign w:val="superscript"/>
        </w:rPr>
        <w:footnoteRef/>
      </w:r>
      <w:r w:rsidRPr="00C96730">
        <w:rPr>
          <w:rFonts w:ascii="Century Gothic" w:hAnsi="Century Gothic" w:cs="Arial"/>
        </w:rPr>
        <w:t xml:space="preserve"> Ver sentencias </w:t>
      </w:r>
      <w:r w:rsidRPr="00C96730">
        <w:rPr>
          <w:rFonts w:ascii="Century Gothic" w:hAnsi="Century Gothic" w:cs="Arial"/>
          <w:iCs/>
          <w:color w:val="000000"/>
        </w:rPr>
        <w:t xml:space="preserve">C-371 de 1999 y </w:t>
      </w:r>
      <w:r w:rsidRPr="00C96730">
        <w:rPr>
          <w:rFonts w:ascii="Century Gothic" w:hAnsi="Century Gothic" w:cs="Arial"/>
        </w:rPr>
        <w:t>SU-250 de 98</w:t>
      </w:r>
      <w:r w:rsidRPr="00C96730">
        <w:rPr>
          <w:rFonts w:ascii="Century Gothic" w:hAnsi="Century Gothic" w:cs="Arial"/>
          <w:iCs/>
          <w:color w:val="000000"/>
        </w:rPr>
        <w:t>.</w:t>
      </w:r>
    </w:p>
  </w:footnote>
  <w:footnote w:id="9">
    <w:p w:rsidR="00C85E39" w:rsidRPr="00C96730" w:rsidRDefault="00C85E39" w:rsidP="00C85E39">
      <w:pPr>
        <w:overflowPunct w:val="0"/>
        <w:jc w:val="both"/>
        <w:rPr>
          <w:rFonts w:ascii="Century Gothic" w:hAnsi="Century Gothic" w:cs="Arial"/>
          <w:sz w:val="20"/>
          <w:szCs w:val="20"/>
        </w:rPr>
      </w:pPr>
      <w:r w:rsidRPr="00C96730">
        <w:rPr>
          <w:rFonts w:ascii="Century Gothic" w:hAnsi="Century Gothic" w:cs="Arial"/>
          <w:sz w:val="20"/>
          <w:szCs w:val="20"/>
          <w:vertAlign w:val="superscript"/>
        </w:rPr>
        <w:footnoteRef/>
      </w:r>
      <w:r w:rsidRPr="00C96730">
        <w:rPr>
          <w:rFonts w:ascii="Century Gothic" w:hAnsi="Century Gothic" w:cs="Arial"/>
          <w:sz w:val="20"/>
          <w:szCs w:val="20"/>
        </w:rPr>
        <w:t xml:space="preserve"> </w:t>
      </w:r>
      <w:r w:rsidRPr="00C96730">
        <w:rPr>
          <w:rFonts w:ascii="Century Gothic" w:hAnsi="Century Gothic" w:cs="Arial"/>
          <w:bCs/>
          <w:sz w:val="20"/>
          <w:szCs w:val="20"/>
        </w:rPr>
        <w:t xml:space="preserve">Artículo 29. </w:t>
      </w:r>
      <w:r w:rsidRPr="00C96730">
        <w:rPr>
          <w:rFonts w:ascii="Century Gothic" w:hAnsi="Century Gothic" w:cs="Arial"/>
          <w:sz w:val="20"/>
          <w:szCs w:val="20"/>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w:t>
      </w:r>
    </w:p>
  </w:footnote>
  <w:footnote w:id="10">
    <w:p w:rsidR="00C85E39" w:rsidRPr="00C96730" w:rsidRDefault="00C85E39" w:rsidP="00C85E39">
      <w:pPr>
        <w:pStyle w:val="Textonotapie"/>
        <w:jc w:val="both"/>
        <w:rPr>
          <w:rFonts w:ascii="Century Gothic" w:hAnsi="Century Gothic" w:cs="Arial"/>
        </w:rPr>
      </w:pPr>
      <w:r w:rsidRPr="00C96730">
        <w:rPr>
          <w:rFonts w:ascii="Century Gothic" w:hAnsi="Century Gothic" w:cs="Arial"/>
          <w:vertAlign w:val="superscript"/>
        </w:rPr>
        <w:footnoteRef/>
      </w:r>
      <w:r w:rsidRPr="00C96730">
        <w:rPr>
          <w:rFonts w:ascii="Century Gothic" w:hAnsi="Century Gothic" w:cs="Arial"/>
        </w:rPr>
        <w:t xml:space="preserve"> Ver sentencia </w:t>
      </w:r>
      <w:r w:rsidRPr="00C96730">
        <w:rPr>
          <w:rFonts w:ascii="Century Gothic" w:hAnsi="Century Gothic" w:cs="Arial"/>
          <w:bCs/>
          <w:iCs/>
          <w:color w:val="000000"/>
        </w:rPr>
        <w:t>C-279 de 2007.</w:t>
      </w:r>
    </w:p>
  </w:footnote>
  <w:footnote w:id="11">
    <w:p w:rsidR="00C85E39" w:rsidRPr="00C96730" w:rsidRDefault="00C85E39" w:rsidP="00C85E39">
      <w:pPr>
        <w:overflowPunct w:val="0"/>
        <w:jc w:val="both"/>
        <w:rPr>
          <w:rFonts w:ascii="Century Gothic" w:hAnsi="Century Gothic" w:cs="Arial"/>
          <w:sz w:val="20"/>
          <w:szCs w:val="20"/>
        </w:rPr>
      </w:pPr>
      <w:r w:rsidRPr="00C96730">
        <w:rPr>
          <w:rFonts w:ascii="Century Gothic" w:hAnsi="Century Gothic" w:cs="Arial"/>
          <w:sz w:val="20"/>
          <w:szCs w:val="20"/>
          <w:vertAlign w:val="superscript"/>
        </w:rPr>
        <w:footnoteRef/>
      </w:r>
      <w:r w:rsidRPr="00C96730">
        <w:rPr>
          <w:rFonts w:ascii="Century Gothic" w:hAnsi="Century Gothic" w:cs="Arial"/>
          <w:sz w:val="20"/>
          <w:szCs w:val="20"/>
        </w:rPr>
        <w:t xml:space="preserve"> </w:t>
      </w:r>
      <w:r w:rsidRPr="00C96730">
        <w:rPr>
          <w:rFonts w:ascii="Century Gothic" w:hAnsi="Century Gothic" w:cs="Arial"/>
          <w:bCs/>
          <w:sz w:val="20"/>
          <w:szCs w:val="20"/>
        </w:rPr>
        <w:t xml:space="preserve">Artículo 123. </w:t>
      </w:r>
      <w:r w:rsidRPr="00C96730">
        <w:rPr>
          <w:rFonts w:ascii="Century Gothic" w:hAnsi="Century Gothic" w:cs="Arial"/>
          <w:sz w:val="20"/>
          <w:szCs w:val="20"/>
        </w:rPr>
        <w:t>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por la Constitución, la ley y el reglamento.</w:t>
      </w:r>
    </w:p>
    <w:p w:rsidR="00C85E39" w:rsidRPr="00C96730" w:rsidRDefault="00C85E39" w:rsidP="00C85E39">
      <w:pPr>
        <w:overflowPunct w:val="0"/>
        <w:ind w:right="320"/>
        <w:jc w:val="both"/>
        <w:rPr>
          <w:rFonts w:ascii="Century Gothic" w:hAnsi="Century Gothic" w:cs="Arial"/>
          <w:sz w:val="20"/>
          <w:szCs w:val="20"/>
        </w:rPr>
      </w:pPr>
      <w:r w:rsidRPr="00C96730">
        <w:rPr>
          <w:rFonts w:ascii="Century Gothic" w:hAnsi="Century Gothic" w:cs="Arial"/>
          <w:sz w:val="20"/>
          <w:szCs w:val="20"/>
        </w:rPr>
        <w:t>La ley determinará el régimen aplicable a los particulares que temporalmente desempeñen funciones públicas y regulará su ejercicio.</w:t>
      </w:r>
    </w:p>
  </w:footnote>
  <w:footnote w:id="12">
    <w:p w:rsidR="00C85E39" w:rsidRPr="00C96730" w:rsidRDefault="00C85E39" w:rsidP="00C85E39">
      <w:pPr>
        <w:overflowPunct w:val="0"/>
        <w:ind w:right="320"/>
        <w:jc w:val="both"/>
        <w:rPr>
          <w:rFonts w:ascii="Century Gothic" w:hAnsi="Century Gothic" w:cs="Arial"/>
          <w:sz w:val="20"/>
          <w:szCs w:val="20"/>
        </w:rPr>
      </w:pPr>
      <w:r w:rsidRPr="00C96730">
        <w:rPr>
          <w:rFonts w:ascii="Century Gothic" w:hAnsi="Century Gothic" w:cs="Arial"/>
          <w:sz w:val="20"/>
          <w:szCs w:val="20"/>
          <w:vertAlign w:val="superscript"/>
        </w:rPr>
        <w:footnoteRef/>
      </w:r>
      <w:r w:rsidRPr="00C96730">
        <w:rPr>
          <w:rFonts w:ascii="Century Gothic" w:hAnsi="Century Gothic" w:cs="Arial"/>
          <w:sz w:val="20"/>
          <w:szCs w:val="20"/>
        </w:rPr>
        <w:t xml:space="preserve"> </w:t>
      </w:r>
      <w:r w:rsidRPr="00C96730">
        <w:rPr>
          <w:rFonts w:ascii="Century Gothic" w:hAnsi="Century Gothic" w:cs="Arial"/>
          <w:bCs/>
          <w:sz w:val="20"/>
          <w:szCs w:val="20"/>
        </w:rPr>
        <w:t xml:space="preserve">Artículo 209. </w:t>
      </w:r>
      <w:r w:rsidRPr="00C96730">
        <w:rPr>
          <w:rFonts w:ascii="Century Gothic" w:hAnsi="Century Gothic" w:cs="Arial"/>
          <w:sz w:val="20"/>
          <w:szCs w:val="20"/>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13">
    <w:p w:rsidR="00C85E39" w:rsidRPr="00C96730" w:rsidRDefault="00C85E39" w:rsidP="00C85E39">
      <w:pPr>
        <w:pStyle w:val="Textonotapie"/>
        <w:jc w:val="both"/>
        <w:rPr>
          <w:rFonts w:ascii="Century Gothic" w:hAnsi="Century Gothic" w:cs="Arial"/>
        </w:rPr>
      </w:pPr>
      <w:r w:rsidRPr="00C96730">
        <w:rPr>
          <w:rFonts w:ascii="Century Gothic" w:hAnsi="Century Gothic" w:cs="Arial"/>
          <w:vertAlign w:val="superscript"/>
        </w:rPr>
        <w:footnoteRef/>
      </w:r>
      <w:r w:rsidRPr="00C96730">
        <w:rPr>
          <w:rFonts w:ascii="Century Gothic" w:hAnsi="Century Gothic" w:cs="Arial"/>
        </w:rPr>
        <w:t xml:space="preserve"> Ver sentencias</w:t>
      </w:r>
      <w:r w:rsidRPr="00C96730">
        <w:rPr>
          <w:rFonts w:ascii="Century Gothic" w:hAnsi="Century Gothic" w:cs="Arial"/>
          <w:iCs/>
          <w:color w:val="000000"/>
        </w:rPr>
        <w:t xml:space="preserve"> </w:t>
      </w:r>
      <w:r w:rsidRPr="00C96730">
        <w:rPr>
          <w:rFonts w:ascii="Century Gothic" w:hAnsi="Century Gothic" w:cs="Arial"/>
        </w:rPr>
        <w:t xml:space="preserve">T-552 de 2005, SU-250 de 1998, T-132 de 2007, T-308 de 2008 y T-356 de 2008. </w:t>
      </w:r>
    </w:p>
  </w:footnote>
  <w:footnote w:id="14">
    <w:p w:rsidR="00C85E39" w:rsidRPr="00C96730" w:rsidRDefault="00C85E39" w:rsidP="00C85E39">
      <w:pPr>
        <w:pStyle w:val="Textonotapie"/>
        <w:jc w:val="both"/>
        <w:rPr>
          <w:rFonts w:ascii="Century Gothic" w:hAnsi="Century Gothic" w:cs="Arial"/>
        </w:rPr>
      </w:pPr>
      <w:r w:rsidRPr="00C96730">
        <w:rPr>
          <w:rFonts w:ascii="Century Gothic" w:hAnsi="Century Gothic" w:cs="Arial"/>
          <w:vertAlign w:val="superscript"/>
        </w:rPr>
        <w:footnoteRef/>
      </w:r>
      <w:r w:rsidRPr="00C96730">
        <w:rPr>
          <w:rFonts w:ascii="Century Gothic" w:hAnsi="Century Gothic" w:cs="Arial"/>
        </w:rPr>
        <w:t xml:space="preserve"> Ver sentencia </w:t>
      </w:r>
      <w:r w:rsidRPr="00C96730">
        <w:rPr>
          <w:rFonts w:ascii="Century Gothic" w:hAnsi="Century Gothic" w:cs="Arial"/>
          <w:iCs/>
          <w:color w:val="000000"/>
        </w:rPr>
        <w:t>C-054 de 1996.</w:t>
      </w:r>
    </w:p>
  </w:footnote>
  <w:footnote w:id="15">
    <w:p w:rsidR="00C85E39" w:rsidRPr="00C96730" w:rsidRDefault="00C85E39" w:rsidP="00C85E39">
      <w:pPr>
        <w:pStyle w:val="Textonotapie"/>
        <w:rPr>
          <w:rFonts w:ascii="Century Gothic" w:hAnsi="Century Gothic" w:cs="Arial"/>
        </w:rPr>
      </w:pPr>
      <w:r w:rsidRPr="00C96730">
        <w:rPr>
          <w:rStyle w:val="Refdenotaalpie"/>
          <w:rFonts w:ascii="Century Gothic" w:hAnsi="Century Gothic" w:cs="Arial"/>
        </w:rPr>
        <w:footnoteRef/>
      </w:r>
      <w:r w:rsidRPr="00C96730">
        <w:rPr>
          <w:rFonts w:ascii="Century Gothic" w:hAnsi="Century Gothic" w:cs="Arial"/>
        </w:rPr>
        <w:t xml:space="preserve"> Consejo de Estado, Sección Primera, Consejero Ponente: Oswaldo Giraldo López, fallo de 3 de diciembre de 2018, radicado 11001-03-24-000-2013-00328-00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C85E39">
                            <w:rPr>
                              <w:rFonts w:ascii="Arial Black" w:hAnsi="Arial Black"/>
                              <w:b/>
                              <w:sz w:val="20"/>
                            </w:rPr>
                            <w:t xml:space="preserve"> 065</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C85E39">
                      <w:rPr>
                        <w:rFonts w:ascii="Arial Black" w:hAnsi="Arial Black"/>
                        <w:b/>
                        <w:sz w:val="20"/>
                      </w:rPr>
                      <w:t xml:space="preserve"> 065</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C85E39" w:rsidP="00C85E39">
    <w:pPr>
      <w:pStyle w:val="NormalWeb"/>
      <w:tabs>
        <w:tab w:val="left" w:pos="855"/>
      </w:tabs>
      <w:spacing w:before="0" w:beforeAutospacing="0" w:after="0" w:afterAutospacing="0"/>
      <w:jc w:val="right"/>
      <w:rPr>
        <w:rFonts w:ascii="Arial" w:hAnsi="Arial" w:cs="Arial"/>
        <w:b/>
        <w:i/>
        <w:color w:val="000000" w:themeColor="text1"/>
        <w:sz w:val="20"/>
        <w:szCs w:val="20"/>
      </w:rPr>
    </w:pPr>
    <w:r w:rsidRPr="00C85E39">
      <w:rPr>
        <w:rFonts w:ascii="Arial" w:hAnsi="Arial" w:cs="Arial"/>
        <w:b/>
        <w:i/>
        <w:color w:val="000000" w:themeColor="text1"/>
        <w:sz w:val="20"/>
        <w:szCs w:val="20"/>
      </w:rPr>
      <w:t>13-001-33-33-005-2014-00150-0</w:t>
    </w:r>
    <w:r>
      <w:rPr>
        <w:rFonts w:ascii="Arial" w:hAnsi="Arial" w:cs="Arial"/>
        <w:b/>
        <w:i/>
        <w:color w:val="000000" w:themeColor="text1"/>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3F31DF8"/>
    <w:multiLevelType w:val="hybridMultilevel"/>
    <w:tmpl w:val="DFEC090A"/>
    <w:lvl w:ilvl="0" w:tplc="452630AE">
      <w:start w:val="2"/>
      <w:numFmt w:val="bullet"/>
      <w:lvlText w:val="-"/>
      <w:lvlJc w:val="left"/>
      <w:pPr>
        <w:ind w:left="720" w:hanging="360"/>
      </w:pPr>
      <w:rPr>
        <w:rFonts w:ascii="Century Gothic" w:eastAsiaTheme="minorHAnsi" w:hAnsi="Century Gothic" w:cs="Arial Narrow"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0B22C2"/>
    <w:multiLevelType w:val="hybridMultilevel"/>
    <w:tmpl w:val="7310C1F4"/>
    <w:lvl w:ilvl="0" w:tplc="68B673FE">
      <w:start w:val="2"/>
      <w:numFmt w:val="bullet"/>
      <w:lvlText w:val="-"/>
      <w:lvlJc w:val="left"/>
      <w:pPr>
        <w:ind w:left="720" w:hanging="360"/>
      </w:pPr>
      <w:rPr>
        <w:rFonts w:ascii="Century Gothic" w:eastAsiaTheme="minorHAnsi" w:hAnsi="Century Gothic"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D92306F"/>
    <w:multiLevelType w:val="hybridMultilevel"/>
    <w:tmpl w:val="274AC39E"/>
    <w:lvl w:ilvl="0" w:tplc="8D8A8154">
      <w:start w:val="3"/>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0"/>
  </w:num>
  <w:num w:numId="5">
    <w:abstractNumId w:val="14"/>
  </w:num>
  <w:num w:numId="6">
    <w:abstractNumId w:val="4"/>
  </w:num>
  <w:num w:numId="7">
    <w:abstractNumId w:val="6"/>
  </w:num>
  <w:num w:numId="8">
    <w:abstractNumId w:val="2"/>
  </w:num>
  <w:num w:numId="9">
    <w:abstractNumId w:val="7"/>
  </w:num>
  <w:num w:numId="10">
    <w:abstractNumId w:val="3"/>
  </w:num>
  <w:num w:numId="11">
    <w:abstractNumId w:val="0"/>
  </w:num>
  <w:num w:numId="12">
    <w:abstractNumId w:val="15"/>
  </w:num>
  <w:num w:numId="13">
    <w:abstractNumId w:val="5"/>
  </w:num>
  <w:num w:numId="14">
    <w:abstractNumId w:val="9"/>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A259D"/>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6775"/>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5E39"/>
    <w:rsid w:val="00C86D4E"/>
    <w:rsid w:val="00CB5B6E"/>
    <w:rsid w:val="00CB6097"/>
    <w:rsid w:val="00CC43C2"/>
    <w:rsid w:val="00CD0D89"/>
    <w:rsid w:val="00CD4DD6"/>
    <w:rsid w:val="00CD53EA"/>
    <w:rsid w:val="00D00CE2"/>
    <w:rsid w:val="00D30D9F"/>
    <w:rsid w:val="00D45C4A"/>
    <w:rsid w:val="00D860EE"/>
    <w:rsid w:val="00DB0BCB"/>
    <w:rsid w:val="00DD7CF7"/>
    <w:rsid w:val="00DE58E7"/>
    <w:rsid w:val="00DF46DB"/>
    <w:rsid w:val="00DF7E6E"/>
    <w:rsid w:val="00E153DD"/>
    <w:rsid w:val="00E416E1"/>
    <w:rsid w:val="00E47AB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Car Car"/>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link w:val="4GChar"/>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paragraph" w:customStyle="1" w:styleId="Textonormal">
    <w:name w:val="Texto normal"/>
    <w:basedOn w:val="Normal"/>
    <w:link w:val="TextonormalCar"/>
    <w:rsid w:val="004A259D"/>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4A259D"/>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C85E39"/>
    <w:pPr>
      <w:overflowPunct w:val="0"/>
      <w:autoSpaceDE w:val="0"/>
      <w:autoSpaceDN w:val="0"/>
      <w:adjustRightInd w:val="0"/>
      <w:spacing w:before="100" w:beforeAutospacing="1" w:after="0" w:afterAutospacing="1" w:line="360" w:lineRule="auto"/>
      <w:ind w:left="720" w:firstLine="1440"/>
      <w:jc w:val="both"/>
    </w:pPr>
    <w:rPr>
      <w:rFonts w:ascii="Arial" w:eastAsia="Times New Roman" w:hAnsi="Arial" w:cs="Arial"/>
      <w:sz w:val="24"/>
      <w:szCs w:val="24"/>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85E39"/>
    <w:pPr>
      <w:spacing w:after="0" w:line="240" w:lineRule="auto"/>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6F6CE-8D01-46F1-8F5C-5992F257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6197</Words>
  <Characters>34088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2020-05-22T13:29:00Z</dcterms:created>
  <dcterms:modified xsi:type="dcterms:W3CDTF">2020-05-22T14:32:00Z</dcterms:modified>
</cp:coreProperties>
</file>