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9FA" w:rsidRPr="00DB59FA" w:rsidRDefault="00DB59FA" w:rsidP="00DB59FA">
      <w:pPr>
        <w:spacing w:after="0" w:line="300" w:lineRule="auto"/>
        <w:jc w:val="both"/>
        <w:rPr>
          <w:rFonts w:ascii="Century Gothic" w:hAnsi="Century Gothic" w:cs="Century Gothic"/>
          <w:color w:val="000000" w:themeColor="text1"/>
          <w:sz w:val="24"/>
          <w:szCs w:val="24"/>
          <w:lang w:val="es-CO"/>
        </w:rPr>
      </w:pPr>
      <w:r w:rsidRPr="00DB59FA">
        <w:rPr>
          <w:rFonts w:ascii="Century Gothic" w:hAnsi="Century Gothic" w:cs="Century Gothic"/>
          <w:color w:val="000000" w:themeColor="text1"/>
          <w:sz w:val="24"/>
          <w:szCs w:val="24"/>
          <w:lang w:val="es-CO"/>
        </w:rPr>
        <w:t xml:space="preserve">Cartagena de Indias D, T y C, </w:t>
      </w:r>
      <w:r>
        <w:rPr>
          <w:rFonts w:ascii="Century Gothic" w:hAnsi="Century Gothic" w:cs="Century Gothic"/>
          <w:color w:val="000000" w:themeColor="text1"/>
          <w:sz w:val="24"/>
          <w:szCs w:val="24"/>
          <w:lang w:val="es-CO"/>
        </w:rPr>
        <w:t xml:space="preserve">quince (15) de mayo </w:t>
      </w:r>
      <w:r w:rsidRPr="00DB59FA">
        <w:rPr>
          <w:rFonts w:ascii="Century Gothic" w:hAnsi="Century Gothic" w:cs="Century Gothic"/>
          <w:color w:val="000000" w:themeColor="text1"/>
          <w:sz w:val="24"/>
          <w:szCs w:val="24"/>
          <w:lang w:val="es-CO"/>
        </w:rPr>
        <w:t>de dos mil veinte (2020)</w:t>
      </w:r>
    </w:p>
    <w:p w:rsidR="00DB59FA" w:rsidRPr="00DB59FA" w:rsidRDefault="00DB59FA" w:rsidP="00DB59FA">
      <w:pPr>
        <w:spacing w:after="0" w:line="300" w:lineRule="auto"/>
        <w:jc w:val="both"/>
        <w:rPr>
          <w:rFonts w:ascii="Century Gothic" w:hAnsi="Century Gothic" w:cs="Century Gothic"/>
          <w:color w:val="000000" w:themeColor="text1"/>
          <w:sz w:val="14"/>
          <w:szCs w:val="24"/>
          <w:lang w:val="es-CO"/>
        </w:rPr>
      </w:pPr>
    </w:p>
    <w:p w:rsidR="00DB59FA" w:rsidRPr="00DB59FA" w:rsidRDefault="00DB59FA" w:rsidP="00DB59FA">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lang w:val="es-CO"/>
        </w:rPr>
      </w:pPr>
      <w:r w:rsidRPr="00DB59FA">
        <w:rPr>
          <w:rFonts w:ascii="Century Gothic" w:hAnsi="Century Gothic" w:cs="Century Gothic"/>
          <w:b/>
          <w:bCs/>
          <w:color w:val="000000" w:themeColor="text1"/>
          <w:sz w:val="24"/>
          <w:szCs w:val="24"/>
          <w:lang w:val="es-CO"/>
        </w:rPr>
        <w:t>RADICACIÓN, IDENTIFICACIÓN DEL PROCESO Y DE LAS PARTES.</w:t>
      </w:r>
    </w:p>
    <w:p w:rsidR="00DB59FA" w:rsidRPr="00DB59FA" w:rsidRDefault="00DB59FA" w:rsidP="00DB59FA">
      <w:pPr>
        <w:pStyle w:val="Prrafodelista"/>
        <w:spacing w:after="0" w:line="300" w:lineRule="auto"/>
        <w:ind w:left="1080"/>
        <w:jc w:val="both"/>
        <w:rPr>
          <w:rFonts w:ascii="Century Gothic" w:hAnsi="Century Gothic" w:cs="Century Gothic"/>
          <w:color w:val="000000" w:themeColor="text1"/>
          <w:sz w:val="14"/>
          <w:szCs w:val="24"/>
          <w:lang w:val="es-CO"/>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6563"/>
      </w:tblGrid>
      <w:tr w:rsidR="00DB59FA" w:rsidRPr="00DB59FA" w:rsidTr="00794C87">
        <w:trPr>
          <w:trHeight w:val="359"/>
        </w:trPr>
        <w:tc>
          <w:tcPr>
            <w:tcW w:w="1399" w:type="pct"/>
            <w:vAlign w:val="center"/>
          </w:tcPr>
          <w:p w:rsidR="00DB59FA" w:rsidRPr="00DB59FA" w:rsidRDefault="00DB59FA" w:rsidP="00794C87">
            <w:pPr>
              <w:spacing w:after="0" w:line="300" w:lineRule="auto"/>
              <w:jc w:val="both"/>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rPr>
              <w:t>Medio de control</w:t>
            </w:r>
          </w:p>
        </w:tc>
        <w:tc>
          <w:tcPr>
            <w:tcW w:w="3601" w:type="pct"/>
            <w:vAlign w:val="center"/>
          </w:tcPr>
          <w:p w:rsidR="00DB59FA" w:rsidRPr="00DB59FA" w:rsidRDefault="00DB59FA" w:rsidP="00794C87">
            <w:pPr>
              <w:spacing w:after="0" w:line="300" w:lineRule="auto"/>
              <w:jc w:val="both"/>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rPr>
              <w:t>NULIDAD Y RESTABLECIMIENTO DEL DERECHO</w:t>
            </w:r>
          </w:p>
        </w:tc>
      </w:tr>
      <w:tr w:rsidR="00DB59FA" w:rsidRPr="00DB59FA" w:rsidTr="00794C87">
        <w:trPr>
          <w:trHeight w:val="345"/>
        </w:trPr>
        <w:tc>
          <w:tcPr>
            <w:tcW w:w="1399" w:type="pct"/>
            <w:vAlign w:val="center"/>
          </w:tcPr>
          <w:p w:rsidR="00DB59FA" w:rsidRPr="00DB59FA" w:rsidRDefault="00DB59FA" w:rsidP="00794C87">
            <w:pPr>
              <w:spacing w:after="0" w:line="300" w:lineRule="auto"/>
              <w:jc w:val="both"/>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rPr>
              <w:t>Radicado</w:t>
            </w:r>
          </w:p>
        </w:tc>
        <w:tc>
          <w:tcPr>
            <w:tcW w:w="3601" w:type="pct"/>
            <w:vAlign w:val="center"/>
          </w:tcPr>
          <w:p w:rsidR="00DB59FA" w:rsidRPr="00DB59FA" w:rsidRDefault="00DB59FA" w:rsidP="00794C87">
            <w:pPr>
              <w:pStyle w:val="Encabezado"/>
              <w:tabs>
                <w:tab w:val="left" w:pos="6855"/>
              </w:tabs>
              <w:spacing w:line="300" w:lineRule="auto"/>
              <w:jc w:val="both"/>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rPr>
              <w:t>13-001-33-33-007-2015-00445-01</w:t>
            </w:r>
          </w:p>
        </w:tc>
      </w:tr>
      <w:tr w:rsidR="00DB59FA" w:rsidRPr="00DB59FA" w:rsidTr="00794C87">
        <w:trPr>
          <w:trHeight w:val="345"/>
        </w:trPr>
        <w:tc>
          <w:tcPr>
            <w:tcW w:w="1399" w:type="pct"/>
            <w:vAlign w:val="center"/>
          </w:tcPr>
          <w:p w:rsidR="00DB59FA" w:rsidRPr="00DB59FA" w:rsidRDefault="00DB59FA" w:rsidP="00794C87">
            <w:pPr>
              <w:spacing w:after="0" w:line="300" w:lineRule="auto"/>
              <w:jc w:val="both"/>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rPr>
              <w:t>Demandante</w:t>
            </w:r>
          </w:p>
        </w:tc>
        <w:tc>
          <w:tcPr>
            <w:tcW w:w="3601" w:type="pct"/>
            <w:vAlign w:val="center"/>
          </w:tcPr>
          <w:p w:rsidR="00DB59FA" w:rsidRPr="00DB59FA" w:rsidRDefault="00DB59FA" w:rsidP="00794C87">
            <w:pPr>
              <w:spacing w:after="0" w:line="300" w:lineRule="auto"/>
              <w:jc w:val="both"/>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rPr>
              <w:t>YAMIL EDUARDO CASTRO MUÑOZ</w:t>
            </w:r>
          </w:p>
        </w:tc>
      </w:tr>
      <w:tr w:rsidR="00DB59FA" w:rsidRPr="00DB59FA" w:rsidTr="00794C87">
        <w:trPr>
          <w:trHeight w:val="345"/>
        </w:trPr>
        <w:tc>
          <w:tcPr>
            <w:tcW w:w="1399" w:type="pct"/>
            <w:vAlign w:val="center"/>
          </w:tcPr>
          <w:p w:rsidR="00DB59FA" w:rsidRPr="00DB59FA" w:rsidRDefault="00DB59FA" w:rsidP="00794C87">
            <w:pPr>
              <w:spacing w:after="0" w:line="300" w:lineRule="auto"/>
              <w:jc w:val="both"/>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rPr>
              <w:t>Demandado</w:t>
            </w:r>
          </w:p>
        </w:tc>
        <w:tc>
          <w:tcPr>
            <w:tcW w:w="3601" w:type="pct"/>
          </w:tcPr>
          <w:p w:rsidR="00DB59FA" w:rsidRPr="00DB59FA" w:rsidRDefault="00DB59FA" w:rsidP="00794C87">
            <w:pPr>
              <w:spacing w:after="0" w:line="300" w:lineRule="auto"/>
              <w:jc w:val="both"/>
              <w:rPr>
                <w:rFonts w:ascii="Century Gothic" w:hAnsi="Century Gothic" w:cs="Century Gothic"/>
                <w:b/>
                <w:bCs/>
                <w:color w:val="000000" w:themeColor="text1"/>
                <w:sz w:val="24"/>
                <w:szCs w:val="24"/>
                <w:lang w:val="es-CO" w:eastAsia="es-ES"/>
              </w:rPr>
            </w:pPr>
            <w:r w:rsidRPr="00DB59FA">
              <w:rPr>
                <w:rFonts w:ascii="Century Gothic" w:hAnsi="Century Gothic" w:cs="Century Gothic"/>
                <w:b/>
                <w:bCs/>
                <w:color w:val="000000" w:themeColor="text1"/>
                <w:sz w:val="24"/>
                <w:szCs w:val="24"/>
                <w:lang w:val="es-CO" w:eastAsia="es-ES"/>
              </w:rPr>
              <w:t>DEPARTAMENTO DE BOLÍVAR</w:t>
            </w:r>
          </w:p>
        </w:tc>
      </w:tr>
      <w:tr w:rsidR="00DB59FA" w:rsidRPr="00DB59FA" w:rsidTr="00794C87">
        <w:trPr>
          <w:trHeight w:val="345"/>
        </w:trPr>
        <w:tc>
          <w:tcPr>
            <w:tcW w:w="1399" w:type="pct"/>
            <w:vAlign w:val="center"/>
          </w:tcPr>
          <w:p w:rsidR="00DB59FA" w:rsidRPr="00DB59FA" w:rsidRDefault="00DB59FA" w:rsidP="00794C87">
            <w:pPr>
              <w:spacing w:after="0" w:line="300" w:lineRule="auto"/>
              <w:jc w:val="both"/>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rPr>
              <w:t>Tema</w:t>
            </w:r>
          </w:p>
        </w:tc>
        <w:tc>
          <w:tcPr>
            <w:tcW w:w="3601" w:type="pct"/>
            <w:vAlign w:val="center"/>
          </w:tcPr>
          <w:p w:rsidR="00DB59FA" w:rsidRPr="00DB59FA" w:rsidRDefault="00DB59FA" w:rsidP="00794C87">
            <w:pPr>
              <w:spacing w:after="0" w:line="300" w:lineRule="auto"/>
              <w:jc w:val="both"/>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rPr>
              <w:t>PAGO DE SALARIOS ADEUDADOS</w:t>
            </w:r>
          </w:p>
        </w:tc>
      </w:tr>
      <w:tr w:rsidR="00DB59FA" w:rsidRPr="00DB59FA" w:rsidTr="00794C87">
        <w:trPr>
          <w:trHeight w:val="345"/>
        </w:trPr>
        <w:tc>
          <w:tcPr>
            <w:tcW w:w="1399" w:type="pct"/>
            <w:vAlign w:val="center"/>
          </w:tcPr>
          <w:p w:rsidR="00DB59FA" w:rsidRPr="00DB59FA" w:rsidRDefault="00DB59FA" w:rsidP="00794C87">
            <w:pPr>
              <w:pStyle w:val="Encabezado"/>
              <w:spacing w:line="300" w:lineRule="auto"/>
              <w:jc w:val="both"/>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lang w:val="es-CO"/>
              </w:rPr>
              <w:t xml:space="preserve">Magistrado Ponente </w:t>
            </w:r>
          </w:p>
        </w:tc>
        <w:tc>
          <w:tcPr>
            <w:tcW w:w="3601" w:type="pct"/>
            <w:vAlign w:val="center"/>
          </w:tcPr>
          <w:p w:rsidR="00DB59FA" w:rsidRPr="00DB59FA" w:rsidRDefault="00DB59FA" w:rsidP="00794C87">
            <w:pPr>
              <w:spacing w:after="0" w:line="300" w:lineRule="auto"/>
              <w:jc w:val="both"/>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rPr>
              <w:t xml:space="preserve">LUÍS MIGUEL VILLALOBOS ÁLVAREZ </w:t>
            </w:r>
          </w:p>
        </w:tc>
      </w:tr>
    </w:tbl>
    <w:p w:rsidR="00DB59FA" w:rsidRPr="00DB59FA" w:rsidRDefault="00DB59FA" w:rsidP="00DB59FA">
      <w:pPr>
        <w:spacing w:after="0" w:line="300" w:lineRule="auto"/>
        <w:jc w:val="both"/>
        <w:rPr>
          <w:rFonts w:ascii="Century Gothic" w:hAnsi="Century Gothic" w:cs="Century Gothic"/>
          <w:b/>
          <w:bCs/>
          <w:color w:val="000000" w:themeColor="text1"/>
          <w:sz w:val="24"/>
          <w:szCs w:val="24"/>
        </w:rPr>
      </w:pPr>
    </w:p>
    <w:p w:rsidR="00DB59FA" w:rsidRPr="00DB59FA" w:rsidRDefault="00DB59FA" w:rsidP="00DB59FA">
      <w:pPr>
        <w:spacing w:after="0" w:line="300" w:lineRule="auto"/>
        <w:jc w:val="both"/>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rPr>
        <w:t>I. PRONUNCIAMIENTO</w:t>
      </w:r>
    </w:p>
    <w:p w:rsidR="00DB59FA" w:rsidRPr="00DB59FA" w:rsidRDefault="00DB59FA" w:rsidP="00DB59FA">
      <w:pPr>
        <w:pStyle w:val="Prrafodelista"/>
        <w:spacing w:after="0" w:line="300" w:lineRule="auto"/>
        <w:ind w:left="709"/>
        <w:jc w:val="both"/>
        <w:rPr>
          <w:rFonts w:ascii="Century Gothic" w:hAnsi="Century Gothic" w:cs="Century Gothic"/>
          <w:b/>
          <w:bCs/>
          <w:color w:val="000000" w:themeColor="text1"/>
          <w:sz w:val="24"/>
          <w:szCs w:val="24"/>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r w:rsidRPr="00DB59FA">
        <w:rPr>
          <w:rFonts w:ascii="Century Gothic" w:hAnsi="Century Gothic" w:cs="Century Gothic"/>
          <w:color w:val="000000" w:themeColor="text1"/>
          <w:sz w:val="24"/>
          <w:szCs w:val="24"/>
          <w:lang w:eastAsia="es-ES"/>
        </w:rPr>
        <w:t>Procede la Sala de Decisión a resolver el recurso de apelación interpuesto por la parte demandante contra la sentencia de fecha 16 de diciembre de 2016, proferida por el Juzgado Séptimo Administrativo del Circuito de Cartagena, mediante la cual se negaron las pretensiones de la demanda.</w:t>
      </w:r>
    </w:p>
    <w:p w:rsidR="00DB59FA" w:rsidRPr="00DB59FA" w:rsidRDefault="00DB59FA" w:rsidP="00DB59FA">
      <w:pPr>
        <w:spacing w:after="0" w:line="300" w:lineRule="auto"/>
        <w:jc w:val="both"/>
        <w:rPr>
          <w:rFonts w:ascii="Century Gothic" w:hAnsi="Century Gothic" w:cs="Century Gothic"/>
          <w:color w:val="000000" w:themeColor="text1"/>
          <w:sz w:val="24"/>
          <w:szCs w:val="24"/>
          <w:lang w:val="es-ES_tradnl" w:eastAsia="es-ES"/>
        </w:rPr>
      </w:pPr>
    </w:p>
    <w:p w:rsidR="00DB59FA" w:rsidRPr="00DB59FA" w:rsidRDefault="00DB59FA" w:rsidP="00DB59FA">
      <w:pPr>
        <w:spacing w:after="0" w:line="300" w:lineRule="auto"/>
        <w:jc w:val="both"/>
        <w:rPr>
          <w:rFonts w:ascii="Century Gothic" w:hAnsi="Century Gothic" w:cs="Century Gothic"/>
          <w:b/>
          <w:color w:val="000000" w:themeColor="text1"/>
          <w:sz w:val="24"/>
          <w:szCs w:val="24"/>
          <w:lang w:val="es-MX"/>
        </w:rPr>
      </w:pPr>
      <w:r w:rsidRPr="00DB59FA">
        <w:rPr>
          <w:rFonts w:ascii="Century Gothic" w:hAnsi="Century Gothic" w:cs="Century Gothic"/>
          <w:b/>
          <w:color w:val="000000" w:themeColor="text1"/>
          <w:sz w:val="24"/>
          <w:szCs w:val="24"/>
          <w:lang w:val="es-MX"/>
        </w:rPr>
        <w:t>II. ANTECEDENTES</w:t>
      </w:r>
    </w:p>
    <w:p w:rsidR="00DB59FA" w:rsidRPr="00DB59FA" w:rsidRDefault="00DB59FA" w:rsidP="00DB59FA">
      <w:pPr>
        <w:spacing w:after="0" w:line="300" w:lineRule="auto"/>
        <w:jc w:val="both"/>
        <w:rPr>
          <w:rFonts w:ascii="Century Gothic" w:hAnsi="Century Gothic" w:cs="Century Gothic"/>
          <w:b/>
          <w:color w:val="000000" w:themeColor="text1"/>
          <w:sz w:val="24"/>
          <w:szCs w:val="24"/>
          <w:lang w:val="es-MX" w:eastAsia="es-ES"/>
        </w:rPr>
      </w:pPr>
    </w:p>
    <w:p w:rsidR="00DB59FA" w:rsidRPr="00DB59FA" w:rsidRDefault="00DB59FA" w:rsidP="00DB59FA">
      <w:pPr>
        <w:spacing w:after="0" w:line="300" w:lineRule="auto"/>
        <w:jc w:val="both"/>
        <w:rPr>
          <w:rFonts w:ascii="Century Gothic" w:hAnsi="Century Gothic" w:cs="Century Gothic"/>
          <w:b/>
          <w:color w:val="000000" w:themeColor="text1"/>
          <w:sz w:val="24"/>
          <w:szCs w:val="24"/>
          <w:lang w:eastAsia="es-ES"/>
        </w:rPr>
      </w:pPr>
      <w:r w:rsidRPr="00DB59FA">
        <w:rPr>
          <w:rFonts w:ascii="Century Gothic" w:hAnsi="Century Gothic" w:cs="Century Gothic"/>
          <w:b/>
          <w:color w:val="000000" w:themeColor="text1"/>
          <w:sz w:val="24"/>
          <w:szCs w:val="24"/>
          <w:lang w:eastAsia="es-ES"/>
        </w:rPr>
        <w:t>1.  PRETENSIONES</w:t>
      </w:r>
    </w:p>
    <w:p w:rsidR="00DB59FA" w:rsidRPr="00DB59FA" w:rsidRDefault="00DB59FA" w:rsidP="00DB59FA">
      <w:pPr>
        <w:spacing w:after="0" w:line="300" w:lineRule="auto"/>
        <w:jc w:val="both"/>
        <w:rPr>
          <w:rFonts w:ascii="Century Gothic" w:hAnsi="Century Gothic" w:cs="Century Gothic"/>
          <w:b/>
          <w:color w:val="000000" w:themeColor="text1"/>
          <w:sz w:val="24"/>
          <w:szCs w:val="24"/>
          <w:lang w:eastAsia="es-ES"/>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r w:rsidRPr="00DB59FA">
        <w:rPr>
          <w:rFonts w:ascii="Century Gothic" w:hAnsi="Century Gothic" w:cs="Century Gothic"/>
          <w:color w:val="000000" w:themeColor="text1"/>
          <w:sz w:val="24"/>
          <w:szCs w:val="24"/>
          <w:lang w:eastAsia="es-ES"/>
        </w:rPr>
        <w:t>Se declare la nulidad del Oficio de fecha 16 de marzo de 2015, mediante el cual el Departamento de Bolívar negó el reconocimiento y pago de salarios adeudados al actor, mientras prestó sus servicios como docente provisional en la Institución Educativa Nuestra Señora del Carmen de las Caras, del Municipio de Clemencia, en el período comprendido entre el 17 de mayo de 2013 y el 15 de junio de 2013; y entre el 17 de junio de 2013 y el 19 de julio de 2013.</w:t>
      </w: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r w:rsidRPr="00DB59FA">
        <w:rPr>
          <w:rFonts w:ascii="Century Gothic" w:hAnsi="Century Gothic" w:cs="Century Gothic"/>
          <w:color w:val="000000" w:themeColor="text1"/>
          <w:sz w:val="24"/>
          <w:szCs w:val="24"/>
          <w:lang w:eastAsia="es-ES"/>
        </w:rPr>
        <w:t>Como consecuencia de lo anterior, se ordene el reconocimiento y pago de dichos emolumentos, debidamente indexados.</w:t>
      </w:r>
    </w:p>
    <w:p w:rsidR="00DB59FA" w:rsidRPr="00DB59FA" w:rsidRDefault="00DB59FA" w:rsidP="00DB59FA">
      <w:pPr>
        <w:spacing w:after="0" w:line="300" w:lineRule="auto"/>
        <w:jc w:val="both"/>
        <w:rPr>
          <w:rFonts w:ascii="Century Gothic" w:hAnsi="Century Gothic" w:cs="Century Gothic"/>
          <w:b/>
          <w:color w:val="000000" w:themeColor="text1"/>
          <w:sz w:val="24"/>
          <w:szCs w:val="24"/>
          <w:lang w:eastAsia="es-ES"/>
        </w:rPr>
      </w:pPr>
    </w:p>
    <w:p w:rsidR="00DB59FA" w:rsidRPr="00DB59FA" w:rsidRDefault="00DB59FA" w:rsidP="00DB59FA">
      <w:pPr>
        <w:spacing w:after="0" w:line="300" w:lineRule="auto"/>
        <w:jc w:val="both"/>
        <w:rPr>
          <w:rFonts w:ascii="Century Gothic" w:hAnsi="Century Gothic" w:cs="Century Gothic"/>
          <w:b/>
          <w:color w:val="000000" w:themeColor="text1"/>
          <w:sz w:val="24"/>
          <w:szCs w:val="24"/>
          <w:lang w:eastAsia="es-ES"/>
        </w:rPr>
      </w:pPr>
      <w:r w:rsidRPr="00DB59FA">
        <w:rPr>
          <w:rFonts w:ascii="Century Gothic" w:hAnsi="Century Gothic" w:cs="Century Gothic"/>
          <w:b/>
          <w:color w:val="000000" w:themeColor="text1"/>
          <w:sz w:val="24"/>
          <w:szCs w:val="24"/>
          <w:lang w:eastAsia="es-ES"/>
        </w:rPr>
        <w:t>2. HECHOS</w:t>
      </w:r>
    </w:p>
    <w:p w:rsidR="00DB59FA" w:rsidRPr="00DB59FA" w:rsidRDefault="00DB59FA" w:rsidP="00DB59FA">
      <w:pPr>
        <w:spacing w:after="0" w:line="300" w:lineRule="auto"/>
        <w:jc w:val="both"/>
        <w:rPr>
          <w:rFonts w:ascii="Century Gothic" w:hAnsi="Century Gothic" w:cs="Century Gothic"/>
          <w:b/>
          <w:color w:val="000000" w:themeColor="text1"/>
          <w:sz w:val="24"/>
          <w:szCs w:val="24"/>
          <w:lang w:eastAsia="es-ES"/>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r w:rsidRPr="00DB59FA">
        <w:rPr>
          <w:rFonts w:ascii="Century Gothic" w:hAnsi="Century Gothic" w:cs="Century Gothic"/>
          <w:color w:val="000000" w:themeColor="text1"/>
          <w:sz w:val="24"/>
          <w:szCs w:val="24"/>
          <w:lang w:eastAsia="es-ES"/>
        </w:rPr>
        <w:t>En apoyo de sus pretensiones el accionante manifiesta lo siguiente:</w:t>
      </w: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r w:rsidRPr="00DB59FA">
        <w:rPr>
          <w:rFonts w:ascii="Century Gothic" w:hAnsi="Century Gothic" w:cs="Century Gothic"/>
          <w:color w:val="000000" w:themeColor="text1"/>
          <w:sz w:val="24"/>
          <w:szCs w:val="24"/>
          <w:lang w:eastAsia="es-ES"/>
        </w:rPr>
        <w:lastRenderedPageBreak/>
        <w:t>Mediante Resolución No. 01-261 del 26 de abril de 2013, la Secretaría de Educación de Bolívar nombró de forma provisional – temporal en calidad de docente nivel primaria, al señor YAMIL EDUARDO CASTRO MUÑOZ, para prestar sus servicios en la Institución Educativa Nuestra Señora del Carmen de las Caras, del Municipio de Clemencia; en reemplazo del señor ORLANDO RAFAEL GÓMEZ OROZCO, incapacitado por enfermedad no laboral desde el 6 de abril de 2013 hasta el 18 de julio de 2013.</w:t>
      </w: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r w:rsidRPr="00DB59FA">
        <w:rPr>
          <w:rFonts w:ascii="Century Gothic" w:hAnsi="Century Gothic" w:cs="Century Gothic"/>
          <w:color w:val="000000" w:themeColor="text1"/>
          <w:sz w:val="24"/>
          <w:szCs w:val="24"/>
          <w:lang w:eastAsia="es-ES"/>
        </w:rPr>
        <w:t>El actor reemplazó al docente todo el tiempo que permaneció incapacitado; sin embargo, no se le cancelaron todos los factores salariales a que tenía derecho, desconociendo el período laborado comprendido entre el 17 de mayo de 2013 y el 15 de junio de 2013; y entre el 17 de junio de 2013 y el 19 de julio de 2013.</w:t>
      </w: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r w:rsidRPr="00DB59FA">
        <w:rPr>
          <w:rFonts w:ascii="Century Gothic" w:hAnsi="Century Gothic" w:cs="Century Gothic"/>
          <w:color w:val="000000" w:themeColor="text1"/>
          <w:sz w:val="24"/>
          <w:szCs w:val="24"/>
          <w:lang w:eastAsia="es-ES"/>
        </w:rPr>
        <w:t>Mediante Oficio de fecha 16 de marzo de 2015,  suscrito por la Sub-Secretaria Administrativa y Financiera de la Secretaría de Educación de Bolívar, se negó el reconocimiento y pago de salarios adeudados al actor por el período reclamado al no existir actos administrativos que autoricen el nombramiento en dichos períodos.</w:t>
      </w: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p>
    <w:p w:rsidR="00DB59FA" w:rsidRPr="00DB59FA" w:rsidRDefault="00DB59FA" w:rsidP="00DB59FA">
      <w:pPr>
        <w:spacing w:after="0" w:line="300" w:lineRule="auto"/>
        <w:jc w:val="both"/>
        <w:rPr>
          <w:rFonts w:ascii="Century Gothic" w:hAnsi="Century Gothic" w:cs="Century Gothic"/>
          <w:b/>
          <w:color w:val="000000" w:themeColor="text1"/>
          <w:sz w:val="24"/>
          <w:szCs w:val="24"/>
          <w:lang w:eastAsia="es-ES"/>
        </w:rPr>
      </w:pPr>
      <w:r w:rsidRPr="00DB59FA">
        <w:rPr>
          <w:rFonts w:ascii="Century Gothic" w:hAnsi="Century Gothic" w:cs="Century Gothic"/>
          <w:b/>
          <w:color w:val="000000" w:themeColor="text1"/>
          <w:sz w:val="24"/>
          <w:szCs w:val="24"/>
          <w:lang w:eastAsia="es-ES"/>
        </w:rPr>
        <w:t>3. SENTENCIA APELADA</w:t>
      </w:r>
    </w:p>
    <w:p w:rsidR="00DB59FA" w:rsidRPr="00DB59FA" w:rsidRDefault="00DB59FA" w:rsidP="00DB59FA">
      <w:pPr>
        <w:spacing w:after="0" w:line="300" w:lineRule="auto"/>
        <w:jc w:val="both"/>
        <w:rPr>
          <w:rFonts w:ascii="Century Gothic" w:hAnsi="Century Gothic" w:cs="Century Gothic"/>
          <w:b/>
          <w:color w:val="000000" w:themeColor="text1"/>
          <w:sz w:val="24"/>
          <w:szCs w:val="24"/>
          <w:lang w:eastAsia="es-ES"/>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val="es-ES_tradnl" w:eastAsia="es-ES"/>
        </w:rPr>
      </w:pPr>
      <w:r w:rsidRPr="00DB59FA">
        <w:rPr>
          <w:rFonts w:ascii="Century Gothic" w:hAnsi="Century Gothic" w:cs="Century Gothic"/>
          <w:color w:val="000000" w:themeColor="text1"/>
          <w:sz w:val="24"/>
          <w:szCs w:val="24"/>
          <w:lang w:val="es-ES_tradnl" w:eastAsia="es-ES"/>
        </w:rPr>
        <w:t>El Juzgado Sétimo Administrativo del Circuito Judicial de Cartagena en sentencia del 16 de diciembre de 2016, negó las pretensiones de la demanda al considerar que no existe un acto administrativo que autorice al demandante a prestar el servicio durante el período que reclama; razón por la cual no es posible pagar el salario y prestaciones sociales porque se incumplió con la regla jurídica que exige que para el desempeño de cargos públicos es necesario la existencia de un acto de nombramiento y la toma de posesión, tal como lo establece el artículo 122 de la Constitución Política. (</w:t>
      </w:r>
      <w:proofErr w:type="spellStart"/>
      <w:r w:rsidRPr="00DB59FA">
        <w:rPr>
          <w:rFonts w:ascii="Century Gothic" w:hAnsi="Century Gothic" w:cs="Century Gothic"/>
          <w:color w:val="000000" w:themeColor="text1"/>
          <w:sz w:val="24"/>
          <w:szCs w:val="24"/>
          <w:lang w:val="es-ES_tradnl" w:eastAsia="es-ES"/>
        </w:rPr>
        <w:t>Fls</w:t>
      </w:r>
      <w:proofErr w:type="spellEnd"/>
      <w:r w:rsidRPr="00DB59FA">
        <w:rPr>
          <w:rFonts w:ascii="Century Gothic" w:hAnsi="Century Gothic" w:cs="Century Gothic"/>
          <w:color w:val="000000" w:themeColor="text1"/>
          <w:sz w:val="24"/>
          <w:szCs w:val="24"/>
          <w:lang w:val="es-ES_tradnl" w:eastAsia="es-ES"/>
        </w:rPr>
        <w:t>. 68 – 83)</w:t>
      </w: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p>
    <w:p w:rsidR="00DB59FA" w:rsidRPr="00DB59FA" w:rsidRDefault="00DB59FA" w:rsidP="00DB59FA">
      <w:pPr>
        <w:spacing w:after="0" w:line="300" w:lineRule="auto"/>
        <w:jc w:val="both"/>
        <w:rPr>
          <w:rFonts w:ascii="Century Gothic" w:hAnsi="Century Gothic" w:cs="Century Gothic"/>
          <w:b/>
          <w:color w:val="000000" w:themeColor="text1"/>
          <w:sz w:val="24"/>
          <w:szCs w:val="24"/>
          <w:lang w:eastAsia="es-ES"/>
        </w:rPr>
      </w:pPr>
      <w:r w:rsidRPr="00DB59FA">
        <w:rPr>
          <w:rFonts w:ascii="Century Gothic" w:hAnsi="Century Gothic" w:cs="Century Gothic"/>
          <w:b/>
          <w:color w:val="000000" w:themeColor="text1"/>
          <w:sz w:val="24"/>
          <w:szCs w:val="24"/>
          <w:lang w:eastAsia="es-ES"/>
        </w:rPr>
        <w:t>4. RECURSO DE APELACIÓN.</w:t>
      </w: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r w:rsidRPr="00DB59FA">
        <w:rPr>
          <w:rFonts w:ascii="Century Gothic" w:hAnsi="Century Gothic" w:cs="Century Gothic"/>
          <w:color w:val="000000" w:themeColor="text1"/>
          <w:sz w:val="24"/>
          <w:szCs w:val="24"/>
          <w:lang w:eastAsia="es-ES"/>
        </w:rPr>
        <w:tab/>
      </w:r>
    </w:p>
    <w:p w:rsidR="00DB59FA" w:rsidRPr="00DB59FA" w:rsidRDefault="00DB59FA" w:rsidP="00DB59FA">
      <w:pPr>
        <w:spacing w:after="0" w:line="300" w:lineRule="auto"/>
        <w:jc w:val="both"/>
        <w:rPr>
          <w:rFonts w:ascii="Century Gothic" w:hAnsi="Century Gothic" w:cs="Century Gothic"/>
          <w:color w:val="000000" w:themeColor="text1"/>
          <w:sz w:val="24"/>
          <w:szCs w:val="24"/>
          <w:lang w:val="es-ES_tradnl" w:eastAsia="es-ES"/>
        </w:rPr>
      </w:pPr>
      <w:r w:rsidRPr="00DB59FA">
        <w:rPr>
          <w:rFonts w:ascii="Century Gothic" w:hAnsi="Century Gothic" w:cs="Century Gothic"/>
          <w:color w:val="000000" w:themeColor="text1"/>
          <w:sz w:val="24"/>
          <w:szCs w:val="24"/>
          <w:lang w:val="es-ES_tradnl" w:eastAsia="es-ES"/>
        </w:rPr>
        <w:t>La parte demandante interpuso recurso de apelación contra la sentencia de primera instancia, reiterando que el actor reemplazó al docente incapacitado durante todo el tiempo que duró dicha incapacidad.</w:t>
      </w:r>
    </w:p>
    <w:p w:rsidR="00DB59FA" w:rsidRPr="00DB59FA" w:rsidRDefault="00DB59FA" w:rsidP="00DB59FA">
      <w:pPr>
        <w:spacing w:after="0" w:line="300" w:lineRule="auto"/>
        <w:jc w:val="both"/>
        <w:rPr>
          <w:rFonts w:ascii="Century Gothic" w:hAnsi="Century Gothic" w:cs="Century Gothic"/>
          <w:color w:val="000000" w:themeColor="text1"/>
          <w:sz w:val="24"/>
          <w:szCs w:val="24"/>
          <w:lang w:val="es-ES_tradnl" w:eastAsia="es-ES"/>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val="es-ES_tradnl" w:eastAsia="es-ES"/>
        </w:rPr>
      </w:pPr>
      <w:r w:rsidRPr="00DB59FA">
        <w:rPr>
          <w:rFonts w:ascii="Century Gothic" w:hAnsi="Century Gothic" w:cs="Century Gothic"/>
          <w:color w:val="000000" w:themeColor="text1"/>
          <w:sz w:val="24"/>
          <w:szCs w:val="24"/>
          <w:lang w:val="es-ES_tradnl" w:eastAsia="es-ES"/>
        </w:rPr>
        <w:lastRenderedPageBreak/>
        <w:t>Que el artículo tercero de la Resolución Nro. 01-261 de 26 de mayo de 2013 expedida por la Secretaría de Educación Departamental de Bolívar, impartió directrices al Rector de la Institución Educativa Nuestra Señora del Carmen de las Caras, del Municipio de Clemencia, en lo concerniente a informar a la Secretaría de Educación sobre la incapacidad del docente Orlando Rafael Gómez Orozco, y quien venía ejerciendo en su reemplazo para efectos de la asignación salarial.</w:t>
      </w:r>
    </w:p>
    <w:p w:rsidR="00DB59FA" w:rsidRPr="00DB59FA" w:rsidRDefault="00DB59FA" w:rsidP="00DB59FA">
      <w:pPr>
        <w:spacing w:after="0" w:line="300" w:lineRule="auto"/>
        <w:jc w:val="both"/>
        <w:rPr>
          <w:rFonts w:ascii="Century Gothic" w:hAnsi="Century Gothic" w:cs="Century Gothic"/>
          <w:color w:val="000000" w:themeColor="text1"/>
          <w:sz w:val="24"/>
          <w:szCs w:val="24"/>
          <w:lang w:val="es-ES_tradnl" w:eastAsia="es-ES"/>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val="es-ES_tradnl" w:eastAsia="es-ES"/>
        </w:rPr>
      </w:pPr>
      <w:r w:rsidRPr="00DB59FA">
        <w:rPr>
          <w:rFonts w:ascii="Century Gothic" w:hAnsi="Century Gothic" w:cs="Century Gothic"/>
          <w:color w:val="000000" w:themeColor="text1"/>
          <w:sz w:val="24"/>
          <w:szCs w:val="24"/>
          <w:lang w:val="es-ES_tradnl" w:eastAsia="es-ES"/>
        </w:rPr>
        <w:t>Pese a lo anterior, el actor laboró todo el tiempo en que estuvo incapacitado el docente Gómez Orozco, dejándosele de cancelar los períodos comprendidos entre el 17 de mayo de 2013 y el 15 de junio de 2013; y entre el 17 de junio de 2013 y el 19 de julio de 2013. (</w:t>
      </w:r>
      <w:proofErr w:type="spellStart"/>
      <w:r w:rsidRPr="00DB59FA">
        <w:rPr>
          <w:rFonts w:ascii="Century Gothic" w:hAnsi="Century Gothic" w:cs="Century Gothic"/>
          <w:color w:val="000000" w:themeColor="text1"/>
          <w:sz w:val="24"/>
          <w:szCs w:val="24"/>
          <w:lang w:val="es-ES_tradnl" w:eastAsia="es-ES"/>
        </w:rPr>
        <w:t>Fls</w:t>
      </w:r>
      <w:proofErr w:type="spellEnd"/>
      <w:r w:rsidRPr="00DB59FA">
        <w:rPr>
          <w:rFonts w:ascii="Century Gothic" w:hAnsi="Century Gothic" w:cs="Century Gothic"/>
          <w:color w:val="000000" w:themeColor="text1"/>
          <w:sz w:val="24"/>
          <w:szCs w:val="24"/>
          <w:lang w:val="es-ES_tradnl" w:eastAsia="es-ES"/>
        </w:rPr>
        <w:t>. 85 – 87)</w:t>
      </w:r>
    </w:p>
    <w:p w:rsidR="00DB59FA" w:rsidRPr="00DB59FA" w:rsidRDefault="00DB59FA" w:rsidP="00DB59FA">
      <w:pPr>
        <w:spacing w:after="0" w:line="300" w:lineRule="auto"/>
        <w:jc w:val="both"/>
        <w:rPr>
          <w:rFonts w:ascii="Century Gothic" w:hAnsi="Century Gothic" w:cs="Century Gothic"/>
          <w:color w:val="000000" w:themeColor="text1"/>
          <w:sz w:val="24"/>
          <w:szCs w:val="24"/>
          <w:lang w:val="es-ES_tradnl" w:eastAsia="es-ES"/>
        </w:rPr>
      </w:pPr>
    </w:p>
    <w:p w:rsidR="00DB59FA" w:rsidRPr="00DB59FA" w:rsidRDefault="00DB59FA" w:rsidP="00DB59FA">
      <w:pPr>
        <w:spacing w:after="0" w:line="300" w:lineRule="auto"/>
        <w:jc w:val="both"/>
        <w:rPr>
          <w:rFonts w:ascii="Century Gothic" w:hAnsi="Century Gothic" w:cs="Century Gothic"/>
          <w:b/>
          <w:color w:val="000000" w:themeColor="text1"/>
          <w:sz w:val="24"/>
          <w:szCs w:val="24"/>
          <w:lang w:eastAsia="es-ES"/>
        </w:rPr>
      </w:pPr>
      <w:r w:rsidRPr="00DB59FA">
        <w:rPr>
          <w:rFonts w:ascii="Century Gothic" w:hAnsi="Century Gothic" w:cs="Century Gothic"/>
          <w:b/>
          <w:color w:val="000000" w:themeColor="text1"/>
          <w:sz w:val="24"/>
          <w:szCs w:val="24"/>
          <w:lang w:eastAsia="es-ES"/>
        </w:rPr>
        <w:t>5. TRÁMITE PROCESAL SEGUNDA INSTANCIA</w:t>
      </w: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r w:rsidRPr="00DB59FA">
        <w:rPr>
          <w:rFonts w:ascii="Century Gothic" w:hAnsi="Century Gothic" w:cs="Century Gothic"/>
          <w:color w:val="000000" w:themeColor="text1"/>
          <w:sz w:val="24"/>
          <w:szCs w:val="24"/>
          <w:lang w:eastAsia="es-ES"/>
        </w:rPr>
        <w:t>Con auto de fecha 6 de octubre de 2017, se admitió el recurso de apelación presentado por la parte demandante (</w:t>
      </w:r>
      <w:proofErr w:type="spellStart"/>
      <w:r w:rsidRPr="00DB59FA">
        <w:rPr>
          <w:rFonts w:ascii="Century Gothic" w:hAnsi="Century Gothic" w:cs="Century Gothic"/>
          <w:color w:val="000000" w:themeColor="text1"/>
          <w:sz w:val="24"/>
          <w:szCs w:val="24"/>
          <w:lang w:eastAsia="es-ES"/>
        </w:rPr>
        <w:t>Fl</w:t>
      </w:r>
      <w:proofErr w:type="spellEnd"/>
      <w:r w:rsidRPr="00DB59FA">
        <w:rPr>
          <w:rFonts w:ascii="Century Gothic" w:hAnsi="Century Gothic" w:cs="Century Gothic"/>
          <w:color w:val="000000" w:themeColor="text1"/>
          <w:sz w:val="24"/>
          <w:szCs w:val="24"/>
          <w:lang w:eastAsia="es-ES"/>
        </w:rPr>
        <w:t xml:space="preserve">. 4 </w:t>
      </w:r>
      <w:proofErr w:type="spellStart"/>
      <w:r w:rsidRPr="00DB59FA">
        <w:rPr>
          <w:rFonts w:ascii="Century Gothic" w:hAnsi="Century Gothic" w:cs="Century Gothic"/>
          <w:color w:val="000000" w:themeColor="text1"/>
          <w:sz w:val="24"/>
          <w:szCs w:val="24"/>
          <w:lang w:eastAsia="es-ES"/>
        </w:rPr>
        <w:t>Cdr</w:t>
      </w:r>
      <w:proofErr w:type="spellEnd"/>
      <w:r w:rsidRPr="00DB59FA">
        <w:rPr>
          <w:rFonts w:ascii="Century Gothic" w:hAnsi="Century Gothic" w:cs="Century Gothic"/>
          <w:color w:val="000000" w:themeColor="text1"/>
          <w:sz w:val="24"/>
          <w:szCs w:val="24"/>
          <w:lang w:eastAsia="es-ES"/>
        </w:rPr>
        <w:t>. 2). Mediante auto del 26 de enero de 2018 se corrió traslado a las partes para alegar de conclusión. (</w:t>
      </w:r>
      <w:proofErr w:type="spellStart"/>
      <w:r w:rsidRPr="00DB59FA">
        <w:rPr>
          <w:rFonts w:ascii="Century Gothic" w:hAnsi="Century Gothic" w:cs="Century Gothic"/>
          <w:color w:val="000000" w:themeColor="text1"/>
          <w:sz w:val="24"/>
          <w:szCs w:val="24"/>
          <w:lang w:eastAsia="es-ES"/>
        </w:rPr>
        <w:t>Fls</w:t>
      </w:r>
      <w:proofErr w:type="spellEnd"/>
      <w:r w:rsidRPr="00DB59FA">
        <w:rPr>
          <w:rFonts w:ascii="Century Gothic" w:hAnsi="Century Gothic" w:cs="Century Gothic"/>
          <w:color w:val="000000" w:themeColor="text1"/>
          <w:sz w:val="24"/>
          <w:szCs w:val="24"/>
          <w:lang w:eastAsia="es-ES"/>
        </w:rPr>
        <w:t xml:space="preserve">. 8 </w:t>
      </w:r>
      <w:proofErr w:type="spellStart"/>
      <w:r w:rsidRPr="00DB59FA">
        <w:rPr>
          <w:rFonts w:ascii="Century Gothic" w:hAnsi="Century Gothic" w:cs="Century Gothic"/>
          <w:color w:val="000000" w:themeColor="text1"/>
          <w:sz w:val="24"/>
          <w:szCs w:val="24"/>
          <w:lang w:eastAsia="es-ES"/>
        </w:rPr>
        <w:t>Cdr</w:t>
      </w:r>
      <w:proofErr w:type="spellEnd"/>
      <w:r w:rsidRPr="00DB59FA">
        <w:rPr>
          <w:rFonts w:ascii="Century Gothic" w:hAnsi="Century Gothic" w:cs="Century Gothic"/>
          <w:color w:val="000000" w:themeColor="text1"/>
          <w:sz w:val="24"/>
          <w:szCs w:val="24"/>
          <w:lang w:eastAsia="es-ES"/>
        </w:rPr>
        <w:t>. 2).</w:t>
      </w: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r w:rsidRPr="00DB59FA">
        <w:rPr>
          <w:rFonts w:ascii="Century Gothic" w:hAnsi="Century Gothic" w:cs="Century Gothic"/>
          <w:color w:val="000000" w:themeColor="text1"/>
          <w:sz w:val="24"/>
          <w:szCs w:val="24"/>
          <w:lang w:eastAsia="es-ES"/>
        </w:rPr>
        <w:t>La parte demandante alegó de conclusión reiterando lo expuesto en el recurso de apelación (</w:t>
      </w:r>
      <w:proofErr w:type="spellStart"/>
      <w:r w:rsidRPr="00DB59FA">
        <w:rPr>
          <w:rFonts w:ascii="Century Gothic" w:hAnsi="Century Gothic" w:cs="Century Gothic"/>
          <w:color w:val="000000" w:themeColor="text1"/>
          <w:sz w:val="24"/>
          <w:szCs w:val="24"/>
          <w:lang w:eastAsia="es-ES"/>
        </w:rPr>
        <w:t>Fls</w:t>
      </w:r>
      <w:proofErr w:type="spellEnd"/>
      <w:r w:rsidRPr="00DB59FA">
        <w:rPr>
          <w:rFonts w:ascii="Century Gothic" w:hAnsi="Century Gothic" w:cs="Century Gothic"/>
          <w:color w:val="000000" w:themeColor="text1"/>
          <w:sz w:val="24"/>
          <w:szCs w:val="24"/>
          <w:lang w:eastAsia="es-ES"/>
        </w:rPr>
        <w:t>. 11 - 12).</w:t>
      </w:r>
    </w:p>
    <w:p w:rsidR="00DB59FA" w:rsidRPr="00DB59FA" w:rsidRDefault="00DB59FA" w:rsidP="00DB59FA">
      <w:pPr>
        <w:spacing w:after="0" w:line="300" w:lineRule="auto"/>
        <w:jc w:val="both"/>
        <w:rPr>
          <w:rFonts w:ascii="Century Gothic" w:hAnsi="Century Gothic" w:cs="Century Gothic"/>
          <w:b/>
          <w:bCs/>
          <w:color w:val="000000" w:themeColor="text1"/>
          <w:sz w:val="24"/>
          <w:szCs w:val="24"/>
          <w:lang w:val="es-CO"/>
        </w:rPr>
      </w:pPr>
    </w:p>
    <w:p w:rsidR="00DB59FA" w:rsidRPr="00DB59FA" w:rsidRDefault="00DB59FA" w:rsidP="00DB59FA">
      <w:pPr>
        <w:spacing w:after="0" w:line="300" w:lineRule="auto"/>
        <w:jc w:val="both"/>
        <w:rPr>
          <w:rFonts w:ascii="Century Gothic" w:hAnsi="Century Gothic" w:cs="Century Gothic"/>
          <w:b/>
          <w:bCs/>
          <w:color w:val="000000" w:themeColor="text1"/>
          <w:sz w:val="24"/>
          <w:szCs w:val="24"/>
          <w:lang w:val="es-CO"/>
        </w:rPr>
      </w:pPr>
      <w:r w:rsidRPr="00DB59FA">
        <w:rPr>
          <w:rFonts w:ascii="Century Gothic" w:hAnsi="Century Gothic" w:cs="Century Gothic"/>
          <w:b/>
          <w:bCs/>
          <w:color w:val="000000" w:themeColor="text1"/>
          <w:sz w:val="24"/>
          <w:szCs w:val="24"/>
          <w:lang w:val="es-CO"/>
        </w:rPr>
        <w:t>III. CONTROL DE LEGALIDAD.</w:t>
      </w:r>
    </w:p>
    <w:p w:rsidR="00DB59FA" w:rsidRPr="00DB59FA" w:rsidRDefault="00DB59FA" w:rsidP="00DB59FA">
      <w:pPr>
        <w:spacing w:after="0" w:line="300" w:lineRule="auto"/>
        <w:ind w:left="1080"/>
        <w:rPr>
          <w:rFonts w:ascii="Century Gothic" w:hAnsi="Century Gothic" w:cs="Century Gothic"/>
          <w:b/>
          <w:bCs/>
          <w:color w:val="000000" w:themeColor="text1"/>
          <w:sz w:val="24"/>
          <w:szCs w:val="24"/>
          <w:lang w:val="es-CO"/>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val="es-ES_tradnl"/>
        </w:rPr>
      </w:pPr>
      <w:r w:rsidRPr="00DB59FA">
        <w:rPr>
          <w:rFonts w:ascii="Century Gothic" w:hAnsi="Century Gothic" w:cs="Century Gothic"/>
          <w:color w:val="000000" w:themeColor="text1"/>
          <w:sz w:val="24"/>
          <w:szCs w:val="24"/>
          <w:lang w:val="es-CO"/>
        </w:rPr>
        <w:t>Revisado el expediente, se observa que en el desarrollo de las etapas procesales de primera instancia se ejerció el control de legalidad previsto en el artículo 207 del CPACA, sin encontrarse ningún vicio que acarre nulidad de lo actuado. Por ello, y como en esta instancia tampoco se observan irregularidades que acarreen la nulidad del proceso o impidan proferir decisión de fondo, se procede a resolver la alzada.</w:t>
      </w:r>
      <w:r w:rsidRPr="00DB59FA">
        <w:rPr>
          <w:rFonts w:ascii="Century Gothic" w:hAnsi="Century Gothic" w:cs="Century Gothic"/>
          <w:color w:val="000000" w:themeColor="text1"/>
          <w:sz w:val="24"/>
          <w:szCs w:val="24"/>
          <w:lang w:val="es-ES_tradnl"/>
        </w:rPr>
        <w:t xml:space="preserve"> </w:t>
      </w:r>
    </w:p>
    <w:p w:rsidR="00DB59FA" w:rsidRPr="00DB59FA" w:rsidRDefault="00DB59FA" w:rsidP="00DB59FA">
      <w:pPr>
        <w:spacing w:after="0" w:line="300" w:lineRule="auto"/>
        <w:jc w:val="center"/>
        <w:rPr>
          <w:rFonts w:ascii="Century Gothic" w:hAnsi="Century Gothic" w:cs="Century Gothic"/>
          <w:b/>
          <w:bCs/>
          <w:color w:val="000000" w:themeColor="text1"/>
          <w:sz w:val="24"/>
          <w:szCs w:val="24"/>
          <w:lang w:val="es-CO"/>
        </w:rPr>
      </w:pPr>
    </w:p>
    <w:p w:rsidR="00DB59FA" w:rsidRPr="00DB59FA" w:rsidRDefault="00DB59FA" w:rsidP="00DB59FA">
      <w:pPr>
        <w:spacing w:after="0" w:line="300" w:lineRule="auto"/>
        <w:jc w:val="center"/>
        <w:rPr>
          <w:rFonts w:ascii="Century Gothic" w:hAnsi="Century Gothic" w:cs="Century Gothic"/>
          <w:b/>
          <w:bCs/>
          <w:color w:val="000000" w:themeColor="text1"/>
          <w:sz w:val="24"/>
          <w:szCs w:val="24"/>
          <w:lang w:val="es-CO"/>
        </w:rPr>
      </w:pPr>
      <w:r w:rsidRPr="00DB59FA">
        <w:rPr>
          <w:rFonts w:ascii="Century Gothic" w:hAnsi="Century Gothic" w:cs="Century Gothic"/>
          <w:b/>
          <w:bCs/>
          <w:color w:val="000000" w:themeColor="text1"/>
          <w:sz w:val="24"/>
          <w:szCs w:val="24"/>
          <w:lang w:val="es-CO"/>
        </w:rPr>
        <w:t>IV. CONSIDERACIONES</w:t>
      </w:r>
    </w:p>
    <w:p w:rsidR="00DB59FA" w:rsidRPr="00DB59FA" w:rsidRDefault="00DB59FA" w:rsidP="00DB59FA">
      <w:pPr>
        <w:spacing w:after="0" w:line="300" w:lineRule="auto"/>
        <w:jc w:val="center"/>
        <w:rPr>
          <w:rFonts w:ascii="Century Gothic" w:hAnsi="Century Gothic" w:cs="Century Gothic"/>
          <w:b/>
          <w:bCs/>
          <w:color w:val="000000" w:themeColor="text1"/>
          <w:sz w:val="18"/>
          <w:szCs w:val="24"/>
          <w:lang w:val="es-CO"/>
        </w:rPr>
      </w:pPr>
    </w:p>
    <w:p w:rsidR="00DB59FA" w:rsidRPr="00DB59FA" w:rsidRDefault="00DB59FA" w:rsidP="00DB59FA">
      <w:pPr>
        <w:pStyle w:val="Prrafodelista"/>
        <w:widowControl w:val="0"/>
        <w:numPr>
          <w:ilvl w:val="0"/>
          <w:numId w:val="11"/>
        </w:numPr>
        <w:tabs>
          <w:tab w:val="left" w:pos="142"/>
        </w:tabs>
        <w:autoSpaceDE w:val="0"/>
        <w:autoSpaceDN w:val="0"/>
        <w:adjustRightInd w:val="0"/>
        <w:spacing w:after="0" w:line="300" w:lineRule="auto"/>
        <w:ind w:left="426" w:hanging="426"/>
        <w:contextualSpacing w:val="0"/>
        <w:jc w:val="both"/>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rPr>
        <w:t>Competencia</w:t>
      </w:r>
    </w:p>
    <w:p w:rsidR="00DB59FA" w:rsidRPr="00DB59FA" w:rsidRDefault="00DB59FA" w:rsidP="00DB59FA">
      <w:pPr>
        <w:widowControl w:val="0"/>
        <w:autoSpaceDE w:val="0"/>
        <w:autoSpaceDN w:val="0"/>
        <w:adjustRightInd w:val="0"/>
        <w:spacing w:after="0" w:line="300" w:lineRule="auto"/>
        <w:ind w:left="1080"/>
        <w:jc w:val="both"/>
        <w:rPr>
          <w:rFonts w:ascii="Century Gothic" w:hAnsi="Century Gothic" w:cs="Century Gothic"/>
          <w:color w:val="000000" w:themeColor="text1"/>
          <w:sz w:val="24"/>
          <w:szCs w:val="24"/>
          <w:lang w:eastAsia="es-ES"/>
        </w:rPr>
      </w:pPr>
    </w:p>
    <w:p w:rsidR="00DB59FA" w:rsidRPr="00DB59FA" w:rsidRDefault="00DB59FA" w:rsidP="00DB59FA">
      <w:pPr>
        <w:widowControl w:val="0"/>
        <w:autoSpaceDE w:val="0"/>
        <w:autoSpaceDN w:val="0"/>
        <w:adjustRightInd w:val="0"/>
        <w:spacing w:after="0" w:line="300" w:lineRule="auto"/>
        <w:jc w:val="both"/>
        <w:rPr>
          <w:rFonts w:ascii="Century Gothic" w:hAnsi="Century Gothic" w:cs="Century Gothic"/>
          <w:color w:val="000000" w:themeColor="text1"/>
          <w:sz w:val="24"/>
          <w:szCs w:val="24"/>
          <w:lang w:eastAsia="es-ES"/>
        </w:rPr>
      </w:pPr>
      <w:r w:rsidRPr="00DB59FA">
        <w:rPr>
          <w:rFonts w:ascii="Century Gothic" w:hAnsi="Century Gothic" w:cs="Century Gothic"/>
          <w:color w:val="000000" w:themeColor="text1"/>
          <w:sz w:val="24"/>
          <w:szCs w:val="24"/>
          <w:lang w:eastAsia="es-ES"/>
        </w:rPr>
        <w:t xml:space="preserve">De conformidad con lo dispuesto en el artículo 153 del CPACA, este Tribunal </w:t>
      </w:r>
      <w:r w:rsidRPr="00DB59FA">
        <w:rPr>
          <w:rFonts w:ascii="Century Gothic" w:hAnsi="Century Gothic" w:cs="Century Gothic"/>
          <w:color w:val="000000" w:themeColor="text1"/>
          <w:sz w:val="24"/>
          <w:szCs w:val="24"/>
          <w:lang w:eastAsia="es-ES"/>
        </w:rPr>
        <w:lastRenderedPageBreak/>
        <w:t>Administrativo es competente para conocer en segunda instancia de las apelaciones de las sentencias proferidas en primera instancia por los jueces administrativos.</w:t>
      </w:r>
    </w:p>
    <w:p w:rsidR="00DB59FA" w:rsidRPr="00DB59FA" w:rsidRDefault="00DB59FA" w:rsidP="00DB59FA">
      <w:pPr>
        <w:widowControl w:val="0"/>
        <w:autoSpaceDE w:val="0"/>
        <w:autoSpaceDN w:val="0"/>
        <w:adjustRightInd w:val="0"/>
        <w:spacing w:after="0" w:line="300" w:lineRule="auto"/>
        <w:jc w:val="both"/>
        <w:rPr>
          <w:rFonts w:ascii="Century Gothic" w:hAnsi="Century Gothic" w:cs="Century Gothic"/>
          <w:color w:val="000000" w:themeColor="text1"/>
          <w:sz w:val="24"/>
          <w:szCs w:val="24"/>
          <w:lang w:val="es-ES_tradnl" w:eastAsia="es-ES"/>
        </w:rPr>
      </w:pPr>
    </w:p>
    <w:p w:rsidR="00DB59FA" w:rsidRPr="00DB59FA" w:rsidRDefault="00DB59FA" w:rsidP="00DB59FA">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ES_tradnl"/>
        </w:rPr>
      </w:pPr>
      <w:r w:rsidRPr="00DB59FA">
        <w:rPr>
          <w:rFonts w:ascii="Century Gothic" w:hAnsi="Century Gothic" w:cs="Century Gothic"/>
          <w:b/>
          <w:bCs/>
          <w:color w:val="000000" w:themeColor="text1"/>
          <w:sz w:val="24"/>
          <w:szCs w:val="24"/>
          <w:lang w:val="es-ES_tradnl"/>
        </w:rPr>
        <w:t>Problema jurídico.</w:t>
      </w:r>
    </w:p>
    <w:p w:rsidR="00DB59FA" w:rsidRPr="00DB59FA" w:rsidRDefault="00DB59FA" w:rsidP="00DB59FA">
      <w:pPr>
        <w:spacing w:after="0" w:line="300" w:lineRule="auto"/>
        <w:jc w:val="both"/>
        <w:rPr>
          <w:rFonts w:ascii="Century Gothic" w:hAnsi="Century Gothic" w:cs="Century Gothic"/>
          <w:b/>
          <w:bCs/>
          <w:color w:val="000000" w:themeColor="text1"/>
          <w:sz w:val="24"/>
          <w:szCs w:val="24"/>
          <w:lang w:val="es-ES_tradnl" w:eastAsia="es-ES"/>
        </w:rPr>
      </w:pPr>
    </w:p>
    <w:p w:rsidR="00DB59FA" w:rsidRPr="00DB59FA" w:rsidRDefault="00DB59FA" w:rsidP="00DB59FA">
      <w:pPr>
        <w:spacing w:after="0" w:line="300" w:lineRule="auto"/>
        <w:jc w:val="both"/>
        <w:rPr>
          <w:rFonts w:ascii="Century Gothic" w:hAnsi="Century Gothic" w:cs="Century Gothic"/>
          <w:color w:val="000000" w:themeColor="text1"/>
          <w:sz w:val="24"/>
          <w:szCs w:val="24"/>
        </w:rPr>
      </w:pPr>
      <w:r w:rsidRPr="00DB59FA">
        <w:rPr>
          <w:rFonts w:ascii="Century Gothic" w:hAnsi="Century Gothic" w:cs="Century Gothic"/>
          <w:color w:val="000000" w:themeColor="text1"/>
          <w:sz w:val="24"/>
          <w:szCs w:val="24"/>
        </w:rPr>
        <w:t xml:space="preserve">El problema jurídico a absolver, consiste en determinar si en el sub examine: </w:t>
      </w:r>
    </w:p>
    <w:p w:rsidR="00DB59FA" w:rsidRPr="00DB59FA" w:rsidRDefault="00DB59FA" w:rsidP="00DB59FA">
      <w:pPr>
        <w:spacing w:after="0" w:line="300" w:lineRule="auto"/>
        <w:jc w:val="both"/>
        <w:rPr>
          <w:rFonts w:ascii="Century Gothic" w:hAnsi="Century Gothic" w:cs="Century Gothic"/>
          <w:color w:val="000000" w:themeColor="text1"/>
          <w:sz w:val="24"/>
          <w:szCs w:val="24"/>
        </w:rPr>
      </w:pPr>
    </w:p>
    <w:p w:rsidR="00DB59FA" w:rsidRPr="00DB59FA" w:rsidRDefault="00DB59FA" w:rsidP="00DB59FA">
      <w:pPr>
        <w:spacing w:after="0" w:line="300" w:lineRule="auto"/>
        <w:jc w:val="both"/>
        <w:rPr>
          <w:rFonts w:ascii="Century Gothic" w:hAnsi="Century Gothic" w:cs="Century Gothic"/>
          <w:i/>
          <w:color w:val="000000" w:themeColor="text1"/>
          <w:sz w:val="24"/>
          <w:szCs w:val="24"/>
        </w:rPr>
      </w:pPr>
      <w:r w:rsidRPr="00DB59FA">
        <w:rPr>
          <w:rFonts w:ascii="Century Gothic" w:hAnsi="Century Gothic" w:cs="Century Gothic"/>
          <w:i/>
          <w:color w:val="000000" w:themeColor="text1"/>
          <w:sz w:val="24"/>
          <w:szCs w:val="24"/>
        </w:rPr>
        <w:t>¿Tiene derecho el actor a que se le paguen los salarios y prestaciones sociales correspondientes a los</w:t>
      </w:r>
      <w:r w:rsidRPr="00DB59FA">
        <w:rPr>
          <w:color w:val="000000" w:themeColor="text1"/>
        </w:rPr>
        <w:t xml:space="preserve"> </w:t>
      </w:r>
      <w:r w:rsidRPr="00DB59FA">
        <w:rPr>
          <w:rFonts w:ascii="Century Gothic" w:hAnsi="Century Gothic" w:cs="Century Gothic"/>
          <w:i/>
          <w:color w:val="000000" w:themeColor="text1"/>
          <w:sz w:val="24"/>
          <w:szCs w:val="24"/>
        </w:rPr>
        <w:t>períodos comprendidos entre el 17 de mayo de 2013 y el 15 de junio de 2013; y entre el 17 de junio de 2013 y el 19 de julio de 2013, por haberse desempeñado como docente en reemplazo del señor ORLANDO GOMEZ OROZCO, en la Institución Educativa Nuestra Señora del Carmen de las Caras, del Municipio de Clemencia?</w:t>
      </w:r>
    </w:p>
    <w:p w:rsidR="00DB59FA" w:rsidRPr="00DB59FA" w:rsidRDefault="00DB59FA" w:rsidP="00DB59FA">
      <w:pPr>
        <w:spacing w:after="0" w:line="300" w:lineRule="auto"/>
        <w:jc w:val="both"/>
        <w:rPr>
          <w:rFonts w:ascii="Century Gothic" w:hAnsi="Century Gothic" w:cs="Century Gothic"/>
          <w:i/>
          <w:color w:val="000000" w:themeColor="text1"/>
          <w:sz w:val="24"/>
          <w:szCs w:val="24"/>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val="es-CO"/>
        </w:rPr>
      </w:pPr>
      <w:r w:rsidRPr="00DB59FA">
        <w:rPr>
          <w:rFonts w:ascii="Century Gothic" w:hAnsi="Century Gothic" w:cs="Century Gothic"/>
          <w:color w:val="000000" w:themeColor="text1"/>
          <w:sz w:val="24"/>
          <w:szCs w:val="24"/>
        </w:rPr>
        <w:t>En caso de ser positiva la respuesta al anterior interrogante, se revocará la sentencia de primera instancia que negó las pretensiones de la demanda, para en su lugar acceder a las mismas. De ser negativa, se confirmará.</w:t>
      </w:r>
      <w:r w:rsidRPr="00DB59FA">
        <w:rPr>
          <w:rFonts w:ascii="Century Gothic" w:hAnsi="Century Gothic" w:cs="Century Gothic"/>
          <w:color w:val="000000" w:themeColor="text1"/>
          <w:sz w:val="24"/>
          <w:szCs w:val="24"/>
          <w:lang w:val="es-CO"/>
        </w:rPr>
        <w:t xml:space="preserve"> </w:t>
      </w:r>
    </w:p>
    <w:p w:rsidR="00DB59FA" w:rsidRPr="00DB59FA" w:rsidRDefault="00DB59FA" w:rsidP="00DB59FA">
      <w:pPr>
        <w:spacing w:after="0" w:line="300" w:lineRule="auto"/>
        <w:jc w:val="both"/>
        <w:rPr>
          <w:rFonts w:ascii="Century Gothic" w:hAnsi="Century Gothic" w:cs="Century Gothic"/>
          <w:color w:val="000000" w:themeColor="text1"/>
          <w:sz w:val="24"/>
          <w:szCs w:val="24"/>
          <w:lang w:val="es-CO"/>
        </w:rPr>
      </w:pPr>
    </w:p>
    <w:p w:rsidR="00DB59FA" w:rsidRPr="00DB59FA" w:rsidRDefault="00DB59FA" w:rsidP="00DB59FA">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CO"/>
        </w:rPr>
      </w:pPr>
      <w:r w:rsidRPr="00DB59FA">
        <w:rPr>
          <w:rFonts w:ascii="Century Gothic" w:hAnsi="Century Gothic" w:cs="Century Gothic"/>
          <w:b/>
          <w:bCs/>
          <w:color w:val="000000" w:themeColor="text1"/>
          <w:sz w:val="24"/>
          <w:szCs w:val="24"/>
          <w:lang w:val="es-CO"/>
        </w:rPr>
        <w:t>Tesis de la sala.</w:t>
      </w:r>
    </w:p>
    <w:p w:rsidR="00DB59FA" w:rsidRPr="00DB59FA" w:rsidRDefault="00DB59FA" w:rsidP="00DB59FA">
      <w:pPr>
        <w:pStyle w:val="Prrafodelista"/>
        <w:spacing w:after="0" w:line="300" w:lineRule="auto"/>
        <w:ind w:left="426"/>
        <w:jc w:val="both"/>
        <w:rPr>
          <w:rFonts w:ascii="Century Gothic" w:hAnsi="Century Gothic" w:cs="Century Gothic"/>
          <w:b/>
          <w:bCs/>
          <w:color w:val="000000" w:themeColor="text1"/>
          <w:sz w:val="24"/>
          <w:szCs w:val="24"/>
          <w:lang w:val="es-CO"/>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val="es-CO" w:eastAsia="es-ES"/>
        </w:rPr>
      </w:pPr>
      <w:r w:rsidRPr="00DB59FA">
        <w:rPr>
          <w:rFonts w:ascii="Century Gothic" w:hAnsi="Century Gothic" w:cs="Century Gothic"/>
          <w:color w:val="000000" w:themeColor="text1"/>
          <w:sz w:val="24"/>
          <w:szCs w:val="24"/>
          <w:lang w:val="es-CO" w:eastAsia="es-ES"/>
        </w:rPr>
        <w:t>La Sala, confirmará la sentencia apelada, toda vez que al demandante no acreditó la existencia de los actos administrativos expedidos por parte de la Secretaría de Educación del Departamento de Bolívar, autorizando la prestación del servicio educativo como docente en los períodos comprendidos entre el 17 de mayo de 2013 – 15 de junio de 2013 y 17 de junio de 2013 – 19 de julio de 2013, no siendo posible acceder al pago de los salarios y prestaciones sociales pretendidos en la demanda.</w:t>
      </w:r>
    </w:p>
    <w:p w:rsidR="00DB59FA" w:rsidRPr="00DB59FA" w:rsidRDefault="00DB59FA" w:rsidP="00DB59FA">
      <w:pPr>
        <w:spacing w:after="0" w:line="300" w:lineRule="auto"/>
        <w:jc w:val="both"/>
        <w:rPr>
          <w:rFonts w:ascii="Century Gothic" w:hAnsi="Century Gothic" w:cs="Century Gothic"/>
          <w:color w:val="000000" w:themeColor="text1"/>
          <w:sz w:val="24"/>
          <w:szCs w:val="24"/>
        </w:rPr>
      </w:pPr>
    </w:p>
    <w:p w:rsidR="00DB59FA" w:rsidRPr="00DB59FA" w:rsidRDefault="00DB59FA" w:rsidP="00DB59FA">
      <w:pPr>
        <w:spacing w:after="0" w:line="300" w:lineRule="auto"/>
        <w:jc w:val="both"/>
        <w:rPr>
          <w:rFonts w:ascii="Century Gothic" w:hAnsi="Century Gothic" w:cs="Century Gothic"/>
          <w:color w:val="000000" w:themeColor="text1"/>
          <w:sz w:val="24"/>
          <w:szCs w:val="24"/>
        </w:rPr>
      </w:pPr>
      <w:r w:rsidRPr="00DB59FA">
        <w:rPr>
          <w:rFonts w:ascii="Century Gothic" w:hAnsi="Century Gothic" w:cs="Century Gothic"/>
          <w:color w:val="000000" w:themeColor="text1"/>
          <w:sz w:val="24"/>
          <w:szCs w:val="24"/>
        </w:rPr>
        <w:t>La anterior tesis se soporta en los argumentos que se exponen a continuación.</w:t>
      </w:r>
    </w:p>
    <w:p w:rsidR="00DB59FA" w:rsidRPr="00DB59FA" w:rsidRDefault="00DB59FA" w:rsidP="00DB59FA">
      <w:pPr>
        <w:spacing w:after="0" w:line="300" w:lineRule="auto"/>
        <w:jc w:val="both"/>
        <w:rPr>
          <w:rFonts w:ascii="Century Gothic" w:hAnsi="Century Gothic" w:cs="Century Gothic"/>
          <w:color w:val="000000" w:themeColor="text1"/>
          <w:sz w:val="24"/>
          <w:szCs w:val="24"/>
        </w:rPr>
      </w:pPr>
    </w:p>
    <w:p w:rsidR="00DB59FA" w:rsidRPr="00DB59FA" w:rsidRDefault="00DB59FA" w:rsidP="00DB59FA">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lang w:val="es-CO"/>
        </w:rPr>
        <w:t xml:space="preserve">   Marco normativo y jurisprudencial.</w:t>
      </w:r>
    </w:p>
    <w:p w:rsidR="00DB59FA" w:rsidRPr="00DB59FA" w:rsidRDefault="00DB59FA" w:rsidP="00DB59FA">
      <w:pPr>
        <w:spacing w:after="0" w:line="300" w:lineRule="auto"/>
        <w:jc w:val="both"/>
        <w:rPr>
          <w:rFonts w:ascii="Century Gothic" w:hAnsi="Century Gothic" w:cs="Century Gothic"/>
          <w:b/>
          <w:bCs/>
          <w:color w:val="000000" w:themeColor="text1"/>
          <w:sz w:val="24"/>
          <w:szCs w:val="24"/>
        </w:rPr>
      </w:pP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r w:rsidRPr="00DB59FA">
        <w:rPr>
          <w:rFonts w:ascii="Century Gothic" w:hAnsi="Century Gothic" w:cs="Century Gothic"/>
          <w:bCs/>
          <w:color w:val="000000" w:themeColor="text1"/>
          <w:sz w:val="24"/>
          <w:szCs w:val="24"/>
        </w:rPr>
        <w:t xml:space="preserve">El artículo 122 de la Constitución Política dispuso: </w:t>
      </w: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r w:rsidRPr="00DB59FA">
        <w:rPr>
          <w:rFonts w:ascii="Century Gothic" w:hAnsi="Century Gothic" w:cs="Century Gothic"/>
          <w:bCs/>
          <w:color w:val="000000" w:themeColor="text1"/>
          <w:sz w:val="24"/>
          <w:szCs w:val="24"/>
        </w:rPr>
        <w:t xml:space="preserve">“ARTÍCULO 122. No habrá empleo público que no tenga funciones detalladas en ley o reglamento, y para proveer los de carácter remunerado se requiere </w:t>
      </w:r>
      <w:r w:rsidRPr="00DB59FA">
        <w:rPr>
          <w:rFonts w:ascii="Century Gothic" w:hAnsi="Century Gothic" w:cs="Century Gothic"/>
          <w:bCs/>
          <w:color w:val="000000" w:themeColor="text1"/>
          <w:sz w:val="24"/>
          <w:szCs w:val="24"/>
        </w:rPr>
        <w:lastRenderedPageBreak/>
        <w:t>que estén contemplados en la respectiva planta y previstos sus emolumentos en el presupuesto correspondiente.</w:t>
      </w: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r w:rsidRPr="00DB59FA">
        <w:rPr>
          <w:rFonts w:ascii="Century Gothic" w:hAnsi="Century Gothic" w:cs="Century Gothic"/>
          <w:bCs/>
          <w:color w:val="000000" w:themeColor="text1"/>
          <w:sz w:val="24"/>
          <w:szCs w:val="24"/>
        </w:rPr>
        <w:t>Ningún servidor público entrará a ejercer su cargo sin prestar juramento de cumplir y defender la Constitución y desempeñar los deberes que le incumben. (…)”.</w:t>
      </w: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r w:rsidRPr="00DB59FA">
        <w:rPr>
          <w:rFonts w:ascii="Century Gothic" w:hAnsi="Century Gothic" w:cs="Century Gothic"/>
          <w:bCs/>
          <w:color w:val="000000" w:themeColor="text1"/>
          <w:sz w:val="24"/>
          <w:szCs w:val="24"/>
        </w:rPr>
        <w:t xml:space="preserve">El empleo público existe una vez se cree en la planta de personal respectiva, se señalen sus específicas funciones y, cuando sus emolumentos se encuentran previstos en el respectivo presupuesto. La titularidad para ejercerlo se adquirirá sólo a partir de </w:t>
      </w:r>
      <w:r w:rsidRPr="00DB59FA">
        <w:rPr>
          <w:rFonts w:ascii="Century Gothic" w:hAnsi="Century Gothic" w:cs="Century Gothic"/>
          <w:b/>
          <w:bCs/>
          <w:color w:val="000000" w:themeColor="text1"/>
          <w:sz w:val="24"/>
          <w:szCs w:val="24"/>
        </w:rPr>
        <w:t>la posesión del mismo</w:t>
      </w:r>
      <w:r w:rsidRPr="00DB59FA">
        <w:rPr>
          <w:rFonts w:ascii="Century Gothic" w:hAnsi="Century Gothic" w:cs="Century Gothic"/>
          <w:bCs/>
          <w:color w:val="000000" w:themeColor="text1"/>
          <w:sz w:val="24"/>
          <w:szCs w:val="24"/>
        </w:rPr>
        <w:t>.</w:t>
      </w: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r w:rsidRPr="00DB59FA">
        <w:rPr>
          <w:rFonts w:ascii="Century Gothic" w:hAnsi="Century Gothic" w:cs="Century Gothic"/>
          <w:bCs/>
          <w:color w:val="000000" w:themeColor="text1"/>
          <w:sz w:val="24"/>
          <w:szCs w:val="24"/>
        </w:rPr>
        <w:t xml:space="preserve">Al respecto, la Sección Segunda del Consejo de Estado mediante sentencia de 13 de febrero de 2014, Número interno: 1943-12, precisó: </w:t>
      </w: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p>
    <w:p w:rsidR="00DB59FA" w:rsidRPr="00DB59FA" w:rsidRDefault="00DB59FA" w:rsidP="00DB59FA">
      <w:pPr>
        <w:spacing w:after="0" w:line="300" w:lineRule="auto"/>
        <w:ind w:left="708"/>
        <w:jc w:val="both"/>
        <w:rPr>
          <w:rFonts w:ascii="Century Gothic" w:hAnsi="Century Gothic" w:cs="Century Gothic"/>
          <w:bCs/>
          <w:i/>
          <w:color w:val="000000" w:themeColor="text1"/>
          <w:sz w:val="24"/>
          <w:szCs w:val="24"/>
        </w:rPr>
      </w:pPr>
      <w:r w:rsidRPr="00DB59FA">
        <w:rPr>
          <w:rFonts w:ascii="Century Gothic" w:hAnsi="Century Gothic" w:cs="Century Gothic"/>
          <w:bCs/>
          <w:i/>
          <w:color w:val="000000" w:themeColor="text1"/>
          <w:sz w:val="24"/>
          <w:szCs w:val="24"/>
        </w:rPr>
        <w:t>“Un empleado público es la persona nombrada para ejercer un empleo y que ha tomado posesión del mismo. Los elementos que deben concurrir para que se admita que una persona desempeña un empleo público y pueda obtener los derechos que de ellos se derivan, son, en principio, la existencia del empleo en la planta de personal de la entidad, la determinación de las funciones propias del cargo y la existencia de la provisión de los recursos en el presupuesto para el pago de la labor (artículo 122 de la C.P.).</w:t>
      </w:r>
    </w:p>
    <w:p w:rsidR="00DB59FA" w:rsidRPr="00DB59FA" w:rsidRDefault="00DB59FA" w:rsidP="00DB59FA">
      <w:pPr>
        <w:spacing w:after="0" w:line="300" w:lineRule="auto"/>
        <w:ind w:left="708"/>
        <w:jc w:val="both"/>
        <w:rPr>
          <w:rFonts w:ascii="Century Gothic" w:hAnsi="Century Gothic" w:cs="Century Gothic"/>
          <w:bCs/>
          <w:i/>
          <w:color w:val="000000" w:themeColor="text1"/>
          <w:sz w:val="24"/>
          <w:szCs w:val="24"/>
        </w:rPr>
      </w:pPr>
    </w:p>
    <w:p w:rsidR="00DB59FA" w:rsidRPr="00DB59FA" w:rsidRDefault="00DB59FA" w:rsidP="00DB59FA">
      <w:pPr>
        <w:spacing w:after="0" w:line="300" w:lineRule="auto"/>
        <w:ind w:left="708"/>
        <w:jc w:val="both"/>
        <w:rPr>
          <w:rFonts w:ascii="Century Gothic" w:hAnsi="Century Gothic" w:cs="Century Gothic"/>
          <w:bCs/>
          <w:color w:val="000000" w:themeColor="text1"/>
          <w:sz w:val="24"/>
          <w:szCs w:val="24"/>
        </w:rPr>
      </w:pPr>
      <w:r w:rsidRPr="00DB59FA">
        <w:rPr>
          <w:rFonts w:ascii="Century Gothic" w:hAnsi="Century Gothic" w:cs="Century Gothic"/>
          <w:bCs/>
          <w:i/>
          <w:color w:val="000000" w:themeColor="text1"/>
          <w:sz w:val="24"/>
          <w:szCs w:val="24"/>
        </w:rPr>
        <w:t xml:space="preserve">Entonces, para que una persona natural desempeñe un empleo público se requiere que su ingreso se realice por medio de una designación válida, </w:t>
      </w:r>
      <w:r w:rsidRPr="00DB59FA">
        <w:rPr>
          <w:rFonts w:ascii="Century Gothic" w:hAnsi="Century Gothic" w:cs="Century Gothic"/>
          <w:b/>
          <w:bCs/>
          <w:i/>
          <w:color w:val="000000" w:themeColor="text1"/>
          <w:sz w:val="24"/>
          <w:szCs w:val="24"/>
        </w:rPr>
        <w:t>nombramiento</w:t>
      </w:r>
      <w:r w:rsidRPr="00DB59FA">
        <w:rPr>
          <w:rFonts w:ascii="Century Gothic" w:hAnsi="Century Gothic" w:cs="Century Gothic"/>
          <w:bCs/>
          <w:i/>
          <w:color w:val="000000" w:themeColor="text1"/>
          <w:sz w:val="24"/>
          <w:szCs w:val="24"/>
        </w:rPr>
        <w:t xml:space="preserve"> o elección según el caso, seguida de la </w:t>
      </w:r>
      <w:r w:rsidRPr="00DB59FA">
        <w:rPr>
          <w:rFonts w:ascii="Century Gothic" w:hAnsi="Century Gothic" w:cs="Century Gothic"/>
          <w:b/>
          <w:bCs/>
          <w:i/>
          <w:color w:val="000000" w:themeColor="text1"/>
          <w:sz w:val="24"/>
          <w:szCs w:val="24"/>
        </w:rPr>
        <w:t>posesión</w:t>
      </w:r>
      <w:r w:rsidRPr="00DB59FA">
        <w:rPr>
          <w:rFonts w:ascii="Century Gothic" w:hAnsi="Century Gothic" w:cs="Century Gothic"/>
          <w:bCs/>
          <w:i/>
          <w:color w:val="000000" w:themeColor="text1"/>
          <w:sz w:val="24"/>
          <w:szCs w:val="24"/>
        </w:rPr>
        <w:t xml:space="preserve"> para poder ejercer las funciones del empleo. Es decir que la persona nombrada y posesionada es la que se encuentra investida de las facultades, cumple con sus obligaciones y presta el servicio correspondiente…”.</w:t>
      </w:r>
      <w:r w:rsidRPr="00DB59FA">
        <w:rPr>
          <w:rFonts w:ascii="Century Gothic" w:hAnsi="Century Gothic" w:cs="Century Gothic"/>
          <w:bCs/>
          <w:color w:val="000000" w:themeColor="text1"/>
          <w:sz w:val="24"/>
          <w:szCs w:val="24"/>
        </w:rPr>
        <w:t xml:space="preserve"> (Negrillas de la Sala)</w:t>
      </w: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r w:rsidRPr="00DB59FA">
        <w:rPr>
          <w:rFonts w:ascii="Century Gothic" w:hAnsi="Century Gothic" w:cs="Century Gothic"/>
          <w:bCs/>
          <w:color w:val="000000" w:themeColor="text1"/>
          <w:sz w:val="24"/>
          <w:szCs w:val="24"/>
        </w:rPr>
        <w:t xml:space="preserve">El Decreto 1278 de junio 19 de 2002 </w:t>
      </w:r>
      <w:r w:rsidRPr="00DB59FA">
        <w:rPr>
          <w:rFonts w:ascii="Century Gothic" w:hAnsi="Century Gothic" w:cs="Century Gothic"/>
          <w:bCs/>
          <w:i/>
          <w:color w:val="000000" w:themeColor="text1"/>
          <w:sz w:val="24"/>
          <w:szCs w:val="24"/>
        </w:rPr>
        <w:t>Por el cual se expide el Estatuto de Profesionalización Docente</w:t>
      </w:r>
      <w:r w:rsidRPr="00DB59FA">
        <w:rPr>
          <w:rFonts w:ascii="Century Gothic" w:hAnsi="Century Gothic" w:cs="Century Gothic"/>
          <w:bCs/>
          <w:color w:val="000000" w:themeColor="text1"/>
          <w:sz w:val="24"/>
          <w:szCs w:val="24"/>
        </w:rPr>
        <w:t>, aplicable para el período laborado por el actor, reguló la forma de proveer los cargos en aquellos eventos donde se presente vacancia temporal o absoluta docente; implementando para ello la figura del encargo para los cargos Directivos y el nombramiento en provisionalidad para los cargos Docentes.</w:t>
      </w: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r w:rsidRPr="00DB59FA">
        <w:rPr>
          <w:rFonts w:ascii="Century Gothic" w:hAnsi="Century Gothic" w:cs="Century Gothic"/>
          <w:bCs/>
          <w:color w:val="000000" w:themeColor="text1"/>
          <w:sz w:val="24"/>
          <w:szCs w:val="24"/>
        </w:rPr>
        <w:t>Así, el artículo 13 ibídem dispuso:</w:t>
      </w: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p>
    <w:p w:rsidR="00DB59FA" w:rsidRPr="00DB59FA" w:rsidRDefault="00DB59FA" w:rsidP="00DB59FA">
      <w:pPr>
        <w:spacing w:after="0" w:line="300" w:lineRule="auto"/>
        <w:ind w:left="360"/>
        <w:jc w:val="both"/>
        <w:rPr>
          <w:rFonts w:ascii="Century Gothic" w:hAnsi="Century Gothic" w:cs="Century Gothic"/>
          <w:bCs/>
          <w:i/>
          <w:color w:val="000000" w:themeColor="text1"/>
          <w:sz w:val="24"/>
          <w:szCs w:val="24"/>
        </w:rPr>
      </w:pPr>
      <w:r w:rsidRPr="00DB59FA">
        <w:rPr>
          <w:rFonts w:ascii="Century Gothic" w:hAnsi="Century Gothic" w:cs="Century Gothic"/>
          <w:bCs/>
          <w:i/>
          <w:color w:val="000000" w:themeColor="text1"/>
          <w:sz w:val="24"/>
          <w:szCs w:val="24"/>
        </w:rPr>
        <w:t xml:space="preserve">“ARTÍCULO 13. Nombramientos provisionales. Cuando se trate de proveer transitoriamente empleos docentes, </w:t>
      </w:r>
      <w:r w:rsidRPr="00DB59FA">
        <w:rPr>
          <w:rFonts w:ascii="Century Gothic" w:hAnsi="Century Gothic" w:cs="Century Gothic"/>
          <w:b/>
          <w:bCs/>
          <w:i/>
          <w:color w:val="000000" w:themeColor="text1"/>
          <w:sz w:val="24"/>
          <w:szCs w:val="24"/>
        </w:rPr>
        <w:t>los nombramientos deben realizarse en provisionalidad con personal que reúna los requisitos del cargo</w:t>
      </w:r>
      <w:r w:rsidRPr="00DB59FA">
        <w:rPr>
          <w:rFonts w:ascii="Century Gothic" w:hAnsi="Century Gothic" w:cs="Century Gothic"/>
          <w:bCs/>
          <w:i/>
          <w:color w:val="000000" w:themeColor="text1"/>
          <w:sz w:val="24"/>
          <w:szCs w:val="24"/>
        </w:rPr>
        <w:t>, en los siguientes casos:</w:t>
      </w:r>
    </w:p>
    <w:p w:rsidR="00DB59FA" w:rsidRPr="00DB59FA" w:rsidRDefault="00DB59FA" w:rsidP="00DB59FA">
      <w:pPr>
        <w:spacing w:after="0" w:line="300" w:lineRule="auto"/>
        <w:ind w:left="360"/>
        <w:jc w:val="both"/>
        <w:rPr>
          <w:rFonts w:ascii="Century Gothic" w:hAnsi="Century Gothic" w:cs="Century Gothic"/>
          <w:bCs/>
          <w:i/>
          <w:color w:val="000000" w:themeColor="text1"/>
          <w:sz w:val="24"/>
          <w:szCs w:val="24"/>
        </w:rPr>
      </w:pPr>
    </w:p>
    <w:p w:rsidR="00DB59FA" w:rsidRPr="00DB59FA" w:rsidRDefault="00DB59FA" w:rsidP="00DB59FA">
      <w:pPr>
        <w:pStyle w:val="Prrafodelista"/>
        <w:numPr>
          <w:ilvl w:val="0"/>
          <w:numId w:val="13"/>
        </w:numPr>
        <w:spacing w:after="0" w:line="300" w:lineRule="auto"/>
        <w:ind w:left="1080"/>
        <w:contextualSpacing w:val="0"/>
        <w:jc w:val="both"/>
        <w:rPr>
          <w:rFonts w:ascii="Century Gothic" w:hAnsi="Century Gothic" w:cs="Century Gothic"/>
          <w:bCs/>
          <w:i/>
          <w:color w:val="000000" w:themeColor="text1"/>
          <w:sz w:val="24"/>
          <w:szCs w:val="24"/>
        </w:rPr>
      </w:pPr>
      <w:r w:rsidRPr="00DB59FA">
        <w:rPr>
          <w:rFonts w:ascii="Century Gothic" w:hAnsi="Century Gothic" w:cs="Century Gothic"/>
          <w:bCs/>
          <w:i/>
          <w:color w:val="000000" w:themeColor="text1"/>
          <w:sz w:val="24"/>
          <w:szCs w:val="24"/>
        </w:rPr>
        <w:t>En vacantes de docentes cuyos titulares se encuentren en situaciones administrativas que impliquen separación temporal, el nombramiento provisional será por el tiempo que dure la respectiva situación administrativa. En este caso deberá hacerse uso del listado de elegibles vigente y su no aceptación no implica la exclusión del mismo.</w:t>
      </w:r>
    </w:p>
    <w:p w:rsidR="00DB59FA" w:rsidRPr="00DB59FA" w:rsidRDefault="00DB59FA" w:rsidP="00DB59FA">
      <w:pPr>
        <w:pStyle w:val="Prrafodelista"/>
        <w:numPr>
          <w:ilvl w:val="0"/>
          <w:numId w:val="13"/>
        </w:numPr>
        <w:spacing w:after="0" w:line="300" w:lineRule="auto"/>
        <w:ind w:left="1068"/>
        <w:contextualSpacing w:val="0"/>
        <w:jc w:val="both"/>
        <w:rPr>
          <w:rFonts w:ascii="Century Gothic" w:hAnsi="Century Gothic" w:cs="Century Gothic"/>
          <w:bCs/>
          <w:i/>
          <w:color w:val="000000" w:themeColor="text1"/>
          <w:sz w:val="24"/>
          <w:szCs w:val="24"/>
        </w:rPr>
      </w:pPr>
      <w:r w:rsidRPr="00DB59FA">
        <w:rPr>
          <w:rFonts w:ascii="Century Gothic" w:hAnsi="Century Gothic" w:cs="Century Gothic"/>
          <w:bCs/>
          <w:i/>
          <w:color w:val="000000" w:themeColor="text1"/>
          <w:sz w:val="24"/>
          <w:szCs w:val="24"/>
        </w:rPr>
        <w:t>En vacantes definitivas, el nombramiento provisional será hasta cuando se provea el cargo en período de prueba o en propiedad, de acuerdo con el listado de elegibles producto del concurso.</w:t>
      </w:r>
    </w:p>
    <w:p w:rsidR="00DB59FA" w:rsidRPr="00DB59FA" w:rsidRDefault="00DB59FA" w:rsidP="00DB59FA">
      <w:pPr>
        <w:spacing w:after="0" w:line="300" w:lineRule="auto"/>
        <w:ind w:left="360"/>
        <w:jc w:val="both"/>
        <w:rPr>
          <w:rFonts w:ascii="Century Gothic" w:hAnsi="Century Gothic" w:cs="Century Gothic"/>
          <w:bCs/>
          <w:i/>
          <w:color w:val="000000" w:themeColor="text1"/>
          <w:sz w:val="24"/>
          <w:szCs w:val="24"/>
        </w:rPr>
      </w:pPr>
    </w:p>
    <w:p w:rsidR="00DB59FA" w:rsidRPr="00DB59FA" w:rsidRDefault="00DB59FA" w:rsidP="00DB59FA">
      <w:pPr>
        <w:spacing w:after="0" w:line="300" w:lineRule="auto"/>
        <w:ind w:left="360"/>
        <w:jc w:val="both"/>
        <w:rPr>
          <w:rFonts w:ascii="Century Gothic" w:hAnsi="Century Gothic" w:cs="Century Gothic"/>
          <w:bCs/>
          <w:i/>
          <w:color w:val="000000" w:themeColor="text1"/>
          <w:sz w:val="24"/>
          <w:szCs w:val="24"/>
        </w:rPr>
      </w:pPr>
      <w:r w:rsidRPr="00DB59FA">
        <w:rPr>
          <w:rFonts w:ascii="Century Gothic" w:hAnsi="Century Gothic" w:cs="Century Gothic"/>
          <w:bCs/>
          <w:i/>
          <w:color w:val="000000" w:themeColor="text1"/>
          <w:sz w:val="24"/>
          <w:szCs w:val="24"/>
        </w:rPr>
        <w:t>Parágrafo. Los educadores contratados por órdenes de prestación de servicio que tienen el derecho a ser vinculados en provisionalidad en virtud del artículo 38 de la Ley 715 de 2001, serán regidos por las normas de este Estatuto y, por ende, nombrados provisionalmente de conformidad con lo dispuesto en el presente artículo, en los cargos vacantes de la planta de personal que fije la Nación en ejercicio de su competencia especial dada por el artículo 40 de la Ley 715 de 2001.</w:t>
      </w:r>
    </w:p>
    <w:p w:rsidR="00DB59FA" w:rsidRPr="00DB59FA" w:rsidRDefault="00DB59FA" w:rsidP="00DB59FA">
      <w:pPr>
        <w:spacing w:after="0" w:line="300" w:lineRule="auto"/>
        <w:ind w:left="360"/>
        <w:jc w:val="both"/>
        <w:rPr>
          <w:rFonts w:ascii="Century Gothic" w:hAnsi="Century Gothic" w:cs="Century Gothic"/>
          <w:bCs/>
          <w:i/>
          <w:color w:val="000000" w:themeColor="text1"/>
          <w:sz w:val="24"/>
          <w:szCs w:val="24"/>
        </w:rPr>
      </w:pPr>
    </w:p>
    <w:p w:rsidR="00DB59FA" w:rsidRPr="00DB59FA" w:rsidRDefault="00DB59FA" w:rsidP="00DB59FA">
      <w:pPr>
        <w:spacing w:after="0" w:line="300" w:lineRule="auto"/>
        <w:ind w:left="360"/>
        <w:jc w:val="both"/>
        <w:rPr>
          <w:rFonts w:ascii="Century Gothic" w:hAnsi="Century Gothic" w:cs="Century Gothic"/>
          <w:bCs/>
          <w:color w:val="000000" w:themeColor="text1"/>
          <w:sz w:val="24"/>
          <w:szCs w:val="24"/>
        </w:rPr>
      </w:pPr>
      <w:r w:rsidRPr="00DB59FA">
        <w:rPr>
          <w:rFonts w:ascii="Century Gothic" w:hAnsi="Century Gothic" w:cs="Century Gothic"/>
          <w:bCs/>
          <w:i/>
          <w:color w:val="000000" w:themeColor="text1"/>
          <w:sz w:val="24"/>
          <w:szCs w:val="24"/>
        </w:rPr>
        <w:t xml:space="preserve">Para ser vinculados en propiedad y gozar de los derechos de carrera deben superar el concurso de méritos y obtener evaluación satisfactoria del período de prueba, de acuerdo con lo dispuesto en este decreto.” </w:t>
      </w:r>
      <w:r w:rsidRPr="00DB59FA">
        <w:rPr>
          <w:rFonts w:ascii="Century Gothic" w:hAnsi="Century Gothic" w:cs="Century Gothic"/>
          <w:bCs/>
          <w:color w:val="000000" w:themeColor="text1"/>
          <w:sz w:val="24"/>
          <w:szCs w:val="24"/>
        </w:rPr>
        <w:t>(Negrillas de la Sala)</w:t>
      </w: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p>
    <w:p w:rsidR="00DB59FA" w:rsidRPr="00DB59FA" w:rsidRDefault="00DB59FA" w:rsidP="00DB59FA">
      <w:pPr>
        <w:spacing w:after="0" w:line="300" w:lineRule="auto"/>
        <w:jc w:val="both"/>
        <w:rPr>
          <w:rFonts w:ascii="Century Gothic" w:hAnsi="Century Gothic" w:cs="Century Gothic"/>
          <w:bCs/>
          <w:color w:val="000000" w:themeColor="text1"/>
          <w:sz w:val="24"/>
          <w:szCs w:val="24"/>
        </w:rPr>
      </w:pPr>
      <w:r w:rsidRPr="00DB59FA">
        <w:rPr>
          <w:rFonts w:ascii="Century Gothic" w:hAnsi="Century Gothic" w:cs="Century Gothic"/>
          <w:bCs/>
          <w:color w:val="000000" w:themeColor="text1"/>
          <w:sz w:val="24"/>
          <w:szCs w:val="24"/>
        </w:rPr>
        <w:t>Atendiendo lo expuesto, procederá al Sala a resolver el problema jurídico planteado.</w:t>
      </w:r>
    </w:p>
    <w:p w:rsidR="00DB59FA" w:rsidRPr="00DB59FA" w:rsidRDefault="00DB59FA" w:rsidP="00DB59FA">
      <w:pPr>
        <w:spacing w:after="0" w:line="300" w:lineRule="auto"/>
        <w:jc w:val="both"/>
        <w:rPr>
          <w:rFonts w:ascii="Century Gothic" w:hAnsi="Century Gothic" w:cs="Century Gothic"/>
          <w:bCs/>
          <w:color w:val="000000" w:themeColor="text1"/>
          <w:sz w:val="24"/>
          <w:szCs w:val="24"/>
          <w:lang w:val="es-CO"/>
        </w:rPr>
      </w:pPr>
    </w:p>
    <w:p w:rsidR="00DB59FA" w:rsidRPr="00DB59FA" w:rsidRDefault="00DB59FA" w:rsidP="00DB59FA">
      <w:pPr>
        <w:pStyle w:val="Prrafodelista"/>
        <w:numPr>
          <w:ilvl w:val="0"/>
          <w:numId w:val="11"/>
        </w:numPr>
        <w:spacing w:after="0" w:line="300" w:lineRule="auto"/>
        <w:contextualSpacing w:val="0"/>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rPr>
        <w:t>EL CASO CONCRETO.</w:t>
      </w:r>
    </w:p>
    <w:p w:rsidR="00DB59FA" w:rsidRPr="00DB59FA" w:rsidRDefault="00DB59FA" w:rsidP="00DB59FA">
      <w:pPr>
        <w:pStyle w:val="Prrafodelista"/>
        <w:spacing w:after="0" w:line="300" w:lineRule="auto"/>
        <w:rPr>
          <w:rFonts w:ascii="Century Gothic" w:hAnsi="Century Gothic" w:cs="Century Gothic"/>
          <w:b/>
          <w:bCs/>
          <w:color w:val="000000" w:themeColor="text1"/>
          <w:sz w:val="24"/>
          <w:szCs w:val="24"/>
        </w:rPr>
      </w:pPr>
    </w:p>
    <w:p w:rsidR="00DB59FA" w:rsidRPr="00DB59FA" w:rsidRDefault="00DB59FA" w:rsidP="00DB59FA">
      <w:pPr>
        <w:pStyle w:val="Prrafodelista"/>
        <w:numPr>
          <w:ilvl w:val="1"/>
          <w:numId w:val="12"/>
        </w:numPr>
        <w:spacing w:after="0" w:line="300" w:lineRule="auto"/>
        <w:ind w:left="709"/>
        <w:contextualSpacing w:val="0"/>
        <w:jc w:val="both"/>
        <w:rPr>
          <w:rFonts w:ascii="Century Gothic" w:hAnsi="Century Gothic" w:cs="Century Gothic"/>
          <w:b/>
          <w:bCs/>
          <w:color w:val="000000" w:themeColor="text1"/>
          <w:sz w:val="24"/>
          <w:szCs w:val="24"/>
        </w:rPr>
      </w:pPr>
      <w:r w:rsidRPr="00DB59FA">
        <w:rPr>
          <w:rFonts w:ascii="Century Gothic" w:hAnsi="Century Gothic" w:cs="Century Gothic"/>
          <w:b/>
          <w:bCs/>
          <w:color w:val="000000" w:themeColor="text1"/>
          <w:sz w:val="24"/>
          <w:szCs w:val="24"/>
        </w:rPr>
        <w:lastRenderedPageBreak/>
        <w:t xml:space="preserve"> Hechos relevantes probados.</w:t>
      </w:r>
    </w:p>
    <w:p w:rsidR="00DB59FA" w:rsidRPr="00DB59FA" w:rsidRDefault="00DB59FA" w:rsidP="00DB59FA">
      <w:pPr>
        <w:spacing w:after="0" w:line="300" w:lineRule="auto"/>
        <w:ind w:left="-11"/>
        <w:jc w:val="both"/>
        <w:rPr>
          <w:rFonts w:ascii="Century Gothic" w:hAnsi="Century Gothic" w:cs="Century Gothic"/>
          <w:b/>
          <w:bCs/>
          <w:color w:val="000000" w:themeColor="text1"/>
          <w:sz w:val="14"/>
          <w:szCs w:val="24"/>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t>En el proceso quedaron acreditados los siguientes hechos relevantes para la resolución del problema jurídico:</w:t>
      </w:r>
    </w:p>
    <w:p w:rsidR="00DB59FA" w:rsidRPr="00DB59FA" w:rsidRDefault="00DB59FA" w:rsidP="00DB59FA">
      <w:pPr>
        <w:widowControl w:val="0"/>
        <w:spacing w:after="0" w:line="300" w:lineRule="auto"/>
        <w:jc w:val="both"/>
        <w:rPr>
          <w:rFonts w:ascii="Century Gothic" w:hAnsi="Century Gothic" w:cs="Century Gothic"/>
          <w:b/>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t>- Mediante Resolución Nro. 01-261 de 26 de abril de 2013, se autorizó el nombramiento provisional temporal en empleo docente nivel primaria al señor YAMIL EDUARDO CASTRO MUÑOZ, para que prestara sus servicios educativos desde la fecha de su posesión hasta el 16 de mayo de 2013, en la Institución Educativa Nuestra Señora del Carmen de las Caras del Municipio de Clemencia – Bolívar, en reemplazo del titular del cargo señor HERNANDO RAFAEL GÓMEZ OROZCO (</w:t>
      </w:r>
      <w:proofErr w:type="spellStart"/>
      <w:r w:rsidRPr="00DB59FA">
        <w:rPr>
          <w:rFonts w:ascii="Century Gothic" w:hAnsi="Century Gothic" w:cs="Century Gothic"/>
          <w:bCs/>
          <w:color w:val="000000" w:themeColor="text1"/>
          <w:sz w:val="24"/>
          <w:szCs w:val="24"/>
          <w:lang w:eastAsia="es-ES"/>
        </w:rPr>
        <w:t>Fl</w:t>
      </w:r>
      <w:proofErr w:type="spellEnd"/>
      <w:r w:rsidRPr="00DB59FA">
        <w:rPr>
          <w:rFonts w:ascii="Century Gothic" w:hAnsi="Century Gothic" w:cs="Century Gothic"/>
          <w:bCs/>
          <w:color w:val="000000" w:themeColor="text1"/>
          <w:sz w:val="24"/>
          <w:szCs w:val="24"/>
          <w:lang w:eastAsia="es-ES"/>
        </w:rPr>
        <w:t>. 37); tomando posesión del mismo el 3 de mayo de 2013 (</w:t>
      </w:r>
      <w:proofErr w:type="spellStart"/>
      <w:r w:rsidRPr="00DB59FA">
        <w:rPr>
          <w:rFonts w:ascii="Century Gothic" w:hAnsi="Century Gothic" w:cs="Century Gothic"/>
          <w:bCs/>
          <w:color w:val="000000" w:themeColor="text1"/>
          <w:sz w:val="24"/>
          <w:szCs w:val="24"/>
          <w:lang w:eastAsia="es-ES"/>
        </w:rPr>
        <w:t>Fl</w:t>
      </w:r>
      <w:proofErr w:type="spellEnd"/>
      <w:r w:rsidRPr="00DB59FA">
        <w:rPr>
          <w:rFonts w:ascii="Century Gothic" w:hAnsi="Century Gothic" w:cs="Century Gothic"/>
          <w:bCs/>
          <w:color w:val="000000" w:themeColor="text1"/>
          <w:sz w:val="24"/>
          <w:szCs w:val="24"/>
          <w:lang w:eastAsia="es-ES"/>
        </w:rPr>
        <w:t>. 27)</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t>- Por Resolución Nro. 01-777 de 16 de agosto de 2013, se autorizó la continuidad del nombramiento provisional temporal en el empleo docente nivel primaria al señor YAMIL EDUARDO CASTRO MUÑOZ, para que prestara sus servicios educativos por el término de 30 días comprendidos desde el 17 de julio de 2013 hasta el 15 de agosto de 2013, en la Institución Educativa Nuestra Señora del Carmen de las Caras del Municipio de Clemencia – Bolívar, en reemplazo del titular del cargo señor HERNANDO RAFAEL GÓMEZ OROZCO (</w:t>
      </w:r>
      <w:proofErr w:type="spellStart"/>
      <w:r w:rsidRPr="00DB59FA">
        <w:rPr>
          <w:rFonts w:ascii="Century Gothic" w:hAnsi="Century Gothic" w:cs="Century Gothic"/>
          <w:bCs/>
          <w:color w:val="000000" w:themeColor="text1"/>
          <w:sz w:val="24"/>
          <w:szCs w:val="24"/>
          <w:lang w:eastAsia="es-ES"/>
        </w:rPr>
        <w:t>Fl</w:t>
      </w:r>
      <w:proofErr w:type="spellEnd"/>
      <w:r w:rsidRPr="00DB59FA">
        <w:rPr>
          <w:rFonts w:ascii="Century Gothic" w:hAnsi="Century Gothic" w:cs="Century Gothic"/>
          <w:bCs/>
          <w:color w:val="000000" w:themeColor="text1"/>
          <w:sz w:val="24"/>
          <w:szCs w:val="24"/>
          <w:lang w:eastAsia="es-ES"/>
        </w:rPr>
        <w:t>. 37).</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
          <w:bCs/>
          <w:color w:val="000000" w:themeColor="text1"/>
          <w:sz w:val="24"/>
          <w:szCs w:val="24"/>
          <w:lang w:val="es-CO" w:eastAsia="es-ES"/>
        </w:rPr>
      </w:pPr>
      <w:r w:rsidRPr="00DB59FA">
        <w:rPr>
          <w:rFonts w:ascii="Century Gothic" w:hAnsi="Century Gothic" w:cs="Century Gothic"/>
          <w:b/>
          <w:bCs/>
          <w:color w:val="000000" w:themeColor="text1"/>
          <w:sz w:val="24"/>
          <w:szCs w:val="24"/>
          <w:lang w:val="es-CO" w:eastAsia="es-ES"/>
        </w:rPr>
        <w:t>5.2 Del análisis crítico de las pruebas frente al marco normativo y jurisprudencial.</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br/>
        <w:t>Pretende el actor la nulidad del Oficio de fecha 16 de marzo de 2015, mediante el cual la Sub Secretaría Administrativa y Financiera del Departamento de Bolívar negó el reconocimiento y pago de salarios presuntamente adeudados, por sus servicios prestados como docente provisional en la Institución Educativa Nuestra Señora del Carmen de las Caras, del Municipio de Clemencia, en el período comprendido entre el 17 de mayo de 2013 y el 15 de junio de 2013; y entre el 17 de junio de 2013 y el 19 de julio de 2013.</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t xml:space="preserve">El A quo negó las pretensiones de la demanda al considerar que no existe un acto administrativo que autorice al demandante a prestar el servicio durante </w:t>
      </w:r>
      <w:r w:rsidRPr="00DB59FA">
        <w:rPr>
          <w:rFonts w:ascii="Century Gothic" w:hAnsi="Century Gothic" w:cs="Century Gothic"/>
          <w:bCs/>
          <w:color w:val="000000" w:themeColor="text1"/>
          <w:sz w:val="24"/>
          <w:szCs w:val="24"/>
          <w:lang w:eastAsia="es-ES"/>
        </w:rPr>
        <w:lastRenderedPageBreak/>
        <w:t xml:space="preserve">el período que reclama; razón por la cual no es posible pagar el salario y prestaciones sociales porque se incumplió con la regla jurídica que exige que para el desempeño de cargos públicos es necesario la existencia de un acto de nombramiento y la toma de posesión, tal como lo establece el artículo 122 de la Constitución Política. </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t>Analizados los hechos relevantes que resultaron probados, de cara al marco jurídico que fue expuesto, advierte la Sala que, el Decreto 1278 de junio 19 de 2002 aplicable para el período laborado por el actor, reguló la forma de proveer los cargos en aquellos eventos donde se presente vacancia temporal o absoluta docente, implementando para ello la figura del encargo para los cargos Directivos y el nombramiento en provisionalidad para los cargos Docentes; indicando  en su artículo 13 que los nombramientos deben realizarse en provisionalidad con personal que reúna los requisitos del cargo.</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t>La norma en cita, desarrolla el precepto Constitucional previsto en el artículo 122, que estableció que no habrá empleo público que no tenga funciones detalladas en ley o reglamento, y para proveer los de carácter remunerado se requiere que estén contemplados en la respectiva planta y previstos sus emolumentos en el presupuesto correspondiente; así mismo, ningún servidor público entrará a ejercer su cargo sin prestar juramento de cumplir y defender la Constitución y desempeñar los deberes que le incumben.</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t>Así las cosas, como se indicó en la jurisprudencia referenciada, un empleado público es la persona nombrada para ejercer un empleo y que ha tomado posesión del mismo; entonces, para que una persona natural desempeñe un empleo público se requiere que su ingreso se realice por medio de una designación válida, nombramiento o elección según el caso, seguida de la posesión para poder ejercer las funciones del empleo. Es decir que la persona nombrada y posesionada es la que se encuentra investida de las facultades, cumple con sus obligaciones y presta el servicio correspondiente, lo cual la hace acreedora a la correspondiente remuneración por la prestación de sus servicios.</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t xml:space="preserve">En el sub examine, mediante Resolución Nro. 01-261 de 26 de abril de 2013, se autorizó el nombramiento provisional temporal en empleo docente nivel primaria al señor YAMIL EDUARDO CASTRO MUÑOZ, para que prestara sus </w:t>
      </w:r>
      <w:r w:rsidRPr="00DB59FA">
        <w:rPr>
          <w:rFonts w:ascii="Century Gothic" w:hAnsi="Century Gothic" w:cs="Century Gothic"/>
          <w:bCs/>
          <w:color w:val="000000" w:themeColor="text1"/>
          <w:sz w:val="24"/>
          <w:szCs w:val="24"/>
          <w:lang w:eastAsia="es-ES"/>
        </w:rPr>
        <w:lastRenderedPageBreak/>
        <w:t xml:space="preserve">servicios educativos desde la fecha de su posesión,  </w:t>
      </w:r>
      <w:r w:rsidRPr="00DB59FA">
        <w:rPr>
          <w:rFonts w:ascii="Century Gothic" w:hAnsi="Century Gothic" w:cs="Century Gothic"/>
          <w:b/>
          <w:bCs/>
          <w:color w:val="000000" w:themeColor="text1"/>
          <w:sz w:val="24"/>
          <w:szCs w:val="24"/>
          <w:lang w:eastAsia="es-ES"/>
        </w:rPr>
        <w:t>3 de mayo de 2013</w:t>
      </w:r>
      <w:r w:rsidRPr="00DB59FA">
        <w:rPr>
          <w:rFonts w:ascii="Century Gothic" w:hAnsi="Century Gothic" w:cs="Century Gothic"/>
          <w:bCs/>
          <w:color w:val="000000" w:themeColor="text1"/>
          <w:sz w:val="24"/>
          <w:szCs w:val="24"/>
          <w:lang w:eastAsia="es-ES"/>
        </w:rPr>
        <w:t xml:space="preserve"> </w:t>
      </w:r>
      <w:r w:rsidRPr="00DB59FA">
        <w:rPr>
          <w:rFonts w:ascii="Century Gothic" w:hAnsi="Century Gothic" w:cs="Century Gothic"/>
          <w:b/>
          <w:bCs/>
          <w:color w:val="000000" w:themeColor="text1"/>
          <w:sz w:val="24"/>
          <w:szCs w:val="24"/>
          <w:lang w:eastAsia="es-ES"/>
        </w:rPr>
        <w:t>hasta el 16 de mayo de 2013</w:t>
      </w:r>
      <w:r w:rsidRPr="00DB59FA">
        <w:rPr>
          <w:rFonts w:ascii="Century Gothic" w:hAnsi="Century Gothic" w:cs="Century Gothic"/>
          <w:bCs/>
          <w:color w:val="000000" w:themeColor="text1"/>
          <w:sz w:val="24"/>
          <w:szCs w:val="24"/>
          <w:lang w:eastAsia="es-ES"/>
        </w:rPr>
        <w:t>, en la Institución Educativa Nuestra Señora del Carmen de las Caras del Municipio de Clemencia – Bolívar, en reemplazo del titular del cargo señor HERNANDO RAFAEL GÓMEZ OROZCO.</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t xml:space="preserve">Posteriormente, por Resolución Nro. 01-777 de 16 de agosto de 2013, se autorizó la continuidad del nombramiento provisional temporal en el empleo docente nivel primaria al señor YAMIL EDUARDO CASTRO MUÑOZ, para que prestara sus servicios educativos por el término de 30 días comprendidos desde el </w:t>
      </w:r>
      <w:r w:rsidRPr="00DB59FA">
        <w:rPr>
          <w:rFonts w:ascii="Century Gothic" w:hAnsi="Century Gothic" w:cs="Century Gothic"/>
          <w:b/>
          <w:bCs/>
          <w:color w:val="000000" w:themeColor="text1"/>
          <w:sz w:val="24"/>
          <w:szCs w:val="24"/>
          <w:lang w:eastAsia="es-ES"/>
        </w:rPr>
        <w:t>17 de julio de 2013 hasta el 15 de agosto de 2013</w:t>
      </w:r>
      <w:r w:rsidRPr="00DB59FA">
        <w:rPr>
          <w:rFonts w:ascii="Century Gothic" w:hAnsi="Century Gothic" w:cs="Century Gothic"/>
          <w:bCs/>
          <w:color w:val="000000" w:themeColor="text1"/>
          <w:sz w:val="24"/>
          <w:szCs w:val="24"/>
          <w:lang w:eastAsia="es-ES"/>
        </w:rPr>
        <w:t>, en la Institución Educativa Nuestra Señora del Carmen de las Caras del Municipio de Clemencia – Bolívar, en reemplazo del titular del cargo señor HERNANDO RAFAEL GÓMEZ OROZCO.</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t>En efecto, observa la Sala que los actos administrativos relacionados, autorizaron la prestación de los servicios docentes del actor entre el 3 de mayo de 2013 y el 16 de mayo de 2013, y entre el 17 de julio de 2013 y el 15 de agosto de 2013; pero nada autorizaron frente al período reclamado por el actor (17 de mayo de 2013 – 15 de junio de 2013 y 17 de junio de 2013 – 19 de julio de 2013).</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t>Ahora bien, el régimen probatorio previsto en el artículo 211 del CPACA, que remite al 177 del Código de Procedimiento Civil, hoy artículo 167 del Código General del Proceso, establece, en lo concerniente a la carga de la prueba que la parte debe “… probar el supuesto de hecho de las normas que consagran el efecto jurídico que ellas persiguen”, es decir, para el sub lite el actor debía acreditar con certeza la existencia del acto de nombramiento y la respectiva posesión en el cargo de docente, en los períodos comprendidos entre el 17 de mayo de 2013 – 15 de junio de 2013 y 17 de junio de 2013 – 19 de julio de 2013, situación que no ocurrió en el presente asunto.</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t>Conforme lo expuesto, reitera esta Magistratura que al no existir prueba de los actos administrativos expedidos por parte de la Secretaría de Educación del Departamento de Bolívar, autorizando la prestación del servicio educativo por parte del actor en los períodos comprendidos entre el 17 de mayo de 2013 – 15 de junio de 2013 y 17 de junio de 2013 – 19 de julio de 2013, no es posible acceder al pago de salarios y prestaciones sociales pretendidos en la demanda.</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t>En ese orden, sin necesidad de otros análisis, se confirmará la sentencia de primera instancia que negó las pretensiones de la demanda.</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
          <w:bCs/>
          <w:color w:val="000000" w:themeColor="text1"/>
          <w:sz w:val="24"/>
          <w:szCs w:val="24"/>
          <w:lang w:eastAsia="es-ES"/>
        </w:rPr>
      </w:pPr>
      <w:r w:rsidRPr="00DB59FA">
        <w:rPr>
          <w:rFonts w:ascii="Century Gothic" w:hAnsi="Century Gothic" w:cs="Century Gothic"/>
          <w:b/>
          <w:bCs/>
          <w:color w:val="000000" w:themeColor="text1"/>
          <w:sz w:val="24"/>
          <w:szCs w:val="24"/>
          <w:lang w:eastAsia="es-ES"/>
        </w:rPr>
        <w:t>6. Condena en Costas.</w:t>
      </w:r>
    </w:p>
    <w:p w:rsidR="00DB59FA" w:rsidRPr="00DB59FA" w:rsidRDefault="00DB59FA" w:rsidP="00DB59FA">
      <w:pPr>
        <w:widowControl w:val="0"/>
        <w:spacing w:after="0" w:line="300" w:lineRule="auto"/>
        <w:jc w:val="both"/>
        <w:rPr>
          <w:rFonts w:ascii="Century Gothic" w:hAnsi="Century Gothic" w:cs="Century Gothic"/>
          <w:b/>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t xml:space="preserve">De conformidad con lo establecido en el artículo 365 del Código General del Proceso, aplicado por remisión del artículo 188 del CPACA, se dispone condenar en costas a la parte </w:t>
      </w:r>
      <w:r w:rsidRPr="00DB59FA">
        <w:rPr>
          <w:rFonts w:ascii="Century Gothic" w:hAnsi="Century Gothic" w:cs="Century Gothic"/>
          <w:bCs/>
          <w:i/>
          <w:color w:val="000000" w:themeColor="text1"/>
          <w:sz w:val="24"/>
          <w:szCs w:val="24"/>
          <w:lang w:eastAsia="es-ES"/>
        </w:rPr>
        <w:t>“a quien se le resuelva desfavorablemente el recurso de apelación”</w:t>
      </w:r>
      <w:r w:rsidRPr="00DB59FA">
        <w:rPr>
          <w:rFonts w:ascii="Century Gothic" w:hAnsi="Century Gothic" w:cs="Century Gothic"/>
          <w:bCs/>
          <w:color w:val="000000" w:themeColor="text1"/>
          <w:sz w:val="24"/>
          <w:szCs w:val="24"/>
          <w:lang w:eastAsia="es-ES"/>
        </w:rPr>
        <w:t>, y de conformidad con el numeral 8º del mismo artículo, según el cual solo habrá lugar a costas cuando en el expediente aparezca que se causaron.</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r w:rsidRPr="00DB59FA">
        <w:rPr>
          <w:rFonts w:ascii="Century Gothic" w:hAnsi="Century Gothic" w:cs="Century Gothic"/>
          <w:bCs/>
          <w:color w:val="000000" w:themeColor="text1"/>
          <w:sz w:val="24"/>
          <w:szCs w:val="24"/>
          <w:lang w:eastAsia="es-ES"/>
        </w:rPr>
        <w:t>Así las cosas, se condenará al pago de las costas de segunda instancia a la Parte Demandante, las cuales serán liquidadas por el Juez de primera instancia de acuerdo con lo señalado en el artículo 366 del CGP.</w:t>
      </w: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jc w:val="both"/>
        <w:rPr>
          <w:rFonts w:ascii="Century Gothic" w:hAnsi="Century Gothic" w:cs="Century Gothic"/>
          <w:bCs/>
          <w:color w:val="000000" w:themeColor="text1"/>
          <w:sz w:val="24"/>
          <w:szCs w:val="24"/>
          <w:lang w:eastAsia="es-ES"/>
        </w:rPr>
      </w:pPr>
    </w:p>
    <w:p w:rsidR="00DB59FA" w:rsidRPr="00DB59FA" w:rsidRDefault="00DB59FA" w:rsidP="00DB59FA">
      <w:pPr>
        <w:widowControl w:val="0"/>
        <w:spacing w:after="0" w:line="300" w:lineRule="auto"/>
        <w:ind w:firstLine="360"/>
        <w:jc w:val="both"/>
        <w:rPr>
          <w:rFonts w:ascii="Century Gothic" w:hAnsi="Century Gothic" w:cs="Century Gothic"/>
          <w:bCs/>
          <w:color w:val="000000" w:themeColor="text1"/>
          <w:sz w:val="24"/>
          <w:szCs w:val="24"/>
          <w:lang w:val="es-CO" w:eastAsia="es-ES"/>
        </w:rPr>
      </w:pPr>
      <w:r w:rsidRPr="00DB59FA">
        <w:rPr>
          <w:rFonts w:ascii="Century Gothic" w:hAnsi="Century Gothic" w:cs="Century Gothic"/>
          <w:bCs/>
          <w:color w:val="000000" w:themeColor="text1"/>
          <w:sz w:val="24"/>
          <w:szCs w:val="24"/>
          <w:lang w:val="es-CO" w:eastAsia="es-ES"/>
        </w:rPr>
        <w:t xml:space="preserve">En mérito de lo expuesto, el </w:t>
      </w:r>
      <w:r w:rsidRPr="00DB59FA">
        <w:rPr>
          <w:rFonts w:ascii="Century Gothic" w:hAnsi="Century Gothic" w:cs="Century Gothic"/>
          <w:b/>
          <w:bCs/>
          <w:color w:val="000000" w:themeColor="text1"/>
          <w:sz w:val="24"/>
          <w:szCs w:val="24"/>
          <w:lang w:val="es-CO" w:eastAsia="es-ES"/>
        </w:rPr>
        <w:t>TRIBUNAL ADMINISTRATIVO DE BOLÍVAR</w:t>
      </w:r>
      <w:r w:rsidRPr="00DB59FA">
        <w:rPr>
          <w:rFonts w:ascii="Century Gothic" w:hAnsi="Century Gothic" w:cs="Century Gothic"/>
          <w:bCs/>
          <w:color w:val="000000" w:themeColor="text1"/>
          <w:sz w:val="24"/>
          <w:szCs w:val="24"/>
          <w:lang w:val="es-CO" w:eastAsia="es-ES"/>
        </w:rPr>
        <w:t xml:space="preserve"> administrando justicia en nombre de la República y por autoridad de la Ley,</w:t>
      </w:r>
    </w:p>
    <w:p w:rsidR="00DB59FA" w:rsidRPr="00DB59FA" w:rsidRDefault="00DB59FA" w:rsidP="00DB59FA">
      <w:pPr>
        <w:spacing w:after="0" w:line="300" w:lineRule="auto"/>
        <w:jc w:val="both"/>
        <w:rPr>
          <w:rFonts w:ascii="Century Gothic" w:hAnsi="Century Gothic" w:cs="Century Gothic"/>
          <w:color w:val="000000" w:themeColor="text1"/>
          <w:sz w:val="24"/>
          <w:szCs w:val="24"/>
          <w:lang w:val="es-CO" w:eastAsia="es-ES"/>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val="es-CO" w:eastAsia="es-ES"/>
        </w:rPr>
      </w:pPr>
    </w:p>
    <w:p w:rsidR="00DB59FA" w:rsidRPr="00DB59FA" w:rsidRDefault="00DB59FA" w:rsidP="00DB59FA">
      <w:pPr>
        <w:spacing w:after="0" w:line="300" w:lineRule="auto"/>
        <w:ind w:left="360"/>
        <w:jc w:val="center"/>
        <w:rPr>
          <w:rFonts w:ascii="Century Gothic" w:hAnsi="Century Gothic" w:cs="Century Gothic"/>
          <w:b/>
          <w:bCs/>
          <w:color w:val="000000" w:themeColor="text1"/>
          <w:sz w:val="24"/>
          <w:szCs w:val="24"/>
          <w:lang w:eastAsia="es-ES"/>
        </w:rPr>
      </w:pPr>
      <w:r w:rsidRPr="00DB59FA">
        <w:rPr>
          <w:rFonts w:ascii="Century Gothic" w:hAnsi="Century Gothic" w:cs="Century Gothic"/>
          <w:b/>
          <w:bCs/>
          <w:color w:val="000000" w:themeColor="text1"/>
          <w:sz w:val="24"/>
          <w:szCs w:val="24"/>
          <w:lang w:eastAsia="es-ES"/>
        </w:rPr>
        <w:t>IV. FALLA</w:t>
      </w:r>
    </w:p>
    <w:p w:rsidR="00DB59FA" w:rsidRPr="00DB59FA" w:rsidRDefault="00DB59FA" w:rsidP="00DB59FA">
      <w:pPr>
        <w:spacing w:after="0" w:line="300" w:lineRule="auto"/>
        <w:jc w:val="both"/>
        <w:rPr>
          <w:rFonts w:ascii="Century Gothic" w:hAnsi="Century Gothic" w:cs="Century Gothic"/>
          <w:color w:val="000000" w:themeColor="text1"/>
          <w:sz w:val="24"/>
          <w:szCs w:val="24"/>
          <w:lang w:eastAsia="es-ES"/>
        </w:rPr>
      </w:pPr>
    </w:p>
    <w:p w:rsidR="00DB59FA" w:rsidRPr="00DB59FA" w:rsidRDefault="00DB59FA" w:rsidP="00DB59FA">
      <w:pPr>
        <w:spacing w:after="0"/>
        <w:jc w:val="both"/>
        <w:rPr>
          <w:rFonts w:ascii="Century Gothic" w:eastAsia="Times New Roman" w:hAnsi="Century Gothic" w:cs="Times New Roman"/>
          <w:color w:val="000000" w:themeColor="text1"/>
          <w:sz w:val="24"/>
          <w:szCs w:val="24"/>
          <w:lang w:val="es-CO" w:eastAsia="es-ES"/>
        </w:rPr>
      </w:pPr>
      <w:r w:rsidRPr="00DB59FA">
        <w:rPr>
          <w:rFonts w:ascii="Century Gothic" w:hAnsi="Century Gothic" w:cs="Century Gothic"/>
          <w:b/>
          <w:bCs/>
          <w:color w:val="000000" w:themeColor="text1"/>
          <w:sz w:val="24"/>
          <w:szCs w:val="24"/>
          <w:lang w:eastAsia="es-ES"/>
        </w:rPr>
        <w:t>PRIMERO</w:t>
      </w:r>
      <w:r w:rsidRPr="00DB59FA">
        <w:rPr>
          <w:rFonts w:ascii="Century Gothic" w:eastAsia="Times New Roman" w:hAnsi="Century Gothic" w:cs="Arial"/>
          <w:b/>
          <w:iCs/>
          <w:color w:val="000000" w:themeColor="text1"/>
          <w:sz w:val="24"/>
          <w:szCs w:val="24"/>
          <w:lang w:eastAsia="es-ES"/>
        </w:rPr>
        <w:t xml:space="preserve">: </w:t>
      </w:r>
      <w:r w:rsidRPr="00DB59FA">
        <w:rPr>
          <w:rFonts w:ascii="Century Gothic" w:eastAsia="Times New Roman" w:hAnsi="Century Gothic" w:cs="Arial"/>
          <w:b/>
          <w:iCs/>
          <w:color w:val="000000" w:themeColor="text1"/>
          <w:sz w:val="24"/>
          <w:szCs w:val="24"/>
          <w:lang w:val="es-CO" w:eastAsia="es-ES"/>
        </w:rPr>
        <w:t xml:space="preserve">CONFIRMAR </w:t>
      </w:r>
      <w:r w:rsidRPr="00DB59FA">
        <w:rPr>
          <w:rFonts w:ascii="Century Gothic" w:eastAsia="Times New Roman" w:hAnsi="Century Gothic" w:cs="Arial"/>
          <w:iCs/>
          <w:color w:val="000000" w:themeColor="text1"/>
          <w:sz w:val="24"/>
          <w:szCs w:val="24"/>
          <w:lang w:val="es-CO" w:eastAsia="es-ES"/>
        </w:rPr>
        <w:t>en todas las partes</w:t>
      </w:r>
      <w:r w:rsidRPr="00DB59FA">
        <w:rPr>
          <w:rFonts w:ascii="Century Gothic" w:eastAsia="Times New Roman" w:hAnsi="Century Gothic" w:cs="Arial"/>
          <w:b/>
          <w:iCs/>
          <w:color w:val="000000" w:themeColor="text1"/>
          <w:sz w:val="24"/>
          <w:szCs w:val="24"/>
          <w:lang w:val="es-CO" w:eastAsia="es-ES"/>
        </w:rPr>
        <w:t xml:space="preserve"> </w:t>
      </w:r>
      <w:r w:rsidRPr="00DB59FA">
        <w:rPr>
          <w:rFonts w:ascii="Century Gothic" w:eastAsia="Times New Roman" w:hAnsi="Century Gothic" w:cs="Arial"/>
          <w:iCs/>
          <w:color w:val="000000" w:themeColor="text1"/>
          <w:sz w:val="24"/>
          <w:szCs w:val="24"/>
          <w:lang w:val="es-CO" w:eastAsia="es-ES"/>
        </w:rPr>
        <w:t>la sentencia de fecha dieciséis (16) de diciembre de dos mil dieciséis (2016), proferida por el Juzgado Séptimo Administrativo del Circuito de Cartagena, mediante la cual se negaron las pretensiones de la demanda, conforme lo expuesto en la parte motiva de esta providencia.</w:t>
      </w:r>
    </w:p>
    <w:p w:rsidR="00DB59FA" w:rsidRPr="00DB59FA" w:rsidRDefault="00DB59FA" w:rsidP="00DB59FA">
      <w:pPr>
        <w:widowControl w:val="0"/>
        <w:adjustRightInd w:val="0"/>
        <w:spacing w:after="0" w:line="300" w:lineRule="auto"/>
        <w:jc w:val="both"/>
        <w:textAlignment w:val="baseline"/>
        <w:rPr>
          <w:rFonts w:ascii="Century Gothic" w:hAnsi="Century Gothic" w:cs="Century Gothic"/>
          <w:b/>
          <w:bCs/>
          <w:color w:val="000000" w:themeColor="text1"/>
          <w:sz w:val="24"/>
          <w:szCs w:val="24"/>
          <w:lang w:eastAsia="es-ES"/>
        </w:rPr>
      </w:pPr>
    </w:p>
    <w:p w:rsidR="00DB59FA" w:rsidRPr="00DB59FA" w:rsidRDefault="00DB59FA" w:rsidP="00DB59FA">
      <w:pPr>
        <w:spacing w:after="0" w:line="300" w:lineRule="auto"/>
        <w:jc w:val="both"/>
        <w:rPr>
          <w:rFonts w:ascii="Century Gothic" w:hAnsi="Century Gothic" w:cs="Century Gothic"/>
          <w:color w:val="000000" w:themeColor="text1"/>
          <w:sz w:val="24"/>
          <w:szCs w:val="24"/>
        </w:rPr>
      </w:pPr>
      <w:r w:rsidRPr="00DB59FA">
        <w:rPr>
          <w:rFonts w:ascii="Century Gothic" w:hAnsi="Century Gothic" w:cs="Century Gothic"/>
          <w:b/>
          <w:bCs/>
          <w:color w:val="000000" w:themeColor="text1"/>
          <w:sz w:val="24"/>
          <w:szCs w:val="24"/>
          <w:lang w:val="es-CO"/>
        </w:rPr>
        <w:t xml:space="preserve">SEGUNDO: </w:t>
      </w:r>
      <w:r w:rsidRPr="00DB59FA">
        <w:rPr>
          <w:rFonts w:ascii="Century Gothic" w:hAnsi="Century Gothic" w:cs="Century Gothic"/>
          <w:color w:val="000000" w:themeColor="text1"/>
          <w:sz w:val="24"/>
          <w:szCs w:val="24"/>
        </w:rPr>
        <w:t xml:space="preserve">Condenar en Costas a la Parte Demandante, en los términos de los artículos 365 y 366 del CGP las cuales serán liquidadas por el juez de primera instancia.  </w:t>
      </w:r>
    </w:p>
    <w:p w:rsidR="00DB59FA" w:rsidRPr="00DB59FA" w:rsidRDefault="00DB59FA" w:rsidP="00DB59FA">
      <w:pPr>
        <w:spacing w:after="0" w:line="300" w:lineRule="auto"/>
        <w:jc w:val="both"/>
        <w:rPr>
          <w:rFonts w:ascii="Century Gothic" w:hAnsi="Century Gothic" w:cs="Century Gothic"/>
          <w:b/>
          <w:bCs/>
          <w:color w:val="000000" w:themeColor="text1"/>
          <w:sz w:val="24"/>
          <w:szCs w:val="24"/>
          <w:lang w:val="es-CO"/>
        </w:rPr>
      </w:pPr>
    </w:p>
    <w:p w:rsidR="00DB59FA" w:rsidRPr="00DB59FA" w:rsidRDefault="00DB59FA" w:rsidP="00DB59FA">
      <w:pPr>
        <w:spacing w:after="0" w:line="300" w:lineRule="auto"/>
        <w:jc w:val="both"/>
        <w:rPr>
          <w:rFonts w:ascii="Century Gothic" w:hAnsi="Century Gothic" w:cs="Century Gothic"/>
          <w:color w:val="000000" w:themeColor="text1"/>
          <w:sz w:val="24"/>
          <w:szCs w:val="24"/>
          <w:lang w:val="es-CO"/>
        </w:rPr>
      </w:pPr>
      <w:r w:rsidRPr="00DB59FA">
        <w:rPr>
          <w:rFonts w:ascii="Century Gothic" w:hAnsi="Century Gothic" w:cs="Century Gothic"/>
          <w:b/>
          <w:bCs/>
          <w:color w:val="000000" w:themeColor="text1"/>
          <w:sz w:val="24"/>
          <w:szCs w:val="24"/>
          <w:lang w:val="es-CO"/>
        </w:rPr>
        <w:t xml:space="preserve">TERCERO: </w:t>
      </w:r>
      <w:r w:rsidRPr="00DB59FA">
        <w:rPr>
          <w:rFonts w:ascii="Century Gothic" w:hAnsi="Century Gothic" w:cs="Century Gothic"/>
          <w:color w:val="000000" w:themeColor="text1"/>
          <w:sz w:val="24"/>
          <w:szCs w:val="24"/>
          <w:lang w:val="es-CO"/>
        </w:rPr>
        <w:t xml:space="preserve">Ejecutoriada la presente providencia, </w:t>
      </w:r>
      <w:r w:rsidRPr="00DB59FA">
        <w:rPr>
          <w:rFonts w:ascii="Century Gothic" w:hAnsi="Century Gothic" w:cs="Century Gothic"/>
          <w:b/>
          <w:bCs/>
          <w:color w:val="000000" w:themeColor="text1"/>
          <w:sz w:val="24"/>
          <w:szCs w:val="24"/>
          <w:lang w:val="es-CO"/>
        </w:rPr>
        <w:t>DEVOLVER</w:t>
      </w:r>
      <w:r w:rsidRPr="00DB59FA">
        <w:rPr>
          <w:rFonts w:ascii="Century Gothic" w:hAnsi="Century Gothic" w:cs="Century Gothic"/>
          <w:color w:val="000000" w:themeColor="text1"/>
          <w:sz w:val="24"/>
          <w:szCs w:val="24"/>
          <w:lang w:val="es-CO"/>
        </w:rPr>
        <w:t xml:space="preserve"> el expediente al juzgado de origen, previas las anotaciones de rigor.</w:t>
      </w:r>
    </w:p>
    <w:p w:rsidR="00DB59FA" w:rsidRPr="00DB59FA" w:rsidRDefault="00DB59FA" w:rsidP="00DB59FA">
      <w:pPr>
        <w:spacing w:after="0" w:line="300" w:lineRule="auto"/>
        <w:jc w:val="center"/>
        <w:rPr>
          <w:rFonts w:ascii="Century Gothic" w:hAnsi="Century Gothic" w:cs="Century Gothic"/>
          <w:b/>
          <w:bCs/>
          <w:color w:val="000000" w:themeColor="text1"/>
          <w:sz w:val="14"/>
          <w:szCs w:val="24"/>
          <w:lang w:val="es-MX" w:eastAsia="es-ES"/>
        </w:rPr>
      </w:pPr>
    </w:p>
    <w:p w:rsidR="00DB59FA" w:rsidRPr="00DB59FA" w:rsidRDefault="00DB59FA" w:rsidP="00DB59FA">
      <w:pPr>
        <w:spacing w:after="0" w:line="300" w:lineRule="auto"/>
        <w:jc w:val="center"/>
        <w:rPr>
          <w:rFonts w:ascii="Century Gothic" w:hAnsi="Century Gothic" w:cs="Century Gothic"/>
          <w:b/>
          <w:bCs/>
          <w:color w:val="000000" w:themeColor="text1"/>
          <w:sz w:val="14"/>
          <w:szCs w:val="24"/>
          <w:lang w:val="es-MX" w:eastAsia="es-ES"/>
        </w:rPr>
      </w:pPr>
    </w:p>
    <w:p w:rsidR="00DB59FA" w:rsidRPr="00DB59FA" w:rsidRDefault="00DB59FA" w:rsidP="00DB59FA">
      <w:pPr>
        <w:spacing w:after="0" w:line="300" w:lineRule="auto"/>
        <w:jc w:val="center"/>
        <w:rPr>
          <w:rFonts w:ascii="Century Gothic" w:hAnsi="Century Gothic" w:cs="Century Gothic"/>
          <w:b/>
          <w:bCs/>
          <w:color w:val="000000" w:themeColor="text1"/>
          <w:sz w:val="24"/>
          <w:szCs w:val="24"/>
          <w:lang w:val="es-MX" w:eastAsia="es-ES"/>
        </w:rPr>
      </w:pPr>
      <w:r w:rsidRPr="00DB59FA">
        <w:rPr>
          <w:rFonts w:ascii="Century Gothic" w:hAnsi="Century Gothic" w:cs="Century Gothic"/>
          <w:b/>
          <w:bCs/>
          <w:color w:val="000000" w:themeColor="text1"/>
          <w:sz w:val="24"/>
          <w:szCs w:val="24"/>
          <w:lang w:val="es-MX" w:eastAsia="es-ES"/>
        </w:rPr>
        <w:t>NOTIFÍQUESE Y CÚMPLASE</w:t>
      </w:r>
    </w:p>
    <w:p w:rsidR="00DB59FA" w:rsidRPr="00DB59FA" w:rsidRDefault="00DB59FA" w:rsidP="00DB59FA">
      <w:pPr>
        <w:spacing w:after="0" w:line="300" w:lineRule="auto"/>
        <w:jc w:val="center"/>
        <w:rPr>
          <w:rFonts w:ascii="Century Gothic" w:hAnsi="Century Gothic" w:cs="Century Gothic"/>
          <w:bCs/>
          <w:color w:val="000000" w:themeColor="text1"/>
          <w:sz w:val="20"/>
          <w:szCs w:val="24"/>
          <w:lang w:val="es-MX" w:eastAsia="es-ES"/>
        </w:rPr>
      </w:pPr>
      <w:r w:rsidRPr="00DB59FA">
        <w:rPr>
          <w:rFonts w:ascii="Century Gothic" w:hAnsi="Century Gothic" w:cs="Century Gothic"/>
          <w:bCs/>
          <w:color w:val="000000" w:themeColor="text1"/>
          <w:sz w:val="20"/>
          <w:szCs w:val="24"/>
          <w:lang w:val="es-MX" w:eastAsia="es-ES"/>
        </w:rPr>
        <w:t>Constancia: el proyecto de esta providencia fue considerado y aprobado por la Sala, en sesión de la fecha.</w:t>
      </w:r>
    </w:p>
    <w:p w:rsidR="00DB59FA" w:rsidRPr="00DB59FA" w:rsidRDefault="00DB59FA" w:rsidP="00DB59FA">
      <w:pPr>
        <w:spacing w:after="0" w:line="300" w:lineRule="auto"/>
        <w:jc w:val="center"/>
        <w:rPr>
          <w:rFonts w:ascii="Century Gothic" w:hAnsi="Century Gothic" w:cs="Century Gothic"/>
          <w:b/>
          <w:bCs/>
          <w:color w:val="000000" w:themeColor="text1"/>
          <w:sz w:val="14"/>
          <w:szCs w:val="24"/>
          <w:lang w:val="es-MX" w:eastAsia="es-ES"/>
        </w:rPr>
      </w:pPr>
    </w:p>
    <w:p w:rsidR="00F255DC" w:rsidRDefault="00F255DC" w:rsidP="00F255DC">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LOS MAGISTRADOS</w:t>
      </w:r>
    </w:p>
    <w:p w:rsidR="00F255DC" w:rsidRDefault="00F255DC" w:rsidP="00F255DC">
      <w:pPr>
        <w:spacing w:after="0" w:line="300" w:lineRule="auto"/>
        <w:rPr>
          <w:rFonts w:ascii="Century Gothic" w:hAnsi="Century Gothic" w:cs="Century Gothic"/>
          <w:b/>
          <w:bCs/>
          <w:color w:val="000000" w:themeColor="text1"/>
          <w:sz w:val="12"/>
          <w:szCs w:val="24"/>
          <w:lang w:val="es-MX" w:eastAsia="es-ES"/>
        </w:rPr>
      </w:pPr>
    </w:p>
    <w:p w:rsidR="00F255DC" w:rsidRDefault="00F255DC" w:rsidP="00F255DC">
      <w:pPr>
        <w:spacing w:after="0" w:line="300" w:lineRule="auto"/>
        <w:jc w:val="center"/>
        <w:rPr>
          <w:rFonts w:ascii="Century Gothic" w:hAnsi="Century Gothic" w:cs="Century Gothic"/>
          <w:b/>
          <w:bCs/>
          <w:color w:val="000000" w:themeColor="text1"/>
          <w:sz w:val="10"/>
          <w:szCs w:val="24"/>
          <w:lang w:val="es-MX" w:eastAsia="es-ES"/>
        </w:rPr>
      </w:pPr>
    </w:p>
    <w:p w:rsidR="00F255DC" w:rsidRDefault="00F255DC" w:rsidP="00F255DC">
      <w:pPr>
        <w:spacing w:after="0" w:line="300" w:lineRule="auto"/>
        <w:jc w:val="center"/>
        <w:rPr>
          <w:rFonts w:ascii="Century Gothic" w:hAnsi="Century Gothic" w:cs="Century Gothic"/>
          <w:b/>
          <w:bCs/>
          <w:color w:val="000000" w:themeColor="text1"/>
          <w:sz w:val="10"/>
          <w:szCs w:val="24"/>
          <w:lang w:val="es-MX" w:eastAsia="es-ES"/>
        </w:rPr>
      </w:pPr>
    </w:p>
    <w:p w:rsidR="00F255DC" w:rsidRDefault="00F255DC" w:rsidP="00F255DC">
      <w:pPr>
        <w:spacing w:after="0" w:line="300" w:lineRule="auto"/>
        <w:jc w:val="center"/>
        <w:rPr>
          <w:rFonts w:ascii="Century Gothic" w:hAnsi="Century Gothic" w:cs="Century Gothic"/>
          <w:b/>
          <w:bCs/>
          <w:color w:val="000000" w:themeColor="text1"/>
          <w:sz w:val="10"/>
          <w:szCs w:val="24"/>
          <w:lang w:val="es-MX" w:eastAsia="es-ES"/>
        </w:rPr>
      </w:pPr>
    </w:p>
    <w:p w:rsidR="00F255DC" w:rsidRDefault="00F255DC" w:rsidP="00F255DC">
      <w:pPr>
        <w:spacing w:after="0" w:line="300" w:lineRule="auto"/>
        <w:jc w:val="center"/>
        <w:rPr>
          <w:rFonts w:ascii="Century Gothic" w:hAnsi="Century Gothic" w:cs="Century Gothic"/>
          <w:b/>
          <w:bCs/>
          <w:color w:val="000000" w:themeColor="text1"/>
          <w:sz w:val="10"/>
          <w:szCs w:val="24"/>
          <w:lang w:val="es-MX" w:eastAsia="es-ES"/>
        </w:rPr>
      </w:pPr>
    </w:p>
    <w:p w:rsidR="00F255DC" w:rsidRDefault="00F255DC" w:rsidP="00F255DC">
      <w:pPr>
        <w:spacing w:after="0" w:line="300" w:lineRule="auto"/>
        <w:jc w:val="center"/>
        <w:rPr>
          <w:rFonts w:ascii="Century Gothic" w:hAnsi="Century Gothic" w:cs="Century Gothic"/>
          <w:b/>
          <w:bCs/>
          <w:color w:val="000000" w:themeColor="text1"/>
          <w:sz w:val="10"/>
          <w:szCs w:val="24"/>
          <w:lang w:val="es-MX" w:eastAsia="es-ES"/>
        </w:rPr>
      </w:pPr>
    </w:p>
    <w:p w:rsidR="00F255DC" w:rsidRDefault="00F255DC" w:rsidP="00F255DC">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ORIGINAL CON FIRMA </w:t>
      </w:r>
    </w:p>
    <w:p w:rsidR="00F255DC" w:rsidRDefault="00F255DC" w:rsidP="00F255DC">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LUÍS MIGUEL VILLALOBOS ÁLVAREZ</w:t>
      </w:r>
    </w:p>
    <w:p w:rsidR="00F255DC" w:rsidRDefault="00F255DC" w:rsidP="00F255DC">
      <w:pPr>
        <w:spacing w:after="0" w:line="300" w:lineRule="auto"/>
        <w:jc w:val="center"/>
        <w:rPr>
          <w:rFonts w:ascii="Century Gothic" w:hAnsi="Century Gothic" w:cs="Century Gothic"/>
          <w:b/>
          <w:bCs/>
          <w:color w:val="000000" w:themeColor="text1"/>
          <w:sz w:val="10"/>
          <w:szCs w:val="24"/>
          <w:lang w:val="es-MX" w:eastAsia="es-ES"/>
        </w:rPr>
      </w:pPr>
    </w:p>
    <w:p w:rsidR="00F255DC" w:rsidRDefault="00F255DC" w:rsidP="00F255DC">
      <w:pPr>
        <w:spacing w:after="0" w:line="300" w:lineRule="auto"/>
        <w:rPr>
          <w:rFonts w:ascii="Century Gothic" w:hAnsi="Century Gothic" w:cs="Century Gothic"/>
          <w:b/>
          <w:bCs/>
          <w:color w:val="000000" w:themeColor="text1"/>
          <w:sz w:val="2"/>
          <w:szCs w:val="14"/>
          <w:lang w:val="es-MX" w:eastAsia="es-ES"/>
        </w:rPr>
      </w:pPr>
    </w:p>
    <w:p w:rsidR="00F255DC" w:rsidRDefault="00F255DC" w:rsidP="00F255DC">
      <w:pPr>
        <w:spacing w:after="0" w:line="300" w:lineRule="auto"/>
        <w:jc w:val="center"/>
        <w:rPr>
          <w:rFonts w:ascii="Century Gothic" w:hAnsi="Century Gothic" w:cs="Century Gothic"/>
          <w:b/>
          <w:bCs/>
          <w:color w:val="000000" w:themeColor="text1"/>
          <w:sz w:val="16"/>
          <w:szCs w:val="24"/>
          <w:lang w:val="es-MX" w:eastAsia="es-ES"/>
        </w:rPr>
      </w:pPr>
    </w:p>
    <w:p w:rsidR="00F255DC" w:rsidRDefault="00F255DC" w:rsidP="00F255DC">
      <w:pPr>
        <w:spacing w:after="0" w:line="300" w:lineRule="auto"/>
        <w:jc w:val="center"/>
        <w:rPr>
          <w:rFonts w:ascii="Century Gothic" w:hAnsi="Century Gothic" w:cs="Century Gothic"/>
          <w:b/>
          <w:bCs/>
          <w:color w:val="000000" w:themeColor="text1"/>
          <w:sz w:val="16"/>
          <w:szCs w:val="24"/>
          <w:lang w:val="es-MX" w:eastAsia="es-ES"/>
        </w:rPr>
      </w:pPr>
    </w:p>
    <w:p w:rsidR="00F255DC" w:rsidRDefault="00F255DC" w:rsidP="00F255DC">
      <w:pPr>
        <w:spacing w:after="0" w:line="300" w:lineRule="auto"/>
        <w:jc w:val="center"/>
        <w:rPr>
          <w:rFonts w:ascii="Century Gothic" w:hAnsi="Century Gothic" w:cs="Century Gothic"/>
          <w:b/>
          <w:bCs/>
          <w:color w:val="000000" w:themeColor="text1"/>
          <w:sz w:val="16"/>
          <w:szCs w:val="24"/>
          <w:lang w:val="es-MX" w:eastAsia="es-ES"/>
        </w:rPr>
      </w:pPr>
    </w:p>
    <w:p w:rsidR="00F255DC" w:rsidRDefault="00F255DC" w:rsidP="00F255DC">
      <w:pPr>
        <w:spacing w:after="0" w:line="300" w:lineRule="auto"/>
        <w:jc w:val="center"/>
        <w:rPr>
          <w:rFonts w:ascii="Century Gothic" w:hAnsi="Century Gothic" w:cs="Century Gothic"/>
          <w:b/>
          <w:bCs/>
          <w:color w:val="000000" w:themeColor="text1"/>
          <w:sz w:val="16"/>
          <w:szCs w:val="24"/>
          <w:lang w:val="es-MX" w:eastAsia="es-ES"/>
        </w:rPr>
      </w:pPr>
    </w:p>
    <w:p w:rsidR="00F255DC" w:rsidRDefault="00F255DC" w:rsidP="00F255DC">
      <w:pPr>
        <w:spacing w:after="0" w:line="300" w:lineRule="auto"/>
        <w:rPr>
          <w:rFonts w:ascii="Century Gothic" w:hAnsi="Century Gothic" w:cs="Century Gothic"/>
          <w:b/>
          <w:bCs/>
          <w:color w:val="000000" w:themeColor="text1"/>
          <w:sz w:val="14"/>
          <w:szCs w:val="24"/>
          <w:lang w:val="es-MX" w:eastAsia="es-ES"/>
        </w:rPr>
      </w:pPr>
      <w:r>
        <w:rPr>
          <w:rFonts w:ascii="Century Gothic" w:hAnsi="Century Gothic" w:cs="Century Gothic"/>
          <w:b/>
          <w:bCs/>
          <w:color w:val="000000" w:themeColor="text1"/>
          <w:sz w:val="24"/>
          <w:szCs w:val="24"/>
          <w:lang w:val="es-MX" w:eastAsia="es-ES"/>
        </w:rPr>
        <w:t xml:space="preserve">                     ORIGINAL CON FIRMA                          ORIGINAL CON FIRMA</w:t>
      </w:r>
    </w:p>
    <w:p w:rsidR="00F255DC" w:rsidRDefault="00F255DC" w:rsidP="00F255DC">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ROBERTO MARIO CHAVARRO COLPAS        JOSE RAFAEL GUERRERO LEAL               </w:t>
      </w:r>
    </w:p>
    <w:p w:rsidR="00B24C5E" w:rsidRPr="00DB59FA" w:rsidRDefault="00F255DC" w:rsidP="00F255DC">
      <w:pPr>
        <w:rPr>
          <w:color w:val="000000" w:themeColor="text1"/>
          <w:lang w:val="es-MX"/>
        </w:rPr>
      </w:pPr>
      <w:r>
        <w:rPr>
          <w:rFonts w:ascii="Century Gothic" w:hAnsi="Century Gothic" w:cs="Century Gothic"/>
          <w:b/>
          <w:bCs/>
          <w:color w:val="000000" w:themeColor="text1"/>
          <w:sz w:val="24"/>
          <w:szCs w:val="24"/>
          <w:lang w:val="es-MX" w:eastAsia="es-ES"/>
        </w:rPr>
        <w:t xml:space="preserve">               </w:t>
      </w:r>
      <w:bookmarkStart w:id="0" w:name="_GoBack"/>
      <w:bookmarkEnd w:id="0"/>
    </w:p>
    <w:sectPr w:rsidR="00B24C5E" w:rsidRPr="00DB59FA"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F255DC"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F255DC">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255DC">
              <w:rPr>
                <w:b/>
                <w:bCs/>
                <w:noProof/>
              </w:rPr>
              <w:t>11</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B59FA">
                            <w:rPr>
                              <w:rFonts w:ascii="Arial Black" w:hAnsi="Arial Black"/>
                              <w:b/>
                              <w:sz w:val="20"/>
                            </w:rPr>
                            <w:t xml:space="preserve"> 048</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B59FA">
                      <w:rPr>
                        <w:rFonts w:ascii="Arial Black" w:hAnsi="Arial Black"/>
                        <w:b/>
                        <w:sz w:val="20"/>
                      </w:rPr>
                      <w:t xml:space="preserve"> 048</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DB59FA" w:rsidP="00DB59FA">
    <w:pPr>
      <w:pStyle w:val="NormalWeb"/>
      <w:tabs>
        <w:tab w:val="left" w:pos="855"/>
      </w:tabs>
      <w:spacing w:before="0" w:beforeAutospacing="0" w:after="0" w:afterAutospacing="0"/>
      <w:jc w:val="right"/>
      <w:rPr>
        <w:rFonts w:ascii="Arial" w:hAnsi="Arial" w:cs="Arial"/>
        <w:b/>
        <w:i/>
        <w:color w:val="000000" w:themeColor="text1"/>
        <w:sz w:val="20"/>
        <w:szCs w:val="20"/>
      </w:rPr>
    </w:pPr>
    <w:r w:rsidRPr="00DB59FA">
      <w:rPr>
        <w:rFonts w:ascii="Arial" w:hAnsi="Arial" w:cs="Arial"/>
        <w:b/>
        <w:i/>
        <w:color w:val="000000" w:themeColor="text1"/>
        <w:sz w:val="20"/>
        <w:szCs w:val="20"/>
      </w:rPr>
      <w:t>13-001-33-33-007-2015-00445-01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3">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6">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7956BBC"/>
    <w:multiLevelType w:val="hybridMultilevel"/>
    <w:tmpl w:val="DB944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8"/>
  </w:num>
  <w:num w:numId="5">
    <w:abstractNumId w:val="10"/>
  </w:num>
  <w:num w:numId="6">
    <w:abstractNumId w:val="4"/>
  </w:num>
  <w:num w:numId="7">
    <w:abstractNumId w:val="6"/>
  </w:num>
  <w:num w:numId="8">
    <w:abstractNumId w:val="2"/>
  </w:num>
  <w:num w:numId="9">
    <w:abstractNumId w:val="7"/>
  </w:num>
  <w:num w:numId="10">
    <w:abstractNumId w:val="3"/>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F0E9D"/>
    <w:rsid w:val="003F4CED"/>
    <w:rsid w:val="0045656C"/>
    <w:rsid w:val="0046233A"/>
    <w:rsid w:val="00473A6C"/>
    <w:rsid w:val="0049209B"/>
    <w:rsid w:val="00496C79"/>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51166"/>
    <w:rsid w:val="00760228"/>
    <w:rsid w:val="00761C4F"/>
    <w:rsid w:val="0077598C"/>
    <w:rsid w:val="007804BF"/>
    <w:rsid w:val="0079718D"/>
    <w:rsid w:val="007A428E"/>
    <w:rsid w:val="007A60C4"/>
    <w:rsid w:val="007B3AC2"/>
    <w:rsid w:val="007B50C6"/>
    <w:rsid w:val="007C205E"/>
    <w:rsid w:val="007D3CD0"/>
    <w:rsid w:val="007F365F"/>
    <w:rsid w:val="00807F35"/>
    <w:rsid w:val="0081109A"/>
    <w:rsid w:val="00814E3F"/>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EB0"/>
    <w:rsid w:val="00B004BF"/>
    <w:rsid w:val="00B24C5E"/>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6D4E"/>
    <w:rsid w:val="00CB5B6E"/>
    <w:rsid w:val="00CB6097"/>
    <w:rsid w:val="00CC43C2"/>
    <w:rsid w:val="00CD0D89"/>
    <w:rsid w:val="00CD4DD6"/>
    <w:rsid w:val="00CD53EA"/>
    <w:rsid w:val="00D00CE2"/>
    <w:rsid w:val="00D30D9F"/>
    <w:rsid w:val="00D860EE"/>
    <w:rsid w:val="00DB0BCB"/>
    <w:rsid w:val="00DB59FA"/>
    <w:rsid w:val="00DD7CF7"/>
    <w:rsid w:val="00DE58E7"/>
    <w:rsid w:val="00DF46DB"/>
    <w:rsid w:val="00DF7E6E"/>
    <w:rsid w:val="00E153DD"/>
    <w:rsid w:val="00E47AB8"/>
    <w:rsid w:val="00E91C9C"/>
    <w:rsid w:val="00E959CB"/>
    <w:rsid w:val="00EB09FF"/>
    <w:rsid w:val="00EC2AAE"/>
    <w:rsid w:val="00EC4793"/>
    <w:rsid w:val="00ED6A0C"/>
    <w:rsid w:val="00EE6A2C"/>
    <w:rsid w:val="00F05EBB"/>
    <w:rsid w:val="00F255DC"/>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99"/>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99"/>
    <w:locked/>
    <w:rsid w:val="0063503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159536971">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002C-6A02-46B1-8AA0-41E1DEB5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2919</Words>
  <Characters>16055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2020-05-15T16:24:00Z</dcterms:created>
  <dcterms:modified xsi:type="dcterms:W3CDTF">2020-05-15T17:11:00Z</dcterms:modified>
</cp:coreProperties>
</file>