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61" w:rsidRDefault="00717461" w:rsidP="007C413D">
      <w:pPr>
        <w:tabs>
          <w:tab w:val="left" w:pos="8310"/>
        </w:tabs>
        <w:spacing w:after="0" w:line="300" w:lineRule="auto"/>
        <w:jc w:val="both"/>
        <w:rPr>
          <w:rFonts w:ascii="Century Gothic" w:eastAsia="Times New Roman" w:hAnsi="Century Gothic" w:cs="Century Gothic"/>
          <w:color w:val="262626" w:themeColor="text1" w:themeTint="D9"/>
          <w:sz w:val="24"/>
          <w:szCs w:val="24"/>
          <w:lang w:val="es-CO"/>
        </w:rPr>
      </w:pPr>
      <w:r w:rsidRPr="00CE2597">
        <w:rPr>
          <w:rFonts w:ascii="Century Gothic" w:eastAsia="Times New Roman" w:hAnsi="Century Gothic" w:cs="Century Gothic"/>
          <w:color w:val="262626" w:themeColor="text1" w:themeTint="D9"/>
          <w:sz w:val="24"/>
          <w:szCs w:val="24"/>
          <w:lang w:val="es-CO"/>
        </w:rPr>
        <w:t>Cartagena de Indias D. T. y C.,</w:t>
      </w:r>
      <w:r w:rsidR="001817CF" w:rsidRPr="00CE2597">
        <w:rPr>
          <w:rFonts w:ascii="Century Gothic" w:eastAsia="Times New Roman" w:hAnsi="Century Gothic" w:cs="Century Gothic"/>
          <w:color w:val="262626" w:themeColor="text1" w:themeTint="D9"/>
          <w:sz w:val="24"/>
          <w:szCs w:val="24"/>
          <w:lang w:val="es-CO"/>
        </w:rPr>
        <w:t xml:space="preserve"> cinco (05) de junio de </w:t>
      </w:r>
      <w:r w:rsidR="00F52F49" w:rsidRPr="00CE2597">
        <w:rPr>
          <w:rFonts w:ascii="Century Gothic" w:eastAsia="Times New Roman" w:hAnsi="Century Gothic" w:cs="Century Gothic"/>
          <w:color w:val="262626" w:themeColor="text1" w:themeTint="D9"/>
          <w:sz w:val="24"/>
          <w:szCs w:val="24"/>
          <w:lang w:val="es-CO"/>
        </w:rPr>
        <w:t>dos mil veinte (2020)</w:t>
      </w:r>
      <w:r w:rsidRPr="00CE2597">
        <w:rPr>
          <w:rFonts w:ascii="Century Gothic" w:eastAsia="Times New Roman" w:hAnsi="Century Gothic" w:cs="Century Gothic"/>
          <w:color w:val="262626" w:themeColor="text1" w:themeTint="D9"/>
          <w:sz w:val="24"/>
          <w:szCs w:val="24"/>
          <w:lang w:val="es-CO"/>
        </w:rPr>
        <w:t>.</w:t>
      </w:r>
    </w:p>
    <w:p w:rsidR="00C03C3F" w:rsidRPr="00CE2597" w:rsidRDefault="00C03C3F" w:rsidP="007C413D">
      <w:pPr>
        <w:tabs>
          <w:tab w:val="left" w:pos="8310"/>
        </w:tabs>
        <w:spacing w:after="0" w:line="300" w:lineRule="auto"/>
        <w:jc w:val="both"/>
        <w:rPr>
          <w:rFonts w:ascii="Century Gothic" w:eastAsia="Times New Roman" w:hAnsi="Century Gothic" w:cs="Century Gothic"/>
          <w:color w:val="262626" w:themeColor="text1" w:themeTint="D9"/>
          <w:sz w:val="24"/>
          <w:szCs w:val="24"/>
          <w:lang w:val="es-CO"/>
        </w:rPr>
      </w:pPr>
    </w:p>
    <w:p w:rsidR="00717461" w:rsidRPr="00CE2597" w:rsidRDefault="00717461" w:rsidP="007C413D">
      <w:pPr>
        <w:tabs>
          <w:tab w:val="left" w:pos="8310"/>
        </w:tabs>
        <w:spacing w:after="0" w:line="300" w:lineRule="auto"/>
        <w:jc w:val="both"/>
        <w:rPr>
          <w:rFonts w:ascii="Century Gothic" w:eastAsia="Times New Roman" w:hAnsi="Century Gothic" w:cs="Century Gothic"/>
          <w:b/>
          <w:color w:val="262626" w:themeColor="text1" w:themeTint="D9"/>
          <w:sz w:val="24"/>
          <w:szCs w:val="24"/>
          <w:lang w:val="es-CO"/>
        </w:rPr>
      </w:pPr>
      <w:r w:rsidRPr="00CE2597">
        <w:rPr>
          <w:rFonts w:ascii="Century Gothic" w:eastAsia="Times New Roman" w:hAnsi="Century Gothic" w:cs="Century Gothic"/>
          <w:b/>
          <w:color w:val="262626" w:themeColor="text1" w:themeTint="D9"/>
          <w:sz w:val="24"/>
          <w:szCs w:val="24"/>
          <w:lang w:val="es-CO"/>
        </w:rPr>
        <w:t>I. IDENTIFICACIÓN DEL PROCESO, RADICADO Y PARTES INTERVINIENTES.</w:t>
      </w: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4"/>
        <w:gridCol w:w="6562"/>
      </w:tblGrid>
      <w:tr w:rsidR="00AF35BB" w:rsidRPr="00CE2597" w:rsidTr="00B254D2">
        <w:trPr>
          <w:trHeight w:val="359"/>
        </w:trPr>
        <w:tc>
          <w:tcPr>
            <w:tcW w:w="1428" w:type="pct"/>
            <w:tcBorders>
              <w:top w:val="single" w:sz="4" w:space="0" w:color="auto"/>
              <w:left w:val="single" w:sz="4" w:space="0" w:color="auto"/>
              <w:bottom w:val="single" w:sz="4" w:space="0" w:color="auto"/>
              <w:right w:val="single" w:sz="4" w:space="0" w:color="auto"/>
            </w:tcBorders>
            <w:vAlign w:val="center"/>
          </w:tcPr>
          <w:p w:rsidR="00717461" w:rsidRPr="00CE2597"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Medio de control</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CE2597" w:rsidRDefault="00717461" w:rsidP="007C413D">
            <w:pPr>
              <w:spacing w:after="0" w:line="300" w:lineRule="auto"/>
              <w:rPr>
                <w:rFonts w:ascii="Century Gothic" w:eastAsia="Times New Roman" w:hAnsi="Century Gothic" w:cs="Century Gothic"/>
                <w:color w:val="262626" w:themeColor="text1" w:themeTint="D9"/>
                <w:sz w:val="24"/>
                <w:szCs w:val="24"/>
              </w:rPr>
            </w:pPr>
            <w:r w:rsidRPr="00CE2597">
              <w:rPr>
                <w:rFonts w:ascii="Century Gothic" w:eastAsia="Times New Roman" w:hAnsi="Century Gothic" w:cs="Century Gothic"/>
                <w:color w:val="262626" w:themeColor="text1" w:themeTint="D9"/>
                <w:sz w:val="24"/>
                <w:szCs w:val="24"/>
              </w:rPr>
              <w:t>NULIDAD Y RESTABLECIMIENTO DEL DERECHO</w:t>
            </w:r>
          </w:p>
        </w:tc>
      </w:tr>
      <w:tr w:rsidR="00AF35BB" w:rsidRPr="00CE2597"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CE2597"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Radicado</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CE2597" w:rsidRDefault="00B97F84" w:rsidP="007C413D">
            <w:pPr>
              <w:spacing w:after="0" w:line="300" w:lineRule="auto"/>
              <w:rPr>
                <w:rFonts w:ascii="Century Gothic" w:eastAsia="Times New Roman" w:hAnsi="Century Gothic" w:cs="Century Gothic"/>
                <w:color w:val="262626" w:themeColor="text1" w:themeTint="D9"/>
                <w:sz w:val="24"/>
                <w:szCs w:val="24"/>
              </w:rPr>
            </w:pPr>
            <w:r w:rsidRPr="00CE2597">
              <w:rPr>
                <w:rFonts w:ascii="Century Gothic" w:eastAsia="Times New Roman" w:hAnsi="Century Gothic" w:cs="Century Gothic"/>
                <w:color w:val="262626" w:themeColor="text1" w:themeTint="D9"/>
                <w:sz w:val="24"/>
                <w:szCs w:val="24"/>
              </w:rPr>
              <w:t>13-001-33-33-013-2017-00184-01</w:t>
            </w:r>
          </w:p>
        </w:tc>
      </w:tr>
      <w:tr w:rsidR="00AF35BB" w:rsidRPr="00CE2597"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CE2597"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Demandante</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CE2597" w:rsidRDefault="00B97F84" w:rsidP="00B97F84">
            <w:pPr>
              <w:spacing w:after="0" w:line="300" w:lineRule="auto"/>
              <w:rPr>
                <w:rFonts w:ascii="Century Gothic" w:eastAsia="Times New Roman" w:hAnsi="Century Gothic" w:cs="Century Gothic"/>
                <w:color w:val="262626" w:themeColor="text1" w:themeTint="D9"/>
                <w:sz w:val="24"/>
                <w:szCs w:val="24"/>
              </w:rPr>
            </w:pPr>
            <w:r w:rsidRPr="00CE2597">
              <w:rPr>
                <w:rFonts w:ascii="Century Gothic" w:eastAsia="Times New Roman" w:hAnsi="Century Gothic" w:cs="Century Gothic"/>
                <w:color w:val="262626" w:themeColor="text1" w:themeTint="D9"/>
                <w:sz w:val="24"/>
                <w:szCs w:val="24"/>
              </w:rPr>
              <w:t xml:space="preserve">HERLINDA SEPULVEDA GONZALEZ </w:t>
            </w:r>
            <w:r w:rsidR="004819AF" w:rsidRPr="00CE2597">
              <w:rPr>
                <w:rFonts w:ascii="Century Gothic" w:eastAsia="Times New Roman" w:hAnsi="Century Gothic" w:cs="Century Gothic"/>
                <w:color w:val="262626" w:themeColor="text1" w:themeTint="D9"/>
                <w:sz w:val="24"/>
                <w:szCs w:val="24"/>
              </w:rPr>
              <w:t xml:space="preserve"> </w:t>
            </w:r>
          </w:p>
        </w:tc>
      </w:tr>
      <w:tr w:rsidR="00AF35BB" w:rsidRPr="00CE2597"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CE2597"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Demandado</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CE2597" w:rsidRDefault="00B97F84" w:rsidP="007C413D">
            <w:pPr>
              <w:spacing w:after="0" w:line="300" w:lineRule="auto"/>
              <w:jc w:val="both"/>
              <w:rPr>
                <w:rFonts w:ascii="Century Gothic" w:eastAsia="Times New Roman" w:hAnsi="Century Gothic" w:cs="Century Gothic"/>
                <w:color w:val="262626" w:themeColor="text1" w:themeTint="D9"/>
                <w:sz w:val="24"/>
                <w:szCs w:val="24"/>
              </w:rPr>
            </w:pPr>
            <w:r w:rsidRPr="00CE2597">
              <w:rPr>
                <w:rFonts w:ascii="Century Gothic" w:eastAsia="Times New Roman" w:hAnsi="Century Gothic" w:cs="Century Gothic"/>
                <w:color w:val="262626" w:themeColor="text1" w:themeTint="D9"/>
                <w:sz w:val="24"/>
                <w:szCs w:val="24"/>
              </w:rPr>
              <w:t xml:space="preserve">COLPENSIONES </w:t>
            </w:r>
          </w:p>
        </w:tc>
      </w:tr>
      <w:tr w:rsidR="00AF35BB" w:rsidRPr="00CE2597"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CE2597" w:rsidRDefault="00717461" w:rsidP="007C413D">
            <w:pPr>
              <w:spacing w:after="0" w:line="300" w:lineRule="auto"/>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Tema:</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CE2597" w:rsidRDefault="005B7F5B" w:rsidP="007C413D">
            <w:pPr>
              <w:spacing w:after="0" w:line="300" w:lineRule="auto"/>
              <w:rPr>
                <w:rFonts w:ascii="Century Gothic" w:eastAsia="Times New Roman" w:hAnsi="Century Gothic" w:cs="Century Gothic"/>
                <w:color w:val="262626" w:themeColor="text1" w:themeTint="D9"/>
                <w:sz w:val="24"/>
                <w:szCs w:val="24"/>
              </w:rPr>
            </w:pPr>
            <w:r w:rsidRPr="00CE2597">
              <w:rPr>
                <w:rFonts w:ascii="Century Gothic" w:eastAsia="Times New Roman" w:hAnsi="Century Gothic" w:cs="Century Gothic"/>
                <w:color w:val="262626" w:themeColor="text1" w:themeTint="D9"/>
                <w:sz w:val="24"/>
                <w:szCs w:val="24"/>
              </w:rPr>
              <w:t xml:space="preserve">IBL- </w:t>
            </w:r>
            <w:r w:rsidRPr="00CE2597">
              <w:rPr>
                <w:rFonts w:ascii="Century Gothic" w:eastAsia="Times New Roman" w:hAnsi="Century Gothic" w:cs="Century Gothic"/>
                <w:i/>
                <w:color w:val="262626" w:themeColor="text1" w:themeTint="D9"/>
                <w:sz w:val="24"/>
                <w:szCs w:val="24"/>
              </w:rPr>
              <w:t>Transición</w:t>
            </w:r>
            <w:r w:rsidR="00FC2793" w:rsidRPr="00CE2597">
              <w:rPr>
                <w:rFonts w:ascii="Century Gothic" w:eastAsia="Times New Roman" w:hAnsi="Century Gothic" w:cs="Century Gothic"/>
                <w:i/>
                <w:color w:val="262626" w:themeColor="text1" w:themeTint="D9"/>
                <w:sz w:val="24"/>
                <w:szCs w:val="24"/>
              </w:rPr>
              <w:t xml:space="preserve"> </w:t>
            </w:r>
            <w:r w:rsidR="00717461" w:rsidRPr="00CE2597">
              <w:rPr>
                <w:rFonts w:ascii="Century Gothic" w:eastAsia="Times New Roman" w:hAnsi="Century Gothic" w:cs="Century Gothic"/>
                <w:i/>
                <w:color w:val="262626" w:themeColor="text1" w:themeTint="D9"/>
                <w:sz w:val="24"/>
                <w:szCs w:val="24"/>
              </w:rPr>
              <w:t xml:space="preserve"> </w:t>
            </w:r>
          </w:p>
        </w:tc>
      </w:tr>
      <w:tr w:rsidR="00AF35BB" w:rsidRPr="00CE2597" w:rsidTr="00B254D2">
        <w:trPr>
          <w:trHeight w:val="345"/>
        </w:trPr>
        <w:tc>
          <w:tcPr>
            <w:tcW w:w="1428" w:type="pct"/>
            <w:tcBorders>
              <w:top w:val="single" w:sz="4" w:space="0" w:color="auto"/>
              <w:left w:val="single" w:sz="4" w:space="0" w:color="auto"/>
              <w:bottom w:val="single" w:sz="4" w:space="0" w:color="auto"/>
              <w:right w:val="single" w:sz="4" w:space="0" w:color="auto"/>
            </w:tcBorders>
            <w:vAlign w:val="center"/>
          </w:tcPr>
          <w:p w:rsidR="00717461" w:rsidRPr="00CE2597" w:rsidRDefault="00717461" w:rsidP="007C413D">
            <w:pPr>
              <w:tabs>
                <w:tab w:val="center" w:pos="4252"/>
                <w:tab w:val="right" w:pos="8504"/>
              </w:tabs>
              <w:spacing w:after="0" w:line="300" w:lineRule="auto"/>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lang w:val="es-CO"/>
              </w:rPr>
              <w:t xml:space="preserve">Magistrado Ponente </w:t>
            </w:r>
          </w:p>
        </w:tc>
        <w:tc>
          <w:tcPr>
            <w:tcW w:w="3572" w:type="pct"/>
            <w:tcBorders>
              <w:top w:val="single" w:sz="4" w:space="0" w:color="auto"/>
              <w:left w:val="single" w:sz="4" w:space="0" w:color="auto"/>
              <w:bottom w:val="single" w:sz="4" w:space="0" w:color="auto"/>
              <w:right w:val="single" w:sz="4" w:space="0" w:color="auto"/>
            </w:tcBorders>
            <w:vAlign w:val="center"/>
          </w:tcPr>
          <w:p w:rsidR="00717461" w:rsidRPr="00CE2597" w:rsidRDefault="00717461" w:rsidP="007C413D">
            <w:pPr>
              <w:spacing w:after="0" w:line="300" w:lineRule="auto"/>
              <w:rPr>
                <w:rFonts w:ascii="Century Gothic" w:eastAsia="Times New Roman" w:hAnsi="Century Gothic" w:cs="Century Gothic"/>
                <w:color w:val="262626" w:themeColor="text1" w:themeTint="D9"/>
                <w:sz w:val="24"/>
                <w:szCs w:val="24"/>
              </w:rPr>
            </w:pPr>
            <w:r w:rsidRPr="00CE2597">
              <w:rPr>
                <w:rFonts w:ascii="Century Gothic" w:eastAsia="Times New Roman" w:hAnsi="Century Gothic" w:cs="Century Gothic"/>
                <w:color w:val="262626" w:themeColor="text1" w:themeTint="D9"/>
                <w:sz w:val="24"/>
                <w:szCs w:val="24"/>
              </w:rPr>
              <w:t>LUÍS MIGUEL VILLALOBOS ÁLVAREZ</w:t>
            </w:r>
          </w:p>
        </w:tc>
      </w:tr>
    </w:tbl>
    <w:p w:rsidR="005628F3" w:rsidRPr="00CE2597" w:rsidRDefault="007C413D" w:rsidP="007C413D">
      <w:pPr>
        <w:spacing w:after="0" w:line="300" w:lineRule="auto"/>
        <w:jc w:val="both"/>
        <w:rPr>
          <w:rFonts w:ascii="Century Gothic" w:eastAsia="Times New Roman" w:hAnsi="Century Gothic" w:cs="Century Gothic"/>
          <w:b/>
          <w:bCs/>
          <w:color w:val="262626" w:themeColor="text1" w:themeTint="D9"/>
          <w:sz w:val="14"/>
          <w:szCs w:val="24"/>
          <w:lang w:val="es-CO"/>
        </w:rPr>
      </w:pPr>
      <w:r w:rsidRPr="00CE2597">
        <w:rPr>
          <w:rFonts w:ascii="Century Gothic" w:eastAsia="Times New Roman" w:hAnsi="Century Gothic" w:cs="Century Gothic"/>
          <w:b/>
          <w:bCs/>
          <w:color w:val="262626" w:themeColor="text1" w:themeTint="D9"/>
          <w:sz w:val="24"/>
          <w:szCs w:val="24"/>
          <w:lang w:val="es-CO"/>
        </w:rPr>
        <w:tab/>
      </w:r>
      <w:r w:rsidRPr="00CE2597">
        <w:rPr>
          <w:rFonts w:ascii="Century Gothic" w:eastAsia="Times New Roman" w:hAnsi="Century Gothic" w:cs="Century Gothic"/>
          <w:b/>
          <w:bCs/>
          <w:color w:val="262626" w:themeColor="text1" w:themeTint="D9"/>
          <w:sz w:val="24"/>
          <w:szCs w:val="24"/>
          <w:lang w:val="es-CO"/>
        </w:rPr>
        <w:tab/>
      </w:r>
      <w:r w:rsidRPr="00CE2597">
        <w:rPr>
          <w:rFonts w:ascii="Century Gothic" w:eastAsia="Times New Roman" w:hAnsi="Century Gothic" w:cs="Century Gothic"/>
          <w:b/>
          <w:bCs/>
          <w:color w:val="262626" w:themeColor="text1" w:themeTint="D9"/>
          <w:sz w:val="24"/>
          <w:szCs w:val="24"/>
          <w:lang w:val="es-CO"/>
        </w:rPr>
        <w:tab/>
      </w:r>
      <w:r w:rsidRPr="00CE2597">
        <w:rPr>
          <w:rFonts w:ascii="Century Gothic" w:eastAsia="Times New Roman" w:hAnsi="Century Gothic" w:cs="Century Gothic"/>
          <w:b/>
          <w:bCs/>
          <w:color w:val="262626" w:themeColor="text1" w:themeTint="D9"/>
          <w:sz w:val="24"/>
          <w:szCs w:val="24"/>
          <w:lang w:val="es-CO"/>
        </w:rPr>
        <w:tab/>
      </w:r>
      <w:r w:rsidRPr="00CE2597">
        <w:rPr>
          <w:rFonts w:ascii="Century Gothic" w:eastAsia="Times New Roman" w:hAnsi="Century Gothic" w:cs="Century Gothic"/>
          <w:b/>
          <w:bCs/>
          <w:color w:val="262626" w:themeColor="text1" w:themeTint="D9"/>
          <w:sz w:val="24"/>
          <w:szCs w:val="24"/>
          <w:lang w:val="es-CO"/>
        </w:rPr>
        <w:tab/>
      </w:r>
    </w:p>
    <w:p w:rsidR="005628F3" w:rsidRPr="00CE2597" w:rsidRDefault="005628F3" w:rsidP="007C413D">
      <w:pPr>
        <w:spacing w:after="0" w:line="300" w:lineRule="auto"/>
        <w:jc w:val="both"/>
        <w:rPr>
          <w:rFonts w:ascii="Century Gothic" w:eastAsia="Times New Roman" w:hAnsi="Century Gothic" w:cs="Century Gothic"/>
          <w:b/>
          <w:bCs/>
          <w:color w:val="262626" w:themeColor="text1" w:themeTint="D9"/>
          <w:sz w:val="24"/>
          <w:szCs w:val="24"/>
          <w:lang w:val="es-CO"/>
        </w:rPr>
      </w:pPr>
      <w:r w:rsidRPr="00CE2597">
        <w:rPr>
          <w:rFonts w:ascii="Century Gothic" w:eastAsia="Times New Roman" w:hAnsi="Century Gothic" w:cs="Century Gothic"/>
          <w:b/>
          <w:bCs/>
          <w:color w:val="262626" w:themeColor="text1" w:themeTint="D9"/>
          <w:sz w:val="24"/>
          <w:szCs w:val="24"/>
          <w:lang w:val="es-CO"/>
        </w:rPr>
        <w:t xml:space="preserve">II. PRONUNCIAMIENTO </w:t>
      </w:r>
    </w:p>
    <w:p w:rsidR="00410A43" w:rsidRPr="00CE2597" w:rsidRDefault="00410A43" w:rsidP="007C413D">
      <w:pPr>
        <w:spacing w:after="0" w:line="300" w:lineRule="auto"/>
        <w:jc w:val="both"/>
        <w:rPr>
          <w:rFonts w:ascii="Century Gothic" w:eastAsia="Times New Roman" w:hAnsi="Century Gothic" w:cs="Century Gothic"/>
          <w:b/>
          <w:bCs/>
          <w:color w:val="262626" w:themeColor="text1" w:themeTint="D9"/>
          <w:sz w:val="16"/>
          <w:szCs w:val="24"/>
          <w:lang w:val="es-CO"/>
        </w:rPr>
      </w:pPr>
    </w:p>
    <w:p w:rsidR="00BE2B99" w:rsidRPr="00CE2597" w:rsidRDefault="00410A43" w:rsidP="007C413D">
      <w:pPr>
        <w:pStyle w:val="Textonormal"/>
        <w:spacing w:line="300" w:lineRule="auto"/>
        <w:rPr>
          <w:rFonts w:ascii="Century Gothic" w:hAnsi="Century Gothic" w:cs="Century Gothic"/>
          <w:bCs/>
          <w:color w:val="262626" w:themeColor="text1" w:themeTint="D9"/>
          <w:sz w:val="24"/>
          <w:szCs w:val="24"/>
          <w:lang w:val="es-CO" w:eastAsia="en-US"/>
        </w:rPr>
      </w:pPr>
      <w:r w:rsidRPr="00CE2597">
        <w:rPr>
          <w:rFonts w:ascii="Century Gothic" w:hAnsi="Century Gothic" w:cs="Century Gothic"/>
          <w:bCs/>
          <w:color w:val="262626" w:themeColor="text1" w:themeTint="D9"/>
          <w:sz w:val="24"/>
          <w:szCs w:val="24"/>
          <w:lang w:val="es-CO" w:eastAsia="en-US"/>
        </w:rPr>
        <w:t>Procede la Sala de Decisión a resolver el recurso de apelación interpuesto por la parte demanda</w:t>
      </w:r>
      <w:r w:rsidR="00C25715" w:rsidRPr="00CE2597">
        <w:rPr>
          <w:rFonts w:ascii="Century Gothic" w:hAnsi="Century Gothic" w:cs="Century Gothic"/>
          <w:bCs/>
          <w:color w:val="262626" w:themeColor="text1" w:themeTint="D9"/>
          <w:sz w:val="24"/>
          <w:szCs w:val="24"/>
          <w:lang w:val="es-CO" w:eastAsia="en-US"/>
        </w:rPr>
        <w:t xml:space="preserve">da </w:t>
      </w:r>
      <w:r w:rsidR="004B7AB0" w:rsidRPr="00CE2597">
        <w:rPr>
          <w:rFonts w:ascii="Century Gothic" w:hAnsi="Century Gothic" w:cs="Century Gothic"/>
          <w:bCs/>
          <w:color w:val="262626" w:themeColor="text1" w:themeTint="D9"/>
          <w:sz w:val="24"/>
          <w:szCs w:val="24"/>
          <w:lang w:val="es-CO" w:eastAsia="en-US"/>
        </w:rPr>
        <w:t xml:space="preserve">contra la sentencia </w:t>
      </w:r>
      <w:r w:rsidRPr="00CE2597">
        <w:rPr>
          <w:rFonts w:ascii="Century Gothic" w:hAnsi="Century Gothic" w:cs="Century Gothic"/>
          <w:bCs/>
          <w:color w:val="262626" w:themeColor="text1" w:themeTint="D9"/>
          <w:sz w:val="24"/>
          <w:szCs w:val="24"/>
          <w:lang w:val="es-CO" w:eastAsia="en-US"/>
        </w:rPr>
        <w:t>de fecha</w:t>
      </w:r>
      <w:r w:rsidR="00BA5026" w:rsidRPr="00CE2597">
        <w:rPr>
          <w:rFonts w:ascii="Century Gothic" w:hAnsi="Century Gothic" w:cs="Century Gothic"/>
          <w:bCs/>
          <w:color w:val="262626" w:themeColor="text1" w:themeTint="D9"/>
          <w:sz w:val="24"/>
          <w:szCs w:val="24"/>
          <w:lang w:val="es-CO" w:eastAsia="en-US"/>
        </w:rPr>
        <w:t xml:space="preserve"> </w:t>
      </w:r>
      <w:r w:rsidR="00772F40" w:rsidRPr="00CE2597">
        <w:rPr>
          <w:rFonts w:ascii="Century Gothic" w:hAnsi="Century Gothic" w:cs="Century Gothic"/>
          <w:bCs/>
          <w:color w:val="262626" w:themeColor="text1" w:themeTint="D9"/>
          <w:sz w:val="24"/>
          <w:szCs w:val="24"/>
          <w:lang w:val="es-CO" w:eastAsia="en-US"/>
        </w:rPr>
        <w:t>treinta y uno (31) de julio de dos mil dieciocho (2018</w:t>
      </w:r>
      <w:bookmarkStart w:id="0" w:name="_GoBack"/>
      <w:bookmarkEnd w:id="0"/>
      <w:r w:rsidR="00772F40" w:rsidRPr="00CE2597">
        <w:rPr>
          <w:rFonts w:ascii="Century Gothic" w:hAnsi="Century Gothic" w:cs="Century Gothic"/>
          <w:bCs/>
          <w:color w:val="262626" w:themeColor="text1" w:themeTint="D9"/>
          <w:sz w:val="24"/>
          <w:szCs w:val="24"/>
          <w:lang w:val="es-CO" w:eastAsia="en-US"/>
        </w:rPr>
        <w:t>)</w:t>
      </w:r>
      <w:r w:rsidR="00A17950" w:rsidRPr="00CE2597">
        <w:rPr>
          <w:rFonts w:ascii="Century Gothic" w:hAnsi="Century Gothic" w:cs="Century Gothic"/>
          <w:bCs/>
          <w:color w:val="262626" w:themeColor="text1" w:themeTint="D9"/>
          <w:sz w:val="24"/>
          <w:szCs w:val="24"/>
          <w:lang w:val="es-CO" w:eastAsia="en-US"/>
        </w:rPr>
        <w:t>, proferida por el Juzgado</w:t>
      </w:r>
      <w:r w:rsidR="00940C9E" w:rsidRPr="00CE2597">
        <w:rPr>
          <w:rFonts w:ascii="Century Gothic" w:hAnsi="Century Gothic" w:cs="Century Gothic"/>
          <w:bCs/>
          <w:color w:val="262626" w:themeColor="text1" w:themeTint="D9"/>
          <w:sz w:val="24"/>
          <w:szCs w:val="24"/>
          <w:lang w:val="es-CO" w:eastAsia="en-US"/>
        </w:rPr>
        <w:t xml:space="preserve"> </w:t>
      </w:r>
      <w:r w:rsidR="00772F40" w:rsidRPr="00CE2597">
        <w:rPr>
          <w:rFonts w:ascii="Century Gothic" w:hAnsi="Century Gothic" w:cs="Century Gothic"/>
          <w:bCs/>
          <w:color w:val="262626" w:themeColor="text1" w:themeTint="D9"/>
          <w:sz w:val="24"/>
          <w:szCs w:val="24"/>
          <w:lang w:val="es-CO" w:eastAsia="en-US"/>
        </w:rPr>
        <w:t>Décimo Tercero A</w:t>
      </w:r>
      <w:r w:rsidRPr="00CE2597">
        <w:rPr>
          <w:rFonts w:ascii="Century Gothic" w:hAnsi="Century Gothic" w:cs="Century Gothic"/>
          <w:bCs/>
          <w:color w:val="262626" w:themeColor="text1" w:themeTint="D9"/>
          <w:sz w:val="24"/>
          <w:szCs w:val="24"/>
          <w:lang w:val="es-CO" w:eastAsia="en-US"/>
        </w:rPr>
        <w:t>dministrativo del Circuito de Cartagena, mediante la cual se concedieron las pretensiones de la demanda.</w:t>
      </w:r>
    </w:p>
    <w:p w:rsidR="00D51886" w:rsidRPr="00CE2597" w:rsidRDefault="00D51886" w:rsidP="007C413D">
      <w:pPr>
        <w:pStyle w:val="Textonormal"/>
        <w:spacing w:line="300" w:lineRule="auto"/>
        <w:rPr>
          <w:rFonts w:ascii="Century Gothic" w:hAnsi="Century Gothic" w:cs="Century Gothic"/>
          <w:bCs/>
          <w:color w:val="262626" w:themeColor="text1" w:themeTint="D9"/>
          <w:sz w:val="14"/>
          <w:szCs w:val="24"/>
        </w:rPr>
      </w:pPr>
    </w:p>
    <w:p w:rsidR="00717461" w:rsidRPr="00CE2597" w:rsidRDefault="00717461" w:rsidP="007C413D">
      <w:pPr>
        <w:spacing w:after="0" w:line="300" w:lineRule="auto"/>
        <w:jc w:val="center"/>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I</w:t>
      </w:r>
      <w:r w:rsidR="001C0DF0" w:rsidRPr="00CE2597">
        <w:rPr>
          <w:rFonts w:ascii="Century Gothic" w:eastAsia="Times New Roman" w:hAnsi="Century Gothic" w:cs="Century Gothic"/>
          <w:b/>
          <w:bCs/>
          <w:color w:val="262626" w:themeColor="text1" w:themeTint="D9"/>
          <w:sz w:val="24"/>
          <w:szCs w:val="24"/>
        </w:rPr>
        <w:t>I</w:t>
      </w:r>
      <w:r w:rsidRPr="00CE2597">
        <w:rPr>
          <w:rFonts w:ascii="Century Gothic" w:eastAsia="Times New Roman" w:hAnsi="Century Gothic" w:cs="Century Gothic"/>
          <w:b/>
          <w:bCs/>
          <w:color w:val="262626" w:themeColor="text1" w:themeTint="D9"/>
          <w:sz w:val="24"/>
          <w:szCs w:val="24"/>
        </w:rPr>
        <w:t>I. ANTECEDENTES</w:t>
      </w:r>
    </w:p>
    <w:p w:rsidR="0000467E" w:rsidRPr="00CE2597" w:rsidRDefault="0000467E" w:rsidP="007C413D">
      <w:pPr>
        <w:spacing w:after="0" w:line="300" w:lineRule="auto"/>
        <w:jc w:val="center"/>
        <w:rPr>
          <w:rFonts w:ascii="Century Gothic" w:eastAsia="Times New Roman" w:hAnsi="Century Gothic" w:cs="Century Gothic"/>
          <w:b/>
          <w:bCs/>
          <w:color w:val="262626" w:themeColor="text1" w:themeTint="D9"/>
          <w:sz w:val="20"/>
          <w:szCs w:val="24"/>
        </w:rPr>
      </w:pPr>
    </w:p>
    <w:p w:rsidR="00717461" w:rsidRPr="00CE2597" w:rsidRDefault="00717461" w:rsidP="007C413D">
      <w:pPr>
        <w:spacing w:after="0" w:line="300" w:lineRule="auto"/>
        <w:jc w:val="both"/>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 xml:space="preserve">1. </w:t>
      </w:r>
      <w:r w:rsidR="00680E5E" w:rsidRPr="00CE2597">
        <w:rPr>
          <w:rFonts w:ascii="Century Gothic" w:eastAsia="Times New Roman" w:hAnsi="Century Gothic" w:cs="Century Gothic"/>
          <w:b/>
          <w:bCs/>
          <w:color w:val="262626" w:themeColor="text1" w:themeTint="D9"/>
          <w:sz w:val="24"/>
          <w:szCs w:val="24"/>
        </w:rPr>
        <w:t>LA DEMANDA</w:t>
      </w:r>
      <w:r w:rsidRPr="00CE2597">
        <w:rPr>
          <w:rFonts w:ascii="Century Gothic" w:eastAsia="Times New Roman" w:hAnsi="Century Gothic" w:cs="Century Gothic"/>
          <w:b/>
          <w:bCs/>
          <w:color w:val="262626" w:themeColor="text1" w:themeTint="D9"/>
          <w:sz w:val="24"/>
          <w:szCs w:val="24"/>
        </w:rPr>
        <w:t xml:space="preserve"> </w:t>
      </w:r>
    </w:p>
    <w:p w:rsidR="00717461" w:rsidRPr="00CE2597" w:rsidRDefault="00717461" w:rsidP="007C413D">
      <w:pPr>
        <w:spacing w:after="0" w:line="300" w:lineRule="auto"/>
        <w:jc w:val="both"/>
        <w:rPr>
          <w:rFonts w:ascii="Century Gothic" w:eastAsia="Times New Roman" w:hAnsi="Century Gothic" w:cs="Century Gothic"/>
          <w:b/>
          <w:bCs/>
          <w:color w:val="262626" w:themeColor="text1" w:themeTint="D9"/>
          <w:sz w:val="16"/>
          <w:szCs w:val="24"/>
        </w:rPr>
      </w:pPr>
    </w:p>
    <w:p w:rsidR="00717461" w:rsidRPr="00CE2597" w:rsidRDefault="00717461" w:rsidP="007C413D">
      <w:pPr>
        <w:spacing w:after="0" w:line="300" w:lineRule="auto"/>
        <w:jc w:val="both"/>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 xml:space="preserve">1.1 </w:t>
      </w:r>
      <w:r w:rsidR="00680E5E" w:rsidRPr="00CE2597">
        <w:rPr>
          <w:rFonts w:ascii="Century Gothic" w:eastAsia="Times New Roman" w:hAnsi="Century Gothic" w:cs="Century Gothic"/>
          <w:b/>
          <w:bCs/>
          <w:color w:val="262626" w:themeColor="text1" w:themeTint="D9"/>
          <w:sz w:val="24"/>
          <w:szCs w:val="24"/>
        </w:rPr>
        <w:t>PRETENSIONES</w:t>
      </w:r>
    </w:p>
    <w:p w:rsidR="0000467E" w:rsidRPr="00CE2597" w:rsidRDefault="0000467E" w:rsidP="007C413D">
      <w:pPr>
        <w:spacing w:after="0" w:line="300" w:lineRule="auto"/>
        <w:jc w:val="both"/>
        <w:rPr>
          <w:rFonts w:ascii="Century Gothic" w:eastAsia="Times New Roman" w:hAnsi="Century Gothic" w:cs="Century Gothic"/>
          <w:b/>
          <w:bCs/>
          <w:color w:val="262626" w:themeColor="text1" w:themeTint="D9"/>
          <w:sz w:val="16"/>
          <w:szCs w:val="24"/>
        </w:rPr>
      </w:pPr>
    </w:p>
    <w:p w:rsidR="0000467E" w:rsidRPr="00CE2597" w:rsidRDefault="0000467E" w:rsidP="007C413D">
      <w:pPr>
        <w:spacing w:after="0" w:line="300" w:lineRule="auto"/>
        <w:contextualSpacing/>
        <w:jc w:val="both"/>
        <w:rPr>
          <w:rFonts w:ascii="Century Gothic" w:hAnsi="Century Gothic" w:cs="Arial"/>
          <w:color w:val="262626" w:themeColor="text1" w:themeTint="D9"/>
          <w:sz w:val="24"/>
          <w:szCs w:val="24"/>
        </w:rPr>
      </w:pPr>
      <w:r w:rsidRPr="00CE2597">
        <w:rPr>
          <w:rFonts w:ascii="Century Gothic" w:hAnsi="Century Gothic" w:cs="Century Gothic"/>
          <w:bCs/>
          <w:color w:val="262626" w:themeColor="text1" w:themeTint="D9"/>
          <w:sz w:val="24"/>
          <w:szCs w:val="24"/>
        </w:rPr>
        <w:t>Se señalan como pretensiones de la demanda, las siguientes</w:t>
      </w:r>
      <w:r w:rsidRPr="00CE2597">
        <w:rPr>
          <w:rFonts w:ascii="Century Gothic" w:hAnsi="Century Gothic" w:cs="Arial"/>
          <w:color w:val="262626" w:themeColor="text1" w:themeTint="D9"/>
          <w:sz w:val="24"/>
          <w:szCs w:val="24"/>
        </w:rPr>
        <w:t>:</w:t>
      </w:r>
    </w:p>
    <w:p w:rsidR="004819AF" w:rsidRPr="00CE2597" w:rsidRDefault="004819AF" w:rsidP="007C413D">
      <w:pPr>
        <w:spacing w:after="0" w:line="300" w:lineRule="auto"/>
        <w:contextualSpacing/>
        <w:jc w:val="both"/>
        <w:rPr>
          <w:rFonts w:ascii="Century Gothic" w:hAnsi="Century Gothic" w:cs="Arial"/>
          <w:color w:val="262626" w:themeColor="text1" w:themeTint="D9"/>
          <w:sz w:val="16"/>
          <w:szCs w:val="24"/>
        </w:rPr>
      </w:pPr>
    </w:p>
    <w:p w:rsidR="004819AF" w:rsidRPr="00CE2597" w:rsidRDefault="001817CF" w:rsidP="009C47ED">
      <w:pPr>
        <w:spacing w:after="0" w:line="240" w:lineRule="auto"/>
        <w:ind w:left="708"/>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w:t>
      </w:r>
      <w:r w:rsidR="004819AF" w:rsidRPr="00CE2597">
        <w:rPr>
          <w:rFonts w:ascii="Century Gothic" w:hAnsi="Century Gothic" w:cs="Arial"/>
          <w:i/>
          <w:color w:val="262626" w:themeColor="text1" w:themeTint="D9"/>
          <w:sz w:val="20"/>
          <w:szCs w:val="20"/>
        </w:rPr>
        <w:t>DECLARACIONES Y CONDENAS</w:t>
      </w:r>
    </w:p>
    <w:p w:rsidR="005E274A" w:rsidRPr="00CE2597" w:rsidRDefault="005E274A" w:rsidP="009C47ED">
      <w:pPr>
        <w:spacing w:after="0" w:line="240" w:lineRule="auto"/>
        <w:ind w:left="708"/>
        <w:contextualSpacing/>
        <w:jc w:val="both"/>
        <w:rPr>
          <w:rFonts w:ascii="Century Gothic" w:hAnsi="Century Gothic" w:cs="Arial"/>
          <w:i/>
          <w:color w:val="262626" w:themeColor="text1" w:themeTint="D9"/>
          <w:sz w:val="20"/>
          <w:szCs w:val="20"/>
        </w:rPr>
      </w:pPr>
    </w:p>
    <w:p w:rsidR="005E274A" w:rsidRPr="00CE2597" w:rsidRDefault="005E274A" w:rsidP="009C47ED">
      <w:pPr>
        <w:spacing w:after="0" w:line="240" w:lineRule="auto"/>
        <w:ind w:left="708"/>
        <w:contextualSpacing/>
        <w:jc w:val="both"/>
        <w:rPr>
          <w:rFonts w:ascii="Century Gothic" w:hAnsi="Century Gothic" w:cs="Arial"/>
          <w:i/>
          <w:color w:val="262626" w:themeColor="text1" w:themeTint="D9"/>
          <w:sz w:val="20"/>
          <w:szCs w:val="20"/>
        </w:rPr>
      </w:pPr>
    </w:p>
    <w:p w:rsidR="005E274A" w:rsidRPr="00CE2597" w:rsidRDefault="005E274A" w:rsidP="005E274A">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 xml:space="preserve">Se declare la NULIDAD de la resolución No. GNR 36966 de fecha 1 de febrero del 2017, notificada el 16 de febrero del 2017, mediante la cual COLPENSIONES concede la pensión de vejez de la señora HERLINDA SEPULVEDA GONZALEZ. </w:t>
      </w:r>
    </w:p>
    <w:p w:rsidR="005E274A" w:rsidRPr="00CE2597" w:rsidRDefault="005E274A" w:rsidP="005E274A">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 xml:space="preserve">Se declare la NULIDAD de la Resolución No. SUB 18809 del 24 de marzo del 2017, notificada el día 3 de abril de 2017, resolución mediante la cual COLPENSIONES, modifica la resolución GNR 36966, y </w:t>
      </w:r>
      <w:proofErr w:type="spellStart"/>
      <w:r w:rsidRPr="00CE2597">
        <w:rPr>
          <w:rFonts w:ascii="Century Gothic" w:hAnsi="Century Gothic" w:cs="Arial"/>
          <w:i/>
          <w:color w:val="262626" w:themeColor="text1" w:themeTint="D9"/>
          <w:sz w:val="20"/>
          <w:szCs w:val="20"/>
        </w:rPr>
        <w:t>reliquida</w:t>
      </w:r>
      <w:proofErr w:type="spellEnd"/>
      <w:r w:rsidRPr="00CE2597">
        <w:rPr>
          <w:rFonts w:ascii="Century Gothic" w:hAnsi="Century Gothic" w:cs="Arial"/>
          <w:i/>
          <w:color w:val="262626" w:themeColor="text1" w:themeTint="D9"/>
          <w:sz w:val="20"/>
          <w:szCs w:val="20"/>
        </w:rPr>
        <w:t xml:space="preserve"> las mesadas pensionales sin incluir todos los factores salariales del último año de servicio. </w:t>
      </w:r>
    </w:p>
    <w:p w:rsidR="005E274A" w:rsidRPr="00CE2597" w:rsidRDefault="005E274A" w:rsidP="005E274A">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Que como consecuencia de dichas declaratorias de NULIDAD se ordene el RESTABLECIMIENTO DEL DERECHO, ordenando la reliquidación o reajuste de la Pensión mensual vitalicia de jubilación a mi mandante, según la normatividad vigente y haciendo inclusión de todos los factores salariales devengados en el último año de servicio de la señora HERLINDA SEPULVEDA GONZALEZ, a partir del veintiuno (21) de abril del 2013 (</w:t>
      </w:r>
      <w:r w:rsidR="000A54DB" w:rsidRPr="00CE2597">
        <w:rPr>
          <w:rFonts w:ascii="Century Gothic" w:hAnsi="Century Gothic" w:cs="Arial"/>
          <w:i/>
          <w:color w:val="262626" w:themeColor="text1" w:themeTint="D9"/>
          <w:sz w:val="20"/>
          <w:szCs w:val="20"/>
        </w:rPr>
        <w:t xml:space="preserve">fecha en que se causó su derecho). Teniendo en </w:t>
      </w:r>
      <w:r w:rsidR="003C0286" w:rsidRPr="00CE2597">
        <w:rPr>
          <w:rFonts w:ascii="Century Gothic" w:hAnsi="Century Gothic" w:cs="Arial"/>
          <w:i/>
          <w:color w:val="262626" w:themeColor="text1" w:themeTint="D9"/>
          <w:sz w:val="20"/>
          <w:szCs w:val="20"/>
        </w:rPr>
        <w:t xml:space="preserve">cuenta el principio  de favorabilidad establecido en la carta magna, y en el artículo 288 de la ley 100 de 1993 y la ley 33 de 1985. </w:t>
      </w:r>
    </w:p>
    <w:p w:rsidR="003C0286" w:rsidRPr="00CE2597" w:rsidRDefault="003C0286" w:rsidP="005E274A">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lastRenderedPageBreak/>
        <w:t xml:space="preserve">Que se declare la nulidad del acto ficto, producto del silencio administrativo negativo, que resolvió negativamente la solicitud de reliquidación de la pensión de la demandante y en la que no resolvieron el recurso de apelación cuyo objeto era la inclusión de todos los factores salariales del último año de servicio. </w:t>
      </w:r>
    </w:p>
    <w:p w:rsidR="003C0286" w:rsidRPr="00CE2597" w:rsidRDefault="003C0286" w:rsidP="003C0286">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 xml:space="preserve">Que s ele ordene a Administradora Colombiana de Pensiones-COLPENSIONES, a liquidar y pagar los intereses de mora, las prestaciones económicas que se derivan de la reliquidación de la pensión de jubilación, de la demandante a partir del 21 de abril del 2013. </w:t>
      </w:r>
    </w:p>
    <w:p w:rsidR="00036B6B" w:rsidRPr="00CE2597" w:rsidRDefault="003C0286" w:rsidP="003C0286">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 xml:space="preserve">Que s ele ordene a Administradora Colombiana de Pensiones- COLPENSIONES,  a cancelar la indexación de las </w:t>
      </w:r>
      <w:r w:rsidR="00036B6B" w:rsidRPr="00CE2597">
        <w:rPr>
          <w:rFonts w:ascii="Century Gothic" w:hAnsi="Century Gothic" w:cs="Arial"/>
          <w:i/>
          <w:color w:val="262626" w:themeColor="text1" w:themeTint="D9"/>
          <w:sz w:val="20"/>
          <w:szCs w:val="20"/>
        </w:rPr>
        <w:t>Prestaciones</w:t>
      </w:r>
      <w:r w:rsidRPr="00CE2597">
        <w:rPr>
          <w:rFonts w:ascii="Century Gothic" w:hAnsi="Century Gothic" w:cs="Arial"/>
          <w:i/>
          <w:color w:val="262626" w:themeColor="text1" w:themeTint="D9"/>
          <w:sz w:val="20"/>
          <w:szCs w:val="20"/>
        </w:rPr>
        <w:t xml:space="preserve"> </w:t>
      </w:r>
      <w:r w:rsidR="00036B6B" w:rsidRPr="00CE2597">
        <w:rPr>
          <w:rFonts w:ascii="Century Gothic" w:hAnsi="Century Gothic" w:cs="Arial"/>
          <w:i/>
          <w:color w:val="262626" w:themeColor="text1" w:themeTint="D9"/>
          <w:sz w:val="20"/>
          <w:szCs w:val="20"/>
        </w:rPr>
        <w:t>Económicas</w:t>
      </w:r>
      <w:r w:rsidRPr="00CE2597">
        <w:rPr>
          <w:rFonts w:ascii="Century Gothic" w:hAnsi="Century Gothic" w:cs="Arial"/>
          <w:i/>
          <w:color w:val="262626" w:themeColor="text1" w:themeTint="D9"/>
          <w:sz w:val="20"/>
          <w:szCs w:val="20"/>
        </w:rPr>
        <w:t xml:space="preserve"> que se derivan de la </w:t>
      </w:r>
      <w:r w:rsidR="00036B6B" w:rsidRPr="00CE2597">
        <w:rPr>
          <w:rFonts w:ascii="Century Gothic" w:hAnsi="Century Gothic" w:cs="Arial"/>
          <w:i/>
          <w:color w:val="262626" w:themeColor="text1" w:themeTint="D9"/>
          <w:sz w:val="20"/>
          <w:szCs w:val="20"/>
        </w:rPr>
        <w:t>reliquidación</w:t>
      </w:r>
      <w:r w:rsidRPr="00CE2597">
        <w:rPr>
          <w:rFonts w:ascii="Century Gothic" w:hAnsi="Century Gothic" w:cs="Arial"/>
          <w:i/>
          <w:color w:val="262626" w:themeColor="text1" w:themeTint="D9"/>
          <w:sz w:val="20"/>
          <w:szCs w:val="20"/>
        </w:rPr>
        <w:t xml:space="preserve"> de la Pensión de </w:t>
      </w:r>
      <w:r w:rsidR="00036B6B" w:rsidRPr="00CE2597">
        <w:rPr>
          <w:rFonts w:ascii="Century Gothic" w:hAnsi="Century Gothic" w:cs="Arial"/>
          <w:i/>
          <w:color w:val="262626" w:themeColor="text1" w:themeTint="D9"/>
          <w:sz w:val="20"/>
          <w:szCs w:val="20"/>
        </w:rPr>
        <w:t xml:space="preserve">jubilación, de la demandante a partir del día 21 de abril de 2013, en razón a la pérdida del valor adquisitivo de la moneda. </w:t>
      </w:r>
    </w:p>
    <w:p w:rsidR="00036B6B" w:rsidRPr="00CE2597" w:rsidRDefault="00036B6B" w:rsidP="003C0286">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 xml:space="preserve">Que se CONDENE a Administradora Colombiana de Pensiones- COLPENSIONES (Demandado), a pagar en Costas y Agencias en derecho. </w:t>
      </w:r>
    </w:p>
    <w:p w:rsidR="00036B6B" w:rsidRPr="00CE2597" w:rsidRDefault="00036B6B" w:rsidP="003C0286">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 xml:space="preserve">Solicito que dichas condenas sean reajustadas e indexadas con base en el IPC, conforme a lo dispuesto en el Código de Procedimiento Administrativo y lo Contencioso Administrativo. </w:t>
      </w:r>
    </w:p>
    <w:p w:rsidR="003C0286" w:rsidRPr="00CE2597" w:rsidRDefault="00036B6B" w:rsidP="003C0286">
      <w:pPr>
        <w:pStyle w:val="Prrafodelista"/>
        <w:numPr>
          <w:ilvl w:val="0"/>
          <w:numId w:val="30"/>
        </w:numPr>
        <w:spacing w:after="0" w:line="240" w:lineRule="auto"/>
        <w:contextualSpacing/>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Que se ordene el cumplimiento de la sentencia que se produzca dentro del presente proceso, en los términos establecidos en el artículo 192 de nuestro Código de Procedimiento Administrativo y de lo Contencioso A</w:t>
      </w:r>
      <w:r w:rsidR="00CE494C" w:rsidRPr="00CE2597">
        <w:rPr>
          <w:rFonts w:ascii="Century Gothic" w:hAnsi="Century Gothic" w:cs="Arial"/>
          <w:i/>
          <w:color w:val="262626" w:themeColor="text1" w:themeTint="D9"/>
          <w:sz w:val="20"/>
          <w:szCs w:val="20"/>
        </w:rPr>
        <w:t>dministrativo.”</w:t>
      </w:r>
    </w:p>
    <w:p w:rsidR="005E274A" w:rsidRPr="00CE2597" w:rsidRDefault="005E274A" w:rsidP="009C47ED">
      <w:pPr>
        <w:spacing w:after="0" w:line="240" w:lineRule="auto"/>
        <w:ind w:left="708"/>
        <w:contextualSpacing/>
        <w:jc w:val="both"/>
        <w:rPr>
          <w:rFonts w:ascii="Century Gothic" w:hAnsi="Century Gothic" w:cs="Arial"/>
          <w:i/>
          <w:color w:val="262626" w:themeColor="text1" w:themeTint="D9"/>
          <w:sz w:val="20"/>
          <w:szCs w:val="20"/>
        </w:rPr>
      </w:pPr>
    </w:p>
    <w:p w:rsidR="00D27A78" w:rsidRPr="00CE2597" w:rsidRDefault="00D27A78" w:rsidP="00CE494C">
      <w:pPr>
        <w:spacing w:after="0" w:line="240" w:lineRule="auto"/>
        <w:contextualSpacing/>
        <w:jc w:val="both"/>
        <w:rPr>
          <w:rFonts w:ascii="Century Gothic" w:hAnsi="Century Gothic" w:cstheme="minorHAnsi"/>
          <w:i/>
          <w:color w:val="262626" w:themeColor="text1" w:themeTint="D9"/>
          <w:sz w:val="20"/>
          <w:szCs w:val="20"/>
        </w:rPr>
      </w:pPr>
    </w:p>
    <w:p w:rsidR="0000467E" w:rsidRPr="00CE2597" w:rsidRDefault="00680E5E" w:rsidP="007C413D">
      <w:pPr>
        <w:spacing w:after="0" w:line="300" w:lineRule="auto"/>
        <w:contextualSpacing/>
        <w:jc w:val="both"/>
        <w:rPr>
          <w:rFonts w:ascii="Century Gothic" w:eastAsia="Calibri" w:hAnsi="Century Gothic" w:cs="Times New Roman"/>
          <w:b/>
          <w:color w:val="262626" w:themeColor="text1" w:themeTint="D9"/>
          <w:sz w:val="24"/>
          <w:szCs w:val="24"/>
        </w:rPr>
      </w:pPr>
      <w:r w:rsidRPr="00CE2597">
        <w:rPr>
          <w:rFonts w:ascii="Century Gothic" w:hAnsi="Century Gothic" w:cstheme="minorHAnsi"/>
          <w:b/>
          <w:color w:val="262626" w:themeColor="text1" w:themeTint="D9"/>
          <w:sz w:val="24"/>
          <w:szCs w:val="24"/>
        </w:rPr>
        <w:t>1.2.</w:t>
      </w:r>
      <w:r w:rsidRPr="00CE2597">
        <w:rPr>
          <w:rFonts w:ascii="Century Gothic" w:eastAsia="Calibri" w:hAnsi="Century Gothic" w:cs="Times New Roman"/>
          <w:b/>
          <w:color w:val="262626" w:themeColor="text1" w:themeTint="D9"/>
          <w:sz w:val="24"/>
          <w:szCs w:val="24"/>
        </w:rPr>
        <w:t xml:space="preserve"> HECHOS</w:t>
      </w:r>
      <w:r w:rsidR="0000467E" w:rsidRPr="00CE2597">
        <w:rPr>
          <w:rFonts w:ascii="Century Gothic" w:eastAsia="Calibri" w:hAnsi="Century Gothic" w:cs="Times New Roman"/>
          <w:b/>
          <w:color w:val="262626" w:themeColor="text1" w:themeTint="D9"/>
          <w:sz w:val="24"/>
          <w:szCs w:val="24"/>
        </w:rPr>
        <w:t xml:space="preserve">  </w:t>
      </w:r>
    </w:p>
    <w:p w:rsidR="0000467E" w:rsidRPr="00CE2597" w:rsidRDefault="0000467E" w:rsidP="007C413D">
      <w:pPr>
        <w:spacing w:after="0" w:line="300" w:lineRule="auto"/>
        <w:jc w:val="both"/>
        <w:rPr>
          <w:rFonts w:ascii="Century Gothic" w:hAnsi="Century Gothic" w:cs="Arial"/>
          <w:color w:val="262626" w:themeColor="text1" w:themeTint="D9"/>
          <w:sz w:val="24"/>
          <w:szCs w:val="24"/>
          <w:lang w:val="es-CO" w:eastAsia="es-CO"/>
        </w:rPr>
      </w:pPr>
    </w:p>
    <w:p w:rsidR="00410A43" w:rsidRPr="00CE2597" w:rsidRDefault="0000467E" w:rsidP="007C413D">
      <w:pPr>
        <w:spacing w:after="0" w:line="300" w:lineRule="auto"/>
        <w:jc w:val="both"/>
        <w:rPr>
          <w:rFonts w:ascii="Century Gothic" w:hAnsi="Century Gothic" w:cs="Arial"/>
          <w:color w:val="262626" w:themeColor="text1" w:themeTint="D9"/>
          <w:sz w:val="24"/>
          <w:szCs w:val="24"/>
          <w:lang w:val="es-CO" w:eastAsia="es-CO"/>
        </w:rPr>
      </w:pPr>
      <w:r w:rsidRPr="00CE2597">
        <w:rPr>
          <w:rFonts w:ascii="Century Gothic" w:hAnsi="Century Gothic" w:cs="Arial"/>
          <w:color w:val="262626" w:themeColor="text1" w:themeTint="D9"/>
          <w:sz w:val="24"/>
          <w:szCs w:val="24"/>
          <w:lang w:val="es-CO" w:eastAsia="es-CO"/>
        </w:rPr>
        <w:t>Los hechos de la demanda se resumen de la siguiente manera:</w:t>
      </w:r>
    </w:p>
    <w:p w:rsidR="00DC227F" w:rsidRPr="00CE2597" w:rsidRDefault="00DC227F" w:rsidP="007C413D">
      <w:pPr>
        <w:spacing w:after="0" w:line="300" w:lineRule="auto"/>
        <w:jc w:val="both"/>
        <w:rPr>
          <w:rFonts w:ascii="Century Gothic" w:hAnsi="Century Gothic" w:cs="Arial"/>
          <w:color w:val="262626" w:themeColor="text1" w:themeTint="D9"/>
          <w:sz w:val="24"/>
          <w:szCs w:val="24"/>
          <w:lang w:val="es-CO" w:eastAsia="es-CO"/>
        </w:rPr>
      </w:pPr>
    </w:p>
    <w:p w:rsidR="003211E0" w:rsidRPr="00CE2597" w:rsidRDefault="00DC227F" w:rsidP="003211E0">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CE2597">
        <w:rPr>
          <w:rFonts w:ascii="Century Gothic" w:hAnsi="Century Gothic" w:cs="Times New Roman"/>
          <w:color w:val="262626" w:themeColor="text1" w:themeTint="D9"/>
          <w:sz w:val="24"/>
          <w:szCs w:val="24"/>
        </w:rPr>
        <w:t xml:space="preserve">La señora Herlinda </w:t>
      </w:r>
      <w:r w:rsidR="0079654A" w:rsidRPr="00CE2597">
        <w:rPr>
          <w:rFonts w:ascii="Century Gothic" w:hAnsi="Century Gothic" w:cs="Times New Roman"/>
          <w:color w:val="262626" w:themeColor="text1" w:themeTint="D9"/>
          <w:sz w:val="24"/>
          <w:szCs w:val="24"/>
        </w:rPr>
        <w:t>Sepúlveda</w:t>
      </w:r>
      <w:r w:rsidRPr="00CE2597">
        <w:rPr>
          <w:rFonts w:ascii="Century Gothic" w:hAnsi="Century Gothic" w:cs="Times New Roman"/>
          <w:color w:val="262626" w:themeColor="text1" w:themeTint="D9"/>
          <w:sz w:val="24"/>
          <w:szCs w:val="24"/>
        </w:rPr>
        <w:t xml:space="preserve"> nació el 21 de abril de 1958. </w:t>
      </w:r>
    </w:p>
    <w:p w:rsidR="00DC227F" w:rsidRPr="00CE2597" w:rsidRDefault="00DC227F" w:rsidP="00DC227F">
      <w:pPr>
        <w:spacing w:after="0" w:line="300" w:lineRule="auto"/>
        <w:contextualSpacing/>
        <w:jc w:val="both"/>
        <w:rPr>
          <w:rFonts w:ascii="Century Gothic" w:hAnsi="Century Gothic" w:cs="Times New Roman"/>
          <w:color w:val="262626" w:themeColor="text1" w:themeTint="D9"/>
          <w:sz w:val="24"/>
          <w:szCs w:val="24"/>
        </w:rPr>
      </w:pPr>
    </w:p>
    <w:p w:rsidR="001F2DA2" w:rsidRPr="00CE2597" w:rsidRDefault="001F2DA2" w:rsidP="00BC4A1A">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CE2597">
        <w:rPr>
          <w:rFonts w:ascii="Century Gothic" w:hAnsi="Century Gothic" w:cs="Times New Roman"/>
          <w:color w:val="262626" w:themeColor="text1" w:themeTint="D9"/>
          <w:sz w:val="24"/>
          <w:szCs w:val="24"/>
        </w:rPr>
        <w:t xml:space="preserve">Señala la accionante que COLPENSIONES mediante Resolución No. GNR 36966 del 01 de febrero de 2017, reconoció pensión de vejez a la señora Herlinda </w:t>
      </w:r>
      <w:r w:rsidR="0079654A" w:rsidRPr="00CE2597">
        <w:rPr>
          <w:rFonts w:ascii="Century Gothic" w:hAnsi="Century Gothic" w:cs="Times New Roman"/>
          <w:color w:val="262626" w:themeColor="text1" w:themeTint="D9"/>
          <w:sz w:val="24"/>
          <w:szCs w:val="24"/>
        </w:rPr>
        <w:t>Sepúlveda</w:t>
      </w:r>
      <w:r w:rsidRPr="00CE2597">
        <w:rPr>
          <w:rFonts w:ascii="Century Gothic" w:hAnsi="Century Gothic" w:cs="Times New Roman"/>
          <w:color w:val="262626" w:themeColor="text1" w:themeTint="D9"/>
          <w:sz w:val="24"/>
          <w:szCs w:val="24"/>
        </w:rPr>
        <w:t xml:space="preserve"> </w:t>
      </w:r>
      <w:r w:rsidR="0079654A" w:rsidRPr="00CE2597">
        <w:rPr>
          <w:rFonts w:ascii="Century Gothic" w:hAnsi="Century Gothic" w:cs="Times New Roman"/>
          <w:color w:val="262626" w:themeColor="text1" w:themeTint="D9"/>
          <w:sz w:val="24"/>
          <w:szCs w:val="24"/>
        </w:rPr>
        <w:t>González</w:t>
      </w:r>
      <w:r w:rsidRPr="00CE2597">
        <w:rPr>
          <w:rFonts w:ascii="Century Gothic" w:hAnsi="Century Gothic" w:cs="Times New Roman"/>
          <w:color w:val="262626" w:themeColor="text1" w:themeTint="D9"/>
          <w:sz w:val="24"/>
          <w:szCs w:val="24"/>
        </w:rPr>
        <w:t xml:space="preserve">, a partir del 07 de diciembre de 2013, teniendo en cuenta la ley 33 de 1985 y un IBL de $1.314.369, al cual se le aplicó el 75%, arrojando una mesada pensional de $985.777. </w:t>
      </w:r>
    </w:p>
    <w:p w:rsidR="00AA1F1D" w:rsidRPr="00CE2597" w:rsidRDefault="00AA1F1D" w:rsidP="00AA1F1D">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D8220D" w:rsidRPr="00CE2597" w:rsidRDefault="00DC227F" w:rsidP="003211E0">
      <w:pPr>
        <w:pStyle w:val="Prrafodelista"/>
        <w:numPr>
          <w:ilvl w:val="0"/>
          <w:numId w:val="11"/>
        </w:numPr>
        <w:spacing w:after="0" w:line="300" w:lineRule="auto"/>
        <w:ind w:left="0" w:firstLine="0"/>
        <w:contextualSpacing/>
        <w:jc w:val="both"/>
        <w:rPr>
          <w:rFonts w:ascii="Century Gothic" w:hAnsi="Century Gothic" w:cs="Times New Roman"/>
          <w:color w:val="262626" w:themeColor="text1" w:themeTint="D9"/>
          <w:sz w:val="24"/>
          <w:szCs w:val="24"/>
        </w:rPr>
      </w:pPr>
      <w:r w:rsidRPr="00CE2597">
        <w:rPr>
          <w:rFonts w:ascii="Century Gothic" w:hAnsi="Century Gothic" w:cs="Times New Roman"/>
          <w:color w:val="262626" w:themeColor="text1" w:themeTint="D9"/>
          <w:sz w:val="24"/>
          <w:szCs w:val="24"/>
        </w:rPr>
        <w:t xml:space="preserve">Mediante Resolución SUB 18809 del 24 de marzo de 2017, se resolvió </w:t>
      </w:r>
      <w:r w:rsidR="0079654A">
        <w:rPr>
          <w:rFonts w:ascii="Century Gothic" w:hAnsi="Century Gothic" w:cs="Times New Roman"/>
          <w:color w:val="262626" w:themeColor="text1" w:themeTint="D9"/>
          <w:sz w:val="24"/>
          <w:szCs w:val="24"/>
        </w:rPr>
        <w:t xml:space="preserve"> el recurso </w:t>
      </w:r>
      <w:r w:rsidRPr="00CE2597">
        <w:rPr>
          <w:rFonts w:ascii="Century Gothic" w:hAnsi="Century Gothic" w:cs="Times New Roman"/>
          <w:color w:val="262626" w:themeColor="text1" w:themeTint="D9"/>
          <w:sz w:val="24"/>
          <w:szCs w:val="24"/>
        </w:rPr>
        <w:t xml:space="preserve">de reposición interpuesto contra la Resolución No. GNR 36966 del 01 de febrero de 2017, en la cual se resolvió modificar esta última, </w:t>
      </w:r>
      <w:proofErr w:type="spellStart"/>
      <w:r w:rsidRPr="00CE2597">
        <w:rPr>
          <w:rFonts w:ascii="Century Gothic" w:hAnsi="Century Gothic" w:cs="Times New Roman"/>
          <w:color w:val="262626" w:themeColor="text1" w:themeTint="D9"/>
          <w:sz w:val="24"/>
          <w:szCs w:val="24"/>
        </w:rPr>
        <w:t>reliquidando</w:t>
      </w:r>
      <w:proofErr w:type="spellEnd"/>
      <w:r w:rsidRPr="00CE2597">
        <w:rPr>
          <w:rFonts w:ascii="Century Gothic" w:hAnsi="Century Gothic" w:cs="Times New Roman"/>
          <w:color w:val="262626" w:themeColor="text1" w:themeTint="D9"/>
          <w:sz w:val="24"/>
          <w:szCs w:val="24"/>
        </w:rPr>
        <w:t xml:space="preserve"> la pensión de vejez; contra la resolución en mención se interpuso recurso de apelación el cual no fue resuelto dando origen a un acto ficto</w:t>
      </w:r>
    </w:p>
    <w:p w:rsidR="00D754CE" w:rsidRPr="00CE2597" w:rsidRDefault="00D754CE" w:rsidP="00A14FB5">
      <w:pPr>
        <w:pStyle w:val="Prrafodelista"/>
        <w:spacing w:after="0" w:line="300" w:lineRule="auto"/>
        <w:ind w:left="0"/>
        <w:contextualSpacing/>
        <w:jc w:val="both"/>
        <w:rPr>
          <w:rFonts w:ascii="Century Gothic" w:hAnsi="Century Gothic" w:cs="Times New Roman"/>
          <w:color w:val="262626" w:themeColor="text1" w:themeTint="D9"/>
          <w:sz w:val="24"/>
          <w:szCs w:val="24"/>
        </w:rPr>
      </w:pPr>
    </w:p>
    <w:p w:rsidR="0000467E" w:rsidRPr="00CE2597" w:rsidRDefault="00680E5E" w:rsidP="007C413D">
      <w:pPr>
        <w:spacing w:after="0" w:line="300" w:lineRule="auto"/>
        <w:contextualSpacing/>
        <w:rPr>
          <w:rFonts w:ascii="Century Gothic" w:hAnsi="Century Gothic" w:cs="Times New Roman"/>
          <w:b/>
          <w:color w:val="262626" w:themeColor="text1" w:themeTint="D9"/>
          <w:sz w:val="24"/>
          <w:szCs w:val="24"/>
        </w:rPr>
      </w:pPr>
      <w:r w:rsidRPr="00CE2597">
        <w:rPr>
          <w:rFonts w:ascii="Century Gothic" w:hAnsi="Century Gothic" w:cs="Times New Roman"/>
          <w:b/>
          <w:color w:val="262626" w:themeColor="text1" w:themeTint="D9"/>
          <w:sz w:val="24"/>
          <w:szCs w:val="24"/>
        </w:rPr>
        <w:t>1.3. N</w:t>
      </w:r>
      <w:r w:rsidR="005E5E00" w:rsidRPr="00CE2597">
        <w:rPr>
          <w:rFonts w:ascii="Century Gothic" w:hAnsi="Century Gothic" w:cs="Times New Roman"/>
          <w:b/>
          <w:color w:val="262626" w:themeColor="text1" w:themeTint="D9"/>
          <w:sz w:val="24"/>
          <w:szCs w:val="24"/>
        </w:rPr>
        <w:t xml:space="preserve">ormas violadas y concepto de violación. </w:t>
      </w:r>
    </w:p>
    <w:p w:rsidR="0000467E" w:rsidRPr="00CE2597" w:rsidRDefault="0000467E" w:rsidP="007C413D">
      <w:pPr>
        <w:spacing w:after="0" w:line="300" w:lineRule="auto"/>
        <w:contextualSpacing/>
        <w:rPr>
          <w:rFonts w:ascii="Century Gothic" w:hAnsi="Century Gothic" w:cs="Times New Roman"/>
          <w:b/>
          <w:color w:val="262626" w:themeColor="text1" w:themeTint="D9"/>
          <w:sz w:val="24"/>
          <w:szCs w:val="24"/>
        </w:rPr>
      </w:pPr>
    </w:p>
    <w:p w:rsidR="0000467E" w:rsidRPr="00CE2597" w:rsidRDefault="00A14FB5"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lang w:eastAsia="es-ES"/>
        </w:rPr>
        <w:t>La</w:t>
      </w:r>
      <w:r w:rsidR="0000467E" w:rsidRPr="00CE2597">
        <w:rPr>
          <w:rFonts w:ascii="Century Gothic" w:eastAsia="Times New Roman" w:hAnsi="Century Gothic" w:cs="Times New Roman"/>
          <w:color w:val="262626" w:themeColor="text1" w:themeTint="D9"/>
          <w:sz w:val="24"/>
          <w:szCs w:val="24"/>
          <w:lang w:eastAsia="es-ES"/>
        </w:rPr>
        <w:t xml:space="preserve"> demandante señaló como normas violadas las siguientes: </w:t>
      </w:r>
    </w:p>
    <w:p w:rsidR="00AA1F1D" w:rsidRPr="00CE2597" w:rsidRDefault="00AA1F1D"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p>
    <w:p w:rsidR="00DB79E9" w:rsidRPr="00CE2597" w:rsidRDefault="00AA1F1D"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lang w:eastAsia="es-ES"/>
        </w:rPr>
        <w:lastRenderedPageBreak/>
        <w:t xml:space="preserve">Artículos 2, 23, 25, 29, 48 y 53 de la Constitución Política de Colombia; </w:t>
      </w:r>
      <w:r w:rsidR="00D33B4B" w:rsidRPr="00CE2597">
        <w:rPr>
          <w:rFonts w:ascii="Century Gothic" w:eastAsia="Times New Roman" w:hAnsi="Century Gothic" w:cs="Times New Roman"/>
          <w:color w:val="262626" w:themeColor="text1" w:themeTint="D9"/>
          <w:sz w:val="24"/>
          <w:szCs w:val="24"/>
          <w:lang w:eastAsia="es-ES"/>
        </w:rPr>
        <w:t xml:space="preserve">artículo 115 de la ley 1395 de 2010; artículos 1, 13, 36, 141, y 288 de la ley 100 de 1993; articulo 1 y 3 </w:t>
      </w:r>
      <w:r w:rsidR="00DB79E9" w:rsidRPr="00CE2597">
        <w:rPr>
          <w:rFonts w:ascii="Century Gothic" w:eastAsia="Times New Roman" w:hAnsi="Century Gothic" w:cs="Times New Roman"/>
          <w:color w:val="262626" w:themeColor="text1" w:themeTint="D9"/>
          <w:sz w:val="24"/>
          <w:szCs w:val="24"/>
          <w:lang w:eastAsia="es-ES"/>
        </w:rPr>
        <w:t xml:space="preserve"> de la ley 33 y 62 de 1985. </w:t>
      </w:r>
    </w:p>
    <w:p w:rsidR="00694093" w:rsidRPr="00CE2597" w:rsidRDefault="00694093"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p>
    <w:p w:rsidR="00AA1F1D" w:rsidRPr="00CE2597" w:rsidRDefault="00694093" w:rsidP="007C413D">
      <w:pPr>
        <w:suppressAutoHyphens/>
        <w:spacing w:after="0" w:line="300" w:lineRule="auto"/>
        <w:jc w:val="both"/>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lang w:eastAsia="es-ES"/>
        </w:rPr>
        <w:t xml:space="preserve">Señala la accionante que, el Consejo de Estado profirió sentencia de </w:t>
      </w:r>
      <w:r w:rsidR="00446E9C" w:rsidRPr="00CE2597">
        <w:rPr>
          <w:rFonts w:ascii="Century Gothic" w:eastAsia="Times New Roman" w:hAnsi="Century Gothic" w:cs="Times New Roman"/>
          <w:color w:val="262626" w:themeColor="text1" w:themeTint="D9"/>
          <w:sz w:val="24"/>
          <w:szCs w:val="24"/>
          <w:lang w:eastAsia="es-ES"/>
        </w:rPr>
        <w:t>unificación</w:t>
      </w:r>
      <w:r w:rsidRPr="00CE2597">
        <w:rPr>
          <w:rFonts w:ascii="Century Gothic" w:eastAsia="Times New Roman" w:hAnsi="Century Gothic" w:cs="Times New Roman"/>
          <w:color w:val="262626" w:themeColor="text1" w:themeTint="D9"/>
          <w:sz w:val="24"/>
          <w:szCs w:val="24"/>
          <w:lang w:eastAsia="es-ES"/>
        </w:rPr>
        <w:t xml:space="preserve"> de criterios, en la que determina como </w:t>
      </w:r>
      <w:r w:rsidR="00446E9C" w:rsidRPr="00CE2597">
        <w:rPr>
          <w:rFonts w:ascii="Century Gothic" w:eastAsia="Times New Roman" w:hAnsi="Century Gothic" w:cs="Times New Roman"/>
          <w:color w:val="262626" w:themeColor="text1" w:themeTint="D9"/>
          <w:sz w:val="24"/>
          <w:szCs w:val="24"/>
          <w:lang w:eastAsia="es-ES"/>
        </w:rPr>
        <w:t>cálculo</w:t>
      </w:r>
      <w:r w:rsidRPr="00CE2597">
        <w:rPr>
          <w:rFonts w:ascii="Century Gothic" w:eastAsia="Times New Roman" w:hAnsi="Century Gothic" w:cs="Times New Roman"/>
          <w:color w:val="262626" w:themeColor="text1" w:themeTint="D9"/>
          <w:sz w:val="24"/>
          <w:szCs w:val="24"/>
          <w:lang w:eastAsia="es-ES"/>
        </w:rPr>
        <w:t xml:space="preserve"> de la pensión para los ex funcionarios </w:t>
      </w:r>
      <w:r w:rsidR="00446E9C" w:rsidRPr="00CE2597">
        <w:rPr>
          <w:rFonts w:ascii="Century Gothic" w:eastAsia="Times New Roman" w:hAnsi="Century Gothic" w:cs="Times New Roman"/>
          <w:color w:val="262626" w:themeColor="text1" w:themeTint="D9"/>
          <w:sz w:val="24"/>
          <w:szCs w:val="24"/>
          <w:lang w:eastAsia="es-ES"/>
        </w:rPr>
        <w:t>públicos</w:t>
      </w:r>
      <w:r w:rsidRPr="00CE2597">
        <w:rPr>
          <w:rFonts w:ascii="Century Gothic" w:eastAsia="Times New Roman" w:hAnsi="Century Gothic" w:cs="Times New Roman"/>
          <w:color w:val="262626" w:themeColor="text1" w:themeTint="D9"/>
          <w:sz w:val="24"/>
          <w:szCs w:val="24"/>
          <w:lang w:eastAsia="es-ES"/>
        </w:rPr>
        <w:t xml:space="preserve"> que se encuentran en el régimen de transición de prima media, se debe hacer promediando los salarios del </w:t>
      </w:r>
      <w:r w:rsidR="00446E9C" w:rsidRPr="00CE2597">
        <w:rPr>
          <w:rFonts w:ascii="Century Gothic" w:eastAsia="Times New Roman" w:hAnsi="Century Gothic" w:cs="Times New Roman"/>
          <w:color w:val="262626" w:themeColor="text1" w:themeTint="D9"/>
          <w:sz w:val="24"/>
          <w:szCs w:val="24"/>
          <w:lang w:eastAsia="es-ES"/>
        </w:rPr>
        <w:t xml:space="preserve">último año laborado, y no de los últimos diez años como habían venido fallando los jueces administrativos. Siendo si las cosas, las pensiones de algunos ex funcionarios públicos podrían ser reconsideradas y ser más altas. </w:t>
      </w:r>
    </w:p>
    <w:p w:rsidR="00870836" w:rsidRPr="00CE2597" w:rsidRDefault="00870836" w:rsidP="00A742DE">
      <w:pPr>
        <w:spacing w:after="0" w:line="300" w:lineRule="auto"/>
        <w:rPr>
          <w:rFonts w:ascii="Century Gothic" w:eastAsia="Times New Roman" w:hAnsi="Century Gothic" w:cs="Century Gothic"/>
          <w:bCs/>
          <w:color w:val="262626" w:themeColor="text1" w:themeTint="D9"/>
          <w:sz w:val="24"/>
          <w:szCs w:val="24"/>
        </w:rPr>
      </w:pPr>
    </w:p>
    <w:p w:rsidR="00680E5E" w:rsidRPr="00CE2597" w:rsidRDefault="005F27E3" w:rsidP="007C413D">
      <w:pPr>
        <w:pStyle w:val="Prrafodelista"/>
        <w:numPr>
          <w:ilvl w:val="0"/>
          <w:numId w:val="24"/>
        </w:numPr>
        <w:spacing w:after="0" w:line="300" w:lineRule="auto"/>
        <w:ind w:left="284" w:hanging="284"/>
        <w:jc w:val="both"/>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Sentencia apelada</w:t>
      </w:r>
      <w:r w:rsidR="00BD0AB6" w:rsidRPr="00CE2597">
        <w:rPr>
          <w:rStyle w:val="Refdenotaalpie"/>
          <w:rFonts w:ascii="Century Gothic" w:eastAsia="Times New Roman" w:hAnsi="Century Gothic" w:cs="Century Gothic"/>
          <w:b/>
          <w:bCs/>
          <w:color w:val="262626" w:themeColor="text1" w:themeTint="D9"/>
          <w:sz w:val="24"/>
          <w:szCs w:val="24"/>
        </w:rPr>
        <w:footnoteReference w:id="1"/>
      </w:r>
    </w:p>
    <w:p w:rsidR="008F2FE8" w:rsidRPr="00CE2597" w:rsidRDefault="008F2FE8" w:rsidP="007C413D">
      <w:pPr>
        <w:pStyle w:val="Prrafodelista"/>
        <w:spacing w:after="0" w:line="300" w:lineRule="auto"/>
        <w:ind w:left="0"/>
        <w:jc w:val="both"/>
        <w:rPr>
          <w:rFonts w:ascii="Century Gothic" w:eastAsia="Times New Roman" w:hAnsi="Century Gothic" w:cs="Century Gothic"/>
          <w:b/>
          <w:bCs/>
          <w:color w:val="262626" w:themeColor="text1" w:themeTint="D9"/>
          <w:sz w:val="24"/>
          <w:szCs w:val="24"/>
        </w:rPr>
      </w:pPr>
    </w:p>
    <w:p w:rsidR="00A029B1" w:rsidRPr="00CE2597" w:rsidRDefault="00680E5E" w:rsidP="007C413D">
      <w:pPr>
        <w:spacing w:after="0" w:line="300" w:lineRule="auto"/>
        <w:jc w:val="both"/>
        <w:rPr>
          <w:rFonts w:ascii="Century Gothic" w:eastAsia="Calibri" w:hAnsi="Century Gothic" w:cs="Century Gothic"/>
          <w:bCs/>
          <w:color w:val="262626" w:themeColor="text1" w:themeTint="D9"/>
          <w:sz w:val="24"/>
          <w:szCs w:val="24"/>
        </w:rPr>
      </w:pPr>
      <w:r w:rsidRPr="00CE2597">
        <w:rPr>
          <w:rFonts w:ascii="Century Gothic" w:eastAsia="Calibri" w:hAnsi="Century Gothic" w:cs="Century Gothic"/>
          <w:bCs/>
          <w:color w:val="262626" w:themeColor="text1" w:themeTint="D9"/>
          <w:sz w:val="24"/>
          <w:szCs w:val="24"/>
        </w:rPr>
        <w:t xml:space="preserve">Mediante sentencia </w:t>
      </w:r>
      <w:r w:rsidR="00A029B1" w:rsidRPr="00CE2597">
        <w:rPr>
          <w:rFonts w:ascii="Century Gothic" w:eastAsia="Calibri" w:hAnsi="Century Gothic" w:cs="Century Gothic"/>
          <w:bCs/>
          <w:color w:val="262626" w:themeColor="text1" w:themeTint="D9"/>
          <w:sz w:val="24"/>
          <w:szCs w:val="24"/>
        </w:rPr>
        <w:t>de fecha</w:t>
      </w:r>
      <w:r w:rsidR="00A742DE" w:rsidRPr="00CE2597">
        <w:rPr>
          <w:rFonts w:ascii="Century Gothic" w:eastAsia="Calibri" w:hAnsi="Century Gothic" w:cs="Century Gothic"/>
          <w:bCs/>
          <w:color w:val="262626" w:themeColor="text1" w:themeTint="D9"/>
          <w:sz w:val="24"/>
          <w:szCs w:val="24"/>
        </w:rPr>
        <w:t xml:space="preserve"> treinta y uno (31) de julio de </w:t>
      </w:r>
      <w:r w:rsidR="00453AC1" w:rsidRPr="00CE2597">
        <w:rPr>
          <w:rFonts w:ascii="Century Gothic" w:eastAsia="Calibri" w:hAnsi="Century Gothic" w:cs="Century Gothic"/>
          <w:bCs/>
          <w:color w:val="262626" w:themeColor="text1" w:themeTint="D9"/>
          <w:sz w:val="24"/>
          <w:szCs w:val="24"/>
        </w:rPr>
        <w:t xml:space="preserve">dos mil dieciocho (2018), el Juzgado </w:t>
      </w:r>
      <w:r w:rsidR="00A029B1" w:rsidRPr="00CE2597">
        <w:rPr>
          <w:rFonts w:ascii="Century Gothic" w:eastAsia="Calibri" w:hAnsi="Century Gothic" w:cs="Century Gothic"/>
          <w:bCs/>
          <w:color w:val="262626" w:themeColor="text1" w:themeTint="D9"/>
          <w:sz w:val="24"/>
          <w:szCs w:val="24"/>
        </w:rPr>
        <w:t xml:space="preserve">Cuarto Administrativo del Circuito de Cartagena resolvió conceder las pretensiones de la demanda, manifestando lo siguiente: </w:t>
      </w:r>
    </w:p>
    <w:p w:rsidR="00620184" w:rsidRPr="00CE2597" w:rsidRDefault="00620184" w:rsidP="007C413D">
      <w:pPr>
        <w:spacing w:after="0" w:line="300" w:lineRule="auto"/>
        <w:jc w:val="both"/>
        <w:rPr>
          <w:rFonts w:ascii="Century Gothic" w:eastAsia="Calibri" w:hAnsi="Century Gothic" w:cs="Century Gothic"/>
          <w:bCs/>
          <w:color w:val="262626" w:themeColor="text1" w:themeTint="D9"/>
          <w:sz w:val="24"/>
          <w:szCs w:val="24"/>
        </w:rPr>
      </w:pPr>
    </w:p>
    <w:p w:rsidR="0042692C" w:rsidRPr="00CE2597" w:rsidRDefault="00A029B1" w:rsidP="007C413D">
      <w:pPr>
        <w:spacing w:after="0" w:line="300" w:lineRule="auto"/>
        <w:jc w:val="both"/>
        <w:rPr>
          <w:rFonts w:ascii="Century Gothic" w:eastAsia="Calibri" w:hAnsi="Century Gothic" w:cs="Century Gothic"/>
          <w:bCs/>
          <w:color w:val="262626" w:themeColor="text1" w:themeTint="D9"/>
          <w:sz w:val="24"/>
          <w:szCs w:val="24"/>
        </w:rPr>
      </w:pPr>
      <w:r w:rsidRPr="00CE2597">
        <w:rPr>
          <w:rFonts w:ascii="Century Gothic" w:eastAsia="Calibri" w:hAnsi="Century Gothic" w:cs="Century Gothic"/>
          <w:bCs/>
          <w:color w:val="262626" w:themeColor="text1" w:themeTint="D9"/>
          <w:sz w:val="24"/>
          <w:szCs w:val="24"/>
        </w:rPr>
        <w:t>Señala el Juez de primera i</w:t>
      </w:r>
      <w:r w:rsidR="002A2E64" w:rsidRPr="00CE2597">
        <w:rPr>
          <w:rFonts w:ascii="Century Gothic" w:eastAsia="Calibri" w:hAnsi="Century Gothic" w:cs="Century Gothic"/>
          <w:bCs/>
          <w:color w:val="262626" w:themeColor="text1" w:themeTint="D9"/>
          <w:sz w:val="24"/>
          <w:szCs w:val="24"/>
        </w:rPr>
        <w:t>nstancia</w:t>
      </w:r>
      <w:r w:rsidR="002F562F" w:rsidRPr="00CE2597">
        <w:rPr>
          <w:rFonts w:ascii="Century Gothic" w:eastAsia="Calibri" w:hAnsi="Century Gothic" w:cs="Century Gothic"/>
          <w:bCs/>
          <w:color w:val="262626" w:themeColor="text1" w:themeTint="D9"/>
          <w:sz w:val="24"/>
          <w:szCs w:val="24"/>
        </w:rPr>
        <w:t xml:space="preserve"> </w:t>
      </w:r>
      <w:r w:rsidR="002A08A1" w:rsidRPr="00CE2597">
        <w:rPr>
          <w:rFonts w:ascii="Century Gothic" w:eastAsia="Calibri" w:hAnsi="Century Gothic" w:cs="Century Gothic"/>
          <w:bCs/>
          <w:color w:val="262626" w:themeColor="text1" w:themeTint="D9"/>
          <w:sz w:val="24"/>
          <w:szCs w:val="24"/>
        </w:rPr>
        <w:t>que en</w:t>
      </w:r>
      <w:r w:rsidR="0042692C" w:rsidRPr="00CE2597">
        <w:rPr>
          <w:rFonts w:ascii="Century Gothic" w:eastAsia="Calibri" w:hAnsi="Century Gothic" w:cs="Century Gothic"/>
          <w:bCs/>
          <w:color w:val="262626" w:themeColor="text1" w:themeTint="D9"/>
          <w:sz w:val="24"/>
          <w:szCs w:val="24"/>
        </w:rPr>
        <w:t xml:space="preserve"> el presente </w:t>
      </w:r>
      <w:r w:rsidR="00B232C8" w:rsidRPr="00CE2597">
        <w:rPr>
          <w:rFonts w:ascii="Century Gothic" w:eastAsia="Calibri" w:hAnsi="Century Gothic" w:cs="Century Gothic"/>
          <w:bCs/>
          <w:color w:val="262626" w:themeColor="text1" w:themeTint="D9"/>
          <w:sz w:val="24"/>
          <w:szCs w:val="24"/>
        </w:rPr>
        <w:t xml:space="preserve">caso, </w:t>
      </w:r>
      <w:r w:rsidR="0042692C" w:rsidRPr="00CE2597">
        <w:rPr>
          <w:rFonts w:ascii="Century Gothic" w:eastAsia="Calibri" w:hAnsi="Century Gothic" w:cs="Century Gothic"/>
          <w:bCs/>
          <w:color w:val="262626" w:themeColor="text1" w:themeTint="D9"/>
          <w:sz w:val="24"/>
          <w:szCs w:val="24"/>
        </w:rPr>
        <w:t xml:space="preserve">el Ingreso Base </w:t>
      </w:r>
      <w:r w:rsidR="00B232C8" w:rsidRPr="00CE2597">
        <w:rPr>
          <w:rFonts w:ascii="Century Gothic" w:eastAsia="Calibri" w:hAnsi="Century Gothic" w:cs="Century Gothic"/>
          <w:bCs/>
          <w:color w:val="262626" w:themeColor="text1" w:themeTint="D9"/>
          <w:sz w:val="24"/>
          <w:szCs w:val="24"/>
        </w:rPr>
        <w:t xml:space="preserve">de Liquidación </w:t>
      </w:r>
      <w:r w:rsidR="003B50E0" w:rsidRPr="00CE2597">
        <w:rPr>
          <w:rFonts w:ascii="Century Gothic" w:eastAsia="Calibri" w:hAnsi="Century Gothic" w:cs="Century Gothic"/>
          <w:bCs/>
          <w:color w:val="262626" w:themeColor="text1" w:themeTint="D9"/>
          <w:sz w:val="24"/>
          <w:szCs w:val="24"/>
        </w:rPr>
        <w:t xml:space="preserve">está conformado por los últimos 10 años de cotización de la demandante, cuyo periodo comprende desde el 28 de agosto de 1993 al 27 de agosto de 2003, fecha hasta que laboró y cotizó la actora como servidora. Siendo así las cosas, </w:t>
      </w:r>
      <w:r w:rsidR="00266F4F" w:rsidRPr="00CE2597">
        <w:rPr>
          <w:rFonts w:ascii="Century Gothic" w:eastAsia="Calibri" w:hAnsi="Century Gothic" w:cs="Century Gothic"/>
          <w:bCs/>
          <w:color w:val="262626" w:themeColor="text1" w:themeTint="D9"/>
          <w:sz w:val="24"/>
          <w:szCs w:val="24"/>
        </w:rPr>
        <w:t xml:space="preserve">los factores devengados en el lapso mencionado, indicados en el Decreto 1158 de 1994 son el sueldo básico o asignación básica, bonificación por servicios y promedio mensual de recargo. </w:t>
      </w:r>
    </w:p>
    <w:p w:rsidR="00266F4F" w:rsidRPr="00CE2597" w:rsidRDefault="00266F4F" w:rsidP="007C413D">
      <w:pPr>
        <w:spacing w:after="0" w:line="300" w:lineRule="auto"/>
        <w:jc w:val="both"/>
        <w:rPr>
          <w:rFonts w:ascii="Century Gothic" w:eastAsia="Calibri" w:hAnsi="Century Gothic" w:cs="Century Gothic"/>
          <w:bCs/>
          <w:color w:val="262626" w:themeColor="text1" w:themeTint="D9"/>
          <w:sz w:val="24"/>
          <w:szCs w:val="24"/>
        </w:rPr>
      </w:pPr>
    </w:p>
    <w:p w:rsidR="00266F4F" w:rsidRPr="00CE2597" w:rsidRDefault="00266F4F" w:rsidP="007C413D">
      <w:pPr>
        <w:spacing w:after="0" w:line="300" w:lineRule="auto"/>
        <w:jc w:val="both"/>
        <w:rPr>
          <w:rFonts w:ascii="Century Gothic" w:eastAsia="Calibri" w:hAnsi="Century Gothic" w:cs="Century Gothic"/>
          <w:bCs/>
          <w:color w:val="262626" w:themeColor="text1" w:themeTint="D9"/>
          <w:sz w:val="24"/>
          <w:szCs w:val="24"/>
        </w:rPr>
      </w:pPr>
      <w:r w:rsidRPr="00CE2597">
        <w:rPr>
          <w:rFonts w:ascii="Century Gothic" w:eastAsia="Calibri" w:hAnsi="Century Gothic" w:cs="Century Gothic"/>
          <w:bCs/>
          <w:color w:val="262626" w:themeColor="text1" w:themeTint="D9"/>
          <w:sz w:val="24"/>
          <w:szCs w:val="24"/>
        </w:rPr>
        <w:t>Dado lo anterior, señaló el A</w:t>
      </w:r>
      <w:r w:rsidR="00803495" w:rsidRPr="00CE2597">
        <w:rPr>
          <w:rFonts w:ascii="Century Gothic" w:eastAsia="Calibri" w:hAnsi="Century Gothic" w:cs="Century Gothic"/>
          <w:bCs/>
          <w:color w:val="262626" w:themeColor="text1" w:themeTint="D9"/>
          <w:sz w:val="24"/>
          <w:szCs w:val="24"/>
        </w:rPr>
        <w:t xml:space="preserve"> quo, que la pensión de vejez de la señora Herlinda </w:t>
      </w:r>
      <w:r w:rsidR="0079654A" w:rsidRPr="00CE2597">
        <w:rPr>
          <w:rFonts w:ascii="Century Gothic" w:eastAsia="Calibri" w:hAnsi="Century Gothic" w:cs="Century Gothic"/>
          <w:bCs/>
          <w:color w:val="262626" w:themeColor="text1" w:themeTint="D9"/>
          <w:sz w:val="24"/>
          <w:szCs w:val="24"/>
        </w:rPr>
        <w:t>Sepúlveda</w:t>
      </w:r>
      <w:r w:rsidR="00803495" w:rsidRPr="00CE2597">
        <w:rPr>
          <w:rFonts w:ascii="Century Gothic" w:eastAsia="Calibri" w:hAnsi="Century Gothic" w:cs="Century Gothic"/>
          <w:bCs/>
          <w:color w:val="262626" w:themeColor="text1" w:themeTint="D9"/>
          <w:sz w:val="24"/>
          <w:szCs w:val="24"/>
        </w:rPr>
        <w:t xml:space="preserve"> correspondía a una suma de $1.076.643,73 a partir del 21 de abril de 2013, y si se revisa la Resolución SUB 18809 del 24 de marzo de 2017, esta se liquidó en la suma de $987.164. </w:t>
      </w:r>
    </w:p>
    <w:p w:rsidR="003211E0" w:rsidRPr="00CE2597" w:rsidRDefault="003211E0" w:rsidP="007C413D">
      <w:pPr>
        <w:spacing w:after="0" w:line="300" w:lineRule="auto"/>
        <w:jc w:val="both"/>
        <w:rPr>
          <w:rFonts w:ascii="Century Gothic" w:eastAsia="Calibri" w:hAnsi="Century Gothic" w:cs="Century Gothic"/>
          <w:bCs/>
          <w:color w:val="262626" w:themeColor="text1" w:themeTint="D9"/>
          <w:sz w:val="24"/>
          <w:szCs w:val="24"/>
        </w:rPr>
      </w:pPr>
    </w:p>
    <w:p w:rsidR="002F562F" w:rsidRPr="00CE2597" w:rsidRDefault="002F562F" w:rsidP="007C413D">
      <w:pPr>
        <w:pStyle w:val="Prrafodelista"/>
        <w:numPr>
          <w:ilvl w:val="0"/>
          <w:numId w:val="19"/>
        </w:numPr>
        <w:spacing w:after="0" w:line="300" w:lineRule="auto"/>
        <w:jc w:val="both"/>
        <w:rPr>
          <w:rFonts w:ascii="Century Gothic" w:hAnsi="Century Gothic" w:cs="Century Gothic"/>
          <w:b/>
          <w:bCs/>
          <w:color w:val="262626" w:themeColor="text1" w:themeTint="D9"/>
          <w:sz w:val="24"/>
          <w:szCs w:val="24"/>
        </w:rPr>
      </w:pPr>
      <w:r w:rsidRPr="00CE2597">
        <w:rPr>
          <w:rFonts w:ascii="Century Gothic" w:hAnsi="Century Gothic" w:cs="Century Gothic"/>
          <w:b/>
          <w:bCs/>
          <w:color w:val="262626" w:themeColor="text1" w:themeTint="D9"/>
          <w:sz w:val="24"/>
          <w:szCs w:val="24"/>
        </w:rPr>
        <w:t>Recurso de apelación.</w:t>
      </w:r>
    </w:p>
    <w:p w:rsidR="002F562F" w:rsidRPr="00CE2597" w:rsidRDefault="002F562F" w:rsidP="007C413D">
      <w:pPr>
        <w:pStyle w:val="Prrafodelista"/>
        <w:spacing w:after="0" w:line="300" w:lineRule="auto"/>
        <w:ind w:left="0"/>
        <w:jc w:val="both"/>
        <w:rPr>
          <w:rFonts w:ascii="Century Gothic" w:hAnsi="Century Gothic" w:cs="Century Gothic"/>
          <w:b/>
          <w:bCs/>
          <w:color w:val="262626" w:themeColor="text1" w:themeTint="D9"/>
          <w:sz w:val="24"/>
          <w:szCs w:val="24"/>
        </w:rPr>
      </w:pPr>
    </w:p>
    <w:p w:rsidR="000267DD" w:rsidRPr="00CE2597" w:rsidRDefault="002F562F" w:rsidP="007C413D">
      <w:pPr>
        <w:pStyle w:val="Prrafodelista"/>
        <w:numPr>
          <w:ilvl w:val="1"/>
          <w:numId w:val="19"/>
        </w:numPr>
        <w:spacing w:after="0" w:line="300" w:lineRule="auto"/>
        <w:ind w:left="0" w:firstLine="0"/>
        <w:jc w:val="both"/>
        <w:rPr>
          <w:rFonts w:ascii="Century Gothic" w:hAnsi="Century Gothic" w:cs="Century Gothic"/>
          <w:b/>
          <w:bCs/>
          <w:color w:val="262626" w:themeColor="text1" w:themeTint="D9"/>
          <w:sz w:val="24"/>
          <w:szCs w:val="24"/>
        </w:rPr>
      </w:pPr>
      <w:r w:rsidRPr="00CE2597">
        <w:rPr>
          <w:rFonts w:ascii="Century Gothic" w:hAnsi="Century Gothic" w:cs="Century Gothic"/>
          <w:b/>
          <w:bCs/>
          <w:color w:val="262626" w:themeColor="text1" w:themeTint="D9"/>
          <w:sz w:val="24"/>
          <w:szCs w:val="24"/>
        </w:rPr>
        <w:lastRenderedPageBreak/>
        <w:t>De la parte acciona</w:t>
      </w:r>
      <w:r w:rsidR="000267DD" w:rsidRPr="00CE2597">
        <w:rPr>
          <w:rFonts w:ascii="Century Gothic" w:hAnsi="Century Gothic" w:cs="Century Gothic"/>
          <w:b/>
          <w:bCs/>
          <w:color w:val="262626" w:themeColor="text1" w:themeTint="D9"/>
          <w:sz w:val="24"/>
          <w:szCs w:val="24"/>
        </w:rPr>
        <w:t>da</w:t>
      </w:r>
      <w:r w:rsidRPr="00CE2597">
        <w:rPr>
          <w:rStyle w:val="Refdenotaalpie"/>
          <w:rFonts w:ascii="Century Gothic" w:hAnsi="Century Gothic" w:cs="Century Gothic"/>
          <w:b/>
          <w:bCs/>
          <w:color w:val="262626" w:themeColor="text1" w:themeTint="D9"/>
          <w:sz w:val="24"/>
          <w:szCs w:val="24"/>
        </w:rPr>
        <w:footnoteReference w:id="2"/>
      </w:r>
      <w:r w:rsidRPr="00CE2597">
        <w:rPr>
          <w:rFonts w:ascii="Century Gothic" w:hAnsi="Century Gothic" w:cs="Century Gothic"/>
          <w:b/>
          <w:bCs/>
          <w:color w:val="262626" w:themeColor="text1" w:themeTint="D9"/>
          <w:sz w:val="24"/>
          <w:szCs w:val="24"/>
        </w:rPr>
        <w:t>.</w:t>
      </w:r>
    </w:p>
    <w:p w:rsidR="000267DD" w:rsidRPr="00CE2597" w:rsidRDefault="000267DD" w:rsidP="007C413D">
      <w:pPr>
        <w:spacing w:after="0" w:line="300" w:lineRule="auto"/>
        <w:jc w:val="both"/>
        <w:rPr>
          <w:rFonts w:ascii="Century Gothic" w:hAnsi="Century Gothic" w:cs="Century Gothic"/>
          <w:color w:val="262626" w:themeColor="text1" w:themeTint="D9"/>
          <w:sz w:val="24"/>
          <w:szCs w:val="24"/>
        </w:rPr>
      </w:pPr>
    </w:p>
    <w:p w:rsidR="000267DD" w:rsidRPr="00CE2597" w:rsidRDefault="000267DD" w:rsidP="007C413D">
      <w:pPr>
        <w:spacing w:after="0" w:line="300" w:lineRule="auto"/>
        <w:jc w:val="both"/>
        <w:rPr>
          <w:rFonts w:ascii="Century Gothic" w:hAnsi="Century Gothic" w:cs="Century Gothic"/>
          <w:color w:val="262626" w:themeColor="text1" w:themeTint="D9"/>
          <w:sz w:val="24"/>
          <w:szCs w:val="24"/>
        </w:rPr>
      </w:pPr>
      <w:r w:rsidRPr="00CE2597">
        <w:rPr>
          <w:rFonts w:ascii="Century Gothic" w:hAnsi="Century Gothic" w:cs="Century Gothic"/>
          <w:color w:val="262626" w:themeColor="text1" w:themeTint="D9"/>
          <w:sz w:val="24"/>
          <w:szCs w:val="24"/>
        </w:rPr>
        <w:t>La parte accionada, a través de su apoderado, interpuso recurso de apelación contra la sentencia de primera instancia, solicitando se revoque el fallo del A quo y se denieguen las pretensiones de la demanda.</w:t>
      </w:r>
    </w:p>
    <w:p w:rsidR="008731AA" w:rsidRPr="00CE2597" w:rsidRDefault="008731AA" w:rsidP="007C413D">
      <w:pPr>
        <w:spacing w:after="0" w:line="300" w:lineRule="auto"/>
        <w:jc w:val="both"/>
        <w:rPr>
          <w:rFonts w:ascii="Century Gothic" w:hAnsi="Century Gothic" w:cs="Century Gothic"/>
          <w:color w:val="262626" w:themeColor="text1" w:themeTint="D9"/>
          <w:sz w:val="24"/>
          <w:szCs w:val="24"/>
        </w:rPr>
      </w:pPr>
    </w:p>
    <w:p w:rsidR="00B51D01" w:rsidRPr="00CE2597" w:rsidRDefault="008731AA" w:rsidP="007C413D">
      <w:pPr>
        <w:spacing w:after="0" w:line="300" w:lineRule="auto"/>
        <w:jc w:val="both"/>
        <w:rPr>
          <w:rFonts w:ascii="Century Gothic" w:hAnsi="Century Gothic" w:cs="Century Gothic"/>
          <w:color w:val="262626" w:themeColor="text1" w:themeTint="D9"/>
          <w:sz w:val="24"/>
          <w:szCs w:val="24"/>
        </w:rPr>
      </w:pPr>
      <w:r w:rsidRPr="00CE2597">
        <w:rPr>
          <w:rFonts w:ascii="Century Gothic" w:hAnsi="Century Gothic" w:cs="Century Gothic"/>
          <w:color w:val="262626" w:themeColor="text1" w:themeTint="D9"/>
          <w:sz w:val="24"/>
          <w:szCs w:val="24"/>
        </w:rPr>
        <w:t>Indica</w:t>
      </w:r>
      <w:r w:rsidR="00B51D01" w:rsidRPr="00CE2597">
        <w:rPr>
          <w:rFonts w:ascii="Century Gothic" w:hAnsi="Century Gothic" w:cs="Century Gothic"/>
          <w:color w:val="262626" w:themeColor="text1" w:themeTint="D9"/>
          <w:sz w:val="24"/>
          <w:szCs w:val="24"/>
        </w:rPr>
        <w:t xml:space="preserve"> la accionada que en</w:t>
      </w:r>
      <w:r w:rsidRPr="00CE2597">
        <w:rPr>
          <w:rFonts w:ascii="Century Gothic" w:hAnsi="Century Gothic" w:cs="Century Gothic"/>
          <w:color w:val="262626" w:themeColor="text1" w:themeTint="D9"/>
          <w:sz w:val="24"/>
          <w:szCs w:val="24"/>
        </w:rPr>
        <w:t xml:space="preserve"> Circular interna de </w:t>
      </w:r>
      <w:proofErr w:type="spellStart"/>
      <w:r w:rsidRPr="00CE2597">
        <w:rPr>
          <w:rFonts w:ascii="Century Gothic" w:hAnsi="Century Gothic" w:cs="Century Gothic"/>
          <w:color w:val="262626" w:themeColor="text1" w:themeTint="D9"/>
          <w:sz w:val="24"/>
          <w:szCs w:val="24"/>
        </w:rPr>
        <w:t>Colpensiones</w:t>
      </w:r>
      <w:proofErr w:type="spellEnd"/>
      <w:r w:rsidRPr="00CE2597">
        <w:rPr>
          <w:rFonts w:ascii="Century Gothic" w:hAnsi="Century Gothic" w:cs="Century Gothic"/>
          <w:color w:val="262626" w:themeColor="text1" w:themeTint="D9"/>
          <w:sz w:val="24"/>
          <w:szCs w:val="24"/>
        </w:rPr>
        <w:t xml:space="preserve"> </w:t>
      </w:r>
      <w:r w:rsidR="00B51D01" w:rsidRPr="00CE2597">
        <w:rPr>
          <w:rFonts w:ascii="Century Gothic" w:hAnsi="Century Gothic" w:cs="Century Gothic"/>
          <w:color w:val="262626" w:themeColor="text1" w:themeTint="D9"/>
          <w:sz w:val="24"/>
          <w:szCs w:val="24"/>
        </w:rPr>
        <w:t xml:space="preserve"> manifestaron: </w:t>
      </w:r>
    </w:p>
    <w:p w:rsidR="00B51D01" w:rsidRPr="00CE2597" w:rsidRDefault="00B51D01" w:rsidP="007C413D">
      <w:pPr>
        <w:spacing w:after="0" w:line="300" w:lineRule="auto"/>
        <w:jc w:val="both"/>
        <w:rPr>
          <w:rFonts w:ascii="Century Gothic" w:hAnsi="Century Gothic" w:cs="Century Gothic"/>
          <w:color w:val="262626" w:themeColor="text1" w:themeTint="D9"/>
          <w:sz w:val="24"/>
          <w:szCs w:val="24"/>
        </w:rPr>
      </w:pPr>
    </w:p>
    <w:p w:rsidR="004D3F0A" w:rsidRPr="00CE2597" w:rsidRDefault="004D3F0A" w:rsidP="00FC5160">
      <w:pPr>
        <w:spacing w:after="0" w:line="240" w:lineRule="auto"/>
        <w:ind w:left="708"/>
        <w:jc w:val="both"/>
        <w:rPr>
          <w:rFonts w:ascii="Century Gothic" w:hAnsi="Century Gothic" w:cs="Century Gothic"/>
          <w:i/>
          <w:color w:val="262626" w:themeColor="text1" w:themeTint="D9"/>
          <w:sz w:val="20"/>
          <w:szCs w:val="20"/>
        </w:rPr>
      </w:pPr>
      <w:r w:rsidRPr="00CE2597">
        <w:rPr>
          <w:rFonts w:ascii="Century Gothic" w:hAnsi="Century Gothic" w:cs="Century Gothic"/>
          <w:i/>
          <w:color w:val="262626" w:themeColor="text1" w:themeTint="D9"/>
          <w:sz w:val="20"/>
          <w:szCs w:val="20"/>
        </w:rPr>
        <w:t xml:space="preserve">“IV. REGLAS PARA LA APLICACIÓN EN EL TIEMPO DE LOS CRITERIOS SOBRE INGRESO BASE LIQUIDACIÓN, TASA DE REEMPLAZO Y FACTORES SALARIALES. </w:t>
      </w:r>
    </w:p>
    <w:p w:rsidR="004D3F0A" w:rsidRPr="00CE2597" w:rsidRDefault="004D3F0A" w:rsidP="00FC5160">
      <w:pPr>
        <w:spacing w:after="0" w:line="240" w:lineRule="auto"/>
        <w:ind w:left="708"/>
        <w:jc w:val="both"/>
        <w:rPr>
          <w:rFonts w:ascii="Century Gothic" w:hAnsi="Century Gothic" w:cs="Century Gothic"/>
          <w:i/>
          <w:color w:val="262626" w:themeColor="text1" w:themeTint="D9"/>
          <w:sz w:val="20"/>
          <w:szCs w:val="20"/>
        </w:rPr>
      </w:pPr>
    </w:p>
    <w:p w:rsidR="004D3F0A" w:rsidRPr="00CE2597" w:rsidRDefault="004D3F0A" w:rsidP="00FC5160">
      <w:pPr>
        <w:spacing w:after="0" w:line="240" w:lineRule="auto"/>
        <w:ind w:left="708"/>
        <w:jc w:val="both"/>
        <w:rPr>
          <w:rFonts w:ascii="Century Gothic" w:hAnsi="Century Gothic" w:cs="Century Gothic"/>
          <w:i/>
          <w:color w:val="262626" w:themeColor="text1" w:themeTint="D9"/>
          <w:sz w:val="20"/>
          <w:szCs w:val="20"/>
        </w:rPr>
      </w:pPr>
      <w:r w:rsidRPr="00CE2597">
        <w:rPr>
          <w:rFonts w:ascii="Century Gothic" w:hAnsi="Century Gothic" w:cs="Century Gothic"/>
          <w:i/>
          <w:color w:val="262626" w:themeColor="text1" w:themeTint="D9"/>
          <w:sz w:val="20"/>
          <w:szCs w:val="20"/>
        </w:rPr>
        <w:t xml:space="preserve">Con base en las anteriores consideraciones, las reglas de decisión a que a continuación se imparten tendrán efectos hacia el futuro en los siguientes términos: </w:t>
      </w:r>
    </w:p>
    <w:p w:rsidR="004D3F0A" w:rsidRPr="00CE2597" w:rsidRDefault="004D3F0A" w:rsidP="00FC5160">
      <w:pPr>
        <w:spacing w:after="0" w:line="240" w:lineRule="auto"/>
        <w:ind w:left="708"/>
        <w:jc w:val="both"/>
        <w:rPr>
          <w:rFonts w:ascii="Century Gothic" w:hAnsi="Century Gothic" w:cs="Century Gothic"/>
          <w:i/>
          <w:color w:val="262626" w:themeColor="text1" w:themeTint="D9"/>
          <w:sz w:val="20"/>
          <w:szCs w:val="20"/>
        </w:rPr>
      </w:pPr>
    </w:p>
    <w:p w:rsidR="004D3F0A" w:rsidRPr="00CE2597" w:rsidRDefault="004D3F0A" w:rsidP="00FC5160">
      <w:pPr>
        <w:pStyle w:val="Prrafodelista"/>
        <w:numPr>
          <w:ilvl w:val="0"/>
          <w:numId w:val="31"/>
        </w:numPr>
        <w:spacing w:after="0" w:line="240" w:lineRule="auto"/>
        <w:ind w:left="1428"/>
        <w:jc w:val="both"/>
        <w:rPr>
          <w:rFonts w:ascii="Century Gothic" w:hAnsi="Century Gothic" w:cs="Century Gothic"/>
          <w:i/>
          <w:color w:val="262626" w:themeColor="text1" w:themeTint="D9"/>
          <w:sz w:val="20"/>
          <w:szCs w:val="20"/>
        </w:rPr>
      </w:pPr>
      <w:r w:rsidRPr="00CE2597">
        <w:rPr>
          <w:rFonts w:ascii="Century Gothic" w:hAnsi="Century Gothic" w:cs="Century Gothic"/>
          <w:i/>
          <w:color w:val="262626" w:themeColor="text1" w:themeTint="D9"/>
          <w:sz w:val="20"/>
          <w:szCs w:val="20"/>
        </w:rPr>
        <w:t xml:space="preserve">La </w:t>
      </w:r>
      <w:r w:rsidR="002F41D7" w:rsidRPr="00CE2597">
        <w:rPr>
          <w:rFonts w:ascii="Century Gothic" w:hAnsi="Century Gothic" w:cs="Century Gothic"/>
          <w:i/>
          <w:color w:val="262626" w:themeColor="text1" w:themeTint="D9"/>
          <w:sz w:val="20"/>
          <w:szCs w:val="20"/>
        </w:rPr>
        <w:t>definición</w:t>
      </w:r>
      <w:r w:rsidRPr="00CE2597">
        <w:rPr>
          <w:rFonts w:ascii="Century Gothic" w:hAnsi="Century Gothic" w:cs="Century Gothic"/>
          <w:i/>
          <w:color w:val="262626" w:themeColor="text1" w:themeTint="D9"/>
          <w:sz w:val="20"/>
          <w:szCs w:val="20"/>
        </w:rPr>
        <w:t xml:space="preserve"> y entendimiento del </w:t>
      </w:r>
      <w:r w:rsidR="002F41D7" w:rsidRPr="00CE2597">
        <w:rPr>
          <w:rFonts w:ascii="Century Gothic" w:hAnsi="Century Gothic" w:cs="Century Gothic"/>
          <w:i/>
          <w:color w:val="262626" w:themeColor="text1" w:themeTint="D9"/>
          <w:sz w:val="20"/>
          <w:szCs w:val="20"/>
        </w:rPr>
        <w:t>artículo</w:t>
      </w:r>
      <w:r w:rsidRPr="00CE2597">
        <w:rPr>
          <w:rFonts w:ascii="Century Gothic" w:hAnsi="Century Gothic" w:cs="Century Gothic"/>
          <w:i/>
          <w:color w:val="262626" w:themeColor="text1" w:themeTint="D9"/>
          <w:sz w:val="20"/>
          <w:szCs w:val="20"/>
        </w:rPr>
        <w:t xml:space="preserve"> 36 de la ley 100 de 1993, será el siguiente: </w:t>
      </w:r>
    </w:p>
    <w:p w:rsidR="004D3F0A" w:rsidRPr="00CE2597" w:rsidRDefault="004D3F0A" w:rsidP="00FC5160">
      <w:pPr>
        <w:spacing w:after="0" w:line="240" w:lineRule="auto"/>
        <w:ind w:left="708"/>
        <w:jc w:val="both"/>
        <w:rPr>
          <w:rFonts w:ascii="Century Gothic" w:hAnsi="Century Gothic" w:cs="Century Gothic"/>
          <w:i/>
          <w:color w:val="262626" w:themeColor="text1" w:themeTint="D9"/>
          <w:sz w:val="20"/>
          <w:szCs w:val="20"/>
        </w:rPr>
      </w:pPr>
    </w:p>
    <w:p w:rsidR="004D3F0A" w:rsidRPr="00CE2597" w:rsidRDefault="004D3F0A" w:rsidP="00FC5160">
      <w:pPr>
        <w:pStyle w:val="Prrafodelista"/>
        <w:numPr>
          <w:ilvl w:val="0"/>
          <w:numId w:val="32"/>
        </w:numPr>
        <w:spacing w:after="0" w:line="240" w:lineRule="auto"/>
        <w:ind w:left="1428"/>
        <w:jc w:val="both"/>
        <w:rPr>
          <w:rFonts w:ascii="Century Gothic" w:hAnsi="Century Gothic" w:cs="Century Gothic"/>
          <w:i/>
          <w:color w:val="262626" w:themeColor="text1" w:themeTint="D9"/>
          <w:sz w:val="20"/>
          <w:szCs w:val="20"/>
        </w:rPr>
      </w:pPr>
      <w:r w:rsidRPr="00CE2597">
        <w:rPr>
          <w:rFonts w:ascii="Century Gothic" w:hAnsi="Century Gothic" w:cs="Century Gothic"/>
          <w:i/>
          <w:color w:val="262626" w:themeColor="text1" w:themeTint="D9"/>
          <w:sz w:val="20"/>
          <w:szCs w:val="20"/>
        </w:rPr>
        <w:t xml:space="preserve">El ingreso base de liquidación no fue aspecto sometido al régimen de transición. </w:t>
      </w:r>
    </w:p>
    <w:p w:rsidR="004D3F0A" w:rsidRPr="00CE2597" w:rsidRDefault="004D3F0A" w:rsidP="00FC5160">
      <w:pPr>
        <w:pStyle w:val="Prrafodelista"/>
        <w:numPr>
          <w:ilvl w:val="0"/>
          <w:numId w:val="32"/>
        </w:numPr>
        <w:spacing w:after="0" w:line="240" w:lineRule="auto"/>
        <w:ind w:left="1428"/>
        <w:jc w:val="both"/>
        <w:rPr>
          <w:rFonts w:ascii="Century Gothic" w:hAnsi="Century Gothic" w:cs="Century Gothic"/>
          <w:i/>
          <w:color w:val="262626" w:themeColor="text1" w:themeTint="D9"/>
          <w:sz w:val="20"/>
          <w:szCs w:val="20"/>
        </w:rPr>
      </w:pPr>
      <w:r w:rsidRPr="00CE2597">
        <w:rPr>
          <w:rFonts w:ascii="Century Gothic" w:hAnsi="Century Gothic" w:cs="Century Gothic"/>
          <w:i/>
          <w:color w:val="262626" w:themeColor="text1" w:themeTint="D9"/>
          <w:sz w:val="20"/>
          <w:szCs w:val="20"/>
        </w:rPr>
        <w:t xml:space="preserve">Las reglas para calcular el ingreso base de </w:t>
      </w:r>
      <w:r w:rsidR="002F41D7" w:rsidRPr="00CE2597">
        <w:rPr>
          <w:rFonts w:ascii="Century Gothic" w:hAnsi="Century Gothic" w:cs="Century Gothic"/>
          <w:i/>
          <w:color w:val="262626" w:themeColor="text1" w:themeTint="D9"/>
          <w:sz w:val="20"/>
          <w:szCs w:val="20"/>
        </w:rPr>
        <w:t>liquidación</w:t>
      </w:r>
      <w:r w:rsidRPr="00CE2597">
        <w:rPr>
          <w:rFonts w:ascii="Century Gothic" w:hAnsi="Century Gothic" w:cs="Century Gothic"/>
          <w:i/>
          <w:color w:val="262626" w:themeColor="text1" w:themeTint="D9"/>
          <w:sz w:val="20"/>
          <w:szCs w:val="20"/>
        </w:rPr>
        <w:t xml:space="preserve"> de los beneficiarios del régimen de transición, son las siguientes: </w:t>
      </w:r>
    </w:p>
    <w:p w:rsidR="004D3F0A" w:rsidRPr="00CE2597" w:rsidRDefault="004D3F0A" w:rsidP="00FC5160">
      <w:pPr>
        <w:spacing w:after="0" w:line="240" w:lineRule="auto"/>
        <w:ind w:left="708"/>
        <w:jc w:val="both"/>
        <w:rPr>
          <w:rFonts w:ascii="Century Gothic" w:hAnsi="Century Gothic" w:cs="Century Gothic"/>
          <w:i/>
          <w:color w:val="262626" w:themeColor="text1" w:themeTint="D9"/>
          <w:sz w:val="20"/>
          <w:szCs w:val="20"/>
        </w:rPr>
      </w:pPr>
    </w:p>
    <w:p w:rsidR="004D3F0A" w:rsidRPr="00CE2597" w:rsidRDefault="004D3F0A" w:rsidP="00FC5160">
      <w:pPr>
        <w:pStyle w:val="Prrafodelista"/>
        <w:numPr>
          <w:ilvl w:val="0"/>
          <w:numId w:val="34"/>
        </w:numPr>
        <w:spacing w:after="0" w:line="240" w:lineRule="auto"/>
        <w:ind w:left="1788"/>
        <w:jc w:val="both"/>
        <w:rPr>
          <w:rFonts w:ascii="Century Gothic" w:hAnsi="Century Gothic" w:cs="Century Gothic"/>
          <w:i/>
          <w:color w:val="262626" w:themeColor="text1" w:themeTint="D9"/>
          <w:sz w:val="20"/>
          <w:szCs w:val="20"/>
        </w:rPr>
      </w:pPr>
      <w:r w:rsidRPr="00CE2597">
        <w:rPr>
          <w:rFonts w:ascii="Century Gothic" w:hAnsi="Century Gothic" w:cs="Century Gothic"/>
          <w:i/>
          <w:color w:val="262626" w:themeColor="text1" w:themeTint="D9"/>
          <w:sz w:val="20"/>
          <w:szCs w:val="20"/>
        </w:rPr>
        <w:t>Quienes al 1º de abril de 1994 les faltare menos de</w:t>
      </w:r>
      <w:r w:rsidR="002F41D7" w:rsidRPr="00CE2597">
        <w:rPr>
          <w:rFonts w:ascii="Century Gothic" w:hAnsi="Century Gothic" w:cs="Century Gothic"/>
          <w:i/>
          <w:color w:val="262626" w:themeColor="text1" w:themeTint="D9"/>
          <w:sz w:val="20"/>
          <w:szCs w:val="20"/>
        </w:rPr>
        <w:t xml:space="preserve"> 10 años para el cumplimiento d</w:t>
      </w:r>
      <w:r w:rsidRPr="00CE2597">
        <w:rPr>
          <w:rFonts w:ascii="Century Gothic" w:hAnsi="Century Gothic" w:cs="Century Gothic"/>
          <w:i/>
          <w:color w:val="262626" w:themeColor="text1" w:themeTint="D9"/>
          <w:sz w:val="20"/>
          <w:szCs w:val="20"/>
        </w:rPr>
        <w:t>e</w:t>
      </w:r>
      <w:r w:rsidR="002F41D7" w:rsidRPr="00CE2597">
        <w:rPr>
          <w:rFonts w:ascii="Century Gothic" w:hAnsi="Century Gothic" w:cs="Century Gothic"/>
          <w:i/>
          <w:color w:val="262626" w:themeColor="text1" w:themeTint="D9"/>
          <w:sz w:val="20"/>
          <w:szCs w:val="20"/>
        </w:rPr>
        <w:t xml:space="preserve"> </w:t>
      </w:r>
      <w:r w:rsidRPr="00CE2597">
        <w:rPr>
          <w:rFonts w:ascii="Century Gothic" w:hAnsi="Century Gothic" w:cs="Century Gothic"/>
          <w:i/>
          <w:color w:val="262626" w:themeColor="text1" w:themeTint="D9"/>
          <w:sz w:val="20"/>
          <w:szCs w:val="20"/>
        </w:rPr>
        <w:t xml:space="preserve">los requisitos para pensionarse, el ingreso base de liquidación se </w:t>
      </w:r>
      <w:r w:rsidR="002F41D7" w:rsidRPr="00CE2597">
        <w:rPr>
          <w:rFonts w:ascii="Century Gothic" w:hAnsi="Century Gothic" w:cs="Century Gothic"/>
          <w:i/>
          <w:color w:val="262626" w:themeColor="text1" w:themeTint="D9"/>
          <w:sz w:val="20"/>
          <w:szCs w:val="20"/>
        </w:rPr>
        <w:t>determinará</w:t>
      </w:r>
      <w:r w:rsidRPr="00CE2597">
        <w:rPr>
          <w:rFonts w:ascii="Century Gothic" w:hAnsi="Century Gothic" w:cs="Century Gothic"/>
          <w:i/>
          <w:color w:val="262626" w:themeColor="text1" w:themeTint="D9"/>
          <w:sz w:val="20"/>
          <w:szCs w:val="20"/>
        </w:rPr>
        <w:t xml:space="preserve"> conforme lo </w:t>
      </w:r>
      <w:r w:rsidR="002F41D7" w:rsidRPr="00CE2597">
        <w:rPr>
          <w:rFonts w:ascii="Century Gothic" w:hAnsi="Century Gothic" w:cs="Century Gothic"/>
          <w:i/>
          <w:color w:val="262626" w:themeColor="text1" w:themeTint="D9"/>
          <w:sz w:val="20"/>
          <w:szCs w:val="20"/>
        </w:rPr>
        <w:t>establecido</w:t>
      </w:r>
      <w:r w:rsidRPr="00CE2597">
        <w:rPr>
          <w:rFonts w:ascii="Century Gothic" w:hAnsi="Century Gothic" w:cs="Century Gothic"/>
          <w:i/>
          <w:color w:val="262626" w:themeColor="text1" w:themeTint="D9"/>
          <w:sz w:val="20"/>
          <w:szCs w:val="20"/>
        </w:rPr>
        <w:t xml:space="preserve"> en el inciso 3º </w:t>
      </w:r>
      <w:r w:rsidR="002F41D7" w:rsidRPr="00CE2597">
        <w:rPr>
          <w:rFonts w:ascii="Century Gothic" w:hAnsi="Century Gothic" w:cs="Century Gothic"/>
          <w:i/>
          <w:color w:val="262626" w:themeColor="text1" w:themeTint="D9"/>
          <w:sz w:val="20"/>
          <w:szCs w:val="20"/>
        </w:rPr>
        <w:t xml:space="preserve"> del artículo 36 de la ley 100 de 1993. </w:t>
      </w:r>
    </w:p>
    <w:p w:rsidR="002F41D7" w:rsidRPr="00CE2597" w:rsidRDefault="002F41D7" w:rsidP="00FC5160">
      <w:pPr>
        <w:pStyle w:val="Prrafodelista"/>
        <w:numPr>
          <w:ilvl w:val="0"/>
          <w:numId w:val="34"/>
        </w:numPr>
        <w:spacing w:after="0" w:line="240" w:lineRule="auto"/>
        <w:ind w:left="1788"/>
        <w:jc w:val="both"/>
        <w:rPr>
          <w:rFonts w:ascii="Century Gothic" w:hAnsi="Century Gothic" w:cs="Century Gothic"/>
          <w:i/>
          <w:color w:val="262626" w:themeColor="text1" w:themeTint="D9"/>
          <w:sz w:val="20"/>
          <w:szCs w:val="20"/>
        </w:rPr>
      </w:pPr>
      <w:r w:rsidRPr="00CE2597">
        <w:rPr>
          <w:rFonts w:ascii="Century Gothic" w:hAnsi="Century Gothic" w:cs="Century Gothic"/>
          <w:i/>
          <w:color w:val="262626" w:themeColor="text1" w:themeTint="D9"/>
          <w:sz w:val="20"/>
          <w:szCs w:val="20"/>
        </w:rPr>
        <w:t xml:space="preserve">Quienes a 1º de abril de 1994 les faltare más de 10 años para el cumplimiento de los requisitos para pensionarse, el ingreso base de liquidación se determinará conforme lo establecido en el artículo 21 de la Ley 100 de 1993. </w:t>
      </w:r>
    </w:p>
    <w:p w:rsidR="00D43028" w:rsidRPr="00CE2597" w:rsidRDefault="00D43028" w:rsidP="00FC5160">
      <w:pPr>
        <w:spacing w:after="0" w:line="240" w:lineRule="auto"/>
        <w:ind w:left="1068"/>
        <w:jc w:val="both"/>
        <w:rPr>
          <w:rFonts w:ascii="Century Gothic" w:hAnsi="Century Gothic" w:cs="Century Gothic"/>
          <w:i/>
          <w:color w:val="262626" w:themeColor="text1" w:themeTint="D9"/>
          <w:sz w:val="20"/>
          <w:szCs w:val="20"/>
        </w:rPr>
      </w:pPr>
    </w:p>
    <w:p w:rsidR="00D43028" w:rsidRPr="00CE2597" w:rsidRDefault="00D43028" w:rsidP="00FC5160">
      <w:pPr>
        <w:spacing w:after="0" w:line="240" w:lineRule="auto"/>
        <w:ind w:left="1068"/>
        <w:jc w:val="both"/>
        <w:rPr>
          <w:rFonts w:ascii="Century Gothic" w:hAnsi="Century Gothic" w:cs="Century Gothic"/>
          <w:i/>
          <w:color w:val="262626" w:themeColor="text1" w:themeTint="D9"/>
          <w:sz w:val="20"/>
          <w:szCs w:val="20"/>
        </w:rPr>
      </w:pPr>
      <w:r w:rsidRPr="00CE2597">
        <w:rPr>
          <w:rFonts w:ascii="Century Gothic" w:hAnsi="Century Gothic" w:cs="Century Gothic"/>
          <w:i/>
          <w:color w:val="262626" w:themeColor="text1" w:themeTint="D9"/>
          <w:sz w:val="20"/>
          <w:szCs w:val="20"/>
        </w:rPr>
        <w:t xml:space="preserve">3.- Factores salariales: Los únicos factores salariales que se deberán tener en cuenta </w:t>
      </w:r>
      <w:r w:rsidR="00FC5160" w:rsidRPr="00CE2597">
        <w:rPr>
          <w:rFonts w:ascii="Century Gothic" w:hAnsi="Century Gothic" w:cs="Century Gothic"/>
          <w:i/>
          <w:color w:val="262626" w:themeColor="text1" w:themeTint="D9"/>
          <w:sz w:val="20"/>
          <w:szCs w:val="20"/>
        </w:rPr>
        <w:t>al momento de determinar el ingreso base de liquidación serán los contemplados en el Decreto 1158 de 1994, siempre y cuando sobre los mismos se hubieran efectuado los aportes al Sistema General de Pensiones. “</w:t>
      </w:r>
    </w:p>
    <w:p w:rsidR="00FC5160" w:rsidRPr="00CE2597" w:rsidRDefault="00FC5160" w:rsidP="00FC5160">
      <w:pPr>
        <w:spacing w:after="0" w:line="240" w:lineRule="auto"/>
        <w:ind w:left="1068"/>
        <w:jc w:val="both"/>
        <w:rPr>
          <w:rFonts w:ascii="Century Gothic" w:hAnsi="Century Gothic" w:cs="Century Gothic"/>
          <w:i/>
          <w:color w:val="262626" w:themeColor="text1" w:themeTint="D9"/>
          <w:sz w:val="20"/>
          <w:szCs w:val="20"/>
        </w:rPr>
      </w:pPr>
    </w:p>
    <w:p w:rsidR="00FC5160" w:rsidRPr="00CE2597" w:rsidRDefault="00FC5160" w:rsidP="00FC5160">
      <w:pPr>
        <w:spacing w:after="0" w:line="240" w:lineRule="auto"/>
        <w:jc w:val="both"/>
        <w:rPr>
          <w:rFonts w:ascii="Century Gothic" w:hAnsi="Century Gothic" w:cs="Century Gothic"/>
          <w:color w:val="262626" w:themeColor="text1" w:themeTint="D9"/>
          <w:sz w:val="24"/>
          <w:szCs w:val="24"/>
        </w:rPr>
      </w:pPr>
    </w:p>
    <w:p w:rsidR="00FC5160" w:rsidRPr="00CE2597" w:rsidRDefault="00FC5160" w:rsidP="00FC5160">
      <w:pPr>
        <w:spacing w:after="0" w:line="240" w:lineRule="auto"/>
        <w:jc w:val="both"/>
        <w:rPr>
          <w:rFonts w:ascii="Century Gothic" w:hAnsi="Century Gothic" w:cs="Century Gothic"/>
          <w:color w:val="262626" w:themeColor="text1" w:themeTint="D9"/>
          <w:sz w:val="24"/>
          <w:szCs w:val="24"/>
        </w:rPr>
      </w:pPr>
      <w:r w:rsidRPr="00CE2597">
        <w:rPr>
          <w:rFonts w:ascii="Century Gothic" w:hAnsi="Century Gothic" w:cs="Century Gothic"/>
          <w:color w:val="262626" w:themeColor="text1" w:themeTint="D9"/>
          <w:sz w:val="24"/>
          <w:szCs w:val="24"/>
        </w:rPr>
        <w:t xml:space="preserve">Arguye el accionado, que conforme a lo anterior, no es procedente acceder a la condena </w:t>
      </w:r>
      <w:r w:rsidR="005023DF" w:rsidRPr="00CE2597">
        <w:rPr>
          <w:rFonts w:ascii="Century Gothic" w:hAnsi="Century Gothic" w:cs="Century Gothic"/>
          <w:color w:val="262626" w:themeColor="text1" w:themeTint="D9"/>
          <w:sz w:val="24"/>
          <w:szCs w:val="24"/>
        </w:rPr>
        <w:t>impuesta</w:t>
      </w:r>
      <w:r w:rsidRPr="00CE2597">
        <w:rPr>
          <w:rFonts w:ascii="Century Gothic" w:hAnsi="Century Gothic" w:cs="Century Gothic"/>
          <w:color w:val="262626" w:themeColor="text1" w:themeTint="D9"/>
          <w:sz w:val="24"/>
          <w:szCs w:val="24"/>
        </w:rPr>
        <w:t xml:space="preserve"> por el juez, considerando que los </w:t>
      </w:r>
      <w:r w:rsidR="005023DF" w:rsidRPr="00CE2597">
        <w:rPr>
          <w:rFonts w:ascii="Century Gothic" w:hAnsi="Century Gothic" w:cs="Century Gothic"/>
          <w:color w:val="262626" w:themeColor="text1" w:themeTint="D9"/>
          <w:sz w:val="24"/>
          <w:szCs w:val="24"/>
        </w:rPr>
        <w:t>únicos</w:t>
      </w:r>
      <w:r w:rsidRPr="00CE2597">
        <w:rPr>
          <w:rFonts w:ascii="Century Gothic" w:hAnsi="Century Gothic" w:cs="Century Gothic"/>
          <w:color w:val="262626" w:themeColor="text1" w:themeTint="D9"/>
          <w:sz w:val="24"/>
          <w:szCs w:val="24"/>
        </w:rPr>
        <w:t xml:space="preserve"> factores salariales que se </w:t>
      </w:r>
      <w:r w:rsidR="005023DF" w:rsidRPr="00CE2597">
        <w:rPr>
          <w:rFonts w:ascii="Century Gothic" w:hAnsi="Century Gothic" w:cs="Century Gothic"/>
          <w:color w:val="262626" w:themeColor="text1" w:themeTint="D9"/>
          <w:sz w:val="24"/>
          <w:szCs w:val="24"/>
        </w:rPr>
        <w:t>deberán</w:t>
      </w:r>
      <w:r w:rsidRPr="00CE2597">
        <w:rPr>
          <w:rFonts w:ascii="Century Gothic" w:hAnsi="Century Gothic" w:cs="Century Gothic"/>
          <w:color w:val="262626" w:themeColor="text1" w:themeTint="D9"/>
          <w:sz w:val="24"/>
          <w:szCs w:val="24"/>
        </w:rPr>
        <w:t xml:space="preserve"> tener en cuenta </w:t>
      </w:r>
      <w:r w:rsidR="005023DF" w:rsidRPr="00CE2597">
        <w:rPr>
          <w:rFonts w:ascii="Century Gothic" w:hAnsi="Century Gothic" w:cs="Century Gothic"/>
          <w:color w:val="262626" w:themeColor="text1" w:themeTint="D9"/>
          <w:sz w:val="24"/>
          <w:szCs w:val="24"/>
        </w:rPr>
        <w:t xml:space="preserve">al momento de determinar el ingreso base de liquidación serán los contemplados en el Decreto 1158 de 1994, siempre y cuando sobre los mismos se hubieran efectuado los aportes al Sistema General de Pensiones. </w:t>
      </w:r>
      <w:r w:rsidRPr="00CE2597">
        <w:rPr>
          <w:rFonts w:ascii="Century Gothic" w:hAnsi="Century Gothic" w:cs="Century Gothic"/>
          <w:color w:val="262626" w:themeColor="text1" w:themeTint="D9"/>
          <w:sz w:val="24"/>
          <w:szCs w:val="24"/>
        </w:rPr>
        <w:t xml:space="preserve"> </w:t>
      </w:r>
    </w:p>
    <w:p w:rsidR="004D3F0A" w:rsidRPr="00CE2597" w:rsidRDefault="004D3F0A" w:rsidP="007C413D">
      <w:pPr>
        <w:spacing w:after="0" w:line="300" w:lineRule="auto"/>
        <w:jc w:val="both"/>
        <w:rPr>
          <w:rFonts w:ascii="Century Gothic" w:hAnsi="Century Gothic" w:cs="Century Gothic"/>
          <w:color w:val="262626" w:themeColor="text1" w:themeTint="D9"/>
          <w:sz w:val="24"/>
          <w:szCs w:val="24"/>
        </w:rPr>
      </w:pPr>
    </w:p>
    <w:p w:rsidR="00FC5160" w:rsidRPr="00CE2597" w:rsidRDefault="004A6183" w:rsidP="004A6183">
      <w:pPr>
        <w:pStyle w:val="Prrafodelista"/>
        <w:numPr>
          <w:ilvl w:val="1"/>
          <w:numId w:val="19"/>
        </w:numPr>
        <w:spacing w:after="0" w:line="300" w:lineRule="auto"/>
        <w:jc w:val="both"/>
        <w:rPr>
          <w:rFonts w:ascii="Century Gothic" w:hAnsi="Century Gothic" w:cs="Century Gothic"/>
          <w:b/>
          <w:color w:val="262626" w:themeColor="text1" w:themeTint="D9"/>
          <w:sz w:val="24"/>
          <w:szCs w:val="24"/>
        </w:rPr>
      </w:pPr>
      <w:r w:rsidRPr="00CE2597">
        <w:rPr>
          <w:rFonts w:ascii="Century Gothic" w:hAnsi="Century Gothic" w:cs="Century Gothic"/>
          <w:b/>
          <w:color w:val="262626" w:themeColor="text1" w:themeTint="D9"/>
          <w:sz w:val="24"/>
          <w:szCs w:val="24"/>
        </w:rPr>
        <w:lastRenderedPageBreak/>
        <w:t>De la parte accionante</w:t>
      </w:r>
      <w:r w:rsidRPr="00CE2597">
        <w:rPr>
          <w:rStyle w:val="Refdenotaalpie"/>
          <w:rFonts w:ascii="Century Gothic" w:hAnsi="Century Gothic" w:cs="Century Gothic"/>
          <w:b/>
          <w:color w:val="262626" w:themeColor="text1" w:themeTint="D9"/>
          <w:sz w:val="24"/>
          <w:szCs w:val="24"/>
        </w:rPr>
        <w:footnoteReference w:id="3"/>
      </w:r>
      <w:r w:rsidR="00A87452" w:rsidRPr="00CE2597">
        <w:rPr>
          <w:rFonts w:ascii="Century Gothic" w:hAnsi="Century Gothic" w:cs="Century Gothic"/>
          <w:b/>
          <w:color w:val="262626" w:themeColor="text1" w:themeTint="D9"/>
          <w:sz w:val="24"/>
          <w:szCs w:val="24"/>
        </w:rPr>
        <w:t xml:space="preserve">. </w:t>
      </w:r>
    </w:p>
    <w:p w:rsidR="007D2F6E" w:rsidRPr="00CE2597" w:rsidRDefault="007D2F6E" w:rsidP="007C413D">
      <w:pPr>
        <w:spacing w:after="0" w:line="300" w:lineRule="auto"/>
        <w:jc w:val="both"/>
        <w:rPr>
          <w:rFonts w:ascii="Century Gothic" w:hAnsi="Century Gothic" w:cs="Century Gothic"/>
          <w:b/>
          <w:bCs/>
          <w:color w:val="262626" w:themeColor="text1" w:themeTint="D9"/>
          <w:sz w:val="24"/>
          <w:szCs w:val="24"/>
        </w:rPr>
      </w:pPr>
    </w:p>
    <w:p w:rsidR="007D2F6E" w:rsidRPr="00CE2597" w:rsidRDefault="007D2F6E" w:rsidP="007C413D">
      <w:pPr>
        <w:spacing w:after="0" w:line="300" w:lineRule="auto"/>
        <w:jc w:val="both"/>
        <w:rPr>
          <w:rFonts w:ascii="Century Gothic" w:hAnsi="Century Gothic" w:cs="Century Gothic"/>
          <w:bCs/>
          <w:color w:val="262626" w:themeColor="text1" w:themeTint="D9"/>
          <w:sz w:val="24"/>
          <w:szCs w:val="24"/>
        </w:rPr>
      </w:pPr>
      <w:r w:rsidRPr="00CE2597">
        <w:rPr>
          <w:rFonts w:ascii="Century Gothic" w:hAnsi="Century Gothic" w:cs="Century Gothic"/>
          <w:bCs/>
          <w:color w:val="262626" w:themeColor="text1" w:themeTint="D9"/>
          <w:sz w:val="24"/>
          <w:szCs w:val="24"/>
        </w:rPr>
        <w:t xml:space="preserve">Manifiesta la parte accionante, mediante escrito de apelación, que difiere del fallo proferido por el Juez de primera instancia, puesto que a la accionante si le asiste el derecho a que se le reconozca la pensión de jubilación de conformidad con el artículo 1 de la ley 33 de 1985. Indica que el A quo desconoció el precedente del Consejo de Estado, establecido en la sentencia de unificación del 04 de agosto de 2010, en el que dispone la liquidación de las pensiones regidas por la ley 33 de 1985, cuya sentencia estableció liquidar la pensión con el promedio del último año de servicio e incluir los factores salariales devengados en el este. </w:t>
      </w:r>
    </w:p>
    <w:p w:rsidR="003D3F70" w:rsidRPr="00CE2597" w:rsidRDefault="003D3F70" w:rsidP="007C413D">
      <w:pPr>
        <w:spacing w:after="0" w:line="300" w:lineRule="auto"/>
        <w:jc w:val="both"/>
        <w:rPr>
          <w:rFonts w:ascii="Century Gothic" w:hAnsi="Century Gothic" w:cs="Century Gothic"/>
          <w:bCs/>
          <w:color w:val="262626" w:themeColor="text1" w:themeTint="D9"/>
          <w:sz w:val="24"/>
          <w:szCs w:val="24"/>
        </w:rPr>
      </w:pPr>
    </w:p>
    <w:p w:rsidR="003D3F70" w:rsidRPr="00CE2597" w:rsidRDefault="003D3F70" w:rsidP="007C413D">
      <w:pPr>
        <w:spacing w:after="0" w:line="300" w:lineRule="auto"/>
        <w:jc w:val="both"/>
        <w:rPr>
          <w:rFonts w:ascii="Century Gothic" w:hAnsi="Century Gothic" w:cs="Century Gothic"/>
          <w:bCs/>
          <w:color w:val="262626" w:themeColor="text1" w:themeTint="D9"/>
          <w:sz w:val="24"/>
          <w:szCs w:val="24"/>
        </w:rPr>
      </w:pPr>
      <w:r w:rsidRPr="00CE2597">
        <w:rPr>
          <w:rFonts w:ascii="Century Gothic" w:hAnsi="Century Gothic" w:cs="Century Gothic"/>
          <w:bCs/>
          <w:color w:val="262626" w:themeColor="text1" w:themeTint="D9"/>
          <w:sz w:val="24"/>
          <w:szCs w:val="24"/>
        </w:rPr>
        <w:t>Argumenta la parte demandante, que al serle aplicado la jurisprudencia Constitucional que aduce el fallo SU 395 de 2017, se le vulnera su derecho a la igualdad, entre otros; ya que al aplicársele la tasa de reemplazo del 75% como empleada oficial sobre su ingreso base de liquidación</w:t>
      </w:r>
      <w:r w:rsidR="006F2E52" w:rsidRPr="00CE2597">
        <w:rPr>
          <w:rFonts w:ascii="Century Gothic" w:hAnsi="Century Gothic" w:cs="Century Gothic"/>
          <w:bCs/>
          <w:color w:val="262626" w:themeColor="text1" w:themeTint="D9"/>
          <w:sz w:val="24"/>
          <w:szCs w:val="24"/>
        </w:rPr>
        <w:t xml:space="preserve"> </w:t>
      </w:r>
      <w:r w:rsidRPr="00CE2597">
        <w:rPr>
          <w:rFonts w:ascii="Century Gothic" w:hAnsi="Century Gothic" w:cs="Century Gothic"/>
          <w:bCs/>
          <w:color w:val="262626" w:themeColor="text1" w:themeTint="D9"/>
          <w:sz w:val="24"/>
          <w:szCs w:val="24"/>
        </w:rPr>
        <w:t xml:space="preserve"> de los últimos 10 años, y no el promedio del último año, hay violación del principio de igualdad y favorabilidad, por cuanto a los trabajadores amparados por el mismo régimen de transición del sector privado se les aplica el 90% de tasa de reemplazo. </w:t>
      </w:r>
    </w:p>
    <w:p w:rsidR="006F2E52" w:rsidRPr="00CE2597" w:rsidRDefault="006F2E52" w:rsidP="007C413D">
      <w:pPr>
        <w:spacing w:after="0" w:line="300" w:lineRule="auto"/>
        <w:jc w:val="both"/>
        <w:rPr>
          <w:rFonts w:ascii="Century Gothic" w:hAnsi="Century Gothic" w:cs="Century Gothic"/>
          <w:bCs/>
          <w:color w:val="262626" w:themeColor="text1" w:themeTint="D9"/>
          <w:sz w:val="24"/>
          <w:szCs w:val="24"/>
        </w:rPr>
      </w:pPr>
    </w:p>
    <w:p w:rsidR="006F2E52" w:rsidRPr="00CE2597" w:rsidRDefault="006F2E52" w:rsidP="007C413D">
      <w:pPr>
        <w:spacing w:after="0" w:line="300" w:lineRule="auto"/>
        <w:jc w:val="both"/>
        <w:rPr>
          <w:rFonts w:ascii="Century Gothic" w:hAnsi="Century Gothic" w:cs="Century Gothic"/>
          <w:bCs/>
          <w:color w:val="262626" w:themeColor="text1" w:themeTint="D9"/>
          <w:sz w:val="24"/>
          <w:szCs w:val="24"/>
        </w:rPr>
      </w:pPr>
      <w:r w:rsidRPr="00CE2597">
        <w:rPr>
          <w:rFonts w:ascii="Century Gothic" w:hAnsi="Century Gothic" w:cs="Century Gothic"/>
          <w:bCs/>
          <w:color w:val="262626" w:themeColor="text1" w:themeTint="D9"/>
          <w:sz w:val="24"/>
          <w:szCs w:val="24"/>
        </w:rPr>
        <w:t xml:space="preserve">Señala que el régimen de transición fue contemplado como un beneficio a favor de quienes reúnan los requisitos, en este caso la accionante a la entrada en vigencia de la ley 100 de 1993 los cumplía. </w:t>
      </w:r>
    </w:p>
    <w:p w:rsidR="00620184" w:rsidRPr="00CE2597" w:rsidRDefault="00620184" w:rsidP="007C413D">
      <w:pPr>
        <w:spacing w:after="0" w:line="300" w:lineRule="auto"/>
        <w:jc w:val="both"/>
        <w:rPr>
          <w:rFonts w:ascii="Century Gothic" w:eastAsia="Calibri" w:hAnsi="Century Gothic" w:cs="Century Gothic"/>
          <w:bCs/>
          <w:color w:val="262626" w:themeColor="text1" w:themeTint="D9"/>
          <w:sz w:val="24"/>
          <w:szCs w:val="24"/>
        </w:rPr>
      </w:pPr>
    </w:p>
    <w:p w:rsidR="00620184" w:rsidRPr="00CE2597" w:rsidRDefault="00620184" w:rsidP="007C413D">
      <w:pPr>
        <w:pStyle w:val="Prrafodelista"/>
        <w:numPr>
          <w:ilvl w:val="0"/>
          <w:numId w:val="19"/>
        </w:numPr>
        <w:spacing w:after="0" w:line="300" w:lineRule="auto"/>
        <w:ind w:left="0" w:firstLine="0"/>
        <w:jc w:val="both"/>
        <w:rPr>
          <w:rFonts w:ascii="Century Gothic" w:hAnsi="Century Gothic" w:cs="Century Gothic"/>
          <w:b/>
          <w:bCs/>
          <w:color w:val="262626" w:themeColor="text1" w:themeTint="D9"/>
          <w:sz w:val="24"/>
          <w:szCs w:val="24"/>
        </w:rPr>
      </w:pPr>
      <w:r w:rsidRPr="00CE2597">
        <w:rPr>
          <w:rFonts w:ascii="Century Gothic" w:hAnsi="Century Gothic" w:cs="Century Gothic"/>
          <w:b/>
          <w:bCs/>
          <w:color w:val="262626" w:themeColor="text1" w:themeTint="D9"/>
          <w:sz w:val="24"/>
          <w:szCs w:val="24"/>
        </w:rPr>
        <w:t xml:space="preserve">Trámite procesal de segunda </w:t>
      </w:r>
      <w:r w:rsidR="003A3EB1" w:rsidRPr="00CE2597">
        <w:rPr>
          <w:rFonts w:ascii="Century Gothic" w:hAnsi="Century Gothic" w:cs="Century Gothic"/>
          <w:b/>
          <w:bCs/>
          <w:color w:val="262626" w:themeColor="text1" w:themeTint="D9"/>
          <w:sz w:val="24"/>
          <w:szCs w:val="24"/>
        </w:rPr>
        <w:t>instancia</w:t>
      </w:r>
      <w:r w:rsidRPr="00CE2597">
        <w:rPr>
          <w:rStyle w:val="Refdenotaalpie"/>
          <w:rFonts w:ascii="Century Gothic" w:hAnsi="Century Gothic" w:cs="Century Gothic"/>
          <w:b/>
          <w:bCs/>
          <w:color w:val="262626" w:themeColor="text1" w:themeTint="D9"/>
          <w:sz w:val="24"/>
          <w:szCs w:val="24"/>
        </w:rPr>
        <w:footnoteReference w:id="4"/>
      </w:r>
      <w:r w:rsidRPr="00CE2597">
        <w:rPr>
          <w:rFonts w:ascii="Century Gothic" w:hAnsi="Century Gothic" w:cs="Century Gothic"/>
          <w:b/>
          <w:bCs/>
          <w:color w:val="262626" w:themeColor="text1" w:themeTint="D9"/>
          <w:sz w:val="24"/>
          <w:szCs w:val="24"/>
        </w:rPr>
        <w:t>.</w:t>
      </w:r>
    </w:p>
    <w:p w:rsidR="00620184" w:rsidRPr="00CE2597" w:rsidRDefault="00620184" w:rsidP="007C413D">
      <w:pPr>
        <w:pStyle w:val="Prrafodelista"/>
        <w:spacing w:after="0" w:line="300" w:lineRule="auto"/>
        <w:ind w:left="0"/>
        <w:jc w:val="both"/>
        <w:rPr>
          <w:rFonts w:ascii="Century Gothic" w:hAnsi="Century Gothic" w:cs="Century Gothic"/>
          <w:b/>
          <w:bCs/>
          <w:color w:val="262626" w:themeColor="text1" w:themeTint="D9"/>
          <w:sz w:val="24"/>
          <w:szCs w:val="24"/>
        </w:rPr>
      </w:pPr>
    </w:p>
    <w:p w:rsidR="00620184" w:rsidRPr="00CE2597" w:rsidRDefault="00620184" w:rsidP="007C413D">
      <w:pPr>
        <w:pStyle w:val="Prrafodelista"/>
        <w:spacing w:after="0" w:line="300" w:lineRule="auto"/>
        <w:ind w:left="0"/>
        <w:jc w:val="both"/>
        <w:rPr>
          <w:rFonts w:ascii="Century Gothic" w:hAnsi="Century Gothic" w:cs="Century Gothic"/>
          <w:color w:val="262626" w:themeColor="text1" w:themeTint="D9"/>
          <w:sz w:val="24"/>
          <w:szCs w:val="24"/>
        </w:rPr>
      </w:pPr>
      <w:r w:rsidRPr="00CE2597">
        <w:rPr>
          <w:rFonts w:ascii="Century Gothic" w:hAnsi="Century Gothic" w:cs="Century Gothic"/>
          <w:color w:val="262626" w:themeColor="text1" w:themeTint="D9"/>
          <w:sz w:val="24"/>
          <w:szCs w:val="24"/>
        </w:rPr>
        <w:t>Mediante auto de fecha</w:t>
      </w:r>
      <w:r w:rsidR="00904A38" w:rsidRPr="00CE2597">
        <w:rPr>
          <w:rFonts w:ascii="Century Gothic" w:hAnsi="Century Gothic" w:cs="Century Gothic"/>
          <w:color w:val="262626" w:themeColor="text1" w:themeTint="D9"/>
          <w:sz w:val="24"/>
          <w:szCs w:val="24"/>
        </w:rPr>
        <w:t xml:space="preserve"> tres (03) de abril de dos mil diecinueve (2019)</w:t>
      </w:r>
      <w:r w:rsidRPr="00CE2597">
        <w:rPr>
          <w:rFonts w:ascii="Century Gothic" w:hAnsi="Century Gothic" w:cs="Century Gothic"/>
          <w:color w:val="262626" w:themeColor="text1" w:themeTint="D9"/>
          <w:sz w:val="24"/>
          <w:szCs w:val="24"/>
        </w:rPr>
        <w:t>, se admitió el recurso de apelación presentado por la parte demandada</w:t>
      </w:r>
      <w:r w:rsidR="00904A38" w:rsidRPr="00CE2597">
        <w:rPr>
          <w:rFonts w:ascii="Century Gothic" w:hAnsi="Century Gothic" w:cs="Century Gothic"/>
          <w:color w:val="262626" w:themeColor="text1" w:themeTint="D9"/>
          <w:sz w:val="24"/>
          <w:szCs w:val="24"/>
        </w:rPr>
        <w:t xml:space="preserve"> y la parte demandante</w:t>
      </w:r>
      <w:r w:rsidRPr="00CE2597">
        <w:rPr>
          <w:rFonts w:ascii="Century Gothic" w:hAnsi="Century Gothic" w:cs="Century Gothic"/>
          <w:color w:val="262626" w:themeColor="text1" w:themeTint="D9"/>
          <w:sz w:val="24"/>
          <w:szCs w:val="24"/>
        </w:rPr>
        <w:t>, por medio de auto de fecha dos (02) de mayo de dos mil diecinueve (2019), se ordenó correr traslado para alegar de conclusión y para que el Ministerio Público rindiera concepto.</w:t>
      </w:r>
    </w:p>
    <w:p w:rsidR="00620184" w:rsidRPr="00CE2597" w:rsidRDefault="00620184" w:rsidP="007C413D">
      <w:pPr>
        <w:pStyle w:val="Prrafodelista"/>
        <w:spacing w:after="0" w:line="300" w:lineRule="auto"/>
        <w:ind w:left="0"/>
        <w:jc w:val="both"/>
        <w:rPr>
          <w:rFonts w:ascii="Century Gothic" w:hAnsi="Century Gothic" w:cs="Century Gothic"/>
          <w:color w:val="262626" w:themeColor="text1" w:themeTint="D9"/>
          <w:sz w:val="24"/>
          <w:szCs w:val="24"/>
        </w:rPr>
      </w:pPr>
    </w:p>
    <w:p w:rsidR="00620184" w:rsidRPr="00CE2597" w:rsidRDefault="003A3EB1" w:rsidP="007C413D">
      <w:pPr>
        <w:pStyle w:val="Prrafodelista"/>
        <w:numPr>
          <w:ilvl w:val="0"/>
          <w:numId w:val="19"/>
        </w:numPr>
        <w:spacing w:after="0" w:line="300" w:lineRule="auto"/>
        <w:jc w:val="both"/>
        <w:rPr>
          <w:rFonts w:ascii="Century Gothic" w:hAnsi="Century Gothic" w:cs="Century Gothic"/>
          <w:b/>
          <w:bCs/>
          <w:color w:val="262626" w:themeColor="text1" w:themeTint="D9"/>
          <w:sz w:val="24"/>
          <w:szCs w:val="24"/>
        </w:rPr>
      </w:pPr>
      <w:r w:rsidRPr="00CE2597">
        <w:rPr>
          <w:rFonts w:ascii="Century Gothic" w:hAnsi="Century Gothic" w:cs="Century Gothic"/>
          <w:b/>
          <w:bCs/>
          <w:color w:val="262626" w:themeColor="text1" w:themeTint="D9"/>
          <w:sz w:val="24"/>
          <w:szCs w:val="24"/>
        </w:rPr>
        <w:t>Alegatos de conclusión</w:t>
      </w:r>
      <w:r w:rsidR="00620184" w:rsidRPr="00CE2597">
        <w:rPr>
          <w:rFonts w:ascii="Century Gothic" w:hAnsi="Century Gothic" w:cs="Century Gothic"/>
          <w:b/>
          <w:bCs/>
          <w:color w:val="262626" w:themeColor="text1" w:themeTint="D9"/>
          <w:sz w:val="24"/>
          <w:szCs w:val="24"/>
        </w:rPr>
        <w:t>.</w:t>
      </w:r>
    </w:p>
    <w:p w:rsidR="00620184" w:rsidRPr="00CE2597" w:rsidRDefault="00620184" w:rsidP="007C413D">
      <w:pPr>
        <w:pStyle w:val="Prrafodelista"/>
        <w:numPr>
          <w:ilvl w:val="1"/>
          <w:numId w:val="19"/>
        </w:numPr>
        <w:spacing w:after="0" w:line="300" w:lineRule="auto"/>
        <w:ind w:left="567" w:hanging="567"/>
        <w:jc w:val="both"/>
        <w:rPr>
          <w:rFonts w:ascii="Century Gothic" w:hAnsi="Century Gothic" w:cs="Century Gothic"/>
          <w:b/>
          <w:bCs/>
          <w:color w:val="262626" w:themeColor="text1" w:themeTint="D9"/>
          <w:sz w:val="24"/>
          <w:szCs w:val="24"/>
        </w:rPr>
      </w:pPr>
      <w:r w:rsidRPr="00CE2597">
        <w:rPr>
          <w:rFonts w:ascii="Century Gothic" w:hAnsi="Century Gothic" w:cs="Century Gothic"/>
          <w:b/>
          <w:bCs/>
          <w:color w:val="262626" w:themeColor="text1" w:themeTint="D9"/>
          <w:sz w:val="24"/>
          <w:szCs w:val="24"/>
        </w:rPr>
        <w:lastRenderedPageBreak/>
        <w:t>Parte demanda</w:t>
      </w:r>
      <w:r w:rsidR="00904A38" w:rsidRPr="00CE2597">
        <w:rPr>
          <w:rFonts w:ascii="Century Gothic" w:hAnsi="Century Gothic" w:cs="Century Gothic"/>
          <w:b/>
          <w:bCs/>
          <w:color w:val="262626" w:themeColor="text1" w:themeTint="D9"/>
          <w:sz w:val="24"/>
          <w:szCs w:val="24"/>
        </w:rPr>
        <w:t>nte</w:t>
      </w:r>
      <w:r w:rsidRPr="00CE2597">
        <w:rPr>
          <w:rStyle w:val="Refdenotaalpie"/>
          <w:rFonts w:ascii="Century Gothic" w:hAnsi="Century Gothic" w:cs="Century Gothic"/>
          <w:b/>
          <w:bCs/>
          <w:color w:val="262626" w:themeColor="text1" w:themeTint="D9"/>
          <w:sz w:val="24"/>
          <w:szCs w:val="24"/>
        </w:rPr>
        <w:footnoteReference w:id="5"/>
      </w:r>
      <w:r w:rsidRPr="00CE2597">
        <w:rPr>
          <w:rFonts w:ascii="Century Gothic" w:hAnsi="Century Gothic" w:cs="Century Gothic"/>
          <w:b/>
          <w:bCs/>
          <w:color w:val="262626" w:themeColor="text1" w:themeTint="D9"/>
          <w:sz w:val="24"/>
          <w:szCs w:val="24"/>
        </w:rPr>
        <w:t>.</w:t>
      </w:r>
    </w:p>
    <w:p w:rsidR="00F0103A" w:rsidRPr="00CE2597" w:rsidRDefault="00F0103A" w:rsidP="00F0103A">
      <w:pPr>
        <w:pStyle w:val="Prrafodelista"/>
        <w:spacing w:after="0" w:line="300" w:lineRule="auto"/>
        <w:ind w:left="567"/>
        <w:jc w:val="both"/>
        <w:rPr>
          <w:rFonts w:ascii="Century Gothic" w:hAnsi="Century Gothic" w:cs="Century Gothic"/>
          <w:b/>
          <w:bCs/>
          <w:color w:val="262626" w:themeColor="text1" w:themeTint="D9"/>
          <w:sz w:val="24"/>
          <w:szCs w:val="24"/>
        </w:rPr>
      </w:pPr>
    </w:p>
    <w:p w:rsidR="00904A38" w:rsidRPr="00CE2597" w:rsidRDefault="00620184" w:rsidP="007C413D">
      <w:pPr>
        <w:spacing w:after="0" w:line="300" w:lineRule="auto"/>
        <w:jc w:val="both"/>
        <w:rPr>
          <w:rFonts w:ascii="Century Gothic" w:hAnsi="Century Gothic" w:cs="Century Gothic"/>
          <w:color w:val="262626" w:themeColor="text1" w:themeTint="D9"/>
          <w:sz w:val="24"/>
          <w:szCs w:val="24"/>
        </w:rPr>
      </w:pPr>
      <w:r w:rsidRPr="00CE2597">
        <w:rPr>
          <w:rFonts w:ascii="Century Gothic" w:hAnsi="Century Gothic" w:cs="Century Gothic"/>
          <w:color w:val="262626" w:themeColor="text1" w:themeTint="D9"/>
          <w:sz w:val="24"/>
          <w:szCs w:val="24"/>
        </w:rPr>
        <w:t xml:space="preserve">La </w:t>
      </w:r>
      <w:r w:rsidR="003A3EB1" w:rsidRPr="00CE2597">
        <w:rPr>
          <w:rFonts w:ascii="Century Gothic" w:hAnsi="Century Gothic" w:cs="Century Gothic"/>
          <w:color w:val="262626" w:themeColor="text1" w:themeTint="D9"/>
          <w:sz w:val="24"/>
          <w:szCs w:val="24"/>
        </w:rPr>
        <w:t>parte acciona</w:t>
      </w:r>
      <w:r w:rsidR="00904A38" w:rsidRPr="00CE2597">
        <w:rPr>
          <w:rFonts w:ascii="Century Gothic" w:hAnsi="Century Gothic" w:cs="Century Gothic"/>
          <w:color w:val="262626" w:themeColor="text1" w:themeTint="D9"/>
          <w:sz w:val="24"/>
          <w:szCs w:val="24"/>
        </w:rPr>
        <w:t xml:space="preserve">nte solicita se verifique y se estudie la normatividad más favorable, porque si bien </w:t>
      </w:r>
      <w:proofErr w:type="spellStart"/>
      <w:r w:rsidR="00904A38" w:rsidRPr="00CE2597">
        <w:rPr>
          <w:rFonts w:ascii="Century Gothic" w:hAnsi="Century Gothic" w:cs="Century Gothic"/>
          <w:color w:val="262626" w:themeColor="text1" w:themeTint="D9"/>
          <w:sz w:val="24"/>
          <w:szCs w:val="24"/>
        </w:rPr>
        <w:t>Colpensiones</w:t>
      </w:r>
      <w:proofErr w:type="spellEnd"/>
      <w:r w:rsidR="00904A38" w:rsidRPr="00CE2597">
        <w:rPr>
          <w:rFonts w:ascii="Century Gothic" w:hAnsi="Century Gothic" w:cs="Century Gothic"/>
          <w:color w:val="262626" w:themeColor="text1" w:themeTint="D9"/>
          <w:sz w:val="24"/>
          <w:szCs w:val="24"/>
        </w:rPr>
        <w:t xml:space="preserve"> la pensionó con la ley 33 de 1985, el A quo ordena la reliquidación en base a la ley 100 de 1993, es necesario que se tenga en cuenta la norma </w:t>
      </w:r>
      <w:r w:rsidR="00D16D45" w:rsidRPr="00CE2597">
        <w:rPr>
          <w:rFonts w:ascii="Century Gothic" w:hAnsi="Century Gothic" w:cs="Century Gothic"/>
          <w:color w:val="262626" w:themeColor="text1" w:themeTint="D9"/>
          <w:sz w:val="24"/>
          <w:szCs w:val="24"/>
        </w:rPr>
        <w:t>más</w:t>
      </w:r>
      <w:r w:rsidR="00904A38" w:rsidRPr="00CE2597">
        <w:rPr>
          <w:rFonts w:ascii="Century Gothic" w:hAnsi="Century Gothic" w:cs="Century Gothic"/>
          <w:color w:val="262626" w:themeColor="text1" w:themeTint="D9"/>
          <w:sz w:val="24"/>
          <w:szCs w:val="24"/>
        </w:rPr>
        <w:t xml:space="preserve"> favorable. </w:t>
      </w:r>
    </w:p>
    <w:p w:rsidR="00904A38" w:rsidRPr="00CE2597" w:rsidRDefault="00904A38" w:rsidP="007C413D">
      <w:pPr>
        <w:spacing w:after="0" w:line="300" w:lineRule="auto"/>
        <w:jc w:val="both"/>
        <w:rPr>
          <w:rFonts w:ascii="Century Gothic" w:hAnsi="Century Gothic" w:cs="Century Gothic"/>
          <w:color w:val="262626" w:themeColor="text1" w:themeTint="D9"/>
          <w:sz w:val="24"/>
          <w:szCs w:val="24"/>
        </w:rPr>
      </w:pPr>
    </w:p>
    <w:p w:rsidR="00887706" w:rsidRPr="00CE2597" w:rsidRDefault="00D16D45" w:rsidP="00F44A17">
      <w:pPr>
        <w:pStyle w:val="Prrafodelista"/>
        <w:numPr>
          <w:ilvl w:val="1"/>
          <w:numId w:val="19"/>
        </w:numPr>
        <w:tabs>
          <w:tab w:val="left" w:pos="0"/>
        </w:tabs>
        <w:spacing w:after="0" w:line="300" w:lineRule="auto"/>
        <w:ind w:left="0" w:firstLine="0"/>
        <w:jc w:val="both"/>
        <w:rPr>
          <w:rFonts w:ascii="Century Gothic" w:hAnsi="Century Gothic" w:cs="Arial"/>
          <w:b/>
          <w:color w:val="262626" w:themeColor="text1" w:themeTint="D9"/>
          <w:sz w:val="24"/>
          <w:szCs w:val="24"/>
        </w:rPr>
      </w:pPr>
      <w:r w:rsidRPr="00CE2597">
        <w:rPr>
          <w:rFonts w:ascii="Century Gothic" w:hAnsi="Century Gothic" w:cs="Arial"/>
          <w:b/>
          <w:color w:val="262626" w:themeColor="text1" w:themeTint="D9"/>
          <w:sz w:val="24"/>
          <w:szCs w:val="24"/>
        </w:rPr>
        <w:t>Parte demandada</w:t>
      </w:r>
      <w:r w:rsidRPr="00CE2597">
        <w:rPr>
          <w:rStyle w:val="Refdenotaalpie"/>
          <w:rFonts w:ascii="Century Gothic" w:hAnsi="Century Gothic" w:cs="Arial"/>
          <w:b/>
          <w:color w:val="262626" w:themeColor="text1" w:themeTint="D9"/>
          <w:sz w:val="24"/>
          <w:szCs w:val="24"/>
        </w:rPr>
        <w:footnoteReference w:id="6"/>
      </w:r>
      <w:r w:rsidRPr="00CE2597">
        <w:rPr>
          <w:rFonts w:ascii="Century Gothic" w:hAnsi="Century Gothic" w:cs="Arial"/>
          <w:b/>
          <w:color w:val="262626" w:themeColor="text1" w:themeTint="D9"/>
          <w:sz w:val="24"/>
          <w:szCs w:val="24"/>
        </w:rPr>
        <w:t>.</w:t>
      </w:r>
    </w:p>
    <w:p w:rsidR="00D16D45" w:rsidRPr="00CE2597" w:rsidRDefault="00D16D45" w:rsidP="00D16D45">
      <w:pPr>
        <w:spacing w:after="0" w:line="300" w:lineRule="auto"/>
        <w:jc w:val="both"/>
        <w:rPr>
          <w:rFonts w:ascii="Century Gothic" w:hAnsi="Century Gothic" w:cs="Arial"/>
          <w:b/>
          <w:color w:val="262626" w:themeColor="text1" w:themeTint="D9"/>
          <w:sz w:val="24"/>
          <w:szCs w:val="24"/>
        </w:rPr>
      </w:pPr>
    </w:p>
    <w:p w:rsidR="00D16D45" w:rsidRPr="00CE2597" w:rsidRDefault="00D16D45" w:rsidP="00D16D45">
      <w:pPr>
        <w:spacing w:after="0" w:line="300" w:lineRule="auto"/>
        <w:jc w:val="both"/>
        <w:rPr>
          <w:rFonts w:ascii="Century Gothic" w:hAnsi="Century Gothic" w:cs="Arial"/>
          <w:color w:val="262626" w:themeColor="text1" w:themeTint="D9"/>
          <w:sz w:val="24"/>
          <w:szCs w:val="24"/>
        </w:rPr>
      </w:pPr>
      <w:r w:rsidRPr="00CE2597">
        <w:rPr>
          <w:rFonts w:ascii="Century Gothic" w:hAnsi="Century Gothic" w:cs="Arial"/>
          <w:color w:val="262626" w:themeColor="text1" w:themeTint="D9"/>
          <w:sz w:val="24"/>
          <w:szCs w:val="24"/>
        </w:rPr>
        <w:t xml:space="preserve">La parte accionada, solicita se revoque la sentencia de primera instancia y se denieguen las pretensiones de la demanda. </w:t>
      </w:r>
    </w:p>
    <w:p w:rsidR="00D16D45" w:rsidRPr="00CE2597" w:rsidRDefault="00D16D45" w:rsidP="00D16D45">
      <w:pPr>
        <w:spacing w:after="0" w:line="300" w:lineRule="auto"/>
        <w:jc w:val="both"/>
        <w:rPr>
          <w:rFonts w:ascii="Century Gothic" w:hAnsi="Century Gothic" w:cs="Arial"/>
          <w:b/>
          <w:color w:val="262626" w:themeColor="text1" w:themeTint="D9"/>
          <w:sz w:val="24"/>
          <w:szCs w:val="24"/>
        </w:rPr>
      </w:pPr>
    </w:p>
    <w:p w:rsidR="00717461" w:rsidRPr="00CE2597" w:rsidRDefault="0039294E" w:rsidP="007C413D">
      <w:pPr>
        <w:spacing w:after="0" w:line="300" w:lineRule="auto"/>
        <w:jc w:val="center"/>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IV</w:t>
      </w:r>
      <w:r w:rsidR="00717461" w:rsidRPr="00CE2597">
        <w:rPr>
          <w:rFonts w:ascii="Century Gothic" w:eastAsia="Times New Roman" w:hAnsi="Century Gothic" w:cs="Century Gothic"/>
          <w:b/>
          <w:bCs/>
          <w:color w:val="262626" w:themeColor="text1" w:themeTint="D9"/>
          <w:sz w:val="24"/>
          <w:szCs w:val="24"/>
        </w:rPr>
        <w:t>. CONTROL DE LEGALIDAD</w:t>
      </w:r>
    </w:p>
    <w:p w:rsidR="00717461" w:rsidRPr="00CE2597" w:rsidRDefault="00717461" w:rsidP="007C413D">
      <w:pPr>
        <w:spacing w:after="0" w:line="300" w:lineRule="auto"/>
        <w:jc w:val="both"/>
        <w:rPr>
          <w:rFonts w:ascii="Century Gothic" w:eastAsia="Calibri" w:hAnsi="Century Gothic" w:cs="Calibri"/>
          <w:color w:val="262626" w:themeColor="text1" w:themeTint="D9"/>
          <w:sz w:val="24"/>
          <w:szCs w:val="24"/>
          <w:lang w:val="es-CO"/>
        </w:rPr>
      </w:pPr>
    </w:p>
    <w:p w:rsidR="003A3EB1" w:rsidRPr="00CE2597" w:rsidRDefault="003A3EB1" w:rsidP="007C413D">
      <w:pPr>
        <w:spacing w:after="0" w:line="300" w:lineRule="auto"/>
        <w:jc w:val="both"/>
        <w:rPr>
          <w:rFonts w:ascii="Century Gothic" w:hAnsi="Century Gothic" w:cs="Century Gothic"/>
          <w:color w:val="262626" w:themeColor="text1" w:themeTint="D9"/>
          <w:sz w:val="24"/>
          <w:szCs w:val="24"/>
          <w:lang w:val="es-ES_tradnl"/>
        </w:rPr>
      </w:pPr>
      <w:r w:rsidRPr="00CE2597">
        <w:rPr>
          <w:rFonts w:ascii="Century Gothic" w:hAnsi="Century Gothic" w:cs="Century Gothic"/>
          <w:color w:val="262626" w:themeColor="text1" w:themeTint="D9"/>
          <w:sz w:val="24"/>
          <w:szCs w:val="24"/>
          <w:lang w:val="es-CO"/>
        </w:rPr>
        <w:t>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irregularidades que acarreen la nulidad del proceso o impidan proferir decisión de fondo, se procede a resolver la alzada.</w:t>
      </w:r>
      <w:r w:rsidR="00A26D96" w:rsidRPr="00CE2597">
        <w:rPr>
          <w:rFonts w:ascii="Century Gothic" w:hAnsi="Century Gothic" w:cs="Century Gothic"/>
          <w:color w:val="262626" w:themeColor="text1" w:themeTint="D9"/>
          <w:sz w:val="24"/>
          <w:szCs w:val="24"/>
          <w:lang w:val="es-CO"/>
        </w:rPr>
        <w:t xml:space="preserve"> </w:t>
      </w:r>
      <w:r w:rsidRPr="00CE2597">
        <w:rPr>
          <w:rFonts w:ascii="Century Gothic" w:hAnsi="Century Gothic" w:cs="Century Gothic"/>
          <w:color w:val="262626" w:themeColor="text1" w:themeTint="D9"/>
          <w:sz w:val="24"/>
          <w:szCs w:val="24"/>
          <w:lang w:val="es-ES_tradnl"/>
        </w:rPr>
        <w:t xml:space="preserve"> </w:t>
      </w:r>
    </w:p>
    <w:p w:rsidR="003A3EB1" w:rsidRPr="00CE2597" w:rsidRDefault="003A3EB1" w:rsidP="007C413D">
      <w:pPr>
        <w:spacing w:after="0" w:line="300" w:lineRule="auto"/>
        <w:jc w:val="both"/>
        <w:rPr>
          <w:rFonts w:ascii="Century Gothic" w:hAnsi="Century Gothic" w:cs="Century Gothic"/>
          <w:color w:val="262626" w:themeColor="text1" w:themeTint="D9"/>
          <w:sz w:val="24"/>
          <w:szCs w:val="24"/>
          <w:lang w:val="es-ES_tradnl"/>
        </w:rPr>
      </w:pPr>
    </w:p>
    <w:p w:rsidR="003A3EB1" w:rsidRPr="00CE2597" w:rsidRDefault="003A3EB1" w:rsidP="00F47DE1">
      <w:pPr>
        <w:spacing w:after="0" w:line="300" w:lineRule="auto"/>
        <w:jc w:val="center"/>
        <w:rPr>
          <w:rFonts w:ascii="Century Gothic" w:hAnsi="Century Gothic" w:cs="Century Gothic"/>
          <w:b/>
          <w:bCs/>
          <w:color w:val="262626" w:themeColor="text1" w:themeTint="D9"/>
          <w:sz w:val="24"/>
          <w:szCs w:val="24"/>
          <w:lang w:val="es-CO"/>
        </w:rPr>
      </w:pPr>
      <w:r w:rsidRPr="00CE2597">
        <w:rPr>
          <w:rFonts w:ascii="Century Gothic" w:hAnsi="Century Gothic" w:cs="Century Gothic"/>
          <w:b/>
          <w:bCs/>
          <w:color w:val="262626" w:themeColor="text1" w:themeTint="D9"/>
          <w:sz w:val="24"/>
          <w:szCs w:val="24"/>
          <w:lang w:val="es-CO"/>
        </w:rPr>
        <w:t>V.  CONSIDERACIONES</w:t>
      </w:r>
    </w:p>
    <w:p w:rsidR="003A3EB1" w:rsidRPr="00CE2597" w:rsidRDefault="003A3EB1" w:rsidP="007C413D">
      <w:pPr>
        <w:spacing w:after="0" w:line="300" w:lineRule="auto"/>
        <w:jc w:val="center"/>
        <w:rPr>
          <w:rFonts w:ascii="Century Gothic" w:hAnsi="Century Gothic" w:cs="Century Gothic"/>
          <w:b/>
          <w:bCs/>
          <w:color w:val="262626" w:themeColor="text1" w:themeTint="D9"/>
          <w:sz w:val="24"/>
          <w:szCs w:val="24"/>
          <w:lang w:val="es-CO"/>
        </w:rPr>
      </w:pPr>
    </w:p>
    <w:p w:rsidR="003A3EB1" w:rsidRPr="00CE2597" w:rsidRDefault="003A3EB1" w:rsidP="007C413D">
      <w:pPr>
        <w:pStyle w:val="Prrafodelista"/>
        <w:widowControl w:val="0"/>
        <w:numPr>
          <w:ilvl w:val="0"/>
          <w:numId w:val="22"/>
        </w:numPr>
        <w:tabs>
          <w:tab w:val="left" w:pos="142"/>
        </w:tabs>
        <w:autoSpaceDE w:val="0"/>
        <w:autoSpaceDN w:val="0"/>
        <w:adjustRightInd w:val="0"/>
        <w:spacing w:after="0" w:line="300" w:lineRule="auto"/>
        <w:ind w:left="0" w:firstLine="0"/>
        <w:jc w:val="both"/>
        <w:rPr>
          <w:rFonts w:ascii="Century Gothic" w:hAnsi="Century Gothic" w:cs="Century Gothic"/>
          <w:b/>
          <w:bCs/>
          <w:color w:val="262626" w:themeColor="text1" w:themeTint="D9"/>
          <w:sz w:val="24"/>
          <w:szCs w:val="24"/>
        </w:rPr>
      </w:pPr>
      <w:r w:rsidRPr="00CE2597">
        <w:rPr>
          <w:rFonts w:ascii="Century Gothic" w:hAnsi="Century Gothic" w:cs="Century Gothic"/>
          <w:b/>
          <w:bCs/>
          <w:color w:val="262626" w:themeColor="text1" w:themeTint="D9"/>
          <w:sz w:val="24"/>
          <w:szCs w:val="24"/>
        </w:rPr>
        <w:t>Competencia</w:t>
      </w:r>
    </w:p>
    <w:p w:rsidR="003A3EB1" w:rsidRPr="00CE2597" w:rsidRDefault="003A3EB1" w:rsidP="007C413D">
      <w:pPr>
        <w:widowControl w:val="0"/>
        <w:autoSpaceDE w:val="0"/>
        <w:autoSpaceDN w:val="0"/>
        <w:adjustRightInd w:val="0"/>
        <w:spacing w:after="0" w:line="300" w:lineRule="auto"/>
        <w:jc w:val="both"/>
        <w:rPr>
          <w:rFonts w:ascii="Century Gothic" w:hAnsi="Century Gothic" w:cs="Century Gothic"/>
          <w:color w:val="262626" w:themeColor="text1" w:themeTint="D9"/>
          <w:sz w:val="24"/>
          <w:szCs w:val="24"/>
          <w:lang w:eastAsia="es-ES"/>
        </w:rPr>
      </w:pPr>
    </w:p>
    <w:p w:rsidR="003A3EB1" w:rsidRPr="00CE2597" w:rsidRDefault="003A3EB1" w:rsidP="007C413D">
      <w:pPr>
        <w:widowControl w:val="0"/>
        <w:autoSpaceDE w:val="0"/>
        <w:autoSpaceDN w:val="0"/>
        <w:adjustRightInd w:val="0"/>
        <w:spacing w:after="0" w:line="300" w:lineRule="auto"/>
        <w:jc w:val="both"/>
        <w:rPr>
          <w:rFonts w:ascii="Century Gothic" w:hAnsi="Century Gothic" w:cs="Century Gothic"/>
          <w:color w:val="262626" w:themeColor="text1" w:themeTint="D9"/>
          <w:sz w:val="24"/>
          <w:szCs w:val="24"/>
          <w:lang w:eastAsia="es-ES"/>
        </w:rPr>
      </w:pPr>
      <w:r w:rsidRPr="00CE2597">
        <w:rPr>
          <w:rFonts w:ascii="Century Gothic" w:hAnsi="Century Gothic" w:cs="Century Gothic"/>
          <w:color w:val="262626" w:themeColor="text1" w:themeTint="D9"/>
          <w:sz w:val="24"/>
          <w:szCs w:val="24"/>
          <w:lang w:eastAsia="es-ES"/>
        </w:rPr>
        <w:t>De conformidad con lo dispuesto en el artículo 153 del CPACA, este Tribunal Administrativo es competente para conocer en segunda instancia de las apelaciones de las sentencias proferidas en primera instancia por los jueces administrativos.</w:t>
      </w:r>
    </w:p>
    <w:p w:rsidR="00F55E3E" w:rsidRPr="00CE2597"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p>
    <w:p w:rsidR="00F55E3E" w:rsidRPr="00CE2597"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2. Problema jurídico</w:t>
      </w:r>
    </w:p>
    <w:p w:rsidR="00F55E3E" w:rsidRPr="00CE2597"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p>
    <w:p w:rsidR="00F55E3E" w:rsidRPr="00CE2597" w:rsidRDefault="00F55E3E" w:rsidP="007C413D">
      <w:pPr>
        <w:spacing w:after="0" w:line="300" w:lineRule="auto"/>
        <w:jc w:val="both"/>
        <w:rPr>
          <w:rFonts w:ascii="Century Gothic" w:eastAsia="Times New Roman" w:hAnsi="Century Gothic" w:cs="Century Gothic"/>
          <w:bCs/>
          <w:color w:val="262626" w:themeColor="text1" w:themeTint="D9"/>
          <w:sz w:val="24"/>
          <w:szCs w:val="24"/>
        </w:rPr>
      </w:pPr>
      <w:r w:rsidRPr="00CE2597">
        <w:rPr>
          <w:rFonts w:ascii="Century Gothic" w:eastAsia="Times New Roman" w:hAnsi="Century Gothic" w:cs="Century Gothic"/>
          <w:bCs/>
          <w:color w:val="262626" w:themeColor="text1" w:themeTint="D9"/>
          <w:sz w:val="24"/>
          <w:szCs w:val="24"/>
        </w:rPr>
        <w:lastRenderedPageBreak/>
        <w:t>Teniendo en cuenta el objeto del recurso de apelación interpuesto por la parte demandada, se deberá resolver el siguiente problema jurídico:</w:t>
      </w:r>
    </w:p>
    <w:p w:rsidR="00D23420" w:rsidRPr="00CE2597" w:rsidRDefault="00D23420" w:rsidP="007C413D">
      <w:pPr>
        <w:pStyle w:val="Prrafodelista"/>
        <w:spacing w:after="0" w:line="300" w:lineRule="auto"/>
        <w:ind w:left="0"/>
        <w:jc w:val="both"/>
        <w:rPr>
          <w:rFonts w:ascii="Century Gothic" w:eastAsia="Times New Roman" w:hAnsi="Century Gothic" w:cs="Century Gothic"/>
          <w:bCs/>
          <w:color w:val="262626" w:themeColor="text1" w:themeTint="D9"/>
          <w:sz w:val="24"/>
          <w:szCs w:val="24"/>
        </w:rPr>
      </w:pPr>
    </w:p>
    <w:p w:rsidR="00D23420" w:rsidRPr="00CE2597" w:rsidRDefault="00F55E3E" w:rsidP="007C413D">
      <w:pPr>
        <w:pStyle w:val="Prrafodelista"/>
        <w:spacing w:after="0" w:line="300" w:lineRule="auto"/>
        <w:ind w:left="0"/>
        <w:jc w:val="both"/>
        <w:rPr>
          <w:rFonts w:ascii="Century Gothic" w:eastAsia="Times New Roman" w:hAnsi="Century Gothic" w:cs="Century Gothic"/>
          <w:bCs/>
          <w:i/>
          <w:color w:val="262626" w:themeColor="text1" w:themeTint="D9"/>
          <w:sz w:val="24"/>
          <w:szCs w:val="24"/>
        </w:rPr>
      </w:pPr>
      <w:r w:rsidRPr="00CE2597">
        <w:rPr>
          <w:rFonts w:ascii="Century Gothic" w:eastAsia="Times New Roman" w:hAnsi="Century Gothic" w:cs="Century Gothic"/>
          <w:bCs/>
          <w:i/>
          <w:color w:val="262626" w:themeColor="text1" w:themeTint="D9"/>
          <w:sz w:val="24"/>
          <w:szCs w:val="24"/>
        </w:rPr>
        <w:t>¿Es procedente que</w:t>
      </w:r>
      <w:r w:rsidR="006D1159">
        <w:rPr>
          <w:rFonts w:ascii="Century Gothic" w:eastAsia="Times New Roman" w:hAnsi="Century Gothic" w:cs="Century Gothic"/>
          <w:bCs/>
          <w:i/>
          <w:color w:val="262626" w:themeColor="text1" w:themeTint="D9"/>
          <w:sz w:val="24"/>
          <w:szCs w:val="24"/>
        </w:rPr>
        <w:t xml:space="preserve"> COLPENSIONES</w:t>
      </w:r>
      <w:r w:rsidRPr="00CE2597">
        <w:rPr>
          <w:rFonts w:ascii="Century Gothic" w:eastAsia="Times New Roman" w:hAnsi="Century Gothic" w:cs="Century Gothic"/>
          <w:bCs/>
          <w:i/>
          <w:color w:val="262626" w:themeColor="text1" w:themeTint="D9"/>
          <w:sz w:val="24"/>
          <w:szCs w:val="24"/>
        </w:rPr>
        <w:t xml:space="preserve">, </w:t>
      </w:r>
      <w:proofErr w:type="spellStart"/>
      <w:r w:rsidRPr="00CE2597">
        <w:rPr>
          <w:rFonts w:ascii="Century Gothic" w:eastAsia="Times New Roman" w:hAnsi="Century Gothic" w:cs="Century Gothic"/>
          <w:bCs/>
          <w:i/>
          <w:color w:val="262626" w:themeColor="text1" w:themeTint="D9"/>
          <w:sz w:val="24"/>
          <w:szCs w:val="24"/>
        </w:rPr>
        <w:t>reliq</w:t>
      </w:r>
      <w:r w:rsidR="004733FE" w:rsidRPr="00CE2597">
        <w:rPr>
          <w:rFonts w:ascii="Century Gothic" w:eastAsia="Times New Roman" w:hAnsi="Century Gothic" w:cs="Century Gothic"/>
          <w:bCs/>
          <w:i/>
          <w:color w:val="262626" w:themeColor="text1" w:themeTint="D9"/>
          <w:sz w:val="24"/>
          <w:szCs w:val="24"/>
        </w:rPr>
        <w:t>uide</w:t>
      </w:r>
      <w:proofErr w:type="spellEnd"/>
      <w:r w:rsidR="004733FE" w:rsidRPr="00CE2597">
        <w:rPr>
          <w:rFonts w:ascii="Century Gothic" w:eastAsia="Times New Roman" w:hAnsi="Century Gothic" w:cs="Century Gothic"/>
          <w:bCs/>
          <w:i/>
          <w:color w:val="262626" w:themeColor="text1" w:themeTint="D9"/>
          <w:sz w:val="24"/>
          <w:szCs w:val="24"/>
        </w:rPr>
        <w:t xml:space="preserve"> la pensión de jubilación de la parte</w:t>
      </w:r>
      <w:r w:rsidRPr="00CE2597">
        <w:rPr>
          <w:rFonts w:ascii="Century Gothic" w:eastAsia="Times New Roman" w:hAnsi="Century Gothic" w:cs="Century Gothic"/>
          <w:bCs/>
          <w:i/>
          <w:iCs/>
          <w:color w:val="262626" w:themeColor="text1" w:themeTint="D9"/>
          <w:sz w:val="24"/>
          <w:szCs w:val="24"/>
        </w:rPr>
        <w:t xml:space="preserve"> demandante</w:t>
      </w:r>
      <w:r w:rsidRPr="00CE2597">
        <w:rPr>
          <w:rFonts w:ascii="Century Gothic" w:eastAsia="Times New Roman" w:hAnsi="Century Gothic" w:cs="Century Gothic"/>
          <w:bCs/>
          <w:i/>
          <w:color w:val="262626" w:themeColor="text1" w:themeTint="D9"/>
          <w:sz w:val="24"/>
          <w:szCs w:val="24"/>
        </w:rPr>
        <w:t xml:space="preserve">, </w:t>
      </w:r>
      <w:r w:rsidR="00D23420" w:rsidRPr="00CE2597">
        <w:rPr>
          <w:rFonts w:ascii="Century Gothic" w:eastAsia="Times New Roman" w:hAnsi="Century Gothic" w:cs="Century Gothic"/>
          <w:bCs/>
          <w:i/>
          <w:color w:val="262626" w:themeColor="text1" w:themeTint="D9"/>
          <w:sz w:val="24"/>
          <w:szCs w:val="24"/>
        </w:rPr>
        <w:t xml:space="preserve">incluyendo como factor salarial </w:t>
      </w:r>
      <w:r w:rsidR="00733A2B" w:rsidRPr="00CE2597">
        <w:rPr>
          <w:rFonts w:ascii="Century Gothic" w:eastAsia="Times New Roman" w:hAnsi="Century Gothic" w:cs="Century Gothic"/>
          <w:bCs/>
          <w:i/>
          <w:color w:val="262626" w:themeColor="text1" w:themeTint="D9"/>
          <w:sz w:val="24"/>
          <w:szCs w:val="24"/>
        </w:rPr>
        <w:t>la bonificación por servicio y el promedio mensual de recargo, en los diez últimos años laborados</w:t>
      </w:r>
      <w:r w:rsidR="00691B74" w:rsidRPr="00CE2597">
        <w:rPr>
          <w:rFonts w:ascii="Century Gothic" w:eastAsia="Times New Roman" w:hAnsi="Century Gothic" w:cs="Century Gothic"/>
          <w:bCs/>
          <w:i/>
          <w:color w:val="262626" w:themeColor="text1" w:themeTint="D9"/>
          <w:sz w:val="24"/>
          <w:szCs w:val="24"/>
        </w:rPr>
        <w:t>?</w:t>
      </w:r>
    </w:p>
    <w:p w:rsidR="00691B74" w:rsidRPr="00CE2597" w:rsidRDefault="00691B74" w:rsidP="007C413D">
      <w:pPr>
        <w:pStyle w:val="Prrafodelista"/>
        <w:spacing w:after="0" w:line="300" w:lineRule="auto"/>
        <w:ind w:left="0"/>
        <w:jc w:val="both"/>
        <w:rPr>
          <w:rFonts w:ascii="Century Gothic" w:eastAsia="Times New Roman" w:hAnsi="Century Gothic" w:cs="Century Gothic"/>
          <w:bCs/>
          <w:i/>
          <w:color w:val="262626" w:themeColor="text1" w:themeTint="D9"/>
          <w:sz w:val="24"/>
          <w:szCs w:val="24"/>
        </w:rPr>
      </w:pPr>
    </w:p>
    <w:p w:rsidR="00D23420" w:rsidRPr="00CE2597" w:rsidRDefault="00D23420" w:rsidP="007C413D">
      <w:pPr>
        <w:pStyle w:val="Prrafodelista"/>
        <w:spacing w:after="0" w:line="300" w:lineRule="auto"/>
        <w:ind w:left="0"/>
        <w:jc w:val="both"/>
        <w:rPr>
          <w:rFonts w:ascii="Century Gothic" w:eastAsia="Times New Roman" w:hAnsi="Century Gothic" w:cs="Century Gothic"/>
          <w:bCs/>
          <w:i/>
          <w:color w:val="262626" w:themeColor="text1" w:themeTint="D9"/>
          <w:sz w:val="24"/>
          <w:szCs w:val="24"/>
        </w:rPr>
      </w:pPr>
      <w:r w:rsidRPr="00CE2597">
        <w:rPr>
          <w:rFonts w:ascii="Century Gothic" w:hAnsi="Century Gothic" w:cs="Arial"/>
          <w:iCs/>
          <w:color w:val="000000" w:themeColor="text1"/>
          <w:sz w:val="24"/>
          <w:szCs w:val="24"/>
          <w:lang w:val="es-CO"/>
        </w:rPr>
        <w:t>En caso de ser afirmativo el problema jurídico planteado, se confirmará la sentencia de primera instancia</w:t>
      </w:r>
      <w:r w:rsidR="0079654A">
        <w:rPr>
          <w:rFonts w:ascii="Century Gothic" w:hAnsi="Century Gothic" w:cs="Arial"/>
          <w:iCs/>
          <w:color w:val="000000" w:themeColor="text1"/>
          <w:sz w:val="24"/>
          <w:szCs w:val="24"/>
          <w:lang w:val="es-CO"/>
        </w:rPr>
        <w:t xml:space="preserve">, en caso contrario se revocará y en su lugar se negarán las pretensiones de la demanda. </w:t>
      </w:r>
      <w:r w:rsidRPr="00CE2597">
        <w:rPr>
          <w:rFonts w:ascii="Century Gothic" w:hAnsi="Century Gothic" w:cs="Arial"/>
          <w:iCs/>
          <w:color w:val="000000" w:themeColor="text1"/>
          <w:sz w:val="24"/>
          <w:szCs w:val="24"/>
          <w:lang w:val="es-CO"/>
        </w:rPr>
        <w:t xml:space="preserve"> </w:t>
      </w:r>
    </w:p>
    <w:p w:rsidR="00D23420" w:rsidRPr="00CE2597" w:rsidRDefault="00D23420" w:rsidP="007C413D">
      <w:pPr>
        <w:pStyle w:val="Prrafodelista"/>
        <w:spacing w:after="0" w:line="300" w:lineRule="auto"/>
        <w:ind w:left="0"/>
        <w:jc w:val="both"/>
        <w:rPr>
          <w:rFonts w:ascii="Century Gothic" w:eastAsia="Times New Roman" w:hAnsi="Century Gothic" w:cs="Century Gothic"/>
          <w:bCs/>
          <w:i/>
          <w:color w:val="262626" w:themeColor="text1" w:themeTint="D9"/>
          <w:sz w:val="24"/>
          <w:szCs w:val="24"/>
        </w:rPr>
      </w:pPr>
    </w:p>
    <w:p w:rsidR="00F55E3E" w:rsidRPr="00CE2597" w:rsidRDefault="00F55E3E" w:rsidP="00C95FEB">
      <w:pPr>
        <w:pStyle w:val="Prrafodelista"/>
        <w:numPr>
          <w:ilvl w:val="0"/>
          <w:numId w:val="24"/>
        </w:numPr>
        <w:spacing w:after="0" w:line="300" w:lineRule="auto"/>
        <w:jc w:val="both"/>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Tesis</w:t>
      </w:r>
      <w:r w:rsidR="00C95FEB" w:rsidRPr="00CE2597">
        <w:rPr>
          <w:rFonts w:ascii="Century Gothic" w:eastAsia="Times New Roman" w:hAnsi="Century Gothic" w:cs="Century Gothic"/>
          <w:b/>
          <w:bCs/>
          <w:color w:val="262626" w:themeColor="text1" w:themeTint="D9"/>
          <w:sz w:val="24"/>
          <w:szCs w:val="24"/>
        </w:rPr>
        <w:t>.</w:t>
      </w:r>
    </w:p>
    <w:p w:rsidR="00C95FEB" w:rsidRPr="00CE2597" w:rsidRDefault="00C95FEB" w:rsidP="00C95FEB">
      <w:pPr>
        <w:pStyle w:val="Prrafodelista"/>
        <w:spacing w:after="0" w:line="300" w:lineRule="auto"/>
        <w:jc w:val="both"/>
        <w:rPr>
          <w:rFonts w:ascii="Century Gothic" w:eastAsia="Times New Roman" w:hAnsi="Century Gothic" w:cs="Century Gothic"/>
          <w:b/>
          <w:bCs/>
          <w:color w:val="262626" w:themeColor="text1" w:themeTint="D9"/>
          <w:sz w:val="24"/>
          <w:szCs w:val="24"/>
        </w:rPr>
      </w:pPr>
    </w:p>
    <w:p w:rsidR="000A540E" w:rsidRPr="00CE2597" w:rsidRDefault="00C762BE" w:rsidP="007C413D">
      <w:pPr>
        <w:spacing w:after="0" w:line="300" w:lineRule="auto"/>
        <w:jc w:val="both"/>
        <w:rPr>
          <w:rFonts w:ascii="Century Gothic" w:eastAsia="Times New Roman" w:hAnsi="Century Gothic" w:cs="Century Gothic"/>
          <w:bCs/>
          <w:color w:val="0D0D0D" w:themeColor="text1" w:themeTint="F2"/>
          <w:sz w:val="24"/>
          <w:szCs w:val="24"/>
        </w:rPr>
      </w:pPr>
      <w:r w:rsidRPr="00CE2597">
        <w:rPr>
          <w:rFonts w:ascii="Century Gothic" w:eastAsia="Times New Roman" w:hAnsi="Century Gothic" w:cs="Century Gothic"/>
          <w:bCs/>
          <w:color w:val="262626" w:themeColor="text1" w:themeTint="D9"/>
          <w:sz w:val="24"/>
          <w:szCs w:val="24"/>
        </w:rPr>
        <w:t>La Sala</w:t>
      </w:r>
      <w:r w:rsidR="000A540E" w:rsidRPr="00CE2597">
        <w:rPr>
          <w:rFonts w:ascii="Century Gothic" w:eastAsia="Times New Roman" w:hAnsi="Century Gothic" w:cs="Century Gothic"/>
          <w:bCs/>
          <w:color w:val="262626" w:themeColor="text1" w:themeTint="D9"/>
          <w:sz w:val="24"/>
          <w:szCs w:val="24"/>
        </w:rPr>
        <w:t xml:space="preserve"> CONFIRMARÁ </w:t>
      </w:r>
      <w:r w:rsidR="000A540E" w:rsidRPr="00CE2597">
        <w:rPr>
          <w:rFonts w:ascii="Century Gothic" w:eastAsia="Times New Roman" w:hAnsi="Century Gothic" w:cs="Century Gothic"/>
          <w:bCs/>
          <w:color w:val="0D0D0D" w:themeColor="text1" w:themeTint="F2"/>
          <w:sz w:val="24"/>
          <w:szCs w:val="24"/>
        </w:rPr>
        <w:t xml:space="preserve">la sentencia apelada, en consideración a que en el </w:t>
      </w:r>
      <w:r w:rsidR="000A540E" w:rsidRPr="00CE2597">
        <w:rPr>
          <w:rFonts w:ascii="Century Gothic" w:eastAsia="Times New Roman" w:hAnsi="Century Gothic" w:cs="Century Gothic"/>
          <w:bCs/>
          <w:i/>
          <w:color w:val="0D0D0D" w:themeColor="text1" w:themeTint="F2"/>
          <w:sz w:val="24"/>
          <w:szCs w:val="24"/>
        </w:rPr>
        <w:t xml:space="preserve">sub judice </w:t>
      </w:r>
      <w:r w:rsidR="000A540E" w:rsidRPr="00CE2597">
        <w:rPr>
          <w:rFonts w:ascii="Century Gothic" w:eastAsia="Times New Roman" w:hAnsi="Century Gothic" w:cs="Century Gothic"/>
          <w:bCs/>
          <w:color w:val="0D0D0D" w:themeColor="text1" w:themeTint="F2"/>
          <w:sz w:val="24"/>
          <w:szCs w:val="24"/>
        </w:rPr>
        <w:t xml:space="preserve"> la demandante</w:t>
      </w:r>
      <w:r w:rsidR="002042B1">
        <w:rPr>
          <w:rFonts w:ascii="Century Gothic" w:eastAsia="Times New Roman" w:hAnsi="Century Gothic" w:cs="Century Gothic"/>
          <w:bCs/>
          <w:color w:val="0D0D0D" w:themeColor="text1" w:themeTint="F2"/>
          <w:sz w:val="24"/>
          <w:szCs w:val="24"/>
        </w:rPr>
        <w:t xml:space="preserve"> si bien es beneficiaria del régimen de transición, dicho beneficio no comprende el IBL, el cual se debe liquidar s sobre los últimos 10 años de servicios. Así </w:t>
      </w:r>
      <w:proofErr w:type="spellStart"/>
      <w:r w:rsidR="002042B1">
        <w:rPr>
          <w:rFonts w:ascii="Century Gothic" w:eastAsia="Times New Roman" w:hAnsi="Century Gothic" w:cs="Century Gothic"/>
          <w:bCs/>
          <w:color w:val="0D0D0D" w:themeColor="text1" w:themeTint="F2"/>
          <w:sz w:val="24"/>
          <w:szCs w:val="24"/>
        </w:rPr>
        <w:t>mimso</w:t>
      </w:r>
      <w:proofErr w:type="spellEnd"/>
      <w:r w:rsidR="000A540E" w:rsidRPr="00CE2597">
        <w:rPr>
          <w:rFonts w:ascii="Century Gothic" w:eastAsia="Times New Roman" w:hAnsi="Century Gothic" w:cs="Century Gothic"/>
          <w:bCs/>
          <w:color w:val="0D0D0D" w:themeColor="text1" w:themeTint="F2"/>
          <w:sz w:val="24"/>
          <w:szCs w:val="24"/>
        </w:rPr>
        <w:t xml:space="preserve"> le asiste el derecho a la reliquidación de su pensión de jubilación con inclusi</w:t>
      </w:r>
      <w:r w:rsidR="00CD1B19" w:rsidRPr="00CE2597">
        <w:rPr>
          <w:rFonts w:ascii="Century Gothic" w:eastAsia="Times New Roman" w:hAnsi="Century Gothic" w:cs="Century Gothic"/>
          <w:bCs/>
          <w:color w:val="0D0D0D" w:themeColor="text1" w:themeTint="F2"/>
          <w:sz w:val="24"/>
          <w:szCs w:val="24"/>
        </w:rPr>
        <w:t>ón de los factores salariales de</w:t>
      </w:r>
      <w:r w:rsidR="000C6BF6" w:rsidRPr="00CE2597">
        <w:rPr>
          <w:rFonts w:ascii="Century Gothic" w:eastAsia="Times New Roman" w:hAnsi="Century Gothic" w:cs="Century Gothic"/>
          <w:bCs/>
          <w:color w:val="0D0D0D" w:themeColor="text1" w:themeTint="F2"/>
          <w:sz w:val="24"/>
          <w:szCs w:val="24"/>
        </w:rPr>
        <w:t>vengados en los últimos 10 años laborados; es dable precisar, que</w:t>
      </w:r>
      <w:r w:rsidR="000D44BA" w:rsidRPr="00CE2597">
        <w:rPr>
          <w:rFonts w:ascii="Century Gothic" w:eastAsia="Times New Roman" w:hAnsi="Century Gothic" w:cs="Century Gothic"/>
          <w:bCs/>
          <w:color w:val="0D0D0D" w:themeColor="text1" w:themeTint="F2"/>
          <w:sz w:val="24"/>
          <w:szCs w:val="24"/>
        </w:rPr>
        <w:t xml:space="preserve"> </w:t>
      </w:r>
      <w:r w:rsidR="000C6BF6" w:rsidRPr="00CE2597">
        <w:rPr>
          <w:rFonts w:ascii="Century Gothic" w:eastAsia="Times New Roman" w:hAnsi="Century Gothic" w:cs="Century Gothic"/>
          <w:bCs/>
          <w:color w:val="0D0D0D" w:themeColor="text1" w:themeTint="F2"/>
          <w:sz w:val="24"/>
          <w:szCs w:val="24"/>
        </w:rPr>
        <w:t xml:space="preserve">los </w:t>
      </w:r>
      <w:r w:rsidR="000D44BA" w:rsidRPr="00CE2597">
        <w:rPr>
          <w:rFonts w:ascii="Century Gothic" w:eastAsia="Times New Roman" w:hAnsi="Century Gothic" w:cs="Century Gothic"/>
          <w:bCs/>
          <w:color w:val="0D0D0D" w:themeColor="text1" w:themeTint="F2"/>
          <w:sz w:val="24"/>
          <w:szCs w:val="24"/>
        </w:rPr>
        <w:t>factor</w:t>
      </w:r>
      <w:r w:rsidR="00CD1B19" w:rsidRPr="00CE2597">
        <w:rPr>
          <w:rFonts w:ascii="Century Gothic" w:eastAsia="Times New Roman" w:hAnsi="Century Gothic" w:cs="Century Gothic"/>
          <w:bCs/>
          <w:color w:val="0D0D0D" w:themeColor="text1" w:themeTint="F2"/>
          <w:sz w:val="24"/>
          <w:szCs w:val="24"/>
        </w:rPr>
        <w:t>es</w:t>
      </w:r>
      <w:r w:rsidR="009A03DB">
        <w:rPr>
          <w:rFonts w:ascii="Century Gothic" w:eastAsia="Times New Roman" w:hAnsi="Century Gothic" w:cs="Century Gothic"/>
          <w:bCs/>
          <w:color w:val="0D0D0D" w:themeColor="text1" w:themeTint="F2"/>
          <w:sz w:val="24"/>
          <w:szCs w:val="24"/>
        </w:rPr>
        <w:t xml:space="preserve"> reclamados</w:t>
      </w:r>
      <w:r w:rsidR="000D44BA" w:rsidRPr="00CE2597">
        <w:rPr>
          <w:rFonts w:ascii="Century Gothic" w:eastAsia="Times New Roman" w:hAnsi="Century Gothic" w:cs="Century Gothic"/>
          <w:bCs/>
          <w:color w:val="0D0D0D" w:themeColor="text1" w:themeTint="F2"/>
          <w:sz w:val="24"/>
          <w:szCs w:val="24"/>
        </w:rPr>
        <w:t xml:space="preserve"> se encuentra</w:t>
      </w:r>
      <w:r w:rsidR="00CD1B19" w:rsidRPr="00CE2597">
        <w:rPr>
          <w:rFonts w:ascii="Century Gothic" w:eastAsia="Times New Roman" w:hAnsi="Century Gothic" w:cs="Century Gothic"/>
          <w:bCs/>
          <w:color w:val="0D0D0D" w:themeColor="text1" w:themeTint="F2"/>
          <w:sz w:val="24"/>
          <w:szCs w:val="24"/>
        </w:rPr>
        <w:t>n</w:t>
      </w:r>
      <w:r w:rsidR="000D44BA" w:rsidRPr="00CE2597">
        <w:rPr>
          <w:rFonts w:ascii="Century Gothic" w:eastAsia="Times New Roman" w:hAnsi="Century Gothic" w:cs="Century Gothic"/>
          <w:bCs/>
          <w:color w:val="0D0D0D" w:themeColor="text1" w:themeTint="F2"/>
          <w:sz w:val="24"/>
          <w:szCs w:val="24"/>
        </w:rPr>
        <w:t xml:space="preserve"> enlistado</w:t>
      </w:r>
      <w:r w:rsidR="00CD1B19" w:rsidRPr="00CE2597">
        <w:rPr>
          <w:rFonts w:ascii="Century Gothic" w:eastAsia="Times New Roman" w:hAnsi="Century Gothic" w:cs="Century Gothic"/>
          <w:bCs/>
          <w:color w:val="0D0D0D" w:themeColor="text1" w:themeTint="F2"/>
          <w:sz w:val="24"/>
          <w:szCs w:val="24"/>
        </w:rPr>
        <w:t>s</w:t>
      </w:r>
      <w:r w:rsidR="000D44BA" w:rsidRPr="00CE2597">
        <w:rPr>
          <w:rFonts w:ascii="Century Gothic" w:eastAsia="Times New Roman" w:hAnsi="Century Gothic" w:cs="Century Gothic"/>
          <w:bCs/>
          <w:color w:val="0D0D0D" w:themeColor="text1" w:themeTint="F2"/>
          <w:sz w:val="24"/>
          <w:szCs w:val="24"/>
        </w:rPr>
        <w:t xml:space="preserve"> en el Decreto 1158 de 1994. </w:t>
      </w:r>
      <w:r w:rsidR="000A540E" w:rsidRPr="00CE2597">
        <w:rPr>
          <w:rFonts w:ascii="Century Gothic" w:eastAsia="Times New Roman" w:hAnsi="Century Gothic" w:cs="Century Gothic"/>
          <w:bCs/>
          <w:color w:val="0D0D0D" w:themeColor="text1" w:themeTint="F2"/>
          <w:sz w:val="24"/>
          <w:szCs w:val="24"/>
        </w:rPr>
        <w:t xml:space="preserve"> </w:t>
      </w:r>
    </w:p>
    <w:p w:rsidR="000A540E" w:rsidRPr="00CE2597" w:rsidRDefault="000A540E" w:rsidP="007C413D">
      <w:pPr>
        <w:spacing w:after="0" w:line="300" w:lineRule="auto"/>
        <w:jc w:val="both"/>
        <w:rPr>
          <w:rFonts w:ascii="Century Gothic" w:hAnsi="Century Gothic" w:cs="Century Gothic"/>
          <w:color w:val="0D0D0D" w:themeColor="text1" w:themeTint="F2"/>
          <w:sz w:val="24"/>
          <w:szCs w:val="24"/>
        </w:rPr>
      </w:pPr>
    </w:p>
    <w:p w:rsidR="000A540E" w:rsidRPr="00CE2597" w:rsidRDefault="000A540E" w:rsidP="007C413D">
      <w:pPr>
        <w:spacing w:after="0" w:line="300" w:lineRule="auto"/>
        <w:jc w:val="both"/>
        <w:rPr>
          <w:rFonts w:ascii="Century Gothic" w:hAnsi="Century Gothic" w:cs="Century Gothic"/>
          <w:color w:val="0D0D0D" w:themeColor="text1" w:themeTint="F2"/>
          <w:sz w:val="24"/>
          <w:szCs w:val="24"/>
        </w:rPr>
      </w:pPr>
      <w:r w:rsidRPr="00CE2597">
        <w:rPr>
          <w:rFonts w:ascii="Century Gothic" w:hAnsi="Century Gothic" w:cs="Century Gothic"/>
          <w:color w:val="0D0D0D" w:themeColor="text1" w:themeTint="F2"/>
          <w:sz w:val="24"/>
          <w:szCs w:val="24"/>
        </w:rPr>
        <w:t>La anterior tesis se soporta en los argumentos que se exponen a continuación.</w:t>
      </w:r>
    </w:p>
    <w:p w:rsidR="00B43045" w:rsidRPr="00CE2597" w:rsidRDefault="00B43045" w:rsidP="007C413D">
      <w:pPr>
        <w:spacing w:after="0" w:line="300" w:lineRule="auto"/>
        <w:jc w:val="both"/>
        <w:rPr>
          <w:rFonts w:ascii="Century Gothic" w:eastAsia="Times New Roman" w:hAnsi="Century Gothic" w:cs="Century Gothic"/>
          <w:bCs/>
          <w:color w:val="262626" w:themeColor="text1" w:themeTint="D9"/>
          <w:sz w:val="24"/>
          <w:szCs w:val="24"/>
        </w:rPr>
      </w:pPr>
    </w:p>
    <w:p w:rsidR="00B43045" w:rsidRPr="00CE2597" w:rsidRDefault="00B43045" w:rsidP="007C413D">
      <w:pPr>
        <w:spacing w:after="0" w:line="300" w:lineRule="auto"/>
        <w:jc w:val="both"/>
        <w:rPr>
          <w:rFonts w:ascii="Century Gothic" w:hAnsi="Century Gothic" w:cs="Century Gothic"/>
          <w:b/>
          <w:bCs/>
          <w:color w:val="262626" w:themeColor="text1" w:themeTint="D9"/>
          <w:sz w:val="24"/>
          <w:szCs w:val="24"/>
          <w:lang w:val="es-CO"/>
        </w:rPr>
      </w:pPr>
      <w:r w:rsidRPr="00CE2597">
        <w:rPr>
          <w:rFonts w:ascii="Century Gothic" w:hAnsi="Century Gothic" w:cs="Century Gothic"/>
          <w:b/>
          <w:bCs/>
          <w:color w:val="262626" w:themeColor="text1" w:themeTint="D9"/>
          <w:sz w:val="24"/>
          <w:szCs w:val="24"/>
          <w:lang w:val="es-CO"/>
        </w:rPr>
        <w:t>4.   Marco normativo y jurisprudencial.</w:t>
      </w:r>
    </w:p>
    <w:p w:rsidR="00B43045" w:rsidRPr="00CE2597" w:rsidRDefault="00B43045" w:rsidP="007C413D">
      <w:pPr>
        <w:spacing w:after="0" w:line="300" w:lineRule="auto"/>
        <w:jc w:val="both"/>
        <w:rPr>
          <w:rFonts w:ascii="Century Gothic" w:eastAsia="Times New Roman" w:hAnsi="Century Gothic" w:cs="Century Gothic"/>
          <w:b/>
          <w:bCs/>
          <w:color w:val="262626" w:themeColor="text1" w:themeTint="D9"/>
          <w:sz w:val="24"/>
          <w:szCs w:val="24"/>
        </w:rPr>
      </w:pPr>
    </w:p>
    <w:p w:rsidR="00B43045" w:rsidRPr="00CE2597" w:rsidRDefault="00B43045" w:rsidP="007C413D">
      <w:pPr>
        <w:spacing w:after="0" w:line="300" w:lineRule="auto"/>
        <w:jc w:val="both"/>
        <w:textAlignment w:val="baseline"/>
        <w:rPr>
          <w:rFonts w:ascii="Century Gothic" w:eastAsia="Times New Roman" w:hAnsi="Century Gothic" w:cs="Times New Roman"/>
          <w:b/>
          <w:color w:val="262626" w:themeColor="text1" w:themeTint="D9"/>
          <w:sz w:val="24"/>
          <w:szCs w:val="24"/>
          <w:bdr w:val="none" w:sz="0" w:space="0" w:color="auto" w:frame="1"/>
          <w:lang w:eastAsia="es-ES"/>
        </w:rPr>
      </w:pPr>
      <w:r w:rsidRPr="00CE2597">
        <w:rPr>
          <w:rFonts w:ascii="Century Gothic" w:eastAsia="Times New Roman" w:hAnsi="Century Gothic" w:cs="Times New Roman"/>
          <w:b/>
          <w:color w:val="262626" w:themeColor="text1" w:themeTint="D9"/>
          <w:sz w:val="24"/>
          <w:szCs w:val="24"/>
          <w:bdr w:val="none" w:sz="0" w:space="0" w:color="auto" w:frame="1"/>
          <w:lang w:eastAsia="es-ES"/>
        </w:rPr>
        <w:t xml:space="preserve">4.1. La seguridad Social como derecho fundamental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bCs/>
          <w:color w:val="262626" w:themeColor="text1" w:themeTint="D9"/>
          <w:sz w:val="24"/>
          <w:szCs w:val="24"/>
          <w:bdr w:val="none" w:sz="0" w:space="0" w:color="auto" w:frame="1"/>
          <w:lang w:eastAsia="es-ES"/>
        </w:rPr>
        <w:t>El Derecho a la seguridad social, ha sido entendido</w:t>
      </w:r>
      <w:r w:rsidRPr="00CE2597">
        <w:rPr>
          <w:rStyle w:val="Refdenotaalpie"/>
          <w:rFonts w:ascii="Century Gothic" w:eastAsia="Times New Roman" w:hAnsi="Century Gothic" w:cs="Times New Roman"/>
          <w:bCs/>
          <w:color w:val="262626" w:themeColor="text1" w:themeTint="D9"/>
          <w:sz w:val="24"/>
          <w:szCs w:val="24"/>
          <w:bdr w:val="none" w:sz="0" w:space="0" w:color="auto" w:frame="1"/>
          <w:lang w:eastAsia="es-ES"/>
        </w:rPr>
        <w:footnoteReference w:id="7"/>
      </w:r>
      <w:r w:rsidRPr="00CE2597">
        <w:rPr>
          <w:rFonts w:ascii="Century Gothic" w:eastAsia="Times New Roman" w:hAnsi="Century Gothic" w:cs="Times New Roman"/>
          <w:bCs/>
          <w:color w:val="262626" w:themeColor="text1" w:themeTint="D9"/>
          <w:sz w:val="24"/>
          <w:szCs w:val="24"/>
          <w:bdr w:val="none" w:sz="0" w:space="0" w:color="auto" w:frame="1"/>
          <w:lang w:eastAsia="es-ES"/>
        </w:rPr>
        <w:t xml:space="preserve"> desde dos perspectivas constitucionales, de una parte, como un servicio público </w:t>
      </w: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que se presta bajo la dirección, coordinación y control del Estado, el cual debe responder a los principios de eficiencia, universalidad y solidaridad; y por otro lado, como un derecho fundamental irrenunciable en cabeza de todos los ciudadanos.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lastRenderedPageBreak/>
        <w:t>También se ha señalado que de este derecho se desprende el derecho a la pensión de jubilación, que consiste en recibir el goce efectivo de una mesada calculada de acuerdo con los factores dispuestos por la ley para la situación de cada persona. Se trata de un derecho fundamental que tiene como objeto brindar las condiciones económicas para la vida digna de quienes han trabajado por mucho tiempo y que llegan a una edad avanzada</w:t>
      </w:r>
      <w:r w:rsidRPr="00CE2597">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8"/>
      </w: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Bajo esta perspectiva, la garantía y goce de la pensión, como derecho fundamental integral de la seguridad social, debe ser estudiado y aplicado desde una perspectiva constitucional, bajo los principios de universalidad y solidaridad, a la luz de la e interpretación constitucional.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B43045" w:rsidRPr="00CE2597" w:rsidRDefault="00B43045" w:rsidP="007C413D">
      <w:pPr>
        <w:spacing w:after="0" w:line="300" w:lineRule="auto"/>
        <w:jc w:val="both"/>
        <w:textAlignment w:val="baseline"/>
        <w:rPr>
          <w:rFonts w:ascii="Century Gothic" w:eastAsia="Times New Roman" w:hAnsi="Century Gothic" w:cs="Times New Roman"/>
          <w:b/>
          <w:color w:val="262626" w:themeColor="text1" w:themeTint="D9"/>
          <w:sz w:val="24"/>
          <w:szCs w:val="24"/>
          <w:bdr w:val="none" w:sz="0" w:space="0" w:color="auto" w:frame="1"/>
          <w:lang w:eastAsia="es-ES"/>
        </w:rPr>
      </w:pPr>
      <w:r w:rsidRPr="00CE2597">
        <w:rPr>
          <w:rFonts w:ascii="Century Gothic" w:eastAsia="Times New Roman" w:hAnsi="Century Gothic" w:cs="Times New Roman"/>
          <w:b/>
          <w:color w:val="262626" w:themeColor="text1" w:themeTint="D9"/>
          <w:sz w:val="24"/>
          <w:szCs w:val="24"/>
          <w:bdr w:val="none" w:sz="0" w:space="0" w:color="auto" w:frame="1"/>
          <w:lang w:eastAsia="es-ES"/>
        </w:rPr>
        <w:t>4.</w:t>
      </w:r>
      <w:r w:rsidR="007C413D" w:rsidRPr="00CE2597">
        <w:rPr>
          <w:rFonts w:ascii="Century Gothic" w:eastAsia="Times New Roman" w:hAnsi="Century Gothic" w:cs="Times New Roman"/>
          <w:b/>
          <w:color w:val="262626" w:themeColor="text1" w:themeTint="D9"/>
          <w:sz w:val="24"/>
          <w:szCs w:val="24"/>
          <w:bdr w:val="none" w:sz="0" w:space="0" w:color="auto" w:frame="1"/>
          <w:lang w:eastAsia="es-ES"/>
        </w:rPr>
        <w:t>2. El Precedente Constitucional.</w:t>
      </w:r>
    </w:p>
    <w:p w:rsidR="005B7F5B" w:rsidRPr="00CE2597" w:rsidRDefault="005B7F5B"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La Corte Constitucional tiene a su cargo “</w:t>
      </w:r>
      <w:r w:rsidRPr="00CE2597">
        <w:rPr>
          <w:rFonts w:ascii="Century Gothic" w:eastAsia="Times New Roman" w:hAnsi="Century Gothic" w:cs="Times New Roman"/>
          <w:i/>
          <w:iCs/>
          <w:color w:val="262626" w:themeColor="text1" w:themeTint="D9"/>
          <w:sz w:val="24"/>
          <w:szCs w:val="24"/>
          <w:bdr w:val="none" w:sz="0" w:space="0" w:color="auto" w:frame="1"/>
          <w:lang w:eastAsia="es-ES"/>
        </w:rPr>
        <w:t>la guarda de la integridad y supremacía</w:t>
      </w:r>
      <w:r w:rsidRPr="00CE2597">
        <w:rPr>
          <w:rFonts w:ascii="Century Gothic" w:eastAsia="Times New Roman" w:hAnsi="Century Gothic" w:cs="Times New Roman"/>
          <w:color w:val="262626" w:themeColor="text1" w:themeTint="D9"/>
          <w:sz w:val="24"/>
          <w:szCs w:val="24"/>
          <w:bdr w:val="none" w:sz="0" w:space="0" w:color="auto" w:frame="1"/>
          <w:lang w:eastAsia="es-ES"/>
        </w:rPr>
        <w:t> </w:t>
      </w:r>
      <w:r w:rsidRPr="00CE2597">
        <w:rPr>
          <w:rFonts w:ascii="Century Gothic" w:eastAsia="Times New Roman" w:hAnsi="Century Gothic" w:cs="Times New Roman"/>
          <w:i/>
          <w:iCs/>
          <w:color w:val="262626" w:themeColor="text1" w:themeTint="D9"/>
          <w:sz w:val="24"/>
          <w:szCs w:val="24"/>
          <w:bdr w:val="none" w:sz="0" w:space="0" w:color="auto" w:frame="1"/>
          <w:lang w:eastAsia="es-ES"/>
        </w:rPr>
        <w:t>de la Constitución</w:t>
      </w:r>
      <w:r w:rsidRPr="00CE2597">
        <w:rPr>
          <w:rStyle w:val="Refdenotaalpie"/>
          <w:rFonts w:ascii="Century Gothic" w:eastAsia="Times New Roman" w:hAnsi="Century Gothic" w:cs="Times New Roman"/>
          <w:i/>
          <w:iCs/>
          <w:color w:val="262626" w:themeColor="text1" w:themeTint="D9"/>
          <w:sz w:val="24"/>
          <w:szCs w:val="24"/>
          <w:bdr w:val="none" w:sz="0" w:space="0" w:color="auto" w:frame="1"/>
          <w:lang w:eastAsia="es-ES"/>
        </w:rPr>
        <w:footnoteReference w:id="9"/>
      </w:r>
      <w:r w:rsidRPr="00CE2597">
        <w:rPr>
          <w:rFonts w:ascii="Century Gothic" w:eastAsia="Times New Roman" w:hAnsi="Century Gothic" w:cs="Times New Roman"/>
          <w:color w:val="262626" w:themeColor="text1" w:themeTint="D9"/>
          <w:sz w:val="24"/>
          <w:szCs w:val="24"/>
          <w:bdr w:val="none" w:sz="0" w:space="0" w:color="auto" w:frame="1"/>
          <w:lang w:eastAsia="es-ES"/>
        </w:rPr>
        <w:t>”, así pues, es la encargada de fijar los efectos de los derechos fundamentales y determinar el sentido en que debe interpretarse la norma Superior</w:t>
      </w:r>
      <w:r w:rsidRPr="00CE2597">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10"/>
      </w:r>
      <w:r w:rsidRPr="00CE2597">
        <w:rPr>
          <w:rFonts w:ascii="Century Gothic" w:eastAsia="Times New Roman" w:hAnsi="Century Gothic" w:cs="Times New Roman"/>
          <w:color w:val="262626" w:themeColor="text1" w:themeTint="D9"/>
          <w:sz w:val="24"/>
          <w:szCs w:val="24"/>
          <w:bdr w:val="none" w:sz="0" w:space="0" w:color="auto" w:frame="1"/>
          <w:lang w:eastAsia="es-ES"/>
        </w:rPr>
        <w:t>.</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En la sentencia SU-354 de 2017, la Corte Constitucional manifestó que la interpretación de la Constitución tiene como propósito principal orientar el ordenamiento jurídico hacia los valores y principios Constitucionales, por lo que no reconocer el alcance vinculante de los fallos, genera en nuestro ordenamiento jurídico falta de coherencia y contradicciones entre la normatividad y la Carta.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Así pues la máxima autoridad constitucional ha señalado que en los fallos de constitucionalidad, su carácter obligatorio se desprende de los efectos </w:t>
      </w:r>
      <w:r w:rsidRPr="00CE2597">
        <w:rPr>
          <w:rFonts w:ascii="Century Gothic" w:eastAsia="Times New Roman" w:hAnsi="Century Gothic" w:cs="Times New Roman"/>
          <w:i/>
          <w:iCs/>
          <w:color w:val="262626" w:themeColor="text1" w:themeTint="D9"/>
          <w:sz w:val="24"/>
          <w:szCs w:val="24"/>
          <w:bdr w:val="none" w:sz="0" w:space="0" w:color="auto" w:frame="1"/>
          <w:lang w:eastAsia="es-ES"/>
        </w:rPr>
        <w:t>erga omnes,</w:t>
      </w:r>
      <w:r w:rsidRPr="00CE2597">
        <w:rPr>
          <w:rFonts w:ascii="Century Gothic" w:eastAsia="Times New Roman" w:hAnsi="Century Gothic" w:cs="Times New Roman"/>
          <w:color w:val="262626" w:themeColor="text1" w:themeTint="D9"/>
          <w:sz w:val="24"/>
          <w:szCs w:val="24"/>
          <w:bdr w:val="none" w:sz="0" w:space="0" w:color="auto" w:frame="1"/>
          <w:lang w:eastAsia="es-ES"/>
        </w:rPr>
        <w:t> así como de la cosa juzgada constitucional de que están revestidos</w:t>
      </w:r>
      <w:r w:rsidRPr="00CE2597">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11"/>
      </w: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 </w:t>
      </w:r>
      <w:r w:rsidRPr="00CE2597">
        <w:rPr>
          <w:rFonts w:ascii="Century Gothic" w:eastAsia="Times New Roman" w:hAnsi="Century Gothic" w:cs="Times New Roman"/>
          <w:color w:val="262626" w:themeColor="text1" w:themeTint="D9"/>
          <w:sz w:val="24"/>
          <w:szCs w:val="24"/>
          <w:bdr w:val="none" w:sz="0" w:space="0" w:color="auto" w:frame="1"/>
          <w:lang w:eastAsia="es-ES"/>
        </w:rPr>
        <w:lastRenderedPageBreak/>
        <w:t>por ello, se ha precisado que las razones o motivos de la decisión de las sentencias de juicio abstracto contienen la solución constitucional a los problemas jurídicos estudiados, y por tal razón, deben ser atendidas por las autoridades judiciales, para que la aplicación del derecho sea conforme a la Carta Política</w:t>
      </w:r>
      <w:r w:rsidRPr="00CE2597">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12"/>
      </w: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En torno a los fallos de revisión de tutela, se ha referido que el respeto de su </w:t>
      </w:r>
      <w:r w:rsidRPr="00CE2597">
        <w:rPr>
          <w:rFonts w:ascii="Century Gothic" w:eastAsia="Times New Roman" w:hAnsi="Century Gothic" w:cs="Times New Roman"/>
          <w:i/>
          <w:iCs/>
          <w:color w:val="262626" w:themeColor="text1" w:themeTint="D9"/>
          <w:sz w:val="24"/>
          <w:szCs w:val="24"/>
          <w:bdr w:val="none" w:sz="0" w:space="0" w:color="auto" w:frame="1"/>
          <w:lang w:eastAsia="es-ES"/>
        </w:rPr>
        <w:t xml:space="preserve">ratio </w:t>
      </w:r>
      <w:proofErr w:type="spellStart"/>
      <w:r w:rsidRPr="00CE2597">
        <w:rPr>
          <w:rFonts w:ascii="Century Gothic" w:eastAsia="Times New Roman" w:hAnsi="Century Gothic" w:cs="Times New Roman"/>
          <w:i/>
          <w:iCs/>
          <w:color w:val="262626" w:themeColor="text1" w:themeTint="D9"/>
          <w:sz w:val="24"/>
          <w:szCs w:val="24"/>
          <w:bdr w:val="none" w:sz="0" w:space="0" w:color="auto" w:frame="1"/>
          <w:lang w:eastAsia="es-ES"/>
        </w:rPr>
        <w:t>decidendi</w:t>
      </w:r>
      <w:proofErr w:type="spellEnd"/>
      <w:r w:rsidRPr="00CE2597">
        <w:rPr>
          <w:rFonts w:ascii="Century Gothic" w:eastAsia="Times New Roman" w:hAnsi="Century Gothic" w:cs="Times New Roman"/>
          <w:color w:val="262626" w:themeColor="text1" w:themeTint="D9"/>
          <w:sz w:val="24"/>
          <w:szCs w:val="24"/>
          <w:bdr w:val="none" w:sz="0" w:space="0" w:color="auto" w:frame="1"/>
          <w:lang w:eastAsia="es-ES"/>
        </w:rPr>
        <w:t>, logra la concreción de los principios de igualdad en la aplicación de la ley y la confianza legítima. Igualmente, se ha destacado que cuando se trata de sentencias de unificación y de control abstracto de constitucionalidad, basta un pronunciamiento para que exista un precedente, lo anterior debido a que </w:t>
      </w:r>
      <w:r w:rsidRPr="00CE2597">
        <w:rPr>
          <w:rFonts w:ascii="Century Gothic" w:eastAsia="Times New Roman" w:hAnsi="Century Gothic" w:cs="Times New Roman"/>
          <w:i/>
          <w:iCs/>
          <w:color w:val="262626" w:themeColor="text1" w:themeTint="D9"/>
          <w:sz w:val="24"/>
          <w:szCs w:val="24"/>
          <w:bdr w:val="none" w:sz="0" w:space="0" w:color="auto" w:frame="1"/>
          <w:lang w:eastAsia="es-ES"/>
        </w:rPr>
        <w:t>“las primeras, unifican el alcance e interpretación de un derecho fundamental para casos que tengan un marco fáctico similar y compartan problemas jurídicos y, las segundas, determinan la coherencia de una norma con la Constitución Política</w:t>
      </w:r>
      <w:r w:rsidRPr="00CE2597">
        <w:rPr>
          <w:rStyle w:val="Refdenotaalpie"/>
          <w:rFonts w:ascii="Century Gothic" w:eastAsia="Times New Roman" w:hAnsi="Century Gothic" w:cs="Times New Roman"/>
          <w:i/>
          <w:iCs/>
          <w:color w:val="262626" w:themeColor="text1" w:themeTint="D9"/>
          <w:sz w:val="24"/>
          <w:szCs w:val="24"/>
          <w:bdr w:val="none" w:sz="0" w:space="0" w:color="auto" w:frame="1"/>
          <w:lang w:eastAsia="es-ES"/>
        </w:rPr>
        <w:footnoteReference w:id="13"/>
      </w:r>
      <w:r w:rsidRPr="00CE2597">
        <w:rPr>
          <w:rFonts w:ascii="Century Gothic" w:eastAsia="Times New Roman" w:hAnsi="Century Gothic" w:cs="Times New Roman"/>
          <w:i/>
          <w:iCs/>
          <w:color w:val="262626" w:themeColor="text1" w:themeTint="D9"/>
          <w:sz w:val="24"/>
          <w:szCs w:val="24"/>
          <w:bdr w:val="none" w:sz="0" w:space="0" w:color="auto" w:frame="1"/>
          <w:lang w:eastAsia="es-ES"/>
        </w:rPr>
        <w:t>”.</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En este orden, el desconocimiento del precedente constitucional, “</w:t>
      </w:r>
      <w:r w:rsidRPr="00CE2597">
        <w:rPr>
          <w:rFonts w:ascii="Century Gothic" w:eastAsia="Times New Roman" w:hAnsi="Century Gothic" w:cs="Times New Roman"/>
          <w:i/>
          <w:iCs/>
          <w:color w:val="262626" w:themeColor="text1" w:themeTint="D9"/>
          <w:sz w:val="24"/>
          <w:szCs w:val="24"/>
          <w:bdr w:val="none" w:sz="0" w:space="0" w:color="auto" w:frame="1"/>
          <w:lang w:eastAsia="es-ES"/>
        </w:rPr>
        <w:t>independientemente del tipo de defecto en el que se clasifique, es decir, como defecto autónomo o como modalidad de defecto sustantivo, no solo conlleva la trasgresión de las garantías fundamentales a la igualdad y al debido proceso, sino que también vulnera el principio de supremacía constitucional.</w:t>
      </w:r>
      <w:r w:rsidRPr="00CE2597">
        <w:rPr>
          <w:rStyle w:val="Refdenotaalpie"/>
          <w:rFonts w:ascii="Century Gothic" w:eastAsia="Times New Roman" w:hAnsi="Century Gothic" w:cs="Times New Roman"/>
          <w:i/>
          <w:iCs/>
          <w:color w:val="262626" w:themeColor="text1" w:themeTint="D9"/>
          <w:sz w:val="24"/>
          <w:szCs w:val="24"/>
          <w:bdr w:val="none" w:sz="0" w:space="0" w:color="auto" w:frame="1"/>
          <w:lang w:eastAsia="es-ES"/>
        </w:rPr>
        <w:footnoteReference w:id="14"/>
      </w:r>
      <w:r w:rsidRPr="00CE2597">
        <w:rPr>
          <w:rFonts w:ascii="Century Gothic" w:eastAsia="Times New Roman" w:hAnsi="Century Gothic" w:cs="Times New Roman"/>
          <w:i/>
          <w:iCs/>
          <w:color w:val="262626" w:themeColor="text1" w:themeTint="D9"/>
          <w:sz w:val="24"/>
          <w:szCs w:val="24"/>
          <w:bdr w:val="none" w:sz="0" w:space="0" w:color="auto" w:frame="1"/>
          <w:lang w:eastAsia="es-ES"/>
        </w:rPr>
        <w:t>”</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De conformidad con lo expuesto, el precedente Constitucional debe ocupar un lugar privilegiado en el análisis del caso por parte del juez de la causa, pues de lo contrario, se quebrantan los principios Constitucionales de la igualdad y la supremacía de la Carta Política, y es que para quienes administran justicia, respetar la jurisprudencia de la máxima corporación constitucional es un deber, especialmente, porque es a través de la función jurisdiccional de la </w:t>
      </w:r>
      <w:r w:rsidRPr="00CE2597">
        <w:rPr>
          <w:rFonts w:ascii="Century Gothic" w:eastAsia="Times New Roman" w:hAnsi="Century Gothic" w:cs="Times New Roman"/>
          <w:color w:val="262626" w:themeColor="text1" w:themeTint="D9"/>
          <w:sz w:val="24"/>
          <w:szCs w:val="24"/>
          <w:bdr w:val="none" w:sz="0" w:space="0" w:color="auto" w:frame="1"/>
          <w:lang w:eastAsia="es-ES"/>
        </w:rPr>
        <w:lastRenderedPageBreak/>
        <w:t>Corte Constitucional que se garantiza la eficacia de los derechos constitucionales a los asociados</w:t>
      </w:r>
      <w:r w:rsidRPr="00CE2597">
        <w:rPr>
          <w:rStyle w:val="Refdenotaalpie"/>
          <w:rFonts w:ascii="Century Gothic" w:eastAsia="Times New Roman" w:hAnsi="Century Gothic" w:cs="Times New Roman"/>
          <w:color w:val="262626" w:themeColor="text1" w:themeTint="D9"/>
          <w:sz w:val="24"/>
          <w:szCs w:val="24"/>
          <w:bdr w:val="none" w:sz="0" w:space="0" w:color="auto" w:frame="1"/>
          <w:lang w:eastAsia="es-ES"/>
        </w:rPr>
        <w:footnoteReference w:id="15"/>
      </w:r>
      <w:r w:rsidRPr="00CE2597">
        <w:rPr>
          <w:rFonts w:ascii="Century Gothic" w:eastAsia="Times New Roman" w:hAnsi="Century Gothic" w:cs="Times New Roman"/>
          <w:color w:val="262626" w:themeColor="text1" w:themeTint="D9"/>
          <w:sz w:val="24"/>
          <w:szCs w:val="24"/>
          <w:bdr w:val="none" w:sz="0" w:space="0" w:color="auto" w:frame="1"/>
          <w:lang w:eastAsia="es-ES"/>
        </w:rPr>
        <w:t>.</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B43045" w:rsidRPr="00CE2597" w:rsidRDefault="00B43045" w:rsidP="007C413D">
      <w:pPr>
        <w:spacing w:after="0" w:line="300" w:lineRule="auto"/>
        <w:jc w:val="both"/>
        <w:textAlignment w:val="baseline"/>
        <w:rPr>
          <w:rFonts w:ascii="Century Gothic" w:eastAsia="Times New Roman" w:hAnsi="Century Gothic" w:cs="Times New Roman"/>
          <w:b/>
          <w:color w:val="262626" w:themeColor="text1" w:themeTint="D9"/>
          <w:sz w:val="24"/>
          <w:szCs w:val="24"/>
          <w:bdr w:val="none" w:sz="0" w:space="0" w:color="auto" w:frame="1"/>
          <w:lang w:eastAsia="es-ES"/>
        </w:rPr>
      </w:pPr>
      <w:r w:rsidRPr="00CE2597">
        <w:rPr>
          <w:rFonts w:ascii="Century Gothic" w:eastAsia="Times New Roman" w:hAnsi="Century Gothic" w:cs="Times New Roman"/>
          <w:b/>
          <w:color w:val="262626" w:themeColor="text1" w:themeTint="D9"/>
          <w:sz w:val="24"/>
          <w:szCs w:val="24"/>
          <w:bdr w:val="none" w:sz="0" w:space="0" w:color="auto" w:frame="1"/>
          <w:lang w:eastAsia="es-ES"/>
        </w:rPr>
        <w:t xml:space="preserve">4.3. Posiciones de la Corte Constitucional y el Consejo de Estado en Materia de liquidación pensional en régimen de transición.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La ley 100 de 1993, contempló un régimen de transición pensional, para efectos de garantizar derechos consolidados con base en normas anteriores, de la siguiente manera: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CE2597">
        <w:rPr>
          <w:rFonts w:ascii="Century Gothic" w:eastAsia="Times New Roman" w:hAnsi="Century Gothic" w:cs="Times New Roman"/>
          <w:i/>
          <w:iCs/>
          <w:color w:val="262626" w:themeColor="text1" w:themeTint="D9"/>
          <w:sz w:val="20"/>
          <w:szCs w:val="20"/>
          <w:bdr w:val="none" w:sz="0" w:space="0" w:color="auto" w:frame="1"/>
          <w:lang w:eastAsia="es-ES"/>
        </w:rPr>
        <w:t>“ARTÍCULO 36. RÉGIMEN DE TRANSICIÓN. La edad para acceder a la pensión de vejez, continuará en cincuenta y cinco (55) años para las mujeres y sesenta (60) para los hombres, hasta el año 2014, fecha en la cual la edad se incrementará en dos años, es decir, será de 57 años para las mujeres y 62 para los hombres.</w:t>
      </w:r>
    </w:p>
    <w:p w:rsidR="00B43045" w:rsidRPr="00CE2597"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CE2597">
        <w:rPr>
          <w:rFonts w:ascii="Century Gothic" w:eastAsia="Times New Roman" w:hAnsi="Century Gothic" w:cs="Times New Roman"/>
          <w:i/>
          <w:iCs/>
          <w:color w:val="262626" w:themeColor="text1" w:themeTint="D9"/>
          <w:sz w:val="20"/>
          <w:szCs w:val="20"/>
          <w:bdr w:val="none" w:sz="0" w:space="0" w:color="auto" w:frame="1"/>
          <w:lang w:eastAsia="es-ES"/>
        </w:rPr>
        <w:t> </w:t>
      </w:r>
    </w:p>
    <w:p w:rsidR="00B43045" w:rsidRPr="00CE2597"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CE2597">
        <w:rPr>
          <w:rFonts w:ascii="Century Gothic" w:eastAsia="Times New Roman" w:hAnsi="Century Gothic" w:cs="Times New Roman"/>
          <w:i/>
          <w:iCs/>
          <w:color w:val="262626" w:themeColor="text1" w:themeTint="D9"/>
          <w:sz w:val="20"/>
          <w:szCs w:val="20"/>
          <w:u w:val="single"/>
          <w:bdr w:val="none" w:sz="0" w:space="0" w:color="auto" w:frame="1"/>
          <w:lang w:eastAsia="es-ES"/>
        </w:rPr>
        <w:t>La edad para acceder a la pensión de vejez, el tiempo de servicio o el número de semanas cotizadas, y el monto de la pensión de vejez de las personas que al momento de entrar en vigencia el Sistema tengan treinta y cinco (35) o más años de edad si son mujeres o cuarenta (40) o más años de edad si son hombres, o quince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w:t>
      </w:r>
    </w:p>
    <w:p w:rsidR="00B43045" w:rsidRPr="00CE2597"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CE2597">
        <w:rPr>
          <w:rFonts w:ascii="Century Gothic" w:eastAsia="Times New Roman" w:hAnsi="Century Gothic" w:cs="Times New Roman"/>
          <w:i/>
          <w:iCs/>
          <w:color w:val="262626" w:themeColor="text1" w:themeTint="D9"/>
          <w:sz w:val="20"/>
          <w:szCs w:val="20"/>
          <w:bdr w:val="none" w:sz="0" w:space="0" w:color="auto" w:frame="1"/>
          <w:lang w:eastAsia="es-ES"/>
        </w:rPr>
        <w:t> </w:t>
      </w:r>
    </w:p>
    <w:p w:rsidR="00B43045" w:rsidRPr="00CE2597" w:rsidRDefault="00B43045" w:rsidP="007C413D">
      <w:pPr>
        <w:spacing w:after="0" w:line="240" w:lineRule="auto"/>
        <w:ind w:left="708"/>
        <w:jc w:val="both"/>
        <w:textAlignment w:val="baseline"/>
        <w:rPr>
          <w:rFonts w:ascii="Century Gothic" w:eastAsia="Times New Roman" w:hAnsi="Century Gothic" w:cs="Times New Roman"/>
          <w:color w:val="262626" w:themeColor="text1" w:themeTint="D9"/>
          <w:sz w:val="20"/>
          <w:szCs w:val="20"/>
          <w:lang w:eastAsia="es-ES"/>
        </w:rPr>
      </w:pPr>
      <w:r w:rsidRPr="00CE2597">
        <w:rPr>
          <w:rFonts w:ascii="Century Gothic" w:eastAsia="Times New Roman" w:hAnsi="Century Gothic" w:cs="Times New Roman"/>
          <w:i/>
          <w:iCs/>
          <w:color w:val="262626" w:themeColor="text1" w:themeTint="D9"/>
          <w:sz w:val="20"/>
          <w:szCs w:val="20"/>
          <w:bdr w:val="none" w:sz="0" w:space="0" w:color="auto" w:frame="1"/>
          <w:lang w:eastAsia="es-ES"/>
        </w:rPr>
        <w:t>El ingreso base para liquidar la pensión de vejez de las personas referidas en el inciso anterior que les faltare menos de diez (10) años para adquirir el derecho, será el promedio de lo devengado en el tiempo que les hiciere falta para ello, o el cotizado durante todo el tiempo si este fuere Superior, actualizado anualmente con base en la variación del Índice de Precios al consumidor, según certificación que expida el DANE.”</w:t>
      </w:r>
      <w:r w:rsidRPr="00CE2597">
        <w:rPr>
          <w:rFonts w:ascii="Century Gothic" w:eastAsia="Times New Roman" w:hAnsi="Century Gothic" w:cs="Times New Roman"/>
          <w:color w:val="262626" w:themeColor="text1" w:themeTint="D9"/>
          <w:sz w:val="20"/>
          <w:szCs w:val="20"/>
          <w:bdr w:val="none" w:sz="0" w:space="0" w:color="auto" w:frame="1"/>
          <w:lang w:eastAsia="es-ES"/>
        </w:rPr>
        <w:t> (Texto subrayado fuera del original).</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En tal sentido, dicho beneficio está dirigido a: i) Mujeres con treinta y cinco (35) o más años de edad al 1º de abril de 1994; ii) hombres con cuarenta (40) o más años de edad al 1º de abril de 1994; iii) hombres y mujeres que independientemente de la edad, acrediten quince (15) años o más de servicios cotizados al 1º de abril de 1994.</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Respeto de este beneficio, la Corte Constitucional ha venido abordando su estudio para determinar el alcance del mismo, de acuerdo con las disposiciones constitucionales superiores, es así como en la sentencia</w:t>
      </w:r>
      <w:r w:rsidRPr="00CE2597">
        <w:rPr>
          <w:rFonts w:ascii="Century Gothic" w:eastAsia="Times New Roman" w:hAnsi="Century Gothic" w:cs="Times New Roman"/>
          <w:color w:val="262626" w:themeColor="text1" w:themeTint="D9"/>
          <w:sz w:val="24"/>
          <w:szCs w:val="24"/>
          <w:lang w:eastAsia="es-ES"/>
        </w:rPr>
        <w:t> </w:t>
      </w:r>
      <w:r w:rsidRPr="00CE2597">
        <w:rPr>
          <w:rFonts w:ascii="Century Gothic" w:eastAsia="Times New Roman" w:hAnsi="Century Gothic" w:cs="Times New Roman"/>
          <w:b/>
          <w:bCs/>
          <w:color w:val="262626" w:themeColor="text1" w:themeTint="D9"/>
          <w:sz w:val="24"/>
          <w:szCs w:val="24"/>
          <w:bdr w:val="none" w:sz="0" w:space="0" w:color="auto" w:frame="1"/>
          <w:lang w:eastAsia="es-ES"/>
        </w:rPr>
        <w:t>C-168 de 1995</w:t>
      </w:r>
      <w:r w:rsidRPr="00CE2597">
        <w:rPr>
          <w:rFonts w:ascii="Century Gothic" w:eastAsia="Times New Roman" w:hAnsi="Century Gothic" w:cs="Times New Roman"/>
          <w:color w:val="262626" w:themeColor="text1" w:themeTint="D9"/>
          <w:sz w:val="24"/>
          <w:szCs w:val="24"/>
          <w:lang w:eastAsia="es-ES"/>
        </w:rPr>
        <w:t xml:space="preserve">, determinó que sin importar cuál era la vinculación anterior, las personas serían beneficiarias del régimen de transición cuando cumplieran los requisitos </w:t>
      </w:r>
      <w:r w:rsidRPr="00CE2597">
        <w:rPr>
          <w:rFonts w:ascii="Century Gothic" w:eastAsia="Times New Roman" w:hAnsi="Century Gothic" w:cs="Times New Roman"/>
          <w:color w:val="262626" w:themeColor="text1" w:themeTint="D9"/>
          <w:sz w:val="24"/>
          <w:szCs w:val="24"/>
          <w:lang w:eastAsia="es-ES"/>
        </w:rPr>
        <w:lastRenderedPageBreak/>
        <w:t>de edad, tiempo de servicio o semanas cotizadas, pero las demás condiciones para acceder al derecho pensional, serían las fijadas en la Ley 100 de 1993.</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En el mismo sentido, en la sentencia </w:t>
      </w:r>
      <w:r w:rsidRPr="00CE2597">
        <w:rPr>
          <w:rFonts w:ascii="Century Gothic" w:eastAsia="Times New Roman" w:hAnsi="Century Gothic" w:cs="Times New Roman"/>
          <w:b/>
          <w:bCs/>
          <w:color w:val="262626" w:themeColor="text1" w:themeTint="D9"/>
          <w:sz w:val="24"/>
          <w:szCs w:val="24"/>
          <w:bdr w:val="none" w:sz="0" w:space="0" w:color="auto" w:frame="1"/>
          <w:lang w:val="es-CO" w:eastAsia="es-ES"/>
        </w:rPr>
        <w:t>C-258 de 2013</w:t>
      </w:r>
      <w:r w:rsidRPr="00CE2597">
        <w:rPr>
          <w:rFonts w:ascii="Century Gothic" w:eastAsia="Times New Roman" w:hAnsi="Century Gothic" w:cs="Times New Roman"/>
          <w:color w:val="262626" w:themeColor="text1" w:themeTint="D9"/>
          <w:sz w:val="24"/>
          <w:szCs w:val="24"/>
          <w:bdr w:val="none" w:sz="0" w:space="0" w:color="auto" w:frame="1"/>
          <w:lang w:val="es-CO" w:eastAsia="es-ES"/>
        </w:rPr>
        <w:t>, la Corte estudió la constitucionalidad de la expresión </w:t>
      </w:r>
      <w:r w:rsidRPr="00CE2597">
        <w:rPr>
          <w:rFonts w:ascii="Century Gothic" w:eastAsia="Times New Roman" w:hAnsi="Century Gothic" w:cs="Times New Roman"/>
          <w:i/>
          <w:iCs/>
          <w:color w:val="262626" w:themeColor="text1" w:themeTint="D9"/>
          <w:sz w:val="24"/>
          <w:szCs w:val="24"/>
          <w:bdr w:val="none" w:sz="0" w:space="0" w:color="auto" w:frame="1"/>
          <w:lang w:val="es-CO" w:eastAsia="es-ES"/>
        </w:rPr>
        <w:t>“durante el último año”</w:t>
      </w:r>
      <w:r w:rsidRPr="00CE2597">
        <w:rPr>
          <w:rFonts w:ascii="Century Gothic" w:eastAsia="Times New Roman" w:hAnsi="Century Gothic" w:cs="Times New Roman"/>
          <w:color w:val="262626" w:themeColor="text1" w:themeTint="D9"/>
          <w:sz w:val="24"/>
          <w:szCs w:val="24"/>
          <w:bdr w:val="none" w:sz="0" w:space="0" w:color="auto" w:frame="1"/>
          <w:lang w:val="es-CO" w:eastAsia="es-ES"/>
        </w:rPr>
        <w:t> contenida en el artículo 17 de la Ley 4 de 1992, y efectuó una interpretación de la aplicabilidad del artículo 36 de la Ley 100 de 1993,  determinando que el Ingreso Base de Liquidación no fue un aspecto sometido a transición y advirtió además que no consideraba que existiera una “</w:t>
      </w:r>
      <w:r w:rsidRPr="00CE2597">
        <w:rPr>
          <w:rFonts w:ascii="Century Gothic" w:eastAsia="Times New Roman" w:hAnsi="Century Gothic" w:cs="Times New Roman"/>
          <w:i/>
          <w:iCs/>
          <w:color w:val="262626" w:themeColor="text1" w:themeTint="D9"/>
          <w:sz w:val="24"/>
          <w:szCs w:val="24"/>
          <w:bdr w:val="none" w:sz="0" w:space="0" w:color="auto" w:frame="1"/>
          <w:lang w:val="es-CO" w:eastAsia="es-ES"/>
        </w:rPr>
        <w:t>razón para extender un tratamiento diferenciado ventajoso en materia de Ingreso Base de Liquidación a los beneficiarios del régimen especial del artículo 17 de la Ley 4 de 1992; en vista de la ausencia de justificación, este tratamiento diferenciado favorable desconoce el principio de igualdad”.</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Por su parte, en la sentencia </w:t>
      </w:r>
      <w:r w:rsidRPr="00CE2597">
        <w:rPr>
          <w:rFonts w:ascii="Century Gothic" w:eastAsia="Times New Roman" w:hAnsi="Century Gothic" w:cs="Times New Roman"/>
          <w:b/>
          <w:bCs/>
          <w:color w:val="262626" w:themeColor="text1" w:themeTint="D9"/>
          <w:sz w:val="24"/>
          <w:szCs w:val="24"/>
          <w:bdr w:val="none" w:sz="0" w:space="0" w:color="auto" w:frame="1"/>
          <w:lang w:val="es-CO" w:eastAsia="es-ES"/>
        </w:rPr>
        <w:t>T-078 de 2014,</w:t>
      </w:r>
      <w:r w:rsidRPr="00CE2597">
        <w:rPr>
          <w:rFonts w:ascii="Century Gothic" w:eastAsia="Times New Roman" w:hAnsi="Century Gothic" w:cs="Times New Roman"/>
          <w:color w:val="262626" w:themeColor="text1" w:themeTint="D9"/>
          <w:sz w:val="24"/>
          <w:szCs w:val="24"/>
          <w:bdr w:val="none" w:sz="0" w:space="0" w:color="auto" w:frame="1"/>
          <w:lang w:val="es-CO" w:eastAsia="es-ES"/>
        </w:rPr>
        <w:t> la Corte Constitucional</w:t>
      </w: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 reafirmó el precedente de la sentencia C-258 de 2013, al establecer</w:t>
      </w:r>
      <w:r w:rsidRPr="00CE2597">
        <w:rPr>
          <w:rFonts w:ascii="Century Gothic" w:eastAsia="Times New Roman" w:hAnsi="Century Gothic" w:cs="Times New Roman"/>
          <w:color w:val="262626" w:themeColor="text1" w:themeTint="D9"/>
          <w:sz w:val="24"/>
          <w:szCs w:val="24"/>
          <w:bdr w:val="none" w:sz="0" w:space="0" w:color="auto" w:frame="1"/>
          <w:lang w:val="es-CO" w:eastAsia="es-ES"/>
        </w:rPr>
        <w:t> que el monto de la pensión se fijaba con base en lo dispuesto en el régimen especial, mientras que el ingreso base de liquidación se aplicaba de forma independiente al monto y con sujeción a lo previsto en el inciso 3° del artículo 36 de la Ley 100 de 1993.</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En el </w:t>
      </w:r>
      <w:r w:rsidRPr="00CE2597">
        <w:rPr>
          <w:rFonts w:ascii="Century Gothic" w:eastAsia="Times New Roman" w:hAnsi="Century Gothic" w:cs="Times New Roman"/>
          <w:b/>
          <w:bCs/>
          <w:color w:val="262626" w:themeColor="text1" w:themeTint="D9"/>
          <w:sz w:val="24"/>
          <w:szCs w:val="24"/>
          <w:bdr w:val="none" w:sz="0" w:space="0" w:color="auto" w:frame="1"/>
          <w:lang w:eastAsia="es-ES"/>
        </w:rPr>
        <w:t>Auto 326 de 2014</w:t>
      </w:r>
      <w:r w:rsidRPr="00CE2597">
        <w:rPr>
          <w:rFonts w:ascii="Century Gothic" w:eastAsia="Times New Roman" w:hAnsi="Century Gothic" w:cs="Times New Roman"/>
          <w:color w:val="262626" w:themeColor="text1" w:themeTint="D9"/>
          <w:sz w:val="24"/>
          <w:szCs w:val="24"/>
          <w:bdr w:val="none" w:sz="0" w:space="0" w:color="auto" w:frame="1"/>
          <w:lang w:eastAsia="es-ES"/>
        </w:rPr>
        <w:t>, la Sala Plena de la Corte Constitucional, ratificó el alcance de la sentencia C-258 de 2013 al manifestar que la </w:t>
      </w:r>
      <w:r w:rsidRPr="00CE2597">
        <w:rPr>
          <w:rFonts w:ascii="Century Gothic" w:eastAsia="Times New Roman" w:hAnsi="Century Gothic" w:cs="Times New Roman"/>
          <w:i/>
          <w:iCs/>
          <w:color w:val="262626" w:themeColor="text1" w:themeTint="D9"/>
          <w:sz w:val="24"/>
          <w:szCs w:val="24"/>
          <w:bdr w:val="none" w:sz="0" w:space="0" w:color="auto" w:frame="1"/>
          <w:lang w:eastAsia="es-ES"/>
        </w:rPr>
        <w:t xml:space="preserve">ratio </w:t>
      </w:r>
      <w:proofErr w:type="spellStart"/>
      <w:r w:rsidRPr="00CE2597">
        <w:rPr>
          <w:rFonts w:ascii="Century Gothic" w:eastAsia="Times New Roman" w:hAnsi="Century Gothic" w:cs="Times New Roman"/>
          <w:i/>
          <w:iCs/>
          <w:color w:val="262626" w:themeColor="text1" w:themeTint="D9"/>
          <w:sz w:val="24"/>
          <w:szCs w:val="24"/>
          <w:bdr w:val="none" w:sz="0" w:space="0" w:color="auto" w:frame="1"/>
          <w:lang w:eastAsia="es-ES"/>
        </w:rPr>
        <w:t>decidendi</w:t>
      </w:r>
      <w:proofErr w:type="spellEnd"/>
      <w:r w:rsidRPr="00CE2597">
        <w:rPr>
          <w:rFonts w:ascii="Century Gothic" w:eastAsia="Times New Roman" w:hAnsi="Century Gothic" w:cs="Times New Roman"/>
          <w:color w:val="262626" w:themeColor="text1" w:themeTint="D9"/>
          <w:sz w:val="24"/>
          <w:szCs w:val="24"/>
          <w:bdr w:val="none" w:sz="0" w:space="0" w:color="auto" w:frame="1"/>
          <w:lang w:eastAsia="es-ES"/>
        </w:rPr>
        <w:t> de esta providencia interpretó las normas que regulan la aplicación del régimen de transición y estableció que el modo de promediar la base de liquidación no podía ser la estipulada en la legislación anterior, ya que la transición solo comprende los conceptos de edad, monto y semanas de cotización y excluye el promedio de liquidación.</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Con posterioridad, en la </w:t>
      </w:r>
      <w:r w:rsidRPr="00CE2597">
        <w:rPr>
          <w:rFonts w:ascii="Century Gothic" w:eastAsia="Times New Roman" w:hAnsi="Century Gothic" w:cs="Times New Roman"/>
          <w:b/>
          <w:bCs/>
          <w:color w:val="262626" w:themeColor="text1" w:themeTint="D9"/>
          <w:sz w:val="24"/>
          <w:szCs w:val="24"/>
          <w:bdr w:val="none" w:sz="0" w:space="0" w:color="auto" w:frame="1"/>
          <w:lang w:val="es-CO" w:eastAsia="es-ES"/>
        </w:rPr>
        <w:t>SU-230 de 2015</w:t>
      </w:r>
      <w:r w:rsidRPr="00CE2597">
        <w:rPr>
          <w:rFonts w:ascii="Century Gothic" w:eastAsia="Times New Roman" w:hAnsi="Century Gothic" w:cs="Times New Roman"/>
          <w:color w:val="262626" w:themeColor="text1" w:themeTint="D9"/>
          <w:sz w:val="24"/>
          <w:szCs w:val="24"/>
          <w:bdr w:val="none" w:sz="0" w:space="0" w:color="auto" w:frame="1"/>
          <w:lang w:val="es-CO" w:eastAsia="es-ES"/>
        </w:rPr>
        <w:t>, la Corte Constitucional estudió una acción de tutela que pretendía proteger los </w:t>
      </w:r>
      <w:r w:rsidRPr="00CE2597">
        <w:rPr>
          <w:rFonts w:ascii="Century Gothic" w:eastAsia="Times New Roman" w:hAnsi="Century Gothic" w:cs="Times New Roman"/>
          <w:color w:val="262626" w:themeColor="text1" w:themeTint="D9"/>
          <w:sz w:val="24"/>
          <w:szCs w:val="24"/>
          <w:bdr w:val="none" w:sz="0" w:space="0" w:color="auto" w:frame="1"/>
          <w:lang w:eastAsia="es-ES"/>
        </w:rPr>
        <w:t>derechos fundamentales a la igualdad, debido proceso, seguridad social y al mínimo vital, </w:t>
      </w:r>
      <w:r w:rsidRPr="00CE2597">
        <w:rPr>
          <w:rFonts w:ascii="Century Gothic" w:eastAsia="Times New Roman" w:hAnsi="Century Gothic" w:cs="Times New Roman"/>
          <w:color w:val="262626" w:themeColor="text1" w:themeTint="D9"/>
          <w:sz w:val="24"/>
          <w:szCs w:val="24"/>
          <w:bdr w:val="none" w:sz="0" w:space="0" w:color="auto" w:frame="1"/>
          <w:lang w:val="es-CO" w:eastAsia="es-ES"/>
        </w:rPr>
        <w:t>frente a una liquidación pensional realizada</w:t>
      </w:r>
      <w:r w:rsidRPr="00CE2597">
        <w:rPr>
          <w:rFonts w:ascii="Century Gothic" w:eastAsia="Times New Roman" w:hAnsi="Century Gothic" w:cs="Times New Roman"/>
          <w:color w:val="262626" w:themeColor="text1" w:themeTint="D9"/>
          <w:sz w:val="24"/>
          <w:szCs w:val="24"/>
          <w:bdr w:val="none" w:sz="0" w:space="0" w:color="auto" w:frame="1"/>
          <w:lang w:eastAsia="es-ES"/>
        </w:rPr>
        <w:t> con base en el promedio de los salarios devengados durante los últimos 10 años (artículo 36 de la Ley 100 de 1993), y no teniendo en cuenta el promedio de los salarios devengados en el último año (artículo 1º de la Ley 33 de 1985), </w:t>
      </w:r>
      <w:r w:rsidRPr="00CE2597">
        <w:rPr>
          <w:rFonts w:ascii="Century Gothic" w:eastAsia="Times New Roman" w:hAnsi="Century Gothic" w:cs="Times New Roman"/>
          <w:color w:val="262626" w:themeColor="text1" w:themeTint="D9"/>
          <w:sz w:val="24"/>
          <w:szCs w:val="24"/>
          <w:bdr w:val="none" w:sz="0" w:space="0" w:color="auto" w:frame="1"/>
          <w:lang w:val="es-CO" w:eastAsia="es-ES"/>
        </w:rPr>
        <w:t>donde</w:t>
      </w: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 concluyó que a partir de la sentencia C-258 de 2013, la Corte realizó consideraciones generales y fijó una </w:t>
      </w:r>
      <w:r w:rsidRPr="00CE2597">
        <w:rPr>
          <w:rFonts w:ascii="Century Gothic" w:eastAsia="Times New Roman" w:hAnsi="Century Gothic" w:cs="Times New Roman"/>
          <w:color w:val="262626" w:themeColor="text1" w:themeTint="D9"/>
          <w:sz w:val="24"/>
          <w:szCs w:val="24"/>
          <w:bdr w:val="none" w:sz="0" w:space="0" w:color="auto" w:frame="1"/>
          <w:lang w:eastAsia="es-ES"/>
        </w:rPr>
        <w:lastRenderedPageBreak/>
        <w:t xml:space="preserve">interpretación en abstracto del artículo 36 de la Ley 100 de 1993, en el sentido de establecer que el IBL no es un aspecto de la transición y, por lo tanto, son las reglas contenidas en el régimen general las que deben observarse para determinar el monto pensional con independencia del régimen especial al que pertenezca.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En igual sentido, en la sentencia </w:t>
      </w:r>
      <w:r w:rsidRPr="00CE2597">
        <w:rPr>
          <w:rFonts w:ascii="Century Gothic" w:eastAsia="Times New Roman" w:hAnsi="Century Gothic" w:cs="Times New Roman"/>
          <w:b/>
          <w:bCs/>
          <w:color w:val="262626" w:themeColor="text1" w:themeTint="D9"/>
          <w:sz w:val="24"/>
          <w:szCs w:val="24"/>
          <w:bdr w:val="none" w:sz="0" w:space="0" w:color="auto" w:frame="1"/>
          <w:lang w:val="es-CO" w:eastAsia="es-ES"/>
        </w:rPr>
        <w:t>SU-427 de 2016</w:t>
      </w:r>
      <w:r w:rsidRPr="00CE2597">
        <w:rPr>
          <w:rFonts w:ascii="Century Gothic" w:eastAsia="Times New Roman" w:hAnsi="Century Gothic" w:cs="Times New Roman"/>
          <w:color w:val="262626" w:themeColor="text1" w:themeTint="D9"/>
          <w:sz w:val="24"/>
          <w:szCs w:val="24"/>
          <w:bdr w:val="none" w:sz="0" w:space="0" w:color="auto" w:frame="1"/>
          <w:lang w:val="es-CO" w:eastAsia="es-ES"/>
        </w:rPr>
        <w:t> se dispuso que </w:t>
      </w:r>
      <w:r w:rsidRPr="00CE2597">
        <w:rPr>
          <w:rFonts w:ascii="Century Gothic" w:eastAsia="Times New Roman" w:hAnsi="Century Gothic" w:cs="Times New Roman"/>
          <w:color w:val="262626" w:themeColor="text1" w:themeTint="D9"/>
          <w:sz w:val="24"/>
          <w:szCs w:val="24"/>
          <w:bdr w:val="none" w:sz="0" w:space="0" w:color="auto" w:frame="1"/>
          <w:lang w:eastAsia="es-ES"/>
        </w:rPr>
        <w:t>el reconocimiento de una pensión de vejez o de jubilación con ocasión del régimen de transición sin tener en cuenta la hermenéutica del artículo 36 de la Ley 100 de 1993 realizada por la sentencia C-258 de 2013 al igual que en la sentencia </w:t>
      </w:r>
      <w:r w:rsidRPr="00CE2597">
        <w:rPr>
          <w:rFonts w:ascii="Century Gothic" w:eastAsia="Times New Roman" w:hAnsi="Century Gothic" w:cs="Times New Roman"/>
          <w:b/>
          <w:bCs/>
          <w:color w:val="262626" w:themeColor="text1" w:themeTint="D9"/>
          <w:sz w:val="24"/>
          <w:szCs w:val="24"/>
          <w:bdr w:val="none" w:sz="0" w:space="0" w:color="auto" w:frame="1"/>
          <w:lang w:eastAsia="es-ES"/>
        </w:rPr>
        <w:t>SU-210 de 2017</w:t>
      </w:r>
      <w:r w:rsidRPr="00CE2597">
        <w:rPr>
          <w:rFonts w:ascii="Century Gothic" w:eastAsia="Times New Roman" w:hAnsi="Century Gothic" w:cs="Times New Roman"/>
          <w:color w:val="262626" w:themeColor="text1" w:themeTint="D9"/>
          <w:sz w:val="24"/>
          <w:szCs w:val="24"/>
          <w:bdr w:val="none" w:sz="0" w:space="0" w:color="auto" w:frame="1"/>
          <w:lang w:eastAsia="es-ES"/>
        </w:rPr>
        <w:t>, se mantuvo la consideración sobre la aplicación del IBL de conformidad con lo prescrito en la Ley 100 de 1993.</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r w:rsidRPr="00CE2597">
        <w:rPr>
          <w:rFonts w:ascii="Century Gothic" w:eastAsia="Times New Roman" w:hAnsi="Century Gothic" w:cs="Times New Roman"/>
          <w:color w:val="262626" w:themeColor="text1" w:themeTint="D9"/>
          <w:sz w:val="24"/>
          <w:szCs w:val="24"/>
          <w:bdr w:val="none" w:sz="0" w:space="0" w:color="auto" w:frame="1"/>
          <w:lang w:val="es-CO" w:eastAsia="es-ES"/>
        </w:rPr>
        <w:t xml:space="preserve">En contraste con lo anterior, ha sido posición reiterada del Consejo de Estado, máximo órgano de la jurisdicción contencioso administrativa, el entender que los beneficiarios del régimen de transición pensional deben ser liquidados en su integralidad con el régimen que los cobija, señalando para el efecto que el ingreso base de liquidación hace parte del mismo, y por tanto debe estar conformado con todos los emolumentos percibidos en el último año de servicios del empleado. </w:t>
      </w:r>
    </w:p>
    <w:p w:rsidR="00405FB6" w:rsidRPr="00CE2597" w:rsidRDefault="00405FB6"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val="es-CO" w:eastAsia="es-ES"/>
        </w:rPr>
      </w:pPr>
      <w:r w:rsidRPr="00CE2597">
        <w:rPr>
          <w:rFonts w:ascii="Century Gothic" w:hAnsi="Century Gothic" w:cs="Arial"/>
          <w:color w:val="262626" w:themeColor="text1" w:themeTint="D9"/>
          <w:sz w:val="24"/>
          <w:szCs w:val="24"/>
        </w:rPr>
        <w:t>Esta posición fue reafirmada y unificada mediante la sentencia de 25 de febrero de 2016</w:t>
      </w:r>
      <w:r w:rsidRPr="00CE2597">
        <w:rPr>
          <w:rStyle w:val="Refdenotaalpie"/>
          <w:rFonts w:ascii="Century Gothic" w:hAnsi="Century Gothic" w:cs="Arial"/>
          <w:color w:val="262626" w:themeColor="text1" w:themeTint="D9"/>
          <w:sz w:val="24"/>
          <w:szCs w:val="24"/>
        </w:rPr>
        <w:footnoteReference w:id="16"/>
      </w:r>
      <w:r w:rsidRPr="00CE2597">
        <w:rPr>
          <w:rFonts w:ascii="Century Gothic" w:hAnsi="Century Gothic" w:cs="Arial"/>
          <w:color w:val="262626" w:themeColor="text1" w:themeTint="D9"/>
          <w:sz w:val="24"/>
          <w:szCs w:val="24"/>
        </w:rPr>
        <w:t xml:space="preserve"> en la cual se mantuvo la posición adoptada en la sentencia de unificación de 4 de agosto de 2010, sobre la aplicabilidad del régimen de transición y liquidación de la pensión en el régimen de transición con todos los factores, específicamente se señaló lo siguiente: </w:t>
      </w:r>
    </w:p>
    <w:p w:rsidR="00B43045" w:rsidRPr="00CE2597"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 </w:t>
      </w:r>
      <w:r w:rsidRPr="00CE2597">
        <w:rPr>
          <w:rStyle w:val="Textoennegrita"/>
          <w:rFonts w:ascii="Century Gothic" w:hAnsi="Century Gothic" w:cs="Arial"/>
          <w:i/>
          <w:color w:val="262626" w:themeColor="text1" w:themeTint="D9"/>
          <w:sz w:val="20"/>
          <w:szCs w:val="20"/>
          <w:u w:val="single"/>
        </w:rPr>
        <w:t>el criterio invariable de esta Corporación, sostenido en forma unánime por más de veinte años, ha sido y es que el monto de las pensiones del régimen de transición pensional del sector oficial comprende la base (generalmente el ingreso salarial del último año de servicios) y el porcentaje dispuesto legalmente (que es por regla general el 75%).</w:t>
      </w:r>
      <w:r w:rsidRPr="00CE2597">
        <w:rPr>
          <w:rFonts w:ascii="Century Gothic" w:hAnsi="Century Gothic" w:cs="Arial"/>
          <w:i/>
          <w:color w:val="262626" w:themeColor="text1" w:themeTint="D9"/>
          <w:sz w:val="20"/>
          <w:szCs w:val="20"/>
        </w:rPr>
        <w:t> La única excepción a este criterio la constituyen las pensiones de Congresistas y asimilados, regidas por la Ley 4ª de 1992, en virtud de la cosa juzgada constitucional establecida en la sentencia C-258 de 2013, pues conforme a la parte resolutiva de la referida sentencia de control constitucional, “las reglas sobre ingreso base de liquidación (IBL), aplicables a todos los beneficiarios de este régimen especial, son las contenidas en los artículos 21 y 36, inciso tercero, de la Ley 100 de 1993, según el caso.</w:t>
      </w:r>
    </w:p>
    <w:p w:rsidR="00B43045" w:rsidRPr="00CE2597"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lastRenderedPageBreak/>
        <w:t>Mantiene el Consejo de Estado las razones que sustentan su postura tradicional con respecto al ingreso base de las pensiones del régimen de transición, así:</w:t>
      </w:r>
    </w:p>
    <w:p w:rsidR="00B43045" w:rsidRPr="00CE2597"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 1) La complejidad de los regímenes especiales pensionales, aplicables en virtud del régimen de transición, hace altamente razonable la interpretación que tradicionalmente ha tenido esta Corporación respecto de la expresión “monto” contenida como criterio general en el artículo 36 de la Ley 100 de 1993.</w:t>
      </w:r>
    </w:p>
    <w:p w:rsidR="00B43045" w:rsidRPr="00CE2597"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2) Esta interpretación ha sido compartida en múltiples sentencia de constitucionalidad y de tutela de la Corte Constitucional, por lo cual el Consejo de Estado la ha aplicado en forma reiterada y pacífica. </w:t>
      </w:r>
      <w:r w:rsidRPr="00CE2597">
        <w:rPr>
          <w:rStyle w:val="Textoennegrita"/>
          <w:rFonts w:ascii="Century Gothic" w:hAnsi="Century Gothic" w:cs="Arial"/>
          <w:i/>
          <w:color w:val="262626" w:themeColor="text1" w:themeTint="D9"/>
          <w:sz w:val="20"/>
          <w:szCs w:val="20"/>
          <w:u w:val="single"/>
        </w:rPr>
        <w:t>La variación interpretativa que pretende introducir la sentencia SU-230 de 2015, si se acogiera por el Consejo de Estado, afectaría el derecho a la igualdad de los ciudadanos beneficiarios del régimen de transición que tienen sus pensiones pendientes de decisiones judiciales o administrativas, y que constituyen un número significativamente menor de quienes se han beneficiado de la forma tradicional de liquidación, dada la inminente finalización del régimen de transición pensional</w:t>
      </w:r>
      <w:r w:rsidRPr="00CE2597">
        <w:rPr>
          <w:rFonts w:ascii="Century Gothic" w:hAnsi="Century Gothic" w:cs="Arial"/>
          <w:i/>
          <w:color w:val="262626" w:themeColor="text1" w:themeTint="D9"/>
          <w:sz w:val="20"/>
          <w:szCs w:val="20"/>
        </w:rPr>
        <w:t>. El principio constitucional de igualdad, en este caso se vería seriamente afectado en un aspecto cardinal de los derechos sociales como lo son las pensiones. Igual reflexión cabría sobre el impacto económico, que en todo caso ya se asumió para la generalidad de los pensionados, quedando muy pocos pendientes de esa decisión. Debe recordarse que el Acto Legislativo No. 1 de 2005, además de introducir el concepto de sostenibilidad financiera al sistema pensional, dispuso que el Estado “asumirá la deuda pensional que esté a su cargo”.</w:t>
      </w:r>
    </w:p>
    <w:p w:rsidR="00B43045" w:rsidRPr="00CE2597"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CE2597">
        <w:rPr>
          <w:rStyle w:val="Textoennegrita"/>
          <w:rFonts w:ascii="Century Gothic" w:hAnsi="Century Gothic" w:cs="Arial"/>
          <w:i/>
          <w:color w:val="262626" w:themeColor="text1" w:themeTint="D9"/>
          <w:sz w:val="20"/>
          <w:szCs w:val="20"/>
        </w:rPr>
        <w:t>3) </w:t>
      </w:r>
      <w:r w:rsidRPr="00CE2597">
        <w:rPr>
          <w:rStyle w:val="Textoennegrita"/>
          <w:rFonts w:ascii="Century Gothic" w:hAnsi="Century Gothic" w:cs="Arial"/>
          <w:i/>
          <w:color w:val="262626" w:themeColor="text1" w:themeTint="D9"/>
          <w:sz w:val="20"/>
          <w:szCs w:val="20"/>
          <w:u w:val="single"/>
        </w:rPr>
        <w:t>Los serios argumentos de desigualdad económica y social que sustentaron las decisiones de la sentencia C-258 de 2013, incluido el relativo al ingreso base de liquidación de las pensiones del régimen cuya constitucionalidad se definió en esa oportunidad, no pueden extenderse a las demás pensiones de los regímenes especiales del sector público que no tienen las características de excepcionales ni privilegiadas.</w:t>
      </w:r>
    </w:p>
    <w:p w:rsidR="00B43045" w:rsidRPr="00CE2597"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4) </w:t>
      </w:r>
      <w:r w:rsidRPr="00CE2597">
        <w:rPr>
          <w:rStyle w:val="Textoennegrita"/>
          <w:rFonts w:ascii="Century Gothic" w:hAnsi="Century Gothic" w:cs="Arial"/>
          <w:i/>
          <w:color w:val="262626" w:themeColor="text1" w:themeTint="D9"/>
          <w:sz w:val="20"/>
          <w:szCs w:val="20"/>
          <w:u w:val="single"/>
        </w:rPr>
        <w:t>La Corte Constitucional no ha rechazado la postura del Consejo de Estado en este punto en forma expresa,</w:t>
      </w:r>
      <w:r w:rsidRPr="00CE2597">
        <w:rPr>
          <w:rFonts w:ascii="Century Gothic" w:hAnsi="Century Gothic" w:cs="Arial"/>
          <w:i/>
          <w:color w:val="262626" w:themeColor="text1" w:themeTint="D9"/>
          <w:sz w:val="20"/>
          <w:szCs w:val="20"/>
        </w:rPr>
        <w:t> en acciones de tutela en las que esta Corporación haya sido accionada, por lo cual la sentencia SU-230 de 2015 no le sería aplicable, dado que como tribunal supremo de lo contencioso administrativo, debería tener derecho, como mínimo a defender su posición en tales acciones. Cuando tal cosa suceda, es de esperar que la Corte Constitucional examine los argumentos aquí expuestos y debata a su interior el alcance de los mismos antes de pronunciarse sobre este importante tema.</w:t>
      </w:r>
    </w:p>
    <w:p w:rsidR="00B43045" w:rsidRPr="00CE2597"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5) </w:t>
      </w:r>
      <w:r w:rsidRPr="00CE2597">
        <w:rPr>
          <w:rStyle w:val="Textoennegrita"/>
          <w:rFonts w:ascii="Century Gothic" w:hAnsi="Century Gothic" w:cs="Arial"/>
          <w:i/>
          <w:color w:val="262626" w:themeColor="text1" w:themeTint="D9"/>
          <w:sz w:val="20"/>
          <w:szCs w:val="20"/>
          <w:u w:val="single"/>
        </w:rPr>
        <w:t>Los principios de progresividad y no regresividad de los derechos sociales</w:t>
      </w:r>
      <w:r w:rsidRPr="00CE2597">
        <w:rPr>
          <w:rFonts w:ascii="Century Gothic" w:hAnsi="Century Gothic" w:cs="Arial"/>
          <w:i/>
          <w:color w:val="262626" w:themeColor="text1" w:themeTint="D9"/>
          <w:sz w:val="20"/>
          <w:szCs w:val="20"/>
        </w:rPr>
        <w:t>, que la misma Corte Constitucional ha estimado incorporados a la Constitución Política colombiana en virtud del llamado “bloque de constitucionalidad”, </w:t>
      </w:r>
      <w:r w:rsidRPr="00CE2597">
        <w:rPr>
          <w:rStyle w:val="Textoennegrita"/>
          <w:rFonts w:ascii="Century Gothic" w:hAnsi="Century Gothic" w:cs="Arial"/>
          <w:i/>
          <w:color w:val="262626" w:themeColor="text1" w:themeTint="D9"/>
          <w:sz w:val="20"/>
          <w:szCs w:val="20"/>
          <w:u w:val="single"/>
        </w:rPr>
        <w:t>no se predican exclusivamente de los cambios legales sino también de las variaciones jurisprudenciales</w:t>
      </w:r>
      <w:r w:rsidRPr="00CE2597">
        <w:rPr>
          <w:rFonts w:ascii="Century Gothic" w:hAnsi="Century Gothic" w:cs="Arial"/>
          <w:i/>
          <w:color w:val="262626" w:themeColor="text1" w:themeTint="D9"/>
          <w:sz w:val="20"/>
          <w:szCs w:val="20"/>
        </w:rPr>
        <w:t>. Si la interpretación tradicional del Consejo de Estado sobre el concepto de “monto” en las pensiones del régimen de transición del sector público se ha aplicado a la generalidad de los pensionados de dicho sector, tanto en sede administrativa como en las decisiones judiciales, y esa interpretación ha sido compartida por la Corte Constitucional en sentencias de constitucionalidad y de tutela, no parece acorde con los referidos principios de progresividad y no regresividad el cambio jurisprudencial que se pretende introducir con la sentencia SU-230 de 2015.</w:t>
      </w:r>
    </w:p>
    <w:p w:rsidR="00B43045" w:rsidRPr="00CE2597" w:rsidRDefault="00B43045" w:rsidP="007C413D">
      <w:pPr>
        <w:pStyle w:val="NormalWeb"/>
        <w:spacing w:before="150" w:beforeAutospacing="0" w:after="0" w:afterAutospacing="0"/>
        <w:ind w:left="709"/>
        <w:jc w:val="both"/>
        <w:rPr>
          <w:rFonts w:ascii="Century Gothic" w:hAnsi="Century Gothic" w:cs="Arial"/>
          <w:i/>
          <w:color w:val="262626" w:themeColor="text1" w:themeTint="D9"/>
          <w:sz w:val="20"/>
          <w:szCs w:val="20"/>
        </w:rPr>
      </w:pPr>
      <w:r w:rsidRPr="00CE2597">
        <w:rPr>
          <w:rFonts w:ascii="Century Gothic" w:hAnsi="Century Gothic" w:cs="Arial"/>
          <w:i/>
          <w:color w:val="262626" w:themeColor="text1" w:themeTint="D9"/>
          <w:sz w:val="20"/>
          <w:szCs w:val="20"/>
        </w:rPr>
        <w:t>En efecto, si ya la Constitución dispuso la finalización del régimen de transición pensional y queda pendiente, en consecuencia, un volumen de reconocimientos pensionales mucho menor que el que ya tiene decidido el asunto conforme a la jurisprudencia del Consejo de Estado, </w:t>
      </w:r>
      <w:r w:rsidRPr="00CE2597">
        <w:rPr>
          <w:rStyle w:val="Textoennegrita"/>
          <w:rFonts w:ascii="Century Gothic" w:hAnsi="Century Gothic" w:cs="Arial"/>
          <w:i/>
          <w:color w:val="262626" w:themeColor="text1" w:themeTint="D9"/>
          <w:sz w:val="20"/>
          <w:szCs w:val="20"/>
          <w:u w:val="single"/>
        </w:rPr>
        <w:t xml:space="preserve">no se ve ninguna afectación del principio de sostenibilidad financiera que imponga el cambio jurisprudencial que plantea la </w:t>
      </w:r>
      <w:r w:rsidRPr="00CE2597">
        <w:rPr>
          <w:rStyle w:val="Textoennegrita"/>
          <w:rFonts w:ascii="Century Gothic" w:hAnsi="Century Gothic" w:cs="Arial"/>
          <w:i/>
          <w:color w:val="262626" w:themeColor="text1" w:themeTint="D9"/>
          <w:sz w:val="20"/>
          <w:szCs w:val="20"/>
          <w:u w:val="single"/>
        </w:rPr>
        <w:lastRenderedPageBreak/>
        <w:t>sentencia SU-230 de 2015, y en cambio sí se hace notorio y protuberante el desconocimiento de los principios de igualdad y de progresividad</w:t>
      </w:r>
      <w:r w:rsidRPr="00CE2597">
        <w:rPr>
          <w:rFonts w:ascii="Century Gothic" w:hAnsi="Century Gothic" w:cs="Arial"/>
          <w:i/>
          <w:color w:val="262626" w:themeColor="text1" w:themeTint="D9"/>
          <w:sz w:val="20"/>
          <w:szCs w:val="20"/>
        </w:rPr>
        <w:t>.» </w:t>
      </w:r>
    </w:p>
    <w:p w:rsidR="00B43045" w:rsidRPr="00CE2597" w:rsidRDefault="00B43045" w:rsidP="007C413D">
      <w:pPr>
        <w:spacing w:after="0" w:line="300" w:lineRule="auto"/>
        <w:jc w:val="both"/>
        <w:rPr>
          <w:rFonts w:ascii="Century Gothic" w:hAnsi="Century Gothic" w:cs="Arial"/>
          <w:b/>
          <w:i/>
          <w:color w:val="262626" w:themeColor="text1" w:themeTint="D9"/>
          <w:sz w:val="24"/>
          <w:szCs w:val="24"/>
        </w:rPr>
      </w:pPr>
    </w:p>
    <w:p w:rsidR="00B43045" w:rsidRPr="00CE2597" w:rsidRDefault="00B43045" w:rsidP="007C413D">
      <w:pPr>
        <w:spacing w:after="0" w:line="300" w:lineRule="auto"/>
        <w:jc w:val="both"/>
        <w:rPr>
          <w:rFonts w:ascii="Century Gothic" w:hAnsi="Century Gothic" w:cs="Arial"/>
          <w:color w:val="262626" w:themeColor="text1" w:themeTint="D9"/>
          <w:sz w:val="24"/>
          <w:szCs w:val="24"/>
        </w:rPr>
      </w:pPr>
      <w:r w:rsidRPr="00CE2597">
        <w:rPr>
          <w:rFonts w:ascii="Century Gothic" w:hAnsi="Century Gothic" w:cs="Arial"/>
          <w:color w:val="262626" w:themeColor="text1" w:themeTint="D9"/>
          <w:sz w:val="24"/>
          <w:szCs w:val="24"/>
        </w:rPr>
        <w:t>Ahora bien, en reciente pronunciamiento del 28 de agosto de 2018</w:t>
      </w:r>
      <w:r w:rsidRPr="00CE2597">
        <w:rPr>
          <w:rStyle w:val="Refdenotaalpie"/>
          <w:rFonts w:ascii="Century Gothic" w:hAnsi="Century Gothic" w:cs="Arial"/>
          <w:color w:val="262626" w:themeColor="text1" w:themeTint="D9"/>
          <w:sz w:val="24"/>
          <w:szCs w:val="24"/>
        </w:rPr>
        <w:footnoteReference w:id="17"/>
      </w:r>
      <w:r w:rsidRPr="00CE2597">
        <w:rPr>
          <w:rFonts w:ascii="Century Gothic" w:hAnsi="Century Gothic" w:cs="Arial"/>
          <w:color w:val="262626" w:themeColor="text1" w:themeTint="D9"/>
          <w:sz w:val="24"/>
          <w:szCs w:val="24"/>
        </w:rPr>
        <w:t xml:space="preserve">, la Sala Plena del Consejo de Estado modificó la posición jurisprudencial que venía fijada por la Sección Segunda de dicha Corporación, en la cual se inclinó por la posición adoptada por la Corte Constitucional, pero conservando algunos matices particulares, en dicho pronunciamiento señaló la Alta Corporación: </w:t>
      </w:r>
    </w:p>
    <w:p w:rsidR="00B43045" w:rsidRPr="00CE2597" w:rsidRDefault="00B43045" w:rsidP="007C413D">
      <w:pPr>
        <w:spacing w:after="0" w:line="300" w:lineRule="auto"/>
        <w:jc w:val="both"/>
        <w:rPr>
          <w:rFonts w:ascii="Century Gothic" w:hAnsi="Century Gothic" w:cs="Arial"/>
          <w:b/>
          <w:i/>
          <w:color w:val="262626" w:themeColor="text1" w:themeTint="D9"/>
          <w:sz w:val="24"/>
          <w:szCs w:val="24"/>
        </w:rPr>
      </w:pPr>
    </w:p>
    <w:p w:rsidR="00B43045" w:rsidRPr="00CE2597" w:rsidRDefault="00B43045" w:rsidP="007C413D">
      <w:pPr>
        <w:pStyle w:val="NormalWeb"/>
        <w:spacing w:before="0" w:beforeAutospacing="0" w:after="0" w:afterAutospacing="0"/>
        <w:ind w:left="708"/>
        <w:jc w:val="both"/>
        <w:rPr>
          <w:rFonts w:ascii="Century Gothic" w:hAnsi="Century Gothic" w:cs="Arial"/>
          <w:i/>
          <w:color w:val="262626" w:themeColor="text1" w:themeTint="D9"/>
          <w:sz w:val="20"/>
          <w:szCs w:val="20"/>
        </w:rPr>
      </w:pPr>
      <w:r w:rsidRPr="00CE2597">
        <w:rPr>
          <w:rFonts w:ascii="Century Gothic" w:hAnsi="Century Gothic" w:cs="Arial"/>
          <w:b/>
          <w:i/>
          <w:color w:val="262626" w:themeColor="text1" w:themeTint="D9"/>
          <w:sz w:val="20"/>
          <w:szCs w:val="20"/>
        </w:rPr>
        <w:t>“</w:t>
      </w:r>
      <w:r w:rsidRPr="00CE2597">
        <w:rPr>
          <w:rFonts w:ascii="Century Gothic" w:hAnsi="Century Gothic" w:cs="Arial"/>
          <w:b/>
          <w:bCs/>
          <w:i/>
          <w:color w:val="262626" w:themeColor="text1" w:themeTint="D9"/>
          <w:sz w:val="20"/>
          <w:szCs w:val="20"/>
        </w:rPr>
        <w:t>Primero: </w:t>
      </w:r>
      <w:r w:rsidRPr="00CE2597">
        <w:rPr>
          <w:rFonts w:ascii="Century Gothic" w:hAnsi="Century Gothic" w:cs="Arial"/>
          <w:i/>
          <w:color w:val="262626" w:themeColor="text1" w:themeTint="D9"/>
          <w:sz w:val="20"/>
          <w:szCs w:val="20"/>
        </w:rPr>
        <w:t>Sentar como jurisprudencia del Consejo de Estado frente a la interpretación del artículo 36 de la Ley 100 de 1993, que consagra el régimen de transición pensional, lo siguiente:</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 </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1. El Ingreso Base de Liquidación del inciso tercero del artículo 36 de la Ley 100 de 1993 hace parte del régimen de transición para aquellas personas beneficiarias del mismo que se pensionen con los requisitos de edad, tiempo y tasa de reemplazo del régimen general de pensiones previsto en la Ley 33 de 1985.</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 </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2. Para los servidores públicos que se pensionen conforme a las condiciones de la Ley 33 de 1985, el periodo para liquidar la pensión es:</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 </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 Si faltare menos de diez (10) años para adquirir el derecho a la pensión, el ingreso base de liquidación será (i) el promedio de lo devengado en el tiempo que les hiciere falta para ello, o (ii) el cotizado durante todo el tiempo, el que fuere superior, actualizado anualmente con base en la variación del Índice de Precios al consumidor, según certificación que expida el DANE.</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 </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 Si faltare más de diez (10) años, el ingreso base de liquidación será el promedio de los salarios o rentas sobre los cuales ha cotizado el afiliado durante los diez (10) años anteriores al reconocimiento de la pensión, actualizados anualmente con base en la variación del índice de precios al consumidor, según certificación que expida el DANE.</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 </w:t>
      </w:r>
    </w:p>
    <w:p w:rsidR="00B43045" w:rsidRPr="00CE2597" w:rsidRDefault="00B43045" w:rsidP="007C413D">
      <w:pPr>
        <w:spacing w:after="0" w:line="240" w:lineRule="auto"/>
        <w:ind w:left="708"/>
        <w:jc w:val="both"/>
        <w:rPr>
          <w:rFonts w:ascii="Century Gothic" w:eastAsia="Times New Roman" w:hAnsi="Century Gothic" w:cs="Arial"/>
          <w:i/>
          <w:color w:val="262626" w:themeColor="text1" w:themeTint="D9"/>
          <w:sz w:val="20"/>
          <w:szCs w:val="20"/>
          <w:lang w:val="es-CO" w:eastAsia="es-CO"/>
        </w:rPr>
      </w:pPr>
      <w:r w:rsidRPr="00CE2597">
        <w:rPr>
          <w:rFonts w:ascii="Century Gothic" w:eastAsia="Times New Roman" w:hAnsi="Century Gothic" w:cs="Arial"/>
          <w:i/>
          <w:color w:val="262626" w:themeColor="text1" w:themeTint="D9"/>
          <w:sz w:val="20"/>
          <w:szCs w:val="20"/>
          <w:lang w:val="es-CO" w:eastAsia="es-CO"/>
        </w:rPr>
        <w:t>3. Los factores salariales que se deben incluir en el IBL para la pensión de vejez de los servidores públicos beneficiarios de la transición son únicamente aquellos sobre los que se hayan efectuado los aportes o cotizaciones al Sistema de Pensiones.”</w:t>
      </w:r>
    </w:p>
    <w:p w:rsidR="00B43045" w:rsidRPr="00CE2597" w:rsidRDefault="00B43045" w:rsidP="007C413D">
      <w:pPr>
        <w:spacing w:after="0" w:line="300" w:lineRule="auto"/>
        <w:jc w:val="both"/>
        <w:rPr>
          <w:rFonts w:ascii="Century Gothic" w:hAnsi="Century Gothic" w:cs="Arial"/>
          <w:b/>
          <w:i/>
          <w:color w:val="262626" w:themeColor="text1" w:themeTint="D9"/>
          <w:sz w:val="24"/>
          <w:szCs w:val="24"/>
        </w:rPr>
      </w:pP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r w:rsidRPr="00CE2597">
        <w:rPr>
          <w:rFonts w:ascii="Century Gothic" w:eastAsia="Times New Roman" w:hAnsi="Century Gothic" w:cs="Times New Roman"/>
          <w:color w:val="262626" w:themeColor="text1" w:themeTint="D9"/>
          <w:sz w:val="24"/>
          <w:szCs w:val="24"/>
          <w:bdr w:val="none" w:sz="0" w:space="0" w:color="auto" w:frame="1"/>
          <w:lang w:eastAsia="es-ES"/>
        </w:rPr>
        <w:t xml:space="preserve">En este orden, se observa que venían coexistiendo dos posiciones interpretativas sobre la aplicación del régimen de transición pensional en la liquidación de la asignación, no obstante dado el reciente pronunciamiento del Consejo de Estado que se ha inclinado sustancialmente en dirección a la tesis sostenida por la Corte Constitucional, resulta claro que se debe continuar acogiendo  el criterio adoptado como precedente constitucional por la H. Corte Constitucional, el cual se viene aplicando por la Sala incluso desde antes </w:t>
      </w:r>
      <w:r w:rsidRPr="00CE2597">
        <w:rPr>
          <w:rFonts w:ascii="Century Gothic" w:eastAsia="Times New Roman" w:hAnsi="Century Gothic" w:cs="Times New Roman"/>
          <w:color w:val="262626" w:themeColor="text1" w:themeTint="D9"/>
          <w:sz w:val="24"/>
          <w:szCs w:val="24"/>
          <w:bdr w:val="none" w:sz="0" w:space="0" w:color="auto" w:frame="1"/>
          <w:lang w:eastAsia="es-ES"/>
        </w:rPr>
        <w:lastRenderedPageBreak/>
        <w:t xml:space="preserve">del pronunciamiento del 28 de agosto de 2018, lo cual se acompasa con la nueva postura del Consejo de Estado, dado que la Corte Constitucional en este sentido ha creado una regla de interpretación que no puede ser desconocida por el operador judicial, toda vez que se trata de una extensión misma del texto constitucional, según la cual, el monto de la pensión reconocida en favor de quienes son beneficiarios del régimen de transición previsto en el artículo 36 de la Ley 100 de 1993, no puede calcularse conforme al IBL estipulado en la legislación anterior, sino al previsto en el inciso tercero de la referida norma, regla que fijó en la sentencia C-258 de 2013 y que hizo extensiva en la sentencia SU-230 de 2015. </w:t>
      </w:r>
    </w:p>
    <w:p w:rsidR="00B43045"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bdr w:val="none" w:sz="0" w:space="0" w:color="auto" w:frame="1"/>
          <w:lang w:eastAsia="es-ES"/>
        </w:rPr>
      </w:pPr>
    </w:p>
    <w:p w:rsidR="001A77A0" w:rsidRPr="00CE2597" w:rsidRDefault="00B43045" w:rsidP="007C413D">
      <w:pPr>
        <w:spacing w:after="0" w:line="300" w:lineRule="auto"/>
        <w:jc w:val="both"/>
        <w:textAlignment w:val="baseline"/>
        <w:rPr>
          <w:rFonts w:ascii="Century Gothic" w:eastAsia="Times New Roman" w:hAnsi="Century Gothic" w:cs="Times New Roman"/>
          <w:color w:val="262626" w:themeColor="text1" w:themeTint="D9"/>
          <w:sz w:val="24"/>
          <w:szCs w:val="24"/>
          <w:lang w:eastAsia="es-ES"/>
        </w:rPr>
      </w:pPr>
      <w:r w:rsidRPr="00CE2597">
        <w:rPr>
          <w:rFonts w:ascii="Century Gothic" w:eastAsia="Times New Roman" w:hAnsi="Century Gothic" w:cs="Times New Roman"/>
          <w:color w:val="262626" w:themeColor="text1" w:themeTint="D9"/>
          <w:sz w:val="24"/>
          <w:szCs w:val="24"/>
          <w:lang w:eastAsia="es-ES"/>
        </w:rPr>
        <w:t>En este orden se tiene que los beneficiarios del régimen de transición pensional, en cuanto al IBL para su liquidación se debe efectuar con base en lo señalado en el inciso tercero del artículo 36  de la ley 100 de 1993, y conforme al artículo 21 de esta norma, sobre los factores efectivamente cotizados y de acuerdo a lo contemplado en el decreto reglamentario 1158 de 1994, y teniendo en cuenta los diez últimos años de servicios si el tiempo faltante para adquirir el</w:t>
      </w:r>
      <w:r w:rsidR="007C413D" w:rsidRPr="00CE2597">
        <w:rPr>
          <w:rFonts w:ascii="Century Gothic" w:eastAsia="Times New Roman" w:hAnsi="Century Gothic" w:cs="Times New Roman"/>
          <w:color w:val="262626" w:themeColor="text1" w:themeTint="D9"/>
          <w:sz w:val="24"/>
          <w:szCs w:val="24"/>
          <w:lang w:eastAsia="es-ES"/>
        </w:rPr>
        <w:t xml:space="preserve"> </w:t>
      </w:r>
      <w:r w:rsidRPr="00CE2597">
        <w:rPr>
          <w:rFonts w:ascii="Century Gothic" w:eastAsia="Times New Roman" w:hAnsi="Century Gothic" w:cs="Times New Roman"/>
          <w:color w:val="262626" w:themeColor="text1" w:themeTint="D9"/>
          <w:sz w:val="24"/>
          <w:szCs w:val="24"/>
          <w:lang w:eastAsia="es-ES"/>
        </w:rPr>
        <w:t>derecho fuere inferior a este lapso, o en todo el tiempo cotizado si el tiempo faltante fuere superior.</w:t>
      </w:r>
      <w:r w:rsidR="000A540E" w:rsidRPr="00CE2597">
        <w:rPr>
          <w:rFonts w:ascii="Century Gothic" w:eastAsia="Times New Roman" w:hAnsi="Century Gothic" w:cs="Times New Roman"/>
          <w:color w:val="262626" w:themeColor="text1" w:themeTint="D9"/>
          <w:sz w:val="24"/>
          <w:szCs w:val="24"/>
          <w:lang w:eastAsia="es-ES"/>
        </w:rPr>
        <w:t xml:space="preserve"> </w:t>
      </w:r>
    </w:p>
    <w:p w:rsidR="002D66B7" w:rsidRPr="00CE2597" w:rsidRDefault="002D66B7" w:rsidP="007C413D">
      <w:pPr>
        <w:shd w:val="clear" w:color="auto" w:fill="FFFFFF"/>
        <w:spacing w:after="0" w:line="300" w:lineRule="auto"/>
        <w:jc w:val="both"/>
        <w:textAlignment w:val="baseline"/>
        <w:rPr>
          <w:rFonts w:ascii="Century Gothic" w:eastAsia="Calibri" w:hAnsi="Century Gothic" w:cs="Arial"/>
          <w:b/>
          <w:color w:val="262626" w:themeColor="text1" w:themeTint="D9"/>
          <w:sz w:val="24"/>
          <w:szCs w:val="24"/>
        </w:rPr>
      </w:pPr>
    </w:p>
    <w:p w:rsidR="00F55E3E" w:rsidRPr="00CE2597" w:rsidRDefault="00F55E3E" w:rsidP="007C413D">
      <w:pPr>
        <w:spacing w:after="0" w:line="300" w:lineRule="auto"/>
        <w:rPr>
          <w:rFonts w:ascii="Century Gothic" w:hAnsi="Century Gothic" w:cs="Arial"/>
          <w:b/>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 xml:space="preserve">5. </w:t>
      </w:r>
      <w:r w:rsidR="001D5631" w:rsidRPr="00CE2597">
        <w:rPr>
          <w:rFonts w:ascii="Century Gothic" w:hAnsi="Century Gothic" w:cs="Arial"/>
          <w:b/>
          <w:color w:val="262626" w:themeColor="text1" w:themeTint="D9"/>
          <w:sz w:val="24"/>
          <w:szCs w:val="24"/>
        </w:rPr>
        <w:t xml:space="preserve"> </w:t>
      </w:r>
      <w:r w:rsidR="004B5F16" w:rsidRPr="00CE2597">
        <w:rPr>
          <w:rFonts w:ascii="Century Gothic" w:hAnsi="Century Gothic" w:cs="Arial"/>
          <w:b/>
          <w:color w:val="262626" w:themeColor="text1" w:themeTint="D9"/>
          <w:sz w:val="24"/>
          <w:szCs w:val="24"/>
        </w:rPr>
        <w:t xml:space="preserve">Caso concreto. </w:t>
      </w:r>
    </w:p>
    <w:p w:rsidR="00C762BE" w:rsidRPr="00CE2597" w:rsidRDefault="00C762BE" w:rsidP="007C413D">
      <w:pPr>
        <w:spacing w:after="0" w:line="300" w:lineRule="auto"/>
        <w:rPr>
          <w:rFonts w:ascii="Century Gothic" w:hAnsi="Century Gothic" w:cs="Arial"/>
          <w:b/>
          <w:color w:val="262626" w:themeColor="text1" w:themeTint="D9"/>
          <w:sz w:val="24"/>
          <w:szCs w:val="24"/>
        </w:rPr>
      </w:pPr>
    </w:p>
    <w:p w:rsidR="00F55E3E" w:rsidRPr="00CE2597"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 xml:space="preserve">5.1 </w:t>
      </w:r>
      <w:r w:rsidR="001D5631" w:rsidRPr="00CE2597">
        <w:rPr>
          <w:rFonts w:ascii="Century Gothic" w:eastAsia="Times New Roman" w:hAnsi="Century Gothic" w:cs="Century Gothic"/>
          <w:b/>
          <w:bCs/>
          <w:color w:val="262626" w:themeColor="text1" w:themeTint="D9"/>
          <w:sz w:val="24"/>
          <w:szCs w:val="24"/>
        </w:rPr>
        <w:t>Hechos</w:t>
      </w:r>
      <w:r w:rsidR="004B5F16" w:rsidRPr="00CE2597">
        <w:rPr>
          <w:rFonts w:ascii="Century Gothic" w:eastAsia="Times New Roman" w:hAnsi="Century Gothic" w:cs="Century Gothic"/>
          <w:b/>
          <w:bCs/>
          <w:color w:val="262626" w:themeColor="text1" w:themeTint="D9"/>
          <w:sz w:val="24"/>
          <w:szCs w:val="24"/>
        </w:rPr>
        <w:t xml:space="preserve"> relevantes</w:t>
      </w:r>
      <w:r w:rsidR="001D5631" w:rsidRPr="00CE2597">
        <w:rPr>
          <w:rFonts w:ascii="Century Gothic" w:eastAsia="Times New Roman" w:hAnsi="Century Gothic" w:cs="Century Gothic"/>
          <w:b/>
          <w:bCs/>
          <w:color w:val="262626" w:themeColor="text1" w:themeTint="D9"/>
          <w:sz w:val="24"/>
          <w:szCs w:val="24"/>
        </w:rPr>
        <w:t xml:space="preserve"> probados</w:t>
      </w:r>
    </w:p>
    <w:p w:rsidR="006B6D73" w:rsidRPr="00CE2597" w:rsidRDefault="006B6D73" w:rsidP="007C413D">
      <w:pPr>
        <w:spacing w:after="0" w:line="300" w:lineRule="auto"/>
        <w:jc w:val="both"/>
        <w:rPr>
          <w:rFonts w:ascii="Century Gothic" w:eastAsia="Times New Roman" w:hAnsi="Century Gothic" w:cs="Century Gothic"/>
          <w:b/>
          <w:bCs/>
          <w:color w:val="262626" w:themeColor="text1" w:themeTint="D9"/>
          <w:sz w:val="24"/>
          <w:szCs w:val="24"/>
        </w:rPr>
      </w:pPr>
    </w:p>
    <w:p w:rsidR="004B6C95" w:rsidRPr="00CE2597" w:rsidRDefault="00F55E3E" w:rsidP="004B6C95">
      <w:pPr>
        <w:spacing w:after="0" w:line="300" w:lineRule="auto"/>
        <w:jc w:val="both"/>
        <w:rPr>
          <w:rFonts w:ascii="Century Gothic" w:eastAsia="Times New Roman" w:hAnsi="Century Gothic" w:cs="Century Gothic"/>
          <w:bCs/>
          <w:color w:val="262626" w:themeColor="text1" w:themeTint="D9"/>
          <w:sz w:val="24"/>
          <w:szCs w:val="24"/>
        </w:rPr>
      </w:pPr>
      <w:r w:rsidRPr="00CE2597">
        <w:rPr>
          <w:rFonts w:ascii="Century Gothic" w:eastAsia="Times New Roman" w:hAnsi="Century Gothic" w:cs="Century Gothic"/>
          <w:bCs/>
          <w:color w:val="262626" w:themeColor="text1" w:themeTint="D9"/>
          <w:sz w:val="24"/>
          <w:szCs w:val="24"/>
        </w:rPr>
        <w:t>Conforme las pruebas aportadas al plenario, la Sala encuentra probados los siguientes hechos:</w:t>
      </w:r>
    </w:p>
    <w:p w:rsidR="00F55E3E" w:rsidRPr="00CE2597" w:rsidRDefault="00F55E3E" w:rsidP="007C413D">
      <w:pPr>
        <w:spacing w:after="0" w:line="300" w:lineRule="auto"/>
        <w:jc w:val="both"/>
        <w:rPr>
          <w:rFonts w:ascii="Century Gothic" w:eastAsia="Times New Roman" w:hAnsi="Century Gothic" w:cs="Century Gothic"/>
          <w:bCs/>
          <w:color w:val="262626" w:themeColor="text1" w:themeTint="D9"/>
          <w:sz w:val="24"/>
          <w:szCs w:val="24"/>
        </w:rPr>
      </w:pPr>
    </w:p>
    <w:p w:rsidR="005D0425" w:rsidRPr="00CE2597" w:rsidRDefault="005C7BA4" w:rsidP="004B6C95">
      <w:pPr>
        <w:pStyle w:val="Prrafodelista"/>
        <w:numPr>
          <w:ilvl w:val="2"/>
          <w:numId w:val="19"/>
        </w:numPr>
        <w:spacing w:after="0" w:line="300" w:lineRule="auto"/>
        <w:ind w:left="709"/>
        <w:jc w:val="both"/>
        <w:rPr>
          <w:rFonts w:ascii="Century Gothic" w:eastAsia="Times New Roman" w:hAnsi="Century Gothic" w:cs="Century Gothic"/>
          <w:bCs/>
          <w:color w:val="262626" w:themeColor="text1" w:themeTint="D9"/>
          <w:sz w:val="24"/>
          <w:szCs w:val="24"/>
        </w:rPr>
      </w:pPr>
      <w:r w:rsidRPr="00CE2597">
        <w:rPr>
          <w:rFonts w:ascii="Century Gothic" w:eastAsia="Times New Roman" w:hAnsi="Century Gothic" w:cs="Century Gothic"/>
          <w:bCs/>
          <w:color w:val="262626" w:themeColor="text1" w:themeTint="D9"/>
          <w:sz w:val="24"/>
          <w:szCs w:val="24"/>
        </w:rPr>
        <w:t>Obra en el expediente</w:t>
      </w:r>
      <w:r w:rsidR="00DD0DFF" w:rsidRPr="00CE2597">
        <w:rPr>
          <w:rFonts w:ascii="Century Gothic" w:eastAsia="Times New Roman" w:hAnsi="Century Gothic" w:cs="Century Gothic"/>
          <w:bCs/>
          <w:color w:val="262626" w:themeColor="text1" w:themeTint="D9"/>
          <w:sz w:val="24"/>
          <w:szCs w:val="24"/>
        </w:rPr>
        <w:t xml:space="preserve"> Resolución No. GNR 36966 del 01 de febrero de 2017, mediante la cual </w:t>
      </w:r>
      <w:proofErr w:type="spellStart"/>
      <w:r w:rsidR="00DD0DFF" w:rsidRPr="00CE2597">
        <w:rPr>
          <w:rFonts w:ascii="Century Gothic" w:eastAsia="Times New Roman" w:hAnsi="Century Gothic" w:cs="Century Gothic"/>
          <w:bCs/>
          <w:color w:val="262626" w:themeColor="text1" w:themeTint="D9"/>
          <w:sz w:val="24"/>
          <w:szCs w:val="24"/>
        </w:rPr>
        <w:t>Colpensiones</w:t>
      </w:r>
      <w:proofErr w:type="spellEnd"/>
      <w:r w:rsidR="00DD0DFF" w:rsidRPr="00CE2597">
        <w:rPr>
          <w:rFonts w:ascii="Century Gothic" w:eastAsia="Times New Roman" w:hAnsi="Century Gothic" w:cs="Century Gothic"/>
          <w:bCs/>
          <w:color w:val="262626" w:themeColor="text1" w:themeTint="D9"/>
          <w:sz w:val="24"/>
          <w:szCs w:val="24"/>
        </w:rPr>
        <w:t xml:space="preserve"> reconoce el pago de una pensión de vejez a la señora Herlinda </w:t>
      </w:r>
      <w:r w:rsidR="009A03DB" w:rsidRPr="00CE2597">
        <w:rPr>
          <w:rFonts w:ascii="Century Gothic" w:eastAsia="Times New Roman" w:hAnsi="Century Gothic" w:cs="Century Gothic"/>
          <w:bCs/>
          <w:color w:val="262626" w:themeColor="text1" w:themeTint="D9"/>
          <w:sz w:val="24"/>
          <w:szCs w:val="24"/>
        </w:rPr>
        <w:t>Sepúlveda</w:t>
      </w:r>
      <w:r w:rsidR="00DD0DFF" w:rsidRPr="00CE2597">
        <w:rPr>
          <w:rFonts w:ascii="Century Gothic" w:eastAsia="Times New Roman" w:hAnsi="Century Gothic" w:cs="Century Gothic"/>
          <w:bCs/>
          <w:color w:val="262626" w:themeColor="text1" w:themeTint="D9"/>
          <w:sz w:val="24"/>
          <w:szCs w:val="24"/>
        </w:rPr>
        <w:t xml:space="preserve"> </w:t>
      </w:r>
      <w:r w:rsidR="009A03DB" w:rsidRPr="00CE2597">
        <w:rPr>
          <w:rFonts w:ascii="Century Gothic" w:eastAsia="Times New Roman" w:hAnsi="Century Gothic" w:cs="Century Gothic"/>
          <w:bCs/>
          <w:color w:val="262626" w:themeColor="text1" w:themeTint="D9"/>
          <w:sz w:val="24"/>
          <w:szCs w:val="24"/>
        </w:rPr>
        <w:t>González</w:t>
      </w:r>
      <w:r w:rsidR="00DD0DFF" w:rsidRPr="00CE2597">
        <w:rPr>
          <w:rFonts w:ascii="Century Gothic" w:eastAsia="Times New Roman" w:hAnsi="Century Gothic" w:cs="Century Gothic"/>
          <w:bCs/>
          <w:color w:val="262626" w:themeColor="text1" w:themeTint="D9"/>
          <w:sz w:val="24"/>
          <w:szCs w:val="24"/>
        </w:rPr>
        <w:t>. (</w:t>
      </w:r>
      <w:proofErr w:type="spellStart"/>
      <w:r w:rsidR="00DD0DFF" w:rsidRPr="00CE2597">
        <w:rPr>
          <w:rFonts w:ascii="Century Gothic" w:eastAsia="Times New Roman" w:hAnsi="Century Gothic" w:cs="Century Gothic"/>
          <w:bCs/>
          <w:color w:val="262626" w:themeColor="text1" w:themeTint="D9"/>
          <w:sz w:val="24"/>
          <w:szCs w:val="24"/>
        </w:rPr>
        <w:t>fls</w:t>
      </w:r>
      <w:proofErr w:type="spellEnd"/>
      <w:r w:rsidR="00DD0DFF" w:rsidRPr="00CE2597">
        <w:rPr>
          <w:rFonts w:ascii="Century Gothic" w:eastAsia="Times New Roman" w:hAnsi="Century Gothic" w:cs="Century Gothic"/>
          <w:bCs/>
          <w:color w:val="262626" w:themeColor="text1" w:themeTint="D9"/>
          <w:sz w:val="24"/>
          <w:szCs w:val="24"/>
        </w:rPr>
        <w:t>. 16-24)</w:t>
      </w:r>
    </w:p>
    <w:p w:rsidR="000C6BF6" w:rsidRPr="00CE2597" w:rsidRDefault="000C6BF6" w:rsidP="000C6BF6">
      <w:pPr>
        <w:pStyle w:val="Prrafodelista"/>
        <w:spacing w:after="0" w:line="300" w:lineRule="auto"/>
        <w:ind w:left="709"/>
        <w:jc w:val="both"/>
        <w:rPr>
          <w:rFonts w:ascii="Century Gothic" w:eastAsia="Times New Roman" w:hAnsi="Century Gothic" w:cs="Century Gothic"/>
          <w:bCs/>
          <w:color w:val="262626" w:themeColor="text1" w:themeTint="D9"/>
          <w:sz w:val="24"/>
          <w:szCs w:val="24"/>
        </w:rPr>
      </w:pPr>
    </w:p>
    <w:p w:rsidR="00DD0DFF" w:rsidRPr="00CE2597" w:rsidRDefault="00DD0DFF" w:rsidP="004B6C95">
      <w:pPr>
        <w:pStyle w:val="Prrafodelista"/>
        <w:numPr>
          <w:ilvl w:val="2"/>
          <w:numId w:val="19"/>
        </w:numPr>
        <w:spacing w:after="0" w:line="300" w:lineRule="auto"/>
        <w:ind w:left="709"/>
        <w:jc w:val="both"/>
        <w:rPr>
          <w:rFonts w:ascii="Century Gothic" w:eastAsia="Times New Roman" w:hAnsi="Century Gothic" w:cs="Century Gothic"/>
          <w:bCs/>
          <w:color w:val="262626" w:themeColor="text1" w:themeTint="D9"/>
          <w:sz w:val="24"/>
          <w:szCs w:val="24"/>
        </w:rPr>
      </w:pPr>
      <w:r w:rsidRPr="00CE2597">
        <w:rPr>
          <w:rFonts w:ascii="Century Gothic" w:eastAsia="Times New Roman" w:hAnsi="Century Gothic" w:cs="Century Gothic"/>
          <w:bCs/>
          <w:color w:val="262626" w:themeColor="text1" w:themeTint="D9"/>
          <w:sz w:val="24"/>
          <w:szCs w:val="24"/>
        </w:rPr>
        <w:t xml:space="preserve">Obra en el expediente Resolución No. SUB 18809 del 24 de marzo de 2017, proferida por </w:t>
      </w:r>
      <w:proofErr w:type="spellStart"/>
      <w:r w:rsidRPr="00CE2597">
        <w:rPr>
          <w:rFonts w:ascii="Century Gothic" w:eastAsia="Times New Roman" w:hAnsi="Century Gothic" w:cs="Century Gothic"/>
          <w:bCs/>
          <w:color w:val="262626" w:themeColor="text1" w:themeTint="D9"/>
          <w:sz w:val="24"/>
          <w:szCs w:val="24"/>
        </w:rPr>
        <w:t>Colpensiones</w:t>
      </w:r>
      <w:proofErr w:type="spellEnd"/>
      <w:r w:rsidRPr="00CE2597">
        <w:rPr>
          <w:rFonts w:ascii="Century Gothic" w:eastAsia="Times New Roman" w:hAnsi="Century Gothic" w:cs="Century Gothic"/>
          <w:bCs/>
          <w:color w:val="262626" w:themeColor="text1" w:themeTint="D9"/>
          <w:sz w:val="24"/>
          <w:szCs w:val="24"/>
        </w:rPr>
        <w:t xml:space="preserve">, mediante la cual se resuelve </w:t>
      </w:r>
      <w:proofErr w:type="spellStart"/>
      <w:r w:rsidRPr="00CE2597">
        <w:rPr>
          <w:rFonts w:ascii="Century Gothic" w:eastAsia="Times New Roman" w:hAnsi="Century Gothic" w:cs="Century Gothic"/>
          <w:bCs/>
          <w:color w:val="262626" w:themeColor="text1" w:themeTint="D9"/>
          <w:sz w:val="24"/>
          <w:szCs w:val="24"/>
        </w:rPr>
        <w:t>reliquidar</w:t>
      </w:r>
      <w:proofErr w:type="spellEnd"/>
      <w:r w:rsidRPr="00CE2597">
        <w:rPr>
          <w:rFonts w:ascii="Century Gothic" w:eastAsia="Times New Roman" w:hAnsi="Century Gothic" w:cs="Century Gothic"/>
          <w:bCs/>
          <w:color w:val="262626" w:themeColor="text1" w:themeTint="D9"/>
          <w:sz w:val="24"/>
          <w:szCs w:val="24"/>
        </w:rPr>
        <w:t xml:space="preserve"> la pensión de vejez a la señora Herlinda </w:t>
      </w:r>
      <w:r w:rsidR="009A03DB" w:rsidRPr="00CE2597">
        <w:rPr>
          <w:rFonts w:ascii="Century Gothic" w:eastAsia="Times New Roman" w:hAnsi="Century Gothic" w:cs="Century Gothic"/>
          <w:bCs/>
          <w:color w:val="262626" w:themeColor="text1" w:themeTint="D9"/>
          <w:sz w:val="24"/>
          <w:szCs w:val="24"/>
        </w:rPr>
        <w:t>Sepúlveda</w:t>
      </w:r>
      <w:r w:rsidRPr="00CE2597">
        <w:rPr>
          <w:rFonts w:ascii="Century Gothic" w:eastAsia="Times New Roman" w:hAnsi="Century Gothic" w:cs="Century Gothic"/>
          <w:bCs/>
          <w:color w:val="262626" w:themeColor="text1" w:themeTint="D9"/>
          <w:sz w:val="24"/>
          <w:szCs w:val="24"/>
        </w:rPr>
        <w:t xml:space="preserve"> </w:t>
      </w:r>
      <w:r w:rsidR="009A03DB" w:rsidRPr="00CE2597">
        <w:rPr>
          <w:rFonts w:ascii="Century Gothic" w:eastAsia="Times New Roman" w:hAnsi="Century Gothic" w:cs="Century Gothic"/>
          <w:bCs/>
          <w:color w:val="262626" w:themeColor="text1" w:themeTint="D9"/>
          <w:sz w:val="24"/>
          <w:szCs w:val="24"/>
        </w:rPr>
        <w:t>González</w:t>
      </w:r>
      <w:r w:rsidRPr="00CE2597">
        <w:rPr>
          <w:rFonts w:ascii="Century Gothic" w:eastAsia="Times New Roman" w:hAnsi="Century Gothic" w:cs="Century Gothic"/>
          <w:bCs/>
          <w:color w:val="262626" w:themeColor="text1" w:themeTint="D9"/>
          <w:sz w:val="24"/>
          <w:szCs w:val="24"/>
        </w:rPr>
        <w:t>. (</w:t>
      </w:r>
      <w:proofErr w:type="spellStart"/>
      <w:r w:rsidRPr="00CE2597">
        <w:rPr>
          <w:rFonts w:ascii="Century Gothic" w:eastAsia="Times New Roman" w:hAnsi="Century Gothic" w:cs="Century Gothic"/>
          <w:bCs/>
          <w:color w:val="262626" w:themeColor="text1" w:themeTint="D9"/>
          <w:sz w:val="24"/>
          <w:szCs w:val="24"/>
        </w:rPr>
        <w:t>fls</w:t>
      </w:r>
      <w:proofErr w:type="spellEnd"/>
      <w:r w:rsidRPr="00CE2597">
        <w:rPr>
          <w:rFonts w:ascii="Century Gothic" w:eastAsia="Times New Roman" w:hAnsi="Century Gothic" w:cs="Century Gothic"/>
          <w:bCs/>
          <w:color w:val="262626" w:themeColor="text1" w:themeTint="D9"/>
          <w:sz w:val="24"/>
          <w:szCs w:val="24"/>
        </w:rPr>
        <w:t xml:space="preserve">. </w:t>
      </w:r>
      <w:r w:rsidR="000C6BF6" w:rsidRPr="00CE2597">
        <w:rPr>
          <w:rFonts w:ascii="Century Gothic" w:eastAsia="Times New Roman" w:hAnsi="Century Gothic" w:cs="Century Gothic"/>
          <w:bCs/>
          <w:color w:val="262626" w:themeColor="text1" w:themeTint="D9"/>
          <w:sz w:val="24"/>
          <w:szCs w:val="24"/>
        </w:rPr>
        <w:t>28-38)</w:t>
      </w:r>
    </w:p>
    <w:p w:rsidR="000C6BF6" w:rsidRPr="00CE2597" w:rsidRDefault="000C6BF6" w:rsidP="000C6BF6">
      <w:pPr>
        <w:spacing w:after="0" w:line="300" w:lineRule="auto"/>
        <w:jc w:val="both"/>
        <w:rPr>
          <w:rFonts w:ascii="Century Gothic" w:eastAsia="Times New Roman" w:hAnsi="Century Gothic" w:cs="Century Gothic"/>
          <w:bCs/>
          <w:color w:val="262626" w:themeColor="text1" w:themeTint="D9"/>
          <w:sz w:val="24"/>
          <w:szCs w:val="24"/>
        </w:rPr>
      </w:pPr>
    </w:p>
    <w:p w:rsidR="00517EF9" w:rsidRPr="00CE2597" w:rsidRDefault="000C6BF6" w:rsidP="000C6BF6">
      <w:pPr>
        <w:pStyle w:val="Prrafodelista"/>
        <w:numPr>
          <w:ilvl w:val="2"/>
          <w:numId w:val="19"/>
        </w:numPr>
        <w:spacing w:after="0" w:line="300" w:lineRule="auto"/>
        <w:ind w:left="709"/>
        <w:jc w:val="both"/>
        <w:rPr>
          <w:rFonts w:ascii="Century Gothic" w:eastAsia="Times New Roman" w:hAnsi="Century Gothic" w:cs="Century Gothic"/>
          <w:bCs/>
          <w:color w:val="262626" w:themeColor="text1" w:themeTint="D9"/>
          <w:sz w:val="24"/>
          <w:szCs w:val="24"/>
        </w:rPr>
      </w:pPr>
      <w:r w:rsidRPr="00CE2597">
        <w:rPr>
          <w:rFonts w:ascii="Century Gothic" w:eastAsia="Times New Roman" w:hAnsi="Century Gothic" w:cs="Century Gothic"/>
          <w:bCs/>
          <w:color w:val="262626" w:themeColor="text1" w:themeTint="D9"/>
          <w:sz w:val="24"/>
          <w:szCs w:val="24"/>
        </w:rPr>
        <w:lastRenderedPageBreak/>
        <w:t xml:space="preserve">Obra en el expediente </w:t>
      </w:r>
      <w:r w:rsidRPr="00CE2597">
        <w:rPr>
          <w:rFonts w:ascii="Century Gothic" w:hAnsi="Century Gothic"/>
          <w:color w:val="262626" w:themeColor="text1" w:themeTint="D9"/>
          <w:sz w:val="24"/>
          <w:szCs w:val="24"/>
        </w:rPr>
        <w:t>certificado expedido por “Profesional Especializado de la Secretaría de Salud Departamental asignada para la atención de la liquidada Empresa Social del Estado Hospital Universitario de Cartagena según Decreto 106 de febrero 29 de 2016” de fecha 10 de junio de 2016. (</w:t>
      </w:r>
      <w:proofErr w:type="spellStart"/>
      <w:r w:rsidRPr="00CE2597">
        <w:rPr>
          <w:rFonts w:ascii="Century Gothic" w:hAnsi="Century Gothic"/>
          <w:color w:val="262626" w:themeColor="text1" w:themeTint="D9"/>
          <w:sz w:val="24"/>
          <w:szCs w:val="24"/>
        </w:rPr>
        <w:t>fls</w:t>
      </w:r>
      <w:proofErr w:type="spellEnd"/>
      <w:r w:rsidRPr="00CE2597">
        <w:rPr>
          <w:rFonts w:ascii="Century Gothic" w:hAnsi="Century Gothic"/>
          <w:color w:val="262626" w:themeColor="text1" w:themeTint="D9"/>
          <w:sz w:val="24"/>
          <w:szCs w:val="24"/>
        </w:rPr>
        <w:t>. 45- 48)</w:t>
      </w:r>
    </w:p>
    <w:p w:rsidR="0062040B" w:rsidRPr="00CE2597" w:rsidRDefault="0062040B" w:rsidP="007C413D">
      <w:pPr>
        <w:spacing w:after="0" w:line="300" w:lineRule="auto"/>
        <w:jc w:val="both"/>
        <w:rPr>
          <w:rFonts w:ascii="Century Gothic" w:eastAsia="Times New Roman" w:hAnsi="Century Gothic" w:cs="Century Gothic"/>
          <w:bCs/>
          <w:color w:val="262626" w:themeColor="text1" w:themeTint="D9"/>
          <w:sz w:val="24"/>
          <w:szCs w:val="24"/>
          <w:lang w:val="es-CO"/>
        </w:rPr>
      </w:pPr>
    </w:p>
    <w:p w:rsidR="00F55E3E" w:rsidRPr="00CE2597" w:rsidRDefault="00F55E3E" w:rsidP="007C413D">
      <w:pPr>
        <w:spacing w:after="0" w:line="300" w:lineRule="auto"/>
        <w:jc w:val="both"/>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5.2 Del análisis de las pruebas frente al marco normativo y jurisprudencial</w:t>
      </w:r>
      <w:r w:rsidR="002A08E3" w:rsidRPr="00CE2597">
        <w:rPr>
          <w:rFonts w:ascii="Century Gothic" w:eastAsia="Times New Roman" w:hAnsi="Century Gothic" w:cs="Century Gothic"/>
          <w:b/>
          <w:bCs/>
          <w:color w:val="262626" w:themeColor="text1" w:themeTint="D9"/>
          <w:sz w:val="24"/>
          <w:szCs w:val="24"/>
        </w:rPr>
        <w:t xml:space="preserve">. </w:t>
      </w:r>
    </w:p>
    <w:p w:rsidR="002A08E3" w:rsidRPr="00CE2597" w:rsidRDefault="002A08E3" w:rsidP="007C413D">
      <w:pPr>
        <w:spacing w:after="0" w:line="300" w:lineRule="auto"/>
        <w:jc w:val="both"/>
        <w:rPr>
          <w:rFonts w:ascii="Century Gothic" w:eastAsia="Times New Roman" w:hAnsi="Century Gothic" w:cs="Century Gothic"/>
          <w:b/>
          <w:bCs/>
          <w:color w:val="262626" w:themeColor="text1" w:themeTint="D9"/>
          <w:sz w:val="24"/>
          <w:szCs w:val="24"/>
        </w:rPr>
      </w:pPr>
    </w:p>
    <w:p w:rsidR="00B43045" w:rsidRPr="00CE2597" w:rsidRDefault="00475B2F" w:rsidP="001E15D2">
      <w:pPr>
        <w:spacing w:after="0" w:line="300" w:lineRule="auto"/>
        <w:jc w:val="both"/>
        <w:rPr>
          <w:rFonts w:ascii="Century Gothic" w:eastAsia="Times New Roman" w:hAnsi="Century Gothic" w:cs="Century Gothic"/>
          <w:bCs/>
          <w:color w:val="262626" w:themeColor="text1" w:themeTint="D9"/>
          <w:sz w:val="24"/>
          <w:szCs w:val="24"/>
        </w:rPr>
      </w:pPr>
      <w:r w:rsidRPr="00CE2597">
        <w:rPr>
          <w:rFonts w:ascii="Century Gothic" w:eastAsia="Times New Roman" w:hAnsi="Century Gothic" w:cs="Century Gothic"/>
          <w:bCs/>
          <w:color w:val="262626" w:themeColor="text1" w:themeTint="D9"/>
          <w:sz w:val="24"/>
          <w:szCs w:val="24"/>
        </w:rPr>
        <w:t>En el sub judice pretende la demandante la nulidad de la Resolución No. GNR</w:t>
      </w:r>
      <w:r w:rsidR="00042A25" w:rsidRPr="00CE2597">
        <w:rPr>
          <w:rFonts w:ascii="Century Gothic" w:eastAsia="Times New Roman" w:hAnsi="Century Gothic" w:cs="Century Gothic"/>
          <w:bCs/>
          <w:color w:val="262626" w:themeColor="text1" w:themeTint="D9"/>
          <w:sz w:val="24"/>
          <w:szCs w:val="24"/>
        </w:rPr>
        <w:t xml:space="preserve"> 36966 d</w:t>
      </w:r>
      <w:r w:rsidRPr="00CE2597">
        <w:rPr>
          <w:rFonts w:ascii="Century Gothic" w:eastAsia="Times New Roman" w:hAnsi="Century Gothic" w:cs="Century Gothic"/>
          <w:bCs/>
          <w:color w:val="262626" w:themeColor="text1" w:themeTint="D9"/>
          <w:sz w:val="24"/>
          <w:szCs w:val="24"/>
        </w:rPr>
        <w:t>e</w:t>
      </w:r>
      <w:r w:rsidR="00042A25" w:rsidRPr="00CE2597">
        <w:rPr>
          <w:rFonts w:ascii="Century Gothic" w:eastAsia="Times New Roman" w:hAnsi="Century Gothic" w:cs="Century Gothic"/>
          <w:bCs/>
          <w:color w:val="262626" w:themeColor="text1" w:themeTint="D9"/>
          <w:sz w:val="24"/>
          <w:szCs w:val="24"/>
        </w:rPr>
        <w:t xml:space="preserve"> </w:t>
      </w:r>
      <w:r w:rsidRPr="00CE2597">
        <w:rPr>
          <w:rFonts w:ascii="Century Gothic" w:eastAsia="Times New Roman" w:hAnsi="Century Gothic" w:cs="Century Gothic"/>
          <w:bCs/>
          <w:color w:val="262626" w:themeColor="text1" w:themeTint="D9"/>
          <w:sz w:val="24"/>
          <w:szCs w:val="24"/>
        </w:rPr>
        <w:t>fecha 01 de febrero de 2017, mediante la cual se le reconoce el pago</w:t>
      </w:r>
      <w:r w:rsidR="009A03DB">
        <w:rPr>
          <w:rFonts w:ascii="Century Gothic" w:eastAsia="Times New Roman" w:hAnsi="Century Gothic" w:cs="Century Gothic"/>
          <w:bCs/>
          <w:color w:val="262626" w:themeColor="text1" w:themeTint="D9"/>
          <w:sz w:val="24"/>
          <w:szCs w:val="24"/>
        </w:rPr>
        <w:t xml:space="preserve"> de una pensión de vejez</w:t>
      </w:r>
      <w:r w:rsidRPr="00CE2597">
        <w:rPr>
          <w:rFonts w:ascii="Century Gothic" w:eastAsia="Times New Roman" w:hAnsi="Century Gothic" w:cs="Century Gothic"/>
          <w:bCs/>
          <w:color w:val="262626" w:themeColor="text1" w:themeTint="D9"/>
          <w:sz w:val="24"/>
          <w:szCs w:val="24"/>
        </w:rPr>
        <w:t>; nulidad de la Resolución</w:t>
      </w:r>
      <w:r w:rsidR="00042A25" w:rsidRPr="00CE2597">
        <w:rPr>
          <w:rFonts w:ascii="Century Gothic" w:eastAsia="Times New Roman" w:hAnsi="Century Gothic" w:cs="Century Gothic"/>
          <w:bCs/>
          <w:color w:val="262626" w:themeColor="text1" w:themeTint="D9"/>
          <w:sz w:val="24"/>
          <w:szCs w:val="24"/>
        </w:rPr>
        <w:t xml:space="preserve"> </w:t>
      </w:r>
      <w:r w:rsidRPr="00CE2597">
        <w:rPr>
          <w:rFonts w:ascii="Century Gothic" w:eastAsia="Times New Roman" w:hAnsi="Century Gothic" w:cs="Century Gothic"/>
          <w:bCs/>
          <w:color w:val="262626" w:themeColor="text1" w:themeTint="D9"/>
          <w:sz w:val="24"/>
          <w:szCs w:val="24"/>
        </w:rPr>
        <w:t xml:space="preserve">No. SUB 18809 del 24 de marzo del 2017, mediante la cual </w:t>
      </w:r>
      <w:proofErr w:type="spellStart"/>
      <w:r w:rsidRPr="00CE2597">
        <w:rPr>
          <w:rFonts w:ascii="Century Gothic" w:eastAsia="Times New Roman" w:hAnsi="Century Gothic" w:cs="Century Gothic"/>
          <w:bCs/>
          <w:color w:val="262626" w:themeColor="text1" w:themeTint="D9"/>
          <w:sz w:val="24"/>
          <w:szCs w:val="24"/>
        </w:rPr>
        <w:t>Colpensiones</w:t>
      </w:r>
      <w:proofErr w:type="spellEnd"/>
      <w:r w:rsidRPr="00CE2597">
        <w:rPr>
          <w:rFonts w:ascii="Century Gothic" w:eastAsia="Times New Roman" w:hAnsi="Century Gothic" w:cs="Century Gothic"/>
          <w:bCs/>
          <w:color w:val="262626" w:themeColor="text1" w:themeTint="D9"/>
          <w:sz w:val="24"/>
          <w:szCs w:val="24"/>
        </w:rPr>
        <w:t xml:space="preserve"> le </w:t>
      </w:r>
      <w:proofErr w:type="spellStart"/>
      <w:r w:rsidRPr="00CE2597">
        <w:rPr>
          <w:rFonts w:ascii="Century Gothic" w:eastAsia="Times New Roman" w:hAnsi="Century Gothic" w:cs="Century Gothic"/>
          <w:bCs/>
          <w:color w:val="262626" w:themeColor="text1" w:themeTint="D9"/>
          <w:sz w:val="24"/>
          <w:szCs w:val="24"/>
        </w:rPr>
        <w:t>reliquida</w:t>
      </w:r>
      <w:proofErr w:type="spellEnd"/>
      <w:r w:rsidRPr="00CE2597">
        <w:rPr>
          <w:rFonts w:ascii="Century Gothic" w:eastAsia="Times New Roman" w:hAnsi="Century Gothic" w:cs="Century Gothic"/>
          <w:bCs/>
          <w:color w:val="262626" w:themeColor="text1" w:themeTint="D9"/>
          <w:sz w:val="24"/>
          <w:szCs w:val="24"/>
        </w:rPr>
        <w:t xml:space="preserve"> las mesadas pensionales. </w:t>
      </w:r>
    </w:p>
    <w:p w:rsidR="001E15D2" w:rsidRPr="00CE2597" w:rsidRDefault="001E15D2" w:rsidP="001E15D2">
      <w:pPr>
        <w:spacing w:after="0" w:line="300" w:lineRule="auto"/>
        <w:jc w:val="both"/>
        <w:rPr>
          <w:rFonts w:ascii="Century Gothic" w:eastAsia="Times New Roman" w:hAnsi="Century Gothic" w:cs="Century Gothic"/>
          <w:bCs/>
          <w:color w:val="262626" w:themeColor="text1" w:themeTint="D9"/>
          <w:sz w:val="24"/>
          <w:szCs w:val="24"/>
        </w:rPr>
      </w:pPr>
    </w:p>
    <w:p w:rsidR="001E15D2" w:rsidRPr="00CE2597" w:rsidRDefault="00952DE2" w:rsidP="00CE73CB">
      <w:pPr>
        <w:widowControl w:val="0"/>
        <w:spacing w:after="0" w:line="300" w:lineRule="auto"/>
        <w:jc w:val="both"/>
        <w:rPr>
          <w:rFonts w:ascii="Century Gothic" w:hAnsi="Century Gothic" w:cs="Arial"/>
          <w:color w:val="262626" w:themeColor="text1" w:themeTint="D9"/>
          <w:sz w:val="24"/>
          <w:szCs w:val="24"/>
        </w:rPr>
      </w:pPr>
      <w:r w:rsidRPr="00CE2597">
        <w:rPr>
          <w:rFonts w:ascii="Century Gothic" w:hAnsi="Century Gothic" w:cs="Century Gothic"/>
          <w:bCs/>
          <w:color w:val="262626" w:themeColor="text1" w:themeTint="D9"/>
          <w:sz w:val="24"/>
          <w:szCs w:val="24"/>
          <w:lang w:val="es-CO" w:eastAsia="es-ES"/>
        </w:rPr>
        <w:t>Como restablecimiento del derecho, s</w:t>
      </w:r>
      <w:r w:rsidR="00B43045" w:rsidRPr="00CE2597">
        <w:rPr>
          <w:rFonts w:ascii="Century Gothic" w:hAnsi="Century Gothic" w:cs="Century Gothic"/>
          <w:bCs/>
          <w:color w:val="262626" w:themeColor="text1" w:themeTint="D9"/>
          <w:sz w:val="24"/>
          <w:szCs w:val="24"/>
          <w:lang w:val="es-CO" w:eastAsia="es-ES"/>
        </w:rPr>
        <w:t xml:space="preserve">olicita la accionante </w:t>
      </w:r>
      <w:r w:rsidRPr="00CE2597">
        <w:rPr>
          <w:rFonts w:ascii="Century Gothic" w:hAnsi="Century Gothic" w:cs="Century Gothic"/>
          <w:bCs/>
          <w:color w:val="262626" w:themeColor="text1" w:themeTint="D9"/>
          <w:sz w:val="24"/>
          <w:szCs w:val="24"/>
          <w:lang w:val="es-CO" w:eastAsia="es-ES"/>
        </w:rPr>
        <w:t xml:space="preserve">se ordene </w:t>
      </w:r>
      <w:r w:rsidR="00B43045" w:rsidRPr="00CE2597">
        <w:rPr>
          <w:rFonts w:ascii="Century Gothic" w:hAnsi="Century Gothic" w:cs="Century Gothic"/>
          <w:bCs/>
          <w:color w:val="262626" w:themeColor="text1" w:themeTint="D9"/>
          <w:sz w:val="24"/>
          <w:szCs w:val="24"/>
          <w:lang w:val="es-CO" w:eastAsia="es-ES"/>
        </w:rPr>
        <w:t>la reliquidación de su pensión</w:t>
      </w:r>
      <w:r w:rsidR="00CE73CB" w:rsidRPr="00CE2597">
        <w:rPr>
          <w:rFonts w:ascii="Century Gothic" w:hAnsi="Century Gothic" w:cs="Century Gothic"/>
          <w:bCs/>
          <w:color w:val="262626" w:themeColor="text1" w:themeTint="D9"/>
          <w:sz w:val="24"/>
          <w:szCs w:val="24"/>
          <w:lang w:val="es-CO" w:eastAsia="es-ES"/>
        </w:rPr>
        <w:t xml:space="preserve"> a </w:t>
      </w:r>
      <w:r w:rsidR="002A08E3" w:rsidRPr="00CE2597">
        <w:rPr>
          <w:rFonts w:ascii="Century Gothic" w:hAnsi="Century Gothic" w:cs="Arial"/>
          <w:color w:val="262626" w:themeColor="text1" w:themeTint="D9"/>
          <w:sz w:val="24"/>
          <w:szCs w:val="24"/>
        </w:rPr>
        <w:t>partir</w:t>
      </w:r>
      <w:r w:rsidR="00CE73CB" w:rsidRPr="00CE2597">
        <w:rPr>
          <w:rFonts w:ascii="Century Gothic" w:hAnsi="Century Gothic" w:cs="Arial"/>
          <w:color w:val="262626" w:themeColor="text1" w:themeTint="D9"/>
          <w:sz w:val="24"/>
          <w:szCs w:val="24"/>
        </w:rPr>
        <w:t xml:space="preserve"> del</w:t>
      </w:r>
      <w:r w:rsidR="001E15D2" w:rsidRPr="00CE2597">
        <w:rPr>
          <w:rFonts w:ascii="Century Gothic" w:hAnsi="Century Gothic" w:cs="Arial"/>
          <w:color w:val="262626" w:themeColor="text1" w:themeTint="D9"/>
          <w:sz w:val="24"/>
          <w:szCs w:val="24"/>
        </w:rPr>
        <w:t xml:space="preserve"> veintiuno (21) de abril de dos mil trece (2013), incluyendo todos los factores salariales devengados en el </w:t>
      </w:r>
      <w:r w:rsidR="00560BDB" w:rsidRPr="00CE2597">
        <w:rPr>
          <w:rFonts w:ascii="Century Gothic" w:hAnsi="Century Gothic" w:cs="Arial"/>
          <w:color w:val="262626" w:themeColor="text1" w:themeTint="D9"/>
          <w:sz w:val="24"/>
          <w:szCs w:val="24"/>
        </w:rPr>
        <w:t>último</w:t>
      </w:r>
      <w:r w:rsidR="001E15D2" w:rsidRPr="00CE2597">
        <w:rPr>
          <w:rFonts w:ascii="Century Gothic" w:hAnsi="Century Gothic" w:cs="Arial"/>
          <w:color w:val="262626" w:themeColor="text1" w:themeTint="D9"/>
          <w:sz w:val="24"/>
          <w:szCs w:val="24"/>
        </w:rPr>
        <w:t xml:space="preserve"> año de servicios</w:t>
      </w:r>
      <w:r w:rsidR="00560BDB" w:rsidRPr="00CE2597">
        <w:rPr>
          <w:rFonts w:ascii="Century Gothic" w:hAnsi="Century Gothic" w:cs="Arial"/>
          <w:color w:val="262626" w:themeColor="text1" w:themeTint="D9"/>
          <w:sz w:val="24"/>
          <w:szCs w:val="24"/>
        </w:rPr>
        <w:t xml:space="preserve">. </w:t>
      </w:r>
    </w:p>
    <w:p w:rsidR="002A2E64" w:rsidRPr="00CE2597" w:rsidRDefault="002A2E64" w:rsidP="00CE73CB">
      <w:pPr>
        <w:widowControl w:val="0"/>
        <w:spacing w:after="0" w:line="300" w:lineRule="auto"/>
        <w:jc w:val="both"/>
        <w:rPr>
          <w:rFonts w:ascii="Century Gothic" w:hAnsi="Century Gothic" w:cs="Arial"/>
          <w:i/>
          <w:color w:val="262626" w:themeColor="text1" w:themeTint="D9"/>
          <w:sz w:val="20"/>
          <w:szCs w:val="20"/>
        </w:rPr>
      </w:pPr>
    </w:p>
    <w:p w:rsidR="00235A78" w:rsidRDefault="00D74E5F" w:rsidP="00BF6128">
      <w:pPr>
        <w:spacing w:after="0" w:line="300" w:lineRule="auto"/>
        <w:jc w:val="both"/>
        <w:rPr>
          <w:rFonts w:ascii="Century Gothic" w:eastAsia="Calibri" w:hAnsi="Century Gothic" w:cs="Century Gothic"/>
          <w:bCs/>
          <w:color w:val="262626" w:themeColor="text1" w:themeTint="D9"/>
          <w:sz w:val="24"/>
          <w:szCs w:val="24"/>
        </w:rPr>
      </w:pPr>
      <w:r>
        <w:rPr>
          <w:rFonts w:ascii="Century Gothic" w:eastAsia="Calibri" w:hAnsi="Century Gothic" w:cs="Century Gothic"/>
          <w:bCs/>
          <w:color w:val="262626" w:themeColor="text1" w:themeTint="D9"/>
          <w:sz w:val="24"/>
          <w:szCs w:val="24"/>
        </w:rPr>
        <w:t>E</w:t>
      </w:r>
      <w:r w:rsidR="002A2E64" w:rsidRPr="00CE2597">
        <w:rPr>
          <w:rFonts w:ascii="Century Gothic" w:eastAsia="Calibri" w:hAnsi="Century Gothic" w:cs="Century Gothic"/>
          <w:bCs/>
          <w:color w:val="262626" w:themeColor="text1" w:themeTint="D9"/>
          <w:sz w:val="24"/>
          <w:szCs w:val="24"/>
        </w:rPr>
        <w:t>l</w:t>
      </w:r>
      <w:r>
        <w:rPr>
          <w:rFonts w:ascii="Century Gothic" w:eastAsia="Calibri" w:hAnsi="Century Gothic" w:cs="Century Gothic"/>
          <w:bCs/>
          <w:color w:val="262626" w:themeColor="text1" w:themeTint="D9"/>
          <w:sz w:val="24"/>
          <w:szCs w:val="24"/>
        </w:rPr>
        <w:t xml:space="preserve"> </w:t>
      </w:r>
      <w:r w:rsidR="002A2E64" w:rsidRPr="00CE2597">
        <w:rPr>
          <w:rFonts w:ascii="Century Gothic" w:eastAsia="Calibri" w:hAnsi="Century Gothic" w:cs="Century Gothic"/>
          <w:bCs/>
          <w:color w:val="262626" w:themeColor="text1" w:themeTint="D9"/>
          <w:sz w:val="24"/>
          <w:szCs w:val="24"/>
        </w:rPr>
        <w:t>Juez de primera instancia</w:t>
      </w:r>
      <w:r w:rsidR="0044413D">
        <w:rPr>
          <w:rFonts w:ascii="Century Gothic" w:eastAsia="Calibri" w:hAnsi="Century Gothic" w:cs="Century Gothic"/>
          <w:bCs/>
          <w:color w:val="262626" w:themeColor="text1" w:themeTint="D9"/>
          <w:sz w:val="24"/>
          <w:szCs w:val="24"/>
        </w:rPr>
        <w:t xml:space="preserve"> concedió las pretensiones, al considerar</w:t>
      </w:r>
      <w:r w:rsidR="002A2E64" w:rsidRPr="00CE2597">
        <w:rPr>
          <w:rFonts w:ascii="Century Gothic" w:eastAsia="Calibri" w:hAnsi="Century Gothic" w:cs="Century Gothic"/>
          <w:bCs/>
          <w:color w:val="262626" w:themeColor="text1" w:themeTint="D9"/>
          <w:sz w:val="24"/>
          <w:szCs w:val="24"/>
        </w:rPr>
        <w:t xml:space="preserve"> que en el presente caso la demandante tiene derecho a que su pensión de jubilación se </w:t>
      </w:r>
      <w:proofErr w:type="spellStart"/>
      <w:r w:rsidR="002A2E64" w:rsidRPr="00CE2597">
        <w:rPr>
          <w:rFonts w:ascii="Century Gothic" w:eastAsia="Calibri" w:hAnsi="Century Gothic" w:cs="Century Gothic"/>
          <w:bCs/>
          <w:color w:val="262626" w:themeColor="text1" w:themeTint="D9"/>
          <w:sz w:val="24"/>
          <w:szCs w:val="24"/>
        </w:rPr>
        <w:t>reliquide</w:t>
      </w:r>
      <w:proofErr w:type="spellEnd"/>
      <w:r w:rsidR="002A2E64" w:rsidRPr="00CE2597">
        <w:rPr>
          <w:rFonts w:ascii="Century Gothic" w:eastAsia="Calibri" w:hAnsi="Century Gothic" w:cs="Century Gothic"/>
          <w:bCs/>
          <w:color w:val="262626" w:themeColor="text1" w:themeTint="D9"/>
          <w:sz w:val="24"/>
          <w:szCs w:val="24"/>
        </w:rPr>
        <w:t xml:space="preserve"> incluyendo como factor salarial la prima técnica y la prima de antigüedad, toda vez que estos factores se encuentran enlistados en las normas que cobijan a la accionante y además fue</w:t>
      </w:r>
      <w:r w:rsidR="00943BA7" w:rsidRPr="00CE2597">
        <w:rPr>
          <w:rFonts w:ascii="Century Gothic" w:eastAsia="Calibri" w:hAnsi="Century Gothic" w:cs="Century Gothic"/>
          <w:bCs/>
          <w:color w:val="262626" w:themeColor="text1" w:themeTint="D9"/>
          <w:sz w:val="24"/>
          <w:szCs w:val="24"/>
        </w:rPr>
        <w:t>ron</w:t>
      </w:r>
      <w:r w:rsidR="002A2E64" w:rsidRPr="00CE2597">
        <w:rPr>
          <w:rFonts w:ascii="Century Gothic" w:eastAsia="Calibri" w:hAnsi="Century Gothic" w:cs="Century Gothic"/>
          <w:bCs/>
          <w:color w:val="262626" w:themeColor="text1" w:themeTint="D9"/>
          <w:sz w:val="24"/>
          <w:szCs w:val="24"/>
        </w:rPr>
        <w:t xml:space="preserve"> o</w:t>
      </w:r>
      <w:r w:rsidR="00235A78">
        <w:rPr>
          <w:rFonts w:ascii="Century Gothic" w:eastAsia="Calibri" w:hAnsi="Century Gothic" w:cs="Century Gothic"/>
          <w:bCs/>
          <w:color w:val="262626" w:themeColor="text1" w:themeTint="D9"/>
          <w:sz w:val="24"/>
          <w:szCs w:val="24"/>
        </w:rPr>
        <w:t>bjeto de descuentos por aportes; pero teniendo en cuenta los últimos 10 años de servicios.</w:t>
      </w:r>
    </w:p>
    <w:p w:rsidR="00235A78" w:rsidRDefault="00235A78" w:rsidP="00235A78">
      <w:pPr>
        <w:spacing w:after="0"/>
        <w:jc w:val="both"/>
        <w:rPr>
          <w:rFonts w:ascii="Century Gothic" w:eastAsia="Calibri" w:hAnsi="Century Gothic" w:cs="Century Gothic"/>
          <w:bCs/>
          <w:color w:val="262626" w:themeColor="text1" w:themeTint="D9"/>
          <w:sz w:val="24"/>
          <w:szCs w:val="24"/>
        </w:rPr>
      </w:pPr>
    </w:p>
    <w:p w:rsidR="00235A78" w:rsidRPr="00CE2597" w:rsidRDefault="00235A78" w:rsidP="00235A78">
      <w:pPr>
        <w:spacing w:after="0"/>
        <w:jc w:val="both"/>
        <w:rPr>
          <w:rFonts w:ascii="Century Gothic" w:hAnsi="Century Gothic" w:cs="Century Gothic"/>
          <w:color w:val="262626" w:themeColor="text1" w:themeTint="D9"/>
          <w:sz w:val="24"/>
          <w:szCs w:val="24"/>
        </w:rPr>
      </w:pPr>
      <w:r>
        <w:rPr>
          <w:rFonts w:ascii="Century Gothic" w:eastAsia="Calibri" w:hAnsi="Century Gothic" w:cs="Century Gothic"/>
          <w:bCs/>
          <w:color w:val="262626" w:themeColor="text1" w:themeTint="D9"/>
          <w:sz w:val="24"/>
          <w:szCs w:val="24"/>
        </w:rPr>
        <w:t xml:space="preserve">Ambas partes apelaron el fallo de primera instancia. </w:t>
      </w:r>
      <w:r w:rsidRPr="00CE2597">
        <w:rPr>
          <w:rFonts w:ascii="Century Gothic" w:hAnsi="Century Gothic" w:cs="Century Gothic"/>
          <w:color w:val="262626" w:themeColor="text1" w:themeTint="D9"/>
          <w:sz w:val="24"/>
          <w:szCs w:val="24"/>
        </w:rPr>
        <w:t xml:space="preserve">La parte accionada, </w:t>
      </w:r>
      <w:r>
        <w:rPr>
          <w:rFonts w:ascii="Century Gothic" w:hAnsi="Century Gothic" w:cs="Century Gothic"/>
          <w:color w:val="262626" w:themeColor="text1" w:themeTint="D9"/>
          <w:sz w:val="24"/>
          <w:szCs w:val="24"/>
        </w:rPr>
        <w:t>solicita la revocatoria del mismo, señalando en síntesis, que</w:t>
      </w:r>
      <w:r w:rsidRPr="00CE2597">
        <w:rPr>
          <w:rFonts w:ascii="Century Gothic" w:hAnsi="Century Gothic" w:cs="Century Gothic"/>
          <w:color w:val="262626" w:themeColor="text1" w:themeTint="D9"/>
          <w:sz w:val="24"/>
          <w:szCs w:val="24"/>
        </w:rPr>
        <w:t xml:space="preserve"> no es procedente acceder a la condena impuesta por el juez, considerando que los únicos factores salariales que se deberán tener en cuenta al momento de determinar el ingreso base de liquidación serán los contemplados en el Decreto 1158 de 1994, siempre y cuando sobre los mismos se hubieran efectuado los aportes al Sistema General de Pensiones.  </w:t>
      </w:r>
    </w:p>
    <w:p w:rsidR="00235A78" w:rsidRDefault="00235A78" w:rsidP="00235A78">
      <w:pPr>
        <w:spacing w:after="0" w:line="300" w:lineRule="auto"/>
        <w:jc w:val="both"/>
        <w:rPr>
          <w:rFonts w:ascii="Century Gothic" w:hAnsi="Century Gothic" w:cs="Century Gothic"/>
          <w:color w:val="262626" w:themeColor="text1" w:themeTint="D9"/>
          <w:sz w:val="24"/>
          <w:szCs w:val="24"/>
        </w:rPr>
      </w:pPr>
      <w:r>
        <w:rPr>
          <w:rFonts w:ascii="Century Gothic" w:hAnsi="Century Gothic" w:cs="Century Gothic"/>
          <w:color w:val="262626" w:themeColor="text1" w:themeTint="D9"/>
          <w:sz w:val="24"/>
          <w:szCs w:val="24"/>
        </w:rPr>
        <w:t xml:space="preserve"> </w:t>
      </w:r>
    </w:p>
    <w:p w:rsidR="00235A78" w:rsidRDefault="00235A78" w:rsidP="00235A78">
      <w:pPr>
        <w:spacing w:after="0" w:line="300" w:lineRule="auto"/>
        <w:jc w:val="both"/>
        <w:rPr>
          <w:rFonts w:ascii="Century Gothic" w:hAnsi="Century Gothic" w:cs="Century Gothic"/>
          <w:bCs/>
          <w:color w:val="262626" w:themeColor="text1" w:themeTint="D9"/>
          <w:sz w:val="24"/>
          <w:szCs w:val="24"/>
        </w:rPr>
      </w:pPr>
      <w:r>
        <w:rPr>
          <w:rFonts w:ascii="Century Gothic" w:hAnsi="Century Gothic" w:cs="Century Gothic"/>
          <w:color w:val="262626" w:themeColor="text1" w:themeTint="D9"/>
          <w:sz w:val="24"/>
          <w:szCs w:val="24"/>
        </w:rPr>
        <w:t xml:space="preserve">A su turno la parte actora, apeló la decisión de primera instancia, señalando en síntesis, que </w:t>
      </w:r>
      <w:r w:rsidRPr="00CE2597">
        <w:rPr>
          <w:rFonts w:ascii="Century Gothic" w:hAnsi="Century Gothic" w:cs="Century Gothic"/>
          <w:bCs/>
          <w:color w:val="262626" w:themeColor="text1" w:themeTint="D9"/>
          <w:sz w:val="24"/>
          <w:szCs w:val="24"/>
        </w:rPr>
        <w:t xml:space="preserve">el A quo desconoció el precedente del Consejo de Estado, establecido en la sentencia de unificación del 04 de agosto de 2010, en el que </w:t>
      </w:r>
      <w:r w:rsidRPr="00CE2597">
        <w:rPr>
          <w:rFonts w:ascii="Century Gothic" w:hAnsi="Century Gothic" w:cs="Century Gothic"/>
          <w:bCs/>
          <w:color w:val="262626" w:themeColor="text1" w:themeTint="D9"/>
          <w:sz w:val="24"/>
          <w:szCs w:val="24"/>
        </w:rPr>
        <w:lastRenderedPageBreak/>
        <w:t xml:space="preserve">dispone la liquidación de las pensiones regidas por la ley 33 de 1985, cuya sentencia estableció liquidar la pensión con el promedio del último año de servicio e incluir los factores salariales devengados en el este. </w:t>
      </w:r>
    </w:p>
    <w:p w:rsidR="00235A78" w:rsidRDefault="00235A78" w:rsidP="00235A78">
      <w:pPr>
        <w:spacing w:after="0" w:line="300" w:lineRule="auto"/>
        <w:jc w:val="both"/>
        <w:rPr>
          <w:rFonts w:ascii="Century Gothic" w:hAnsi="Century Gothic" w:cs="Century Gothic"/>
          <w:bCs/>
          <w:color w:val="262626" w:themeColor="text1" w:themeTint="D9"/>
          <w:sz w:val="24"/>
          <w:szCs w:val="24"/>
        </w:rPr>
      </w:pPr>
    </w:p>
    <w:p w:rsidR="00235A78" w:rsidRPr="00CE2597" w:rsidRDefault="00235A78" w:rsidP="00235A78">
      <w:pPr>
        <w:spacing w:after="0" w:line="300" w:lineRule="auto"/>
        <w:jc w:val="both"/>
        <w:rPr>
          <w:rFonts w:ascii="Century Gothic" w:hAnsi="Century Gothic" w:cs="Century Gothic"/>
          <w:bCs/>
          <w:color w:val="262626" w:themeColor="text1" w:themeTint="D9"/>
          <w:sz w:val="24"/>
          <w:szCs w:val="24"/>
        </w:rPr>
      </w:pPr>
      <w:r>
        <w:rPr>
          <w:rFonts w:ascii="Century Gothic" w:hAnsi="Century Gothic" w:cs="Century Gothic"/>
          <w:bCs/>
          <w:color w:val="262626" w:themeColor="text1" w:themeTint="D9"/>
          <w:sz w:val="24"/>
          <w:szCs w:val="24"/>
        </w:rPr>
        <w:t>En este contexto, procede la Sala a resolver el problema jurídico planteado, teniendo en cuenta el marco normativo y jurisprudencial expuesto, así como los hechos probados y el objeto de la apelación.</w:t>
      </w:r>
    </w:p>
    <w:p w:rsidR="00235A78" w:rsidRPr="00CE2597" w:rsidRDefault="00235A78" w:rsidP="00235A78">
      <w:pPr>
        <w:spacing w:after="0" w:line="300" w:lineRule="auto"/>
        <w:jc w:val="both"/>
        <w:rPr>
          <w:rFonts w:ascii="Century Gothic" w:hAnsi="Century Gothic" w:cs="Century Gothic"/>
          <w:bCs/>
          <w:color w:val="262626" w:themeColor="text1" w:themeTint="D9"/>
          <w:sz w:val="24"/>
          <w:szCs w:val="24"/>
        </w:rPr>
      </w:pPr>
    </w:p>
    <w:p w:rsidR="00235A78" w:rsidRPr="00CE2597" w:rsidRDefault="00235A78" w:rsidP="00235A78">
      <w:pPr>
        <w:spacing w:after="0" w:line="300" w:lineRule="auto"/>
        <w:jc w:val="both"/>
        <w:rPr>
          <w:rFonts w:ascii="Century Gothic" w:hAnsi="Century Gothic" w:cs="Century Gothic"/>
          <w:color w:val="262626" w:themeColor="text1" w:themeTint="D9"/>
          <w:sz w:val="24"/>
          <w:szCs w:val="24"/>
        </w:rPr>
      </w:pPr>
      <w:r>
        <w:rPr>
          <w:rFonts w:ascii="Century Gothic" w:hAnsi="Century Gothic" w:cs="Century Gothic"/>
          <w:color w:val="262626" w:themeColor="text1" w:themeTint="D9"/>
          <w:sz w:val="24"/>
          <w:szCs w:val="24"/>
        </w:rPr>
        <w:t xml:space="preserve"> </w:t>
      </w:r>
    </w:p>
    <w:p w:rsidR="00235A78" w:rsidRPr="00235A78" w:rsidRDefault="00235A78" w:rsidP="00235A78">
      <w:pPr>
        <w:spacing w:after="0" w:line="300" w:lineRule="auto"/>
        <w:jc w:val="both"/>
        <w:rPr>
          <w:rFonts w:ascii="Century Gothic" w:hAnsi="Century Gothic" w:cs="Century Gothic"/>
          <w:bCs/>
          <w:color w:val="262626" w:themeColor="text1" w:themeTint="D9"/>
          <w:sz w:val="24"/>
          <w:szCs w:val="24"/>
        </w:rPr>
      </w:pPr>
    </w:p>
    <w:p w:rsidR="00B43045" w:rsidRPr="00CE2597" w:rsidRDefault="00B43045" w:rsidP="00BF6128">
      <w:pPr>
        <w:spacing w:after="0" w:line="300" w:lineRule="auto"/>
        <w:jc w:val="both"/>
        <w:rPr>
          <w:rFonts w:ascii="Century Gothic" w:eastAsia="Calibri" w:hAnsi="Century Gothic" w:cs="Century Gothic"/>
          <w:bCs/>
          <w:color w:val="262626" w:themeColor="text1" w:themeTint="D9"/>
          <w:sz w:val="24"/>
          <w:szCs w:val="24"/>
        </w:rPr>
      </w:pPr>
    </w:p>
    <w:p w:rsidR="00BF6128" w:rsidRPr="00CE2597" w:rsidRDefault="00BF6128" w:rsidP="00BF6128">
      <w:pPr>
        <w:spacing w:after="0" w:line="300" w:lineRule="auto"/>
        <w:jc w:val="both"/>
        <w:rPr>
          <w:rFonts w:ascii="Century Gothic" w:hAnsi="Century Gothic" w:cs="Century Gothic"/>
          <w:b/>
          <w:bCs/>
          <w:color w:val="262626" w:themeColor="text1" w:themeTint="D9"/>
          <w:sz w:val="24"/>
          <w:szCs w:val="24"/>
          <w:lang w:val="es-CO" w:eastAsia="es-ES"/>
        </w:rPr>
      </w:pPr>
    </w:p>
    <w:p w:rsidR="00B43045" w:rsidRPr="00CE2597" w:rsidRDefault="00B234AA" w:rsidP="007C413D">
      <w:pPr>
        <w:spacing w:after="0" w:line="300" w:lineRule="auto"/>
        <w:jc w:val="both"/>
        <w:rPr>
          <w:rFonts w:ascii="Century Gothic" w:eastAsia="Times New Roman" w:hAnsi="Century Gothic" w:cs="Century Gothic"/>
          <w:bCs/>
          <w:color w:val="262626" w:themeColor="text1" w:themeTint="D9"/>
          <w:sz w:val="24"/>
          <w:szCs w:val="24"/>
        </w:rPr>
      </w:pPr>
      <w:r>
        <w:rPr>
          <w:rFonts w:ascii="Century Gothic" w:eastAsia="Times New Roman" w:hAnsi="Century Gothic" w:cs="Century Gothic"/>
          <w:bCs/>
          <w:color w:val="262626" w:themeColor="text1" w:themeTint="D9"/>
          <w:sz w:val="24"/>
          <w:szCs w:val="24"/>
          <w:lang w:val="es-CO"/>
        </w:rPr>
        <w:t>D</w:t>
      </w:r>
      <w:proofErr w:type="spellStart"/>
      <w:r w:rsidR="00B43045" w:rsidRPr="00CE2597">
        <w:rPr>
          <w:rFonts w:ascii="Century Gothic" w:eastAsia="Times New Roman" w:hAnsi="Century Gothic" w:cs="Century Gothic"/>
          <w:bCs/>
          <w:color w:val="262626" w:themeColor="text1" w:themeTint="D9"/>
          <w:sz w:val="24"/>
          <w:szCs w:val="24"/>
        </w:rPr>
        <w:t>e</w:t>
      </w:r>
      <w:proofErr w:type="spellEnd"/>
      <w:r w:rsidR="00B43045" w:rsidRPr="00CE2597">
        <w:rPr>
          <w:rFonts w:ascii="Century Gothic" w:eastAsia="Times New Roman" w:hAnsi="Century Gothic" w:cs="Century Gothic"/>
          <w:bCs/>
          <w:color w:val="262626" w:themeColor="text1" w:themeTint="D9"/>
          <w:sz w:val="24"/>
          <w:szCs w:val="24"/>
        </w:rPr>
        <w:t xml:space="preserve"> acuerdo con el material probatorio arrimado al expediente, se tiene que la señora</w:t>
      </w:r>
      <w:r w:rsidR="00560BDB" w:rsidRPr="00CE2597">
        <w:rPr>
          <w:rFonts w:ascii="Century Gothic" w:eastAsia="Times New Roman" w:hAnsi="Century Gothic" w:cs="Century Gothic"/>
          <w:bCs/>
          <w:color w:val="262626" w:themeColor="text1" w:themeTint="D9"/>
          <w:sz w:val="24"/>
          <w:szCs w:val="24"/>
        </w:rPr>
        <w:t xml:space="preserve"> Herlinda </w:t>
      </w:r>
      <w:r w:rsidRPr="00CE2597">
        <w:rPr>
          <w:rFonts w:ascii="Century Gothic" w:eastAsia="Times New Roman" w:hAnsi="Century Gothic" w:cs="Century Gothic"/>
          <w:bCs/>
          <w:color w:val="262626" w:themeColor="text1" w:themeTint="D9"/>
          <w:sz w:val="24"/>
          <w:szCs w:val="24"/>
        </w:rPr>
        <w:t>Sepúlveda</w:t>
      </w:r>
      <w:r w:rsidR="00560BDB" w:rsidRPr="00CE2597">
        <w:rPr>
          <w:rFonts w:ascii="Century Gothic" w:eastAsia="Times New Roman" w:hAnsi="Century Gothic" w:cs="Century Gothic"/>
          <w:bCs/>
          <w:color w:val="262626" w:themeColor="text1" w:themeTint="D9"/>
          <w:sz w:val="24"/>
          <w:szCs w:val="24"/>
        </w:rPr>
        <w:t xml:space="preserve"> </w:t>
      </w:r>
      <w:r w:rsidRPr="00CE2597">
        <w:rPr>
          <w:rFonts w:ascii="Century Gothic" w:eastAsia="Times New Roman" w:hAnsi="Century Gothic" w:cs="Century Gothic"/>
          <w:bCs/>
          <w:color w:val="262626" w:themeColor="text1" w:themeTint="D9"/>
          <w:sz w:val="24"/>
          <w:szCs w:val="24"/>
        </w:rPr>
        <w:t>González</w:t>
      </w:r>
      <w:r w:rsidR="00B43045" w:rsidRPr="00CE2597">
        <w:rPr>
          <w:rFonts w:ascii="Century Gothic" w:eastAsia="Times New Roman" w:hAnsi="Century Gothic" w:cs="Century Gothic"/>
          <w:bCs/>
          <w:color w:val="262626" w:themeColor="text1" w:themeTint="D9"/>
          <w:sz w:val="24"/>
          <w:szCs w:val="24"/>
        </w:rPr>
        <w:t xml:space="preserve">, es beneficiaria del régimen de transición previsto en el artículo 36 de la Ley 100 de 1993, en la medida en que para la fecha en que entró a regir esta ley – 1° de Abril de 1994-, tenía más de 35 años de edad; cumpliendo así con uno de los presupuestos alternativos para beneficiarse del mismo. </w:t>
      </w:r>
    </w:p>
    <w:p w:rsidR="005B7F5B" w:rsidRPr="00CE2597" w:rsidRDefault="005B7F5B" w:rsidP="007C413D">
      <w:pPr>
        <w:spacing w:after="0" w:line="300" w:lineRule="auto"/>
        <w:jc w:val="both"/>
        <w:rPr>
          <w:rFonts w:ascii="Century Gothic" w:eastAsia="Times New Roman" w:hAnsi="Century Gothic" w:cs="Century Gothic"/>
          <w:bCs/>
          <w:color w:val="262626" w:themeColor="text1" w:themeTint="D9"/>
          <w:sz w:val="24"/>
          <w:szCs w:val="24"/>
        </w:rPr>
      </w:pPr>
    </w:p>
    <w:p w:rsidR="00B43045" w:rsidRDefault="00B43045" w:rsidP="007C413D">
      <w:pPr>
        <w:spacing w:after="0" w:line="300" w:lineRule="auto"/>
        <w:jc w:val="both"/>
        <w:rPr>
          <w:rFonts w:ascii="Century Gothic" w:eastAsia="Times New Roman" w:hAnsi="Century Gothic" w:cs="Century Gothic"/>
          <w:bCs/>
          <w:color w:val="262626" w:themeColor="text1" w:themeTint="D9"/>
          <w:sz w:val="24"/>
          <w:szCs w:val="24"/>
        </w:rPr>
      </w:pPr>
      <w:r w:rsidRPr="00CE2597">
        <w:rPr>
          <w:rFonts w:ascii="Century Gothic" w:eastAsia="Times New Roman" w:hAnsi="Century Gothic" w:cs="Century Gothic"/>
          <w:bCs/>
          <w:color w:val="262626" w:themeColor="text1" w:themeTint="D9"/>
          <w:sz w:val="24"/>
          <w:szCs w:val="24"/>
        </w:rPr>
        <w:t>De acuerdo al marco normativo y jurisprudencial arriba expuesto, específicamente la sentencia de Unificación de la Corte Constitucional SU 395 de 2017, al encontrarse sujeta la situación pensional de</w:t>
      </w:r>
      <w:r w:rsidR="004B5F16" w:rsidRPr="00CE2597">
        <w:rPr>
          <w:rFonts w:ascii="Century Gothic" w:eastAsia="Times New Roman" w:hAnsi="Century Gothic" w:cs="Century Gothic"/>
          <w:bCs/>
          <w:color w:val="262626" w:themeColor="text1" w:themeTint="D9"/>
          <w:sz w:val="24"/>
          <w:szCs w:val="24"/>
        </w:rPr>
        <w:t xml:space="preserve"> la accionante</w:t>
      </w:r>
      <w:r w:rsidRPr="00CE2597">
        <w:rPr>
          <w:rFonts w:ascii="Century Gothic" w:eastAsia="Times New Roman" w:hAnsi="Century Gothic" w:cs="Century Gothic"/>
          <w:bCs/>
          <w:color w:val="262626" w:themeColor="text1" w:themeTint="D9"/>
          <w:sz w:val="24"/>
          <w:szCs w:val="24"/>
        </w:rPr>
        <w:t xml:space="preserve">, al régimen de transición del artículo 36 de la Ley 100 de 1993, ello exclusivamente le da derecho a beneficiarse de los elementos previstos en la Ley anterior, atinentes a: i) edad para acceder a la pensión de vejez, ii) tiempo de servicio o número de semanas cotizadas, y iii) </w:t>
      </w:r>
      <w:r w:rsidRPr="00CE2597">
        <w:rPr>
          <w:rFonts w:ascii="Century Gothic" w:eastAsia="Times New Roman" w:hAnsi="Century Gothic" w:cs="Century Gothic"/>
          <w:b/>
          <w:bCs/>
          <w:color w:val="262626" w:themeColor="text1" w:themeTint="D9"/>
          <w:sz w:val="24"/>
          <w:szCs w:val="24"/>
        </w:rPr>
        <w:t>monto</w:t>
      </w:r>
      <w:r w:rsidRPr="00CE2597">
        <w:rPr>
          <w:rFonts w:ascii="Century Gothic" w:eastAsia="Times New Roman" w:hAnsi="Century Gothic" w:cs="Century Gothic"/>
          <w:bCs/>
          <w:color w:val="262626" w:themeColor="text1" w:themeTint="D9"/>
          <w:sz w:val="24"/>
          <w:szCs w:val="24"/>
        </w:rPr>
        <w:t xml:space="preserve"> de la pensión de vejez (tasa de reemplazo), pero entendido este último concepto como el </w:t>
      </w:r>
      <w:r w:rsidRPr="00CE2597">
        <w:rPr>
          <w:rFonts w:ascii="Century Gothic" w:eastAsia="Times New Roman" w:hAnsi="Century Gothic" w:cs="Century Gothic"/>
          <w:bCs/>
          <w:i/>
          <w:color w:val="262626" w:themeColor="text1" w:themeTint="D9"/>
          <w:sz w:val="24"/>
          <w:szCs w:val="24"/>
        </w:rPr>
        <w:t>porcentaje</w:t>
      </w:r>
      <w:r w:rsidRPr="00CE2597">
        <w:rPr>
          <w:rFonts w:ascii="Century Gothic" w:eastAsia="Times New Roman" w:hAnsi="Century Gothic" w:cs="Century Gothic"/>
          <w:bCs/>
          <w:color w:val="262626" w:themeColor="text1" w:themeTint="D9"/>
          <w:sz w:val="24"/>
          <w:szCs w:val="24"/>
        </w:rPr>
        <w:t xml:space="preserve"> sobre el cual se liquidará la pensión, más no como el ingreso base de liquidación – IBL -, componente este último para el cual debe seguirse inexorablemente lo previsto en la Ley 100 de 1993, pues el IBL no fue un aspecto sometido a transición.</w:t>
      </w:r>
    </w:p>
    <w:p w:rsidR="00460FCD" w:rsidRPr="00CE2597" w:rsidRDefault="00460FCD" w:rsidP="007C413D">
      <w:pPr>
        <w:spacing w:after="0" w:line="300" w:lineRule="auto"/>
        <w:jc w:val="both"/>
        <w:rPr>
          <w:rFonts w:ascii="Century Gothic" w:eastAsia="Times New Roman" w:hAnsi="Century Gothic" w:cs="Century Gothic"/>
          <w:bCs/>
          <w:color w:val="262626" w:themeColor="text1" w:themeTint="D9"/>
          <w:sz w:val="24"/>
          <w:szCs w:val="24"/>
        </w:rPr>
      </w:pPr>
    </w:p>
    <w:p w:rsidR="00B45977" w:rsidRPr="00CE2597" w:rsidRDefault="00B43045" w:rsidP="007C413D">
      <w:pPr>
        <w:spacing w:after="0" w:line="300" w:lineRule="auto"/>
        <w:jc w:val="both"/>
        <w:rPr>
          <w:rFonts w:ascii="Century Gothic" w:eastAsia="Times New Roman" w:hAnsi="Century Gothic" w:cs="Century Gothic"/>
          <w:bCs/>
          <w:color w:val="262626" w:themeColor="text1" w:themeTint="D9"/>
          <w:sz w:val="24"/>
          <w:szCs w:val="24"/>
          <w:lang w:val="es-CO"/>
        </w:rPr>
      </w:pPr>
      <w:r w:rsidRPr="00CE2597">
        <w:rPr>
          <w:rFonts w:ascii="Century Gothic" w:eastAsia="Times New Roman" w:hAnsi="Century Gothic" w:cs="Century Gothic"/>
          <w:bCs/>
          <w:color w:val="262626" w:themeColor="text1" w:themeTint="D9"/>
          <w:sz w:val="24"/>
          <w:szCs w:val="24"/>
          <w:lang w:val="es-CO"/>
        </w:rPr>
        <w:t>Así las cosas, no es posible aplicarle a la señora</w:t>
      </w:r>
      <w:r w:rsidR="008A72CD" w:rsidRPr="00CE2597">
        <w:rPr>
          <w:rFonts w:ascii="Century Gothic" w:eastAsia="Times New Roman" w:hAnsi="Century Gothic" w:cs="Century Gothic"/>
          <w:bCs/>
          <w:color w:val="262626" w:themeColor="text1" w:themeTint="D9"/>
          <w:sz w:val="24"/>
          <w:szCs w:val="24"/>
          <w:lang w:val="es-CO"/>
        </w:rPr>
        <w:t xml:space="preserve"> Herlinda </w:t>
      </w:r>
      <w:r w:rsidR="00B234AA" w:rsidRPr="00CE2597">
        <w:rPr>
          <w:rFonts w:ascii="Century Gothic" w:eastAsia="Times New Roman" w:hAnsi="Century Gothic" w:cs="Century Gothic"/>
          <w:bCs/>
          <w:color w:val="262626" w:themeColor="text1" w:themeTint="D9"/>
          <w:sz w:val="24"/>
          <w:szCs w:val="24"/>
          <w:lang w:val="es-CO"/>
        </w:rPr>
        <w:t>Sepúlveda</w:t>
      </w:r>
      <w:r w:rsidR="008A72CD" w:rsidRPr="00CE2597">
        <w:rPr>
          <w:rFonts w:ascii="Century Gothic" w:eastAsia="Times New Roman" w:hAnsi="Century Gothic" w:cs="Century Gothic"/>
          <w:bCs/>
          <w:color w:val="262626" w:themeColor="text1" w:themeTint="D9"/>
          <w:sz w:val="24"/>
          <w:szCs w:val="24"/>
          <w:lang w:val="es-CO"/>
        </w:rPr>
        <w:t xml:space="preserve"> </w:t>
      </w:r>
      <w:r w:rsidR="00B234AA" w:rsidRPr="00CE2597">
        <w:rPr>
          <w:rFonts w:ascii="Century Gothic" w:eastAsia="Times New Roman" w:hAnsi="Century Gothic" w:cs="Century Gothic"/>
          <w:bCs/>
          <w:color w:val="262626" w:themeColor="text1" w:themeTint="D9"/>
          <w:sz w:val="24"/>
          <w:szCs w:val="24"/>
          <w:lang w:val="es-CO"/>
        </w:rPr>
        <w:t>González</w:t>
      </w:r>
      <w:r w:rsidR="004B5F16" w:rsidRPr="00CE2597">
        <w:rPr>
          <w:rFonts w:ascii="Century Gothic" w:eastAsia="Times New Roman" w:hAnsi="Century Gothic" w:cs="Century Gothic"/>
          <w:bCs/>
          <w:color w:val="262626" w:themeColor="text1" w:themeTint="D9"/>
          <w:sz w:val="24"/>
          <w:szCs w:val="24"/>
          <w:lang w:val="es-CO"/>
        </w:rPr>
        <w:t xml:space="preserve">, </w:t>
      </w:r>
      <w:r w:rsidRPr="00CE2597">
        <w:rPr>
          <w:rFonts w:ascii="Century Gothic" w:eastAsia="Times New Roman" w:hAnsi="Century Gothic" w:cs="Century Gothic"/>
          <w:bCs/>
          <w:color w:val="262626" w:themeColor="text1" w:themeTint="D9"/>
          <w:sz w:val="24"/>
          <w:szCs w:val="24"/>
          <w:lang w:val="es-CO"/>
        </w:rPr>
        <w:t>el régimen contemplado en la Ley 33 de 1985, sino que debe aplicársele el régimen de transición establecido en la Ley 100 de 19</w:t>
      </w:r>
      <w:r w:rsidR="00EF6154" w:rsidRPr="00CE2597">
        <w:rPr>
          <w:rFonts w:ascii="Century Gothic" w:eastAsia="Times New Roman" w:hAnsi="Century Gothic" w:cs="Century Gothic"/>
          <w:bCs/>
          <w:color w:val="262626" w:themeColor="text1" w:themeTint="D9"/>
          <w:sz w:val="24"/>
          <w:szCs w:val="24"/>
          <w:lang w:val="es-CO"/>
        </w:rPr>
        <w:t>93, en la forma antes explicada; d</w:t>
      </w:r>
      <w:r w:rsidR="00560BDB" w:rsidRPr="00CE2597">
        <w:rPr>
          <w:rFonts w:ascii="Century Gothic" w:eastAsia="Times New Roman" w:hAnsi="Century Gothic" w:cs="Century Gothic"/>
          <w:bCs/>
          <w:color w:val="262626" w:themeColor="text1" w:themeTint="D9"/>
          <w:sz w:val="24"/>
          <w:szCs w:val="24"/>
          <w:lang w:val="es-CO"/>
        </w:rPr>
        <w:t>ado lo anterior, es</w:t>
      </w:r>
      <w:r w:rsidR="00EF6154" w:rsidRPr="00CE2597">
        <w:rPr>
          <w:rFonts w:ascii="Century Gothic" w:eastAsia="Times New Roman" w:hAnsi="Century Gothic" w:cs="Century Gothic"/>
          <w:bCs/>
          <w:color w:val="262626" w:themeColor="text1" w:themeTint="D9"/>
          <w:sz w:val="24"/>
          <w:szCs w:val="24"/>
          <w:lang w:val="es-CO"/>
        </w:rPr>
        <w:t xml:space="preserve"> dable precisar que el IBL para liquidar las </w:t>
      </w:r>
      <w:r w:rsidR="00EF6154" w:rsidRPr="00CE2597">
        <w:rPr>
          <w:rFonts w:ascii="Century Gothic" w:eastAsia="Times New Roman" w:hAnsi="Century Gothic" w:cs="Century Gothic"/>
          <w:bCs/>
          <w:color w:val="262626" w:themeColor="text1" w:themeTint="D9"/>
          <w:sz w:val="24"/>
          <w:szCs w:val="24"/>
          <w:lang w:val="es-CO"/>
        </w:rPr>
        <w:lastRenderedPageBreak/>
        <w:t xml:space="preserve">pensiones de los beneficiarios del régimen de transición se determinan conforme al artículo 21 de la ley precitada, es decir el promedio de los salarios o rentas sobre los cuales ha cotizado el afiliado durante los diez (10) años anteriores al reconocimiento de la pensión. </w:t>
      </w:r>
    </w:p>
    <w:p w:rsidR="00EF6154" w:rsidRDefault="00EF6154" w:rsidP="007C413D">
      <w:pPr>
        <w:spacing w:after="0" w:line="300" w:lineRule="auto"/>
        <w:jc w:val="both"/>
        <w:rPr>
          <w:rFonts w:ascii="Century Gothic" w:eastAsia="Times New Roman" w:hAnsi="Century Gothic" w:cs="Century Gothic"/>
          <w:bCs/>
          <w:color w:val="262626" w:themeColor="text1" w:themeTint="D9"/>
          <w:sz w:val="24"/>
          <w:szCs w:val="24"/>
          <w:lang w:val="es-CO"/>
        </w:rPr>
      </w:pPr>
    </w:p>
    <w:p w:rsidR="00460FCD" w:rsidRDefault="00460FCD" w:rsidP="00460FCD">
      <w:pPr>
        <w:spacing w:after="0" w:line="300" w:lineRule="auto"/>
        <w:jc w:val="both"/>
        <w:rPr>
          <w:rFonts w:ascii="Century Gothic" w:eastAsia="Calibri" w:hAnsi="Century Gothic" w:cs="Calibri"/>
          <w:color w:val="262626" w:themeColor="text1" w:themeTint="D9"/>
          <w:sz w:val="24"/>
          <w:szCs w:val="24"/>
        </w:rPr>
      </w:pPr>
      <w:r>
        <w:rPr>
          <w:rFonts w:ascii="Century Gothic" w:eastAsia="Calibri" w:hAnsi="Century Gothic" w:cs="Calibri"/>
          <w:color w:val="262626" w:themeColor="text1" w:themeTint="D9"/>
          <w:sz w:val="24"/>
          <w:szCs w:val="24"/>
        </w:rPr>
        <w:t>Por otra parte, es necesario precisar, que la exclusión del IBL del régimen de transición, en  nada afecta la inclusión de todos los factores devengados, sobre los cuales se hayan realizado los aportes, con la condición que estén enlistados en el Decreto 1158 de 1994, para efectos de liquidar la pensión.</w:t>
      </w:r>
    </w:p>
    <w:p w:rsidR="00460FCD" w:rsidRPr="00460FCD" w:rsidRDefault="00460FCD" w:rsidP="007C413D">
      <w:pPr>
        <w:spacing w:after="0" w:line="300" w:lineRule="auto"/>
        <w:jc w:val="both"/>
        <w:rPr>
          <w:rFonts w:ascii="Century Gothic" w:eastAsia="Times New Roman" w:hAnsi="Century Gothic" w:cs="Century Gothic"/>
          <w:bCs/>
          <w:color w:val="262626" w:themeColor="text1" w:themeTint="D9"/>
          <w:sz w:val="24"/>
          <w:szCs w:val="24"/>
        </w:rPr>
      </w:pPr>
    </w:p>
    <w:p w:rsidR="00460FCD" w:rsidRPr="00CE2597" w:rsidRDefault="00460FCD" w:rsidP="007C413D">
      <w:pPr>
        <w:spacing w:after="0" w:line="300" w:lineRule="auto"/>
        <w:jc w:val="both"/>
        <w:rPr>
          <w:rFonts w:ascii="Century Gothic" w:eastAsia="Times New Roman" w:hAnsi="Century Gothic" w:cs="Century Gothic"/>
          <w:bCs/>
          <w:color w:val="262626" w:themeColor="text1" w:themeTint="D9"/>
          <w:sz w:val="24"/>
          <w:szCs w:val="24"/>
          <w:lang w:val="es-CO"/>
        </w:rPr>
      </w:pPr>
    </w:p>
    <w:p w:rsidR="00FC0B07" w:rsidRPr="00CE2597" w:rsidRDefault="00B45977" w:rsidP="007C413D">
      <w:pPr>
        <w:spacing w:after="0" w:line="300" w:lineRule="auto"/>
        <w:jc w:val="both"/>
        <w:rPr>
          <w:rFonts w:ascii="Century Gothic" w:eastAsia="Calibri" w:hAnsi="Century Gothic" w:cs="Calibri"/>
          <w:color w:val="262626" w:themeColor="text1" w:themeTint="D9"/>
          <w:sz w:val="24"/>
          <w:szCs w:val="24"/>
        </w:rPr>
      </w:pPr>
      <w:r w:rsidRPr="00CE2597">
        <w:rPr>
          <w:rFonts w:ascii="Century Gothic" w:eastAsia="Calibri" w:hAnsi="Century Gothic" w:cs="Calibri"/>
          <w:color w:val="262626" w:themeColor="text1" w:themeTint="D9"/>
          <w:sz w:val="24"/>
          <w:szCs w:val="24"/>
        </w:rPr>
        <w:t>Observa esta Corporación, que se encuentra</w:t>
      </w:r>
      <w:r w:rsidR="00FC0B07" w:rsidRPr="00CE2597">
        <w:rPr>
          <w:rFonts w:ascii="Century Gothic" w:eastAsia="Calibri" w:hAnsi="Century Gothic" w:cs="Calibri"/>
          <w:color w:val="262626" w:themeColor="text1" w:themeTint="D9"/>
          <w:sz w:val="24"/>
          <w:szCs w:val="24"/>
        </w:rPr>
        <w:t xml:space="preserve"> acreditado con el certificado expedido por “Profesional Especializado de la Secretaría de Salud Departamental asignada para la atención de la liquidada Empresa Social del Estado Hospital Universitario de Cartagena según Decreto 106 de febrero 29 de 2016” de fecha 10 de junio de 2016 (</w:t>
      </w:r>
      <w:proofErr w:type="spellStart"/>
      <w:r w:rsidR="00FC0B07" w:rsidRPr="00CE2597">
        <w:rPr>
          <w:rFonts w:ascii="Century Gothic" w:eastAsia="Calibri" w:hAnsi="Century Gothic" w:cs="Calibri"/>
          <w:color w:val="262626" w:themeColor="text1" w:themeTint="D9"/>
          <w:sz w:val="24"/>
          <w:szCs w:val="24"/>
        </w:rPr>
        <w:t>fls</w:t>
      </w:r>
      <w:proofErr w:type="spellEnd"/>
      <w:r w:rsidR="00FC0B07" w:rsidRPr="00CE2597">
        <w:rPr>
          <w:rFonts w:ascii="Century Gothic" w:eastAsia="Calibri" w:hAnsi="Century Gothic" w:cs="Calibri"/>
          <w:color w:val="262626" w:themeColor="text1" w:themeTint="D9"/>
          <w:sz w:val="24"/>
          <w:szCs w:val="24"/>
        </w:rPr>
        <w:t>. 45- 48); que la accionante en el periodo comprendido en los 10 últimos años laborados (1993-2003), devengó los siguientes factores salariales: Asignación básica, subsidio de transporte, prima de alimentación</w:t>
      </w:r>
      <w:r w:rsidR="00FC0B07" w:rsidRPr="00460FCD">
        <w:rPr>
          <w:rFonts w:ascii="Century Gothic" w:eastAsia="Calibri" w:hAnsi="Century Gothic" w:cs="Calibri"/>
          <w:b/>
          <w:color w:val="262626" w:themeColor="text1" w:themeTint="D9"/>
          <w:sz w:val="24"/>
          <w:szCs w:val="24"/>
        </w:rPr>
        <w:t>, bonificación por servicio</w:t>
      </w:r>
      <w:r w:rsidR="00FC0B07" w:rsidRPr="00CE2597">
        <w:rPr>
          <w:rFonts w:ascii="Century Gothic" w:eastAsia="Calibri" w:hAnsi="Century Gothic" w:cs="Calibri"/>
          <w:color w:val="262626" w:themeColor="text1" w:themeTint="D9"/>
          <w:sz w:val="24"/>
          <w:szCs w:val="24"/>
        </w:rPr>
        <w:t xml:space="preserve">, bonificación por antigüedad, prima de vacaciones, prima semestral, prima de navidad, </w:t>
      </w:r>
      <w:r w:rsidR="00FC0B07" w:rsidRPr="00460FCD">
        <w:rPr>
          <w:rFonts w:ascii="Century Gothic" w:eastAsia="Calibri" w:hAnsi="Century Gothic" w:cs="Calibri"/>
          <w:b/>
          <w:color w:val="262626" w:themeColor="text1" w:themeTint="D9"/>
          <w:sz w:val="24"/>
          <w:szCs w:val="24"/>
        </w:rPr>
        <w:t>promedio recargo mensual</w:t>
      </w:r>
      <w:r w:rsidR="00C13A7A" w:rsidRPr="00460FCD">
        <w:rPr>
          <w:rFonts w:ascii="Century Gothic" w:eastAsia="Calibri" w:hAnsi="Century Gothic" w:cs="Calibri"/>
          <w:b/>
          <w:color w:val="262626" w:themeColor="text1" w:themeTint="D9"/>
          <w:sz w:val="24"/>
          <w:szCs w:val="24"/>
        </w:rPr>
        <w:t xml:space="preserve"> (remuneración por trabajo suplementario)</w:t>
      </w:r>
      <w:r w:rsidR="00973306" w:rsidRPr="00460FCD">
        <w:rPr>
          <w:rFonts w:ascii="Century Gothic" w:eastAsia="Calibri" w:hAnsi="Century Gothic" w:cs="Calibri"/>
          <w:b/>
          <w:color w:val="262626" w:themeColor="text1" w:themeTint="D9"/>
          <w:sz w:val="24"/>
          <w:szCs w:val="24"/>
        </w:rPr>
        <w:t xml:space="preserve">. </w:t>
      </w:r>
      <w:r w:rsidR="00973306" w:rsidRPr="00CE2597">
        <w:rPr>
          <w:rFonts w:ascii="Century Gothic" w:eastAsia="Calibri" w:hAnsi="Century Gothic" w:cs="Calibri"/>
          <w:color w:val="262626" w:themeColor="text1" w:themeTint="D9"/>
          <w:sz w:val="24"/>
          <w:szCs w:val="24"/>
        </w:rPr>
        <w:t xml:space="preserve">De los factores mencionados, </w:t>
      </w:r>
      <w:r w:rsidR="00C13A7A" w:rsidRPr="00CE2597">
        <w:rPr>
          <w:rFonts w:ascii="Century Gothic" w:eastAsia="Calibri" w:hAnsi="Century Gothic" w:cs="Calibri"/>
          <w:color w:val="262626" w:themeColor="text1" w:themeTint="D9"/>
          <w:sz w:val="24"/>
          <w:szCs w:val="24"/>
        </w:rPr>
        <w:t xml:space="preserve">se encuentran enlistados en el Decreto 1158 de 1994 la </w:t>
      </w:r>
      <w:r w:rsidR="00C13A7A" w:rsidRPr="00460FCD">
        <w:rPr>
          <w:rFonts w:ascii="Century Gothic" w:eastAsia="Calibri" w:hAnsi="Century Gothic" w:cs="Calibri"/>
          <w:b/>
          <w:color w:val="262626" w:themeColor="text1" w:themeTint="D9"/>
          <w:sz w:val="24"/>
          <w:szCs w:val="24"/>
        </w:rPr>
        <w:t xml:space="preserve">bonificación por servicios </w:t>
      </w:r>
      <w:r w:rsidR="004B07EC" w:rsidRPr="00460FCD">
        <w:rPr>
          <w:rFonts w:ascii="Century Gothic" w:eastAsia="Calibri" w:hAnsi="Century Gothic" w:cs="Calibri"/>
          <w:b/>
          <w:color w:val="262626" w:themeColor="text1" w:themeTint="D9"/>
          <w:sz w:val="24"/>
          <w:szCs w:val="24"/>
        </w:rPr>
        <w:t>y la remuneración por trabajo suplementario</w:t>
      </w:r>
      <w:r w:rsidR="004B07EC" w:rsidRPr="00CE2597">
        <w:rPr>
          <w:rFonts w:ascii="Century Gothic" w:eastAsia="Calibri" w:hAnsi="Century Gothic" w:cs="Calibri"/>
          <w:color w:val="262626" w:themeColor="text1" w:themeTint="D9"/>
          <w:sz w:val="24"/>
          <w:szCs w:val="24"/>
        </w:rPr>
        <w:t xml:space="preserve">, siendo procedente la inclusión de estos dos factores en la reliquidación deprecada. </w:t>
      </w:r>
    </w:p>
    <w:p w:rsidR="00FC0B07" w:rsidRDefault="00FC0B07" w:rsidP="007C413D">
      <w:pPr>
        <w:spacing w:after="0" w:line="300" w:lineRule="auto"/>
        <w:jc w:val="both"/>
        <w:rPr>
          <w:rFonts w:ascii="Century Gothic" w:eastAsia="Calibri" w:hAnsi="Century Gothic" w:cs="Calibri"/>
          <w:color w:val="262626" w:themeColor="text1" w:themeTint="D9"/>
          <w:sz w:val="24"/>
          <w:szCs w:val="24"/>
        </w:rPr>
      </w:pPr>
    </w:p>
    <w:p w:rsidR="005D394C" w:rsidRDefault="005D394C" w:rsidP="007C413D">
      <w:pPr>
        <w:spacing w:after="0" w:line="300" w:lineRule="auto"/>
        <w:jc w:val="both"/>
        <w:rPr>
          <w:rFonts w:ascii="Century Gothic" w:eastAsia="Calibri" w:hAnsi="Century Gothic" w:cs="Calibri"/>
          <w:color w:val="262626" w:themeColor="text1" w:themeTint="D9"/>
          <w:sz w:val="24"/>
          <w:szCs w:val="24"/>
        </w:rPr>
      </w:pPr>
      <w:r>
        <w:rPr>
          <w:rFonts w:ascii="Century Gothic" w:eastAsia="Calibri" w:hAnsi="Century Gothic" w:cs="Calibri"/>
          <w:color w:val="262626" w:themeColor="text1" w:themeTint="D9"/>
          <w:sz w:val="24"/>
          <w:szCs w:val="24"/>
        </w:rPr>
        <w:t>Finalmente es necesario precisar, que el período que se debe tener en cuenta para la reliquidación  es el comprendido entre 1993 a 2003; debido a que si bien la actora aportó certificación laboral (</w:t>
      </w:r>
      <w:proofErr w:type="spellStart"/>
      <w:r>
        <w:rPr>
          <w:rFonts w:ascii="Century Gothic" w:eastAsia="Calibri" w:hAnsi="Century Gothic" w:cs="Calibri"/>
          <w:color w:val="262626" w:themeColor="text1" w:themeTint="D9"/>
          <w:sz w:val="24"/>
          <w:szCs w:val="24"/>
        </w:rPr>
        <w:t>fls</w:t>
      </w:r>
      <w:proofErr w:type="spellEnd"/>
      <w:r>
        <w:rPr>
          <w:rFonts w:ascii="Century Gothic" w:eastAsia="Calibri" w:hAnsi="Century Gothic" w:cs="Calibri"/>
          <w:color w:val="262626" w:themeColor="text1" w:themeTint="D9"/>
          <w:sz w:val="24"/>
          <w:szCs w:val="24"/>
        </w:rPr>
        <w:t>. 30-32) correspondiente al período 2008 a 2010, no acreditó los factores devengados y sobre los cuales se hiso los aportes correspondientes;  lo cual si acreditó respecto del período 1993-2003 (</w:t>
      </w:r>
      <w:proofErr w:type="spellStart"/>
      <w:r>
        <w:rPr>
          <w:rFonts w:ascii="Century Gothic" w:eastAsia="Calibri" w:hAnsi="Century Gothic" w:cs="Calibri"/>
          <w:color w:val="262626" w:themeColor="text1" w:themeTint="D9"/>
          <w:sz w:val="24"/>
          <w:szCs w:val="24"/>
        </w:rPr>
        <w:t>fls</w:t>
      </w:r>
      <w:proofErr w:type="spellEnd"/>
      <w:r>
        <w:rPr>
          <w:rFonts w:ascii="Century Gothic" w:eastAsia="Calibri" w:hAnsi="Century Gothic" w:cs="Calibri"/>
          <w:color w:val="262626" w:themeColor="text1" w:themeTint="D9"/>
          <w:sz w:val="24"/>
          <w:szCs w:val="24"/>
        </w:rPr>
        <w:t xml:space="preserve">. 45-48). </w:t>
      </w:r>
    </w:p>
    <w:p w:rsidR="005D394C" w:rsidRPr="00CE2597" w:rsidRDefault="005D394C" w:rsidP="007C413D">
      <w:pPr>
        <w:spacing w:after="0" w:line="300" w:lineRule="auto"/>
        <w:jc w:val="both"/>
        <w:rPr>
          <w:rFonts w:ascii="Century Gothic" w:eastAsia="Calibri" w:hAnsi="Century Gothic" w:cs="Calibri"/>
          <w:color w:val="262626" w:themeColor="text1" w:themeTint="D9"/>
          <w:sz w:val="24"/>
          <w:szCs w:val="24"/>
        </w:rPr>
      </w:pPr>
    </w:p>
    <w:p w:rsidR="00BF6128" w:rsidRPr="00CE2597" w:rsidRDefault="00B43045" w:rsidP="00BF6128">
      <w:pPr>
        <w:pStyle w:val="Textonormal"/>
        <w:spacing w:line="300" w:lineRule="auto"/>
        <w:rPr>
          <w:rFonts w:ascii="Century Gothic" w:hAnsi="Century Gothic" w:cs="Century Gothic"/>
          <w:bCs/>
          <w:color w:val="262626" w:themeColor="text1" w:themeTint="D9"/>
          <w:sz w:val="24"/>
          <w:szCs w:val="24"/>
          <w:lang w:val="es-CO" w:eastAsia="en-US"/>
        </w:rPr>
      </w:pPr>
      <w:r w:rsidRPr="00CE2597">
        <w:rPr>
          <w:rFonts w:ascii="Century Gothic" w:hAnsi="Century Gothic" w:cs="Century Gothic"/>
          <w:bCs/>
          <w:iCs/>
          <w:color w:val="262626" w:themeColor="text1" w:themeTint="D9"/>
          <w:sz w:val="24"/>
          <w:szCs w:val="24"/>
        </w:rPr>
        <w:t>En es</w:t>
      </w:r>
      <w:r w:rsidR="004C0051" w:rsidRPr="00CE2597">
        <w:rPr>
          <w:rFonts w:ascii="Century Gothic" w:hAnsi="Century Gothic" w:cs="Century Gothic"/>
          <w:bCs/>
          <w:iCs/>
          <w:color w:val="262626" w:themeColor="text1" w:themeTint="D9"/>
          <w:sz w:val="24"/>
          <w:szCs w:val="24"/>
        </w:rPr>
        <w:t>te sentido, precisa la Sala que le asiste razón al A quo</w:t>
      </w:r>
      <w:r w:rsidRPr="00CE2597">
        <w:rPr>
          <w:rFonts w:ascii="Century Gothic" w:hAnsi="Century Gothic" w:cs="Century Gothic"/>
          <w:bCs/>
          <w:iCs/>
          <w:color w:val="262626" w:themeColor="text1" w:themeTint="D9"/>
          <w:sz w:val="24"/>
          <w:szCs w:val="24"/>
        </w:rPr>
        <w:t xml:space="preserve"> por cuanto ordenó </w:t>
      </w:r>
      <w:proofErr w:type="spellStart"/>
      <w:r w:rsidRPr="00CE2597">
        <w:rPr>
          <w:rFonts w:ascii="Century Gothic" w:hAnsi="Century Gothic" w:cs="Century Gothic"/>
          <w:bCs/>
          <w:iCs/>
          <w:color w:val="262626" w:themeColor="text1" w:themeTint="D9"/>
          <w:sz w:val="24"/>
          <w:szCs w:val="24"/>
        </w:rPr>
        <w:t>reliquidar</w:t>
      </w:r>
      <w:proofErr w:type="spellEnd"/>
      <w:r w:rsidRPr="00CE2597">
        <w:rPr>
          <w:rFonts w:ascii="Century Gothic" w:hAnsi="Century Gothic" w:cs="Century Gothic"/>
          <w:bCs/>
          <w:iCs/>
          <w:color w:val="262626" w:themeColor="text1" w:themeTint="D9"/>
          <w:sz w:val="24"/>
          <w:szCs w:val="24"/>
        </w:rPr>
        <w:t xml:space="preserve"> y pagar la pensión de vejez de</w:t>
      </w:r>
      <w:r w:rsidR="00BF6128" w:rsidRPr="00CE2597">
        <w:rPr>
          <w:rFonts w:ascii="Century Gothic" w:hAnsi="Century Gothic" w:cs="Century Gothic"/>
          <w:bCs/>
          <w:iCs/>
          <w:color w:val="262626" w:themeColor="text1" w:themeTint="D9"/>
          <w:sz w:val="24"/>
          <w:szCs w:val="24"/>
        </w:rPr>
        <w:t xml:space="preserve"> </w:t>
      </w:r>
      <w:r w:rsidRPr="00CE2597">
        <w:rPr>
          <w:rFonts w:ascii="Century Gothic" w:hAnsi="Century Gothic" w:cs="Century Gothic"/>
          <w:bCs/>
          <w:iCs/>
          <w:color w:val="262626" w:themeColor="text1" w:themeTint="D9"/>
          <w:sz w:val="24"/>
          <w:szCs w:val="24"/>
        </w:rPr>
        <w:t>l</w:t>
      </w:r>
      <w:r w:rsidR="00BF6128" w:rsidRPr="00CE2597">
        <w:rPr>
          <w:rFonts w:ascii="Century Gothic" w:hAnsi="Century Gothic" w:cs="Century Gothic"/>
          <w:bCs/>
          <w:iCs/>
          <w:color w:val="262626" w:themeColor="text1" w:themeTint="D9"/>
          <w:sz w:val="24"/>
          <w:szCs w:val="24"/>
        </w:rPr>
        <w:t>a</w:t>
      </w:r>
      <w:r w:rsidRPr="00CE2597">
        <w:rPr>
          <w:rFonts w:ascii="Century Gothic" w:hAnsi="Century Gothic" w:cs="Century Gothic"/>
          <w:bCs/>
          <w:iCs/>
          <w:color w:val="262626" w:themeColor="text1" w:themeTint="D9"/>
          <w:sz w:val="24"/>
          <w:szCs w:val="24"/>
        </w:rPr>
        <w:t xml:space="preserve"> demandante teniendo en cuenta todos los factores de salario devengados </w:t>
      </w:r>
      <w:r w:rsidR="00E473B4" w:rsidRPr="00CE2597">
        <w:rPr>
          <w:rFonts w:ascii="Century Gothic" w:hAnsi="Century Gothic" w:cs="Century Gothic"/>
          <w:bCs/>
          <w:iCs/>
          <w:color w:val="262626" w:themeColor="text1" w:themeTint="D9"/>
          <w:sz w:val="24"/>
          <w:szCs w:val="24"/>
        </w:rPr>
        <w:t xml:space="preserve">conforme al Decreto 1158 de 1994, </w:t>
      </w:r>
      <w:r w:rsidRPr="00CE2597">
        <w:rPr>
          <w:rFonts w:ascii="Century Gothic" w:hAnsi="Century Gothic" w:cs="Century Gothic"/>
          <w:bCs/>
          <w:iCs/>
          <w:color w:val="262626" w:themeColor="text1" w:themeTint="D9"/>
          <w:sz w:val="24"/>
          <w:szCs w:val="24"/>
        </w:rPr>
        <w:t xml:space="preserve">en </w:t>
      </w:r>
      <w:r w:rsidR="00BF6128" w:rsidRPr="00CE2597">
        <w:rPr>
          <w:rFonts w:ascii="Century Gothic" w:hAnsi="Century Gothic" w:cs="Century Gothic"/>
          <w:bCs/>
          <w:iCs/>
          <w:color w:val="262626" w:themeColor="text1" w:themeTint="D9"/>
          <w:sz w:val="24"/>
          <w:szCs w:val="24"/>
        </w:rPr>
        <w:t>los últimos 10 años laborados</w:t>
      </w:r>
      <w:r w:rsidR="009A64FF" w:rsidRPr="00CE2597">
        <w:rPr>
          <w:rFonts w:ascii="Century Gothic" w:hAnsi="Century Gothic" w:cs="Century Gothic"/>
          <w:bCs/>
          <w:iCs/>
          <w:color w:val="262626" w:themeColor="text1" w:themeTint="D9"/>
          <w:sz w:val="24"/>
          <w:szCs w:val="24"/>
        </w:rPr>
        <w:t xml:space="preserve">. </w:t>
      </w:r>
      <w:r w:rsidR="005C7BA4" w:rsidRPr="00CE2597">
        <w:rPr>
          <w:rFonts w:ascii="Century Gothic" w:hAnsi="Century Gothic" w:cs="Century Gothic"/>
          <w:bCs/>
          <w:iCs/>
          <w:color w:val="262626" w:themeColor="text1" w:themeTint="D9"/>
          <w:sz w:val="24"/>
          <w:szCs w:val="24"/>
        </w:rPr>
        <w:t>Siendo así las cosas</w:t>
      </w:r>
      <w:r w:rsidR="009A64FF" w:rsidRPr="00CE2597">
        <w:rPr>
          <w:rFonts w:ascii="Century Gothic" w:hAnsi="Century Gothic"/>
          <w:color w:val="262626" w:themeColor="text1" w:themeTint="D9"/>
          <w:sz w:val="24"/>
          <w:szCs w:val="24"/>
        </w:rPr>
        <w:t xml:space="preserve">, se confirmará el fallo </w:t>
      </w:r>
      <w:r w:rsidR="009A64FF" w:rsidRPr="00CE2597">
        <w:rPr>
          <w:rFonts w:ascii="Century Gothic" w:hAnsi="Century Gothic"/>
          <w:color w:val="262626" w:themeColor="text1" w:themeTint="D9"/>
          <w:sz w:val="24"/>
          <w:szCs w:val="24"/>
        </w:rPr>
        <w:lastRenderedPageBreak/>
        <w:t xml:space="preserve">apelado de fecha </w:t>
      </w:r>
      <w:r w:rsidR="00BF6128" w:rsidRPr="00CE2597">
        <w:rPr>
          <w:rFonts w:ascii="Century Gothic" w:hAnsi="Century Gothic" w:cs="Century Gothic"/>
          <w:bCs/>
          <w:color w:val="262626" w:themeColor="text1" w:themeTint="D9"/>
          <w:sz w:val="24"/>
          <w:szCs w:val="24"/>
          <w:lang w:val="es-CO" w:eastAsia="en-US"/>
        </w:rPr>
        <w:t>treinta y uno (31) de julio de dos mil dieciocho (2018), proferida por el Juzgado Décimo Tercero Administrativo del Circuito de Cartagena, mediante la cual se concedieron las pretensiones de la demanda.</w:t>
      </w:r>
    </w:p>
    <w:p w:rsidR="009A64FF" w:rsidRPr="00CE2597" w:rsidRDefault="009A64FF" w:rsidP="007C413D">
      <w:pPr>
        <w:spacing w:after="0" w:line="300" w:lineRule="auto"/>
        <w:jc w:val="both"/>
        <w:rPr>
          <w:rFonts w:ascii="Century Gothic" w:eastAsia="Times New Roman" w:hAnsi="Century Gothic" w:cs="Century Gothic"/>
          <w:bCs/>
          <w:iCs/>
          <w:color w:val="262626" w:themeColor="text1" w:themeTint="D9"/>
          <w:sz w:val="24"/>
          <w:szCs w:val="24"/>
        </w:rPr>
      </w:pPr>
    </w:p>
    <w:p w:rsidR="00B43045" w:rsidRPr="00CE2597" w:rsidRDefault="00B43045" w:rsidP="007C413D">
      <w:pPr>
        <w:spacing w:after="0" w:line="300" w:lineRule="auto"/>
        <w:jc w:val="both"/>
        <w:rPr>
          <w:rFonts w:ascii="Century Gothic" w:eastAsia="Times New Roman" w:hAnsi="Century Gothic" w:cs="Century Gothic"/>
          <w:b/>
          <w:bCs/>
          <w:color w:val="262626" w:themeColor="text1" w:themeTint="D9"/>
          <w:sz w:val="24"/>
          <w:szCs w:val="24"/>
        </w:rPr>
      </w:pPr>
      <w:r w:rsidRPr="00CE2597">
        <w:rPr>
          <w:rFonts w:ascii="Century Gothic" w:eastAsia="Times New Roman" w:hAnsi="Century Gothic" w:cs="Century Gothic"/>
          <w:b/>
          <w:bCs/>
          <w:color w:val="262626" w:themeColor="text1" w:themeTint="D9"/>
          <w:sz w:val="24"/>
          <w:szCs w:val="24"/>
        </w:rPr>
        <w:t>5.3. Condena en costas en segunda instancia</w:t>
      </w:r>
    </w:p>
    <w:p w:rsidR="00B43045" w:rsidRPr="00CE2597" w:rsidRDefault="00B43045" w:rsidP="007C413D">
      <w:pPr>
        <w:spacing w:after="0" w:line="300" w:lineRule="auto"/>
        <w:jc w:val="both"/>
        <w:rPr>
          <w:rFonts w:ascii="Century Gothic" w:eastAsia="Times New Roman" w:hAnsi="Century Gothic" w:cs="Century Gothic"/>
          <w:b/>
          <w:bCs/>
          <w:color w:val="262626" w:themeColor="text1" w:themeTint="D9"/>
          <w:sz w:val="24"/>
          <w:szCs w:val="24"/>
        </w:rPr>
      </w:pPr>
    </w:p>
    <w:p w:rsidR="00B43045" w:rsidRPr="00CE2597" w:rsidRDefault="00B43045" w:rsidP="007C413D">
      <w:pPr>
        <w:tabs>
          <w:tab w:val="left" w:pos="3261"/>
          <w:tab w:val="left" w:pos="4111"/>
        </w:tabs>
        <w:suppressAutoHyphens/>
        <w:autoSpaceDE w:val="0"/>
        <w:autoSpaceDN w:val="0"/>
        <w:adjustRightInd w:val="0"/>
        <w:spacing w:after="0" w:line="300" w:lineRule="auto"/>
        <w:jc w:val="both"/>
        <w:rPr>
          <w:rFonts w:ascii="Century Gothic" w:hAnsi="Century Gothic" w:cs="Times New Roman"/>
          <w:color w:val="262626" w:themeColor="text1" w:themeTint="D9"/>
          <w:sz w:val="24"/>
          <w:szCs w:val="24"/>
          <w:lang w:eastAsia="es-CO"/>
        </w:rPr>
      </w:pPr>
      <w:r w:rsidRPr="00CE2597">
        <w:rPr>
          <w:rFonts w:ascii="Century Gothic" w:hAnsi="Century Gothic" w:cs="Times New Roman"/>
          <w:color w:val="262626" w:themeColor="text1" w:themeTint="D9"/>
          <w:sz w:val="24"/>
          <w:szCs w:val="24"/>
          <w:lang w:eastAsia="es-CO"/>
        </w:rPr>
        <w:t>De conformidad con lo establecido en el artículo 365 del Código General del Proceso, aplicado por remisión del artículo 188 del CPACA, esta Corporación se abstendrá de condenar en costas a la parte demanda</w:t>
      </w:r>
      <w:r w:rsidR="009A64FF" w:rsidRPr="00CE2597">
        <w:rPr>
          <w:rFonts w:ascii="Century Gothic" w:hAnsi="Century Gothic" w:cs="Times New Roman"/>
          <w:color w:val="262626" w:themeColor="text1" w:themeTint="D9"/>
          <w:sz w:val="24"/>
          <w:szCs w:val="24"/>
          <w:lang w:eastAsia="es-CO"/>
        </w:rPr>
        <w:t>da</w:t>
      </w:r>
      <w:r w:rsidRPr="00CE2597">
        <w:rPr>
          <w:rFonts w:ascii="Century Gothic" w:hAnsi="Century Gothic" w:cs="Times New Roman"/>
          <w:color w:val="262626" w:themeColor="text1" w:themeTint="D9"/>
          <w:sz w:val="24"/>
          <w:szCs w:val="24"/>
          <w:lang w:eastAsia="es-CO"/>
        </w:rPr>
        <w:t xml:space="preserve">, debido a que cuando presentó la demanda, estaba amparada en la tesis que sostenía la Jurisdicción Contenciosa Administrativa en su momento. </w:t>
      </w:r>
    </w:p>
    <w:p w:rsidR="00B43045" w:rsidRPr="00CE2597" w:rsidRDefault="00B43045" w:rsidP="007C413D">
      <w:pPr>
        <w:tabs>
          <w:tab w:val="left" w:pos="3261"/>
          <w:tab w:val="left" w:pos="4111"/>
        </w:tabs>
        <w:suppressAutoHyphens/>
        <w:autoSpaceDE w:val="0"/>
        <w:autoSpaceDN w:val="0"/>
        <w:adjustRightInd w:val="0"/>
        <w:spacing w:after="0" w:line="300" w:lineRule="auto"/>
        <w:jc w:val="both"/>
        <w:rPr>
          <w:rFonts w:ascii="Century Gothic" w:hAnsi="Century Gothic" w:cs="Arial"/>
          <w:bCs/>
          <w:iCs/>
          <w:color w:val="262626" w:themeColor="text1" w:themeTint="D9"/>
          <w:sz w:val="24"/>
          <w:szCs w:val="24"/>
          <w:lang w:val="es-ES_tradnl" w:eastAsia="es-MX"/>
        </w:rPr>
      </w:pPr>
    </w:p>
    <w:p w:rsidR="00B43045" w:rsidRPr="00CE2597" w:rsidRDefault="00B43045" w:rsidP="007C413D">
      <w:pPr>
        <w:suppressAutoHyphens/>
        <w:overflowPunct w:val="0"/>
        <w:autoSpaceDE w:val="0"/>
        <w:autoSpaceDN w:val="0"/>
        <w:adjustRightInd w:val="0"/>
        <w:spacing w:after="0" w:line="300" w:lineRule="auto"/>
        <w:jc w:val="both"/>
        <w:textAlignment w:val="baseline"/>
        <w:rPr>
          <w:rFonts w:ascii="Century Gothic" w:hAnsi="Century Gothic"/>
          <w:bCs/>
          <w:color w:val="262626" w:themeColor="text1" w:themeTint="D9"/>
          <w:sz w:val="24"/>
          <w:szCs w:val="24"/>
          <w:lang w:val="es-CO"/>
        </w:rPr>
      </w:pPr>
      <w:r w:rsidRPr="00CE2597">
        <w:rPr>
          <w:rFonts w:ascii="Century Gothic" w:hAnsi="Century Gothic"/>
          <w:bCs/>
          <w:color w:val="262626" w:themeColor="text1" w:themeTint="D9"/>
          <w:sz w:val="24"/>
          <w:szCs w:val="24"/>
          <w:lang w:val="es-CO"/>
        </w:rPr>
        <w:t xml:space="preserve">En mérito de lo expuesto, el </w:t>
      </w:r>
      <w:r w:rsidRPr="00CE2597">
        <w:rPr>
          <w:rFonts w:ascii="Century Gothic" w:hAnsi="Century Gothic"/>
          <w:b/>
          <w:bCs/>
          <w:color w:val="262626" w:themeColor="text1" w:themeTint="D9"/>
          <w:sz w:val="24"/>
          <w:szCs w:val="24"/>
          <w:lang w:val="es-CO"/>
        </w:rPr>
        <w:t>TRIBUNAL ADMINISTRATIVO DE BOLÍVAR</w:t>
      </w:r>
      <w:r w:rsidRPr="00CE2597">
        <w:rPr>
          <w:rFonts w:ascii="Century Gothic" w:hAnsi="Century Gothic"/>
          <w:bCs/>
          <w:color w:val="262626" w:themeColor="text1" w:themeTint="D9"/>
          <w:sz w:val="24"/>
          <w:szCs w:val="24"/>
          <w:lang w:val="es-CO"/>
        </w:rPr>
        <w:t xml:space="preserve"> administrando justicia en nombre de la República y por autoridad de la Ley,</w:t>
      </w:r>
    </w:p>
    <w:p w:rsidR="00B43045" w:rsidRPr="00CE2597" w:rsidRDefault="00B43045" w:rsidP="007C413D">
      <w:pPr>
        <w:spacing w:after="0" w:line="300" w:lineRule="auto"/>
        <w:rPr>
          <w:rFonts w:ascii="Century Gothic" w:hAnsi="Century Gothic" w:cs="Century Gothic"/>
          <w:b/>
          <w:bCs/>
          <w:color w:val="262626" w:themeColor="text1" w:themeTint="D9"/>
          <w:sz w:val="24"/>
          <w:szCs w:val="24"/>
          <w:lang w:eastAsia="es-ES"/>
        </w:rPr>
      </w:pPr>
    </w:p>
    <w:p w:rsidR="00B43045" w:rsidRPr="00CE2597" w:rsidRDefault="00B43045" w:rsidP="007C413D">
      <w:pPr>
        <w:spacing w:after="0" w:line="300" w:lineRule="auto"/>
        <w:jc w:val="center"/>
        <w:rPr>
          <w:rFonts w:ascii="Century Gothic" w:hAnsi="Century Gothic" w:cs="Century Gothic"/>
          <w:b/>
          <w:bCs/>
          <w:color w:val="262626" w:themeColor="text1" w:themeTint="D9"/>
          <w:sz w:val="24"/>
          <w:szCs w:val="24"/>
          <w:lang w:eastAsia="es-ES"/>
        </w:rPr>
      </w:pPr>
      <w:r w:rsidRPr="00CE2597">
        <w:rPr>
          <w:rFonts w:ascii="Century Gothic" w:hAnsi="Century Gothic" w:cs="Century Gothic"/>
          <w:b/>
          <w:bCs/>
          <w:color w:val="262626" w:themeColor="text1" w:themeTint="D9"/>
          <w:sz w:val="24"/>
          <w:szCs w:val="24"/>
          <w:lang w:eastAsia="es-ES"/>
        </w:rPr>
        <w:t>IV. FALLA</w:t>
      </w:r>
    </w:p>
    <w:p w:rsidR="00B43045" w:rsidRPr="00CE2597" w:rsidRDefault="00B43045" w:rsidP="007C413D">
      <w:pPr>
        <w:spacing w:after="0" w:line="300" w:lineRule="auto"/>
        <w:jc w:val="center"/>
        <w:rPr>
          <w:rFonts w:ascii="Century Gothic" w:hAnsi="Century Gothic" w:cs="Century Gothic"/>
          <w:b/>
          <w:bCs/>
          <w:color w:val="262626" w:themeColor="text1" w:themeTint="D9"/>
          <w:sz w:val="24"/>
          <w:szCs w:val="24"/>
          <w:lang w:eastAsia="es-ES"/>
        </w:rPr>
      </w:pPr>
    </w:p>
    <w:p w:rsidR="009A64FF" w:rsidRPr="00CE2597" w:rsidRDefault="009A64FF" w:rsidP="002E3296">
      <w:pPr>
        <w:pStyle w:val="Textonormal"/>
        <w:spacing w:line="300" w:lineRule="auto"/>
        <w:rPr>
          <w:rFonts w:ascii="Century Gothic" w:hAnsi="Century Gothic" w:cs="Century Gothic"/>
          <w:bCs/>
          <w:color w:val="262626" w:themeColor="text1" w:themeTint="D9"/>
          <w:sz w:val="24"/>
          <w:szCs w:val="24"/>
          <w:lang w:val="es-CO" w:eastAsia="en-US"/>
        </w:rPr>
      </w:pPr>
      <w:r w:rsidRPr="00CE2597">
        <w:rPr>
          <w:rFonts w:ascii="Century Gothic" w:hAnsi="Century Gothic"/>
          <w:b/>
          <w:iCs/>
          <w:color w:val="262626" w:themeColor="text1" w:themeTint="D9"/>
          <w:sz w:val="24"/>
          <w:szCs w:val="24"/>
          <w:lang w:val="es-CO"/>
        </w:rPr>
        <w:t xml:space="preserve">PRIMERO: CONFIRMAR </w:t>
      </w:r>
      <w:r w:rsidRPr="00CE2597">
        <w:rPr>
          <w:rFonts w:ascii="Century Gothic" w:hAnsi="Century Gothic"/>
          <w:iCs/>
          <w:color w:val="262626" w:themeColor="text1" w:themeTint="D9"/>
          <w:sz w:val="24"/>
          <w:szCs w:val="24"/>
          <w:lang w:val="es-CO"/>
        </w:rPr>
        <w:t xml:space="preserve">la sentencia apelada de </w:t>
      </w:r>
      <w:r w:rsidR="005D0425" w:rsidRPr="00CE2597">
        <w:rPr>
          <w:rFonts w:ascii="Century Gothic" w:hAnsi="Century Gothic" w:cs="Century Gothic"/>
          <w:bCs/>
          <w:color w:val="262626" w:themeColor="text1" w:themeTint="D9"/>
          <w:sz w:val="24"/>
          <w:szCs w:val="24"/>
          <w:lang w:val="es-CO" w:eastAsia="en-US"/>
        </w:rPr>
        <w:t>treinta y uno (31) de julio de dos mil dieciocho (2018), proferida por el Juzgado Décimo Tercero Administrativo del Circuito de Cartagena, mediante la cual se concedieron las pretensiones de la demanda</w:t>
      </w:r>
      <w:r w:rsidRPr="00CE2597">
        <w:rPr>
          <w:rFonts w:ascii="Century Gothic" w:hAnsi="Century Gothic" w:cs="Century Gothic"/>
          <w:color w:val="262626" w:themeColor="text1" w:themeTint="D9"/>
          <w:sz w:val="24"/>
          <w:szCs w:val="24"/>
        </w:rPr>
        <w:t>, dentro del medio de control de Nulidad y Restablecimiento de</w:t>
      </w:r>
      <w:r w:rsidR="00940C9E" w:rsidRPr="00CE2597">
        <w:rPr>
          <w:rFonts w:ascii="Century Gothic" w:hAnsi="Century Gothic" w:cs="Century Gothic"/>
          <w:color w:val="262626" w:themeColor="text1" w:themeTint="D9"/>
          <w:sz w:val="24"/>
          <w:szCs w:val="24"/>
        </w:rPr>
        <w:t>l Derecho ejercido por la señora</w:t>
      </w:r>
      <w:r w:rsidR="005D0425" w:rsidRPr="00CE2597">
        <w:rPr>
          <w:rFonts w:ascii="Century Gothic" w:hAnsi="Century Gothic" w:cs="Century Gothic"/>
          <w:color w:val="262626" w:themeColor="text1" w:themeTint="D9"/>
          <w:sz w:val="24"/>
          <w:szCs w:val="24"/>
        </w:rPr>
        <w:t xml:space="preserve"> HERLINDA SEPULVEDA GONZALEZ</w:t>
      </w:r>
      <w:r w:rsidR="002E3296" w:rsidRPr="00CE2597">
        <w:rPr>
          <w:rFonts w:ascii="Century Gothic" w:hAnsi="Century Gothic" w:cs="Century Gothic"/>
          <w:color w:val="262626" w:themeColor="text1" w:themeTint="D9"/>
          <w:sz w:val="24"/>
          <w:szCs w:val="24"/>
        </w:rPr>
        <w:t xml:space="preserve"> </w:t>
      </w:r>
      <w:r w:rsidRPr="00CE2597">
        <w:rPr>
          <w:rFonts w:ascii="Century Gothic" w:hAnsi="Century Gothic" w:cs="Century Gothic"/>
          <w:color w:val="262626" w:themeColor="text1" w:themeTint="D9"/>
          <w:sz w:val="24"/>
          <w:szCs w:val="24"/>
        </w:rPr>
        <w:t>contra</w:t>
      </w:r>
      <w:r w:rsidR="00940C9E" w:rsidRPr="00CE2597">
        <w:rPr>
          <w:rFonts w:ascii="Century Gothic" w:hAnsi="Century Gothic" w:cs="Century Gothic"/>
          <w:color w:val="262626" w:themeColor="text1" w:themeTint="D9"/>
          <w:sz w:val="24"/>
          <w:szCs w:val="24"/>
        </w:rPr>
        <w:t xml:space="preserve"> </w:t>
      </w:r>
      <w:r w:rsidR="006D1159">
        <w:rPr>
          <w:rFonts w:ascii="Century Gothic" w:hAnsi="Century Gothic" w:cs="Century Gothic"/>
          <w:color w:val="262626" w:themeColor="text1" w:themeTint="D9"/>
          <w:sz w:val="24"/>
          <w:szCs w:val="24"/>
        </w:rPr>
        <w:t>COLPENSIONES</w:t>
      </w:r>
      <w:r w:rsidRPr="00CE2597">
        <w:rPr>
          <w:rFonts w:ascii="Century Gothic" w:hAnsi="Century Gothic" w:cs="Century Gothic"/>
          <w:color w:val="262626" w:themeColor="text1" w:themeTint="D9"/>
          <w:sz w:val="24"/>
          <w:szCs w:val="24"/>
        </w:rPr>
        <w:t xml:space="preserve">, por las razones expuestas en la parte motiva de esta providencia. </w:t>
      </w:r>
    </w:p>
    <w:p w:rsidR="009A64FF" w:rsidRPr="00CE2597" w:rsidRDefault="009A64FF" w:rsidP="007C413D">
      <w:pPr>
        <w:spacing w:after="0" w:line="300" w:lineRule="auto"/>
        <w:jc w:val="both"/>
        <w:rPr>
          <w:rFonts w:ascii="Century Gothic" w:hAnsi="Century Gothic" w:cs="Arial"/>
          <w:bCs/>
          <w:i/>
          <w:color w:val="262626" w:themeColor="text1" w:themeTint="D9"/>
          <w:sz w:val="24"/>
          <w:szCs w:val="24"/>
          <w:shd w:val="clear" w:color="auto" w:fill="FFFFFF"/>
        </w:rPr>
      </w:pPr>
    </w:p>
    <w:p w:rsidR="009A64FF" w:rsidRPr="00CE2597" w:rsidRDefault="009A64FF" w:rsidP="007C413D">
      <w:pPr>
        <w:spacing w:after="0" w:line="300" w:lineRule="auto"/>
        <w:jc w:val="both"/>
        <w:rPr>
          <w:rFonts w:ascii="Century Gothic" w:hAnsi="Century Gothic" w:cs="Arial"/>
          <w:bCs/>
          <w:color w:val="262626" w:themeColor="text1" w:themeTint="D9"/>
          <w:sz w:val="24"/>
          <w:szCs w:val="24"/>
          <w:shd w:val="clear" w:color="auto" w:fill="FFFFFF"/>
        </w:rPr>
      </w:pPr>
      <w:r w:rsidRPr="00CE2597">
        <w:rPr>
          <w:rFonts w:ascii="Century Gothic" w:hAnsi="Century Gothic" w:cs="Arial"/>
          <w:b/>
          <w:bCs/>
          <w:color w:val="262626" w:themeColor="text1" w:themeTint="D9"/>
          <w:sz w:val="24"/>
          <w:szCs w:val="24"/>
          <w:shd w:val="clear" w:color="auto" w:fill="FFFFFF"/>
        </w:rPr>
        <w:t xml:space="preserve">SEGUNDO: </w:t>
      </w:r>
      <w:r w:rsidRPr="00CE2597">
        <w:rPr>
          <w:rFonts w:ascii="Century Gothic" w:hAnsi="Century Gothic" w:cs="Arial"/>
          <w:bCs/>
          <w:color w:val="262626" w:themeColor="text1" w:themeTint="D9"/>
          <w:sz w:val="24"/>
          <w:szCs w:val="24"/>
          <w:shd w:val="clear" w:color="auto" w:fill="FFFFFF"/>
        </w:rPr>
        <w:t xml:space="preserve">Sin </w:t>
      </w:r>
      <w:r w:rsidRPr="00CE2597">
        <w:rPr>
          <w:rFonts w:ascii="Century Gothic" w:eastAsia="Times New Roman" w:hAnsi="Century Gothic" w:cs="Arial"/>
          <w:color w:val="262626" w:themeColor="text1" w:themeTint="D9"/>
          <w:sz w:val="24"/>
          <w:szCs w:val="24"/>
          <w:lang w:eastAsia="es-ES"/>
        </w:rPr>
        <w:t>condena en costas en ambas instancias.</w:t>
      </w:r>
      <w:r w:rsidRPr="00CE2597">
        <w:rPr>
          <w:rFonts w:ascii="Century Gothic" w:hAnsi="Century Gothic"/>
          <w:color w:val="262626" w:themeColor="text1" w:themeTint="D9"/>
          <w:sz w:val="24"/>
          <w:szCs w:val="24"/>
        </w:rPr>
        <w:t xml:space="preserve"> </w:t>
      </w:r>
    </w:p>
    <w:p w:rsidR="009A64FF" w:rsidRPr="00CE2597" w:rsidRDefault="009A64FF" w:rsidP="007C413D">
      <w:pPr>
        <w:suppressAutoHyphens/>
        <w:overflowPunct w:val="0"/>
        <w:autoSpaceDE w:val="0"/>
        <w:autoSpaceDN w:val="0"/>
        <w:adjustRightInd w:val="0"/>
        <w:spacing w:after="0" w:line="300" w:lineRule="auto"/>
        <w:jc w:val="both"/>
        <w:textAlignment w:val="baseline"/>
        <w:rPr>
          <w:rFonts w:ascii="Century Gothic" w:hAnsi="Century Gothic"/>
          <w:color w:val="262626" w:themeColor="text1" w:themeTint="D9"/>
          <w:sz w:val="24"/>
          <w:szCs w:val="24"/>
        </w:rPr>
      </w:pPr>
      <w:r w:rsidRPr="00CE2597">
        <w:rPr>
          <w:rFonts w:ascii="Century Gothic" w:hAnsi="Century Gothic"/>
          <w:color w:val="262626" w:themeColor="text1" w:themeTint="D9"/>
          <w:sz w:val="24"/>
          <w:szCs w:val="24"/>
        </w:rPr>
        <w:t xml:space="preserve"> </w:t>
      </w:r>
    </w:p>
    <w:p w:rsidR="009A64FF" w:rsidRPr="00CE2597" w:rsidRDefault="009A64FF" w:rsidP="007C413D">
      <w:pPr>
        <w:suppressAutoHyphens/>
        <w:overflowPunct w:val="0"/>
        <w:autoSpaceDE w:val="0"/>
        <w:autoSpaceDN w:val="0"/>
        <w:adjustRightInd w:val="0"/>
        <w:spacing w:after="0" w:line="300" w:lineRule="auto"/>
        <w:jc w:val="both"/>
        <w:textAlignment w:val="baseline"/>
        <w:rPr>
          <w:rFonts w:ascii="Century Gothic" w:hAnsi="Century Gothic" w:cs="Arial"/>
          <w:iCs/>
          <w:color w:val="262626" w:themeColor="text1" w:themeTint="D9"/>
          <w:sz w:val="24"/>
          <w:szCs w:val="24"/>
          <w:lang w:val="es-CO"/>
        </w:rPr>
      </w:pPr>
      <w:r w:rsidRPr="00CE2597">
        <w:rPr>
          <w:rFonts w:ascii="Century Gothic" w:hAnsi="Century Gothic" w:cs="Arial"/>
          <w:b/>
          <w:iCs/>
          <w:color w:val="262626" w:themeColor="text1" w:themeTint="D9"/>
          <w:sz w:val="24"/>
          <w:szCs w:val="24"/>
          <w:lang w:val="es-CO"/>
        </w:rPr>
        <w:t xml:space="preserve">TERCERO: </w:t>
      </w:r>
      <w:r w:rsidRPr="00CE2597">
        <w:rPr>
          <w:rFonts w:ascii="Century Gothic" w:hAnsi="Century Gothic" w:cs="Arial"/>
          <w:iCs/>
          <w:color w:val="262626" w:themeColor="text1" w:themeTint="D9"/>
          <w:sz w:val="24"/>
          <w:szCs w:val="24"/>
          <w:lang w:val="es-CO"/>
        </w:rPr>
        <w:t>Ejecutoriada la presente providencia, devuélvase el expediente al juzgado de origen, previas las anotaciones de rigor.</w:t>
      </w:r>
    </w:p>
    <w:p w:rsidR="00B43045" w:rsidRPr="00CE2597" w:rsidRDefault="00B43045" w:rsidP="007C413D">
      <w:pPr>
        <w:spacing w:after="0" w:line="300" w:lineRule="auto"/>
        <w:jc w:val="both"/>
        <w:rPr>
          <w:rFonts w:ascii="Century Gothic" w:hAnsi="Century Gothic" w:cs="Century Gothic"/>
          <w:color w:val="262626" w:themeColor="text1" w:themeTint="D9"/>
          <w:sz w:val="24"/>
          <w:szCs w:val="24"/>
          <w:lang w:eastAsia="es-ES"/>
        </w:rPr>
      </w:pPr>
    </w:p>
    <w:p w:rsidR="00940C9E" w:rsidRPr="00CE2597" w:rsidRDefault="00940C9E" w:rsidP="007C413D">
      <w:pPr>
        <w:spacing w:after="0" w:line="300" w:lineRule="auto"/>
        <w:jc w:val="center"/>
        <w:rPr>
          <w:rFonts w:ascii="Century Gothic" w:hAnsi="Century Gothic" w:cs="Century Gothic"/>
          <w:b/>
          <w:bCs/>
          <w:color w:val="0D0D0D" w:themeColor="text1" w:themeTint="F2"/>
          <w:sz w:val="24"/>
          <w:szCs w:val="24"/>
          <w:lang w:val="es-MX"/>
        </w:rPr>
      </w:pPr>
      <w:r w:rsidRPr="00CE2597">
        <w:rPr>
          <w:rFonts w:ascii="Century Gothic" w:hAnsi="Century Gothic" w:cs="Century Gothic"/>
          <w:b/>
          <w:bCs/>
          <w:color w:val="0D0D0D" w:themeColor="text1" w:themeTint="F2"/>
          <w:sz w:val="24"/>
          <w:szCs w:val="24"/>
          <w:lang w:val="es-MX"/>
        </w:rPr>
        <w:t>NOTIFÍQUESE Y CÚMPLASE</w:t>
      </w:r>
    </w:p>
    <w:p w:rsidR="00940C9E" w:rsidRPr="00CE2597" w:rsidRDefault="00940C9E" w:rsidP="007C413D">
      <w:pPr>
        <w:overflowPunct w:val="0"/>
        <w:autoSpaceDE w:val="0"/>
        <w:autoSpaceDN w:val="0"/>
        <w:adjustRightInd w:val="0"/>
        <w:spacing w:after="0" w:line="300" w:lineRule="auto"/>
        <w:jc w:val="center"/>
        <w:rPr>
          <w:rFonts w:ascii="Century Gothic" w:hAnsi="Century Gothic" w:cs="Arial"/>
          <w:i/>
          <w:iCs/>
          <w:color w:val="0D0D0D" w:themeColor="text1" w:themeTint="F2"/>
          <w:sz w:val="24"/>
          <w:szCs w:val="24"/>
          <w:lang w:val="es-CO" w:eastAsia="es-MX"/>
        </w:rPr>
      </w:pPr>
      <w:r w:rsidRPr="00CE2597">
        <w:rPr>
          <w:rFonts w:ascii="Century Gothic" w:hAnsi="Century Gothic" w:cs="Arial"/>
          <w:i/>
          <w:iCs/>
          <w:color w:val="0D0D0D" w:themeColor="text1" w:themeTint="F2"/>
          <w:sz w:val="24"/>
          <w:szCs w:val="24"/>
          <w:lang w:val="es-CO" w:eastAsia="es-MX"/>
        </w:rPr>
        <w:t>Constancia: el proyecto de esta providencia fue considerado y aprobado por la Sala, en sesión de la fecha.</w:t>
      </w:r>
    </w:p>
    <w:p w:rsidR="00940C9E" w:rsidRPr="00CE2597" w:rsidRDefault="00940C9E" w:rsidP="007C413D">
      <w:pPr>
        <w:spacing w:after="0" w:line="300" w:lineRule="auto"/>
        <w:jc w:val="both"/>
        <w:rPr>
          <w:rFonts w:ascii="Century Gothic" w:hAnsi="Century Gothic" w:cs="Century Gothic"/>
          <w:b/>
          <w:bCs/>
          <w:color w:val="0D0D0D" w:themeColor="text1" w:themeTint="F2"/>
          <w:sz w:val="24"/>
          <w:szCs w:val="24"/>
        </w:rPr>
      </w:pPr>
    </w:p>
    <w:p w:rsidR="00940C9E" w:rsidRPr="00CE2597" w:rsidRDefault="00940C9E" w:rsidP="007C413D">
      <w:pPr>
        <w:spacing w:after="0" w:line="300" w:lineRule="auto"/>
        <w:jc w:val="center"/>
        <w:rPr>
          <w:rFonts w:ascii="Century Gothic" w:hAnsi="Century Gothic" w:cs="Century Gothic"/>
          <w:b/>
          <w:bCs/>
          <w:color w:val="0D0D0D" w:themeColor="text1" w:themeTint="F2"/>
          <w:sz w:val="24"/>
          <w:szCs w:val="24"/>
        </w:rPr>
      </w:pPr>
      <w:r w:rsidRPr="00CE2597">
        <w:rPr>
          <w:rFonts w:ascii="Century Gothic" w:hAnsi="Century Gothic" w:cs="Century Gothic"/>
          <w:b/>
          <w:bCs/>
          <w:color w:val="0D0D0D" w:themeColor="text1" w:themeTint="F2"/>
          <w:sz w:val="24"/>
          <w:szCs w:val="24"/>
        </w:rPr>
        <w:t>LOS MAGISTRADOS</w:t>
      </w:r>
    </w:p>
    <w:p w:rsidR="00940C9E" w:rsidRPr="00CE2597" w:rsidRDefault="00940C9E" w:rsidP="007C413D">
      <w:pPr>
        <w:spacing w:after="0" w:line="300" w:lineRule="auto"/>
        <w:jc w:val="center"/>
        <w:rPr>
          <w:rFonts w:ascii="Century Gothic" w:hAnsi="Century Gothic" w:cs="Century Gothic"/>
          <w:b/>
          <w:bCs/>
          <w:color w:val="0D0D0D" w:themeColor="text1" w:themeTint="F2"/>
          <w:sz w:val="24"/>
          <w:szCs w:val="24"/>
        </w:rPr>
      </w:pPr>
    </w:p>
    <w:p w:rsidR="00940C9E" w:rsidRPr="00CE2597" w:rsidRDefault="00940C9E" w:rsidP="007C413D">
      <w:pPr>
        <w:spacing w:after="0" w:line="300" w:lineRule="auto"/>
        <w:jc w:val="center"/>
        <w:rPr>
          <w:rFonts w:ascii="Century Gothic" w:hAnsi="Century Gothic" w:cs="Century Gothic"/>
          <w:b/>
          <w:bCs/>
          <w:color w:val="0D0D0D" w:themeColor="text1" w:themeTint="F2"/>
          <w:sz w:val="24"/>
          <w:szCs w:val="24"/>
        </w:rPr>
      </w:pPr>
    </w:p>
    <w:p w:rsidR="00940C9E" w:rsidRPr="00CE2597" w:rsidRDefault="00940C9E" w:rsidP="007C413D">
      <w:pPr>
        <w:spacing w:after="0" w:line="300" w:lineRule="auto"/>
        <w:jc w:val="center"/>
        <w:rPr>
          <w:rFonts w:ascii="Century Gothic" w:hAnsi="Century Gothic" w:cs="Century Gothic"/>
          <w:b/>
          <w:bCs/>
          <w:color w:val="0D0D0D" w:themeColor="text1" w:themeTint="F2"/>
          <w:sz w:val="24"/>
          <w:szCs w:val="24"/>
          <w:lang w:val="es-CO"/>
        </w:rPr>
      </w:pPr>
      <w:r w:rsidRPr="00CE2597">
        <w:rPr>
          <w:rFonts w:ascii="Century Gothic" w:hAnsi="Century Gothic" w:cs="Century Gothic"/>
          <w:b/>
          <w:bCs/>
          <w:color w:val="0D0D0D" w:themeColor="text1" w:themeTint="F2"/>
          <w:sz w:val="24"/>
          <w:szCs w:val="24"/>
          <w:lang w:val="es-CO"/>
        </w:rPr>
        <w:t>ORIGINAL CON FIRMA</w:t>
      </w:r>
    </w:p>
    <w:tbl>
      <w:tblPr>
        <w:tblpPr w:leftFromText="141" w:rightFromText="141" w:vertAnchor="text" w:horzAnchor="margin" w:tblpY="144"/>
        <w:tblW w:w="9238" w:type="dxa"/>
        <w:tblLook w:val="01E0" w:firstRow="1" w:lastRow="1" w:firstColumn="1" w:lastColumn="1" w:noHBand="0" w:noVBand="0"/>
      </w:tblPr>
      <w:tblGrid>
        <w:gridCol w:w="9238"/>
      </w:tblGrid>
      <w:tr w:rsidR="00940C9E" w:rsidRPr="001817CF" w:rsidTr="00E473B4">
        <w:tc>
          <w:tcPr>
            <w:tcW w:w="9238" w:type="dxa"/>
          </w:tcPr>
          <w:p w:rsidR="00940C9E" w:rsidRPr="00CE2597" w:rsidRDefault="00940C9E" w:rsidP="007C413D">
            <w:pPr>
              <w:spacing w:after="0" w:line="300" w:lineRule="auto"/>
              <w:jc w:val="center"/>
              <w:rPr>
                <w:rFonts w:ascii="Century Gothic" w:eastAsia="Calibri" w:hAnsi="Century Gothic" w:cs="Century Gothic"/>
                <w:b/>
                <w:bCs/>
                <w:color w:val="0D0D0D" w:themeColor="text1" w:themeTint="F2"/>
                <w:sz w:val="24"/>
                <w:szCs w:val="24"/>
              </w:rPr>
            </w:pPr>
            <w:r w:rsidRPr="00CE2597">
              <w:rPr>
                <w:rFonts w:ascii="Century Gothic" w:eastAsia="Calibri" w:hAnsi="Century Gothic" w:cs="Century Gothic"/>
                <w:b/>
                <w:bCs/>
                <w:color w:val="0D0D0D" w:themeColor="text1" w:themeTint="F2"/>
                <w:sz w:val="24"/>
                <w:szCs w:val="24"/>
              </w:rPr>
              <w:t>LUIS MIGUEL VILLALOBOS ÁLVAREZ</w:t>
            </w:r>
          </w:p>
          <w:p w:rsidR="00940C9E" w:rsidRPr="00CE2597" w:rsidRDefault="00940C9E" w:rsidP="007C413D">
            <w:pPr>
              <w:spacing w:after="0" w:line="300" w:lineRule="auto"/>
              <w:jc w:val="both"/>
              <w:rPr>
                <w:rFonts w:ascii="Century Gothic" w:eastAsia="Calibri" w:hAnsi="Century Gothic" w:cs="Century Gothic"/>
                <w:b/>
                <w:bCs/>
                <w:color w:val="0D0D0D" w:themeColor="text1" w:themeTint="F2"/>
                <w:sz w:val="24"/>
                <w:szCs w:val="24"/>
              </w:rPr>
            </w:pPr>
          </w:p>
          <w:p w:rsidR="00940C9E" w:rsidRPr="00CE2597" w:rsidRDefault="00940C9E" w:rsidP="007C413D">
            <w:pPr>
              <w:spacing w:after="0" w:line="300" w:lineRule="auto"/>
              <w:jc w:val="both"/>
              <w:rPr>
                <w:rFonts w:ascii="Century Gothic" w:eastAsia="Calibri" w:hAnsi="Century Gothic" w:cs="Century Gothic"/>
                <w:b/>
                <w:bCs/>
                <w:color w:val="0D0D0D" w:themeColor="text1" w:themeTint="F2"/>
                <w:sz w:val="24"/>
                <w:szCs w:val="24"/>
              </w:rPr>
            </w:pPr>
          </w:p>
          <w:p w:rsidR="00940C9E" w:rsidRPr="00CE2597" w:rsidRDefault="00940C9E" w:rsidP="007C413D">
            <w:pPr>
              <w:spacing w:after="0" w:line="300" w:lineRule="auto"/>
              <w:jc w:val="both"/>
              <w:rPr>
                <w:rFonts w:ascii="Century Gothic" w:eastAsia="Calibri" w:hAnsi="Century Gothic" w:cs="Century Gothic"/>
                <w:b/>
                <w:bCs/>
                <w:color w:val="0D0D0D" w:themeColor="text1" w:themeTint="F2"/>
                <w:sz w:val="24"/>
                <w:szCs w:val="24"/>
              </w:rPr>
            </w:pPr>
            <w:r w:rsidRPr="00CE2597">
              <w:rPr>
                <w:rFonts w:ascii="Century Gothic" w:eastAsia="Calibri" w:hAnsi="Century Gothic" w:cs="Century Gothic"/>
                <w:b/>
                <w:bCs/>
                <w:color w:val="0D0D0D" w:themeColor="text1" w:themeTint="F2"/>
                <w:sz w:val="24"/>
                <w:szCs w:val="24"/>
              </w:rPr>
              <w:t xml:space="preserve">              ORIGINAL CON FIRMA                                    ORIGINAL CON FIRMA</w:t>
            </w:r>
          </w:p>
          <w:p w:rsidR="00940C9E" w:rsidRPr="001817CF" w:rsidRDefault="00940C9E" w:rsidP="007C413D">
            <w:pPr>
              <w:spacing w:after="0" w:line="300" w:lineRule="auto"/>
              <w:jc w:val="both"/>
              <w:rPr>
                <w:rFonts w:ascii="Century Gothic" w:hAnsi="Century Gothic" w:cs="Century Gothic"/>
                <w:b/>
                <w:bCs/>
                <w:color w:val="0D0D0D" w:themeColor="text1" w:themeTint="F2"/>
                <w:sz w:val="24"/>
                <w:szCs w:val="24"/>
              </w:rPr>
            </w:pPr>
            <w:r w:rsidRPr="00CE2597">
              <w:rPr>
                <w:rFonts w:ascii="Century Gothic" w:eastAsia="Calibri" w:hAnsi="Century Gothic" w:cs="Century Gothic"/>
                <w:b/>
                <w:bCs/>
                <w:color w:val="0D0D0D" w:themeColor="text1" w:themeTint="F2"/>
                <w:sz w:val="24"/>
                <w:szCs w:val="24"/>
              </w:rPr>
              <w:t>ROBERTO MARIO CHAVARRO COLPAS                JOSÉ RAFAEL GUERRERO LEAL</w:t>
            </w:r>
          </w:p>
        </w:tc>
      </w:tr>
    </w:tbl>
    <w:p w:rsidR="002134C8" w:rsidRPr="001817CF" w:rsidRDefault="002134C8" w:rsidP="003211E0">
      <w:pPr>
        <w:spacing w:after="0" w:line="300" w:lineRule="auto"/>
        <w:jc w:val="center"/>
        <w:rPr>
          <w:rFonts w:ascii="Century Gothic" w:eastAsia="Calibri" w:hAnsi="Century Gothic" w:cs="Century Gothic"/>
          <w:b/>
          <w:bCs/>
          <w:color w:val="262626" w:themeColor="text1" w:themeTint="D9"/>
          <w:sz w:val="24"/>
          <w:szCs w:val="24"/>
        </w:rPr>
      </w:pPr>
    </w:p>
    <w:sectPr w:rsidR="002134C8" w:rsidRPr="001817CF" w:rsidSect="009C47ED">
      <w:headerReference w:type="default" r:id="rId11"/>
      <w:footerReference w:type="default" r:id="rId12"/>
      <w:pgSz w:w="12242" w:h="18722" w:code="5"/>
      <w:pgMar w:top="1418" w:right="1418"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80" w:rsidRDefault="003F4680" w:rsidP="0029283B">
      <w:pPr>
        <w:spacing w:after="0" w:line="240" w:lineRule="auto"/>
      </w:pPr>
      <w:r>
        <w:separator/>
      </w:r>
    </w:p>
  </w:endnote>
  <w:endnote w:type="continuationSeparator" w:id="0">
    <w:p w:rsidR="003F4680" w:rsidRDefault="003F4680"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BC4A1A" w:rsidRPr="00634E8C" w:rsidTr="00BD0AB6">
          <w:trPr>
            <w:trHeight w:val="853"/>
          </w:trPr>
          <w:tc>
            <w:tcPr>
              <w:tcW w:w="2351" w:type="dxa"/>
            </w:tcPr>
            <w:p w:rsidR="00BC4A1A" w:rsidRDefault="00BC4A1A" w:rsidP="00BC3D00">
              <w:pPr>
                <w:tabs>
                  <w:tab w:val="center" w:pos="4419"/>
                  <w:tab w:val="right" w:pos="8838"/>
                </w:tabs>
                <w:rPr>
                  <w:rFonts w:eastAsiaTheme="minorHAnsi"/>
                  <w:lang w:eastAsia="en-US"/>
                </w:rPr>
              </w:pPr>
            </w:p>
            <w:p w:rsidR="00BC4A1A" w:rsidRPr="00634E8C" w:rsidRDefault="00BC4A1A" w:rsidP="00BC3D00">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BC4A1A" w:rsidRDefault="00BC4A1A" w:rsidP="00BC3D00">
              <w:pPr>
                <w:tabs>
                  <w:tab w:val="center" w:pos="4419"/>
                  <w:tab w:val="right" w:pos="8838"/>
                </w:tabs>
                <w:rPr>
                  <w:rFonts w:ascii="Arial Black" w:hAnsi="Arial Black" w:cs="Arial"/>
                  <w:b/>
                  <w:bCs/>
                  <w:color w:val="0D0D0D" w:themeColor="text1" w:themeTint="F2"/>
                  <w:sz w:val="18"/>
                  <w:szCs w:val="20"/>
                </w:rPr>
              </w:pPr>
            </w:p>
            <w:p w:rsidR="00BC4A1A" w:rsidRPr="00634E8C" w:rsidRDefault="00BC4A1A" w:rsidP="00BC3D00">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BC4A1A" w:rsidRDefault="00BC4A1A" w:rsidP="00BC3D00">
              <w:pPr>
                <w:tabs>
                  <w:tab w:val="center" w:pos="4419"/>
                  <w:tab w:val="right" w:pos="8838"/>
                </w:tabs>
                <w:rPr>
                  <w:rFonts w:ascii="Arial Black" w:hAnsi="Arial Black" w:cs="Arial"/>
                  <w:b/>
                  <w:bCs/>
                  <w:color w:val="0D0D0D" w:themeColor="text1" w:themeTint="F2"/>
                  <w:sz w:val="18"/>
                  <w:szCs w:val="20"/>
                </w:rPr>
              </w:pPr>
            </w:p>
            <w:p w:rsidR="00BC4A1A" w:rsidRPr="00634E8C" w:rsidRDefault="00BC4A1A" w:rsidP="00BC3D00">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BC4A1A" w:rsidRPr="00634E8C" w:rsidRDefault="00BC4A1A" w:rsidP="00BC3D00">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1914D13" wp14:editId="0E468096">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BC4A1A" w:rsidRPr="009815D5" w:rsidRDefault="00C03C3F" w:rsidP="00BC3D00">
        <w:pPr>
          <w:pStyle w:val="Piedepgina"/>
        </w:pPr>
      </w:p>
    </w:sdtContent>
  </w:sdt>
  <w:p w:rsidR="00BC4A1A" w:rsidRDefault="00BC4A1A" w:rsidP="00BC3D00">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C03C3F">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03C3F">
              <w:rPr>
                <w:b/>
                <w:bCs/>
                <w:noProof/>
              </w:rPr>
              <w:t>20</w:t>
            </w:r>
            <w:r>
              <w:rPr>
                <w:b/>
                <w:bCs/>
                <w:sz w:val="24"/>
                <w:szCs w:val="24"/>
              </w:rPr>
              <w:fldChar w:fldCharType="end"/>
            </w:r>
          </w:sdtContent>
        </w:sdt>
      </w:sdtContent>
    </w:sdt>
  </w:p>
  <w:p w:rsidR="00BC4A1A" w:rsidRDefault="00BC4A1A" w:rsidP="00BC3D00">
    <w:pPr>
      <w:pStyle w:val="Piedepgina"/>
      <w:jc w:val="right"/>
    </w:pPr>
  </w:p>
  <w:p w:rsidR="00BC4A1A" w:rsidRDefault="00BC4A1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80" w:rsidRDefault="003F4680" w:rsidP="0029283B">
      <w:pPr>
        <w:spacing w:after="0" w:line="240" w:lineRule="auto"/>
      </w:pPr>
      <w:r>
        <w:separator/>
      </w:r>
    </w:p>
  </w:footnote>
  <w:footnote w:type="continuationSeparator" w:id="0">
    <w:p w:rsidR="003F4680" w:rsidRDefault="003F4680" w:rsidP="0029283B">
      <w:pPr>
        <w:spacing w:after="0" w:line="240" w:lineRule="auto"/>
      </w:pPr>
      <w:r>
        <w:continuationSeparator/>
      </w:r>
    </w:p>
  </w:footnote>
  <w:footnote w:id="1">
    <w:p w:rsidR="00BC4A1A" w:rsidRPr="00D27A78" w:rsidRDefault="00BC4A1A">
      <w:pPr>
        <w:pStyle w:val="Textonotapie"/>
        <w:rPr>
          <w:rFonts w:ascii="Century Gothic" w:hAnsi="Century Gothic"/>
          <w:lang w:val="es-CO"/>
        </w:rPr>
      </w:pPr>
      <w:r w:rsidRPr="00D27A78">
        <w:rPr>
          <w:rStyle w:val="Refdenotaalpie"/>
          <w:rFonts w:ascii="Century Gothic" w:hAnsi="Century Gothic"/>
        </w:rPr>
        <w:footnoteRef/>
      </w:r>
      <w:r w:rsidRPr="00D27A78">
        <w:rPr>
          <w:rFonts w:ascii="Century Gothic" w:hAnsi="Century Gothic"/>
        </w:rPr>
        <w:t xml:space="preserve"> </w:t>
      </w:r>
      <w:r w:rsidRPr="00D27A78">
        <w:rPr>
          <w:rFonts w:ascii="Century Gothic" w:hAnsi="Century Gothic"/>
          <w:lang w:val="es-CO"/>
        </w:rPr>
        <w:t xml:space="preserve">Folios </w:t>
      </w:r>
      <w:r>
        <w:rPr>
          <w:rFonts w:ascii="Century Gothic" w:hAnsi="Century Gothic"/>
          <w:lang w:val="es-CO"/>
        </w:rPr>
        <w:t>109-132</w:t>
      </w:r>
      <w:r w:rsidRPr="00D27A78">
        <w:rPr>
          <w:rFonts w:ascii="Century Gothic" w:hAnsi="Century Gothic"/>
          <w:lang w:val="es-CO"/>
        </w:rPr>
        <w:t xml:space="preserve">. </w:t>
      </w:r>
    </w:p>
  </w:footnote>
  <w:footnote w:id="2">
    <w:p w:rsidR="00BC4A1A" w:rsidRPr="00D27A78" w:rsidRDefault="00BC4A1A" w:rsidP="002F562F">
      <w:pPr>
        <w:pStyle w:val="Textonotapie"/>
        <w:tabs>
          <w:tab w:val="left" w:pos="7088"/>
        </w:tabs>
        <w:rPr>
          <w:rFonts w:ascii="Century Gothic" w:hAnsi="Century Gothic"/>
          <w:color w:val="262626" w:themeColor="text1" w:themeTint="D9"/>
        </w:rPr>
      </w:pPr>
      <w:r w:rsidRPr="00D27A78">
        <w:rPr>
          <w:rStyle w:val="Refdenotaalpie"/>
          <w:rFonts w:ascii="Century Gothic" w:hAnsi="Century Gothic" w:cs="Century Gothic"/>
          <w:color w:val="262626" w:themeColor="text1" w:themeTint="D9"/>
        </w:rPr>
        <w:footnoteRef/>
      </w:r>
      <w:r w:rsidRPr="00D27A78">
        <w:rPr>
          <w:rFonts w:ascii="Century Gothic" w:hAnsi="Century Gothic" w:cs="Century Gothic"/>
          <w:color w:val="262626" w:themeColor="text1" w:themeTint="D9"/>
        </w:rPr>
        <w:t xml:space="preserve"> </w:t>
      </w:r>
      <w:r w:rsidRPr="00D27A78">
        <w:rPr>
          <w:rFonts w:ascii="Century Gothic" w:hAnsi="Century Gothic" w:cs="Century Gothic"/>
          <w:color w:val="262626" w:themeColor="text1" w:themeTint="D9"/>
          <w:lang w:val="es-CO"/>
        </w:rPr>
        <w:t>Folios</w:t>
      </w:r>
      <w:r>
        <w:rPr>
          <w:rFonts w:ascii="Century Gothic" w:hAnsi="Century Gothic" w:cs="Century Gothic"/>
          <w:color w:val="262626" w:themeColor="text1" w:themeTint="D9"/>
          <w:lang w:val="es-CO"/>
        </w:rPr>
        <w:t xml:space="preserve"> 134-135. </w:t>
      </w:r>
      <w:r w:rsidRPr="00D27A78">
        <w:rPr>
          <w:rFonts w:ascii="Century Gothic" w:hAnsi="Century Gothic" w:cs="Century Gothic"/>
          <w:color w:val="262626" w:themeColor="text1" w:themeTint="D9"/>
          <w:lang w:val="es-CO"/>
        </w:rPr>
        <w:t xml:space="preserve"> </w:t>
      </w:r>
    </w:p>
  </w:footnote>
  <w:footnote w:id="3">
    <w:p w:rsidR="00BC4A1A" w:rsidRPr="00A87452" w:rsidRDefault="00BC4A1A">
      <w:pPr>
        <w:pStyle w:val="Textonotapie"/>
        <w:rPr>
          <w:rFonts w:ascii="Century Gothic" w:hAnsi="Century Gothic"/>
          <w:lang w:val="es-CO"/>
        </w:rPr>
      </w:pPr>
      <w:r w:rsidRPr="00A87452">
        <w:rPr>
          <w:rStyle w:val="Refdenotaalpie"/>
          <w:rFonts w:ascii="Century Gothic" w:hAnsi="Century Gothic"/>
        </w:rPr>
        <w:footnoteRef/>
      </w:r>
      <w:r w:rsidRPr="00A87452">
        <w:rPr>
          <w:rFonts w:ascii="Century Gothic" w:hAnsi="Century Gothic"/>
        </w:rPr>
        <w:t xml:space="preserve"> </w:t>
      </w:r>
      <w:r w:rsidRPr="00A87452">
        <w:rPr>
          <w:rFonts w:ascii="Century Gothic" w:hAnsi="Century Gothic"/>
          <w:lang w:val="es-CO"/>
        </w:rPr>
        <w:t xml:space="preserve">Folios </w:t>
      </w:r>
      <w:r>
        <w:rPr>
          <w:rFonts w:ascii="Century Gothic" w:hAnsi="Century Gothic"/>
          <w:lang w:val="es-CO"/>
        </w:rPr>
        <w:t xml:space="preserve">136-142. </w:t>
      </w:r>
    </w:p>
  </w:footnote>
  <w:footnote w:id="4">
    <w:p w:rsidR="00BC4A1A" w:rsidRPr="00D27A78" w:rsidRDefault="00BC4A1A" w:rsidP="00620184">
      <w:pPr>
        <w:pStyle w:val="Textonotapie"/>
        <w:tabs>
          <w:tab w:val="left" w:pos="7088"/>
        </w:tabs>
        <w:rPr>
          <w:rFonts w:ascii="Century Gothic" w:hAnsi="Century Gothic"/>
          <w:color w:val="262626" w:themeColor="text1" w:themeTint="D9"/>
        </w:rPr>
      </w:pPr>
      <w:r w:rsidRPr="00D27A78">
        <w:rPr>
          <w:rStyle w:val="Refdenotaalpie"/>
          <w:rFonts w:ascii="Century Gothic" w:hAnsi="Century Gothic" w:cs="Century Gothic"/>
          <w:color w:val="262626" w:themeColor="text1" w:themeTint="D9"/>
        </w:rPr>
        <w:footnoteRef/>
      </w:r>
      <w:r w:rsidRPr="00D27A78">
        <w:rPr>
          <w:rFonts w:ascii="Century Gothic" w:hAnsi="Century Gothic" w:cs="Century Gothic"/>
          <w:color w:val="262626" w:themeColor="text1" w:themeTint="D9"/>
        </w:rPr>
        <w:t xml:space="preserve"> </w:t>
      </w:r>
      <w:r w:rsidRPr="00D27A78">
        <w:rPr>
          <w:rFonts w:ascii="Century Gothic" w:hAnsi="Century Gothic" w:cs="Century Gothic"/>
          <w:color w:val="262626" w:themeColor="text1" w:themeTint="D9"/>
          <w:lang w:val="es-CO"/>
        </w:rPr>
        <w:t xml:space="preserve">Folios 5 y </w:t>
      </w:r>
      <w:r w:rsidR="00904A38">
        <w:rPr>
          <w:rFonts w:ascii="Century Gothic" w:hAnsi="Century Gothic" w:cs="Century Gothic"/>
          <w:color w:val="262626" w:themeColor="text1" w:themeTint="D9"/>
          <w:lang w:val="es-CO"/>
        </w:rPr>
        <w:t>9</w:t>
      </w:r>
      <w:r w:rsidRPr="00D27A78">
        <w:rPr>
          <w:rFonts w:ascii="Century Gothic" w:hAnsi="Century Gothic" w:cs="Century Gothic"/>
          <w:color w:val="262626" w:themeColor="text1" w:themeTint="D9"/>
          <w:lang w:val="es-CO"/>
        </w:rPr>
        <w:t xml:space="preserve">, cuaderno de 2ª instancia. </w:t>
      </w:r>
    </w:p>
  </w:footnote>
  <w:footnote w:id="5">
    <w:p w:rsidR="00BC4A1A" w:rsidRPr="00D16D45" w:rsidRDefault="00BC4A1A" w:rsidP="00D16D45">
      <w:pPr>
        <w:pStyle w:val="Textonotapie"/>
        <w:tabs>
          <w:tab w:val="left" w:pos="7088"/>
        </w:tabs>
        <w:spacing w:line="240" w:lineRule="auto"/>
        <w:rPr>
          <w:rFonts w:ascii="Century Gothic" w:hAnsi="Century Gothic"/>
          <w:color w:val="0D0D0D" w:themeColor="text1" w:themeTint="F2"/>
        </w:rPr>
      </w:pPr>
      <w:r w:rsidRPr="00D16D45">
        <w:rPr>
          <w:rStyle w:val="Refdenotaalpie"/>
          <w:rFonts w:ascii="Century Gothic" w:hAnsi="Century Gothic" w:cs="Century Gothic"/>
          <w:color w:val="0D0D0D" w:themeColor="text1" w:themeTint="F2"/>
        </w:rPr>
        <w:footnoteRef/>
      </w:r>
      <w:r w:rsidRPr="00D16D45">
        <w:rPr>
          <w:rFonts w:ascii="Century Gothic" w:hAnsi="Century Gothic" w:cs="Century Gothic"/>
          <w:color w:val="0D0D0D" w:themeColor="text1" w:themeTint="F2"/>
        </w:rPr>
        <w:t xml:space="preserve"> </w:t>
      </w:r>
      <w:r w:rsidRPr="00D16D45">
        <w:rPr>
          <w:rFonts w:ascii="Century Gothic" w:hAnsi="Century Gothic" w:cs="Century Gothic"/>
          <w:color w:val="0D0D0D" w:themeColor="text1" w:themeTint="F2"/>
          <w:lang w:val="es-CO"/>
        </w:rPr>
        <w:t xml:space="preserve">Folios </w:t>
      </w:r>
      <w:r w:rsidR="00904A38" w:rsidRPr="00D16D45">
        <w:rPr>
          <w:rFonts w:ascii="Century Gothic" w:hAnsi="Century Gothic" w:cs="Century Gothic"/>
          <w:color w:val="0D0D0D" w:themeColor="text1" w:themeTint="F2"/>
          <w:lang w:val="es-CO"/>
        </w:rPr>
        <w:t>12-13</w:t>
      </w:r>
      <w:r w:rsidRPr="00D16D45">
        <w:rPr>
          <w:rFonts w:ascii="Century Gothic" w:hAnsi="Century Gothic" w:cs="Century Gothic"/>
          <w:color w:val="0D0D0D" w:themeColor="text1" w:themeTint="F2"/>
          <w:lang w:val="es-CO"/>
        </w:rPr>
        <w:t>, cuaderno de 2ª instancia.</w:t>
      </w:r>
    </w:p>
  </w:footnote>
  <w:footnote w:id="6">
    <w:p w:rsidR="00D16D45" w:rsidRPr="00D16D45" w:rsidRDefault="00D16D45" w:rsidP="00D16D45">
      <w:pPr>
        <w:pStyle w:val="Textonotapie"/>
        <w:spacing w:line="240" w:lineRule="auto"/>
        <w:rPr>
          <w:lang w:val="es-CO"/>
        </w:rPr>
      </w:pPr>
      <w:r w:rsidRPr="00D16D45">
        <w:rPr>
          <w:rStyle w:val="Refdenotaalpie"/>
          <w:rFonts w:ascii="Century Gothic" w:hAnsi="Century Gothic"/>
          <w:color w:val="0D0D0D" w:themeColor="text1" w:themeTint="F2"/>
        </w:rPr>
        <w:footnoteRef/>
      </w:r>
      <w:r w:rsidRPr="00D16D45">
        <w:rPr>
          <w:rFonts w:ascii="Century Gothic" w:hAnsi="Century Gothic"/>
          <w:color w:val="0D0D0D" w:themeColor="text1" w:themeTint="F2"/>
        </w:rPr>
        <w:t xml:space="preserve"> </w:t>
      </w:r>
      <w:r w:rsidRPr="00D16D45">
        <w:rPr>
          <w:rFonts w:ascii="Century Gothic" w:hAnsi="Century Gothic"/>
          <w:color w:val="0D0D0D" w:themeColor="text1" w:themeTint="F2"/>
          <w:lang w:val="es-CO"/>
        </w:rPr>
        <w:t>Folios 14-15, cuaderno de 2ª instancia.</w:t>
      </w:r>
      <w:r w:rsidRPr="00D16D45">
        <w:rPr>
          <w:color w:val="0D0D0D" w:themeColor="text1" w:themeTint="F2"/>
          <w:lang w:val="es-CO"/>
        </w:rPr>
        <w:t xml:space="preserve"> </w:t>
      </w:r>
    </w:p>
  </w:footnote>
  <w:footnote w:id="7">
    <w:p w:rsidR="00BC4A1A" w:rsidRPr="00D27A78" w:rsidRDefault="00BC4A1A" w:rsidP="00B43045">
      <w:pPr>
        <w:pStyle w:val="Textonotapie"/>
        <w:rPr>
          <w:rFonts w:ascii="Century Gothic" w:hAnsi="Century Gothic"/>
          <w:color w:val="0D0D0D" w:themeColor="text1" w:themeTint="F2"/>
          <w:lang w:val="es-CO"/>
        </w:rPr>
      </w:pPr>
      <w:r w:rsidRPr="00D27A78">
        <w:rPr>
          <w:rStyle w:val="Refdenotaalpie"/>
          <w:rFonts w:ascii="Century Gothic" w:hAnsi="Century Gothic"/>
          <w:color w:val="0D0D0D" w:themeColor="text1" w:themeTint="F2"/>
        </w:rPr>
        <w:footnoteRef/>
      </w:r>
      <w:r w:rsidRPr="00D27A78">
        <w:rPr>
          <w:rFonts w:ascii="Century Gothic" w:hAnsi="Century Gothic"/>
          <w:color w:val="0D0D0D" w:themeColor="text1" w:themeTint="F2"/>
        </w:rPr>
        <w:t xml:space="preserve"> Sentencia T-039 de 2017</w:t>
      </w:r>
      <w:r>
        <w:rPr>
          <w:rFonts w:ascii="Century Gothic" w:hAnsi="Century Gothic"/>
          <w:color w:val="0D0D0D" w:themeColor="text1" w:themeTint="F2"/>
        </w:rPr>
        <w:t xml:space="preserve">. </w:t>
      </w:r>
    </w:p>
  </w:footnote>
  <w:footnote w:id="8">
    <w:p w:rsidR="00BC4A1A" w:rsidRPr="001302C6" w:rsidRDefault="00BC4A1A" w:rsidP="00B43045">
      <w:pPr>
        <w:pStyle w:val="Textonotapie"/>
        <w:rPr>
          <w:color w:val="808080" w:themeColor="background1" w:themeShade="80"/>
          <w:lang w:val="es-CO"/>
        </w:rPr>
      </w:pPr>
      <w:r w:rsidRPr="00D27A78">
        <w:rPr>
          <w:rStyle w:val="Refdenotaalpie"/>
          <w:rFonts w:ascii="Century Gothic" w:hAnsi="Century Gothic"/>
          <w:color w:val="0D0D0D" w:themeColor="text1" w:themeTint="F2"/>
        </w:rPr>
        <w:footnoteRef/>
      </w:r>
      <w:r w:rsidRPr="00D27A78">
        <w:rPr>
          <w:rFonts w:ascii="Century Gothic" w:hAnsi="Century Gothic"/>
          <w:color w:val="0D0D0D" w:themeColor="text1" w:themeTint="F2"/>
        </w:rPr>
        <w:t xml:space="preserve"> sentencia T-013 de 2011.</w:t>
      </w:r>
    </w:p>
  </w:footnote>
  <w:footnote w:id="9">
    <w:p w:rsidR="00BC4A1A" w:rsidRPr="0031008F" w:rsidRDefault="00BC4A1A" w:rsidP="0031008F">
      <w:pPr>
        <w:pStyle w:val="Textonotapie"/>
        <w:spacing w:line="240" w:lineRule="auto"/>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Artículo 241 Constitución Política de Colombia.</w:t>
      </w:r>
    </w:p>
  </w:footnote>
  <w:footnote w:id="10">
    <w:p w:rsidR="00BC4A1A" w:rsidRPr="0031008F" w:rsidRDefault="00BC4A1A" w:rsidP="0031008F">
      <w:pPr>
        <w:pStyle w:val="Textonotapie"/>
        <w:spacing w:line="240" w:lineRule="auto"/>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w:t>
      </w:r>
      <w:r w:rsidRPr="0031008F">
        <w:rPr>
          <w:rFonts w:ascii="Century Gothic" w:hAnsi="Century Gothic"/>
          <w:color w:val="0D0D0D" w:themeColor="text1" w:themeTint="F2"/>
          <w:lang w:val="es-CO"/>
        </w:rPr>
        <w:t xml:space="preserve">Sentencia T-018 de 2018 </w:t>
      </w:r>
    </w:p>
  </w:footnote>
  <w:footnote w:id="11">
    <w:p w:rsidR="00BC4A1A" w:rsidRPr="0031008F" w:rsidRDefault="00BC4A1A" w:rsidP="0031008F">
      <w:pPr>
        <w:pStyle w:val="Textonotapie"/>
        <w:spacing w:line="240" w:lineRule="auto"/>
        <w:jc w:val="both"/>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Artículo 243. Los fallos que la Corte dicte en ejercicio del control jurisdiccional hacen tránsito a cosa juzgada constitucional. Ninguna autoridad podrá reproducir el contenido material del acto jurídico declarado inexequible por razones de fondo, mientras subsistan en la Carta las disposiciones que sirvieron para hacer la confrontación entre la norma ordinaria y la Constitución.</w:t>
      </w:r>
    </w:p>
  </w:footnote>
  <w:footnote w:id="12">
    <w:p w:rsidR="00BC4A1A" w:rsidRPr="001302C6" w:rsidRDefault="00BC4A1A" w:rsidP="0031008F">
      <w:pPr>
        <w:pStyle w:val="Textonotapie"/>
        <w:spacing w:line="240" w:lineRule="auto"/>
        <w:rPr>
          <w:color w:val="808080" w:themeColor="background1" w:themeShade="80"/>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Sentencia T-410 de 2014</w:t>
      </w:r>
    </w:p>
  </w:footnote>
  <w:footnote w:id="13">
    <w:p w:rsidR="00BC4A1A" w:rsidRPr="0031008F" w:rsidRDefault="00BC4A1A" w:rsidP="0031008F">
      <w:pPr>
        <w:pStyle w:val="Textonotapie"/>
        <w:spacing w:line="240" w:lineRule="auto"/>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Sentencia T-233 de 2017.</w:t>
      </w:r>
    </w:p>
  </w:footnote>
  <w:footnote w:id="14">
    <w:p w:rsidR="00BC4A1A" w:rsidRPr="0031008F" w:rsidRDefault="00BC4A1A" w:rsidP="0031008F">
      <w:pPr>
        <w:pStyle w:val="Textonotapie"/>
        <w:spacing w:line="240" w:lineRule="auto"/>
        <w:rPr>
          <w:rFonts w:ascii="Century Gothic" w:hAnsi="Century Gothic"/>
          <w:color w:val="0D0D0D" w:themeColor="text1" w:themeTint="F2"/>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Ibídem</w:t>
      </w:r>
    </w:p>
  </w:footnote>
  <w:footnote w:id="15">
    <w:p w:rsidR="00BC4A1A" w:rsidRPr="004D763F" w:rsidRDefault="00BC4A1A" w:rsidP="0031008F">
      <w:pPr>
        <w:pStyle w:val="Textonotapie"/>
        <w:spacing w:line="240" w:lineRule="auto"/>
        <w:rPr>
          <w:lang w:val="es-CO"/>
        </w:rPr>
      </w:pPr>
      <w:r w:rsidRPr="0031008F">
        <w:rPr>
          <w:rStyle w:val="Refdenotaalpie"/>
          <w:rFonts w:ascii="Century Gothic" w:hAnsi="Century Gothic"/>
          <w:color w:val="0D0D0D" w:themeColor="text1" w:themeTint="F2"/>
        </w:rPr>
        <w:footnoteRef/>
      </w:r>
      <w:r w:rsidRPr="0031008F">
        <w:rPr>
          <w:rFonts w:ascii="Century Gothic" w:hAnsi="Century Gothic"/>
          <w:color w:val="0D0D0D" w:themeColor="text1" w:themeTint="F2"/>
        </w:rPr>
        <w:t xml:space="preserve"> T-410 de 2014.</w:t>
      </w:r>
    </w:p>
  </w:footnote>
  <w:footnote w:id="16">
    <w:p w:rsidR="00BC4A1A" w:rsidRPr="004A148F" w:rsidRDefault="00BC4A1A" w:rsidP="00B43045">
      <w:pPr>
        <w:pStyle w:val="Textonotapie"/>
      </w:pPr>
      <w:r w:rsidRPr="00AF1C9B">
        <w:rPr>
          <w:rStyle w:val="Refdenotaalpie"/>
          <w:color w:val="808080" w:themeColor="background1" w:themeShade="80"/>
        </w:rPr>
        <w:footnoteRef/>
      </w:r>
      <w:r w:rsidRPr="00AF1C9B">
        <w:rPr>
          <w:color w:val="808080" w:themeColor="background1" w:themeShade="80"/>
        </w:rPr>
        <w:t xml:space="preserve"> </w:t>
      </w:r>
      <w:proofErr w:type="spellStart"/>
      <w:r w:rsidRPr="00AF1C9B">
        <w:rPr>
          <w:color w:val="808080" w:themeColor="background1" w:themeShade="80"/>
        </w:rPr>
        <w:t>Exp</w:t>
      </w:r>
      <w:proofErr w:type="spellEnd"/>
      <w:r w:rsidRPr="00AF1C9B">
        <w:rPr>
          <w:color w:val="808080" w:themeColor="background1" w:themeShade="80"/>
        </w:rPr>
        <w:t>. 2013-01541 (4683-2013).</w:t>
      </w:r>
    </w:p>
  </w:footnote>
  <w:footnote w:id="17">
    <w:p w:rsidR="00BC4A1A" w:rsidRPr="0021418B" w:rsidRDefault="00BC4A1A" w:rsidP="00B43045">
      <w:pPr>
        <w:pStyle w:val="Textonotapie"/>
        <w:rPr>
          <w:lang w:val="es-CO"/>
        </w:rPr>
      </w:pPr>
      <w:r w:rsidRPr="00FE4DFC">
        <w:rPr>
          <w:rStyle w:val="Refdenotaalpie"/>
          <w:color w:val="808080" w:themeColor="background1" w:themeShade="80"/>
        </w:rPr>
        <w:footnoteRef/>
      </w:r>
      <w:r w:rsidRPr="00FE4DFC">
        <w:rPr>
          <w:color w:val="808080" w:themeColor="background1" w:themeShade="80"/>
        </w:rPr>
        <w:t xml:space="preserve"> Radicado  52001-23-33-000-2012-00143-01.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A1A" w:rsidRDefault="00BC4A1A" w:rsidP="00BC3D00">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70528" behindDoc="0" locked="0" layoutInCell="1" allowOverlap="1" wp14:anchorId="4312DD02" wp14:editId="45B57470">
              <wp:simplePos x="0" y="0"/>
              <wp:positionH relativeFrom="column">
                <wp:posOffset>1615440</wp:posOffset>
              </wp:positionH>
              <wp:positionV relativeFrom="paragraph">
                <wp:posOffset>6985</wp:posOffset>
              </wp:positionV>
              <wp:extent cx="3209925" cy="8477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3209925" cy="847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4A1A" w:rsidRPr="000B5CF6" w:rsidRDefault="00BC4A1A" w:rsidP="00BC3D00">
                          <w:pPr>
                            <w:pStyle w:val="NormalWeb"/>
                            <w:spacing w:before="0" w:beforeAutospacing="0" w:after="0" w:afterAutospacing="0"/>
                            <w:jc w:val="center"/>
                            <w:rPr>
                              <w:rFonts w:ascii="Arial Black" w:hAnsi="Arial Black"/>
                              <w:b/>
                              <w:sz w:val="20"/>
                            </w:rPr>
                          </w:pPr>
                        </w:p>
                        <w:p w:rsidR="00BC4A1A" w:rsidRDefault="00BC4A1A" w:rsidP="00BC3D0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BC4A1A" w:rsidRDefault="00BC4A1A" w:rsidP="00BC3D00">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C03C3F">
                            <w:rPr>
                              <w:rFonts w:ascii="Arial Black" w:hAnsi="Arial Black"/>
                              <w:b/>
                              <w:sz w:val="20"/>
                            </w:rPr>
                            <w:t>086</w:t>
                          </w:r>
                          <w:r w:rsidRPr="00515A17">
                            <w:rPr>
                              <w:rFonts w:ascii="Arial Black" w:hAnsi="Arial Black"/>
                              <w:b/>
                              <w:sz w:val="20"/>
                            </w:rPr>
                            <w:t>/2020</w:t>
                          </w:r>
                        </w:p>
                        <w:p w:rsidR="00BC4A1A" w:rsidRDefault="00BC4A1A" w:rsidP="00BC3D00">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BC4A1A" w:rsidRPr="000B5CF6" w:rsidRDefault="00BC4A1A" w:rsidP="00BC3D00">
                          <w:pPr>
                            <w:pStyle w:val="NormalWeb"/>
                            <w:spacing w:before="0" w:beforeAutospacing="0" w:after="0" w:afterAutospacing="0"/>
                            <w:jc w:val="center"/>
                            <w:rPr>
                              <w:rFonts w:ascii="Arial Black" w:hAnsi="Arial Black"/>
                              <w:b/>
                              <w:sz w:val="20"/>
                            </w:rPr>
                          </w:pPr>
                        </w:p>
                        <w:p w:rsidR="00BC4A1A" w:rsidRPr="000B5CF6" w:rsidRDefault="00BC4A1A" w:rsidP="00BC3D0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12DD02" id="_x0000_t202" coordsize="21600,21600" o:spt="202" path="m,l,21600r21600,l21600,xe">
              <v:stroke joinstyle="miter"/>
              <v:path gradientshapeok="t" o:connecttype="rect"/>
            </v:shapetype>
            <v:shape id="Cuadro de texto 7" o:spid="_x0000_s1026" type="#_x0000_t202" style="position:absolute;margin-left:127.2pt;margin-top:.55pt;width:252.75pt;height:6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" filled="f" strokecolor="white [3212]" strokeweight=".5pt">
              <v:textbox>
                <w:txbxContent>
                  <w:p w:rsidR="00BC4A1A" w:rsidRPr="000B5CF6" w:rsidRDefault="00BC4A1A" w:rsidP="00BC3D00">
                    <w:pPr>
                      <w:pStyle w:val="NormalWeb"/>
                      <w:spacing w:before="0" w:beforeAutospacing="0" w:after="0" w:afterAutospacing="0"/>
                      <w:jc w:val="center"/>
                      <w:rPr>
                        <w:rFonts w:ascii="Arial Black" w:hAnsi="Arial Black"/>
                        <w:b/>
                        <w:sz w:val="20"/>
                      </w:rPr>
                    </w:pPr>
                  </w:p>
                  <w:p w:rsidR="00BC4A1A" w:rsidRDefault="00BC4A1A" w:rsidP="00BC3D0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BC4A1A" w:rsidRDefault="00BC4A1A" w:rsidP="00BC3D00">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C03C3F">
                      <w:rPr>
                        <w:rFonts w:ascii="Arial Black" w:hAnsi="Arial Black"/>
                        <w:b/>
                        <w:sz w:val="20"/>
                      </w:rPr>
                      <w:t>086</w:t>
                    </w:r>
                    <w:r w:rsidRPr="00515A17">
                      <w:rPr>
                        <w:rFonts w:ascii="Arial Black" w:hAnsi="Arial Black"/>
                        <w:b/>
                        <w:sz w:val="20"/>
                      </w:rPr>
                      <w:t>/2020</w:t>
                    </w:r>
                  </w:p>
                  <w:p w:rsidR="00BC4A1A" w:rsidRDefault="00BC4A1A" w:rsidP="00BC3D00">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BC4A1A" w:rsidRPr="000B5CF6" w:rsidRDefault="00BC4A1A" w:rsidP="00BC3D00">
                    <w:pPr>
                      <w:pStyle w:val="NormalWeb"/>
                      <w:spacing w:before="0" w:beforeAutospacing="0" w:after="0" w:afterAutospacing="0"/>
                      <w:jc w:val="center"/>
                      <w:rPr>
                        <w:rFonts w:ascii="Arial Black" w:hAnsi="Arial Black"/>
                        <w:b/>
                        <w:sz w:val="20"/>
                      </w:rPr>
                    </w:pPr>
                  </w:p>
                  <w:p w:rsidR="00BC4A1A" w:rsidRPr="000B5CF6" w:rsidRDefault="00BC4A1A" w:rsidP="00BC3D0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72576" behindDoc="1" locked="0" layoutInCell="1" allowOverlap="1" wp14:anchorId="5D40B6F1" wp14:editId="16B7159E">
          <wp:simplePos x="0" y="0"/>
          <wp:positionH relativeFrom="column">
            <wp:posOffset>-238125</wp:posOffset>
          </wp:positionH>
          <wp:positionV relativeFrom="paragraph">
            <wp:posOffset>94615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val="es-CO" w:eastAsia="es-CO"/>
      </w:rPr>
      <w:drawing>
        <wp:anchor distT="0" distB="0" distL="114300" distR="114300" simplePos="0" relativeHeight="251671552" behindDoc="0" locked="0" layoutInCell="1" allowOverlap="1" wp14:anchorId="08C50E9E" wp14:editId="0ACE6A11">
          <wp:simplePos x="0" y="0"/>
          <wp:positionH relativeFrom="column">
            <wp:posOffset>4876800</wp:posOffset>
          </wp:positionH>
          <wp:positionV relativeFrom="paragraph">
            <wp:posOffset>115570</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rsidR="00BC4A1A" w:rsidRDefault="00BC4A1A" w:rsidP="00BC3D00">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BC4A1A" w:rsidRDefault="00BC4A1A" w:rsidP="00BC3D00">
    <w:pPr>
      <w:pStyle w:val="NormalWeb"/>
      <w:spacing w:before="0" w:beforeAutospacing="0" w:after="0" w:afterAutospacing="0"/>
      <w:jc w:val="center"/>
      <w:rPr>
        <w:b/>
        <w:sz w:val="20"/>
        <w:szCs w:val="20"/>
        <w14:textOutline w14:w="12700" w14:cap="rnd" w14:cmpd="sng" w14:algn="ctr">
          <w14:noFill/>
          <w14:prstDash w14:val="solid"/>
          <w14:bevel/>
        </w14:textOutline>
      </w:rPr>
    </w:pPr>
  </w:p>
  <w:p w:rsidR="00BC4A1A" w:rsidRDefault="00BC4A1A" w:rsidP="00BC3D00">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BC4A1A" w:rsidRDefault="00BC4A1A" w:rsidP="00BC3D00">
    <w:pPr>
      <w:pStyle w:val="Encabezado"/>
    </w:pPr>
  </w:p>
  <w:p w:rsidR="00BC4A1A" w:rsidRDefault="00BC4A1A" w:rsidP="00BC3D00">
    <w:pPr>
      <w:pStyle w:val="Encabezado"/>
      <w:tabs>
        <w:tab w:val="left" w:pos="6855"/>
      </w:tabs>
      <w:jc w:val="right"/>
      <w:rPr>
        <w:rFonts w:ascii="Arial" w:hAnsi="Arial" w:cs="Arial"/>
        <w:b/>
        <w:sz w:val="20"/>
        <w:szCs w:val="20"/>
      </w:rPr>
    </w:pPr>
    <w:r>
      <w:rPr>
        <w:rFonts w:ascii="Arial" w:hAnsi="Arial" w:cs="Arial"/>
        <w:b/>
        <w:sz w:val="20"/>
        <w:szCs w:val="20"/>
      </w:rPr>
      <w:t xml:space="preserve">    </w:t>
    </w:r>
  </w:p>
  <w:p w:rsidR="00BC4A1A" w:rsidRPr="00BC3D00" w:rsidRDefault="00BC4A1A" w:rsidP="00F52F49">
    <w:pPr>
      <w:pStyle w:val="Encabezado"/>
      <w:tabs>
        <w:tab w:val="left" w:pos="6855"/>
      </w:tabs>
      <w:jc w:val="right"/>
    </w:pPr>
    <w:r>
      <w:rPr>
        <w:rFonts w:ascii="Arial" w:hAnsi="Arial" w:cs="Arial"/>
        <w:b/>
        <w:sz w:val="20"/>
        <w:szCs w:val="20"/>
        <w:lang w:val="es-CO"/>
      </w:rPr>
      <w:t xml:space="preserve">13-001-33-33-013-2017-00184-01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74B8"/>
    <w:multiLevelType w:val="hybridMultilevel"/>
    <w:tmpl w:val="B24CA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9202CC"/>
    <w:multiLevelType w:val="hybridMultilevel"/>
    <w:tmpl w:val="CAB61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8892E6F"/>
    <w:multiLevelType w:val="hybridMultilevel"/>
    <w:tmpl w:val="777073FA"/>
    <w:lvl w:ilvl="0" w:tplc="CD8034A4">
      <w:start w:val="1"/>
      <w:numFmt w:val="upperLetter"/>
      <w:lvlText w:val="%1."/>
      <w:lvlJc w:val="left"/>
      <w:pPr>
        <w:ind w:left="720" w:hanging="360"/>
      </w:pPr>
      <w:rPr>
        <w:rFonts w:ascii="Century Gothic" w:eastAsiaTheme="minorHAnsi" w:hAnsi="Century Gothic"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BA517D"/>
    <w:multiLevelType w:val="multilevel"/>
    <w:tmpl w:val="C82830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0E43DDA"/>
    <w:multiLevelType w:val="hybridMultilevel"/>
    <w:tmpl w:val="1CEC0A82"/>
    <w:lvl w:ilvl="0" w:tplc="240A0001">
      <w:start w:val="1"/>
      <w:numFmt w:val="bullet"/>
      <w:lvlText w:val=""/>
      <w:lvlJc w:val="left"/>
      <w:pPr>
        <w:ind w:left="849" w:hanging="360"/>
      </w:pPr>
      <w:rPr>
        <w:rFonts w:ascii="Symbol" w:hAnsi="Symbol" w:hint="default"/>
      </w:rPr>
    </w:lvl>
    <w:lvl w:ilvl="1" w:tplc="240A0003" w:tentative="1">
      <w:start w:val="1"/>
      <w:numFmt w:val="bullet"/>
      <w:lvlText w:val="o"/>
      <w:lvlJc w:val="left"/>
      <w:pPr>
        <w:ind w:left="1569" w:hanging="360"/>
      </w:pPr>
      <w:rPr>
        <w:rFonts w:ascii="Courier New" w:hAnsi="Courier New" w:cs="Courier New" w:hint="default"/>
      </w:rPr>
    </w:lvl>
    <w:lvl w:ilvl="2" w:tplc="240A0005" w:tentative="1">
      <w:start w:val="1"/>
      <w:numFmt w:val="bullet"/>
      <w:lvlText w:val=""/>
      <w:lvlJc w:val="left"/>
      <w:pPr>
        <w:ind w:left="2289" w:hanging="360"/>
      </w:pPr>
      <w:rPr>
        <w:rFonts w:ascii="Wingdings" w:hAnsi="Wingdings" w:hint="default"/>
      </w:rPr>
    </w:lvl>
    <w:lvl w:ilvl="3" w:tplc="240A0001" w:tentative="1">
      <w:start w:val="1"/>
      <w:numFmt w:val="bullet"/>
      <w:lvlText w:val=""/>
      <w:lvlJc w:val="left"/>
      <w:pPr>
        <w:ind w:left="3009" w:hanging="360"/>
      </w:pPr>
      <w:rPr>
        <w:rFonts w:ascii="Symbol" w:hAnsi="Symbol" w:hint="default"/>
      </w:rPr>
    </w:lvl>
    <w:lvl w:ilvl="4" w:tplc="240A0003" w:tentative="1">
      <w:start w:val="1"/>
      <w:numFmt w:val="bullet"/>
      <w:lvlText w:val="o"/>
      <w:lvlJc w:val="left"/>
      <w:pPr>
        <w:ind w:left="3729" w:hanging="360"/>
      </w:pPr>
      <w:rPr>
        <w:rFonts w:ascii="Courier New" w:hAnsi="Courier New" w:cs="Courier New" w:hint="default"/>
      </w:rPr>
    </w:lvl>
    <w:lvl w:ilvl="5" w:tplc="240A0005" w:tentative="1">
      <w:start w:val="1"/>
      <w:numFmt w:val="bullet"/>
      <w:lvlText w:val=""/>
      <w:lvlJc w:val="left"/>
      <w:pPr>
        <w:ind w:left="4449" w:hanging="360"/>
      </w:pPr>
      <w:rPr>
        <w:rFonts w:ascii="Wingdings" w:hAnsi="Wingdings" w:hint="default"/>
      </w:rPr>
    </w:lvl>
    <w:lvl w:ilvl="6" w:tplc="240A0001" w:tentative="1">
      <w:start w:val="1"/>
      <w:numFmt w:val="bullet"/>
      <w:lvlText w:val=""/>
      <w:lvlJc w:val="left"/>
      <w:pPr>
        <w:ind w:left="5169" w:hanging="360"/>
      </w:pPr>
      <w:rPr>
        <w:rFonts w:ascii="Symbol" w:hAnsi="Symbol" w:hint="default"/>
      </w:rPr>
    </w:lvl>
    <w:lvl w:ilvl="7" w:tplc="240A0003" w:tentative="1">
      <w:start w:val="1"/>
      <w:numFmt w:val="bullet"/>
      <w:lvlText w:val="o"/>
      <w:lvlJc w:val="left"/>
      <w:pPr>
        <w:ind w:left="5889" w:hanging="360"/>
      </w:pPr>
      <w:rPr>
        <w:rFonts w:ascii="Courier New" w:hAnsi="Courier New" w:cs="Courier New" w:hint="default"/>
      </w:rPr>
    </w:lvl>
    <w:lvl w:ilvl="8" w:tplc="240A0005" w:tentative="1">
      <w:start w:val="1"/>
      <w:numFmt w:val="bullet"/>
      <w:lvlText w:val=""/>
      <w:lvlJc w:val="left"/>
      <w:pPr>
        <w:ind w:left="6609" w:hanging="360"/>
      </w:pPr>
      <w:rPr>
        <w:rFonts w:ascii="Wingdings" w:hAnsi="Wingdings" w:hint="default"/>
      </w:rPr>
    </w:lvl>
  </w:abstractNum>
  <w:abstractNum w:abstractNumId="6">
    <w:nsid w:val="117F5EEF"/>
    <w:multiLevelType w:val="hybridMultilevel"/>
    <w:tmpl w:val="10B44A5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3432DBB"/>
    <w:multiLevelType w:val="hybridMultilevel"/>
    <w:tmpl w:val="110A0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36113EE"/>
    <w:multiLevelType w:val="hybridMultilevel"/>
    <w:tmpl w:val="B0645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9562B14"/>
    <w:multiLevelType w:val="hybridMultilevel"/>
    <w:tmpl w:val="50D67BF8"/>
    <w:lvl w:ilvl="0" w:tplc="9ADC7A46">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nsid w:val="1CC96EDE"/>
    <w:multiLevelType w:val="hybridMultilevel"/>
    <w:tmpl w:val="777073FA"/>
    <w:lvl w:ilvl="0" w:tplc="CD8034A4">
      <w:start w:val="1"/>
      <w:numFmt w:val="upperLetter"/>
      <w:lvlText w:val="%1."/>
      <w:lvlJc w:val="left"/>
      <w:pPr>
        <w:ind w:left="720" w:hanging="360"/>
      </w:pPr>
      <w:rPr>
        <w:rFonts w:ascii="Century Gothic" w:eastAsiaTheme="minorHAnsi" w:hAnsi="Century Gothic"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42C5566"/>
    <w:multiLevelType w:val="hybridMultilevel"/>
    <w:tmpl w:val="F4C8505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4687063"/>
    <w:multiLevelType w:val="hybridMultilevel"/>
    <w:tmpl w:val="01AC8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62B00D3"/>
    <w:multiLevelType w:val="hybridMultilevel"/>
    <w:tmpl w:val="89342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E5658AB"/>
    <w:multiLevelType w:val="multilevel"/>
    <w:tmpl w:val="C546B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124D21"/>
    <w:multiLevelType w:val="hybridMultilevel"/>
    <w:tmpl w:val="BDA02F6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77D7284"/>
    <w:multiLevelType w:val="hybridMultilevel"/>
    <w:tmpl w:val="F9B410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9ED067F"/>
    <w:multiLevelType w:val="hybridMultilevel"/>
    <w:tmpl w:val="D36C62D0"/>
    <w:lvl w:ilvl="0" w:tplc="59904978">
      <w:start w:val="1"/>
      <w:numFmt w:val="bullet"/>
      <w:lvlText w:val=""/>
      <w:lvlJc w:val="left"/>
      <w:pPr>
        <w:ind w:left="720" w:hanging="360"/>
      </w:pPr>
      <w:rPr>
        <w:rFonts w:ascii="Symbol" w:hAnsi="Symbol" w:hint="default"/>
        <w:color w:val="A6A6A6" w:themeColor="background1" w:themeShade="A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D036929"/>
    <w:multiLevelType w:val="hybridMultilevel"/>
    <w:tmpl w:val="2A5EB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DA3551D"/>
    <w:multiLevelType w:val="hybridMultilevel"/>
    <w:tmpl w:val="343C5D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1F76A04"/>
    <w:multiLevelType w:val="hybridMultilevel"/>
    <w:tmpl w:val="A83CA3FA"/>
    <w:lvl w:ilvl="0" w:tplc="59440F12">
      <w:numFmt w:val="bullet"/>
      <w:lvlText w:val="-"/>
      <w:lvlJc w:val="left"/>
      <w:pPr>
        <w:ind w:left="720" w:hanging="360"/>
      </w:pPr>
      <w:rPr>
        <w:rFonts w:ascii="Century Gothic" w:eastAsia="Calibri" w:hAnsi="Century Gothic"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3142092"/>
    <w:multiLevelType w:val="multilevel"/>
    <w:tmpl w:val="AD4CC4B8"/>
    <w:lvl w:ilvl="0">
      <w:start w:val="3"/>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45F34CFC"/>
    <w:multiLevelType w:val="hybridMultilevel"/>
    <w:tmpl w:val="5A828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6EB67D9"/>
    <w:multiLevelType w:val="multilevel"/>
    <w:tmpl w:val="0B7E2FC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7204B99"/>
    <w:multiLevelType w:val="hybridMultilevel"/>
    <w:tmpl w:val="F9B410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EC4742C"/>
    <w:multiLevelType w:val="multilevel"/>
    <w:tmpl w:val="000C1502"/>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6A950AD"/>
    <w:multiLevelType w:val="hybridMultilevel"/>
    <w:tmpl w:val="978C843C"/>
    <w:lvl w:ilvl="0" w:tplc="17E87BB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77B503C"/>
    <w:multiLevelType w:val="hybridMultilevel"/>
    <w:tmpl w:val="80CEF3C2"/>
    <w:lvl w:ilvl="0" w:tplc="FA147DB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25103B1"/>
    <w:multiLevelType w:val="hybridMultilevel"/>
    <w:tmpl w:val="A5961464"/>
    <w:lvl w:ilvl="0" w:tplc="9D6813D8">
      <w:start w:val="1"/>
      <w:numFmt w:val="lowerRoman"/>
      <w:lvlText w:val="%1)"/>
      <w:lvlJc w:val="left"/>
      <w:pPr>
        <w:ind w:left="578" w:hanging="720"/>
      </w:pPr>
      <w:rPr>
        <w:rFonts w:hint="default"/>
        <w:b/>
        <w:i w:val="0"/>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9">
    <w:nsid w:val="63784FDE"/>
    <w:multiLevelType w:val="multilevel"/>
    <w:tmpl w:val="5E8C7F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DDD1671"/>
    <w:multiLevelType w:val="hybridMultilevel"/>
    <w:tmpl w:val="3EAA681A"/>
    <w:lvl w:ilvl="0" w:tplc="80E6744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nsid w:val="73DE6819"/>
    <w:multiLevelType w:val="multilevel"/>
    <w:tmpl w:val="AD0C28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Tahoma" w:hint="default"/>
        <w:b/>
        <w:sz w:val="24"/>
        <w:szCs w:val="24"/>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Zero"/>
      <w:isLgl/>
      <w:lvlText w:val="%1.%2.%3.%4.%5."/>
      <w:lvlJc w:val="left"/>
      <w:pPr>
        <w:ind w:left="1800" w:hanging="144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2160" w:hanging="1800"/>
      </w:pPr>
      <w:rPr>
        <w:rFonts w:cs="Tahoma" w:hint="default"/>
      </w:rPr>
    </w:lvl>
    <w:lvl w:ilvl="7">
      <w:start w:val="1"/>
      <w:numFmt w:val="decimal"/>
      <w:isLgl/>
      <w:lvlText w:val="%1.%2.%3.%4.%5.%6.%7.%8."/>
      <w:lvlJc w:val="left"/>
      <w:pPr>
        <w:ind w:left="2520" w:hanging="2160"/>
      </w:pPr>
      <w:rPr>
        <w:rFonts w:cs="Tahoma" w:hint="default"/>
      </w:rPr>
    </w:lvl>
    <w:lvl w:ilvl="8">
      <w:start w:val="1"/>
      <w:numFmt w:val="decimal"/>
      <w:isLgl/>
      <w:lvlText w:val="%1.%2.%3.%4.%5.%6.%7.%8.%9."/>
      <w:lvlJc w:val="left"/>
      <w:pPr>
        <w:ind w:left="2520" w:hanging="2160"/>
      </w:pPr>
      <w:rPr>
        <w:rFonts w:cs="Tahoma" w:hint="default"/>
      </w:rPr>
    </w:lvl>
  </w:abstractNum>
  <w:abstractNum w:abstractNumId="32">
    <w:nsid w:val="7887163E"/>
    <w:multiLevelType w:val="hybridMultilevel"/>
    <w:tmpl w:val="70387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8883E2D"/>
    <w:multiLevelType w:val="hybridMultilevel"/>
    <w:tmpl w:val="0F62A34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9"/>
  </w:num>
  <w:num w:numId="3">
    <w:abstractNumId w:val="7"/>
  </w:num>
  <w:num w:numId="4">
    <w:abstractNumId w:val="17"/>
  </w:num>
  <w:num w:numId="5">
    <w:abstractNumId w:val="14"/>
  </w:num>
  <w:num w:numId="6">
    <w:abstractNumId w:val="32"/>
  </w:num>
  <w:num w:numId="7">
    <w:abstractNumId w:val="1"/>
  </w:num>
  <w:num w:numId="8">
    <w:abstractNumId w:val="31"/>
  </w:num>
  <w:num w:numId="9">
    <w:abstractNumId w:val="22"/>
  </w:num>
  <w:num w:numId="10">
    <w:abstractNumId w:val="9"/>
  </w:num>
  <w:num w:numId="11">
    <w:abstractNumId w:val="8"/>
  </w:num>
  <w:num w:numId="12">
    <w:abstractNumId w:val="13"/>
  </w:num>
  <w:num w:numId="13">
    <w:abstractNumId w:val="5"/>
  </w:num>
  <w:num w:numId="14">
    <w:abstractNumId w:val="18"/>
  </w:num>
  <w:num w:numId="15">
    <w:abstractNumId w:val="28"/>
  </w:num>
  <w:num w:numId="16">
    <w:abstractNumId w:val="19"/>
  </w:num>
  <w:num w:numId="17">
    <w:abstractNumId w:val="24"/>
  </w:num>
  <w:num w:numId="18">
    <w:abstractNumId w:val="23"/>
  </w:num>
  <w:num w:numId="19">
    <w:abstractNumId w:val="21"/>
  </w:num>
  <w:num w:numId="20">
    <w:abstractNumId w:val="11"/>
  </w:num>
  <w:num w:numId="21">
    <w:abstractNumId w:val="25"/>
  </w:num>
  <w:num w:numId="22">
    <w:abstractNumId w:val="2"/>
  </w:num>
  <w:num w:numId="23">
    <w:abstractNumId w:val="33"/>
  </w:num>
  <w:num w:numId="24">
    <w:abstractNumId w:val="15"/>
  </w:num>
  <w:num w:numId="25">
    <w:abstractNumId w:val="4"/>
  </w:num>
  <w:num w:numId="26">
    <w:abstractNumId w:val="0"/>
  </w:num>
  <w:num w:numId="27">
    <w:abstractNumId w:val="10"/>
  </w:num>
  <w:num w:numId="28">
    <w:abstractNumId w:val="3"/>
  </w:num>
  <w:num w:numId="29">
    <w:abstractNumId w:val="16"/>
  </w:num>
  <w:num w:numId="30">
    <w:abstractNumId w:val="30"/>
  </w:num>
  <w:num w:numId="31">
    <w:abstractNumId w:val="6"/>
  </w:num>
  <w:num w:numId="32">
    <w:abstractNumId w:val="12"/>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467E"/>
    <w:rsid w:val="000050D8"/>
    <w:rsid w:val="0000517F"/>
    <w:rsid w:val="000119F9"/>
    <w:rsid w:val="000134BB"/>
    <w:rsid w:val="0001614F"/>
    <w:rsid w:val="00024531"/>
    <w:rsid w:val="000246DF"/>
    <w:rsid w:val="000267DD"/>
    <w:rsid w:val="00026CC2"/>
    <w:rsid w:val="000302DA"/>
    <w:rsid w:val="00032BE2"/>
    <w:rsid w:val="000356F0"/>
    <w:rsid w:val="00036B6B"/>
    <w:rsid w:val="0004202D"/>
    <w:rsid w:val="000420F8"/>
    <w:rsid w:val="00042A25"/>
    <w:rsid w:val="00043B38"/>
    <w:rsid w:val="000478D8"/>
    <w:rsid w:val="00054781"/>
    <w:rsid w:val="00055015"/>
    <w:rsid w:val="00055BD3"/>
    <w:rsid w:val="0006093F"/>
    <w:rsid w:val="000640FB"/>
    <w:rsid w:val="00071D7D"/>
    <w:rsid w:val="00075532"/>
    <w:rsid w:val="00075868"/>
    <w:rsid w:val="00081501"/>
    <w:rsid w:val="00081800"/>
    <w:rsid w:val="00085C1C"/>
    <w:rsid w:val="00090557"/>
    <w:rsid w:val="000922E6"/>
    <w:rsid w:val="000924DC"/>
    <w:rsid w:val="0009595A"/>
    <w:rsid w:val="000A05C4"/>
    <w:rsid w:val="000A082D"/>
    <w:rsid w:val="000A487D"/>
    <w:rsid w:val="000A540E"/>
    <w:rsid w:val="000A54DB"/>
    <w:rsid w:val="000A6375"/>
    <w:rsid w:val="000B08F9"/>
    <w:rsid w:val="000B3F39"/>
    <w:rsid w:val="000B4317"/>
    <w:rsid w:val="000B4875"/>
    <w:rsid w:val="000B5021"/>
    <w:rsid w:val="000B5222"/>
    <w:rsid w:val="000B5CF6"/>
    <w:rsid w:val="000B671C"/>
    <w:rsid w:val="000B6E40"/>
    <w:rsid w:val="000C52CE"/>
    <w:rsid w:val="000C6737"/>
    <w:rsid w:val="000C6BF6"/>
    <w:rsid w:val="000C72E3"/>
    <w:rsid w:val="000C73AA"/>
    <w:rsid w:val="000D44BA"/>
    <w:rsid w:val="000D4C44"/>
    <w:rsid w:val="000D717A"/>
    <w:rsid w:val="000D7417"/>
    <w:rsid w:val="000E4F74"/>
    <w:rsid w:val="000E6B06"/>
    <w:rsid w:val="000E78F3"/>
    <w:rsid w:val="000F07D4"/>
    <w:rsid w:val="000F671E"/>
    <w:rsid w:val="001026FE"/>
    <w:rsid w:val="00104D8A"/>
    <w:rsid w:val="0010738F"/>
    <w:rsid w:val="00113736"/>
    <w:rsid w:val="00113A02"/>
    <w:rsid w:val="00113C43"/>
    <w:rsid w:val="0011400B"/>
    <w:rsid w:val="00116A2D"/>
    <w:rsid w:val="0011714B"/>
    <w:rsid w:val="00117F9B"/>
    <w:rsid w:val="00131A41"/>
    <w:rsid w:val="00142A3E"/>
    <w:rsid w:val="00142BE0"/>
    <w:rsid w:val="001436F0"/>
    <w:rsid w:val="00143703"/>
    <w:rsid w:val="00150CAE"/>
    <w:rsid w:val="001526BF"/>
    <w:rsid w:val="00154D89"/>
    <w:rsid w:val="00155E3B"/>
    <w:rsid w:val="001568D3"/>
    <w:rsid w:val="001578E8"/>
    <w:rsid w:val="00161160"/>
    <w:rsid w:val="00162695"/>
    <w:rsid w:val="00163FCA"/>
    <w:rsid w:val="001641CD"/>
    <w:rsid w:val="00170001"/>
    <w:rsid w:val="00173DD4"/>
    <w:rsid w:val="00175BF7"/>
    <w:rsid w:val="00175E0C"/>
    <w:rsid w:val="00177C5E"/>
    <w:rsid w:val="001817CF"/>
    <w:rsid w:val="00182D1B"/>
    <w:rsid w:val="0018369E"/>
    <w:rsid w:val="00184A1D"/>
    <w:rsid w:val="00185525"/>
    <w:rsid w:val="00185918"/>
    <w:rsid w:val="001A77A0"/>
    <w:rsid w:val="001B41A2"/>
    <w:rsid w:val="001B4749"/>
    <w:rsid w:val="001B7485"/>
    <w:rsid w:val="001C0BCD"/>
    <w:rsid w:val="001C0DF0"/>
    <w:rsid w:val="001C1834"/>
    <w:rsid w:val="001C1F68"/>
    <w:rsid w:val="001C3BA4"/>
    <w:rsid w:val="001C6223"/>
    <w:rsid w:val="001C6B00"/>
    <w:rsid w:val="001D5631"/>
    <w:rsid w:val="001D5A3E"/>
    <w:rsid w:val="001D64D0"/>
    <w:rsid w:val="001D6B94"/>
    <w:rsid w:val="001E15D2"/>
    <w:rsid w:val="001E1EF3"/>
    <w:rsid w:val="001E4169"/>
    <w:rsid w:val="001E51CF"/>
    <w:rsid w:val="001F0766"/>
    <w:rsid w:val="001F0C82"/>
    <w:rsid w:val="001F272C"/>
    <w:rsid w:val="001F2DA2"/>
    <w:rsid w:val="001F3106"/>
    <w:rsid w:val="001F4278"/>
    <w:rsid w:val="001F66DA"/>
    <w:rsid w:val="00200749"/>
    <w:rsid w:val="002042B1"/>
    <w:rsid w:val="0020584F"/>
    <w:rsid w:val="0020717D"/>
    <w:rsid w:val="00207396"/>
    <w:rsid w:val="002134C8"/>
    <w:rsid w:val="00215555"/>
    <w:rsid w:val="00221025"/>
    <w:rsid w:val="00221157"/>
    <w:rsid w:val="00221DFE"/>
    <w:rsid w:val="00222A8C"/>
    <w:rsid w:val="00225981"/>
    <w:rsid w:val="00233076"/>
    <w:rsid w:val="00235A78"/>
    <w:rsid w:val="00237C0A"/>
    <w:rsid w:val="00240508"/>
    <w:rsid w:val="00241DE1"/>
    <w:rsid w:val="002424F4"/>
    <w:rsid w:val="0024332A"/>
    <w:rsid w:val="002454C0"/>
    <w:rsid w:val="002470AE"/>
    <w:rsid w:val="002529AF"/>
    <w:rsid w:val="00254277"/>
    <w:rsid w:val="00256746"/>
    <w:rsid w:val="00256941"/>
    <w:rsid w:val="00256D20"/>
    <w:rsid w:val="0025776D"/>
    <w:rsid w:val="00262542"/>
    <w:rsid w:val="00264674"/>
    <w:rsid w:val="0026542E"/>
    <w:rsid w:val="00266C1E"/>
    <w:rsid w:val="00266F4F"/>
    <w:rsid w:val="00271A88"/>
    <w:rsid w:val="00272E58"/>
    <w:rsid w:val="00277D9C"/>
    <w:rsid w:val="0028176B"/>
    <w:rsid w:val="002824A4"/>
    <w:rsid w:val="00283C1F"/>
    <w:rsid w:val="002862F0"/>
    <w:rsid w:val="00291A4D"/>
    <w:rsid w:val="002921D7"/>
    <w:rsid w:val="0029283B"/>
    <w:rsid w:val="002A08A1"/>
    <w:rsid w:val="002A08E3"/>
    <w:rsid w:val="002A1A49"/>
    <w:rsid w:val="002A2E64"/>
    <w:rsid w:val="002A3472"/>
    <w:rsid w:val="002B03F0"/>
    <w:rsid w:val="002B6DFC"/>
    <w:rsid w:val="002B773E"/>
    <w:rsid w:val="002B7B83"/>
    <w:rsid w:val="002B7CD4"/>
    <w:rsid w:val="002C1F49"/>
    <w:rsid w:val="002C2975"/>
    <w:rsid w:val="002C6AF2"/>
    <w:rsid w:val="002D18F6"/>
    <w:rsid w:val="002D5075"/>
    <w:rsid w:val="002D66B7"/>
    <w:rsid w:val="002D72DB"/>
    <w:rsid w:val="002D785A"/>
    <w:rsid w:val="002E01D4"/>
    <w:rsid w:val="002E3296"/>
    <w:rsid w:val="002E49E4"/>
    <w:rsid w:val="002E4EFF"/>
    <w:rsid w:val="002E64CC"/>
    <w:rsid w:val="002F34EC"/>
    <w:rsid w:val="002F41D7"/>
    <w:rsid w:val="002F4B6E"/>
    <w:rsid w:val="002F562F"/>
    <w:rsid w:val="002F5833"/>
    <w:rsid w:val="002F75C3"/>
    <w:rsid w:val="002F7A8A"/>
    <w:rsid w:val="0030079B"/>
    <w:rsid w:val="003068DC"/>
    <w:rsid w:val="0030727B"/>
    <w:rsid w:val="0031008F"/>
    <w:rsid w:val="00310AF2"/>
    <w:rsid w:val="00311A9B"/>
    <w:rsid w:val="00311BE2"/>
    <w:rsid w:val="00311F6E"/>
    <w:rsid w:val="003120F3"/>
    <w:rsid w:val="00314466"/>
    <w:rsid w:val="0031486E"/>
    <w:rsid w:val="00317FFD"/>
    <w:rsid w:val="00321136"/>
    <w:rsid w:val="003211E0"/>
    <w:rsid w:val="003231E8"/>
    <w:rsid w:val="00325617"/>
    <w:rsid w:val="00326B55"/>
    <w:rsid w:val="00331FFE"/>
    <w:rsid w:val="00336DAF"/>
    <w:rsid w:val="00347E4A"/>
    <w:rsid w:val="003503A4"/>
    <w:rsid w:val="00357F18"/>
    <w:rsid w:val="00362793"/>
    <w:rsid w:val="00364B8A"/>
    <w:rsid w:val="003657A8"/>
    <w:rsid w:val="00373514"/>
    <w:rsid w:val="003769CF"/>
    <w:rsid w:val="00380353"/>
    <w:rsid w:val="003804E5"/>
    <w:rsid w:val="00381E82"/>
    <w:rsid w:val="0038730A"/>
    <w:rsid w:val="00390761"/>
    <w:rsid w:val="003908A7"/>
    <w:rsid w:val="0039294E"/>
    <w:rsid w:val="00393DF8"/>
    <w:rsid w:val="00395F4D"/>
    <w:rsid w:val="00396E18"/>
    <w:rsid w:val="003970C5"/>
    <w:rsid w:val="003A078C"/>
    <w:rsid w:val="003A1B4E"/>
    <w:rsid w:val="003A231E"/>
    <w:rsid w:val="003A3282"/>
    <w:rsid w:val="003A3EB1"/>
    <w:rsid w:val="003A447A"/>
    <w:rsid w:val="003A5104"/>
    <w:rsid w:val="003B0716"/>
    <w:rsid w:val="003B50E0"/>
    <w:rsid w:val="003B6B0B"/>
    <w:rsid w:val="003C0286"/>
    <w:rsid w:val="003C2E70"/>
    <w:rsid w:val="003C3080"/>
    <w:rsid w:val="003D04BF"/>
    <w:rsid w:val="003D3F70"/>
    <w:rsid w:val="003D4BAD"/>
    <w:rsid w:val="003D7CCD"/>
    <w:rsid w:val="003E121F"/>
    <w:rsid w:val="003E4DE3"/>
    <w:rsid w:val="003E7DA6"/>
    <w:rsid w:val="003F3DA4"/>
    <w:rsid w:val="003F4680"/>
    <w:rsid w:val="003F4CC3"/>
    <w:rsid w:val="003F7457"/>
    <w:rsid w:val="004008F7"/>
    <w:rsid w:val="004008F9"/>
    <w:rsid w:val="00400FE4"/>
    <w:rsid w:val="004037B9"/>
    <w:rsid w:val="00403BEE"/>
    <w:rsid w:val="00404503"/>
    <w:rsid w:val="00405FB6"/>
    <w:rsid w:val="004061EE"/>
    <w:rsid w:val="00406CE6"/>
    <w:rsid w:val="00406EE4"/>
    <w:rsid w:val="00410A43"/>
    <w:rsid w:val="00417C28"/>
    <w:rsid w:val="004206BC"/>
    <w:rsid w:val="004236D7"/>
    <w:rsid w:val="0042469A"/>
    <w:rsid w:val="0042692C"/>
    <w:rsid w:val="00433FD8"/>
    <w:rsid w:val="00435F3C"/>
    <w:rsid w:val="004403A0"/>
    <w:rsid w:val="00441245"/>
    <w:rsid w:val="00441C62"/>
    <w:rsid w:val="0044413D"/>
    <w:rsid w:val="004455AB"/>
    <w:rsid w:val="00446E9C"/>
    <w:rsid w:val="00447155"/>
    <w:rsid w:val="00452962"/>
    <w:rsid w:val="00453AC1"/>
    <w:rsid w:val="00460FCD"/>
    <w:rsid w:val="00461500"/>
    <w:rsid w:val="00465BCD"/>
    <w:rsid w:val="004679E0"/>
    <w:rsid w:val="00470937"/>
    <w:rsid w:val="004733FE"/>
    <w:rsid w:val="00474279"/>
    <w:rsid w:val="00475B2F"/>
    <w:rsid w:val="004772CA"/>
    <w:rsid w:val="00477364"/>
    <w:rsid w:val="00480AD3"/>
    <w:rsid w:val="004819AF"/>
    <w:rsid w:val="004822B5"/>
    <w:rsid w:val="00484F4B"/>
    <w:rsid w:val="0048655B"/>
    <w:rsid w:val="00492F0B"/>
    <w:rsid w:val="00496739"/>
    <w:rsid w:val="004A3FB3"/>
    <w:rsid w:val="004A6183"/>
    <w:rsid w:val="004A6467"/>
    <w:rsid w:val="004A651D"/>
    <w:rsid w:val="004A7C46"/>
    <w:rsid w:val="004A7FDB"/>
    <w:rsid w:val="004B07EC"/>
    <w:rsid w:val="004B1248"/>
    <w:rsid w:val="004B2918"/>
    <w:rsid w:val="004B45D3"/>
    <w:rsid w:val="004B5F16"/>
    <w:rsid w:val="004B6611"/>
    <w:rsid w:val="004B6C95"/>
    <w:rsid w:val="004B7AB0"/>
    <w:rsid w:val="004C0051"/>
    <w:rsid w:val="004D2E86"/>
    <w:rsid w:val="004D2FC7"/>
    <w:rsid w:val="004D39B4"/>
    <w:rsid w:val="004D3F0A"/>
    <w:rsid w:val="004D4F66"/>
    <w:rsid w:val="004D57BD"/>
    <w:rsid w:val="004E0301"/>
    <w:rsid w:val="004E10D6"/>
    <w:rsid w:val="004E2A70"/>
    <w:rsid w:val="004F0481"/>
    <w:rsid w:val="004F2490"/>
    <w:rsid w:val="004F4CF7"/>
    <w:rsid w:val="004F6182"/>
    <w:rsid w:val="004F7C65"/>
    <w:rsid w:val="005023DF"/>
    <w:rsid w:val="00507AED"/>
    <w:rsid w:val="00511643"/>
    <w:rsid w:val="00511E7A"/>
    <w:rsid w:val="00515974"/>
    <w:rsid w:val="00515FE2"/>
    <w:rsid w:val="00517EF9"/>
    <w:rsid w:val="005206A6"/>
    <w:rsid w:val="00521E65"/>
    <w:rsid w:val="00523BBE"/>
    <w:rsid w:val="00524C18"/>
    <w:rsid w:val="00525B31"/>
    <w:rsid w:val="00527F72"/>
    <w:rsid w:val="0053140A"/>
    <w:rsid w:val="00532C10"/>
    <w:rsid w:val="00532DCE"/>
    <w:rsid w:val="00537EA4"/>
    <w:rsid w:val="005412A9"/>
    <w:rsid w:val="005433BA"/>
    <w:rsid w:val="00544A10"/>
    <w:rsid w:val="00545BA2"/>
    <w:rsid w:val="00546505"/>
    <w:rsid w:val="00546A1D"/>
    <w:rsid w:val="00550A2B"/>
    <w:rsid w:val="00551B5D"/>
    <w:rsid w:val="00554657"/>
    <w:rsid w:val="00555346"/>
    <w:rsid w:val="00557074"/>
    <w:rsid w:val="00557BC0"/>
    <w:rsid w:val="00560BDB"/>
    <w:rsid w:val="005628F3"/>
    <w:rsid w:val="00564D70"/>
    <w:rsid w:val="0056549E"/>
    <w:rsid w:val="00566B94"/>
    <w:rsid w:val="0056720E"/>
    <w:rsid w:val="005700C3"/>
    <w:rsid w:val="00577AEF"/>
    <w:rsid w:val="005807B1"/>
    <w:rsid w:val="00581473"/>
    <w:rsid w:val="00584205"/>
    <w:rsid w:val="005845DF"/>
    <w:rsid w:val="0059110E"/>
    <w:rsid w:val="0059255D"/>
    <w:rsid w:val="0059742E"/>
    <w:rsid w:val="00597843"/>
    <w:rsid w:val="005A0AB4"/>
    <w:rsid w:val="005A145E"/>
    <w:rsid w:val="005A2444"/>
    <w:rsid w:val="005A3C24"/>
    <w:rsid w:val="005B3BDE"/>
    <w:rsid w:val="005B3CDD"/>
    <w:rsid w:val="005B48E4"/>
    <w:rsid w:val="005B7F5B"/>
    <w:rsid w:val="005C1C30"/>
    <w:rsid w:val="005C3C1F"/>
    <w:rsid w:val="005C7A8A"/>
    <w:rsid w:val="005C7BA4"/>
    <w:rsid w:val="005D0425"/>
    <w:rsid w:val="005D240A"/>
    <w:rsid w:val="005D394C"/>
    <w:rsid w:val="005E1954"/>
    <w:rsid w:val="005E274A"/>
    <w:rsid w:val="005E307F"/>
    <w:rsid w:val="005E5037"/>
    <w:rsid w:val="005E5E00"/>
    <w:rsid w:val="005E6F7F"/>
    <w:rsid w:val="005E7ACD"/>
    <w:rsid w:val="005F27E3"/>
    <w:rsid w:val="005F35B1"/>
    <w:rsid w:val="005F66C6"/>
    <w:rsid w:val="005F6F11"/>
    <w:rsid w:val="00601D45"/>
    <w:rsid w:val="00602A9D"/>
    <w:rsid w:val="006033CD"/>
    <w:rsid w:val="00603802"/>
    <w:rsid w:val="00607251"/>
    <w:rsid w:val="00611356"/>
    <w:rsid w:val="006120E5"/>
    <w:rsid w:val="00614A19"/>
    <w:rsid w:val="00620184"/>
    <w:rsid w:val="0062040B"/>
    <w:rsid w:val="006218B3"/>
    <w:rsid w:val="00627726"/>
    <w:rsid w:val="00631585"/>
    <w:rsid w:val="0063163F"/>
    <w:rsid w:val="00640888"/>
    <w:rsid w:val="00640E7A"/>
    <w:rsid w:val="006423A3"/>
    <w:rsid w:val="00644818"/>
    <w:rsid w:val="00644DA1"/>
    <w:rsid w:val="00644F57"/>
    <w:rsid w:val="00645059"/>
    <w:rsid w:val="006450CB"/>
    <w:rsid w:val="00646805"/>
    <w:rsid w:val="0064684C"/>
    <w:rsid w:val="00647C4A"/>
    <w:rsid w:val="0065105A"/>
    <w:rsid w:val="00652C1E"/>
    <w:rsid w:val="00655EF3"/>
    <w:rsid w:val="00661A67"/>
    <w:rsid w:val="00663EA2"/>
    <w:rsid w:val="0066462D"/>
    <w:rsid w:val="006724DA"/>
    <w:rsid w:val="00673F96"/>
    <w:rsid w:val="00675ED2"/>
    <w:rsid w:val="00677431"/>
    <w:rsid w:val="00680E5E"/>
    <w:rsid w:val="00680EE7"/>
    <w:rsid w:val="00681A2B"/>
    <w:rsid w:val="00682B33"/>
    <w:rsid w:val="006830C6"/>
    <w:rsid w:val="00691B74"/>
    <w:rsid w:val="00694093"/>
    <w:rsid w:val="0069683E"/>
    <w:rsid w:val="006976A8"/>
    <w:rsid w:val="00697865"/>
    <w:rsid w:val="006A1CA8"/>
    <w:rsid w:val="006A3B01"/>
    <w:rsid w:val="006A41E0"/>
    <w:rsid w:val="006A5097"/>
    <w:rsid w:val="006A6655"/>
    <w:rsid w:val="006A6B4D"/>
    <w:rsid w:val="006A7764"/>
    <w:rsid w:val="006B2EF8"/>
    <w:rsid w:val="006B3461"/>
    <w:rsid w:val="006B5D70"/>
    <w:rsid w:val="006B6D73"/>
    <w:rsid w:val="006C1B51"/>
    <w:rsid w:val="006C2F1A"/>
    <w:rsid w:val="006C735F"/>
    <w:rsid w:val="006C77DC"/>
    <w:rsid w:val="006D1159"/>
    <w:rsid w:val="006D1285"/>
    <w:rsid w:val="006D7B4B"/>
    <w:rsid w:val="006D7EE9"/>
    <w:rsid w:val="006E090B"/>
    <w:rsid w:val="006F24BE"/>
    <w:rsid w:val="006F2E52"/>
    <w:rsid w:val="006F5181"/>
    <w:rsid w:val="00717461"/>
    <w:rsid w:val="00717CB9"/>
    <w:rsid w:val="0072109B"/>
    <w:rsid w:val="00722CD9"/>
    <w:rsid w:val="00726880"/>
    <w:rsid w:val="00726EBC"/>
    <w:rsid w:val="00730801"/>
    <w:rsid w:val="00730DB3"/>
    <w:rsid w:val="00731058"/>
    <w:rsid w:val="0073220B"/>
    <w:rsid w:val="00732728"/>
    <w:rsid w:val="00732E27"/>
    <w:rsid w:val="00733A2B"/>
    <w:rsid w:val="00735D88"/>
    <w:rsid w:val="0073667B"/>
    <w:rsid w:val="00740677"/>
    <w:rsid w:val="00740BBE"/>
    <w:rsid w:val="00742F6A"/>
    <w:rsid w:val="0074323B"/>
    <w:rsid w:val="00743F5D"/>
    <w:rsid w:val="0074437B"/>
    <w:rsid w:val="007461E5"/>
    <w:rsid w:val="00750F46"/>
    <w:rsid w:val="007512CA"/>
    <w:rsid w:val="00753A4C"/>
    <w:rsid w:val="00756B81"/>
    <w:rsid w:val="007640F8"/>
    <w:rsid w:val="00772DD2"/>
    <w:rsid w:val="00772F40"/>
    <w:rsid w:val="00773654"/>
    <w:rsid w:val="00776284"/>
    <w:rsid w:val="00777F46"/>
    <w:rsid w:val="007800A3"/>
    <w:rsid w:val="0078125B"/>
    <w:rsid w:val="00782570"/>
    <w:rsid w:val="007850A5"/>
    <w:rsid w:val="0079092E"/>
    <w:rsid w:val="0079123F"/>
    <w:rsid w:val="007914CC"/>
    <w:rsid w:val="00793773"/>
    <w:rsid w:val="00794168"/>
    <w:rsid w:val="0079425B"/>
    <w:rsid w:val="0079654A"/>
    <w:rsid w:val="007965E9"/>
    <w:rsid w:val="007972F1"/>
    <w:rsid w:val="007A4350"/>
    <w:rsid w:val="007A511B"/>
    <w:rsid w:val="007A6492"/>
    <w:rsid w:val="007B234B"/>
    <w:rsid w:val="007B4064"/>
    <w:rsid w:val="007B7587"/>
    <w:rsid w:val="007C0D20"/>
    <w:rsid w:val="007C1E38"/>
    <w:rsid w:val="007C354C"/>
    <w:rsid w:val="007C413D"/>
    <w:rsid w:val="007C4619"/>
    <w:rsid w:val="007C6ACC"/>
    <w:rsid w:val="007D2F6E"/>
    <w:rsid w:val="007D351B"/>
    <w:rsid w:val="007D6123"/>
    <w:rsid w:val="007D7C96"/>
    <w:rsid w:val="007E2133"/>
    <w:rsid w:val="007E3C16"/>
    <w:rsid w:val="007F161B"/>
    <w:rsid w:val="007F35F9"/>
    <w:rsid w:val="007F7787"/>
    <w:rsid w:val="007F793E"/>
    <w:rsid w:val="007F7E21"/>
    <w:rsid w:val="00803495"/>
    <w:rsid w:val="00805C0D"/>
    <w:rsid w:val="00806649"/>
    <w:rsid w:val="00811879"/>
    <w:rsid w:val="00811EA0"/>
    <w:rsid w:val="00812090"/>
    <w:rsid w:val="00813721"/>
    <w:rsid w:val="00815726"/>
    <w:rsid w:val="00820810"/>
    <w:rsid w:val="00820F6B"/>
    <w:rsid w:val="00826F90"/>
    <w:rsid w:val="00827A72"/>
    <w:rsid w:val="00833594"/>
    <w:rsid w:val="00833811"/>
    <w:rsid w:val="00834C93"/>
    <w:rsid w:val="00835172"/>
    <w:rsid w:val="00835D4A"/>
    <w:rsid w:val="00840F60"/>
    <w:rsid w:val="008449F0"/>
    <w:rsid w:val="0084629D"/>
    <w:rsid w:val="008476AC"/>
    <w:rsid w:val="00850221"/>
    <w:rsid w:val="0085156E"/>
    <w:rsid w:val="008522EE"/>
    <w:rsid w:val="00852CD4"/>
    <w:rsid w:val="00860A10"/>
    <w:rsid w:val="00862199"/>
    <w:rsid w:val="008628C9"/>
    <w:rsid w:val="0086366B"/>
    <w:rsid w:val="00865117"/>
    <w:rsid w:val="00865964"/>
    <w:rsid w:val="00867940"/>
    <w:rsid w:val="008703F3"/>
    <w:rsid w:val="00870836"/>
    <w:rsid w:val="0087212C"/>
    <w:rsid w:val="008731AA"/>
    <w:rsid w:val="008743FE"/>
    <w:rsid w:val="00875386"/>
    <w:rsid w:val="0088233A"/>
    <w:rsid w:val="00885319"/>
    <w:rsid w:val="0088631B"/>
    <w:rsid w:val="008874B5"/>
    <w:rsid w:val="00887706"/>
    <w:rsid w:val="008926A8"/>
    <w:rsid w:val="00894278"/>
    <w:rsid w:val="008A2C68"/>
    <w:rsid w:val="008A72CD"/>
    <w:rsid w:val="008A7E91"/>
    <w:rsid w:val="008B299E"/>
    <w:rsid w:val="008B2D92"/>
    <w:rsid w:val="008B371C"/>
    <w:rsid w:val="008B3965"/>
    <w:rsid w:val="008B3ADF"/>
    <w:rsid w:val="008B420F"/>
    <w:rsid w:val="008B6E78"/>
    <w:rsid w:val="008C180D"/>
    <w:rsid w:val="008C27C4"/>
    <w:rsid w:val="008C33CE"/>
    <w:rsid w:val="008C3664"/>
    <w:rsid w:val="008C60D6"/>
    <w:rsid w:val="008C652B"/>
    <w:rsid w:val="008C77AD"/>
    <w:rsid w:val="008C7DED"/>
    <w:rsid w:val="008D0859"/>
    <w:rsid w:val="008D339F"/>
    <w:rsid w:val="008D3413"/>
    <w:rsid w:val="008D4C08"/>
    <w:rsid w:val="008D53B6"/>
    <w:rsid w:val="008D5C47"/>
    <w:rsid w:val="008E09FA"/>
    <w:rsid w:val="008E1D24"/>
    <w:rsid w:val="008E5AA1"/>
    <w:rsid w:val="008E5DD7"/>
    <w:rsid w:val="008F02D9"/>
    <w:rsid w:val="008F0968"/>
    <w:rsid w:val="008F2E43"/>
    <w:rsid w:val="008F2FE8"/>
    <w:rsid w:val="008F30FC"/>
    <w:rsid w:val="008F3D8B"/>
    <w:rsid w:val="008F40D6"/>
    <w:rsid w:val="008F529B"/>
    <w:rsid w:val="009002AE"/>
    <w:rsid w:val="00900D06"/>
    <w:rsid w:val="00902DD7"/>
    <w:rsid w:val="00904A38"/>
    <w:rsid w:val="00904AE4"/>
    <w:rsid w:val="00905573"/>
    <w:rsid w:val="00913906"/>
    <w:rsid w:val="0091416C"/>
    <w:rsid w:val="00917B7D"/>
    <w:rsid w:val="009203AB"/>
    <w:rsid w:val="00920AC1"/>
    <w:rsid w:val="00921A19"/>
    <w:rsid w:val="0092378B"/>
    <w:rsid w:val="00924247"/>
    <w:rsid w:val="00930F16"/>
    <w:rsid w:val="00933773"/>
    <w:rsid w:val="0093396E"/>
    <w:rsid w:val="00933FBD"/>
    <w:rsid w:val="009363CF"/>
    <w:rsid w:val="00937120"/>
    <w:rsid w:val="009373B3"/>
    <w:rsid w:val="00940C9E"/>
    <w:rsid w:val="00941B41"/>
    <w:rsid w:val="00942390"/>
    <w:rsid w:val="00943BA7"/>
    <w:rsid w:val="009465D3"/>
    <w:rsid w:val="00952DE2"/>
    <w:rsid w:val="009544FF"/>
    <w:rsid w:val="00957816"/>
    <w:rsid w:val="00957A85"/>
    <w:rsid w:val="00961433"/>
    <w:rsid w:val="00961FBF"/>
    <w:rsid w:val="009627E6"/>
    <w:rsid w:val="00971759"/>
    <w:rsid w:val="00973306"/>
    <w:rsid w:val="00973FBD"/>
    <w:rsid w:val="00980C8A"/>
    <w:rsid w:val="00980CA6"/>
    <w:rsid w:val="0098486F"/>
    <w:rsid w:val="0098647F"/>
    <w:rsid w:val="0099064A"/>
    <w:rsid w:val="009907B4"/>
    <w:rsid w:val="00991249"/>
    <w:rsid w:val="00992539"/>
    <w:rsid w:val="00996FB1"/>
    <w:rsid w:val="00997569"/>
    <w:rsid w:val="009A004A"/>
    <w:rsid w:val="009A03DB"/>
    <w:rsid w:val="009A0AE7"/>
    <w:rsid w:val="009A2FCF"/>
    <w:rsid w:val="009A4320"/>
    <w:rsid w:val="009A4DB4"/>
    <w:rsid w:val="009A64FF"/>
    <w:rsid w:val="009B1F42"/>
    <w:rsid w:val="009B6EE6"/>
    <w:rsid w:val="009C0CE9"/>
    <w:rsid w:val="009C19B0"/>
    <w:rsid w:val="009C1EDA"/>
    <w:rsid w:val="009C284E"/>
    <w:rsid w:val="009C3227"/>
    <w:rsid w:val="009C4088"/>
    <w:rsid w:val="009C4795"/>
    <w:rsid w:val="009C47ED"/>
    <w:rsid w:val="009C4940"/>
    <w:rsid w:val="009C6D57"/>
    <w:rsid w:val="009D32DE"/>
    <w:rsid w:val="009D34D4"/>
    <w:rsid w:val="009E0AB1"/>
    <w:rsid w:val="009E0B99"/>
    <w:rsid w:val="009E239E"/>
    <w:rsid w:val="009E2D4D"/>
    <w:rsid w:val="009F0589"/>
    <w:rsid w:val="009F184C"/>
    <w:rsid w:val="009F3056"/>
    <w:rsid w:val="009F3AC6"/>
    <w:rsid w:val="009F6011"/>
    <w:rsid w:val="00A022CD"/>
    <w:rsid w:val="00A029B1"/>
    <w:rsid w:val="00A03E6C"/>
    <w:rsid w:val="00A1015D"/>
    <w:rsid w:val="00A12EE0"/>
    <w:rsid w:val="00A14FB5"/>
    <w:rsid w:val="00A16EF1"/>
    <w:rsid w:val="00A17950"/>
    <w:rsid w:val="00A20CAD"/>
    <w:rsid w:val="00A24132"/>
    <w:rsid w:val="00A24204"/>
    <w:rsid w:val="00A26D96"/>
    <w:rsid w:val="00A317FF"/>
    <w:rsid w:val="00A32D0D"/>
    <w:rsid w:val="00A362F4"/>
    <w:rsid w:val="00A4040F"/>
    <w:rsid w:val="00A41008"/>
    <w:rsid w:val="00A433C7"/>
    <w:rsid w:val="00A439DA"/>
    <w:rsid w:val="00A44054"/>
    <w:rsid w:val="00A45FA7"/>
    <w:rsid w:val="00A516BC"/>
    <w:rsid w:val="00A518FC"/>
    <w:rsid w:val="00A52A22"/>
    <w:rsid w:val="00A53D65"/>
    <w:rsid w:val="00A542FF"/>
    <w:rsid w:val="00A57939"/>
    <w:rsid w:val="00A623D1"/>
    <w:rsid w:val="00A65478"/>
    <w:rsid w:val="00A71C22"/>
    <w:rsid w:val="00A73783"/>
    <w:rsid w:val="00A742DE"/>
    <w:rsid w:val="00A85954"/>
    <w:rsid w:val="00A8726A"/>
    <w:rsid w:val="00A87452"/>
    <w:rsid w:val="00A879D4"/>
    <w:rsid w:val="00A91F63"/>
    <w:rsid w:val="00A97638"/>
    <w:rsid w:val="00A978A9"/>
    <w:rsid w:val="00AA1F1D"/>
    <w:rsid w:val="00AA7BD1"/>
    <w:rsid w:val="00AB101C"/>
    <w:rsid w:val="00AB3322"/>
    <w:rsid w:val="00AB60C9"/>
    <w:rsid w:val="00AC4A11"/>
    <w:rsid w:val="00AC5382"/>
    <w:rsid w:val="00AC6FE7"/>
    <w:rsid w:val="00AD0967"/>
    <w:rsid w:val="00AD09F7"/>
    <w:rsid w:val="00AD29DC"/>
    <w:rsid w:val="00AD3F88"/>
    <w:rsid w:val="00AD464C"/>
    <w:rsid w:val="00AE1639"/>
    <w:rsid w:val="00AE1D3D"/>
    <w:rsid w:val="00AE1DD2"/>
    <w:rsid w:val="00AE2FAB"/>
    <w:rsid w:val="00AE3731"/>
    <w:rsid w:val="00AF07B7"/>
    <w:rsid w:val="00AF35BB"/>
    <w:rsid w:val="00AF7943"/>
    <w:rsid w:val="00B00B2F"/>
    <w:rsid w:val="00B07EB9"/>
    <w:rsid w:val="00B10246"/>
    <w:rsid w:val="00B10435"/>
    <w:rsid w:val="00B11516"/>
    <w:rsid w:val="00B14C9F"/>
    <w:rsid w:val="00B1516A"/>
    <w:rsid w:val="00B153A3"/>
    <w:rsid w:val="00B164A0"/>
    <w:rsid w:val="00B1772F"/>
    <w:rsid w:val="00B232C8"/>
    <w:rsid w:val="00B234AA"/>
    <w:rsid w:val="00B2473C"/>
    <w:rsid w:val="00B254D2"/>
    <w:rsid w:val="00B3005E"/>
    <w:rsid w:val="00B3061D"/>
    <w:rsid w:val="00B319DA"/>
    <w:rsid w:val="00B40830"/>
    <w:rsid w:val="00B41071"/>
    <w:rsid w:val="00B4126D"/>
    <w:rsid w:val="00B41F1E"/>
    <w:rsid w:val="00B43045"/>
    <w:rsid w:val="00B4349F"/>
    <w:rsid w:val="00B45977"/>
    <w:rsid w:val="00B47ED3"/>
    <w:rsid w:val="00B51D01"/>
    <w:rsid w:val="00B53BAA"/>
    <w:rsid w:val="00B54C85"/>
    <w:rsid w:val="00B56447"/>
    <w:rsid w:val="00B60CA2"/>
    <w:rsid w:val="00B620FB"/>
    <w:rsid w:val="00B63F54"/>
    <w:rsid w:val="00B650EF"/>
    <w:rsid w:val="00B70B14"/>
    <w:rsid w:val="00B70E0E"/>
    <w:rsid w:val="00B73A6C"/>
    <w:rsid w:val="00B7585A"/>
    <w:rsid w:val="00B774B9"/>
    <w:rsid w:val="00B80B65"/>
    <w:rsid w:val="00B83B64"/>
    <w:rsid w:val="00B84BE7"/>
    <w:rsid w:val="00B85699"/>
    <w:rsid w:val="00B867AA"/>
    <w:rsid w:val="00B920BF"/>
    <w:rsid w:val="00B92606"/>
    <w:rsid w:val="00B93F59"/>
    <w:rsid w:val="00B9560A"/>
    <w:rsid w:val="00B96E5A"/>
    <w:rsid w:val="00B97D42"/>
    <w:rsid w:val="00B97F84"/>
    <w:rsid w:val="00BA008B"/>
    <w:rsid w:val="00BA072B"/>
    <w:rsid w:val="00BA0DB7"/>
    <w:rsid w:val="00BA20F6"/>
    <w:rsid w:val="00BA2864"/>
    <w:rsid w:val="00BA2A5F"/>
    <w:rsid w:val="00BA2CB8"/>
    <w:rsid w:val="00BA3BB4"/>
    <w:rsid w:val="00BA4E0E"/>
    <w:rsid w:val="00BA5026"/>
    <w:rsid w:val="00BA5293"/>
    <w:rsid w:val="00BA6BC2"/>
    <w:rsid w:val="00BB1479"/>
    <w:rsid w:val="00BB1D2F"/>
    <w:rsid w:val="00BC1006"/>
    <w:rsid w:val="00BC2A1A"/>
    <w:rsid w:val="00BC32F5"/>
    <w:rsid w:val="00BC3D00"/>
    <w:rsid w:val="00BC47B0"/>
    <w:rsid w:val="00BC4A1A"/>
    <w:rsid w:val="00BC7AA1"/>
    <w:rsid w:val="00BD0017"/>
    <w:rsid w:val="00BD0AB6"/>
    <w:rsid w:val="00BD1533"/>
    <w:rsid w:val="00BD312A"/>
    <w:rsid w:val="00BD68B8"/>
    <w:rsid w:val="00BE2B99"/>
    <w:rsid w:val="00BE7E56"/>
    <w:rsid w:val="00BF0272"/>
    <w:rsid w:val="00BF1A8A"/>
    <w:rsid w:val="00BF2180"/>
    <w:rsid w:val="00BF249F"/>
    <w:rsid w:val="00BF52E9"/>
    <w:rsid w:val="00BF6128"/>
    <w:rsid w:val="00C01E8E"/>
    <w:rsid w:val="00C03C3F"/>
    <w:rsid w:val="00C0487C"/>
    <w:rsid w:val="00C06578"/>
    <w:rsid w:val="00C06CEC"/>
    <w:rsid w:val="00C11331"/>
    <w:rsid w:val="00C113A0"/>
    <w:rsid w:val="00C12E28"/>
    <w:rsid w:val="00C13A7A"/>
    <w:rsid w:val="00C13FCE"/>
    <w:rsid w:val="00C14AEE"/>
    <w:rsid w:val="00C14D70"/>
    <w:rsid w:val="00C21010"/>
    <w:rsid w:val="00C253F7"/>
    <w:rsid w:val="00C25715"/>
    <w:rsid w:val="00C26DB3"/>
    <w:rsid w:val="00C3111F"/>
    <w:rsid w:val="00C33B96"/>
    <w:rsid w:val="00C37093"/>
    <w:rsid w:val="00C4083A"/>
    <w:rsid w:val="00C412C0"/>
    <w:rsid w:val="00C43C45"/>
    <w:rsid w:val="00C53C3B"/>
    <w:rsid w:val="00C55171"/>
    <w:rsid w:val="00C551D1"/>
    <w:rsid w:val="00C557CA"/>
    <w:rsid w:val="00C564F3"/>
    <w:rsid w:val="00C6420A"/>
    <w:rsid w:val="00C65F31"/>
    <w:rsid w:val="00C65FFE"/>
    <w:rsid w:val="00C67EBE"/>
    <w:rsid w:val="00C72E5F"/>
    <w:rsid w:val="00C7300E"/>
    <w:rsid w:val="00C762BE"/>
    <w:rsid w:val="00C80D5A"/>
    <w:rsid w:val="00C819E9"/>
    <w:rsid w:val="00C83C04"/>
    <w:rsid w:val="00C90484"/>
    <w:rsid w:val="00C914FA"/>
    <w:rsid w:val="00C94F58"/>
    <w:rsid w:val="00C95386"/>
    <w:rsid w:val="00C95FEB"/>
    <w:rsid w:val="00C96CDB"/>
    <w:rsid w:val="00C97279"/>
    <w:rsid w:val="00C97393"/>
    <w:rsid w:val="00CA1CE2"/>
    <w:rsid w:val="00CA3A5F"/>
    <w:rsid w:val="00CA57B6"/>
    <w:rsid w:val="00CA76D5"/>
    <w:rsid w:val="00CB37FE"/>
    <w:rsid w:val="00CB47BC"/>
    <w:rsid w:val="00CB4D65"/>
    <w:rsid w:val="00CB56CF"/>
    <w:rsid w:val="00CC110F"/>
    <w:rsid w:val="00CD1B19"/>
    <w:rsid w:val="00CD36B8"/>
    <w:rsid w:val="00CD3D19"/>
    <w:rsid w:val="00CD6520"/>
    <w:rsid w:val="00CE2597"/>
    <w:rsid w:val="00CE494C"/>
    <w:rsid w:val="00CE63CC"/>
    <w:rsid w:val="00CE6EB6"/>
    <w:rsid w:val="00CE73CB"/>
    <w:rsid w:val="00CF0BF5"/>
    <w:rsid w:val="00CF2A7F"/>
    <w:rsid w:val="00CF4DC5"/>
    <w:rsid w:val="00CF5CE5"/>
    <w:rsid w:val="00CF6D1B"/>
    <w:rsid w:val="00CF6DA4"/>
    <w:rsid w:val="00CF7231"/>
    <w:rsid w:val="00CF7286"/>
    <w:rsid w:val="00CF79E0"/>
    <w:rsid w:val="00D0128C"/>
    <w:rsid w:val="00D022BA"/>
    <w:rsid w:val="00D0464F"/>
    <w:rsid w:val="00D06E11"/>
    <w:rsid w:val="00D11590"/>
    <w:rsid w:val="00D115CA"/>
    <w:rsid w:val="00D126AD"/>
    <w:rsid w:val="00D16D45"/>
    <w:rsid w:val="00D23420"/>
    <w:rsid w:val="00D26328"/>
    <w:rsid w:val="00D27A78"/>
    <w:rsid w:val="00D30A2C"/>
    <w:rsid w:val="00D30D00"/>
    <w:rsid w:val="00D31096"/>
    <w:rsid w:val="00D33B4B"/>
    <w:rsid w:val="00D405C5"/>
    <w:rsid w:val="00D43028"/>
    <w:rsid w:val="00D45BE8"/>
    <w:rsid w:val="00D51706"/>
    <w:rsid w:val="00D51886"/>
    <w:rsid w:val="00D60656"/>
    <w:rsid w:val="00D60683"/>
    <w:rsid w:val="00D6176D"/>
    <w:rsid w:val="00D62FEE"/>
    <w:rsid w:val="00D6678C"/>
    <w:rsid w:val="00D70F76"/>
    <w:rsid w:val="00D71F62"/>
    <w:rsid w:val="00D7305B"/>
    <w:rsid w:val="00D74E5F"/>
    <w:rsid w:val="00D754CE"/>
    <w:rsid w:val="00D75FAF"/>
    <w:rsid w:val="00D7638B"/>
    <w:rsid w:val="00D77926"/>
    <w:rsid w:val="00D81D65"/>
    <w:rsid w:val="00D82045"/>
    <w:rsid w:val="00D8220D"/>
    <w:rsid w:val="00D845AE"/>
    <w:rsid w:val="00D84A65"/>
    <w:rsid w:val="00D84AB5"/>
    <w:rsid w:val="00D8529B"/>
    <w:rsid w:val="00D858DD"/>
    <w:rsid w:val="00D9362B"/>
    <w:rsid w:val="00D94713"/>
    <w:rsid w:val="00D96FDA"/>
    <w:rsid w:val="00DA32E3"/>
    <w:rsid w:val="00DA4E6B"/>
    <w:rsid w:val="00DA657A"/>
    <w:rsid w:val="00DA6825"/>
    <w:rsid w:val="00DB2BDF"/>
    <w:rsid w:val="00DB79E9"/>
    <w:rsid w:val="00DC1368"/>
    <w:rsid w:val="00DC1BAC"/>
    <w:rsid w:val="00DC224B"/>
    <w:rsid w:val="00DC227F"/>
    <w:rsid w:val="00DC5973"/>
    <w:rsid w:val="00DD0DFF"/>
    <w:rsid w:val="00DD1027"/>
    <w:rsid w:val="00DD146D"/>
    <w:rsid w:val="00DD1B9F"/>
    <w:rsid w:val="00DD2A55"/>
    <w:rsid w:val="00DD3321"/>
    <w:rsid w:val="00DD5AB4"/>
    <w:rsid w:val="00DD697B"/>
    <w:rsid w:val="00DE1D6F"/>
    <w:rsid w:val="00DE317C"/>
    <w:rsid w:val="00DF06BD"/>
    <w:rsid w:val="00DF1E79"/>
    <w:rsid w:val="00DF70B3"/>
    <w:rsid w:val="00E030C9"/>
    <w:rsid w:val="00E05057"/>
    <w:rsid w:val="00E077C4"/>
    <w:rsid w:val="00E10988"/>
    <w:rsid w:val="00E12D6B"/>
    <w:rsid w:val="00E14770"/>
    <w:rsid w:val="00E14AB2"/>
    <w:rsid w:val="00E178D8"/>
    <w:rsid w:val="00E17BED"/>
    <w:rsid w:val="00E20681"/>
    <w:rsid w:val="00E20FA4"/>
    <w:rsid w:val="00E24848"/>
    <w:rsid w:val="00E24DE6"/>
    <w:rsid w:val="00E254DD"/>
    <w:rsid w:val="00E260AC"/>
    <w:rsid w:val="00E27044"/>
    <w:rsid w:val="00E27639"/>
    <w:rsid w:val="00E3187B"/>
    <w:rsid w:val="00E337AA"/>
    <w:rsid w:val="00E344D7"/>
    <w:rsid w:val="00E34859"/>
    <w:rsid w:val="00E35F09"/>
    <w:rsid w:val="00E37C74"/>
    <w:rsid w:val="00E41701"/>
    <w:rsid w:val="00E43C40"/>
    <w:rsid w:val="00E43E78"/>
    <w:rsid w:val="00E473B4"/>
    <w:rsid w:val="00E55333"/>
    <w:rsid w:val="00E560B6"/>
    <w:rsid w:val="00E6139E"/>
    <w:rsid w:val="00E63655"/>
    <w:rsid w:val="00E63D41"/>
    <w:rsid w:val="00E73C36"/>
    <w:rsid w:val="00E768DD"/>
    <w:rsid w:val="00E771BB"/>
    <w:rsid w:val="00E8774E"/>
    <w:rsid w:val="00E87BA0"/>
    <w:rsid w:val="00E90234"/>
    <w:rsid w:val="00E927F4"/>
    <w:rsid w:val="00E971E8"/>
    <w:rsid w:val="00E97E1D"/>
    <w:rsid w:val="00EA3C7F"/>
    <w:rsid w:val="00EA6B10"/>
    <w:rsid w:val="00EA79E5"/>
    <w:rsid w:val="00EB2036"/>
    <w:rsid w:val="00EB3287"/>
    <w:rsid w:val="00EB6820"/>
    <w:rsid w:val="00EB790D"/>
    <w:rsid w:val="00EC017C"/>
    <w:rsid w:val="00EC0252"/>
    <w:rsid w:val="00EC10BA"/>
    <w:rsid w:val="00EC1D2B"/>
    <w:rsid w:val="00EC54CB"/>
    <w:rsid w:val="00ED0DA1"/>
    <w:rsid w:val="00ED1875"/>
    <w:rsid w:val="00ED237C"/>
    <w:rsid w:val="00ED451A"/>
    <w:rsid w:val="00ED4AAA"/>
    <w:rsid w:val="00ED5632"/>
    <w:rsid w:val="00ED697E"/>
    <w:rsid w:val="00ED721A"/>
    <w:rsid w:val="00ED740F"/>
    <w:rsid w:val="00ED79F7"/>
    <w:rsid w:val="00EE0C50"/>
    <w:rsid w:val="00EE1CBB"/>
    <w:rsid w:val="00EE3CF1"/>
    <w:rsid w:val="00EE424C"/>
    <w:rsid w:val="00EE4826"/>
    <w:rsid w:val="00EE5DEC"/>
    <w:rsid w:val="00EE5E6E"/>
    <w:rsid w:val="00EF1A4C"/>
    <w:rsid w:val="00EF22BC"/>
    <w:rsid w:val="00EF4AB6"/>
    <w:rsid w:val="00EF610B"/>
    <w:rsid w:val="00EF6154"/>
    <w:rsid w:val="00EF77F2"/>
    <w:rsid w:val="00F00BC9"/>
    <w:rsid w:val="00F0103A"/>
    <w:rsid w:val="00F01502"/>
    <w:rsid w:val="00F01888"/>
    <w:rsid w:val="00F041A2"/>
    <w:rsid w:val="00F0506E"/>
    <w:rsid w:val="00F0542D"/>
    <w:rsid w:val="00F07245"/>
    <w:rsid w:val="00F0755D"/>
    <w:rsid w:val="00F22086"/>
    <w:rsid w:val="00F22EAD"/>
    <w:rsid w:val="00F25451"/>
    <w:rsid w:val="00F261C5"/>
    <w:rsid w:val="00F30B81"/>
    <w:rsid w:val="00F30DD3"/>
    <w:rsid w:val="00F314E5"/>
    <w:rsid w:val="00F35031"/>
    <w:rsid w:val="00F35AA6"/>
    <w:rsid w:val="00F35F4E"/>
    <w:rsid w:val="00F4060F"/>
    <w:rsid w:val="00F40AC6"/>
    <w:rsid w:val="00F4152D"/>
    <w:rsid w:val="00F41603"/>
    <w:rsid w:val="00F42BE7"/>
    <w:rsid w:val="00F44A17"/>
    <w:rsid w:val="00F47DE1"/>
    <w:rsid w:val="00F5114A"/>
    <w:rsid w:val="00F5159B"/>
    <w:rsid w:val="00F5196B"/>
    <w:rsid w:val="00F51B98"/>
    <w:rsid w:val="00F52F49"/>
    <w:rsid w:val="00F55E3E"/>
    <w:rsid w:val="00F56BED"/>
    <w:rsid w:val="00F64110"/>
    <w:rsid w:val="00F70077"/>
    <w:rsid w:val="00F722A4"/>
    <w:rsid w:val="00F73492"/>
    <w:rsid w:val="00F75A52"/>
    <w:rsid w:val="00F8081D"/>
    <w:rsid w:val="00F817F3"/>
    <w:rsid w:val="00F81FE6"/>
    <w:rsid w:val="00F82802"/>
    <w:rsid w:val="00F828EF"/>
    <w:rsid w:val="00F86E3B"/>
    <w:rsid w:val="00F94B79"/>
    <w:rsid w:val="00F97104"/>
    <w:rsid w:val="00FA2009"/>
    <w:rsid w:val="00FA3134"/>
    <w:rsid w:val="00FA5563"/>
    <w:rsid w:val="00FA7AD6"/>
    <w:rsid w:val="00FB30B9"/>
    <w:rsid w:val="00FB339C"/>
    <w:rsid w:val="00FB4686"/>
    <w:rsid w:val="00FB489A"/>
    <w:rsid w:val="00FB5CD4"/>
    <w:rsid w:val="00FC0332"/>
    <w:rsid w:val="00FC0B07"/>
    <w:rsid w:val="00FC0BE0"/>
    <w:rsid w:val="00FC1D9C"/>
    <w:rsid w:val="00FC2793"/>
    <w:rsid w:val="00FC5160"/>
    <w:rsid w:val="00FF0233"/>
    <w:rsid w:val="00FF02E2"/>
    <w:rsid w:val="00FF05DE"/>
    <w:rsid w:val="00FF0B37"/>
    <w:rsid w:val="00FF4767"/>
    <w:rsid w:val="00FF5178"/>
    <w:rsid w:val="00FF65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88A175-722A-482A-A991-964CCE8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texto de nota al pi,Footnote Text Cha"/>
    <w:basedOn w:val="Normal"/>
    <w:link w:val="TextonotapieCar"/>
    <w:qFormat/>
    <w:rsid w:val="00717461"/>
    <w:rPr>
      <w:rFonts w:ascii="Calibri" w:eastAsia="Times New Roman" w:hAnsi="Calibri" w:cs="Calibri"/>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1,Footnote Text Char Char Char Car Car,Footnote Text Char Car"/>
    <w:basedOn w:val="Fuentedeprrafopredeter"/>
    <w:link w:val="Textonotapie"/>
    <w:rsid w:val="00717461"/>
    <w:rPr>
      <w:rFonts w:ascii="Calibri" w:eastAsia="Times New Roman" w:hAnsi="Calibri" w:cs="Calibri"/>
      <w:sz w:val="20"/>
      <w:szCs w:val="20"/>
      <w:lang w:val="es-ES"/>
    </w:rPr>
  </w:style>
  <w:style w:type="character" w:styleId="Refdenotaalpie">
    <w:name w:val="footnote reference"/>
    <w:aliases w:val="Ref. de nota al pie 2,Texto de nota al pie,Pie de Página,FC,referencia nota al pie,Appel note de bas de page,Footnotes refss,Footnote number,BVI fnr,f,4_G,16 Point,Superscript 6 Point,Texto nota al pie,Texto de nota al pi,Pie de Pàgi"/>
    <w:link w:val="4GChar"/>
    <w:qFormat/>
    <w:rsid w:val="00717461"/>
    <w:rPr>
      <w:vertAlign w:val="superscript"/>
    </w:rPr>
  </w:style>
  <w:style w:type="character" w:styleId="Textoennegrita">
    <w:name w:val="Strong"/>
    <w:uiPriority w:val="22"/>
    <w:qFormat/>
    <w:rsid w:val="00717461"/>
    <w:rPr>
      <w:b/>
      <w:bCs w:val="0"/>
    </w:rPr>
  </w:style>
  <w:style w:type="paragraph" w:styleId="Sinespaciado">
    <w:name w:val="No Spacing"/>
    <w:uiPriority w:val="1"/>
    <w:qFormat/>
    <w:rsid w:val="00717461"/>
    <w:pPr>
      <w:spacing w:after="0" w:line="240" w:lineRule="auto"/>
    </w:pPr>
    <w:rPr>
      <w:lang w:val="es-ES"/>
    </w:rPr>
  </w:style>
  <w:style w:type="paragraph" w:styleId="Prrafodelista">
    <w:name w:val="List Paragraph"/>
    <w:basedOn w:val="Normal"/>
    <w:link w:val="PrrafodelistaCar"/>
    <w:uiPriority w:val="99"/>
    <w:qFormat/>
    <w:rsid w:val="001641CD"/>
    <w:pPr>
      <w:ind w:left="720"/>
    </w:pPr>
    <w:rPr>
      <w:rFonts w:ascii="Calibri" w:eastAsia="Calibri" w:hAnsi="Calibri" w:cs="Calibri"/>
    </w:rPr>
  </w:style>
  <w:style w:type="paragraph" w:styleId="Textoindependiente2">
    <w:name w:val="Body Text 2"/>
    <w:basedOn w:val="Normal"/>
    <w:link w:val="Textoindependiente2Car"/>
    <w:uiPriority w:val="99"/>
    <w:rsid w:val="001641CD"/>
    <w:pPr>
      <w:overflowPunct w:val="0"/>
      <w:autoSpaceDE w:val="0"/>
      <w:autoSpaceDN w:val="0"/>
      <w:adjustRightInd w:val="0"/>
      <w:spacing w:after="0" w:line="360" w:lineRule="auto"/>
      <w:ind w:right="-284"/>
      <w:jc w:val="both"/>
      <w:textAlignment w:val="baseline"/>
    </w:pPr>
    <w:rPr>
      <w:rFonts w:ascii="Arial" w:eastAsia="Times New Roman" w:hAnsi="Arial" w:cs="Arial"/>
      <w:sz w:val="26"/>
      <w:szCs w:val="26"/>
      <w:lang w:val="es-ES_tradnl" w:eastAsia="es-ES"/>
    </w:rPr>
  </w:style>
  <w:style w:type="character" w:customStyle="1" w:styleId="Textoindependiente2Car">
    <w:name w:val="Texto independiente 2 Car"/>
    <w:basedOn w:val="Fuentedeprrafopredeter"/>
    <w:link w:val="Textoindependiente2"/>
    <w:uiPriority w:val="99"/>
    <w:rsid w:val="001641CD"/>
    <w:rPr>
      <w:rFonts w:ascii="Arial" w:eastAsia="Times New Roman" w:hAnsi="Arial" w:cs="Arial"/>
      <w:sz w:val="26"/>
      <w:szCs w:val="26"/>
      <w:lang w:val="es-ES_tradnl" w:eastAsia="es-ES"/>
    </w:rPr>
  </w:style>
  <w:style w:type="character" w:customStyle="1" w:styleId="TextonormalCar">
    <w:name w:val="Texto normal Car"/>
    <w:link w:val="Textonormal"/>
    <w:locked/>
    <w:rsid w:val="0000467E"/>
    <w:rPr>
      <w:rFonts w:ascii="Arial" w:eastAsia="Times New Roman" w:hAnsi="Arial" w:cs="Arial"/>
      <w:lang w:val="es-ES_tradnl" w:eastAsia="es-ES"/>
    </w:rPr>
  </w:style>
  <w:style w:type="paragraph" w:customStyle="1" w:styleId="Textonormal">
    <w:name w:val="Texto normal"/>
    <w:basedOn w:val="Normal"/>
    <w:link w:val="TextonormalCar"/>
    <w:rsid w:val="0000467E"/>
    <w:pPr>
      <w:widowControl w:val="0"/>
      <w:adjustRightInd w:val="0"/>
      <w:spacing w:after="0" w:line="360" w:lineRule="atLeast"/>
      <w:jc w:val="both"/>
    </w:pPr>
    <w:rPr>
      <w:rFonts w:ascii="Arial" w:eastAsia="Times New Roman" w:hAnsi="Arial" w:cs="Arial"/>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C1EDA"/>
    <w:pPr>
      <w:spacing w:after="0" w:line="240" w:lineRule="auto"/>
      <w:jc w:val="both"/>
    </w:pPr>
    <w:rPr>
      <w:vertAlign w:val="superscript"/>
      <w:lang w:val="es-CO"/>
    </w:rPr>
  </w:style>
  <w:style w:type="paragraph" w:styleId="Textoindependiente3">
    <w:name w:val="Body Text 3"/>
    <w:basedOn w:val="Normal"/>
    <w:link w:val="Textoindependiente3Car"/>
    <w:uiPriority w:val="99"/>
    <w:semiHidden/>
    <w:unhideWhenUsed/>
    <w:rsid w:val="00E077C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077C4"/>
    <w:rPr>
      <w:sz w:val="16"/>
      <w:szCs w:val="16"/>
      <w:lang w:val="es-ES"/>
    </w:rPr>
  </w:style>
  <w:style w:type="character" w:customStyle="1" w:styleId="PrrafodelistaCar">
    <w:name w:val="Párrafo de lista Car"/>
    <w:link w:val="Prrafodelista"/>
    <w:uiPriority w:val="99"/>
    <w:locked/>
    <w:rsid w:val="00E077C4"/>
    <w:rPr>
      <w:rFonts w:ascii="Calibri" w:eastAsia="Calibri" w:hAnsi="Calibri" w:cs="Calibri"/>
      <w:lang w:val="es-ES"/>
    </w:rPr>
  </w:style>
  <w:style w:type="paragraph" w:customStyle="1" w:styleId="indentfl1punto5">
    <w:name w:val="indent_fl_1punto5"/>
    <w:basedOn w:val="Normal"/>
    <w:rsid w:val="00E877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letra14pt">
    <w:name w:val="letra14pt"/>
    <w:basedOn w:val="Fuentedeprrafopredeter"/>
    <w:rsid w:val="00E8774E"/>
  </w:style>
  <w:style w:type="paragraph" w:customStyle="1" w:styleId="margenizq1punto0">
    <w:name w:val="margen_izq_1punto0"/>
    <w:basedOn w:val="Normal"/>
    <w:rsid w:val="00E877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aj">
    <w:name w:val="i_aj"/>
    <w:basedOn w:val="Fuentedeprrafopredeter"/>
    <w:rsid w:val="00E8774E"/>
  </w:style>
  <w:style w:type="table" w:customStyle="1" w:styleId="Tablaconcuadrcula1">
    <w:name w:val="Tabla con cuadrícula1"/>
    <w:basedOn w:val="Tablanormal"/>
    <w:next w:val="Tablaconcuadrcula"/>
    <w:uiPriority w:val="59"/>
    <w:rsid w:val="00BC3D00"/>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6036">
      <w:bodyDiv w:val="1"/>
      <w:marLeft w:val="0"/>
      <w:marRight w:val="0"/>
      <w:marTop w:val="0"/>
      <w:marBottom w:val="0"/>
      <w:divBdr>
        <w:top w:val="none" w:sz="0" w:space="0" w:color="auto"/>
        <w:left w:val="none" w:sz="0" w:space="0" w:color="auto"/>
        <w:bottom w:val="none" w:sz="0" w:space="0" w:color="auto"/>
        <w:right w:val="none" w:sz="0" w:space="0" w:color="auto"/>
      </w:divBdr>
      <w:divsChild>
        <w:div w:id="1586454908">
          <w:marLeft w:val="0"/>
          <w:marRight w:val="0"/>
          <w:marTop w:val="0"/>
          <w:marBottom w:val="0"/>
          <w:divBdr>
            <w:top w:val="none" w:sz="0" w:space="0" w:color="auto"/>
            <w:left w:val="none" w:sz="0" w:space="0" w:color="auto"/>
            <w:bottom w:val="none" w:sz="0" w:space="0" w:color="auto"/>
            <w:right w:val="none" w:sz="0" w:space="0" w:color="auto"/>
          </w:divBdr>
          <w:divsChild>
            <w:div w:id="4361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8370">
      <w:bodyDiv w:val="1"/>
      <w:marLeft w:val="0"/>
      <w:marRight w:val="0"/>
      <w:marTop w:val="0"/>
      <w:marBottom w:val="0"/>
      <w:divBdr>
        <w:top w:val="none" w:sz="0" w:space="0" w:color="auto"/>
        <w:left w:val="none" w:sz="0" w:space="0" w:color="auto"/>
        <w:bottom w:val="none" w:sz="0" w:space="0" w:color="auto"/>
        <w:right w:val="none" w:sz="0" w:space="0" w:color="auto"/>
      </w:divBdr>
    </w:div>
    <w:div w:id="1657563025">
      <w:bodyDiv w:val="1"/>
      <w:marLeft w:val="0"/>
      <w:marRight w:val="0"/>
      <w:marTop w:val="0"/>
      <w:marBottom w:val="0"/>
      <w:divBdr>
        <w:top w:val="none" w:sz="0" w:space="0" w:color="auto"/>
        <w:left w:val="none" w:sz="0" w:space="0" w:color="auto"/>
        <w:bottom w:val="none" w:sz="0" w:space="0" w:color="auto"/>
        <w:right w:val="none" w:sz="0" w:space="0" w:color="auto"/>
      </w:divBdr>
    </w:div>
    <w:div w:id="2011641817">
      <w:bodyDiv w:val="1"/>
      <w:marLeft w:val="0"/>
      <w:marRight w:val="0"/>
      <w:marTop w:val="0"/>
      <w:marBottom w:val="0"/>
      <w:divBdr>
        <w:top w:val="none" w:sz="0" w:space="0" w:color="auto"/>
        <w:left w:val="none" w:sz="0" w:space="0" w:color="auto"/>
        <w:bottom w:val="none" w:sz="0" w:space="0" w:color="auto"/>
        <w:right w:val="none" w:sz="0" w:space="0" w:color="auto"/>
      </w:divBdr>
    </w:div>
    <w:div w:id="2120876341">
      <w:bodyDiv w:val="1"/>
      <w:marLeft w:val="0"/>
      <w:marRight w:val="0"/>
      <w:marTop w:val="0"/>
      <w:marBottom w:val="0"/>
      <w:divBdr>
        <w:top w:val="none" w:sz="0" w:space="0" w:color="auto"/>
        <w:left w:val="none" w:sz="0" w:space="0" w:color="auto"/>
        <w:bottom w:val="none" w:sz="0" w:space="0" w:color="auto"/>
        <w:right w:val="none" w:sz="0" w:space="0" w:color="auto"/>
      </w:divBdr>
      <w:divsChild>
        <w:div w:id="1079981827">
          <w:marLeft w:val="0"/>
          <w:marRight w:val="0"/>
          <w:marTop w:val="0"/>
          <w:marBottom w:val="0"/>
          <w:divBdr>
            <w:top w:val="none" w:sz="0" w:space="0" w:color="auto"/>
            <w:left w:val="none" w:sz="0" w:space="0" w:color="auto"/>
            <w:bottom w:val="none" w:sz="0" w:space="0" w:color="auto"/>
            <w:right w:val="none" w:sz="0" w:space="0" w:color="auto"/>
          </w:divBdr>
          <w:divsChild>
            <w:div w:id="17552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2.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9EAE2-00E2-463B-A443-81B7018E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6199</Words>
  <Characters>34098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Gregorio</cp:lastModifiedBy>
  <cp:revision>18</cp:revision>
  <cp:lastPrinted>2019-07-04T18:43:00Z</cp:lastPrinted>
  <dcterms:created xsi:type="dcterms:W3CDTF">2020-06-05T14:18:00Z</dcterms:created>
  <dcterms:modified xsi:type="dcterms:W3CDTF">2020-06-05T16:50:00Z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