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394E83" w14:textId="7DD3B887" w:rsidR="006C7D00" w:rsidRDefault="006C7D00" w:rsidP="00356DB7">
      <w:pPr>
        <w:tabs>
          <w:tab w:val="left" w:pos="8310"/>
        </w:tabs>
        <w:spacing w:after="0" w:line="300" w:lineRule="auto"/>
        <w:jc w:val="both"/>
        <w:rPr>
          <w:rFonts w:ascii="Century Gothic" w:hAnsi="Century Gothic" w:cs="Century Gothic"/>
          <w:color w:val="0D0D0D" w:themeColor="text1" w:themeTint="F2"/>
          <w:sz w:val="24"/>
          <w:szCs w:val="24"/>
          <w:lang w:val="es-CO"/>
        </w:rPr>
      </w:pPr>
      <w:r w:rsidRPr="00002695">
        <w:rPr>
          <w:rFonts w:ascii="Century Gothic" w:hAnsi="Century Gothic" w:cs="Century Gothic"/>
          <w:color w:val="0D0D0D" w:themeColor="text1" w:themeTint="F2"/>
          <w:sz w:val="24"/>
          <w:szCs w:val="24"/>
          <w:lang w:val="es-CO"/>
        </w:rPr>
        <w:t>Cart</w:t>
      </w:r>
      <w:r w:rsidR="0043023D" w:rsidRPr="00002695">
        <w:rPr>
          <w:rFonts w:ascii="Century Gothic" w:hAnsi="Century Gothic" w:cs="Century Gothic"/>
          <w:color w:val="0D0D0D" w:themeColor="text1" w:themeTint="F2"/>
          <w:sz w:val="24"/>
          <w:szCs w:val="24"/>
          <w:lang w:val="es-CO"/>
        </w:rPr>
        <w:t>agena de Indias D. T. y C</w:t>
      </w:r>
      <w:r w:rsidR="009A3D40" w:rsidRPr="00002695">
        <w:rPr>
          <w:rFonts w:ascii="Century Gothic" w:hAnsi="Century Gothic" w:cs="Century Gothic"/>
          <w:color w:val="0D0D0D" w:themeColor="text1" w:themeTint="F2"/>
          <w:sz w:val="24"/>
          <w:szCs w:val="24"/>
          <w:lang w:val="es-CO"/>
        </w:rPr>
        <w:t>.,</w:t>
      </w:r>
      <w:r w:rsidR="006B140B">
        <w:rPr>
          <w:rFonts w:ascii="Century Gothic" w:hAnsi="Century Gothic" w:cs="Century Gothic"/>
          <w:color w:val="0D0D0D" w:themeColor="text1" w:themeTint="F2"/>
          <w:sz w:val="24"/>
          <w:szCs w:val="24"/>
          <w:lang w:val="es-CO"/>
        </w:rPr>
        <w:t xml:space="preserve"> cinco (05) de junio </w:t>
      </w:r>
      <w:r w:rsidR="00466FCD" w:rsidRPr="00002695">
        <w:rPr>
          <w:rFonts w:ascii="Century Gothic" w:hAnsi="Century Gothic" w:cs="Century Gothic"/>
          <w:color w:val="0D0D0D" w:themeColor="text1" w:themeTint="F2"/>
          <w:sz w:val="24"/>
          <w:szCs w:val="24"/>
          <w:lang w:val="es-CO"/>
        </w:rPr>
        <w:t>de dos mil veinte (2020)</w:t>
      </w:r>
      <w:r w:rsidR="006E5916" w:rsidRPr="00002695">
        <w:rPr>
          <w:rFonts w:ascii="Century Gothic" w:hAnsi="Century Gothic" w:cs="Century Gothic"/>
          <w:color w:val="0D0D0D" w:themeColor="text1" w:themeTint="F2"/>
          <w:sz w:val="24"/>
          <w:szCs w:val="24"/>
          <w:lang w:val="es-CO"/>
        </w:rPr>
        <w:t>.</w:t>
      </w:r>
    </w:p>
    <w:p w14:paraId="3E5AFFD7" w14:textId="77777777" w:rsidR="006B140B" w:rsidRPr="00002695" w:rsidRDefault="006B140B" w:rsidP="00356DB7">
      <w:pPr>
        <w:tabs>
          <w:tab w:val="left" w:pos="8310"/>
        </w:tabs>
        <w:spacing w:after="0" w:line="300" w:lineRule="auto"/>
        <w:jc w:val="both"/>
        <w:rPr>
          <w:rFonts w:ascii="Century Gothic" w:hAnsi="Century Gothic" w:cs="Century Gothic"/>
          <w:color w:val="0D0D0D" w:themeColor="text1" w:themeTint="F2"/>
          <w:sz w:val="24"/>
          <w:szCs w:val="24"/>
          <w:lang w:val="es-CO"/>
        </w:rPr>
      </w:pPr>
    </w:p>
    <w:p w14:paraId="223AA494" w14:textId="50CABD5A" w:rsidR="00A14BD4" w:rsidRPr="00002695" w:rsidRDefault="00A14BD4" w:rsidP="00356DB7">
      <w:pPr>
        <w:tabs>
          <w:tab w:val="left" w:pos="142"/>
          <w:tab w:val="left" w:pos="8439"/>
        </w:tabs>
        <w:spacing w:after="0" w:line="300" w:lineRule="auto"/>
        <w:rPr>
          <w:rFonts w:ascii="Century Gothic" w:hAnsi="Century Gothic" w:cs="Century Gothic"/>
          <w:b/>
          <w:color w:val="0D0D0D" w:themeColor="text1" w:themeTint="F2"/>
          <w:sz w:val="24"/>
          <w:szCs w:val="24"/>
          <w:lang w:val="es-CO"/>
        </w:rPr>
      </w:pPr>
      <w:r w:rsidRPr="00002695">
        <w:rPr>
          <w:rFonts w:ascii="Century Gothic" w:hAnsi="Century Gothic" w:cs="Century Gothic"/>
          <w:color w:val="0D0D0D" w:themeColor="text1" w:themeTint="F2"/>
          <w:sz w:val="24"/>
          <w:szCs w:val="24"/>
          <w:lang w:val="es-CO"/>
        </w:rPr>
        <w:tab/>
      </w:r>
      <w:r w:rsidR="00F67EC6" w:rsidRPr="00002695">
        <w:rPr>
          <w:rFonts w:ascii="Century Gothic" w:hAnsi="Century Gothic" w:cs="Century Gothic"/>
          <w:b/>
          <w:color w:val="0D0D0D" w:themeColor="text1" w:themeTint="F2"/>
          <w:sz w:val="24"/>
          <w:szCs w:val="24"/>
          <w:lang w:val="es-CO"/>
        </w:rPr>
        <w:t xml:space="preserve">I. IDENTIFICACIÓN DEL PROCESO, PARTES E INTERVINIENTES. </w:t>
      </w: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561"/>
      </w:tblGrid>
      <w:tr w:rsidR="00356DB7" w:rsidRPr="00002695" w14:paraId="15542776" w14:textId="77777777" w:rsidTr="00D078CA">
        <w:trPr>
          <w:trHeight w:val="359"/>
        </w:trPr>
        <w:tc>
          <w:tcPr>
            <w:tcW w:w="1400" w:type="pct"/>
            <w:tcBorders>
              <w:top w:val="single" w:sz="4" w:space="0" w:color="auto"/>
              <w:left w:val="single" w:sz="4" w:space="0" w:color="auto"/>
              <w:bottom w:val="single" w:sz="4" w:space="0" w:color="auto"/>
              <w:right w:val="single" w:sz="4" w:space="0" w:color="auto"/>
            </w:tcBorders>
            <w:vAlign w:val="center"/>
            <w:hideMark/>
          </w:tcPr>
          <w:p w14:paraId="3EC88D4B" w14:textId="77777777" w:rsidR="00A14BD4" w:rsidRPr="00002695" w:rsidRDefault="00A14BD4" w:rsidP="00356DB7">
            <w:pPr>
              <w:spacing w:after="0" w:line="300" w:lineRule="auto"/>
              <w:rPr>
                <w:rFonts w:ascii="Century Gothic" w:hAnsi="Century Gothic" w:cs="Century Gothic"/>
                <w:b/>
                <w:bCs/>
                <w:color w:val="0D0D0D" w:themeColor="text1" w:themeTint="F2"/>
                <w:sz w:val="24"/>
                <w:szCs w:val="24"/>
              </w:rPr>
            </w:pPr>
            <w:r w:rsidRPr="00002695">
              <w:rPr>
                <w:rFonts w:ascii="Century Gothic" w:hAnsi="Century Gothic" w:cs="Century Gothic"/>
                <w:b/>
                <w:bCs/>
                <w:color w:val="0D0D0D" w:themeColor="text1" w:themeTint="F2"/>
                <w:sz w:val="24"/>
                <w:szCs w:val="24"/>
              </w:rPr>
              <w:t>Medio de control</w:t>
            </w:r>
          </w:p>
        </w:tc>
        <w:tc>
          <w:tcPr>
            <w:tcW w:w="3600" w:type="pct"/>
            <w:tcBorders>
              <w:top w:val="single" w:sz="4" w:space="0" w:color="auto"/>
              <w:left w:val="single" w:sz="4" w:space="0" w:color="auto"/>
              <w:bottom w:val="single" w:sz="4" w:space="0" w:color="auto"/>
              <w:right w:val="single" w:sz="4" w:space="0" w:color="auto"/>
            </w:tcBorders>
            <w:vAlign w:val="center"/>
            <w:hideMark/>
          </w:tcPr>
          <w:p w14:paraId="2EE153AF" w14:textId="77777777" w:rsidR="00A14BD4" w:rsidRPr="00002695" w:rsidRDefault="00A14BD4" w:rsidP="00356DB7">
            <w:pPr>
              <w:spacing w:after="0" w:line="300" w:lineRule="auto"/>
              <w:rPr>
                <w:rFonts w:ascii="Century Gothic" w:hAnsi="Century Gothic" w:cs="Century Gothic"/>
                <w:color w:val="0D0D0D" w:themeColor="text1" w:themeTint="F2"/>
                <w:sz w:val="24"/>
                <w:szCs w:val="24"/>
              </w:rPr>
            </w:pPr>
            <w:r w:rsidRPr="00002695">
              <w:rPr>
                <w:rFonts w:ascii="Century Gothic" w:hAnsi="Century Gothic" w:cs="Century Gothic"/>
                <w:color w:val="0D0D0D" w:themeColor="text1" w:themeTint="F2"/>
                <w:sz w:val="24"/>
                <w:szCs w:val="24"/>
              </w:rPr>
              <w:t>NULIDAD Y RESTABLECIMIENTO DEL DERECHO</w:t>
            </w:r>
          </w:p>
        </w:tc>
      </w:tr>
      <w:tr w:rsidR="00356DB7" w:rsidRPr="00002695" w14:paraId="6967EC5E" w14:textId="77777777" w:rsidTr="00D078C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14:paraId="587A86E6" w14:textId="77777777" w:rsidR="00A14BD4" w:rsidRPr="00002695" w:rsidRDefault="00A14BD4" w:rsidP="00356DB7">
            <w:pPr>
              <w:spacing w:after="0" w:line="300" w:lineRule="auto"/>
              <w:rPr>
                <w:rFonts w:ascii="Century Gothic" w:hAnsi="Century Gothic" w:cs="Century Gothic"/>
                <w:b/>
                <w:bCs/>
                <w:color w:val="0D0D0D" w:themeColor="text1" w:themeTint="F2"/>
                <w:sz w:val="24"/>
                <w:szCs w:val="24"/>
              </w:rPr>
            </w:pPr>
            <w:r w:rsidRPr="00002695">
              <w:rPr>
                <w:rFonts w:ascii="Century Gothic" w:hAnsi="Century Gothic" w:cs="Century Gothic"/>
                <w:b/>
                <w:bCs/>
                <w:color w:val="0D0D0D" w:themeColor="text1" w:themeTint="F2"/>
                <w:sz w:val="24"/>
                <w:szCs w:val="24"/>
              </w:rPr>
              <w:t>Radicado</w:t>
            </w:r>
          </w:p>
        </w:tc>
        <w:tc>
          <w:tcPr>
            <w:tcW w:w="3600" w:type="pct"/>
            <w:tcBorders>
              <w:top w:val="single" w:sz="4" w:space="0" w:color="auto"/>
              <w:left w:val="single" w:sz="4" w:space="0" w:color="auto"/>
              <w:bottom w:val="single" w:sz="4" w:space="0" w:color="auto"/>
              <w:right w:val="single" w:sz="4" w:space="0" w:color="auto"/>
            </w:tcBorders>
            <w:vAlign w:val="center"/>
            <w:hideMark/>
          </w:tcPr>
          <w:p w14:paraId="6F9605C3" w14:textId="38544198" w:rsidR="0043023D" w:rsidRPr="00002695" w:rsidRDefault="00466FCD" w:rsidP="00356DB7">
            <w:pPr>
              <w:spacing w:after="0" w:line="300" w:lineRule="auto"/>
              <w:rPr>
                <w:rFonts w:ascii="Century Gothic" w:hAnsi="Century Gothic" w:cs="Century Gothic"/>
                <w:color w:val="0D0D0D" w:themeColor="text1" w:themeTint="F2"/>
                <w:sz w:val="24"/>
                <w:szCs w:val="24"/>
              </w:rPr>
            </w:pPr>
            <w:r w:rsidRPr="00002695">
              <w:rPr>
                <w:rFonts w:ascii="Century Gothic" w:hAnsi="Century Gothic" w:cs="Century Gothic"/>
                <w:color w:val="0D0D0D" w:themeColor="text1" w:themeTint="F2"/>
                <w:sz w:val="24"/>
                <w:szCs w:val="24"/>
              </w:rPr>
              <w:t>13-001-33-33-013-2017-00187-01</w:t>
            </w:r>
          </w:p>
        </w:tc>
      </w:tr>
      <w:tr w:rsidR="00356DB7" w:rsidRPr="00002695" w14:paraId="4C595F69" w14:textId="77777777" w:rsidTr="00D078C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14:paraId="52E3CCF4" w14:textId="77777777" w:rsidR="00A14BD4" w:rsidRPr="00002695" w:rsidRDefault="00A14BD4" w:rsidP="00356DB7">
            <w:pPr>
              <w:spacing w:after="0" w:line="300" w:lineRule="auto"/>
              <w:rPr>
                <w:rFonts w:ascii="Century Gothic" w:hAnsi="Century Gothic" w:cs="Century Gothic"/>
                <w:b/>
                <w:bCs/>
                <w:color w:val="0D0D0D" w:themeColor="text1" w:themeTint="F2"/>
                <w:sz w:val="24"/>
                <w:szCs w:val="24"/>
              </w:rPr>
            </w:pPr>
            <w:r w:rsidRPr="00002695">
              <w:rPr>
                <w:rFonts w:ascii="Century Gothic" w:hAnsi="Century Gothic" w:cs="Century Gothic"/>
                <w:b/>
                <w:bCs/>
                <w:color w:val="0D0D0D" w:themeColor="text1" w:themeTint="F2"/>
                <w:sz w:val="24"/>
                <w:szCs w:val="24"/>
              </w:rPr>
              <w:t>Demandante</w:t>
            </w:r>
          </w:p>
        </w:tc>
        <w:tc>
          <w:tcPr>
            <w:tcW w:w="3600" w:type="pct"/>
            <w:tcBorders>
              <w:top w:val="single" w:sz="4" w:space="0" w:color="auto"/>
              <w:left w:val="single" w:sz="4" w:space="0" w:color="auto"/>
              <w:bottom w:val="single" w:sz="4" w:space="0" w:color="auto"/>
              <w:right w:val="single" w:sz="4" w:space="0" w:color="auto"/>
            </w:tcBorders>
            <w:vAlign w:val="center"/>
            <w:hideMark/>
          </w:tcPr>
          <w:p w14:paraId="083AA1AF" w14:textId="4F88C007" w:rsidR="00A14BD4" w:rsidRPr="00002695" w:rsidRDefault="00466FCD" w:rsidP="00356DB7">
            <w:pPr>
              <w:spacing w:after="0" w:line="300" w:lineRule="auto"/>
              <w:rPr>
                <w:rFonts w:ascii="Century Gothic" w:hAnsi="Century Gothic" w:cs="Century Gothic"/>
                <w:color w:val="0D0D0D" w:themeColor="text1" w:themeTint="F2"/>
                <w:sz w:val="24"/>
                <w:szCs w:val="24"/>
              </w:rPr>
            </w:pPr>
            <w:r w:rsidRPr="00002695">
              <w:rPr>
                <w:rFonts w:ascii="Century Gothic" w:hAnsi="Century Gothic" w:cs="Century Gothic"/>
                <w:color w:val="0D0D0D" w:themeColor="text1" w:themeTint="F2"/>
                <w:sz w:val="24"/>
                <w:szCs w:val="24"/>
              </w:rPr>
              <w:t xml:space="preserve">MARIA VIRGINIA DURAN NARVAEZ </w:t>
            </w:r>
          </w:p>
        </w:tc>
      </w:tr>
      <w:tr w:rsidR="00356DB7" w:rsidRPr="00002695" w14:paraId="5F28F90F" w14:textId="77777777" w:rsidTr="00D078C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14:paraId="1BAE18C3" w14:textId="77777777" w:rsidR="00A14BD4" w:rsidRPr="00002695" w:rsidRDefault="00A14BD4" w:rsidP="00356DB7">
            <w:pPr>
              <w:spacing w:after="0" w:line="300" w:lineRule="auto"/>
              <w:rPr>
                <w:rFonts w:ascii="Century Gothic" w:hAnsi="Century Gothic" w:cs="Century Gothic"/>
                <w:b/>
                <w:bCs/>
                <w:color w:val="0D0D0D" w:themeColor="text1" w:themeTint="F2"/>
                <w:sz w:val="24"/>
                <w:szCs w:val="24"/>
              </w:rPr>
            </w:pPr>
            <w:r w:rsidRPr="00002695">
              <w:rPr>
                <w:rFonts w:ascii="Century Gothic" w:hAnsi="Century Gothic" w:cs="Century Gothic"/>
                <w:b/>
                <w:bCs/>
                <w:color w:val="0D0D0D" w:themeColor="text1" w:themeTint="F2"/>
                <w:sz w:val="24"/>
                <w:szCs w:val="24"/>
              </w:rPr>
              <w:t>Demandado</w:t>
            </w:r>
          </w:p>
        </w:tc>
        <w:tc>
          <w:tcPr>
            <w:tcW w:w="3600" w:type="pct"/>
            <w:tcBorders>
              <w:top w:val="single" w:sz="4" w:space="0" w:color="auto"/>
              <w:left w:val="single" w:sz="4" w:space="0" w:color="auto"/>
              <w:bottom w:val="single" w:sz="4" w:space="0" w:color="auto"/>
              <w:right w:val="single" w:sz="4" w:space="0" w:color="auto"/>
            </w:tcBorders>
            <w:vAlign w:val="center"/>
            <w:hideMark/>
          </w:tcPr>
          <w:p w14:paraId="00F8AD9C" w14:textId="79CBC1B6" w:rsidR="00BC32B4" w:rsidRPr="00002695" w:rsidRDefault="002B49E1" w:rsidP="00356DB7">
            <w:pPr>
              <w:spacing w:after="0" w:line="300" w:lineRule="auto"/>
              <w:jc w:val="both"/>
              <w:rPr>
                <w:rFonts w:ascii="Century Gothic" w:hAnsi="Century Gothic" w:cs="Century Gothic"/>
                <w:color w:val="0D0D0D" w:themeColor="text1" w:themeTint="F2"/>
                <w:sz w:val="24"/>
                <w:szCs w:val="24"/>
              </w:rPr>
            </w:pPr>
            <w:r w:rsidRPr="00002695">
              <w:rPr>
                <w:rFonts w:ascii="Century Gothic" w:hAnsi="Century Gothic" w:cs="Century Gothic"/>
                <w:color w:val="0D0D0D" w:themeColor="text1" w:themeTint="F2"/>
                <w:sz w:val="24"/>
                <w:szCs w:val="24"/>
              </w:rPr>
              <w:t>MINISTERIO DE EDUCACIÓN Y OTROS</w:t>
            </w:r>
          </w:p>
        </w:tc>
      </w:tr>
      <w:tr w:rsidR="00356DB7" w:rsidRPr="00002695" w14:paraId="77AF29CB" w14:textId="77777777" w:rsidTr="00D078C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14:paraId="41E7A7EA" w14:textId="1ACE7F11" w:rsidR="00A14BD4" w:rsidRPr="00002695" w:rsidRDefault="00A14BD4" w:rsidP="00356DB7">
            <w:pPr>
              <w:spacing w:after="0" w:line="300" w:lineRule="auto"/>
              <w:rPr>
                <w:rFonts w:ascii="Century Gothic" w:hAnsi="Century Gothic" w:cs="Century Gothic"/>
                <w:b/>
                <w:bCs/>
                <w:color w:val="0D0D0D" w:themeColor="text1" w:themeTint="F2"/>
                <w:sz w:val="24"/>
                <w:szCs w:val="24"/>
              </w:rPr>
            </w:pPr>
            <w:r w:rsidRPr="00002695">
              <w:rPr>
                <w:rFonts w:ascii="Century Gothic" w:hAnsi="Century Gothic" w:cs="Century Gothic"/>
                <w:b/>
                <w:bCs/>
                <w:color w:val="0D0D0D" w:themeColor="text1" w:themeTint="F2"/>
                <w:sz w:val="24"/>
                <w:szCs w:val="24"/>
              </w:rPr>
              <w:t xml:space="preserve">Tema </w:t>
            </w:r>
          </w:p>
        </w:tc>
        <w:tc>
          <w:tcPr>
            <w:tcW w:w="3600" w:type="pct"/>
            <w:tcBorders>
              <w:top w:val="single" w:sz="4" w:space="0" w:color="auto"/>
              <w:left w:val="single" w:sz="4" w:space="0" w:color="auto"/>
              <w:bottom w:val="single" w:sz="4" w:space="0" w:color="auto"/>
              <w:right w:val="single" w:sz="4" w:space="0" w:color="auto"/>
            </w:tcBorders>
            <w:vAlign w:val="center"/>
            <w:hideMark/>
          </w:tcPr>
          <w:p w14:paraId="6F219DC9" w14:textId="3D15D8C3" w:rsidR="001D48A3" w:rsidRPr="002752B9" w:rsidRDefault="00735867" w:rsidP="00356DB7">
            <w:pPr>
              <w:spacing w:after="0" w:line="300" w:lineRule="auto"/>
              <w:jc w:val="both"/>
              <w:rPr>
                <w:rFonts w:ascii="Century Gothic" w:hAnsi="Century Gothic" w:cs="Century Gothic"/>
                <w:i/>
                <w:color w:val="0D0D0D" w:themeColor="text1" w:themeTint="F2"/>
                <w:sz w:val="24"/>
                <w:szCs w:val="24"/>
              </w:rPr>
            </w:pPr>
            <w:r w:rsidRPr="002752B9">
              <w:rPr>
                <w:rFonts w:ascii="Century Gothic" w:hAnsi="Century Gothic" w:cs="Century Gothic"/>
                <w:color w:val="0D0D0D" w:themeColor="text1" w:themeTint="F2"/>
                <w:sz w:val="24"/>
                <w:szCs w:val="24"/>
              </w:rPr>
              <w:t>IBL</w:t>
            </w:r>
            <w:r w:rsidR="002752B9" w:rsidRPr="002752B9">
              <w:rPr>
                <w:rFonts w:ascii="Century Gothic" w:hAnsi="Century Gothic" w:cs="Century Gothic"/>
                <w:i/>
                <w:color w:val="0D0D0D" w:themeColor="text1" w:themeTint="F2"/>
                <w:sz w:val="24"/>
                <w:szCs w:val="24"/>
              </w:rPr>
              <w:t xml:space="preserve">- Docente. </w:t>
            </w:r>
            <w:r w:rsidRPr="002752B9">
              <w:rPr>
                <w:rFonts w:ascii="Century Gothic" w:hAnsi="Century Gothic" w:cs="Century Gothic"/>
                <w:i/>
                <w:color w:val="0D0D0D" w:themeColor="text1" w:themeTint="F2"/>
                <w:sz w:val="24"/>
                <w:szCs w:val="24"/>
              </w:rPr>
              <w:t xml:space="preserve">  </w:t>
            </w:r>
          </w:p>
        </w:tc>
      </w:tr>
      <w:tr w:rsidR="00356DB7" w:rsidRPr="00002695" w14:paraId="1C4600D8" w14:textId="77777777" w:rsidTr="00D078CA">
        <w:trPr>
          <w:trHeight w:val="345"/>
        </w:trPr>
        <w:tc>
          <w:tcPr>
            <w:tcW w:w="1400" w:type="pct"/>
            <w:tcBorders>
              <w:top w:val="single" w:sz="4" w:space="0" w:color="auto"/>
              <w:left w:val="single" w:sz="4" w:space="0" w:color="auto"/>
              <w:bottom w:val="single" w:sz="4" w:space="0" w:color="auto"/>
              <w:right w:val="single" w:sz="4" w:space="0" w:color="auto"/>
            </w:tcBorders>
            <w:vAlign w:val="center"/>
            <w:hideMark/>
          </w:tcPr>
          <w:p w14:paraId="15E341AA" w14:textId="77777777" w:rsidR="00A14BD4" w:rsidRPr="00002695" w:rsidRDefault="00A14BD4" w:rsidP="00356DB7">
            <w:pPr>
              <w:pStyle w:val="Encabezado"/>
              <w:spacing w:line="300" w:lineRule="auto"/>
              <w:rPr>
                <w:rFonts w:ascii="Century Gothic" w:hAnsi="Century Gothic" w:cs="Century Gothic"/>
                <w:b/>
                <w:bCs/>
                <w:color w:val="0D0D0D" w:themeColor="text1" w:themeTint="F2"/>
                <w:sz w:val="24"/>
                <w:szCs w:val="24"/>
              </w:rPr>
            </w:pPr>
            <w:r w:rsidRPr="00002695">
              <w:rPr>
                <w:rFonts w:ascii="Century Gothic" w:hAnsi="Century Gothic" w:cs="Century Gothic"/>
                <w:b/>
                <w:bCs/>
                <w:color w:val="0D0D0D" w:themeColor="text1" w:themeTint="F2"/>
                <w:sz w:val="24"/>
                <w:szCs w:val="24"/>
                <w:lang w:val="es-CO"/>
              </w:rPr>
              <w:t xml:space="preserve">Magistrado Ponente </w:t>
            </w:r>
          </w:p>
        </w:tc>
        <w:tc>
          <w:tcPr>
            <w:tcW w:w="3600" w:type="pct"/>
            <w:tcBorders>
              <w:top w:val="single" w:sz="4" w:space="0" w:color="auto"/>
              <w:left w:val="single" w:sz="4" w:space="0" w:color="auto"/>
              <w:bottom w:val="single" w:sz="4" w:space="0" w:color="auto"/>
              <w:right w:val="single" w:sz="4" w:space="0" w:color="auto"/>
            </w:tcBorders>
            <w:vAlign w:val="center"/>
            <w:hideMark/>
          </w:tcPr>
          <w:p w14:paraId="4A5AE668" w14:textId="77777777" w:rsidR="00A14BD4" w:rsidRPr="00002695" w:rsidRDefault="00A14BD4" w:rsidP="00356DB7">
            <w:pPr>
              <w:spacing w:after="0" w:line="300" w:lineRule="auto"/>
              <w:rPr>
                <w:rFonts w:ascii="Century Gothic" w:hAnsi="Century Gothic" w:cs="Century Gothic"/>
                <w:color w:val="0D0D0D" w:themeColor="text1" w:themeTint="F2"/>
                <w:sz w:val="24"/>
                <w:szCs w:val="24"/>
              </w:rPr>
            </w:pPr>
            <w:r w:rsidRPr="00002695">
              <w:rPr>
                <w:rFonts w:ascii="Century Gothic" w:hAnsi="Century Gothic" w:cs="Century Gothic"/>
                <w:color w:val="0D0D0D" w:themeColor="text1" w:themeTint="F2"/>
                <w:sz w:val="24"/>
                <w:szCs w:val="24"/>
              </w:rPr>
              <w:t>LUIS MIGUEL VILLALOBOS ÁLVAREZ</w:t>
            </w:r>
          </w:p>
        </w:tc>
      </w:tr>
    </w:tbl>
    <w:p w14:paraId="449B28DF" w14:textId="77777777" w:rsidR="00A14BD4" w:rsidRPr="00002695" w:rsidRDefault="00A14BD4" w:rsidP="00356DB7">
      <w:pPr>
        <w:spacing w:after="0" w:line="300" w:lineRule="auto"/>
        <w:jc w:val="both"/>
        <w:rPr>
          <w:rFonts w:ascii="Century Gothic" w:hAnsi="Century Gothic" w:cs="Century Gothic"/>
          <w:b/>
          <w:bCs/>
          <w:color w:val="0D0D0D" w:themeColor="text1" w:themeTint="F2"/>
          <w:sz w:val="24"/>
          <w:szCs w:val="24"/>
          <w:lang w:val="es-CO"/>
        </w:rPr>
      </w:pPr>
    </w:p>
    <w:p w14:paraId="0F7BDB04" w14:textId="77777777" w:rsidR="00A14BD4" w:rsidRPr="00002695" w:rsidRDefault="007E6621" w:rsidP="00356DB7">
      <w:pPr>
        <w:spacing w:after="0" w:line="300" w:lineRule="auto"/>
        <w:jc w:val="both"/>
        <w:rPr>
          <w:rFonts w:ascii="Century Gothic" w:hAnsi="Century Gothic" w:cs="Century Gothic"/>
          <w:b/>
          <w:bCs/>
          <w:color w:val="0D0D0D" w:themeColor="text1" w:themeTint="F2"/>
          <w:sz w:val="24"/>
          <w:szCs w:val="24"/>
        </w:rPr>
      </w:pPr>
      <w:r w:rsidRPr="00002695">
        <w:rPr>
          <w:rFonts w:ascii="Century Gothic" w:hAnsi="Century Gothic" w:cs="Century Gothic"/>
          <w:b/>
          <w:bCs/>
          <w:color w:val="0D0D0D" w:themeColor="text1" w:themeTint="F2"/>
          <w:sz w:val="24"/>
          <w:szCs w:val="24"/>
        </w:rPr>
        <w:t>II. PRONUNCIAMIENTO</w:t>
      </w:r>
      <w:bookmarkStart w:id="0" w:name="_GoBack"/>
      <w:bookmarkEnd w:id="0"/>
    </w:p>
    <w:p w14:paraId="1D8DE06D" w14:textId="77777777" w:rsidR="00C3138B" w:rsidRPr="00002695" w:rsidRDefault="00C3138B" w:rsidP="00356DB7">
      <w:pPr>
        <w:spacing w:after="0" w:line="300" w:lineRule="auto"/>
        <w:jc w:val="both"/>
        <w:rPr>
          <w:rFonts w:ascii="Century Gothic" w:hAnsi="Century Gothic" w:cs="Century Gothic"/>
          <w:b/>
          <w:bCs/>
          <w:color w:val="0D0D0D" w:themeColor="text1" w:themeTint="F2"/>
          <w:sz w:val="24"/>
          <w:szCs w:val="24"/>
        </w:rPr>
      </w:pPr>
    </w:p>
    <w:p w14:paraId="164653EE" w14:textId="0C329CF0" w:rsidR="00117F9F" w:rsidRPr="00002695" w:rsidRDefault="00117F9F" w:rsidP="00356DB7">
      <w:pPr>
        <w:pStyle w:val="Textonormal"/>
        <w:spacing w:line="300" w:lineRule="auto"/>
        <w:ind w:right="-425"/>
        <w:rPr>
          <w:rFonts w:ascii="Century Gothic" w:hAnsi="Century Gothic" w:cs="Century Gothic"/>
          <w:bCs/>
          <w:color w:val="0D0D0D" w:themeColor="text1" w:themeTint="F2"/>
          <w:lang w:val="es-CO" w:eastAsia="en-US"/>
        </w:rPr>
      </w:pPr>
      <w:r w:rsidRPr="00002695">
        <w:rPr>
          <w:rFonts w:ascii="Century Gothic" w:hAnsi="Century Gothic" w:cs="Century Gothic"/>
          <w:bCs/>
          <w:color w:val="0D0D0D" w:themeColor="text1" w:themeTint="F2"/>
          <w:lang w:val="es-CO" w:eastAsia="en-US"/>
        </w:rPr>
        <w:t xml:space="preserve">Procede la Sala de Decisión a resolver el recurso de apelación interpuesto por la parte demandante contra la sentencia oral de fecha </w:t>
      </w:r>
      <w:r w:rsidR="00466FCD" w:rsidRPr="00002695">
        <w:rPr>
          <w:rFonts w:ascii="Century Gothic" w:hAnsi="Century Gothic" w:cs="Century Gothic"/>
          <w:bCs/>
          <w:color w:val="0D0D0D" w:themeColor="text1" w:themeTint="F2"/>
          <w:lang w:val="es-CO" w:eastAsia="en-US"/>
        </w:rPr>
        <w:t>doce (12)</w:t>
      </w:r>
      <w:r w:rsidRPr="00002695">
        <w:rPr>
          <w:rFonts w:ascii="Century Gothic" w:hAnsi="Century Gothic" w:cs="Century Gothic"/>
          <w:bCs/>
          <w:color w:val="0D0D0D" w:themeColor="text1" w:themeTint="F2"/>
          <w:lang w:val="es-CO" w:eastAsia="en-US"/>
        </w:rPr>
        <w:t xml:space="preserve"> de septiembre de dos mil dieciocho (2018), proferida por el Juzgado</w:t>
      </w:r>
      <w:r w:rsidR="00466FCD" w:rsidRPr="00002695">
        <w:rPr>
          <w:rFonts w:ascii="Century Gothic" w:hAnsi="Century Gothic" w:cs="Century Gothic"/>
          <w:bCs/>
          <w:color w:val="0D0D0D" w:themeColor="text1" w:themeTint="F2"/>
          <w:lang w:val="es-CO" w:eastAsia="en-US"/>
        </w:rPr>
        <w:t xml:space="preserve"> Décimo Tercero</w:t>
      </w:r>
      <w:r w:rsidRPr="00002695">
        <w:rPr>
          <w:rFonts w:ascii="Century Gothic" w:hAnsi="Century Gothic" w:cs="Century Gothic"/>
          <w:bCs/>
          <w:color w:val="0D0D0D" w:themeColor="text1" w:themeTint="F2"/>
          <w:lang w:val="es-CO" w:eastAsia="en-US"/>
        </w:rPr>
        <w:t xml:space="preserve"> Administrativo del Circuito de Cartagena, mediante la cual se negaron las pretensiones de la demanda.</w:t>
      </w:r>
    </w:p>
    <w:p w14:paraId="5AA7C22E" w14:textId="77777777" w:rsidR="00A14BD4" w:rsidRPr="00002695" w:rsidRDefault="00A14BD4" w:rsidP="00356DB7">
      <w:pPr>
        <w:spacing w:after="0" w:line="300" w:lineRule="auto"/>
        <w:jc w:val="both"/>
        <w:rPr>
          <w:rFonts w:ascii="Century Gothic" w:hAnsi="Century Gothic" w:cs="Century Gothic"/>
          <w:bCs/>
          <w:color w:val="0D0D0D" w:themeColor="text1" w:themeTint="F2"/>
          <w:sz w:val="24"/>
          <w:szCs w:val="24"/>
        </w:rPr>
      </w:pPr>
    </w:p>
    <w:p w14:paraId="70D14369" w14:textId="77777777" w:rsidR="00A14BD4" w:rsidRPr="00002695" w:rsidRDefault="00592DC1" w:rsidP="00356DB7">
      <w:pPr>
        <w:spacing w:after="0" w:line="300" w:lineRule="auto"/>
        <w:jc w:val="center"/>
        <w:rPr>
          <w:rFonts w:ascii="Century Gothic" w:hAnsi="Century Gothic" w:cs="Century Gothic"/>
          <w:b/>
          <w:bCs/>
          <w:color w:val="0D0D0D" w:themeColor="text1" w:themeTint="F2"/>
          <w:sz w:val="24"/>
          <w:szCs w:val="24"/>
        </w:rPr>
      </w:pPr>
      <w:r w:rsidRPr="00002695">
        <w:rPr>
          <w:rFonts w:ascii="Century Gothic" w:hAnsi="Century Gothic" w:cs="Century Gothic"/>
          <w:b/>
          <w:bCs/>
          <w:color w:val="0D0D0D" w:themeColor="text1" w:themeTint="F2"/>
          <w:sz w:val="24"/>
          <w:szCs w:val="24"/>
        </w:rPr>
        <w:t>I</w:t>
      </w:r>
      <w:r w:rsidR="00A14BD4" w:rsidRPr="00002695">
        <w:rPr>
          <w:rFonts w:ascii="Century Gothic" w:hAnsi="Century Gothic" w:cs="Century Gothic"/>
          <w:b/>
          <w:bCs/>
          <w:color w:val="0D0D0D" w:themeColor="text1" w:themeTint="F2"/>
          <w:sz w:val="24"/>
          <w:szCs w:val="24"/>
        </w:rPr>
        <w:t>II.- ANTECEDENTES</w:t>
      </w:r>
    </w:p>
    <w:p w14:paraId="27141825" w14:textId="77777777" w:rsidR="00A14BD4" w:rsidRPr="00002695" w:rsidRDefault="00A14BD4" w:rsidP="00356DB7">
      <w:pPr>
        <w:spacing w:after="0" w:line="300" w:lineRule="auto"/>
        <w:rPr>
          <w:rFonts w:ascii="Century Gothic" w:hAnsi="Century Gothic" w:cs="Century Gothic"/>
          <w:b/>
          <w:bCs/>
          <w:color w:val="0D0D0D" w:themeColor="text1" w:themeTint="F2"/>
          <w:sz w:val="24"/>
          <w:szCs w:val="24"/>
        </w:rPr>
      </w:pPr>
    </w:p>
    <w:p w14:paraId="48EF06CD" w14:textId="77777777" w:rsidR="00A14BD4" w:rsidRPr="00002695" w:rsidRDefault="00A14BD4" w:rsidP="00356DB7">
      <w:pPr>
        <w:spacing w:after="0" w:line="300" w:lineRule="auto"/>
        <w:rPr>
          <w:rFonts w:ascii="Century Gothic" w:hAnsi="Century Gothic" w:cs="Century Gothic"/>
          <w:b/>
          <w:bCs/>
          <w:color w:val="0D0D0D" w:themeColor="text1" w:themeTint="F2"/>
          <w:sz w:val="24"/>
          <w:szCs w:val="24"/>
        </w:rPr>
      </w:pPr>
      <w:r w:rsidRPr="00002695">
        <w:rPr>
          <w:rFonts w:ascii="Century Gothic" w:hAnsi="Century Gothic" w:cs="Century Gothic"/>
          <w:b/>
          <w:bCs/>
          <w:color w:val="0D0D0D" w:themeColor="text1" w:themeTint="F2"/>
          <w:sz w:val="24"/>
          <w:szCs w:val="24"/>
        </w:rPr>
        <w:t>1. LA DEMANDA</w:t>
      </w:r>
    </w:p>
    <w:p w14:paraId="14E4CBA1" w14:textId="77777777" w:rsidR="00A14BD4" w:rsidRPr="00002695" w:rsidRDefault="00A14BD4" w:rsidP="00356DB7">
      <w:pPr>
        <w:spacing w:after="0" w:line="300" w:lineRule="auto"/>
        <w:rPr>
          <w:rFonts w:ascii="Century Gothic" w:hAnsi="Century Gothic" w:cs="Century Gothic"/>
          <w:b/>
          <w:bCs/>
          <w:color w:val="0D0D0D" w:themeColor="text1" w:themeTint="F2"/>
          <w:sz w:val="24"/>
          <w:szCs w:val="24"/>
        </w:rPr>
      </w:pPr>
    </w:p>
    <w:p w14:paraId="28649B35" w14:textId="77777777" w:rsidR="00A14BD4" w:rsidRPr="00002695" w:rsidRDefault="00A14BD4" w:rsidP="00356DB7">
      <w:pPr>
        <w:spacing w:after="0" w:line="300" w:lineRule="auto"/>
        <w:rPr>
          <w:rFonts w:ascii="Century Gothic" w:hAnsi="Century Gothic" w:cs="Century Gothic"/>
          <w:b/>
          <w:bCs/>
          <w:color w:val="0D0D0D" w:themeColor="text1" w:themeTint="F2"/>
          <w:sz w:val="24"/>
          <w:szCs w:val="24"/>
        </w:rPr>
      </w:pPr>
      <w:r w:rsidRPr="00002695">
        <w:rPr>
          <w:rFonts w:ascii="Century Gothic" w:hAnsi="Century Gothic" w:cs="Century Gothic"/>
          <w:b/>
          <w:bCs/>
          <w:color w:val="0D0D0D" w:themeColor="text1" w:themeTint="F2"/>
          <w:sz w:val="24"/>
          <w:szCs w:val="24"/>
        </w:rPr>
        <w:t>1.1. PRETENSIONES</w:t>
      </w:r>
    </w:p>
    <w:p w14:paraId="36A3112D" w14:textId="77777777" w:rsidR="00A14BD4" w:rsidRPr="00002695" w:rsidRDefault="00A14BD4" w:rsidP="00356DB7">
      <w:pPr>
        <w:spacing w:after="0" w:line="300" w:lineRule="auto"/>
        <w:rPr>
          <w:rFonts w:ascii="Century Gothic" w:hAnsi="Century Gothic" w:cs="Century Gothic"/>
          <w:b/>
          <w:bCs/>
          <w:color w:val="0D0D0D" w:themeColor="text1" w:themeTint="F2"/>
          <w:sz w:val="24"/>
          <w:szCs w:val="24"/>
        </w:rPr>
      </w:pPr>
    </w:p>
    <w:p w14:paraId="5EDDA29C" w14:textId="77777777" w:rsidR="000B5099" w:rsidRPr="00002695" w:rsidRDefault="000B5099" w:rsidP="00356DB7">
      <w:pPr>
        <w:suppressAutoHyphens/>
        <w:spacing w:after="0" w:line="300" w:lineRule="auto"/>
        <w:jc w:val="both"/>
        <w:rPr>
          <w:rFonts w:ascii="Century Gothic" w:eastAsia="Times New Roman" w:hAnsi="Century Gothic" w:cs="Century Gothic"/>
          <w:bCs/>
          <w:color w:val="0D0D0D" w:themeColor="text1" w:themeTint="F2"/>
          <w:spacing w:val="-3"/>
          <w:sz w:val="24"/>
          <w:szCs w:val="24"/>
          <w:lang w:eastAsia="es-ES"/>
        </w:rPr>
      </w:pPr>
      <w:r w:rsidRPr="00002695">
        <w:rPr>
          <w:rFonts w:ascii="Century Gothic" w:eastAsia="Times New Roman" w:hAnsi="Century Gothic" w:cs="Century Gothic"/>
          <w:bCs/>
          <w:color w:val="0D0D0D" w:themeColor="text1" w:themeTint="F2"/>
          <w:spacing w:val="-3"/>
          <w:sz w:val="24"/>
          <w:szCs w:val="24"/>
          <w:lang w:eastAsia="es-ES"/>
        </w:rPr>
        <w:t xml:space="preserve">Se señalan como pretensiones de la demanda, las siguientes: </w:t>
      </w:r>
    </w:p>
    <w:p w14:paraId="7A0109CF" w14:textId="77777777" w:rsidR="00EE3371" w:rsidRPr="00002695" w:rsidRDefault="00EE3371" w:rsidP="00356DB7">
      <w:pPr>
        <w:suppressAutoHyphens/>
        <w:spacing w:after="0" w:line="300" w:lineRule="auto"/>
        <w:jc w:val="both"/>
        <w:rPr>
          <w:rFonts w:ascii="Century Gothic" w:eastAsia="Times New Roman" w:hAnsi="Century Gothic" w:cs="Century Gothic"/>
          <w:bCs/>
          <w:color w:val="0D0D0D" w:themeColor="text1" w:themeTint="F2"/>
          <w:spacing w:val="-3"/>
          <w:sz w:val="24"/>
          <w:szCs w:val="24"/>
          <w:lang w:eastAsia="es-ES"/>
        </w:rPr>
      </w:pPr>
    </w:p>
    <w:p w14:paraId="14E24502" w14:textId="2E05147C" w:rsidR="00EE3371" w:rsidRPr="00002695" w:rsidRDefault="00EE3371" w:rsidP="00356DB7">
      <w:pPr>
        <w:suppressAutoHyphens/>
        <w:spacing w:after="0" w:line="240" w:lineRule="auto"/>
        <w:ind w:left="987"/>
        <w:jc w:val="both"/>
        <w:rPr>
          <w:rFonts w:ascii="Century Gothic" w:eastAsia="Times New Roman" w:hAnsi="Century Gothic" w:cs="Century Gothic"/>
          <w:bCs/>
          <w:i/>
          <w:color w:val="0D0D0D" w:themeColor="text1" w:themeTint="F2"/>
          <w:spacing w:val="-3"/>
          <w:sz w:val="20"/>
          <w:szCs w:val="20"/>
          <w:lang w:eastAsia="es-ES"/>
        </w:rPr>
      </w:pPr>
      <w:r w:rsidRPr="00002695">
        <w:rPr>
          <w:rFonts w:ascii="Century Gothic" w:eastAsia="Times New Roman" w:hAnsi="Century Gothic" w:cs="Century Gothic"/>
          <w:bCs/>
          <w:i/>
          <w:color w:val="0D0D0D" w:themeColor="text1" w:themeTint="F2"/>
          <w:spacing w:val="-3"/>
          <w:sz w:val="20"/>
          <w:szCs w:val="20"/>
          <w:lang w:eastAsia="es-ES"/>
        </w:rPr>
        <w:t xml:space="preserve">“DECLARACIONES Y CONDENAS </w:t>
      </w:r>
    </w:p>
    <w:p w14:paraId="0CBB69C6" w14:textId="77777777" w:rsidR="00466FCD" w:rsidRPr="00002695" w:rsidRDefault="00466FCD" w:rsidP="00356DB7">
      <w:pPr>
        <w:suppressAutoHyphens/>
        <w:spacing w:after="0" w:line="240" w:lineRule="auto"/>
        <w:jc w:val="both"/>
        <w:rPr>
          <w:rFonts w:ascii="Century Gothic" w:eastAsia="Times New Roman" w:hAnsi="Century Gothic" w:cs="Century Gothic"/>
          <w:bCs/>
          <w:color w:val="0D0D0D" w:themeColor="text1" w:themeTint="F2"/>
          <w:spacing w:val="-3"/>
          <w:sz w:val="20"/>
          <w:szCs w:val="20"/>
          <w:lang w:eastAsia="es-ES"/>
        </w:rPr>
      </w:pPr>
    </w:p>
    <w:p w14:paraId="0CD58874" w14:textId="2C62FAFE" w:rsidR="00466FCD" w:rsidRPr="00002695" w:rsidRDefault="00466FCD" w:rsidP="00356DB7">
      <w:pPr>
        <w:pStyle w:val="Prrafodelista"/>
        <w:numPr>
          <w:ilvl w:val="0"/>
          <w:numId w:val="15"/>
        </w:numPr>
        <w:suppressAutoHyphens/>
        <w:spacing w:after="0" w:line="240" w:lineRule="auto"/>
        <w:ind w:left="1554" w:hanging="567"/>
        <w:jc w:val="both"/>
        <w:rPr>
          <w:rFonts w:ascii="Century Gothic" w:eastAsia="Times New Roman" w:hAnsi="Century Gothic" w:cs="Century Gothic"/>
          <w:bCs/>
          <w:i/>
          <w:color w:val="0D0D0D" w:themeColor="text1" w:themeTint="F2"/>
          <w:spacing w:val="-3"/>
          <w:sz w:val="20"/>
          <w:szCs w:val="20"/>
          <w:lang w:eastAsia="es-ES"/>
        </w:rPr>
      </w:pPr>
      <w:r w:rsidRPr="00002695">
        <w:rPr>
          <w:rFonts w:ascii="Century Gothic" w:eastAsia="Times New Roman" w:hAnsi="Century Gothic" w:cs="Century Gothic"/>
          <w:bCs/>
          <w:i/>
          <w:color w:val="0D0D0D" w:themeColor="text1" w:themeTint="F2"/>
          <w:spacing w:val="-3"/>
          <w:sz w:val="20"/>
          <w:szCs w:val="20"/>
          <w:lang w:eastAsia="es-ES"/>
        </w:rPr>
        <w:t xml:space="preserve">Se declare la NULIDAD PARCIAL de la Resolución No. 1984 del 15 de junio del 2017, expedidas por el Fondo Nacional de Prestaciones Sociales del Magisterio Oficina Regional de </w:t>
      </w:r>
      <w:r w:rsidR="00EE3371" w:rsidRPr="00002695">
        <w:rPr>
          <w:rFonts w:ascii="Century Gothic" w:eastAsia="Times New Roman" w:hAnsi="Century Gothic" w:cs="Century Gothic"/>
          <w:bCs/>
          <w:i/>
          <w:color w:val="0D0D0D" w:themeColor="text1" w:themeTint="F2"/>
          <w:spacing w:val="-3"/>
          <w:sz w:val="20"/>
          <w:szCs w:val="20"/>
          <w:lang w:eastAsia="es-ES"/>
        </w:rPr>
        <w:t>Bolívar</w:t>
      </w:r>
      <w:r w:rsidRPr="00002695">
        <w:rPr>
          <w:rFonts w:ascii="Century Gothic" w:eastAsia="Times New Roman" w:hAnsi="Century Gothic" w:cs="Century Gothic"/>
          <w:bCs/>
          <w:i/>
          <w:color w:val="0D0D0D" w:themeColor="text1" w:themeTint="F2"/>
          <w:spacing w:val="-3"/>
          <w:sz w:val="20"/>
          <w:szCs w:val="20"/>
          <w:lang w:eastAsia="es-ES"/>
        </w:rPr>
        <w:t xml:space="preserve"> por la cual “se reconoció el pago de una pensión vitalicia de jubilación a MARIA VIRGINIA DURAN NARVAEZ, con cédula de ciudadanía 45.456.753 de Cartagena (Bol). </w:t>
      </w:r>
    </w:p>
    <w:p w14:paraId="349AEA98" w14:textId="4B58C6B1" w:rsidR="00466FCD" w:rsidRPr="00002695" w:rsidRDefault="00466FCD" w:rsidP="00356DB7">
      <w:pPr>
        <w:pStyle w:val="Prrafodelista"/>
        <w:numPr>
          <w:ilvl w:val="0"/>
          <w:numId w:val="15"/>
        </w:numPr>
        <w:suppressAutoHyphens/>
        <w:spacing w:after="0" w:line="240" w:lineRule="auto"/>
        <w:ind w:left="1554" w:hanging="567"/>
        <w:jc w:val="both"/>
        <w:rPr>
          <w:rFonts w:ascii="Century Gothic" w:eastAsia="Times New Roman" w:hAnsi="Century Gothic" w:cs="Century Gothic"/>
          <w:bCs/>
          <w:i/>
          <w:color w:val="0D0D0D" w:themeColor="text1" w:themeTint="F2"/>
          <w:spacing w:val="-3"/>
          <w:sz w:val="20"/>
          <w:szCs w:val="20"/>
          <w:lang w:eastAsia="es-ES"/>
        </w:rPr>
      </w:pPr>
      <w:r w:rsidRPr="00002695">
        <w:rPr>
          <w:rFonts w:ascii="Century Gothic" w:eastAsia="Times New Roman" w:hAnsi="Century Gothic" w:cs="Century Gothic"/>
          <w:bCs/>
          <w:i/>
          <w:color w:val="0D0D0D" w:themeColor="text1" w:themeTint="F2"/>
          <w:spacing w:val="-3"/>
          <w:sz w:val="20"/>
          <w:szCs w:val="20"/>
          <w:lang w:eastAsia="es-ES"/>
        </w:rPr>
        <w:t xml:space="preserve">Como consecuencia de las declaraciones anteriores y a título de RESTABLECIMIENTO DEL DERECHO se declare que la Nación- Ministerio de Educación Nacional, Fondo Nacional de prestaciones Sociales del Magisterio, debe reconocer y pagar a, pensión de jubilación, con la inclusión de todos los factores salariales que devengo durante el año anterior al status de pensionado (Ver Cuadro 1). </w:t>
      </w:r>
    </w:p>
    <w:p w14:paraId="10794D49" w14:textId="1B1D8333" w:rsidR="004C1981" w:rsidRPr="00002695" w:rsidRDefault="004C1981" w:rsidP="00356DB7">
      <w:pPr>
        <w:pStyle w:val="Prrafodelista"/>
        <w:numPr>
          <w:ilvl w:val="0"/>
          <w:numId w:val="15"/>
        </w:numPr>
        <w:suppressAutoHyphens/>
        <w:spacing w:after="0" w:line="240" w:lineRule="auto"/>
        <w:ind w:left="1554" w:hanging="567"/>
        <w:jc w:val="both"/>
        <w:rPr>
          <w:rFonts w:ascii="Century Gothic" w:eastAsia="Times New Roman" w:hAnsi="Century Gothic" w:cs="Century Gothic"/>
          <w:bCs/>
          <w:i/>
          <w:color w:val="0D0D0D" w:themeColor="text1" w:themeTint="F2"/>
          <w:spacing w:val="-3"/>
          <w:sz w:val="20"/>
          <w:szCs w:val="20"/>
          <w:lang w:eastAsia="es-ES"/>
        </w:rPr>
      </w:pPr>
      <w:proofErr w:type="spellStart"/>
      <w:r w:rsidRPr="00002695">
        <w:rPr>
          <w:rFonts w:ascii="Century Gothic" w:eastAsia="Times New Roman" w:hAnsi="Century Gothic" w:cs="Century Gothic"/>
          <w:bCs/>
          <w:i/>
          <w:color w:val="0D0D0D" w:themeColor="text1" w:themeTint="F2"/>
          <w:spacing w:val="-3"/>
          <w:sz w:val="20"/>
          <w:szCs w:val="20"/>
          <w:lang w:eastAsia="es-ES"/>
        </w:rPr>
        <w:t>Inaplicar</w:t>
      </w:r>
      <w:proofErr w:type="spellEnd"/>
      <w:r w:rsidRPr="00002695">
        <w:rPr>
          <w:rFonts w:ascii="Century Gothic" w:eastAsia="Times New Roman" w:hAnsi="Century Gothic" w:cs="Century Gothic"/>
          <w:bCs/>
          <w:i/>
          <w:color w:val="0D0D0D" w:themeColor="text1" w:themeTint="F2"/>
          <w:spacing w:val="-3"/>
          <w:sz w:val="20"/>
          <w:szCs w:val="20"/>
          <w:lang w:eastAsia="es-ES"/>
        </w:rPr>
        <w:t xml:space="preserve"> por inconstitucional el Decreto 3752 del 22 de Diciembre de 2003, </w:t>
      </w:r>
      <w:proofErr w:type="spellStart"/>
      <w:r w:rsidRPr="00002695">
        <w:rPr>
          <w:rFonts w:ascii="Century Gothic" w:eastAsia="Times New Roman" w:hAnsi="Century Gothic" w:cs="Century Gothic"/>
          <w:bCs/>
          <w:i/>
          <w:color w:val="0D0D0D" w:themeColor="text1" w:themeTint="F2"/>
          <w:spacing w:val="-3"/>
          <w:sz w:val="20"/>
          <w:szCs w:val="20"/>
          <w:lang w:eastAsia="es-ES"/>
        </w:rPr>
        <w:t>articulo</w:t>
      </w:r>
      <w:proofErr w:type="spellEnd"/>
      <w:r w:rsidRPr="00002695">
        <w:rPr>
          <w:rFonts w:ascii="Century Gothic" w:eastAsia="Times New Roman" w:hAnsi="Century Gothic" w:cs="Century Gothic"/>
          <w:bCs/>
          <w:i/>
          <w:color w:val="0D0D0D" w:themeColor="text1" w:themeTint="F2"/>
          <w:spacing w:val="-3"/>
          <w:sz w:val="20"/>
          <w:szCs w:val="20"/>
          <w:lang w:eastAsia="es-ES"/>
        </w:rPr>
        <w:t xml:space="preserve"> 3º, por violar ostensiblemente la Constitución </w:t>
      </w:r>
      <w:r w:rsidR="00EE3371" w:rsidRPr="00002695">
        <w:rPr>
          <w:rFonts w:ascii="Century Gothic" w:eastAsia="Times New Roman" w:hAnsi="Century Gothic" w:cs="Century Gothic"/>
          <w:bCs/>
          <w:i/>
          <w:color w:val="0D0D0D" w:themeColor="text1" w:themeTint="F2"/>
          <w:spacing w:val="-3"/>
          <w:sz w:val="20"/>
          <w:szCs w:val="20"/>
          <w:lang w:eastAsia="es-ES"/>
        </w:rPr>
        <w:t>Política</w:t>
      </w:r>
      <w:r w:rsidRPr="00002695">
        <w:rPr>
          <w:rFonts w:ascii="Century Gothic" w:eastAsia="Times New Roman" w:hAnsi="Century Gothic" w:cs="Century Gothic"/>
          <w:bCs/>
          <w:i/>
          <w:color w:val="0D0D0D" w:themeColor="text1" w:themeTint="F2"/>
          <w:spacing w:val="-3"/>
          <w:sz w:val="20"/>
          <w:szCs w:val="20"/>
          <w:lang w:eastAsia="es-ES"/>
        </w:rPr>
        <w:t xml:space="preserve"> de Colombia, articulo 53 y Ley 91 de 1989, articulo 15, numeral 2º, </w:t>
      </w:r>
      <w:r w:rsidR="00EE3371" w:rsidRPr="00002695">
        <w:rPr>
          <w:rFonts w:ascii="Century Gothic" w:eastAsia="Times New Roman" w:hAnsi="Century Gothic" w:cs="Century Gothic"/>
          <w:bCs/>
          <w:i/>
          <w:color w:val="0D0D0D" w:themeColor="text1" w:themeTint="F2"/>
          <w:spacing w:val="-3"/>
          <w:sz w:val="20"/>
          <w:szCs w:val="20"/>
          <w:lang w:eastAsia="es-ES"/>
        </w:rPr>
        <w:t>literal</w:t>
      </w:r>
      <w:r w:rsidRPr="00002695">
        <w:rPr>
          <w:rFonts w:ascii="Century Gothic" w:eastAsia="Times New Roman" w:hAnsi="Century Gothic" w:cs="Century Gothic"/>
          <w:bCs/>
          <w:i/>
          <w:color w:val="0D0D0D" w:themeColor="text1" w:themeTint="F2"/>
          <w:spacing w:val="-3"/>
          <w:sz w:val="20"/>
          <w:szCs w:val="20"/>
          <w:lang w:eastAsia="es-ES"/>
        </w:rPr>
        <w:t xml:space="preserve"> b. </w:t>
      </w:r>
    </w:p>
    <w:p w14:paraId="3215E0E7" w14:textId="003E7A25" w:rsidR="004C1981" w:rsidRPr="00002695" w:rsidRDefault="004C1981" w:rsidP="00356DB7">
      <w:pPr>
        <w:pStyle w:val="Prrafodelista"/>
        <w:numPr>
          <w:ilvl w:val="0"/>
          <w:numId w:val="15"/>
        </w:numPr>
        <w:suppressAutoHyphens/>
        <w:spacing w:after="0" w:line="240" w:lineRule="auto"/>
        <w:ind w:left="1554" w:hanging="567"/>
        <w:jc w:val="both"/>
        <w:rPr>
          <w:rFonts w:ascii="Century Gothic" w:eastAsia="Times New Roman" w:hAnsi="Century Gothic" w:cs="Century Gothic"/>
          <w:bCs/>
          <w:i/>
          <w:color w:val="0D0D0D" w:themeColor="text1" w:themeTint="F2"/>
          <w:spacing w:val="-3"/>
          <w:sz w:val="20"/>
          <w:szCs w:val="20"/>
          <w:lang w:eastAsia="es-ES"/>
        </w:rPr>
      </w:pPr>
      <w:r w:rsidRPr="00002695">
        <w:rPr>
          <w:rFonts w:ascii="Century Gothic" w:eastAsia="Times New Roman" w:hAnsi="Century Gothic" w:cs="Century Gothic"/>
          <w:bCs/>
          <w:i/>
          <w:color w:val="0D0D0D" w:themeColor="text1" w:themeTint="F2"/>
          <w:spacing w:val="-3"/>
          <w:sz w:val="20"/>
          <w:szCs w:val="20"/>
          <w:lang w:eastAsia="es-ES"/>
        </w:rPr>
        <w:lastRenderedPageBreak/>
        <w:t xml:space="preserve">Que sobre la mesada resultante se hagan los reajustes pensionales de ley conforme a la Ley 71 de 1988. </w:t>
      </w:r>
    </w:p>
    <w:p w14:paraId="4468B6ED" w14:textId="4946B54F" w:rsidR="004C1981" w:rsidRPr="00002695" w:rsidRDefault="004C1981" w:rsidP="00356DB7">
      <w:pPr>
        <w:pStyle w:val="Prrafodelista"/>
        <w:numPr>
          <w:ilvl w:val="0"/>
          <w:numId w:val="15"/>
        </w:numPr>
        <w:suppressAutoHyphens/>
        <w:spacing w:after="0" w:line="240" w:lineRule="auto"/>
        <w:ind w:left="1554" w:hanging="567"/>
        <w:jc w:val="both"/>
        <w:rPr>
          <w:rFonts w:ascii="Century Gothic" w:eastAsia="Times New Roman" w:hAnsi="Century Gothic" w:cs="Century Gothic"/>
          <w:bCs/>
          <w:i/>
          <w:color w:val="0D0D0D" w:themeColor="text1" w:themeTint="F2"/>
          <w:spacing w:val="-3"/>
          <w:sz w:val="20"/>
          <w:szCs w:val="20"/>
          <w:lang w:eastAsia="es-ES"/>
        </w:rPr>
      </w:pPr>
      <w:r w:rsidRPr="00002695">
        <w:rPr>
          <w:rFonts w:ascii="Century Gothic" w:eastAsia="Times New Roman" w:hAnsi="Century Gothic" w:cs="Century Gothic"/>
          <w:bCs/>
          <w:i/>
          <w:color w:val="0D0D0D" w:themeColor="text1" w:themeTint="F2"/>
          <w:spacing w:val="-3"/>
          <w:sz w:val="20"/>
          <w:szCs w:val="20"/>
          <w:lang w:eastAsia="es-ES"/>
        </w:rPr>
        <w:t xml:space="preserve">Condenar igualmente a la entidad demandada, a reconocer, liquidar y pagar los intereses de mora, sobre las sumas adeudadas, conforme lo dispone el </w:t>
      </w:r>
      <w:r w:rsidR="00EE3371" w:rsidRPr="00002695">
        <w:rPr>
          <w:rFonts w:ascii="Century Gothic" w:eastAsia="Times New Roman" w:hAnsi="Century Gothic" w:cs="Century Gothic"/>
          <w:bCs/>
          <w:i/>
          <w:color w:val="0D0D0D" w:themeColor="text1" w:themeTint="F2"/>
          <w:spacing w:val="-3"/>
          <w:sz w:val="20"/>
          <w:szCs w:val="20"/>
          <w:lang w:eastAsia="es-ES"/>
        </w:rPr>
        <w:t>artículo</w:t>
      </w:r>
      <w:r w:rsidRPr="00002695">
        <w:rPr>
          <w:rFonts w:ascii="Century Gothic" w:eastAsia="Times New Roman" w:hAnsi="Century Gothic" w:cs="Century Gothic"/>
          <w:bCs/>
          <w:i/>
          <w:color w:val="0D0D0D" w:themeColor="text1" w:themeTint="F2"/>
          <w:spacing w:val="-3"/>
          <w:sz w:val="20"/>
          <w:szCs w:val="20"/>
          <w:lang w:eastAsia="es-ES"/>
        </w:rPr>
        <w:t xml:space="preserve"> 195 del C.C.A. </w:t>
      </w:r>
    </w:p>
    <w:p w14:paraId="060F6038" w14:textId="6FCAD008" w:rsidR="004C1981" w:rsidRPr="00002695" w:rsidRDefault="004C1981" w:rsidP="00356DB7">
      <w:pPr>
        <w:pStyle w:val="Prrafodelista"/>
        <w:numPr>
          <w:ilvl w:val="0"/>
          <w:numId w:val="15"/>
        </w:numPr>
        <w:suppressAutoHyphens/>
        <w:spacing w:after="0" w:line="240" w:lineRule="auto"/>
        <w:ind w:left="1554" w:hanging="567"/>
        <w:jc w:val="both"/>
        <w:rPr>
          <w:rFonts w:ascii="Century Gothic" w:eastAsia="Times New Roman" w:hAnsi="Century Gothic" w:cs="Century Gothic"/>
          <w:bCs/>
          <w:i/>
          <w:color w:val="0D0D0D" w:themeColor="text1" w:themeTint="F2"/>
          <w:spacing w:val="-3"/>
          <w:sz w:val="20"/>
          <w:szCs w:val="20"/>
          <w:lang w:eastAsia="es-ES"/>
        </w:rPr>
      </w:pPr>
      <w:r w:rsidRPr="00002695">
        <w:rPr>
          <w:rFonts w:ascii="Century Gothic" w:eastAsia="Times New Roman" w:hAnsi="Century Gothic" w:cs="Century Gothic"/>
          <w:bCs/>
          <w:i/>
          <w:color w:val="0D0D0D" w:themeColor="text1" w:themeTint="F2"/>
          <w:spacing w:val="-3"/>
          <w:sz w:val="20"/>
          <w:szCs w:val="20"/>
          <w:lang w:eastAsia="es-ES"/>
        </w:rPr>
        <w:t xml:space="preserve">Condenar igualmente a la Nación- Ministerio de Educación Nacional, Fondo Nacional de </w:t>
      </w:r>
      <w:r w:rsidR="00EE3371" w:rsidRPr="00002695">
        <w:rPr>
          <w:rFonts w:ascii="Century Gothic" w:eastAsia="Times New Roman" w:hAnsi="Century Gothic" w:cs="Century Gothic"/>
          <w:bCs/>
          <w:i/>
          <w:color w:val="0D0D0D" w:themeColor="text1" w:themeTint="F2"/>
          <w:spacing w:val="-3"/>
          <w:sz w:val="20"/>
          <w:szCs w:val="20"/>
          <w:lang w:eastAsia="es-ES"/>
        </w:rPr>
        <w:t>Prestaciones</w:t>
      </w:r>
      <w:r w:rsidRPr="00002695">
        <w:rPr>
          <w:rFonts w:ascii="Century Gothic" w:eastAsia="Times New Roman" w:hAnsi="Century Gothic" w:cs="Century Gothic"/>
          <w:bCs/>
          <w:i/>
          <w:color w:val="0D0D0D" w:themeColor="text1" w:themeTint="F2"/>
          <w:spacing w:val="-3"/>
          <w:sz w:val="20"/>
          <w:szCs w:val="20"/>
          <w:lang w:eastAsia="es-ES"/>
        </w:rPr>
        <w:t xml:space="preserve"> Sociales del Magisterio, </w:t>
      </w:r>
      <w:r w:rsidR="00EE3371" w:rsidRPr="00002695">
        <w:rPr>
          <w:rFonts w:ascii="Century Gothic" w:eastAsia="Times New Roman" w:hAnsi="Century Gothic" w:cs="Century Gothic"/>
          <w:bCs/>
          <w:i/>
          <w:color w:val="0D0D0D" w:themeColor="text1" w:themeTint="F2"/>
          <w:spacing w:val="-3"/>
          <w:sz w:val="20"/>
          <w:szCs w:val="20"/>
          <w:lang w:eastAsia="es-ES"/>
        </w:rPr>
        <w:t>Oficina</w:t>
      </w:r>
      <w:r w:rsidRPr="00002695">
        <w:rPr>
          <w:rFonts w:ascii="Century Gothic" w:eastAsia="Times New Roman" w:hAnsi="Century Gothic" w:cs="Century Gothic"/>
          <w:bCs/>
          <w:i/>
          <w:color w:val="0D0D0D" w:themeColor="text1" w:themeTint="F2"/>
          <w:spacing w:val="-3"/>
          <w:sz w:val="20"/>
          <w:szCs w:val="20"/>
          <w:lang w:eastAsia="es-ES"/>
        </w:rPr>
        <w:t xml:space="preserve"> regional de BOLIVAR, a que de estricto cumplimiento a la sentencia conforme lo dispone el </w:t>
      </w:r>
      <w:r w:rsidR="00EE3371" w:rsidRPr="00002695">
        <w:rPr>
          <w:rFonts w:ascii="Century Gothic" w:eastAsia="Times New Roman" w:hAnsi="Century Gothic" w:cs="Century Gothic"/>
          <w:bCs/>
          <w:i/>
          <w:color w:val="0D0D0D" w:themeColor="text1" w:themeTint="F2"/>
          <w:spacing w:val="-3"/>
          <w:sz w:val="20"/>
          <w:szCs w:val="20"/>
          <w:lang w:eastAsia="es-ES"/>
        </w:rPr>
        <w:t>artículo</w:t>
      </w:r>
      <w:r w:rsidRPr="00002695">
        <w:rPr>
          <w:rFonts w:ascii="Century Gothic" w:eastAsia="Times New Roman" w:hAnsi="Century Gothic" w:cs="Century Gothic"/>
          <w:bCs/>
          <w:i/>
          <w:color w:val="0D0D0D" w:themeColor="text1" w:themeTint="F2"/>
          <w:spacing w:val="-3"/>
          <w:sz w:val="20"/>
          <w:szCs w:val="20"/>
          <w:lang w:eastAsia="es-ES"/>
        </w:rPr>
        <w:t xml:space="preserve"> 195 del C.P.A (Ley 1437 de 2011) y siguientes. </w:t>
      </w:r>
    </w:p>
    <w:p w14:paraId="5DC159A7" w14:textId="23B86E57" w:rsidR="004C1981" w:rsidRPr="00002695" w:rsidRDefault="00EE3371" w:rsidP="00356DB7">
      <w:pPr>
        <w:pStyle w:val="Prrafodelista"/>
        <w:numPr>
          <w:ilvl w:val="0"/>
          <w:numId w:val="15"/>
        </w:numPr>
        <w:suppressAutoHyphens/>
        <w:spacing w:after="0" w:line="240" w:lineRule="auto"/>
        <w:ind w:left="1554" w:hanging="567"/>
        <w:jc w:val="both"/>
        <w:rPr>
          <w:rFonts w:ascii="Century Gothic" w:eastAsia="Times New Roman" w:hAnsi="Century Gothic" w:cs="Century Gothic"/>
          <w:bCs/>
          <w:i/>
          <w:color w:val="0D0D0D" w:themeColor="text1" w:themeTint="F2"/>
          <w:spacing w:val="-3"/>
          <w:sz w:val="20"/>
          <w:szCs w:val="20"/>
          <w:lang w:eastAsia="es-ES"/>
        </w:rPr>
      </w:pPr>
      <w:r w:rsidRPr="00002695">
        <w:rPr>
          <w:rFonts w:ascii="Century Gothic" w:eastAsia="Times New Roman" w:hAnsi="Century Gothic" w:cs="Century Gothic"/>
          <w:bCs/>
          <w:i/>
          <w:color w:val="0D0D0D" w:themeColor="text1" w:themeTint="F2"/>
          <w:spacing w:val="-3"/>
          <w:sz w:val="20"/>
          <w:szCs w:val="20"/>
          <w:lang w:eastAsia="es-ES"/>
        </w:rPr>
        <w:t>Se condene en costas a la Demandada de conformidad con lo dispuesto en el artículo 188 del C.P.C. (Ley 1437 del 2011)”</w:t>
      </w:r>
    </w:p>
    <w:p w14:paraId="77B41ABA" w14:textId="77777777" w:rsidR="000B5099" w:rsidRPr="00002695" w:rsidRDefault="000B5099" w:rsidP="00356DB7">
      <w:pPr>
        <w:suppressAutoHyphens/>
        <w:spacing w:after="0" w:line="300" w:lineRule="auto"/>
        <w:jc w:val="both"/>
        <w:rPr>
          <w:rFonts w:ascii="Century Gothic" w:eastAsia="Times New Roman" w:hAnsi="Century Gothic" w:cs="Century Gothic"/>
          <w:bCs/>
          <w:color w:val="0D0D0D" w:themeColor="text1" w:themeTint="F2"/>
          <w:spacing w:val="-3"/>
          <w:sz w:val="24"/>
          <w:szCs w:val="24"/>
          <w:lang w:eastAsia="es-ES"/>
        </w:rPr>
      </w:pPr>
    </w:p>
    <w:p w14:paraId="6DCF7545" w14:textId="77777777" w:rsidR="00506694" w:rsidRPr="00002695" w:rsidRDefault="00506694" w:rsidP="00356DB7">
      <w:pPr>
        <w:autoSpaceDE w:val="0"/>
        <w:autoSpaceDN w:val="0"/>
        <w:adjustRightInd w:val="0"/>
        <w:spacing w:after="0" w:line="300" w:lineRule="auto"/>
        <w:jc w:val="both"/>
        <w:rPr>
          <w:rFonts w:ascii="Century Gothic" w:hAnsi="Century Gothic" w:cs="Arial"/>
          <w:bCs/>
          <w:i/>
          <w:color w:val="0D0D0D" w:themeColor="text1" w:themeTint="F2"/>
          <w:sz w:val="24"/>
          <w:szCs w:val="24"/>
          <w:lang w:val="es-CO" w:eastAsia="es-CO"/>
        </w:rPr>
      </w:pPr>
    </w:p>
    <w:p w14:paraId="23DEF03C" w14:textId="77777777" w:rsidR="00A14BD4" w:rsidRPr="00002695" w:rsidRDefault="00A14BD4" w:rsidP="00356DB7">
      <w:pPr>
        <w:autoSpaceDE w:val="0"/>
        <w:autoSpaceDN w:val="0"/>
        <w:adjustRightInd w:val="0"/>
        <w:spacing w:after="0" w:line="300" w:lineRule="auto"/>
        <w:jc w:val="both"/>
        <w:rPr>
          <w:rFonts w:ascii="Century Gothic" w:hAnsi="Century Gothic" w:cs="Arial"/>
          <w:b/>
          <w:color w:val="0D0D0D" w:themeColor="text1" w:themeTint="F2"/>
          <w:sz w:val="24"/>
          <w:szCs w:val="24"/>
          <w:lang w:val="es-CO" w:eastAsia="es-CO"/>
        </w:rPr>
      </w:pPr>
      <w:r w:rsidRPr="00002695">
        <w:rPr>
          <w:rFonts w:ascii="Century Gothic" w:hAnsi="Century Gothic" w:cs="Arial"/>
          <w:b/>
          <w:color w:val="0D0D0D" w:themeColor="text1" w:themeTint="F2"/>
          <w:sz w:val="24"/>
          <w:szCs w:val="24"/>
          <w:lang w:val="es-CO" w:eastAsia="es-CO"/>
        </w:rPr>
        <w:t>1.2. HECHOS</w:t>
      </w:r>
    </w:p>
    <w:p w14:paraId="3AB2FF65" w14:textId="77777777" w:rsidR="00A14BD4" w:rsidRPr="00002695" w:rsidRDefault="00A14BD4" w:rsidP="00356DB7">
      <w:pPr>
        <w:autoSpaceDE w:val="0"/>
        <w:autoSpaceDN w:val="0"/>
        <w:adjustRightInd w:val="0"/>
        <w:spacing w:after="0" w:line="300" w:lineRule="auto"/>
        <w:rPr>
          <w:rFonts w:ascii="Century Gothic" w:hAnsi="Century Gothic" w:cs="Arial"/>
          <w:color w:val="0D0D0D" w:themeColor="text1" w:themeTint="F2"/>
          <w:sz w:val="24"/>
          <w:szCs w:val="24"/>
          <w:lang w:val="es-CO" w:eastAsia="es-CO"/>
        </w:rPr>
      </w:pPr>
    </w:p>
    <w:p w14:paraId="7FFC981C" w14:textId="77777777" w:rsidR="00A14BD4" w:rsidRPr="00002695" w:rsidRDefault="00A14BD4" w:rsidP="00356DB7">
      <w:pPr>
        <w:autoSpaceDE w:val="0"/>
        <w:autoSpaceDN w:val="0"/>
        <w:adjustRightInd w:val="0"/>
        <w:spacing w:after="0" w:line="300" w:lineRule="auto"/>
        <w:rPr>
          <w:rFonts w:ascii="Century Gothic" w:hAnsi="Century Gothic" w:cs="Arial"/>
          <w:color w:val="0D0D0D" w:themeColor="text1" w:themeTint="F2"/>
          <w:sz w:val="24"/>
          <w:szCs w:val="24"/>
          <w:lang w:val="es-CO" w:eastAsia="es-CO"/>
        </w:rPr>
      </w:pPr>
      <w:r w:rsidRPr="00002695">
        <w:rPr>
          <w:rFonts w:ascii="Century Gothic" w:hAnsi="Century Gothic" w:cs="Arial"/>
          <w:color w:val="0D0D0D" w:themeColor="text1" w:themeTint="F2"/>
          <w:sz w:val="24"/>
          <w:szCs w:val="24"/>
          <w:lang w:val="es-CO" w:eastAsia="es-CO"/>
        </w:rPr>
        <w:t>Los hechos de la demanda se resumen de la siguiente manera:</w:t>
      </w:r>
    </w:p>
    <w:p w14:paraId="186462E2" w14:textId="77777777" w:rsidR="00A14BD4" w:rsidRPr="00002695" w:rsidRDefault="00A14BD4" w:rsidP="00356DB7">
      <w:pPr>
        <w:autoSpaceDE w:val="0"/>
        <w:autoSpaceDN w:val="0"/>
        <w:adjustRightInd w:val="0"/>
        <w:spacing w:after="0" w:line="300" w:lineRule="auto"/>
        <w:rPr>
          <w:rFonts w:ascii="Century Gothic" w:hAnsi="Century Gothic" w:cs="Arial"/>
          <w:color w:val="0D0D0D" w:themeColor="text1" w:themeTint="F2"/>
          <w:sz w:val="24"/>
          <w:szCs w:val="24"/>
          <w:lang w:val="es-CO" w:eastAsia="es-CO"/>
        </w:rPr>
      </w:pPr>
    </w:p>
    <w:p w14:paraId="13EFA1E1" w14:textId="506008B7" w:rsidR="00EE3371" w:rsidRPr="00002695" w:rsidRDefault="008008AC" w:rsidP="00356DB7">
      <w:pPr>
        <w:numPr>
          <w:ilvl w:val="0"/>
          <w:numId w:val="1"/>
        </w:numPr>
        <w:suppressAutoHyphens/>
        <w:spacing w:after="0" w:line="300" w:lineRule="auto"/>
        <w:jc w:val="both"/>
        <w:rPr>
          <w:rFonts w:ascii="Century Gothic" w:eastAsia="Times New Roman" w:hAnsi="Century Gothic" w:cs="Century Gothic"/>
          <w:color w:val="0D0D0D" w:themeColor="text1" w:themeTint="F2"/>
          <w:spacing w:val="-3"/>
          <w:sz w:val="24"/>
          <w:szCs w:val="24"/>
          <w:lang w:val="es-CO" w:eastAsia="es-ES"/>
        </w:rPr>
      </w:pPr>
      <w:r w:rsidRPr="00002695">
        <w:rPr>
          <w:rFonts w:ascii="Century Gothic" w:eastAsia="Times New Roman" w:hAnsi="Century Gothic" w:cs="Century Gothic"/>
          <w:color w:val="0D0D0D" w:themeColor="text1" w:themeTint="F2"/>
          <w:spacing w:val="-3"/>
          <w:sz w:val="24"/>
          <w:szCs w:val="24"/>
          <w:lang w:val="es-CO" w:eastAsia="es-ES"/>
        </w:rPr>
        <w:t>Se aducen como hechos de la demanda que</w:t>
      </w:r>
      <w:r w:rsidR="007442BF" w:rsidRPr="00002695">
        <w:rPr>
          <w:rFonts w:ascii="Century Gothic" w:eastAsia="Times New Roman" w:hAnsi="Century Gothic" w:cs="Century Gothic"/>
          <w:color w:val="0D0D0D" w:themeColor="text1" w:themeTint="F2"/>
          <w:spacing w:val="-3"/>
          <w:sz w:val="24"/>
          <w:szCs w:val="24"/>
          <w:lang w:val="es-CO" w:eastAsia="es-ES"/>
        </w:rPr>
        <w:t xml:space="preserve"> la señora </w:t>
      </w:r>
      <w:r w:rsidR="00EE3371" w:rsidRPr="00002695">
        <w:rPr>
          <w:rFonts w:ascii="Century Gothic" w:eastAsia="Times New Roman" w:hAnsi="Century Gothic" w:cs="Century Gothic"/>
          <w:color w:val="0D0D0D" w:themeColor="text1" w:themeTint="F2"/>
          <w:spacing w:val="-3"/>
          <w:sz w:val="24"/>
          <w:szCs w:val="24"/>
          <w:lang w:val="es-CO" w:eastAsia="es-ES"/>
        </w:rPr>
        <w:t xml:space="preserve">María Virginia Duran Narváez nació el 27 de mayo de 1961. </w:t>
      </w:r>
    </w:p>
    <w:p w14:paraId="028A4D7C" w14:textId="77777777" w:rsidR="00EE3371" w:rsidRPr="00002695" w:rsidRDefault="00EE3371" w:rsidP="00356DB7">
      <w:pPr>
        <w:suppressAutoHyphens/>
        <w:spacing w:after="0" w:line="300" w:lineRule="auto"/>
        <w:ind w:left="720"/>
        <w:jc w:val="both"/>
        <w:rPr>
          <w:rFonts w:ascii="Century Gothic" w:eastAsia="Times New Roman" w:hAnsi="Century Gothic" w:cs="Century Gothic"/>
          <w:color w:val="0D0D0D" w:themeColor="text1" w:themeTint="F2"/>
          <w:spacing w:val="-3"/>
          <w:sz w:val="24"/>
          <w:szCs w:val="24"/>
          <w:lang w:val="es-CO" w:eastAsia="es-ES"/>
        </w:rPr>
      </w:pPr>
    </w:p>
    <w:p w14:paraId="1AB8BF27" w14:textId="59AAC4CD" w:rsidR="002401F4" w:rsidRPr="00002695" w:rsidRDefault="00EE3371" w:rsidP="00356DB7">
      <w:pPr>
        <w:numPr>
          <w:ilvl w:val="0"/>
          <w:numId w:val="1"/>
        </w:numPr>
        <w:suppressAutoHyphens/>
        <w:spacing w:after="0" w:line="300" w:lineRule="auto"/>
        <w:jc w:val="both"/>
        <w:rPr>
          <w:rFonts w:ascii="Century Gothic" w:eastAsia="Times New Roman" w:hAnsi="Century Gothic" w:cs="Century Gothic"/>
          <w:color w:val="0D0D0D" w:themeColor="text1" w:themeTint="F2"/>
          <w:spacing w:val="-3"/>
          <w:sz w:val="24"/>
          <w:szCs w:val="24"/>
          <w:lang w:val="es-CO" w:eastAsia="es-ES"/>
        </w:rPr>
      </w:pPr>
      <w:r w:rsidRPr="00002695">
        <w:rPr>
          <w:rFonts w:ascii="Century Gothic" w:eastAsia="Times New Roman" w:hAnsi="Century Gothic" w:cs="Century Gothic"/>
          <w:color w:val="0D0D0D" w:themeColor="text1" w:themeTint="F2"/>
          <w:spacing w:val="-3"/>
          <w:sz w:val="24"/>
          <w:szCs w:val="24"/>
          <w:lang w:val="es-CO" w:eastAsia="es-ES"/>
        </w:rPr>
        <w:t xml:space="preserve">Señala la accionante, que el Fondo Nacional </w:t>
      </w:r>
      <w:r w:rsidR="002401F4" w:rsidRPr="00002695">
        <w:rPr>
          <w:rFonts w:ascii="Century Gothic" w:eastAsia="Times New Roman" w:hAnsi="Century Gothic" w:cs="Century Gothic"/>
          <w:color w:val="0D0D0D" w:themeColor="text1" w:themeTint="F2"/>
          <w:spacing w:val="-3"/>
          <w:sz w:val="24"/>
          <w:szCs w:val="24"/>
          <w:lang w:val="es-CO" w:eastAsia="es-ES"/>
        </w:rPr>
        <w:t>de P</w:t>
      </w:r>
      <w:r w:rsidRPr="00002695">
        <w:rPr>
          <w:rFonts w:ascii="Century Gothic" w:eastAsia="Times New Roman" w:hAnsi="Century Gothic" w:cs="Century Gothic"/>
          <w:color w:val="0D0D0D" w:themeColor="text1" w:themeTint="F2"/>
          <w:spacing w:val="-3"/>
          <w:sz w:val="24"/>
          <w:szCs w:val="24"/>
          <w:lang w:val="es-CO" w:eastAsia="es-ES"/>
        </w:rPr>
        <w:t xml:space="preserve">restaciones Sociales del Magisterio, Oficina Regional de Bolívar, por sus servicios prestados como Docente Municipal durante más de veinte años le reconoció pensión de jubilación. </w:t>
      </w:r>
      <w:r w:rsidR="002401F4" w:rsidRPr="00002695">
        <w:rPr>
          <w:rFonts w:ascii="Century Gothic" w:eastAsia="Times New Roman" w:hAnsi="Century Gothic" w:cs="Century Gothic"/>
          <w:color w:val="0D0D0D" w:themeColor="text1" w:themeTint="F2"/>
          <w:spacing w:val="-3"/>
          <w:sz w:val="24"/>
          <w:szCs w:val="24"/>
          <w:lang w:val="es-CO" w:eastAsia="es-ES"/>
        </w:rPr>
        <w:t xml:space="preserve">Lo anterior se realizó mediante Resolución No. 1984 del 15 de junio del 2017, haciéndose efectiva dicha pensión a partir del 28 de mayo de 2016, en cuantía de $2.448.761.oo. </w:t>
      </w:r>
    </w:p>
    <w:p w14:paraId="2AA55890" w14:textId="77777777" w:rsidR="002401F4" w:rsidRPr="00002695" w:rsidRDefault="002401F4" w:rsidP="00356DB7">
      <w:pPr>
        <w:pStyle w:val="Prrafodelista"/>
        <w:spacing w:line="300" w:lineRule="auto"/>
        <w:rPr>
          <w:rFonts w:ascii="Century Gothic" w:eastAsia="Times New Roman" w:hAnsi="Century Gothic" w:cs="Century Gothic"/>
          <w:color w:val="0D0D0D" w:themeColor="text1" w:themeTint="F2"/>
          <w:spacing w:val="-3"/>
          <w:sz w:val="24"/>
          <w:szCs w:val="24"/>
          <w:lang w:val="es-CO" w:eastAsia="es-ES"/>
        </w:rPr>
      </w:pPr>
    </w:p>
    <w:p w14:paraId="132B8BAF" w14:textId="2B27B370" w:rsidR="002401F4" w:rsidRPr="00002695" w:rsidRDefault="002401F4" w:rsidP="00356DB7">
      <w:pPr>
        <w:numPr>
          <w:ilvl w:val="0"/>
          <w:numId w:val="1"/>
        </w:numPr>
        <w:suppressAutoHyphens/>
        <w:spacing w:after="0" w:line="300" w:lineRule="auto"/>
        <w:jc w:val="both"/>
        <w:rPr>
          <w:rFonts w:ascii="Century Gothic" w:eastAsia="Times New Roman" w:hAnsi="Century Gothic" w:cs="Century Gothic"/>
          <w:color w:val="0D0D0D" w:themeColor="text1" w:themeTint="F2"/>
          <w:spacing w:val="-3"/>
          <w:sz w:val="24"/>
          <w:szCs w:val="24"/>
          <w:lang w:val="es-CO" w:eastAsia="es-ES"/>
        </w:rPr>
      </w:pPr>
      <w:r w:rsidRPr="00002695">
        <w:rPr>
          <w:rFonts w:ascii="Century Gothic" w:eastAsia="Times New Roman" w:hAnsi="Century Gothic" w:cs="Century Gothic"/>
          <w:color w:val="0D0D0D" w:themeColor="text1" w:themeTint="F2"/>
          <w:spacing w:val="-3"/>
          <w:sz w:val="24"/>
          <w:szCs w:val="24"/>
          <w:lang w:val="es-CO" w:eastAsia="es-ES"/>
        </w:rPr>
        <w:t xml:space="preserve">Indica la parte accionante, que la pensión es pagada por intermedio de </w:t>
      </w:r>
      <w:proofErr w:type="spellStart"/>
      <w:r w:rsidRPr="00002695">
        <w:rPr>
          <w:rFonts w:ascii="Century Gothic" w:eastAsia="Times New Roman" w:hAnsi="Century Gothic" w:cs="Century Gothic"/>
          <w:color w:val="0D0D0D" w:themeColor="text1" w:themeTint="F2"/>
          <w:spacing w:val="-3"/>
          <w:sz w:val="24"/>
          <w:szCs w:val="24"/>
          <w:lang w:val="es-CO" w:eastAsia="es-ES"/>
        </w:rPr>
        <w:t>Fiduprevisora</w:t>
      </w:r>
      <w:proofErr w:type="spellEnd"/>
      <w:r w:rsidRPr="00002695">
        <w:rPr>
          <w:rFonts w:ascii="Century Gothic" w:eastAsia="Times New Roman" w:hAnsi="Century Gothic" w:cs="Century Gothic"/>
          <w:color w:val="0D0D0D" w:themeColor="text1" w:themeTint="F2"/>
          <w:spacing w:val="-3"/>
          <w:sz w:val="24"/>
          <w:szCs w:val="24"/>
          <w:lang w:val="es-CO" w:eastAsia="es-ES"/>
        </w:rPr>
        <w:t xml:space="preserve"> S.A, entidad fiduciaria encargada de manejar los recursos del Fondo Nacional de prestaciones Sociales del Magisterio. </w:t>
      </w:r>
    </w:p>
    <w:p w14:paraId="2D1B9A2B" w14:textId="77777777" w:rsidR="002401F4" w:rsidRPr="00002695" w:rsidRDefault="002401F4" w:rsidP="00356DB7">
      <w:pPr>
        <w:pStyle w:val="Prrafodelista"/>
        <w:spacing w:line="300" w:lineRule="auto"/>
        <w:rPr>
          <w:rFonts w:ascii="Century Gothic" w:eastAsia="Times New Roman" w:hAnsi="Century Gothic" w:cs="Century Gothic"/>
          <w:color w:val="0D0D0D" w:themeColor="text1" w:themeTint="F2"/>
          <w:spacing w:val="-3"/>
          <w:sz w:val="24"/>
          <w:szCs w:val="24"/>
          <w:lang w:val="es-CO" w:eastAsia="es-ES"/>
        </w:rPr>
      </w:pPr>
    </w:p>
    <w:p w14:paraId="4249FACF" w14:textId="34EC1291" w:rsidR="002401F4" w:rsidRPr="00002695" w:rsidRDefault="002401F4" w:rsidP="00356DB7">
      <w:pPr>
        <w:numPr>
          <w:ilvl w:val="0"/>
          <w:numId w:val="1"/>
        </w:numPr>
        <w:suppressAutoHyphens/>
        <w:spacing w:after="0" w:line="300" w:lineRule="auto"/>
        <w:jc w:val="both"/>
        <w:rPr>
          <w:rFonts w:ascii="Century Gothic" w:eastAsia="Times New Roman" w:hAnsi="Century Gothic" w:cs="Century Gothic"/>
          <w:color w:val="0D0D0D" w:themeColor="text1" w:themeTint="F2"/>
          <w:spacing w:val="-3"/>
          <w:sz w:val="24"/>
          <w:szCs w:val="24"/>
          <w:lang w:val="es-CO" w:eastAsia="es-ES"/>
        </w:rPr>
      </w:pPr>
      <w:r w:rsidRPr="00002695">
        <w:rPr>
          <w:rFonts w:ascii="Century Gothic" w:eastAsia="Times New Roman" w:hAnsi="Century Gothic" w:cs="Century Gothic"/>
          <w:color w:val="0D0D0D" w:themeColor="text1" w:themeTint="F2"/>
          <w:spacing w:val="-3"/>
          <w:sz w:val="24"/>
          <w:szCs w:val="24"/>
          <w:lang w:val="es-CO" w:eastAsia="es-ES"/>
        </w:rPr>
        <w:t>Arguye la demandante, que para la liquidación de la pensión de jubilación, únicamente se tuvo en cuenta la asignación básica mensual, sobresueldo y prima de vacaciones, desconociendo los demás factores salariales como la prima de navidad, asignación adicional coordinador 20%, prima de servicios</w:t>
      </w:r>
      <w:r w:rsidR="00356DB7" w:rsidRPr="00002695">
        <w:rPr>
          <w:rFonts w:ascii="Century Gothic" w:eastAsia="Times New Roman" w:hAnsi="Century Gothic" w:cs="Century Gothic"/>
          <w:color w:val="0D0D0D" w:themeColor="text1" w:themeTint="F2"/>
          <w:spacing w:val="-3"/>
          <w:sz w:val="24"/>
          <w:szCs w:val="24"/>
          <w:lang w:val="es-CO" w:eastAsia="es-ES"/>
        </w:rPr>
        <w:t xml:space="preserve">. </w:t>
      </w:r>
    </w:p>
    <w:p w14:paraId="5F910796" w14:textId="77777777" w:rsidR="00356DB7" w:rsidRPr="00002695" w:rsidRDefault="00356DB7" w:rsidP="00356DB7">
      <w:pPr>
        <w:suppressAutoHyphens/>
        <w:spacing w:after="0" w:line="300" w:lineRule="auto"/>
        <w:jc w:val="both"/>
        <w:rPr>
          <w:rFonts w:ascii="Century Gothic" w:eastAsia="Times New Roman" w:hAnsi="Century Gothic" w:cs="Century Gothic"/>
          <w:color w:val="0D0D0D" w:themeColor="text1" w:themeTint="F2"/>
          <w:spacing w:val="-3"/>
          <w:sz w:val="24"/>
          <w:szCs w:val="24"/>
          <w:lang w:val="es-CO" w:eastAsia="es-ES"/>
        </w:rPr>
      </w:pPr>
    </w:p>
    <w:p w14:paraId="41D007DA" w14:textId="77777777" w:rsidR="00696F13" w:rsidRPr="00002695" w:rsidRDefault="00696F13" w:rsidP="00356DB7">
      <w:pPr>
        <w:autoSpaceDE w:val="0"/>
        <w:autoSpaceDN w:val="0"/>
        <w:adjustRightInd w:val="0"/>
        <w:spacing w:after="0" w:line="300" w:lineRule="auto"/>
        <w:jc w:val="both"/>
        <w:rPr>
          <w:rFonts w:ascii="Century Gothic" w:hAnsi="Century Gothic" w:cs="Arial"/>
          <w:color w:val="0D0D0D" w:themeColor="text1" w:themeTint="F2"/>
          <w:sz w:val="24"/>
          <w:szCs w:val="24"/>
          <w:lang w:val="es-CO" w:eastAsia="es-CO"/>
        </w:rPr>
      </w:pPr>
    </w:p>
    <w:p w14:paraId="1AF95210" w14:textId="077A6EF0" w:rsidR="000A71AC" w:rsidRPr="00002695" w:rsidRDefault="006741E0" w:rsidP="00356DB7">
      <w:pPr>
        <w:autoSpaceDE w:val="0"/>
        <w:autoSpaceDN w:val="0"/>
        <w:adjustRightInd w:val="0"/>
        <w:spacing w:after="0" w:line="300" w:lineRule="auto"/>
        <w:jc w:val="both"/>
        <w:rPr>
          <w:rFonts w:ascii="Century Gothic" w:hAnsi="Century Gothic" w:cs="Arial"/>
          <w:b/>
          <w:color w:val="0D0D0D" w:themeColor="text1" w:themeTint="F2"/>
          <w:sz w:val="24"/>
          <w:szCs w:val="24"/>
          <w:lang w:val="es-CO" w:eastAsia="es-CO"/>
        </w:rPr>
      </w:pPr>
      <w:r>
        <w:rPr>
          <w:rFonts w:ascii="Century Gothic" w:hAnsi="Century Gothic" w:cs="Arial"/>
          <w:b/>
          <w:color w:val="0D0D0D" w:themeColor="text1" w:themeTint="F2"/>
          <w:sz w:val="24"/>
          <w:szCs w:val="24"/>
          <w:lang w:val="es-CO" w:eastAsia="es-CO"/>
        </w:rPr>
        <w:t>1.</w:t>
      </w:r>
      <w:r w:rsidR="00A14BD4" w:rsidRPr="00002695">
        <w:rPr>
          <w:rFonts w:ascii="Century Gothic" w:hAnsi="Century Gothic" w:cs="Arial"/>
          <w:b/>
          <w:color w:val="0D0D0D" w:themeColor="text1" w:themeTint="F2"/>
          <w:sz w:val="24"/>
          <w:szCs w:val="24"/>
          <w:lang w:val="es-CO" w:eastAsia="es-CO"/>
        </w:rPr>
        <w:t xml:space="preserve">3. </w:t>
      </w:r>
      <w:r w:rsidR="003B0A85" w:rsidRPr="00002695">
        <w:rPr>
          <w:rFonts w:ascii="Century Gothic" w:hAnsi="Century Gothic" w:cs="Arial"/>
          <w:b/>
          <w:color w:val="0D0D0D" w:themeColor="text1" w:themeTint="F2"/>
          <w:sz w:val="24"/>
          <w:szCs w:val="24"/>
          <w:lang w:val="es-CO" w:eastAsia="es-CO"/>
        </w:rPr>
        <w:t xml:space="preserve">Normas violadas y concepto de violación. </w:t>
      </w:r>
    </w:p>
    <w:p w14:paraId="727F402C" w14:textId="69CDE323" w:rsidR="001A4FB0" w:rsidRPr="00002695" w:rsidRDefault="00A14BD4" w:rsidP="00356DB7">
      <w:pPr>
        <w:autoSpaceDE w:val="0"/>
        <w:autoSpaceDN w:val="0"/>
        <w:adjustRightInd w:val="0"/>
        <w:spacing w:after="0" w:line="300" w:lineRule="auto"/>
        <w:jc w:val="both"/>
        <w:rPr>
          <w:rFonts w:ascii="Century Gothic" w:hAnsi="Century Gothic" w:cs="Arial"/>
          <w:color w:val="0D0D0D" w:themeColor="text1" w:themeTint="F2"/>
          <w:sz w:val="24"/>
          <w:szCs w:val="24"/>
          <w:lang w:val="es-CO" w:eastAsia="es-CO"/>
        </w:rPr>
      </w:pPr>
      <w:r w:rsidRPr="00002695">
        <w:rPr>
          <w:rFonts w:ascii="Century Gothic" w:hAnsi="Century Gothic" w:cs="Arial"/>
          <w:b/>
          <w:color w:val="0D0D0D" w:themeColor="text1" w:themeTint="F2"/>
          <w:sz w:val="24"/>
          <w:szCs w:val="24"/>
          <w:lang w:val="es-CO" w:eastAsia="es-CO"/>
        </w:rPr>
        <w:t xml:space="preserve"> </w:t>
      </w:r>
    </w:p>
    <w:p w14:paraId="1606D0DE" w14:textId="2459BC98" w:rsidR="00FB49EC" w:rsidRPr="00002695" w:rsidRDefault="003B0A85" w:rsidP="00356DB7">
      <w:pPr>
        <w:spacing w:after="0" w:line="300" w:lineRule="auto"/>
        <w:jc w:val="both"/>
        <w:rPr>
          <w:rFonts w:ascii="Century Gothic" w:eastAsia="Times New Roman" w:hAnsi="Century Gothic" w:cs="Century Gothic"/>
          <w:color w:val="0D0D0D" w:themeColor="text1" w:themeTint="F2"/>
          <w:spacing w:val="-3"/>
          <w:sz w:val="24"/>
          <w:szCs w:val="24"/>
          <w:lang w:val="es-ES_tradnl" w:eastAsia="es-ES"/>
        </w:rPr>
      </w:pPr>
      <w:r w:rsidRPr="00002695">
        <w:rPr>
          <w:rFonts w:ascii="Century Gothic" w:eastAsia="Times New Roman" w:hAnsi="Century Gothic" w:cs="Century Gothic"/>
          <w:color w:val="0D0D0D" w:themeColor="text1" w:themeTint="F2"/>
          <w:spacing w:val="-3"/>
          <w:sz w:val="24"/>
          <w:szCs w:val="24"/>
          <w:lang w:val="es-ES_tradnl" w:eastAsia="es-ES"/>
        </w:rPr>
        <w:lastRenderedPageBreak/>
        <w:t xml:space="preserve">La parte accionante considera como vulnerado su derecho pensional, el cual tiene su </w:t>
      </w:r>
      <w:r w:rsidR="009D0485" w:rsidRPr="00002695">
        <w:rPr>
          <w:rFonts w:ascii="Century Gothic" w:eastAsia="Times New Roman" w:hAnsi="Century Gothic" w:cs="Century Gothic"/>
          <w:color w:val="0D0D0D" w:themeColor="text1" w:themeTint="F2"/>
          <w:spacing w:val="-3"/>
          <w:sz w:val="24"/>
          <w:szCs w:val="24"/>
          <w:lang w:val="es-ES_tradnl" w:eastAsia="es-ES"/>
        </w:rPr>
        <w:t>fundamento</w:t>
      </w:r>
      <w:r w:rsidRPr="00002695">
        <w:rPr>
          <w:rFonts w:ascii="Century Gothic" w:eastAsia="Times New Roman" w:hAnsi="Century Gothic" w:cs="Century Gothic"/>
          <w:color w:val="0D0D0D" w:themeColor="text1" w:themeTint="F2"/>
          <w:spacing w:val="-3"/>
          <w:sz w:val="24"/>
          <w:szCs w:val="24"/>
          <w:lang w:val="es-ES_tradnl" w:eastAsia="es-ES"/>
        </w:rPr>
        <w:t xml:space="preserve"> en la ley 6 de 1945, articulo </w:t>
      </w:r>
      <w:r w:rsidR="009D0485" w:rsidRPr="00002695">
        <w:rPr>
          <w:rFonts w:ascii="Century Gothic" w:eastAsia="Times New Roman" w:hAnsi="Century Gothic" w:cs="Century Gothic"/>
          <w:color w:val="0D0D0D" w:themeColor="text1" w:themeTint="F2"/>
          <w:spacing w:val="-3"/>
          <w:sz w:val="24"/>
          <w:szCs w:val="24"/>
          <w:lang w:val="es-ES_tradnl" w:eastAsia="es-ES"/>
        </w:rPr>
        <w:t xml:space="preserve">17, literal b y ley 33 de 1985, por haber cumplido cincuenta y seis (56) años de edad y veinticuatro (24) años de servicio. </w:t>
      </w:r>
    </w:p>
    <w:p w14:paraId="46EC45EF" w14:textId="77777777" w:rsidR="002401F4" w:rsidRPr="00002695" w:rsidRDefault="002401F4" w:rsidP="00356DB7">
      <w:pPr>
        <w:spacing w:after="0" w:line="300" w:lineRule="auto"/>
        <w:jc w:val="both"/>
        <w:rPr>
          <w:rFonts w:ascii="Century Gothic" w:eastAsia="Times New Roman" w:hAnsi="Century Gothic" w:cs="Century Gothic"/>
          <w:b/>
          <w:bCs/>
          <w:color w:val="0D0D0D" w:themeColor="text1" w:themeTint="F2"/>
          <w:sz w:val="24"/>
          <w:szCs w:val="24"/>
        </w:rPr>
      </w:pPr>
    </w:p>
    <w:p w14:paraId="2D8A1D67" w14:textId="07BB8EA3" w:rsidR="00DE7824" w:rsidRPr="00002695" w:rsidRDefault="006741E0" w:rsidP="00356DB7">
      <w:pPr>
        <w:spacing w:after="0" w:line="300" w:lineRule="auto"/>
        <w:ind w:left="-142"/>
        <w:jc w:val="both"/>
        <w:rPr>
          <w:rFonts w:ascii="Century Gothic" w:eastAsia="Times New Roman" w:hAnsi="Century Gothic" w:cs="Century Gothic"/>
          <w:b/>
          <w:bCs/>
          <w:color w:val="0D0D0D" w:themeColor="text1" w:themeTint="F2"/>
          <w:sz w:val="24"/>
          <w:szCs w:val="24"/>
        </w:rPr>
      </w:pPr>
      <w:r>
        <w:rPr>
          <w:rFonts w:ascii="Century Gothic" w:eastAsia="Times New Roman" w:hAnsi="Century Gothic" w:cs="Century Gothic"/>
          <w:b/>
          <w:bCs/>
          <w:color w:val="0D0D0D" w:themeColor="text1" w:themeTint="F2"/>
          <w:sz w:val="24"/>
          <w:szCs w:val="24"/>
        </w:rPr>
        <w:t>2</w:t>
      </w:r>
      <w:r w:rsidR="002401F4" w:rsidRPr="00002695">
        <w:rPr>
          <w:rFonts w:ascii="Century Gothic" w:eastAsia="Times New Roman" w:hAnsi="Century Gothic" w:cs="Century Gothic"/>
          <w:b/>
          <w:bCs/>
          <w:color w:val="0D0D0D" w:themeColor="text1" w:themeTint="F2"/>
          <w:sz w:val="24"/>
          <w:szCs w:val="24"/>
        </w:rPr>
        <w:t xml:space="preserve">. </w:t>
      </w:r>
      <w:r w:rsidR="00DE7824" w:rsidRPr="00002695">
        <w:rPr>
          <w:rFonts w:ascii="Century Gothic" w:eastAsia="Times New Roman" w:hAnsi="Century Gothic" w:cs="Century Gothic"/>
          <w:b/>
          <w:bCs/>
          <w:color w:val="0D0D0D" w:themeColor="text1" w:themeTint="F2"/>
          <w:sz w:val="24"/>
          <w:szCs w:val="24"/>
        </w:rPr>
        <w:t>S</w:t>
      </w:r>
      <w:r w:rsidR="002401F4" w:rsidRPr="00002695">
        <w:rPr>
          <w:rFonts w:ascii="Century Gothic" w:eastAsia="Times New Roman" w:hAnsi="Century Gothic" w:cs="Century Gothic"/>
          <w:b/>
          <w:bCs/>
          <w:color w:val="0D0D0D" w:themeColor="text1" w:themeTint="F2"/>
          <w:sz w:val="24"/>
          <w:szCs w:val="24"/>
        </w:rPr>
        <w:t>entencia apelada</w:t>
      </w:r>
      <w:r w:rsidR="002401F4" w:rsidRPr="00002695">
        <w:rPr>
          <w:rStyle w:val="Refdenotaalpie"/>
          <w:rFonts w:ascii="Century Gothic" w:eastAsia="Times New Roman" w:hAnsi="Century Gothic" w:cs="Century Gothic"/>
          <w:b/>
          <w:bCs/>
          <w:color w:val="0D0D0D" w:themeColor="text1" w:themeTint="F2"/>
          <w:sz w:val="24"/>
          <w:szCs w:val="24"/>
        </w:rPr>
        <w:footnoteReference w:id="1"/>
      </w:r>
      <w:r w:rsidR="009606E7" w:rsidRPr="00002695">
        <w:rPr>
          <w:rFonts w:ascii="Century Gothic" w:eastAsia="Times New Roman" w:hAnsi="Century Gothic" w:cs="Century Gothic"/>
          <w:b/>
          <w:bCs/>
          <w:color w:val="0D0D0D" w:themeColor="text1" w:themeTint="F2"/>
          <w:sz w:val="24"/>
          <w:szCs w:val="24"/>
        </w:rPr>
        <w:t xml:space="preserve">. </w:t>
      </w:r>
    </w:p>
    <w:p w14:paraId="2696D0C3" w14:textId="77777777" w:rsidR="00DE7824" w:rsidRPr="00002695" w:rsidRDefault="00DE7824" w:rsidP="00356DB7">
      <w:pPr>
        <w:spacing w:after="0" w:line="300" w:lineRule="auto"/>
        <w:ind w:left="-142"/>
        <w:jc w:val="both"/>
        <w:rPr>
          <w:rFonts w:ascii="Century Gothic" w:eastAsia="Times New Roman" w:hAnsi="Century Gothic" w:cs="Century Gothic"/>
          <w:b/>
          <w:bCs/>
          <w:color w:val="0D0D0D" w:themeColor="text1" w:themeTint="F2"/>
          <w:sz w:val="24"/>
          <w:szCs w:val="24"/>
        </w:rPr>
      </w:pPr>
    </w:p>
    <w:p w14:paraId="02D3823D" w14:textId="23C979C8" w:rsidR="00DE7824" w:rsidRPr="00002695" w:rsidRDefault="00DE7824" w:rsidP="00356DB7">
      <w:pPr>
        <w:spacing w:after="0" w:line="300" w:lineRule="auto"/>
        <w:ind w:left="-142"/>
        <w:jc w:val="both"/>
        <w:rPr>
          <w:rFonts w:ascii="Century Gothic" w:eastAsia="Times New Roman" w:hAnsi="Century Gothic" w:cs="Century Gothic"/>
          <w:b/>
          <w:bCs/>
          <w:color w:val="0D0D0D" w:themeColor="text1" w:themeTint="F2"/>
          <w:sz w:val="24"/>
          <w:szCs w:val="24"/>
        </w:rPr>
      </w:pPr>
      <w:r w:rsidRPr="00002695">
        <w:rPr>
          <w:rFonts w:ascii="Century Gothic" w:eastAsia="Calibri" w:hAnsi="Century Gothic" w:cs="Century Gothic"/>
          <w:bCs/>
          <w:color w:val="0D0D0D" w:themeColor="text1" w:themeTint="F2"/>
          <w:sz w:val="24"/>
          <w:szCs w:val="24"/>
        </w:rPr>
        <w:t>Mediante sentencia de fecha</w:t>
      </w:r>
      <w:r w:rsidR="009606E7" w:rsidRPr="00002695">
        <w:rPr>
          <w:rFonts w:ascii="Century Gothic" w:eastAsia="Calibri" w:hAnsi="Century Gothic" w:cs="Century Gothic"/>
          <w:bCs/>
          <w:color w:val="0D0D0D" w:themeColor="text1" w:themeTint="F2"/>
          <w:sz w:val="24"/>
          <w:szCs w:val="24"/>
        </w:rPr>
        <w:t xml:space="preserve"> doce (12) d</w:t>
      </w:r>
      <w:r w:rsidRPr="00002695">
        <w:rPr>
          <w:rFonts w:ascii="Century Gothic" w:eastAsia="Calibri" w:hAnsi="Century Gothic" w:cs="Century Gothic"/>
          <w:bCs/>
          <w:color w:val="0D0D0D" w:themeColor="text1" w:themeTint="F2"/>
          <w:sz w:val="24"/>
          <w:szCs w:val="24"/>
        </w:rPr>
        <w:t>e septie</w:t>
      </w:r>
      <w:r w:rsidR="009606E7" w:rsidRPr="00002695">
        <w:rPr>
          <w:rFonts w:ascii="Century Gothic" w:eastAsia="Calibri" w:hAnsi="Century Gothic" w:cs="Century Gothic"/>
          <w:bCs/>
          <w:color w:val="0D0D0D" w:themeColor="text1" w:themeTint="F2"/>
          <w:sz w:val="24"/>
          <w:szCs w:val="24"/>
        </w:rPr>
        <w:t xml:space="preserve">mbre de 2018, el Juzgado Décimo Tercero </w:t>
      </w:r>
      <w:r w:rsidRPr="00002695">
        <w:rPr>
          <w:rFonts w:ascii="Century Gothic" w:eastAsia="Calibri" w:hAnsi="Century Gothic" w:cs="Century Gothic"/>
          <w:bCs/>
          <w:color w:val="0D0D0D" w:themeColor="text1" w:themeTint="F2"/>
          <w:sz w:val="24"/>
          <w:szCs w:val="24"/>
        </w:rPr>
        <w:t xml:space="preserve">Administrativo del Circuito de Cartagena, resolvió negar las pretensiones de la demanda.  </w:t>
      </w:r>
    </w:p>
    <w:p w14:paraId="073816E2" w14:textId="77777777" w:rsidR="00DE7824" w:rsidRPr="00002695" w:rsidRDefault="00DE7824" w:rsidP="00356DB7">
      <w:pPr>
        <w:spacing w:after="0" w:line="300" w:lineRule="auto"/>
        <w:ind w:left="-142"/>
        <w:jc w:val="both"/>
        <w:rPr>
          <w:rFonts w:ascii="Century Gothic" w:eastAsia="Times New Roman" w:hAnsi="Century Gothic" w:cs="Century Gothic"/>
          <w:b/>
          <w:bCs/>
          <w:color w:val="0D0D0D" w:themeColor="text1" w:themeTint="F2"/>
          <w:sz w:val="24"/>
          <w:szCs w:val="24"/>
        </w:rPr>
      </w:pPr>
    </w:p>
    <w:p w14:paraId="2C616C14" w14:textId="77777777" w:rsidR="009606E7" w:rsidRPr="00002695" w:rsidRDefault="009606E7" w:rsidP="00356DB7">
      <w:pPr>
        <w:spacing w:after="0" w:line="300" w:lineRule="auto"/>
        <w:ind w:left="-142"/>
        <w:jc w:val="both"/>
        <w:rPr>
          <w:rFonts w:ascii="Century Gothic" w:hAnsi="Century Gothic"/>
          <w:color w:val="0D0D0D" w:themeColor="text1" w:themeTint="F2"/>
          <w:sz w:val="24"/>
          <w:szCs w:val="24"/>
        </w:rPr>
      </w:pPr>
      <w:r w:rsidRPr="00002695">
        <w:rPr>
          <w:rFonts w:ascii="Century Gothic" w:hAnsi="Century Gothic"/>
          <w:color w:val="0D0D0D" w:themeColor="text1" w:themeTint="F2"/>
          <w:sz w:val="24"/>
          <w:szCs w:val="24"/>
        </w:rPr>
        <w:t xml:space="preserve">Manifestó el A quo que el régimen aplicable a la demandante es el consagrado en la Ley 33 de 1985, y en las demás normas que la modificaron y complementaron. Señala, que para el 29 de mayo de 2016, fecha siguiente al estatus pensional, la mesada por pensión ordinaria de jubilación de la actora debió ascender a la suma de $2.361.116,39, pero si se observa la Resolución 1984 del 15 de junio de 2017 la entidad demandada le reconoció por este concepto la suma de $2.448.761, siendo este valor superior.  </w:t>
      </w:r>
    </w:p>
    <w:p w14:paraId="2145B560" w14:textId="77777777" w:rsidR="009606E7" w:rsidRPr="00002695" w:rsidRDefault="009606E7" w:rsidP="00356DB7">
      <w:pPr>
        <w:spacing w:after="0" w:line="300" w:lineRule="auto"/>
        <w:ind w:left="-142"/>
        <w:jc w:val="both"/>
        <w:rPr>
          <w:rFonts w:ascii="Century Gothic" w:hAnsi="Century Gothic"/>
          <w:color w:val="0D0D0D" w:themeColor="text1" w:themeTint="F2"/>
          <w:sz w:val="24"/>
          <w:szCs w:val="24"/>
        </w:rPr>
      </w:pPr>
    </w:p>
    <w:p w14:paraId="62B6B8BE" w14:textId="57902C69" w:rsidR="00DE7824" w:rsidRPr="00002695" w:rsidRDefault="009606E7" w:rsidP="00356DB7">
      <w:pPr>
        <w:spacing w:after="0" w:line="300" w:lineRule="auto"/>
        <w:ind w:left="-142"/>
        <w:jc w:val="both"/>
        <w:rPr>
          <w:rFonts w:ascii="Century Gothic" w:hAnsi="Century Gothic"/>
          <w:color w:val="0D0D0D" w:themeColor="text1" w:themeTint="F2"/>
          <w:sz w:val="24"/>
          <w:szCs w:val="24"/>
        </w:rPr>
      </w:pPr>
      <w:r w:rsidRPr="00002695">
        <w:rPr>
          <w:rFonts w:ascii="Century Gothic" w:hAnsi="Century Gothic"/>
          <w:color w:val="0D0D0D" w:themeColor="text1" w:themeTint="F2"/>
          <w:sz w:val="24"/>
          <w:szCs w:val="24"/>
        </w:rPr>
        <w:t xml:space="preserve">Concluye que no se evidencia la indebida interpretación o aplicación errada de la norma aplicable al caso.  </w:t>
      </w:r>
    </w:p>
    <w:p w14:paraId="5104ADDB" w14:textId="77777777" w:rsidR="00575E0F" w:rsidRPr="00002695" w:rsidRDefault="00575E0F" w:rsidP="00356DB7">
      <w:pPr>
        <w:spacing w:after="0" w:line="300" w:lineRule="auto"/>
        <w:ind w:left="-142"/>
        <w:jc w:val="both"/>
        <w:rPr>
          <w:rFonts w:ascii="Century Gothic" w:hAnsi="Century Gothic"/>
          <w:color w:val="0D0D0D" w:themeColor="text1" w:themeTint="F2"/>
          <w:sz w:val="24"/>
          <w:szCs w:val="24"/>
        </w:rPr>
      </w:pPr>
    </w:p>
    <w:p w14:paraId="3B8E921C" w14:textId="790618BE" w:rsidR="00575E0F" w:rsidRPr="00002695" w:rsidRDefault="006741E0" w:rsidP="00356DB7">
      <w:pPr>
        <w:spacing w:after="0" w:line="300" w:lineRule="auto"/>
        <w:ind w:left="-142"/>
        <w:jc w:val="both"/>
        <w:rPr>
          <w:rFonts w:ascii="Century Gothic" w:hAnsi="Century Gothic"/>
          <w:b/>
          <w:color w:val="0D0D0D" w:themeColor="text1" w:themeTint="F2"/>
          <w:sz w:val="24"/>
          <w:szCs w:val="24"/>
        </w:rPr>
      </w:pPr>
      <w:r>
        <w:rPr>
          <w:rFonts w:ascii="Century Gothic" w:hAnsi="Century Gothic"/>
          <w:b/>
          <w:color w:val="0D0D0D" w:themeColor="text1" w:themeTint="F2"/>
          <w:sz w:val="24"/>
          <w:szCs w:val="24"/>
        </w:rPr>
        <w:t>3</w:t>
      </w:r>
      <w:r w:rsidR="00575E0F" w:rsidRPr="00002695">
        <w:rPr>
          <w:rFonts w:ascii="Century Gothic" w:hAnsi="Century Gothic"/>
          <w:b/>
          <w:color w:val="0D0D0D" w:themeColor="text1" w:themeTint="F2"/>
          <w:sz w:val="24"/>
          <w:szCs w:val="24"/>
        </w:rPr>
        <w:t xml:space="preserve">. Recurso de apelación. </w:t>
      </w:r>
    </w:p>
    <w:p w14:paraId="4DF8232F" w14:textId="77777777" w:rsidR="00575E0F" w:rsidRPr="00002695" w:rsidRDefault="00575E0F" w:rsidP="00356DB7">
      <w:pPr>
        <w:spacing w:after="0" w:line="300" w:lineRule="auto"/>
        <w:ind w:left="-142"/>
        <w:jc w:val="both"/>
        <w:rPr>
          <w:rFonts w:ascii="Century Gothic" w:hAnsi="Century Gothic"/>
          <w:b/>
          <w:color w:val="0D0D0D" w:themeColor="text1" w:themeTint="F2"/>
          <w:sz w:val="24"/>
          <w:szCs w:val="24"/>
        </w:rPr>
      </w:pPr>
    </w:p>
    <w:p w14:paraId="6BFD70E7" w14:textId="0CF3E2F6" w:rsidR="00575E0F" w:rsidRPr="00002695" w:rsidRDefault="006741E0" w:rsidP="00356DB7">
      <w:pPr>
        <w:spacing w:after="0" w:line="300" w:lineRule="auto"/>
        <w:ind w:left="-142"/>
        <w:jc w:val="both"/>
        <w:rPr>
          <w:rFonts w:ascii="Century Gothic" w:hAnsi="Century Gothic"/>
          <w:b/>
          <w:color w:val="0D0D0D" w:themeColor="text1" w:themeTint="F2"/>
          <w:sz w:val="24"/>
          <w:szCs w:val="24"/>
        </w:rPr>
      </w:pPr>
      <w:r>
        <w:rPr>
          <w:rFonts w:ascii="Century Gothic" w:hAnsi="Century Gothic"/>
          <w:b/>
          <w:color w:val="0D0D0D" w:themeColor="text1" w:themeTint="F2"/>
          <w:sz w:val="24"/>
          <w:szCs w:val="24"/>
        </w:rPr>
        <w:t>3</w:t>
      </w:r>
      <w:r w:rsidR="00575E0F" w:rsidRPr="00002695">
        <w:rPr>
          <w:rFonts w:ascii="Century Gothic" w:hAnsi="Century Gothic"/>
          <w:b/>
          <w:color w:val="0D0D0D" w:themeColor="text1" w:themeTint="F2"/>
          <w:sz w:val="24"/>
          <w:szCs w:val="24"/>
        </w:rPr>
        <w:t>.1. De la parte accionada</w:t>
      </w:r>
      <w:r w:rsidR="00575E0F" w:rsidRPr="00002695">
        <w:rPr>
          <w:rStyle w:val="Refdenotaalpie"/>
          <w:rFonts w:ascii="Century Gothic" w:hAnsi="Century Gothic"/>
          <w:b/>
          <w:color w:val="0D0D0D" w:themeColor="text1" w:themeTint="F2"/>
          <w:sz w:val="24"/>
          <w:szCs w:val="24"/>
        </w:rPr>
        <w:footnoteReference w:id="2"/>
      </w:r>
      <w:r w:rsidR="00137F14" w:rsidRPr="00002695">
        <w:rPr>
          <w:rFonts w:ascii="Century Gothic" w:hAnsi="Century Gothic"/>
          <w:b/>
          <w:color w:val="0D0D0D" w:themeColor="text1" w:themeTint="F2"/>
          <w:sz w:val="24"/>
          <w:szCs w:val="24"/>
        </w:rPr>
        <w:t xml:space="preserve">. </w:t>
      </w:r>
    </w:p>
    <w:p w14:paraId="58889376" w14:textId="77777777" w:rsidR="00137F14" w:rsidRPr="00002695" w:rsidRDefault="00137F14" w:rsidP="00356DB7">
      <w:pPr>
        <w:spacing w:after="0" w:line="300" w:lineRule="auto"/>
        <w:ind w:left="-142"/>
        <w:jc w:val="both"/>
        <w:rPr>
          <w:rFonts w:ascii="Century Gothic" w:hAnsi="Century Gothic"/>
          <w:b/>
          <w:color w:val="0D0D0D" w:themeColor="text1" w:themeTint="F2"/>
          <w:sz w:val="24"/>
          <w:szCs w:val="24"/>
        </w:rPr>
      </w:pPr>
    </w:p>
    <w:p w14:paraId="49786F86" w14:textId="77777777" w:rsidR="00137F14" w:rsidRPr="00002695" w:rsidRDefault="00137F14" w:rsidP="00356DB7">
      <w:pPr>
        <w:spacing w:after="0" w:line="300" w:lineRule="auto"/>
        <w:jc w:val="both"/>
        <w:rPr>
          <w:rFonts w:ascii="Century Gothic" w:hAnsi="Century Gothic" w:cs="Century Gothic"/>
          <w:color w:val="0D0D0D" w:themeColor="text1" w:themeTint="F2"/>
          <w:sz w:val="24"/>
          <w:szCs w:val="24"/>
        </w:rPr>
      </w:pPr>
      <w:r w:rsidRPr="00002695">
        <w:rPr>
          <w:rFonts w:ascii="Century Gothic" w:hAnsi="Century Gothic" w:cs="Century Gothic"/>
          <w:color w:val="0D0D0D" w:themeColor="text1" w:themeTint="F2"/>
          <w:sz w:val="24"/>
          <w:szCs w:val="24"/>
        </w:rPr>
        <w:t>La parte accionante, a través de su apoderado, interpuso recurso de apelación contra la sentencia de primera instancia, solicitando se revoque el fallo del A quo y se concedan las pretensiones de la demanda.</w:t>
      </w:r>
    </w:p>
    <w:p w14:paraId="2C5B3C6D" w14:textId="77777777" w:rsidR="00137F14" w:rsidRPr="00002695" w:rsidRDefault="00137F14" w:rsidP="00356DB7">
      <w:pPr>
        <w:spacing w:after="0" w:line="300" w:lineRule="auto"/>
        <w:jc w:val="both"/>
        <w:rPr>
          <w:rFonts w:ascii="Century Gothic" w:hAnsi="Century Gothic" w:cs="Century Gothic"/>
          <w:color w:val="0D0D0D" w:themeColor="text1" w:themeTint="F2"/>
          <w:sz w:val="24"/>
          <w:szCs w:val="24"/>
        </w:rPr>
      </w:pPr>
    </w:p>
    <w:p w14:paraId="19975289" w14:textId="3E165148" w:rsidR="00370C75" w:rsidRPr="00002695" w:rsidRDefault="00137F14" w:rsidP="00356DB7">
      <w:pPr>
        <w:spacing w:after="0" w:line="300" w:lineRule="auto"/>
        <w:jc w:val="both"/>
        <w:rPr>
          <w:rFonts w:ascii="Century Gothic" w:hAnsi="Century Gothic" w:cs="Century Gothic"/>
          <w:color w:val="0D0D0D" w:themeColor="text1" w:themeTint="F2"/>
          <w:sz w:val="24"/>
          <w:szCs w:val="24"/>
        </w:rPr>
      </w:pPr>
      <w:r w:rsidRPr="00002695">
        <w:rPr>
          <w:rFonts w:ascii="Century Gothic" w:hAnsi="Century Gothic" w:cs="Century Gothic"/>
          <w:color w:val="0D0D0D" w:themeColor="text1" w:themeTint="F2"/>
          <w:sz w:val="24"/>
          <w:szCs w:val="24"/>
        </w:rPr>
        <w:t>Manifiesta la parte demandante que,</w:t>
      </w:r>
      <w:r w:rsidR="00954896" w:rsidRPr="00002695">
        <w:rPr>
          <w:rFonts w:ascii="Century Gothic" w:hAnsi="Century Gothic" w:cs="Century Gothic"/>
          <w:color w:val="0D0D0D" w:themeColor="text1" w:themeTint="F2"/>
          <w:sz w:val="24"/>
          <w:szCs w:val="24"/>
        </w:rPr>
        <w:t xml:space="preserve"> es pertinente aclarar que existen algunas prestaciones sociales a las cuales el mismo legislador les dio dicha connotación, esto es las primas de navidad y de vacacione</w:t>
      </w:r>
      <w:r w:rsidR="00370C75" w:rsidRPr="00002695">
        <w:rPr>
          <w:rFonts w:ascii="Century Gothic" w:hAnsi="Century Gothic" w:cs="Century Gothic"/>
          <w:color w:val="0D0D0D" w:themeColor="text1" w:themeTint="F2"/>
          <w:sz w:val="24"/>
          <w:szCs w:val="24"/>
        </w:rPr>
        <w:t xml:space="preserve">s, que a pesar de </w:t>
      </w:r>
      <w:r w:rsidR="00370C75" w:rsidRPr="00002695">
        <w:rPr>
          <w:rFonts w:ascii="Century Gothic" w:hAnsi="Century Gothic" w:cs="Century Gothic"/>
          <w:color w:val="0D0D0D" w:themeColor="text1" w:themeTint="F2"/>
          <w:sz w:val="24"/>
          <w:szCs w:val="24"/>
        </w:rPr>
        <w:lastRenderedPageBreak/>
        <w:t xml:space="preserve">tener esa naturaleza, constituyen factor de salario para efectos de liquidar pensiones y cesantías. </w:t>
      </w:r>
    </w:p>
    <w:p w14:paraId="18500324" w14:textId="77777777" w:rsidR="009E6082" w:rsidRPr="00002695" w:rsidRDefault="009E6082" w:rsidP="00356DB7">
      <w:pPr>
        <w:spacing w:after="0" w:line="300" w:lineRule="auto"/>
        <w:jc w:val="both"/>
        <w:rPr>
          <w:rFonts w:ascii="Century Gothic" w:hAnsi="Century Gothic" w:cs="Century Gothic"/>
          <w:color w:val="0D0D0D" w:themeColor="text1" w:themeTint="F2"/>
          <w:sz w:val="24"/>
          <w:szCs w:val="24"/>
        </w:rPr>
      </w:pPr>
    </w:p>
    <w:p w14:paraId="50953E9D" w14:textId="0705DCAE" w:rsidR="009E6082" w:rsidRPr="00002695" w:rsidRDefault="009E6082" w:rsidP="00356DB7">
      <w:pPr>
        <w:spacing w:after="0" w:line="300" w:lineRule="auto"/>
        <w:jc w:val="both"/>
        <w:rPr>
          <w:rFonts w:ascii="Century Gothic" w:hAnsi="Century Gothic" w:cs="Century Gothic"/>
          <w:color w:val="0D0D0D" w:themeColor="text1" w:themeTint="F2"/>
          <w:sz w:val="24"/>
          <w:szCs w:val="24"/>
        </w:rPr>
      </w:pPr>
      <w:r w:rsidRPr="00002695">
        <w:rPr>
          <w:rFonts w:ascii="Century Gothic" w:hAnsi="Century Gothic" w:cs="Century Gothic"/>
          <w:color w:val="0D0D0D" w:themeColor="text1" w:themeTint="F2"/>
          <w:sz w:val="24"/>
          <w:szCs w:val="24"/>
        </w:rPr>
        <w:t xml:space="preserve">Indica que el presente asunto se rige por la ley 33 de 1985; siendo así así las cosas en el caso concreto el actor tiene derecho a la reliquidación del beneficio pensional incluyendo los factores salariales devengados durante el último año de servicios, los cuales la entidad accionada no tuvo en cuenta. </w:t>
      </w:r>
    </w:p>
    <w:p w14:paraId="734C75A4" w14:textId="77777777" w:rsidR="009E6082" w:rsidRPr="00002695" w:rsidRDefault="009E6082" w:rsidP="00356DB7">
      <w:pPr>
        <w:spacing w:after="0" w:line="300" w:lineRule="auto"/>
        <w:jc w:val="both"/>
        <w:rPr>
          <w:rFonts w:ascii="Century Gothic" w:hAnsi="Century Gothic" w:cs="Century Gothic"/>
          <w:color w:val="0D0D0D" w:themeColor="text1" w:themeTint="F2"/>
          <w:sz w:val="24"/>
          <w:szCs w:val="24"/>
        </w:rPr>
      </w:pPr>
    </w:p>
    <w:p w14:paraId="50D26567" w14:textId="77ACB624" w:rsidR="009E6082" w:rsidRPr="00002695" w:rsidRDefault="009E6082" w:rsidP="00356DB7">
      <w:pPr>
        <w:spacing w:after="0" w:line="300" w:lineRule="auto"/>
        <w:jc w:val="both"/>
        <w:rPr>
          <w:rFonts w:ascii="Century Gothic" w:hAnsi="Century Gothic" w:cs="Century Gothic"/>
          <w:color w:val="0D0D0D" w:themeColor="text1" w:themeTint="F2"/>
          <w:sz w:val="24"/>
          <w:szCs w:val="24"/>
        </w:rPr>
      </w:pPr>
      <w:r w:rsidRPr="00002695">
        <w:rPr>
          <w:rFonts w:ascii="Century Gothic" w:hAnsi="Century Gothic" w:cs="Century Gothic"/>
          <w:color w:val="0D0D0D" w:themeColor="text1" w:themeTint="F2"/>
          <w:sz w:val="24"/>
          <w:szCs w:val="24"/>
        </w:rPr>
        <w:t>Alega la accionante, que el último año de servicios, comprendido en el 2015 y 2016, devengó los siguientes conceptos: Asignación básica mensual, s</w:t>
      </w:r>
      <w:r w:rsidR="00144910" w:rsidRPr="00002695">
        <w:rPr>
          <w:rFonts w:ascii="Century Gothic" w:hAnsi="Century Gothic" w:cs="Century Gothic"/>
          <w:color w:val="0D0D0D" w:themeColor="text1" w:themeTint="F2"/>
          <w:sz w:val="24"/>
          <w:szCs w:val="24"/>
        </w:rPr>
        <w:t xml:space="preserve">obresueldo, prima de vacaciones, prima de navidad, asignación adicional coordinador 20% y prima de servicios. </w:t>
      </w:r>
    </w:p>
    <w:p w14:paraId="2C8E7CFD" w14:textId="4D87D2EB" w:rsidR="00575E0F" w:rsidRPr="00002695" w:rsidRDefault="005D770F" w:rsidP="00356DB7">
      <w:pPr>
        <w:spacing w:after="0" w:line="300" w:lineRule="auto"/>
        <w:ind w:left="-142"/>
        <w:jc w:val="both"/>
        <w:rPr>
          <w:rFonts w:ascii="Century Gothic" w:hAnsi="Century Gothic"/>
          <w:color w:val="0D0D0D" w:themeColor="text1" w:themeTint="F2"/>
          <w:sz w:val="24"/>
          <w:szCs w:val="24"/>
        </w:rPr>
      </w:pPr>
      <w:r w:rsidRPr="00002695">
        <w:rPr>
          <w:rFonts w:ascii="Century Gothic" w:hAnsi="Century Gothic"/>
          <w:color w:val="0D0D0D" w:themeColor="text1" w:themeTint="F2"/>
          <w:sz w:val="24"/>
          <w:szCs w:val="24"/>
        </w:rPr>
        <w:t xml:space="preserve">  </w:t>
      </w:r>
    </w:p>
    <w:p w14:paraId="715DCC99" w14:textId="2F4C6D7C" w:rsidR="00575E0F" w:rsidRPr="00002695" w:rsidRDefault="006741E0" w:rsidP="00356DB7">
      <w:pPr>
        <w:spacing w:after="0" w:line="300" w:lineRule="auto"/>
        <w:ind w:left="-142"/>
        <w:jc w:val="both"/>
        <w:rPr>
          <w:rFonts w:ascii="Century Gothic" w:hAnsi="Century Gothic"/>
          <w:b/>
          <w:color w:val="0D0D0D" w:themeColor="text1" w:themeTint="F2"/>
          <w:sz w:val="24"/>
          <w:szCs w:val="24"/>
        </w:rPr>
      </w:pPr>
      <w:r>
        <w:rPr>
          <w:rFonts w:ascii="Century Gothic" w:hAnsi="Century Gothic"/>
          <w:b/>
          <w:color w:val="0D0D0D" w:themeColor="text1" w:themeTint="F2"/>
          <w:sz w:val="24"/>
          <w:szCs w:val="24"/>
        </w:rPr>
        <w:t>4</w:t>
      </w:r>
      <w:r w:rsidR="008920D0" w:rsidRPr="00002695">
        <w:rPr>
          <w:rFonts w:ascii="Century Gothic" w:hAnsi="Century Gothic"/>
          <w:b/>
          <w:color w:val="0D0D0D" w:themeColor="text1" w:themeTint="F2"/>
          <w:sz w:val="24"/>
          <w:szCs w:val="24"/>
        </w:rPr>
        <w:t>. Trámite procesal de segunda instancia</w:t>
      </w:r>
      <w:r w:rsidR="00DF2335" w:rsidRPr="00002695">
        <w:rPr>
          <w:rStyle w:val="Refdenotaalpie"/>
          <w:rFonts w:ascii="Century Gothic" w:hAnsi="Century Gothic"/>
          <w:b/>
          <w:color w:val="0D0D0D" w:themeColor="text1" w:themeTint="F2"/>
          <w:sz w:val="24"/>
          <w:szCs w:val="24"/>
        </w:rPr>
        <w:footnoteReference w:id="3"/>
      </w:r>
      <w:r w:rsidR="008920D0" w:rsidRPr="00002695">
        <w:rPr>
          <w:rFonts w:ascii="Century Gothic" w:hAnsi="Century Gothic"/>
          <w:b/>
          <w:color w:val="0D0D0D" w:themeColor="text1" w:themeTint="F2"/>
          <w:sz w:val="24"/>
          <w:szCs w:val="24"/>
        </w:rPr>
        <w:t xml:space="preserve">. </w:t>
      </w:r>
    </w:p>
    <w:p w14:paraId="367F0FDB" w14:textId="77777777" w:rsidR="00575E0F" w:rsidRPr="00002695" w:rsidRDefault="00575E0F" w:rsidP="00356DB7">
      <w:pPr>
        <w:spacing w:after="0" w:line="300" w:lineRule="auto"/>
        <w:ind w:left="-142"/>
        <w:jc w:val="both"/>
        <w:rPr>
          <w:rFonts w:ascii="Century Gothic" w:hAnsi="Century Gothic"/>
          <w:color w:val="0D0D0D" w:themeColor="text1" w:themeTint="F2"/>
          <w:sz w:val="24"/>
          <w:szCs w:val="24"/>
        </w:rPr>
      </w:pPr>
    </w:p>
    <w:p w14:paraId="360E86D6" w14:textId="77A35327" w:rsidR="00DF2335" w:rsidRPr="00002695" w:rsidRDefault="00DF2335" w:rsidP="00356DB7">
      <w:pPr>
        <w:pStyle w:val="Prrafodelista"/>
        <w:spacing w:after="0" w:line="300" w:lineRule="auto"/>
        <w:ind w:left="0"/>
        <w:jc w:val="both"/>
        <w:rPr>
          <w:rFonts w:ascii="Century Gothic" w:hAnsi="Century Gothic" w:cs="Century Gothic"/>
          <w:color w:val="0D0D0D" w:themeColor="text1" w:themeTint="F2"/>
          <w:sz w:val="24"/>
          <w:szCs w:val="24"/>
        </w:rPr>
      </w:pPr>
      <w:r w:rsidRPr="00002695">
        <w:rPr>
          <w:rFonts w:ascii="Century Gothic" w:hAnsi="Century Gothic" w:cs="Century Gothic"/>
          <w:color w:val="0D0D0D" w:themeColor="text1" w:themeTint="F2"/>
          <w:sz w:val="24"/>
          <w:szCs w:val="24"/>
        </w:rPr>
        <w:t>Mediante auto de fecha veintinueve (29) de marzo de dos mil diecinueve (2019), se admitió el recurso de apelación presentado por la parte demandante, por medio de auto de fecha dos (02) de mayo de dos mil diecinueve (2019), se ordenó correr traslado para alegar de conclusión y para que el Ministerio Público rindiera concepto.</w:t>
      </w:r>
    </w:p>
    <w:p w14:paraId="55B25909" w14:textId="77777777" w:rsidR="00DF2335" w:rsidRPr="00002695" w:rsidRDefault="00DF2335" w:rsidP="00356DB7">
      <w:pPr>
        <w:spacing w:after="0" w:line="300" w:lineRule="auto"/>
        <w:ind w:left="-142"/>
        <w:jc w:val="both"/>
        <w:rPr>
          <w:rFonts w:ascii="Century Gothic" w:hAnsi="Century Gothic"/>
          <w:color w:val="0D0D0D" w:themeColor="text1" w:themeTint="F2"/>
          <w:sz w:val="24"/>
          <w:szCs w:val="24"/>
        </w:rPr>
      </w:pPr>
    </w:p>
    <w:p w14:paraId="3F7D6DDD" w14:textId="031A991F" w:rsidR="00DE7824" w:rsidRPr="00002695" w:rsidRDefault="006741E0" w:rsidP="00356DB7">
      <w:pPr>
        <w:spacing w:after="0" w:line="300" w:lineRule="auto"/>
        <w:rPr>
          <w:rFonts w:ascii="Century Gothic" w:hAnsi="Century Gothic" w:cs="Century Gothic"/>
          <w:b/>
          <w:bCs/>
          <w:color w:val="0D0D0D" w:themeColor="text1" w:themeTint="F2"/>
          <w:sz w:val="24"/>
          <w:szCs w:val="24"/>
        </w:rPr>
      </w:pPr>
      <w:r>
        <w:rPr>
          <w:rFonts w:ascii="Century Gothic" w:hAnsi="Century Gothic" w:cs="Century Gothic"/>
          <w:b/>
          <w:bCs/>
          <w:color w:val="0D0D0D" w:themeColor="text1" w:themeTint="F2"/>
          <w:sz w:val="24"/>
          <w:szCs w:val="24"/>
        </w:rPr>
        <w:t>5</w:t>
      </w:r>
      <w:r w:rsidR="00DF2335" w:rsidRPr="00002695">
        <w:rPr>
          <w:rFonts w:ascii="Century Gothic" w:hAnsi="Century Gothic" w:cs="Century Gothic"/>
          <w:b/>
          <w:bCs/>
          <w:color w:val="0D0D0D" w:themeColor="text1" w:themeTint="F2"/>
          <w:sz w:val="24"/>
          <w:szCs w:val="24"/>
        </w:rPr>
        <w:t xml:space="preserve">. Alegatos de conclusión. </w:t>
      </w:r>
    </w:p>
    <w:p w14:paraId="2CD57D85" w14:textId="77777777" w:rsidR="00DF2335" w:rsidRPr="00002695" w:rsidRDefault="00DF2335" w:rsidP="00356DB7">
      <w:pPr>
        <w:spacing w:after="0" w:line="300" w:lineRule="auto"/>
        <w:rPr>
          <w:rFonts w:ascii="Century Gothic" w:hAnsi="Century Gothic" w:cs="Century Gothic"/>
          <w:b/>
          <w:bCs/>
          <w:color w:val="0D0D0D" w:themeColor="text1" w:themeTint="F2"/>
          <w:sz w:val="24"/>
          <w:szCs w:val="24"/>
        </w:rPr>
      </w:pPr>
    </w:p>
    <w:p w14:paraId="65B392CC" w14:textId="3F40279C" w:rsidR="00DF2335" w:rsidRPr="00002695" w:rsidRDefault="006741E0" w:rsidP="00356DB7">
      <w:pPr>
        <w:spacing w:after="0" w:line="300" w:lineRule="auto"/>
        <w:rPr>
          <w:rFonts w:ascii="Century Gothic" w:hAnsi="Century Gothic" w:cs="Century Gothic"/>
          <w:b/>
          <w:bCs/>
          <w:color w:val="0D0D0D" w:themeColor="text1" w:themeTint="F2"/>
          <w:sz w:val="24"/>
          <w:szCs w:val="24"/>
        </w:rPr>
      </w:pPr>
      <w:r>
        <w:rPr>
          <w:rFonts w:ascii="Century Gothic" w:hAnsi="Century Gothic" w:cs="Century Gothic"/>
          <w:b/>
          <w:bCs/>
          <w:color w:val="0D0D0D" w:themeColor="text1" w:themeTint="F2"/>
          <w:sz w:val="24"/>
          <w:szCs w:val="24"/>
        </w:rPr>
        <w:t>5</w:t>
      </w:r>
      <w:r w:rsidR="00DF2335" w:rsidRPr="00002695">
        <w:rPr>
          <w:rFonts w:ascii="Century Gothic" w:hAnsi="Century Gothic" w:cs="Century Gothic"/>
          <w:b/>
          <w:bCs/>
          <w:color w:val="0D0D0D" w:themeColor="text1" w:themeTint="F2"/>
          <w:sz w:val="24"/>
          <w:szCs w:val="24"/>
        </w:rPr>
        <w:t xml:space="preserve">.1. </w:t>
      </w:r>
      <w:proofErr w:type="spellStart"/>
      <w:r w:rsidR="00DF2335" w:rsidRPr="00002695">
        <w:rPr>
          <w:rFonts w:ascii="Century Gothic" w:hAnsi="Century Gothic" w:cs="Century Gothic"/>
          <w:b/>
          <w:bCs/>
          <w:color w:val="0D0D0D" w:themeColor="text1" w:themeTint="F2"/>
          <w:sz w:val="24"/>
          <w:szCs w:val="24"/>
        </w:rPr>
        <w:t>Fiduprevisora</w:t>
      </w:r>
      <w:proofErr w:type="spellEnd"/>
      <w:r w:rsidR="00DF2335" w:rsidRPr="00002695">
        <w:rPr>
          <w:rStyle w:val="Refdenotaalpie"/>
          <w:rFonts w:ascii="Century Gothic" w:hAnsi="Century Gothic" w:cs="Century Gothic"/>
          <w:b/>
          <w:bCs/>
          <w:color w:val="0D0D0D" w:themeColor="text1" w:themeTint="F2"/>
          <w:sz w:val="24"/>
          <w:szCs w:val="24"/>
        </w:rPr>
        <w:footnoteReference w:id="4"/>
      </w:r>
      <w:r w:rsidR="00DF2335" w:rsidRPr="00002695">
        <w:rPr>
          <w:rFonts w:ascii="Century Gothic" w:hAnsi="Century Gothic" w:cs="Century Gothic"/>
          <w:b/>
          <w:bCs/>
          <w:color w:val="0D0D0D" w:themeColor="text1" w:themeTint="F2"/>
          <w:sz w:val="24"/>
          <w:szCs w:val="24"/>
        </w:rPr>
        <w:t xml:space="preserve">. </w:t>
      </w:r>
    </w:p>
    <w:p w14:paraId="065FC76B" w14:textId="77777777" w:rsidR="00DF2335" w:rsidRPr="00002695" w:rsidRDefault="00DF2335" w:rsidP="00356DB7">
      <w:pPr>
        <w:spacing w:after="0" w:line="300" w:lineRule="auto"/>
        <w:rPr>
          <w:rFonts w:ascii="Century Gothic" w:hAnsi="Century Gothic" w:cs="Century Gothic"/>
          <w:b/>
          <w:bCs/>
          <w:color w:val="0D0D0D" w:themeColor="text1" w:themeTint="F2"/>
          <w:sz w:val="24"/>
          <w:szCs w:val="24"/>
        </w:rPr>
      </w:pPr>
    </w:p>
    <w:p w14:paraId="64C8FF00" w14:textId="5835E40A" w:rsidR="00DF2335" w:rsidRPr="00002695" w:rsidRDefault="00DF2335" w:rsidP="00356DB7">
      <w:pPr>
        <w:spacing w:after="0" w:line="300" w:lineRule="auto"/>
        <w:jc w:val="both"/>
        <w:rPr>
          <w:rFonts w:ascii="Century Gothic" w:hAnsi="Century Gothic" w:cs="Century Gothic"/>
          <w:bCs/>
          <w:color w:val="0D0D0D" w:themeColor="text1" w:themeTint="F2"/>
          <w:sz w:val="24"/>
          <w:szCs w:val="24"/>
        </w:rPr>
      </w:pPr>
      <w:r w:rsidRPr="00002695">
        <w:rPr>
          <w:rFonts w:ascii="Century Gothic" w:hAnsi="Century Gothic" w:cs="Century Gothic"/>
          <w:bCs/>
          <w:color w:val="0D0D0D" w:themeColor="text1" w:themeTint="F2"/>
          <w:sz w:val="24"/>
          <w:szCs w:val="24"/>
        </w:rPr>
        <w:t xml:space="preserve">En su escrito de alegatos de conclusión, la </w:t>
      </w:r>
      <w:proofErr w:type="spellStart"/>
      <w:r w:rsidRPr="00002695">
        <w:rPr>
          <w:rFonts w:ascii="Century Gothic" w:hAnsi="Century Gothic" w:cs="Century Gothic"/>
          <w:bCs/>
          <w:color w:val="0D0D0D" w:themeColor="text1" w:themeTint="F2"/>
          <w:sz w:val="24"/>
          <w:szCs w:val="24"/>
        </w:rPr>
        <w:t>Fiduprevisora</w:t>
      </w:r>
      <w:proofErr w:type="spellEnd"/>
      <w:r w:rsidRPr="00002695">
        <w:rPr>
          <w:rFonts w:ascii="Century Gothic" w:hAnsi="Century Gothic" w:cs="Century Gothic"/>
          <w:bCs/>
          <w:color w:val="0D0D0D" w:themeColor="text1" w:themeTint="F2"/>
          <w:sz w:val="24"/>
          <w:szCs w:val="24"/>
        </w:rPr>
        <w:t xml:space="preserve"> manifiesta que en el proceso no quedó probado que el acto administrativo estuviese viciado de ilegalidad. </w:t>
      </w:r>
    </w:p>
    <w:p w14:paraId="267A4959" w14:textId="77777777" w:rsidR="00DF2335" w:rsidRPr="00002695" w:rsidRDefault="00DF2335" w:rsidP="00356DB7">
      <w:pPr>
        <w:spacing w:after="0" w:line="300" w:lineRule="auto"/>
        <w:jc w:val="both"/>
        <w:rPr>
          <w:rFonts w:ascii="Century Gothic" w:hAnsi="Century Gothic" w:cs="Century Gothic"/>
          <w:bCs/>
          <w:color w:val="0D0D0D" w:themeColor="text1" w:themeTint="F2"/>
          <w:sz w:val="24"/>
          <w:szCs w:val="24"/>
        </w:rPr>
      </w:pPr>
    </w:p>
    <w:p w14:paraId="3C5C9C85" w14:textId="746BA2A6" w:rsidR="00DF2335" w:rsidRPr="00002695" w:rsidRDefault="006741E0" w:rsidP="00356DB7">
      <w:pPr>
        <w:spacing w:after="0" w:line="300" w:lineRule="auto"/>
        <w:jc w:val="both"/>
        <w:rPr>
          <w:rFonts w:ascii="Century Gothic" w:hAnsi="Century Gothic" w:cs="Century Gothic"/>
          <w:b/>
          <w:bCs/>
          <w:color w:val="0D0D0D" w:themeColor="text1" w:themeTint="F2"/>
          <w:sz w:val="24"/>
          <w:szCs w:val="24"/>
        </w:rPr>
      </w:pPr>
      <w:r>
        <w:rPr>
          <w:rFonts w:ascii="Century Gothic" w:hAnsi="Century Gothic" w:cs="Century Gothic"/>
          <w:b/>
          <w:bCs/>
          <w:color w:val="0D0D0D" w:themeColor="text1" w:themeTint="F2"/>
          <w:sz w:val="24"/>
          <w:szCs w:val="24"/>
        </w:rPr>
        <w:t>6</w:t>
      </w:r>
      <w:r w:rsidR="00DF2335" w:rsidRPr="00002695">
        <w:rPr>
          <w:rFonts w:ascii="Century Gothic" w:hAnsi="Century Gothic" w:cs="Century Gothic"/>
          <w:b/>
          <w:bCs/>
          <w:color w:val="0D0D0D" w:themeColor="text1" w:themeTint="F2"/>
          <w:sz w:val="24"/>
          <w:szCs w:val="24"/>
        </w:rPr>
        <w:t xml:space="preserve">. Concepto del Ministerio Público. </w:t>
      </w:r>
    </w:p>
    <w:p w14:paraId="179AB285" w14:textId="77777777" w:rsidR="00DF2335" w:rsidRPr="00002695" w:rsidRDefault="00DF2335" w:rsidP="00356DB7">
      <w:pPr>
        <w:spacing w:after="0" w:line="300" w:lineRule="auto"/>
        <w:jc w:val="both"/>
        <w:rPr>
          <w:rFonts w:ascii="Century Gothic" w:hAnsi="Century Gothic" w:cs="Century Gothic"/>
          <w:bCs/>
          <w:color w:val="0D0D0D" w:themeColor="text1" w:themeTint="F2"/>
          <w:sz w:val="24"/>
          <w:szCs w:val="24"/>
        </w:rPr>
      </w:pPr>
    </w:p>
    <w:p w14:paraId="20BDB383" w14:textId="2830D89D" w:rsidR="00DF2335" w:rsidRPr="00002695" w:rsidRDefault="0010334D" w:rsidP="00356DB7">
      <w:pPr>
        <w:spacing w:after="0" w:line="300" w:lineRule="auto"/>
        <w:jc w:val="both"/>
        <w:rPr>
          <w:rFonts w:ascii="Century Gothic" w:hAnsi="Century Gothic" w:cs="Century Gothic"/>
          <w:bCs/>
          <w:color w:val="0D0D0D" w:themeColor="text1" w:themeTint="F2"/>
          <w:sz w:val="24"/>
          <w:szCs w:val="24"/>
        </w:rPr>
      </w:pPr>
      <w:r w:rsidRPr="00002695">
        <w:rPr>
          <w:rFonts w:ascii="Century Gothic" w:hAnsi="Century Gothic" w:cs="Century Gothic"/>
          <w:bCs/>
          <w:color w:val="0D0D0D" w:themeColor="text1" w:themeTint="F2"/>
          <w:sz w:val="24"/>
          <w:szCs w:val="24"/>
        </w:rPr>
        <w:t xml:space="preserve">El Procurador Veintidós Judicial II Administrativo rindió concepto, concluyendo que se debe confirmar la sentencia de primera instancia. </w:t>
      </w:r>
    </w:p>
    <w:p w14:paraId="0A9E63FA" w14:textId="77777777" w:rsidR="00356DB7" w:rsidRPr="00002695" w:rsidRDefault="00356DB7" w:rsidP="00356DB7">
      <w:pPr>
        <w:spacing w:after="0" w:line="300" w:lineRule="auto"/>
        <w:jc w:val="both"/>
        <w:rPr>
          <w:rFonts w:ascii="Century Gothic" w:hAnsi="Century Gothic" w:cs="Century Gothic"/>
          <w:bCs/>
          <w:color w:val="0D0D0D" w:themeColor="text1" w:themeTint="F2"/>
          <w:sz w:val="24"/>
          <w:szCs w:val="24"/>
        </w:rPr>
      </w:pPr>
    </w:p>
    <w:p w14:paraId="14D5767A" w14:textId="64A6DEE7" w:rsidR="0010334D" w:rsidRPr="00002695" w:rsidRDefault="0010334D" w:rsidP="00356DB7">
      <w:pPr>
        <w:pStyle w:val="Prrafodelista"/>
        <w:numPr>
          <w:ilvl w:val="0"/>
          <w:numId w:val="19"/>
        </w:numPr>
        <w:spacing w:after="0" w:line="300" w:lineRule="auto"/>
        <w:jc w:val="center"/>
        <w:rPr>
          <w:rFonts w:ascii="Century Gothic" w:hAnsi="Century Gothic" w:cs="Century Gothic"/>
          <w:b/>
          <w:bCs/>
          <w:color w:val="0D0D0D" w:themeColor="text1" w:themeTint="F2"/>
          <w:sz w:val="24"/>
          <w:szCs w:val="24"/>
          <w:lang w:val="es-CO"/>
        </w:rPr>
      </w:pPr>
      <w:r w:rsidRPr="00002695">
        <w:rPr>
          <w:rFonts w:ascii="Century Gothic" w:hAnsi="Century Gothic" w:cs="Century Gothic"/>
          <w:b/>
          <w:bCs/>
          <w:color w:val="0D0D0D" w:themeColor="text1" w:themeTint="F2"/>
          <w:sz w:val="24"/>
          <w:szCs w:val="24"/>
          <w:lang w:val="es-CO"/>
        </w:rPr>
        <w:lastRenderedPageBreak/>
        <w:t>CONTROL DE LEGALIDAD.</w:t>
      </w:r>
    </w:p>
    <w:p w14:paraId="5C2ED12E" w14:textId="77777777" w:rsidR="0010334D" w:rsidRPr="00002695" w:rsidRDefault="0010334D" w:rsidP="00356DB7">
      <w:pPr>
        <w:spacing w:after="0" w:line="300" w:lineRule="auto"/>
        <w:ind w:left="1080"/>
        <w:rPr>
          <w:rFonts w:ascii="Century Gothic" w:hAnsi="Century Gothic" w:cs="Century Gothic"/>
          <w:b/>
          <w:bCs/>
          <w:color w:val="0D0D0D" w:themeColor="text1" w:themeTint="F2"/>
          <w:sz w:val="24"/>
          <w:szCs w:val="24"/>
          <w:lang w:val="es-CO"/>
        </w:rPr>
      </w:pPr>
    </w:p>
    <w:p w14:paraId="0B1BA7A8" w14:textId="77777777" w:rsidR="0010334D" w:rsidRPr="00002695" w:rsidRDefault="0010334D" w:rsidP="00356DB7">
      <w:pPr>
        <w:spacing w:after="0" w:line="300" w:lineRule="auto"/>
        <w:jc w:val="both"/>
        <w:rPr>
          <w:rFonts w:ascii="Century Gothic" w:hAnsi="Century Gothic" w:cs="Century Gothic"/>
          <w:color w:val="0D0D0D" w:themeColor="text1" w:themeTint="F2"/>
          <w:sz w:val="24"/>
          <w:szCs w:val="24"/>
          <w:lang w:val="es-ES_tradnl"/>
        </w:rPr>
      </w:pPr>
      <w:r w:rsidRPr="00002695">
        <w:rPr>
          <w:rFonts w:ascii="Century Gothic" w:hAnsi="Century Gothic" w:cs="Century Gothic"/>
          <w:color w:val="0D0D0D" w:themeColor="text1" w:themeTint="F2"/>
          <w:sz w:val="24"/>
          <w:szCs w:val="24"/>
          <w:lang w:val="es-CO"/>
        </w:rPr>
        <w:t>Revisado el expediente, se observa que en el desarrollo de las etapas procesales de primera instancia se ejerció el control de legalidad previsto en el artículo 207 del CPACA, sin encontrarse ningún vicio que acarre nulidad de lo actuado. Por ello, y como en esta instancia tampoco se observan irregularidades que acarreen la nulidad del proceso o impidan proferir decisión de fondo, se procede a resolver la alzada.</w:t>
      </w:r>
      <w:r w:rsidRPr="00002695">
        <w:rPr>
          <w:rFonts w:ascii="Century Gothic" w:hAnsi="Century Gothic" w:cs="Century Gothic"/>
          <w:color w:val="0D0D0D" w:themeColor="text1" w:themeTint="F2"/>
          <w:sz w:val="24"/>
          <w:szCs w:val="24"/>
          <w:lang w:val="es-ES_tradnl"/>
        </w:rPr>
        <w:t xml:space="preserve"> </w:t>
      </w:r>
    </w:p>
    <w:p w14:paraId="3EFB989F" w14:textId="77777777" w:rsidR="0010334D" w:rsidRPr="00002695" w:rsidRDefault="0010334D" w:rsidP="00356DB7">
      <w:pPr>
        <w:spacing w:after="0" w:line="300" w:lineRule="auto"/>
        <w:jc w:val="both"/>
        <w:rPr>
          <w:rFonts w:ascii="Century Gothic" w:hAnsi="Century Gothic" w:cs="Century Gothic"/>
          <w:color w:val="0D0D0D" w:themeColor="text1" w:themeTint="F2"/>
          <w:sz w:val="24"/>
          <w:szCs w:val="24"/>
          <w:lang w:val="es-ES_tradnl"/>
        </w:rPr>
      </w:pPr>
    </w:p>
    <w:p w14:paraId="551AD544" w14:textId="77777777" w:rsidR="0010334D" w:rsidRPr="00002695" w:rsidRDefault="0010334D" w:rsidP="00356DB7">
      <w:pPr>
        <w:spacing w:after="0" w:line="300" w:lineRule="auto"/>
        <w:jc w:val="center"/>
        <w:rPr>
          <w:rFonts w:ascii="Century Gothic" w:hAnsi="Century Gothic" w:cs="Century Gothic"/>
          <w:b/>
          <w:bCs/>
          <w:color w:val="0D0D0D" w:themeColor="text1" w:themeTint="F2"/>
          <w:sz w:val="24"/>
          <w:szCs w:val="24"/>
          <w:lang w:val="es-CO"/>
        </w:rPr>
      </w:pPr>
      <w:r w:rsidRPr="00002695">
        <w:rPr>
          <w:rFonts w:ascii="Century Gothic" w:hAnsi="Century Gothic" w:cs="Century Gothic"/>
          <w:b/>
          <w:bCs/>
          <w:color w:val="0D0D0D" w:themeColor="text1" w:themeTint="F2"/>
          <w:sz w:val="24"/>
          <w:szCs w:val="24"/>
          <w:lang w:val="es-CO"/>
        </w:rPr>
        <w:t>V.  CONSIDERACIONES</w:t>
      </w:r>
    </w:p>
    <w:p w14:paraId="017472D0" w14:textId="77777777" w:rsidR="0010334D" w:rsidRPr="00002695" w:rsidRDefault="0010334D" w:rsidP="00356DB7">
      <w:pPr>
        <w:spacing w:after="0" w:line="300" w:lineRule="auto"/>
        <w:jc w:val="center"/>
        <w:rPr>
          <w:rFonts w:ascii="Century Gothic" w:hAnsi="Century Gothic" w:cs="Century Gothic"/>
          <w:b/>
          <w:bCs/>
          <w:color w:val="0D0D0D" w:themeColor="text1" w:themeTint="F2"/>
          <w:sz w:val="24"/>
          <w:szCs w:val="24"/>
          <w:lang w:val="es-CO"/>
        </w:rPr>
      </w:pPr>
    </w:p>
    <w:p w14:paraId="6B65589F" w14:textId="77777777" w:rsidR="0010334D" w:rsidRPr="00002695" w:rsidRDefault="0010334D" w:rsidP="00356DB7">
      <w:pPr>
        <w:pStyle w:val="Prrafodelista"/>
        <w:widowControl w:val="0"/>
        <w:numPr>
          <w:ilvl w:val="0"/>
          <w:numId w:val="18"/>
        </w:numPr>
        <w:tabs>
          <w:tab w:val="left" w:pos="142"/>
        </w:tabs>
        <w:autoSpaceDE w:val="0"/>
        <w:autoSpaceDN w:val="0"/>
        <w:adjustRightInd w:val="0"/>
        <w:spacing w:after="0" w:line="300" w:lineRule="auto"/>
        <w:ind w:left="426" w:hanging="426"/>
        <w:jc w:val="both"/>
        <w:rPr>
          <w:rFonts w:ascii="Century Gothic" w:hAnsi="Century Gothic" w:cs="Century Gothic"/>
          <w:b/>
          <w:bCs/>
          <w:color w:val="0D0D0D" w:themeColor="text1" w:themeTint="F2"/>
          <w:sz w:val="24"/>
          <w:szCs w:val="24"/>
        </w:rPr>
      </w:pPr>
      <w:r w:rsidRPr="00002695">
        <w:rPr>
          <w:rFonts w:ascii="Century Gothic" w:hAnsi="Century Gothic" w:cs="Century Gothic"/>
          <w:b/>
          <w:bCs/>
          <w:color w:val="0D0D0D" w:themeColor="text1" w:themeTint="F2"/>
          <w:sz w:val="24"/>
          <w:szCs w:val="24"/>
        </w:rPr>
        <w:t>Competencia</w:t>
      </w:r>
    </w:p>
    <w:p w14:paraId="2A05BB68" w14:textId="77777777" w:rsidR="0010334D" w:rsidRPr="00002695" w:rsidRDefault="0010334D" w:rsidP="00356DB7">
      <w:pPr>
        <w:widowControl w:val="0"/>
        <w:autoSpaceDE w:val="0"/>
        <w:autoSpaceDN w:val="0"/>
        <w:adjustRightInd w:val="0"/>
        <w:spacing w:after="0" w:line="300" w:lineRule="auto"/>
        <w:ind w:left="1080"/>
        <w:jc w:val="both"/>
        <w:rPr>
          <w:rFonts w:ascii="Century Gothic" w:hAnsi="Century Gothic" w:cs="Century Gothic"/>
          <w:color w:val="0D0D0D" w:themeColor="text1" w:themeTint="F2"/>
          <w:sz w:val="24"/>
          <w:szCs w:val="24"/>
          <w:lang w:eastAsia="es-ES"/>
        </w:rPr>
      </w:pPr>
    </w:p>
    <w:p w14:paraId="38F35C86" w14:textId="77777777" w:rsidR="0010334D" w:rsidRPr="00002695" w:rsidRDefault="0010334D" w:rsidP="00356DB7">
      <w:pPr>
        <w:widowControl w:val="0"/>
        <w:autoSpaceDE w:val="0"/>
        <w:autoSpaceDN w:val="0"/>
        <w:adjustRightInd w:val="0"/>
        <w:spacing w:after="0" w:line="300" w:lineRule="auto"/>
        <w:jc w:val="both"/>
        <w:rPr>
          <w:rFonts w:ascii="Century Gothic" w:hAnsi="Century Gothic" w:cs="Century Gothic"/>
          <w:color w:val="0D0D0D" w:themeColor="text1" w:themeTint="F2"/>
          <w:sz w:val="24"/>
          <w:szCs w:val="24"/>
          <w:lang w:eastAsia="es-ES"/>
        </w:rPr>
      </w:pPr>
      <w:r w:rsidRPr="00002695">
        <w:rPr>
          <w:rFonts w:ascii="Century Gothic" w:hAnsi="Century Gothic" w:cs="Century Gothic"/>
          <w:color w:val="0D0D0D" w:themeColor="text1" w:themeTint="F2"/>
          <w:sz w:val="24"/>
          <w:szCs w:val="24"/>
          <w:lang w:eastAsia="es-ES"/>
        </w:rPr>
        <w:t>De conformidad con lo dispuesto en el artículo 153 del CPACA, este Tribunal Administrativo es competente para conocer en segunda instancia de las apelaciones de las sentencias proferidas en primera instancia por los jueces administrativos.</w:t>
      </w:r>
    </w:p>
    <w:p w14:paraId="6B314F0D" w14:textId="77777777" w:rsidR="0010334D" w:rsidRPr="00002695" w:rsidRDefault="0010334D" w:rsidP="00356DB7">
      <w:pPr>
        <w:widowControl w:val="0"/>
        <w:autoSpaceDE w:val="0"/>
        <w:autoSpaceDN w:val="0"/>
        <w:adjustRightInd w:val="0"/>
        <w:spacing w:after="0" w:line="300" w:lineRule="auto"/>
        <w:jc w:val="both"/>
        <w:rPr>
          <w:rFonts w:ascii="Century Gothic" w:hAnsi="Century Gothic" w:cs="Century Gothic"/>
          <w:color w:val="0D0D0D" w:themeColor="text1" w:themeTint="F2"/>
          <w:sz w:val="24"/>
          <w:szCs w:val="24"/>
          <w:lang w:val="es-ES_tradnl" w:eastAsia="es-ES"/>
        </w:rPr>
      </w:pPr>
    </w:p>
    <w:p w14:paraId="5DB2A5C6" w14:textId="77777777" w:rsidR="0010334D" w:rsidRPr="00002695" w:rsidRDefault="0010334D" w:rsidP="00356DB7">
      <w:pPr>
        <w:pStyle w:val="Prrafodelista"/>
        <w:numPr>
          <w:ilvl w:val="0"/>
          <w:numId w:val="18"/>
        </w:numPr>
        <w:spacing w:after="0" w:line="300" w:lineRule="auto"/>
        <w:ind w:left="426" w:hanging="426"/>
        <w:jc w:val="both"/>
        <w:rPr>
          <w:rFonts w:ascii="Century Gothic" w:hAnsi="Century Gothic" w:cs="Century Gothic"/>
          <w:b/>
          <w:bCs/>
          <w:color w:val="0D0D0D" w:themeColor="text1" w:themeTint="F2"/>
          <w:sz w:val="24"/>
          <w:szCs w:val="24"/>
          <w:lang w:val="es-ES_tradnl"/>
        </w:rPr>
      </w:pPr>
      <w:r w:rsidRPr="00002695">
        <w:rPr>
          <w:rFonts w:ascii="Century Gothic" w:hAnsi="Century Gothic" w:cs="Century Gothic"/>
          <w:b/>
          <w:bCs/>
          <w:color w:val="0D0D0D" w:themeColor="text1" w:themeTint="F2"/>
          <w:sz w:val="24"/>
          <w:szCs w:val="24"/>
          <w:lang w:val="es-ES_tradnl"/>
        </w:rPr>
        <w:t>Problema jurídico.</w:t>
      </w:r>
    </w:p>
    <w:p w14:paraId="298E871B" w14:textId="77777777" w:rsidR="0010334D" w:rsidRPr="00002695" w:rsidRDefault="0010334D" w:rsidP="00356DB7">
      <w:pPr>
        <w:spacing w:after="0" w:line="300" w:lineRule="auto"/>
        <w:jc w:val="both"/>
        <w:rPr>
          <w:rFonts w:ascii="Century Gothic" w:hAnsi="Century Gothic" w:cs="Century Gothic"/>
          <w:b/>
          <w:bCs/>
          <w:color w:val="0D0D0D" w:themeColor="text1" w:themeTint="F2"/>
          <w:sz w:val="24"/>
          <w:szCs w:val="24"/>
          <w:lang w:val="es-ES_tradnl" w:eastAsia="es-ES"/>
        </w:rPr>
      </w:pPr>
    </w:p>
    <w:p w14:paraId="5BE1D90B" w14:textId="77777777" w:rsidR="0010334D" w:rsidRPr="00002695" w:rsidRDefault="0010334D" w:rsidP="00356DB7">
      <w:pPr>
        <w:spacing w:after="0" w:line="300" w:lineRule="auto"/>
        <w:ind w:left="-142"/>
        <w:jc w:val="both"/>
        <w:rPr>
          <w:rFonts w:ascii="Century Gothic" w:hAnsi="Century Gothic" w:cs="Century Gothic"/>
          <w:color w:val="0D0D0D" w:themeColor="text1" w:themeTint="F2"/>
          <w:sz w:val="24"/>
          <w:szCs w:val="24"/>
          <w:lang w:val="es-CO"/>
        </w:rPr>
      </w:pPr>
      <w:r w:rsidRPr="00002695">
        <w:rPr>
          <w:rFonts w:ascii="Century Gothic" w:hAnsi="Century Gothic" w:cs="Century Gothic"/>
          <w:color w:val="0D0D0D" w:themeColor="text1" w:themeTint="F2"/>
          <w:sz w:val="24"/>
          <w:szCs w:val="24"/>
          <w:lang w:val="es-CO"/>
        </w:rPr>
        <w:t>La Sala encuentra que el problema jurídico, determinado por el sustento de la alzada, se concreta en el siguiente cuestionamiento:</w:t>
      </w:r>
    </w:p>
    <w:p w14:paraId="02506AB8" w14:textId="071BC51D" w:rsidR="0010334D" w:rsidRPr="00002695" w:rsidRDefault="0010334D" w:rsidP="00356DB7">
      <w:pPr>
        <w:tabs>
          <w:tab w:val="left" w:pos="5205"/>
        </w:tabs>
        <w:spacing w:after="0" w:line="300" w:lineRule="auto"/>
        <w:jc w:val="both"/>
        <w:rPr>
          <w:rFonts w:ascii="Century Gothic" w:hAnsi="Century Gothic" w:cs="Century Gothic"/>
          <w:color w:val="0D0D0D" w:themeColor="text1" w:themeTint="F2"/>
          <w:sz w:val="24"/>
          <w:szCs w:val="24"/>
          <w:lang w:val="es-CO"/>
        </w:rPr>
      </w:pPr>
      <w:r w:rsidRPr="00002695">
        <w:rPr>
          <w:rFonts w:ascii="Century Gothic" w:hAnsi="Century Gothic" w:cs="Century Gothic"/>
          <w:color w:val="0D0D0D" w:themeColor="text1" w:themeTint="F2"/>
          <w:sz w:val="24"/>
          <w:szCs w:val="24"/>
          <w:lang w:val="es-CO"/>
        </w:rPr>
        <w:tab/>
      </w:r>
    </w:p>
    <w:p w14:paraId="621AC1A6" w14:textId="1BF237EE" w:rsidR="0010334D" w:rsidRPr="00002695" w:rsidRDefault="0010334D" w:rsidP="00356DB7">
      <w:pPr>
        <w:spacing w:after="0" w:line="300" w:lineRule="auto"/>
        <w:jc w:val="both"/>
        <w:rPr>
          <w:rFonts w:ascii="Century Gothic" w:hAnsi="Century Gothic" w:cs="Century Gothic"/>
          <w:i/>
          <w:iCs/>
          <w:color w:val="0D0D0D" w:themeColor="text1" w:themeTint="F2"/>
          <w:sz w:val="24"/>
          <w:szCs w:val="24"/>
          <w:lang w:val="es-CO"/>
        </w:rPr>
      </w:pPr>
      <w:r w:rsidRPr="00002695">
        <w:rPr>
          <w:rFonts w:ascii="Century Gothic" w:hAnsi="Century Gothic" w:cs="Century Gothic"/>
          <w:i/>
          <w:iCs/>
          <w:color w:val="0D0D0D" w:themeColor="text1" w:themeTint="F2"/>
          <w:sz w:val="24"/>
          <w:szCs w:val="24"/>
          <w:lang w:val="es-CO"/>
        </w:rPr>
        <w:t>¿Determinar si es procedente que</w:t>
      </w:r>
      <w:r w:rsidR="00AD719E" w:rsidRPr="00002695">
        <w:rPr>
          <w:rFonts w:ascii="Century Gothic" w:hAnsi="Century Gothic" w:cs="Century Gothic"/>
          <w:i/>
          <w:iCs/>
          <w:color w:val="0D0D0D" w:themeColor="text1" w:themeTint="F2"/>
          <w:sz w:val="24"/>
          <w:szCs w:val="24"/>
          <w:lang w:val="es-CO"/>
        </w:rPr>
        <w:t xml:space="preserve"> el Ministerio de Educación</w:t>
      </w:r>
      <w:r w:rsidR="00323FF6">
        <w:rPr>
          <w:rFonts w:ascii="Century Gothic" w:hAnsi="Century Gothic" w:cs="Century Gothic"/>
          <w:i/>
          <w:iCs/>
          <w:color w:val="0D0D0D" w:themeColor="text1" w:themeTint="F2"/>
          <w:sz w:val="24"/>
          <w:szCs w:val="24"/>
          <w:lang w:val="es-CO"/>
        </w:rPr>
        <w:t xml:space="preserve">- </w:t>
      </w:r>
      <w:r w:rsidR="00323FF6" w:rsidRPr="00323FF6">
        <w:rPr>
          <w:rFonts w:ascii="Century Gothic" w:eastAsia="Times New Roman" w:hAnsi="Century Gothic" w:cs="Century Gothic"/>
          <w:bCs/>
          <w:i/>
          <w:color w:val="0D0D0D" w:themeColor="text1" w:themeTint="F2"/>
          <w:spacing w:val="-3"/>
          <w:sz w:val="24"/>
          <w:szCs w:val="24"/>
          <w:lang w:eastAsia="es-ES"/>
        </w:rPr>
        <w:t>Fondo Nacional de Prestaciones Sociales del Magisterio</w:t>
      </w:r>
      <w:r w:rsidRPr="00002695">
        <w:rPr>
          <w:rFonts w:ascii="Century Gothic" w:hAnsi="Century Gothic" w:cs="Century Gothic"/>
          <w:i/>
          <w:iCs/>
          <w:color w:val="0D0D0D" w:themeColor="text1" w:themeTint="F2"/>
          <w:sz w:val="24"/>
          <w:szCs w:val="24"/>
          <w:lang w:val="es-CO"/>
        </w:rPr>
        <w:t xml:space="preserve">, </w:t>
      </w:r>
      <w:proofErr w:type="spellStart"/>
      <w:r w:rsidRPr="00002695">
        <w:rPr>
          <w:rFonts w:ascii="Century Gothic" w:hAnsi="Century Gothic" w:cs="Century Gothic"/>
          <w:i/>
          <w:iCs/>
          <w:color w:val="0D0D0D" w:themeColor="text1" w:themeTint="F2"/>
          <w:sz w:val="24"/>
          <w:szCs w:val="24"/>
          <w:lang w:val="es-CO"/>
        </w:rPr>
        <w:t>reliquide</w:t>
      </w:r>
      <w:proofErr w:type="spellEnd"/>
      <w:r w:rsidRPr="00002695">
        <w:rPr>
          <w:rFonts w:ascii="Century Gothic" w:hAnsi="Century Gothic" w:cs="Century Gothic"/>
          <w:i/>
          <w:iCs/>
          <w:color w:val="0D0D0D" w:themeColor="text1" w:themeTint="F2"/>
          <w:sz w:val="24"/>
          <w:szCs w:val="24"/>
          <w:lang w:val="es-CO"/>
        </w:rPr>
        <w:t xml:space="preserve"> la pensión de</w:t>
      </w:r>
      <w:r w:rsidR="00AD719E" w:rsidRPr="00002695">
        <w:rPr>
          <w:rFonts w:ascii="Century Gothic" w:hAnsi="Century Gothic" w:cs="Century Gothic"/>
          <w:i/>
          <w:iCs/>
          <w:color w:val="0D0D0D" w:themeColor="text1" w:themeTint="F2"/>
          <w:sz w:val="24"/>
          <w:szCs w:val="24"/>
          <w:lang w:val="es-CO"/>
        </w:rPr>
        <w:t xml:space="preserve"> jubilación de la señora </w:t>
      </w:r>
      <w:r w:rsidR="00323FF6" w:rsidRPr="00002695">
        <w:rPr>
          <w:rFonts w:ascii="Century Gothic" w:hAnsi="Century Gothic" w:cs="Century Gothic"/>
          <w:i/>
          <w:iCs/>
          <w:color w:val="0D0D0D" w:themeColor="text1" w:themeTint="F2"/>
          <w:sz w:val="24"/>
          <w:szCs w:val="24"/>
          <w:lang w:val="es-CO"/>
        </w:rPr>
        <w:t>María</w:t>
      </w:r>
      <w:r w:rsidR="00AD719E" w:rsidRPr="00002695">
        <w:rPr>
          <w:rFonts w:ascii="Century Gothic" w:hAnsi="Century Gothic" w:cs="Century Gothic"/>
          <w:i/>
          <w:iCs/>
          <w:color w:val="0D0D0D" w:themeColor="text1" w:themeTint="F2"/>
          <w:sz w:val="24"/>
          <w:szCs w:val="24"/>
          <w:lang w:val="es-CO"/>
        </w:rPr>
        <w:t xml:space="preserve"> Virginia Duran </w:t>
      </w:r>
      <w:r w:rsidR="00323FF6" w:rsidRPr="00002695">
        <w:rPr>
          <w:rFonts w:ascii="Century Gothic" w:hAnsi="Century Gothic" w:cs="Century Gothic"/>
          <w:i/>
          <w:iCs/>
          <w:color w:val="0D0D0D" w:themeColor="text1" w:themeTint="F2"/>
          <w:sz w:val="24"/>
          <w:szCs w:val="24"/>
          <w:lang w:val="es-CO"/>
        </w:rPr>
        <w:t>Narváez</w:t>
      </w:r>
      <w:r w:rsidRPr="00002695">
        <w:rPr>
          <w:rFonts w:ascii="Century Gothic" w:hAnsi="Century Gothic" w:cs="Century Gothic"/>
          <w:i/>
          <w:iCs/>
          <w:color w:val="0D0D0D" w:themeColor="text1" w:themeTint="F2"/>
          <w:sz w:val="24"/>
          <w:szCs w:val="24"/>
          <w:lang w:val="es-CO"/>
        </w:rPr>
        <w:t>, teniendo en cuenta todos los factores salariales devengados en el último año de servicios?</w:t>
      </w:r>
    </w:p>
    <w:p w14:paraId="3783EEF9" w14:textId="77777777" w:rsidR="0010334D" w:rsidRPr="00002695" w:rsidRDefault="0010334D" w:rsidP="00356DB7">
      <w:pPr>
        <w:spacing w:after="0" w:line="300" w:lineRule="auto"/>
        <w:jc w:val="both"/>
        <w:rPr>
          <w:rFonts w:ascii="Century Gothic" w:hAnsi="Century Gothic" w:cs="Century Gothic"/>
          <w:i/>
          <w:iCs/>
          <w:color w:val="0D0D0D" w:themeColor="text1" w:themeTint="F2"/>
          <w:sz w:val="24"/>
          <w:szCs w:val="24"/>
          <w:lang w:val="es-CO"/>
        </w:rPr>
      </w:pPr>
    </w:p>
    <w:p w14:paraId="5B73A5FD" w14:textId="77777777" w:rsidR="0010334D" w:rsidRPr="00002695" w:rsidRDefault="0010334D" w:rsidP="00356DB7">
      <w:pPr>
        <w:spacing w:after="0" w:line="300" w:lineRule="auto"/>
        <w:ind w:left="-142"/>
        <w:jc w:val="both"/>
        <w:rPr>
          <w:rFonts w:ascii="Century Gothic" w:eastAsia="Times New Roman" w:hAnsi="Century Gothic" w:cs="Century Gothic"/>
          <w:bCs/>
          <w:iCs/>
          <w:color w:val="0D0D0D" w:themeColor="text1" w:themeTint="F2"/>
          <w:sz w:val="24"/>
          <w:szCs w:val="24"/>
        </w:rPr>
      </w:pPr>
      <w:r w:rsidRPr="00002695">
        <w:rPr>
          <w:rFonts w:ascii="Century Gothic" w:eastAsia="Times New Roman" w:hAnsi="Century Gothic" w:cs="Century Gothic"/>
          <w:bCs/>
          <w:iCs/>
          <w:color w:val="0D0D0D" w:themeColor="text1" w:themeTint="F2"/>
          <w:sz w:val="24"/>
          <w:szCs w:val="24"/>
        </w:rPr>
        <w:t xml:space="preserve">De ser resuelto de manera negativa el anterior problema jurídico, corresponderá confirmar la sentencia de primera instancia, en caso contrario será revocada, y en su lugar se concederán las pretensiones de la demanda.  </w:t>
      </w:r>
    </w:p>
    <w:p w14:paraId="7EB3CB73" w14:textId="77777777" w:rsidR="0010334D" w:rsidRPr="00002695" w:rsidRDefault="0010334D" w:rsidP="00356DB7">
      <w:pPr>
        <w:spacing w:after="0" w:line="300" w:lineRule="auto"/>
        <w:ind w:left="-142"/>
        <w:jc w:val="both"/>
        <w:rPr>
          <w:rFonts w:ascii="Century Gothic" w:eastAsia="Times New Roman" w:hAnsi="Century Gothic" w:cs="Century Gothic"/>
          <w:bCs/>
          <w:iCs/>
          <w:color w:val="0D0D0D" w:themeColor="text1" w:themeTint="F2"/>
          <w:sz w:val="24"/>
          <w:szCs w:val="24"/>
        </w:rPr>
      </w:pPr>
    </w:p>
    <w:p w14:paraId="5290F43C" w14:textId="77777777" w:rsidR="0010334D" w:rsidRPr="00002695" w:rsidRDefault="0010334D" w:rsidP="00356DB7">
      <w:pPr>
        <w:pStyle w:val="Prrafodelista"/>
        <w:numPr>
          <w:ilvl w:val="0"/>
          <w:numId w:val="18"/>
        </w:numPr>
        <w:spacing w:after="0" w:line="300" w:lineRule="auto"/>
        <w:ind w:left="426" w:hanging="426"/>
        <w:jc w:val="both"/>
        <w:rPr>
          <w:rFonts w:ascii="Century Gothic" w:hAnsi="Century Gothic" w:cs="Century Gothic"/>
          <w:b/>
          <w:bCs/>
          <w:color w:val="0D0D0D" w:themeColor="text1" w:themeTint="F2"/>
          <w:sz w:val="24"/>
          <w:szCs w:val="24"/>
          <w:lang w:val="es-CO"/>
        </w:rPr>
      </w:pPr>
      <w:r w:rsidRPr="00002695">
        <w:rPr>
          <w:rFonts w:ascii="Century Gothic" w:hAnsi="Century Gothic" w:cs="Century Gothic"/>
          <w:b/>
          <w:bCs/>
          <w:color w:val="0D0D0D" w:themeColor="text1" w:themeTint="F2"/>
          <w:sz w:val="24"/>
          <w:szCs w:val="24"/>
          <w:lang w:val="es-CO"/>
        </w:rPr>
        <w:t>Tesis de la sala.</w:t>
      </w:r>
    </w:p>
    <w:p w14:paraId="1DF68C92" w14:textId="77777777" w:rsidR="0010334D" w:rsidRPr="00002695" w:rsidRDefault="0010334D" w:rsidP="00356DB7">
      <w:pPr>
        <w:spacing w:after="0" w:line="300" w:lineRule="auto"/>
        <w:ind w:left="-142"/>
        <w:jc w:val="both"/>
        <w:rPr>
          <w:rFonts w:ascii="Century Gothic" w:eastAsia="Times New Roman" w:hAnsi="Century Gothic" w:cs="Century Gothic"/>
          <w:bCs/>
          <w:color w:val="0D0D0D" w:themeColor="text1" w:themeTint="F2"/>
          <w:sz w:val="24"/>
          <w:szCs w:val="24"/>
        </w:rPr>
      </w:pPr>
    </w:p>
    <w:p w14:paraId="069E99EF" w14:textId="71FE0C47" w:rsidR="00D543FD" w:rsidRPr="00002695" w:rsidRDefault="0010334D" w:rsidP="00356DB7">
      <w:pPr>
        <w:spacing w:after="0" w:line="300" w:lineRule="auto"/>
        <w:ind w:left="-142"/>
        <w:jc w:val="both"/>
        <w:rPr>
          <w:rFonts w:ascii="Century Gothic" w:eastAsia="Times New Roman" w:hAnsi="Century Gothic" w:cs="Century Gothic"/>
          <w:bCs/>
          <w:color w:val="0D0D0D" w:themeColor="text1" w:themeTint="F2"/>
          <w:sz w:val="24"/>
          <w:szCs w:val="24"/>
        </w:rPr>
      </w:pPr>
      <w:r w:rsidRPr="00002695">
        <w:rPr>
          <w:rFonts w:ascii="Century Gothic" w:eastAsia="Times New Roman" w:hAnsi="Century Gothic" w:cs="Century Gothic"/>
          <w:bCs/>
          <w:color w:val="0D0D0D" w:themeColor="text1" w:themeTint="F2"/>
          <w:sz w:val="24"/>
          <w:szCs w:val="24"/>
        </w:rPr>
        <w:t xml:space="preserve">La Sala CONFIRMARÁ la sentencia apelada, en consideración a que en el </w:t>
      </w:r>
      <w:r w:rsidRPr="00002695">
        <w:rPr>
          <w:rFonts w:ascii="Century Gothic" w:eastAsia="Times New Roman" w:hAnsi="Century Gothic" w:cs="Century Gothic"/>
          <w:bCs/>
          <w:i/>
          <w:color w:val="0D0D0D" w:themeColor="text1" w:themeTint="F2"/>
          <w:sz w:val="24"/>
          <w:szCs w:val="24"/>
        </w:rPr>
        <w:t>sub judice</w:t>
      </w:r>
      <w:r w:rsidR="00D543FD" w:rsidRPr="00002695">
        <w:rPr>
          <w:rFonts w:ascii="Century Gothic" w:eastAsia="Times New Roman" w:hAnsi="Century Gothic" w:cs="Century Gothic"/>
          <w:bCs/>
          <w:i/>
          <w:color w:val="0D0D0D" w:themeColor="text1" w:themeTint="F2"/>
          <w:sz w:val="24"/>
          <w:szCs w:val="24"/>
        </w:rPr>
        <w:t xml:space="preserve"> </w:t>
      </w:r>
      <w:r w:rsidR="00D543FD" w:rsidRPr="00002695">
        <w:rPr>
          <w:rFonts w:ascii="Century Gothic" w:eastAsia="Times New Roman" w:hAnsi="Century Gothic" w:cs="Century Gothic"/>
          <w:bCs/>
          <w:color w:val="0D0D0D" w:themeColor="text1" w:themeTint="F2"/>
          <w:sz w:val="24"/>
          <w:szCs w:val="24"/>
        </w:rPr>
        <w:t xml:space="preserve">a la demandante no le asiste el derecho a la reliquidación de su pensión de jubilación con inclusión de todos los factores salariales devengados durante </w:t>
      </w:r>
      <w:r w:rsidR="00D543FD" w:rsidRPr="00002695">
        <w:rPr>
          <w:rFonts w:ascii="Century Gothic" w:eastAsia="Times New Roman" w:hAnsi="Century Gothic" w:cs="Century Gothic"/>
          <w:bCs/>
          <w:color w:val="0D0D0D" w:themeColor="text1" w:themeTint="F2"/>
          <w:sz w:val="24"/>
          <w:szCs w:val="24"/>
        </w:rPr>
        <w:lastRenderedPageBreak/>
        <w:t xml:space="preserve">el último año de prestación de servicios, lo anterior por cuanto no se acreditó que haya cotizado sobre factores adicionales a los contenidos en la Ley 33 de 1985, y la Ley 62 de 1985.  </w:t>
      </w:r>
    </w:p>
    <w:p w14:paraId="1D697226" w14:textId="77777777" w:rsidR="0010334D" w:rsidRPr="00002695" w:rsidRDefault="0010334D" w:rsidP="00356DB7">
      <w:pPr>
        <w:spacing w:after="0" w:line="300" w:lineRule="auto"/>
        <w:jc w:val="both"/>
        <w:rPr>
          <w:rFonts w:ascii="Century Gothic" w:hAnsi="Century Gothic" w:cs="Century Gothic"/>
          <w:color w:val="0D0D0D" w:themeColor="text1" w:themeTint="F2"/>
          <w:sz w:val="24"/>
          <w:szCs w:val="24"/>
        </w:rPr>
      </w:pPr>
    </w:p>
    <w:p w14:paraId="714CCB9B" w14:textId="77777777" w:rsidR="0010334D" w:rsidRPr="00002695" w:rsidRDefault="0010334D" w:rsidP="00356DB7">
      <w:pPr>
        <w:spacing w:after="0" w:line="300" w:lineRule="auto"/>
        <w:ind w:left="-142"/>
        <w:jc w:val="both"/>
        <w:rPr>
          <w:rFonts w:ascii="Century Gothic" w:hAnsi="Century Gothic" w:cs="Century Gothic"/>
          <w:color w:val="0D0D0D" w:themeColor="text1" w:themeTint="F2"/>
          <w:sz w:val="24"/>
          <w:szCs w:val="24"/>
        </w:rPr>
      </w:pPr>
      <w:r w:rsidRPr="00002695">
        <w:rPr>
          <w:rFonts w:ascii="Century Gothic" w:hAnsi="Century Gothic" w:cs="Century Gothic"/>
          <w:color w:val="0D0D0D" w:themeColor="text1" w:themeTint="F2"/>
          <w:sz w:val="24"/>
          <w:szCs w:val="24"/>
        </w:rPr>
        <w:t>La anterior tesis se soporta en los argumentos que se exponen a continuación.</w:t>
      </w:r>
    </w:p>
    <w:p w14:paraId="636EBC11" w14:textId="77777777" w:rsidR="0010334D" w:rsidRPr="00002695" w:rsidRDefault="0010334D" w:rsidP="00356DB7">
      <w:pPr>
        <w:spacing w:after="0" w:line="300" w:lineRule="auto"/>
        <w:ind w:left="-142"/>
        <w:jc w:val="both"/>
        <w:rPr>
          <w:rFonts w:ascii="Century Gothic" w:hAnsi="Century Gothic" w:cs="Century Gothic"/>
          <w:color w:val="0D0D0D" w:themeColor="text1" w:themeTint="F2"/>
          <w:sz w:val="24"/>
          <w:szCs w:val="24"/>
        </w:rPr>
      </w:pPr>
    </w:p>
    <w:p w14:paraId="0AAB2274" w14:textId="0DD05537" w:rsidR="0010334D" w:rsidRPr="00002695" w:rsidRDefault="0010334D" w:rsidP="00356DB7">
      <w:pPr>
        <w:tabs>
          <w:tab w:val="left" w:pos="7020"/>
        </w:tabs>
        <w:spacing w:after="0" w:line="300" w:lineRule="auto"/>
        <w:ind w:left="-142"/>
        <w:jc w:val="both"/>
        <w:rPr>
          <w:rFonts w:ascii="Century Gothic" w:hAnsi="Century Gothic" w:cs="Century Gothic"/>
          <w:b/>
          <w:bCs/>
          <w:color w:val="0D0D0D" w:themeColor="text1" w:themeTint="F2"/>
          <w:sz w:val="24"/>
          <w:szCs w:val="24"/>
          <w:lang w:val="es-CO"/>
        </w:rPr>
      </w:pPr>
      <w:r w:rsidRPr="00002695">
        <w:rPr>
          <w:rFonts w:ascii="Century Gothic" w:hAnsi="Century Gothic" w:cs="Century Gothic"/>
          <w:b/>
          <w:bCs/>
          <w:color w:val="0D0D0D" w:themeColor="text1" w:themeTint="F2"/>
          <w:sz w:val="24"/>
          <w:szCs w:val="24"/>
          <w:lang w:val="es-CO"/>
        </w:rPr>
        <w:t>4.   Marco normativo y jurisprudencial.</w:t>
      </w:r>
      <w:r w:rsidR="00356DB7" w:rsidRPr="00002695">
        <w:rPr>
          <w:rFonts w:ascii="Century Gothic" w:hAnsi="Century Gothic" w:cs="Century Gothic"/>
          <w:b/>
          <w:bCs/>
          <w:color w:val="0D0D0D" w:themeColor="text1" w:themeTint="F2"/>
          <w:sz w:val="24"/>
          <w:szCs w:val="24"/>
          <w:lang w:val="es-CO"/>
        </w:rPr>
        <w:tab/>
      </w:r>
    </w:p>
    <w:p w14:paraId="1331C864" w14:textId="0871D0FC" w:rsidR="00AC3784" w:rsidRPr="00002695" w:rsidRDefault="003D6FCD" w:rsidP="00356DB7">
      <w:pPr>
        <w:spacing w:after="0" w:line="300" w:lineRule="auto"/>
        <w:jc w:val="both"/>
        <w:rPr>
          <w:rFonts w:ascii="Century Gothic" w:hAnsi="Century Gothic" w:cs="Century Gothic"/>
          <w:b/>
          <w:bCs/>
          <w:color w:val="0D0D0D" w:themeColor="text1" w:themeTint="F2"/>
          <w:sz w:val="24"/>
          <w:szCs w:val="24"/>
        </w:rPr>
      </w:pPr>
      <w:r w:rsidRPr="00002695">
        <w:rPr>
          <w:rFonts w:ascii="Century Gothic" w:hAnsi="Century Gothic" w:cs="Century Gothic"/>
          <w:b/>
          <w:bCs/>
          <w:color w:val="0D0D0D" w:themeColor="text1" w:themeTint="F2"/>
          <w:sz w:val="24"/>
          <w:szCs w:val="24"/>
        </w:rPr>
        <w:t xml:space="preserve"> </w:t>
      </w:r>
      <w:r w:rsidR="00004B5A" w:rsidRPr="00002695">
        <w:rPr>
          <w:rFonts w:ascii="Century Gothic" w:hAnsi="Century Gothic" w:cs="Century Gothic"/>
          <w:b/>
          <w:bCs/>
          <w:color w:val="0D0D0D" w:themeColor="text1" w:themeTint="F2"/>
          <w:sz w:val="24"/>
          <w:szCs w:val="24"/>
        </w:rPr>
        <w:t xml:space="preserve"> </w:t>
      </w:r>
      <w:r w:rsidR="0010334D" w:rsidRPr="00002695">
        <w:rPr>
          <w:rFonts w:ascii="Century Gothic" w:hAnsi="Century Gothic" w:cs="Century Gothic"/>
          <w:b/>
          <w:bCs/>
          <w:color w:val="0D0D0D" w:themeColor="text1" w:themeTint="F2"/>
          <w:sz w:val="24"/>
          <w:szCs w:val="24"/>
        </w:rPr>
        <w:t xml:space="preserve"> </w:t>
      </w:r>
    </w:p>
    <w:p w14:paraId="0FC79B0C" w14:textId="00541688" w:rsidR="00E26EE7" w:rsidRPr="00002695" w:rsidRDefault="00777A61" w:rsidP="00356DB7">
      <w:pPr>
        <w:suppressAutoHyphens/>
        <w:spacing w:after="0" w:line="300" w:lineRule="auto"/>
        <w:rPr>
          <w:rFonts w:ascii="Century Gothic" w:hAnsi="Century Gothic"/>
          <w:color w:val="0D0D0D" w:themeColor="text1" w:themeTint="F2"/>
          <w:spacing w:val="-3"/>
          <w:sz w:val="24"/>
          <w:szCs w:val="24"/>
        </w:rPr>
      </w:pPr>
      <w:r w:rsidRPr="00002695">
        <w:rPr>
          <w:rFonts w:ascii="Century Gothic" w:hAnsi="Century Gothic"/>
          <w:b/>
          <w:color w:val="0D0D0D" w:themeColor="text1" w:themeTint="F2"/>
          <w:spacing w:val="-3"/>
          <w:sz w:val="24"/>
          <w:szCs w:val="24"/>
        </w:rPr>
        <w:t>4.1. De la pensión de jubilación de docentes oficiales</w:t>
      </w:r>
    </w:p>
    <w:p w14:paraId="38A9D293" w14:textId="77777777" w:rsidR="00E26EE7" w:rsidRPr="00002695" w:rsidRDefault="00E26EE7" w:rsidP="00356DB7">
      <w:pPr>
        <w:spacing w:after="0" w:line="300" w:lineRule="auto"/>
        <w:rPr>
          <w:rFonts w:ascii="Century Gothic" w:hAnsi="Century Gothic"/>
          <w:color w:val="0D0D0D" w:themeColor="text1" w:themeTint="F2"/>
          <w:sz w:val="24"/>
          <w:szCs w:val="24"/>
        </w:rPr>
      </w:pPr>
    </w:p>
    <w:p w14:paraId="63C0EAAB" w14:textId="77777777" w:rsidR="00777A61" w:rsidRPr="00002695" w:rsidRDefault="00777A61" w:rsidP="00356DB7">
      <w:pPr>
        <w:pStyle w:val="Style5"/>
        <w:widowControl/>
        <w:spacing w:line="300" w:lineRule="auto"/>
        <w:ind w:right="191"/>
        <w:rPr>
          <w:rStyle w:val="FontStyle32"/>
          <w:color w:val="0D0D0D" w:themeColor="text1" w:themeTint="F2"/>
          <w:sz w:val="24"/>
          <w:szCs w:val="24"/>
          <w:lang w:val="es-ES_tradnl" w:eastAsia="es-ES_tradnl"/>
        </w:rPr>
      </w:pPr>
      <w:r w:rsidRPr="00002695">
        <w:rPr>
          <w:rStyle w:val="FontStyle32"/>
          <w:color w:val="0D0D0D" w:themeColor="text1" w:themeTint="F2"/>
          <w:sz w:val="24"/>
          <w:szCs w:val="24"/>
          <w:lang w:val="es-ES_tradnl" w:eastAsia="es-ES_tradnl"/>
        </w:rPr>
        <w:t>El régimen prestacional aplicable, actualmente a los educadores oficiales es el establecido en las Leyes 100 de 1993 y 797 de 2003, exceptuando aquellos vinculados con anterioridad al 27 de junio del 2003, fecha de entrada en vigencia de la Ley 812 del 2003, para quienes el régimen aplicable es el establecido para el magisterio en las normas anteriores a la referida ley.</w:t>
      </w:r>
    </w:p>
    <w:p w14:paraId="7AF7998E" w14:textId="77777777" w:rsidR="00777A61" w:rsidRPr="00002695" w:rsidRDefault="00777A61" w:rsidP="00356DB7">
      <w:pPr>
        <w:pStyle w:val="Style8"/>
        <w:widowControl/>
        <w:spacing w:line="300" w:lineRule="auto"/>
        <w:ind w:right="191"/>
        <w:rPr>
          <w:color w:val="0D0D0D" w:themeColor="text1" w:themeTint="F2"/>
        </w:rPr>
      </w:pPr>
    </w:p>
    <w:p w14:paraId="07CACAF6" w14:textId="77777777" w:rsidR="00777A61" w:rsidRPr="00002695" w:rsidRDefault="00777A61" w:rsidP="00356DB7">
      <w:pPr>
        <w:pStyle w:val="Style8"/>
        <w:widowControl/>
        <w:spacing w:line="300" w:lineRule="auto"/>
        <w:ind w:right="191"/>
        <w:rPr>
          <w:rStyle w:val="FontStyle32"/>
          <w:color w:val="0D0D0D" w:themeColor="text1" w:themeTint="F2"/>
          <w:sz w:val="24"/>
          <w:szCs w:val="24"/>
          <w:lang w:val="es-ES_tradnl" w:eastAsia="es-ES_tradnl"/>
        </w:rPr>
      </w:pPr>
      <w:r w:rsidRPr="00002695">
        <w:rPr>
          <w:rStyle w:val="FontStyle32"/>
          <w:color w:val="0D0D0D" w:themeColor="text1" w:themeTint="F2"/>
          <w:sz w:val="24"/>
          <w:szCs w:val="24"/>
          <w:lang w:val="es-ES_tradnl" w:eastAsia="es-ES_tradnl"/>
        </w:rPr>
        <w:t xml:space="preserve">Lo anterior, de conformidad con lo establecido en el parágrafo transitorio </w:t>
      </w:r>
      <w:r w:rsidRPr="00002695">
        <w:rPr>
          <w:rStyle w:val="FontStyle32"/>
          <w:color w:val="0D0D0D" w:themeColor="text1" w:themeTint="F2"/>
          <w:spacing w:val="30"/>
          <w:sz w:val="24"/>
          <w:szCs w:val="24"/>
          <w:lang w:val="es-ES_tradnl" w:eastAsia="es-ES_tradnl"/>
        </w:rPr>
        <w:t xml:space="preserve">1 </w:t>
      </w:r>
      <w:r w:rsidRPr="00002695">
        <w:rPr>
          <w:rStyle w:val="FontStyle32"/>
          <w:color w:val="0D0D0D" w:themeColor="text1" w:themeTint="F2"/>
          <w:sz w:val="24"/>
          <w:szCs w:val="24"/>
          <w:lang w:val="es-ES_tradnl" w:eastAsia="es-ES_tradnl"/>
        </w:rPr>
        <w:t xml:space="preserve">del artículo </w:t>
      </w:r>
      <w:r w:rsidRPr="00002695">
        <w:rPr>
          <w:rStyle w:val="FontStyle32"/>
          <w:color w:val="0D0D0D" w:themeColor="text1" w:themeTint="F2"/>
          <w:spacing w:val="30"/>
          <w:sz w:val="24"/>
          <w:szCs w:val="24"/>
          <w:lang w:val="es-ES_tradnl" w:eastAsia="es-ES_tradnl"/>
        </w:rPr>
        <w:t>1</w:t>
      </w:r>
      <w:r w:rsidRPr="00002695">
        <w:rPr>
          <w:rStyle w:val="FontStyle32"/>
          <w:color w:val="0D0D0D" w:themeColor="text1" w:themeTint="F2"/>
          <w:sz w:val="24"/>
          <w:szCs w:val="24"/>
          <w:lang w:val="es-ES_tradnl" w:eastAsia="es-ES_tradnl"/>
        </w:rPr>
        <w:t xml:space="preserve"> del Acto Legislativo 01 de 2005, por el cual se modificó el artículo 48 de la Constitución Política, conforme al cual, el régimen pensional de los docentes nacionales, nacionalizados y territoriales, vinculados al servicio público oficial es el establecido para el magisterio en las disposiciones legales vigentes con anterioridad a la entrada en vigencia de la Ley 812 de 2003 y lo preceptuado en el artículo 81 de esta.</w:t>
      </w:r>
    </w:p>
    <w:p w14:paraId="09D8E1EA" w14:textId="77777777" w:rsidR="00777A61" w:rsidRPr="00002695" w:rsidRDefault="00777A61" w:rsidP="00356DB7">
      <w:pPr>
        <w:pStyle w:val="Style8"/>
        <w:widowControl/>
        <w:spacing w:line="300" w:lineRule="auto"/>
        <w:ind w:right="191"/>
        <w:rPr>
          <w:color w:val="0D0D0D" w:themeColor="text1" w:themeTint="F2"/>
        </w:rPr>
      </w:pPr>
    </w:p>
    <w:p w14:paraId="605F775E" w14:textId="77777777" w:rsidR="00777A61" w:rsidRPr="00002695" w:rsidRDefault="00777A61" w:rsidP="00356DB7">
      <w:pPr>
        <w:pStyle w:val="Style8"/>
        <w:widowControl/>
        <w:spacing w:line="300" w:lineRule="auto"/>
        <w:ind w:right="191"/>
        <w:rPr>
          <w:rStyle w:val="FontStyle32"/>
          <w:color w:val="0D0D0D" w:themeColor="text1" w:themeTint="F2"/>
          <w:sz w:val="24"/>
          <w:szCs w:val="24"/>
          <w:lang w:val="es-ES_tradnl" w:eastAsia="es-ES_tradnl"/>
        </w:rPr>
      </w:pPr>
      <w:r w:rsidRPr="00002695">
        <w:rPr>
          <w:rStyle w:val="FontStyle32"/>
          <w:color w:val="0D0D0D" w:themeColor="text1" w:themeTint="F2"/>
          <w:sz w:val="24"/>
          <w:szCs w:val="24"/>
          <w:lang w:val="es-ES_tradnl" w:eastAsia="es-ES_tradnl"/>
        </w:rPr>
        <w:t>Sobre el particular, el artículo 81 de la Ley 812 del 2003</w:t>
      </w:r>
      <w:r w:rsidRPr="00002695">
        <w:rPr>
          <w:rStyle w:val="FontStyle32"/>
          <w:color w:val="0D0D0D" w:themeColor="text1" w:themeTint="F2"/>
          <w:sz w:val="24"/>
          <w:szCs w:val="24"/>
          <w:vertAlign w:val="superscript"/>
          <w:lang w:val="es-ES_tradnl" w:eastAsia="es-ES_tradnl"/>
        </w:rPr>
        <w:footnoteReference w:id="5"/>
      </w:r>
      <w:r w:rsidRPr="00002695">
        <w:rPr>
          <w:rStyle w:val="FontStyle32"/>
          <w:color w:val="0D0D0D" w:themeColor="text1" w:themeTint="F2"/>
          <w:sz w:val="24"/>
          <w:szCs w:val="24"/>
          <w:lang w:val="es-ES_tradnl" w:eastAsia="es-ES_tradnl"/>
        </w:rPr>
        <w:t>, señaló que el régimen prestacional de los docentes nacionales, nacionalizados y territoriales, que se encuentren vinculados al servicio público educativo oficial, es el establecido para el magisterio en las disposiciones vigentes con anterioridad a su entrada en vigencia y que los educadores que se vinculen a partir de la vigencia de la misma serán afiliados al Fondo Nacional de Prestaciones Sociales del Magisterio y tendrán los derechos pensiónales del régimen pensional de prima media establecido en las Leyes 100 de 1993 y 797 de 2003.</w:t>
      </w:r>
    </w:p>
    <w:p w14:paraId="4973352D" w14:textId="77777777" w:rsidR="00777A61" w:rsidRPr="00002695" w:rsidRDefault="00777A61" w:rsidP="00356DB7">
      <w:pPr>
        <w:pStyle w:val="Style8"/>
        <w:widowControl/>
        <w:spacing w:line="300" w:lineRule="auto"/>
        <w:ind w:right="191"/>
        <w:rPr>
          <w:color w:val="0D0D0D" w:themeColor="text1" w:themeTint="F2"/>
        </w:rPr>
      </w:pPr>
    </w:p>
    <w:p w14:paraId="63CBEBFE" w14:textId="77777777" w:rsidR="00777A61" w:rsidRPr="00002695" w:rsidRDefault="00777A61" w:rsidP="00356DB7">
      <w:pPr>
        <w:pStyle w:val="Style8"/>
        <w:widowControl/>
        <w:spacing w:line="300" w:lineRule="auto"/>
        <w:ind w:right="191"/>
        <w:rPr>
          <w:rStyle w:val="FontStyle32"/>
          <w:color w:val="0D0D0D" w:themeColor="text1" w:themeTint="F2"/>
          <w:sz w:val="24"/>
          <w:szCs w:val="24"/>
          <w:lang w:val="es-ES_tradnl" w:eastAsia="es-ES_tradnl"/>
        </w:rPr>
      </w:pPr>
      <w:r w:rsidRPr="00002695">
        <w:rPr>
          <w:rStyle w:val="FontStyle32"/>
          <w:color w:val="0D0D0D" w:themeColor="text1" w:themeTint="F2"/>
          <w:sz w:val="24"/>
          <w:szCs w:val="24"/>
          <w:lang w:val="es-ES_tradnl" w:eastAsia="es-ES_tradnl"/>
        </w:rPr>
        <w:t xml:space="preserve">Ahora bien, en cuanto toca al régimen pensional de los docentes que regía antes del 27 de junio de 2003, se encuentra que la Ley 115 de 1994 -Ley </w:t>
      </w:r>
      <w:r w:rsidRPr="00002695">
        <w:rPr>
          <w:rStyle w:val="FontStyle32"/>
          <w:color w:val="0D0D0D" w:themeColor="text1" w:themeTint="F2"/>
          <w:sz w:val="24"/>
          <w:szCs w:val="24"/>
          <w:lang w:val="es-ES_tradnl" w:eastAsia="es-ES_tradnl"/>
        </w:rPr>
        <w:lastRenderedPageBreak/>
        <w:t>General de Educación-, en su artículo 115</w:t>
      </w:r>
      <w:r w:rsidRPr="00002695">
        <w:rPr>
          <w:rStyle w:val="FontStyle32"/>
          <w:color w:val="0D0D0D" w:themeColor="text1" w:themeTint="F2"/>
          <w:sz w:val="24"/>
          <w:szCs w:val="24"/>
          <w:vertAlign w:val="superscript"/>
          <w:lang w:val="es-ES_tradnl" w:eastAsia="es-ES_tradnl"/>
        </w:rPr>
        <w:footnoteReference w:id="6"/>
      </w:r>
      <w:r w:rsidRPr="00002695">
        <w:rPr>
          <w:rStyle w:val="FontStyle32"/>
          <w:color w:val="0D0D0D" w:themeColor="text1" w:themeTint="F2"/>
          <w:sz w:val="24"/>
          <w:szCs w:val="24"/>
          <w:lang w:val="es-ES_tradnl" w:eastAsia="es-ES_tradnl"/>
        </w:rPr>
        <w:t>, dispuso que el régimen prestacional de los educadores estatales es el establecido en esa ley y en las Leyes 91 de 1989 y 60 de 1993.</w:t>
      </w:r>
    </w:p>
    <w:p w14:paraId="212957A7" w14:textId="77777777" w:rsidR="00777A61" w:rsidRPr="00002695" w:rsidRDefault="00777A61" w:rsidP="00356DB7">
      <w:pPr>
        <w:pStyle w:val="Style8"/>
        <w:widowControl/>
        <w:spacing w:line="300" w:lineRule="auto"/>
        <w:ind w:right="191"/>
        <w:rPr>
          <w:color w:val="0D0D0D" w:themeColor="text1" w:themeTint="F2"/>
        </w:rPr>
      </w:pPr>
    </w:p>
    <w:p w14:paraId="4A14561E" w14:textId="77777777" w:rsidR="00777A61" w:rsidRPr="00002695" w:rsidRDefault="00777A61" w:rsidP="00356DB7">
      <w:pPr>
        <w:pStyle w:val="Style8"/>
        <w:widowControl/>
        <w:spacing w:line="300" w:lineRule="auto"/>
        <w:ind w:right="191"/>
        <w:rPr>
          <w:rStyle w:val="FontStyle32"/>
          <w:color w:val="0D0D0D" w:themeColor="text1" w:themeTint="F2"/>
          <w:sz w:val="24"/>
          <w:szCs w:val="24"/>
          <w:lang w:val="es-ES_tradnl" w:eastAsia="es-ES_tradnl"/>
        </w:rPr>
      </w:pPr>
      <w:r w:rsidRPr="00002695">
        <w:rPr>
          <w:rStyle w:val="FontStyle32"/>
          <w:color w:val="0D0D0D" w:themeColor="text1" w:themeTint="F2"/>
          <w:sz w:val="24"/>
          <w:szCs w:val="24"/>
          <w:lang w:val="es-ES_tradnl" w:eastAsia="es-ES_tradnl"/>
        </w:rPr>
        <w:t>Por su parte, el inciso 3</w:t>
      </w:r>
      <w:r w:rsidRPr="00002695">
        <w:rPr>
          <w:rStyle w:val="FontStyle32"/>
          <w:color w:val="0D0D0D" w:themeColor="text1" w:themeTint="F2"/>
          <w:sz w:val="24"/>
          <w:szCs w:val="24"/>
          <w:vertAlign w:val="superscript"/>
          <w:lang w:val="es-ES_tradnl" w:eastAsia="es-ES_tradnl"/>
        </w:rPr>
        <w:t>o</w:t>
      </w:r>
      <w:r w:rsidRPr="00002695">
        <w:rPr>
          <w:rStyle w:val="FontStyle32"/>
          <w:color w:val="0D0D0D" w:themeColor="text1" w:themeTint="F2"/>
          <w:sz w:val="24"/>
          <w:szCs w:val="24"/>
          <w:lang w:val="es-ES_tradnl" w:eastAsia="es-ES_tradnl"/>
        </w:rPr>
        <w:t xml:space="preserve"> del artículo 6</w:t>
      </w:r>
      <w:r w:rsidRPr="00002695">
        <w:rPr>
          <w:rStyle w:val="FontStyle32"/>
          <w:color w:val="0D0D0D" w:themeColor="text1" w:themeTint="F2"/>
          <w:sz w:val="24"/>
          <w:szCs w:val="24"/>
          <w:vertAlign w:val="superscript"/>
          <w:lang w:val="es-ES_tradnl" w:eastAsia="es-ES_tradnl"/>
        </w:rPr>
        <w:t>o</w:t>
      </w:r>
      <w:r w:rsidRPr="00002695">
        <w:rPr>
          <w:rStyle w:val="FontStyle32"/>
          <w:color w:val="0D0D0D" w:themeColor="text1" w:themeTint="F2"/>
          <w:sz w:val="24"/>
          <w:szCs w:val="24"/>
          <w:lang w:val="es-ES_tradnl" w:eastAsia="es-ES_tradnl"/>
        </w:rPr>
        <w:t xml:space="preserve"> de la ley 60 de 1993</w:t>
      </w:r>
      <w:r w:rsidRPr="00002695">
        <w:rPr>
          <w:rStyle w:val="FontStyle32"/>
          <w:color w:val="0D0D0D" w:themeColor="text1" w:themeTint="F2"/>
          <w:sz w:val="24"/>
          <w:szCs w:val="24"/>
          <w:vertAlign w:val="superscript"/>
          <w:lang w:val="es-ES_tradnl" w:eastAsia="es-ES_tradnl"/>
        </w:rPr>
        <w:footnoteReference w:id="7"/>
      </w:r>
      <w:r w:rsidRPr="00002695">
        <w:rPr>
          <w:rStyle w:val="FontStyle32"/>
          <w:color w:val="0D0D0D" w:themeColor="text1" w:themeTint="F2"/>
          <w:sz w:val="24"/>
          <w:szCs w:val="24"/>
          <w:lang w:val="es-ES_tradnl" w:eastAsia="es-ES_tradnl"/>
        </w:rPr>
        <w:t>, preceptuó que el régimen prestacional aplicable a los docentes nacionales o nacionalizados sería el reconocido por la ley 91 de 1989, y las prestaciones en ella reconocidas, serían compatibles con pensiones o cualesquiera otra remuneración; se dispuso además en esta norma que el personal docente de vinculación departamental, distrital y municipal sería incorporado al Fondo Nacional de Prestaciones del Magisterio y se les respetaría el régimen prestacional vigente en la respectiva entidad territorial.</w:t>
      </w:r>
    </w:p>
    <w:p w14:paraId="11E77D9C" w14:textId="77777777" w:rsidR="00CE2EF1" w:rsidRPr="00002695" w:rsidRDefault="00CE2EF1" w:rsidP="00356DB7">
      <w:pPr>
        <w:pStyle w:val="Style8"/>
        <w:widowControl/>
        <w:spacing w:line="300" w:lineRule="auto"/>
        <w:ind w:right="191"/>
        <w:rPr>
          <w:rStyle w:val="FontStyle32"/>
          <w:color w:val="0D0D0D" w:themeColor="text1" w:themeTint="F2"/>
          <w:sz w:val="24"/>
          <w:szCs w:val="24"/>
          <w:lang w:val="es-ES_tradnl" w:eastAsia="es-ES_tradnl"/>
        </w:rPr>
      </w:pPr>
    </w:p>
    <w:p w14:paraId="5BD61880" w14:textId="77777777" w:rsidR="00777A61" w:rsidRPr="00002695" w:rsidRDefault="00777A61" w:rsidP="00356DB7">
      <w:pPr>
        <w:pStyle w:val="Style8"/>
        <w:widowControl/>
        <w:spacing w:line="300" w:lineRule="auto"/>
        <w:ind w:right="191"/>
        <w:rPr>
          <w:rStyle w:val="FontStyle32"/>
          <w:color w:val="0D0D0D" w:themeColor="text1" w:themeTint="F2"/>
          <w:sz w:val="24"/>
          <w:szCs w:val="24"/>
          <w:lang w:val="es-ES_tradnl" w:eastAsia="es-ES_tradnl"/>
        </w:rPr>
      </w:pPr>
      <w:r w:rsidRPr="00002695">
        <w:rPr>
          <w:rStyle w:val="FontStyle32"/>
          <w:color w:val="0D0D0D" w:themeColor="text1" w:themeTint="F2"/>
          <w:sz w:val="24"/>
          <w:szCs w:val="24"/>
          <w:lang w:val="es-ES_tradnl" w:eastAsia="es-ES_tradnl"/>
        </w:rPr>
        <w:t xml:space="preserve">Así las cosas, se tiene que el régimen pensional de los docentes estatales </w:t>
      </w:r>
      <w:r w:rsidRPr="00002695">
        <w:rPr>
          <w:rStyle w:val="FontStyle32"/>
          <w:b/>
          <w:color w:val="0D0D0D" w:themeColor="text1" w:themeTint="F2"/>
          <w:sz w:val="24"/>
          <w:szCs w:val="24"/>
          <w:lang w:val="es-ES_tradnl" w:eastAsia="es-ES_tradnl"/>
        </w:rPr>
        <w:t>vinculados antes del 27 de junio de 2003,</w:t>
      </w:r>
      <w:r w:rsidRPr="00002695">
        <w:rPr>
          <w:rStyle w:val="FontStyle32"/>
          <w:color w:val="0D0D0D" w:themeColor="text1" w:themeTint="F2"/>
          <w:sz w:val="24"/>
          <w:szCs w:val="24"/>
          <w:lang w:val="es-ES_tradnl" w:eastAsia="es-ES_tradnl"/>
        </w:rPr>
        <w:t xml:space="preserve"> fecha de entrada en vigencia de la ley 812 de 2003, es el </w:t>
      </w:r>
      <w:r w:rsidRPr="00002695">
        <w:rPr>
          <w:rStyle w:val="FontStyle32"/>
          <w:b/>
          <w:color w:val="0D0D0D" w:themeColor="text1" w:themeTint="F2"/>
          <w:sz w:val="24"/>
          <w:szCs w:val="24"/>
          <w:lang w:val="es-ES_tradnl" w:eastAsia="es-ES_tradnl"/>
        </w:rPr>
        <w:t>contenido en la ley 91 de 1989</w:t>
      </w:r>
      <w:r w:rsidRPr="00002695">
        <w:rPr>
          <w:rStyle w:val="FontStyle32"/>
          <w:b/>
          <w:color w:val="0D0D0D" w:themeColor="text1" w:themeTint="F2"/>
          <w:sz w:val="24"/>
          <w:szCs w:val="24"/>
          <w:vertAlign w:val="superscript"/>
          <w:lang w:val="es-ES_tradnl" w:eastAsia="es-ES_tradnl"/>
        </w:rPr>
        <w:footnoteReference w:id="8"/>
      </w:r>
      <w:r w:rsidRPr="00002695">
        <w:rPr>
          <w:rStyle w:val="FontStyle32"/>
          <w:b/>
          <w:color w:val="0D0D0D" w:themeColor="text1" w:themeTint="F2"/>
          <w:sz w:val="24"/>
          <w:szCs w:val="24"/>
          <w:lang w:val="es-ES_tradnl" w:eastAsia="es-ES_tradnl"/>
        </w:rPr>
        <w:t>.</w:t>
      </w:r>
    </w:p>
    <w:p w14:paraId="3F76DFF6" w14:textId="77777777" w:rsidR="00777A61" w:rsidRPr="00002695" w:rsidRDefault="00777A61" w:rsidP="00356DB7">
      <w:pPr>
        <w:pStyle w:val="Style8"/>
        <w:widowControl/>
        <w:spacing w:line="300" w:lineRule="auto"/>
        <w:ind w:right="191"/>
        <w:rPr>
          <w:color w:val="0D0D0D" w:themeColor="text1" w:themeTint="F2"/>
        </w:rPr>
      </w:pPr>
    </w:p>
    <w:p w14:paraId="520D5A0B" w14:textId="7100499E" w:rsidR="00777A61" w:rsidRPr="00002695" w:rsidRDefault="00777A61" w:rsidP="00356DB7">
      <w:pPr>
        <w:pStyle w:val="Style8"/>
        <w:widowControl/>
        <w:spacing w:line="300" w:lineRule="auto"/>
        <w:ind w:right="191"/>
        <w:rPr>
          <w:rStyle w:val="FontStyle32"/>
          <w:color w:val="0D0D0D" w:themeColor="text1" w:themeTint="F2"/>
          <w:sz w:val="24"/>
          <w:szCs w:val="24"/>
          <w:lang w:val="es-ES_tradnl" w:eastAsia="es-ES_tradnl"/>
        </w:rPr>
      </w:pPr>
      <w:r w:rsidRPr="00002695">
        <w:rPr>
          <w:rStyle w:val="FontStyle32"/>
          <w:color w:val="0D0D0D" w:themeColor="text1" w:themeTint="F2"/>
          <w:sz w:val="24"/>
          <w:szCs w:val="24"/>
          <w:lang w:val="es-ES_tradnl" w:eastAsia="es-ES_tradnl"/>
        </w:rPr>
        <w:t>Al respecto la Ley 91 de 1989 (por la cual se crea el Fondo Nacional de Prestaciones Sociales de Magisterio), en el numeral 1 del artículo 15 consagró que los docentes nacionales y los vinculados</w:t>
      </w:r>
      <w:r w:rsidRPr="00002695">
        <w:rPr>
          <w:rStyle w:val="FontStyle32"/>
          <w:b/>
          <w:color w:val="0D0D0D" w:themeColor="text1" w:themeTint="F2"/>
          <w:sz w:val="24"/>
          <w:szCs w:val="24"/>
          <w:lang w:val="es-ES_tradnl" w:eastAsia="es-ES_tradnl"/>
        </w:rPr>
        <w:t xml:space="preserve"> a partir del 1 de enero de 1990,</w:t>
      </w:r>
      <w:r w:rsidRPr="00002695">
        <w:rPr>
          <w:rStyle w:val="FontStyle32"/>
          <w:color w:val="0D0D0D" w:themeColor="text1" w:themeTint="F2"/>
          <w:sz w:val="24"/>
          <w:szCs w:val="24"/>
          <w:lang w:val="es-ES_tradnl" w:eastAsia="es-ES_tradnl"/>
        </w:rPr>
        <w:t xml:space="preserve"> para efectos de las prestaciones económicas y sociales se regirán por las normas vigentes aplicables a los empleados públicos del orden nacional, esto es, los decretos 3135 de 1968, 1848 de 1969 y 1045 de 1978 o los que se expidan en el futuro, y los nacionalizados vinculados hasta el 31 de diciembre </w:t>
      </w:r>
      <w:r w:rsidRPr="00002695">
        <w:rPr>
          <w:rStyle w:val="FontStyle32"/>
          <w:color w:val="0D0D0D" w:themeColor="text1" w:themeTint="F2"/>
          <w:sz w:val="24"/>
          <w:szCs w:val="24"/>
          <w:lang w:val="es-ES_tradnl" w:eastAsia="es-ES_tradnl"/>
        </w:rPr>
        <w:lastRenderedPageBreak/>
        <w:t>de 1989 mantendrán el régimen prestacional que venían gozando en cada entidad territorial, de conformidad con las normas vigentes</w:t>
      </w:r>
      <w:r w:rsidRPr="00002695">
        <w:rPr>
          <w:rStyle w:val="FontStyle32"/>
          <w:color w:val="0D0D0D" w:themeColor="text1" w:themeTint="F2"/>
          <w:sz w:val="24"/>
          <w:szCs w:val="24"/>
          <w:vertAlign w:val="superscript"/>
          <w:lang w:val="es-ES_tradnl" w:eastAsia="es-ES_tradnl"/>
        </w:rPr>
        <w:footnoteReference w:id="9"/>
      </w:r>
      <w:r w:rsidRPr="00002695">
        <w:rPr>
          <w:rStyle w:val="FontStyle32"/>
          <w:color w:val="0D0D0D" w:themeColor="text1" w:themeTint="F2"/>
          <w:sz w:val="24"/>
          <w:szCs w:val="24"/>
          <w:lang w:val="es-ES_tradnl" w:eastAsia="es-ES_tradnl"/>
        </w:rPr>
        <w:t>.</w:t>
      </w:r>
    </w:p>
    <w:p w14:paraId="7487B8A9" w14:textId="77777777" w:rsidR="005A2BCC" w:rsidRPr="00002695" w:rsidRDefault="005A2BCC" w:rsidP="00356DB7">
      <w:pPr>
        <w:pStyle w:val="Style8"/>
        <w:widowControl/>
        <w:spacing w:line="300" w:lineRule="auto"/>
        <w:ind w:right="191"/>
        <w:rPr>
          <w:rFonts w:cs="Century Gothic"/>
          <w:color w:val="0D0D0D" w:themeColor="text1" w:themeTint="F2"/>
          <w:lang w:val="es-ES_tradnl" w:eastAsia="es-ES_tradnl"/>
        </w:rPr>
      </w:pPr>
    </w:p>
    <w:p w14:paraId="65442ADD" w14:textId="0B724EDA" w:rsidR="00777A61" w:rsidRPr="00002695" w:rsidRDefault="00777A61" w:rsidP="00356DB7">
      <w:pPr>
        <w:pStyle w:val="Style5"/>
        <w:widowControl/>
        <w:spacing w:line="300" w:lineRule="auto"/>
        <w:ind w:right="191"/>
        <w:rPr>
          <w:rFonts w:ascii="Century Gothic" w:hAnsi="Century Gothic" w:cs="Century Gothic"/>
          <w:color w:val="0D0D0D" w:themeColor="text1" w:themeTint="F2"/>
          <w:lang w:val="es-ES_tradnl" w:eastAsia="es-ES_tradnl"/>
        </w:rPr>
      </w:pPr>
      <w:r w:rsidRPr="00002695">
        <w:rPr>
          <w:rStyle w:val="FontStyle32"/>
          <w:color w:val="0D0D0D" w:themeColor="text1" w:themeTint="F2"/>
          <w:sz w:val="24"/>
          <w:szCs w:val="24"/>
          <w:lang w:val="es-ES_tradnl" w:eastAsia="es-ES_tradnl"/>
        </w:rPr>
        <w:t>A su vez, el numeral 2</w:t>
      </w:r>
      <w:r w:rsidRPr="00002695">
        <w:rPr>
          <w:rStyle w:val="FontStyle32"/>
          <w:color w:val="0D0D0D" w:themeColor="text1" w:themeTint="F2"/>
          <w:sz w:val="24"/>
          <w:szCs w:val="24"/>
          <w:vertAlign w:val="superscript"/>
          <w:lang w:val="es-ES_tradnl" w:eastAsia="es-ES_tradnl"/>
        </w:rPr>
        <w:t>o</w:t>
      </w:r>
      <w:r w:rsidRPr="00002695">
        <w:rPr>
          <w:rStyle w:val="FontStyle32"/>
          <w:color w:val="0D0D0D" w:themeColor="text1" w:themeTint="F2"/>
          <w:sz w:val="24"/>
          <w:szCs w:val="24"/>
          <w:lang w:val="es-ES_tradnl" w:eastAsia="es-ES_tradnl"/>
        </w:rPr>
        <w:t xml:space="preserve"> literal b)</w:t>
      </w:r>
      <w:r w:rsidRPr="00002695">
        <w:rPr>
          <w:rStyle w:val="FontStyle32"/>
          <w:color w:val="0D0D0D" w:themeColor="text1" w:themeTint="F2"/>
          <w:sz w:val="24"/>
          <w:szCs w:val="24"/>
          <w:vertAlign w:val="superscript"/>
          <w:lang w:val="es-ES_tradnl" w:eastAsia="es-ES_tradnl"/>
        </w:rPr>
        <w:footnoteReference w:id="10"/>
      </w:r>
      <w:r w:rsidRPr="00002695">
        <w:rPr>
          <w:rStyle w:val="FontStyle32"/>
          <w:color w:val="0D0D0D" w:themeColor="text1" w:themeTint="F2"/>
          <w:sz w:val="24"/>
          <w:szCs w:val="24"/>
          <w:lang w:val="es-ES_tradnl" w:eastAsia="es-ES_tradnl"/>
        </w:rPr>
        <w:t xml:space="preserve"> de la citada disposición, precisó que los docentes vinculados a partir </w:t>
      </w:r>
      <w:r w:rsidR="00390F64" w:rsidRPr="00002695">
        <w:rPr>
          <w:rStyle w:val="FontStyle32"/>
          <w:color w:val="0D0D0D" w:themeColor="text1" w:themeTint="F2"/>
          <w:sz w:val="24"/>
          <w:szCs w:val="24"/>
          <w:lang w:val="es-ES_tradnl" w:eastAsia="es-ES_tradnl"/>
        </w:rPr>
        <w:t>del 1</w:t>
      </w:r>
      <w:r w:rsidRPr="00002695">
        <w:rPr>
          <w:rStyle w:val="FontStyle32"/>
          <w:color w:val="0D0D0D" w:themeColor="text1" w:themeTint="F2"/>
          <w:sz w:val="24"/>
          <w:szCs w:val="24"/>
          <w:lang w:val="es-ES_tradnl" w:eastAsia="es-ES_tradnl"/>
        </w:rPr>
        <w:t xml:space="preserve"> de enero de 1981, nacionales y nacionalizados, y aquellos que se nombren a partir del </w:t>
      </w:r>
      <w:r w:rsidRPr="00002695">
        <w:rPr>
          <w:rStyle w:val="FontStyle32"/>
          <w:color w:val="0D0D0D" w:themeColor="text1" w:themeTint="F2"/>
          <w:spacing w:val="30"/>
          <w:sz w:val="24"/>
          <w:szCs w:val="24"/>
          <w:lang w:val="es-ES_tradnl" w:eastAsia="es-ES_tradnl"/>
        </w:rPr>
        <w:t>1</w:t>
      </w:r>
      <w:r w:rsidRPr="00002695">
        <w:rPr>
          <w:rStyle w:val="FontStyle32"/>
          <w:color w:val="0D0D0D" w:themeColor="text1" w:themeTint="F2"/>
          <w:spacing w:val="30"/>
          <w:sz w:val="24"/>
          <w:szCs w:val="24"/>
          <w:vertAlign w:val="superscript"/>
          <w:lang w:val="es-ES_tradnl" w:eastAsia="es-ES_tradnl"/>
        </w:rPr>
        <w:t>o</w:t>
      </w:r>
      <w:r w:rsidRPr="00002695">
        <w:rPr>
          <w:rStyle w:val="FontStyle32"/>
          <w:color w:val="0D0D0D" w:themeColor="text1" w:themeTint="F2"/>
          <w:sz w:val="24"/>
          <w:szCs w:val="24"/>
          <w:lang w:val="es-ES_tradnl" w:eastAsia="es-ES_tradnl"/>
        </w:rPr>
        <w:t xml:space="preserve"> de enero de 1990, cuando cumplan los requisitos de ley, tendrán derecho sólo a una pensión de jubilación equivalente al 75% del salario mensual promedio del último año y gozarán del régimen vigente para los pensionados del sector público nacional.</w:t>
      </w:r>
    </w:p>
    <w:p w14:paraId="032D5C72" w14:textId="77777777" w:rsidR="00777A61" w:rsidRPr="00002695" w:rsidRDefault="00777A61" w:rsidP="00356DB7">
      <w:pPr>
        <w:pStyle w:val="Style8"/>
        <w:widowControl/>
        <w:spacing w:line="300" w:lineRule="auto"/>
        <w:ind w:right="191"/>
        <w:rPr>
          <w:color w:val="0D0D0D" w:themeColor="text1" w:themeTint="F2"/>
        </w:rPr>
      </w:pPr>
    </w:p>
    <w:p w14:paraId="7E403410" w14:textId="77777777" w:rsidR="00777A61" w:rsidRPr="00002695" w:rsidRDefault="00777A61" w:rsidP="00356DB7">
      <w:pPr>
        <w:pStyle w:val="Style8"/>
        <w:widowControl/>
        <w:spacing w:line="300" w:lineRule="auto"/>
        <w:ind w:right="191"/>
        <w:rPr>
          <w:rStyle w:val="FontStyle32"/>
          <w:color w:val="0D0D0D" w:themeColor="text1" w:themeTint="F2"/>
          <w:sz w:val="24"/>
          <w:szCs w:val="24"/>
          <w:lang w:val="es-ES_tradnl" w:eastAsia="es-ES_tradnl"/>
        </w:rPr>
      </w:pPr>
      <w:r w:rsidRPr="00002695">
        <w:rPr>
          <w:rStyle w:val="FontStyle32"/>
          <w:color w:val="0D0D0D" w:themeColor="text1" w:themeTint="F2"/>
          <w:sz w:val="24"/>
          <w:szCs w:val="24"/>
          <w:lang w:val="es-ES_tradnl" w:eastAsia="es-ES_tradnl"/>
        </w:rPr>
        <w:t>Conforme a lo anterior, a los docentes nacionales y los vinculados a partir del</w:t>
      </w:r>
      <w:r w:rsidRPr="00002695">
        <w:rPr>
          <w:rStyle w:val="FontStyle32"/>
          <w:b/>
          <w:color w:val="0D0D0D" w:themeColor="text1" w:themeTint="F2"/>
          <w:sz w:val="24"/>
          <w:szCs w:val="24"/>
          <w:lang w:val="es-ES_tradnl" w:eastAsia="es-ES_tradnl"/>
        </w:rPr>
        <w:t xml:space="preserve"> 1 de enero de 1990</w:t>
      </w:r>
      <w:r w:rsidRPr="00002695">
        <w:rPr>
          <w:rStyle w:val="FontStyle32"/>
          <w:color w:val="0D0D0D" w:themeColor="text1" w:themeTint="F2"/>
          <w:sz w:val="24"/>
          <w:szCs w:val="24"/>
          <w:lang w:val="es-ES_tradnl" w:eastAsia="es-ES_tradnl"/>
        </w:rPr>
        <w:t xml:space="preserve"> les era aplicable el régimen general previsto para los empleados públicos nacionales -decretos 3135/68, 1848/69 y 1045/78- y los docentes nacionalizados </w:t>
      </w:r>
      <w:r w:rsidRPr="00002695">
        <w:rPr>
          <w:rStyle w:val="FontStyle32"/>
          <w:b/>
          <w:color w:val="0D0D0D" w:themeColor="text1" w:themeTint="F2"/>
          <w:sz w:val="24"/>
          <w:szCs w:val="24"/>
          <w:lang w:val="es-ES_tradnl" w:eastAsia="es-ES_tradnl"/>
        </w:rPr>
        <w:t>vinculados hasta el 31 de diciembre de 1989</w:t>
      </w:r>
      <w:r w:rsidRPr="00002695">
        <w:rPr>
          <w:rStyle w:val="FontStyle32"/>
          <w:color w:val="0D0D0D" w:themeColor="text1" w:themeTint="F2"/>
          <w:sz w:val="24"/>
          <w:szCs w:val="24"/>
          <w:lang w:val="es-ES_tradnl" w:eastAsia="es-ES_tradnl"/>
        </w:rPr>
        <w:t xml:space="preserve"> estaban cobijados por el régimen territorial es decir la </w:t>
      </w:r>
      <w:r w:rsidRPr="00002695">
        <w:rPr>
          <w:rStyle w:val="FontStyle32"/>
          <w:b/>
          <w:color w:val="0D0D0D" w:themeColor="text1" w:themeTint="F2"/>
          <w:sz w:val="24"/>
          <w:szCs w:val="24"/>
          <w:lang w:val="es-ES_tradnl" w:eastAsia="es-ES_tradnl"/>
        </w:rPr>
        <w:t>ley 6 de 1945.</w:t>
      </w:r>
    </w:p>
    <w:p w14:paraId="001A41EE" w14:textId="77777777" w:rsidR="00777A61" w:rsidRPr="00002695" w:rsidRDefault="00777A61" w:rsidP="00356DB7">
      <w:pPr>
        <w:pStyle w:val="Style9"/>
        <w:widowControl/>
        <w:spacing w:line="300" w:lineRule="auto"/>
        <w:ind w:right="191"/>
        <w:rPr>
          <w:color w:val="0D0D0D" w:themeColor="text1" w:themeTint="F2"/>
        </w:rPr>
      </w:pPr>
    </w:p>
    <w:p w14:paraId="0A5FF219" w14:textId="77777777" w:rsidR="00777A61" w:rsidRPr="00002695" w:rsidRDefault="00777A61" w:rsidP="00356DB7">
      <w:pPr>
        <w:pStyle w:val="Style9"/>
        <w:widowControl/>
        <w:spacing w:line="300" w:lineRule="auto"/>
        <w:ind w:right="191"/>
        <w:rPr>
          <w:rStyle w:val="FontStyle31"/>
          <w:b/>
          <w:color w:val="0D0D0D" w:themeColor="text1" w:themeTint="F2"/>
          <w:sz w:val="24"/>
          <w:szCs w:val="24"/>
          <w:lang w:val="es-ES_tradnl" w:eastAsia="es-ES_tradnl"/>
        </w:rPr>
      </w:pPr>
      <w:r w:rsidRPr="00002695">
        <w:rPr>
          <w:rStyle w:val="FontStyle31"/>
          <w:b/>
          <w:color w:val="0D0D0D" w:themeColor="text1" w:themeTint="F2"/>
          <w:sz w:val="24"/>
          <w:szCs w:val="24"/>
          <w:lang w:val="es-ES_tradnl" w:eastAsia="es-ES_tradnl"/>
        </w:rPr>
        <w:t>Lo anterior se mantuvo hasta la expedición de la ley 33 de 1985, la cual unificó el régimen pensional.</w:t>
      </w:r>
    </w:p>
    <w:p w14:paraId="1DD76A20" w14:textId="77777777" w:rsidR="00777A61" w:rsidRPr="00002695" w:rsidRDefault="00777A61" w:rsidP="00356DB7">
      <w:pPr>
        <w:pStyle w:val="Style8"/>
        <w:widowControl/>
        <w:spacing w:line="300" w:lineRule="auto"/>
        <w:ind w:right="191"/>
        <w:rPr>
          <w:color w:val="0D0D0D" w:themeColor="text1" w:themeTint="F2"/>
        </w:rPr>
      </w:pPr>
    </w:p>
    <w:p w14:paraId="6C0F0296" w14:textId="77777777" w:rsidR="00777A61" w:rsidRPr="00002695" w:rsidRDefault="00777A61" w:rsidP="00356DB7">
      <w:pPr>
        <w:pStyle w:val="Style8"/>
        <w:widowControl/>
        <w:spacing w:line="300" w:lineRule="auto"/>
        <w:ind w:right="191"/>
        <w:rPr>
          <w:rStyle w:val="FontStyle32"/>
          <w:color w:val="0D0D0D" w:themeColor="text1" w:themeTint="F2"/>
          <w:sz w:val="24"/>
          <w:szCs w:val="24"/>
          <w:lang w:val="es-ES_tradnl" w:eastAsia="es-ES_tradnl"/>
        </w:rPr>
      </w:pPr>
      <w:r w:rsidRPr="00002695">
        <w:rPr>
          <w:rStyle w:val="FontStyle32"/>
          <w:color w:val="0D0D0D" w:themeColor="text1" w:themeTint="F2"/>
          <w:sz w:val="24"/>
          <w:szCs w:val="24"/>
          <w:lang w:val="es-ES_tradnl" w:eastAsia="es-ES_tradnl"/>
        </w:rPr>
        <w:t>Ahora bien, la ley 33 en el parágrafo 2</w:t>
      </w:r>
      <w:r w:rsidRPr="00002695">
        <w:rPr>
          <w:rStyle w:val="FontStyle32"/>
          <w:color w:val="0D0D0D" w:themeColor="text1" w:themeTint="F2"/>
          <w:sz w:val="24"/>
          <w:szCs w:val="24"/>
          <w:vertAlign w:val="superscript"/>
          <w:lang w:val="es-ES_tradnl" w:eastAsia="es-ES_tradnl"/>
        </w:rPr>
        <w:t>o</w:t>
      </w:r>
      <w:r w:rsidRPr="00002695">
        <w:rPr>
          <w:rStyle w:val="FontStyle32"/>
          <w:color w:val="0D0D0D" w:themeColor="text1" w:themeTint="F2"/>
          <w:sz w:val="24"/>
          <w:szCs w:val="24"/>
          <w:lang w:val="es-ES_tradnl" w:eastAsia="es-ES_tradnl"/>
        </w:rPr>
        <w:t xml:space="preserve"> del artículo 1</w:t>
      </w:r>
      <w:r w:rsidRPr="00002695">
        <w:rPr>
          <w:rStyle w:val="FontStyle32"/>
          <w:color w:val="0D0D0D" w:themeColor="text1" w:themeTint="F2"/>
          <w:spacing w:val="30"/>
          <w:sz w:val="24"/>
          <w:szCs w:val="24"/>
          <w:vertAlign w:val="superscript"/>
          <w:lang w:val="es-ES_tradnl" w:eastAsia="es-ES_tradnl"/>
        </w:rPr>
        <w:t>o</w:t>
      </w:r>
      <w:r w:rsidRPr="00002695">
        <w:rPr>
          <w:rStyle w:val="FontStyle32"/>
          <w:color w:val="0D0D0D" w:themeColor="text1" w:themeTint="F2"/>
          <w:sz w:val="24"/>
          <w:szCs w:val="24"/>
          <w:lang w:val="es-ES_tradnl" w:eastAsia="es-ES_tradnl"/>
        </w:rPr>
        <w:t xml:space="preserve"> consagró un régimen de transición, el cual previo para los trabajadores oficiales que hubieren cumplido </w:t>
      </w:r>
      <w:r w:rsidRPr="00002695">
        <w:rPr>
          <w:rStyle w:val="FontStyle32"/>
          <w:b/>
          <w:color w:val="0D0D0D" w:themeColor="text1" w:themeTint="F2"/>
          <w:sz w:val="24"/>
          <w:szCs w:val="24"/>
          <w:lang w:val="es-ES_tradnl" w:eastAsia="es-ES_tradnl"/>
        </w:rPr>
        <w:t>15 años continuos o discontinuos</w:t>
      </w:r>
      <w:r w:rsidRPr="00002695">
        <w:rPr>
          <w:rStyle w:val="FontStyle32"/>
          <w:color w:val="0D0D0D" w:themeColor="text1" w:themeTint="F2"/>
          <w:sz w:val="24"/>
          <w:szCs w:val="24"/>
          <w:lang w:val="es-ES_tradnl" w:eastAsia="es-ES_tradnl"/>
        </w:rPr>
        <w:t xml:space="preserve"> de servicio a la fecha de su entrada en vigencia (13 de febrero de 1985), la posibilidad de acceder a una pensión de jubilación conforme a lo dispuesto en la norma anterior, esto es, la ley 6</w:t>
      </w:r>
      <w:r w:rsidRPr="00002695">
        <w:rPr>
          <w:rStyle w:val="FontStyle32"/>
          <w:color w:val="0D0D0D" w:themeColor="text1" w:themeTint="F2"/>
          <w:sz w:val="24"/>
          <w:szCs w:val="24"/>
          <w:vertAlign w:val="superscript"/>
          <w:lang w:val="es-ES_tradnl" w:eastAsia="es-ES_tradnl"/>
        </w:rPr>
        <w:t>o</w:t>
      </w:r>
      <w:r w:rsidRPr="00002695">
        <w:rPr>
          <w:rStyle w:val="FontStyle32"/>
          <w:color w:val="0D0D0D" w:themeColor="text1" w:themeTint="F2"/>
          <w:sz w:val="24"/>
          <w:szCs w:val="24"/>
          <w:lang w:val="es-ES_tradnl" w:eastAsia="es-ES_tradnl"/>
        </w:rPr>
        <w:t xml:space="preserve"> de 1945 y las normas que la complementaron y reglamentaron.</w:t>
      </w:r>
    </w:p>
    <w:p w14:paraId="16E3358F" w14:textId="77777777" w:rsidR="00777A61" w:rsidRPr="00002695" w:rsidRDefault="00777A61" w:rsidP="00356DB7">
      <w:pPr>
        <w:pStyle w:val="Style8"/>
        <w:widowControl/>
        <w:spacing w:line="300" w:lineRule="auto"/>
        <w:ind w:right="191"/>
        <w:rPr>
          <w:color w:val="0D0D0D" w:themeColor="text1" w:themeTint="F2"/>
        </w:rPr>
      </w:pPr>
    </w:p>
    <w:p w14:paraId="258A70F7" w14:textId="77777777" w:rsidR="00777A61" w:rsidRPr="00002695" w:rsidRDefault="00777A61" w:rsidP="00356DB7">
      <w:pPr>
        <w:pStyle w:val="Style8"/>
        <w:widowControl/>
        <w:spacing w:line="300" w:lineRule="auto"/>
        <w:ind w:right="191"/>
        <w:rPr>
          <w:rStyle w:val="FontStyle32"/>
          <w:color w:val="0D0D0D" w:themeColor="text1" w:themeTint="F2"/>
          <w:sz w:val="24"/>
          <w:szCs w:val="24"/>
          <w:lang w:val="es-ES_tradnl" w:eastAsia="es-ES_tradnl"/>
        </w:rPr>
      </w:pPr>
      <w:r w:rsidRPr="00002695">
        <w:rPr>
          <w:rStyle w:val="FontStyle32"/>
          <w:color w:val="0D0D0D" w:themeColor="text1" w:themeTint="F2"/>
          <w:sz w:val="24"/>
          <w:szCs w:val="24"/>
          <w:lang w:val="es-ES_tradnl" w:eastAsia="es-ES_tradnl"/>
        </w:rPr>
        <w:t xml:space="preserve">En orden a lo expresado, se entiende que a los docentes (nacionales, nacionalizados y territoriales), vinculados antes de la entrada en vigencia de la ley 812 de 2003, les es aplicable el régimen pensional general previsto en </w:t>
      </w:r>
      <w:r w:rsidRPr="00002695">
        <w:rPr>
          <w:rStyle w:val="FontStyle32"/>
          <w:color w:val="0D0D0D" w:themeColor="text1" w:themeTint="F2"/>
          <w:sz w:val="24"/>
          <w:szCs w:val="24"/>
          <w:lang w:val="es-ES_tradnl" w:eastAsia="es-ES_tradnl"/>
        </w:rPr>
        <w:lastRenderedPageBreak/>
        <w:t>la ley 33 de 1985, a menos que se encuentren cobijados por el régimen de transición contemplado en esa normatividad.</w:t>
      </w:r>
    </w:p>
    <w:p w14:paraId="0E389BD2" w14:textId="77777777" w:rsidR="00777A61" w:rsidRPr="00002695" w:rsidRDefault="00777A61" w:rsidP="00356DB7">
      <w:pPr>
        <w:pStyle w:val="Style8"/>
        <w:widowControl/>
        <w:spacing w:line="300" w:lineRule="auto"/>
        <w:ind w:right="191"/>
        <w:rPr>
          <w:rStyle w:val="FontStyle32"/>
          <w:color w:val="0D0D0D" w:themeColor="text1" w:themeTint="F2"/>
          <w:sz w:val="24"/>
          <w:szCs w:val="24"/>
          <w:lang w:val="es-ES_tradnl" w:eastAsia="es-ES_tradnl"/>
        </w:rPr>
      </w:pPr>
    </w:p>
    <w:p w14:paraId="2CBE858E" w14:textId="7607CB91" w:rsidR="00777A61" w:rsidRPr="00002695" w:rsidRDefault="00777A61" w:rsidP="00356DB7">
      <w:pPr>
        <w:pStyle w:val="Style5"/>
        <w:widowControl/>
        <w:spacing w:line="300" w:lineRule="auto"/>
        <w:ind w:right="191"/>
        <w:rPr>
          <w:rFonts w:ascii="Century Gothic" w:eastAsia="Times New Roman" w:hAnsi="Century Gothic" w:cs="Times New Roman"/>
          <w:b/>
          <w:color w:val="0D0D0D" w:themeColor="text1" w:themeTint="F2"/>
          <w:bdr w:val="none" w:sz="0" w:space="0" w:color="auto" w:frame="1"/>
          <w:lang w:eastAsia="es-ES"/>
        </w:rPr>
      </w:pPr>
      <w:r w:rsidRPr="00002695">
        <w:rPr>
          <w:rFonts w:ascii="Century Gothic" w:eastAsia="Times New Roman" w:hAnsi="Century Gothic" w:cs="Times New Roman"/>
          <w:b/>
          <w:color w:val="0D0D0D" w:themeColor="text1" w:themeTint="F2"/>
          <w:bdr w:val="none" w:sz="0" w:space="0" w:color="auto" w:frame="1"/>
          <w:lang w:eastAsia="es-ES"/>
        </w:rPr>
        <w:t>4.2 Posición del consejo de estado en materia de liquidación pensional docente. (SENTENCIA DE UNIFICACIÓN)</w:t>
      </w:r>
    </w:p>
    <w:p w14:paraId="24167041" w14:textId="77777777" w:rsidR="00777A61" w:rsidRPr="00002695" w:rsidRDefault="00777A61" w:rsidP="00356DB7">
      <w:pPr>
        <w:pStyle w:val="Style5"/>
        <w:widowControl/>
        <w:spacing w:line="300" w:lineRule="auto"/>
        <w:ind w:right="191"/>
        <w:rPr>
          <w:rStyle w:val="FontStyle32"/>
          <w:color w:val="0D0D0D" w:themeColor="text1" w:themeTint="F2"/>
          <w:sz w:val="24"/>
          <w:szCs w:val="24"/>
          <w:lang w:val="es-ES_tradnl" w:eastAsia="es-ES_tradnl"/>
        </w:rPr>
      </w:pPr>
    </w:p>
    <w:p w14:paraId="0BDD3506" w14:textId="77777777" w:rsidR="00777A61" w:rsidRPr="00002695" w:rsidRDefault="00777A61" w:rsidP="00356DB7">
      <w:pPr>
        <w:pStyle w:val="Style5"/>
        <w:widowControl/>
        <w:spacing w:line="300" w:lineRule="auto"/>
        <w:ind w:right="191"/>
        <w:rPr>
          <w:rStyle w:val="FontStyle32"/>
          <w:color w:val="0D0D0D" w:themeColor="text1" w:themeTint="F2"/>
          <w:sz w:val="24"/>
          <w:szCs w:val="24"/>
          <w:lang w:val="es-ES_tradnl" w:eastAsia="es-ES_tradnl"/>
        </w:rPr>
      </w:pPr>
      <w:r w:rsidRPr="00002695">
        <w:rPr>
          <w:rStyle w:val="FontStyle32"/>
          <w:color w:val="0D0D0D" w:themeColor="text1" w:themeTint="F2"/>
          <w:sz w:val="24"/>
          <w:szCs w:val="24"/>
          <w:lang w:val="es-ES_tradnl" w:eastAsia="es-ES_tradnl"/>
        </w:rPr>
        <w:t>La Sección Segunda del Consejo de Estado, en su función unificadora, en reciente fallo</w:t>
      </w:r>
      <w:r w:rsidRPr="00002695">
        <w:rPr>
          <w:rStyle w:val="FontStyle32"/>
          <w:color w:val="0D0D0D" w:themeColor="text1" w:themeTint="F2"/>
          <w:sz w:val="24"/>
          <w:szCs w:val="24"/>
          <w:vertAlign w:val="superscript"/>
          <w:lang w:val="es-ES_tradnl" w:eastAsia="es-ES_tradnl"/>
        </w:rPr>
        <w:footnoteReference w:id="11"/>
      </w:r>
      <w:r w:rsidRPr="00002695">
        <w:rPr>
          <w:rStyle w:val="FontStyle32"/>
          <w:color w:val="0D0D0D" w:themeColor="text1" w:themeTint="F2"/>
          <w:sz w:val="24"/>
          <w:szCs w:val="24"/>
          <w:lang w:val="es-ES_tradnl" w:eastAsia="es-ES_tradnl"/>
        </w:rPr>
        <w:t xml:space="preserve"> acogió el criterio de interpretación sobre los factores salariales que se deben tener en cuenta para la liquidación de la mesada pensional en el régimen de la Ley 33 de 1985, y sentó jurisprudencia frente a los factores que se deben tener en cuenta para la liquidación de la pensión ordinaria de jubilación de los docentes del servicio público oficial afiliados al Fondo Nacional de Prestaciones Sociales del Magisterio vinculados antes de la vigencia de la Ley 812 de 2003, fijando la siguiente regla:</w:t>
      </w:r>
    </w:p>
    <w:p w14:paraId="4047DEA0" w14:textId="77777777" w:rsidR="00777A61" w:rsidRPr="00002695" w:rsidRDefault="00777A61" w:rsidP="00356DB7">
      <w:pPr>
        <w:pStyle w:val="Style14"/>
        <w:widowControl/>
        <w:spacing w:line="240" w:lineRule="auto"/>
        <w:ind w:right="191"/>
        <w:rPr>
          <w:color w:val="0D0D0D" w:themeColor="text1" w:themeTint="F2"/>
          <w:sz w:val="20"/>
          <w:szCs w:val="20"/>
        </w:rPr>
      </w:pPr>
    </w:p>
    <w:p w14:paraId="203489DA" w14:textId="77777777" w:rsidR="00777A61" w:rsidRPr="00002695" w:rsidRDefault="00777A61" w:rsidP="00356DB7">
      <w:pPr>
        <w:pStyle w:val="Style14"/>
        <w:widowControl/>
        <w:spacing w:line="240" w:lineRule="auto"/>
        <w:ind w:left="709" w:right="193"/>
        <w:rPr>
          <w:rStyle w:val="FontStyle50"/>
          <w:color w:val="0D0D0D" w:themeColor="text1" w:themeTint="F2"/>
          <w:sz w:val="20"/>
          <w:szCs w:val="20"/>
          <w:u w:val="single"/>
          <w:lang w:val="es-ES_tradnl" w:eastAsia="es-ES_tradnl"/>
        </w:rPr>
      </w:pPr>
      <w:r w:rsidRPr="00002695">
        <w:rPr>
          <w:rStyle w:val="FontStyle40"/>
          <w:rFonts w:ascii="Century Gothic" w:hAnsi="Century Gothic"/>
          <w:color w:val="0D0D0D" w:themeColor="text1" w:themeTint="F2"/>
          <w:sz w:val="20"/>
          <w:szCs w:val="20"/>
          <w:lang w:val="es-ES_tradnl" w:eastAsia="es-ES_tradnl"/>
        </w:rPr>
        <w:t>"</w:t>
      </w:r>
      <w:r w:rsidRPr="00002695">
        <w:rPr>
          <w:rStyle w:val="FontStyle40"/>
          <w:rFonts w:ascii="Century Gothic" w:hAnsi="Century Gothic"/>
          <w:color w:val="0D0D0D" w:themeColor="text1" w:themeTint="F2"/>
          <w:sz w:val="20"/>
          <w:szCs w:val="20"/>
          <w:u w:val="single"/>
          <w:lang w:val="es-ES_tradnl" w:eastAsia="es-ES_tradnl"/>
        </w:rPr>
        <w:t xml:space="preserve">En </w:t>
      </w:r>
      <w:r w:rsidRPr="00002695">
        <w:rPr>
          <w:rStyle w:val="FontStyle50"/>
          <w:color w:val="0D0D0D" w:themeColor="text1" w:themeTint="F2"/>
          <w:sz w:val="20"/>
          <w:szCs w:val="20"/>
          <w:u w:val="single"/>
          <w:lang w:val="es-ES_tradnl" w:eastAsia="es-ES_tradnl"/>
        </w:rPr>
        <w:t xml:space="preserve">la liquidación de la pensión ordinaria de jubilación de los docentes vinculados antes de la vigencia de la Ley 812 de 2003. </w:t>
      </w:r>
      <w:proofErr w:type="gramStart"/>
      <w:r w:rsidRPr="00002695">
        <w:rPr>
          <w:rStyle w:val="FontStyle50"/>
          <w:color w:val="0D0D0D" w:themeColor="text1" w:themeTint="F2"/>
          <w:sz w:val="20"/>
          <w:szCs w:val="20"/>
          <w:u w:val="single"/>
          <w:lang w:val="es-ES_tradnl" w:eastAsia="es-ES_tradnl"/>
        </w:rPr>
        <w:t>que</w:t>
      </w:r>
      <w:proofErr w:type="gramEnd"/>
      <w:r w:rsidRPr="00002695">
        <w:rPr>
          <w:rStyle w:val="FontStyle50"/>
          <w:color w:val="0D0D0D" w:themeColor="text1" w:themeTint="F2"/>
          <w:sz w:val="20"/>
          <w:szCs w:val="20"/>
          <w:u w:val="single"/>
          <w:lang w:val="es-ES_tradnl" w:eastAsia="es-ES_tradnl"/>
        </w:rPr>
        <w:t xml:space="preserve"> gozan del mismo régimen de pensión ordinaria de jubilación para los servidores públicos del orden nacional previsto en la Lev 33 de 1985, los factores que se deben tener en cuenta son solo los factores sobre los que se hayan efectuado los respectivos aportes de acuerdo con el artículo 1° de la Lev 62 de 1985. </w:t>
      </w:r>
      <w:proofErr w:type="gramStart"/>
      <w:r w:rsidRPr="00002695">
        <w:rPr>
          <w:rStyle w:val="FontStyle50"/>
          <w:color w:val="0D0D0D" w:themeColor="text1" w:themeTint="F2"/>
          <w:sz w:val="20"/>
          <w:szCs w:val="20"/>
          <w:u w:val="single"/>
          <w:lang w:val="es-ES_tradnl" w:eastAsia="es-ES_tradnl"/>
        </w:rPr>
        <w:t>y</w:t>
      </w:r>
      <w:proofErr w:type="gramEnd"/>
      <w:r w:rsidRPr="00002695">
        <w:rPr>
          <w:rStyle w:val="FontStyle50"/>
          <w:color w:val="0D0D0D" w:themeColor="text1" w:themeTint="F2"/>
          <w:sz w:val="20"/>
          <w:szCs w:val="20"/>
          <w:u w:val="single"/>
          <w:lang w:val="es-ES_tradnl" w:eastAsia="es-ES_tradnl"/>
        </w:rPr>
        <w:t xml:space="preserve"> por lo tanto, no se puede Incluir ningún factor diferente a los enlistados en el mencionado artículo."</w:t>
      </w:r>
    </w:p>
    <w:p w14:paraId="1A992EFD" w14:textId="77777777" w:rsidR="00777A61" w:rsidRPr="00002695" w:rsidRDefault="00777A61" w:rsidP="00356DB7">
      <w:pPr>
        <w:pStyle w:val="Style8"/>
        <w:widowControl/>
        <w:spacing w:line="300" w:lineRule="auto"/>
        <w:ind w:right="191"/>
        <w:rPr>
          <w:color w:val="0D0D0D" w:themeColor="text1" w:themeTint="F2"/>
        </w:rPr>
      </w:pPr>
    </w:p>
    <w:p w14:paraId="01AC5BA2" w14:textId="77777777" w:rsidR="00777A61" w:rsidRPr="00002695" w:rsidRDefault="00777A61" w:rsidP="00356DB7">
      <w:pPr>
        <w:pStyle w:val="Style8"/>
        <w:widowControl/>
        <w:spacing w:line="300" w:lineRule="auto"/>
        <w:ind w:right="191"/>
        <w:rPr>
          <w:rStyle w:val="FontStyle55"/>
          <w:color w:val="0D0D0D" w:themeColor="text1" w:themeTint="F2"/>
          <w:sz w:val="24"/>
          <w:szCs w:val="24"/>
          <w:lang w:val="es-ES_tradnl" w:eastAsia="es-ES_tradnl"/>
        </w:rPr>
      </w:pPr>
      <w:r w:rsidRPr="00002695">
        <w:rPr>
          <w:rStyle w:val="FontStyle32"/>
          <w:color w:val="0D0D0D" w:themeColor="text1" w:themeTint="F2"/>
          <w:sz w:val="24"/>
          <w:szCs w:val="24"/>
          <w:lang w:val="es-ES_tradnl" w:eastAsia="es-ES_tradnl"/>
        </w:rPr>
        <w:t xml:space="preserve">Así entonces queda decantada una postura interpretativa distinta a la que sostenía la Sección Segunda a partir de la sentencia de unificación del 4 de agosto de 2010, según la cual, "en </w:t>
      </w:r>
      <w:r w:rsidRPr="00002695">
        <w:rPr>
          <w:rStyle w:val="FontStyle55"/>
          <w:color w:val="0D0D0D" w:themeColor="text1" w:themeTint="F2"/>
          <w:sz w:val="24"/>
          <w:szCs w:val="24"/>
          <w:lang w:val="es-ES_tradnl" w:eastAsia="es-ES_tradnl"/>
        </w:rPr>
        <w:t>la base de liquidación de la pensión de jubilación ordinaria de los docentes se incluían todos los factores salariales devengados durante el último año de servicios".</w:t>
      </w:r>
    </w:p>
    <w:p w14:paraId="4C440069" w14:textId="77777777" w:rsidR="00777A61" w:rsidRPr="00002695" w:rsidRDefault="00777A61" w:rsidP="00356DB7">
      <w:pPr>
        <w:pStyle w:val="Style8"/>
        <w:widowControl/>
        <w:spacing w:line="300" w:lineRule="auto"/>
        <w:ind w:right="191"/>
        <w:rPr>
          <w:color w:val="0D0D0D" w:themeColor="text1" w:themeTint="F2"/>
        </w:rPr>
      </w:pPr>
    </w:p>
    <w:p w14:paraId="67D09C94" w14:textId="77777777" w:rsidR="00777A61" w:rsidRPr="00002695" w:rsidRDefault="00777A61" w:rsidP="00356DB7">
      <w:pPr>
        <w:pStyle w:val="Style8"/>
        <w:widowControl/>
        <w:spacing w:line="300" w:lineRule="auto"/>
        <w:ind w:right="191"/>
        <w:rPr>
          <w:rStyle w:val="FontStyle31"/>
          <w:color w:val="0D0D0D" w:themeColor="text1" w:themeTint="F2"/>
          <w:sz w:val="24"/>
          <w:szCs w:val="24"/>
          <w:u w:val="single"/>
          <w:lang w:val="es-ES_tradnl" w:eastAsia="es-ES_tradnl"/>
        </w:rPr>
      </w:pPr>
      <w:r w:rsidRPr="00002695">
        <w:rPr>
          <w:rStyle w:val="FontStyle32"/>
          <w:color w:val="0D0D0D" w:themeColor="text1" w:themeTint="F2"/>
          <w:sz w:val="24"/>
          <w:szCs w:val="24"/>
          <w:lang w:val="es-ES_tradnl" w:eastAsia="es-ES_tradnl"/>
        </w:rPr>
        <w:t xml:space="preserve">Se precisó en orden a lo analizado que, de acuerdo con el Acto Legislativo 01 de 2005 "Para la liquidación de las pensiones sólo se deben tener en cuenta los factores sobre los cuales cada persona hubiere efectuado las cotizaciones" y se subrayó que </w:t>
      </w:r>
      <w:r w:rsidRPr="00002695">
        <w:rPr>
          <w:rStyle w:val="FontStyle55"/>
          <w:color w:val="0D0D0D" w:themeColor="text1" w:themeTint="F2"/>
          <w:sz w:val="24"/>
          <w:szCs w:val="24"/>
          <w:lang w:val="es-ES_tradnl" w:eastAsia="es-ES_tradnl"/>
        </w:rPr>
        <w:t>"los docentes no están exceptuados de esta disposición para el goce de la pensión ordinaria de jubilación".</w:t>
      </w:r>
      <w:r w:rsidRPr="00002695">
        <w:rPr>
          <w:rStyle w:val="FontStyle55"/>
          <w:b/>
          <w:color w:val="0D0D0D" w:themeColor="text1" w:themeTint="F2"/>
          <w:sz w:val="24"/>
          <w:szCs w:val="24"/>
          <w:lang w:val="es-ES_tradnl" w:eastAsia="es-ES_tradnl"/>
        </w:rPr>
        <w:t xml:space="preserve"> </w:t>
      </w:r>
      <w:r w:rsidRPr="00002695">
        <w:rPr>
          <w:rStyle w:val="FontStyle31"/>
          <w:b/>
          <w:color w:val="0D0D0D" w:themeColor="text1" w:themeTint="F2"/>
          <w:sz w:val="24"/>
          <w:szCs w:val="24"/>
          <w:u w:val="single"/>
          <w:lang w:val="es-ES_tradnl" w:eastAsia="es-ES_tradnl"/>
        </w:rPr>
        <w:t>Por lo que, en el ingreso base de liquidación de esta pensión solo pueden ser tenidos en cuenta los factores sobre los que se aporta y que están contenidos en el artículo 1° de la Lev 62 de 1985.</w:t>
      </w:r>
    </w:p>
    <w:p w14:paraId="04B66474" w14:textId="0E1F1BDD" w:rsidR="00A351F3" w:rsidRPr="00002695" w:rsidRDefault="00A351F3" w:rsidP="00356DB7">
      <w:pPr>
        <w:spacing w:after="0" w:line="300" w:lineRule="auto"/>
        <w:rPr>
          <w:rFonts w:ascii="Century Gothic" w:hAnsi="Century Gothic" w:cs="Arial"/>
          <w:b/>
          <w:color w:val="0D0D0D" w:themeColor="text1" w:themeTint="F2"/>
          <w:sz w:val="24"/>
          <w:szCs w:val="24"/>
        </w:rPr>
      </w:pPr>
      <w:r w:rsidRPr="00002695">
        <w:rPr>
          <w:rFonts w:ascii="Century Gothic" w:hAnsi="Century Gothic" w:cs="Arial"/>
          <w:b/>
          <w:color w:val="0D0D0D" w:themeColor="text1" w:themeTint="F2"/>
          <w:sz w:val="24"/>
          <w:szCs w:val="24"/>
        </w:rPr>
        <w:lastRenderedPageBreak/>
        <w:t xml:space="preserve">5. </w:t>
      </w:r>
      <w:r w:rsidR="00993B65" w:rsidRPr="00002695">
        <w:rPr>
          <w:rFonts w:ascii="Century Gothic" w:hAnsi="Century Gothic" w:cs="Arial"/>
          <w:b/>
          <w:color w:val="0D0D0D" w:themeColor="text1" w:themeTint="F2"/>
          <w:sz w:val="24"/>
          <w:szCs w:val="24"/>
        </w:rPr>
        <w:t xml:space="preserve">Caso concreto. </w:t>
      </w:r>
    </w:p>
    <w:p w14:paraId="64387022" w14:textId="77777777" w:rsidR="00A351F3" w:rsidRPr="00002695" w:rsidRDefault="00A351F3" w:rsidP="00356DB7">
      <w:pPr>
        <w:spacing w:after="0" w:line="300" w:lineRule="auto"/>
        <w:rPr>
          <w:rFonts w:ascii="Century Gothic" w:hAnsi="Century Gothic" w:cs="Arial"/>
          <w:b/>
          <w:color w:val="0D0D0D" w:themeColor="text1" w:themeTint="F2"/>
          <w:sz w:val="24"/>
          <w:szCs w:val="24"/>
        </w:rPr>
      </w:pPr>
    </w:p>
    <w:p w14:paraId="6432B8D1" w14:textId="7B807B61" w:rsidR="00A351F3" w:rsidRPr="00002695" w:rsidRDefault="00A351F3" w:rsidP="00356DB7">
      <w:pPr>
        <w:spacing w:after="0" w:line="300" w:lineRule="auto"/>
        <w:rPr>
          <w:rFonts w:ascii="Century Gothic" w:hAnsi="Century Gothic" w:cs="Arial"/>
          <w:b/>
          <w:color w:val="0D0D0D" w:themeColor="text1" w:themeTint="F2"/>
          <w:sz w:val="24"/>
          <w:szCs w:val="24"/>
        </w:rPr>
      </w:pPr>
      <w:r w:rsidRPr="00002695">
        <w:rPr>
          <w:rFonts w:ascii="Century Gothic" w:hAnsi="Century Gothic" w:cs="Arial"/>
          <w:b/>
          <w:color w:val="0D0D0D" w:themeColor="text1" w:themeTint="F2"/>
          <w:sz w:val="24"/>
          <w:szCs w:val="24"/>
        </w:rPr>
        <w:t>5.1 Hechos</w:t>
      </w:r>
      <w:r w:rsidR="00993B65" w:rsidRPr="00002695">
        <w:rPr>
          <w:rFonts w:ascii="Century Gothic" w:hAnsi="Century Gothic" w:cs="Arial"/>
          <w:b/>
          <w:color w:val="0D0D0D" w:themeColor="text1" w:themeTint="F2"/>
          <w:sz w:val="24"/>
          <w:szCs w:val="24"/>
        </w:rPr>
        <w:t xml:space="preserve"> relevantes</w:t>
      </w:r>
      <w:r w:rsidRPr="00002695">
        <w:rPr>
          <w:rFonts w:ascii="Century Gothic" w:hAnsi="Century Gothic" w:cs="Arial"/>
          <w:b/>
          <w:color w:val="0D0D0D" w:themeColor="text1" w:themeTint="F2"/>
          <w:sz w:val="24"/>
          <w:szCs w:val="24"/>
        </w:rPr>
        <w:t xml:space="preserve"> probados</w:t>
      </w:r>
      <w:r w:rsidR="00993B65" w:rsidRPr="00002695">
        <w:rPr>
          <w:rFonts w:ascii="Century Gothic" w:hAnsi="Century Gothic" w:cs="Arial"/>
          <w:b/>
          <w:color w:val="0D0D0D" w:themeColor="text1" w:themeTint="F2"/>
          <w:sz w:val="24"/>
          <w:szCs w:val="24"/>
        </w:rPr>
        <w:t xml:space="preserve">. </w:t>
      </w:r>
    </w:p>
    <w:p w14:paraId="08E91C6B" w14:textId="77777777" w:rsidR="00A351F3" w:rsidRPr="00002695" w:rsidRDefault="00A351F3" w:rsidP="00356DB7">
      <w:pPr>
        <w:spacing w:after="0" w:line="300" w:lineRule="auto"/>
        <w:rPr>
          <w:rFonts w:ascii="Century Gothic" w:hAnsi="Century Gothic" w:cs="Arial"/>
          <w:b/>
          <w:color w:val="0D0D0D" w:themeColor="text1" w:themeTint="F2"/>
          <w:sz w:val="24"/>
          <w:szCs w:val="24"/>
        </w:rPr>
      </w:pPr>
    </w:p>
    <w:p w14:paraId="5F293EEF" w14:textId="77777777" w:rsidR="00134F78" w:rsidRPr="00002695" w:rsidRDefault="00134F78" w:rsidP="00356DB7">
      <w:pPr>
        <w:spacing w:after="0" w:line="300" w:lineRule="auto"/>
        <w:jc w:val="both"/>
        <w:rPr>
          <w:rFonts w:ascii="Century Gothic" w:hAnsi="Century Gothic"/>
          <w:color w:val="0D0D0D" w:themeColor="text1" w:themeTint="F2"/>
          <w:sz w:val="24"/>
          <w:szCs w:val="24"/>
        </w:rPr>
      </w:pPr>
      <w:r w:rsidRPr="00002695">
        <w:rPr>
          <w:rFonts w:ascii="Century Gothic" w:hAnsi="Century Gothic"/>
          <w:color w:val="0D0D0D" w:themeColor="text1" w:themeTint="F2"/>
          <w:sz w:val="24"/>
          <w:szCs w:val="24"/>
        </w:rPr>
        <w:t>Del material probatorio allegado al expediente, se tienen como probados los siguientes hechos relevantes para la resolución del problema jurídico:</w:t>
      </w:r>
    </w:p>
    <w:p w14:paraId="4C603EF9" w14:textId="77777777" w:rsidR="00134F78" w:rsidRPr="00002695" w:rsidRDefault="00134F78" w:rsidP="00356DB7">
      <w:pPr>
        <w:spacing w:after="0" w:line="300" w:lineRule="auto"/>
        <w:jc w:val="both"/>
        <w:rPr>
          <w:rFonts w:ascii="Century Gothic" w:hAnsi="Century Gothic"/>
          <w:color w:val="0D0D0D" w:themeColor="text1" w:themeTint="F2"/>
          <w:sz w:val="24"/>
          <w:szCs w:val="24"/>
        </w:rPr>
      </w:pPr>
    </w:p>
    <w:p w14:paraId="450FD6D2" w14:textId="0E5F2026" w:rsidR="00A71C7A" w:rsidRPr="00002695" w:rsidRDefault="00134F78" w:rsidP="00356DB7">
      <w:pPr>
        <w:spacing w:after="0" w:line="300" w:lineRule="auto"/>
        <w:jc w:val="both"/>
        <w:rPr>
          <w:rFonts w:ascii="Century Gothic" w:hAnsi="Century Gothic"/>
          <w:color w:val="0D0D0D" w:themeColor="text1" w:themeTint="F2"/>
          <w:sz w:val="24"/>
          <w:szCs w:val="24"/>
        </w:rPr>
      </w:pPr>
      <w:r w:rsidRPr="00002695">
        <w:rPr>
          <w:rFonts w:ascii="Century Gothic" w:hAnsi="Century Gothic"/>
          <w:color w:val="0D0D0D" w:themeColor="text1" w:themeTint="F2"/>
          <w:sz w:val="24"/>
          <w:szCs w:val="24"/>
        </w:rPr>
        <w:t>5.1.1</w:t>
      </w:r>
      <w:r w:rsidR="001F3CD8" w:rsidRPr="00002695">
        <w:rPr>
          <w:rFonts w:ascii="Century Gothic" w:hAnsi="Century Gothic"/>
          <w:color w:val="0D0D0D" w:themeColor="text1" w:themeTint="F2"/>
          <w:sz w:val="24"/>
          <w:szCs w:val="24"/>
        </w:rPr>
        <w:t xml:space="preserve">. Obra en el expediente </w:t>
      </w:r>
      <w:r w:rsidRPr="00002695">
        <w:rPr>
          <w:rFonts w:ascii="Century Gothic" w:hAnsi="Century Gothic"/>
          <w:color w:val="0D0D0D" w:themeColor="text1" w:themeTint="F2"/>
          <w:sz w:val="24"/>
          <w:szCs w:val="24"/>
        </w:rPr>
        <w:t xml:space="preserve">Resolución </w:t>
      </w:r>
      <w:r w:rsidR="00A71C7A" w:rsidRPr="00002695">
        <w:rPr>
          <w:rFonts w:ascii="Century Gothic" w:hAnsi="Century Gothic"/>
          <w:color w:val="0D0D0D" w:themeColor="text1" w:themeTint="F2"/>
          <w:sz w:val="24"/>
          <w:szCs w:val="24"/>
        </w:rPr>
        <w:t>No. 1984 del 15 de junio de 2017, expedida por la Secretaría de Educación del Departamento de Bolívar,</w:t>
      </w:r>
      <w:r w:rsidR="001F3CD8" w:rsidRPr="00002695">
        <w:rPr>
          <w:rFonts w:ascii="Century Gothic" w:hAnsi="Century Gothic"/>
          <w:color w:val="0D0D0D" w:themeColor="text1" w:themeTint="F2"/>
          <w:sz w:val="24"/>
          <w:szCs w:val="24"/>
        </w:rPr>
        <w:t xml:space="preserve"> mediante el cual</w:t>
      </w:r>
      <w:r w:rsidR="00A71C7A" w:rsidRPr="00002695">
        <w:rPr>
          <w:rFonts w:ascii="Century Gothic" w:hAnsi="Century Gothic"/>
          <w:color w:val="0D0D0D" w:themeColor="text1" w:themeTint="F2"/>
          <w:sz w:val="24"/>
          <w:szCs w:val="24"/>
        </w:rPr>
        <w:t xml:space="preserve"> se le reconoció pensión de jubilación a la señora MARIA VIRGINIA DURAN NARVAEZ, en cuantía de $</w:t>
      </w:r>
      <w:r w:rsidR="001F3CD8" w:rsidRPr="00002695">
        <w:rPr>
          <w:rFonts w:ascii="Century Gothic" w:hAnsi="Century Gothic"/>
          <w:color w:val="0D0D0D" w:themeColor="text1" w:themeTint="F2"/>
          <w:sz w:val="24"/>
          <w:szCs w:val="24"/>
        </w:rPr>
        <w:t>2.448.761,oo</w:t>
      </w:r>
      <w:r w:rsidR="00A71C7A" w:rsidRPr="00002695">
        <w:rPr>
          <w:rFonts w:ascii="Century Gothic" w:hAnsi="Century Gothic"/>
          <w:color w:val="0D0D0D" w:themeColor="text1" w:themeTint="F2"/>
          <w:sz w:val="24"/>
          <w:szCs w:val="24"/>
        </w:rPr>
        <w:t xml:space="preserve">, efectiva a partir del </w:t>
      </w:r>
      <w:r w:rsidR="001F3CD8" w:rsidRPr="00002695">
        <w:rPr>
          <w:rFonts w:ascii="Century Gothic" w:hAnsi="Century Gothic"/>
          <w:color w:val="0D0D0D" w:themeColor="text1" w:themeTint="F2"/>
          <w:sz w:val="24"/>
          <w:szCs w:val="24"/>
        </w:rPr>
        <w:t xml:space="preserve">28 </w:t>
      </w:r>
      <w:r w:rsidR="00A71C7A" w:rsidRPr="00002695">
        <w:rPr>
          <w:rFonts w:ascii="Century Gothic" w:hAnsi="Century Gothic"/>
          <w:color w:val="0D0D0D" w:themeColor="text1" w:themeTint="F2"/>
          <w:sz w:val="24"/>
          <w:szCs w:val="24"/>
        </w:rPr>
        <w:t xml:space="preserve">de mayo de </w:t>
      </w:r>
      <w:r w:rsidR="001F3CD8" w:rsidRPr="00002695">
        <w:rPr>
          <w:rFonts w:ascii="Century Gothic" w:hAnsi="Century Gothic"/>
          <w:color w:val="0D0D0D" w:themeColor="text1" w:themeTint="F2"/>
          <w:sz w:val="24"/>
          <w:szCs w:val="24"/>
        </w:rPr>
        <w:t>2016</w:t>
      </w:r>
      <w:r w:rsidR="00F35F13" w:rsidRPr="00002695">
        <w:rPr>
          <w:rFonts w:ascii="Century Gothic" w:hAnsi="Century Gothic"/>
          <w:color w:val="0D0D0D" w:themeColor="text1" w:themeTint="F2"/>
          <w:sz w:val="24"/>
          <w:szCs w:val="24"/>
        </w:rPr>
        <w:t>.</w:t>
      </w:r>
      <w:r w:rsidR="00A71C7A" w:rsidRPr="00002695">
        <w:rPr>
          <w:rFonts w:ascii="Century Gothic" w:hAnsi="Century Gothic"/>
          <w:color w:val="0D0D0D" w:themeColor="text1" w:themeTint="F2"/>
          <w:sz w:val="24"/>
          <w:szCs w:val="24"/>
        </w:rPr>
        <w:t xml:space="preserve"> (</w:t>
      </w:r>
      <w:proofErr w:type="spellStart"/>
      <w:r w:rsidR="00A71C7A" w:rsidRPr="00002695">
        <w:rPr>
          <w:rFonts w:ascii="Century Gothic" w:hAnsi="Century Gothic"/>
          <w:color w:val="0D0D0D" w:themeColor="text1" w:themeTint="F2"/>
          <w:sz w:val="24"/>
          <w:szCs w:val="24"/>
        </w:rPr>
        <w:t>fls</w:t>
      </w:r>
      <w:proofErr w:type="spellEnd"/>
      <w:r w:rsidR="00A71C7A" w:rsidRPr="00002695">
        <w:rPr>
          <w:rFonts w:ascii="Century Gothic" w:hAnsi="Century Gothic"/>
          <w:color w:val="0D0D0D" w:themeColor="text1" w:themeTint="F2"/>
          <w:sz w:val="24"/>
          <w:szCs w:val="24"/>
        </w:rPr>
        <w:t>.</w:t>
      </w:r>
      <w:r w:rsidR="001F3CD8" w:rsidRPr="00002695">
        <w:rPr>
          <w:rFonts w:ascii="Century Gothic" w:hAnsi="Century Gothic"/>
          <w:color w:val="0D0D0D" w:themeColor="text1" w:themeTint="F2"/>
          <w:sz w:val="24"/>
          <w:szCs w:val="24"/>
        </w:rPr>
        <w:t xml:space="preserve"> </w:t>
      </w:r>
      <w:r w:rsidR="00A71C7A" w:rsidRPr="00002695">
        <w:rPr>
          <w:rFonts w:ascii="Century Gothic" w:hAnsi="Century Gothic"/>
          <w:color w:val="0D0D0D" w:themeColor="text1" w:themeTint="F2"/>
          <w:sz w:val="24"/>
          <w:szCs w:val="24"/>
        </w:rPr>
        <w:t>16)</w:t>
      </w:r>
      <w:r w:rsidR="001F3CD8" w:rsidRPr="00002695">
        <w:rPr>
          <w:rFonts w:ascii="Century Gothic" w:hAnsi="Century Gothic"/>
          <w:color w:val="0D0D0D" w:themeColor="text1" w:themeTint="F2"/>
          <w:sz w:val="24"/>
          <w:szCs w:val="24"/>
        </w:rPr>
        <w:t xml:space="preserve"> </w:t>
      </w:r>
    </w:p>
    <w:p w14:paraId="6AFB2D8A" w14:textId="77777777" w:rsidR="001F3CD8" w:rsidRPr="00002695" w:rsidRDefault="001F3CD8" w:rsidP="00356DB7">
      <w:pPr>
        <w:spacing w:after="0" w:line="300" w:lineRule="auto"/>
        <w:jc w:val="both"/>
        <w:rPr>
          <w:rFonts w:ascii="Century Gothic" w:hAnsi="Century Gothic"/>
          <w:color w:val="0D0D0D" w:themeColor="text1" w:themeTint="F2"/>
          <w:sz w:val="24"/>
          <w:szCs w:val="24"/>
        </w:rPr>
      </w:pPr>
    </w:p>
    <w:p w14:paraId="76269C2E" w14:textId="14E12AD6" w:rsidR="001F3CD8" w:rsidRPr="00002695" w:rsidRDefault="001F3CD8" w:rsidP="00356DB7">
      <w:pPr>
        <w:spacing w:after="0" w:line="300" w:lineRule="auto"/>
        <w:jc w:val="both"/>
        <w:rPr>
          <w:rFonts w:ascii="Century Gothic" w:hAnsi="Century Gothic"/>
          <w:color w:val="0D0D0D" w:themeColor="text1" w:themeTint="F2"/>
          <w:sz w:val="24"/>
          <w:szCs w:val="24"/>
        </w:rPr>
      </w:pPr>
      <w:r w:rsidRPr="00002695">
        <w:rPr>
          <w:rFonts w:ascii="Century Gothic" w:hAnsi="Century Gothic"/>
          <w:color w:val="0D0D0D" w:themeColor="text1" w:themeTint="F2"/>
          <w:sz w:val="24"/>
          <w:szCs w:val="24"/>
        </w:rPr>
        <w:t>5.1.2. Obra en el expediente Formato único para la expedición de certificado de salarios Consecutivo No. 18477, expedido por el Fondo Nacional de Prestaciones Sociales del M</w:t>
      </w:r>
      <w:r w:rsidR="007F522E" w:rsidRPr="00002695">
        <w:rPr>
          <w:rFonts w:ascii="Century Gothic" w:hAnsi="Century Gothic"/>
          <w:color w:val="0D0D0D" w:themeColor="text1" w:themeTint="F2"/>
          <w:sz w:val="24"/>
          <w:szCs w:val="24"/>
        </w:rPr>
        <w:t xml:space="preserve">agisterio de la señora </w:t>
      </w:r>
      <w:proofErr w:type="spellStart"/>
      <w:r w:rsidR="007F522E" w:rsidRPr="00002695">
        <w:rPr>
          <w:rFonts w:ascii="Century Gothic" w:hAnsi="Century Gothic"/>
          <w:color w:val="0D0D0D" w:themeColor="text1" w:themeTint="F2"/>
          <w:sz w:val="24"/>
          <w:szCs w:val="24"/>
        </w:rPr>
        <w:t>Maria</w:t>
      </w:r>
      <w:proofErr w:type="spellEnd"/>
      <w:r w:rsidR="007F522E" w:rsidRPr="00002695">
        <w:rPr>
          <w:rFonts w:ascii="Century Gothic" w:hAnsi="Century Gothic"/>
          <w:color w:val="0D0D0D" w:themeColor="text1" w:themeTint="F2"/>
          <w:sz w:val="24"/>
          <w:szCs w:val="24"/>
        </w:rPr>
        <w:t xml:space="preserve"> Duran </w:t>
      </w:r>
      <w:proofErr w:type="spellStart"/>
      <w:r w:rsidR="007F522E" w:rsidRPr="00002695">
        <w:rPr>
          <w:rFonts w:ascii="Century Gothic" w:hAnsi="Century Gothic"/>
          <w:color w:val="0D0D0D" w:themeColor="text1" w:themeTint="F2"/>
          <w:sz w:val="24"/>
          <w:szCs w:val="24"/>
        </w:rPr>
        <w:t>Narvaez</w:t>
      </w:r>
      <w:proofErr w:type="spellEnd"/>
      <w:r w:rsidR="00D909A8" w:rsidRPr="00002695">
        <w:rPr>
          <w:rFonts w:ascii="Century Gothic" w:hAnsi="Century Gothic"/>
          <w:color w:val="0D0D0D" w:themeColor="text1" w:themeTint="F2"/>
          <w:sz w:val="24"/>
          <w:szCs w:val="24"/>
        </w:rPr>
        <w:t xml:space="preserve"> mediante el cual constan como factores salariales devengados entre el 01 de enero de 2015 al 31 de diciembre de 2015: Asignación adicional coordinador 20%, asignación básica, bonificación mensual (1 junio/14-31 diciembre /15, prima de navidad, prima de servicios, prima de vacaciones. Del 01 de enero de 2016 al 31 de diciembre de 2016: Asignación adicional coordinador 20%, asignación básica, prima de navidad, prima de servicios, prima de vacaciones. </w:t>
      </w:r>
      <w:r w:rsidR="007F522E" w:rsidRPr="00002695">
        <w:rPr>
          <w:rFonts w:ascii="Century Gothic" w:hAnsi="Century Gothic"/>
          <w:color w:val="0D0D0D" w:themeColor="text1" w:themeTint="F2"/>
          <w:sz w:val="24"/>
          <w:szCs w:val="24"/>
        </w:rPr>
        <w:t>(</w:t>
      </w:r>
      <w:proofErr w:type="spellStart"/>
      <w:r w:rsidR="007F522E" w:rsidRPr="00002695">
        <w:rPr>
          <w:rFonts w:ascii="Century Gothic" w:hAnsi="Century Gothic"/>
          <w:color w:val="0D0D0D" w:themeColor="text1" w:themeTint="F2"/>
          <w:sz w:val="24"/>
          <w:szCs w:val="24"/>
        </w:rPr>
        <w:t>fl</w:t>
      </w:r>
      <w:proofErr w:type="spellEnd"/>
      <w:r w:rsidR="007F522E" w:rsidRPr="00002695">
        <w:rPr>
          <w:rFonts w:ascii="Century Gothic" w:hAnsi="Century Gothic"/>
          <w:color w:val="0D0D0D" w:themeColor="text1" w:themeTint="F2"/>
          <w:sz w:val="24"/>
          <w:szCs w:val="24"/>
        </w:rPr>
        <w:t>. 17)</w:t>
      </w:r>
    </w:p>
    <w:p w14:paraId="0B0A2231" w14:textId="0DF9D93E" w:rsidR="00993B65" w:rsidRPr="00002695" w:rsidRDefault="00993B65" w:rsidP="00356DB7">
      <w:pPr>
        <w:spacing w:after="0" w:line="300" w:lineRule="auto"/>
        <w:jc w:val="both"/>
        <w:rPr>
          <w:rFonts w:ascii="Century Gothic" w:hAnsi="Century Gothic"/>
          <w:color w:val="0D0D0D" w:themeColor="text1" w:themeTint="F2"/>
          <w:sz w:val="24"/>
          <w:szCs w:val="24"/>
        </w:rPr>
      </w:pPr>
    </w:p>
    <w:p w14:paraId="6E2A30CF" w14:textId="3B0CF753" w:rsidR="00993B65" w:rsidRPr="00002695" w:rsidRDefault="007F522E" w:rsidP="00356DB7">
      <w:pPr>
        <w:spacing w:after="0" w:line="300" w:lineRule="auto"/>
        <w:jc w:val="both"/>
        <w:rPr>
          <w:rFonts w:ascii="Century Gothic" w:hAnsi="Century Gothic"/>
          <w:color w:val="0D0D0D" w:themeColor="text1" w:themeTint="F2"/>
          <w:sz w:val="24"/>
          <w:szCs w:val="24"/>
        </w:rPr>
      </w:pPr>
      <w:r w:rsidRPr="00002695">
        <w:rPr>
          <w:rFonts w:ascii="Century Gothic" w:hAnsi="Century Gothic"/>
          <w:color w:val="0D0D0D" w:themeColor="text1" w:themeTint="F2"/>
          <w:sz w:val="24"/>
          <w:szCs w:val="24"/>
        </w:rPr>
        <w:t xml:space="preserve">5.1.3. Obra en el expediente Formato único para la expedición de certificado de historia laboral de la señora </w:t>
      </w:r>
      <w:r w:rsidR="00323FF6" w:rsidRPr="00002695">
        <w:rPr>
          <w:rFonts w:ascii="Century Gothic" w:hAnsi="Century Gothic"/>
          <w:color w:val="0D0D0D" w:themeColor="text1" w:themeTint="F2"/>
          <w:sz w:val="24"/>
          <w:szCs w:val="24"/>
        </w:rPr>
        <w:t>María</w:t>
      </w:r>
      <w:r w:rsidRPr="00002695">
        <w:rPr>
          <w:rFonts w:ascii="Century Gothic" w:hAnsi="Century Gothic"/>
          <w:color w:val="0D0D0D" w:themeColor="text1" w:themeTint="F2"/>
          <w:sz w:val="24"/>
          <w:szCs w:val="24"/>
        </w:rPr>
        <w:t xml:space="preserve"> Virginia Duran </w:t>
      </w:r>
      <w:r w:rsidR="00323FF6" w:rsidRPr="00002695">
        <w:rPr>
          <w:rFonts w:ascii="Century Gothic" w:hAnsi="Century Gothic"/>
          <w:color w:val="0D0D0D" w:themeColor="text1" w:themeTint="F2"/>
          <w:sz w:val="24"/>
          <w:szCs w:val="24"/>
        </w:rPr>
        <w:t>Narváez</w:t>
      </w:r>
      <w:r w:rsidRPr="00002695">
        <w:rPr>
          <w:rFonts w:ascii="Century Gothic" w:hAnsi="Century Gothic"/>
          <w:color w:val="0D0D0D" w:themeColor="text1" w:themeTint="F2"/>
          <w:sz w:val="24"/>
          <w:szCs w:val="24"/>
        </w:rPr>
        <w:t xml:space="preserve">. </w:t>
      </w:r>
      <w:r w:rsidR="00F35F13" w:rsidRPr="00002695">
        <w:rPr>
          <w:rFonts w:ascii="Century Gothic" w:hAnsi="Century Gothic"/>
          <w:color w:val="0D0D0D" w:themeColor="text1" w:themeTint="F2"/>
          <w:sz w:val="24"/>
          <w:szCs w:val="24"/>
        </w:rPr>
        <w:t>(</w:t>
      </w:r>
      <w:proofErr w:type="spellStart"/>
      <w:r w:rsidR="00F35F13" w:rsidRPr="00002695">
        <w:rPr>
          <w:rFonts w:ascii="Century Gothic" w:hAnsi="Century Gothic"/>
          <w:color w:val="0D0D0D" w:themeColor="text1" w:themeTint="F2"/>
          <w:sz w:val="24"/>
          <w:szCs w:val="24"/>
        </w:rPr>
        <w:t>fls</w:t>
      </w:r>
      <w:proofErr w:type="spellEnd"/>
      <w:r w:rsidR="00F35F13" w:rsidRPr="00002695">
        <w:rPr>
          <w:rFonts w:ascii="Century Gothic" w:hAnsi="Century Gothic"/>
          <w:color w:val="0D0D0D" w:themeColor="text1" w:themeTint="F2"/>
          <w:sz w:val="24"/>
          <w:szCs w:val="24"/>
        </w:rPr>
        <w:t>. 18-20)</w:t>
      </w:r>
    </w:p>
    <w:p w14:paraId="06595DDE" w14:textId="77777777" w:rsidR="004B7CD0" w:rsidRPr="00002695" w:rsidRDefault="004B7CD0" w:rsidP="00356DB7">
      <w:pPr>
        <w:spacing w:after="0" w:line="300" w:lineRule="auto"/>
        <w:jc w:val="both"/>
        <w:rPr>
          <w:rFonts w:ascii="Century Gothic" w:hAnsi="Century Gothic"/>
          <w:color w:val="0D0D0D" w:themeColor="text1" w:themeTint="F2"/>
          <w:sz w:val="24"/>
          <w:szCs w:val="24"/>
        </w:rPr>
      </w:pPr>
    </w:p>
    <w:p w14:paraId="3164FD01" w14:textId="77777777" w:rsidR="00A351F3" w:rsidRPr="00002695" w:rsidRDefault="00A351F3" w:rsidP="00356DB7">
      <w:pPr>
        <w:spacing w:after="0" w:line="300" w:lineRule="auto"/>
        <w:rPr>
          <w:rFonts w:ascii="Century Gothic" w:hAnsi="Century Gothic" w:cs="Arial"/>
          <w:b/>
          <w:color w:val="0D0D0D" w:themeColor="text1" w:themeTint="F2"/>
          <w:sz w:val="24"/>
          <w:szCs w:val="24"/>
        </w:rPr>
      </w:pPr>
      <w:r w:rsidRPr="00002695">
        <w:rPr>
          <w:rFonts w:ascii="Century Gothic" w:hAnsi="Century Gothic" w:cs="Arial"/>
          <w:b/>
          <w:color w:val="0D0D0D" w:themeColor="text1" w:themeTint="F2"/>
          <w:sz w:val="24"/>
          <w:szCs w:val="24"/>
        </w:rPr>
        <w:t>5.2 Análisis crítico de las pruebas frente al marco jurídico</w:t>
      </w:r>
    </w:p>
    <w:p w14:paraId="0A4AD919" w14:textId="77777777" w:rsidR="00A351F3" w:rsidRDefault="00A351F3" w:rsidP="00356DB7">
      <w:pPr>
        <w:pStyle w:val="Prrafodelista"/>
        <w:spacing w:after="0" w:line="300" w:lineRule="auto"/>
        <w:ind w:left="0"/>
        <w:jc w:val="both"/>
        <w:rPr>
          <w:rFonts w:ascii="Century Gothic" w:hAnsi="Century Gothic"/>
          <w:color w:val="0D0D0D" w:themeColor="text1" w:themeTint="F2"/>
          <w:sz w:val="24"/>
          <w:szCs w:val="24"/>
        </w:rPr>
      </w:pPr>
    </w:p>
    <w:p w14:paraId="672D36CB" w14:textId="77777777" w:rsidR="00323FF6" w:rsidRPr="00323FF6" w:rsidRDefault="00323FF6" w:rsidP="00323FF6">
      <w:pPr>
        <w:suppressAutoHyphens/>
        <w:spacing w:after="0"/>
        <w:jc w:val="both"/>
        <w:rPr>
          <w:rFonts w:ascii="Century Gothic" w:eastAsia="Times New Roman" w:hAnsi="Century Gothic" w:cs="Century Gothic"/>
          <w:bCs/>
          <w:color w:val="0D0D0D" w:themeColor="text1" w:themeTint="F2"/>
          <w:spacing w:val="-3"/>
          <w:sz w:val="24"/>
          <w:szCs w:val="24"/>
          <w:lang w:eastAsia="es-ES"/>
        </w:rPr>
      </w:pPr>
      <w:r w:rsidRPr="00323FF6">
        <w:rPr>
          <w:rFonts w:ascii="Century Gothic" w:eastAsia="Times New Roman" w:hAnsi="Century Gothic" w:cs="Century Gothic"/>
          <w:bCs/>
          <w:color w:val="0D0D0D" w:themeColor="text1" w:themeTint="F2"/>
          <w:sz w:val="24"/>
          <w:szCs w:val="24"/>
        </w:rPr>
        <w:t>En el sub judice, la actora persigue que s</w:t>
      </w:r>
      <w:r w:rsidRPr="00323FF6">
        <w:rPr>
          <w:rFonts w:ascii="Century Gothic" w:eastAsia="Times New Roman" w:hAnsi="Century Gothic" w:cs="Century Gothic"/>
          <w:bCs/>
          <w:color w:val="0D0D0D" w:themeColor="text1" w:themeTint="F2"/>
          <w:spacing w:val="-3"/>
          <w:sz w:val="24"/>
          <w:szCs w:val="24"/>
          <w:lang w:eastAsia="es-ES"/>
        </w:rPr>
        <w:t>e declare la NULIDAD PARCIAL de la Resolución No. 1984 del 15 de junio del 2017, expedidas por el Fondo Nacional de Prestaciones Sociales del Magisterio Oficina Regional de Bolívar por la cual se le reconoció la pensión vitalicia de jubilación. Así mismo,  a título de restablecimiento del derecho solicita que se declare que la Nación- Ministerio de Educación Nacional, Fondo Nacional de prestaciones Sociales del Magisterio, debe reconocer y pagar la pensión de jubilación, con la inclusión de todos los factores salariales que devengó durante el año anterior al status de pensionado.</w:t>
      </w:r>
    </w:p>
    <w:p w14:paraId="4B230722" w14:textId="4C9C02C1" w:rsidR="00323FF6" w:rsidRPr="00323FF6" w:rsidRDefault="00323FF6" w:rsidP="00323FF6">
      <w:pPr>
        <w:suppressAutoHyphens/>
        <w:spacing w:after="0" w:line="240" w:lineRule="auto"/>
        <w:jc w:val="both"/>
        <w:rPr>
          <w:rFonts w:ascii="Century Gothic" w:eastAsia="Times New Roman" w:hAnsi="Century Gothic" w:cs="Century Gothic"/>
          <w:bCs/>
          <w:color w:val="0D0D0D" w:themeColor="text1" w:themeTint="F2"/>
          <w:spacing w:val="-3"/>
          <w:sz w:val="24"/>
          <w:szCs w:val="24"/>
          <w:lang w:eastAsia="es-ES"/>
        </w:rPr>
      </w:pPr>
      <w:r w:rsidRPr="00323FF6">
        <w:rPr>
          <w:rFonts w:ascii="Century Gothic" w:eastAsia="Times New Roman" w:hAnsi="Century Gothic" w:cs="Century Gothic"/>
          <w:bCs/>
          <w:color w:val="0D0D0D" w:themeColor="text1" w:themeTint="F2"/>
          <w:spacing w:val="-3"/>
          <w:sz w:val="24"/>
          <w:szCs w:val="24"/>
          <w:lang w:eastAsia="es-ES"/>
        </w:rPr>
        <w:t xml:space="preserve"> </w:t>
      </w:r>
    </w:p>
    <w:p w14:paraId="19D588E2" w14:textId="3AEA0899" w:rsidR="00323FF6" w:rsidRPr="00323FF6" w:rsidRDefault="00323FF6" w:rsidP="00323FF6">
      <w:pPr>
        <w:suppressAutoHyphens/>
        <w:spacing w:after="0"/>
        <w:jc w:val="both"/>
        <w:rPr>
          <w:rFonts w:ascii="Century Gothic" w:eastAsia="Times New Roman" w:hAnsi="Century Gothic" w:cs="Century Gothic"/>
          <w:bCs/>
          <w:color w:val="0D0D0D" w:themeColor="text1" w:themeTint="F2"/>
          <w:spacing w:val="-3"/>
          <w:sz w:val="24"/>
          <w:szCs w:val="24"/>
          <w:lang w:eastAsia="es-ES"/>
        </w:rPr>
      </w:pPr>
      <w:r w:rsidRPr="00323FF6">
        <w:rPr>
          <w:rFonts w:ascii="Century Gothic" w:eastAsia="Times New Roman" w:hAnsi="Century Gothic" w:cs="Century Gothic"/>
          <w:bCs/>
          <w:color w:val="0D0D0D" w:themeColor="text1" w:themeTint="F2"/>
          <w:spacing w:val="-3"/>
          <w:sz w:val="24"/>
          <w:szCs w:val="24"/>
          <w:lang w:eastAsia="es-ES"/>
        </w:rPr>
        <w:lastRenderedPageBreak/>
        <w:t xml:space="preserve">Igualmente deprecó </w:t>
      </w:r>
      <w:proofErr w:type="spellStart"/>
      <w:r w:rsidRPr="00323FF6">
        <w:rPr>
          <w:rFonts w:ascii="Century Gothic" w:eastAsia="Times New Roman" w:hAnsi="Century Gothic" w:cs="Century Gothic"/>
          <w:bCs/>
          <w:color w:val="0D0D0D" w:themeColor="text1" w:themeTint="F2"/>
          <w:spacing w:val="-3"/>
          <w:sz w:val="24"/>
          <w:szCs w:val="24"/>
          <w:lang w:eastAsia="es-ES"/>
        </w:rPr>
        <w:t>Inaplicar</w:t>
      </w:r>
      <w:proofErr w:type="spellEnd"/>
      <w:r w:rsidRPr="00323FF6">
        <w:rPr>
          <w:rFonts w:ascii="Century Gothic" w:eastAsia="Times New Roman" w:hAnsi="Century Gothic" w:cs="Century Gothic"/>
          <w:bCs/>
          <w:color w:val="0D0D0D" w:themeColor="text1" w:themeTint="F2"/>
          <w:spacing w:val="-3"/>
          <w:sz w:val="24"/>
          <w:szCs w:val="24"/>
          <w:lang w:eastAsia="es-ES"/>
        </w:rPr>
        <w:t xml:space="preserve"> por inconstitucional el Decreto 3752 del 22 de Diciembre de 2003, artículo 3º, por violar ostensiblemente la Constitución Política de Colombia, articulo 53 y Ley 91 de 1989, articulo 15, numeral 2º, literal b. </w:t>
      </w:r>
    </w:p>
    <w:p w14:paraId="36B14E5F" w14:textId="42E415ED" w:rsidR="00323FF6" w:rsidRPr="00002695" w:rsidRDefault="00323FF6" w:rsidP="00323FF6">
      <w:pPr>
        <w:spacing w:after="0"/>
        <w:ind w:left="-142"/>
        <w:jc w:val="both"/>
        <w:rPr>
          <w:rFonts w:ascii="Century Gothic" w:eastAsia="Times New Roman" w:hAnsi="Century Gothic" w:cs="Century Gothic"/>
          <w:b/>
          <w:bCs/>
          <w:color w:val="0D0D0D" w:themeColor="text1" w:themeTint="F2"/>
          <w:sz w:val="24"/>
          <w:szCs w:val="24"/>
        </w:rPr>
      </w:pPr>
    </w:p>
    <w:p w14:paraId="7782519A" w14:textId="0552C776" w:rsidR="00323FF6" w:rsidRPr="00002695" w:rsidRDefault="00323FF6" w:rsidP="00323FF6">
      <w:pPr>
        <w:spacing w:after="0" w:line="300" w:lineRule="auto"/>
        <w:ind w:left="-142"/>
        <w:jc w:val="both"/>
        <w:rPr>
          <w:rFonts w:ascii="Century Gothic" w:hAnsi="Century Gothic"/>
          <w:color w:val="0D0D0D" w:themeColor="text1" w:themeTint="F2"/>
          <w:sz w:val="24"/>
          <w:szCs w:val="24"/>
        </w:rPr>
      </w:pPr>
      <w:r>
        <w:rPr>
          <w:rFonts w:ascii="Century Gothic" w:eastAsia="Calibri" w:hAnsi="Century Gothic" w:cs="Century Gothic"/>
          <w:bCs/>
          <w:color w:val="0D0D0D" w:themeColor="text1" w:themeTint="F2"/>
          <w:sz w:val="24"/>
          <w:szCs w:val="24"/>
        </w:rPr>
        <w:t>El A quo, m</w:t>
      </w:r>
      <w:r w:rsidRPr="00002695">
        <w:rPr>
          <w:rFonts w:ascii="Century Gothic" w:eastAsia="Calibri" w:hAnsi="Century Gothic" w:cs="Century Gothic"/>
          <w:bCs/>
          <w:color w:val="0D0D0D" w:themeColor="text1" w:themeTint="F2"/>
          <w:sz w:val="24"/>
          <w:szCs w:val="24"/>
        </w:rPr>
        <w:t>ediante sentencia de fecha doce (12) de septiembre de 2018, neg</w:t>
      </w:r>
      <w:r>
        <w:rPr>
          <w:rFonts w:ascii="Century Gothic" w:eastAsia="Calibri" w:hAnsi="Century Gothic" w:cs="Century Gothic"/>
          <w:bCs/>
          <w:color w:val="0D0D0D" w:themeColor="text1" w:themeTint="F2"/>
          <w:sz w:val="24"/>
          <w:szCs w:val="24"/>
        </w:rPr>
        <w:t>ó</w:t>
      </w:r>
      <w:r w:rsidRPr="00002695">
        <w:rPr>
          <w:rFonts w:ascii="Century Gothic" w:eastAsia="Calibri" w:hAnsi="Century Gothic" w:cs="Century Gothic"/>
          <w:bCs/>
          <w:color w:val="0D0D0D" w:themeColor="text1" w:themeTint="F2"/>
          <w:sz w:val="24"/>
          <w:szCs w:val="24"/>
        </w:rPr>
        <w:t xml:space="preserve"> l</w:t>
      </w:r>
      <w:r>
        <w:rPr>
          <w:rFonts w:ascii="Century Gothic" w:eastAsia="Calibri" w:hAnsi="Century Gothic" w:cs="Century Gothic"/>
          <w:bCs/>
          <w:color w:val="0D0D0D" w:themeColor="text1" w:themeTint="F2"/>
          <w:sz w:val="24"/>
          <w:szCs w:val="24"/>
        </w:rPr>
        <w:t xml:space="preserve">as pretensiones de la demanda, manifestando en síntesis, que </w:t>
      </w:r>
      <w:r w:rsidRPr="00002695">
        <w:rPr>
          <w:rFonts w:ascii="Century Gothic" w:hAnsi="Century Gothic"/>
          <w:color w:val="0D0D0D" w:themeColor="text1" w:themeTint="F2"/>
          <w:sz w:val="24"/>
          <w:szCs w:val="24"/>
        </w:rPr>
        <w:t xml:space="preserve">el régimen aplicable a la demandante es el consagrado en la Ley 33 de 1985, y en las demás normas que la modificaron y complementaron. Señala, que para el 29 de mayo de 2016, fecha siguiente al estatus pensional, la mesada por pensión ordinaria de jubilación de la actora debió ascender a la suma de $2.361.116,39, pero si se observa la Resolución 1984 del 15 de junio de 2017 la entidad demandada le reconoció por este concepto la suma de $2.448.761, siendo este valor superior.  </w:t>
      </w:r>
    </w:p>
    <w:p w14:paraId="5D8181BF" w14:textId="77777777" w:rsidR="00323FF6" w:rsidRPr="00002695" w:rsidRDefault="00323FF6" w:rsidP="00323FF6">
      <w:pPr>
        <w:spacing w:after="0" w:line="300" w:lineRule="auto"/>
        <w:ind w:left="-142"/>
        <w:jc w:val="both"/>
        <w:rPr>
          <w:rFonts w:ascii="Century Gothic" w:hAnsi="Century Gothic"/>
          <w:color w:val="0D0D0D" w:themeColor="text1" w:themeTint="F2"/>
          <w:sz w:val="24"/>
          <w:szCs w:val="24"/>
        </w:rPr>
      </w:pPr>
    </w:p>
    <w:p w14:paraId="4C5B5F84" w14:textId="77777777" w:rsidR="00323FF6" w:rsidRPr="00002695" w:rsidRDefault="00323FF6" w:rsidP="00323FF6">
      <w:pPr>
        <w:spacing w:after="0" w:line="300" w:lineRule="auto"/>
        <w:ind w:left="-142"/>
        <w:jc w:val="both"/>
        <w:rPr>
          <w:rFonts w:ascii="Century Gothic" w:hAnsi="Century Gothic"/>
          <w:color w:val="0D0D0D" w:themeColor="text1" w:themeTint="F2"/>
          <w:sz w:val="24"/>
          <w:szCs w:val="24"/>
        </w:rPr>
      </w:pPr>
      <w:r w:rsidRPr="00002695">
        <w:rPr>
          <w:rFonts w:ascii="Century Gothic" w:hAnsi="Century Gothic"/>
          <w:color w:val="0D0D0D" w:themeColor="text1" w:themeTint="F2"/>
          <w:sz w:val="24"/>
          <w:szCs w:val="24"/>
        </w:rPr>
        <w:t xml:space="preserve">Concluye que no se evidencia la indebida interpretación o aplicación errada de la norma aplicable al caso.  </w:t>
      </w:r>
    </w:p>
    <w:p w14:paraId="686C30B4" w14:textId="77777777" w:rsidR="00323FF6" w:rsidRDefault="00323FF6" w:rsidP="00323FF6">
      <w:pPr>
        <w:spacing w:after="0" w:line="300" w:lineRule="auto"/>
        <w:ind w:left="-142"/>
        <w:jc w:val="both"/>
        <w:rPr>
          <w:rFonts w:ascii="Century Gothic" w:hAnsi="Century Gothic"/>
          <w:color w:val="0D0D0D" w:themeColor="text1" w:themeTint="F2"/>
          <w:sz w:val="24"/>
          <w:szCs w:val="24"/>
        </w:rPr>
      </w:pPr>
    </w:p>
    <w:p w14:paraId="2D819D5A" w14:textId="77777777" w:rsidR="00A25C91" w:rsidRDefault="00A25C91" w:rsidP="00A25C91">
      <w:pPr>
        <w:spacing w:after="0" w:line="300" w:lineRule="auto"/>
        <w:ind w:left="-142"/>
        <w:jc w:val="both"/>
        <w:rPr>
          <w:rFonts w:ascii="Century Gothic" w:hAnsi="Century Gothic" w:cs="Century Gothic"/>
          <w:color w:val="0D0D0D" w:themeColor="text1" w:themeTint="F2"/>
          <w:sz w:val="24"/>
          <w:szCs w:val="24"/>
        </w:rPr>
      </w:pPr>
      <w:r>
        <w:rPr>
          <w:rFonts w:ascii="Century Gothic" w:hAnsi="Century Gothic"/>
          <w:color w:val="0D0D0D" w:themeColor="text1" w:themeTint="F2"/>
          <w:sz w:val="24"/>
          <w:szCs w:val="24"/>
        </w:rPr>
        <w:t xml:space="preserve">Por su parte, la actora, apeló la decisión de primera instancia, solicitando revocar la sentencia de primera instancia,  manifestando en síntesis, que </w:t>
      </w:r>
      <w:r w:rsidR="00323FF6" w:rsidRPr="00002695">
        <w:rPr>
          <w:rFonts w:ascii="Century Gothic" w:hAnsi="Century Gothic" w:cs="Century Gothic"/>
          <w:color w:val="0D0D0D" w:themeColor="text1" w:themeTint="F2"/>
          <w:sz w:val="24"/>
          <w:szCs w:val="24"/>
        </w:rPr>
        <w:t xml:space="preserve"> existen algunas prestaciones sociales a las cuales el mismo legislador les dio dicha connotación, esto es las primas de navidad y de vacaciones, que a pesar de tener esa naturaleza, constituyen factor de salario para efectos de liquidar pensiones y cesantías. </w:t>
      </w:r>
    </w:p>
    <w:p w14:paraId="67CB42FA" w14:textId="77777777" w:rsidR="00A25C91" w:rsidRDefault="00A25C91" w:rsidP="00A25C91">
      <w:pPr>
        <w:spacing w:after="0" w:line="300" w:lineRule="auto"/>
        <w:ind w:left="-142"/>
        <w:jc w:val="both"/>
        <w:rPr>
          <w:rFonts w:ascii="Century Gothic" w:hAnsi="Century Gothic" w:cs="Century Gothic"/>
          <w:color w:val="0D0D0D" w:themeColor="text1" w:themeTint="F2"/>
          <w:sz w:val="24"/>
          <w:szCs w:val="24"/>
        </w:rPr>
      </w:pPr>
    </w:p>
    <w:p w14:paraId="2F24E466" w14:textId="77777777" w:rsidR="00A25C91" w:rsidRDefault="00A25C91" w:rsidP="00A25C91">
      <w:pPr>
        <w:spacing w:after="0" w:line="300" w:lineRule="auto"/>
        <w:ind w:left="-142"/>
        <w:jc w:val="both"/>
        <w:rPr>
          <w:rFonts w:ascii="Century Gothic" w:hAnsi="Century Gothic" w:cs="Century Gothic"/>
          <w:color w:val="0D0D0D" w:themeColor="text1" w:themeTint="F2"/>
          <w:sz w:val="24"/>
          <w:szCs w:val="24"/>
        </w:rPr>
      </w:pPr>
      <w:r>
        <w:rPr>
          <w:rFonts w:ascii="Century Gothic" w:hAnsi="Century Gothic" w:cs="Century Gothic"/>
          <w:color w:val="0D0D0D" w:themeColor="text1" w:themeTint="F2"/>
          <w:sz w:val="24"/>
          <w:szCs w:val="24"/>
        </w:rPr>
        <w:t xml:space="preserve">Manifiesta que </w:t>
      </w:r>
      <w:r w:rsidR="00323FF6" w:rsidRPr="00002695">
        <w:rPr>
          <w:rFonts w:ascii="Century Gothic" w:hAnsi="Century Gothic" w:cs="Century Gothic"/>
          <w:color w:val="0D0D0D" w:themeColor="text1" w:themeTint="F2"/>
          <w:sz w:val="24"/>
          <w:szCs w:val="24"/>
        </w:rPr>
        <w:t xml:space="preserve">el presente asunto se rige por la ley 33 de 1985; </w:t>
      </w:r>
      <w:r>
        <w:rPr>
          <w:rFonts w:ascii="Century Gothic" w:hAnsi="Century Gothic" w:cs="Century Gothic"/>
          <w:color w:val="0D0D0D" w:themeColor="text1" w:themeTint="F2"/>
          <w:sz w:val="24"/>
          <w:szCs w:val="24"/>
        </w:rPr>
        <w:t>por lo que la</w:t>
      </w:r>
      <w:r w:rsidR="00323FF6" w:rsidRPr="00002695">
        <w:rPr>
          <w:rFonts w:ascii="Century Gothic" w:hAnsi="Century Gothic" w:cs="Century Gothic"/>
          <w:color w:val="0D0D0D" w:themeColor="text1" w:themeTint="F2"/>
          <w:sz w:val="24"/>
          <w:szCs w:val="24"/>
        </w:rPr>
        <w:t xml:space="preserve"> actor</w:t>
      </w:r>
      <w:r>
        <w:rPr>
          <w:rFonts w:ascii="Century Gothic" w:hAnsi="Century Gothic" w:cs="Century Gothic"/>
          <w:color w:val="0D0D0D" w:themeColor="text1" w:themeTint="F2"/>
          <w:sz w:val="24"/>
          <w:szCs w:val="24"/>
        </w:rPr>
        <w:t>a</w:t>
      </w:r>
      <w:r w:rsidR="00323FF6" w:rsidRPr="00002695">
        <w:rPr>
          <w:rFonts w:ascii="Century Gothic" w:hAnsi="Century Gothic" w:cs="Century Gothic"/>
          <w:color w:val="0D0D0D" w:themeColor="text1" w:themeTint="F2"/>
          <w:sz w:val="24"/>
          <w:szCs w:val="24"/>
        </w:rPr>
        <w:t xml:space="preserve"> tiene derecho a la reliquidación del beneficio pensional incluyendo los factores salariales devengados durante el último año de servicios, los cuales la entidad accionada no tuvo en cuenta. </w:t>
      </w:r>
    </w:p>
    <w:p w14:paraId="7C5A10E5" w14:textId="77777777" w:rsidR="00A25C91" w:rsidRDefault="00A25C91" w:rsidP="00A25C91">
      <w:pPr>
        <w:spacing w:after="0" w:line="300" w:lineRule="auto"/>
        <w:ind w:left="-142"/>
        <w:jc w:val="both"/>
        <w:rPr>
          <w:rFonts w:ascii="Century Gothic" w:hAnsi="Century Gothic" w:cs="Century Gothic"/>
          <w:color w:val="0D0D0D" w:themeColor="text1" w:themeTint="F2"/>
          <w:sz w:val="24"/>
          <w:szCs w:val="24"/>
        </w:rPr>
      </w:pPr>
    </w:p>
    <w:p w14:paraId="5DEA688B" w14:textId="77777777" w:rsidR="00FE52EF" w:rsidRDefault="00A25C91" w:rsidP="00FE52EF">
      <w:pPr>
        <w:spacing w:after="0" w:line="300" w:lineRule="auto"/>
        <w:ind w:left="-142"/>
        <w:jc w:val="both"/>
        <w:rPr>
          <w:rFonts w:ascii="Century Gothic" w:hAnsi="Century Gothic" w:cs="Century Gothic"/>
          <w:color w:val="0D0D0D" w:themeColor="text1" w:themeTint="F2"/>
          <w:sz w:val="24"/>
          <w:szCs w:val="24"/>
        </w:rPr>
      </w:pPr>
      <w:r>
        <w:rPr>
          <w:rFonts w:ascii="Century Gothic" w:hAnsi="Century Gothic" w:cs="Century Gothic"/>
          <w:color w:val="0D0D0D" w:themeColor="text1" w:themeTint="F2"/>
          <w:sz w:val="24"/>
          <w:szCs w:val="24"/>
        </w:rPr>
        <w:t xml:space="preserve">En este contexto procede la Sala a resolver el problema jurídico expuesto, conforme al marco normativo y jurisprudencial expuesto, así como los hechos probados y el objeto de la apelación. </w:t>
      </w:r>
      <w:r w:rsidR="00323FF6" w:rsidRPr="00002695">
        <w:rPr>
          <w:rFonts w:ascii="Century Gothic" w:hAnsi="Century Gothic"/>
          <w:color w:val="0D0D0D" w:themeColor="text1" w:themeTint="F2"/>
          <w:sz w:val="24"/>
          <w:szCs w:val="24"/>
        </w:rPr>
        <w:t xml:space="preserve">  </w:t>
      </w:r>
    </w:p>
    <w:p w14:paraId="5D33ADED" w14:textId="77777777" w:rsidR="00FE52EF" w:rsidRDefault="00FE52EF" w:rsidP="00FE52EF">
      <w:pPr>
        <w:spacing w:after="0" w:line="300" w:lineRule="auto"/>
        <w:ind w:left="-142"/>
        <w:jc w:val="both"/>
        <w:rPr>
          <w:rFonts w:ascii="Century Gothic" w:hAnsi="Century Gothic" w:cs="Century Gothic"/>
          <w:color w:val="0D0D0D" w:themeColor="text1" w:themeTint="F2"/>
          <w:sz w:val="24"/>
          <w:szCs w:val="24"/>
        </w:rPr>
      </w:pPr>
    </w:p>
    <w:p w14:paraId="1670C731" w14:textId="77777777" w:rsidR="00FE52EF" w:rsidRDefault="00FE52EF" w:rsidP="00FE52EF">
      <w:pPr>
        <w:spacing w:after="0" w:line="300" w:lineRule="auto"/>
        <w:ind w:left="-142"/>
        <w:jc w:val="both"/>
        <w:rPr>
          <w:rFonts w:ascii="Century Gothic" w:hAnsi="Century Gothic" w:cs="Century Gothic"/>
          <w:color w:val="0D0D0D" w:themeColor="text1" w:themeTint="F2"/>
          <w:sz w:val="24"/>
          <w:szCs w:val="24"/>
        </w:rPr>
      </w:pPr>
      <w:r>
        <w:rPr>
          <w:rFonts w:ascii="Century Gothic" w:hAnsi="Century Gothic" w:cs="Century Gothic"/>
          <w:color w:val="0D0D0D" w:themeColor="text1" w:themeTint="F2"/>
          <w:sz w:val="24"/>
          <w:szCs w:val="24"/>
        </w:rPr>
        <w:t xml:space="preserve">De acuerdo con </w:t>
      </w:r>
      <w:r w:rsidR="00FB49EC" w:rsidRPr="00002695">
        <w:rPr>
          <w:rFonts w:ascii="Century Gothic" w:eastAsia="Calibri" w:hAnsi="Century Gothic" w:cs="Calibri"/>
          <w:color w:val="0D0D0D" w:themeColor="text1" w:themeTint="F2"/>
          <w:sz w:val="24"/>
          <w:szCs w:val="24"/>
        </w:rPr>
        <w:t>el material probatorio arrimado al expediente, se tiene que la señora</w:t>
      </w:r>
      <w:r w:rsidR="00264BA6" w:rsidRPr="00002695">
        <w:rPr>
          <w:rFonts w:ascii="Century Gothic" w:eastAsia="Calibri" w:hAnsi="Century Gothic" w:cs="Calibri"/>
          <w:color w:val="0D0D0D" w:themeColor="text1" w:themeTint="F2"/>
          <w:sz w:val="24"/>
          <w:szCs w:val="24"/>
        </w:rPr>
        <w:t xml:space="preserve"> MARIA VIRGINIA DURAN NARVAEZ </w:t>
      </w:r>
      <w:r w:rsidR="00FB49EC" w:rsidRPr="00002695">
        <w:rPr>
          <w:rFonts w:ascii="Century Gothic" w:eastAsia="Calibri" w:hAnsi="Century Gothic" w:cs="Calibri"/>
          <w:color w:val="0D0D0D" w:themeColor="text1" w:themeTint="F2"/>
          <w:sz w:val="24"/>
          <w:szCs w:val="24"/>
        </w:rPr>
        <w:t>se vinculó al sistema educativo oficial con anterioridad a la f</w:t>
      </w:r>
      <w:r w:rsidR="00264BA6" w:rsidRPr="00002695">
        <w:rPr>
          <w:rFonts w:ascii="Century Gothic" w:eastAsia="Calibri" w:hAnsi="Century Gothic" w:cs="Calibri"/>
          <w:color w:val="0D0D0D" w:themeColor="text1" w:themeTint="F2"/>
          <w:sz w:val="24"/>
          <w:szCs w:val="24"/>
        </w:rPr>
        <w:t>echa en que entró en vigencia</w:t>
      </w:r>
      <w:r w:rsidR="00FB49EC" w:rsidRPr="00002695">
        <w:rPr>
          <w:rFonts w:ascii="Century Gothic" w:eastAsia="Calibri" w:hAnsi="Century Gothic" w:cs="Calibri"/>
          <w:color w:val="0D0D0D" w:themeColor="text1" w:themeTint="F2"/>
          <w:sz w:val="24"/>
          <w:szCs w:val="24"/>
        </w:rPr>
        <w:t xml:space="preserve"> la Ley 812 de 2003, esto </w:t>
      </w:r>
      <w:r w:rsidR="00FB49EC" w:rsidRPr="00002695">
        <w:rPr>
          <w:rFonts w:ascii="Century Gothic" w:eastAsia="Calibri" w:hAnsi="Century Gothic" w:cs="Calibri"/>
          <w:color w:val="0D0D0D" w:themeColor="text1" w:themeTint="F2"/>
          <w:sz w:val="24"/>
          <w:szCs w:val="24"/>
        </w:rPr>
        <w:lastRenderedPageBreak/>
        <w:t xml:space="preserve">es, </w:t>
      </w:r>
      <w:r w:rsidR="00264BA6" w:rsidRPr="00002695">
        <w:rPr>
          <w:rFonts w:ascii="Century Gothic" w:eastAsia="Calibri" w:hAnsi="Century Gothic" w:cs="Calibri"/>
          <w:color w:val="0D0D0D" w:themeColor="text1" w:themeTint="F2"/>
          <w:sz w:val="24"/>
          <w:szCs w:val="24"/>
        </w:rPr>
        <w:t>01 febrero de 1991</w:t>
      </w:r>
      <w:r>
        <w:rPr>
          <w:rFonts w:ascii="Century Gothic" w:eastAsia="Calibri" w:hAnsi="Century Gothic" w:cs="Calibri"/>
          <w:color w:val="0D0D0D" w:themeColor="text1" w:themeTint="F2"/>
          <w:sz w:val="24"/>
          <w:szCs w:val="24"/>
        </w:rPr>
        <w:t>, según lo contiene</w:t>
      </w:r>
      <w:r w:rsidR="00BA38D6" w:rsidRPr="00002695">
        <w:rPr>
          <w:rFonts w:ascii="Century Gothic" w:eastAsia="Calibri" w:hAnsi="Century Gothic" w:cs="Calibri"/>
          <w:color w:val="0D0D0D" w:themeColor="text1" w:themeTint="F2"/>
          <w:sz w:val="24"/>
          <w:szCs w:val="24"/>
        </w:rPr>
        <w:t xml:space="preserve"> la</w:t>
      </w:r>
      <w:r w:rsidR="00264BA6" w:rsidRPr="00002695">
        <w:rPr>
          <w:rFonts w:ascii="Century Gothic" w:eastAsia="Calibri" w:hAnsi="Century Gothic" w:cs="Calibri"/>
          <w:color w:val="0D0D0D" w:themeColor="text1" w:themeTint="F2"/>
          <w:sz w:val="24"/>
          <w:szCs w:val="24"/>
        </w:rPr>
        <w:t xml:space="preserve"> Resolución No. 1984 del 15 de junio de 2017, </w:t>
      </w:r>
      <w:r>
        <w:rPr>
          <w:rFonts w:ascii="Century Gothic" w:eastAsia="Calibri" w:hAnsi="Century Gothic" w:cs="Calibri"/>
          <w:color w:val="0D0D0D" w:themeColor="text1" w:themeTint="F2"/>
          <w:sz w:val="24"/>
          <w:szCs w:val="24"/>
        </w:rPr>
        <w:t xml:space="preserve">visible </w:t>
      </w:r>
      <w:r w:rsidR="00264BA6" w:rsidRPr="00002695">
        <w:rPr>
          <w:rFonts w:ascii="Century Gothic" w:eastAsia="Calibri" w:hAnsi="Century Gothic" w:cs="Calibri"/>
          <w:color w:val="0D0D0D" w:themeColor="text1" w:themeTint="F2"/>
          <w:sz w:val="24"/>
          <w:szCs w:val="24"/>
        </w:rPr>
        <w:t xml:space="preserve">a folio 16. </w:t>
      </w:r>
    </w:p>
    <w:p w14:paraId="4442416F" w14:textId="77777777" w:rsidR="00FE52EF" w:rsidRDefault="00FE52EF" w:rsidP="00FE52EF">
      <w:pPr>
        <w:spacing w:after="0" w:line="300" w:lineRule="auto"/>
        <w:ind w:left="-142"/>
        <w:jc w:val="both"/>
        <w:rPr>
          <w:rFonts w:ascii="Century Gothic" w:hAnsi="Century Gothic" w:cs="Century Gothic"/>
          <w:color w:val="0D0D0D" w:themeColor="text1" w:themeTint="F2"/>
          <w:sz w:val="24"/>
          <w:szCs w:val="24"/>
        </w:rPr>
      </w:pPr>
    </w:p>
    <w:p w14:paraId="043F5E11" w14:textId="77777777" w:rsidR="00FE52EF" w:rsidRDefault="00FE52EF" w:rsidP="00FE52EF">
      <w:pPr>
        <w:spacing w:after="0" w:line="300" w:lineRule="auto"/>
        <w:ind w:left="-142"/>
        <w:jc w:val="both"/>
        <w:rPr>
          <w:rFonts w:ascii="Century Gothic" w:hAnsi="Century Gothic" w:cs="Century Gothic"/>
          <w:color w:val="0D0D0D" w:themeColor="text1" w:themeTint="F2"/>
          <w:sz w:val="24"/>
          <w:szCs w:val="24"/>
        </w:rPr>
      </w:pPr>
      <w:r>
        <w:rPr>
          <w:rFonts w:ascii="Century Gothic" w:eastAsia="Calibri" w:hAnsi="Century Gothic" w:cs="Calibri"/>
          <w:color w:val="0D0D0D" w:themeColor="text1" w:themeTint="F2"/>
          <w:sz w:val="24"/>
          <w:szCs w:val="24"/>
        </w:rPr>
        <w:t xml:space="preserve">Así mismo, </w:t>
      </w:r>
      <w:r w:rsidR="00FB49EC" w:rsidRPr="00002695">
        <w:rPr>
          <w:rFonts w:ascii="Century Gothic" w:eastAsia="Calibri" w:hAnsi="Century Gothic" w:cs="Calibri"/>
          <w:color w:val="0D0D0D" w:themeColor="text1" w:themeTint="F2"/>
          <w:sz w:val="24"/>
          <w:szCs w:val="24"/>
        </w:rPr>
        <w:t xml:space="preserve">se encuentra acreditado que la actora prestó sus servicios como docente </w:t>
      </w:r>
      <w:r w:rsidR="00B534A1" w:rsidRPr="00002695">
        <w:rPr>
          <w:rFonts w:ascii="Century Gothic" w:eastAsia="Calibri" w:hAnsi="Century Gothic" w:cs="Calibri"/>
          <w:color w:val="0D0D0D" w:themeColor="text1" w:themeTint="F2"/>
          <w:sz w:val="24"/>
          <w:szCs w:val="24"/>
        </w:rPr>
        <w:t>nacional</w:t>
      </w:r>
      <w:r w:rsidR="00FB49EC" w:rsidRPr="00002695">
        <w:rPr>
          <w:rFonts w:ascii="Century Gothic" w:eastAsia="Calibri" w:hAnsi="Century Gothic" w:cs="Calibri"/>
          <w:color w:val="0D0D0D" w:themeColor="text1" w:themeTint="F2"/>
          <w:sz w:val="24"/>
          <w:szCs w:val="24"/>
        </w:rPr>
        <w:t xml:space="preserve"> vinculada desde el </w:t>
      </w:r>
      <w:r w:rsidR="00B534A1" w:rsidRPr="00002695">
        <w:rPr>
          <w:rFonts w:ascii="Century Gothic" w:eastAsia="Calibri" w:hAnsi="Century Gothic" w:cs="Calibri"/>
          <w:color w:val="0D0D0D" w:themeColor="text1" w:themeTint="F2"/>
          <w:sz w:val="24"/>
          <w:szCs w:val="24"/>
        </w:rPr>
        <w:t>01 de febrero de 1991</w:t>
      </w:r>
      <w:r w:rsidR="00FB49EC" w:rsidRPr="00002695">
        <w:rPr>
          <w:rFonts w:ascii="Century Gothic" w:eastAsia="Calibri" w:hAnsi="Century Gothic" w:cs="Calibri"/>
          <w:color w:val="0D0D0D" w:themeColor="text1" w:themeTint="F2"/>
          <w:sz w:val="24"/>
          <w:szCs w:val="24"/>
        </w:rPr>
        <w:t xml:space="preserve">y adquirió el status de jubilado el </w:t>
      </w:r>
      <w:r w:rsidR="00B534A1" w:rsidRPr="00002695">
        <w:rPr>
          <w:rFonts w:ascii="Century Gothic" w:eastAsia="Calibri" w:hAnsi="Century Gothic" w:cs="Calibri"/>
          <w:color w:val="0D0D0D" w:themeColor="text1" w:themeTint="F2"/>
          <w:sz w:val="24"/>
          <w:szCs w:val="24"/>
        </w:rPr>
        <w:t>27 de mayo de 2016</w:t>
      </w:r>
      <w:r w:rsidR="000D13C3" w:rsidRPr="00002695">
        <w:rPr>
          <w:rFonts w:ascii="Century Gothic" w:eastAsia="Calibri" w:hAnsi="Century Gothic" w:cs="Calibri"/>
          <w:color w:val="0D0D0D" w:themeColor="text1" w:themeTint="F2"/>
          <w:sz w:val="24"/>
          <w:szCs w:val="24"/>
        </w:rPr>
        <w:t xml:space="preserve">; así mismo, que </w:t>
      </w:r>
      <w:r w:rsidR="00FB49EC" w:rsidRPr="00002695">
        <w:rPr>
          <w:rFonts w:ascii="Century Gothic" w:eastAsia="Calibri" w:hAnsi="Century Gothic" w:cs="Calibri"/>
          <w:color w:val="0D0D0D" w:themeColor="text1" w:themeTint="F2"/>
          <w:sz w:val="24"/>
          <w:szCs w:val="24"/>
        </w:rPr>
        <w:t xml:space="preserve"> se encontraba afiliada al Fondo de Prestaciones Sociales del Magisterio,</w:t>
      </w:r>
      <w:r w:rsidR="00FB49EC" w:rsidRPr="00002695">
        <w:rPr>
          <w:rFonts w:ascii="Century Gothic" w:hAnsi="Century Gothic"/>
          <w:color w:val="0D0D0D" w:themeColor="text1" w:themeTint="F2"/>
          <w:sz w:val="24"/>
          <w:szCs w:val="24"/>
        </w:rPr>
        <w:t xml:space="preserve"> </w:t>
      </w:r>
      <w:r w:rsidR="00FB49EC" w:rsidRPr="00002695">
        <w:rPr>
          <w:rFonts w:ascii="Century Gothic" w:eastAsia="Calibri" w:hAnsi="Century Gothic" w:cs="Calibri"/>
          <w:color w:val="0D0D0D" w:themeColor="text1" w:themeTint="F2"/>
          <w:sz w:val="24"/>
          <w:szCs w:val="24"/>
        </w:rPr>
        <w:t>dado su calidad de docente y acorde con lo dispuesto por la Ley 91 de 1989, circunstancia que la excluye de la aplicación del sistema general de pensiones contenida en la Ley 100 de 1993 y las normas que posteriormente la modificaron o reglamentaron, por lo que su derecho pensional está reglado por las normas anteriores, aplicables a los empleados públicos, conforme al marco normativo antes analizado.</w:t>
      </w:r>
    </w:p>
    <w:p w14:paraId="7078E8A2" w14:textId="77777777" w:rsidR="00FE52EF" w:rsidRDefault="00FE52EF" w:rsidP="00FE52EF">
      <w:pPr>
        <w:spacing w:after="0" w:line="300" w:lineRule="auto"/>
        <w:ind w:left="-142"/>
        <w:jc w:val="both"/>
        <w:rPr>
          <w:rFonts w:ascii="Century Gothic" w:hAnsi="Century Gothic" w:cs="Century Gothic"/>
          <w:color w:val="0D0D0D" w:themeColor="text1" w:themeTint="F2"/>
          <w:sz w:val="24"/>
          <w:szCs w:val="24"/>
        </w:rPr>
      </w:pPr>
    </w:p>
    <w:p w14:paraId="01E5DF25" w14:textId="77777777" w:rsidR="00FE52EF" w:rsidRDefault="00FB49EC" w:rsidP="00FE52EF">
      <w:pPr>
        <w:spacing w:after="0" w:line="300" w:lineRule="auto"/>
        <w:ind w:left="-142"/>
        <w:jc w:val="both"/>
        <w:rPr>
          <w:rFonts w:ascii="Century Gothic" w:hAnsi="Century Gothic" w:cs="Century Gothic"/>
          <w:color w:val="0D0D0D" w:themeColor="text1" w:themeTint="F2"/>
          <w:sz w:val="24"/>
          <w:szCs w:val="24"/>
        </w:rPr>
      </w:pPr>
      <w:r w:rsidRPr="00002695">
        <w:rPr>
          <w:rFonts w:ascii="Century Gothic" w:hAnsi="Century Gothic"/>
          <w:bCs/>
          <w:color w:val="0D0D0D" w:themeColor="text1" w:themeTint="F2"/>
          <w:sz w:val="24"/>
          <w:szCs w:val="24"/>
        </w:rPr>
        <w:t>Acorde con el contenido de la Ley 91 de 1989, las prestaciones económicas y sociales de los docentes nacional</w:t>
      </w:r>
      <w:r w:rsidR="000D13C3" w:rsidRPr="00002695">
        <w:rPr>
          <w:rFonts w:ascii="Century Gothic" w:hAnsi="Century Gothic"/>
          <w:bCs/>
          <w:color w:val="0D0D0D" w:themeColor="text1" w:themeTint="F2"/>
          <w:sz w:val="24"/>
          <w:szCs w:val="24"/>
        </w:rPr>
        <w:t>izados</w:t>
      </w:r>
      <w:r w:rsidRPr="00002695">
        <w:rPr>
          <w:rFonts w:ascii="Century Gothic" w:hAnsi="Century Gothic"/>
          <w:bCs/>
          <w:color w:val="0D0D0D" w:themeColor="text1" w:themeTint="F2"/>
          <w:sz w:val="24"/>
          <w:szCs w:val="24"/>
        </w:rPr>
        <w:t xml:space="preserve"> se rigen por las normas vigentes aplicables a los empleados públicos del orden nacional, por los Decretos 3135 de 1968, 1848 de 1969 y 1045 de 1978 y demás normas expedidas a futuro. </w:t>
      </w:r>
    </w:p>
    <w:p w14:paraId="3C4E6D16" w14:textId="77777777" w:rsidR="00FE52EF" w:rsidRDefault="00FE52EF" w:rsidP="00FE52EF">
      <w:pPr>
        <w:spacing w:after="0" w:line="300" w:lineRule="auto"/>
        <w:ind w:left="-142"/>
        <w:jc w:val="both"/>
        <w:rPr>
          <w:rFonts w:ascii="Century Gothic" w:hAnsi="Century Gothic" w:cs="Century Gothic"/>
          <w:color w:val="0D0D0D" w:themeColor="text1" w:themeTint="F2"/>
          <w:sz w:val="24"/>
          <w:szCs w:val="24"/>
        </w:rPr>
      </w:pPr>
    </w:p>
    <w:p w14:paraId="003D83E8" w14:textId="6AAE5060" w:rsidR="00FB49EC" w:rsidRPr="00FE52EF" w:rsidRDefault="00FB49EC" w:rsidP="00FE52EF">
      <w:pPr>
        <w:spacing w:after="0" w:line="300" w:lineRule="auto"/>
        <w:ind w:left="-142"/>
        <w:jc w:val="both"/>
        <w:rPr>
          <w:rFonts w:ascii="Century Gothic" w:hAnsi="Century Gothic" w:cs="Century Gothic"/>
          <w:color w:val="0D0D0D" w:themeColor="text1" w:themeTint="F2"/>
          <w:sz w:val="24"/>
          <w:szCs w:val="24"/>
        </w:rPr>
      </w:pPr>
      <w:r w:rsidRPr="00002695">
        <w:rPr>
          <w:rFonts w:ascii="Century Gothic" w:hAnsi="Century Gothic"/>
          <w:bCs/>
          <w:color w:val="0D0D0D" w:themeColor="text1" w:themeTint="F2"/>
          <w:sz w:val="24"/>
          <w:szCs w:val="24"/>
        </w:rPr>
        <w:t xml:space="preserve">Sobre tal aspecto es necesario precisar que la norma en cita hace especial referencia a la vigencia de las normas que regulan materias prestacionales, lo cual quiere decir que en lo relacionado con  la pensión de jubilación no son aplicables los artículos 27 del Decreto 3135 de 1968 ni 73 del Decreto 1848 de 1969 ni menos aún el Decreto 1045 de 1978 en cuanto al monto pensional, toda vez que dichos apartes fueron derogados por la Ley 33 de 1985 y por ende modificados por la Ley 62 del mismo año, siendo éstas últimas normas las que orientan la materia para el personal en mención, la cual dispuso respecto de la pensión de jubilación el </w:t>
      </w:r>
      <w:r w:rsidR="00E77DA3" w:rsidRPr="00002695">
        <w:rPr>
          <w:rFonts w:ascii="Century Gothic" w:hAnsi="Century Gothic"/>
          <w:bCs/>
          <w:i/>
          <w:color w:val="0D0D0D" w:themeColor="text1" w:themeTint="F2"/>
          <w:sz w:val="24"/>
          <w:szCs w:val="24"/>
        </w:rPr>
        <w:t>"equivalente al 75% del salari</w:t>
      </w:r>
      <w:r w:rsidRPr="00002695">
        <w:rPr>
          <w:rFonts w:ascii="Century Gothic" w:hAnsi="Century Gothic"/>
          <w:bCs/>
          <w:i/>
          <w:color w:val="0D0D0D" w:themeColor="text1" w:themeTint="F2"/>
          <w:sz w:val="24"/>
          <w:szCs w:val="24"/>
        </w:rPr>
        <w:t>o promedio que sirvió de base para los aportes durante el último año de servicio"</w:t>
      </w:r>
      <w:r w:rsidRPr="00002695">
        <w:rPr>
          <w:rFonts w:ascii="Century Gothic" w:hAnsi="Century Gothic"/>
          <w:bCs/>
          <w:color w:val="0D0D0D" w:themeColor="text1" w:themeTint="F2"/>
          <w:sz w:val="24"/>
          <w:szCs w:val="24"/>
        </w:rPr>
        <w:t>, para aquellos empleados oficiales que hayan cumplido 55 años de edad y 20 años de servicios continuos o discontinuos.</w:t>
      </w:r>
    </w:p>
    <w:p w14:paraId="52FA114E" w14:textId="77777777" w:rsidR="00FB49EC" w:rsidRPr="00002695" w:rsidRDefault="00FB49EC" w:rsidP="00356DB7">
      <w:pPr>
        <w:spacing w:after="0" w:line="300" w:lineRule="auto"/>
        <w:jc w:val="both"/>
        <w:rPr>
          <w:rFonts w:ascii="Century Gothic" w:eastAsia="Calibri" w:hAnsi="Century Gothic" w:cs="Calibri"/>
          <w:color w:val="0D0D0D" w:themeColor="text1" w:themeTint="F2"/>
          <w:sz w:val="24"/>
          <w:szCs w:val="24"/>
        </w:rPr>
      </w:pPr>
    </w:p>
    <w:p w14:paraId="5E76B5C0" w14:textId="64DF2F9D" w:rsidR="00FB49EC" w:rsidRPr="00002695" w:rsidRDefault="00FB49EC" w:rsidP="00356DB7">
      <w:pPr>
        <w:spacing w:after="0" w:line="300" w:lineRule="auto"/>
        <w:jc w:val="both"/>
        <w:rPr>
          <w:rFonts w:ascii="Century Gothic" w:eastAsia="Times New Roman" w:hAnsi="Century Gothic" w:cs="Courier New"/>
          <w:color w:val="0D0D0D" w:themeColor="text1" w:themeTint="F2"/>
          <w:sz w:val="24"/>
          <w:szCs w:val="24"/>
          <w:lang w:eastAsia="es-ES"/>
        </w:rPr>
      </w:pPr>
      <w:r w:rsidRPr="00002695">
        <w:rPr>
          <w:rFonts w:ascii="Century Gothic" w:eastAsia="Times New Roman" w:hAnsi="Century Gothic" w:cs="Courier New"/>
          <w:color w:val="0D0D0D" w:themeColor="text1" w:themeTint="F2"/>
          <w:sz w:val="24"/>
          <w:szCs w:val="24"/>
          <w:lang w:eastAsia="es-ES"/>
        </w:rPr>
        <w:t xml:space="preserve">Por lo anterior, se </w:t>
      </w:r>
      <w:r w:rsidR="00FE52EF">
        <w:rPr>
          <w:rFonts w:ascii="Century Gothic" w:eastAsia="Times New Roman" w:hAnsi="Century Gothic" w:cs="Courier New"/>
          <w:color w:val="0D0D0D" w:themeColor="text1" w:themeTint="F2"/>
          <w:sz w:val="24"/>
          <w:szCs w:val="24"/>
          <w:lang w:eastAsia="es-ES"/>
        </w:rPr>
        <w:t xml:space="preserve">concluye </w:t>
      </w:r>
      <w:r w:rsidRPr="00002695">
        <w:rPr>
          <w:rFonts w:ascii="Century Gothic" w:eastAsia="Times New Roman" w:hAnsi="Century Gothic" w:cs="Courier New"/>
          <w:color w:val="0D0D0D" w:themeColor="text1" w:themeTint="F2"/>
          <w:sz w:val="24"/>
          <w:szCs w:val="24"/>
          <w:lang w:eastAsia="es-ES"/>
        </w:rPr>
        <w:t>que el régimen pensional aplicable a la accionante es el contenido en la Ley 33 de 1985, habida cuenta que no se encuentra cobijada por la transición consagrada en tal normatividad.</w:t>
      </w:r>
    </w:p>
    <w:p w14:paraId="0B277BDE" w14:textId="77777777" w:rsidR="00FB49EC" w:rsidRPr="00002695" w:rsidRDefault="00FB49EC" w:rsidP="00356DB7">
      <w:pPr>
        <w:spacing w:after="0" w:line="300" w:lineRule="auto"/>
        <w:jc w:val="both"/>
        <w:rPr>
          <w:rFonts w:ascii="Century Gothic" w:eastAsia="Calibri" w:hAnsi="Century Gothic" w:cs="Calibri"/>
          <w:color w:val="0D0D0D" w:themeColor="text1" w:themeTint="F2"/>
          <w:sz w:val="24"/>
          <w:szCs w:val="24"/>
        </w:rPr>
      </w:pPr>
    </w:p>
    <w:p w14:paraId="04C7A375" w14:textId="45D897FF" w:rsidR="00FB49EC" w:rsidRPr="00002695" w:rsidRDefault="00FB49EC" w:rsidP="00356DB7">
      <w:pPr>
        <w:pStyle w:val="Style7"/>
        <w:widowControl/>
        <w:spacing w:line="300" w:lineRule="auto"/>
        <w:rPr>
          <w:rStyle w:val="FontStyle55"/>
          <w:color w:val="0D0D0D" w:themeColor="text1" w:themeTint="F2"/>
          <w:sz w:val="24"/>
          <w:szCs w:val="24"/>
          <w:lang w:val="es-ES_tradnl" w:eastAsia="es-ES_tradnl"/>
        </w:rPr>
      </w:pPr>
      <w:r w:rsidRPr="00002695">
        <w:rPr>
          <w:rStyle w:val="FontStyle32"/>
          <w:color w:val="0D0D0D" w:themeColor="text1" w:themeTint="F2"/>
          <w:sz w:val="24"/>
          <w:szCs w:val="24"/>
          <w:lang w:val="es-ES_tradnl" w:eastAsia="es-ES_tradnl"/>
        </w:rPr>
        <w:t>En cuanto a los factores salariales, la mencionada ley (modificado por el artículo 1</w:t>
      </w:r>
      <w:r w:rsidRPr="00002695">
        <w:rPr>
          <w:rStyle w:val="FontStyle32"/>
          <w:color w:val="0D0D0D" w:themeColor="text1" w:themeTint="F2"/>
          <w:spacing w:val="30"/>
          <w:sz w:val="24"/>
          <w:szCs w:val="24"/>
          <w:vertAlign w:val="superscript"/>
          <w:lang w:val="es-ES_tradnl" w:eastAsia="es-ES_tradnl"/>
        </w:rPr>
        <w:t>o</w:t>
      </w:r>
      <w:r w:rsidRPr="00002695">
        <w:rPr>
          <w:rStyle w:val="FontStyle32"/>
          <w:color w:val="0D0D0D" w:themeColor="text1" w:themeTint="F2"/>
          <w:sz w:val="24"/>
          <w:szCs w:val="24"/>
          <w:lang w:val="es-ES_tradnl" w:eastAsia="es-ES_tradnl"/>
        </w:rPr>
        <w:t xml:space="preserve"> de la ley 62 de 1985), dispone que </w:t>
      </w:r>
      <w:r w:rsidRPr="00002695">
        <w:rPr>
          <w:rStyle w:val="FontStyle55"/>
          <w:color w:val="0D0D0D" w:themeColor="text1" w:themeTint="F2"/>
          <w:sz w:val="24"/>
          <w:szCs w:val="24"/>
          <w:lang w:val="es-ES_tradnl" w:eastAsia="es-ES_tradnl"/>
        </w:rPr>
        <w:t xml:space="preserve">"la base de liquidación para los </w:t>
      </w:r>
      <w:r w:rsidRPr="00002695">
        <w:rPr>
          <w:rStyle w:val="FontStyle55"/>
          <w:color w:val="0D0D0D" w:themeColor="text1" w:themeTint="F2"/>
          <w:sz w:val="24"/>
          <w:szCs w:val="24"/>
          <w:lang w:val="es-ES_tradnl" w:eastAsia="es-ES_tradnl"/>
        </w:rPr>
        <w:lastRenderedPageBreak/>
        <w:t xml:space="preserve">aportes proporcionales a la remuneración del empleado oficial, estará constituida por los siguientes factores, cuando se trate de empleados del orden nacional: </w:t>
      </w:r>
      <w:r w:rsidRPr="00002695">
        <w:rPr>
          <w:rStyle w:val="FontStyle56"/>
          <w:color w:val="0D0D0D" w:themeColor="text1" w:themeTint="F2"/>
          <w:sz w:val="24"/>
          <w:szCs w:val="24"/>
          <w:lang w:val="es-ES_tradnl" w:eastAsia="es-ES_tradnl"/>
        </w:rPr>
        <w:t xml:space="preserve">asignación básica, gastos </w:t>
      </w:r>
      <w:r w:rsidRPr="00002695">
        <w:rPr>
          <w:rStyle w:val="FontStyle31"/>
          <w:color w:val="0D0D0D" w:themeColor="text1" w:themeTint="F2"/>
          <w:sz w:val="24"/>
          <w:szCs w:val="24"/>
          <w:lang w:val="es-ES_tradnl" w:eastAsia="es-ES_tradnl"/>
        </w:rPr>
        <w:t xml:space="preserve">de </w:t>
      </w:r>
      <w:r w:rsidRPr="00002695">
        <w:rPr>
          <w:rStyle w:val="FontStyle56"/>
          <w:color w:val="0D0D0D" w:themeColor="text1" w:themeTint="F2"/>
          <w:sz w:val="24"/>
          <w:szCs w:val="24"/>
          <w:lang w:val="es-ES_tradnl" w:eastAsia="es-ES_tradnl"/>
        </w:rPr>
        <w:t xml:space="preserve">representación; primas de antigüedad, técnica, ascensional de capacitación; dominicales y feriados; horas extras; bonificación por servicios prestados; </w:t>
      </w:r>
      <w:r w:rsidRPr="00002695">
        <w:rPr>
          <w:rStyle w:val="FontStyle55"/>
          <w:color w:val="0D0D0D" w:themeColor="text1" w:themeTint="F2"/>
          <w:sz w:val="24"/>
          <w:szCs w:val="24"/>
          <w:lang w:val="es-ES_tradnl" w:eastAsia="es-ES_tradnl"/>
        </w:rPr>
        <w:t xml:space="preserve">y </w:t>
      </w:r>
      <w:r w:rsidRPr="00002695">
        <w:rPr>
          <w:rStyle w:val="FontStyle56"/>
          <w:color w:val="0D0D0D" w:themeColor="text1" w:themeTint="F2"/>
          <w:sz w:val="24"/>
          <w:szCs w:val="24"/>
          <w:lang w:val="es-ES_tradnl" w:eastAsia="es-ES_tradnl"/>
        </w:rPr>
        <w:t xml:space="preserve">trabajo suplementario o realizado en jornada nocturna o en día de descanso obligatorio. </w:t>
      </w:r>
      <w:r w:rsidRPr="00002695">
        <w:rPr>
          <w:rStyle w:val="FontStyle55"/>
          <w:color w:val="0D0D0D" w:themeColor="text1" w:themeTint="F2"/>
          <w:sz w:val="24"/>
          <w:szCs w:val="24"/>
          <w:lang w:val="es-ES_tradnl" w:eastAsia="es-ES_tradnl"/>
        </w:rPr>
        <w:t>En todo caso, las pensiones de los empleados oficiales de cualquier orden, siempre se liquidarán sobre los mismos factores que hayan servido de base para calcular los aportes."</w:t>
      </w:r>
      <w:r w:rsidR="00287455" w:rsidRPr="00002695">
        <w:rPr>
          <w:rStyle w:val="FontStyle55"/>
          <w:color w:val="0D0D0D" w:themeColor="text1" w:themeTint="F2"/>
          <w:sz w:val="24"/>
          <w:szCs w:val="24"/>
          <w:lang w:val="es-ES_tradnl" w:eastAsia="es-ES_tradnl"/>
        </w:rPr>
        <w:t xml:space="preserve"> </w:t>
      </w:r>
      <w:r w:rsidR="001615AE" w:rsidRPr="00002695">
        <w:rPr>
          <w:rStyle w:val="FontStyle55"/>
          <w:color w:val="0D0D0D" w:themeColor="text1" w:themeTint="F2"/>
          <w:sz w:val="24"/>
          <w:szCs w:val="24"/>
          <w:lang w:val="es-ES_tradnl" w:eastAsia="es-ES_tradnl"/>
        </w:rPr>
        <w:t xml:space="preserve">  </w:t>
      </w:r>
      <w:r w:rsidR="00751EBE" w:rsidRPr="00002695">
        <w:rPr>
          <w:rStyle w:val="FontStyle55"/>
          <w:color w:val="0D0D0D" w:themeColor="text1" w:themeTint="F2"/>
          <w:sz w:val="24"/>
          <w:szCs w:val="24"/>
          <w:lang w:val="es-ES_tradnl" w:eastAsia="es-ES_tradnl"/>
        </w:rPr>
        <w:t xml:space="preserve"> </w:t>
      </w:r>
      <w:r w:rsidR="00DD2C6B" w:rsidRPr="00002695">
        <w:rPr>
          <w:rStyle w:val="FontStyle55"/>
          <w:color w:val="0D0D0D" w:themeColor="text1" w:themeTint="F2"/>
          <w:sz w:val="24"/>
          <w:szCs w:val="24"/>
          <w:lang w:val="es-ES_tradnl" w:eastAsia="es-ES_tradnl"/>
        </w:rPr>
        <w:t xml:space="preserve">  </w:t>
      </w:r>
    </w:p>
    <w:p w14:paraId="79D66EA1" w14:textId="77777777" w:rsidR="00FB49EC" w:rsidRPr="00002695" w:rsidRDefault="00FB49EC" w:rsidP="00356DB7">
      <w:pPr>
        <w:spacing w:after="0" w:line="300" w:lineRule="auto"/>
        <w:jc w:val="both"/>
        <w:rPr>
          <w:rStyle w:val="FontStyle50"/>
          <w:b w:val="0"/>
          <w:i w:val="0"/>
          <w:color w:val="0D0D0D" w:themeColor="text1" w:themeTint="F2"/>
          <w:sz w:val="24"/>
          <w:szCs w:val="24"/>
          <w:lang w:val="es-ES_tradnl" w:eastAsia="es-ES_tradnl"/>
        </w:rPr>
      </w:pPr>
    </w:p>
    <w:p w14:paraId="325F205C" w14:textId="0EE7B149" w:rsidR="00FB49EC" w:rsidRPr="00002695" w:rsidRDefault="00900A2C" w:rsidP="00356DB7">
      <w:pPr>
        <w:autoSpaceDE w:val="0"/>
        <w:autoSpaceDN w:val="0"/>
        <w:adjustRightInd w:val="0"/>
        <w:spacing w:after="0" w:line="300" w:lineRule="auto"/>
        <w:jc w:val="both"/>
        <w:rPr>
          <w:rFonts w:ascii="Century Gothic" w:eastAsiaTheme="minorEastAsia" w:hAnsi="Century Gothic" w:cs="Century Gothic"/>
          <w:color w:val="0D0D0D" w:themeColor="text1" w:themeTint="F2"/>
          <w:sz w:val="24"/>
          <w:szCs w:val="24"/>
          <w:lang w:val="es-ES_tradnl" w:eastAsia="es-ES_tradnl"/>
        </w:rPr>
      </w:pPr>
      <w:r w:rsidRPr="00002695">
        <w:rPr>
          <w:rFonts w:ascii="Century Gothic" w:eastAsiaTheme="minorEastAsia" w:hAnsi="Century Gothic" w:cs="Century Gothic"/>
          <w:color w:val="0D0D0D" w:themeColor="text1" w:themeTint="F2"/>
          <w:sz w:val="24"/>
          <w:szCs w:val="24"/>
          <w:lang w:val="es-ES_tradnl" w:eastAsia="es-ES_tradnl"/>
        </w:rPr>
        <w:t xml:space="preserve">Advierte la Sala, que si bien manifiesta la actora que </w:t>
      </w:r>
      <w:r w:rsidR="00FB49EC" w:rsidRPr="00002695">
        <w:rPr>
          <w:rFonts w:ascii="Century Gothic" w:eastAsiaTheme="minorEastAsia" w:hAnsi="Century Gothic" w:cs="Century Gothic"/>
          <w:color w:val="0D0D0D" w:themeColor="text1" w:themeTint="F2"/>
          <w:sz w:val="24"/>
          <w:szCs w:val="24"/>
          <w:lang w:val="es-ES_tradnl" w:eastAsia="es-ES_tradnl"/>
        </w:rPr>
        <w:t xml:space="preserve">durante el año anterior al </w:t>
      </w:r>
      <w:r w:rsidR="00865184" w:rsidRPr="00002695">
        <w:rPr>
          <w:rFonts w:ascii="Century Gothic" w:eastAsiaTheme="minorEastAsia" w:hAnsi="Century Gothic" w:cs="Century Gothic"/>
          <w:b/>
          <w:color w:val="0D0D0D" w:themeColor="text1" w:themeTint="F2"/>
          <w:sz w:val="24"/>
          <w:szCs w:val="24"/>
          <w:lang w:val="es-ES_tradnl" w:eastAsia="es-ES_tradnl"/>
        </w:rPr>
        <w:t>27 de mayo de 2016</w:t>
      </w:r>
      <w:r w:rsidR="00FB49EC" w:rsidRPr="00002695">
        <w:rPr>
          <w:rFonts w:ascii="Century Gothic" w:eastAsiaTheme="minorEastAsia" w:hAnsi="Century Gothic" w:cs="Century Gothic"/>
          <w:color w:val="0D0D0D" w:themeColor="text1" w:themeTint="F2"/>
          <w:sz w:val="24"/>
          <w:szCs w:val="24"/>
          <w:lang w:val="es-ES_tradnl" w:eastAsia="es-ES_tradnl"/>
        </w:rPr>
        <w:t>, fecha en la que adquirió el estatus de pensionada, devengó los siguientes factores salariales:</w:t>
      </w:r>
      <w:r w:rsidR="00865184" w:rsidRPr="00002695">
        <w:rPr>
          <w:rFonts w:ascii="Century Gothic" w:eastAsiaTheme="minorEastAsia" w:hAnsi="Century Gothic" w:cs="Century Gothic"/>
          <w:color w:val="0D0D0D" w:themeColor="text1" w:themeTint="F2"/>
          <w:sz w:val="24"/>
          <w:szCs w:val="24"/>
          <w:lang w:val="es-ES_tradnl" w:eastAsia="es-ES_tradnl"/>
        </w:rPr>
        <w:t xml:space="preserve"> prima de navidad, asignación adicional coordinador 20%, prima de servicios, los factores en mención no se encuentran enlistados </w:t>
      </w:r>
      <w:r w:rsidR="00FB49EC" w:rsidRPr="00002695">
        <w:rPr>
          <w:rFonts w:ascii="Century Gothic" w:eastAsiaTheme="minorEastAsia" w:hAnsi="Century Gothic" w:cs="Century Gothic"/>
          <w:color w:val="0D0D0D" w:themeColor="text1" w:themeTint="F2"/>
          <w:sz w:val="24"/>
          <w:szCs w:val="24"/>
          <w:lang w:val="es-ES_tradnl" w:eastAsia="es-ES_tradnl"/>
        </w:rPr>
        <w:t>en la Ley 33 de 1985, y la Ley 62 de</w:t>
      </w:r>
      <w:r w:rsidR="000F6271">
        <w:rPr>
          <w:rFonts w:ascii="Century Gothic" w:eastAsiaTheme="minorEastAsia" w:hAnsi="Century Gothic" w:cs="Century Gothic"/>
          <w:color w:val="0D0D0D" w:themeColor="text1" w:themeTint="F2"/>
          <w:sz w:val="24"/>
          <w:szCs w:val="24"/>
          <w:lang w:val="es-ES_tradnl" w:eastAsia="es-ES_tradnl"/>
        </w:rPr>
        <w:t xml:space="preserve"> 1985. Siendo así las cosas, </w:t>
      </w:r>
      <w:r w:rsidR="00FB49EC" w:rsidRPr="00002695">
        <w:rPr>
          <w:rFonts w:ascii="Century Gothic" w:eastAsia="Times New Roman" w:hAnsi="Century Gothic" w:cs="Times New Roman"/>
          <w:bCs/>
          <w:color w:val="0D0D0D" w:themeColor="text1" w:themeTint="F2"/>
          <w:sz w:val="24"/>
          <w:szCs w:val="24"/>
          <w:lang w:eastAsia="es-ES"/>
        </w:rPr>
        <w:t>se establece que el quantum pensional fue correctamente liquidado y que debe mantenerse la legalidad del acto acusado.</w:t>
      </w:r>
    </w:p>
    <w:p w14:paraId="0669254B" w14:textId="77777777" w:rsidR="00FB49EC" w:rsidRPr="00002695" w:rsidRDefault="00FB49EC" w:rsidP="00356DB7">
      <w:pPr>
        <w:spacing w:after="0" w:line="300" w:lineRule="auto"/>
        <w:jc w:val="both"/>
        <w:rPr>
          <w:rFonts w:ascii="Century Gothic" w:eastAsia="Times New Roman" w:hAnsi="Century Gothic" w:cs="Arial"/>
          <w:color w:val="0D0D0D" w:themeColor="text1" w:themeTint="F2"/>
          <w:sz w:val="24"/>
          <w:szCs w:val="24"/>
          <w:lang w:eastAsia="es-ES"/>
        </w:rPr>
      </w:pPr>
    </w:p>
    <w:p w14:paraId="0AC866BF" w14:textId="3841E57C" w:rsidR="00FB49EC" w:rsidRPr="00002695" w:rsidRDefault="00FE52EF" w:rsidP="00356DB7">
      <w:pPr>
        <w:spacing w:after="0" w:line="300" w:lineRule="auto"/>
        <w:jc w:val="both"/>
        <w:rPr>
          <w:rFonts w:ascii="Century Gothic" w:hAnsi="Century Gothic" w:cs="Century Gothic"/>
          <w:bCs/>
          <w:color w:val="0D0D0D" w:themeColor="text1" w:themeTint="F2"/>
          <w:sz w:val="24"/>
          <w:szCs w:val="24"/>
        </w:rPr>
      </w:pPr>
      <w:r>
        <w:rPr>
          <w:rFonts w:ascii="Century Gothic" w:eastAsia="Times New Roman" w:hAnsi="Century Gothic" w:cs="Arial"/>
          <w:color w:val="0D0D0D" w:themeColor="text1" w:themeTint="F2"/>
          <w:sz w:val="24"/>
          <w:szCs w:val="24"/>
          <w:lang w:eastAsia="es-ES"/>
        </w:rPr>
        <w:t>Por las anteriores consideraciones</w:t>
      </w:r>
      <w:r w:rsidR="00900A2C" w:rsidRPr="00002695">
        <w:rPr>
          <w:rFonts w:ascii="Century Gothic" w:eastAsia="Times New Roman" w:hAnsi="Century Gothic" w:cs="Arial"/>
          <w:color w:val="0D0D0D" w:themeColor="text1" w:themeTint="F2"/>
          <w:sz w:val="24"/>
          <w:szCs w:val="24"/>
          <w:lang w:eastAsia="es-ES"/>
        </w:rPr>
        <w:t xml:space="preserve">, se </w:t>
      </w:r>
      <w:r>
        <w:rPr>
          <w:rFonts w:ascii="Century Gothic" w:eastAsia="Times New Roman" w:hAnsi="Century Gothic" w:cs="Arial"/>
          <w:color w:val="0D0D0D" w:themeColor="text1" w:themeTint="F2"/>
          <w:sz w:val="24"/>
          <w:szCs w:val="24"/>
          <w:lang w:eastAsia="es-ES"/>
        </w:rPr>
        <w:t xml:space="preserve"> confirmará la sente</w:t>
      </w:r>
      <w:r w:rsidR="00C36544">
        <w:rPr>
          <w:rFonts w:ascii="Century Gothic" w:eastAsia="Times New Roman" w:hAnsi="Century Gothic" w:cs="Arial"/>
          <w:color w:val="0D0D0D" w:themeColor="text1" w:themeTint="F2"/>
          <w:sz w:val="24"/>
          <w:szCs w:val="24"/>
          <w:lang w:eastAsia="es-ES"/>
        </w:rPr>
        <w:t>n</w:t>
      </w:r>
      <w:r>
        <w:rPr>
          <w:rFonts w:ascii="Century Gothic" w:eastAsia="Times New Roman" w:hAnsi="Century Gothic" w:cs="Arial"/>
          <w:color w:val="0D0D0D" w:themeColor="text1" w:themeTint="F2"/>
          <w:sz w:val="24"/>
          <w:szCs w:val="24"/>
          <w:lang w:eastAsia="es-ES"/>
        </w:rPr>
        <w:t>cia</w:t>
      </w:r>
      <w:r w:rsidR="00C36544">
        <w:rPr>
          <w:rFonts w:ascii="Century Gothic" w:eastAsia="Times New Roman" w:hAnsi="Century Gothic" w:cs="Arial"/>
          <w:color w:val="0D0D0D" w:themeColor="text1" w:themeTint="F2"/>
          <w:sz w:val="24"/>
          <w:szCs w:val="24"/>
          <w:lang w:eastAsia="es-ES"/>
        </w:rPr>
        <w:t xml:space="preserve"> apelada, mediante la cual se </w:t>
      </w:r>
      <w:r>
        <w:rPr>
          <w:rFonts w:ascii="Century Gothic" w:eastAsia="Times New Roman" w:hAnsi="Century Gothic" w:cs="Arial"/>
          <w:color w:val="0D0D0D" w:themeColor="text1" w:themeTint="F2"/>
          <w:sz w:val="24"/>
          <w:szCs w:val="24"/>
          <w:lang w:eastAsia="es-ES"/>
        </w:rPr>
        <w:t xml:space="preserve"> </w:t>
      </w:r>
      <w:r w:rsidR="00900A2C" w:rsidRPr="00002695">
        <w:rPr>
          <w:rFonts w:ascii="Century Gothic" w:eastAsia="Times New Roman" w:hAnsi="Century Gothic" w:cs="Arial"/>
          <w:color w:val="0D0D0D" w:themeColor="text1" w:themeTint="F2"/>
          <w:sz w:val="24"/>
          <w:szCs w:val="24"/>
          <w:lang w:eastAsia="es-ES"/>
        </w:rPr>
        <w:t>negar</w:t>
      </w:r>
      <w:r w:rsidR="00C36544">
        <w:rPr>
          <w:rFonts w:ascii="Century Gothic" w:eastAsia="Times New Roman" w:hAnsi="Century Gothic" w:cs="Arial"/>
          <w:color w:val="0D0D0D" w:themeColor="text1" w:themeTint="F2"/>
          <w:sz w:val="24"/>
          <w:szCs w:val="24"/>
          <w:lang w:eastAsia="es-ES"/>
        </w:rPr>
        <w:t>o</w:t>
      </w:r>
      <w:r w:rsidR="00FB49EC" w:rsidRPr="00002695">
        <w:rPr>
          <w:rFonts w:ascii="Century Gothic" w:eastAsia="Times New Roman" w:hAnsi="Century Gothic" w:cs="Arial"/>
          <w:color w:val="0D0D0D" w:themeColor="text1" w:themeTint="F2"/>
          <w:sz w:val="24"/>
          <w:szCs w:val="24"/>
          <w:lang w:eastAsia="es-ES"/>
        </w:rPr>
        <w:t>n las pretensiones de la demanda.</w:t>
      </w:r>
    </w:p>
    <w:p w14:paraId="451A5F37" w14:textId="77777777" w:rsidR="00FB49EC" w:rsidRPr="00C36544" w:rsidRDefault="00FB49EC" w:rsidP="00356DB7">
      <w:pPr>
        <w:spacing w:after="0" w:line="300" w:lineRule="auto"/>
        <w:jc w:val="both"/>
        <w:rPr>
          <w:rFonts w:ascii="Century Gothic" w:hAnsi="Century Gothic" w:cs="Arial"/>
          <w:b/>
          <w:bCs/>
          <w:color w:val="0D0D0D" w:themeColor="text1" w:themeTint="F2"/>
          <w:sz w:val="24"/>
          <w:szCs w:val="24"/>
        </w:rPr>
      </w:pPr>
    </w:p>
    <w:p w14:paraId="6097BB56" w14:textId="77777777" w:rsidR="00A351F3" w:rsidRPr="00002695" w:rsidRDefault="00A351F3" w:rsidP="00356DB7">
      <w:pPr>
        <w:spacing w:after="0" w:line="300" w:lineRule="auto"/>
        <w:jc w:val="both"/>
        <w:rPr>
          <w:rFonts w:ascii="Century Gothic" w:hAnsi="Century Gothic" w:cs="Arial"/>
          <w:b/>
          <w:bCs/>
          <w:color w:val="0D0D0D" w:themeColor="text1" w:themeTint="F2"/>
          <w:sz w:val="24"/>
          <w:szCs w:val="24"/>
          <w:lang w:val="es-ES_tradnl"/>
        </w:rPr>
      </w:pPr>
      <w:r w:rsidRPr="00002695">
        <w:rPr>
          <w:rFonts w:ascii="Century Gothic" w:hAnsi="Century Gothic" w:cs="Arial"/>
          <w:b/>
          <w:bCs/>
          <w:color w:val="0D0D0D" w:themeColor="text1" w:themeTint="F2"/>
          <w:sz w:val="24"/>
          <w:szCs w:val="24"/>
          <w:lang w:val="es-ES_tradnl"/>
        </w:rPr>
        <w:t>6. Condena en Costas</w:t>
      </w:r>
    </w:p>
    <w:p w14:paraId="37FAC927" w14:textId="77777777" w:rsidR="00A351F3" w:rsidRPr="00002695" w:rsidRDefault="00A351F3" w:rsidP="00356DB7">
      <w:pPr>
        <w:spacing w:after="0" w:line="300" w:lineRule="auto"/>
        <w:jc w:val="both"/>
        <w:rPr>
          <w:rFonts w:ascii="Century Gothic" w:hAnsi="Century Gothic" w:cs="Arial"/>
          <w:bCs/>
          <w:color w:val="0D0D0D" w:themeColor="text1" w:themeTint="F2"/>
          <w:sz w:val="24"/>
          <w:szCs w:val="24"/>
          <w:lang w:val="es-ES_tradnl"/>
        </w:rPr>
      </w:pPr>
    </w:p>
    <w:p w14:paraId="02AF33E4" w14:textId="77777777" w:rsidR="009115B1" w:rsidRPr="00002695" w:rsidRDefault="009115B1" w:rsidP="00356DB7">
      <w:pPr>
        <w:shd w:val="clear" w:color="auto" w:fill="FFFFFF"/>
        <w:spacing w:after="0" w:line="300" w:lineRule="auto"/>
        <w:jc w:val="both"/>
        <w:rPr>
          <w:rFonts w:ascii="Century Gothic" w:eastAsia="Times New Roman" w:hAnsi="Century Gothic"/>
          <w:color w:val="0D0D0D" w:themeColor="text1" w:themeTint="F2"/>
          <w:sz w:val="24"/>
          <w:szCs w:val="24"/>
          <w:lang w:val="es-CO" w:eastAsia="es-CO"/>
        </w:rPr>
      </w:pPr>
      <w:r w:rsidRPr="00002695">
        <w:rPr>
          <w:rFonts w:ascii="Century Gothic" w:eastAsia="Times New Roman" w:hAnsi="Century Gothic"/>
          <w:color w:val="0D0D0D" w:themeColor="text1" w:themeTint="F2"/>
          <w:sz w:val="24"/>
          <w:szCs w:val="24"/>
          <w:lang w:val="es-CO" w:eastAsia="es-CO"/>
        </w:rPr>
        <w:t>En el presente caso procede la aplicación del artículo 188 del CPACA, el cual remite al artículo 365 del Código General del Proceso, de acuerdo con el cual se condenará en costas a la parte vencida en el proceso, o a quien se le resuelva desfavorablemente el recurso de apelación.</w:t>
      </w:r>
    </w:p>
    <w:p w14:paraId="166655CC" w14:textId="77777777" w:rsidR="009115B1" w:rsidRPr="00002695" w:rsidRDefault="009115B1" w:rsidP="00356DB7">
      <w:pPr>
        <w:shd w:val="clear" w:color="auto" w:fill="FFFFFF"/>
        <w:spacing w:after="0" w:line="300" w:lineRule="auto"/>
        <w:jc w:val="both"/>
        <w:rPr>
          <w:rFonts w:ascii="Century Gothic" w:eastAsia="Times New Roman" w:hAnsi="Century Gothic"/>
          <w:color w:val="0D0D0D" w:themeColor="text1" w:themeTint="F2"/>
          <w:sz w:val="24"/>
          <w:szCs w:val="24"/>
          <w:lang w:val="es-CO" w:eastAsia="es-CO"/>
        </w:rPr>
      </w:pPr>
    </w:p>
    <w:p w14:paraId="6EF62DC7" w14:textId="77777777" w:rsidR="009115B1" w:rsidRPr="00002695" w:rsidRDefault="009115B1" w:rsidP="00356DB7">
      <w:pPr>
        <w:shd w:val="clear" w:color="auto" w:fill="FFFFFF"/>
        <w:spacing w:after="0" w:line="300" w:lineRule="auto"/>
        <w:jc w:val="both"/>
        <w:rPr>
          <w:rFonts w:ascii="Century Gothic" w:eastAsia="Times New Roman" w:hAnsi="Century Gothic"/>
          <w:color w:val="0D0D0D" w:themeColor="text1" w:themeTint="F2"/>
          <w:sz w:val="24"/>
          <w:szCs w:val="24"/>
          <w:lang w:val="es-CO" w:eastAsia="es-CO"/>
        </w:rPr>
      </w:pPr>
      <w:r w:rsidRPr="00002695">
        <w:rPr>
          <w:rFonts w:ascii="Century Gothic" w:eastAsia="Times New Roman" w:hAnsi="Century Gothic"/>
          <w:color w:val="0D0D0D" w:themeColor="text1" w:themeTint="F2"/>
          <w:sz w:val="24"/>
          <w:szCs w:val="24"/>
          <w:lang w:val="es-CO" w:eastAsia="es-CO"/>
        </w:rPr>
        <w:t xml:space="preserve">No obstante que en el presente caso la parte demandante resulta vencida en esta instancia, la Sala no le impondrá condena en costas, teniendo en cuenta que para la fecha en que presentó su demanda, la tesis que sostenía este Tribunal con apoyo en la jurisprudencia del Consejo de Estado, respaldaba las pretensiones; de modo que el demandante actuó bajo el convencimiento de que sus pretensiones podrían ser prósperas. </w:t>
      </w:r>
    </w:p>
    <w:p w14:paraId="754724C0" w14:textId="77777777" w:rsidR="009115B1" w:rsidRPr="00002695" w:rsidRDefault="009115B1" w:rsidP="00356DB7">
      <w:pPr>
        <w:shd w:val="clear" w:color="auto" w:fill="FFFFFF"/>
        <w:spacing w:after="0" w:line="300" w:lineRule="auto"/>
        <w:jc w:val="both"/>
        <w:rPr>
          <w:rFonts w:ascii="Century Gothic" w:eastAsia="Times New Roman" w:hAnsi="Century Gothic"/>
          <w:color w:val="0D0D0D" w:themeColor="text1" w:themeTint="F2"/>
          <w:sz w:val="24"/>
          <w:szCs w:val="24"/>
          <w:lang w:val="es-CO" w:eastAsia="es-CO"/>
        </w:rPr>
      </w:pPr>
    </w:p>
    <w:p w14:paraId="4559C486" w14:textId="77777777" w:rsidR="009115B1" w:rsidRPr="00002695" w:rsidRDefault="009115B1" w:rsidP="00356DB7">
      <w:pPr>
        <w:shd w:val="clear" w:color="auto" w:fill="FFFFFF"/>
        <w:spacing w:after="0" w:line="300" w:lineRule="auto"/>
        <w:jc w:val="both"/>
        <w:rPr>
          <w:rFonts w:ascii="Century Gothic" w:eastAsia="Times New Roman" w:hAnsi="Century Gothic"/>
          <w:color w:val="0D0D0D" w:themeColor="text1" w:themeTint="F2"/>
          <w:sz w:val="24"/>
          <w:szCs w:val="24"/>
          <w:lang w:val="es-CO" w:eastAsia="es-CO"/>
        </w:rPr>
      </w:pPr>
      <w:r w:rsidRPr="00002695">
        <w:rPr>
          <w:rFonts w:ascii="Century Gothic" w:eastAsia="Times New Roman" w:hAnsi="Century Gothic"/>
          <w:color w:val="0D0D0D" w:themeColor="text1" w:themeTint="F2"/>
          <w:sz w:val="24"/>
          <w:szCs w:val="24"/>
          <w:lang w:val="es-CO" w:eastAsia="es-CO"/>
        </w:rPr>
        <w:lastRenderedPageBreak/>
        <w:t>Dado que la falta de prosperidad de la demanda se produjo con ocasión del cambio de criterio de esta Corporación, resulta inequitativo condenar al demandante en costas.</w:t>
      </w:r>
    </w:p>
    <w:p w14:paraId="18DAEBF5" w14:textId="4DAE6498" w:rsidR="007D6F58" w:rsidRPr="00002695" w:rsidRDefault="009115B1" w:rsidP="00356DB7">
      <w:pPr>
        <w:tabs>
          <w:tab w:val="left" w:pos="3261"/>
          <w:tab w:val="left" w:pos="4111"/>
        </w:tabs>
        <w:suppressAutoHyphens/>
        <w:autoSpaceDE w:val="0"/>
        <w:autoSpaceDN w:val="0"/>
        <w:adjustRightInd w:val="0"/>
        <w:spacing w:after="0" w:line="300" w:lineRule="auto"/>
        <w:jc w:val="both"/>
        <w:rPr>
          <w:rFonts w:ascii="Century Gothic" w:hAnsi="Century Gothic" w:cs="Arial"/>
          <w:color w:val="0D0D0D" w:themeColor="text1" w:themeTint="F2"/>
          <w:sz w:val="24"/>
          <w:szCs w:val="24"/>
          <w:lang w:val="es-ES_tradnl"/>
        </w:rPr>
      </w:pPr>
      <w:r w:rsidRPr="00002695">
        <w:rPr>
          <w:rFonts w:ascii="Century Gothic" w:hAnsi="Century Gothic" w:cs="Arial"/>
          <w:color w:val="0D0D0D" w:themeColor="text1" w:themeTint="F2"/>
          <w:sz w:val="24"/>
          <w:szCs w:val="24"/>
          <w:lang w:val="es-ES_tradnl"/>
        </w:rPr>
        <w:t xml:space="preserve"> </w:t>
      </w:r>
    </w:p>
    <w:p w14:paraId="60AB8B0A" w14:textId="6907BE56" w:rsidR="00CD24A8" w:rsidRDefault="007D6F58" w:rsidP="00356DB7">
      <w:pPr>
        <w:suppressAutoHyphens/>
        <w:overflowPunct w:val="0"/>
        <w:autoSpaceDE w:val="0"/>
        <w:autoSpaceDN w:val="0"/>
        <w:adjustRightInd w:val="0"/>
        <w:spacing w:after="0" w:line="300" w:lineRule="auto"/>
        <w:jc w:val="both"/>
        <w:textAlignment w:val="baseline"/>
        <w:rPr>
          <w:rFonts w:ascii="Century Gothic" w:hAnsi="Century Gothic"/>
          <w:bCs/>
          <w:color w:val="0D0D0D" w:themeColor="text1" w:themeTint="F2"/>
          <w:sz w:val="24"/>
          <w:szCs w:val="24"/>
          <w:lang w:val="es-CO"/>
        </w:rPr>
      </w:pPr>
      <w:r w:rsidRPr="00002695">
        <w:rPr>
          <w:rFonts w:ascii="Century Gothic" w:hAnsi="Century Gothic"/>
          <w:bCs/>
          <w:color w:val="0D0D0D" w:themeColor="text1" w:themeTint="F2"/>
          <w:sz w:val="24"/>
          <w:szCs w:val="24"/>
          <w:lang w:val="es-CO"/>
        </w:rPr>
        <w:t xml:space="preserve">En mérito de lo expuesto, el </w:t>
      </w:r>
      <w:r w:rsidRPr="00002695">
        <w:rPr>
          <w:rFonts w:ascii="Century Gothic" w:hAnsi="Century Gothic"/>
          <w:b/>
          <w:bCs/>
          <w:color w:val="0D0D0D" w:themeColor="text1" w:themeTint="F2"/>
          <w:sz w:val="24"/>
          <w:szCs w:val="24"/>
          <w:lang w:val="es-CO"/>
        </w:rPr>
        <w:t>TRIBUNAL ADMINISTRATIVO DE BOLÍVAR</w:t>
      </w:r>
      <w:r w:rsidRPr="00002695">
        <w:rPr>
          <w:rFonts w:ascii="Century Gothic" w:hAnsi="Century Gothic"/>
          <w:bCs/>
          <w:color w:val="0D0D0D" w:themeColor="text1" w:themeTint="F2"/>
          <w:sz w:val="24"/>
          <w:szCs w:val="24"/>
          <w:lang w:val="es-CO"/>
        </w:rPr>
        <w:t xml:space="preserve"> administrando justicia en nombre de la República y por autoridad de la Ley.</w:t>
      </w:r>
    </w:p>
    <w:p w14:paraId="530D9ACA" w14:textId="77777777" w:rsidR="00C36544" w:rsidRPr="00002695" w:rsidRDefault="00C36544" w:rsidP="00356DB7">
      <w:pPr>
        <w:suppressAutoHyphens/>
        <w:overflowPunct w:val="0"/>
        <w:autoSpaceDE w:val="0"/>
        <w:autoSpaceDN w:val="0"/>
        <w:adjustRightInd w:val="0"/>
        <w:spacing w:after="0" w:line="300" w:lineRule="auto"/>
        <w:jc w:val="both"/>
        <w:textAlignment w:val="baseline"/>
        <w:rPr>
          <w:rFonts w:ascii="Century Gothic" w:hAnsi="Century Gothic"/>
          <w:bCs/>
          <w:color w:val="0D0D0D" w:themeColor="text1" w:themeTint="F2"/>
          <w:sz w:val="24"/>
          <w:szCs w:val="24"/>
          <w:lang w:val="es-CO"/>
        </w:rPr>
      </w:pPr>
    </w:p>
    <w:p w14:paraId="247A09E8" w14:textId="051AC793" w:rsidR="00CD24A8" w:rsidRPr="00085598" w:rsidRDefault="00085598" w:rsidP="00085598">
      <w:pPr>
        <w:pStyle w:val="Prrafodelista"/>
        <w:spacing w:after="0" w:line="300" w:lineRule="auto"/>
        <w:ind w:left="1080"/>
        <w:rPr>
          <w:rFonts w:ascii="Century Gothic" w:hAnsi="Century Gothic" w:cs="Arial"/>
          <w:b/>
          <w:color w:val="0D0D0D" w:themeColor="text1" w:themeTint="F2"/>
          <w:sz w:val="24"/>
          <w:szCs w:val="24"/>
        </w:rPr>
      </w:pPr>
      <w:r>
        <w:rPr>
          <w:rFonts w:ascii="Century Gothic" w:hAnsi="Century Gothic" w:cs="Arial"/>
          <w:b/>
          <w:color w:val="0D0D0D" w:themeColor="text1" w:themeTint="F2"/>
          <w:sz w:val="24"/>
          <w:szCs w:val="24"/>
        </w:rPr>
        <w:t>VI.</w:t>
      </w:r>
      <w:r w:rsidR="00A351F3" w:rsidRPr="00085598">
        <w:rPr>
          <w:rFonts w:ascii="Century Gothic" w:hAnsi="Century Gothic" w:cs="Arial"/>
          <w:b/>
          <w:color w:val="0D0D0D" w:themeColor="text1" w:themeTint="F2"/>
          <w:sz w:val="24"/>
          <w:szCs w:val="24"/>
        </w:rPr>
        <w:t>FALLA</w:t>
      </w:r>
    </w:p>
    <w:p w14:paraId="46601B5A" w14:textId="77777777" w:rsidR="00CD24A8" w:rsidRPr="00002695" w:rsidRDefault="00CD24A8" w:rsidP="00356DB7">
      <w:pPr>
        <w:spacing w:after="0" w:line="300" w:lineRule="auto"/>
        <w:jc w:val="center"/>
        <w:rPr>
          <w:rFonts w:ascii="Century Gothic" w:hAnsi="Century Gothic" w:cs="Arial"/>
          <w:b/>
          <w:color w:val="0D0D0D" w:themeColor="text1" w:themeTint="F2"/>
          <w:sz w:val="24"/>
          <w:szCs w:val="24"/>
        </w:rPr>
      </w:pPr>
    </w:p>
    <w:p w14:paraId="5E0CD05E" w14:textId="298A3597" w:rsidR="008B0C23" w:rsidRPr="00002695" w:rsidRDefault="0090106D" w:rsidP="00356DB7">
      <w:pPr>
        <w:spacing w:after="0" w:line="300" w:lineRule="auto"/>
        <w:jc w:val="both"/>
        <w:rPr>
          <w:rFonts w:ascii="Century Gothic" w:hAnsi="Century Gothic" w:cs="Arial"/>
          <w:iCs/>
          <w:color w:val="0D0D0D" w:themeColor="text1" w:themeTint="F2"/>
          <w:sz w:val="24"/>
          <w:szCs w:val="24"/>
          <w:lang w:val="es-CO"/>
        </w:rPr>
      </w:pPr>
      <w:r w:rsidRPr="00002695">
        <w:rPr>
          <w:rFonts w:ascii="Century Gothic" w:hAnsi="Century Gothic" w:cs="Arial"/>
          <w:b/>
          <w:iCs/>
          <w:color w:val="0D0D0D" w:themeColor="text1" w:themeTint="F2"/>
          <w:sz w:val="24"/>
          <w:szCs w:val="24"/>
          <w:lang w:val="es-CO"/>
        </w:rPr>
        <w:t>PRIMERO:</w:t>
      </w:r>
      <w:r w:rsidR="008B0C23" w:rsidRPr="00002695">
        <w:rPr>
          <w:rFonts w:ascii="Century Gothic" w:hAnsi="Century Gothic" w:cs="Arial"/>
          <w:b/>
          <w:iCs/>
          <w:color w:val="0D0D0D" w:themeColor="text1" w:themeTint="F2"/>
          <w:sz w:val="24"/>
          <w:szCs w:val="24"/>
          <w:lang w:val="es-CO"/>
        </w:rPr>
        <w:t xml:space="preserve"> CONFIRMAR </w:t>
      </w:r>
      <w:r w:rsidR="008B0C23" w:rsidRPr="00002695">
        <w:rPr>
          <w:rFonts w:ascii="Century Gothic" w:hAnsi="Century Gothic" w:cs="Arial"/>
          <w:iCs/>
          <w:color w:val="0D0D0D" w:themeColor="text1" w:themeTint="F2"/>
          <w:sz w:val="24"/>
          <w:szCs w:val="24"/>
          <w:lang w:val="es-CO"/>
        </w:rPr>
        <w:t xml:space="preserve">la sentencia de fecha </w:t>
      </w:r>
      <w:r w:rsidR="003B0A85" w:rsidRPr="00002695">
        <w:rPr>
          <w:rFonts w:ascii="Century Gothic" w:hAnsi="Century Gothic" w:cs="Arial"/>
          <w:iCs/>
          <w:color w:val="0D0D0D" w:themeColor="text1" w:themeTint="F2"/>
          <w:sz w:val="24"/>
          <w:szCs w:val="24"/>
          <w:lang w:val="es-CO"/>
        </w:rPr>
        <w:t>doce (12)</w:t>
      </w:r>
      <w:r w:rsidR="003334E9" w:rsidRPr="00002695">
        <w:rPr>
          <w:rFonts w:ascii="Century Gothic" w:eastAsia="Calibri" w:hAnsi="Century Gothic" w:cs="Century Gothic"/>
          <w:bCs/>
          <w:color w:val="0D0D0D" w:themeColor="text1" w:themeTint="F2"/>
          <w:sz w:val="24"/>
          <w:szCs w:val="24"/>
        </w:rPr>
        <w:t xml:space="preserve"> de septiembre de 2018, proferida por el Juzgado </w:t>
      </w:r>
      <w:r w:rsidR="003B0A85" w:rsidRPr="00002695">
        <w:rPr>
          <w:rFonts w:ascii="Century Gothic" w:eastAsia="Calibri" w:hAnsi="Century Gothic" w:cs="Century Gothic"/>
          <w:bCs/>
          <w:color w:val="0D0D0D" w:themeColor="text1" w:themeTint="F2"/>
          <w:sz w:val="24"/>
          <w:szCs w:val="24"/>
        </w:rPr>
        <w:t>Décimo Tercero</w:t>
      </w:r>
      <w:r w:rsidR="003334E9" w:rsidRPr="00002695">
        <w:rPr>
          <w:rFonts w:ascii="Century Gothic" w:eastAsia="Calibri" w:hAnsi="Century Gothic" w:cs="Century Gothic"/>
          <w:bCs/>
          <w:color w:val="0D0D0D" w:themeColor="text1" w:themeTint="F2"/>
          <w:sz w:val="24"/>
          <w:szCs w:val="24"/>
        </w:rPr>
        <w:t xml:space="preserve"> Administrativo del Circuito de Cartagena</w:t>
      </w:r>
      <w:r w:rsidR="008B0C23" w:rsidRPr="00002695">
        <w:rPr>
          <w:rFonts w:ascii="Century Gothic" w:hAnsi="Century Gothic" w:cs="Arial"/>
          <w:iCs/>
          <w:color w:val="0D0D0D" w:themeColor="text1" w:themeTint="F2"/>
          <w:sz w:val="24"/>
          <w:szCs w:val="24"/>
          <w:lang w:val="es-CO"/>
        </w:rPr>
        <w:t xml:space="preserve">, mediante la cual se negaron las pretensiones de la demanda, de conformidad con lo expuesto en la parte considerativa de la presente providencia. </w:t>
      </w:r>
    </w:p>
    <w:p w14:paraId="2476DEDD" w14:textId="77777777" w:rsidR="00FD14DC" w:rsidRPr="00002695" w:rsidRDefault="00FD14DC" w:rsidP="00356DB7">
      <w:pPr>
        <w:spacing w:after="0" w:line="300" w:lineRule="auto"/>
        <w:jc w:val="both"/>
        <w:rPr>
          <w:rFonts w:ascii="Century Gothic" w:hAnsi="Century Gothic" w:cs="Arial"/>
          <w:color w:val="0D0D0D" w:themeColor="text1" w:themeTint="F2"/>
          <w:sz w:val="24"/>
          <w:szCs w:val="24"/>
        </w:rPr>
      </w:pPr>
    </w:p>
    <w:p w14:paraId="38CE8CD1" w14:textId="197C1F93" w:rsidR="0090106D" w:rsidRPr="00002695" w:rsidRDefault="000945B3" w:rsidP="00356DB7">
      <w:pPr>
        <w:spacing w:after="0" w:line="300" w:lineRule="auto"/>
        <w:jc w:val="both"/>
        <w:rPr>
          <w:rFonts w:ascii="Century Gothic" w:hAnsi="Century Gothic" w:cs="Arial"/>
          <w:bCs/>
          <w:color w:val="0D0D0D" w:themeColor="text1" w:themeTint="F2"/>
          <w:sz w:val="24"/>
          <w:szCs w:val="24"/>
          <w:lang w:val="es-CO"/>
        </w:rPr>
      </w:pPr>
      <w:r w:rsidRPr="00002695">
        <w:rPr>
          <w:rFonts w:ascii="Century Gothic" w:hAnsi="Century Gothic" w:cs="Arial"/>
          <w:b/>
          <w:iCs/>
          <w:color w:val="0D0D0D" w:themeColor="text1" w:themeTint="F2"/>
          <w:sz w:val="24"/>
          <w:szCs w:val="24"/>
          <w:lang w:val="es-CO"/>
        </w:rPr>
        <w:t>SEGUNDO</w:t>
      </w:r>
      <w:r w:rsidR="0090106D" w:rsidRPr="00002695">
        <w:rPr>
          <w:rFonts w:ascii="Century Gothic" w:hAnsi="Century Gothic" w:cs="Arial"/>
          <w:b/>
          <w:iCs/>
          <w:color w:val="0D0D0D" w:themeColor="text1" w:themeTint="F2"/>
          <w:sz w:val="24"/>
          <w:szCs w:val="24"/>
          <w:lang w:val="es-CO"/>
        </w:rPr>
        <w:t>:</w:t>
      </w:r>
      <w:r w:rsidR="0090106D" w:rsidRPr="00002695">
        <w:rPr>
          <w:rFonts w:ascii="Century Gothic" w:hAnsi="Century Gothic" w:cs="Arial"/>
          <w:color w:val="0D0D0D" w:themeColor="text1" w:themeTint="F2"/>
          <w:sz w:val="24"/>
          <w:szCs w:val="24"/>
        </w:rPr>
        <w:t xml:space="preserve"> </w:t>
      </w:r>
      <w:r w:rsidR="009115B1" w:rsidRPr="00002695">
        <w:rPr>
          <w:rFonts w:ascii="Century Gothic" w:eastAsia="Times New Roman" w:hAnsi="Century Gothic" w:cs="Arial"/>
          <w:b/>
          <w:color w:val="0D0D0D" w:themeColor="text1" w:themeTint="F2"/>
          <w:sz w:val="24"/>
          <w:szCs w:val="24"/>
          <w:lang w:eastAsia="es-ES"/>
        </w:rPr>
        <w:t xml:space="preserve">NO CONDENAR </w:t>
      </w:r>
      <w:r w:rsidR="009115B1" w:rsidRPr="00002695">
        <w:rPr>
          <w:rFonts w:ascii="Century Gothic" w:eastAsia="Times New Roman" w:hAnsi="Century Gothic" w:cs="Arial"/>
          <w:color w:val="0D0D0D" w:themeColor="text1" w:themeTint="F2"/>
          <w:sz w:val="24"/>
          <w:szCs w:val="24"/>
          <w:lang w:eastAsia="es-ES"/>
        </w:rPr>
        <w:t>en costas a la parte demandante.</w:t>
      </w:r>
      <w:r w:rsidR="007D6F58" w:rsidRPr="00002695">
        <w:rPr>
          <w:rFonts w:ascii="Century Gothic" w:hAnsi="Century Gothic" w:cs="Times New Roman"/>
          <w:color w:val="0D0D0D" w:themeColor="text1" w:themeTint="F2"/>
          <w:sz w:val="24"/>
          <w:szCs w:val="24"/>
          <w:lang w:val="es-CO"/>
        </w:rPr>
        <w:t xml:space="preserve">  </w:t>
      </w:r>
    </w:p>
    <w:p w14:paraId="5AC21361" w14:textId="77777777" w:rsidR="00460779" w:rsidRPr="00002695" w:rsidRDefault="00460779" w:rsidP="00356DB7">
      <w:pPr>
        <w:spacing w:after="0" w:line="300" w:lineRule="auto"/>
        <w:jc w:val="both"/>
        <w:rPr>
          <w:rFonts w:ascii="Century Gothic" w:hAnsi="Century Gothic" w:cs="Arial"/>
          <w:bCs/>
          <w:color w:val="0D0D0D" w:themeColor="text1" w:themeTint="F2"/>
          <w:sz w:val="24"/>
          <w:szCs w:val="24"/>
          <w:lang w:val="es-CO"/>
        </w:rPr>
      </w:pPr>
    </w:p>
    <w:p w14:paraId="74937DD3" w14:textId="47F0575A" w:rsidR="007D6F58" w:rsidRPr="00002695" w:rsidRDefault="00460779" w:rsidP="00356DB7">
      <w:pPr>
        <w:spacing w:after="0" w:line="300" w:lineRule="auto"/>
        <w:jc w:val="both"/>
        <w:rPr>
          <w:rFonts w:ascii="Century Gothic" w:hAnsi="Century Gothic" w:cs="Arial"/>
          <w:b/>
          <w:iCs/>
          <w:color w:val="0D0D0D" w:themeColor="text1" w:themeTint="F2"/>
          <w:sz w:val="24"/>
          <w:szCs w:val="24"/>
          <w:lang w:val="es-CO"/>
        </w:rPr>
      </w:pPr>
      <w:r w:rsidRPr="00002695">
        <w:rPr>
          <w:rFonts w:ascii="Century Gothic" w:hAnsi="Century Gothic" w:cs="Arial"/>
          <w:b/>
          <w:iCs/>
          <w:color w:val="0D0D0D" w:themeColor="text1" w:themeTint="F2"/>
          <w:sz w:val="24"/>
          <w:szCs w:val="24"/>
          <w:lang w:val="es-CO"/>
        </w:rPr>
        <w:t xml:space="preserve">TERCERO: </w:t>
      </w:r>
      <w:r w:rsidR="002435CD" w:rsidRPr="00002695">
        <w:rPr>
          <w:rFonts w:ascii="Century Gothic" w:eastAsia="Times New Roman" w:hAnsi="Century Gothic" w:cs="Arial"/>
          <w:color w:val="0D0D0D" w:themeColor="text1" w:themeTint="F2"/>
          <w:sz w:val="24"/>
          <w:szCs w:val="24"/>
          <w:lang w:eastAsia="es-ES"/>
        </w:rPr>
        <w:t xml:space="preserve">Ejecutoriada la presente providencia, </w:t>
      </w:r>
      <w:r w:rsidR="002435CD" w:rsidRPr="00002695">
        <w:rPr>
          <w:rFonts w:ascii="Century Gothic" w:eastAsia="Times New Roman" w:hAnsi="Century Gothic" w:cs="Arial"/>
          <w:b/>
          <w:color w:val="0D0D0D" w:themeColor="text1" w:themeTint="F2"/>
          <w:sz w:val="24"/>
          <w:szCs w:val="24"/>
          <w:lang w:eastAsia="es-ES"/>
        </w:rPr>
        <w:t>DEVOLVER</w:t>
      </w:r>
      <w:r w:rsidR="002435CD" w:rsidRPr="00002695">
        <w:rPr>
          <w:rFonts w:ascii="Century Gothic" w:eastAsia="Times New Roman" w:hAnsi="Century Gothic" w:cs="Arial"/>
          <w:color w:val="0D0D0D" w:themeColor="text1" w:themeTint="F2"/>
          <w:sz w:val="24"/>
          <w:szCs w:val="24"/>
          <w:lang w:eastAsia="es-ES"/>
        </w:rPr>
        <w:t xml:space="preserve"> el expediente al juzgado de origen, previas las anotaciones de rigor.</w:t>
      </w:r>
    </w:p>
    <w:p w14:paraId="2B0A12A8" w14:textId="77777777" w:rsidR="008F627C" w:rsidRPr="00002695" w:rsidRDefault="008F627C" w:rsidP="00356DB7">
      <w:pPr>
        <w:pStyle w:val="Prrafodelista"/>
        <w:spacing w:after="0" w:line="300" w:lineRule="auto"/>
        <w:ind w:left="0"/>
        <w:rPr>
          <w:rFonts w:ascii="Century Gothic" w:hAnsi="Century Gothic" w:cs="Century Gothic"/>
          <w:b/>
          <w:bCs/>
          <w:color w:val="0D0D0D" w:themeColor="text1" w:themeTint="F2"/>
          <w:sz w:val="24"/>
          <w:szCs w:val="24"/>
        </w:rPr>
      </w:pPr>
    </w:p>
    <w:p w14:paraId="307EF409" w14:textId="77777777" w:rsidR="005225B1" w:rsidRPr="00002695" w:rsidRDefault="005225B1" w:rsidP="00356DB7">
      <w:pPr>
        <w:spacing w:after="0" w:line="300" w:lineRule="auto"/>
        <w:jc w:val="center"/>
        <w:rPr>
          <w:rFonts w:ascii="Century Gothic" w:hAnsi="Century Gothic" w:cs="Century Gothic"/>
          <w:b/>
          <w:bCs/>
          <w:color w:val="0D0D0D" w:themeColor="text1" w:themeTint="F2"/>
          <w:sz w:val="24"/>
          <w:szCs w:val="24"/>
          <w:lang w:val="es-MX"/>
        </w:rPr>
      </w:pPr>
      <w:r w:rsidRPr="00002695">
        <w:rPr>
          <w:rFonts w:ascii="Century Gothic" w:hAnsi="Century Gothic" w:cs="Century Gothic"/>
          <w:b/>
          <w:bCs/>
          <w:color w:val="0D0D0D" w:themeColor="text1" w:themeTint="F2"/>
          <w:sz w:val="24"/>
          <w:szCs w:val="24"/>
          <w:lang w:val="es-MX"/>
        </w:rPr>
        <w:t>NOTIFÍQUESE Y CÚMPLASE</w:t>
      </w:r>
    </w:p>
    <w:p w14:paraId="1164BDF0" w14:textId="77777777" w:rsidR="005225B1" w:rsidRPr="00002695" w:rsidRDefault="005225B1" w:rsidP="00356DB7">
      <w:pPr>
        <w:overflowPunct w:val="0"/>
        <w:autoSpaceDE w:val="0"/>
        <w:autoSpaceDN w:val="0"/>
        <w:adjustRightInd w:val="0"/>
        <w:spacing w:after="0" w:line="300" w:lineRule="auto"/>
        <w:jc w:val="center"/>
        <w:rPr>
          <w:rFonts w:ascii="Century Gothic" w:hAnsi="Century Gothic" w:cs="Arial"/>
          <w:i/>
          <w:iCs/>
          <w:color w:val="0D0D0D" w:themeColor="text1" w:themeTint="F2"/>
          <w:sz w:val="20"/>
          <w:szCs w:val="20"/>
          <w:lang w:val="es-CO" w:eastAsia="es-MX"/>
        </w:rPr>
      </w:pPr>
      <w:r w:rsidRPr="00002695">
        <w:rPr>
          <w:rFonts w:ascii="Century Gothic" w:hAnsi="Century Gothic" w:cs="Arial"/>
          <w:i/>
          <w:iCs/>
          <w:color w:val="0D0D0D" w:themeColor="text1" w:themeTint="F2"/>
          <w:sz w:val="20"/>
          <w:szCs w:val="20"/>
          <w:lang w:val="es-CO" w:eastAsia="es-MX"/>
        </w:rPr>
        <w:t>Constancia: el proyecto de esta providencia fue considerado y aprobado por la Sala, en sesión de la fecha.</w:t>
      </w:r>
    </w:p>
    <w:p w14:paraId="60D74A4C" w14:textId="77777777" w:rsidR="005225B1" w:rsidRPr="00002695" w:rsidRDefault="005225B1" w:rsidP="00356DB7">
      <w:pPr>
        <w:spacing w:after="0" w:line="300" w:lineRule="auto"/>
        <w:jc w:val="center"/>
        <w:rPr>
          <w:rFonts w:ascii="Century Gothic" w:hAnsi="Century Gothic" w:cs="Century Gothic"/>
          <w:b/>
          <w:bCs/>
          <w:color w:val="0D0D0D" w:themeColor="text1" w:themeTint="F2"/>
          <w:sz w:val="24"/>
          <w:szCs w:val="24"/>
        </w:rPr>
      </w:pPr>
    </w:p>
    <w:p w14:paraId="3E4A2299" w14:textId="16BD134C" w:rsidR="005225B1" w:rsidRPr="00002695" w:rsidRDefault="00356DB7" w:rsidP="00356DB7">
      <w:pPr>
        <w:spacing w:after="0" w:line="300" w:lineRule="auto"/>
        <w:jc w:val="center"/>
        <w:rPr>
          <w:rFonts w:ascii="Century Gothic" w:hAnsi="Century Gothic" w:cs="Century Gothic"/>
          <w:b/>
          <w:bCs/>
          <w:color w:val="0D0D0D" w:themeColor="text1" w:themeTint="F2"/>
          <w:sz w:val="24"/>
          <w:szCs w:val="24"/>
        </w:rPr>
      </w:pPr>
      <w:r w:rsidRPr="00002695">
        <w:rPr>
          <w:rFonts w:ascii="Century Gothic" w:hAnsi="Century Gothic" w:cs="Century Gothic"/>
          <w:b/>
          <w:bCs/>
          <w:color w:val="0D0D0D" w:themeColor="text1" w:themeTint="F2"/>
          <w:sz w:val="24"/>
          <w:szCs w:val="24"/>
        </w:rPr>
        <w:t>LOS MAGISTRADOS</w:t>
      </w:r>
    </w:p>
    <w:p w14:paraId="7BA8D33F" w14:textId="77777777" w:rsidR="00356DB7" w:rsidRPr="00002695" w:rsidRDefault="00356DB7" w:rsidP="00356DB7">
      <w:pPr>
        <w:spacing w:after="0" w:line="300" w:lineRule="auto"/>
        <w:jc w:val="center"/>
        <w:rPr>
          <w:rFonts w:ascii="Century Gothic" w:hAnsi="Century Gothic" w:cs="Century Gothic"/>
          <w:b/>
          <w:bCs/>
          <w:color w:val="0D0D0D" w:themeColor="text1" w:themeTint="F2"/>
          <w:sz w:val="24"/>
          <w:szCs w:val="24"/>
        </w:rPr>
      </w:pPr>
    </w:p>
    <w:p w14:paraId="6E9A0460" w14:textId="77777777" w:rsidR="00356DB7" w:rsidRPr="00002695" w:rsidRDefault="00356DB7" w:rsidP="00356DB7">
      <w:pPr>
        <w:spacing w:after="0" w:line="300" w:lineRule="auto"/>
        <w:jc w:val="center"/>
        <w:rPr>
          <w:rFonts w:ascii="Century Gothic" w:hAnsi="Century Gothic" w:cs="Century Gothic"/>
          <w:b/>
          <w:bCs/>
          <w:color w:val="0D0D0D" w:themeColor="text1" w:themeTint="F2"/>
          <w:sz w:val="24"/>
          <w:szCs w:val="24"/>
        </w:rPr>
      </w:pPr>
    </w:p>
    <w:p w14:paraId="44998493" w14:textId="77777777" w:rsidR="005225B1" w:rsidRPr="00002695" w:rsidRDefault="005225B1" w:rsidP="00356DB7">
      <w:pPr>
        <w:spacing w:after="0" w:line="300" w:lineRule="auto"/>
        <w:rPr>
          <w:rFonts w:ascii="Century Gothic" w:hAnsi="Century Gothic" w:cs="Century Gothic"/>
          <w:b/>
          <w:bCs/>
          <w:color w:val="0D0D0D" w:themeColor="text1" w:themeTint="F2"/>
          <w:sz w:val="24"/>
          <w:szCs w:val="24"/>
          <w:lang w:val="es-CO"/>
        </w:rPr>
      </w:pPr>
    </w:p>
    <w:tbl>
      <w:tblPr>
        <w:tblpPr w:leftFromText="141" w:rightFromText="141" w:vertAnchor="text" w:horzAnchor="margin" w:tblpY="144"/>
        <w:tblW w:w="9238" w:type="dxa"/>
        <w:tblLook w:val="01E0" w:firstRow="1" w:lastRow="1" w:firstColumn="1" w:lastColumn="1" w:noHBand="0" w:noVBand="0"/>
      </w:tblPr>
      <w:tblGrid>
        <w:gridCol w:w="9238"/>
      </w:tblGrid>
      <w:tr w:rsidR="00356DB7" w:rsidRPr="00356DB7" w14:paraId="51807234" w14:textId="77777777" w:rsidTr="00552012">
        <w:tc>
          <w:tcPr>
            <w:tcW w:w="9238" w:type="dxa"/>
          </w:tcPr>
          <w:p w14:paraId="26C410F7" w14:textId="489F6649" w:rsidR="005225B1" w:rsidRPr="00002695" w:rsidRDefault="005225B1" w:rsidP="00356DB7">
            <w:pPr>
              <w:spacing w:after="0" w:line="300" w:lineRule="auto"/>
              <w:jc w:val="center"/>
              <w:rPr>
                <w:rFonts w:ascii="Century Gothic" w:eastAsia="Calibri" w:hAnsi="Century Gothic" w:cs="Century Gothic"/>
                <w:b/>
                <w:bCs/>
                <w:color w:val="0D0D0D" w:themeColor="text1" w:themeTint="F2"/>
                <w:sz w:val="24"/>
                <w:szCs w:val="24"/>
              </w:rPr>
            </w:pPr>
            <w:r w:rsidRPr="00002695">
              <w:rPr>
                <w:rFonts w:ascii="Century Gothic" w:eastAsia="Calibri" w:hAnsi="Century Gothic" w:cs="Century Gothic"/>
                <w:b/>
                <w:bCs/>
                <w:color w:val="0D0D0D" w:themeColor="text1" w:themeTint="F2"/>
                <w:sz w:val="24"/>
                <w:szCs w:val="24"/>
              </w:rPr>
              <w:t>LUIS MIGUEL VILLALOBOS ÁLVAREZ</w:t>
            </w:r>
          </w:p>
          <w:p w14:paraId="4ACB9DAF" w14:textId="77777777" w:rsidR="005225B1" w:rsidRPr="00002695" w:rsidRDefault="005225B1" w:rsidP="00356DB7">
            <w:pPr>
              <w:spacing w:after="0" w:line="300" w:lineRule="auto"/>
              <w:jc w:val="center"/>
              <w:rPr>
                <w:rFonts w:ascii="Century Gothic" w:eastAsia="Calibri" w:hAnsi="Century Gothic" w:cs="Century Gothic"/>
                <w:b/>
                <w:bCs/>
                <w:color w:val="0D0D0D" w:themeColor="text1" w:themeTint="F2"/>
                <w:sz w:val="24"/>
                <w:szCs w:val="24"/>
              </w:rPr>
            </w:pPr>
          </w:p>
          <w:p w14:paraId="006D2722" w14:textId="77777777" w:rsidR="005225B1" w:rsidRPr="00002695" w:rsidRDefault="005225B1" w:rsidP="00356DB7">
            <w:pPr>
              <w:spacing w:after="0" w:line="300" w:lineRule="auto"/>
              <w:jc w:val="center"/>
              <w:rPr>
                <w:rFonts w:ascii="Century Gothic" w:eastAsia="Calibri" w:hAnsi="Century Gothic" w:cs="Century Gothic"/>
                <w:b/>
                <w:bCs/>
                <w:color w:val="0D0D0D" w:themeColor="text1" w:themeTint="F2"/>
                <w:sz w:val="24"/>
                <w:szCs w:val="24"/>
              </w:rPr>
            </w:pPr>
          </w:p>
          <w:p w14:paraId="25A6D8CD" w14:textId="77777777" w:rsidR="00356DB7" w:rsidRPr="00002695" w:rsidRDefault="00356DB7" w:rsidP="00356DB7">
            <w:pPr>
              <w:spacing w:after="0" w:line="300" w:lineRule="auto"/>
              <w:jc w:val="center"/>
              <w:rPr>
                <w:rFonts w:ascii="Century Gothic" w:eastAsia="Calibri" w:hAnsi="Century Gothic" w:cs="Century Gothic"/>
                <w:b/>
                <w:bCs/>
                <w:color w:val="0D0D0D" w:themeColor="text1" w:themeTint="F2"/>
                <w:sz w:val="24"/>
                <w:szCs w:val="24"/>
              </w:rPr>
            </w:pPr>
          </w:p>
          <w:p w14:paraId="0CD8091E" w14:textId="77777777" w:rsidR="00356DB7" w:rsidRPr="00002695" w:rsidRDefault="00356DB7" w:rsidP="00356DB7">
            <w:pPr>
              <w:spacing w:after="0" w:line="300" w:lineRule="auto"/>
              <w:jc w:val="center"/>
              <w:rPr>
                <w:rFonts w:ascii="Century Gothic" w:eastAsia="Calibri" w:hAnsi="Century Gothic" w:cs="Century Gothic"/>
                <w:b/>
                <w:bCs/>
                <w:color w:val="0D0D0D" w:themeColor="text1" w:themeTint="F2"/>
                <w:sz w:val="24"/>
                <w:szCs w:val="24"/>
              </w:rPr>
            </w:pPr>
          </w:p>
          <w:p w14:paraId="17E54478" w14:textId="68C5E28D" w:rsidR="005225B1" w:rsidRPr="00356DB7" w:rsidRDefault="005225B1" w:rsidP="00356DB7">
            <w:pPr>
              <w:spacing w:after="0" w:line="300" w:lineRule="auto"/>
              <w:jc w:val="center"/>
              <w:rPr>
                <w:rFonts w:ascii="Century Gothic" w:hAnsi="Century Gothic" w:cs="Century Gothic"/>
                <w:b/>
                <w:bCs/>
                <w:color w:val="0D0D0D" w:themeColor="text1" w:themeTint="F2"/>
                <w:sz w:val="24"/>
                <w:szCs w:val="24"/>
              </w:rPr>
            </w:pPr>
            <w:r w:rsidRPr="00002695">
              <w:rPr>
                <w:rFonts w:ascii="Century Gothic" w:eastAsia="Calibri" w:hAnsi="Century Gothic" w:cs="Century Gothic"/>
                <w:b/>
                <w:bCs/>
                <w:color w:val="0D0D0D" w:themeColor="text1" w:themeTint="F2"/>
                <w:sz w:val="24"/>
                <w:szCs w:val="24"/>
              </w:rPr>
              <w:t>ROBERTO MARIO CHAVARRO COLPAS                JOSÉ RAFAEL GUERRERO LEAL</w:t>
            </w:r>
          </w:p>
        </w:tc>
      </w:tr>
    </w:tbl>
    <w:p w14:paraId="788C1D15" w14:textId="77777777" w:rsidR="00E0196E" w:rsidRPr="00356DB7" w:rsidRDefault="00E0196E" w:rsidP="00356DB7">
      <w:pPr>
        <w:spacing w:after="0" w:line="300" w:lineRule="auto"/>
        <w:rPr>
          <w:rFonts w:ascii="Century Gothic" w:eastAsia="Calibri" w:hAnsi="Century Gothic" w:cs="Arial"/>
          <w:b/>
          <w:color w:val="0D0D0D" w:themeColor="text1" w:themeTint="F2"/>
          <w:sz w:val="24"/>
          <w:szCs w:val="24"/>
          <w:lang w:val="es-CO"/>
        </w:rPr>
      </w:pPr>
    </w:p>
    <w:sectPr w:rsidR="00E0196E" w:rsidRPr="00356DB7" w:rsidSect="00356DB7">
      <w:headerReference w:type="default" r:id="rId11"/>
      <w:footerReference w:type="default" r:id="rId12"/>
      <w:pgSz w:w="12242" w:h="18722" w:code="5"/>
      <w:pgMar w:top="1418" w:right="1418" w:bottom="1418" w:left="1701" w:header="709"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4DFE96" w14:textId="77777777" w:rsidR="00831D7B" w:rsidRDefault="00831D7B" w:rsidP="0029283B">
      <w:pPr>
        <w:spacing w:after="0" w:line="240" w:lineRule="auto"/>
      </w:pPr>
      <w:r>
        <w:separator/>
      </w:r>
    </w:p>
  </w:endnote>
  <w:endnote w:type="continuationSeparator" w:id="0">
    <w:p w14:paraId="03D09013" w14:textId="77777777" w:rsidR="00831D7B" w:rsidRDefault="00831D7B" w:rsidP="0029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new courier">
    <w:altName w:val="Calibri"/>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66FCD" w:rsidRPr="00634E8C" w14:paraId="7742D99B" w14:textId="77777777" w:rsidTr="001C50AB">
          <w:trPr>
            <w:trHeight w:val="853"/>
          </w:trPr>
          <w:tc>
            <w:tcPr>
              <w:tcW w:w="2351" w:type="dxa"/>
            </w:tcPr>
            <w:p w14:paraId="21B0D29C" w14:textId="77777777" w:rsidR="00466FCD" w:rsidRDefault="00466FCD" w:rsidP="00466FCD">
              <w:pPr>
                <w:tabs>
                  <w:tab w:val="center" w:pos="4419"/>
                  <w:tab w:val="right" w:pos="8838"/>
                </w:tabs>
                <w:rPr>
                  <w:rFonts w:eastAsiaTheme="minorHAnsi"/>
                  <w:lang w:eastAsia="en-US"/>
                </w:rPr>
              </w:pPr>
            </w:p>
            <w:p w14:paraId="178C60D9" w14:textId="77777777" w:rsidR="00466FCD" w:rsidRPr="00634E8C" w:rsidRDefault="00466FCD" w:rsidP="00466FCD">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14:paraId="7F6C24D1" w14:textId="77777777" w:rsidR="00466FCD" w:rsidRDefault="00466FCD" w:rsidP="00466FCD">
              <w:pPr>
                <w:tabs>
                  <w:tab w:val="center" w:pos="4419"/>
                  <w:tab w:val="right" w:pos="8838"/>
                </w:tabs>
                <w:rPr>
                  <w:rFonts w:ascii="Arial Black" w:hAnsi="Arial Black" w:cs="Arial"/>
                  <w:b/>
                  <w:bCs/>
                  <w:color w:val="0D0D0D" w:themeColor="text1" w:themeTint="F2"/>
                  <w:sz w:val="18"/>
                  <w:szCs w:val="20"/>
                </w:rPr>
              </w:pPr>
            </w:p>
            <w:p w14:paraId="72CD6AC5" w14:textId="77777777" w:rsidR="00466FCD" w:rsidRPr="00634E8C" w:rsidRDefault="00466FCD" w:rsidP="00466FCD">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14:paraId="4D8609B7" w14:textId="77777777" w:rsidR="00466FCD" w:rsidRDefault="00466FCD" w:rsidP="00466FCD">
              <w:pPr>
                <w:tabs>
                  <w:tab w:val="center" w:pos="4419"/>
                  <w:tab w:val="right" w:pos="8838"/>
                </w:tabs>
                <w:rPr>
                  <w:rFonts w:ascii="Arial Black" w:hAnsi="Arial Black" w:cs="Arial"/>
                  <w:b/>
                  <w:bCs/>
                  <w:color w:val="0D0D0D" w:themeColor="text1" w:themeTint="F2"/>
                  <w:sz w:val="18"/>
                  <w:szCs w:val="20"/>
                </w:rPr>
              </w:pPr>
            </w:p>
            <w:p w14:paraId="2A2F9EF4" w14:textId="77777777" w:rsidR="00466FCD" w:rsidRPr="00634E8C" w:rsidRDefault="00466FCD" w:rsidP="00466FCD">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14:paraId="7FF1B893" w14:textId="77777777" w:rsidR="00466FCD" w:rsidRPr="00634E8C" w:rsidRDefault="00466FCD" w:rsidP="00466FCD">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605DEB2A" wp14:editId="0E13A5D1">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14:paraId="5AA31966" w14:textId="77777777" w:rsidR="00466FCD" w:rsidRPr="009815D5" w:rsidRDefault="006B140B" w:rsidP="00466FCD">
        <w:pPr>
          <w:pStyle w:val="Piedepgina"/>
        </w:pPr>
      </w:p>
    </w:sdtContent>
  </w:sdt>
  <w:p w14:paraId="3E125544" w14:textId="77777777" w:rsidR="00466FCD" w:rsidRDefault="00466FCD" w:rsidP="00466FCD">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6B140B">
              <w:rPr>
                <w:b/>
                <w:bCs/>
                <w:noProof/>
              </w:rPr>
              <w:t>14</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B140B">
              <w:rPr>
                <w:b/>
                <w:bCs/>
                <w:noProof/>
              </w:rPr>
              <w:t>14</w:t>
            </w:r>
            <w:r>
              <w:rPr>
                <w:b/>
                <w:bCs/>
                <w:sz w:val="24"/>
                <w:szCs w:val="24"/>
              </w:rPr>
              <w:fldChar w:fldCharType="end"/>
            </w:r>
          </w:sdtContent>
        </w:sdt>
      </w:sdtContent>
    </w:sdt>
  </w:p>
  <w:p w14:paraId="090B4452" w14:textId="77777777" w:rsidR="00551D8E" w:rsidRPr="00466FCD" w:rsidRDefault="00551D8E" w:rsidP="00466FC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B6942" w14:textId="77777777" w:rsidR="00831D7B" w:rsidRDefault="00831D7B" w:rsidP="0029283B">
      <w:pPr>
        <w:spacing w:after="0" w:line="240" w:lineRule="auto"/>
      </w:pPr>
      <w:r>
        <w:separator/>
      </w:r>
    </w:p>
  </w:footnote>
  <w:footnote w:type="continuationSeparator" w:id="0">
    <w:p w14:paraId="2052DE31" w14:textId="77777777" w:rsidR="00831D7B" w:rsidRDefault="00831D7B" w:rsidP="0029283B">
      <w:pPr>
        <w:spacing w:after="0" w:line="240" w:lineRule="auto"/>
      </w:pPr>
      <w:r>
        <w:continuationSeparator/>
      </w:r>
    </w:p>
  </w:footnote>
  <w:footnote w:id="1">
    <w:p w14:paraId="36C5AB0F" w14:textId="0602C44D" w:rsidR="002401F4" w:rsidRPr="002401F4" w:rsidRDefault="002401F4">
      <w:pPr>
        <w:pStyle w:val="Textonotapie"/>
        <w:rPr>
          <w:lang w:val="es-CO"/>
        </w:rPr>
      </w:pPr>
      <w:r>
        <w:rPr>
          <w:rStyle w:val="Refdenotaalpie"/>
        </w:rPr>
        <w:footnoteRef/>
      </w:r>
      <w:r>
        <w:t xml:space="preserve"> </w:t>
      </w:r>
      <w:r w:rsidR="009606E7">
        <w:t xml:space="preserve">Folios 66-74. </w:t>
      </w:r>
    </w:p>
  </w:footnote>
  <w:footnote w:id="2">
    <w:p w14:paraId="2E1DD4F4" w14:textId="78C93C51" w:rsidR="00575E0F" w:rsidRPr="00575E0F" w:rsidRDefault="00575E0F">
      <w:pPr>
        <w:pStyle w:val="Textonotapie"/>
        <w:rPr>
          <w:lang w:val="es-CO"/>
        </w:rPr>
      </w:pPr>
      <w:r>
        <w:rPr>
          <w:rStyle w:val="Refdenotaalpie"/>
        </w:rPr>
        <w:footnoteRef/>
      </w:r>
      <w:r>
        <w:t xml:space="preserve"> </w:t>
      </w:r>
      <w:r>
        <w:rPr>
          <w:lang w:val="es-CO"/>
        </w:rPr>
        <w:t xml:space="preserve">Folios </w:t>
      </w:r>
      <w:r w:rsidR="00137F14">
        <w:rPr>
          <w:lang w:val="es-CO"/>
        </w:rPr>
        <w:t xml:space="preserve">78-86. </w:t>
      </w:r>
    </w:p>
  </w:footnote>
  <w:footnote w:id="3">
    <w:p w14:paraId="2109C121" w14:textId="016BDC64" w:rsidR="00DF2335" w:rsidRPr="00DF2335" w:rsidRDefault="00DF2335">
      <w:pPr>
        <w:pStyle w:val="Textonotapie"/>
        <w:rPr>
          <w:rFonts w:ascii="Century Gothic" w:hAnsi="Century Gothic"/>
          <w:sz w:val="20"/>
          <w:szCs w:val="20"/>
          <w:lang w:val="es-CO"/>
        </w:rPr>
      </w:pPr>
      <w:r w:rsidRPr="00DF2335">
        <w:rPr>
          <w:rStyle w:val="Refdenotaalpie"/>
          <w:rFonts w:ascii="Century Gothic" w:hAnsi="Century Gothic"/>
          <w:sz w:val="20"/>
          <w:szCs w:val="20"/>
        </w:rPr>
        <w:footnoteRef/>
      </w:r>
      <w:r w:rsidRPr="00DF2335">
        <w:rPr>
          <w:rFonts w:ascii="Century Gothic" w:hAnsi="Century Gothic"/>
          <w:sz w:val="20"/>
          <w:szCs w:val="20"/>
        </w:rPr>
        <w:t xml:space="preserve"> </w:t>
      </w:r>
      <w:r w:rsidRPr="00DF2335">
        <w:rPr>
          <w:rFonts w:ascii="Century Gothic" w:hAnsi="Century Gothic"/>
          <w:sz w:val="20"/>
          <w:szCs w:val="20"/>
          <w:lang w:val="es-CO"/>
        </w:rPr>
        <w:t xml:space="preserve">Folios 5 y 8 del cuaderno principal de segunda instancia. </w:t>
      </w:r>
    </w:p>
  </w:footnote>
  <w:footnote w:id="4">
    <w:p w14:paraId="15FBFB5C" w14:textId="5DA65C4A" w:rsidR="00DF2335" w:rsidRPr="00DF2335" w:rsidRDefault="00DF2335">
      <w:pPr>
        <w:pStyle w:val="Textonotapie"/>
        <w:rPr>
          <w:lang w:val="es-CO"/>
        </w:rPr>
      </w:pPr>
      <w:r w:rsidRPr="00DF2335">
        <w:rPr>
          <w:rStyle w:val="Refdenotaalpie"/>
          <w:rFonts w:ascii="Century Gothic" w:hAnsi="Century Gothic"/>
          <w:sz w:val="20"/>
          <w:szCs w:val="20"/>
        </w:rPr>
        <w:footnoteRef/>
      </w:r>
      <w:r w:rsidRPr="00DF2335">
        <w:rPr>
          <w:rFonts w:ascii="Century Gothic" w:hAnsi="Century Gothic"/>
          <w:sz w:val="20"/>
          <w:szCs w:val="20"/>
        </w:rPr>
        <w:t xml:space="preserve"> </w:t>
      </w:r>
      <w:r w:rsidRPr="00DF2335">
        <w:rPr>
          <w:rFonts w:ascii="Century Gothic" w:hAnsi="Century Gothic"/>
          <w:sz w:val="20"/>
          <w:szCs w:val="20"/>
          <w:lang w:val="es-CO"/>
        </w:rPr>
        <w:t>Folios 12-14 del cuaderno principal de segunda instancia.</w:t>
      </w:r>
      <w:r>
        <w:rPr>
          <w:lang w:val="es-CO"/>
        </w:rPr>
        <w:t xml:space="preserve"> </w:t>
      </w:r>
    </w:p>
  </w:footnote>
  <w:footnote w:id="5">
    <w:p w14:paraId="4B1C682E" w14:textId="4DA13252" w:rsidR="00777A61" w:rsidRPr="006741E0" w:rsidRDefault="00777A61" w:rsidP="00777A61">
      <w:pPr>
        <w:pStyle w:val="Style18"/>
        <w:widowControl/>
        <w:jc w:val="both"/>
        <w:rPr>
          <w:rStyle w:val="FontStyle46"/>
          <w:sz w:val="20"/>
          <w:szCs w:val="20"/>
          <w:lang w:val="es-ES_tradnl" w:eastAsia="es-ES_tradnl"/>
        </w:rPr>
      </w:pPr>
      <w:r w:rsidRPr="006741E0">
        <w:rPr>
          <w:rStyle w:val="FontStyle47"/>
          <w:sz w:val="20"/>
          <w:szCs w:val="20"/>
          <w:vertAlign w:val="superscript"/>
          <w:lang w:val="es-ES_tradnl" w:eastAsia="es-ES_tradnl"/>
        </w:rPr>
        <w:footnoteRef/>
      </w:r>
      <w:r w:rsidR="006741E0">
        <w:rPr>
          <w:rStyle w:val="FontStyle47"/>
          <w:sz w:val="20"/>
          <w:szCs w:val="20"/>
          <w:lang w:val="es-ES_tradnl" w:eastAsia="es-ES_tradnl"/>
        </w:rPr>
        <w:t xml:space="preserve"> Por l</w:t>
      </w:r>
      <w:r w:rsidRPr="006741E0">
        <w:rPr>
          <w:rStyle w:val="FontStyle47"/>
          <w:sz w:val="20"/>
          <w:szCs w:val="20"/>
          <w:lang w:val="es-ES_tradnl" w:eastAsia="es-ES_tradnl"/>
        </w:rPr>
        <w:t xml:space="preserve">a cual se </w:t>
      </w:r>
      <w:r w:rsidRPr="006741E0">
        <w:rPr>
          <w:rStyle w:val="FontStyle46"/>
          <w:sz w:val="20"/>
          <w:szCs w:val="20"/>
          <w:lang w:val="es-ES_tradnl" w:eastAsia="es-ES_tradnl"/>
        </w:rPr>
        <w:t xml:space="preserve">aprueba el Plan Nacional de Desarrollo 2003 </w:t>
      </w:r>
      <w:r w:rsidRPr="006741E0">
        <w:rPr>
          <w:rStyle w:val="FontStyle47"/>
          <w:sz w:val="20"/>
          <w:szCs w:val="20"/>
          <w:lang w:val="es-ES_tradnl" w:eastAsia="es-ES_tradnl"/>
        </w:rPr>
        <w:t xml:space="preserve">- 2006, </w:t>
      </w:r>
      <w:r w:rsidRPr="006741E0">
        <w:rPr>
          <w:rStyle w:val="FontStyle46"/>
          <w:sz w:val="20"/>
          <w:szCs w:val="20"/>
          <w:lang w:val="es-ES_tradnl" w:eastAsia="es-ES_tradnl"/>
        </w:rPr>
        <w:t>hacia un Estado comunitario"</w:t>
      </w:r>
    </w:p>
  </w:footnote>
  <w:footnote w:id="6">
    <w:p w14:paraId="1BD58C3F" w14:textId="77777777" w:rsidR="00777A61" w:rsidRPr="00EA2757" w:rsidRDefault="00777A61" w:rsidP="00777A61">
      <w:pPr>
        <w:pStyle w:val="Style21"/>
        <w:widowControl/>
        <w:spacing w:line="240" w:lineRule="auto"/>
        <w:rPr>
          <w:rStyle w:val="FontStyle47"/>
          <w:sz w:val="16"/>
          <w:szCs w:val="16"/>
          <w:lang w:val="es-ES_tradnl" w:eastAsia="es-ES_tradnl"/>
        </w:rPr>
      </w:pPr>
      <w:r w:rsidRPr="00EA2757">
        <w:rPr>
          <w:rStyle w:val="FontStyle43"/>
          <w:sz w:val="16"/>
          <w:szCs w:val="16"/>
          <w:lang w:val="es-ES_tradnl" w:eastAsia="es-ES_tradnl"/>
        </w:rPr>
        <w:footnoteRef/>
      </w:r>
      <w:r w:rsidRPr="00EA2757">
        <w:rPr>
          <w:rStyle w:val="FontStyle47"/>
          <w:sz w:val="16"/>
          <w:szCs w:val="16"/>
          <w:lang w:val="es-ES_tradnl" w:eastAsia="es-ES_tradnl"/>
        </w:rPr>
        <w:t xml:space="preserve"> Artículo 115. Régimen Especial de los Educadores Estatales. El ejercicio de la profesión docente estatal se regirá por las normas del régimen especial del Estatuto Docente y por la presente ley. El régimen prestacional de los educadores estatales es el establecido en la Ley 91 de 1989, en la ley 60 de 1993 y en la presente ley.</w:t>
      </w:r>
    </w:p>
  </w:footnote>
  <w:footnote w:id="7">
    <w:p w14:paraId="6A721710" w14:textId="77777777" w:rsidR="00777A61" w:rsidRPr="00EA2757" w:rsidRDefault="00777A61" w:rsidP="00777A61">
      <w:pPr>
        <w:pStyle w:val="Style10"/>
        <w:widowControl/>
        <w:spacing w:line="240" w:lineRule="auto"/>
        <w:rPr>
          <w:rStyle w:val="FontStyle47"/>
          <w:sz w:val="16"/>
          <w:szCs w:val="16"/>
          <w:lang w:val="es-ES_tradnl" w:eastAsia="es-ES_tradnl"/>
        </w:rPr>
      </w:pPr>
      <w:r w:rsidRPr="00EA2757">
        <w:rPr>
          <w:rStyle w:val="FontStyle46"/>
          <w:sz w:val="16"/>
          <w:szCs w:val="16"/>
          <w:lang w:val="es-ES_tradnl" w:eastAsia="es-ES_tradnl"/>
        </w:rPr>
        <w:t xml:space="preserve">* Articulo </w:t>
      </w:r>
      <w:r w:rsidRPr="00EA2757">
        <w:rPr>
          <w:rStyle w:val="FontStyle47"/>
          <w:sz w:val="16"/>
          <w:szCs w:val="16"/>
          <w:lang w:val="es-ES_tradnl" w:eastAsia="es-ES_tradnl"/>
        </w:rPr>
        <w:t>6. (...)</w:t>
      </w:r>
    </w:p>
    <w:p w14:paraId="35EBBA46" w14:textId="77777777" w:rsidR="00777A61" w:rsidRPr="00EA2757" w:rsidRDefault="00777A61" w:rsidP="00777A61">
      <w:pPr>
        <w:pStyle w:val="Style10"/>
        <w:widowControl/>
        <w:spacing w:line="240" w:lineRule="auto"/>
        <w:rPr>
          <w:rStyle w:val="FontStyle46"/>
          <w:sz w:val="16"/>
          <w:szCs w:val="16"/>
          <w:lang w:val="es-ES_tradnl" w:eastAsia="es-ES_tradnl"/>
        </w:rPr>
      </w:pPr>
      <w:r w:rsidRPr="00EA2757">
        <w:rPr>
          <w:rStyle w:val="FontStyle46"/>
          <w:sz w:val="16"/>
          <w:szCs w:val="16"/>
          <w:lang w:val="es-ES_tradnl" w:eastAsia="es-ES_tradnl"/>
        </w:rPr>
        <w:t xml:space="preserve">"El régimen prestacional aplicable a los actuales docentes nacionales o nacionalizados que </w:t>
      </w:r>
      <w:r w:rsidRPr="00EA2757">
        <w:rPr>
          <w:rStyle w:val="FontStyle47"/>
          <w:sz w:val="16"/>
          <w:szCs w:val="16"/>
          <w:lang w:val="es-ES_tradnl" w:eastAsia="es-ES_tradnl"/>
        </w:rPr>
        <w:t xml:space="preserve">se </w:t>
      </w:r>
      <w:r w:rsidRPr="00EA2757">
        <w:rPr>
          <w:rStyle w:val="FontStyle46"/>
          <w:sz w:val="16"/>
          <w:szCs w:val="16"/>
          <w:lang w:val="es-ES_tradnl" w:eastAsia="es-ES_tradnl"/>
        </w:rPr>
        <w:t xml:space="preserve">incorporen a las plantas departamentales o distritales sin solución de continuidad y las nuevas vinculaciones, será el reconocido por la Ley 91 de 1989, y las prestaciones en ellas reconocidas serán compatibles con pensiones o cualesquiera otra clase </w:t>
      </w:r>
      <w:proofErr w:type="spellStart"/>
      <w:r w:rsidRPr="00EA2757">
        <w:rPr>
          <w:rStyle w:val="FontStyle46"/>
          <w:sz w:val="16"/>
          <w:szCs w:val="16"/>
          <w:lang w:val="es-ES_tradnl" w:eastAsia="es-ES_tradnl"/>
        </w:rPr>
        <w:t>deremuneraciones</w:t>
      </w:r>
      <w:proofErr w:type="spellEnd"/>
      <w:r w:rsidRPr="00EA2757">
        <w:rPr>
          <w:rStyle w:val="FontStyle46"/>
          <w:sz w:val="16"/>
          <w:szCs w:val="16"/>
          <w:lang w:val="es-ES_tradnl" w:eastAsia="es-ES_tradnl"/>
        </w:rPr>
        <w:t>. El personal docente de vinculación departamental, distrital, y municipal será incorporado al Fondo Nacional de Prestaciones del Magisterio y se les respetará el régimen prestacional vigente de la respectiva entidad territorial.</w:t>
      </w:r>
    </w:p>
    <w:p w14:paraId="2F55D3C4" w14:textId="77777777" w:rsidR="00777A61" w:rsidRPr="00EA2757" w:rsidRDefault="00777A61" w:rsidP="00777A61">
      <w:pPr>
        <w:pStyle w:val="Style9"/>
        <w:widowControl/>
        <w:rPr>
          <w:rStyle w:val="FontStyle31"/>
          <w:sz w:val="16"/>
          <w:szCs w:val="16"/>
          <w:lang w:val="es-ES_tradnl" w:eastAsia="es-ES_tradnl"/>
        </w:rPr>
      </w:pPr>
      <w:r w:rsidRPr="00EA2757">
        <w:rPr>
          <w:rStyle w:val="FontStyle31"/>
          <w:sz w:val="16"/>
          <w:szCs w:val="16"/>
          <w:lang w:val="es-ES_tradnl" w:eastAsia="es-ES_tradnl"/>
        </w:rPr>
        <w:t>(.••)"</w:t>
      </w:r>
    </w:p>
  </w:footnote>
  <w:footnote w:id="8">
    <w:p w14:paraId="0AA9D2DC" w14:textId="77777777" w:rsidR="00777A61" w:rsidRPr="00EA2757" w:rsidRDefault="00777A61" w:rsidP="00777A61">
      <w:pPr>
        <w:pStyle w:val="Style21"/>
        <w:widowControl/>
        <w:spacing w:line="240" w:lineRule="auto"/>
        <w:rPr>
          <w:rStyle w:val="FontStyle47"/>
          <w:sz w:val="16"/>
          <w:szCs w:val="16"/>
          <w:lang w:val="es-ES_tradnl" w:eastAsia="es-ES_tradnl"/>
        </w:rPr>
      </w:pPr>
      <w:r w:rsidRPr="00EA2757">
        <w:rPr>
          <w:rStyle w:val="FontStyle47"/>
          <w:sz w:val="16"/>
          <w:szCs w:val="16"/>
          <w:vertAlign w:val="superscript"/>
          <w:lang w:val="es-ES_tradnl" w:eastAsia="es-ES_tradnl"/>
        </w:rPr>
        <w:footnoteRef/>
      </w:r>
      <w:r w:rsidRPr="00EA2757">
        <w:rPr>
          <w:rStyle w:val="FontStyle47"/>
          <w:sz w:val="16"/>
          <w:szCs w:val="16"/>
          <w:lang w:val="es-ES_tradnl" w:eastAsia="es-ES_tradnl"/>
        </w:rPr>
        <w:t xml:space="preserve"> Sobre el particular el Consejo de Estado ha señalado:</w:t>
      </w:r>
    </w:p>
    <w:p w14:paraId="300AEE6E" w14:textId="77777777" w:rsidR="00777A61" w:rsidRPr="00EA2757" w:rsidRDefault="00777A61" w:rsidP="00777A61">
      <w:pPr>
        <w:pStyle w:val="Style23"/>
        <w:widowControl/>
        <w:spacing w:line="240" w:lineRule="auto"/>
        <w:rPr>
          <w:rStyle w:val="FontStyle47"/>
          <w:sz w:val="16"/>
          <w:szCs w:val="16"/>
          <w:lang w:val="es-ES_tradnl" w:eastAsia="es-ES_tradnl"/>
        </w:rPr>
      </w:pPr>
      <w:r w:rsidRPr="00EA2757">
        <w:rPr>
          <w:rStyle w:val="FontStyle47"/>
          <w:sz w:val="16"/>
          <w:szCs w:val="16"/>
          <w:lang w:val="es-ES_tradnl" w:eastAsia="es-ES_tradnl"/>
        </w:rPr>
        <w:t>"La normativa hasta ahora reseñada permite concluir que el régimen pensional de los docentes afiliados al Fondo Nacional de Prestaciones Sociales del Magisterio se establece tomando como referencia la fecha de vinculación del docente al servicio educativo estatal, así: i) Si la vinculación es anterior al 27 de junio de 2003, fecha de entrada en vigencia de la ley 812 de 2003, su régimen pensional corresponde al establecido en la ley 91 de 1989 y demás normas aplicables hasta ese momento, sin olvidar las diferencias provenientes de la condición de nacional, nacionalizado o territorial, predicables del docente en particular;...". (Sección Segunda del Consejo de Estado en (Sentencia del 6 de abril de 2011, CP. LUIS RAFAEL VERGARA QUINTERO, radicado con 11001-03-25-000-2004-00220-01 (4582-04))</w:t>
      </w:r>
    </w:p>
  </w:footnote>
  <w:footnote w:id="9">
    <w:p w14:paraId="2E69C7C1" w14:textId="77777777" w:rsidR="00777A61" w:rsidRPr="00EA2757" w:rsidRDefault="00777A61" w:rsidP="00777A61">
      <w:pPr>
        <w:pStyle w:val="Style21"/>
        <w:widowControl/>
        <w:spacing w:line="240" w:lineRule="auto"/>
        <w:rPr>
          <w:rStyle w:val="FontStyle47"/>
          <w:sz w:val="16"/>
          <w:szCs w:val="16"/>
          <w:lang w:val="es-ES_tradnl" w:eastAsia="es-ES_tradnl"/>
        </w:rPr>
      </w:pPr>
      <w:r w:rsidRPr="00EA2757">
        <w:rPr>
          <w:rStyle w:val="FontStyle47"/>
          <w:sz w:val="16"/>
          <w:szCs w:val="16"/>
          <w:vertAlign w:val="superscript"/>
          <w:lang w:val="es-ES_tradnl" w:eastAsia="es-ES_tradnl"/>
        </w:rPr>
        <w:footnoteRef/>
      </w:r>
      <w:r w:rsidRPr="00EA2757">
        <w:rPr>
          <w:rStyle w:val="FontStyle47"/>
          <w:sz w:val="16"/>
          <w:szCs w:val="16"/>
          <w:lang w:val="es-ES_tradnl" w:eastAsia="es-ES_tradnl"/>
        </w:rPr>
        <w:t xml:space="preserve"> "Artículo 15. A partir de la vigencia de la presente Ley el personal docente nacional y nacionalizado y el que se vincule con posterioridad al 1° de enero de 1990 será regido por las siguientes disposiciones:</w:t>
      </w:r>
    </w:p>
    <w:p w14:paraId="2B211021" w14:textId="77777777" w:rsidR="00777A61" w:rsidRPr="00EA2757" w:rsidRDefault="00777A61" w:rsidP="00777A61">
      <w:pPr>
        <w:pStyle w:val="Style23"/>
        <w:widowControl/>
        <w:spacing w:line="240" w:lineRule="auto"/>
        <w:rPr>
          <w:rStyle w:val="FontStyle47"/>
          <w:sz w:val="16"/>
          <w:szCs w:val="16"/>
          <w:lang w:val="es-ES_tradnl" w:eastAsia="es-ES_tradnl"/>
        </w:rPr>
      </w:pPr>
      <w:r w:rsidRPr="00EA2757">
        <w:rPr>
          <w:rStyle w:val="FontStyle47"/>
          <w:sz w:val="16"/>
          <w:szCs w:val="16"/>
          <w:lang w:val="es-ES_tradnl" w:eastAsia="es-ES_tradnl"/>
        </w:rPr>
        <w:t>1. Los docentes nacionalizados que figuren vinculados hasta el 31 de diciembre de 1989, para efectos de las prestaciones económicas y sociales, mantendrán el régimen prestacional que han venido gozando en cada entidad territorial de conformidad con las normas vigentes.</w:t>
      </w:r>
    </w:p>
    <w:p w14:paraId="2E7493BD" w14:textId="77777777" w:rsidR="00777A61" w:rsidRPr="00EA2757" w:rsidRDefault="00777A61" w:rsidP="00777A61">
      <w:pPr>
        <w:pStyle w:val="Style23"/>
        <w:widowControl/>
        <w:spacing w:line="240" w:lineRule="auto"/>
        <w:rPr>
          <w:rStyle w:val="FontStyle47"/>
          <w:sz w:val="16"/>
          <w:szCs w:val="16"/>
          <w:lang w:val="es-ES_tradnl" w:eastAsia="es-ES_tradnl"/>
        </w:rPr>
      </w:pPr>
      <w:r w:rsidRPr="00EA2757">
        <w:rPr>
          <w:rStyle w:val="FontStyle47"/>
          <w:sz w:val="16"/>
          <w:szCs w:val="16"/>
          <w:lang w:val="es-ES_tradnl" w:eastAsia="es-ES_tradnl"/>
        </w:rPr>
        <w:t xml:space="preserve">Los docentes nacionales y los que se vinculen a partir </w:t>
      </w:r>
      <w:proofErr w:type="spellStart"/>
      <w:r w:rsidRPr="00EA2757">
        <w:rPr>
          <w:rStyle w:val="FontStyle47"/>
          <w:sz w:val="16"/>
          <w:szCs w:val="16"/>
          <w:lang w:val="es-ES_tradnl" w:eastAsia="es-ES_tradnl"/>
        </w:rPr>
        <w:t>del</w:t>
      </w:r>
      <w:proofErr w:type="spellEnd"/>
      <w:r w:rsidRPr="00EA2757">
        <w:rPr>
          <w:rStyle w:val="FontStyle47"/>
          <w:sz w:val="16"/>
          <w:szCs w:val="16"/>
          <w:lang w:val="es-ES_tradnl" w:eastAsia="es-ES_tradnl"/>
        </w:rPr>
        <w:t xml:space="preserve"> lo. de enero de 1990, para efecto de las prestaciones económicas y sociales se regirán por las normas vigentes aplicables a los empleados públicos del orden nacional, Decretos 3135 de 1968, 1848 de 1969 y 1045 de 1978, o que se expidan en el futuro, con las excepciones consagradas en esta Ley."</w:t>
      </w:r>
    </w:p>
  </w:footnote>
  <w:footnote w:id="10">
    <w:p w14:paraId="495473A8" w14:textId="77777777" w:rsidR="00777A61" w:rsidRPr="00EA2757" w:rsidRDefault="00777A61" w:rsidP="00777A61">
      <w:pPr>
        <w:pStyle w:val="Style10"/>
        <w:widowControl/>
        <w:spacing w:line="240" w:lineRule="auto"/>
        <w:rPr>
          <w:rStyle w:val="FontStyle46"/>
          <w:sz w:val="16"/>
          <w:szCs w:val="16"/>
          <w:lang w:val="es-ES_tradnl" w:eastAsia="es-ES_tradnl"/>
        </w:rPr>
      </w:pPr>
      <w:r w:rsidRPr="00EA2757">
        <w:rPr>
          <w:rStyle w:val="FontStyle46"/>
          <w:sz w:val="16"/>
          <w:szCs w:val="16"/>
          <w:lang w:val="es-ES_tradnl" w:eastAsia="es-ES_tradnl"/>
        </w:rPr>
        <w:t>» "Artículo 15. (...)</w:t>
      </w:r>
    </w:p>
  </w:footnote>
  <w:footnote w:id="11">
    <w:p w14:paraId="4913C1D7" w14:textId="77777777" w:rsidR="00777A61" w:rsidRPr="00EA2757" w:rsidRDefault="00777A61" w:rsidP="00777A61">
      <w:pPr>
        <w:pStyle w:val="Style3"/>
        <w:widowControl/>
        <w:spacing w:line="240" w:lineRule="auto"/>
        <w:jc w:val="both"/>
        <w:rPr>
          <w:rStyle w:val="FontStyle52"/>
          <w:lang w:val="es-ES_tradnl" w:eastAsia="es-ES_tradnl"/>
        </w:rPr>
      </w:pPr>
      <w:r w:rsidRPr="00EA2757">
        <w:rPr>
          <w:rStyle w:val="FontStyle52"/>
          <w:vertAlign w:val="superscript"/>
          <w:lang w:val="es-ES_tradnl" w:eastAsia="es-ES_tradnl"/>
        </w:rPr>
        <w:footnoteRef/>
      </w:r>
      <w:r w:rsidRPr="00EA2757">
        <w:rPr>
          <w:rStyle w:val="FontStyle52"/>
          <w:lang w:val="es-ES_tradnl" w:eastAsia="es-ES_tradnl"/>
        </w:rPr>
        <w:t xml:space="preserve"> </w:t>
      </w:r>
      <w:r w:rsidRPr="006741E0">
        <w:rPr>
          <w:rStyle w:val="FontStyle52"/>
          <w:sz w:val="20"/>
          <w:szCs w:val="20"/>
          <w:lang w:val="es-ES_tradnl" w:eastAsia="es-ES_tradnl"/>
        </w:rPr>
        <w:t>Consejo de Estado, Sala de lo Contencioso Administrativo, Sección Segunda. Consejero ponente; César Palomino Cortés. Sentencia de unificación Su-014 -CE-s2 -2019 del veinticinco (25) de abril de dos mil diecinueve (2019).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5EF15" w14:textId="77777777" w:rsidR="00466FCD" w:rsidRDefault="00466FCD" w:rsidP="00466FCD">
    <w:pPr>
      <w:pStyle w:val="Encabezado"/>
      <w:rPr>
        <w:rFonts w:ascii="Arial Black" w:hAnsi="Arial Black"/>
        <w:b/>
        <w:color w:val="000000"/>
        <w:sz w:val="20"/>
        <w:szCs w:val="20"/>
        <w14:textOutline w14:w="12700" w14:cap="rnd" w14:cmpd="sng" w14:algn="ctr">
          <w14:noFill/>
          <w14:prstDash w14:val="solid"/>
          <w14:bevel/>
        </w14:textOutline>
      </w:rPr>
    </w:pPr>
    <w:r>
      <w:rPr>
        <w:rFonts w:ascii="Century Gothic" w:eastAsia="Calibri" w:hAnsi="Century Gothic" w:cs="Arial"/>
        <w:b/>
        <w:noProof/>
        <w:lang w:val="es-CO" w:eastAsia="es-CO"/>
      </w:rPr>
      <mc:AlternateContent>
        <mc:Choice Requires="wps">
          <w:drawing>
            <wp:anchor distT="0" distB="0" distL="114300" distR="114300" simplePos="0" relativeHeight="251670528" behindDoc="0" locked="0" layoutInCell="1" allowOverlap="1" wp14:anchorId="5C5B7D8F" wp14:editId="3CECBF66">
              <wp:simplePos x="0" y="0"/>
              <wp:positionH relativeFrom="column">
                <wp:posOffset>1615440</wp:posOffset>
              </wp:positionH>
              <wp:positionV relativeFrom="paragraph">
                <wp:posOffset>6985</wp:posOffset>
              </wp:positionV>
              <wp:extent cx="3209925" cy="847725"/>
              <wp:effectExtent l="0" t="0" r="28575" b="28575"/>
              <wp:wrapNone/>
              <wp:docPr id="7" name="Cuadro de texto 7"/>
              <wp:cNvGraphicFramePr/>
              <a:graphic xmlns:a="http://schemas.openxmlformats.org/drawingml/2006/main">
                <a:graphicData uri="http://schemas.microsoft.com/office/word/2010/wordprocessingShape">
                  <wps:wsp>
                    <wps:cNvSpPr txBox="1"/>
                    <wps:spPr>
                      <a:xfrm>
                        <a:off x="0" y="0"/>
                        <a:ext cx="3209925" cy="847725"/>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14:paraId="0EA66A76" w14:textId="77777777" w:rsidR="00466FCD" w:rsidRPr="000B5CF6" w:rsidRDefault="00466FCD" w:rsidP="00466FCD">
                          <w:pPr>
                            <w:pStyle w:val="NormalWeb"/>
                            <w:spacing w:before="0" w:beforeAutospacing="0" w:after="0" w:afterAutospacing="0"/>
                            <w:jc w:val="center"/>
                            <w:rPr>
                              <w:rFonts w:ascii="Arial Black" w:hAnsi="Arial Black"/>
                              <w:b/>
                              <w:sz w:val="20"/>
                            </w:rPr>
                          </w:pPr>
                        </w:p>
                        <w:p w14:paraId="214EDD74" w14:textId="77777777" w:rsidR="00466FCD" w:rsidRDefault="00466FCD" w:rsidP="00466FCD">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14:paraId="69926189" w14:textId="73BFDAEA" w:rsidR="00466FCD" w:rsidRDefault="00466FCD" w:rsidP="00466FCD">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6B140B">
                            <w:rPr>
                              <w:rFonts w:ascii="Arial Black" w:hAnsi="Arial Black"/>
                              <w:b/>
                              <w:sz w:val="20"/>
                            </w:rPr>
                            <w:t>087</w:t>
                          </w:r>
                          <w:r w:rsidRPr="00515A17">
                            <w:rPr>
                              <w:rFonts w:ascii="Arial Black" w:hAnsi="Arial Black"/>
                              <w:b/>
                              <w:sz w:val="20"/>
                            </w:rPr>
                            <w:t>/2020</w:t>
                          </w:r>
                        </w:p>
                        <w:p w14:paraId="2FB4C007" w14:textId="77777777" w:rsidR="00466FCD" w:rsidRDefault="00466FCD" w:rsidP="00466FCD">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14:paraId="44379EAA" w14:textId="77777777" w:rsidR="00466FCD" w:rsidRPr="000B5CF6" w:rsidRDefault="00466FCD" w:rsidP="00466FCD">
                          <w:pPr>
                            <w:pStyle w:val="NormalWeb"/>
                            <w:spacing w:before="0" w:beforeAutospacing="0" w:after="0" w:afterAutospacing="0"/>
                            <w:jc w:val="center"/>
                            <w:rPr>
                              <w:rFonts w:ascii="Arial Black" w:hAnsi="Arial Black"/>
                              <w:b/>
                              <w:sz w:val="20"/>
                            </w:rPr>
                          </w:pPr>
                        </w:p>
                        <w:p w14:paraId="24CEBC99" w14:textId="77777777" w:rsidR="00466FCD" w:rsidRPr="000B5CF6" w:rsidRDefault="00466FCD" w:rsidP="00466FCD">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C5B7D8F" id="_x0000_t202" coordsize="21600,21600" o:spt="202" path="m,l,21600r21600,l21600,xe">
              <v:stroke joinstyle="miter"/>
              <v:path gradientshapeok="t" o:connecttype="rect"/>
            </v:shapetype>
            <v:shape id="Cuadro de texto 7" o:spid="_x0000_s1026" type="#_x0000_t202" style="position:absolute;margin-left:127.2pt;margin-top:.55pt;width:252.75pt;height:66.7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" filled="f" strokecolor="white [3212]" strokeweight=".5pt">
              <v:textbox>
                <w:txbxContent>
                  <w:p w14:paraId="0EA66A76" w14:textId="77777777" w:rsidR="00466FCD" w:rsidRPr="000B5CF6" w:rsidRDefault="00466FCD" w:rsidP="00466FCD">
                    <w:pPr>
                      <w:pStyle w:val="NormalWeb"/>
                      <w:spacing w:before="0" w:beforeAutospacing="0" w:after="0" w:afterAutospacing="0"/>
                      <w:jc w:val="center"/>
                      <w:rPr>
                        <w:rFonts w:ascii="Arial Black" w:hAnsi="Arial Black"/>
                        <w:b/>
                        <w:sz w:val="20"/>
                      </w:rPr>
                    </w:pPr>
                  </w:p>
                  <w:p w14:paraId="214EDD74" w14:textId="77777777" w:rsidR="00466FCD" w:rsidRDefault="00466FCD" w:rsidP="00466FCD">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14:paraId="69926189" w14:textId="73BFDAEA" w:rsidR="00466FCD" w:rsidRDefault="00466FCD" w:rsidP="00466FCD">
                    <w:pPr>
                      <w:pStyle w:val="NormalWeb"/>
                      <w:spacing w:before="0" w:beforeAutospacing="0" w:after="0" w:afterAutospacing="0"/>
                      <w:jc w:val="center"/>
                      <w:rPr>
                        <w:rFonts w:ascii="Arial Black" w:hAnsi="Arial Black"/>
                        <w:b/>
                        <w:sz w:val="20"/>
                      </w:rPr>
                    </w:pPr>
                    <w:r>
                      <w:rPr>
                        <w:rFonts w:ascii="Arial Black" w:hAnsi="Arial Black"/>
                        <w:b/>
                        <w:sz w:val="20"/>
                      </w:rPr>
                      <w:t>SENTENCIA</w:t>
                    </w:r>
                    <w:r w:rsidRPr="000B5CF6">
                      <w:rPr>
                        <w:rFonts w:ascii="Arial Black" w:hAnsi="Arial Black"/>
                        <w:b/>
                        <w:sz w:val="20"/>
                      </w:rPr>
                      <w:t xml:space="preserve"> No.</w:t>
                    </w:r>
                    <w:r>
                      <w:rPr>
                        <w:rFonts w:ascii="Arial Black" w:hAnsi="Arial Black"/>
                        <w:b/>
                        <w:sz w:val="20"/>
                      </w:rPr>
                      <w:t xml:space="preserve"> </w:t>
                    </w:r>
                    <w:r w:rsidR="006B140B">
                      <w:rPr>
                        <w:rFonts w:ascii="Arial Black" w:hAnsi="Arial Black"/>
                        <w:b/>
                        <w:sz w:val="20"/>
                      </w:rPr>
                      <w:t>087</w:t>
                    </w:r>
                    <w:r w:rsidRPr="00515A17">
                      <w:rPr>
                        <w:rFonts w:ascii="Arial Black" w:hAnsi="Arial Black"/>
                        <w:b/>
                        <w:sz w:val="20"/>
                      </w:rPr>
                      <w:t>/2020</w:t>
                    </w:r>
                  </w:p>
                  <w:p w14:paraId="2FB4C007" w14:textId="77777777" w:rsidR="00466FCD" w:rsidRDefault="00466FCD" w:rsidP="00466FCD">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14:paraId="44379EAA" w14:textId="77777777" w:rsidR="00466FCD" w:rsidRPr="000B5CF6" w:rsidRDefault="00466FCD" w:rsidP="00466FCD">
                    <w:pPr>
                      <w:pStyle w:val="NormalWeb"/>
                      <w:spacing w:before="0" w:beforeAutospacing="0" w:after="0" w:afterAutospacing="0"/>
                      <w:jc w:val="center"/>
                      <w:rPr>
                        <w:rFonts w:ascii="Arial Black" w:hAnsi="Arial Black"/>
                        <w:b/>
                        <w:sz w:val="20"/>
                      </w:rPr>
                    </w:pPr>
                  </w:p>
                  <w:p w14:paraId="24CEBC99" w14:textId="77777777" w:rsidR="00466FCD" w:rsidRPr="000B5CF6" w:rsidRDefault="00466FCD" w:rsidP="00466FCD">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Pr>
        <w:rFonts w:ascii="Arial Black" w:hAnsi="Arial Black"/>
        <w:b/>
        <w:noProof/>
        <w:color w:val="000000"/>
        <w:sz w:val="20"/>
        <w:szCs w:val="20"/>
        <w:lang w:val="es-CO" w:eastAsia="es-CO"/>
      </w:rPr>
      <w:drawing>
        <wp:anchor distT="0" distB="0" distL="114300" distR="114300" simplePos="0" relativeHeight="251672576" behindDoc="1" locked="0" layoutInCell="1" allowOverlap="1" wp14:anchorId="61778DD6" wp14:editId="42892628">
          <wp:simplePos x="0" y="0"/>
          <wp:positionH relativeFrom="column">
            <wp:posOffset>-238125</wp:posOffset>
          </wp:positionH>
          <wp:positionV relativeFrom="paragraph">
            <wp:posOffset>94615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Pr="00F43C6E">
      <w:rPr>
        <w:rFonts w:ascii="Century Gothic" w:eastAsia="Calibri" w:hAnsi="Century Gothic" w:cs="Arial"/>
        <w:b/>
        <w:noProof/>
        <w:lang w:val="es-CO" w:eastAsia="es-CO"/>
      </w:rPr>
      <w:drawing>
        <wp:anchor distT="0" distB="0" distL="114300" distR="114300" simplePos="0" relativeHeight="251671552" behindDoc="0" locked="0" layoutInCell="1" allowOverlap="1" wp14:anchorId="22899716" wp14:editId="1375F692">
          <wp:simplePos x="0" y="0"/>
          <wp:positionH relativeFrom="column">
            <wp:posOffset>4876800</wp:posOffset>
          </wp:positionH>
          <wp:positionV relativeFrom="paragraph">
            <wp:posOffset>115570</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Black" w:hAnsi="Arial Black"/>
        <w:b/>
        <w:color w:val="000000"/>
        <w:sz w:val="20"/>
        <w:szCs w:val="20"/>
        <w14:textOutline w14:w="12700" w14:cap="rnd" w14:cmpd="sng" w14:algn="ctr">
          <w14:noFill/>
          <w14:prstDash w14:val="solid"/>
          <w14:bevel/>
        </w14:textOutline>
      </w:rPr>
      <w:t xml:space="preserve">                         </w:t>
    </w:r>
  </w:p>
  <w:p w14:paraId="0C51C6A2" w14:textId="77777777" w:rsidR="00466FCD" w:rsidRDefault="00466FCD" w:rsidP="00466FCD">
    <w:pPr>
      <w:pStyle w:val="NormalWeb"/>
      <w:tabs>
        <w:tab w:val="left" w:pos="391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383DEBB3" w14:textId="77777777" w:rsidR="00466FCD" w:rsidRDefault="00466FCD" w:rsidP="00466FCD">
    <w:pPr>
      <w:pStyle w:val="NormalWeb"/>
      <w:spacing w:before="0" w:beforeAutospacing="0" w:after="0" w:afterAutospacing="0"/>
      <w:jc w:val="center"/>
      <w:rPr>
        <w:b/>
        <w:sz w:val="20"/>
        <w:szCs w:val="20"/>
        <w14:textOutline w14:w="12700" w14:cap="rnd" w14:cmpd="sng" w14:algn="ctr">
          <w14:noFill/>
          <w14:prstDash w14:val="solid"/>
          <w14:bevel/>
        </w14:textOutline>
      </w:rPr>
    </w:pPr>
  </w:p>
  <w:p w14:paraId="3A880A5E" w14:textId="77777777" w:rsidR="00466FCD" w:rsidRDefault="00466FCD" w:rsidP="00466FCD">
    <w:pPr>
      <w:pStyle w:val="NormalWeb"/>
      <w:tabs>
        <w:tab w:val="left" w:pos="855"/>
      </w:tabs>
      <w:spacing w:before="0" w:beforeAutospacing="0" w:after="0" w:afterAutospacing="0"/>
      <w:rPr>
        <w:b/>
        <w:sz w:val="20"/>
        <w:szCs w:val="20"/>
        <w14:textOutline w14:w="12700" w14:cap="rnd" w14:cmpd="sng" w14:algn="ctr">
          <w14:noFill/>
          <w14:prstDash w14:val="solid"/>
          <w14:bevel/>
        </w14:textOutline>
      </w:rPr>
    </w:pPr>
    <w:r>
      <w:rPr>
        <w:b/>
        <w:sz w:val="20"/>
        <w:szCs w:val="20"/>
        <w14:textOutline w14:w="12700" w14:cap="rnd" w14:cmpd="sng" w14:algn="ctr">
          <w14:noFill/>
          <w14:prstDash w14:val="solid"/>
          <w14:bevel/>
        </w14:textOutline>
      </w:rPr>
      <w:tab/>
    </w:r>
  </w:p>
  <w:p w14:paraId="100297E9" w14:textId="77777777" w:rsidR="00466FCD" w:rsidRDefault="00466FCD" w:rsidP="00466FCD">
    <w:pPr>
      <w:pStyle w:val="Encabezado"/>
    </w:pPr>
  </w:p>
  <w:p w14:paraId="4E8A7E5D" w14:textId="77777777" w:rsidR="00466FCD" w:rsidRDefault="00466FCD" w:rsidP="00466FCD">
    <w:pPr>
      <w:pStyle w:val="Encabezado"/>
      <w:tabs>
        <w:tab w:val="left" w:pos="6855"/>
      </w:tabs>
      <w:jc w:val="right"/>
      <w:rPr>
        <w:rFonts w:ascii="Arial" w:hAnsi="Arial" w:cs="Arial"/>
        <w:b/>
        <w:sz w:val="20"/>
        <w:szCs w:val="20"/>
      </w:rPr>
    </w:pPr>
    <w:r>
      <w:rPr>
        <w:rFonts w:ascii="Arial" w:hAnsi="Arial" w:cs="Arial"/>
        <w:b/>
        <w:sz w:val="20"/>
        <w:szCs w:val="20"/>
      </w:rPr>
      <w:t xml:space="preserve">    </w:t>
    </w:r>
  </w:p>
  <w:p w14:paraId="4E63C7CA" w14:textId="34825356" w:rsidR="00551D8E" w:rsidRPr="00466FCD" w:rsidRDefault="00466FCD" w:rsidP="00466FCD">
    <w:pPr>
      <w:pStyle w:val="Encabezado"/>
      <w:tabs>
        <w:tab w:val="left" w:pos="6855"/>
      </w:tabs>
      <w:jc w:val="right"/>
    </w:pPr>
    <w:r>
      <w:rPr>
        <w:rFonts w:ascii="Arial" w:hAnsi="Arial" w:cs="Arial"/>
        <w:b/>
        <w:sz w:val="20"/>
        <w:szCs w:val="20"/>
        <w:lang w:val="es-CO"/>
      </w:rPr>
      <w:t>13-001-33-33-013-2017-00187-01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5038"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0E43DDA"/>
    <w:multiLevelType w:val="hybridMultilevel"/>
    <w:tmpl w:val="1CEC0A82"/>
    <w:lvl w:ilvl="0" w:tplc="240A0001">
      <w:start w:val="1"/>
      <w:numFmt w:val="bullet"/>
      <w:lvlText w:val=""/>
      <w:lvlJc w:val="left"/>
      <w:pPr>
        <w:ind w:left="849" w:hanging="360"/>
      </w:pPr>
      <w:rPr>
        <w:rFonts w:ascii="Symbol" w:hAnsi="Symbol" w:hint="default"/>
      </w:rPr>
    </w:lvl>
    <w:lvl w:ilvl="1" w:tplc="240A0003" w:tentative="1">
      <w:start w:val="1"/>
      <w:numFmt w:val="bullet"/>
      <w:lvlText w:val="o"/>
      <w:lvlJc w:val="left"/>
      <w:pPr>
        <w:ind w:left="1569" w:hanging="360"/>
      </w:pPr>
      <w:rPr>
        <w:rFonts w:ascii="Courier New" w:hAnsi="Courier New" w:cs="Courier New" w:hint="default"/>
      </w:rPr>
    </w:lvl>
    <w:lvl w:ilvl="2" w:tplc="240A0005" w:tentative="1">
      <w:start w:val="1"/>
      <w:numFmt w:val="bullet"/>
      <w:lvlText w:val=""/>
      <w:lvlJc w:val="left"/>
      <w:pPr>
        <w:ind w:left="2289" w:hanging="360"/>
      </w:pPr>
      <w:rPr>
        <w:rFonts w:ascii="Wingdings" w:hAnsi="Wingdings" w:hint="default"/>
      </w:rPr>
    </w:lvl>
    <w:lvl w:ilvl="3" w:tplc="240A0001" w:tentative="1">
      <w:start w:val="1"/>
      <w:numFmt w:val="bullet"/>
      <w:lvlText w:val=""/>
      <w:lvlJc w:val="left"/>
      <w:pPr>
        <w:ind w:left="3009" w:hanging="360"/>
      </w:pPr>
      <w:rPr>
        <w:rFonts w:ascii="Symbol" w:hAnsi="Symbol" w:hint="default"/>
      </w:rPr>
    </w:lvl>
    <w:lvl w:ilvl="4" w:tplc="240A0003" w:tentative="1">
      <w:start w:val="1"/>
      <w:numFmt w:val="bullet"/>
      <w:lvlText w:val="o"/>
      <w:lvlJc w:val="left"/>
      <w:pPr>
        <w:ind w:left="3729" w:hanging="360"/>
      </w:pPr>
      <w:rPr>
        <w:rFonts w:ascii="Courier New" w:hAnsi="Courier New" w:cs="Courier New" w:hint="default"/>
      </w:rPr>
    </w:lvl>
    <w:lvl w:ilvl="5" w:tplc="240A0005" w:tentative="1">
      <w:start w:val="1"/>
      <w:numFmt w:val="bullet"/>
      <w:lvlText w:val=""/>
      <w:lvlJc w:val="left"/>
      <w:pPr>
        <w:ind w:left="4449" w:hanging="360"/>
      </w:pPr>
      <w:rPr>
        <w:rFonts w:ascii="Wingdings" w:hAnsi="Wingdings" w:hint="default"/>
      </w:rPr>
    </w:lvl>
    <w:lvl w:ilvl="6" w:tplc="240A0001" w:tentative="1">
      <w:start w:val="1"/>
      <w:numFmt w:val="bullet"/>
      <w:lvlText w:val=""/>
      <w:lvlJc w:val="left"/>
      <w:pPr>
        <w:ind w:left="5169" w:hanging="360"/>
      </w:pPr>
      <w:rPr>
        <w:rFonts w:ascii="Symbol" w:hAnsi="Symbol" w:hint="default"/>
      </w:rPr>
    </w:lvl>
    <w:lvl w:ilvl="7" w:tplc="240A0003" w:tentative="1">
      <w:start w:val="1"/>
      <w:numFmt w:val="bullet"/>
      <w:lvlText w:val="o"/>
      <w:lvlJc w:val="left"/>
      <w:pPr>
        <w:ind w:left="5889" w:hanging="360"/>
      </w:pPr>
      <w:rPr>
        <w:rFonts w:ascii="Courier New" w:hAnsi="Courier New" w:cs="Courier New" w:hint="default"/>
      </w:rPr>
    </w:lvl>
    <w:lvl w:ilvl="8" w:tplc="240A0005" w:tentative="1">
      <w:start w:val="1"/>
      <w:numFmt w:val="bullet"/>
      <w:lvlText w:val=""/>
      <w:lvlJc w:val="left"/>
      <w:pPr>
        <w:ind w:left="6609" w:hanging="360"/>
      </w:pPr>
      <w:rPr>
        <w:rFonts w:ascii="Wingdings" w:hAnsi="Wingdings" w:hint="default"/>
      </w:rPr>
    </w:lvl>
  </w:abstractNum>
  <w:abstractNum w:abstractNumId="2">
    <w:nsid w:val="10EC526C"/>
    <w:multiLevelType w:val="hybridMultilevel"/>
    <w:tmpl w:val="7938DD8C"/>
    <w:lvl w:ilvl="0" w:tplc="DC3EE96A">
      <w:start w:val="1"/>
      <w:numFmt w:val="decimal"/>
      <w:lvlText w:val="%1."/>
      <w:lvlJc w:val="left"/>
      <w:pPr>
        <w:ind w:left="1550" w:hanging="565"/>
        <w:jc w:val="right"/>
      </w:pPr>
      <w:rPr>
        <w:rFonts w:ascii="Arial" w:eastAsia="Arial" w:hAnsi="Arial" w:cs="Arial" w:hint="default"/>
        <w:w w:val="100"/>
        <w:sz w:val="22"/>
        <w:szCs w:val="22"/>
      </w:rPr>
    </w:lvl>
    <w:lvl w:ilvl="1" w:tplc="29CA7BD2">
      <w:numFmt w:val="bullet"/>
      <w:lvlText w:val="•"/>
      <w:lvlJc w:val="left"/>
      <w:pPr>
        <w:ind w:left="2486" w:hanging="565"/>
      </w:pPr>
      <w:rPr>
        <w:rFonts w:hint="default"/>
      </w:rPr>
    </w:lvl>
    <w:lvl w:ilvl="2" w:tplc="B4EC3BD0">
      <w:numFmt w:val="bullet"/>
      <w:lvlText w:val="•"/>
      <w:lvlJc w:val="left"/>
      <w:pPr>
        <w:ind w:left="3413" w:hanging="565"/>
      </w:pPr>
      <w:rPr>
        <w:rFonts w:hint="default"/>
      </w:rPr>
    </w:lvl>
    <w:lvl w:ilvl="3" w:tplc="296EE24C">
      <w:numFmt w:val="bullet"/>
      <w:lvlText w:val="•"/>
      <w:lvlJc w:val="left"/>
      <w:pPr>
        <w:ind w:left="4340" w:hanging="565"/>
      </w:pPr>
      <w:rPr>
        <w:rFonts w:hint="default"/>
      </w:rPr>
    </w:lvl>
    <w:lvl w:ilvl="4" w:tplc="033C706A">
      <w:numFmt w:val="bullet"/>
      <w:lvlText w:val="•"/>
      <w:lvlJc w:val="left"/>
      <w:pPr>
        <w:ind w:left="5267" w:hanging="565"/>
      </w:pPr>
      <w:rPr>
        <w:rFonts w:hint="default"/>
      </w:rPr>
    </w:lvl>
    <w:lvl w:ilvl="5" w:tplc="EE0E150C">
      <w:numFmt w:val="bullet"/>
      <w:lvlText w:val="•"/>
      <w:lvlJc w:val="left"/>
      <w:pPr>
        <w:ind w:left="6194" w:hanging="565"/>
      </w:pPr>
      <w:rPr>
        <w:rFonts w:hint="default"/>
      </w:rPr>
    </w:lvl>
    <w:lvl w:ilvl="6" w:tplc="B9C08638">
      <w:numFmt w:val="bullet"/>
      <w:lvlText w:val="•"/>
      <w:lvlJc w:val="left"/>
      <w:pPr>
        <w:ind w:left="7121" w:hanging="565"/>
      </w:pPr>
      <w:rPr>
        <w:rFonts w:hint="default"/>
      </w:rPr>
    </w:lvl>
    <w:lvl w:ilvl="7" w:tplc="B5FAAD0E">
      <w:numFmt w:val="bullet"/>
      <w:lvlText w:val="•"/>
      <w:lvlJc w:val="left"/>
      <w:pPr>
        <w:ind w:left="8048" w:hanging="565"/>
      </w:pPr>
      <w:rPr>
        <w:rFonts w:hint="default"/>
      </w:rPr>
    </w:lvl>
    <w:lvl w:ilvl="8" w:tplc="9A5C237E">
      <w:numFmt w:val="bullet"/>
      <w:lvlText w:val="•"/>
      <w:lvlJc w:val="left"/>
      <w:pPr>
        <w:ind w:left="8975" w:hanging="565"/>
      </w:pPr>
      <w:rPr>
        <w:rFonts w:hint="default"/>
      </w:rPr>
    </w:lvl>
  </w:abstractNum>
  <w:abstractNum w:abstractNumId="3">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1BF00A37"/>
    <w:multiLevelType w:val="hybridMultilevel"/>
    <w:tmpl w:val="DFB83EF2"/>
    <w:lvl w:ilvl="0" w:tplc="3AB472BA">
      <w:start w:val="1"/>
      <w:numFmt w:val="decimal"/>
      <w:lvlText w:val="%1."/>
      <w:lvlJc w:val="left"/>
      <w:pPr>
        <w:ind w:left="502" w:hanging="360"/>
      </w:pPr>
      <w:rPr>
        <w:rFonts w:hint="default"/>
        <w:b/>
      </w:rPr>
    </w:lvl>
    <w:lvl w:ilvl="1" w:tplc="240A0019">
      <w:start w:val="1"/>
      <w:numFmt w:val="lowerLetter"/>
      <w:lvlText w:val="%2."/>
      <w:lvlJc w:val="left"/>
      <w:pPr>
        <w:ind w:left="1440" w:hanging="360"/>
      </w:pPr>
    </w:lvl>
    <w:lvl w:ilvl="2" w:tplc="240A0001">
      <w:start w:val="1"/>
      <w:numFmt w:val="bullet"/>
      <w:lvlText w:val=""/>
      <w:lvlJc w:val="left"/>
      <w:pPr>
        <w:ind w:left="2160" w:hanging="180"/>
      </w:pPr>
      <w:rPr>
        <w:rFonts w:ascii="Symbol" w:hAnsi="Symbol" w:hint="default"/>
      </w:rPr>
    </w:lvl>
    <w:lvl w:ilvl="3" w:tplc="F5AA1CD2">
      <w:start w:val="1"/>
      <w:numFmt w:val="lowerRoman"/>
      <w:lvlText w:val="%4)"/>
      <w:lvlJc w:val="left"/>
      <w:pPr>
        <w:ind w:left="720" w:hanging="720"/>
      </w:pPr>
      <w:rPr>
        <w:rFonts w:hint="default"/>
      </w:r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218A50A3"/>
    <w:multiLevelType w:val="hybridMultilevel"/>
    <w:tmpl w:val="1DFEDBD2"/>
    <w:lvl w:ilvl="0" w:tplc="66702EBA">
      <w:start w:val="6"/>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nsid w:val="25A618D9"/>
    <w:multiLevelType w:val="hybridMultilevel"/>
    <w:tmpl w:val="D512C176"/>
    <w:lvl w:ilvl="0" w:tplc="240A0001">
      <w:start w:val="1"/>
      <w:numFmt w:val="bullet"/>
      <w:lvlText w:val=""/>
      <w:lvlJc w:val="left"/>
      <w:pPr>
        <w:ind w:left="1222" w:hanging="360"/>
      </w:pPr>
      <w:rPr>
        <w:rFonts w:ascii="Symbol" w:hAnsi="Symbol" w:hint="default"/>
      </w:rPr>
    </w:lvl>
    <w:lvl w:ilvl="1" w:tplc="240A0003" w:tentative="1">
      <w:start w:val="1"/>
      <w:numFmt w:val="bullet"/>
      <w:lvlText w:val="o"/>
      <w:lvlJc w:val="left"/>
      <w:pPr>
        <w:ind w:left="1942" w:hanging="360"/>
      </w:pPr>
      <w:rPr>
        <w:rFonts w:ascii="Courier New" w:hAnsi="Courier New" w:cs="Courier New" w:hint="default"/>
      </w:rPr>
    </w:lvl>
    <w:lvl w:ilvl="2" w:tplc="240A0005" w:tentative="1">
      <w:start w:val="1"/>
      <w:numFmt w:val="bullet"/>
      <w:lvlText w:val=""/>
      <w:lvlJc w:val="left"/>
      <w:pPr>
        <w:ind w:left="2662" w:hanging="360"/>
      </w:pPr>
      <w:rPr>
        <w:rFonts w:ascii="Wingdings" w:hAnsi="Wingdings" w:hint="default"/>
      </w:rPr>
    </w:lvl>
    <w:lvl w:ilvl="3" w:tplc="240A0001" w:tentative="1">
      <w:start w:val="1"/>
      <w:numFmt w:val="bullet"/>
      <w:lvlText w:val=""/>
      <w:lvlJc w:val="left"/>
      <w:pPr>
        <w:ind w:left="3382" w:hanging="360"/>
      </w:pPr>
      <w:rPr>
        <w:rFonts w:ascii="Symbol" w:hAnsi="Symbol" w:hint="default"/>
      </w:rPr>
    </w:lvl>
    <w:lvl w:ilvl="4" w:tplc="240A0003" w:tentative="1">
      <w:start w:val="1"/>
      <w:numFmt w:val="bullet"/>
      <w:lvlText w:val="o"/>
      <w:lvlJc w:val="left"/>
      <w:pPr>
        <w:ind w:left="4102" w:hanging="360"/>
      </w:pPr>
      <w:rPr>
        <w:rFonts w:ascii="Courier New" w:hAnsi="Courier New" w:cs="Courier New" w:hint="default"/>
      </w:rPr>
    </w:lvl>
    <w:lvl w:ilvl="5" w:tplc="240A0005" w:tentative="1">
      <w:start w:val="1"/>
      <w:numFmt w:val="bullet"/>
      <w:lvlText w:val=""/>
      <w:lvlJc w:val="left"/>
      <w:pPr>
        <w:ind w:left="4822" w:hanging="360"/>
      </w:pPr>
      <w:rPr>
        <w:rFonts w:ascii="Wingdings" w:hAnsi="Wingdings" w:hint="default"/>
      </w:rPr>
    </w:lvl>
    <w:lvl w:ilvl="6" w:tplc="240A0001" w:tentative="1">
      <w:start w:val="1"/>
      <w:numFmt w:val="bullet"/>
      <w:lvlText w:val=""/>
      <w:lvlJc w:val="left"/>
      <w:pPr>
        <w:ind w:left="5542" w:hanging="360"/>
      </w:pPr>
      <w:rPr>
        <w:rFonts w:ascii="Symbol" w:hAnsi="Symbol" w:hint="default"/>
      </w:rPr>
    </w:lvl>
    <w:lvl w:ilvl="7" w:tplc="240A0003" w:tentative="1">
      <w:start w:val="1"/>
      <w:numFmt w:val="bullet"/>
      <w:lvlText w:val="o"/>
      <w:lvlJc w:val="left"/>
      <w:pPr>
        <w:ind w:left="6262" w:hanging="360"/>
      </w:pPr>
      <w:rPr>
        <w:rFonts w:ascii="Courier New" w:hAnsi="Courier New" w:cs="Courier New" w:hint="default"/>
      </w:rPr>
    </w:lvl>
    <w:lvl w:ilvl="8" w:tplc="240A0005" w:tentative="1">
      <w:start w:val="1"/>
      <w:numFmt w:val="bullet"/>
      <w:lvlText w:val=""/>
      <w:lvlJc w:val="left"/>
      <w:pPr>
        <w:ind w:left="6982" w:hanging="360"/>
      </w:pPr>
      <w:rPr>
        <w:rFonts w:ascii="Wingdings" w:hAnsi="Wingdings" w:hint="default"/>
      </w:rPr>
    </w:lvl>
  </w:abstractNum>
  <w:abstractNum w:abstractNumId="7">
    <w:nsid w:val="262B00D3"/>
    <w:multiLevelType w:val="hybridMultilevel"/>
    <w:tmpl w:val="89342B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2EC44C27"/>
    <w:multiLevelType w:val="hybridMultilevel"/>
    <w:tmpl w:val="B6A2E01C"/>
    <w:lvl w:ilvl="0" w:tplc="65F86172">
      <w:start w:val="1"/>
      <w:numFmt w:val="decimal"/>
      <w:lvlText w:val="%1."/>
      <w:lvlJc w:val="left"/>
      <w:pPr>
        <w:ind w:left="928" w:hanging="360"/>
      </w:pPr>
      <w:rPr>
        <w:rFonts w:hint="default"/>
      </w:rPr>
    </w:lvl>
    <w:lvl w:ilvl="1" w:tplc="240A0019" w:tentative="1">
      <w:start w:val="1"/>
      <w:numFmt w:val="lowerLetter"/>
      <w:lvlText w:val="%2."/>
      <w:lvlJc w:val="left"/>
      <w:pPr>
        <w:ind w:left="1648" w:hanging="360"/>
      </w:pPr>
    </w:lvl>
    <w:lvl w:ilvl="2" w:tplc="240A001B" w:tentative="1">
      <w:start w:val="1"/>
      <w:numFmt w:val="lowerRoman"/>
      <w:lvlText w:val="%3."/>
      <w:lvlJc w:val="right"/>
      <w:pPr>
        <w:ind w:left="2368" w:hanging="180"/>
      </w:pPr>
    </w:lvl>
    <w:lvl w:ilvl="3" w:tplc="240A000F" w:tentative="1">
      <w:start w:val="1"/>
      <w:numFmt w:val="decimal"/>
      <w:lvlText w:val="%4."/>
      <w:lvlJc w:val="left"/>
      <w:pPr>
        <w:ind w:left="3088" w:hanging="360"/>
      </w:pPr>
    </w:lvl>
    <w:lvl w:ilvl="4" w:tplc="240A0019" w:tentative="1">
      <w:start w:val="1"/>
      <w:numFmt w:val="lowerLetter"/>
      <w:lvlText w:val="%5."/>
      <w:lvlJc w:val="left"/>
      <w:pPr>
        <w:ind w:left="3808" w:hanging="360"/>
      </w:pPr>
    </w:lvl>
    <w:lvl w:ilvl="5" w:tplc="240A001B" w:tentative="1">
      <w:start w:val="1"/>
      <w:numFmt w:val="lowerRoman"/>
      <w:lvlText w:val="%6."/>
      <w:lvlJc w:val="right"/>
      <w:pPr>
        <w:ind w:left="4528" w:hanging="180"/>
      </w:pPr>
    </w:lvl>
    <w:lvl w:ilvl="6" w:tplc="240A000F" w:tentative="1">
      <w:start w:val="1"/>
      <w:numFmt w:val="decimal"/>
      <w:lvlText w:val="%7."/>
      <w:lvlJc w:val="left"/>
      <w:pPr>
        <w:ind w:left="5248" w:hanging="360"/>
      </w:pPr>
    </w:lvl>
    <w:lvl w:ilvl="7" w:tplc="240A0019" w:tentative="1">
      <w:start w:val="1"/>
      <w:numFmt w:val="lowerLetter"/>
      <w:lvlText w:val="%8."/>
      <w:lvlJc w:val="left"/>
      <w:pPr>
        <w:ind w:left="5968" w:hanging="360"/>
      </w:pPr>
    </w:lvl>
    <w:lvl w:ilvl="8" w:tplc="240A001B" w:tentative="1">
      <w:start w:val="1"/>
      <w:numFmt w:val="lowerRoman"/>
      <w:lvlText w:val="%9."/>
      <w:lvlJc w:val="right"/>
      <w:pPr>
        <w:ind w:left="6688" w:hanging="180"/>
      </w:pPr>
    </w:lvl>
  </w:abstractNum>
  <w:abstractNum w:abstractNumId="9">
    <w:nsid w:val="39ED067F"/>
    <w:multiLevelType w:val="hybridMultilevel"/>
    <w:tmpl w:val="B7B2B656"/>
    <w:lvl w:ilvl="0" w:tplc="240A000B">
      <w:start w:val="1"/>
      <w:numFmt w:val="bullet"/>
      <w:lvlText w:val=""/>
      <w:lvlJc w:val="left"/>
      <w:pPr>
        <w:ind w:left="720" w:hanging="360"/>
      </w:pPr>
      <w:rPr>
        <w:rFonts w:ascii="Wingdings" w:hAnsi="Wingding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0">
    <w:nsid w:val="3CD274AA"/>
    <w:multiLevelType w:val="hybridMultilevel"/>
    <w:tmpl w:val="02C48D46"/>
    <w:lvl w:ilvl="0" w:tplc="40A68E0C">
      <w:start w:val="1"/>
      <w:numFmt w:val="bullet"/>
      <w:lvlText w:val="-"/>
      <w:lvlJc w:val="left"/>
      <w:pPr>
        <w:ind w:left="720" w:hanging="360"/>
      </w:pPr>
      <w:rPr>
        <w:rFonts w:ascii="Century Gothic" w:eastAsia="Calibri" w:hAnsi="Century Gothic"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nsid w:val="3D036929"/>
    <w:multiLevelType w:val="hybridMultilevel"/>
    <w:tmpl w:val="2A5EB0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42696E01"/>
    <w:multiLevelType w:val="hybridMultilevel"/>
    <w:tmpl w:val="F58A4E1A"/>
    <w:lvl w:ilvl="0" w:tplc="C5026A6E">
      <w:start w:val="3"/>
      <w:numFmt w:val="bullet"/>
      <w:lvlText w:val="-"/>
      <w:lvlJc w:val="left"/>
      <w:pPr>
        <w:ind w:left="720" w:hanging="360"/>
      </w:pPr>
      <w:rPr>
        <w:rFonts w:ascii="Arial" w:eastAsia="Times New Roman" w:hAnsi="Arial" w:cs="Times New Roman"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nsid w:val="432E6BEB"/>
    <w:multiLevelType w:val="hybridMultilevel"/>
    <w:tmpl w:val="BD341A58"/>
    <w:lvl w:ilvl="0" w:tplc="240A000B">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4B571F0A"/>
    <w:multiLevelType w:val="hybridMultilevel"/>
    <w:tmpl w:val="7938DD8C"/>
    <w:lvl w:ilvl="0" w:tplc="DC3EE96A">
      <w:start w:val="1"/>
      <w:numFmt w:val="decimal"/>
      <w:lvlText w:val="%1."/>
      <w:lvlJc w:val="left"/>
      <w:pPr>
        <w:ind w:left="1550" w:hanging="565"/>
        <w:jc w:val="right"/>
      </w:pPr>
      <w:rPr>
        <w:rFonts w:ascii="Arial" w:eastAsia="Arial" w:hAnsi="Arial" w:cs="Arial" w:hint="default"/>
        <w:w w:val="100"/>
        <w:sz w:val="22"/>
        <w:szCs w:val="22"/>
      </w:rPr>
    </w:lvl>
    <w:lvl w:ilvl="1" w:tplc="29CA7BD2">
      <w:numFmt w:val="bullet"/>
      <w:lvlText w:val="•"/>
      <w:lvlJc w:val="left"/>
      <w:pPr>
        <w:ind w:left="2486" w:hanging="565"/>
      </w:pPr>
      <w:rPr>
        <w:rFonts w:hint="default"/>
      </w:rPr>
    </w:lvl>
    <w:lvl w:ilvl="2" w:tplc="B4EC3BD0">
      <w:numFmt w:val="bullet"/>
      <w:lvlText w:val="•"/>
      <w:lvlJc w:val="left"/>
      <w:pPr>
        <w:ind w:left="3413" w:hanging="565"/>
      </w:pPr>
      <w:rPr>
        <w:rFonts w:hint="default"/>
      </w:rPr>
    </w:lvl>
    <w:lvl w:ilvl="3" w:tplc="296EE24C">
      <w:numFmt w:val="bullet"/>
      <w:lvlText w:val="•"/>
      <w:lvlJc w:val="left"/>
      <w:pPr>
        <w:ind w:left="4340" w:hanging="565"/>
      </w:pPr>
      <w:rPr>
        <w:rFonts w:hint="default"/>
      </w:rPr>
    </w:lvl>
    <w:lvl w:ilvl="4" w:tplc="033C706A">
      <w:numFmt w:val="bullet"/>
      <w:lvlText w:val="•"/>
      <w:lvlJc w:val="left"/>
      <w:pPr>
        <w:ind w:left="5267" w:hanging="565"/>
      </w:pPr>
      <w:rPr>
        <w:rFonts w:hint="default"/>
      </w:rPr>
    </w:lvl>
    <w:lvl w:ilvl="5" w:tplc="EE0E150C">
      <w:numFmt w:val="bullet"/>
      <w:lvlText w:val="•"/>
      <w:lvlJc w:val="left"/>
      <w:pPr>
        <w:ind w:left="6194" w:hanging="565"/>
      </w:pPr>
      <w:rPr>
        <w:rFonts w:hint="default"/>
      </w:rPr>
    </w:lvl>
    <w:lvl w:ilvl="6" w:tplc="B9C08638">
      <w:numFmt w:val="bullet"/>
      <w:lvlText w:val="•"/>
      <w:lvlJc w:val="left"/>
      <w:pPr>
        <w:ind w:left="7121" w:hanging="565"/>
      </w:pPr>
      <w:rPr>
        <w:rFonts w:hint="default"/>
      </w:rPr>
    </w:lvl>
    <w:lvl w:ilvl="7" w:tplc="B5FAAD0E">
      <w:numFmt w:val="bullet"/>
      <w:lvlText w:val="•"/>
      <w:lvlJc w:val="left"/>
      <w:pPr>
        <w:ind w:left="8048" w:hanging="565"/>
      </w:pPr>
      <w:rPr>
        <w:rFonts w:hint="default"/>
      </w:rPr>
    </w:lvl>
    <w:lvl w:ilvl="8" w:tplc="9A5C237E">
      <w:numFmt w:val="bullet"/>
      <w:lvlText w:val="•"/>
      <w:lvlJc w:val="left"/>
      <w:pPr>
        <w:ind w:left="8975" w:hanging="565"/>
      </w:pPr>
      <w:rPr>
        <w:rFonts w:hint="default"/>
      </w:rPr>
    </w:lvl>
  </w:abstractNum>
  <w:abstractNum w:abstractNumId="15">
    <w:nsid w:val="63784FDE"/>
    <w:multiLevelType w:val="multilevel"/>
    <w:tmpl w:val="5E8C7F8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70B76D45"/>
    <w:multiLevelType w:val="hybridMultilevel"/>
    <w:tmpl w:val="4E56B802"/>
    <w:lvl w:ilvl="0" w:tplc="76923B28">
      <w:start w:val="1998"/>
      <w:numFmt w:val="bullet"/>
      <w:lvlText w:val="-"/>
      <w:lvlJc w:val="left"/>
      <w:pPr>
        <w:ind w:left="720" w:hanging="360"/>
      </w:pPr>
      <w:rPr>
        <w:rFonts w:ascii="Arial" w:eastAsia="Calibr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70C16781"/>
    <w:multiLevelType w:val="hybridMultilevel"/>
    <w:tmpl w:val="1BC48DEE"/>
    <w:lvl w:ilvl="0" w:tplc="5764EBD0">
      <w:start w:val="4"/>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79B16035"/>
    <w:multiLevelType w:val="hybridMultilevel"/>
    <w:tmpl w:val="F3E6896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9">
    <w:nsid w:val="7D201331"/>
    <w:multiLevelType w:val="hybridMultilevel"/>
    <w:tmpl w:val="E38AD38C"/>
    <w:lvl w:ilvl="0" w:tplc="9E92EA24">
      <w:start w:val="6"/>
      <w:numFmt w:val="bullet"/>
      <w:lvlText w:val="-"/>
      <w:lvlJc w:val="left"/>
      <w:pPr>
        <w:ind w:left="720" w:hanging="360"/>
      </w:pPr>
      <w:rPr>
        <w:rFonts w:ascii="Arial" w:eastAsia="Calibri" w:hAnsi="Aria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5"/>
  </w:num>
  <w:num w:numId="4">
    <w:abstractNumId w:val="19"/>
  </w:num>
  <w:num w:numId="5">
    <w:abstractNumId w:val="12"/>
  </w:num>
  <w:num w:numId="6">
    <w:abstractNumId w:val="8"/>
  </w:num>
  <w:num w:numId="7">
    <w:abstractNumId w:val="6"/>
  </w:num>
  <w:num w:numId="8">
    <w:abstractNumId w:val="16"/>
  </w:num>
  <w:num w:numId="9">
    <w:abstractNumId w:val="7"/>
  </w:num>
  <w:num w:numId="10">
    <w:abstractNumId w:val="1"/>
  </w:num>
  <w:num w:numId="11">
    <w:abstractNumId w:val="11"/>
  </w:num>
  <w:num w:numId="12">
    <w:abstractNumId w:val="15"/>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2"/>
  </w:num>
  <w:num w:numId="16">
    <w:abstractNumId w:val="13"/>
  </w:num>
  <w:num w:numId="17">
    <w:abstractNumId w:val="3"/>
  </w:num>
  <w:num w:numId="18">
    <w:abstractNumId w:val="0"/>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8D8"/>
    <w:rsid w:val="0000119A"/>
    <w:rsid w:val="00002695"/>
    <w:rsid w:val="00002E73"/>
    <w:rsid w:val="000035B2"/>
    <w:rsid w:val="00004B5A"/>
    <w:rsid w:val="0000509B"/>
    <w:rsid w:val="00005F8C"/>
    <w:rsid w:val="00007B3B"/>
    <w:rsid w:val="00010DD1"/>
    <w:rsid w:val="0001162F"/>
    <w:rsid w:val="00024917"/>
    <w:rsid w:val="00026CC2"/>
    <w:rsid w:val="0003268F"/>
    <w:rsid w:val="00033097"/>
    <w:rsid w:val="000365FA"/>
    <w:rsid w:val="0004202D"/>
    <w:rsid w:val="000422A6"/>
    <w:rsid w:val="00045399"/>
    <w:rsid w:val="00045B9B"/>
    <w:rsid w:val="000478D8"/>
    <w:rsid w:val="00050868"/>
    <w:rsid w:val="00054599"/>
    <w:rsid w:val="00055D29"/>
    <w:rsid w:val="00055F0B"/>
    <w:rsid w:val="00057499"/>
    <w:rsid w:val="000579B7"/>
    <w:rsid w:val="00061B00"/>
    <w:rsid w:val="0006428E"/>
    <w:rsid w:val="00067170"/>
    <w:rsid w:val="0006793D"/>
    <w:rsid w:val="00070F97"/>
    <w:rsid w:val="000773CD"/>
    <w:rsid w:val="00082F25"/>
    <w:rsid w:val="00083462"/>
    <w:rsid w:val="00085598"/>
    <w:rsid w:val="00093E75"/>
    <w:rsid w:val="000945B3"/>
    <w:rsid w:val="0009595A"/>
    <w:rsid w:val="00095C64"/>
    <w:rsid w:val="000A487D"/>
    <w:rsid w:val="000A6B05"/>
    <w:rsid w:val="000A71AC"/>
    <w:rsid w:val="000B2EAA"/>
    <w:rsid w:val="000B4875"/>
    <w:rsid w:val="000B5099"/>
    <w:rsid w:val="000B5CF6"/>
    <w:rsid w:val="000B5EF8"/>
    <w:rsid w:val="000C05B4"/>
    <w:rsid w:val="000C1186"/>
    <w:rsid w:val="000C18DA"/>
    <w:rsid w:val="000C6F21"/>
    <w:rsid w:val="000C72E3"/>
    <w:rsid w:val="000C7F79"/>
    <w:rsid w:val="000D13C3"/>
    <w:rsid w:val="000D2400"/>
    <w:rsid w:val="000D309A"/>
    <w:rsid w:val="000E1CE9"/>
    <w:rsid w:val="000E1F35"/>
    <w:rsid w:val="000E4120"/>
    <w:rsid w:val="000E5528"/>
    <w:rsid w:val="000E78F3"/>
    <w:rsid w:val="000F0761"/>
    <w:rsid w:val="000F15A3"/>
    <w:rsid w:val="000F2024"/>
    <w:rsid w:val="000F215C"/>
    <w:rsid w:val="000F6271"/>
    <w:rsid w:val="001016A6"/>
    <w:rsid w:val="0010334D"/>
    <w:rsid w:val="001054CD"/>
    <w:rsid w:val="0010738F"/>
    <w:rsid w:val="00107A96"/>
    <w:rsid w:val="00113736"/>
    <w:rsid w:val="00113A02"/>
    <w:rsid w:val="00117F9B"/>
    <w:rsid w:val="00117F9F"/>
    <w:rsid w:val="00125FB9"/>
    <w:rsid w:val="001271DC"/>
    <w:rsid w:val="001304A7"/>
    <w:rsid w:val="00131A41"/>
    <w:rsid w:val="00134F78"/>
    <w:rsid w:val="00137813"/>
    <w:rsid w:val="00137F14"/>
    <w:rsid w:val="001433A1"/>
    <w:rsid w:val="00143DB8"/>
    <w:rsid w:val="00144910"/>
    <w:rsid w:val="00146FA4"/>
    <w:rsid w:val="00150324"/>
    <w:rsid w:val="00153179"/>
    <w:rsid w:val="00153CA5"/>
    <w:rsid w:val="00154A52"/>
    <w:rsid w:val="001551EB"/>
    <w:rsid w:val="00157131"/>
    <w:rsid w:val="00157E6E"/>
    <w:rsid w:val="00160CDB"/>
    <w:rsid w:val="00160E20"/>
    <w:rsid w:val="001615AE"/>
    <w:rsid w:val="00165D2F"/>
    <w:rsid w:val="00175E0C"/>
    <w:rsid w:val="0017679E"/>
    <w:rsid w:val="001814E8"/>
    <w:rsid w:val="00182399"/>
    <w:rsid w:val="00182968"/>
    <w:rsid w:val="001835F4"/>
    <w:rsid w:val="001A0AA8"/>
    <w:rsid w:val="001A4FB0"/>
    <w:rsid w:val="001B1895"/>
    <w:rsid w:val="001B6957"/>
    <w:rsid w:val="001B6BA2"/>
    <w:rsid w:val="001B7A7C"/>
    <w:rsid w:val="001C4B4A"/>
    <w:rsid w:val="001C647D"/>
    <w:rsid w:val="001D0871"/>
    <w:rsid w:val="001D1EB5"/>
    <w:rsid w:val="001D27F8"/>
    <w:rsid w:val="001D32D1"/>
    <w:rsid w:val="001D48A3"/>
    <w:rsid w:val="001D554B"/>
    <w:rsid w:val="001D5A3E"/>
    <w:rsid w:val="001E1EF3"/>
    <w:rsid w:val="001F0C82"/>
    <w:rsid w:val="001F1C64"/>
    <w:rsid w:val="001F2D3B"/>
    <w:rsid w:val="001F3A38"/>
    <w:rsid w:val="001F3CD8"/>
    <w:rsid w:val="001F58F3"/>
    <w:rsid w:val="00200DA9"/>
    <w:rsid w:val="00200E77"/>
    <w:rsid w:val="00204334"/>
    <w:rsid w:val="00205498"/>
    <w:rsid w:val="00207396"/>
    <w:rsid w:val="00221ADA"/>
    <w:rsid w:val="00222A8C"/>
    <w:rsid w:val="00223AC9"/>
    <w:rsid w:val="00223F92"/>
    <w:rsid w:val="00233076"/>
    <w:rsid w:val="00233E25"/>
    <w:rsid w:val="002401F4"/>
    <w:rsid w:val="00241DE1"/>
    <w:rsid w:val="0024228A"/>
    <w:rsid w:val="0024332A"/>
    <w:rsid w:val="002435CD"/>
    <w:rsid w:val="0024389E"/>
    <w:rsid w:val="002447BF"/>
    <w:rsid w:val="00256746"/>
    <w:rsid w:val="00261B4C"/>
    <w:rsid w:val="00264BA6"/>
    <w:rsid w:val="002654EF"/>
    <w:rsid w:val="00267723"/>
    <w:rsid w:val="00271293"/>
    <w:rsid w:val="00271C6C"/>
    <w:rsid w:val="00274B45"/>
    <w:rsid w:val="002752B9"/>
    <w:rsid w:val="00276DF5"/>
    <w:rsid w:val="002771BF"/>
    <w:rsid w:val="0027769F"/>
    <w:rsid w:val="0028008A"/>
    <w:rsid w:val="0028229E"/>
    <w:rsid w:val="002824A4"/>
    <w:rsid w:val="00283C1F"/>
    <w:rsid w:val="00284401"/>
    <w:rsid w:val="002862F0"/>
    <w:rsid w:val="00287455"/>
    <w:rsid w:val="00290C0C"/>
    <w:rsid w:val="00291306"/>
    <w:rsid w:val="0029283B"/>
    <w:rsid w:val="00292854"/>
    <w:rsid w:val="002937F1"/>
    <w:rsid w:val="00296F2C"/>
    <w:rsid w:val="002A03D8"/>
    <w:rsid w:val="002A0AEA"/>
    <w:rsid w:val="002A1131"/>
    <w:rsid w:val="002A6483"/>
    <w:rsid w:val="002A679B"/>
    <w:rsid w:val="002B16A1"/>
    <w:rsid w:val="002B49E1"/>
    <w:rsid w:val="002B6048"/>
    <w:rsid w:val="002B7831"/>
    <w:rsid w:val="002C13EB"/>
    <w:rsid w:val="002C321F"/>
    <w:rsid w:val="002C43D0"/>
    <w:rsid w:val="002C6A7D"/>
    <w:rsid w:val="002C6AF2"/>
    <w:rsid w:val="002C6DC4"/>
    <w:rsid w:val="002C741F"/>
    <w:rsid w:val="002D08C5"/>
    <w:rsid w:val="002D09C3"/>
    <w:rsid w:val="002D22A2"/>
    <w:rsid w:val="002D2DB9"/>
    <w:rsid w:val="002E2FE9"/>
    <w:rsid w:val="002E4EBD"/>
    <w:rsid w:val="002E5DDD"/>
    <w:rsid w:val="002E7E52"/>
    <w:rsid w:val="002F0179"/>
    <w:rsid w:val="002F2449"/>
    <w:rsid w:val="002F5833"/>
    <w:rsid w:val="002F611B"/>
    <w:rsid w:val="002F7ABE"/>
    <w:rsid w:val="00301CF0"/>
    <w:rsid w:val="00301F27"/>
    <w:rsid w:val="003029E3"/>
    <w:rsid w:val="00303D16"/>
    <w:rsid w:val="003068DC"/>
    <w:rsid w:val="00306BF1"/>
    <w:rsid w:val="0030727B"/>
    <w:rsid w:val="00311195"/>
    <w:rsid w:val="00311637"/>
    <w:rsid w:val="00313A8C"/>
    <w:rsid w:val="003164BE"/>
    <w:rsid w:val="00323FF6"/>
    <w:rsid w:val="00326384"/>
    <w:rsid w:val="0032690C"/>
    <w:rsid w:val="003303DA"/>
    <w:rsid w:val="003334E9"/>
    <w:rsid w:val="00333AFE"/>
    <w:rsid w:val="0033460E"/>
    <w:rsid w:val="003352E1"/>
    <w:rsid w:val="00342FA7"/>
    <w:rsid w:val="0034456B"/>
    <w:rsid w:val="00350D06"/>
    <w:rsid w:val="00350DFC"/>
    <w:rsid w:val="0035116A"/>
    <w:rsid w:val="00353A97"/>
    <w:rsid w:val="003559C3"/>
    <w:rsid w:val="00356DB7"/>
    <w:rsid w:val="003638E0"/>
    <w:rsid w:val="00364F66"/>
    <w:rsid w:val="0037013C"/>
    <w:rsid w:val="003701AA"/>
    <w:rsid w:val="00370C75"/>
    <w:rsid w:val="00370CB6"/>
    <w:rsid w:val="003716CC"/>
    <w:rsid w:val="00372E93"/>
    <w:rsid w:val="003748C1"/>
    <w:rsid w:val="0038000D"/>
    <w:rsid w:val="00381A24"/>
    <w:rsid w:val="00390F64"/>
    <w:rsid w:val="00393A14"/>
    <w:rsid w:val="00395F4D"/>
    <w:rsid w:val="00396E18"/>
    <w:rsid w:val="0039776C"/>
    <w:rsid w:val="003A078C"/>
    <w:rsid w:val="003A231E"/>
    <w:rsid w:val="003A2634"/>
    <w:rsid w:val="003A285D"/>
    <w:rsid w:val="003A447A"/>
    <w:rsid w:val="003A650E"/>
    <w:rsid w:val="003A7289"/>
    <w:rsid w:val="003B0A85"/>
    <w:rsid w:val="003B788F"/>
    <w:rsid w:val="003C06E9"/>
    <w:rsid w:val="003C5E63"/>
    <w:rsid w:val="003C7221"/>
    <w:rsid w:val="003C754C"/>
    <w:rsid w:val="003D0091"/>
    <w:rsid w:val="003D10F0"/>
    <w:rsid w:val="003D24B4"/>
    <w:rsid w:val="003D55FD"/>
    <w:rsid w:val="003D5BC6"/>
    <w:rsid w:val="003D6FCD"/>
    <w:rsid w:val="003E1E70"/>
    <w:rsid w:val="003E2780"/>
    <w:rsid w:val="003E439A"/>
    <w:rsid w:val="003F2623"/>
    <w:rsid w:val="003F5D35"/>
    <w:rsid w:val="004008F7"/>
    <w:rsid w:val="004021EE"/>
    <w:rsid w:val="00403BEE"/>
    <w:rsid w:val="00405B26"/>
    <w:rsid w:val="004148AF"/>
    <w:rsid w:val="00417F05"/>
    <w:rsid w:val="00420FC9"/>
    <w:rsid w:val="004229B8"/>
    <w:rsid w:val="00423813"/>
    <w:rsid w:val="00423DDC"/>
    <w:rsid w:val="0043023D"/>
    <w:rsid w:val="0043025D"/>
    <w:rsid w:val="00437CF2"/>
    <w:rsid w:val="004408EB"/>
    <w:rsid w:val="00441245"/>
    <w:rsid w:val="00442826"/>
    <w:rsid w:val="00450FE2"/>
    <w:rsid w:val="00456A98"/>
    <w:rsid w:val="00460779"/>
    <w:rsid w:val="00460F8D"/>
    <w:rsid w:val="00466FCD"/>
    <w:rsid w:val="004728B2"/>
    <w:rsid w:val="004775C8"/>
    <w:rsid w:val="0048257B"/>
    <w:rsid w:val="004830B8"/>
    <w:rsid w:val="0048358F"/>
    <w:rsid w:val="0048541A"/>
    <w:rsid w:val="00485CF7"/>
    <w:rsid w:val="00487C18"/>
    <w:rsid w:val="00491BAC"/>
    <w:rsid w:val="004A0618"/>
    <w:rsid w:val="004A245B"/>
    <w:rsid w:val="004A4151"/>
    <w:rsid w:val="004A489D"/>
    <w:rsid w:val="004A5802"/>
    <w:rsid w:val="004A5A01"/>
    <w:rsid w:val="004A6355"/>
    <w:rsid w:val="004A70C7"/>
    <w:rsid w:val="004A7FDB"/>
    <w:rsid w:val="004B0EC8"/>
    <w:rsid w:val="004B15D1"/>
    <w:rsid w:val="004B2714"/>
    <w:rsid w:val="004B45D3"/>
    <w:rsid w:val="004B6CC2"/>
    <w:rsid w:val="004B7CD0"/>
    <w:rsid w:val="004C042A"/>
    <w:rsid w:val="004C0727"/>
    <w:rsid w:val="004C1981"/>
    <w:rsid w:val="004C4282"/>
    <w:rsid w:val="004C592F"/>
    <w:rsid w:val="004D021E"/>
    <w:rsid w:val="004D1DA1"/>
    <w:rsid w:val="004D24C4"/>
    <w:rsid w:val="004D5277"/>
    <w:rsid w:val="004D640F"/>
    <w:rsid w:val="004D7C6A"/>
    <w:rsid w:val="004E0DF4"/>
    <w:rsid w:val="004E10D6"/>
    <w:rsid w:val="004E1731"/>
    <w:rsid w:val="004E3235"/>
    <w:rsid w:val="004E376D"/>
    <w:rsid w:val="004E413C"/>
    <w:rsid w:val="004E485B"/>
    <w:rsid w:val="004E6D78"/>
    <w:rsid w:val="004F1575"/>
    <w:rsid w:val="004F480C"/>
    <w:rsid w:val="005003D9"/>
    <w:rsid w:val="005025A7"/>
    <w:rsid w:val="00504DCD"/>
    <w:rsid w:val="00506694"/>
    <w:rsid w:val="00510526"/>
    <w:rsid w:val="00512BE1"/>
    <w:rsid w:val="00515974"/>
    <w:rsid w:val="00515A1B"/>
    <w:rsid w:val="00516705"/>
    <w:rsid w:val="00517650"/>
    <w:rsid w:val="00517B80"/>
    <w:rsid w:val="00517F90"/>
    <w:rsid w:val="00520B0C"/>
    <w:rsid w:val="005225B1"/>
    <w:rsid w:val="0052366E"/>
    <w:rsid w:val="00523877"/>
    <w:rsid w:val="0052404B"/>
    <w:rsid w:val="00532C10"/>
    <w:rsid w:val="00533FE0"/>
    <w:rsid w:val="00534579"/>
    <w:rsid w:val="00534A69"/>
    <w:rsid w:val="005351CB"/>
    <w:rsid w:val="005362F6"/>
    <w:rsid w:val="00537EA4"/>
    <w:rsid w:val="005421FD"/>
    <w:rsid w:val="00542F82"/>
    <w:rsid w:val="00543456"/>
    <w:rsid w:val="0054392A"/>
    <w:rsid w:val="00551334"/>
    <w:rsid w:val="00551D8E"/>
    <w:rsid w:val="00552012"/>
    <w:rsid w:val="0055305C"/>
    <w:rsid w:val="00555EDB"/>
    <w:rsid w:val="00557074"/>
    <w:rsid w:val="0055779A"/>
    <w:rsid w:val="005600C5"/>
    <w:rsid w:val="00564D70"/>
    <w:rsid w:val="0056689F"/>
    <w:rsid w:val="00575E0F"/>
    <w:rsid w:val="00576097"/>
    <w:rsid w:val="005807B1"/>
    <w:rsid w:val="00585451"/>
    <w:rsid w:val="00586309"/>
    <w:rsid w:val="0058774D"/>
    <w:rsid w:val="0059255D"/>
    <w:rsid w:val="00592AD2"/>
    <w:rsid w:val="00592DC1"/>
    <w:rsid w:val="005968F6"/>
    <w:rsid w:val="005A1F86"/>
    <w:rsid w:val="005A2BCC"/>
    <w:rsid w:val="005A3D92"/>
    <w:rsid w:val="005A4F66"/>
    <w:rsid w:val="005A670C"/>
    <w:rsid w:val="005B0CAB"/>
    <w:rsid w:val="005C18D1"/>
    <w:rsid w:val="005C38BB"/>
    <w:rsid w:val="005C4455"/>
    <w:rsid w:val="005C4805"/>
    <w:rsid w:val="005D0E55"/>
    <w:rsid w:val="005D240A"/>
    <w:rsid w:val="005D770F"/>
    <w:rsid w:val="005E3637"/>
    <w:rsid w:val="005E6F7F"/>
    <w:rsid w:val="005E7ACD"/>
    <w:rsid w:val="005F1FAE"/>
    <w:rsid w:val="005F22E6"/>
    <w:rsid w:val="005F2539"/>
    <w:rsid w:val="005F309D"/>
    <w:rsid w:val="005F3F22"/>
    <w:rsid w:val="005F45F5"/>
    <w:rsid w:val="005F597F"/>
    <w:rsid w:val="005F6845"/>
    <w:rsid w:val="005F6F11"/>
    <w:rsid w:val="005F781B"/>
    <w:rsid w:val="006004E0"/>
    <w:rsid w:val="00603802"/>
    <w:rsid w:val="00605D1A"/>
    <w:rsid w:val="00607830"/>
    <w:rsid w:val="006101B9"/>
    <w:rsid w:val="00612589"/>
    <w:rsid w:val="00615587"/>
    <w:rsid w:val="00615BC0"/>
    <w:rsid w:val="006163E4"/>
    <w:rsid w:val="00626C1A"/>
    <w:rsid w:val="00631585"/>
    <w:rsid w:val="0064656A"/>
    <w:rsid w:val="00652756"/>
    <w:rsid w:val="00661A67"/>
    <w:rsid w:val="00662FF9"/>
    <w:rsid w:val="00663E79"/>
    <w:rsid w:val="00673C5C"/>
    <w:rsid w:val="00673F96"/>
    <w:rsid w:val="006741E0"/>
    <w:rsid w:val="006743B1"/>
    <w:rsid w:val="00675A1D"/>
    <w:rsid w:val="00675ED2"/>
    <w:rsid w:val="006770B6"/>
    <w:rsid w:val="00677989"/>
    <w:rsid w:val="00682703"/>
    <w:rsid w:val="006831F9"/>
    <w:rsid w:val="00694799"/>
    <w:rsid w:val="00694C49"/>
    <w:rsid w:val="0069683E"/>
    <w:rsid w:val="00696F13"/>
    <w:rsid w:val="006A7764"/>
    <w:rsid w:val="006B1195"/>
    <w:rsid w:val="006B140B"/>
    <w:rsid w:val="006B23B1"/>
    <w:rsid w:val="006B5C44"/>
    <w:rsid w:val="006B6C35"/>
    <w:rsid w:val="006C5231"/>
    <w:rsid w:val="006C7D00"/>
    <w:rsid w:val="006D3E6C"/>
    <w:rsid w:val="006D72A2"/>
    <w:rsid w:val="006E1089"/>
    <w:rsid w:val="006E5916"/>
    <w:rsid w:val="006F0D1F"/>
    <w:rsid w:val="006F2901"/>
    <w:rsid w:val="006F2D0E"/>
    <w:rsid w:val="006F3C93"/>
    <w:rsid w:val="006F5199"/>
    <w:rsid w:val="006F5378"/>
    <w:rsid w:val="00702E35"/>
    <w:rsid w:val="00705157"/>
    <w:rsid w:val="007071E0"/>
    <w:rsid w:val="007109A7"/>
    <w:rsid w:val="00717E79"/>
    <w:rsid w:val="00720058"/>
    <w:rsid w:val="00723359"/>
    <w:rsid w:val="00726804"/>
    <w:rsid w:val="00727F87"/>
    <w:rsid w:val="00730DB3"/>
    <w:rsid w:val="0073155D"/>
    <w:rsid w:val="00733E2D"/>
    <w:rsid w:val="00735867"/>
    <w:rsid w:val="00736026"/>
    <w:rsid w:val="00742F6A"/>
    <w:rsid w:val="007442BF"/>
    <w:rsid w:val="007443C2"/>
    <w:rsid w:val="00751EBE"/>
    <w:rsid w:val="00752A79"/>
    <w:rsid w:val="00753A4C"/>
    <w:rsid w:val="00762D8E"/>
    <w:rsid w:val="00764EC0"/>
    <w:rsid w:val="0076731E"/>
    <w:rsid w:val="00767E78"/>
    <w:rsid w:val="0077571E"/>
    <w:rsid w:val="0077582F"/>
    <w:rsid w:val="00775E2E"/>
    <w:rsid w:val="00777A61"/>
    <w:rsid w:val="00782570"/>
    <w:rsid w:val="00782C90"/>
    <w:rsid w:val="0078528D"/>
    <w:rsid w:val="007923C8"/>
    <w:rsid w:val="007A00AE"/>
    <w:rsid w:val="007A51EA"/>
    <w:rsid w:val="007A5730"/>
    <w:rsid w:val="007A632E"/>
    <w:rsid w:val="007B178A"/>
    <w:rsid w:val="007B1803"/>
    <w:rsid w:val="007B4DED"/>
    <w:rsid w:val="007C26B3"/>
    <w:rsid w:val="007C62D3"/>
    <w:rsid w:val="007C7E39"/>
    <w:rsid w:val="007D1D0F"/>
    <w:rsid w:val="007D4846"/>
    <w:rsid w:val="007D6921"/>
    <w:rsid w:val="007D6F58"/>
    <w:rsid w:val="007D7620"/>
    <w:rsid w:val="007D7C96"/>
    <w:rsid w:val="007E04DD"/>
    <w:rsid w:val="007E42C8"/>
    <w:rsid w:val="007E5B5F"/>
    <w:rsid w:val="007E6621"/>
    <w:rsid w:val="007E7695"/>
    <w:rsid w:val="007F4324"/>
    <w:rsid w:val="007F522E"/>
    <w:rsid w:val="008006AD"/>
    <w:rsid w:val="008008AC"/>
    <w:rsid w:val="008026C4"/>
    <w:rsid w:val="00802BE9"/>
    <w:rsid w:val="00806649"/>
    <w:rsid w:val="008066E9"/>
    <w:rsid w:val="00810A25"/>
    <w:rsid w:val="0081215F"/>
    <w:rsid w:val="00816012"/>
    <w:rsid w:val="00823222"/>
    <w:rsid w:val="008245C9"/>
    <w:rsid w:val="00825A58"/>
    <w:rsid w:val="00831D7B"/>
    <w:rsid w:val="00832B7E"/>
    <w:rsid w:val="00832DEA"/>
    <w:rsid w:val="008338D0"/>
    <w:rsid w:val="00836DE1"/>
    <w:rsid w:val="00843582"/>
    <w:rsid w:val="008457D0"/>
    <w:rsid w:val="00846697"/>
    <w:rsid w:val="00851D11"/>
    <w:rsid w:val="008527DE"/>
    <w:rsid w:val="00863098"/>
    <w:rsid w:val="00865117"/>
    <w:rsid w:val="00865184"/>
    <w:rsid w:val="00865787"/>
    <w:rsid w:val="00865964"/>
    <w:rsid w:val="0087212C"/>
    <w:rsid w:val="0087226D"/>
    <w:rsid w:val="00872F5D"/>
    <w:rsid w:val="008737E7"/>
    <w:rsid w:val="008747AF"/>
    <w:rsid w:val="00875123"/>
    <w:rsid w:val="00875386"/>
    <w:rsid w:val="00875392"/>
    <w:rsid w:val="008825A0"/>
    <w:rsid w:val="0088448A"/>
    <w:rsid w:val="008920D0"/>
    <w:rsid w:val="0089249A"/>
    <w:rsid w:val="008963CB"/>
    <w:rsid w:val="008A0D1B"/>
    <w:rsid w:val="008A3901"/>
    <w:rsid w:val="008A7E91"/>
    <w:rsid w:val="008B0C23"/>
    <w:rsid w:val="008B0EA0"/>
    <w:rsid w:val="008B299E"/>
    <w:rsid w:val="008B2D92"/>
    <w:rsid w:val="008B3665"/>
    <w:rsid w:val="008B371C"/>
    <w:rsid w:val="008B3965"/>
    <w:rsid w:val="008B44AE"/>
    <w:rsid w:val="008B4506"/>
    <w:rsid w:val="008B55C6"/>
    <w:rsid w:val="008B55E8"/>
    <w:rsid w:val="008B5EA2"/>
    <w:rsid w:val="008B6E78"/>
    <w:rsid w:val="008B735E"/>
    <w:rsid w:val="008C0571"/>
    <w:rsid w:val="008C38E0"/>
    <w:rsid w:val="008C46F0"/>
    <w:rsid w:val="008C7DED"/>
    <w:rsid w:val="008C7E38"/>
    <w:rsid w:val="008D38ED"/>
    <w:rsid w:val="008D457A"/>
    <w:rsid w:val="008D45FA"/>
    <w:rsid w:val="008D53B6"/>
    <w:rsid w:val="008E0E52"/>
    <w:rsid w:val="008E3A41"/>
    <w:rsid w:val="008E59E5"/>
    <w:rsid w:val="008E682E"/>
    <w:rsid w:val="008F0247"/>
    <w:rsid w:val="008F270B"/>
    <w:rsid w:val="008F36D4"/>
    <w:rsid w:val="008F627C"/>
    <w:rsid w:val="00900858"/>
    <w:rsid w:val="00900A2C"/>
    <w:rsid w:val="0090106D"/>
    <w:rsid w:val="00904075"/>
    <w:rsid w:val="009115B1"/>
    <w:rsid w:val="009158F7"/>
    <w:rsid w:val="009172CD"/>
    <w:rsid w:val="009179FD"/>
    <w:rsid w:val="00922113"/>
    <w:rsid w:val="0092378B"/>
    <w:rsid w:val="00933FBD"/>
    <w:rsid w:val="0093424D"/>
    <w:rsid w:val="009374DA"/>
    <w:rsid w:val="009379F2"/>
    <w:rsid w:val="00943734"/>
    <w:rsid w:val="00954028"/>
    <w:rsid w:val="00954896"/>
    <w:rsid w:val="00955A2B"/>
    <w:rsid w:val="009606E7"/>
    <w:rsid w:val="00966068"/>
    <w:rsid w:val="009732FD"/>
    <w:rsid w:val="00974196"/>
    <w:rsid w:val="00981FC6"/>
    <w:rsid w:val="00982582"/>
    <w:rsid w:val="00982AB9"/>
    <w:rsid w:val="0098464E"/>
    <w:rsid w:val="009854E4"/>
    <w:rsid w:val="0099064A"/>
    <w:rsid w:val="00990FD4"/>
    <w:rsid w:val="00991768"/>
    <w:rsid w:val="00992539"/>
    <w:rsid w:val="00993B65"/>
    <w:rsid w:val="00993D17"/>
    <w:rsid w:val="009946D6"/>
    <w:rsid w:val="00996FB1"/>
    <w:rsid w:val="009A004A"/>
    <w:rsid w:val="009A2FE6"/>
    <w:rsid w:val="009A3D40"/>
    <w:rsid w:val="009B2008"/>
    <w:rsid w:val="009C0B78"/>
    <w:rsid w:val="009C3D8C"/>
    <w:rsid w:val="009C740C"/>
    <w:rsid w:val="009D0485"/>
    <w:rsid w:val="009D0F5D"/>
    <w:rsid w:val="009D34D4"/>
    <w:rsid w:val="009D63E6"/>
    <w:rsid w:val="009E02E8"/>
    <w:rsid w:val="009E0781"/>
    <w:rsid w:val="009E5201"/>
    <w:rsid w:val="009E6082"/>
    <w:rsid w:val="009F0523"/>
    <w:rsid w:val="009F1F31"/>
    <w:rsid w:val="009F3AC6"/>
    <w:rsid w:val="00A01288"/>
    <w:rsid w:val="00A01683"/>
    <w:rsid w:val="00A077F1"/>
    <w:rsid w:val="00A12CB4"/>
    <w:rsid w:val="00A12EE0"/>
    <w:rsid w:val="00A14BD4"/>
    <w:rsid w:val="00A16F3B"/>
    <w:rsid w:val="00A17FEE"/>
    <w:rsid w:val="00A23D4C"/>
    <w:rsid w:val="00A24132"/>
    <w:rsid w:val="00A244B2"/>
    <w:rsid w:val="00A25C91"/>
    <w:rsid w:val="00A267E3"/>
    <w:rsid w:val="00A30C7B"/>
    <w:rsid w:val="00A323C9"/>
    <w:rsid w:val="00A338D4"/>
    <w:rsid w:val="00A351F3"/>
    <w:rsid w:val="00A362F4"/>
    <w:rsid w:val="00A40987"/>
    <w:rsid w:val="00A44054"/>
    <w:rsid w:val="00A556DF"/>
    <w:rsid w:val="00A57265"/>
    <w:rsid w:val="00A5738A"/>
    <w:rsid w:val="00A6027C"/>
    <w:rsid w:val="00A62FA6"/>
    <w:rsid w:val="00A6350C"/>
    <w:rsid w:val="00A65478"/>
    <w:rsid w:val="00A678BF"/>
    <w:rsid w:val="00A71C7A"/>
    <w:rsid w:val="00A72DFE"/>
    <w:rsid w:val="00A73594"/>
    <w:rsid w:val="00A75092"/>
    <w:rsid w:val="00A775E8"/>
    <w:rsid w:val="00A85954"/>
    <w:rsid w:val="00A87104"/>
    <w:rsid w:val="00A94659"/>
    <w:rsid w:val="00AA0813"/>
    <w:rsid w:val="00AA2BC1"/>
    <w:rsid w:val="00AC246E"/>
    <w:rsid w:val="00AC2B68"/>
    <w:rsid w:val="00AC3784"/>
    <w:rsid w:val="00AC39E2"/>
    <w:rsid w:val="00AC4A11"/>
    <w:rsid w:val="00AC613E"/>
    <w:rsid w:val="00AD1305"/>
    <w:rsid w:val="00AD2323"/>
    <w:rsid w:val="00AD4D46"/>
    <w:rsid w:val="00AD5184"/>
    <w:rsid w:val="00AD564D"/>
    <w:rsid w:val="00AD56A7"/>
    <w:rsid w:val="00AD719E"/>
    <w:rsid w:val="00AD73D5"/>
    <w:rsid w:val="00AE1584"/>
    <w:rsid w:val="00AE1D38"/>
    <w:rsid w:val="00AE3731"/>
    <w:rsid w:val="00AE56C8"/>
    <w:rsid w:val="00AF0B14"/>
    <w:rsid w:val="00AF0C43"/>
    <w:rsid w:val="00AF10C9"/>
    <w:rsid w:val="00AF7737"/>
    <w:rsid w:val="00B00BB5"/>
    <w:rsid w:val="00B0185F"/>
    <w:rsid w:val="00B023CA"/>
    <w:rsid w:val="00B06D4E"/>
    <w:rsid w:val="00B079BA"/>
    <w:rsid w:val="00B07A59"/>
    <w:rsid w:val="00B07EB9"/>
    <w:rsid w:val="00B10D85"/>
    <w:rsid w:val="00B11516"/>
    <w:rsid w:val="00B12062"/>
    <w:rsid w:val="00B13F98"/>
    <w:rsid w:val="00B1516A"/>
    <w:rsid w:val="00B2473C"/>
    <w:rsid w:val="00B25AED"/>
    <w:rsid w:val="00B26DED"/>
    <w:rsid w:val="00B3061D"/>
    <w:rsid w:val="00B311AE"/>
    <w:rsid w:val="00B32A1C"/>
    <w:rsid w:val="00B33A08"/>
    <w:rsid w:val="00B375C2"/>
    <w:rsid w:val="00B4126D"/>
    <w:rsid w:val="00B4349F"/>
    <w:rsid w:val="00B453C2"/>
    <w:rsid w:val="00B534A1"/>
    <w:rsid w:val="00B538DA"/>
    <w:rsid w:val="00B54C85"/>
    <w:rsid w:val="00B6011E"/>
    <w:rsid w:val="00B60B41"/>
    <w:rsid w:val="00B61AB7"/>
    <w:rsid w:val="00B63F5C"/>
    <w:rsid w:val="00B70408"/>
    <w:rsid w:val="00B73A6C"/>
    <w:rsid w:val="00B74231"/>
    <w:rsid w:val="00B8107F"/>
    <w:rsid w:val="00B836AC"/>
    <w:rsid w:val="00B920BF"/>
    <w:rsid w:val="00B935D8"/>
    <w:rsid w:val="00B97828"/>
    <w:rsid w:val="00B97ABA"/>
    <w:rsid w:val="00BA3495"/>
    <w:rsid w:val="00BA38D6"/>
    <w:rsid w:val="00BA3BB4"/>
    <w:rsid w:val="00BA4E0E"/>
    <w:rsid w:val="00BA5293"/>
    <w:rsid w:val="00BA594F"/>
    <w:rsid w:val="00BA6690"/>
    <w:rsid w:val="00BB0A07"/>
    <w:rsid w:val="00BB109F"/>
    <w:rsid w:val="00BB4B0D"/>
    <w:rsid w:val="00BC2A1A"/>
    <w:rsid w:val="00BC32B4"/>
    <w:rsid w:val="00BC5460"/>
    <w:rsid w:val="00BC6C16"/>
    <w:rsid w:val="00BC7AA1"/>
    <w:rsid w:val="00BD5020"/>
    <w:rsid w:val="00BD7184"/>
    <w:rsid w:val="00BE73B6"/>
    <w:rsid w:val="00BF2180"/>
    <w:rsid w:val="00BF441A"/>
    <w:rsid w:val="00BF4B01"/>
    <w:rsid w:val="00BF673D"/>
    <w:rsid w:val="00C02664"/>
    <w:rsid w:val="00C03EC9"/>
    <w:rsid w:val="00C05102"/>
    <w:rsid w:val="00C06254"/>
    <w:rsid w:val="00C07B50"/>
    <w:rsid w:val="00C103D6"/>
    <w:rsid w:val="00C16830"/>
    <w:rsid w:val="00C1748A"/>
    <w:rsid w:val="00C2274D"/>
    <w:rsid w:val="00C24CEB"/>
    <w:rsid w:val="00C27A4B"/>
    <w:rsid w:val="00C27E6B"/>
    <w:rsid w:val="00C3111F"/>
    <w:rsid w:val="00C3138B"/>
    <w:rsid w:val="00C3161F"/>
    <w:rsid w:val="00C31AE4"/>
    <w:rsid w:val="00C33728"/>
    <w:rsid w:val="00C3478A"/>
    <w:rsid w:val="00C36544"/>
    <w:rsid w:val="00C37685"/>
    <w:rsid w:val="00C4083A"/>
    <w:rsid w:val="00C412C0"/>
    <w:rsid w:val="00C50E0F"/>
    <w:rsid w:val="00C52DEF"/>
    <w:rsid w:val="00C6420A"/>
    <w:rsid w:val="00C674F8"/>
    <w:rsid w:val="00C740A6"/>
    <w:rsid w:val="00C765D1"/>
    <w:rsid w:val="00C83BB0"/>
    <w:rsid w:val="00C85EAF"/>
    <w:rsid w:val="00C90B94"/>
    <w:rsid w:val="00C91685"/>
    <w:rsid w:val="00C92549"/>
    <w:rsid w:val="00C92BBB"/>
    <w:rsid w:val="00C95ADA"/>
    <w:rsid w:val="00C97393"/>
    <w:rsid w:val="00C976D0"/>
    <w:rsid w:val="00CA05A6"/>
    <w:rsid w:val="00CA12FD"/>
    <w:rsid w:val="00CA4E1E"/>
    <w:rsid w:val="00CB457A"/>
    <w:rsid w:val="00CB56CF"/>
    <w:rsid w:val="00CB69D3"/>
    <w:rsid w:val="00CB747E"/>
    <w:rsid w:val="00CB7FB5"/>
    <w:rsid w:val="00CC0379"/>
    <w:rsid w:val="00CC324E"/>
    <w:rsid w:val="00CC5B4B"/>
    <w:rsid w:val="00CC631C"/>
    <w:rsid w:val="00CC6D69"/>
    <w:rsid w:val="00CD24A8"/>
    <w:rsid w:val="00CD3D19"/>
    <w:rsid w:val="00CD5EFE"/>
    <w:rsid w:val="00CD7DCE"/>
    <w:rsid w:val="00CE102A"/>
    <w:rsid w:val="00CE289B"/>
    <w:rsid w:val="00CE2EF1"/>
    <w:rsid w:val="00CE49EB"/>
    <w:rsid w:val="00CF7286"/>
    <w:rsid w:val="00CF7995"/>
    <w:rsid w:val="00CF7F0C"/>
    <w:rsid w:val="00D02F3F"/>
    <w:rsid w:val="00D076A3"/>
    <w:rsid w:val="00D078CA"/>
    <w:rsid w:val="00D13C5B"/>
    <w:rsid w:val="00D21227"/>
    <w:rsid w:val="00D22DD5"/>
    <w:rsid w:val="00D30D00"/>
    <w:rsid w:val="00D363AF"/>
    <w:rsid w:val="00D408AE"/>
    <w:rsid w:val="00D4205D"/>
    <w:rsid w:val="00D42341"/>
    <w:rsid w:val="00D425E0"/>
    <w:rsid w:val="00D451CC"/>
    <w:rsid w:val="00D45471"/>
    <w:rsid w:val="00D45ADD"/>
    <w:rsid w:val="00D45BE8"/>
    <w:rsid w:val="00D54399"/>
    <w:rsid w:val="00D543FD"/>
    <w:rsid w:val="00D56529"/>
    <w:rsid w:val="00D57C9D"/>
    <w:rsid w:val="00D60087"/>
    <w:rsid w:val="00D60656"/>
    <w:rsid w:val="00D6176D"/>
    <w:rsid w:val="00D62167"/>
    <w:rsid w:val="00D62FEE"/>
    <w:rsid w:val="00D66F04"/>
    <w:rsid w:val="00D67208"/>
    <w:rsid w:val="00D70493"/>
    <w:rsid w:val="00D7139A"/>
    <w:rsid w:val="00D718A6"/>
    <w:rsid w:val="00D71F62"/>
    <w:rsid w:val="00D72142"/>
    <w:rsid w:val="00D73774"/>
    <w:rsid w:val="00D77A4C"/>
    <w:rsid w:val="00D8159D"/>
    <w:rsid w:val="00D818D6"/>
    <w:rsid w:val="00D82B1C"/>
    <w:rsid w:val="00D83F01"/>
    <w:rsid w:val="00D84AB5"/>
    <w:rsid w:val="00D8717C"/>
    <w:rsid w:val="00D909A8"/>
    <w:rsid w:val="00D97D13"/>
    <w:rsid w:val="00DA0C8B"/>
    <w:rsid w:val="00DA1C9C"/>
    <w:rsid w:val="00DA6E89"/>
    <w:rsid w:val="00DB2D20"/>
    <w:rsid w:val="00DB34F1"/>
    <w:rsid w:val="00DB3542"/>
    <w:rsid w:val="00DB3F1A"/>
    <w:rsid w:val="00DB52AD"/>
    <w:rsid w:val="00DC1BAC"/>
    <w:rsid w:val="00DC247C"/>
    <w:rsid w:val="00DC42F4"/>
    <w:rsid w:val="00DC6920"/>
    <w:rsid w:val="00DD0F72"/>
    <w:rsid w:val="00DD2A55"/>
    <w:rsid w:val="00DD2C6B"/>
    <w:rsid w:val="00DD3B59"/>
    <w:rsid w:val="00DD444A"/>
    <w:rsid w:val="00DD520F"/>
    <w:rsid w:val="00DD6C76"/>
    <w:rsid w:val="00DD7EAC"/>
    <w:rsid w:val="00DE308D"/>
    <w:rsid w:val="00DE317C"/>
    <w:rsid w:val="00DE7824"/>
    <w:rsid w:val="00DF01CA"/>
    <w:rsid w:val="00DF2335"/>
    <w:rsid w:val="00E0196E"/>
    <w:rsid w:val="00E064D8"/>
    <w:rsid w:val="00E109EE"/>
    <w:rsid w:val="00E12C9F"/>
    <w:rsid w:val="00E12D6B"/>
    <w:rsid w:val="00E162B7"/>
    <w:rsid w:val="00E20FCA"/>
    <w:rsid w:val="00E26964"/>
    <w:rsid w:val="00E26EE7"/>
    <w:rsid w:val="00E275A5"/>
    <w:rsid w:val="00E27DD3"/>
    <w:rsid w:val="00E30915"/>
    <w:rsid w:val="00E314D4"/>
    <w:rsid w:val="00E32930"/>
    <w:rsid w:val="00E34859"/>
    <w:rsid w:val="00E51719"/>
    <w:rsid w:val="00E5207C"/>
    <w:rsid w:val="00E520E1"/>
    <w:rsid w:val="00E53258"/>
    <w:rsid w:val="00E542A8"/>
    <w:rsid w:val="00E55909"/>
    <w:rsid w:val="00E561A6"/>
    <w:rsid w:val="00E6093F"/>
    <w:rsid w:val="00E630C2"/>
    <w:rsid w:val="00E6462B"/>
    <w:rsid w:val="00E666FA"/>
    <w:rsid w:val="00E70C30"/>
    <w:rsid w:val="00E71874"/>
    <w:rsid w:val="00E74C3B"/>
    <w:rsid w:val="00E74EEE"/>
    <w:rsid w:val="00E77DA3"/>
    <w:rsid w:val="00E85F42"/>
    <w:rsid w:val="00E877D4"/>
    <w:rsid w:val="00E90FCA"/>
    <w:rsid w:val="00E91E51"/>
    <w:rsid w:val="00E9345E"/>
    <w:rsid w:val="00EA0FAB"/>
    <w:rsid w:val="00EA110A"/>
    <w:rsid w:val="00EA4403"/>
    <w:rsid w:val="00EB2036"/>
    <w:rsid w:val="00EB3CA7"/>
    <w:rsid w:val="00EB4EF8"/>
    <w:rsid w:val="00EC4C24"/>
    <w:rsid w:val="00EC6174"/>
    <w:rsid w:val="00EC6A9B"/>
    <w:rsid w:val="00EC74C7"/>
    <w:rsid w:val="00ED0EB8"/>
    <w:rsid w:val="00ED1875"/>
    <w:rsid w:val="00ED237C"/>
    <w:rsid w:val="00ED79F7"/>
    <w:rsid w:val="00ED7F27"/>
    <w:rsid w:val="00EE3371"/>
    <w:rsid w:val="00EE3CF1"/>
    <w:rsid w:val="00EE3EDA"/>
    <w:rsid w:val="00EE7362"/>
    <w:rsid w:val="00EF1011"/>
    <w:rsid w:val="00EF21F5"/>
    <w:rsid w:val="00EF2E43"/>
    <w:rsid w:val="00F025F5"/>
    <w:rsid w:val="00F05284"/>
    <w:rsid w:val="00F06391"/>
    <w:rsid w:val="00F1055C"/>
    <w:rsid w:val="00F114D6"/>
    <w:rsid w:val="00F135FC"/>
    <w:rsid w:val="00F139EA"/>
    <w:rsid w:val="00F13D40"/>
    <w:rsid w:val="00F17811"/>
    <w:rsid w:val="00F232F5"/>
    <w:rsid w:val="00F25279"/>
    <w:rsid w:val="00F30DD3"/>
    <w:rsid w:val="00F35F13"/>
    <w:rsid w:val="00F37628"/>
    <w:rsid w:val="00F40AC6"/>
    <w:rsid w:val="00F41572"/>
    <w:rsid w:val="00F51754"/>
    <w:rsid w:val="00F5196B"/>
    <w:rsid w:val="00F51B98"/>
    <w:rsid w:val="00F540FB"/>
    <w:rsid w:val="00F55199"/>
    <w:rsid w:val="00F57323"/>
    <w:rsid w:val="00F60064"/>
    <w:rsid w:val="00F6040F"/>
    <w:rsid w:val="00F617A8"/>
    <w:rsid w:val="00F67EC6"/>
    <w:rsid w:val="00F73808"/>
    <w:rsid w:val="00F750D7"/>
    <w:rsid w:val="00F75D5D"/>
    <w:rsid w:val="00F76798"/>
    <w:rsid w:val="00F771A2"/>
    <w:rsid w:val="00F87D46"/>
    <w:rsid w:val="00F90C15"/>
    <w:rsid w:val="00FB412B"/>
    <w:rsid w:val="00FB49EC"/>
    <w:rsid w:val="00FB5EDB"/>
    <w:rsid w:val="00FC0E5B"/>
    <w:rsid w:val="00FC2EAB"/>
    <w:rsid w:val="00FC4766"/>
    <w:rsid w:val="00FC6662"/>
    <w:rsid w:val="00FD14DC"/>
    <w:rsid w:val="00FD3E96"/>
    <w:rsid w:val="00FD5D91"/>
    <w:rsid w:val="00FE0BF9"/>
    <w:rsid w:val="00FE52EF"/>
    <w:rsid w:val="00FE5EDB"/>
    <w:rsid w:val="00FE62B4"/>
    <w:rsid w:val="00FF05DE"/>
    <w:rsid w:val="00FF475D"/>
    <w:rsid w:val="00FF5021"/>
    <w:rsid w:val="00FF5FA2"/>
    <w:rsid w:val="00FF72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24B551F"/>
  <w15:docId w15:val="{9888A175-722A-482A-A991-964CCE8DD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A52"/>
    <w:rPr>
      <w:lang w:val="es-ES"/>
    </w:rPr>
  </w:style>
  <w:style w:type="paragraph" w:styleId="Ttulo1">
    <w:name w:val="heading 1"/>
    <w:basedOn w:val="Normal"/>
    <w:next w:val="Normal"/>
    <w:link w:val="Ttulo1Car"/>
    <w:uiPriority w:val="9"/>
    <w:qFormat/>
    <w:rsid w:val="00B412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23F9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478D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478D8"/>
    <w:rPr>
      <w:lang w:val="es-ES"/>
    </w:rPr>
  </w:style>
  <w:style w:type="table" w:styleId="Tablaconcuadrcula">
    <w:name w:val="Table Grid"/>
    <w:basedOn w:val="Tablanormal"/>
    <w:uiPriority w:val="59"/>
    <w:rsid w:val="000478D8"/>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iedepgina">
    <w:name w:val="footer"/>
    <w:basedOn w:val="Normal"/>
    <w:link w:val="PiedepginaCar"/>
    <w:uiPriority w:val="99"/>
    <w:unhideWhenUsed/>
    <w:rsid w:val="002928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283B"/>
    <w:rPr>
      <w:lang w:val="es-ES"/>
    </w:rPr>
  </w:style>
  <w:style w:type="paragraph" w:styleId="NormalWeb">
    <w:name w:val="Normal (Web)"/>
    <w:basedOn w:val="Normal"/>
    <w:unhideWhenUsed/>
    <w:rsid w:val="0029283B"/>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D60656"/>
    <w:rPr>
      <w:color w:val="0000FF"/>
      <w:u w:val="single"/>
    </w:rPr>
  </w:style>
  <w:style w:type="paragraph" w:styleId="Textodeglobo">
    <w:name w:val="Balloon Text"/>
    <w:basedOn w:val="Normal"/>
    <w:link w:val="TextodegloboCar"/>
    <w:uiPriority w:val="99"/>
    <w:semiHidden/>
    <w:unhideWhenUsed/>
    <w:rsid w:val="00B1151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11516"/>
    <w:rPr>
      <w:rFonts w:ascii="Tahoma" w:hAnsi="Tahoma" w:cs="Tahoma"/>
      <w:sz w:val="16"/>
      <w:szCs w:val="16"/>
      <w:lang w:val="es-ES"/>
    </w:rPr>
  </w:style>
  <w:style w:type="character" w:customStyle="1" w:styleId="Ttulo1Car">
    <w:name w:val="Título 1 Car"/>
    <w:basedOn w:val="Fuentedeprrafopredeter"/>
    <w:link w:val="Ttulo1"/>
    <w:uiPriority w:val="9"/>
    <w:rsid w:val="00B4126D"/>
    <w:rPr>
      <w:rFonts w:asciiTheme="majorHAnsi" w:eastAsiaTheme="majorEastAsia" w:hAnsiTheme="majorHAnsi" w:cstheme="majorBidi"/>
      <w:b/>
      <w:bCs/>
      <w:color w:val="365F91" w:themeColor="accent1" w:themeShade="BF"/>
      <w:sz w:val="28"/>
      <w:szCs w:val="28"/>
      <w:lang w:val="es-ES"/>
    </w:rPr>
  </w:style>
  <w:style w:type="character" w:customStyle="1" w:styleId="TextonotapieCar">
    <w:name w:val="Texto nota pie Car"/>
    <w:aliases w:val="Footnote Text Char Char Char Char Char Car,Footnote Text Char Char Char Char Car,Footnote reference Car,FA Fu Car1,texto de nota al pie Car,Footnote Text Cha Car,Footnote Text Char Char Char Car,FA Fußnotentext Car,FA Fuﬂnotentext Car"/>
    <w:basedOn w:val="Fuentedeprrafopredeter"/>
    <w:link w:val="Textonotapie"/>
    <w:locked/>
    <w:rsid w:val="00A14BD4"/>
    <w:rPr>
      <w:rFonts w:ascii="Calibri" w:hAnsi="Calibri" w:cs="Calibri"/>
      <w:lang w:val="es-ES"/>
    </w:rPr>
  </w:style>
  <w:style w:type="paragraph" w:styleId="Textonotapie">
    <w:name w:val="footnote text"/>
    <w:aliases w:val="Footnote Text Char Char Char Char Char,Footnote Text Char Char Char Char,Footnote reference,FA Fu,texto de nota al pie,Footnote Text Cha,Footnote Text Char Char Char,FA Fußnotentext,FA Fuﬂnotentext,Footnote Text Char Ch,FA Fu Car, Car, C"/>
    <w:basedOn w:val="Normal"/>
    <w:link w:val="TextonotapieCar"/>
    <w:unhideWhenUsed/>
    <w:qFormat/>
    <w:rsid w:val="00A14BD4"/>
    <w:rPr>
      <w:rFonts w:ascii="Calibri" w:hAnsi="Calibri" w:cs="Calibri"/>
    </w:rPr>
  </w:style>
  <w:style w:type="character" w:customStyle="1" w:styleId="TextonotapieCar1">
    <w:name w:val="Texto nota pie Car1"/>
    <w:basedOn w:val="Fuentedeprrafopredeter"/>
    <w:uiPriority w:val="99"/>
    <w:semiHidden/>
    <w:rsid w:val="00A14BD4"/>
    <w:rPr>
      <w:sz w:val="20"/>
      <w:szCs w:val="20"/>
      <w:lang w:val="es-ES"/>
    </w:rPr>
  </w:style>
  <w:style w:type="paragraph" w:styleId="Textoindependiente">
    <w:name w:val="Body Text"/>
    <w:basedOn w:val="Normal"/>
    <w:link w:val="TextoindependienteCar"/>
    <w:uiPriority w:val="99"/>
    <w:unhideWhenUsed/>
    <w:rsid w:val="00A14BD4"/>
    <w:pPr>
      <w:spacing w:after="120"/>
    </w:pPr>
    <w:rPr>
      <w:rFonts w:ascii="Calibri" w:eastAsia="Calibri" w:hAnsi="Calibri" w:cs="Calibri"/>
    </w:rPr>
  </w:style>
  <w:style w:type="character" w:customStyle="1" w:styleId="TextoindependienteCar">
    <w:name w:val="Texto independiente Car"/>
    <w:basedOn w:val="Fuentedeprrafopredeter"/>
    <w:link w:val="Textoindependiente"/>
    <w:uiPriority w:val="99"/>
    <w:rsid w:val="00A14BD4"/>
    <w:rPr>
      <w:rFonts w:ascii="Calibri" w:eastAsia="Calibri" w:hAnsi="Calibri" w:cs="Calibri"/>
      <w:lang w:val="es-ES"/>
    </w:rPr>
  </w:style>
  <w:style w:type="paragraph" w:styleId="Textoindependiente2">
    <w:name w:val="Body Text 2"/>
    <w:basedOn w:val="Normal"/>
    <w:link w:val="Textoindependiente2Car"/>
    <w:uiPriority w:val="99"/>
    <w:unhideWhenUsed/>
    <w:rsid w:val="00A14BD4"/>
    <w:pPr>
      <w:overflowPunct w:val="0"/>
      <w:autoSpaceDE w:val="0"/>
      <w:autoSpaceDN w:val="0"/>
      <w:adjustRightInd w:val="0"/>
      <w:spacing w:after="0" w:line="360" w:lineRule="auto"/>
      <w:ind w:right="-284"/>
      <w:jc w:val="both"/>
    </w:pPr>
    <w:rPr>
      <w:rFonts w:ascii="Arial" w:eastAsia="Times New Roman" w:hAnsi="Arial" w:cs="Arial"/>
      <w:sz w:val="26"/>
      <w:szCs w:val="26"/>
      <w:lang w:val="es-ES_tradnl" w:eastAsia="es-ES"/>
    </w:rPr>
  </w:style>
  <w:style w:type="character" w:customStyle="1" w:styleId="Textoindependiente2Car">
    <w:name w:val="Texto independiente 2 Car"/>
    <w:basedOn w:val="Fuentedeprrafopredeter"/>
    <w:link w:val="Textoindependiente2"/>
    <w:uiPriority w:val="99"/>
    <w:rsid w:val="00A14BD4"/>
    <w:rPr>
      <w:rFonts w:ascii="Arial" w:eastAsia="Times New Roman" w:hAnsi="Arial" w:cs="Arial"/>
      <w:sz w:val="26"/>
      <w:szCs w:val="26"/>
      <w:lang w:val="es-ES_tradnl" w:eastAsia="es-ES"/>
    </w:rPr>
  </w:style>
  <w:style w:type="paragraph" w:styleId="Prrafodelista">
    <w:name w:val="List Paragraph"/>
    <w:basedOn w:val="Normal"/>
    <w:link w:val="PrrafodelistaCar"/>
    <w:uiPriority w:val="99"/>
    <w:qFormat/>
    <w:rsid w:val="00A14BD4"/>
    <w:pPr>
      <w:ind w:left="720"/>
    </w:pPr>
    <w:rPr>
      <w:rFonts w:ascii="Calibri" w:eastAsia="Calibri" w:hAnsi="Calibri" w:cs="Calibri"/>
    </w:rPr>
  </w:style>
  <w:style w:type="paragraph" w:customStyle="1" w:styleId="BodyTextIndent21">
    <w:name w:val="Body Text Indent 21"/>
    <w:basedOn w:val="Normal"/>
    <w:uiPriority w:val="99"/>
    <w:rsid w:val="00A14BD4"/>
    <w:pPr>
      <w:overflowPunct w:val="0"/>
      <w:autoSpaceDE w:val="0"/>
      <w:autoSpaceDN w:val="0"/>
      <w:adjustRightInd w:val="0"/>
      <w:spacing w:after="0" w:line="360" w:lineRule="auto"/>
      <w:ind w:firstLine="1440"/>
      <w:jc w:val="both"/>
    </w:pPr>
    <w:rPr>
      <w:rFonts w:ascii="Arial" w:eastAsia="Times New Roman" w:hAnsi="Arial" w:cs="Arial"/>
      <w:sz w:val="24"/>
      <w:szCs w:val="24"/>
      <w:lang w:val="es-CO" w:eastAsia="es-ES"/>
    </w:rPr>
  </w:style>
  <w:style w:type="paragraph" w:customStyle="1" w:styleId="cuerpotexto">
    <w:name w:val="cuerpotexto"/>
    <w:basedOn w:val="Normal"/>
    <w:uiPriority w:val="99"/>
    <w:rsid w:val="00A14BD4"/>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paragraph" w:customStyle="1" w:styleId="Prrafodelista2">
    <w:name w:val="Párrafo de lista2"/>
    <w:basedOn w:val="Normal"/>
    <w:uiPriority w:val="99"/>
    <w:rsid w:val="00A14BD4"/>
    <w:pPr>
      <w:ind w:left="720"/>
    </w:pPr>
    <w:rPr>
      <w:rFonts w:ascii="Calibri" w:eastAsia="Times New Roman" w:hAnsi="Calibri" w:cs="Times New Roman"/>
    </w:rPr>
  </w:style>
  <w:style w:type="character" w:styleId="Refdenotaalpie">
    <w:name w:val="footnote reference"/>
    <w:aliases w:val="Ref. de nota al pie 2,Texto de nota al pie,Pie de Página,FC,referencia nota al pie,Appel note de bas de page,Footnotes refss,Footnote number,BVI fnr,f,4_G,16 Point,Superscript 6 Point,Texto nota al pie,Texto de nota al pi,Pie de Pàgi"/>
    <w:link w:val="4GChar"/>
    <w:uiPriority w:val="99"/>
    <w:unhideWhenUsed/>
    <w:qFormat/>
    <w:rsid w:val="00A14BD4"/>
    <w:rPr>
      <w:vertAlign w:val="superscript"/>
    </w:rPr>
  </w:style>
  <w:style w:type="character" w:customStyle="1" w:styleId="apple-converted-space">
    <w:name w:val="apple-converted-space"/>
    <w:rsid w:val="00A14BD4"/>
  </w:style>
  <w:style w:type="character" w:customStyle="1" w:styleId="spelle">
    <w:name w:val="spelle"/>
    <w:rsid w:val="00A14BD4"/>
  </w:style>
  <w:style w:type="paragraph" w:styleId="Sinespaciado">
    <w:name w:val="No Spacing"/>
    <w:uiPriority w:val="1"/>
    <w:qFormat/>
    <w:rsid w:val="00A351F3"/>
    <w:pPr>
      <w:spacing w:after="0" w:line="240" w:lineRule="auto"/>
    </w:pPr>
    <w:rPr>
      <w:lang w:val="es-ES"/>
    </w:rPr>
  </w:style>
  <w:style w:type="character" w:styleId="Textoennegrita">
    <w:name w:val="Strong"/>
    <w:uiPriority w:val="22"/>
    <w:qFormat/>
    <w:rsid w:val="00552012"/>
    <w:rPr>
      <w:b/>
      <w:bCs/>
    </w:rPr>
  </w:style>
  <w:style w:type="paragraph" w:customStyle="1" w:styleId="sangria">
    <w:name w:val="sangria"/>
    <w:basedOn w:val="Normal"/>
    <w:rsid w:val="0055201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rsid w:val="00552012"/>
    <w:pPr>
      <w:spacing w:after="0" w:line="240" w:lineRule="auto"/>
      <w:jc w:val="both"/>
    </w:pPr>
    <w:rPr>
      <w:vertAlign w:val="superscript"/>
      <w:lang w:val="es-CO"/>
    </w:rPr>
  </w:style>
  <w:style w:type="paragraph" w:customStyle="1" w:styleId="Sangra3detindependiente1">
    <w:name w:val="Sangría 3 de t. independiente1"/>
    <w:basedOn w:val="Normal"/>
    <w:rsid w:val="00552012"/>
    <w:pPr>
      <w:overflowPunct w:val="0"/>
      <w:autoSpaceDE w:val="0"/>
      <w:autoSpaceDN w:val="0"/>
      <w:adjustRightInd w:val="0"/>
      <w:spacing w:after="0" w:line="480" w:lineRule="auto"/>
      <w:ind w:firstLine="1418"/>
      <w:jc w:val="both"/>
      <w:textAlignment w:val="baseline"/>
    </w:pPr>
    <w:rPr>
      <w:rFonts w:ascii="new courier" w:eastAsia="Times New Roman" w:hAnsi="new courier" w:cs="Times New Roman"/>
      <w:sz w:val="26"/>
      <w:szCs w:val="20"/>
      <w:lang w:val="es-MX" w:eastAsia="es-ES"/>
    </w:rPr>
  </w:style>
  <w:style w:type="paragraph" w:customStyle="1" w:styleId="Textoindependiente22">
    <w:name w:val="Texto independiente 22"/>
    <w:basedOn w:val="Normal"/>
    <w:rsid w:val="00552012"/>
    <w:pPr>
      <w:spacing w:after="0" w:line="360" w:lineRule="auto"/>
      <w:jc w:val="both"/>
    </w:pPr>
    <w:rPr>
      <w:rFonts w:ascii="Arial" w:eastAsia="Times New Roman" w:hAnsi="Arial" w:cs="Times New Roman"/>
      <w:sz w:val="24"/>
      <w:szCs w:val="20"/>
      <w:lang w:eastAsia="es-ES"/>
    </w:rPr>
  </w:style>
  <w:style w:type="paragraph" w:styleId="Textoindependiente3">
    <w:name w:val="Body Text 3"/>
    <w:basedOn w:val="Normal"/>
    <w:link w:val="Textoindependiente3Car"/>
    <w:uiPriority w:val="99"/>
    <w:semiHidden/>
    <w:unhideWhenUsed/>
    <w:rsid w:val="00E91E51"/>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E91E51"/>
    <w:rPr>
      <w:sz w:val="16"/>
      <w:szCs w:val="16"/>
      <w:lang w:val="es-ES"/>
    </w:rPr>
  </w:style>
  <w:style w:type="character" w:customStyle="1" w:styleId="PrrafodelistaCar">
    <w:name w:val="Párrafo de lista Car"/>
    <w:link w:val="Prrafodelista"/>
    <w:uiPriority w:val="99"/>
    <w:locked/>
    <w:rsid w:val="00E91E51"/>
    <w:rPr>
      <w:rFonts w:ascii="Calibri" w:eastAsia="Calibri" w:hAnsi="Calibri" w:cs="Calibri"/>
      <w:lang w:val="es-ES"/>
    </w:rPr>
  </w:style>
  <w:style w:type="paragraph" w:customStyle="1" w:styleId="Style5">
    <w:name w:val="Style5"/>
    <w:basedOn w:val="Normal"/>
    <w:uiPriority w:val="99"/>
    <w:rsid w:val="00777A61"/>
    <w:pPr>
      <w:widowControl w:val="0"/>
      <w:autoSpaceDE w:val="0"/>
      <w:autoSpaceDN w:val="0"/>
      <w:adjustRightInd w:val="0"/>
      <w:spacing w:after="0" w:line="293" w:lineRule="exact"/>
      <w:jc w:val="both"/>
    </w:pPr>
    <w:rPr>
      <w:rFonts w:ascii="MS Gothic" w:eastAsia="MS Gothic"/>
      <w:sz w:val="24"/>
      <w:szCs w:val="24"/>
      <w:lang w:val="es-CO" w:eastAsia="es-CO"/>
    </w:rPr>
  </w:style>
  <w:style w:type="paragraph" w:customStyle="1" w:styleId="Style21">
    <w:name w:val="Style21"/>
    <w:basedOn w:val="Normal"/>
    <w:uiPriority w:val="99"/>
    <w:rsid w:val="00777A61"/>
    <w:pPr>
      <w:widowControl w:val="0"/>
      <w:autoSpaceDE w:val="0"/>
      <w:autoSpaceDN w:val="0"/>
      <w:adjustRightInd w:val="0"/>
      <w:spacing w:after="0" w:line="221" w:lineRule="exact"/>
      <w:jc w:val="both"/>
    </w:pPr>
    <w:rPr>
      <w:rFonts w:ascii="MS Gothic" w:eastAsia="MS Gothic"/>
      <w:sz w:val="24"/>
      <w:szCs w:val="24"/>
      <w:lang w:val="es-CO" w:eastAsia="es-CO"/>
    </w:rPr>
  </w:style>
  <w:style w:type="character" w:customStyle="1" w:styleId="FontStyle31">
    <w:name w:val="Font Style31"/>
    <w:basedOn w:val="Fuentedeprrafopredeter"/>
    <w:uiPriority w:val="99"/>
    <w:rsid w:val="00777A61"/>
    <w:rPr>
      <w:rFonts w:ascii="Century Gothic" w:hAnsi="Century Gothic" w:cs="Century Gothic"/>
      <w:sz w:val="20"/>
      <w:szCs w:val="20"/>
    </w:rPr>
  </w:style>
  <w:style w:type="paragraph" w:customStyle="1" w:styleId="Style9">
    <w:name w:val="Style9"/>
    <w:basedOn w:val="Normal"/>
    <w:uiPriority w:val="99"/>
    <w:rsid w:val="00777A61"/>
    <w:pPr>
      <w:widowControl w:val="0"/>
      <w:autoSpaceDE w:val="0"/>
      <w:autoSpaceDN w:val="0"/>
      <w:adjustRightInd w:val="0"/>
      <w:spacing w:after="0" w:line="240" w:lineRule="auto"/>
      <w:jc w:val="both"/>
    </w:pPr>
    <w:rPr>
      <w:rFonts w:ascii="Century Gothic" w:eastAsiaTheme="minorEastAsia" w:hAnsi="Century Gothic"/>
      <w:sz w:val="24"/>
      <w:szCs w:val="24"/>
      <w:lang w:eastAsia="es-ES"/>
    </w:rPr>
  </w:style>
  <w:style w:type="paragraph" w:customStyle="1" w:styleId="Style8">
    <w:name w:val="Style8"/>
    <w:basedOn w:val="Normal"/>
    <w:uiPriority w:val="99"/>
    <w:rsid w:val="00777A61"/>
    <w:pPr>
      <w:widowControl w:val="0"/>
      <w:autoSpaceDE w:val="0"/>
      <w:autoSpaceDN w:val="0"/>
      <w:adjustRightInd w:val="0"/>
      <w:spacing w:after="0" w:line="332" w:lineRule="exact"/>
      <w:jc w:val="both"/>
    </w:pPr>
    <w:rPr>
      <w:rFonts w:ascii="Century Gothic" w:eastAsiaTheme="minorEastAsia" w:hAnsi="Century Gothic"/>
      <w:sz w:val="24"/>
      <w:szCs w:val="24"/>
      <w:lang w:eastAsia="es-ES"/>
    </w:rPr>
  </w:style>
  <w:style w:type="character" w:customStyle="1" w:styleId="FontStyle32">
    <w:name w:val="Font Style32"/>
    <w:basedOn w:val="Fuentedeprrafopredeter"/>
    <w:uiPriority w:val="99"/>
    <w:rsid w:val="00777A61"/>
    <w:rPr>
      <w:rFonts w:ascii="Century Gothic" w:hAnsi="Century Gothic" w:cs="Century Gothic"/>
      <w:sz w:val="22"/>
      <w:szCs w:val="22"/>
    </w:rPr>
  </w:style>
  <w:style w:type="paragraph" w:customStyle="1" w:styleId="Style10">
    <w:name w:val="Style10"/>
    <w:basedOn w:val="Normal"/>
    <w:uiPriority w:val="99"/>
    <w:rsid w:val="00777A61"/>
    <w:pPr>
      <w:widowControl w:val="0"/>
      <w:autoSpaceDE w:val="0"/>
      <w:autoSpaceDN w:val="0"/>
      <w:adjustRightInd w:val="0"/>
      <w:spacing w:after="0" w:line="259" w:lineRule="exact"/>
      <w:jc w:val="both"/>
    </w:pPr>
    <w:rPr>
      <w:rFonts w:ascii="Arial Black" w:eastAsiaTheme="minorEastAsia" w:hAnsi="Arial Black"/>
      <w:sz w:val="24"/>
      <w:szCs w:val="24"/>
      <w:lang w:eastAsia="es-ES"/>
    </w:rPr>
  </w:style>
  <w:style w:type="character" w:customStyle="1" w:styleId="FontStyle43">
    <w:name w:val="Font Style43"/>
    <w:basedOn w:val="Fuentedeprrafopredeter"/>
    <w:uiPriority w:val="99"/>
    <w:rsid w:val="00777A61"/>
    <w:rPr>
      <w:rFonts w:ascii="Century Gothic" w:hAnsi="Century Gothic" w:cs="Century Gothic"/>
      <w:b/>
      <w:bCs/>
      <w:sz w:val="10"/>
      <w:szCs w:val="10"/>
    </w:rPr>
  </w:style>
  <w:style w:type="paragraph" w:customStyle="1" w:styleId="Style18">
    <w:name w:val="Style18"/>
    <w:basedOn w:val="Normal"/>
    <w:uiPriority w:val="99"/>
    <w:rsid w:val="00777A61"/>
    <w:pPr>
      <w:widowControl w:val="0"/>
      <w:autoSpaceDE w:val="0"/>
      <w:autoSpaceDN w:val="0"/>
      <w:adjustRightInd w:val="0"/>
      <w:spacing w:after="0" w:line="240" w:lineRule="auto"/>
    </w:pPr>
    <w:rPr>
      <w:rFonts w:ascii="Century Gothic" w:eastAsiaTheme="minorEastAsia" w:hAnsi="Century Gothic"/>
      <w:sz w:val="24"/>
      <w:szCs w:val="24"/>
      <w:lang w:eastAsia="es-ES"/>
    </w:rPr>
  </w:style>
  <w:style w:type="paragraph" w:customStyle="1" w:styleId="Style23">
    <w:name w:val="Style23"/>
    <w:basedOn w:val="Normal"/>
    <w:uiPriority w:val="99"/>
    <w:rsid w:val="00777A61"/>
    <w:pPr>
      <w:widowControl w:val="0"/>
      <w:autoSpaceDE w:val="0"/>
      <w:autoSpaceDN w:val="0"/>
      <w:adjustRightInd w:val="0"/>
      <w:spacing w:after="0" w:line="194" w:lineRule="exact"/>
      <w:jc w:val="both"/>
    </w:pPr>
    <w:rPr>
      <w:rFonts w:ascii="Century Gothic" w:eastAsiaTheme="minorEastAsia" w:hAnsi="Century Gothic"/>
      <w:sz w:val="24"/>
      <w:szCs w:val="24"/>
      <w:lang w:eastAsia="es-ES"/>
    </w:rPr>
  </w:style>
  <w:style w:type="character" w:customStyle="1" w:styleId="FontStyle46">
    <w:name w:val="Font Style46"/>
    <w:basedOn w:val="Fuentedeprrafopredeter"/>
    <w:uiPriority w:val="99"/>
    <w:rsid w:val="00777A61"/>
    <w:rPr>
      <w:rFonts w:ascii="Century Gothic" w:hAnsi="Century Gothic" w:cs="Century Gothic"/>
      <w:i/>
      <w:iCs/>
      <w:sz w:val="14"/>
      <w:szCs w:val="14"/>
    </w:rPr>
  </w:style>
  <w:style w:type="character" w:customStyle="1" w:styleId="FontStyle47">
    <w:name w:val="Font Style47"/>
    <w:basedOn w:val="Fuentedeprrafopredeter"/>
    <w:uiPriority w:val="99"/>
    <w:rsid w:val="00777A61"/>
    <w:rPr>
      <w:rFonts w:ascii="Century Gothic" w:hAnsi="Century Gothic" w:cs="Century Gothic"/>
      <w:sz w:val="14"/>
      <w:szCs w:val="14"/>
    </w:rPr>
  </w:style>
  <w:style w:type="character" w:customStyle="1" w:styleId="FontStyle40">
    <w:name w:val="Font Style40"/>
    <w:basedOn w:val="Fuentedeprrafopredeter"/>
    <w:uiPriority w:val="99"/>
    <w:rsid w:val="00777A61"/>
    <w:rPr>
      <w:rFonts w:ascii="Cambria" w:hAnsi="Cambria" w:cs="Cambria"/>
      <w:b/>
      <w:bCs/>
      <w:sz w:val="18"/>
      <w:szCs w:val="18"/>
    </w:rPr>
  </w:style>
  <w:style w:type="character" w:customStyle="1" w:styleId="FontStyle52">
    <w:name w:val="Font Style52"/>
    <w:basedOn w:val="Fuentedeprrafopredeter"/>
    <w:uiPriority w:val="99"/>
    <w:rsid w:val="00777A61"/>
    <w:rPr>
      <w:rFonts w:ascii="Century Gothic" w:hAnsi="Century Gothic" w:cs="Century Gothic"/>
      <w:sz w:val="16"/>
      <w:szCs w:val="16"/>
    </w:rPr>
  </w:style>
  <w:style w:type="paragraph" w:customStyle="1" w:styleId="Style3">
    <w:name w:val="Style3"/>
    <w:basedOn w:val="Normal"/>
    <w:uiPriority w:val="99"/>
    <w:rsid w:val="00777A61"/>
    <w:pPr>
      <w:widowControl w:val="0"/>
      <w:autoSpaceDE w:val="0"/>
      <w:autoSpaceDN w:val="0"/>
      <w:adjustRightInd w:val="0"/>
      <w:spacing w:after="0" w:line="197" w:lineRule="exact"/>
    </w:pPr>
    <w:rPr>
      <w:rFonts w:ascii="Century Gothic" w:eastAsiaTheme="minorEastAsia" w:hAnsi="Century Gothic"/>
      <w:sz w:val="24"/>
      <w:szCs w:val="24"/>
      <w:lang w:eastAsia="es-ES"/>
    </w:rPr>
  </w:style>
  <w:style w:type="paragraph" w:customStyle="1" w:styleId="Style14">
    <w:name w:val="Style14"/>
    <w:basedOn w:val="Normal"/>
    <w:uiPriority w:val="99"/>
    <w:rsid w:val="00777A61"/>
    <w:pPr>
      <w:widowControl w:val="0"/>
      <w:autoSpaceDE w:val="0"/>
      <w:autoSpaceDN w:val="0"/>
      <w:adjustRightInd w:val="0"/>
      <w:spacing w:after="0" w:line="242" w:lineRule="exact"/>
      <w:jc w:val="both"/>
    </w:pPr>
    <w:rPr>
      <w:rFonts w:ascii="Century Gothic" w:eastAsiaTheme="minorEastAsia" w:hAnsi="Century Gothic"/>
      <w:sz w:val="24"/>
      <w:szCs w:val="24"/>
      <w:lang w:eastAsia="es-ES"/>
    </w:rPr>
  </w:style>
  <w:style w:type="character" w:customStyle="1" w:styleId="FontStyle50">
    <w:name w:val="Font Style50"/>
    <w:basedOn w:val="Fuentedeprrafopredeter"/>
    <w:uiPriority w:val="99"/>
    <w:rsid w:val="00777A61"/>
    <w:rPr>
      <w:rFonts w:ascii="Century Gothic" w:hAnsi="Century Gothic" w:cs="Century Gothic"/>
      <w:b/>
      <w:bCs/>
      <w:i/>
      <w:iCs/>
      <w:sz w:val="16"/>
      <w:szCs w:val="16"/>
    </w:rPr>
  </w:style>
  <w:style w:type="character" w:customStyle="1" w:styleId="FontStyle55">
    <w:name w:val="Font Style55"/>
    <w:basedOn w:val="Fuentedeprrafopredeter"/>
    <w:uiPriority w:val="99"/>
    <w:rsid w:val="00777A61"/>
    <w:rPr>
      <w:rFonts w:ascii="Century Gothic" w:hAnsi="Century Gothic" w:cs="Century Gothic"/>
      <w:i/>
      <w:iCs/>
      <w:sz w:val="22"/>
      <w:szCs w:val="22"/>
    </w:rPr>
  </w:style>
  <w:style w:type="paragraph" w:customStyle="1" w:styleId="Style7">
    <w:name w:val="Style7"/>
    <w:basedOn w:val="Normal"/>
    <w:uiPriority w:val="99"/>
    <w:rsid w:val="00BF673D"/>
    <w:pPr>
      <w:widowControl w:val="0"/>
      <w:autoSpaceDE w:val="0"/>
      <w:autoSpaceDN w:val="0"/>
      <w:adjustRightInd w:val="0"/>
      <w:spacing w:after="0" w:line="296" w:lineRule="exact"/>
      <w:jc w:val="both"/>
    </w:pPr>
    <w:rPr>
      <w:rFonts w:ascii="MS Gothic" w:eastAsia="MS Gothic"/>
      <w:sz w:val="24"/>
      <w:szCs w:val="24"/>
      <w:lang w:val="es-CO" w:eastAsia="es-CO"/>
    </w:rPr>
  </w:style>
  <w:style w:type="character" w:customStyle="1" w:styleId="FontStyle56">
    <w:name w:val="Font Style56"/>
    <w:basedOn w:val="Fuentedeprrafopredeter"/>
    <w:uiPriority w:val="99"/>
    <w:rsid w:val="00BF673D"/>
    <w:rPr>
      <w:rFonts w:ascii="Century Gothic" w:hAnsi="Century Gothic" w:cs="Century Gothic"/>
      <w:b/>
      <w:bCs/>
      <w:i/>
      <w:iCs/>
      <w:sz w:val="22"/>
      <w:szCs w:val="22"/>
    </w:rPr>
  </w:style>
  <w:style w:type="paragraph" w:customStyle="1" w:styleId="Textonormal">
    <w:name w:val="Texto normal"/>
    <w:basedOn w:val="Normal"/>
    <w:link w:val="TextonormalCar"/>
    <w:rsid w:val="002B49E1"/>
    <w:pPr>
      <w:widowControl w:val="0"/>
      <w:adjustRightInd w:val="0"/>
      <w:spacing w:after="0" w:line="360" w:lineRule="atLeast"/>
      <w:jc w:val="both"/>
      <w:textAlignment w:val="baseline"/>
    </w:pPr>
    <w:rPr>
      <w:rFonts w:ascii="Arial" w:eastAsia="Times New Roman" w:hAnsi="Arial" w:cs="Arial"/>
      <w:sz w:val="24"/>
      <w:szCs w:val="24"/>
      <w:lang w:val="es-ES_tradnl" w:eastAsia="es-ES"/>
    </w:rPr>
  </w:style>
  <w:style w:type="character" w:customStyle="1" w:styleId="TextonormalCar">
    <w:name w:val="Texto normal Car"/>
    <w:link w:val="Textonormal"/>
    <w:locked/>
    <w:rsid w:val="002B49E1"/>
    <w:rPr>
      <w:rFonts w:ascii="Arial" w:eastAsia="Times New Roman" w:hAnsi="Arial" w:cs="Arial"/>
      <w:sz w:val="24"/>
      <w:szCs w:val="24"/>
      <w:lang w:val="es-ES_tradnl" w:eastAsia="es-ES"/>
    </w:rPr>
  </w:style>
  <w:style w:type="character" w:customStyle="1" w:styleId="Ttulo2Car">
    <w:name w:val="Título 2 Car"/>
    <w:basedOn w:val="Fuentedeprrafopredeter"/>
    <w:link w:val="Ttulo2"/>
    <w:uiPriority w:val="9"/>
    <w:rsid w:val="00223F92"/>
    <w:rPr>
      <w:rFonts w:asciiTheme="majorHAnsi" w:eastAsiaTheme="majorEastAsia" w:hAnsiTheme="majorHAnsi" w:cstheme="majorBidi"/>
      <w:color w:val="365F91" w:themeColor="accent1" w:themeShade="BF"/>
      <w:sz w:val="26"/>
      <w:szCs w:val="26"/>
      <w:lang w:val="es-ES"/>
    </w:rPr>
  </w:style>
  <w:style w:type="table" w:customStyle="1" w:styleId="Tablaconcuadrcula1">
    <w:name w:val="Tabla con cuadrícula1"/>
    <w:basedOn w:val="Tablanormal"/>
    <w:next w:val="Tablaconcuadrcula"/>
    <w:uiPriority w:val="59"/>
    <w:rsid w:val="00466FCD"/>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792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0544A7D916B5E4FBF0238EF14220CBD" ma:contentTypeVersion="2" ma:contentTypeDescription="Crear nuevo documento." ma:contentTypeScope="" ma:versionID="dbde1a09b683102da41adb35f7d01c80">
  <xsd:schema xmlns:xsd="http://www.w3.org/2001/XMLSchema" xmlns:xs="http://www.w3.org/2001/XMLSchema" xmlns:p="http://schemas.microsoft.com/office/2006/metadata/properties" xmlns:ns2="befd2167-47b6-4260-b8f8-868626a0ac51" targetNamespace="http://schemas.microsoft.com/office/2006/metadata/properties" ma:root="true" ma:fieldsID="e76dbeea5770d9eb73807fc152f5fc5b" ns2:_="">
    <xsd:import namespace="befd2167-47b6-4260-b8f8-868626a0ac5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d2167-47b6-4260-b8f8-868626a0ac5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72581-A1E1-4A71-A434-BEC8F6B36F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E7CB591-CB88-4C18-B8CC-18F3DF9D6A19}">
  <ds:schemaRefs>
    <ds:schemaRef ds:uri="http://schemas.microsoft.com/sharepoint/v3/contenttype/forms"/>
  </ds:schemaRefs>
</ds:datastoreItem>
</file>

<file path=customXml/itemProps3.xml><?xml version="1.0" encoding="utf-8"?>
<ds:datastoreItem xmlns:ds="http://schemas.openxmlformats.org/officeDocument/2006/customXml" ds:itemID="{5A4C70AF-8E66-449D-AFAC-31F06FC0A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d2167-47b6-4260-b8f8-868626a0ac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1329DE-5FDC-4B89-9F97-E4C213AEF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14</Pages>
  <Words>3895</Words>
  <Characters>21426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7</dc:creator>
  <cp:lastModifiedBy>Gregorio</cp:lastModifiedBy>
  <cp:revision>10</cp:revision>
  <cp:lastPrinted>2019-07-11T23:57:00Z</cp:lastPrinted>
  <dcterms:created xsi:type="dcterms:W3CDTF">2020-06-02T03:45:00Z</dcterms:created>
  <dcterms:modified xsi:type="dcterms:W3CDTF">2020-06-05T16:51:00Z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0x010100E0544A7D916B5E4FBF0238EF14220CBD</vt:lpwstr>
  </property>
</Properties>
</file>