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706A6" w14:textId="77777777"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2F17E7">
        <w:rPr>
          <w:rFonts w:ascii="Century Gothic" w:eastAsia="Calibri" w:hAnsi="Century Gothic" w:cs="Arial"/>
          <w:color w:val="595959" w:themeColor="text1" w:themeTint="A6"/>
          <w:sz w:val="24"/>
          <w:szCs w:val="24"/>
          <w:lang w:val="es-CO" w:eastAsia="es-ES"/>
        </w:rPr>
        <w:t xml:space="preserve">veintisiete </w:t>
      </w:r>
      <w:r w:rsidR="00CB2E1B" w:rsidRPr="009B3E44">
        <w:rPr>
          <w:rFonts w:ascii="Century Gothic" w:eastAsia="Calibri" w:hAnsi="Century Gothic" w:cs="Arial"/>
          <w:color w:val="595959" w:themeColor="text1" w:themeTint="A6"/>
          <w:sz w:val="24"/>
          <w:szCs w:val="24"/>
          <w:lang w:val="es-CO" w:eastAsia="es-ES"/>
        </w:rPr>
        <w:t>(</w:t>
      </w:r>
      <w:r w:rsidR="002F17E7">
        <w:rPr>
          <w:rFonts w:ascii="Century Gothic" w:eastAsia="Calibri" w:hAnsi="Century Gothic" w:cs="Arial"/>
          <w:color w:val="595959" w:themeColor="text1" w:themeTint="A6"/>
          <w:sz w:val="24"/>
          <w:szCs w:val="24"/>
          <w:lang w:val="es-CO" w:eastAsia="es-ES"/>
        </w:rPr>
        <w:t>27</w:t>
      </w:r>
      <w:r w:rsidR="00A0365F" w:rsidRPr="009B3E44">
        <w:rPr>
          <w:rFonts w:ascii="Century Gothic" w:eastAsia="Calibri" w:hAnsi="Century Gothic" w:cs="Arial"/>
          <w:color w:val="595959" w:themeColor="text1" w:themeTint="A6"/>
          <w:sz w:val="24"/>
          <w:szCs w:val="24"/>
          <w:lang w:val="es-CO" w:eastAsia="es-ES"/>
        </w:rPr>
        <w:t xml:space="preserve">) de </w:t>
      </w:r>
      <w:r w:rsidR="00D119FD">
        <w:rPr>
          <w:rFonts w:ascii="Century Gothic" w:eastAsia="Calibri" w:hAnsi="Century Gothic" w:cs="Arial"/>
          <w:color w:val="595959" w:themeColor="text1" w:themeTint="A6"/>
          <w:sz w:val="24"/>
          <w:szCs w:val="24"/>
          <w:lang w:val="es-CO" w:eastAsia="es-ES"/>
        </w:rPr>
        <w:t>mayo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14:paraId="78B6DEB3"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14:paraId="1A8A7569" w14:textId="77777777"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14:paraId="4CC704B3" w14:textId="77777777"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14:paraId="7CFD1D0B" w14:textId="77777777" w:rsidTr="00EC6A64">
        <w:trPr>
          <w:trHeight w:val="359"/>
        </w:trPr>
        <w:tc>
          <w:tcPr>
            <w:tcW w:w="1399" w:type="pct"/>
            <w:vAlign w:val="center"/>
          </w:tcPr>
          <w:p w14:paraId="0A0C32C7"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1104B76A" w14:textId="4A6779CE" w:rsidR="00A0365F" w:rsidRPr="009B3E44" w:rsidRDefault="00D119F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CONTROL INMEDIATO DE </w:t>
            </w:r>
            <w:r w:rsidR="008E5251">
              <w:rPr>
                <w:rFonts w:ascii="Century Gothic" w:eastAsia="Times New Roman" w:hAnsi="Century Gothic" w:cs="Arial"/>
                <w:color w:val="595959" w:themeColor="text1" w:themeTint="A6"/>
                <w:sz w:val="24"/>
                <w:szCs w:val="24"/>
                <w:lang w:eastAsia="es-ES"/>
              </w:rPr>
              <w:t>LE</w:t>
            </w:r>
            <w:bookmarkStart w:id="0" w:name="_GoBack"/>
            <w:bookmarkEnd w:id="0"/>
            <w:r>
              <w:rPr>
                <w:rFonts w:ascii="Century Gothic" w:eastAsia="Times New Roman" w:hAnsi="Century Gothic" w:cs="Arial"/>
                <w:color w:val="595959" w:themeColor="text1" w:themeTint="A6"/>
                <w:sz w:val="24"/>
                <w:szCs w:val="24"/>
                <w:lang w:eastAsia="es-ES"/>
              </w:rPr>
              <w:t>GALIDAD</w:t>
            </w:r>
          </w:p>
        </w:tc>
      </w:tr>
      <w:tr w:rsidR="009B3E44" w:rsidRPr="009B3E44" w14:paraId="5F18C109" w14:textId="77777777" w:rsidTr="00EC6A64">
        <w:trPr>
          <w:trHeight w:val="345"/>
        </w:trPr>
        <w:tc>
          <w:tcPr>
            <w:tcW w:w="1399" w:type="pct"/>
            <w:vAlign w:val="center"/>
          </w:tcPr>
          <w:p w14:paraId="15503066"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405D8735" w14:textId="77777777" w:rsidR="00A0365F" w:rsidRPr="009B3E44" w:rsidRDefault="00706B0D" w:rsidP="000F047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0F047C">
              <w:rPr>
                <w:rFonts w:ascii="Century Gothic" w:eastAsia="Times New Roman" w:hAnsi="Century Gothic" w:cs="Arial"/>
                <w:color w:val="595959" w:themeColor="text1" w:themeTint="A6"/>
                <w:sz w:val="24"/>
                <w:szCs w:val="24"/>
                <w:lang w:eastAsia="es-ES"/>
              </w:rPr>
              <w:t>180</w:t>
            </w:r>
            <w:r w:rsidRPr="009B3E44">
              <w:rPr>
                <w:rFonts w:ascii="Century Gothic" w:eastAsia="Times New Roman" w:hAnsi="Century Gothic" w:cs="Arial"/>
                <w:color w:val="595959" w:themeColor="text1" w:themeTint="A6"/>
                <w:sz w:val="24"/>
                <w:szCs w:val="24"/>
                <w:lang w:eastAsia="es-ES"/>
              </w:rPr>
              <w:t>-00</w:t>
            </w:r>
          </w:p>
        </w:tc>
      </w:tr>
      <w:tr w:rsidR="009B3E44" w:rsidRPr="009B3E44" w14:paraId="0FF02118" w14:textId="77777777" w:rsidTr="00EC6A64">
        <w:trPr>
          <w:trHeight w:val="345"/>
        </w:trPr>
        <w:tc>
          <w:tcPr>
            <w:tcW w:w="1399" w:type="pct"/>
            <w:vAlign w:val="center"/>
          </w:tcPr>
          <w:p w14:paraId="53B26CBB"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7F022270" w14:textId="77777777" w:rsidR="00A0365F" w:rsidRPr="009B3E44" w:rsidRDefault="00F572C0" w:rsidP="00056A8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DECRETO </w:t>
            </w:r>
            <w:r w:rsidR="00056A8F">
              <w:rPr>
                <w:rFonts w:ascii="Century Gothic" w:eastAsia="Times New Roman" w:hAnsi="Century Gothic" w:cs="Arial"/>
                <w:color w:val="595959" w:themeColor="text1" w:themeTint="A6"/>
                <w:sz w:val="24"/>
                <w:szCs w:val="24"/>
                <w:lang w:eastAsia="es-ES"/>
              </w:rPr>
              <w:t>180 - 2020</w:t>
            </w:r>
            <w:r>
              <w:rPr>
                <w:rFonts w:ascii="Century Gothic" w:eastAsia="Times New Roman" w:hAnsi="Century Gothic" w:cs="Arial"/>
                <w:color w:val="595959" w:themeColor="text1" w:themeTint="A6"/>
                <w:sz w:val="24"/>
                <w:szCs w:val="24"/>
                <w:lang w:eastAsia="es-ES"/>
              </w:rPr>
              <w:t xml:space="preserve"> DE </w:t>
            </w:r>
            <w:r w:rsidR="00056A8F">
              <w:rPr>
                <w:rFonts w:ascii="Century Gothic" w:eastAsia="Times New Roman" w:hAnsi="Century Gothic" w:cs="Arial"/>
                <w:color w:val="595959" w:themeColor="text1" w:themeTint="A6"/>
                <w:sz w:val="24"/>
                <w:szCs w:val="24"/>
                <w:lang w:eastAsia="es-ES"/>
              </w:rPr>
              <w:t>24</w:t>
            </w:r>
            <w:r>
              <w:rPr>
                <w:rFonts w:ascii="Century Gothic" w:eastAsia="Times New Roman" w:hAnsi="Century Gothic" w:cs="Arial"/>
                <w:color w:val="595959" w:themeColor="text1" w:themeTint="A6"/>
                <w:sz w:val="24"/>
                <w:szCs w:val="24"/>
                <w:lang w:eastAsia="es-ES"/>
              </w:rPr>
              <w:t xml:space="preserve"> DE MA</w:t>
            </w:r>
            <w:r w:rsidR="00DF7836">
              <w:rPr>
                <w:rFonts w:ascii="Century Gothic" w:eastAsia="Times New Roman" w:hAnsi="Century Gothic" w:cs="Arial"/>
                <w:color w:val="595959" w:themeColor="text1" w:themeTint="A6"/>
                <w:sz w:val="24"/>
                <w:szCs w:val="24"/>
                <w:lang w:eastAsia="es-ES"/>
              </w:rPr>
              <w:t>RZ</w:t>
            </w:r>
            <w:r>
              <w:rPr>
                <w:rFonts w:ascii="Century Gothic" w:eastAsia="Times New Roman" w:hAnsi="Century Gothic" w:cs="Arial"/>
                <w:color w:val="595959" w:themeColor="text1" w:themeTint="A6"/>
                <w:sz w:val="24"/>
                <w:szCs w:val="24"/>
                <w:lang w:eastAsia="es-ES"/>
              </w:rPr>
              <w:t>O DE 2020</w:t>
            </w:r>
          </w:p>
        </w:tc>
      </w:tr>
      <w:tr w:rsidR="009B3E44" w:rsidRPr="009B3E44" w14:paraId="522AEF14" w14:textId="77777777" w:rsidTr="00EC6A64">
        <w:trPr>
          <w:trHeight w:val="345"/>
        </w:trPr>
        <w:tc>
          <w:tcPr>
            <w:tcW w:w="1399" w:type="pct"/>
            <w:vAlign w:val="center"/>
          </w:tcPr>
          <w:p w14:paraId="0A3259AF"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48A73862" w14:textId="77777777" w:rsidR="00A0365F" w:rsidRPr="009B3E44" w:rsidRDefault="00056A8F" w:rsidP="00706B0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REGIDOR</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14:paraId="6587EFB5" w14:textId="77777777" w:rsidTr="00EC6A64">
        <w:trPr>
          <w:trHeight w:val="345"/>
        </w:trPr>
        <w:tc>
          <w:tcPr>
            <w:tcW w:w="1399" w:type="pct"/>
            <w:vAlign w:val="center"/>
          </w:tcPr>
          <w:p w14:paraId="5422A62F"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504E43B2" w14:textId="77777777"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14:paraId="35A47865" w14:textId="77777777" w:rsidTr="00EC6A64">
        <w:trPr>
          <w:trHeight w:val="345"/>
        </w:trPr>
        <w:tc>
          <w:tcPr>
            <w:tcW w:w="1399" w:type="pct"/>
            <w:vAlign w:val="center"/>
          </w:tcPr>
          <w:p w14:paraId="2B03F01C" w14:textId="77777777"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511F3797" w14:textId="77777777" w:rsidR="00A0365F" w:rsidRPr="009B3E44" w:rsidRDefault="00DF7836" w:rsidP="00A0365F">
            <w:pPr>
              <w:spacing w:after="0"/>
              <w:jc w:val="both"/>
              <w:rPr>
                <w:rFonts w:ascii="Century Gothic" w:eastAsia="Times New Roman" w:hAnsi="Century Gothic" w:cs="Arial"/>
                <w:color w:val="595959" w:themeColor="text1" w:themeTint="A6"/>
                <w:sz w:val="24"/>
                <w:szCs w:val="24"/>
                <w:lang w:val="es-CO" w:eastAsia="es-ES"/>
              </w:rPr>
            </w:pPr>
            <w:r>
              <w:rPr>
                <w:rFonts w:ascii="Century Gothic" w:eastAsia="Times New Roman" w:hAnsi="Century Gothic" w:cs="Arial"/>
                <w:color w:val="595959" w:themeColor="text1" w:themeTint="A6"/>
                <w:sz w:val="24"/>
                <w:szCs w:val="24"/>
                <w:lang w:eastAsia="es-ES"/>
              </w:rPr>
              <w:t>LUÍ</w:t>
            </w:r>
            <w:r w:rsidR="00A0365F" w:rsidRPr="009B3E44">
              <w:rPr>
                <w:rFonts w:ascii="Century Gothic" w:eastAsia="Times New Roman" w:hAnsi="Century Gothic" w:cs="Arial"/>
                <w:color w:val="595959" w:themeColor="text1" w:themeTint="A6"/>
                <w:sz w:val="24"/>
                <w:szCs w:val="24"/>
                <w:lang w:eastAsia="es-ES"/>
              </w:rPr>
              <w:t>S MIGUEL VILLALOBOS</w:t>
            </w:r>
            <w:r w:rsidR="00A0365F" w:rsidRPr="009B3E44">
              <w:rPr>
                <w:rFonts w:ascii="Century Gothic" w:eastAsia="Times New Roman" w:hAnsi="Century Gothic" w:cs="Arial"/>
                <w:color w:val="595959" w:themeColor="text1" w:themeTint="A6"/>
                <w:sz w:val="24"/>
                <w:szCs w:val="24"/>
                <w:lang w:val="es-CO" w:eastAsia="es-ES"/>
              </w:rPr>
              <w:t xml:space="preserve"> ÁLVAREZ</w:t>
            </w:r>
          </w:p>
        </w:tc>
      </w:tr>
    </w:tbl>
    <w:p w14:paraId="01AB7AAF"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2A8E43B2"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14:paraId="2EC7DF61"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44D1634E" w14:textId="77777777"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14:paraId="2FDB83B9"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135928A0" w14:textId="77777777" w:rsidR="00A0365F" w:rsidRDefault="00DF7836" w:rsidP="00056A8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sidR="00056A8F">
        <w:rPr>
          <w:rFonts w:ascii="Century Gothic" w:eastAsia="Times New Roman" w:hAnsi="Century Gothic" w:cs="Times New Roman"/>
          <w:color w:val="595959" w:themeColor="text1" w:themeTint="A6"/>
          <w:sz w:val="24"/>
          <w:szCs w:val="24"/>
          <w:lang w:val="es-ES_tradnl" w:eastAsia="es-ES"/>
        </w:rPr>
        <w:t xml:space="preserve">Regidor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sidR="00056A8F">
        <w:rPr>
          <w:rFonts w:ascii="Century Gothic" w:eastAsia="Times New Roman" w:hAnsi="Century Gothic" w:cs="Times New Roman"/>
          <w:color w:val="595959" w:themeColor="text1" w:themeTint="A6"/>
          <w:sz w:val="24"/>
          <w:szCs w:val="24"/>
          <w:lang w:val="es-ES_tradnl" w:eastAsia="es-ES"/>
        </w:rPr>
        <w:t>180-2020 de 24</w:t>
      </w:r>
      <w:r>
        <w:rPr>
          <w:rFonts w:ascii="Century Gothic" w:eastAsia="Times New Roman" w:hAnsi="Century Gothic" w:cs="Times New Roman"/>
          <w:color w:val="595959" w:themeColor="text1" w:themeTint="A6"/>
          <w:sz w:val="24"/>
          <w:szCs w:val="24"/>
          <w:lang w:val="es-ES_tradnl" w:eastAsia="es-ES"/>
        </w:rPr>
        <w:t xml:space="preserve"> </w:t>
      </w:r>
      <w:r w:rsidR="00596E0B">
        <w:rPr>
          <w:rFonts w:ascii="Century Gothic" w:eastAsia="Times New Roman" w:hAnsi="Century Gothic" w:cs="Times New Roman"/>
          <w:color w:val="595959" w:themeColor="text1" w:themeTint="A6"/>
          <w:sz w:val="24"/>
          <w:szCs w:val="24"/>
          <w:lang w:val="es-ES_tradnl" w:eastAsia="es-ES"/>
        </w:rPr>
        <w:t xml:space="preserve">de marzo de 2020 </w:t>
      </w:r>
      <w:r w:rsidR="00056A8F" w:rsidRPr="00056A8F">
        <w:rPr>
          <w:rFonts w:ascii="Century Gothic" w:eastAsia="Times New Roman" w:hAnsi="Century Gothic" w:cs="Times New Roman"/>
          <w:i/>
          <w:color w:val="595959" w:themeColor="text1" w:themeTint="A6"/>
          <w:sz w:val="24"/>
          <w:szCs w:val="24"/>
          <w:lang w:val="es-ES_tradnl" w:eastAsia="es-ES"/>
        </w:rPr>
        <w:t>“Por el cual se imparten instrucciones en virtud de la emergencia sanitaria generada por la pandemia del Coronavirus COVID-19 y en el mantenimiento del orden público del</w:t>
      </w:r>
      <w:r w:rsidR="00056A8F">
        <w:rPr>
          <w:rFonts w:ascii="Century Gothic" w:eastAsia="Times New Roman" w:hAnsi="Century Gothic" w:cs="Times New Roman"/>
          <w:i/>
          <w:color w:val="595959" w:themeColor="text1" w:themeTint="A6"/>
          <w:sz w:val="24"/>
          <w:szCs w:val="24"/>
          <w:lang w:val="es-ES_tradnl" w:eastAsia="es-ES"/>
        </w:rPr>
        <w:t xml:space="preserve"> </w:t>
      </w:r>
      <w:r w:rsidR="00056A8F" w:rsidRPr="00056A8F">
        <w:rPr>
          <w:rFonts w:ascii="Century Gothic" w:eastAsia="Times New Roman" w:hAnsi="Century Gothic" w:cs="Times New Roman"/>
          <w:i/>
          <w:color w:val="595959" w:themeColor="text1" w:themeTint="A6"/>
          <w:sz w:val="24"/>
          <w:szCs w:val="24"/>
          <w:lang w:val="es-ES_tradnl" w:eastAsia="es-ES"/>
        </w:rPr>
        <w:t>Municipio de Regidor - Bolívar”</w:t>
      </w:r>
      <w:r w:rsidR="00596E0B">
        <w:rPr>
          <w:rFonts w:ascii="Century Gothic" w:eastAsia="Times New Roman" w:hAnsi="Century Gothic" w:cs="Times New Roman"/>
          <w:color w:val="595959" w:themeColor="text1" w:themeTint="A6"/>
          <w:sz w:val="24"/>
          <w:szCs w:val="24"/>
          <w:lang w:val="es-ES_tradnl" w:eastAsia="es-ES"/>
        </w:rPr>
        <w:t>, ordenando:</w:t>
      </w:r>
    </w:p>
    <w:p w14:paraId="5E78427D" w14:textId="77777777"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469B905F" w14:textId="77777777" w:rsidR="00056A8F" w:rsidRDefault="00846496"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056A8F" w:rsidRPr="00056A8F">
        <w:rPr>
          <w:rFonts w:ascii="Century Gothic" w:eastAsia="Times New Roman" w:hAnsi="Century Gothic" w:cs="Times New Roman"/>
          <w:b/>
          <w:i/>
          <w:color w:val="595959" w:themeColor="text1" w:themeTint="A6"/>
          <w:sz w:val="24"/>
          <w:szCs w:val="24"/>
          <w:lang w:val="es-ES_tradnl" w:eastAsia="es-ES"/>
        </w:rPr>
        <w:t>ARTÍCULO PRIMERO. AISLAMIENTO</w:t>
      </w:r>
      <w:r w:rsidR="00056A8F" w:rsidRPr="00056A8F">
        <w:rPr>
          <w:rFonts w:ascii="Century Gothic" w:eastAsia="Times New Roman" w:hAnsi="Century Gothic" w:cs="Times New Roman"/>
          <w:i/>
          <w:color w:val="595959" w:themeColor="text1" w:themeTint="A6"/>
          <w:sz w:val="24"/>
          <w:szCs w:val="24"/>
          <w:lang w:val="es-ES_tradnl" w:eastAsia="es-ES"/>
        </w:rPr>
        <w:t>: Ordenar el aislamiento preventivo obligatorio de todas las personas habitantes del Municipio de Regidor - Bolívar, a partir de las cero horas</w:t>
      </w:r>
      <w:r w:rsidR="00056A8F">
        <w:rPr>
          <w:rFonts w:ascii="Century Gothic" w:eastAsia="Times New Roman" w:hAnsi="Century Gothic" w:cs="Times New Roman"/>
          <w:i/>
          <w:color w:val="595959" w:themeColor="text1" w:themeTint="A6"/>
          <w:sz w:val="24"/>
          <w:szCs w:val="24"/>
          <w:lang w:val="es-ES_tradnl" w:eastAsia="es-ES"/>
        </w:rPr>
        <w:t xml:space="preserve"> </w:t>
      </w:r>
      <w:r w:rsidR="00056A8F" w:rsidRPr="00056A8F">
        <w:rPr>
          <w:rFonts w:ascii="Century Gothic" w:eastAsia="Times New Roman" w:hAnsi="Century Gothic" w:cs="Times New Roman"/>
          <w:i/>
          <w:color w:val="595959" w:themeColor="text1" w:themeTint="A6"/>
          <w:sz w:val="24"/>
          <w:szCs w:val="24"/>
          <w:lang w:val="es-ES_tradnl" w:eastAsia="es-ES"/>
        </w:rPr>
        <w:t>(00:00 a.m.) del día veinticinco (25) de marzo de 2020, hasta las cero horas (00:00 a.m.) del día trece (13) de abril de 2020, en el marco de la emergencia sanitaria por causa del Coronavirus COVID-19.</w:t>
      </w:r>
    </w:p>
    <w:p w14:paraId="58FE79FB"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359A7A7C" w14:textId="77777777" w:rsid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Para efectos de lograr el efectivo aislamiento preventivo obligatorio se limita totalmente la libre circulación de personas y vehículos en el territorio municipal, con las excepciones previstas en el artículo 2º del presente Decreto.</w:t>
      </w:r>
    </w:p>
    <w:p w14:paraId="0259BAE5"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763A07C"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b/>
          <w:i/>
          <w:color w:val="595959" w:themeColor="text1" w:themeTint="A6"/>
          <w:sz w:val="24"/>
          <w:szCs w:val="24"/>
          <w:lang w:val="es-ES_tradnl" w:eastAsia="es-ES"/>
        </w:rPr>
        <w:t>ARTÍCULO   SEGUNDO.   GARANTIAS   PARA   LA   MEDIDA   DE   AISLAMIENTO PREVENTIVO OBLIGATORIO</w:t>
      </w:r>
      <w:r w:rsidRPr="00056A8F">
        <w:rPr>
          <w:rFonts w:ascii="Century Gothic" w:eastAsia="Times New Roman" w:hAnsi="Century Gothic" w:cs="Times New Roman"/>
          <w:i/>
          <w:color w:val="595959" w:themeColor="text1" w:themeTint="A6"/>
          <w:sz w:val="24"/>
          <w:szCs w:val="24"/>
          <w:lang w:val="es-ES_tradnl" w:eastAsia="es-ES"/>
        </w:rPr>
        <w:t xml:space="preserve">. Para que el aislamiento preventivo obligatorio garantice el derecho a la vida, a la salud en </w:t>
      </w:r>
      <w:r w:rsidRPr="00056A8F">
        <w:rPr>
          <w:rFonts w:ascii="Century Gothic" w:eastAsia="Times New Roman" w:hAnsi="Century Gothic" w:cs="Times New Roman"/>
          <w:i/>
          <w:color w:val="595959" w:themeColor="text1" w:themeTint="A6"/>
          <w:sz w:val="24"/>
          <w:szCs w:val="24"/>
          <w:lang w:val="es-ES_tradnl" w:eastAsia="es-ES"/>
        </w:rPr>
        <w:lastRenderedPageBreak/>
        <w:t>conexidad con la vida y la supervivencia, se permitirá el derecho de circulación de las personas en los siguientes casos o actividades:</w:t>
      </w:r>
    </w:p>
    <w:p w14:paraId="54107EDA"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  Asistencia y prestación de servicios de salud.</w:t>
      </w:r>
    </w:p>
    <w:p w14:paraId="17DF5ED1"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2.  Adquisición de bienes de primera necesidad, alimentos, bebidas, medicamentos, dispositivos médicos, aseo, limpieza y mercancías de ordinario consumo en la población.</w:t>
      </w:r>
    </w:p>
    <w:p w14:paraId="6F4547CC"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3.  Desplazamiento a servicios bancarios, financieros y de operadores de pago.</w:t>
      </w:r>
    </w:p>
    <w:p w14:paraId="4FE04F13"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4.  Asistencia y cuidado a niños, niñas, adolescentes, personas mayores de 70 años, personas con discapacidad y enfermos con tratamientos especiales que requieren asistencia de personal capacitado.</w:t>
      </w:r>
    </w:p>
    <w:p w14:paraId="6B467061"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5.  Por causa de fuerza mayor o caso fortuito.</w:t>
      </w:r>
    </w:p>
    <w:p w14:paraId="08522956"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6.  Las labores de las misiones médicas de la Organización Panamericana de la Salud</w:t>
      </w:r>
      <w:r>
        <w:rPr>
          <w:rFonts w:ascii="Century Gothic" w:eastAsia="Times New Roman" w:hAnsi="Century Gothic" w:cs="Times New Roman"/>
          <w:i/>
          <w:color w:val="595959" w:themeColor="text1" w:themeTint="A6"/>
          <w:sz w:val="24"/>
          <w:szCs w:val="24"/>
          <w:lang w:val="es-ES_tradnl" w:eastAsia="es-ES"/>
        </w:rPr>
        <w:t xml:space="preserve"> </w:t>
      </w:r>
      <w:r w:rsidRPr="00056A8F">
        <w:rPr>
          <w:rFonts w:ascii="Century Gothic" w:eastAsia="Times New Roman" w:hAnsi="Century Gothic" w:cs="Times New Roman"/>
          <w:i/>
          <w:color w:val="595959" w:themeColor="text1" w:themeTint="A6"/>
          <w:sz w:val="24"/>
          <w:szCs w:val="24"/>
          <w:lang w:val="es-ES_tradnl" w:eastAsia="es-ES"/>
        </w:rPr>
        <w:t>- OPS y de todos los organismos internacionales de la salud, la prestación de los servicios profesionales, administrativos, operativos y técnicos de salud públicos y privados.</w:t>
      </w:r>
    </w:p>
    <w:p w14:paraId="53087187" w14:textId="77777777" w:rsid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7.  La   cadena   de   producción,</w:t>
      </w:r>
      <w:r>
        <w:rPr>
          <w:rFonts w:ascii="Century Gothic" w:eastAsia="Times New Roman" w:hAnsi="Century Gothic" w:cs="Times New Roman"/>
          <w:i/>
          <w:color w:val="595959" w:themeColor="text1" w:themeTint="A6"/>
          <w:sz w:val="24"/>
          <w:szCs w:val="24"/>
          <w:lang w:val="es-ES_tradnl" w:eastAsia="es-ES"/>
        </w:rPr>
        <w:t xml:space="preserve"> </w:t>
      </w:r>
      <w:r w:rsidRPr="00056A8F">
        <w:rPr>
          <w:rFonts w:ascii="Century Gothic" w:eastAsia="Times New Roman" w:hAnsi="Century Gothic" w:cs="Times New Roman"/>
          <w:i/>
          <w:color w:val="595959" w:themeColor="text1" w:themeTint="A6"/>
          <w:sz w:val="24"/>
          <w:szCs w:val="24"/>
          <w:lang w:val="es-ES_tradnl" w:eastAsia="es-ES"/>
        </w:rPr>
        <w:t>abastecimiento,</w:t>
      </w:r>
      <w:r>
        <w:rPr>
          <w:rFonts w:ascii="Century Gothic" w:eastAsia="Times New Roman" w:hAnsi="Century Gothic" w:cs="Times New Roman"/>
          <w:i/>
          <w:color w:val="595959" w:themeColor="text1" w:themeTint="A6"/>
          <w:sz w:val="24"/>
          <w:szCs w:val="24"/>
          <w:lang w:val="es-ES_tradnl" w:eastAsia="es-ES"/>
        </w:rPr>
        <w:t xml:space="preserve"> almacenamiento, t</w:t>
      </w:r>
      <w:r w:rsidRPr="00056A8F">
        <w:rPr>
          <w:rFonts w:ascii="Century Gothic" w:eastAsia="Times New Roman" w:hAnsi="Century Gothic" w:cs="Times New Roman"/>
          <w:i/>
          <w:color w:val="595959" w:themeColor="text1" w:themeTint="A6"/>
          <w:sz w:val="24"/>
          <w:szCs w:val="24"/>
          <w:lang w:val="es-ES_tradnl" w:eastAsia="es-ES"/>
        </w:rPr>
        <w:t>ransporte, comercialización   y   distribución   de   medicamentos, productos farmacéuticos, insumos, productos de limpieza, desinfección y aseo personal para hogares y hospitales, equipos y</w:t>
      </w:r>
      <w:r>
        <w:rPr>
          <w:rFonts w:ascii="Century Gothic" w:eastAsia="Times New Roman" w:hAnsi="Century Gothic" w:cs="Times New Roman"/>
          <w:i/>
          <w:color w:val="595959" w:themeColor="text1" w:themeTint="A6"/>
          <w:sz w:val="24"/>
          <w:szCs w:val="24"/>
          <w:lang w:val="es-ES_tradnl" w:eastAsia="es-ES"/>
        </w:rPr>
        <w:t xml:space="preserve"> </w:t>
      </w:r>
      <w:r w:rsidRPr="00056A8F">
        <w:rPr>
          <w:rFonts w:ascii="Century Gothic" w:eastAsia="Times New Roman" w:hAnsi="Century Gothic" w:cs="Times New Roman"/>
          <w:i/>
          <w:color w:val="595959" w:themeColor="text1" w:themeTint="A6"/>
          <w:sz w:val="24"/>
          <w:szCs w:val="24"/>
          <w:lang w:val="es-ES_tradnl" w:eastAsia="es-ES"/>
        </w:rPr>
        <w:t>dispositivos de tecnologías en salud, al igual que el mantenimiento y soporte para garantizar la continua prestación de los servicios de salud. El funcionamiento de establecimientos y locales</w:t>
      </w:r>
      <w:r>
        <w:rPr>
          <w:rFonts w:ascii="Century Gothic" w:eastAsia="Times New Roman" w:hAnsi="Century Gothic" w:cs="Times New Roman"/>
          <w:i/>
          <w:color w:val="595959" w:themeColor="text1" w:themeTint="A6"/>
          <w:sz w:val="24"/>
          <w:szCs w:val="24"/>
          <w:lang w:val="es-ES_tradnl" w:eastAsia="es-ES"/>
        </w:rPr>
        <w:t xml:space="preserve"> comerciales p</w:t>
      </w:r>
      <w:r w:rsidRPr="00056A8F">
        <w:rPr>
          <w:rFonts w:ascii="Century Gothic" w:eastAsia="Times New Roman" w:hAnsi="Century Gothic" w:cs="Times New Roman"/>
          <w:i/>
          <w:color w:val="595959" w:themeColor="text1" w:themeTint="A6"/>
          <w:sz w:val="24"/>
          <w:szCs w:val="24"/>
          <w:lang w:val="es-ES_tradnl" w:eastAsia="es-ES"/>
        </w:rPr>
        <w:t>ara la</w:t>
      </w:r>
      <w:r>
        <w:rPr>
          <w:rFonts w:ascii="Century Gothic" w:eastAsia="Times New Roman" w:hAnsi="Century Gothic" w:cs="Times New Roman"/>
          <w:i/>
          <w:color w:val="595959" w:themeColor="text1" w:themeTint="A6"/>
          <w:sz w:val="24"/>
          <w:szCs w:val="24"/>
          <w:lang w:val="es-ES_tradnl" w:eastAsia="es-ES"/>
        </w:rPr>
        <w:t xml:space="preserve"> </w:t>
      </w:r>
      <w:r w:rsidRPr="00056A8F">
        <w:rPr>
          <w:rFonts w:ascii="Century Gothic" w:eastAsia="Times New Roman" w:hAnsi="Century Gothic" w:cs="Times New Roman"/>
          <w:i/>
          <w:color w:val="595959" w:themeColor="text1" w:themeTint="A6"/>
          <w:sz w:val="24"/>
          <w:szCs w:val="24"/>
          <w:lang w:val="es-ES_tradnl" w:eastAsia="es-ES"/>
        </w:rPr>
        <w:t>comercialización de los medicamentos, productos farmacéuticos, insumos, equipos y dispositivos de tecnologías en salud.</w:t>
      </w:r>
    </w:p>
    <w:p w14:paraId="05F8251C"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8. Las actividades relacionadas con servicios de emergencia, incluidas las emergencias veterinarias.</w:t>
      </w:r>
    </w:p>
    <w:p w14:paraId="1BB44737"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9. Los servicios funerarios, entierros y cremaciones.</w:t>
      </w:r>
    </w:p>
    <w:p w14:paraId="6E1CCA9D"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10. La cadena de producción, abastecimiento, almacenamiento, transporte, comercialización y distribución de: (I) insumos para producir bienes de primera necesidad; (II) bienes de primera necesidad - alimentos, bebidas, medicamentos, dispositivos médicos, aseo, limpieza de ordinario consumo en la población, (III) alimentos y medicinas para mascotas, y demás elementos y bienes necesarios para atender la emergencia sanitaria, así como la cadena de insumos relacionados con la producción de estos bienes.</w:t>
      </w:r>
    </w:p>
    <w:p w14:paraId="6195EDBB"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 xml:space="preserve">11. La cadena de siembra, cosecha, producción, embalaje, importación, exportación, transporte, almacenamiento, distribución y </w:t>
      </w:r>
      <w:r w:rsidRPr="00056A8F">
        <w:rPr>
          <w:rFonts w:ascii="Century Gothic" w:eastAsia="Times New Roman" w:hAnsi="Century Gothic" w:cs="Times New Roman"/>
          <w:i/>
          <w:color w:val="595959" w:themeColor="text1" w:themeTint="A6"/>
          <w:sz w:val="24"/>
          <w:szCs w:val="24"/>
          <w:lang w:val="es-ES_tradnl" w:eastAsia="es-ES"/>
        </w:rPr>
        <w:lastRenderedPageBreak/>
        <w:t>comercialización de semillas, insumos y productos agrícolas, piscícolas, pecuarios y agroquímicos -fertilizantes, plaguicidas, fungicidas, herbicidas; productos agropecuarios, piscícolas y pecuarios,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w:t>
      </w:r>
    </w:p>
    <w:p w14:paraId="4FCE1326"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12. La comercialización presencial de productos de primera necesidad se hará en mercados de abastos, bodegas, mercados, supermercados mayoristas y minoristas y mercados al detal en establecimientos y locales comerciales a nivel nacional, y podrán comercializar sus productos mediante plataformas de comercio electrónico y/o por entrega a domicilio.</w:t>
      </w:r>
    </w:p>
    <w:p w14:paraId="2FC16815"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13. Las actividades de los servidores públicos y contratistas del Estado que sean estrictamente necesarias para prevenir, mitigar y atender la emergencia sanitaria por causa del Coronavirus COVID-19, y garantizar el funcionamiento de los servicios indispensables del Estado.</w:t>
      </w:r>
    </w:p>
    <w:p w14:paraId="29C2A7DA"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14. Las actividades del personal de las misiones diplomáticas y consulares debidamente acreditas ante el Estado colombiano, estrictamente necesarias para prevenir, mitigar y atender la emergencia sanitaria por causa del Coronavirus COVID-19.</w:t>
      </w:r>
    </w:p>
    <w:p w14:paraId="2BAE0ED8"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15. Las actividades de las Fuerzas Militares, la Policía Nacional y organismos de seguridad del Estado, así como de la industria militar y de defensa.</w:t>
      </w:r>
    </w:p>
    <w:p w14:paraId="4F7C343B"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16. Las actividades de los puertos de servicio público y privado, exclusivamente para el transporte de carga.</w:t>
      </w:r>
    </w:p>
    <w:p w14:paraId="6AECAB60"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17. Las actividades de dragado marítimo y fluvial.</w:t>
      </w:r>
    </w:p>
    <w:p w14:paraId="147769F4"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18. La revisión y atención de emergencias y afectaciones viales, y las obras de infraestructura que no pueden suspenderse.</w:t>
      </w:r>
    </w:p>
    <w:p w14:paraId="442874A8" w14:textId="77777777" w:rsidR="00056A8F" w:rsidRPr="00056A8F"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19. La comercialización de los productos de los establecimientos y locales gastronómicas mediante plataformas de comercio electrónico o por entrega a domicilio.</w:t>
      </w:r>
    </w:p>
    <w:p w14:paraId="5F1021A7" w14:textId="77777777" w:rsidR="002057A5" w:rsidRDefault="00056A8F" w:rsidP="00056A8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56A8F">
        <w:rPr>
          <w:rFonts w:ascii="Century Gothic" w:eastAsia="Times New Roman" w:hAnsi="Century Gothic" w:cs="Times New Roman"/>
          <w:i/>
          <w:color w:val="595959" w:themeColor="text1" w:themeTint="A6"/>
          <w:sz w:val="24"/>
          <w:szCs w:val="24"/>
          <w:lang w:val="es-ES_tradnl" w:eastAsia="es-ES"/>
        </w:rPr>
        <w:t>20. El funcionamiento de la infraestructura critica -computadores, sistemas computacionales, redes de comunicaciones, datos e información cuya destrucción o interferencia puede debilitar o impactar en la seguridad de la economía, salud pública o la combinación de ellas.</w:t>
      </w:r>
    </w:p>
    <w:p w14:paraId="08E7EE98"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lastRenderedPageBreak/>
        <w:t>21. El funcionamiento y operación de los centros de llamadas, los centros de contactos, los centros de soporte técnico y los centros de procesamiento de datos que presten servicios en el territorio nacional y de las plataformas de comercio electrónico.</w:t>
      </w:r>
    </w:p>
    <w:p w14:paraId="44B8F86A"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22. El funcionamiento de la prestación de los servicios de vigilancia y seguridad privada, los servicios que prestan el servicio de limpieza y aseo en edificaciones públicas, zonas comunes de edificaciones y las edificaciones en las que se desarrollen las actividades de que trata el presente artículo.</w:t>
      </w:r>
    </w:p>
    <w:p w14:paraId="071EC105"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23.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incluyendo los residuos biológicos o sanitarios);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y (IV) el servicio de internet y telefonía.</w:t>
      </w:r>
    </w:p>
    <w:p w14:paraId="41DF8D5F"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24. La prestación de servicios de operadores postales de pago, centrales de riesgo y actividades notariales.</w:t>
      </w:r>
    </w:p>
    <w:p w14:paraId="383F43F6"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25. El funcionamiento de los servicios postales, de mensajería, radio, televisión, prensa y distribución de los medios de comunicación.</w:t>
      </w:r>
    </w:p>
    <w:p w14:paraId="6E1F1506"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26. El abastecimiento y distribución de alimentos y bienes de primera necesidad - alimentos, bebidas, medicamentos, dispositivos médicos, aseo, limpieza y mercancías de ordinario consumo en la población- en virtud de programas sociales del Estado y de personas privadas.</w:t>
      </w:r>
    </w:p>
    <w:p w14:paraId="39766D28"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27. Las actividades del sector interreligioso relacionadas con los programas institucionales de emergencia y ayuda humanitaria, espiritual y psicológica.</w:t>
      </w:r>
    </w:p>
    <w:p w14:paraId="0F46799E"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28. Las actividades estrictamente necesarias para operar y realizar los mantenimientos indispensables de empresas, plantas industriales o minas, del sector público o privado, que por la naturaleza de su proceso productivo requieran mantener su operación ininterrumpidamente.</w:t>
      </w:r>
    </w:p>
    <w:p w14:paraId="1DB44CF6"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 xml:space="preserve">29. La intervención de obras civiles y de construcción, las cuales, por su estado de avance de obra o de sus características, presenten </w:t>
      </w:r>
      <w:r w:rsidRPr="00C36EA0">
        <w:rPr>
          <w:rFonts w:ascii="Century Gothic" w:eastAsia="Times New Roman" w:hAnsi="Century Gothic" w:cs="Times New Roman"/>
          <w:i/>
          <w:color w:val="595959" w:themeColor="text1" w:themeTint="A6"/>
          <w:sz w:val="24"/>
          <w:szCs w:val="24"/>
          <w:lang w:val="es-ES_tradnl" w:eastAsia="es-ES"/>
        </w:rPr>
        <w:lastRenderedPageBreak/>
        <w:t>riesgos de estabilidad técnica, amenaza de colapso o requieran acciones de reforzamiento estructural.</w:t>
      </w:r>
    </w:p>
    <w:p w14:paraId="28F93370"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30. Las actividades de los operadores de pagos de salarios, honorarios, pensiones, prestaciones económicas públicos y privados; beneficios económicos periódicos sociales — BEPS-, y los correspondientes a los sistemas y subsistemas de Seguridad Social y Protección Social.</w:t>
      </w:r>
    </w:p>
    <w:p w14:paraId="7B3720C2" w14:textId="77777777" w:rsidR="00C36EA0" w:rsidRP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31. El desplazamiento estrictamente necesario del personal directivo y docente de las instituciones educativas públicas y privadas, para prevenir, mitigar y atender la emergencia sanitaria por causa del Coronavirus COVID-19. 34.</w:t>
      </w:r>
    </w:p>
    <w:p w14:paraId="0CF0A0D9" w14:textId="77777777" w:rsid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C36EA0">
        <w:rPr>
          <w:rFonts w:ascii="Century Gothic" w:eastAsia="Times New Roman" w:hAnsi="Century Gothic" w:cs="Times New Roman"/>
          <w:i/>
          <w:color w:val="595959" w:themeColor="text1" w:themeTint="A6"/>
          <w:sz w:val="24"/>
          <w:szCs w:val="24"/>
          <w:lang w:val="es-ES_tradnl" w:eastAsia="es-ES"/>
        </w:rPr>
        <w:t>32. La construcción de infraestructura de salud estrictamente necesaria para prevenir, mitigar y atender la emergencia sanitaria por causa del Coronavirus COVID-19.</w:t>
      </w:r>
    </w:p>
    <w:p w14:paraId="06576DBE" w14:textId="77777777" w:rsidR="003A4240" w:rsidRPr="00C36EA0" w:rsidRDefault="003A424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6319BB62" w14:textId="77777777" w:rsidR="00C36EA0" w:rsidRDefault="00C36EA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PARÁGRAFO 1.</w:t>
      </w:r>
      <w:r w:rsidRPr="00C36EA0">
        <w:rPr>
          <w:rFonts w:ascii="Century Gothic" w:eastAsia="Times New Roman" w:hAnsi="Century Gothic" w:cs="Times New Roman"/>
          <w:i/>
          <w:color w:val="595959" w:themeColor="text1" w:themeTint="A6"/>
          <w:sz w:val="24"/>
          <w:szCs w:val="24"/>
          <w:lang w:val="es-ES_tradnl" w:eastAsia="es-ES"/>
        </w:rPr>
        <w:t xml:space="preserve"> Las personas que desarrollen las actividades antes mencionadas deberán estar acreditadas e identificadas en el ejercicio de sus funciones.</w:t>
      </w:r>
    </w:p>
    <w:p w14:paraId="6D3682A1" w14:textId="77777777" w:rsidR="003A4240" w:rsidRDefault="003A4240" w:rsidP="00C36EA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5F3E4722"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PARÁGRAFO 2.</w:t>
      </w:r>
      <w:r w:rsidRPr="003A4240">
        <w:rPr>
          <w:rFonts w:ascii="Century Gothic" w:eastAsia="Times New Roman" w:hAnsi="Century Gothic" w:cs="Times New Roman"/>
          <w:i/>
          <w:color w:val="595959" w:themeColor="text1" w:themeTint="A6"/>
          <w:sz w:val="24"/>
          <w:szCs w:val="24"/>
          <w:lang w:val="es-ES_tradnl" w:eastAsia="es-ES"/>
        </w:rPr>
        <w:t xml:space="preserve"> Se permitirá la circulación de una sola persona por núcleo familiar para realizar las actividades descritas en los numerales 2 y 3.</w:t>
      </w:r>
    </w:p>
    <w:p w14:paraId="733BCBE0" w14:textId="77777777" w:rsidR="003A4240" w:rsidRP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58093920" w14:textId="77777777" w:rsidR="003A4240" w:rsidRP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PARÁGRAFO 3.</w:t>
      </w:r>
      <w:r w:rsidRPr="003A4240">
        <w:rPr>
          <w:rFonts w:ascii="Century Gothic" w:eastAsia="Times New Roman" w:hAnsi="Century Gothic" w:cs="Times New Roman"/>
          <w:i/>
          <w:color w:val="595959" w:themeColor="text1" w:themeTint="A6"/>
          <w:sz w:val="24"/>
          <w:szCs w:val="24"/>
          <w:lang w:val="es-ES_tradnl" w:eastAsia="es-ES"/>
        </w:rPr>
        <w:t xml:space="preserve"> Cuando una persona de las relacionadas en el numeral 4 deba salir de su lugar de residencia o aislamiento, podrá hacerlo acompañado de una persona que le sirva de apoyo.</w:t>
      </w:r>
    </w:p>
    <w:p w14:paraId="74E15810"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03FC5D0B" w14:textId="77777777" w:rsidR="003A4240" w:rsidRP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PARÁGRAFO 4.</w:t>
      </w:r>
      <w:r w:rsidRPr="003A4240">
        <w:rPr>
          <w:rFonts w:ascii="Century Gothic" w:eastAsia="Times New Roman" w:hAnsi="Century Gothic" w:cs="Times New Roman"/>
          <w:i/>
          <w:color w:val="595959" w:themeColor="text1" w:themeTint="A6"/>
          <w:sz w:val="24"/>
          <w:szCs w:val="24"/>
          <w:lang w:val="es-ES_tradnl" w:eastAsia="es-ES"/>
        </w:rPr>
        <w:t xml:space="preserve"> Con el fin de proteger la integridad de las personas, mascotas y animales de compañía, y en atención a medidas fitosanitarias, solo una persona por núcleo familiar podrá sacar a las mascotas o animales de compañía.</w:t>
      </w:r>
    </w:p>
    <w:p w14:paraId="038A32F6"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67D1B12D"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ARTÍCULO TERCERO. PROHIBICIÓN DE CONSUMO DE BEBIDAS EMBRIAGANTES.</w:t>
      </w:r>
      <w:r w:rsidRPr="003A4240">
        <w:rPr>
          <w:rFonts w:ascii="Century Gothic" w:eastAsia="Times New Roman" w:hAnsi="Century Gothic" w:cs="Times New Roman"/>
          <w:i/>
          <w:color w:val="595959" w:themeColor="text1" w:themeTint="A6"/>
          <w:sz w:val="24"/>
          <w:szCs w:val="24"/>
          <w:lang w:val="es-ES_tradnl" w:eastAsia="es-ES"/>
        </w:rPr>
        <w:t xml:space="preserve"> Prohíbase dentro del Municipio de Regidor - Bolívar. el consumo de bebidas embriagantes en espacios abiertos y establecimientos de comercio, a partir de la vigencia del presente decreto y hasta el domingo 12 de abril de 2020. No queda prohibido el expendio de bebidas embriagantes.</w:t>
      </w:r>
    </w:p>
    <w:p w14:paraId="7286F2D2" w14:textId="77777777" w:rsidR="003A4240" w:rsidRP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3E1E5C93"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ARTÍCULO CUARTO. INOBSERVANCIA DE LAS MEDIDAS.</w:t>
      </w:r>
      <w:r w:rsidRPr="003A4240">
        <w:rPr>
          <w:rFonts w:ascii="Century Gothic" w:eastAsia="Times New Roman" w:hAnsi="Century Gothic" w:cs="Times New Roman"/>
          <w:i/>
          <w:color w:val="595959" w:themeColor="text1" w:themeTint="A6"/>
          <w:sz w:val="24"/>
          <w:szCs w:val="24"/>
          <w:lang w:val="es-ES_tradnl" w:eastAsia="es-ES"/>
        </w:rPr>
        <w:t xml:space="preserve"> La violación e inobservancia de las medidas adoptadas e instrucciones dadas </w:t>
      </w:r>
      <w:r w:rsidRPr="003A4240">
        <w:rPr>
          <w:rFonts w:ascii="Century Gothic" w:eastAsia="Times New Roman" w:hAnsi="Century Gothic" w:cs="Times New Roman"/>
          <w:i/>
          <w:color w:val="595959" w:themeColor="text1" w:themeTint="A6"/>
          <w:sz w:val="24"/>
          <w:szCs w:val="24"/>
          <w:lang w:val="es-ES_tradnl" w:eastAsia="es-ES"/>
        </w:rPr>
        <w:lastRenderedPageBreak/>
        <w:t>mediante el presente Decreto darán lugar a la sanción penal prevista en el artículo 368 del Código Penal y a las multas previstas en artículo 2.8.8.1.4.21 del Decreto 780 de 2016, o la norma que sustituya, modifique o derogue.</w:t>
      </w:r>
    </w:p>
    <w:p w14:paraId="2DD237AA" w14:textId="77777777" w:rsidR="003A4240" w:rsidRP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4AE3A70" w14:textId="77777777" w:rsidR="003A4240" w:rsidRDefault="003A4240" w:rsidP="003A4240">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3A4240">
        <w:rPr>
          <w:rFonts w:ascii="Century Gothic" w:eastAsia="Times New Roman" w:hAnsi="Century Gothic" w:cs="Times New Roman"/>
          <w:b/>
          <w:i/>
          <w:color w:val="595959" w:themeColor="text1" w:themeTint="A6"/>
          <w:sz w:val="24"/>
          <w:szCs w:val="24"/>
          <w:lang w:val="es-ES_tradnl" w:eastAsia="es-ES"/>
        </w:rPr>
        <w:t xml:space="preserve">ARTÍCULO QUINTO. VIGENCIA. </w:t>
      </w:r>
      <w:r w:rsidRPr="003A4240">
        <w:rPr>
          <w:rFonts w:ascii="Century Gothic" w:eastAsia="Times New Roman" w:hAnsi="Century Gothic" w:cs="Times New Roman"/>
          <w:i/>
          <w:color w:val="595959" w:themeColor="text1" w:themeTint="A6"/>
          <w:sz w:val="24"/>
          <w:szCs w:val="24"/>
          <w:lang w:val="es-ES_tradnl" w:eastAsia="es-ES"/>
        </w:rPr>
        <w:t>El presente decreto rige a partir de la fecha de su expedición y publicación y deroga las disposiciones que le sean contrarias.</w:t>
      </w:r>
      <w:r>
        <w:rPr>
          <w:rFonts w:ascii="Century Gothic" w:eastAsia="Times New Roman" w:hAnsi="Century Gothic" w:cs="Times New Roman"/>
          <w:i/>
          <w:color w:val="595959" w:themeColor="text1" w:themeTint="A6"/>
          <w:sz w:val="24"/>
          <w:szCs w:val="24"/>
          <w:lang w:val="es-ES_tradnl" w:eastAsia="es-ES"/>
        </w:rPr>
        <w:t>”</w:t>
      </w:r>
    </w:p>
    <w:p w14:paraId="5B04D80B" w14:textId="77777777"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63E0F37D" w14:textId="77777777"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14:paraId="47E9E5EA"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326243C"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sidR="001774E1">
        <w:rPr>
          <w:rFonts w:ascii="Century Gothic" w:eastAsia="Times New Roman" w:hAnsi="Century Gothic" w:cs="Times New Roman"/>
          <w:color w:val="595959" w:themeColor="text1" w:themeTint="A6"/>
          <w:sz w:val="24"/>
          <w:szCs w:val="24"/>
          <w:lang w:val="es-ES_tradnl" w:eastAsia="es-ES"/>
        </w:rPr>
        <w:t xml:space="preserve"> el día </w:t>
      </w:r>
      <w:r>
        <w:rPr>
          <w:rFonts w:ascii="Century Gothic" w:eastAsia="Times New Roman" w:hAnsi="Century Gothic" w:cs="Times New Roman"/>
          <w:color w:val="595959" w:themeColor="text1" w:themeTint="A6"/>
          <w:sz w:val="24"/>
          <w:szCs w:val="24"/>
          <w:lang w:val="es-ES_tradnl" w:eastAsia="es-ES"/>
        </w:rPr>
        <w:t>1</w:t>
      </w:r>
      <w:r w:rsidR="001774E1">
        <w:rPr>
          <w:rFonts w:ascii="Century Gothic" w:eastAsia="Times New Roman" w:hAnsi="Century Gothic" w:cs="Times New Roman"/>
          <w:color w:val="595959" w:themeColor="text1" w:themeTint="A6"/>
          <w:sz w:val="24"/>
          <w:szCs w:val="24"/>
          <w:lang w:val="es-ES_tradnl" w:eastAsia="es-ES"/>
        </w:rPr>
        <w:t xml:space="preserve">º </w:t>
      </w:r>
      <w:r>
        <w:rPr>
          <w:rFonts w:ascii="Century Gothic" w:eastAsia="Times New Roman" w:hAnsi="Century Gothic" w:cs="Times New Roman"/>
          <w:color w:val="595959" w:themeColor="text1" w:themeTint="A6"/>
          <w:sz w:val="24"/>
          <w:szCs w:val="24"/>
          <w:lang w:val="es-ES_tradnl" w:eastAsia="es-ES"/>
        </w:rPr>
        <w:t xml:space="preserve">de </w:t>
      </w:r>
      <w:r w:rsidR="001774E1">
        <w:rPr>
          <w:rFonts w:ascii="Century Gothic" w:eastAsia="Times New Roman" w:hAnsi="Century Gothic" w:cs="Times New Roman"/>
          <w:color w:val="595959" w:themeColor="text1" w:themeTint="A6"/>
          <w:sz w:val="24"/>
          <w:szCs w:val="24"/>
          <w:lang w:val="es-ES_tradnl" w:eastAsia="es-ES"/>
        </w:rPr>
        <w:t>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 xml:space="preserve">aviso a la comunidad el día </w:t>
      </w:r>
      <w:r w:rsidR="001774E1">
        <w:rPr>
          <w:rFonts w:ascii="Century Gothic" w:eastAsia="Times New Roman" w:hAnsi="Century Gothic" w:cs="Times New Roman"/>
          <w:color w:val="595959" w:themeColor="text1" w:themeTint="A6"/>
          <w:sz w:val="24"/>
          <w:szCs w:val="24"/>
          <w:lang w:val="es-ES_tradnl" w:eastAsia="es-ES"/>
        </w:rPr>
        <w:t>3</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1774E1">
        <w:rPr>
          <w:rFonts w:ascii="Century Gothic" w:eastAsia="Times New Roman" w:hAnsi="Century Gothic" w:cs="Times New Roman"/>
          <w:color w:val="595959" w:themeColor="text1" w:themeTint="A6"/>
          <w:sz w:val="24"/>
          <w:szCs w:val="24"/>
          <w:lang w:val="es-ES_tradnl" w:eastAsia="es-ES"/>
        </w:rPr>
        <w:t>4</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14:paraId="19491706"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404F329" w14:textId="77777777"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en medio magnético copia del auto admisorio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2</w:t>
      </w:r>
      <w:r w:rsidR="003A4240">
        <w:rPr>
          <w:rFonts w:ascii="Century Gothic" w:eastAsia="Times New Roman" w:hAnsi="Century Gothic" w:cs="Times New Roman"/>
          <w:color w:val="595959" w:themeColor="text1" w:themeTint="A6"/>
          <w:sz w:val="24"/>
          <w:szCs w:val="24"/>
          <w:lang w:val="es-ES_tradnl" w:eastAsia="es-ES"/>
        </w:rPr>
        <w:t>7</w:t>
      </w:r>
      <w:r w:rsidR="00846496" w:rsidRPr="00846496">
        <w:rPr>
          <w:rFonts w:ascii="Century Gothic" w:eastAsia="Times New Roman" w:hAnsi="Century Gothic" w:cs="Times New Roman"/>
          <w:color w:val="595959" w:themeColor="text1" w:themeTint="A6"/>
          <w:sz w:val="24"/>
          <w:szCs w:val="24"/>
          <w:lang w:val="es-ES_tradnl" w:eastAsia="es-ES"/>
        </w:rPr>
        <w:t xml:space="preserve"> de abril.</w:t>
      </w:r>
    </w:p>
    <w:p w14:paraId="6CF1254A" w14:textId="77777777" w:rsidR="003A4240" w:rsidRDefault="003A4240"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A3066F7" w14:textId="77777777" w:rsidR="003A4240" w:rsidRDefault="003A4240"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Por su parte, el Alcalde del Municipio de Regidor presentó informe el 27 de abril de esta anualidad.</w:t>
      </w:r>
    </w:p>
    <w:p w14:paraId="2DEAFEE7"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B41B06C"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14:paraId="1219E42C"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065323A9" w14:textId="77777777" w:rsidR="003576E8" w:rsidRPr="003576E8" w:rsidRDefault="00795D7B" w:rsidP="003576E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w:t>
      </w:r>
      <w:r w:rsidR="003576E8">
        <w:rPr>
          <w:rFonts w:ascii="Century Gothic" w:eastAsia="Times New Roman" w:hAnsi="Century Gothic" w:cs="Times New Roman"/>
          <w:color w:val="595959" w:themeColor="text1" w:themeTint="A6"/>
          <w:sz w:val="24"/>
          <w:szCs w:val="24"/>
          <w:lang w:val="es-ES_tradnl" w:eastAsia="es-ES"/>
        </w:rPr>
        <w:t>de la exposición de motivos d</w:t>
      </w:r>
      <w:r>
        <w:rPr>
          <w:rFonts w:ascii="Century Gothic" w:eastAsia="Times New Roman" w:hAnsi="Century Gothic" w:cs="Times New Roman"/>
          <w:color w:val="595959" w:themeColor="text1" w:themeTint="A6"/>
          <w:sz w:val="24"/>
          <w:szCs w:val="24"/>
          <w:lang w:val="es-ES_tradnl" w:eastAsia="es-ES"/>
        </w:rPr>
        <w:t xml:space="preserve">el Decreto </w:t>
      </w:r>
      <w:r w:rsidR="003A4240">
        <w:rPr>
          <w:rFonts w:ascii="Century Gothic" w:eastAsia="Times New Roman" w:hAnsi="Century Gothic" w:cs="Times New Roman"/>
          <w:color w:val="595959" w:themeColor="text1" w:themeTint="A6"/>
          <w:sz w:val="24"/>
          <w:szCs w:val="24"/>
          <w:lang w:val="es-ES_tradnl" w:eastAsia="es-ES"/>
        </w:rPr>
        <w:t>180</w:t>
      </w:r>
      <w:r>
        <w:rPr>
          <w:rFonts w:ascii="Century Gothic" w:eastAsia="Times New Roman" w:hAnsi="Century Gothic" w:cs="Times New Roman"/>
          <w:color w:val="595959" w:themeColor="text1" w:themeTint="A6"/>
          <w:sz w:val="24"/>
          <w:szCs w:val="24"/>
          <w:lang w:val="es-ES_tradnl" w:eastAsia="es-ES"/>
        </w:rPr>
        <w:t xml:space="preserve"> de </w:t>
      </w:r>
      <w:r w:rsidR="003A4240">
        <w:rPr>
          <w:rFonts w:ascii="Century Gothic" w:eastAsia="Times New Roman" w:hAnsi="Century Gothic" w:cs="Times New Roman"/>
          <w:color w:val="595959" w:themeColor="text1" w:themeTint="A6"/>
          <w:sz w:val="24"/>
          <w:szCs w:val="24"/>
          <w:lang w:val="es-ES_tradnl" w:eastAsia="es-ES"/>
        </w:rPr>
        <w:t>24</w:t>
      </w:r>
      <w:r>
        <w:rPr>
          <w:rFonts w:ascii="Century Gothic" w:eastAsia="Times New Roman" w:hAnsi="Century Gothic" w:cs="Times New Roman"/>
          <w:color w:val="595959" w:themeColor="text1" w:themeTint="A6"/>
          <w:sz w:val="24"/>
          <w:szCs w:val="24"/>
          <w:lang w:val="es-ES_tradnl" w:eastAsia="es-ES"/>
        </w:rPr>
        <w:t xml:space="preserve"> de marzo de 2020</w:t>
      </w:r>
      <w:r w:rsidR="003576E8" w:rsidRPr="003576E8">
        <w:rPr>
          <w:rFonts w:ascii="Century Gothic" w:eastAsia="Times New Roman" w:hAnsi="Century Gothic" w:cs="Times New Roman"/>
          <w:color w:val="595959" w:themeColor="text1" w:themeTint="A6"/>
          <w:sz w:val="24"/>
          <w:szCs w:val="24"/>
          <w:lang w:val="es-ES_tradnl" w:eastAsia="es-ES"/>
        </w:rPr>
        <w:t>, se advierte que las normas que allí se citan se refieren fundamentalmente a las facultades propias de los alcaldes municipales, es decir, que por ningún lado se menciona que las medidas adoptadas en este decreto sean consecuencia de un decreto legislativo dictado por el Presidente de la República en desarrollo del estado de Excepción declarado por el Decreto 417 de 17 de marzo de 2020.</w:t>
      </w:r>
    </w:p>
    <w:p w14:paraId="3E8BBC4C" w14:textId="77777777" w:rsidR="003576E8" w:rsidRPr="003576E8" w:rsidRDefault="003576E8" w:rsidP="003576E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11C38867" w14:textId="77777777" w:rsidR="003A4240" w:rsidRPr="003A4240" w:rsidRDefault="003A4240" w:rsidP="003A424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Que incluso, los D</w:t>
      </w:r>
      <w:r w:rsidRPr="003A4240">
        <w:rPr>
          <w:rFonts w:ascii="Century Gothic" w:eastAsia="Times New Roman" w:hAnsi="Century Gothic" w:cs="Times New Roman"/>
          <w:color w:val="595959" w:themeColor="text1" w:themeTint="A6"/>
          <w:sz w:val="24"/>
          <w:szCs w:val="24"/>
          <w:lang w:val="es-ES_tradnl" w:eastAsia="es-ES"/>
        </w:rPr>
        <w:t xml:space="preserve">ecretos 418, 420 y 457 de 2020, que también son fundamento del acto sub examine, tampoco en criterio del </w:t>
      </w:r>
      <w:r>
        <w:rPr>
          <w:rFonts w:ascii="Century Gothic" w:eastAsia="Times New Roman" w:hAnsi="Century Gothic" w:cs="Times New Roman"/>
          <w:color w:val="595959" w:themeColor="text1" w:themeTint="A6"/>
          <w:sz w:val="24"/>
          <w:szCs w:val="24"/>
          <w:lang w:val="es-ES_tradnl" w:eastAsia="es-ES"/>
        </w:rPr>
        <w:t>Representante del Ministerio Público</w:t>
      </w:r>
      <w:r w:rsidRPr="003A4240">
        <w:rPr>
          <w:rFonts w:ascii="Century Gothic" w:eastAsia="Times New Roman" w:hAnsi="Century Gothic" w:cs="Times New Roman"/>
          <w:color w:val="595959" w:themeColor="text1" w:themeTint="A6"/>
          <w:sz w:val="24"/>
          <w:szCs w:val="24"/>
          <w:lang w:val="es-ES_tradnl" w:eastAsia="es-ES"/>
        </w:rPr>
        <w:t xml:space="preserve">, son decretos legislativos, pues mediante ellos el Presidente de la República, haciendo gala de sus atribuciones constitucionales y legales normales de policía, deja claro que es él la máxima autoridad de policía del país y que cualquier medida que en este sentido se adopte por los mandatarios locales, deberán ser consultadas con </w:t>
      </w:r>
      <w:r w:rsidRPr="003A4240">
        <w:rPr>
          <w:rFonts w:ascii="Century Gothic" w:eastAsia="Times New Roman" w:hAnsi="Century Gothic" w:cs="Times New Roman"/>
          <w:color w:val="595959" w:themeColor="text1" w:themeTint="A6"/>
          <w:sz w:val="24"/>
          <w:szCs w:val="24"/>
          <w:lang w:val="es-ES_tradnl" w:eastAsia="es-ES"/>
        </w:rPr>
        <w:lastRenderedPageBreak/>
        <w:t>el ejecutivo nacional en aras de mantener una adecuada coordinación y control de las mismas, igualmente deja claro que dichas medidas son tomadas en virtud de la Resolución 385 de 12 de marzo de 2020, mediante la cual el Ministerio de Salud y la Protección Social declaró la emergencia sanitaria antes de la declaratoria del estado de excepción.</w:t>
      </w:r>
    </w:p>
    <w:p w14:paraId="15549443" w14:textId="77777777" w:rsidR="003A4240" w:rsidRPr="003A4240" w:rsidRDefault="003A4240" w:rsidP="003A424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68C894B2" w14:textId="77777777" w:rsidR="00B03E6C" w:rsidRDefault="00782319" w:rsidP="003A424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En criterio d</w:t>
      </w:r>
      <w:r w:rsidR="003A4240">
        <w:rPr>
          <w:rFonts w:ascii="Century Gothic" w:eastAsia="Times New Roman" w:hAnsi="Century Gothic" w:cs="Times New Roman"/>
          <w:color w:val="595959" w:themeColor="text1" w:themeTint="A6"/>
          <w:sz w:val="24"/>
          <w:szCs w:val="24"/>
          <w:lang w:val="es-ES_tradnl" w:eastAsia="es-ES"/>
        </w:rPr>
        <w:t>el</w:t>
      </w:r>
      <w:r w:rsidR="003A4240" w:rsidRPr="003A4240">
        <w:rPr>
          <w:rFonts w:ascii="Century Gothic" w:eastAsia="Times New Roman" w:hAnsi="Century Gothic" w:cs="Times New Roman"/>
          <w:color w:val="595959" w:themeColor="text1" w:themeTint="A6"/>
          <w:sz w:val="24"/>
          <w:szCs w:val="24"/>
          <w:lang w:val="es-ES_tradnl" w:eastAsia="es-ES"/>
        </w:rPr>
        <w:t xml:space="preserve"> agente del Ministerio Publico, el Decreto precitado, es proferido por el Señor Alcalde de Regidor (Bolívar),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14:paraId="71FD6001" w14:textId="77777777" w:rsidR="00782319" w:rsidRDefault="00782319" w:rsidP="003A424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059036C" w14:textId="77777777" w:rsidR="00782319" w:rsidRDefault="00782319" w:rsidP="003A4240">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sidRPr="00782319">
        <w:rPr>
          <w:rFonts w:ascii="Century Gothic" w:eastAsia="Times New Roman" w:hAnsi="Century Gothic" w:cs="Times New Roman"/>
          <w:b/>
          <w:color w:val="595959" w:themeColor="text1" w:themeTint="A6"/>
          <w:sz w:val="24"/>
          <w:szCs w:val="24"/>
          <w:lang w:val="es-ES_tradnl" w:eastAsia="es-ES"/>
        </w:rPr>
        <w:t>4. Informe del Alcalde Municipal</w:t>
      </w:r>
    </w:p>
    <w:p w14:paraId="11E4FFDB" w14:textId="77777777" w:rsidR="00782319" w:rsidRDefault="00782319" w:rsidP="003A4240">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19384230" w14:textId="77777777" w:rsidR="00782319" w:rsidRPr="00773318" w:rsidRDefault="00773318" w:rsidP="003A424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CO" w:eastAsia="es-ES"/>
        </w:rPr>
      </w:pPr>
      <w:r>
        <w:rPr>
          <w:rFonts w:ascii="Century Gothic" w:eastAsia="Times New Roman" w:hAnsi="Century Gothic" w:cs="Times New Roman"/>
          <w:color w:val="595959" w:themeColor="text1" w:themeTint="A6"/>
          <w:sz w:val="24"/>
          <w:szCs w:val="24"/>
          <w:lang w:val="es-CO" w:eastAsia="es-ES"/>
        </w:rPr>
        <w:t>Expone el Mandatario Municipal que el Gobierno N</w:t>
      </w:r>
      <w:r w:rsidRPr="00773318">
        <w:rPr>
          <w:rFonts w:ascii="Century Gothic" w:eastAsia="Times New Roman" w:hAnsi="Century Gothic" w:cs="Times New Roman"/>
          <w:color w:val="595959" w:themeColor="text1" w:themeTint="A6"/>
          <w:sz w:val="24"/>
          <w:szCs w:val="24"/>
          <w:lang w:val="es-CO" w:eastAsia="es-ES"/>
        </w:rPr>
        <w:t>acional expidió el Decreto 457 del 22 de marzo de 2020 imparti</w:t>
      </w:r>
      <w:r>
        <w:rPr>
          <w:rFonts w:ascii="Century Gothic" w:eastAsia="Times New Roman" w:hAnsi="Century Gothic" w:cs="Times New Roman"/>
          <w:color w:val="595959" w:themeColor="text1" w:themeTint="A6"/>
          <w:sz w:val="24"/>
          <w:szCs w:val="24"/>
          <w:lang w:val="es-CO" w:eastAsia="es-ES"/>
        </w:rPr>
        <w:t>endo</w:t>
      </w:r>
      <w:r w:rsidRPr="00773318">
        <w:rPr>
          <w:rFonts w:ascii="Century Gothic" w:eastAsia="Times New Roman" w:hAnsi="Century Gothic" w:cs="Times New Roman"/>
          <w:color w:val="595959" w:themeColor="text1" w:themeTint="A6"/>
          <w:sz w:val="24"/>
          <w:szCs w:val="24"/>
          <w:lang w:val="es-CO" w:eastAsia="es-ES"/>
        </w:rPr>
        <w:t xml:space="preserve"> instrucciones en virtud de la emergencia sanitaria generada por la pandemia del Coronavirus COVID-19 y el mantenimiento del orden público, normas que </w:t>
      </w:r>
      <w:r>
        <w:rPr>
          <w:rFonts w:ascii="Century Gothic" w:eastAsia="Times New Roman" w:hAnsi="Century Gothic" w:cs="Times New Roman"/>
          <w:color w:val="595959" w:themeColor="text1" w:themeTint="A6"/>
          <w:sz w:val="24"/>
          <w:szCs w:val="24"/>
          <w:lang w:val="es-CO" w:eastAsia="es-ES"/>
        </w:rPr>
        <w:t xml:space="preserve">se tomaron </w:t>
      </w:r>
      <w:r w:rsidRPr="00773318">
        <w:rPr>
          <w:rFonts w:ascii="Century Gothic" w:eastAsia="Times New Roman" w:hAnsi="Century Gothic" w:cs="Times New Roman"/>
          <w:color w:val="595959" w:themeColor="text1" w:themeTint="A6"/>
          <w:sz w:val="24"/>
          <w:szCs w:val="24"/>
          <w:lang w:val="es-CO" w:eastAsia="es-ES"/>
        </w:rPr>
        <w:t>en</w:t>
      </w:r>
      <w:r>
        <w:rPr>
          <w:rFonts w:ascii="Century Gothic" w:eastAsia="Times New Roman" w:hAnsi="Century Gothic" w:cs="Times New Roman"/>
          <w:color w:val="595959" w:themeColor="text1" w:themeTint="A6"/>
          <w:sz w:val="24"/>
          <w:szCs w:val="24"/>
          <w:lang w:val="es-CO" w:eastAsia="es-ES"/>
        </w:rPr>
        <w:t xml:space="preserve"> el </w:t>
      </w:r>
      <w:r w:rsidRPr="00773318">
        <w:rPr>
          <w:rFonts w:ascii="Century Gothic" w:eastAsia="Times New Roman" w:hAnsi="Century Gothic" w:cs="Times New Roman"/>
          <w:color w:val="595959" w:themeColor="text1" w:themeTint="A6"/>
          <w:sz w:val="24"/>
          <w:szCs w:val="24"/>
          <w:lang w:val="es-CO" w:eastAsia="es-ES"/>
        </w:rPr>
        <w:t xml:space="preserve">municipio y se adoptaron en </w:t>
      </w:r>
      <w:r>
        <w:rPr>
          <w:rFonts w:ascii="Century Gothic" w:eastAsia="Times New Roman" w:hAnsi="Century Gothic" w:cs="Times New Roman"/>
          <w:color w:val="595959" w:themeColor="text1" w:themeTint="A6"/>
          <w:sz w:val="24"/>
          <w:szCs w:val="24"/>
          <w:lang w:val="es-CO" w:eastAsia="es-ES"/>
        </w:rPr>
        <w:t>toda su extensión a través del D</w:t>
      </w:r>
      <w:r w:rsidRPr="00773318">
        <w:rPr>
          <w:rFonts w:ascii="Century Gothic" w:eastAsia="Times New Roman" w:hAnsi="Century Gothic" w:cs="Times New Roman"/>
          <w:color w:val="595959" w:themeColor="text1" w:themeTint="A6"/>
          <w:sz w:val="24"/>
          <w:szCs w:val="24"/>
          <w:lang w:val="es-CO" w:eastAsia="es-ES"/>
        </w:rPr>
        <w:t>ecreto 180 de 2020, con el fin de preservar la salud y la vida, evitar el contacto y la propagación del coronavirus COVID-19, garantizar el abastecimiento y disposición de alimentos de primera necesidad y servicios que por su misma naturaleza no deben interrumpirse so pena de afectar el derecho a la vida, a la salud y la supervivencia de los habitantes, y en concordancia con la emergencia sanitari</w:t>
      </w:r>
      <w:r>
        <w:rPr>
          <w:rFonts w:ascii="Century Gothic" w:eastAsia="Times New Roman" w:hAnsi="Century Gothic" w:cs="Times New Roman"/>
          <w:color w:val="595959" w:themeColor="text1" w:themeTint="A6"/>
          <w:sz w:val="24"/>
          <w:szCs w:val="24"/>
          <w:lang w:val="es-CO" w:eastAsia="es-ES"/>
        </w:rPr>
        <w:t xml:space="preserve">a ya mencionada; </w:t>
      </w:r>
      <w:r w:rsidRPr="00773318">
        <w:rPr>
          <w:rFonts w:ascii="Century Gothic" w:eastAsia="Times New Roman" w:hAnsi="Century Gothic" w:cs="Times New Roman"/>
          <w:color w:val="595959" w:themeColor="text1" w:themeTint="A6"/>
          <w:sz w:val="24"/>
          <w:szCs w:val="24"/>
          <w:lang w:val="es-CO" w:eastAsia="es-ES"/>
        </w:rPr>
        <w:t>por</w:t>
      </w:r>
      <w:r>
        <w:rPr>
          <w:rFonts w:ascii="Century Gothic" w:eastAsia="Times New Roman" w:hAnsi="Century Gothic" w:cs="Times New Roman"/>
          <w:color w:val="595959" w:themeColor="text1" w:themeTint="A6"/>
          <w:sz w:val="24"/>
          <w:szCs w:val="24"/>
          <w:lang w:val="es-CO" w:eastAsia="es-ES"/>
        </w:rPr>
        <w:t xml:space="preserve"> lo anterior, </w:t>
      </w:r>
      <w:r w:rsidRPr="00773318">
        <w:rPr>
          <w:rFonts w:ascii="Century Gothic" w:eastAsia="Times New Roman" w:hAnsi="Century Gothic" w:cs="Times New Roman"/>
          <w:color w:val="595959" w:themeColor="text1" w:themeTint="A6"/>
          <w:sz w:val="24"/>
          <w:szCs w:val="24"/>
          <w:lang w:val="es-CO" w:eastAsia="es-ES"/>
        </w:rPr>
        <w:t xml:space="preserve">no se hizo más ordenar un aislamiento preventivo obligatorio para todos los habitantes del </w:t>
      </w:r>
      <w:r>
        <w:rPr>
          <w:rFonts w:ascii="Century Gothic" w:eastAsia="Times New Roman" w:hAnsi="Century Gothic" w:cs="Times New Roman"/>
          <w:color w:val="595959" w:themeColor="text1" w:themeTint="A6"/>
          <w:sz w:val="24"/>
          <w:szCs w:val="24"/>
          <w:lang w:val="es-CO" w:eastAsia="es-ES"/>
        </w:rPr>
        <w:t>M</w:t>
      </w:r>
      <w:r w:rsidRPr="00773318">
        <w:rPr>
          <w:rFonts w:ascii="Century Gothic" w:eastAsia="Times New Roman" w:hAnsi="Century Gothic" w:cs="Times New Roman"/>
          <w:color w:val="595959" w:themeColor="text1" w:themeTint="A6"/>
          <w:sz w:val="24"/>
          <w:szCs w:val="24"/>
          <w:lang w:val="es-CO" w:eastAsia="es-ES"/>
        </w:rPr>
        <w:t xml:space="preserve">unicipio de Regidor - Bolívar, de acuerdo con las instrucciones que el </w:t>
      </w:r>
      <w:r>
        <w:rPr>
          <w:rFonts w:ascii="Century Gothic" w:eastAsia="Times New Roman" w:hAnsi="Century Gothic" w:cs="Times New Roman"/>
          <w:color w:val="595959" w:themeColor="text1" w:themeTint="A6"/>
          <w:sz w:val="24"/>
          <w:szCs w:val="24"/>
          <w:lang w:val="es-CO" w:eastAsia="es-ES"/>
        </w:rPr>
        <w:t>Gobierno N</w:t>
      </w:r>
      <w:r w:rsidRPr="00773318">
        <w:rPr>
          <w:rFonts w:ascii="Century Gothic" w:eastAsia="Times New Roman" w:hAnsi="Century Gothic" w:cs="Times New Roman"/>
          <w:color w:val="595959" w:themeColor="text1" w:themeTint="A6"/>
          <w:sz w:val="24"/>
          <w:szCs w:val="24"/>
          <w:lang w:val="es-CO" w:eastAsia="es-ES"/>
        </w:rPr>
        <w:t>acional estableció.</w:t>
      </w:r>
    </w:p>
    <w:p w14:paraId="1E4FE5CF" w14:textId="77777777" w:rsidR="00782319" w:rsidRPr="00782319" w:rsidRDefault="00782319" w:rsidP="003A4240">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7A2FFCC7"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14:paraId="1E01628B" w14:textId="77777777"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14:paraId="362E38E7"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14:paraId="2649B78F" w14:textId="77777777" w:rsidR="00A0365F" w:rsidRDefault="00A0365F" w:rsidP="00A0365F">
      <w:pPr>
        <w:spacing w:after="0"/>
        <w:rPr>
          <w:rFonts w:ascii="Century Gothic" w:eastAsia="Times New Roman" w:hAnsi="Century Gothic" w:cs="Arial"/>
          <w:b/>
          <w:color w:val="595959" w:themeColor="text1" w:themeTint="A6"/>
          <w:sz w:val="24"/>
          <w:szCs w:val="24"/>
          <w:lang w:eastAsia="es-ES"/>
        </w:rPr>
      </w:pPr>
    </w:p>
    <w:p w14:paraId="7513A0EB" w14:textId="77777777"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14:paraId="0D114B83"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14:paraId="6B8AA90B" w14:textId="77777777"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4183FDA3" w14:textId="77777777"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7FA62CC1"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14:paraId="250FE073"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6D226AD3"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14:paraId="5C6912B1"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45FEFBD3"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14:paraId="620F9A3A"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0B9C9557" w14:textId="77777777"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14:paraId="1119DE29" w14:textId="77777777"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14:paraId="286C7D2C" w14:textId="77777777"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¿Es el Decreto </w:t>
      </w:r>
      <w:r w:rsidR="00773318">
        <w:rPr>
          <w:rFonts w:ascii="Century Gothic" w:eastAsia="Times New Roman" w:hAnsi="Century Gothic" w:cs="Times New Roman"/>
          <w:i/>
          <w:color w:val="595959" w:themeColor="text1" w:themeTint="A6"/>
          <w:sz w:val="24"/>
          <w:szCs w:val="24"/>
          <w:lang w:eastAsia="es-ES"/>
        </w:rPr>
        <w:t>180</w:t>
      </w:r>
      <w:r w:rsidRPr="00B03E6C">
        <w:rPr>
          <w:rFonts w:ascii="Century Gothic" w:eastAsia="Times New Roman" w:hAnsi="Century Gothic" w:cs="Times New Roman"/>
          <w:i/>
          <w:color w:val="595959" w:themeColor="text1" w:themeTint="A6"/>
          <w:sz w:val="24"/>
          <w:szCs w:val="24"/>
          <w:lang w:eastAsia="es-ES"/>
        </w:rPr>
        <w:t xml:space="preserve"> de </w:t>
      </w:r>
      <w:r w:rsidR="00773318">
        <w:rPr>
          <w:rFonts w:ascii="Century Gothic" w:eastAsia="Times New Roman" w:hAnsi="Century Gothic" w:cs="Times New Roman"/>
          <w:i/>
          <w:color w:val="595959" w:themeColor="text1" w:themeTint="A6"/>
          <w:sz w:val="24"/>
          <w:szCs w:val="24"/>
          <w:lang w:eastAsia="es-ES"/>
        </w:rPr>
        <w:t>24</w:t>
      </w:r>
      <w:r w:rsidRPr="00B03E6C">
        <w:rPr>
          <w:rFonts w:ascii="Century Gothic" w:eastAsia="Times New Roman" w:hAnsi="Century Gothic" w:cs="Times New Roman"/>
          <w:i/>
          <w:color w:val="595959" w:themeColor="text1" w:themeTint="A6"/>
          <w:sz w:val="24"/>
          <w:szCs w:val="24"/>
          <w:lang w:eastAsia="es-ES"/>
        </w:rPr>
        <w:t xml:space="preserve"> </w:t>
      </w:r>
      <w:r w:rsidR="003576E8">
        <w:rPr>
          <w:rFonts w:ascii="Century Gothic" w:eastAsia="Times New Roman" w:hAnsi="Century Gothic" w:cs="Times New Roman"/>
          <w:i/>
          <w:color w:val="595959" w:themeColor="text1" w:themeTint="A6"/>
          <w:sz w:val="24"/>
          <w:szCs w:val="24"/>
          <w:lang w:eastAsia="es-ES"/>
        </w:rPr>
        <w:t>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773318">
        <w:rPr>
          <w:rFonts w:ascii="Century Gothic" w:eastAsia="Times New Roman" w:hAnsi="Century Gothic" w:cs="Times New Roman"/>
          <w:i/>
          <w:color w:val="595959" w:themeColor="text1" w:themeTint="A6"/>
          <w:sz w:val="24"/>
          <w:szCs w:val="24"/>
          <w:lang w:eastAsia="es-ES"/>
        </w:rPr>
        <w:t xml:space="preserve">Regidor </w:t>
      </w:r>
      <w:r w:rsidRPr="00B03E6C">
        <w:rPr>
          <w:rFonts w:ascii="Century Gothic" w:eastAsia="Times New Roman" w:hAnsi="Century Gothic" w:cs="Times New Roman"/>
          <w:i/>
          <w:color w:val="595959" w:themeColor="text1" w:themeTint="A6"/>
          <w:sz w:val="24"/>
          <w:szCs w:val="24"/>
          <w:lang w:eastAsia="es-ES"/>
        </w:rPr>
        <w:t>– Bolívar objeto del medio de control de Control Inmediato de legalidad?</w:t>
      </w:r>
    </w:p>
    <w:p w14:paraId="650AD640" w14:textId="77777777"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14:paraId="6BCA4A36"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14:paraId="4A8DE836"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14:paraId="41123D5A" w14:textId="77777777"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773318">
        <w:rPr>
          <w:rFonts w:ascii="Century Gothic" w:eastAsia="Times New Roman" w:hAnsi="Century Gothic" w:cs="Times New Roman"/>
          <w:i/>
          <w:color w:val="595959" w:themeColor="text1" w:themeTint="A6"/>
          <w:sz w:val="24"/>
          <w:szCs w:val="24"/>
          <w:lang w:eastAsia="es-ES"/>
        </w:rPr>
        <w:t>180</w:t>
      </w:r>
      <w:r w:rsidR="00B0567B">
        <w:rPr>
          <w:rFonts w:ascii="Century Gothic" w:eastAsia="Times New Roman" w:hAnsi="Century Gothic" w:cs="Times New Roman"/>
          <w:i/>
          <w:color w:val="595959" w:themeColor="text1" w:themeTint="A6"/>
          <w:sz w:val="24"/>
          <w:szCs w:val="24"/>
          <w:lang w:eastAsia="es-ES"/>
        </w:rPr>
        <w:t xml:space="preserve"> de </w:t>
      </w:r>
      <w:r w:rsidR="00773318">
        <w:rPr>
          <w:rFonts w:ascii="Century Gothic" w:eastAsia="Times New Roman" w:hAnsi="Century Gothic" w:cs="Times New Roman"/>
          <w:i/>
          <w:color w:val="595959" w:themeColor="text1" w:themeTint="A6"/>
          <w:sz w:val="24"/>
          <w:szCs w:val="24"/>
          <w:lang w:eastAsia="es-ES"/>
        </w:rPr>
        <w:t>24</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B0567B">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773318">
        <w:rPr>
          <w:rFonts w:ascii="Century Gothic" w:eastAsia="Times New Roman" w:hAnsi="Century Gothic" w:cs="Times New Roman"/>
          <w:i/>
          <w:color w:val="595959" w:themeColor="text1" w:themeTint="A6"/>
          <w:sz w:val="24"/>
          <w:szCs w:val="24"/>
          <w:lang w:eastAsia="es-ES"/>
        </w:rPr>
        <w:t xml:space="preserve">Regidor </w:t>
      </w:r>
      <w:r w:rsidRPr="00B03E6C">
        <w:rPr>
          <w:rFonts w:ascii="Century Gothic" w:eastAsia="Times New Roman" w:hAnsi="Century Gothic" w:cs="Times New Roman"/>
          <w:i/>
          <w:color w:val="595959" w:themeColor="text1" w:themeTint="A6"/>
          <w:sz w:val="24"/>
          <w:szCs w:val="24"/>
          <w:lang w:eastAsia="es-ES"/>
        </w:rPr>
        <w:t>– Bolívar se ajusta o no a derecho?</w:t>
      </w:r>
    </w:p>
    <w:p w14:paraId="73C88873" w14:textId="77777777"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14:paraId="6F278D0D" w14:textId="77777777"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14:paraId="5B5B0D81" w14:textId="77777777"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14:paraId="4F21E95A" w14:textId="77777777"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14:paraId="6301F337" w14:textId="77777777"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14:paraId="5CDC76CC"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10C64694"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14:paraId="218E66C5"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6F096696" w14:textId="77777777"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14:paraId="56B16C38"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6F91978D" w14:textId="77777777"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capacidades ordinarias de la Fuerza Pública y </w:t>
      </w:r>
      <w:r w:rsidRPr="00BB200D">
        <w:rPr>
          <w:rFonts w:ascii="Century Gothic" w:eastAsia="Times New Roman" w:hAnsi="Century Gothic" w:cs="Times New Roman"/>
          <w:color w:val="595959" w:themeColor="text1" w:themeTint="A6"/>
          <w:sz w:val="24"/>
          <w:szCs w:val="24"/>
          <w:lang w:eastAsia="es-ES"/>
        </w:rPr>
        <w:lastRenderedPageBreak/>
        <w:t>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14:paraId="3F6FFC0D"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6255411" w14:textId="77777777"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14:paraId="2116E5BF" w14:textId="77777777"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06789480"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14:paraId="5AE5AA3F"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37C1121F"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14:paraId="04E103EF" w14:textId="77777777"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760A50A"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14:paraId="61A859D5"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14:paraId="128B1B1F" w14:textId="77777777"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14:paraId="7D9C2676"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14:paraId="6A7C7187" w14:textId="77777777"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31C4134"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14:paraId="2DFE36B7"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sean proferidos en ejercicio de la función administrativa como desarrollo de</w:t>
      </w:r>
    </w:p>
    <w:p w14:paraId="0C85E79F"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los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14:paraId="081369C6" w14:textId="77777777"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6BCD8E72" w14:textId="77777777"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 xml:space="preserve">rocedibilidad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14:paraId="47DE8A20" w14:textId="77777777"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14:paraId="3F65B7E1" w14:textId="77777777"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14:paraId="3C4C0CCD" w14:textId="77777777"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C93FB0D"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14:paraId="6412EEBF" w14:textId="77777777"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judicial y se decide por sentencia.</w:t>
      </w:r>
    </w:p>
    <w:p w14:paraId="455E0B19"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43DCA5A2"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14:paraId="02CB12BE"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demanda, sino que es oficioso, por disposición legal.</w:t>
      </w:r>
    </w:p>
    <w:p w14:paraId="439AC32A"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233DE852"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14:paraId="190655E7"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231A36AB"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14:paraId="3FAFF6FE"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5CA342F1"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14:paraId="7E4BFB21" w14:textId="77777777"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43EE0A30"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A su vez, la misma Sala en sentencia del 20 de octubre de 2009, esquematizó los presupuestos de procedibilidad del medio de control así:</w:t>
      </w:r>
    </w:p>
    <w:p w14:paraId="1E09AE2E"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746BCCE9"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14:paraId="66A0FB4E"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48D5D87F"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14:paraId="4EDF4EF6"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14:paraId="67E51080"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14:paraId="59B6F63C"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5B113FAD"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14:paraId="3FC4AE8F"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77696E33"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14:paraId="22B59AF5"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2C06695E"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w:t>
      </w:r>
      <w:r w:rsidRPr="0015225A">
        <w:rPr>
          <w:rFonts w:ascii="Century Gothic" w:eastAsia="Times New Roman" w:hAnsi="Century Gothic" w:cs="Times New Roman"/>
          <w:i/>
          <w:color w:val="595959" w:themeColor="text1" w:themeTint="A6"/>
          <w:sz w:val="20"/>
          <w:szCs w:val="24"/>
          <w:lang w:eastAsia="es-ES"/>
        </w:rPr>
        <w:lastRenderedPageBreak/>
        <w:t>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14:paraId="0D05161D"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172E1DA5"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(iii) Su autonomía, consistente en que resulta “posible realizar su revisión antes de que la Corte Constitucional se pronuncie sobre la exequibilidad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prejudicialidad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14:paraId="5F3404E0"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69ABFF95" w14:textId="77777777"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14:paraId="0678DACA"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656E1AD2"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14:paraId="4C07E745"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66401B01" w14:textId="77777777"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14:paraId="4458E681" w14:textId="77777777"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218FC758" w14:textId="77777777"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14:paraId="23DF44B3"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475B56AD"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14:paraId="161907E9"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5951400C"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“Aún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14:paraId="1D12F45D"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7B354BC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14:paraId="46A81F4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AC3C912"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14:paraId="040583D2"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629EBF5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14:paraId="7F1E70D2"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4DDB25CB"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14:paraId="6B45C02C"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6DEA599C" w14:textId="77777777"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14:paraId="527C98CD"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10FED64E" w14:textId="77777777" w:rsidR="00CA6DCB" w:rsidRPr="00B0567B"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B0567B">
        <w:rPr>
          <w:rFonts w:ascii="Century Gothic" w:eastAsia="Times New Roman" w:hAnsi="Century Gothic" w:cs="Times New Roman"/>
          <w:color w:val="595959" w:themeColor="text1" w:themeTint="A6"/>
          <w:sz w:val="24"/>
          <w:szCs w:val="24"/>
          <w:lang w:eastAsia="es-ES"/>
        </w:rPr>
        <w:t xml:space="preserve">Finalmente, el control inmediato de legalidad debe hacerse confrontando las normas superiores, que son: a) Los mandatos constitucionales sobre derechos fundamentales, b) Las normas convencionales que limitan a los estados para suspender las garantías y libertades fundamentales, c) Las </w:t>
      </w:r>
      <w:r w:rsidRPr="00B0567B">
        <w:rPr>
          <w:rFonts w:ascii="Century Gothic" w:eastAsia="Times New Roman" w:hAnsi="Century Gothic" w:cs="Times New Roman"/>
          <w:color w:val="595959" w:themeColor="text1" w:themeTint="A6"/>
          <w:sz w:val="24"/>
          <w:szCs w:val="24"/>
          <w:lang w:eastAsia="es-ES"/>
        </w:rPr>
        <w:lastRenderedPageBreak/>
        <w:t>normas constitucionales que rigen los estados de excepción, d) La Ley estatutaria de Estados de Excepción, e) El decreto de declaratoria del estado de excepción y f) Los decretos legislativos expedidos por el Gobierno</w:t>
      </w:r>
      <w:r w:rsidRPr="00B0567B">
        <w:rPr>
          <w:rStyle w:val="Refdenotaalpie"/>
          <w:rFonts w:ascii="Century Gothic" w:eastAsia="Times New Roman" w:hAnsi="Century Gothic" w:cs="Times New Roman"/>
          <w:color w:val="595959" w:themeColor="text1" w:themeTint="A6"/>
          <w:sz w:val="24"/>
          <w:szCs w:val="24"/>
          <w:lang w:eastAsia="es-ES"/>
        </w:rPr>
        <w:footnoteReference w:id="5"/>
      </w:r>
      <w:r w:rsidRPr="00B0567B">
        <w:rPr>
          <w:rFonts w:ascii="Century Gothic" w:eastAsia="Times New Roman" w:hAnsi="Century Gothic" w:cs="Times New Roman"/>
          <w:color w:val="595959" w:themeColor="text1" w:themeTint="A6"/>
          <w:sz w:val="24"/>
          <w:szCs w:val="24"/>
          <w:lang w:eastAsia="es-ES"/>
        </w:rPr>
        <w:t>.</w:t>
      </w:r>
    </w:p>
    <w:p w14:paraId="1B701C0B" w14:textId="77777777" w:rsidR="00CA6DCB" w:rsidRP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14:paraId="36F0A431" w14:textId="77777777"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14:paraId="48D7CF9B" w14:textId="77777777" w:rsidR="00242B86" w:rsidRPr="00FD77EB"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1A44450D"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5. Caso concreto</w:t>
      </w:r>
    </w:p>
    <w:p w14:paraId="4819D219"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219DE2C6" w14:textId="77777777"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Pr="00BF0D6A">
        <w:rPr>
          <w:rFonts w:ascii="Century Gothic" w:eastAsia="Times New Roman" w:hAnsi="Century Gothic" w:cs="Arial"/>
          <w:color w:val="595959" w:themeColor="text1" w:themeTint="A6"/>
          <w:sz w:val="24"/>
          <w:szCs w:val="24"/>
          <w:lang w:eastAsia="es-CO"/>
        </w:rPr>
        <w:t xml:space="preserve">Decreto </w:t>
      </w:r>
      <w:r w:rsidR="00773318">
        <w:rPr>
          <w:rFonts w:ascii="Century Gothic" w:eastAsia="Times New Roman" w:hAnsi="Century Gothic" w:cs="Arial"/>
          <w:color w:val="595959" w:themeColor="text1" w:themeTint="A6"/>
          <w:sz w:val="24"/>
          <w:szCs w:val="24"/>
          <w:lang w:eastAsia="es-CO"/>
        </w:rPr>
        <w:t>180 de 24</w:t>
      </w:r>
      <w:r w:rsidRPr="00BF0D6A">
        <w:rPr>
          <w:rFonts w:ascii="Century Gothic" w:eastAsia="Times New Roman" w:hAnsi="Century Gothic" w:cs="Arial"/>
          <w:color w:val="595959" w:themeColor="text1" w:themeTint="A6"/>
          <w:sz w:val="24"/>
          <w:szCs w:val="24"/>
          <w:lang w:eastAsia="es-CO"/>
        </w:rPr>
        <w:t xml:space="preserve"> de marzo de 2020 expedido por </w:t>
      </w:r>
      <w:r w:rsidR="00B0567B">
        <w:rPr>
          <w:rFonts w:ascii="Century Gothic" w:eastAsia="Times New Roman" w:hAnsi="Century Gothic" w:cs="Arial"/>
          <w:color w:val="595959" w:themeColor="text1" w:themeTint="A6"/>
          <w:sz w:val="24"/>
          <w:szCs w:val="24"/>
          <w:lang w:eastAsia="es-CO"/>
        </w:rPr>
        <w:t>el</w:t>
      </w:r>
      <w:r w:rsidRPr="00BF0D6A">
        <w:rPr>
          <w:rFonts w:ascii="Century Gothic" w:eastAsia="Times New Roman" w:hAnsi="Century Gothic" w:cs="Arial"/>
          <w:color w:val="595959" w:themeColor="text1" w:themeTint="A6"/>
          <w:sz w:val="24"/>
          <w:szCs w:val="24"/>
          <w:lang w:eastAsia="es-CO"/>
        </w:rPr>
        <w:t xml:space="preserve"> Alcalde del Municipio de </w:t>
      </w:r>
      <w:r w:rsidR="00773318">
        <w:rPr>
          <w:rFonts w:ascii="Century Gothic" w:eastAsia="Times New Roman" w:hAnsi="Century Gothic" w:cs="Arial"/>
          <w:color w:val="595959" w:themeColor="text1" w:themeTint="A6"/>
          <w:sz w:val="24"/>
          <w:szCs w:val="24"/>
          <w:lang w:eastAsia="es-CO"/>
        </w:rPr>
        <w:t xml:space="preserve">Regidor </w:t>
      </w:r>
      <w:r w:rsidRPr="00BF0D6A">
        <w:rPr>
          <w:rFonts w:ascii="Century Gothic" w:eastAsia="Times New Roman" w:hAnsi="Century Gothic" w:cs="Arial"/>
          <w:color w:val="595959" w:themeColor="text1" w:themeTint="A6"/>
          <w:sz w:val="24"/>
          <w:szCs w:val="24"/>
          <w:lang w:eastAsia="es-CO"/>
        </w:rPr>
        <w:t>– Bolívar</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14:paraId="411189AA" w14:textId="77777777"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58DB2063" w14:textId="77777777"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14:paraId="697669CD"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7EC5D6A1" w14:textId="77777777"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14:paraId="06C7D3AE" w14:textId="77777777"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3B1070FC"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14:paraId="00CB44EC"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111FCF41" w14:textId="77777777"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 xml:space="preserve">El ministro de Salud y Protección Social por medio de la Resolución 385 del 12 de marzo de 2020 de acuerdo con lo establecido en el artículo 69 de la </w:t>
      </w:r>
      <w:r w:rsidRPr="007D5EBB">
        <w:rPr>
          <w:rFonts w:ascii="Century Gothic" w:eastAsia="Times New Roman" w:hAnsi="Century Gothic" w:cs="Arial"/>
          <w:color w:val="595959" w:themeColor="text1" w:themeTint="A6"/>
          <w:sz w:val="24"/>
          <w:szCs w:val="24"/>
          <w:lang w:val="es-CO" w:eastAsia="es-CO"/>
        </w:rPr>
        <w:lastRenderedPageBreak/>
        <w:t>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14:paraId="0C5EA8F7" w14:textId="77777777"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684BB20" w14:textId="77777777"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14:paraId="4D0B7CF9" w14:textId="77777777"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4CC64372" w14:textId="77777777" w:rsidR="00D96A2F" w:rsidRDefault="00B0567B" w:rsidP="002E3FC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w:t>
      </w:r>
      <w:r w:rsidR="003529E6">
        <w:rPr>
          <w:rFonts w:ascii="Century Gothic" w:eastAsia="Times New Roman" w:hAnsi="Century Gothic" w:cs="Arial"/>
          <w:color w:val="595959" w:themeColor="text1" w:themeTint="A6"/>
          <w:sz w:val="24"/>
          <w:szCs w:val="24"/>
          <w:lang w:val="es-CO" w:eastAsia="es-CO"/>
        </w:rPr>
        <w:t xml:space="preserve"> Alcalde Municipal de </w:t>
      </w:r>
      <w:r w:rsidR="00773318">
        <w:rPr>
          <w:rFonts w:ascii="Century Gothic" w:eastAsia="Times New Roman" w:hAnsi="Century Gothic" w:cs="Arial"/>
          <w:color w:val="595959" w:themeColor="text1" w:themeTint="A6"/>
          <w:sz w:val="24"/>
          <w:szCs w:val="24"/>
          <w:lang w:val="es-CO" w:eastAsia="es-CO"/>
        </w:rPr>
        <w:t xml:space="preserve">Regidor </w:t>
      </w:r>
      <w:r w:rsidR="003529E6">
        <w:rPr>
          <w:rFonts w:ascii="Century Gothic" w:eastAsia="Times New Roman" w:hAnsi="Century Gothic" w:cs="Arial"/>
          <w:color w:val="595959" w:themeColor="text1" w:themeTint="A6"/>
          <w:sz w:val="24"/>
          <w:szCs w:val="24"/>
          <w:lang w:val="es-CO" w:eastAsia="es-CO"/>
        </w:rPr>
        <w:t xml:space="preserve">expidió el </w:t>
      </w:r>
      <w:r w:rsidR="00773318">
        <w:rPr>
          <w:rFonts w:ascii="Century Gothic" w:eastAsia="Times New Roman" w:hAnsi="Century Gothic" w:cs="Arial"/>
          <w:color w:val="595959" w:themeColor="text1" w:themeTint="A6"/>
          <w:sz w:val="24"/>
          <w:szCs w:val="24"/>
          <w:lang w:val="es-CO" w:eastAsia="es-CO"/>
        </w:rPr>
        <w:t>Decreto Nro. 180</w:t>
      </w:r>
      <w:r w:rsidRPr="00B0567B">
        <w:rPr>
          <w:rFonts w:ascii="Century Gothic" w:eastAsia="Times New Roman" w:hAnsi="Century Gothic" w:cs="Arial"/>
          <w:color w:val="595959" w:themeColor="text1" w:themeTint="A6"/>
          <w:sz w:val="24"/>
          <w:szCs w:val="24"/>
          <w:lang w:val="es-CO" w:eastAsia="es-CO"/>
        </w:rPr>
        <w:t xml:space="preserve"> de </w:t>
      </w:r>
      <w:r w:rsidR="00773318">
        <w:rPr>
          <w:rFonts w:ascii="Century Gothic" w:eastAsia="Times New Roman" w:hAnsi="Century Gothic" w:cs="Arial"/>
          <w:color w:val="595959" w:themeColor="text1" w:themeTint="A6"/>
          <w:sz w:val="24"/>
          <w:szCs w:val="24"/>
          <w:lang w:val="es-CO" w:eastAsia="es-CO"/>
        </w:rPr>
        <w:t>24</w:t>
      </w:r>
      <w:r w:rsidRPr="00B0567B">
        <w:rPr>
          <w:rFonts w:ascii="Century Gothic" w:eastAsia="Times New Roman" w:hAnsi="Century Gothic" w:cs="Arial"/>
          <w:color w:val="595959" w:themeColor="text1" w:themeTint="A6"/>
          <w:sz w:val="24"/>
          <w:szCs w:val="24"/>
          <w:lang w:val="es-CO" w:eastAsia="es-CO"/>
        </w:rPr>
        <w:t xml:space="preserve"> de marzo de 2020 </w:t>
      </w:r>
      <w:r w:rsidR="00773318" w:rsidRPr="00773318">
        <w:rPr>
          <w:rFonts w:ascii="Century Gothic" w:eastAsia="Times New Roman" w:hAnsi="Century Gothic" w:cs="Arial"/>
          <w:i/>
          <w:color w:val="595959" w:themeColor="text1" w:themeTint="A6"/>
          <w:sz w:val="24"/>
          <w:szCs w:val="24"/>
          <w:lang w:val="es-CO" w:eastAsia="es-CO"/>
        </w:rPr>
        <w:t>“Por el cual se imparten instrucciones en virtud de la emergencia sanitaria generada por la pandemia del Coronavirus COVID-19 y en el mantenimiento del orden público del Municipio de Regidor - Bolívar”</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acto expedido en uso de las facultades conferidas por el</w:t>
      </w:r>
      <w:r w:rsidR="00773318">
        <w:rPr>
          <w:rFonts w:ascii="Century Gothic" w:eastAsia="Times New Roman" w:hAnsi="Century Gothic" w:cs="Arial"/>
          <w:color w:val="595959" w:themeColor="text1" w:themeTint="A6"/>
          <w:sz w:val="24"/>
          <w:szCs w:val="24"/>
          <w:lang w:val="es-CO" w:eastAsia="es-CO"/>
        </w:rPr>
        <w:t xml:space="preserve"> numeral 3º del </w:t>
      </w:r>
      <w:r w:rsidR="003529E6">
        <w:rPr>
          <w:rFonts w:ascii="Century Gothic" w:eastAsia="Times New Roman" w:hAnsi="Century Gothic" w:cs="Arial"/>
          <w:color w:val="595959" w:themeColor="text1" w:themeTint="A6"/>
          <w:sz w:val="24"/>
          <w:szCs w:val="24"/>
          <w:lang w:val="es-CO" w:eastAsia="es-CO"/>
        </w:rPr>
        <w:t xml:space="preserve">artículo 315 de la Constitución Política, </w:t>
      </w:r>
      <w:r w:rsidR="00773318">
        <w:rPr>
          <w:rFonts w:ascii="Century Gothic" w:eastAsia="Times New Roman" w:hAnsi="Century Gothic" w:cs="Arial"/>
          <w:color w:val="595959" w:themeColor="text1" w:themeTint="A6"/>
          <w:sz w:val="24"/>
          <w:szCs w:val="24"/>
          <w:lang w:val="es-CO" w:eastAsia="es-CO"/>
        </w:rPr>
        <w:t xml:space="preserve">artículos </w:t>
      </w:r>
      <w:r w:rsidR="002E3FCE">
        <w:rPr>
          <w:rFonts w:ascii="Century Gothic" w:eastAsia="Times New Roman" w:hAnsi="Century Gothic" w:cs="Arial"/>
          <w:color w:val="595959" w:themeColor="text1" w:themeTint="A6"/>
          <w:sz w:val="24"/>
          <w:szCs w:val="24"/>
          <w:lang w:val="es-CO" w:eastAsia="es-CO"/>
        </w:rPr>
        <w:t>14, 199 y 202 de la Ley 1801 de 2016, y la Ley 136 de 1994</w:t>
      </w:r>
      <w:r>
        <w:rPr>
          <w:rFonts w:ascii="Century Gothic" w:eastAsia="Times New Roman" w:hAnsi="Century Gothic" w:cs="Arial"/>
          <w:color w:val="595959" w:themeColor="text1" w:themeTint="A6"/>
          <w:sz w:val="24"/>
          <w:szCs w:val="24"/>
          <w:lang w:val="es-CO" w:eastAsia="es-CO"/>
        </w:rPr>
        <w:t xml:space="preserve">; acto </w:t>
      </w:r>
      <w:r w:rsidR="006B3A92">
        <w:rPr>
          <w:rFonts w:ascii="Century Gothic" w:eastAsia="Times New Roman" w:hAnsi="Century Gothic" w:cs="Arial"/>
          <w:color w:val="595959" w:themeColor="text1" w:themeTint="A6"/>
          <w:sz w:val="24"/>
          <w:szCs w:val="24"/>
          <w:lang w:val="es-CO" w:eastAsia="es-CO"/>
        </w:rPr>
        <w:t xml:space="preserve">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sidR="002E3FCE">
        <w:rPr>
          <w:rFonts w:ascii="Century Gothic" w:eastAsia="Times New Roman" w:hAnsi="Century Gothic" w:cs="Arial"/>
          <w:color w:val="595959" w:themeColor="text1" w:themeTint="A6"/>
          <w:sz w:val="24"/>
          <w:szCs w:val="24"/>
          <w:lang w:val="es-CO" w:eastAsia="es-CO"/>
        </w:rPr>
        <w:t>o</w:t>
      </w:r>
      <w:r w:rsidR="002E3FCE" w:rsidRPr="002E3FCE">
        <w:rPr>
          <w:rFonts w:ascii="Century Gothic" w:eastAsia="Times New Roman" w:hAnsi="Century Gothic" w:cs="Arial"/>
          <w:color w:val="595959" w:themeColor="text1" w:themeTint="A6"/>
          <w:sz w:val="24"/>
          <w:szCs w:val="24"/>
          <w:lang w:val="es-CO" w:eastAsia="es-CO"/>
        </w:rPr>
        <w:t>rdenar el aislamiento preventivo obligatorio de todas las personas habitantes del Municipio de Regidor - Bolívar, a partir de las cero horas (00:00 a.m.) del día veinticinco (25) de marzo de 2020, hasta las cero horas (00:00 a.m.) del día trece (13) de abril de 2020, limita</w:t>
      </w:r>
      <w:r w:rsidR="002E3FCE">
        <w:rPr>
          <w:rFonts w:ascii="Century Gothic" w:eastAsia="Times New Roman" w:hAnsi="Century Gothic" w:cs="Arial"/>
          <w:color w:val="595959" w:themeColor="text1" w:themeTint="A6"/>
          <w:sz w:val="24"/>
          <w:szCs w:val="24"/>
          <w:lang w:val="es-CO" w:eastAsia="es-CO"/>
        </w:rPr>
        <w:t xml:space="preserve">ndo </w:t>
      </w:r>
      <w:r w:rsidR="002E3FCE" w:rsidRPr="002E3FCE">
        <w:rPr>
          <w:rFonts w:ascii="Century Gothic" w:eastAsia="Times New Roman" w:hAnsi="Century Gothic" w:cs="Arial"/>
          <w:color w:val="595959" w:themeColor="text1" w:themeTint="A6"/>
          <w:sz w:val="24"/>
          <w:szCs w:val="24"/>
          <w:lang w:val="es-CO" w:eastAsia="es-CO"/>
        </w:rPr>
        <w:t>totalmente la libre circulación de personas y vehículos en el territorio municipal, con</w:t>
      </w:r>
      <w:r w:rsidR="002E3FCE">
        <w:rPr>
          <w:rFonts w:ascii="Century Gothic" w:eastAsia="Times New Roman" w:hAnsi="Century Gothic" w:cs="Arial"/>
          <w:color w:val="595959" w:themeColor="text1" w:themeTint="A6"/>
          <w:sz w:val="24"/>
          <w:szCs w:val="24"/>
          <w:lang w:val="es-CO" w:eastAsia="es-CO"/>
        </w:rPr>
        <w:t xml:space="preserve"> determinadas </w:t>
      </w:r>
      <w:r w:rsidR="002E3FCE" w:rsidRPr="002E3FCE">
        <w:rPr>
          <w:rFonts w:ascii="Century Gothic" w:eastAsia="Times New Roman" w:hAnsi="Century Gothic" w:cs="Arial"/>
          <w:color w:val="595959" w:themeColor="text1" w:themeTint="A6"/>
          <w:sz w:val="24"/>
          <w:szCs w:val="24"/>
          <w:lang w:val="es-CO" w:eastAsia="es-CO"/>
        </w:rPr>
        <w:t>excepciones previstas en el</w:t>
      </w:r>
      <w:r w:rsidR="002E3FCE">
        <w:rPr>
          <w:rFonts w:ascii="Century Gothic" w:eastAsia="Times New Roman" w:hAnsi="Century Gothic" w:cs="Arial"/>
          <w:color w:val="595959" w:themeColor="text1" w:themeTint="A6"/>
          <w:sz w:val="24"/>
          <w:szCs w:val="24"/>
          <w:lang w:val="es-CO" w:eastAsia="es-CO"/>
        </w:rPr>
        <w:t xml:space="preserve"> mismo decreto</w:t>
      </w:r>
      <w:r>
        <w:rPr>
          <w:rFonts w:ascii="Century Gothic" w:eastAsia="Times New Roman" w:hAnsi="Century Gothic" w:cs="Arial"/>
          <w:color w:val="595959" w:themeColor="text1" w:themeTint="A6"/>
          <w:sz w:val="24"/>
          <w:szCs w:val="24"/>
          <w:lang w:val="es-CO" w:eastAsia="es-CO"/>
        </w:rPr>
        <w:t>.</w:t>
      </w:r>
    </w:p>
    <w:p w14:paraId="6D164C9F" w14:textId="77777777"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B86524C" w14:textId="77777777" w:rsidR="00F44BFC" w:rsidRPr="007E5F18"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E5F18">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7E5F18">
        <w:rPr>
          <w:rFonts w:ascii="Century Gothic" w:eastAsia="Times New Roman" w:hAnsi="Century Gothic" w:cs="Arial"/>
          <w:color w:val="595959" w:themeColor="text1" w:themeTint="A6"/>
          <w:sz w:val="24"/>
          <w:szCs w:val="24"/>
          <w:lang w:val="es-CO" w:eastAsia="es-CO"/>
        </w:rPr>
        <w:t xml:space="preserve"> al Mandatario Municipal</w:t>
      </w:r>
      <w:r w:rsidRPr="007E5F18">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7E5F18">
        <w:rPr>
          <w:rFonts w:ascii="Century Gothic" w:eastAsia="Times New Roman" w:hAnsi="Century Gothic" w:cs="Arial"/>
          <w:color w:val="595959" w:themeColor="text1" w:themeTint="A6"/>
          <w:sz w:val="24"/>
          <w:szCs w:val="24"/>
          <w:lang w:val="es-CO" w:eastAsia="es-CO"/>
        </w:rPr>
        <w:t xml:space="preserve">de policía </w:t>
      </w:r>
      <w:r w:rsidRPr="007E5F18">
        <w:rPr>
          <w:rFonts w:ascii="Century Gothic" w:eastAsia="Times New Roman" w:hAnsi="Century Gothic" w:cs="Arial"/>
          <w:color w:val="595959" w:themeColor="text1" w:themeTint="A6"/>
          <w:sz w:val="24"/>
          <w:szCs w:val="24"/>
          <w:lang w:val="es-CO" w:eastAsia="es-CO"/>
        </w:rPr>
        <w:t xml:space="preserve">del municipio, </w:t>
      </w:r>
      <w:r w:rsidR="00F733EA" w:rsidRPr="007E5F18">
        <w:rPr>
          <w:rFonts w:ascii="Century Gothic" w:eastAsia="Times New Roman" w:hAnsi="Century Gothic" w:cs="Arial"/>
          <w:color w:val="595959" w:themeColor="text1" w:themeTint="A6"/>
          <w:sz w:val="24"/>
          <w:szCs w:val="24"/>
          <w:lang w:val="es-CO" w:eastAsia="es-CO"/>
        </w:rPr>
        <w:t xml:space="preserve">debiendo conservar el orden público, de conformidad con la ley y las instrucciones y órdenes que reciba del Presidente de la República y del respectivo gobernador (artículo 315 </w:t>
      </w:r>
      <w:r w:rsidR="00F733EA" w:rsidRPr="007E5F18">
        <w:rPr>
          <w:rFonts w:ascii="Century Gothic" w:eastAsia="Times New Roman" w:hAnsi="Century Gothic" w:cs="Arial"/>
          <w:color w:val="595959" w:themeColor="text1" w:themeTint="A6"/>
          <w:sz w:val="24"/>
          <w:szCs w:val="24"/>
          <w:lang w:val="es-CO" w:eastAsia="es-CO"/>
        </w:rPr>
        <w:lastRenderedPageBreak/>
        <w:t>Constitucional</w:t>
      </w:r>
      <w:r w:rsidR="00E45706" w:rsidRPr="007E5F18">
        <w:rPr>
          <w:rFonts w:ascii="Century Gothic" w:eastAsia="Times New Roman" w:hAnsi="Century Gothic" w:cs="Arial"/>
          <w:color w:val="595959" w:themeColor="text1" w:themeTint="A6"/>
          <w:sz w:val="24"/>
          <w:szCs w:val="24"/>
          <w:lang w:val="es-CO" w:eastAsia="es-CO"/>
        </w:rPr>
        <w:t xml:space="preserve">, </w:t>
      </w:r>
      <w:r w:rsidR="00F733EA" w:rsidRPr="007E5F18">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7E5F18">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7E5F18">
        <w:rPr>
          <w:rFonts w:ascii="Century Gothic" w:eastAsia="Times New Roman" w:hAnsi="Century Gothic" w:cs="Arial"/>
          <w:color w:val="595959" w:themeColor="text1" w:themeTint="A6"/>
          <w:sz w:val="24"/>
          <w:szCs w:val="24"/>
          <w:lang w:val="es-CO" w:eastAsia="es-CO"/>
        </w:rPr>
        <w:t>).</w:t>
      </w:r>
    </w:p>
    <w:p w14:paraId="3B0FDBB1" w14:textId="77777777" w:rsidR="00E45706" w:rsidRPr="007E5F18"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6A6BE3F9" w14:textId="77777777"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E5F18">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7E5F18">
        <w:rPr>
          <w:rStyle w:val="Refdenotaalpie"/>
          <w:rFonts w:ascii="Century Gothic" w:eastAsia="Times New Roman" w:hAnsi="Century Gothic" w:cs="Arial"/>
          <w:color w:val="595959" w:themeColor="text1" w:themeTint="A6"/>
          <w:sz w:val="24"/>
          <w:szCs w:val="24"/>
          <w:lang w:val="es-CO" w:eastAsia="es-CO"/>
        </w:rPr>
        <w:footnoteReference w:id="6"/>
      </w:r>
      <w:r w:rsidRPr="007E5F18">
        <w:rPr>
          <w:rFonts w:ascii="Century Gothic" w:eastAsia="Times New Roman" w:hAnsi="Century Gothic" w:cs="Arial"/>
          <w:color w:val="595959" w:themeColor="text1" w:themeTint="A6"/>
          <w:sz w:val="24"/>
          <w:szCs w:val="24"/>
          <w:lang w:val="es-CO" w:eastAsia="es-CO"/>
        </w:rPr>
        <w:t>.</w:t>
      </w:r>
    </w:p>
    <w:p w14:paraId="4815BD05" w14:textId="77777777"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501426F" w14:textId="77777777" w:rsidR="002E3FCE" w:rsidRPr="002E3FCE" w:rsidRDefault="002E3FCE" w:rsidP="002E3FC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2E3FCE">
        <w:rPr>
          <w:rFonts w:ascii="Century Gothic" w:eastAsia="Times New Roman" w:hAnsi="Century Gothic" w:cs="Arial"/>
          <w:color w:val="595959" w:themeColor="text1" w:themeTint="A6"/>
          <w:sz w:val="24"/>
          <w:szCs w:val="24"/>
          <w:lang w:val="es-CO" w:eastAsia="es-CO"/>
        </w:rPr>
        <w:t>De lo expuesto, para la Sala Plena</w:t>
      </w:r>
      <w:r w:rsidRPr="002E3FCE">
        <w:rPr>
          <w:rFonts w:ascii="Century Gothic" w:eastAsia="Times New Roman" w:hAnsi="Century Gothic" w:cs="Arial"/>
          <w:color w:val="595959" w:themeColor="text1" w:themeTint="A6"/>
          <w:sz w:val="24"/>
          <w:szCs w:val="24"/>
          <w:lang w:eastAsia="es-CO"/>
        </w:rPr>
        <w:t xml:space="preserve"> </w:t>
      </w:r>
      <w:r w:rsidRPr="002E3FCE">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 (declara estado de excepción), por cuanto no lo reglamenta o desarrolla; pues si bien, se expide en aras de prevenir el riesgo de contagio y/o propagaci</w:t>
      </w:r>
      <w:r>
        <w:rPr>
          <w:rFonts w:ascii="Century Gothic" w:eastAsia="Times New Roman" w:hAnsi="Century Gothic" w:cs="Arial"/>
          <w:color w:val="595959" w:themeColor="text1" w:themeTint="A6"/>
          <w:sz w:val="24"/>
          <w:szCs w:val="24"/>
          <w:lang w:val="es-CO" w:eastAsia="es-CO"/>
        </w:rPr>
        <w:t>ón de la enfermedad COVID-19, el</w:t>
      </w:r>
      <w:r w:rsidRPr="002E3FCE">
        <w:rPr>
          <w:rFonts w:ascii="Century Gothic" w:eastAsia="Times New Roman" w:hAnsi="Century Gothic" w:cs="Arial"/>
          <w:color w:val="595959" w:themeColor="text1" w:themeTint="A6"/>
          <w:sz w:val="24"/>
          <w:szCs w:val="24"/>
          <w:lang w:val="es-CO" w:eastAsia="es-CO"/>
        </w:rPr>
        <w:t xml:space="preserve"> Alcalde Municipal se funda en las funciones y atribuciones que ordinariamente le confieren la Constitución y la ley, así como en las instrucciones impartidas por el Jefe de Estado mediante el Decreto 457 de 2020, a través del cual se ordena el aislamiento preventivo obligatorio de todas las personas habitantes de la República de Colombia, lo que a su vez decretó el Presidente en ejercicio de sus funciones ordinarias, entre ellas la de ser autoridad de policía (artículo 198 de la Ley 1801 de 2016), </w:t>
      </w:r>
      <w:r w:rsidRPr="002E3FCE">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Salud y Protección Social.</w:t>
      </w:r>
    </w:p>
    <w:p w14:paraId="1C5E5918" w14:textId="77777777"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14:paraId="6A8CAD1B" w14:textId="77777777"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w:t>
      </w:r>
      <w:r w:rsidR="00034DB7" w:rsidRPr="0033045B">
        <w:rPr>
          <w:rFonts w:ascii="Century Gothic" w:eastAsia="Times New Roman" w:hAnsi="Century Gothic" w:cs="Arial"/>
          <w:color w:val="595959" w:themeColor="text1" w:themeTint="A6"/>
          <w:sz w:val="24"/>
          <w:szCs w:val="24"/>
          <w:lang w:eastAsia="es-CO"/>
        </w:rPr>
        <w:lastRenderedPageBreak/>
        <w:t xml:space="preserve">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14:paraId="31D9D846" w14:textId="77777777"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0D4ACBC0" w14:textId="77777777" w:rsidR="006B3A92" w:rsidRPr="0033045B"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14:paraId="097741D2"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3F24CA30" w14:textId="77777777" w:rsidR="004A35DF" w:rsidRDefault="004A35DF" w:rsidP="004A35DF">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Pr>
          <w:rStyle w:val="Refdenotaalpie"/>
          <w:rFonts w:ascii="Century Gothic" w:eastAsia="Times New Roman" w:hAnsi="Century Gothic" w:cs="Arial"/>
          <w:color w:val="595959" w:themeColor="text1" w:themeTint="A6"/>
          <w:sz w:val="24"/>
          <w:szCs w:val="24"/>
          <w:lang w:eastAsia="es-CO"/>
        </w:rPr>
        <w:footnoteReference w:id="7"/>
      </w:r>
      <w:r>
        <w:rPr>
          <w:rFonts w:ascii="Century Gothic" w:eastAsia="Times New Roman" w:hAnsi="Century Gothic" w:cs="Arial"/>
          <w:color w:val="595959" w:themeColor="text1" w:themeTint="A6"/>
          <w:sz w:val="24"/>
          <w:szCs w:val="24"/>
          <w:lang w:eastAsia="es-CO"/>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14:paraId="016D766C" w14:textId="77777777" w:rsidR="004A35DF" w:rsidRDefault="004A35DF" w:rsidP="004A35DF">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5F64BEAF" w14:textId="77777777" w:rsidR="006D2BDF" w:rsidRDefault="004A35DF"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 xml:space="preserve">Por otra parte, aclara esta colegiatura,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14:paraId="36F43B48" w14:textId="77777777" w:rsidR="006D2BDF" w:rsidRPr="0033045B" w:rsidRDefault="006D2BDF"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52931A30" w14:textId="77777777"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14:paraId="706085E4" w14:textId="77777777" w:rsidR="00462173" w:rsidRPr="0033045B"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14:paraId="41FD6F98" w14:textId="77777777"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14:paraId="32AEE61F" w14:textId="77777777" w:rsidR="00A0365F" w:rsidRPr="0033045B"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7ABF0D2C" w14:textId="77777777"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F62AEA" w:rsidRPr="00F62AEA">
        <w:rPr>
          <w:rFonts w:ascii="Century Gothic" w:eastAsia="Times New Roman" w:hAnsi="Century Gothic" w:cs="Century Gothic"/>
          <w:color w:val="595959" w:themeColor="text1" w:themeTint="A6"/>
          <w:sz w:val="24"/>
          <w:szCs w:val="24"/>
          <w:lang w:val="es-ES_tradnl" w:eastAsia="es-ES"/>
        </w:rPr>
        <w:t xml:space="preserve">Decreto Nro. 180-2020 de 24 de marzo de 2020 </w:t>
      </w:r>
      <w:r w:rsidR="00F62AEA" w:rsidRPr="00F62AEA">
        <w:rPr>
          <w:rFonts w:ascii="Century Gothic" w:eastAsia="Times New Roman" w:hAnsi="Century Gothic" w:cs="Century Gothic"/>
          <w:i/>
          <w:color w:val="595959" w:themeColor="text1" w:themeTint="A6"/>
          <w:sz w:val="24"/>
          <w:szCs w:val="24"/>
          <w:lang w:val="es-ES_tradnl" w:eastAsia="es-ES"/>
        </w:rPr>
        <w:t xml:space="preserve">“Por el cual se imparten instrucciones en virtud de la emergencia </w:t>
      </w:r>
      <w:r w:rsidR="00F62AEA" w:rsidRPr="00F62AEA">
        <w:rPr>
          <w:rFonts w:ascii="Century Gothic" w:eastAsia="Times New Roman" w:hAnsi="Century Gothic" w:cs="Century Gothic"/>
          <w:i/>
          <w:color w:val="595959" w:themeColor="text1" w:themeTint="A6"/>
          <w:sz w:val="24"/>
          <w:szCs w:val="24"/>
          <w:lang w:val="es-ES_tradnl" w:eastAsia="es-ES"/>
        </w:rPr>
        <w:lastRenderedPageBreak/>
        <w:t>sanitaria generada por la pandemia del Coronavirus COVID-19 y en el mantenimiento del orden público del Municipio de Regidor - Bolívar”</w:t>
      </w:r>
      <w:r w:rsidR="006B58BA" w:rsidRPr="006B58BA">
        <w:rPr>
          <w:rFonts w:ascii="Century Gothic" w:eastAsia="Times New Roman" w:hAnsi="Century Gothic" w:cs="Century Gothic"/>
          <w:color w:val="595959" w:themeColor="text1" w:themeTint="A6"/>
          <w:sz w:val="24"/>
          <w:szCs w:val="24"/>
          <w:lang w:eastAsia="es-ES"/>
        </w:rPr>
        <w:t>;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14:paraId="0E694FFE"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14:paraId="792E7240"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F62AEA">
        <w:rPr>
          <w:rFonts w:ascii="Century Gothic" w:eastAsia="Times New Roman" w:hAnsi="Century Gothic" w:cs="Times New Roman"/>
          <w:iCs/>
          <w:color w:val="595959" w:themeColor="text1" w:themeTint="A6"/>
          <w:sz w:val="24"/>
          <w:szCs w:val="24"/>
          <w:lang w:eastAsia="es-ES"/>
        </w:rPr>
        <w:t xml:space="preserve">Regidor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14:paraId="05E1FD2F" w14:textId="77777777"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14:paraId="49BAB855"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14:paraId="1B3E80EE" w14:textId="77777777"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14:paraId="47E4DB17" w14:textId="77777777"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31B5D6C6"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14:paraId="27FD4678" w14:textId="77777777"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14:paraId="3A852995" w14:textId="77777777" w:rsidR="0033045B" w:rsidRDefault="001F4853" w:rsidP="00A0365F">
      <w:pPr>
        <w:spacing w:after="0"/>
        <w:jc w:val="center"/>
        <w:rPr>
          <w:rFonts w:ascii="Century Gothic" w:eastAsia="Times New Roman" w:hAnsi="Century Gothic" w:cs="Times New Roman"/>
          <w:color w:val="595959" w:themeColor="text1" w:themeTint="A6"/>
          <w:sz w:val="24"/>
          <w:szCs w:val="24"/>
          <w:lang w:eastAsia="es-ES"/>
        </w:rPr>
      </w:pPr>
      <w:r w:rsidRPr="007759D6">
        <w:rPr>
          <w:rFonts w:ascii="Century Gothic" w:hAnsi="Century Gothic" w:cs="Arial"/>
          <w:noProof/>
          <w:lang w:val="es-CO" w:eastAsia="es-CO"/>
        </w:rPr>
        <w:drawing>
          <wp:anchor distT="0" distB="0" distL="114300" distR="114300" simplePos="0" relativeHeight="251659264" behindDoc="1" locked="0" layoutInCell="1" allowOverlap="1" wp14:anchorId="1FC18686" wp14:editId="5E5277E1">
            <wp:simplePos x="0" y="0"/>
            <wp:positionH relativeFrom="column">
              <wp:posOffset>289560</wp:posOffset>
            </wp:positionH>
            <wp:positionV relativeFrom="paragraph">
              <wp:posOffset>106045</wp:posOffset>
            </wp:positionV>
            <wp:extent cx="2321560" cy="4183380"/>
            <wp:effectExtent l="2540" t="0" r="5080" b="5080"/>
            <wp:wrapNone/>
            <wp:docPr id="5" name="Imagen 5" descr="C:\Users\Consejo Superior\Downloads\WhatsApp Image 2020-04-15 at 17.0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WhatsApp Image 2020-04-15 at 17.03.03.jpe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3000"/>
                              </a14:imgEffect>
                              <a14:imgEffect>
                                <a14:brightnessContrast bright="52000" contrast="7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2321560" cy="418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4FF">
        <w:rPr>
          <w:noProof/>
          <w:lang w:val="es-CO" w:eastAsia="es-CO"/>
        </w:rPr>
        <w:drawing>
          <wp:inline distT="0" distB="0" distL="0" distR="0" wp14:anchorId="1CCDCB3B" wp14:editId="1DFA5DC5">
            <wp:extent cx="2695575" cy="1066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95575" cy="1066800"/>
                    </a:xfrm>
                    <a:prstGeom prst="rect">
                      <a:avLst/>
                    </a:prstGeom>
                  </pic:spPr>
                </pic:pic>
              </a:graphicData>
            </a:graphic>
          </wp:inline>
        </w:drawing>
      </w:r>
    </w:p>
    <w:p w14:paraId="2199179E" w14:textId="77777777" w:rsidR="00094821" w:rsidRPr="009B3E44" w:rsidRDefault="00094821" w:rsidP="00A0365F">
      <w:pPr>
        <w:spacing w:after="0"/>
        <w:jc w:val="center"/>
        <w:rPr>
          <w:rFonts w:ascii="Century Gothic" w:eastAsia="Times New Roman" w:hAnsi="Century Gothic" w:cs="Times New Roman"/>
          <w:color w:val="595959" w:themeColor="text1" w:themeTint="A6"/>
          <w:sz w:val="24"/>
          <w:szCs w:val="24"/>
          <w:lang w:eastAsia="es-ES"/>
        </w:rPr>
      </w:pPr>
    </w:p>
    <w:p w14:paraId="092BBDC0" w14:textId="77777777"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14:paraId="6E1B2ED0" w14:textId="77777777" w:rsidR="00A0365F"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23DFC704" w14:textId="77777777" w:rsidR="0033045B" w:rsidRPr="009B3E44" w:rsidRDefault="009857C2" w:rsidP="009857C2">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r w:rsidRPr="009857C2">
        <w:rPr>
          <w:rFonts w:ascii="Century Gothic" w:eastAsia="Times New Roman" w:hAnsi="Century Gothic" w:cs="Times New Roman"/>
          <w:b/>
          <w:noProof/>
          <w:color w:val="595959" w:themeColor="text1" w:themeTint="A6"/>
          <w:sz w:val="24"/>
          <w:szCs w:val="24"/>
          <w:lang w:val="es-CO" w:eastAsia="es-CO"/>
        </w:rPr>
        <w:drawing>
          <wp:inline distT="0" distB="0" distL="0" distR="0" wp14:anchorId="28EBFF0C" wp14:editId="00A436D8">
            <wp:extent cx="2240208" cy="102682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4844" cy="1038119"/>
                    </a:xfrm>
                    <a:prstGeom prst="rect">
                      <a:avLst/>
                    </a:prstGeom>
                  </pic:spPr>
                </pic:pic>
              </a:graphicData>
            </a:graphic>
          </wp:inline>
        </w:drawing>
      </w:r>
      <w:r>
        <w:rPr>
          <w:rFonts w:ascii="Century Gothic" w:eastAsia="Times New Roman" w:hAnsi="Century Gothic" w:cs="Times New Roman"/>
          <w:b/>
          <w:color w:val="595959" w:themeColor="text1" w:themeTint="A6"/>
          <w:sz w:val="24"/>
          <w:szCs w:val="24"/>
          <w:lang w:eastAsia="es-ES"/>
        </w:rPr>
        <w:t xml:space="preserve">         </w:t>
      </w:r>
    </w:p>
    <w:p w14:paraId="5AE2BC31" w14:textId="72C11141" w:rsidR="0069683E" w:rsidRDefault="00A250D9" w:rsidP="00094821">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ROBERTO MARIO CHAVARRO COLPAS  </w:t>
      </w:r>
      <w:r w:rsidR="002F17E7">
        <w:rPr>
          <w:rFonts w:ascii="Century Gothic" w:eastAsia="Times New Roman" w:hAnsi="Century Gothic" w:cs="Times New Roman"/>
          <w:b/>
          <w:color w:val="595959" w:themeColor="text1" w:themeTint="A6"/>
          <w:sz w:val="24"/>
          <w:szCs w:val="24"/>
          <w:lang w:eastAsia="es-ES"/>
        </w:rPr>
        <w:t xml:space="preserve">    DIGNA MARÍA GUERRA PICÓN</w:t>
      </w:r>
      <w:r w:rsidRPr="009B3E44">
        <w:rPr>
          <w:rFonts w:ascii="Century Gothic" w:eastAsia="Times New Roman" w:hAnsi="Century Gothic" w:cs="Times New Roman"/>
          <w:b/>
          <w:color w:val="595959" w:themeColor="text1" w:themeTint="A6"/>
          <w:sz w:val="24"/>
          <w:szCs w:val="24"/>
          <w:lang w:eastAsia="es-ES"/>
        </w:rPr>
        <w:t xml:space="preserve">   </w:t>
      </w:r>
    </w:p>
    <w:p w14:paraId="475A988A" w14:textId="6B39120F" w:rsidR="0015225A" w:rsidRDefault="00A433A8" w:rsidP="00094821">
      <w:pPr>
        <w:spacing w:after="0"/>
        <w:jc w:val="center"/>
        <w:rPr>
          <w:rFonts w:ascii="Century Gothic" w:eastAsia="Times New Roman" w:hAnsi="Century Gothic" w:cs="Times New Roman"/>
          <w:b/>
          <w:color w:val="595959" w:themeColor="text1" w:themeTint="A6"/>
          <w:sz w:val="24"/>
          <w:szCs w:val="24"/>
          <w:lang w:eastAsia="es-ES"/>
        </w:rPr>
      </w:pPr>
      <w:r>
        <w:rPr>
          <w:noProof/>
          <w:lang w:val="es-CO" w:eastAsia="es-CO"/>
        </w:rPr>
        <w:drawing>
          <wp:anchor distT="0" distB="0" distL="114300" distR="114300" simplePos="0" relativeHeight="251663360" behindDoc="1" locked="0" layoutInCell="1" allowOverlap="1" wp14:anchorId="7A98C33D" wp14:editId="74BC1B11">
            <wp:simplePos x="0" y="0"/>
            <wp:positionH relativeFrom="margin">
              <wp:posOffset>2831299</wp:posOffset>
            </wp:positionH>
            <wp:positionV relativeFrom="paragraph">
              <wp:posOffset>9746</wp:posOffset>
            </wp:positionV>
            <wp:extent cx="2667635" cy="1024890"/>
            <wp:effectExtent l="0" t="0" r="0"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7082" t="35522" r="55807" b="38176"/>
                    <a:stretch/>
                  </pic:blipFill>
                  <pic:spPr bwMode="auto">
                    <a:xfrm>
                      <a:off x="0" y="0"/>
                      <a:ext cx="2667635" cy="1024890"/>
                    </a:xfrm>
                    <a:prstGeom prst="rect">
                      <a:avLst/>
                    </a:prstGeom>
                    <a:ln>
                      <a:noFill/>
                    </a:ln>
                    <a:extLst>
                      <a:ext uri="{53640926-AAD7-44D8-BBD7-CCE9431645EC}">
                        <a14:shadowObscured xmlns:a14="http://schemas.microsoft.com/office/drawing/2010/main"/>
                      </a:ext>
                    </a:extLst>
                  </pic:spPr>
                </pic:pic>
              </a:graphicData>
            </a:graphic>
          </wp:anchor>
        </w:drawing>
      </w:r>
      <w:r w:rsidR="007D6CB5">
        <w:rPr>
          <w:noProof/>
          <w:lang w:val="es-CO" w:eastAsia="es-CO"/>
        </w:rPr>
        <w:drawing>
          <wp:anchor distT="0" distB="0" distL="0" distR="0" simplePos="0" relativeHeight="251661312" behindDoc="1" locked="0" layoutInCell="1" allowOverlap="1" wp14:anchorId="36D8BAE3" wp14:editId="338655B5">
            <wp:simplePos x="0" y="0"/>
            <wp:positionH relativeFrom="page">
              <wp:posOffset>1632585</wp:posOffset>
            </wp:positionH>
            <wp:positionV relativeFrom="paragraph">
              <wp:posOffset>119380</wp:posOffset>
            </wp:positionV>
            <wp:extent cx="1680294" cy="641985"/>
            <wp:effectExtent l="0" t="0" r="0" b="5715"/>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680294" cy="641985"/>
                    </a:xfrm>
                    <a:prstGeom prst="rect">
                      <a:avLst/>
                    </a:prstGeom>
                  </pic:spPr>
                </pic:pic>
              </a:graphicData>
            </a:graphic>
            <wp14:sizeRelH relativeFrom="margin">
              <wp14:pctWidth>0</wp14:pctWidth>
            </wp14:sizeRelH>
            <wp14:sizeRelV relativeFrom="margin">
              <wp14:pctHeight>0</wp14:pctHeight>
            </wp14:sizeRelV>
          </wp:anchor>
        </w:drawing>
      </w:r>
    </w:p>
    <w:p w14:paraId="799ABFD2" w14:textId="33F83105" w:rsidR="0015225A" w:rsidRDefault="0015225A" w:rsidP="00094821">
      <w:pPr>
        <w:spacing w:after="0"/>
        <w:jc w:val="center"/>
        <w:rPr>
          <w:rFonts w:ascii="Century Gothic" w:eastAsia="Times New Roman" w:hAnsi="Century Gothic" w:cs="Times New Roman"/>
          <w:b/>
          <w:color w:val="595959" w:themeColor="text1" w:themeTint="A6"/>
          <w:sz w:val="24"/>
          <w:szCs w:val="24"/>
          <w:lang w:eastAsia="es-ES"/>
        </w:rPr>
      </w:pPr>
    </w:p>
    <w:p w14:paraId="40BDC563" w14:textId="0C95D5D5" w:rsidR="0033045B" w:rsidRDefault="00A433A8" w:rsidP="00094821">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p>
    <w:p w14:paraId="33DCA83E" w14:textId="77777777" w:rsidR="00A433A8" w:rsidRDefault="00A433A8" w:rsidP="00A433A8">
      <w:pPr>
        <w:spacing w:after="0"/>
        <w:rPr>
          <w:rFonts w:ascii="Century Gothic" w:eastAsia="Times New Roman" w:hAnsi="Century Gothic" w:cs="Times New Roman"/>
          <w:b/>
          <w:bCs/>
          <w:color w:val="595959" w:themeColor="text1" w:themeTint="A6"/>
          <w:sz w:val="24"/>
          <w:szCs w:val="24"/>
          <w:lang w:eastAsia="es-ES"/>
        </w:rPr>
      </w:pPr>
    </w:p>
    <w:p w14:paraId="4B4A4899" w14:textId="7A15DD6D" w:rsidR="0015225A" w:rsidRPr="0015225A" w:rsidRDefault="002F17E7" w:rsidP="00A433A8">
      <w:pPr>
        <w:spacing w:after="0"/>
        <w:rPr>
          <w:rFonts w:ascii="Century Gothic" w:eastAsia="Times New Roman" w:hAnsi="Century Gothic" w:cs="Times New Roman"/>
          <w:b/>
          <w:color w:val="595959" w:themeColor="text1" w:themeTint="A6"/>
          <w:sz w:val="24"/>
          <w:szCs w:val="24"/>
          <w:lang w:eastAsia="es-ES"/>
        </w:rPr>
      </w:pPr>
      <w:r w:rsidRPr="002F17E7">
        <w:rPr>
          <w:rFonts w:ascii="Century Gothic" w:eastAsia="Times New Roman" w:hAnsi="Century Gothic" w:cs="Times New Roman"/>
          <w:b/>
          <w:bCs/>
          <w:color w:val="595959" w:themeColor="text1" w:themeTint="A6"/>
          <w:sz w:val="24"/>
          <w:szCs w:val="24"/>
          <w:lang w:eastAsia="es-ES"/>
        </w:rPr>
        <w:t>JOSÉ RAFAEL GUERRERO LEAL</w:t>
      </w:r>
      <w:r w:rsidR="0015225A" w:rsidRPr="0015225A">
        <w:rPr>
          <w:rFonts w:ascii="Century Gothic" w:eastAsia="Times New Roman" w:hAnsi="Century Gothic" w:cs="Times New Roman"/>
          <w:b/>
          <w:bCs/>
          <w:color w:val="595959" w:themeColor="text1" w:themeTint="A6"/>
          <w:sz w:val="24"/>
          <w:szCs w:val="24"/>
          <w:lang w:eastAsia="es-ES"/>
        </w:rPr>
        <w:t xml:space="preserve"> </w:t>
      </w:r>
      <w:r w:rsidR="0015225A">
        <w:rPr>
          <w:rFonts w:ascii="Century Gothic" w:eastAsia="Times New Roman" w:hAnsi="Century Gothic" w:cs="Times New Roman"/>
          <w:b/>
          <w:bCs/>
          <w:color w:val="595959" w:themeColor="text1" w:themeTint="A6"/>
          <w:sz w:val="24"/>
          <w:szCs w:val="24"/>
          <w:lang w:eastAsia="es-ES"/>
        </w:rPr>
        <w:t xml:space="preserve">            </w:t>
      </w:r>
      <w:r w:rsidR="0015225A" w:rsidRPr="0015225A">
        <w:rPr>
          <w:rFonts w:ascii="Century Gothic" w:eastAsia="Times New Roman" w:hAnsi="Century Gothic" w:cs="Times New Roman"/>
          <w:b/>
          <w:bCs/>
          <w:color w:val="595959" w:themeColor="text1" w:themeTint="A6"/>
          <w:sz w:val="24"/>
          <w:szCs w:val="24"/>
          <w:lang w:eastAsia="es-ES"/>
        </w:rPr>
        <w:t xml:space="preserve"> </w:t>
      </w:r>
    </w:p>
    <w:p w14:paraId="7BCFE30E" w14:textId="332F1FED" w:rsidR="0015225A" w:rsidRDefault="00C55314" w:rsidP="00C55314">
      <w:pPr>
        <w:tabs>
          <w:tab w:val="left" w:pos="989"/>
        </w:tabs>
        <w:spacing w:after="0"/>
        <w:rPr>
          <w:rFonts w:ascii="Century Gothic" w:eastAsia="Times New Roman" w:hAnsi="Century Gothic" w:cs="Times New Roman"/>
          <w:bCs/>
          <w:color w:val="595959" w:themeColor="text1" w:themeTint="A6"/>
          <w:sz w:val="24"/>
          <w:szCs w:val="24"/>
          <w:lang w:eastAsia="es-ES"/>
        </w:rPr>
      </w:pPr>
      <w:r w:rsidRPr="00C55314">
        <w:rPr>
          <w:rFonts w:ascii="Century Gothic" w:eastAsia="Times New Roman" w:hAnsi="Century Gothic" w:cs="Times New Roman"/>
          <w:bCs/>
          <w:color w:val="595959" w:themeColor="text1" w:themeTint="A6"/>
          <w:sz w:val="24"/>
          <w:szCs w:val="24"/>
          <w:lang w:eastAsia="es-ES"/>
        </w:rPr>
        <w:tab/>
        <w:t xml:space="preserve">    </w:t>
      </w:r>
    </w:p>
    <w:p w14:paraId="31E892ED" w14:textId="77777777" w:rsidR="00A433A8" w:rsidRPr="00C55314" w:rsidRDefault="00A433A8" w:rsidP="00C55314">
      <w:pPr>
        <w:tabs>
          <w:tab w:val="left" w:pos="989"/>
        </w:tabs>
        <w:spacing w:after="0"/>
        <w:rPr>
          <w:rFonts w:ascii="Century Gothic" w:eastAsia="Times New Roman" w:hAnsi="Century Gothic" w:cs="Times New Roman"/>
          <w:bCs/>
          <w:color w:val="595959" w:themeColor="text1" w:themeTint="A6"/>
          <w:sz w:val="20"/>
          <w:szCs w:val="24"/>
          <w:lang w:eastAsia="es-ES"/>
        </w:rPr>
      </w:pPr>
    </w:p>
    <w:p w14:paraId="4A89B3BF" w14:textId="77777777" w:rsidR="00734DAC" w:rsidRPr="009B3E44" w:rsidRDefault="009E11A5" w:rsidP="009E11A5">
      <w:pPr>
        <w:spacing w:after="0"/>
        <w:jc w:val="center"/>
        <w:rPr>
          <w:rFonts w:ascii="Times New Roman" w:eastAsia="Times New Roman" w:hAnsi="Times New Roman" w:cs="Times New Roman"/>
          <w:color w:val="595959" w:themeColor="text1" w:themeTint="A6"/>
          <w:sz w:val="24"/>
          <w:szCs w:val="24"/>
          <w:lang w:eastAsia="es-ES"/>
        </w:rPr>
      </w:pPr>
      <w:r>
        <w:rPr>
          <w:rFonts w:ascii="Century Gothic" w:eastAsia="Times New Roman" w:hAnsi="Century Gothic" w:cs="Times New Roman"/>
          <w:b/>
          <w:bCs/>
          <w:noProof/>
          <w:color w:val="595959" w:themeColor="text1" w:themeTint="A6"/>
          <w:sz w:val="24"/>
          <w:szCs w:val="24"/>
          <w:lang w:val="es-CO" w:eastAsia="es-CO"/>
        </w:rPr>
        <w:drawing>
          <wp:inline distT="0" distB="0" distL="0" distR="0" wp14:anchorId="4392CB62" wp14:editId="71914524">
            <wp:extent cx="3438525" cy="914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525" cy="914400"/>
                    </a:xfrm>
                    <a:prstGeom prst="rect">
                      <a:avLst/>
                    </a:prstGeom>
                    <a:noFill/>
                    <a:ln>
                      <a:noFill/>
                    </a:ln>
                  </pic:spPr>
                </pic:pic>
              </a:graphicData>
            </a:graphic>
          </wp:inline>
        </w:drawing>
      </w:r>
    </w:p>
    <w:sectPr w:rsidR="00734DAC" w:rsidRPr="009B3E44" w:rsidSect="003068DC">
      <w:headerReference w:type="default" r:id="rId18"/>
      <w:footerReference w:type="default" r:id="rId19"/>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94EEE" w14:textId="77777777" w:rsidR="003D2C28" w:rsidRDefault="003D2C28" w:rsidP="0029283B">
      <w:pPr>
        <w:spacing w:after="0" w:line="240" w:lineRule="auto"/>
      </w:pPr>
      <w:r>
        <w:separator/>
      </w:r>
    </w:p>
  </w:endnote>
  <w:endnote w:type="continuationSeparator" w:id="0">
    <w:p w14:paraId="1BB9E190" w14:textId="77777777" w:rsidR="003D2C28" w:rsidRDefault="003D2C28"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BB0306" w:rsidRPr="00994887" w14:paraId="6CDBEC74" w14:textId="77777777" w:rsidTr="00856F61">
      <w:trPr>
        <w:trHeight w:val="1135"/>
      </w:trPr>
      <w:tc>
        <w:tcPr>
          <w:tcW w:w="3751" w:type="dxa"/>
        </w:tcPr>
        <w:p w14:paraId="495EEFBD" w14:textId="77777777" w:rsidR="00BB0306" w:rsidRDefault="00BB0306" w:rsidP="00BB0306">
          <w:pPr>
            <w:tabs>
              <w:tab w:val="center" w:pos="4419"/>
              <w:tab w:val="right" w:pos="8838"/>
            </w:tabs>
            <w:rPr>
              <w:rFonts w:eastAsiaTheme="minorHAnsi"/>
              <w:lang w:eastAsia="en-US"/>
            </w:rPr>
          </w:pPr>
        </w:p>
        <w:p w14:paraId="5A200B43" w14:textId="77777777" w:rsidR="00BB0306" w:rsidRPr="00634E8C" w:rsidRDefault="00BB0306"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14:paraId="1A5CEEDF" w14:textId="77777777" w:rsidR="00BB0306" w:rsidRDefault="00BB0306" w:rsidP="00BB0306">
          <w:pPr>
            <w:tabs>
              <w:tab w:val="center" w:pos="4419"/>
              <w:tab w:val="right" w:pos="8838"/>
            </w:tabs>
            <w:rPr>
              <w:rFonts w:ascii="Arial Black" w:hAnsi="Arial Black" w:cs="Arial"/>
              <w:b/>
              <w:bCs/>
              <w:color w:val="0D0D0D" w:themeColor="text1" w:themeTint="F2"/>
              <w:sz w:val="18"/>
              <w:szCs w:val="20"/>
            </w:rPr>
          </w:pPr>
        </w:p>
        <w:p w14:paraId="7A449934" w14:textId="77777777" w:rsidR="00BB0306" w:rsidRPr="00634E8C" w:rsidRDefault="00856F61"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w:t>
          </w:r>
          <w:r w:rsidR="00BB0306">
            <w:rPr>
              <w:rFonts w:ascii="Arial Black" w:hAnsi="Arial Black" w:cs="Arial"/>
              <w:b/>
              <w:bCs/>
              <w:color w:val="0D0D0D" w:themeColor="text1" w:themeTint="F2"/>
              <w:sz w:val="18"/>
              <w:szCs w:val="20"/>
            </w:rPr>
            <w:t>Versión: 02</w:t>
          </w:r>
        </w:p>
      </w:tc>
      <w:tc>
        <w:tcPr>
          <w:tcW w:w="2268" w:type="dxa"/>
        </w:tcPr>
        <w:p w14:paraId="34B668EF" w14:textId="77777777" w:rsidR="00856F61" w:rsidRDefault="00856F61" w:rsidP="00856F61">
          <w:pPr>
            <w:tabs>
              <w:tab w:val="center" w:pos="4419"/>
              <w:tab w:val="right" w:pos="8838"/>
            </w:tabs>
            <w:rPr>
              <w:rFonts w:ascii="Arial Black" w:hAnsi="Arial Black" w:cs="Arial"/>
              <w:b/>
              <w:bCs/>
              <w:color w:val="0D0D0D" w:themeColor="text1" w:themeTint="F2"/>
              <w:sz w:val="18"/>
              <w:szCs w:val="20"/>
            </w:rPr>
          </w:pPr>
        </w:p>
        <w:p w14:paraId="54E47B34" w14:textId="77777777" w:rsidR="00BB0306" w:rsidRPr="00634E8C" w:rsidRDefault="00BB0306"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w:t>
          </w:r>
          <w:r w:rsidR="00856F61">
            <w:rPr>
              <w:rFonts w:ascii="Arial Black" w:hAnsi="Arial Black" w:cs="Arial"/>
              <w:b/>
              <w:bCs/>
              <w:color w:val="0D0D0D" w:themeColor="text1" w:themeTint="F2"/>
              <w:sz w:val="18"/>
              <w:szCs w:val="20"/>
            </w:rPr>
            <w:t>2</w:t>
          </w:r>
          <w:r>
            <w:rPr>
              <w:rFonts w:ascii="Arial Black" w:hAnsi="Arial Black" w:cs="Arial"/>
              <w:b/>
              <w:bCs/>
              <w:color w:val="0D0D0D" w:themeColor="text1" w:themeTint="F2"/>
              <w:sz w:val="18"/>
              <w:szCs w:val="20"/>
            </w:rPr>
            <w:t>017</w:t>
          </w:r>
        </w:p>
      </w:tc>
      <w:tc>
        <w:tcPr>
          <w:tcW w:w="284" w:type="dxa"/>
        </w:tcPr>
        <w:p w14:paraId="5C5766AF" w14:textId="77777777" w:rsidR="00BB0306" w:rsidRPr="00634E8C" w:rsidRDefault="00BB0306"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14:paraId="200B3DE3" w14:textId="77777777" w:rsidR="00BB0306" w:rsidRPr="0092378B" w:rsidRDefault="00BB0306" w:rsidP="00BB0306">
          <w:pPr>
            <w:pStyle w:val="Piedepgina"/>
            <w:ind w:left="665" w:right="38"/>
            <w:rPr>
              <w:rFonts w:ascii="Arial Black" w:hAnsi="Arial Black" w:cs="Arial"/>
              <w:sz w:val="16"/>
              <w:szCs w:val="16"/>
            </w:rPr>
          </w:pPr>
        </w:p>
      </w:tc>
      <w:tc>
        <w:tcPr>
          <w:tcW w:w="2316" w:type="dxa"/>
          <w:vAlign w:val="center"/>
        </w:tcPr>
        <w:p w14:paraId="6A520009" w14:textId="77777777" w:rsidR="00BB0306" w:rsidRPr="0092378B" w:rsidRDefault="00BB0306" w:rsidP="00BB0306">
          <w:pPr>
            <w:pStyle w:val="Piedepgina"/>
            <w:rPr>
              <w:rFonts w:ascii="Arial Black" w:hAnsi="Arial Black" w:cs="Arial"/>
              <w:sz w:val="16"/>
              <w:szCs w:val="16"/>
            </w:rPr>
          </w:pPr>
          <w:r w:rsidRPr="00BA2F06">
            <w:rPr>
              <w:noProof/>
              <w:lang w:val="es-CO" w:eastAsia="es-CO"/>
            </w:rPr>
            <w:drawing>
              <wp:inline distT="0" distB="0" distL="0" distR="0" wp14:anchorId="0B0717D6" wp14:editId="2A2A16A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14:paraId="66D8398D" w14:textId="77777777" w:rsidR="00BB0306" w:rsidRPr="0092378B" w:rsidRDefault="00BB0306" w:rsidP="00BB0306">
          <w:pPr>
            <w:pStyle w:val="Piedepgina"/>
            <w:jc w:val="center"/>
            <w:rPr>
              <w:rFonts w:ascii="Arial Black" w:hAnsi="Arial Black" w:cs="Arial"/>
              <w:sz w:val="16"/>
              <w:szCs w:val="16"/>
            </w:rPr>
          </w:pPr>
        </w:p>
      </w:tc>
      <w:tc>
        <w:tcPr>
          <w:tcW w:w="4060" w:type="dxa"/>
        </w:tcPr>
        <w:p w14:paraId="1024BFBA" w14:textId="77777777" w:rsidR="00BB0306" w:rsidRPr="00312574" w:rsidRDefault="00BB0306"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14:paraId="4C0B0C96" w14:textId="77777777" w:rsidR="00BB200D" w:rsidRDefault="00BB200D">
        <w:pPr>
          <w:pStyle w:val="Piedepgina"/>
          <w:jc w:val="right"/>
        </w:pPr>
        <w:r>
          <w:fldChar w:fldCharType="begin"/>
        </w:r>
        <w:r>
          <w:instrText>PAGE   \* MERGEFORMAT</w:instrText>
        </w:r>
        <w:r>
          <w:fldChar w:fldCharType="separate"/>
        </w:r>
        <w:r w:rsidR="008E5251">
          <w:rPr>
            <w:noProof/>
          </w:rPr>
          <w:t>17</w:t>
        </w:r>
        <w:r>
          <w:fldChar w:fldCharType="end"/>
        </w:r>
      </w:p>
    </w:sdtContent>
  </w:sdt>
  <w:p w14:paraId="5EEEA670" w14:textId="77777777" w:rsidR="00BB200D" w:rsidRDefault="00BB200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69B5" w14:textId="77777777" w:rsidR="003D2C28" w:rsidRDefault="003D2C28" w:rsidP="0029283B">
      <w:pPr>
        <w:spacing w:after="0" w:line="240" w:lineRule="auto"/>
      </w:pPr>
      <w:r>
        <w:separator/>
      </w:r>
    </w:p>
  </w:footnote>
  <w:footnote w:type="continuationSeparator" w:id="0">
    <w:p w14:paraId="07E42E15" w14:textId="77777777" w:rsidR="003D2C28" w:rsidRDefault="003D2C28" w:rsidP="0029283B">
      <w:pPr>
        <w:spacing w:after="0" w:line="240" w:lineRule="auto"/>
      </w:pPr>
      <w:r>
        <w:continuationSeparator/>
      </w:r>
    </w:p>
  </w:footnote>
  <w:footnote w:id="1">
    <w:p w14:paraId="2BB2E692"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Proceso radicado Nro. 11001-03-15-000-2009-00305-00</w:t>
      </w:r>
    </w:p>
  </w:footnote>
  <w:footnote w:id="2">
    <w:p w14:paraId="09443ED7"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Proceso radicado Nro. 11001-03-15-000-2009-00549-00</w:t>
      </w:r>
    </w:p>
  </w:footnote>
  <w:footnote w:id="3">
    <w:p w14:paraId="1A2B82BE" w14:textId="77777777" w:rsidR="001C6096" w:rsidRPr="00CA6DCB" w:rsidRDefault="001C6096"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 xml:space="preserve">Ibídem </w:t>
      </w:r>
    </w:p>
  </w:footnote>
  <w:footnote w:id="4">
    <w:p w14:paraId="12437530" w14:textId="77777777" w:rsidR="00BF0D6A" w:rsidRPr="00CA6DCB" w:rsidRDefault="00BF0D6A" w:rsidP="00CA6DCB">
      <w:pPr>
        <w:pStyle w:val="Textonotapie"/>
        <w:jc w:val="both"/>
        <w:rPr>
          <w:rFonts w:ascii="Century Gothic" w:hAnsi="Century Gothic"/>
          <w:color w:val="595959" w:themeColor="text1" w:themeTint="A6"/>
          <w:sz w:val="16"/>
          <w:szCs w:val="16"/>
          <w:lang w:val="es-CO"/>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14:paraId="40F374D3" w14:textId="77777777" w:rsidR="00CA6DCB" w:rsidRPr="00CA6DCB" w:rsidRDefault="00CA6DCB"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14:paraId="56D599F1" w14:textId="77777777" w:rsidR="00E45706" w:rsidRPr="00DE6110" w:rsidRDefault="00E45706" w:rsidP="00DE6110">
      <w:pPr>
        <w:pStyle w:val="Textonotapie"/>
        <w:jc w:val="both"/>
        <w:rPr>
          <w:rFonts w:ascii="Century Gothic" w:hAnsi="Century Gothic"/>
          <w:i/>
          <w:sz w:val="16"/>
          <w:szCs w:val="16"/>
          <w:lang w:val="es-MX"/>
        </w:rPr>
      </w:pPr>
      <w:r w:rsidRPr="00DE6110">
        <w:rPr>
          <w:rStyle w:val="Refdenotaalpie"/>
          <w:rFonts w:ascii="Century Gothic" w:hAnsi="Century Gothic"/>
          <w:color w:val="595959" w:themeColor="text1" w:themeTint="A6"/>
          <w:sz w:val="16"/>
          <w:szCs w:val="16"/>
        </w:rPr>
        <w:footnoteRef/>
      </w:r>
      <w:r w:rsidRPr="00DE6110">
        <w:rPr>
          <w:rFonts w:ascii="Century Gothic" w:hAnsi="Century Gothic"/>
          <w:color w:val="595959" w:themeColor="text1" w:themeTint="A6"/>
          <w:sz w:val="16"/>
          <w:szCs w:val="16"/>
        </w:rPr>
        <w:t xml:space="preserve"> </w:t>
      </w:r>
      <w:r w:rsidRPr="00DE6110">
        <w:rPr>
          <w:rFonts w:ascii="Century Gothic" w:hAnsi="Century Gothic"/>
          <w:color w:val="595959" w:themeColor="text1" w:themeTint="A6"/>
          <w:sz w:val="16"/>
          <w:szCs w:val="16"/>
          <w:lang w:val="es-MX"/>
        </w:rPr>
        <w:t>Corte Constitucional Sentencia C-204 de 2019</w:t>
      </w:r>
      <w:r w:rsidR="00DE6110">
        <w:rPr>
          <w:rFonts w:ascii="Century Gothic" w:hAnsi="Century Gothic"/>
          <w:color w:val="595959" w:themeColor="text1" w:themeTint="A6"/>
          <w:sz w:val="16"/>
          <w:szCs w:val="16"/>
          <w:lang w:val="es-MX"/>
        </w:rPr>
        <w:t xml:space="preserve"> </w:t>
      </w:r>
      <w:r w:rsidR="00DE6110">
        <w:rPr>
          <w:rFonts w:ascii="Century Gothic" w:hAnsi="Century Gothic"/>
          <w:i/>
          <w:color w:val="595959" w:themeColor="text1" w:themeTint="A6"/>
          <w:sz w:val="16"/>
          <w:szCs w:val="16"/>
          <w:lang w:val="es-MX"/>
        </w:rPr>
        <w:t>“</w:t>
      </w:r>
      <w:r w:rsidR="00DE6110" w:rsidRPr="00DE6110">
        <w:rPr>
          <w:rFonts w:ascii="Century Gothic" w:hAnsi="Century Gothic"/>
          <w:i/>
          <w:color w:val="595959" w:themeColor="text1" w:themeTint="A6"/>
          <w:sz w:val="16"/>
          <w:szCs w:val="16"/>
          <w:lang w:val="es-MX"/>
        </w:rPr>
        <w:t xml:space="preserve">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w:t>
      </w:r>
      <w:r w:rsidR="00DE6110">
        <w:rPr>
          <w:rFonts w:ascii="Century Gothic" w:hAnsi="Century Gothic"/>
          <w:i/>
          <w:color w:val="595959" w:themeColor="text1" w:themeTint="A6"/>
          <w:sz w:val="16"/>
          <w:szCs w:val="16"/>
          <w:lang w:val="es-MX"/>
        </w:rPr>
        <w:t>o concreta del orden público</w:t>
      </w:r>
      <w:r w:rsidR="00DE6110" w:rsidRPr="00DE6110">
        <w:rPr>
          <w:rFonts w:ascii="Century Gothic" w:hAnsi="Century Gothic"/>
          <w:i/>
          <w:color w:val="595959" w:themeColor="text1" w:themeTint="A6"/>
          <w:sz w:val="16"/>
          <w:szCs w:val="16"/>
          <w:lang w:val="es-MX"/>
        </w:rPr>
        <w:t>.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14:paraId="5B7FA3D7" w14:textId="77777777" w:rsidR="004A35DF" w:rsidRPr="002536BB" w:rsidRDefault="004A35DF" w:rsidP="004A35DF">
      <w:pPr>
        <w:pStyle w:val="Textonotapie"/>
        <w:rPr>
          <w:rFonts w:ascii="Century Gothic" w:hAnsi="Century Gothic"/>
          <w:lang w:val="es-CO"/>
        </w:rPr>
      </w:pPr>
      <w:r w:rsidRPr="002536BB">
        <w:rPr>
          <w:rStyle w:val="Refdenotaalpie"/>
          <w:rFonts w:ascii="Century Gothic" w:hAnsi="Century Gothic"/>
        </w:rPr>
        <w:footnoteRef/>
      </w:r>
      <w:r w:rsidRPr="002536BB">
        <w:rPr>
          <w:rFonts w:ascii="Century Gothic" w:hAnsi="Century Gothic"/>
        </w:rPr>
        <w:t xml:space="preserve"> </w:t>
      </w:r>
      <w:r w:rsidRPr="002536BB">
        <w:rPr>
          <w:rFonts w:ascii="Century Gothic" w:hAnsi="Century Gothic"/>
          <w:lang w:val="es-CO"/>
        </w:rPr>
        <w:t>Consejo de Estado Sala de lo Contenciosa Administrativo Sala Especial de Revisión No. 10, sentencia del 11 de</w:t>
      </w:r>
      <w:r>
        <w:rPr>
          <w:rFonts w:ascii="Century Gothic" w:hAnsi="Century Gothic"/>
          <w:lang w:val="es-CO"/>
        </w:rPr>
        <w:t xml:space="preserve"> </w:t>
      </w:r>
      <w:r w:rsidRPr="002536BB">
        <w:rPr>
          <w:rFonts w:ascii="Century Gothic" w:hAnsi="Century Gothic"/>
          <w:lang w:val="es-CO"/>
        </w:rPr>
        <w:t>mayo de 2020, exp.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B6FAB" w14:textId="77777777" w:rsidR="00BB200D" w:rsidRDefault="005E6D22"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494EBA7F" wp14:editId="6C556A62">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53132A" w14:textId="77777777" w:rsidR="00BB200D" w:rsidRPr="000B5CF6" w:rsidRDefault="00BB200D" w:rsidP="00B73A6C">
                          <w:pPr>
                            <w:pStyle w:val="NormalWeb"/>
                            <w:spacing w:before="0" w:beforeAutospacing="0" w:after="0" w:afterAutospacing="0"/>
                            <w:jc w:val="center"/>
                            <w:rPr>
                              <w:rFonts w:ascii="Arial Black" w:hAnsi="Arial Black"/>
                              <w:b/>
                              <w:sz w:val="20"/>
                            </w:rPr>
                          </w:pPr>
                        </w:p>
                        <w:p w14:paraId="34132905" w14:textId="77777777"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5E197AD5" w14:textId="77777777"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2F17E7">
                            <w:rPr>
                              <w:rFonts w:ascii="Arial Black" w:hAnsi="Arial Black"/>
                              <w:b/>
                              <w:sz w:val="20"/>
                            </w:rPr>
                            <w:t>060</w:t>
                          </w:r>
                          <w:r>
                            <w:rPr>
                              <w:rFonts w:ascii="Arial Black" w:hAnsi="Arial Black"/>
                              <w:b/>
                              <w:sz w:val="20"/>
                            </w:rPr>
                            <w:t>/2020</w:t>
                          </w:r>
                          <w:r w:rsidRPr="000B5CF6">
                            <w:rPr>
                              <w:rFonts w:ascii="Arial Black" w:hAnsi="Arial Black"/>
                              <w:b/>
                              <w:sz w:val="20"/>
                            </w:rPr>
                            <w:t xml:space="preserve"> </w:t>
                          </w:r>
                        </w:p>
                        <w:p w14:paraId="128A2B4D" w14:textId="77777777"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14:paraId="59ABEE5B" w14:textId="77777777"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BB200D" w:rsidRPr="000B5CF6" w:rsidRDefault="00BB200D" w:rsidP="00B73A6C">
                    <w:pPr>
                      <w:pStyle w:val="NormalWeb"/>
                      <w:spacing w:before="0" w:beforeAutospacing="0" w:after="0" w:afterAutospacing="0"/>
                      <w:jc w:val="center"/>
                      <w:rPr>
                        <w:rFonts w:ascii="Arial Black" w:hAnsi="Arial Black"/>
                        <w:b/>
                        <w:sz w:val="20"/>
                      </w:rPr>
                    </w:pPr>
                  </w:p>
                  <w:p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2F17E7">
                      <w:rPr>
                        <w:rFonts w:ascii="Arial Black" w:hAnsi="Arial Black"/>
                        <w:b/>
                        <w:sz w:val="20"/>
                      </w:rPr>
                      <w:t>060</w:t>
                    </w:r>
                    <w:r>
                      <w:rPr>
                        <w:rFonts w:ascii="Arial Black" w:hAnsi="Arial Black"/>
                        <w:b/>
                        <w:sz w:val="20"/>
                      </w:rPr>
                      <w:t>/2020</w:t>
                    </w:r>
                    <w:r w:rsidRPr="000B5CF6">
                      <w:rPr>
                        <w:rFonts w:ascii="Arial Black" w:hAnsi="Arial Black"/>
                        <w:b/>
                        <w:sz w:val="20"/>
                      </w:rPr>
                      <w:t xml:space="preserve"> </w:t>
                    </w:r>
                  </w:p>
                  <w:p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BB200D">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23DF200C" wp14:editId="41DD3C4F">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BB200D"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5F5F7545" wp14:editId="6C22B859">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BB200D">
      <w:rPr>
        <w:rFonts w:ascii="Arial Black" w:hAnsi="Arial Black"/>
        <w:b/>
        <w:color w:val="000000"/>
        <w:sz w:val="20"/>
        <w:szCs w:val="20"/>
        <w14:textOutline w14:w="12700" w14:cap="rnd" w14:cmpd="sng" w14:algn="ctr">
          <w14:noFill/>
          <w14:prstDash w14:val="solid"/>
          <w14:bevel/>
        </w14:textOutline>
      </w:rPr>
      <w:t xml:space="preserve">                         </w:t>
    </w:r>
  </w:p>
  <w:p w14:paraId="72D7F63E" w14:textId="77777777" w:rsidR="00BB200D" w:rsidRDefault="00BB200D"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620EA3EE" w14:textId="77777777" w:rsidR="00BB200D"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66B3C198" w14:textId="77777777" w:rsidR="00BB200D" w:rsidRDefault="00BB200D"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1916BFC9" w14:textId="77777777" w:rsidR="00BB200D" w:rsidRPr="00D05715"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18C83426" w14:textId="77777777" w:rsidR="00BB200D" w:rsidRDefault="00BB200D" w:rsidP="00207396">
    <w:pPr>
      <w:pStyle w:val="Encabezado"/>
      <w:jc w:val="center"/>
    </w:pPr>
  </w:p>
  <w:p w14:paraId="53855D23" w14:textId="77777777" w:rsidR="00BB200D" w:rsidRDefault="005C7B74"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0F047C">
      <w:rPr>
        <w:rFonts w:ascii="Arial" w:hAnsi="Arial" w:cs="Arial"/>
        <w:b/>
        <w:sz w:val="20"/>
        <w:szCs w:val="20"/>
      </w:rPr>
      <w:t>18</w:t>
    </w:r>
    <w:r w:rsidR="00056A8F">
      <w:rPr>
        <w:rFonts w:ascii="Arial" w:hAnsi="Arial" w:cs="Arial"/>
        <w:b/>
        <w:sz w:val="20"/>
        <w:szCs w:val="20"/>
      </w:rPr>
      <w:t>0</w:t>
    </w:r>
    <w:r w:rsidRPr="005C7B74">
      <w:rPr>
        <w:rFonts w:ascii="Arial" w:hAnsi="Arial" w:cs="Arial"/>
        <w:b/>
        <w:sz w:val="20"/>
        <w:szCs w:val="20"/>
      </w:rPr>
      <w:t>-00</w:t>
    </w:r>
  </w:p>
  <w:p w14:paraId="3E52DE8F" w14:textId="77777777" w:rsidR="002F17E7" w:rsidRDefault="002F17E7"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6027"/>
    <w:rsid w:val="00026CC2"/>
    <w:rsid w:val="00034DB7"/>
    <w:rsid w:val="0004202D"/>
    <w:rsid w:val="000478D8"/>
    <w:rsid w:val="00056A8F"/>
    <w:rsid w:val="0006113A"/>
    <w:rsid w:val="00071C51"/>
    <w:rsid w:val="0008202B"/>
    <w:rsid w:val="00094285"/>
    <w:rsid w:val="00094821"/>
    <w:rsid w:val="00095447"/>
    <w:rsid w:val="000A22F8"/>
    <w:rsid w:val="000A487D"/>
    <w:rsid w:val="000B013B"/>
    <w:rsid w:val="000B4875"/>
    <w:rsid w:val="000B5CF6"/>
    <w:rsid w:val="000C0538"/>
    <w:rsid w:val="000C2106"/>
    <w:rsid w:val="000C5DD0"/>
    <w:rsid w:val="000C72E3"/>
    <w:rsid w:val="000D158F"/>
    <w:rsid w:val="000E1B74"/>
    <w:rsid w:val="000E78F3"/>
    <w:rsid w:val="000F047C"/>
    <w:rsid w:val="0010738F"/>
    <w:rsid w:val="00113736"/>
    <w:rsid w:val="00113A02"/>
    <w:rsid w:val="00115BD3"/>
    <w:rsid w:val="00117F9B"/>
    <w:rsid w:val="00131A41"/>
    <w:rsid w:val="0015225A"/>
    <w:rsid w:val="001562B3"/>
    <w:rsid w:val="0016284C"/>
    <w:rsid w:val="0016530F"/>
    <w:rsid w:val="00175E0C"/>
    <w:rsid w:val="001774E1"/>
    <w:rsid w:val="00196DE1"/>
    <w:rsid w:val="001B4CF8"/>
    <w:rsid w:val="001C6096"/>
    <w:rsid w:val="001D5A3E"/>
    <w:rsid w:val="001E1EF3"/>
    <w:rsid w:val="001F0C82"/>
    <w:rsid w:val="001F4853"/>
    <w:rsid w:val="00203684"/>
    <w:rsid w:val="002057A5"/>
    <w:rsid w:val="0020653D"/>
    <w:rsid w:val="00207396"/>
    <w:rsid w:val="0021459F"/>
    <w:rsid w:val="00216B7E"/>
    <w:rsid w:val="00222A8C"/>
    <w:rsid w:val="00231502"/>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6AF2"/>
    <w:rsid w:val="002C7A5F"/>
    <w:rsid w:val="002D05BF"/>
    <w:rsid w:val="002E30DF"/>
    <w:rsid w:val="002E3FCE"/>
    <w:rsid w:val="002F17E7"/>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576E8"/>
    <w:rsid w:val="00364148"/>
    <w:rsid w:val="00364358"/>
    <w:rsid w:val="003821AB"/>
    <w:rsid w:val="003825F1"/>
    <w:rsid w:val="0039575F"/>
    <w:rsid w:val="00395F4D"/>
    <w:rsid w:val="003968E1"/>
    <w:rsid w:val="00396E18"/>
    <w:rsid w:val="003A078C"/>
    <w:rsid w:val="003A231E"/>
    <w:rsid w:val="003A4240"/>
    <w:rsid w:val="003A447A"/>
    <w:rsid w:val="003B3F3E"/>
    <w:rsid w:val="003B63CE"/>
    <w:rsid w:val="003D2C28"/>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35DF"/>
    <w:rsid w:val="004A7FDB"/>
    <w:rsid w:val="004B45D3"/>
    <w:rsid w:val="004B5F2D"/>
    <w:rsid w:val="004C1CC5"/>
    <w:rsid w:val="004C7DE4"/>
    <w:rsid w:val="004E10D6"/>
    <w:rsid w:val="004E281D"/>
    <w:rsid w:val="004E56E6"/>
    <w:rsid w:val="004F54FF"/>
    <w:rsid w:val="00515974"/>
    <w:rsid w:val="00532C10"/>
    <w:rsid w:val="00537EA4"/>
    <w:rsid w:val="00543ED6"/>
    <w:rsid w:val="00557074"/>
    <w:rsid w:val="00564D70"/>
    <w:rsid w:val="005807B1"/>
    <w:rsid w:val="00582282"/>
    <w:rsid w:val="0058711A"/>
    <w:rsid w:val="0059255D"/>
    <w:rsid w:val="005936C0"/>
    <w:rsid w:val="00594AE1"/>
    <w:rsid w:val="00596E0B"/>
    <w:rsid w:val="005978DA"/>
    <w:rsid w:val="005A7BE7"/>
    <w:rsid w:val="005B4EB4"/>
    <w:rsid w:val="005C2431"/>
    <w:rsid w:val="005C2EF9"/>
    <w:rsid w:val="005C7B74"/>
    <w:rsid w:val="005D240A"/>
    <w:rsid w:val="005D4B68"/>
    <w:rsid w:val="005E6D22"/>
    <w:rsid w:val="005E6F7F"/>
    <w:rsid w:val="005E7ACD"/>
    <w:rsid w:val="005F4F99"/>
    <w:rsid w:val="005F6F11"/>
    <w:rsid w:val="00603802"/>
    <w:rsid w:val="006122B5"/>
    <w:rsid w:val="00631585"/>
    <w:rsid w:val="00636378"/>
    <w:rsid w:val="00661A67"/>
    <w:rsid w:val="00672A53"/>
    <w:rsid w:val="00675ED2"/>
    <w:rsid w:val="006829DC"/>
    <w:rsid w:val="0069683E"/>
    <w:rsid w:val="00697D8F"/>
    <w:rsid w:val="006A123F"/>
    <w:rsid w:val="006A35EB"/>
    <w:rsid w:val="006A7764"/>
    <w:rsid w:val="006B3A92"/>
    <w:rsid w:val="006B58BA"/>
    <w:rsid w:val="006D2BDF"/>
    <w:rsid w:val="006D675F"/>
    <w:rsid w:val="006E66C8"/>
    <w:rsid w:val="006F368C"/>
    <w:rsid w:val="006F6328"/>
    <w:rsid w:val="006F78A5"/>
    <w:rsid w:val="0070592F"/>
    <w:rsid w:val="00706B0D"/>
    <w:rsid w:val="0072160E"/>
    <w:rsid w:val="00730DB3"/>
    <w:rsid w:val="00734DAC"/>
    <w:rsid w:val="00736EAE"/>
    <w:rsid w:val="00742F6A"/>
    <w:rsid w:val="00753A4C"/>
    <w:rsid w:val="00754591"/>
    <w:rsid w:val="0076677D"/>
    <w:rsid w:val="00773318"/>
    <w:rsid w:val="00774228"/>
    <w:rsid w:val="00782319"/>
    <w:rsid w:val="00782570"/>
    <w:rsid w:val="00795D7B"/>
    <w:rsid w:val="007A0136"/>
    <w:rsid w:val="007A40D3"/>
    <w:rsid w:val="007A7C8B"/>
    <w:rsid w:val="007B0751"/>
    <w:rsid w:val="007C33B5"/>
    <w:rsid w:val="007D5EBB"/>
    <w:rsid w:val="007D6CB5"/>
    <w:rsid w:val="007D7C96"/>
    <w:rsid w:val="007E1974"/>
    <w:rsid w:val="007E4191"/>
    <w:rsid w:val="007E4515"/>
    <w:rsid w:val="007E5F18"/>
    <w:rsid w:val="00806649"/>
    <w:rsid w:val="008068F5"/>
    <w:rsid w:val="00846496"/>
    <w:rsid w:val="00856F61"/>
    <w:rsid w:val="00865117"/>
    <w:rsid w:val="00865964"/>
    <w:rsid w:val="0087212C"/>
    <w:rsid w:val="00875386"/>
    <w:rsid w:val="008A7E91"/>
    <w:rsid w:val="008B299E"/>
    <w:rsid w:val="008B2D92"/>
    <w:rsid w:val="008B371C"/>
    <w:rsid w:val="008B3965"/>
    <w:rsid w:val="008B6E78"/>
    <w:rsid w:val="008C6E43"/>
    <w:rsid w:val="008C7DED"/>
    <w:rsid w:val="008D2822"/>
    <w:rsid w:val="008D2DA2"/>
    <w:rsid w:val="008D53B6"/>
    <w:rsid w:val="008E5251"/>
    <w:rsid w:val="00902A1D"/>
    <w:rsid w:val="0092378B"/>
    <w:rsid w:val="009268B3"/>
    <w:rsid w:val="0092780C"/>
    <w:rsid w:val="00932AC4"/>
    <w:rsid w:val="00933FBD"/>
    <w:rsid w:val="00937359"/>
    <w:rsid w:val="00955F8D"/>
    <w:rsid w:val="00981626"/>
    <w:rsid w:val="009857C2"/>
    <w:rsid w:val="0099064A"/>
    <w:rsid w:val="00992539"/>
    <w:rsid w:val="00996FB1"/>
    <w:rsid w:val="00997B3C"/>
    <w:rsid w:val="009A004A"/>
    <w:rsid w:val="009A19C0"/>
    <w:rsid w:val="009B3E44"/>
    <w:rsid w:val="009D34D4"/>
    <w:rsid w:val="009D36D9"/>
    <w:rsid w:val="009D4B50"/>
    <w:rsid w:val="009E11A5"/>
    <w:rsid w:val="009E2BFC"/>
    <w:rsid w:val="009E44B0"/>
    <w:rsid w:val="009F36F0"/>
    <w:rsid w:val="009F3AC6"/>
    <w:rsid w:val="009F7B6D"/>
    <w:rsid w:val="00A0365F"/>
    <w:rsid w:val="00A1151A"/>
    <w:rsid w:val="00A12EE0"/>
    <w:rsid w:val="00A16079"/>
    <w:rsid w:val="00A20B62"/>
    <w:rsid w:val="00A24132"/>
    <w:rsid w:val="00A250D9"/>
    <w:rsid w:val="00A362F4"/>
    <w:rsid w:val="00A373E1"/>
    <w:rsid w:val="00A379B9"/>
    <w:rsid w:val="00A433A8"/>
    <w:rsid w:val="00A44054"/>
    <w:rsid w:val="00A51398"/>
    <w:rsid w:val="00A54997"/>
    <w:rsid w:val="00A65478"/>
    <w:rsid w:val="00A8117F"/>
    <w:rsid w:val="00A854DF"/>
    <w:rsid w:val="00A85954"/>
    <w:rsid w:val="00AA0CD2"/>
    <w:rsid w:val="00AC2A49"/>
    <w:rsid w:val="00AC4A11"/>
    <w:rsid w:val="00AE3686"/>
    <w:rsid w:val="00AE3731"/>
    <w:rsid w:val="00AE529C"/>
    <w:rsid w:val="00AF49D5"/>
    <w:rsid w:val="00AF6982"/>
    <w:rsid w:val="00B03E6C"/>
    <w:rsid w:val="00B0567B"/>
    <w:rsid w:val="00B07EB9"/>
    <w:rsid w:val="00B10E7E"/>
    <w:rsid w:val="00B11516"/>
    <w:rsid w:val="00B117F2"/>
    <w:rsid w:val="00B1516A"/>
    <w:rsid w:val="00B17E66"/>
    <w:rsid w:val="00B2473C"/>
    <w:rsid w:val="00B3061D"/>
    <w:rsid w:val="00B4126D"/>
    <w:rsid w:val="00B42960"/>
    <w:rsid w:val="00B4349F"/>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AA1"/>
    <w:rsid w:val="00BE07B5"/>
    <w:rsid w:val="00BE29FE"/>
    <w:rsid w:val="00BE39F4"/>
    <w:rsid w:val="00BE3C99"/>
    <w:rsid w:val="00BE3F4E"/>
    <w:rsid w:val="00BE7129"/>
    <w:rsid w:val="00BF0D6A"/>
    <w:rsid w:val="00BF2180"/>
    <w:rsid w:val="00BF2CFC"/>
    <w:rsid w:val="00BF7CD6"/>
    <w:rsid w:val="00C3111F"/>
    <w:rsid w:val="00C36EA0"/>
    <w:rsid w:val="00C4083A"/>
    <w:rsid w:val="00C412C0"/>
    <w:rsid w:val="00C443CB"/>
    <w:rsid w:val="00C50E8A"/>
    <w:rsid w:val="00C55314"/>
    <w:rsid w:val="00C608D6"/>
    <w:rsid w:val="00C614C5"/>
    <w:rsid w:val="00C6420A"/>
    <w:rsid w:val="00C67FC5"/>
    <w:rsid w:val="00C97393"/>
    <w:rsid w:val="00CA1912"/>
    <w:rsid w:val="00CA204B"/>
    <w:rsid w:val="00CA6DCB"/>
    <w:rsid w:val="00CB086D"/>
    <w:rsid w:val="00CB2E1B"/>
    <w:rsid w:val="00CB56CF"/>
    <w:rsid w:val="00CB64D3"/>
    <w:rsid w:val="00CC17E5"/>
    <w:rsid w:val="00CD3D19"/>
    <w:rsid w:val="00CD42E9"/>
    <w:rsid w:val="00CD5AD2"/>
    <w:rsid w:val="00CE53A4"/>
    <w:rsid w:val="00CF7286"/>
    <w:rsid w:val="00D119FD"/>
    <w:rsid w:val="00D15E92"/>
    <w:rsid w:val="00D30D00"/>
    <w:rsid w:val="00D45705"/>
    <w:rsid w:val="00D45BE8"/>
    <w:rsid w:val="00D54103"/>
    <w:rsid w:val="00D60656"/>
    <w:rsid w:val="00D61662"/>
    <w:rsid w:val="00D6176D"/>
    <w:rsid w:val="00D62FEE"/>
    <w:rsid w:val="00D652DE"/>
    <w:rsid w:val="00D71F62"/>
    <w:rsid w:val="00D76C20"/>
    <w:rsid w:val="00D84AB5"/>
    <w:rsid w:val="00D96A2F"/>
    <w:rsid w:val="00D96E35"/>
    <w:rsid w:val="00DC1BAC"/>
    <w:rsid w:val="00DC5656"/>
    <w:rsid w:val="00DC5E43"/>
    <w:rsid w:val="00DD2A55"/>
    <w:rsid w:val="00DE317C"/>
    <w:rsid w:val="00DE6110"/>
    <w:rsid w:val="00DE711A"/>
    <w:rsid w:val="00DF67BD"/>
    <w:rsid w:val="00DF7836"/>
    <w:rsid w:val="00DF7C19"/>
    <w:rsid w:val="00E026C8"/>
    <w:rsid w:val="00E1172A"/>
    <w:rsid w:val="00E11813"/>
    <w:rsid w:val="00E12D6B"/>
    <w:rsid w:val="00E269A6"/>
    <w:rsid w:val="00E306DC"/>
    <w:rsid w:val="00E34859"/>
    <w:rsid w:val="00E37268"/>
    <w:rsid w:val="00E404AE"/>
    <w:rsid w:val="00E45706"/>
    <w:rsid w:val="00E5590A"/>
    <w:rsid w:val="00E657C9"/>
    <w:rsid w:val="00E96753"/>
    <w:rsid w:val="00EA1A9E"/>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72C0"/>
    <w:rsid w:val="00F62AEA"/>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E9EC6"/>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3.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0A90A-CC13-4CF9-85BE-3011648A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5550</Words>
  <Characters>30531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5</cp:revision>
  <cp:lastPrinted>2020-02-28T13:46:00Z</cp:lastPrinted>
  <dcterms:created xsi:type="dcterms:W3CDTF">2020-06-03T17:22:00Z</dcterms:created>
  <dcterms:modified xsi:type="dcterms:W3CDTF">2020-06-05T20:12:00Z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