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65F" w:rsidRPr="009B3E44" w:rsidRDefault="00BE3C99" w:rsidP="00A0365F">
      <w:pPr>
        <w:tabs>
          <w:tab w:val="left" w:pos="8310"/>
        </w:tabs>
        <w:spacing w:after="0"/>
        <w:jc w:val="both"/>
        <w:rPr>
          <w:rFonts w:ascii="Century Gothic" w:eastAsia="Calibri" w:hAnsi="Century Gothic" w:cs="Arial"/>
          <w:color w:val="595959" w:themeColor="text1" w:themeTint="A6"/>
          <w:sz w:val="24"/>
          <w:szCs w:val="24"/>
          <w:lang w:val="es-CO" w:eastAsia="es-ES"/>
        </w:rPr>
      </w:pPr>
      <w:r w:rsidRPr="009B3E44">
        <w:rPr>
          <w:rFonts w:ascii="Century Gothic" w:eastAsia="Calibri" w:hAnsi="Century Gothic" w:cs="Arial"/>
          <w:color w:val="595959" w:themeColor="text1" w:themeTint="A6"/>
          <w:sz w:val="24"/>
          <w:szCs w:val="24"/>
          <w:lang w:val="es-CO" w:eastAsia="es-ES"/>
        </w:rPr>
        <w:t xml:space="preserve">Cartagena D. T. y C., </w:t>
      </w:r>
      <w:r w:rsidR="00B4635C">
        <w:rPr>
          <w:rFonts w:ascii="Century Gothic" w:eastAsia="Calibri" w:hAnsi="Century Gothic" w:cs="Arial"/>
          <w:color w:val="595959" w:themeColor="text1" w:themeTint="A6"/>
          <w:sz w:val="24"/>
          <w:szCs w:val="24"/>
          <w:lang w:val="es-CO" w:eastAsia="es-ES"/>
        </w:rPr>
        <w:t>tres</w:t>
      </w:r>
      <w:r w:rsidR="00021AA9">
        <w:rPr>
          <w:rFonts w:ascii="Century Gothic" w:eastAsia="Calibri" w:hAnsi="Century Gothic" w:cs="Arial"/>
          <w:color w:val="595959" w:themeColor="text1" w:themeTint="A6"/>
          <w:sz w:val="24"/>
          <w:szCs w:val="24"/>
          <w:lang w:val="es-CO" w:eastAsia="es-ES"/>
        </w:rPr>
        <w:t xml:space="preserve"> </w:t>
      </w:r>
      <w:r w:rsidR="00CB2E1B" w:rsidRPr="009B3E44">
        <w:rPr>
          <w:rFonts w:ascii="Century Gothic" w:eastAsia="Calibri" w:hAnsi="Century Gothic" w:cs="Arial"/>
          <w:color w:val="595959" w:themeColor="text1" w:themeTint="A6"/>
          <w:sz w:val="24"/>
          <w:szCs w:val="24"/>
          <w:lang w:val="es-CO" w:eastAsia="es-ES"/>
        </w:rPr>
        <w:t>(</w:t>
      </w:r>
      <w:r w:rsidR="00B4635C">
        <w:rPr>
          <w:rFonts w:ascii="Century Gothic" w:eastAsia="Calibri" w:hAnsi="Century Gothic" w:cs="Arial"/>
          <w:color w:val="595959" w:themeColor="text1" w:themeTint="A6"/>
          <w:sz w:val="24"/>
          <w:szCs w:val="24"/>
          <w:lang w:val="es-CO" w:eastAsia="es-ES"/>
        </w:rPr>
        <w:t>03</w:t>
      </w:r>
      <w:r w:rsidR="00A0365F" w:rsidRPr="009B3E44">
        <w:rPr>
          <w:rFonts w:ascii="Century Gothic" w:eastAsia="Calibri" w:hAnsi="Century Gothic" w:cs="Arial"/>
          <w:color w:val="595959" w:themeColor="text1" w:themeTint="A6"/>
          <w:sz w:val="24"/>
          <w:szCs w:val="24"/>
          <w:lang w:val="es-CO" w:eastAsia="es-ES"/>
        </w:rPr>
        <w:t xml:space="preserve">) de </w:t>
      </w:r>
      <w:r w:rsidR="00B4635C">
        <w:rPr>
          <w:rFonts w:ascii="Century Gothic" w:eastAsia="Calibri" w:hAnsi="Century Gothic" w:cs="Arial"/>
          <w:color w:val="595959" w:themeColor="text1" w:themeTint="A6"/>
          <w:sz w:val="24"/>
          <w:szCs w:val="24"/>
          <w:lang w:val="es-CO" w:eastAsia="es-ES"/>
        </w:rPr>
        <w:t>junio</w:t>
      </w:r>
      <w:r w:rsidR="005A7BE7" w:rsidRPr="009B3E44">
        <w:rPr>
          <w:rFonts w:ascii="Century Gothic" w:eastAsia="Calibri" w:hAnsi="Century Gothic" w:cs="Arial"/>
          <w:color w:val="595959" w:themeColor="text1" w:themeTint="A6"/>
          <w:sz w:val="24"/>
          <w:szCs w:val="24"/>
          <w:lang w:val="es-CO" w:eastAsia="es-ES"/>
        </w:rPr>
        <w:t xml:space="preserve"> de dos mil </w:t>
      </w:r>
      <w:r w:rsidR="00706B0D">
        <w:rPr>
          <w:rFonts w:ascii="Century Gothic" w:eastAsia="Calibri" w:hAnsi="Century Gothic" w:cs="Arial"/>
          <w:color w:val="595959" w:themeColor="text1" w:themeTint="A6"/>
          <w:sz w:val="24"/>
          <w:szCs w:val="24"/>
          <w:lang w:val="es-CO" w:eastAsia="es-ES"/>
        </w:rPr>
        <w:t>veinte</w:t>
      </w:r>
      <w:r w:rsidR="005A7BE7" w:rsidRPr="009B3E44">
        <w:rPr>
          <w:rFonts w:ascii="Century Gothic" w:eastAsia="Calibri" w:hAnsi="Century Gothic" w:cs="Arial"/>
          <w:color w:val="595959" w:themeColor="text1" w:themeTint="A6"/>
          <w:sz w:val="24"/>
          <w:szCs w:val="24"/>
          <w:lang w:val="es-CO" w:eastAsia="es-ES"/>
        </w:rPr>
        <w:t xml:space="preserve"> </w:t>
      </w:r>
      <w:r w:rsidR="00706B0D">
        <w:rPr>
          <w:rFonts w:ascii="Century Gothic" w:eastAsia="Calibri" w:hAnsi="Century Gothic" w:cs="Arial"/>
          <w:color w:val="595959" w:themeColor="text1" w:themeTint="A6"/>
          <w:sz w:val="24"/>
          <w:szCs w:val="24"/>
          <w:lang w:val="es-CO" w:eastAsia="es-ES"/>
        </w:rPr>
        <w:t>(2020</w:t>
      </w:r>
      <w:r w:rsidR="00A0365F" w:rsidRPr="009B3E44">
        <w:rPr>
          <w:rFonts w:ascii="Century Gothic" w:eastAsia="Calibri" w:hAnsi="Century Gothic" w:cs="Arial"/>
          <w:color w:val="595959" w:themeColor="text1" w:themeTint="A6"/>
          <w:sz w:val="24"/>
          <w:szCs w:val="24"/>
          <w:lang w:val="es-CO" w:eastAsia="es-ES"/>
        </w:rPr>
        <w:t>)</w:t>
      </w:r>
    </w:p>
    <w:p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val="es-CO" w:eastAsia="es-ES"/>
        </w:rPr>
        <w:tab/>
      </w:r>
    </w:p>
    <w:p w:rsidR="00A0365F" w:rsidRPr="009B3E44" w:rsidRDefault="00A0365F"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r w:rsidRPr="009B3E44">
        <w:rPr>
          <w:rFonts w:ascii="Century Gothic" w:eastAsia="Times New Roman" w:hAnsi="Century Gothic" w:cs="Arial"/>
          <w:b/>
          <w:color w:val="595959" w:themeColor="text1" w:themeTint="A6"/>
          <w:sz w:val="24"/>
          <w:szCs w:val="24"/>
          <w:lang w:eastAsia="es-ES"/>
        </w:rPr>
        <w:t>I.- IDENTIFICACIÓN DEL PROCE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O, RADICACIÓN Y PARTE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 xml:space="preserve"> INTERVINIENTE</w:t>
      </w:r>
      <w:r w:rsidRPr="009B3E44">
        <w:rPr>
          <w:rFonts w:ascii="Century Gothic" w:eastAsia="Calibri" w:hAnsi="Century Gothic" w:cs="Arial"/>
          <w:b/>
          <w:color w:val="595959" w:themeColor="text1" w:themeTint="A6"/>
          <w:sz w:val="24"/>
          <w:szCs w:val="24"/>
          <w:lang w:val="es-CO" w:eastAsia="es-ES"/>
        </w:rPr>
        <w:t>S</w:t>
      </w:r>
    </w:p>
    <w:p w:rsidR="005A7BE7" w:rsidRPr="009B3E44" w:rsidRDefault="005A7BE7"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9B3E44" w:rsidRPr="009B3E44" w:rsidTr="00EC6A64">
        <w:trPr>
          <w:trHeight w:val="359"/>
        </w:trPr>
        <w:tc>
          <w:tcPr>
            <w:tcW w:w="1399" w:type="pct"/>
            <w:vAlign w:val="center"/>
          </w:tcPr>
          <w:p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Medio de control</w:t>
            </w:r>
          </w:p>
        </w:tc>
        <w:tc>
          <w:tcPr>
            <w:tcW w:w="3601" w:type="pct"/>
            <w:vAlign w:val="center"/>
          </w:tcPr>
          <w:p w:rsidR="00A0365F" w:rsidRPr="009B3E44" w:rsidRDefault="00391E48"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CONTROL INMEDIATO DE LE</w:t>
            </w:r>
            <w:r w:rsidR="00D119FD">
              <w:rPr>
                <w:rFonts w:ascii="Century Gothic" w:eastAsia="Times New Roman" w:hAnsi="Century Gothic" w:cs="Arial"/>
                <w:color w:val="595959" w:themeColor="text1" w:themeTint="A6"/>
                <w:sz w:val="24"/>
                <w:szCs w:val="24"/>
                <w:lang w:eastAsia="es-ES"/>
              </w:rPr>
              <w:t>GALIDAD</w:t>
            </w:r>
          </w:p>
        </w:tc>
      </w:tr>
      <w:tr w:rsidR="009B3E44" w:rsidRPr="009B3E44" w:rsidTr="00EC6A64">
        <w:trPr>
          <w:trHeight w:val="345"/>
        </w:trPr>
        <w:tc>
          <w:tcPr>
            <w:tcW w:w="1399" w:type="pct"/>
            <w:vAlign w:val="center"/>
          </w:tcPr>
          <w:p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Radicado</w:t>
            </w:r>
          </w:p>
        </w:tc>
        <w:tc>
          <w:tcPr>
            <w:tcW w:w="3601" w:type="pct"/>
            <w:vAlign w:val="center"/>
          </w:tcPr>
          <w:p w:rsidR="00A0365F" w:rsidRPr="009B3E44" w:rsidRDefault="00706B0D" w:rsidP="0085189C">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13-001-23-33-000-2020</w:t>
            </w:r>
            <w:r w:rsidRPr="009B3E44">
              <w:rPr>
                <w:rFonts w:ascii="Century Gothic" w:eastAsia="Times New Roman" w:hAnsi="Century Gothic" w:cs="Arial"/>
                <w:color w:val="595959" w:themeColor="text1" w:themeTint="A6"/>
                <w:sz w:val="24"/>
                <w:szCs w:val="24"/>
                <w:lang w:eastAsia="es-ES"/>
              </w:rPr>
              <w:t>-00</w:t>
            </w:r>
            <w:r w:rsidR="00936C71">
              <w:rPr>
                <w:rFonts w:ascii="Century Gothic" w:eastAsia="Times New Roman" w:hAnsi="Century Gothic" w:cs="Arial"/>
                <w:color w:val="595959" w:themeColor="text1" w:themeTint="A6"/>
                <w:sz w:val="24"/>
                <w:szCs w:val="24"/>
                <w:lang w:eastAsia="es-ES"/>
              </w:rPr>
              <w:t>28</w:t>
            </w:r>
            <w:r w:rsidR="0085189C">
              <w:rPr>
                <w:rFonts w:ascii="Century Gothic" w:eastAsia="Times New Roman" w:hAnsi="Century Gothic" w:cs="Arial"/>
                <w:color w:val="595959" w:themeColor="text1" w:themeTint="A6"/>
                <w:sz w:val="24"/>
                <w:szCs w:val="24"/>
                <w:lang w:eastAsia="es-ES"/>
              </w:rPr>
              <w:t>2</w:t>
            </w:r>
            <w:r w:rsidRPr="009B3E44">
              <w:rPr>
                <w:rFonts w:ascii="Century Gothic" w:eastAsia="Times New Roman" w:hAnsi="Century Gothic" w:cs="Arial"/>
                <w:color w:val="595959" w:themeColor="text1" w:themeTint="A6"/>
                <w:sz w:val="24"/>
                <w:szCs w:val="24"/>
                <w:lang w:eastAsia="es-ES"/>
              </w:rPr>
              <w:t>-00</w:t>
            </w:r>
          </w:p>
        </w:tc>
      </w:tr>
      <w:tr w:rsidR="009B3E44" w:rsidRPr="009B3E44" w:rsidTr="00EC6A64">
        <w:trPr>
          <w:trHeight w:val="345"/>
        </w:trPr>
        <w:tc>
          <w:tcPr>
            <w:tcW w:w="1399" w:type="pct"/>
            <w:vAlign w:val="center"/>
          </w:tcPr>
          <w:p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Acto objeto de control</w:t>
            </w:r>
          </w:p>
        </w:tc>
        <w:tc>
          <w:tcPr>
            <w:tcW w:w="3601" w:type="pct"/>
            <w:vAlign w:val="center"/>
          </w:tcPr>
          <w:p w:rsidR="00A0365F" w:rsidRPr="009B3E44" w:rsidRDefault="0085189C" w:rsidP="0085189C">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DECRETO 20-03-20-01</w:t>
            </w:r>
            <w:r w:rsidR="00F572C0">
              <w:rPr>
                <w:rFonts w:ascii="Century Gothic" w:eastAsia="Times New Roman" w:hAnsi="Century Gothic" w:cs="Arial"/>
                <w:color w:val="595959" w:themeColor="text1" w:themeTint="A6"/>
                <w:sz w:val="24"/>
                <w:szCs w:val="24"/>
                <w:lang w:eastAsia="es-ES"/>
              </w:rPr>
              <w:t xml:space="preserve"> DE </w:t>
            </w:r>
            <w:r w:rsidR="00B4635C">
              <w:rPr>
                <w:rFonts w:ascii="Century Gothic" w:eastAsia="Times New Roman" w:hAnsi="Century Gothic" w:cs="Arial"/>
                <w:color w:val="595959" w:themeColor="text1" w:themeTint="A6"/>
                <w:sz w:val="24"/>
                <w:szCs w:val="24"/>
                <w:lang w:eastAsia="es-ES"/>
              </w:rPr>
              <w:t>2</w:t>
            </w:r>
            <w:r>
              <w:rPr>
                <w:rFonts w:ascii="Century Gothic" w:eastAsia="Times New Roman" w:hAnsi="Century Gothic" w:cs="Arial"/>
                <w:color w:val="595959" w:themeColor="text1" w:themeTint="A6"/>
                <w:sz w:val="24"/>
                <w:szCs w:val="24"/>
                <w:lang w:eastAsia="es-ES"/>
              </w:rPr>
              <w:t>0</w:t>
            </w:r>
            <w:r w:rsidR="00F572C0">
              <w:rPr>
                <w:rFonts w:ascii="Century Gothic" w:eastAsia="Times New Roman" w:hAnsi="Century Gothic" w:cs="Arial"/>
                <w:color w:val="595959" w:themeColor="text1" w:themeTint="A6"/>
                <w:sz w:val="24"/>
                <w:szCs w:val="24"/>
                <w:lang w:eastAsia="es-ES"/>
              </w:rPr>
              <w:t xml:space="preserve"> DE MA</w:t>
            </w:r>
            <w:r w:rsidR="000D296C">
              <w:rPr>
                <w:rFonts w:ascii="Century Gothic" w:eastAsia="Times New Roman" w:hAnsi="Century Gothic" w:cs="Arial"/>
                <w:color w:val="595959" w:themeColor="text1" w:themeTint="A6"/>
                <w:sz w:val="24"/>
                <w:szCs w:val="24"/>
                <w:lang w:eastAsia="es-ES"/>
              </w:rPr>
              <w:t xml:space="preserve">RZO </w:t>
            </w:r>
            <w:r w:rsidR="00F572C0">
              <w:rPr>
                <w:rFonts w:ascii="Century Gothic" w:eastAsia="Times New Roman" w:hAnsi="Century Gothic" w:cs="Arial"/>
                <w:color w:val="595959" w:themeColor="text1" w:themeTint="A6"/>
                <w:sz w:val="24"/>
                <w:szCs w:val="24"/>
                <w:lang w:eastAsia="es-ES"/>
              </w:rPr>
              <w:t>DE 2020</w:t>
            </w:r>
          </w:p>
        </w:tc>
      </w:tr>
      <w:tr w:rsidR="009B3E44" w:rsidRPr="009B3E44" w:rsidTr="00EC6A64">
        <w:trPr>
          <w:trHeight w:val="345"/>
        </w:trPr>
        <w:tc>
          <w:tcPr>
            <w:tcW w:w="1399" w:type="pct"/>
            <w:vAlign w:val="center"/>
          </w:tcPr>
          <w:p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Entidad que lo expide </w:t>
            </w:r>
          </w:p>
        </w:tc>
        <w:tc>
          <w:tcPr>
            <w:tcW w:w="3601" w:type="pct"/>
            <w:vAlign w:val="center"/>
          </w:tcPr>
          <w:p w:rsidR="00A0365F" w:rsidRPr="009B3E44" w:rsidRDefault="00B4635C" w:rsidP="0085189C">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 xml:space="preserve">MUNICIPIO DE </w:t>
            </w:r>
            <w:r w:rsidR="0085189C">
              <w:rPr>
                <w:rFonts w:ascii="Century Gothic" w:eastAsia="Times New Roman" w:hAnsi="Century Gothic" w:cs="Arial"/>
                <w:color w:val="595959" w:themeColor="text1" w:themeTint="A6"/>
                <w:sz w:val="24"/>
                <w:szCs w:val="24"/>
                <w:lang w:eastAsia="es-ES"/>
              </w:rPr>
              <w:t>HATILLO DE LOBA</w:t>
            </w:r>
            <w:r w:rsidR="00F572C0">
              <w:rPr>
                <w:rFonts w:ascii="Century Gothic" w:eastAsia="Times New Roman" w:hAnsi="Century Gothic" w:cs="Arial"/>
                <w:color w:val="595959" w:themeColor="text1" w:themeTint="A6"/>
                <w:sz w:val="24"/>
                <w:szCs w:val="24"/>
                <w:lang w:eastAsia="es-ES"/>
              </w:rPr>
              <w:t xml:space="preserve"> - BOLÍVAR</w:t>
            </w:r>
          </w:p>
        </w:tc>
      </w:tr>
      <w:tr w:rsidR="009B3E44" w:rsidRPr="009B3E44" w:rsidTr="00EC6A64">
        <w:trPr>
          <w:trHeight w:val="345"/>
        </w:trPr>
        <w:tc>
          <w:tcPr>
            <w:tcW w:w="1399" w:type="pct"/>
            <w:vAlign w:val="center"/>
          </w:tcPr>
          <w:p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Tema</w:t>
            </w:r>
          </w:p>
        </w:tc>
        <w:tc>
          <w:tcPr>
            <w:tcW w:w="3601" w:type="pct"/>
            <w:vAlign w:val="center"/>
          </w:tcPr>
          <w:p w:rsidR="00A0365F" w:rsidRPr="009B3E44" w:rsidRDefault="00DF67BD"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ACTO NO SUSCEPTIBLE DE CONTROL INMEDIATO DE LEGALIDAD</w:t>
            </w:r>
          </w:p>
        </w:tc>
      </w:tr>
      <w:tr w:rsidR="00A0365F" w:rsidRPr="009B3E44" w:rsidTr="00EC6A64">
        <w:trPr>
          <w:trHeight w:val="345"/>
        </w:trPr>
        <w:tc>
          <w:tcPr>
            <w:tcW w:w="1399" w:type="pct"/>
            <w:vAlign w:val="center"/>
          </w:tcPr>
          <w:p w:rsidR="00A0365F" w:rsidRPr="009B3E44" w:rsidRDefault="00A0365F" w:rsidP="00A0365F">
            <w:pPr>
              <w:tabs>
                <w:tab w:val="center" w:pos="4252"/>
                <w:tab w:val="right" w:pos="8504"/>
              </w:tabs>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Calibri" w:hAnsi="Century Gothic" w:cs="Arial"/>
                <w:b/>
                <w:color w:val="595959" w:themeColor="text1" w:themeTint="A6"/>
                <w:sz w:val="24"/>
                <w:szCs w:val="24"/>
                <w:lang w:val="es-CO" w:eastAsia="es-ES"/>
              </w:rPr>
              <w:t xml:space="preserve">Magistrado Ponente </w:t>
            </w:r>
          </w:p>
        </w:tc>
        <w:tc>
          <w:tcPr>
            <w:tcW w:w="3601" w:type="pct"/>
            <w:vAlign w:val="center"/>
          </w:tcPr>
          <w:p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eastAsia="es-ES"/>
              </w:rPr>
              <w:t>LUIS MIGUEL VILLALOBOS</w:t>
            </w:r>
            <w:r w:rsidRPr="009B3E44">
              <w:rPr>
                <w:rFonts w:ascii="Century Gothic" w:eastAsia="Times New Roman" w:hAnsi="Century Gothic" w:cs="Arial"/>
                <w:color w:val="595959" w:themeColor="text1" w:themeTint="A6"/>
                <w:sz w:val="24"/>
                <w:szCs w:val="24"/>
                <w:lang w:val="es-CO" w:eastAsia="es-ES"/>
              </w:rPr>
              <w:t xml:space="preserve"> ÁLVAREZ</w:t>
            </w:r>
          </w:p>
        </w:tc>
      </w:tr>
    </w:tbl>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 ANTECEDENTES</w:t>
      </w:r>
    </w:p>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Pr="009B3E44" w:rsidRDefault="00A0365F"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val="es-ES_tradnl" w:eastAsia="es-ES"/>
        </w:rPr>
        <w:t xml:space="preserve">1. </w:t>
      </w:r>
      <w:r w:rsidR="00F572C0">
        <w:rPr>
          <w:rFonts w:ascii="Century Gothic" w:eastAsia="Times New Roman" w:hAnsi="Century Gothic" w:cs="Times New Roman"/>
          <w:b/>
          <w:color w:val="595959" w:themeColor="text1" w:themeTint="A6"/>
          <w:sz w:val="24"/>
          <w:szCs w:val="24"/>
          <w:lang w:val="es-ES_tradnl" w:eastAsia="es-ES"/>
        </w:rPr>
        <w:t>Acto objeto de control inmediato de legalidad</w:t>
      </w:r>
    </w:p>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Default="00B4635C" w:rsidP="00936C71">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El</w:t>
      </w:r>
      <w:r w:rsidR="00F572C0">
        <w:rPr>
          <w:rFonts w:ascii="Century Gothic" w:eastAsia="Times New Roman" w:hAnsi="Century Gothic" w:cs="Times New Roman"/>
          <w:color w:val="595959" w:themeColor="text1" w:themeTint="A6"/>
          <w:sz w:val="24"/>
          <w:szCs w:val="24"/>
          <w:lang w:val="es-ES_tradnl" w:eastAsia="es-ES"/>
        </w:rPr>
        <w:t xml:space="preserve"> Alcalde Municipal de </w:t>
      </w:r>
      <w:r w:rsidR="0085189C">
        <w:rPr>
          <w:rFonts w:ascii="Century Gothic" w:eastAsia="Times New Roman" w:hAnsi="Century Gothic" w:cs="Times New Roman"/>
          <w:color w:val="595959" w:themeColor="text1" w:themeTint="A6"/>
          <w:sz w:val="24"/>
          <w:szCs w:val="24"/>
          <w:lang w:val="es-ES_tradnl" w:eastAsia="es-ES"/>
        </w:rPr>
        <w:t>Hatillo de Loba</w:t>
      </w:r>
      <w:r>
        <w:rPr>
          <w:rFonts w:ascii="Century Gothic" w:eastAsia="Times New Roman" w:hAnsi="Century Gothic" w:cs="Times New Roman"/>
          <w:color w:val="595959" w:themeColor="text1" w:themeTint="A6"/>
          <w:sz w:val="24"/>
          <w:szCs w:val="24"/>
          <w:lang w:val="es-ES_tradnl" w:eastAsia="es-ES"/>
        </w:rPr>
        <w:t xml:space="preserve"> </w:t>
      </w:r>
      <w:r w:rsidR="00F572C0">
        <w:rPr>
          <w:rFonts w:ascii="Century Gothic" w:eastAsia="Times New Roman" w:hAnsi="Century Gothic" w:cs="Times New Roman"/>
          <w:color w:val="595959" w:themeColor="text1" w:themeTint="A6"/>
          <w:sz w:val="24"/>
          <w:szCs w:val="24"/>
          <w:lang w:val="es-ES_tradnl" w:eastAsia="es-ES"/>
        </w:rPr>
        <w:t xml:space="preserve">– Bolívar expidió el Decreto Nro. </w:t>
      </w:r>
      <w:r w:rsidR="003A48E0">
        <w:rPr>
          <w:rFonts w:ascii="Century Gothic" w:eastAsia="Times New Roman" w:hAnsi="Century Gothic" w:cs="Times New Roman"/>
          <w:color w:val="595959" w:themeColor="text1" w:themeTint="A6"/>
          <w:sz w:val="24"/>
          <w:szCs w:val="24"/>
          <w:lang w:val="es-ES_tradnl" w:eastAsia="es-ES"/>
        </w:rPr>
        <w:t>20-03-20-01</w:t>
      </w:r>
      <w:r w:rsidR="00596E0B">
        <w:rPr>
          <w:rFonts w:ascii="Century Gothic" w:eastAsia="Times New Roman" w:hAnsi="Century Gothic" w:cs="Times New Roman"/>
          <w:color w:val="595959" w:themeColor="text1" w:themeTint="A6"/>
          <w:sz w:val="24"/>
          <w:szCs w:val="24"/>
          <w:lang w:val="es-ES_tradnl" w:eastAsia="es-ES"/>
        </w:rPr>
        <w:t xml:space="preserve"> de 2</w:t>
      </w:r>
      <w:r w:rsidR="003A48E0">
        <w:rPr>
          <w:rFonts w:ascii="Century Gothic" w:eastAsia="Times New Roman" w:hAnsi="Century Gothic" w:cs="Times New Roman"/>
          <w:color w:val="595959" w:themeColor="text1" w:themeTint="A6"/>
          <w:sz w:val="24"/>
          <w:szCs w:val="24"/>
          <w:lang w:val="es-ES_tradnl" w:eastAsia="es-ES"/>
        </w:rPr>
        <w:t>0</w:t>
      </w:r>
      <w:r w:rsidR="00596E0B">
        <w:rPr>
          <w:rFonts w:ascii="Century Gothic" w:eastAsia="Times New Roman" w:hAnsi="Century Gothic" w:cs="Times New Roman"/>
          <w:color w:val="595959" w:themeColor="text1" w:themeTint="A6"/>
          <w:sz w:val="24"/>
          <w:szCs w:val="24"/>
          <w:lang w:val="es-ES_tradnl" w:eastAsia="es-ES"/>
        </w:rPr>
        <w:t xml:space="preserve"> de marzo de 2020 </w:t>
      </w:r>
      <w:r w:rsidR="00936C71" w:rsidRPr="00936C71">
        <w:rPr>
          <w:rFonts w:ascii="Century Gothic" w:eastAsia="Times New Roman" w:hAnsi="Century Gothic" w:cs="Times New Roman"/>
          <w:i/>
          <w:color w:val="595959" w:themeColor="text1" w:themeTint="A6"/>
          <w:sz w:val="24"/>
          <w:szCs w:val="24"/>
          <w:lang w:val="es-ES_tradnl" w:eastAsia="es-ES"/>
        </w:rPr>
        <w:t>“</w:t>
      </w:r>
      <w:r w:rsidR="003A48E0">
        <w:rPr>
          <w:rFonts w:ascii="Century Gothic" w:eastAsia="Times New Roman" w:hAnsi="Century Gothic" w:cs="Times New Roman"/>
          <w:i/>
          <w:color w:val="595959" w:themeColor="text1" w:themeTint="A6"/>
          <w:sz w:val="24"/>
          <w:szCs w:val="24"/>
          <w:lang w:val="es-ES_tradnl" w:eastAsia="es-ES"/>
        </w:rPr>
        <w:t>POR MEDIO DEL CUAL SE ADOPTAN MEDIDAS DE ORDEN PÚBLICO EN EL MUNICIPIO DE HATILLO DE LOBA, BOLÍVAR Y SE DICTAN OTRAS DISPOSICIONES</w:t>
      </w:r>
      <w:r w:rsidR="00936C71" w:rsidRPr="00936C71">
        <w:rPr>
          <w:rFonts w:ascii="Century Gothic" w:eastAsia="Times New Roman" w:hAnsi="Century Gothic" w:cs="Times New Roman"/>
          <w:i/>
          <w:color w:val="595959" w:themeColor="text1" w:themeTint="A6"/>
          <w:sz w:val="24"/>
          <w:szCs w:val="24"/>
          <w:lang w:val="es-ES_tradnl" w:eastAsia="es-ES"/>
        </w:rPr>
        <w:t>”</w:t>
      </w:r>
      <w:r w:rsidR="00596E0B">
        <w:rPr>
          <w:rFonts w:ascii="Century Gothic" w:eastAsia="Times New Roman" w:hAnsi="Century Gothic" w:cs="Times New Roman"/>
          <w:color w:val="595959" w:themeColor="text1" w:themeTint="A6"/>
          <w:sz w:val="24"/>
          <w:szCs w:val="24"/>
          <w:lang w:val="es-ES_tradnl" w:eastAsia="es-ES"/>
        </w:rPr>
        <w:t>, ordenando:</w:t>
      </w:r>
    </w:p>
    <w:p w:rsidR="00596E0B" w:rsidRDefault="00596E0B"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8C74EF" w:rsidRPr="008C74EF" w:rsidRDefault="00846496"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Pr>
          <w:rFonts w:ascii="Century Gothic" w:eastAsia="Times New Roman" w:hAnsi="Century Gothic" w:cs="Times New Roman"/>
          <w:i/>
          <w:color w:val="595959" w:themeColor="text1" w:themeTint="A6"/>
          <w:sz w:val="24"/>
          <w:szCs w:val="24"/>
          <w:lang w:val="es-ES_tradnl" w:eastAsia="es-ES"/>
        </w:rPr>
        <w:t>“</w:t>
      </w:r>
      <w:r w:rsidR="008C74EF" w:rsidRPr="008C74EF">
        <w:rPr>
          <w:rFonts w:ascii="Century Gothic" w:eastAsia="Times New Roman" w:hAnsi="Century Gothic" w:cs="Times New Roman"/>
          <w:i/>
          <w:color w:val="595959" w:themeColor="text1" w:themeTint="A6"/>
          <w:sz w:val="24"/>
          <w:szCs w:val="24"/>
          <w:lang w:eastAsia="es-ES"/>
        </w:rPr>
        <w:t>ARTICULO PRIMERO: Adoptar las medidas sanitarias y acciones transitorias de policía que se describen en los artículos siguientes, en aras de contener la propagación, mitigar el riesgo y controlar los efectos del CORONAVIRUS Covid-19.</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ARTICULO SEGUNDO: Se ordena el toque de queda para menores de edad a partir de la expedición del presente decreto hasta el 20 de abril de 2020.</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PARAGRAFO 1: Los niños, niñas y adolescentes sólo podrán salir de sus viviendas para asistir a citas médicas u odontológicas.</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PARAGRAFO 2: Los menores que sean encontrados por fuera de su residencia serán conducidos a ella, pero sus padres, tutores, mentores o adulto responsable de su cuidado, será sancionado conforme a las disposiciones contenidas en el Código Nacional de Seguridad y Convivencia Ciudadana.</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 xml:space="preserve">ARTÍCULO TERCERO: Prohíbase el consumo de bebidas embriagantes en espacios abiertos y establecimientos de comercio, a partir de las seis de la tarde (06:00 pm) del día jueves 19 de marzo de 2020, hasta las 06:00 am del día sábado 30 de mayo de 2020. No queda prohibido el expendio de bebidas embriagantes. </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 xml:space="preserve">ARTICULO CUARTO: </w:t>
      </w:r>
      <w:r w:rsidRPr="008C74EF">
        <w:rPr>
          <w:rFonts w:ascii="Century Gothic" w:eastAsia="Times New Roman" w:hAnsi="Century Gothic" w:cs="Times New Roman"/>
          <w:b/>
          <w:i/>
          <w:color w:val="595959" w:themeColor="text1" w:themeTint="A6"/>
          <w:sz w:val="24"/>
          <w:szCs w:val="24"/>
          <w:lang w:eastAsia="es-ES"/>
        </w:rPr>
        <w:t>MODIFIQUESE EL ARTÍCULO SEGUNDO del Decreto 20-03-17-01 del 17 de marzo de 2020, y en consecuencia</w:t>
      </w:r>
      <w:r w:rsidRPr="008C74EF">
        <w:rPr>
          <w:rFonts w:ascii="Century Gothic" w:eastAsia="Times New Roman" w:hAnsi="Century Gothic" w:cs="Times New Roman"/>
          <w:i/>
          <w:color w:val="595959" w:themeColor="text1" w:themeTint="A6"/>
          <w:sz w:val="24"/>
          <w:szCs w:val="24"/>
          <w:lang w:eastAsia="es-ES"/>
        </w:rPr>
        <w:t>, SE PROHÍBE la realización de todo acto público y privado, reunión aglomeración de público con carácter social, cívicas, actividades económicas, deportivas, artísticas, recreativas culturales, políticas o de cualquier otra índole, en donde se genere concentración de más de 50 personas en sitios cerrados o abiertos en el municipio de Hatillo de Loba, Bolívar, a partir de las seis de la tarde (06:00 pm) del día jueves 19 de marzo de 2020, hasta las 06:00 am del día sábado 30 de mayo de 2020, so pena de dar aplicación a las disposiciones contenidas en el Código Nacional de Seguridad y Convivencia Ciudadana.</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PARAGRAFO 1: Se exhorta a las comunidades religiosas tomar las medidas respectivas para hacer frente en la mitigación del riesgo y controlar los efectos del CORONAVIRUS Covid-19.</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 xml:space="preserve">PARAGRAFO 2: Se invita a la comunidad a mantenerse el mayor tiempo posible en casa, guardando las medidas especiales de salud y seguridad recomendadas por las autoridades; no asistir espacios públicos de uso masivo como, establecimientos públicos nocturnos, deportivos y de recreación. </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PARAGRAFO 3: Se exhorta a las comunidades religiosas tomar las medidas respectivas para hacer frente a la mitigación del riesgo y controlar los efectos del CORONAVIRUS Covid-19.</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ARTICULO QUINTO: Las anteriores medidas se adoptan de conformidad con lo ordenado en el Decreto 420 de 18 de marzo de 2020 y que deroga todas las disposiciones que le sean contrarias.</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 xml:space="preserve">ARTICULO SEXTO: Las medidas adoptadas en el Decreto 20-03-17-01 de 17 de marzo de 2020 expedida por el Alcalde Municipal </w:t>
      </w:r>
      <w:proofErr w:type="gramStart"/>
      <w:r w:rsidRPr="008C74EF">
        <w:rPr>
          <w:rFonts w:ascii="Century Gothic" w:eastAsia="Times New Roman" w:hAnsi="Century Gothic" w:cs="Times New Roman"/>
          <w:i/>
          <w:color w:val="595959" w:themeColor="text1" w:themeTint="A6"/>
          <w:sz w:val="24"/>
          <w:szCs w:val="24"/>
          <w:lang w:eastAsia="es-ES"/>
        </w:rPr>
        <w:t>seguirá</w:t>
      </w:r>
      <w:proofErr w:type="gramEnd"/>
      <w:r w:rsidRPr="008C74EF">
        <w:rPr>
          <w:rFonts w:ascii="Century Gothic" w:eastAsia="Times New Roman" w:hAnsi="Century Gothic" w:cs="Times New Roman"/>
          <w:i/>
          <w:color w:val="595959" w:themeColor="text1" w:themeTint="A6"/>
          <w:sz w:val="24"/>
          <w:szCs w:val="24"/>
          <w:lang w:eastAsia="es-ES"/>
        </w:rPr>
        <w:t xml:space="preserve"> vigente de manera transitoria.</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ARTICULO SEPTIMO: Toda persona que arriba el Municipio de Hatillo de Loba, proveniente de otras ciudades y especialmente de aquellas donde se ha reportado casos confirmados de COVID-19 deberá reportarse a la Secretaría de salud municipal de Hatillo de Loba o a la ESE Hospital local Hatillo de Loba, a los números celulares 3103901565, 3136771605 y 3226033202 y guardar un aislamiento preventivo de catorce (14) días. Igualmente deben hacerlo quienes hayan llegado dentro de los cinco (5) días anteriores a la expedición del presente decreto.</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 xml:space="preserve">PARAGRAFO: Cualquier ciudadano podrá notificar a la Secretaría de Salud Municipal la llegada del municipio de propios o foráneos que provengan de otras ciudades o el incumplimiento del aislamiento preventivo. </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ARTICULO OCTAVO: La Secretaría de Gobierno y Asuntos Administrativos coordinará con sus homólogos de los municipios de El Banco, San Martín de Loba, Barranco de Loba, Altos del Rosario Margarita y con la Policía Nacional las medidas necesarias para el Control del tráfico de vehículos, motocicletas, embarcaciones y personas por las vías municipales.</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 xml:space="preserve">ARTICULO NOVENO: El incumplimiento de las normas establecidas en el presente Decreto se sancionará de conformidad al Código Nacional de Policía, sin perjuicio de las otras conductas que puedan tipificarse. </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r w:rsidRPr="008C74EF">
        <w:rPr>
          <w:rFonts w:ascii="Century Gothic" w:eastAsia="Times New Roman" w:hAnsi="Century Gothic" w:cs="Times New Roman"/>
          <w:i/>
          <w:color w:val="595959" w:themeColor="text1" w:themeTint="A6"/>
          <w:sz w:val="24"/>
          <w:szCs w:val="24"/>
          <w:lang w:eastAsia="es-ES"/>
        </w:rPr>
        <w:t>ARTICULO DÉCIMO: Comuníquese al Ministerio del Interior y el comando de la Policía Nacional de Hatillo de Loba, Bolívar las disposiciones establecidas en el presente Decreto.</w:t>
      </w:r>
    </w:p>
    <w:p w:rsidR="008C74EF" w:rsidRPr="008C74EF" w:rsidRDefault="008C74EF" w:rsidP="008C74EF">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eastAsia="es-ES"/>
        </w:rPr>
      </w:pPr>
    </w:p>
    <w:p w:rsidR="002057A5" w:rsidRPr="0076677D" w:rsidRDefault="008C74EF"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8C74EF">
        <w:rPr>
          <w:rFonts w:ascii="Century Gothic" w:eastAsia="Times New Roman" w:hAnsi="Century Gothic" w:cs="Times New Roman"/>
          <w:i/>
          <w:color w:val="595959" w:themeColor="text1" w:themeTint="A6"/>
          <w:sz w:val="24"/>
          <w:szCs w:val="24"/>
          <w:lang w:eastAsia="es-ES"/>
        </w:rPr>
        <w:t>ARTICULO DÉCIMO PRIMERO: El presente Decreto rige a partir del día viernes, veinte (20) de marzo de 2020 de manera transitoria.</w:t>
      </w:r>
      <w:r w:rsidR="00846496">
        <w:rPr>
          <w:rFonts w:ascii="Century Gothic" w:eastAsia="Times New Roman" w:hAnsi="Century Gothic" w:cs="Times New Roman"/>
          <w:i/>
          <w:color w:val="595959" w:themeColor="text1" w:themeTint="A6"/>
          <w:sz w:val="24"/>
          <w:szCs w:val="24"/>
          <w:lang w:val="es-ES_tradnl" w:eastAsia="es-ES"/>
        </w:rPr>
        <w:t>”</w:t>
      </w:r>
      <w:r w:rsidR="002057A5" w:rsidRPr="0076677D">
        <w:rPr>
          <w:rFonts w:ascii="Century Gothic" w:eastAsia="Times New Roman" w:hAnsi="Century Gothic" w:cs="Times New Roman"/>
          <w:i/>
          <w:color w:val="595959" w:themeColor="text1" w:themeTint="A6"/>
          <w:sz w:val="24"/>
          <w:szCs w:val="24"/>
          <w:lang w:val="es-ES_tradnl" w:eastAsia="es-ES"/>
        </w:rPr>
        <w:t xml:space="preserve"> </w:t>
      </w:r>
    </w:p>
    <w:p w:rsidR="00DC5E43" w:rsidRPr="009B3E44" w:rsidRDefault="00DC5E43"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Pr="009B3E44" w:rsidRDefault="00846496"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u w:val="single"/>
          <w:lang w:val="es-ES_tradnl" w:eastAsia="es-ES"/>
        </w:rPr>
      </w:pPr>
      <w:r>
        <w:rPr>
          <w:rFonts w:ascii="Century Gothic" w:eastAsia="Times New Roman" w:hAnsi="Century Gothic" w:cs="Times New Roman"/>
          <w:b/>
          <w:color w:val="595959" w:themeColor="text1" w:themeTint="A6"/>
          <w:sz w:val="24"/>
          <w:szCs w:val="24"/>
          <w:lang w:val="es-ES_tradnl" w:eastAsia="es-ES"/>
        </w:rPr>
        <w:t>2</w:t>
      </w:r>
      <w:r w:rsidR="00347346" w:rsidRPr="009B3E44">
        <w:rPr>
          <w:rFonts w:ascii="Century Gothic" w:eastAsia="Times New Roman" w:hAnsi="Century Gothic" w:cs="Times New Roman"/>
          <w:b/>
          <w:color w:val="595959" w:themeColor="text1" w:themeTint="A6"/>
          <w:sz w:val="24"/>
          <w:szCs w:val="24"/>
          <w:lang w:val="es-ES_tradnl" w:eastAsia="es-ES"/>
        </w:rPr>
        <w:t xml:space="preserve">. </w:t>
      </w:r>
      <w:r w:rsidR="00A0365F" w:rsidRPr="009B3E44">
        <w:rPr>
          <w:rFonts w:ascii="Century Gothic" w:eastAsia="Times New Roman" w:hAnsi="Century Gothic" w:cs="Times New Roman"/>
          <w:b/>
          <w:color w:val="595959" w:themeColor="text1" w:themeTint="A6"/>
          <w:sz w:val="24"/>
          <w:szCs w:val="24"/>
          <w:lang w:val="es-ES_tradnl" w:eastAsia="es-ES"/>
        </w:rPr>
        <w:t>Actuación procesal</w:t>
      </w:r>
    </w:p>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w:t>
      </w:r>
      <w:r w:rsidRPr="00846496">
        <w:rPr>
          <w:rFonts w:ascii="Century Gothic" w:eastAsia="Times New Roman" w:hAnsi="Century Gothic" w:cs="Times New Roman"/>
          <w:color w:val="595959" w:themeColor="text1" w:themeTint="A6"/>
          <w:sz w:val="24"/>
          <w:szCs w:val="24"/>
          <w:lang w:val="es-ES_tradnl" w:eastAsia="es-ES"/>
        </w:rPr>
        <w:t xml:space="preserve">l presente proceso fue </w:t>
      </w:r>
      <w:r>
        <w:rPr>
          <w:rFonts w:ascii="Century Gothic" w:eastAsia="Times New Roman" w:hAnsi="Century Gothic" w:cs="Times New Roman"/>
          <w:color w:val="595959" w:themeColor="text1" w:themeTint="A6"/>
          <w:sz w:val="24"/>
          <w:szCs w:val="24"/>
          <w:lang w:val="es-ES_tradnl" w:eastAsia="es-ES"/>
        </w:rPr>
        <w:t xml:space="preserve">admitido y </w:t>
      </w:r>
      <w:r w:rsidRPr="00846496">
        <w:rPr>
          <w:rFonts w:ascii="Century Gothic" w:eastAsia="Times New Roman" w:hAnsi="Century Gothic" w:cs="Times New Roman"/>
          <w:color w:val="595959" w:themeColor="text1" w:themeTint="A6"/>
          <w:sz w:val="24"/>
          <w:szCs w:val="24"/>
          <w:lang w:val="es-ES_tradnl" w:eastAsia="es-ES"/>
        </w:rPr>
        <w:t>notificado</w:t>
      </w:r>
      <w:r>
        <w:rPr>
          <w:rFonts w:ascii="Century Gothic" w:eastAsia="Times New Roman" w:hAnsi="Century Gothic" w:cs="Times New Roman"/>
          <w:color w:val="595959" w:themeColor="text1" w:themeTint="A6"/>
          <w:sz w:val="24"/>
          <w:szCs w:val="24"/>
          <w:lang w:val="es-ES_tradnl" w:eastAsia="es-ES"/>
        </w:rPr>
        <w:t xml:space="preserve"> el día </w:t>
      </w:r>
      <w:r w:rsidR="00111973">
        <w:rPr>
          <w:rFonts w:ascii="Century Gothic" w:eastAsia="Times New Roman" w:hAnsi="Century Gothic" w:cs="Times New Roman"/>
          <w:color w:val="595959" w:themeColor="text1" w:themeTint="A6"/>
          <w:sz w:val="24"/>
          <w:szCs w:val="24"/>
          <w:lang w:val="es-ES_tradnl" w:eastAsia="es-ES"/>
        </w:rPr>
        <w:t>1</w:t>
      </w:r>
      <w:r w:rsidR="00D64F19">
        <w:rPr>
          <w:rFonts w:ascii="Century Gothic" w:eastAsia="Times New Roman" w:hAnsi="Century Gothic" w:cs="Times New Roman"/>
          <w:color w:val="595959" w:themeColor="text1" w:themeTint="A6"/>
          <w:sz w:val="24"/>
          <w:szCs w:val="24"/>
          <w:lang w:val="es-ES_tradnl" w:eastAsia="es-ES"/>
        </w:rPr>
        <w:t>4</w:t>
      </w:r>
      <w:r w:rsidR="00111973">
        <w:rPr>
          <w:rFonts w:ascii="Century Gothic" w:eastAsia="Times New Roman" w:hAnsi="Century Gothic" w:cs="Times New Roman"/>
          <w:color w:val="595959" w:themeColor="text1" w:themeTint="A6"/>
          <w:sz w:val="24"/>
          <w:szCs w:val="24"/>
          <w:lang w:val="es-ES_tradnl" w:eastAsia="es-ES"/>
        </w:rPr>
        <w:t xml:space="preserve"> de abril</w:t>
      </w:r>
      <w:r>
        <w:rPr>
          <w:rFonts w:ascii="Century Gothic" w:eastAsia="Times New Roman" w:hAnsi="Century Gothic" w:cs="Times New Roman"/>
          <w:color w:val="595959" w:themeColor="text1" w:themeTint="A6"/>
          <w:sz w:val="24"/>
          <w:szCs w:val="24"/>
          <w:lang w:val="es-ES_tradnl" w:eastAsia="es-ES"/>
        </w:rPr>
        <w:t xml:space="preserve"> del 2020; se</w:t>
      </w:r>
      <w:r w:rsidRPr="00846496">
        <w:rPr>
          <w:rFonts w:ascii="Century Gothic" w:eastAsia="Times New Roman" w:hAnsi="Century Gothic" w:cs="Times New Roman"/>
          <w:color w:val="595959" w:themeColor="text1" w:themeTint="A6"/>
          <w:sz w:val="24"/>
          <w:szCs w:val="24"/>
          <w:lang w:val="es-ES_tradnl" w:eastAsia="es-ES"/>
        </w:rPr>
        <w:t xml:space="preserve"> fij</w:t>
      </w:r>
      <w:r>
        <w:rPr>
          <w:rFonts w:ascii="Century Gothic" w:eastAsia="Times New Roman" w:hAnsi="Century Gothic" w:cs="Times New Roman"/>
          <w:color w:val="595959" w:themeColor="text1" w:themeTint="A6"/>
          <w:sz w:val="24"/>
          <w:szCs w:val="24"/>
          <w:lang w:val="es-ES_tradnl" w:eastAsia="es-ES"/>
        </w:rPr>
        <w:t xml:space="preserve">ó </w:t>
      </w:r>
      <w:r w:rsidRPr="00846496">
        <w:rPr>
          <w:rFonts w:ascii="Century Gothic" w:eastAsia="Times New Roman" w:hAnsi="Century Gothic" w:cs="Times New Roman"/>
          <w:color w:val="595959" w:themeColor="text1" w:themeTint="A6"/>
          <w:sz w:val="24"/>
          <w:szCs w:val="24"/>
          <w:lang w:val="es-ES_tradnl" w:eastAsia="es-ES"/>
        </w:rPr>
        <w:t>aviso a la comunidad el día 1</w:t>
      </w:r>
      <w:r w:rsidR="00D64F19">
        <w:rPr>
          <w:rFonts w:ascii="Century Gothic" w:eastAsia="Times New Roman" w:hAnsi="Century Gothic" w:cs="Times New Roman"/>
          <w:color w:val="595959" w:themeColor="text1" w:themeTint="A6"/>
          <w:sz w:val="24"/>
          <w:szCs w:val="24"/>
          <w:lang w:val="es-ES_tradnl" w:eastAsia="es-ES"/>
        </w:rPr>
        <w:t>5</w:t>
      </w:r>
      <w:r>
        <w:rPr>
          <w:rFonts w:ascii="Century Gothic" w:eastAsia="Times New Roman" w:hAnsi="Century Gothic" w:cs="Times New Roman"/>
          <w:color w:val="595959" w:themeColor="text1" w:themeTint="A6"/>
          <w:sz w:val="24"/>
          <w:szCs w:val="24"/>
          <w:lang w:val="es-ES_tradnl" w:eastAsia="es-ES"/>
        </w:rPr>
        <w:t xml:space="preserve"> </w:t>
      </w:r>
      <w:r w:rsidRPr="00846496">
        <w:rPr>
          <w:rFonts w:ascii="Century Gothic" w:eastAsia="Times New Roman" w:hAnsi="Century Gothic" w:cs="Times New Roman"/>
          <w:color w:val="595959" w:themeColor="text1" w:themeTint="A6"/>
          <w:sz w:val="24"/>
          <w:szCs w:val="24"/>
          <w:lang w:val="es-ES_tradnl" w:eastAsia="es-ES"/>
        </w:rPr>
        <w:t>de abril</w:t>
      </w:r>
      <w:r>
        <w:rPr>
          <w:rFonts w:ascii="Century Gothic" w:eastAsia="Times New Roman" w:hAnsi="Century Gothic" w:cs="Times New Roman"/>
          <w:color w:val="595959" w:themeColor="text1" w:themeTint="A6"/>
          <w:sz w:val="24"/>
          <w:szCs w:val="24"/>
          <w:lang w:val="es-ES_tradnl" w:eastAsia="es-ES"/>
        </w:rPr>
        <w:t xml:space="preserve"> de la presente anualidad, el cual venció </w:t>
      </w:r>
      <w:r w:rsidRPr="00846496">
        <w:rPr>
          <w:rFonts w:ascii="Century Gothic" w:eastAsia="Times New Roman" w:hAnsi="Century Gothic" w:cs="Times New Roman"/>
          <w:color w:val="595959" w:themeColor="text1" w:themeTint="A6"/>
          <w:sz w:val="24"/>
          <w:szCs w:val="24"/>
          <w:lang w:val="es-ES_tradnl" w:eastAsia="es-ES"/>
        </w:rPr>
        <w:t>el día 2</w:t>
      </w:r>
      <w:r w:rsidR="00D64F19">
        <w:rPr>
          <w:rFonts w:ascii="Century Gothic" w:eastAsia="Times New Roman" w:hAnsi="Century Gothic" w:cs="Times New Roman"/>
          <w:color w:val="595959" w:themeColor="text1" w:themeTint="A6"/>
          <w:sz w:val="24"/>
          <w:szCs w:val="24"/>
          <w:lang w:val="es-ES_tradnl" w:eastAsia="es-ES"/>
        </w:rPr>
        <w:t>9</w:t>
      </w:r>
      <w:r w:rsidRPr="00846496">
        <w:rPr>
          <w:rFonts w:ascii="Century Gothic" w:eastAsia="Times New Roman" w:hAnsi="Century Gothic" w:cs="Times New Roman"/>
          <w:color w:val="595959" w:themeColor="text1" w:themeTint="A6"/>
          <w:sz w:val="24"/>
          <w:szCs w:val="24"/>
          <w:lang w:val="es-ES_tradnl" w:eastAsia="es-ES"/>
        </w:rPr>
        <w:t xml:space="preserve"> de abril</w:t>
      </w:r>
      <w:r w:rsidR="00795D7B">
        <w:rPr>
          <w:rFonts w:ascii="Century Gothic" w:eastAsia="Times New Roman" w:hAnsi="Century Gothic" w:cs="Times New Roman"/>
          <w:color w:val="595959" w:themeColor="text1" w:themeTint="A6"/>
          <w:sz w:val="24"/>
          <w:szCs w:val="24"/>
          <w:lang w:val="es-ES_tradnl" w:eastAsia="es-ES"/>
        </w:rPr>
        <w:t>.</w:t>
      </w:r>
      <w:r>
        <w:rPr>
          <w:rFonts w:ascii="Century Gothic" w:eastAsia="Times New Roman" w:hAnsi="Century Gothic" w:cs="Times New Roman"/>
          <w:color w:val="595959" w:themeColor="text1" w:themeTint="A6"/>
          <w:sz w:val="24"/>
          <w:szCs w:val="24"/>
          <w:lang w:val="es-ES_tradnl" w:eastAsia="es-ES"/>
        </w:rPr>
        <w:t xml:space="preserve"> </w:t>
      </w:r>
    </w:p>
    <w:p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347346"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Se </w:t>
      </w:r>
      <w:r w:rsidR="00846496" w:rsidRPr="00846496">
        <w:rPr>
          <w:rFonts w:ascii="Century Gothic" w:eastAsia="Times New Roman" w:hAnsi="Century Gothic" w:cs="Times New Roman"/>
          <w:color w:val="595959" w:themeColor="text1" w:themeTint="A6"/>
          <w:sz w:val="24"/>
          <w:szCs w:val="24"/>
          <w:lang w:val="es-ES_tradnl" w:eastAsia="es-ES"/>
        </w:rPr>
        <w:t>remiti</w:t>
      </w:r>
      <w:r>
        <w:rPr>
          <w:rFonts w:ascii="Century Gothic" w:eastAsia="Times New Roman" w:hAnsi="Century Gothic" w:cs="Times New Roman"/>
          <w:color w:val="595959" w:themeColor="text1" w:themeTint="A6"/>
          <w:sz w:val="24"/>
          <w:szCs w:val="24"/>
          <w:lang w:val="es-ES_tradnl" w:eastAsia="es-ES"/>
        </w:rPr>
        <w:t xml:space="preserve">ó </w:t>
      </w:r>
      <w:r w:rsidR="00846496" w:rsidRPr="00846496">
        <w:rPr>
          <w:rFonts w:ascii="Century Gothic" w:eastAsia="Times New Roman" w:hAnsi="Century Gothic" w:cs="Times New Roman"/>
          <w:color w:val="595959" w:themeColor="text1" w:themeTint="A6"/>
          <w:sz w:val="24"/>
          <w:szCs w:val="24"/>
          <w:lang w:val="es-ES_tradnl" w:eastAsia="es-ES"/>
        </w:rPr>
        <w:t xml:space="preserve">en medio magnético copia del auto </w:t>
      </w:r>
      <w:proofErr w:type="spellStart"/>
      <w:r w:rsidR="00846496" w:rsidRPr="00846496">
        <w:rPr>
          <w:rFonts w:ascii="Century Gothic" w:eastAsia="Times New Roman" w:hAnsi="Century Gothic" w:cs="Times New Roman"/>
          <w:color w:val="595959" w:themeColor="text1" w:themeTint="A6"/>
          <w:sz w:val="24"/>
          <w:szCs w:val="24"/>
          <w:lang w:val="es-ES_tradnl" w:eastAsia="es-ES"/>
        </w:rPr>
        <w:t>admisorio</w:t>
      </w:r>
      <w:proofErr w:type="spellEnd"/>
      <w:r w:rsidR="00846496" w:rsidRPr="00846496">
        <w:rPr>
          <w:rFonts w:ascii="Century Gothic" w:eastAsia="Times New Roman" w:hAnsi="Century Gothic" w:cs="Times New Roman"/>
          <w:color w:val="595959" w:themeColor="text1" w:themeTint="A6"/>
          <w:sz w:val="24"/>
          <w:szCs w:val="24"/>
          <w:lang w:val="es-ES_tradnl" w:eastAsia="es-ES"/>
        </w:rPr>
        <w:t xml:space="preserve"> y del</w:t>
      </w:r>
      <w:r>
        <w:rPr>
          <w:rFonts w:ascii="Century Gothic" w:eastAsia="Times New Roman" w:hAnsi="Century Gothic" w:cs="Times New Roman"/>
          <w:color w:val="595959" w:themeColor="text1" w:themeTint="A6"/>
          <w:sz w:val="24"/>
          <w:szCs w:val="24"/>
          <w:lang w:val="es-ES_tradnl" w:eastAsia="es-ES"/>
        </w:rPr>
        <w:t xml:space="preserve"> </w:t>
      </w:r>
      <w:r w:rsidR="00846496" w:rsidRPr="00846496">
        <w:rPr>
          <w:rFonts w:ascii="Century Gothic" w:eastAsia="Times New Roman" w:hAnsi="Century Gothic" w:cs="Times New Roman"/>
          <w:color w:val="595959" w:themeColor="text1" w:themeTint="A6"/>
          <w:sz w:val="24"/>
          <w:szCs w:val="24"/>
          <w:lang w:val="es-ES_tradnl" w:eastAsia="es-ES"/>
        </w:rPr>
        <w:t>decreto objeto de</w:t>
      </w:r>
      <w:r>
        <w:rPr>
          <w:rFonts w:ascii="Century Gothic" w:eastAsia="Times New Roman" w:hAnsi="Century Gothic" w:cs="Times New Roman"/>
          <w:color w:val="595959" w:themeColor="text1" w:themeTint="A6"/>
          <w:sz w:val="24"/>
          <w:szCs w:val="24"/>
          <w:lang w:val="es-ES_tradnl" w:eastAsia="es-ES"/>
        </w:rPr>
        <w:t xml:space="preserve"> control inmediato de legalidad</w:t>
      </w:r>
      <w:r w:rsidR="00846496" w:rsidRPr="00846496">
        <w:rPr>
          <w:rFonts w:ascii="Century Gothic" w:eastAsia="Times New Roman" w:hAnsi="Century Gothic" w:cs="Times New Roman"/>
          <w:color w:val="595959" w:themeColor="text1" w:themeTint="A6"/>
          <w:sz w:val="24"/>
          <w:szCs w:val="24"/>
          <w:lang w:val="es-ES_tradnl" w:eastAsia="es-ES"/>
        </w:rPr>
        <w:t xml:space="preserve"> al</w:t>
      </w:r>
      <w:r>
        <w:rPr>
          <w:rFonts w:ascii="Century Gothic" w:eastAsia="Times New Roman" w:hAnsi="Century Gothic" w:cs="Times New Roman"/>
          <w:color w:val="595959" w:themeColor="text1" w:themeTint="A6"/>
          <w:sz w:val="24"/>
          <w:szCs w:val="24"/>
          <w:lang w:val="es-ES_tradnl" w:eastAsia="es-ES"/>
        </w:rPr>
        <w:t xml:space="preserve"> Representante del M</w:t>
      </w:r>
      <w:r w:rsidR="00846496" w:rsidRPr="00846496">
        <w:rPr>
          <w:rFonts w:ascii="Century Gothic" w:eastAsia="Times New Roman" w:hAnsi="Century Gothic" w:cs="Times New Roman"/>
          <w:color w:val="595959" w:themeColor="text1" w:themeTint="A6"/>
          <w:sz w:val="24"/>
          <w:szCs w:val="24"/>
          <w:lang w:val="es-ES_tradnl" w:eastAsia="es-ES"/>
        </w:rPr>
        <w:t>inisterio</w:t>
      </w:r>
      <w:r>
        <w:rPr>
          <w:rFonts w:ascii="Century Gothic" w:eastAsia="Times New Roman" w:hAnsi="Century Gothic" w:cs="Times New Roman"/>
          <w:color w:val="595959" w:themeColor="text1" w:themeTint="A6"/>
          <w:sz w:val="24"/>
          <w:szCs w:val="24"/>
          <w:lang w:val="es-ES_tradnl" w:eastAsia="es-ES"/>
        </w:rPr>
        <w:t xml:space="preserve"> P</w:t>
      </w:r>
      <w:r w:rsidR="00846496" w:rsidRPr="00846496">
        <w:rPr>
          <w:rFonts w:ascii="Century Gothic" w:eastAsia="Times New Roman" w:hAnsi="Century Gothic" w:cs="Times New Roman"/>
          <w:color w:val="595959" w:themeColor="text1" w:themeTint="A6"/>
          <w:sz w:val="24"/>
          <w:szCs w:val="24"/>
          <w:lang w:val="es-ES_tradnl" w:eastAsia="es-ES"/>
        </w:rPr>
        <w:t>úblico</w:t>
      </w:r>
      <w:r>
        <w:rPr>
          <w:rFonts w:ascii="Century Gothic" w:eastAsia="Times New Roman" w:hAnsi="Century Gothic" w:cs="Times New Roman"/>
          <w:color w:val="595959" w:themeColor="text1" w:themeTint="A6"/>
          <w:sz w:val="24"/>
          <w:szCs w:val="24"/>
          <w:lang w:val="es-ES_tradnl" w:eastAsia="es-ES"/>
        </w:rPr>
        <w:t xml:space="preserve">, quien rindió </w:t>
      </w:r>
      <w:r w:rsidR="00846496" w:rsidRPr="00846496">
        <w:rPr>
          <w:rFonts w:ascii="Century Gothic" w:eastAsia="Times New Roman" w:hAnsi="Century Gothic" w:cs="Times New Roman"/>
          <w:color w:val="595959" w:themeColor="text1" w:themeTint="A6"/>
          <w:sz w:val="24"/>
          <w:szCs w:val="24"/>
          <w:lang w:val="es-ES_tradnl" w:eastAsia="es-ES"/>
        </w:rPr>
        <w:t xml:space="preserve">concepto el </w:t>
      </w:r>
      <w:r w:rsidRPr="00846496">
        <w:rPr>
          <w:rFonts w:ascii="Century Gothic" w:eastAsia="Times New Roman" w:hAnsi="Century Gothic" w:cs="Times New Roman"/>
          <w:color w:val="595959" w:themeColor="text1" w:themeTint="A6"/>
          <w:sz w:val="24"/>
          <w:szCs w:val="24"/>
          <w:lang w:val="es-ES_tradnl" w:eastAsia="es-ES"/>
        </w:rPr>
        <w:t>día</w:t>
      </w:r>
      <w:r w:rsidR="00846496" w:rsidRPr="00846496">
        <w:rPr>
          <w:rFonts w:ascii="Century Gothic" w:eastAsia="Times New Roman" w:hAnsi="Century Gothic" w:cs="Times New Roman"/>
          <w:color w:val="595959" w:themeColor="text1" w:themeTint="A6"/>
          <w:sz w:val="24"/>
          <w:szCs w:val="24"/>
          <w:lang w:val="es-ES_tradnl" w:eastAsia="es-ES"/>
        </w:rPr>
        <w:t xml:space="preserve"> </w:t>
      </w:r>
      <w:r w:rsidR="00D64F19">
        <w:rPr>
          <w:rFonts w:ascii="Century Gothic" w:eastAsia="Times New Roman" w:hAnsi="Century Gothic" w:cs="Times New Roman"/>
          <w:color w:val="595959" w:themeColor="text1" w:themeTint="A6"/>
          <w:sz w:val="24"/>
          <w:szCs w:val="24"/>
          <w:lang w:val="es-ES_tradnl" w:eastAsia="es-ES"/>
        </w:rPr>
        <w:t>12</w:t>
      </w:r>
      <w:r w:rsidR="00111973">
        <w:rPr>
          <w:rFonts w:ascii="Century Gothic" w:eastAsia="Times New Roman" w:hAnsi="Century Gothic" w:cs="Times New Roman"/>
          <w:color w:val="595959" w:themeColor="text1" w:themeTint="A6"/>
          <w:sz w:val="24"/>
          <w:szCs w:val="24"/>
          <w:lang w:val="es-ES_tradnl" w:eastAsia="es-ES"/>
        </w:rPr>
        <w:t xml:space="preserve"> de mayo</w:t>
      </w:r>
      <w:r w:rsidR="00846496" w:rsidRPr="00846496">
        <w:rPr>
          <w:rFonts w:ascii="Century Gothic" w:eastAsia="Times New Roman" w:hAnsi="Century Gothic" w:cs="Times New Roman"/>
          <w:color w:val="595959" w:themeColor="text1" w:themeTint="A6"/>
          <w:sz w:val="24"/>
          <w:szCs w:val="24"/>
          <w:lang w:val="es-ES_tradnl" w:eastAsia="es-ES"/>
        </w:rPr>
        <w:t>.</w:t>
      </w:r>
    </w:p>
    <w:p w:rsidR="00795D7B"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r>
        <w:rPr>
          <w:rFonts w:ascii="Century Gothic" w:eastAsia="Times New Roman" w:hAnsi="Century Gothic" w:cs="Times New Roman"/>
          <w:b/>
          <w:color w:val="595959" w:themeColor="text1" w:themeTint="A6"/>
          <w:sz w:val="24"/>
          <w:szCs w:val="24"/>
          <w:lang w:val="es-ES_tradnl" w:eastAsia="es-ES"/>
        </w:rPr>
        <w:t>3. Concepto del Ministerio Público</w:t>
      </w:r>
    </w:p>
    <w:p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rsidR="00111973" w:rsidRPr="00111973" w:rsidRDefault="00795D7B"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El Representante del Ministerio Público emitió concepto, manifestando que el Decreto </w:t>
      </w:r>
      <w:r w:rsidR="009E3925">
        <w:rPr>
          <w:rFonts w:ascii="Century Gothic" w:eastAsia="Times New Roman" w:hAnsi="Century Gothic" w:cs="Times New Roman"/>
          <w:color w:val="595959" w:themeColor="text1" w:themeTint="A6"/>
          <w:sz w:val="24"/>
          <w:szCs w:val="24"/>
          <w:lang w:val="es-ES_tradnl" w:eastAsia="es-ES"/>
        </w:rPr>
        <w:t>20-03-20-01</w:t>
      </w:r>
      <w:r w:rsidR="00111973">
        <w:rPr>
          <w:rFonts w:ascii="Century Gothic" w:eastAsia="Times New Roman" w:hAnsi="Century Gothic" w:cs="Times New Roman"/>
          <w:color w:val="595959" w:themeColor="text1" w:themeTint="A6"/>
          <w:sz w:val="24"/>
          <w:szCs w:val="24"/>
          <w:lang w:val="es-ES_tradnl" w:eastAsia="es-ES"/>
        </w:rPr>
        <w:t xml:space="preserve"> de 2</w:t>
      </w:r>
      <w:r w:rsidR="009E3925">
        <w:rPr>
          <w:rFonts w:ascii="Century Gothic" w:eastAsia="Times New Roman" w:hAnsi="Century Gothic" w:cs="Times New Roman"/>
          <w:color w:val="595959" w:themeColor="text1" w:themeTint="A6"/>
          <w:sz w:val="24"/>
          <w:szCs w:val="24"/>
          <w:lang w:val="es-ES_tradnl" w:eastAsia="es-ES"/>
        </w:rPr>
        <w:t>0</w:t>
      </w:r>
      <w:r>
        <w:rPr>
          <w:rFonts w:ascii="Century Gothic" w:eastAsia="Times New Roman" w:hAnsi="Century Gothic" w:cs="Times New Roman"/>
          <w:color w:val="595959" w:themeColor="text1" w:themeTint="A6"/>
          <w:sz w:val="24"/>
          <w:szCs w:val="24"/>
          <w:lang w:val="es-ES_tradnl" w:eastAsia="es-ES"/>
        </w:rPr>
        <w:t xml:space="preserve"> de marzo de 2020 se expidió </w:t>
      </w:r>
      <w:r w:rsidR="00111973">
        <w:rPr>
          <w:rFonts w:ascii="Century Gothic" w:eastAsia="Times New Roman" w:hAnsi="Century Gothic" w:cs="Times New Roman"/>
          <w:color w:val="595959" w:themeColor="text1" w:themeTint="A6"/>
          <w:sz w:val="24"/>
          <w:szCs w:val="24"/>
          <w:lang w:val="es-ES_tradnl" w:eastAsia="es-ES"/>
        </w:rPr>
        <w:t xml:space="preserve">con fundamento en </w:t>
      </w:r>
      <w:r w:rsidR="00111973" w:rsidRPr="00111973">
        <w:rPr>
          <w:rFonts w:ascii="Century Gothic" w:eastAsia="Times New Roman" w:hAnsi="Century Gothic" w:cs="Times New Roman"/>
          <w:color w:val="595959" w:themeColor="text1" w:themeTint="A6"/>
          <w:sz w:val="24"/>
          <w:szCs w:val="24"/>
          <w:lang w:val="es-ES_tradnl" w:eastAsia="es-ES"/>
        </w:rPr>
        <w:t xml:space="preserve">las facultades propias de los alcaldes municipales, es decir, que por ningún lado se menciona que las medidas adoptadas en </w:t>
      </w:r>
      <w:r w:rsidR="00111973">
        <w:rPr>
          <w:rFonts w:ascii="Century Gothic" w:eastAsia="Times New Roman" w:hAnsi="Century Gothic" w:cs="Times New Roman"/>
          <w:color w:val="595959" w:themeColor="text1" w:themeTint="A6"/>
          <w:sz w:val="24"/>
          <w:szCs w:val="24"/>
          <w:lang w:val="es-ES_tradnl" w:eastAsia="es-ES"/>
        </w:rPr>
        <w:t xml:space="preserve">el mismo </w:t>
      </w:r>
      <w:r w:rsidR="00111973" w:rsidRPr="00111973">
        <w:rPr>
          <w:rFonts w:ascii="Century Gothic" w:eastAsia="Times New Roman" w:hAnsi="Century Gothic" w:cs="Times New Roman"/>
          <w:color w:val="595959" w:themeColor="text1" w:themeTint="A6"/>
          <w:sz w:val="24"/>
          <w:szCs w:val="24"/>
          <w:lang w:val="es-ES_tradnl" w:eastAsia="es-ES"/>
        </w:rPr>
        <w:t>sean consecuencia de un decreto legislativo dictado por el Presidente de la República en desarrollo del estado de Excepción declarado por el Decreto 417 de 17 de marzo de 2020.</w:t>
      </w:r>
    </w:p>
    <w:p w:rsidR="00111973" w:rsidRPr="00111973" w:rsidRDefault="00111973"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111973" w:rsidRPr="00111973" w:rsidRDefault="00111973"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sidRPr="00111973">
        <w:rPr>
          <w:rFonts w:ascii="Century Gothic" w:eastAsia="Times New Roman" w:hAnsi="Century Gothic" w:cs="Times New Roman"/>
          <w:color w:val="595959" w:themeColor="text1" w:themeTint="A6"/>
          <w:sz w:val="24"/>
          <w:szCs w:val="24"/>
          <w:lang w:val="es-ES_tradnl" w:eastAsia="es-ES"/>
        </w:rPr>
        <w:t xml:space="preserve">Incluso, los decretos 418, 420 y 457 de 2020, que también son fundamento del acto sub examine, tampoco en criterio del </w:t>
      </w:r>
      <w:r>
        <w:rPr>
          <w:rFonts w:ascii="Century Gothic" w:eastAsia="Times New Roman" w:hAnsi="Century Gothic" w:cs="Times New Roman"/>
          <w:color w:val="595959" w:themeColor="text1" w:themeTint="A6"/>
          <w:sz w:val="24"/>
          <w:szCs w:val="24"/>
          <w:lang w:val="es-ES_tradnl" w:eastAsia="es-ES"/>
        </w:rPr>
        <w:t>Representante del Ministerio Público</w:t>
      </w:r>
      <w:r w:rsidRPr="00111973">
        <w:rPr>
          <w:rFonts w:ascii="Century Gothic" w:eastAsia="Times New Roman" w:hAnsi="Century Gothic" w:cs="Times New Roman"/>
          <w:color w:val="595959" w:themeColor="text1" w:themeTint="A6"/>
          <w:sz w:val="24"/>
          <w:szCs w:val="24"/>
          <w:lang w:val="es-ES_tradnl" w:eastAsia="es-ES"/>
        </w:rPr>
        <w:t>, son decretos legislativos, pues mediante ellos el Presidente de la República, haciendo gala de sus atribuciones constitucionales y legales normales de policía, deja claro que es él la máxima autoridad de policía del país y que cualquier medida que en este sentido se adopte por los mandatarios locales, deberán ser consultadas con el ejecutivo nacional en aras de mantener una adecuada coordinación y control de las mismas, igualmente deja claro que dichas medidas son tomadas en virtud de la Resolución 385 de 12 de marzo de 2020, mediante la cual el Ministerio de Salud y la Protección Social declaró la emergencia sanitaria antes de la declaratoria del estado de excepción.</w:t>
      </w:r>
    </w:p>
    <w:p w:rsidR="00111973" w:rsidRPr="00111973" w:rsidRDefault="00111973"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111973" w:rsidRPr="00111973" w:rsidRDefault="00360187"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En criterio del </w:t>
      </w:r>
      <w:r w:rsidR="00111973" w:rsidRPr="00111973">
        <w:rPr>
          <w:rFonts w:ascii="Century Gothic" w:eastAsia="Times New Roman" w:hAnsi="Century Gothic" w:cs="Times New Roman"/>
          <w:color w:val="595959" w:themeColor="text1" w:themeTint="A6"/>
          <w:sz w:val="24"/>
          <w:szCs w:val="24"/>
          <w:lang w:val="es-ES_tradnl" w:eastAsia="es-ES"/>
        </w:rPr>
        <w:t xml:space="preserve">agente del Ministerio Publico, el Decreto precitado, es proferido por el Señor Alcalde de </w:t>
      </w:r>
      <w:r w:rsidR="009E3925">
        <w:rPr>
          <w:rFonts w:ascii="Century Gothic" w:eastAsia="Times New Roman" w:hAnsi="Century Gothic" w:cs="Times New Roman"/>
          <w:color w:val="595959" w:themeColor="text1" w:themeTint="A6"/>
          <w:sz w:val="24"/>
          <w:szCs w:val="24"/>
          <w:lang w:val="es-ES_tradnl" w:eastAsia="es-ES"/>
        </w:rPr>
        <w:t>Hatillo de Loba</w:t>
      </w:r>
      <w:r w:rsidR="000C0CC9">
        <w:rPr>
          <w:rFonts w:ascii="Century Gothic" w:eastAsia="Times New Roman" w:hAnsi="Century Gothic" w:cs="Times New Roman"/>
          <w:color w:val="595959" w:themeColor="text1" w:themeTint="A6"/>
          <w:sz w:val="24"/>
          <w:szCs w:val="24"/>
          <w:lang w:val="es-ES_tradnl" w:eastAsia="es-ES"/>
        </w:rPr>
        <w:t xml:space="preserve"> </w:t>
      </w:r>
      <w:r w:rsidR="00111973" w:rsidRPr="00111973">
        <w:rPr>
          <w:rFonts w:ascii="Century Gothic" w:eastAsia="Times New Roman" w:hAnsi="Century Gothic" w:cs="Times New Roman"/>
          <w:color w:val="595959" w:themeColor="text1" w:themeTint="A6"/>
          <w:sz w:val="24"/>
          <w:szCs w:val="24"/>
          <w:lang w:val="es-ES_tradnl" w:eastAsia="es-ES"/>
        </w:rPr>
        <w:t>(Bolívar), en virtud de las funciones que le otorga de manera autónoma la Constitución y la ley, que lo facultan para tomar medidas de orden administrativo, sanitario y policivo, es decir, que no es un acto general que desarrolle o se expida con base en decretos legislativos, y por lo mismo, no es susceptible del control automático de legalidad.</w:t>
      </w:r>
    </w:p>
    <w:p w:rsidR="00A0365F" w:rsidRDefault="00A0365F"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B03E6C" w:rsidRPr="009B3E44" w:rsidRDefault="00B03E6C"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III.- CONTROL DE LEGALIDAD</w:t>
      </w:r>
    </w:p>
    <w:p w:rsidR="00A0365F" w:rsidRPr="009B3E44" w:rsidRDefault="00A0365F" w:rsidP="00A0365F">
      <w:pPr>
        <w:spacing w:after="0"/>
        <w:rPr>
          <w:rFonts w:ascii="Century Gothic" w:eastAsia="Times New Roman" w:hAnsi="Century Gothic" w:cs="Arial"/>
          <w:b/>
          <w:color w:val="595959" w:themeColor="text1" w:themeTint="A6"/>
          <w:sz w:val="24"/>
          <w:szCs w:val="24"/>
          <w:lang w:eastAsia="es-ES"/>
        </w:rPr>
      </w:pPr>
    </w:p>
    <w:p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CO" w:eastAsia="es-ES"/>
        </w:rPr>
      </w:pPr>
      <w:r w:rsidRPr="009B3E44">
        <w:rPr>
          <w:rFonts w:ascii="Century Gothic" w:eastAsia="Times New Roman" w:hAnsi="Century Gothic" w:cs="Arial Narrow"/>
          <w:color w:val="595959" w:themeColor="text1" w:themeTint="A6"/>
          <w:sz w:val="24"/>
          <w:szCs w:val="24"/>
          <w:lang w:eastAsia="es-ES"/>
        </w:rPr>
        <w:lastRenderedPageBreak/>
        <w:t>No se advierten irregularidades sustanciales o procedimentales que conlleven a decretar la nulidad total o parcial de lo actuado</w:t>
      </w:r>
      <w:r w:rsidRPr="009B3E44">
        <w:rPr>
          <w:rFonts w:ascii="Century Gothic" w:eastAsia="Times New Roman" w:hAnsi="Century Gothic" w:cs="Arial Narrow"/>
          <w:color w:val="595959" w:themeColor="text1" w:themeTint="A6"/>
          <w:sz w:val="24"/>
          <w:szCs w:val="24"/>
          <w:lang w:val="es-CO" w:eastAsia="es-ES"/>
        </w:rPr>
        <w:t>, al observarse el cumplimiento de</w:t>
      </w:r>
      <w:r w:rsidR="00AE3686">
        <w:rPr>
          <w:rFonts w:ascii="Century Gothic" w:eastAsia="Times New Roman" w:hAnsi="Century Gothic" w:cs="Arial Narrow"/>
          <w:color w:val="595959" w:themeColor="text1" w:themeTint="A6"/>
          <w:sz w:val="24"/>
          <w:szCs w:val="24"/>
          <w:lang w:val="es-CO" w:eastAsia="es-ES"/>
        </w:rPr>
        <w:t xml:space="preserve"> lo dispuesto por el artículo 185 del CPACA</w:t>
      </w:r>
      <w:r w:rsidRPr="009B3E44">
        <w:rPr>
          <w:rFonts w:ascii="Century Gothic" w:eastAsia="Times New Roman" w:hAnsi="Century Gothic" w:cs="Arial Narrow"/>
          <w:color w:val="595959" w:themeColor="text1" w:themeTint="A6"/>
          <w:sz w:val="24"/>
          <w:szCs w:val="24"/>
          <w:lang w:val="es-CO" w:eastAsia="es-ES"/>
        </w:rPr>
        <w:t>.</w:t>
      </w:r>
    </w:p>
    <w:p w:rsidR="00A0365F" w:rsidRDefault="00A0365F" w:rsidP="00A0365F">
      <w:pPr>
        <w:spacing w:after="0"/>
        <w:rPr>
          <w:rFonts w:ascii="Century Gothic" w:eastAsia="Times New Roman" w:hAnsi="Century Gothic" w:cs="Arial"/>
          <w:b/>
          <w:color w:val="595959" w:themeColor="text1" w:themeTint="A6"/>
          <w:sz w:val="24"/>
          <w:szCs w:val="24"/>
          <w:lang w:eastAsia="es-ES"/>
        </w:rPr>
      </w:pPr>
    </w:p>
    <w:p w:rsidR="00B03E6C" w:rsidRPr="009B3E44" w:rsidRDefault="00B03E6C" w:rsidP="00A0365F">
      <w:pPr>
        <w:spacing w:after="0"/>
        <w:rPr>
          <w:rFonts w:ascii="Century Gothic" w:eastAsia="Times New Roman" w:hAnsi="Century Gothic" w:cs="Arial"/>
          <w:b/>
          <w:color w:val="595959" w:themeColor="text1" w:themeTint="A6"/>
          <w:sz w:val="24"/>
          <w:szCs w:val="24"/>
          <w:lang w:eastAsia="es-ES"/>
        </w:rPr>
      </w:pPr>
    </w:p>
    <w:p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IV.- CONSIDERACIONES DE LA SALA</w:t>
      </w:r>
    </w:p>
    <w:p w:rsidR="00A0365F" w:rsidRDefault="00A0365F"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rsidR="00B03E6C" w:rsidRPr="009B3E44" w:rsidRDefault="00B03E6C"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Competencia</w:t>
      </w:r>
    </w:p>
    <w:p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r w:rsidRPr="009B3E44">
        <w:rPr>
          <w:rFonts w:ascii="Century Gothic" w:eastAsia="Times New Roman" w:hAnsi="Century Gothic" w:cs="Times New Roman"/>
          <w:color w:val="595959" w:themeColor="text1" w:themeTint="A6"/>
          <w:sz w:val="24"/>
          <w:szCs w:val="24"/>
          <w:lang w:eastAsia="es-ES"/>
        </w:rPr>
        <w:t xml:space="preserve">Es competente este Tribunal para resolver en única instancia el asunto de la referencia, de conformidad con lo dispuesto en el numeral </w:t>
      </w:r>
      <w:r w:rsidR="00AE3686">
        <w:rPr>
          <w:rFonts w:ascii="Century Gothic" w:eastAsia="Times New Roman" w:hAnsi="Century Gothic" w:cs="Times New Roman"/>
          <w:color w:val="595959" w:themeColor="text1" w:themeTint="A6"/>
          <w:sz w:val="24"/>
          <w:szCs w:val="24"/>
          <w:lang w:eastAsia="es-ES"/>
        </w:rPr>
        <w:t>1</w:t>
      </w:r>
      <w:r w:rsidRPr="009B3E44">
        <w:rPr>
          <w:rFonts w:ascii="Century Gothic" w:eastAsia="Times New Roman" w:hAnsi="Century Gothic" w:cs="Times New Roman"/>
          <w:color w:val="595959" w:themeColor="text1" w:themeTint="A6"/>
          <w:sz w:val="24"/>
          <w:szCs w:val="24"/>
          <w:lang w:eastAsia="es-ES"/>
        </w:rPr>
        <w:t>4 del artículo 151 de la Ley 1437 de 2011</w:t>
      </w:r>
      <w:r w:rsidR="00AE3686">
        <w:rPr>
          <w:rFonts w:ascii="Century Gothic" w:eastAsia="Times New Roman" w:hAnsi="Century Gothic" w:cs="Times New Roman"/>
          <w:color w:val="595959" w:themeColor="text1" w:themeTint="A6"/>
          <w:sz w:val="24"/>
          <w:szCs w:val="24"/>
          <w:lang w:eastAsia="es-ES"/>
        </w:rPr>
        <w:t>.</w:t>
      </w:r>
    </w:p>
    <w:p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Problema Jurídico</w:t>
      </w:r>
    </w:p>
    <w:p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rsidR="00B03E6C" w:rsidRDefault="0020653D" w:rsidP="0020653D">
      <w:pPr>
        <w:suppressAutoHyphens/>
        <w:spacing w:after="0"/>
        <w:jc w:val="both"/>
        <w:rPr>
          <w:rFonts w:ascii="Century Gothic" w:eastAsia="Times New Roman" w:hAnsi="Century Gothic" w:cs="Times New Roman"/>
          <w:color w:val="595959" w:themeColor="text1" w:themeTint="A6"/>
          <w:sz w:val="24"/>
          <w:szCs w:val="24"/>
          <w:lang w:eastAsia="es-ES"/>
        </w:rPr>
      </w:pPr>
      <w:r w:rsidRPr="0020653D">
        <w:rPr>
          <w:rFonts w:ascii="Century Gothic" w:eastAsia="Times New Roman" w:hAnsi="Century Gothic" w:cs="Times New Roman"/>
          <w:color w:val="595959" w:themeColor="text1" w:themeTint="A6"/>
          <w:sz w:val="24"/>
          <w:szCs w:val="24"/>
          <w:lang w:eastAsia="es-ES"/>
        </w:rPr>
        <w:t xml:space="preserve">De lo consignado en los antecedentes, se colige que </w:t>
      </w:r>
      <w:r w:rsidR="00B03E6C">
        <w:rPr>
          <w:rFonts w:ascii="Century Gothic" w:eastAsia="Times New Roman" w:hAnsi="Century Gothic" w:cs="Times New Roman"/>
          <w:color w:val="595959" w:themeColor="text1" w:themeTint="A6"/>
          <w:sz w:val="24"/>
          <w:szCs w:val="24"/>
          <w:lang w:eastAsia="es-ES"/>
        </w:rPr>
        <w:t>los</w:t>
      </w:r>
      <w:r w:rsidRPr="0020653D">
        <w:rPr>
          <w:rFonts w:ascii="Century Gothic" w:eastAsia="Times New Roman" w:hAnsi="Century Gothic" w:cs="Times New Roman"/>
          <w:color w:val="595959" w:themeColor="text1" w:themeTint="A6"/>
          <w:sz w:val="24"/>
          <w:szCs w:val="24"/>
          <w:lang w:eastAsia="es-ES"/>
        </w:rPr>
        <w:t xml:space="preserve"> problema</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jurídico</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a resolver se contrae</w:t>
      </w:r>
      <w:r w:rsidR="00B03E6C">
        <w:rPr>
          <w:rFonts w:ascii="Century Gothic" w:eastAsia="Times New Roman" w:hAnsi="Century Gothic" w:cs="Times New Roman"/>
          <w:color w:val="595959" w:themeColor="text1" w:themeTint="A6"/>
          <w:sz w:val="24"/>
          <w:szCs w:val="24"/>
          <w:lang w:eastAsia="es-ES"/>
        </w:rPr>
        <w:t>n a establecer:</w:t>
      </w:r>
    </w:p>
    <w:p w:rsidR="00B03E6C" w:rsidRDefault="00B03E6C" w:rsidP="0020653D">
      <w:pPr>
        <w:suppressAutoHyphens/>
        <w:spacing w:after="0"/>
        <w:jc w:val="both"/>
        <w:rPr>
          <w:rFonts w:ascii="Century Gothic" w:eastAsia="Times New Roman" w:hAnsi="Century Gothic" w:cs="Times New Roman"/>
          <w:color w:val="595959" w:themeColor="text1" w:themeTint="A6"/>
          <w:sz w:val="24"/>
          <w:szCs w:val="24"/>
          <w:lang w:eastAsia="es-ES"/>
        </w:rPr>
      </w:pPr>
    </w:p>
    <w:p w:rsidR="00B03E6C"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¿Es el Decreto</w:t>
      </w:r>
      <w:r w:rsidR="009E3925">
        <w:rPr>
          <w:rFonts w:ascii="Century Gothic" w:eastAsia="Times New Roman" w:hAnsi="Century Gothic" w:cs="Times New Roman"/>
          <w:i/>
          <w:color w:val="595959" w:themeColor="text1" w:themeTint="A6"/>
          <w:sz w:val="24"/>
          <w:szCs w:val="24"/>
          <w:lang w:eastAsia="es-ES"/>
        </w:rPr>
        <w:t xml:space="preserve"> 20-03-20-01</w:t>
      </w:r>
      <w:r w:rsidR="00360187">
        <w:rPr>
          <w:rFonts w:ascii="Century Gothic" w:eastAsia="Times New Roman" w:hAnsi="Century Gothic" w:cs="Times New Roman"/>
          <w:i/>
          <w:color w:val="595959" w:themeColor="text1" w:themeTint="A6"/>
          <w:sz w:val="24"/>
          <w:szCs w:val="24"/>
          <w:lang w:eastAsia="es-ES"/>
        </w:rPr>
        <w:t xml:space="preserve"> de 2</w:t>
      </w:r>
      <w:r w:rsidR="009E3925">
        <w:rPr>
          <w:rFonts w:ascii="Century Gothic" w:eastAsia="Times New Roman" w:hAnsi="Century Gothic" w:cs="Times New Roman"/>
          <w:i/>
          <w:color w:val="595959" w:themeColor="text1" w:themeTint="A6"/>
          <w:sz w:val="24"/>
          <w:szCs w:val="24"/>
          <w:lang w:eastAsia="es-ES"/>
        </w:rPr>
        <w:t>0</w:t>
      </w:r>
      <w:r w:rsidRPr="00B03E6C">
        <w:rPr>
          <w:rFonts w:ascii="Century Gothic" w:eastAsia="Times New Roman" w:hAnsi="Century Gothic" w:cs="Times New Roman"/>
          <w:i/>
          <w:color w:val="595959" w:themeColor="text1" w:themeTint="A6"/>
          <w:sz w:val="24"/>
          <w:szCs w:val="24"/>
          <w:lang w:eastAsia="es-ES"/>
        </w:rPr>
        <w:t xml:space="preserve"> de marzo de 2020 expedido por </w:t>
      </w:r>
      <w:r w:rsidR="00360187">
        <w:rPr>
          <w:rFonts w:ascii="Century Gothic" w:eastAsia="Times New Roman" w:hAnsi="Century Gothic" w:cs="Times New Roman"/>
          <w:i/>
          <w:color w:val="595959" w:themeColor="text1" w:themeTint="A6"/>
          <w:sz w:val="24"/>
          <w:szCs w:val="24"/>
          <w:lang w:eastAsia="es-ES"/>
        </w:rPr>
        <w:t>el</w:t>
      </w:r>
      <w:r w:rsidRPr="00B03E6C">
        <w:rPr>
          <w:rFonts w:ascii="Century Gothic" w:eastAsia="Times New Roman" w:hAnsi="Century Gothic" w:cs="Times New Roman"/>
          <w:i/>
          <w:color w:val="595959" w:themeColor="text1" w:themeTint="A6"/>
          <w:sz w:val="24"/>
          <w:szCs w:val="24"/>
          <w:lang w:eastAsia="es-ES"/>
        </w:rPr>
        <w:t xml:space="preserve"> Alcalde del Municipio de </w:t>
      </w:r>
      <w:r w:rsidR="009E3925">
        <w:rPr>
          <w:rFonts w:ascii="Century Gothic" w:eastAsia="Times New Roman" w:hAnsi="Century Gothic" w:cs="Times New Roman"/>
          <w:i/>
          <w:color w:val="595959" w:themeColor="text1" w:themeTint="A6"/>
          <w:sz w:val="24"/>
          <w:szCs w:val="24"/>
          <w:lang w:eastAsia="es-ES"/>
        </w:rPr>
        <w:t>Hatillo de Loba</w:t>
      </w:r>
      <w:r w:rsidRPr="00B03E6C">
        <w:rPr>
          <w:rFonts w:ascii="Century Gothic" w:eastAsia="Times New Roman" w:hAnsi="Century Gothic" w:cs="Times New Roman"/>
          <w:i/>
          <w:color w:val="595959" w:themeColor="text1" w:themeTint="A6"/>
          <w:sz w:val="24"/>
          <w:szCs w:val="24"/>
          <w:lang w:eastAsia="es-ES"/>
        </w:rPr>
        <w:t xml:space="preserve"> – Bolívar objeto del medio de control de Control Inmediato de legalidad?</w:t>
      </w:r>
    </w:p>
    <w:p w:rsidR="00B03E6C" w:rsidRPr="00B03E6C" w:rsidRDefault="00B03E6C" w:rsidP="00B03E6C">
      <w:pPr>
        <w:suppressAutoHyphens/>
        <w:spacing w:after="0"/>
        <w:jc w:val="both"/>
        <w:rPr>
          <w:rFonts w:ascii="Century Gothic" w:eastAsia="Times New Roman" w:hAnsi="Century Gothic" w:cs="Times New Roman"/>
          <w:i/>
          <w:color w:val="595959" w:themeColor="text1" w:themeTint="A6"/>
          <w:sz w:val="24"/>
          <w:szCs w:val="24"/>
          <w:lang w:eastAsia="es-ES"/>
        </w:rPr>
      </w:pPr>
    </w:p>
    <w:p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caso negativo, la Sala Plena se inhibirá para decidir de fondo el presente asunto; en caso positivo, se deberá resolver si, </w:t>
      </w:r>
    </w:p>
    <w:p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p>
    <w:p w:rsidR="0020653D"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 xml:space="preserve">¿El Decreto </w:t>
      </w:r>
      <w:r w:rsidR="009E3925">
        <w:rPr>
          <w:rFonts w:ascii="Century Gothic" w:eastAsia="Times New Roman" w:hAnsi="Century Gothic" w:cs="Times New Roman"/>
          <w:i/>
          <w:color w:val="595959" w:themeColor="text1" w:themeTint="A6"/>
          <w:sz w:val="24"/>
          <w:szCs w:val="24"/>
          <w:lang w:eastAsia="es-ES"/>
        </w:rPr>
        <w:t>20-03-20-01</w:t>
      </w:r>
      <w:r w:rsidR="00360187">
        <w:rPr>
          <w:rFonts w:ascii="Century Gothic" w:eastAsia="Times New Roman" w:hAnsi="Century Gothic" w:cs="Times New Roman"/>
          <w:i/>
          <w:color w:val="595959" w:themeColor="text1" w:themeTint="A6"/>
          <w:sz w:val="24"/>
          <w:szCs w:val="24"/>
          <w:lang w:eastAsia="es-ES"/>
        </w:rPr>
        <w:t xml:space="preserve"> de 2</w:t>
      </w:r>
      <w:r w:rsidR="009E3925">
        <w:rPr>
          <w:rFonts w:ascii="Century Gothic" w:eastAsia="Times New Roman" w:hAnsi="Century Gothic" w:cs="Times New Roman"/>
          <w:i/>
          <w:color w:val="595959" w:themeColor="text1" w:themeTint="A6"/>
          <w:sz w:val="24"/>
          <w:szCs w:val="24"/>
          <w:lang w:eastAsia="es-ES"/>
        </w:rPr>
        <w:t>0</w:t>
      </w:r>
      <w:r w:rsidR="00360187">
        <w:rPr>
          <w:rFonts w:ascii="Century Gothic" w:eastAsia="Times New Roman" w:hAnsi="Century Gothic" w:cs="Times New Roman"/>
          <w:i/>
          <w:color w:val="595959" w:themeColor="text1" w:themeTint="A6"/>
          <w:sz w:val="24"/>
          <w:szCs w:val="24"/>
          <w:lang w:eastAsia="es-ES"/>
        </w:rPr>
        <w:t xml:space="preserve"> de marzo de 2020 expedido por el</w:t>
      </w:r>
      <w:r w:rsidRPr="00B03E6C">
        <w:rPr>
          <w:rFonts w:ascii="Century Gothic" w:eastAsia="Times New Roman" w:hAnsi="Century Gothic" w:cs="Times New Roman"/>
          <w:i/>
          <w:color w:val="595959" w:themeColor="text1" w:themeTint="A6"/>
          <w:sz w:val="24"/>
          <w:szCs w:val="24"/>
          <w:lang w:eastAsia="es-ES"/>
        </w:rPr>
        <w:t xml:space="preserve"> Alcalde del Municipio de </w:t>
      </w:r>
      <w:r w:rsidR="009E3925">
        <w:rPr>
          <w:rFonts w:ascii="Century Gothic" w:eastAsia="Times New Roman" w:hAnsi="Century Gothic" w:cs="Times New Roman"/>
          <w:i/>
          <w:color w:val="595959" w:themeColor="text1" w:themeTint="A6"/>
          <w:sz w:val="24"/>
          <w:szCs w:val="24"/>
          <w:lang w:eastAsia="es-ES"/>
        </w:rPr>
        <w:t xml:space="preserve">Hatillo de Loba </w:t>
      </w:r>
      <w:r w:rsidRPr="00B03E6C">
        <w:rPr>
          <w:rFonts w:ascii="Century Gothic" w:eastAsia="Times New Roman" w:hAnsi="Century Gothic" w:cs="Times New Roman"/>
          <w:i/>
          <w:color w:val="595959" w:themeColor="text1" w:themeTint="A6"/>
          <w:sz w:val="24"/>
          <w:szCs w:val="24"/>
          <w:lang w:eastAsia="es-ES"/>
        </w:rPr>
        <w:t>– Bolívar se ajusta o no a derecho?</w:t>
      </w:r>
    </w:p>
    <w:p w:rsidR="00B03E6C" w:rsidRPr="00B03E6C" w:rsidRDefault="00B03E6C" w:rsidP="00B03E6C">
      <w:pPr>
        <w:pStyle w:val="Prrafodelista"/>
        <w:suppressAutoHyphens/>
        <w:spacing w:after="0"/>
        <w:ind w:left="1080"/>
        <w:jc w:val="both"/>
        <w:rPr>
          <w:rFonts w:ascii="Century Gothic" w:eastAsia="Times New Roman" w:hAnsi="Century Gothic" w:cs="Times New Roman"/>
          <w:color w:val="595959" w:themeColor="text1" w:themeTint="A6"/>
          <w:sz w:val="24"/>
          <w:szCs w:val="24"/>
          <w:lang w:eastAsia="es-ES"/>
        </w:rPr>
      </w:pPr>
    </w:p>
    <w:p w:rsidR="00A0365F" w:rsidRPr="00482503"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482503">
        <w:rPr>
          <w:rFonts w:ascii="Century Gothic" w:eastAsia="Times New Roman" w:hAnsi="Century Gothic" w:cs="Times New Roman"/>
          <w:b/>
          <w:color w:val="595959" w:themeColor="text1" w:themeTint="A6"/>
          <w:sz w:val="24"/>
          <w:szCs w:val="24"/>
          <w:lang w:eastAsia="es-ES"/>
        </w:rPr>
        <w:t>3. Tesis</w:t>
      </w:r>
    </w:p>
    <w:p w:rsidR="00A0365F" w:rsidRPr="00482503" w:rsidRDefault="00A0365F" w:rsidP="00A0365F">
      <w:pPr>
        <w:suppressAutoHyphens/>
        <w:spacing w:after="0"/>
        <w:jc w:val="both"/>
        <w:rPr>
          <w:rFonts w:ascii="Century Gothic" w:eastAsia="Times New Roman" w:hAnsi="Century Gothic" w:cs="Times New Roman"/>
          <w:color w:val="595959" w:themeColor="text1" w:themeTint="A6"/>
          <w:sz w:val="24"/>
          <w:szCs w:val="24"/>
          <w:lang w:val="es-CO" w:eastAsia="es-ES"/>
        </w:rPr>
      </w:pPr>
    </w:p>
    <w:p w:rsidR="00482503" w:rsidRPr="00482503" w:rsidRDefault="004C1CC5" w:rsidP="00482503">
      <w:pPr>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val="es-CO" w:eastAsia="es-ES"/>
        </w:rPr>
        <w:t xml:space="preserve">La Sala </w:t>
      </w:r>
      <w:r w:rsidR="00B03E6C">
        <w:rPr>
          <w:rFonts w:ascii="Century Gothic" w:eastAsia="Times New Roman" w:hAnsi="Century Gothic" w:cs="Times New Roman"/>
          <w:color w:val="595959" w:themeColor="text1" w:themeTint="A6"/>
          <w:sz w:val="24"/>
          <w:szCs w:val="24"/>
          <w:lang w:val="es-CO" w:eastAsia="es-ES"/>
        </w:rPr>
        <w:t>se inhibirá para resolver de fondo el presente asunto, por no ser objeto del medio de control de Control Inmediato de Legalidad</w:t>
      </w:r>
      <w:r w:rsidR="00482503" w:rsidRPr="00482503">
        <w:rPr>
          <w:rFonts w:ascii="Century Gothic" w:eastAsia="Times New Roman" w:hAnsi="Century Gothic" w:cs="Times New Roman"/>
          <w:color w:val="595959" w:themeColor="text1" w:themeTint="A6"/>
          <w:sz w:val="24"/>
          <w:szCs w:val="24"/>
          <w:lang w:eastAsia="es-ES"/>
        </w:rPr>
        <w:t>.</w:t>
      </w:r>
    </w:p>
    <w:p w:rsidR="00636378" w:rsidRPr="009B3E44" w:rsidRDefault="00636378" w:rsidP="00636378">
      <w:pPr>
        <w:suppressAutoHyphens/>
        <w:spacing w:after="0"/>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eastAsia="es-ES"/>
        </w:rPr>
        <w:t>La anterior tesis se fundamenta en los argumentos que a continuación se exponen.</w:t>
      </w:r>
    </w:p>
    <w:p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4. Marco normativo y jurisprudencial</w:t>
      </w: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rsidR="00BB200D" w:rsidRPr="007B0751" w:rsidRDefault="007B0751" w:rsidP="00BB200D">
      <w:pPr>
        <w:spacing w:after="0"/>
        <w:ind w:right="96"/>
        <w:jc w:val="both"/>
        <w:rPr>
          <w:rFonts w:ascii="Century Gothic" w:eastAsia="Times New Roman" w:hAnsi="Century Gothic" w:cs="Times New Roman"/>
          <w:b/>
          <w:color w:val="595959" w:themeColor="text1" w:themeTint="A6"/>
          <w:sz w:val="24"/>
          <w:szCs w:val="24"/>
          <w:lang w:eastAsia="es-ES"/>
        </w:rPr>
      </w:pPr>
      <w:r w:rsidRPr="007B0751">
        <w:rPr>
          <w:rFonts w:ascii="Century Gothic" w:eastAsia="Times New Roman" w:hAnsi="Century Gothic" w:cs="Times New Roman"/>
          <w:b/>
          <w:color w:val="595959" w:themeColor="text1" w:themeTint="A6"/>
          <w:sz w:val="24"/>
          <w:szCs w:val="24"/>
          <w:lang w:eastAsia="es-ES"/>
        </w:rPr>
        <w:t>4.1 Estados de Excepción</w:t>
      </w:r>
    </w:p>
    <w:p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7B0751"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La Constitución Política </w:t>
      </w:r>
      <w:r>
        <w:rPr>
          <w:rFonts w:ascii="Century Gothic" w:eastAsia="Times New Roman" w:hAnsi="Century Gothic" w:cs="Times New Roman"/>
          <w:color w:val="595959" w:themeColor="text1" w:themeTint="A6"/>
          <w:sz w:val="24"/>
          <w:szCs w:val="24"/>
          <w:lang w:eastAsia="es-ES"/>
        </w:rPr>
        <w:t xml:space="preserve">en sus artículos 212, 213 y 215 </w:t>
      </w:r>
      <w:r w:rsidRPr="00BB200D">
        <w:rPr>
          <w:rFonts w:ascii="Century Gothic" w:eastAsia="Times New Roman" w:hAnsi="Century Gothic" w:cs="Times New Roman"/>
          <w:color w:val="595959" w:themeColor="text1" w:themeTint="A6"/>
          <w:sz w:val="24"/>
          <w:szCs w:val="24"/>
          <w:lang w:eastAsia="es-ES"/>
        </w:rPr>
        <w:t>p</w:t>
      </w:r>
      <w:r>
        <w:rPr>
          <w:rFonts w:ascii="Century Gothic" w:eastAsia="Times New Roman" w:hAnsi="Century Gothic" w:cs="Times New Roman"/>
          <w:color w:val="595959" w:themeColor="text1" w:themeTint="A6"/>
          <w:sz w:val="24"/>
          <w:szCs w:val="24"/>
          <w:lang w:eastAsia="es-ES"/>
        </w:rPr>
        <w:t>revé que e</w:t>
      </w:r>
      <w:r w:rsidRPr="00BB200D">
        <w:rPr>
          <w:rFonts w:ascii="Century Gothic" w:eastAsia="Times New Roman" w:hAnsi="Century Gothic" w:cs="Times New Roman"/>
          <w:color w:val="595959" w:themeColor="text1" w:themeTint="A6"/>
          <w:sz w:val="24"/>
          <w:szCs w:val="24"/>
          <w:lang w:eastAsia="es-ES"/>
        </w:rPr>
        <w:t>l Presidente de la República, con la firma de</w:t>
      </w:r>
      <w:r>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todos los ministros, </w:t>
      </w:r>
      <w:r w:rsidR="007B0751">
        <w:rPr>
          <w:rFonts w:ascii="Century Gothic" w:eastAsia="Times New Roman" w:hAnsi="Century Gothic" w:cs="Times New Roman"/>
          <w:color w:val="595959" w:themeColor="text1" w:themeTint="A6"/>
          <w:sz w:val="24"/>
          <w:szCs w:val="24"/>
          <w:lang w:eastAsia="es-ES"/>
        </w:rPr>
        <w:t xml:space="preserve">podrá </w:t>
      </w:r>
      <w:r w:rsidRPr="00BB200D">
        <w:rPr>
          <w:rFonts w:ascii="Century Gothic" w:eastAsia="Times New Roman" w:hAnsi="Century Gothic" w:cs="Times New Roman"/>
          <w:color w:val="595959" w:themeColor="text1" w:themeTint="A6"/>
          <w:sz w:val="24"/>
          <w:szCs w:val="24"/>
          <w:lang w:eastAsia="es-ES"/>
        </w:rPr>
        <w:t>declarar tres estados d</w:t>
      </w:r>
      <w:r w:rsidR="007B0751">
        <w:rPr>
          <w:rFonts w:ascii="Century Gothic" w:eastAsia="Times New Roman" w:hAnsi="Century Gothic" w:cs="Times New Roman"/>
          <w:color w:val="595959" w:themeColor="text1" w:themeTint="A6"/>
          <w:sz w:val="24"/>
          <w:szCs w:val="24"/>
          <w:lang w:eastAsia="es-ES"/>
        </w:rPr>
        <w:t>e excepción: de guerra exterior</w:t>
      </w:r>
      <w:r w:rsidRPr="00BB200D">
        <w:rPr>
          <w:rFonts w:ascii="Century Gothic" w:eastAsia="Times New Roman" w:hAnsi="Century Gothic" w:cs="Times New Roman"/>
          <w:color w:val="595959" w:themeColor="text1" w:themeTint="A6"/>
          <w:sz w:val="24"/>
          <w:szCs w:val="24"/>
          <w:lang w:eastAsia="es-ES"/>
        </w:rPr>
        <w:t>, de</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conmoción interior y de emergencia.</w:t>
      </w:r>
      <w:r w:rsidR="007B0751">
        <w:rPr>
          <w:rFonts w:ascii="Century Gothic" w:eastAsia="Times New Roman" w:hAnsi="Century Gothic" w:cs="Times New Roman"/>
          <w:color w:val="595959" w:themeColor="text1" w:themeTint="A6"/>
          <w:sz w:val="24"/>
          <w:szCs w:val="24"/>
          <w:lang w:eastAsia="es-ES"/>
        </w:rPr>
        <w:t xml:space="preserve"> El </w:t>
      </w:r>
      <w:r w:rsidRPr="00BB200D">
        <w:rPr>
          <w:rFonts w:ascii="Century Gothic" w:eastAsia="Times New Roman" w:hAnsi="Century Gothic" w:cs="Times New Roman"/>
          <w:color w:val="595959" w:themeColor="text1" w:themeTint="A6"/>
          <w:sz w:val="24"/>
          <w:szCs w:val="24"/>
          <w:lang w:eastAsia="es-ES"/>
        </w:rPr>
        <w:t xml:space="preserve">primero se explica </w:t>
      </w:r>
      <w:r w:rsidR="007B0751">
        <w:rPr>
          <w:rFonts w:ascii="Century Gothic" w:eastAsia="Times New Roman" w:hAnsi="Century Gothic" w:cs="Times New Roman"/>
          <w:color w:val="595959" w:themeColor="text1" w:themeTint="A6"/>
          <w:sz w:val="24"/>
          <w:szCs w:val="24"/>
          <w:lang w:eastAsia="es-ES"/>
        </w:rPr>
        <w:t>por</w:t>
      </w:r>
      <w:r w:rsidRPr="00BB200D">
        <w:rPr>
          <w:rFonts w:ascii="Century Gothic" w:eastAsia="Times New Roman" w:hAnsi="Century Gothic" w:cs="Times New Roman"/>
          <w:color w:val="595959" w:themeColor="text1" w:themeTint="A6"/>
          <w:sz w:val="24"/>
          <w:szCs w:val="24"/>
          <w:lang w:eastAsia="es-ES"/>
        </w:rPr>
        <w:t xml:space="preserve"> su propia denominación; el de conmoción</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interior obedece a una grave perturbación del orden público que desborda las</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capacidades ordinarias de la Fuerza Pública y que atenta contra la estabilidad</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institucional, la seguridad del Estado o la convivencia ciudadana. </w:t>
      </w:r>
    </w:p>
    <w:p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Por su parte, el estado de emergencia </w:t>
      </w:r>
      <w:r w:rsidR="00BB200D" w:rsidRPr="00BB200D">
        <w:rPr>
          <w:rFonts w:ascii="Century Gothic" w:eastAsia="Times New Roman" w:hAnsi="Century Gothic" w:cs="Times New Roman"/>
          <w:color w:val="595959" w:themeColor="text1" w:themeTint="A6"/>
          <w:sz w:val="24"/>
          <w:szCs w:val="24"/>
          <w:lang w:eastAsia="es-ES"/>
        </w:rPr>
        <w:t>responde a hechos distintos a los que causan los dos</w:t>
      </w:r>
      <w:r>
        <w:rPr>
          <w:rFonts w:ascii="Century Gothic" w:eastAsia="Times New Roman" w:hAnsi="Century Gothic" w:cs="Times New Roman"/>
          <w:color w:val="595959" w:themeColor="text1" w:themeTint="A6"/>
          <w:sz w:val="24"/>
          <w:szCs w:val="24"/>
          <w:lang w:eastAsia="es-ES"/>
        </w:rPr>
        <w:t xml:space="preserve"> primeros</w:t>
      </w:r>
      <w:r w:rsidR="00BB200D" w:rsidRPr="00BB200D">
        <w:rPr>
          <w:rFonts w:ascii="Century Gothic" w:eastAsia="Times New Roman" w:hAnsi="Century Gothic" w:cs="Times New Roman"/>
          <w:color w:val="595959" w:themeColor="text1" w:themeTint="A6"/>
          <w:sz w:val="24"/>
          <w:szCs w:val="24"/>
          <w:lang w:eastAsia="es-ES"/>
        </w:rPr>
        <w:t>, que amenacen o perturben gravemente el orden económico, social y</w:t>
      </w:r>
      <w:r>
        <w:rPr>
          <w:rFonts w:ascii="Century Gothic" w:eastAsia="Times New Roman" w:hAnsi="Century Gothic" w:cs="Times New Roman"/>
          <w:color w:val="595959" w:themeColor="text1" w:themeTint="A6"/>
          <w:sz w:val="24"/>
          <w:szCs w:val="24"/>
          <w:lang w:eastAsia="es-ES"/>
        </w:rPr>
        <w:t xml:space="preserve"> </w:t>
      </w:r>
      <w:r w:rsidR="00BB200D" w:rsidRPr="00BB200D">
        <w:rPr>
          <w:rFonts w:ascii="Century Gothic" w:eastAsia="Times New Roman" w:hAnsi="Century Gothic" w:cs="Times New Roman"/>
          <w:color w:val="595959" w:themeColor="text1" w:themeTint="A6"/>
          <w:sz w:val="24"/>
          <w:szCs w:val="24"/>
          <w:lang w:eastAsia="es-ES"/>
        </w:rPr>
        <w:t>ecológico o constituyan grave calamidad pública.</w:t>
      </w:r>
    </w:p>
    <w:p w:rsidR="007B0751" w:rsidRP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Durante todos </w:t>
      </w:r>
      <w:r w:rsidR="007B0751">
        <w:rPr>
          <w:rFonts w:ascii="Century Gothic" w:eastAsia="Times New Roman" w:hAnsi="Century Gothic" w:cs="Times New Roman"/>
          <w:color w:val="595959" w:themeColor="text1" w:themeTint="A6"/>
          <w:sz w:val="24"/>
          <w:szCs w:val="24"/>
          <w:lang w:eastAsia="es-ES"/>
        </w:rPr>
        <w:t>los estados de excepción</w:t>
      </w:r>
      <w:r w:rsidRPr="00BB200D">
        <w:rPr>
          <w:rFonts w:ascii="Century Gothic" w:eastAsia="Times New Roman" w:hAnsi="Century Gothic" w:cs="Times New Roman"/>
          <w:color w:val="595959" w:themeColor="text1" w:themeTint="A6"/>
          <w:sz w:val="24"/>
          <w:szCs w:val="24"/>
          <w:lang w:eastAsia="es-ES"/>
        </w:rPr>
        <w:t>, el Gobierno Nacional t</w:t>
      </w:r>
      <w:r w:rsidR="007B0751">
        <w:rPr>
          <w:rFonts w:ascii="Century Gothic" w:eastAsia="Times New Roman" w:hAnsi="Century Gothic" w:cs="Times New Roman"/>
          <w:color w:val="595959" w:themeColor="text1" w:themeTint="A6"/>
          <w:sz w:val="24"/>
          <w:szCs w:val="24"/>
          <w:lang w:eastAsia="es-ES"/>
        </w:rPr>
        <w:t xml:space="preserve">iene facultades para expedir </w:t>
      </w:r>
      <w:r w:rsidRPr="00BB200D">
        <w:rPr>
          <w:rFonts w:ascii="Century Gothic" w:eastAsia="Times New Roman" w:hAnsi="Century Gothic" w:cs="Times New Roman"/>
          <w:color w:val="595959" w:themeColor="text1" w:themeTint="A6"/>
          <w:sz w:val="24"/>
          <w:szCs w:val="24"/>
          <w:lang w:eastAsia="es-ES"/>
        </w:rPr>
        <w:t>decretos legislativos que considere necesarios para superar la</w:t>
      </w:r>
      <w:r w:rsidR="007B0751">
        <w:rPr>
          <w:rFonts w:ascii="Century Gothic" w:eastAsia="Times New Roman" w:hAnsi="Century Gothic" w:cs="Times New Roman"/>
          <w:color w:val="595959" w:themeColor="text1" w:themeTint="A6"/>
          <w:sz w:val="24"/>
          <w:szCs w:val="24"/>
          <w:lang w:eastAsia="es-ES"/>
        </w:rPr>
        <w:t>s situaciones que dieron origen a los mismos.</w:t>
      </w: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De conformidad con lo dispuesto en el artículo 20 de la Ley </w:t>
      </w:r>
      <w:r w:rsidR="00FF3420">
        <w:rPr>
          <w:rFonts w:ascii="Century Gothic" w:eastAsia="Times New Roman" w:hAnsi="Century Gothic" w:cs="Times New Roman"/>
          <w:color w:val="595959" w:themeColor="text1" w:themeTint="A6"/>
          <w:sz w:val="24"/>
          <w:szCs w:val="24"/>
          <w:lang w:eastAsia="es-ES"/>
        </w:rPr>
        <w:t xml:space="preserve">Estatutaria </w:t>
      </w:r>
      <w:r w:rsidRPr="00BB200D">
        <w:rPr>
          <w:rFonts w:ascii="Century Gothic" w:eastAsia="Times New Roman" w:hAnsi="Century Gothic" w:cs="Times New Roman"/>
          <w:color w:val="595959" w:themeColor="text1" w:themeTint="A6"/>
          <w:sz w:val="24"/>
          <w:szCs w:val="24"/>
          <w:lang w:eastAsia="es-ES"/>
        </w:rPr>
        <w:t>137 de 1994</w:t>
      </w:r>
      <w:r w:rsidR="00FF3420">
        <w:rPr>
          <w:rFonts w:ascii="Century Gothic" w:eastAsia="Times New Roman" w:hAnsi="Century Gothic" w:cs="Times New Roman"/>
          <w:color w:val="595959" w:themeColor="text1" w:themeTint="A6"/>
          <w:sz w:val="24"/>
          <w:szCs w:val="24"/>
          <w:lang w:eastAsia="es-ES"/>
        </w:rPr>
        <w:t xml:space="preserve"> </w:t>
      </w:r>
      <w:r w:rsidR="00FF3420" w:rsidRPr="00FF3420">
        <w:rPr>
          <w:rFonts w:ascii="Century Gothic" w:eastAsia="Times New Roman" w:hAnsi="Century Gothic" w:cs="Times New Roman"/>
          <w:i/>
          <w:color w:val="595959" w:themeColor="text1" w:themeTint="A6"/>
          <w:sz w:val="24"/>
          <w:szCs w:val="24"/>
          <w:lang w:eastAsia="es-ES"/>
        </w:rPr>
        <w:t>Por la cual se reglamentan los Estados de Excepción en Colombia</w:t>
      </w:r>
      <w:r w:rsidRPr="00BB200D">
        <w:rPr>
          <w:rFonts w:ascii="Century Gothic" w:eastAsia="Times New Roman" w:hAnsi="Century Gothic" w:cs="Times New Roman"/>
          <w:color w:val="595959" w:themeColor="text1" w:themeTint="A6"/>
          <w:sz w:val="24"/>
          <w:szCs w:val="24"/>
          <w:lang w:eastAsia="es-ES"/>
        </w:rPr>
        <w:t>, se</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debe ejercer un control inmediato de legalidad respecto de los actos</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administrativos de carácter general proferidos en ejercicio de la función</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administrativa y como desarrollo de los decretos expedidos durante los</w:t>
      </w:r>
      <w:r w:rsidR="00FF3420">
        <w:rPr>
          <w:rFonts w:ascii="Century Gothic" w:eastAsia="Times New Roman" w:hAnsi="Century Gothic" w:cs="Times New Roman"/>
          <w:color w:val="595959" w:themeColor="text1" w:themeTint="A6"/>
          <w:sz w:val="24"/>
          <w:szCs w:val="24"/>
          <w:lang w:eastAsia="es-ES"/>
        </w:rPr>
        <w:t xml:space="preserve"> estados de excepción; así </w:t>
      </w:r>
      <w:r w:rsidRPr="00BB200D">
        <w:rPr>
          <w:rFonts w:ascii="Century Gothic" w:eastAsia="Times New Roman" w:hAnsi="Century Gothic" w:cs="Times New Roman"/>
          <w:color w:val="595959" w:themeColor="text1" w:themeTint="A6"/>
          <w:sz w:val="24"/>
          <w:szCs w:val="24"/>
          <w:lang w:eastAsia="es-ES"/>
        </w:rPr>
        <w:t>la norma prescribe:</w:t>
      </w:r>
    </w:p>
    <w:p w:rsidR="00FF3420" w:rsidRPr="00BB200D" w:rsidRDefault="00FF3420"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“ARTÍCULO 20. CONTROL DE LEGALIDAD. Las medidas de carácter general que sean</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dictadas en ejercicio de la función administrativa y como desarrollo de los decretos</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legislativos durante los Estados de Excepción, tendrán un control inmediato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legalidad, ejercido por la autoridad de lo contencioso administrativo en el lugar donde se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expidan si se tratare de entidades territoriales o del Consejo de Estado si emanaren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autoridades nacionales.</w:t>
      </w:r>
    </w:p>
    <w:p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Las autoridades competentes que los expidan enviarán los actos administrativos a la</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jurisdicción contencioso</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administrativa indicada, dentro de las cuarenta y ocho (48) horas</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siguientes a su expedición.”</w:t>
      </w:r>
    </w:p>
    <w:p w:rsidR="00B70274" w:rsidRPr="0015225A" w:rsidRDefault="00B70274" w:rsidP="0015225A">
      <w:pPr>
        <w:spacing w:after="0" w:line="240" w:lineRule="auto"/>
        <w:ind w:right="96"/>
        <w:jc w:val="both"/>
        <w:rPr>
          <w:rFonts w:ascii="Century Gothic" w:eastAsia="Times New Roman" w:hAnsi="Century Gothic" w:cs="Times New Roman"/>
          <w:color w:val="595959" w:themeColor="text1" w:themeTint="A6"/>
          <w:sz w:val="20"/>
          <w:szCs w:val="24"/>
          <w:lang w:eastAsia="es-ES"/>
        </w:rPr>
      </w:pP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Dicha disposición fue </w:t>
      </w:r>
      <w:r w:rsidR="00C443CB">
        <w:rPr>
          <w:rFonts w:ascii="Century Gothic" w:eastAsia="Times New Roman" w:hAnsi="Century Gothic" w:cs="Times New Roman"/>
          <w:color w:val="595959" w:themeColor="text1" w:themeTint="A6"/>
          <w:sz w:val="24"/>
          <w:szCs w:val="24"/>
          <w:lang w:eastAsia="es-ES"/>
        </w:rPr>
        <w:t xml:space="preserve">reproducida </w:t>
      </w:r>
      <w:r w:rsidRPr="00BB200D">
        <w:rPr>
          <w:rFonts w:ascii="Century Gothic" w:eastAsia="Times New Roman" w:hAnsi="Century Gothic" w:cs="Times New Roman"/>
          <w:color w:val="595959" w:themeColor="text1" w:themeTint="A6"/>
          <w:sz w:val="24"/>
          <w:szCs w:val="24"/>
          <w:lang w:eastAsia="es-ES"/>
        </w:rPr>
        <w:t>en el artículo 136 de la</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Ley 1437 de 2011, que adicionó únicamente la potestad del Juez</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Contencioso Administrativo de aprehender de oficio el referido control, en</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caso de no enviarse oportunamente el respectivo acto administrativo por</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parte de la entidad territorial o nacional que lo expidió.</w:t>
      </w:r>
    </w:p>
    <w:p w:rsidR="00C443CB" w:rsidRPr="00BB200D"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En concordancia con lo anterior, el numeral 14 del artículo 151 establece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que el control inmediato de legalidad de los actos de carácter general que</w:t>
      </w:r>
    </w:p>
    <w:p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BB200D">
        <w:rPr>
          <w:rFonts w:ascii="Century Gothic" w:eastAsia="Times New Roman" w:hAnsi="Century Gothic" w:cs="Times New Roman"/>
          <w:color w:val="595959" w:themeColor="text1" w:themeTint="A6"/>
          <w:sz w:val="24"/>
          <w:szCs w:val="24"/>
          <w:lang w:eastAsia="es-ES"/>
        </w:rPr>
        <w:lastRenderedPageBreak/>
        <w:t>sean</w:t>
      </w:r>
      <w:proofErr w:type="gramEnd"/>
      <w:r w:rsidRPr="00BB200D">
        <w:rPr>
          <w:rFonts w:ascii="Century Gothic" w:eastAsia="Times New Roman" w:hAnsi="Century Gothic" w:cs="Times New Roman"/>
          <w:color w:val="595959" w:themeColor="text1" w:themeTint="A6"/>
          <w:sz w:val="24"/>
          <w:szCs w:val="24"/>
          <w:lang w:eastAsia="es-ES"/>
        </w:rPr>
        <w:t xml:space="preserve"> proferidos en ejercicio de la función administrativa como desarrollo de</w:t>
      </w: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BB200D">
        <w:rPr>
          <w:rFonts w:ascii="Century Gothic" w:eastAsia="Times New Roman" w:hAnsi="Century Gothic" w:cs="Times New Roman"/>
          <w:color w:val="595959" w:themeColor="text1" w:themeTint="A6"/>
          <w:sz w:val="24"/>
          <w:szCs w:val="24"/>
          <w:lang w:eastAsia="es-ES"/>
        </w:rPr>
        <w:t>los</w:t>
      </w:r>
      <w:proofErr w:type="gramEnd"/>
      <w:r w:rsidRPr="00BB200D">
        <w:rPr>
          <w:rFonts w:ascii="Century Gothic" w:eastAsia="Times New Roman" w:hAnsi="Century Gothic" w:cs="Times New Roman"/>
          <w:color w:val="595959" w:themeColor="text1" w:themeTint="A6"/>
          <w:sz w:val="24"/>
          <w:szCs w:val="24"/>
          <w:lang w:eastAsia="es-ES"/>
        </w:rPr>
        <w:t xml:space="preserve"> Decretos Legislativos expedidos en los Estados de Excepción, que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fueren dictados por autoridades territoriales departamentales y municipales,</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es de competencia del Tribunal del lugar donde se expidan.</w:t>
      </w:r>
    </w:p>
    <w:p w:rsidR="00C443CB"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C443CB" w:rsidRDefault="00C443CB" w:rsidP="00BB200D">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4.2 </w:t>
      </w:r>
      <w:r w:rsidR="00353E08">
        <w:rPr>
          <w:rFonts w:ascii="Century Gothic" w:eastAsia="Times New Roman" w:hAnsi="Century Gothic" w:cs="Times New Roman"/>
          <w:b/>
          <w:color w:val="595959" w:themeColor="text1" w:themeTint="A6"/>
          <w:sz w:val="24"/>
          <w:szCs w:val="24"/>
          <w:lang w:eastAsia="es-ES"/>
        </w:rPr>
        <w:t xml:space="preserve">Presupuestos de </w:t>
      </w:r>
      <w:proofErr w:type="spellStart"/>
      <w:r w:rsidR="00E657C9">
        <w:rPr>
          <w:rFonts w:ascii="Century Gothic" w:eastAsia="Times New Roman" w:hAnsi="Century Gothic" w:cs="Times New Roman"/>
          <w:b/>
          <w:color w:val="595959" w:themeColor="text1" w:themeTint="A6"/>
          <w:sz w:val="24"/>
          <w:szCs w:val="24"/>
          <w:lang w:eastAsia="es-ES"/>
        </w:rPr>
        <w:t>p</w:t>
      </w:r>
      <w:r w:rsidR="00353E08">
        <w:rPr>
          <w:rFonts w:ascii="Century Gothic" w:eastAsia="Times New Roman" w:hAnsi="Century Gothic" w:cs="Times New Roman"/>
          <w:b/>
          <w:color w:val="595959" w:themeColor="text1" w:themeTint="A6"/>
          <w:sz w:val="24"/>
          <w:szCs w:val="24"/>
          <w:lang w:eastAsia="es-ES"/>
        </w:rPr>
        <w:t>rocedibilidad</w:t>
      </w:r>
      <w:proofErr w:type="spellEnd"/>
      <w:r w:rsidR="00353E08">
        <w:rPr>
          <w:rFonts w:ascii="Century Gothic" w:eastAsia="Times New Roman" w:hAnsi="Century Gothic" w:cs="Times New Roman"/>
          <w:b/>
          <w:color w:val="595959" w:themeColor="text1" w:themeTint="A6"/>
          <w:sz w:val="24"/>
          <w:szCs w:val="24"/>
          <w:lang w:eastAsia="es-ES"/>
        </w:rPr>
        <w:t xml:space="preserve"> </w:t>
      </w:r>
      <w:r w:rsidR="00E657C9">
        <w:rPr>
          <w:rFonts w:ascii="Century Gothic" w:eastAsia="Times New Roman" w:hAnsi="Century Gothic" w:cs="Times New Roman"/>
          <w:b/>
          <w:color w:val="595959" w:themeColor="text1" w:themeTint="A6"/>
          <w:sz w:val="24"/>
          <w:szCs w:val="24"/>
          <w:lang w:eastAsia="es-ES"/>
        </w:rPr>
        <w:t>y c</w:t>
      </w:r>
      <w:r>
        <w:rPr>
          <w:rFonts w:ascii="Century Gothic" w:eastAsia="Times New Roman" w:hAnsi="Century Gothic" w:cs="Times New Roman"/>
          <w:b/>
          <w:color w:val="595959" w:themeColor="text1" w:themeTint="A6"/>
          <w:sz w:val="24"/>
          <w:szCs w:val="24"/>
          <w:lang w:eastAsia="es-ES"/>
        </w:rPr>
        <w:t xml:space="preserve">aracterísticas </w:t>
      </w:r>
      <w:r w:rsidR="0027092C">
        <w:rPr>
          <w:rFonts w:ascii="Century Gothic" w:eastAsia="Times New Roman" w:hAnsi="Century Gothic" w:cs="Times New Roman"/>
          <w:b/>
          <w:color w:val="595959" w:themeColor="text1" w:themeTint="A6"/>
          <w:sz w:val="24"/>
          <w:szCs w:val="24"/>
          <w:lang w:eastAsia="es-ES"/>
        </w:rPr>
        <w:t>del control inmediato de legalidad</w:t>
      </w:r>
    </w:p>
    <w:p w:rsidR="0027092C" w:rsidRDefault="0027092C" w:rsidP="00BB200D">
      <w:pPr>
        <w:spacing w:after="0"/>
        <w:ind w:right="96"/>
        <w:jc w:val="both"/>
        <w:rPr>
          <w:rFonts w:ascii="Century Gothic" w:eastAsia="Times New Roman" w:hAnsi="Century Gothic" w:cs="Times New Roman"/>
          <w:b/>
          <w:color w:val="595959" w:themeColor="text1" w:themeTint="A6"/>
          <w:sz w:val="24"/>
          <w:szCs w:val="24"/>
          <w:lang w:eastAsia="es-ES"/>
        </w:rPr>
      </w:pPr>
    </w:p>
    <w:p w:rsid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La Sala Plena de lo Contencioso Administrativo del Consejo de Estado en sentencia del 16 de junio de 2009</w:t>
      </w:r>
      <w:r w:rsidR="00E657C9">
        <w:rPr>
          <w:rStyle w:val="Refdenotaalpie"/>
          <w:rFonts w:ascii="Century Gothic" w:eastAsia="Times New Roman" w:hAnsi="Century Gothic" w:cs="Times New Roman"/>
          <w:color w:val="595959" w:themeColor="text1" w:themeTint="A6"/>
          <w:sz w:val="24"/>
          <w:szCs w:val="24"/>
          <w:lang w:eastAsia="es-ES"/>
        </w:rPr>
        <w:footnoteReference w:id="1"/>
      </w:r>
      <w:r>
        <w:rPr>
          <w:rFonts w:ascii="Century Gothic" w:eastAsia="Times New Roman" w:hAnsi="Century Gothic" w:cs="Times New Roman"/>
          <w:color w:val="595959" w:themeColor="text1" w:themeTint="A6"/>
          <w:sz w:val="24"/>
          <w:szCs w:val="24"/>
          <w:lang w:eastAsia="es-ES"/>
        </w:rPr>
        <w:t>, identificó como características del control de legalidad referenciado las siguientes:</w:t>
      </w:r>
    </w:p>
    <w:p w:rsidR="00353E08" w:rsidRP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a) Se realiza dentro de un proceso judicial, pues lo adelanta una autoridad</w:t>
      </w:r>
    </w:p>
    <w:p w:rsidR="00BB200D"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353E08">
        <w:rPr>
          <w:rFonts w:ascii="Century Gothic" w:eastAsia="Times New Roman" w:hAnsi="Century Gothic" w:cs="Times New Roman"/>
          <w:color w:val="595959" w:themeColor="text1" w:themeTint="A6"/>
          <w:sz w:val="24"/>
          <w:szCs w:val="24"/>
          <w:lang w:eastAsia="es-ES"/>
        </w:rPr>
        <w:t>judicial</w:t>
      </w:r>
      <w:proofErr w:type="gramEnd"/>
      <w:r w:rsidRPr="00353E08">
        <w:rPr>
          <w:rFonts w:ascii="Century Gothic" w:eastAsia="Times New Roman" w:hAnsi="Century Gothic" w:cs="Times New Roman"/>
          <w:color w:val="595959" w:themeColor="text1" w:themeTint="A6"/>
          <w:sz w:val="24"/>
          <w:szCs w:val="24"/>
          <w:lang w:eastAsia="es-ES"/>
        </w:rPr>
        <w:t xml:space="preserve"> y se decide por sentencia.</w:t>
      </w: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b) Es inmediato o automático, porque el Gobierno Nacional debe remitir el acto</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administrativo para control tan pronto lo expide y porque no requiere</w:t>
      </w: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353E08">
        <w:rPr>
          <w:rFonts w:ascii="Century Gothic" w:eastAsia="Times New Roman" w:hAnsi="Century Gothic" w:cs="Times New Roman"/>
          <w:color w:val="595959" w:themeColor="text1" w:themeTint="A6"/>
          <w:sz w:val="24"/>
          <w:szCs w:val="24"/>
          <w:lang w:eastAsia="es-ES"/>
        </w:rPr>
        <w:t>demanda</w:t>
      </w:r>
      <w:proofErr w:type="gramEnd"/>
      <w:r w:rsidRPr="00353E08">
        <w:rPr>
          <w:rFonts w:ascii="Century Gothic" w:eastAsia="Times New Roman" w:hAnsi="Century Gothic" w:cs="Times New Roman"/>
          <w:color w:val="595959" w:themeColor="text1" w:themeTint="A6"/>
          <w:sz w:val="24"/>
          <w:szCs w:val="24"/>
          <w:lang w:eastAsia="es-ES"/>
        </w:rPr>
        <w:t>, sino que es oficioso, por disposición legal.</w:t>
      </w: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c) No suspende la ejecución del acto administrativo.</w:t>
      </w: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d) La falta de publicación no lo impide.</w:t>
      </w: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e) Es integral frente a las directrices constitucionales y legales y a los decretos</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legislativos que le atañen.</w:t>
      </w:r>
    </w:p>
    <w:p w:rsidR="00734DAC" w:rsidRDefault="00734DAC"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A su vez, la misma Sala en sentencia del 20 de octubre de 2009, esquematizó los presupuestos de </w:t>
      </w:r>
      <w:proofErr w:type="spellStart"/>
      <w:r>
        <w:rPr>
          <w:rFonts w:ascii="Century Gothic" w:eastAsia="Times New Roman" w:hAnsi="Century Gothic" w:cs="Times New Roman"/>
          <w:color w:val="595959" w:themeColor="text1" w:themeTint="A6"/>
          <w:sz w:val="24"/>
          <w:szCs w:val="24"/>
          <w:lang w:eastAsia="es-ES"/>
        </w:rPr>
        <w:t>procedibilidad</w:t>
      </w:r>
      <w:proofErr w:type="spellEnd"/>
      <w:r>
        <w:rPr>
          <w:rFonts w:ascii="Century Gothic" w:eastAsia="Times New Roman" w:hAnsi="Century Gothic" w:cs="Times New Roman"/>
          <w:color w:val="595959" w:themeColor="text1" w:themeTint="A6"/>
          <w:sz w:val="24"/>
          <w:szCs w:val="24"/>
          <w:lang w:eastAsia="es-ES"/>
        </w:rPr>
        <w:t xml:space="preserve"> del medio de control así:</w:t>
      </w:r>
    </w:p>
    <w:p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“De acuerdo con esta regla son tres los presupuestos requeridos para la procedencia del control inmediato de legalidad, a saber:</w:t>
      </w: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1. Que se trate de un acto de contenido general.</w:t>
      </w: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2. Que el mismo se haya dictado en ejercicio de la función administrativa, y</w:t>
      </w: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3. Que el acto tenga como fin el desarrollar uno o más de los decretos legislativos expedidos en los estados de excepción”</w:t>
      </w:r>
      <w:r w:rsidRPr="0015225A">
        <w:rPr>
          <w:rStyle w:val="Refdenotaalpie"/>
          <w:rFonts w:ascii="Century Gothic" w:eastAsia="Times New Roman" w:hAnsi="Century Gothic" w:cs="Times New Roman"/>
          <w:i/>
          <w:color w:val="595959" w:themeColor="text1" w:themeTint="A6"/>
          <w:sz w:val="20"/>
          <w:szCs w:val="24"/>
          <w:lang w:eastAsia="es-ES"/>
        </w:rPr>
        <w:footnoteReference w:id="2"/>
      </w:r>
    </w:p>
    <w:p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Igualmente, la jurisprudencia de dicha Sala caracterizó como rasgos del mencionado control inmediato:</w:t>
      </w:r>
    </w:p>
    <w:p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lastRenderedPageBreak/>
        <w:t xml:space="preserve">(i) </w:t>
      </w:r>
      <w:r w:rsidR="00E657C9" w:rsidRPr="0015225A">
        <w:rPr>
          <w:rFonts w:ascii="Century Gothic" w:eastAsia="Times New Roman" w:hAnsi="Century Gothic" w:cs="Times New Roman"/>
          <w:i/>
          <w:color w:val="595959" w:themeColor="text1" w:themeTint="A6"/>
          <w:sz w:val="20"/>
          <w:szCs w:val="24"/>
          <w:lang w:eastAsia="es-ES"/>
        </w:rPr>
        <w:t>Su carácter jurisdiccional, habida cuenta de que el examen del acto respectivo se realiza a través de un proceso judicial, de suerte que la naturaleza jurídica de la decisión mediante la cual se resuelve el asunto es una sentencia y los efectos propios de este tipo de providencias serán los que se produzcan en virtud de la decisión que adopte la Jurisdicción acerca de la legalidad del acto controlado;</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(ii) Su integralidad, en la medida en que los actos enjuiciados “deben confrontarse con todo el ordenamiento jurídico” y la fiscalización que debe acometer el juez administrativo respecto del acto respectivo incluye “… la revisión de aspectos como la competencia para expedirlo, el cumplimiento de los requisitos de forma y de fondo, la conexidad de las medidas que se dicten con las causas que dieron origen a su implantación, el carácter transitorio y la proporcionalidad de las mismas, así como su conformidad con el resto del ordenamiento jurídico, siempre bajo el entendido de que ellas hacen parte de un conjunto de medidas proferidas con la exclusiva finalidad de “conjurar la crisis e impedir la ext</w:t>
      </w:r>
      <w:r w:rsidR="00422E5A" w:rsidRPr="0015225A">
        <w:rPr>
          <w:rFonts w:ascii="Century Gothic" w:eastAsia="Times New Roman" w:hAnsi="Century Gothic" w:cs="Times New Roman"/>
          <w:i/>
          <w:color w:val="595959" w:themeColor="text1" w:themeTint="A6"/>
          <w:sz w:val="20"/>
          <w:szCs w:val="24"/>
          <w:lang w:eastAsia="es-ES"/>
        </w:rPr>
        <w:t>ensión de sus efectos”</w:t>
      </w:r>
      <w:r w:rsidRPr="0015225A">
        <w:rPr>
          <w:rFonts w:ascii="Century Gothic" w:eastAsia="Times New Roman" w:hAnsi="Century Gothic" w:cs="Times New Roman"/>
          <w:i/>
          <w:color w:val="595959" w:themeColor="text1" w:themeTint="A6"/>
          <w:sz w:val="20"/>
          <w:szCs w:val="24"/>
          <w:lang w:eastAsia="es-ES"/>
        </w:rPr>
        <w:t>;</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(iii) Su autonomía, consistente en que resulta “posible realizar su revisión antes de que la Corte Constitucional se pronuncie sobre la </w:t>
      </w:r>
      <w:proofErr w:type="spellStart"/>
      <w:r w:rsidRPr="0015225A">
        <w:rPr>
          <w:rFonts w:ascii="Century Gothic" w:eastAsia="Times New Roman" w:hAnsi="Century Gothic" w:cs="Times New Roman"/>
          <w:i/>
          <w:color w:val="595959" w:themeColor="text1" w:themeTint="A6"/>
          <w:sz w:val="20"/>
          <w:szCs w:val="24"/>
          <w:lang w:eastAsia="es-ES"/>
        </w:rPr>
        <w:t>exequibilidad</w:t>
      </w:r>
      <w:proofErr w:type="spellEnd"/>
      <w:r w:rsidRPr="0015225A">
        <w:rPr>
          <w:rFonts w:ascii="Century Gothic" w:eastAsia="Times New Roman" w:hAnsi="Century Gothic" w:cs="Times New Roman"/>
          <w:i/>
          <w:color w:val="595959" w:themeColor="text1" w:themeTint="A6"/>
          <w:sz w:val="20"/>
          <w:szCs w:val="24"/>
          <w:lang w:eastAsia="es-ES"/>
        </w:rPr>
        <w:t xml:space="preserve"> del decreto declaratorio del estado de excepción y de los decretos legislativos que lo desarrollan”; lo anterior sin perjuicio de que deban acatarse y respetarse los efectos del fallo de constitucionalidad respectivo si éste ya se ha proferido o en el momento en el cual se profiera, pero sin que ello suponga la existencia de </w:t>
      </w:r>
      <w:proofErr w:type="spellStart"/>
      <w:r w:rsidRPr="0015225A">
        <w:rPr>
          <w:rFonts w:ascii="Century Gothic" w:eastAsia="Times New Roman" w:hAnsi="Century Gothic" w:cs="Times New Roman"/>
          <w:i/>
          <w:color w:val="595959" w:themeColor="text1" w:themeTint="A6"/>
          <w:sz w:val="20"/>
          <w:szCs w:val="24"/>
          <w:lang w:eastAsia="es-ES"/>
        </w:rPr>
        <w:t>prejudicialidad</w:t>
      </w:r>
      <w:proofErr w:type="spellEnd"/>
      <w:r w:rsidRPr="0015225A">
        <w:rPr>
          <w:rFonts w:ascii="Century Gothic" w:eastAsia="Times New Roman" w:hAnsi="Century Gothic" w:cs="Times New Roman"/>
          <w:i/>
          <w:color w:val="595959" w:themeColor="text1" w:themeTint="A6"/>
          <w:sz w:val="20"/>
          <w:szCs w:val="24"/>
          <w:lang w:eastAsia="es-ES"/>
        </w:rPr>
        <w:t xml:space="preserve"> alguna del juicio de constitucionalidad que adelanta la Corte</w:t>
      </w:r>
      <w:r w:rsidR="00422E5A" w:rsidRPr="0015225A">
        <w:rPr>
          <w:rFonts w:ascii="Century Gothic" w:eastAsia="Times New Roman" w:hAnsi="Century Gothic" w:cs="Times New Roman"/>
          <w:i/>
          <w:color w:val="595959" w:themeColor="text1" w:themeTint="A6"/>
          <w:sz w:val="20"/>
          <w:szCs w:val="24"/>
          <w:lang w:eastAsia="es-ES"/>
        </w:rPr>
        <w:t xml:space="preserve"> Constitucional en relación con el proceso que adelante el Juez Administrativo; cosa distinta es que, en el evento de ser declarado(s) inexequible(s) el(los) decreto(s) legislativo(s) desarrollado(s) por el acto administrativo cuya conformidad a derecho puede incluso haber sido decidida ya por la Jurisdicción de lo Contencioso Administrativo, esta última decisión administrativa pierda fuerza ejecutoria, en virtud de lo normado por el artículo 66-2 del Código Contencioso Administrativo12 . </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E657C9"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(iv) Su inmediatez o automaticidad, reflejada en el deber legal impuesto a las autoridades que expidan el correspondiente acto administrativo para efecto de que lo remitan a la Jurisdicción de lo Contencioso Administrativo “dentro de las cuarenta y ocho (48) horas siguientes a su expedición” ─artículo 20 de la Ley 137 de 1994─.</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(v) Su oficiosidad, consistente en que si la entidad autora del acto incumple con el precitado deber de envío del mismo a esta Jurisdicción, el juez competente queda facultado para asumir el conocimiento de las decisiones respectivas de forma oficiosa “o, incluso, como resultado del ejercicio del derecho constitucional de petición formulado ante él por cualquier persona”</w:t>
      </w:r>
      <w:r w:rsidR="001C6096" w:rsidRPr="0015225A">
        <w:rPr>
          <w:rStyle w:val="Refdenotaalpie"/>
          <w:rFonts w:ascii="Century Gothic" w:eastAsia="Times New Roman" w:hAnsi="Century Gothic" w:cs="Times New Roman"/>
          <w:i/>
          <w:color w:val="595959" w:themeColor="text1" w:themeTint="A6"/>
          <w:sz w:val="20"/>
          <w:szCs w:val="24"/>
          <w:lang w:eastAsia="es-ES"/>
        </w:rPr>
        <w:footnoteReference w:id="3"/>
      </w:r>
    </w:p>
    <w:p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3529E6" w:rsidRPr="003529E6" w:rsidRDefault="003529E6" w:rsidP="003529E6">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Aunado a lo anterior, dispuso el </w:t>
      </w:r>
      <w:r w:rsidRPr="003529E6">
        <w:rPr>
          <w:rFonts w:ascii="Century Gothic" w:eastAsia="Times New Roman" w:hAnsi="Century Gothic" w:cs="Times New Roman"/>
          <w:color w:val="595959" w:themeColor="text1" w:themeTint="A6"/>
          <w:sz w:val="24"/>
          <w:szCs w:val="24"/>
          <w:lang w:eastAsia="es-ES"/>
        </w:rPr>
        <w:t>Consejo de Estado</w:t>
      </w:r>
      <w:r w:rsidR="00BF0D6A">
        <w:rPr>
          <w:rStyle w:val="Refdenotaalpie"/>
          <w:rFonts w:ascii="Century Gothic" w:eastAsia="Times New Roman" w:hAnsi="Century Gothic" w:cs="Times New Roman"/>
          <w:color w:val="595959" w:themeColor="text1" w:themeTint="A6"/>
          <w:sz w:val="24"/>
          <w:szCs w:val="24"/>
          <w:lang w:eastAsia="es-ES"/>
        </w:rPr>
        <w:footnoteReference w:id="4"/>
      </w:r>
      <w:r w:rsidRPr="003529E6">
        <w:rPr>
          <w:rFonts w:ascii="Century Gothic" w:eastAsia="Times New Roman" w:hAnsi="Century Gothic" w:cs="Times New Roman"/>
          <w:color w:val="595959" w:themeColor="text1" w:themeTint="A6"/>
          <w:sz w:val="24"/>
          <w:szCs w:val="24"/>
          <w:lang w:eastAsia="es-ES"/>
        </w:rPr>
        <w:t xml:space="preserve"> que </w:t>
      </w:r>
      <w:r w:rsidR="00BF0D6A">
        <w:rPr>
          <w:rFonts w:ascii="Century Gothic" w:eastAsia="Times New Roman" w:hAnsi="Century Gothic" w:cs="Times New Roman"/>
          <w:color w:val="595959" w:themeColor="text1" w:themeTint="A6"/>
          <w:sz w:val="24"/>
          <w:szCs w:val="24"/>
          <w:lang w:eastAsia="es-ES"/>
        </w:rPr>
        <w:t>e</w:t>
      </w:r>
      <w:r w:rsidRPr="003529E6">
        <w:rPr>
          <w:rFonts w:ascii="Century Gothic" w:eastAsia="Times New Roman" w:hAnsi="Century Gothic" w:cs="Times New Roman"/>
          <w:color w:val="595959" w:themeColor="text1" w:themeTint="A6"/>
          <w:sz w:val="24"/>
          <w:szCs w:val="24"/>
          <w:lang w:eastAsia="es-ES"/>
        </w:rPr>
        <w:t xml:space="preserve">l </w:t>
      </w:r>
      <w:r w:rsidR="00BF0D6A">
        <w:rPr>
          <w:rFonts w:ascii="Century Gothic" w:eastAsia="Times New Roman" w:hAnsi="Century Gothic" w:cs="Times New Roman"/>
          <w:color w:val="595959" w:themeColor="text1" w:themeTint="A6"/>
          <w:sz w:val="24"/>
          <w:szCs w:val="24"/>
          <w:lang w:eastAsia="es-ES"/>
        </w:rPr>
        <w:t xml:space="preserve">control inmediato de </w:t>
      </w:r>
      <w:r w:rsidRPr="003529E6">
        <w:rPr>
          <w:rFonts w:ascii="Century Gothic" w:eastAsia="Times New Roman" w:hAnsi="Century Gothic" w:cs="Times New Roman"/>
          <w:color w:val="595959" w:themeColor="text1" w:themeTint="A6"/>
          <w:sz w:val="24"/>
          <w:szCs w:val="24"/>
          <w:lang w:eastAsia="es-ES"/>
        </w:rPr>
        <w:t>legalidad se realiza mediante la confrontación del acto administrativo con las normas constitucionales que permiten la declaratoria de los estados de excepción (artículos 212 a 215 de la Constitución Política), la ley estatutaria de los estados de excepción (Ley 137 de 1994) y los decretos expedidos por el Gobierno Nacional con ocasión de la declaratoria del estados de excepción.</w:t>
      </w:r>
    </w:p>
    <w:p w:rsidR="003529E6" w:rsidRDefault="003529E6"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E657C9"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4.3 Actos objeto de control inmediato de legalidad</w:t>
      </w:r>
      <w:r w:rsidR="00CA6DCB">
        <w:rPr>
          <w:rFonts w:ascii="Century Gothic" w:eastAsia="Times New Roman" w:hAnsi="Century Gothic" w:cs="Times New Roman"/>
          <w:b/>
          <w:color w:val="595959" w:themeColor="text1" w:themeTint="A6"/>
          <w:sz w:val="24"/>
          <w:szCs w:val="24"/>
          <w:lang w:eastAsia="es-ES"/>
        </w:rPr>
        <w:t xml:space="preserve"> y normatividad que debe ser confrontada</w:t>
      </w:r>
    </w:p>
    <w:p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cuanto a qué actos son pasibles del control inmediato de legalidad, el </w:t>
      </w:r>
      <w:r w:rsidRPr="00FD77EB">
        <w:rPr>
          <w:rFonts w:ascii="Century Gothic" w:eastAsia="Times New Roman" w:hAnsi="Century Gothic" w:cs="Times New Roman"/>
          <w:color w:val="595959" w:themeColor="text1" w:themeTint="A6"/>
          <w:sz w:val="24"/>
          <w:szCs w:val="24"/>
          <w:lang w:eastAsia="es-ES"/>
        </w:rPr>
        <w:t>C</w:t>
      </w:r>
      <w:r>
        <w:rPr>
          <w:rFonts w:ascii="Century Gothic" w:eastAsia="Times New Roman" w:hAnsi="Century Gothic" w:cs="Times New Roman"/>
          <w:color w:val="595959" w:themeColor="text1" w:themeTint="A6"/>
          <w:sz w:val="24"/>
          <w:szCs w:val="24"/>
          <w:lang w:eastAsia="es-ES"/>
        </w:rPr>
        <w:t xml:space="preserve">onsejo de Estado en providencia del 23 de abril de 2020, Radicación Nro. </w:t>
      </w:r>
      <w:r w:rsidRPr="00FD77EB">
        <w:rPr>
          <w:rFonts w:ascii="Century Gothic" w:eastAsia="Times New Roman" w:hAnsi="Century Gothic" w:cs="Times New Roman"/>
          <w:color w:val="595959" w:themeColor="text1" w:themeTint="A6"/>
          <w:sz w:val="24"/>
          <w:szCs w:val="24"/>
          <w:lang w:eastAsia="es-ES"/>
        </w:rPr>
        <w:t>11001-03-15-000-2020-01064-00</w:t>
      </w:r>
      <w:r>
        <w:rPr>
          <w:rFonts w:ascii="Century Gothic" w:eastAsia="Times New Roman" w:hAnsi="Century Gothic" w:cs="Times New Roman"/>
          <w:color w:val="595959" w:themeColor="text1" w:themeTint="A6"/>
          <w:sz w:val="24"/>
          <w:szCs w:val="24"/>
          <w:lang w:eastAsia="es-ES"/>
        </w:rPr>
        <w:t>, precisó:</w:t>
      </w:r>
    </w:p>
    <w:p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roofErr w:type="spellStart"/>
      <w:r w:rsidRPr="0015225A">
        <w:rPr>
          <w:rFonts w:ascii="Century Gothic" w:eastAsia="Times New Roman" w:hAnsi="Century Gothic" w:cs="Times New Roman"/>
          <w:i/>
          <w:iCs/>
          <w:color w:val="595959" w:themeColor="text1" w:themeTint="A6"/>
          <w:sz w:val="20"/>
          <w:szCs w:val="24"/>
          <w:lang w:eastAsia="es-ES"/>
        </w:rPr>
        <w:t>Aún</w:t>
      </w:r>
      <w:proofErr w:type="spellEnd"/>
      <w:r w:rsidRPr="0015225A">
        <w:rPr>
          <w:rFonts w:ascii="Century Gothic" w:eastAsia="Times New Roman" w:hAnsi="Century Gothic" w:cs="Times New Roman"/>
          <w:i/>
          <w:iCs/>
          <w:color w:val="595959" w:themeColor="text1" w:themeTint="A6"/>
          <w:sz w:val="20"/>
          <w:szCs w:val="24"/>
          <w:lang w:eastAsia="es-ES"/>
        </w:rPr>
        <w:t xml:space="preserve"> cuando las instrucciones, circulares y resoluciones administrativas son actos de la administración en sentido lato, pues por razón de su naturaleza contienen directrices, orientaciones o instrucciones que se dictan para desarrollar la actividad administrativa o para informar aspectos propios de la prestación de un servicio o de la realización de una determinada función, no todos tienen la virtualidad de generar efectos jurídicos, teniendo esta capacidad únicamente aquellos que crean, extinguen o </w:t>
      </w:r>
      <w:r w:rsidRPr="0015225A">
        <w:rPr>
          <w:rFonts w:ascii="Century Gothic" w:eastAsia="Times New Roman" w:hAnsi="Century Gothic" w:cs="Times New Roman"/>
          <w:b/>
          <w:i/>
          <w:iCs/>
          <w:color w:val="595959" w:themeColor="text1" w:themeTint="A6"/>
          <w:sz w:val="20"/>
          <w:szCs w:val="24"/>
          <w:lang w:eastAsia="es-ES"/>
        </w:rPr>
        <w:t>modifican situaciones jurídicas, estando limitado a estos últimos el control por la jurisdicción de lo contencioso administrativo</w:t>
      </w:r>
      <w:r w:rsidRPr="0015225A">
        <w:rPr>
          <w:rFonts w:ascii="Century Gothic" w:eastAsia="Times New Roman" w:hAnsi="Century Gothic" w:cs="Times New Roman"/>
          <w:i/>
          <w:iCs/>
          <w:color w:val="595959" w:themeColor="text1" w:themeTint="A6"/>
          <w:sz w:val="20"/>
          <w:szCs w:val="24"/>
          <w:lang w:eastAsia="es-ES"/>
        </w:rPr>
        <w:t>.</w:t>
      </w:r>
    </w:p>
    <w:p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Conforme con el numeral 11 del artículo 189 de la Constitución, la potestad reglamentaria se reservó para el Presidente de la República, quien la ejerce mediante la expedición de actos administrativos de carácter general que revisten diversas formas, como son los decretos, las resoluciones y las órdenes, estas cuando son impartidas en abstracto.</w:t>
      </w: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No obstante lo anterior, a lo largo del andamiaje legal e institucional </w:t>
      </w:r>
      <w:r w:rsidRPr="0015225A">
        <w:rPr>
          <w:rFonts w:ascii="Century Gothic" w:eastAsia="Times New Roman" w:hAnsi="Century Gothic" w:cs="Times New Roman"/>
          <w:b/>
          <w:i/>
          <w:iCs/>
          <w:color w:val="595959" w:themeColor="text1" w:themeTint="A6"/>
          <w:sz w:val="20"/>
          <w:szCs w:val="24"/>
          <w:lang w:eastAsia="es-ES"/>
        </w:rPr>
        <w:t>son múltiples y diversas las autoridades que tienen potestades administrativas reglamentarias, bien por asignación directa de la Constitución o como resultado de la distribución legal de competencias y funciones en la administración pública</w:t>
      </w:r>
      <w:r w:rsidRPr="0015225A">
        <w:rPr>
          <w:rFonts w:ascii="Century Gothic" w:eastAsia="Times New Roman" w:hAnsi="Century Gothic" w:cs="Times New Roman"/>
          <w:i/>
          <w:iCs/>
          <w:color w:val="595959" w:themeColor="text1" w:themeTint="A6"/>
          <w:sz w:val="20"/>
          <w:szCs w:val="24"/>
          <w:lang w:eastAsia="es-ES"/>
        </w:rPr>
        <w:t xml:space="preserve">, como ocurre, por ejemplo, en el caso de la rama ejecutiva, con los ministros, directores de departamentos administrativos, </w:t>
      </w:r>
      <w:r w:rsidRPr="0015225A">
        <w:rPr>
          <w:rFonts w:ascii="Century Gothic" w:eastAsia="Times New Roman" w:hAnsi="Century Gothic" w:cs="Times New Roman"/>
          <w:b/>
          <w:i/>
          <w:iCs/>
          <w:color w:val="595959" w:themeColor="text1" w:themeTint="A6"/>
          <w:sz w:val="20"/>
          <w:szCs w:val="24"/>
          <w:lang w:eastAsia="es-ES"/>
        </w:rPr>
        <w:t>alcaldes</w:t>
      </w:r>
      <w:r w:rsidRPr="0015225A">
        <w:rPr>
          <w:rFonts w:ascii="Century Gothic" w:eastAsia="Times New Roman" w:hAnsi="Century Gothic" w:cs="Times New Roman"/>
          <w:i/>
          <w:iCs/>
          <w:color w:val="595959" w:themeColor="text1" w:themeTint="A6"/>
          <w:sz w:val="20"/>
          <w:szCs w:val="24"/>
          <w:lang w:eastAsia="es-ES"/>
        </w:rPr>
        <w:t xml:space="preserve">, gobernadores, o en el caso de los entes autónomos, donde se ha desplazado la facultad reglamentaria presidencial a otras autoridades, fenómeno que la Corte Constitucional ha denominado la potestad reglamentaria difusa. </w:t>
      </w: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En este orden de ideas, se destaca que </w:t>
      </w:r>
      <w:r w:rsidRPr="0015225A">
        <w:rPr>
          <w:rFonts w:ascii="Century Gothic" w:eastAsia="Times New Roman" w:hAnsi="Century Gothic" w:cs="Times New Roman"/>
          <w:b/>
          <w:i/>
          <w:iCs/>
          <w:color w:val="595959" w:themeColor="text1" w:themeTint="A6"/>
          <w:sz w:val="20"/>
          <w:szCs w:val="24"/>
          <w:lang w:eastAsia="es-ES"/>
        </w:rPr>
        <w:t>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Pr="0015225A">
        <w:rPr>
          <w:rFonts w:ascii="Century Gothic" w:eastAsia="Times New Roman" w:hAnsi="Century Gothic" w:cs="Times New Roman"/>
          <w:i/>
          <w:iCs/>
          <w:color w:val="595959" w:themeColor="text1" w:themeTint="A6"/>
          <w:sz w:val="20"/>
          <w:szCs w:val="24"/>
          <w:lang w:eastAsia="es-ES"/>
        </w:rPr>
        <w:t>.</w:t>
      </w:r>
      <w:r w:rsidR="00242B86" w:rsidRPr="0015225A">
        <w:rPr>
          <w:rFonts w:ascii="Century Gothic" w:eastAsia="Times New Roman" w:hAnsi="Century Gothic" w:cs="Times New Roman"/>
          <w:i/>
          <w:iCs/>
          <w:color w:val="595959" w:themeColor="text1" w:themeTint="A6"/>
          <w:sz w:val="20"/>
          <w:szCs w:val="24"/>
          <w:lang w:eastAsia="es-ES"/>
        </w:rPr>
        <w:t>”</w:t>
      </w:r>
    </w:p>
    <w:p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FD77EB" w:rsidRPr="0015225A" w:rsidRDefault="00FD77EB" w:rsidP="0015225A">
      <w:pPr>
        <w:spacing w:after="0" w:line="240" w:lineRule="auto"/>
        <w:ind w:left="708" w:right="96"/>
        <w:jc w:val="both"/>
        <w:rPr>
          <w:rFonts w:ascii="Century Gothic" w:eastAsia="Times New Roman" w:hAnsi="Century Gothic" w:cs="Times New Roman"/>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 (…) Son pasibles de control los decretos reglamentarios y los actos administrativos generales, quedando, en consecuencia, excluidas las instrucciones, recomendaciones o demás medidas que adopte la Administración que no contengan una decisión capaz de modificar el ordenamiento jurídico de excepción, en los términos expresados y aquellas que no tengan un carácter general, esto es, que no produzcan efectos erga omnes (…) 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w:t>
      </w:r>
      <w:r w:rsidRPr="0015225A">
        <w:rPr>
          <w:rFonts w:ascii="Century Gothic" w:eastAsia="Times New Roman" w:hAnsi="Century Gothic" w:cs="Times New Roman"/>
          <w:i/>
          <w:iCs/>
          <w:color w:val="595959" w:themeColor="text1" w:themeTint="A6"/>
          <w:sz w:val="20"/>
          <w:szCs w:val="24"/>
          <w:lang w:eastAsia="es-ES"/>
        </w:rPr>
        <w:lastRenderedPageBreak/>
        <w:t>constituyen actos administrativos y, siendo ello así, con respecto de estas no es posible ejercer el control inmediato de legalidad”</w:t>
      </w:r>
      <w:r w:rsidR="003529E6" w:rsidRPr="0015225A">
        <w:rPr>
          <w:rFonts w:ascii="Century Gothic" w:eastAsia="Times New Roman" w:hAnsi="Century Gothic" w:cs="Times New Roman"/>
          <w:i/>
          <w:iCs/>
          <w:color w:val="595959" w:themeColor="text1" w:themeTint="A6"/>
          <w:sz w:val="20"/>
          <w:szCs w:val="24"/>
          <w:lang w:eastAsia="es-ES"/>
        </w:rPr>
        <w:t xml:space="preserve">. </w:t>
      </w:r>
      <w:r w:rsidR="003529E6" w:rsidRPr="0015225A">
        <w:rPr>
          <w:rFonts w:ascii="Century Gothic" w:eastAsia="Times New Roman" w:hAnsi="Century Gothic" w:cs="Times New Roman"/>
          <w:iCs/>
          <w:color w:val="595959" w:themeColor="text1" w:themeTint="A6"/>
          <w:sz w:val="20"/>
          <w:szCs w:val="24"/>
          <w:lang w:eastAsia="es-ES"/>
        </w:rPr>
        <w:t>(Negrillas de la Sala)</w:t>
      </w:r>
    </w:p>
    <w:p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021AA9" w:rsidRDefault="00021AA9"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CA6DCB" w:rsidRPr="000D296C" w:rsidRDefault="00CA6DCB" w:rsidP="00A0365F">
      <w:pPr>
        <w:spacing w:after="0"/>
        <w:ind w:right="96"/>
        <w:jc w:val="both"/>
        <w:rPr>
          <w:rFonts w:ascii="Century Gothic" w:eastAsia="Times New Roman" w:hAnsi="Century Gothic" w:cs="Times New Roman"/>
          <w:color w:val="595959" w:themeColor="text1" w:themeTint="A6"/>
          <w:sz w:val="24"/>
          <w:szCs w:val="24"/>
          <w:lang w:eastAsia="es-ES"/>
        </w:rPr>
      </w:pPr>
      <w:r w:rsidRPr="000D296C">
        <w:rPr>
          <w:rFonts w:ascii="Century Gothic" w:eastAsia="Times New Roman" w:hAnsi="Century Gothic" w:cs="Times New Roman"/>
          <w:color w:val="595959" w:themeColor="text1" w:themeTint="A6"/>
          <w:sz w:val="24"/>
          <w:szCs w:val="24"/>
          <w:lang w:eastAsia="es-ES"/>
        </w:rPr>
        <w:t>Finalmente, el control inmediato de legalidad debe hacerse confrontando las normas superiores, que son: a) Los mandatos constitucionales sobre derechos fundamentales, b) Las normas convencionales que limitan a los estados para suspender las garantías y libertades fundamentales, c) Las normas constitucionales que rigen los estados de excepción, d) La Ley estatutaria de Estados de Excepción, e) El decreto de declaratoria del estado de excepción y f) Los decretos legislativos expedidos por el Gobierno</w:t>
      </w:r>
      <w:r w:rsidRPr="000D296C">
        <w:rPr>
          <w:rStyle w:val="Refdenotaalpie"/>
          <w:rFonts w:ascii="Century Gothic" w:eastAsia="Times New Roman" w:hAnsi="Century Gothic" w:cs="Times New Roman"/>
          <w:color w:val="595959" w:themeColor="text1" w:themeTint="A6"/>
          <w:sz w:val="24"/>
          <w:szCs w:val="24"/>
          <w:lang w:eastAsia="es-ES"/>
        </w:rPr>
        <w:footnoteReference w:id="5"/>
      </w:r>
      <w:r w:rsidRPr="000D296C">
        <w:rPr>
          <w:rFonts w:ascii="Century Gothic" w:eastAsia="Times New Roman" w:hAnsi="Century Gothic" w:cs="Times New Roman"/>
          <w:color w:val="595959" w:themeColor="text1" w:themeTint="A6"/>
          <w:sz w:val="24"/>
          <w:szCs w:val="24"/>
          <w:lang w:eastAsia="es-ES"/>
        </w:rPr>
        <w:t>.</w:t>
      </w:r>
    </w:p>
    <w:p w:rsidR="000C0CC9" w:rsidRPr="00CA6DCB" w:rsidRDefault="000C0CC9" w:rsidP="00A0365F">
      <w:pPr>
        <w:spacing w:after="0"/>
        <w:ind w:right="96"/>
        <w:jc w:val="both"/>
        <w:rPr>
          <w:rFonts w:ascii="Century Gothic" w:eastAsia="Times New Roman" w:hAnsi="Century Gothic" w:cs="Times New Roman"/>
          <w:color w:val="595959" w:themeColor="text1" w:themeTint="A6"/>
          <w:sz w:val="24"/>
          <w:szCs w:val="24"/>
          <w:highlight w:val="cyan"/>
          <w:lang w:eastAsia="es-ES"/>
        </w:rPr>
      </w:pPr>
    </w:p>
    <w:p w:rsidR="00242B86" w:rsidRPr="00242B86" w:rsidRDefault="00242B86" w:rsidP="00A0365F">
      <w:pPr>
        <w:spacing w:after="0"/>
        <w:ind w:right="96"/>
        <w:jc w:val="both"/>
        <w:rPr>
          <w:rFonts w:ascii="Century Gothic" w:eastAsia="Times New Roman" w:hAnsi="Century Gothic" w:cs="Times New Roman"/>
          <w:color w:val="595959" w:themeColor="text1" w:themeTint="A6"/>
          <w:sz w:val="24"/>
          <w:szCs w:val="24"/>
          <w:lang w:eastAsia="es-ES"/>
        </w:rPr>
      </w:pPr>
      <w:r w:rsidRPr="002D05BF">
        <w:rPr>
          <w:rFonts w:ascii="Century Gothic" w:eastAsia="Times New Roman" w:hAnsi="Century Gothic" w:cs="Times New Roman"/>
          <w:color w:val="595959" w:themeColor="text1" w:themeTint="A6"/>
          <w:sz w:val="24"/>
          <w:szCs w:val="24"/>
          <w:lang w:eastAsia="es-ES"/>
        </w:rPr>
        <w:t>Conforme lo expuesto en precedencia, procederá la Sala Plena a resolver los problemas jurídicos planteados.</w:t>
      </w:r>
    </w:p>
    <w:p w:rsidR="00242B86" w:rsidRDefault="00242B86"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0C0CC9" w:rsidRPr="00FD77EB" w:rsidRDefault="000C0CC9"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5. Caso concreto</w:t>
      </w: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rsidR="00BF0D6A" w:rsidRPr="00BF0D6A" w:rsidRDefault="00BF0D6A" w:rsidP="00BF0D6A">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eastAsia="es-CO"/>
        </w:rPr>
        <w:t xml:space="preserve">Procede la Sala Plena del Tribunal Administrativo de Bolívar, a establecer si el </w:t>
      </w:r>
      <w:r w:rsidR="009A2F7D" w:rsidRPr="009A2F7D">
        <w:rPr>
          <w:rFonts w:ascii="Century Gothic" w:eastAsia="Times New Roman" w:hAnsi="Century Gothic" w:cs="Arial"/>
          <w:color w:val="595959" w:themeColor="text1" w:themeTint="A6"/>
          <w:sz w:val="24"/>
          <w:szCs w:val="24"/>
          <w:lang w:eastAsia="es-CO"/>
        </w:rPr>
        <w:t xml:space="preserve">Decreto Nro. </w:t>
      </w:r>
      <w:r w:rsidR="009E3925">
        <w:rPr>
          <w:rFonts w:ascii="Century Gothic" w:eastAsia="Times New Roman" w:hAnsi="Century Gothic" w:cs="Arial"/>
          <w:color w:val="595959" w:themeColor="text1" w:themeTint="A6"/>
          <w:sz w:val="24"/>
          <w:szCs w:val="24"/>
          <w:lang w:eastAsia="es-CO"/>
        </w:rPr>
        <w:t>20-03-20-01</w:t>
      </w:r>
      <w:r w:rsidR="000C0CC9">
        <w:rPr>
          <w:rFonts w:ascii="Century Gothic" w:eastAsia="Times New Roman" w:hAnsi="Century Gothic" w:cs="Arial"/>
          <w:color w:val="595959" w:themeColor="text1" w:themeTint="A6"/>
          <w:sz w:val="24"/>
          <w:szCs w:val="24"/>
          <w:lang w:eastAsia="es-CO"/>
        </w:rPr>
        <w:t xml:space="preserve"> de 2</w:t>
      </w:r>
      <w:r w:rsidR="009E3925">
        <w:rPr>
          <w:rFonts w:ascii="Century Gothic" w:eastAsia="Times New Roman" w:hAnsi="Century Gothic" w:cs="Arial"/>
          <w:color w:val="595959" w:themeColor="text1" w:themeTint="A6"/>
          <w:sz w:val="24"/>
          <w:szCs w:val="24"/>
          <w:lang w:eastAsia="es-CO"/>
        </w:rPr>
        <w:t>0</w:t>
      </w:r>
      <w:r w:rsidR="009A2F7D" w:rsidRPr="009A2F7D">
        <w:rPr>
          <w:rFonts w:ascii="Century Gothic" w:eastAsia="Times New Roman" w:hAnsi="Century Gothic" w:cs="Arial"/>
          <w:color w:val="595959" w:themeColor="text1" w:themeTint="A6"/>
          <w:sz w:val="24"/>
          <w:szCs w:val="24"/>
          <w:lang w:eastAsia="es-CO"/>
        </w:rPr>
        <w:t xml:space="preserve"> de marzo de 2020</w:t>
      </w:r>
      <w:r>
        <w:rPr>
          <w:rFonts w:ascii="Century Gothic" w:eastAsia="Times New Roman" w:hAnsi="Century Gothic" w:cs="Arial"/>
          <w:color w:val="595959" w:themeColor="text1" w:themeTint="A6"/>
          <w:sz w:val="24"/>
          <w:szCs w:val="24"/>
          <w:lang w:eastAsia="es-CO"/>
        </w:rPr>
        <w:t>, es pasible del medio de control de C</w:t>
      </w:r>
      <w:r w:rsidRPr="00BF0D6A">
        <w:rPr>
          <w:rFonts w:ascii="Century Gothic" w:eastAsia="Times New Roman" w:hAnsi="Century Gothic" w:cs="Arial"/>
          <w:color w:val="595959" w:themeColor="text1" w:themeTint="A6"/>
          <w:sz w:val="24"/>
          <w:szCs w:val="24"/>
          <w:lang w:eastAsia="es-CO"/>
        </w:rPr>
        <w:t xml:space="preserve">ontrol Inmediato de </w:t>
      </w:r>
      <w:r>
        <w:rPr>
          <w:rFonts w:ascii="Century Gothic" w:eastAsia="Times New Roman" w:hAnsi="Century Gothic" w:cs="Arial"/>
          <w:color w:val="595959" w:themeColor="text1" w:themeTint="A6"/>
          <w:sz w:val="24"/>
          <w:szCs w:val="24"/>
          <w:lang w:eastAsia="es-CO"/>
        </w:rPr>
        <w:t>L</w:t>
      </w:r>
      <w:r w:rsidRPr="00BF0D6A">
        <w:rPr>
          <w:rFonts w:ascii="Century Gothic" w:eastAsia="Times New Roman" w:hAnsi="Century Gothic" w:cs="Arial"/>
          <w:color w:val="595959" w:themeColor="text1" w:themeTint="A6"/>
          <w:sz w:val="24"/>
          <w:szCs w:val="24"/>
          <w:lang w:eastAsia="es-CO"/>
        </w:rPr>
        <w:t>egalidad</w:t>
      </w:r>
      <w:r>
        <w:rPr>
          <w:rFonts w:ascii="Century Gothic" w:eastAsia="Times New Roman" w:hAnsi="Century Gothic" w:cs="Arial"/>
          <w:color w:val="595959" w:themeColor="text1" w:themeTint="A6"/>
          <w:sz w:val="24"/>
          <w:szCs w:val="24"/>
          <w:lang w:eastAsia="es-CO"/>
        </w:rPr>
        <w:t>, debiendo precisarse si las medidas adoptadas en dicho decreto municipal</w:t>
      </w:r>
      <w:r w:rsidR="006B3A92">
        <w:rPr>
          <w:rFonts w:ascii="Century Gothic" w:eastAsia="Times New Roman" w:hAnsi="Century Gothic" w:cs="Arial"/>
          <w:color w:val="595959" w:themeColor="text1" w:themeTint="A6"/>
          <w:sz w:val="24"/>
          <w:szCs w:val="24"/>
          <w:lang w:eastAsia="es-CO"/>
        </w:rPr>
        <w:t xml:space="preserve"> se expidieron </w:t>
      </w:r>
      <w:r>
        <w:rPr>
          <w:rFonts w:ascii="Century Gothic" w:eastAsia="Times New Roman" w:hAnsi="Century Gothic" w:cs="Arial"/>
          <w:color w:val="595959" w:themeColor="text1" w:themeTint="A6"/>
          <w:sz w:val="24"/>
          <w:szCs w:val="24"/>
          <w:lang w:eastAsia="es-CO"/>
        </w:rPr>
        <w:t xml:space="preserve">en desarrollo de los decretos legislativos expedidos con ocasión del Estado de Emergencia   </w:t>
      </w:r>
      <w:r w:rsidRPr="00BF0D6A">
        <w:rPr>
          <w:rFonts w:ascii="Century Gothic" w:eastAsia="Times New Roman" w:hAnsi="Century Gothic" w:cs="Arial"/>
          <w:color w:val="595959" w:themeColor="text1" w:themeTint="A6"/>
          <w:sz w:val="24"/>
          <w:szCs w:val="24"/>
          <w:lang w:eastAsia="es-CO"/>
        </w:rPr>
        <w:t xml:space="preserve">Económica, Social y Ecológica </w:t>
      </w:r>
      <w:r w:rsidR="006B3A92">
        <w:rPr>
          <w:rFonts w:ascii="Century Gothic" w:eastAsia="Times New Roman" w:hAnsi="Century Gothic" w:cs="Arial"/>
          <w:color w:val="595959" w:themeColor="text1" w:themeTint="A6"/>
          <w:sz w:val="24"/>
          <w:szCs w:val="24"/>
          <w:lang w:eastAsia="es-CO"/>
        </w:rPr>
        <w:t>declarado por el Presidente</w:t>
      </w:r>
      <w:r w:rsidRPr="00BF0D6A">
        <w:rPr>
          <w:rFonts w:ascii="Century Gothic" w:eastAsia="Times New Roman" w:hAnsi="Century Gothic" w:cs="Arial"/>
          <w:color w:val="595959" w:themeColor="text1" w:themeTint="A6"/>
          <w:sz w:val="24"/>
          <w:szCs w:val="24"/>
          <w:lang w:eastAsia="es-CO"/>
        </w:rPr>
        <w:t>.</w:t>
      </w:r>
    </w:p>
    <w:p w:rsidR="00BF0D6A" w:rsidRDefault="00BF0D6A"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7D5EBB" w:rsidRPr="007D5EBB" w:rsidRDefault="006B3A92"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Se tiene que l</w:t>
      </w:r>
      <w:r w:rsidR="007D5EBB" w:rsidRPr="007D5EBB">
        <w:rPr>
          <w:rFonts w:ascii="Century Gothic" w:eastAsia="Times New Roman" w:hAnsi="Century Gothic" w:cs="Arial"/>
          <w:color w:val="595959" w:themeColor="text1" w:themeTint="A6"/>
          <w:sz w:val="24"/>
          <w:szCs w:val="24"/>
          <w:lang w:val="es-CO" w:eastAsia="es-CO"/>
        </w:rPr>
        <w:t>a Organización Mundial de la Salud</w:t>
      </w:r>
      <w:r w:rsidR="007D5EBB">
        <w:rPr>
          <w:rFonts w:ascii="Century Gothic" w:eastAsia="Times New Roman" w:hAnsi="Century Gothic" w:cs="Arial"/>
          <w:color w:val="595959" w:themeColor="text1" w:themeTint="A6"/>
          <w:sz w:val="24"/>
          <w:szCs w:val="24"/>
          <w:lang w:val="es-CO" w:eastAsia="es-CO"/>
        </w:rPr>
        <w:t xml:space="preserve"> - OMS</w:t>
      </w:r>
      <w:r w:rsidR="007D5EBB" w:rsidRPr="007D5EBB">
        <w:rPr>
          <w:rFonts w:ascii="Century Gothic" w:eastAsia="Times New Roman" w:hAnsi="Century Gothic" w:cs="Arial"/>
          <w:color w:val="595959" w:themeColor="text1" w:themeTint="A6"/>
          <w:sz w:val="24"/>
          <w:szCs w:val="24"/>
          <w:lang w:val="es-CO" w:eastAsia="es-CO"/>
        </w:rPr>
        <w:t xml:space="preserve">, el 7 de enero de 2020, identificó el nuevo coronavirus - COVID-19 y declaró este brote como emergencia de salud pública de importancia internacional. El Ministerio de Salud y Protección Social, el Ministerio de Trabajo y el Departamento Administrativo de la Función Pública, expidieron la </w:t>
      </w:r>
      <w:r w:rsidR="007D5EBB">
        <w:rPr>
          <w:rFonts w:ascii="Century Gothic" w:eastAsia="Times New Roman" w:hAnsi="Century Gothic" w:cs="Arial"/>
          <w:color w:val="595959" w:themeColor="text1" w:themeTint="A6"/>
          <w:sz w:val="24"/>
          <w:szCs w:val="24"/>
          <w:lang w:val="es-CO" w:eastAsia="es-CO"/>
        </w:rPr>
        <w:t>C</w:t>
      </w:r>
      <w:r w:rsidR="007D5EBB" w:rsidRPr="007D5EBB">
        <w:rPr>
          <w:rFonts w:ascii="Century Gothic" w:eastAsia="Times New Roman" w:hAnsi="Century Gothic" w:cs="Arial"/>
          <w:color w:val="595959" w:themeColor="text1" w:themeTint="A6"/>
          <w:sz w:val="24"/>
          <w:szCs w:val="24"/>
          <w:lang w:val="es-CO" w:eastAsia="es-CO"/>
        </w:rPr>
        <w:t xml:space="preserve">ircular </w:t>
      </w:r>
      <w:r w:rsidR="007D5EBB">
        <w:rPr>
          <w:rFonts w:ascii="Century Gothic" w:eastAsia="Times New Roman" w:hAnsi="Century Gothic" w:cs="Arial"/>
          <w:color w:val="595959" w:themeColor="text1" w:themeTint="A6"/>
          <w:sz w:val="24"/>
          <w:szCs w:val="24"/>
          <w:lang w:val="es-CO" w:eastAsia="es-CO"/>
        </w:rPr>
        <w:t>E</w:t>
      </w:r>
      <w:r w:rsidR="007D5EBB" w:rsidRPr="007D5EBB">
        <w:rPr>
          <w:rFonts w:ascii="Century Gothic" w:eastAsia="Times New Roman" w:hAnsi="Century Gothic" w:cs="Arial"/>
          <w:color w:val="595959" w:themeColor="text1" w:themeTint="A6"/>
          <w:sz w:val="24"/>
          <w:szCs w:val="24"/>
          <w:lang w:val="es-CO" w:eastAsia="es-CO"/>
        </w:rPr>
        <w:t>xterna 0018 de 2020, de</w:t>
      </w:r>
      <w:r w:rsidR="007D5EBB">
        <w:rPr>
          <w:rFonts w:ascii="Century Gothic" w:eastAsia="Times New Roman" w:hAnsi="Century Gothic" w:cs="Arial"/>
          <w:color w:val="595959" w:themeColor="text1" w:themeTint="A6"/>
          <w:sz w:val="24"/>
          <w:szCs w:val="24"/>
          <w:lang w:val="es-CO" w:eastAsia="es-CO"/>
        </w:rPr>
        <w:t xml:space="preserve"> fecha </w:t>
      </w:r>
      <w:r w:rsidR="007D5EBB" w:rsidRPr="007D5EBB">
        <w:rPr>
          <w:rFonts w:ascii="Century Gothic" w:eastAsia="Times New Roman" w:hAnsi="Century Gothic" w:cs="Arial"/>
          <w:color w:val="595959" w:themeColor="text1" w:themeTint="A6"/>
          <w:sz w:val="24"/>
          <w:szCs w:val="24"/>
          <w:lang w:val="es-CO" w:eastAsia="es-CO"/>
        </w:rPr>
        <w:t>10 de marzo de 2020, en la que dic</w:t>
      </w:r>
      <w:r w:rsidR="007D5EBB">
        <w:rPr>
          <w:rFonts w:ascii="Century Gothic" w:eastAsia="Times New Roman" w:hAnsi="Century Gothic" w:cs="Arial"/>
          <w:color w:val="595959" w:themeColor="text1" w:themeTint="A6"/>
          <w:sz w:val="24"/>
          <w:szCs w:val="24"/>
          <w:lang w:val="es-CO" w:eastAsia="es-CO"/>
        </w:rPr>
        <w:t xml:space="preserve">tan instrucciones para adoptar </w:t>
      </w:r>
      <w:r w:rsidR="007D5EBB" w:rsidRPr="007D5EBB">
        <w:rPr>
          <w:rFonts w:ascii="Century Gothic" w:eastAsia="Times New Roman" w:hAnsi="Century Gothic" w:cs="Arial"/>
          <w:color w:val="595959" w:themeColor="text1" w:themeTint="A6"/>
          <w:sz w:val="24"/>
          <w:szCs w:val="24"/>
          <w:lang w:val="es-CO" w:eastAsia="es-CO"/>
        </w:rPr>
        <w:t>acciones de Contención ante el COVID -19 y la prevención de enfermedades asociadas al primer pico epidemiológico d</w:t>
      </w:r>
      <w:r w:rsidR="007D5EBB">
        <w:rPr>
          <w:rFonts w:ascii="Century Gothic" w:eastAsia="Times New Roman" w:hAnsi="Century Gothic" w:cs="Arial"/>
          <w:color w:val="595959" w:themeColor="text1" w:themeTint="A6"/>
          <w:sz w:val="24"/>
          <w:szCs w:val="24"/>
          <w:lang w:val="es-CO" w:eastAsia="es-CO"/>
        </w:rPr>
        <w:t xml:space="preserve">e enfermedades respiratorias. </w:t>
      </w:r>
    </w:p>
    <w:p w:rsidR="007D5EBB"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BE29FE"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 xml:space="preserve">El 11 de marzo de 2020 la OMS declaró el brote de enfermedad por coronavirus – COVID -19 como una pandemia. </w:t>
      </w:r>
    </w:p>
    <w:p w:rsidR="00BE29FE" w:rsidRDefault="00BE29FE"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lastRenderedPageBreak/>
        <w:t>El Presidente de la República</w:t>
      </w:r>
      <w:r w:rsidR="00BE29FE">
        <w:rPr>
          <w:rFonts w:ascii="Century Gothic" w:eastAsia="Times New Roman" w:hAnsi="Century Gothic" w:cs="Arial"/>
          <w:color w:val="595959" w:themeColor="text1" w:themeTint="A6"/>
          <w:sz w:val="24"/>
          <w:szCs w:val="24"/>
          <w:lang w:val="es-CO" w:eastAsia="es-CO"/>
        </w:rPr>
        <w:t xml:space="preserve"> </w:t>
      </w:r>
      <w:r w:rsidRPr="007D5EBB">
        <w:rPr>
          <w:rFonts w:ascii="Century Gothic" w:eastAsia="Times New Roman" w:hAnsi="Century Gothic" w:cs="Arial"/>
          <w:color w:val="595959" w:themeColor="text1" w:themeTint="A6"/>
          <w:sz w:val="24"/>
          <w:szCs w:val="24"/>
          <w:lang w:val="es-CO" w:eastAsia="es-CO"/>
        </w:rPr>
        <w:t xml:space="preserve">por la </w:t>
      </w:r>
      <w:r w:rsidR="00BE29FE">
        <w:rPr>
          <w:rFonts w:ascii="Century Gothic" w:eastAsia="Times New Roman" w:hAnsi="Century Gothic" w:cs="Arial"/>
          <w:color w:val="595959" w:themeColor="text1" w:themeTint="A6"/>
          <w:sz w:val="24"/>
          <w:szCs w:val="24"/>
          <w:lang w:val="es-CO" w:eastAsia="es-CO"/>
        </w:rPr>
        <w:t>D</w:t>
      </w:r>
      <w:r w:rsidRPr="007D5EBB">
        <w:rPr>
          <w:rFonts w:ascii="Century Gothic" w:eastAsia="Times New Roman" w:hAnsi="Century Gothic" w:cs="Arial"/>
          <w:color w:val="595959" w:themeColor="text1" w:themeTint="A6"/>
          <w:sz w:val="24"/>
          <w:szCs w:val="24"/>
          <w:lang w:val="es-CO" w:eastAsia="es-CO"/>
        </w:rPr>
        <w:t xml:space="preserve">irectiva </w:t>
      </w:r>
      <w:r w:rsidR="00BE29FE">
        <w:rPr>
          <w:rFonts w:ascii="Century Gothic" w:eastAsia="Times New Roman" w:hAnsi="Century Gothic" w:cs="Arial"/>
          <w:color w:val="595959" w:themeColor="text1" w:themeTint="A6"/>
          <w:sz w:val="24"/>
          <w:szCs w:val="24"/>
          <w:lang w:val="es-CO" w:eastAsia="es-CO"/>
        </w:rPr>
        <w:t>P</w:t>
      </w:r>
      <w:r w:rsidRPr="007D5EBB">
        <w:rPr>
          <w:rFonts w:ascii="Century Gothic" w:eastAsia="Times New Roman" w:hAnsi="Century Gothic" w:cs="Arial"/>
          <w:color w:val="595959" w:themeColor="text1" w:themeTint="A6"/>
          <w:sz w:val="24"/>
          <w:szCs w:val="24"/>
          <w:lang w:val="es-CO" w:eastAsia="es-CO"/>
        </w:rPr>
        <w:t>residencial No. 02 del 12</w:t>
      </w:r>
      <w:r>
        <w:rPr>
          <w:rFonts w:ascii="Century Gothic" w:eastAsia="Times New Roman" w:hAnsi="Century Gothic" w:cs="Arial"/>
          <w:color w:val="595959" w:themeColor="text1" w:themeTint="A6"/>
          <w:sz w:val="24"/>
          <w:szCs w:val="24"/>
          <w:lang w:val="es-CO" w:eastAsia="es-CO"/>
        </w:rPr>
        <w:t xml:space="preserve"> de marzo de </w:t>
      </w:r>
      <w:r w:rsidRPr="007D5EBB">
        <w:rPr>
          <w:rFonts w:ascii="Century Gothic" w:eastAsia="Times New Roman" w:hAnsi="Century Gothic" w:cs="Arial"/>
          <w:color w:val="595959" w:themeColor="text1" w:themeTint="A6"/>
          <w:sz w:val="24"/>
          <w:szCs w:val="24"/>
          <w:lang w:val="es-CO" w:eastAsia="es-CO"/>
        </w:rPr>
        <w:t>2020</w:t>
      </w:r>
      <w:r w:rsidR="00BE29FE">
        <w:rPr>
          <w:rFonts w:ascii="Century Gothic" w:eastAsia="Times New Roman" w:hAnsi="Century Gothic" w:cs="Arial"/>
          <w:color w:val="595959" w:themeColor="text1" w:themeTint="A6"/>
          <w:sz w:val="24"/>
          <w:szCs w:val="24"/>
          <w:lang w:val="es-CO" w:eastAsia="es-CO"/>
        </w:rPr>
        <w:t>,</w:t>
      </w:r>
      <w:r w:rsidRPr="007D5EBB">
        <w:rPr>
          <w:rFonts w:ascii="Century Gothic" w:eastAsia="Times New Roman" w:hAnsi="Century Gothic" w:cs="Arial"/>
          <w:color w:val="595959" w:themeColor="text1" w:themeTint="A6"/>
          <w:sz w:val="24"/>
          <w:szCs w:val="24"/>
          <w:lang w:val="es-CO" w:eastAsia="es-CO"/>
        </w:rPr>
        <w:t xml:space="preserve"> dispuso de medidas para atender la contingencia generada por el COVID-19, a partir del uso de las tecnologías de la información de las telecomunicaciones –TIC-. </w:t>
      </w:r>
    </w:p>
    <w:p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7D5EBB">
        <w:rPr>
          <w:rFonts w:ascii="Century Gothic" w:eastAsia="Times New Roman" w:hAnsi="Century Gothic" w:cs="Arial"/>
          <w:color w:val="595959" w:themeColor="text1" w:themeTint="A6"/>
          <w:sz w:val="24"/>
          <w:szCs w:val="24"/>
          <w:lang w:val="es-CO" w:eastAsia="es-CO"/>
        </w:rPr>
        <w:t>El ministro de Salud y Protección Social por medio de la Resolución 385 del 12 de marzo de 2020 de acuerdo con lo establecido en el artículo 69 de la Ley 1753 de 2015, declaró el estado de emergencia sanitaria por causa del nuevo coronavirus COVID-19 en todo el ter</w:t>
      </w:r>
      <w:r w:rsidR="00BE29FE">
        <w:rPr>
          <w:rFonts w:ascii="Century Gothic" w:eastAsia="Times New Roman" w:hAnsi="Century Gothic" w:cs="Arial"/>
          <w:color w:val="595959" w:themeColor="text1" w:themeTint="A6"/>
          <w:sz w:val="24"/>
          <w:szCs w:val="24"/>
          <w:lang w:val="es-CO" w:eastAsia="es-CO"/>
        </w:rPr>
        <w:t xml:space="preserve">ritorio nacional hasta el </w:t>
      </w:r>
      <w:r w:rsidRPr="007D5EBB">
        <w:rPr>
          <w:rFonts w:ascii="Century Gothic" w:eastAsia="Times New Roman" w:hAnsi="Century Gothic" w:cs="Arial"/>
          <w:color w:val="595959" w:themeColor="text1" w:themeTint="A6"/>
          <w:sz w:val="24"/>
          <w:szCs w:val="24"/>
          <w:lang w:val="es-CO" w:eastAsia="es-CO"/>
        </w:rPr>
        <w:t>30</w:t>
      </w:r>
      <w:r w:rsidR="00BE29FE">
        <w:rPr>
          <w:rFonts w:ascii="Century Gothic" w:eastAsia="Times New Roman" w:hAnsi="Century Gothic" w:cs="Arial"/>
          <w:color w:val="595959" w:themeColor="text1" w:themeTint="A6"/>
          <w:sz w:val="24"/>
          <w:szCs w:val="24"/>
          <w:lang w:val="es-CO" w:eastAsia="es-CO"/>
        </w:rPr>
        <w:t xml:space="preserve"> de mayo de</w:t>
      </w:r>
      <w:r w:rsidRPr="007D5EBB">
        <w:rPr>
          <w:rFonts w:ascii="Century Gothic" w:eastAsia="Times New Roman" w:hAnsi="Century Gothic" w:cs="Arial"/>
          <w:color w:val="595959" w:themeColor="text1" w:themeTint="A6"/>
          <w:sz w:val="24"/>
          <w:szCs w:val="24"/>
          <w:lang w:val="es-CO" w:eastAsia="es-CO"/>
        </w:rPr>
        <w:t xml:space="preserve"> </w:t>
      </w:r>
      <w:r w:rsidR="00BE29FE">
        <w:rPr>
          <w:rFonts w:ascii="Century Gothic" w:eastAsia="Times New Roman" w:hAnsi="Century Gothic" w:cs="Arial"/>
          <w:color w:val="595959" w:themeColor="text1" w:themeTint="A6"/>
          <w:sz w:val="24"/>
          <w:szCs w:val="24"/>
          <w:lang w:val="es-CO" w:eastAsia="es-CO"/>
        </w:rPr>
        <w:t>2020</w:t>
      </w:r>
      <w:r w:rsidRPr="007D5EBB">
        <w:rPr>
          <w:rFonts w:ascii="Century Gothic" w:eastAsia="Times New Roman" w:hAnsi="Century Gothic" w:cs="Arial"/>
          <w:color w:val="595959" w:themeColor="text1" w:themeTint="A6"/>
          <w:sz w:val="24"/>
          <w:szCs w:val="24"/>
          <w:lang w:val="es-CO" w:eastAsia="es-CO"/>
        </w:rPr>
        <w:t xml:space="preserve"> y, en virtud de dicha resolución, adoptó una serie de medidas con el objeto de prevenir y controlar la propagación del COVID-19 y mitigar sus efectos.</w:t>
      </w:r>
    </w:p>
    <w:p w:rsidR="00BE29FE" w:rsidRDefault="00BE29FE"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BE29FE" w:rsidRDefault="00BE29FE"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D15E92">
        <w:rPr>
          <w:rFonts w:ascii="Century Gothic" w:eastAsia="Times New Roman" w:hAnsi="Century Gothic" w:cs="Arial"/>
          <w:color w:val="595959" w:themeColor="text1" w:themeTint="A6"/>
          <w:sz w:val="24"/>
          <w:szCs w:val="24"/>
          <w:lang w:val="es-CO" w:eastAsia="es-CO"/>
        </w:rPr>
        <w:t xml:space="preserve">El Presidente de la República </w:t>
      </w:r>
      <w:r w:rsidR="00D15E92">
        <w:rPr>
          <w:rFonts w:ascii="Century Gothic" w:eastAsia="Times New Roman" w:hAnsi="Century Gothic" w:cs="Arial"/>
          <w:color w:val="595959" w:themeColor="text1" w:themeTint="A6"/>
          <w:sz w:val="24"/>
          <w:szCs w:val="24"/>
          <w:lang w:val="es-CO" w:eastAsia="es-CO"/>
        </w:rPr>
        <w:t>expidió</w:t>
      </w:r>
      <w:r w:rsidRPr="00BE29FE">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el Decreto</w:t>
      </w:r>
      <w:r w:rsidR="00203684">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417 del</w:t>
      </w:r>
      <w:r w:rsidR="00203684">
        <w:rPr>
          <w:rFonts w:ascii="Century Gothic" w:eastAsia="Times New Roman" w:hAnsi="Century Gothic" w:cs="Arial"/>
          <w:color w:val="595959" w:themeColor="text1" w:themeTint="A6"/>
          <w:sz w:val="24"/>
          <w:szCs w:val="24"/>
          <w:lang w:val="es-CO" w:eastAsia="es-CO"/>
        </w:rPr>
        <w:t xml:space="preserve"> 17 </w:t>
      </w:r>
      <w:r w:rsidRPr="00BE29FE">
        <w:rPr>
          <w:rFonts w:ascii="Century Gothic" w:eastAsia="Times New Roman" w:hAnsi="Century Gothic" w:cs="Arial"/>
          <w:color w:val="595959" w:themeColor="text1" w:themeTint="A6"/>
          <w:sz w:val="24"/>
          <w:szCs w:val="24"/>
          <w:lang w:val="es-CO" w:eastAsia="es-CO"/>
        </w:rPr>
        <w:t xml:space="preserve">de marzo de 2020, con fundamento en el artículo 215 de la Constitución Política, </w:t>
      </w:r>
      <w:r w:rsidR="00203684">
        <w:rPr>
          <w:rFonts w:ascii="Century Gothic" w:eastAsia="Times New Roman" w:hAnsi="Century Gothic" w:cs="Arial"/>
          <w:color w:val="595959" w:themeColor="text1" w:themeTint="A6"/>
          <w:sz w:val="24"/>
          <w:szCs w:val="24"/>
          <w:lang w:val="es-CO" w:eastAsia="es-CO"/>
        </w:rPr>
        <w:t xml:space="preserve">declarando </w:t>
      </w:r>
      <w:r w:rsidRPr="00BE29FE">
        <w:rPr>
          <w:rFonts w:ascii="Century Gothic" w:eastAsia="Times New Roman" w:hAnsi="Century Gothic" w:cs="Arial"/>
          <w:color w:val="595959" w:themeColor="text1" w:themeTint="A6"/>
          <w:sz w:val="24"/>
          <w:szCs w:val="24"/>
          <w:lang w:val="es-CO" w:eastAsia="es-CO"/>
        </w:rPr>
        <w:t>el Estado de Emergencia Económica, Social y Ecológica en todo el territor</w:t>
      </w:r>
      <w:r w:rsidR="00203684">
        <w:rPr>
          <w:rFonts w:ascii="Century Gothic" w:eastAsia="Times New Roman" w:hAnsi="Century Gothic" w:cs="Arial"/>
          <w:color w:val="595959" w:themeColor="text1" w:themeTint="A6"/>
          <w:sz w:val="24"/>
          <w:szCs w:val="24"/>
          <w:lang w:val="es-CO" w:eastAsia="es-CO"/>
        </w:rPr>
        <w:t xml:space="preserve">io nacional, por el término de </w:t>
      </w:r>
      <w:r w:rsidRPr="00BE29FE">
        <w:rPr>
          <w:rFonts w:ascii="Century Gothic" w:eastAsia="Times New Roman" w:hAnsi="Century Gothic" w:cs="Arial"/>
          <w:color w:val="595959" w:themeColor="text1" w:themeTint="A6"/>
          <w:sz w:val="24"/>
          <w:szCs w:val="24"/>
          <w:lang w:val="es-CO" w:eastAsia="es-CO"/>
        </w:rPr>
        <w:t>30 días calendario</w:t>
      </w:r>
      <w:r w:rsidR="00203684">
        <w:rPr>
          <w:rFonts w:ascii="Century Gothic" w:eastAsia="Times New Roman" w:hAnsi="Century Gothic" w:cs="Arial"/>
          <w:color w:val="595959" w:themeColor="text1" w:themeTint="A6"/>
          <w:sz w:val="24"/>
          <w:szCs w:val="24"/>
          <w:lang w:val="es-CO" w:eastAsia="es-CO"/>
        </w:rPr>
        <w:t>; posteriormente, e</w:t>
      </w:r>
      <w:r w:rsidRPr="00BE29FE">
        <w:rPr>
          <w:rFonts w:ascii="Century Gothic" w:eastAsia="Times New Roman" w:hAnsi="Century Gothic" w:cs="Arial"/>
          <w:color w:val="595959" w:themeColor="text1" w:themeTint="A6"/>
          <w:sz w:val="24"/>
          <w:szCs w:val="24"/>
          <w:lang w:val="es-CO" w:eastAsia="es-CO"/>
        </w:rPr>
        <w:t xml:space="preserve">l Presidente a través del Decreto </w:t>
      </w:r>
      <w:r w:rsidR="00203684">
        <w:rPr>
          <w:rFonts w:ascii="Century Gothic" w:eastAsia="Times New Roman" w:hAnsi="Century Gothic" w:cs="Arial"/>
          <w:color w:val="595959" w:themeColor="text1" w:themeTint="A6"/>
          <w:sz w:val="24"/>
          <w:szCs w:val="24"/>
          <w:lang w:val="es-CO" w:eastAsia="es-CO"/>
        </w:rPr>
        <w:t xml:space="preserve">457 de </w:t>
      </w:r>
      <w:r w:rsidRPr="00BE29FE">
        <w:rPr>
          <w:rFonts w:ascii="Century Gothic" w:eastAsia="Times New Roman" w:hAnsi="Century Gothic" w:cs="Arial"/>
          <w:color w:val="595959" w:themeColor="text1" w:themeTint="A6"/>
          <w:sz w:val="24"/>
          <w:szCs w:val="24"/>
          <w:lang w:val="es-CO" w:eastAsia="es-CO"/>
        </w:rPr>
        <w:t>22 de marzo de 2020, impartió</w:t>
      </w:r>
      <w:r w:rsidR="00203684">
        <w:rPr>
          <w:rFonts w:ascii="Century Gothic" w:eastAsia="Times New Roman" w:hAnsi="Century Gothic" w:cs="Arial"/>
          <w:color w:val="595959" w:themeColor="text1" w:themeTint="A6"/>
          <w:sz w:val="24"/>
          <w:szCs w:val="24"/>
          <w:lang w:val="es-CO" w:eastAsia="es-CO"/>
        </w:rPr>
        <w:t>,</w:t>
      </w:r>
      <w:r w:rsidRPr="00BE29FE">
        <w:rPr>
          <w:rFonts w:ascii="Century Gothic" w:eastAsia="Times New Roman" w:hAnsi="Century Gothic" w:cs="Arial"/>
          <w:color w:val="595959" w:themeColor="text1" w:themeTint="A6"/>
          <w:sz w:val="24"/>
          <w:szCs w:val="24"/>
          <w:lang w:val="es-CO" w:eastAsia="es-CO"/>
        </w:rPr>
        <w:t xml:space="preserve"> entre otras instrucciones en virtud de la emergencia sanitaria generada por la pandemia del Coronavirus COVID-19 y el mantenimiento del orden público</w:t>
      </w:r>
      <w:r w:rsidR="00203684">
        <w:rPr>
          <w:rFonts w:ascii="Century Gothic" w:eastAsia="Times New Roman" w:hAnsi="Century Gothic" w:cs="Arial"/>
          <w:color w:val="595959" w:themeColor="text1" w:themeTint="A6"/>
          <w:sz w:val="24"/>
          <w:szCs w:val="24"/>
          <w:lang w:val="es-CO" w:eastAsia="es-CO"/>
        </w:rPr>
        <w:t xml:space="preserve">, la de </w:t>
      </w:r>
      <w:r w:rsidRPr="00BE29FE">
        <w:rPr>
          <w:rFonts w:ascii="Century Gothic" w:eastAsia="Times New Roman" w:hAnsi="Century Gothic" w:cs="Arial"/>
          <w:color w:val="595959" w:themeColor="text1" w:themeTint="A6"/>
          <w:sz w:val="24"/>
          <w:szCs w:val="24"/>
          <w:lang w:val="es-CO" w:eastAsia="es-CO"/>
        </w:rPr>
        <w:t>ordenar el aislamiento preventivo obligatorio de todas las personas habitantes de la República de Colombia, a partir de las cero horas (00.00 a.m.) del día 25 de marzo de 2020, hasta las c</w:t>
      </w:r>
      <w:r w:rsidR="00D96A2F">
        <w:rPr>
          <w:rFonts w:ascii="Century Gothic" w:eastAsia="Times New Roman" w:hAnsi="Century Gothic" w:cs="Arial"/>
          <w:color w:val="595959" w:themeColor="text1" w:themeTint="A6"/>
          <w:sz w:val="24"/>
          <w:szCs w:val="24"/>
          <w:lang w:val="es-CO" w:eastAsia="es-CO"/>
        </w:rPr>
        <w:t xml:space="preserve">ero horas (00.00 a.m.) del día </w:t>
      </w:r>
      <w:r w:rsidRPr="00BE29FE">
        <w:rPr>
          <w:rFonts w:ascii="Century Gothic" w:eastAsia="Times New Roman" w:hAnsi="Century Gothic" w:cs="Arial"/>
          <w:color w:val="595959" w:themeColor="text1" w:themeTint="A6"/>
          <w:sz w:val="24"/>
          <w:szCs w:val="24"/>
          <w:lang w:val="es-CO" w:eastAsia="es-CO"/>
        </w:rPr>
        <w:t xml:space="preserve">13 de abril de </w:t>
      </w:r>
      <w:r w:rsidR="00D96A2F">
        <w:rPr>
          <w:rFonts w:ascii="Century Gothic" w:eastAsia="Times New Roman" w:hAnsi="Century Gothic" w:cs="Arial"/>
          <w:color w:val="595959" w:themeColor="text1" w:themeTint="A6"/>
          <w:sz w:val="24"/>
          <w:szCs w:val="24"/>
          <w:lang w:val="es-CO" w:eastAsia="es-CO"/>
        </w:rPr>
        <w:t>2020.</w:t>
      </w:r>
    </w:p>
    <w:p w:rsidR="00D96A2F" w:rsidRDefault="00D96A2F"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D96A2F" w:rsidRDefault="009A2F7D" w:rsidP="009A2F7D">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Por su parte, el Alcalde</w:t>
      </w:r>
      <w:r w:rsidR="003529E6">
        <w:rPr>
          <w:rFonts w:ascii="Century Gothic" w:eastAsia="Times New Roman" w:hAnsi="Century Gothic" w:cs="Arial"/>
          <w:color w:val="595959" w:themeColor="text1" w:themeTint="A6"/>
          <w:sz w:val="24"/>
          <w:szCs w:val="24"/>
          <w:lang w:val="es-CO" w:eastAsia="es-CO"/>
        </w:rPr>
        <w:t xml:space="preserve"> </w:t>
      </w:r>
      <w:r w:rsidRPr="009A2F7D">
        <w:rPr>
          <w:rFonts w:ascii="Century Gothic" w:eastAsia="Times New Roman" w:hAnsi="Century Gothic" w:cs="Arial"/>
          <w:color w:val="595959" w:themeColor="text1" w:themeTint="A6"/>
          <w:sz w:val="24"/>
          <w:szCs w:val="24"/>
          <w:lang w:val="es-CO" w:eastAsia="es-CO"/>
        </w:rPr>
        <w:t xml:space="preserve">Municipal de </w:t>
      </w:r>
      <w:r w:rsidR="009E3925">
        <w:rPr>
          <w:rFonts w:ascii="Century Gothic" w:eastAsia="Times New Roman" w:hAnsi="Century Gothic" w:cs="Arial"/>
          <w:color w:val="595959" w:themeColor="text1" w:themeTint="A6"/>
          <w:sz w:val="24"/>
          <w:szCs w:val="24"/>
          <w:lang w:val="es-CO" w:eastAsia="es-CO"/>
        </w:rPr>
        <w:t>Hatillo de Loba</w:t>
      </w:r>
      <w:r w:rsidRPr="009A2F7D">
        <w:rPr>
          <w:rFonts w:ascii="Century Gothic" w:eastAsia="Times New Roman" w:hAnsi="Century Gothic" w:cs="Arial"/>
          <w:color w:val="595959" w:themeColor="text1" w:themeTint="A6"/>
          <w:sz w:val="24"/>
          <w:szCs w:val="24"/>
          <w:lang w:val="es-CO" w:eastAsia="es-CO"/>
        </w:rPr>
        <w:t xml:space="preserve"> – Bolívar expidió el</w:t>
      </w:r>
      <w:r w:rsidR="009E3925">
        <w:rPr>
          <w:rFonts w:ascii="Century Gothic" w:eastAsia="Times New Roman" w:hAnsi="Century Gothic" w:cs="Arial"/>
          <w:color w:val="595959" w:themeColor="text1" w:themeTint="A6"/>
          <w:sz w:val="24"/>
          <w:szCs w:val="24"/>
          <w:lang w:val="es-CO" w:eastAsia="es-CO"/>
        </w:rPr>
        <w:t xml:space="preserve"> </w:t>
      </w:r>
      <w:r w:rsidR="009E3925" w:rsidRPr="009E3925">
        <w:rPr>
          <w:rFonts w:ascii="Century Gothic" w:eastAsia="Times New Roman" w:hAnsi="Century Gothic" w:cs="Arial"/>
          <w:color w:val="595959" w:themeColor="text1" w:themeTint="A6"/>
          <w:sz w:val="24"/>
          <w:szCs w:val="24"/>
          <w:lang w:val="es-CO" w:eastAsia="es-CO"/>
        </w:rPr>
        <w:t xml:space="preserve">Decreto Nro. 20-03-20-01 de 20 de marzo de 2020 </w:t>
      </w:r>
      <w:r w:rsidR="009E3925" w:rsidRPr="009E3925">
        <w:rPr>
          <w:rFonts w:ascii="Century Gothic" w:eastAsia="Times New Roman" w:hAnsi="Century Gothic" w:cs="Arial"/>
          <w:i/>
          <w:color w:val="595959" w:themeColor="text1" w:themeTint="A6"/>
          <w:sz w:val="24"/>
          <w:szCs w:val="24"/>
          <w:lang w:val="es-CO" w:eastAsia="es-CO"/>
        </w:rPr>
        <w:t>“POR MEDIO DEL CUAL SE ADOPTAN MEDIDAS DE ORDEN PÚBLICO EN EL MUNICIPIO DE HATILLO DE LOBA, BOLÍVAR Y SE DICTAN OTRAS DISPOSICIONES”</w:t>
      </w:r>
      <w:r w:rsidR="006B3A92" w:rsidRPr="009A2F7D">
        <w:rPr>
          <w:rFonts w:ascii="Century Gothic" w:eastAsia="Times New Roman" w:hAnsi="Century Gothic" w:cs="Arial"/>
          <w:i/>
          <w:color w:val="595959" w:themeColor="text1" w:themeTint="A6"/>
          <w:sz w:val="24"/>
          <w:szCs w:val="24"/>
          <w:lang w:val="es-CO" w:eastAsia="es-CO"/>
        </w:rPr>
        <w:t>,</w:t>
      </w:r>
      <w:r w:rsidR="006B3A92">
        <w:rPr>
          <w:rFonts w:ascii="Century Gothic" w:eastAsia="Times New Roman" w:hAnsi="Century Gothic" w:cs="Arial"/>
          <w:color w:val="595959" w:themeColor="text1" w:themeTint="A6"/>
          <w:sz w:val="24"/>
          <w:szCs w:val="24"/>
          <w:lang w:val="es-CO" w:eastAsia="es-CO"/>
        </w:rPr>
        <w:t xml:space="preserve"> </w:t>
      </w:r>
      <w:r w:rsidR="003529E6">
        <w:rPr>
          <w:rFonts w:ascii="Century Gothic" w:eastAsia="Times New Roman" w:hAnsi="Century Gothic" w:cs="Arial"/>
          <w:color w:val="595959" w:themeColor="text1" w:themeTint="A6"/>
          <w:sz w:val="24"/>
          <w:szCs w:val="24"/>
          <w:lang w:val="es-CO" w:eastAsia="es-CO"/>
        </w:rPr>
        <w:t xml:space="preserve">acto expedido en uso de las facultades conferidas por el artículo </w:t>
      </w:r>
      <w:r w:rsidR="009E3925">
        <w:rPr>
          <w:rFonts w:ascii="Century Gothic" w:eastAsia="Times New Roman" w:hAnsi="Century Gothic" w:cs="Arial"/>
          <w:color w:val="595959" w:themeColor="text1" w:themeTint="A6"/>
          <w:sz w:val="24"/>
          <w:szCs w:val="24"/>
          <w:lang w:val="es-CO" w:eastAsia="es-CO"/>
        </w:rPr>
        <w:t xml:space="preserve">1º, 2º, 11, 49, 209 y </w:t>
      </w:r>
      <w:r w:rsidR="003529E6">
        <w:rPr>
          <w:rFonts w:ascii="Century Gothic" w:eastAsia="Times New Roman" w:hAnsi="Century Gothic" w:cs="Arial"/>
          <w:color w:val="595959" w:themeColor="text1" w:themeTint="A6"/>
          <w:sz w:val="24"/>
          <w:szCs w:val="24"/>
          <w:lang w:val="es-CO" w:eastAsia="es-CO"/>
        </w:rPr>
        <w:t>315 de la Constitución Política,</w:t>
      </w:r>
      <w:r w:rsidR="000C0CC9">
        <w:rPr>
          <w:rFonts w:ascii="Century Gothic" w:eastAsia="Times New Roman" w:hAnsi="Century Gothic" w:cs="Arial"/>
          <w:color w:val="595959" w:themeColor="text1" w:themeTint="A6"/>
          <w:sz w:val="24"/>
          <w:szCs w:val="24"/>
          <w:lang w:val="es-CO" w:eastAsia="es-CO"/>
        </w:rPr>
        <w:t xml:space="preserve"> </w:t>
      </w:r>
      <w:r w:rsidR="00E108EA">
        <w:rPr>
          <w:rFonts w:ascii="Century Gothic" w:eastAsia="Times New Roman" w:hAnsi="Century Gothic" w:cs="Arial"/>
          <w:color w:val="595959" w:themeColor="text1" w:themeTint="A6"/>
          <w:sz w:val="24"/>
          <w:szCs w:val="24"/>
          <w:lang w:val="es-CO" w:eastAsia="es-CO"/>
        </w:rPr>
        <w:t xml:space="preserve">Ley 136 de 1994 modificada por la Ley 1551 de 2012, Ley 1751 de 2015 y </w:t>
      </w:r>
      <w:r w:rsidR="000C0CC9">
        <w:rPr>
          <w:rFonts w:ascii="Century Gothic" w:eastAsia="Times New Roman" w:hAnsi="Century Gothic" w:cs="Arial"/>
          <w:color w:val="595959" w:themeColor="text1" w:themeTint="A6"/>
          <w:sz w:val="24"/>
          <w:szCs w:val="24"/>
          <w:lang w:val="es-CO" w:eastAsia="es-CO"/>
        </w:rPr>
        <w:t>Ley 1801 de 2016</w:t>
      </w:r>
      <w:r w:rsidR="006B3A92">
        <w:rPr>
          <w:rFonts w:ascii="Century Gothic" w:eastAsia="Times New Roman" w:hAnsi="Century Gothic" w:cs="Arial"/>
          <w:color w:val="595959" w:themeColor="text1" w:themeTint="A6"/>
          <w:sz w:val="24"/>
          <w:szCs w:val="24"/>
          <w:lang w:val="es-CO" w:eastAsia="es-CO"/>
        </w:rPr>
        <w:t>,</w:t>
      </w:r>
      <w:r w:rsidR="00E108EA">
        <w:rPr>
          <w:rFonts w:ascii="Century Gothic" w:eastAsia="Times New Roman" w:hAnsi="Century Gothic" w:cs="Arial"/>
          <w:color w:val="595959" w:themeColor="text1" w:themeTint="A6"/>
          <w:sz w:val="24"/>
          <w:szCs w:val="24"/>
          <w:lang w:val="es-CO" w:eastAsia="es-CO"/>
        </w:rPr>
        <w:t xml:space="preserve"> entre otras, </w:t>
      </w:r>
      <w:r w:rsidR="006B3A92">
        <w:rPr>
          <w:rFonts w:ascii="Century Gothic" w:eastAsia="Times New Roman" w:hAnsi="Century Gothic" w:cs="Arial"/>
          <w:color w:val="595959" w:themeColor="text1" w:themeTint="A6"/>
          <w:sz w:val="24"/>
          <w:szCs w:val="24"/>
          <w:lang w:val="es-CO" w:eastAsia="es-CO"/>
        </w:rPr>
        <w:t xml:space="preserve">y dentro del cual adoptó como medida principal y transitoria, a fin de prevenir el </w:t>
      </w:r>
      <w:r w:rsidR="003529E6" w:rsidRPr="003529E6">
        <w:rPr>
          <w:rFonts w:ascii="Century Gothic" w:eastAsia="Times New Roman" w:hAnsi="Century Gothic" w:cs="Arial"/>
          <w:color w:val="595959" w:themeColor="text1" w:themeTint="A6"/>
          <w:sz w:val="24"/>
          <w:szCs w:val="24"/>
          <w:lang w:val="es-CO" w:eastAsia="es-CO"/>
        </w:rPr>
        <w:t>riesgo de contagio y/o propagación de la enfermedad COVID-19</w:t>
      </w:r>
      <w:r w:rsidR="006B3A92">
        <w:rPr>
          <w:rFonts w:ascii="Century Gothic" w:eastAsia="Times New Roman" w:hAnsi="Century Gothic" w:cs="Arial"/>
          <w:color w:val="595959" w:themeColor="text1" w:themeTint="A6"/>
          <w:sz w:val="24"/>
          <w:szCs w:val="24"/>
          <w:lang w:val="es-CO" w:eastAsia="es-CO"/>
        </w:rPr>
        <w:t xml:space="preserve">, </w:t>
      </w:r>
      <w:r>
        <w:rPr>
          <w:rFonts w:ascii="Century Gothic" w:eastAsia="Times New Roman" w:hAnsi="Century Gothic" w:cs="Arial"/>
          <w:color w:val="595959" w:themeColor="text1" w:themeTint="A6"/>
          <w:sz w:val="24"/>
          <w:szCs w:val="24"/>
          <w:lang w:val="es-CO" w:eastAsia="es-CO"/>
        </w:rPr>
        <w:t>o</w:t>
      </w:r>
      <w:r w:rsidRPr="009A2F7D">
        <w:rPr>
          <w:rFonts w:ascii="Century Gothic" w:eastAsia="Times New Roman" w:hAnsi="Century Gothic" w:cs="Arial"/>
          <w:color w:val="595959" w:themeColor="text1" w:themeTint="A6"/>
          <w:sz w:val="24"/>
          <w:szCs w:val="24"/>
          <w:lang w:val="es-CO" w:eastAsia="es-CO"/>
        </w:rPr>
        <w:t>rdenar el</w:t>
      </w:r>
      <w:r w:rsidR="00E108EA">
        <w:rPr>
          <w:rFonts w:ascii="Century Gothic" w:eastAsia="Times New Roman" w:hAnsi="Century Gothic" w:cs="Arial"/>
          <w:color w:val="595959" w:themeColor="text1" w:themeTint="A6"/>
          <w:sz w:val="24"/>
          <w:szCs w:val="24"/>
          <w:lang w:val="es-CO" w:eastAsia="es-CO"/>
        </w:rPr>
        <w:t xml:space="preserve"> toque de queda de menores, </w:t>
      </w:r>
      <w:r>
        <w:rPr>
          <w:rFonts w:ascii="Century Gothic" w:eastAsia="Times New Roman" w:hAnsi="Century Gothic" w:cs="Arial"/>
          <w:color w:val="595959" w:themeColor="text1" w:themeTint="A6"/>
          <w:sz w:val="24"/>
          <w:szCs w:val="24"/>
          <w:lang w:val="es-CO" w:eastAsia="es-CO"/>
        </w:rPr>
        <w:t>la prohibición de</w:t>
      </w:r>
      <w:r w:rsidRPr="009A2F7D">
        <w:rPr>
          <w:rFonts w:ascii="Century Gothic" w:eastAsia="Times New Roman" w:hAnsi="Century Gothic" w:cs="Arial"/>
          <w:color w:val="595959" w:themeColor="text1" w:themeTint="A6"/>
          <w:sz w:val="24"/>
          <w:szCs w:val="24"/>
          <w:lang w:val="es-CO" w:eastAsia="es-CO"/>
        </w:rPr>
        <w:t>l consumo de bebidas embriagantes en espacios</w:t>
      </w:r>
      <w:r>
        <w:rPr>
          <w:rFonts w:ascii="Century Gothic" w:eastAsia="Times New Roman" w:hAnsi="Century Gothic" w:cs="Arial"/>
          <w:color w:val="595959" w:themeColor="text1" w:themeTint="A6"/>
          <w:sz w:val="24"/>
          <w:szCs w:val="24"/>
          <w:lang w:val="es-CO" w:eastAsia="es-CO"/>
        </w:rPr>
        <w:t xml:space="preserve"> abiertos</w:t>
      </w:r>
      <w:r w:rsidR="00E108EA">
        <w:rPr>
          <w:rFonts w:ascii="Century Gothic" w:eastAsia="Times New Roman" w:hAnsi="Century Gothic" w:cs="Arial"/>
          <w:color w:val="595959" w:themeColor="text1" w:themeTint="A6"/>
          <w:sz w:val="24"/>
          <w:szCs w:val="24"/>
          <w:lang w:val="es-CO" w:eastAsia="es-CO"/>
        </w:rPr>
        <w:t xml:space="preserve"> y establecimientos de comercio,</w:t>
      </w:r>
      <w:r w:rsidR="00EA2924">
        <w:rPr>
          <w:rFonts w:ascii="Century Gothic" w:eastAsia="Times New Roman" w:hAnsi="Century Gothic" w:cs="Arial"/>
          <w:color w:val="595959" w:themeColor="text1" w:themeTint="A6"/>
          <w:sz w:val="24"/>
          <w:szCs w:val="24"/>
          <w:lang w:val="es-CO" w:eastAsia="es-CO"/>
        </w:rPr>
        <w:t xml:space="preserve"> y</w:t>
      </w:r>
      <w:r w:rsidR="00E108EA">
        <w:rPr>
          <w:rFonts w:ascii="Century Gothic" w:eastAsia="Times New Roman" w:hAnsi="Century Gothic" w:cs="Arial"/>
          <w:color w:val="595959" w:themeColor="text1" w:themeTint="A6"/>
          <w:sz w:val="24"/>
          <w:szCs w:val="24"/>
          <w:lang w:val="es-CO" w:eastAsia="es-CO"/>
        </w:rPr>
        <w:t xml:space="preserve"> la realización de actos públicos y privados, reuniones o aglomeraciones de m</w:t>
      </w:r>
      <w:r w:rsidR="00EA2924">
        <w:rPr>
          <w:rFonts w:ascii="Century Gothic" w:eastAsia="Times New Roman" w:hAnsi="Century Gothic" w:cs="Arial"/>
          <w:color w:val="595959" w:themeColor="text1" w:themeTint="A6"/>
          <w:sz w:val="24"/>
          <w:szCs w:val="24"/>
          <w:lang w:val="es-CO" w:eastAsia="es-CO"/>
        </w:rPr>
        <w:t>ás de 50 personas.</w:t>
      </w:r>
    </w:p>
    <w:p w:rsidR="00F44BF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F44BFC" w:rsidRPr="000D296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0D296C">
        <w:rPr>
          <w:rFonts w:ascii="Century Gothic" w:eastAsia="Times New Roman" w:hAnsi="Century Gothic" w:cs="Arial"/>
          <w:color w:val="595959" w:themeColor="text1" w:themeTint="A6"/>
          <w:sz w:val="24"/>
          <w:szCs w:val="24"/>
          <w:lang w:val="es-CO" w:eastAsia="es-CO"/>
        </w:rPr>
        <w:t xml:space="preserve">Así pues, de los considerandos del Decreto objeto de control se desprende que el mismo fue expedido en ejercicio de facultades y atribuciones que </w:t>
      </w:r>
      <w:r w:rsidRPr="000D296C">
        <w:rPr>
          <w:rFonts w:ascii="Century Gothic" w:eastAsia="Times New Roman" w:hAnsi="Century Gothic" w:cs="Arial"/>
          <w:color w:val="595959" w:themeColor="text1" w:themeTint="A6"/>
          <w:sz w:val="24"/>
          <w:szCs w:val="24"/>
          <w:lang w:val="es-CO" w:eastAsia="es-CO"/>
        </w:rPr>
        <w:lastRenderedPageBreak/>
        <w:t>ordinariamente le confiere la ley</w:t>
      </w:r>
      <w:r w:rsidR="00F733EA" w:rsidRPr="000D296C">
        <w:rPr>
          <w:rFonts w:ascii="Century Gothic" w:eastAsia="Times New Roman" w:hAnsi="Century Gothic" w:cs="Arial"/>
          <w:color w:val="595959" w:themeColor="text1" w:themeTint="A6"/>
          <w:sz w:val="24"/>
          <w:szCs w:val="24"/>
          <w:lang w:val="es-CO" w:eastAsia="es-CO"/>
        </w:rPr>
        <w:t xml:space="preserve"> al Mandatario Municipal</w:t>
      </w:r>
      <w:r w:rsidRPr="000D296C">
        <w:rPr>
          <w:rFonts w:ascii="Century Gothic" w:eastAsia="Times New Roman" w:hAnsi="Century Gothic" w:cs="Arial"/>
          <w:color w:val="595959" w:themeColor="text1" w:themeTint="A6"/>
          <w:sz w:val="24"/>
          <w:szCs w:val="24"/>
          <w:lang w:val="es-CO" w:eastAsia="es-CO"/>
        </w:rPr>
        <w:t xml:space="preserve">, tales como ser la primera autoridad </w:t>
      </w:r>
      <w:r w:rsidR="00F733EA" w:rsidRPr="000D296C">
        <w:rPr>
          <w:rFonts w:ascii="Century Gothic" w:eastAsia="Times New Roman" w:hAnsi="Century Gothic" w:cs="Arial"/>
          <w:color w:val="595959" w:themeColor="text1" w:themeTint="A6"/>
          <w:sz w:val="24"/>
          <w:szCs w:val="24"/>
          <w:lang w:val="es-CO" w:eastAsia="es-CO"/>
        </w:rPr>
        <w:t xml:space="preserve">de policía </w:t>
      </w:r>
      <w:r w:rsidRPr="000D296C">
        <w:rPr>
          <w:rFonts w:ascii="Century Gothic" w:eastAsia="Times New Roman" w:hAnsi="Century Gothic" w:cs="Arial"/>
          <w:color w:val="595959" w:themeColor="text1" w:themeTint="A6"/>
          <w:sz w:val="24"/>
          <w:szCs w:val="24"/>
          <w:lang w:val="es-CO" w:eastAsia="es-CO"/>
        </w:rPr>
        <w:t xml:space="preserve">del municipio, </w:t>
      </w:r>
      <w:r w:rsidR="00F733EA" w:rsidRPr="000D296C">
        <w:rPr>
          <w:rFonts w:ascii="Century Gothic" w:eastAsia="Times New Roman" w:hAnsi="Century Gothic" w:cs="Arial"/>
          <w:color w:val="595959" w:themeColor="text1" w:themeTint="A6"/>
          <w:sz w:val="24"/>
          <w:szCs w:val="24"/>
          <w:lang w:val="es-CO" w:eastAsia="es-CO"/>
        </w:rPr>
        <w:t>debiendo conservar el orden público, de conformidad con la ley y las instrucciones y órdenes que reciba del Presidente de la República y del respectivo gobernador (artículo 315 Constitucional</w:t>
      </w:r>
      <w:r w:rsidR="00E45706" w:rsidRPr="000D296C">
        <w:rPr>
          <w:rFonts w:ascii="Century Gothic" w:eastAsia="Times New Roman" w:hAnsi="Century Gothic" w:cs="Arial"/>
          <w:color w:val="595959" w:themeColor="text1" w:themeTint="A6"/>
          <w:sz w:val="24"/>
          <w:szCs w:val="24"/>
          <w:lang w:val="es-CO" w:eastAsia="es-CO"/>
        </w:rPr>
        <w:t xml:space="preserve">, </w:t>
      </w:r>
      <w:r w:rsidR="00F733EA" w:rsidRPr="000D296C">
        <w:rPr>
          <w:rFonts w:ascii="Century Gothic" w:eastAsia="Times New Roman" w:hAnsi="Century Gothic" w:cs="Arial"/>
          <w:color w:val="595959" w:themeColor="text1" w:themeTint="A6"/>
          <w:sz w:val="24"/>
          <w:szCs w:val="24"/>
          <w:lang w:val="es-CO" w:eastAsia="es-CO"/>
        </w:rPr>
        <w:t>literal B del artículo 29 de la Ley 1551 de 2012</w:t>
      </w:r>
      <w:r w:rsidR="00E45706" w:rsidRPr="000D296C">
        <w:rPr>
          <w:rFonts w:ascii="Century Gothic" w:eastAsia="Times New Roman" w:hAnsi="Century Gothic" w:cs="Arial"/>
          <w:color w:val="595959" w:themeColor="text1" w:themeTint="A6"/>
          <w:sz w:val="24"/>
          <w:szCs w:val="24"/>
          <w:lang w:val="es-CO" w:eastAsia="es-CO"/>
        </w:rPr>
        <w:t xml:space="preserve"> y artículo 91 de la Ley 136 de 1994</w:t>
      </w:r>
      <w:r w:rsidR="00F733EA" w:rsidRPr="000D296C">
        <w:rPr>
          <w:rFonts w:ascii="Century Gothic" w:eastAsia="Times New Roman" w:hAnsi="Century Gothic" w:cs="Arial"/>
          <w:color w:val="595959" w:themeColor="text1" w:themeTint="A6"/>
          <w:sz w:val="24"/>
          <w:szCs w:val="24"/>
          <w:lang w:val="es-CO" w:eastAsia="es-CO"/>
        </w:rPr>
        <w:t>).</w:t>
      </w:r>
    </w:p>
    <w:p w:rsidR="00E45706" w:rsidRPr="000D296C"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E45706"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0D296C">
        <w:rPr>
          <w:rFonts w:ascii="Century Gothic" w:eastAsia="Times New Roman" w:hAnsi="Century Gothic" w:cs="Arial"/>
          <w:color w:val="595959" w:themeColor="text1" w:themeTint="A6"/>
          <w:sz w:val="24"/>
          <w:szCs w:val="24"/>
          <w:lang w:val="es-CO" w:eastAsia="es-CO"/>
        </w:rPr>
        <w:t>Dicha atribución dada al Alcalde para la preservación el orden público, le es conferida para hacer posible la convivencia social y la vigencia de los derechos constitucionales, al amparo del principio de dignidad humana, la seguridad pública, la tranquilidad pública y la sanidad medioambiental; por lo que, como primera autoridad de policía en su municipio, y en ejercicio de la función administrativa, puede expedir reglamentaciones generales de las libertades, por ejemplo, la libertad de circulación o el ejercicio de las libertades económicas (restricciones de circulación, horarios de funcionamiento, zonas de parqueo, sentido de las vías, etc.)</w:t>
      </w:r>
      <w:r w:rsidRPr="000D296C">
        <w:rPr>
          <w:rStyle w:val="Refdenotaalpie"/>
          <w:rFonts w:ascii="Century Gothic" w:eastAsia="Times New Roman" w:hAnsi="Century Gothic" w:cs="Arial"/>
          <w:color w:val="595959" w:themeColor="text1" w:themeTint="A6"/>
          <w:sz w:val="24"/>
          <w:szCs w:val="24"/>
          <w:lang w:val="es-CO" w:eastAsia="es-CO"/>
        </w:rPr>
        <w:footnoteReference w:id="6"/>
      </w:r>
      <w:r w:rsidRPr="000D296C">
        <w:rPr>
          <w:rFonts w:ascii="Century Gothic" w:eastAsia="Times New Roman" w:hAnsi="Century Gothic" w:cs="Arial"/>
          <w:color w:val="595959" w:themeColor="text1" w:themeTint="A6"/>
          <w:sz w:val="24"/>
          <w:szCs w:val="24"/>
          <w:lang w:val="es-CO" w:eastAsia="es-CO"/>
        </w:rPr>
        <w:t>.</w:t>
      </w:r>
    </w:p>
    <w:p w:rsidR="006B3A92" w:rsidRDefault="006B3A92"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9A19C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val="es-CO" w:eastAsia="es-CO"/>
        </w:rPr>
        <w:t>De lo expuesto</w:t>
      </w:r>
      <w:r w:rsidR="006B3A92" w:rsidRPr="0033045B">
        <w:rPr>
          <w:rFonts w:ascii="Century Gothic" w:eastAsia="Times New Roman" w:hAnsi="Century Gothic" w:cs="Arial"/>
          <w:color w:val="595959" w:themeColor="text1" w:themeTint="A6"/>
          <w:sz w:val="24"/>
          <w:szCs w:val="24"/>
          <w:lang w:val="es-CO" w:eastAsia="es-CO"/>
        </w:rPr>
        <w:t>, para la Sala Plena</w:t>
      </w:r>
      <w:r w:rsidR="006B3A92" w:rsidRPr="0033045B">
        <w:rPr>
          <w:sz w:val="24"/>
          <w:szCs w:val="24"/>
        </w:rPr>
        <w:t xml:space="preserve"> </w:t>
      </w:r>
      <w:r w:rsidR="006B3A92" w:rsidRPr="0033045B">
        <w:rPr>
          <w:rFonts w:ascii="Century Gothic" w:eastAsia="Times New Roman" w:hAnsi="Century Gothic" w:cs="Arial"/>
          <w:color w:val="595959" w:themeColor="text1" w:themeTint="A6"/>
          <w:sz w:val="24"/>
          <w:szCs w:val="24"/>
          <w:lang w:val="es-CO" w:eastAsia="es-CO"/>
        </w:rPr>
        <w:t>la actuación de la Administración Municipal no guarda una relación directa con el Decreto Nro. 417 de 2020</w:t>
      </w:r>
      <w:r w:rsidRPr="0033045B">
        <w:rPr>
          <w:rFonts w:ascii="Century Gothic" w:eastAsia="Times New Roman" w:hAnsi="Century Gothic" w:cs="Arial"/>
          <w:color w:val="595959" w:themeColor="text1" w:themeTint="A6"/>
          <w:sz w:val="24"/>
          <w:szCs w:val="24"/>
          <w:lang w:val="es-CO" w:eastAsia="es-CO"/>
        </w:rPr>
        <w:t xml:space="preserve"> (declara estado de excepción)</w:t>
      </w:r>
      <w:r w:rsidR="006B3A92" w:rsidRPr="0033045B">
        <w:rPr>
          <w:rFonts w:ascii="Century Gothic" w:eastAsia="Times New Roman" w:hAnsi="Century Gothic" w:cs="Arial"/>
          <w:color w:val="595959" w:themeColor="text1" w:themeTint="A6"/>
          <w:sz w:val="24"/>
          <w:szCs w:val="24"/>
          <w:lang w:val="es-CO" w:eastAsia="es-CO"/>
        </w:rPr>
        <w:t>, por cuanto no lo reglamenta o desarrolla</w:t>
      </w:r>
      <w:r w:rsidR="00D76C20" w:rsidRPr="0033045B">
        <w:rPr>
          <w:rFonts w:ascii="Century Gothic" w:eastAsia="Times New Roman" w:hAnsi="Century Gothic" w:cs="Arial"/>
          <w:color w:val="595959" w:themeColor="text1" w:themeTint="A6"/>
          <w:sz w:val="24"/>
          <w:szCs w:val="24"/>
          <w:lang w:val="es-CO" w:eastAsia="es-CO"/>
        </w:rPr>
        <w:t>; pues si bien, se expide en aras de prevenir el riesgo de contagio y/o propagación de la enfermedad COVID-19, la Alcaldesa Municipal se funda en las funciones</w:t>
      </w:r>
      <w:r w:rsidR="00AC2A49" w:rsidRPr="0033045B">
        <w:rPr>
          <w:rFonts w:ascii="Century Gothic" w:eastAsia="Times New Roman" w:hAnsi="Century Gothic" w:cs="Arial"/>
          <w:color w:val="595959" w:themeColor="text1" w:themeTint="A6"/>
          <w:sz w:val="24"/>
          <w:szCs w:val="24"/>
          <w:lang w:val="es-CO" w:eastAsia="es-CO"/>
        </w:rPr>
        <w:t xml:space="preserve"> y atribuciones </w:t>
      </w:r>
      <w:r w:rsidR="00D76C20" w:rsidRPr="0033045B">
        <w:rPr>
          <w:rFonts w:ascii="Century Gothic" w:eastAsia="Times New Roman" w:hAnsi="Century Gothic" w:cs="Arial"/>
          <w:color w:val="595959" w:themeColor="text1" w:themeTint="A6"/>
          <w:sz w:val="24"/>
          <w:szCs w:val="24"/>
          <w:lang w:val="es-CO" w:eastAsia="es-CO"/>
        </w:rPr>
        <w:t xml:space="preserve">que ordinariamente le confieren la Constitución y la ley, así como en las instrucciones impartidas por el Jefe de Estado mediante el Decreto 457 de 2020, a través del cual se ordena el aislamiento preventivo obligatorio de todas las personas habitantes de la República de Colombia, lo que a su vez </w:t>
      </w:r>
      <w:r w:rsidRPr="0033045B">
        <w:rPr>
          <w:rFonts w:ascii="Century Gothic" w:eastAsia="Times New Roman" w:hAnsi="Century Gothic" w:cs="Arial"/>
          <w:color w:val="595959" w:themeColor="text1" w:themeTint="A6"/>
          <w:sz w:val="24"/>
          <w:szCs w:val="24"/>
          <w:lang w:val="es-CO" w:eastAsia="es-CO"/>
        </w:rPr>
        <w:t xml:space="preserve">decretó el </w:t>
      </w:r>
      <w:r w:rsidR="00D76C20" w:rsidRPr="0033045B">
        <w:rPr>
          <w:rFonts w:ascii="Century Gothic" w:eastAsia="Times New Roman" w:hAnsi="Century Gothic" w:cs="Arial"/>
          <w:color w:val="595959" w:themeColor="text1" w:themeTint="A6"/>
          <w:sz w:val="24"/>
          <w:szCs w:val="24"/>
          <w:lang w:val="es-CO" w:eastAsia="es-CO"/>
        </w:rPr>
        <w:t>Presidente en</w:t>
      </w:r>
      <w:r w:rsidRPr="0033045B">
        <w:rPr>
          <w:rFonts w:ascii="Century Gothic" w:eastAsia="Times New Roman" w:hAnsi="Century Gothic" w:cs="Arial"/>
          <w:color w:val="595959" w:themeColor="text1" w:themeTint="A6"/>
          <w:sz w:val="24"/>
          <w:szCs w:val="24"/>
          <w:lang w:val="es-CO" w:eastAsia="es-CO"/>
        </w:rPr>
        <w:t xml:space="preserve"> ejercicio de sus funciones ordinarias, entre ellas la de ser autoridad de policía (artículo 198 de la Ley 1801 de 2016), </w:t>
      </w:r>
      <w:r w:rsidRPr="0033045B">
        <w:rPr>
          <w:rFonts w:ascii="Century Gothic" w:eastAsia="Times New Roman" w:hAnsi="Century Gothic" w:cs="Arial"/>
          <w:color w:val="595959" w:themeColor="text1" w:themeTint="A6"/>
          <w:sz w:val="24"/>
          <w:szCs w:val="24"/>
          <w:lang w:eastAsia="es-CO"/>
        </w:rPr>
        <w:t xml:space="preserve">y en concordancia con la emergencia sanitaria </w:t>
      </w:r>
      <w:r w:rsidRPr="0033045B">
        <w:rPr>
          <w:rFonts w:ascii="Century Gothic" w:eastAsia="Times New Roman" w:hAnsi="Century Gothic" w:cs="Arial"/>
          <w:color w:val="595959" w:themeColor="text1" w:themeTint="A6"/>
          <w:sz w:val="24"/>
          <w:szCs w:val="24"/>
          <w:lang w:eastAsia="es-CO"/>
        </w:rPr>
        <w:lastRenderedPageBreak/>
        <w:t>declarada mediante la Resolución 385 del 12 de marzo de 2020 del Ministerio de Salud y Protección Social.</w:t>
      </w:r>
    </w:p>
    <w:p w:rsidR="00D76C2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33045B">
        <w:rPr>
          <w:rFonts w:ascii="Century Gothic" w:eastAsia="Times New Roman" w:hAnsi="Century Gothic" w:cs="Arial"/>
          <w:color w:val="595959" w:themeColor="text1" w:themeTint="A6"/>
          <w:sz w:val="24"/>
          <w:szCs w:val="24"/>
          <w:lang w:val="es-CO" w:eastAsia="es-CO"/>
        </w:rPr>
        <w:t xml:space="preserve"> </w:t>
      </w:r>
    </w:p>
    <w:p w:rsidR="006B3A92" w:rsidRPr="0033045B" w:rsidRDefault="009A19C0"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Así las cosas, a</w:t>
      </w:r>
      <w:r w:rsidR="006B3A92" w:rsidRPr="0033045B">
        <w:rPr>
          <w:rFonts w:ascii="Century Gothic" w:eastAsia="Times New Roman" w:hAnsi="Century Gothic" w:cs="Arial"/>
          <w:color w:val="595959" w:themeColor="text1" w:themeTint="A6"/>
          <w:sz w:val="24"/>
          <w:szCs w:val="24"/>
          <w:lang w:eastAsia="es-CO"/>
        </w:rPr>
        <w:t>unque el contenido del Decreto en estudio</w:t>
      </w:r>
      <w:r w:rsidR="00034DB7"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podría</w:t>
      </w:r>
      <w:r w:rsidR="00034DB7" w:rsidRPr="0033045B">
        <w:rPr>
          <w:rFonts w:ascii="Century Gothic" w:eastAsia="Times New Roman" w:hAnsi="Century Gothic" w:cs="Arial"/>
          <w:color w:val="595959" w:themeColor="text1" w:themeTint="A6"/>
          <w:sz w:val="24"/>
          <w:szCs w:val="24"/>
          <w:lang w:eastAsia="es-CO"/>
        </w:rPr>
        <w:t xml:space="preserve"> tener aspectos afines con </w:t>
      </w:r>
      <w:r w:rsidR="006B3A92" w:rsidRPr="0033045B">
        <w:rPr>
          <w:rFonts w:ascii="Century Gothic" w:eastAsia="Times New Roman" w:hAnsi="Century Gothic" w:cs="Arial"/>
          <w:color w:val="595959" w:themeColor="text1" w:themeTint="A6"/>
          <w:sz w:val="24"/>
          <w:szCs w:val="24"/>
          <w:lang w:eastAsia="es-CO"/>
        </w:rPr>
        <w:t xml:space="preserve">el </w:t>
      </w:r>
      <w:r w:rsidR="00034DB7" w:rsidRPr="0033045B">
        <w:rPr>
          <w:rFonts w:ascii="Century Gothic" w:eastAsia="Times New Roman" w:hAnsi="Century Gothic" w:cs="Arial"/>
          <w:color w:val="595959" w:themeColor="text1" w:themeTint="A6"/>
          <w:sz w:val="24"/>
          <w:szCs w:val="24"/>
          <w:lang w:eastAsia="es-CO"/>
        </w:rPr>
        <w:t>Decreto L</w:t>
      </w:r>
      <w:r w:rsidR="006B3A92" w:rsidRPr="0033045B">
        <w:rPr>
          <w:rFonts w:ascii="Century Gothic" w:eastAsia="Times New Roman" w:hAnsi="Century Gothic" w:cs="Arial"/>
          <w:color w:val="595959" w:themeColor="text1" w:themeTint="A6"/>
          <w:sz w:val="24"/>
          <w:szCs w:val="24"/>
          <w:lang w:eastAsia="es-CO"/>
        </w:rPr>
        <w:t>egislativo</w:t>
      </w:r>
      <w:r w:rsidR="00034DB7" w:rsidRPr="0033045B">
        <w:rPr>
          <w:rFonts w:ascii="Century Gothic" w:eastAsia="Times New Roman" w:hAnsi="Century Gothic" w:cs="Arial"/>
          <w:color w:val="595959" w:themeColor="text1" w:themeTint="A6"/>
          <w:sz w:val="24"/>
          <w:szCs w:val="24"/>
          <w:lang w:eastAsia="es-CO"/>
        </w:rPr>
        <w:t xml:space="preserve"> de Emergencia</w:t>
      </w:r>
      <w:r w:rsidR="006B3A92" w:rsidRPr="0033045B">
        <w:rPr>
          <w:rFonts w:ascii="Century Gothic" w:eastAsia="Times New Roman" w:hAnsi="Century Gothic" w:cs="Arial"/>
          <w:color w:val="595959" w:themeColor="text1" w:themeTint="A6"/>
          <w:sz w:val="24"/>
          <w:szCs w:val="24"/>
          <w:lang w:eastAsia="es-CO"/>
        </w:rPr>
        <w:t>, ello no</w:t>
      </w:r>
      <w:r w:rsidR="00034DB7" w:rsidRPr="0033045B">
        <w:rPr>
          <w:rFonts w:ascii="Century Gothic" w:eastAsia="Times New Roman" w:hAnsi="Century Gothic" w:cs="Arial"/>
          <w:color w:val="595959" w:themeColor="text1" w:themeTint="A6"/>
          <w:sz w:val="24"/>
          <w:szCs w:val="24"/>
          <w:lang w:eastAsia="es-CO"/>
        </w:rPr>
        <w:t xml:space="preserve"> satisface el objeto especifico previsto en el artículo 136 del CPACA para la procedencia del medio de control de la referencia, esto es, que la media dictada por la Administración Municipal </w:t>
      </w:r>
      <w:r w:rsidR="006B3A92" w:rsidRPr="0033045B">
        <w:rPr>
          <w:rFonts w:ascii="Century Gothic" w:eastAsia="Times New Roman" w:hAnsi="Century Gothic" w:cs="Arial"/>
          <w:color w:val="595959" w:themeColor="text1" w:themeTint="A6"/>
          <w:sz w:val="24"/>
          <w:szCs w:val="24"/>
          <w:lang w:eastAsia="es-CO"/>
        </w:rPr>
        <w:t xml:space="preserve">constituya un desarrollo de los decretos legislativos expedidos durante los estados de excepción. </w:t>
      </w:r>
    </w:p>
    <w:p w:rsidR="00034DB7" w:rsidRPr="0033045B" w:rsidRDefault="00034DB7"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6B3A92" w:rsidRDefault="00034DB7"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Por lo expuesto,</w:t>
      </w:r>
      <w:r w:rsidR="00997B3C" w:rsidRPr="0033045B">
        <w:rPr>
          <w:rFonts w:ascii="Century Gothic" w:eastAsia="Times New Roman" w:hAnsi="Century Gothic" w:cs="Arial"/>
          <w:color w:val="595959" w:themeColor="text1" w:themeTint="A6"/>
          <w:sz w:val="24"/>
          <w:szCs w:val="24"/>
          <w:lang w:eastAsia="es-CO"/>
        </w:rPr>
        <w:t xml:space="preserve"> y</w:t>
      </w:r>
      <w:r w:rsidRPr="0033045B">
        <w:rPr>
          <w:rFonts w:ascii="Century Gothic" w:eastAsia="Times New Roman" w:hAnsi="Century Gothic" w:cs="Arial"/>
          <w:color w:val="595959" w:themeColor="text1" w:themeTint="A6"/>
          <w:sz w:val="24"/>
          <w:szCs w:val="24"/>
          <w:lang w:eastAsia="es-CO"/>
        </w:rPr>
        <w:t xml:space="preserve"> en razón a que del texto del Decreto </w:t>
      </w:r>
      <w:r w:rsidR="006B58BA" w:rsidRPr="0033045B">
        <w:rPr>
          <w:rFonts w:ascii="Century Gothic" w:eastAsia="Times New Roman" w:hAnsi="Century Gothic" w:cs="Arial"/>
          <w:color w:val="595959" w:themeColor="text1" w:themeTint="A6"/>
          <w:sz w:val="24"/>
          <w:szCs w:val="24"/>
          <w:lang w:eastAsia="es-CO"/>
        </w:rPr>
        <w:t>Municipal</w:t>
      </w:r>
      <w:r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no</w:t>
      </w:r>
      <w:r w:rsidRPr="0033045B">
        <w:rPr>
          <w:rFonts w:ascii="Century Gothic" w:eastAsia="Times New Roman" w:hAnsi="Century Gothic" w:cs="Arial"/>
          <w:color w:val="595959" w:themeColor="text1" w:themeTint="A6"/>
          <w:sz w:val="24"/>
          <w:szCs w:val="24"/>
          <w:lang w:eastAsia="es-CO"/>
        </w:rPr>
        <w:t xml:space="preserve"> es posible advertir que </w:t>
      </w:r>
      <w:r w:rsidR="006B3A92" w:rsidRPr="0033045B">
        <w:rPr>
          <w:rFonts w:ascii="Century Gothic" w:eastAsia="Times New Roman" w:hAnsi="Century Gothic" w:cs="Arial"/>
          <w:color w:val="595959" w:themeColor="text1" w:themeTint="A6"/>
          <w:sz w:val="24"/>
          <w:szCs w:val="24"/>
          <w:lang w:eastAsia="es-CO"/>
        </w:rPr>
        <w:t xml:space="preserve">se expidió </w:t>
      </w:r>
      <w:r w:rsidRPr="0033045B">
        <w:rPr>
          <w:rFonts w:ascii="Century Gothic" w:eastAsia="Times New Roman" w:hAnsi="Century Gothic" w:cs="Arial"/>
          <w:color w:val="595959" w:themeColor="text1" w:themeTint="A6"/>
          <w:sz w:val="24"/>
          <w:szCs w:val="24"/>
          <w:lang w:eastAsia="es-CO"/>
        </w:rPr>
        <w:t xml:space="preserve">en desarrollo de las facultades excepcionales </w:t>
      </w:r>
      <w:r w:rsidR="006B3A92" w:rsidRPr="0033045B">
        <w:rPr>
          <w:rFonts w:ascii="Century Gothic" w:eastAsia="Times New Roman" w:hAnsi="Century Gothic" w:cs="Arial"/>
          <w:color w:val="595959" w:themeColor="text1" w:themeTint="A6"/>
          <w:sz w:val="24"/>
          <w:szCs w:val="24"/>
          <w:lang w:eastAsia="es-CO"/>
        </w:rPr>
        <w:t>otorga</w:t>
      </w:r>
      <w:r w:rsidRPr="0033045B">
        <w:rPr>
          <w:rFonts w:ascii="Century Gothic" w:eastAsia="Times New Roman" w:hAnsi="Century Gothic" w:cs="Arial"/>
          <w:color w:val="595959" w:themeColor="text1" w:themeTint="A6"/>
          <w:sz w:val="24"/>
          <w:szCs w:val="24"/>
          <w:lang w:eastAsia="es-CO"/>
        </w:rPr>
        <w:t>das por</w:t>
      </w:r>
      <w:r w:rsidR="00071C51" w:rsidRPr="0033045B">
        <w:rPr>
          <w:rFonts w:ascii="Century Gothic" w:eastAsia="Times New Roman" w:hAnsi="Century Gothic" w:cs="Arial"/>
          <w:color w:val="595959" w:themeColor="text1" w:themeTint="A6"/>
          <w:sz w:val="24"/>
          <w:szCs w:val="24"/>
          <w:lang w:eastAsia="es-CO"/>
        </w:rPr>
        <w:t xml:space="preserve"> el Decreto L</w:t>
      </w:r>
      <w:r w:rsidR="006B3A92" w:rsidRPr="0033045B">
        <w:rPr>
          <w:rFonts w:ascii="Century Gothic" w:eastAsia="Times New Roman" w:hAnsi="Century Gothic" w:cs="Arial"/>
          <w:color w:val="595959" w:themeColor="text1" w:themeTint="A6"/>
          <w:sz w:val="24"/>
          <w:szCs w:val="24"/>
          <w:lang w:eastAsia="es-CO"/>
        </w:rPr>
        <w:t xml:space="preserve">egislativo que declaró el Estado de </w:t>
      </w:r>
      <w:r w:rsidR="00071C51" w:rsidRPr="0033045B">
        <w:rPr>
          <w:rFonts w:ascii="Century Gothic" w:eastAsia="Times New Roman" w:hAnsi="Century Gothic" w:cs="Arial"/>
          <w:color w:val="595959" w:themeColor="text1" w:themeTint="A6"/>
          <w:sz w:val="24"/>
          <w:szCs w:val="24"/>
          <w:lang w:eastAsia="es-CO"/>
        </w:rPr>
        <w:t xml:space="preserve">Emergencia Económica, Social y Ecológica </w:t>
      </w:r>
      <w:r w:rsidR="006B3A92" w:rsidRPr="0033045B">
        <w:rPr>
          <w:rFonts w:ascii="Century Gothic" w:eastAsia="Times New Roman" w:hAnsi="Century Gothic" w:cs="Arial"/>
          <w:color w:val="595959" w:themeColor="text1" w:themeTint="A6"/>
          <w:sz w:val="24"/>
          <w:szCs w:val="24"/>
          <w:lang w:eastAsia="es-CO"/>
        </w:rPr>
        <w:t xml:space="preserve">(Estado de Excepción), </w:t>
      </w:r>
      <w:r w:rsidR="00997B3C" w:rsidRPr="0033045B">
        <w:rPr>
          <w:rFonts w:ascii="Century Gothic" w:eastAsia="Times New Roman" w:hAnsi="Century Gothic" w:cs="Arial"/>
          <w:color w:val="595959" w:themeColor="text1" w:themeTint="A6"/>
          <w:sz w:val="24"/>
          <w:szCs w:val="24"/>
          <w:lang w:eastAsia="es-CO"/>
        </w:rPr>
        <w:t>concluye la Sala Plena que el mismo no es pasible del presente medio de control, debiendo inhibirse para resolver de fondo el asunto de la referencia</w:t>
      </w:r>
      <w:r w:rsidR="006B58BA" w:rsidRPr="0033045B">
        <w:rPr>
          <w:rFonts w:ascii="Century Gothic" w:eastAsia="Times New Roman" w:hAnsi="Century Gothic" w:cs="Arial"/>
          <w:color w:val="595959" w:themeColor="text1" w:themeTint="A6"/>
          <w:sz w:val="24"/>
          <w:szCs w:val="24"/>
          <w:lang w:eastAsia="es-CO"/>
        </w:rPr>
        <w:t>.</w:t>
      </w:r>
      <w:r w:rsidR="00997B3C" w:rsidRPr="0033045B">
        <w:rPr>
          <w:rFonts w:ascii="Century Gothic" w:eastAsia="Times New Roman" w:hAnsi="Century Gothic" w:cs="Arial"/>
          <w:color w:val="595959" w:themeColor="text1" w:themeTint="A6"/>
          <w:sz w:val="24"/>
          <w:szCs w:val="24"/>
          <w:lang w:eastAsia="es-CO"/>
        </w:rPr>
        <w:t xml:space="preserve">  </w:t>
      </w:r>
    </w:p>
    <w:p w:rsidR="00B462BE" w:rsidRDefault="00B462BE"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B462BE" w:rsidRPr="00B462BE" w:rsidRDefault="00B462BE" w:rsidP="00B462B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B462BE">
        <w:rPr>
          <w:rFonts w:ascii="Century Gothic" w:eastAsia="Times New Roman" w:hAnsi="Century Gothic" w:cs="Arial"/>
          <w:color w:val="595959" w:themeColor="text1" w:themeTint="A6"/>
          <w:sz w:val="24"/>
          <w:szCs w:val="24"/>
          <w:lang w:eastAsia="es-CO"/>
        </w:rPr>
        <w:t>No obstante lo anterior, advierte la Sala, que como quiera que el acto objeto de revisión, bien podría ser pasible del medio de control de nulidad simple (artículo 137 CPACA)</w:t>
      </w:r>
      <w:r w:rsidRPr="00B462BE">
        <w:rPr>
          <w:rFonts w:ascii="Century Gothic" w:eastAsia="Times New Roman" w:hAnsi="Century Gothic" w:cs="Arial"/>
          <w:color w:val="595959" w:themeColor="text1" w:themeTint="A6"/>
          <w:sz w:val="24"/>
          <w:szCs w:val="24"/>
          <w:vertAlign w:val="superscript"/>
          <w:lang w:eastAsia="es-CO"/>
        </w:rPr>
        <w:footnoteReference w:id="7"/>
      </w:r>
      <w:r w:rsidRPr="00B462BE">
        <w:rPr>
          <w:rFonts w:ascii="Century Gothic" w:eastAsia="Times New Roman" w:hAnsi="Century Gothic" w:cs="Arial"/>
          <w:color w:val="595959" w:themeColor="text1" w:themeTint="A6"/>
          <w:sz w:val="24"/>
          <w:szCs w:val="24"/>
          <w:lang w:eastAsia="es-CO"/>
        </w:rPr>
        <w:t>, e incluso de control de legalidad por vía de observación por parte del gobernador, en los términos de los artículos 118 y siguientes del Decreto 1333 de 1986; la decisión que se toma en la presente providencia, no es óbice, para que dichos medios de control puedan activarse.</w:t>
      </w:r>
    </w:p>
    <w:p w:rsidR="00B462BE" w:rsidRPr="00B462BE" w:rsidRDefault="00B462BE" w:rsidP="00B462B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B462BE" w:rsidRPr="0033045B" w:rsidRDefault="00B462BE"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B462BE">
        <w:rPr>
          <w:rFonts w:ascii="Century Gothic" w:eastAsia="Times New Roman" w:hAnsi="Century Gothic" w:cs="Arial"/>
          <w:color w:val="595959" w:themeColor="text1" w:themeTint="A6"/>
          <w:sz w:val="24"/>
          <w:szCs w:val="24"/>
          <w:lang w:eastAsia="es-CO"/>
        </w:rPr>
        <w:t xml:space="preserve">Por otra parte, aclara </w:t>
      </w:r>
      <w:r>
        <w:rPr>
          <w:rFonts w:ascii="Century Gothic" w:eastAsia="Times New Roman" w:hAnsi="Century Gothic" w:cs="Arial"/>
          <w:color w:val="595959" w:themeColor="text1" w:themeTint="A6"/>
          <w:sz w:val="24"/>
          <w:szCs w:val="24"/>
          <w:lang w:eastAsia="es-CO"/>
        </w:rPr>
        <w:t>esta C</w:t>
      </w:r>
      <w:r w:rsidRPr="00B462BE">
        <w:rPr>
          <w:rFonts w:ascii="Century Gothic" w:eastAsia="Times New Roman" w:hAnsi="Century Gothic" w:cs="Arial"/>
          <w:color w:val="595959" w:themeColor="text1" w:themeTint="A6"/>
          <w:sz w:val="24"/>
          <w:szCs w:val="24"/>
          <w:lang w:eastAsia="es-CO"/>
        </w:rPr>
        <w:t xml:space="preserve">olegiatura, que el medio de control de nulidad simple, puede ser ejercido actualmente, ya que de conformidad con el numeral 5.3 del artículo 5 del Acuerdo PCSJA20-11556 del 22 de mayo de 2020, expedido por la Sala Administrativa del Consejo Superior de la Judicatura, dicho medio está exceptuado de la suspensión de términos, frente a los actos administrativos expedidos desde la declaratoria de la emergencia sanitaria.      </w:t>
      </w:r>
    </w:p>
    <w:p w:rsidR="00B462BE" w:rsidRDefault="00B462BE"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8C74EF" w:rsidRPr="0033045B" w:rsidRDefault="008C74EF"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A0365F" w:rsidRPr="0033045B" w:rsidRDefault="00A0365F" w:rsidP="007A7C8B">
      <w:pPr>
        <w:widowControl w:val="0"/>
        <w:autoSpaceDE w:val="0"/>
        <w:autoSpaceDN w:val="0"/>
        <w:adjustRightInd w:val="0"/>
        <w:spacing w:after="0"/>
        <w:ind w:firstLine="480"/>
        <w:jc w:val="both"/>
        <w:rPr>
          <w:rFonts w:ascii="Century Gothic" w:eastAsia="Times New Roman" w:hAnsi="Century Gothic" w:cs="Arial"/>
          <w:b/>
          <w:color w:val="595959" w:themeColor="text1" w:themeTint="A6"/>
          <w:sz w:val="24"/>
          <w:szCs w:val="24"/>
          <w:lang w:val="es-ES_tradnl" w:eastAsia="es-CO"/>
        </w:rPr>
      </w:pPr>
      <w:r w:rsidRPr="0033045B">
        <w:rPr>
          <w:rFonts w:ascii="Century Gothic" w:eastAsia="Times New Roman" w:hAnsi="Century Gothic" w:cs="Arial"/>
          <w:color w:val="595959" w:themeColor="text1" w:themeTint="A6"/>
          <w:sz w:val="24"/>
          <w:szCs w:val="24"/>
          <w:lang w:val="es-ES_tradnl" w:eastAsia="es-CO"/>
        </w:rPr>
        <w:t xml:space="preserve">En mérito de lo expuesto, el </w:t>
      </w:r>
      <w:r w:rsidRPr="0033045B">
        <w:rPr>
          <w:rFonts w:ascii="Century Gothic" w:eastAsia="Times New Roman" w:hAnsi="Century Gothic" w:cs="Arial"/>
          <w:b/>
          <w:color w:val="595959" w:themeColor="text1" w:themeTint="A6"/>
          <w:sz w:val="24"/>
          <w:szCs w:val="24"/>
          <w:lang w:val="es-ES_tradnl" w:eastAsia="es-CO"/>
        </w:rPr>
        <w:t>Tribunal Administrativo de Bolívar</w:t>
      </w:r>
      <w:r w:rsidRPr="0033045B">
        <w:rPr>
          <w:rFonts w:ascii="Century Gothic" w:eastAsia="Times New Roman" w:hAnsi="Century Gothic" w:cs="Arial"/>
          <w:color w:val="595959" w:themeColor="text1" w:themeTint="A6"/>
          <w:sz w:val="24"/>
          <w:szCs w:val="24"/>
          <w:lang w:val="es-ES_tradnl" w:eastAsia="es-CO"/>
        </w:rPr>
        <w:t xml:space="preserve">, administrando justicia en nombre de la República y por autoridad de la ley, </w:t>
      </w:r>
    </w:p>
    <w:p w:rsidR="00462173" w:rsidRDefault="00462173" w:rsidP="00A0365F">
      <w:pPr>
        <w:spacing w:after="0"/>
        <w:ind w:left="480"/>
        <w:jc w:val="center"/>
        <w:rPr>
          <w:rFonts w:ascii="Century Gothic" w:eastAsia="Times New Roman" w:hAnsi="Century Gothic" w:cs="Arial"/>
          <w:b/>
          <w:color w:val="595959" w:themeColor="text1" w:themeTint="A6"/>
          <w:sz w:val="24"/>
          <w:szCs w:val="24"/>
          <w:lang w:val="es-ES_tradnl" w:eastAsia="es-ES"/>
        </w:rPr>
      </w:pPr>
    </w:p>
    <w:p w:rsidR="008C74EF" w:rsidRPr="008C74EF" w:rsidRDefault="008C74EF" w:rsidP="00A0365F">
      <w:pPr>
        <w:spacing w:after="0"/>
        <w:ind w:left="480"/>
        <w:jc w:val="center"/>
        <w:rPr>
          <w:rFonts w:ascii="Century Gothic" w:eastAsia="Times New Roman" w:hAnsi="Century Gothic" w:cs="Arial"/>
          <w:b/>
          <w:color w:val="595959" w:themeColor="text1" w:themeTint="A6"/>
          <w:sz w:val="24"/>
          <w:szCs w:val="24"/>
          <w:lang w:val="es-ES_tradnl" w:eastAsia="es-ES"/>
        </w:rPr>
      </w:pPr>
    </w:p>
    <w:p w:rsidR="00A0365F" w:rsidRPr="0033045B" w:rsidRDefault="0033045B" w:rsidP="00A0365F">
      <w:pPr>
        <w:spacing w:after="0"/>
        <w:ind w:left="480"/>
        <w:jc w:val="center"/>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lastRenderedPageBreak/>
        <w:t xml:space="preserve">V. </w:t>
      </w:r>
      <w:r w:rsidR="00A0365F" w:rsidRPr="0033045B">
        <w:rPr>
          <w:rFonts w:ascii="Century Gothic" w:eastAsia="Times New Roman" w:hAnsi="Century Gothic" w:cs="Arial"/>
          <w:b/>
          <w:color w:val="595959" w:themeColor="text1" w:themeTint="A6"/>
          <w:sz w:val="24"/>
          <w:szCs w:val="24"/>
          <w:lang w:eastAsia="es-ES"/>
        </w:rPr>
        <w:t>FALLA</w:t>
      </w:r>
    </w:p>
    <w:p w:rsidR="00B462BE" w:rsidRPr="0033045B" w:rsidRDefault="00B462BE" w:rsidP="00A0365F">
      <w:pPr>
        <w:spacing w:after="0"/>
        <w:jc w:val="center"/>
        <w:rPr>
          <w:rFonts w:ascii="Century Gothic" w:eastAsia="Times New Roman" w:hAnsi="Century Gothic" w:cs="Times New Roman"/>
          <w:b/>
          <w:color w:val="595959" w:themeColor="text1" w:themeTint="A6"/>
          <w:sz w:val="24"/>
          <w:szCs w:val="24"/>
          <w:lang w:eastAsia="es-ES"/>
        </w:rPr>
      </w:pPr>
    </w:p>
    <w:p w:rsidR="006B58BA" w:rsidRDefault="00A0365F" w:rsidP="00094821">
      <w:pPr>
        <w:spacing w:after="0"/>
        <w:jc w:val="both"/>
        <w:rPr>
          <w:rFonts w:ascii="Century Gothic" w:eastAsia="Times New Roman" w:hAnsi="Century Gothic" w:cs="Century Gothic"/>
          <w:color w:val="595959" w:themeColor="text1" w:themeTint="A6"/>
          <w:sz w:val="24"/>
          <w:szCs w:val="24"/>
          <w:lang w:eastAsia="es-ES"/>
        </w:rPr>
      </w:pPr>
      <w:r w:rsidRPr="0033045B">
        <w:rPr>
          <w:rFonts w:ascii="Century Gothic" w:eastAsia="Times New Roman" w:hAnsi="Century Gothic" w:cs="Times New Roman"/>
          <w:b/>
          <w:color w:val="595959" w:themeColor="text1" w:themeTint="A6"/>
          <w:sz w:val="24"/>
          <w:szCs w:val="24"/>
          <w:lang w:eastAsia="es-ES"/>
        </w:rPr>
        <w:t>PRIMERO:</w:t>
      </w:r>
      <w:r w:rsidRPr="0033045B">
        <w:rPr>
          <w:rFonts w:ascii="Century Gothic" w:eastAsia="Times New Roman" w:hAnsi="Century Gothic" w:cs="Century Gothic"/>
          <w:b/>
          <w:color w:val="595959" w:themeColor="text1" w:themeTint="A6"/>
          <w:sz w:val="24"/>
          <w:szCs w:val="24"/>
          <w:lang w:eastAsia="es-ES"/>
        </w:rPr>
        <w:t xml:space="preserve"> </w:t>
      </w:r>
      <w:r w:rsidR="006B58BA" w:rsidRPr="0033045B">
        <w:rPr>
          <w:rFonts w:ascii="Century Gothic" w:eastAsia="Times New Roman" w:hAnsi="Century Gothic" w:cs="Century Gothic"/>
          <w:b/>
          <w:color w:val="595959" w:themeColor="text1" w:themeTint="A6"/>
          <w:sz w:val="24"/>
          <w:szCs w:val="24"/>
          <w:lang w:eastAsia="es-ES"/>
        </w:rPr>
        <w:t xml:space="preserve">INHÍBASE </w:t>
      </w:r>
      <w:r w:rsidR="006B58BA" w:rsidRPr="0033045B">
        <w:rPr>
          <w:rFonts w:ascii="Century Gothic" w:eastAsia="Times New Roman" w:hAnsi="Century Gothic" w:cs="Century Gothic"/>
          <w:color w:val="595959" w:themeColor="text1" w:themeTint="A6"/>
          <w:sz w:val="24"/>
          <w:szCs w:val="24"/>
          <w:lang w:eastAsia="es-ES"/>
        </w:rPr>
        <w:t>para emitir pronunciamiento de fondo</w:t>
      </w:r>
      <w:r w:rsidR="006B58BA" w:rsidRPr="006B58BA">
        <w:rPr>
          <w:rFonts w:ascii="Century Gothic" w:eastAsia="Times New Roman" w:hAnsi="Century Gothic" w:cs="Century Gothic"/>
          <w:color w:val="595959" w:themeColor="text1" w:themeTint="A6"/>
          <w:sz w:val="24"/>
          <w:szCs w:val="24"/>
          <w:lang w:eastAsia="es-ES"/>
        </w:rPr>
        <w:t xml:space="preserve"> dentro del medio de control inmediato de legalidad al </w:t>
      </w:r>
      <w:r w:rsidR="00EA2924" w:rsidRPr="00EA2924">
        <w:rPr>
          <w:rFonts w:ascii="Century Gothic" w:eastAsia="Times New Roman" w:hAnsi="Century Gothic" w:cs="Century Gothic"/>
          <w:color w:val="595959" w:themeColor="text1" w:themeTint="A6"/>
          <w:sz w:val="24"/>
          <w:szCs w:val="24"/>
          <w:lang w:val="es-ES_tradnl" w:eastAsia="es-ES"/>
        </w:rPr>
        <w:t xml:space="preserve">Decreto Nro. 20-03-20-01 de 20 de marzo de 2020 </w:t>
      </w:r>
      <w:r w:rsidR="00EA2924" w:rsidRPr="00EA2924">
        <w:rPr>
          <w:rFonts w:ascii="Century Gothic" w:eastAsia="Times New Roman" w:hAnsi="Century Gothic" w:cs="Century Gothic"/>
          <w:i/>
          <w:color w:val="595959" w:themeColor="text1" w:themeTint="A6"/>
          <w:sz w:val="24"/>
          <w:szCs w:val="24"/>
          <w:lang w:val="es-ES_tradnl" w:eastAsia="es-ES"/>
        </w:rPr>
        <w:t>“POR MEDIO DEL CUAL SE ADOPTAN MEDIDAS DE ORDEN PÚBLICO EN EL MUNICIPIO DE HATILLO DE LOBA, BOLÍVAR Y SE DICTAN OTRAS DISPOSICIONES”</w:t>
      </w:r>
      <w:r w:rsidR="006B58BA" w:rsidRPr="009A2F7D">
        <w:rPr>
          <w:rFonts w:ascii="Century Gothic" w:eastAsia="Times New Roman" w:hAnsi="Century Gothic" w:cs="Century Gothic"/>
          <w:color w:val="595959" w:themeColor="text1" w:themeTint="A6"/>
          <w:sz w:val="24"/>
          <w:szCs w:val="24"/>
          <w:lang w:eastAsia="es-ES"/>
        </w:rPr>
        <w:t>;</w:t>
      </w:r>
      <w:r w:rsidR="006B58BA" w:rsidRPr="006B58BA">
        <w:rPr>
          <w:rFonts w:ascii="Century Gothic" w:eastAsia="Times New Roman" w:hAnsi="Century Gothic" w:cs="Century Gothic"/>
          <w:color w:val="595959" w:themeColor="text1" w:themeTint="A6"/>
          <w:sz w:val="24"/>
          <w:szCs w:val="24"/>
          <w:lang w:eastAsia="es-ES"/>
        </w:rPr>
        <w:t xml:space="preserve"> por las</w:t>
      </w:r>
      <w:r w:rsidR="0015225A">
        <w:rPr>
          <w:rFonts w:ascii="Century Gothic" w:eastAsia="Times New Roman" w:hAnsi="Century Gothic" w:cs="Century Gothic"/>
          <w:color w:val="595959" w:themeColor="text1" w:themeTint="A6"/>
          <w:sz w:val="24"/>
          <w:szCs w:val="24"/>
          <w:lang w:eastAsia="es-ES"/>
        </w:rPr>
        <w:t xml:space="preserve"> razones expuestas en la parte motiva de esta providencia</w:t>
      </w:r>
      <w:r w:rsidR="006B58BA" w:rsidRPr="006B58BA">
        <w:rPr>
          <w:rFonts w:ascii="Century Gothic" w:eastAsia="Times New Roman" w:hAnsi="Century Gothic" w:cs="Century Gothic"/>
          <w:color w:val="595959" w:themeColor="text1" w:themeTint="A6"/>
          <w:sz w:val="24"/>
          <w:szCs w:val="24"/>
          <w:lang w:eastAsia="es-ES"/>
        </w:rPr>
        <w:t>.</w:t>
      </w: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val="es-ES_tradnl" w:eastAsia="es-ES"/>
        </w:rPr>
      </w:pPr>
    </w:p>
    <w:p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eastAsia="es-ES"/>
        </w:rPr>
        <w:t xml:space="preserve">SEGUNDO: </w:t>
      </w:r>
      <w:r w:rsidRPr="009B3E44">
        <w:rPr>
          <w:rFonts w:ascii="Century Gothic" w:eastAsia="Times New Roman" w:hAnsi="Century Gothic" w:cs="Times New Roman"/>
          <w:b/>
          <w:bCs/>
          <w:iCs/>
          <w:color w:val="595959" w:themeColor="text1" w:themeTint="A6"/>
          <w:sz w:val="24"/>
          <w:szCs w:val="24"/>
          <w:lang w:eastAsia="es-ES"/>
        </w:rPr>
        <w:t xml:space="preserve">COMUNICAR </w:t>
      </w:r>
      <w:r w:rsidRPr="009B3E44">
        <w:rPr>
          <w:rFonts w:ascii="Century Gothic" w:eastAsia="Times New Roman" w:hAnsi="Century Gothic" w:cs="Times New Roman"/>
          <w:iCs/>
          <w:color w:val="595959" w:themeColor="text1" w:themeTint="A6"/>
          <w:sz w:val="24"/>
          <w:szCs w:val="24"/>
          <w:lang w:eastAsia="es-ES"/>
        </w:rPr>
        <w:t>esta determinación al señor Alcalde</w:t>
      </w:r>
      <w:r w:rsidR="0015225A">
        <w:rPr>
          <w:rFonts w:ascii="Century Gothic" w:eastAsia="Times New Roman" w:hAnsi="Century Gothic" w:cs="Times New Roman"/>
          <w:iCs/>
          <w:color w:val="595959" w:themeColor="text1" w:themeTint="A6"/>
          <w:sz w:val="24"/>
          <w:szCs w:val="24"/>
          <w:lang w:eastAsia="es-ES"/>
        </w:rPr>
        <w:t xml:space="preserve"> </w:t>
      </w:r>
      <w:r w:rsidRPr="009B3E44">
        <w:rPr>
          <w:rFonts w:ascii="Century Gothic" w:eastAsia="Times New Roman" w:hAnsi="Century Gothic" w:cs="Times New Roman"/>
          <w:iCs/>
          <w:color w:val="595959" w:themeColor="text1" w:themeTint="A6"/>
          <w:sz w:val="24"/>
          <w:szCs w:val="24"/>
          <w:lang w:eastAsia="es-ES"/>
        </w:rPr>
        <w:t xml:space="preserve">Municipal de </w:t>
      </w:r>
      <w:r w:rsidR="00EA2924">
        <w:rPr>
          <w:rFonts w:ascii="Century Gothic" w:eastAsia="Times New Roman" w:hAnsi="Century Gothic" w:cs="Times New Roman"/>
          <w:iCs/>
          <w:color w:val="595959" w:themeColor="text1" w:themeTint="A6"/>
          <w:sz w:val="24"/>
          <w:szCs w:val="24"/>
          <w:lang w:eastAsia="es-ES"/>
        </w:rPr>
        <w:t>Hatillo de Loba</w:t>
      </w:r>
      <w:r w:rsidR="0015225A">
        <w:rPr>
          <w:rFonts w:ascii="Century Gothic" w:eastAsia="Times New Roman" w:hAnsi="Century Gothic" w:cs="Times New Roman"/>
          <w:iCs/>
          <w:color w:val="595959" w:themeColor="text1" w:themeTint="A6"/>
          <w:sz w:val="24"/>
          <w:szCs w:val="24"/>
          <w:lang w:eastAsia="es-ES"/>
        </w:rPr>
        <w:t xml:space="preserve"> </w:t>
      </w:r>
      <w:r w:rsidRPr="009B3E44">
        <w:rPr>
          <w:rFonts w:ascii="Century Gothic" w:eastAsia="Times New Roman" w:hAnsi="Century Gothic" w:cs="Times New Roman"/>
          <w:color w:val="595959" w:themeColor="text1" w:themeTint="A6"/>
          <w:sz w:val="24"/>
          <w:szCs w:val="24"/>
          <w:lang w:eastAsia="es-ES"/>
        </w:rPr>
        <w:t>–</w:t>
      </w:r>
      <w:r w:rsidR="00261E9C" w:rsidRPr="009B3E44">
        <w:rPr>
          <w:rFonts w:ascii="Century Gothic" w:eastAsia="Times New Roman" w:hAnsi="Century Gothic" w:cs="Times New Roman"/>
          <w:color w:val="595959" w:themeColor="text1" w:themeTint="A6"/>
          <w:sz w:val="24"/>
          <w:szCs w:val="24"/>
          <w:lang w:eastAsia="es-ES"/>
        </w:rPr>
        <w:t xml:space="preserve"> </w:t>
      </w:r>
      <w:r w:rsidRPr="009B3E44">
        <w:rPr>
          <w:rFonts w:ascii="Century Gothic" w:eastAsia="Times New Roman" w:hAnsi="Century Gothic" w:cs="Times New Roman"/>
          <w:color w:val="595959" w:themeColor="text1" w:themeTint="A6"/>
          <w:sz w:val="24"/>
          <w:szCs w:val="24"/>
          <w:lang w:val="es-ES_tradnl" w:eastAsia="es-ES"/>
        </w:rPr>
        <w:t>Bolívar</w:t>
      </w:r>
      <w:r w:rsidRPr="009B3E44">
        <w:rPr>
          <w:rFonts w:ascii="Century Gothic" w:eastAsia="Times New Roman" w:hAnsi="Century Gothic" w:cs="Times New Roman"/>
          <w:iCs/>
          <w:color w:val="595959" w:themeColor="text1" w:themeTint="A6"/>
          <w:sz w:val="24"/>
          <w:szCs w:val="24"/>
          <w:lang w:eastAsia="es-ES"/>
        </w:rPr>
        <w:t>,</w:t>
      </w:r>
      <w:r w:rsidR="0015225A">
        <w:rPr>
          <w:rFonts w:ascii="Century Gothic" w:eastAsia="Times New Roman" w:hAnsi="Century Gothic" w:cs="Times New Roman"/>
          <w:iCs/>
          <w:color w:val="595959" w:themeColor="text1" w:themeTint="A6"/>
          <w:sz w:val="24"/>
          <w:szCs w:val="24"/>
          <w:lang w:eastAsia="es-ES"/>
        </w:rPr>
        <w:t xml:space="preserve"> al Representante Legal de Ministerio Público y demás intervinientes</w:t>
      </w:r>
      <w:r w:rsidRPr="009B3E44">
        <w:rPr>
          <w:rFonts w:ascii="Century Gothic" w:eastAsia="Times New Roman" w:hAnsi="Century Gothic" w:cs="Times New Roman"/>
          <w:color w:val="595959" w:themeColor="text1" w:themeTint="A6"/>
          <w:sz w:val="24"/>
          <w:szCs w:val="24"/>
          <w:lang w:val="es-ES_tradnl" w:eastAsia="es-ES"/>
        </w:rPr>
        <w:t>.</w:t>
      </w:r>
    </w:p>
    <w:p w:rsidR="00734DAC" w:rsidRPr="00C55314" w:rsidRDefault="00734DAC" w:rsidP="00A0365F">
      <w:pPr>
        <w:spacing w:after="0"/>
        <w:jc w:val="both"/>
        <w:rPr>
          <w:rFonts w:ascii="Century Gothic" w:eastAsia="Times New Roman" w:hAnsi="Century Gothic" w:cs="Times New Roman"/>
          <w:b/>
          <w:color w:val="595959" w:themeColor="text1" w:themeTint="A6"/>
          <w:sz w:val="16"/>
          <w:szCs w:val="24"/>
          <w:lang w:eastAsia="es-ES"/>
        </w:rPr>
      </w:pPr>
    </w:p>
    <w:p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NOTIFÍQUESE Y CÚMPLASE</w:t>
      </w:r>
    </w:p>
    <w:p w:rsidR="00A0365F" w:rsidRPr="009B3E44" w:rsidRDefault="00A0365F" w:rsidP="00CB086D">
      <w:pPr>
        <w:spacing w:after="0"/>
        <w:jc w:val="center"/>
        <w:rPr>
          <w:rFonts w:ascii="Century Gothic" w:eastAsia="Times New Roman" w:hAnsi="Century Gothic" w:cs="Times New Roman"/>
          <w:color w:val="595959" w:themeColor="text1" w:themeTint="A6"/>
          <w:sz w:val="20"/>
          <w:szCs w:val="24"/>
          <w:lang w:eastAsia="es-ES"/>
        </w:rPr>
      </w:pPr>
      <w:r w:rsidRPr="009B3E44">
        <w:rPr>
          <w:rFonts w:ascii="Century Gothic" w:eastAsia="Times New Roman" w:hAnsi="Century Gothic" w:cs="Times New Roman"/>
          <w:color w:val="595959" w:themeColor="text1" w:themeTint="A6"/>
          <w:sz w:val="20"/>
          <w:szCs w:val="24"/>
          <w:lang w:eastAsia="es-ES"/>
        </w:rPr>
        <w:t>Constancia: El proyecto de esta providencia fue debatido y aprobado en la sesión de la fecha</w:t>
      </w:r>
      <w:r w:rsidR="00482503">
        <w:rPr>
          <w:rFonts w:ascii="Century Gothic" w:eastAsia="Times New Roman" w:hAnsi="Century Gothic" w:cs="Times New Roman"/>
          <w:color w:val="595959" w:themeColor="text1" w:themeTint="A6"/>
          <w:sz w:val="20"/>
          <w:szCs w:val="24"/>
          <w:lang w:eastAsia="es-ES"/>
        </w:rPr>
        <w:t>.</w:t>
      </w:r>
    </w:p>
    <w:p w:rsidR="00A0365F" w:rsidRPr="00C55314" w:rsidRDefault="00A0365F" w:rsidP="00A0365F">
      <w:pPr>
        <w:spacing w:after="0"/>
        <w:jc w:val="center"/>
        <w:rPr>
          <w:rFonts w:ascii="Century Gothic" w:eastAsia="Times New Roman" w:hAnsi="Century Gothic" w:cs="Times New Roman"/>
          <w:b/>
          <w:color w:val="595959" w:themeColor="text1" w:themeTint="A6"/>
          <w:sz w:val="10"/>
          <w:szCs w:val="24"/>
          <w:lang w:val="es-CO" w:eastAsia="es-ES"/>
        </w:rPr>
      </w:pPr>
    </w:p>
    <w:p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LOS MAGISTRADOS</w:t>
      </w:r>
    </w:p>
    <w:p w:rsidR="00A0365F" w:rsidRDefault="00A0365F" w:rsidP="00A0365F">
      <w:pPr>
        <w:spacing w:after="0"/>
        <w:jc w:val="center"/>
        <w:rPr>
          <w:rFonts w:ascii="Century Gothic" w:eastAsia="Times New Roman" w:hAnsi="Century Gothic" w:cs="Times New Roman"/>
          <w:color w:val="595959" w:themeColor="text1" w:themeTint="A6"/>
          <w:sz w:val="24"/>
          <w:szCs w:val="24"/>
          <w:lang w:eastAsia="es-ES"/>
        </w:rPr>
      </w:pPr>
    </w:p>
    <w:p w:rsidR="00391E48" w:rsidRDefault="00391E48" w:rsidP="00391E48">
      <w:pPr>
        <w:spacing w:after="0"/>
        <w:jc w:val="center"/>
        <w:rPr>
          <w:rFonts w:ascii="Century Gothic" w:eastAsia="Times New Roman" w:hAnsi="Century Gothic" w:cs="Times New Roman"/>
          <w:color w:val="595959" w:themeColor="text1" w:themeTint="A6"/>
          <w:sz w:val="24"/>
          <w:szCs w:val="24"/>
          <w:lang w:eastAsia="es-ES"/>
        </w:rPr>
      </w:pPr>
      <w:r>
        <w:rPr>
          <w:noProof/>
          <w:lang w:val="es-CO" w:eastAsia="es-CO"/>
        </w:rPr>
        <w:drawing>
          <wp:inline distT="0" distB="0" distL="0" distR="0" wp14:anchorId="00382CC2" wp14:editId="0619B9DD">
            <wp:extent cx="2790825" cy="15716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0825" cy="1571625"/>
                    </a:xfrm>
                    <a:prstGeom prst="rect">
                      <a:avLst/>
                    </a:prstGeom>
                  </pic:spPr>
                </pic:pic>
              </a:graphicData>
            </a:graphic>
          </wp:inline>
        </w:drawing>
      </w:r>
    </w:p>
    <w:p w:rsidR="00391E48" w:rsidRPr="009B3E44" w:rsidRDefault="00391E48" w:rsidP="00391E48">
      <w:pPr>
        <w:spacing w:after="0"/>
        <w:jc w:val="center"/>
        <w:rPr>
          <w:rFonts w:ascii="Century Gothic" w:eastAsia="Times New Roman" w:hAnsi="Century Gothic" w:cs="Times New Roman"/>
          <w:color w:val="595959" w:themeColor="text1" w:themeTint="A6"/>
          <w:sz w:val="24"/>
          <w:szCs w:val="24"/>
          <w:lang w:eastAsia="es-ES"/>
        </w:rPr>
      </w:pPr>
    </w:p>
    <w:p w:rsidR="00391E48" w:rsidRPr="009B3E44" w:rsidRDefault="00391E48" w:rsidP="00391E48">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 xml:space="preserve">LUÍS MIGUEL VILLALOBOS ÁLVAREZ          </w:t>
      </w:r>
    </w:p>
    <w:p w:rsidR="00391E48" w:rsidRDefault="00391E48" w:rsidP="00391E48">
      <w:pPr>
        <w:spacing w:after="0"/>
        <w:jc w:val="center"/>
        <w:rPr>
          <w:rFonts w:ascii="Century Gothic" w:eastAsia="Times New Roman" w:hAnsi="Century Gothic" w:cs="Times New Roman"/>
          <w:b/>
          <w:color w:val="595959" w:themeColor="text1" w:themeTint="A6"/>
          <w:sz w:val="24"/>
          <w:szCs w:val="24"/>
          <w:lang w:eastAsia="es-ES"/>
        </w:rPr>
      </w:pPr>
    </w:p>
    <w:p w:rsidR="00391E48" w:rsidRDefault="00391E48" w:rsidP="00391E48">
      <w:pPr>
        <w:spacing w:after="0"/>
        <w:jc w:val="center"/>
        <w:rPr>
          <w:rFonts w:ascii="Century Gothic" w:eastAsia="Times New Roman" w:hAnsi="Century Gothic" w:cs="Times New Roman"/>
          <w:b/>
          <w:color w:val="595959" w:themeColor="text1" w:themeTint="A6"/>
          <w:sz w:val="24"/>
          <w:szCs w:val="24"/>
          <w:lang w:eastAsia="es-ES"/>
        </w:rPr>
      </w:pPr>
    </w:p>
    <w:p w:rsidR="00391E48" w:rsidRPr="009B3E44" w:rsidRDefault="00391E48" w:rsidP="00391E48">
      <w:pPr>
        <w:spacing w:after="0"/>
        <w:jc w:val="center"/>
        <w:rPr>
          <w:rFonts w:ascii="Century Gothic" w:eastAsia="Times New Roman" w:hAnsi="Century Gothic" w:cs="Times New Roman"/>
          <w:b/>
          <w:color w:val="595959" w:themeColor="text1" w:themeTint="A6"/>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094"/>
      </w:tblGrid>
      <w:tr w:rsidR="00391E48" w:rsidTr="00DA10BD">
        <w:tc>
          <w:tcPr>
            <w:tcW w:w="9263" w:type="dxa"/>
            <w:gridSpan w:val="2"/>
          </w:tcPr>
          <w:p w:rsidR="00391E48" w:rsidRDefault="00391E48" w:rsidP="00DA10BD">
            <w:pPr>
              <w:tabs>
                <w:tab w:val="left" w:pos="142"/>
              </w:tabs>
              <w:ind w:right="51"/>
              <w:jc w:val="center"/>
              <w:rPr>
                <w:b/>
                <w:sz w:val="24"/>
                <w:szCs w:val="24"/>
              </w:rPr>
            </w:pPr>
            <w:r>
              <w:rPr>
                <w:noProof/>
                <w:lang w:eastAsia="es-CO"/>
              </w:rPr>
              <w:drawing>
                <wp:inline distT="0" distB="0" distL="0" distR="0" wp14:anchorId="23FC0D48" wp14:editId="17965BA3">
                  <wp:extent cx="2673350" cy="10477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7082" t="35522" r="55807" b="38176"/>
                          <a:stretch/>
                        </pic:blipFill>
                        <pic:spPr bwMode="auto">
                          <a:xfrm>
                            <a:off x="0" y="0"/>
                            <a:ext cx="2692365" cy="1055202"/>
                          </a:xfrm>
                          <a:prstGeom prst="rect">
                            <a:avLst/>
                          </a:prstGeom>
                          <a:ln>
                            <a:noFill/>
                          </a:ln>
                          <a:extLst>
                            <a:ext uri="{53640926-AAD7-44D8-BBD7-CCE9431645EC}">
                              <a14:shadowObscured xmlns:a14="http://schemas.microsoft.com/office/drawing/2010/main"/>
                            </a:ext>
                          </a:extLst>
                        </pic:spPr>
                      </pic:pic>
                    </a:graphicData>
                  </a:graphic>
                </wp:inline>
              </w:drawing>
            </w:r>
          </w:p>
        </w:tc>
      </w:tr>
      <w:tr w:rsidR="00391E48" w:rsidTr="00DA10BD">
        <w:tc>
          <w:tcPr>
            <w:tcW w:w="4631" w:type="dxa"/>
          </w:tcPr>
          <w:p w:rsidR="00391E48" w:rsidRDefault="00391E48" w:rsidP="00DA10BD">
            <w:pPr>
              <w:tabs>
                <w:tab w:val="left" w:pos="142"/>
              </w:tabs>
              <w:ind w:right="51"/>
              <w:jc w:val="center"/>
              <w:rPr>
                <w:b/>
                <w:sz w:val="24"/>
                <w:szCs w:val="24"/>
              </w:rPr>
            </w:pPr>
          </w:p>
          <w:p w:rsidR="00391E48" w:rsidRDefault="00391E48" w:rsidP="00DA10BD">
            <w:pPr>
              <w:tabs>
                <w:tab w:val="left" w:pos="142"/>
              </w:tabs>
              <w:ind w:right="51"/>
              <w:jc w:val="center"/>
              <w:rPr>
                <w:b/>
                <w:sz w:val="24"/>
                <w:szCs w:val="24"/>
              </w:rPr>
            </w:pPr>
            <w:r>
              <w:rPr>
                <w:noProof/>
                <w:lang w:eastAsia="es-CO"/>
              </w:rPr>
              <w:lastRenderedPageBreak/>
              <w:drawing>
                <wp:anchor distT="0" distB="0" distL="114300" distR="114300" simplePos="0" relativeHeight="251659264" behindDoc="0" locked="0" layoutInCell="1" allowOverlap="1" wp14:anchorId="7E462CA7" wp14:editId="652C0035">
                  <wp:simplePos x="0" y="0"/>
                  <wp:positionH relativeFrom="page">
                    <wp:posOffset>52070</wp:posOffset>
                  </wp:positionH>
                  <wp:positionV relativeFrom="paragraph">
                    <wp:posOffset>191770</wp:posOffset>
                  </wp:positionV>
                  <wp:extent cx="2876550" cy="914400"/>
                  <wp:effectExtent l="0" t="0" r="0" b="0"/>
                  <wp:wrapSquare wrapText="bothSides"/>
                  <wp:docPr id="9" name="Imagen 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914400"/>
                          </a:xfrm>
                          <a:prstGeom prst="rect">
                            <a:avLst/>
                          </a:prstGeom>
                          <a:noFill/>
                          <a:ln>
                            <a:noFill/>
                          </a:ln>
                        </pic:spPr>
                      </pic:pic>
                    </a:graphicData>
                  </a:graphic>
                  <wp14:sizeRelH relativeFrom="margin">
                    <wp14:pctWidth>0</wp14:pctWidth>
                  </wp14:sizeRelH>
                </wp:anchor>
              </w:drawing>
            </w:r>
          </w:p>
        </w:tc>
        <w:tc>
          <w:tcPr>
            <w:tcW w:w="4632" w:type="dxa"/>
          </w:tcPr>
          <w:p w:rsidR="00391E48" w:rsidRPr="001B2482" w:rsidRDefault="00391E48" w:rsidP="00DA10BD">
            <w:pPr>
              <w:tabs>
                <w:tab w:val="left" w:pos="142"/>
              </w:tabs>
              <w:ind w:right="51"/>
              <w:jc w:val="center"/>
              <w:rPr>
                <w:noProof/>
                <w:sz w:val="20"/>
                <w:szCs w:val="24"/>
                <w:lang w:eastAsia="es-CO"/>
              </w:rPr>
            </w:pPr>
          </w:p>
          <w:p w:rsidR="00391E48" w:rsidRDefault="00391E48" w:rsidP="00DA10BD">
            <w:pPr>
              <w:tabs>
                <w:tab w:val="left" w:pos="142"/>
              </w:tabs>
              <w:ind w:right="51"/>
              <w:jc w:val="center"/>
              <w:rPr>
                <w:b/>
                <w:sz w:val="24"/>
                <w:szCs w:val="24"/>
              </w:rPr>
            </w:pPr>
            <w:r>
              <w:object w:dxaOrig="3552" w:dyaOrig="1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92.25pt" o:ole="">
                  <v:imagedata r:id="rId14" o:title=""/>
                </v:shape>
                <o:OLEObject Type="Embed" ProgID="PBrush" ShapeID="_x0000_i1025" DrawAspect="Content" ObjectID="_1652875670" r:id="rId15"/>
              </w:object>
            </w:r>
          </w:p>
        </w:tc>
      </w:tr>
      <w:tr w:rsidR="00391E48" w:rsidTr="00DA10BD">
        <w:tc>
          <w:tcPr>
            <w:tcW w:w="4631" w:type="dxa"/>
          </w:tcPr>
          <w:p w:rsidR="00391E48" w:rsidRDefault="00391E48" w:rsidP="00DA10BD">
            <w:pPr>
              <w:tabs>
                <w:tab w:val="left" w:pos="142"/>
              </w:tabs>
              <w:ind w:right="51"/>
              <w:jc w:val="center"/>
              <w:rPr>
                <w:b/>
                <w:sz w:val="24"/>
                <w:szCs w:val="24"/>
              </w:rPr>
            </w:pPr>
          </w:p>
          <w:p w:rsidR="00391E48" w:rsidRDefault="00391E48" w:rsidP="00DA10BD">
            <w:pPr>
              <w:tabs>
                <w:tab w:val="left" w:pos="142"/>
              </w:tabs>
              <w:ind w:right="51"/>
              <w:jc w:val="center"/>
              <w:rPr>
                <w:b/>
                <w:sz w:val="24"/>
                <w:szCs w:val="24"/>
              </w:rPr>
            </w:pPr>
          </w:p>
          <w:p w:rsidR="00391E48" w:rsidRDefault="00391E48" w:rsidP="00DA10BD">
            <w:pPr>
              <w:tabs>
                <w:tab w:val="left" w:pos="142"/>
              </w:tabs>
              <w:ind w:right="51"/>
              <w:rPr>
                <w:b/>
                <w:sz w:val="24"/>
                <w:szCs w:val="24"/>
              </w:rPr>
            </w:pPr>
            <w:r>
              <w:rPr>
                <w:noProof/>
                <w:lang w:eastAsia="es-CO"/>
              </w:rPr>
              <w:drawing>
                <wp:inline distT="0" distB="0" distL="0" distR="0" wp14:anchorId="6410EB4F" wp14:editId="782031C7">
                  <wp:extent cx="2578100" cy="12815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25000"/>
                                    </a14:imgEffect>
                                    <a14:imgEffect>
                                      <a14:saturation sat="158000"/>
                                    </a14:imgEffect>
                                  </a14:imgLayer>
                                </a14:imgProps>
                              </a:ext>
                              <a:ext uri="{28A0092B-C50C-407E-A947-70E740481C1C}">
                                <a14:useLocalDpi xmlns:a14="http://schemas.microsoft.com/office/drawing/2010/main" val="0"/>
                              </a:ext>
                            </a:extLst>
                          </a:blip>
                          <a:srcRect/>
                          <a:stretch>
                            <a:fillRect/>
                          </a:stretch>
                        </pic:blipFill>
                        <pic:spPr bwMode="auto">
                          <a:xfrm>
                            <a:off x="0" y="0"/>
                            <a:ext cx="2764674" cy="1374289"/>
                          </a:xfrm>
                          <a:prstGeom prst="rect">
                            <a:avLst/>
                          </a:prstGeom>
                          <a:noFill/>
                          <a:ln>
                            <a:noFill/>
                          </a:ln>
                        </pic:spPr>
                      </pic:pic>
                    </a:graphicData>
                  </a:graphic>
                </wp:inline>
              </w:drawing>
            </w:r>
          </w:p>
        </w:tc>
        <w:tc>
          <w:tcPr>
            <w:tcW w:w="4632" w:type="dxa"/>
          </w:tcPr>
          <w:p w:rsidR="00391E48" w:rsidRDefault="00391E48" w:rsidP="00DA10BD">
            <w:pPr>
              <w:tabs>
                <w:tab w:val="left" w:pos="142"/>
              </w:tabs>
              <w:ind w:right="51"/>
              <w:jc w:val="center"/>
              <w:rPr>
                <w:b/>
                <w:sz w:val="24"/>
                <w:szCs w:val="24"/>
              </w:rPr>
            </w:pPr>
            <w:r>
              <w:rPr>
                <w:noProof/>
                <w:lang w:eastAsia="es-CO"/>
              </w:rPr>
              <w:drawing>
                <wp:inline distT="0" distB="0" distL="0" distR="0" wp14:anchorId="062297B5" wp14:editId="7822AA55">
                  <wp:extent cx="2235200" cy="1191491"/>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1991" t="30382" r="60632" b="43663"/>
                          <a:stretch/>
                        </pic:blipFill>
                        <pic:spPr bwMode="auto">
                          <a:xfrm>
                            <a:off x="0" y="0"/>
                            <a:ext cx="2234751" cy="1191251"/>
                          </a:xfrm>
                          <a:prstGeom prst="rect">
                            <a:avLst/>
                          </a:prstGeom>
                          <a:ln>
                            <a:noFill/>
                          </a:ln>
                          <a:extLst>
                            <a:ext uri="{53640926-AAD7-44D8-BBD7-CCE9431645EC}">
                              <a14:shadowObscured xmlns:a14="http://schemas.microsoft.com/office/drawing/2010/main"/>
                            </a:ext>
                          </a:extLst>
                        </pic:spPr>
                      </pic:pic>
                    </a:graphicData>
                  </a:graphic>
                </wp:inline>
              </w:drawing>
            </w:r>
          </w:p>
        </w:tc>
      </w:tr>
      <w:tr w:rsidR="00391E48" w:rsidTr="00DA10BD">
        <w:tc>
          <w:tcPr>
            <w:tcW w:w="9263" w:type="dxa"/>
            <w:gridSpan w:val="2"/>
          </w:tcPr>
          <w:p w:rsidR="00391E48" w:rsidRDefault="00391E48" w:rsidP="00DA10BD">
            <w:pPr>
              <w:tabs>
                <w:tab w:val="left" w:pos="142"/>
              </w:tabs>
              <w:ind w:right="51"/>
              <w:jc w:val="center"/>
              <w:rPr>
                <w:b/>
                <w:sz w:val="24"/>
                <w:szCs w:val="24"/>
              </w:rPr>
            </w:pPr>
          </w:p>
        </w:tc>
      </w:tr>
    </w:tbl>
    <w:p w:rsidR="00391E48" w:rsidRPr="009B3E44" w:rsidRDefault="00391E48" w:rsidP="00391E48">
      <w:pPr>
        <w:spacing w:after="0"/>
        <w:jc w:val="center"/>
        <w:rPr>
          <w:rFonts w:ascii="Times New Roman" w:eastAsia="Times New Roman" w:hAnsi="Times New Roman" w:cs="Times New Roman"/>
          <w:color w:val="595959" w:themeColor="text1" w:themeTint="A6"/>
          <w:sz w:val="24"/>
          <w:szCs w:val="24"/>
          <w:lang w:eastAsia="es-ES"/>
        </w:rPr>
      </w:pPr>
    </w:p>
    <w:p w:rsidR="00734DAC" w:rsidRPr="009B3E44" w:rsidRDefault="00734DAC" w:rsidP="00C55314">
      <w:pPr>
        <w:spacing w:after="0"/>
        <w:jc w:val="center"/>
        <w:rPr>
          <w:rFonts w:ascii="Times New Roman" w:eastAsia="Times New Roman" w:hAnsi="Times New Roman" w:cs="Times New Roman"/>
          <w:color w:val="595959" w:themeColor="text1" w:themeTint="A6"/>
          <w:sz w:val="24"/>
          <w:szCs w:val="24"/>
          <w:lang w:eastAsia="es-ES"/>
        </w:rPr>
      </w:pPr>
      <w:bookmarkStart w:id="0" w:name="_GoBack"/>
      <w:bookmarkEnd w:id="0"/>
    </w:p>
    <w:sectPr w:rsidR="00734DAC" w:rsidRPr="009B3E44" w:rsidSect="003068DC">
      <w:headerReference w:type="default" r:id="rId19"/>
      <w:footerReference w:type="default" r:id="rId20"/>
      <w:pgSz w:w="12242" w:h="18722" w:code="5"/>
      <w:pgMar w:top="1418" w:right="1701" w:bottom="1418"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1E0" w:rsidRDefault="001A51E0" w:rsidP="0029283B">
      <w:pPr>
        <w:spacing w:after="0" w:line="240" w:lineRule="auto"/>
      </w:pPr>
      <w:r>
        <w:separator/>
      </w:r>
    </w:p>
  </w:endnote>
  <w:endnote w:type="continuationSeparator" w:id="0">
    <w:p w:rsidR="001A51E0" w:rsidRDefault="001A51E0"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8688" w:type="dxa"/>
      <w:tblInd w:w="-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1"/>
      <w:gridCol w:w="1843"/>
      <w:gridCol w:w="2268"/>
      <w:gridCol w:w="284"/>
      <w:gridCol w:w="236"/>
      <w:gridCol w:w="2316"/>
      <w:gridCol w:w="3930"/>
      <w:gridCol w:w="4060"/>
    </w:tblGrid>
    <w:tr w:rsidR="00111973" w:rsidRPr="00994887" w:rsidTr="00856F61">
      <w:trPr>
        <w:trHeight w:val="1135"/>
      </w:trPr>
      <w:tc>
        <w:tcPr>
          <w:tcW w:w="3751" w:type="dxa"/>
        </w:tcPr>
        <w:p w:rsidR="00111973" w:rsidRDefault="00111973" w:rsidP="00BB0306">
          <w:pPr>
            <w:tabs>
              <w:tab w:val="center" w:pos="4419"/>
              <w:tab w:val="right" w:pos="8838"/>
            </w:tabs>
            <w:rPr>
              <w:rFonts w:eastAsiaTheme="minorHAnsi"/>
              <w:lang w:eastAsia="en-US"/>
            </w:rPr>
          </w:pPr>
        </w:p>
        <w:p w:rsidR="00111973" w:rsidRPr="00634E8C" w:rsidRDefault="00111973" w:rsidP="00856F61">
          <w:pPr>
            <w:tabs>
              <w:tab w:val="right" w:pos="2396"/>
            </w:tabs>
            <w:ind w:left="665" w:firstLine="851"/>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843" w:type="dxa"/>
        </w:tcPr>
        <w:p w:rsidR="00111973" w:rsidRDefault="00111973" w:rsidP="00BB0306">
          <w:pPr>
            <w:tabs>
              <w:tab w:val="center" w:pos="4419"/>
              <w:tab w:val="right" w:pos="8838"/>
            </w:tabs>
            <w:rPr>
              <w:rFonts w:ascii="Arial Black" w:hAnsi="Arial Black" w:cs="Arial"/>
              <w:b/>
              <w:bCs/>
              <w:color w:val="0D0D0D" w:themeColor="text1" w:themeTint="F2"/>
              <w:sz w:val="18"/>
              <w:szCs w:val="20"/>
            </w:rPr>
          </w:pPr>
        </w:p>
        <w:p w:rsidR="00111973" w:rsidRPr="00634E8C" w:rsidRDefault="00111973" w:rsidP="00856F61">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 xml:space="preserve"> Versión: 02</w:t>
          </w:r>
        </w:p>
      </w:tc>
      <w:tc>
        <w:tcPr>
          <w:tcW w:w="2268" w:type="dxa"/>
        </w:tcPr>
        <w:p w:rsidR="00111973" w:rsidRDefault="00111973" w:rsidP="00856F61">
          <w:pPr>
            <w:tabs>
              <w:tab w:val="center" w:pos="4419"/>
              <w:tab w:val="right" w:pos="8838"/>
            </w:tabs>
            <w:rPr>
              <w:rFonts w:ascii="Arial Black" w:hAnsi="Arial Black" w:cs="Arial"/>
              <w:b/>
              <w:bCs/>
              <w:color w:val="0D0D0D" w:themeColor="text1" w:themeTint="F2"/>
              <w:sz w:val="18"/>
              <w:szCs w:val="20"/>
            </w:rPr>
          </w:pPr>
        </w:p>
        <w:p w:rsidR="00111973" w:rsidRPr="00634E8C" w:rsidRDefault="00111973" w:rsidP="00856F61">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284" w:type="dxa"/>
        </w:tcPr>
        <w:p w:rsidR="00111973" w:rsidRPr="00634E8C" w:rsidRDefault="00111973" w:rsidP="00BB0306">
          <w:pPr>
            <w:tabs>
              <w:tab w:val="center" w:pos="4419"/>
              <w:tab w:val="right" w:pos="8838"/>
            </w:tabs>
            <w:jc w:val="center"/>
            <w:rPr>
              <w:rFonts w:ascii="Arial Black" w:hAnsi="Arial Black" w:cs="Arial"/>
              <w:b/>
              <w:bCs/>
              <w:color w:val="0D0D0D" w:themeColor="text1" w:themeTint="F2"/>
              <w:sz w:val="18"/>
              <w:szCs w:val="20"/>
            </w:rPr>
          </w:pPr>
        </w:p>
      </w:tc>
      <w:tc>
        <w:tcPr>
          <w:tcW w:w="236" w:type="dxa"/>
          <w:vAlign w:val="center"/>
        </w:tcPr>
        <w:p w:rsidR="00111973" w:rsidRPr="0092378B" w:rsidRDefault="00111973" w:rsidP="00BB0306">
          <w:pPr>
            <w:pStyle w:val="Piedepgina"/>
            <w:ind w:left="665" w:right="38"/>
            <w:rPr>
              <w:rFonts w:ascii="Arial Black" w:hAnsi="Arial Black" w:cs="Arial"/>
              <w:sz w:val="16"/>
              <w:szCs w:val="16"/>
            </w:rPr>
          </w:pPr>
        </w:p>
      </w:tc>
      <w:tc>
        <w:tcPr>
          <w:tcW w:w="2316" w:type="dxa"/>
          <w:vAlign w:val="center"/>
        </w:tcPr>
        <w:p w:rsidR="00111973" w:rsidRPr="0092378B" w:rsidRDefault="00111973" w:rsidP="00BB0306">
          <w:pPr>
            <w:pStyle w:val="Piedepgina"/>
            <w:rPr>
              <w:rFonts w:ascii="Arial Black" w:hAnsi="Arial Black" w:cs="Arial"/>
              <w:sz w:val="16"/>
              <w:szCs w:val="16"/>
            </w:rPr>
          </w:pPr>
          <w:r w:rsidRPr="00BA2F06">
            <w:rPr>
              <w:noProof/>
              <w:lang w:val="es-CO" w:eastAsia="es-CO"/>
            </w:rPr>
            <w:drawing>
              <wp:inline distT="0" distB="0" distL="0" distR="0" wp14:anchorId="53AAF386" wp14:editId="604D4421">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c>
        <w:tcPr>
          <w:tcW w:w="3930" w:type="dxa"/>
          <w:vAlign w:val="center"/>
        </w:tcPr>
        <w:p w:rsidR="00111973" w:rsidRPr="0092378B" w:rsidRDefault="00111973" w:rsidP="00BB0306">
          <w:pPr>
            <w:pStyle w:val="Piedepgina"/>
            <w:jc w:val="center"/>
            <w:rPr>
              <w:rFonts w:ascii="Arial Black" w:hAnsi="Arial Black" w:cs="Arial"/>
              <w:sz w:val="16"/>
              <w:szCs w:val="16"/>
            </w:rPr>
          </w:pPr>
        </w:p>
      </w:tc>
      <w:tc>
        <w:tcPr>
          <w:tcW w:w="4060" w:type="dxa"/>
        </w:tcPr>
        <w:p w:rsidR="00111973" w:rsidRPr="00312574" w:rsidRDefault="00111973" w:rsidP="00BB0306">
          <w:pPr>
            <w:pStyle w:val="Piedepgina"/>
            <w:rPr>
              <w:rFonts w:ascii="Arial Black" w:hAnsi="Arial Black" w:cs="Arial"/>
              <w:bCs/>
              <w:color w:val="0D0D0D"/>
              <w:sz w:val="16"/>
              <w:szCs w:val="20"/>
            </w:rPr>
          </w:pPr>
        </w:p>
      </w:tc>
    </w:tr>
  </w:tbl>
  <w:sdt>
    <w:sdtPr>
      <w:rPr>
        <w:rFonts w:eastAsia="Calibri"/>
        <w:sz w:val="16"/>
      </w:rPr>
      <w:id w:val="-580138439"/>
      <w:docPartObj>
        <w:docPartGallery w:val="Page Numbers (Bottom of Page)"/>
        <w:docPartUnique/>
      </w:docPartObj>
    </w:sdtPr>
    <w:sdtEndPr>
      <w:rPr>
        <w:rFonts w:eastAsiaTheme="minorHAnsi"/>
        <w:sz w:val="22"/>
      </w:rPr>
    </w:sdtEndPr>
    <w:sdtContent>
      <w:p w:rsidR="00111973" w:rsidRDefault="00111973">
        <w:pPr>
          <w:pStyle w:val="Piedepgina"/>
          <w:jc w:val="right"/>
        </w:pPr>
        <w:r>
          <w:fldChar w:fldCharType="begin"/>
        </w:r>
        <w:r>
          <w:instrText>PAGE   \* MERGEFORMAT</w:instrText>
        </w:r>
        <w:r>
          <w:fldChar w:fldCharType="separate"/>
        </w:r>
        <w:r w:rsidR="00391E48">
          <w:rPr>
            <w:noProof/>
          </w:rPr>
          <w:t>15</w:t>
        </w:r>
        <w:r>
          <w:fldChar w:fldCharType="end"/>
        </w:r>
      </w:p>
    </w:sdtContent>
  </w:sdt>
  <w:p w:rsidR="00111973" w:rsidRDefault="00111973">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1E0" w:rsidRDefault="001A51E0" w:rsidP="0029283B">
      <w:pPr>
        <w:spacing w:after="0" w:line="240" w:lineRule="auto"/>
      </w:pPr>
      <w:r>
        <w:separator/>
      </w:r>
    </w:p>
  </w:footnote>
  <w:footnote w:type="continuationSeparator" w:id="0">
    <w:p w:rsidR="001A51E0" w:rsidRDefault="001A51E0" w:rsidP="0029283B">
      <w:pPr>
        <w:spacing w:after="0" w:line="240" w:lineRule="auto"/>
      </w:pPr>
      <w:r>
        <w:continuationSeparator/>
      </w:r>
    </w:p>
  </w:footnote>
  <w:footnote w:id="1">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Proceso radicado Nro. 11001-03-15-000-2009-00305-00</w:t>
      </w:r>
    </w:p>
  </w:footnote>
  <w:footnote w:id="2">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MX"/>
        </w:rPr>
        <w:t>Proceso radicado Nro. 11001-03-15-000-2009-00549-00</w:t>
      </w:r>
    </w:p>
  </w:footnote>
  <w:footnote w:id="3">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MX"/>
        </w:rPr>
        <w:t xml:space="preserve">Ibídem </w:t>
      </w:r>
    </w:p>
  </w:footnote>
  <w:footnote w:id="4">
    <w:p w:rsidR="00111973" w:rsidRPr="00B462BE" w:rsidRDefault="00111973" w:rsidP="00B462BE">
      <w:pPr>
        <w:pStyle w:val="Textonotapie"/>
        <w:jc w:val="both"/>
        <w:rPr>
          <w:rFonts w:ascii="Century Gothic" w:hAnsi="Century Gothic"/>
          <w:color w:val="595959" w:themeColor="text1" w:themeTint="A6"/>
          <w:sz w:val="16"/>
          <w:szCs w:val="16"/>
          <w:lang w:val="es-CO"/>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CO"/>
        </w:rPr>
        <w:t xml:space="preserve">CONSEJO DE ESTADO SALA PLENA DE LO CONTENCIOSO, providencia del cinco (5) de marzo de dos mil doce (2012) Radicación número: 11001-03-15-000-2010-00369-00(CA). </w:t>
      </w:r>
    </w:p>
  </w:footnote>
  <w:footnote w:id="5">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CONSEJO DE ESTADO, SALA PLENA DE LO CONTENCIOSO ADMINISTRATIVO, providencia del 24 de mayo de 2016, Radicación Nro.: 11001031500020150257800.</w:t>
      </w:r>
    </w:p>
  </w:footnote>
  <w:footnote w:id="6">
    <w:p w:rsidR="00111973" w:rsidRPr="00B462BE" w:rsidRDefault="00111973" w:rsidP="00B462BE">
      <w:pPr>
        <w:pStyle w:val="Textonotapie"/>
        <w:jc w:val="both"/>
        <w:rPr>
          <w:rFonts w:ascii="Century Gothic" w:hAnsi="Century Gothic"/>
          <w:i/>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MX"/>
        </w:rPr>
        <w:t xml:space="preserve">Corte Constitucional Sentencia C-204 de 2019 </w:t>
      </w:r>
      <w:r w:rsidRPr="00B462BE">
        <w:rPr>
          <w:rFonts w:ascii="Century Gothic" w:hAnsi="Century Gothic"/>
          <w:i/>
          <w:color w:val="595959" w:themeColor="text1" w:themeTint="A6"/>
          <w:sz w:val="16"/>
          <w:szCs w:val="16"/>
          <w:lang w:val="es-MX"/>
        </w:rPr>
        <w:t>“El mantenimiento del orden público es, en este sentido, una función estatal o pública que, con el fin de garantizar la convivencia y la vigencia de los derechos de las personas, introduce limitaciones necesarias, razonables, proporcionadas y no discriminatorias al ejercicio de los mismos, a través de, según el caso, el ejercicio de la función legislativa o de la función administrativa. Así, esta función pública puede materializarse en la expedición de normas generales o individuales o en su aplicación o la gestión material o concreta del orden público. Cuando se expiden normas generales, impersonales y abstractas, la jurisprudencia constitucional ha identificado que se trata del ejercicio del denominado poder de policía el que, en ejercicio de la función legislativa, radica en cabeza del Congreso de la República, de manera ordinaria, y del Presidente de la República, durante los estados de excepción (artículos 212 a 215 de la Constitución) y, en ejercicio de la función administrativa, sometida a la Ley, mediante la expedición de actos administrativos generales, corresponde al Presidente de la República, a las asambleas departamentales, a los gobernadores, a los concejos distritales y municipales y  a los alcaldes distritales y municipales. Cuando para el mantenimiento del orden público se recurre a la expedición de actos administrativos de contenido particular y también se adoptan medidas no normativas de naturaleza concreta, para el mantenimiento del orden público, se trata de la función de policía, en cabeza de ciertos ministerios, las superintendencias –ejemplo de las autoridades especializadas de policía-, los gobernadores, los alcaldes y los inspectores de policía, como función exclusivamente administrativa. Finalmente, la gestión material o concreta del orden público, por parte de los agentes de la Policía Nacional (artículo 218 de la Constitución), se trata de la actividad de policía.</w:t>
      </w:r>
    </w:p>
  </w:footnote>
  <w:footnote w:id="7">
    <w:p w:rsidR="00B462BE" w:rsidRPr="00B462BE" w:rsidRDefault="00B462BE" w:rsidP="00B462BE">
      <w:pPr>
        <w:pStyle w:val="Textonotapie"/>
        <w:jc w:val="both"/>
        <w:rPr>
          <w:rFonts w:ascii="Century Gothic" w:hAnsi="Century Gothic"/>
          <w:color w:val="595959" w:themeColor="text1" w:themeTint="A6"/>
          <w:sz w:val="16"/>
          <w:szCs w:val="16"/>
          <w:lang w:val="es-CO"/>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CO"/>
        </w:rPr>
        <w:t xml:space="preserve">Consejo de Estado Sala de lo Contenciosa Administrativo Sala Especial de Revisión No. 10, sentencia del 11 de mayo de 2020, </w:t>
      </w:r>
      <w:proofErr w:type="spellStart"/>
      <w:r w:rsidRPr="00B462BE">
        <w:rPr>
          <w:rFonts w:ascii="Century Gothic" w:hAnsi="Century Gothic"/>
          <w:color w:val="595959" w:themeColor="text1" w:themeTint="A6"/>
          <w:sz w:val="16"/>
          <w:szCs w:val="16"/>
          <w:lang w:val="es-CO"/>
        </w:rPr>
        <w:t>exp</w:t>
      </w:r>
      <w:proofErr w:type="spellEnd"/>
      <w:r w:rsidRPr="00B462BE">
        <w:rPr>
          <w:rFonts w:ascii="Century Gothic" w:hAnsi="Century Gothic"/>
          <w:color w:val="595959" w:themeColor="text1" w:themeTint="A6"/>
          <w:sz w:val="16"/>
          <w:szCs w:val="16"/>
          <w:lang w:val="es-CO"/>
        </w:rPr>
        <w:t>. 11001-03-15-000-2020-00944-00.MP Dra. SANDRA LISETT IBARRA VELEZ.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973" w:rsidRDefault="00111973" w:rsidP="00992539">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cs="Arial"/>
        <w:b/>
        <w:noProof/>
        <w:lang w:val="es-CO" w:eastAsia="es-CO"/>
      </w:rPr>
      <mc:AlternateContent>
        <mc:Choice Requires="wps">
          <w:drawing>
            <wp:anchor distT="0" distB="0" distL="114300" distR="114300" simplePos="0" relativeHeight="251664384" behindDoc="0" locked="0" layoutInCell="1" allowOverlap="1" wp14:anchorId="216C5FFC" wp14:editId="55AB1226">
              <wp:simplePos x="0" y="0"/>
              <wp:positionH relativeFrom="column">
                <wp:posOffset>1253414</wp:posOffset>
              </wp:positionH>
              <wp:positionV relativeFrom="paragraph">
                <wp:posOffset>10643</wp:posOffset>
              </wp:positionV>
              <wp:extent cx="3595370" cy="848563"/>
              <wp:effectExtent l="0" t="0" r="24130" b="27940"/>
              <wp:wrapNone/>
              <wp:docPr id="7" name="Cuadro de texto 7"/>
              <wp:cNvGraphicFramePr/>
              <a:graphic xmlns:a="http://schemas.openxmlformats.org/drawingml/2006/main">
                <a:graphicData uri="http://schemas.microsoft.com/office/word/2010/wordprocessingShape">
                  <wps:wsp>
                    <wps:cNvSpPr txBox="1"/>
                    <wps:spPr>
                      <a:xfrm>
                        <a:off x="0" y="0"/>
                        <a:ext cx="3595370" cy="84856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11973" w:rsidRPr="000B5CF6" w:rsidRDefault="00111973" w:rsidP="00B73A6C">
                          <w:pPr>
                            <w:pStyle w:val="NormalWeb"/>
                            <w:spacing w:before="0" w:beforeAutospacing="0" w:after="0" w:afterAutospacing="0"/>
                            <w:jc w:val="center"/>
                            <w:rPr>
                              <w:rFonts w:ascii="Arial Black" w:hAnsi="Arial Black"/>
                              <w:b/>
                              <w:sz w:val="20"/>
                            </w:rPr>
                          </w:pPr>
                        </w:p>
                        <w:p w:rsidR="00111973"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111973" w:rsidRDefault="00111973"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65659A">
                            <w:rPr>
                              <w:rFonts w:ascii="Arial Black" w:hAnsi="Arial Black"/>
                              <w:b/>
                              <w:sz w:val="20"/>
                            </w:rPr>
                            <w:t>06</w:t>
                          </w:r>
                          <w:r w:rsidR="0085189C">
                            <w:rPr>
                              <w:rFonts w:ascii="Arial Black" w:hAnsi="Arial Black"/>
                              <w:b/>
                              <w:sz w:val="20"/>
                            </w:rPr>
                            <w:t>7</w:t>
                          </w:r>
                          <w:r>
                            <w:rPr>
                              <w:rFonts w:ascii="Arial Black" w:hAnsi="Arial Black"/>
                              <w:b/>
                              <w:sz w:val="20"/>
                            </w:rPr>
                            <w:t>/2020</w:t>
                          </w:r>
                          <w:r w:rsidRPr="000B5CF6">
                            <w:rPr>
                              <w:rFonts w:ascii="Arial Black" w:hAnsi="Arial Black"/>
                              <w:b/>
                              <w:sz w:val="20"/>
                            </w:rPr>
                            <w:t xml:space="preserve"> </w:t>
                          </w:r>
                        </w:p>
                        <w:p w:rsidR="00111973" w:rsidRPr="000B5CF6"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rsidR="00111973" w:rsidRPr="000B5CF6" w:rsidRDefault="00111973" w:rsidP="00BF2180">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6C5FFC" id="_x0000_t202" coordsize="21600,21600" o:spt="202" path="m,l,21600r21600,l21600,xe">
              <v:stroke joinstyle="miter"/>
              <v:path gradientshapeok="t" o:connecttype="rect"/>
            </v:shapetype>
            <v:shape id="Cuadro de texto 7" o:spid="_x0000_s1026" type="#_x0000_t202" style="position:absolute;margin-left:98.7pt;margin-top:.85pt;width:283.1pt;height: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j9kQIAAJEFAAAOAAAAZHJzL2Uyb0RvYy54bWysVEtvGyEQvlfqf0Dcm7VjO06srCPXUapK&#10;URM1qXLGLNiowFDA3nV/fQd217bSXFL1sgvMN69vHtc3jdFkJ3xQYEs6PBtQIiyHStl1SX883326&#10;pCREZiumwYqS7kWgN/OPH65rNxPnsAFdCU/QiA2z2pV0E6ObFUXgG2FYOAMnLAoleMMiXv26qDyr&#10;0brRxflgcFHU4CvngYsQ8PW2FdJ5ti+l4PFByiAi0SXF2GL++vxdpW8xv2aztWduo3gXBvuHKAxT&#10;Fp0eTN2yyMjWq79MGcU9BJDxjIMpQErFRc4BsxkOXmXztGFO5FyQnOAONIX/Z5Z/2z16oqqSTimx&#10;zGCJlltWeSCVIFE0Ecg0kVS7MEPsk0N0bD5Dg8Xu3wM+ptwb6U36Y1YE5Uj3/kAxWiIcH0eTq8lo&#10;iiKOssvx5eRilMwUR23nQ/wiwJB0KKnHEmZm2e4+xBbaQ5IzC3dK61xGbUld0ovRZJAVAmhVJWGC&#10;5YYSS+3JjmErrNY5enR7gsKbtgkscuN07lLmbYb5FPdaJIy234VE4nKib3hgnAsbey8ZnVAS43mP&#10;Yoc/RvUe5TYP1MiewcaDslEWfMtSmrQjMdXPPmTZ4rE2J3mnY2xWTdcRK6j22BAe2rkKjt8prNo9&#10;C/GReRwkLDQuh/iAH6kBqwPdiZIN+N9vvSc89jdKKalxMEsafm2ZF5TorxY7/2o4HqdJzpfxZHqO&#10;F38qWZ1K7NYsAQs+xDXkeD4mfNT9UXowL7hDFskripjl6LuksT8uY7sucAdxsVhkEM6uY/HePjme&#10;TCd6U08+Ny/Mu65x0/B8g36E2exV/7bYpGlhsY0gVW7uRHDLakc8zn0ej25HpcVyes+o4yad/wEA&#10;AP//AwBQSwMEFAAGAAgAAAAhAPyYTh3fAAAACQEAAA8AAABkcnMvZG93bnJldi54bWxMj8FOwzAQ&#10;RO9I/IO1SNyoQwNJG+JUgMqlPQBtP8CNlyRqvI5iJ035epYT3PZpRrMz+WqyrRix940jBfezCARS&#10;6UxDlYLD/u1uAcIHTUa3jlDBBT2siuurXGfGnekTx12oBIeQz7SCOoQuk9KXNVrtZ65DYu3L9VYH&#10;xr6SptdnDretnEdRIq1uiD/UusPXGsvTbrAKlnZ9Sod2uxk/uu/LMPeHzfvLWqnbm+n5CUTAKfyZ&#10;4bc+V4eCOx3dQMaLlnmZPrCVjxQE62kSJyCOzPFjDLLI5f8FxQ8AAAD//wMAUEsBAi0AFAAGAAgA&#10;AAAhALaDOJL+AAAA4QEAABMAAAAAAAAAAAAAAAAAAAAAAFtDb250ZW50X1R5cGVzXS54bWxQSwEC&#10;LQAUAAYACAAAACEAOP0h/9YAAACUAQAACwAAAAAAAAAAAAAAAAAvAQAAX3JlbHMvLnJlbHNQSwEC&#10;LQAUAAYACAAAACEAAnuY/ZECAACRBQAADgAAAAAAAAAAAAAAAAAuAgAAZHJzL2Uyb0RvYy54bWxQ&#10;SwECLQAUAAYACAAAACEA/JhOHd8AAAAJAQAADwAAAAAAAAAAAAAAAADrBAAAZHJzL2Rvd25yZXYu&#10;eG1sUEsFBgAAAAAEAAQA8wAAAPcFAAAAAA==&#10;" filled="f" strokecolor="white [3212]" strokeweight=".5pt">
              <v:textbox>
                <w:txbxContent>
                  <w:p w:rsidR="00111973" w:rsidRPr="000B5CF6" w:rsidRDefault="00111973" w:rsidP="00B73A6C">
                    <w:pPr>
                      <w:pStyle w:val="NormalWeb"/>
                      <w:spacing w:before="0" w:beforeAutospacing="0" w:after="0" w:afterAutospacing="0"/>
                      <w:jc w:val="center"/>
                      <w:rPr>
                        <w:rFonts w:ascii="Arial Black" w:hAnsi="Arial Black"/>
                        <w:b/>
                        <w:sz w:val="20"/>
                      </w:rPr>
                    </w:pPr>
                  </w:p>
                  <w:p w:rsidR="00111973"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111973" w:rsidRDefault="00111973"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65659A">
                      <w:rPr>
                        <w:rFonts w:ascii="Arial Black" w:hAnsi="Arial Black"/>
                        <w:b/>
                        <w:sz w:val="20"/>
                      </w:rPr>
                      <w:t>06</w:t>
                    </w:r>
                    <w:r w:rsidR="0085189C">
                      <w:rPr>
                        <w:rFonts w:ascii="Arial Black" w:hAnsi="Arial Black"/>
                        <w:b/>
                        <w:sz w:val="20"/>
                      </w:rPr>
                      <w:t>7</w:t>
                    </w:r>
                    <w:r>
                      <w:rPr>
                        <w:rFonts w:ascii="Arial Black" w:hAnsi="Arial Black"/>
                        <w:b/>
                        <w:sz w:val="20"/>
                      </w:rPr>
                      <w:t>/2020</w:t>
                    </w:r>
                    <w:r w:rsidRPr="000B5CF6">
                      <w:rPr>
                        <w:rFonts w:ascii="Arial Black" w:hAnsi="Arial Black"/>
                        <w:b/>
                        <w:sz w:val="20"/>
                      </w:rPr>
                      <w:t xml:space="preserve"> </w:t>
                    </w:r>
                  </w:p>
                  <w:p w:rsidR="00111973" w:rsidRPr="000B5CF6"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rsidR="00111973" w:rsidRPr="000B5CF6" w:rsidRDefault="00111973" w:rsidP="00BF2180">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Pr>
        <w:rFonts w:ascii="Arial Black" w:hAnsi="Arial Black"/>
        <w:b/>
        <w:noProof/>
        <w:color w:val="000000"/>
        <w:sz w:val="20"/>
        <w:szCs w:val="20"/>
        <w:lang w:val="es-CO" w:eastAsia="es-CO"/>
      </w:rPr>
      <w:drawing>
        <wp:anchor distT="0" distB="0" distL="114300" distR="114300" simplePos="0" relativeHeight="251670528" behindDoc="1" locked="0" layoutInCell="1" allowOverlap="1" wp14:anchorId="1EE42036" wp14:editId="30B47A61">
          <wp:simplePos x="0" y="0"/>
          <wp:positionH relativeFrom="column">
            <wp:posOffset>-295275</wp:posOffset>
          </wp:positionH>
          <wp:positionV relativeFrom="paragraph">
            <wp:posOffset>104140</wp:posOffset>
          </wp:positionV>
          <wp:extent cx="1682496" cy="542008"/>
          <wp:effectExtent l="0" t="0" r="0" b="0"/>
          <wp:wrapTight wrapText="bothSides">
            <wp:wrapPolygon edited="0">
              <wp:start x="0" y="0"/>
              <wp:lineTo x="0" y="20511"/>
              <wp:lineTo x="21282" y="20511"/>
              <wp:lineTo x="2128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Pr="00F43C6E">
      <w:rPr>
        <w:rFonts w:ascii="Century Gothic" w:eastAsia="Calibri" w:hAnsi="Century Gothic" w:cs="Arial"/>
        <w:b/>
        <w:noProof/>
        <w:lang w:val="es-CO" w:eastAsia="es-CO"/>
      </w:rPr>
      <w:drawing>
        <wp:anchor distT="0" distB="0" distL="114300" distR="114300" simplePos="0" relativeHeight="251666432" behindDoc="0" locked="0" layoutInCell="1" allowOverlap="1" wp14:anchorId="109C4112" wp14:editId="557916CB">
          <wp:simplePos x="0" y="0"/>
          <wp:positionH relativeFrom="column">
            <wp:posOffset>4886325</wp:posOffset>
          </wp:positionH>
          <wp:positionV relativeFrom="paragraph">
            <wp:posOffset>7620</wp:posOffset>
          </wp:positionV>
          <wp:extent cx="1134324" cy="624840"/>
          <wp:effectExtent l="0" t="0" r="889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b/>
        <w:color w:val="000000"/>
        <w:sz w:val="20"/>
        <w:szCs w:val="20"/>
        <w14:textOutline w14:w="12700" w14:cap="rnd" w14:cmpd="sng" w14:algn="ctr">
          <w14:noFill/>
          <w14:prstDash w14:val="solid"/>
          <w14:bevel/>
        </w14:textOutline>
      </w:rPr>
      <w:t xml:space="preserve">                         </w:t>
    </w:r>
  </w:p>
  <w:p w:rsidR="00111973" w:rsidRDefault="00111973" w:rsidP="003A231E">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rsidR="00111973" w:rsidRDefault="00111973"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rsidR="00111973" w:rsidRDefault="00111973" w:rsidP="003A231E">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rsidR="00111973" w:rsidRPr="00D05715" w:rsidRDefault="00111973"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rsidR="00111973" w:rsidRDefault="00111973" w:rsidP="00207396">
    <w:pPr>
      <w:pStyle w:val="Encabezado"/>
      <w:jc w:val="center"/>
    </w:pPr>
  </w:p>
  <w:p w:rsidR="00111973" w:rsidRDefault="00111973" w:rsidP="008B3965">
    <w:pPr>
      <w:pStyle w:val="Encabezado"/>
      <w:tabs>
        <w:tab w:val="left" w:pos="6855"/>
      </w:tabs>
      <w:jc w:val="right"/>
      <w:rPr>
        <w:rFonts w:ascii="Arial" w:hAnsi="Arial" w:cs="Arial"/>
        <w:b/>
        <w:sz w:val="20"/>
        <w:szCs w:val="20"/>
      </w:rPr>
    </w:pPr>
    <w:r w:rsidRPr="005C7B74">
      <w:rPr>
        <w:rFonts w:ascii="Arial" w:hAnsi="Arial" w:cs="Arial"/>
        <w:b/>
        <w:sz w:val="20"/>
        <w:szCs w:val="20"/>
      </w:rPr>
      <w:t>13-001-23-33-000-2020-00</w:t>
    </w:r>
    <w:r w:rsidR="00936C71">
      <w:rPr>
        <w:rFonts w:ascii="Arial" w:hAnsi="Arial" w:cs="Arial"/>
        <w:b/>
        <w:sz w:val="20"/>
        <w:szCs w:val="20"/>
      </w:rPr>
      <w:t>28</w:t>
    </w:r>
    <w:r w:rsidR="0085189C">
      <w:rPr>
        <w:rFonts w:ascii="Arial" w:hAnsi="Arial" w:cs="Arial"/>
        <w:b/>
        <w:sz w:val="20"/>
        <w:szCs w:val="20"/>
      </w:rPr>
      <w:t>2</w:t>
    </w:r>
    <w:r w:rsidRPr="005C7B74">
      <w:rPr>
        <w:rFonts w:ascii="Arial" w:hAnsi="Arial" w:cs="Arial"/>
        <w:b/>
        <w:sz w:val="20"/>
        <w:szCs w:val="20"/>
      </w:rPr>
      <w:t>-00</w:t>
    </w:r>
  </w:p>
  <w:p w:rsidR="00111973" w:rsidRDefault="00111973" w:rsidP="008B3965">
    <w:pPr>
      <w:pStyle w:val="Encabezado"/>
      <w:tabs>
        <w:tab w:val="left" w:pos="6855"/>
      </w:tabs>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776"/>
    <w:multiLevelType w:val="hybridMultilevel"/>
    <w:tmpl w:val="CFFEE150"/>
    <w:lvl w:ilvl="0" w:tplc="A8C65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E43C4"/>
    <w:multiLevelType w:val="hybridMultilevel"/>
    <w:tmpl w:val="C9F09CD4"/>
    <w:lvl w:ilvl="0" w:tplc="78E43AB6">
      <w:start w:val="1"/>
      <w:numFmt w:val="low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2">
    <w:nsid w:val="466C5565"/>
    <w:multiLevelType w:val="multilevel"/>
    <w:tmpl w:val="6DE2DFC6"/>
    <w:lvl w:ilvl="0">
      <w:start w:val="1"/>
      <w:numFmt w:val="decimal"/>
      <w:lvlText w:val="%1."/>
      <w:lvlJc w:val="left"/>
      <w:pPr>
        <w:ind w:left="1778" w:hanging="360"/>
      </w:pPr>
      <w:rPr>
        <w:rFonts w:hint="default"/>
        <w:b/>
      </w:rPr>
    </w:lvl>
    <w:lvl w:ilvl="1">
      <w:start w:val="7"/>
      <w:numFmt w:val="decimal"/>
      <w:isLgl/>
      <w:lvlText w:val="%1.%2."/>
      <w:lvlJc w:val="left"/>
      <w:pPr>
        <w:ind w:left="750" w:hanging="390"/>
      </w:pPr>
      <w:rPr>
        <w:rFonts w:ascii="Century Gothic" w:hAnsi="Century Gothic" w:hint="default"/>
        <w:color w:val="404040"/>
      </w:rPr>
    </w:lvl>
    <w:lvl w:ilvl="2">
      <w:start w:val="1"/>
      <w:numFmt w:val="decimal"/>
      <w:isLgl/>
      <w:lvlText w:val="%1.%2.%3."/>
      <w:lvlJc w:val="left"/>
      <w:pPr>
        <w:ind w:left="1080" w:hanging="720"/>
      </w:pPr>
      <w:rPr>
        <w:rFonts w:ascii="Century Gothic" w:hAnsi="Century Gothic" w:hint="default"/>
        <w:color w:val="404040"/>
      </w:rPr>
    </w:lvl>
    <w:lvl w:ilvl="3">
      <w:start w:val="1"/>
      <w:numFmt w:val="decimal"/>
      <w:isLgl/>
      <w:lvlText w:val="%1.%2.%3.%4."/>
      <w:lvlJc w:val="left"/>
      <w:pPr>
        <w:ind w:left="1080" w:hanging="720"/>
      </w:pPr>
      <w:rPr>
        <w:rFonts w:ascii="Century Gothic" w:hAnsi="Century Gothic" w:hint="default"/>
        <w:color w:val="404040"/>
      </w:rPr>
    </w:lvl>
    <w:lvl w:ilvl="4">
      <w:start w:val="1"/>
      <w:numFmt w:val="decimal"/>
      <w:isLgl/>
      <w:lvlText w:val="%1.%2.%3.%4.%5."/>
      <w:lvlJc w:val="left"/>
      <w:pPr>
        <w:ind w:left="1440" w:hanging="1080"/>
      </w:pPr>
      <w:rPr>
        <w:rFonts w:ascii="Century Gothic" w:hAnsi="Century Gothic" w:hint="default"/>
        <w:color w:val="404040"/>
      </w:rPr>
    </w:lvl>
    <w:lvl w:ilvl="5">
      <w:start w:val="1"/>
      <w:numFmt w:val="decimal"/>
      <w:isLgl/>
      <w:lvlText w:val="%1.%2.%3.%4.%5.%6."/>
      <w:lvlJc w:val="left"/>
      <w:pPr>
        <w:ind w:left="1440" w:hanging="1080"/>
      </w:pPr>
      <w:rPr>
        <w:rFonts w:ascii="Century Gothic" w:hAnsi="Century Gothic" w:hint="default"/>
        <w:color w:val="404040"/>
      </w:rPr>
    </w:lvl>
    <w:lvl w:ilvl="6">
      <w:start w:val="1"/>
      <w:numFmt w:val="decimal"/>
      <w:isLgl/>
      <w:lvlText w:val="%1.%2.%3.%4.%5.%6.%7."/>
      <w:lvlJc w:val="left"/>
      <w:pPr>
        <w:ind w:left="1800" w:hanging="1440"/>
      </w:pPr>
      <w:rPr>
        <w:rFonts w:ascii="Century Gothic" w:hAnsi="Century Gothic" w:hint="default"/>
        <w:color w:val="404040"/>
      </w:rPr>
    </w:lvl>
    <w:lvl w:ilvl="7">
      <w:start w:val="1"/>
      <w:numFmt w:val="decimal"/>
      <w:isLgl/>
      <w:lvlText w:val="%1.%2.%3.%4.%5.%6.%7.%8."/>
      <w:lvlJc w:val="left"/>
      <w:pPr>
        <w:ind w:left="1800" w:hanging="1440"/>
      </w:pPr>
      <w:rPr>
        <w:rFonts w:ascii="Century Gothic" w:hAnsi="Century Gothic" w:hint="default"/>
        <w:color w:val="404040"/>
      </w:rPr>
    </w:lvl>
    <w:lvl w:ilvl="8">
      <w:start w:val="1"/>
      <w:numFmt w:val="decimal"/>
      <w:isLgl/>
      <w:lvlText w:val="%1.%2.%3.%4.%5.%6.%7.%8.%9."/>
      <w:lvlJc w:val="left"/>
      <w:pPr>
        <w:ind w:left="2160" w:hanging="1800"/>
      </w:pPr>
      <w:rPr>
        <w:rFonts w:ascii="Century Gothic" w:hAnsi="Century Gothic" w:hint="default"/>
        <w:color w:val="404040"/>
      </w:rPr>
    </w:lvl>
  </w:abstractNum>
  <w:abstractNum w:abstractNumId="3">
    <w:nsid w:val="4A015A86"/>
    <w:multiLevelType w:val="hybridMultilevel"/>
    <w:tmpl w:val="52B6A424"/>
    <w:lvl w:ilvl="0" w:tplc="C48E06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077A0"/>
    <w:multiLevelType w:val="hybridMultilevel"/>
    <w:tmpl w:val="99D4C14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27349A5"/>
    <w:multiLevelType w:val="hybridMultilevel"/>
    <w:tmpl w:val="AE80E9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40A0734"/>
    <w:multiLevelType w:val="hybridMultilevel"/>
    <w:tmpl w:val="771016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start w:val="1"/>
      <w:numFmt w:val="bullet"/>
      <w:lvlText w:val=""/>
      <w:lvlJc w:val="left"/>
      <w:pPr>
        <w:ind w:left="36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E0848A8"/>
    <w:multiLevelType w:val="hybridMultilevel"/>
    <w:tmpl w:val="6996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028A0"/>
    <w:rsid w:val="00021AA9"/>
    <w:rsid w:val="00026027"/>
    <w:rsid w:val="00026CC2"/>
    <w:rsid w:val="00034DB7"/>
    <w:rsid w:val="0004202D"/>
    <w:rsid w:val="000478D8"/>
    <w:rsid w:val="0006113A"/>
    <w:rsid w:val="00071C51"/>
    <w:rsid w:val="0008202B"/>
    <w:rsid w:val="00094821"/>
    <w:rsid w:val="00095447"/>
    <w:rsid w:val="000A22F8"/>
    <w:rsid w:val="000A487D"/>
    <w:rsid w:val="000B013B"/>
    <w:rsid w:val="000B4875"/>
    <w:rsid w:val="000B5CF6"/>
    <w:rsid w:val="000C0538"/>
    <w:rsid w:val="000C0CC9"/>
    <w:rsid w:val="000C2106"/>
    <w:rsid w:val="000C475E"/>
    <w:rsid w:val="000C5DD0"/>
    <w:rsid w:val="000C72E3"/>
    <w:rsid w:val="000D158F"/>
    <w:rsid w:val="000D296C"/>
    <w:rsid w:val="000E1B74"/>
    <w:rsid w:val="000E78F3"/>
    <w:rsid w:val="0010738F"/>
    <w:rsid w:val="00111973"/>
    <w:rsid w:val="00113736"/>
    <w:rsid w:val="00113A02"/>
    <w:rsid w:val="00115BD3"/>
    <w:rsid w:val="00117F9B"/>
    <w:rsid w:val="00131A41"/>
    <w:rsid w:val="00133731"/>
    <w:rsid w:val="0015225A"/>
    <w:rsid w:val="001562B3"/>
    <w:rsid w:val="0016530F"/>
    <w:rsid w:val="00175E0C"/>
    <w:rsid w:val="00196DE1"/>
    <w:rsid w:val="001A51E0"/>
    <w:rsid w:val="001C6096"/>
    <w:rsid w:val="001D5A3E"/>
    <w:rsid w:val="001E1EF3"/>
    <w:rsid w:val="001F0C82"/>
    <w:rsid w:val="00203684"/>
    <w:rsid w:val="002057A5"/>
    <w:rsid w:val="0020653D"/>
    <w:rsid w:val="00207396"/>
    <w:rsid w:val="0021459F"/>
    <w:rsid w:val="00216B7E"/>
    <w:rsid w:val="00222A41"/>
    <w:rsid w:val="00222A8C"/>
    <w:rsid w:val="00233076"/>
    <w:rsid w:val="00241DE1"/>
    <w:rsid w:val="00242B86"/>
    <w:rsid w:val="0024332A"/>
    <w:rsid w:val="002529E0"/>
    <w:rsid w:val="00256746"/>
    <w:rsid w:val="00261E9C"/>
    <w:rsid w:val="002675DD"/>
    <w:rsid w:val="0027092C"/>
    <w:rsid w:val="00274B70"/>
    <w:rsid w:val="00277394"/>
    <w:rsid w:val="002824A4"/>
    <w:rsid w:val="00283C1F"/>
    <w:rsid w:val="002862F0"/>
    <w:rsid w:val="0028724A"/>
    <w:rsid w:val="0029283B"/>
    <w:rsid w:val="00294678"/>
    <w:rsid w:val="002A042B"/>
    <w:rsid w:val="002A7545"/>
    <w:rsid w:val="002B4AE6"/>
    <w:rsid w:val="002C6AF2"/>
    <w:rsid w:val="002C7A5F"/>
    <w:rsid w:val="002D05BF"/>
    <w:rsid w:val="002E30DF"/>
    <w:rsid w:val="002F2AF8"/>
    <w:rsid w:val="002F5833"/>
    <w:rsid w:val="002F58A2"/>
    <w:rsid w:val="002F72FF"/>
    <w:rsid w:val="00300D95"/>
    <w:rsid w:val="003068DC"/>
    <w:rsid w:val="0030727B"/>
    <w:rsid w:val="00312574"/>
    <w:rsid w:val="003153F8"/>
    <w:rsid w:val="00324224"/>
    <w:rsid w:val="0033045B"/>
    <w:rsid w:val="00347346"/>
    <w:rsid w:val="003529E6"/>
    <w:rsid w:val="00353E08"/>
    <w:rsid w:val="00355589"/>
    <w:rsid w:val="00360187"/>
    <w:rsid w:val="00364148"/>
    <w:rsid w:val="00364358"/>
    <w:rsid w:val="003821AB"/>
    <w:rsid w:val="003825F1"/>
    <w:rsid w:val="00391E48"/>
    <w:rsid w:val="0039575F"/>
    <w:rsid w:val="00395F4D"/>
    <w:rsid w:val="003968E1"/>
    <w:rsid w:val="00396E18"/>
    <w:rsid w:val="003A078C"/>
    <w:rsid w:val="003A231E"/>
    <w:rsid w:val="003A447A"/>
    <w:rsid w:val="003A48E0"/>
    <w:rsid w:val="003B3F3E"/>
    <w:rsid w:val="003B63CE"/>
    <w:rsid w:val="003D320A"/>
    <w:rsid w:val="003D6AF0"/>
    <w:rsid w:val="003E629B"/>
    <w:rsid w:val="003E62D4"/>
    <w:rsid w:val="004008F7"/>
    <w:rsid w:val="00403BEE"/>
    <w:rsid w:val="00422E5A"/>
    <w:rsid w:val="00437783"/>
    <w:rsid w:val="00441245"/>
    <w:rsid w:val="00462173"/>
    <w:rsid w:val="0046569F"/>
    <w:rsid w:val="00471405"/>
    <w:rsid w:val="00482503"/>
    <w:rsid w:val="004907AF"/>
    <w:rsid w:val="004A1CD2"/>
    <w:rsid w:val="004A7FDB"/>
    <w:rsid w:val="004B45D3"/>
    <w:rsid w:val="004B5F2D"/>
    <w:rsid w:val="004C1CC5"/>
    <w:rsid w:val="004C7DE4"/>
    <w:rsid w:val="004E10D6"/>
    <w:rsid w:val="004E281D"/>
    <w:rsid w:val="004E56E6"/>
    <w:rsid w:val="00515974"/>
    <w:rsid w:val="00532C10"/>
    <w:rsid w:val="00537EA4"/>
    <w:rsid w:val="00543ED6"/>
    <w:rsid w:val="00557074"/>
    <w:rsid w:val="00564D70"/>
    <w:rsid w:val="005807B1"/>
    <w:rsid w:val="00582282"/>
    <w:rsid w:val="0059255D"/>
    <w:rsid w:val="005936C0"/>
    <w:rsid w:val="00594AE1"/>
    <w:rsid w:val="00596E0B"/>
    <w:rsid w:val="005978DA"/>
    <w:rsid w:val="005A7BE7"/>
    <w:rsid w:val="005B4EB4"/>
    <w:rsid w:val="005C2431"/>
    <w:rsid w:val="005C2EF9"/>
    <w:rsid w:val="005C7B74"/>
    <w:rsid w:val="005D240A"/>
    <w:rsid w:val="005E6D22"/>
    <w:rsid w:val="005E6F7F"/>
    <w:rsid w:val="005E7ACD"/>
    <w:rsid w:val="005F4F99"/>
    <w:rsid w:val="005F6F11"/>
    <w:rsid w:val="00603802"/>
    <w:rsid w:val="006122B5"/>
    <w:rsid w:val="00631585"/>
    <w:rsid w:val="00636378"/>
    <w:rsid w:val="0065659A"/>
    <w:rsid w:val="00661A67"/>
    <w:rsid w:val="00672A53"/>
    <w:rsid w:val="00675ED2"/>
    <w:rsid w:val="006829DC"/>
    <w:rsid w:val="0069683E"/>
    <w:rsid w:val="00697D8F"/>
    <w:rsid w:val="006A123F"/>
    <w:rsid w:val="006A35EB"/>
    <w:rsid w:val="006A7764"/>
    <w:rsid w:val="006B3A92"/>
    <w:rsid w:val="006B58BA"/>
    <w:rsid w:val="006D675F"/>
    <w:rsid w:val="006E66C8"/>
    <w:rsid w:val="006F368C"/>
    <w:rsid w:val="006F78A5"/>
    <w:rsid w:val="00706B0D"/>
    <w:rsid w:val="0072160E"/>
    <w:rsid w:val="00730DB3"/>
    <w:rsid w:val="00734DAC"/>
    <w:rsid w:val="00736EAE"/>
    <w:rsid w:val="00742F6A"/>
    <w:rsid w:val="00753A4C"/>
    <w:rsid w:val="00754591"/>
    <w:rsid w:val="0076677D"/>
    <w:rsid w:val="00774228"/>
    <w:rsid w:val="00782570"/>
    <w:rsid w:val="00794249"/>
    <w:rsid w:val="00795D7B"/>
    <w:rsid w:val="007A0136"/>
    <w:rsid w:val="007A40D3"/>
    <w:rsid w:val="007A7C8B"/>
    <w:rsid w:val="007B0751"/>
    <w:rsid w:val="007C33B5"/>
    <w:rsid w:val="007C7C2B"/>
    <w:rsid w:val="007D5EBB"/>
    <w:rsid w:val="007D7C96"/>
    <w:rsid w:val="007E1974"/>
    <w:rsid w:val="007E4191"/>
    <w:rsid w:val="007E4515"/>
    <w:rsid w:val="00806649"/>
    <w:rsid w:val="008068F5"/>
    <w:rsid w:val="00846496"/>
    <w:rsid w:val="0085189C"/>
    <w:rsid w:val="00856F61"/>
    <w:rsid w:val="00865117"/>
    <w:rsid w:val="00865964"/>
    <w:rsid w:val="0087212C"/>
    <w:rsid w:val="00875386"/>
    <w:rsid w:val="008A7E91"/>
    <w:rsid w:val="008B299E"/>
    <w:rsid w:val="008B2D92"/>
    <w:rsid w:val="008B371C"/>
    <w:rsid w:val="008B3965"/>
    <w:rsid w:val="008B6E78"/>
    <w:rsid w:val="008C74EF"/>
    <w:rsid w:val="008C7DED"/>
    <w:rsid w:val="008D2822"/>
    <w:rsid w:val="008D2DA2"/>
    <w:rsid w:val="008D53B6"/>
    <w:rsid w:val="00907A5A"/>
    <w:rsid w:val="0092378B"/>
    <w:rsid w:val="009268B3"/>
    <w:rsid w:val="0092780C"/>
    <w:rsid w:val="00932AC4"/>
    <w:rsid w:val="00933FBD"/>
    <w:rsid w:val="00936C71"/>
    <w:rsid w:val="00937359"/>
    <w:rsid w:val="00955F8D"/>
    <w:rsid w:val="00981626"/>
    <w:rsid w:val="00985D4B"/>
    <w:rsid w:val="0099064A"/>
    <w:rsid w:val="00992539"/>
    <w:rsid w:val="00996FB1"/>
    <w:rsid w:val="00997B3C"/>
    <w:rsid w:val="009A004A"/>
    <w:rsid w:val="009A19C0"/>
    <w:rsid w:val="009A2F7D"/>
    <w:rsid w:val="009B3E44"/>
    <w:rsid w:val="009D34D4"/>
    <w:rsid w:val="009D36D9"/>
    <w:rsid w:val="009D4B50"/>
    <w:rsid w:val="009E2BFC"/>
    <w:rsid w:val="009E3925"/>
    <w:rsid w:val="009E44B0"/>
    <w:rsid w:val="009F36F0"/>
    <w:rsid w:val="009F3AC6"/>
    <w:rsid w:val="009F7B6D"/>
    <w:rsid w:val="00A0365F"/>
    <w:rsid w:val="00A10991"/>
    <w:rsid w:val="00A1151A"/>
    <w:rsid w:val="00A12EE0"/>
    <w:rsid w:val="00A16079"/>
    <w:rsid w:val="00A20B62"/>
    <w:rsid w:val="00A24132"/>
    <w:rsid w:val="00A250D9"/>
    <w:rsid w:val="00A362F4"/>
    <w:rsid w:val="00A373E1"/>
    <w:rsid w:val="00A379B9"/>
    <w:rsid w:val="00A44054"/>
    <w:rsid w:val="00A54997"/>
    <w:rsid w:val="00A65478"/>
    <w:rsid w:val="00A8117F"/>
    <w:rsid w:val="00A83243"/>
    <w:rsid w:val="00A854DF"/>
    <w:rsid w:val="00A85954"/>
    <w:rsid w:val="00AA0CD2"/>
    <w:rsid w:val="00AC2A49"/>
    <w:rsid w:val="00AC4A11"/>
    <w:rsid w:val="00AE3686"/>
    <w:rsid w:val="00AE3731"/>
    <w:rsid w:val="00AE529C"/>
    <w:rsid w:val="00AF49D5"/>
    <w:rsid w:val="00AF6982"/>
    <w:rsid w:val="00B03E6C"/>
    <w:rsid w:val="00B07EB9"/>
    <w:rsid w:val="00B10E7E"/>
    <w:rsid w:val="00B11516"/>
    <w:rsid w:val="00B117F2"/>
    <w:rsid w:val="00B1516A"/>
    <w:rsid w:val="00B17E66"/>
    <w:rsid w:val="00B2473C"/>
    <w:rsid w:val="00B3061D"/>
    <w:rsid w:val="00B4126D"/>
    <w:rsid w:val="00B42960"/>
    <w:rsid w:val="00B4349F"/>
    <w:rsid w:val="00B462BE"/>
    <w:rsid w:val="00B4635C"/>
    <w:rsid w:val="00B54C85"/>
    <w:rsid w:val="00B60AEA"/>
    <w:rsid w:val="00B6189C"/>
    <w:rsid w:val="00B632DE"/>
    <w:rsid w:val="00B70274"/>
    <w:rsid w:val="00B73A6C"/>
    <w:rsid w:val="00B831BB"/>
    <w:rsid w:val="00B920BF"/>
    <w:rsid w:val="00BA3BB4"/>
    <w:rsid w:val="00BA4E0E"/>
    <w:rsid w:val="00BA5293"/>
    <w:rsid w:val="00BB0306"/>
    <w:rsid w:val="00BB200D"/>
    <w:rsid w:val="00BC23C9"/>
    <w:rsid w:val="00BC2A1A"/>
    <w:rsid w:val="00BC3512"/>
    <w:rsid w:val="00BC5E71"/>
    <w:rsid w:val="00BC7AA1"/>
    <w:rsid w:val="00BE29FE"/>
    <w:rsid w:val="00BE3C99"/>
    <w:rsid w:val="00BE3F4E"/>
    <w:rsid w:val="00BE7129"/>
    <w:rsid w:val="00BF0D6A"/>
    <w:rsid w:val="00BF2180"/>
    <w:rsid w:val="00BF2CFC"/>
    <w:rsid w:val="00C3111F"/>
    <w:rsid w:val="00C4083A"/>
    <w:rsid w:val="00C412C0"/>
    <w:rsid w:val="00C443CB"/>
    <w:rsid w:val="00C50E8A"/>
    <w:rsid w:val="00C55314"/>
    <w:rsid w:val="00C608D6"/>
    <w:rsid w:val="00C614C5"/>
    <w:rsid w:val="00C6420A"/>
    <w:rsid w:val="00C67FC5"/>
    <w:rsid w:val="00C73D6E"/>
    <w:rsid w:val="00C97393"/>
    <w:rsid w:val="00CA1912"/>
    <w:rsid w:val="00CA204B"/>
    <w:rsid w:val="00CA6DCB"/>
    <w:rsid w:val="00CB086D"/>
    <w:rsid w:val="00CB2E1B"/>
    <w:rsid w:val="00CB56CF"/>
    <w:rsid w:val="00CB64D3"/>
    <w:rsid w:val="00CC17E5"/>
    <w:rsid w:val="00CD3D19"/>
    <w:rsid w:val="00CD42E9"/>
    <w:rsid w:val="00CD5AD2"/>
    <w:rsid w:val="00CE53A4"/>
    <w:rsid w:val="00CF7286"/>
    <w:rsid w:val="00D119FD"/>
    <w:rsid w:val="00D15E92"/>
    <w:rsid w:val="00D30D00"/>
    <w:rsid w:val="00D45705"/>
    <w:rsid w:val="00D45BE8"/>
    <w:rsid w:val="00D60656"/>
    <w:rsid w:val="00D61662"/>
    <w:rsid w:val="00D6176D"/>
    <w:rsid w:val="00D62FEE"/>
    <w:rsid w:val="00D64F19"/>
    <w:rsid w:val="00D652DE"/>
    <w:rsid w:val="00D71F62"/>
    <w:rsid w:val="00D76C20"/>
    <w:rsid w:val="00D84AB5"/>
    <w:rsid w:val="00D96A2F"/>
    <w:rsid w:val="00D96E35"/>
    <w:rsid w:val="00DC1BAC"/>
    <w:rsid w:val="00DC5656"/>
    <w:rsid w:val="00DC5E43"/>
    <w:rsid w:val="00DD2A55"/>
    <w:rsid w:val="00DE317C"/>
    <w:rsid w:val="00DE6110"/>
    <w:rsid w:val="00DE711A"/>
    <w:rsid w:val="00DF67BD"/>
    <w:rsid w:val="00DF7C19"/>
    <w:rsid w:val="00E026C8"/>
    <w:rsid w:val="00E108EA"/>
    <w:rsid w:val="00E11813"/>
    <w:rsid w:val="00E12D6B"/>
    <w:rsid w:val="00E269A6"/>
    <w:rsid w:val="00E306DC"/>
    <w:rsid w:val="00E34859"/>
    <w:rsid w:val="00E37268"/>
    <w:rsid w:val="00E404AE"/>
    <w:rsid w:val="00E45706"/>
    <w:rsid w:val="00E5590A"/>
    <w:rsid w:val="00E657C9"/>
    <w:rsid w:val="00E96753"/>
    <w:rsid w:val="00EA1A9E"/>
    <w:rsid w:val="00EA2924"/>
    <w:rsid w:val="00EA5D8C"/>
    <w:rsid w:val="00EB2036"/>
    <w:rsid w:val="00EC6A64"/>
    <w:rsid w:val="00ED0B72"/>
    <w:rsid w:val="00ED1875"/>
    <w:rsid w:val="00ED1FE3"/>
    <w:rsid w:val="00ED237C"/>
    <w:rsid w:val="00ED23C0"/>
    <w:rsid w:val="00ED79F7"/>
    <w:rsid w:val="00EE0220"/>
    <w:rsid w:val="00EE3CF1"/>
    <w:rsid w:val="00EE69FA"/>
    <w:rsid w:val="00EF27C2"/>
    <w:rsid w:val="00F12194"/>
    <w:rsid w:val="00F14161"/>
    <w:rsid w:val="00F14E11"/>
    <w:rsid w:val="00F16082"/>
    <w:rsid w:val="00F24686"/>
    <w:rsid w:val="00F30DD3"/>
    <w:rsid w:val="00F334D6"/>
    <w:rsid w:val="00F40AC6"/>
    <w:rsid w:val="00F44BFC"/>
    <w:rsid w:val="00F47C12"/>
    <w:rsid w:val="00F5196B"/>
    <w:rsid w:val="00F51B98"/>
    <w:rsid w:val="00F572C0"/>
    <w:rsid w:val="00F73185"/>
    <w:rsid w:val="00F733EA"/>
    <w:rsid w:val="00F86B84"/>
    <w:rsid w:val="00F878AA"/>
    <w:rsid w:val="00F92EAE"/>
    <w:rsid w:val="00FC3CA7"/>
    <w:rsid w:val="00FD77EB"/>
    <w:rsid w:val="00FE76E1"/>
    <w:rsid w:val="00FF05DE"/>
    <w:rsid w:val="00FF3420"/>
    <w:rsid w:val="00FF44BB"/>
    <w:rsid w:val="00FF72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932613-0D52-4565-9349-9B085150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styleId="Textonotapie">
    <w:name w:val="footnote text"/>
    <w:basedOn w:val="Normal"/>
    <w:link w:val="TextonotapieCar"/>
    <w:uiPriority w:val="99"/>
    <w:semiHidden/>
    <w:unhideWhenUsed/>
    <w:rsid w:val="004B5F2D"/>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4B5F2D"/>
    <w:rPr>
      <w:rFonts w:ascii="Calibri" w:eastAsia="Calibri" w:hAnsi="Calibri" w:cs="Calibri"/>
      <w:sz w:val="20"/>
      <w:szCs w:val="20"/>
      <w:lang w:val="es-ES"/>
    </w:rPr>
  </w:style>
  <w:style w:type="character" w:styleId="Refdenotaalpie">
    <w:name w:val="footnote reference"/>
    <w:aliases w:val="Texto de nota al pie,referencia nota al pie,Ref. de nota al pie 2,Footnotes refss,Pie de Página,FC,Appel note de bas de page,Footnote number,BVI fnr,f,4_G,16 Point,Superscript 6 Point,Texto nota al pie,Texto de nota al pi,Pie de Pàgi"/>
    <w:basedOn w:val="Fuentedeprrafopredeter"/>
    <w:unhideWhenUsed/>
    <w:rsid w:val="004B5F2D"/>
    <w:rPr>
      <w:vertAlign w:val="superscript"/>
    </w:rPr>
  </w:style>
  <w:style w:type="paragraph" w:styleId="Prrafodelista">
    <w:name w:val="List Paragraph"/>
    <w:basedOn w:val="Normal"/>
    <w:uiPriority w:val="34"/>
    <w:qFormat/>
    <w:rsid w:val="00267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2974">
      <w:bodyDiv w:val="1"/>
      <w:marLeft w:val="0"/>
      <w:marRight w:val="0"/>
      <w:marTop w:val="0"/>
      <w:marBottom w:val="0"/>
      <w:divBdr>
        <w:top w:val="none" w:sz="0" w:space="0" w:color="auto"/>
        <w:left w:val="none" w:sz="0" w:space="0" w:color="auto"/>
        <w:bottom w:val="none" w:sz="0" w:space="0" w:color="auto"/>
        <w:right w:val="none" w:sz="0" w:space="0" w:color="auto"/>
      </w:divBdr>
    </w:div>
    <w:div w:id="16448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0544A7D916B5E4FBF0238EF14220CBD" ma:contentTypeVersion="2" ma:contentTypeDescription="Crear nuevo documento." ma:contentTypeScope="" ma:versionID="dbde1a09b683102da41adb35f7d01c80">
  <xsd:schema xmlns:xsd="http://www.w3.org/2001/XMLSchema" xmlns:xs="http://www.w3.org/2001/XMLSchema" xmlns:p="http://schemas.microsoft.com/office/2006/metadata/properties" xmlns:ns2="befd2167-47b6-4260-b8f8-868626a0ac51" targetNamespace="http://schemas.microsoft.com/office/2006/metadata/properties" ma:root="true" ma:fieldsID="e76dbeea5770d9eb73807fc152f5fc5b" ns2:_="">
    <xsd:import namespace="befd2167-47b6-4260-b8f8-868626a0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2167-47b6-4260-b8f8-868626a0a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B591-CB88-4C18-B8CC-18F3DF9D6A19}">
  <ds:schemaRefs>
    <ds:schemaRef ds:uri="http://schemas.microsoft.com/sharepoint/v3/contenttype/forms"/>
  </ds:schemaRefs>
</ds:datastoreItem>
</file>

<file path=customXml/itemProps2.xml><?xml version="1.0" encoding="utf-8"?>
<ds:datastoreItem xmlns:ds="http://schemas.openxmlformats.org/officeDocument/2006/customXml" ds:itemID="{28172581-A1E1-4A71-A434-BEC8F6B36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4C70AF-8E66-449D-AFAC-31F06FC0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2167-47b6-4260-b8f8-868626a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6F5A0-A78F-4A4B-A196-A42525A1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4414</Words>
  <Characters>24280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Gregorio</cp:lastModifiedBy>
  <cp:revision>4</cp:revision>
  <cp:lastPrinted>2020-02-28T13:46:00Z</cp:lastPrinted>
  <dcterms:created xsi:type="dcterms:W3CDTF">2020-05-29T13:04:00Z</dcterms:created>
  <dcterms:modified xsi:type="dcterms:W3CDTF">2020-06-05T20:21:00Z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0x010100E0544A7D916B5E4FBF0238EF14220CBD</vt:lpwstr>
  </property>
</Properties>
</file>