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79EC9" w14:textId="5A8D905B" w:rsidR="003F1810" w:rsidRPr="003F1810" w:rsidRDefault="00FE323A" w:rsidP="003F1810">
      <w:pPr>
        <w:spacing w:line="240" w:lineRule="auto"/>
        <w:rPr>
          <w:rFonts w:ascii="Arial" w:hAnsi="Arial" w:cs="Arial"/>
          <w:sz w:val="20"/>
          <w:szCs w:val="12"/>
        </w:rPr>
      </w:pPr>
      <w:r>
        <w:rPr>
          <w:rFonts w:ascii="Arial" w:hAnsi="Arial" w:cs="Arial"/>
          <w:b/>
          <w:bCs/>
          <w:sz w:val="20"/>
          <w:szCs w:val="12"/>
        </w:rPr>
        <w:t xml:space="preserve">PORTE ILEGAL DE ARMAS / </w:t>
      </w:r>
      <w:r w:rsidR="00E60F5F">
        <w:rPr>
          <w:rFonts w:ascii="Arial" w:hAnsi="Arial" w:cs="Arial"/>
          <w:b/>
          <w:bCs/>
          <w:sz w:val="20"/>
          <w:szCs w:val="12"/>
        </w:rPr>
        <w:t>ACCIÓN DE REVISIÓN</w:t>
      </w:r>
      <w:r w:rsidR="00E60F5F">
        <w:rPr>
          <w:rFonts w:ascii="Arial" w:hAnsi="Arial" w:cs="Arial"/>
          <w:b/>
          <w:bCs/>
          <w:sz w:val="20"/>
          <w:szCs w:val="12"/>
        </w:rPr>
        <w:t xml:space="preserve"> / DEFINICIÓN / CAUSAL / CAMBIO FAVORABLE CRITERIO JURÍDICO</w:t>
      </w:r>
    </w:p>
    <w:p w14:paraId="153340D1" w14:textId="31B27EC7" w:rsidR="003F1810" w:rsidRPr="003F1810" w:rsidRDefault="00E60F5F" w:rsidP="00E60F5F">
      <w:pPr>
        <w:spacing w:line="240" w:lineRule="auto"/>
        <w:rPr>
          <w:rFonts w:ascii="Arial" w:hAnsi="Arial" w:cs="Arial"/>
          <w:sz w:val="20"/>
          <w:szCs w:val="12"/>
        </w:rPr>
      </w:pPr>
      <w:r w:rsidRPr="00E60F5F">
        <w:rPr>
          <w:rFonts w:ascii="Arial" w:hAnsi="Arial" w:cs="Arial"/>
          <w:sz w:val="20"/>
          <w:szCs w:val="12"/>
        </w:rPr>
        <w:t>La acción de revisión es un mecanismo que ha sido establecido para corregir los posibles errores que se adviertan en los fallos judiciales ejecutoriados, es decir, que constituye una excepción al principio de cosa juzgada, en la medida que se demuestre el quebrantamiento de principios o garantías fundamentales de conformidad con las causales taxativamente contempladas en la Ley.</w:t>
      </w:r>
      <w:r>
        <w:rPr>
          <w:rFonts w:ascii="Arial" w:hAnsi="Arial" w:cs="Arial"/>
          <w:sz w:val="20"/>
          <w:szCs w:val="12"/>
        </w:rPr>
        <w:t xml:space="preserve"> </w:t>
      </w:r>
      <w:r w:rsidRPr="00E60F5F">
        <w:rPr>
          <w:rFonts w:ascii="Arial" w:hAnsi="Arial" w:cs="Arial"/>
          <w:sz w:val="20"/>
          <w:szCs w:val="12"/>
        </w:rPr>
        <w:t>En este caso se invocó por la agente del Ministerio Público la causal consagrada en el numeral 7º del artículo 192 de la Ley 906 de 2004, que reza: “Cuando mediante pronunciamiento judicial, la Corte haya cambiado favorablemente el criterio jurídico que sirvió para sustentar la sentencia condenatoria, tanto respecto de la responsabilidad como de la punibilidad”.</w:t>
      </w:r>
    </w:p>
    <w:p w14:paraId="6A4A4373" w14:textId="77777777" w:rsidR="003F1810" w:rsidRPr="003F1810" w:rsidRDefault="003F1810" w:rsidP="003F1810">
      <w:pPr>
        <w:spacing w:line="240" w:lineRule="auto"/>
        <w:rPr>
          <w:rFonts w:ascii="Arial" w:hAnsi="Arial" w:cs="Arial"/>
          <w:sz w:val="20"/>
          <w:szCs w:val="12"/>
        </w:rPr>
      </w:pPr>
    </w:p>
    <w:p w14:paraId="0313AEB9" w14:textId="59160986" w:rsidR="00E60F5F" w:rsidRPr="003F1810" w:rsidRDefault="00E60F5F" w:rsidP="00E60F5F">
      <w:pPr>
        <w:spacing w:line="240" w:lineRule="auto"/>
        <w:rPr>
          <w:rFonts w:ascii="Arial" w:hAnsi="Arial" w:cs="Arial"/>
          <w:sz w:val="20"/>
          <w:szCs w:val="12"/>
        </w:rPr>
      </w:pPr>
      <w:r>
        <w:rPr>
          <w:rFonts w:ascii="Arial" w:hAnsi="Arial" w:cs="Arial"/>
          <w:b/>
          <w:bCs/>
          <w:sz w:val="20"/>
          <w:szCs w:val="12"/>
        </w:rPr>
        <w:t xml:space="preserve">REQUISITOS DE LA </w:t>
      </w:r>
      <w:r>
        <w:rPr>
          <w:rFonts w:ascii="Arial" w:hAnsi="Arial" w:cs="Arial"/>
          <w:b/>
          <w:bCs/>
          <w:sz w:val="20"/>
          <w:szCs w:val="12"/>
        </w:rPr>
        <w:t xml:space="preserve">CAUSAL </w:t>
      </w:r>
      <w:r>
        <w:rPr>
          <w:rFonts w:ascii="Arial" w:hAnsi="Arial" w:cs="Arial"/>
          <w:b/>
          <w:bCs/>
          <w:sz w:val="20"/>
          <w:szCs w:val="12"/>
        </w:rPr>
        <w:t>7ª / ARGUMENTACIÓN</w:t>
      </w:r>
      <w:r w:rsidR="00FE323A">
        <w:rPr>
          <w:rFonts w:ascii="Arial" w:hAnsi="Arial" w:cs="Arial"/>
          <w:b/>
          <w:bCs/>
          <w:sz w:val="20"/>
          <w:szCs w:val="12"/>
        </w:rPr>
        <w:t xml:space="preserve"> EXPLICATIVA</w:t>
      </w:r>
    </w:p>
    <w:p w14:paraId="3E0A9574" w14:textId="2BE89602" w:rsidR="003F1810" w:rsidRPr="003F1810" w:rsidRDefault="00E60F5F" w:rsidP="00E60F5F">
      <w:pPr>
        <w:spacing w:line="240" w:lineRule="auto"/>
        <w:rPr>
          <w:rFonts w:ascii="Arial" w:hAnsi="Arial" w:cs="Arial"/>
          <w:sz w:val="20"/>
          <w:szCs w:val="12"/>
        </w:rPr>
      </w:pPr>
      <w:r w:rsidRPr="00E60F5F">
        <w:rPr>
          <w:rFonts w:ascii="Arial" w:hAnsi="Arial" w:cs="Arial"/>
          <w:sz w:val="20"/>
          <w:szCs w:val="12"/>
        </w:rPr>
        <w:t xml:space="preserve">Respecto de los requisitos de procedencia de la acción de revisión, en punto de la causal que acá se invoca, esto es la 7ª del canon 192 </w:t>
      </w:r>
      <w:proofErr w:type="spellStart"/>
      <w:r w:rsidRPr="00E60F5F">
        <w:rPr>
          <w:rFonts w:ascii="Arial" w:hAnsi="Arial" w:cs="Arial"/>
          <w:sz w:val="20"/>
          <w:szCs w:val="12"/>
        </w:rPr>
        <w:t>C.P.P</w:t>
      </w:r>
      <w:proofErr w:type="spellEnd"/>
      <w:r w:rsidRPr="00E60F5F">
        <w:rPr>
          <w:rFonts w:ascii="Arial" w:hAnsi="Arial" w:cs="Arial"/>
          <w:sz w:val="20"/>
          <w:szCs w:val="12"/>
        </w:rPr>
        <w:t>., la Jurisprudencia ha referido:</w:t>
      </w:r>
      <w:r>
        <w:rPr>
          <w:rFonts w:ascii="Arial" w:hAnsi="Arial" w:cs="Arial"/>
          <w:sz w:val="20"/>
          <w:szCs w:val="12"/>
        </w:rPr>
        <w:t xml:space="preserve"> </w:t>
      </w:r>
      <w:r w:rsidRPr="00E60F5F">
        <w:rPr>
          <w:rFonts w:ascii="Arial" w:hAnsi="Arial" w:cs="Arial"/>
          <w:sz w:val="20"/>
          <w:szCs w:val="12"/>
        </w:rPr>
        <w:t>“En la demostración del cambio favorable de la jurisprudencia, no basta con señalar los fallos judiciales que supuestamente lo contemplan, siendo necesario identificar el criterio jurídico que implica una variación o entendimiento diferente a las interpretaciones anteriores de la Corte, teniendo en cuenta la identidad de los fundamentos contenidos en la sentencia cuya revisión se pide con los que condujeron al cambio jurisprudencial, mostrando que el mismo no fue tenido en cuenta o no existía cuando se profirió aquella y los efectos sustanciales del mismo frente a la responsabilidad o la punibilidad del accionante</w:t>
      </w:r>
      <w:r>
        <w:rPr>
          <w:rFonts w:ascii="Arial" w:hAnsi="Arial" w:cs="Arial"/>
          <w:sz w:val="20"/>
          <w:szCs w:val="12"/>
        </w:rPr>
        <w:t>”</w:t>
      </w:r>
      <w:r w:rsidRPr="00E60F5F">
        <w:rPr>
          <w:rFonts w:ascii="Arial" w:hAnsi="Arial" w:cs="Arial"/>
          <w:sz w:val="20"/>
          <w:szCs w:val="12"/>
        </w:rPr>
        <w:t>.</w:t>
      </w:r>
    </w:p>
    <w:p w14:paraId="68241258" w14:textId="77777777" w:rsidR="00E60F5F" w:rsidRPr="003F1810" w:rsidRDefault="00E60F5F" w:rsidP="003F1810">
      <w:pPr>
        <w:spacing w:line="240" w:lineRule="auto"/>
        <w:rPr>
          <w:rFonts w:ascii="Arial" w:hAnsi="Arial" w:cs="Arial"/>
          <w:sz w:val="20"/>
          <w:szCs w:val="12"/>
        </w:rPr>
      </w:pPr>
    </w:p>
    <w:p w14:paraId="24ED8932" w14:textId="77777777" w:rsidR="003F1810" w:rsidRPr="003F1810" w:rsidRDefault="003F1810" w:rsidP="003F1810">
      <w:pPr>
        <w:spacing w:line="240" w:lineRule="auto"/>
        <w:rPr>
          <w:rFonts w:ascii="Arial" w:hAnsi="Arial" w:cs="Arial"/>
          <w:sz w:val="20"/>
          <w:szCs w:val="12"/>
        </w:rPr>
      </w:pPr>
    </w:p>
    <w:p w14:paraId="47B50DCB" w14:textId="77777777" w:rsidR="003F1810" w:rsidRPr="003F1810" w:rsidRDefault="003F1810" w:rsidP="003F1810">
      <w:pPr>
        <w:spacing w:line="240" w:lineRule="auto"/>
        <w:rPr>
          <w:rFonts w:ascii="Arial" w:hAnsi="Arial" w:cs="Arial"/>
          <w:sz w:val="20"/>
          <w:szCs w:val="12"/>
        </w:rPr>
      </w:pPr>
    </w:p>
    <w:p w14:paraId="07DEFB4B" w14:textId="77777777" w:rsidR="003F1810" w:rsidRPr="003F1810" w:rsidRDefault="003F1810" w:rsidP="003F1810">
      <w:pPr>
        <w:spacing w:line="240" w:lineRule="auto"/>
        <w:jc w:val="center"/>
        <w:rPr>
          <w:b/>
          <w:sz w:val="16"/>
          <w:szCs w:val="12"/>
        </w:rPr>
      </w:pPr>
      <w:r w:rsidRPr="003F1810">
        <w:rPr>
          <w:b/>
          <w:sz w:val="16"/>
          <w:szCs w:val="12"/>
        </w:rPr>
        <w:t>REPÚBLICA DE COLOMBIA</w:t>
      </w:r>
    </w:p>
    <w:p w14:paraId="105B17DC" w14:textId="77777777" w:rsidR="003F1810" w:rsidRPr="003F1810" w:rsidRDefault="003F1810" w:rsidP="003F1810">
      <w:pPr>
        <w:spacing w:line="240" w:lineRule="auto"/>
        <w:jc w:val="center"/>
        <w:rPr>
          <w:b/>
          <w:sz w:val="16"/>
          <w:szCs w:val="12"/>
        </w:rPr>
      </w:pPr>
      <w:r w:rsidRPr="003F1810">
        <w:rPr>
          <w:b/>
          <w:sz w:val="16"/>
          <w:szCs w:val="12"/>
        </w:rPr>
        <w:t>PEREIRA-RISARALDA</w:t>
      </w:r>
    </w:p>
    <w:p w14:paraId="11AEFB76" w14:textId="2ECA0144" w:rsidR="003F1810" w:rsidRPr="003F1810" w:rsidRDefault="003F1810" w:rsidP="003F1810">
      <w:pPr>
        <w:spacing w:line="240" w:lineRule="auto"/>
        <w:jc w:val="center"/>
        <w:rPr>
          <w:sz w:val="16"/>
          <w:szCs w:val="12"/>
        </w:rPr>
      </w:pPr>
      <w:r w:rsidRPr="003F1810">
        <w:rPr>
          <w:rFonts w:ascii="Times New Roman" w:hAnsi="Times New Roman"/>
          <w:noProof/>
          <w:sz w:val="24"/>
          <w:szCs w:val="20"/>
          <w:lang w:eastAsia="es-ES"/>
        </w:rPr>
        <w:drawing>
          <wp:anchor distT="0" distB="0" distL="114300" distR="114300" simplePos="0" relativeHeight="251658240" behindDoc="1" locked="0" layoutInCell="1" allowOverlap="1" wp14:anchorId="622E9504" wp14:editId="70635BEA">
            <wp:simplePos x="0" y="0"/>
            <wp:positionH relativeFrom="column">
              <wp:align>center</wp:align>
            </wp:positionH>
            <wp:positionV relativeFrom="paragraph">
              <wp:posOffset>136525</wp:posOffset>
            </wp:positionV>
            <wp:extent cx="777875" cy="532130"/>
            <wp:effectExtent l="0" t="0" r="3175" b="1270"/>
            <wp:wrapTopAndBottom/>
            <wp:docPr id="1700326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1810">
        <w:rPr>
          <w:b/>
          <w:sz w:val="16"/>
          <w:szCs w:val="12"/>
        </w:rPr>
        <w:t>RAMA JUDICIAL</w:t>
      </w:r>
    </w:p>
    <w:p w14:paraId="00F19B9D" w14:textId="77777777" w:rsidR="003F1810" w:rsidRPr="003F1810" w:rsidRDefault="003F1810" w:rsidP="003F1810">
      <w:pPr>
        <w:spacing w:line="276" w:lineRule="auto"/>
        <w:jc w:val="center"/>
        <w:rPr>
          <w:rFonts w:ascii="Algerian" w:hAnsi="Algerian"/>
          <w:b/>
          <w:sz w:val="28"/>
          <w:szCs w:val="28"/>
        </w:rPr>
      </w:pPr>
      <w:r w:rsidRPr="003F1810">
        <w:rPr>
          <w:rFonts w:ascii="Algerian" w:hAnsi="Algerian"/>
          <w:b/>
          <w:smallCaps/>
          <w:color w:val="000000"/>
          <w:sz w:val="28"/>
          <w:szCs w:val="28"/>
        </w:rPr>
        <w:t>TRIBUNAL SUPERIOR DE PEREIRA</w:t>
      </w:r>
    </w:p>
    <w:p w14:paraId="4FEB7CEC" w14:textId="77777777" w:rsidR="003F1810" w:rsidRPr="003F1810" w:rsidRDefault="003F1810" w:rsidP="003F1810">
      <w:pPr>
        <w:spacing w:line="276" w:lineRule="auto"/>
        <w:jc w:val="center"/>
        <w:rPr>
          <w:rFonts w:ascii="Algerian" w:hAnsi="Algerian"/>
          <w:b/>
          <w:smallCaps/>
          <w:color w:val="000000"/>
          <w:sz w:val="28"/>
          <w:szCs w:val="28"/>
        </w:rPr>
      </w:pPr>
      <w:r w:rsidRPr="003F1810">
        <w:rPr>
          <w:rFonts w:ascii="Algerian" w:hAnsi="Algerian"/>
          <w:b/>
          <w:smallCaps/>
          <w:color w:val="000000"/>
          <w:sz w:val="28"/>
          <w:szCs w:val="28"/>
        </w:rPr>
        <w:t xml:space="preserve">SALA </w:t>
      </w:r>
      <w:proofErr w:type="spellStart"/>
      <w:r w:rsidRPr="003F1810">
        <w:rPr>
          <w:rFonts w:ascii="Algerian" w:hAnsi="Algerian"/>
          <w:b/>
          <w:smallCaps/>
          <w:color w:val="000000"/>
          <w:sz w:val="28"/>
          <w:szCs w:val="28"/>
        </w:rPr>
        <w:t>N°</w:t>
      </w:r>
      <w:proofErr w:type="spellEnd"/>
      <w:r w:rsidRPr="003F1810">
        <w:rPr>
          <w:rFonts w:ascii="Algerian" w:hAnsi="Algerian"/>
          <w:b/>
          <w:smallCaps/>
          <w:color w:val="000000"/>
          <w:sz w:val="28"/>
          <w:szCs w:val="28"/>
        </w:rPr>
        <w:t xml:space="preserve"> 2 DE DECISIÓN PENAL</w:t>
      </w:r>
    </w:p>
    <w:p w14:paraId="18244DFE" w14:textId="77777777" w:rsidR="003F1810" w:rsidRPr="003F1810" w:rsidRDefault="003F1810" w:rsidP="003F1810">
      <w:pPr>
        <w:spacing w:line="276" w:lineRule="auto"/>
        <w:jc w:val="center"/>
        <w:rPr>
          <w:szCs w:val="20"/>
        </w:rPr>
      </w:pPr>
    </w:p>
    <w:p w14:paraId="43D0C990" w14:textId="77777777" w:rsidR="003F1810" w:rsidRPr="003F1810" w:rsidRDefault="003F1810" w:rsidP="003F1810">
      <w:pPr>
        <w:spacing w:line="276" w:lineRule="auto"/>
        <w:jc w:val="center"/>
        <w:rPr>
          <w:b/>
          <w:sz w:val="24"/>
          <w:szCs w:val="24"/>
        </w:rPr>
      </w:pPr>
      <w:r w:rsidRPr="003F1810">
        <w:rPr>
          <w:szCs w:val="20"/>
        </w:rPr>
        <w:t xml:space="preserve">Magistrado Ponente: </w:t>
      </w:r>
      <w:r w:rsidRPr="003F1810">
        <w:rPr>
          <w:b/>
          <w:sz w:val="24"/>
          <w:szCs w:val="24"/>
        </w:rPr>
        <w:t>CARLOS ALBERTO PAZ ZÚÑIGA</w:t>
      </w:r>
    </w:p>
    <w:p w14:paraId="3BD16D4F" w14:textId="77777777" w:rsidR="003F1810" w:rsidRPr="003F1810" w:rsidRDefault="003F1810" w:rsidP="003F1810">
      <w:pPr>
        <w:spacing w:line="276" w:lineRule="auto"/>
        <w:rPr>
          <w:rFonts w:cs="Tahoma"/>
          <w:position w:val="-4"/>
          <w:sz w:val="24"/>
          <w:szCs w:val="24"/>
        </w:rPr>
      </w:pPr>
    </w:p>
    <w:p w14:paraId="6B7F41E6" w14:textId="169F5EDA" w:rsidR="00871D37" w:rsidRPr="003F1810" w:rsidRDefault="00871D37" w:rsidP="003F1810">
      <w:pPr>
        <w:spacing w:line="276" w:lineRule="auto"/>
        <w:jc w:val="center"/>
        <w:rPr>
          <w:rFonts w:cs="Tahoma"/>
          <w:sz w:val="24"/>
          <w:szCs w:val="24"/>
        </w:rPr>
      </w:pPr>
      <w:r w:rsidRPr="003F1810">
        <w:rPr>
          <w:rFonts w:cs="Tahoma"/>
          <w:sz w:val="24"/>
          <w:szCs w:val="24"/>
        </w:rPr>
        <w:t>Pereira,</w:t>
      </w:r>
      <w:r w:rsidR="005F7225" w:rsidRPr="003F1810">
        <w:rPr>
          <w:rFonts w:cs="Tahoma"/>
          <w:sz w:val="24"/>
          <w:szCs w:val="24"/>
        </w:rPr>
        <w:t xml:space="preserve"> </w:t>
      </w:r>
      <w:r w:rsidR="006E4706" w:rsidRPr="003F1810">
        <w:rPr>
          <w:rFonts w:cs="Tahoma"/>
          <w:sz w:val="24"/>
          <w:szCs w:val="24"/>
        </w:rPr>
        <w:t>nueve</w:t>
      </w:r>
      <w:r w:rsidR="00A523B2" w:rsidRPr="003F1810">
        <w:rPr>
          <w:rFonts w:cs="Tahoma"/>
          <w:sz w:val="24"/>
          <w:szCs w:val="24"/>
        </w:rPr>
        <w:t xml:space="preserve"> </w:t>
      </w:r>
      <w:r w:rsidRPr="003F1810">
        <w:rPr>
          <w:rFonts w:cs="Tahoma"/>
          <w:sz w:val="24"/>
          <w:szCs w:val="24"/>
        </w:rPr>
        <w:t>(</w:t>
      </w:r>
      <w:r w:rsidR="005F7225" w:rsidRPr="003F1810">
        <w:rPr>
          <w:rFonts w:cs="Tahoma"/>
          <w:sz w:val="24"/>
          <w:szCs w:val="24"/>
        </w:rPr>
        <w:t>0</w:t>
      </w:r>
      <w:r w:rsidR="006E4706" w:rsidRPr="003F1810">
        <w:rPr>
          <w:rFonts w:cs="Tahoma"/>
          <w:sz w:val="24"/>
          <w:szCs w:val="24"/>
        </w:rPr>
        <w:t>9</w:t>
      </w:r>
      <w:r w:rsidRPr="003F1810">
        <w:rPr>
          <w:rFonts w:cs="Tahoma"/>
          <w:sz w:val="24"/>
          <w:szCs w:val="24"/>
        </w:rPr>
        <w:t>) de</w:t>
      </w:r>
      <w:r w:rsidR="000421F8" w:rsidRPr="003F1810">
        <w:rPr>
          <w:rFonts w:cs="Tahoma"/>
          <w:sz w:val="24"/>
          <w:szCs w:val="24"/>
        </w:rPr>
        <w:t xml:space="preserve"> septiembre </w:t>
      </w:r>
      <w:r w:rsidRPr="003F1810">
        <w:rPr>
          <w:rFonts w:cs="Tahoma"/>
          <w:sz w:val="24"/>
          <w:szCs w:val="24"/>
        </w:rPr>
        <w:t xml:space="preserve">de dos mil </w:t>
      </w:r>
      <w:r w:rsidR="00A523B2" w:rsidRPr="003F1810">
        <w:rPr>
          <w:rFonts w:cs="Tahoma"/>
          <w:sz w:val="24"/>
          <w:szCs w:val="24"/>
        </w:rPr>
        <w:t xml:space="preserve">veinticuatro </w:t>
      </w:r>
      <w:r w:rsidRPr="003F1810">
        <w:rPr>
          <w:rFonts w:cs="Tahoma"/>
          <w:sz w:val="24"/>
          <w:szCs w:val="24"/>
        </w:rPr>
        <w:t>(20</w:t>
      </w:r>
      <w:r w:rsidR="00A523B2" w:rsidRPr="003F1810">
        <w:rPr>
          <w:rFonts w:cs="Tahoma"/>
          <w:sz w:val="24"/>
          <w:szCs w:val="24"/>
        </w:rPr>
        <w:t>24</w:t>
      </w:r>
      <w:r w:rsidRPr="003F1810">
        <w:rPr>
          <w:rFonts w:cs="Tahoma"/>
          <w:sz w:val="24"/>
          <w:szCs w:val="24"/>
        </w:rPr>
        <w:t>)</w:t>
      </w:r>
    </w:p>
    <w:p w14:paraId="0C100B78" w14:textId="77777777" w:rsidR="00871D37" w:rsidRPr="003F1810" w:rsidRDefault="00871D37" w:rsidP="003F1810">
      <w:pPr>
        <w:spacing w:line="276" w:lineRule="auto"/>
        <w:jc w:val="center"/>
        <w:rPr>
          <w:rFonts w:cs="Tahoma"/>
          <w:sz w:val="24"/>
          <w:szCs w:val="24"/>
        </w:rPr>
      </w:pPr>
    </w:p>
    <w:p w14:paraId="5E94B842" w14:textId="318802D1" w:rsidR="00871D37" w:rsidRPr="003F1810" w:rsidRDefault="003F1810" w:rsidP="003F1810">
      <w:pPr>
        <w:spacing w:line="276" w:lineRule="auto"/>
        <w:jc w:val="center"/>
        <w:rPr>
          <w:rFonts w:cs="Tahoma"/>
          <w:sz w:val="24"/>
          <w:szCs w:val="24"/>
        </w:rPr>
      </w:pPr>
      <w:r w:rsidRPr="003F1810">
        <w:rPr>
          <w:rFonts w:cs="Tahoma"/>
          <w:sz w:val="24"/>
          <w:szCs w:val="24"/>
        </w:rPr>
        <w:t xml:space="preserve">Acta de aprobación </w:t>
      </w:r>
      <w:r w:rsidR="00871D37" w:rsidRPr="003F1810">
        <w:rPr>
          <w:rFonts w:cs="Tahoma"/>
          <w:sz w:val="24"/>
          <w:szCs w:val="24"/>
        </w:rPr>
        <w:t xml:space="preserve">No </w:t>
      </w:r>
      <w:r w:rsidR="006E4706" w:rsidRPr="003F1810">
        <w:rPr>
          <w:rFonts w:cs="Tahoma"/>
          <w:sz w:val="24"/>
          <w:szCs w:val="24"/>
        </w:rPr>
        <w:t>926</w:t>
      </w:r>
    </w:p>
    <w:p w14:paraId="0A6DA8A0" w14:textId="3D096433" w:rsidR="00871D37" w:rsidRPr="003F1810" w:rsidRDefault="003F1810" w:rsidP="003F1810">
      <w:pPr>
        <w:spacing w:line="276" w:lineRule="auto"/>
        <w:jc w:val="center"/>
        <w:rPr>
          <w:rFonts w:cs="Tahoma"/>
          <w:sz w:val="24"/>
          <w:szCs w:val="24"/>
        </w:rPr>
      </w:pPr>
      <w:r w:rsidRPr="003F1810">
        <w:rPr>
          <w:rFonts w:cs="Tahoma"/>
          <w:sz w:val="24"/>
          <w:szCs w:val="24"/>
        </w:rPr>
        <w:t>Segunda instancia</w:t>
      </w:r>
    </w:p>
    <w:p w14:paraId="744EA7FD" w14:textId="441B7BCE" w:rsidR="003F1810" w:rsidRPr="003F1810" w:rsidRDefault="003F1810" w:rsidP="003F1810">
      <w:pPr>
        <w:spacing w:line="276" w:lineRule="auto"/>
        <w:jc w:val="center"/>
        <w:rPr>
          <w:rFonts w:cs="Tahoma"/>
          <w:sz w:val="24"/>
          <w:szCs w:val="24"/>
        </w:rPr>
      </w:pPr>
      <w:r w:rsidRPr="003F1810">
        <w:rPr>
          <w:rFonts w:cs="Tahoma"/>
          <w:sz w:val="24"/>
          <w:szCs w:val="24"/>
        </w:rPr>
        <w:t>Radicación: 66001220400220240004200</w:t>
      </w:r>
    </w:p>
    <w:p w14:paraId="2BEAC423" w14:textId="77777777" w:rsidR="00871D37" w:rsidRPr="003F1810" w:rsidRDefault="00871D37" w:rsidP="003F1810">
      <w:pPr>
        <w:spacing w:line="276" w:lineRule="auto"/>
        <w:rPr>
          <w:rFonts w:cs="Tahoma"/>
          <w:sz w:val="24"/>
          <w:szCs w:val="24"/>
        </w:rPr>
      </w:pPr>
    </w:p>
    <w:tbl>
      <w:tblPr>
        <w:tblW w:w="85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2"/>
        <w:gridCol w:w="5670"/>
      </w:tblGrid>
      <w:tr w:rsidR="00871D37" w:rsidRPr="003F1810" w14:paraId="7565DEF1" w14:textId="77777777" w:rsidTr="003F1810">
        <w:trPr>
          <w:trHeight w:val="259"/>
        </w:trPr>
        <w:tc>
          <w:tcPr>
            <w:tcW w:w="2902" w:type="dxa"/>
            <w:tcBorders>
              <w:top w:val="single" w:sz="4" w:space="0" w:color="auto"/>
              <w:left w:val="single" w:sz="4" w:space="0" w:color="auto"/>
              <w:bottom w:val="single" w:sz="4" w:space="0" w:color="auto"/>
              <w:right w:val="single" w:sz="4" w:space="0" w:color="auto"/>
            </w:tcBorders>
          </w:tcPr>
          <w:p w14:paraId="68734D87" w14:textId="77777777" w:rsidR="00871D37" w:rsidRPr="003F1810" w:rsidRDefault="00871D37" w:rsidP="003F1810">
            <w:pPr>
              <w:pStyle w:val="Tablaidentificadora"/>
              <w:rPr>
                <w:rFonts w:cs="Tahoma"/>
                <w:sz w:val="22"/>
                <w:szCs w:val="22"/>
              </w:rPr>
            </w:pPr>
            <w:r w:rsidRPr="003F1810">
              <w:rPr>
                <w:rFonts w:cs="Tahoma"/>
                <w:sz w:val="22"/>
                <w:szCs w:val="22"/>
              </w:rPr>
              <w:t xml:space="preserve">Sentenciado: </w:t>
            </w:r>
          </w:p>
        </w:tc>
        <w:tc>
          <w:tcPr>
            <w:tcW w:w="5670" w:type="dxa"/>
            <w:tcBorders>
              <w:top w:val="single" w:sz="4" w:space="0" w:color="auto"/>
              <w:left w:val="single" w:sz="4" w:space="0" w:color="auto"/>
              <w:bottom w:val="single" w:sz="4" w:space="0" w:color="auto"/>
              <w:right w:val="single" w:sz="4" w:space="0" w:color="auto"/>
            </w:tcBorders>
          </w:tcPr>
          <w:p w14:paraId="2A721394" w14:textId="774383B6" w:rsidR="00871D37" w:rsidRPr="003F1810" w:rsidRDefault="005553FE" w:rsidP="003F1810">
            <w:pPr>
              <w:pStyle w:val="Tablaidentificadora"/>
              <w:rPr>
                <w:rFonts w:cs="Tahoma"/>
                <w:sz w:val="22"/>
                <w:szCs w:val="22"/>
              </w:rPr>
            </w:pPr>
            <w:proofErr w:type="spellStart"/>
            <w:r>
              <w:rPr>
                <w:rFonts w:cs="Tahoma"/>
                <w:sz w:val="22"/>
                <w:szCs w:val="22"/>
              </w:rPr>
              <w:t>JFGS</w:t>
            </w:r>
            <w:proofErr w:type="spellEnd"/>
          </w:p>
        </w:tc>
      </w:tr>
      <w:tr w:rsidR="00871D37" w:rsidRPr="003F1810" w14:paraId="000A6220" w14:textId="77777777" w:rsidTr="003F1810">
        <w:trPr>
          <w:trHeight w:val="275"/>
        </w:trPr>
        <w:tc>
          <w:tcPr>
            <w:tcW w:w="2902" w:type="dxa"/>
            <w:tcBorders>
              <w:top w:val="single" w:sz="4" w:space="0" w:color="auto"/>
              <w:left w:val="single" w:sz="4" w:space="0" w:color="auto"/>
              <w:bottom w:val="single" w:sz="4" w:space="0" w:color="auto"/>
              <w:right w:val="single" w:sz="4" w:space="0" w:color="auto"/>
            </w:tcBorders>
          </w:tcPr>
          <w:p w14:paraId="6026BD02" w14:textId="77777777" w:rsidR="00871D37" w:rsidRPr="003F1810" w:rsidRDefault="00871D37" w:rsidP="003F1810">
            <w:pPr>
              <w:pStyle w:val="Tablaidentificadora"/>
              <w:rPr>
                <w:rFonts w:cs="Tahoma"/>
                <w:sz w:val="22"/>
                <w:szCs w:val="22"/>
              </w:rPr>
            </w:pPr>
            <w:r w:rsidRPr="003F1810">
              <w:rPr>
                <w:rFonts w:cs="Tahoma"/>
                <w:sz w:val="22"/>
                <w:szCs w:val="22"/>
              </w:rPr>
              <w:t>Cédula de ciudadanía:</w:t>
            </w:r>
          </w:p>
        </w:tc>
        <w:tc>
          <w:tcPr>
            <w:tcW w:w="5670" w:type="dxa"/>
            <w:tcBorders>
              <w:top w:val="single" w:sz="4" w:space="0" w:color="auto"/>
              <w:left w:val="single" w:sz="4" w:space="0" w:color="auto"/>
              <w:bottom w:val="single" w:sz="4" w:space="0" w:color="auto"/>
              <w:right w:val="single" w:sz="4" w:space="0" w:color="auto"/>
            </w:tcBorders>
          </w:tcPr>
          <w:p w14:paraId="492DE080" w14:textId="457DEC9C" w:rsidR="00871D37" w:rsidRPr="003F1810" w:rsidRDefault="00871D37" w:rsidP="003F1810">
            <w:pPr>
              <w:pStyle w:val="Tablaidentificadora"/>
              <w:rPr>
                <w:rFonts w:cs="Tahoma"/>
                <w:sz w:val="22"/>
                <w:szCs w:val="22"/>
              </w:rPr>
            </w:pPr>
          </w:p>
        </w:tc>
      </w:tr>
      <w:tr w:rsidR="00871D37" w:rsidRPr="003F1810" w14:paraId="79DC4A1A" w14:textId="77777777" w:rsidTr="003F1810">
        <w:trPr>
          <w:trHeight w:val="259"/>
        </w:trPr>
        <w:tc>
          <w:tcPr>
            <w:tcW w:w="2902" w:type="dxa"/>
            <w:tcBorders>
              <w:top w:val="single" w:sz="4" w:space="0" w:color="auto"/>
              <w:left w:val="single" w:sz="4" w:space="0" w:color="auto"/>
              <w:bottom w:val="single" w:sz="4" w:space="0" w:color="auto"/>
              <w:right w:val="single" w:sz="4" w:space="0" w:color="auto"/>
            </w:tcBorders>
          </w:tcPr>
          <w:p w14:paraId="29630E03" w14:textId="77777777" w:rsidR="00871D37" w:rsidRPr="003F1810" w:rsidRDefault="00871D37" w:rsidP="003F1810">
            <w:pPr>
              <w:pStyle w:val="Tablaidentificadora"/>
              <w:rPr>
                <w:rFonts w:cs="Tahoma"/>
                <w:sz w:val="22"/>
                <w:szCs w:val="22"/>
              </w:rPr>
            </w:pPr>
            <w:r w:rsidRPr="003F1810">
              <w:rPr>
                <w:rFonts w:cs="Tahoma"/>
                <w:sz w:val="22"/>
                <w:szCs w:val="22"/>
              </w:rPr>
              <w:t>Delito:</w:t>
            </w:r>
          </w:p>
        </w:tc>
        <w:tc>
          <w:tcPr>
            <w:tcW w:w="5670" w:type="dxa"/>
            <w:tcBorders>
              <w:top w:val="single" w:sz="4" w:space="0" w:color="auto"/>
              <w:left w:val="single" w:sz="4" w:space="0" w:color="auto"/>
              <w:bottom w:val="single" w:sz="4" w:space="0" w:color="auto"/>
              <w:right w:val="single" w:sz="4" w:space="0" w:color="auto"/>
            </w:tcBorders>
          </w:tcPr>
          <w:p w14:paraId="581D5F42" w14:textId="77777777" w:rsidR="00871D37" w:rsidRPr="003F1810" w:rsidRDefault="00A523B2" w:rsidP="003F1810">
            <w:pPr>
              <w:pStyle w:val="Tablaidentificadora"/>
              <w:rPr>
                <w:rFonts w:cs="Tahoma"/>
                <w:sz w:val="22"/>
                <w:szCs w:val="22"/>
              </w:rPr>
            </w:pPr>
            <w:r w:rsidRPr="003F1810">
              <w:rPr>
                <w:rFonts w:cs="Tahoma"/>
                <w:sz w:val="22"/>
                <w:szCs w:val="22"/>
              </w:rPr>
              <w:t>F</w:t>
            </w:r>
            <w:r w:rsidR="00871D37" w:rsidRPr="003F1810">
              <w:rPr>
                <w:rFonts w:cs="Tahoma"/>
                <w:sz w:val="22"/>
                <w:szCs w:val="22"/>
              </w:rPr>
              <w:t>abricación</w:t>
            </w:r>
            <w:r w:rsidRPr="003F1810">
              <w:rPr>
                <w:rFonts w:cs="Tahoma"/>
                <w:sz w:val="22"/>
                <w:szCs w:val="22"/>
              </w:rPr>
              <w:t>, tráfico, porte o tenencia de armas de fuego de uso privativo</w:t>
            </w:r>
            <w:r w:rsidR="0095008C" w:rsidRPr="003F1810">
              <w:rPr>
                <w:rFonts w:cs="Tahoma"/>
                <w:sz w:val="22"/>
                <w:szCs w:val="22"/>
              </w:rPr>
              <w:t xml:space="preserve"> en concurso con fuga de presos</w:t>
            </w:r>
          </w:p>
        </w:tc>
      </w:tr>
      <w:tr w:rsidR="00871D37" w:rsidRPr="003F1810" w14:paraId="1B5D6092" w14:textId="77777777" w:rsidTr="003F1810">
        <w:trPr>
          <w:trHeight w:val="275"/>
        </w:trPr>
        <w:tc>
          <w:tcPr>
            <w:tcW w:w="2902" w:type="dxa"/>
            <w:tcBorders>
              <w:top w:val="single" w:sz="4" w:space="0" w:color="auto"/>
              <w:left w:val="single" w:sz="4" w:space="0" w:color="auto"/>
              <w:bottom w:val="single" w:sz="4" w:space="0" w:color="auto"/>
              <w:right w:val="single" w:sz="4" w:space="0" w:color="auto"/>
            </w:tcBorders>
          </w:tcPr>
          <w:p w14:paraId="1313D390" w14:textId="77777777" w:rsidR="00871D37" w:rsidRPr="003F1810" w:rsidRDefault="00871D37" w:rsidP="003F1810">
            <w:pPr>
              <w:pStyle w:val="Tablaidentificadora"/>
              <w:rPr>
                <w:rFonts w:cs="Tahoma"/>
                <w:sz w:val="22"/>
                <w:szCs w:val="22"/>
              </w:rPr>
            </w:pPr>
            <w:r w:rsidRPr="003F1810">
              <w:rPr>
                <w:rFonts w:cs="Tahoma"/>
                <w:sz w:val="22"/>
                <w:szCs w:val="22"/>
              </w:rPr>
              <w:t>Asunto:</w:t>
            </w:r>
          </w:p>
        </w:tc>
        <w:tc>
          <w:tcPr>
            <w:tcW w:w="5670" w:type="dxa"/>
            <w:tcBorders>
              <w:top w:val="single" w:sz="4" w:space="0" w:color="auto"/>
              <w:left w:val="single" w:sz="4" w:space="0" w:color="auto"/>
              <w:bottom w:val="single" w:sz="4" w:space="0" w:color="auto"/>
              <w:right w:val="single" w:sz="4" w:space="0" w:color="auto"/>
            </w:tcBorders>
          </w:tcPr>
          <w:p w14:paraId="7AA8088F" w14:textId="77777777" w:rsidR="00871D37" w:rsidRPr="003F1810" w:rsidRDefault="00871D37" w:rsidP="003F1810">
            <w:pPr>
              <w:pStyle w:val="Tablaidentificadora"/>
              <w:rPr>
                <w:rFonts w:cs="Tahoma"/>
                <w:sz w:val="22"/>
                <w:szCs w:val="22"/>
              </w:rPr>
            </w:pPr>
            <w:r w:rsidRPr="003F1810">
              <w:rPr>
                <w:rFonts w:cs="Tahoma"/>
                <w:sz w:val="22"/>
                <w:szCs w:val="22"/>
              </w:rPr>
              <w:t xml:space="preserve">Decide acción de revisión invocada por </w:t>
            </w:r>
            <w:r w:rsidR="00A523B2" w:rsidRPr="003F1810">
              <w:rPr>
                <w:rFonts w:cs="Tahoma"/>
                <w:sz w:val="22"/>
                <w:szCs w:val="22"/>
              </w:rPr>
              <w:t xml:space="preserve">el Ministerio Público </w:t>
            </w:r>
            <w:r w:rsidRPr="003F1810">
              <w:rPr>
                <w:rFonts w:cs="Tahoma"/>
                <w:sz w:val="22"/>
                <w:szCs w:val="22"/>
              </w:rPr>
              <w:t xml:space="preserve">contra la sentencia de condena de </w:t>
            </w:r>
            <w:r w:rsidR="00A523B2" w:rsidRPr="003F1810">
              <w:rPr>
                <w:rFonts w:cs="Tahoma"/>
                <w:sz w:val="22"/>
                <w:szCs w:val="22"/>
              </w:rPr>
              <w:t>julio 11 de 2022</w:t>
            </w:r>
            <w:r w:rsidRPr="003F1810">
              <w:rPr>
                <w:rFonts w:cs="Tahoma"/>
                <w:sz w:val="22"/>
                <w:szCs w:val="22"/>
              </w:rPr>
              <w:t xml:space="preserve">. </w:t>
            </w:r>
            <w:r w:rsidRPr="003F1810">
              <w:rPr>
                <w:rFonts w:cs="Tahoma"/>
                <w:b/>
                <w:bCs/>
                <w:sz w:val="22"/>
                <w:szCs w:val="22"/>
              </w:rPr>
              <w:t>S</w:t>
            </w:r>
            <w:r w:rsidR="00A523B2" w:rsidRPr="003F1810">
              <w:rPr>
                <w:rFonts w:cs="Tahoma"/>
                <w:b/>
                <w:bCs/>
                <w:sz w:val="22"/>
                <w:szCs w:val="22"/>
              </w:rPr>
              <w:t>e declara fundada</w:t>
            </w:r>
            <w:r w:rsidRPr="003F1810">
              <w:rPr>
                <w:rFonts w:cs="Tahoma"/>
                <w:b/>
                <w:bCs/>
                <w:sz w:val="22"/>
                <w:szCs w:val="22"/>
              </w:rPr>
              <w:t>.</w:t>
            </w:r>
          </w:p>
        </w:tc>
      </w:tr>
    </w:tbl>
    <w:p w14:paraId="684E7603" w14:textId="77777777" w:rsidR="00871D37" w:rsidRPr="003F1810" w:rsidRDefault="00871D37" w:rsidP="003F1810">
      <w:pPr>
        <w:spacing w:line="276" w:lineRule="auto"/>
        <w:rPr>
          <w:rFonts w:cs="Tahoma"/>
          <w:sz w:val="24"/>
          <w:szCs w:val="24"/>
        </w:rPr>
      </w:pPr>
    </w:p>
    <w:p w14:paraId="25123B0A" w14:textId="77777777" w:rsidR="00871D37" w:rsidRPr="003F1810" w:rsidRDefault="00871D37" w:rsidP="003F1810">
      <w:pPr>
        <w:spacing w:line="276" w:lineRule="auto"/>
        <w:rPr>
          <w:rFonts w:cs="Tahoma"/>
          <w:sz w:val="24"/>
          <w:szCs w:val="24"/>
        </w:rPr>
      </w:pPr>
      <w:r w:rsidRPr="003F1810">
        <w:rPr>
          <w:rFonts w:cs="Tahoma"/>
          <w:sz w:val="24"/>
          <w:szCs w:val="24"/>
        </w:rPr>
        <w:t>El Tribunal Superior del Distrito Judicial de Pereira pronuncia la sentencia en los siguientes términos:</w:t>
      </w:r>
    </w:p>
    <w:p w14:paraId="476FC254" w14:textId="77777777" w:rsidR="00871D37" w:rsidRPr="003F1810" w:rsidRDefault="00871D37" w:rsidP="003F1810">
      <w:pPr>
        <w:pStyle w:val="Textoindependiente2"/>
        <w:spacing w:line="276" w:lineRule="auto"/>
        <w:rPr>
          <w:rFonts w:ascii="Tahoma" w:hAnsi="Tahoma" w:cs="Tahoma"/>
          <w:szCs w:val="24"/>
        </w:rPr>
      </w:pPr>
    </w:p>
    <w:p w14:paraId="257EE63C" w14:textId="77777777" w:rsidR="00871D37" w:rsidRPr="003F1810" w:rsidRDefault="00871D37" w:rsidP="003F1810">
      <w:pPr>
        <w:spacing w:line="276" w:lineRule="auto"/>
        <w:rPr>
          <w:rFonts w:ascii="Algerian" w:hAnsi="Algerian"/>
          <w:sz w:val="30"/>
          <w:szCs w:val="20"/>
        </w:rPr>
      </w:pPr>
      <w:r w:rsidRPr="003F1810">
        <w:rPr>
          <w:rFonts w:ascii="Algerian" w:hAnsi="Algerian"/>
          <w:sz w:val="30"/>
          <w:szCs w:val="20"/>
        </w:rPr>
        <w:t>1.- vistos</w:t>
      </w:r>
    </w:p>
    <w:p w14:paraId="10535DD9" w14:textId="77777777" w:rsidR="00871D37" w:rsidRPr="003F1810" w:rsidRDefault="00871D37" w:rsidP="003F1810">
      <w:pPr>
        <w:spacing w:line="276" w:lineRule="auto"/>
        <w:rPr>
          <w:rFonts w:cs="Tahoma"/>
          <w:sz w:val="24"/>
          <w:szCs w:val="24"/>
        </w:rPr>
      </w:pPr>
    </w:p>
    <w:p w14:paraId="6943FD56" w14:textId="2908D068" w:rsidR="00871D37" w:rsidRPr="003F1810" w:rsidRDefault="00871D37" w:rsidP="003F1810">
      <w:pPr>
        <w:spacing w:line="276" w:lineRule="auto"/>
        <w:rPr>
          <w:rFonts w:cs="Tahoma"/>
          <w:sz w:val="24"/>
          <w:szCs w:val="24"/>
        </w:rPr>
      </w:pPr>
      <w:r w:rsidRPr="003F1810">
        <w:rPr>
          <w:rFonts w:cs="Tahoma"/>
          <w:sz w:val="24"/>
          <w:szCs w:val="24"/>
        </w:rPr>
        <w:t>Procede el Tribunal a</w:t>
      </w:r>
      <w:r w:rsidR="005C1C46" w:rsidRPr="003F1810">
        <w:rPr>
          <w:rFonts w:cs="Tahoma"/>
          <w:sz w:val="24"/>
          <w:szCs w:val="24"/>
        </w:rPr>
        <w:t xml:space="preserve"> dictar </w:t>
      </w:r>
      <w:r w:rsidRPr="003F1810">
        <w:rPr>
          <w:rFonts w:cs="Tahoma"/>
          <w:sz w:val="24"/>
          <w:szCs w:val="24"/>
        </w:rPr>
        <w:t xml:space="preserve">la decisión que en derecho corresponde dentro de la acción de revisión impetrada por </w:t>
      </w:r>
      <w:r w:rsidR="00A523B2" w:rsidRPr="003F1810">
        <w:rPr>
          <w:rFonts w:cs="Tahoma"/>
          <w:sz w:val="24"/>
          <w:szCs w:val="24"/>
        </w:rPr>
        <w:t xml:space="preserve">la Dra. MARGARITA MARÍA URINA VALENCIA, en su </w:t>
      </w:r>
      <w:r w:rsidR="00A523B2" w:rsidRPr="003F1810">
        <w:rPr>
          <w:rFonts w:cs="Tahoma"/>
          <w:sz w:val="24"/>
          <w:szCs w:val="24"/>
        </w:rPr>
        <w:lastRenderedPageBreak/>
        <w:t>condición de agente del Ministerio Público</w:t>
      </w:r>
      <w:r w:rsidRPr="003F1810">
        <w:rPr>
          <w:rFonts w:cs="Tahoma"/>
          <w:sz w:val="24"/>
          <w:szCs w:val="24"/>
        </w:rPr>
        <w:t xml:space="preserve">, contra la sentencia </w:t>
      </w:r>
      <w:r w:rsidR="005C1C46" w:rsidRPr="003F1810">
        <w:rPr>
          <w:rFonts w:cs="Tahoma"/>
          <w:sz w:val="24"/>
          <w:szCs w:val="24"/>
        </w:rPr>
        <w:t xml:space="preserve">proferida </w:t>
      </w:r>
      <w:r w:rsidR="00A523B2" w:rsidRPr="003F1810">
        <w:rPr>
          <w:rFonts w:cs="Tahoma"/>
          <w:sz w:val="24"/>
          <w:szCs w:val="24"/>
        </w:rPr>
        <w:t xml:space="preserve">en julio 11 de 2022 </w:t>
      </w:r>
      <w:r w:rsidRPr="003F1810">
        <w:rPr>
          <w:rFonts w:cs="Tahoma"/>
          <w:sz w:val="24"/>
          <w:szCs w:val="24"/>
        </w:rPr>
        <w:t xml:space="preserve">por </w:t>
      </w:r>
      <w:r w:rsidR="00A523B2" w:rsidRPr="003F1810">
        <w:rPr>
          <w:rFonts w:cs="Tahoma"/>
          <w:sz w:val="24"/>
          <w:szCs w:val="24"/>
        </w:rPr>
        <w:t>e</w:t>
      </w:r>
      <w:r w:rsidRPr="003F1810">
        <w:rPr>
          <w:rFonts w:cs="Tahoma"/>
          <w:sz w:val="24"/>
          <w:szCs w:val="24"/>
        </w:rPr>
        <w:t>l Juzgado Primero</w:t>
      </w:r>
      <w:r w:rsidR="00A523B2" w:rsidRPr="003F1810">
        <w:rPr>
          <w:rFonts w:cs="Tahoma"/>
          <w:sz w:val="24"/>
          <w:szCs w:val="24"/>
        </w:rPr>
        <w:t xml:space="preserve"> </w:t>
      </w:r>
      <w:r w:rsidRPr="003F1810">
        <w:rPr>
          <w:rFonts w:cs="Tahoma"/>
          <w:sz w:val="24"/>
          <w:szCs w:val="24"/>
        </w:rPr>
        <w:t xml:space="preserve">Penal del Circuito de esta capital, </w:t>
      </w:r>
      <w:r w:rsidR="00A523B2" w:rsidRPr="003F1810">
        <w:rPr>
          <w:rFonts w:cs="Tahoma"/>
          <w:sz w:val="24"/>
          <w:szCs w:val="24"/>
        </w:rPr>
        <w:t xml:space="preserve">en contra del ciudadano </w:t>
      </w:r>
      <w:proofErr w:type="spellStart"/>
      <w:r w:rsidR="005553FE">
        <w:rPr>
          <w:rFonts w:cs="Tahoma"/>
          <w:b/>
          <w:sz w:val="24"/>
          <w:szCs w:val="24"/>
        </w:rPr>
        <w:t>JFGS</w:t>
      </w:r>
      <w:proofErr w:type="spellEnd"/>
      <w:r w:rsidR="00A523B2" w:rsidRPr="003F1810">
        <w:rPr>
          <w:rFonts w:cs="Tahoma"/>
          <w:sz w:val="24"/>
          <w:szCs w:val="24"/>
        </w:rPr>
        <w:t xml:space="preserve"> </w:t>
      </w:r>
      <w:r w:rsidRPr="003F1810">
        <w:rPr>
          <w:rFonts w:cs="Tahoma"/>
          <w:sz w:val="24"/>
          <w:szCs w:val="24"/>
        </w:rPr>
        <w:t>por la conducta punible de fabricación</w:t>
      </w:r>
      <w:r w:rsidR="00A523B2" w:rsidRPr="003F1810">
        <w:rPr>
          <w:rFonts w:cs="Tahoma"/>
          <w:sz w:val="24"/>
          <w:szCs w:val="24"/>
        </w:rPr>
        <w:t>, tráfico y porte de armas, municiones de uso restringido, de uso privativo de las fuerzas armadas o explosivos</w:t>
      </w:r>
      <w:r w:rsidR="00A7094D" w:rsidRPr="003F1810">
        <w:rPr>
          <w:rFonts w:cs="Tahoma"/>
          <w:sz w:val="24"/>
          <w:szCs w:val="24"/>
        </w:rPr>
        <w:t xml:space="preserve"> </w:t>
      </w:r>
      <w:r w:rsidR="00C95CAB" w:rsidRPr="003F1810">
        <w:rPr>
          <w:rFonts w:cs="Tahoma"/>
          <w:sz w:val="24"/>
          <w:szCs w:val="24"/>
        </w:rPr>
        <w:t xml:space="preserve">-art. 366 C.P.- </w:t>
      </w:r>
      <w:r w:rsidR="00A7094D" w:rsidRPr="003F1810">
        <w:rPr>
          <w:rFonts w:cs="Tahoma"/>
          <w:sz w:val="24"/>
          <w:szCs w:val="24"/>
        </w:rPr>
        <w:t>y fuga de presos</w:t>
      </w:r>
      <w:r w:rsidR="00C95CAB" w:rsidRPr="003F1810">
        <w:rPr>
          <w:rFonts w:cs="Tahoma"/>
          <w:sz w:val="24"/>
          <w:szCs w:val="24"/>
        </w:rPr>
        <w:t xml:space="preserve"> -art. 448 C.P.-.</w:t>
      </w:r>
    </w:p>
    <w:p w14:paraId="705AAC39" w14:textId="77777777" w:rsidR="00B7140F" w:rsidRPr="003F1810" w:rsidRDefault="00B7140F" w:rsidP="003F1810">
      <w:pPr>
        <w:spacing w:line="276" w:lineRule="auto"/>
        <w:rPr>
          <w:rFonts w:cs="Tahoma"/>
          <w:sz w:val="24"/>
          <w:szCs w:val="24"/>
        </w:rPr>
      </w:pPr>
    </w:p>
    <w:p w14:paraId="618DFAB2" w14:textId="157893CE" w:rsidR="00871D37" w:rsidRPr="003F1810" w:rsidRDefault="00871D37" w:rsidP="003F1810">
      <w:pPr>
        <w:spacing w:line="276" w:lineRule="auto"/>
        <w:rPr>
          <w:rFonts w:ascii="Algerian" w:hAnsi="Algerian" w:cs="Tahoma"/>
          <w:sz w:val="30"/>
          <w:szCs w:val="20"/>
        </w:rPr>
      </w:pPr>
      <w:r w:rsidRPr="003F1810">
        <w:rPr>
          <w:rFonts w:ascii="Algerian" w:hAnsi="Algerian" w:cs="Tahoma"/>
          <w:sz w:val="30"/>
          <w:szCs w:val="20"/>
        </w:rPr>
        <w:t xml:space="preserve"> </w:t>
      </w:r>
      <w:r w:rsidRPr="003F1810">
        <w:rPr>
          <w:rFonts w:ascii="Algerian" w:hAnsi="Algerian"/>
          <w:sz w:val="30"/>
          <w:szCs w:val="20"/>
        </w:rPr>
        <w:t xml:space="preserve">2.- hechos Y </w:t>
      </w:r>
      <w:r w:rsidR="003F32E0" w:rsidRPr="003F1810">
        <w:rPr>
          <w:rFonts w:ascii="Algerian" w:hAnsi="Algerian"/>
          <w:sz w:val="30"/>
          <w:szCs w:val="20"/>
        </w:rPr>
        <w:t>ACTUACIÓN PROCESAL</w:t>
      </w:r>
    </w:p>
    <w:p w14:paraId="1ED75F66" w14:textId="77777777" w:rsidR="00871D37" w:rsidRPr="003F1810" w:rsidRDefault="00871D37" w:rsidP="003F1810">
      <w:pPr>
        <w:spacing w:line="276" w:lineRule="auto"/>
        <w:rPr>
          <w:rFonts w:cs="Tahoma"/>
          <w:sz w:val="24"/>
          <w:szCs w:val="24"/>
        </w:rPr>
      </w:pPr>
    </w:p>
    <w:p w14:paraId="477392A3" w14:textId="77777777" w:rsidR="00871D37" w:rsidRPr="003F1810" w:rsidRDefault="00871D37" w:rsidP="003F1810">
      <w:pPr>
        <w:spacing w:line="276" w:lineRule="auto"/>
        <w:rPr>
          <w:rFonts w:cs="Tahoma"/>
          <w:sz w:val="24"/>
          <w:szCs w:val="24"/>
        </w:rPr>
      </w:pPr>
      <w:r w:rsidRPr="003F1810">
        <w:rPr>
          <w:rFonts w:cs="Tahoma"/>
          <w:sz w:val="24"/>
          <w:szCs w:val="24"/>
        </w:rPr>
        <w:t>La situación fáctica jurídicamente relevante y la actuación procesal que dio lugar a la sentencia contra la que se interpone la presente acción de revisión, se puede sintetizar así:</w:t>
      </w:r>
    </w:p>
    <w:p w14:paraId="37CD551A" w14:textId="77777777" w:rsidR="00DF3D91" w:rsidRPr="003F1810" w:rsidRDefault="00DF3D91" w:rsidP="003F1810">
      <w:pPr>
        <w:spacing w:line="276" w:lineRule="auto"/>
        <w:rPr>
          <w:rFonts w:cs="Tahoma"/>
          <w:b/>
          <w:sz w:val="24"/>
          <w:szCs w:val="24"/>
        </w:rPr>
      </w:pPr>
    </w:p>
    <w:p w14:paraId="5B4690C6" w14:textId="4B1BC3FE" w:rsidR="00184234" w:rsidRPr="003F1810" w:rsidRDefault="00871D37" w:rsidP="003F1810">
      <w:pPr>
        <w:spacing w:line="276" w:lineRule="auto"/>
        <w:rPr>
          <w:rFonts w:cs="Tahoma"/>
          <w:sz w:val="24"/>
          <w:szCs w:val="24"/>
        </w:rPr>
      </w:pPr>
      <w:r w:rsidRPr="003F1810">
        <w:rPr>
          <w:rFonts w:cs="Tahoma"/>
          <w:b/>
          <w:sz w:val="24"/>
          <w:szCs w:val="24"/>
        </w:rPr>
        <w:t xml:space="preserve">2.1.- </w:t>
      </w:r>
      <w:r w:rsidRPr="003F1810">
        <w:rPr>
          <w:rFonts w:cs="Tahoma"/>
          <w:sz w:val="24"/>
          <w:szCs w:val="24"/>
        </w:rPr>
        <w:t xml:space="preserve">En </w:t>
      </w:r>
      <w:r w:rsidR="00A523B2" w:rsidRPr="003F1810">
        <w:rPr>
          <w:rFonts w:cs="Tahoma"/>
          <w:sz w:val="24"/>
          <w:szCs w:val="24"/>
        </w:rPr>
        <w:t xml:space="preserve">febrero 25 de 2021, en el barrio Villa Elisa de esta capital, la Policía </w:t>
      </w:r>
      <w:r w:rsidR="003F32E0" w:rsidRPr="003F1810">
        <w:rPr>
          <w:rFonts w:cs="Tahoma"/>
          <w:sz w:val="24"/>
          <w:szCs w:val="24"/>
        </w:rPr>
        <w:t>N</w:t>
      </w:r>
      <w:r w:rsidR="00A523B2" w:rsidRPr="003F1810">
        <w:rPr>
          <w:rFonts w:cs="Tahoma"/>
          <w:sz w:val="24"/>
          <w:szCs w:val="24"/>
        </w:rPr>
        <w:t xml:space="preserve">acional en labores de registro voluntario al ciudadano </w:t>
      </w:r>
      <w:proofErr w:type="spellStart"/>
      <w:r w:rsidR="005553FE">
        <w:rPr>
          <w:rFonts w:cs="Tahoma"/>
          <w:b/>
          <w:sz w:val="24"/>
          <w:szCs w:val="24"/>
        </w:rPr>
        <w:t>JFGS</w:t>
      </w:r>
      <w:proofErr w:type="spellEnd"/>
      <w:r w:rsidR="00A523B2" w:rsidRPr="003F1810">
        <w:rPr>
          <w:rFonts w:cs="Tahoma"/>
          <w:sz w:val="24"/>
          <w:szCs w:val="24"/>
        </w:rPr>
        <w:t xml:space="preserve">, le halló en su poder un arma de fuego tipo pistola, calibre </w:t>
      </w:r>
      <w:proofErr w:type="spellStart"/>
      <w:r w:rsidR="00A523B2" w:rsidRPr="003F1810">
        <w:rPr>
          <w:rFonts w:cs="Tahoma"/>
          <w:sz w:val="24"/>
          <w:szCs w:val="24"/>
        </w:rPr>
        <w:t>9x19</w:t>
      </w:r>
      <w:proofErr w:type="spellEnd"/>
      <w:r w:rsidR="00A523B2" w:rsidRPr="003F1810">
        <w:rPr>
          <w:rFonts w:cs="Tahoma"/>
          <w:sz w:val="24"/>
          <w:szCs w:val="24"/>
        </w:rPr>
        <w:t xml:space="preserve"> m</w:t>
      </w:r>
      <w:r w:rsidR="00184234" w:rsidRPr="003F1810">
        <w:rPr>
          <w:rFonts w:cs="Tahoma"/>
          <w:sz w:val="24"/>
          <w:szCs w:val="24"/>
        </w:rPr>
        <w:t xml:space="preserve">m, marca </w:t>
      </w:r>
      <w:proofErr w:type="spellStart"/>
      <w:r w:rsidR="00184234" w:rsidRPr="003F1810">
        <w:rPr>
          <w:rFonts w:cs="Tahoma"/>
          <w:sz w:val="24"/>
          <w:szCs w:val="24"/>
        </w:rPr>
        <w:t>Strum</w:t>
      </w:r>
      <w:proofErr w:type="spellEnd"/>
      <w:r w:rsidR="00184234" w:rsidRPr="003F1810">
        <w:rPr>
          <w:rFonts w:cs="Tahoma"/>
          <w:sz w:val="24"/>
          <w:szCs w:val="24"/>
        </w:rPr>
        <w:t xml:space="preserve"> </w:t>
      </w:r>
      <w:proofErr w:type="spellStart"/>
      <w:r w:rsidR="00184234" w:rsidRPr="003F1810">
        <w:rPr>
          <w:rFonts w:cs="Tahoma"/>
          <w:sz w:val="24"/>
          <w:szCs w:val="24"/>
        </w:rPr>
        <w:t>Ruger</w:t>
      </w:r>
      <w:proofErr w:type="spellEnd"/>
      <w:r w:rsidR="00184234" w:rsidRPr="003F1810">
        <w:rPr>
          <w:rFonts w:cs="Tahoma"/>
          <w:sz w:val="24"/>
          <w:szCs w:val="24"/>
        </w:rPr>
        <w:t xml:space="preserve"> Co.inc, color negro y plateado, número externo 302-16728, un proveedor </w:t>
      </w:r>
      <w:r w:rsidR="003F32E0" w:rsidRPr="003F1810">
        <w:rPr>
          <w:rFonts w:cs="Tahoma"/>
          <w:sz w:val="24"/>
          <w:szCs w:val="24"/>
        </w:rPr>
        <w:t xml:space="preserve">con </w:t>
      </w:r>
      <w:r w:rsidR="00184234" w:rsidRPr="003F1810">
        <w:rPr>
          <w:rFonts w:cs="Tahoma"/>
          <w:sz w:val="24"/>
          <w:szCs w:val="24"/>
        </w:rPr>
        <w:t xml:space="preserve">capacidad para 15 cartuchos, así como 7 cartuchos para la misma, elementos estos aptos para producir disparos, sin contar con permiso para su porte o tenencia expedida por autoridad competente. Posteriormente, al verificar sus antecedentes, se advirtió que </w:t>
      </w:r>
      <w:proofErr w:type="spellStart"/>
      <w:r w:rsidR="005553FE">
        <w:rPr>
          <w:rFonts w:cs="Tahoma"/>
          <w:b/>
          <w:sz w:val="24"/>
          <w:szCs w:val="24"/>
        </w:rPr>
        <w:t>JFGS</w:t>
      </w:r>
      <w:proofErr w:type="spellEnd"/>
      <w:r w:rsidR="00026300" w:rsidRPr="003F1810">
        <w:rPr>
          <w:rFonts w:cs="Tahoma"/>
          <w:sz w:val="24"/>
          <w:szCs w:val="24"/>
        </w:rPr>
        <w:t xml:space="preserve"> </w:t>
      </w:r>
      <w:r w:rsidR="00184234" w:rsidRPr="003F1810">
        <w:rPr>
          <w:rFonts w:cs="Tahoma"/>
          <w:sz w:val="24"/>
          <w:szCs w:val="24"/>
        </w:rPr>
        <w:t>se encontraba privado de su libertad en el Establecimiento Carcelario de Acacías (M</w:t>
      </w:r>
      <w:r w:rsidR="003F32E0" w:rsidRPr="003F1810">
        <w:rPr>
          <w:rFonts w:cs="Tahoma"/>
          <w:sz w:val="24"/>
          <w:szCs w:val="24"/>
        </w:rPr>
        <w:t>eta</w:t>
      </w:r>
      <w:r w:rsidR="00184234" w:rsidRPr="003F1810">
        <w:rPr>
          <w:rFonts w:cs="Tahoma"/>
          <w:sz w:val="24"/>
          <w:szCs w:val="24"/>
        </w:rPr>
        <w:t>) del cual egresó en uso de permiso de 72 horas, sin haber reingresado a su sitio de reclusión.</w:t>
      </w:r>
    </w:p>
    <w:p w14:paraId="3D2CDCF6" w14:textId="77777777" w:rsidR="00871D37" w:rsidRPr="003F1810" w:rsidRDefault="00871D37" w:rsidP="003F1810">
      <w:pPr>
        <w:spacing w:line="276" w:lineRule="auto"/>
        <w:rPr>
          <w:rFonts w:cs="Tahoma"/>
          <w:b/>
          <w:sz w:val="24"/>
          <w:szCs w:val="24"/>
        </w:rPr>
      </w:pPr>
    </w:p>
    <w:p w14:paraId="7D25ABD2" w14:textId="6B48D4EA" w:rsidR="00871D37" w:rsidRPr="003F1810" w:rsidRDefault="00871D37" w:rsidP="003F1810">
      <w:pPr>
        <w:spacing w:line="276" w:lineRule="auto"/>
        <w:rPr>
          <w:rFonts w:cs="Tahoma"/>
          <w:sz w:val="24"/>
          <w:szCs w:val="24"/>
        </w:rPr>
      </w:pPr>
      <w:r w:rsidRPr="003F1810">
        <w:rPr>
          <w:rStyle w:val="Numeracinttulo"/>
          <w:rFonts w:cs="Tahoma"/>
          <w:szCs w:val="24"/>
        </w:rPr>
        <w:t>2.2.-</w:t>
      </w:r>
      <w:r w:rsidRPr="003F1810">
        <w:rPr>
          <w:rStyle w:val="Numeracinttulo"/>
          <w:rFonts w:cs="Tahoma"/>
          <w:b w:val="0"/>
          <w:szCs w:val="24"/>
        </w:rPr>
        <w:t xml:space="preserve"> </w:t>
      </w:r>
      <w:r w:rsidRPr="003F1810">
        <w:rPr>
          <w:rFonts w:cs="Tahoma"/>
          <w:sz w:val="24"/>
          <w:szCs w:val="24"/>
        </w:rPr>
        <w:t xml:space="preserve">Con fundamento en lo anterior y a instancia de la Fiscalía, se llevaron a cabo en </w:t>
      </w:r>
      <w:r w:rsidR="00184234" w:rsidRPr="003F1810">
        <w:rPr>
          <w:rFonts w:cs="Tahoma"/>
          <w:sz w:val="24"/>
          <w:szCs w:val="24"/>
        </w:rPr>
        <w:t xml:space="preserve">febrero 26 de 2021 </w:t>
      </w:r>
      <w:r w:rsidRPr="003F1810">
        <w:rPr>
          <w:rFonts w:cs="Tahoma"/>
          <w:sz w:val="24"/>
          <w:szCs w:val="24"/>
        </w:rPr>
        <w:t>las audiencias preliminares ante el Juzgado Se</w:t>
      </w:r>
      <w:r w:rsidR="00184234" w:rsidRPr="003F1810">
        <w:rPr>
          <w:rFonts w:cs="Tahoma"/>
          <w:sz w:val="24"/>
          <w:szCs w:val="24"/>
        </w:rPr>
        <w:t xml:space="preserve">gundo </w:t>
      </w:r>
      <w:r w:rsidRPr="003F1810">
        <w:rPr>
          <w:rFonts w:cs="Tahoma"/>
          <w:sz w:val="24"/>
          <w:szCs w:val="24"/>
        </w:rPr>
        <w:t xml:space="preserve">Penal Municipal </w:t>
      </w:r>
      <w:r w:rsidR="00184234" w:rsidRPr="003F1810">
        <w:rPr>
          <w:rFonts w:cs="Tahoma"/>
          <w:sz w:val="24"/>
          <w:szCs w:val="24"/>
        </w:rPr>
        <w:t xml:space="preserve">de Pereira (Rda.) </w:t>
      </w:r>
      <w:r w:rsidRPr="003F1810">
        <w:rPr>
          <w:rFonts w:cs="Tahoma"/>
          <w:sz w:val="24"/>
          <w:szCs w:val="24"/>
        </w:rPr>
        <w:t xml:space="preserve">con función de control de garantías, por medio de las cuales: </w:t>
      </w:r>
      <w:r w:rsidRPr="003F1810">
        <w:rPr>
          <w:rFonts w:cs="Tahoma"/>
          <w:b/>
          <w:sz w:val="24"/>
          <w:szCs w:val="24"/>
        </w:rPr>
        <w:t>(i)</w:t>
      </w:r>
      <w:r w:rsidRPr="003F1810">
        <w:rPr>
          <w:rFonts w:cs="Tahoma"/>
          <w:sz w:val="24"/>
          <w:szCs w:val="24"/>
        </w:rPr>
        <w:t xml:space="preserve"> se legalizó su aprehensión; </w:t>
      </w:r>
      <w:r w:rsidRPr="003F1810">
        <w:rPr>
          <w:rFonts w:cs="Tahoma"/>
          <w:b/>
          <w:sz w:val="24"/>
          <w:szCs w:val="24"/>
        </w:rPr>
        <w:t>(</w:t>
      </w:r>
      <w:proofErr w:type="spellStart"/>
      <w:r w:rsidRPr="003F1810">
        <w:rPr>
          <w:rFonts w:cs="Tahoma"/>
          <w:b/>
          <w:sz w:val="24"/>
          <w:szCs w:val="24"/>
        </w:rPr>
        <w:t>ii</w:t>
      </w:r>
      <w:proofErr w:type="spellEnd"/>
      <w:r w:rsidRPr="003F1810">
        <w:rPr>
          <w:rFonts w:cs="Tahoma"/>
          <w:b/>
          <w:sz w:val="24"/>
          <w:szCs w:val="24"/>
        </w:rPr>
        <w:t>)</w:t>
      </w:r>
      <w:r w:rsidRPr="003F1810">
        <w:rPr>
          <w:rFonts w:cs="Tahoma"/>
          <w:sz w:val="24"/>
          <w:szCs w:val="24"/>
        </w:rPr>
        <w:t xml:space="preserve"> se le </w:t>
      </w:r>
      <w:r w:rsidR="00184234" w:rsidRPr="003F1810">
        <w:rPr>
          <w:rFonts w:cs="Tahoma"/>
          <w:sz w:val="24"/>
          <w:szCs w:val="24"/>
        </w:rPr>
        <w:t>formuló imputación en calidad de autor y a título de dolo por el</w:t>
      </w:r>
      <w:r w:rsidRPr="003F1810">
        <w:rPr>
          <w:rFonts w:cs="Tahoma"/>
          <w:sz w:val="24"/>
          <w:szCs w:val="24"/>
        </w:rPr>
        <w:t xml:space="preserve"> punible de </w:t>
      </w:r>
      <w:r w:rsidR="00184234" w:rsidRPr="003F1810">
        <w:rPr>
          <w:rFonts w:cs="Tahoma"/>
          <w:sz w:val="24"/>
          <w:szCs w:val="24"/>
        </w:rPr>
        <w:t xml:space="preserve">fabricación, tráfico y porte de armas, municiones de uso </w:t>
      </w:r>
      <w:r w:rsidR="00477DB3" w:rsidRPr="003F1810">
        <w:rPr>
          <w:rFonts w:cs="Tahoma"/>
          <w:sz w:val="24"/>
          <w:szCs w:val="24"/>
        </w:rPr>
        <w:t xml:space="preserve">restringido, de uso </w:t>
      </w:r>
      <w:r w:rsidR="00184234" w:rsidRPr="003F1810">
        <w:rPr>
          <w:rFonts w:cs="Tahoma"/>
          <w:sz w:val="24"/>
          <w:szCs w:val="24"/>
        </w:rPr>
        <w:t>privativo de las fuerzas armadas o explosivos -art. 366 C.P.-en concurso heterogéneo con  fuga de presos -art. 448 C.P.-</w:t>
      </w:r>
      <w:r w:rsidRPr="003F1810">
        <w:rPr>
          <w:rFonts w:cs="Tahoma"/>
          <w:sz w:val="24"/>
          <w:szCs w:val="24"/>
        </w:rPr>
        <w:t>, cargo</w:t>
      </w:r>
      <w:r w:rsidR="00184234" w:rsidRPr="003F1810">
        <w:rPr>
          <w:rFonts w:cs="Tahoma"/>
          <w:sz w:val="24"/>
          <w:szCs w:val="24"/>
        </w:rPr>
        <w:t>s</w:t>
      </w:r>
      <w:r w:rsidRPr="003F1810">
        <w:rPr>
          <w:rFonts w:cs="Tahoma"/>
          <w:sz w:val="24"/>
          <w:szCs w:val="24"/>
        </w:rPr>
        <w:t xml:space="preserve"> que el indiciado </w:t>
      </w:r>
      <w:r w:rsidR="00184234" w:rsidRPr="003F1810">
        <w:rPr>
          <w:rFonts w:cs="Tahoma"/>
          <w:b/>
          <w:sz w:val="24"/>
          <w:szCs w:val="24"/>
        </w:rPr>
        <w:t>NO A</w:t>
      </w:r>
      <w:r w:rsidRPr="003F1810">
        <w:rPr>
          <w:rFonts w:cs="Tahoma"/>
          <w:b/>
          <w:sz w:val="24"/>
          <w:szCs w:val="24"/>
        </w:rPr>
        <w:t>CEPTÓ</w:t>
      </w:r>
      <w:r w:rsidRPr="003F1810">
        <w:rPr>
          <w:rFonts w:cs="Tahoma"/>
          <w:sz w:val="24"/>
          <w:szCs w:val="24"/>
        </w:rPr>
        <w:t xml:space="preserve">; y </w:t>
      </w:r>
      <w:r w:rsidRPr="003F1810">
        <w:rPr>
          <w:rFonts w:cs="Tahoma"/>
          <w:b/>
          <w:sz w:val="24"/>
          <w:szCs w:val="24"/>
        </w:rPr>
        <w:t>(</w:t>
      </w:r>
      <w:proofErr w:type="spellStart"/>
      <w:r w:rsidRPr="003F1810">
        <w:rPr>
          <w:rFonts w:cs="Tahoma"/>
          <w:b/>
          <w:sz w:val="24"/>
          <w:szCs w:val="24"/>
        </w:rPr>
        <w:t>iii</w:t>
      </w:r>
      <w:proofErr w:type="spellEnd"/>
      <w:r w:rsidRPr="003F1810">
        <w:rPr>
          <w:rFonts w:cs="Tahoma"/>
          <w:b/>
          <w:sz w:val="24"/>
          <w:szCs w:val="24"/>
        </w:rPr>
        <w:t>)</w:t>
      </w:r>
      <w:r w:rsidRPr="003F1810">
        <w:rPr>
          <w:rFonts w:cs="Tahoma"/>
          <w:sz w:val="24"/>
          <w:szCs w:val="24"/>
        </w:rPr>
        <w:t xml:space="preserve"> </w:t>
      </w:r>
      <w:r w:rsidR="00184234" w:rsidRPr="003F1810">
        <w:rPr>
          <w:rFonts w:cs="Tahoma"/>
          <w:sz w:val="24"/>
          <w:szCs w:val="24"/>
        </w:rPr>
        <w:t xml:space="preserve">se le </w:t>
      </w:r>
      <w:r w:rsidRPr="003F1810">
        <w:rPr>
          <w:rFonts w:cs="Tahoma"/>
          <w:sz w:val="24"/>
          <w:szCs w:val="24"/>
        </w:rPr>
        <w:t>imp</w:t>
      </w:r>
      <w:r w:rsidR="00184234" w:rsidRPr="003F1810">
        <w:rPr>
          <w:rFonts w:cs="Tahoma"/>
          <w:sz w:val="24"/>
          <w:szCs w:val="24"/>
        </w:rPr>
        <w:t xml:space="preserve">uso </w:t>
      </w:r>
      <w:r w:rsidRPr="003F1810">
        <w:rPr>
          <w:rFonts w:cs="Tahoma"/>
          <w:sz w:val="24"/>
          <w:szCs w:val="24"/>
        </w:rPr>
        <w:t xml:space="preserve">medida de aseguramiento solicitada </w:t>
      </w:r>
      <w:r w:rsidR="00184234" w:rsidRPr="003F1810">
        <w:rPr>
          <w:rFonts w:cs="Tahoma"/>
          <w:sz w:val="24"/>
          <w:szCs w:val="24"/>
        </w:rPr>
        <w:t>consistente en detención preventiva en establecimiento carcelario</w:t>
      </w:r>
      <w:r w:rsidRPr="003F1810">
        <w:rPr>
          <w:rFonts w:cs="Tahoma"/>
          <w:sz w:val="24"/>
          <w:szCs w:val="24"/>
        </w:rPr>
        <w:t>.</w:t>
      </w:r>
    </w:p>
    <w:p w14:paraId="293D8B0E" w14:textId="77777777" w:rsidR="00871D37" w:rsidRPr="003F1810" w:rsidRDefault="00871D37" w:rsidP="003F1810">
      <w:pPr>
        <w:autoSpaceDE w:val="0"/>
        <w:autoSpaceDN w:val="0"/>
        <w:adjustRightInd w:val="0"/>
        <w:spacing w:line="276" w:lineRule="auto"/>
        <w:rPr>
          <w:rFonts w:cs="Tahoma"/>
          <w:sz w:val="24"/>
          <w:szCs w:val="24"/>
        </w:rPr>
      </w:pPr>
    </w:p>
    <w:p w14:paraId="390C63FD" w14:textId="50965F34" w:rsidR="00871D37" w:rsidRPr="003F1810" w:rsidRDefault="00871D37" w:rsidP="003F1810">
      <w:pPr>
        <w:spacing w:line="276" w:lineRule="auto"/>
        <w:rPr>
          <w:rFonts w:cs="Tahoma"/>
          <w:sz w:val="24"/>
          <w:szCs w:val="24"/>
        </w:rPr>
      </w:pPr>
      <w:r w:rsidRPr="003F1810">
        <w:rPr>
          <w:rStyle w:val="Numeracinttulo"/>
          <w:rFonts w:cs="Tahoma"/>
          <w:szCs w:val="24"/>
        </w:rPr>
        <w:t xml:space="preserve">2.3.- </w:t>
      </w:r>
      <w:r w:rsidR="00611A14" w:rsidRPr="003F1810">
        <w:rPr>
          <w:rFonts w:cs="Tahoma"/>
          <w:sz w:val="24"/>
          <w:szCs w:val="24"/>
        </w:rPr>
        <w:t xml:space="preserve">La Fiscalía Tercera Especializada de esta capital, radicó escrito de acusación (junio 1° de 2021) donde le atribuyo iguales cargos al imputado, actuación que le fue </w:t>
      </w:r>
      <w:r w:rsidRPr="003F1810">
        <w:rPr>
          <w:rFonts w:cs="Tahoma"/>
          <w:sz w:val="24"/>
          <w:szCs w:val="24"/>
        </w:rPr>
        <w:t xml:space="preserve">asignada al Juzgado </w:t>
      </w:r>
      <w:r w:rsidR="00611A14" w:rsidRPr="003F1810">
        <w:rPr>
          <w:rFonts w:cs="Tahoma"/>
          <w:sz w:val="24"/>
          <w:szCs w:val="24"/>
        </w:rPr>
        <w:t>Primero Penal del Circuito Especializado de Pereira (Rda.)</w:t>
      </w:r>
      <w:r w:rsidR="001C026E" w:rsidRPr="003F1810">
        <w:rPr>
          <w:rFonts w:cs="Tahoma"/>
          <w:sz w:val="24"/>
          <w:szCs w:val="24"/>
        </w:rPr>
        <w:t xml:space="preserve">, autoridad ante la cual, cuando se iba a llevar a cabo la audiencia de formulación de acusación (agosto 6 de 2021), </w:t>
      </w:r>
      <w:r w:rsidR="00000DAE" w:rsidRPr="003F1810">
        <w:rPr>
          <w:rFonts w:cs="Tahoma"/>
          <w:sz w:val="24"/>
          <w:szCs w:val="24"/>
        </w:rPr>
        <w:t>se impugnó la competencia del despacho, dado que el tamaño</w:t>
      </w:r>
      <w:r w:rsidR="001C026E" w:rsidRPr="003F1810">
        <w:rPr>
          <w:rFonts w:cs="Tahoma"/>
          <w:sz w:val="24"/>
          <w:szCs w:val="24"/>
        </w:rPr>
        <w:t xml:space="preserve"> del proveedor la torn</w:t>
      </w:r>
      <w:r w:rsidR="00477DB3" w:rsidRPr="003F1810">
        <w:rPr>
          <w:rFonts w:cs="Tahoma"/>
          <w:sz w:val="24"/>
          <w:szCs w:val="24"/>
        </w:rPr>
        <w:t>aba</w:t>
      </w:r>
      <w:r w:rsidR="001C026E" w:rsidRPr="003F1810">
        <w:rPr>
          <w:rFonts w:cs="Tahoma"/>
          <w:sz w:val="24"/>
          <w:szCs w:val="24"/>
        </w:rPr>
        <w:t xml:space="preserve"> como de uso privativo, lo que negó la A-quo, ante lo cual se remitió la actuación a esta Sala para definir la competencia, misma que </w:t>
      </w:r>
      <w:r w:rsidR="00000DAE" w:rsidRPr="003F1810">
        <w:rPr>
          <w:rFonts w:cs="Tahoma"/>
          <w:sz w:val="24"/>
          <w:szCs w:val="24"/>
        </w:rPr>
        <w:t xml:space="preserve">esta Corporación </w:t>
      </w:r>
      <w:r w:rsidR="001C026E" w:rsidRPr="003F1810">
        <w:rPr>
          <w:rFonts w:cs="Tahoma"/>
          <w:sz w:val="24"/>
          <w:szCs w:val="24"/>
        </w:rPr>
        <w:t xml:space="preserve">le otorgó al aludido </w:t>
      </w:r>
      <w:r w:rsidR="00000DAE" w:rsidRPr="003F1810">
        <w:rPr>
          <w:rFonts w:cs="Tahoma"/>
          <w:sz w:val="24"/>
          <w:szCs w:val="24"/>
        </w:rPr>
        <w:t xml:space="preserve">juzgado </w:t>
      </w:r>
      <w:r w:rsidR="001C026E" w:rsidRPr="003F1810">
        <w:rPr>
          <w:rFonts w:cs="Tahoma"/>
          <w:sz w:val="24"/>
          <w:szCs w:val="24"/>
        </w:rPr>
        <w:t xml:space="preserve">(octubre 8 de 2021).  Al reanudarse la actuación y cuando se efectuaría la audiencia de formulación de acusación (abril 19 de 2022) la delegada fiscal solicitó su variación para </w:t>
      </w:r>
      <w:r w:rsidR="00000DAE" w:rsidRPr="003F1810">
        <w:rPr>
          <w:rFonts w:cs="Tahoma"/>
          <w:sz w:val="24"/>
          <w:szCs w:val="24"/>
        </w:rPr>
        <w:t xml:space="preserve">sustentar </w:t>
      </w:r>
      <w:r w:rsidR="00EF6F7B" w:rsidRPr="003F1810">
        <w:rPr>
          <w:rFonts w:cs="Tahoma"/>
          <w:sz w:val="24"/>
          <w:szCs w:val="24"/>
        </w:rPr>
        <w:t>el</w:t>
      </w:r>
      <w:r w:rsidR="001C026E" w:rsidRPr="003F1810">
        <w:rPr>
          <w:rFonts w:cs="Tahoma"/>
          <w:sz w:val="24"/>
          <w:szCs w:val="24"/>
        </w:rPr>
        <w:t xml:space="preserve"> preacuerdo </w:t>
      </w:r>
      <w:r w:rsidR="00EF6F7B" w:rsidRPr="003F1810">
        <w:rPr>
          <w:rFonts w:cs="Tahoma"/>
          <w:sz w:val="24"/>
          <w:szCs w:val="24"/>
        </w:rPr>
        <w:t xml:space="preserve">al </w:t>
      </w:r>
      <w:r w:rsidR="001C026E" w:rsidRPr="003F1810">
        <w:rPr>
          <w:rFonts w:cs="Tahoma"/>
          <w:sz w:val="24"/>
          <w:szCs w:val="24"/>
        </w:rPr>
        <w:t xml:space="preserve">que se llegó con el señor </w:t>
      </w:r>
      <w:proofErr w:type="spellStart"/>
      <w:r w:rsidR="005553FE">
        <w:rPr>
          <w:rFonts w:cs="Tahoma"/>
          <w:b/>
          <w:sz w:val="24"/>
          <w:szCs w:val="24"/>
        </w:rPr>
        <w:t>JFGS</w:t>
      </w:r>
      <w:proofErr w:type="spellEnd"/>
      <w:r w:rsidR="001C026E" w:rsidRPr="003F1810">
        <w:rPr>
          <w:rFonts w:cs="Tahoma"/>
          <w:sz w:val="24"/>
          <w:szCs w:val="24"/>
        </w:rPr>
        <w:t xml:space="preserve">, consistente en que aceptaría cargos por los delitos endilgados y a cambio se degradaría su participación de autor a cómplice, solo para efectos punitivos, por lo cual la pena quedaría en 150 meses -132 por el porte y 18 por la fuga de presos-, </w:t>
      </w:r>
      <w:r w:rsidR="00000DAE" w:rsidRPr="003F1810">
        <w:rPr>
          <w:rFonts w:cs="Tahoma"/>
          <w:sz w:val="24"/>
          <w:szCs w:val="24"/>
        </w:rPr>
        <w:t xml:space="preserve">monto que </w:t>
      </w:r>
      <w:r w:rsidR="001C026E" w:rsidRPr="003F1810">
        <w:rPr>
          <w:rFonts w:cs="Tahoma"/>
          <w:sz w:val="24"/>
          <w:szCs w:val="24"/>
        </w:rPr>
        <w:t>con ocasión de la rebaja por la</w:t>
      </w:r>
      <w:r w:rsidR="00DF3D91" w:rsidRPr="003F1810">
        <w:rPr>
          <w:rFonts w:cs="Tahoma"/>
          <w:sz w:val="24"/>
          <w:szCs w:val="24"/>
        </w:rPr>
        <w:t xml:space="preserve"> </w:t>
      </w:r>
      <w:r w:rsidR="001C026E" w:rsidRPr="003F1810">
        <w:rPr>
          <w:rFonts w:cs="Tahoma"/>
          <w:sz w:val="24"/>
          <w:szCs w:val="24"/>
        </w:rPr>
        <w:t xml:space="preserve">degradación quedaría en 75 </w:t>
      </w:r>
      <w:r w:rsidR="001C026E" w:rsidRPr="003F1810">
        <w:rPr>
          <w:rFonts w:cs="Tahoma"/>
          <w:sz w:val="24"/>
          <w:szCs w:val="24"/>
        </w:rPr>
        <w:lastRenderedPageBreak/>
        <w:t>meses de prisión</w:t>
      </w:r>
      <w:r w:rsidR="00DF3D91" w:rsidRPr="003F1810">
        <w:rPr>
          <w:rFonts w:cs="Tahoma"/>
          <w:sz w:val="24"/>
          <w:szCs w:val="24"/>
        </w:rPr>
        <w:t xml:space="preserve">.  A tal consenso se le impartió aprobación (julio 14 de 2022) y en esa ocasión se dictó sentencia por medio de la cual: </w:t>
      </w:r>
      <w:r w:rsidR="00DF3D91" w:rsidRPr="003F1810">
        <w:rPr>
          <w:rFonts w:cs="Tahoma"/>
          <w:b/>
          <w:sz w:val="24"/>
          <w:szCs w:val="24"/>
        </w:rPr>
        <w:t>(i)</w:t>
      </w:r>
      <w:r w:rsidRPr="003F1810">
        <w:rPr>
          <w:rFonts w:cs="Tahoma"/>
          <w:sz w:val="24"/>
          <w:szCs w:val="24"/>
        </w:rPr>
        <w:t xml:space="preserve"> se declaró penalmente responsable </w:t>
      </w:r>
      <w:r w:rsidR="00DF3D91" w:rsidRPr="003F1810">
        <w:rPr>
          <w:rFonts w:cs="Tahoma"/>
          <w:sz w:val="24"/>
          <w:szCs w:val="24"/>
        </w:rPr>
        <w:t xml:space="preserve">a </w:t>
      </w:r>
      <w:proofErr w:type="spellStart"/>
      <w:r w:rsidR="005553FE">
        <w:rPr>
          <w:rFonts w:cs="Tahoma"/>
          <w:b/>
          <w:sz w:val="24"/>
          <w:szCs w:val="24"/>
        </w:rPr>
        <w:t>JFGS</w:t>
      </w:r>
      <w:proofErr w:type="spellEnd"/>
      <w:r w:rsidR="00DF3D91" w:rsidRPr="003F1810">
        <w:rPr>
          <w:rFonts w:cs="Tahoma"/>
          <w:sz w:val="24"/>
          <w:szCs w:val="24"/>
        </w:rPr>
        <w:t xml:space="preserve"> por los delitos de fabricación, tráfico y porte de armas, municiones de uso restringido, de uso privativo de las fuerzas armadas o explosivos  y fuga de presos, a una pena de 75 meses de prisión, </w:t>
      </w:r>
      <w:r w:rsidR="00000DAE" w:rsidRPr="003F1810">
        <w:rPr>
          <w:rFonts w:cs="Tahoma"/>
          <w:sz w:val="24"/>
          <w:szCs w:val="24"/>
        </w:rPr>
        <w:t xml:space="preserve">a la </w:t>
      </w:r>
      <w:r w:rsidRPr="003F1810">
        <w:rPr>
          <w:rFonts w:cs="Tahoma"/>
          <w:sz w:val="24"/>
          <w:szCs w:val="24"/>
        </w:rPr>
        <w:t>inhabilitación en el ejercicio de derechos y funciones públicas por igual período al de la pena principal</w:t>
      </w:r>
      <w:r w:rsidR="00DF3D91" w:rsidRPr="003F1810">
        <w:rPr>
          <w:rFonts w:cs="Tahoma"/>
          <w:sz w:val="24"/>
          <w:szCs w:val="24"/>
        </w:rPr>
        <w:t xml:space="preserve"> y la privación del derecho de tenencia y porte de armas por espacio de 6 meses; </w:t>
      </w:r>
      <w:r w:rsidRPr="003F1810">
        <w:rPr>
          <w:rFonts w:cs="Tahoma"/>
          <w:b/>
          <w:sz w:val="24"/>
          <w:szCs w:val="24"/>
        </w:rPr>
        <w:t>(</w:t>
      </w:r>
      <w:proofErr w:type="spellStart"/>
      <w:r w:rsidRPr="003F1810">
        <w:rPr>
          <w:rFonts w:cs="Tahoma"/>
          <w:b/>
          <w:sz w:val="24"/>
          <w:szCs w:val="24"/>
        </w:rPr>
        <w:t>ii</w:t>
      </w:r>
      <w:proofErr w:type="spellEnd"/>
      <w:r w:rsidRPr="003F1810">
        <w:rPr>
          <w:rFonts w:cs="Tahoma"/>
          <w:b/>
          <w:sz w:val="24"/>
          <w:szCs w:val="24"/>
        </w:rPr>
        <w:t>)</w:t>
      </w:r>
      <w:r w:rsidRPr="003F1810">
        <w:rPr>
          <w:rFonts w:cs="Tahoma"/>
          <w:sz w:val="24"/>
          <w:szCs w:val="24"/>
        </w:rPr>
        <w:t xml:space="preserve"> se le negó la suspensión condicional de la ejecución de la pena</w:t>
      </w:r>
      <w:r w:rsidR="00DF3D91" w:rsidRPr="003F1810">
        <w:rPr>
          <w:rFonts w:cs="Tahoma"/>
          <w:sz w:val="24"/>
          <w:szCs w:val="24"/>
        </w:rPr>
        <w:t xml:space="preserve"> y de la prisión domiciliaria, por lo cual se dispuso que debería cumplir la pena en el establecimiento que determinara el INPEC</w:t>
      </w:r>
      <w:r w:rsidR="00477DB3" w:rsidRPr="003F1810">
        <w:rPr>
          <w:rFonts w:cs="Tahoma"/>
          <w:sz w:val="24"/>
          <w:szCs w:val="24"/>
        </w:rPr>
        <w:t>;</w:t>
      </w:r>
      <w:r w:rsidR="00DF3D91" w:rsidRPr="003F1810">
        <w:rPr>
          <w:rFonts w:cs="Tahoma"/>
          <w:sz w:val="24"/>
          <w:szCs w:val="24"/>
        </w:rPr>
        <w:t xml:space="preserve"> y </w:t>
      </w:r>
      <w:r w:rsidR="00DF3D91" w:rsidRPr="003F1810">
        <w:rPr>
          <w:rFonts w:cs="Tahoma"/>
          <w:b/>
          <w:sz w:val="24"/>
          <w:szCs w:val="24"/>
        </w:rPr>
        <w:t>(</w:t>
      </w:r>
      <w:proofErr w:type="spellStart"/>
      <w:r w:rsidR="00DF3D91" w:rsidRPr="003F1810">
        <w:rPr>
          <w:rFonts w:cs="Tahoma"/>
          <w:b/>
          <w:sz w:val="24"/>
          <w:szCs w:val="24"/>
        </w:rPr>
        <w:t>iii</w:t>
      </w:r>
      <w:proofErr w:type="spellEnd"/>
      <w:r w:rsidR="00DF3D91" w:rsidRPr="003F1810">
        <w:rPr>
          <w:rFonts w:cs="Tahoma"/>
          <w:b/>
          <w:sz w:val="24"/>
          <w:szCs w:val="24"/>
        </w:rPr>
        <w:t>)</w:t>
      </w:r>
      <w:r w:rsidR="00DF3D91" w:rsidRPr="003F1810">
        <w:rPr>
          <w:rFonts w:cs="Tahoma"/>
          <w:sz w:val="24"/>
          <w:szCs w:val="24"/>
        </w:rPr>
        <w:t xml:space="preserve"> se ordenó el comiso del arma junto con la munición y proveedores retenidos.</w:t>
      </w:r>
    </w:p>
    <w:p w14:paraId="2B64BAD3" w14:textId="77777777" w:rsidR="00871D37" w:rsidRPr="003F1810" w:rsidRDefault="00871D37" w:rsidP="003F1810">
      <w:pPr>
        <w:spacing w:line="276" w:lineRule="auto"/>
        <w:rPr>
          <w:rFonts w:cs="Tahoma"/>
          <w:sz w:val="24"/>
          <w:szCs w:val="24"/>
        </w:rPr>
      </w:pPr>
    </w:p>
    <w:p w14:paraId="5260094B" w14:textId="77777777" w:rsidR="00871D37" w:rsidRPr="003F1810" w:rsidRDefault="00871D37" w:rsidP="003F1810">
      <w:pPr>
        <w:spacing w:line="276" w:lineRule="auto"/>
        <w:rPr>
          <w:rFonts w:cs="Tahoma"/>
          <w:sz w:val="24"/>
          <w:szCs w:val="24"/>
        </w:rPr>
      </w:pPr>
      <w:r w:rsidRPr="003F1810">
        <w:rPr>
          <w:rFonts w:cs="Tahoma"/>
          <w:sz w:val="24"/>
          <w:szCs w:val="24"/>
        </w:rPr>
        <w:t>El fallo de primera instancia no fue objeto de apelación y por</w:t>
      </w:r>
      <w:r w:rsidR="00FA6F9F" w:rsidRPr="003F1810">
        <w:rPr>
          <w:rFonts w:cs="Tahoma"/>
          <w:sz w:val="24"/>
          <w:szCs w:val="24"/>
        </w:rPr>
        <w:t xml:space="preserve"> ende </w:t>
      </w:r>
      <w:r w:rsidRPr="003F1810">
        <w:rPr>
          <w:rFonts w:cs="Tahoma"/>
          <w:sz w:val="24"/>
          <w:szCs w:val="24"/>
        </w:rPr>
        <w:t>adquirió firmeza.</w:t>
      </w:r>
    </w:p>
    <w:p w14:paraId="49515784" w14:textId="77777777" w:rsidR="006C308F" w:rsidRPr="003F1810" w:rsidRDefault="006C308F" w:rsidP="003F1810">
      <w:pPr>
        <w:spacing w:line="276" w:lineRule="auto"/>
        <w:rPr>
          <w:rFonts w:cs="Tahoma"/>
          <w:sz w:val="24"/>
          <w:szCs w:val="24"/>
        </w:rPr>
      </w:pPr>
    </w:p>
    <w:p w14:paraId="5097318D" w14:textId="2E423673" w:rsidR="00871D37" w:rsidRPr="003F1810" w:rsidRDefault="001D328B" w:rsidP="003F1810">
      <w:pPr>
        <w:spacing w:line="276" w:lineRule="auto"/>
        <w:rPr>
          <w:rFonts w:cs="Tahoma"/>
          <w:b/>
          <w:bCs/>
          <w:sz w:val="24"/>
          <w:szCs w:val="24"/>
        </w:rPr>
      </w:pPr>
      <w:r w:rsidRPr="003F1810">
        <w:rPr>
          <w:rFonts w:cs="Tahoma"/>
          <w:b/>
          <w:sz w:val="24"/>
          <w:szCs w:val="24"/>
        </w:rPr>
        <w:t>2.</w:t>
      </w:r>
      <w:r w:rsidR="00DF3D91" w:rsidRPr="003F1810">
        <w:rPr>
          <w:rFonts w:cs="Tahoma"/>
          <w:b/>
          <w:sz w:val="24"/>
          <w:szCs w:val="24"/>
        </w:rPr>
        <w:t>4</w:t>
      </w:r>
      <w:r w:rsidR="00871D37" w:rsidRPr="003F1810">
        <w:rPr>
          <w:rFonts w:cs="Tahoma"/>
          <w:b/>
          <w:sz w:val="24"/>
          <w:szCs w:val="24"/>
        </w:rPr>
        <w:t xml:space="preserve">.- </w:t>
      </w:r>
      <w:r w:rsidR="00871D37" w:rsidRPr="003F1810">
        <w:rPr>
          <w:rFonts w:cs="Tahoma"/>
          <w:sz w:val="24"/>
          <w:szCs w:val="24"/>
        </w:rPr>
        <w:t xml:space="preserve">En </w:t>
      </w:r>
      <w:r w:rsidR="00DF3D91" w:rsidRPr="003F1810">
        <w:rPr>
          <w:rFonts w:cs="Tahoma"/>
          <w:sz w:val="24"/>
          <w:szCs w:val="24"/>
        </w:rPr>
        <w:t>abril 12 de 2024</w:t>
      </w:r>
      <w:r w:rsidR="00871D37" w:rsidRPr="003F1810">
        <w:rPr>
          <w:rFonts w:cs="Tahoma"/>
          <w:sz w:val="24"/>
          <w:szCs w:val="24"/>
        </w:rPr>
        <w:t xml:space="preserve">, </w:t>
      </w:r>
      <w:r w:rsidR="00DF3D91" w:rsidRPr="003F1810">
        <w:rPr>
          <w:rFonts w:cs="Tahoma"/>
          <w:sz w:val="24"/>
          <w:szCs w:val="24"/>
        </w:rPr>
        <w:t>la Dra. MARGARITA MARÍA URINA VALENCIA delegada del Ministerio Público,</w:t>
      </w:r>
      <w:r w:rsidR="00871D37" w:rsidRPr="003F1810">
        <w:rPr>
          <w:rFonts w:cs="Tahoma"/>
          <w:b/>
          <w:sz w:val="24"/>
          <w:szCs w:val="24"/>
        </w:rPr>
        <w:t xml:space="preserve"> </w:t>
      </w:r>
      <w:r w:rsidR="00871D37" w:rsidRPr="003F1810">
        <w:rPr>
          <w:rFonts w:cs="Tahoma"/>
          <w:sz w:val="24"/>
          <w:szCs w:val="24"/>
        </w:rPr>
        <w:t xml:space="preserve">interpuso demanda de acción de revisión ante esta Corporación, con miras a quebrar </w:t>
      </w:r>
      <w:r w:rsidR="005C1C46" w:rsidRPr="003F1810">
        <w:rPr>
          <w:rFonts w:cs="Tahoma"/>
          <w:sz w:val="24"/>
          <w:szCs w:val="24"/>
        </w:rPr>
        <w:t xml:space="preserve">la </w:t>
      </w:r>
      <w:r w:rsidR="00871D37" w:rsidRPr="003F1810">
        <w:rPr>
          <w:rFonts w:cs="Tahoma"/>
          <w:sz w:val="24"/>
          <w:szCs w:val="24"/>
        </w:rPr>
        <w:t xml:space="preserve">cosa juzgada que ampara </w:t>
      </w:r>
      <w:r w:rsidR="00DF3D91" w:rsidRPr="003F1810">
        <w:rPr>
          <w:rFonts w:cs="Tahoma"/>
          <w:sz w:val="24"/>
          <w:szCs w:val="24"/>
        </w:rPr>
        <w:t xml:space="preserve">el </w:t>
      </w:r>
      <w:r w:rsidR="00871D37" w:rsidRPr="003F1810">
        <w:rPr>
          <w:rFonts w:cs="Tahoma"/>
          <w:sz w:val="24"/>
          <w:szCs w:val="24"/>
        </w:rPr>
        <w:t>fallo de condena vigente, y en consecuencia pide se deje sin efecto</w:t>
      </w:r>
      <w:r w:rsidR="00DF3D91" w:rsidRPr="003F1810">
        <w:rPr>
          <w:rFonts w:cs="Tahoma"/>
          <w:sz w:val="24"/>
          <w:szCs w:val="24"/>
        </w:rPr>
        <w:t xml:space="preserve"> </w:t>
      </w:r>
      <w:r w:rsidR="00EF6F7B" w:rsidRPr="003F1810">
        <w:rPr>
          <w:rFonts w:cs="Tahoma"/>
          <w:sz w:val="24"/>
          <w:szCs w:val="24"/>
        </w:rPr>
        <w:t xml:space="preserve">la sentencia </w:t>
      </w:r>
      <w:r w:rsidR="00871D37" w:rsidRPr="003F1810">
        <w:rPr>
          <w:rFonts w:cs="Tahoma"/>
          <w:sz w:val="24"/>
          <w:szCs w:val="24"/>
        </w:rPr>
        <w:t>emitid</w:t>
      </w:r>
      <w:r w:rsidR="00EF6F7B" w:rsidRPr="003F1810">
        <w:rPr>
          <w:rFonts w:cs="Tahoma"/>
          <w:sz w:val="24"/>
          <w:szCs w:val="24"/>
        </w:rPr>
        <w:t>a</w:t>
      </w:r>
      <w:r w:rsidR="00DF3D91" w:rsidRPr="003F1810">
        <w:rPr>
          <w:rFonts w:cs="Tahoma"/>
          <w:sz w:val="24"/>
          <w:szCs w:val="24"/>
        </w:rPr>
        <w:t xml:space="preserve"> en contra del ciudadano </w:t>
      </w:r>
      <w:proofErr w:type="spellStart"/>
      <w:r w:rsidR="005553FE">
        <w:rPr>
          <w:rFonts w:cs="Tahoma"/>
          <w:b/>
          <w:sz w:val="24"/>
          <w:szCs w:val="24"/>
        </w:rPr>
        <w:t>JFGS</w:t>
      </w:r>
      <w:proofErr w:type="spellEnd"/>
      <w:r w:rsidR="00DF3D91" w:rsidRPr="003F1810">
        <w:rPr>
          <w:rFonts w:cs="Tahoma"/>
          <w:sz w:val="24"/>
          <w:szCs w:val="24"/>
        </w:rPr>
        <w:t xml:space="preserve"> </w:t>
      </w:r>
      <w:r w:rsidR="00871D37" w:rsidRPr="003F1810">
        <w:rPr>
          <w:rFonts w:cs="Tahoma"/>
          <w:sz w:val="24"/>
          <w:szCs w:val="24"/>
        </w:rPr>
        <w:t>y en su reemplazo se profiera un</w:t>
      </w:r>
      <w:r w:rsidR="00EF6F7B" w:rsidRPr="003F1810">
        <w:rPr>
          <w:rFonts w:cs="Tahoma"/>
          <w:sz w:val="24"/>
          <w:szCs w:val="24"/>
        </w:rPr>
        <w:t>a</w:t>
      </w:r>
      <w:r w:rsidR="00871D37" w:rsidRPr="003F1810">
        <w:rPr>
          <w:rFonts w:cs="Tahoma"/>
          <w:sz w:val="24"/>
          <w:szCs w:val="24"/>
        </w:rPr>
        <w:t xml:space="preserve"> </w:t>
      </w:r>
      <w:r w:rsidR="00DF3D91" w:rsidRPr="003F1810">
        <w:rPr>
          <w:rFonts w:cs="Tahoma"/>
          <w:sz w:val="24"/>
          <w:szCs w:val="24"/>
        </w:rPr>
        <w:t>conforme a la pena establecida para el delito contemplado en el artículo 365 C.P.</w:t>
      </w:r>
      <w:r w:rsidR="000A088F" w:rsidRPr="003F1810">
        <w:rPr>
          <w:rFonts w:cs="Tahoma"/>
          <w:sz w:val="24"/>
          <w:szCs w:val="24"/>
        </w:rPr>
        <w:t xml:space="preserve">, o en su defecto que se devuelva la actuación a un despacho de la misma categoría y diferente al que </w:t>
      </w:r>
      <w:r w:rsidR="00EF6F7B" w:rsidRPr="003F1810">
        <w:rPr>
          <w:rFonts w:cs="Tahoma"/>
          <w:sz w:val="24"/>
          <w:szCs w:val="24"/>
        </w:rPr>
        <w:t xml:space="preserve">la dictó </w:t>
      </w:r>
      <w:r w:rsidR="000A088F" w:rsidRPr="003F1810">
        <w:rPr>
          <w:rFonts w:cs="Tahoma"/>
          <w:sz w:val="24"/>
          <w:szCs w:val="24"/>
        </w:rPr>
        <w:t xml:space="preserve">para que se </w:t>
      </w:r>
      <w:r w:rsidR="00EF6F7B" w:rsidRPr="003F1810">
        <w:rPr>
          <w:rFonts w:cs="Tahoma"/>
          <w:sz w:val="24"/>
          <w:szCs w:val="24"/>
        </w:rPr>
        <w:t>profiera la decisión</w:t>
      </w:r>
      <w:r w:rsidR="00871D37" w:rsidRPr="003F1810">
        <w:rPr>
          <w:rFonts w:cs="Tahoma"/>
          <w:sz w:val="24"/>
          <w:szCs w:val="24"/>
        </w:rPr>
        <w:t xml:space="preserve">, para lo cual invocó la </w:t>
      </w:r>
      <w:r w:rsidR="00871D37" w:rsidRPr="003F1810">
        <w:rPr>
          <w:rFonts w:cs="Tahoma"/>
          <w:b/>
          <w:bCs/>
          <w:sz w:val="24"/>
          <w:szCs w:val="24"/>
        </w:rPr>
        <w:t>causal séptima</w:t>
      </w:r>
      <w:r w:rsidR="00871D37" w:rsidRPr="003F1810">
        <w:rPr>
          <w:rFonts w:cs="Tahoma"/>
          <w:sz w:val="24"/>
          <w:szCs w:val="24"/>
        </w:rPr>
        <w:t xml:space="preserve"> que consagra el artículo 192 </w:t>
      </w:r>
      <w:r w:rsidR="00EF6F7B" w:rsidRPr="003F1810">
        <w:rPr>
          <w:rFonts w:cs="Tahoma"/>
          <w:sz w:val="24"/>
          <w:szCs w:val="24"/>
        </w:rPr>
        <w:t>C.P.P.</w:t>
      </w:r>
      <w:r w:rsidR="00871D37" w:rsidRPr="003F1810">
        <w:rPr>
          <w:rFonts w:cs="Tahoma"/>
          <w:sz w:val="24"/>
          <w:szCs w:val="24"/>
        </w:rPr>
        <w:t xml:space="preserve">, consistente en el </w:t>
      </w:r>
      <w:r w:rsidR="00871D37" w:rsidRPr="003F1810">
        <w:rPr>
          <w:rFonts w:cs="Tahoma"/>
          <w:b/>
          <w:bCs/>
          <w:sz w:val="24"/>
          <w:szCs w:val="24"/>
        </w:rPr>
        <w:t>“cambio de jurisprudencia”.</w:t>
      </w:r>
    </w:p>
    <w:p w14:paraId="5354DCD1" w14:textId="77777777" w:rsidR="00871D37" w:rsidRPr="003F1810" w:rsidRDefault="00871D37" w:rsidP="003F1810">
      <w:pPr>
        <w:spacing w:line="276" w:lineRule="auto"/>
        <w:rPr>
          <w:rFonts w:cs="Tahoma"/>
          <w:sz w:val="24"/>
          <w:szCs w:val="24"/>
        </w:rPr>
      </w:pPr>
    </w:p>
    <w:p w14:paraId="79A81BA8" w14:textId="77777777" w:rsidR="000A088F" w:rsidRPr="003F1810" w:rsidRDefault="000A088F" w:rsidP="003F1810">
      <w:pPr>
        <w:spacing w:line="276" w:lineRule="auto"/>
        <w:rPr>
          <w:rFonts w:cs="Tahoma"/>
          <w:sz w:val="24"/>
          <w:szCs w:val="24"/>
        </w:rPr>
      </w:pPr>
      <w:r w:rsidRPr="003F1810">
        <w:rPr>
          <w:rFonts w:cs="Tahoma"/>
          <w:sz w:val="24"/>
          <w:szCs w:val="24"/>
        </w:rPr>
        <w:t xml:space="preserve">La </w:t>
      </w:r>
      <w:r w:rsidR="00871D37" w:rsidRPr="003F1810">
        <w:rPr>
          <w:rFonts w:cs="Tahoma"/>
          <w:sz w:val="24"/>
          <w:szCs w:val="24"/>
        </w:rPr>
        <w:t>libelista</w:t>
      </w:r>
      <w:r w:rsidRPr="003F1810">
        <w:rPr>
          <w:rFonts w:cs="Tahoma"/>
          <w:sz w:val="24"/>
          <w:szCs w:val="24"/>
        </w:rPr>
        <w:t xml:space="preserve">, luego de soportar su legitimación para actuar en este asunto, </w:t>
      </w:r>
      <w:r w:rsidR="00871D37" w:rsidRPr="003F1810">
        <w:rPr>
          <w:rFonts w:cs="Tahoma"/>
          <w:sz w:val="24"/>
          <w:szCs w:val="24"/>
        </w:rPr>
        <w:t xml:space="preserve">sustenta su petición en </w:t>
      </w:r>
      <w:r w:rsidRPr="003F1810">
        <w:rPr>
          <w:rFonts w:cs="Tahoma"/>
          <w:sz w:val="24"/>
          <w:szCs w:val="24"/>
        </w:rPr>
        <w:t xml:space="preserve">el cambio de postura jurisprudencial sobreviniente con relación al delito de fabricación, tráfico y porte de armas, municiones de uso restringido, de uso privativo de las fuerzas armadas o explosivos, por cuanto si bien el ordinal a) del artículo 8º del Decreto 2535 de 1993, en consonancia con el ordinal a) del artículo 11 </w:t>
      </w:r>
      <w:proofErr w:type="spellStart"/>
      <w:r w:rsidRPr="003F1810">
        <w:rPr>
          <w:rFonts w:cs="Tahoma"/>
          <w:sz w:val="24"/>
          <w:szCs w:val="24"/>
        </w:rPr>
        <w:t>ibídem</w:t>
      </w:r>
      <w:proofErr w:type="spellEnd"/>
      <w:r w:rsidR="00FB2B98" w:rsidRPr="003F1810">
        <w:rPr>
          <w:rFonts w:cs="Tahoma"/>
          <w:sz w:val="24"/>
          <w:szCs w:val="24"/>
        </w:rPr>
        <w:t xml:space="preserve">, señala que deben ser </w:t>
      </w:r>
      <w:r w:rsidR="00DA1825" w:rsidRPr="003F1810">
        <w:rPr>
          <w:rFonts w:cs="Tahoma"/>
          <w:sz w:val="24"/>
          <w:szCs w:val="24"/>
        </w:rPr>
        <w:t xml:space="preserve">estimadas </w:t>
      </w:r>
      <w:r w:rsidRPr="003F1810">
        <w:rPr>
          <w:rFonts w:cs="Tahoma"/>
          <w:sz w:val="24"/>
          <w:szCs w:val="24"/>
        </w:rPr>
        <w:t xml:space="preserve">como armas de defensa personal aquellas </w:t>
      </w:r>
      <w:r w:rsidRPr="003F1810">
        <w:rPr>
          <w:rFonts w:cs="Tahoma"/>
          <w:b/>
          <w:bCs/>
          <w:sz w:val="24"/>
          <w:szCs w:val="24"/>
        </w:rPr>
        <w:t>pistolas calibre 9.652 mm</w:t>
      </w:r>
      <w:r w:rsidRPr="003F1810">
        <w:rPr>
          <w:rFonts w:cs="Tahoma"/>
          <w:sz w:val="24"/>
          <w:szCs w:val="24"/>
        </w:rPr>
        <w:t xml:space="preserve"> cuya capacidad en el proveedor </w:t>
      </w:r>
      <w:r w:rsidRPr="003F1810">
        <w:rPr>
          <w:rFonts w:cs="Tahoma"/>
          <w:b/>
          <w:bCs/>
          <w:sz w:val="24"/>
          <w:szCs w:val="24"/>
        </w:rPr>
        <w:t>no sea superior a los 9 cartuchos</w:t>
      </w:r>
      <w:r w:rsidRPr="003F1810">
        <w:rPr>
          <w:rFonts w:cs="Tahoma"/>
          <w:sz w:val="24"/>
          <w:szCs w:val="24"/>
        </w:rPr>
        <w:t xml:space="preserve">, </w:t>
      </w:r>
      <w:r w:rsidR="00074133" w:rsidRPr="003F1810">
        <w:rPr>
          <w:rFonts w:cs="Tahoma"/>
          <w:sz w:val="24"/>
          <w:szCs w:val="24"/>
        </w:rPr>
        <w:t xml:space="preserve">ello comportaba para </w:t>
      </w:r>
      <w:r w:rsidR="00D309F1" w:rsidRPr="003F1810">
        <w:rPr>
          <w:rFonts w:cs="Tahoma"/>
          <w:sz w:val="24"/>
          <w:szCs w:val="24"/>
        </w:rPr>
        <w:t xml:space="preserve">la Corte </w:t>
      </w:r>
      <w:r w:rsidR="00074133" w:rsidRPr="003F1810">
        <w:rPr>
          <w:rFonts w:cs="Tahoma"/>
          <w:sz w:val="24"/>
          <w:szCs w:val="24"/>
        </w:rPr>
        <w:t xml:space="preserve">que </w:t>
      </w:r>
      <w:r w:rsidR="00D309F1" w:rsidRPr="003F1810">
        <w:rPr>
          <w:rFonts w:cs="Tahoma"/>
          <w:sz w:val="24"/>
          <w:szCs w:val="24"/>
        </w:rPr>
        <w:t>cuando el proveedor superaba tal capacidad, debía considerarse como arma de uso privativo</w:t>
      </w:r>
      <w:r w:rsidR="0001541C" w:rsidRPr="003F1810">
        <w:rPr>
          <w:rFonts w:cs="Tahoma"/>
          <w:sz w:val="24"/>
          <w:szCs w:val="24"/>
        </w:rPr>
        <w:t xml:space="preserve"> -sentencias 11312 de 1996 y 42514 de 2013-, pero tal criterio fue recogido en sentencia </w:t>
      </w:r>
      <w:r w:rsidR="0001541C" w:rsidRPr="003F1810">
        <w:rPr>
          <w:rFonts w:cs="Tahoma"/>
          <w:b/>
          <w:bCs/>
          <w:sz w:val="24"/>
          <w:szCs w:val="24"/>
        </w:rPr>
        <w:t>CSJ SP256-2023, 28 jun. 2023, rad. 63192</w:t>
      </w:r>
      <w:r w:rsidR="0001541C" w:rsidRPr="003F1810">
        <w:rPr>
          <w:rFonts w:cs="Tahoma"/>
          <w:sz w:val="24"/>
          <w:szCs w:val="24"/>
        </w:rPr>
        <w:t xml:space="preserve">, al sostener que no puede tenerse una pistola como de uso privativo solo por cuanto su proveedor tenga capacidad para más de 9 cartuchos, sin importar el calibre, cuando tratándose de ese tipo de armas, el legislador las ha limitado a aquellas de calibre </w:t>
      </w:r>
      <w:r w:rsidR="0001541C" w:rsidRPr="003F1810">
        <w:rPr>
          <w:rFonts w:cs="Tahoma"/>
          <w:b/>
          <w:bCs/>
          <w:sz w:val="24"/>
          <w:szCs w:val="24"/>
        </w:rPr>
        <w:t>no menor de 9.65</w:t>
      </w:r>
      <w:r w:rsidR="00004B23" w:rsidRPr="003F1810">
        <w:rPr>
          <w:rFonts w:cs="Tahoma"/>
          <w:b/>
          <w:bCs/>
          <w:sz w:val="24"/>
          <w:szCs w:val="24"/>
        </w:rPr>
        <w:t>2</w:t>
      </w:r>
      <w:r w:rsidR="0001541C" w:rsidRPr="003F1810">
        <w:rPr>
          <w:rFonts w:cs="Tahoma"/>
          <w:b/>
          <w:bCs/>
          <w:sz w:val="24"/>
          <w:szCs w:val="24"/>
        </w:rPr>
        <w:t xml:space="preserve"> </w:t>
      </w:r>
      <w:proofErr w:type="spellStart"/>
      <w:r w:rsidR="0001541C" w:rsidRPr="003F1810">
        <w:rPr>
          <w:rFonts w:cs="Tahoma"/>
          <w:b/>
          <w:bCs/>
          <w:sz w:val="24"/>
          <w:szCs w:val="24"/>
        </w:rPr>
        <w:t>mm.</w:t>
      </w:r>
      <w:proofErr w:type="spellEnd"/>
    </w:p>
    <w:p w14:paraId="413A0526" w14:textId="77777777" w:rsidR="00FB2B98" w:rsidRPr="003F1810" w:rsidRDefault="00FB2B98" w:rsidP="003F1810">
      <w:pPr>
        <w:spacing w:line="276" w:lineRule="auto"/>
        <w:rPr>
          <w:rFonts w:cs="Tahoma"/>
          <w:sz w:val="24"/>
          <w:szCs w:val="24"/>
        </w:rPr>
      </w:pPr>
    </w:p>
    <w:p w14:paraId="69E46C3A" w14:textId="69698D4F" w:rsidR="002F0509" w:rsidRPr="003F1810" w:rsidRDefault="00871D37" w:rsidP="003F1810">
      <w:pPr>
        <w:spacing w:line="276" w:lineRule="auto"/>
        <w:rPr>
          <w:rFonts w:cs="Tahoma"/>
          <w:sz w:val="24"/>
          <w:szCs w:val="24"/>
        </w:rPr>
      </w:pPr>
      <w:r w:rsidRPr="003F1810">
        <w:rPr>
          <w:rFonts w:cs="Tahoma"/>
          <w:sz w:val="24"/>
          <w:szCs w:val="24"/>
        </w:rPr>
        <w:t xml:space="preserve">Pidió que se dejara sin efectos la sentencia de condena emitida en contra del señor </w:t>
      </w:r>
      <w:proofErr w:type="spellStart"/>
      <w:r w:rsidR="005553FE">
        <w:rPr>
          <w:rFonts w:cs="Tahoma"/>
          <w:b/>
          <w:sz w:val="24"/>
          <w:szCs w:val="24"/>
        </w:rPr>
        <w:t>JFGS</w:t>
      </w:r>
      <w:proofErr w:type="spellEnd"/>
      <w:r w:rsidR="0001541C" w:rsidRPr="003F1810">
        <w:rPr>
          <w:rFonts w:cs="Tahoma"/>
          <w:b/>
          <w:sz w:val="24"/>
          <w:szCs w:val="24"/>
        </w:rPr>
        <w:t xml:space="preserve"> </w:t>
      </w:r>
      <w:r w:rsidRPr="003F1810">
        <w:rPr>
          <w:rFonts w:cs="Tahoma"/>
          <w:sz w:val="24"/>
          <w:szCs w:val="24"/>
        </w:rPr>
        <w:t>y se emit</w:t>
      </w:r>
      <w:r w:rsidR="00EF679C" w:rsidRPr="003F1810">
        <w:rPr>
          <w:rFonts w:cs="Tahoma"/>
          <w:sz w:val="24"/>
          <w:szCs w:val="24"/>
        </w:rPr>
        <w:t>ier</w:t>
      </w:r>
      <w:r w:rsidRPr="003F1810">
        <w:rPr>
          <w:rFonts w:cs="Tahoma"/>
          <w:sz w:val="24"/>
          <w:szCs w:val="24"/>
        </w:rPr>
        <w:t xml:space="preserve">a en su reemplazo una </w:t>
      </w:r>
      <w:r w:rsidR="0001541C" w:rsidRPr="003F1810">
        <w:rPr>
          <w:rFonts w:cs="Tahoma"/>
          <w:sz w:val="24"/>
          <w:szCs w:val="24"/>
        </w:rPr>
        <w:t xml:space="preserve">conforme a la pena establecida para la conducta a que alude el artículo 365 C.P., </w:t>
      </w:r>
      <w:r w:rsidR="00026300" w:rsidRPr="003F1810">
        <w:rPr>
          <w:rFonts w:cs="Tahoma"/>
          <w:sz w:val="24"/>
          <w:szCs w:val="24"/>
        </w:rPr>
        <w:t xml:space="preserve">según </w:t>
      </w:r>
      <w:r w:rsidR="00004B23" w:rsidRPr="003F1810">
        <w:rPr>
          <w:rFonts w:cs="Tahoma"/>
          <w:sz w:val="24"/>
          <w:szCs w:val="24"/>
        </w:rPr>
        <w:t xml:space="preserve">con </w:t>
      </w:r>
      <w:r w:rsidR="0001541C" w:rsidRPr="003F1810">
        <w:rPr>
          <w:rFonts w:cs="Tahoma"/>
          <w:sz w:val="24"/>
          <w:szCs w:val="24"/>
        </w:rPr>
        <w:t xml:space="preserve">el acuerdo realizado, o en su defecto se devuelva </w:t>
      </w:r>
      <w:r w:rsidR="002F0509" w:rsidRPr="003F1810">
        <w:rPr>
          <w:rFonts w:cs="Tahoma"/>
          <w:sz w:val="24"/>
          <w:szCs w:val="24"/>
        </w:rPr>
        <w:t xml:space="preserve">el trámite a un despacho de la misma categoría y diferente al que profirió la decisión, para que esta se </w:t>
      </w:r>
      <w:r w:rsidR="00D65094" w:rsidRPr="003F1810">
        <w:rPr>
          <w:rFonts w:cs="Tahoma"/>
          <w:sz w:val="24"/>
          <w:szCs w:val="24"/>
        </w:rPr>
        <w:t xml:space="preserve">dicte </w:t>
      </w:r>
      <w:r w:rsidR="002F0509" w:rsidRPr="003F1810">
        <w:rPr>
          <w:rFonts w:cs="Tahoma"/>
          <w:sz w:val="24"/>
          <w:szCs w:val="24"/>
        </w:rPr>
        <w:t>como se solicita.</w:t>
      </w:r>
    </w:p>
    <w:p w14:paraId="7B18DCB6" w14:textId="77777777" w:rsidR="00871D37" w:rsidRPr="003F1810" w:rsidRDefault="00871D37" w:rsidP="003F1810">
      <w:pPr>
        <w:spacing w:line="276" w:lineRule="auto"/>
        <w:rPr>
          <w:rFonts w:cs="Tahoma"/>
          <w:sz w:val="24"/>
          <w:szCs w:val="24"/>
        </w:rPr>
      </w:pPr>
    </w:p>
    <w:p w14:paraId="03D824B0" w14:textId="317EC5E0" w:rsidR="00871D37" w:rsidRPr="003F1810" w:rsidRDefault="001D328B" w:rsidP="003F1810">
      <w:pPr>
        <w:spacing w:line="276" w:lineRule="auto"/>
        <w:rPr>
          <w:rFonts w:cs="Tahoma"/>
          <w:sz w:val="24"/>
          <w:szCs w:val="24"/>
        </w:rPr>
      </w:pPr>
      <w:r w:rsidRPr="003F1810">
        <w:rPr>
          <w:rFonts w:cs="Tahoma"/>
          <w:b/>
          <w:sz w:val="24"/>
          <w:szCs w:val="24"/>
        </w:rPr>
        <w:t>2.</w:t>
      </w:r>
      <w:r w:rsidR="002A29E6" w:rsidRPr="003F1810">
        <w:rPr>
          <w:rFonts w:cs="Tahoma"/>
          <w:b/>
          <w:sz w:val="24"/>
          <w:szCs w:val="24"/>
        </w:rPr>
        <w:t>5</w:t>
      </w:r>
      <w:r w:rsidR="00871D37" w:rsidRPr="003F1810">
        <w:rPr>
          <w:rFonts w:cs="Tahoma"/>
          <w:b/>
          <w:sz w:val="24"/>
          <w:szCs w:val="24"/>
        </w:rPr>
        <w:t>.-</w:t>
      </w:r>
      <w:r w:rsidR="00871D37" w:rsidRPr="003F1810">
        <w:rPr>
          <w:rFonts w:cs="Tahoma"/>
          <w:sz w:val="24"/>
          <w:szCs w:val="24"/>
        </w:rPr>
        <w:t xml:space="preserve"> </w:t>
      </w:r>
      <w:r w:rsidR="00C8184D" w:rsidRPr="003F1810">
        <w:rPr>
          <w:rFonts w:cs="Tahoma"/>
          <w:sz w:val="24"/>
          <w:szCs w:val="24"/>
        </w:rPr>
        <w:t xml:space="preserve">Verificada que la solicitud cumplía con las exigencias de ley, </w:t>
      </w:r>
      <w:r w:rsidR="00871D37" w:rsidRPr="003F1810">
        <w:rPr>
          <w:rFonts w:cs="Tahoma"/>
          <w:sz w:val="24"/>
          <w:szCs w:val="24"/>
        </w:rPr>
        <w:t xml:space="preserve">el Tribunal dispuso la apertura del trámite de acción de revisión con el correspondiente traslado </w:t>
      </w:r>
      <w:r w:rsidR="00871D37" w:rsidRPr="003F1810">
        <w:rPr>
          <w:rFonts w:cs="Tahoma"/>
          <w:sz w:val="24"/>
          <w:szCs w:val="24"/>
        </w:rPr>
        <w:lastRenderedPageBreak/>
        <w:t xml:space="preserve">probatorio, a cuyo efecto ninguna de las partes </w:t>
      </w:r>
      <w:r w:rsidR="00D65094" w:rsidRPr="003F1810">
        <w:rPr>
          <w:rFonts w:cs="Tahoma"/>
          <w:sz w:val="24"/>
          <w:szCs w:val="24"/>
        </w:rPr>
        <w:t xml:space="preserve">elevó </w:t>
      </w:r>
      <w:r w:rsidR="00871D37" w:rsidRPr="003F1810">
        <w:rPr>
          <w:rFonts w:cs="Tahoma"/>
          <w:sz w:val="24"/>
          <w:szCs w:val="24"/>
        </w:rPr>
        <w:t xml:space="preserve">solicitudes que debieran ser </w:t>
      </w:r>
      <w:r w:rsidR="00DA1825" w:rsidRPr="003F1810">
        <w:rPr>
          <w:rFonts w:cs="Tahoma"/>
          <w:sz w:val="24"/>
          <w:szCs w:val="24"/>
        </w:rPr>
        <w:t xml:space="preserve">observadas </w:t>
      </w:r>
      <w:r w:rsidR="00871D37" w:rsidRPr="003F1810">
        <w:rPr>
          <w:rFonts w:cs="Tahoma"/>
          <w:sz w:val="24"/>
          <w:szCs w:val="24"/>
        </w:rPr>
        <w:t xml:space="preserve">por la Corporación con miras a </w:t>
      </w:r>
      <w:r w:rsidR="00026300" w:rsidRPr="003F1810">
        <w:rPr>
          <w:rFonts w:cs="Tahoma"/>
          <w:sz w:val="24"/>
          <w:szCs w:val="24"/>
        </w:rPr>
        <w:t xml:space="preserve">efectuar </w:t>
      </w:r>
      <w:r w:rsidR="00871D37" w:rsidRPr="003F1810">
        <w:rPr>
          <w:rFonts w:cs="Tahoma"/>
          <w:sz w:val="24"/>
          <w:szCs w:val="24"/>
        </w:rPr>
        <w:t>un análisis de admisibilidad.</w:t>
      </w:r>
    </w:p>
    <w:p w14:paraId="16041D13" w14:textId="77777777" w:rsidR="00871D37" w:rsidRPr="003F1810" w:rsidRDefault="00871D37" w:rsidP="003F1810">
      <w:pPr>
        <w:spacing w:line="276" w:lineRule="auto"/>
        <w:rPr>
          <w:rFonts w:cs="Tahoma"/>
          <w:sz w:val="24"/>
          <w:szCs w:val="24"/>
        </w:rPr>
      </w:pPr>
    </w:p>
    <w:p w14:paraId="36DC3107" w14:textId="4E26B7A5" w:rsidR="00871D37" w:rsidRPr="003F1810" w:rsidRDefault="00871D37" w:rsidP="003F1810">
      <w:pPr>
        <w:spacing w:line="276" w:lineRule="auto"/>
        <w:rPr>
          <w:rFonts w:cs="Tahoma"/>
          <w:sz w:val="24"/>
          <w:szCs w:val="24"/>
        </w:rPr>
      </w:pPr>
      <w:r w:rsidRPr="003F1810">
        <w:rPr>
          <w:rFonts w:cs="Tahoma"/>
          <w:b/>
          <w:sz w:val="24"/>
          <w:szCs w:val="24"/>
        </w:rPr>
        <w:t>2.</w:t>
      </w:r>
      <w:r w:rsidR="002A29E6" w:rsidRPr="003F1810">
        <w:rPr>
          <w:rFonts w:cs="Tahoma"/>
          <w:b/>
          <w:sz w:val="24"/>
          <w:szCs w:val="24"/>
        </w:rPr>
        <w:t>6</w:t>
      </w:r>
      <w:r w:rsidRPr="003F1810">
        <w:rPr>
          <w:rFonts w:cs="Tahoma"/>
          <w:b/>
          <w:sz w:val="24"/>
          <w:szCs w:val="24"/>
        </w:rPr>
        <w:t>.-</w:t>
      </w:r>
      <w:r w:rsidRPr="003F1810">
        <w:rPr>
          <w:rFonts w:cs="Tahoma"/>
          <w:sz w:val="24"/>
          <w:szCs w:val="24"/>
        </w:rPr>
        <w:t xml:space="preserve"> Agotada esa etapa probatoria, la Sala convocó a la respectiva audiencia de alegaciones, instante en el cual las partes e intervinientes hicieron las siguientes aseveraciones:</w:t>
      </w:r>
    </w:p>
    <w:p w14:paraId="3851AC31" w14:textId="77777777" w:rsidR="00871D37" w:rsidRPr="003F1810" w:rsidRDefault="00871D37" w:rsidP="003F1810">
      <w:pPr>
        <w:spacing w:line="276" w:lineRule="auto"/>
        <w:rPr>
          <w:rFonts w:cs="Tahoma"/>
          <w:sz w:val="24"/>
          <w:szCs w:val="24"/>
        </w:rPr>
      </w:pPr>
    </w:p>
    <w:p w14:paraId="304794B1" w14:textId="042CD6F7" w:rsidR="00871D37" w:rsidRPr="003F1810" w:rsidRDefault="00871D37" w:rsidP="003F1810">
      <w:pPr>
        <w:spacing w:line="276" w:lineRule="auto"/>
        <w:rPr>
          <w:rFonts w:cs="Tahoma"/>
          <w:sz w:val="24"/>
          <w:szCs w:val="24"/>
        </w:rPr>
      </w:pPr>
      <w:r w:rsidRPr="003F1810">
        <w:rPr>
          <w:rFonts w:cs="Tahoma"/>
          <w:b/>
          <w:sz w:val="24"/>
          <w:szCs w:val="24"/>
        </w:rPr>
        <w:t>2.</w:t>
      </w:r>
      <w:r w:rsidR="002A29E6" w:rsidRPr="003F1810">
        <w:rPr>
          <w:rFonts w:cs="Tahoma"/>
          <w:b/>
          <w:sz w:val="24"/>
          <w:szCs w:val="24"/>
        </w:rPr>
        <w:t>6</w:t>
      </w:r>
      <w:r w:rsidRPr="003F1810">
        <w:rPr>
          <w:rFonts w:cs="Tahoma"/>
          <w:b/>
          <w:sz w:val="24"/>
          <w:szCs w:val="24"/>
        </w:rPr>
        <w:t>.1.-</w:t>
      </w:r>
      <w:r w:rsidRPr="003F1810">
        <w:rPr>
          <w:rFonts w:cs="Tahoma"/>
          <w:sz w:val="24"/>
          <w:szCs w:val="24"/>
        </w:rPr>
        <w:t xml:space="preserve"> </w:t>
      </w:r>
      <w:r w:rsidR="00C8184D" w:rsidRPr="003F1810">
        <w:rPr>
          <w:rFonts w:cs="Tahoma"/>
          <w:i/>
          <w:sz w:val="24"/>
          <w:szCs w:val="24"/>
        </w:rPr>
        <w:t>La Agente del Ministerio Púbico.</w:t>
      </w:r>
    </w:p>
    <w:p w14:paraId="45200951" w14:textId="77777777" w:rsidR="00871D37" w:rsidRPr="003F1810" w:rsidRDefault="00871D37" w:rsidP="003F1810">
      <w:pPr>
        <w:spacing w:line="276" w:lineRule="auto"/>
        <w:rPr>
          <w:rFonts w:cs="Tahoma"/>
          <w:sz w:val="24"/>
          <w:szCs w:val="24"/>
        </w:rPr>
      </w:pPr>
    </w:p>
    <w:p w14:paraId="7912390C" w14:textId="06F7A256" w:rsidR="00AF38EB" w:rsidRPr="003F1810" w:rsidRDefault="00822CE5" w:rsidP="003F1810">
      <w:pPr>
        <w:spacing w:line="276" w:lineRule="auto"/>
        <w:rPr>
          <w:rFonts w:cs="Tahoma"/>
          <w:sz w:val="24"/>
          <w:szCs w:val="24"/>
        </w:rPr>
      </w:pPr>
      <w:r w:rsidRPr="003F1810">
        <w:rPr>
          <w:rFonts w:cs="Tahoma"/>
          <w:sz w:val="24"/>
          <w:szCs w:val="24"/>
        </w:rPr>
        <w:t xml:space="preserve">Luego de hacer referencia a la situación fáctica que motivó la sentencia de condena proferida en contra de </w:t>
      </w:r>
      <w:proofErr w:type="spellStart"/>
      <w:r w:rsidR="005553FE">
        <w:rPr>
          <w:rFonts w:cs="Tahoma"/>
          <w:b/>
          <w:sz w:val="24"/>
          <w:szCs w:val="24"/>
        </w:rPr>
        <w:t>JFGS</w:t>
      </w:r>
      <w:proofErr w:type="spellEnd"/>
      <w:r w:rsidRPr="003F1810">
        <w:rPr>
          <w:rFonts w:cs="Tahoma"/>
          <w:sz w:val="24"/>
          <w:szCs w:val="24"/>
        </w:rPr>
        <w:t xml:space="preserve">, </w:t>
      </w:r>
      <w:r w:rsidR="00AF38EB" w:rsidRPr="003F1810">
        <w:rPr>
          <w:rFonts w:cs="Tahoma"/>
          <w:sz w:val="24"/>
          <w:szCs w:val="24"/>
        </w:rPr>
        <w:t>indicó, acorde con la causal esgrimida -num</w:t>
      </w:r>
      <w:r w:rsidR="001C492C" w:rsidRPr="003F1810">
        <w:rPr>
          <w:rFonts w:cs="Tahoma"/>
          <w:sz w:val="24"/>
          <w:szCs w:val="24"/>
        </w:rPr>
        <w:t>eral</w:t>
      </w:r>
      <w:r w:rsidR="00AF38EB" w:rsidRPr="003F1810">
        <w:rPr>
          <w:rFonts w:cs="Tahoma"/>
          <w:sz w:val="24"/>
          <w:szCs w:val="24"/>
        </w:rPr>
        <w:t xml:space="preserve"> 7° art. 192 C.P.-, que para el momento del fallo cuando el proveedor del arma superaba la capacidad permitida para las de uso personal -9 cartuchos- se consideraba como de uso privativo de las fuerzas armadas </w:t>
      </w:r>
      <w:r w:rsidR="00026300" w:rsidRPr="003F1810">
        <w:rPr>
          <w:rFonts w:cs="Tahoma"/>
          <w:sz w:val="24"/>
          <w:szCs w:val="24"/>
        </w:rPr>
        <w:t xml:space="preserve">de acuerdo con </w:t>
      </w:r>
      <w:r w:rsidR="00AF38EB" w:rsidRPr="003F1810">
        <w:rPr>
          <w:rFonts w:cs="Tahoma"/>
          <w:sz w:val="24"/>
          <w:szCs w:val="24"/>
        </w:rPr>
        <w:t xml:space="preserve">la jurisprudencia vigente para ese momento; no </w:t>
      </w:r>
      <w:proofErr w:type="gramStart"/>
      <w:r w:rsidR="00AF38EB" w:rsidRPr="003F1810">
        <w:rPr>
          <w:rFonts w:cs="Tahoma"/>
          <w:sz w:val="24"/>
          <w:szCs w:val="24"/>
        </w:rPr>
        <w:t>obstante</w:t>
      </w:r>
      <w:proofErr w:type="gramEnd"/>
      <w:r w:rsidR="00AF38EB" w:rsidRPr="003F1810">
        <w:rPr>
          <w:rFonts w:cs="Tahoma"/>
          <w:sz w:val="24"/>
          <w:szCs w:val="24"/>
        </w:rPr>
        <w:t xml:space="preserve"> la Sala de Casación en Sentencia SP256-2023, rad. 63192, con posterioridad al fallo de condena, recogió tal postura </w:t>
      </w:r>
      <w:r w:rsidR="001C7354" w:rsidRPr="003F1810">
        <w:rPr>
          <w:rFonts w:cs="Tahoma"/>
          <w:sz w:val="24"/>
          <w:szCs w:val="24"/>
        </w:rPr>
        <w:t xml:space="preserve">para indicar que son las características del adminículo, más no la capacidad del proveedor, la que determina si se está ante un arma de uso personal o privativo, y como en este caso aquella que le fue incautada al procesado fue una </w:t>
      </w:r>
      <w:r w:rsidR="001C7354" w:rsidRPr="003F1810">
        <w:rPr>
          <w:rFonts w:cs="Tahoma"/>
          <w:b/>
          <w:bCs/>
          <w:sz w:val="24"/>
          <w:szCs w:val="24"/>
        </w:rPr>
        <w:t>pistola 9x19 mm con proveedor para 15 cartuchos</w:t>
      </w:r>
      <w:r w:rsidR="001C7354" w:rsidRPr="003F1810">
        <w:rPr>
          <w:rFonts w:cs="Tahoma"/>
          <w:sz w:val="24"/>
          <w:szCs w:val="24"/>
        </w:rPr>
        <w:t>, se debe aplicar tal criterio jurisprudencial.</w:t>
      </w:r>
    </w:p>
    <w:p w14:paraId="4B236C48" w14:textId="77777777" w:rsidR="001C7354" w:rsidRPr="003F1810" w:rsidRDefault="001C7354" w:rsidP="003F1810">
      <w:pPr>
        <w:spacing w:line="276" w:lineRule="auto"/>
        <w:rPr>
          <w:rFonts w:cs="Tahoma"/>
          <w:sz w:val="24"/>
          <w:szCs w:val="24"/>
        </w:rPr>
      </w:pPr>
    </w:p>
    <w:p w14:paraId="28FDE7CA" w14:textId="77777777" w:rsidR="001C7354" w:rsidRPr="003F1810" w:rsidRDefault="001C7354" w:rsidP="003F1810">
      <w:pPr>
        <w:spacing w:line="276" w:lineRule="auto"/>
        <w:rPr>
          <w:rFonts w:cs="Tahoma"/>
          <w:sz w:val="24"/>
          <w:szCs w:val="24"/>
        </w:rPr>
      </w:pPr>
      <w:r w:rsidRPr="003F1810">
        <w:rPr>
          <w:rFonts w:cs="Tahoma"/>
          <w:sz w:val="24"/>
          <w:szCs w:val="24"/>
        </w:rPr>
        <w:t xml:space="preserve">En ese orden pide se deje sin efectos la sentencia proferida en julio 11 de 2022 por el Juzgado Primero Penal del Circuito Especializado y en su lugar se emita una de reemplazo, que deberá ser de condena amén del </w:t>
      </w:r>
      <w:r w:rsidR="00DA1825" w:rsidRPr="003F1810">
        <w:rPr>
          <w:rFonts w:cs="Tahoma"/>
          <w:sz w:val="24"/>
          <w:szCs w:val="24"/>
        </w:rPr>
        <w:t xml:space="preserve">consenso al </w:t>
      </w:r>
      <w:r w:rsidRPr="003F1810">
        <w:rPr>
          <w:rFonts w:cs="Tahoma"/>
          <w:sz w:val="24"/>
          <w:szCs w:val="24"/>
        </w:rPr>
        <w:t>que se llegó con el acusado, pero en su lugar se tendrá en c</w:t>
      </w:r>
      <w:r w:rsidR="00DA1825" w:rsidRPr="003F1810">
        <w:rPr>
          <w:rFonts w:cs="Tahoma"/>
          <w:sz w:val="24"/>
          <w:szCs w:val="24"/>
        </w:rPr>
        <w:t xml:space="preserve">uenta </w:t>
      </w:r>
      <w:r w:rsidRPr="003F1810">
        <w:rPr>
          <w:rFonts w:cs="Tahoma"/>
          <w:sz w:val="24"/>
          <w:szCs w:val="24"/>
        </w:rPr>
        <w:t xml:space="preserve">la conducta contemplada en el artículo 365 C.P., acuerdo cuyos términos no variarían, pero sí la pena a imponer, en tanto la pena quedaría en 63 meses y no los 75 que le fueron impuestos.  De </w:t>
      </w:r>
      <w:r w:rsidR="00026300" w:rsidRPr="003F1810">
        <w:rPr>
          <w:rFonts w:cs="Tahoma"/>
          <w:sz w:val="24"/>
          <w:szCs w:val="24"/>
        </w:rPr>
        <w:t xml:space="preserve">forma </w:t>
      </w:r>
      <w:r w:rsidRPr="003F1810">
        <w:rPr>
          <w:rFonts w:cs="Tahoma"/>
          <w:sz w:val="24"/>
          <w:szCs w:val="24"/>
        </w:rPr>
        <w:t>subsidiaria, de no poder el Tribunal proceder de tal manera, se devuelva el trámite al despacho que considere pertinente para que se profiera la decisión como debe corresponder.</w:t>
      </w:r>
    </w:p>
    <w:p w14:paraId="5A5C044A" w14:textId="77777777" w:rsidR="001C492C" w:rsidRPr="003F1810" w:rsidRDefault="001C492C" w:rsidP="003F1810">
      <w:pPr>
        <w:spacing w:line="276" w:lineRule="auto"/>
        <w:rPr>
          <w:rFonts w:cs="Tahoma"/>
          <w:sz w:val="24"/>
          <w:szCs w:val="24"/>
        </w:rPr>
      </w:pPr>
    </w:p>
    <w:p w14:paraId="5A64B3B7" w14:textId="6746F205" w:rsidR="00871D37" w:rsidRPr="003F1810" w:rsidRDefault="00871D37" w:rsidP="003F1810">
      <w:pPr>
        <w:spacing w:line="276" w:lineRule="auto"/>
        <w:rPr>
          <w:rFonts w:cs="Tahoma"/>
          <w:sz w:val="24"/>
          <w:szCs w:val="24"/>
        </w:rPr>
      </w:pPr>
      <w:r w:rsidRPr="003F1810">
        <w:rPr>
          <w:rFonts w:cs="Tahoma"/>
          <w:b/>
          <w:sz w:val="24"/>
          <w:szCs w:val="24"/>
        </w:rPr>
        <w:t>2.</w:t>
      </w:r>
      <w:r w:rsidR="002A29E6" w:rsidRPr="003F1810">
        <w:rPr>
          <w:rFonts w:cs="Tahoma"/>
          <w:b/>
          <w:sz w:val="24"/>
          <w:szCs w:val="24"/>
        </w:rPr>
        <w:t>6</w:t>
      </w:r>
      <w:r w:rsidRPr="003F1810">
        <w:rPr>
          <w:rFonts w:cs="Tahoma"/>
          <w:b/>
          <w:sz w:val="24"/>
          <w:szCs w:val="24"/>
        </w:rPr>
        <w:t>.2.-</w:t>
      </w:r>
      <w:r w:rsidRPr="003F1810">
        <w:rPr>
          <w:rFonts w:cs="Tahoma"/>
          <w:sz w:val="24"/>
          <w:szCs w:val="24"/>
        </w:rPr>
        <w:t xml:space="preserve"> </w:t>
      </w:r>
      <w:r w:rsidRPr="003F1810">
        <w:rPr>
          <w:rFonts w:cs="Tahoma"/>
          <w:i/>
          <w:sz w:val="24"/>
          <w:szCs w:val="24"/>
        </w:rPr>
        <w:t>El fiscal</w:t>
      </w:r>
      <w:r w:rsidRPr="003F1810">
        <w:rPr>
          <w:rFonts w:cs="Tahoma"/>
          <w:sz w:val="24"/>
          <w:szCs w:val="24"/>
        </w:rPr>
        <w:t xml:space="preserve"> </w:t>
      </w:r>
    </w:p>
    <w:p w14:paraId="644F68AB" w14:textId="77777777" w:rsidR="00871D37" w:rsidRPr="003F1810" w:rsidRDefault="00871D37" w:rsidP="003F1810">
      <w:pPr>
        <w:spacing w:line="276" w:lineRule="auto"/>
        <w:rPr>
          <w:rFonts w:cs="Tahoma"/>
          <w:sz w:val="24"/>
          <w:szCs w:val="24"/>
        </w:rPr>
      </w:pPr>
    </w:p>
    <w:p w14:paraId="556F4542" w14:textId="00C00F4C" w:rsidR="001C7354" w:rsidRPr="003F1810" w:rsidRDefault="001C7354" w:rsidP="003F1810">
      <w:pPr>
        <w:spacing w:line="276" w:lineRule="auto"/>
        <w:rPr>
          <w:rFonts w:cs="Tahoma"/>
          <w:sz w:val="24"/>
          <w:szCs w:val="24"/>
        </w:rPr>
      </w:pPr>
      <w:r w:rsidRPr="003F1810">
        <w:rPr>
          <w:rFonts w:cs="Tahoma"/>
          <w:sz w:val="24"/>
          <w:szCs w:val="24"/>
        </w:rPr>
        <w:t xml:space="preserve">Luego de referir a las exigencias para la procedencia de la acción de revisión conforme la jurisprudencia de la Sala de Casación Penal y en relación con la causal esgrimida por la agente del Ministerio Público, señala que en este asunto los mismos se encuentran satisfechos -una sentencia ejecutoriada y que el nuevo criterio jurisprudencial sea favorable-, </w:t>
      </w:r>
      <w:r w:rsidR="00707925" w:rsidRPr="003F1810">
        <w:rPr>
          <w:rFonts w:cs="Tahoma"/>
          <w:sz w:val="24"/>
          <w:szCs w:val="24"/>
        </w:rPr>
        <w:t xml:space="preserve"> y si bien el arma que le fue hallada a </w:t>
      </w:r>
      <w:proofErr w:type="spellStart"/>
      <w:r w:rsidR="005553FE">
        <w:rPr>
          <w:rFonts w:cs="Tahoma"/>
          <w:b/>
          <w:sz w:val="24"/>
          <w:szCs w:val="24"/>
        </w:rPr>
        <w:t>JFGS</w:t>
      </w:r>
      <w:proofErr w:type="spellEnd"/>
      <w:r w:rsidR="00707925" w:rsidRPr="003F1810">
        <w:rPr>
          <w:rFonts w:cs="Tahoma"/>
          <w:sz w:val="24"/>
          <w:szCs w:val="24"/>
        </w:rPr>
        <w:t xml:space="preserve">, tenía capacidad para 15 cartuchos, para ese momento tal conducta lo ubicaba en la descripción del canon 366 C.P., acorde con la sentencia </w:t>
      </w:r>
      <w:r w:rsidRPr="003F1810">
        <w:rPr>
          <w:rFonts w:cs="Tahoma"/>
          <w:sz w:val="24"/>
          <w:szCs w:val="24"/>
        </w:rPr>
        <w:t>SP256-2023</w:t>
      </w:r>
      <w:r w:rsidR="00707925" w:rsidRPr="003F1810">
        <w:rPr>
          <w:rFonts w:cs="Tahoma"/>
          <w:sz w:val="24"/>
          <w:szCs w:val="24"/>
        </w:rPr>
        <w:t xml:space="preserve"> el encontrar un proveedor superior a los 9 cartuchos no basta para predicar la agravación de tal conducta, y por consiguiente no </w:t>
      </w:r>
      <w:r w:rsidR="00D65094" w:rsidRPr="003F1810">
        <w:rPr>
          <w:rFonts w:cs="Tahoma"/>
          <w:sz w:val="24"/>
          <w:szCs w:val="24"/>
        </w:rPr>
        <w:t xml:space="preserve">ve </w:t>
      </w:r>
      <w:r w:rsidR="00707925" w:rsidRPr="003F1810">
        <w:rPr>
          <w:rFonts w:cs="Tahoma"/>
          <w:sz w:val="24"/>
          <w:szCs w:val="24"/>
        </w:rPr>
        <w:t xml:space="preserve">motivo para oponerse a lo pedido por </w:t>
      </w:r>
      <w:r w:rsidR="00D65094" w:rsidRPr="003F1810">
        <w:rPr>
          <w:rFonts w:cs="Tahoma"/>
          <w:sz w:val="24"/>
          <w:szCs w:val="24"/>
        </w:rPr>
        <w:t>e</w:t>
      </w:r>
      <w:r w:rsidR="00707925" w:rsidRPr="003F1810">
        <w:rPr>
          <w:rFonts w:cs="Tahoma"/>
          <w:sz w:val="24"/>
          <w:szCs w:val="24"/>
        </w:rPr>
        <w:t>l</w:t>
      </w:r>
      <w:r w:rsidR="00D65094" w:rsidRPr="003F1810">
        <w:rPr>
          <w:rFonts w:cs="Tahoma"/>
          <w:sz w:val="24"/>
          <w:szCs w:val="24"/>
        </w:rPr>
        <w:t xml:space="preserve"> </w:t>
      </w:r>
      <w:r w:rsidR="00707925" w:rsidRPr="003F1810">
        <w:rPr>
          <w:rFonts w:cs="Tahoma"/>
          <w:sz w:val="24"/>
          <w:szCs w:val="24"/>
        </w:rPr>
        <w:t xml:space="preserve">Ministerio Público, en tanto </w:t>
      </w:r>
      <w:r w:rsidR="00026300" w:rsidRPr="003F1810">
        <w:rPr>
          <w:rFonts w:cs="Tahoma"/>
          <w:sz w:val="24"/>
          <w:szCs w:val="24"/>
        </w:rPr>
        <w:t xml:space="preserve">a raíz de </w:t>
      </w:r>
      <w:r w:rsidR="00707925" w:rsidRPr="003F1810">
        <w:rPr>
          <w:rFonts w:cs="Tahoma"/>
          <w:sz w:val="24"/>
          <w:szCs w:val="24"/>
        </w:rPr>
        <w:t>lo referido por la jurisprudencia la conducta atribuida debe ubicarse normativamente en lo reglado en el artículo 365 C.P.</w:t>
      </w:r>
    </w:p>
    <w:p w14:paraId="28C0C65A" w14:textId="77777777" w:rsidR="00707925" w:rsidRPr="003F1810" w:rsidRDefault="00707925" w:rsidP="003F1810">
      <w:pPr>
        <w:spacing w:line="276" w:lineRule="auto"/>
        <w:rPr>
          <w:rFonts w:cs="Tahoma"/>
          <w:sz w:val="24"/>
          <w:szCs w:val="24"/>
        </w:rPr>
      </w:pPr>
    </w:p>
    <w:p w14:paraId="06862837" w14:textId="7D2CC788" w:rsidR="00871D37" w:rsidRPr="003F1810" w:rsidRDefault="00871D37" w:rsidP="003F1810">
      <w:pPr>
        <w:spacing w:line="276" w:lineRule="auto"/>
        <w:rPr>
          <w:rFonts w:cs="Tahoma"/>
          <w:sz w:val="24"/>
          <w:szCs w:val="24"/>
          <w:lang w:val="es-ES_tradnl"/>
        </w:rPr>
      </w:pPr>
      <w:r w:rsidRPr="003F1810">
        <w:rPr>
          <w:rFonts w:cs="Tahoma"/>
          <w:b/>
          <w:sz w:val="24"/>
          <w:szCs w:val="24"/>
        </w:rPr>
        <w:t>2.</w:t>
      </w:r>
      <w:r w:rsidR="002A29E6" w:rsidRPr="003F1810">
        <w:rPr>
          <w:rFonts w:cs="Tahoma"/>
          <w:b/>
          <w:sz w:val="24"/>
          <w:szCs w:val="24"/>
        </w:rPr>
        <w:t>6</w:t>
      </w:r>
      <w:r w:rsidRPr="003F1810">
        <w:rPr>
          <w:rFonts w:cs="Tahoma"/>
          <w:b/>
          <w:sz w:val="24"/>
          <w:szCs w:val="24"/>
        </w:rPr>
        <w:t>.3.-</w:t>
      </w:r>
      <w:r w:rsidRPr="003F1810">
        <w:rPr>
          <w:rFonts w:cs="Tahoma"/>
          <w:sz w:val="24"/>
          <w:szCs w:val="24"/>
        </w:rPr>
        <w:t xml:space="preserve"> </w:t>
      </w:r>
      <w:r w:rsidR="00707925" w:rsidRPr="003F1810">
        <w:rPr>
          <w:rFonts w:cs="Tahoma"/>
          <w:i/>
          <w:sz w:val="24"/>
          <w:szCs w:val="24"/>
        </w:rPr>
        <w:t>La Defensa</w:t>
      </w:r>
      <w:r w:rsidRPr="003F1810">
        <w:rPr>
          <w:rFonts w:cs="Tahoma"/>
          <w:sz w:val="24"/>
          <w:szCs w:val="24"/>
          <w:lang w:val="es-ES_tradnl"/>
        </w:rPr>
        <w:t xml:space="preserve"> </w:t>
      </w:r>
    </w:p>
    <w:p w14:paraId="63C17E53" w14:textId="77777777" w:rsidR="00871D37" w:rsidRPr="003F1810" w:rsidRDefault="00871D37" w:rsidP="003F1810">
      <w:pPr>
        <w:spacing w:line="276" w:lineRule="auto"/>
        <w:rPr>
          <w:rFonts w:cs="Tahoma"/>
          <w:sz w:val="24"/>
          <w:szCs w:val="24"/>
          <w:lang w:val="es-ES_tradnl"/>
        </w:rPr>
      </w:pPr>
    </w:p>
    <w:p w14:paraId="111826C6" w14:textId="71AAA4F8" w:rsidR="00871D37" w:rsidRPr="003F1810" w:rsidRDefault="00D65094" w:rsidP="003F1810">
      <w:pPr>
        <w:spacing w:line="276" w:lineRule="auto"/>
        <w:rPr>
          <w:rFonts w:cs="Tahoma"/>
          <w:sz w:val="24"/>
          <w:szCs w:val="24"/>
        </w:rPr>
      </w:pPr>
      <w:r w:rsidRPr="003F1810">
        <w:rPr>
          <w:rFonts w:cs="Tahoma"/>
          <w:sz w:val="24"/>
          <w:szCs w:val="24"/>
        </w:rPr>
        <w:lastRenderedPageBreak/>
        <w:t xml:space="preserve">Hace referencia a </w:t>
      </w:r>
      <w:r w:rsidR="00707925" w:rsidRPr="003F1810">
        <w:rPr>
          <w:rFonts w:cs="Tahoma"/>
          <w:sz w:val="24"/>
          <w:szCs w:val="24"/>
        </w:rPr>
        <w:t xml:space="preserve">la situación fáctica y a la postura </w:t>
      </w:r>
      <w:r w:rsidRPr="003F1810">
        <w:rPr>
          <w:rFonts w:cs="Tahoma"/>
          <w:sz w:val="24"/>
          <w:szCs w:val="24"/>
        </w:rPr>
        <w:t xml:space="preserve">jurisprudencial </w:t>
      </w:r>
      <w:r w:rsidR="00707925" w:rsidRPr="003F1810">
        <w:rPr>
          <w:rFonts w:cs="Tahoma"/>
          <w:sz w:val="24"/>
          <w:szCs w:val="24"/>
        </w:rPr>
        <w:t xml:space="preserve">vigente para la fecha del fallo emitido en contra del señor </w:t>
      </w:r>
      <w:proofErr w:type="spellStart"/>
      <w:r w:rsidR="00707925" w:rsidRPr="003F1810">
        <w:rPr>
          <w:rFonts w:cs="Tahoma"/>
          <w:b/>
          <w:sz w:val="24"/>
          <w:szCs w:val="24"/>
        </w:rPr>
        <w:t>JFG</w:t>
      </w:r>
      <w:r w:rsidR="005553FE">
        <w:rPr>
          <w:rFonts w:cs="Tahoma"/>
          <w:b/>
          <w:sz w:val="24"/>
          <w:szCs w:val="24"/>
        </w:rPr>
        <w:t>A</w:t>
      </w:r>
      <w:proofErr w:type="spellEnd"/>
      <w:r w:rsidR="00707925" w:rsidRPr="003F1810">
        <w:rPr>
          <w:rFonts w:cs="Tahoma"/>
          <w:sz w:val="24"/>
          <w:szCs w:val="24"/>
        </w:rPr>
        <w:t xml:space="preserve">, donde se consideraba que cuando el proveedor de un arma superaba la capacidad de almacenamiento de 9 cartuchos </w:t>
      </w:r>
      <w:r w:rsidR="00707925" w:rsidRPr="003F1810">
        <w:rPr>
          <w:rFonts w:cs="Tahoma"/>
          <w:i/>
          <w:sz w:val="24"/>
          <w:szCs w:val="24"/>
        </w:rPr>
        <w:t>per se</w:t>
      </w:r>
      <w:r w:rsidR="00707925" w:rsidRPr="003F1810">
        <w:rPr>
          <w:rFonts w:cs="Tahoma"/>
          <w:sz w:val="24"/>
          <w:szCs w:val="24"/>
        </w:rPr>
        <w:t xml:space="preserve"> </w:t>
      </w:r>
      <w:r w:rsidR="00DA1825" w:rsidRPr="003F1810">
        <w:rPr>
          <w:rFonts w:cs="Tahoma"/>
          <w:sz w:val="24"/>
          <w:szCs w:val="24"/>
        </w:rPr>
        <w:t xml:space="preserve">pasaba a ser </w:t>
      </w:r>
      <w:r w:rsidR="00707925" w:rsidRPr="003F1810">
        <w:rPr>
          <w:rFonts w:cs="Tahoma"/>
          <w:sz w:val="24"/>
          <w:szCs w:val="24"/>
        </w:rPr>
        <w:t xml:space="preserve">de uso privativo, </w:t>
      </w:r>
      <w:r w:rsidRPr="003F1810">
        <w:rPr>
          <w:rFonts w:cs="Tahoma"/>
          <w:sz w:val="24"/>
          <w:szCs w:val="24"/>
        </w:rPr>
        <w:t xml:space="preserve">pero </w:t>
      </w:r>
      <w:r w:rsidR="00707925" w:rsidRPr="003F1810">
        <w:rPr>
          <w:rFonts w:cs="Tahoma"/>
          <w:sz w:val="24"/>
          <w:szCs w:val="24"/>
        </w:rPr>
        <w:t xml:space="preserve">la Corte emitió la sentencia SP256-2023, respecto de lo cual señala que será en consecuencia Indumil el llamado a establecer los requisitos para </w:t>
      </w:r>
      <w:r w:rsidR="00875F67" w:rsidRPr="003F1810">
        <w:rPr>
          <w:rFonts w:cs="Tahoma"/>
          <w:sz w:val="24"/>
          <w:szCs w:val="24"/>
        </w:rPr>
        <w:t xml:space="preserve">determinar </w:t>
      </w:r>
      <w:r w:rsidR="00707925" w:rsidRPr="003F1810">
        <w:rPr>
          <w:rFonts w:cs="Tahoma"/>
          <w:sz w:val="24"/>
          <w:szCs w:val="24"/>
        </w:rPr>
        <w:t xml:space="preserve">qué armas son de uso privativo y cuáles de uso personal, y como en este caso se </w:t>
      </w:r>
      <w:r w:rsidR="00875F67" w:rsidRPr="003F1810">
        <w:rPr>
          <w:rFonts w:cs="Tahoma"/>
          <w:sz w:val="24"/>
          <w:szCs w:val="24"/>
        </w:rPr>
        <w:t xml:space="preserve">tiene </w:t>
      </w:r>
      <w:r w:rsidR="00707925" w:rsidRPr="003F1810">
        <w:rPr>
          <w:rFonts w:cs="Tahoma"/>
          <w:sz w:val="24"/>
          <w:szCs w:val="24"/>
        </w:rPr>
        <w:t>que el arma era de calibre 7.65 mm (sic)</w:t>
      </w:r>
      <w:r w:rsidR="00707925" w:rsidRPr="003F1810">
        <w:rPr>
          <w:rFonts w:cs="Tahoma"/>
          <w:sz w:val="24"/>
          <w:szCs w:val="24"/>
          <w:vertAlign w:val="superscript"/>
        </w:rPr>
        <w:footnoteReference w:id="1"/>
      </w:r>
      <w:r w:rsidR="00707925" w:rsidRPr="003F1810">
        <w:rPr>
          <w:rFonts w:cs="Tahoma"/>
          <w:sz w:val="24"/>
          <w:szCs w:val="24"/>
        </w:rPr>
        <w:t xml:space="preserve">, y 7 cartuchos con un proveedor con capacidad para 12 cartuchos (sic), la revisión que pretende la Procuraduría es para que se deje sin efectos la sentencia emitida y se dicte una nueva o en su defecto se envíe a los juzgados del circuito  como competentes para dictar un nuevo fallo, o incluso para que Fiscalía y defensa, se sienten a </w:t>
      </w:r>
      <w:r w:rsidRPr="003F1810">
        <w:rPr>
          <w:rFonts w:cs="Tahoma"/>
          <w:sz w:val="24"/>
          <w:szCs w:val="24"/>
        </w:rPr>
        <w:t xml:space="preserve">realizar </w:t>
      </w:r>
      <w:r w:rsidR="00707925" w:rsidRPr="003F1810">
        <w:rPr>
          <w:rFonts w:cs="Tahoma"/>
          <w:sz w:val="24"/>
          <w:szCs w:val="24"/>
        </w:rPr>
        <w:t>un nuevo preacuerdo en beneficio de los intereses del procesado</w:t>
      </w:r>
      <w:r w:rsidR="00C21A95" w:rsidRPr="003F1810">
        <w:rPr>
          <w:rFonts w:cs="Tahoma"/>
          <w:sz w:val="24"/>
          <w:szCs w:val="24"/>
        </w:rPr>
        <w:t>, al tratarse del delito consagrado en el artículo 365 C.P.</w:t>
      </w:r>
    </w:p>
    <w:p w14:paraId="66942DA1" w14:textId="77777777" w:rsidR="00AA7F65" w:rsidRPr="003F1810" w:rsidRDefault="00AA7F65" w:rsidP="003F1810">
      <w:pPr>
        <w:spacing w:line="276" w:lineRule="auto"/>
        <w:rPr>
          <w:rFonts w:cs="Tahoma"/>
          <w:sz w:val="24"/>
          <w:szCs w:val="24"/>
          <w:lang w:val="es-ES_tradnl"/>
        </w:rPr>
      </w:pPr>
    </w:p>
    <w:p w14:paraId="5DA76010" w14:textId="77777777" w:rsidR="00222070" w:rsidRPr="003F1810" w:rsidRDefault="00222070" w:rsidP="003F1810">
      <w:pPr>
        <w:spacing w:line="276" w:lineRule="auto"/>
        <w:rPr>
          <w:rFonts w:ascii="Algerian" w:hAnsi="Algerian"/>
          <w:sz w:val="30"/>
          <w:szCs w:val="20"/>
        </w:rPr>
      </w:pPr>
      <w:r w:rsidRPr="003F1810">
        <w:rPr>
          <w:rFonts w:ascii="Algerian" w:hAnsi="Algerian"/>
          <w:sz w:val="30"/>
          <w:szCs w:val="20"/>
        </w:rPr>
        <w:t>3.-</w:t>
      </w:r>
      <w:r w:rsidRPr="003F1810">
        <w:rPr>
          <w:rStyle w:val="Algerian"/>
          <w:rFonts w:ascii="Tahoma" w:hAnsi="Tahoma" w:cs="Tahoma"/>
          <w:sz w:val="24"/>
          <w:szCs w:val="24"/>
        </w:rPr>
        <w:t xml:space="preserve"> Para resolver, </w:t>
      </w:r>
      <w:r w:rsidRPr="003F1810">
        <w:rPr>
          <w:rFonts w:ascii="Algerian" w:hAnsi="Algerian"/>
          <w:sz w:val="30"/>
          <w:szCs w:val="20"/>
        </w:rPr>
        <w:t xml:space="preserve">se </w:t>
      </w:r>
      <w:r w:rsidRPr="003F1810">
        <w:rPr>
          <w:rFonts w:ascii="Algerian" w:hAnsi="Algerian" w:cs="Tahoma"/>
          <w:sz w:val="30"/>
          <w:szCs w:val="20"/>
        </w:rPr>
        <w:t>cons</w:t>
      </w:r>
      <w:r w:rsidRPr="003F1810">
        <w:rPr>
          <w:rFonts w:ascii="Algerian" w:hAnsi="Algerian"/>
          <w:sz w:val="30"/>
          <w:szCs w:val="20"/>
        </w:rPr>
        <w:t>idera</w:t>
      </w:r>
    </w:p>
    <w:p w14:paraId="791D3933" w14:textId="77777777" w:rsidR="00871D37" w:rsidRPr="003F1810" w:rsidRDefault="00871D37" w:rsidP="003F1810">
      <w:pPr>
        <w:spacing w:line="276" w:lineRule="auto"/>
        <w:rPr>
          <w:rFonts w:cs="Tahoma"/>
          <w:sz w:val="24"/>
          <w:szCs w:val="24"/>
          <w:lang w:val="es-ES_tradnl"/>
        </w:rPr>
      </w:pPr>
    </w:p>
    <w:p w14:paraId="71284F3D" w14:textId="77777777" w:rsidR="00871D37" w:rsidRPr="003F1810" w:rsidRDefault="00871D37" w:rsidP="003F1810">
      <w:pPr>
        <w:spacing w:line="276" w:lineRule="auto"/>
        <w:rPr>
          <w:rFonts w:cs="Tahoma"/>
          <w:b/>
          <w:sz w:val="24"/>
          <w:szCs w:val="24"/>
        </w:rPr>
      </w:pPr>
      <w:r w:rsidRPr="003F1810">
        <w:rPr>
          <w:rFonts w:cs="Tahoma"/>
          <w:b/>
          <w:sz w:val="24"/>
          <w:szCs w:val="24"/>
        </w:rPr>
        <w:t>3.</w:t>
      </w:r>
      <w:r w:rsidR="00222070" w:rsidRPr="003F1810">
        <w:rPr>
          <w:rFonts w:cs="Tahoma"/>
          <w:b/>
          <w:sz w:val="24"/>
          <w:szCs w:val="24"/>
        </w:rPr>
        <w:t>1</w:t>
      </w:r>
      <w:r w:rsidRPr="003F1810">
        <w:rPr>
          <w:rFonts w:cs="Tahoma"/>
          <w:b/>
          <w:sz w:val="24"/>
          <w:szCs w:val="24"/>
        </w:rPr>
        <w:t>- Competencia</w:t>
      </w:r>
    </w:p>
    <w:p w14:paraId="3274BECA" w14:textId="77777777" w:rsidR="00871D37" w:rsidRPr="003F1810" w:rsidRDefault="00871D37" w:rsidP="003F1810">
      <w:pPr>
        <w:spacing w:line="276" w:lineRule="auto"/>
        <w:rPr>
          <w:rFonts w:cs="Tahoma"/>
          <w:sz w:val="24"/>
          <w:szCs w:val="24"/>
        </w:rPr>
      </w:pPr>
    </w:p>
    <w:p w14:paraId="43C806F3" w14:textId="77777777" w:rsidR="00871D37" w:rsidRPr="003F1810" w:rsidRDefault="00871D37" w:rsidP="003F1810">
      <w:pPr>
        <w:spacing w:line="276" w:lineRule="auto"/>
        <w:rPr>
          <w:rFonts w:cs="Tahoma"/>
          <w:sz w:val="24"/>
          <w:szCs w:val="24"/>
        </w:rPr>
      </w:pPr>
      <w:r w:rsidRPr="003F1810">
        <w:rPr>
          <w:rFonts w:cs="Tahoma"/>
          <w:sz w:val="24"/>
          <w:szCs w:val="24"/>
        </w:rPr>
        <w:t xml:space="preserve">La tiene esta Colegiatura de conformidad con lo reglado en el numeral 3º del artículo 34 del Código de Procedimiento Penal, al haber sido interpuesta la acción por una parte legitimada para hacerlo, y acreditarse el cumplimiento de los requisitos legales </w:t>
      </w:r>
      <w:r w:rsidR="007165A0" w:rsidRPr="003F1810">
        <w:rPr>
          <w:rFonts w:cs="Tahoma"/>
          <w:sz w:val="24"/>
          <w:szCs w:val="24"/>
        </w:rPr>
        <w:t xml:space="preserve">fijados </w:t>
      </w:r>
      <w:r w:rsidRPr="003F1810">
        <w:rPr>
          <w:rFonts w:cs="Tahoma"/>
          <w:sz w:val="24"/>
          <w:szCs w:val="24"/>
        </w:rPr>
        <w:t>para ello.</w:t>
      </w:r>
    </w:p>
    <w:p w14:paraId="316109AC" w14:textId="77777777" w:rsidR="007B2CD5" w:rsidRPr="003F1810" w:rsidRDefault="007B2CD5" w:rsidP="003F1810">
      <w:pPr>
        <w:spacing w:line="276" w:lineRule="auto"/>
        <w:rPr>
          <w:rFonts w:cs="Tahoma"/>
          <w:b/>
          <w:sz w:val="24"/>
          <w:szCs w:val="24"/>
        </w:rPr>
      </w:pPr>
    </w:p>
    <w:p w14:paraId="6BBF81A0" w14:textId="2ADB127D" w:rsidR="00871D37" w:rsidRPr="003F1810" w:rsidRDefault="00871D37" w:rsidP="003F1810">
      <w:pPr>
        <w:spacing w:line="276" w:lineRule="auto"/>
        <w:rPr>
          <w:rFonts w:cs="Tahoma"/>
          <w:sz w:val="24"/>
          <w:szCs w:val="24"/>
        </w:rPr>
      </w:pPr>
      <w:r w:rsidRPr="003F1810">
        <w:rPr>
          <w:rFonts w:cs="Tahoma"/>
          <w:b/>
          <w:sz w:val="24"/>
          <w:szCs w:val="24"/>
        </w:rPr>
        <w:t>3.</w:t>
      </w:r>
      <w:r w:rsidR="00222070" w:rsidRPr="003F1810">
        <w:rPr>
          <w:rFonts w:cs="Tahoma"/>
          <w:b/>
          <w:sz w:val="24"/>
          <w:szCs w:val="24"/>
        </w:rPr>
        <w:t>2</w:t>
      </w:r>
      <w:r w:rsidRPr="003F1810">
        <w:rPr>
          <w:rFonts w:cs="Tahoma"/>
          <w:b/>
          <w:sz w:val="24"/>
          <w:szCs w:val="24"/>
        </w:rPr>
        <w:t>.-</w:t>
      </w:r>
      <w:r w:rsidRPr="003F1810">
        <w:rPr>
          <w:rFonts w:cs="Tahoma"/>
          <w:sz w:val="24"/>
          <w:szCs w:val="24"/>
        </w:rPr>
        <w:t xml:space="preserve"> </w:t>
      </w:r>
      <w:r w:rsidRPr="003F1810">
        <w:rPr>
          <w:rFonts w:cs="Tahoma"/>
          <w:b/>
          <w:sz w:val="24"/>
          <w:szCs w:val="24"/>
        </w:rPr>
        <w:t>Problema jurídico planteado</w:t>
      </w:r>
    </w:p>
    <w:p w14:paraId="2CDCBFCD" w14:textId="77777777" w:rsidR="00871D37" w:rsidRPr="003F1810" w:rsidRDefault="00871D37" w:rsidP="003F1810">
      <w:pPr>
        <w:spacing w:line="276" w:lineRule="auto"/>
        <w:rPr>
          <w:rFonts w:cs="Tahoma"/>
          <w:sz w:val="24"/>
          <w:szCs w:val="24"/>
        </w:rPr>
      </w:pPr>
    </w:p>
    <w:p w14:paraId="2BB6EBDF" w14:textId="77777777" w:rsidR="00871D37" w:rsidRPr="003F1810" w:rsidRDefault="00871D37" w:rsidP="003F1810">
      <w:pPr>
        <w:spacing w:line="276" w:lineRule="auto"/>
        <w:rPr>
          <w:rFonts w:cs="Tahoma"/>
          <w:sz w:val="24"/>
          <w:szCs w:val="24"/>
        </w:rPr>
      </w:pPr>
      <w:r w:rsidRPr="003F1810">
        <w:rPr>
          <w:rFonts w:cs="Tahoma"/>
          <w:sz w:val="24"/>
          <w:szCs w:val="24"/>
        </w:rPr>
        <w:t xml:space="preserve">Se contrae a determinar si hay lugar a </w:t>
      </w:r>
      <w:r w:rsidR="005C1C46" w:rsidRPr="003F1810">
        <w:rPr>
          <w:rFonts w:cs="Tahoma"/>
          <w:sz w:val="24"/>
          <w:szCs w:val="24"/>
        </w:rPr>
        <w:t xml:space="preserve">dictar </w:t>
      </w:r>
      <w:r w:rsidRPr="003F1810">
        <w:rPr>
          <w:rFonts w:cs="Tahoma"/>
          <w:sz w:val="24"/>
          <w:szCs w:val="24"/>
        </w:rPr>
        <w:t xml:space="preserve">sentencia de reemplazo en el caso bajo análisis, con fundamento en que </w:t>
      </w:r>
      <w:r w:rsidR="00F9286D" w:rsidRPr="003F1810">
        <w:rPr>
          <w:rFonts w:cs="Tahoma"/>
          <w:sz w:val="24"/>
          <w:szCs w:val="24"/>
        </w:rPr>
        <w:t>e</w:t>
      </w:r>
      <w:r w:rsidRPr="003F1810">
        <w:rPr>
          <w:rFonts w:cs="Tahoma"/>
          <w:sz w:val="24"/>
          <w:szCs w:val="24"/>
        </w:rPr>
        <w:t>l pronunciamiento jurisprudencial</w:t>
      </w:r>
      <w:r w:rsidR="00F9286D" w:rsidRPr="003F1810">
        <w:rPr>
          <w:rFonts w:cs="Tahoma"/>
          <w:sz w:val="24"/>
          <w:szCs w:val="24"/>
        </w:rPr>
        <w:t xml:space="preserve"> </w:t>
      </w:r>
      <w:r w:rsidRPr="003F1810">
        <w:rPr>
          <w:rFonts w:cs="Tahoma"/>
          <w:sz w:val="24"/>
          <w:szCs w:val="24"/>
        </w:rPr>
        <w:t xml:space="preserve">posterior emitido por el órgano de cierre en materia penal permite </w:t>
      </w:r>
      <w:r w:rsidR="00252E42" w:rsidRPr="003F1810">
        <w:rPr>
          <w:rFonts w:cs="Tahoma"/>
          <w:sz w:val="24"/>
          <w:szCs w:val="24"/>
        </w:rPr>
        <w:t xml:space="preserve">emitir fallo de condena, pero por un punible más favorable a aquél por el cual se emitió sentencia en su contra y que </w:t>
      </w:r>
      <w:r w:rsidRPr="003F1810">
        <w:rPr>
          <w:rFonts w:cs="Tahoma"/>
          <w:sz w:val="24"/>
          <w:szCs w:val="24"/>
        </w:rPr>
        <w:t xml:space="preserve">se encuentra en firme. </w:t>
      </w:r>
    </w:p>
    <w:p w14:paraId="2383A008" w14:textId="77777777" w:rsidR="00252E42" w:rsidRPr="003F1810" w:rsidRDefault="00252E42" w:rsidP="003F1810">
      <w:pPr>
        <w:spacing w:line="276" w:lineRule="auto"/>
        <w:rPr>
          <w:rFonts w:cs="Tahoma"/>
          <w:sz w:val="24"/>
          <w:szCs w:val="24"/>
        </w:rPr>
      </w:pPr>
    </w:p>
    <w:p w14:paraId="0B9F1A77" w14:textId="77777777" w:rsidR="00871D37" w:rsidRPr="003F1810" w:rsidRDefault="00871D37" w:rsidP="003F1810">
      <w:pPr>
        <w:spacing w:line="276" w:lineRule="auto"/>
        <w:rPr>
          <w:rFonts w:cs="Tahoma"/>
          <w:b/>
          <w:sz w:val="24"/>
          <w:szCs w:val="24"/>
        </w:rPr>
      </w:pPr>
      <w:r w:rsidRPr="003F1810">
        <w:rPr>
          <w:rFonts w:cs="Tahoma"/>
          <w:b/>
          <w:sz w:val="24"/>
          <w:szCs w:val="24"/>
        </w:rPr>
        <w:t>3.3.- Solución a la controversia</w:t>
      </w:r>
    </w:p>
    <w:p w14:paraId="71C70C9D" w14:textId="77777777" w:rsidR="008E5C92" w:rsidRPr="003F1810" w:rsidRDefault="008E5C92" w:rsidP="003F1810">
      <w:pPr>
        <w:spacing w:line="276" w:lineRule="auto"/>
        <w:rPr>
          <w:rFonts w:cs="Tahoma"/>
          <w:sz w:val="24"/>
          <w:szCs w:val="24"/>
        </w:rPr>
      </w:pPr>
    </w:p>
    <w:p w14:paraId="7C3BC483" w14:textId="77777777" w:rsidR="00871D37" w:rsidRPr="003F1810" w:rsidRDefault="00871D37" w:rsidP="003F1810">
      <w:pPr>
        <w:spacing w:line="276" w:lineRule="auto"/>
        <w:rPr>
          <w:rFonts w:cs="Tahoma"/>
          <w:sz w:val="24"/>
          <w:szCs w:val="24"/>
        </w:rPr>
      </w:pPr>
      <w:bookmarkStart w:id="0" w:name="_Hlk181885986"/>
      <w:r w:rsidRPr="003F1810">
        <w:rPr>
          <w:rFonts w:cs="Tahoma"/>
          <w:sz w:val="24"/>
          <w:szCs w:val="24"/>
        </w:rPr>
        <w:t>La acción de revisión</w:t>
      </w:r>
      <w:r w:rsidRPr="003F1810">
        <w:rPr>
          <w:rStyle w:val="Refdenotaalpie"/>
          <w:rFonts w:ascii="Tahoma" w:hAnsi="Tahoma" w:cs="Tahoma"/>
          <w:sz w:val="24"/>
          <w:szCs w:val="24"/>
        </w:rPr>
        <w:footnoteReference w:id="2"/>
      </w:r>
      <w:r w:rsidRPr="003F1810">
        <w:rPr>
          <w:rFonts w:cs="Tahoma"/>
          <w:sz w:val="24"/>
          <w:szCs w:val="24"/>
        </w:rPr>
        <w:t xml:space="preserve"> es un mecanismo que ha sido establecido para corregir los posibles errores que se adviertan en los fallos judiciales ejecutoriados, es decir, que constituye una excepción al principio de cosa juzgada, en la medida que se demuestre el quebrantamiento de principios o garantías fundamentales de conformidad con las causales taxativamente </w:t>
      </w:r>
      <w:r w:rsidR="004D7A7B" w:rsidRPr="003F1810">
        <w:rPr>
          <w:rFonts w:cs="Tahoma"/>
          <w:sz w:val="24"/>
          <w:szCs w:val="24"/>
        </w:rPr>
        <w:t xml:space="preserve">contempladas </w:t>
      </w:r>
      <w:r w:rsidRPr="003F1810">
        <w:rPr>
          <w:rFonts w:cs="Tahoma"/>
          <w:sz w:val="24"/>
          <w:szCs w:val="24"/>
        </w:rPr>
        <w:t>en la Ley.</w:t>
      </w:r>
    </w:p>
    <w:p w14:paraId="1BEEE1EF" w14:textId="77777777" w:rsidR="00871D37" w:rsidRPr="003F1810" w:rsidRDefault="00871D37" w:rsidP="003F1810">
      <w:pPr>
        <w:spacing w:line="276" w:lineRule="auto"/>
        <w:rPr>
          <w:rFonts w:cs="Tahoma"/>
          <w:sz w:val="24"/>
          <w:szCs w:val="24"/>
        </w:rPr>
      </w:pPr>
    </w:p>
    <w:p w14:paraId="365E498B" w14:textId="77777777" w:rsidR="00871D37" w:rsidRPr="003F1810" w:rsidRDefault="00871D37" w:rsidP="003F1810">
      <w:pPr>
        <w:spacing w:line="276" w:lineRule="auto"/>
        <w:rPr>
          <w:rFonts w:cs="Tahoma"/>
          <w:sz w:val="24"/>
          <w:szCs w:val="24"/>
        </w:rPr>
      </w:pPr>
      <w:r w:rsidRPr="003F1810">
        <w:rPr>
          <w:rFonts w:cs="Tahoma"/>
          <w:sz w:val="24"/>
          <w:szCs w:val="24"/>
        </w:rPr>
        <w:lastRenderedPageBreak/>
        <w:t>En este caso se invocó por</w:t>
      </w:r>
      <w:r w:rsidR="00252E42" w:rsidRPr="003F1810">
        <w:rPr>
          <w:rFonts w:cs="Tahoma"/>
          <w:sz w:val="24"/>
          <w:szCs w:val="24"/>
        </w:rPr>
        <w:t xml:space="preserve"> la agente del Ministerio Público </w:t>
      </w:r>
      <w:r w:rsidRPr="003F1810">
        <w:rPr>
          <w:rFonts w:cs="Tahoma"/>
          <w:sz w:val="24"/>
          <w:szCs w:val="24"/>
        </w:rPr>
        <w:t>la causal consagrada en el numeral 7º del artículo 192 de la Ley 906 de 2004, que reza: “</w:t>
      </w:r>
      <w:r w:rsidRPr="00CD72BB">
        <w:rPr>
          <w:rFonts w:cs="Tahoma"/>
          <w:color w:val="000000"/>
          <w:sz w:val="22"/>
          <w:szCs w:val="22"/>
        </w:rPr>
        <w:t>Cuando mediante pronunciamiento judicial, la Corte haya cambiado favorablemente el criterio jurídico que sirvió para sustentar la sentencia condenatoria, tanto respecto de la responsabilidad como de la punibilidad</w:t>
      </w:r>
      <w:r w:rsidRPr="003F1810">
        <w:rPr>
          <w:rFonts w:cs="Tahoma"/>
          <w:color w:val="000000"/>
          <w:sz w:val="24"/>
          <w:szCs w:val="24"/>
        </w:rPr>
        <w:t>”.</w:t>
      </w:r>
    </w:p>
    <w:bookmarkEnd w:id="0"/>
    <w:p w14:paraId="5A382A6B" w14:textId="77777777" w:rsidR="00871D37" w:rsidRPr="003F1810" w:rsidRDefault="00871D37" w:rsidP="003F1810">
      <w:pPr>
        <w:spacing w:line="276" w:lineRule="auto"/>
        <w:rPr>
          <w:rFonts w:cs="Tahoma"/>
          <w:sz w:val="24"/>
          <w:szCs w:val="24"/>
        </w:rPr>
      </w:pPr>
    </w:p>
    <w:p w14:paraId="37C02B4E" w14:textId="77777777" w:rsidR="006703B3" w:rsidRPr="003F1810" w:rsidRDefault="00720213" w:rsidP="003F1810">
      <w:pPr>
        <w:spacing w:line="276" w:lineRule="auto"/>
        <w:rPr>
          <w:rFonts w:cs="Tahoma"/>
          <w:sz w:val="24"/>
          <w:szCs w:val="24"/>
        </w:rPr>
      </w:pPr>
      <w:r w:rsidRPr="003F1810">
        <w:rPr>
          <w:rFonts w:cs="Tahoma"/>
          <w:sz w:val="24"/>
          <w:szCs w:val="24"/>
        </w:rPr>
        <w:t xml:space="preserve">La acción invocada, </w:t>
      </w:r>
      <w:r w:rsidR="006703B3" w:rsidRPr="003F1810">
        <w:rPr>
          <w:rFonts w:cs="Tahoma"/>
          <w:sz w:val="24"/>
          <w:szCs w:val="24"/>
        </w:rPr>
        <w:t>es un mecanismo procesal excepcional,</w:t>
      </w:r>
      <w:r w:rsidRPr="003F1810">
        <w:rPr>
          <w:rFonts w:cs="Tahoma"/>
          <w:sz w:val="24"/>
          <w:szCs w:val="24"/>
        </w:rPr>
        <w:t xml:space="preserve"> que tiene como </w:t>
      </w:r>
      <w:r w:rsidR="006703B3" w:rsidRPr="003F1810">
        <w:rPr>
          <w:rFonts w:cs="Tahoma"/>
          <w:sz w:val="24"/>
          <w:szCs w:val="24"/>
        </w:rPr>
        <w:t>finalidad remover el carácter definitivo de lo resuelto con efectos de cosa juzgada, por lo que sólo procede frente a decisiones ejecutoriadas.</w:t>
      </w:r>
      <w:r w:rsidRPr="003F1810">
        <w:rPr>
          <w:rFonts w:cs="Tahoma"/>
          <w:sz w:val="24"/>
          <w:szCs w:val="24"/>
        </w:rPr>
        <w:t xml:space="preserve"> Al respecto la jurisprudencia ha señalado:</w:t>
      </w:r>
    </w:p>
    <w:p w14:paraId="624A2068" w14:textId="77777777" w:rsidR="00720213" w:rsidRPr="003F1810" w:rsidRDefault="00720213" w:rsidP="003F1810">
      <w:pPr>
        <w:spacing w:line="276" w:lineRule="auto"/>
        <w:ind w:left="426" w:right="335"/>
        <w:rPr>
          <w:rFonts w:cs="Tahoma"/>
          <w:sz w:val="24"/>
          <w:szCs w:val="24"/>
        </w:rPr>
      </w:pPr>
    </w:p>
    <w:p w14:paraId="50CA2426" w14:textId="77777777" w:rsidR="00720213" w:rsidRPr="003F1810" w:rsidRDefault="00720213" w:rsidP="003F1810">
      <w:pPr>
        <w:spacing w:line="240" w:lineRule="auto"/>
        <w:ind w:left="426" w:right="420"/>
        <w:rPr>
          <w:rFonts w:cs="Tahoma"/>
          <w:sz w:val="22"/>
          <w:szCs w:val="22"/>
        </w:rPr>
      </w:pPr>
      <w:r w:rsidRPr="003F1810">
        <w:rPr>
          <w:rFonts w:cs="Tahoma"/>
          <w:sz w:val="22"/>
          <w:szCs w:val="22"/>
        </w:rPr>
        <w:t>“La naturaleza de esta acción es la de ser un mecanismo procesal excepcional o extraordinario, cuya finalidad es remover el carácter definitivo e irrebatible de lo resuelto con efectos de cosa juzgada, como consecuencia de la demostración de uno o más de los motivos taxativamente establecidos por el legislador, que demuestren la injusticia de la decisión censurada. Sobre el carácter excepcional de la acción se indicó en decisión CSJ AP 19 dic. 2001, Rad. 17708 que:</w:t>
      </w:r>
    </w:p>
    <w:p w14:paraId="75D9B4FF" w14:textId="77777777" w:rsidR="00720213" w:rsidRPr="003F1810" w:rsidRDefault="00720213" w:rsidP="003F1810">
      <w:pPr>
        <w:spacing w:line="240" w:lineRule="auto"/>
        <w:ind w:left="426" w:right="420"/>
        <w:rPr>
          <w:rFonts w:cs="Tahoma"/>
          <w:sz w:val="22"/>
          <w:szCs w:val="22"/>
        </w:rPr>
      </w:pPr>
    </w:p>
    <w:p w14:paraId="3C0189C2" w14:textId="5A6392B2" w:rsidR="00720213" w:rsidRPr="003F1810" w:rsidRDefault="00720213" w:rsidP="003F1810">
      <w:pPr>
        <w:spacing w:line="240" w:lineRule="auto"/>
        <w:ind w:left="851" w:right="845"/>
        <w:rPr>
          <w:rFonts w:cs="Tahoma"/>
          <w:sz w:val="22"/>
          <w:szCs w:val="22"/>
        </w:rPr>
      </w:pPr>
      <w:r w:rsidRPr="003F1810">
        <w:rPr>
          <w:rFonts w:cs="Tahoma"/>
          <w:sz w:val="22"/>
          <w:szCs w:val="22"/>
        </w:rPr>
        <w:t>La acción de revisión no constituye una prolongación del juicio ni corresponde a un instrumento ordinario que permita dar cabida a particulares consideraciones tendientes a cuestionar los soportes de la declaración de justicia que ha hecho tránsito a cosa juzgada y amparada por el doble carácter de definitiva e inmutable.</w:t>
      </w:r>
    </w:p>
    <w:p w14:paraId="220E9957" w14:textId="77777777" w:rsidR="00720213" w:rsidRPr="003F1810" w:rsidRDefault="00720213" w:rsidP="003F1810">
      <w:pPr>
        <w:spacing w:line="240" w:lineRule="auto"/>
        <w:ind w:left="851" w:right="845"/>
        <w:rPr>
          <w:rFonts w:cs="Tahoma"/>
          <w:sz w:val="22"/>
          <w:szCs w:val="22"/>
        </w:rPr>
      </w:pPr>
    </w:p>
    <w:p w14:paraId="251D6B7C" w14:textId="77777777" w:rsidR="00720213" w:rsidRPr="003F1810" w:rsidRDefault="00720213" w:rsidP="003F1810">
      <w:pPr>
        <w:spacing w:line="240" w:lineRule="auto"/>
        <w:ind w:left="851" w:right="845"/>
        <w:rPr>
          <w:rFonts w:cs="Tahoma"/>
          <w:sz w:val="22"/>
          <w:szCs w:val="22"/>
        </w:rPr>
      </w:pPr>
      <w:r w:rsidRPr="003F1810">
        <w:rPr>
          <w:rFonts w:cs="Tahoma"/>
          <w:sz w:val="22"/>
          <w:szCs w:val="22"/>
        </w:rPr>
        <w:t xml:space="preserve">Su fundamento se halla en la posibilidad real de lograr un fallo </w:t>
      </w:r>
      <w:proofErr w:type="spellStart"/>
      <w:r w:rsidRPr="003F1810">
        <w:rPr>
          <w:rFonts w:cs="Tahoma"/>
          <w:sz w:val="22"/>
          <w:szCs w:val="22"/>
        </w:rPr>
        <w:t>rescindente</w:t>
      </w:r>
      <w:proofErr w:type="spellEnd"/>
      <w:r w:rsidRPr="003F1810">
        <w:rPr>
          <w:rFonts w:cs="Tahoma"/>
          <w:sz w:val="22"/>
          <w:szCs w:val="22"/>
        </w:rPr>
        <w:t xml:space="preserve"> en orden a remediar la injusticia material en que haya podido incurrir el órgano </w:t>
      </w:r>
      <w:proofErr w:type="spellStart"/>
      <w:r w:rsidRPr="003F1810">
        <w:rPr>
          <w:rFonts w:cs="Tahoma"/>
          <w:sz w:val="22"/>
          <w:szCs w:val="22"/>
        </w:rPr>
        <w:t>jurisdicente</w:t>
      </w:r>
      <w:proofErr w:type="spellEnd"/>
      <w:r w:rsidRPr="003F1810">
        <w:rPr>
          <w:rFonts w:cs="Tahoma"/>
          <w:sz w:val="22"/>
          <w:szCs w:val="22"/>
        </w:rPr>
        <w:t>, pero solamente por el acaecimiento de precisos motivos cuya demostración corre a cargo del actor.”</w:t>
      </w:r>
    </w:p>
    <w:p w14:paraId="74B13575" w14:textId="77777777" w:rsidR="00720213" w:rsidRPr="003F1810" w:rsidRDefault="00720213" w:rsidP="003F1810">
      <w:pPr>
        <w:spacing w:line="240" w:lineRule="auto"/>
        <w:ind w:left="426" w:right="420"/>
        <w:rPr>
          <w:rFonts w:cs="Tahoma"/>
          <w:sz w:val="22"/>
          <w:szCs w:val="22"/>
        </w:rPr>
      </w:pPr>
    </w:p>
    <w:p w14:paraId="4D5CB94C" w14:textId="77777777" w:rsidR="00720213" w:rsidRPr="003F1810" w:rsidRDefault="00720213" w:rsidP="003F1810">
      <w:pPr>
        <w:spacing w:line="240" w:lineRule="auto"/>
        <w:ind w:left="426" w:right="420"/>
        <w:rPr>
          <w:rFonts w:cs="Tahoma"/>
          <w:sz w:val="22"/>
          <w:szCs w:val="22"/>
        </w:rPr>
      </w:pPr>
      <w:r w:rsidRPr="003F1810">
        <w:rPr>
          <w:rFonts w:cs="Tahoma"/>
          <w:sz w:val="22"/>
          <w:szCs w:val="22"/>
        </w:rPr>
        <w:t>Por ello, se reiteró en auto CSJ AP 24 Feb 2016, Rad. 47125 que la revisión no constituye una instancia adicional en el que tenga lugar un nuevo debate probatorio ya superado en las instancias, de modo que las inconformidades que se susciten sobre los juicios emitidos por los funcionarios judiciales al interior del proceso no deben ventilarse en sede de esta acción excepcional. Así, por el carácter excepcional que identifica la acción de revisión, se exige del demandante la carga de demostrar la configuración clara e indiscutible de la causal o causales alegadas, toda vez que se trata de un mecanismo procesal rogado (CSJ AP, 25 Mar 2015, Rad. 43.681)».”</w:t>
      </w:r>
      <w:r w:rsidRPr="003F1810">
        <w:rPr>
          <w:rStyle w:val="Refdenotaalpie"/>
          <w:rFonts w:ascii="Tahoma" w:hAnsi="Tahoma" w:cs="Tahoma"/>
          <w:sz w:val="22"/>
          <w:szCs w:val="22"/>
        </w:rPr>
        <w:t xml:space="preserve"> </w:t>
      </w:r>
      <w:r w:rsidRPr="003F1810">
        <w:rPr>
          <w:rStyle w:val="Refdenotaalpie"/>
          <w:rFonts w:ascii="Tahoma" w:hAnsi="Tahoma" w:cs="Tahoma"/>
          <w:sz w:val="22"/>
          <w:szCs w:val="22"/>
        </w:rPr>
        <w:footnoteReference w:id="3"/>
      </w:r>
    </w:p>
    <w:p w14:paraId="793D72BF" w14:textId="77777777" w:rsidR="00720213" w:rsidRPr="003F1810" w:rsidRDefault="00720213" w:rsidP="003F1810">
      <w:pPr>
        <w:spacing w:line="276" w:lineRule="auto"/>
        <w:ind w:left="426" w:right="335"/>
        <w:rPr>
          <w:rFonts w:cs="Tahoma"/>
          <w:sz w:val="24"/>
          <w:szCs w:val="24"/>
        </w:rPr>
      </w:pPr>
    </w:p>
    <w:p w14:paraId="4567F6EF" w14:textId="77777777" w:rsidR="00720213" w:rsidRPr="003F1810" w:rsidRDefault="00BC2D65" w:rsidP="003F1810">
      <w:pPr>
        <w:pStyle w:val="Encabezado"/>
        <w:spacing w:line="276" w:lineRule="auto"/>
        <w:rPr>
          <w:rFonts w:cs="Tahoma"/>
          <w:sz w:val="24"/>
          <w:szCs w:val="24"/>
        </w:rPr>
      </w:pPr>
      <w:bookmarkStart w:id="1" w:name="_Hlk181886273"/>
      <w:r w:rsidRPr="003F1810">
        <w:rPr>
          <w:rFonts w:cs="Tahoma"/>
          <w:sz w:val="24"/>
          <w:szCs w:val="24"/>
          <w:lang w:val="es-MX"/>
        </w:rPr>
        <w:t xml:space="preserve">Respecto </w:t>
      </w:r>
      <w:r w:rsidR="00720213" w:rsidRPr="003F1810">
        <w:rPr>
          <w:rFonts w:cs="Tahoma"/>
          <w:sz w:val="24"/>
          <w:szCs w:val="24"/>
          <w:lang w:val="es-MX"/>
        </w:rPr>
        <w:t xml:space="preserve">de los </w:t>
      </w:r>
      <w:r w:rsidR="00720213" w:rsidRPr="003F1810">
        <w:rPr>
          <w:rFonts w:cs="Tahoma"/>
          <w:sz w:val="24"/>
          <w:szCs w:val="24"/>
        </w:rPr>
        <w:t>requisitos de procedencia de la acción de revisión, en punto de la causal que acá se invoca, esto es la 7ª del canon 192 C.P.P., la Jurisprudencia ha referido</w:t>
      </w:r>
      <w:r w:rsidR="002560BC" w:rsidRPr="003F1810">
        <w:rPr>
          <w:rStyle w:val="Refdenotaalpie"/>
          <w:rFonts w:ascii="Tahoma" w:hAnsi="Tahoma" w:cs="Tahoma"/>
          <w:sz w:val="24"/>
          <w:szCs w:val="24"/>
        </w:rPr>
        <w:footnoteReference w:id="4"/>
      </w:r>
      <w:r w:rsidR="00720213" w:rsidRPr="003F1810">
        <w:rPr>
          <w:rFonts w:cs="Tahoma"/>
          <w:sz w:val="24"/>
          <w:szCs w:val="24"/>
        </w:rPr>
        <w:t>:</w:t>
      </w:r>
    </w:p>
    <w:p w14:paraId="4078F7E1" w14:textId="77777777" w:rsidR="002560BC" w:rsidRPr="003F1810" w:rsidRDefault="002560BC" w:rsidP="003F1810">
      <w:pPr>
        <w:pStyle w:val="Encabezado"/>
        <w:spacing w:line="276" w:lineRule="auto"/>
        <w:rPr>
          <w:rFonts w:cs="Tahoma"/>
          <w:sz w:val="24"/>
          <w:szCs w:val="24"/>
        </w:rPr>
      </w:pPr>
    </w:p>
    <w:p w14:paraId="7BCA5065" w14:textId="77777777" w:rsidR="002560BC" w:rsidRPr="00CD72BB" w:rsidRDefault="002560BC" w:rsidP="00CD72BB">
      <w:pPr>
        <w:spacing w:line="240" w:lineRule="auto"/>
        <w:ind w:left="426" w:right="420"/>
        <w:rPr>
          <w:rFonts w:cs="Tahoma"/>
          <w:sz w:val="22"/>
          <w:szCs w:val="22"/>
        </w:rPr>
      </w:pPr>
      <w:r w:rsidRPr="00CD72BB">
        <w:rPr>
          <w:rFonts w:cs="Tahoma"/>
          <w:color w:val="1E191A"/>
          <w:sz w:val="22"/>
          <w:szCs w:val="22"/>
          <w:lang w:val="es-CO" w:eastAsia="es-CO"/>
        </w:rPr>
        <w:t>“</w:t>
      </w:r>
      <w:r w:rsidRPr="00CD72BB">
        <w:rPr>
          <w:rFonts w:cs="Tahoma"/>
          <w:sz w:val="22"/>
          <w:szCs w:val="22"/>
        </w:rPr>
        <w:t>En la demostración del cambio favorable de la jurisprudencia, no basta con señalar los fallos judiciales que supuestamente lo contemplan, siendo necesario identificar el criterio jurídico que implica una variación o entendimiento diferente a las interpretaciones anteriores de la Corte, teniendo en cuenta la identidad de los fundamentos contenidos en la sentencia cuya revisión se pide con los que condujeron al cambio jurisprudencial, mostrando que el mismo no fue tenido en cuenta o no existía cuando se profirió aquella y los efectos sustanciales del mismo frente a la responsabilidad o la punibilidad del accionante.</w:t>
      </w:r>
    </w:p>
    <w:bookmarkEnd w:id="1"/>
    <w:p w14:paraId="1B7B34D8" w14:textId="77777777" w:rsidR="002560BC" w:rsidRPr="00CD72BB" w:rsidRDefault="002560BC" w:rsidP="00CD72BB">
      <w:pPr>
        <w:spacing w:line="240" w:lineRule="auto"/>
        <w:ind w:left="426" w:right="420" w:firstLine="709"/>
        <w:rPr>
          <w:rFonts w:cs="Tahoma"/>
          <w:sz w:val="22"/>
          <w:szCs w:val="22"/>
        </w:rPr>
      </w:pPr>
    </w:p>
    <w:p w14:paraId="60A70993" w14:textId="77777777" w:rsidR="002560BC" w:rsidRPr="00CD72BB" w:rsidRDefault="002560BC" w:rsidP="00CD72BB">
      <w:pPr>
        <w:spacing w:line="240" w:lineRule="auto"/>
        <w:ind w:left="426" w:right="420"/>
        <w:rPr>
          <w:rFonts w:cs="Tahoma"/>
          <w:sz w:val="22"/>
          <w:szCs w:val="22"/>
        </w:rPr>
      </w:pPr>
      <w:r w:rsidRPr="00CD72BB">
        <w:rPr>
          <w:rFonts w:cs="Tahoma"/>
          <w:sz w:val="22"/>
          <w:szCs w:val="22"/>
        </w:rPr>
        <w:lastRenderedPageBreak/>
        <w:t xml:space="preserve">La Sala en múltiples decisiones ha insistido en que la estructuración del motivo invocado en la demanda requiere: </w:t>
      </w:r>
    </w:p>
    <w:p w14:paraId="032734B5" w14:textId="77777777" w:rsidR="002560BC" w:rsidRPr="00CD72BB" w:rsidRDefault="002560BC" w:rsidP="00CD72BB">
      <w:pPr>
        <w:widowControl w:val="0"/>
        <w:spacing w:line="240" w:lineRule="auto"/>
        <w:ind w:left="426" w:right="420" w:firstLine="708"/>
        <w:rPr>
          <w:rFonts w:cs="Tahoma"/>
          <w:sz w:val="22"/>
          <w:szCs w:val="22"/>
        </w:rPr>
      </w:pPr>
    </w:p>
    <w:p w14:paraId="121DB13D" w14:textId="77777777" w:rsidR="002560BC" w:rsidRPr="00CD72BB" w:rsidRDefault="002560BC" w:rsidP="00CD72BB">
      <w:pPr>
        <w:spacing w:line="240" w:lineRule="auto"/>
        <w:ind w:left="1134" w:right="420" w:hanging="425"/>
        <w:rPr>
          <w:rFonts w:cs="Tahoma"/>
          <w:bCs/>
          <w:i/>
          <w:iCs/>
          <w:sz w:val="22"/>
          <w:szCs w:val="22"/>
        </w:rPr>
      </w:pPr>
      <w:r w:rsidRPr="00CD72BB">
        <w:rPr>
          <w:rFonts w:cs="Tahoma"/>
          <w:i/>
          <w:iCs/>
          <w:sz w:val="22"/>
          <w:szCs w:val="22"/>
        </w:rPr>
        <w:t xml:space="preserve">“i) La identificación de una variación o del entendimiento diverso de un criterio jurídico en las interpretaciones efectuadas por la Corte en sus pronunciamientos judiciales (CSJ </w:t>
      </w:r>
      <w:r w:rsidRPr="00CD72BB">
        <w:rPr>
          <w:rFonts w:cs="Tahoma"/>
          <w:i/>
          <w:iCs/>
          <w:spacing w:val="-3"/>
          <w:sz w:val="22"/>
          <w:szCs w:val="22"/>
        </w:rPr>
        <w:t xml:space="preserve">AP, 5 de dic 2002, rad. 18572). </w:t>
      </w:r>
      <w:r w:rsidRPr="00CD72BB">
        <w:rPr>
          <w:rFonts w:cs="Tahoma"/>
          <w:i/>
          <w:iCs/>
          <w:sz w:val="22"/>
          <w:szCs w:val="22"/>
        </w:rPr>
        <w:t xml:space="preserve"> </w:t>
      </w:r>
    </w:p>
    <w:p w14:paraId="18252E75" w14:textId="77777777" w:rsidR="002560BC" w:rsidRPr="00CD72BB" w:rsidRDefault="002560BC" w:rsidP="00CD72BB">
      <w:pPr>
        <w:widowControl w:val="0"/>
        <w:spacing w:line="240" w:lineRule="auto"/>
        <w:ind w:left="1134" w:right="420" w:hanging="425"/>
        <w:rPr>
          <w:rFonts w:cs="Tahoma"/>
          <w:bCs/>
          <w:i/>
          <w:iCs/>
          <w:sz w:val="22"/>
          <w:szCs w:val="22"/>
        </w:rPr>
      </w:pPr>
    </w:p>
    <w:p w14:paraId="6573F8F2" w14:textId="77777777" w:rsidR="002560BC" w:rsidRPr="00CD72BB" w:rsidRDefault="002560BC" w:rsidP="00CD72BB">
      <w:pPr>
        <w:spacing w:line="240" w:lineRule="auto"/>
        <w:ind w:left="1134" w:right="420" w:hanging="425"/>
        <w:rPr>
          <w:rFonts w:cs="Tahoma"/>
          <w:bCs/>
          <w:i/>
          <w:iCs/>
          <w:sz w:val="22"/>
          <w:szCs w:val="22"/>
        </w:rPr>
      </w:pPr>
      <w:proofErr w:type="spellStart"/>
      <w:r w:rsidRPr="00CD72BB">
        <w:rPr>
          <w:rFonts w:cs="Tahoma"/>
          <w:i/>
          <w:iCs/>
          <w:sz w:val="22"/>
          <w:szCs w:val="22"/>
        </w:rPr>
        <w:t>ii</w:t>
      </w:r>
      <w:proofErr w:type="spellEnd"/>
      <w:r w:rsidRPr="00CD72BB">
        <w:rPr>
          <w:rFonts w:cs="Tahoma"/>
          <w:i/>
          <w:iCs/>
          <w:sz w:val="22"/>
          <w:szCs w:val="22"/>
        </w:rPr>
        <w:t>) La identidad entre los fundamentos contenidos en el fallo cuestionado y los que dieron origen al cambio jurisprudencial (CSJ SP, 11 de feb 2015, rad. 43309).</w:t>
      </w:r>
    </w:p>
    <w:p w14:paraId="2D224FD4" w14:textId="77777777" w:rsidR="002560BC" w:rsidRPr="00CD72BB" w:rsidRDefault="002560BC" w:rsidP="00CD72BB">
      <w:pPr>
        <w:widowControl w:val="0"/>
        <w:spacing w:line="240" w:lineRule="auto"/>
        <w:ind w:left="1134" w:right="420" w:hanging="425"/>
        <w:rPr>
          <w:rFonts w:cs="Tahoma"/>
          <w:bCs/>
          <w:i/>
          <w:iCs/>
          <w:sz w:val="22"/>
          <w:szCs w:val="22"/>
        </w:rPr>
      </w:pPr>
    </w:p>
    <w:p w14:paraId="185D51C8" w14:textId="77777777" w:rsidR="002560BC" w:rsidRPr="00CD72BB" w:rsidRDefault="002560BC" w:rsidP="00CD72BB">
      <w:pPr>
        <w:spacing w:line="240" w:lineRule="auto"/>
        <w:ind w:left="1134" w:right="420" w:hanging="425"/>
        <w:rPr>
          <w:rFonts w:cs="Tahoma"/>
          <w:bCs/>
          <w:i/>
          <w:iCs/>
          <w:spacing w:val="-3"/>
          <w:sz w:val="22"/>
          <w:szCs w:val="22"/>
        </w:rPr>
      </w:pPr>
      <w:proofErr w:type="spellStart"/>
      <w:r w:rsidRPr="00CD72BB">
        <w:rPr>
          <w:rFonts w:cs="Tahoma"/>
          <w:i/>
          <w:iCs/>
          <w:sz w:val="22"/>
          <w:szCs w:val="22"/>
        </w:rPr>
        <w:t>iii</w:t>
      </w:r>
      <w:proofErr w:type="spellEnd"/>
      <w:r w:rsidRPr="00CD72BB">
        <w:rPr>
          <w:rFonts w:cs="Tahoma"/>
          <w:i/>
          <w:iCs/>
          <w:sz w:val="22"/>
          <w:szCs w:val="22"/>
        </w:rPr>
        <w:t xml:space="preserve">) La falta de aplicación del criterio jurídico por virtud del desconocimiento de su existencia o la emisión de la sentencia atacada con anterioridad a su formulación </w:t>
      </w:r>
      <w:r w:rsidRPr="00CD72BB">
        <w:rPr>
          <w:rFonts w:cs="Tahoma"/>
          <w:i/>
          <w:iCs/>
          <w:spacing w:val="-3"/>
          <w:sz w:val="22"/>
          <w:szCs w:val="22"/>
        </w:rPr>
        <w:t>(CSJ SP, 20 de ago. 2014, rad. 43624).</w:t>
      </w:r>
    </w:p>
    <w:p w14:paraId="4F17305C" w14:textId="77777777" w:rsidR="002560BC" w:rsidRPr="00CD72BB" w:rsidRDefault="002560BC" w:rsidP="00CD72BB">
      <w:pPr>
        <w:widowControl w:val="0"/>
        <w:spacing w:line="240" w:lineRule="auto"/>
        <w:ind w:left="1134" w:right="420" w:hanging="425"/>
        <w:rPr>
          <w:rFonts w:cs="Tahoma"/>
          <w:bCs/>
          <w:i/>
          <w:iCs/>
          <w:sz w:val="22"/>
          <w:szCs w:val="22"/>
        </w:rPr>
      </w:pPr>
    </w:p>
    <w:p w14:paraId="47A716EF" w14:textId="77777777" w:rsidR="002560BC" w:rsidRPr="00CD72BB" w:rsidRDefault="002560BC" w:rsidP="00CD72BB">
      <w:pPr>
        <w:spacing w:line="240" w:lineRule="auto"/>
        <w:ind w:left="1134" w:right="420" w:hanging="425"/>
        <w:rPr>
          <w:rFonts w:cs="Tahoma"/>
          <w:sz w:val="22"/>
          <w:szCs w:val="22"/>
        </w:rPr>
      </w:pPr>
      <w:proofErr w:type="spellStart"/>
      <w:r w:rsidRPr="00CD72BB">
        <w:rPr>
          <w:rFonts w:cs="Tahoma"/>
          <w:i/>
          <w:iCs/>
          <w:sz w:val="22"/>
          <w:szCs w:val="22"/>
        </w:rPr>
        <w:t>iv</w:t>
      </w:r>
      <w:proofErr w:type="spellEnd"/>
      <w:r w:rsidRPr="00CD72BB">
        <w:rPr>
          <w:rFonts w:cs="Tahoma"/>
          <w:i/>
          <w:iCs/>
          <w:sz w:val="22"/>
          <w:szCs w:val="22"/>
        </w:rPr>
        <w:t>) Finalmente, la irrogación de efectos favorables al accionante frente al juicio de responsabilidad o con relación a la punibilidad”</w:t>
      </w:r>
      <w:r w:rsidRPr="00CD72BB">
        <w:rPr>
          <w:rStyle w:val="Refdenotaalpie"/>
          <w:rFonts w:ascii="Tahoma" w:hAnsi="Tahoma" w:cs="Tahoma"/>
          <w:i/>
          <w:iCs/>
          <w:sz w:val="22"/>
          <w:szCs w:val="22"/>
        </w:rPr>
        <w:footnoteReference w:id="5"/>
      </w:r>
      <w:r w:rsidR="00056CF9" w:rsidRPr="00CD72BB">
        <w:rPr>
          <w:rFonts w:cs="Tahoma"/>
          <w:i/>
          <w:iCs/>
          <w:sz w:val="22"/>
          <w:szCs w:val="22"/>
        </w:rPr>
        <w:t>”.</w:t>
      </w:r>
    </w:p>
    <w:p w14:paraId="3AB2681F" w14:textId="77777777" w:rsidR="00720213" w:rsidRPr="003F1810" w:rsidRDefault="00720213" w:rsidP="003F1810">
      <w:pPr>
        <w:pStyle w:val="Encabezado"/>
        <w:spacing w:line="276" w:lineRule="auto"/>
        <w:rPr>
          <w:rFonts w:cs="Tahoma"/>
          <w:sz w:val="24"/>
          <w:szCs w:val="24"/>
        </w:rPr>
      </w:pPr>
    </w:p>
    <w:p w14:paraId="69514DFE" w14:textId="77777777" w:rsidR="00056CF9" w:rsidRPr="003F1810" w:rsidRDefault="00056CF9" w:rsidP="003F1810">
      <w:pPr>
        <w:pStyle w:val="Encabezado"/>
        <w:spacing w:line="276" w:lineRule="auto"/>
        <w:rPr>
          <w:rFonts w:cs="Tahoma"/>
          <w:sz w:val="24"/>
          <w:szCs w:val="24"/>
        </w:rPr>
      </w:pPr>
      <w:r w:rsidRPr="003F1810">
        <w:rPr>
          <w:rFonts w:cs="Tahoma"/>
          <w:sz w:val="24"/>
          <w:szCs w:val="24"/>
        </w:rPr>
        <w:t>De ahí entonces, que para la Alta Corporación</w:t>
      </w:r>
      <w:r w:rsidRPr="003F1810">
        <w:rPr>
          <w:rFonts w:cs="Tahoma"/>
          <w:sz w:val="24"/>
          <w:szCs w:val="24"/>
          <w:vertAlign w:val="superscript"/>
        </w:rPr>
        <w:footnoteReference w:id="6"/>
      </w:r>
      <w:r w:rsidRPr="003F1810">
        <w:rPr>
          <w:rFonts w:cs="Tahoma"/>
          <w:sz w:val="24"/>
          <w:szCs w:val="24"/>
        </w:rPr>
        <w:t>, los presupuestos esenciales para que se proceda a invocar la causal 7ª de revisión, son los siguientes:</w:t>
      </w:r>
    </w:p>
    <w:p w14:paraId="6F29F637" w14:textId="77777777" w:rsidR="00056CF9" w:rsidRPr="003F1810" w:rsidRDefault="00056CF9" w:rsidP="003F1810">
      <w:pPr>
        <w:pStyle w:val="Encabezado"/>
        <w:spacing w:line="276" w:lineRule="auto"/>
        <w:rPr>
          <w:rFonts w:cs="Tahoma"/>
          <w:sz w:val="24"/>
          <w:szCs w:val="24"/>
        </w:rPr>
      </w:pPr>
    </w:p>
    <w:p w14:paraId="37D7A03B" w14:textId="77777777" w:rsidR="00056CF9" w:rsidRPr="003F1810" w:rsidRDefault="00056CF9" w:rsidP="003F1810">
      <w:pPr>
        <w:pStyle w:val="Encabezado"/>
        <w:numPr>
          <w:ilvl w:val="0"/>
          <w:numId w:val="9"/>
        </w:numPr>
        <w:spacing w:line="276" w:lineRule="auto"/>
        <w:ind w:left="851" w:hanging="425"/>
        <w:rPr>
          <w:rFonts w:cs="Tahoma"/>
          <w:sz w:val="24"/>
          <w:szCs w:val="24"/>
        </w:rPr>
      </w:pPr>
      <w:r w:rsidRPr="003F1810">
        <w:rPr>
          <w:rFonts w:cs="Tahoma"/>
          <w:sz w:val="24"/>
          <w:szCs w:val="24"/>
        </w:rPr>
        <w:t xml:space="preserve">Que se dirija contra una sentencia ejecutoriada cuya condena se haya fundamentado en un criterio jurisprudencial específico de la Corte Suprema de Justicia, Sala de Casación Penal; </w:t>
      </w:r>
    </w:p>
    <w:p w14:paraId="662AC1D6" w14:textId="77777777" w:rsidR="00056CF9" w:rsidRPr="003F1810" w:rsidRDefault="00056CF9" w:rsidP="003F1810">
      <w:pPr>
        <w:pStyle w:val="Encabezado"/>
        <w:spacing w:line="276" w:lineRule="auto"/>
        <w:ind w:left="851" w:hanging="425"/>
        <w:rPr>
          <w:rFonts w:cs="Tahoma"/>
          <w:sz w:val="24"/>
          <w:szCs w:val="24"/>
        </w:rPr>
      </w:pPr>
    </w:p>
    <w:p w14:paraId="115B16BF" w14:textId="77777777" w:rsidR="00056CF9" w:rsidRPr="003F1810" w:rsidRDefault="00056CF9" w:rsidP="003F1810">
      <w:pPr>
        <w:pStyle w:val="Encabezado"/>
        <w:numPr>
          <w:ilvl w:val="0"/>
          <w:numId w:val="9"/>
        </w:numPr>
        <w:spacing w:line="276" w:lineRule="auto"/>
        <w:ind w:left="851" w:hanging="425"/>
        <w:rPr>
          <w:rFonts w:cs="Tahoma"/>
          <w:sz w:val="24"/>
          <w:szCs w:val="24"/>
        </w:rPr>
      </w:pPr>
      <w:r w:rsidRPr="003F1810">
        <w:rPr>
          <w:rFonts w:cs="Tahoma"/>
          <w:sz w:val="24"/>
          <w:szCs w:val="24"/>
        </w:rPr>
        <w:t xml:space="preserve">Que la Corte Suprema de Justicia, Sala de Casación Penal, hubiese variado su jurisprudencia o entendido de manera diversa una norma o instituto jurídico; </w:t>
      </w:r>
    </w:p>
    <w:p w14:paraId="6E84555B" w14:textId="77777777" w:rsidR="00056CF9" w:rsidRPr="003F1810" w:rsidRDefault="00056CF9" w:rsidP="003F1810">
      <w:pPr>
        <w:pStyle w:val="Prrafodelista"/>
        <w:spacing w:line="276" w:lineRule="auto"/>
        <w:ind w:left="851" w:hanging="425"/>
        <w:rPr>
          <w:rFonts w:cs="Tahoma"/>
          <w:sz w:val="24"/>
          <w:szCs w:val="24"/>
        </w:rPr>
      </w:pPr>
    </w:p>
    <w:p w14:paraId="65CB7832" w14:textId="77777777" w:rsidR="00056CF9" w:rsidRPr="003F1810" w:rsidRDefault="00056CF9" w:rsidP="003F1810">
      <w:pPr>
        <w:pStyle w:val="Encabezado"/>
        <w:numPr>
          <w:ilvl w:val="0"/>
          <w:numId w:val="9"/>
        </w:numPr>
        <w:spacing w:line="276" w:lineRule="auto"/>
        <w:ind w:left="851" w:hanging="425"/>
        <w:rPr>
          <w:rFonts w:cs="Tahoma"/>
          <w:sz w:val="24"/>
          <w:szCs w:val="24"/>
        </w:rPr>
      </w:pPr>
      <w:r w:rsidRPr="003F1810">
        <w:rPr>
          <w:rFonts w:cs="Tahoma"/>
          <w:sz w:val="24"/>
          <w:szCs w:val="24"/>
        </w:rPr>
        <w:t>Que exista identidad entre los supuestos contenidos en el fallo cuestionado y los que dieron origen al cambio jurisprudencial;</w:t>
      </w:r>
    </w:p>
    <w:p w14:paraId="49CF04FC" w14:textId="77777777" w:rsidR="00056CF9" w:rsidRPr="003F1810" w:rsidRDefault="00056CF9" w:rsidP="003F1810">
      <w:pPr>
        <w:pStyle w:val="Encabezado"/>
        <w:spacing w:line="276" w:lineRule="auto"/>
        <w:rPr>
          <w:rFonts w:cs="Tahoma"/>
          <w:sz w:val="24"/>
          <w:szCs w:val="24"/>
        </w:rPr>
      </w:pPr>
    </w:p>
    <w:p w14:paraId="25FF03D3" w14:textId="77777777" w:rsidR="00056CF9" w:rsidRPr="003F1810" w:rsidRDefault="00056CF9" w:rsidP="003F1810">
      <w:pPr>
        <w:pStyle w:val="Encabezado"/>
        <w:numPr>
          <w:ilvl w:val="0"/>
          <w:numId w:val="9"/>
        </w:numPr>
        <w:spacing w:line="276" w:lineRule="auto"/>
        <w:ind w:left="851" w:hanging="425"/>
        <w:rPr>
          <w:rFonts w:cs="Tahoma"/>
          <w:sz w:val="24"/>
          <w:szCs w:val="24"/>
        </w:rPr>
      </w:pPr>
      <w:r w:rsidRPr="003F1810">
        <w:rPr>
          <w:rFonts w:cs="Tahoma"/>
          <w:sz w:val="24"/>
          <w:szCs w:val="24"/>
        </w:rPr>
        <w:t>La falta de aplicación del criterio jurídico por virtud del desconocimiento de su existencia o la emisión de la sentencia atacada con anterioridad a su formulación;</w:t>
      </w:r>
    </w:p>
    <w:p w14:paraId="43428C0B" w14:textId="77777777" w:rsidR="00056CF9" w:rsidRPr="003F1810" w:rsidRDefault="00056CF9" w:rsidP="003F1810">
      <w:pPr>
        <w:pStyle w:val="Encabezado"/>
        <w:spacing w:line="276" w:lineRule="auto"/>
        <w:rPr>
          <w:rFonts w:cs="Tahoma"/>
          <w:sz w:val="24"/>
          <w:szCs w:val="24"/>
        </w:rPr>
      </w:pPr>
    </w:p>
    <w:p w14:paraId="6B036C64" w14:textId="77777777" w:rsidR="00056CF9" w:rsidRPr="003F1810" w:rsidRDefault="00056CF9" w:rsidP="003F1810">
      <w:pPr>
        <w:pStyle w:val="Encabezado"/>
        <w:numPr>
          <w:ilvl w:val="0"/>
          <w:numId w:val="9"/>
        </w:numPr>
        <w:spacing w:line="276" w:lineRule="auto"/>
        <w:ind w:left="851" w:hanging="425"/>
        <w:rPr>
          <w:rFonts w:cs="Tahoma"/>
          <w:sz w:val="24"/>
          <w:szCs w:val="24"/>
        </w:rPr>
      </w:pPr>
      <w:r w:rsidRPr="003F1810">
        <w:rPr>
          <w:rFonts w:cs="Tahoma"/>
          <w:sz w:val="24"/>
          <w:szCs w:val="24"/>
        </w:rPr>
        <w:t>Que a través de un análisis comparativo se pueda demostrar que fundamentado en el nuevo razonamiento jurídico el proveído atacado habría sido más beneficioso para el demandante, frente a su responsabilidad o su punibilidad, de modo que el criterio planteado en el fallo contra el cual se dirige la acción resulte injusto;</w:t>
      </w:r>
    </w:p>
    <w:p w14:paraId="7D6235D4" w14:textId="77777777" w:rsidR="00056CF9" w:rsidRPr="003F1810" w:rsidRDefault="00056CF9" w:rsidP="003F1810">
      <w:pPr>
        <w:pStyle w:val="Encabezado"/>
        <w:spacing w:line="276" w:lineRule="auto"/>
        <w:ind w:left="851"/>
        <w:rPr>
          <w:rFonts w:cs="Tahoma"/>
          <w:sz w:val="24"/>
          <w:szCs w:val="24"/>
        </w:rPr>
      </w:pPr>
    </w:p>
    <w:p w14:paraId="3BB80FCF" w14:textId="77777777" w:rsidR="00056CF9" w:rsidRPr="003F1810" w:rsidRDefault="00056CF9" w:rsidP="003F1810">
      <w:pPr>
        <w:pStyle w:val="Encabezado"/>
        <w:numPr>
          <w:ilvl w:val="0"/>
          <w:numId w:val="9"/>
        </w:numPr>
        <w:spacing w:line="276" w:lineRule="auto"/>
        <w:ind w:left="851" w:hanging="425"/>
        <w:rPr>
          <w:rFonts w:cs="Tahoma"/>
          <w:sz w:val="24"/>
          <w:szCs w:val="24"/>
        </w:rPr>
      </w:pPr>
      <w:r w:rsidRPr="003F1810">
        <w:rPr>
          <w:rFonts w:cs="Tahoma"/>
          <w:sz w:val="24"/>
          <w:szCs w:val="24"/>
        </w:rPr>
        <w:t>Que el concepto judicial soporte de la solicitud, provenga de la Corte Suprema de Justicia, por ser esta Corporación el máximo Tribunal de la jurisdicción ordinaria, atendiendo la función que cumple de unificar la jurisprudencia nacional como ente de casación, de conformidad con lo establecido en el artículo 206 del Código de Procedimiento Penal.”</w:t>
      </w:r>
    </w:p>
    <w:p w14:paraId="1F43538A" w14:textId="77777777" w:rsidR="00056CF9" w:rsidRPr="003F1810" w:rsidRDefault="00056CF9" w:rsidP="003F1810">
      <w:pPr>
        <w:pStyle w:val="Encabezado"/>
        <w:spacing w:line="276" w:lineRule="auto"/>
        <w:rPr>
          <w:rFonts w:cs="Tahoma"/>
          <w:sz w:val="24"/>
          <w:szCs w:val="24"/>
        </w:rPr>
      </w:pPr>
    </w:p>
    <w:p w14:paraId="74E898B7" w14:textId="4583CA48" w:rsidR="000A3694" w:rsidRPr="003F1810" w:rsidRDefault="00056CF9" w:rsidP="003F1810">
      <w:pPr>
        <w:pStyle w:val="Encabezado"/>
        <w:spacing w:line="276" w:lineRule="auto"/>
        <w:rPr>
          <w:rFonts w:cs="Tahoma"/>
          <w:sz w:val="24"/>
          <w:szCs w:val="24"/>
          <w:lang w:val="es-MX"/>
        </w:rPr>
      </w:pPr>
      <w:r w:rsidRPr="003F1810">
        <w:rPr>
          <w:rFonts w:cs="Tahoma"/>
          <w:sz w:val="24"/>
          <w:szCs w:val="24"/>
          <w:lang w:val="es-MX"/>
        </w:rPr>
        <w:lastRenderedPageBreak/>
        <w:t xml:space="preserve">En este </w:t>
      </w:r>
      <w:r w:rsidR="00026300" w:rsidRPr="003F1810">
        <w:rPr>
          <w:rFonts w:cs="Tahoma"/>
          <w:sz w:val="24"/>
          <w:szCs w:val="24"/>
          <w:lang w:val="es-MX"/>
        </w:rPr>
        <w:t xml:space="preserve">evento </w:t>
      </w:r>
      <w:r w:rsidRPr="003F1810">
        <w:rPr>
          <w:rFonts w:cs="Tahoma"/>
          <w:sz w:val="24"/>
          <w:szCs w:val="24"/>
          <w:lang w:val="es-MX"/>
        </w:rPr>
        <w:t xml:space="preserve">en </w:t>
      </w:r>
      <w:r w:rsidR="00026300" w:rsidRPr="003F1810">
        <w:rPr>
          <w:rFonts w:cs="Tahoma"/>
          <w:sz w:val="24"/>
          <w:szCs w:val="24"/>
          <w:lang w:val="es-MX"/>
        </w:rPr>
        <w:t>particular</w:t>
      </w:r>
      <w:r w:rsidRPr="003F1810">
        <w:rPr>
          <w:rFonts w:cs="Tahoma"/>
          <w:sz w:val="24"/>
          <w:szCs w:val="24"/>
          <w:lang w:val="es-MX"/>
        </w:rPr>
        <w:t xml:space="preserve">, la representante de la sociedad, </w:t>
      </w:r>
      <w:r w:rsidR="00DA1825" w:rsidRPr="003F1810">
        <w:rPr>
          <w:rFonts w:cs="Tahoma"/>
          <w:sz w:val="24"/>
          <w:szCs w:val="24"/>
          <w:lang w:val="es-MX"/>
        </w:rPr>
        <w:t xml:space="preserve">estima </w:t>
      </w:r>
      <w:r w:rsidR="00871D37" w:rsidRPr="003F1810">
        <w:rPr>
          <w:rFonts w:cs="Tahoma"/>
          <w:sz w:val="24"/>
          <w:szCs w:val="24"/>
          <w:lang w:val="es-MX"/>
        </w:rPr>
        <w:t xml:space="preserve">que el procesado se hace merecedor a la expedición de una sentencia que reemplace </w:t>
      </w:r>
      <w:r w:rsidRPr="003F1810">
        <w:rPr>
          <w:rFonts w:cs="Tahoma"/>
          <w:sz w:val="24"/>
          <w:szCs w:val="24"/>
          <w:lang w:val="es-MX"/>
        </w:rPr>
        <w:t xml:space="preserve">el </w:t>
      </w:r>
      <w:r w:rsidR="00871D37" w:rsidRPr="003F1810">
        <w:rPr>
          <w:rFonts w:cs="Tahoma"/>
          <w:sz w:val="24"/>
          <w:szCs w:val="24"/>
          <w:lang w:val="es-MX"/>
        </w:rPr>
        <w:t xml:space="preserve">fallo de condena </w:t>
      </w:r>
      <w:r w:rsidRPr="003F1810">
        <w:rPr>
          <w:rFonts w:cs="Tahoma"/>
          <w:sz w:val="24"/>
          <w:szCs w:val="24"/>
          <w:lang w:val="es-MX"/>
        </w:rPr>
        <w:t xml:space="preserve">emitido en su contra en julio 11 de 2022 por el Juzgado Primero Penal del Circuito Especializado de esta capital, </w:t>
      </w:r>
      <w:r w:rsidR="00871D37" w:rsidRPr="003F1810">
        <w:rPr>
          <w:rFonts w:cs="Tahoma"/>
          <w:sz w:val="24"/>
          <w:szCs w:val="24"/>
          <w:lang w:val="es-MX"/>
        </w:rPr>
        <w:t xml:space="preserve">a raíz de la variación jurisprudencial que le resulta favorable, en tanto </w:t>
      </w:r>
      <w:r w:rsidR="000A3694" w:rsidRPr="003F1810">
        <w:rPr>
          <w:rFonts w:cs="Tahoma"/>
          <w:sz w:val="24"/>
          <w:szCs w:val="24"/>
          <w:lang w:val="es-MX"/>
        </w:rPr>
        <w:t xml:space="preserve">para la fecha de su emisión, imperaba la tesis según la cual, </w:t>
      </w:r>
      <w:r w:rsidR="00BC2D65" w:rsidRPr="003F1810">
        <w:rPr>
          <w:rFonts w:cs="Tahoma"/>
          <w:sz w:val="24"/>
          <w:szCs w:val="24"/>
          <w:lang w:val="es-MX"/>
        </w:rPr>
        <w:t xml:space="preserve">cuando </w:t>
      </w:r>
      <w:r w:rsidR="000A3694" w:rsidRPr="003F1810">
        <w:rPr>
          <w:rFonts w:cs="Tahoma"/>
          <w:sz w:val="24"/>
          <w:szCs w:val="24"/>
          <w:lang w:val="es-MX"/>
        </w:rPr>
        <w:t xml:space="preserve">un arma de uso de defensa personal, esto es, </w:t>
      </w:r>
      <w:r w:rsidR="000A3694" w:rsidRPr="003F1810">
        <w:rPr>
          <w:rFonts w:cs="Tahoma"/>
          <w:sz w:val="24"/>
          <w:szCs w:val="24"/>
          <w:u w:val="single"/>
          <w:lang w:val="es-MX"/>
        </w:rPr>
        <w:t>aquellas pistolas con calibre 9.652 m</w:t>
      </w:r>
      <w:r w:rsidR="007B2CD5" w:rsidRPr="003F1810">
        <w:rPr>
          <w:rFonts w:cs="Tahoma"/>
          <w:sz w:val="24"/>
          <w:szCs w:val="24"/>
          <w:u w:val="single"/>
          <w:lang w:val="es-MX"/>
        </w:rPr>
        <w:t>m</w:t>
      </w:r>
      <w:r w:rsidR="000A3694" w:rsidRPr="003F1810">
        <w:rPr>
          <w:rFonts w:cs="Tahoma"/>
          <w:sz w:val="24"/>
          <w:szCs w:val="24"/>
          <w:u w:val="single"/>
          <w:lang w:val="es-MX"/>
        </w:rPr>
        <w:t xml:space="preserve"> e inferior tenía un proveedor que superara los 9 cartuchos</w:t>
      </w:r>
      <w:r w:rsidR="000A3694" w:rsidRPr="003F1810">
        <w:rPr>
          <w:rFonts w:cs="Tahoma"/>
          <w:sz w:val="24"/>
          <w:szCs w:val="24"/>
          <w:lang w:val="es-MX"/>
        </w:rPr>
        <w:t>, por esa m</w:t>
      </w:r>
      <w:r w:rsidR="00BC2D65" w:rsidRPr="003F1810">
        <w:rPr>
          <w:rFonts w:cs="Tahoma"/>
          <w:sz w:val="24"/>
          <w:szCs w:val="24"/>
          <w:lang w:val="es-MX"/>
        </w:rPr>
        <w:t xml:space="preserve">era </w:t>
      </w:r>
      <w:r w:rsidR="000A3694" w:rsidRPr="003F1810">
        <w:rPr>
          <w:rFonts w:cs="Tahoma"/>
          <w:sz w:val="24"/>
          <w:szCs w:val="24"/>
          <w:lang w:val="es-MX"/>
        </w:rPr>
        <w:t>circunstancia debía considerarse como de uso privativo de las fuerzas armadas</w:t>
      </w:r>
      <w:r w:rsidR="00AA2A13" w:rsidRPr="003F1810">
        <w:rPr>
          <w:rFonts w:cs="Tahoma"/>
          <w:sz w:val="24"/>
          <w:szCs w:val="24"/>
          <w:lang w:val="es-MX"/>
        </w:rPr>
        <w:t xml:space="preserve">, postura que posteriormente fue recogida por la Sala de Casación Penal, por lo </w:t>
      </w:r>
      <w:r w:rsidR="00BC2D65" w:rsidRPr="003F1810">
        <w:rPr>
          <w:rFonts w:cs="Tahoma"/>
          <w:sz w:val="24"/>
          <w:szCs w:val="24"/>
          <w:lang w:val="es-MX"/>
        </w:rPr>
        <w:t xml:space="preserve">que </w:t>
      </w:r>
      <w:r w:rsidR="00AA2A13" w:rsidRPr="003F1810">
        <w:rPr>
          <w:rFonts w:cs="Tahoma"/>
          <w:sz w:val="24"/>
          <w:szCs w:val="24"/>
          <w:lang w:val="es-MX"/>
        </w:rPr>
        <w:t xml:space="preserve">pide se deje sin efectos  el fallo emitido y se dicte uno de reemplazo, </w:t>
      </w:r>
      <w:r w:rsidR="007B2CD5" w:rsidRPr="003F1810">
        <w:rPr>
          <w:rFonts w:cs="Tahoma"/>
          <w:sz w:val="24"/>
          <w:szCs w:val="24"/>
          <w:lang w:val="es-MX"/>
        </w:rPr>
        <w:t>postulación</w:t>
      </w:r>
      <w:r w:rsidR="00AA2A13" w:rsidRPr="003F1810">
        <w:rPr>
          <w:rFonts w:cs="Tahoma"/>
          <w:sz w:val="24"/>
          <w:szCs w:val="24"/>
          <w:lang w:val="es-MX"/>
        </w:rPr>
        <w:t xml:space="preserve"> que igualmente avalaron tanto el delegado del ente acusador como la defensa pública del sentenciado.</w:t>
      </w:r>
    </w:p>
    <w:p w14:paraId="1C2113B6" w14:textId="77777777" w:rsidR="003F1810" w:rsidRDefault="003F1810" w:rsidP="003F1810">
      <w:pPr>
        <w:pStyle w:val="Encabezado"/>
        <w:spacing w:line="276" w:lineRule="auto"/>
        <w:rPr>
          <w:rFonts w:cs="Tahoma"/>
          <w:sz w:val="24"/>
          <w:szCs w:val="24"/>
          <w:lang w:val="es-MX"/>
        </w:rPr>
      </w:pPr>
    </w:p>
    <w:p w14:paraId="62C9E9ED" w14:textId="7A1F4182" w:rsidR="00B410FC" w:rsidRPr="003F1810" w:rsidRDefault="00AA2A13" w:rsidP="003F1810">
      <w:pPr>
        <w:pStyle w:val="Encabezado"/>
        <w:spacing w:line="276" w:lineRule="auto"/>
        <w:rPr>
          <w:rFonts w:cs="Tahoma"/>
          <w:bCs/>
          <w:sz w:val="24"/>
          <w:szCs w:val="24"/>
          <w:lang w:val="es-MX"/>
        </w:rPr>
      </w:pPr>
      <w:r w:rsidRPr="003F1810">
        <w:rPr>
          <w:rFonts w:cs="Tahoma"/>
          <w:sz w:val="24"/>
          <w:szCs w:val="24"/>
          <w:lang w:val="es-MX"/>
        </w:rPr>
        <w:t xml:space="preserve">Pues bien, con miras a </w:t>
      </w:r>
      <w:r w:rsidR="00B410FC" w:rsidRPr="003F1810">
        <w:rPr>
          <w:rFonts w:cs="Tahoma"/>
          <w:sz w:val="24"/>
          <w:szCs w:val="24"/>
          <w:lang w:val="es-MX"/>
        </w:rPr>
        <w:t xml:space="preserve">determinar si un </w:t>
      </w:r>
      <w:r w:rsidRPr="003F1810">
        <w:rPr>
          <w:rFonts w:cs="Tahoma"/>
          <w:sz w:val="24"/>
          <w:szCs w:val="24"/>
          <w:lang w:val="es-MX"/>
        </w:rPr>
        <w:t xml:space="preserve">arma </w:t>
      </w:r>
      <w:r w:rsidR="00B410FC" w:rsidRPr="003F1810">
        <w:rPr>
          <w:rFonts w:cs="Tahoma"/>
          <w:sz w:val="24"/>
          <w:szCs w:val="24"/>
          <w:lang w:val="es-MX"/>
        </w:rPr>
        <w:t>corresponde a una que pueda ser</w:t>
      </w:r>
      <w:r w:rsidR="00DA1825" w:rsidRPr="003F1810">
        <w:rPr>
          <w:rFonts w:cs="Tahoma"/>
          <w:sz w:val="24"/>
          <w:szCs w:val="24"/>
          <w:lang w:val="es-MX"/>
        </w:rPr>
        <w:t xml:space="preserve"> apreciada </w:t>
      </w:r>
      <w:r w:rsidR="00B410FC" w:rsidRPr="003F1810">
        <w:rPr>
          <w:rFonts w:cs="Tahoma"/>
          <w:sz w:val="24"/>
          <w:szCs w:val="24"/>
          <w:lang w:val="es-MX"/>
        </w:rPr>
        <w:t>como de uso privativo, debemos remitirnos a lo consagrado en el Decreto 2535 de 1993 -</w:t>
      </w:r>
      <w:r w:rsidR="00B410FC" w:rsidRPr="003F1810">
        <w:rPr>
          <w:rFonts w:cs="Tahoma"/>
          <w:bCs/>
          <w:sz w:val="24"/>
          <w:szCs w:val="24"/>
          <w:lang w:val="es-MX"/>
        </w:rPr>
        <w:t>por el cual se expiden normas sobre armas, municiones y explosivos-, A ese respecto, el artículo</w:t>
      </w:r>
      <w:r w:rsidR="00BC2D65" w:rsidRPr="003F1810">
        <w:rPr>
          <w:rFonts w:cs="Tahoma"/>
          <w:bCs/>
          <w:sz w:val="24"/>
          <w:szCs w:val="24"/>
          <w:lang w:val="es-MX"/>
        </w:rPr>
        <w:t xml:space="preserve"> </w:t>
      </w:r>
      <w:r w:rsidR="00B410FC" w:rsidRPr="003F1810">
        <w:rPr>
          <w:rFonts w:cs="Tahoma"/>
          <w:bCs/>
          <w:sz w:val="24"/>
          <w:szCs w:val="24"/>
          <w:lang w:val="es-MX"/>
        </w:rPr>
        <w:t>8</w:t>
      </w:r>
      <w:r w:rsidRPr="003F1810">
        <w:rPr>
          <w:rFonts w:cs="Tahoma"/>
          <w:bCs/>
          <w:sz w:val="24"/>
          <w:szCs w:val="24"/>
          <w:lang w:val="es-MX"/>
        </w:rPr>
        <w:t>°</w:t>
      </w:r>
      <w:r w:rsidR="00B410FC" w:rsidRPr="003F1810">
        <w:rPr>
          <w:rFonts w:cs="Tahoma"/>
          <w:bCs/>
          <w:sz w:val="24"/>
          <w:szCs w:val="24"/>
          <w:lang w:val="es-MX"/>
        </w:rPr>
        <w:t xml:space="preserve"> de tal normativa señala:</w:t>
      </w:r>
    </w:p>
    <w:p w14:paraId="7720021C" w14:textId="77777777" w:rsidR="00AA2A13" w:rsidRPr="003F1810" w:rsidRDefault="00AA2A13" w:rsidP="003F1810">
      <w:pPr>
        <w:pStyle w:val="Encabezado"/>
        <w:spacing w:line="276" w:lineRule="auto"/>
        <w:rPr>
          <w:rFonts w:cs="Tahoma"/>
          <w:bCs/>
          <w:sz w:val="24"/>
          <w:szCs w:val="24"/>
          <w:lang w:val="es-MX"/>
        </w:rPr>
      </w:pPr>
    </w:p>
    <w:p w14:paraId="21FDE449" w14:textId="77777777" w:rsidR="00B410FC" w:rsidRPr="00CD72BB" w:rsidRDefault="00B410FC" w:rsidP="00CD72BB">
      <w:pPr>
        <w:shd w:val="clear" w:color="auto" w:fill="FFFFFF"/>
        <w:spacing w:line="240" w:lineRule="auto"/>
        <w:ind w:left="426" w:right="420"/>
        <w:rPr>
          <w:rFonts w:cs="Tahoma"/>
          <w:sz w:val="22"/>
          <w:szCs w:val="22"/>
          <w:lang w:val="es-CO" w:eastAsia="es-CO"/>
        </w:rPr>
      </w:pPr>
      <w:r w:rsidRPr="00CD72BB">
        <w:rPr>
          <w:rFonts w:cs="Tahoma"/>
          <w:b/>
          <w:bCs/>
          <w:sz w:val="22"/>
          <w:szCs w:val="22"/>
          <w:lang w:val="es-CO" w:eastAsia="es-CO"/>
        </w:rPr>
        <w:t>“ARTÍCULO</w:t>
      </w:r>
      <w:bookmarkStart w:id="2" w:name="8.-"/>
      <w:bookmarkEnd w:id="2"/>
      <w:r w:rsidRPr="00CD72BB">
        <w:rPr>
          <w:rFonts w:cs="Tahoma"/>
          <w:b/>
          <w:bCs/>
          <w:sz w:val="22"/>
          <w:szCs w:val="22"/>
          <w:lang w:val="es-CO" w:eastAsia="es-CO"/>
        </w:rPr>
        <w:t> </w:t>
      </w:r>
      <w:bookmarkStart w:id="3" w:name="8"/>
      <w:bookmarkEnd w:id="3"/>
      <w:r w:rsidRPr="00CD72BB">
        <w:rPr>
          <w:rFonts w:cs="Tahoma"/>
          <w:b/>
          <w:bCs/>
          <w:sz w:val="22"/>
          <w:szCs w:val="22"/>
          <w:lang w:val="es-CO" w:eastAsia="es-CO"/>
        </w:rPr>
        <w:t>8.-</w:t>
      </w:r>
      <w:r w:rsidRPr="00CD72BB">
        <w:rPr>
          <w:rFonts w:cs="Tahoma"/>
          <w:sz w:val="22"/>
          <w:szCs w:val="22"/>
          <w:lang w:val="es-CO" w:eastAsia="es-CO"/>
        </w:rPr>
        <w:t> </w:t>
      </w:r>
      <w:r w:rsidRPr="00CD72BB">
        <w:rPr>
          <w:rFonts w:cs="Tahoma"/>
          <w:i/>
          <w:iCs/>
          <w:sz w:val="22"/>
          <w:szCs w:val="22"/>
          <w:lang w:val="es-CO" w:eastAsia="es-CO"/>
        </w:rPr>
        <w:t>Armas de guerra o de uso privativo de la Fuerza Pública</w:t>
      </w:r>
      <w:r w:rsidRPr="00CD72BB">
        <w:rPr>
          <w:rFonts w:cs="Tahoma"/>
          <w:sz w:val="22"/>
          <w:szCs w:val="22"/>
          <w:lang w:val="es-CO" w:eastAsia="es-CO"/>
        </w:rPr>
        <w:t>. Son armas de guerra y por tanto de uso privativo de la Fuerza Pública, aquellas utilizadas con el objeto de defender la independencia, la soberanía nacional, mantener la integridad territorial, asegurar la convivencia pacífica, el ejercicio de los derechos y libertades públicas, el orden constitucional y el mantenimiento y restablecimiento del orden público, tales como:</w:t>
      </w:r>
    </w:p>
    <w:p w14:paraId="1797E222" w14:textId="77777777" w:rsidR="003F1810" w:rsidRPr="00CD72BB" w:rsidRDefault="003F1810" w:rsidP="00CD72BB">
      <w:pPr>
        <w:shd w:val="clear" w:color="auto" w:fill="FFFFFF"/>
        <w:spacing w:line="240" w:lineRule="auto"/>
        <w:ind w:left="426" w:right="420"/>
        <w:rPr>
          <w:rFonts w:cs="Tahoma"/>
          <w:sz w:val="22"/>
          <w:szCs w:val="22"/>
          <w:lang w:val="es-CO" w:eastAsia="es-CO"/>
        </w:rPr>
      </w:pPr>
    </w:p>
    <w:p w14:paraId="242B7E97" w14:textId="77777777" w:rsidR="00B410FC" w:rsidRPr="00CD72BB" w:rsidRDefault="00B410FC" w:rsidP="00CD72BB">
      <w:pPr>
        <w:shd w:val="clear" w:color="auto" w:fill="FFFFFF"/>
        <w:spacing w:line="240" w:lineRule="auto"/>
        <w:ind w:left="426" w:right="420"/>
        <w:rPr>
          <w:rFonts w:cs="Tahoma"/>
          <w:b/>
          <w:sz w:val="22"/>
          <w:szCs w:val="22"/>
          <w:lang w:val="es-CO" w:eastAsia="es-CO"/>
        </w:rPr>
      </w:pPr>
      <w:r w:rsidRPr="00CD72BB">
        <w:rPr>
          <w:rFonts w:cs="Tahoma"/>
          <w:b/>
          <w:sz w:val="22"/>
          <w:szCs w:val="22"/>
          <w:lang w:val="es-CO" w:eastAsia="es-CO"/>
        </w:rPr>
        <w:t xml:space="preserve">a. Pistolas y revólveres de calibre 9.652 </w:t>
      </w:r>
      <w:proofErr w:type="spellStart"/>
      <w:r w:rsidRPr="00CD72BB">
        <w:rPr>
          <w:rFonts w:cs="Tahoma"/>
          <w:b/>
          <w:sz w:val="22"/>
          <w:szCs w:val="22"/>
          <w:lang w:val="es-CO" w:eastAsia="es-CO"/>
        </w:rPr>
        <w:t>mm.</w:t>
      </w:r>
      <w:proofErr w:type="spellEnd"/>
      <w:r w:rsidRPr="00CD72BB">
        <w:rPr>
          <w:rFonts w:cs="Tahoma"/>
          <w:b/>
          <w:sz w:val="22"/>
          <w:szCs w:val="22"/>
          <w:lang w:val="es-CO" w:eastAsia="es-CO"/>
        </w:rPr>
        <w:t xml:space="preserve"> (.38 pulgadas) que no reúnan las características establecidas en el artículo 11 de este Decreto;</w:t>
      </w:r>
    </w:p>
    <w:p w14:paraId="33A437EE" w14:textId="77777777" w:rsidR="00B410FC" w:rsidRPr="00CD72BB" w:rsidRDefault="00B410FC" w:rsidP="00CD72BB">
      <w:pPr>
        <w:shd w:val="clear" w:color="auto" w:fill="FFFFFF"/>
        <w:spacing w:line="240" w:lineRule="auto"/>
        <w:ind w:left="426" w:right="420"/>
        <w:rPr>
          <w:rFonts w:cs="Tahoma"/>
          <w:sz w:val="22"/>
          <w:szCs w:val="22"/>
          <w:lang w:val="es-CO" w:eastAsia="es-CO"/>
        </w:rPr>
      </w:pPr>
      <w:r w:rsidRPr="00CD72BB">
        <w:rPr>
          <w:rFonts w:cs="Tahoma"/>
          <w:sz w:val="22"/>
          <w:szCs w:val="22"/>
          <w:lang w:val="es-CO" w:eastAsia="es-CO"/>
        </w:rPr>
        <w:t xml:space="preserve">b. Pistolas y revólveres de calibre superior a 9.652 </w:t>
      </w:r>
      <w:proofErr w:type="spellStart"/>
      <w:r w:rsidRPr="00CD72BB">
        <w:rPr>
          <w:rFonts w:cs="Tahoma"/>
          <w:sz w:val="22"/>
          <w:szCs w:val="22"/>
          <w:lang w:val="es-CO" w:eastAsia="es-CO"/>
        </w:rPr>
        <w:t>mm.</w:t>
      </w:r>
      <w:proofErr w:type="spellEnd"/>
      <w:r w:rsidRPr="00CD72BB">
        <w:rPr>
          <w:rFonts w:cs="Tahoma"/>
          <w:sz w:val="22"/>
          <w:szCs w:val="22"/>
          <w:lang w:val="es-CO" w:eastAsia="es-CO"/>
        </w:rPr>
        <w:t xml:space="preserve"> (.38 pulgadas);</w:t>
      </w:r>
    </w:p>
    <w:p w14:paraId="3E026D78" w14:textId="77777777" w:rsidR="00B410FC" w:rsidRPr="00CD72BB" w:rsidRDefault="00B410FC" w:rsidP="00CD72BB">
      <w:pPr>
        <w:shd w:val="clear" w:color="auto" w:fill="FFFFFF"/>
        <w:spacing w:line="240" w:lineRule="auto"/>
        <w:ind w:left="426" w:right="420"/>
        <w:rPr>
          <w:rFonts w:cs="Tahoma"/>
          <w:sz w:val="22"/>
          <w:szCs w:val="22"/>
          <w:lang w:val="es-CO" w:eastAsia="es-CO"/>
        </w:rPr>
      </w:pPr>
      <w:r w:rsidRPr="00CD72BB">
        <w:rPr>
          <w:rFonts w:cs="Tahoma"/>
          <w:sz w:val="22"/>
          <w:szCs w:val="22"/>
          <w:lang w:val="es-CO" w:eastAsia="es-CO"/>
        </w:rPr>
        <w:t>c. Fusiles y carabinas semiautomáticas de calibre superior a 22 L.R;</w:t>
      </w:r>
    </w:p>
    <w:p w14:paraId="7E2E5D6C" w14:textId="77777777" w:rsidR="00B410FC" w:rsidRPr="00CD72BB" w:rsidRDefault="00B410FC" w:rsidP="00CD72BB">
      <w:pPr>
        <w:shd w:val="clear" w:color="auto" w:fill="FFFFFF"/>
        <w:spacing w:line="240" w:lineRule="auto"/>
        <w:ind w:left="426" w:right="420"/>
        <w:rPr>
          <w:rFonts w:cs="Tahoma"/>
          <w:sz w:val="22"/>
          <w:szCs w:val="22"/>
          <w:lang w:val="es-CO" w:eastAsia="es-CO"/>
        </w:rPr>
      </w:pPr>
      <w:r w:rsidRPr="00CD72BB">
        <w:rPr>
          <w:rFonts w:cs="Tahoma"/>
          <w:sz w:val="22"/>
          <w:szCs w:val="22"/>
          <w:lang w:val="es-CO" w:eastAsia="es-CO"/>
        </w:rPr>
        <w:t>d. Armas automáticas sin importar calibre;</w:t>
      </w:r>
    </w:p>
    <w:p w14:paraId="53C2E75A" w14:textId="77777777" w:rsidR="00B410FC" w:rsidRPr="00CD72BB" w:rsidRDefault="00B410FC" w:rsidP="00CD72BB">
      <w:pPr>
        <w:shd w:val="clear" w:color="auto" w:fill="FFFFFF"/>
        <w:spacing w:line="240" w:lineRule="auto"/>
        <w:ind w:left="426" w:right="420"/>
        <w:rPr>
          <w:rFonts w:cs="Tahoma"/>
          <w:sz w:val="22"/>
          <w:szCs w:val="22"/>
          <w:lang w:val="es-CO" w:eastAsia="es-CO"/>
        </w:rPr>
      </w:pPr>
      <w:r w:rsidRPr="00CD72BB">
        <w:rPr>
          <w:rFonts w:cs="Tahoma"/>
          <w:sz w:val="22"/>
          <w:szCs w:val="22"/>
          <w:lang w:val="es-CO" w:eastAsia="es-CO"/>
        </w:rPr>
        <w:t>e. Los antitanques, cañones, morteros, obuses y misiles de tierra, mar y aire en todos los calibres;</w:t>
      </w:r>
    </w:p>
    <w:p w14:paraId="77324FEB" w14:textId="77777777" w:rsidR="00B410FC" w:rsidRPr="00CD72BB" w:rsidRDefault="00B410FC" w:rsidP="00CD72BB">
      <w:pPr>
        <w:shd w:val="clear" w:color="auto" w:fill="FFFFFF"/>
        <w:spacing w:line="240" w:lineRule="auto"/>
        <w:ind w:left="426" w:right="420"/>
        <w:rPr>
          <w:rFonts w:cs="Tahoma"/>
          <w:sz w:val="22"/>
          <w:szCs w:val="22"/>
          <w:lang w:val="es-CO" w:eastAsia="es-CO"/>
        </w:rPr>
      </w:pPr>
      <w:r w:rsidRPr="00CD72BB">
        <w:rPr>
          <w:rFonts w:cs="Tahoma"/>
          <w:sz w:val="22"/>
          <w:szCs w:val="22"/>
          <w:lang w:val="es-CO" w:eastAsia="es-CO"/>
        </w:rPr>
        <w:t>f. Lanzacohetes, bazucas, lanzagranadas en cualquier calibre;</w:t>
      </w:r>
    </w:p>
    <w:p w14:paraId="6030DD9C" w14:textId="77777777" w:rsidR="00B410FC" w:rsidRPr="00CD72BB" w:rsidRDefault="00B410FC" w:rsidP="00CD72BB">
      <w:pPr>
        <w:shd w:val="clear" w:color="auto" w:fill="FFFFFF"/>
        <w:spacing w:line="240" w:lineRule="auto"/>
        <w:ind w:left="426" w:right="420"/>
        <w:rPr>
          <w:rFonts w:cs="Tahoma"/>
          <w:sz w:val="22"/>
          <w:szCs w:val="22"/>
          <w:lang w:val="es-CO" w:eastAsia="es-CO"/>
        </w:rPr>
      </w:pPr>
      <w:r w:rsidRPr="00CD72BB">
        <w:rPr>
          <w:rFonts w:cs="Tahoma"/>
          <w:sz w:val="22"/>
          <w:szCs w:val="22"/>
          <w:lang w:val="es-CO" w:eastAsia="es-CO"/>
        </w:rPr>
        <w:t>g. Cargas explosivas tales como bombas de mano, bombas de aviación, granadas de fragmentación, petardos, proyectiles y minas.</w:t>
      </w:r>
    </w:p>
    <w:p w14:paraId="4DB29199" w14:textId="77777777" w:rsidR="00B410FC" w:rsidRPr="00CD72BB" w:rsidRDefault="00B410FC" w:rsidP="00CD72BB">
      <w:pPr>
        <w:shd w:val="clear" w:color="auto" w:fill="FFFFFF"/>
        <w:spacing w:line="240" w:lineRule="auto"/>
        <w:ind w:left="426" w:right="420"/>
        <w:rPr>
          <w:rFonts w:cs="Tahoma"/>
          <w:sz w:val="22"/>
          <w:szCs w:val="22"/>
          <w:lang w:val="es-CO" w:eastAsia="es-CO"/>
        </w:rPr>
      </w:pPr>
      <w:r w:rsidRPr="00CD72BB">
        <w:rPr>
          <w:rFonts w:cs="Tahoma"/>
          <w:sz w:val="22"/>
          <w:szCs w:val="22"/>
          <w:lang w:val="es-CO" w:eastAsia="es-CO"/>
        </w:rPr>
        <w:t>h. Granadas de iluminación, fumígenas, perforantes o de instrucción de la Fuerza Pública;</w:t>
      </w:r>
    </w:p>
    <w:p w14:paraId="568871F3" w14:textId="77777777" w:rsidR="00B410FC" w:rsidRPr="00CD72BB" w:rsidRDefault="00B410FC" w:rsidP="00CD72BB">
      <w:pPr>
        <w:shd w:val="clear" w:color="auto" w:fill="FFFFFF"/>
        <w:spacing w:line="240" w:lineRule="auto"/>
        <w:ind w:left="426" w:right="420"/>
        <w:rPr>
          <w:rFonts w:cs="Tahoma"/>
          <w:sz w:val="22"/>
          <w:szCs w:val="22"/>
          <w:lang w:val="es-CO" w:eastAsia="es-CO"/>
        </w:rPr>
      </w:pPr>
      <w:r w:rsidRPr="00CD72BB">
        <w:rPr>
          <w:rFonts w:cs="Tahoma"/>
          <w:sz w:val="22"/>
          <w:szCs w:val="22"/>
          <w:lang w:val="es-CO" w:eastAsia="es-CO"/>
        </w:rPr>
        <w:t xml:space="preserve">i. Armas que lleven dispositivos de tipo militar como miras infrarrojas, </w:t>
      </w:r>
      <w:proofErr w:type="spellStart"/>
      <w:r w:rsidRPr="00CD72BB">
        <w:rPr>
          <w:rFonts w:cs="Tahoma"/>
          <w:sz w:val="22"/>
          <w:szCs w:val="22"/>
          <w:lang w:val="es-CO" w:eastAsia="es-CO"/>
        </w:rPr>
        <w:t>laséricas</w:t>
      </w:r>
      <w:proofErr w:type="spellEnd"/>
      <w:r w:rsidRPr="00CD72BB">
        <w:rPr>
          <w:rFonts w:cs="Tahoma"/>
          <w:sz w:val="22"/>
          <w:szCs w:val="22"/>
          <w:lang w:val="es-CO" w:eastAsia="es-CO"/>
        </w:rPr>
        <w:t xml:space="preserve"> o accesorios como lanzagranadas y silenciadores;</w:t>
      </w:r>
    </w:p>
    <w:p w14:paraId="4B88492C" w14:textId="77777777" w:rsidR="00B410FC" w:rsidRPr="00CD72BB" w:rsidRDefault="00B410FC" w:rsidP="00CD72BB">
      <w:pPr>
        <w:shd w:val="clear" w:color="auto" w:fill="FFFFFF"/>
        <w:spacing w:line="240" w:lineRule="auto"/>
        <w:ind w:left="426" w:right="420"/>
        <w:rPr>
          <w:rFonts w:cs="Tahoma"/>
          <w:sz w:val="22"/>
          <w:szCs w:val="22"/>
          <w:lang w:val="es-CO" w:eastAsia="es-CO"/>
        </w:rPr>
      </w:pPr>
      <w:r w:rsidRPr="00CD72BB">
        <w:rPr>
          <w:rFonts w:cs="Tahoma"/>
          <w:sz w:val="22"/>
          <w:szCs w:val="22"/>
          <w:lang w:val="es-CO" w:eastAsia="es-CO"/>
        </w:rPr>
        <w:t>j. Las municiones correspondientes al tipo de arma enunciadas en lo literales anteriores.”</w:t>
      </w:r>
    </w:p>
    <w:p w14:paraId="466C0B47" w14:textId="77777777" w:rsidR="00AA2A13" w:rsidRPr="003F1810" w:rsidRDefault="00AA2A13" w:rsidP="003F1810">
      <w:pPr>
        <w:shd w:val="clear" w:color="auto" w:fill="FFFFFF"/>
        <w:spacing w:line="276" w:lineRule="auto"/>
        <w:rPr>
          <w:rFonts w:cs="Tahoma"/>
          <w:sz w:val="24"/>
          <w:szCs w:val="24"/>
          <w:lang w:val="es-CO" w:eastAsia="es-CO"/>
        </w:rPr>
      </w:pPr>
    </w:p>
    <w:p w14:paraId="39F98B05" w14:textId="77777777" w:rsidR="00B410FC" w:rsidRPr="003F1810" w:rsidRDefault="00B410FC" w:rsidP="003F1810">
      <w:pPr>
        <w:pStyle w:val="Encabezado"/>
        <w:spacing w:line="276" w:lineRule="auto"/>
        <w:rPr>
          <w:rFonts w:cs="Tahoma"/>
          <w:bCs/>
          <w:sz w:val="24"/>
          <w:szCs w:val="24"/>
          <w:lang w:val="es-MX"/>
        </w:rPr>
      </w:pPr>
      <w:r w:rsidRPr="003F1810">
        <w:rPr>
          <w:rFonts w:cs="Tahoma"/>
          <w:bCs/>
          <w:sz w:val="24"/>
          <w:szCs w:val="24"/>
          <w:lang w:val="es-MX"/>
        </w:rPr>
        <w:t>Y a su turno, el artículo 11 dispone:</w:t>
      </w:r>
    </w:p>
    <w:p w14:paraId="35570BB2" w14:textId="3D97C099" w:rsidR="00AA2A13" w:rsidRPr="003F1810" w:rsidRDefault="00AA2A13" w:rsidP="003F1810">
      <w:pPr>
        <w:pStyle w:val="Encabezado"/>
        <w:spacing w:line="276" w:lineRule="auto"/>
        <w:rPr>
          <w:rFonts w:cs="Tahoma"/>
          <w:bCs/>
          <w:sz w:val="24"/>
          <w:szCs w:val="24"/>
          <w:lang w:val="es-MX"/>
        </w:rPr>
      </w:pPr>
    </w:p>
    <w:p w14:paraId="67686D13" w14:textId="77777777" w:rsidR="00B410FC" w:rsidRPr="00CD72BB" w:rsidRDefault="00AA2A13" w:rsidP="00CD72BB">
      <w:pPr>
        <w:shd w:val="clear" w:color="auto" w:fill="FFFFFF"/>
        <w:spacing w:line="240" w:lineRule="auto"/>
        <w:ind w:left="426" w:right="420"/>
        <w:rPr>
          <w:rFonts w:cs="Tahoma"/>
          <w:sz w:val="22"/>
          <w:szCs w:val="22"/>
          <w:lang w:val="es-CO" w:eastAsia="es-CO"/>
        </w:rPr>
      </w:pPr>
      <w:r w:rsidRPr="00CD72BB">
        <w:rPr>
          <w:rFonts w:cs="Tahoma"/>
          <w:b/>
          <w:bCs/>
          <w:sz w:val="22"/>
          <w:szCs w:val="22"/>
          <w:lang w:val="es-CO" w:eastAsia="es-CO"/>
        </w:rPr>
        <w:t>“</w:t>
      </w:r>
      <w:r w:rsidR="00B410FC" w:rsidRPr="00CD72BB">
        <w:rPr>
          <w:rFonts w:cs="Tahoma"/>
          <w:b/>
          <w:bCs/>
          <w:sz w:val="22"/>
          <w:szCs w:val="22"/>
          <w:lang w:val="es-CO" w:eastAsia="es-CO"/>
        </w:rPr>
        <w:t>ARTÍCULO </w:t>
      </w:r>
      <w:bookmarkStart w:id="4" w:name="11"/>
      <w:bookmarkEnd w:id="4"/>
      <w:r w:rsidR="00B410FC" w:rsidRPr="00CD72BB">
        <w:rPr>
          <w:rFonts w:cs="Tahoma"/>
          <w:b/>
          <w:bCs/>
          <w:sz w:val="22"/>
          <w:szCs w:val="22"/>
          <w:lang w:val="es-CO" w:eastAsia="es-CO"/>
        </w:rPr>
        <w:t>11.-</w:t>
      </w:r>
      <w:r w:rsidR="00B410FC" w:rsidRPr="00CD72BB">
        <w:rPr>
          <w:rFonts w:cs="Tahoma"/>
          <w:sz w:val="22"/>
          <w:szCs w:val="22"/>
          <w:lang w:val="es-CO" w:eastAsia="es-CO"/>
        </w:rPr>
        <w:t> </w:t>
      </w:r>
      <w:r w:rsidR="00B410FC" w:rsidRPr="00CD72BB">
        <w:rPr>
          <w:rFonts w:cs="Tahoma"/>
          <w:i/>
          <w:iCs/>
          <w:sz w:val="22"/>
          <w:szCs w:val="22"/>
          <w:lang w:val="es-CO" w:eastAsia="es-CO"/>
        </w:rPr>
        <w:t>Armas de defensa personal.</w:t>
      </w:r>
      <w:r w:rsidR="00B410FC" w:rsidRPr="00CD72BB">
        <w:rPr>
          <w:rFonts w:cs="Tahoma"/>
          <w:sz w:val="22"/>
          <w:szCs w:val="22"/>
          <w:lang w:val="es-CO" w:eastAsia="es-CO"/>
        </w:rPr>
        <w:t> Son aquellas diseñadas para defensa individual a corta distancia. Se clasifican en esta categoría:</w:t>
      </w:r>
    </w:p>
    <w:p w14:paraId="5B588241" w14:textId="77777777" w:rsidR="003F1810" w:rsidRPr="00CD72BB" w:rsidRDefault="003F1810" w:rsidP="00CD72BB">
      <w:pPr>
        <w:shd w:val="clear" w:color="auto" w:fill="FFFFFF"/>
        <w:spacing w:line="240" w:lineRule="auto"/>
        <w:ind w:left="426" w:right="420"/>
        <w:rPr>
          <w:rFonts w:cs="Tahoma"/>
          <w:sz w:val="22"/>
          <w:szCs w:val="22"/>
          <w:lang w:val="es-CO" w:eastAsia="es-CO"/>
        </w:rPr>
      </w:pPr>
    </w:p>
    <w:p w14:paraId="2C2D61B2" w14:textId="77777777" w:rsidR="00B410FC" w:rsidRPr="00CD72BB" w:rsidRDefault="00B410FC" w:rsidP="00CD72BB">
      <w:pPr>
        <w:shd w:val="clear" w:color="auto" w:fill="FFFFFF"/>
        <w:spacing w:line="240" w:lineRule="auto"/>
        <w:ind w:left="426" w:right="420"/>
        <w:rPr>
          <w:rFonts w:cs="Tahoma"/>
          <w:sz w:val="22"/>
          <w:szCs w:val="22"/>
          <w:lang w:val="es-CO" w:eastAsia="es-CO"/>
        </w:rPr>
      </w:pPr>
      <w:r w:rsidRPr="00CD72BB">
        <w:rPr>
          <w:rFonts w:cs="Tahoma"/>
          <w:sz w:val="22"/>
          <w:szCs w:val="22"/>
          <w:lang w:val="es-CO" w:eastAsia="es-CO"/>
        </w:rPr>
        <w:t>a. Revólveres y pistolas que reúnan la totalidad de las siguientes características:</w:t>
      </w:r>
    </w:p>
    <w:p w14:paraId="6409C3CD" w14:textId="77777777" w:rsidR="00B410FC" w:rsidRPr="00CD72BB" w:rsidRDefault="00B410FC" w:rsidP="00CD72BB">
      <w:pPr>
        <w:shd w:val="clear" w:color="auto" w:fill="FFFFFF"/>
        <w:spacing w:line="240" w:lineRule="auto"/>
        <w:ind w:left="426" w:right="420"/>
        <w:rPr>
          <w:rFonts w:cs="Tahoma"/>
          <w:b/>
          <w:sz w:val="22"/>
          <w:szCs w:val="22"/>
          <w:lang w:val="es-CO" w:eastAsia="es-CO"/>
        </w:rPr>
      </w:pPr>
      <w:r w:rsidRPr="00CD72BB">
        <w:rPr>
          <w:rFonts w:cs="Tahoma"/>
          <w:b/>
          <w:sz w:val="22"/>
          <w:szCs w:val="22"/>
          <w:lang w:val="es-CO" w:eastAsia="es-CO"/>
        </w:rPr>
        <w:t xml:space="preserve">- Calibre máximo 9.652 </w:t>
      </w:r>
      <w:proofErr w:type="spellStart"/>
      <w:r w:rsidRPr="00CD72BB">
        <w:rPr>
          <w:rFonts w:cs="Tahoma"/>
          <w:b/>
          <w:sz w:val="22"/>
          <w:szCs w:val="22"/>
          <w:lang w:val="es-CO" w:eastAsia="es-CO"/>
        </w:rPr>
        <w:t>mm.</w:t>
      </w:r>
      <w:proofErr w:type="spellEnd"/>
      <w:r w:rsidRPr="00CD72BB">
        <w:rPr>
          <w:rFonts w:cs="Tahoma"/>
          <w:b/>
          <w:sz w:val="22"/>
          <w:szCs w:val="22"/>
          <w:lang w:val="es-CO" w:eastAsia="es-CO"/>
        </w:rPr>
        <w:t xml:space="preserve"> (.38 pulgadas).</w:t>
      </w:r>
    </w:p>
    <w:p w14:paraId="65A97D04" w14:textId="77777777" w:rsidR="00B410FC" w:rsidRPr="00CD72BB" w:rsidRDefault="00B410FC" w:rsidP="00CD72BB">
      <w:pPr>
        <w:shd w:val="clear" w:color="auto" w:fill="FFFFFF"/>
        <w:spacing w:line="240" w:lineRule="auto"/>
        <w:ind w:left="426" w:right="420"/>
        <w:rPr>
          <w:rFonts w:cs="Tahoma"/>
          <w:b/>
          <w:sz w:val="22"/>
          <w:szCs w:val="22"/>
          <w:lang w:val="es-CO" w:eastAsia="es-CO"/>
        </w:rPr>
      </w:pPr>
      <w:r w:rsidRPr="00CD72BB">
        <w:rPr>
          <w:rFonts w:cs="Tahoma"/>
          <w:b/>
          <w:sz w:val="22"/>
          <w:szCs w:val="22"/>
          <w:lang w:val="es-CO" w:eastAsia="es-CO"/>
        </w:rPr>
        <w:t>- Longitud máxima de cañ</w:t>
      </w:r>
      <w:r w:rsidR="00697492" w:rsidRPr="00CD72BB">
        <w:rPr>
          <w:rFonts w:cs="Tahoma"/>
          <w:b/>
          <w:sz w:val="22"/>
          <w:szCs w:val="22"/>
          <w:lang w:val="es-CO" w:eastAsia="es-CO"/>
        </w:rPr>
        <w:t>ó</w:t>
      </w:r>
      <w:r w:rsidRPr="00CD72BB">
        <w:rPr>
          <w:rFonts w:cs="Tahoma"/>
          <w:b/>
          <w:sz w:val="22"/>
          <w:szCs w:val="22"/>
          <w:lang w:val="es-CO" w:eastAsia="es-CO"/>
        </w:rPr>
        <w:t>n 15.24 cm. (6 pulgadas).</w:t>
      </w:r>
    </w:p>
    <w:p w14:paraId="322DF1B9" w14:textId="77777777" w:rsidR="00B410FC" w:rsidRPr="00CD72BB" w:rsidRDefault="00B410FC" w:rsidP="00CD72BB">
      <w:pPr>
        <w:shd w:val="clear" w:color="auto" w:fill="FFFFFF"/>
        <w:spacing w:line="240" w:lineRule="auto"/>
        <w:ind w:left="426" w:right="420"/>
        <w:rPr>
          <w:rFonts w:cs="Tahoma"/>
          <w:b/>
          <w:sz w:val="22"/>
          <w:szCs w:val="22"/>
          <w:lang w:val="es-CO" w:eastAsia="es-CO"/>
        </w:rPr>
      </w:pPr>
      <w:r w:rsidRPr="00CD72BB">
        <w:rPr>
          <w:rFonts w:cs="Tahoma"/>
          <w:b/>
          <w:sz w:val="22"/>
          <w:szCs w:val="22"/>
          <w:lang w:val="es-CO" w:eastAsia="es-CO"/>
        </w:rPr>
        <w:t>- En pistolas, funcionamiento por repetición o semiautomática.</w:t>
      </w:r>
    </w:p>
    <w:p w14:paraId="279F15EF" w14:textId="77777777" w:rsidR="00B410FC" w:rsidRPr="00CD72BB" w:rsidRDefault="00B410FC" w:rsidP="00CD72BB">
      <w:pPr>
        <w:shd w:val="clear" w:color="auto" w:fill="FFFFFF"/>
        <w:spacing w:line="240" w:lineRule="auto"/>
        <w:ind w:left="426" w:right="420"/>
        <w:rPr>
          <w:rFonts w:cs="Tahoma"/>
          <w:sz w:val="22"/>
          <w:szCs w:val="22"/>
          <w:lang w:val="es-CO" w:eastAsia="es-CO"/>
        </w:rPr>
      </w:pPr>
      <w:r w:rsidRPr="00CD72BB">
        <w:rPr>
          <w:rFonts w:cs="Tahoma"/>
          <w:b/>
          <w:sz w:val="22"/>
          <w:szCs w:val="22"/>
          <w:lang w:val="es-CO" w:eastAsia="es-CO"/>
        </w:rPr>
        <w:t>- Capacidad en el proveedor, de la pistola no superior a 9 cartuchos</w:t>
      </w:r>
      <w:r w:rsidRPr="00CD72BB">
        <w:rPr>
          <w:rFonts w:cs="Tahoma"/>
          <w:sz w:val="22"/>
          <w:szCs w:val="22"/>
          <w:lang w:val="es-CO" w:eastAsia="es-CO"/>
        </w:rPr>
        <w:t>, a excepción de las que originalmente sean del calibre 22, caso en el cual se ampl</w:t>
      </w:r>
      <w:r w:rsidR="00787321" w:rsidRPr="00CD72BB">
        <w:rPr>
          <w:rFonts w:cs="Tahoma"/>
          <w:sz w:val="22"/>
          <w:szCs w:val="22"/>
          <w:lang w:val="es-CO" w:eastAsia="es-CO"/>
        </w:rPr>
        <w:t>í</w:t>
      </w:r>
      <w:r w:rsidRPr="00CD72BB">
        <w:rPr>
          <w:rFonts w:cs="Tahoma"/>
          <w:sz w:val="22"/>
          <w:szCs w:val="22"/>
          <w:lang w:val="es-CO" w:eastAsia="es-CO"/>
        </w:rPr>
        <w:t>a a 10 cartuchos.</w:t>
      </w:r>
    </w:p>
    <w:p w14:paraId="1D192F7E" w14:textId="77777777" w:rsidR="00B410FC" w:rsidRPr="00CD72BB" w:rsidRDefault="00B410FC" w:rsidP="00CD72BB">
      <w:pPr>
        <w:shd w:val="clear" w:color="auto" w:fill="FFFFFF"/>
        <w:spacing w:line="240" w:lineRule="auto"/>
        <w:ind w:left="426" w:right="420"/>
        <w:rPr>
          <w:rFonts w:cs="Tahoma"/>
          <w:sz w:val="22"/>
          <w:szCs w:val="22"/>
          <w:lang w:val="es-CO" w:eastAsia="es-CO"/>
        </w:rPr>
      </w:pPr>
      <w:r w:rsidRPr="00CD72BB">
        <w:rPr>
          <w:rFonts w:cs="Tahoma"/>
          <w:sz w:val="22"/>
          <w:szCs w:val="22"/>
          <w:lang w:val="es-CO" w:eastAsia="es-CO"/>
        </w:rPr>
        <w:lastRenderedPageBreak/>
        <w:t>b. Carabina calibre 22 S, 22 L, 22 L. R., no automáticas;</w:t>
      </w:r>
    </w:p>
    <w:p w14:paraId="6A3FBB0E" w14:textId="77777777" w:rsidR="00B410FC" w:rsidRPr="00CD72BB" w:rsidRDefault="00B410FC" w:rsidP="00CD72BB">
      <w:pPr>
        <w:shd w:val="clear" w:color="auto" w:fill="FFFFFF"/>
        <w:spacing w:line="240" w:lineRule="auto"/>
        <w:ind w:left="426" w:right="420"/>
        <w:rPr>
          <w:rFonts w:cs="Tahoma"/>
          <w:sz w:val="22"/>
          <w:szCs w:val="22"/>
          <w:lang w:val="es-CO" w:eastAsia="es-CO"/>
        </w:rPr>
      </w:pPr>
      <w:r w:rsidRPr="00CD72BB">
        <w:rPr>
          <w:rFonts w:cs="Tahoma"/>
          <w:sz w:val="22"/>
          <w:szCs w:val="22"/>
          <w:lang w:val="es-CO" w:eastAsia="es-CO"/>
        </w:rPr>
        <w:t>c. Las escopetas cuya longitud de cañón no sea superior a 22 pulgadas.”</w:t>
      </w:r>
    </w:p>
    <w:p w14:paraId="29F7F076" w14:textId="77777777" w:rsidR="000A3694" w:rsidRPr="003F1810" w:rsidRDefault="000A3694" w:rsidP="003F1810">
      <w:pPr>
        <w:pStyle w:val="Encabezado"/>
        <w:spacing w:line="276" w:lineRule="auto"/>
        <w:rPr>
          <w:rFonts w:cs="Tahoma"/>
          <w:sz w:val="24"/>
          <w:szCs w:val="24"/>
          <w:lang w:val="es-MX"/>
        </w:rPr>
      </w:pPr>
    </w:p>
    <w:p w14:paraId="27D0B9AF" w14:textId="5882C264" w:rsidR="00AA2A13" w:rsidRPr="003F1810" w:rsidRDefault="00AA2A13" w:rsidP="003F1810">
      <w:pPr>
        <w:pStyle w:val="Encabezado"/>
        <w:spacing w:line="276" w:lineRule="auto"/>
        <w:rPr>
          <w:rFonts w:cs="Tahoma"/>
          <w:sz w:val="24"/>
          <w:szCs w:val="24"/>
          <w:lang w:val="es-MX"/>
        </w:rPr>
      </w:pPr>
      <w:r w:rsidRPr="003F1810">
        <w:rPr>
          <w:rFonts w:cs="Tahoma"/>
          <w:sz w:val="24"/>
          <w:szCs w:val="24"/>
          <w:lang w:val="es-MX"/>
        </w:rPr>
        <w:t>En este caso</w:t>
      </w:r>
      <w:r w:rsidR="00EE6FA5" w:rsidRPr="003F1810">
        <w:rPr>
          <w:rFonts w:cs="Tahoma"/>
          <w:sz w:val="24"/>
          <w:szCs w:val="24"/>
          <w:lang w:val="es-MX"/>
        </w:rPr>
        <w:t xml:space="preserve">, acorde con los EMP que se arrimaron en su momento al despacho que emitió el fallo de condena, y de conformidad con </w:t>
      </w:r>
      <w:r w:rsidRPr="003F1810">
        <w:rPr>
          <w:rFonts w:cs="Tahoma"/>
          <w:sz w:val="24"/>
          <w:szCs w:val="24"/>
          <w:lang w:val="es-MX"/>
        </w:rPr>
        <w:t xml:space="preserve">el dictamen que en curso de dicha actuación rindió el perito en balística de la </w:t>
      </w:r>
      <w:r w:rsidR="00D76851" w:rsidRPr="003F1810">
        <w:rPr>
          <w:rFonts w:cs="Tahoma"/>
          <w:sz w:val="24"/>
          <w:szCs w:val="24"/>
          <w:lang w:val="es-MX"/>
        </w:rPr>
        <w:t>SIJÍN,</w:t>
      </w:r>
      <w:r w:rsidRPr="003F1810">
        <w:rPr>
          <w:rFonts w:cs="Tahoma"/>
          <w:sz w:val="24"/>
          <w:szCs w:val="24"/>
          <w:lang w:val="es-MX"/>
        </w:rPr>
        <w:t xml:space="preserve"> se tiene que el arma que le fuera incautada al señor </w:t>
      </w:r>
      <w:proofErr w:type="spellStart"/>
      <w:r w:rsidR="005553FE">
        <w:rPr>
          <w:rFonts w:cs="Tahoma"/>
          <w:b/>
          <w:sz w:val="24"/>
          <w:szCs w:val="24"/>
          <w:lang w:val="es-MX"/>
        </w:rPr>
        <w:t>JFGS</w:t>
      </w:r>
      <w:proofErr w:type="spellEnd"/>
      <w:r w:rsidRPr="003F1810">
        <w:rPr>
          <w:rFonts w:cs="Tahoma"/>
          <w:sz w:val="24"/>
          <w:szCs w:val="24"/>
          <w:lang w:val="es-MX"/>
        </w:rPr>
        <w:t>, ostenta, entre otras, las siguientes características:</w:t>
      </w:r>
    </w:p>
    <w:p w14:paraId="0D7027BF" w14:textId="77777777" w:rsidR="00AA2A13" w:rsidRPr="003F1810" w:rsidRDefault="00AA2A13" w:rsidP="003F1810">
      <w:pPr>
        <w:pStyle w:val="Encabezado"/>
        <w:spacing w:line="276" w:lineRule="auto"/>
        <w:rPr>
          <w:rFonts w:cs="Tahoma"/>
          <w:sz w:val="24"/>
          <w:szCs w:val="24"/>
          <w:lang w:val="es-MX"/>
        </w:rPr>
      </w:pPr>
    </w:p>
    <w:p w14:paraId="22B19491" w14:textId="77777777" w:rsidR="00AA2A13" w:rsidRPr="003F1810" w:rsidRDefault="00AA2A13" w:rsidP="003F1810">
      <w:pPr>
        <w:pStyle w:val="Encabezado"/>
        <w:tabs>
          <w:tab w:val="clear" w:pos="4252"/>
          <w:tab w:val="left" w:pos="2410"/>
        </w:tabs>
        <w:spacing w:line="276" w:lineRule="auto"/>
        <w:rPr>
          <w:rFonts w:cs="Tahoma"/>
          <w:sz w:val="24"/>
          <w:szCs w:val="24"/>
          <w:lang w:val="es-MX"/>
        </w:rPr>
      </w:pPr>
      <w:r w:rsidRPr="003F1810">
        <w:rPr>
          <w:rFonts w:cs="Tahoma"/>
          <w:sz w:val="24"/>
          <w:szCs w:val="24"/>
          <w:lang w:val="es-MX"/>
        </w:rPr>
        <w:t>Tipo:</w:t>
      </w:r>
      <w:r w:rsidRPr="003F1810">
        <w:rPr>
          <w:rFonts w:cs="Tahoma"/>
          <w:sz w:val="24"/>
          <w:szCs w:val="24"/>
          <w:lang w:val="es-MX"/>
        </w:rPr>
        <w:tab/>
        <w:t>Pistola</w:t>
      </w:r>
    </w:p>
    <w:p w14:paraId="119D51C6" w14:textId="77777777" w:rsidR="00AA2A13" w:rsidRPr="003F1810" w:rsidRDefault="00AA2A13" w:rsidP="003F1810">
      <w:pPr>
        <w:pStyle w:val="Encabezado"/>
        <w:tabs>
          <w:tab w:val="clear" w:pos="4252"/>
          <w:tab w:val="left" w:pos="2410"/>
        </w:tabs>
        <w:spacing w:line="276" w:lineRule="auto"/>
        <w:rPr>
          <w:rFonts w:cs="Tahoma"/>
          <w:b/>
          <w:bCs/>
          <w:sz w:val="24"/>
          <w:szCs w:val="24"/>
          <w:lang w:val="es-MX"/>
        </w:rPr>
      </w:pPr>
      <w:r w:rsidRPr="003F1810">
        <w:rPr>
          <w:rFonts w:cs="Tahoma"/>
          <w:sz w:val="24"/>
          <w:szCs w:val="24"/>
          <w:lang w:val="es-MX"/>
        </w:rPr>
        <w:t>Calibre:</w:t>
      </w:r>
      <w:r w:rsidRPr="003F1810">
        <w:rPr>
          <w:rFonts w:cs="Tahoma"/>
          <w:sz w:val="24"/>
          <w:szCs w:val="24"/>
          <w:lang w:val="es-MX"/>
        </w:rPr>
        <w:tab/>
      </w:r>
      <w:r w:rsidRPr="003F1810">
        <w:rPr>
          <w:rFonts w:cs="Tahoma"/>
          <w:b/>
          <w:bCs/>
          <w:sz w:val="24"/>
          <w:szCs w:val="24"/>
          <w:lang w:val="es-MX"/>
        </w:rPr>
        <w:t>9 x 19 mm</w:t>
      </w:r>
    </w:p>
    <w:p w14:paraId="5B56DD43" w14:textId="77777777" w:rsidR="00AA2A13" w:rsidRPr="003F1810" w:rsidRDefault="00AA2A13" w:rsidP="003F1810">
      <w:pPr>
        <w:pStyle w:val="Encabezado"/>
        <w:tabs>
          <w:tab w:val="clear" w:pos="4252"/>
          <w:tab w:val="left" w:pos="2410"/>
        </w:tabs>
        <w:spacing w:line="276" w:lineRule="auto"/>
        <w:rPr>
          <w:rFonts w:cs="Tahoma"/>
          <w:sz w:val="24"/>
          <w:szCs w:val="24"/>
          <w:lang w:val="es-MX"/>
        </w:rPr>
      </w:pPr>
      <w:r w:rsidRPr="003F1810">
        <w:rPr>
          <w:rFonts w:cs="Tahoma"/>
          <w:sz w:val="24"/>
          <w:szCs w:val="24"/>
          <w:lang w:val="es-MX"/>
        </w:rPr>
        <w:t>Marca:</w:t>
      </w:r>
      <w:r w:rsidRPr="003F1810">
        <w:rPr>
          <w:rFonts w:cs="Tahoma"/>
          <w:sz w:val="24"/>
          <w:szCs w:val="24"/>
          <w:lang w:val="es-MX"/>
        </w:rPr>
        <w:tab/>
        <w:t>RUGER</w:t>
      </w:r>
    </w:p>
    <w:p w14:paraId="2E73465B" w14:textId="77777777" w:rsidR="00AA2A13" w:rsidRPr="003F1810" w:rsidRDefault="00AA2A13" w:rsidP="003F1810">
      <w:pPr>
        <w:pStyle w:val="Encabezado"/>
        <w:tabs>
          <w:tab w:val="clear" w:pos="4252"/>
          <w:tab w:val="left" w:pos="2410"/>
        </w:tabs>
        <w:spacing w:line="276" w:lineRule="auto"/>
        <w:rPr>
          <w:rFonts w:cs="Tahoma"/>
          <w:sz w:val="24"/>
          <w:szCs w:val="24"/>
          <w:lang w:val="es-MX"/>
        </w:rPr>
      </w:pPr>
      <w:r w:rsidRPr="003F1810">
        <w:rPr>
          <w:rFonts w:cs="Tahoma"/>
          <w:sz w:val="24"/>
          <w:szCs w:val="24"/>
          <w:lang w:val="es-MX"/>
        </w:rPr>
        <w:t>Modelo:</w:t>
      </w:r>
      <w:r w:rsidRPr="003F1810">
        <w:rPr>
          <w:rFonts w:cs="Tahoma"/>
          <w:sz w:val="24"/>
          <w:szCs w:val="24"/>
          <w:lang w:val="es-MX"/>
        </w:rPr>
        <w:tab/>
        <w:t>P85</w:t>
      </w:r>
    </w:p>
    <w:p w14:paraId="175EE3EF" w14:textId="77777777" w:rsidR="00AA2A13" w:rsidRPr="003F1810" w:rsidRDefault="00AA2A13" w:rsidP="003F1810">
      <w:pPr>
        <w:pStyle w:val="Encabezado"/>
        <w:tabs>
          <w:tab w:val="clear" w:pos="4252"/>
          <w:tab w:val="left" w:pos="2410"/>
        </w:tabs>
        <w:spacing w:line="276" w:lineRule="auto"/>
        <w:rPr>
          <w:rFonts w:cs="Tahoma"/>
          <w:sz w:val="24"/>
          <w:szCs w:val="24"/>
          <w:lang w:val="es-MX"/>
        </w:rPr>
      </w:pPr>
      <w:r w:rsidRPr="003F1810">
        <w:rPr>
          <w:rFonts w:cs="Tahoma"/>
          <w:sz w:val="24"/>
          <w:szCs w:val="24"/>
          <w:lang w:val="es-MX"/>
        </w:rPr>
        <w:t>Número de serie:</w:t>
      </w:r>
      <w:r w:rsidRPr="003F1810">
        <w:rPr>
          <w:rFonts w:cs="Tahoma"/>
          <w:sz w:val="24"/>
          <w:szCs w:val="24"/>
          <w:lang w:val="es-MX"/>
        </w:rPr>
        <w:tab/>
        <w:t>302-16728</w:t>
      </w:r>
    </w:p>
    <w:p w14:paraId="2E5AF741" w14:textId="77777777" w:rsidR="00AA2A13" w:rsidRPr="003F1810" w:rsidRDefault="00AA2A13" w:rsidP="003F1810">
      <w:pPr>
        <w:pStyle w:val="Encabezado"/>
        <w:tabs>
          <w:tab w:val="clear" w:pos="4252"/>
          <w:tab w:val="left" w:pos="2410"/>
        </w:tabs>
        <w:spacing w:line="276" w:lineRule="auto"/>
        <w:rPr>
          <w:rFonts w:cs="Tahoma"/>
          <w:sz w:val="24"/>
          <w:szCs w:val="24"/>
          <w:lang w:val="es-MX"/>
        </w:rPr>
      </w:pPr>
      <w:r w:rsidRPr="003F1810">
        <w:rPr>
          <w:rFonts w:cs="Tahoma"/>
          <w:sz w:val="24"/>
          <w:szCs w:val="24"/>
          <w:lang w:val="es-MX"/>
        </w:rPr>
        <w:t>Longitud del cañón:</w:t>
      </w:r>
      <w:r w:rsidRPr="003F1810">
        <w:rPr>
          <w:rFonts w:cs="Tahoma"/>
          <w:sz w:val="24"/>
          <w:szCs w:val="24"/>
          <w:lang w:val="es-MX"/>
        </w:rPr>
        <w:tab/>
        <w:t>109.8 mm</w:t>
      </w:r>
    </w:p>
    <w:p w14:paraId="72CC51A0" w14:textId="77777777" w:rsidR="00AA2A13" w:rsidRPr="003F1810" w:rsidRDefault="00AA2A13" w:rsidP="003F1810">
      <w:pPr>
        <w:pStyle w:val="Encabezado"/>
        <w:tabs>
          <w:tab w:val="clear" w:pos="4252"/>
          <w:tab w:val="left" w:pos="2410"/>
        </w:tabs>
        <w:spacing w:line="276" w:lineRule="auto"/>
        <w:rPr>
          <w:rFonts w:cs="Tahoma"/>
          <w:sz w:val="24"/>
          <w:szCs w:val="24"/>
          <w:lang w:val="es-MX"/>
        </w:rPr>
      </w:pPr>
      <w:r w:rsidRPr="003F1810">
        <w:rPr>
          <w:rFonts w:cs="Tahoma"/>
          <w:sz w:val="24"/>
          <w:szCs w:val="24"/>
          <w:lang w:val="es-MX"/>
        </w:rPr>
        <w:t>Funcionamiento:</w:t>
      </w:r>
      <w:r w:rsidRPr="003F1810">
        <w:rPr>
          <w:rFonts w:cs="Tahoma"/>
          <w:sz w:val="24"/>
          <w:szCs w:val="24"/>
          <w:lang w:val="es-MX"/>
        </w:rPr>
        <w:tab/>
        <w:t>Semiautomático</w:t>
      </w:r>
    </w:p>
    <w:p w14:paraId="23645F3D" w14:textId="77777777" w:rsidR="00AA2A13" w:rsidRPr="003F1810" w:rsidRDefault="00AA2A13" w:rsidP="003F1810">
      <w:pPr>
        <w:pStyle w:val="Encabezado"/>
        <w:tabs>
          <w:tab w:val="clear" w:pos="4252"/>
          <w:tab w:val="left" w:pos="2410"/>
        </w:tabs>
        <w:spacing w:line="276" w:lineRule="auto"/>
        <w:rPr>
          <w:rFonts w:cs="Tahoma"/>
          <w:sz w:val="24"/>
          <w:szCs w:val="24"/>
          <w:lang w:val="es-MX"/>
        </w:rPr>
      </w:pPr>
      <w:r w:rsidRPr="003F1810">
        <w:rPr>
          <w:rFonts w:cs="Tahoma"/>
          <w:sz w:val="24"/>
          <w:szCs w:val="24"/>
          <w:lang w:val="es-MX"/>
        </w:rPr>
        <w:t>Casa fabricante:</w:t>
      </w:r>
      <w:r w:rsidRPr="003F1810">
        <w:rPr>
          <w:rFonts w:cs="Tahoma"/>
          <w:sz w:val="24"/>
          <w:szCs w:val="24"/>
          <w:lang w:val="es-MX"/>
        </w:rPr>
        <w:tab/>
      </w:r>
      <w:proofErr w:type="spellStart"/>
      <w:r w:rsidRPr="003F1810">
        <w:rPr>
          <w:rFonts w:cs="Tahoma"/>
          <w:sz w:val="24"/>
          <w:szCs w:val="24"/>
          <w:lang w:val="es-MX"/>
        </w:rPr>
        <w:t>Sturm</w:t>
      </w:r>
      <w:proofErr w:type="spellEnd"/>
      <w:r w:rsidRPr="003F1810">
        <w:rPr>
          <w:rFonts w:cs="Tahoma"/>
          <w:sz w:val="24"/>
          <w:szCs w:val="24"/>
          <w:lang w:val="es-MX"/>
        </w:rPr>
        <w:t xml:space="preserve"> </w:t>
      </w:r>
      <w:proofErr w:type="spellStart"/>
      <w:r w:rsidRPr="003F1810">
        <w:rPr>
          <w:rFonts w:cs="Tahoma"/>
          <w:sz w:val="24"/>
          <w:szCs w:val="24"/>
          <w:lang w:val="es-MX"/>
        </w:rPr>
        <w:t>Ruger</w:t>
      </w:r>
      <w:proofErr w:type="spellEnd"/>
    </w:p>
    <w:p w14:paraId="5CA6613A" w14:textId="77777777" w:rsidR="00AA2A13" w:rsidRPr="003F1810" w:rsidRDefault="00AA2A13" w:rsidP="003F1810">
      <w:pPr>
        <w:pStyle w:val="Encabezado"/>
        <w:tabs>
          <w:tab w:val="clear" w:pos="4252"/>
          <w:tab w:val="left" w:pos="2410"/>
        </w:tabs>
        <w:spacing w:line="276" w:lineRule="auto"/>
        <w:rPr>
          <w:rFonts w:cs="Tahoma"/>
          <w:sz w:val="24"/>
          <w:szCs w:val="24"/>
          <w:lang w:val="es-MX"/>
        </w:rPr>
      </w:pPr>
      <w:r w:rsidRPr="003F1810">
        <w:rPr>
          <w:rFonts w:cs="Tahoma"/>
          <w:sz w:val="24"/>
          <w:szCs w:val="24"/>
          <w:lang w:val="es-MX"/>
        </w:rPr>
        <w:t>País de fabricación:</w:t>
      </w:r>
      <w:r w:rsidRPr="003F1810">
        <w:rPr>
          <w:rFonts w:cs="Tahoma"/>
          <w:sz w:val="24"/>
          <w:szCs w:val="24"/>
          <w:lang w:val="es-MX"/>
        </w:rPr>
        <w:tab/>
        <w:t>Estados Unidos</w:t>
      </w:r>
    </w:p>
    <w:p w14:paraId="75ECE581" w14:textId="77777777" w:rsidR="00AA2A13" w:rsidRPr="003F1810" w:rsidRDefault="00AA2A13" w:rsidP="003F1810">
      <w:pPr>
        <w:pStyle w:val="Encabezado"/>
        <w:tabs>
          <w:tab w:val="clear" w:pos="4252"/>
          <w:tab w:val="left" w:pos="2410"/>
        </w:tabs>
        <w:spacing w:line="276" w:lineRule="auto"/>
        <w:rPr>
          <w:rFonts w:cs="Tahoma"/>
          <w:sz w:val="24"/>
          <w:szCs w:val="24"/>
          <w:lang w:val="es-MX"/>
        </w:rPr>
      </w:pPr>
      <w:r w:rsidRPr="003F1810">
        <w:rPr>
          <w:rFonts w:cs="Tahoma"/>
          <w:sz w:val="24"/>
          <w:szCs w:val="24"/>
          <w:lang w:val="es-MX"/>
        </w:rPr>
        <w:t>Fabricación:</w:t>
      </w:r>
      <w:r w:rsidRPr="003F1810">
        <w:rPr>
          <w:rFonts w:cs="Tahoma"/>
          <w:sz w:val="24"/>
          <w:szCs w:val="24"/>
          <w:lang w:val="es-MX"/>
        </w:rPr>
        <w:tab/>
        <w:t>Original</w:t>
      </w:r>
    </w:p>
    <w:p w14:paraId="1C2D743C" w14:textId="77777777" w:rsidR="00AA2A13" w:rsidRPr="003F1810" w:rsidRDefault="00AA2A13" w:rsidP="003F1810">
      <w:pPr>
        <w:pStyle w:val="Encabezado"/>
        <w:tabs>
          <w:tab w:val="clear" w:pos="4252"/>
          <w:tab w:val="left" w:pos="2410"/>
        </w:tabs>
        <w:spacing w:line="276" w:lineRule="auto"/>
        <w:rPr>
          <w:rFonts w:cs="Tahoma"/>
          <w:sz w:val="24"/>
          <w:szCs w:val="24"/>
          <w:lang w:val="es-MX"/>
        </w:rPr>
      </w:pPr>
    </w:p>
    <w:p w14:paraId="16D0EAB4" w14:textId="77777777" w:rsidR="00AA2A13" w:rsidRPr="003F1810" w:rsidRDefault="00AA2A13" w:rsidP="003F1810">
      <w:pPr>
        <w:pStyle w:val="Encabezado"/>
        <w:tabs>
          <w:tab w:val="clear" w:pos="4252"/>
          <w:tab w:val="left" w:pos="2410"/>
        </w:tabs>
        <w:spacing w:line="276" w:lineRule="auto"/>
        <w:rPr>
          <w:rFonts w:cs="Tahoma"/>
          <w:sz w:val="24"/>
          <w:szCs w:val="24"/>
          <w:lang w:val="es-MX"/>
        </w:rPr>
      </w:pPr>
      <w:r w:rsidRPr="003F1810">
        <w:rPr>
          <w:rFonts w:cs="Tahoma"/>
          <w:sz w:val="24"/>
          <w:szCs w:val="24"/>
          <w:lang w:val="es-MX"/>
        </w:rPr>
        <w:t>Y en relación con el proveedor que la misma ostentaba se plasmó:</w:t>
      </w:r>
    </w:p>
    <w:p w14:paraId="67C8CB1D" w14:textId="77777777" w:rsidR="00AA2A13" w:rsidRPr="003F1810" w:rsidRDefault="00AA2A13" w:rsidP="003F1810">
      <w:pPr>
        <w:pStyle w:val="Encabezado"/>
        <w:tabs>
          <w:tab w:val="clear" w:pos="4252"/>
          <w:tab w:val="left" w:pos="2410"/>
        </w:tabs>
        <w:spacing w:line="276" w:lineRule="auto"/>
        <w:rPr>
          <w:rFonts w:cs="Tahoma"/>
          <w:sz w:val="24"/>
          <w:szCs w:val="24"/>
          <w:lang w:val="es-MX"/>
        </w:rPr>
      </w:pPr>
    </w:p>
    <w:p w14:paraId="1D24FB91" w14:textId="77777777" w:rsidR="00AA2A13" w:rsidRPr="003F1810" w:rsidRDefault="00AA2A13" w:rsidP="003F1810">
      <w:pPr>
        <w:pStyle w:val="Encabezado"/>
        <w:tabs>
          <w:tab w:val="clear" w:pos="4252"/>
          <w:tab w:val="left" w:pos="2410"/>
        </w:tabs>
        <w:spacing w:line="276" w:lineRule="auto"/>
        <w:rPr>
          <w:rFonts w:cs="Tahoma"/>
          <w:sz w:val="24"/>
          <w:szCs w:val="24"/>
          <w:lang w:val="es-MX"/>
        </w:rPr>
      </w:pPr>
      <w:r w:rsidRPr="003F1810">
        <w:rPr>
          <w:rFonts w:cs="Tahoma"/>
          <w:sz w:val="24"/>
          <w:szCs w:val="24"/>
          <w:lang w:val="es-MX"/>
        </w:rPr>
        <w:t>Tipo:</w:t>
      </w:r>
      <w:r w:rsidRPr="003F1810">
        <w:rPr>
          <w:rFonts w:cs="Tahoma"/>
          <w:sz w:val="24"/>
          <w:szCs w:val="24"/>
          <w:lang w:val="es-MX"/>
        </w:rPr>
        <w:tab/>
        <w:t>Pistola</w:t>
      </w:r>
    </w:p>
    <w:p w14:paraId="2ED3AFF6" w14:textId="77777777" w:rsidR="00AA2A13" w:rsidRPr="003F1810" w:rsidRDefault="00AA2A13" w:rsidP="003F1810">
      <w:pPr>
        <w:pStyle w:val="Encabezado"/>
        <w:tabs>
          <w:tab w:val="clear" w:pos="4252"/>
          <w:tab w:val="left" w:pos="2410"/>
        </w:tabs>
        <w:spacing w:line="276" w:lineRule="auto"/>
        <w:rPr>
          <w:rFonts w:cs="Tahoma"/>
          <w:sz w:val="24"/>
          <w:szCs w:val="24"/>
          <w:lang w:val="es-MX"/>
        </w:rPr>
      </w:pPr>
      <w:r w:rsidRPr="003F1810">
        <w:rPr>
          <w:rFonts w:cs="Tahoma"/>
          <w:sz w:val="24"/>
          <w:szCs w:val="24"/>
          <w:lang w:val="es-MX"/>
        </w:rPr>
        <w:t>Marca:</w:t>
      </w:r>
      <w:r w:rsidRPr="003F1810">
        <w:rPr>
          <w:rFonts w:cs="Tahoma"/>
          <w:sz w:val="24"/>
          <w:szCs w:val="24"/>
          <w:lang w:val="es-MX"/>
        </w:rPr>
        <w:tab/>
        <w:t>No presenta</w:t>
      </w:r>
    </w:p>
    <w:p w14:paraId="0A123262" w14:textId="77777777" w:rsidR="00AA2A13" w:rsidRPr="003F1810" w:rsidRDefault="00AA2A13" w:rsidP="003F1810">
      <w:pPr>
        <w:pStyle w:val="Encabezado"/>
        <w:tabs>
          <w:tab w:val="clear" w:pos="4252"/>
          <w:tab w:val="left" w:pos="2410"/>
        </w:tabs>
        <w:spacing w:line="276" w:lineRule="auto"/>
        <w:rPr>
          <w:rFonts w:cs="Tahoma"/>
          <w:sz w:val="24"/>
          <w:szCs w:val="24"/>
          <w:lang w:val="es-MX"/>
        </w:rPr>
      </w:pPr>
      <w:r w:rsidRPr="003F1810">
        <w:rPr>
          <w:rFonts w:cs="Tahoma"/>
          <w:sz w:val="24"/>
          <w:szCs w:val="24"/>
          <w:lang w:val="es-MX"/>
        </w:rPr>
        <w:t>Calibre:</w:t>
      </w:r>
      <w:r w:rsidRPr="003F1810">
        <w:rPr>
          <w:rFonts w:cs="Tahoma"/>
          <w:sz w:val="24"/>
          <w:szCs w:val="24"/>
          <w:lang w:val="es-MX"/>
        </w:rPr>
        <w:tab/>
        <w:t>9 x 19</w:t>
      </w:r>
    </w:p>
    <w:p w14:paraId="77238E0C" w14:textId="77777777" w:rsidR="00AA2A13" w:rsidRPr="003F1810" w:rsidRDefault="00AA2A13" w:rsidP="003F1810">
      <w:pPr>
        <w:pStyle w:val="Encabezado"/>
        <w:tabs>
          <w:tab w:val="clear" w:pos="4252"/>
          <w:tab w:val="left" w:pos="2410"/>
        </w:tabs>
        <w:spacing w:line="276" w:lineRule="auto"/>
        <w:rPr>
          <w:rFonts w:cs="Tahoma"/>
          <w:sz w:val="24"/>
          <w:szCs w:val="24"/>
          <w:lang w:val="es-MX"/>
        </w:rPr>
      </w:pPr>
      <w:r w:rsidRPr="003F1810">
        <w:rPr>
          <w:rFonts w:cs="Tahoma"/>
          <w:sz w:val="24"/>
          <w:szCs w:val="24"/>
          <w:lang w:val="es-MX"/>
        </w:rPr>
        <w:t>Clase:</w:t>
      </w:r>
      <w:r w:rsidRPr="003F1810">
        <w:rPr>
          <w:rFonts w:cs="Tahoma"/>
          <w:sz w:val="24"/>
          <w:szCs w:val="24"/>
          <w:lang w:val="es-MX"/>
        </w:rPr>
        <w:tab/>
        <w:t>Doble carril</w:t>
      </w:r>
    </w:p>
    <w:p w14:paraId="2A0D6842" w14:textId="77777777" w:rsidR="00AA2A13" w:rsidRPr="003F1810" w:rsidRDefault="00AA2A13" w:rsidP="003F1810">
      <w:pPr>
        <w:pStyle w:val="Encabezado"/>
        <w:tabs>
          <w:tab w:val="clear" w:pos="4252"/>
          <w:tab w:val="left" w:pos="2410"/>
        </w:tabs>
        <w:spacing w:line="276" w:lineRule="auto"/>
        <w:rPr>
          <w:rFonts w:cs="Tahoma"/>
          <w:sz w:val="24"/>
          <w:szCs w:val="24"/>
          <w:lang w:val="es-MX"/>
        </w:rPr>
      </w:pPr>
      <w:r w:rsidRPr="003F1810">
        <w:rPr>
          <w:rFonts w:cs="Tahoma"/>
          <w:sz w:val="24"/>
          <w:szCs w:val="24"/>
          <w:lang w:val="es-MX"/>
        </w:rPr>
        <w:t>Constitución:</w:t>
      </w:r>
      <w:r w:rsidRPr="003F1810">
        <w:rPr>
          <w:rFonts w:cs="Tahoma"/>
          <w:sz w:val="24"/>
          <w:szCs w:val="24"/>
          <w:lang w:val="es-MX"/>
        </w:rPr>
        <w:tab/>
        <w:t>Metálico</w:t>
      </w:r>
    </w:p>
    <w:p w14:paraId="5F65763B" w14:textId="77777777" w:rsidR="00AA2A13" w:rsidRPr="003F1810" w:rsidRDefault="00AA2A13" w:rsidP="003F1810">
      <w:pPr>
        <w:pStyle w:val="Encabezado"/>
        <w:tabs>
          <w:tab w:val="clear" w:pos="4252"/>
          <w:tab w:val="left" w:pos="2410"/>
        </w:tabs>
        <w:spacing w:line="276" w:lineRule="auto"/>
        <w:rPr>
          <w:rFonts w:cs="Tahoma"/>
          <w:sz w:val="24"/>
          <w:szCs w:val="24"/>
          <w:lang w:val="es-MX"/>
        </w:rPr>
      </w:pPr>
      <w:r w:rsidRPr="003F1810">
        <w:rPr>
          <w:rFonts w:cs="Tahoma"/>
          <w:sz w:val="24"/>
          <w:szCs w:val="24"/>
          <w:lang w:val="es-MX"/>
        </w:rPr>
        <w:t>Fabricación:</w:t>
      </w:r>
      <w:r w:rsidRPr="003F1810">
        <w:rPr>
          <w:rFonts w:cs="Tahoma"/>
          <w:sz w:val="24"/>
          <w:szCs w:val="24"/>
          <w:lang w:val="es-MX"/>
        </w:rPr>
        <w:tab/>
        <w:t>Original</w:t>
      </w:r>
    </w:p>
    <w:p w14:paraId="52758F7F" w14:textId="77777777" w:rsidR="00AA2A13" w:rsidRPr="003F1810" w:rsidRDefault="00AA2A13" w:rsidP="003F1810">
      <w:pPr>
        <w:pStyle w:val="Encabezado"/>
        <w:tabs>
          <w:tab w:val="clear" w:pos="4252"/>
          <w:tab w:val="left" w:pos="2410"/>
        </w:tabs>
        <w:spacing w:line="276" w:lineRule="auto"/>
        <w:rPr>
          <w:rFonts w:cs="Tahoma"/>
          <w:b/>
          <w:bCs/>
          <w:sz w:val="24"/>
          <w:szCs w:val="24"/>
          <w:lang w:val="es-MX"/>
        </w:rPr>
      </w:pPr>
      <w:r w:rsidRPr="003F1810">
        <w:rPr>
          <w:rFonts w:cs="Tahoma"/>
          <w:sz w:val="24"/>
          <w:szCs w:val="24"/>
          <w:lang w:val="es-MX"/>
        </w:rPr>
        <w:t>Capacidad:</w:t>
      </w:r>
      <w:r w:rsidRPr="003F1810">
        <w:rPr>
          <w:rFonts w:cs="Tahoma"/>
          <w:sz w:val="24"/>
          <w:szCs w:val="24"/>
          <w:lang w:val="es-MX"/>
        </w:rPr>
        <w:tab/>
        <w:t xml:space="preserve">Para alojar </w:t>
      </w:r>
      <w:r w:rsidRPr="003F1810">
        <w:rPr>
          <w:rFonts w:cs="Tahoma"/>
          <w:b/>
          <w:bCs/>
          <w:sz w:val="24"/>
          <w:szCs w:val="24"/>
          <w:lang w:val="es-MX"/>
        </w:rPr>
        <w:t>15 cartuchos calibre 9 x 19</w:t>
      </w:r>
    </w:p>
    <w:p w14:paraId="030EE1B8" w14:textId="77777777" w:rsidR="00AA2A13" w:rsidRPr="003F1810" w:rsidRDefault="00AA2A13" w:rsidP="003F1810">
      <w:pPr>
        <w:pStyle w:val="Encabezado"/>
        <w:tabs>
          <w:tab w:val="clear" w:pos="4252"/>
          <w:tab w:val="left" w:pos="2410"/>
        </w:tabs>
        <w:spacing w:line="276" w:lineRule="auto"/>
        <w:rPr>
          <w:rFonts w:cs="Tahoma"/>
          <w:sz w:val="24"/>
          <w:szCs w:val="24"/>
          <w:lang w:val="es-MX"/>
        </w:rPr>
      </w:pPr>
    </w:p>
    <w:p w14:paraId="6CF5F681" w14:textId="6256385D" w:rsidR="00EC1E55" w:rsidRPr="003F1810" w:rsidRDefault="00EE6FA5" w:rsidP="003F1810">
      <w:pPr>
        <w:pStyle w:val="Encabezado"/>
        <w:spacing w:line="276" w:lineRule="auto"/>
        <w:rPr>
          <w:rFonts w:cs="Tahoma"/>
          <w:sz w:val="24"/>
          <w:szCs w:val="24"/>
          <w:lang w:val="es-MX"/>
        </w:rPr>
      </w:pPr>
      <w:r w:rsidRPr="003F1810">
        <w:rPr>
          <w:rFonts w:cs="Tahoma"/>
          <w:sz w:val="24"/>
          <w:szCs w:val="24"/>
          <w:lang w:val="es-MX"/>
        </w:rPr>
        <w:t>Precisamente, por la capacidad de almacenamiento de cartuchos en el proveedor incautado, que a todas luces supera los 9 permitidos por la normativa para las armas calibre 9 mm</w:t>
      </w:r>
      <w:r w:rsidR="003024E3" w:rsidRPr="003F1810">
        <w:rPr>
          <w:rFonts w:cs="Tahoma"/>
          <w:sz w:val="24"/>
          <w:szCs w:val="24"/>
          <w:lang w:val="es-MX"/>
        </w:rPr>
        <w:t xml:space="preserve"> de uso personal</w:t>
      </w:r>
      <w:r w:rsidRPr="003F1810">
        <w:rPr>
          <w:rFonts w:cs="Tahoma"/>
          <w:sz w:val="24"/>
          <w:szCs w:val="24"/>
          <w:lang w:val="es-MX"/>
        </w:rPr>
        <w:t xml:space="preserve">, y </w:t>
      </w:r>
      <w:r w:rsidR="00026300" w:rsidRPr="003F1810">
        <w:rPr>
          <w:rFonts w:cs="Tahoma"/>
          <w:sz w:val="24"/>
          <w:szCs w:val="24"/>
          <w:lang w:val="es-MX"/>
        </w:rPr>
        <w:t xml:space="preserve">según </w:t>
      </w:r>
      <w:r w:rsidR="00D76851" w:rsidRPr="003F1810">
        <w:rPr>
          <w:rFonts w:cs="Tahoma"/>
          <w:sz w:val="24"/>
          <w:szCs w:val="24"/>
          <w:lang w:val="es-MX"/>
        </w:rPr>
        <w:t>la jurisprudencia</w:t>
      </w:r>
      <w:r w:rsidRPr="003F1810">
        <w:rPr>
          <w:rFonts w:cs="Tahoma"/>
          <w:sz w:val="24"/>
          <w:szCs w:val="24"/>
          <w:lang w:val="es-MX"/>
        </w:rPr>
        <w:t xml:space="preserve"> vigente para esa fecha</w:t>
      </w:r>
      <w:r w:rsidR="00D76851" w:rsidRPr="003F1810">
        <w:rPr>
          <w:rFonts w:cs="Tahoma"/>
          <w:sz w:val="24"/>
          <w:szCs w:val="24"/>
          <w:lang w:val="es-MX"/>
        </w:rPr>
        <w:t>,</w:t>
      </w:r>
      <w:r w:rsidRPr="003F1810">
        <w:rPr>
          <w:rFonts w:cs="Tahoma"/>
          <w:sz w:val="24"/>
          <w:szCs w:val="24"/>
          <w:lang w:val="es-MX"/>
        </w:rPr>
        <w:t xml:space="preserve"> </w:t>
      </w:r>
      <w:r w:rsidR="00EC1E55" w:rsidRPr="003F1810">
        <w:rPr>
          <w:rFonts w:cs="Tahoma"/>
          <w:sz w:val="24"/>
          <w:szCs w:val="24"/>
          <w:lang w:val="es-MX"/>
        </w:rPr>
        <w:t>la misma deb</w:t>
      </w:r>
      <w:r w:rsidR="00D76851" w:rsidRPr="003F1810">
        <w:rPr>
          <w:rFonts w:cs="Tahoma"/>
          <w:sz w:val="24"/>
          <w:szCs w:val="24"/>
          <w:lang w:val="es-MX"/>
        </w:rPr>
        <w:t>ió</w:t>
      </w:r>
      <w:r w:rsidR="00EC1E55" w:rsidRPr="003F1810">
        <w:rPr>
          <w:rFonts w:cs="Tahoma"/>
          <w:sz w:val="24"/>
          <w:szCs w:val="24"/>
          <w:lang w:val="es-MX"/>
        </w:rPr>
        <w:t xml:space="preserve"> ser </w:t>
      </w:r>
      <w:r w:rsidR="00DA1825" w:rsidRPr="003F1810">
        <w:rPr>
          <w:rFonts w:cs="Tahoma"/>
          <w:sz w:val="24"/>
          <w:szCs w:val="24"/>
          <w:lang w:val="es-MX"/>
        </w:rPr>
        <w:t xml:space="preserve">estimada </w:t>
      </w:r>
      <w:r w:rsidR="00EC1E55" w:rsidRPr="003F1810">
        <w:rPr>
          <w:rFonts w:cs="Tahoma"/>
          <w:sz w:val="24"/>
          <w:szCs w:val="24"/>
          <w:lang w:val="es-MX"/>
        </w:rPr>
        <w:t xml:space="preserve">como de uso privativo de las fuerzas militares. </w:t>
      </w:r>
      <w:r w:rsidR="00D76851" w:rsidRPr="003F1810">
        <w:rPr>
          <w:rFonts w:cs="Tahoma"/>
          <w:sz w:val="24"/>
          <w:szCs w:val="24"/>
          <w:lang w:val="es-MX"/>
        </w:rPr>
        <w:t xml:space="preserve"> Sin embargo, t</w:t>
      </w:r>
      <w:r w:rsidR="00EC1E55" w:rsidRPr="003F1810">
        <w:rPr>
          <w:rFonts w:cs="Tahoma"/>
          <w:sz w:val="24"/>
          <w:szCs w:val="24"/>
          <w:lang w:val="es-MX"/>
        </w:rPr>
        <w:t xml:space="preserve">al postura fue precisamente la que </w:t>
      </w:r>
      <w:r w:rsidR="009F1667" w:rsidRPr="003F1810">
        <w:rPr>
          <w:rFonts w:cs="Tahoma"/>
          <w:sz w:val="24"/>
          <w:szCs w:val="24"/>
          <w:lang w:val="es-MX"/>
        </w:rPr>
        <w:t xml:space="preserve">esta Corporación </w:t>
      </w:r>
      <w:r w:rsidR="00EC1E55" w:rsidRPr="003F1810">
        <w:rPr>
          <w:rFonts w:cs="Tahoma"/>
          <w:sz w:val="24"/>
          <w:szCs w:val="24"/>
          <w:lang w:val="es-MX"/>
        </w:rPr>
        <w:t xml:space="preserve">adoptó cuando definió la competencia para tramitar </w:t>
      </w:r>
      <w:r w:rsidR="00D76851" w:rsidRPr="003F1810">
        <w:rPr>
          <w:rFonts w:cs="Tahoma"/>
          <w:sz w:val="24"/>
          <w:szCs w:val="24"/>
          <w:lang w:val="es-MX"/>
        </w:rPr>
        <w:t>el asunto</w:t>
      </w:r>
      <w:r w:rsidR="00EC1E55" w:rsidRPr="003F1810">
        <w:rPr>
          <w:rFonts w:cs="Tahoma"/>
          <w:sz w:val="24"/>
          <w:szCs w:val="24"/>
          <w:lang w:val="es-MX"/>
        </w:rPr>
        <w:t xml:space="preserve">, donde </w:t>
      </w:r>
      <w:r w:rsidR="00EA02F9" w:rsidRPr="003F1810">
        <w:rPr>
          <w:rFonts w:cs="Tahoma"/>
          <w:sz w:val="24"/>
          <w:szCs w:val="24"/>
          <w:lang w:val="es-MX"/>
        </w:rPr>
        <w:t xml:space="preserve">con fundamento en la jurisprudencia vigente, </w:t>
      </w:r>
      <w:r w:rsidR="00EC1E55" w:rsidRPr="003F1810">
        <w:rPr>
          <w:rFonts w:cs="Tahoma"/>
          <w:sz w:val="24"/>
          <w:szCs w:val="24"/>
          <w:lang w:val="es-MX"/>
        </w:rPr>
        <w:t>entre otras consideraciones</w:t>
      </w:r>
      <w:r w:rsidR="00EA02F9" w:rsidRPr="003F1810">
        <w:rPr>
          <w:rFonts w:cs="Tahoma"/>
          <w:sz w:val="24"/>
          <w:szCs w:val="24"/>
          <w:lang w:val="es-MX"/>
        </w:rPr>
        <w:t>,</w:t>
      </w:r>
      <w:r w:rsidR="00EC1E55" w:rsidRPr="003F1810">
        <w:rPr>
          <w:rFonts w:cs="Tahoma"/>
          <w:sz w:val="24"/>
          <w:szCs w:val="24"/>
          <w:lang w:val="es-MX"/>
        </w:rPr>
        <w:t xml:space="preserve"> esgrimió que: “</w:t>
      </w:r>
      <w:r w:rsidR="00EC1E55" w:rsidRPr="00CD72BB">
        <w:rPr>
          <w:rFonts w:cs="Tahoma"/>
          <w:sz w:val="22"/>
          <w:szCs w:val="22"/>
          <w:lang w:val="es-MX"/>
        </w:rPr>
        <w:t xml:space="preserve">[…] </w:t>
      </w:r>
      <w:r w:rsidR="00EC1E55" w:rsidRPr="00CD72BB">
        <w:rPr>
          <w:rFonts w:cs="Tahoma"/>
          <w:b/>
          <w:sz w:val="22"/>
          <w:szCs w:val="22"/>
          <w:lang w:val="es-MX"/>
        </w:rPr>
        <w:t>en asuntos como el acá presentado, donde la capacidad del proveedor supera los 9 cartuchos</w:t>
      </w:r>
      <w:r w:rsidR="00EC1E55" w:rsidRPr="00CD72BB">
        <w:rPr>
          <w:rFonts w:cs="Tahoma"/>
          <w:sz w:val="22"/>
          <w:szCs w:val="22"/>
          <w:lang w:val="es-MX"/>
        </w:rPr>
        <w:t xml:space="preserve"> -con excepción de las de calibre 22 que son de 10-, </w:t>
      </w:r>
      <w:r w:rsidR="00EC1E55" w:rsidRPr="00CD72BB">
        <w:rPr>
          <w:rFonts w:cs="Tahoma"/>
          <w:b/>
          <w:sz w:val="22"/>
          <w:szCs w:val="22"/>
          <w:lang w:val="es-MX"/>
        </w:rPr>
        <w:t>la competencia es exclusiva y excluyente de la justicia especializada, no de la ordinaria</w:t>
      </w:r>
      <w:r w:rsidR="00EC1E55" w:rsidRPr="003F1810">
        <w:rPr>
          <w:rFonts w:cs="Tahoma"/>
          <w:sz w:val="24"/>
          <w:szCs w:val="24"/>
          <w:lang w:val="es-MX"/>
        </w:rPr>
        <w:t>.”</w:t>
      </w:r>
      <w:r w:rsidR="00EC1E55" w:rsidRPr="003F1810">
        <w:rPr>
          <w:rFonts w:cs="Tahoma"/>
          <w:sz w:val="24"/>
          <w:szCs w:val="24"/>
          <w:vertAlign w:val="superscript"/>
          <w:lang w:val="es-MX"/>
        </w:rPr>
        <w:footnoteReference w:id="7"/>
      </w:r>
      <w:r w:rsidR="009F1667" w:rsidRPr="003F1810">
        <w:rPr>
          <w:rFonts w:cs="Tahoma"/>
          <w:sz w:val="24"/>
          <w:szCs w:val="24"/>
          <w:lang w:val="es-MX"/>
        </w:rPr>
        <w:t xml:space="preserve"> -negrillas fuera de texto original-.</w:t>
      </w:r>
    </w:p>
    <w:p w14:paraId="32FEA894" w14:textId="77777777" w:rsidR="00EC1E55" w:rsidRPr="003F1810" w:rsidRDefault="00EC1E55" w:rsidP="003F1810">
      <w:pPr>
        <w:pStyle w:val="Encabezado"/>
        <w:spacing w:line="276" w:lineRule="auto"/>
        <w:rPr>
          <w:rFonts w:cs="Tahoma"/>
          <w:sz w:val="24"/>
          <w:szCs w:val="24"/>
          <w:lang w:val="es-MX"/>
        </w:rPr>
      </w:pPr>
    </w:p>
    <w:p w14:paraId="6E960DF4" w14:textId="77777777" w:rsidR="00EA02F9" w:rsidRPr="003F1810" w:rsidRDefault="00EA02F9" w:rsidP="003F1810">
      <w:pPr>
        <w:pStyle w:val="Encabezado"/>
        <w:spacing w:line="276" w:lineRule="auto"/>
        <w:rPr>
          <w:rFonts w:cs="Tahoma"/>
          <w:sz w:val="24"/>
          <w:szCs w:val="24"/>
          <w:lang w:val="es-MX"/>
        </w:rPr>
      </w:pPr>
      <w:r w:rsidRPr="003F1810">
        <w:rPr>
          <w:rFonts w:cs="Tahoma"/>
          <w:sz w:val="24"/>
          <w:szCs w:val="24"/>
          <w:lang w:val="es-MX"/>
        </w:rPr>
        <w:t>Ahora bien, de manera</w:t>
      </w:r>
      <w:r w:rsidR="004347B5" w:rsidRPr="003F1810">
        <w:rPr>
          <w:rFonts w:cs="Tahoma"/>
          <w:sz w:val="24"/>
          <w:szCs w:val="24"/>
          <w:lang w:val="es-MX"/>
        </w:rPr>
        <w:t xml:space="preserve"> más</w:t>
      </w:r>
      <w:r w:rsidRPr="003F1810">
        <w:rPr>
          <w:rFonts w:cs="Tahoma"/>
          <w:sz w:val="24"/>
          <w:szCs w:val="24"/>
          <w:lang w:val="es-MX"/>
        </w:rPr>
        <w:t xml:space="preserve"> reciente la Sala de Casación Penal</w:t>
      </w:r>
      <w:r w:rsidR="00026300" w:rsidRPr="003F1810">
        <w:rPr>
          <w:rFonts w:cs="Tahoma"/>
          <w:sz w:val="24"/>
          <w:szCs w:val="24"/>
          <w:lang w:val="es-MX"/>
        </w:rPr>
        <w:t>, de oficio,</w:t>
      </w:r>
      <w:r w:rsidRPr="003F1810">
        <w:rPr>
          <w:rFonts w:cs="Tahoma"/>
          <w:sz w:val="24"/>
          <w:szCs w:val="24"/>
          <w:lang w:val="es-MX"/>
        </w:rPr>
        <w:t xml:space="preserve"> en CSJ SP256-2023, 28 jun. 2023, rad. 63192, caso parcial</w:t>
      </w:r>
      <w:r w:rsidR="00605276" w:rsidRPr="003F1810">
        <w:rPr>
          <w:rFonts w:cs="Tahoma"/>
          <w:sz w:val="24"/>
          <w:szCs w:val="24"/>
          <w:lang w:val="es-MX"/>
        </w:rPr>
        <w:t>mente</w:t>
      </w:r>
      <w:r w:rsidRPr="003F1810">
        <w:rPr>
          <w:rFonts w:cs="Tahoma"/>
          <w:sz w:val="24"/>
          <w:szCs w:val="24"/>
          <w:lang w:val="es-MX"/>
        </w:rPr>
        <w:t xml:space="preserve"> un fallo emitido por porte </w:t>
      </w:r>
      <w:r w:rsidR="00605276" w:rsidRPr="003F1810">
        <w:rPr>
          <w:rFonts w:cs="Tahoma"/>
          <w:sz w:val="24"/>
          <w:szCs w:val="24"/>
          <w:lang w:val="es-MX"/>
        </w:rPr>
        <w:t xml:space="preserve">ilegal </w:t>
      </w:r>
      <w:r w:rsidRPr="003F1810">
        <w:rPr>
          <w:rFonts w:cs="Tahoma"/>
          <w:sz w:val="24"/>
          <w:szCs w:val="24"/>
          <w:lang w:val="es-MX"/>
        </w:rPr>
        <w:t>de armas de uso privativo -art. 366 C.P.-, pese a tratarse de una pistola calibre 7.65, semiautomática</w:t>
      </w:r>
      <w:r w:rsidR="00605276" w:rsidRPr="003F1810">
        <w:rPr>
          <w:rFonts w:cs="Tahoma"/>
          <w:sz w:val="24"/>
          <w:szCs w:val="24"/>
          <w:lang w:val="es-MX"/>
        </w:rPr>
        <w:t xml:space="preserve"> que </w:t>
      </w:r>
      <w:r w:rsidRPr="003F1810">
        <w:rPr>
          <w:rFonts w:cs="Tahoma"/>
          <w:sz w:val="24"/>
          <w:szCs w:val="24"/>
          <w:lang w:val="es-MX"/>
        </w:rPr>
        <w:t>poseía un proveedor con capacidad para 12 cartuchos, y para tal efecto, ech</w:t>
      </w:r>
      <w:r w:rsidR="00605276" w:rsidRPr="003F1810">
        <w:rPr>
          <w:rFonts w:cs="Tahoma"/>
          <w:sz w:val="24"/>
          <w:szCs w:val="24"/>
          <w:lang w:val="es-MX"/>
        </w:rPr>
        <w:t>ó</w:t>
      </w:r>
      <w:r w:rsidRPr="003F1810">
        <w:rPr>
          <w:rFonts w:cs="Tahoma"/>
          <w:sz w:val="24"/>
          <w:szCs w:val="24"/>
          <w:lang w:val="es-MX"/>
        </w:rPr>
        <w:t xml:space="preserve"> mano de jurisprudencia de vieja data para sostener:</w:t>
      </w:r>
    </w:p>
    <w:p w14:paraId="0DA241D4" w14:textId="77777777" w:rsidR="00EA02F9" w:rsidRPr="003F1810" w:rsidRDefault="00EA02F9" w:rsidP="003F1810">
      <w:pPr>
        <w:pStyle w:val="Encabezado"/>
        <w:spacing w:line="276" w:lineRule="auto"/>
        <w:rPr>
          <w:rFonts w:cs="Tahoma"/>
          <w:sz w:val="24"/>
          <w:szCs w:val="24"/>
          <w:lang w:val="es-MX"/>
        </w:rPr>
      </w:pPr>
    </w:p>
    <w:p w14:paraId="24C422FB" w14:textId="77777777" w:rsidR="00EA02F9" w:rsidRPr="00CD72BB" w:rsidRDefault="00EA02F9" w:rsidP="00CD72BB">
      <w:pPr>
        <w:spacing w:line="240" w:lineRule="auto"/>
        <w:ind w:left="426" w:right="420"/>
        <w:rPr>
          <w:rFonts w:cs="Tahoma"/>
          <w:sz w:val="22"/>
          <w:szCs w:val="22"/>
        </w:rPr>
      </w:pPr>
      <w:r w:rsidRPr="00CD72BB">
        <w:rPr>
          <w:rFonts w:cs="Tahoma"/>
          <w:sz w:val="22"/>
          <w:szCs w:val="22"/>
        </w:rPr>
        <w:t>“</w:t>
      </w:r>
      <w:r w:rsidRPr="00CD72BB">
        <w:rPr>
          <w:rFonts w:cs="Tahoma"/>
          <w:b/>
          <w:sz w:val="22"/>
          <w:szCs w:val="22"/>
        </w:rPr>
        <w:t>La incongruencia que se advierte entre los dos artículos citados (el 8 y el 11 del decreto 2535 de 1993), de ninguna manera faculta al intérprete para tener una pistola como arma de uso privativo de la fuerza pública, solo porque su proveedor tenga capacidad para más de 9 cartuchos y sin importar el calibre, toda vez que tratándose de este tipo de armas (las de uso privativo), el propio legislador las ha limitado a las de calibre no menor de 9.65 mm</w:t>
      </w:r>
      <w:r w:rsidRPr="00CD72BB">
        <w:rPr>
          <w:rFonts w:cs="Tahoma"/>
          <w:sz w:val="22"/>
          <w:szCs w:val="22"/>
        </w:rPr>
        <w:t>”</w:t>
      </w:r>
      <w:r w:rsidRPr="00CD72BB">
        <w:rPr>
          <w:rFonts w:cs="Tahoma"/>
          <w:sz w:val="22"/>
          <w:szCs w:val="22"/>
          <w:vertAlign w:val="superscript"/>
        </w:rPr>
        <w:t xml:space="preserve"> </w:t>
      </w:r>
      <w:r w:rsidRPr="00CD72BB">
        <w:rPr>
          <w:rFonts w:cs="Tahoma"/>
          <w:sz w:val="22"/>
          <w:szCs w:val="22"/>
          <w:vertAlign w:val="superscript"/>
        </w:rPr>
        <w:footnoteReference w:id="8"/>
      </w:r>
      <w:r w:rsidRPr="00CD72BB">
        <w:rPr>
          <w:rFonts w:cs="Tahoma"/>
          <w:sz w:val="22"/>
          <w:szCs w:val="22"/>
        </w:rPr>
        <w:t>.</w:t>
      </w:r>
    </w:p>
    <w:p w14:paraId="137EBD2B" w14:textId="77777777" w:rsidR="00EA02F9" w:rsidRPr="00CD72BB" w:rsidRDefault="00EA02F9" w:rsidP="00CD72BB">
      <w:pPr>
        <w:pStyle w:val="Encabezado"/>
        <w:spacing w:line="240" w:lineRule="auto"/>
        <w:ind w:left="426" w:right="420"/>
        <w:rPr>
          <w:rFonts w:cs="Tahoma"/>
          <w:sz w:val="22"/>
          <w:szCs w:val="22"/>
        </w:rPr>
      </w:pPr>
    </w:p>
    <w:p w14:paraId="002BE721" w14:textId="77777777" w:rsidR="00EA02F9" w:rsidRPr="00CD72BB" w:rsidRDefault="00EA02F9" w:rsidP="00CD72BB">
      <w:pPr>
        <w:spacing w:line="240" w:lineRule="auto"/>
        <w:ind w:left="426" w:right="420"/>
        <w:rPr>
          <w:rFonts w:cs="Tahoma"/>
          <w:sz w:val="22"/>
          <w:szCs w:val="22"/>
        </w:rPr>
      </w:pPr>
      <w:r w:rsidRPr="00CD72BB">
        <w:rPr>
          <w:rFonts w:cs="Tahoma"/>
          <w:sz w:val="22"/>
          <w:szCs w:val="22"/>
        </w:rPr>
        <w:t>“Así pues, sin hesitaciones de ninguna naturaleza, el arma incautada, cuyo calibre es de 7.65 mm y con capacidad para 12 cartuchos, así como el proveedor decomisado de igual capacidad, son de defensa personal, pues el calibre es inferior al que la ley exige para que se tenga como de uso privativo de las Fuerzas Militares, sin que para tal conclusión importe la capacidad del proveedor”</w:t>
      </w:r>
      <w:r w:rsidRPr="00CD72BB">
        <w:rPr>
          <w:rFonts w:cs="Tahoma"/>
          <w:sz w:val="22"/>
          <w:szCs w:val="22"/>
          <w:vertAlign w:val="superscript"/>
        </w:rPr>
        <w:t xml:space="preserve"> </w:t>
      </w:r>
      <w:r w:rsidRPr="00CD72BB">
        <w:rPr>
          <w:rFonts w:cs="Tahoma"/>
          <w:sz w:val="22"/>
          <w:szCs w:val="22"/>
          <w:vertAlign w:val="superscript"/>
        </w:rPr>
        <w:footnoteReference w:id="9"/>
      </w:r>
      <w:r w:rsidRPr="00CD72BB">
        <w:rPr>
          <w:rFonts w:cs="Tahoma"/>
          <w:sz w:val="22"/>
          <w:szCs w:val="22"/>
        </w:rPr>
        <w:t>.</w:t>
      </w:r>
    </w:p>
    <w:p w14:paraId="2F4E7B8F" w14:textId="77777777" w:rsidR="00EA02F9" w:rsidRPr="003F1810" w:rsidRDefault="00EA02F9" w:rsidP="003F1810">
      <w:pPr>
        <w:pStyle w:val="Encabezado"/>
        <w:spacing w:line="276" w:lineRule="auto"/>
        <w:rPr>
          <w:rFonts w:cs="Tahoma"/>
          <w:sz w:val="24"/>
          <w:szCs w:val="24"/>
        </w:rPr>
      </w:pPr>
    </w:p>
    <w:p w14:paraId="70E6FAFC" w14:textId="77777777" w:rsidR="00605276" w:rsidRPr="003F1810" w:rsidRDefault="00605276" w:rsidP="003F1810">
      <w:pPr>
        <w:pStyle w:val="Encabezado"/>
        <w:spacing w:line="276" w:lineRule="auto"/>
        <w:rPr>
          <w:rFonts w:cs="Tahoma"/>
          <w:sz w:val="24"/>
          <w:szCs w:val="24"/>
        </w:rPr>
      </w:pPr>
      <w:r w:rsidRPr="003F1810">
        <w:rPr>
          <w:rFonts w:cs="Tahoma"/>
          <w:sz w:val="24"/>
          <w:szCs w:val="24"/>
        </w:rPr>
        <w:t>Y tal postura la llevó a advertir que “</w:t>
      </w:r>
      <w:r w:rsidRPr="00CD72BB">
        <w:rPr>
          <w:rFonts w:cs="Tahoma"/>
          <w:sz w:val="22"/>
          <w:szCs w:val="22"/>
        </w:rPr>
        <w:t xml:space="preserve">en este asunto se trató de una pistola y municiones de defensa personal, con un calibre 7.65 mm inferior al 9.62 mm dispuesto en la legislación para las de uso privativo de las fuerzas armadas, pero con </w:t>
      </w:r>
      <w:r w:rsidRPr="00CD72BB">
        <w:rPr>
          <w:rFonts w:cs="Tahoma"/>
          <w:b/>
          <w:sz w:val="22"/>
          <w:szCs w:val="22"/>
        </w:rPr>
        <w:t>un proveedor para 12 cartuchos, circunstancia que por sí sola no basta para que tenga la calidad de aquellas</w:t>
      </w:r>
      <w:r w:rsidRPr="003F1810">
        <w:rPr>
          <w:rFonts w:cs="Tahoma"/>
          <w:sz w:val="24"/>
          <w:szCs w:val="24"/>
        </w:rPr>
        <w:t>.” -negrillas de la Sala-</w:t>
      </w:r>
      <w:r w:rsidR="007360D5" w:rsidRPr="003F1810">
        <w:rPr>
          <w:rFonts w:cs="Tahoma"/>
          <w:sz w:val="24"/>
          <w:szCs w:val="24"/>
        </w:rPr>
        <w:t>.</w:t>
      </w:r>
    </w:p>
    <w:p w14:paraId="33A484AC" w14:textId="77777777" w:rsidR="00605276" w:rsidRPr="003F1810" w:rsidRDefault="00605276" w:rsidP="00CD72BB">
      <w:pPr>
        <w:spacing w:line="276" w:lineRule="auto"/>
        <w:ind w:right="335"/>
        <w:rPr>
          <w:rFonts w:cs="Tahoma"/>
          <w:sz w:val="24"/>
          <w:szCs w:val="24"/>
        </w:rPr>
      </w:pPr>
    </w:p>
    <w:p w14:paraId="498293A6" w14:textId="5BC15453" w:rsidR="00605276" w:rsidRPr="003F1810" w:rsidRDefault="00605276" w:rsidP="003F1810">
      <w:pPr>
        <w:pStyle w:val="Encabezado"/>
        <w:spacing w:line="276" w:lineRule="auto"/>
        <w:rPr>
          <w:rFonts w:cs="Tahoma"/>
          <w:sz w:val="24"/>
          <w:szCs w:val="24"/>
        </w:rPr>
      </w:pPr>
      <w:r w:rsidRPr="003F1810">
        <w:rPr>
          <w:rFonts w:cs="Tahoma"/>
          <w:sz w:val="24"/>
          <w:szCs w:val="24"/>
        </w:rPr>
        <w:t xml:space="preserve">En este </w:t>
      </w:r>
      <w:r w:rsidR="00026300" w:rsidRPr="003F1810">
        <w:rPr>
          <w:rFonts w:cs="Tahoma"/>
          <w:sz w:val="24"/>
          <w:szCs w:val="24"/>
        </w:rPr>
        <w:t>trámite</w:t>
      </w:r>
      <w:r w:rsidRPr="003F1810">
        <w:rPr>
          <w:rFonts w:cs="Tahoma"/>
          <w:sz w:val="24"/>
          <w:szCs w:val="24"/>
        </w:rPr>
        <w:t xml:space="preserve">, y al cotejar las características del arma incautada al señor </w:t>
      </w:r>
      <w:proofErr w:type="spellStart"/>
      <w:r w:rsidR="005553FE">
        <w:rPr>
          <w:rFonts w:cs="Tahoma"/>
          <w:b/>
          <w:sz w:val="24"/>
          <w:szCs w:val="24"/>
        </w:rPr>
        <w:t>JFGS</w:t>
      </w:r>
      <w:proofErr w:type="spellEnd"/>
      <w:r w:rsidRPr="003F1810">
        <w:rPr>
          <w:rFonts w:cs="Tahoma"/>
          <w:sz w:val="24"/>
          <w:szCs w:val="24"/>
        </w:rPr>
        <w:t>, con aquellas a que alude la norma, no existe duda alguna para la Sala que corresponde a una de uso de defensa personal si tenemos en consideración lo siguiente:</w:t>
      </w:r>
    </w:p>
    <w:p w14:paraId="316726FD" w14:textId="77777777" w:rsidR="00605276" w:rsidRPr="003F1810" w:rsidRDefault="00605276" w:rsidP="003F1810">
      <w:pPr>
        <w:pStyle w:val="Encabezado"/>
        <w:spacing w:line="276" w:lineRule="auto"/>
        <w:rPr>
          <w:rFonts w:cs="Tahoma"/>
          <w:sz w:val="24"/>
          <w:szCs w:val="24"/>
        </w:rPr>
      </w:pPr>
    </w:p>
    <w:p w14:paraId="5D4F9006" w14:textId="20BD3FD3" w:rsidR="00605276" w:rsidRPr="003F1810" w:rsidRDefault="00605276" w:rsidP="003F1810">
      <w:pPr>
        <w:pStyle w:val="Encabezado"/>
        <w:spacing w:line="276" w:lineRule="auto"/>
        <w:rPr>
          <w:rFonts w:cs="Tahoma"/>
          <w:b/>
          <w:bCs/>
          <w:sz w:val="24"/>
          <w:szCs w:val="24"/>
        </w:rPr>
      </w:pPr>
      <w:r w:rsidRPr="003F1810">
        <w:rPr>
          <w:rFonts w:cs="Tahoma"/>
          <w:sz w:val="24"/>
          <w:szCs w:val="24"/>
        </w:rPr>
        <w:t xml:space="preserve">-. La pistola </w:t>
      </w:r>
      <w:proofErr w:type="spellStart"/>
      <w:r w:rsidRPr="003F1810">
        <w:rPr>
          <w:rFonts w:cs="Tahoma"/>
          <w:sz w:val="24"/>
          <w:szCs w:val="24"/>
        </w:rPr>
        <w:t>Ruger</w:t>
      </w:r>
      <w:proofErr w:type="spellEnd"/>
      <w:r w:rsidRPr="003F1810">
        <w:rPr>
          <w:rFonts w:cs="Tahoma"/>
          <w:sz w:val="24"/>
          <w:szCs w:val="24"/>
        </w:rPr>
        <w:t xml:space="preserve"> tiene un calibre de </w:t>
      </w:r>
      <w:r w:rsidRPr="003F1810">
        <w:rPr>
          <w:rFonts w:cs="Tahoma"/>
          <w:b/>
          <w:bCs/>
          <w:sz w:val="24"/>
          <w:szCs w:val="24"/>
        </w:rPr>
        <w:t>9 x 19 mm</w:t>
      </w:r>
      <w:r w:rsidRPr="003F1810">
        <w:rPr>
          <w:rFonts w:cs="Tahoma"/>
          <w:sz w:val="24"/>
          <w:szCs w:val="24"/>
        </w:rPr>
        <w:t xml:space="preserve">, o lo que es lo mismo, equivale a </w:t>
      </w:r>
      <w:r w:rsidRPr="003F1810">
        <w:rPr>
          <w:rFonts w:cs="Tahoma"/>
          <w:b/>
          <w:bCs/>
          <w:sz w:val="24"/>
          <w:szCs w:val="24"/>
        </w:rPr>
        <w:t>3.</w:t>
      </w:r>
      <w:r w:rsidR="000F66FE" w:rsidRPr="003F1810">
        <w:rPr>
          <w:rFonts w:cs="Tahoma"/>
          <w:b/>
          <w:bCs/>
          <w:sz w:val="24"/>
          <w:szCs w:val="24"/>
        </w:rPr>
        <w:t>54</w:t>
      </w:r>
      <w:r w:rsidRPr="003F1810">
        <w:rPr>
          <w:rFonts w:cs="Tahoma"/>
          <w:b/>
          <w:bCs/>
          <w:sz w:val="24"/>
          <w:szCs w:val="24"/>
        </w:rPr>
        <w:t xml:space="preserve"> pulgadas</w:t>
      </w:r>
      <w:r w:rsidRPr="003F1810">
        <w:rPr>
          <w:rFonts w:cs="Tahoma"/>
          <w:sz w:val="24"/>
          <w:szCs w:val="24"/>
        </w:rPr>
        <w:t xml:space="preserve">, la que es inferior al calibre máximo </w:t>
      </w:r>
      <w:r w:rsidR="00026300" w:rsidRPr="003F1810">
        <w:rPr>
          <w:rFonts w:cs="Tahoma"/>
          <w:sz w:val="24"/>
          <w:szCs w:val="24"/>
        </w:rPr>
        <w:t>autorizado</w:t>
      </w:r>
      <w:r w:rsidRPr="003F1810">
        <w:rPr>
          <w:rFonts w:cs="Tahoma"/>
          <w:sz w:val="24"/>
          <w:szCs w:val="24"/>
        </w:rPr>
        <w:t xml:space="preserve">, esto es </w:t>
      </w:r>
      <w:r w:rsidRPr="003F1810">
        <w:rPr>
          <w:rFonts w:cs="Tahoma"/>
          <w:b/>
          <w:bCs/>
          <w:sz w:val="24"/>
          <w:szCs w:val="24"/>
        </w:rPr>
        <w:t>9.652 mm</w:t>
      </w:r>
      <w:r w:rsidRPr="003F1810">
        <w:rPr>
          <w:rFonts w:cs="Tahoma"/>
          <w:sz w:val="24"/>
          <w:szCs w:val="24"/>
        </w:rPr>
        <w:t xml:space="preserve">, que equivale a </w:t>
      </w:r>
      <w:r w:rsidRPr="003F1810">
        <w:rPr>
          <w:rFonts w:cs="Tahoma"/>
          <w:b/>
          <w:bCs/>
          <w:sz w:val="24"/>
          <w:szCs w:val="24"/>
        </w:rPr>
        <w:t>3.8 pulgadas.</w:t>
      </w:r>
    </w:p>
    <w:p w14:paraId="50552765" w14:textId="77777777" w:rsidR="00605276" w:rsidRPr="003F1810" w:rsidRDefault="00605276" w:rsidP="003F1810">
      <w:pPr>
        <w:pStyle w:val="Encabezado"/>
        <w:spacing w:line="276" w:lineRule="auto"/>
        <w:rPr>
          <w:rFonts w:cs="Tahoma"/>
          <w:b/>
          <w:bCs/>
          <w:sz w:val="24"/>
          <w:szCs w:val="24"/>
        </w:rPr>
      </w:pPr>
    </w:p>
    <w:p w14:paraId="6DD53923" w14:textId="1826901B" w:rsidR="00605276" w:rsidRPr="003F1810" w:rsidRDefault="00605276" w:rsidP="003F1810">
      <w:pPr>
        <w:pStyle w:val="Encabezado"/>
        <w:spacing w:line="276" w:lineRule="auto"/>
        <w:rPr>
          <w:rFonts w:cs="Tahoma"/>
          <w:sz w:val="24"/>
          <w:szCs w:val="24"/>
        </w:rPr>
      </w:pPr>
      <w:r w:rsidRPr="003F1810">
        <w:rPr>
          <w:rFonts w:cs="Tahoma"/>
          <w:sz w:val="24"/>
          <w:szCs w:val="24"/>
        </w:rPr>
        <w:t xml:space="preserve">-. Dicha pistola tiene una longitud del cañón de 109.8 mm, o lo </w:t>
      </w:r>
      <w:r w:rsidR="00D76851" w:rsidRPr="003F1810">
        <w:rPr>
          <w:rFonts w:cs="Tahoma"/>
          <w:sz w:val="24"/>
          <w:szCs w:val="24"/>
        </w:rPr>
        <w:t xml:space="preserve">que </w:t>
      </w:r>
      <w:r w:rsidRPr="003F1810">
        <w:rPr>
          <w:rFonts w:cs="Tahoma"/>
          <w:sz w:val="24"/>
          <w:szCs w:val="24"/>
        </w:rPr>
        <w:t xml:space="preserve">es igual a 10.98 </w:t>
      </w:r>
      <w:proofErr w:type="spellStart"/>
      <w:r w:rsidRPr="003F1810">
        <w:rPr>
          <w:rFonts w:cs="Tahoma"/>
          <w:sz w:val="24"/>
          <w:szCs w:val="24"/>
        </w:rPr>
        <w:t>cms</w:t>
      </w:r>
      <w:proofErr w:type="spellEnd"/>
      <w:r w:rsidRPr="003F1810">
        <w:rPr>
          <w:rFonts w:cs="Tahoma"/>
          <w:sz w:val="24"/>
          <w:szCs w:val="24"/>
        </w:rPr>
        <w:t xml:space="preserve">, equivalente a </w:t>
      </w:r>
      <w:r w:rsidR="00C64C51" w:rsidRPr="003F1810">
        <w:rPr>
          <w:rFonts w:cs="Tahoma"/>
          <w:sz w:val="24"/>
          <w:szCs w:val="24"/>
        </w:rPr>
        <w:t xml:space="preserve">4.32 pulgadas, cuando </w:t>
      </w:r>
      <w:r w:rsidR="00B314D3" w:rsidRPr="003F1810">
        <w:rPr>
          <w:rFonts w:cs="Tahoma"/>
          <w:sz w:val="24"/>
          <w:szCs w:val="24"/>
        </w:rPr>
        <w:t>la longitud máxima</w:t>
      </w:r>
      <w:r w:rsidR="00C64C51" w:rsidRPr="003F1810">
        <w:rPr>
          <w:rFonts w:cs="Tahoma"/>
          <w:sz w:val="24"/>
          <w:szCs w:val="24"/>
          <w:highlight w:val="yellow"/>
        </w:rPr>
        <w:t xml:space="preserve"> </w:t>
      </w:r>
      <w:r w:rsidR="00C64C51" w:rsidRPr="003F1810">
        <w:rPr>
          <w:rFonts w:cs="Tahoma"/>
          <w:sz w:val="24"/>
          <w:szCs w:val="24"/>
        </w:rPr>
        <w:t>permitid</w:t>
      </w:r>
      <w:r w:rsidR="00B314D3" w:rsidRPr="003F1810">
        <w:rPr>
          <w:rFonts w:cs="Tahoma"/>
          <w:sz w:val="24"/>
          <w:szCs w:val="24"/>
        </w:rPr>
        <w:t>a del cañón</w:t>
      </w:r>
      <w:r w:rsidR="00C64C51" w:rsidRPr="003F1810">
        <w:rPr>
          <w:rFonts w:cs="Tahoma"/>
          <w:sz w:val="24"/>
          <w:szCs w:val="24"/>
        </w:rPr>
        <w:t xml:space="preserve"> es de 15.24 </w:t>
      </w:r>
      <w:proofErr w:type="spellStart"/>
      <w:r w:rsidR="00C64C51" w:rsidRPr="003F1810">
        <w:rPr>
          <w:rFonts w:cs="Tahoma"/>
          <w:sz w:val="24"/>
          <w:szCs w:val="24"/>
        </w:rPr>
        <w:t>cms</w:t>
      </w:r>
      <w:proofErr w:type="spellEnd"/>
      <w:r w:rsidR="00C64C51" w:rsidRPr="003F1810">
        <w:rPr>
          <w:rFonts w:cs="Tahoma"/>
          <w:sz w:val="24"/>
          <w:szCs w:val="24"/>
        </w:rPr>
        <w:t>, esto es, 6 pulgadas.</w:t>
      </w:r>
    </w:p>
    <w:p w14:paraId="27FDDFB0" w14:textId="77777777" w:rsidR="00C64C51" w:rsidRPr="003F1810" w:rsidRDefault="00C64C51" w:rsidP="003F1810">
      <w:pPr>
        <w:pStyle w:val="Encabezado"/>
        <w:spacing w:line="276" w:lineRule="auto"/>
        <w:rPr>
          <w:rFonts w:cs="Tahoma"/>
          <w:sz w:val="24"/>
          <w:szCs w:val="24"/>
        </w:rPr>
      </w:pPr>
    </w:p>
    <w:p w14:paraId="517B3309" w14:textId="77777777" w:rsidR="00C64C51" w:rsidRPr="003F1810" w:rsidRDefault="00C64C51" w:rsidP="003F1810">
      <w:pPr>
        <w:pStyle w:val="Encabezado"/>
        <w:spacing w:line="276" w:lineRule="auto"/>
        <w:rPr>
          <w:rFonts w:cs="Tahoma"/>
          <w:sz w:val="24"/>
          <w:szCs w:val="24"/>
        </w:rPr>
      </w:pPr>
      <w:r w:rsidRPr="003F1810">
        <w:rPr>
          <w:rFonts w:cs="Tahoma"/>
          <w:sz w:val="24"/>
          <w:szCs w:val="24"/>
        </w:rPr>
        <w:t>-. Su funcionamiento es semiautomático, no se trata de un fusil o una carabina semiautomática.</w:t>
      </w:r>
    </w:p>
    <w:p w14:paraId="7E61C0C6" w14:textId="77777777" w:rsidR="00C64C51" w:rsidRPr="003F1810" w:rsidRDefault="00C64C51" w:rsidP="003F1810">
      <w:pPr>
        <w:pStyle w:val="Encabezado"/>
        <w:spacing w:line="276" w:lineRule="auto"/>
        <w:rPr>
          <w:rFonts w:cs="Tahoma"/>
          <w:sz w:val="24"/>
          <w:szCs w:val="24"/>
        </w:rPr>
      </w:pPr>
    </w:p>
    <w:p w14:paraId="072D6A56" w14:textId="2AE6E2D2" w:rsidR="006A657D" w:rsidRPr="003F1810" w:rsidRDefault="00567A6A" w:rsidP="003F1810">
      <w:pPr>
        <w:pStyle w:val="Encabezado"/>
        <w:spacing w:line="276" w:lineRule="auto"/>
        <w:rPr>
          <w:rFonts w:cs="Tahoma"/>
          <w:sz w:val="24"/>
          <w:szCs w:val="24"/>
        </w:rPr>
      </w:pPr>
      <w:r w:rsidRPr="003F1810">
        <w:rPr>
          <w:rFonts w:cs="Tahoma"/>
          <w:sz w:val="24"/>
          <w:szCs w:val="24"/>
        </w:rPr>
        <w:t>De ello se puede pregonar, sin dubitación algu</w:t>
      </w:r>
      <w:r w:rsidR="0018312E" w:rsidRPr="003F1810">
        <w:rPr>
          <w:rFonts w:cs="Tahoma"/>
          <w:sz w:val="24"/>
          <w:szCs w:val="24"/>
        </w:rPr>
        <w:t>na</w:t>
      </w:r>
      <w:r w:rsidRPr="003F1810">
        <w:rPr>
          <w:rFonts w:cs="Tahoma"/>
          <w:sz w:val="24"/>
          <w:szCs w:val="24"/>
        </w:rPr>
        <w:t xml:space="preserve">, que la pistola </w:t>
      </w:r>
      <w:proofErr w:type="spellStart"/>
      <w:r w:rsidRPr="003F1810">
        <w:rPr>
          <w:rFonts w:cs="Tahoma"/>
          <w:sz w:val="24"/>
          <w:szCs w:val="24"/>
        </w:rPr>
        <w:t>Ruger</w:t>
      </w:r>
      <w:proofErr w:type="spellEnd"/>
      <w:r w:rsidRPr="003F1810">
        <w:rPr>
          <w:rFonts w:cs="Tahoma"/>
          <w:sz w:val="24"/>
          <w:szCs w:val="24"/>
        </w:rPr>
        <w:t xml:space="preserve"> calibre 9 x 19mm</w:t>
      </w:r>
      <w:r w:rsidR="0018312E" w:rsidRPr="003F1810">
        <w:rPr>
          <w:rFonts w:cs="Tahoma"/>
          <w:sz w:val="24"/>
          <w:szCs w:val="24"/>
        </w:rPr>
        <w:t xml:space="preserve"> que en su momento le fuera incautada al señor </w:t>
      </w:r>
      <w:proofErr w:type="spellStart"/>
      <w:r w:rsidR="005553FE">
        <w:rPr>
          <w:rFonts w:cs="Tahoma"/>
          <w:b/>
          <w:sz w:val="24"/>
          <w:szCs w:val="24"/>
        </w:rPr>
        <w:t>JFGS</w:t>
      </w:r>
      <w:proofErr w:type="spellEnd"/>
      <w:r w:rsidR="0018312E" w:rsidRPr="003F1810">
        <w:rPr>
          <w:rFonts w:cs="Tahoma"/>
          <w:sz w:val="24"/>
          <w:szCs w:val="24"/>
        </w:rPr>
        <w:t xml:space="preserve"> es de uso de defensa persona</w:t>
      </w:r>
      <w:r w:rsidR="002A29E6" w:rsidRPr="003F1810">
        <w:rPr>
          <w:rFonts w:cs="Tahoma"/>
          <w:sz w:val="24"/>
          <w:szCs w:val="24"/>
        </w:rPr>
        <w:t>l</w:t>
      </w:r>
      <w:r w:rsidR="0018312E" w:rsidRPr="003F1810">
        <w:rPr>
          <w:rFonts w:cs="Tahoma"/>
          <w:sz w:val="24"/>
          <w:szCs w:val="24"/>
        </w:rPr>
        <w:t xml:space="preserve"> y acorde con la normativa aludida, la única </w:t>
      </w:r>
      <w:r w:rsidR="00C64C51" w:rsidRPr="003F1810">
        <w:rPr>
          <w:rFonts w:cs="Tahoma"/>
          <w:sz w:val="24"/>
          <w:szCs w:val="24"/>
        </w:rPr>
        <w:t>diferencia</w:t>
      </w:r>
      <w:r w:rsidR="00EB659D" w:rsidRPr="003F1810">
        <w:rPr>
          <w:rFonts w:cs="Tahoma"/>
          <w:sz w:val="24"/>
          <w:szCs w:val="24"/>
        </w:rPr>
        <w:t xml:space="preserve"> que presenta es en cuanto a su proveedor, </w:t>
      </w:r>
      <w:proofErr w:type="gramStart"/>
      <w:r w:rsidR="00D76851" w:rsidRPr="003F1810">
        <w:rPr>
          <w:rFonts w:cs="Tahoma"/>
          <w:sz w:val="24"/>
          <w:szCs w:val="24"/>
        </w:rPr>
        <w:t>pues</w:t>
      </w:r>
      <w:r w:rsidR="00EB659D" w:rsidRPr="003F1810">
        <w:rPr>
          <w:rFonts w:cs="Tahoma"/>
          <w:sz w:val="24"/>
          <w:szCs w:val="24"/>
        </w:rPr>
        <w:t xml:space="preserve">  el</w:t>
      </w:r>
      <w:proofErr w:type="gramEnd"/>
      <w:r w:rsidR="00EB659D" w:rsidRPr="003F1810">
        <w:rPr>
          <w:rFonts w:cs="Tahoma"/>
          <w:sz w:val="24"/>
          <w:szCs w:val="24"/>
        </w:rPr>
        <w:t xml:space="preserve"> que poseía era </w:t>
      </w:r>
      <w:r w:rsidR="00C64C51" w:rsidRPr="003F1810">
        <w:rPr>
          <w:rFonts w:cs="Tahoma"/>
          <w:sz w:val="24"/>
          <w:szCs w:val="24"/>
        </w:rPr>
        <w:t xml:space="preserve">superior a los 9 cartuchos de capacidad, pero al tratarse </w:t>
      </w:r>
      <w:r w:rsidR="0018312E" w:rsidRPr="003F1810">
        <w:rPr>
          <w:rFonts w:cs="Tahoma"/>
          <w:sz w:val="24"/>
          <w:szCs w:val="24"/>
        </w:rPr>
        <w:t xml:space="preserve">precisamente de un </w:t>
      </w:r>
      <w:r w:rsidR="00C64C51" w:rsidRPr="003F1810">
        <w:rPr>
          <w:rFonts w:cs="Tahoma"/>
          <w:sz w:val="24"/>
          <w:szCs w:val="24"/>
        </w:rPr>
        <w:t xml:space="preserve">arma de uso de defensa personal, ello no la torna </w:t>
      </w:r>
      <w:r w:rsidR="00C64C51" w:rsidRPr="003F1810">
        <w:rPr>
          <w:rFonts w:cs="Tahoma"/>
          <w:i/>
          <w:sz w:val="24"/>
          <w:szCs w:val="24"/>
        </w:rPr>
        <w:t>per se</w:t>
      </w:r>
      <w:r w:rsidR="00C64C51" w:rsidRPr="003F1810">
        <w:rPr>
          <w:rFonts w:cs="Tahoma"/>
          <w:sz w:val="24"/>
          <w:szCs w:val="24"/>
        </w:rPr>
        <w:t>, en una de uso privativo conforme lo sostenido por la jurisprudencia.</w:t>
      </w:r>
      <w:r w:rsidR="0018355A" w:rsidRPr="003F1810">
        <w:rPr>
          <w:rFonts w:cs="Tahoma"/>
          <w:sz w:val="24"/>
          <w:szCs w:val="24"/>
        </w:rPr>
        <w:t xml:space="preserve">  Si ello es así, como en </w:t>
      </w:r>
      <w:r w:rsidR="004347B5" w:rsidRPr="003F1810">
        <w:rPr>
          <w:rFonts w:cs="Tahoma"/>
          <w:sz w:val="24"/>
          <w:szCs w:val="24"/>
        </w:rPr>
        <w:t xml:space="preserve">realidad </w:t>
      </w:r>
      <w:r w:rsidR="0018355A" w:rsidRPr="003F1810">
        <w:rPr>
          <w:rFonts w:cs="Tahoma"/>
          <w:sz w:val="24"/>
          <w:szCs w:val="24"/>
        </w:rPr>
        <w:t xml:space="preserve">lo es, </w:t>
      </w:r>
      <w:r w:rsidR="00DA1825" w:rsidRPr="003F1810">
        <w:rPr>
          <w:rFonts w:cs="Tahoma"/>
          <w:sz w:val="24"/>
          <w:szCs w:val="24"/>
        </w:rPr>
        <w:t xml:space="preserve">aprecia </w:t>
      </w:r>
      <w:r w:rsidR="0018355A" w:rsidRPr="003F1810">
        <w:rPr>
          <w:rFonts w:cs="Tahoma"/>
          <w:sz w:val="24"/>
          <w:szCs w:val="24"/>
        </w:rPr>
        <w:t xml:space="preserve">la Corporación que ante ese cambio de criterio jurisprudencial la </w:t>
      </w:r>
      <w:r w:rsidR="00871D37" w:rsidRPr="003F1810">
        <w:rPr>
          <w:rFonts w:cs="Tahoma"/>
          <w:sz w:val="24"/>
          <w:szCs w:val="24"/>
        </w:rPr>
        <w:t>acción de revisión está llamada a prosperar, y en consecuencia se hace necesario</w:t>
      </w:r>
      <w:r w:rsidR="00443BE1" w:rsidRPr="003F1810">
        <w:rPr>
          <w:rFonts w:cs="Tahoma"/>
          <w:sz w:val="24"/>
          <w:szCs w:val="24"/>
        </w:rPr>
        <w:t xml:space="preserve"> dejar sin efectos el fallo proferido en julio 11 de 2022 por el Juzgado </w:t>
      </w:r>
      <w:r w:rsidR="00443BE1" w:rsidRPr="003F1810">
        <w:rPr>
          <w:rFonts w:cs="Tahoma"/>
          <w:sz w:val="24"/>
          <w:szCs w:val="24"/>
        </w:rPr>
        <w:lastRenderedPageBreak/>
        <w:t xml:space="preserve">Primero Penal del Circuito Especializado de esta capital, para en su lugar </w:t>
      </w:r>
      <w:r w:rsidR="00871D37" w:rsidRPr="003F1810">
        <w:rPr>
          <w:rFonts w:cs="Tahoma"/>
          <w:sz w:val="24"/>
          <w:szCs w:val="24"/>
        </w:rPr>
        <w:t>proferir un</w:t>
      </w:r>
      <w:r w:rsidR="003A0690" w:rsidRPr="003F1810">
        <w:rPr>
          <w:rFonts w:cs="Tahoma"/>
          <w:sz w:val="24"/>
          <w:szCs w:val="24"/>
        </w:rPr>
        <w:t>o</w:t>
      </w:r>
      <w:r w:rsidR="00871D37" w:rsidRPr="003F1810">
        <w:rPr>
          <w:rFonts w:cs="Tahoma"/>
          <w:sz w:val="24"/>
          <w:szCs w:val="24"/>
        </w:rPr>
        <w:t xml:space="preserve"> de reemplazo</w:t>
      </w:r>
      <w:r w:rsidR="0018355A" w:rsidRPr="003F1810">
        <w:rPr>
          <w:rFonts w:cs="Tahoma"/>
          <w:sz w:val="24"/>
          <w:szCs w:val="24"/>
        </w:rPr>
        <w:t>, y p</w:t>
      </w:r>
      <w:r w:rsidR="004347B5" w:rsidRPr="003F1810">
        <w:rPr>
          <w:rFonts w:cs="Tahoma"/>
          <w:sz w:val="24"/>
          <w:szCs w:val="24"/>
        </w:rPr>
        <w:t xml:space="preserve">or consiguiente </w:t>
      </w:r>
      <w:r w:rsidR="0018355A" w:rsidRPr="003F1810">
        <w:rPr>
          <w:rFonts w:cs="Tahoma"/>
          <w:sz w:val="24"/>
          <w:szCs w:val="24"/>
        </w:rPr>
        <w:t xml:space="preserve">tendrá en </w:t>
      </w:r>
      <w:r w:rsidR="003A0690" w:rsidRPr="003F1810">
        <w:rPr>
          <w:rFonts w:cs="Tahoma"/>
          <w:sz w:val="24"/>
          <w:szCs w:val="24"/>
        </w:rPr>
        <w:t xml:space="preserve">cuenta </w:t>
      </w:r>
      <w:r w:rsidR="0018355A" w:rsidRPr="003F1810">
        <w:rPr>
          <w:rFonts w:cs="Tahoma"/>
          <w:sz w:val="24"/>
          <w:szCs w:val="24"/>
        </w:rPr>
        <w:t>lo siguiente:</w:t>
      </w:r>
    </w:p>
    <w:p w14:paraId="74552933" w14:textId="77777777" w:rsidR="0018355A" w:rsidRPr="003F1810" w:rsidRDefault="0018355A" w:rsidP="003F1810">
      <w:pPr>
        <w:pStyle w:val="Encabezado"/>
        <w:spacing w:line="276" w:lineRule="auto"/>
        <w:rPr>
          <w:rFonts w:cs="Tahoma"/>
          <w:sz w:val="24"/>
          <w:szCs w:val="24"/>
        </w:rPr>
      </w:pPr>
    </w:p>
    <w:p w14:paraId="021A8011" w14:textId="4CD5A990" w:rsidR="0018355A" w:rsidRPr="003F1810" w:rsidRDefault="0018355A" w:rsidP="003F1810">
      <w:pPr>
        <w:pStyle w:val="Encabezado"/>
        <w:spacing w:line="276" w:lineRule="auto"/>
        <w:rPr>
          <w:rFonts w:cs="Tahoma"/>
          <w:sz w:val="24"/>
          <w:szCs w:val="24"/>
        </w:rPr>
      </w:pPr>
      <w:r w:rsidRPr="003F1810">
        <w:rPr>
          <w:rFonts w:cs="Tahoma"/>
          <w:sz w:val="24"/>
          <w:szCs w:val="24"/>
        </w:rPr>
        <w:t>La</w:t>
      </w:r>
      <w:r w:rsidR="003A0690" w:rsidRPr="003F1810">
        <w:rPr>
          <w:rFonts w:cs="Tahoma"/>
          <w:sz w:val="24"/>
          <w:szCs w:val="24"/>
        </w:rPr>
        <w:t xml:space="preserve">s </w:t>
      </w:r>
      <w:r w:rsidRPr="003F1810">
        <w:rPr>
          <w:rFonts w:cs="Tahoma"/>
          <w:sz w:val="24"/>
          <w:szCs w:val="24"/>
        </w:rPr>
        <w:t>conducta</w:t>
      </w:r>
      <w:r w:rsidR="003A0690" w:rsidRPr="003F1810">
        <w:rPr>
          <w:rFonts w:cs="Tahoma"/>
          <w:sz w:val="24"/>
          <w:szCs w:val="24"/>
        </w:rPr>
        <w:t>s</w:t>
      </w:r>
      <w:r w:rsidRPr="003F1810">
        <w:rPr>
          <w:rFonts w:cs="Tahoma"/>
          <w:sz w:val="24"/>
          <w:szCs w:val="24"/>
        </w:rPr>
        <w:t xml:space="preserve"> que debe</w:t>
      </w:r>
      <w:r w:rsidR="003A0690" w:rsidRPr="003F1810">
        <w:rPr>
          <w:rFonts w:cs="Tahoma"/>
          <w:sz w:val="24"/>
          <w:szCs w:val="24"/>
        </w:rPr>
        <w:t>n</w:t>
      </w:r>
      <w:r w:rsidRPr="003F1810">
        <w:rPr>
          <w:rFonts w:cs="Tahoma"/>
          <w:sz w:val="24"/>
          <w:szCs w:val="24"/>
        </w:rPr>
        <w:t xml:space="preserve"> tenerse en consideración, como cometida</w:t>
      </w:r>
      <w:r w:rsidR="003A0690" w:rsidRPr="003F1810">
        <w:rPr>
          <w:rFonts w:cs="Tahoma"/>
          <w:sz w:val="24"/>
          <w:szCs w:val="24"/>
        </w:rPr>
        <w:t>s</w:t>
      </w:r>
      <w:r w:rsidRPr="003F1810">
        <w:rPr>
          <w:rFonts w:cs="Tahoma"/>
          <w:sz w:val="24"/>
          <w:szCs w:val="24"/>
        </w:rPr>
        <w:t xml:space="preserve"> por el señor </w:t>
      </w:r>
      <w:proofErr w:type="spellStart"/>
      <w:r w:rsidR="005553FE">
        <w:rPr>
          <w:rFonts w:cs="Tahoma"/>
          <w:b/>
          <w:sz w:val="24"/>
          <w:szCs w:val="24"/>
        </w:rPr>
        <w:t>JFGS</w:t>
      </w:r>
      <w:proofErr w:type="spellEnd"/>
      <w:r w:rsidRPr="003F1810">
        <w:rPr>
          <w:rFonts w:cs="Tahoma"/>
          <w:sz w:val="24"/>
          <w:szCs w:val="24"/>
        </w:rPr>
        <w:t xml:space="preserve">, </w:t>
      </w:r>
      <w:r w:rsidR="003A0690" w:rsidRPr="003F1810">
        <w:rPr>
          <w:rFonts w:cs="Tahoma"/>
          <w:sz w:val="24"/>
          <w:szCs w:val="24"/>
        </w:rPr>
        <w:t xml:space="preserve">son </w:t>
      </w:r>
      <w:r w:rsidRPr="003F1810">
        <w:rPr>
          <w:rFonts w:cs="Tahoma"/>
          <w:sz w:val="24"/>
          <w:szCs w:val="24"/>
        </w:rPr>
        <w:t>la de fabricación, tráfico y porte de armas de fuego o munici</w:t>
      </w:r>
      <w:r w:rsidR="00136757" w:rsidRPr="003F1810">
        <w:rPr>
          <w:rFonts w:cs="Tahoma"/>
          <w:sz w:val="24"/>
          <w:szCs w:val="24"/>
        </w:rPr>
        <w:t xml:space="preserve">ones, </w:t>
      </w:r>
      <w:r w:rsidR="00026300" w:rsidRPr="003F1810">
        <w:rPr>
          <w:rFonts w:cs="Tahoma"/>
          <w:sz w:val="24"/>
          <w:szCs w:val="24"/>
        </w:rPr>
        <w:t xml:space="preserve">tipificada </w:t>
      </w:r>
      <w:r w:rsidR="00136757" w:rsidRPr="003F1810">
        <w:rPr>
          <w:rFonts w:cs="Tahoma"/>
          <w:sz w:val="24"/>
          <w:szCs w:val="24"/>
        </w:rPr>
        <w:t xml:space="preserve">en el </w:t>
      </w:r>
      <w:r w:rsidR="00113E24" w:rsidRPr="003F1810">
        <w:rPr>
          <w:rFonts w:cs="Tahoma"/>
          <w:sz w:val="24"/>
          <w:szCs w:val="24"/>
        </w:rPr>
        <w:t xml:space="preserve">artículo 365 C.P., en concurso </w:t>
      </w:r>
      <w:r w:rsidR="003A0690" w:rsidRPr="003F1810">
        <w:rPr>
          <w:rFonts w:cs="Tahoma"/>
          <w:sz w:val="24"/>
          <w:szCs w:val="24"/>
        </w:rPr>
        <w:t xml:space="preserve">heterogéneo </w:t>
      </w:r>
      <w:r w:rsidR="00113E24" w:rsidRPr="003F1810">
        <w:rPr>
          <w:rFonts w:cs="Tahoma"/>
          <w:sz w:val="24"/>
          <w:szCs w:val="24"/>
        </w:rPr>
        <w:t>con el delito de fuga de presos -art. 448 C.P.-.</w:t>
      </w:r>
      <w:r w:rsidR="003A0690" w:rsidRPr="003F1810">
        <w:rPr>
          <w:rFonts w:cs="Tahoma"/>
          <w:sz w:val="24"/>
          <w:szCs w:val="24"/>
        </w:rPr>
        <w:t xml:space="preserve">, como así le </w:t>
      </w:r>
      <w:r w:rsidR="00D76851" w:rsidRPr="003F1810">
        <w:rPr>
          <w:rFonts w:cs="Tahoma"/>
          <w:sz w:val="24"/>
          <w:szCs w:val="24"/>
        </w:rPr>
        <w:t xml:space="preserve">fue </w:t>
      </w:r>
      <w:r w:rsidR="003A0690" w:rsidRPr="003F1810">
        <w:rPr>
          <w:rFonts w:cs="Tahoma"/>
          <w:sz w:val="24"/>
          <w:szCs w:val="24"/>
        </w:rPr>
        <w:t>imputado, se radicó el escrito de acusación y aceptó cargos por la vía del preacuerdo.</w:t>
      </w:r>
    </w:p>
    <w:p w14:paraId="4DAFCD70" w14:textId="77777777" w:rsidR="00113E24" w:rsidRPr="003F1810" w:rsidRDefault="00113E24" w:rsidP="003F1810">
      <w:pPr>
        <w:pStyle w:val="Encabezado"/>
        <w:spacing w:line="276" w:lineRule="auto"/>
        <w:rPr>
          <w:rFonts w:cs="Tahoma"/>
          <w:sz w:val="24"/>
          <w:szCs w:val="24"/>
        </w:rPr>
      </w:pPr>
    </w:p>
    <w:p w14:paraId="6C69238B" w14:textId="16113995" w:rsidR="00113E24" w:rsidRPr="003F1810" w:rsidRDefault="00113E24" w:rsidP="003F1810">
      <w:pPr>
        <w:pStyle w:val="Encabezado"/>
        <w:spacing w:line="276" w:lineRule="auto"/>
        <w:rPr>
          <w:rFonts w:cs="Tahoma"/>
          <w:sz w:val="24"/>
          <w:szCs w:val="24"/>
        </w:rPr>
      </w:pPr>
      <w:r w:rsidRPr="003F1810">
        <w:rPr>
          <w:rFonts w:cs="Tahoma"/>
          <w:sz w:val="24"/>
          <w:szCs w:val="24"/>
        </w:rPr>
        <w:t xml:space="preserve">Ahora bien, como quiera que en este </w:t>
      </w:r>
      <w:r w:rsidR="00026300" w:rsidRPr="003F1810">
        <w:rPr>
          <w:rFonts w:cs="Tahoma"/>
          <w:sz w:val="24"/>
          <w:szCs w:val="24"/>
        </w:rPr>
        <w:t xml:space="preserve">caso </w:t>
      </w:r>
      <w:r w:rsidR="00F06CFE" w:rsidRPr="003F1810">
        <w:rPr>
          <w:rFonts w:cs="Tahoma"/>
          <w:sz w:val="24"/>
          <w:szCs w:val="24"/>
        </w:rPr>
        <w:t>precisamente se generó un consenso</w:t>
      </w:r>
      <w:r w:rsidRPr="003F1810">
        <w:rPr>
          <w:rFonts w:cs="Tahoma"/>
          <w:sz w:val="24"/>
          <w:szCs w:val="24"/>
        </w:rPr>
        <w:t xml:space="preserve">, consistente en que el procesado aceptaba su responsabilidad en los delitos investigados, y como contraprestación se le degradaría su participación de autor a cómplice </w:t>
      </w:r>
      <w:r w:rsidR="00F06CFE" w:rsidRPr="003F1810">
        <w:rPr>
          <w:rFonts w:cs="Tahoma"/>
          <w:sz w:val="24"/>
          <w:szCs w:val="24"/>
        </w:rPr>
        <w:t xml:space="preserve">-solo para efectos punitivos- </w:t>
      </w:r>
      <w:r w:rsidRPr="003F1810">
        <w:rPr>
          <w:rFonts w:cs="Tahoma"/>
          <w:sz w:val="24"/>
          <w:szCs w:val="24"/>
        </w:rPr>
        <w:t xml:space="preserve">con la consecuente rebaja del 50% de la pena a imponer, la Sala utilizará los mismos parámetros que </w:t>
      </w:r>
      <w:r w:rsidR="00F06CFE" w:rsidRPr="003F1810">
        <w:rPr>
          <w:rFonts w:cs="Tahoma"/>
          <w:sz w:val="24"/>
          <w:szCs w:val="24"/>
        </w:rPr>
        <w:t xml:space="preserve">tuvo a bien aplicar </w:t>
      </w:r>
      <w:r w:rsidRPr="003F1810">
        <w:rPr>
          <w:rFonts w:cs="Tahoma"/>
          <w:sz w:val="24"/>
          <w:szCs w:val="24"/>
        </w:rPr>
        <w:t xml:space="preserve">el juez para tasar la pena que a </w:t>
      </w:r>
      <w:r w:rsidR="00F06CFE" w:rsidRPr="003F1810">
        <w:rPr>
          <w:rFonts w:cs="Tahoma"/>
          <w:sz w:val="24"/>
          <w:szCs w:val="24"/>
        </w:rPr>
        <w:t xml:space="preserve">la </w:t>
      </w:r>
      <w:r w:rsidRPr="003F1810">
        <w:rPr>
          <w:rFonts w:cs="Tahoma"/>
          <w:sz w:val="24"/>
          <w:szCs w:val="24"/>
        </w:rPr>
        <w:t xml:space="preserve">postre </w:t>
      </w:r>
      <w:r w:rsidR="00F06CFE" w:rsidRPr="003F1810">
        <w:rPr>
          <w:rFonts w:cs="Tahoma"/>
          <w:sz w:val="24"/>
          <w:szCs w:val="24"/>
        </w:rPr>
        <w:t>se le impuso a</w:t>
      </w:r>
      <w:r w:rsidRPr="003F1810">
        <w:rPr>
          <w:rFonts w:cs="Tahoma"/>
          <w:sz w:val="24"/>
          <w:szCs w:val="24"/>
        </w:rPr>
        <w:t xml:space="preserve">l señor </w:t>
      </w:r>
      <w:proofErr w:type="spellStart"/>
      <w:r w:rsidR="005553FE">
        <w:rPr>
          <w:rFonts w:cs="Tahoma"/>
          <w:b/>
          <w:sz w:val="24"/>
          <w:szCs w:val="24"/>
        </w:rPr>
        <w:t>JFGS</w:t>
      </w:r>
      <w:proofErr w:type="spellEnd"/>
      <w:r w:rsidRPr="003F1810">
        <w:rPr>
          <w:rFonts w:cs="Tahoma"/>
          <w:sz w:val="24"/>
          <w:szCs w:val="24"/>
        </w:rPr>
        <w:t xml:space="preserve">, ello con miras a preservar el derecho a la autonomía judicial </w:t>
      </w:r>
      <w:r w:rsidR="00B95DF8" w:rsidRPr="003F1810">
        <w:rPr>
          <w:rFonts w:cs="Tahoma"/>
          <w:sz w:val="24"/>
          <w:szCs w:val="24"/>
        </w:rPr>
        <w:t>d</w:t>
      </w:r>
      <w:r w:rsidRPr="003F1810">
        <w:rPr>
          <w:rFonts w:cs="Tahoma"/>
          <w:sz w:val="24"/>
          <w:szCs w:val="24"/>
        </w:rPr>
        <w:t>el funcionario de primer nivel.</w:t>
      </w:r>
    </w:p>
    <w:p w14:paraId="188584E2" w14:textId="77777777" w:rsidR="00113E24" w:rsidRPr="003F1810" w:rsidRDefault="00113E24" w:rsidP="003F1810">
      <w:pPr>
        <w:pStyle w:val="Encabezado"/>
        <w:spacing w:line="276" w:lineRule="auto"/>
        <w:rPr>
          <w:rFonts w:cs="Tahoma"/>
          <w:sz w:val="24"/>
          <w:szCs w:val="24"/>
        </w:rPr>
      </w:pPr>
    </w:p>
    <w:p w14:paraId="55478F78" w14:textId="01048548" w:rsidR="00000DAE" w:rsidRPr="003F1810" w:rsidRDefault="00113E24" w:rsidP="003F1810">
      <w:pPr>
        <w:spacing w:line="276" w:lineRule="auto"/>
        <w:rPr>
          <w:rFonts w:cs="Tahoma"/>
          <w:sz w:val="24"/>
          <w:szCs w:val="24"/>
        </w:rPr>
      </w:pPr>
      <w:r w:rsidRPr="003F1810">
        <w:rPr>
          <w:rFonts w:cs="Tahoma"/>
          <w:sz w:val="24"/>
          <w:szCs w:val="24"/>
        </w:rPr>
        <w:t xml:space="preserve">En ese orden, tenemos que el ilícito por el que debe ser condenado el señor </w:t>
      </w:r>
      <w:proofErr w:type="spellStart"/>
      <w:r w:rsidR="005553FE">
        <w:rPr>
          <w:rFonts w:cs="Tahoma"/>
          <w:b/>
          <w:sz w:val="24"/>
          <w:szCs w:val="24"/>
        </w:rPr>
        <w:t>JFGS</w:t>
      </w:r>
      <w:proofErr w:type="spellEnd"/>
      <w:r w:rsidRPr="003F1810">
        <w:rPr>
          <w:rFonts w:cs="Tahoma"/>
          <w:sz w:val="24"/>
          <w:szCs w:val="24"/>
        </w:rPr>
        <w:t xml:space="preserve">, </w:t>
      </w:r>
      <w:r w:rsidR="00F06CFE" w:rsidRPr="003F1810">
        <w:rPr>
          <w:rFonts w:cs="Tahoma"/>
          <w:sz w:val="24"/>
          <w:szCs w:val="24"/>
        </w:rPr>
        <w:t xml:space="preserve">consagrado en el artículo 365 C.P., </w:t>
      </w:r>
      <w:r w:rsidRPr="003F1810">
        <w:rPr>
          <w:rFonts w:cs="Tahoma"/>
          <w:sz w:val="24"/>
          <w:szCs w:val="24"/>
        </w:rPr>
        <w:t>co</w:t>
      </w:r>
      <w:r w:rsidR="004347B5" w:rsidRPr="003F1810">
        <w:rPr>
          <w:rFonts w:cs="Tahoma"/>
          <w:sz w:val="24"/>
          <w:szCs w:val="24"/>
        </w:rPr>
        <w:t xml:space="preserve">ntempla </w:t>
      </w:r>
      <w:r w:rsidRPr="003F1810">
        <w:rPr>
          <w:rFonts w:cs="Tahoma"/>
          <w:sz w:val="24"/>
          <w:szCs w:val="24"/>
        </w:rPr>
        <w:t xml:space="preserve">una pena mínima de 9 años de prisión, o lo que es lo mismo 108 meses, cifra que se incrementa en 18 meses por el delito de fuga de presos, por lo cual la </w:t>
      </w:r>
      <w:r w:rsidR="00F06CFE" w:rsidRPr="003F1810">
        <w:rPr>
          <w:rFonts w:cs="Tahoma"/>
          <w:sz w:val="24"/>
          <w:szCs w:val="24"/>
        </w:rPr>
        <w:t xml:space="preserve">sanción </w:t>
      </w:r>
      <w:r w:rsidRPr="003F1810">
        <w:rPr>
          <w:rFonts w:cs="Tahoma"/>
          <w:sz w:val="24"/>
          <w:szCs w:val="24"/>
        </w:rPr>
        <w:t>arrojaría un monto de 126 meses de prisión, guarismo este que acorde con las reglas del preacuerdo debe reducirse en la mitad -</w:t>
      </w:r>
      <w:r w:rsidR="00443BE1" w:rsidRPr="003F1810">
        <w:rPr>
          <w:rFonts w:cs="Tahoma"/>
          <w:sz w:val="24"/>
          <w:szCs w:val="24"/>
        </w:rPr>
        <w:t xml:space="preserve">conforme </w:t>
      </w:r>
      <w:r w:rsidRPr="003F1810">
        <w:rPr>
          <w:rFonts w:cs="Tahoma"/>
          <w:sz w:val="24"/>
          <w:szCs w:val="24"/>
        </w:rPr>
        <w:t xml:space="preserve">el canon 30 C.P.-, dada la degradación </w:t>
      </w:r>
      <w:r w:rsidR="00F06CFE" w:rsidRPr="003F1810">
        <w:rPr>
          <w:rFonts w:cs="Tahoma"/>
          <w:sz w:val="24"/>
          <w:szCs w:val="24"/>
        </w:rPr>
        <w:t xml:space="preserve">de su </w:t>
      </w:r>
      <w:r w:rsidRPr="003F1810">
        <w:rPr>
          <w:rFonts w:cs="Tahoma"/>
          <w:sz w:val="24"/>
          <w:szCs w:val="24"/>
        </w:rPr>
        <w:t xml:space="preserve">participación, lo que comporta pregonar que la pena en definitiva que debe purgar el señor </w:t>
      </w:r>
      <w:proofErr w:type="spellStart"/>
      <w:r w:rsidR="005553FE">
        <w:rPr>
          <w:rFonts w:cs="Tahoma"/>
          <w:b/>
          <w:sz w:val="24"/>
          <w:szCs w:val="24"/>
        </w:rPr>
        <w:t>JFGS</w:t>
      </w:r>
      <w:proofErr w:type="spellEnd"/>
      <w:r w:rsidRPr="003F1810">
        <w:rPr>
          <w:rFonts w:cs="Tahoma"/>
          <w:sz w:val="24"/>
          <w:szCs w:val="24"/>
        </w:rPr>
        <w:t xml:space="preserve">, será de </w:t>
      </w:r>
      <w:r w:rsidRPr="003F1810">
        <w:rPr>
          <w:rFonts w:cs="Tahoma"/>
          <w:b/>
          <w:sz w:val="24"/>
          <w:szCs w:val="24"/>
        </w:rPr>
        <w:t>63 meses de prisión</w:t>
      </w:r>
      <w:r w:rsidRPr="003F1810">
        <w:rPr>
          <w:rFonts w:cs="Tahoma"/>
          <w:sz w:val="24"/>
          <w:szCs w:val="24"/>
        </w:rPr>
        <w:t>.  En igual término se fijará la inhabilitación en el ejercicio de derechos y funciones públicas y se mantendrá incólume el término de 6 meses, fijado por el A quo</w:t>
      </w:r>
      <w:r w:rsidR="004117DE" w:rsidRPr="003F1810">
        <w:rPr>
          <w:rFonts w:cs="Tahoma"/>
          <w:sz w:val="24"/>
          <w:szCs w:val="24"/>
        </w:rPr>
        <w:t>, como privación del derecho de tenencia y porte de armas de fuego.</w:t>
      </w:r>
      <w:r w:rsidR="00000DAE" w:rsidRPr="003F1810">
        <w:rPr>
          <w:rFonts w:cs="Tahoma"/>
          <w:sz w:val="24"/>
          <w:szCs w:val="24"/>
        </w:rPr>
        <w:t xml:space="preserve"> </w:t>
      </w:r>
      <w:r w:rsidR="00F06CFE" w:rsidRPr="003F1810">
        <w:rPr>
          <w:rFonts w:cs="Tahoma"/>
          <w:sz w:val="24"/>
          <w:szCs w:val="24"/>
        </w:rPr>
        <w:t xml:space="preserve">Así mismo, </w:t>
      </w:r>
      <w:r w:rsidR="00000DAE" w:rsidRPr="003F1810">
        <w:rPr>
          <w:rFonts w:cs="Tahoma"/>
          <w:sz w:val="24"/>
          <w:szCs w:val="24"/>
        </w:rPr>
        <w:t>se ordena</w:t>
      </w:r>
      <w:r w:rsidR="00F06CFE" w:rsidRPr="003F1810">
        <w:rPr>
          <w:rFonts w:cs="Tahoma"/>
          <w:sz w:val="24"/>
          <w:szCs w:val="24"/>
        </w:rPr>
        <w:t>rá</w:t>
      </w:r>
      <w:r w:rsidR="00000DAE" w:rsidRPr="003F1810">
        <w:rPr>
          <w:rFonts w:cs="Tahoma"/>
          <w:sz w:val="24"/>
          <w:szCs w:val="24"/>
        </w:rPr>
        <w:t xml:space="preserve"> el comiso del arma junto con la munición y proveedores incautados.</w:t>
      </w:r>
    </w:p>
    <w:p w14:paraId="3557BF5E" w14:textId="77777777" w:rsidR="0018355A" w:rsidRPr="003F1810" w:rsidRDefault="0018355A" w:rsidP="003F1810">
      <w:pPr>
        <w:pStyle w:val="Encabezado"/>
        <w:spacing w:line="276" w:lineRule="auto"/>
        <w:rPr>
          <w:rFonts w:cs="Tahoma"/>
          <w:sz w:val="24"/>
          <w:szCs w:val="24"/>
        </w:rPr>
      </w:pPr>
    </w:p>
    <w:p w14:paraId="02554BA6" w14:textId="77777777" w:rsidR="00871D37" w:rsidRPr="003F1810" w:rsidRDefault="00871D37" w:rsidP="003F1810">
      <w:pPr>
        <w:pStyle w:val="Encabezado"/>
        <w:spacing w:line="276" w:lineRule="auto"/>
        <w:rPr>
          <w:rFonts w:cs="Tahoma"/>
          <w:sz w:val="24"/>
          <w:szCs w:val="24"/>
        </w:rPr>
      </w:pPr>
      <w:r w:rsidRPr="003F1810">
        <w:rPr>
          <w:rFonts w:cs="Tahoma"/>
          <w:sz w:val="24"/>
          <w:szCs w:val="24"/>
        </w:rPr>
        <w:t xml:space="preserve">Por lo expuesto, el Tribunal Superior del Distrito Judicial de Pereira (Rda.), </w:t>
      </w:r>
      <w:r w:rsidR="00AC6078" w:rsidRPr="003F1810">
        <w:rPr>
          <w:rFonts w:cs="Tahoma"/>
          <w:sz w:val="24"/>
          <w:szCs w:val="24"/>
        </w:rPr>
        <w:t xml:space="preserve">en Sala </w:t>
      </w:r>
      <w:proofErr w:type="spellStart"/>
      <w:r w:rsidR="00AC6078" w:rsidRPr="003F1810">
        <w:rPr>
          <w:rFonts w:cs="Tahoma"/>
          <w:sz w:val="24"/>
          <w:szCs w:val="24"/>
        </w:rPr>
        <w:t>N°</w:t>
      </w:r>
      <w:proofErr w:type="spellEnd"/>
      <w:r w:rsidR="00AC6078" w:rsidRPr="003F1810">
        <w:rPr>
          <w:rFonts w:cs="Tahoma"/>
          <w:sz w:val="24"/>
          <w:szCs w:val="24"/>
        </w:rPr>
        <w:t xml:space="preserve"> 2 de Decisión Penal, </w:t>
      </w:r>
      <w:r w:rsidRPr="003F1810">
        <w:rPr>
          <w:rFonts w:cs="Tahoma"/>
          <w:sz w:val="24"/>
          <w:szCs w:val="24"/>
        </w:rPr>
        <w:t xml:space="preserve">administrando justicia en nombre de la República y por autoridad de la ley, </w:t>
      </w:r>
    </w:p>
    <w:p w14:paraId="1D43D242" w14:textId="77777777" w:rsidR="00871D37" w:rsidRPr="003F1810" w:rsidRDefault="00871D37" w:rsidP="003F1810">
      <w:pPr>
        <w:spacing w:line="276" w:lineRule="auto"/>
        <w:rPr>
          <w:rFonts w:cs="Tahoma"/>
          <w:spacing w:val="-6"/>
          <w:sz w:val="24"/>
          <w:szCs w:val="24"/>
        </w:rPr>
      </w:pPr>
    </w:p>
    <w:p w14:paraId="4DE5F53C" w14:textId="77777777" w:rsidR="00871D37" w:rsidRPr="003F1810" w:rsidRDefault="00871D37" w:rsidP="003F1810">
      <w:pPr>
        <w:spacing w:line="276" w:lineRule="auto"/>
        <w:rPr>
          <w:rFonts w:ascii="Algerian" w:hAnsi="Algerian" w:cs="Tahoma"/>
          <w:sz w:val="30"/>
          <w:szCs w:val="20"/>
        </w:rPr>
      </w:pPr>
      <w:r w:rsidRPr="003F1810">
        <w:rPr>
          <w:rFonts w:ascii="Algerian" w:hAnsi="Algerian" w:cs="Tahoma"/>
          <w:sz w:val="30"/>
          <w:szCs w:val="20"/>
        </w:rPr>
        <w:t>FALLA</w:t>
      </w:r>
    </w:p>
    <w:p w14:paraId="09FDE5AD" w14:textId="77777777" w:rsidR="00871D37" w:rsidRPr="003F1810" w:rsidRDefault="00871D37" w:rsidP="003F1810">
      <w:pPr>
        <w:spacing w:line="276" w:lineRule="auto"/>
        <w:rPr>
          <w:rFonts w:cs="Tahoma"/>
          <w:b/>
          <w:spacing w:val="-6"/>
          <w:sz w:val="24"/>
          <w:szCs w:val="24"/>
        </w:rPr>
      </w:pPr>
    </w:p>
    <w:p w14:paraId="6C60E062" w14:textId="5C7A3E46" w:rsidR="00871D37" w:rsidRPr="003F1810" w:rsidRDefault="000346BC" w:rsidP="003F1810">
      <w:pPr>
        <w:spacing w:line="276" w:lineRule="auto"/>
        <w:rPr>
          <w:rFonts w:eastAsia="Batang" w:cs="Tahoma"/>
          <w:sz w:val="24"/>
          <w:szCs w:val="24"/>
        </w:rPr>
      </w:pPr>
      <w:r w:rsidRPr="003F1810">
        <w:rPr>
          <w:rFonts w:cs="Tahoma"/>
          <w:b/>
          <w:spacing w:val="-6"/>
          <w:sz w:val="24"/>
          <w:szCs w:val="24"/>
        </w:rPr>
        <w:t>PRIMERO</w:t>
      </w:r>
      <w:r w:rsidR="00871D37" w:rsidRPr="003F1810">
        <w:rPr>
          <w:rFonts w:cs="Tahoma"/>
          <w:b/>
          <w:spacing w:val="-6"/>
          <w:sz w:val="24"/>
          <w:szCs w:val="24"/>
        </w:rPr>
        <w:t xml:space="preserve">: </w:t>
      </w:r>
      <w:r w:rsidR="00871D37" w:rsidRPr="003F1810">
        <w:rPr>
          <w:rFonts w:eastAsia="Batang" w:cs="Tahoma"/>
          <w:b/>
          <w:sz w:val="24"/>
          <w:szCs w:val="24"/>
        </w:rPr>
        <w:t>SE DECLARA FUNDADA</w:t>
      </w:r>
      <w:r w:rsidR="00871D37" w:rsidRPr="003F1810">
        <w:rPr>
          <w:rFonts w:eastAsia="Batang" w:cs="Tahoma"/>
          <w:sz w:val="24"/>
          <w:szCs w:val="24"/>
        </w:rPr>
        <w:t xml:space="preserve"> la causal de revisión invocada por </w:t>
      </w:r>
      <w:r w:rsidRPr="003F1810">
        <w:rPr>
          <w:rFonts w:eastAsia="Batang" w:cs="Tahoma"/>
          <w:sz w:val="24"/>
          <w:szCs w:val="24"/>
        </w:rPr>
        <w:t xml:space="preserve">la agente del Ministerio Público en </w:t>
      </w:r>
      <w:r w:rsidR="00871D37" w:rsidRPr="003F1810">
        <w:rPr>
          <w:rFonts w:eastAsia="Batang" w:cs="Tahoma"/>
          <w:sz w:val="24"/>
          <w:szCs w:val="24"/>
        </w:rPr>
        <w:t xml:space="preserve">contra </w:t>
      </w:r>
      <w:r w:rsidR="00443BE1" w:rsidRPr="003F1810">
        <w:rPr>
          <w:rFonts w:eastAsia="Batang" w:cs="Tahoma"/>
          <w:sz w:val="24"/>
          <w:szCs w:val="24"/>
        </w:rPr>
        <w:t xml:space="preserve">de </w:t>
      </w:r>
      <w:r w:rsidR="00871D37" w:rsidRPr="003F1810">
        <w:rPr>
          <w:rFonts w:eastAsia="Batang" w:cs="Tahoma"/>
          <w:sz w:val="24"/>
          <w:szCs w:val="24"/>
        </w:rPr>
        <w:t xml:space="preserve">la sentencia de </w:t>
      </w:r>
      <w:r w:rsidRPr="003F1810">
        <w:rPr>
          <w:rFonts w:eastAsia="Batang" w:cs="Tahoma"/>
          <w:sz w:val="24"/>
          <w:szCs w:val="24"/>
        </w:rPr>
        <w:t xml:space="preserve">julio 11 de 2022 </w:t>
      </w:r>
      <w:r w:rsidR="005C1C46" w:rsidRPr="003F1810">
        <w:rPr>
          <w:rFonts w:eastAsia="Batang" w:cs="Tahoma"/>
          <w:sz w:val="24"/>
          <w:szCs w:val="24"/>
        </w:rPr>
        <w:t>dictada</w:t>
      </w:r>
      <w:r w:rsidRPr="003F1810">
        <w:rPr>
          <w:rFonts w:eastAsia="Batang" w:cs="Tahoma"/>
          <w:sz w:val="24"/>
          <w:szCs w:val="24"/>
        </w:rPr>
        <w:t xml:space="preserve"> </w:t>
      </w:r>
      <w:r w:rsidR="00871D37" w:rsidRPr="003F1810">
        <w:rPr>
          <w:rFonts w:eastAsia="Batang" w:cs="Tahoma"/>
          <w:sz w:val="24"/>
          <w:szCs w:val="24"/>
        </w:rPr>
        <w:t xml:space="preserve">por </w:t>
      </w:r>
      <w:r w:rsidRPr="003F1810">
        <w:rPr>
          <w:rFonts w:eastAsia="Batang" w:cs="Tahoma"/>
          <w:sz w:val="24"/>
          <w:szCs w:val="24"/>
        </w:rPr>
        <w:t>e</w:t>
      </w:r>
      <w:r w:rsidR="00871D37" w:rsidRPr="003F1810">
        <w:rPr>
          <w:rFonts w:eastAsia="Batang" w:cs="Tahoma"/>
          <w:sz w:val="24"/>
          <w:szCs w:val="24"/>
        </w:rPr>
        <w:t>l Juzgado</w:t>
      </w:r>
      <w:r w:rsidRPr="003F1810">
        <w:rPr>
          <w:rFonts w:eastAsia="Batang" w:cs="Tahoma"/>
          <w:sz w:val="24"/>
          <w:szCs w:val="24"/>
        </w:rPr>
        <w:t xml:space="preserve"> Primero Penal del Circuito Especializado de </w:t>
      </w:r>
      <w:r w:rsidR="00871D37" w:rsidRPr="003F1810">
        <w:rPr>
          <w:rFonts w:eastAsia="Batang" w:cs="Tahoma"/>
          <w:sz w:val="24"/>
          <w:szCs w:val="24"/>
        </w:rPr>
        <w:t>esta capital</w:t>
      </w:r>
      <w:r w:rsidR="00443BE1" w:rsidRPr="003F1810">
        <w:rPr>
          <w:rFonts w:eastAsia="Batang" w:cs="Tahoma"/>
          <w:sz w:val="24"/>
          <w:szCs w:val="24"/>
        </w:rPr>
        <w:t xml:space="preserve">, por la cual se declaró penalmente responsable al señor </w:t>
      </w:r>
      <w:proofErr w:type="spellStart"/>
      <w:r w:rsidR="005553FE">
        <w:rPr>
          <w:rFonts w:eastAsia="Batang" w:cs="Tahoma"/>
          <w:b/>
          <w:sz w:val="24"/>
          <w:szCs w:val="24"/>
        </w:rPr>
        <w:t>JFGS</w:t>
      </w:r>
      <w:proofErr w:type="spellEnd"/>
      <w:r w:rsidR="00443BE1" w:rsidRPr="003F1810">
        <w:rPr>
          <w:rFonts w:eastAsia="Batang" w:cs="Tahoma"/>
          <w:sz w:val="24"/>
          <w:szCs w:val="24"/>
        </w:rPr>
        <w:t xml:space="preserve"> como autor de los ilícitos </w:t>
      </w:r>
      <w:r w:rsidR="00443BE1" w:rsidRPr="003F1810">
        <w:rPr>
          <w:rFonts w:cs="Tahoma"/>
          <w:sz w:val="24"/>
          <w:szCs w:val="24"/>
        </w:rPr>
        <w:t>fabricación, tráfico y porte de armas, municiones de uso restringido, de uso privativo de las fuerzas armadas o explosivos y fuga de presos</w:t>
      </w:r>
      <w:r w:rsidRPr="003F1810">
        <w:rPr>
          <w:rFonts w:eastAsia="Batang" w:cs="Tahoma"/>
          <w:sz w:val="24"/>
          <w:szCs w:val="24"/>
        </w:rPr>
        <w:t>.</w:t>
      </w:r>
    </w:p>
    <w:p w14:paraId="5B8CF4D4" w14:textId="77777777" w:rsidR="00871D37" w:rsidRPr="003F1810" w:rsidRDefault="00871D37" w:rsidP="003F1810">
      <w:pPr>
        <w:spacing w:line="276" w:lineRule="auto"/>
        <w:rPr>
          <w:rFonts w:cs="Tahoma"/>
          <w:spacing w:val="-6"/>
          <w:sz w:val="24"/>
          <w:szCs w:val="24"/>
        </w:rPr>
      </w:pPr>
    </w:p>
    <w:p w14:paraId="49995224" w14:textId="3CFDC6E9" w:rsidR="00443BE1" w:rsidRPr="003F1810" w:rsidRDefault="00443BE1" w:rsidP="003F1810">
      <w:pPr>
        <w:spacing w:line="276" w:lineRule="auto"/>
        <w:rPr>
          <w:rFonts w:eastAsia="Batang" w:cs="Tahoma"/>
          <w:sz w:val="24"/>
          <w:szCs w:val="24"/>
        </w:rPr>
      </w:pPr>
      <w:r w:rsidRPr="003F1810">
        <w:rPr>
          <w:rFonts w:cs="Tahoma"/>
          <w:b/>
          <w:spacing w:val="-6"/>
          <w:sz w:val="24"/>
          <w:szCs w:val="24"/>
        </w:rPr>
        <w:t>SEGUNDO</w:t>
      </w:r>
      <w:r w:rsidR="00871D37" w:rsidRPr="003F1810">
        <w:rPr>
          <w:rFonts w:cs="Tahoma"/>
          <w:b/>
          <w:spacing w:val="-6"/>
          <w:sz w:val="24"/>
          <w:szCs w:val="24"/>
        </w:rPr>
        <w:t xml:space="preserve">: </w:t>
      </w:r>
      <w:r w:rsidRPr="003F1810">
        <w:rPr>
          <w:rFonts w:eastAsia="Batang" w:cs="Tahoma"/>
          <w:sz w:val="24"/>
          <w:szCs w:val="24"/>
        </w:rPr>
        <w:t xml:space="preserve">Como consecuencia de lo anterior, se </w:t>
      </w:r>
      <w:r w:rsidRPr="003F1810">
        <w:rPr>
          <w:rFonts w:eastAsia="Batang" w:cs="Tahoma"/>
          <w:b/>
          <w:sz w:val="24"/>
          <w:szCs w:val="24"/>
        </w:rPr>
        <w:t>DEJARÁ SIN EFECTOS</w:t>
      </w:r>
      <w:r w:rsidRPr="003F1810">
        <w:rPr>
          <w:rFonts w:eastAsia="Batang" w:cs="Tahoma"/>
          <w:sz w:val="24"/>
          <w:szCs w:val="24"/>
        </w:rPr>
        <w:t xml:space="preserve">, el contenido de la sentencia de julio 11 de 2022 por medio del cual el Juzgado Primero Penal del Circuito Especializado condenó al señor </w:t>
      </w:r>
      <w:proofErr w:type="spellStart"/>
      <w:r w:rsidR="005553FE">
        <w:rPr>
          <w:rFonts w:eastAsia="Batang" w:cs="Tahoma"/>
          <w:b/>
          <w:sz w:val="24"/>
          <w:szCs w:val="24"/>
        </w:rPr>
        <w:t>JFGS</w:t>
      </w:r>
      <w:proofErr w:type="spellEnd"/>
      <w:r w:rsidR="000346BC" w:rsidRPr="003F1810">
        <w:rPr>
          <w:rFonts w:eastAsia="Batang" w:cs="Tahoma"/>
          <w:sz w:val="24"/>
          <w:szCs w:val="24"/>
        </w:rPr>
        <w:t xml:space="preserve"> </w:t>
      </w:r>
      <w:r w:rsidRPr="003F1810">
        <w:rPr>
          <w:rFonts w:eastAsia="Batang" w:cs="Tahoma"/>
          <w:sz w:val="24"/>
          <w:szCs w:val="24"/>
        </w:rPr>
        <w:t xml:space="preserve">por los delitos de </w:t>
      </w:r>
      <w:r w:rsidRPr="003F1810">
        <w:rPr>
          <w:rFonts w:cs="Tahoma"/>
          <w:sz w:val="24"/>
          <w:szCs w:val="24"/>
        </w:rPr>
        <w:t xml:space="preserve">fabricación, </w:t>
      </w:r>
      <w:r w:rsidRPr="003F1810">
        <w:rPr>
          <w:rFonts w:cs="Tahoma"/>
          <w:sz w:val="24"/>
          <w:szCs w:val="24"/>
        </w:rPr>
        <w:lastRenderedPageBreak/>
        <w:t>tráfico y porte de armas, municiones de uso restringido, de uso privativo de las fuerzas armadas o explosivos y fuga de presos</w:t>
      </w:r>
      <w:r w:rsidRPr="003F1810">
        <w:rPr>
          <w:rFonts w:eastAsia="Batang" w:cs="Tahoma"/>
          <w:sz w:val="24"/>
          <w:szCs w:val="24"/>
        </w:rPr>
        <w:t>.</w:t>
      </w:r>
    </w:p>
    <w:p w14:paraId="19F102DA" w14:textId="77777777" w:rsidR="00B26954" w:rsidRPr="003F1810" w:rsidRDefault="00B26954" w:rsidP="003F1810">
      <w:pPr>
        <w:spacing w:line="276" w:lineRule="auto"/>
        <w:rPr>
          <w:rFonts w:eastAsia="Batang" w:cs="Tahoma"/>
          <w:sz w:val="24"/>
          <w:szCs w:val="24"/>
        </w:rPr>
      </w:pPr>
    </w:p>
    <w:p w14:paraId="4E071B85" w14:textId="0844E5D8" w:rsidR="00000DAE" w:rsidRPr="003F1810" w:rsidRDefault="00B26954" w:rsidP="003F1810">
      <w:pPr>
        <w:spacing w:line="276" w:lineRule="auto"/>
        <w:rPr>
          <w:rFonts w:cs="Tahoma"/>
          <w:sz w:val="24"/>
          <w:szCs w:val="24"/>
        </w:rPr>
      </w:pPr>
      <w:r w:rsidRPr="003F1810">
        <w:rPr>
          <w:rFonts w:cs="Tahoma"/>
          <w:b/>
          <w:sz w:val="24"/>
          <w:szCs w:val="24"/>
        </w:rPr>
        <w:t xml:space="preserve">TERCERO: </w:t>
      </w:r>
      <w:r w:rsidRPr="003F1810">
        <w:rPr>
          <w:rFonts w:cs="Tahoma"/>
          <w:sz w:val="24"/>
          <w:szCs w:val="24"/>
        </w:rPr>
        <w:t xml:space="preserve">En consecuencia, como sentencia de reemplazo, se </w:t>
      </w:r>
      <w:r w:rsidRPr="003F1810">
        <w:rPr>
          <w:rFonts w:cs="Tahoma"/>
          <w:b/>
          <w:sz w:val="24"/>
          <w:szCs w:val="24"/>
        </w:rPr>
        <w:t>DECLARA</w:t>
      </w:r>
      <w:r w:rsidRPr="003F1810">
        <w:rPr>
          <w:rFonts w:cs="Tahoma"/>
          <w:sz w:val="24"/>
          <w:szCs w:val="24"/>
        </w:rPr>
        <w:t xml:space="preserve"> </w:t>
      </w:r>
      <w:r w:rsidR="00026300" w:rsidRPr="003F1810">
        <w:rPr>
          <w:rFonts w:cs="Tahoma"/>
          <w:sz w:val="24"/>
          <w:szCs w:val="24"/>
        </w:rPr>
        <w:t xml:space="preserve">el compromiso </w:t>
      </w:r>
      <w:r w:rsidRPr="003F1810">
        <w:rPr>
          <w:rFonts w:cs="Tahoma"/>
          <w:sz w:val="24"/>
          <w:szCs w:val="24"/>
        </w:rPr>
        <w:t xml:space="preserve">penal del señor </w:t>
      </w:r>
      <w:proofErr w:type="spellStart"/>
      <w:r w:rsidR="005553FE">
        <w:rPr>
          <w:rFonts w:cs="Tahoma"/>
          <w:b/>
          <w:sz w:val="24"/>
          <w:szCs w:val="24"/>
        </w:rPr>
        <w:t>JFGS</w:t>
      </w:r>
      <w:proofErr w:type="spellEnd"/>
      <w:r w:rsidRPr="003F1810">
        <w:rPr>
          <w:rFonts w:cs="Tahoma"/>
          <w:sz w:val="24"/>
          <w:szCs w:val="24"/>
        </w:rPr>
        <w:t xml:space="preserve">, como </w:t>
      </w:r>
      <w:r w:rsidR="00164603" w:rsidRPr="003F1810">
        <w:rPr>
          <w:rFonts w:cs="Tahoma"/>
          <w:sz w:val="24"/>
          <w:szCs w:val="24"/>
        </w:rPr>
        <w:t xml:space="preserve">autor responsable a título de dolo de los delitos de fabricación, tráfico y porte de armas de fuego o municiones -art. 365 C.P.-, en concurso heterogéneo con la conducta de fuga de presos -art. 448 C.P.-, y como consecuencia del acuerdo pactado, se le impondrá una pena de </w:t>
      </w:r>
      <w:r w:rsidR="00164603" w:rsidRPr="003F1810">
        <w:rPr>
          <w:rFonts w:cs="Tahoma"/>
          <w:b/>
          <w:sz w:val="24"/>
          <w:szCs w:val="24"/>
        </w:rPr>
        <w:t>sesenta y tres (63) meses de prisión</w:t>
      </w:r>
      <w:r w:rsidR="00164603" w:rsidRPr="003F1810">
        <w:rPr>
          <w:rFonts w:cs="Tahoma"/>
          <w:sz w:val="24"/>
          <w:szCs w:val="24"/>
        </w:rPr>
        <w:t xml:space="preserve">, </w:t>
      </w:r>
      <w:r w:rsidR="00F06CFE" w:rsidRPr="003F1810">
        <w:rPr>
          <w:rFonts w:cs="Tahoma"/>
          <w:sz w:val="24"/>
          <w:szCs w:val="24"/>
        </w:rPr>
        <w:t xml:space="preserve">así como </w:t>
      </w:r>
      <w:r w:rsidR="00164603" w:rsidRPr="003F1810">
        <w:rPr>
          <w:rFonts w:cs="Tahoma"/>
          <w:sz w:val="24"/>
          <w:szCs w:val="24"/>
        </w:rPr>
        <w:t xml:space="preserve">la inhabilitación en el ejercicio de derechos y funciones públicas, por el mismo lapso y </w:t>
      </w:r>
      <w:r w:rsidR="00F22354" w:rsidRPr="003F1810">
        <w:rPr>
          <w:rFonts w:cs="Tahoma"/>
          <w:sz w:val="24"/>
          <w:szCs w:val="24"/>
        </w:rPr>
        <w:t xml:space="preserve">la </w:t>
      </w:r>
      <w:r w:rsidR="00164603" w:rsidRPr="003F1810">
        <w:rPr>
          <w:rFonts w:cs="Tahoma"/>
          <w:sz w:val="24"/>
          <w:szCs w:val="24"/>
        </w:rPr>
        <w:t>privación del derecho de tenencia y porte de armas de fuego</w:t>
      </w:r>
      <w:r w:rsidR="00F22354" w:rsidRPr="003F1810">
        <w:rPr>
          <w:rFonts w:cs="Tahoma"/>
          <w:sz w:val="24"/>
          <w:szCs w:val="24"/>
        </w:rPr>
        <w:t>, por un período de seis (6) meses.</w:t>
      </w:r>
      <w:r w:rsidR="00000DAE" w:rsidRPr="003F1810">
        <w:rPr>
          <w:rFonts w:cs="Tahoma"/>
          <w:sz w:val="24"/>
          <w:szCs w:val="24"/>
        </w:rPr>
        <w:t xml:space="preserve"> </w:t>
      </w:r>
      <w:r w:rsidR="00F06CFE" w:rsidRPr="003F1810">
        <w:rPr>
          <w:rFonts w:cs="Tahoma"/>
          <w:sz w:val="24"/>
          <w:szCs w:val="24"/>
        </w:rPr>
        <w:t>De igual manera</w:t>
      </w:r>
      <w:r w:rsidR="00000DAE" w:rsidRPr="003F1810">
        <w:rPr>
          <w:rFonts w:cs="Tahoma"/>
          <w:sz w:val="24"/>
          <w:szCs w:val="24"/>
        </w:rPr>
        <w:t>, se ordena el comiso del arma junto con la munición y proveedores incautados.</w:t>
      </w:r>
    </w:p>
    <w:p w14:paraId="01B78B3F" w14:textId="77777777" w:rsidR="00F06CFE" w:rsidRPr="003F1810" w:rsidRDefault="00F06CFE" w:rsidP="003F1810">
      <w:pPr>
        <w:spacing w:line="276" w:lineRule="auto"/>
        <w:rPr>
          <w:rFonts w:cs="Tahoma"/>
          <w:sz w:val="24"/>
          <w:szCs w:val="24"/>
        </w:rPr>
      </w:pPr>
    </w:p>
    <w:p w14:paraId="79659FC3" w14:textId="61DA489A" w:rsidR="00871D37" w:rsidRPr="003F1810" w:rsidRDefault="00871D37" w:rsidP="003F1810">
      <w:pPr>
        <w:spacing w:line="276" w:lineRule="auto"/>
        <w:rPr>
          <w:rFonts w:eastAsia="Batang" w:cs="Tahoma"/>
          <w:sz w:val="24"/>
          <w:szCs w:val="24"/>
        </w:rPr>
      </w:pPr>
      <w:r w:rsidRPr="003F1810">
        <w:rPr>
          <w:rFonts w:eastAsia="Batang" w:cs="Tahoma"/>
          <w:b/>
          <w:sz w:val="24"/>
          <w:szCs w:val="24"/>
        </w:rPr>
        <w:t>CUARTO:</w:t>
      </w:r>
      <w:r w:rsidRPr="003F1810">
        <w:rPr>
          <w:rFonts w:eastAsia="Batang" w:cs="Tahoma"/>
          <w:sz w:val="24"/>
          <w:szCs w:val="24"/>
        </w:rPr>
        <w:t xml:space="preserve"> Se ordena que por parte del Juzgado Primero </w:t>
      </w:r>
      <w:r w:rsidR="00DC461A" w:rsidRPr="003F1810">
        <w:rPr>
          <w:rFonts w:eastAsia="Batang" w:cs="Tahoma"/>
          <w:sz w:val="24"/>
          <w:szCs w:val="24"/>
        </w:rPr>
        <w:t xml:space="preserve">Penal del Circuito </w:t>
      </w:r>
      <w:r w:rsidR="00847879" w:rsidRPr="003F1810">
        <w:rPr>
          <w:rFonts w:eastAsia="Batang" w:cs="Tahoma"/>
          <w:sz w:val="24"/>
          <w:szCs w:val="24"/>
        </w:rPr>
        <w:t xml:space="preserve">Especializado </w:t>
      </w:r>
      <w:r w:rsidR="00DC461A" w:rsidRPr="003F1810">
        <w:rPr>
          <w:rFonts w:eastAsia="Batang" w:cs="Tahoma"/>
          <w:sz w:val="24"/>
          <w:szCs w:val="24"/>
        </w:rPr>
        <w:t>de Pereira</w:t>
      </w:r>
      <w:r w:rsidRPr="003F1810">
        <w:rPr>
          <w:rFonts w:eastAsia="Batang" w:cs="Tahoma"/>
          <w:sz w:val="24"/>
          <w:szCs w:val="24"/>
        </w:rPr>
        <w:t xml:space="preserve"> se proceda a librar las comunicaciones </w:t>
      </w:r>
      <w:r w:rsidR="00BE605D" w:rsidRPr="003F1810">
        <w:rPr>
          <w:rFonts w:eastAsia="Batang" w:cs="Tahoma"/>
          <w:sz w:val="24"/>
          <w:szCs w:val="24"/>
        </w:rPr>
        <w:t>pertinentes ante</w:t>
      </w:r>
      <w:r w:rsidR="007F6195" w:rsidRPr="003F1810">
        <w:rPr>
          <w:rFonts w:eastAsia="Batang" w:cs="Tahoma"/>
          <w:sz w:val="24"/>
          <w:szCs w:val="24"/>
        </w:rPr>
        <w:t xml:space="preserve"> </w:t>
      </w:r>
      <w:r w:rsidR="00847879" w:rsidRPr="003F1810">
        <w:rPr>
          <w:rFonts w:eastAsia="Batang" w:cs="Tahoma"/>
          <w:sz w:val="24"/>
          <w:szCs w:val="24"/>
        </w:rPr>
        <w:t>el Juzgado encargado de la vigilancia</w:t>
      </w:r>
      <w:r w:rsidR="007F6195" w:rsidRPr="003F1810">
        <w:rPr>
          <w:rFonts w:eastAsia="Batang" w:cs="Tahoma"/>
          <w:sz w:val="24"/>
          <w:szCs w:val="24"/>
        </w:rPr>
        <w:t xml:space="preserve"> de la pena</w:t>
      </w:r>
      <w:r w:rsidR="00847879" w:rsidRPr="003F1810">
        <w:rPr>
          <w:rFonts w:eastAsia="Batang" w:cs="Tahoma"/>
          <w:sz w:val="24"/>
          <w:szCs w:val="24"/>
        </w:rPr>
        <w:t xml:space="preserve">, </w:t>
      </w:r>
      <w:r w:rsidR="00BA4A9C" w:rsidRPr="003F1810">
        <w:rPr>
          <w:rFonts w:eastAsia="Batang" w:cs="Tahoma"/>
          <w:sz w:val="24"/>
          <w:szCs w:val="24"/>
        </w:rPr>
        <w:t xml:space="preserve">el centro carcelario donde se encuentra privado de su libertad el señor </w:t>
      </w:r>
      <w:proofErr w:type="spellStart"/>
      <w:r w:rsidR="005553FE">
        <w:rPr>
          <w:rFonts w:eastAsia="Batang" w:cs="Tahoma"/>
          <w:b/>
          <w:sz w:val="24"/>
          <w:szCs w:val="24"/>
        </w:rPr>
        <w:t>JFGS</w:t>
      </w:r>
      <w:proofErr w:type="spellEnd"/>
      <w:r w:rsidR="007F6195" w:rsidRPr="003F1810">
        <w:rPr>
          <w:rFonts w:eastAsia="Batang" w:cs="Tahoma"/>
          <w:b/>
          <w:sz w:val="24"/>
          <w:szCs w:val="24"/>
        </w:rPr>
        <w:t xml:space="preserve">, </w:t>
      </w:r>
      <w:r w:rsidR="007F6195" w:rsidRPr="003F1810">
        <w:rPr>
          <w:rFonts w:eastAsia="Batang" w:cs="Tahoma"/>
          <w:sz w:val="24"/>
          <w:szCs w:val="24"/>
        </w:rPr>
        <w:t>y las respectivas bases de datos</w:t>
      </w:r>
      <w:r w:rsidRPr="003F1810">
        <w:rPr>
          <w:rFonts w:eastAsia="Batang" w:cs="Tahoma"/>
          <w:sz w:val="24"/>
          <w:szCs w:val="24"/>
        </w:rPr>
        <w:t xml:space="preserve"> </w:t>
      </w:r>
      <w:proofErr w:type="gramStart"/>
      <w:r w:rsidR="00342E9A" w:rsidRPr="003F1810">
        <w:rPr>
          <w:rFonts w:eastAsia="Batang" w:cs="Tahoma"/>
          <w:sz w:val="24"/>
          <w:szCs w:val="24"/>
        </w:rPr>
        <w:t>a fin que</w:t>
      </w:r>
      <w:proofErr w:type="gramEnd"/>
      <w:r w:rsidR="00342E9A" w:rsidRPr="003F1810">
        <w:rPr>
          <w:rFonts w:eastAsia="Batang" w:cs="Tahoma"/>
          <w:sz w:val="24"/>
          <w:szCs w:val="24"/>
        </w:rPr>
        <w:t xml:space="preserve"> </w:t>
      </w:r>
      <w:r w:rsidRPr="003F1810">
        <w:rPr>
          <w:rFonts w:eastAsia="Batang" w:cs="Tahoma"/>
          <w:sz w:val="24"/>
          <w:szCs w:val="24"/>
        </w:rPr>
        <w:t>se realicen las anotaciones a que hubiere lugar.</w:t>
      </w:r>
    </w:p>
    <w:p w14:paraId="4AAEFEAB" w14:textId="77777777" w:rsidR="007F6195" w:rsidRPr="003F1810" w:rsidRDefault="007F6195" w:rsidP="003F1810">
      <w:pPr>
        <w:spacing w:line="276" w:lineRule="auto"/>
        <w:rPr>
          <w:rFonts w:cs="Tahoma"/>
          <w:b/>
          <w:spacing w:val="-6"/>
          <w:sz w:val="24"/>
          <w:szCs w:val="24"/>
        </w:rPr>
      </w:pPr>
    </w:p>
    <w:p w14:paraId="366CB638" w14:textId="77777777" w:rsidR="007F6195" w:rsidRPr="003F1810" w:rsidRDefault="007F6195" w:rsidP="003F1810">
      <w:pPr>
        <w:pStyle w:val="Profesin"/>
        <w:spacing w:line="276" w:lineRule="auto"/>
        <w:jc w:val="both"/>
        <w:rPr>
          <w:rFonts w:ascii="Tahoma" w:hAnsi="Tahoma" w:cs="Tahoma"/>
          <w:b w:val="0"/>
          <w:spacing w:val="2"/>
          <w:position w:val="2"/>
          <w:sz w:val="24"/>
          <w:szCs w:val="24"/>
          <w:lang w:val="es-ES" w:eastAsia="es-MX"/>
        </w:rPr>
      </w:pPr>
      <w:r w:rsidRPr="003F1810">
        <w:rPr>
          <w:rFonts w:ascii="Tahoma" w:hAnsi="Tahoma" w:cs="Tahoma"/>
          <w:spacing w:val="2"/>
          <w:position w:val="2"/>
          <w:sz w:val="24"/>
          <w:szCs w:val="24"/>
          <w:lang w:val="es-ES" w:eastAsia="es-MX"/>
        </w:rPr>
        <w:t xml:space="preserve">QUINTO: </w:t>
      </w:r>
      <w:r w:rsidRPr="003F1810">
        <w:rPr>
          <w:rFonts w:ascii="Tahoma" w:hAnsi="Tahoma" w:cs="Tahoma"/>
          <w:b w:val="0"/>
          <w:spacing w:val="2"/>
          <w:position w:val="2"/>
          <w:sz w:val="24"/>
          <w:szCs w:val="24"/>
          <w:lang w:val="es-ES" w:eastAsia="es-MX"/>
        </w:rPr>
        <w:t>En atención a lo dispuesto por el Consejo Superior de la Judicatura en el artículo 4º del Acuerdo PCSJA20-11518 del 16 de marzo de 2020, la Circular CSJRIC20-75 expedida por el Consejo Seccional de la Judicatura de Risaralda, y la Ley 2213 de junio 13 de 2022, no se realizará audiencia de lectura de esta sentencia, y por ende se notificará por la Secretaría de la Sala vía correo electrónico a las partes e intervinientes.</w:t>
      </w:r>
    </w:p>
    <w:p w14:paraId="039762DB" w14:textId="77777777" w:rsidR="007F6195" w:rsidRPr="003F1810" w:rsidRDefault="007F6195" w:rsidP="003F1810">
      <w:pPr>
        <w:pStyle w:val="Profesin"/>
        <w:spacing w:line="276" w:lineRule="auto"/>
        <w:jc w:val="both"/>
        <w:rPr>
          <w:rFonts w:ascii="Tahoma" w:hAnsi="Tahoma" w:cs="Tahoma"/>
          <w:b w:val="0"/>
          <w:spacing w:val="2"/>
          <w:position w:val="2"/>
          <w:sz w:val="24"/>
          <w:szCs w:val="24"/>
          <w:lang w:val="es-ES" w:eastAsia="es-MX"/>
        </w:rPr>
      </w:pPr>
    </w:p>
    <w:p w14:paraId="61B81D3C" w14:textId="77777777" w:rsidR="00871D37" w:rsidRPr="003F1810" w:rsidRDefault="007F6195" w:rsidP="003F1810">
      <w:pPr>
        <w:pStyle w:val="Profesin"/>
        <w:spacing w:line="276" w:lineRule="auto"/>
        <w:jc w:val="both"/>
        <w:rPr>
          <w:rFonts w:ascii="Tahoma" w:hAnsi="Tahoma" w:cs="Tahoma"/>
          <w:b w:val="0"/>
          <w:spacing w:val="2"/>
          <w:position w:val="2"/>
          <w:sz w:val="24"/>
          <w:szCs w:val="24"/>
          <w:lang w:val="es-ES" w:eastAsia="es-MX"/>
        </w:rPr>
      </w:pPr>
      <w:r w:rsidRPr="003F1810">
        <w:rPr>
          <w:rFonts w:ascii="Tahoma" w:hAnsi="Tahoma" w:cs="Tahoma"/>
          <w:spacing w:val="2"/>
          <w:position w:val="2"/>
          <w:sz w:val="24"/>
          <w:szCs w:val="24"/>
          <w:lang w:val="es-ES" w:eastAsia="es-MX"/>
        </w:rPr>
        <w:t>SEXTO:</w:t>
      </w:r>
      <w:r w:rsidRPr="003F1810">
        <w:rPr>
          <w:rFonts w:ascii="Tahoma" w:hAnsi="Tahoma" w:cs="Tahoma"/>
          <w:b w:val="0"/>
          <w:spacing w:val="2"/>
          <w:position w:val="2"/>
          <w:sz w:val="24"/>
          <w:szCs w:val="24"/>
          <w:lang w:val="es-ES" w:eastAsia="es-MX"/>
        </w:rPr>
        <w:t xml:space="preserve"> Contra la presente sentencia no </w:t>
      </w:r>
      <w:r w:rsidR="001416E9" w:rsidRPr="003F1810">
        <w:rPr>
          <w:rFonts w:ascii="Tahoma" w:hAnsi="Tahoma" w:cs="Tahoma"/>
          <w:b w:val="0"/>
          <w:spacing w:val="2"/>
          <w:position w:val="2"/>
          <w:sz w:val="24"/>
          <w:szCs w:val="24"/>
          <w:lang w:val="es-ES" w:eastAsia="es-MX"/>
        </w:rPr>
        <w:t>procede recurso</w:t>
      </w:r>
      <w:r w:rsidRPr="003F1810">
        <w:rPr>
          <w:rFonts w:ascii="Tahoma" w:hAnsi="Tahoma" w:cs="Tahoma"/>
          <w:b w:val="0"/>
          <w:spacing w:val="2"/>
          <w:position w:val="2"/>
          <w:sz w:val="24"/>
          <w:szCs w:val="24"/>
          <w:lang w:val="es-ES" w:eastAsia="es-MX"/>
        </w:rPr>
        <w:t xml:space="preserve"> alguno </w:t>
      </w:r>
      <w:r w:rsidR="00871D37" w:rsidRPr="003F1810">
        <w:rPr>
          <w:rFonts w:ascii="Tahoma" w:hAnsi="Tahoma" w:cs="Tahoma"/>
          <w:b w:val="0"/>
          <w:spacing w:val="2"/>
          <w:position w:val="2"/>
          <w:sz w:val="24"/>
          <w:szCs w:val="24"/>
          <w:lang w:val="es-ES" w:eastAsia="es-MX"/>
        </w:rPr>
        <w:t xml:space="preserve">por tratarse de una </w:t>
      </w:r>
      <w:r w:rsidRPr="003F1810">
        <w:rPr>
          <w:rFonts w:ascii="Tahoma" w:hAnsi="Tahoma" w:cs="Tahoma"/>
          <w:b w:val="0"/>
          <w:spacing w:val="2"/>
          <w:position w:val="2"/>
          <w:sz w:val="24"/>
          <w:szCs w:val="24"/>
          <w:lang w:val="es-ES" w:eastAsia="es-MX"/>
        </w:rPr>
        <w:t xml:space="preserve">determinación </w:t>
      </w:r>
      <w:r w:rsidR="00871D37" w:rsidRPr="003F1810">
        <w:rPr>
          <w:rFonts w:ascii="Tahoma" w:hAnsi="Tahoma" w:cs="Tahoma"/>
          <w:b w:val="0"/>
          <w:spacing w:val="2"/>
          <w:position w:val="2"/>
          <w:sz w:val="24"/>
          <w:szCs w:val="24"/>
          <w:lang w:val="es-ES" w:eastAsia="es-MX"/>
        </w:rPr>
        <w:t>de única instancia.</w:t>
      </w:r>
    </w:p>
    <w:p w14:paraId="40F20539" w14:textId="77777777" w:rsidR="003F1810" w:rsidRPr="003F1810" w:rsidRDefault="003F1810" w:rsidP="003F1810">
      <w:pPr>
        <w:spacing w:line="276" w:lineRule="auto"/>
        <w:rPr>
          <w:rFonts w:eastAsia="SimSun" w:cs="Tahoma"/>
          <w:position w:val="-6"/>
          <w:sz w:val="24"/>
          <w:szCs w:val="24"/>
        </w:rPr>
      </w:pPr>
      <w:bookmarkStart w:id="5" w:name="_Hlk139017540"/>
    </w:p>
    <w:p w14:paraId="1FBF1FF8" w14:textId="77777777" w:rsidR="003F1810" w:rsidRPr="003F1810" w:rsidRDefault="003F1810" w:rsidP="003F1810">
      <w:pPr>
        <w:spacing w:line="276" w:lineRule="auto"/>
        <w:rPr>
          <w:rFonts w:ascii="Algerian" w:hAnsi="Algerian" w:cs="Tahoma"/>
          <w:sz w:val="30"/>
          <w:szCs w:val="20"/>
        </w:rPr>
      </w:pPr>
      <w:r w:rsidRPr="003F1810">
        <w:rPr>
          <w:rFonts w:ascii="Algerian" w:hAnsi="Algerian" w:cs="Tahoma"/>
          <w:sz w:val="30"/>
          <w:szCs w:val="20"/>
        </w:rPr>
        <w:t>NOTIFÍQUESE Y CÚMPLASE</w:t>
      </w:r>
    </w:p>
    <w:p w14:paraId="0DBAD34A" w14:textId="77777777" w:rsidR="003F1810" w:rsidRPr="003F1810" w:rsidRDefault="003F1810" w:rsidP="003F1810">
      <w:pPr>
        <w:spacing w:line="276" w:lineRule="auto"/>
        <w:rPr>
          <w:rFonts w:cs="Tahoma"/>
          <w:position w:val="-6"/>
          <w:sz w:val="24"/>
          <w:szCs w:val="24"/>
        </w:rPr>
      </w:pPr>
    </w:p>
    <w:p w14:paraId="53486CF0" w14:textId="77777777" w:rsidR="003F1810" w:rsidRPr="003F1810" w:rsidRDefault="003F1810" w:rsidP="003F1810">
      <w:pPr>
        <w:spacing w:line="276" w:lineRule="auto"/>
        <w:rPr>
          <w:rFonts w:cs="Tahoma"/>
          <w:position w:val="-6"/>
          <w:sz w:val="24"/>
          <w:szCs w:val="24"/>
        </w:rPr>
      </w:pPr>
    </w:p>
    <w:p w14:paraId="1C8826BB" w14:textId="77777777" w:rsidR="003F1810" w:rsidRPr="003F1810" w:rsidRDefault="003F1810" w:rsidP="003F1810">
      <w:pPr>
        <w:spacing w:line="276" w:lineRule="auto"/>
        <w:jc w:val="center"/>
        <w:rPr>
          <w:rFonts w:cs="Tahoma"/>
          <w:b/>
          <w:position w:val="-4"/>
          <w:sz w:val="24"/>
          <w:szCs w:val="24"/>
          <w:lang w:val="es-ES_tradnl"/>
        </w:rPr>
      </w:pPr>
      <w:r w:rsidRPr="003F1810">
        <w:rPr>
          <w:rFonts w:cs="Tahoma"/>
          <w:b/>
          <w:position w:val="-4"/>
          <w:sz w:val="24"/>
          <w:szCs w:val="24"/>
          <w:lang w:val="es-ES_tradnl"/>
        </w:rPr>
        <w:t>CARLOS ALBERTO PAZ ZÚÑIGA</w:t>
      </w:r>
    </w:p>
    <w:p w14:paraId="2E428ADC" w14:textId="77777777" w:rsidR="003F1810" w:rsidRPr="003F1810" w:rsidRDefault="003F1810" w:rsidP="003F1810">
      <w:pPr>
        <w:spacing w:line="276" w:lineRule="auto"/>
        <w:jc w:val="center"/>
        <w:rPr>
          <w:rFonts w:cs="Tahoma"/>
          <w:position w:val="-4"/>
          <w:sz w:val="24"/>
          <w:szCs w:val="24"/>
          <w:lang w:val="es-ES_tradnl"/>
        </w:rPr>
      </w:pPr>
      <w:r w:rsidRPr="003F1810">
        <w:rPr>
          <w:rFonts w:cs="Tahoma"/>
          <w:position w:val="-4"/>
          <w:sz w:val="24"/>
          <w:szCs w:val="24"/>
          <w:lang w:val="es-ES_tradnl"/>
        </w:rPr>
        <w:t xml:space="preserve">Magistrado </w:t>
      </w:r>
    </w:p>
    <w:p w14:paraId="49D5D2DE" w14:textId="77777777" w:rsidR="003F1810" w:rsidRPr="003F1810" w:rsidRDefault="003F1810" w:rsidP="003F1810">
      <w:pPr>
        <w:spacing w:line="276" w:lineRule="auto"/>
        <w:rPr>
          <w:rFonts w:cs="Tahoma"/>
          <w:position w:val="-4"/>
          <w:sz w:val="24"/>
          <w:szCs w:val="24"/>
          <w:lang w:val="es-ES_tradnl"/>
        </w:rPr>
      </w:pPr>
    </w:p>
    <w:p w14:paraId="2B076A4A" w14:textId="77777777" w:rsidR="003F1810" w:rsidRPr="003F1810" w:rsidRDefault="003F1810" w:rsidP="003F1810">
      <w:pPr>
        <w:spacing w:line="276" w:lineRule="auto"/>
        <w:rPr>
          <w:rFonts w:cs="Tahoma"/>
          <w:position w:val="-4"/>
          <w:sz w:val="24"/>
          <w:szCs w:val="24"/>
          <w:lang w:val="es-ES_tradnl"/>
        </w:rPr>
      </w:pPr>
    </w:p>
    <w:p w14:paraId="53A6CD65" w14:textId="77777777" w:rsidR="003F1810" w:rsidRPr="003F1810" w:rsidRDefault="003F1810" w:rsidP="003F1810">
      <w:pPr>
        <w:spacing w:line="276" w:lineRule="auto"/>
        <w:jc w:val="center"/>
        <w:rPr>
          <w:rFonts w:cs="Tahoma"/>
          <w:b/>
          <w:position w:val="-4"/>
          <w:sz w:val="24"/>
          <w:szCs w:val="24"/>
          <w:lang w:val="es-ES_tradnl"/>
        </w:rPr>
      </w:pPr>
      <w:r w:rsidRPr="003F1810">
        <w:rPr>
          <w:rFonts w:cs="Tahoma"/>
          <w:b/>
          <w:position w:val="-4"/>
          <w:sz w:val="24"/>
          <w:szCs w:val="24"/>
          <w:lang w:val="es-ES_tradnl"/>
        </w:rPr>
        <w:t>JULIÁN RIVERA LOAIZA</w:t>
      </w:r>
    </w:p>
    <w:p w14:paraId="412272E8" w14:textId="77777777" w:rsidR="003F1810" w:rsidRPr="003F1810" w:rsidRDefault="003F1810" w:rsidP="003F1810">
      <w:pPr>
        <w:spacing w:line="276" w:lineRule="auto"/>
        <w:jc w:val="center"/>
        <w:rPr>
          <w:rFonts w:cs="Tahoma"/>
          <w:position w:val="-4"/>
          <w:sz w:val="24"/>
          <w:szCs w:val="24"/>
          <w:lang w:val="es-ES_tradnl"/>
        </w:rPr>
      </w:pPr>
      <w:r w:rsidRPr="003F1810">
        <w:rPr>
          <w:rFonts w:cs="Tahoma"/>
          <w:position w:val="-4"/>
          <w:sz w:val="24"/>
          <w:szCs w:val="24"/>
          <w:lang w:val="es-ES_tradnl"/>
        </w:rPr>
        <w:t xml:space="preserve">Magistrado </w:t>
      </w:r>
    </w:p>
    <w:p w14:paraId="619F189A" w14:textId="77777777" w:rsidR="003F1810" w:rsidRPr="003F1810" w:rsidRDefault="003F1810" w:rsidP="003F1810">
      <w:pPr>
        <w:spacing w:line="276" w:lineRule="auto"/>
        <w:rPr>
          <w:rFonts w:cs="Tahoma"/>
          <w:position w:val="-4"/>
          <w:sz w:val="24"/>
          <w:szCs w:val="24"/>
          <w:lang w:val="es-ES_tradnl"/>
        </w:rPr>
      </w:pPr>
    </w:p>
    <w:p w14:paraId="5354D029" w14:textId="77777777" w:rsidR="003F1810" w:rsidRPr="003F1810" w:rsidRDefault="003F1810" w:rsidP="003F1810">
      <w:pPr>
        <w:spacing w:line="276" w:lineRule="auto"/>
        <w:rPr>
          <w:rFonts w:cs="Tahoma"/>
          <w:position w:val="-4"/>
          <w:sz w:val="24"/>
          <w:szCs w:val="24"/>
          <w:lang w:val="es-ES_tradnl"/>
        </w:rPr>
      </w:pPr>
    </w:p>
    <w:bookmarkEnd w:id="5"/>
    <w:p w14:paraId="77C288D0" w14:textId="77777777" w:rsidR="003F1810" w:rsidRPr="003F1810" w:rsidRDefault="003F1810" w:rsidP="003F1810">
      <w:pPr>
        <w:spacing w:line="276" w:lineRule="auto"/>
        <w:jc w:val="center"/>
        <w:rPr>
          <w:rFonts w:cs="Tahoma"/>
          <w:b/>
          <w:position w:val="-4"/>
          <w:sz w:val="24"/>
          <w:szCs w:val="24"/>
          <w:lang w:val="es-ES_tradnl"/>
        </w:rPr>
      </w:pPr>
      <w:r w:rsidRPr="003F1810">
        <w:rPr>
          <w:rFonts w:cs="Tahoma"/>
          <w:b/>
          <w:position w:val="-4"/>
          <w:sz w:val="24"/>
          <w:szCs w:val="24"/>
          <w:lang w:val="es-ES_tradnl"/>
        </w:rPr>
        <w:t>JAIRO MAURICIO CARVAJAL BELTRÁN</w:t>
      </w:r>
    </w:p>
    <w:p w14:paraId="2397C5A4" w14:textId="192843F6" w:rsidR="003F1810" w:rsidRPr="003F1810" w:rsidRDefault="003F1810" w:rsidP="003F1810">
      <w:pPr>
        <w:spacing w:line="276" w:lineRule="auto"/>
        <w:jc w:val="center"/>
        <w:rPr>
          <w:rFonts w:cs="Tahoma"/>
          <w:sz w:val="24"/>
          <w:szCs w:val="24"/>
        </w:rPr>
      </w:pPr>
      <w:r w:rsidRPr="003F1810">
        <w:rPr>
          <w:rFonts w:cs="Tahoma"/>
          <w:spacing w:val="-4"/>
          <w:position w:val="-4"/>
          <w:sz w:val="24"/>
          <w:szCs w:val="24"/>
          <w:lang w:val="es-ES_tradnl"/>
        </w:rPr>
        <w:t>Magistrado</w:t>
      </w:r>
    </w:p>
    <w:sectPr w:rsidR="003F1810" w:rsidRPr="003F1810" w:rsidSect="003F1810">
      <w:headerReference w:type="default" r:id="rId8"/>
      <w:footerReference w:type="default" r:id="rId9"/>
      <w:pgSz w:w="12242" w:h="18722" w:code="258"/>
      <w:pgMar w:top="1871" w:right="1304" w:bottom="1304" w:left="187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46271" w14:textId="77777777" w:rsidR="00B30A26" w:rsidRDefault="00B30A26" w:rsidP="00871D37">
      <w:pPr>
        <w:spacing w:line="240" w:lineRule="auto"/>
      </w:pPr>
      <w:r>
        <w:separator/>
      </w:r>
    </w:p>
  </w:endnote>
  <w:endnote w:type="continuationSeparator" w:id="0">
    <w:p w14:paraId="29DF9663" w14:textId="77777777" w:rsidR="00B30A26" w:rsidRDefault="00B30A26" w:rsidP="0087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E7BF5" w14:textId="77777777" w:rsidR="00707925" w:rsidRPr="003F1810" w:rsidRDefault="00707925" w:rsidP="003F1810">
    <w:pPr>
      <w:pStyle w:val="Encabezado"/>
      <w:spacing w:line="240" w:lineRule="auto"/>
      <w:jc w:val="right"/>
      <w:rPr>
        <w:rFonts w:ascii="Arial" w:hAnsi="Arial" w:cs="Arial"/>
        <w:sz w:val="18"/>
        <w:szCs w:val="18"/>
      </w:rPr>
    </w:pPr>
    <w:r w:rsidRPr="003F1810">
      <w:rPr>
        <w:rFonts w:ascii="Arial" w:hAnsi="Arial" w:cs="Arial"/>
        <w:sz w:val="18"/>
        <w:szCs w:val="18"/>
      </w:rPr>
      <w:t xml:space="preserve">Página </w:t>
    </w:r>
    <w:r w:rsidRPr="003F1810">
      <w:rPr>
        <w:rFonts w:ascii="Arial" w:hAnsi="Arial" w:cs="Arial"/>
        <w:sz w:val="18"/>
        <w:szCs w:val="18"/>
      </w:rPr>
      <w:fldChar w:fldCharType="begin"/>
    </w:r>
    <w:r w:rsidRPr="003F1810">
      <w:rPr>
        <w:rFonts w:ascii="Arial" w:hAnsi="Arial" w:cs="Arial"/>
        <w:sz w:val="18"/>
        <w:szCs w:val="18"/>
      </w:rPr>
      <w:instrText xml:space="preserve"> PAGE </w:instrText>
    </w:r>
    <w:r w:rsidRPr="003F1810">
      <w:rPr>
        <w:rFonts w:ascii="Arial" w:hAnsi="Arial" w:cs="Arial"/>
        <w:sz w:val="18"/>
        <w:szCs w:val="18"/>
      </w:rPr>
      <w:fldChar w:fldCharType="separate"/>
    </w:r>
    <w:r w:rsidRPr="003F1810">
      <w:rPr>
        <w:rFonts w:ascii="Arial" w:hAnsi="Arial" w:cs="Arial"/>
        <w:sz w:val="18"/>
        <w:szCs w:val="18"/>
      </w:rPr>
      <w:t>21</w:t>
    </w:r>
    <w:r w:rsidRPr="003F1810">
      <w:rPr>
        <w:rFonts w:ascii="Arial" w:hAnsi="Arial" w:cs="Arial"/>
        <w:sz w:val="18"/>
        <w:szCs w:val="18"/>
      </w:rPr>
      <w:fldChar w:fldCharType="end"/>
    </w:r>
    <w:r w:rsidRPr="003F1810">
      <w:rPr>
        <w:rFonts w:ascii="Arial" w:hAnsi="Arial" w:cs="Arial"/>
        <w:sz w:val="18"/>
        <w:szCs w:val="18"/>
      </w:rPr>
      <w:t xml:space="preserve"> de </w:t>
    </w:r>
    <w:r w:rsidRPr="003F1810">
      <w:rPr>
        <w:rFonts w:ascii="Arial" w:hAnsi="Arial" w:cs="Arial"/>
        <w:sz w:val="18"/>
        <w:szCs w:val="18"/>
      </w:rPr>
      <w:fldChar w:fldCharType="begin"/>
    </w:r>
    <w:r w:rsidRPr="003F1810">
      <w:rPr>
        <w:rFonts w:ascii="Arial" w:hAnsi="Arial" w:cs="Arial"/>
        <w:sz w:val="18"/>
        <w:szCs w:val="18"/>
      </w:rPr>
      <w:instrText xml:space="preserve"> NUMPAGES </w:instrText>
    </w:r>
    <w:r w:rsidRPr="003F1810">
      <w:rPr>
        <w:rFonts w:ascii="Arial" w:hAnsi="Arial" w:cs="Arial"/>
        <w:sz w:val="18"/>
        <w:szCs w:val="18"/>
      </w:rPr>
      <w:fldChar w:fldCharType="separate"/>
    </w:r>
    <w:r w:rsidRPr="003F1810">
      <w:rPr>
        <w:rFonts w:ascii="Arial" w:hAnsi="Arial" w:cs="Arial"/>
        <w:sz w:val="18"/>
        <w:szCs w:val="18"/>
      </w:rPr>
      <w:t>23</w:t>
    </w:r>
    <w:r w:rsidRPr="003F181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FE334" w14:textId="77777777" w:rsidR="00B30A26" w:rsidRDefault="00B30A26" w:rsidP="00871D37">
      <w:pPr>
        <w:spacing w:line="240" w:lineRule="auto"/>
      </w:pPr>
      <w:r>
        <w:separator/>
      </w:r>
    </w:p>
  </w:footnote>
  <w:footnote w:type="continuationSeparator" w:id="0">
    <w:p w14:paraId="1AEFBC81" w14:textId="77777777" w:rsidR="00B30A26" w:rsidRDefault="00B30A26" w:rsidP="00871D37">
      <w:pPr>
        <w:spacing w:line="240" w:lineRule="auto"/>
      </w:pPr>
      <w:r>
        <w:continuationSeparator/>
      </w:r>
    </w:p>
  </w:footnote>
  <w:footnote w:id="1">
    <w:p w14:paraId="26C4A0FA" w14:textId="77777777" w:rsidR="00707925" w:rsidRPr="003F1810" w:rsidRDefault="00707925" w:rsidP="003F1810">
      <w:pPr>
        <w:pStyle w:val="Textonotapie"/>
        <w:rPr>
          <w:rFonts w:ascii="Arial" w:hAnsi="Arial" w:cs="Arial"/>
          <w:sz w:val="18"/>
          <w:szCs w:val="18"/>
        </w:rPr>
      </w:pPr>
      <w:r w:rsidRPr="003F1810">
        <w:rPr>
          <w:rStyle w:val="Refdenotaalpie"/>
          <w:rFonts w:ascii="Arial" w:hAnsi="Arial" w:cs="Arial"/>
          <w:sz w:val="18"/>
          <w:szCs w:val="18"/>
        </w:rPr>
        <w:footnoteRef/>
      </w:r>
      <w:r w:rsidRPr="003F1810">
        <w:rPr>
          <w:rFonts w:ascii="Arial" w:hAnsi="Arial" w:cs="Arial"/>
          <w:sz w:val="18"/>
          <w:szCs w:val="18"/>
        </w:rPr>
        <w:t xml:space="preserve"> </w:t>
      </w:r>
      <w:r w:rsidRPr="003F1810">
        <w:rPr>
          <w:rFonts w:ascii="Arial" w:hAnsi="Arial" w:cs="Arial"/>
          <w:sz w:val="18"/>
          <w:szCs w:val="18"/>
          <w:lang w:val="es-MX"/>
        </w:rPr>
        <w:t>Lo que al final de su disertación se estableció que se trató de un lapsus, como la misma letrada lo refirió en tanto</w:t>
      </w:r>
      <w:r w:rsidR="00774B75" w:rsidRPr="003F1810">
        <w:rPr>
          <w:rFonts w:ascii="Arial" w:hAnsi="Arial" w:cs="Arial"/>
          <w:sz w:val="18"/>
          <w:szCs w:val="18"/>
          <w:lang w:val="es-MX"/>
        </w:rPr>
        <w:t xml:space="preserve"> </w:t>
      </w:r>
      <w:r w:rsidRPr="003F1810">
        <w:rPr>
          <w:rFonts w:ascii="Arial" w:hAnsi="Arial" w:cs="Arial"/>
          <w:sz w:val="18"/>
          <w:szCs w:val="18"/>
          <w:lang w:val="es-MX"/>
        </w:rPr>
        <w:t>se habló de una pistola 9</w:t>
      </w:r>
      <w:r w:rsidR="00774B75" w:rsidRPr="003F1810">
        <w:rPr>
          <w:rFonts w:ascii="Arial" w:hAnsi="Arial" w:cs="Arial"/>
          <w:sz w:val="18"/>
          <w:szCs w:val="18"/>
          <w:lang w:val="es-MX"/>
        </w:rPr>
        <w:t xml:space="preserve"> </w:t>
      </w:r>
      <w:r w:rsidRPr="003F1810">
        <w:rPr>
          <w:rFonts w:ascii="Arial" w:hAnsi="Arial" w:cs="Arial"/>
          <w:sz w:val="18"/>
          <w:szCs w:val="18"/>
          <w:lang w:val="es-MX"/>
        </w:rPr>
        <w:t>x</w:t>
      </w:r>
      <w:r w:rsidR="00774B75" w:rsidRPr="003F1810">
        <w:rPr>
          <w:rFonts w:ascii="Arial" w:hAnsi="Arial" w:cs="Arial"/>
          <w:sz w:val="18"/>
          <w:szCs w:val="18"/>
          <w:lang w:val="es-MX"/>
        </w:rPr>
        <w:t xml:space="preserve"> </w:t>
      </w:r>
      <w:r w:rsidRPr="003F1810">
        <w:rPr>
          <w:rFonts w:ascii="Arial" w:hAnsi="Arial" w:cs="Arial"/>
          <w:sz w:val="18"/>
          <w:szCs w:val="18"/>
          <w:lang w:val="es-MX"/>
        </w:rPr>
        <w:t>19 mm.</w:t>
      </w:r>
    </w:p>
  </w:footnote>
  <w:footnote w:id="2">
    <w:p w14:paraId="60605635" w14:textId="77777777" w:rsidR="00707925" w:rsidRPr="003F1810" w:rsidRDefault="00707925" w:rsidP="003F1810">
      <w:pPr>
        <w:pStyle w:val="Textonotapie"/>
        <w:rPr>
          <w:rFonts w:ascii="Arial" w:hAnsi="Arial" w:cs="Arial"/>
          <w:sz w:val="18"/>
          <w:szCs w:val="18"/>
          <w:lang w:val="es-CO"/>
        </w:rPr>
      </w:pPr>
      <w:r w:rsidRPr="003F1810">
        <w:rPr>
          <w:rStyle w:val="Refdenotaalpie"/>
          <w:rFonts w:ascii="Arial" w:hAnsi="Arial" w:cs="Arial"/>
          <w:sz w:val="18"/>
          <w:szCs w:val="18"/>
        </w:rPr>
        <w:footnoteRef/>
      </w:r>
      <w:r w:rsidRPr="003F1810">
        <w:rPr>
          <w:rFonts w:ascii="Arial" w:hAnsi="Arial" w:cs="Arial"/>
          <w:sz w:val="18"/>
          <w:szCs w:val="18"/>
        </w:rPr>
        <w:t xml:space="preserve"> CSJ SP, 29 jun. 2011, rad. 35681: “[…] </w:t>
      </w:r>
      <w:r w:rsidRPr="003F1810">
        <w:rPr>
          <w:rFonts w:ascii="Arial" w:hAnsi="Arial" w:cs="Arial"/>
          <w:sz w:val="18"/>
          <w:szCs w:val="18"/>
          <w:lang w:val="es-MX"/>
        </w:rPr>
        <w:t>Tal como lo ha señalado la Sala en numerosas oportunidades, la acción de revisión constituye una excepción prevista por el legislador al principio de la cosa juzgada, cuyo objetivo es remediar los errores judiciales derivados de circunstancias señaladas en la ley que no fueron conocidas o se pasaron por alto durante el desarrollo de la actuación procesal y que por ello mismo suscitaron la ejecutoria de decisiones contrarias al ordenamiento jurídico, razón por la cual no deben ostentar el carácter de definitivas ni inmutables […]”</w:t>
      </w:r>
    </w:p>
  </w:footnote>
  <w:footnote w:id="3">
    <w:p w14:paraId="6AD822B7" w14:textId="77777777" w:rsidR="00720213" w:rsidRPr="003F1810" w:rsidRDefault="00720213" w:rsidP="003F1810">
      <w:pPr>
        <w:pStyle w:val="Textonotapie"/>
        <w:rPr>
          <w:rFonts w:ascii="Arial" w:hAnsi="Arial" w:cs="Arial"/>
          <w:sz w:val="18"/>
          <w:szCs w:val="18"/>
          <w:lang w:val="es-CO"/>
        </w:rPr>
      </w:pPr>
      <w:r w:rsidRPr="003F1810">
        <w:rPr>
          <w:rStyle w:val="Refdenotaalpie"/>
          <w:rFonts w:ascii="Arial" w:hAnsi="Arial" w:cs="Arial"/>
          <w:sz w:val="18"/>
          <w:szCs w:val="18"/>
        </w:rPr>
        <w:footnoteRef/>
      </w:r>
      <w:r w:rsidRPr="003F1810">
        <w:rPr>
          <w:rFonts w:ascii="Arial" w:hAnsi="Arial" w:cs="Arial"/>
          <w:sz w:val="18"/>
          <w:szCs w:val="18"/>
        </w:rPr>
        <w:t xml:space="preserve"> CSJ </w:t>
      </w:r>
      <w:proofErr w:type="spellStart"/>
      <w:r w:rsidRPr="003F1810">
        <w:rPr>
          <w:rFonts w:ascii="Arial" w:hAnsi="Arial" w:cs="Arial"/>
          <w:sz w:val="18"/>
          <w:szCs w:val="18"/>
        </w:rPr>
        <w:t>AP5274</w:t>
      </w:r>
      <w:proofErr w:type="spellEnd"/>
      <w:r w:rsidRPr="003F1810">
        <w:rPr>
          <w:rFonts w:ascii="Arial" w:hAnsi="Arial" w:cs="Arial"/>
          <w:sz w:val="18"/>
          <w:szCs w:val="18"/>
        </w:rPr>
        <w:t xml:space="preserve">-2018, 5 </w:t>
      </w:r>
      <w:proofErr w:type="spellStart"/>
      <w:r w:rsidRPr="003F1810">
        <w:rPr>
          <w:rFonts w:ascii="Arial" w:hAnsi="Arial" w:cs="Arial"/>
          <w:sz w:val="18"/>
          <w:szCs w:val="18"/>
        </w:rPr>
        <w:t>dic.2018</w:t>
      </w:r>
      <w:proofErr w:type="spellEnd"/>
      <w:r w:rsidRPr="003F1810">
        <w:rPr>
          <w:rFonts w:ascii="Arial" w:hAnsi="Arial" w:cs="Arial"/>
          <w:sz w:val="18"/>
          <w:szCs w:val="18"/>
        </w:rPr>
        <w:t>, rad. 53294.</w:t>
      </w:r>
    </w:p>
  </w:footnote>
  <w:footnote w:id="4">
    <w:p w14:paraId="00B8C32A" w14:textId="77777777" w:rsidR="002560BC" w:rsidRPr="003F1810" w:rsidRDefault="002560BC" w:rsidP="003F1810">
      <w:pPr>
        <w:pStyle w:val="Textonotapie"/>
        <w:rPr>
          <w:rFonts w:ascii="Arial" w:hAnsi="Arial" w:cs="Arial"/>
          <w:sz w:val="18"/>
          <w:szCs w:val="18"/>
          <w:lang w:val="es-CO"/>
        </w:rPr>
      </w:pPr>
      <w:r w:rsidRPr="003F1810">
        <w:rPr>
          <w:rStyle w:val="Refdenotaalpie"/>
          <w:rFonts w:ascii="Arial" w:hAnsi="Arial" w:cs="Arial"/>
          <w:sz w:val="18"/>
          <w:szCs w:val="18"/>
        </w:rPr>
        <w:footnoteRef/>
      </w:r>
      <w:r w:rsidRPr="003F1810">
        <w:rPr>
          <w:rFonts w:ascii="Arial" w:hAnsi="Arial" w:cs="Arial"/>
          <w:sz w:val="18"/>
          <w:szCs w:val="18"/>
        </w:rPr>
        <w:t xml:space="preserve"> CSJ </w:t>
      </w:r>
      <w:proofErr w:type="spellStart"/>
      <w:r w:rsidRPr="003F1810">
        <w:rPr>
          <w:rFonts w:ascii="Arial" w:hAnsi="Arial" w:cs="Arial"/>
          <w:sz w:val="18"/>
          <w:szCs w:val="18"/>
        </w:rPr>
        <w:t>AP</w:t>
      </w:r>
      <w:r w:rsidR="00056CF9" w:rsidRPr="003F1810">
        <w:rPr>
          <w:rFonts w:ascii="Arial" w:hAnsi="Arial" w:cs="Arial"/>
          <w:sz w:val="18"/>
          <w:szCs w:val="18"/>
        </w:rPr>
        <w:t>2996</w:t>
      </w:r>
      <w:proofErr w:type="spellEnd"/>
      <w:r w:rsidR="00056CF9" w:rsidRPr="003F1810">
        <w:rPr>
          <w:rFonts w:ascii="Arial" w:hAnsi="Arial" w:cs="Arial"/>
          <w:sz w:val="18"/>
          <w:szCs w:val="18"/>
        </w:rPr>
        <w:t>-2021</w:t>
      </w:r>
      <w:r w:rsidRPr="003F1810">
        <w:rPr>
          <w:rFonts w:ascii="Arial" w:hAnsi="Arial" w:cs="Arial"/>
          <w:sz w:val="18"/>
          <w:szCs w:val="18"/>
        </w:rPr>
        <w:t xml:space="preserve">, </w:t>
      </w:r>
      <w:r w:rsidR="00056CF9" w:rsidRPr="003F1810">
        <w:rPr>
          <w:rFonts w:ascii="Arial" w:hAnsi="Arial" w:cs="Arial"/>
          <w:sz w:val="18"/>
          <w:szCs w:val="18"/>
        </w:rPr>
        <w:t>22</w:t>
      </w:r>
      <w:r w:rsidRPr="003F1810">
        <w:rPr>
          <w:rFonts w:ascii="Arial" w:hAnsi="Arial" w:cs="Arial"/>
          <w:sz w:val="18"/>
          <w:szCs w:val="18"/>
        </w:rPr>
        <w:t xml:space="preserve"> </w:t>
      </w:r>
      <w:r w:rsidR="00056CF9" w:rsidRPr="003F1810">
        <w:rPr>
          <w:rFonts w:ascii="Arial" w:hAnsi="Arial" w:cs="Arial"/>
          <w:sz w:val="18"/>
          <w:szCs w:val="18"/>
        </w:rPr>
        <w:t>jul. 2021, rad. 57775.</w:t>
      </w:r>
    </w:p>
  </w:footnote>
  <w:footnote w:id="5">
    <w:p w14:paraId="4B23DF53" w14:textId="77777777" w:rsidR="002560BC" w:rsidRPr="003F1810" w:rsidRDefault="002560BC" w:rsidP="003F1810">
      <w:pPr>
        <w:pStyle w:val="Textonotapie"/>
        <w:rPr>
          <w:rFonts w:ascii="Arial" w:hAnsi="Arial" w:cs="Arial"/>
          <w:sz w:val="18"/>
          <w:szCs w:val="18"/>
          <w:lang w:val="en-US"/>
        </w:rPr>
      </w:pPr>
      <w:r w:rsidRPr="003F1810">
        <w:rPr>
          <w:rStyle w:val="Refdenotaalpie"/>
          <w:rFonts w:ascii="Arial" w:hAnsi="Arial" w:cs="Arial"/>
          <w:sz w:val="18"/>
          <w:szCs w:val="18"/>
        </w:rPr>
        <w:footnoteRef/>
      </w:r>
      <w:r w:rsidRPr="003F1810">
        <w:rPr>
          <w:rFonts w:ascii="Arial" w:hAnsi="Arial" w:cs="Arial"/>
          <w:sz w:val="18"/>
          <w:szCs w:val="18"/>
          <w:lang w:val="en-US"/>
        </w:rPr>
        <w:t xml:space="preserve"> </w:t>
      </w:r>
      <w:r w:rsidRPr="003F1810">
        <w:rPr>
          <w:rFonts w:ascii="Arial" w:hAnsi="Arial" w:cs="Arial"/>
          <w:sz w:val="18"/>
          <w:szCs w:val="18"/>
          <w:lang w:val="es-MX"/>
        </w:rPr>
        <w:t>CSJ AP, 2 oct. 2019, rad. 53298. También AP, 20 feb.2020, rad. 52868.</w:t>
      </w:r>
    </w:p>
  </w:footnote>
  <w:footnote w:id="6">
    <w:p w14:paraId="3A3B4E6B" w14:textId="77777777" w:rsidR="00056CF9" w:rsidRPr="003F1810" w:rsidRDefault="00056CF9" w:rsidP="003F1810">
      <w:pPr>
        <w:pStyle w:val="Textonotapie"/>
        <w:rPr>
          <w:rFonts w:ascii="Arial" w:hAnsi="Arial" w:cs="Arial"/>
          <w:sz w:val="18"/>
          <w:szCs w:val="18"/>
          <w:lang w:val="en-US"/>
        </w:rPr>
      </w:pPr>
      <w:r w:rsidRPr="003F1810">
        <w:rPr>
          <w:rStyle w:val="Refdenotaalpie"/>
          <w:rFonts w:ascii="Arial" w:hAnsi="Arial" w:cs="Arial"/>
          <w:sz w:val="18"/>
          <w:szCs w:val="18"/>
        </w:rPr>
        <w:footnoteRef/>
      </w:r>
      <w:r w:rsidRPr="003F1810">
        <w:rPr>
          <w:rFonts w:ascii="Arial" w:hAnsi="Arial" w:cs="Arial"/>
          <w:sz w:val="18"/>
          <w:szCs w:val="18"/>
          <w:lang w:val="en-US"/>
        </w:rPr>
        <w:t xml:space="preserve"> </w:t>
      </w:r>
      <w:proofErr w:type="spellStart"/>
      <w:r w:rsidRPr="003F1810">
        <w:rPr>
          <w:rFonts w:ascii="Arial" w:hAnsi="Arial" w:cs="Arial"/>
          <w:sz w:val="18"/>
          <w:szCs w:val="18"/>
          <w:lang w:val="en-US"/>
        </w:rPr>
        <w:t>CSJ</w:t>
      </w:r>
      <w:proofErr w:type="spellEnd"/>
      <w:r w:rsidRPr="003F1810">
        <w:rPr>
          <w:rFonts w:ascii="Arial" w:hAnsi="Arial" w:cs="Arial"/>
          <w:sz w:val="18"/>
          <w:szCs w:val="18"/>
          <w:lang w:val="en-US"/>
        </w:rPr>
        <w:t xml:space="preserve"> SP-3943-2021, 8 </w:t>
      </w:r>
      <w:proofErr w:type="gramStart"/>
      <w:r w:rsidRPr="003F1810">
        <w:rPr>
          <w:rFonts w:ascii="Arial" w:hAnsi="Arial" w:cs="Arial"/>
          <w:sz w:val="18"/>
          <w:szCs w:val="18"/>
          <w:lang w:val="en-US"/>
        </w:rPr>
        <w:t>sept</w:t>
      </w:r>
      <w:proofErr w:type="gramEnd"/>
      <w:r w:rsidRPr="003F1810">
        <w:rPr>
          <w:rFonts w:ascii="Arial" w:hAnsi="Arial" w:cs="Arial"/>
          <w:sz w:val="18"/>
          <w:szCs w:val="18"/>
          <w:lang w:val="en-US"/>
        </w:rPr>
        <w:t>. 2021, rad. 55484.</w:t>
      </w:r>
    </w:p>
  </w:footnote>
  <w:footnote w:id="7">
    <w:p w14:paraId="103C26F5" w14:textId="77777777" w:rsidR="00EC1E55" w:rsidRPr="003F1810" w:rsidRDefault="00EC1E55" w:rsidP="003F1810">
      <w:pPr>
        <w:pStyle w:val="Textonotapie"/>
        <w:rPr>
          <w:rFonts w:ascii="Arial" w:hAnsi="Arial" w:cs="Arial"/>
          <w:sz w:val="18"/>
          <w:szCs w:val="18"/>
          <w:lang w:val="en-US"/>
        </w:rPr>
      </w:pPr>
      <w:r w:rsidRPr="003F1810">
        <w:rPr>
          <w:rStyle w:val="Refdenotaalpie"/>
          <w:rFonts w:ascii="Arial" w:hAnsi="Arial" w:cs="Arial"/>
          <w:sz w:val="18"/>
          <w:szCs w:val="18"/>
        </w:rPr>
        <w:footnoteRef/>
      </w:r>
      <w:r w:rsidRPr="003F1810">
        <w:rPr>
          <w:rFonts w:ascii="Arial" w:hAnsi="Arial" w:cs="Arial"/>
          <w:sz w:val="18"/>
          <w:szCs w:val="18"/>
          <w:lang w:val="en-US"/>
        </w:rPr>
        <w:t xml:space="preserve"> Cfr. TSP AP, 8 oct. 2021, M.P. Jorge Arturo Castaño Duque.</w:t>
      </w:r>
    </w:p>
  </w:footnote>
  <w:footnote w:id="8">
    <w:p w14:paraId="6EAF2E70" w14:textId="77777777" w:rsidR="00EA02F9" w:rsidRPr="003F1810" w:rsidRDefault="00EA02F9" w:rsidP="003F1810">
      <w:pPr>
        <w:pStyle w:val="Textonotapie"/>
        <w:rPr>
          <w:rFonts w:ascii="Arial" w:hAnsi="Arial" w:cs="Arial"/>
          <w:sz w:val="18"/>
          <w:szCs w:val="18"/>
          <w:lang w:val="en-US"/>
        </w:rPr>
      </w:pPr>
      <w:r w:rsidRPr="003F1810">
        <w:rPr>
          <w:rStyle w:val="Refdenotaalpie"/>
          <w:rFonts w:ascii="Arial" w:hAnsi="Arial" w:cs="Arial"/>
          <w:sz w:val="18"/>
          <w:szCs w:val="18"/>
        </w:rPr>
        <w:footnoteRef/>
      </w:r>
      <w:r w:rsidRPr="003F1810">
        <w:rPr>
          <w:rFonts w:ascii="Arial" w:hAnsi="Arial" w:cs="Arial"/>
          <w:sz w:val="18"/>
          <w:szCs w:val="18"/>
          <w:lang w:val="en-US"/>
        </w:rPr>
        <w:t xml:space="preserve"> </w:t>
      </w:r>
      <w:r w:rsidRPr="003F1810">
        <w:rPr>
          <w:rFonts w:ascii="Arial" w:hAnsi="Arial" w:cs="Arial"/>
          <w:sz w:val="18"/>
          <w:szCs w:val="18"/>
        </w:rPr>
        <w:t>CSJ. AP, 5 may. 1994.</w:t>
      </w:r>
    </w:p>
  </w:footnote>
  <w:footnote w:id="9">
    <w:p w14:paraId="519569AF" w14:textId="77777777" w:rsidR="00EA02F9" w:rsidRPr="00D94C47" w:rsidRDefault="00EA02F9" w:rsidP="003F1810">
      <w:pPr>
        <w:pStyle w:val="Textonotapie"/>
        <w:rPr>
          <w:lang w:val="en-US"/>
        </w:rPr>
      </w:pPr>
      <w:r w:rsidRPr="003F1810">
        <w:rPr>
          <w:rStyle w:val="Refdenotaalpie"/>
          <w:rFonts w:ascii="Arial" w:hAnsi="Arial" w:cs="Arial"/>
          <w:sz w:val="18"/>
          <w:szCs w:val="18"/>
        </w:rPr>
        <w:footnoteRef/>
      </w:r>
      <w:r w:rsidRPr="003F1810">
        <w:rPr>
          <w:rFonts w:ascii="Arial" w:hAnsi="Arial" w:cs="Arial"/>
          <w:sz w:val="18"/>
          <w:szCs w:val="18"/>
          <w:lang w:val="en-US"/>
        </w:rPr>
        <w:t xml:space="preserve"> </w:t>
      </w:r>
      <w:r w:rsidRPr="003F1810">
        <w:rPr>
          <w:rFonts w:ascii="Arial" w:hAnsi="Arial" w:cs="Arial"/>
          <w:sz w:val="18"/>
          <w:szCs w:val="18"/>
        </w:rPr>
        <w:t xml:space="preserve">CSJ. AP, 25 abr. 1995. Rad. 10421. En sentido similar CSJ AP, 12 feb. 1996. Rad. 11312. CSJAP, 12 ago. 1997. Rad. 13340. CSJ SP, 28 jun. 2017. Rad. 45495 y CSJ SP, 11 mar 2020. Rad. 51967, entre otras.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73A37" w14:textId="47349211" w:rsidR="00707925" w:rsidRPr="003F1810" w:rsidRDefault="003F1810" w:rsidP="003F1810">
    <w:pPr>
      <w:pStyle w:val="Encabezado"/>
      <w:spacing w:line="240" w:lineRule="auto"/>
      <w:jc w:val="right"/>
      <w:rPr>
        <w:rFonts w:ascii="Arial" w:hAnsi="Arial" w:cs="Arial"/>
        <w:sz w:val="18"/>
        <w:szCs w:val="18"/>
        <w:lang w:val="es-MX"/>
      </w:rPr>
    </w:pPr>
    <w:r w:rsidRPr="003F1810">
      <w:rPr>
        <w:rFonts w:ascii="Arial" w:hAnsi="Arial" w:cs="Arial"/>
        <w:sz w:val="18"/>
        <w:szCs w:val="18"/>
      </w:rPr>
      <w:t>Sentencia Acción de Revisión</w:t>
    </w:r>
  </w:p>
  <w:p w14:paraId="12D13284" w14:textId="7A3D46A6" w:rsidR="00707925" w:rsidRPr="003F1810" w:rsidRDefault="003F1810" w:rsidP="003F1810">
    <w:pPr>
      <w:pStyle w:val="Encabezado"/>
      <w:spacing w:line="240" w:lineRule="auto"/>
      <w:jc w:val="right"/>
      <w:rPr>
        <w:rFonts w:ascii="Arial" w:hAnsi="Arial" w:cs="Arial"/>
        <w:sz w:val="18"/>
        <w:szCs w:val="18"/>
        <w:lang w:val="es-MX"/>
      </w:rPr>
    </w:pPr>
    <w:r w:rsidRPr="003F1810">
      <w:rPr>
        <w:rFonts w:ascii="Arial" w:hAnsi="Arial" w:cs="Arial"/>
        <w:sz w:val="18"/>
        <w:szCs w:val="18"/>
        <w:lang w:val="es-MX"/>
      </w:rPr>
      <w:t>Radicación</w:t>
    </w:r>
    <w:r w:rsidR="00707925" w:rsidRPr="003F1810">
      <w:rPr>
        <w:rFonts w:ascii="Arial" w:hAnsi="Arial" w:cs="Arial"/>
        <w:sz w:val="18"/>
        <w:szCs w:val="18"/>
        <w:lang w:val="es-MX"/>
      </w:rPr>
      <w:t>:</w:t>
    </w:r>
    <w:r w:rsidR="00707925" w:rsidRPr="003F1810">
      <w:rPr>
        <w:rFonts w:ascii="Arial" w:hAnsi="Arial" w:cs="Arial"/>
        <w:sz w:val="18"/>
        <w:szCs w:val="18"/>
      </w:rPr>
      <w:t xml:space="preserve"> </w:t>
    </w:r>
    <w:r w:rsidR="00707925" w:rsidRPr="003F1810">
      <w:rPr>
        <w:rFonts w:ascii="Arial" w:hAnsi="Arial" w:cs="Arial"/>
        <w:sz w:val="18"/>
        <w:szCs w:val="18"/>
        <w:lang w:val="es-MX"/>
      </w:rPr>
      <w:t>660012204002 2024 00042 00</w:t>
    </w:r>
  </w:p>
  <w:p w14:paraId="7E8B9FF5" w14:textId="54D18028" w:rsidR="00707925" w:rsidRPr="003F1810" w:rsidRDefault="003F1810" w:rsidP="003F1810">
    <w:pPr>
      <w:pStyle w:val="Encabezado"/>
      <w:spacing w:line="240" w:lineRule="auto"/>
      <w:jc w:val="right"/>
      <w:rPr>
        <w:rFonts w:ascii="Arial" w:hAnsi="Arial" w:cs="Arial"/>
        <w:sz w:val="18"/>
        <w:szCs w:val="18"/>
        <w:lang w:val="es-MX"/>
      </w:rPr>
    </w:pPr>
    <w:r w:rsidRPr="003F1810">
      <w:rPr>
        <w:rFonts w:ascii="Arial" w:hAnsi="Arial" w:cs="Arial"/>
        <w:sz w:val="18"/>
        <w:szCs w:val="18"/>
        <w:lang w:val="es-MX"/>
      </w:rPr>
      <w:t>Procesado</w:t>
    </w:r>
    <w:r w:rsidR="00707925" w:rsidRPr="003F1810">
      <w:rPr>
        <w:rFonts w:ascii="Arial" w:hAnsi="Arial" w:cs="Arial"/>
        <w:sz w:val="18"/>
        <w:szCs w:val="18"/>
        <w:lang w:val="es-MX"/>
      </w:rPr>
      <w:t xml:space="preserve">: </w:t>
    </w:r>
    <w:proofErr w:type="spellStart"/>
    <w:r w:rsidR="00707925" w:rsidRPr="003F1810">
      <w:rPr>
        <w:rFonts w:ascii="Arial" w:hAnsi="Arial" w:cs="Arial"/>
        <w:sz w:val="18"/>
        <w:szCs w:val="18"/>
        <w:lang w:val="es-MX"/>
      </w:rPr>
      <w:t>JFGS</w:t>
    </w:r>
    <w:proofErr w:type="spellEnd"/>
  </w:p>
  <w:p w14:paraId="4D846813" w14:textId="149FD5BC" w:rsidR="00707925" w:rsidRPr="003F1810" w:rsidRDefault="003F1810" w:rsidP="003F1810">
    <w:pPr>
      <w:pStyle w:val="Encabezado"/>
      <w:spacing w:line="240" w:lineRule="auto"/>
      <w:jc w:val="right"/>
      <w:rPr>
        <w:rFonts w:ascii="Arial" w:hAnsi="Arial" w:cs="Arial"/>
        <w:sz w:val="18"/>
        <w:szCs w:val="18"/>
        <w:lang w:val="es-MX"/>
      </w:rPr>
    </w:pPr>
    <w:r w:rsidRPr="003F1810">
      <w:rPr>
        <w:rFonts w:ascii="Arial" w:hAnsi="Arial" w:cs="Arial"/>
        <w:sz w:val="18"/>
        <w:szCs w:val="18"/>
        <w:lang w:val="es-MX"/>
      </w:rPr>
      <w:t>Delito</w:t>
    </w:r>
    <w:r w:rsidR="00707925" w:rsidRPr="003F1810">
      <w:rPr>
        <w:rFonts w:ascii="Arial" w:hAnsi="Arial" w:cs="Arial"/>
        <w:sz w:val="18"/>
        <w:szCs w:val="18"/>
        <w:lang w:val="es-MX"/>
      </w:rPr>
      <w:t xml:space="preserve">: </w:t>
    </w:r>
    <w:r w:rsidRPr="003F1810">
      <w:rPr>
        <w:rFonts w:ascii="Arial" w:hAnsi="Arial" w:cs="Arial"/>
        <w:sz w:val="18"/>
        <w:szCs w:val="18"/>
        <w:lang w:val="es-MX"/>
      </w:rPr>
      <w:t>Porte ilegal de armas de uso privativo</w:t>
    </w:r>
  </w:p>
  <w:p w14:paraId="6B99744C" w14:textId="4CC275EA" w:rsidR="00707925" w:rsidRPr="003F1810" w:rsidRDefault="003F1810" w:rsidP="003F1810">
    <w:pPr>
      <w:pStyle w:val="Encabezado"/>
      <w:spacing w:line="240" w:lineRule="auto"/>
      <w:jc w:val="right"/>
      <w:rPr>
        <w:rFonts w:ascii="Arial" w:hAnsi="Arial" w:cs="Arial"/>
        <w:sz w:val="18"/>
        <w:szCs w:val="18"/>
        <w:lang w:val="es-MX"/>
      </w:rPr>
    </w:pPr>
    <w:r w:rsidRPr="003F1810">
      <w:rPr>
        <w:rFonts w:ascii="Arial" w:hAnsi="Arial" w:cs="Arial"/>
        <w:sz w:val="18"/>
        <w:szCs w:val="18"/>
        <w:lang w:val="es-MX"/>
      </w:rPr>
      <w:t>Se declara fundada</w:t>
    </w:r>
  </w:p>
  <w:p w14:paraId="5F0E9F74" w14:textId="54D6BF05" w:rsidR="00707925" w:rsidRPr="003F1810" w:rsidRDefault="00707925" w:rsidP="003F1810">
    <w:pPr>
      <w:pStyle w:val="Encabezado"/>
      <w:spacing w:line="240" w:lineRule="auto"/>
      <w:jc w:val="right"/>
      <w:rPr>
        <w:rFonts w:ascii="Arial" w:hAnsi="Arial" w:cs="Arial"/>
        <w:sz w:val="18"/>
        <w:szCs w:val="18"/>
        <w:lang w:val="es-MX"/>
      </w:rPr>
    </w:pPr>
    <w:r w:rsidRPr="003F1810">
      <w:rPr>
        <w:rFonts w:ascii="Arial" w:hAnsi="Arial" w:cs="Arial"/>
        <w:sz w:val="18"/>
        <w:szCs w:val="18"/>
        <w:lang w:val="es-MX"/>
      </w:rPr>
      <w:t>S. N°</w:t>
    </w:r>
    <w:r w:rsidR="005F7225" w:rsidRPr="003F1810">
      <w:rPr>
        <w:rFonts w:ascii="Arial" w:hAnsi="Arial" w:cs="Arial"/>
        <w:sz w:val="18"/>
        <w:szCs w:val="18"/>
        <w:lang w:val="es-MX"/>
      </w:rPr>
      <w:t>035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C74DE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AE12D2"/>
    <w:multiLevelType w:val="hybridMultilevel"/>
    <w:tmpl w:val="DD800408"/>
    <w:lvl w:ilvl="0" w:tplc="1BF2557C">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2CAD3604"/>
    <w:multiLevelType w:val="multilevel"/>
    <w:tmpl w:val="588452EC"/>
    <w:lvl w:ilvl="0">
      <w:start w:val="1"/>
      <w:numFmt w:val="upperRoman"/>
      <w:lvlText w:val="%1."/>
      <w:lvlJc w:val="left"/>
      <w:pPr>
        <w:ind w:left="1429" w:hanging="72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3" w15:restartNumberingAfterBreak="0">
    <w:nsid w:val="2E6D4036"/>
    <w:multiLevelType w:val="hybridMultilevel"/>
    <w:tmpl w:val="86502CEC"/>
    <w:lvl w:ilvl="0" w:tplc="D7D241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E5049AA"/>
    <w:multiLevelType w:val="hybridMultilevel"/>
    <w:tmpl w:val="22B4B0B0"/>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547E1B80"/>
    <w:multiLevelType w:val="hybridMultilevel"/>
    <w:tmpl w:val="EF567C66"/>
    <w:lvl w:ilvl="0" w:tplc="5EAA176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2D3017F"/>
    <w:multiLevelType w:val="hybridMultilevel"/>
    <w:tmpl w:val="5DF64124"/>
    <w:lvl w:ilvl="0" w:tplc="CB12F84E">
      <w:start w:val="1"/>
      <w:numFmt w:val="decimal"/>
      <w:lvlText w:val="%1."/>
      <w:lvlJc w:val="left"/>
      <w:pPr>
        <w:tabs>
          <w:tab w:val="num" w:pos="1110"/>
        </w:tabs>
        <w:ind w:left="1110" w:hanging="360"/>
      </w:pPr>
      <w:rPr>
        <w:rFonts w:hint="default"/>
        <w:b/>
      </w:rPr>
    </w:lvl>
    <w:lvl w:ilvl="1" w:tplc="0C0A0019" w:tentative="1">
      <w:start w:val="1"/>
      <w:numFmt w:val="lowerLetter"/>
      <w:lvlText w:val="%2."/>
      <w:lvlJc w:val="left"/>
      <w:pPr>
        <w:tabs>
          <w:tab w:val="num" w:pos="1830"/>
        </w:tabs>
        <w:ind w:left="1830" w:hanging="360"/>
      </w:pPr>
    </w:lvl>
    <w:lvl w:ilvl="2" w:tplc="0C0A001B" w:tentative="1">
      <w:start w:val="1"/>
      <w:numFmt w:val="lowerRoman"/>
      <w:lvlText w:val="%3."/>
      <w:lvlJc w:val="right"/>
      <w:pPr>
        <w:tabs>
          <w:tab w:val="num" w:pos="2550"/>
        </w:tabs>
        <w:ind w:left="2550" w:hanging="180"/>
      </w:pPr>
    </w:lvl>
    <w:lvl w:ilvl="3" w:tplc="0C0A000F" w:tentative="1">
      <w:start w:val="1"/>
      <w:numFmt w:val="decimal"/>
      <w:lvlText w:val="%4."/>
      <w:lvlJc w:val="left"/>
      <w:pPr>
        <w:tabs>
          <w:tab w:val="num" w:pos="3270"/>
        </w:tabs>
        <w:ind w:left="3270" w:hanging="360"/>
      </w:pPr>
    </w:lvl>
    <w:lvl w:ilvl="4" w:tplc="0C0A0019" w:tentative="1">
      <w:start w:val="1"/>
      <w:numFmt w:val="lowerLetter"/>
      <w:lvlText w:val="%5."/>
      <w:lvlJc w:val="left"/>
      <w:pPr>
        <w:tabs>
          <w:tab w:val="num" w:pos="3990"/>
        </w:tabs>
        <w:ind w:left="3990" w:hanging="360"/>
      </w:pPr>
    </w:lvl>
    <w:lvl w:ilvl="5" w:tplc="0C0A001B" w:tentative="1">
      <w:start w:val="1"/>
      <w:numFmt w:val="lowerRoman"/>
      <w:lvlText w:val="%6."/>
      <w:lvlJc w:val="right"/>
      <w:pPr>
        <w:tabs>
          <w:tab w:val="num" w:pos="4710"/>
        </w:tabs>
        <w:ind w:left="4710" w:hanging="180"/>
      </w:pPr>
    </w:lvl>
    <w:lvl w:ilvl="6" w:tplc="0C0A000F" w:tentative="1">
      <w:start w:val="1"/>
      <w:numFmt w:val="decimal"/>
      <w:lvlText w:val="%7."/>
      <w:lvlJc w:val="left"/>
      <w:pPr>
        <w:tabs>
          <w:tab w:val="num" w:pos="5430"/>
        </w:tabs>
        <w:ind w:left="5430" w:hanging="360"/>
      </w:pPr>
    </w:lvl>
    <w:lvl w:ilvl="7" w:tplc="0C0A0019" w:tentative="1">
      <w:start w:val="1"/>
      <w:numFmt w:val="lowerLetter"/>
      <w:lvlText w:val="%8."/>
      <w:lvlJc w:val="left"/>
      <w:pPr>
        <w:tabs>
          <w:tab w:val="num" w:pos="6150"/>
        </w:tabs>
        <w:ind w:left="6150" w:hanging="360"/>
      </w:pPr>
    </w:lvl>
    <w:lvl w:ilvl="8" w:tplc="0C0A001B" w:tentative="1">
      <w:start w:val="1"/>
      <w:numFmt w:val="lowerRoman"/>
      <w:lvlText w:val="%9."/>
      <w:lvlJc w:val="right"/>
      <w:pPr>
        <w:tabs>
          <w:tab w:val="num" w:pos="6870"/>
        </w:tabs>
        <w:ind w:left="6870" w:hanging="180"/>
      </w:pPr>
    </w:lvl>
  </w:abstractNum>
  <w:abstractNum w:abstractNumId="7" w15:restartNumberingAfterBreak="0">
    <w:nsid w:val="63824992"/>
    <w:multiLevelType w:val="hybridMultilevel"/>
    <w:tmpl w:val="9F865818"/>
    <w:lvl w:ilvl="0" w:tplc="5A1A164C">
      <w:start w:val="1"/>
      <w:numFmt w:val="decimal"/>
      <w:lvlText w:val="%1."/>
      <w:lvlJc w:val="left"/>
      <w:pPr>
        <w:ind w:left="1158" w:hanging="45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6526409E"/>
    <w:multiLevelType w:val="hybridMultilevel"/>
    <w:tmpl w:val="8DF0BA8E"/>
    <w:lvl w:ilvl="0" w:tplc="7064110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50571392">
    <w:abstractNumId w:val="6"/>
  </w:num>
  <w:num w:numId="2" w16cid:durableId="1636451292">
    <w:abstractNumId w:val="0"/>
  </w:num>
  <w:num w:numId="3" w16cid:durableId="2110618536">
    <w:abstractNumId w:val="4"/>
  </w:num>
  <w:num w:numId="4" w16cid:durableId="1047532082">
    <w:abstractNumId w:val="7"/>
  </w:num>
  <w:num w:numId="5" w16cid:durableId="1439788776">
    <w:abstractNumId w:val="1"/>
  </w:num>
  <w:num w:numId="6" w16cid:durableId="1967002478">
    <w:abstractNumId w:val="2"/>
  </w:num>
  <w:num w:numId="7" w16cid:durableId="537477222">
    <w:abstractNumId w:val="8"/>
  </w:num>
  <w:num w:numId="8" w16cid:durableId="1974366023">
    <w:abstractNumId w:val="3"/>
  </w:num>
  <w:num w:numId="9" w16cid:durableId="940332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37"/>
    <w:rsid w:val="00000DAE"/>
    <w:rsid w:val="00004B23"/>
    <w:rsid w:val="0001541C"/>
    <w:rsid w:val="00026300"/>
    <w:rsid w:val="000346BC"/>
    <w:rsid w:val="000421F8"/>
    <w:rsid w:val="00056CF9"/>
    <w:rsid w:val="00074133"/>
    <w:rsid w:val="00085BFD"/>
    <w:rsid w:val="00087A6F"/>
    <w:rsid w:val="000A088F"/>
    <w:rsid w:val="000A3694"/>
    <w:rsid w:val="000E54BA"/>
    <w:rsid w:val="000F66FE"/>
    <w:rsid w:val="00113E24"/>
    <w:rsid w:val="00132173"/>
    <w:rsid w:val="00136757"/>
    <w:rsid w:val="00137F40"/>
    <w:rsid w:val="001416E9"/>
    <w:rsid w:val="00164603"/>
    <w:rsid w:val="0018312E"/>
    <w:rsid w:val="0018355A"/>
    <w:rsid w:val="00184234"/>
    <w:rsid w:val="001C026E"/>
    <w:rsid w:val="001C492C"/>
    <w:rsid w:val="001C7354"/>
    <w:rsid w:val="001D328B"/>
    <w:rsid w:val="001D438B"/>
    <w:rsid w:val="00205825"/>
    <w:rsid w:val="00222070"/>
    <w:rsid w:val="00235908"/>
    <w:rsid w:val="00252E42"/>
    <w:rsid w:val="002560BC"/>
    <w:rsid w:val="002837BB"/>
    <w:rsid w:val="002A29E6"/>
    <w:rsid w:val="002B4040"/>
    <w:rsid w:val="002C269A"/>
    <w:rsid w:val="002C3837"/>
    <w:rsid w:val="002F0509"/>
    <w:rsid w:val="003024E3"/>
    <w:rsid w:val="00342E9A"/>
    <w:rsid w:val="003A0690"/>
    <w:rsid w:val="003D49FD"/>
    <w:rsid w:val="003F1810"/>
    <w:rsid w:val="003F32E0"/>
    <w:rsid w:val="004117DE"/>
    <w:rsid w:val="004347B5"/>
    <w:rsid w:val="004430DC"/>
    <w:rsid w:val="00443BE1"/>
    <w:rsid w:val="00461C52"/>
    <w:rsid w:val="00477DB3"/>
    <w:rsid w:val="004D7A7B"/>
    <w:rsid w:val="004E03CC"/>
    <w:rsid w:val="00502B64"/>
    <w:rsid w:val="00505E27"/>
    <w:rsid w:val="005131C4"/>
    <w:rsid w:val="0052650F"/>
    <w:rsid w:val="005553FE"/>
    <w:rsid w:val="00567A6A"/>
    <w:rsid w:val="005B274F"/>
    <w:rsid w:val="005C1C46"/>
    <w:rsid w:val="005F7225"/>
    <w:rsid w:val="00605276"/>
    <w:rsid w:val="00606C45"/>
    <w:rsid w:val="00610C19"/>
    <w:rsid w:val="00611A14"/>
    <w:rsid w:val="00637296"/>
    <w:rsid w:val="006703B3"/>
    <w:rsid w:val="00681E8A"/>
    <w:rsid w:val="006901B8"/>
    <w:rsid w:val="00697492"/>
    <w:rsid w:val="006A657D"/>
    <w:rsid w:val="006A70E5"/>
    <w:rsid w:val="006C308F"/>
    <w:rsid w:val="006E4706"/>
    <w:rsid w:val="00707925"/>
    <w:rsid w:val="00707ACE"/>
    <w:rsid w:val="007165A0"/>
    <w:rsid w:val="00720213"/>
    <w:rsid w:val="0072128D"/>
    <w:rsid w:val="007360D5"/>
    <w:rsid w:val="00774B75"/>
    <w:rsid w:val="007779EF"/>
    <w:rsid w:val="00787321"/>
    <w:rsid w:val="007920DC"/>
    <w:rsid w:val="007B2CD5"/>
    <w:rsid w:val="007D432A"/>
    <w:rsid w:val="007F60E7"/>
    <w:rsid w:val="007F6195"/>
    <w:rsid w:val="00822CE5"/>
    <w:rsid w:val="00847879"/>
    <w:rsid w:val="00850C4D"/>
    <w:rsid w:val="00871D37"/>
    <w:rsid w:val="00874B5B"/>
    <w:rsid w:val="00875F67"/>
    <w:rsid w:val="008E3DC1"/>
    <w:rsid w:val="008E3E05"/>
    <w:rsid w:val="008E5C92"/>
    <w:rsid w:val="00924D00"/>
    <w:rsid w:val="0095008C"/>
    <w:rsid w:val="009504DE"/>
    <w:rsid w:val="0095699F"/>
    <w:rsid w:val="00986B04"/>
    <w:rsid w:val="00987E5B"/>
    <w:rsid w:val="00995250"/>
    <w:rsid w:val="009A5BB0"/>
    <w:rsid w:val="009E40EF"/>
    <w:rsid w:val="009F1667"/>
    <w:rsid w:val="009F4E06"/>
    <w:rsid w:val="00A33350"/>
    <w:rsid w:val="00A523B2"/>
    <w:rsid w:val="00A61449"/>
    <w:rsid w:val="00A675DF"/>
    <w:rsid w:val="00A7094D"/>
    <w:rsid w:val="00A77005"/>
    <w:rsid w:val="00AA2A13"/>
    <w:rsid w:val="00AA7F65"/>
    <w:rsid w:val="00AC6078"/>
    <w:rsid w:val="00AC62F9"/>
    <w:rsid w:val="00AD1A1C"/>
    <w:rsid w:val="00AF38EB"/>
    <w:rsid w:val="00B10A7A"/>
    <w:rsid w:val="00B26954"/>
    <w:rsid w:val="00B30A26"/>
    <w:rsid w:val="00B314D3"/>
    <w:rsid w:val="00B3629F"/>
    <w:rsid w:val="00B410FC"/>
    <w:rsid w:val="00B52A4E"/>
    <w:rsid w:val="00B7140F"/>
    <w:rsid w:val="00B74AFF"/>
    <w:rsid w:val="00B95DF8"/>
    <w:rsid w:val="00BA36B2"/>
    <w:rsid w:val="00BA4A9C"/>
    <w:rsid w:val="00BC2D65"/>
    <w:rsid w:val="00BE605D"/>
    <w:rsid w:val="00C21A95"/>
    <w:rsid w:val="00C550E3"/>
    <w:rsid w:val="00C64C51"/>
    <w:rsid w:val="00C8184D"/>
    <w:rsid w:val="00C95CAB"/>
    <w:rsid w:val="00CD72BB"/>
    <w:rsid w:val="00CE4943"/>
    <w:rsid w:val="00CE4F10"/>
    <w:rsid w:val="00CF4444"/>
    <w:rsid w:val="00D025DE"/>
    <w:rsid w:val="00D041B2"/>
    <w:rsid w:val="00D309F1"/>
    <w:rsid w:val="00D34577"/>
    <w:rsid w:val="00D65094"/>
    <w:rsid w:val="00D76851"/>
    <w:rsid w:val="00D907DB"/>
    <w:rsid w:val="00DA1825"/>
    <w:rsid w:val="00DC461A"/>
    <w:rsid w:val="00DC7869"/>
    <w:rsid w:val="00DF1B2D"/>
    <w:rsid w:val="00DF3D91"/>
    <w:rsid w:val="00E12976"/>
    <w:rsid w:val="00E30182"/>
    <w:rsid w:val="00E60F5F"/>
    <w:rsid w:val="00EA02F9"/>
    <w:rsid w:val="00EB659D"/>
    <w:rsid w:val="00EC1E55"/>
    <w:rsid w:val="00EE6FA5"/>
    <w:rsid w:val="00EF679C"/>
    <w:rsid w:val="00EF6F7B"/>
    <w:rsid w:val="00F06CFE"/>
    <w:rsid w:val="00F22354"/>
    <w:rsid w:val="00F253E2"/>
    <w:rsid w:val="00F9286D"/>
    <w:rsid w:val="00FA6F9F"/>
    <w:rsid w:val="00FB2B98"/>
    <w:rsid w:val="00FE323A"/>
    <w:rsid w:val="00FE3F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2CD2"/>
  <w15:chartTrackingRefBased/>
  <w15:docId w15:val="{2B560714-02D9-49D3-95B8-5B13FCFA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D37"/>
    <w:pPr>
      <w:spacing w:after="0" w:line="360" w:lineRule="auto"/>
      <w:jc w:val="both"/>
    </w:pPr>
    <w:rPr>
      <w:rFonts w:ascii="Tahoma" w:eastAsia="Times New Roman" w:hAnsi="Tahoma" w:cs="Times New Roman"/>
      <w:sz w:val="26"/>
      <w:szCs w:val="26"/>
      <w:lang w:eastAsia="es-MX"/>
    </w:rPr>
  </w:style>
  <w:style w:type="paragraph" w:styleId="Ttulo1">
    <w:name w:val="heading 1"/>
    <w:basedOn w:val="Normal"/>
    <w:next w:val="Normal"/>
    <w:link w:val="Ttulo1Car"/>
    <w:qFormat/>
    <w:rsid w:val="00871D37"/>
    <w:pPr>
      <w:keepNext/>
      <w:spacing w:before="240" w:after="60"/>
      <w:outlineLvl w:val="0"/>
    </w:pPr>
    <w:rPr>
      <w:b/>
      <w:bCs/>
      <w:kern w:val="32"/>
      <w:sz w:val="24"/>
      <w:szCs w:val="32"/>
    </w:rPr>
  </w:style>
  <w:style w:type="paragraph" w:styleId="Ttulo3">
    <w:name w:val="heading 3"/>
    <w:basedOn w:val="Normal"/>
    <w:next w:val="Normal"/>
    <w:link w:val="Ttulo3Car"/>
    <w:qFormat/>
    <w:rsid w:val="00871D37"/>
    <w:pPr>
      <w:keepNext/>
      <w:spacing w:before="240" w:after="60"/>
      <w:outlineLvl w:val="2"/>
    </w:pPr>
    <w:rPr>
      <w:rFonts w:ascii="Calibri Light" w:hAnsi="Calibri Light"/>
      <w:b/>
      <w:bCs/>
    </w:rPr>
  </w:style>
  <w:style w:type="paragraph" w:styleId="Ttulo6">
    <w:name w:val="heading 6"/>
    <w:basedOn w:val="Normal"/>
    <w:next w:val="Normal"/>
    <w:link w:val="Ttulo6Car"/>
    <w:qFormat/>
    <w:rsid w:val="00871D37"/>
    <w:pPr>
      <w:spacing w:before="240" w:after="60"/>
      <w:outlineLvl w:val="5"/>
    </w:pPr>
    <w:rPr>
      <w:rFonts w:ascii="Calibri" w:eastAsia="Batang" w:hAnsi="Calibri"/>
      <w:b/>
      <w:bCs/>
      <w:sz w:val="22"/>
      <w:szCs w:val="22"/>
    </w:rPr>
  </w:style>
  <w:style w:type="paragraph" w:styleId="Ttulo9">
    <w:name w:val="heading 9"/>
    <w:basedOn w:val="Normal"/>
    <w:next w:val="Normal"/>
    <w:link w:val="Ttulo9Car"/>
    <w:qFormat/>
    <w:rsid w:val="00871D37"/>
    <w:pPr>
      <w:keepNext/>
      <w:overflowPunct w:val="0"/>
      <w:autoSpaceDE w:val="0"/>
      <w:autoSpaceDN w:val="0"/>
      <w:adjustRightInd w:val="0"/>
      <w:jc w:val="center"/>
      <w:outlineLvl w:val="8"/>
    </w:pPr>
    <w:rPr>
      <w:rFonts w:ascii="Bookman Old Style" w:hAnsi="Bookman Old Style"/>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71D37"/>
    <w:rPr>
      <w:rFonts w:ascii="Tahoma" w:eastAsia="Times New Roman" w:hAnsi="Tahoma" w:cs="Times New Roman"/>
      <w:b/>
      <w:bCs/>
      <w:kern w:val="32"/>
      <w:sz w:val="24"/>
      <w:szCs w:val="32"/>
      <w:lang w:eastAsia="es-MX"/>
    </w:rPr>
  </w:style>
  <w:style w:type="character" w:customStyle="1" w:styleId="Ttulo3Car">
    <w:name w:val="Título 3 Car"/>
    <w:basedOn w:val="Fuentedeprrafopredeter"/>
    <w:link w:val="Ttulo3"/>
    <w:rsid w:val="00871D37"/>
    <w:rPr>
      <w:rFonts w:ascii="Calibri Light" w:eastAsia="Times New Roman" w:hAnsi="Calibri Light" w:cs="Times New Roman"/>
      <w:b/>
      <w:bCs/>
      <w:sz w:val="26"/>
      <w:szCs w:val="26"/>
      <w:lang w:eastAsia="es-MX"/>
    </w:rPr>
  </w:style>
  <w:style w:type="character" w:customStyle="1" w:styleId="Ttulo6Car">
    <w:name w:val="Título 6 Car"/>
    <w:basedOn w:val="Fuentedeprrafopredeter"/>
    <w:link w:val="Ttulo6"/>
    <w:rsid w:val="00871D37"/>
    <w:rPr>
      <w:rFonts w:ascii="Calibri" w:eastAsia="Batang" w:hAnsi="Calibri" w:cs="Times New Roman"/>
      <w:b/>
      <w:bCs/>
      <w:lang w:eastAsia="es-MX"/>
    </w:rPr>
  </w:style>
  <w:style w:type="character" w:customStyle="1" w:styleId="Ttulo9Car">
    <w:name w:val="Título 9 Car"/>
    <w:basedOn w:val="Fuentedeprrafopredeter"/>
    <w:link w:val="Ttulo9"/>
    <w:rsid w:val="00871D37"/>
    <w:rPr>
      <w:rFonts w:ascii="Bookman Old Style" w:eastAsia="Times New Roman" w:hAnsi="Bookman Old Style" w:cs="Times New Roman"/>
      <w:b/>
      <w:sz w:val="24"/>
      <w:szCs w:val="26"/>
      <w:lang w:eastAsia="es-MX"/>
    </w:rPr>
  </w:style>
  <w:style w:type="paragraph" w:styleId="Piedepgina">
    <w:name w:val="footer"/>
    <w:link w:val="PiedepginaCar"/>
    <w:autoRedefine/>
    <w:rsid w:val="00871D37"/>
    <w:pPr>
      <w:tabs>
        <w:tab w:val="center" w:pos="4252"/>
        <w:tab w:val="right" w:pos="8504"/>
      </w:tabs>
      <w:overflowPunct w:val="0"/>
      <w:autoSpaceDE w:val="0"/>
      <w:autoSpaceDN w:val="0"/>
      <w:adjustRightInd w:val="0"/>
      <w:spacing w:after="0" w:line="240" w:lineRule="auto"/>
      <w:jc w:val="right"/>
      <w:textAlignment w:val="baseline"/>
    </w:pPr>
    <w:rPr>
      <w:rFonts w:ascii="Courier New" w:eastAsia="Times New Roman" w:hAnsi="Courier New" w:cs="Times New Roman"/>
      <w:sz w:val="16"/>
      <w:szCs w:val="20"/>
      <w:lang w:eastAsia="es-ES"/>
    </w:rPr>
  </w:style>
  <w:style w:type="character" w:customStyle="1" w:styleId="PiedepginaCar">
    <w:name w:val="Pie de página Car"/>
    <w:basedOn w:val="Fuentedeprrafopredeter"/>
    <w:link w:val="Piedepgina"/>
    <w:rsid w:val="00871D37"/>
    <w:rPr>
      <w:rFonts w:ascii="Courier New" w:eastAsia="Times New Roman" w:hAnsi="Courier New" w:cs="Times New Roman"/>
      <w:sz w:val="16"/>
      <w:szCs w:val="20"/>
      <w:lang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t,texto de nota al p,Car,C"/>
    <w:basedOn w:val="Normal"/>
    <w:link w:val="TextonotapieCar1"/>
    <w:autoRedefine/>
    <w:qFormat/>
    <w:rsid w:val="005B274F"/>
    <w:pPr>
      <w:overflowPunct w:val="0"/>
      <w:autoSpaceDE w:val="0"/>
      <w:autoSpaceDN w:val="0"/>
      <w:adjustRightInd w:val="0"/>
      <w:spacing w:line="240" w:lineRule="auto"/>
      <w:textAlignment w:val="baseline"/>
    </w:pPr>
    <w:rPr>
      <w:rFonts w:ascii="Bookman Old Style" w:hAnsi="Bookman Old Style" w:cs="Tahoma"/>
      <w:sz w:val="22"/>
      <w:szCs w:val="20"/>
      <w:lang w:eastAsia="es-ES"/>
    </w:rPr>
  </w:style>
  <w:style w:type="character" w:customStyle="1" w:styleId="TextonotapieCar">
    <w:name w:val="Texto nota pie Car"/>
    <w:aliases w:val="Footnote Text Char Char Char Car1,Footnote Text Char Char Char Car Car Car Car,Footnote Text Char Char Char Car Car"/>
    <w:basedOn w:val="Fuentedeprrafopredeter"/>
    <w:rsid w:val="00871D37"/>
    <w:rPr>
      <w:rFonts w:ascii="Tahoma" w:eastAsia="Times New Roman" w:hAnsi="Tahoma" w:cs="Times New Roman"/>
      <w:sz w:val="20"/>
      <w:szCs w:val="20"/>
      <w:lang w:eastAsia="es-MX"/>
    </w:rPr>
  </w:style>
  <w:style w:type="paragraph" w:customStyle="1" w:styleId="Citajurisprudencial">
    <w:name w:val="Cita jurisprudencial"/>
    <w:autoRedefine/>
    <w:rsid w:val="00871D37"/>
    <w:pPr>
      <w:tabs>
        <w:tab w:val="left" w:pos="8460"/>
      </w:tabs>
      <w:spacing w:after="0" w:line="360" w:lineRule="auto"/>
      <w:ind w:left="709" w:right="709"/>
      <w:jc w:val="both"/>
    </w:pPr>
    <w:rPr>
      <w:rFonts w:ascii="Verdana" w:eastAsia="Times New Roman" w:hAnsi="Verdana" w:cs="Times New Roman"/>
      <w:sz w:val="20"/>
      <w:szCs w:val="28"/>
      <w:lang w:eastAsia="es-ES"/>
    </w:rPr>
  </w:style>
  <w:style w:type="character" w:customStyle="1" w:styleId="Nombreprincipal">
    <w:name w:val="Nombre principal"/>
    <w:rsid w:val="00871D37"/>
    <w:rPr>
      <w:rFonts w:ascii="Tahoma" w:hAnsi="Tahoma"/>
      <w:b/>
      <w:smallCaps/>
      <w:sz w:val="22"/>
    </w:rPr>
  </w:style>
  <w:style w:type="character" w:styleId="Refdenotaalpie">
    <w:name w:val="footnote reference"/>
    <w:aliases w:val="Texto de nota al pie,referencia nota al pie,Appel note de bas de page,Footnotes refss,BVI fnr,Footnote symbol,Footnote,Ref. de nota al pie2,Nota de pie,Ref,de nota al pie,Pie de pagina,Ref. ...,Ref1,FC,Ref. de nota al pie 2,FZ,f,4_G"/>
    <w:qFormat/>
    <w:rsid w:val="00871D37"/>
    <w:rPr>
      <w:rFonts w:ascii="Verdana" w:hAnsi="Verdana"/>
      <w:sz w:val="20"/>
      <w:vertAlign w:val="superscript"/>
    </w:rPr>
  </w:style>
  <w:style w:type="character" w:customStyle="1" w:styleId="Algerian">
    <w:name w:val="Algerian"/>
    <w:rsid w:val="00871D37"/>
    <w:rPr>
      <w:rFonts w:ascii="Algerian" w:hAnsi="Algerian"/>
      <w:sz w:val="30"/>
    </w:rPr>
  </w:style>
  <w:style w:type="paragraph" w:styleId="Encabezado">
    <w:name w:val="header"/>
    <w:basedOn w:val="Normal"/>
    <w:link w:val="EncabezadoCar"/>
    <w:rsid w:val="00871D37"/>
    <w:pPr>
      <w:tabs>
        <w:tab w:val="center" w:pos="4252"/>
        <w:tab w:val="right" w:pos="8504"/>
      </w:tabs>
    </w:pPr>
    <w:rPr>
      <w:rFonts w:eastAsia="Batang"/>
    </w:rPr>
  </w:style>
  <w:style w:type="character" w:customStyle="1" w:styleId="EncabezadoCar">
    <w:name w:val="Encabezado Car"/>
    <w:basedOn w:val="Fuentedeprrafopredeter"/>
    <w:link w:val="Encabezado"/>
    <w:rsid w:val="00871D37"/>
    <w:rPr>
      <w:rFonts w:ascii="Tahoma" w:eastAsia="Batang" w:hAnsi="Tahoma" w:cs="Times New Roman"/>
      <w:sz w:val="26"/>
      <w:szCs w:val="26"/>
      <w:lang w:eastAsia="es-MX"/>
    </w:rPr>
  </w:style>
  <w:style w:type="paragraph" w:styleId="Textoindependiente2">
    <w:name w:val="Body Text 2"/>
    <w:basedOn w:val="Normal"/>
    <w:link w:val="Textoindependiente2Car"/>
    <w:semiHidden/>
    <w:rsid w:val="00871D37"/>
    <w:pPr>
      <w:overflowPunct w:val="0"/>
      <w:autoSpaceDE w:val="0"/>
      <w:autoSpaceDN w:val="0"/>
      <w:adjustRightInd w:val="0"/>
    </w:pPr>
    <w:rPr>
      <w:rFonts w:ascii="Bookman Old Style" w:hAnsi="Bookman Old Style"/>
      <w:sz w:val="24"/>
      <w:lang w:val="es-CO"/>
    </w:rPr>
  </w:style>
  <w:style w:type="character" w:customStyle="1" w:styleId="Textoindependiente2Car">
    <w:name w:val="Texto independiente 2 Car"/>
    <w:basedOn w:val="Fuentedeprrafopredeter"/>
    <w:link w:val="Textoindependiente2"/>
    <w:semiHidden/>
    <w:rsid w:val="00871D37"/>
    <w:rPr>
      <w:rFonts w:ascii="Bookman Old Style" w:eastAsia="Times New Roman" w:hAnsi="Bookman Old Style" w:cs="Times New Roman"/>
      <w:sz w:val="24"/>
      <w:szCs w:val="26"/>
      <w:lang w:val="es-CO" w:eastAsia="es-MX"/>
    </w:rPr>
  </w:style>
  <w:style w:type="paragraph" w:customStyle="1" w:styleId="Tablaidentificadora">
    <w:name w:val="Tabla identificadora"/>
    <w:basedOn w:val="Normal"/>
    <w:uiPriority w:val="99"/>
    <w:rsid w:val="00871D37"/>
    <w:pPr>
      <w:spacing w:line="240" w:lineRule="auto"/>
    </w:pPr>
    <w:rPr>
      <w:sz w:val="24"/>
    </w:rPr>
  </w:style>
  <w:style w:type="paragraph" w:styleId="Textoindependiente3">
    <w:name w:val="Body Text 3"/>
    <w:basedOn w:val="Normal"/>
    <w:link w:val="Textoindependiente3Car"/>
    <w:uiPriority w:val="99"/>
    <w:rsid w:val="00871D37"/>
    <w:pPr>
      <w:spacing w:after="120"/>
    </w:pPr>
    <w:rPr>
      <w:sz w:val="16"/>
      <w:szCs w:val="16"/>
    </w:rPr>
  </w:style>
  <w:style w:type="character" w:customStyle="1" w:styleId="Textoindependiente3Car">
    <w:name w:val="Texto independiente 3 Car"/>
    <w:basedOn w:val="Fuentedeprrafopredeter"/>
    <w:link w:val="Textoindependiente3"/>
    <w:uiPriority w:val="99"/>
    <w:rsid w:val="00871D37"/>
    <w:rPr>
      <w:rFonts w:ascii="Tahoma" w:eastAsia="Times New Roman" w:hAnsi="Tahoma" w:cs="Times New Roman"/>
      <w:sz w:val="16"/>
      <w:szCs w:val="16"/>
      <w:lang w:eastAsia="es-MX"/>
    </w:rPr>
  </w:style>
  <w:style w:type="character" w:customStyle="1" w:styleId="Numeracinttulo">
    <w:name w:val="Numeración título"/>
    <w:rsid w:val="00871D37"/>
    <w:rPr>
      <w:rFonts w:ascii="Tahoma" w:hAnsi="Tahoma"/>
      <w:b/>
      <w:sz w:val="24"/>
    </w:rPr>
  </w:style>
  <w:style w:type="paragraph" w:customStyle="1" w:styleId="AlgerianTtulo">
    <w:name w:val="Algerian Título"/>
    <w:next w:val="Normal"/>
    <w:link w:val="AlgerianTtuloCar"/>
    <w:rsid w:val="00871D37"/>
    <w:pPr>
      <w:tabs>
        <w:tab w:val="left" w:pos="1202"/>
      </w:tabs>
      <w:spacing w:after="0" w:line="360" w:lineRule="auto"/>
      <w:jc w:val="both"/>
    </w:pPr>
    <w:rPr>
      <w:rFonts w:ascii="Algerian" w:eastAsia="Tahoma" w:hAnsi="Algerian" w:cs="Tahoma"/>
      <w:sz w:val="30"/>
      <w:szCs w:val="26"/>
      <w:lang w:eastAsia="es-ES"/>
    </w:rPr>
  </w:style>
  <w:style w:type="character" w:customStyle="1" w:styleId="AlgerianTtuloCar">
    <w:name w:val="Algerian Título Car"/>
    <w:link w:val="AlgerianTtulo"/>
    <w:rsid w:val="00871D37"/>
    <w:rPr>
      <w:rFonts w:ascii="Algerian" w:eastAsia="Tahoma" w:hAnsi="Algerian" w:cs="Tahoma"/>
      <w:sz w:val="30"/>
      <w:szCs w:val="26"/>
      <w:lang w:eastAsia="es-ES"/>
    </w:rPr>
  </w:style>
  <w:style w:type="paragraph" w:customStyle="1" w:styleId="Sinespaciado1">
    <w:name w:val="Sin espaciado1"/>
    <w:rsid w:val="00871D37"/>
    <w:pPr>
      <w:spacing w:after="0" w:line="240" w:lineRule="auto"/>
    </w:pPr>
    <w:rPr>
      <w:rFonts w:ascii="Verdana" w:eastAsia="Times New Roman" w:hAnsi="Verdana" w:cs="Times New Roman"/>
      <w:sz w:val="28"/>
    </w:rPr>
  </w:style>
  <w:style w:type="character" w:styleId="Nmerodepgina">
    <w:name w:val="page number"/>
    <w:rsid w:val="00871D37"/>
  </w:style>
  <w:style w:type="paragraph" w:styleId="Textoindependiente">
    <w:name w:val="Body Text"/>
    <w:basedOn w:val="Normal"/>
    <w:link w:val="TextoindependienteCar"/>
    <w:rsid w:val="00871D37"/>
    <w:pPr>
      <w:spacing w:after="120"/>
    </w:pPr>
  </w:style>
  <w:style w:type="character" w:customStyle="1" w:styleId="TextoindependienteCar">
    <w:name w:val="Texto independiente Car"/>
    <w:basedOn w:val="Fuentedeprrafopredeter"/>
    <w:link w:val="Textoindependiente"/>
    <w:rsid w:val="00871D37"/>
    <w:rPr>
      <w:rFonts w:ascii="Tahoma" w:eastAsia="Times New Roman" w:hAnsi="Tahoma" w:cs="Times New Roman"/>
      <w:sz w:val="26"/>
      <w:szCs w:val="26"/>
      <w:lang w:eastAsia="es-MX"/>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ft Car,C Car"/>
    <w:link w:val="Textonotapie"/>
    <w:rsid w:val="005B274F"/>
    <w:rPr>
      <w:rFonts w:ascii="Bookman Old Style" w:eastAsia="Times New Roman" w:hAnsi="Bookman Old Style" w:cs="Tahoma"/>
      <w:szCs w:val="20"/>
      <w:lang w:eastAsia="es-ES"/>
    </w:rPr>
  </w:style>
  <w:style w:type="paragraph" w:styleId="Textosinformato">
    <w:name w:val="Plain Text"/>
    <w:basedOn w:val="Normal"/>
    <w:link w:val="TextosinformatoCar"/>
    <w:rsid w:val="00871D37"/>
    <w:pPr>
      <w:spacing w:line="240" w:lineRule="auto"/>
      <w:jc w:val="left"/>
    </w:pPr>
    <w:rPr>
      <w:rFonts w:ascii="Courier New" w:hAnsi="Courier New" w:cs="Courier New"/>
      <w:sz w:val="20"/>
      <w:szCs w:val="20"/>
      <w:lang w:eastAsia="es-ES"/>
    </w:rPr>
  </w:style>
  <w:style w:type="character" w:customStyle="1" w:styleId="TextosinformatoCar">
    <w:name w:val="Texto sin formato Car"/>
    <w:basedOn w:val="Fuentedeprrafopredeter"/>
    <w:link w:val="Textosinformato"/>
    <w:rsid w:val="00871D37"/>
    <w:rPr>
      <w:rFonts w:ascii="Courier New" w:eastAsia="Times New Roman" w:hAnsi="Courier New" w:cs="Courier New"/>
      <w:sz w:val="20"/>
      <w:szCs w:val="20"/>
      <w:lang w:eastAsia="es-ES"/>
    </w:rPr>
  </w:style>
  <w:style w:type="paragraph" w:styleId="Textodeglobo">
    <w:name w:val="Balloon Text"/>
    <w:basedOn w:val="Normal"/>
    <w:link w:val="TextodegloboCar"/>
    <w:rsid w:val="00871D3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871D37"/>
    <w:rPr>
      <w:rFonts w:ascii="Segoe UI" w:eastAsia="Times New Roman" w:hAnsi="Segoe UI" w:cs="Segoe UI"/>
      <w:sz w:val="18"/>
      <w:szCs w:val="18"/>
      <w:lang w:eastAsia="es-MX"/>
    </w:rPr>
  </w:style>
  <w:style w:type="paragraph" w:styleId="Sangradetextonormal">
    <w:name w:val="Body Text Indent"/>
    <w:basedOn w:val="Normal"/>
    <w:link w:val="SangradetextonormalCar"/>
    <w:rsid w:val="00871D37"/>
    <w:pPr>
      <w:spacing w:after="120"/>
      <w:ind w:left="283"/>
    </w:pPr>
  </w:style>
  <w:style w:type="character" w:customStyle="1" w:styleId="SangradetextonormalCar">
    <w:name w:val="Sangría de texto normal Car"/>
    <w:basedOn w:val="Fuentedeprrafopredeter"/>
    <w:link w:val="Sangradetextonormal"/>
    <w:rsid w:val="00871D37"/>
    <w:rPr>
      <w:rFonts w:ascii="Tahoma" w:eastAsia="Times New Roman" w:hAnsi="Tahoma" w:cs="Times New Roman"/>
      <w:sz w:val="26"/>
      <w:szCs w:val="26"/>
      <w:lang w:eastAsia="es-MX"/>
    </w:rPr>
  </w:style>
  <w:style w:type="paragraph" w:styleId="Ttulo">
    <w:name w:val="Title"/>
    <w:basedOn w:val="Normal"/>
    <w:link w:val="TtuloCar"/>
    <w:qFormat/>
    <w:rsid w:val="00871D37"/>
    <w:pPr>
      <w:jc w:val="center"/>
    </w:pPr>
    <w:rPr>
      <w:rFonts w:ascii="Arial" w:hAnsi="Arial"/>
      <w:b/>
      <w:bCs/>
      <w:sz w:val="32"/>
      <w:szCs w:val="20"/>
      <w:lang w:eastAsia="es-ES"/>
    </w:rPr>
  </w:style>
  <w:style w:type="character" w:customStyle="1" w:styleId="TtuloCar">
    <w:name w:val="Título Car"/>
    <w:basedOn w:val="Fuentedeprrafopredeter"/>
    <w:link w:val="Ttulo"/>
    <w:rsid w:val="00871D37"/>
    <w:rPr>
      <w:rFonts w:ascii="Arial" w:eastAsia="Times New Roman" w:hAnsi="Arial" w:cs="Times New Roman"/>
      <w:b/>
      <w:bCs/>
      <w:sz w:val="32"/>
      <w:szCs w:val="20"/>
      <w:lang w:eastAsia="es-ES"/>
    </w:rPr>
  </w:style>
  <w:style w:type="paragraph" w:customStyle="1" w:styleId="Profesin">
    <w:name w:val="ProfesiÛn"/>
    <w:basedOn w:val="Normal"/>
    <w:rsid w:val="00871D37"/>
    <w:pPr>
      <w:tabs>
        <w:tab w:val="left" w:pos="1134"/>
      </w:tabs>
      <w:spacing w:line="360" w:lineRule="atLeast"/>
      <w:jc w:val="center"/>
    </w:pPr>
    <w:rPr>
      <w:rFonts w:ascii="Arial" w:eastAsia="Calibri" w:hAnsi="Arial"/>
      <w:b/>
      <w:sz w:val="32"/>
      <w:szCs w:val="20"/>
      <w:lang w:val="es-CO" w:eastAsia="es-CO"/>
    </w:rPr>
  </w:style>
  <w:style w:type="paragraph" w:customStyle="1" w:styleId="Normal1">
    <w:name w:val="Normal1"/>
    <w:rsid w:val="00871D37"/>
    <w:pPr>
      <w:spacing w:after="0" w:line="240" w:lineRule="auto"/>
    </w:pPr>
    <w:rPr>
      <w:rFonts w:ascii="Times New Roman" w:eastAsia="Times New Roman" w:hAnsi="Times New Roman" w:cs="Times New Roman"/>
      <w:color w:val="000000"/>
      <w:sz w:val="20"/>
      <w:lang w:val="es-CO" w:eastAsia="es-CO"/>
    </w:rPr>
  </w:style>
  <w:style w:type="character" w:customStyle="1" w:styleId="Cuerpodeltexto">
    <w:name w:val="Cuerpo del texto_"/>
    <w:link w:val="Cuerpodeltexto0"/>
    <w:rsid w:val="00871D37"/>
    <w:rPr>
      <w:rFonts w:ascii="Century Gothic" w:eastAsia="Century Gothic" w:hAnsi="Century Gothic" w:cs="Century Gothic"/>
      <w:shd w:val="clear" w:color="auto" w:fill="FFFFFF"/>
    </w:rPr>
  </w:style>
  <w:style w:type="paragraph" w:customStyle="1" w:styleId="Cuerpodeltexto0">
    <w:name w:val="Cuerpo del texto"/>
    <w:basedOn w:val="Normal"/>
    <w:link w:val="Cuerpodeltexto"/>
    <w:rsid w:val="00871D37"/>
    <w:pPr>
      <w:shd w:val="clear" w:color="auto" w:fill="FFFFFF"/>
      <w:spacing w:before="300" w:after="240" w:line="269" w:lineRule="exact"/>
    </w:pPr>
    <w:rPr>
      <w:rFonts w:ascii="Century Gothic" w:eastAsia="Century Gothic" w:hAnsi="Century Gothic" w:cs="Century Gothic"/>
      <w:sz w:val="22"/>
      <w:szCs w:val="22"/>
      <w:lang w:eastAsia="en-US"/>
    </w:rPr>
  </w:style>
  <w:style w:type="character" w:customStyle="1" w:styleId="FontStyle21">
    <w:name w:val="Font Style21"/>
    <w:uiPriority w:val="99"/>
    <w:rsid w:val="00871D37"/>
    <w:rPr>
      <w:rFonts w:ascii="Tahoma" w:hAnsi="Tahoma" w:cs="Tahoma"/>
      <w:sz w:val="22"/>
      <w:szCs w:val="22"/>
    </w:rPr>
  </w:style>
  <w:style w:type="character" w:customStyle="1" w:styleId="SinespaciadoCar">
    <w:name w:val="Sin espaciado Car"/>
    <w:link w:val="Sinespaciado"/>
    <w:uiPriority w:val="1"/>
    <w:locked/>
    <w:rsid w:val="00871D37"/>
    <w:rPr>
      <w:rFonts w:ascii="Calibri" w:eastAsia="Times New Roman" w:hAnsi="Calibri" w:cs="Calibri"/>
    </w:rPr>
  </w:style>
  <w:style w:type="paragraph" w:styleId="Sinespaciado">
    <w:name w:val="No Spacing"/>
    <w:link w:val="SinespaciadoCar"/>
    <w:uiPriority w:val="1"/>
    <w:qFormat/>
    <w:rsid w:val="00871D37"/>
    <w:pPr>
      <w:spacing w:after="0" w:line="240" w:lineRule="auto"/>
    </w:pPr>
    <w:rPr>
      <w:rFonts w:ascii="Calibri" w:eastAsia="Times New Roman" w:hAnsi="Calibri" w:cs="Calibri"/>
    </w:rPr>
  </w:style>
  <w:style w:type="character" w:customStyle="1" w:styleId="Refdenotaalpie1Car">
    <w:name w:val="Ref. de nota al pie1 Car"/>
    <w:aliases w:val="Texto de nota al pie Car,Footnotes refss Car,Appel note de bas de page Car,referencia nota al pie Car,Footnote number Car,BVI fnr Car,f Car"/>
    <w:uiPriority w:val="99"/>
    <w:rsid w:val="00871D37"/>
    <w:rPr>
      <w:rFonts w:ascii="Verdana" w:hAnsi="Verdana" w:cs="Times New Roman"/>
      <w:lang w:val="x-none" w:eastAsia="x-none"/>
    </w:rPr>
  </w:style>
  <w:style w:type="paragraph" w:styleId="Prrafodelista">
    <w:name w:val="List Paragraph"/>
    <w:basedOn w:val="Normal"/>
    <w:uiPriority w:val="34"/>
    <w:qFormat/>
    <w:rsid w:val="002560BC"/>
    <w:pPr>
      <w:ind w:left="720"/>
      <w:contextualSpacing/>
    </w:pPr>
  </w:style>
  <w:style w:type="paragraph" w:styleId="NormalWeb">
    <w:name w:val="Normal (Web)"/>
    <w:basedOn w:val="Normal"/>
    <w:uiPriority w:val="99"/>
    <w:semiHidden/>
    <w:unhideWhenUsed/>
    <w:rsid w:val="002560BC"/>
    <w:pPr>
      <w:spacing w:before="100" w:beforeAutospacing="1" w:after="100" w:afterAutospacing="1" w:line="240" w:lineRule="auto"/>
      <w:jc w:val="left"/>
    </w:pPr>
    <w:rPr>
      <w:rFonts w:ascii="Times New Roman" w:hAnsi="Times New Roman"/>
      <w:sz w:val="24"/>
      <w:szCs w:val="24"/>
      <w:lang w:val="es-CO" w:eastAsia="es-CO"/>
    </w:rPr>
  </w:style>
  <w:style w:type="character" w:styleId="Textoennegrita">
    <w:name w:val="Strong"/>
    <w:basedOn w:val="Fuentedeprrafopredeter"/>
    <w:uiPriority w:val="22"/>
    <w:qFormat/>
    <w:rsid w:val="00B410FC"/>
    <w:rPr>
      <w:b/>
      <w:bCs/>
    </w:rPr>
  </w:style>
  <w:style w:type="character" w:styleId="nfasis">
    <w:name w:val="Emphasis"/>
    <w:basedOn w:val="Fuentedeprrafopredeter"/>
    <w:uiPriority w:val="20"/>
    <w:qFormat/>
    <w:rsid w:val="00B410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5501">
      <w:bodyDiv w:val="1"/>
      <w:marLeft w:val="0"/>
      <w:marRight w:val="0"/>
      <w:marTop w:val="0"/>
      <w:marBottom w:val="0"/>
      <w:divBdr>
        <w:top w:val="none" w:sz="0" w:space="0" w:color="auto"/>
        <w:left w:val="none" w:sz="0" w:space="0" w:color="auto"/>
        <w:bottom w:val="none" w:sz="0" w:space="0" w:color="auto"/>
        <w:right w:val="none" w:sz="0" w:space="0" w:color="auto"/>
      </w:divBdr>
    </w:div>
    <w:div w:id="142737952">
      <w:bodyDiv w:val="1"/>
      <w:marLeft w:val="0"/>
      <w:marRight w:val="0"/>
      <w:marTop w:val="0"/>
      <w:marBottom w:val="0"/>
      <w:divBdr>
        <w:top w:val="none" w:sz="0" w:space="0" w:color="auto"/>
        <w:left w:val="none" w:sz="0" w:space="0" w:color="auto"/>
        <w:bottom w:val="none" w:sz="0" w:space="0" w:color="auto"/>
        <w:right w:val="none" w:sz="0" w:space="0" w:color="auto"/>
      </w:divBdr>
    </w:div>
    <w:div w:id="123509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1</Pages>
  <Words>5014</Words>
  <Characters>27582</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Zuly Andrea Guisao Restrepo</dc:creator>
  <cp:keywords/>
  <dc:description/>
  <cp:lastModifiedBy>ALONSO GAVIRIA</cp:lastModifiedBy>
  <cp:revision>69</cp:revision>
  <cp:lastPrinted>2019-08-14T20:27:00Z</cp:lastPrinted>
  <dcterms:created xsi:type="dcterms:W3CDTF">2024-09-02T11:41:00Z</dcterms:created>
  <dcterms:modified xsi:type="dcterms:W3CDTF">2024-11-07T20:41:00Z</dcterms:modified>
</cp:coreProperties>
</file>