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D096D" w14:textId="72081EA5" w:rsidR="00E67486" w:rsidRPr="00AD0C98" w:rsidRDefault="00AD0C98" w:rsidP="00E67486">
      <w:pPr>
        <w:spacing w:line="240" w:lineRule="auto"/>
        <w:rPr>
          <w:rFonts w:ascii="Arial" w:eastAsia="Times New Roman" w:hAnsi="Arial" w:cs="Arial"/>
          <w:b/>
          <w:sz w:val="20"/>
          <w:szCs w:val="12"/>
          <w:lang w:eastAsia="es-MX"/>
        </w:rPr>
      </w:pPr>
      <w:r>
        <w:rPr>
          <w:rFonts w:ascii="Arial" w:eastAsia="Times New Roman" w:hAnsi="Arial" w:cs="Arial"/>
          <w:b/>
          <w:sz w:val="20"/>
          <w:szCs w:val="12"/>
          <w:lang w:eastAsia="es-MX"/>
        </w:rPr>
        <w:t>HABEAS DATA / CERTIFICADO ANTECEDENTES / SUBSIDIARIEDAD / IMPROCEDENCIA TUTELA</w:t>
      </w:r>
    </w:p>
    <w:p w14:paraId="1CCF65C1" w14:textId="18E234D1" w:rsidR="00E67486" w:rsidRPr="00E67486" w:rsidRDefault="00B764A0" w:rsidP="00AD0C98">
      <w:pPr>
        <w:spacing w:line="240" w:lineRule="auto"/>
        <w:rPr>
          <w:rFonts w:ascii="Arial" w:eastAsia="Times New Roman" w:hAnsi="Arial" w:cs="Arial"/>
          <w:sz w:val="20"/>
          <w:szCs w:val="12"/>
          <w:lang w:eastAsia="es-MX"/>
        </w:rPr>
      </w:pPr>
      <w:r w:rsidRPr="00B764A0">
        <w:rPr>
          <w:rFonts w:ascii="Arial" w:eastAsia="Times New Roman" w:hAnsi="Arial" w:cs="Arial"/>
          <w:sz w:val="20"/>
          <w:szCs w:val="12"/>
          <w:lang w:eastAsia="es-MX"/>
        </w:rPr>
        <w:t>De entrada, el Tribunal advierte que la decisión que adoptó el juzgado de primera instancia fue acertada, ya que, conforme con las manifestaciones del accionante, se puede pregonar que se pretende utilizar la vía constitucional como un mecanismo judicial alternativo para que sea el juez constitucional quien adopte una decisión favorable a sus intereses, sin solicitar previamente a los despachos judiciales que conocieron del caso en su contra, ni a las autoridades que administran tal información, que atendieran su reclamo</w:t>
      </w:r>
      <w:r>
        <w:rPr>
          <w:rFonts w:ascii="Arial" w:eastAsia="Times New Roman" w:hAnsi="Arial" w:cs="Arial"/>
          <w:sz w:val="20"/>
          <w:szCs w:val="12"/>
          <w:lang w:eastAsia="es-MX"/>
        </w:rPr>
        <w:t xml:space="preserve">… </w:t>
      </w:r>
      <w:r w:rsidR="00AD0C98" w:rsidRPr="00AD0C98">
        <w:rPr>
          <w:rFonts w:ascii="Arial" w:eastAsia="Times New Roman" w:hAnsi="Arial" w:cs="Arial"/>
          <w:sz w:val="20"/>
          <w:szCs w:val="12"/>
          <w:lang w:eastAsia="es-MX"/>
        </w:rPr>
        <w:t>Puntualmente al respecto se ha sostenido:</w:t>
      </w:r>
      <w:r w:rsidR="00AD0C98">
        <w:rPr>
          <w:rFonts w:ascii="Arial" w:eastAsia="Times New Roman" w:hAnsi="Arial" w:cs="Arial"/>
          <w:sz w:val="20"/>
          <w:szCs w:val="12"/>
          <w:lang w:eastAsia="es-MX"/>
        </w:rPr>
        <w:t xml:space="preserve"> </w:t>
      </w:r>
      <w:r w:rsidR="00AD0C98" w:rsidRPr="00AD0C98">
        <w:rPr>
          <w:rFonts w:ascii="Arial" w:eastAsia="Times New Roman" w:hAnsi="Arial" w:cs="Arial"/>
          <w:sz w:val="20"/>
          <w:szCs w:val="12"/>
          <w:lang w:eastAsia="es-MX"/>
        </w:rPr>
        <w:t xml:space="preserve">“[…] dada la naturaleza </w:t>
      </w:r>
      <w:proofErr w:type="spellStart"/>
      <w:r w:rsidR="00AD0C98" w:rsidRPr="00AD0C98">
        <w:rPr>
          <w:rFonts w:ascii="Arial" w:eastAsia="Times New Roman" w:hAnsi="Arial" w:cs="Arial"/>
          <w:sz w:val="20"/>
          <w:szCs w:val="12"/>
          <w:lang w:eastAsia="es-MX"/>
        </w:rPr>
        <w:t>supletiva</w:t>
      </w:r>
      <w:proofErr w:type="spellEnd"/>
      <w:r w:rsidR="00AD0C98" w:rsidRPr="00AD0C98">
        <w:rPr>
          <w:rFonts w:ascii="Arial" w:eastAsia="Times New Roman" w:hAnsi="Arial" w:cs="Arial"/>
          <w:sz w:val="20"/>
          <w:szCs w:val="12"/>
          <w:lang w:eastAsia="es-MX"/>
        </w:rPr>
        <w:t xml:space="preserve"> de la acción de tutela, la misma no puede ser utilizada como un medio judicial alternativo, adicional o complementario de los establecidos en el ordenamiento jurídico para la defensa de los derechos de manera preferente, como quiera que, a través de su ejercicio, no se busca reemplazar los procedimientos ordinarios o especiales y, menos aún, pretermitir los mecanismos que dentro de estos se han establecido para controvertir las decisiones que se adopten</w:t>
      </w:r>
      <w:r w:rsidR="00AD0C98">
        <w:rPr>
          <w:rFonts w:ascii="Arial" w:eastAsia="Times New Roman" w:hAnsi="Arial" w:cs="Arial"/>
          <w:sz w:val="20"/>
          <w:szCs w:val="12"/>
          <w:lang w:eastAsia="es-MX"/>
        </w:rPr>
        <w:t>.”</w:t>
      </w:r>
    </w:p>
    <w:p w14:paraId="5B7F57B5" w14:textId="77777777" w:rsidR="00E67486" w:rsidRPr="00E67486" w:rsidRDefault="00E67486" w:rsidP="00E67486">
      <w:pPr>
        <w:spacing w:line="240" w:lineRule="auto"/>
        <w:rPr>
          <w:rFonts w:ascii="Arial" w:eastAsia="Times New Roman" w:hAnsi="Arial" w:cs="Arial"/>
          <w:sz w:val="20"/>
          <w:szCs w:val="12"/>
          <w:lang w:eastAsia="es-MX"/>
        </w:rPr>
      </w:pPr>
    </w:p>
    <w:p w14:paraId="08C1C709" w14:textId="77777777" w:rsidR="00E67486" w:rsidRPr="00E67486" w:rsidRDefault="00E67486" w:rsidP="00E67486">
      <w:pPr>
        <w:spacing w:line="240" w:lineRule="auto"/>
        <w:rPr>
          <w:rFonts w:ascii="Arial" w:eastAsia="Times New Roman" w:hAnsi="Arial" w:cs="Arial"/>
          <w:sz w:val="20"/>
          <w:szCs w:val="12"/>
          <w:lang w:eastAsia="es-MX"/>
        </w:rPr>
      </w:pPr>
    </w:p>
    <w:p w14:paraId="0CFD48EA" w14:textId="77777777" w:rsidR="00E67486" w:rsidRPr="00E67486" w:rsidRDefault="00E67486" w:rsidP="00E67486">
      <w:pPr>
        <w:spacing w:line="240" w:lineRule="auto"/>
        <w:rPr>
          <w:rFonts w:ascii="Arial" w:eastAsia="Times New Roman" w:hAnsi="Arial" w:cs="Arial"/>
          <w:sz w:val="20"/>
          <w:szCs w:val="12"/>
          <w:lang w:eastAsia="es-MX"/>
        </w:rPr>
      </w:pPr>
    </w:p>
    <w:p w14:paraId="6BE2E5AA" w14:textId="77777777" w:rsidR="00E67486" w:rsidRPr="00E67486" w:rsidRDefault="00E67486" w:rsidP="00E67486">
      <w:pPr>
        <w:spacing w:line="240" w:lineRule="auto"/>
        <w:jc w:val="center"/>
        <w:rPr>
          <w:rFonts w:eastAsia="Times New Roman" w:cs="Times New Roman"/>
          <w:b/>
          <w:sz w:val="16"/>
          <w:szCs w:val="12"/>
          <w:lang w:eastAsia="es-MX"/>
        </w:rPr>
      </w:pPr>
      <w:r w:rsidRPr="00E67486">
        <w:rPr>
          <w:rFonts w:eastAsia="Times New Roman" w:cs="Times New Roman"/>
          <w:b/>
          <w:sz w:val="16"/>
          <w:szCs w:val="12"/>
          <w:lang w:eastAsia="es-MX"/>
        </w:rPr>
        <w:t>REPÚBLICA DE COLOMBIA</w:t>
      </w:r>
    </w:p>
    <w:p w14:paraId="7A918E7C" w14:textId="77777777" w:rsidR="00E67486" w:rsidRPr="00E67486" w:rsidRDefault="00E67486" w:rsidP="00E67486">
      <w:pPr>
        <w:spacing w:line="240" w:lineRule="auto"/>
        <w:jc w:val="center"/>
        <w:rPr>
          <w:rFonts w:eastAsia="Times New Roman" w:cs="Times New Roman"/>
          <w:b/>
          <w:sz w:val="16"/>
          <w:szCs w:val="12"/>
          <w:lang w:eastAsia="es-MX"/>
        </w:rPr>
      </w:pPr>
      <w:r w:rsidRPr="00E67486">
        <w:rPr>
          <w:rFonts w:eastAsia="Times New Roman" w:cs="Times New Roman"/>
          <w:b/>
          <w:sz w:val="16"/>
          <w:szCs w:val="12"/>
          <w:lang w:eastAsia="es-MX"/>
        </w:rPr>
        <w:t>PEREIRA-RISARALDA</w:t>
      </w:r>
    </w:p>
    <w:p w14:paraId="3D142242" w14:textId="16AF76C5" w:rsidR="00E67486" w:rsidRPr="00E67486" w:rsidRDefault="00E67486" w:rsidP="00E67486">
      <w:pPr>
        <w:spacing w:line="240" w:lineRule="auto"/>
        <w:jc w:val="center"/>
        <w:rPr>
          <w:rFonts w:eastAsia="Times New Roman" w:cs="Times New Roman"/>
          <w:sz w:val="16"/>
          <w:szCs w:val="12"/>
          <w:lang w:eastAsia="es-MX"/>
        </w:rPr>
      </w:pPr>
      <w:r w:rsidRPr="00E67486">
        <w:rPr>
          <w:rFonts w:eastAsia="Times New Roman" w:cs="Times New Roman"/>
          <w:noProof/>
          <w:szCs w:val="20"/>
          <w:lang w:val="en-US" w:eastAsia="en-US"/>
        </w:rPr>
        <w:drawing>
          <wp:anchor distT="0" distB="0" distL="114300" distR="114300" simplePos="0" relativeHeight="251658240" behindDoc="1" locked="0" layoutInCell="1" allowOverlap="1" wp14:anchorId="44772757" wp14:editId="30E32FD9">
            <wp:simplePos x="0" y="0"/>
            <wp:positionH relativeFrom="column">
              <wp:align>center</wp:align>
            </wp:positionH>
            <wp:positionV relativeFrom="paragraph">
              <wp:posOffset>136525</wp:posOffset>
            </wp:positionV>
            <wp:extent cx="777875" cy="532130"/>
            <wp:effectExtent l="0" t="0" r="3175" b="127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7486">
        <w:rPr>
          <w:rFonts w:eastAsia="Times New Roman" w:cs="Times New Roman"/>
          <w:b/>
          <w:sz w:val="16"/>
          <w:szCs w:val="12"/>
          <w:lang w:eastAsia="es-MX"/>
        </w:rPr>
        <w:t>RAMA JUDICIAL</w:t>
      </w:r>
    </w:p>
    <w:p w14:paraId="48731784" w14:textId="77777777" w:rsidR="00E67486" w:rsidRPr="00E67486" w:rsidRDefault="00E67486" w:rsidP="00E67486">
      <w:pPr>
        <w:spacing w:line="276" w:lineRule="auto"/>
        <w:jc w:val="center"/>
        <w:rPr>
          <w:rFonts w:ascii="Algerian" w:eastAsia="Times New Roman" w:hAnsi="Algerian" w:cs="Times New Roman"/>
          <w:b/>
          <w:sz w:val="28"/>
          <w:szCs w:val="28"/>
          <w:lang w:eastAsia="es-MX"/>
        </w:rPr>
      </w:pPr>
      <w:r w:rsidRPr="00E67486">
        <w:rPr>
          <w:rFonts w:ascii="Algerian" w:eastAsia="Times New Roman" w:hAnsi="Algerian" w:cs="Times New Roman"/>
          <w:b/>
          <w:smallCaps/>
          <w:color w:val="000000"/>
          <w:sz w:val="28"/>
          <w:szCs w:val="28"/>
          <w:lang w:eastAsia="es-MX"/>
        </w:rPr>
        <w:t>TRIBUNAL SUPERIOR DE PEREIRA</w:t>
      </w:r>
    </w:p>
    <w:p w14:paraId="0259FF1E" w14:textId="77777777" w:rsidR="00E67486" w:rsidRPr="00E67486" w:rsidRDefault="00E67486" w:rsidP="00E67486">
      <w:pPr>
        <w:spacing w:line="276" w:lineRule="auto"/>
        <w:jc w:val="center"/>
        <w:rPr>
          <w:rFonts w:ascii="Algerian" w:eastAsia="Times New Roman" w:hAnsi="Algerian" w:cs="Times New Roman"/>
          <w:b/>
          <w:smallCaps/>
          <w:color w:val="000000"/>
          <w:sz w:val="28"/>
          <w:szCs w:val="28"/>
          <w:lang w:eastAsia="es-MX"/>
        </w:rPr>
      </w:pPr>
      <w:r w:rsidRPr="00E67486">
        <w:rPr>
          <w:rFonts w:ascii="Algerian" w:eastAsia="Times New Roman" w:hAnsi="Algerian" w:cs="Times New Roman"/>
          <w:b/>
          <w:smallCaps/>
          <w:color w:val="000000"/>
          <w:sz w:val="28"/>
          <w:szCs w:val="28"/>
          <w:lang w:eastAsia="es-MX"/>
        </w:rPr>
        <w:t>SALA N° 2 DE DECISIÓN PENAL</w:t>
      </w:r>
    </w:p>
    <w:p w14:paraId="519CE568" w14:textId="77777777" w:rsidR="00E67486" w:rsidRPr="00E67486" w:rsidRDefault="00E67486" w:rsidP="00E67486">
      <w:pPr>
        <w:spacing w:line="276" w:lineRule="auto"/>
        <w:jc w:val="center"/>
        <w:rPr>
          <w:rFonts w:eastAsia="Times New Roman" w:cs="Times New Roman"/>
          <w:szCs w:val="20"/>
          <w:lang w:eastAsia="es-MX"/>
        </w:rPr>
      </w:pPr>
    </w:p>
    <w:p w14:paraId="0B19B9E1" w14:textId="77777777" w:rsidR="00E67486" w:rsidRPr="00E67486" w:rsidRDefault="00E67486" w:rsidP="00E67486">
      <w:pPr>
        <w:spacing w:line="276" w:lineRule="auto"/>
        <w:jc w:val="center"/>
        <w:rPr>
          <w:rFonts w:eastAsia="Times New Roman" w:cs="Times New Roman"/>
          <w:b/>
          <w:sz w:val="24"/>
          <w:szCs w:val="24"/>
          <w:lang w:eastAsia="es-MX"/>
        </w:rPr>
      </w:pPr>
      <w:r w:rsidRPr="00E67486">
        <w:rPr>
          <w:rFonts w:eastAsia="Times New Roman" w:cs="Times New Roman"/>
          <w:szCs w:val="20"/>
          <w:lang w:eastAsia="es-MX"/>
        </w:rPr>
        <w:t xml:space="preserve">Magistrado Ponente: </w:t>
      </w:r>
      <w:r w:rsidRPr="00E67486">
        <w:rPr>
          <w:rFonts w:eastAsia="Times New Roman" w:cs="Times New Roman"/>
          <w:b/>
          <w:sz w:val="24"/>
          <w:szCs w:val="24"/>
          <w:lang w:eastAsia="es-MX"/>
        </w:rPr>
        <w:t>CARLOS ALBERTO PAZ ZÚÑIGA</w:t>
      </w:r>
    </w:p>
    <w:p w14:paraId="74FC90DA" w14:textId="77777777" w:rsidR="00E67486" w:rsidRPr="00E67486" w:rsidRDefault="00E67486" w:rsidP="00E67486">
      <w:pPr>
        <w:spacing w:line="276" w:lineRule="auto"/>
        <w:rPr>
          <w:rFonts w:eastAsia="Times New Roman"/>
          <w:position w:val="-4"/>
          <w:sz w:val="24"/>
          <w:szCs w:val="24"/>
          <w:lang w:eastAsia="es-MX"/>
        </w:rPr>
      </w:pPr>
    </w:p>
    <w:p w14:paraId="43066263" w14:textId="1FB7456C" w:rsidR="00B112BC" w:rsidRPr="00E67486" w:rsidRDefault="004B2219" w:rsidP="00E67486">
      <w:pPr>
        <w:spacing w:line="276" w:lineRule="auto"/>
        <w:jc w:val="center"/>
        <w:rPr>
          <w:sz w:val="24"/>
          <w:szCs w:val="24"/>
        </w:rPr>
      </w:pPr>
      <w:r w:rsidRPr="00E67486">
        <w:rPr>
          <w:sz w:val="24"/>
          <w:szCs w:val="24"/>
        </w:rPr>
        <w:t>Pe</w:t>
      </w:r>
      <w:r w:rsidR="00542906" w:rsidRPr="00E67486">
        <w:rPr>
          <w:sz w:val="24"/>
          <w:szCs w:val="24"/>
        </w:rPr>
        <w:t>reira,</w:t>
      </w:r>
      <w:r w:rsidR="002729BC" w:rsidRPr="00E67486">
        <w:rPr>
          <w:sz w:val="24"/>
          <w:szCs w:val="24"/>
        </w:rPr>
        <w:t xml:space="preserve"> </w:t>
      </w:r>
      <w:r w:rsidR="00B1777E" w:rsidRPr="00E67486">
        <w:rPr>
          <w:sz w:val="24"/>
          <w:szCs w:val="24"/>
        </w:rPr>
        <w:t>doce</w:t>
      </w:r>
      <w:r w:rsidR="00F85C00" w:rsidRPr="00E67486">
        <w:rPr>
          <w:sz w:val="24"/>
          <w:szCs w:val="24"/>
        </w:rPr>
        <w:t xml:space="preserve"> </w:t>
      </w:r>
      <w:r w:rsidR="00C44FE7" w:rsidRPr="00E67486">
        <w:rPr>
          <w:sz w:val="24"/>
          <w:szCs w:val="24"/>
        </w:rPr>
        <w:t>(</w:t>
      </w:r>
      <w:r w:rsidR="00B1777E" w:rsidRPr="00E67486">
        <w:rPr>
          <w:sz w:val="24"/>
          <w:szCs w:val="24"/>
        </w:rPr>
        <w:t>12</w:t>
      </w:r>
      <w:r w:rsidR="00C44FE7" w:rsidRPr="00E67486">
        <w:rPr>
          <w:sz w:val="24"/>
          <w:szCs w:val="24"/>
        </w:rPr>
        <w:t xml:space="preserve">) de </w:t>
      </w:r>
      <w:r w:rsidR="00F85C00" w:rsidRPr="00E67486">
        <w:rPr>
          <w:sz w:val="24"/>
          <w:szCs w:val="24"/>
        </w:rPr>
        <w:t xml:space="preserve">junio </w:t>
      </w:r>
      <w:r w:rsidR="00A166F8" w:rsidRPr="00E67486">
        <w:rPr>
          <w:sz w:val="24"/>
          <w:szCs w:val="24"/>
        </w:rPr>
        <w:t xml:space="preserve">de dos mil </w:t>
      </w:r>
      <w:r w:rsidR="00EE2C28" w:rsidRPr="00E67486">
        <w:rPr>
          <w:sz w:val="24"/>
          <w:szCs w:val="24"/>
        </w:rPr>
        <w:t>veinticuatro</w:t>
      </w:r>
      <w:r w:rsidR="00A166F8" w:rsidRPr="00E67486">
        <w:rPr>
          <w:sz w:val="24"/>
          <w:szCs w:val="24"/>
        </w:rPr>
        <w:t xml:space="preserve"> (202</w:t>
      </w:r>
      <w:r w:rsidR="00EE2C28" w:rsidRPr="00E67486">
        <w:rPr>
          <w:sz w:val="24"/>
          <w:szCs w:val="24"/>
        </w:rPr>
        <w:t>4</w:t>
      </w:r>
      <w:r w:rsidR="00A166F8" w:rsidRPr="00E67486">
        <w:rPr>
          <w:sz w:val="24"/>
          <w:szCs w:val="24"/>
        </w:rPr>
        <w:t>)</w:t>
      </w:r>
    </w:p>
    <w:p w14:paraId="66F94322" w14:textId="77777777" w:rsidR="00950D12" w:rsidRPr="00E67486" w:rsidRDefault="00950D12" w:rsidP="00E67486">
      <w:pPr>
        <w:spacing w:line="276" w:lineRule="auto"/>
        <w:rPr>
          <w:sz w:val="24"/>
          <w:szCs w:val="24"/>
        </w:rPr>
      </w:pPr>
    </w:p>
    <w:p w14:paraId="03916106" w14:textId="10BFC00B" w:rsidR="00B112BC" w:rsidRPr="00E67486" w:rsidRDefault="000F6F8D" w:rsidP="00E67486">
      <w:pPr>
        <w:spacing w:line="276" w:lineRule="auto"/>
        <w:jc w:val="center"/>
        <w:rPr>
          <w:sz w:val="24"/>
          <w:szCs w:val="24"/>
        </w:rPr>
      </w:pPr>
      <w:r w:rsidRPr="00E67486">
        <w:rPr>
          <w:sz w:val="24"/>
          <w:szCs w:val="24"/>
        </w:rPr>
        <w:t xml:space="preserve">Acta de Aprobación N° </w:t>
      </w:r>
      <w:r w:rsidR="00B1777E" w:rsidRPr="00E67486">
        <w:rPr>
          <w:sz w:val="24"/>
          <w:szCs w:val="24"/>
        </w:rPr>
        <w:t>541</w:t>
      </w:r>
    </w:p>
    <w:p w14:paraId="7B43C558" w14:textId="39616DBA" w:rsidR="00B112BC" w:rsidRPr="00E67486" w:rsidRDefault="002729BC" w:rsidP="00E67486">
      <w:pPr>
        <w:spacing w:line="276" w:lineRule="auto"/>
        <w:jc w:val="center"/>
        <w:rPr>
          <w:sz w:val="24"/>
          <w:szCs w:val="24"/>
        </w:rPr>
      </w:pPr>
      <w:r w:rsidRPr="00E67486">
        <w:rPr>
          <w:sz w:val="24"/>
          <w:szCs w:val="24"/>
        </w:rPr>
        <w:t xml:space="preserve">Hora: </w:t>
      </w:r>
      <w:r w:rsidR="00B1777E" w:rsidRPr="00E67486">
        <w:rPr>
          <w:sz w:val="24"/>
          <w:szCs w:val="24"/>
        </w:rPr>
        <w:t>8:46 a</w:t>
      </w:r>
      <w:r w:rsidR="00A62F97" w:rsidRPr="00E67486">
        <w:rPr>
          <w:sz w:val="24"/>
          <w:szCs w:val="24"/>
        </w:rPr>
        <w:t>.m.</w:t>
      </w:r>
    </w:p>
    <w:p w14:paraId="69BB57A7" w14:textId="1EB02945" w:rsidR="00E67486" w:rsidRPr="00E67486" w:rsidRDefault="00E67486" w:rsidP="00E67486">
      <w:pPr>
        <w:spacing w:line="276" w:lineRule="auto"/>
        <w:jc w:val="center"/>
        <w:rPr>
          <w:sz w:val="24"/>
          <w:szCs w:val="24"/>
        </w:rPr>
      </w:pPr>
      <w:r w:rsidRPr="00E67486">
        <w:rPr>
          <w:sz w:val="24"/>
          <w:szCs w:val="24"/>
        </w:rPr>
        <w:t xml:space="preserve">Radicación: </w:t>
      </w:r>
      <w:bookmarkStart w:id="0" w:name="_GoBack"/>
      <w:r>
        <w:rPr>
          <w:sz w:val="24"/>
          <w:szCs w:val="24"/>
        </w:rPr>
        <w:t>6600131090042024</w:t>
      </w:r>
      <w:r w:rsidRPr="00E67486">
        <w:rPr>
          <w:sz w:val="24"/>
          <w:szCs w:val="24"/>
        </w:rPr>
        <w:t>0005301</w:t>
      </w:r>
      <w:bookmarkEnd w:id="0"/>
    </w:p>
    <w:p w14:paraId="71F6BA93" w14:textId="21FF41A5" w:rsidR="0053744A" w:rsidRPr="00E67486" w:rsidRDefault="0053744A" w:rsidP="00E67486">
      <w:pPr>
        <w:spacing w:line="276" w:lineRule="auto"/>
        <w:rPr>
          <w:sz w:val="24"/>
          <w:szCs w:val="24"/>
        </w:rPr>
      </w:pPr>
    </w:p>
    <w:p w14:paraId="2160921D" w14:textId="77777777" w:rsidR="0053744A" w:rsidRPr="00E67486" w:rsidRDefault="0053744A" w:rsidP="00E67486">
      <w:pPr>
        <w:spacing w:line="276" w:lineRule="auto"/>
        <w:rPr>
          <w:rFonts w:ascii="Algerian" w:eastAsia="Times New Roman" w:hAnsi="Algerian"/>
          <w:sz w:val="30"/>
          <w:szCs w:val="20"/>
          <w:lang w:eastAsia="es-MX"/>
        </w:rPr>
      </w:pPr>
      <w:r w:rsidRPr="00E67486">
        <w:rPr>
          <w:rFonts w:ascii="Algerian" w:eastAsia="Times New Roman" w:hAnsi="Algerian"/>
          <w:sz w:val="30"/>
          <w:szCs w:val="20"/>
          <w:lang w:eastAsia="es-MX"/>
        </w:rPr>
        <w:t xml:space="preserve">1.- VISTOS </w:t>
      </w:r>
    </w:p>
    <w:p w14:paraId="10D22DFE" w14:textId="77777777" w:rsidR="0053744A" w:rsidRPr="00E67486" w:rsidRDefault="0053744A" w:rsidP="00E67486">
      <w:pPr>
        <w:spacing w:line="276" w:lineRule="auto"/>
        <w:rPr>
          <w:spacing w:val="-6"/>
          <w:position w:val="-6"/>
          <w:sz w:val="24"/>
          <w:szCs w:val="24"/>
        </w:rPr>
      </w:pPr>
    </w:p>
    <w:p w14:paraId="6A3B1960" w14:textId="2F19685A" w:rsidR="00A166F8" w:rsidRPr="00AD0C98" w:rsidRDefault="002B3374" w:rsidP="00E67486">
      <w:pPr>
        <w:spacing w:line="276" w:lineRule="auto"/>
        <w:rPr>
          <w:spacing w:val="-6"/>
          <w:position w:val="-6"/>
          <w:sz w:val="24"/>
          <w:szCs w:val="24"/>
        </w:rPr>
      </w:pPr>
      <w:r w:rsidRPr="00AD0C98">
        <w:rPr>
          <w:spacing w:val="-6"/>
          <w:position w:val="-6"/>
          <w:sz w:val="24"/>
          <w:szCs w:val="24"/>
        </w:rPr>
        <w:t>Desata la Sala por medio de este proveído la impugnación interpuesta por</w:t>
      </w:r>
      <w:r w:rsidR="002729BC" w:rsidRPr="00AD0C98">
        <w:rPr>
          <w:spacing w:val="-6"/>
          <w:position w:val="-6"/>
          <w:sz w:val="24"/>
          <w:szCs w:val="24"/>
        </w:rPr>
        <w:t xml:space="preserve"> </w:t>
      </w:r>
      <w:r w:rsidR="00605185" w:rsidRPr="00AD0C98">
        <w:rPr>
          <w:spacing w:val="-6"/>
          <w:position w:val="-6"/>
          <w:sz w:val="24"/>
          <w:szCs w:val="24"/>
        </w:rPr>
        <w:t xml:space="preserve">el </w:t>
      </w:r>
      <w:r w:rsidR="004F4113" w:rsidRPr="00AD0C98">
        <w:rPr>
          <w:spacing w:val="-6"/>
          <w:position w:val="-6"/>
          <w:sz w:val="24"/>
          <w:szCs w:val="24"/>
        </w:rPr>
        <w:t xml:space="preserve">señor </w:t>
      </w:r>
      <w:proofErr w:type="spellStart"/>
      <w:r w:rsidR="00F00526" w:rsidRPr="00AD0C98">
        <w:rPr>
          <w:b/>
          <w:spacing w:val="-6"/>
          <w:position w:val="-6"/>
          <w:sz w:val="24"/>
          <w:szCs w:val="24"/>
        </w:rPr>
        <w:t>HRC</w:t>
      </w:r>
      <w:proofErr w:type="spellEnd"/>
      <w:r w:rsidRPr="00AD0C98">
        <w:rPr>
          <w:spacing w:val="-6"/>
          <w:position w:val="-6"/>
          <w:sz w:val="24"/>
          <w:szCs w:val="24"/>
        </w:rPr>
        <w:t xml:space="preserve">, </w:t>
      </w:r>
      <w:r w:rsidR="003D0953" w:rsidRPr="00AD0C98">
        <w:rPr>
          <w:spacing w:val="-6"/>
          <w:position w:val="-6"/>
          <w:sz w:val="24"/>
          <w:szCs w:val="24"/>
        </w:rPr>
        <w:t>frente al fallo proferido por</w:t>
      </w:r>
      <w:r w:rsidR="00A166F8" w:rsidRPr="00AD0C98">
        <w:rPr>
          <w:spacing w:val="-6"/>
          <w:position w:val="-6"/>
          <w:sz w:val="24"/>
          <w:szCs w:val="24"/>
        </w:rPr>
        <w:t xml:space="preserve"> el Juzgado </w:t>
      </w:r>
      <w:r w:rsidR="00605185" w:rsidRPr="00AD0C98">
        <w:rPr>
          <w:spacing w:val="-6"/>
          <w:position w:val="-6"/>
          <w:sz w:val="24"/>
          <w:szCs w:val="24"/>
        </w:rPr>
        <w:t xml:space="preserve">Cuarto </w:t>
      </w:r>
      <w:r w:rsidR="00EE2C28" w:rsidRPr="00AD0C98">
        <w:rPr>
          <w:spacing w:val="-6"/>
          <w:position w:val="-6"/>
          <w:sz w:val="24"/>
          <w:szCs w:val="24"/>
        </w:rPr>
        <w:t>Penal del Circuito de Pereira</w:t>
      </w:r>
      <w:r w:rsidR="00B35A41" w:rsidRPr="00AD0C98">
        <w:rPr>
          <w:spacing w:val="-6"/>
          <w:position w:val="-6"/>
          <w:sz w:val="24"/>
          <w:szCs w:val="24"/>
        </w:rPr>
        <w:t xml:space="preserve"> (R</w:t>
      </w:r>
      <w:r w:rsidR="0080240A" w:rsidRPr="00AD0C98">
        <w:rPr>
          <w:spacing w:val="-6"/>
          <w:position w:val="-6"/>
          <w:sz w:val="24"/>
          <w:szCs w:val="24"/>
        </w:rPr>
        <w:t>isaralda</w:t>
      </w:r>
      <w:r w:rsidR="00B35A41" w:rsidRPr="00AD0C98">
        <w:rPr>
          <w:spacing w:val="-6"/>
          <w:position w:val="-6"/>
          <w:sz w:val="24"/>
          <w:szCs w:val="24"/>
        </w:rPr>
        <w:t>)</w:t>
      </w:r>
      <w:r w:rsidRPr="00AD0C98">
        <w:rPr>
          <w:spacing w:val="-6"/>
          <w:position w:val="-6"/>
          <w:sz w:val="24"/>
          <w:szCs w:val="24"/>
        </w:rPr>
        <w:t>, con ocasión de la acción de tutela</w:t>
      </w:r>
      <w:r w:rsidR="00FE2435" w:rsidRPr="00AD0C98">
        <w:rPr>
          <w:spacing w:val="-6"/>
          <w:position w:val="-6"/>
          <w:sz w:val="24"/>
          <w:szCs w:val="24"/>
        </w:rPr>
        <w:t xml:space="preserve"> impetrada</w:t>
      </w:r>
      <w:r w:rsidR="003D0953" w:rsidRPr="00AD0C98">
        <w:rPr>
          <w:spacing w:val="-6"/>
          <w:position w:val="-6"/>
          <w:sz w:val="24"/>
          <w:szCs w:val="24"/>
        </w:rPr>
        <w:t xml:space="preserve"> </w:t>
      </w:r>
      <w:r w:rsidR="00A166F8" w:rsidRPr="00AD0C98">
        <w:rPr>
          <w:spacing w:val="-6"/>
          <w:position w:val="-6"/>
          <w:sz w:val="24"/>
          <w:szCs w:val="24"/>
        </w:rPr>
        <w:t xml:space="preserve">contra </w:t>
      </w:r>
      <w:r w:rsidR="00605185" w:rsidRPr="00AD0C98">
        <w:rPr>
          <w:spacing w:val="-6"/>
          <w:position w:val="-6"/>
          <w:sz w:val="24"/>
          <w:szCs w:val="24"/>
        </w:rPr>
        <w:t xml:space="preserve">la Procuraduría General de la Nación, en la cual se vinculó </w:t>
      </w:r>
      <w:r w:rsidR="000A080A" w:rsidRPr="00AD0C98">
        <w:rPr>
          <w:spacing w:val="-6"/>
          <w:position w:val="-6"/>
          <w:sz w:val="24"/>
          <w:szCs w:val="24"/>
        </w:rPr>
        <w:t xml:space="preserve">a la </w:t>
      </w:r>
      <w:r w:rsidR="003074A8" w:rsidRPr="00AD0C98">
        <w:rPr>
          <w:spacing w:val="-6"/>
          <w:position w:val="-6"/>
          <w:sz w:val="24"/>
          <w:szCs w:val="24"/>
        </w:rPr>
        <w:t xml:space="preserve">Fiscalía General de la Nación, Dirección </w:t>
      </w:r>
      <w:r w:rsidR="000A080A" w:rsidRPr="00AD0C98">
        <w:rPr>
          <w:spacing w:val="-6"/>
          <w:position w:val="-6"/>
          <w:sz w:val="24"/>
          <w:szCs w:val="24"/>
        </w:rPr>
        <w:t>de Fiscalías Seccional Risaralda, Fiscalía 12 Seccional de Pereira, Fiscalía 1 Local de Pereira, Juzgado Quinto Penal del Circuito de la misma ciudad, Ministerio de Defensa Nacional y la Policía Nacional</w:t>
      </w:r>
      <w:r w:rsidR="0087064B" w:rsidRPr="00AD0C98">
        <w:rPr>
          <w:spacing w:val="-6"/>
          <w:position w:val="-6"/>
          <w:sz w:val="24"/>
          <w:szCs w:val="24"/>
        </w:rPr>
        <w:t>.</w:t>
      </w:r>
    </w:p>
    <w:p w14:paraId="7849693D" w14:textId="77777777" w:rsidR="002B3374" w:rsidRPr="00AD0C98" w:rsidRDefault="002B3374" w:rsidP="00E67486">
      <w:pPr>
        <w:spacing w:line="276" w:lineRule="auto"/>
        <w:rPr>
          <w:spacing w:val="-6"/>
          <w:position w:val="-6"/>
          <w:sz w:val="24"/>
          <w:szCs w:val="24"/>
        </w:rPr>
      </w:pPr>
      <w:r w:rsidRPr="00AD0C98">
        <w:rPr>
          <w:spacing w:val="-6"/>
          <w:position w:val="-6"/>
          <w:sz w:val="24"/>
          <w:szCs w:val="24"/>
        </w:rPr>
        <w:t xml:space="preserve">  </w:t>
      </w:r>
    </w:p>
    <w:p w14:paraId="3357428C" w14:textId="77777777" w:rsidR="0053744A" w:rsidRPr="00AD0C98" w:rsidRDefault="0053744A" w:rsidP="00E67486">
      <w:pPr>
        <w:spacing w:line="276" w:lineRule="auto"/>
        <w:rPr>
          <w:rFonts w:ascii="Algerian" w:eastAsia="Times New Roman" w:hAnsi="Algerian"/>
          <w:spacing w:val="-6"/>
          <w:sz w:val="30"/>
          <w:szCs w:val="20"/>
          <w:lang w:eastAsia="es-MX"/>
        </w:rPr>
      </w:pPr>
      <w:r w:rsidRPr="00AD0C98">
        <w:rPr>
          <w:rFonts w:ascii="Algerian" w:eastAsia="Times New Roman" w:hAnsi="Algerian"/>
          <w:spacing w:val="-6"/>
          <w:sz w:val="30"/>
          <w:szCs w:val="20"/>
          <w:lang w:eastAsia="es-MX"/>
        </w:rPr>
        <w:t xml:space="preserve">2.- DEMANDA </w:t>
      </w:r>
    </w:p>
    <w:p w14:paraId="35A0B23A" w14:textId="77777777" w:rsidR="0053744A" w:rsidRPr="00AD0C98" w:rsidRDefault="0053744A" w:rsidP="00E67486">
      <w:pPr>
        <w:spacing w:line="276" w:lineRule="auto"/>
        <w:rPr>
          <w:spacing w:val="-6"/>
          <w:position w:val="-6"/>
          <w:sz w:val="24"/>
          <w:szCs w:val="24"/>
          <w:lang w:val="es-MX"/>
        </w:rPr>
      </w:pPr>
    </w:p>
    <w:p w14:paraId="79CDA950" w14:textId="3F3EF978" w:rsidR="0029142B" w:rsidRPr="00AD0C98" w:rsidRDefault="004F214D" w:rsidP="00E67486">
      <w:pPr>
        <w:spacing w:line="276" w:lineRule="auto"/>
        <w:rPr>
          <w:spacing w:val="-6"/>
          <w:position w:val="-6"/>
          <w:sz w:val="24"/>
          <w:szCs w:val="24"/>
          <w:lang w:val="es-MX"/>
        </w:rPr>
      </w:pPr>
      <w:r w:rsidRPr="00AD0C98">
        <w:rPr>
          <w:spacing w:val="-6"/>
          <w:position w:val="-6"/>
          <w:sz w:val="24"/>
          <w:szCs w:val="24"/>
          <w:lang w:val="es-MX"/>
        </w:rPr>
        <w:t xml:space="preserve">Lo narrado en el escrito de tutela por </w:t>
      </w:r>
      <w:r w:rsidR="006A6817" w:rsidRPr="00AD0C98">
        <w:rPr>
          <w:spacing w:val="-6"/>
          <w:position w:val="-6"/>
          <w:sz w:val="24"/>
          <w:szCs w:val="24"/>
          <w:lang w:val="es-MX"/>
        </w:rPr>
        <w:t xml:space="preserve">la </w:t>
      </w:r>
      <w:r w:rsidRPr="00AD0C98">
        <w:rPr>
          <w:spacing w:val="-6"/>
          <w:position w:val="-6"/>
          <w:sz w:val="24"/>
          <w:szCs w:val="24"/>
          <w:lang w:val="es-MX"/>
        </w:rPr>
        <w:t>accionante</w:t>
      </w:r>
      <w:r w:rsidR="0035162D" w:rsidRPr="00AD0C98">
        <w:rPr>
          <w:spacing w:val="-6"/>
          <w:position w:val="-6"/>
          <w:sz w:val="24"/>
          <w:szCs w:val="24"/>
          <w:lang w:val="es-MX"/>
        </w:rPr>
        <w:t>,</w:t>
      </w:r>
      <w:r w:rsidRPr="00AD0C98">
        <w:rPr>
          <w:b/>
          <w:spacing w:val="-6"/>
          <w:position w:val="-6"/>
          <w:sz w:val="24"/>
          <w:szCs w:val="24"/>
          <w:lang w:val="es-MX"/>
        </w:rPr>
        <w:t xml:space="preserve"> </w:t>
      </w:r>
      <w:r w:rsidRPr="00AD0C98">
        <w:rPr>
          <w:spacing w:val="-6"/>
          <w:position w:val="-6"/>
          <w:sz w:val="24"/>
          <w:szCs w:val="24"/>
          <w:lang w:val="es-MX"/>
        </w:rPr>
        <w:t>se puede concretar así: (i)</w:t>
      </w:r>
      <w:r w:rsidR="00B35A41" w:rsidRPr="00AD0C98">
        <w:rPr>
          <w:spacing w:val="-6"/>
          <w:position w:val="-6"/>
          <w:sz w:val="24"/>
          <w:szCs w:val="24"/>
          <w:lang w:val="es-MX"/>
        </w:rPr>
        <w:t xml:space="preserve"> </w:t>
      </w:r>
      <w:r w:rsidR="006A6817" w:rsidRPr="00AD0C98">
        <w:rPr>
          <w:spacing w:val="-6"/>
          <w:position w:val="-6"/>
          <w:sz w:val="24"/>
          <w:szCs w:val="24"/>
          <w:lang w:val="es-MX"/>
        </w:rPr>
        <w:t>en</w:t>
      </w:r>
      <w:r w:rsidR="001B50F0" w:rsidRPr="00AD0C98">
        <w:rPr>
          <w:spacing w:val="-6"/>
          <w:position w:val="-6"/>
          <w:sz w:val="24"/>
          <w:szCs w:val="24"/>
          <w:lang w:val="es-MX"/>
        </w:rPr>
        <w:t xml:space="preserve"> el año 2004 fue condenado dentro de un </w:t>
      </w:r>
      <w:r w:rsidR="00661211" w:rsidRPr="00AD0C98">
        <w:rPr>
          <w:spacing w:val="-6"/>
          <w:position w:val="-6"/>
          <w:sz w:val="24"/>
          <w:szCs w:val="24"/>
          <w:lang w:val="es-MX"/>
        </w:rPr>
        <w:t xml:space="preserve">proceso </w:t>
      </w:r>
      <w:r w:rsidR="001B50F0" w:rsidRPr="00AD0C98">
        <w:rPr>
          <w:spacing w:val="-6"/>
          <w:position w:val="-6"/>
          <w:sz w:val="24"/>
          <w:szCs w:val="24"/>
          <w:lang w:val="es-MX"/>
        </w:rPr>
        <w:t xml:space="preserve">penal </w:t>
      </w:r>
      <w:r w:rsidR="00661211" w:rsidRPr="00AD0C98">
        <w:rPr>
          <w:spacing w:val="-6"/>
          <w:position w:val="-6"/>
          <w:sz w:val="24"/>
          <w:szCs w:val="24"/>
          <w:lang w:val="es-MX"/>
        </w:rPr>
        <w:t xml:space="preserve">-rad. 66001310400520040029100- </w:t>
      </w:r>
      <w:r w:rsidR="001B50F0" w:rsidRPr="00AD0C98">
        <w:rPr>
          <w:spacing w:val="-6"/>
          <w:position w:val="-6"/>
          <w:sz w:val="24"/>
          <w:szCs w:val="24"/>
          <w:lang w:val="es-MX"/>
        </w:rPr>
        <w:t>y recibió una sanción privativa de la libertad</w:t>
      </w:r>
      <w:r w:rsidR="0029142B" w:rsidRPr="00AD0C98">
        <w:rPr>
          <w:spacing w:val="-6"/>
          <w:position w:val="-6"/>
          <w:sz w:val="24"/>
          <w:szCs w:val="24"/>
          <w:lang w:val="es-MX"/>
        </w:rPr>
        <w:t xml:space="preserve"> de 8 meses</w:t>
      </w:r>
      <w:r w:rsidR="001B50F0" w:rsidRPr="00AD0C98">
        <w:rPr>
          <w:spacing w:val="-6"/>
          <w:position w:val="-6"/>
          <w:sz w:val="24"/>
          <w:szCs w:val="24"/>
          <w:lang w:val="es-MX"/>
        </w:rPr>
        <w:t>; (ii) afrontó una inhabilidad por 5 años para desempeñar cargos y/o funciones públicas</w:t>
      </w:r>
      <w:r w:rsidR="002D3327" w:rsidRPr="00AD0C98">
        <w:rPr>
          <w:spacing w:val="-6"/>
          <w:position w:val="-6"/>
          <w:sz w:val="24"/>
          <w:szCs w:val="24"/>
          <w:lang w:val="es-MX"/>
        </w:rPr>
        <w:t>, así como el antecedente judicial; (</w:t>
      </w:r>
      <w:r w:rsidR="00320C7F" w:rsidRPr="00AD0C98">
        <w:rPr>
          <w:spacing w:val="-6"/>
          <w:position w:val="-6"/>
          <w:sz w:val="24"/>
          <w:szCs w:val="24"/>
          <w:lang w:val="es-MX"/>
        </w:rPr>
        <w:t>iii</w:t>
      </w:r>
      <w:r w:rsidR="002D3327" w:rsidRPr="00AD0C98">
        <w:rPr>
          <w:spacing w:val="-6"/>
          <w:position w:val="-6"/>
          <w:sz w:val="24"/>
          <w:szCs w:val="24"/>
          <w:lang w:val="es-MX"/>
        </w:rPr>
        <w:t xml:space="preserve">) </w:t>
      </w:r>
      <w:r w:rsidR="00320C7F" w:rsidRPr="00AD0C98">
        <w:rPr>
          <w:spacing w:val="-6"/>
          <w:position w:val="-6"/>
          <w:sz w:val="24"/>
          <w:szCs w:val="24"/>
          <w:lang w:val="es-MX"/>
        </w:rPr>
        <w:t>para el año 2006 denunció el hurto de una bicicleta</w:t>
      </w:r>
      <w:r w:rsidR="00661211" w:rsidRPr="00AD0C98">
        <w:rPr>
          <w:spacing w:val="-6"/>
          <w:position w:val="-6"/>
          <w:sz w:val="24"/>
          <w:szCs w:val="24"/>
          <w:lang w:val="es-MX"/>
        </w:rPr>
        <w:t xml:space="preserve"> -radicado 66001600005820050206100-</w:t>
      </w:r>
      <w:r w:rsidR="00320C7F" w:rsidRPr="00AD0C98">
        <w:rPr>
          <w:spacing w:val="-6"/>
          <w:position w:val="-6"/>
          <w:sz w:val="24"/>
          <w:szCs w:val="24"/>
          <w:lang w:val="es-MX"/>
        </w:rPr>
        <w:t xml:space="preserve">asunto que culminó en preclusión; (iv) pese al </w:t>
      </w:r>
      <w:r w:rsidR="0029142B" w:rsidRPr="00AD0C98">
        <w:rPr>
          <w:spacing w:val="-6"/>
          <w:position w:val="-6"/>
          <w:sz w:val="24"/>
          <w:szCs w:val="24"/>
          <w:lang w:val="es-MX"/>
        </w:rPr>
        <w:t xml:space="preserve">tiempo transcurrido su nombre sigue figurando en los registros públicos dentro de los procesos en mención; (v) </w:t>
      </w:r>
      <w:r w:rsidR="004D0583" w:rsidRPr="00AD0C98">
        <w:rPr>
          <w:spacing w:val="-6"/>
          <w:position w:val="-6"/>
          <w:sz w:val="24"/>
          <w:szCs w:val="24"/>
          <w:lang w:val="es-MX"/>
        </w:rPr>
        <w:t>la publicación de sus antecedentes</w:t>
      </w:r>
      <w:r w:rsidR="00E95CE1" w:rsidRPr="00AD0C98">
        <w:rPr>
          <w:spacing w:val="-6"/>
          <w:position w:val="-6"/>
          <w:sz w:val="24"/>
          <w:szCs w:val="24"/>
          <w:lang w:val="es-MX"/>
        </w:rPr>
        <w:t xml:space="preserve"> </w:t>
      </w:r>
      <w:r w:rsidR="004D0583" w:rsidRPr="00AD0C98">
        <w:rPr>
          <w:spacing w:val="-6"/>
          <w:position w:val="-6"/>
          <w:sz w:val="24"/>
          <w:szCs w:val="24"/>
          <w:lang w:val="es-MX"/>
        </w:rPr>
        <w:t xml:space="preserve">carece de pertinencia, ya que después de 5 años desde la ejecutoria de la sentencia </w:t>
      </w:r>
      <w:r w:rsidR="00E95CE1" w:rsidRPr="00AD0C98">
        <w:rPr>
          <w:spacing w:val="-6"/>
          <w:position w:val="-6"/>
          <w:sz w:val="24"/>
          <w:szCs w:val="24"/>
          <w:lang w:val="es-MX"/>
        </w:rPr>
        <w:t xml:space="preserve">esos </w:t>
      </w:r>
      <w:r w:rsidR="004D0583" w:rsidRPr="00AD0C98">
        <w:rPr>
          <w:spacing w:val="-6"/>
          <w:position w:val="-6"/>
          <w:sz w:val="24"/>
          <w:szCs w:val="24"/>
          <w:lang w:val="es-MX"/>
        </w:rPr>
        <w:t xml:space="preserve">datos debieron ser actualizados, sin embargo, sigue figurando en línea, lo que le causa perjuicios en </w:t>
      </w:r>
      <w:r w:rsidR="004D0583" w:rsidRPr="00AD0C98">
        <w:rPr>
          <w:spacing w:val="-6"/>
          <w:position w:val="-6"/>
          <w:sz w:val="24"/>
          <w:szCs w:val="24"/>
          <w:lang w:val="es-MX"/>
        </w:rPr>
        <w:lastRenderedPageBreak/>
        <w:t xml:space="preserve">ámbito personal y laboral, </w:t>
      </w:r>
      <w:r w:rsidR="0029142B" w:rsidRPr="00AD0C98">
        <w:rPr>
          <w:spacing w:val="-6"/>
          <w:position w:val="-6"/>
          <w:sz w:val="24"/>
          <w:szCs w:val="24"/>
          <w:lang w:val="es-MX"/>
        </w:rPr>
        <w:t>le genera</w:t>
      </w:r>
      <w:r w:rsidR="004D0583" w:rsidRPr="00AD0C98">
        <w:rPr>
          <w:spacing w:val="-6"/>
          <w:position w:val="-6"/>
          <w:sz w:val="24"/>
          <w:szCs w:val="24"/>
          <w:lang w:val="es-MX"/>
        </w:rPr>
        <w:t xml:space="preserve"> gran afectación para acceder a empleos porque las empresas </w:t>
      </w:r>
      <w:r w:rsidR="00E95CE1" w:rsidRPr="00AD0C98">
        <w:rPr>
          <w:spacing w:val="-6"/>
          <w:position w:val="-6"/>
          <w:sz w:val="24"/>
          <w:szCs w:val="24"/>
          <w:lang w:val="es-MX"/>
        </w:rPr>
        <w:t>discriminan a</w:t>
      </w:r>
      <w:r w:rsidR="004D0583" w:rsidRPr="00AD0C98">
        <w:rPr>
          <w:spacing w:val="-6"/>
          <w:position w:val="-6"/>
          <w:sz w:val="24"/>
          <w:szCs w:val="24"/>
          <w:lang w:val="es-MX"/>
        </w:rPr>
        <w:t xml:space="preserve"> las personas que tienen antecedentes judiciales; </w:t>
      </w:r>
      <w:r w:rsidR="00E95CE1" w:rsidRPr="00AD0C98">
        <w:rPr>
          <w:spacing w:val="-6"/>
          <w:position w:val="-6"/>
          <w:sz w:val="24"/>
          <w:szCs w:val="24"/>
          <w:lang w:val="es-MX"/>
        </w:rPr>
        <w:t>(vi) invoca el derecho al olvido, en virtud de lo cual, considera que los reportes negativos a su nombre deben ser eliminados de las bases de datos.</w:t>
      </w:r>
    </w:p>
    <w:p w14:paraId="37CF5E43" w14:textId="77777777" w:rsidR="0029142B" w:rsidRPr="00AD0C98" w:rsidRDefault="0029142B" w:rsidP="00E67486">
      <w:pPr>
        <w:spacing w:line="276" w:lineRule="auto"/>
        <w:rPr>
          <w:spacing w:val="-6"/>
          <w:position w:val="-6"/>
          <w:sz w:val="24"/>
          <w:szCs w:val="24"/>
          <w:lang w:val="es-MX"/>
        </w:rPr>
      </w:pPr>
    </w:p>
    <w:p w14:paraId="600F101E" w14:textId="23431809" w:rsidR="004F214D" w:rsidRPr="00AD0C98" w:rsidRDefault="004F214D" w:rsidP="00E67486">
      <w:pPr>
        <w:spacing w:line="276" w:lineRule="auto"/>
        <w:rPr>
          <w:spacing w:val="-6"/>
          <w:position w:val="-6"/>
          <w:sz w:val="24"/>
          <w:szCs w:val="24"/>
          <w:lang w:val="es-MX"/>
        </w:rPr>
      </w:pPr>
      <w:r w:rsidRPr="00AD0C98">
        <w:rPr>
          <w:spacing w:val="-6"/>
          <w:position w:val="-6"/>
          <w:sz w:val="24"/>
          <w:szCs w:val="24"/>
          <w:lang w:val="es-MX"/>
        </w:rPr>
        <w:t>Pid</w:t>
      </w:r>
      <w:r w:rsidR="00E95CE1" w:rsidRPr="00AD0C98">
        <w:rPr>
          <w:spacing w:val="-6"/>
          <w:position w:val="-6"/>
          <w:sz w:val="24"/>
          <w:szCs w:val="24"/>
          <w:lang w:val="es-MX"/>
        </w:rPr>
        <w:t>ió</w:t>
      </w:r>
      <w:r w:rsidRPr="00AD0C98">
        <w:rPr>
          <w:spacing w:val="-6"/>
          <w:position w:val="-6"/>
          <w:sz w:val="24"/>
          <w:szCs w:val="24"/>
          <w:lang w:val="es-MX"/>
        </w:rPr>
        <w:t xml:space="preserve"> </w:t>
      </w:r>
      <w:r w:rsidR="002B217A" w:rsidRPr="00AD0C98">
        <w:rPr>
          <w:spacing w:val="-6"/>
          <w:position w:val="-6"/>
          <w:sz w:val="24"/>
          <w:szCs w:val="24"/>
          <w:lang w:val="es-MX"/>
        </w:rPr>
        <w:t xml:space="preserve">la protección de sus derechos fundamentales </w:t>
      </w:r>
      <w:r w:rsidR="00581ACC" w:rsidRPr="00AD0C98">
        <w:rPr>
          <w:spacing w:val="-6"/>
          <w:position w:val="-6"/>
          <w:sz w:val="24"/>
          <w:szCs w:val="24"/>
          <w:lang w:val="es-MX"/>
        </w:rPr>
        <w:t>a</w:t>
      </w:r>
      <w:r w:rsidR="00E95CE1" w:rsidRPr="00AD0C98">
        <w:rPr>
          <w:spacing w:val="-6"/>
          <w:position w:val="-6"/>
          <w:sz w:val="24"/>
          <w:szCs w:val="24"/>
          <w:lang w:val="es-MX"/>
        </w:rPr>
        <w:t xml:space="preserve">l buen nombre, </w:t>
      </w:r>
      <w:r w:rsidR="00E95CE1" w:rsidRPr="00AD0C98">
        <w:rPr>
          <w:i/>
          <w:spacing w:val="-6"/>
          <w:position w:val="-6"/>
          <w:sz w:val="24"/>
          <w:szCs w:val="24"/>
          <w:lang w:val="es-MX"/>
        </w:rPr>
        <w:t>habeas data</w:t>
      </w:r>
      <w:r w:rsidR="00E95CE1" w:rsidRPr="00AD0C98">
        <w:rPr>
          <w:spacing w:val="-6"/>
          <w:position w:val="-6"/>
          <w:sz w:val="24"/>
          <w:szCs w:val="24"/>
          <w:lang w:val="es-MX"/>
        </w:rPr>
        <w:t>, honra, trabajo y debido proceso;</w:t>
      </w:r>
      <w:r w:rsidR="002B217A" w:rsidRPr="00AD0C98">
        <w:rPr>
          <w:spacing w:val="-6"/>
          <w:position w:val="-6"/>
          <w:sz w:val="24"/>
          <w:szCs w:val="24"/>
          <w:lang w:val="es-MX"/>
        </w:rPr>
        <w:t xml:space="preserve"> </w:t>
      </w:r>
      <w:r w:rsidR="00797399" w:rsidRPr="00AD0C98">
        <w:rPr>
          <w:spacing w:val="-6"/>
          <w:position w:val="-6"/>
          <w:sz w:val="24"/>
          <w:szCs w:val="24"/>
          <w:lang w:val="es-MX"/>
        </w:rPr>
        <w:t>en</w:t>
      </w:r>
      <w:r w:rsidR="002B217A" w:rsidRPr="00AD0C98">
        <w:rPr>
          <w:spacing w:val="-6"/>
          <w:position w:val="-6"/>
          <w:sz w:val="24"/>
          <w:szCs w:val="24"/>
          <w:lang w:val="es-MX"/>
        </w:rPr>
        <w:t xml:space="preserve"> consecuencia</w:t>
      </w:r>
      <w:r w:rsidR="000206D2" w:rsidRPr="00AD0C98">
        <w:rPr>
          <w:spacing w:val="-6"/>
          <w:position w:val="-6"/>
          <w:sz w:val="24"/>
          <w:szCs w:val="24"/>
          <w:lang w:val="es-MX"/>
        </w:rPr>
        <w:t>,</w:t>
      </w:r>
      <w:r w:rsidR="002B217A" w:rsidRPr="00AD0C98">
        <w:rPr>
          <w:spacing w:val="-6"/>
          <w:position w:val="-6"/>
          <w:sz w:val="24"/>
          <w:szCs w:val="24"/>
          <w:lang w:val="es-MX"/>
        </w:rPr>
        <w:t xml:space="preserve"> </w:t>
      </w:r>
      <w:r w:rsidR="00002D7A" w:rsidRPr="00AD0C98">
        <w:rPr>
          <w:spacing w:val="-6"/>
          <w:position w:val="-6"/>
          <w:sz w:val="24"/>
          <w:szCs w:val="24"/>
          <w:lang w:val="es-MX"/>
        </w:rPr>
        <w:t>se</w:t>
      </w:r>
      <w:r w:rsidR="004F569B" w:rsidRPr="00AD0C98">
        <w:rPr>
          <w:spacing w:val="-6"/>
          <w:position w:val="-6"/>
          <w:sz w:val="24"/>
          <w:szCs w:val="24"/>
          <w:lang w:val="es-MX"/>
        </w:rPr>
        <w:t xml:space="preserve"> </w:t>
      </w:r>
      <w:r w:rsidR="000206D2" w:rsidRPr="00AD0C98">
        <w:rPr>
          <w:spacing w:val="-6"/>
          <w:position w:val="-6"/>
          <w:sz w:val="24"/>
          <w:szCs w:val="24"/>
          <w:lang w:val="es-MX"/>
        </w:rPr>
        <w:t xml:space="preserve">ordene a </w:t>
      </w:r>
      <w:r w:rsidR="00E95CE1" w:rsidRPr="00AD0C98">
        <w:rPr>
          <w:spacing w:val="-6"/>
          <w:position w:val="-6"/>
          <w:sz w:val="24"/>
          <w:szCs w:val="24"/>
          <w:lang w:val="es-MX"/>
        </w:rPr>
        <w:t xml:space="preserve">las entidades demandadas que procedan a retirar los reportes negativos relacionados con los procesos penales en los que se relaciona su nombre como condenado y como denunciante. </w:t>
      </w:r>
    </w:p>
    <w:p w14:paraId="3CEA437D" w14:textId="77777777" w:rsidR="00002D7A" w:rsidRPr="00AD0C98" w:rsidRDefault="00002D7A" w:rsidP="00E67486">
      <w:pPr>
        <w:spacing w:line="276" w:lineRule="auto"/>
        <w:rPr>
          <w:spacing w:val="-6"/>
          <w:position w:val="-6"/>
          <w:sz w:val="24"/>
          <w:szCs w:val="24"/>
          <w:lang w:val="es-MX"/>
        </w:rPr>
      </w:pPr>
    </w:p>
    <w:p w14:paraId="022BDE2B" w14:textId="77777777" w:rsidR="0053744A" w:rsidRPr="00AD0C98" w:rsidRDefault="0053744A" w:rsidP="00E67486">
      <w:pPr>
        <w:spacing w:line="276" w:lineRule="auto"/>
        <w:rPr>
          <w:rFonts w:ascii="Algerian" w:eastAsia="Times New Roman" w:hAnsi="Algerian"/>
          <w:spacing w:val="-6"/>
          <w:sz w:val="30"/>
          <w:szCs w:val="20"/>
          <w:lang w:eastAsia="es-MX"/>
        </w:rPr>
      </w:pPr>
      <w:r w:rsidRPr="00AD0C98">
        <w:rPr>
          <w:rFonts w:ascii="Algerian" w:eastAsia="Times New Roman" w:hAnsi="Algerian"/>
          <w:spacing w:val="-6"/>
          <w:sz w:val="30"/>
          <w:szCs w:val="20"/>
          <w:lang w:eastAsia="es-MX"/>
        </w:rPr>
        <w:t xml:space="preserve">3.- TRÁMITE Y FALLO </w:t>
      </w:r>
    </w:p>
    <w:p w14:paraId="67F6BD3C" w14:textId="77777777" w:rsidR="0053744A" w:rsidRPr="00AD0C98" w:rsidRDefault="0053744A" w:rsidP="00E67486">
      <w:pPr>
        <w:spacing w:line="276" w:lineRule="auto"/>
        <w:rPr>
          <w:spacing w:val="-6"/>
          <w:position w:val="-6"/>
          <w:sz w:val="24"/>
          <w:szCs w:val="24"/>
        </w:rPr>
      </w:pPr>
    </w:p>
    <w:p w14:paraId="7FC687AE" w14:textId="4FB09367" w:rsidR="004F214D" w:rsidRPr="00AD0C98" w:rsidRDefault="004F214D" w:rsidP="00E67486">
      <w:pPr>
        <w:spacing w:line="276" w:lineRule="auto"/>
        <w:rPr>
          <w:spacing w:val="-6"/>
          <w:position w:val="-6"/>
          <w:sz w:val="24"/>
          <w:szCs w:val="24"/>
        </w:rPr>
      </w:pPr>
      <w:r w:rsidRPr="00AD0C98">
        <w:rPr>
          <w:b/>
          <w:spacing w:val="-6"/>
          <w:position w:val="-6"/>
          <w:sz w:val="24"/>
          <w:szCs w:val="24"/>
        </w:rPr>
        <w:t>3.1.-</w:t>
      </w:r>
      <w:r w:rsidRPr="00AD0C98">
        <w:rPr>
          <w:spacing w:val="-6"/>
          <w:position w:val="-6"/>
          <w:sz w:val="24"/>
          <w:szCs w:val="24"/>
        </w:rPr>
        <w:t xml:space="preserve"> </w:t>
      </w:r>
      <w:r w:rsidR="00002D7A" w:rsidRPr="00AD0C98">
        <w:rPr>
          <w:spacing w:val="-6"/>
          <w:position w:val="-6"/>
          <w:sz w:val="24"/>
          <w:szCs w:val="24"/>
        </w:rPr>
        <w:t xml:space="preserve">En </w:t>
      </w:r>
      <w:r w:rsidR="005B00D1" w:rsidRPr="00AD0C98">
        <w:rPr>
          <w:b/>
          <w:bCs/>
          <w:spacing w:val="-6"/>
          <w:position w:val="-6"/>
          <w:sz w:val="24"/>
          <w:szCs w:val="24"/>
        </w:rPr>
        <w:t xml:space="preserve">abril 15 </w:t>
      </w:r>
      <w:r w:rsidR="004622E6" w:rsidRPr="00AD0C98">
        <w:rPr>
          <w:b/>
          <w:bCs/>
          <w:spacing w:val="-6"/>
          <w:position w:val="-6"/>
          <w:sz w:val="24"/>
          <w:szCs w:val="24"/>
        </w:rPr>
        <w:t>de 202</w:t>
      </w:r>
      <w:r w:rsidR="00A27E6B" w:rsidRPr="00AD0C98">
        <w:rPr>
          <w:b/>
          <w:bCs/>
          <w:spacing w:val="-6"/>
          <w:position w:val="-6"/>
          <w:sz w:val="24"/>
          <w:szCs w:val="24"/>
        </w:rPr>
        <w:t>4</w:t>
      </w:r>
      <w:r w:rsidR="00002D7A" w:rsidRPr="00AD0C98">
        <w:rPr>
          <w:spacing w:val="-6"/>
          <w:position w:val="-6"/>
          <w:sz w:val="24"/>
          <w:szCs w:val="24"/>
        </w:rPr>
        <w:t xml:space="preserve"> fue</w:t>
      </w:r>
      <w:r w:rsidRPr="00AD0C98">
        <w:rPr>
          <w:spacing w:val="-6"/>
          <w:position w:val="-6"/>
          <w:sz w:val="24"/>
          <w:szCs w:val="24"/>
        </w:rPr>
        <w:t xml:space="preserve"> admitida la acción de tutela contra </w:t>
      </w:r>
      <w:r w:rsidR="00581ACC" w:rsidRPr="00AD0C98">
        <w:rPr>
          <w:spacing w:val="-6"/>
          <w:position w:val="-6"/>
          <w:sz w:val="24"/>
          <w:szCs w:val="24"/>
        </w:rPr>
        <w:t xml:space="preserve">la </w:t>
      </w:r>
      <w:r w:rsidR="005B00D1" w:rsidRPr="00AD0C98">
        <w:rPr>
          <w:spacing w:val="-6"/>
          <w:position w:val="-6"/>
          <w:sz w:val="24"/>
          <w:szCs w:val="24"/>
        </w:rPr>
        <w:t>PROCURADURÍA GENERAL DE LA NACIÓN y, a la vez, se vinculó al trámite a la FISCALÍA GENERAL DE LA NACIÓN, DIRECCIÓN DE FISCALÍAS SECCIONAL RISARALDA, FISCALÍAS 12 SECCIONAL y 1 LOCAL DE PERERIA, al JUZGADO QUINTO PENAL DEL CIRCUITO DE PEREIRA, al MINISTERIO DE DEFENSA NACIONAL y a la POLICÍA NACIONAL. Las</w:t>
      </w:r>
      <w:r w:rsidR="004F569B" w:rsidRPr="00AD0C98">
        <w:rPr>
          <w:spacing w:val="-6"/>
          <w:position w:val="-6"/>
          <w:sz w:val="24"/>
          <w:szCs w:val="24"/>
        </w:rPr>
        <w:t xml:space="preserve"> entidad</w:t>
      </w:r>
      <w:r w:rsidR="005B00D1" w:rsidRPr="00AD0C98">
        <w:rPr>
          <w:spacing w:val="-6"/>
          <w:position w:val="-6"/>
          <w:sz w:val="24"/>
          <w:szCs w:val="24"/>
        </w:rPr>
        <w:t>es</w:t>
      </w:r>
      <w:r w:rsidR="00706784" w:rsidRPr="00AD0C98">
        <w:rPr>
          <w:spacing w:val="-6"/>
          <w:position w:val="-6"/>
          <w:sz w:val="24"/>
          <w:szCs w:val="24"/>
        </w:rPr>
        <w:t xml:space="preserve"> </w:t>
      </w:r>
      <w:r w:rsidR="004F569B" w:rsidRPr="00AD0C98">
        <w:rPr>
          <w:spacing w:val="-6"/>
          <w:position w:val="-6"/>
          <w:sz w:val="24"/>
          <w:szCs w:val="24"/>
        </w:rPr>
        <w:t>se pronunci</w:t>
      </w:r>
      <w:r w:rsidR="005B00D1" w:rsidRPr="00AD0C98">
        <w:rPr>
          <w:spacing w:val="-6"/>
          <w:position w:val="-6"/>
          <w:sz w:val="24"/>
          <w:szCs w:val="24"/>
        </w:rPr>
        <w:t>aron</w:t>
      </w:r>
      <w:r w:rsidR="00706784" w:rsidRPr="00AD0C98">
        <w:rPr>
          <w:spacing w:val="-6"/>
          <w:position w:val="-6"/>
          <w:sz w:val="24"/>
          <w:szCs w:val="24"/>
        </w:rPr>
        <w:t xml:space="preserve"> </w:t>
      </w:r>
      <w:r w:rsidR="000206D2" w:rsidRPr="00AD0C98">
        <w:rPr>
          <w:spacing w:val="-6"/>
          <w:position w:val="-6"/>
          <w:sz w:val="24"/>
          <w:szCs w:val="24"/>
        </w:rPr>
        <w:t xml:space="preserve">en </w:t>
      </w:r>
      <w:r w:rsidR="00706784" w:rsidRPr="00AD0C98">
        <w:rPr>
          <w:spacing w:val="-6"/>
          <w:position w:val="-6"/>
          <w:sz w:val="24"/>
          <w:szCs w:val="24"/>
        </w:rPr>
        <w:t>l</w:t>
      </w:r>
      <w:r w:rsidR="000206D2" w:rsidRPr="00AD0C98">
        <w:rPr>
          <w:spacing w:val="-6"/>
          <w:position w:val="-6"/>
          <w:sz w:val="24"/>
          <w:szCs w:val="24"/>
        </w:rPr>
        <w:t>o</w:t>
      </w:r>
      <w:r w:rsidR="00706784" w:rsidRPr="00AD0C98">
        <w:rPr>
          <w:spacing w:val="-6"/>
          <w:position w:val="-6"/>
          <w:sz w:val="24"/>
          <w:szCs w:val="24"/>
        </w:rPr>
        <w:t>s s</w:t>
      </w:r>
      <w:r w:rsidR="004F569B" w:rsidRPr="00AD0C98">
        <w:rPr>
          <w:spacing w:val="-6"/>
          <w:position w:val="-6"/>
          <w:sz w:val="24"/>
          <w:szCs w:val="24"/>
        </w:rPr>
        <w:t>iguientes</w:t>
      </w:r>
      <w:r w:rsidR="000206D2" w:rsidRPr="00AD0C98">
        <w:rPr>
          <w:spacing w:val="-6"/>
          <w:position w:val="-6"/>
          <w:sz w:val="24"/>
          <w:szCs w:val="24"/>
        </w:rPr>
        <w:t xml:space="preserve"> términos</w:t>
      </w:r>
      <w:r w:rsidRPr="00AD0C98">
        <w:rPr>
          <w:spacing w:val="-6"/>
          <w:position w:val="-6"/>
          <w:sz w:val="24"/>
          <w:szCs w:val="24"/>
        </w:rPr>
        <w:t>:</w:t>
      </w:r>
    </w:p>
    <w:p w14:paraId="7E5009BB" w14:textId="4413A8FD" w:rsidR="004F214D" w:rsidRPr="00AD0C98" w:rsidRDefault="004F214D" w:rsidP="00E67486">
      <w:pPr>
        <w:spacing w:line="276" w:lineRule="auto"/>
        <w:rPr>
          <w:spacing w:val="-6"/>
          <w:position w:val="-6"/>
          <w:sz w:val="24"/>
          <w:szCs w:val="24"/>
        </w:rPr>
      </w:pPr>
    </w:p>
    <w:p w14:paraId="4146D231" w14:textId="06F0A4A8" w:rsidR="005B00D1" w:rsidRPr="00AD0C98" w:rsidRDefault="005B00D1" w:rsidP="00E67486">
      <w:pPr>
        <w:spacing w:line="276" w:lineRule="auto"/>
        <w:rPr>
          <w:spacing w:val="-6"/>
          <w:position w:val="-6"/>
          <w:sz w:val="24"/>
          <w:szCs w:val="24"/>
        </w:rPr>
      </w:pPr>
      <w:r w:rsidRPr="00AD0C98">
        <w:rPr>
          <w:b/>
          <w:spacing w:val="-6"/>
          <w:position w:val="-6"/>
          <w:sz w:val="24"/>
          <w:szCs w:val="24"/>
        </w:rPr>
        <w:t>3.2.</w:t>
      </w:r>
      <w:r w:rsidRPr="00AD0C98">
        <w:rPr>
          <w:spacing w:val="-6"/>
          <w:position w:val="-6"/>
          <w:sz w:val="24"/>
          <w:szCs w:val="24"/>
        </w:rPr>
        <w:t xml:space="preserve">- La funcionaria a cargo de la Fiscalía 11 Seccional de Pereira, informó que </w:t>
      </w:r>
      <w:r w:rsidR="00F40FCB" w:rsidRPr="00AD0C98">
        <w:rPr>
          <w:spacing w:val="-6"/>
          <w:position w:val="-6"/>
          <w:sz w:val="24"/>
          <w:szCs w:val="24"/>
        </w:rPr>
        <w:t xml:space="preserve">a nombre del accionante figuran dos anotaciones en el sistema de la institución, </w:t>
      </w:r>
      <w:r w:rsidR="00EB15D4" w:rsidRPr="00AD0C98">
        <w:rPr>
          <w:spacing w:val="-6"/>
          <w:position w:val="-6"/>
          <w:sz w:val="24"/>
          <w:szCs w:val="24"/>
        </w:rPr>
        <w:t>una por Lesiones personales ante la Fiscalía 1 Local de Pereira y la otra por Hurto calificado en la Fiscalía 35 Local de la misma ciudad; empero, como se advirtió que se puede tratar de un asunto de Ley 600 de 2000, se dio traslado de la acción a la Fiscalía 4 Especializada de la ciudad.</w:t>
      </w:r>
    </w:p>
    <w:p w14:paraId="58E6E298" w14:textId="144E1FB8" w:rsidR="00EB15D4" w:rsidRPr="00AD0C98" w:rsidRDefault="00EB15D4" w:rsidP="00E67486">
      <w:pPr>
        <w:spacing w:line="276" w:lineRule="auto"/>
        <w:rPr>
          <w:spacing w:val="-6"/>
          <w:position w:val="-6"/>
          <w:sz w:val="24"/>
          <w:szCs w:val="24"/>
        </w:rPr>
      </w:pPr>
    </w:p>
    <w:p w14:paraId="47151768" w14:textId="77E4029D" w:rsidR="00960C69" w:rsidRPr="00AD0C98" w:rsidRDefault="00EB15D4" w:rsidP="00E67486">
      <w:pPr>
        <w:spacing w:line="276" w:lineRule="auto"/>
        <w:rPr>
          <w:spacing w:val="-6"/>
          <w:position w:val="-6"/>
          <w:sz w:val="24"/>
          <w:szCs w:val="24"/>
        </w:rPr>
      </w:pPr>
      <w:r w:rsidRPr="00AD0C98">
        <w:rPr>
          <w:b/>
          <w:spacing w:val="-6"/>
          <w:position w:val="-6"/>
          <w:sz w:val="24"/>
          <w:szCs w:val="24"/>
        </w:rPr>
        <w:t>3.3.</w:t>
      </w:r>
      <w:r w:rsidRPr="00AD0C98">
        <w:rPr>
          <w:spacing w:val="-6"/>
          <w:position w:val="-6"/>
          <w:sz w:val="24"/>
          <w:szCs w:val="24"/>
        </w:rPr>
        <w:t xml:space="preserve">- </w:t>
      </w:r>
      <w:r w:rsidR="0094316B" w:rsidRPr="00AD0C98">
        <w:rPr>
          <w:spacing w:val="-6"/>
          <w:position w:val="-6"/>
          <w:sz w:val="24"/>
          <w:szCs w:val="24"/>
        </w:rPr>
        <w:t>El Director Seccional de Fiscalías de Risaralda,</w:t>
      </w:r>
      <w:r w:rsidR="00996F6E" w:rsidRPr="00AD0C98">
        <w:rPr>
          <w:spacing w:val="-6"/>
          <w:position w:val="-6"/>
          <w:sz w:val="24"/>
          <w:szCs w:val="24"/>
        </w:rPr>
        <w:t xml:space="preserve"> </w:t>
      </w:r>
      <w:r w:rsidR="00B17347" w:rsidRPr="00AD0C98">
        <w:rPr>
          <w:spacing w:val="-6"/>
          <w:position w:val="-6"/>
          <w:sz w:val="24"/>
          <w:szCs w:val="24"/>
        </w:rPr>
        <w:t xml:space="preserve">precisó que, al realizar la búsqueda con el nombre del accionante en el sistema misional -SPOA- de la entidad, figura un registro de él como víctima/denunciante -radicado 660016000058200502061-, el cual se encuentra inactivo. Señaló que, conforme a la Directiva 001 de enero 3 de 2022, no es posible eliminar las anotaciones de sus sistemas de información, </w:t>
      </w:r>
      <w:r w:rsidR="00960C69" w:rsidRPr="00AD0C98">
        <w:rPr>
          <w:spacing w:val="-6"/>
          <w:position w:val="-6"/>
          <w:sz w:val="24"/>
          <w:szCs w:val="24"/>
        </w:rPr>
        <w:t>porque son registros históricos que se deben conservar, cumplen finalidades importantes para la misionalidad de la entidad y no desconoce los derechos del accionante, en tanto que las consultas en dichas bases de datos se deben ajustar a las disposiciones legales y constitucionales, esto es, debe mediar autorización previa del juez de control de garantías.</w:t>
      </w:r>
    </w:p>
    <w:p w14:paraId="38DBB7A8" w14:textId="772C2725" w:rsidR="00960C69" w:rsidRPr="00AD0C98" w:rsidRDefault="00960C69" w:rsidP="00E67486">
      <w:pPr>
        <w:spacing w:line="276" w:lineRule="auto"/>
        <w:rPr>
          <w:spacing w:val="-6"/>
          <w:position w:val="-6"/>
          <w:sz w:val="24"/>
          <w:szCs w:val="24"/>
        </w:rPr>
      </w:pPr>
    </w:p>
    <w:p w14:paraId="14238E31" w14:textId="01453E52" w:rsidR="00EB15D4" w:rsidRPr="00AD0C98" w:rsidRDefault="00960C69" w:rsidP="00E67486">
      <w:pPr>
        <w:spacing w:line="276" w:lineRule="auto"/>
        <w:rPr>
          <w:spacing w:val="-6"/>
          <w:position w:val="-6"/>
          <w:sz w:val="24"/>
          <w:szCs w:val="24"/>
        </w:rPr>
      </w:pPr>
      <w:r w:rsidRPr="00AD0C98">
        <w:rPr>
          <w:spacing w:val="-6"/>
          <w:position w:val="-6"/>
          <w:sz w:val="24"/>
          <w:szCs w:val="24"/>
        </w:rPr>
        <w:t>Además, a partir de lo establecido en la Ley 1955 de 2019, la Fiscalía General de la Nación entregó y migró</w:t>
      </w:r>
      <w:r w:rsidR="0021611B" w:rsidRPr="00AD0C98">
        <w:rPr>
          <w:spacing w:val="-6"/>
          <w:position w:val="-6"/>
          <w:sz w:val="24"/>
          <w:szCs w:val="24"/>
        </w:rPr>
        <w:t xml:space="preserve"> a la Policía Nacional</w:t>
      </w:r>
      <w:r w:rsidRPr="00AD0C98">
        <w:rPr>
          <w:spacing w:val="-6"/>
          <w:position w:val="-6"/>
          <w:sz w:val="24"/>
          <w:szCs w:val="24"/>
        </w:rPr>
        <w:t xml:space="preserve">, en su totalidad </w:t>
      </w:r>
      <w:r w:rsidR="0021611B" w:rsidRPr="00AD0C98">
        <w:rPr>
          <w:spacing w:val="-6"/>
          <w:position w:val="-6"/>
          <w:sz w:val="24"/>
          <w:szCs w:val="24"/>
        </w:rPr>
        <w:t>y</w:t>
      </w:r>
      <w:r w:rsidRPr="00AD0C98">
        <w:rPr>
          <w:spacing w:val="-6"/>
          <w:position w:val="-6"/>
          <w:sz w:val="24"/>
          <w:szCs w:val="24"/>
        </w:rPr>
        <w:t xml:space="preserve"> de manera gradual, la información que se contenía en el Sistema de Información de Antecedentes y Anotaciones Judiciales -SIAN-, por lo cual</w:t>
      </w:r>
      <w:r w:rsidR="0021611B" w:rsidRPr="00AD0C98">
        <w:rPr>
          <w:spacing w:val="-6"/>
          <w:position w:val="-6"/>
          <w:sz w:val="24"/>
          <w:szCs w:val="24"/>
        </w:rPr>
        <w:t xml:space="preserve">, en la actualidad, no posee información </w:t>
      </w:r>
      <w:r w:rsidR="00996F6E" w:rsidRPr="00AD0C98">
        <w:rPr>
          <w:spacing w:val="-6"/>
          <w:position w:val="-6"/>
          <w:sz w:val="24"/>
          <w:szCs w:val="24"/>
        </w:rPr>
        <w:t>de antecedentes judiciales, ni se encuentra en capacidad de emitir certificaciones, constancias u otro tipo de documentos relacionados, asuntos que le corresponde a la Dirección de Investigación Criminal e interpol de la Policía Nacional.</w:t>
      </w:r>
    </w:p>
    <w:p w14:paraId="587477E0" w14:textId="0727AD0A" w:rsidR="00996F6E" w:rsidRPr="00AD0C98" w:rsidRDefault="00996F6E" w:rsidP="00E67486">
      <w:pPr>
        <w:spacing w:line="276" w:lineRule="auto"/>
        <w:rPr>
          <w:spacing w:val="-6"/>
          <w:position w:val="-6"/>
          <w:sz w:val="24"/>
          <w:szCs w:val="24"/>
        </w:rPr>
      </w:pPr>
    </w:p>
    <w:p w14:paraId="1825FD5A" w14:textId="790AD24B" w:rsidR="00996F6E" w:rsidRPr="00AD0C98" w:rsidRDefault="00996F6E" w:rsidP="00E67486">
      <w:pPr>
        <w:spacing w:line="276" w:lineRule="auto"/>
        <w:rPr>
          <w:spacing w:val="-6"/>
          <w:position w:val="-6"/>
          <w:sz w:val="24"/>
          <w:szCs w:val="24"/>
        </w:rPr>
      </w:pPr>
      <w:r w:rsidRPr="00AD0C98">
        <w:rPr>
          <w:spacing w:val="-6"/>
          <w:position w:val="-6"/>
          <w:sz w:val="24"/>
          <w:szCs w:val="24"/>
        </w:rPr>
        <w:t>Solicitó la desvinculación de la acción constitucional y que se desestime la pretensión del accionante.</w:t>
      </w:r>
    </w:p>
    <w:p w14:paraId="2F328F2B" w14:textId="41AB2B47" w:rsidR="00996F6E" w:rsidRPr="00AD0C98" w:rsidRDefault="00996F6E" w:rsidP="00E67486">
      <w:pPr>
        <w:spacing w:line="276" w:lineRule="auto"/>
        <w:rPr>
          <w:spacing w:val="-6"/>
          <w:position w:val="-6"/>
          <w:sz w:val="24"/>
          <w:szCs w:val="24"/>
        </w:rPr>
      </w:pPr>
    </w:p>
    <w:p w14:paraId="520303F4" w14:textId="27B506A9" w:rsidR="006B4037" w:rsidRPr="00AD0C98" w:rsidRDefault="002C6EB3" w:rsidP="00E67486">
      <w:pPr>
        <w:spacing w:line="276" w:lineRule="auto"/>
        <w:rPr>
          <w:spacing w:val="-6"/>
          <w:position w:val="-6"/>
          <w:sz w:val="24"/>
          <w:szCs w:val="24"/>
        </w:rPr>
      </w:pPr>
      <w:r w:rsidRPr="00AD0C98">
        <w:rPr>
          <w:b/>
          <w:spacing w:val="-6"/>
          <w:position w:val="-6"/>
          <w:sz w:val="24"/>
          <w:szCs w:val="24"/>
        </w:rPr>
        <w:lastRenderedPageBreak/>
        <w:t>3.4.</w:t>
      </w:r>
      <w:r w:rsidRPr="00AD0C98">
        <w:rPr>
          <w:spacing w:val="-6"/>
          <w:position w:val="-6"/>
          <w:sz w:val="24"/>
          <w:szCs w:val="24"/>
        </w:rPr>
        <w:t xml:space="preserve">- </w:t>
      </w:r>
      <w:r w:rsidR="00AD10F5" w:rsidRPr="00AD0C98">
        <w:rPr>
          <w:spacing w:val="-6"/>
          <w:position w:val="-6"/>
          <w:sz w:val="24"/>
          <w:szCs w:val="24"/>
        </w:rPr>
        <w:t xml:space="preserve">El Jefe de la Seccional de Investigación Criminal MEPER de la POLICÍA NACIONAL, destacó que el accionante tiene un registro de antecedente penal, </w:t>
      </w:r>
      <w:r w:rsidR="006B4037" w:rsidRPr="00AD0C98">
        <w:rPr>
          <w:spacing w:val="-6"/>
          <w:position w:val="-6"/>
          <w:sz w:val="24"/>
          <w:szCs w:val="24"/>
        </w:rPr>
        <w:t xml:space="preserve">pero que el mismo </w:t>
      </w:r>
      <w:r w:rsidR="00AD10F5" w:rsidRPr="00AD0C98">
        <w:rPr>
          <w:spacing w:val="-6"/>
          <w:position w:val="-6"/>
          <w:sz w:val="24"/>
          <w:szCs w:val="24"/>
        </w:rPr>
        <w:t>se encuentra extinto</w:t>
      </w:r>
      <w:r w:rsidR="006B4037" w:rsidRPr="00AD0C98">
        <w:rPr>
          <w:spacing w:val="-6"/>
          <w:position w:val="-6"/>
          <w:sz w:val="24"/>
          <w:szCs w:val="24"/>
        </w:rPr>
        <w:t xml:space="preserve">, según lo dispuso la autoridad judicial, por lo cual </w:t>
      </w:r>
      <w:r w:rsidR="00AD10F5" w:rsidRPr="00AD0C98">
        <w:rPr>
          <w:spacing w:val="-6"/>
          <w:position w:val="-6"/>
          <w:sz w:val="24"/>
          <w:szCs w:val="24"/>
        </w:rPr>
        <w:t xml:space="preserve">no afecta el certificado de antecedentes del ciudadano, </w:t>
      </w:r>
      <w:r w:rsidR="006B4037" w:rsidRPr="00AD0C98">
        <w:rPr>
          <w:spacing w:val="-6"/>
          <w:position w:val="-6"/>
          <w:sz w:val="24"/>
          <w:szCs w:val="24"/>
        </w:rPr>
        <w:t>en el que se indica que “</w:t>
      </w:r>
      <w:r w:rsidR="006B4037" w:rsidRPr="00AD0C98">
        <w:rPr>
          <w:spacing w:val="-6"/>
          <w:position w:val="-6"/>
          <w:sz w:val="22"/>
          <w:szCs w:val="24"/>
        </w:rPr>
        <w:t>NO TIENE ASUNTOS PENDIENTES CON LAS AUTORIDADES JUDICIALES</w:t>
      </w:r>
      <w:r w:rsidR="006B4037" w:rsidRPr="00AD0C98">
        <w:rPr>
          <w:spacing w:val="-6"/>
          <w:position w:val="-6"/>
          <w:sz w:val="24"/>
          <w:szCs w:val="24"/>
        </w:rPr>
        <w:t>”, aplicable a aquellas personas que no registran antecedentes o para quienes la autoridad judicial decretó la extinción de la condena o la prescripción de la pena, tal y como lo dispuso la sentencia SU-458 de 2012. Advirtió que la entidad no puede eliminar registros de antecedentes, los cuales solo puede actualizar por orden judicial, ya que dicha información sirve para fines legítimos en materia judicial y facilitan el goce de otros derechos. Solicitó la desvinculación de la institución porque no ha vulnerado los derechos invocados por el accionante.</w:t>
      </w:r>
    </w:p>
    <w:p w14:paraId="66CD5A1C" w14:textId="6F06C068" w:rsidR="006B4037" w:rsidRPr="00AD0C98" w:rsidRDefault="006B4037" w:rsidP="00E67486">
      <w:pPr>
        <w:spacing w:line="276" w:lineRule="auto"/>
        <w:rPr>
          <w:spacing w:val="-6"/>
          <w:position w:val="-6"/>
          <w:sz w:val="24"/>
          <w:szCs w:val="24"/>
        </w:rPr>
      </w:pPr>
    </w:p>
    <w:p w14:paraId="7110469F" w14:textId="6035E4C8" w:rsidR="006B4037" w:rsidRPr="00AD0C98" w:rsidRDefault="006B4037" w:rsidP="00E67486">
      <w:pPr>
        <w:spacing w:line="276" w:lineRule="auto"/>
        <w:rPr>
          <w:spacing w:val="-6"/>
          <w:position w:val="-6"/>
          <w:sz w:val="24"/>
          <w:szCs w:val="24"/>
        </w:rPr>
      </w:pPr>
      <w:r w:rsidRPr="00AD0C98">
        <w:rPr>
          <w:b/>
          <w:spacing w:val="-6"/>
          <w:position w:val="-6"/>
          <w:sz w:val="24"/>
          <w:szCs w:val="24"/>
        </w:rPr>
        <w:t>3.5.</w:t>
      </w:r>
      <w:r w:rsidR="006419D0" w:rsidRPr="00AD0C98">
        <w:rPr>
          <w:spacing w:val="-6"/>
          <w:position w:val="-6"/>
          <w:sz w:val="24"/>
          <w:szCs w:val="24"/>
        </w:rPr>
        <w:t>-</w:t>
      </w:r>
      <w:r w:rsidRPr="00AD0C98">
        <w:rPr>
          <w:spacing w:val="-6"/>
          <w:position w:val="-6"/>
          <w:sz w:val="24"/>
          <w:szCs w:val="24"/>
        </w:rPr>
        <w:t xml:space="preserve"> El Fiscal 1 Local, CAIVAS, </w:t>
      </w:r>
      <w:r w:rsidR="00AB4E19" w:rsidRPr="00AD0C98">
        <w:rPr>
          <w:spacing w:val="-6"/>
          <w:position w:val="-6"/>
          <w:sz w:val="24"/>
          <w:szCs w:val="24"/>
        </w:rPr>
        <w:t xml:space="preserve">advirtió que la causa judicial que en su momento atendió ese despacho en la etapa de indagación, donde el señor </w:t>
      </w:r>
      <w:proofErr w:type="spellStart"/>
      <w:r w:rsidR="00F00526" w:rsidRPr="00AD0C98">
        <w:rPr>
          <w:b/>
          <w:spacing w:val="-6"/>
          <w:position w:val="-6"/>
          <w:sz w:val="24"/>
          <w:szCs w:val="24"/>
        </w:rPr>
        <w:t>HRC</w:t>
      </w:r>
      <w:proofErr w:type="spellEnd"/>
      <w:r w:rsidR="00AB4E19" w:rsidRPr="00AD0C98">
        <w:rPr>
          <w:spacing w:val="-6"/>
          <w:position w:val="-6"/>
          <w:sz w:val="24"/>
          <w:szCs w:val="24"/>
        </w:rPr>
        <w:t xml:space="preserve"> fue denunciante por una presunta conducta de Hurto -NUNC 660016000058200502061-, se encuentra inactiva y, actualmente, no tiene acceso a dicha información debido a que dicha Fiscalía ya no hace parte de la unidad que atiende los casos de tal naturaleza.</w:t>
      </w:r>
    </w:p>
    <w:p w14:paraId="2E09AA59" w14:textId="1D4AA478" w:rsidR="006B4037" w:rsidRPr="00AD0C98" w:rsidRDefault="006B4037" w:rsidP="00E67486">
      <w:pPr>
        <w:spacing w:line="276" w:lineRule="auto"/>
        <w:rPr>
          <w:spacing w:val="-6"/>
          <w:position w:val="-6"/>
          <w:sz w:val="24"/>
          <w:szCs w:val="24"/>
        </w:rPr>
      </w:pPr>
    </w:p>
    <w:p w14:paraId="47FC1F36" w14:textId="1410F9FC" w:rsidR="0066371E" w:rsidRPr="00AD0C98" w:rsidRDefault="00AB4E19" w:rsidP="00E67486">
      <w:pPr>
        <w:spacing w:line="276" w:lineRule="auto"/>
        <w:rPr>
          <w:spacing w:val="-6"/>
          <w:position w:val="-6"/>
          <w:sz w:val="24"/>
          <w:szCs w:val="24"/>
        </w:rPr>
      </w:pPr>
      <w:r w:rsidRPr="00AD0C98">
        <w:rPr>
          <w:b/>
          <w:spacing w:val="-6"/>
          <w:position w:val="-6"/>
          <w:sz w:val="24"/>
          <w:szCs w:val="24"/>
        </w:rPr>
        <w:t>3.6.</w:t>
      </w:r>
      <w:r w:rsidR="006419D0" w:rsidRPr="00AD0C98">
        <w:rPr>
          <w:spacing w:val="-6"/>
          <w:position w:val="-6"/>
          <w:sz w:val="24"/>
          <w:szCs w:val="24"/>
        </w:rPr>
        <w:t>-</w:t>
      </w:r>
      <w:r w:rsidRPr="00AD0C98">
        <w:rPr>
          <w:spacing w:val="-6"/>
          <w:position w:val="-6"/>
          <w:sz w:val="24"/>
          <w:szCs w:val="24"/>
        </w:rPr>
        <w:t xml:space="preserve"> </w:t>
      </w:r>
      <w:r w:rsidR="0066371E" w:rsidRPr="00AD0C98">
        <w:rPr>
          <w:spacing w:val="-6"/>
          <w:position w:val="-6"/>
          <w:sz w:val="24"/>
          <w:szCs w:val="24"/>
        </w:rPr>
        <w:t xml:space="preserve">La Oficina Jurídica de la Procuraduría General de la Nación, del caso concreto, señaló que la División de Registro de Sanciones y Causas de Inhabilidad de la entidad hizo saber que el señor </w:t>
      </w:r>
      <w:proofErr w:type="spellStart"/>
      <w:r w:rsidR="00F00526" w:rsidRPr="00AD0C98">
        <w:rPr>
          <w:b/>
          <w:spacing w:val="-6"/>
          <w:position w:val="-6"/>
          <w:sz w:val="24"/>
          <w:szCs w:val="24"/>
        </w:rPr>
        <w:t>HRC</w:t>
      </w:r>
      <w:proofErr w:type="spellEnd"/>
      <w:r w:rsidR="0066371E" w:rsidRPr="00AD0C98">
        <w:rPr>
          <w:spacing w:val="-6"/>
          <w:position w:val="-6"/>
          <w:sz w:val="24"/>
          <w:szCs w:val="24"/>
        </w:rPr>
        <w:t xml:space="preserve"> tiene un registro de sanción penal de fecha “25/10/2004”, misma que contempló pena de prisión e inhabilidad para el ejercicio de derechos y funciones públicas, con actualización registrada en “20/01/2007” sobre la extinción de la pena por orden de autoridad judicial de “21/12/2006”</w:t>
      </w:r>
      <w:r w:rsidR="008B66B8" w:rsidRPr="00AD0C98">
        <w:rPr>
          <w:spacing w:val="-6"/>
          <w:position w:val="-6"/>
          <w:sz w:val="24"/>
          <w:szCs w:val="24"/>
        </w:rPr>
        <w:t>.</w:t>
      </w:r>
      <w:r w:rsidR="0066371E" w:rsidRPr="00AD0C98">
        <w:rPr>
          <w:spacing w:val="-6"/>
          <w:position w:val="-6"/>
          <w:sz w:val="24"/>
          <w:szCs w:val="24"/>
        </w:rPr>
        <w:t xml:space="preserve"> </w:t>
      </w:r>
      <w:r w:rsidR="008B66B8" w:rsidRPr="00AD0C98">
        <w:rPr>
          <w:spacing w:val="-6"/>
          <w:position w:val="-6"/>
          <w:sz w:val="24"/>
          <w:szCs w:val="24"/>
        </w:rPr>
        <w:t xml:space="preserve">Por </w:t>
      </w:r>
      <w:r w:rsidR="0066371E" w:rsidRPr="00AD0C98">
        <w:rPr>
          <w:spacing w:val="-6"/>
          <w:position w:val="-6"/>
          <w:sz w:val="24"/>
          <w:szCs w:val="24"/>
        </w:rPr>
        <w:t>tal razón, el certificado de antecedentes disciplinarios ordinario refleja que el accionante “</w:t>
      </w:r>
      <w:r w:rsidR="0066371E" w:rsidRPr="00AD0C98">
        <w:rPr>
          <w:spacing w:val="-6"/>
          <w:position w:val="-6"/>
          <w:sz w:val="22"/>
          <w:szCs w:val="24"/>
        </w:rPr>
        <w:t>NO REGISTRA SANCIONES NI INHABILIDADES VIGENTES</w:t>
      </w:r>
      <w:r w:rsidR="0066371E" w:rsidRPr="00AD0C98">
        <w:rPr>
          <w:spacing w:val="-6"/>
          <w:position w:val="-6"/>
          <w:sz w:val="24"/>
          <w:szCs w:val="24"/>
        </w:rPr>
        <w:t>”</w:t>
      </w:r>
      <w:r w:rsidR="008B66B8" w:rsidRPr="00AD0C98">
        <w:rPr>
          <w:spacing w:val="-6"/>
          <w:position w:val="-6"/>
          <w:sz w:val="24"/>
          <w:szCs w:val="24"/>
        </w:rPr>
        <w:t>;</w:t>
      </w:r>
      <w:r w:rsidR="0066371E" w:rsidRPr="00AD0C98">
        <w:rPr>
          <w:spacing w:val="-6"/>
          <w:position w:val="-6"/>
          <w:sz w:val="24"/>
          <w:szCs w:val="24"/>
        </w:rPr>
        <w:t xml:space="preserve"> </w:t>
      </w:r>
      <w:r w:rsidR="008B66B8" w:rsidRPr="00AD0C98">
        <w:rPr>
          <w:spacing w:val="-6"/>
          <w:position w:val="-6"/>
          <w:sz w:val="24"/>
          <w:szCs w:val="24"/>
        </w:rPr>
        <w:t xml:space="preserve">no </w:t>
      </w:r>
      <w:r w:rsidR="0066371E" w:rsidRPr="00AD0C98">
        <w:rPr>
          <w:spacing w:val="-6"/>
          <w:position w:val="-6"/>
          <w:sz w:val="24"/>
          <w:szCs w:val="24"/>
        </w:rPr>
        <w:t xml:space="preserve">obstante, </w:t>
      </w:r>
      <w:r w:rsidR="008B66B8" w:rsidRPr="00AD0C98">
        <w:rPr>
          <w:spacing w:val="-6"/>
          <w:position w:val="-6"/>
          <w:sz w:val="24"/>
          <w:szCs w:val="24"/>
        </w:rPr>
        <w:t xml:space="preserve">el </w:t>
      </w:r>
      <w:r w:rsidR="0066371E" w:rsidRPr="00AD0C98">
        <w:rPr>
          <w:spacing w:val="-6"/>
          <w:position w:val="-6"/>
          <w:sz w:val="24"/>
          <w:szCs w:val="24"/>
        </w:rPr>
        <w:t xml:space="preserve">certificado especial debe reflejar el histórico de sanciones del ciudadano </w:t>
      </w:r>
      <w:r w:rsidR="008B66B8" w:rsidRPr="00AD0C98">
        <w:rPr>
          <w:spacing w:val="-6"/>
          <w:position w:val="-6"/>
          <w:sz w:val="24"/>
          <w:szCs w:val="24"/>
        </w:rPr>
        <w:t>para acreditar requisitos frente a cargos de cuya elección, designación o nombramiento y posesión exige la ausencia total o parcial de antecedentes</w:t>
      </w:r>
      <w:r w:rsidR="006419D0" w:rsidRPr="00AD0C98">
        <w:rPr>
          <w:spacing w:val="-6"/>
          <w:position w:val="-6"/>
          <w:sz w:val="24"/>
          <w:szCs w:val="24"/>
        </w:rPr>
        <w:t>, en los términos del artículo 238 de la Ley 1952 de 2019.</w:t>
      </w:r>
    </w:p>
    <w:p w14:paraId="05D3E0DC" w14:textId="77777777" w:rsidR="0066371E" w:rsidRPr="00AD0C98" w:rsidRDefault="0066371E" w:rsidP="00E67486">
      <w:pPr>
        <w:spacing w:line="276" w:lineRule="auto"/>
        <w:rPr>
          <w:spacing w:val="-6"/>
          <w:position w:val="-6"/>
          <w:sz w:val="24"/>
          <w:szCs w:val="24"/>
        </w:rPr>
      </w:pPr>
    </w:p>
    <w:p w14:paraId="5EA827A5" w14:textId="13949644" w:rsidR="00996F6E" w:rsidRPr="00AD0C98" w:rsidRDefault="006419D0" w:rsidP="00E67486">
      <w:pPr>
        <w:spacing w:line="276" w:lineRule="auto"/>
        <w:rPr>
          <w:spacing w:val="-6"/>
          <w:position w:val="-6"/>
          <w:sz w:val="24"/>
          <w:szCs w:val="24"/>
        </w:rPr>
      </w:pPr>
      <w:r w:rsidRPr="00AD0C98">
        <w:rPr>
          <w:spacing w:val="-6"/>
          <w:position w:val="-6"/>
          <w:sz w:val="24"/>
          <w:szCs w:val="24"/>
        </w:rPr>
        <w:t>Consideró que la acción de tutela es improcedente contra la Procuraduría, porque la entidad no ha desconocido, por acción u omisión, derecho alguno al accionante.</w:t>
      </w:r>
    </w:p>
    <w:p w14:paraId="171586ED" w14:textId="2FE5F948" w:rsidR="00996F6E" w:rsidRPr="00AD0C98" w:rsidRDefault="00996F6E" w:rsidP="00E67486">
      <w:pPr>
        <w:spacing w:line="276" w:lineRule="auto"/>
        <w:rPr>
          <w:spacing w:val="-6"/>
          <w:position w:val="-6"/>
          <w:sz w:val="24"/>
          <w:szCs w:val="24"/>
        </w:rPr>
      </w:pPr>
    </w:p>
    <w:p w14:paraId="690D758B" w14:textId="2BAEB93E" w:rsidR="00063B5C" w:rsidRPr="00AD0C98" w:rsidRDefault="00B843EF" w:rsidP="00E67486">
      <w:pPr>
        <w:spacing w:line="276" w:lineRule="auto"/>
        <w:rPr>
          <w:spacing w:val="-6"/>
          <w:position w:val="-6"/>
          <w:sz w:val="24"/>
          <w:szCs w:val="24"/>
        </w:rPr>
      </w:pPr>
      <w:r w:rsidRPr="00AD0C98">
        <w:rPr>
          <w:b/>
          <w:spacing w:val="-6"/>
          <w:position w:val="-6"/>
          <w:sz w:val="24"/>
          <w:szCs w:val="24"/>
        </w:rPr>
        <w:t>3.7.</w:t>
      </w:r>
      <w:r w:rsidRPr="00AD0C98">
        <w:rPr>
          <w:spacing w:val="-6"/>
          <w:position w:val="-6"/>
          <w:sz w:val="24"/>
          <w:szCs w:val="24"/>
        </w:rPr>
        <w:t>- El Fiscal 34 Seccional de la Unidad de Salud, seguridad pública y delitos contra el Medio Ambiente de Pereira, quien recibió por reasignación la carga de la Fiscalía 12 Seccional, advirtió que en el sistema SPOA de la institución solo figura un registro o anotación a nombre del accionante como víctima, en una indagación inactiva que se adelantó por el delito de Hurto Calificado, sin embargo, como despacho Fiscal no tiene acceso a la información de investigaciones tramitadas en vigencia del sistema procesal anterior -Ley 600 de 2000-.</w:t>
      </w:r>
    </w:p>
    <w:p w14:paraId="2D63792C" w14:textId="69055BE8" w:rsidR="00063B5C" w:rsidRPr="00AD0C98" w:rsidRDefault="00063B5C" w:rsidP="00E67486">
      <w:pPr>
        <w:spacing w:line="276" w:lineRule="auto"/>
        <w:rPr>
          <w:spacing w:val="-6"/>
          <w:position w:val="-6"/>
          <w:sz w:val="24"/>
          <w:szCs w:val="24"/>
        </w:rPr>
      </w:pPr>
    </w:p>
    <w:p w14:paraId="0DA3D210" w14:textId="53F2D57E" w:rsidR="00B843EF" w:rsidRPr="00AD0C98" w:rsidRDefault="00B843EF" w:rsidP="00E67486">
      <w:pPr>
        <w:spacing w:line="276" w:lineRule="auto"/>
        <w:rPr>
          <w:spacing w:val="-6"/>
          <w:position w:val="-6"/>
          <w:sz w:val="24"/>
          <w:szCs w:val="24"/>
        </w:rPr>
      </w:pPr>
      <w:r w:rsidRPr="00AD0C98">
        <w:rPr>
          <w:b/>
          <w:spacing w:val="-6"/>
          <w:position w:val="-6"/>
          <w:sz w:val="24"/>
          <w:szCs w:val="24"/>
        </w:rPr>
        <w:t>3.8.</w:t>
      </w:r>
      <w:r w:rsidRPr="00AD0C98">
        <w:rPr>
          <w:spacing w:val="-6"/>
          <w:position w:val="-6"/>
          <w:sz w:val="24"/>
          <w:szCs w:val="24"/>
        </w:rPr>
        <w:t xml:space="preserve">- </w:t>
      </w:r>
      <w:r w:rsidR="00C712C2" w:rsidRPr="00AD0C98">
        <w:rPr>
          <w:spacing w:val="-6"/>
          <w:position w:val="-6"/>
          <w:sz w:val="24"/>
          <w:szCs w:val="24"/>
        </w:rPr>
        <w:t xml:space="preserve">La Fiscalía 4 Especializada de Pereira, informó que a ese Despacho se le encargó el conocimiento de los casos concernientes a la Ley 600 de 2000, no obstante, solicitó que se despache desfavorablemente el amparo constitucional que invocó el señor </w:t>
      </w:r>
      <w:proofErr w:type="spellStart"/>
      <w:r w:rsidR="00F00526" w:rsidRPr="00AD0C98">
        <w:rPr>
          <w:spacing w:val="-6"/>
          <w:position w:val="-6"/>
          <w:sz w:val="24"/>
          <w:szCs w:val="24"/>
        </w:rPr>
        <w:t>HRC</w:t>
      </w:r>
      <w:proofErr w:type="spellEnd"/>
      <w:r w:rsidR="00C712C2" w:rsidRPr="00AD0C98">
        <w:rPr>
          <w:spacing w:val="-6"/>
          <w:position w:val="-6"/>
          <w:sz w:val="24"/>
          <w:szCs w:val="24"/>
        </w:rPr>
        <w:t>, toda vez que dicho ciudadano no ha elevado solicitud alguna a la entidad para procurar lo requerido para ahora acudir al mecanismo de la tutela. En todo caso, señaló que es responsabilidad del Juzgado de Ejecución de Penas y Medidas de Seguridad velar porque los derechos del ciudadano procesado sean restituidos al momento de cumplirse la pena.</w:t>
      </w:r>
    </w:p>
    <w:p w14:paraId="57A38122" w14:textId="369DEAB1" w:rsidR="00C712C2" w:rsidRPr="00AD0C98" w:rsidRDefault="00C712C2" w:rsidP="00E67486">
      <w:pPr>
        <w:spacing w:line="276" w:lineRule="auto"/>
        <w:rPr>
          <w:spacing w:val="-6"/>
          <w:position w:val="-6"/>
          <w:sz w:val="24"/>
          <w:szCs w:val="24"/>
        </w:rPr>
      </w:pPr>
    </w:p>
    <w:p w14:paraId="63414D02" w14:textId="3CC58FE3" w:rsidR="00C712C2" w:rsidRPr="00AD0C98" w:rsidRDefault="00C712C2" w:rsidP="00E67486">
      <w:pPr>
        <w:spacing w:line="276" w:lineRule="auto"/>
        <w:rPr>
          <w:spacing w:val="-6"/>
          <w:position w:val="-6"/>
          <w:sz w:val="24"/>
          <w:szCs w:val="24"/>
        </w:rPr>
      </w:pPr>
      <w:r w:rsidRPr="00AD0C98">
        <w:rPr>
          <w:b/>
          <w:spacing w:val="-6"/>
          <w:position w:val="-6"/>
          <w:sz w:val="24"/>
          <w:szCs w:val="24"/>
        </w:rPr>
        <w:t>3.9.</w:t>
      </w:r>
      <w:r w:rsidRPr="00AD0C98">
        <w:rPr>
          <w:spacing w:val="-6"/>
          <w:position w:val="-6"/>
          <w:sz w:val="24"/>
          <w:szCs w:val="24"/>
        </w:rPr>
        <w:t>- El titular del Juzgado Quinto Penal del Circuito de Pereira hizo referencia a la causa penal que conoció ese estrado judicial y por la que fue condenado el hoy accionante, según sentencia de octubre 25 de 2004. A</w:t>
      </w:r>
      <w:r w:rsidR="000F2A9C" w:rsidRPr="00AD0C98">
        <w:rPr>
          <w:spacing w:val="-6"/>
          <w:position w:val="-6"/>
          <w:sz w:val="24"/>
          <w:szCs w:val="24"/>
        </w:rPr>
        <w:t>demás</w:t>
      </w:r>
      <w:r w:rsidRPr="00AD0C98">
        <w:rPr>
          <w:spacing w:val="-6"/>
          <w:position w:val="-6"/>
          <w:sz w:val="24"/>
          <w:szCs w:val="24"/>
        </w:rPr>
        <w:t xml:space="preserve">, </w:t>
      </w:r>
      <w:r w:rsidR="000F2A9C" w:rsidRPr="00AD0C98">
        <w:rPr>
          <w:spacing w:val="-6"/>
          <w:position w:val="-6"/>
          <w:sz w:val="24"/>
          <w:szCs w:val="24"/>
        </w:rPr>
        <w:t xml:space="preserve">en auto de diciembre 21 de 2006, </w:t>
      </w:r>
      <w:r w:rsidRPr="00AD0C98">
        <w:rPr>
          <w:spacing w:val="-6"/>
          <w:position w:val="-6"/>
          <w:sz w:val="24"/>
          <w:szCs w:val="24"/>
        </w:rPr>
        <w:t>el Juzgado Segundo de Ejecución de Penas y Medidas de Seguridad de Pereira declaró extinguida la condena impuesta</w:t>
      </w:r>
      <w:r w:rsidR="000F2A9C" w:rsidRPr="00AD0C98">
        <w:rPr>
          <w:spacing w:val="-6"/>
          <w:position w:val="-6"/>
          <w:sz w:val="24"/>
          <w:szCs w:val="24"/>
        </w:rPr>
        <w:t xml:space="preserve"> y, a su vez, Centro </w:t>
      </w:r>
      <w:r w:rsidRPr="00AD0C98">
        <w:rPr>
          <w:spacing w:val="-6"/>
          <w:position w:val="-6"/>
          <w:sz w:val="24"/>
          <w:szCs w:val="24"/>
        </w:rPr>
        <w:t xml:space="preserve">de Servicios Administrativos de esos despachos judiciales comunicó de manera oportuna </w:t>
      </w:r>
      <w:r w:rsidR="000F2A9C" w:rsidRPr="00AD0C98">
        <w:rPr>
          <w:spacing w:val="-6"/>
          <w:position w:val="-6"/>
          <w:sz w:val="24"/>
          <w:szCs w:val="24"/>
        </w:rPr>
        <w:t xml:space="preserve">tal decisión a </w:t>
      </w:r>
      <w:r w:rsidRPr="00AD0C98">
        <w:rPr>
          <w:spacing w:val="-6"/>
          <w:position w:val="-6"/>
          <w:sz w:val="24"/>
          <w:szCs w:val="24"/>
        </w:rPr>
        <w:t>las respectivas autoridades</w:t>
      </w:r>
      <w:r w:rsidR="000F2A9C" w:rsidRPr="00AD0C98">
        <w:rPr>
          <w:spacing w:val="-6"/>
          <w:position w:val="-6"/>
          <w:sz w:val="24"/>
          <w:szCs w:val="24"/>
        </w:rPr>
        <w:t>. De esa manera, considera que se cumplió con la obligación de actualización de la información del proceso penal.</w:t>
      </w:r>
    </w:p>
    <w:p w14:paraId="1EFED467" w14:textId="77777777" w:rsidR="00B04A96" w:rsidRPr="00AD0C98" w:rsidRDefault="00B04A96" w:rsidP="00E67486">
      <w:pPr>
        <w:spacing w:line="276" w:lineRule="auto"/>
        <w:rPr>
          <w:spacing w:val="-6"/>
          <w:position w:val="-6"/>
          <w:sz w:val="24"/>
          <w:szCs w:val="24"/>
        </w:rPr>
      </w:pPr>
    </w:p>
    <w:p w14:paraId="10CAB482" w14:textId="2A1BB052" w:rsidR="000F2A9C" w:rsidRPr="00AD0C98" w:rsidRDefault="00CC2E84" w:rsidP="00E67486">
      <w:pPr>
        <w:spacing w:line="276" w:lineRule="auto"/>
        <w:rPr>
          <w:spacing w:val="-6"/>
          <w:position w:val="-6"/>
          <w:sz w:val="24"/>
          <w:szCs w:val="24"/>
        </w:rPr>
      </w:pPr>
      <w:r w:rsidRPr="00AD0C98">
        <w:rPr>
          <w:spacing w:val="-6"/>
          <w:position w:val="-6"/>
          <w:sz w:val="24"/>
          <w:szCs w:val="24"/>
        </w:rPr>
        <w:t xml:space="preserve">Acotó </w:t>
      </w:r>
      <w:r w:rsidR="000F2A9C" w:rsidRPr="00AD0C98">
        <w:rPr>
          <w:spacing w:val="-6"/>
          <w:position w:val="-6"/>
          <w:sz w:val="24"/>
          <w:szCs w:val="24"/>
        </w:rPr>
        <w:t xml:space="preserve">que el señor </w:t>
      </w:r>
      <w:proofErr w:type="spellStart"/>
      <w:r w:rsidR="00F00526" w:rsidRPr="00AD0C98">
        <w:rPr>
          <w:spacing w:val="-6"/>
          <w:position w:val="-6"/>
          <w:sz w:val="24"/>
          <w:szCs w:val="24"/>
        </w:rPr>
        <w:t>HRC</w:t>
      </w:r>
      <w:proofErr w:type="spellEnd"/>
      <w:r w:rsidR="000F2A9C" w:rsidRPr="00AD0C98">
        <w:rPr>
          <w:spacing w:val="-6"/>
          <w:position w:val="-6"/>
          <w:sz w:val="24"/>
          <w:szCs w:val="24"/>
        </w:rPr>
        <w:t xml:space="preserve"> no ha elevado petición alguna ante este despacho judicial, en tanto que la información que obra en el portal de la Rama Judicial es veraz y no constituye un antecedente penal, solo puede ser obtenida mediante consulta especializada y previo suministro del nombre completo del ciudadano</w:t>
      </w:r>
      <w:r w:rsidRPr="00AD0C98">
        <w:rPr>
          <w:spacing w:val="-6"/>
          <w:position w:val="-6"/>
          <w:sz w:val="24"/>
          <w:szCs w:val="24"/>
        </w:rPr>
        <w:t xml:space="preserve">, base de datos que administra el Consejo Superior de la Judicatura y cuyo propósito </w:t>
      </w:r>
      <w:r w:rsidR="00923C5F" w:rsidRPr="00AD0C98">
        <w:rPr>
          <w:spacing w:val="-6"/>
          <w:position w:val="-6"/>
          <w:sz w:val="24"/>
          <w:szCs w:val="24"/>
        </w:rPr>
        <w:t>es facilitar el acceso a la información a las personas en las actuaciones judiciales que las involucran.</w:t>
      </w:r>
    </w:p>
    <w:p w14:paraId="7C16103D" w14:textId="5FB56A0B" w:rsidR="00706784" w:rsidRPr="00AD0C98" w:rsidRDefault="00706784" w:rsidP="00E67486">
      <w:pPr>
        <w:spacing w:line="276" w:lineRule="auto"/>
        <w:rPr>
          <w:spacing w:val="-6"/>
          <w:position w:val="-6"/>
          <w:sz w:val="24"/>
          <w:szCs w:val="24"/>
        </w:rPr>
      </w:pPr>
    </w:p>
    <w:p w14:paraId="3EF5C532" w14:textId="5C8BE905" w:rsidR="00D92408" w:rsidRPr="00AD0C98" w:rsidRDefault="004F214D" w:rsidP="00E67486">
      <w:pPr>
        <w:spacing w:line="276" w:lineRule="auto"/>
        <w:rPr>
          <w:spacing w:val="-6"/>
          <w:position w:val="-6"/>
          <w:sz w:val="24"/>
          <w:szCs w:val="24"/>
        </w:rPr>
      </w:pPr>
      <w:r w:rsidRPr="00AD0C98">
        <w:rPr>
          <w:b/>
          <w:spacing w:val="-6"/>
          <w:position w:val="-6"/>
          <w:sz w:val="24"/>
          <w:szCs w:val="24"/>
        </w:rPr>
        <w:t>3.</w:t>
      </w:r>
      <w:r w:rsidR="00923C5F" w:rsidRPr="00AD0C98">
        <w:rPr>
          <w:b/>
          <w:spacing w:val="-6"/>
          <w:position w:val="-6"/>
          <w:sz w:val="24"/>
          <w:szCs w:val="24"/>
        </w:rPr>
        <w:t>10</w:t>
      </w:r>
      <w:r w:rsidRPr="00AD0C98">
        <w:rPr>
          <w:b/>
          <w:spacing w:val="-6"/>
          <w:position w:val="-6"/>
          <w:sz w:val="24"/>
          <w:szCs w:val="24"/>
        </w:rPr>
        <w:t>.-</w:t>
      </w:r>
      <w:r w:rsidRPr="00AD0C98">
        <w:rPr>
          <w:spacing w:val="-6"/>
          <w:position w:val="-6"/>
          <w:sz w:val="24"/>
          <w:szCs w:val="24"/>
        </w:rPr>
        <w:t xml:space="preserve"> </w:t>
      </w:r>
      <w:r w:rsidR="004622E6" w:rsidRPr="00AD0C98">
        <w:rPr>
          <w:spacing w:val="-6"/>
          <w:position w:val="-6"/>
          <w:sz w:val="24"/>
          <w:szCs w:val="24"/>
        </w:rPr>
        <w:t>Dentro d</w:t>
      </w:r>
      <w:r w:rsidRPr="00AD0C98">
        <w:rPr>
          <w:spacing w:val="-6"/>
          <w:position w:val="-6"/>
          <w:sz w:val="24"/>
          <w:szCs w:val="24"/>
        </w:rPr>
        <w:t xml:space="preserve">el plazo constitucional, mediante sentencia de </w:t>
      </w:r>
      <w:r w:rsidR="00923C5F" w:rsidRPr="00AD0C98">
        <w:rPr>
          <w:b/>
          <w:bCs/>
          <w:spacing w:val="-6"/>
          <w:position w:val="-6"/>
          <w:sz w:val="24"/>
          <w:szCs w:val="24"/>
        </w:rPr>
        <w:t xml:space="preserve">abril 29 </w:t>
      </w:r>
      <w:r w:rsidR="006D0361" w:rsidRPr="00AD0C98">
        <w:rPr>
          <w:b/>
          <w:bCs/>
          <w:spacing w:val="-6"/>
          <w:position w:val="-6"/>
          <w:sz w:val="24"/>
          <w:szCs w:val="24"/>
        </w:rPr>
        <w:t>de 2024</w:t>
      </w:r>
      <w:r w:rsidR="006D0361" w:rsidRPr="00AD0C98">
        <w:rPr>
          <w:spacing w:val="-6"/>
          <w:position w:val="-6"/>
          <w:sz w:val="24"/>
          <w:szCs w:val="24"/>
        </w:rPr>
        <w:t xml:space="preserve">, </w:t>
      </w:r>
      <w:r w:rsidR="00923C5F" w:rsidRPr="00AD0C98">
        <w:rPr>
          <w:spacing w:val="-6"/>
          <w:position w:val="-6"/>
          <w:sz w:val="24"/>
          <w:szCs w:val="24"/>
        </w:rPr>
        <w:t xml:space="preserve">el juzgado de primera instancia, </w:t>
      </w:r>
      <w:r w:rsidR="001B16E7" w:rsidRPr="00AD0C98">
        <w:rPr>
          <w:spacing w:val="-6"/>
          <w:position w:val="-6"/>
          <w:sz w:val="24"/>
          <w:szCs w:val="24"/>
        </w:rPr>
        <w:t xml:space="preserve">declaró </w:t>
      </w:r>
      <w:r w:rsidR="001B16E7" w:rsidRPr="00AD0C98">
        <w:rPr>
          <w:b/>
          <w:bCs/>
          <w:spacing w:val="-6"/>
          <w:position w:val="-6"/>
          <w:sz w:val="24"/>
          <w:szCs w:val="24"/>
        </w:rPr>
        <w:t>improcedente</w:t>
      </w:r>
      <w:r w:rsidR="001B16E7" w:rsidRPr="00AD0C98">
        <w:rPr>
          <w:spacing w:val="-6"/>
          <w:position w:val="-6"/>
          <w:sz w:val="24"/>
          <w:szCs w:val="24"/>
        </w:rPr>
        <w:t xml:space="preserve"> la acción de tutela</w:t>
      </w:r>
      <w:r w:rsidR="004622E6" w:rsidRPr="00AD0C98">
        <w:rPr>
          <w:spacing w:val="-6"/>
          <w:position w:val="-6"/>
          <w:sz w:val="24"/>
          <w:szCs w:val="24"/>
        </w:rPr>
        <w:t xml:space="preserve">, </w:t>
      </w:r>
      <w:r w:rsidR="006D0361" w:rsidRPr="00AD0C98">
        <w:rPr>
          <w:spacing w:val="-6"/>
          <w:position w:val="-6"/>
          <w:sz w:val="24"/>
          <w:szCs w:val="24"/>
        </w:rPr>
        <w:t xml:space="preserve">porque no estaba satisfecho </w:t>
      </w:r>
      <w:r w:rsidR="00A8757B" w:rsidRPr="00AD0C98">
        <w:rPr>
          <w:spacing w:val="-6"/>
          <w:position w:val="-6"/>
          <w:sz w:val="24"/>
          <w:szCs w:val="24"/>
        </w:rPr>
        <w:t xml:space="preserve">el </w:t>
      </w:r>
      <w:r w:rsidR="006D0361" w:rsidRPr="00AD0C98">
        <w:rPr>
          <w:spacing w:val="-6"/>
          <w:position w:val="-6"/>
          <w:sz w:val="24"/>
          <w:szCs w:val="24"/>
        </w:rPr>
        <w:t xml:space="preserve">presupuesto de </w:t>
      </w:r>
      <w:r w:rsidR="006D0361" w:rsidRPr="00AD0C98">
        <w:rPr>
          <w:b/>
          <w:bCs/>
          <w:spacing w:val="-6"/>
          <w:position w:val="-6"/>
          <w:sz w:val="24"/>
          <w:szCs w:val="24"/>
        </w:rPr>
        <w:t>subsidiariedad</w:t>
      </w:r>
      <w:r w:rsidR="00D92408" w:rsidRPr="00AD0C98">
        <w:rPr>
          <w:spacing w:val="-6"/>
          <w:position w:val="-6"/>
          <w:sz w:val="24"/>
          <w:szCs w:val="24"/>
        </w:rPr>
        <w:t xml:space="preserve"> y, por lo mismo, era inviable suponer la negación o vulneración de los derechos invocados.</w:t>
      </w:r>
      <w:r w:rsidR="0034581D" w:rsidRPr="00AD0C98">
        <w:rPr>
          <w:spacing w:val="-6"/>
          <w:position w:val="-6"/>
          <w:sz w:val="24"/>
          <w:szCs w:val="24"/>
        </w:rPr>
        <w:t xml:space="preserve"> Ello por cuanto, el interesado </w:t>
      </w:r>
      <w:r w:rsidR="006D0361" w:rsidRPr="00AD0C98">
        <w:rPr>
          <w:spacing w:val="-6"/>
          <w:position w:val="-6"/>
          <w:sz w:val="24"/>
          <w:szCs w:val="24"/>
        </w:rPr>
        <w:t xml:space="preserve">no </w:t>
      </w:r>
      <w:r w:rsidR="00D92408" w:rsidRPr="00AD0C98">
        <w:rPr>
          <w:spacing w:val="-6"/>
          <w:position w:val="-6"/>
          <w:sz w:val="24"/>
          <w:szCs w:val="24"/>
        </w:rPr>
        <w:t xml:space="preserve">agotó </w:t>
      </w:r>
      <w:r w:rsidR="0034581D" w:rsidRPr="00AD0C98">
        <w:rPr>
          <w:spacing w:val="-6"/>
          <w:position w:val="-6"/>
          <w:sz w:val="24"/>
          <w:szCs w:val="24"/>
        </w:rPr>
        <w:t xml:space="preserve">previamente </w:t>
      </w:r>
      <w:r w:rsidR="00D92408" w:rsidRPr="00AD0C98">
        <w:rPr>
          <w:spacing w:val="-6"/>
          <w:position w:val="-6"/>
          <w:sz w:val="24"/>
          <w:szCs w:val="24"/>
        </w:rPr>
        <w:t>la reclamación que la ley establece</w:t>
      </w:r>
      <w:r w:rsidR="0034581D" w:rsidRPr="00AD0C98">
        <w:rPr>
          <w:spacing w:val="-6"/>
          <w:position w:val="-6"/>
          <w:sz w:val="24"/>
          <w:szCs w:val="24"/>
        </w:rPr>
        <w:t xml:space="preserve"> -art. 15 Ley 1581/12-,</w:t>
      </w:r>
      <w:r w:rsidR="00B764A0" w:rsidRPr="00AD0C98">
        <w:rPr>
          <w:spacing w:val="-6"/>
          <w:position w:val="-6"/>
          <w:sz w:val="24"/>
          <w:szCs w:val="24"/>
        </w:rPr>
        <w:t xml:space="preserve"> </w:t>
      </w:r>
      <w:r w:rsidR="00D92408" w:rsidRPr="00AD0C98">
        <w:rPr>
          <w:spacing w:val="-6"/>
          <w:position w:val="-6"/>
          <w:sz w:val="24"/>
          <w:szCs w:val="24"/>
        </w:rPr>
        <w:t>ante el responsable o encargado del tratamiento</w:t>
      </w:r>
      <w:r w:rsidR="0034581D" w:rsidRPr="00AD0C98">
        <w:rPr>
          <w:spacing w:val="-6"/>
          <w:position w:val="-6"/>
          <w:sz w:val="24"/>
          <w:szCs w:val="24"/>
        </w:rPr>
        <w:t>,</w:t>
      </w:r>
      <w:r w:rsidR="00D92408" w:rsidRPr="00AD0C98">
        <w:rPr>
          <w:spacing w:val="-6"/>
          <w:position w:val="-6"/>
          <w:sz w:val="24"/>
          <w:szCs w:val="24"/>
        </w:rPr>
        <w:t xml:space="preserve"> para </w:t>
      </w:r>
      <w:r w:rsidR="0034581D" w:rsidRPr="00AD0C98">
        <w:rPr>
          <w:spacing w:val="-6"/>
          <w:position w:val="-6"/>
          <w:sz w:val="24"/>
          <w:szCs w:val="24"/>
        </w:rPr>
        <w:t xml:space="preserve">requerir la </w:t>
      </w:r>
      <w:r w:rsidR="00D92408" w:rsidRPr="00AD0C98">
        <w:rPr>
          <w:spacing w:val="-6"/>
          <w:position w:val="-6"/>
          <w:sz w:val="24"/>
          <w:szCs w:val="24"/>
        </w:rPr>
        <w:t>aclaración</w:t>
      </w:r>
      <w:r w:rsidR="00B04A96" w:rsidRPr="00AD0C98">
        <w:rPr>
          <w:spacing w:val="-6"/>
          <w:position w:val="-6"/>
          <w:sz w:val="24"/>
          <w:szCs w:val="24"/>
        </w:rPr>
        <w:t>, corrección, rectificación o actualización de sus datos</w:t>
      </w:r>
      <w:r w:rsidR="0034581D" w:rsidRPr="00AD0C98">
        <w:rPr>
          <w:spacing w:val="-6"/>
          <w:position w:val="-6"/>
          <w:sz w:val="24"/>
          <w:szCs w:val="24"/>
        </w:rPr>
        <w:t>.</w:t>
      </w:r>
    </w:p>
    <w:p w14:paraId="4FDEA015" w14:textId="77777777" w:rsidR="00D92408" w:rsidRPr="00AD0C98" w:rsidRDefault="00D92408" w:rsidP="00E67486">
      <w:pPr>
        <w:spacing w:line="276" w:lineRule="auto"/>
        <w:rPr>
          <w:spacing w:val="-6"/>
          <w:position w:val="-6"/>
          <w:sz w:val="24"/>
          <w:szCs w:val="24"/>
        </w:rPr>
      </w:pPr>
    </w:p>
    <w:p w14:paraId="342BFAE2" w14:textId="77777777" w:rsidR="0053744A" w:rsidRPr="00AD0C98" w:rsidRDefault="0053744A" w:rsidP="00E67486">
      <w:pPr>
        <w:spacing w:line="276" w:lineRule="auto"/>
        <w:rPr>
          <w:rFonts w:ascii="Algerian" w:eastAsia="Times New Roman" w:hAnsi="Algerian"/>
          <w:spacing w:val="-6"/>
          <w:sz w:val="30"/>
          <w:szCs w:val="20"/>
          <w:lang w:eastAsia="es-MX"/>
        </w:rPr>
      </w:pPr>
      <w:r w:rsidRPr="00AD0C98">
        <w:rPr>
          <w:rFonts w:ascii="Algerian" w:eastAsia="Times New Roman" w:hAnsi="Algerian"/>
          <w:spacing w:val="-6"/>
          <w:sz w:val="30"/>
          <w:szCs w:val="20"/>
          <w:lang w:eastAsia="es-MX"/>
        </w:rPr>
        <w:t>4.- IMPUGNACIÓN</w:t>
      </w:r>
    </w:p>
    <w:p w14:paraId="16448885" w14:textId="77777777" w:rsidR="0053744A" w:rsidRPr="00AD0C98" w:rsidRDefault="0053744A" w:rsidP="00E67486">
      <w:pPr>
        <w:spacing w:line="276" w:lineRule="auto"/>
        <w:rPr>
          <w:spacing w:val="-6"/>
          <w:position w:val="-6"/>
          <w:sz w:val="24"/>
          <w:szCs w:val="24"/>
        </w:rPr>
      </w:pPr>
    </w:p>
    <w:p w14:paraId="5734D246" w14:textId="2BFD5B19" w:rsidR="00C350B2" w:rsidRPr="00AD0C98" w:rsidRDefault="0034581D" w:rsidP="00E67486">
      <w:pPr>
        <w:spacing w:line="276" w:lineRule="auto"/>
        <w:rPr>
          <w:spacing w:val="-6"/>
          <w:position w:val="-6"/>
          <w:sz w:val="24"/>
          <w:szCs w:val="24"/>
        </w:rPr>
      </w:pPr>
      <w:r w:rsidRPr="00AD0C98">
        <w:rPr>
          <w:spacing w:val="-6"/>
          <w:position w:val="-6"/>
          <w:sz w:val="24"/>
          <w:szCs w:val="24"/>
        </w:rPr>
        <w:t xml:space="preserve">El accionante </w:t>
      </w:r>
      <w:r w:rsidR="00B4562E" w:rsidRPr="00AD0C98">
        <w:rPr>
          <w:spacing w:val="-6"/>
          <w:position w:val="-6"/>
          <w:sz w:val="24"/>
          <w:szCs w:val="24"/>
        </w:rPr>
        <w:t>se mostró inconforme con lo resuelto</w:t>
      </w:r>
      <w:r w:rsidR="000F5672" w:rsidRPr="00AD0C98">
        <w:rPr>
          <w:spacing w:val="-6"/>
          <w:position w:val="-6"/>
          <w:sz w:val="24"/>
          <w:szCs w:val="24"/>
        </w:rPr>
        <w:t xml:space="preserve"> </w:t>
      </w:r>
      <w:r w:rsidR="00D15D17" w:rsidRPr="00AD0C98">
        <w:rPr>
          <w:spacing w:val="-6"/>
          <w:position w:val="-6"/>
          <w:sz w:val="24"/>
          <w:szCs w:val="24"/>
        </w:rPr>
        <w:t xml:space="preserve">e impugnó el fallo por escrito, en el cual </w:t>
      </w:r>
      <w:r w:rsidR="00A64C84" w:rsidRPr="00AD0C98">
        <w:rPr>
          <w:spacing w:val="-6"/>
          <w:position w:val="-6"/>
          <w:sz w:val="24"/>
          <w:szCs w:val="24"/>
        </w:rPr>
        <w:t xml:space="preserve">argumentó que carecía de sentido </w:t>
      </w:r>
      <w:r w:rsidR="00C350B2" w:rsidRPr="00AD0C98">
        <w:rPr>
          <w:spacing w:val="-6"/>
          <w:position w:val="-6"/>
          <w:sz w:val="24"/>
          <w:szCs w:val="24"/>
        </w:rPr>
        <w:t xml:space="preserve">exigírsele </w:t>
      </w:r>
      <w:r w:rsidR="00A64C84" w:rsidRPr="00AD0C98">
        <w:rPr>
          <w:spacing w:val="-6"/>
          <w:position w:val="-6"/>
          <w:sz w:val="24"/>
          <w:szCs w:val="24"/>
        </w:rPr>
        <w:t xml:space="preserve">agotar una petición previa para reclamar la actualización de datos, </w:t>
      </w:r>
      <w:r w:rsidR="00C350B2" w:rsidRPr="00AD0C98">
        <w:rPr>
          <w:spacing w:val="-6"/>
          <w:position w:val="-6"/>
          <w:sz w:val="24"/>
          <w:szCs w:val="24"/>
        </w:rPr>
        <w:t xml:space="preserve">ya que </w:t>
      </w:r>
      <w:r w:rsidR="001406D2" w:rsidRPr="00AD0C98">
        <w:rPr>
          <w:spacing w:val="-6"/>
          <w:position w:val="-6"/>
          <w:sz w:val="24"/>
          <w:szCs w:val="24"/>
        </w:rPr>
        <w:t xml:space="preserve">en </w:t>
      </w:r>
      <w:r w:rsidR="00C350B2" w:rsidRPr="00AD0C98">
        <w:rPr>
          <w:spacing w:val="-6"/>
          <w:position w:val="-6"/>
          <w:sz w:val="24"/>
          <w:szCs w:val="24"/>
        </w:rPr>
        <w:t xml:space="preserve">las respuestas ofrecidas en este trámite de tutela se </w:t>
      </w:r>
      <w:r w:rsidR="001406D2" w:rsidRPr="00AD0C98">
        <w:rPr>
          <w:spacing w:val="-6"/>
          <w:position w:val="-6"/>
          <w:sz w:val="24"/>
          <w:szCs w:val="24"/>
        </w:rPr>
        <w:t>tiene</w:t>
      </w:r>
      <w:r w:rsidR="00C350B2" w:rsidRPr="00AD0C98">
        <w:rPr>
          <w:spacing w:val="-6"/>
          <w:position w:val="-6"/>
          <w:sz w:val="24"/>
          <w:szCs w:val="24"/>
        </w:rPr>
        <w:t xml:space="preserve"> que la Fiscalía General de la Nación no </w:t>
      </w:r>
      <w:r w:rsidR="00821048" w:rsidRPr="00AD0C98">
        <w:rPr>
          <w:spacing w:val="-6"/>
          <w:position w:val="-6"/>
          <w:sz w:val="24"/>
          <w:szCs w:val="24"/>
        </w:rPr>
        <w:t xml:space="preserve">accede a </w:t>
      </w:r>
      <w:r w:rsidR="00C350B2" w:rsidRPr="00AD0C98">
        <w:rPr>
          <w:spacing w:val="-6"/>
          <w:position w:val="-6"/>
          <w:sz w:val="24"/>
          <w:szCs w:val="24"/>
        </w:rPr>
        <w:t xml:space="preserve">borrar los datos negativos del referido proceso penal, según los lineamientos de la Directiva 001 de enero 3 de 2022, </w:t>
      </w:r>
      <w:r w:rsidR="00ED5159" w:rsidRPr="00AD0C98">
        <w:rPr>
          <w:spacing w:val="-6"/>
          <w:position w:val="-6"/>
          <w:sz w:val="24"/>
          <w:szCs w:val="24"/>
        </w:rPr>
        <w:t xml:space="preserve">por la finalidad que cumple tal </w:t>
      </w:r>
      <w:r w:rsidR="00C350B2" w:rsidRPr="00AD0C98">
        <w:rPr>
          <w:spacing w:val="-6"/>
          <w:position w:val="-6"/>
          <w:sz w:val="24"/>
          <w:szCs w:val="24"/>
        </w:rPr>
        <w:t>información para la entidad, lo cual vulnera su derecho al olvido</w:t>
      </w:r>
      <w:r w:rsidR="009348E9" w:rsidRPr="00AD0C98">
        <w:rPr>
          <w:spacing w:val="-6"/>
          <w:position w:val="-6"/>
          <w:sz w:val="24"/>
          <w:szCs w:val="24"/>
        </w:rPr>
        <w:t xml:space="preserve">, </w:t>
      </w:r>
      <w:r w:rsidR="00821048" w:rsidRPr="00AD0C98">
        <w:rPr>
          <w:spacing w:val="-6"/>
          <w:position w:val="-6"/>
          <w:sz w:val="24"/>
          <w:szCs w:val="24"/>
        </w:rPr>
        <w:t xml:space="preserve">postulado que busca </w:t>
      </w:r>
      <w:r w:rsidR="00C350B2" w:rsidRPr="00AD0C98">
        <w:rPr>
          <w:spacing w:val="-6"/>
          <w:position w:val="-6"/>
          <w:sz w:val="24"/>
          <w:szCs w:val="24"/>
        </w:rPr>
        <w:t>evitar que los datos negativos se mantengan de manera perpetua</w:t>
      </w:r>
      <w:r w:rsidR="00ED5159" w:rsidRPr="00AD0C98">
        <w:rPr>
          <w:spacing w:val="-6"/>
          <w:position w:val="-6"/>
          <w:sz w:val="24"/>
          <w:szCs w:val="24"/>
        </w:rPr>
        <w:t xml:space="preserve"> y frente </w:t>
      </w:r>
      <w:r w:rsidR="00B85D06" w:rsidRPr="00AD0C98">
        <w:rPr>
          <w:spacing w:val="-6"/>
          <w:position w:val="-6"/>
          <w:sz w:val="24"/>
          <w:szCs w:val="24"/>
        </w:rPr>
        <w:t xml:space="preserve">a ello ninguna consideración se plasmó en la providencia opugnada. </w:t>
      </w:r>
    </w:p>
    <w:p w14:paraId="107734CD" w14:textId="77777777" w:rsidR="00C350B2" w:rsidRPr="00AD0C98" w:rsidRDefault="00C350B2" w:rsidP="00E67486">
      <w:pPr>
        <w:spacing w:line="276" w:lineRule="auto"/>
        <w:rPr>
          <w:spacing w:val="-6"/>
          <w:position w:val="-6"/>
          <w:sz w:val="24"/>
          <w:szCs w:val="24"/>
        </w:rPr>
      </w:pPr>
    </w:p>
    <w:p w14:paraId="66C47D35" w14:textId="07A89C8F" w:rsidR="00C350B2" w:rsidRPr="00AD0C98" w:rsidRDefault="00B85D06" w:rsidP="00E67486">
      <w:pPr>
        <w:spacing w:line="276" w:lineRule="auto"/>
        <w:rPr>
          <w:spacing w:val="-6"/>
          <w:position w:val="-6"/>
          <w:sz w:val="24"/>
          <w:szCs w:val="24"/>
        </w:rPr>
      </w:pPr>
      <w:r w:rsidRPr="00AD0C98">
        <w:rPr>
          <w:spacing w:val="-6"/>
          <w:position w:val="-6"/>
          <w:sz w:val="24"/>
          <w:szCs w:val="24"/>
        </w:rPr>
        <w:t xml:space="preserve">Solicitó que se revoque el fallo del </w:t>
      </w:r>
      <w:r w:rsidRPr="00AD0C98">
        <w:rPr>
          <w:i/>
          <w:spacing w:val="-6"/>
          <w:position w:val="-6"/>
          <w:sz w:val="24"/>
          <w:szCs w:val="24"/>
        </w:rPr>
        <w:t>A-quo</w:t>
      </w:r>
      <w:r w:rsidRPr="00AD0C98">
        <w:rPr>
          <w:spacing w:val="-6"/>
          <w:position w:val="-6"/>
          <w:sz w:val="24"/>
          <w:szCs w:val="24"/>
        </w:rPr>
        <w:t xml:space="preserve"> y, en su lugar, se conceda la protección reclamada.</w:t>
      </w:r>
    </w:p>
    <w:p w14:paraId="52F80691" w14:textId="77777777" w:rsidR="00CE2799" w:rsidRPr="00AD0C98" w:rsidRDefault="00CE2799" w:rsidP="00E67486">
      <w:pPr>
        <w:spacing w:line="276" w:lineRule="auto"/>
        <w:rPr>
          <w:spacing w:val="-6"/>
          <w:position w:val="-6"/>
          <w:sz w:val="24"/>
          <w:szCs w:val="24"/>
        </w:rPr>
      </w:pPr>
    </w:p>
    <w:p w14:paraId="1020CD28" w14:textId="77777777" w:rsidR="0053744A" w:rsidRPr="00AD0C98" w:rsidRDefault="0053744A" w:rsidP="00E67486">
      <w:pPr>
        <w:spacing w:line="276" w:lineRule="auto"/>
        <w:rPr>
          <w:rFonts w:ascii="Algerian" w:eastAsia="Times New Roman" w:hAnsi="Algerian"/>
          <w:spacing w:val="-6"/>
          <w:sz w:val="30"/>
          <w:szCs w:val="20"/>
          <w:lang w:eastAsia="es-MX"/>
        </w:rPr>
      </w:pPr>
      <w:r w:rsidRPr="00AD0C98">
        <w:rPr>
          <w:rFonts w:ascii="Algerian" w:eastAsia="Times New Roman" w:hAnsi="Algerian"/>
          <w:spacing w:val="-6"/>
          <w:sz w:val="30"/>
          <w:szCs w:val="20"/>
          <w:lang w:eastAsia="es-MX"/>
        </w:rPr>
        <w:t>5.- POSICIÓN DE LA SALA</w:t>
      </w:r>
    </w:p>
    <w:p w14:paraId="556B4142" w14:textId="77777777" w:rsidR="0053744A" w:rsidRPr="00AD0C98" w:rsidRDefault="0053744A" w:rsidP="00E67486">
      <w:pPr>
        <w:spacing w:line="276" w:lineRule="auto"/>
        <w:rPr>
          <w:spacing w:val="-6"/>
          <w:position w:val="-6"/>
          <w:sz w:val="24"/>
          <w:szCs w:val="24"/>
          <w:lang w:val="es-MX"/>
        </w:rPr>
      </w:pPr>
    </w:p>
    <w:p w14:paraId="0EB376FE" w14:textId="7F05F7DA" w:rsidR="0074716A" w:rsidRPr="00AD0C98" w:rsidRDefault="0074716A" w:rsidP="00E67486">
      <w:pPr>
        <w:spacing w:line="276" w:lineRule="auto"/>
        <w:rPr>
          <w:spacing w:val="-6"/>
          <w:position w:val="-6"/>
          <w:sz w:val="24"/>
          <w:szCs w:val="24"/>
        </w:rPr>
      </w:pPr>
      <w:r w:rsidRPr="00AD0C98">
        <w:rPr>
          <w:spacing w:val="-6"/>
          <w:position w:val="-6"/>
          <w:sz w:val="24"/>
          <w:szCs w:val="24"/>
        </w:rPr>
        <w:t xml:space="preserve">Se tiene competencia para decidir la impugnación incoada contra el fallo proferido por el Juzgado </w:t>
      </w:r>
      <w:r w:rsidR="00B85D06" w:rsidRPr="00AD0C98">
        <w:rPr>
          <w:spacing w:val="-6"/>
          <w:position w:val="-6"/>
          <w:sz w:val="24"/>
          <w:szCs w:val="24"/>
        </w:rPr>
        <w:t xml:space="preserve">Cuarto </w:t>
      </w:r>
      <w:r w:rsidR="000A67F7" w:rsidRPr="00AD0C98">
        <w:rPr>
          <w:spacing w:val="-6"/>
          <w:position w:val="-6"/>
          <w:sz w:val="24"/>
          <w:szCs w:val="24"/>
        </w:rPr>
        <w:t xml:space="preserve">Penal del Circuito </w:t>
      </w:r>
      <w:r w:rsidR="00EB6A75" w:rsidRPr="00AD0C98">
        <w:rPr>
          <w:spacing w:val="-6"/>
          <w:position w:val="-6"/>
          <w:sz w:val="24"/>
          <w:szCs w:val="24"/>
        </w:rPr>
        <w:t xml:space="preserve">de Pereira </w:t>
      </w:r>
      <w:r w:rsidRPr="00AD0C98">
        <w:rPr>
          <w:spacing w:val="-6"/>
          <w:position w:val="-6"/>
          <w:sz w:val="24"/>
          <w:szCs w:val="24"/>
        </w:rPr>
        <w:t>(Rda.), según las facultades conferidas en los artículos 86 y 116 de la Constitución Política</w:t>
      </w:r>
      <w:r w:rsidR="00A41A29" w:rsidRPr="00AD0C98">
        <w:rPr>
          <w:spacing w:val="-6"/>
          <w:position w:val="-6"/>
          <w:sz w:val="24"/>
          <w:szCs w:val="24"/>
        </w:rPr>
        <w:t xml:space="preserve"> y</w:t>
      </w:r>
      <w:r w:rsidRPr="00AD0C98">
        <w:rPr>
          <w:spacing w:val="-6"/>
          <w:position w:val="-6"/>
          <w:sz w:val="24"/>
          <w:szCs w:val="24"/>
        </w:rPr>
        <w:t xml:space="preserve"> 32 del Decreto 2591/91.</w:t>
      </w:r>
    </w:p>
    <w:p w14:paraId="15E8A4F9" w14:textId="77777777" w:rsidR="00674ACF" w:rsidRPr="00AD0C98" w:rsidRDefault="00674ACF" w:rsidP="00E67486">
      <w:pPr>
        <w:spacing w:line="276" w:lineRule="auto"/>
        <w:rPr>
          <w:spacing w:val="-6"/>
          <w:position w:val="-6"/>
          <w:sz w:val="24"/>
          <w:szCs w:val="24"/>
        </w:rPr>
      </w:pPr>
    </w:p>
    <w:p w14:paraId="190DAEDD" w14:textId="77777777" w:rsidR="00067489" w:rsidRPr="00AD0C98" w:rsidRDefault="00067489" w:rsidP="00E67486">
      <w:pPr>
        <w:spacing w:line="276" w:lineRule="auto"/>
        <w:rPr>
          <w:spacing w:val="-6"/>
          <w:position w:val="-6"/>
          <w:sz w:val="24"/>
          <w:szCs w:val="24"/>
        </w:rPr>
      </w:pPr>
      <w:r w:rsidRPr="00AD0C98">
        <w:rPr>
          <w:b/>
          <w:spacing w:val="-6"/>
          <w:position w:val="-6"/>
          <w:sz w:val="24"/>
          <w:szCs w:val="24"/>
        </w:rPr>
        <w:t>5.1.- Problema jurídico planteado</w:t>
      </w:r>
    </w:p>
    <w:p w14:paraId="3CFA15EC" w14:textId="77777777" w:rsidR="00067489" w:rsidRPr="00AD0C98" w:rsidRDefault="00067489" w:rsidP="00E67486">
      <w:pPr>
        <w:spacing w:line="276" w:lineRule="auto"/>
        <w:rPr>
          <w:spacing w:val="-6"/>
          <w:position w:val="-6"/>
          <w:sz w:val="24"/>
          <w:szCs w:val="24"/>
        </w:rPr>
      </w:pPr>
    </w:p>
    <w:p w14:paraId="6127DD11" w14:textId="32031600" w:rsidR="00067489" w:rsidRPr="00AD0C98" w:rsidRDefault="00067489" w:rsidP="00E67486">
      <w:pPr>
        <w:spacing w:line="276" w:lineRule="auto"/>
        <w:rPr>
          <w:spacing w:val="-6"/>
          <w:position w:val="-6"/>
          <w:sz w:val="24"/>
          <w:szCs w:val="24"/>
        </w:rPr>
      </w:pPr>
      <w:r w:rsidRPr="00AD0C98">
        <w:rPr>
          <w:spacing w:val="-6"/>
          <w:position w:val="-6"/>
          <w:sz w:val="24"/>
          <w:szCs w:val="24"/>
        </w:rPr>
        <w:t xml:space="preserve">Corresponde al Tribunal establecer el grado de acierto o desacierto contenido en el fallo impugnado, en cuanto </w:t>
      </w:r>
      <w:r w:rsidR="00A41A29" w:rsidRPr="00AD0C98">
        <w:rPr>
          <w:spacing w:val="-6"/>
          <w:position w:val="-6"/>
          <w:sz w:val="24"/>
          <w:szCs w:val="24"/>
        </w:rPr>
        <w:t>declaró improcedente la acción de tutela interpuesta</w:t>
      </w:r>
      <w:r w:rsidR="005E3641" w:rsidRPr="00AD0C98">
        <w:rPr>
          <w:spacing w:val="-6"/>
          <w:position w:val="-6"/>
          <w:sz w:val="24"/>
          <w:szCs w:val="24"/>
        </w:rPr>
        <w:t xml:space="preserve"> por </w:t>
      </w:r>
      <w:r w:rsidR="00B85D06" w:rsidRPr="00AD0C98">
        <w:rPr>
          <w:spacing w:val="-6"/>
          <w:position w:val="-6"/>
          <w:sz w:val="24"/>
          <w:szCs w:val="24"/>
        </w:rPr>
        <w:t>el</w:t>
      </w:r>
      <w:r w:rsidR="00EB6A75" w:rsidRPr="00AD0C98">
        <w:rPr>
          <w:spacing w:val="-6"/>
          <w:position w:val="-6"/>
          <w:sz w:val="24"/>
          <w:szCs w:val="24"/>
        </w:rPr>
        <w:t xml:space="preserve"> señor </w:t>
      </w:r>
      <w:proofErr w:type="spellStart"/>
      <w:r w:rsidR="00F00526" w:rsidRPr="00AD0C98">
        <w:rPr>
          <w:b/>
          <w:spacing w:val="-6"/>
          <w:position w:val="-6"/>
          <w:sz w:val="24"/>
          <w:szCs w:val="24"/>
        </w:rPr>
        <w:t>HRC</w:t>
      </w:r>
      <w:proofErr w:type="spellEnd"/>
      <w:r w:rsidRPr="00AD0C98">
        <w:rPr>
          <w:spacing w:val="-6"/>
          <w:position w:val="-6"/>
          <w:sz w:val="24"/>
          <w:szCs w:val="24"/>
        </w:rPr>
        <w:t xml:space="preserve">. </w:t>
      </w:r>
      <w:r w:rsidRPr="00AD0C98">
        <w:rPr>
          <w:spacing w:val="-6"/>
          <w:position w:val="-6"/>
          <w:sz w:val="24"/>
          <w:szCs w:val="24"/>
        </w:rPr>
        <w:lastRenderedPageBreak/>
        <w:t xml:space="preserve">De acuerdo con el resultado, se procederá a tomar la determinación pertinente, ya sea convalidando la decisión, </w:t>
      </w:r>
      <w:r w:rsidR="00C840CB" w:rsidRPr="00AD0C98">
        <w:rPr>
          <w:spacing w:val="-6"/>
          <w:position w:val="-6"/>
          <w:sz w:val="24"/>
          <w:szCs w:val="24"/>
        </w:rPr>
        <w:t xml:space="preserve">modificándola o </w:t>
      </w:r>
      <w:r w:rsidRPr="00AD0C98">
        <w:rPr>
          <w:spacing w:val="-6"/>
          <w:position w:val="-6"/>
          <w:sz w:val="24"/>
          <w:szCs w:val="24"/>
        </w:rPr>
        <w:t xml:space="preserve">revocándola. </w:t>
      </w:r>
    </w:p>
    <w:p w14:paraId="5158C950" w14:textId="77777777" w:rsidR="00C95FE4" w:rsidRPr="00AD0C98" w:rsidRDefault="00C95FE4" w:rsidP="00E67486">
      <w:pPr>
        <w:spacing w:line="276" w:lineRule="auto"/>
        <w:rPr>
          <w:spacing w:val="-6"/>
          <w:position w:val="-6"/>
          <w:sz w:val="24"/>
          <w:szCs w:val="24"/>
        </w:rPr>
      </w:pPr>
    </w:p>
    <w:p w14:paraId="562FF0BB" w14:textId="77777777" w:rsidR="00067489" w:rsidRPr="00AD0C98" w:rsidRDefault="00067489" w:rsidP="00E67486">
      <w:pPr>
        <w:spacing w:line="276" w:lineRule="auto"/>
        <w:rPr>
          <w:spacing w:val="-6"/>
          <w:position w:val="-6"/>
          <w:sz w:val="24"/>
          <w:szCs w:val="24"/>
        </w:rPr>
      </w:pPr>
      <w:r w:rsidRPr="00AD0C98">
        <w:rPr>
          <w:b/>
          <w:spacing w:val="-6"/>
          <w:position w:val="-6"/>
          <w:sz w:val="24"/>
          <w:szCs w:val="24"/>
        </w:rPr>
        <w:t>5.2.-</w:t>
      </w:r>
      <w:r w:rsidRPr="00AD0C98">
        <w:rPr>
          <w:spacing w:val="-6"/>
          <w:position w:val="-6"/>
          <w:sz w:val="24"/>
          <w:szCs w:val="24"/>
        </w:rPr>
        <w:t xml:space="preserve"> </w:t>
      </w:r>
      <w:r w:rsidRPr="00AD0C98">
        <w:rPr>
          <w:b/>
          <w:spacing w:val="-6"/>
          <w:position w:val="-6"/>
          <w:sz w:val="24"/>
          <w:szCs w:val="24"/>
        </w:rPr>
        <w:t>Solución a la controversia</w:t>
      </w:r>
    </w:p>
    <w:p w14:paraId="08331AA4" w14:textId="77777777" w:rsidR="00067489" w:rsidRPr="00AD0C98" w:rsidRDefault="00067489" w:rsidP="00E67486">
      <w:pPr>
        <w:spacing w:line="276" w:lineRule="auto"/>
        <w:rPr>
          <w:spacing w:val="-6"/>
          <w:position w:val="-6"/>
          <w:sz w:val="24"/>
          <w:szCs w:val="24"/>
        </w:rPr>
      </w:pPr>
    </w:p>
    <w:p w14:paraId="2B91BDDA" w14:textId="77777777" w:rsidR="00067489" w:rsidRPr="00AD0C98" w:rsidRDefault="00067489" w:rsidP="00E67486">
      <w:pPr>
        <w:spacing w:line="276" w:lineRule="auto"/>
        <w:rPr>
          <w:spacing w:val="-6"/>
          <w:position w:val="-6"/>
          <w:sz w:val="24"/>
          <w:szCs w:val="24"/>
        </w:rPr>
      </w:pPr>
      <w:r w:rsidRPr="00AD0C98">
        <w:rPr>
          <w:spacing w:val="-6"/>
          <w:position w:val="-6"/>
          <w:sz w:val="24"/>
          <w:szCs w:val="24"/>
        </w:rPr>
        <w:t xml:space="preserve">La acción de tutela ha sido por excelencia el mecanismo más expedito en materia de protección de derechos fundamentales, gracias a ella el Estado Colombiano logró optimizarlos y hacerlos valer a todas las personas sin discriminación alguna. </w:t>
      </w:r>
    </w:p>
    <w:p w14:paraId="112D177C" w14:textId="77777777" w:rsidR="00067489" w:rsidRPr="00AD0C98" w:rsidRDefault="00067489" w:rsidP="00E67486">
      <w:pPr>
        <w:spacing w:line="276" w:lineRule="auto"/>
        <w:rPr>
          <w:spacing w:val="-6"/>
          <w:position w:val="-6"/>
          <w:sz w:val="24"/>
          <w:szCs w:val="24"/>
          <w:highlight w:val="yellow"/>
        </w:rPr>
      </w:pPr>
    </w:p>
    <w:p w14:paraId="16965BC8" w14:textId="367275FC" w:rsidR="00EC0A57" w:rsidRPr="00AD0C98" w:rsidRDefault="00D5555A" w:rsidP="00E67486">
      <w:pPr>
        <w:spacing w:line="276" w:lineRule="auto"/>
        <w:rPr>
          <w:spacing w:val="-6"/>
          <w:position w:val="-6"/>
          <w:sz w:val="24"/>
          <w:szCs w:val="24"/>
          <w:lang w:val="es-CO"/>
        </w:rPr>
      </w:pPr>
      <w:r w:rsidRPr="00AD0C98">
        <w:rPr>
          <w:spacing w:val="-6"/>
          <w:position w:val="-6"/>
          <w:sz w:val="24"/>
          <w:szCs w:val="24"/>
        </w:rPr>
        <w:t xml:space="preserve">De acuerdo con lo informado por </w:t>
      </w:r>
      <w:r w:rsidR="00B85D06" w:rsidRPr="00AD0C98">
        <w:rPr>
          <w:spacing w:val="-6"/>
          <w:position w:val="-6"/>
          <w:sz w:val="24"/>
          <w:szCs w:val="24"/>
        </w:rPr>
        <w:t>el</w:t>
      </w:r>
      <w:r w:rsidR="006E1B4E" w:rsidRPr="00AD0C98">
        <w:rPr>
          <w:spacing w:val="-6"/>
          <w:position w:val="-6"/>
          <w:sz w:val="24"/>
          <w:szCs w:val="24"/>
        </w:rPr>
        <w:t xml:space="preserve"> </w:t>
      </w:r>
      <w:r w:rsidR="004E20A9" w:rsidRPr="00AD0C98">
        <w:rPr>
          <w:spacing w:val="-6"/>
          <w:position w:val="-6"/>
          <w:sz w:val="24"/>
          <w:szCs w:val="24"/>
        </w:rPr>
        <w:t>accionante</w:t>
      </w:r>
      <w:r w:rsidR="003C0D8F" w:rsidRPr="00AD0C98">
        <w:rPr>
          <w:spacing w:val="-6"/>
          <w:position w:val="-6"/>
          <w:sz w:val="24"/>
          <w:szCs w:val="24"/>
        </w:rPr>
        <w:t>,</w:t>
      </w:r>
      <w:r w:rsidRPr="00AD0C98">
        <w:rPr>
          <w:spacing w:val="-6"/>
          <w:position w:val="-6"/>
          <w:sz w:val="24"/>
          <w:szCs w:val="24"/>
        </w:rPr>
        <w:t xml:space="preserve"> </w:t>
      </w:r>
      <w:r w:rsidR="00176CCC" w:rsidRPr="00AD0C98">
        <w:rPr>
          <w:spacing w:val="-6"/>
          <w:position w:val="-6"/>
          <w:sz w:val="24"/>
          <w:szCs w:val="24"/>
        </w:rPr>
        <w:t>su pretensi</w:t>
      </w:r>
      <w:r w:rsidR="002F4149" w:rsidRPr="00AD0C98">
        <w:rPr>
          <w:spacing w:val="-6"/>
          <w:position w:val="-6"/>
          <w:sz w:val="24"/>
          <w:szCs w:val="24"/>
        </w:rPr>
        <w:t>ón</w:t>
      </w:r>
      <w:r w:rsidR="00176CCC" w:rsidRPr="00AD0C98">
        <w:rPr>
          <w:spacing w:val="-6"/>
          <w:position w:val="-6"/>
          <w:sz w:val="24"/>
          <w:szCs w:val="24"/>
        </w:rPr>
        <w:t xml:space="preserve"> en esta acción de tutela consiste</w:t>
      </w:r>
      <w:r w:rsidRPr="00AD0C98">
        <w:rPr>
          <w:spacing w:val="-6"/>
          <w:position w:val="-6"/>
          <w:sz w:val="24"/>
          <w:szCs w:val="24"/>
        </w:rPr>
        <w:t xml:space="preserve"> </w:t>
      </w:r>
      <w:r w:rsidR="000A67F7" w:rsidRPr="00AD0C98">
        <w:rPr>
          <w:spacing w:val="-6"/>
          <w:position w:val="-6"/>
          <w:sz w:val="24"/>
          <w:szCs w:val="24"/>
        </w:rPr>
        <w:t xml:space="preserve">en que se </w:t>
      </w:r>
      <w:r w:rsidR="00EB6A75" w:rsidRPr="00AD0C98">
        <w:rPr>
          <w:spacing w:val="-6"/>
          <w:position w:val="-6"/>
          <w:sz w:val="24"/>
          <w:szCs w:val="24"/>
        </w:rPr>
        <w:t xml:space="preserve">le ordene a la </w:t>
      </w:r>
      <w:r w:rsidR="00B85D06" w:rsidRPr="00AD0C98">
        <w:rPr>
          <w:spacing w:val="-6"/>
          <w:position w:val="-6"/>
          <w:sz w:val="24"/>
          <w:szCs w:val="24"/>
          <w:lang w:val="es-MX"/>
        </w:rPr>
        <w:t>Procuraduría General de la Nación</w:t>
      </w:r>
      <w:r w:rsidR="001629FB" w:rsidRPr="00AD0C98">
        <w:rPr>
          <w:spacing w:val="-6"/>
          <w:position w:val="-6"/>
          <w:sz w:val="24"/>
          <w:szCs w:val="24"/>
          <w:lang w:val="es-MX"/>
        </w:rPr>
        <w:t>, o al autoridad competente,</w:t>
      </w:r>
      <w:r w:rsidR="00B85D06" w:rsidRPr="00AD0C98">
        <w:rPr>
          <w:spacing w:val="-6"/>
          <w:position w:val="-6"/>
          <w:sz w:val="24"/>
          <w:szCs w:val="24"/>
          <w:lang w:val="es-MX"/>
        </w:rPr>
        <w:t xml:space="preserve"> que proceda </w:t>
      </w:r>
      <w:r w:rsidR="00EC0A57" w:rsidRPr="00AD0C98">
        <w:rPr>
          <w:spacing w:val="-6"/>
          <w:position w:val="-6"/>
          <w:sz w:val="24"/>
          <w:szCs w:val="24"/>
          <w:lang w:val="es-MX"/>
        </w:rPr>
        <w:t xml:space="preserve">a borrar los registros de antecedentes </w:t>
      </w:r>
      <w:r w:rsidR="001629FB" w:rsidRPr="00AD0C98">
        <w:rPr>
          <w:spacing w:val="-6"/>
          <w:position w:val="-6"/>
          <w:sz w:val="24"/>
          <w:szCs w:val="24"/>
          <w:lang w:val="es-MX"/>
        </w:rPr>
        <w:t xml:space="preserve">judiciales </w:t>
      </w:r>
      <w:r w:rsidR="00EC0A57" w:rsidRPr="00AD0C98">
        <w:rPr>
          <w:spacing w:val="-6"/>
          <w:position w:val="-6"/>
          <w:sz w:val="24"/>
          <w:szCs w:val="24"/>
          <w:lang w:val="es-MX"/>
        </w:rPr>
        <w:t xml:space="preserve">originados en una sanción penal emitida en su contra hace </w:t>
      </w:r>
      <w:r w:rsidR="001629FB" w:rsidRPr="00AD0C98">
        <w:rPr>
          <w:spacing w:val="-6"/>
          <w:position w:val="-6"/>
          <w:sz w:val="24"/>
          <w:szCs w:val="24"/>
          <w:lang w:val="es-MX"/>
        </w:rPr>
        <w:t xml:space="preserve">ya </w:t>
      </w:r>
      <w:r w:rsidR="00EC0A57" w:rsidRPr="00AD0C98">
        <w:rPr>
          <w:spacing w:val="-6"/>
          <w:position w:val="-6"/>
          <w:sz w:val="24"/>
          <w:szCs w:val="24"/>
          <w:lang w:val="es-MX"/>
        </w:rPr>
        <w:t>casi veinte años, misma que se encuentra extinta</w:t>
      </w:r>
      <w:r w:rsidR="006E1B4E" w:rsidRPr="00AD0C98">
        <w:rPr>
          <w:spacing w:val="-6"/>
          <w:position w:val="-6"/>
          <w:sz w:val="24"/>
          <w:szCs w:val="24"/>
          <w:lang w:val="es-MX"/>
        </w:rPr>
        <w:t>; no obstante</w:t>
      </w:r>
      <w:r w:rsidR="00447E88" w:rsidRPr="00AD0C98">
        <w:rPr>
          <w:spacing w:val="-6"/>
          <w:position w:val="-6"/>
          <w:sz w:val="24"/>
          <w:szCs w:val="24"/>
          <w:lang w:val="es-CO"/>
        </w:rPr>
        <w:t xml:space="preserve">, el juez </w:t>
      </w:r>
      <w:r w:rsidR="00EC0A57" w:rsidRPr="00AD0C98">
        <w:rPr>
          <w:i/>
          <w:spacing w:val="-6"/>
          <w:position w:val="-6"/>
          <w:sz w:val="24"/>
          <w:szCs w:val="24"/>
          <w:lang w:val="es-CO"/>
        </w:rPr>
        <w:t>A</w:t>
      </w:r>
      <w:r w:rsidR="004A1D15" w:rsidRPr="00AD0C98">
        <w:rPr>
          <w:i/>
          <w:spacing w:val="-6"/>
          <w:position w:val="-6"/>
          <w:sz w:val="24"/>
          <w:szCs w:val="24"/>
          <w:lang w:val="es-CO"/>
        </w:rPr>
        <w:t>-</w:t>
      </w:r>
      <w:r w:rsidR="00447E88" w:rsidRPr="00AD0C98">
        <w:rPr>
          <w:i/>
          <w:spacing w:val="-6"/>
          <w:position w:val="-6"/>
          <w:sz w:val="24"/>
          <w:szCs w:val="24"/>
          <w:lang w:val="es-CO"/>
        </w:rPr>
        <w:t>quo</w:t>
      </w:r>
      <w:r w:rsidR="00447E88" w:rsidRPr="00AD0C98">
        <w:rPr>
          <w:spacing w:val="-6"/>
          <w:position w:val="-6"/>
          <w:sz w:val="24"/>
          <w:szCs w:val="24"/>
          <w:lang w:val="es-CO"/>
        </w:rPr>
        <w:t xml:space="preserve"> </w:t>
      </w:r>
      <w:r w:rsidR="006E1B4E" w:rsidRPr="00AD0C98">
        <w:rPr>
          <w:spacing w:val="-6"/>
          <w:position w:val="-6"/>
          <w:sz w:val="24"/>
          <w:szCs w:val="24"/>
          <w:lang w:val="es-CO"/>
        </w:rPr>
        <w:t xml:space="preserve">declaró </w:t>
      </w:r>
      <w:r w:rsidR="00447E88" w:rsidRPr="00AD0C98">
        <w:rPr>
          <w:spacing w:val="-6"/>
          <w:position w:val="-6"/>
          <w:sz w:val="24"/>
          <w:szCs w:val="24"/>
          <w:lang w:val="es-CO"/>
        </w:rPr>
        <w:t>improcedente la acción</w:t>
      </w:r>
      <w:r w:rsidR="00EB6A75" w:rsidRPr="00AD0C98">
        <w:rPr>
          <w:spacing w:val="-6"/>
          <w:position w:val="-6"/>
          <w:sz w:val="24"/>
          <w:szCs w:val="24"/>
          <w:lang w:val="es-CO"/>
        </w:rPr>
        <w:t xml:space="preserve">, al observar que no se satisface </w:t>
      </w:r>
      <w:r w:rsidR="00EC0A57" w:rsidRPr="00AD0C98">
        <w:rPr>
          <w:spacing w:val="-6"/>
          <w:position w:val="-6"/>
          <w:sz w:val="24"/>
          <w:szCs w:val="24"/>
          <w:lang w:val="es-CO"/>
        </w:rPr>
        <w:t xml:space="preserve">el </w:t>
      </w:r>
      <w:r w:rsidR="00EB6A75" w:rsidRPr="00AD0C98">
        <w:rPr>
          <w:spacing w:val="-6"/>
          <w:position w:val="-6"/>
          <w:sz w:val="24"/>
          <w:szCs w:val="24"/>
          <w:lang w:val="es-CO"/>
        </w:rPr>
        <w:t xml:space="preserve">requisitos de subsidiariedad, </w:t>
      </w:r>
      <w:r w:rsidR="00EC0A57" w:rsidRPr="00AD0C98">
        <w:rPr>
          <w:spacing w:val="-6"/>
          <w:position w:val="-6"/>
          <w:sz w:val="24"/>
          <w:szCs w:val="24"/>
          <w:lang w:val="es-CO"/>
        </w:rPr>
        <w:t xml:space="preserve">pues el </w:t>
      </w:r>
      <w:r w:rsidR="00E9467C" w:rsidRPr="00AD0C98">
        <w:rPr>
          <w:spacing w:val="-6"/>
          <w:position w:val="-6"/>
          <w:sz w:val="24"/>
          <w:szCs w:val="24"/>
          <w:lang w:val="es-CO"/>
        </w:rPr>
        <w:t xml:space="preserve">interesado </w:t>
      </w:r>
      <w:r w:rsidR="00EC0A57" w:rsidRPr="00AD0C98">
        <w:rPr>
          <w:spacing w:val="-6"/>
          <w:position w:val="-6"/>
          <w:sz w:val="24"/>
          <w:szCs w:val="24"/>
          <w:lang w:val="es-CO"/>
        </w:rPr>
        <w:t xml:space="preserve">no ha elevado reclamación alguna ante la autoridad </w:t>
      </w:r>
      <w:r w:rsidR="00E9467C" w:rsidRPr="00AD0C98">
        <w:rPr>
          <w:spacing w:val="-6"/>
          <w:position w:val="-6"/>
          <w:sz w:val="24"/>
          <w:szCs w:val="24"/>
          <w:lang w:val="es-CO"/>
        </w:rPr>
        <w:t xml:space="preserve">contra quien </w:t>
      </w:r>
      <w:r w:rsidR="00EC0A57" w:rsidRPr="00AD0C98">
        <w:rPr>
          <w:spacing w:val="-6"/>
          <w:position w:val="-6"/>
          <w:sz w:val="24"/>
          <w:szCs w:val="24"/>
          <w:lang w:val="es-CO"/>
        </w:rPr>
        <w:t xml:space="preserve">dirige su pretensión, por lo </w:t>
      </w:r>
      <w:r w:rsidR="00E9467C" w:rsidRPr="00AD0C98">
        <w:rPr>
          <w:spacing w:val="-6"/>
          <w:position w:val="-6"/>
          <w:sz w:val="24"/>
          <w:szCs w:val="24"/>
          <w:lang w:val="es-CO"/>
        </w:rPr>
        <w:t>que</w:t>
      </w:r>
      <w:r w:rsidR="00EC0A57" w:rsidRPr="00AD0C98">
        <w:rPr>
          <w:spacing w:val="-6"/>
          <w:position w:val="-6"/>
          <w:sz w:val="24"/>
          <w:szCs w:val="24"/>
          <w:lang w:val="es-CO"/>
        </w:rPr>
        <w:t xml:space="preserve"> tampoco puede presumirse </w:t>
      </w:r>
      <w:r w:rsidR="00E9467C" w:rsidRPr="00AD0C98">
        <w:rPr>
          <w:spacing w:val="-6"/>
          <w:position w:val="-6"/>
          <w:sz w:val="24"/>
          <w:szCs w:val="24"/>
          <w:lang w:val="es-CO"/>
        </w:rPr>
        <w:t>que exista un</w:t>
      </w:r>
      <w:r w:rsidR="00EC0A57" w:rsidRPr="00AD0C98">
        <w:rPr>
          <w:spacing w:val="-6"/>
          <w:position w:val="-6"/>
          <w:sz w:val="24"/>
          <w:szCs w:val="24"/>
          <w:lang w:val="es-CO"/>
        </w:rPr>
        <w:t xml:space="preserve">a negación o vulneración de los derechos invocados. </w:t>
      </w:r>
    </w:p>
    <w:p w14:paraId="71A75566" w14:textId="77777777" w:rsidR="00EC0A57" w:rsidRPr="00AD0C98" w:rsidRDefault="00EC0A57" w:rsidP="00E67486">
      <w:pPr>
        <w:spacing w:line="276" w:lineRule="auto"/>
        <w:rPr>
          <w:spacing w:val="-6"/>
          <w:position w:val="-6"/>
          <w:sz w:val="24"/>
          <w:szCs w:val="24"/>
          <w:lang w:val="es-CO"/>
        </w:rPr>
      </w:pPr>
    </w:p>
    <w:p w14:paraId="5AB14C98" w14:textId="2A5A05E1" w:rsidR="00EC0A57" w:rsidRPr="00AD0C98" w:rsidRDefault="006E1B4E" w:rsidP="00E67486">
      <w:pPr>
        <w:spacing w:line="276" w:lineRule="auto"/>
        <w:rPr>
          <w:spacing w:val="-6"/>
          <w:position w:val="-6"/>
          <w:sz w:val="24"/>
          <w:szCs w:val="24"/>
          <w:lang w:val="es-CO"/>
        </w:rPr>
      </w:pPr>
      <w:r w:rsidRPr="00AD0C98">
        <w:rPr>
          <w:spacing w:val="-6"/>
          <w:position w:val="-6"/>
          <w:sz w:val="24"/>
          <w:szCs w:val="24"/>
          <w:lang w:val="es-CO"/>
        </w:rPr>
        <w:t>En su impugnación</w:t>
      </w:r>
      <w:r w:rsidR="00447E88" w:rsidRPr="00AD0C98">
        <w:rPr>
          <w:spacing w:val="-6"/>
          <w:position w:val="-6"/>
          <w:sz w:val="24"/>
          <w:szCs w:val="24"/>
          <w:lang w:val="es-CO"/>
        </w:rPr>
        <w:t xml:space="preserve">, </w:t>
      </w:r>
      <w:r w:rsidR="00EC0A57" w:rsidRPr="00AD0C98">
        <w:rPr>
          <w:spacing w:val="-6"/>
          <w:position w:val="-6"/>
          <w:sz w:val="24"/>
          <w:szCs w:val="24"/>
          <w:lang w:val="es-CO"/>
        </w:rPr>
        <w:t xml:space="preserve">el </w:t>
      </w:r>
      <w:r w:rsidR="00716B11" w:rsidRPr="00AD0C98">
        <w:rPr>
          <w:spacing w:val="-6"/>
          <w:position w:val="-6"/>
          <w:sz w:val="24"/>
          <w:szCs w:val="24"/>
          <w:lang w:val="es-CO"/>
        </w:rPr>
        <w:t xml:space="preserve">señor </w:t>
      </w:r>
      <w:proofErr w:type="spellStart"/>
      <w:r w:rsidR="00F00526" w:rsidRPr="00AD0C98">
        <w:rPr>
          <w:b/>
          <w:spacing w:val="-6"/>
          <w:position w:val="-6"/>
          <w:sz w:val="24"/>
          <w:szCs w:val="24"/>
          <w:lang w:val="es-CO"/>
        </w:rPr>
        <w:t>HRC</w:t>
      </w:r>
      <w:proofErr w:type="spellEnd"/>
      <w:r w:rsidR="00447E88" w:rsidRPr="00AD0C98">
        <w:rPr>
          <w:spacing w:val="-6"/>
          <w:position w:val="-6"/>
          <w:sz w:val="24"/>
          <w:szCs w:val="24"/>
          <w:lang w:val="es-CO"/>
        </w:rPr>
        <w:t xml:space="preserve"> argumentó que</w:t>
      </w:r>
      <w:r w:rsidR="008E3FB0" w:rsidRPr="00AD0C98">
        <w:rPr>
          <w:spacing w:val="-6"/>
          <w:position w:val="-6"/>
          <w:sz w:val="24"/>
          <w:szCs w:val="24"/>
          <w:lang w:val="es-CO"/>
        </w:rPr>
        <w:t xml:space="preserve">, según </w:t>
      </w:r>
      <w:r w:rsidR="00EC0A57" w:rsidRPr="00AD0C98">
        <w:rPr>
          <w:spacing w:val="-6"/>
          <w:position w:val="-6"/>
          <w:sz w:val="24"/>
          <w:szCs w:val="24"/>
          <w:lang w:val="es-CO"/>
        </w:rPr>
        <w:t>las respuestas obrantes en el presente trámite</w:t>
      </w:r>
      <w:r w:rsidR="008E3FB0" w:rsidRPr="00AD0C98">
        <w:rPr>
          <w:spacing w:val="-6"/>
          <w:position w:val="-6"/>
          <w:sz w:val="24"/>
          <w:szCs w:val="24"/>
          <w:lang w:val="es-CO"/>
        </w:rPr>
        <w:t xml:space="preserve">, </w:t>
      </w:r>
      <w:r w:rsidR="00EC0A57" w:rsidRPr="00AD0C98">
        <w:rPr>
          <w:spacing w:val="-6"/>
          <w:position w:val="-6"/>
          <w:sz w:val="24"/>
          <w:szCs w:val="24"/>
          <w:lang w:val="es-CO"/>
        </w:rPr>
        <w:t xml:space="preserve">carece de sentido la exigencia de elevar una solicitud previa a la acción de tutela, para reclamar la actualización de sus datos, pues resulta claro que la directiva de la Fiscalía es que no es posible borrar los registros negativos porque dicha información cumple una finalidad importante para la entidad, premisa que desconoce su derecho al olvido o, dicho de otra forma, </w:t>
      </w:r>
      <w:r w:rsidR="00E9467C" w:rsidRPr="00AD0C98">
        <w:rPr>
          <w:spacing w:val="-6"/>
          <w:position w:val="-6"/>
          <w:sz w:val="24"/>
          <w:szCs w:val="24"/>
          <w:lang w:val="es-CO"/>
        </w:rPr>
        <w:t>el</w:t>
      </w:r>
      <w:r w:rsidR="00EC0A57" w:rsidRPr="00AD0C98">
        <w:rPr>
          <w:spacing w:val="-6"/>
          <w:position w:val="-6"/>
          <w:sz w:val="24"/>
          <w:szCs w:val="24"/>
          <w:lang w:val="es-CO"/>
        </w:rPr>
        <w:t xml:space="preserve"> derecho a que no se perpetúe en el tiempo la información negativa que se consigna en las bases de datos. </w:t>
      </w:r>
    </w:p>
    <w:p w14:paraId="0FCCB366" w14:textId="56B09737" w:rsidR="00EC0A57" w:rsidRPr="00AD0C98" w:rsidRDefault="00EC0A57" w:rsidP="00E67486">
      <w:pPr>
        <w:spacing w:line="276" w:lineRule="auto"/>
        <w:rPr>
          <w:spacing w:val="-6"/>
          <w:position w:val="-6"/>
          <w:sz w:val="24"/>
          <w:szCs w:val="24"/>
          <w:lang w:val="es-CO"/>
        </w:rPr>
      </w:pPr>
    </w:p>
    <w:p w14:paraId="6332F3E9" w14:textId="561D054B" w:rsidR="00E9467C" w:rsidRPr="00AD0C98" w:rsidRDefault="00E9467C" w:rsidP="00E67486">
      <w:pPr>
        <w:spacing w:line="276" w:lineRule="auto"/>
        <w:rPr>
          <w:spacing w:val="-6"/>
          <w:position w:val="-6"/>
          <w:sz w:val="24"/>
          <w:szCs w:val="24"/>
          <w:lang w:val="es-CO"/>
        </w:rPr>
      </w:pPr>
      <w:r w:rsidRPr="00AD0C98">
        <w:rPr>
          <w:spacing w:val="-6"/>
          <w:position w:val="-6"/>
          <w:sz w:val="24"/>
          <w:szCs w:val="24"/>
          <w:lang w:val="es-CO"/>
        </w:rPr>
        <w:t xml:space="preserve">De entrada, el Tribunal advierte que la decisión que adoptó el juzgado de primera instancia fue acertada, ya que, conforme con las manifestaciones del accionante, se puede pregonar que </w:t>
      </w:r>
      <w:r w:rsidR="002E1883" w:rsidRPr="00AD0C98">
        <w:rPr>
          <w:spacing w:val="-6"/>
          <w:position w:val="-6"/>
          <w:sz w:val="24"/>
          <w:szCs w:val="24"/>
          <w:lang w:val="es-CO"/>
        </w:rPr>
        <w:t xml:space="preserve">se </w:t>
      </w:r>
      <w:r w:rsidRPr="00AD0C98">
        <w:rPr>
          <w:spacing w:val="-6"/>
          <w:position w:val="-6"/>
          <w:sz w:val="24"/>
          <w:szCs w:val="24"/>
          <w:lang w:val="es-CO"/>
        </w:rPr>
        <w:t xml:space="preserve">pretende utilizar la vía constitucional como un mecanismo judicial alternativo para que sea el juez constitucional quien adopte una decisión favorable a sus intereses, sin solicitar previamente a los despachos judiciales que conocieron </w:t>
      </w:r>
      <w:r w:rsidR="002E1883" w:rsidRPr="00AD0C98">
        <w:rPr>
          <w:spacing w:val="-6"/>
          <w:position w:val="-6"/>
          <w:sz w:val="24"/>
          <w:szCs w:val="24"/>
          <w:lang w:val="es-CO"/>
        </w:rPr>
        <w:t xml:space="preserve">del </w:t>
      </w:r>
      <w:r w:rsidRPr="00AD0C98">
        <w:rPr>
          <w:spacing w:val="-6"/>
          <w:position w:val="-6"/>
          <w:sz w:val="24"/>
          <w:szCs w:val="24"/>
          <w:lang w:val="es-CO"/>
        </w:rPr>
        <w:t xml:space="preserve">caso en su contra, </w:t>
      </w:r>
      <w:r w:rsidR="002E1883" w:rsidRPr="00AD0C98">
        <w:rPr>
          <w:spacing w:val="-6"/>
          <w:position w:val="-6"/>
          <w:sz w:val="24"/>
          <w:szCs w:val="24"/>
          <w:lang w:val="es-CO"/>
        </w:rPr>
        <w:t xml:space="preserve">ni a las autoridades que administran tal información, que </w:t>
      </w:r>
      <w:r w:rsidRPr="00AD0C98">
        <w:rPr>
          <w:spacing w:val="-6"/>
          <w:position w:val="-6"/>
          <w:sz w:val="24"/>
          <w:szCs w:val="24"/>
          <w:lang w:val="es-CO"/>
        </w:rPr>
        <w:t>atendieran su reclamo, al ser quienes a la postre tienen la posibilidad de disponer lo que en derecho corresponda, y dicha circunstancia, esto es, el no acudir a los medios de defensa judicial, al decir de la jurisprudencia nacional, constituye una palpable violación al principio de subsidiariedad que rige la acción de tutela. Puntualmente al respecto se ha sostenido:</w:t>
      </w:r>
    </w:p>
    <w:p w14:paraId="34C40D96" w14:textId="77777777" w:rsidR="00E9467C" w:rsidRPr="00AD0C98" w:rsidRDefault="00E9467C" w:rsidP="00E67486">
      <w:pPr>
        <w:spacing w:line="276" w:lineRule="auto"/>
        <w:rPr>
          <w:spacing w:val="-6"/>
          <w:position w:val="-6"/>
          <w:sz w:val="24"/>
          <w:szCs w:val="24"/>
          <w:lang w:val="es-CO"/>
        </w:rPr>
      </w:pPr>
    </w:p>
    <w:p w14:paraId="6049F919" w14:textId="6B750D74" w:rsidR="00E9467C" w:rsidRPr="00AD0C98" w:rsidRDefault="00E9467C" w:rsidP="00F00526">
      <w:pPr>
        <w:spacing w:line="240" w:lineRule="auto"/>
        <w:ind w:left="426" w:right="420"/>
        <w:rPr>
          <w:spacing w:val="-6"/>
          <w:position w:val="-6"/>
          <w:sz w:val="22"/>
          <w:szCs w:val="24"/>
          <w:lang w:val="es-CO"/>
        </w:rPr>
      </w:pPr>
      <w:r w:rsidRPr="00AD0C98">
        <w:rPr>
          <w:spacing w:val="-6"/>
          <w:position w:val="-6"/>
          <w:sz w:val="22"/>
          <w:szCs w:val="24"/>
          <w:lang w:val="es-CO"/>
        </w:rPr>
        <w:t>“[…] dada la naturaleza supletiva de la acción de tutela, la misma no puede ser utilizada como un medio judicial alternativo, adicional o complementario de los establecidos en el ordenamiento jurídico para la defensa de los derechos de manera preferente, como quiera que, a través de su ejercicio, no se busca reemplazar los procedimientos ordinarios o especiales y, menos aún, pretermitir los mecanismos que dentro de estos se han establecido para controvertir las decisiones que se adopten</w:t>
      </w:r>
      <w:r w:rsidR="00FC42B1" w:rsidRPr="00AD0C98">
        <w:rPr>
          <w:iCs/>
          <w:color w:val="000000"/>
          <w:spacing w:val="-6"/>
          <w:sz w:val="22"/>
          <w:szCs w:val="24"/>
          <w:vertAlign w:val="superscript"/>
          <w:lang w:val="es-ES_tradnl"/>
        </w:rPr>
        <w:footnoteReference w:id="1"/>
      </w:r>
      <w:r w:rsidRPr="00AD0C98">
        <w:rPr>
          <w:spacing w:val="-6"/>
          <w:position w:val="-6"/>
          <w:sz w:val="22"/>
          <w:szCs w:val="24"/>
          <w:lang w:val="es-CO"/>
        </w:rPr>
        <w:t xml:space="preserve">.” </w:t>
      </w:r>
      <w:r w:rsidR="00FC42B1" w:rsidRPr="00AD0C98">
        <w:rPr>
          <w:color w:val="000000"/>
          <w:spacing w:val="-6"/>
          <w:sz w:val="22"/>
          <w:szCs w:val="24"/>
          <w:vertAlign w:val="superscript"/>
        </w:rPr>
        <w:footnoteReference w:id="2"/>
      </w:r>
    </w:p>
    <w:p w14:paraId="10E62A79" w14:textId="77777777" w:rsidR="00E9467C" w:rsidRPr="00AD0C98" w:rsidRDefault="00E9467C" w:rsidP="00E67486">
      <w:pPr>
        <w:spacing w:line="276" w:lineRule="auto"/>
        <w:rPr>
          <w:spacing w:val="-6"/>
          <w:position w:val="-6"/>
          <w:sz w:val="24"/>
          <w:szCs w:val="24"/>
          <w:lang w:val="es-CO"/>
        </w:rPr>
      </w:pPr>
    </w:p>
    <w:p w14:paraId="68F81722" w14:textId="77777777" w:rsidR="00E9467C" w:rsidRPr="00AD0C98" w:rsidRDefault="00E9467C" w:rsidP="00E67486">
      <w:pPr>
        <w:spacing w:line="276" w:lineRule="auto"/>
        <w:rPr>
          <w:spacing w:val="-6"/>
          <w:position w:val="-6"/>
          <w:sz w:val="24"/>
          <w:szCs w:val="24"/>
          <w:lang w:val="es-CO"/>
        </w:rPr>
      </w:pPr>
      <w:r w:rsidRPr="00AD0C98">
        <w:rPr>
          <w:spacing w:val="-6"/>
          <w:position w:val="-6"/>
          <w:sz w:val="24"/>
          <w:szCs w:val="24"/>
          <w:lang w:val="es-CO"/>
        </w:rPr>
        <w:t xml:space="preserve">Véase que la jurisprudencia constitucional es contundente al resaltar el carácter subsidiario y residual de la acción constitucional, y que la misma solo es procedente de manera supletoria, </w:t>
      </w:r>
      <w:r w:rsidRPr="00AD0C98">
        <w:rPr>
          <w:spacing w:val="-6"/>
          <w:position w:val="-6"/>
          <w:sz w:val="24"/>
          <w:szCs w:val="24"/>
          <w:lang w:val="es-CO"/>
        </w:rPr>
        <w:lastRenderedPageBreak/>
        <w:t xml:space="preserve">es decir, cuando no existan otros mecanismos ordinarios de defensa judicial a los cuales se pueda acudir, y no sea usada como una forma de evadirlos: </w:t>
      </w:r>
    </w:p>
    <w:p w14:paraId="109C4F84" w14:textId="77777777" w:rsidR="00E9467C" w:rsidRPr="00AD0C98" w:rsidRDefault="00E9467C" w:rsidP="00E67486">
      <w:pPr>
        <w:spacing w:line="276" w:lineRule="auto"/>
        <w:rPr>
          <w:spacing w:val="-6"/>
          <w:position w:val="-6"/>
          <w:sz w:val="24"/>
          <w:szCs w:val="24"/>
          <w:lang w:val="es-CO"/>
        </w:rPr>
      </w:pPr>
    </w:p>
    <w:p w14:paraId="57A33E76" w14:textId="77777777" w:rsidR="00E9467C" w:rsidRPr="00AD0C98" w:rsidRDefault="00E9467C" w:rsidP="00F00526">
      <w:pPr>
        <w:spacing w:line="240" w:lineRule="auto"/>
        <w:ind w:left="426" w:right="420"/>
        <w:rPr>
          <w:spacing w:val="-6"/>
          <w:position w:val="-6"/>
          <w:sz w:val="22"/>
          <w:szCs w:val="24"/>
          <w:lang w:val="es-CO"/>
        </w:rPr>
      </w:pPr>
      <w:r w:rsidRPr="00AD0C98">
        <w:rPr>
          <w:spacing w:val="-6"/>
          <w:position w:val="-6"/>
          <w:sz w:val="22"/>
          <w:szCs w:val="24"/>
          <w:lang w:val="es-CO"/>
        </w:rPr>
        <w:t xml:space="preserve">“[…] La acción de tutela es un mecanismo de protección de derechos fundamentales cuyas características y condiciones son definidas por la misma Carta Política. </w:t>
      </w:r>
      <w:r w:rsidRPr="00AD0C98">
        <w:rPr>
          <w:b/>
          <w:spacing w:val="-6"/>
          <w:position w:val="-6"/>
          <w:sz w:val="22"/>
          <w:szCs w:val="24"/>
          <w:lang w:val="es-CO"/>
        </w:rPr>
        <w:t>Dentro de estos requisitos se encuentran la subsidiariedad</w:t>
      </w:r>
      <w:r w:rsidRPr="00AD0C98">
        <w:rPr>
          <w:spacing w:val="-6"/>
          <w:position w:val="-6"/>
          <w:sz w:val="22"/>
          <w:szCs w:val="24"/>
          <w:lang w:val="es-CO"/>
        </w:rPr>
        <w:t xml:space="preserve"> y la inmediatez. </w:t>
      </w:r>
    </w:p>
    <w:p w14:paraId="2CA027F5" w14:textId="77777777" w:rsidR="00E9467C" w:rsidRPr="00AD0C98" w:rsidRDefault="00E9467C" w:rsidP="00F00526">
      <w:pPr>
        <w:spacing w:line="240" w:lineRule="auto"/>
        <w:ind w:left="426" w:right="420"/>
        <w:rPr>
          <w:spacing w:val="-6"/>
          <w:position w:val="-6"/>
          <w:sz w:val="22"/>
          <w:szCs w:val="24"/>
          <w:lang w:val="es-CO"/>
        </w:rPr>
      </w:pPr>
    </w:p>
    <w:p w14:paraId="1729BBD9" w14:textId="77777777" w:rsidR="00E9467C" w:rsidRPr="00AD0C98" w:rsidRDefault="00E9467C" w:rsidP="00F00526">
      <w:pPr>
        <w:spacing w:line="240" w:lineRule="auto"/>
        <w:ind w:left="426" w:right="420"/>
        <w:rPr>
          <w:spacing w:val="-6"/>
          <w:position w:val="-6"/>
          <w:sz w:val="22"/>
          <w:szCs w:val="24"/>
          <w:lang w:val="es-CO"/>
        </w:rPr>
      </w:pPr>
      <w:r w:rsidRPr="00AD0C98">
        <w:rPr>
          <w:spacing w:val="-6"/>
          <w:position w:val="-6"/>
          <w:sz w:val="22"/>
          <w:szCs w:val="24"/>
          <w:lang w:val="es-CO"/>
        </w:rPr>
        <w:t xml:space="preserve">El primero está relacionado con la necesidad que en cada caso concreto se acredite que el afectado no cuenta con otro mecanismo de protección de sus derechos o que, en razón a la inminencia de un perjuicio irremediable, dicho instrumento pierde su idoneidad para garantizar la eficacia de los postulados constitucionales, caso en el cual la Carta prevé la procedencia excepcional y transitoria.  </w:t>
      </w:r>
    </w:p>
    <w:p w14:paraId="37181F24" w14:textId="77777777" w:rsidR="00E9467C" w:rsidRPr="00AD0C98" w:rsidRDefault="00E9467C" w:rsidP="00F00526">
      <w:pPr>
        <w:spacing w:line="240" w:lineRule="auto"/>
        <w:ind w:left="426" w:right="420"/>
        <w:rPr>
          <w:spacing w:val="-6"/>
          <w:position w:val="-6"/>
          <w:sz w:val="22"/>
          <w:szCs w:val="24"/>
          <w:lang w:val="es-CO"/>
        </w:rPr>
      </w:pPr>
    </w:p>
    <w:p w14:paraId="336F8178" w14:textId="1E7ECE8E" w:rsidR="00E9467C" w:rsidRPr="00AD0C98" w:rsidRDefault="00E9467C" w:rsidP="00F00526">
      <w:pPr>
        <w:spacing w:line="240" w:lineRule="auto"/>
        <w:ind w:left="426" w:right="420"/>
        <w:rPr>
          <w:spacing w:val="-6"/>
          <w:position w:val="-6"/>
          <w:sz w:val="22"/>
          <w:szCs w:val="24"/>
          <w:lang w:val="es-CO"/>
        </w:rPr>
      </w:pPr>
      <w:r w:rsidRPr="00AD0C98">
        <w:rPr>
          <w:b/>
          <w:spacing w:val="-6"/>
          <w:position w:val="-6"/>
          <w:sz w:val="22"/>
          <w:szCs w:val="24"/>
          <w:lang w:val="es-CO"/>
        </w:rPr>
        <w:t>El fundamento constitucional de la subsidiariedad, bajo esta perspectiva, consiste en impedir que la acción de tutela, que tiene un campo restrictivo de aplicación, se convierta en un mecanismo principal de protección de los derechos fundamentales</w:t>
      </w:r>
      <w:r w:rsidRPr="00AD0C98">
        <w:rPr>
          <w:spacing w:val="-6"/>
          <w:position w:val="-6"/>
          <w:sz w:val="22"/>
          <w:szCs w:val="24"/>
          <w:lang w:val="es-CO"/>
        </w:rPr>
        <w:t>”.</w:t>
      </w:r>
      <w:r w:rsidR="00FC42B1" w:rsidRPr="00AD0C98">
        <w:rPr>
          <w:color w:val="000000"/>
          <w:spacing w:val="-6"/>
          <w:sz w:val="22"/>
          <w:szCs w:val="24"/>
          <w:vertAlign w:val="superscript"/>
        </w:rPr>
        <w:footnoteReference w:id="3"/>
      </w:r>
    </w:p>
    <w:p w14:paraId="57C6A6D1" w14:textId="77777777" w:rsidR="00E9467C" w:rsidRPr="00AD0C98" w:rsidRDefault="00E9467C" w:rsidP="00E67486">
      <w:pPr>
        <w:spacing w:line="276" w:lineRule="auto"/>
        <w:rPr>
          <w:spacing w:val="-6"/>
          <w:position w:val="-6"/>
          <w:sz w:val="24"/>
          <w:szCs w:val="24"/>
          <w:lang w:val="es-CO"/>
        </w:rPr>
      </w:pPr>
    </w:p>
    <w:p w14:paraId="7AFA920A" w14:textId="77777777" w:rsidR="00E9467C" w:rsidRPr="00AD0C98" w:rsidRDefault="00E9467C" w:rsidP="00E67486">
      <w:pPr>
        <w:spacing w:line="276" w:lineRule="auto"/>
        <w:rPr>
          <w:spacing w:val="-6"/>
          <w:position w:val="-6"/>
          <w:sz w:val="24"/>
          <w:szCs w:val="24"/>
          <w:lang w:val="es-CO"/>
        </w:rPr>
      </w:pPr>
      <w:r w:rsidRPr="00AD0C98">
        <w:rPr>
          <w:spacing w:val="-6"/>
          <w:position w:val="-6"/>
          <w:sz w:val="24"/>
          <w:szCs w:val="24"/>
          <w:lang w:val="es-CO"/>
        </w:rPr>
        <w:t>De igual manera, en un asunto de ribetes similares a los que ahora son objeto de estudio, y en relación con el requisito de la subsidiariedad, la Corte Constitucional en sentencia T-139 de 2017, dejó sentado lo siguiente:</w:t>
      </w:r>
    </w:p>
    <w:p w14:paraId="79C17BF8" w14:textId="77777777" w:rsidR="00E9467C" w:rsidRPr="00AD0C98" w:rsidRDefault="00E9467C" w:rsidP="00E67486">
      <w:pPr>
        <w:spacing w:line="276" w:lineRule="auto"/>
        <w:rPr>
          <w:spacing w:val="-6"/>
          <w:position w:val="-6"/>
          <w:sz w:val="24"/>
          <w:szCs w:val="24"/>
          <w:lang w:val="es-CO"/>
        </w:rPr>
      </w:pPr>
    </w:p>
    <w:p w14:paraId="0EBDE07E" w14:textId="17139D60" w:rsidR="00E9467C" w:rsidRPr="00AD0C98" w:rsidRDefault="00E9467C" w:rsidP="00F00526">
      <w:pPr>
        <w:spacing w:line="240" w:lineRule="auto"/>
        <w:ind w:left="426" w:right="420"/>
        <w:rPr>
          <w:spacing w:val="-6"/>
          <w:position w:val="-6"/>
          <w:sz w:val="22"/>
          <w:szCs w:val="24"/>
          <w:lang w:val="es-CO"/>
        </w:rPr>
      </w:pPr>
      <w:r w:rsidRPr="00AD0C98">
        <w:rPr>
          <w:spacing w:val="-6"/>
          <w:position w:val="-6"/>
          <w:sz w:val="22"/>
          <w:szCs w:val="24"/>
          <w:lang w:val="es-CO"/>
        </w:rPr>
        <w:t>“</w:t>
      </w:r>
      <w:r w:rsidR="00FC42B1" w:rsidRPr="00AD0C98">
        <w:rPr>
          <w:spacing w:val="-6"/>
          <w:position w:val="-6"/>
          <w:sz w:val="22"/>
          <w:szCs w:val="24"/>
          <w:lang w:val="es-CO"/>
        </w:rPr>
        <w:t>[</w:t>
      </w:r>
      <w:r w:rsidRPr="00AD0C98">
        <w:rPr>
          <w:spacing w:val="-6"/>
          <w:position w:val="-6"/>
          <w:sz w:val="22"/>
          <w:szCs w:val="24"/>
          <w:lang w:val="es-CO"/>
        </w:rPr>
        <w:t>…</w:t>
      </w:r>
      <w:r w:rsidR="00FC42B1" w:rsidRPr="00AD0C98">
        <w:rPr>
          <w:spacing w:val="-6"/>
          <w:position w:val="-6"/>
          <w:sz w:val="22"/>
          <w:szCs w:val="24"/>
          <w:lang w:val="es-CO"/>
        </w:rPr>
        <w:t>]</w:t>
      </w:r>
      <w:r w:rsidRPr="00AD0C98">
        <w:rPr>
          <w:spacing w:val="-6"/>
          <w:position w:val="-6"/>
          <w:sz w:val="22"/>
          <w:szCs w:val="24"/>
          <w:lang w:val="es-CO"/>
        </w:rPr>
        <w:t xml:space="preserve"> la Sala no encuentra acreditado el requisito de subsidiariedad, pues la accionante no ha elevado alguna petición dirigida a obtener la supresión de los datos ante los responsables del tratamiento de la información que considera errónea.</w:t>
      </w:r>
    </w:p>
    <w:p w14:paraId="2559FDF1" w14:textId="77777777" w:rsidR="00E9467C" w:rsidRPr="00AD0C98" w:rsidRDefault="00E9467C" w:rsidP="00F00526">
      <w:pPr>
        <w:spacing w:line="240" w:lineRule="auto"/>
        <w:ind w:left="426" w:right="420"/>
        <w:rPr>
          <w:spacing w:val="-6"/>
          <w:position w:val="-6"/>
          <w:sz w:val="22"/>
          <w:szCs w:val="24"/>
          <w:lang w:val="es-CO"/>
        </w:rPr>
      </w:pPr>
    </w:p>
    <w:p w14:paraId="086FDAEC" w14:textId="77777777" w:rsidR="00E9467C" w:rsidRPr="00AD0C98" w:rsidRDefault="00E9467C" w:rsidP="00F00526">
      <w:pPr>
        <w:spacing w:line="240" w:lineRule="auto"/>
        <w:ind w:left="426" w:right="420"/>
        <w:rPr>
          <w:spacing w:val="-6"/>
          <w:position w:val="-6"/>
          <w:sz w:val="22"/>
          <w:szCs w:val="24"/>
          <w:lang w:val="es-CO"/>
        </w:rPr>
      </w:pPr>
      <w:r w:rsidRPr="00AD0C98">
        <w:rPr>
          <w:spacing w:val="-6"/>
          <w:position w:val="-6"/>
          <w:sz w:val="22"/>
          <w:szCs w:val="24"/>
          <w:lang w:val="es-CO"/>
        </w:rPr>
        <w:t>De acuerdo con la jurisprudencia constitucional, la solicitud, por parte del afectado, de la aclaración, corrección, rectificación o actualización del dato o de la información que se considera errónea, previa a la interposición del mecanismo de amparo constitucional, constituye un presupuesto general para el ejercicio de la acción de tutela.</w:t>
      </w:r>
    </w:p>
    <w:p w14:paraId="462E5771" w14:textId="77777777" w:rsidR="00E9467C" w:rsidRPr="00AD0C98" w:rsidRDefault="00E9467C" w:rsidP="00F00526">
      <w:pPr>
        <w:spacing w:line="240" w:lineRule="auto"/>
        <w:ind w:left="426" w:right="420"/>
        <w:rPr>
          <w:spacing w:val="-6"/>
          <w:position w:val="-6"/>
          <w:sz w:val="22"/>
          <w:szCs w:val="24"/>
          <w:lang w:val="es-CO"/>
        </w:rPr>
      </w:pPr>
    </w:p>
    <w:p w14:paraId="7ADD5D5E" w14:textId="77777777" w:rsidR="00E9467C" w:rsidRPr="00AD0C98" w:rsidRDefault="00E9467C" w:rsidP="00F00526">
      <w:pPr>
        <w:spacing w:line="240" w:lineRule="auto"/>
        <w:ind w:left="426" w:right="420"/>
        <w:rPr>
          <w:spacing w:val="-6"/>
          <w:position w:val="-6"/>
          <w:sz w:val="22"/>
          <w:szCs w:val="24"/>
          <w:lang w:val="es-CO"/>
        </w:rPr>
      </w:pPr>
      <w:r w:rsidRPr="00AD0C98">
        <w:rPr>
          <w:spacing w:val="-6"/>
          <w:position w:val="-6"/>
          <w:sz w:val="22"/>
          <w:szCs w:val="24"/>
          <w:lang w:val="es-CO"/>
        </w:rPr>
        <w:t>Sobre la previsión de ese requisito, hay que destacar que la accionante no refirió la formulación de solicitudes para la eliminación de los datos ante las autoridades encargadas de su tratamiento y cuya supresión solicitó en sede de revisión; la Oficina de Registro de Instrumentos Públicos de Frontino indicó, de forma expresa, que ante sus dependencias no se han elevado peticiones dirigidas a obtener la corrección o eliminación de la información contenida en el folio inmobiliario 011-6042 y el Ministerio de Vivienda Ciudad y Territorio tampoco aludió a peticiones de la actora en ese sentido.</w:t>
      </w:r>
    </w:p>
    <w:p w14:paraId="1953DEC1" w14:textId="77777777" w:rsidR="00E9467C" w:rsidRPr="00AD0C98" w:rsidRDefault="00E9467C" w:rsidP="00F00526">
      <w:pPr>
        <w:spacing w:line="240" w:lineRule="auto"/>
        <w:ind w:left="426" w:right="420"/>
        <w:rPr>
          <w:spacing w:val="-6"/>
          <w:position w:val="-6"/>
          <w:sz w:val="22"/>
          <w:szCs w:val="24"/>
          <w:lang w:val="es-CO"/>
        </w:rPr>
      </w:pPr>
    </w:p>
    <w:p w14:paraId="4195527A" w14:textId="77777777" w:rsidR="00E9467C" w:rsidRPr="00AD0C98" w:rsidRDefault="00E9467C" w:rsidP="00F00526">
      <w:pPr>
        <w:spacing w:line="240" w:lineRule="auto"/>
        <w:ind w:left="426" w:right="420"/>
        <w:rPr>
          <w:spacing w:val="-6"/>
          <w:position w:val="-6"/>
          <w:sz w:val="22"/>
          <w:szCs w:val="24"/>
          <w:lang w:val="es-CO"/>
        </w:rPr>
      </w:pPr>
      <w:r w:rsidRPr="00AD0C98">
        <w:rPr>
          <w:b/>
          <w:spacing w:val="-6"/>
          <w:position w:val="-6"/>
          <w:sz w:val="22"/>
          <w:szCs w:val="24"/>
          <w:lang w:val="es-CO"/>
        </w:rPr>
        <w:t>Como quiera que la solicitud previa de corrección de la información constituye un requisito de procedencia razonable que el juez constitucional, en uso de sus facultades, no puede impulsar de oficio, y comprobada la omisión de la demandante no se cumple el presupuesto de subsidiariedad</w:t>
      </w:r>
      <w:r w:rsidRPr="00AD0C98">
        <w:rPr>
          <w:spacing w:val="-6"/>
          <w:position w:val="-6"/>
          <w:sz w:val="22"/>
          <w:szCs w:val="24"/>
          <w:lang w:val="es-CO"/>
        </w:rPr>
        <w:t>. En consecuencia, se declarará improcedente la acción para la protección del derecho al habeas data”. -negrillas de la Sala-</w:t>
      </w:r>
    </w:p>
    <w:p w14:paraId="1889ED49" w14:textId="77777777" w:rsidR="00E9467C" w:rsidRPr="00AD0C98" w:rsidRDefault="00E9467C" w:rsidP="00E67486">
      <w:pPr>
        <w:spacing w:line="276" w:lineRule="auto"/>
        <w:rPr>
          <w:spacing w:val="-6"/>
          <w:position w:val="-6"/>
          <w:sz w:val="24"/>
          <w:szCs w:val="24"/>
          <w:lang w:val="es-CO"/>
        </w:rPr>
      </w:pPr>
    </w:p>
    <w:p w14:paraId="41E12B9A" w14:textId="77777777" w:rsidR="00D555E0" w:rsidRPr="00AD0C98" w:rsidRDefault="00FC42B1" w:rsidP="00E67486">
      <w:pPr>
        <w:spacing w:line="276" w:lineRule="auto"/>
        <w:rPr>
          <w:spacing w:val="-6"/>
          <w:position w:val="-6"/>
          <w:sz w:val="24"/>
          <w:szCs w:val="24"/>
          <w:lang w:val="es-CO"/>
        </w:rPr>
      </w:pPr>
      <w:r w:rsidRPr="00AD0C98">
        <w:rPr>
          <w:spacing w:val="-6"/>
          <w:position w:val="-6"/>
          <w:sz w:val="24"/>
          <w:szCs w:val="24"/>
          <w:lang w:val="es-CO"/>
        </w:rPr>
        <w:t xml:space="preserve">Sobre este precedente, </w:t>
      </w:r>
      <w:r w:rsidR="00E9467C" w:rsidRPr="00AD0C98">
        <w:rPr>
          <w:spacing w:val="-6"/>
          <w:position w:val="-6"/>
          <w:sz w:val="24"/>
          <w:szCs w:val="24"/>
          <w:lang w:val="es-CO"/>
        </w:rPr>
        <w:t>la Sala de Casación Penal</w:t>
      </w:r>
      <w:r w:rsidRPr="00AD0C98">
        <w:rPr>
          <w:spacing w:val="-6"/>
          <w:position w:val="-6"/>
          <w:sz w:val="24"/>
          <w:szCs w:val="24"/>
          <w:lang w:val="es-CO"/>
        </w:rPr>
        <w:t xml:space="preserve">, </w:t>
      </w:r>
      <w:r w:rsidR="00E9467C" w:rsidRPr="00AD0C98">
        <w:rPr>
          <w:spacing w:val="-6"/>
          <w:position w:val="-6"/>
          <w:sz w:val="24"/>
          <w:szCs w:val="24"/>
          <w:lang w:val="es-CO"/>
        </w:rPr>
        <w:t>en sede de tutela, indicó:</w:t>
      </w:r>
    </w:p>
    <w:p w14:paraId="59DE3672" w14:textId="77777777" w:rsidR="00D555E0" w:rsidRPr="00AD0C98" w:rsidRDefault="00D555E0" w:rsidP="00E67486">
      <w:pPr>
        <w:spacing w:line="276" w:lineRule="auto"/>
        <w:rPr>
          <w:spacing w:val="-6"/>
          <w:position w:val="-6"/>
          <w:sz w:val="24"/>
          <w:szCs w:val="24"/>
          <w:lang w:val="es-CO"/>
        </w:rPr>
      </w:pPr>
    </w:p>
    <w:p w14:paraId="7E60D09F" w14:textId="10FFBD23" w:rsidR="00E9467C" w:rsidRPr="00AD0C98" w:rsidRDefault="00E9467C" w:rsidP="00F00526">
      <w:pPr>
        <w:spacing w:line="240" w:lineRule="auto"/>
        <w:ind w:left="426" w:right="420"/>
        <w:rPr>
          <w:spacing w:val="-6"/>
          <w:position w:val="-6"/>
          <w:sz w:val="22"/>
          <w:szCs w:val="24"/>
          <w:lang w:val="es-CO"/>
        </w:rPr>
      </w:pPr>
      <w:r w:rsidRPr="00AD0C98">
        <w:rPr>
          <w:spacing w:val="-6"/>
          <w:position w:val="-6"/>
          <w:sz w:val="22"/>
          <w:szCs w:val="24"/>
          <w:lang w:val="es-CO"/>
        </w:rPr>
        <w:t>“</w:t>
      </w:r>
      <w:r w:rsidR="00D555E0" w:rsidRPr="00AD0C98">
        <w:rPr>
          <w:spacing w:val="-6"/>
          <w:position w:val="-6"/>
          <w:sz w:val="22"/>
          <w:szCs w:val="24"/>
          <w:lang w:val="es-CO"/>
        </w:rPr>
        <w:t xml:space="preserve">[…] </w:t>
      </w:r>
      <w:r w:rsidRPr="00AD0C98">
        <w:rPr>
          <w:spacing w:val="-6"/>
          <w:position w:val="-6"/>
          <w:sz w:val="22"/>
          <w:szCs w:val="24"/>
          <w:lang w:val="es-CO"/>
        </w:rPr>
        <w:t xml:space="preserve">la jurisprudencia constitucional ha definido la regla según la [cual] </w:t>
      </w:r>
      <w:r w:rsidRPr="00AD0C98">
        <w:rPr>
          <w:b/>
          <w:spacing w:val="-6"/>
          <w:position w:val="-6"/>
          <w:sz w:val="22"/>
          <w:szCs w:val="24"/>
          <w:lang w:val="es-CO"/>
        </w:rPr>
        <w:t>cuando las personas adviertan errores en el tratamiento de sus datos personales tienen el deber de solicitar previamente, como requisito de procedibilidad del amparo al derecho fundamental del habeas data la corrección ante la autoridad competente</w:t>
      </w:r>
      <w:r w:rsidRPr="00AD0C98">
        <w:rPr>
          <w:spacing w:val="-6"/>
          <w:position w:val="-6"/>
          <w:sz w:val="22"/>
          <w:szCs w:val="24"/>
          <w:lang w:val="es-CO"/>
        </w:rPr>
        <w:t xml:space="preserve"> […]”</w:t>
      </w:r>
      <w:r w:rsidR="00FC42B1" w:rsidRPr="00AD0C98">
        <w:rPr>
          <w:spacing w:val="-6"/>
          <w:position w:val="-4"/>
          <w:sz w:val="22"/>
          <w:szCs w:val="24"/>
          <w:vertAlign w:val="superscript"/>
        </w:rPr>
        <w:footnoteReference w:id="4"/>
      </w:r>
      <w:r w:rsidR="00FC42B1" w:rsidRPr="00AD0C98">
        <w:rPr>
          <w:spacing w:val="-6"/>
          <w:position w:val="-6"/>
          <w:sz w:val="22"/>
          <w:szCs w:val="24"/>
          <w:lang w:val="es-CO"/>
        </w:rPr>
        <w:t xml:space="preserve"> -negrillas del Tribunal-</w:t>
      </w:r>
    </w:p>
    <w:p w14:paraId="1A4189F8" w14:textId="77777777" w:rsidR="002E1883" w:rsidRPr="00AD0C98" w:rsidRDefault="002E1883" w:rsidP="00E67486">
      <w:pPr>
        <w:spacing w:line="276" w:lineRule="auto"/>
        <w:rPr>
          <w:spacing w:val="-6"/>
          <w:position w:val="-6"/>
          <w:sz w:val="24"/>
          <w:szCs w:val="24"/>
          <w:lang w:val="es-CO"/>
        </w:rPr>
      </w:pPr>
    </w:p>
    <w:p w14:paraId="44F0D233" w14:textId="19837A42" w:rsidR="00D555E0" w:rsidRPr="00AD0C98" w:rsidRDefault="00E9467C" w:rsidP="00E67486">
      <w:pPr>
        <w:spacing w:line="276" w:lineRule="auto"/>
        <w:rPr>
          <w:spacing w:val="-6"/>
          <w:position w:val="-6"/>
          <w:sz w:val="24"/>
          <w:szCs w:val="24"/>
          <w:lang w:val="es-CO"/>
        </w:rPr>
      </w:pPr>
      <w:r w:rsidRPr="00AD0C98">
        <w:rPr>
          <w:spacing w:val="-6"/>
          <w:position w:val="-6"/>
          <w:sz w:val="24"/>
          <w:szCs w:val="24"/>
          <w:lang w:val="es-CO"/>
        </w:rPr>
        <w:t xml:space="preserve">Del </w:t>
      </w:r>
      <w:r w:rsidRPr="00AD0C98">
        <w:rPr>
          <w:spacing w:val="-6"/>
          <w:position w:val="-6"/>
          <w:sz w:val="24"/>
          <w:szCs w:val="24"/>
        </w:rPr>
        <w:t>aludido</w:t>
      </w:r>
      <w:r w:rsidRPr="00AD0C98">
        <w:rPr>
          <w:spacing w:val="-6"/>
          <w:position w:val="-6"/>
          <w:sz w:val="24"/>
          <w:szCs w:val="24"/>
          <w:lang w:val="es-CO"/>
        </w:rPr>
        <w:t xml:space="preserve"> recuento jurisprudencial, debe la Sala sostener que cuando el </w:t>
      </w:r>
      <w:r w:rsidR="00D555E0" w:rsidRPr="00AD0C98">
        <w:rPr>
          <w:spacing w:val="-6"/>
          <w:position w:val="-6"/>
          <w:sz w:val="24"/>
          <w:szCs w:val="24"/>
          <w:lang w:val="es-CO"/>
        </w:rPr>
        <w:t>interesado</w:t>
      </w:r>
      <w:r w:rsidRPr="00AD0C98">
        <w:rPr>
          <w:spacing w:val="-6"/>
          <w:position w:val="-6"/>
          <w:sz w:val="24"/>
          <w:szCs w:val="24"/>
          <w:lang w:val="es-CO"/>
        </w:rPr>
        <w:t>, como e</w:t>
      </w:r>
      <w:r w:rsidR="00D555E0" w:rsidRPr="00AD0C98">
        <w:rPr>
          <w:spacing w:val="-6"/>
          <w:position w:val="-6"/>
          <w:sz w:val="24"/>
          <w:szCs w:val="24"/>
          <w:lang w:val="es-CO"/>
        </w:rPr>
        <w:t xml:space="preserve">s el </w:t>
      </w:r>
      <w:r w:rsidRPr="00AD0C98">
        <w:rPr>
          <w:spacing w:val="-6"/>
          <w:position w:val="-6"/>
          <w:sz w:val="24"/>
          <w:szCs w:val="24"/>
          <w:lang w:val="es-CO"/>
        </w:rPr>
        <w:t xml:space="preserve">caso, concurre a la tutela para pretender que los datos contenidos en bases de datos estatales sean modificados, corregidos o actualizados, </w:t>
      </w:r>
      <w:r w:rsidR="00D555E0" w:rsidRPr="00AD0C98">
        <w:rPr>
          <w:spacing w:val="-6"/>
          <w:position w:val="-6"/>
          <w:sz w:val="24"/>
          <w:szCs w:val="24"/>
          <w:lang w:val="es-CO"/>
        </w:rPr>
        <w:t xml:space="preserve">debe </w:t>
      </w:r>
      <w:r w:rsidR="00D555E0" w:rsidRPr="00AD0C98">
        <w:rPr>
          <w:b/>
          <w:bCs/>
          <w:spacing w:val="-6"/>
          <w:position w:val="-6"/>
          <w:sz w:val="24"/>
          <w:szCs w:val="24"/>
          <w:lang w:val="es-CO"/>
        </w:rPr>
        <w:t>previamente</w:t>
      </w:r>
      <w:r w:rsidR="00D555E0" w:rsidRPr="00AD0C98">
        <w:rPr>
          <w:spacing w:val="-6"/>
          <w:position w:val="-6"/>
          <w:sz w:val="24"/>
          <w:szCs w:val="24"/>
          <w:lang w:val="es-CO"/>
        </w:rPr>
        <w:t xml:space="preserve"> </w:t>
      </w:r>
      <w:r w:rsidRPr="00AD0C98">
        <w:rPr>
          <w:spacing w:val="-6"/>
          <w:position w:val="-6"/>
          <w:sz w:val="24"/>
          <w:szCs w:val="24"/>
          <w:lang w:val="es-CO"/>
        </w:rPr>
        <w:t>solicitar a las autoridades judiciales que conocieron los respectivos procesos</w:t>
      </w:r>
      <w:r w:rsidR="00D555E0" w:rsidRPr="00AD0C98">
        <w:rPr>
          <w:spacing w:val="-6"/>
          <w:position w:val="-6"/>
          <w:sz w:val="24"/>
          <w:szCs w:val="24"/>
          <w:lang w:val="es-CO"/>
        </w:rPr>
        <w:t xml:space="preserve">, o en su defecto a quienes administran las bases de datos en específico, según la naturaleza de la reclamación, </w:t>
      </w:r>
      <w:r w:rsidR="008E6B84" w:rsidRPr="00AD0C98">
        <w:rPr>
          <w:spacing w:val="-6"/>
          <w:position w:val="-6"/>
          <w:sz w:val="24"/>
          <w:szCs w:val="24"/>
          <w:lang w:val="es-CO"/>
        </w:rPr>
        <w:t xml:space="preserve">para que </w:t>
      </w:r>
      <w:r w:rsidR="00896184" w:rsidRPr="00AD0C98">
        <w:rPr>
          <w:spacing w:val="-6"/>
          <w:position w:val="-6"/>
          <w:sz w:val="24"/>
          <w:szCs w:val="24"/>
          <w:lang w:val="es-CO"/>
        </w:rPr>
        <w:t xml:space="preserve">se </w:t>
      </w:r>
      <w:r w:rsidRPr="00AD0C98">
        <w:rPr>
          <w:spacing w:val="-6"/>
          <w:position w:val="-6"/>
          <w:sz w:val="24"/>
          <w:szCs w:val="24"/>
          <w:lang w:val="es-CO"/>
        </w:rPr>
        <w:t>proceda a disponer lo pertinente</w:t>
      </w:r>
      <w:r w:rsidR="00D555E0" w:rsidRPr="00AD0C98">
        <w:rPr>
          <w:spacing w:val="-6"/>
          <w:position w:val="-6"/>
          <w:sz w:val="24"/>
          <w:szCs w:val="24"/>
          <w:lang w:val="es-CO"/>
        </w:rPr>
        <w:t>;</w:t>
      </w:r>
      <w:r w:rsidRPr="00AD0C98">
        <w:rPr>
          <w:spacing w:val="-6"/>
          <w:position w:val="-6"/>
          <w:sz w:val="24"/>
          <w:szCs w:val="24"/>
          <w:lang w:val="es-CO"/>
        </w:rPr>
        <w:t xml:space="preserve"> de no hacerlo así, se desconocería el principio de subsidiariedad que rige esta acción.</w:t>
      </w:r>
    </w:p>
    <w:p w14:paraId="14ECC082" w14:textId="77777777" w:rsidR="00D555E0" w:rsidRPr="00AD0C98" w:rsidRDefault="00D555E0" w:rsidP="00E67486">
      <w:pPr>
        <w:spacing w:line="276" w:lineRule="auto"/>
        <w:rPr>
          <w:spacing w:val="-6"/>
          <w:position w:val="-6"/>
          <w:sz w:val="24"/>
          <w:szCs w:val="24"/>
          <w:lang w:val="es-CO"/>
        </w:rPr>
      </w:pPr>
    </w:p>
    <w:p w14:paraId="64A87515" w14:textId="502FEFE9" w:rsidR="00896184" w:rsidRPr="00AD0C98" w:rsidRDefault="00E9467C" w:rsidP="00E67486">
      <w:pPr>
        <w:spacing w:line="276" w:lineRule="auto"/>
        <w:rPr>
          <w:spacing w:val="-6"/>
          <w:position w:val="-6"/>
          <w:sz w:val="24"/>
          <w:szCs w:val="24"/>
          <w:lang w:val="es-CO"/>
        </w:rPr>
      </w:pPr>
      <w:r w:rsidRPr="00AD0C98">
        <w:rPr>
          <w:spacing w:val="-6"/>
          <w:position w:val="-6"/>
          <w:sz w:val="24"/>
          <w:szCs w:val="24"/>
          <w:lang w:val="es-CO"/>
        </w:rPr>
        <w:t xml:space="preserve">Ahora, aunque al momento de dar respuesta a la presente acción constitucional, </w:t>
      </w:r>
      <w:r w:rsidR="00896184" w:rsidRPr="00AD0C98">
        <w:rPr>
          <w:spacing w:val="-6"/>
          <w:position w:val="-6"/>
          <w:sz w:val="24"/>
          <w:szCs w:val="24"/>
          <w:lang w:val="es-CO"/>
        </w:rPr>
        <w:t xml:space="preserve">la Dirección Seccional de Fiscalías de Risaralda </w:t>
      </w:r>
      <w:r w:rsidRPr="00AD0C98">
        <w:rPr>
          <w:spacing w:val="-6"/>
          <w:position w:val="-6"/>
          <w:sz w:val="24"/>
          <w:szCs w:val="24"/>
          <w:lang w:val="es-CO"/>
        </w:rPr>
        <w:t xml:space="preserve">indicó </w:t>
      </w:r>
      <w:r w:rsidR="00896184" w:rsidRPr="00AD0C98">
        <w:rPr>
          <w:spacing w:val="-6"/>
          <w:position w:val="-6"/>
          <w:sz w:val="24"/>
          <w:szCs w:val="24"/>
          <w:lang w:val="es-CO"/>
        </w:rPr>
        <w:t xml:space="preserve">la imposibilidad de eliminar de </w:t>
      </w:r>
      <w:r w:rsidR="00E72F94" w:rsidRPr="00AD0C98">
        <w:rPr>
          <w:spacing w:val="-6"/>
          <w:position w:val="-6"/>
          <w:sz w:val="24"/>
          <w:szCs w:val="24"/>
          <w:lang w:val="es-CO"/>
        </w:rPr>
        <w:t xml:space="preserve">su </w:t>
      </w:r>
      <w:r w:rsidR="00896184" w:rsidRPr="00AD0C98">
        <w:rPr>
          <w:spacing w:val="-6"/>
          <w:position w:val="-6"/>
          <w:sz w:val="24"/>
          <w:szCs w:val="24"/>
          <w:lang w:val="es-CO"/>
        </w:rPr>
        <w:t xml:space="preserve">base de datos la información de anotaciones a nombre del ahora accionante, ello no implica </w:t>
      </w:r>
      <w:r w:rsidR="00E72F94" w:rsidRPr="00AD0C98">
        <w:rPr>
          <w:i/>
          <w:spacing w:val="-6"/>
          <w:position w:val="-6"/>
          <w:sz w:val="24"/>
          <w:szCs w:val="24"/>
          <w:lang w:val="es-CO"/>
        </w:rPr>
        <w:t>per se</w:t>
      </w:r>
      <w:r w:rsidR="00E72F94" w:rsidRPr="00AD0C98">
        <w:rPr>
          <w:spacing w:val="-6"/>
          <w:position w:val="-6"/>
          <w:sz w:val="24"/>
          <w:szCs w:val="24"/>
          <w:lang w:val="es-CO"/>
        </w:rPr>
        <w:t xml:space="preserve"> </w:t>
      </w:r>
      <w:r w:rsidR="00896184" w:rsidRPr="00AD0C98">
        <w:rPr>
          <w:spacing w:val="-6"/>
          <w:position w:val="-6"/>
          <w:sz w:val="24"/>
          <w:szCs w:val="24"/>
          <w:lang w:val="es-CO"/>
        </w:rPr>
        <w:t xml:space="preserve">el desconocimiento de los derechos que reclama el actor porque, de un lado, se trata de una medida </w:t>
      </w:r>
      <w:r w:rsidR="00E72F94" w:rsidRPr="00AD0C98">
        <w:rPr>
          <w:spacing w:val="-6"/>
          <w:position w:val="-6"/>
          <w:sz w:val="24"/>
          <w:szCs w:val="24"/>
          <w:lang w:val="es-CO"/>
        </w:rPr>
        <w:t xml:space="preserve">sobre </w:t>
      </w:r>
      <w:r w:rsidR="00896184" w:rsidRPr="00AD0C98">
        <w:rPr>
          <w:spacing w:val="-6"/>
          <w:position w:val="-6"/>
          <w:sz w:val="24"/>
          <w:szCs w:val="24"/>
          <w:lang w:val="es-CO"/>
        </w:rPr>
        <w:t xml:space="preserve">los datos almacenados al interior de la </w:t>
      </w:r>
      <w:r w:rsidR="00E72F94" w:rsidRPr="00AD0C98">
        <w:rPr>
          <w:spacing w:val="-6"/>
          <w:position w:val="-6"/>
          <w:sz w:val="24"/>
          <w:szCs w:val="24"/>
          <w:lang w:val="es-CO"/>
        </w:rPr>
        <w:t>institución</w:t>
      </w:r>
      <w:r w:rsidR="00896184" w:rsidRPr="00AD0C98">
        <w:rPr>
          <w:spacing w:val="-6"/>
          <w:position w:val="-6"/>
          <w:sz w:val="24"/>
          <w:szCs w:val="24"/>
          <w:lang w:val="es-CO"/>
        </w:rPr>
        <w:t xml:space="preserve">, </w:t>
      </w:r>
      <w:r w:rsidR="00112C80" w:rsidRPr="00AD0C98">
        <w:rPr>
          <w:spacing w:val="-6"/>
          <w:position w:val="-6"/>
          <w:sz w:val="24"/>
          <w:szCs w:val="24"/>
          <w:lang w:val="es-CO"/>
        </w:rPr>
        <w:t>cuy</w:t>
      </w:r>
      <w:r w:rsidR="00E72F94" w:rsidRPr="00AD0C98">
        <w:rPr>
          <w:spacing w:val="-6"/>
          <w:position w:val="-6"/>
          <w:sz w:val="24"/>
          <w:szCs w:val="24"/>
          <w:lang w:val="es-CO"/>
        </w:rPr>
        <w:t>o</w:t>
      </w:r>
      <w:r w:rsidR="00112C80" w:rsidRPr="00AD0C98">
        <w:rPr>
          <w:spacing w:val="-6"/>
          <w:position w:val="-6"/>
          <w:sz w:val="24"/>
          <w:szCs w:val="24"/>
          <w:lang w:val="es-CO"/>
        </w:rPr>
        <w:t xml:space="preserve"> </w:t>
      </w:r>
      <w:r w:rsidR="00E72F94" w:rsidRPr="00AD0C98">
        <w:rPr>
          <w:spacing w:val="-6"/>
          <w:position w:val="-6"/>
          <w:sz w:val="24"/>
          <w:szCs w:val="24"/>
          <w:lang w:val="es-CO"/>
        </w:rPr>
        <w:t xml:space="preserve">acceso, en principio, </w:t>
      </w:r>
      <w:r w:rsidR="005466E6" w:rsidRPr="00AD0C98">
        <w:rPr>
          <w:spacing w:val="-6"/>
          <w:position w:val="-6"/>
          <w:sz w:val="24"/>
          <w:szCs w:val="24"/>
          <w:lang w:val="es-CO"/>
        </w:rPr>
        <w:t xml:space="preserve">es </w:t>
      </w:r>
      <w:r w:rsidR="00E72F94" w:rsidRPr="00AD0C98">
        <w:rPr>
          <w:spacing w:val="-6"/>
          <w:position w:val="-6"/>
          <w:sz w:val="24"/>
          <w:szCs w:val="24"/>
          <w:lang w:val="es-CO"/>
        </w:rPr>
        <w:t xml:space="preserve">restringido y, de otro, </w:t>
      </w:r>
      <w:r w:rsidR="005466E6" w:rsidRPr="00AD0C98">
        <w:rPr>
          <w:spacing w:val="-6"/>
          <w:position w:val="-6"/>
          <w:sz w:val="24"/>
          <w:szCs w:val="24"/>
          <w:lang w:val="es-CO"/>
        </w:rPr>
        <w:t xml:space="preserve">es una </w:t>
      </w:r>
      <w:r w:rsidR="00896184" w:rsidRPr="00AD0C98">
        <w:rPr>
          <w:spacing w:val="-6"/>
          <w:position w:val="-6"/>
          <w:sz w:val="24"/>
          <w:szCs w:val="24"/>
          <w:lang w:val="es-CO"/>
        </w:rPr>
        <w:t xml:space="preserve">directriz general </w:t>
      </w:r>
      <w:r w:rsidR="00E72F94" w:rsidRPr="00AD0C98">
        <w:rPr>
          <w:spacing w:val="-6"/>
          <w:position w:val="-6"/>
          <w:sz w:val="24"/>
          <w:szCs w:val="24"/>
          <w:lang w:val="es-CO"/>
        </w:rPr>
        <w:t xml:space="preserve">y </w:t>
      </w:r>
      <w:r w:rsidR="00896184" w:rsidRPr="00AD0C98">
        <w:rPr>
          <w:spacing w:val="-6"/>
          <w:position w:val="-6"/>
          <w:sz w:val="24"/>
          <w:szCs w:val="24"/>
          <w:lang w:val="es-CO"/>
        </w:rPr>
        <w:t>no se ocupa del caso concreto</w:t>
      </w:r>
      <w:r w:rsidR="00E72F94" w:rsidRPr="00AD0C98">
        <w:rPr>
          <w:spacing w:val="-6"/>
          <w:position w:val="-6"/>
          <w:sz w:val="24"/>
          <w:szCs w:val="24"/>
          <w:lang w:val="es-CO"/>
        </w:rPr>
        <w:t>, por lo cual, no es suficiente para anticipar una decisión negativa o desconocedora de los derechos fundamentales invocados.</w:t>
      </w:r>
    </w:p>
    <w:p w14:paraId="0597BD4A" w14:textId="77777777" w:rsidR="00896184" w:rsidRPr="00AD0C98" w:rsidRDefault="00896184" w:rsidP="00E67486">
      <w:pPr>
        <w:spacing w:line="276" w:lineRule="auto"/>
        <w:rPr>
          <w:spacing w:val="-6"/>
          <w:position w:val="-6"/>
          <w:sz w:val="24"/>
          <w:szCs w:val="24"/>
          <w:lang w:val="es-CO"/>
        </w:rPr>
      </w:pPr>
    </w:p>
    <w:p w14:paraId="1146321D" w14:textId="100667C4" w:rsidR="007B1D54" w:rsidRPr="00AD0C98" w:rsidRDefault="00E9467C" w:rsidP="00E67486">
      <w:pPr>
        <w:spacing w:line="276" w:lineRule="auto"/>
        <w:rPr>
          <w:spacing w:val="-6"/>
          <w:position w:val="-6"/>
          <w:sz w:val="24"/>
          <w:szCs w:val="24"/>
        </w:rPr>
      </w:pPr>
      <w:r w:rsidRPr="00AD0C98">
        <w:rPr>
          <w:spacing w:val="-6"/>
          <w:position w:val="-6"/>
          <w:sz w:val="24"/>
          <w:szCs w:val="24"/>
          <w:lang w:val="es-CO"/>
        </w:rPr>
        <w:t xml:space="preserve">Así las cosas, </w:t>
      </w:r>
      <w:r w:rsidR="006366E3" w:rsidRPr="00AD0C98">
        <w:rPr>
          <w:spacing w:val="-6"/>
          <w:position w:val="-6"/>
          <w:sz w:val="24"/>
          <w:szCs w:val="24"/>
          <w:lang w:val="es-CO"/>
        </w:rPr>
        <w:t xml:space="preserve">como se anunció previamente, </w:t>
      </w:r>
      <w:r w:rsidRPr="00AD0C98">
        <w:rPr>
          <w:spacing w:val="-6"/>
          <w:position w:val="-6"/>
          <w:sz w:val="24"/>
          <w:szCs w:val="24"/>
          <w:lang w:val="es-CO"/>
        </w:rPr>
        <w:t xml:space="preserve">la Sala </w:t>
      </w:r>
      <w:r w:rsidR="007B1D54" w:rsidRPr="00AD0C98">
        <w:rPr>
          <w:spacing w:val="-6"/>
          <w:position w:val="-6"/>
          <w:sz w:val="24"/>
          <w:szCs w:val="24"/>
        </w:rPr>
        <w:t xml:space="preserve">confirmará la decisión adoptada por </w:t>
      </w:r>
      <w:r w:rsidR="006366E3" w:rsidRPr="00AD0C98">
        <w:rPr>
          <w:spacing w:val="-6"/>
          <w:position w:val="-6"/>
          <w:sz w:val="24"/>
          <w:szCs w:val="24"/>
        </w:rPr>
        <w:t xml:space="preserve">el </w:t>
      </w:r>
      <w:r w:rsidR="007B1D54" w:rsidRPr="00AD0C98">
        <w:rPr>
          <w:spacing w:val="-6"/>
          <w:position w:val="-6"/>
          <w:sz w:val="24"/>
          <w:szCs w:val="24"/>
        </w:rPr>
        <w:t xml:space="preserve">juez de primera instancia. </w:t>
      </w:r>
    </w:p>
    <w:p w14:paraId="74733298" w14:textId="77777777" w:rsidR="006366E3" w:rsidRPr="00AD0C98" w:rsidRDefault="006366E3" w:rsidP="00E67486">
      <w:pPr>
        <w:spacing w:line="276" w:lineRule="auto"/>
        <w:rPr>
          <w:spacing w:val="-6"/>
          <w:sz w:val="24"/>
          <w:szCs w:val="24"/>
        </w:rPr>
      </w:pPr>
    </w:p>
    <w:p w14:paraId="2A97B10C" w14:textId="7F6153C5" w:rsidR="007B1D54" w:rsidRPr="00AD0C98" w:rsidRDefault="007B1D54" w:rsidP="00E67486">
      <w:pPr>
        <w:spacing w:line="276" w:lineRule="auto"/>
        <w:rPr>
          <w:spacing w:val="-6"/>
          <w:position w:val="-6"/>
          <w:sz w:val="24"/>
          <w:szCs w:val="24"/>
        </w:rPr>
      </w:pPr>
      <w:r w:rsidRPr="00AD0C98">
        <w:rPr>
          <w:spacing w:val="-6"/>
          <w:position w:val="-6"/>
          <w:sz w:val="24"/>
          <w:szCs w:val="24"/>
        </w:rPr>
        <w:t xml:space="preserve">En mérito de lo expuesto, el Tribunal Superior del Distrito Judicial de Pereira, Sala </w:t>
      </w:r>
      <w:r w:rsidR="006366E3" w:rsidRPr="00AD0C98">
        <w:rPr>
          <w:spacing w:val="-6"/>
          <w:position w:val="-6"/>
          <w:sz w:val="24"/>
          <w:szCs w:val="24"/>
        </w:rPr>
        <w:t xml:space="preserve">Nº 2 de Decisión </w:t>
      </w:r>
      <w:r w:rsidRPr="00AD0C98">
        <w:rPr>
          <w:spacing w:val="-6"/>
          <w:position w:val="-6"/>
          <w:sz w:val="24"/>
          <w:szCs w:val="24"/>
        </w:rPr>
        <w:t xml:space="preserve">Penal, administrando justicia en nombre de la República y por mandato de la Constitución y la ley,  </w:t>
      </w:r>
    </w:p>
    <w:p w14:paraId="186FD741" w14:textId="1FDB6493" w:rsidR="00DB7F7E" w:rsidRPr="00AD0C98" w:rsidRDefault="00DB7F7E" w:rsidP="00E67486">
      <w:pPr>
        <w:spacing w:line="276" w:lineRule="auto"/>
        <w:rPr>
          <w:spacing w:val="-6"/>
          <w:position w:val="-6"/>
          <w:sz w:val="24"/>
          <w:szCs w:val="24"/>
        </w:rPr>
      </w:pPr>
    </w:p>
    <w:p w14:paraId="15A18D71" w14:textId="77777777" w:rsidR="00D5555A" w:rsidRPr="00AD0C98" w:rsidRDefault="00D5555A" w:rsidP="00E67486">
      <w:pPr>
        <w:spacing w:line="276" w:lineRule="auto"/>
        <w:rPr>
          <w:rFonts w:ascii="Algerian" w:eastAsia="Times New Roman" w:hAnsi="Algerian"/>
          <w:spacing w:val="-6"/>
          <w:sz w:val="30"/>
          <w:szCs w:val="20"/>
          <w:lang w:eastAsia="es-MX"/>
        </w:rPr>
      </w:pPr>
      <w:r w:rsidRPr="00AD0C98">
        <w:rPr>
          <w:rFonts w:ascii="Algerian" w:eastAsia="Times New Roman" w:hAnsi="Algerian"/>
          <w:spacing w:val="-6"/>
          <w:sz w:val="30"/>
          <w:szCs w:val="20"/>
          <w:lang w:eastAsia="es-MX"/>
        </w:rPr>
        <w:t>FALLA</w:t>
      </w:r>
    </w:p>
    <w:p w14:paraId="71BBDDB2" w14:textId="77777777" w:rsidR="00D5555A" w:rsidRPr="00AD0C98" w:rsidRDefault="00D5555A" w:rsidP="00E67486">
      <w:pPr>
        <w:spacing w:line="276" w:lineRule="auto"/>
        <w:rPr>
          <w:spacing w:val="-6"/>
          <w:position w:val="-6"/>
          <w:sz w:val="24"/>
          <w:szCs w:val="24"/>
        </w:rPr>
      </w:pPr>
    </w:p>
    <w:p w14:paraId="4F34F7F7" w14:textId="4D929AF3" w:rsidR="00D5555A" w:rsidRPr="00AD0C98" w:rsidRDefault="00D5555A" w:rsidP="00E67486">
      <w:pPr>
        <w:spacing w:line="276" w:lineRule="auto"/>
        <w:rPr>
          <w:spacing w:val="-6"/>
          <w:position w:val="-6"/>
          <w:sz w:val="24"/>
          <w:szCs w:val="24"/>
        </w:rPr>
      </w:pPr>
      <w:bookmarkStart w:id="1" w:name="39"/>
      <w:bookmarkEnd w:id="1"/>
      <w:r w:rsidRPr="00AD0C98">
        <w:rPr>
          <w:b/>
          <w:spacing w:val="-6"/>
          <w:position w:val="-6"/>
          <w:sz w:val="24"/>
          <w:szCs w:val="24"/>
        </w:rPr>
        <w:t xml:space="preserve">PRIMERO: SE CONFIRMA </w:t>
      </w:r>
      <w:r w:rsidRPr="00AD0C98">
        <w:rPr>
          <w:spacing w:val="-6"/>
          <w:position w:val="-6"/>
          <w:sz w:val="24"/>
          <w:szCs w:val="24"/>
        </w:rPr>
        <w:t xml:space="preserve">la sentencia de tutela </w:t>
      </w:r>
      <w:r w:rsidR="00655BBC" w:rsidRPr="00AD0C98">
        <w:rPr>
          <w:spacing w:val="-6"/>
          <w:position w:val="-6"/>
          <w:sz w:val="24"/>
          <w:szCs w:val="24"/>
        </w:rPr>
        <w:t xml:space="preserve">proferida en </w:t>
      </w:r>
      <w:r w:rsidR="006366E3" w:rsidRPr="00AD0C98">
        <w:rPr>
          <w:b/>
          <w:bCs/>
          <w:spacing w:val="-6"/>
          <w:position w:val="-6"/>
          <w:sz w:val="24"/>
          <w:szCs w:val="24"/>
        </w:rPr>
        <w:t xml:space="preserve">abril 29 </w:t>
      </w:r>
      <w:r w:rsidR="00A27E6B" w:rsidRPr="00AD0C98">
        <w:rPr>
          <w:b/>
          <w:bCs/>
          <w:spacing w:val="-6"/>
          <w:position w:val="-6"/>
          <w:sz w:val="24"/>
          <w:szCs w:val="24"/>
        </w:rPr>
        <w:t>de 2024</w:t>
      </w:r>
      <w:r w:rsidR="00655BBC" w:rsidRPr="00AD0C98">
        <w:rPr>
          <w:spacing w:val="-6"/>
          <w:position w:val="-6"/>
          <w:sz w:val="24"/>
          <w:szCs w:val="24"/>
        </w:rPr>
        <w:t xml:space="preserve"> por el</w:t>
      </w:r>
      <w:r w:rsidR="0080240A" w:rsidRPr="00AD0C98">
        <w:rPr>
          <w:spacing w:val="-6"/>
          <w:position w:val="-6"/>
          <w:sz w:val="24"/>
          <w:szCs w:val="24"/>
        </w:rPr>
        <w:t xml:space="preserve"> Juzgado</w:t>
      </w:r>
      <w:r w:rsidR="00655BBC" w:rsidRPr="00AD0C98">
        <w:rPr>
          <w:spacing w:val="-6"/>
          <w:position w:val="-6"/>
          <w:sz w:val="24"/>
          <w:szCs w:val="24"/>
        </w:rPr>
        <w:t xml:space="preserve"> </w:t>
      </w:r>
      <w:r w:rsidR="006366E3" w:rsidRPr="00AD0C98">
        <w:rPr>
          <w:spacing w:val="-6"/>
          <w:position w:val="-6"/>
          <w:sz w:val="24"/>
          <w:szCs w:val="24"/>
        </w:rPr>
        <w:t>Cuarto</w:t>
      </w:r>
      <w:r w:rsidR="0080240A" w:rsidRPr="00AD0C98">
        <w:rPr>
          <w:spacing w:val="-6"/>
          <w:position w:val="-6"/>
          <w:sz w:val="24"/>
          <w:szCs w:val="24"/>
        </w:rPr>
        <w:t xml:space="preserve"> Penal del Circuito de Pereira (Risaralda)</w:t>
      </w:r>
      <w:r w:rsidR="00E202E5" w:rsidRPr="00AD0C98">
        <w:rPr>
          <w:spacing w:val="-6"/>
          <w:position w:val="-6"/>
          <w:sz w:val="24"/>
          <w:szCs w:val="24"/>
        </w:rPr>
        <w:t xml:space="preserve">, </w:t>
      </w:r>
      <w:r w:rsidR="006366E3" w:rsidRPr="00AD0C98">
        <w:rPr>
          <w:spacing w:val="-6"/>
          <w:position w:val="-6"/>
          <w:sz w:val="24"/>
          <w:szCs w:val="24"/>
        </w:rPr>
        <w:t xml:space="preserve">en la cual declaró improcedente la acción promovida por el </w:t>
      </w:r>
      <w:r w:rsidR="00DF3C5F" w:rsidRPr="00AD0C98">
        <w:rPr>
          <w:spacing w:val="-6"/>
          <w:position w:val="-6"/>
          <w:sz w:val="24"/>
          <w:szCs w:val="24"/>
        </w:rPr>
        <w:t xml:space="preserve">señor </w:t>
      </w:r>
      <w:proofErr w:type="spellStart"/>
      <w:r w:rsidR="00F00526" w:rsidRPr="00AD0C98">
        <w:rPr>
          <w:b/>
          <w:spacing w:val="-6"/>
          <w:position w:val="-6"/>
          <w:sz w:val="24"/>
          <w:szCs w:val="24"/>
        </w:rPr>
        <w:t>HRC</w:t>
      </w:r>
      <w:proofErr w:type="spellEnd"/>
      <w:r w:rsidR="00A971FF" w:rsidRPr="00AD0C98">
        <w:rPr>
          <w:b/>
          <w:spacing w:val="-6"/>
          <w:position w:val="-6"/>
          <w:sz w:val="24"/>
          <w:szCs w:val="24"/>
        </w:rPr>
        <w:t xml:space="preserve"> </w:t>
      </w:r>
      <w:r w:rsidR="006366E3" w:rsidRPr="00AD0C98">
        <w:rPr>
          <w:spacing w:val="-6"/>
          <w:position w:val="-6"/>
          <w:sz w:val="24"/>
          <w:szCs w:val="24"/>
        </w:rPr>
        <w:t>contra la Procuraduría General de la Nación</w:t>
      </w:r>
      <w:r w:rsidR="00DF3C5F" w:rsidRPr="00AD0C98">
        <w:rPr>
          <w:spacing w:val="-6"/>
          <w:position w:val="-6"/>
          <w:sz w:val="24"/>
          <w:szCs w:val="24"/>
        </w:rPr>
        <w:t xml:space="preserve">. </w:t>
      </w:r>
      <w:r w:rsidRPr="00AD0C98">
        <w:rPr>
          <w:spacing w:val="-6"/>
          <w:position w:val="-6"/>
          <w:sz w:val="24"/>
          <w:szCs w:val="24"/>
        </w:rPr>
        <w:t xml:space="preserve"> </w:t>
      </w:r>
    </w:p>
    <w:p w14:paraId="3E1993C6" w14:textId="77777777" w:rsidR="00D5555A" w:rsidRPr="00AD0C98" w:rsidRDefault="00D5555A" w:rsidP="00E67486">
      <w:pPr>
        <w:spacing w:line="276" w:lineRule="auto"/>
        <w:rPr>
          <w:spacing w:val="-6"/>
          <w:position w:val="-6"/>
          <w:sz w:val="24"/>
          <w:szCs w:val="24"/>
        </w:rPr>
      </w:pPr>
    </w:p>
    <w:p w14:paraId="7646F2FC" w14:textId="77777777" w:rsidR="00D5555A" w:rsidRPr="00AD0C98" w:rsidRDefault="00D5555A" w:rsidP="00E67486">
      <w:pPr>
        <w:spacing w:line="276" w:lineRule="auto"/>
        <w:rPr>
          <w:spacing w:val="-6"/>
          <w:position w:val="-6"/>
          <w:sz w:val="24"/>
          <w:szCs w:val="24"/>
        </w:rPr>
      </w:pPr>
      <w:r w:rsidRPr="00AD0C98">
        <w:rPr>
          <w:b/>
          <w:spacing w:val="-6"/>
          <w:position w:val="-6"/>
          <w:sz w:val="24"/>
          <w:szCs w:val="24"/>
        </w:rPr>
        <w:t>SEGUNDO:</w:t>
      </w:r>
      <w:r w:rsidRPr="00AD0C98">
        <w:rPr>
          <w:spacing w:val="-6"/>
          <w:position w:val="-6"/>
          <w:sz w:val="24"/>
          <w:szCs w:val="24"/>
        </w:rPr>
        <w:t xml:space="preserve"> Por secretaría se remitirá el expediente a la H</w:t>
      </w:r>
      <w:r w:rsidR="00015BC5" w:rsidRPr="00AD0C98">
        <w:rPr>
          <w:spacing w:val="-6"/>
          <w:position w:val="-6"/>
          <w:sz w:val="24"/>
          <w:szCs w:val="24"/>
        </w:rPr>
        <w:t>.</w:t>
      </w:r>
      <w:r w:rsidRPr="00AD0C98">
        <w:rPr>
          <w:spacing w:val="-6"/>
          <w:position w:val="-6"/>
          <w:sz w:val="24"/>
          <w:szCs w:val="24"/>
        </w:rPr>
        <w:t xml:space="preserve"> Corte Constitucional para su eventual revisión.</w:t>
      </w:r>
    </w:p>
    <w:p w14:paraId="55B1C20E" w14:textId="77777777" w:rsidR="00E67486" w:rsidRPr="00E67486" w:rsidRDefault="00E67486" w:rsidP="00E67486">
      <w:pPr>
        <w:spacing w:line="276" w:lineRule="auto"/>
        <w:rPr>
          <w:rFonts w:eastAsia="SimSun"/>
          <w:position w:val="-6"/>
          <w:sz w:val="24"/>
          <w:szCs w:val="24"/>
          <w:lang w:eastAsia="es-MX"/>
        </w:rPr>
      </w:pPr>
      <w:bookmarkStart w:id="2" w:name="_Hlk139017540"/>
    </w:p>
    <w:p w14:paraId="1F6E746C" w14:textId="77777777" w:rsidR="00E67486" w:rsidRPr="00E67486" w:rsidRDefault="00E67486" w:rsidP="00E67486">
      <w:pPr>
        <w:spacing w:line="276" w:lineRule="auto"/>
        <w:rPr>
          <w:rFonts w:ascii="Algerian" w:eastAsia="Times New Roman" w:hAnsi="Algerian"/>
          <w:sz w:val="30"/>
          <w:szCs w:val="20"/>
          <w:lang w:eastAsia="es-MX"/>
        </w:rPr>
      </w:pPr>
      <w:r w:rsidRPr="00E67486">
        <w:rPr>
          <w:rFonts w:ascii="Algerian" w:eastAsia="Times New Roman" w:hAnsi="Algerian"/>
          <w:sz w:val="30"/>
          <w:szCs w:val="20"/>
          <w:lang w:eastAsia="es-MX"/>
        </w:rPr>
        <w:t>NOTIFÍQUESE Y CÚMPLASE</w:t>
      </w:r>
    </w:p>
    <w:p w14:paraId="03476907" w14:textId="77777777" w:rsidR="00E67486" w:rsidRPr="00E67486" w:rsidRDefault="00E67486" w:rsidP="00E67486">
      <w:pPr>
        <w:spacing w:line="276" w:lineRule="auto"/>
        <w:rPr>
          <w:rFonts w:eastAsia="Times New Roman"/>
          <w:position w:val="-6"/>
          <w:sz w:val="24"/>
          <w:szCs w:val="24"/>
          <w:lang w:eastAsia="es-MX"/>
        </w:rPr>
      </w:pPr>
    </w:p>
    <w:p w14:paraId="6594D894" w14:textId="77777777" w:rsidR="00E67486" w:rsidRPr="00E67486" w:rsidRDefault="00E67486" w:rsidP="00E67486">
      <w:pPr>
        <w:spacing w:line="276" w:lineRule="auto"/>
        <w:rPr>
          <w:rFonts w:eastAsia="Times New Roman"/>
          <w:position w:val="-6"/>
          <w:sz w:val="24"/>
          <w:szCs w:val="24"/>
          <w:lang w:eastAsia="es-MX"/>
        </w:rPr>
      </w:pPr>
    </w:p>
    <w:p w14:paraId="1A4597F6" w14:textId="77777777" w:rsidR="00E67486" w:rsidRPr="00E67486" w:rsidRDefault="00E67486" w:rsidP="00E67486">
      <w:pPr>
        <w:spacing w:line="276" w:lineRule="auto"/>
        <w:jc w:val="center"/>
        <w:rPr>
          <w:rFonts w:eastAsia="Times New Roman"/>
          <w:b/>
          <w:position w:val="-4"/>
          <w:sz w:val="24"/>
          <w:szCs w:val="24"/>
          <w:lang w:val="es-ES_tradnl" w:eastAsia="es-MX"/>
        </w:rPr>
      </w:pPr>
      <w:r w:rsidRPr="00E67486">
        <w:rPr>
          <w:rFonts w:eastAsia="Times New Roman"/>
          <w:b/>
          <w:position w:val="-4"/>
          <w:sz w:val="24"/>
          <w:szCs w:val="24"/>
          <w:lang w:val="es-ES_tradnl" w:eastAsia="es-MX"/>
        </w:rPr>
        <w:t>CARLOS ALBERTO PAZ ZÚÑIGA</w:t>
      </w:r>
    </w:p>
    <w:p w14:paraId="7AE37BF3" w14:textId="77777777" w:rsidR="00E67486" w:rsidRPr="00E67486" w:rsidRDefault="00E67486" w:rsidP="00E67486">
      <w:pPr>
        <w:spacing w:line="276" w:lineRule="auto"/>
        <w:jc w:val="center"/>
        <w:rPr>
          <w:rFonts w:eastAsia="Times New Roman"/>
          <w:position w:val="-4"/>
          <w:sz w:val="24"/>
          <w:szCs w:val="24"/>
          <w:lang w:val="es-ES_tradnl" w:eastAsia="es-MX"/>
        </w:rPr>
      </w:pPr>
      <w:r w:rsidRPr="00E67486">
        <w:rPr>
          <w:rFonts w:eastAsia="Times New Roman"/>
          <w:position w:val="-4"/>
          <w:sz w:val="24"/>
          <w:szCs w:val="24"/>
          <w:lang w:val="es-ES_tradnl" w:eastAsia="es-MX"/>
        </w:rPr>
        <w:t xml:space="preserve">Magistrado </w:t>
      </w:r>
    </w:p>
    <w:p w14:paraId="04171357" w14:textId="77777777" w:rsidR="00E67486" w:rsidRPr="00E67486" w:rsidRDefault="00E67486" w:rsidP="00E67486">
      <w:pPr>
        <w:spacing w:line="276" w:lineRule="auto"/>
        <w:rPr>
          <w:rFonts w:eastAsia="Times New Roman"/>
          <w:position w:val="-4"/>
          <w:sz w:val="24"/>
          <w:szCs w:val="24"/>
          <w:lang w:val="es-ES_tradnl" w:eastAsia="es-MX"/>
        </w:rPr>
      </w:pPr>
    </w:p>
    <w:p w14:paraId="31015249" w14:textId="77777777" w:rsidR="00E67486" w:rsidRPr="00E67486" w:rsidRDefault="00E67486" w:rsidP="00E67486">
      <w:pPr>
        <w:spacing w:line="276" w:lineRule="auto"/>
        <w:rPr>
          <w:rFonts w:eastAsia="Times New Roman"/>
          <w:position w:val="-4"/>
          <w:sz w:val="24"/>
          <w:szCs w:val="24"/>
          <w:lang w:val="es-ES_tradnl" w:eastAsia="es-MX"/>
        </w:rPr>
      </w:pPr>
    </w:p>
    <w:p w14:paraId="1ABE8C45" w14:textId="77777777" w:rsidR="00E67486" w:rsidRPr="00E67486" w:rsidRDefault="00E67486" w:rsidP="00E67486">
      <w:pPr>
        <w:spacing w:line="276" w:lineRule="auto"/>
        <w:jc w:val="center"/>
        <w:rPr>
          <w:rFonts w:eastAsia="Times New Roman"/>
          <w:b/>
          <w:position w:val="-4"/>
          <w:sz w:val="24"/>
          <w:szCs w:val="24"/>
          <w:lang w:val="es-ES_tradnl" w:eastAsia="es-MX"/>
        </w:rPr>
      </w:pPr>
      <w:r w:rsidRPr="00E67486">
        <w:rPr>
          <w:rFonts w:eastAsia="Times New Roman"/>
          <w:b/>
          <w:position w:val="-4"/>
          <w:sz w:val="24"/>
          <w:szCs w:val="24"/>
          <w:lang w:val="es-ES_tradnl" w:eastAsia="es-MX"/>
        </w:rPr>
        <w:t>JULIÁN RIVERA LOAIZA</w:t>
      </w:r>
    </w:p>
    <w:p w14:paraId="1B17ED10" w14:textId="77777777" w:rsidR="00E67486" w:rsidRPr="00E67486" w:rsidRDefault="00E67486" w:rsidP="00E67486">
      <w:pPr>
        <w:spacing w:line="276" w:lineRule="auto"/>
        <w:jc w:val="center"/>
        <w:rPr>
          <w:rFonts w:eastAsia="Times New Roman"/>
          <w:position w:val="-4"/>
          <w:sz w:val="24"/>
          <w:szCs w:val="24"/>
          <w:lang w:val="es-ES_tradnl" w:eastAsia="es-MX"/>
        </w:rPr>
      </w:pPr>
      <w:r w:rsidRPr="00E67486">
        <w:rPr>
          <w:rFonts w:eastAsia="Times New Roman"/>
          <w:position w:val="-4"/>
          <w:sz w:val="24"/>
          <w:szCs w:val="24"/>
          <w:lang w:val="es-ES_tradnl" w:eastAsia="es-MX"/>
        </w:rPr>
        <w:t xml:space="preserve">Magistrado </w:t>
      </w:r>
    </w:p>
    <w:p w14:paraId="7FEE48EA" w14:textId="77777777" w:rsidR="00E67486" w:rsidRPr="00E67486" w:rsidRDefault="00E67486" w:rsidP="00E67486">
      <w:pPr>
        <w:spacing w:line="276" w:lineRule="auto"/>
        <w:rPr>
          <w:rFonts w:eastAsia="Times New Roman"/>
          <w:position w:val="-4"/>
          <w:sz w:val="24"/>
          <w:szCs w:val="24"/>
          <w:lang w:val="es-ES_tradnl" w:eastAsia="es-MX"/>
        </w:rPr>
      </w:pPr>
    </w:p>
    <w:p w14:paraId="314195F5" w14:textId="77777777" w:rsidR="00E67486" w:rsidRPr="00E67486" w:rsidRDefault="00E67486" w:rsidP="00E67486">
      <w:pPr>
        <w:spacing w:line="276" w:lineRule="auto"/>
        <w:rPr>
          <w:rFonts w:eastAsia="Times New Roman"/>
          <w:position w:val="-4"/>
          <w:sz w:val="24"/>
          <w:szCs w:val="24"/>
          <w:lang w:val="es-ES_tradnl" w:eastAsia="es-MX"/>
        </w:rPr>
      </w:pPr>
    </w:p>
    <w:bookmarkEnd w:id="2"/>
    <w:p w14:paraId="3C22A45B" w14:textId="77777777" w:rsidR="00E67486" w:rsidRPr="00E67486" w:rsidRDefault="00E67486" w:rsidP="00E67486">
      <w:pPr>
        <w:spacing w:line="276" w:lineRule="auto"/>
        <w:jc w:val="center"/>
        <w:rPr>
          <w:rFonts w:eastAsia="Times New Roman"/>
          <w:b/>
          <w:position w:val="-4"/>
          <w:sz w:val="24"/>
          <w:szCs w:val="24"/>
          <w:lang w:val="es-ES_tradnl" w:eastAsia="es-MX"/>
        </w:rPr>
      </w:pPr>
      <w:r w:rsidRPr="00E67486">
        <w:rPr>
          <w:rFonts w:eastAsia="Times New Roman"/>
          <w:b/>
          <w:position w:val="-4"/>
          <w:sz w:val="24"/>
          <w:szCs w:val="24"/>
          <w:lang w:val="es-ES_tradnl" w:eastAsia="es-MX"/>
        </w:rPr>
        <w:t>JAIRO MAURICIO CARVAJAL BELTRÁN</w:t>
      </w:r>
    </w:p>
    <w:p w14:paraId="1F47F711" w14:textId="261480B3" w:rsidR="00DB2C98" w:rsidRPr="00E67486" w:rsidRDefault="00E67486" w:rsidP="00E67486">
      <w:pPr>
        <w:spacing w:line="276" w:lineRule="auto"/>
        <w:jc w:val="center"/>
        <w:rPr>
          <w:rFonts w:eastAsia="Times New Roman"/>
          <w:spacing w:val="-4"/>
          <w:position w:val="-4"/>
          <w:sz w:val="24"/>
          <w:szCs w:val="24"/>
          <w:lang w:val="es-ES_tradnl" w:eastAsia="es-MX"/>
        </w:rPr>
      </w:pPr>
      <w:r w:rsidRPr="00E67486">
        <w:rPr>
          <w:rFonts w:eastAsia="Times New Roman"/>
          <w:spacing w:val="-4"/>
          <w:position w:val="-4"/>
          <w:sz w:val="24"/>
          <w:szCs w:val="24"/>
          <w:lang w:val="es-ES_tradnl" w:eastAsia="es-MX"/>
        </w:rPr>
        <w:t>Magistrado</w:t>
      </w:r>
    </w:p>
    <w:sectPr w:rsidR="00DB2C98" w:rsidRPr="00E67486" w:rsidSect="00AD0C98">
      <w:headerReference w:type="default" r:id="rId11"/>
      <w:footerReference w:type="default" r:id="rId12"/>
      <w:pgSz w:w="12242" w:h="18722" w:code="258"/>
      <w:pgMar w:top="1701" w:right="1134" w:bottom="1134" w:left="1701" w:header="567" w:footer="567" w:gutter="0"/>
      <w:cols w:space="708"/>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2DCBB" w14:textId="77777777" w:rsidR="00FC50E6" w:rsidRDefault="00FC50E6">
      <w:r>
        <w:separator/>
      </w:r>
    </w:p>
  </w:endnote>
  <w:endnote w:type="continuationSeparator" w:id="0">
    <w:p w14:paraId="6BAAA1FE" w14:textId="77777777" w:rsidR="00FC50E6" w:rsidRDefault="00FC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D7FEF" w14:textId="2AA72103" w:rsidR="003E2188" w:rsidRPr="00E67486" w:rsidRDefault="003E2188" w:rsidP="00E67486">
    <w:pPr>
      <w:pStyle w:val="Encabezado"/>
      <w:jc w:val="right"/>
      <w:rPr>
        <w:rFonts w:ascii="Arial" w:hAnsi="Arial" w:cs="Arial"/>
        <w:sz w:val="18"/>
        <w:szCs w:val="18"/>
      </w:rPr>
    </w:pPr>
    <w:r w:rsidRPr="00E67486">
      <w:rPr>
        <w:rFonts w:ascii="Arial" w:hAnsi="Arial" w:cs="Arial"/>
        <w:sz w:val="18"/>
        <w:szCs w:val="18"/>
      </w:rPr>
      <w:t xml:space="preserve">Página </w:t>
    </w:r>
    <w:r w:rsidRPr="00E67486">
      <w:rPr>
        <w:rFonts w:ascii="Arial" w:hAnsi="Arial" w:cs="Arial"/>
        <w:sz w:val="18"/>
        <w:szCs w:val="18"/>
      </w:rPr>
      <w:fldChar w:fldCharType="begin"/>
    </w:r>
    <w:r w:rsidRPr="00E67486">
      <w:rPr>
        <w:rFonts w:ascii="Arial" w:hAnsi="Arial" w:cs="Arial"/>
        <w:sz w:val="18"/>
        <w:szCs w:val="18"/>
      </w:rPr>
      <w:instrText xml:space="preserve"> PAGE </w:instrText>
    </w:r>
    <w:r w:rsidRPr="00E67486">
      <w:rPr>
        <w:rFonts w:ascii="Arial" w:hAnsi="Arial" w:cs="Arial"/>
        <w:sz w:val="18"/>
        <w:szCs w:val="18"/>
      </w:rPr>
      <w:fldChar w:fldCharType="separate"/>
    </w:r>
    <w:r w:rsidR="0038404C">
      <w:rPr>
        <w:rFonts w:ascii="Arial" w:hAnsi="Arial" w:cs="Arial"/>
        <w:noProof/>
        <w:sz w:val="18"/>
        <w:szCs w:val="18"/>
      </w:rPr>
      <w:t>2</w:t>
    </w:r>
    <w:r w:rsidRPr="00E67486">
      <w:rPr>
        <w:rFonts w:ascii="Arial" w:hAnsi="Arial" w:cs="Arial"/>
        <w:sz w:val="18"/>
        <w:szCs w:val="18"/>
      </w:rPr>
      <w:fldChar w:fldCharType="end"/>
    </w:r>
    <w:r w:rsidRPr="00E67486">
      <w:rPr>
        <w:rFonts w:ascii="Arial" w:hAnsi="Arial" w:cs="Arial"/>
        <w:sz w:val="18"/>
        <w:szCs w:val="18"/>
      </w:rPr>
      <w:t xml:space="preserve"> de </w:t>
    </w:r>
    <w:r w:rsidRPr="00E67486">
      <w:rPr>
        <w:rFonts w:ascii="Arial" w:hAnsi="Arial" w:cs="Arial"/>
        <w:sz w:val="18"/>
        <w:szCs w:val="18"/>
      </w:rPr>
      <w:fldChar w:fldCharType="begin"/>
    </w:r>
    <w:r w:rsidRPr="00E67486">
      <w:rPr>
        <w:rFonts w:ascii="Arial" w:hAnsi="Arial" w:cs="Arial"/>
        <w:sz w:val="18"/>
        <w:szCs w:val="18"/>
      </w:rPr>
      <w:instrText xml:space="preserve"> NUMPAGES </w:instrText>
    </w:r>
    <w:r w:rsidRPr="00E67486">
      <w:rPr>
        <w:rFonts w:ascii="Arial" w:hAnsi="Arial" w:cs="Arial"/>
        <w:sz w:val="18"/>
        <w:szCs w:val="18"/>
      </w:rPr>
      <w:fldChar w:fldCharType="separate"/>
    </w:r>
    <w:r w:rsidR="0038404C">
      <w:rPr>
        <w:rFonts w:ascii="Arial" w:hAnsi="Arial" w:cs="Arial"/>
        <w:noProof/>
        <w:sz w:val="18"/>
        <w:szCs w:val="18"/>
      </w:rPr>
      <w:t>7</w:t>
    </w:r>
    <w:r w:rsidRPr="00E67486">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6282E" w14:textId="77777777" w:rsidR="00FC50E6" w:rsidRDefault="00FC50E6">
      <w:r>
        <w:separator/>
      </w:r>
    </w:p>
  </w:footnote>
  <w:footnote w:type="continuationSeparator" w:id="0">
    <w:p w14:paraId="000E7CF2" w14:textId="77777777" w:rsidR="00FC50E6" w:rsidRDefault="00FC50E6">
      <w:r>
        <w:continuationSeparator/>
      </w:r>
    </w:p>
  </w:footnote>
  <w:footnote w:id="1">
    <w:p w14:paraId="3CEB819A" w14:textId="77777777" w:rsidR="00FC42B1" w:rsidRPr="00F00526" w:rsidRDefault="00FC42B1" w:rsidP="00F00526">
      <w:pPr>
        <w:pStyle w:val="Textonotapie"/>
        <w:rPr>
          <w:rFonts w:ascii="Arial" w:hAnsi="Arial" w:cs="Arial"/>
          <w:sz w:val="18"/>
          <w:szCs w:val="18"/>
        </w:rPr>
      </w:pPr>
      <w:r w:rsidRPr="00F00526">
        <w:rPr>
          <w:rFonts w:ascii="Arial" w:hAnsi="Arial" w:cs="Arial"/>
          <w:sz w:val="18"/>
          <w:szCs w:val="18"/>
          <w:vertAlign w:val="superscript"/>
        </w:rPr>
        <w:footnoteRef/>
      </w:r>
      <w:r w:rsidRPr="00F00526">
        <w:rPr>
          <w:rFonts w:ascii="Arial" w:hAnsi="Arial" w:cs="Arial"/>
          <w:sz w:val="18"/>
          <w:szCs w:val="18"/>
        </w:rPr>
        <w:t xml:space="preserve"> Consultar, entre otras, las Sentencias T-500 de 1995 y T-285 de 2010.</w:t>
      </w:r>
    </w:p>
  </w:footnote>
  <w:footnote w:id="2">
    <w:p w14:paraId="04920B63" w14:textId="77777777" w:rsidR="00FC42B1" w:rsidRPr="00F00526" w:rsidRDefault="00FC42B1" w:rsidP="00F00526">
      <w:pPr>
        <w:pStyle w:val="Textonotapie"/>
        <w:rPr>
          <w:rFonts w:ascii="Arial" w:hAnsi="Arial" w:cs="Arial"/>
          <w:sz w:val="18"/>
          <w:szCs w:val="18"/>
        </w:rPr>
      </w:pPr>
      <w:r w:rsidRPr="00F00526">
        <w:rPr>
          <w:rFonts w:ascii="Arial" w:hAnsi="Arial" w:cs="Arial"/>
          <w:sz w:val="18"/>
          <w:szCs w:val="18"/>
          <w:vertAlign w:val="superscript"/>
        </w:rPr>
        <w:footnoteRef/>
      </w:r>
      <w:r w:rsidRPr="00F00526">
        <w:rPr>
          <w:rFonts w:ascii="Arial" w:hAnsi="Arial" w:cs="Arial"/>
          <w:sz w:val="18"/>
          <w:szCs w:val="18"/>
        </w:rPr>
        <w:t xml:space="preserve"> Sentencias T-582 de 2016.</w:t>
      </w:r>
    </w:p>
  </w:footnote>
  <w:footnote w:id="3">
    <w:p w14:paraId="169CF565" w14:textId="77777777" w:rsidR="00FC42B1" w:rsidRPr="00F00526" w:rsidRDefault="00FC42B1" w:rsidP="00F00526">
      <w:pPr>
        <w:pStyle w:val="Textonotapie"/>
        <w:rPr>
          <w:rFonts w:ascii="Arial" w:hAnsi="Arial" w:cs="Arial"/>
          <w:sz w:val="18"/>
          <w:szCs w:val="18"/>
        </w:rPr>
      </w:pPr>
      <w:r w:rsidRPr="00F00526">
        <w:rPr>
          <w:rFonts w:ascii="Arial" w:hAnsi="Arial" w:cs="Arial"/>
          <w:sz w:val="18"/>
          <w:szCs w:val="18"/>
          <w:vertAlign w:val="superscript"/>
        </w:rPr>
        <w:footnoteRef/>
      </w:r>
      <w:r w:rsidRPr="00F00526">
        <w:rPr>
          <w:rFonts w:ascii="Arial" w:hAnsi="Arial" w:cs="Arial"/>
          <w:sz w:val="18"/>
          <w:szCs w:val="18"/>
        </w:rPr>
        <w:t xml:space="preserve"> Sentencias T-315 de 2005.</w:t>
      </w:r>
    </w:p>
  </w:footnote>
  <w:footnote w:id="4">
    <w:p w14:paraId="6BE3B324" w14:textId="77777777" w:rsidR="00FC42B1" w:rsidRPr="00F00526" w:rsidRDefault="00FC42B1" w:rsidP="00F00526">
      <w:pPr>
        <w:pStyle w:val="Textonotapie"/>
        <w:rPr>
          <w:rFonts w:ascii="Arial" w:hAnsi="Arial" w:cs="Arial"/>
          <w:sz w:val="18"/>
          <w:szCs w:val="18"/>
        </w:rPr>
      </w:pPr>
      <w:r w:rsidRPr="00F00526">
        <w:rPr>
          <w:rFonts w:ascii="Arial" w:hAnsi="Arial" w:cs="Arial"/>
          <w:sz w:val="18"/>
          <w:szCs w:val="18"/>
          <w:vertAlign w:val="superscript"/>
        </w:rPr>
        <w:footnoteRef/>
      </w:r>
      <w:r w:rsidRPr="00F00526">
        <w:rPr>
          <w:rFonts w:ascii="Arial" w:hAnsi="Arial" w:cs="Arial"/>
          <w:sz w:val="18"/>
          <w:szCs w:val="18"/>
        </w:rPr>
        <w:t xml:space="preserve"> CSJ </w:t>
      </w:r>
      <w:proofErr w:type="spellStart"/>
      <w:r w:rsidRPr="00F00526">
        <w:rPr>
          <w:rFonts w:ascii="Arial" w:hAnsi="Arial" w:cs="Arial"/>
          <w:sz w:val="18"/>
          <w:szCs w:val="18"/>
        </w:rPr>
        <w:t>STP</w:t>
      </w:r>
      <w:proofErr w:type="spellEnd"/>
      <w:r w:rsidRPr="00F00526">
        <w:rPr>
          <w:rFonts w:ascii="Arial" w:hAnsi="Arial" w:cs="Arial"/>
          <w:sz w:val="18"/>
          <w:szCs w:val="18"/>
        </w:rPr>
        <w:t>, 26 ene. 2023, rad. 128172.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767F5" w14:textId="5B8E5780" w:rsidR="003E2188" w:rsidRPr="00E67486" w:rsidRDefault="00E67486" w:rsidP="00E67486">
    <w:pPr>
      <w:pStyle w:val="Encabezado"/>
      <w:jc w:val="right"/>
      <w:rPr>
        <w:rFonts w:ascii="Arial" w:hAnsi="Arial" w:cs="Arial"/>
        <w:sz w:val="18"/>
        <w:szCs w:val="18"/>
      </w:rPr>
    </w:pPr>
    <w:r w:rsidRPr="00E67486">
      <w:rPr>
        <w:rFonts w:ascii="Arial" w:hAnsi="Arial" w:cs="Arial"/>
        <w:sz w:val="18"/>
        <w:szCs w:val="18"/>
      </w:rPr>
      <w:t>Sentencia de tutela 2ª instancia N° 082</w:t>
    </w:r>
  </w:p>
  <w:p w14:paraId="4E1BDE3F" w14:textId="17B4875B" w:rsidR="003E2188" w:rsidRPr="00E67486" w:rsidRDefault="00E67486" w:rsidP="00E67486">
    <w:pPr>
      <w:pStyle w:val="Encabezado"/>
      <w:jc w:val="right"/>
      <w:rPr>
        <w:rFonts w:ascii="Arial" w:hAnsi="Arial" w:cs="Arial"/>
        <w:sz w:val="18"/>
        <w:szCs w:val="18"/>
      </w:rPr>
    </w:pPr>
    <w:r w:rsidRPr="00E67486">
      <w:rPr>
        <w:rFonts w:ascii="Arial" w:hAnsi="Arial" w:cs="Arial"/>
        <w:sz w:val="18"/>
        <w:szCs w:val="18"/>
      </w:rPr>
      <w:t>Radicación</w:t>
    </w:r>
    <w:r w:rsidR="003E2188" w:rsidRPr="00E67486">
      <w:rPr>
        <w:rFonts w:ascii="Arial" w:hAnsi="Arial" w:cs="Arial"/>
        <w:sz w:val="18"/>
        <w:szCs w:val="18"/>
      </w:rPr>
      <w:t>: 66001310900</w:t>
    </w:r>
    <w:r w:rsidR="00605185" w:rsidRPr="00E67486">
      <w:rPr>
        <w:rFonts w:ascii="Arial" w:hAnsi="Arial" w:cs="Arial"/>
        <w:sz w:val="18"/>
        <w:szCs w:val="18"/>
      </w:rPr>
      <w:t>4</w:t>
    </w:r>
    <w:r w:rsidR="003E2188" w:rsidRPr="00E67486">
      <w:rPr>
        <w:rFonts w:ascii="Arial" w:hAnsi="Arial" w:cs="Arial"/>
        <w:sz w:val="18"/>
        <w:szCs w:val="18"/>
      </w:rPr>
      <w:t xml:space="preserve"> 202</w:t>
    </w:r>
    <w:r w:rsidR="00605185" w:rsidRPr="00E67486">
      <w:rPr>
        <w:rFonts w:ascii="Arial" w:hAnsi="Arial" w:cs="Arial"/>
        <w:sz w:val="18"/>
        <w:szCs w:val="18"/>
      </w:rPr>
      <w:t>4</w:t>
    </w:r>
    <w:r w:rsidR="003E2188" w:rsidRPr="00E67486">
      <w:rPr>
        <w:rFonts w:ascii="Arial" w:hAnsi="Arial" w:cs="Arial"/>
        <w:sz w:val="18"/>
        <w:szCs w:val="18"/>
      </w:rPr>
      <w:t xml:space="preserve"> 000</w:t>
    </w:r>
    <w:r w:rsidR="00605185" w:rsidRPr="00E67486">
      <w:rPr>
        <w:rFonts w:ascii="Arial" w:hAnsi="Arial" w:cs="Arial"/>
        <w:sz w:val="18"/>
        <w:szCs w:val="18"/>
      </w:rPr>
      <w:t>53</w:t>
    </w:r>
    <w:r w:rsidR="003E2188" w:rsidRPr="00E67486">
      <w:rPr>
        <w:rFonts w:ascii="Arial" w:hAnsi="Arial" w:cs="Arial"/>
        <w:sz w:val="18"/>
        <w:szCs w:val="18"/>
      </w:rPr>
      <w:t>-01</w:t>
    </w:r>
  </w:p>
  <w:p w14:paraId="1E29F23A" w14:textId="2220090E" w:rsidR="003E2188" w:rsidRPr="00E67486" w:rsidRDefault="00E67486" w:rsidP="00E67486">
    <w:pPr>
      <w:pStyle w:val="Encabezado"/>
      <w:jc w:val="right"/>
      <w:rPr>
        <w:rFonts w:ascii="Arial" w:hAnsi="Arial" w:cs="Arial"/>
        <w:sz w:val="18"/>
        <w:szCs w:val="18"/>
      </w:rPr>
    </w:pPr>
    <w:r w:rsidRPr="00E67486">
      <w:rPr>
        <w:rFonts w:ascii="Arial" w:hAnsi="Arial" w:cs="Arial"/>
        <w:sz w:val="18"/>
        <w:szCs w:val="18"/>
      </w:rPr>
      <w:t>Accionante</w:t>
    </w:r>
    <w:r w:rsidR="003E2188" w:rsidRPr="00E67486">
      <w:rPr>
        <w:rFonts w:ascii="Arial" w:hAnsi="Arial" w:cs="Arial"/>
        <w:sz w:val="18"/>
        <w:szCs w:val="18"/>
      </w:rPr>
      <w:t>:</w:t>
    </w:r>
    <w:r w:rsidR="00BD21C3" w:rsidRPr="00E67486">
      <w:rPr>
        <w:rFonts w:ascii="Arial" w:hAnsi="Arial" w:cs="Arial"/>
        <w:sz w:val="18"/>
        <w:szCs w:val="18"/>
      </w:rPr>
      <w:t xml:space="preserve"> </w:t>
    </w:r>
    <w:proofErr w:type="spellStart"/>
    <w:r w:rsidR="00605185" w:rsidRPr="00E67486">
      <w:rPr>
        <w:rFonts w:ascii="Arial" w:hAnsi="Arial" w:cs="Arial"/>
        <w:sz w:val="18"/>
        <w:szCs w:val="18"/>
      </w:rPr>
      <w:t>HRC</w:t>
    </w:r>
    <w:proofErr w:type="spellEnd"/>
  </w:p>
  <w:p w14:paraId="55C226BA" w14:textId="11C32F0B" w:rsidR="003E2188" w:rsidRPr="00E67486" w:rsidRDefault="00E67486" w:rsidP="00E67486">
    <w:pPr>
      <w:pStyle w:val="Encabezado"/>
      <w:jc w:val="right"/>
      <w:rPr>
        <w:rFonts w:ascii="Arial" w:hAnsi="Arial" w:cs="Arial"/>
        <w:sz w:val="18"/>
        <w:szCs w:val="18"/>
      </w:rPr>
    </w:pPr>
    <w:r w:rsidRPr="00E67486">
      <w:rPr>
        <w:rFonts w:ascii="Arial" w:hAnsi="Arial" w:cs="Arial"/>
        <w:sz w:val="18"/>
        <w:szCs w:val="18"/>
      </w:rPr>
      <w:t>Confirma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78"/>
  <w:drawingGridVerticalSpacing w:val="10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44A"/>
    <w:rsid w:val="00002C42"/>
    <w:rsid w:val="00002D7A"/>
    <w:rsid w:val="00013EF1"/>
    <w:rsid w:val="00015BC5"/>
    <w:rsid w:val="000206D2"/>
    <w:rsid w:val="00024E3D"/>
    <w:rsid w:val="00031DC8"/>
    <w:rsid w:val="00040E83"/>
    <w:rsid w:val="000545F8"/>
    <w:rsid w:val="0005533C"/>
    <w:rsid w:val="00056DCC"/>
    <w:rsid w:val="000604F5"/>
    <w:rsid w:val="00062EC7"/>
    <w:rsid w:val="00063B5C"/>
    <w:rsid w:val="000663ED"/>
    <w:rsid w:val="00066D96"/>
    <w:rsid w:val="00066F92"/>
    <w:rsid w:val="00067076"/>
    <w:rsid w:val="00067489"/>
    <w:rsid w:val="00082807"/>
    <w:rsid w:val="00082FF4"/>
    <w:rsid w:val="000849CA"/>
    <w:rsid w:val="0009028B"/>
    <w:rsid w:val="00094A2C"/>
    <w:rsid w:val="000A080A"/>
    <w:rsid w:val="000A1460"/>
    <w:rsid w:val="000A28DF"/>
    <w:rsid w:val="000A60F7"/>
    <w:rsid w:val="000A67F7"/>
    <w:rsid w:val="000A7F70"/>
    <w:rsid w:val="000C4D64"/>
    <w:rsid w:val="000D2476"/>
    <w:rsid w:val="000E592B"/>
    <w:rsid w:val="000F1A7D"/>
    <w:rsid w:val="000F2A9C"/>
    <w:rsid w:val="000F3C0B"/>
    <w:rsid w:val="000F48FB"/>
    <w:rsid w:val="000F5672"/>
    <w:rsid w:val="000F6F8D"/>
    <w:rsid w:val="00101D7F"/>
    <w:rsid w:val="00110484"/>
    <w:rsid w:val="00112C80"/>
    <w:rsid w:val="00112E01"/>
    <w:rsid w:val="001144AC"/>
    <w:rsid w:val="00115B2A"/>
    <w:rsid w:val="001220BD"/>
    <w:rsid w:val="00122FD8"/>
    <w:rsid w:val="00125BEA"/>
    <w:rsid w:val="00127811"/>
    <w:rsid w:val="00131D24"/>
    <w:rsid w:val="00131EB3"/>
    <w:rsid w:val="001329AF"/>
    <w:rsid w:val="00132DE2"/>
    <w:rsid w:val="001374BB"/>
    <w:rsid w:val="001406D2"/>
    <w:rsid w:val="0014189B"/>
    <w:rsid w:val="00141C43"/>
    <w:rsid w:val="00146200"/>
    <w:rsid w:val="001600AA"/>
    <w:rsid w:val="00160F64"/>
    <w:rsid w:val="001625F9"/>
    <w:rsid w:val="001629FB"/>
    <w:rsid w:val="00164BCE"/>
    <w:rsid w:val="00176CCC"/>
    <w:rsid w:val="00180A9D"/>
    <w:rsid w:val="00181308"/>
    <w:rsid w:val="00182314"/>
    <w:rsid w:val="00183E21"/>
    <w:rsid w:val="001854A3"/>
    <w:rsid w:val="00187B50"/>
    <w:rsid w:val="00192016"/>
    <w:rsid w:val="0019239A"/>
    <w:rsid w:val="001A68AE"/>
    <w:rsid w:val="001A71A0"/>
    <w:rsid w:val="001B11F3"/>
    <w:rsid w:val="001B16E7"/>
    <w:rsid w:val="001B50F0"/>
    <w:rsid w:val="001C41AE"/>
    <w:rsid w:val="001D5700"/>
    <w:rsid w:val="001E3A6D"/>
    <w:rsid w:val="001F037D"/>
    <w:rsid w:val="001F2358"/>
    <w:rsid w:val="001F4B8C"/>
    <w:rsid w:val="00202BDE"/>
    <w:rsid w:val="00206361"/>
    <w:rsid w:val="002139A7"/>
    <w:rsid w:val="002145B6"/>
    <w:rsid w:val="00214FDC"/>
    <w:rsid w:val="0021611B"/>
    <w:rsid w:val="00223EDD"/>
    <w:rsid w:val="00225432"/>
    <w:rsid w:val="002255F0"/>
    <w:rsid w:val="0022695A"/>
    <w:rsid w:val="0023207A"/>
    <w:rsid w:val="00234B2C"/>
    <w:rsid w:val="00251FE2"/>
    <w:rsid w:val="00252489"/>
    <w:rsid w:val="0025259D"/>
    <w:rsid w:val="00253E94"/>
    <w:rsid w:val="00256C9A"/>
    <w:rsid w:val="00266D17"/>
    <w:rsid w:val="0026714F"/>
    <w:rsid w:val="00267E21"/>
    <w:rsid w:val="002729BC"/>
    <w:rsid w:val="00272E5A"/>
    <w:rsid w:val="00272EB5"/>
    <w:rsid w:val="00277A0C"/>
    <w:rsid w:val="002809D3"/>
    <w:rsid w:val="002816BB"/>
    <w:rsid w:val="002823AB"/>
    <w:rsid w:val="0028534F"/>
    <w:rsid w:val="002904D3"/>
    <w:rsid w:val="0029142B"/>
    <w:rsid w:val="002A0695"/>
    <w:rsid w:val="002A16B9"/>
    <w:rsid w:val="002A496F"/>
    <w:rsid w:val="002B217A"/>
    <w:rsid w:val="002B3374"/>
    <w:rsid w:val="002B3CB6"/>
    <w:rsid w:val="002C5E0C"/>
    <w:rsid w:val="002C6EB3"/>
    <w:rsid w:val="002D3327"/>
    <w:rsid w:val="002D45C9"/>
    <w:rsid w:val="002E1883"/>
    <w:rsid w:val="002E1E7E"/>
    <w:rsid w:val="002E61AE"/>
    <w:rsid w:val="002E7D78"/>
    <w:rsid w:val="002F4149"/>
    <w:rsid w:val="00301226"/>
    <w:rsid w:val="00305758"/>
    <w:rsid w:val="003074A8"/>
    <w:rsid w:val="00310F36"/>
    <w:rsid w:val="003133C3"/>
    <w:rsid w:val="00315BB4"/>
    <w:rsid w:val="00316A9D"/>
    <w:rsid w:val="00316DFD"/>
    <w:rsid w:val="00320C7F"/>
    <w:rsid w:val="0032626C"/>
    <w:rsid w:val="0034581D"/>
    <w:rsid w:val="003509DF"/>
    <w:rsid w:val="0035162D"/>
    <w:rsid w:val="003677C9"/>
    <w:rsid w:val="00367CE2"/>
    <w:rsid w:val="00370D77"/>
    <w:rsid w:val="00375C98"/>
    <w:rsid w:val="00376635"/>
    <w:rsid w:val="0038404C"/>
    <w:rsid w:val="00387749"/>
    <w:rsid w:val="003902BC"/>
    <w:rsid w:val="003A02FB"/>
    <w:rsid w:val="003A04AF"/>
    <w:rsid w:val="003A131F"/>
    <w:rsid w:val="003B2445"/>
    <w:rsid w:val="003C03C9"/>
    <w:rsid w:val="003C0D8F"/>
    <w:rsid w:val="003D0953"/>
    <w:rsid w:val="003D0E93"/>
    <w:rsid w:val="003D7A60"/>
    <w:rsid w:val="003E04D3"/>
    <w:rsid w:val="003E2188"/>
    <w:rsid w:val="003E7040"/>
    <w:rsid w:val="003E7F24"/>
    <w:rsid w:val="003F248F"/>
    <w:rsid w:val="003F6B77"/>
    <w:rsid w:val="003F75EC"/>
    <w:rsid w:val="00407827"/>
    <w:rsid w:val="004175D8"/>
    <w:rsid w:val="00417C29"/>
    <w:rsid w:val="0042545A"/>
    <w:rsid w:val="00425A3E"/>
    <w:rsid w:val="00433AA0"/>
    <w:rsid w:val="00436BFD"/>
    <w:rsid w:val="00436D1C"/>
    <w:rsid w:val="00443BCA"/>
    <w:rsid w:val="00444270"/>
    <w:rsid w:val="00447E88"/>
    <w:rsid w:val="00455DE0"/>
    <w:rsid w:val="00456770"/>
    <w:rsid w:val="004622E6"/>
    <w:rsid w:val="00471758"/>
    <w:rsid w:val="00473C24"/>
    <w:rsid w:val="00475750"/>
    <w:rsid w:val="00486DA0"/>
    <w:rsid w:val="004875F2"/>
    <w:rsid w:val="00490164"/>
    <w:rsid w:val="00491EAC"/>
    <w:rsid w:val="00494E59"/>
    <w:rsid w:val="004A1905"/>
    <w:rsid w:val="004A1D15"/>
    <w:rsid w:val="004A4006"/>
    <w:rsid w:val="004B0FE3"/>
    <w:rsid w:val="004B2219"/>
    <w:rsid w:val="004C50FC"/>
    <w:rsid w:val="004C547C"/>
    <w:rsid w:val="004D0583"/>
    <w:rsid w:val="004D4723"/>
    <w:rsid w:val="004E07E2"/>
    <w:rsid w:val="004E20A9"/>
    <w:rsid w:val="004E29E7"/>
    <w:rsid w:val="004E50C5"/>
    <w:rsid w:val="004E590D"/>
    <w:rsid w:val="004E684A"/>
    <w:rsid w:val="004F1A82"/>
    <w:rsid w:val="004F214D"/>
    <w:rsid w:val="004F4113"/>
    <w:rsid w:val="004F569B"/>
    <w:rsid w:val="00503170"/>
    <w:rsid w:val="00505C0F"/>
    <w:rsid w:val="00507382"/>
    <w:rsid w:val="005172EE"/>
    <w:rsid w:val="00520495"/>
    <w:rsid w:val="0052178B"/>
    <w:rsid w:val="00523CB3"/>
    <w:rsid w:val="005336EF"/>
    <w:rsid w:val="0053562B"/>
    <w:rsid w:val="00536018"/>
    <w:rsid w:val="005360A2"/>
    <w:rsid w:val="0053744A"/>
    <w:rsid w:val="00541CFA"/>
    <w:rsid w:val="00542906"/>
    <w:rsid w:val="0054374E"/>
    <w:rsid w:val="00544778"/>
    <w:rsid w:val="005466E6"/>
    <w:rsid w:val="00550E59"/>
    <w:rsid w:val="00551D61"/>
    <w:rsid w:val="005560FC"/>
    <w:rsid w:val="005561F0"/>
    <w:rsid w:val="00563FC5"/>
    <w:rsid w:val="00567621"/>
    <w:rsid w:val="00570C8E"/>
    <w:rsid w:val="00581ACC"/>
    <w:rsid w:val="005838AB"/>
    <w:rsid w:val="00583D1C"/>
    <w:rsid w:val="00587C62"/>
    <w:rsid w:val="005A3483"/>
    <w:rsid w:val="005A5B86"/>
    <w:rsid w:val="005A6328"/>
    <w:rsid w:val="005B00D1"/>
    <w:rsid w:val="005C70DF"/>
    <w:rsid w:val="005C75E7"/>
    <w:rsid w:val="005D2CFB"/>
    <w:rsid w:val="005D341C"/>
    <w:rsid w:val="005D3916"/>
    <w:rsid w:val="005D7B91"/>
    <w:rsid w:val="005E3641"/>
    <w:rsid w:val="005E79A2"/>
    <w:rsid w:val="005F0CFE"/>
    <w:rsid w:val="005F1EFA"/>
    <w:rsid w:val="005F7E69"/>
    <w:rsid w:val="00605185"/>
    <w:rsid w:val="00611D6D"/>
    <w:rsid w:val="00615612"/>
    <w:rsid w:val="00615F5B"/>
    <w:rsid w:val="0062047F"/>
    <w:rsid w:val="0062209E"/>
    <w:rsid w:val="00624624"/>
    <w:rsid w:val="00625C51"/>
    <w:rsid w:val="006321DF"/>
    <w:rsid w:val="0063408E"/>
    <w:rsid w:val="006366E3"/>
    <w:rsid w:val="006419D0"/>
    <w:rsid w:val="006449EF"/>
    <w:rsid w:val="00652EC1"/>
    <w:rsid w:val="00654AE3"/>
    <w:rsid w:val="00654B69"/>
    <w:rsid w:val="00655BBC"/>
    <w:rsid w:val="00661211"/>
    <w:rsid w:val="00662180"/>
    <w:rsid w:val="0066371E"/>
    <w:rsid w:val="006647F2"/>
    <w:rsid w:val="00674ACF"/>
    <w:rsid w:val="00674C3B"/>
    <w:rsid w:val="00676ED7"/>
    <w:rsid w:val="00686845"/>
    <w:rsid w:val="006921E0"/>
    <w:rsid w:val="006A05CC"/>
    <w:rsid w:val="006A6817"/>
    <w:rsid w:val="006B4037"/>
    <w:rsid w:val="006C1CA1"/>
    <w:rsid w:val="006C6842"/>
    <w:rsid w:val="006D0361"/>
    <w:rsid w:val="006E1B4E"/>
    <w:rsid w:val="006E4100"/>
    <w:rsid w:val="006E4528"/>
    <w:rsid w:val="006E66CE"/>
    <w:rsid w:val="00702B90"/>
    <w:rsid w:val="0070660C"/>
    <w:rsid w:val="00706784"/>
    <w:rsid w:val="00710C34"/>
    <w:rsid w:val="00711058"/>
    <w:rsid w:val="00714B61"/>
    <w:rsid w:val="00714E9D"/>
    <w:rsid w:val="00716B11"/>
    <w:rsid w:val="00723D97"/>
    <w:rsid w:val="00724A1D"/>
    <w:rsid w:val="00735A34"/>
    <w:rsid w:val="00736DC2"/>
    <w:rsid w:val="00741698"/>
    <w:rsid w:val="007423A0"/>
    <w:rsid w:val="007439BD"/>
    <w:rsid w:val="0074716A"/>
    <w:rsid w:val="00747E46"/>
    <w:rsid w:val="00757999"/>
    <w:rsid w:val="0076204A"/>
    <w:rsid w:val="00765E97"/>
    <w:rsid w:val="00767632"/>
    <w:rsid w:val="00776149"/>
    <w:rsid w:val="00776C81"/>
    <w:rsid w:val="007867D7"/>
    <w:rsid w:val="00797399"/>
    <w:rsid w:val="007A03E7"/>
    <w:rsid w:val="007A4495"/>
    <w:rsid w:val="007A746C"/>
    <w:rsid w:val="007B1D54"/>
    <w:rsid w:val="007C2BC2"/>
    <w:rsid w:val="007D7576"/>
    <w:rsid w:val="007F0AC9"/>
    <w:rsid w:val="007F24B1"/>
    <w:rsid w:val="007F32AD"/>
    <w:rsid w:val="00800275"/>
    <w:rsid w:val="0080240A"/>
    <w:rsid w:val="00804508"/>
    <w:rsid w:val="00804894"/>
    <w:rsid w:val="00821048"/>
    <w:rsid w:val="00822BE1"/>
    <w:rsid w:val="00827AFA"/>
    <w:rsid w:val="008309E8"/>
    <w:rsid w:val="00832635"/>
    <w:rsid w:val="00834A26"/>
    <w:rsid w:val="008461C3"/>
    <w:rsid w:val="008471FB"/>
    <w:rsid w:val="00850A0B"/>
    <w:rsid w:val="00852B8F"/>
    <w:rsid w:val="00864AAA"/>
    <w:rsid w:val="00864D23"/>
    <w:rsid w:val="008669FD"/>
    <w:rsid w:val="0087064B"/>
    <w:rsid w:val="008730A1"/>
    <w:rsid w:val="00883D7F"/>
    <w:rsid w:val="008857BE"/>
    <w:rsid w:val="0088632C"/>
    <w:rsid w:val="008926C2"/>
    <w:rsid w:val="00892790"/>
    <w:rsid w:val="0089332B"/>
    <w:rsid w:val="008944DD"/>
    <w:rsid w:val="00896184"/>
    <w:rsid w:val="00897102"/>
    <w:rsid w:val="008A4EFE"/>
    <w:rsid w:val="008A511C"/>
    <w:rsid w:val="008B66B8"/>
    <w:rsid w:val="008C63E9"/>
    <w:rsid w:val="008D0DEA"/>
    <w:rsid w:val="008D2FCC"/>
    <w:rsid w:val="008D399A"/>
    <w:rsid w:val="008E3FB0"/>
    <w:rsid w:val="008E61D8"/>
    <w:rsid w:val="008E6633"/>
    <w:rsid w:val="008E6B84"/>
    <w:rsid w:val="008F0101"/>
    <w:rsid w:val="008F2A78"/>
    <w:rsid w:val="008F373D"/>
    <w:rsid w:val="009018B0"/>
    <w:rsid w:val="00914A92"/>
    <w:rsid w:val="00915BB1"/>
    <w:rsid w:val="009163DB"/>
    <w:rsid w:val="00921138"/>
    <w:rsid w:val="009232AC"/>
    <w:rsid w:val="00923C5F"/>
    <w:rsid w:val="00926A82"/>
    <w:rsid w:val="009328E4"/>
    <w:rsid w:val="009348E9"/>
    <w:rsid w:val="00942505"/>
    <w:rsid w:val="009429C7"/>
    <w:rsid w:val="0094316B"/>
    <w:rsid w:val="00950D12"/>
    <w:rsid w:val="009519D5"/>
    <w:rsid w:val="00954E61"/>
    <w:rsid w:val="00956717"/>
    <w:rsid w:val="0095683F"/>
    <w:rsid w:val="009570A3"/>
    <w:rsid w:val="00960C69"/>
    <w:rsid w:val="00961CBB"/>
    <w:rsid w:val="009625CF"/>
    <w:rsid w:val="0096399E"/>
    <w:rsid w:val="0096597E"/>
    <w:rsid w:val="00965FC8"/>
    <w:rsid w:val="009663D9"/>
    <w:rsid w:val="00967AC4"/>
    <w:rsid w:val="00971436"/>
    <w:rsid w:val="009724E9"/>
    <w:rsid w:val="009736FD"/>
    <w:rsid w:val="00985A29"/>
    <w:rsid w:val="00987704"/>
    <w:rsid w:val="00996EC2"/>
    <w:rsid w:val="00996F6E"/>
    <w:rsid w:val="009A0F41"/>
    <w:rsid w:val="009A1124"/>
    <w:rsid w:val="009A23F2"/>
    <w:rsid w:val="009B00C9"/>
    <w:rsid w:val="009B0799"/>
    <w:rsid w:val="009B1781"/>
    <w:rsid w:val="009B21D4"/>
    <w:rsid w:val="009B2D5E"/>
    <w:rsid w:val="009C4F32"/>
    <w:rsid w:val="009D24DE"/>
    <w:rsid w:val="009D640B"/>
    <w:rsid w:val="009E1149"/>
    <w:rsid w:val="009E22EE"/>
    <w:rsid w:val="009F10F7"/>
    <w:rsid w:val="00A058F1"/>
    <w:rsid w:val="00A13E01"/>
    <w:rsid w:val="00A166F8"/>
    <w:rsid w:val="00A204DB"/>
    <w:rsid w:val="00A263BE"/>
    <w:rsid w:val="00A27E6B"/>
    <w:rsid w:val="00A31F14"/>
    <w:rsid w:val="00A3451A"/>
    <w:rsid w:val="00A41A29"/>
    <w:rsid w:val="00A41AD3"/>
    <w:rsid w:val="00A429D4"/>
    <w:rsid w:val="00A443CA"/>
    <w:rsid w:val="00A5218D"/>
    <w:rsid w:val="00A55046"/>
    <w:rsid w:val="00A6197E"/>
    <w:rsid w:val="00A62F97"/>
    <w:rsid w:val="00A64C84"/>
    <w:rsid w:val="00A67DB0"/>
    <w:rsid w:val="00A7501E"/>
    <w:rsid w:val="00A7633C"/>
    <w:rsid w:val="00A82CD3"/>
    <w:rsid w:val="00A8757B"/>
    <w:rsid w:val="00A93F7D"/>
    <w:rsid w:val="00A971FF"/>
    <w:rsid w:val="00AA1C8C"/>
    <w:rsid w:val="00AA2984"/>
    <w:rsid w:val="00AA6073"/>
    <w:rsid w:val="00AA67C4"/>
    <w:rsid w:val="00AB4E19"/>
    <w:rsid w:val="00AC7BF9"/>
    <w:rsid w:val="00AD0C98"/>
    <w:rsid w:val="00AD10F5"/>
    <w:rsid w:val="00AE2810"/>
    <w:rsid w:val="00AE6D39"/>
    <w:rsid w:val="00AF457E"/>
    <w:rsid w:val="00AF60F0"/>
    <w:rsid w:val="00AF71C2"/>
    <w:rsid w:val="00B020E3"/>
    <w:rsid w:val="00B04A96"/>
    <w:rsid w:val="00B06276"/>
    <w:rsid w:val="00B112BC"/>
    <w:rsid w:val="00B1561F"/>
    <w:rsid w:val="00B17347"/>
    <w:rsid w:val="00B1777E"/>
    <w:rsid w:val="00B21465"/>
    <w:rsid w:val="00B253B4"/>
    <w:rsid w:val="00B35A41"/>
    <w:rsid w:val="00B403A3"/>
    <w:rsid w:val="00B4088D"/>
    <w:rsid w:val="00B4235B"/>
    <w:rsid w:val="00B4562E"/>
    <w:rsid w:val="00B55A43"/>
    <w:rsid w:val="00B6047C"/>
    <w:rsid w:val="00B65E76"/>
    <w:rsid w:val="00B74FF3"/>
    <w:rsid w:val="00B764A0"/>
    <w:rsid w:val="00B843EF"/>
    <w:rsid w:val="00B85D06"/>
    <w:rsid w:val="00B8624F"/>
    <w:rsid w:val="00B86798"/>
    <w:rsid w:val="00B8731A"/>
    <w:rsid w:val="00B90717"/>
    <w:rsid w:val="00B91056"/>
    <w:rsid w:val="00B915FF"/>
    <w:rsid w:val="00B95F54"/>
    <w:rsid w:val="00B96383"/>
    <w:rsid w:val="00B972D4"/>
    <w:rsid w:val="00B97F2C"/>
    <w:rsid w:val="00BB5805"/>
    <w:rsid w:val="00BB6C1E"/>
    <w:rsid w:val="00BB759A"/>
    <w:rsid w:val="00BB792E"/>
    <w:rsid w:val="00BD21C3"/>
    <w:rsid w:val="00BD6775"/>
    <w:rsid w:val="00BF0A9D"/>
    <w:rsid w:val="00BF2B15"/>
    <w:rsid w:val="00BF49BA"/>
    <w:rsid w:val="00C01994"/>
    <w:rsid w:val="00C0258B"/>
    <w:rsid w:val="00C06C90"/>
    <w:rsid w:val="00C13721"/>
    <w:rsid w:val="00C15AFB"/>
    <w:rsid w:val="00C17DD5"/>
    <w:rsid w:val="00C2295E"/>
    <w:rsid w:val="00C30049"/>
    <w:rsid w:val="00C315DB"/>
    <w:rsid w:val="00C350B2"/>
    <w:rsid w:val="00C368E0"/>
    <w:rsid w:val="00C36924"/>
    <w:rsid w:val="00C41A04"/>
    <w:rsid w:val="00C44FE7"/>
    <w:rsid w:val="00C54F9D"/>
    <w:rsid w:val="00C615D3"/>
    <w:rsid w:val="00C712C2"/>
    <w:rsid w:val="00C840CB"/>
    <w:rsid w:val="00C86F95"/>
    <w:rsid w:val="00C920C3"/>
    <w:rsid w:val="00C921C7"/>
    <w:rsid w:val="00C94030"/>
    <w:rsid w:val="00C95FE4"/>
    <w:rsid w:val="00CA00B1"/>
    <w:rsid w:val="00CA3F78"/>
    <w:rsid w:val="00CA5963"/>
    <w:rsid w:val="00CC252B"/>
    <w:rsid w:val="00CC2E84"/>
    <w:rsid w:val="00CC51BC"/>
    <w:rsid w:val="00CD4CB9"/>
    <w:rsid w:val="00CD7976"/>
    <w:rsid w:val="00CE2799"/>
    <w:rsid w:val="00CE2FC2"/>
    <w:rsid w:val="00CE4682"/>
    <w:rsid w:val="00CF0479"/>
    <w:rsid w:val="00CF5FD4"/>
    <w:rsid w:val="00D071B3"/>
    <w:rsid w:val="00D11CE9"/>
    <w:rsid w:val="00D1407F"/>
    <w:rsid w:val="00D15D17"/>
    <w:rsid w:val="00D179CA"/>
    <w:rsid w:val="00D35FA8"/>
    <w:rsid w:val="00D412F9"/>
    <w:rsid w:val="00D413C9"/>
    <w:rsid w:val="00D5016F"/>
    <w:rsid w:val="00D50B06"/>
    <w:rsid w:val="00D5555A"/>
    <w:rsid w:val="00D555E0"/>
    <w:rsid w:val="00D653FF"/>
    <w:rsid w:val="00D66740"/>
    <w:rsid w:val="00D66B77"/>
    <w:rsid w:val="00D750E9"/>
    <w:rsid w:val="00D821F8"/>
    <w:rsid w:val="00D91A29"/>
    <w:rsid w:val="00D92408"/>
    <w:rsid w:val="00DA2448"/>
    <w:rsid w:val="00DB042E"/>
    <w:rsid w:val="00DB1C88"/>
    <w:rsid w:val="00DB2C98"/>
    <w:rsid w:val="00DB6F82"/>
    <w:rsid w:val="00DB7F7E"/>
    <w:rsid w:val="00DC2DD2"/>
    <w:rsid w:val="00DE2472"/>
    <w:rsid w:val="00DF3C5F"/>
    <w:rsid w:val="00E0749B"/>
    <w:rsid w:val="00E12DBA"/>
    <w:rsid w:val="00E141B0"/>
    <w:rsid w:val="00E202E5"/>
    <w:rsid w:val="00E3100C"/>
    <w:rsid w:val="00E4178F"/>
    <w:rsid w:val="00E41F07"/>
    <w:rsid w:val="00E5235D"/>
    <w:rsid w:val="00E65EFB"/>
    <w:rsid w:val="00E67486"/>
    <w:rsid w:val="00E70B5D"/>
    <w:rsid w:val="00E71087"/>
    <w:rsid w:val="00E72465"/>
    <w:rsid w:val="00E72A23"/>
    <w:rsid w:val="00E72F94"/>
    <w:rsid w:val="00E76051"/>
    <w:rsid w:val="00E77483"/>
    <w:rsid w:val="00E80EAB"/>
    <w:rsid w:val="00E82C89"/>
    <w:rsid w:val="00E843C1"/>
    <w:rsid w:val="00E91577"/>
    <w:rsid w:val="00E92C60"/>
    <w:rsid w:val="00E9467C"/>
    <w:rsid w:val="00E95CE1"/>
    <w:rsid w:val="00EB15D4"/>
    <w:rsid w:val="00EB4466"/>
    <w:rsid w:val="00EB5840"/>
    <w:rsid w:val="00EB6A75"/>
    <w:rsid w:val="00EC0A57"/>
    <w:rsid w:val="00EC5913"/>
    <w:rsid w:val="00ED5159"/>
    <w:rsid w:val="00EE161E"/>
    <w:rsid w:val="00EE2C28"/>
    <w:rsid w:val="00EF2000"/>
    <w:rsid w:val="00EF5C54"/>
    <w:rsid w:val="00EF63EC"/>
    <w:rsid w:val="00F00526"/>
    <w:rsid w:val="00F02000"/>
    <w:rsid w:val="00F03D34"/>
    <w:rsid w:val="00F13167"/>
    <w:rsid w:val="00F15F6A"/>
    <w:rsid w:val="00F15FC5"/>
    <w:rsid w:val="00F16153"/>
    <w:rsid w:val="00F20C4D"/>
    <w:rsid w:val="00F24A53"/>
    <w:rsid w:val="00F26C13"/>
    <w:rsid w:val="00F26EB1"/>
    <w:rsid w:val="00F32965"/>
    <w:rsid w:val="00F350AA"/>
    <w:rsid w:val="00F3667A"/>
    <w:rsid w:val="00F40FCB"/>
    <w:rsid w:val="00F411A9"/>
    <w:rsid w:val="00F44539"/>
    <w:rsid w:val="00F447F1"/>
    <w:rsid w:val="00F46CDE"/>
    <w:rsid w:val="00F65AA6"/>
    <w:rsid w:val="00F674F2"/>
    <w:rsid w:val="00F810E1"/>
    <w:rsid w:val="00F8470E"/>
    <w:rsid w:val="00F85C00"/>
    <w:rsid w:val="00F92153"/>
    <w:rsid w:val="00F95FAD"/>
    <w:rsid w:val="00F96400"/>
    <w:rsid w:val="00FA21B5"/>
    <w:rsid w:val="00FC1665"/>
    <w:rsid w:val="00FC42B1"/>
    <w:rsid w:val="00FC4F23"/>
    <w:rsid w:val="00FC50E6"/>
    <w:rsid w:val="00FD0DB0"/>
    <w:rsid w:val="00FD2A4C"/>
    <w:rsid w:val="00FE0802"/>
    <w:rsid w:val="00FE2435"/>
    <w:rsid w:val="00FE3729"/>
    <w:rsid w:val="00FE5CBE"/>
    <w:rsid w:val="00FE7909"/>
    <w:rsid w:val="00FF0023"/>
    <w:rsid w:val="00FF260F"/>
    <w:rsid w:val="00FF37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95932A"/>
  <w15:chartTrackingRefBased/>
  <w15:docId w15:val="{706BE6FE-44EC-484C-A7E1-C5A42FEBF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Body Text 3" w:uiPriority="99"/>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44A"/>
    <w:pPr>
      <w:spacing w:line="360" w:lineRule="auto"/>
      <w:jc w:val="both"/>
    </w:pPr>
    <w:rPr>
      <w:rFonts w:ascii="Tahoma" w:eastAsia="Tahoma" w:hAnsi="Tahoma" w:cs="Tahoma"/>
      <w:sz w:val="26"/>
      <w:szCs w:val="26"/>
      <w:lang w:val="es-ES" w:eastAsia="es-ES"/>
    </w:rPr>
  </w:style>
  <w:style w:type="paragraph" w:styleId="Ttulo1">
    <w:name w:val="heading 1"/>
    <w:basedOn w:val="Normal"/>
    <w:next w:val="Normal"/>
    <w:qFormat/>
    <w:rsid w:val="000F1A7D"/>
    <w:pPr>
      <w:keepNext/>
      <w:spacing w:before="240" w:after="60"/>
      <w:outlineLvl w:val="0"/>
    </w:pPr>
    <w:rPr>
      <w:rFonts w:cs="Arial"/>
      <w:b/>
      <w:bCs/>
      <w:kern w:val="32"/>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autoRedefine/>
    <w:rsid w:val="003A02FB"/>
    <w:pPr>
      <w:tabs>
        <w:tab w:val="center" w:pos="4252"/>
        <w:tab w:val="right" w:pos="8504"/>
      </w:tabs>
      <w:overflowPunct w:val="0"/>
      <w:autoSpaceDE w:val="0"/>
      <w:autoSpaceDN w:val="0"/>
      <w:adjustRightInd w:val="0"/>
      <w:jc w:val="right"/>
      <w:textAlignment w:val="baseline"/>
    </w:pPr>
    <w:rPr>
      <w:rFonts w:ascii="Courier New" w:eastAsia="Times New Roman" w:hAnsi="Courier New"/>
      <w:sz w:val="16"/>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texto de nota al p"/>
    <w:basedOn w:val="Normal"/>
    <w:link w:val="TextonotapieCar"/>
    <w:autoRedefine/>
    <w:uiPriority w:val="99"/>
    <w:qFormat/>
    <w:rsid w:val="00214FDC"/>
    <w:pPr>
      <w:overflowPunct w:val="0"/>
      <w:autoSpaceDE w:val="0"/>
      <w:autoSpaceDN w:val="0"/>
      <w:adjustRightInd w:val="0"/>
      <w:spacing w:line="240" w:lineRule="auto"/>
      <w:textAlignment w:val="baseline"/>
    </w:pPr>
    <w:rPr>
      <w:rFonts w:ascii="Verdana" w:eastAsia="Times New Roman" w:hAnsi="Verdana"/>
      <w:sz w:val="20"/>
      <w:szCs w:val="20"/>
    </w:rPr>
  </w:style>
  <w:style w:type="paragraph" w:customStyle="1" w:styleId="Citajurisprudencial">
    <w:name w:val="Cita jurisprudencial"/>
    <w:autoRedefine/>
    <w:rsid w:val="00305758"/>
    <w:pPr>
      <w:tabs>
        <w:tab w:val="left" w:pos="8460"/>
      </w:tabs>
      <w:spacing w:line="276" w:lineRule="auto"/>
      <w:ind w:left="709" w:right="709"/>
      <w:jc w:val="both"/>
    </w:pPr>
    <w:rPr>
      <w:rFonts w:ascii="Verdana" w:eastAsia="Times New Roman" w:hAnsi="Verdana"/>
      <w:szCs w:val="28"/>
      <w:lang w:val="es-ES" w:eastAsia="es-ES"/>
    </w:rPr>
  </w:style>
  <w:style w:type="character" w:customStyle="1" w:styleId="Nombreprincipal">
    <w:name w:val="Nombre principal"/>
    <w:rsid w:val="00615612"/>
    <w:rPr>
      <w:rFonts w:ascii="Tahoma" w:hAnsi="Tahoma"/>
      <w:b/>
      <w:smallCaps/>
      <w:sz w:val="22"/>
    </w:rPr>
  </w:style>
  <w:style w:type="character" w:styleId="Refdenotaalpie">
    <w:name w:val="footnote reference"/>
    <w:aliases w:val="Texto de nota al pie,Footnotes refss,Appel note de bas de page,Footnote number,referencia nota al pie,BVI fnr,f,4_G,16 Point,Superscript 6 Point,Ref,de nota al pie,Ref. de nota al pie 2,Fago Fußnotenzeichen,Ref. de nota al pi,FC,F"/>
    <w:link w:val="4GChar"/>
    <w:uiPriority w:val="99"/>
    <w:qFormat/>
    <w:rsid w:val="00214FDC"/>
    <w:rPr>
      <w:rFonts w:ascii="Verdana" w:hAnsi="Verdana"/>
      <w:sz w:val="20"/>
      <w:vertAlign w:val="superscript"/>
    </w:rPr>
  </w:style>
  <w:style w:type="paragraph" w:customStyle="1" w:styleId="AlgerianTtulo">
    <w:name w:val="Algerian Título"/>
    <w:next w:val="Normal"/>
    <w:link w:val="AlgerianTtuloCar"/>
    <w:rsid w:val="00B1561F"/>
    <w:pPr>
      <w:tabs>
        <w:tab w:val="left" w:pos="1202"/>
      </w:tabs>
      <w:spacing w:line="360" w:lineRule="auto"/>
      <w:jc w:val="both"/>
    </w:pPr>
    <w:rPr>
      <w:rFonts w:ascii="Algerian" w:eastAsia="Tahoma" w:hAnsi="Algerian" w:cs="Tahoma"/>
      <w:sz w:val="30"/>
      <w:szCs w:val="26"/>
      <w:lang w:val="es-ES" w:eastAsia="es-ES"/>
    </w:rPr>
  </w:style>
  <w:style w:type="character" w:customStyle="1" w:styleId="Numeracinttulo">
    <w:name w:val="Numeración título"/>
    <w:rsid w:val="00490164"/>
    <w:rPr>
      <w:rFonts w:ascii="Tahoma" w:hAnsi="Tahoma"/>
      <w:b/>
      <w:sz w:val="24"/>
    </w:rPr>
  </w:style>
  <w:style w:type="paragraph" w:styleId="Textoindependiente3">
    <w:name w:val="Body Text 3"/>
    <w:basedOn w:val="Normal"/>
    <w:link w:val="Textoindependiente3Car"/>
    <w:uiPriority w:val="99"/>
    <w:rsid w:val="00B112BC"/>
    <w:pPr>
      <w:spacing w:after="120"/>
    </w:pPr>
    <w:rPr>
      <w:rFonts w:eastAsia="Times New Roman" w:cs="Times New Roman"/>
      <w:sz w:val="16"/>
      <w:szCs w:val="16"/>
      <w:lang w:eastAsia="es-MX"/>
    </w:rPr>
  </w:style>
  <w:style w:type="paragraph" w:styleId="Encabezado">
    <w:name w:val="header"/>
    <w:basedOn w:val="Normal"/>
    <w:rsid w:val="0053744A"/>
    <w:pPr>
      <w:tabs>
        <w:tab w:val="center" w:pos="4252"/>
        <w:tab w:val="right" w:pos="8504"/>
      </w:tabs>
      <w:overflowPunct w:val="0"/>
      <w:autoSpaceDE w:val="0"/>
      <w:autoSpaceDN w:val="0"/>
      <w:adjustRightInd w:val="0"/>
      <w:spacing w:line="240" w:lineRule="auto"/>
      <w:textAlignment w:val="baseline"/>
    </w:pPr>
    <w:rPr>
      <w:rFonts w:ascii="Courier New" w:hAnsi="Courier New"/>
      <w:sz w:val="20"/>
      <w:szCs w:val="20"/>
    </w:rPr>
  </w:style>
  <w:style w:type="character" w:customStyle="1" w:styleId="AlgerianTtuloCar">
    <w:name w:val="Algerian Título Car"/>
    <w:link w:val="AlgerianTtulo"/>
    <w:rsid w:val="00B1561F"/>
    <w:rPr>
      <w:rFonts w:ascii="Algerian" w:eastAsia="Tahoma" w:hAnsi="Algerian" w:cs="Tahoma"/>
      <w:sz w:val="30"/>
      <w:szCs w:val="26"/>
      <w:lang w:val="es-ES" w:eastAsia="es-ES" w:bidi="ar-SA"/>
    </w:rPr>
  </w:style>
  <w:style w:type="character" w:customStyle="1" w:styleId="Textoindependiente3Car">
    <w:name w:val="Texto independiente 3 Car"/>
    <w:link w:val="Textoindependiente3"/>
    <w:uiPriority w:val="99"/>
    <w:rsid w:val="00B112BC"/>
    <w:rPr>
      <w:rFonts w:ascii="Tahoma" w:eastAsia="Times New Roman" w:hAnsi="Tahoma"/>
      <w:sz w:val="16"/>
      <w:szCs w:val="16"/>
      <w:lang w:val="es-ES" w:eastAsia="es-MX"/>
    </w:rPr>
  </w:style>
  <w:style w:type="paragraph" w:styleId="Textodeglobo">
    <w:name w:val="Balloon Text"/>
    <w:basedOn w:val="Normal"/>
    <w:link w:val="TextodegloboCar"/>
    <w:rsid w:val="00942505"/>
    <w:pPr>
      <w:spacing w:line="240" w:lineRule="auto"/>
    </w:pPr>
    <w:rPr>
      <w:rFonts w:ascii="Segoe UI" w:hAnsi="Segoe UI" w:cs="Segoe UI"/>
      <w:sz w:val="18"/>
      <w:szCs w:val="18"/>
    </w:rPr>
  </w:style>
  <w:style w:type="character" w:customStyle="1" w:styleId="TextodegloboCar">
    <w:name w:val="Texto de globo Car"/>
    <w:link w:val="Textodeglobo"/>
    <w:rsid w:val="00942505"/>
    <w:rPr>
      <w:rFonts w:ascii="Segoe UI" w:eastAsia="Tahoma" w:hAnsi="Segoe UI" w:cs="Segoe UI"/>
      <w:sz w:val="18"/>
      <w:szCs w:val="18"/>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texto de nota al p Car"/>
    <w:link w:val="Textonotapie"/>
    <w:uiPriority w:val="99"/>
    <w:qFormat/>
    <w:locked/>
    <w:rsid w:val="00131EB3"/>
    <w:rPr>
      <w:rFonts w:ascii="Verdana" w:eastAsia="Times New Roman" w:hAnsi="Verdana" w:cs="Tahoma"/>
      <w:lang w:val="es-ES" w:eastAsia="es-ES"/>
    </w:rPr>
  </w:style>
  <w:style w:type="paragraph" w:styleId="NormalWeb">
    <w:name w:val="Normal (Web)"/>
    <w:basedOn w:val="Normal"/>
    <w:uiPriority w:val="99"/>
    <w:unhideWhenUsed/>
    <w:rsid w:val="00141C43"/>
    <w:pPr>
      <w:spacing w:before="100" w:beforeAutospacing="1" w:after="100" w:afterAutospacing="1" w:line="240" w:lineRule="auto"/>
      <w:jc w:val="left"/>
    </w:pPr>
    <w:rPr>
      <w:rFonts w:ascii="Times New Roman" w:eastAsia="Times New Roman" w:hAnsi="Times New Roman" w:cs="Times New Roman"/>
      <w:sz w:val="24"/>
      <w:szCs w:val="24"/>
      <w:lang w:val="es-CO" w:eastAsia="es-CO"/>
    </w:rPr>
  </w:style>
  <w:style w:type="character" w:styleId="Hipervnculo">
    <w:name w:val="Hyperlink"/>
    <w:uiPriority w:val="99"/>
    <w:unhideWhenUsed/>
    <w:rsid w:val="00541CFA"/>
    <w:rPr>
      <w:color w:val="0000FF"/>
      <w:u w:val="single"/>
    </w:rPr>
  </w:style>
  <w:style w:type="character" w:customStyle="1" w:styleId="UnresolvedMention">
    <w:name w:val="Unresolved Mention"/>
    <w:uiPriority w:val="99"/>
    <w:semiHidden/>
    <w:unhideWhenUsed/>
    <w:rsid w:val="006921E0"/>
    <w:rPr>
      <w:color w:val="605E5C"/>
      <w:shd w:val="clear" w:color="auto" w:fill="E1DFDD"/>
    </w:rPr>
  </w:style>
  <w:style w:type="paragraph" w:styleId="Prrafodelista">
    <w:name w:val="List Paragraph"/>
    <w:basedOn w:val="Normal"/>
    <w:uiPriority w:val="34"/>
    <w:qFormat/>
    <w:rsid w:val="00D15D17"/>
    <w:pPr>
      <w:ind w:left="720"/>
      <w:contextualSpacing/>
    </w:p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6E1B4E"/>
    <w:pPr>
      <w:pBdr>
        <w:top w:val="nil"/>
        <w:left w:val="nil"/>
        <w:bottom w:val="nil"/>
        <w:right w:val="nil"/>
        <w:between w:val="nil"/>
      </w:pBdr>
      <w:spacing w:line="240" w:lineRule="auto"/>
      <w:contextualSpacing/>
    </w:pPr>
    <w:rPr>
      <w:rFonts w:ascii="Verdana" w:eastAsia="Batang" w:hAnsi="Verdana" w:cs="Times New Roman"/>
      <w:sz w:val="20"/>
      <w:szCs w:val="20"/>
      <w:vertAlign w:val="superscript"/>
      <w:lang w:val="es-CO" w:eastAsia="es-CO"/>
    </w:rPr>
  </w:style>
  <w:style w:type="character" w:customStyle="1" w:styleId="normaltextrun">
    <w:name w:val="normaltextrun"/>
    <w:basedOn w:val="Fuentedeprrafopredeter"/>
    <w:rsid w:val="007B1D54"/>
  </w:style>
  <w:style w:type="character" w:customStyle="1" w:styleId="eop">
    <w:name w:val="eop"/>
    <w:basedOn w:val="Fuentedeprrafopredeter"/>
    <w:rsid w:val="007B1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0279">
      <w:bodyDiv w:val="1"/>
      <w:marLeft w:val="0"/>
      <w:marRight w:val="0"/>
      <w:marTop w:val="0"/>
      <w:marBottom w:val="0"/>
      <w:divBdr>
        <w:top w:val="none" w:sz="0" w:space="0" w:color="auto"/>
        <w:left w:val="none" w:sz="0" w:space="0" w:color="auto"/>
        <w:bottom w:val="none" w:sz="0" w:space="0" w:color="auto"/>
        <w:right w:val="none" w:sz="0" w:space="0" w:color="auto"/>
      </w:divBdr>
    </w:div>
    <w:div w:id="124471312">
      <w:bodyDiv w:val="1"/>
      <w:marLeft w:val="0"/>
      <w:marRight w:val="0"/>
      <w:marTop w:val="0"/>
      <w:marBottom w:val="0"/>
      <w:divBdr>
        <w:top w:val="none" w:sz="0" w:space="0" w:color="auto"/>
        <w:left w:val="none" w:sz="0" w:space="0" w:color="auto"/>
        <w:bottom w:val="none" w:sz="0" w:space="0" w:color="auto"/>
        <w:right w:val="none" w:sz="0" w:space="0" w:color="auto"/>
      </w:divBdr>
      <w:divsChild>
        <w:div w:id="793717741">
          <w:marLeft w:val="0"/>
          <w:marRight w:val="0"/>
          <w:marTop w:val="0"/>
          <w:marBottom w:val="0"/>
          <w:divBdr>
            <w:top w:val="none" w:sz="0" w:space="0" w:color="auto"/>
            <w:left w:val="none" w:sz="0" w:space="0" w:color="auto"/>
            <w:bottom w:val="none" w:sz="0" w:space="0" w:color="auto"/>
            <w:right w:val="none" w:sz="0" w:space="0" w:color="auto"/>
          </w:divBdr>
        </w:div>
        <w:div w:id="741948202">
          <w:marLeft w:val="0"/>
          <w:marRight w:val="0"/>
          <w:marTop w:val="0"/>
          <w:marBottom w:val="0"/>
          <w:divBdr>
            <w:top w:val="none" w:sz="0" w:space="0" w:color="auto"/>
            <w:left w:val="none" w:sz="0" w:space="0" w:color="auto"/>
            <w:bottom w:val="none" w:sz="0" w:space="0" w:color="auto"/>
            <w:right w:val="none" w:sz="0" w:space="0" w:color="auto"/>
          </w:divBdr>
        </w:div>
        <w:div w:id="1390879611">
          <w:marLeft w:val="0"/>
          <w:marRight w:val="0"/>
          <w:marTop w:val="0"/>
          <w:marBottom w:val="0"/>
          <w:divBdr>
            <w:top w:val="none" w:sz="0" w:space="0" w:color="auto"/>
            <w:left w:val="none" w:sz="0" w:space="0" w:color="auto"/>
            <w:bottom w:val="none" w:sz="0" w:space="0" w:color="auto"/>
            <w:right w:val="none" w:sz="0" w:space="0" w:color="auto"/>
          </w:divBdr>
        </w:div>
        <w:div w:id="1078479017">
          <w:marLeft w:val="0"/>
          <w:marRight w:val="0"/>
          <w:marTop w:val="0"/>
          <w:marBottom w:val="0"/>
          <w:divBdr>
            <w:top w:val="none" w:sz="0" w:space="0" w:color="auto"/>
            <w:left w:val="none" w:sz="0" w:space="0" w:color="auto"/>
            <w:bottom w:val="none" w:sz="0" w:space="0" w:color="auto"/>
            <w:right w:val="none" w:sz="0" w:space="0" w:color="auto"/>
          </w:divBdr>
        </w:div>
      </w:divsChild>
    </w:div>
    <w:div w:id="1551265751">
      <w:bodyDiv w:val="1"/>
      <w:marLeft w:val="0"/>
      <w:marRight w:val="0"/>
      <w:marTop w:val="0"/>
      <w:marBottom w:val="0"/>
      <w:divBdr>
        <w:top w:val="none" w:sz="0" w:space="0" w:color="auto"/>
        <w:left w:val="none" w:sz="0" w:space="0" w:color="auto"/>
        <w:bottom w:val="none" w:sz="0" w:space="0" w:color="auto"/>
        <w:right w:val="none" w:sz="0" w:space="0" w:color="auto"/>
      </w:divBdr>
    </w:div>
    <w:div w:id="198666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A03BD680DC3E04E9E752FAEDD1595B2" ma:contentTypeVersion="17" ma:contentTypeDescription="Crear nuevo documento." ma:contentTypeScope="" ma:versionID="244d9f886eaab9c4a656ca5ed4c2763e">
  <xsd:schema xmlns:xsd="http://www.w3.org/2001/XMLSchema" xmlns:xs="http://www.w3.org/2001/XMLSchema" xmlns:p="http://schemas.microsoft.com/office/2006/metadata/properties" xmlns:ns3="c1c65ef1-714d-4c9e-b964-69c9081953b7" xmlns:ns4="ca58c637-2a52-4d80-b762-7a4427fbe3e4" targetNamespace="http://schemas.microsoft.com/office/2006/metadata/properties" ma:root="true" ma:fieldsID="031cf0ed0235b70732bb2f094fa0e9fd" ns3:_="" ns4:_="">
    <xsd:import namespace="c1c65ef1-714d-4c9e-b964-69c9081953b7"/>
    <xsd:import namespace="ca58c637-2a52-4d80-b762-7a4427fbe3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65ef1-714d-4c9e-b964-69c9081953b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8c637-2a52-4d80-b762-7a4427fbe3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a58c637-2a52-4d80-b762-7a4427fbe3e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84C26-5D77-4868-9E5F-3FF9854AED90}">
  <ds:schemaRefs>
    <ds:schemaRef ds:uri="http://schemas.microsoft.com/sharepoint/v3/contenttype/forms"/>
  </ds:schemaRefs>
</ds:datastoreItem>
</file>

<file path=customXml/itemProps2.xml><?xml version="1.0" encoding="utf-8"?>
<ds:datastoreItem xmlns:ds="http://schemas.openxmlformats.org/officeDocument/2006/customXml" ds:itemID="{CDF96544-09AE-46EA-9E21-A536179FD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65ef1-714d-4c9e-b964-69c9081953b7"/>
    <ds:schemaRef ds:uri="ca58c637-2a52-4d80-b762-7a4427fbe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0D346E-5A16-4924-87AD-3D85DBDBD5A2}">
  <ds:schemaRefs>
    <ds:schemaRef ds:uri="http://schemas.microsoft.com/office/2006/metadata/properties"/>
    <ds:schemaRef ds:uri="http://schemas.microsoft.com/office/infopath/2007/PartnerControls"/>
    <ds:schemaRef ds:uri="ca58c637-2a52-4d80-b762-7a4427fbe3e4"/>
  </ds:schemaRefs>
</ds:datastoreItem>
</file>

<file path=customXml/itemProps4.xml><?xml version="1.0" encoding="utf-8"?>
<ds:datastoreItem xmlns:ds="http://schemas.openxmlformats.org/officeDocument/2006/customXml" ds:itemID="{732C8B1A-992D-4D14-99AD-DEA820AD6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3141</Words>
  <Characters>17910</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
  <LinksUpToDate>false</LinksUpToDate>
  <CharactersWithSpaces>21009</CharactersWithSpaces>
  <SharedDoc>false</SharedDoc>
  <HLinks>
    <vt:vector size="12" baseType="variant">
      <vt:variant>
        <vt:i4>5701670</vt:i4>
      </vt:variant>
      <vt:variant>
        <vt:i4>3</vt:i4>
      </vt:variant>
      <vt:variant>
        <vt:i4>0</vt:i4>
      </vt:variant>
      <vt:variant>
        <vt:i4>5</vt:i4>
      </vt:variant>
      <vt:variant>
        <vt:lpwstr>https://www.corteconstitucional.gov.co/relatoria/2018/t-375-18.htm</vt:lpwstr>
      </vt:variant>
      <vt:variant>
        <vt:lpwstr>_ftn33</vt:lpwstr>
      </vt:variant>
      <vt:variant>
        <vt:i4>5636134</vt:i4>
      </vt:variant>
      <vt:variant>
        <vt:i4>0</vt:i4>
      </vt:variant>
      <vt:variant>
        <vt:i4>0</vt:i4>
      </vt:variant>
      <vt:variant>
        <vt:i4>5</vt:i4>
      </vt:variant>
      <vt:variant>
        <vt:lpwstr>https://www.corteconstitucional.gov.co/relatoria/2018/t-375-18.htm</vt:lpwstr>
      </vt:variant>
      <vt:variant>
        <vt:lpwstr>_ftn32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Jhonatan Galeano Guevara</dc:creator>
  <cp:keywords/>
  <cp:lastModifiedBy>hp</cp:lastModifiedBy>
  <cp:revision>8</cp:revision>
  <cp:lastPrinted>2019-11-14T19:46:00Z</cp:lastPrinted>
  <dcterms:created xsi:type="dcterms:W3CDTF">2024-06-07T19:01:00Z</dcterms:created>
  <dcterms:modified xsi:type="dcterms:W3CDTF">2024-08-12T17:02:00Z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0x0101004A03BD680DC3E04E9E752FAEDD1595B2</vt:lpwstr>
  </property>
</Properties>
</file>