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1C09F92" w14:textId="77777777" w:rsidR="00307C50" w:rsidRPr="00B23F0A" w:rsidRDefault="00307C50" w:rsidP="00307C50">
      <w:pPr>
        <w:pBdr>
          <w:top w:val="nil"/>
          <w:left w:val="nil"/>
          <w:bottom w:val="nil"/>
          <w:right w:val="nil"/>
          <w:between w:val="nil"/>
        </w:pBdr>
        <w:tabs>
          <w:tab w:val="left" w:pos="0"/>
        </w:tabs>
        <w:jc w:val="both"/>
        <w:rPr>
          <w:rFonts w:ascii="Arial" w:hAnsi="Arial" w:cs="Arial"/>
          <w:b/>
          <w:color w:val="000000"/>
          <w:sz w:val="20"/>
        </w:rPr>
      </w:pPr>
      <w:r w:rsidRPr="00B23F0A">
        <w:rPr>
          <w:rFonts w:ascii="Arial" w:hAnsi="Arial" w:cs="Arial"/>
          <w:b/>
          <w:color w:val="000000"/>
          <w:sz w:val="20"/>
        </w:rPr>
        <w:t>AGENCIAS EN DERECHO / TASACIÓN</w:t>
      </w:r>
    </w:p>
    <w:p w14:paraId="35B692EF" w14:textId="77777777" w:rsidR="00307C50" w:rsidRDefault="00307C50" w:rsidP="00307C50">
      <w:pPr>
        <w:pBdr>
          <w:top w:val="nil"/>
          <w:left w:val="nil"/>
          <w:bottom w:val="nil"/>
          <w:right w:val="nil"/>
          <w:between w:val="nil"/>
        </w:pBdr>
        <w:tabs>
          <w:tab w:val="left" w:pos="0"/>
        </w:tabs>
        <w:jc w:val="both"/>
        <w:rPr>
          <w:rFonts w:ascii="Arial" w:hAnsi="Arial" w:cs="Arial"/>
          <w:color w:val="000000"/>
          <w:sz w:val="20"/>
        </w:rPr>
      </w:pPr>
      <w:r w:rsidRPr="00B23F0A">
        <w:rPr>
          <w:rFonts w:ascii="Arial" w:hAnsi="Arial" w:cs="Arial"/>
          <w:color w:val="000000"/>
          <w:sz w:val="20"/>
        </w:rPr>
        <w:t>Frente a la tasación de las agencias en derecho, el doctrinante Azula Camacho ha referido:</w:t>
      </w:r>
      <w:r>
        <w:rPr>
          <w:rFonts w:ascii="Arial" w:hAnsi="Arial" w:cs="Arial"/>
          <w:color w:val="000000"/>
          <w:sz w:val="20"/>
        </w:rPr>
        <w:t xml:space="preserve"> </w:t>
      </w:r>
      <w:r w:rsidRPr="00B23F0A">
        <w:rPr>
          <w:rFonts w:ascii="Arial" w:hAnsi="Arial" w:cs="Arial"/>
          <w:color w:val="000000"/>
          <w:sz w:val="20"/>
        </w:rPr>
        <w:t>“Para determinar el monto de las agencias en derecho, el artículo 366 (inc. 4o) del Código General del Proceso recogió lo preceptuado por el inciso 3º del artículo 393 del de Procedimiento Civil, en el sentido de aplicar las tarifas que establezca el Consejo Superior de la Judicatura. Si las tarifas fijan un mínimo y un máximo, el juez debe considerar esos criterios, pero, además, la naturaleza, calidad y duración de la gestión realizada y la cuantía del proceso.”</w:t>
      </w:r>
    </w:p>
    <w:p w14:paraId="382FAE12" w14:textId="77777777" w:rsidR="00307C50" w:rsidRDefault="00307C50" w:rsidP="00307C50">
      <w:pPr>
        <w:pBdr>
          <w:top w:val="nil"/>
          <w:left w:val="nil"/>
          <w:bottom w:val="nil"/>
          <w:right w:val="nil"/>
          <w:between w:val="nil"/>
        </w:pBdr>
        <w:tabs>
          <w:tab w:val="left" w:pos="0"/>
        </w:tabs>
        <w:jc w:val="both"/>
        <w:rPr>
          <w:rFonts w:ascii="Arial" w:hAnsi="Arial" w:cs="Arial"/>
          <w:color w:val="000000"/>
          <w:sz w:val="20"/>
        </w:rPr>
      </w:pPr>
    </w:p>
    <w:p w14:paraId="1835BAD0" w14:textId="77777777" w:rsidR="00307C50" w:rsidRPr="00B23F0A" w:rsidRDefault="00307C50" w:rsidP="00307C50">
      <w:pPr>
        <w:pBdr>
          <w:top w:val="nil"/>
          <w:left w:val="nil"/>
          <w:bottom w:val="nil"/>
          <w:right w:val="nil"/>
          <w:between w:val="nil"/>
        </w:pBdr>
        <w:tabs>
          <w:tab w:val="left" w:pos="0"/>
        </w:tabs>
        <w:jc w:val="both"/>
        <w:rPr>
          <w:rFonts w:ascii="Arial" w:hAnsi="Arial" w:cs="Arial"/>
          <w:b/>
          <w:color w:val="000000"/>
          <w:sz w:val="20"/>
        </w:rPr>
      </w:pPr>
      <w:r w:rsidRPr="00B23F0A">
        <w:rPr>
          <w:rFonts w:ascii="Arial" w:hAnsi="Arial" w:cs="Arial"/>
          <w:b/>
          <w:color w:val="000000"/>
          <w:sz w:val="20"/>
        </w:rPr>
        <w:t>AGENCIAS EN DERECHO / TA</w:t>
      </w:r>
      <w:r>
        <w:rPr>
          <w:rFonts w:ascii="Arial" w:hAnsi="Arial" w:cs="Arial"/>
          <w:b/>
          <w:color w:val="000000"/>
          <w:sz w:val="20"/>
        </w:rPr>
        <w:t>RIFAS CONSEJO SUPERIOR DE LA JUDICATURA</w:t>
      </w:r>
    </w:p>
    <w:p w14:paraId="604C81F8" w14:textId="77777777" w:rsidR="00307C50" w:rsidRPr="00B23F0A" w:rsidRDefault="00307C50" w:rsidP="00307C50">
      <w:pPr>
        <w:pBdr>
          <w:top w:val="nil"/>
          <w:left w:val="nil"/>
          <w:bottom w:val="nil"/>
          <w:right w:val="nil"/>
          <w:between w:val="nil"/>
        </w:pBdr>
        <w:tabs>
          <w:tab w:val="left" w:pos="0"/>
        </w:tabs>
        <w:jc w:val="both"/>
        <w:rPr>
          <w:rFonts w:ascii="Arial" w:hAnsi="Arial" w:cs="Arial"/>
          <w:color w:val="000000"/>
          <w:sz w:val="20"/>
        </w:rPr>
      </w:pPr>
      <w:r w:rsidRPr="00B23F0A">
        <w:rPr>
          <w:rFonts w:ascii="Arial" w:hAnsi="Arial" w:cs="Arial"/>
          <w:color w:val="000000"/>
          <w:sz w:val="20"/>
        </w:rPr>
        <w:t>En cuanto a las tarifas a aplicar por concepto de agencias en derecho, el Código General del Proceso en sus artículos 361 y 366 señala que es el juez o magistrado que conoció el proceso en primera o única instancia quien debe fijar dichos emolumentos al momento de liquidar las costas procesales, y que, a pesar de ser discrecional, está limitado por las tarifas máximas y mínimas adoptadas por el Consejo Superior de la Judicatura.</w:t>
      </w:r>
    </w:p>
    <w:p w14:paraId="72230113" w14:textId="77777777" w:rsidR="00307C50" w:rsidRDefault="00307C50" w:rsidP="00307C50">
      <w:pPr>
        <w:pBdr>
          <w:top w:val="nil"/>
          <w:left w:val="nil"/>
          <w:bottom w:val="nil"/>
          <w:right w:val="nil"/>
          <w:between w:val="nil"/>
        </w:pBdr>
        <w:tabs>
          <w:tab w:val="left" w:pos="0"/>
        </w:tabs>
        <w:jc w:val="both"/>
        <w:rPr>
          <w:rFonts w:ascii="Arial" w:hAnsi="Arial" w:cs="Arial"/>
          <w:color w:val="000000"/>
          <w:sz w:val="20"/>
        </w:rPr>
      </w:pPr>
    </w:p>
    <w:p w14:paraId="43ED2B04" w14:textId="50E7FD8D" w:rsidR="00307C50" w:rsidRPr="00B23F0A" w:rsidRDefault="00307C50" w:rsidP="00307C50">
      <w:pPr>
        <w:pBdr>
          <w:top w:val="nil"/>
          <w:left w:val="nil"/>
          <w:bottom w:val="nil"/>
          <w:right w:val="nil"/>
          <w:between w:val="nil"/>
        </w:pBdr>
        <w:tabs>
          <w:tab w:val="left" w:pos="0"/>
        </w:tabs>
        <w:jc w:val="both"/>
        <w:rPr>
          <w:rFonts w:ascii="Arial" w:hAnsi="Arial" w:cs="Arial"/>
          <w:b/>
          <w:color w:val="000000"/>
          <w:sz w:val="20"/>
        </w:rPr>
      </w:pPr>
      <w:r w:rsidRPr="00B23F0A">
        <w:rPr>
          <w:rFonts w:ascii="Arial" w:hAnsi="Arial" w:cs="Arial"/>
          <w:b/>
          <w:color w:val="000000"/>
          <w:sz w:val="20"/>
        </w:rPr>
        <w:t xml:space="preserve">AGENCIAS EN DERECHO / </w:t>
      </w:r>
      <w:r>
        <w:rPr>
          <w:rFonts w:ascii="Arial" w:hAnsi="Arial" w:cs="Arial"/>
          <w:b/>
          <w:color w:val="000000"/>
          <w:sz w:val="20"/>
        </w:rPr>
        <w:t xml:space="preserve">ACUERDO </w:t>
      </w:r>
      <w:r w:rsidR="004A16A7">
        <w:rPr>
          <w:rFonts w:ascii="Arial" w:hAnsi="Arial" w:cs="Arial"/>
          <w:b/>
          <w:color w:val="000000"/>
          <w:sz w:val="20"/>
        </w:rPr>
        <w:t>10554</w:t>
      </w:r>
      <w:r>
        <w:rPr>
          <w:rFonts w:ascii="Arial" w:hAnsi="Arial" w:cs="Arial"/>
          <w:b/>
          <w:color w:val="000000"/>
          <w:sz w:val="20"/>
        </w:rPr>
        <w:t>-20</w:t>
      </w:r>
      <w:r w:rsidR="004A16A7">
        <w:rPr>
          <w:rFonts w:ascii="Arial" w:hAnsi="Arial" w:cs="Arial"/>
          <w:b/>
          <w:color w:val="000000"/>
          <w:sz w:val="20"/>
        </w:rPr>
        <w:t>16</w:t>
      </w:r>
      <w:r>
        <w:rPr>
          <w:rFonts w:ascii="Arial" w:hAnsi="Arial" w:cs="Arial"/>
          <w:b/>
          <w:color w:val="000000"/>
          <w:sz w:val="20"/>
        </w:rPr>
        <w:t xml:space="preserve"> / </w:t>
      </w:r>
      <w:r w:rsidR="004A16A7">
        <w:rPr>
          <w:rFonts w:ascii="Arial" w:hAnsi="Arial" w:cs="Arial"/>
          <w:b/>
          <w:color w:val="000000"/>
          <w:sz w:val="20"/>
        </w:rPr>
        <w:t>FACTORES A TENER EN CUENTA</w:t>
      </w:r>
    </w:p>
    <w:p w14:paraId="70789F1F" w14:textId="6C36D51A" w:rsidR="00307C50" w:rsidRDefault="004A16A7" w:rsidP="004A16A7">
      <w:pPr>
        <w:pBdr>
          <w:top w:val="nil"/>
          <w:left w:val="nil"/>
          <w:bottom w:val="nil"/>
          <w:right w:val="nil"/>
          <w:between w:val="nil"/>
        </w:pBdr>
        <w:tabs>
          <w:tab w:val="left" w:pos="0"/>
        </w:tabs>
        <w:jc w:val="both"/>
        <w:rPr>
          <w:rFonts w:ascii="Arial" w:hAnsi="Arial" w:cs="Arial"/>
          <w:color w:val="000000"/>
          <w:sz w:val="20"/>
        </w:rPr>
      </w:pPr>
      <w:r>
        <w:rPr>
          <w:rFonts w:ascii="Arial" w:hAnsi="Arial" w:cs="Arial"/>
          <w:color w:val="000000"/>
          <w:sz w:val="20"/>
        </w:rPr>
        <w:t xml:space="preserve">… </w:t>
      </w:r>
      <w:r w:rsidRPr="004A16A7">
        <w:rPr>
          <w:rFonts w:ascii="Arial" w:hAnsi="Arial" w:cs="Arial"/>
          <w:color w:val="000000"/>
          <w:sz w:val="20"/>
        </w:rPr>
        <w:t>según el Acuerdo PSAA16-10554 de 2016, para fijar las agencias en derecho se debe tener en cuenta:</w:t>
      </w:r>
      <w:r>
        <w:rPr>
          <w:rFonts w:ascii="Arial" w:hAnsi="Arial" w:cs="Arial"/>
          <w:color w:val="000000"/>
          <w:sz w:val="20"/>
        </w:rPr>
        <w:t xml:space="preserve"> </w:t>
      </w:r>
      <w:r w:rsidRPr="004A16A7">
        <w:rPr>
          <w:rFonts w:ascii="Arial" w:hAnsi="Arial" w:cs="Arial"/>
          <w:color w:val="000000"/>
          <w:sz w:val="20"/>
        </w:rPr>
        <w:t>a)</w:t>
      </w:r>
      <w:r>
        <w:rPr>
          <w:rFonts w:ascii="Arial" w:hAnsi="Arial" w:cs="Arial"/>
          <w:color w:val="000000"/>
          <w:sz w:val="20"/>
        </w:rPr>
        <w:t xml:space="preserve"> </w:t>
      </w:r>
      <w:r w:rsidRPr="004A16A7">
        <w:rPr>
          <w:rFonts w:ascii="Arial" w:hAnsi="Arial" w:cs="Arial"/>
          <w:color w:val="000000"/>
          <w:sz w:val="20"/>
        </w:rPr>
        <w:t>El tipo de proceso, precisando en su artículo 5.1 que, en los procesos declarativos de primera instancia, de menor cuantía, las agencias en derechos se establecerán en primera instancia entre el 4% y el 10% de lo pedido, mientras que cuando sea de mayor cuantía el porcentaje oscilará entre el 3% y el 7.5% de lo pedido.</w:t>
      </w:r>
      <w:r>
        <w:rPr>
          <w:rFonts w:ascii="Arial" w:hAnsi="Arial" w:cs="Arial"/>
          <w:color w:val="000000"/>
          <w:sz w:val="20"/>
        </w:rPr>
        <w:t xml:space="preserve"> </w:t>
      </w:r>
      <w:r w:rsidRPr="004A16A7">
        <w:rPr>
          <w:rFonts w:ascii="Arial" w:hAnsi="Arial" w:cs="Arial"/>
          <w:color w:val="000000"/>
          <w:sz w:val="20"/>
        </w:rPr>
        <w:t>b)</w:t>
      </w:r>
      <w:r>
        <w:rPr>
          <w:rFonts w:ascii="Arial" w:hAnsi="Arial" w:cs="Arial"/>
          <w:color w:val="000000"/>
          <w:sz w:val="20"/>
        </w:rPr>
        <w:t xml:space="preserve"> </w:t>
      </w:r>
      <w:r w:rsidRPr="004A16A7">
        <w:rPr>
          <w:rFonts w:ascii="Arial" w:hAnsi="Arial" w:cs="Arial"/>
          <w:color w:val="000000"/>
          <w:sz w:val="20"/>
        </w:rPr>
        <w:t>Clase de pretensión</w:t>
      </w:r>
      <w:r>
        <w:rPr>
          <w:rFonts w:ascii="Arial" w:hAnsi="Arial" w:cs="Arial"/>
          <w:color w:val="000000"/>
          <w:sz w:val="20"/>
        </w:rPr>
        <w:t xml:space="preserve">… </w:t>
      </w:r>
      <w:r w:rsidRPr="004A16A7">
        <w:rPr>
          <w:rFonts w:ascii="Arial" w:hAnsi="Arial" w:cs="Arial"/>
          <w:color w:val="000000"/>
          <w:sz w:val="20"/>
        </w:rPr>
        <w:t>c)</w:t>
      </w:r>
      <w:r w:rsidR="003B6435">
        <w:rPr>
          <w:rFonts w:ascii="Arial" w:hAnsi="Arial" w:cs="Arial"/>
          <w:color w:val="000000"/>
          <w:sz w:val="20"/>
        </w:rPr>
        <w:t xml:space="preserve"> </w:t>
      </w:r>
      <w:r w:rsidRPr="004A16A7">
        <w:rPr>
          <w:rFonts w:ascii="Arial" w:hAnsi="Arial" w:cs="Arial"/>
          <w:color w:val="000000"/>
          <w:sz w:val="20"/>
        </w:rPr>
        <w:t>L</w:t>
      </w:r>
      <w:bookmarkStart w:id="0" w:name="_GoBack"/>
      <w:bookmarkEnd w:id="0"/>
      <w:r w:rsidRPr="004A16A7">
        <w:rPr>
          <w:rFonts w:ascii="Arial" w:hAnsi="Arial" w:cs="Arial"/>
          <w:color w:val="000000"/>
          <w:sz w:val="20"/>
        </w:rPr>
        <w:t>os criterios en particular de la actuación de la parte favorecida con la condena en costas, que permita valorar la labor jurídica desarrollada, estos últimos coinciden con los mencionados en el numeral 4º del artículo 366 del CGP, esto es, la naturaleza, la calidad y la duración de la gestión realizada por el apoderado, la cuantía del proceso y demás circunstancias relacionadas con dicha actividad.</w:t>
      </w:r>
    </w:p>
    <w:p w14:paraId="5E7D6E28" w14:textId="77777777" w:rsidR="00307C50" w:rsidRDefault="00307C50" w:rsidP="00307C50">
      <w:pPr>
        <w:pBdr>
          <w:top w:val="nil"/>
          <w:left w:val="nil"/>
          <w:bottom w:val="nil"/>
          <w:right w:val="nil"/>
          <w:between w:val="nil"/>
        </w:pBdr>
        <w:tabs>
          <w:tab w:val="left" w:pos="0"/>
        </w:tabs>
        <w:jc w:val="both"/>
        <w:rPr>
          <w:rFonts w:ascii="Arial" w:hAnsi="Arial" w:cs="Arial"/>
          <w:color w:val="000000"/>
          <w:sz w:val="20"/>
        </w:rPr>
      </w:pPr>
    </w:p>
    <w:p w14:paraId="0CF7E527" w14:textId="77777777" w:rsidR="00307C50" w:rsidRDefault="00307C50" w:rsidP="00307C50">
      <w:pPr>
        <w:pBdr>
          <w:top w:val="nil"/>
          <w:left w:val="nil"/>
          <w:bottom w:val="nil"/>
          <w:right w:val="nil"/>
          <w:between w:val="nil"/>
        </w:pBdr>
        <w:tabs>
          <w:tab w:val="left" w:pos="0"/>
        </w:tabs>
        <w:jc w:val="both"/>
        <w:rPr>
          <w:rFonts w:ascii="Arial" w:hAnsi="Arial" w:cs="Arial"/>
          <w:color w:val="000000"/>
          <w:sz w:val="20"/>
        </w:rPr>
      </w:pPr>
    </w:p>
    <w:p w14:paraId="53D25D46" w14:textId="77777777" w:rsidR="004E0534" w:rsidRPr="004E0534" w:rsidRDefault="004E0534" w:rsidP="004E0534">
      <w:pPr>
        <w:widowControl w:val="0"/>
        <w:autoSpaceDE w:val="0"/>
        <w:autoSpaceDN w:val="0"/>
        <w:adjustRightInd w:val="0"/>
        <w:jc w:val="both"/>
        <w:rPr>
          <w:rFonts w:ascii="Arial" w:hAnsi="Arial" w:cs="Arial"/>
          <w:sz w:val="20"/>
          <w:szCs w:val="20"/>
        </w:rPr>
      </w:pPr>
    </w:p>
    <w:p w14:paraId="29543CE3" w14:textId="0678CDA0" w:rsidR="004E0534" w:rsidRPr="004E0534" w:rsidRDefault="004E0534" w:rsidP="004E0534">
      <w:pPr>
        <w:widowControl w:val="0"/>
        <w:autoSpaceDE w:val="0"/>
        <w:autoSpaceDN w:val="0"/>
        <w:adjustRightInd w:val="0"/>
        <w:jc w:val="both"/>
        <w:rPr>
          <w:rFonts w:ascii="Arial" w:hAnsi="Arial" w:cs="Arial"/>
          <w:sz w:val="20"/>
          <w:szCs w:val="20"/>
        </w:rPr>
      </w:pPr>
      <w:r w:rsidRPr="004E0534">
        <w:rPr>
          <w:rFonts w:ascii="Arial" w:hAnsi="Arial" w:cs="Arial"/>
          <w:sz w:val="20"/>
          <w:szCs w:val="20"/>
        </w:rPr>
        <w:t>Radicación No.:</w:t>
      </w:r>
      <w:r w:rsidR="00B00A3A">
        <w:rPr>
          <w:rFonts w:ascii="Arial" w:hAnsi="Arial" w:cs="Arial"/>
          <w:sz w:val="20"/>
          <w:szCs w:val="20"/>
        </w:rPr>
        <w:tab/>
      </w:r>
      <w:r w:rsidR="00B00A3A">
        <w:rPr>
          <w:rFonts w:ascii="Arial" w:hAnsi="Arial" w:cs="Arial"/>
          <w:sz w:val="20"/>
          <w:szCs w:val="20"/>
        </w:rPr>
        <w:tab/>
      </w:r>
      <w:r w:rsidRPr="004E0534">
        <w:rPr>
          <w:rFonts w:ascii="Arial" w:hAnsi="Arial" w:cs="Arial"/>
          <w:sz w:val="20"/>
          <w:szCs w:val="20"/>
        </w:rPr>
        <w:t>66001310500420180045702</w:t>
      </w:r>
    </w:p>
    <w:p w14:paraId="1FB08824" w14:textId="7CFCAF37" w:rsidR="004E0534" w:rsidRPr="004E0534" w:rsidRDefault="004E0534" w:rsidP="004E0534">
      <w:pPr>
        <w:widowControl w:val="0"/>
        <w:autoSpaceDE w:val="0"/>
        <w:autoSpaceDN w:val="0"/>
        <w:adjustRightInd w:val="0"/>
        <w:jc w:val="both"/>
        <w:rPr>
          <w:rFonts w:ascii="Arial" w:hAnsi="Arial" w:cs="Arial"/>
          <w:sz w:val="20"/>
          <w:szCs w:val="20"/>
        </w:rPr>
      </w:pPr>
      <w:r w:rsidRPr="004E0534">
        <w:rPr>
          <w:rFonts w:ascii="Arial" w:hAnsi="Arial" w:cs="Arial"/>
          <w:sz w:val="20"/>
          <w:szCs w:val="20"/>
        </w:rPr>
        <w:t>Proceso:</w:t>
      </w:r>
      <w:r w:rsidR="00B00A3A">
        <w:rPr>
          <w:rFonts w:ascii="Arial" w:hAnsi="Arial" w:cs="Arial"/>
          <w:sz w:val="20"/>
          <w:szCs w:val="20"/>
        </w:rPr>
        <w:tab/>
      </w:r>
      <w:r w:rsidR="00B00A3A">
        <w:rPr>
          <w:rFonts w:ascii="Arial" w:hAnsi="Arial" w:cs="Arial"/>
          <w:sz w:val="20"/>
          <w:szCs w:val="20"/>
        </w:rPr>
        <w:tab/>
      </w:r>
      <w:r w:rsidRPr="004E0534">
        <w:rPr>
          <w:rFonts w:ascii="Arial" w:hAnsi="Arial" w:cs="Arial"/>
          <w:sz w:val="20"/>
          <w:szCs w:val="20"/>
        </w:rPr>
        <w:t xml:space="preserve">Ordinario Laboral </w:t>
      </w:r>
    </w:p>
    <w:p w14:paraId="52637EFB" w14:textId="3A4D491C" w:rsidR="004E0534" w:rsidRPr="004E0534" w:rsidRDefault="004E0534" w:rsidP="004E0534">
      <w:pPr>
        <w:widowControl w:val="0"/>
        <w:autoSpaceDE w:val="0"/>
        <w:autoSpaceDN w:val="0"/>
        <w:adjustRightInd w:val="0"/>
        <w:jc w:val="both"/>
        <w:rPr>
          <w:rFonts w:ascii="Arial" w:hAnsi="Arial" w:cs="Arial"/>
          <w:sz w:val="20"/>
          <w:szCs w:val="20"/>
        </w:rPr>
      </w:pPr>
      <w:r w:rsidRPr="004E0534">
        <w:rPr>
          <w:rFonts w:ascii="Arial" w:hAnsi="Arial" w:cs="Arial"/>
          <w:sz w:val="20"/>
          <w:szCs w:val="20"/>
        </w:rPr>
        <w:t>Demandante:</w:t>
      </w:r>
      <w:r w:rsidR="00B00A3A">
        <w:rPr>
          <w:rFonts w:ascii="Arial" w:hAnsi="Arial" w:cs="Arial"/>
          <w:sz w:val="20"/>
          <w:szCs w:val="20"/>
        </w:rPr>
        <w:tab/>
      </w:r>
      <w:r w:rsidR="00B00A3A">
        <w:rPr>
          <w:rFonts w:ascii="Arial" w:hAnsi="Arial" w:cs="Arial"/>
          <w:sz w:val="20"/>
          <w:szCs w:val="20"/>
        </w:rPr>
        <w:tab/>
      </w:r>
      <w:r w:rsidRPr="004E0534">
        <w:rPr>
          <w:rFonts w:ascii="Arial" w:hAnsi="Arial" w:cs="Arial"/>
          <w:sz w:val="20"/>
          <w:szCs w:val="20"/>
        </w:rPr>
        <w:t>Leonardo Ortiz Mesa</w:t>
      </w:r>
    </w:p>
    <w:p w14:paraId="4E0B3BF9" w14:textId="0166A0FE" w:rsidR="004E0534" w:rsidRPr="004E0534" w:rsidRDefault="004E0534" w:rsidP="004E0534">
      <w:pPr>
        <w:widowControl w:val="0"/>
        <w:autoSpaceDE w:val="0"/>
        <w:autoSpaceDN w:val="0"/>
        <w:adjustRightInd w:val="0"/>
        <w:jc w:val="both"/>
        <w:rPr>
          <w:rFonts w:ascii="Arial" w:hAnsi="Arial" w:cs="Arial"/>
          <w:sz w:val="20"/>
          <w:szCs w:val="20"/>
        </w:rPr>
      </w:pPr>
      <w:r w:rsidRPr="004E0534">
        <w:rPr>
          <w:rFonts w:ascii="Arial" w:hAnsi="Arial" w:cs="Arial"/>
          <w:sz w:val="20"/>
          <w:szCs w:val="20"/>
        </w:rPr>
        <w:t>Demandado:</w:t>
      </w:r>
      <w:r w:rsidR="00B00A3A">
        <w:rPr>
          <w:rFonts w:ascii="Arial" w:hAnsi="Arial" w:cs="Arial"/>
          <w:sz w:val="20"/>
          <w:szCs w:val="20"/>
        </w:rPr>
        <w:tab/>
      </w:r>
      <w:r w:rsidR="00B00A3A">
        <w:rPr>
          <w:rFonts w:ascii="Arial" w:hAnsi="Arial" w:cs="Arial"/>
          <w:sz w:val="20"/>
          <w:szCs w:val="20"/>
        </w:rPr>
        <w:tab/>
      </w:r>
      <w:r w:rsidRPr="004E0534">
        <w:rPr>
          <w:rFonts w:ascii="Arial" w:hAnsi="Arial" w:cs="Arial"/>
          <w:sz w:val="20"/>
          <w:szCs w:val="20"/>
        </w:rPr>
        <w:t>Junta Nacional de Calificación de Invalidez y otro</w:t>
      </w:r>
    </w:p>
    <w:p w14:paraId="1CF139A3" w14:textId="459FB3FA" w:rsidR="004E0534" w:rsidRPr="004E0534" w:rsidRDefault="004E0534" w:rsidP="004E0534">
      <w:pPr>
        <w:widowControl w:val="0"/>
        <w:autoSpaceDE w:val="0"/>
        <w:autoSpaceDN w:val="0"/>
        <w:adjustRightInd w:val="0"/>
        <w:jc w:val="both"/>
        <w:rPr>
          <w:rFonts w:ascii="Arial" w:hAnsi="Arial" w:cs="Arial"/>
          <w:sz w:val="20"/>
          <w:szCs w:val="20"/>
        </w:rPr>
      </w:pPr>
      <w:r w:rsidRPr="004E0534">
        <w:rPr>
          <w:rFonts w:ascii="Arial" w:hAnsi="Arial" w:cs="Arial"/>
          <w:sz w:val="20"/>
          <w:szCs w:val="20"/>
        </w:rPr>
        <w:t>Juzgado</w:t>
      </w:r>
      <w:r w:rsidR="00B00A3A">
        <w:rPr>
          <w:rFonts w:ascii="Arial" w:hAnsi="Arial" w:cs="Arial"/>
          <w:sz w:val="20"/>
          <w:szCs w:val="20"/>
        </w:rPr>
        <w:t xml:space="preserve"> de origen</w:t>
      </w:r>
      <w:r w:rsidRPr="004E0534">
        <w:rPr>
          <w:rFonts w:ascii="Arial" w:hAnsi="Arial" w:cs="Arial"/>
          <w:sz w:val="20"/>
          <w:szCs w:val="20"/>
        </w:rPr>
        <w:t>:</w:t>
      </w:r>
      <w:r w:rsidR="00B00A3A">
        <w:rPr>
          <w:rFonts w:ascii="Arial" w:hAnsi="Arial" w:cs="Arial"/>
          <w:sz w:val="20"/>
          <w:szCs w:val="20"/>
        </w:rPr>
        <w:tab/>
      </w:r>
      <w:r w:rsidRPr="004E0534">
        <w:rPr>
          <w:rFonts w:ascii="Arial" w:hAnsi="Arial" w:cs="Arial"/>
          <w:sz w:val="20"/>
          <w:szCs w:val="20"/>
        </w:rPr>
        <w:t>Cuarto Laboral del Circuito de Pereira</w:t>
      </w:r>
    </w:p>
    <w:p w14:paraId="6D3CE07A" w14:textId="77777777" w:rsidR="004E0534" w:rsidRPr="004E0534" w:rsidRDefault="004E0534" w:rsidP="004E0534">
      <w:pPr>
        <w:widowControl w:val="0"/>
        <w:autoSpaceDE w:val="0"/>
        <w:autoSpaceDN w:val="0"/>
        <w:adjustRightInd w:val="0"/>
        <w:jc w:val="both"/>
        <w:rPr>
          <w:rFonts w:ascii="Arial" w:hAnsi="Arial" w:cs="Arial"/>
          <w:sz w:val="20"/>
          <w:szCs w:val="20"/>
        </w:rPr>
      </w:pPr>
    </w:p>
    <w:p w14:paraId="537CA659" w14:textId="77777777" w:rsidR="004E0534" w:rsidRPr="004E0534" w:rsidRDefault="004E0534" w:rsidP="004E0534">
      <w:pPr>
        <w:widowControl w:val="0"/>
        <w:autoSpaceDE w:val="0"/>
        <w:autoSpaceDN w:val="0"/>
        <w:adjustRightInd w:val="0"/>
        <w:jc w:val="both"/>
        <w:rPr>
          <w:rFonts w:ascii="Arial" w:hAnsi="Arial" w:cs="Arial"/>
          <w:sz w:val="20"/>
          <w:szCs w:val="20"/>
        </w:rPr>
      </w:pPr>
    </w:p>
    <w:p w14:paraId="70069240" w14:textId="77777777" w:rsidR="004E0534" w:rsidRPr="004E0534" w:rsidRDefault="004E0534" w:rsidP="004E0534">
      <w:pPr>
        <w:widowControl w:val="0"/>
        <w:autoSpaceDE w:val="0"/>
        <w:autoSpaceDN w:val="0"/>
        <w:adjustRightInd w:val="0"/>
        <w:jc w:val="both"/>
        <w:rPr>
          <w:rFonts w:ascii="Arial" w:hAnsi="Arial" w:cs="Arial"/>
          <w:sz w:val="20"/>
          <w:szCs w:val="20"/>
        </w:rPr>
      </w:pPr>
    </w:p>
    <w:p w14:paraId="47258CFF" w14:textId="77777777" w:rsidR="004E0534" w:rsidRPr="004E0534" w:rsidRDefault="004E0534" w:rsidP="004E0534">
      <w:pPr>
        <w:spacing w:line="264" w:lineRule="auto"/>
        <w:jc w:val="center"/>
        <w:rPr>
          <w:rFonts w:ascii="Tahoma" w:eastAsia="Calibri" w:hAnsi="Tahoma" w:cs="Tahoma"/>
          <w:b/>
          <w:bCs/>
          <w:lang w:eastAsia="en-US"/>
        </w:rPr>
      </w:pPr>
      <w:r w:rsidRPr="004E0534">
        <w:rPr>
          <w:rFonts w:ascii="Tahoma" w:eastAsia="Calibri" w:hAnsi="Tahoma" w:cs="Tahoma"/>
          <w:b/>
          <w:bCs/>
          <w:lang w:eastAsia="en-US"/>
        </w:rPr>
        <w:t>TRIBUNAL SUPERIOR DEL DISTRITO JUDICIAL DE PEREIRA</w:t>
      </w:r>
    </w:p>
    <w:p w14:paraId="069EF446" w14:textId="77777777" w:rsidR="004E0534" w:rsidRPr="004E0534" w:rsidRDefault="004E0534" w:rsidP="004E0534">
      <w:pPr>
        <w:spacing w:line="264" w:lineRule="auto"/>
        <w:jc w:val="center"/>
        <w:rPr>
          <w:rFonts w:ascii="Tahoma" w:eastAsia="Calibri" w:hAnsi="Tahoma" w:cs="Tahoma"/>
          <w:b/>
          <w:bCs/>
          <w:lang w:eastAsia="en-US"/>
        </w:rPr>
      </w:pPr>
      <w:r w:rsidRPr="004E0534">
        <w:rPr>
          <w:rFonts w:ascii="Tahoma" w:eastAsia="Calibri" w:hAnsi="Tahoma" w:cs="Tahoma"/>
          <w:b/>
          <w:bCs/>
          <w:lang w:eastAsia="en-US"/>
        </w:rPr>
        <w:t xml:space="preserve">SALA PRIMERA DE DECISIÓN LABORAL </w:t>
      </w:r>
    </w:p>
    <w:p w14:paraId="1B0DC88B" w14:textId="77777777" w:rsidR="004E0534" w:rsidRPr="004E0534" w:rsidRDefault="004E0534" w:rsidP="004E0534">
      <w:pPr>
        <w:spacing w:line="264" w:lineRule="auto"/>
        <w:jc w:val="center"/>
        <w:rPr>
          <w:rFonts w:ascii="Tahoma" w:eastAsia="Calibri" w:hAnsi="Tahoma" w:cs="Tahoma"/>
          <w:bCs/>
          <w:lang w:eastAsia="en-US"/>
        </w:rPr>
      </w:pPr>
    </w:p>
    <w:p w14:paraId="7AD34F4A" w14:textId="77777777" w:rsidR="004E0534" w:rsidRPr="004E0534" w:rsidRDefault="004E0534" w:rsidP="004E0534">
      <w:pPr>
        <w:spacing w:line="264" w:lineRule="auto"/>
        <w:jc w:val="center"/>
        <w:textAlignment w:val="baseline"/>
        <w:rPr>
          <w:rFonts w:ascii="Tahoma" w:hAnsi="Tahoma" w:cs="Tahoma"/>
          <w:lang w:eastAsia="es-CO"/>
        </w:rPr>
      </w:pPr>
      <w:r w:rsidRPr="004E0534">
        <w:rPr>
          <w:rFonts w:ascii="Tahoma" w:hAnsi="Tahoma" w:cs="Tahoma"/>
          <w:lang w:eastAsia="es-CO"/>
        </w:rPr>
        <w:t>Magistrada Ponente: </w:t>
      </w:r>
      <w:r w:rsidRPr="004E0534">
        <w:rPr>
          <w:rFonts w:ascii="Tahoma" w:hAnsi="Tahoma" w:cs="Tahoma"/>
          <w:b/>
          <w:bCs/>
          <w:lang w:eastAsia="es-CO"/>
        </w:rPr>
        <w:t>Ana Lucía Caicedo Calderón</w:t>
      </w:r>
      <w:r w:rsidRPr="004E0534">
        <w:rPr>
          <w:rFonts w:ascii="Tahoma" w:hAnsi="Tahoma" w:cs="Tahoma"/>
          <w:lang w:eastAsia="es-CO"/>
        </w:rPr>
        <w:t> </w:t>
      </w:r>
    </w:p>
    <w:p w14:paraId="1795BF13" w14:textId="77777777" w:rsidR="004E0534" w:rsidRPr="004E0534" w:rsidRDefault="004E0534" w:rsidP="004E0534">
      <w:pPr>
        <w:spacing w:line="276" w:lineRule="auto"/>
        <w:jc w:val="center"/>
        <w:textAlignment w:val="baseline"/>
        <w:rPr>
          <w:rFonts w:ascii="Tahoma" w:hAnsi="Tahoma" w:cs="Tahoma"/>
          <w:lang w:eastAsia="es-CO"/>
        </w:rPr>
      </w:pPr>
    </w:p>
    <w:p w14:paraId="0C1E4B29" w14:textId="65A38A6A" w:rsidR="009D7126" w:rsidRPr="00B00A3A" w:rsidRDefault="009D7126" w:rsidP="00B00A3A">
      <w:pPr>
        <w:spacing w:line="276" w:lineRule="auto"/>
        <w:ind w:right="49"/>
        <w:contextualSpacing/>
        <w:jc w:val="center"/>
        <w:textAlignment w:val="baseline"/>
        <w:rPr>
          <w:rFonts w:ascii="Tahoma" w:hAnsi="Tahoma" w:cs="Tahoma"/>
          <w:lang w:eastAsia="es-CO"/>
        </w:rPr>
      </w:pPr>
      <w:r w:rsidRPr="00B00A3A">
        <w:rPr>
          <w:rFonts w:ascii="Tahoma" w:hAnsi="Tahoma" w:cs="Tahoma"/>
          <w:lang w:eastAsia="es-CO"/>
        </w:rPr>
        <w:t xml:space="preserve">Pereira, Risaralda, </w:t>
      </w:r>
      <w:r w:rsidR="003030FC" w:rsidRPr="00B00A3A">
        <w:rPr>
          <w:rFonts w:ascii="Tahoma" w:hAnsi="Tahoma" w:cs="Tahoma"/>
          <w:lang w:eastAsia="es-CO"/>
        </w:rPr>
        <w:t>veintidós</w:t>
      </w:r>
      <w:r w:rsidRPr="00B00A3A">
        <w:rPr>
          <w:rFonts w:ascii="Tahoma" w:hAnsi="Tahoma" w:cs="Tahoma"/>
          <w:lang w:eastAsia="es-CO"/>
        </w:rPr>
        <w:t xml:space="preserve"> (</w:t>
      </w:r>
      <w:r w:rsidR="003030FC" w:rsidRPr="00B00A3A">
        <w:rPr>
          <w:rFonts w:ascii="Tahoma" w:hAnsi="Tahoma" w:cs="Tahoma"/>
          <w:lang w:eastAsia="es-CO"/>
        </w:rPr>
        <w:t>22</w:t>
      </w:r>
      <w:r w:rsidRPr="00B00A3A">
        <w:rPr>
          <w:rFonts w:ascii="Tahoma" w:hAnsi="Tahoma" w:cs="Tahoma"/>
          <w:lang w:eastAsia="es-CO"/>
        </w:rPr>
        <w:t xml:space="preserve">) de </w:t>
      </w:r>
      <w:r w:rsidR="003030FC" w:rsidRPr="00B00A3A">
        <w:rPr>
          <w:rFonts w:ascii="Tahoma" w:hAnsi="Tahoma" w:cs="Tahoma"/>
          <w:lang w:eastAsia="es-CO"/>
        </w:rPr>
        <w:t>abril</w:t>
      </w:r>
      <w:r w:rsidRPr="00B00A3A">
        <w:rPr>
          <w:rFonts w:ascii="Tahoma" w:hAnsi="Tahoma" w:cs="Tahoma"/>
          <w:lang w:eastAsia="es-CO"/>
        </w:rPr>
        <w:t xml:space="preserve"> de dos mil veinti</w:t>
      </w:r>
      <w:r w:rsidR="003030FC" w:rsidRPr="00B00A3A">
        <w:rPr>
          <w:rFonts w:ascii="Tahoma" w:hAnsi="Tahoma" w:cs="Tahoma"/>
          <w:lang w:eastAsia="es-CO"/>
        </w:rPr>
        <w:t>cuatro</w:t>
      </w:r>
      <w:r w:rsidRPr="00B00A3A">
        <w:rPr>
          <w:rFonts w:ascii="Tahoma" w:hAnsi="Tahoma" w:cs="Tahoma"/>
          <w:lang w:eastAsia="es-CO"/>
        </w:rPr>
        <w:t xml:space="preserve"> (202</w:t>
      </w:r>
      <w:r w:rsidR="003030FC" w:rsidRPr="00B00A3A">
        <w:rPr>
          <w:rFonts w:ascii="Tahoma" w:hAnsi="Tahoma" w:cs="Tahoma"/>
          <w:lang w:eastAsia="es-CO"/>
        </w:rPr>
        <w:t>4</w:t>
      </w:r>
      <w:r w:rsidRPr="00B00A3A">
        <w:rPr>
          <w:rFonts w:ascii="Tahoma" w:hAnsi="Tahoma" w:cs="Tahoma"/>
          <w:lang w:eastAsia="es-CO"/>
        </w:rPr>
        <w:t>)</w:t>
      </w:r>
    </w:p>
    <w:p w14:paraId="01361B0C" w14:textId="0C027F3F" w:rsidR="009D7126" w:rsidRPr="00B00A3A" w:rsidRDefault="009D7126" w:rsidP="00B00A3A">
      <w:pPr>
        <w:spacing w:line="276" w:lineRule="auto"/>
        <w:ind w:right="49"/>
        <w:contextualSpacing/>
        <w:jc w:val="center"/>
        <w:textAlignment w:val="baseline"/>
        <w:rPr>
          <w:rFonts w:ascii="Tahoma" w:hAnsi="Tahoma" w:cs="Tahoma"/>
          <w:lang w:eastAsia="es-CO"/>
        </w:rPr>
      </w:pPr>
      <w:r w:rsidRPr="00B00A3A">
        <w:rPr>
          <w:rFonts w:ascii="Tahoma" w:hAnsi="Tahoma" w:cs="Tahoma"/>
          <w:lang w:eastAsia="es-CO"/>
        </w:rPr>
        <w:t>Acta No. </w:t>
      </w:r>
      <w:r w:rsidR="58DD7363" w:rsidRPr="00B00A3A">
        <w:rPr>
          <w:rFonts w:ascii="Tahoma" w:hAnsi="Tahoma" w:cs="Tahoma"/>
          <w:lang w:eastAsia="es-CO"/>
        </w:rPr>
        <w:t>57</w:t>
      </w:r>
      <w:r w:rsidRPr="00B00A3A">
        <w:rPr>
          <w:rFonts w:ascii="Tahoma" w:hAnsi="Tahoma" w:cs="Tahoma"/>
          <w:lang w:eastAsia="es-CO"/>
        </w:rPr>
        <w:t xml:space="preserve"> del </w:t>
      </w:r>
      <w:r w:rsidR="003030FC" w:rsidRPr="00B00A3A">
        <w:rPr>
          <w:rFonts w:ascii="Tahoma" w:hAnsi="Tahoma" w:cs="Tahoma"/>
          <w:lang w:eastAsia="es-CO"/>
        </w:rPr>
        <w:t>18</w:t>
      </w:r>
      <w:r w:rsidRPr="00B00A3A">
        <w:rPr>
          <w:rFonts w:ascii="Tahoma" w:hAnsi="Tahoma" w:cs="Tahoma"/>
          <w:lang w:eastAsia="es-CO"/>
        </w:rPr>
        <w:t xml:space="preserve"> de </w:t>
      </w:r>
      <w:r w:rsidR="003030FC" w:rsidRPr="00B00A3A">
        <w:rPr>
          <w:rFonts w:ascii="Tahoma" w:hAnsi="Tahoma" w:cs="Tahoma"/>
          <w:lang w:eastAsia="es-CO"/>
        </w:rPr>
        <w:t>abril</w:t>
      </w:r>
      <w:r w:rsidRPr="00B00A3A">
        <w:rPr>
          <w:rFonts w:ascii="Tahoma" w:hAnsi="Tahoma" w:cs="Tahoma"/>
          <w:lang w:eastAsia="es-CO"/>
        </w:rPr>
        <w:t xml:space="preserve"> de 202</w:t>
      </w:r>
      <w:r w:rsidR="003030FC" w:rsidRPr="00B00A3A">
        <w:rPr>
          <w:rFonts w:ascii="Tahoma" w:hAnsi="Tahoma" w:cs="Tahoma"/>
          <w:lang w:eastAsia="es-CO"/>
        </w:rPr>
        <w:t>4</w:t>
      </w:r>
    </w:p>
    <w:p w14:paraId="415C8E5C" w14:textId="77777777" w:rsidR="00C43F4A" w:rsidRPr="00B00A3A" w:rsidRDefault="00C43F4A" w:rsidP="00B00A3A">
      <w:pPr>
        <w:spacing w:line="276" w:lineRule="auto"/>
        <w:jc w:val="both"/>
        <w:rPr>
          <w:rFonts w:ascii="Tahoma" w:hAnsi="Tahoma" w:cs="Tahoma"/>
          <w:spacing w:val="2"/>
        </w:rPr>
      </w:pPr>
    </w:p>
    <w:p w14:paraId="1758EFAD" w14:textId="59E9D4D6" w:rsidR="00BC347D" w:rsidRPr="00B00A3A" w:rsidRDefault="009D7126" w:rsidP="00B00A3A">
      <w:pPr>
        <w:spacing w:line="276" w:lineRule="auto"/>
        <w:ind w:firstLine="708"/>
        <w:jc w:val="both"/>
        <w:rPr>
          <w:rFonts w:ascii="Tahoma" w:eastAsiaTheme="minorHAnsi" w:hAnsi="Tahoma" w:cs="Tahoma"/>
          <w:b/>
          <w:lang w:val="es-ES_tradnl" w:eastAsia="en-US"/>
        </w:rPr>
      </w:pPr>
      <w:r w:rsidRPr="00B00A3A">
        <w:rPr>
          <w:rFonts w:ascii="Tahoma" w:hAnsi="Tahoma" w:cs="Tahoma"/>
        </w:rPr>
        <w:t>Teniendo en cuenta que el artículo 14 de Ley 2213 de 2022</w:t>
      </w:r>
      <w:r w:rsidR="00C43F4A" w:rsidRPr="00B00A3A">
        <w:rPr>
          <w:rFonts w:ascii="Tahoma" w:eastAsiaTheme="minorHAnsi" w:hAnsi="Tahoma" w:cs="Tahoma"/>
          <w:lang w:val="es-ES_tradnl" w:eastAsia="en-US"/>
        </w:rPr>
        <w:t>, estableció que en la especialidad laboral</w:t>
      </w:r>
      <w:r w:rsidR="00C43F4A" w:rsidRPr="00B00A3A">
        <w:rPr>
          <w:rFonts w:ascii="Tahoma" w:eastAsiaTheme="minorHAnsi" w:hAnsi="Tahoma" w:cs="Tahoma"/>
          <w:lang w:val="es-CO" w:eastAsia="en-US"/>
        </w:rPr>
        <w:t xml:space="preserve"> </w:t>
      </w:r>
      <w:r w:rsidR="00C43F4A" w:rsidRPr="00B00A3A">
        <w:rPr>
          <w:rFonts w:ascii="Tahoma" w:eastAsiaTheme="minorHAnsi" w:hAnsi="Tahoma" w:cs="Tahoma"/>
          <w:lang w:val="es-ES_tradnl" w:eastAsia="en-US"/>
        </w:rPr>
        <w:t>se proferirán por escrito</w:t>
      </w:r>
      <w:r w:rsidR="00C43F4A" w:rsidRPr="00B00A3A">
        <w:rPr>
          <w:rFonts w:ascii="Tahoma" w:eastAsiaTheme="minorHAnsi" w:hAnsi="Tahoma" w:cs="Tahoma"/>
          <w:lang w:val="es-CO" w:eastAsia="en-US"/>
        </w:rPr>
        <w:t xml:space="preserve"> </w:t>
      </w:r>
      <w:r w:rsidR="00C43F4A" w:rsidRPr="00B00A3A">
        <w:rPr>
          <w:rFonts w:ascii="Tahoma" w:eastAsiaTheme="minorHAnsi" w:hAnsi="Tahoma" w:cs="Tahoma"/>
          <w:lang w:val="es-ES_tradnl" w:eastAsia="en-US"/>
        </w:rPr>
        <w:t xml:space="preserve">las providencias de segunda instancia en las que se surta el grado jurisdiccional de consulta o se resuelva el recurso de apelación de autos o sentencias, </w:t>
      </w:r>
      <w:r w:rsidR="00C43F4A" w:rsidRPr="00B00A3A">
        <w:rPr>
          <w:rFonts w:ascii="Tahoma" w:eastAsiaTheme="minorHAnsi" w:hAnsi="Tahoma" w:cs="Tahoma"/>
          <w:lang w:val="es-CO" w:eastAsia="en-US"/>
        </w:rPr>
        <w:t xml:space="preserve">la Sala </w:t>
      </w:r>
      <w:r w:rsidR="0064697B" w:rsidRPr="00B00A3A">
        <w:rPr>
          <w:rFonts w:ascii="Tahoma" w:eastAsiaTheme="minorHAnsi" w:hAnsi="Tahoma" w:cs="Tahoma"/>
          <w:lang w:val="es-CO" w:eastAsia="en-US"/>
        </w:rPr>
        <w:t xml:space="preserve">Primera </w:t>
      </w:r>
      <w:r w:rsidR="00C43F4A" w:rsidRPr="00B00A3A">
        <w:rPr>
          <w:rFonts w:ascii="Tahoma" w:eastAsiaTheme="minorHAnsi" w:hAnsi="Tahoma" w:cs="Tahoma"/>
          <w:lang w:val="es-CO" w:eastAsia="en-US"/>
        </w:rPr>
        <w:t xml:space="preserve">de Decisión Laboral del Tribunal Superior de Pereira, integrada por las </w:t>
      </w:r>
      <w:r w:rsidR="00C43F4A" w:rsidRPr="005B5F82">
        <w:rPr>
          <w:rFonts w:ascii="Tahoma" w:eastAsiaTheme="minorHAnsi" w:hAnsi="Tahoma" w:cs="Tahoma"/>
          <w:lang w:val="es-CO" w:eastAsia="en-US"/>
        </w:rPr>
        <w:t xml:space="preserve">Magistradas </w:t>
      </w:r>
      <w:r w:rsidR="00C43F4A" w:rsidRPr="005B5F82">
        <w:rPr>
          <w:rFonts w:ascii="Tahoma" w:eastAsiaTheme="minorHAnsi" w:hAnsi="Tahoma" w:cs="Tahoma"/>
          <w:bCs/>
          <w:lang w:val="es-CO" w:eastAsia="en-US"/>
        </w:rPr>
        <w:t>ANA LUCÍA CAICEDO CALDERÓN</w:t>
      </w:r>
      <w:r w:rsidR="00CA0E8F" w:rsidRPr="005B5F82">
        <w:rPr>
          <w:rFonts w:ascii="Tahoma" w:eastAsiaTheme="minorHAnsi" w:hAnsi="Tahoma" w:cs="Tahoma"/>
          <w:bCs/>
          <w:lang w:val="es-CO" w:eastAsia="en-US"/>
        </w:rPr>
        <w:t>,</w:t>
      </w:r>
      <w:r w:rsidR="00C43F4A" w:rsidRPr="005B5F82">
        <w:rPr>
          <w:rFonts w:ascii="Tahoma" w:eastAsiaTheme="minorHAnsi" w:hAnsi="Tahoma" w:cs="Tahoma"/>
          <w:lang w:val="es-CO" w:eastAsia="en-US"/>
        </w:rPr>
        <w:t xml:space="preserve"> como Ponente, </w:t>
      </w:r>
      <w:r w:rsidR="00C43F4A" w:rsidRPr="005B5F82">
        <w:rPr>
          <w:rFonts w:ascii="Tahoma" w:eastAsiaTheme="minorHAnsi" w:hAnsi="Tahoma" w:cs="Tahoma"/>
          <w:bCs/>
          <w:lang w:val="es-CO" w:eastAsia="en-US"/>
        </w:rPr>
        <w:t>OLGA LUCÍA HOYOS SEPÚLVEDA</w:t>
      </w:r>
      <w:r w:rsidR="00C43F4A" w:rsidRPr="005B5F82">
        <w:rPr>
          <w:rFonts w:ascii="Tahoma" w:eastAsiaTheme="minorHAnsi" w:hAnsi="Tahoma" w:cs="Tahoma"/>
          <w:lang w:val="es-CO" w:eastAsia="en-US"/>
        </w:rPr>
        <w:t xml:space="preserve"> y el Magistrado </w:t>
      </w:r>
      <w:bookmarkStart w:id="1" w:name="_Hlk61987554"/>
      <w:r w:rsidR="00C43F4A" w:rsidRPr="005B5F82">
        <w:rPr>
          <w:rFonts w:ascii="Tahoma" w:eastAsiaTheme="minorHAnsi" w:hAnsi="Tahoma" w:cs="Tahoma"/>
          <w:bCs/>
          <w:lang w:val="es-CO" w:eastAsia="en-US"/>
        </w:rPr>
        <w:t>GERMÁN DARIO GOEZ VINASCO</w:t>
      </w:r>
      <w:bookmarkEnd w:id="1"/>
      <w:r w:rsidR="00C43F4A" w:rsidRPr="005B5F82">
        <w:rPr>
          <w:rFonts w:ascii="Tahoma" w:eastAsiaTheme="minorHAnsi" w:hAnsi="Tahoma" w:cs="Tahoma"/>
          <w:lang w:val="es-CO" w:eastAsia="en-US"/>
        </w:rPr>
        <w:t>, procede a proferir</w:t>
      </w:r>
      <w:r w:rsidR="00C43F4A" w:rsidRPr="00B00A3A">
        <w:rPr>
          <w:rFonts w:ascii="Tahoma" w:eastAsiaTheme="minorHAnsi" w:hAnsi="Tahoma" w:cs="Tahoma"/>
          <w:lang w:val="es-CO" w:eastAsia="en-US"/>
        </w:rPr>
        <w:t xml:space="preserve"> el siguiente auto escrito dentro del proceso </w:t>
      </w:r>
      <w:r w:rsidR="0064697B" w:rsidRPr="005B5F82">
        <w:rPr>
          <w:rFonts w:ascii="Tahoma" w:eastAsiaTheme="minorHAnsi" w:hAnsi="Tahoma" w:cs="Tahoma"/>
          <w:b/>
          <w:lang w:val="es-CO" w:eastAsia="en-US"/>
        </w:rPr>
        <w:t xml:space="preserve">ordinario </w:t>
      </w:r>
      <w:r w:rsidR="00C43F4A" w:rsidRPr="005B5F82">
        <w:rPr>
          <w:rFonts w:ascii="Tahoma" w:eastAsiaTheme="minorHAnsi" w:hAnsi="Tahoma" w:cs="Tahoma"/>
          <w:b/>
          <w:lang w:val="es-CO" w:eastAsia="en-US"/>
        </w:rPr>
        <w:t>laboral</w:t>
      </w:r>
      <w:r w:rsidR="00C43F4A" w:rsidRPr="00B00A3A">
        <w:rPr>
          <w:rFonts w:ascii="Tahoma" w:eastAsiaTheme="minorHAnsi" w:hAnsi="Tahoma" w:cs="Tahoma"/>
          <w:lang w:val="es-CO" w:eastAsia="en-US"/>
        </w:rPr>
        <w:t xml:space="preserve"> instaurado por</w:t>
      </w:r>
      <w:r w:rsidR="00C43F4A" w:rsidRPr="00B00A3A">
        <w:rPr>
          <w:rFonts w:ascii="Tahoma" w:eastAsiaTheme="minorHAnsi" w:hAnsi="Tahoma" w:cs="Tahoma"/>
          <w:lang w:val="es-ES_tradnl" w:eastAsia="en-US"/>
        </w:rPr>
        <w:t xml:space="preserve"> </w:t>
      </w:r>
      <w:r w:rsidR="005B5F82" w:rsidRPr="00B00A3A">
        <w:rPr>
          <w:rFonts w:ascii="Tahoma" w:eastAsiaTheme="minorHAnsi" w:hAnsi="Tahoma" w:cs="Tahoma"/>
          <w:b/>
          <w:lang w:val="es-419" w:eastAsia="en-US"/>
        </w:rPr>
        <w:t xml:space="preserve">Leonardo Ortiz Mesa </w:t>
      </w:r>
      <w:r w:rsidR="00C43F4A" w:rsidRPr="00B00A3A">
        <w:rPr>
          <w:rFonts w:ascii="Tahoma" w:eastAsiaTheme="minorHAnsi" w:hAnsi="Tahoma" w:cs="Tahoma"/>
          <w:lang w:val="es-ES_tradnl" w:eastAsia="en-US"/>
        </w:rPr>
        <w:t xml:space="preserve">en contra de </w:t>
      </w:r>
      <w:r w:rsidR="00FA0B60" w:rsidRPr="00B00A3A">
        <w:rPr>
          <w:rFonts w:ascii="Tahoma" w:eastAsiaTheme="minorHAnsi" w:hAnsi="Tahoma" w:cs="Tahoma"/>
          <w:lang w:val="es-ES_tradnl" w:eastAsia="en-US"/>
        </w:rPr>
        <w:t>la</w:t>
      </w:r>
      <w:r w:rsidR="00FA0B60" w:rsidRPr="00B00A3A">
        <w:rPr>
          <w:rFonts w:ascii="Tahoma" w:eastAsiaTheme="minorHAnsi" w:hAnsi="Tahoma" w:cs="Tahoma"/>
          <w:b/>
          <w:lang w:val="es-ES_tradnl" w:eastAsia="en-US"/>
        </w:rPr>
        <w:t xml:space="preserve"> </w:t>
      </w:r>
      <w:r w:rsidR="005B5F82" w:rsidRPr="00B00A3A">
        <w:rPr>
          <w:rFonts w:ascii="Tahoma" w:eastAsiaTheme="minorHAnsi" w:hAnsi="Tahoma" w:cs="Tahoma"/>
          <w:b/>
          <w:lang w:val="es-ES_tradnl" w:eastAsia="en-US"/>
        </w:rPr>
        <w:t xml:space="preserve">Junta Nacional de Calificación de Invalidez </w:t>
      </w:r>
      <w:r w:rsidR="00FA0B60" w:rsidRPr="00B00A3A">
        <w:rPr>
          <w:rFonts w:ascii="Tahoma" w:eastAsiaTheme="minorHAnsi" w:hAnsi="Tahoma" w:cs="Tahoma"/>
          <w:lang w:val="es-ES_tradnl" w:eastAsia="en-US"/>
        </w:rPr>
        <w:t>y la</w:t>
      </w:r>
      <w:r w:rsidR="00FA0B60" w:rsidRPr="00B00A3A">
        <w:rPr>
          <w:rFonts w:ascii="Tahoma" w:eastAsiaTheme="minorHAnsi" w:hAnsi="Tahoma" w:cs="Tahoma"/>
          <w:b/>
          <w:lang w:val="es-ES_tradnl" w:eastAsia="en-US"/>
        </w:rPr>
        <w:t xml:space="preserve"> </w:t>
      </w:r>
      <w:r w:rsidR="005B5F82" w:rsidRPr="00B00A3A">
        <w:rPr>
          <w:rFonts w:ascii="Tahoma" w:eastAsiaTheme="minorHAnsi" w:hAnsi="Tahoma" w:cs="Tahoma"/>
          <w:b/>
          <w:lang w:val="es-ES_tradnl" w:eastAsia="en-US"/>
        </w:rPr>
        <w:t>Equidad Seguros de Vida Organismo Cooperativo.</w:t>
      </w:r>
    </w:p>
    <w:p w14:paraId="14D9F349" w14:textId="77777777" w:rsidR="006340F1" w:rsidRPr="00B00A3A" w:rsidRDefault="006340F1" w:rsidP="00B00A3A">
      <w:pPr>
        <w:spacing w:line="276" w:lineRule="auto"/>
        <w:ind w:firstLine="708"/>
        <w:jc w:val="both"/>
        <w:rPr>
          <w:rFonts w:ascii="Tahoma" w:eastAsiaTheme="minorHAnsi" w:hAnsi="Tahoma" w:cs="Tahoma"/>
          <w:b/>
          <w:bCs/>
          <w:lang w:val="es-ES_tradnl" w:eastAsia="en-US"/>
        </w:rPr>
      </w:pPr>
    </w:p>
    <w:p w14:paraId="7E77E807" w14:textId="77777777" w:rsidR="00C43F4A" w:rsidRPr="00B00A3A" w:rsidRDefault="00C43F4A" w:rsidP="00B00A3A">
      <w:pPr>
        <w:spacing w:line="276" w:lineRule="auto"/>
        <w:jc w:val="center"/>
        <w:rPr>
          <w:rFonts w:ascii="Tahoma" w:eastAsiaTheme="minorHAnsi" w:hAnsi="Tahoma" w:cs="Tahoma"/>
          <w:b/>
          <w:bCs/>
          <w:lang w:val="es-CO" w:eastAsia="en-US"/>
        </w:rPr>
      </w:pPr>
      <w:r w:rsidRPr="00B00A3A">
        <w:rPr>
          <w:rFonts w:ascii="Tahoma" w:eastAsiaTheme="minorHAnsi" w:hAnsi="Tahoma" w:cs="Tahoma"/>
          <w:b/>
          <w:bCs/>
          <w:lang w:val="es-CO" w:eastAsia="en-US"/>
        </w:rPr>
        <w:t>PUNTO A TRATAR</w:t>
      </w:r>
    </w:p>
    <w:p w14:paraId="364CE43D" w14:textId="77777777" w:rsidR="00C01C23" w:rsidRPr="00B00A3A" w:rsidRDefault="00C01C23" w:rsidP="00B00A3A">
      <w:pPr>
        <w:spacing w:line="276" w:lineRule="auto"/>
        <w:ind w:firstLine="708"/>
        <w:jc w:val="both"/>
        <w:rPr>
          <w:rFonts w:ascii="Tahoma" w:eastAsiaTheme="minorHAnsi" w:hAnsi="Tahoma" w:cs="Tahoma"/>
          <w:lang w:val="es-CO" w:eastAsia="en-US"/>
        </w:rPr>
      </w:pPr>
    </w:p>
    <w:p w14:paraId="7019EDE3" w14:textId="025A4535" w:rsidR="00C43F4A" w:rsidRPr="00B00A3A" w:rsidRDefault="0A569AFA" w:rsidP="00B00A3A">
      <w:pPr>
        <w:spacing w:line="276" w:lineRule="auto"/>
        <w:ind w:firstLine="708"/>
        <w:jc w:val="both"/>
        <w:rPr>
          <w:rFonts w:ascii="Tahoma" w:eastAsiaTheme="minorEastAsia" w:hAnsi="Tahoma" w:cs="Tahoma"/>
          <w:lang w:val="es-CO" w:eastAsia="en-US"/>
        </w:rPr>
      </w:pPr>
      <w:r w:rsidRPr="00B00A3A">
        <w:rPr>
          <w:rFonts w:ascii="Tahoma" w:eastAsiaTheme="minorEastAsia" w:hAnsi="Tahoma" w:cs="Tahoma"/>
          <w:lang w:val="es-CO" w:eastAsia="en-US"/>
        </w:rPr>
        <w:lastRenderedPageBreak/>
        <w:t>Por esta providencia la Sala resuelve el recurso de apelación promovido por el apoderado judicial de la parte demandante contra el auto del 26 de octubre de 2023, por el que el despacho de conocimiento aprobó la liquidación de las costas procesales efectuada por la secretaría del mismo.</w:t>
      </w:r>
      <w:r w:rsidR="00C43F4A" w:rsidRPr="00B00A3A">
        <w:rPr>
          <w:rFonts w:ascii="Tahoma" w:eastAsiaTheme="minorEastAsia" w:hAnsi="Tahoma" w:cs="Tahoma"/>
          <w:lang w:val="es-CO" w:eastAsia="en-US"/>
        </w:rPr>
        <w:t xml:space="preserve"> Para ello se tiene en cuenta lo siguiente: </w:t>
      </w:r>
    </w:p>
    <w:p w14:paraId="4FB9DB46" w14:textId="77777777" w:rsidR="00B45943" w:rsidRPr="00B00A3A" w:rsidRDefault="00B45943" w:rsidP="00B00A3A">
      <w:pPr>
        <w:spacing w:line="276" w:lineRule="auto"/>
        <w:ind w:firstLine="708"/>
        <w:rPr>
          <w:rFonts w:ascii="Tahoma" w:hAnsi="Tahoma" w:cs="Tahoma"/>
          <w:b/>
          <w:bCs/>
        </w:rPr>
      </w:pPr>
    </w:p>
    <w:p w14:paraId="720A10B9" w14:textId="281DFDF3" w:rsidR="0064697B" w:rsidRPr="00B00A3A" w:rsidRDefault="0064697B" w:rsidP="00B00A3A">
      <w:pPr>
        <w:pStyle w:val="Prrafodelista"/>
        <w:numPr>
          <w:ilvl w:val="0"/>
          <w:numId w:val="7"/>
        </w:numPr>
        <w:tabs>
          <w:tab w:val="left" w:pos="284"/>
        </w:tabs>
        <w:spacing w:line="276" w:lineRule="auto"/>
        <w:jc w:val="center"/>
        <w:rPr>
          <w:rFonts w:ascii="Tahoma" w:hAnsi="Tahoma" w:cs="Tahoma"/>
          <w:b/>
          <w:bCs/>
        </w:rPr>
      </w:pPr>
      <w:r w:rsidRPr="00B00A3A">
        <w:rPr>
          <w:rFonts w:ascii="Tahoma" w:hAnsi="Tahoma" w:cs="Tahoma"/>
          <w:b/>
          <w:bCs/>
        </w:rPr>
        <w:t>Antecedentes Procesales</w:t>
      </w:r>
    </w:p>
    <w:p w14:paraId="21A40DE0" w14:textId="77777777" w:rsidR="00B45943" w:rsidRPr="00B00A3A" w:rsidRDefault="00B45943" w:rsidP="00B00A3A">
      <w:pPr>
        <w:pStyle w:val="Prrafodelista"/>
        <w:tabs>
          <w:tab w:val="left" w:pos="284"/>
        </w:tabs>
        <w:spacing w:line="276" w:lineRule="auto"/>
        <w:rPr>
          <w:rFonts w:ascii="Tahoma" w:hAnsi="Tahoma" w:cs="Tahoma"/>
          <w:b/>
          <w:bCs/>
        </w:rPr>
      </w:pPr>
    </w:p>
    <w:p w14:paraId="7DBFDB73" w14:textId="5664B8A9" w:rsidR="001A25C0" w:rsidRPr="00B00A3A" w:rsidRDefault="00B45943" w:rsidP="00B00A3A">
      <w:pPr>
        <w:tabs>
          <w:tab w:val="left" w:pos="284"/>
        </w:tabs>
        <w:spacing w:line="276" w:lineRule="auto"/>
        <w:jc w:val="both"/>
        <w:rPr>
          <w:rFonts w:ascii="Tahoma" w:hAnsi="Tahoma" w:cs="Tahoma"/>
        </w:rPr>
      </w:pPr>
      <w:r w:rsidRPr="00B00A3A">
        <w:rPr>
          <w:rFonts w:ascii="Tahoma" w:hAnsi="Tahoma" w:cs="Tahoma"/>
          <w:b/>
          <w:bCs/>
        </w:rPr>
        <w:tab/>
      </w:r>
      <w:r w:rsidRPr="00B00A3A">
        <w:rPr>
          <w:rFonts w:ascii="Tahoma" w:hAnsi="Tahoma" w:cs="Tahoma"/>
          <w:b/>
          <w:bCs/>
        </w:rPr>
        <w:tab/>
      </w:r>
      <w:bookmarkStart w:id="2" w:name="_Hlk96073038"/>
      <w:r w:rsidR="001A25C0" w:rsidRPr="00B00A3A">
        <w:rPr>
          <w:rFonts w:ascii="Tahoma" w:hAnsi="Tahoma" w:cs="Tahoma"/>
        </w:rPr>
        <w:t xml:space="preserve">Para mejor proveer conviene indicar que mediante sentencia del </w:t>
      </w:r>
      <w:r w:rsidR="00237C8F" w:rsidRPr="00B00A3A">
        <w:rPr>
          <w:rFonts w:ascii="Tahoma" w:hAnsi="Tahoma" w:cs="Tahoma"/>
        </w:rPr>
        <w:t>01 de junio de 2023</w:t>
      </w:r>
      <w:r w:rsidR="001A25C0" w:rsidRPr="00B00A3A">
        <w:rPr>
          <w:rFonts w:ascii="Tahoma" w:hAnsi="Tahoma" w:cs="Tahoma"/>
        </w:rPr>
        <w:t xml:space="preserve"> esta Corporación </w:t>
      </w:r>
      <w:r w:rsidR="006340F1" w:rsidRPr="00B00A3A">
        <w:rPr>
          <w:rFonts w:ascii="Tahoma" w:hAnsi="Tahoma" w:cs="Tahoma"/>
        </w:rPr>
        <w:t xml:space="preserve">confirmó la providencia de primera instancia, quedando así las costas procesales a cargo del demandante en un 100% en ambas instancias, al </w:t>
      </w:r>
      <w:r w:rsidR="00237C8F" w:rsidRPr="00B00A3A">
        <w:rPr>
          <w:rFonts w:ascii="Tahoma" w:hAnsi="Tahoma" w:cs="Tahoma"/>
        </w:rPr>
        <w:t>negarse la totalidad de las</w:t>
      </w:r>
      <w:r w:rsidR="006340F1" w:rsidRPr="00B00A3A">
        <w:rPr>
          <w:rFonts w:ascii="Tahoma" w:hAnsi="Tahoma" w:cs="Tahoma"/>
        </w:rPr>
        <w:t xml:space="preserve"> pretensiones</w:t>
      </w:r>
      <w:r w:rsidR="001A25C0" w:rsidRPr="00B00A3A">
        <w:rPr>
          <w:rFonts w:ascii="Tahoma" w:hAnsi="Tahoma" w:cs="Tahoma"/>
        </w:rPr>
        <w:t xml:space="preserve">. </w:t>
      </w:r>
    </w:p>
    <w:p w14:paraId="4D297FDE" w14:textId="2FB9AAF2" w:rsidR="00B86CD0" w:rsidRPr="00B00A3A" w:rsidRDefault="00CA0E8F" w:rsidP="00B00A3A">
      <w:pPr>
        <w:tabs>
          <w:tab w:val="left" w:pos="284"/>
        </w:tabs>
        <w:spacing w:line="276" w:lineRule="auto"/>
        <w:jc w:val="both"/>
        <w:rPr>
          <w:rFonts w:ascii="Tahoma" w:hAnsi="Tahoma" w:cs="Tahoma"/>
        </w:rPr>
      </w:pPr>
      <w:r w:rsidRPr="00B00A3A">
        <w:rPr>
          <w:rFonts w:ascii="Tahoma" w:hAnsi="Tahoma" w:cs="Tahoma"/>
        </w:rPr>
        <w:tab/>
      </w:r>
      <w:r w:rsidR="001A25C0" w:rsidRPr="00B00A3A">
        <w:rPr>
          <w:rFonts w:ascii="Tahoma" w:hAnsi="Tahoma" w:cs="Tahoma"/>
        </w:rPr>
        <w:tab/>
      </w:r>
      <w:bookmarkEnd w:id="2"/>
    </w:p>
    <w:p w14:paraId="0C002898" w14:textId="3458BBB2" w:rsidR="0064697B" w:rsidRPr="00B00A3A" w:rsidRDefault="0064697B" w:rsidP="00B00A3A">
      <w:pPr>
        <w:pStyle w:val="Prrafodelista"/>
        <w:numPr>
          <w:ilvl w:val="0"/>
          <w:numId w:val="7"/>
        </w:numPr>
        <w:tabs>
          <w:tab w:val="left" w:pos="284"/>
        </w:tabs>
        <w:spacing w:line="276" w:lineRule="auto"/>
        <w:jc w:val="center"/>
        <w:rPr>
          <w:rFonts w:ascii="Tahoma" w:hAnsi="Tahoma" w:cs="Tahoma"/>
          <w:b/>
          <w:bCs/>
        </w:rPr>
      </w:pPr>
      <w:r w:rsidRPr="00B00A3A">
        <w:rPr>
          <w:rFonts w:ascii="Tahoma" w:hAnsi="Tahoma" w:cs="Tahoma"/>
          <w:b/>
          <w:bCs/>
        </w:rPr>
        <w:t>Auto objeto de apelación</w:t>
      </w:r>
    </w:p>
    <w:p w14:paraId="7D22101A" w14:textId="77777777" w:rsidR="0064697B" w:rsidRPr="00B00A3A" w:rsidRDefault="0064697B" w:rsidP="00B00A3A">
      <w:pPr>
        <w:spacing w:line="276" w:lineRule="auto"/>
        <w:rPr>
          <w:rFonts w:ascii="Tahoma" w:hAnsi="Tahoma" w:cs="Tahoma"/>
        </w:rPr>
      </w:pPr>
    </w:p>
    <w:p w14:paraId="1ED0C130" w14:textId="386D7C9A" w:rsidR="0064697B" w:rsidRPr="00B00A3A" w:rsidRDefault="0064697B" w:rsidP="00B00A3A">
      <w:pPr>
        <w:spacing w:line="276" w:lineRule="auto"/>
        <w:ind w:firstLine="708"/>
        <w:jc w:val="both"/>
        <w:rPr>
          <w:rFonts w:ascii="Tahoma" w:hAnsi="Tahoma" w:cs="Tahoma"/>
        </w:rPr>
      </w:pPr>
      <w:r w:rsidRPr="00B00A3A">
        <w:rPr>
          <w:rFonts w:ascii="Tahoma" w:hAnsi="Tahoma" w:cs="Tahoma"/>
        </w:rPr>
        <w:t xml:space="preserve">Una vez allegado el expediente al juzgado de origen, mediante auto </w:t>
      </w:r>
      <w:r w:rsidR="003959B0" w:rsidRPr="00B00A3A">
        <w:rPr>
          <w:rFonts w:ascii="Tahoma" w:hAnsi="Tahoma" w:cs="Tahoma"/>
        </w:rPr>
        <w:t>del 26 de octubre de 2023</w:t>
      </w:r>
      <w:r w:rsidRPr="00B00A3A">
        <w:rPr>
          <w:rFonts w:ascii="Tahoma" w:hAnsi="Tahoma" w:cs="Tahoma"/>
        </w:rPr>
        <w:t xml:space="preserve"> se aprobó la liquidación de las costas procesales que realizara la secretaría</w:t>
      </w:r>
      <w:r w:rsidR="005A508F" w:rsidRPr="00B00A3A">
        <w:rPr>
          <w:rFonts w:ascii="Tahoma" w:hAnsi="Tahoma" w:cs="Tahoma"/>
        </w:rPr>
        <w:t xml:space="preserve"> en la suma de la suma de </w:t>
      </w:r>
      <w:r w:rsidR="003959B0" w:rsidRPr="00B00A3A">
        <w:rPr>
          <w:rFonts w:ascii="Tahoma" w:hAnsi="Tahoma" w:cs="Tahoma"/>
        </w:rPr>
        <w:t xml:space="preserve">seis millones ochocientos noventa y nueve mil sesenta y dos pesos ($6.899.062), </w:t>
      </w:r>
      <w:r w:rsidRPr="00B00A3A">
        <w:rPr>
          <w:rFonts w:ascii="Tahoma" w:hAnsi="Tahoma" w:cs="Tahoma"/>
        </w:rPr>
        <w:t>en el siguiente sentido:</w:t>
      </w:r>
    </w:p>
    <w:p w14:paraId="4C2DAFC6" w14:textId="77777777" w:rsidR="00B86CD0" w:rsidRPr="00B00A3A" w:rsidRDefault="00B86CD0" w:rsidP="00B00A3A">
      <w:pPr>
        <w:spacing w:line="276" w:lineRule="auto"/>
        <w:ind w:firstLine="708"/>
        <w:jc w:val="both"/>
        <w:rPr>
          <w:rFonts w:ascii="Tahoma" w:hAnsi="Tahoma" w:cs="Tahoma"/>
        </w:rPr>
      </w:pPr>
    </w:p>
    <w:p w14:paraId="7E7232CE" w14:textId="5E4888CA" w:rsidR="00F01B9F" w:rsidRPr="00B00A3A" w:rsidRDefault="003959B0" w:rsidP="00B00A3A">
      <w:pPr>
        <w:spacing w:line="276" w:lineRule="auto"/>
        <w:ind w:firstLine="142"/>
        <w:jc w:val="center"/>
        <w:rPr>
          <w:rFonts w:ascii="Tahoma" w:hAnsi="Tahoma" w:cs="Tahoma"/>
        </w:rPr>
      </w:pPr>
      <w:r w:rsidRPr="00B00A3A">
        <w:rPr>
          <w:rFonts w:ascii="Tahoma" w:hAnsi="Tahoma" w:cs="Tahoma"/>
          <w:noProof/>
          <w:lang w:val="en-US" w:eastAsia="en-US"/>
        </w:rPr>
        <w:drawing>
          <wp:inline distT="0" distB="0" distL="0" distR="0" wp14:anchorId="1FB4A186" wp14:editId="2DCAB71F">
            <wp:extent cx="5676900" cy="2838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8861" t="29767" r="30000" b="33661"/>
                    <a:stretch/>
                  </pic:blipFill>
                  <pic:spPr bwMode="auto">
                    <a:xfrm>
                      <a:off x="0" y="0"/>
                      <a:ext cx="5676900" cy="2838450"/>
                    </a:xfrm>
                    <a:prstGeom prst="rect">
                      <a:avLst/>
                    </a:prstGeom>
                    <a:ln>
                      <a:noFill/>
                    </a:ln>
                    <a:extLst>
                      <a:ext uri="{53640926-AAD7-44D8-BBD7-CCE9431645EC}">
                        <a14:shadowObscured xmlns:a14="http://schemas.microsoft.com/office/drawing/2010/main"/>
                      </a:ext>
                    </a:extLst>
                  </pic:spPr>
                </pic:pic>
              </a:graphicData>
            </a:graphic>
          </wp:inline>
        </w:drawing>
      </w:r>
    </w:p>
    <w:p w14:paraId="2AFEC160" w14:textId="0FBD0DD5" w:rsidR="000B1D00" w:rsidRPr="00B00A3A" w:rsidRDefault="000B1D00" w:rsidP="00B00A3A">
      <w:pPr>
        <w:pStyle w:val="Sinespaciado"/>
        <w:spacing w:line="276" w:lineRule="auto"/>
        <w:rPr>
          <w:rFonts w:ascii="Tahoma" w:hAnsi="Tahoma" w:cs="Tahoma"/>
        </w:rPr>
      </w:pPr>
    </w:p>
    <w:p w14:paraId="1D94E519" w14:textId="2AEEECCA" w:rsidR="0064697B" w:rsidRPr="00B00A3A" w:rsidRDefault="0064697B" w:rsidP="00B00A3A">
      <w:pPr>
        <w:pStyle w:val="Prrafodelista"/>
        <w:numPr>
          <w:ilvl w:val="0"/>
          <w:numId w:val="7"/>
        </w:numPr>
        <w:tabs>
          <w:tab w:val="left" w:pos="284"/>
        </w:tabs>
        <w:spacing w:line="276" w:lineRule="auto"/>
        <w:jc w:val="center"/>
        <w:rPr>
          <w:rFonts w:ascii="Tahoma" w:hAnsi="Tahoma" w:cs="Tahoma"/>
          <w:b/>
          <w:bCs/>
        </w:rPr>
      </w:pPr>
      <w:r w:rsidRPr="00B00A3A">
        <w:rPr>
          <w:rFonts w:ascii="Tahoma" w:hAnsi="Tahoma" w:cs="Tahoma"/>
          <w:b/>
          <w:bCs/>
        </w:rPr>
        <w:t>Recurso de apelación</w:t>
      </w:r>
    </w:p>
    <w:p w14:paraId="7425B3E4" w14:textId="77777777" w:rsidR="0064697B" w:rsidRPr="00B00A3A" w:rsidRDefault="0064697B" w:rsidP="00B00A3A">
      <w:pPr>
        <w:pStyle w:val="Sinespaciado"/>
        <w:spacing w:line="276" w:lineRule="auto"/>
        <w:rPr>
          <w:rFonts w:ascii="Tahoma" w:hAnsi="Tahoma" w:cs="Tahoma"/>
          <w:lang w:val="es-419"/>
        </w:rPr>
      </w:pPr>
    </w:p>
    <w:p w14:paraId="1E95DD16" w14:textId="501CCAFA" w:rsidR="00F81E76" w:rsidRPr="00B00A3A" w:rsidRDefault="009A2F1E" w:rsidP="00B00A3A">
      <w:pPr>
        <w:spacing w:line="276" w:lineRule="auto"/>
        <w:ind w:firstLine="708"/>
        <w:jc w:val="both"/>
        <w:rPr>
          <w:rFonts w:ascii="Tahoma" w:hAnsi="Tahoma" w:cs="Tahoma"/>
          <w:lang w:val="es-419"/>
        </w:rPr>
      </w:pPr>
      <w:r w:rsidRPr="00B00A3A">
        <w:rPr>
          <w:rFonts w:ascii="Tahoma" w:hAnsi="Tahoma" w:cs="Tahoma"/>
          <w:lang w:val="es-419"/>
        </w:rPr>
        <w:t>El apoderado de</w:t>
      </w:r>
      <w:r w:rsidR="00B45943" w:rsidRPr="00B00A3A">
        <w:rPr>
          <w:rFonts w:ascii="Tahoma" w:hAnsi="Tahoma" w:cs="Tahoma"/>
          <w:lang w:val="es-419"/>
        </w:rPr>
        <w:t xml:space="preserve">l promotor de la litis </w:t>
      </w:r>
      <w:r w:rsidR="00C35CB3" w:rsidRPr="00B00A3A">
        <w:rPr>
          <w:rFonts w:ascii="Tahoma" w:hAnsi="Tahoma" w:cs="Tahoma"/>
          <w:lang w:val="es-419"/>
        </w:rPr>
        <w:t xml:space="preserve">manifestó su inconformidad frente a la aprobación desplegada por el juzgado de conocimiento, </w:t>
      </w:r>
      <w:r w:rsidR="00D53425" w:rsidRPr="00B00A3A">
        <w:rPr>
          <w:rFonts w:ascii="Tahoma" w:hAnsi="Tahoma" w:cs="Tahoma"/>
          <w:lang w:val="es-419"/>
        </w:rPr>
        <w:t xml:space="preserve">aduciendo </w:t>
      </w:r>
      <w:r w:rsidR="00A428E4" w:rsidRPr="00B00A3A">
        <w:rPr>
          <w:rFonts w:ascii="Tahoma" w:hAnsi="Tahoma" w:cs="Tahoma"/>
          <w:lang w:val="es-419"/>
        </w:rPr>
        <w:t>que,</w:t>
      </w:r>
      <w:r w:rsidR="00D53425" w:rsidRPr="00B00A3A">
        <w:rPr>
          <w:rFonts w:ascii="Tahoma" w:hAnsi="Tahoma" w:cs="Tahoma"/>
          <w:lang w:val="es-419"/>
        </w:rPr>
        <w:t xml:space="preserve"> </w:t>
      </w:r>
      <w:r w:rsidR="00276973" w:rsidRPr="00B00A3A">
        <w:rPr>
          <w:rFonts w:ascii="Tahoma" w:hAnsi="Tahoma" w:cs="Tahoma"/>
          <w:lang w:val="es-419"/>
        </w:rPr>
        <w:t xml:space="preserve">en este caso al ser las pretensiones de carácter pecuniario de mayor cuantía, debió aplicarse el 3% y no el </w:t>
      </w:r>
      <w:r w:rsidR="00A428E4" w:rsidRPr="00B00A3A">
        <w:rPr>
          <w:rFonts w:ascii="Tahoma" w:hAnsi="Tahoma" w:cs="Tahoma"/>
          <w:lang w:val="es-419"/>
        </w:rPr>
        <w:t>5</w:t>
      </w:r>
      <w:r w:rsidR="00276973" w:rsidRPr="00B00A3A">
        <w:rPr>
          <w:rFonts w:ascii="Tahoma" w:hAnsi="Tahoma" w:cs="Tahoma"/>
          <w:lang w:val="es-419"/>
        </w:rPr>
        <w:t>%</w:t>
      </w:r>
      <w:r w:rsidR="00A428E4" w:rsidRPr="00B00A3A">
        <w:rPr>
          <w:rFonts w:ascii="Tahoma" w:hAnsi="Tahoma" w:cs="Tahoma"/>
          <w:lang w:val="es-419"/>
        </w:rPr>
        <w:t xml:space="preserve"> como límite inferior de primera instancia, debiendo tasarse estas en $3.443.437.</w:t>
      </w:r>
    </w:p>
    <w:p w14:paraId="4E03ECAB" w14:textId="3A11F6A8" w:rsidR="00276973" w:rsidRPr="00B00A3A" w:rsidRDefault="00276973" w:rsidP="00B00A3A">
      <w:pPr>
        <w:spacing w:line="276" w:lineRule="auto"/>
        <w:ind w:firstLine="708"/>
        <w:jc w:val="both"/>
        <w:rPr>
          <w:rFonts w:ascii="Tahoma" w:hAnsi="Tahoma" w:cs="Tahoma"/>
          <w:lang w:val="es-419"/>
        </w:rPr>
      </w:pPr>
    </w:p>
    <w:p w14:paraId="1858FA60" w14:textId="77777777" w:rsidR="0064697B" w:rsidRPr="00B00A3A" w:rsidRDefault="0064697B" w:rsidP="00B00A3A">
      <w:pPr>
        <w:pStyle w:val="Prrafodelista"/>
        <w:numPr>
          <w:ilvl w:val="0"/>
          <w:numId w:val="7"/>
        </w:numPr>
        <w:tabs>
          <w:tab w:val="left" w:pos="284"/>
        </w:tabs>
        <w:spacing w:line="276" w:lineRule="auto"/>
        <w:jc w:val="center"/>
        <w:rPr>
          <w:rFonts w:ascii="Tahoma" w:hAnsi="Tahoma" w:cs="Tahoma"/>
          <w:b/>
        </w:rPr>
      </w:pPr>
      <w:r w:rsidRPr="00B00A3A">
        <w:rPr>
          <w:rFonts w:ascii="Tahoma" w:hAnsi="Tahoma" w:cs="Tahoma"/>
          <w:b/>
          <w:bCs/>
        </w:rPr>
        <w:t>Alegatos</w:t>
      </w:r>
      <w:r w:rsidRPr="00B00A3A">
        <w:rPr>
          <w:rStyle w:val="normaltextrun"/>
          <w:rFonts w:ascii="Tahoma" w:hAnsi="Tahoma" w:cs="Tahoma"/>
          <w:b/>
          <w:bCs/>
        </w:rPr>
        <w:t xml:space="preserve"> de Conclusión</w:t>
      </w:r>
    </w:p>
    <w:p w14:paraId="2889F949" w14:textId="77777777" w:rsidR="0064697B" w:rsidRPr="00B00A3A" w:rsidRDefault="0064697B" w:rsidP="00B00A3A">
      <w:pPr>
        <w:pStyle w:val="Sinespaciado"/>
        <w:spacing w:line="276" w:lineRule="auto"/>
        <w:rPr>
          <w:rFonts w:ascii="Tahoma" w:hAnsi="Tahoma" w:cs="Tahoma"/>
        </w:rPr>
      </w:pPr>
      <w:r w:rsidRPr="00B00A3A">
        <w:rPr>
          <w:rStyle w:val="eop"/>
          <w:rFonts w:ascii="Tahoma" w:hAnsi="Tahoma" w:cs="Tahoma"/>
        </w:rPr>
        <w:t> </w:t>
      </w:r>
    </w:p>
    <w:p w14:paraId="17EAC74A" w14:textId="2F2E9E06" w:rsidR="005F34BE" w:rsidRPr="00B00A3A" w:rsidRDefault="00F0098A" w:rsidP="00B00A3A">
      <w:pPr>
        <w:spacing w:line="276" w:lineRule="auto"/>
        <w:ind w:firstLine="708"/>
        <w:rPr>
          <w:rFonts w:ascii="Tahoma" w:hAnsi="Tahoma" w:cs="Tahoma"/>
        </w:rPr>
      </w:pPr>
      <w:r w:rsidRPr="00B00A3A">
        <w:rPr>
          <w:rFonts w:ascii="Tahoma" w:eastAsia="Tahoma" w:hAnsi="Tahoma" w:cs="Tahoma"/>
        </w:rPr>
        <w:t>Dentro del término conferido para presentar alegatos, ninguna de las partes hizo uso de su derecho.</w:t>
      </w:r>
    </w:p>
    <w:p w14:paraId="1FA761CC" w14:textId="77777777" w:rsidR="00B86CD0" w:rsidRPr="00B00A3A" w:rsidRDefault="00B86CD0" w:rsidP="00B00A3A">
      <w:pPr>
        <w:spacing w:line="276" w:lineRule="auto"/>
        <w:ind w:firstLine="708"/>
        <w:rPr>
          <w:rFonts w:ascii="Tahoma" w:hAnsi="Tahoma" w:cs="Tahoma"/>
        </w:rPr>
      </w:pPr>
    </w:p>
    <w:p w14:paraId="01F1E330" w14:textId="77777777" w:rsidR="0064697B" w:rsidRPr="00B00A3A" w:rsidRDefault="0064697B" w:rsidP="00B00A3A">
      <w:pPr>
        <w:pStyle w:val="Prrafodelista"/>
        <w:numPr>
          <w:ilvl w:val="0"/>
          <w:numId w:val="7"/>
        </w:numPr>
        <w:tabs>
          <w:tab w:val="left" w:pos="284"/>
        </w:tabs>
        <w:spacing w:line="276" w:lineRule="auto"/>
        <w:jc w:val="center"/>
        <w:rPr>
          <w:rFonts w:ascii="Tahoma" w:hAnsi="Tahoma" w:cs="Tahoma"/>
          <w:b/>
          <w:bCs/>
        </w:rPr>
      </w:pPr>
      <w:r w:rsidRPr="00B00A3A">
        <w:rPr>
          <w:rFonts w:ascii="Tahoma" w:hAnsi="Tahoma" w:cs="Tahoma"/>
          <w:b/>
          <w:bCs/>
        </w:rPr>
        <w:lastRenderedPageBreak/>
        <w:t>Problema jurídico por resolver</w:t>
      </w:r>
    </w:p>
    <w:p w14:paraId="37A557B8" w14:textId="77777777" w:rsidR="0064697B" w:rsidRPr="00B00A3A" w:rsidRDefault="0064697B" w:rsidP="00B00A3A">
      <w:pPr>
        <w:spacing w:line="276" w:lineRule="auto"/>
        <w:ind w:firstLine="708"/>
        <w:rPr>
          <w:rFonts w:ascii="Tahoma" w:hAnsi="Tahoma" w:cs="Tahoma"/>
          <w:lang w:val="es-419"/>
        </w:rPr>
      </w:pPr>
    </w:p>
    <w:p w14:paraId="5D22F8EC" w14:textId="77777777" w:rsidR="008F4962" w:rsidRPr="00B00A3A" w:rsidRDefault="008F4962" w:rsidP="00B00A3A">
      <w:pPr>
        <w:spacing w:line="276" w:lineRule="auto"/>
        <w:ind w:firstLine="709"/>
        <w:jc w:val="both"/>
        <w:rPr>
          <w:rFonts w:ascii="Tahoma" w:hAnsi="Tahoma" w:cs="Tahoma"/>
          <w:color w:val="000000"/>
          <w:spacing w:val="2"/>
        </w:rPr>
      </w:pPr>
      <w:r w:rsidRPr="00B00A3A">
        <w:rPr>
          <w:rFonts w:ascii="Tahoma" w:hAnsi="Tahoma" w:cs="Tahoma"/>
        </w:rPr>
        <w:t>El</w:t>
      </w:r>
      <w:r w:rsidRPr="00B00A3A">
        <w:rPr>
          <w:rFonts w:ascii="Tahoma" w:hAnsi="Tahoma" w:cs="Tahoma"/>
          <w:color w:val="000000"/>
          <w:spacing w:val="2"/>
        </w:rPr>
        <w:t xml:space="preserve"> asunto bajo estudio plantea a la Sala el siguiente problema jurídico:</w:t>
      </w:r>
    </w:p>
    <w:p w14:paraId="21B466BA" w14:textId="77777777" w:rsidR="008F4962" w:rsidRPr="00B00A3A" w:rsidRDefault="008F4962" w:rsidP="00B00A3A">
      <w:pPr>
        <w:pStyle w:val="Textoindependiente"/>
        <w:spacing w:after="0" w:line="276" w:lineRule="auto"/>
        <w:ind w:firstLine="600"/>
        <w:jc w:val="both"/>
        <w:rPr>
          <w:rFonts w:ascii="Tahoma" w:hAnsi="Tahoma" w:cs="Tahoma"/>
          <w:color w:val="000000"/>
          <w:spacing w:val="2"/>
        </w:rPr>
      </w:pPr>
    </w:p>
    <w:p w14:paraId="20D5C41D" w14:textId="208410C1" w:rsidR="00AD5496" w:rsidRPr="00B00A3A" w:rsidRDefault="0076513F" w:rsidP="00B00A3A">
      <w:pPr>
        <w:spacing w:line="276" w:lineRule="auto"/>
        <w:ind w:firstLine="708"/>
        <w:rPr>
          <w:rFonts w:ascii="Tahoma" w:hAnsi="Tahoma" w:cs="Tahoma"/>
          <w:color w:val="000000"/>
        </w:rPr>
      </w:pPr>
      <w:r w:rsidRPr="00B00A3A">
        <w:rPr>
          <w:rFonts w:ascii="Tahoma" w:hAnsi="Tahoma" w:cs="Tahoma"/>
          <w:color w:val="000000"/>
        </w:rPr>
        <w:t>¿</w:t>
      </w:r>
      <w:r w:rsidR="00AD5496" w:rsidRPr="00B00A3A">
        <w:rPr>
          <w:rFonts w:ascii="Tahoma" w:hAnsi="Tahoma" w:cs="Tahoma"/>
          <w:color w:val="000000"/>
        </w:rPr>
        <w:t>Las agencias en derecho fijadas a favor de la parte demanda</w:t>
      </w:r>
      <w:r w:rsidR="00276973" w:rsidRPr="00B00A3A">
        <w:rPr>
          <w:rFonts w:ascii="Tahoma" w:hAnsi="Tahoma" w:cs="Tahoma"/>
          <w:color w:val="000000"/>
        </w:rPr>
        <w:t>da</w:t>
      </w:r>
      <w:r w:rsidR="00AD5496" w:rsidRPr="00B00A3A">
        <w:rPr>
          <w:rFonts w:ascii="Tahoma" w:hAnsi="Tahoma" w:cs="Tahoma"/>
          <w:color w:val="000000"/>
        </w:rPr>
        <w:t xml:space="preserve">, se establecieron teniendo en cuenta los </w:t>
      </w:r>
      <w:r w:rsidR="00AD5496" w:rsidRPr="00B00A3A">
        <w:rPr>
          <w:rFonts w:ascii="Tahoma" w:eastAsia="Tahoma" w:hAnsi="Tahoma" w:cs="Tahoma"/>
        </w:rPr>
        <w:t>parámetros</w:t>
      </w:r>
      <w:r w:rsidR="00AD5496" w:rsidRPr="00B00A3A">
        <w:rPr>
          <w:rFonts w:ascii="Tahoma" w:hAnsi="Tahoma" w:cs="Tahoma"/>
          <w:color w:val="000000"/>
        </w:rPr>
        <w:t xml:space="preserve"> señalados por el </w:t>
      </w:r>
      <w:r w:rsidR="0064697B" w:rsidRPr="00B00A3A">
        <w:rPr>
          <w:rFonts w:ascii="Tahoma" w:hAnsi="Tahoma" w:cs="Tahoma"/>
          <w:color w:val="000000"/>
        </w:rPr>
        <w:t>Acuerdo PSAA16 –10554 de 2016</w:t>
      </w:r>
      <w:r w:rsidR="00AD5496" w:rsidRPr="00B00A3A">
        <w:rPr>
          <w:rFonts w:ascii="Tahoma" w:hAnsi="Tahoma" w:cs="Tahoma"/>
          <w:color w:val="000000"/>
        </w:rPr>
        <w:t>?</w:t>
      </w:r>
    </w:p>
    <w:p w14:paraId="3204DE76" w14:textId="77777777" w:rsidR="00B86CD0" w:rsidRPr="00B00A3A" w:rsidRDefault="00B86CD0" w:rsidP="00B00A3A">
      <w:pPr>
        <w:pStyle w:val="Sinespaciado"/>
        <w:spacing w:line="276" w:lineRule="auto"/>
        <w:rPr>
          <w:rFonts w:ascii="Tahoma" w:hAnsi="Tahoma" w:cs="Tahoma"/>
        </w:rPr>
      </w:pPr>
    </w:p>
    <w:p w14:paraId="2A055C64" w14:textId="77777777" w:rsidR="005A0AE2" w:rsidRPr="00B00A3A" w:rsidRDefault="005A0AE2" w:rsidP="00B00A3A">
      <w:pPr>
        <w:pStyle w:val="Prrafodelista"/>
        <w:numPr>
          <w:ilvl w:val="0"/>
          <w:numId w:val="7"/>
        </w:numPr>
        <w:autoSpaceDE w:val="0"/>
        <w:autoSpaceDN w:val="0"/>
        <w:adjustRightInd w:val="0"/>
        <w:spacing w:line="276" w:lineRule="auto"/>
        <w:jc w:val="center"/>
        <w:rPr>
          <w:rFonts w:ascii="Tahoma" w:hAnsi="Tahoma" w:cs="Tahoma"/>
          <w:b/>
          <w:bCs/>
          <w:color w:val="000000"/>
        </w:rPr>
      </w:pPr>
      <w:r w:rsidRPr="00B00A3A">
        <w:rPr>
          <w:rFonts w:ascii="Tahoma" w:hAnsi="Tahoma" w:cs="Tahoma"/>
          <w:b/>
          <w:bCs/>
          <w:color w:val="000000"/>
        </w:rPr>
        <w:t>Consideraciones</w:t>
      </w:r>
    </w:p>
    <w:p w14:paraId="7DAF48D7" w14:textId="77777777" w:rsidR="00E3019F" w:rsidRPr="00B00A3A" w:rsidRDefault="00E3019F" w:rsidP="00B00A3A">
      <w:pPr>
        <w:pStyle w:val="Sinespaciado"/>
        <w:spacing w:line="276" w:lineRule="auto"/>
        <w:rPr>
          <w:rFonts w:ascii="Tahoma" w:hAnsi="Tahoma" w:cs="Tahoma"/>
        </w:rPr>
      </w:pPr>
    </w:p>
    <w:p w14:paraId="488A4AA7" w14:textId="77777777" w:rsidR="00E3019F" w:rsidRPr="00B00A3A" w:rsidRDefault="00E3019F" w:rsidP="00B00A3A">
      <w:pPr>
        <w:pStyle w:val="Prrafodelista"/>
        <w:numPr>
          <w:ilvl w:val="1"/>
          <w:numId w:val="10"/>
        </w:numPr>
        <w:autoSpaceDE w:val="0"/>
        <w:autoSpaceDN w:val="0"/>
        <w:adjustRightInd w:val="0"/>
        <w:spacing w:line="276" w:lineRule="auto"/>
        <w:rPr>
          <w:rFonts w:ascii="Tahoma" w:hAnsi="Tahoma" w:cs="Tahoma"/>
          <w:b/>
          <w:bCs/>
          <w:color w:val="000000"/>
        </w:rPr>
      </w:pPr>
      <w:r w:rsidRPr="00B00A3A">
        <w:rPr>
          <w:rFonts w:ascii="Tahoma" w:hAnsi="Tahoma" w:cs="Tahoma"/>
          <w:b/>
          <w:bCs/>
          <w:color w:val="000000"/>
        </w:rPr>
        <w:t xml:space="preserve">Las agencias en derecho en los procesos laborales </w:t>
      </w:r>
    </w:p>
    <w:p w14:paraId="7C5ECDE5" w14:textId="77777777" w:rsidR="00E3019F" w:rsidRPr="00B00A3A" w:rsidRDefault="00E3019F" w:rsidP="00B00A3A">
      <w:pPr>
        <w:autoSpaceDE w:val="0"/>
        <w:autoSpaceDN w:val="0"/>
        <w:adjustRightInd w:val="0"/>
        <w:spacing w:line="276" w:lineRule="auto"/>
        <w:ind w:left="1122"/>
        <w:jc w:val="both"/>
        <w:rPr>
          <w:rFonts w:ascii="Tahoma" w:hAnsi="Tahoma" w:cs="Tahoma"/>
          <w:b/>
          <w:bCs/>
          <w:color w:val="000000"/>
        </w:rPr>
      </w:pPr>
    </w:p>
    <w:p w14:paraId="5C0DB33D" w14:textId="77777777" w:rsidR="00E3019F" w:rsidRPr="00B00A3A" w:rsidRDefault="00E3019F" w:rsidP="00B00A3A">
      <w:pPr>
        <w:spacing w:line="276" w:lineRule="auto"/>
        <w:ind w:firstLine="709"/>
        <w:jc w:val="both"/>
        <w:rPr>
          <w:rFonts w:ascii="Tahoma" w:hAnsi="Tahoma" w:cs="Tahoma"/>
        </w:rPr>
      </w:pPr>
      <w:r w:rsidRPr="00B00A3A">
        <w:rPr>
          <w:rFonts w:ascii="Tahoma" w:hAnsi="Tahoma" w:cs="Tahoma"/>
        </w:rPr>
        <w:t>Frente a la tasación de las agencias en derecho, el doctrinante Azula Camacho</w:t>
      </w:r>
      <w:r w:rsidRPr="00B00A3A">
        <w:rPr>
          <w:rStyle w:val="Refdenotaalpie"/>
          <w:rFonts w:ascii="Tahoma" w:hAnsi="Tahoma" w:cs="Tahoma"/>
        </w:rPr>
        <w:footnoteReference w:id="1"/>
      </w:r>
      <w:r w:rsidRPr="00B00A3A">
        <w:rPr>
          <w:rFonts w:ascii="Tahoma" w:hAnsi="Tahoma" w:cs="Tahoma"/>
        </w:rPr>
        <w:t xml:space="preserve"> ha referido:</w:t>
      </w:r>
    </w:p>
    <w:p w14:paraId="14A21E7A" w14:textId="77777777" w:rsidR="00E3019F" w:rsidRPr="00B00A3A" w:rsidRDefault="00E3019F" w:rsidP="00B00A3A">
      <w:pPr>
        <w:spacing w:line="276" w:lineRule="auto"/>
        <w:ind w:left="1122"/>
        <w:rPr>
          <w:rFonts w:ascii="Tahoma" w:hAnsi="Tahoma" w:cs="Tahoma"/>
        </w:rPr>
      </w:pPr>
    </w:p>
    <w:p w14:paraId="2A77F6B4" w14:textId="77777777" w:rsidR="00E3019F" w:rsidRPr="00737E41" w:rsidRDefault="00E3019F" w:rsidP="00737E41">
      <w:pPr>
        <w:ind w:left="426" w:right="420"/>
        <w:jc w:val="both"/>
        <w:rPr>
          <w:rFonts w:ascii="Tahoma" w:hAnsi="Tahoma" w:cs="Tahoma"/>
          <w:i/>
          <w:iCs/>
          <w:sz w:val="22"/>
        </w:rPr>
      </w:pPr>
      <w:r w:rsidRPr="00737E41">
        <w:rPr>
          <w:rFonts w:ascii="Tahoma" w:hAnsi="Tahoma" w:cs="Tahoma"/>
          <w:i/>
          <w:iCs/>
          <w:sz w:val="22"/>
        </w:rPr>
        <w:t>“Para determinar el monto de las agencias en derecho, el artículo 366 (inc. 4</w:t>
      </w:r>
      <w:r w:rsidRPr="00737E41">
        <w:rPr>
          <w:rFonts w:ascii="Tahoma" w:hAnsi="Tahoma" w:cs="Tahoma"/>
          <w:i/>
          <w:iCs/>
          <w:sz w:val="22"/>
          <w:vertAlign w:val="superscript"/>
        </w:rPr>
        <w:t>o</w:t>
      </w:r>
      <w:r w:rsidRPr="00737E41">
        <w:rPr>
          <w:rFonts w:ascii="Tahoma" w:hAnsi="Tahoma" w:cs="Tahoma"/>
          <w:i/>
          <w:iCs/>
          <w:sz w:val="22"/>
        </w:rPr>
        <w:t>) del Código General del Proceso recogió lo preceptuado por el inciso 3º del artículo 393 del de Procedimiento Civil, en el sentido de aplicar las tarifas que establezca el Consejo Superior de la Judicatura. Si las tarifas fijan un mínimo y un máximo, el juez debe considerar esos criterios, pero, además, la naturaleza, calidad y duración de la gestión realizada y la cuantía del proceso.”</w:t>
      </w:r>
    </w:p>
    <w:p w14:paraId="57401CB3" w14:textId="77777777" w:rsidR="00E3019F" w:rsidRPr="00B00A3A" w:rsidRDefault="00E3019F" w:rsidP="00B00A3A">
      <w:pPr>
        <w:autoSpaceDE w:val="0"/>
        <w:autoSpaceDN w:val="0"/>
        <w:adjustRightInd w:val="0"/>
        <w:spacing w:line="276" w:lineRule="auto"/>
        <w:ind w:firstLine="561"/>
        <w:jc w:val="both"/>
        <w:rPr>
          <w:rFonts w:ascii="Tahoma" w:hAnsi="Tahoma" w:cs="Tahoma"/>
        </w:rPr>
      </w:pPr>
    </w:p>
    <w:p w14:paraId="5199D98A" w14:textId="77777777" w:rsidR="00E3019F" w:rsidRPr="00B00A3A" w:rsidRDefault="00E3019F" w:rsidP="00B00A3A">
      <w:pPr>
        <w:autoSpaceDE w:val="0"/>
        <w:autoSpaceDN w:val="0"/>
        <w:adjustRightInd w:val="0"/>
        <w:spacing w:line="276" w:lineRule="auto"/>
        <w:ind w:firstLine="561"/>
        <w:jc w:val="both"/>
        <w:rPr>
          <w:rFonts w:ascii="Tahoma" w:hAnsi="Tahoma" w:cs="Tahoma"/>
        </w:rPr>
      </w:pPr>
      <w:r w:rsidRPr="00B00A3A">
        <w:rPr>
          <w:rFonts w:ascii="Tahoma" w:hAnsi="Tahoma" w:cs="Tahoma"/>
        </w:rPr>
        <w:t>En cuanto a las tarifas a aplicar por concepto de agencias en derecho, el Código General del Proceso en sus artículos 361 y 366 señala que es el juez o magistrado que conoció el proceso en primera o única instancia quien debe fijar dichos emolumentos al momento de liquidar las costas procesales, y que, a pesar de ser discrecional, está limitado por las tarifas máximas y mínimas adoptadas por el Consejo Superior de la Judicatura. Así, según el Acuerdo PSAA16-10554 de 2016, para fijar las agencias en derecho se debe tener en cuenta:</w:t>
      </w:r>
    </w:p>
    <w:p w14:paraId="163B6D29" w14:textId="77777777" w:rsidR="00E3019F" w:rsidRPr="00B00A3A" w:rsidRDefault="00E3019F" w:rsidP="00B00A3A">
      <w:pPr>
        <w:autoSpaceDE w:val="0"/>
        <w:autoSpaceDN w:val="0"/>
        <w:adjustRightInd w:val="0"/>
        <w:spacing w:line="276" w:lineRule="auto"/>
        <w:ind w:firstLine="561"/>
        <w:jc w:val="both"/>
        <w:rPr>
          <w:rFonts w:ascii="Tahoma" w:hAnsi="Tahoma" w:cs="Tahoma"/>
        </w:rPr>
      </w:pPr>
    </w:p>
    <w:p w14:paraId="00D77233" w14:textId="1BE48288" w:rsidR="00E3019F" w:rsidRPr="00B00A3A" w:rsidRDefault="00E3019F" w:rsidP="00B00A3A">
      <w:pPr>
        <w:pStyle w:val="Prrafodelista"/>
        <w:numPr>
          <w:ilvl w:val="0"/>
          <w:numId w:val="9"/>
        </w:numPr>
        <w:autoSpaceDE w:val="0"/>
        <w:autoSpaceDN w:val="0"/>
        <w:adjustRightInd w:val="0"/>
        <w:spacing w:line="276" w:lineRule="auto"/>
        <w:rPr>
          <w:rFonts w:ascii="Tahoma" w:hAnsi="Tahoma" w:cs="Tahoma"/>
        </w:rPr>
      </w:pPr>
      <w:r w:rsidRPr="00B00A3A">
        <w:rPr>
          <w:rFonts w:ascii="Tahoma" w:hAnsi="Tahoma" w:cs="Tahoma"/>
        </w:rPr>
        <w:t xml:space="preserve">El tipo de proceso, precisando en su artículo 5.1 </w:t>
      </w:r>
      <w:r w:rsidR="0065764F" w:rsidRPr="00B00A3A">
        <w:rPr>
          <w:rFonts w:ascii="Tahoma" w:hAnsi="Tahoma" w:cs="Tahoma"/>
        </w:rPr>
        <w:t>que,</w:t>
      </w:r>
      <w:r w:rsidRPr="00B00A3A">
        <w:rPr>
          <w:rFonts w:ascii="Tahoma" w:hAnsi="Tahoma" w:cs="Tahoma"/>
        </w:rPr>
        <w:t xml:space="preserve"> en los procesos declarativos de </w:t>
      </w:r>
      <w:r w:rsidRPr="00B00A3A">
        <w:rPr>
          <w:rFonts w:ascii="Tahoma" w:hAnsi="Tahoma" w:cs="Tahoma"/>
          <w:b/>
        </w:rPr>
        <w:t>primera instancia</w:t>
      </w:r>
      <w:r w:rsidRPr="00B00A3A">
        <w:rPr>
          <w:rFonts w:ascii="Tahoma" w:hAnsi="Tahoma" w:cs="Tahoma"/>
        </w:rPr>
        <w:t>, de menor cuantía, las agencias en derechos se establecerán en primera instancia entre el 4% y el 10% de lo pedido</w:t>
      </w:r>
      <w:r w:rsidR="00C3560A" w:rsidRPr="00B00A3A">
        <w:rPr>
          <w:rFonts w:ascii="Tahoma" w:hAnsi="Tahoma" w:cs="Tahoma"/>
        </w:rPr>
        <w:t>, mientras que cuando sea de mayor cuantía el porcentaje oscilará entre el 3% y el 7.5% de lo pedido</w:t>
      </w:r>
      <w:r w:rsidRPr="00B00A3A">
        <w:rPr>
          <w:rFonts w:ascii="Tahoma" w:hAnsi="Tahoma" w:cs="Tahoma"/>
        </w:rPr>
        <w:t>.</w:t>
      </w:r>
    </w:p>
    <w:p w14:paraId="6444B9C2" w14:textId="77777777" w:rsidR="00E3019F" w:rsidRPr="00B00A3A" w:rsidRDefault="00E3019F" w:rsidP="00B00A3A">
      <w:pPr>
        <w:pStyle w:val="Prrafodelista"/>
        <w:autoSpaceDE w:val="0"/>
        <w:autoSpaceDN w:val="0"/>
        <w:adjustRightInd w:val="0"/>
        <w:spacing w:line="276" w:lineRule="auto"/>
        <w:ind w:left="1011"/>
        <w:rPr>
          <w:rFonts w:ascii="Tahoma" w:hAnsi="Tahoma" w:cs="Tahoma"/>
        </w:rPr>
      </w:pPr>
    </w:p>
    <w:p w14:paraId="3B974043" w14:textId="77777777" w:rsidR="00E3019F" w:rsidRPr="00B00A3A" w:rsidRDefault="00E3019F" w:rsidP="00B00A3A">
      <w:pPr>
        <w:pStyle w:val="Prrafodelista"/>
        <w:numPr>
          <w:ilvl w:val="0"/>
          <w:numId w:val="9"/>
        </w:numPr>
        <w:autoSpaceDE w:val="0"/>
        <w:autoSpaceDN w:val="0"/>
        <w:adjustRightInd w:val="0"/>
        <w:spacing w:line="276" w:lineRule="auto"/>
        <w:rPr>
          <w:rFonts w:ascii="Tahoma" w:hAnsi="Tahoma" w:cs="Tahoma"/>
        </w:rPr>
      </w:pPr>
      <w:r w:rsidRPr="00B00A3A">
        <w:rPr>
          <w:rFonts w:ascii="Tahoma" w:hAnsi="Tahoma" w:cs="Tahoma"/>
        </w:rPr>
        <w:t>Clase de pretensión: dispone el artículo 3º de la norma en comento:</w:t>
      </w:r>
    </w:p>
    <w:p w14:paraId="34892827" w14:textId="77777777" w:rsidR="00E3019F" w:rsidRPr="00B00A3A" w:rsidRDefault="00E3019F" w:rsidP="00B00A3A">
      <w:pPr>
        <w:pStyle w:val="Prrafodelista"/>
        <w:spacing w:line="276" w:lineRule="auto"/>
        <w:rPr>
          <w:rFonts w:ascii="Tahoma" w:hAnsi="Tahoma" w:cs="Tahoma"/>
        </w:rPr>
      </w:pPr>
    </w:p>
    <w:p w14:paraId="0CD62388" w14:textId="77777777" w:rsidR="00E3019F" w:rsidRPr="00737E41" w:rsidRDefault="00E3019F" w:rsidP="00737E41">
      <w:pPr>
        <w:ind w:left="426" w:right="420"/>
        <w:jc w:val="both"/>
        <w:rPr>
          <w:rFonts w:ascii="Tahoma" w:hAnsi="Tahoma" w:cs="Tahoma"/>
          <w:i/>
          <w:iCs/>
          <w:sz w:val="22"/>
        </w:rPr>
      </w:pPr>
      <w:r w:rsidRPr="00737E41">
        <w:rPr>
          <w:rFonts w:ascii="Tahoma" w:hAnsi="Tahoma" w:cs="Tahoma"/>
          <w:i/>
          <w:iCs/>
          <w:sz w:val="22"/>
        </w:rPr>
        <w:t>“ARTÍCULO 3º. Clases de límites. Cuando las agencias en derecho correspondan a procesos en los que se formularon pretensiones de índole pecuniario, o en los que en la determinación de la competencia se tuvo en cuenta la cuantía, las tarifas se establecen en porcentajes sobre el valor de aquellas o de ésta.</w:t>
      </w:r>
    </w:p>
    <w:p w14:paraId="0E1DD733" w14:textId="77777777" w:rsidR="00E3019F" w:rsidRPr="00737E41" w:rsidRDefault="00E3019F" w:rsidP="00737E41">
      <w:pPr>
        <w:ind w:left="426" w:right="420"/>
        <w:jc w:val="both"/>
        <w:rPr>
          <w:rFonts w:ascii="Tahoma" w:hAnsi="Tahoma" w:cs="Tahoma"/>
          <w:i/>
          <w:iCs/>
          <w:sz w:val="22"/>
        </w:rPr>
      </w:pPr>
    </w:p>
    <w:p w14:paraId="29D57B3F" w14:textId="77777777" w:rsidR="00E3019F" w:rsidRPr="00737E41" w:rsidRDefault="00E3019F" w:rsidP="00737E41">
      <w:pPr>
        <w:ind w:left="426" w:right="420"/>
        <w:jc w:val="both"/>
        <w:rPr>
          <w:rFonts w:ascii="Tahoma" w:hAnsi="Tahoma" w:cs="Tahoma"/>
          <w:i/>
          <w:iCs/>
          <w:sz w:val="22"/>
        </w:rPr>
      </w:pPr>
      <w:r w:rsidRPr="00737E41">
        <w:rPr>
          <w:rFonts w:ascii="Tahoma" w:hAnsi="Tahoma" w:cs="Tahoma"/>
          <w:i/>
          <w:iCs/>
          <w:sz w:val="22"/>
        </w:rPr>
        <w:t>(…)</w:t>
      </w:r>
    </w:p>
    <w:p w14:paraId="7DE5F0CE" w14:textId="77777777" w:rsidR="00E3019F" w:rsidRPr="00737E41" w:rsidRDefault="00E3019F" w:rsidP="00737E41">
      <w:pPr>
        <w:ind w:left="426" w:right="420"/>
        <w:jc w:val="both"/>
        <w:rPr>
          <w:rFonts w:ascii="Tahoma" w:hAnsi="Tahoma" w:cs="Tahoma"/>
          <w:i/>
          <w:iCs/>
          <w:sz w:val="22"/>
        </w:rPr>
      </w:pPr>
    </w:p>
    <w:p w14:paraId="795415A1" w14:textId="73F57E87" w:rsidR="00E3019F" w:rsidRPr="00737E41" w:rsidRDefault="00E3019F" w:rsidP="00737E41">
      <w:pPr>
        <w:ind w:left="426" w:right="420"/>
        <w:jc w:val="both"/>
        <w:rPr>
          <w:rFonts w:ascii="Tahoma" w:hAnsi="Tahoma" w:cs="Tahoma"/>
          <w:i/>
          <w:iCs/>
          <w:sz w:val="22"/>
        </w:rPr>
      </w:pPr>
      <w:r w:rsidRPr="00737E41">
        <w:rPr>
          <w:rFonts w:ascii="Tahoma" w:hAnsi="Tahoma" w:cs="Tahoma"/>
          <w:i/>
          <w:iCs/>
          <w:sz w:val="22"/>
        </w:rPr>
        <w:t xml:space="preserve">PARÁGRAFO 3º. Cuando las tarifas correspondan a porcentajes, en procesos con pretensiones de índole pecuniario, la fijación de las agencias en derecho se hará mediante una ponderación inversa entre los límites mínimo y máximo y los valores </w:t>
      </w:r>
      <w:r w:rsidRPr="00737E41">
        <w:rPr>
          <w:rFonts w:ascii="Tahoma" w:hAnsi="Tahoma" w:cs="Tahoma"/>
          <w:i/>
          <w:iCs/>
          <w:sz w:val="22"/>
        </w:rPr>
        <w:lastRenderedPageBreak/>
        <w:t xml:space="preserve">pedidos. </w:t>
      </w:r>
      <w:r w:rsidRPr="00737E41">
        <w:rPr>
          <w:rFonts w:ascii="Tahoma" w:hAnsi="Tahoma" w:cs="Tahoma"/>
          <w:b/>
          <w:i/>
          <w:iCs/>
          <w:sz w:val="22"/>
        </w:rPr>
        <w:t>Esto es, a mayor valor menor porcentaje, a menor valor mayor porcentaje, pero en todo caso atendiendo a los criterios del artículo anterior</w:t>
      </w:r>
      <w:r w:rsidRPr="00737E41">
        <w:rPr>
          <w:rFonts w:ascii="Tahoma" w:hAnsi="Tahoma" w:cs="Tahoma"/>
          <w:i/>
          <w:iCs/>
          <w:sz w:val="22"/>
        </w:rPr>
        <w:t>.”</w:t>
      </w:r>
      <w:r w:rsidR="00B507B0" w:rsidRPr="00737E41">
        <w:rPr>
          <w:rFonts w:ascii="Tahoma" w:hAnsi="Tahoma" w:cs="Tahoma"/>
          <w:i/>
          <w:iCs/>
          <w:sz w:val="22"/>
        </w:rPr>
        <w:t xml:space="preserve"> (Negrilla por fuera del texto original)</w:t>
      </w:r>
    </w:p>
    <w:p w14:paraId="29CEB900" w14:textId="77777777" w:rsidR="00E3019F" w:rsidRPr="00B00A3A" w:rsidRDefault="00E3019F" w:rsidP="00B00A3A">
      <w:pPr>
        <w:pStyle w:val="Prrafodelista"/>
        <w:spacing w:line="276" w:lineRule="auto"/>
        <w:rPr>
          <w:rFonts w:ascii="Tahoma" w:hAnsi="Tahoma" w:cs="Tahoma"/>
        </w:rPr>
      </w:pPr>
    </w:p>
    <w:p w14:paraId="7A9C040C" w14:textId="41AA9A45" w:rsidR="00E3019F" w:rsidRPr="00B00A3A" w:rsidRDefault="00E3019F" w:rsidP="00B00A3A">
      <w:pPr>
        <w:pStyle w:val="Prrafodelista"/>
        <w:numPr>
          <w:ilvl w:val="0"/>
          <w:numId w:val="9"/>
        </w:numPr>
        <w:autoSpaceDE w:val="0"/>
        <w:autoSpaceDN w:val="0"/>
        <w:adjustRightInd w:val="0"/>
        <w:spacing w:line="276" w:lineRule="auto"/>
        <w:rPr>
          <w:rFonts w:ascii="Tahoma" w:hAnsi="Tahoma" w:cs="Tahoma"/>
        </w:rPr>
      </w:pPr>
      <w:r w:rsidRPr="00B00A3A">
        <w:rPr>
          <w:rFonts w:ascii="Tahoma" w:hAnsi="Tahoma" w:cs="Tahoma"/>
        </w:rPr>
        <w:t>Los criterios en particular de la actuación de la parte favorecida con la condena en costas, que permita valorar la labor jurídica desarrollada, estos últimos coinciden con los mencionados en el numeral 4º del artículo 366 del CGP, esto es, la naturaleza, la calidad y la duración de la gestión realizada por el apoderado, la cuantía del proceso y demás circunstancias relacionadas con dicha actividad.</w:t>
      </w:r>
    </w:p>
    <w:p w14:paraId="4E543266" w14:textId="77777777" w:rsidR="00E3019F" w:rsidRPr="00B00A3A" w:rsidRDefault="00E3019F" w:rsidP="00B00A3A">
      <w:pPr>
        <w:pStyle w:val="Prrafodelista"/>
        <w:autoSpaceDE w:val="0"/>
        <w:autoSpaceDN w:val="0"/>
        <w:adjustRightInd w:val="0"/>
        <w:spacing w:line="276" w:lineRule="auto"/>
        <w:ind w:left="1011"/>
        <w:rPr>
          <w:rFonts w:ascii="Tahoma" w:hAnsi="Tahoma" w:cs="Tahoma"/>
        </w:rPr>
      </w:pPr>
    </w:p>
    <w:p w14:paraId="0F1E5E95" w14:textId="77777777" w:rsidR="00E3019F" w:rsidRPr="00B00A3A" w:rsidRDefault="00E3019F" w:rsidP="00B00A3A">
      <w:pPr>
        <w:spacing w:line="276" w:lineRule="auto"/>
        <w:ind w:firstLine="709"/>
        <w:jc w:val="both"/>
        <w:rPr>
          <w:rFonts w:ascii="Tahoma" w:hAnsi="Tahoma" w:cs="Tahoma"/>
        </w:rPr>
      </w:pPr>
      <w:r w:rsidRPr="00B00A3A">
        <w:rPr>
          <w:rFonts w:ascii="Tahoma" w:hAnsi="Tahoma" w:cs="Tahoma"/>
        </w:rPr>
        <w:t>Asimismo, en su Tratado de Derecho Procesal, el profesor Hernán Fabio López Blanco</w:t>
      </w:r>
      <w:r w:rsidRPr="00B00A3A">
        <w:rPr>
          <w:rStyle w:val="Refdenotaalpie"/>
          <w:rFonts w:ascii="Tahoma" w:hAnsi="Tahoma" w:cs="Tahoma"/>
        </w:rPr>
        <w:footnoteReference w:id="2"/>
      </w:r>
      <w:r w:rsidRPr="00B00A3A">
        <w:rPr>
          <w:rFonts w:ascii="Tahoma" w:hAnsi="Tahoma" w:cs="Tahoma"/>
        </w:rPr>
        <w:t xml:space="preserve"> frente a las agencias en derecho ha preceptuado:</w:t>
      </w:r>
    </w:p>
    <w:p w14:paraId="1B1F2058" w14:textId="77777777" w:rsidR="00E3019F" w:rsidRPr="00B00A3A" w:rsidRDefault="00E3019F" w:rsidP="00B00A3A">
      <w:pPr>
        <w:spacing w:line="276" w:lineRule="auto"/>
        <w:jc w:val="both"/>
        <w:rPr>
          <w:rFonts w:ascii="Tahoma" w:hAnsi="Tahoma" w:cs="Tahoma"/>
        </w:rPr>
      </w:pPr>
    </w:p>
    <w:p w14:paraId="14289BE0" w14:textId="77777777" w:rsidR="00E3019F" w:rsidRPr="00737E41" w:rsidRDefault="00E3019F" w:rsidP="00737E41">
      <w:pPr>
        <w:ind w:left="426" w:right="420"/>
        <w:jc w:val="both"/>
        <w:rPr>
          <w:rFonts w:ascii="Tahoma" w:hAnsi="Tahoma" w:cs="Tahoma"/>
          <w:i/>
          <w:iCs/>
          <w:sz w:val="22"/>
        </w:rPr>
      </w:pPr>
      <w:r w:rsidRPr="00737E41">
        <w:rPr>
          <w:rFonts w:ascii="Tahoma" w:hAnsi="Tahoma" w:cs="Tahoma"/>
          <w:i/>
          <w:iCs/>
          <w:sz w:val="22"/>
        </w:rPr>
        <w:t>“Se ha destacado dentro del concepto de costas está incluido el de agencias en derecho, que constituye la cantidad que debe el juez ordenar para el favorecido con la condena en costas con el fin de resarcirle de los gastos que tuvo que afrontar para pagar los honorarios de un abogado o, si actuó en nombre propio, como contraprestación por el tiempo y esfuerzo dedicados a esta actividad.</w:t>
      </w:r>
    </w:p>
    <w:p w14:paraId="74F093EC" w14:textId="77777777" w:rsidR="00E3019F" w:rsidRPr="00737E41" w:rsidRDefault="00E3019F" w:rsidP="00737E41">
      <w:pPr>
        <w:ind w:left="426" w:right="420"/>
        <w:jc w:val="both"/>
        <w:rPr>
          <w:rFonts w:ascii="Tahoma" w:hAnsi="Tahoma" w:cs="Tahoma"/>
          <w:i/>
          <w:iCs/>
          <w:sz w:val="22"/>
        </w:rPr>
      </w:pPr>
    </w:p>
    <w:p w14:paraId="4C67C3BD" w14:textId="77777777" w:rsidR="00E3019F" w:rsidRPr="00737E41" w:rsidRDefault="00E3019F" w:rsidP="00737E41">
      <w:pPr>
        <w:ind w:left="426" w:right="420"/>
        <w:jc w:val="both"/>
        <w:rPr>
          <w:rFonts w:ascii="Tahoma" w:hAnsi="Tahoma" w:cs="Tahoma"/>
          <w:i/>
          <w:iCs/>
          <w:sz w:val="22"/>
        </w:rPr>
      </w:pPr>
      <w:r w:rsidRPr="00737E41">
        <w:rPr>
          <w:rFonts w:ascii="Tahoma" w:hAnsi="Tahoma" w:cs="Tahoma"/>
          <w:i/>
          <w:iCs/>
          <w:sz w:val="22"/>
        </w:rPr>
        <w:t>(…)</w:t>
      </w:r>
    </w:p>
    <w:p w14:paraId="43CCFF01" w14:textId="77777777" w:rsidR="00E3019F" w:rsidRPr="00737E41" w:rsidRDefault="00E3019F" w:rsidP="00737E41">
      <w:pPr>
        <w:ind w:left="426" w:right="420"/>
        <w:jc w:val="both"/>
        <w:rPr>
          <w:rFonts w:ascii="Tahoma" w:hAnsi="Tahoma" w:cs="Tahoma"/>
          <w:i/>
          <w:iCs/>
          <w:sz w:val="22"/>
        </w:rPr>
      </w:pPr>
      <w:r w:rsidRPr="00737E41">
        <w:rPr>
          <w:rFonts w:ascii="Tahoma" w:hAnsi="Tahoma" w:cs="Tahoma"/>
          <w:i/>
          <w:iCs/>
          <w:sz w:val="22"/>
        </w:rPr>
        <w:t>Como en ocasiones las tarifas de los citados acuerdos tan solo señalan montos mínimos y máximos, en estas hipótesis la labor del juez es más amplia y podrá “sin que pueda exceder el máximo de dichas tarifas” realizar el señalamiento de las agencias en derecho considerando la cuantía del proceso, su duración, la naturaleza y calidad de la gestión desarrollada y cualquier otra circunstancia especial que sirva para fijar dentro de esos límites el equitativo honorario profesional que le debe ser reintegrado a la parte.</w:t>
      </w:r>
    </w:p>
    <w:p w14:paraId="2A5F9EEF" w14:textId="77777777" w:rsidR="00E3019F" w:rsidRPr="00737E41" w:rsidRDefault="00E3019F" w:rsidP="00737E41">
      <w:pPr>
        <w:ind w:left="426" w:right="420"/>
        <w:jc w:val="both"/>
        <w:rPr>
          <w:rFonts w:ascii="Tahoma" w:hAnsi="Tahoma" w:cs="Tahoma"/>
          <w:i/>
          <w:iCs/>
          <w:sz w:val="22"/>
        </w:rPr>
      </w:pPr>
    </w:p>
    <w:p w14:paraId="3160FAEF" w14:textId="77777777" w:rsidR="00E3019F" w:rsidRPr="00737E41" w:rsidRDefault="00E3019F" w:rsidP="00737E41">
      <w:pPr>
        <w:ind w:left="426" w:right="420"/>
        <w:jc w:val="both"/>
        <w:rPr>
          <w:rFonts w:ascii="Tahoma" w:hAnsi="Tahoma" w:cs="Tahoma"/>
          <w:i/>
          <w:iCs/>
          <w:sz w:val="22"/>
        </w:rPr>
      </w:pPr>
      <w:r w:rsidRPr="00737E41">
        <w:rPr>
          <w:rFonts w:ascii="Tahoma" w:hAnsi="Tahoma" w:cs="Tahoma"/>
          <w:i/>
          <w:iCs/>
          <w:sz w:val="22"/>
        </w:rPr>
        <w:t>La suma que el juez señale como agencias en derecho no tiene que estar orientada por la que la parte efectivamente canceló a su abogado, así se demuestre fehacientemente la cuantía de ese pago, de modo que para nada obliga al juez las bases contractuales señaladas en materia de honorarios profesionales, ya que éste, dentro de los parámetros referidos es el único llamado a realizar la fijación pertinente.</w:t>
      </w:r>
    </w:p>
    <w:p w14:paraId="708780EE" w14:textId="77777777" w:rsidR="00E3019F" w:rsidRPr="00737E41" w:rsidRDefault="00E3019F" w:rsidP="00737E41">
      <w:pPr>
        <w:ind w:left="426" w:right="420"/>
        <w:jc w:val="both"/>
        <w:rPr>
          <w:rFonts w:ascii="Tahoma" w:hAnsi="Tahoma" w:cs="Tahoma"/>
          <w:i/>
          <w:iCs/>
          <w:sz w:val="22"/>
        </w:rPr>
      </w:pPr>
    </w:p>
    <w:p w14:paraId="196A3010" w14:textId="77777777" w:rsidR="00E3019F" w:rsidRPr="00737E41" w:rsidRDefault="00E3019F" w:rsidP="00737E41">
      <w:pPr>
        <w:ind w:left="426" w:right="420"/>
        <w:jc w:val="both"/>
        <w:rPr>
          <w:rFonts w:ascii="Tahoma" w:hAnsi="Tahoma" w:cs="Tahoma"/>
          <w:i/>
          <w:iCs/>
          <w:sz w:val="22"/>
        </w:rPr>
      </w:pPr>
      <w:r w:rsidRPr="00737E41">
        <w:rPr>
          <w:rFonts w:ascii="Tahoma" w:hAnsi="Tahoma" w:cs="Tahoma"/>
          <w:i/>
          <w:iCs/>
          <w:sz w:val="22"/>
        </w:rPr>
        <w:t>Sin embargo, no deben olvidar los jueces que las agencias en derecho no constituyen una graciosa concesión de ellos para con uno de los litigantes, sino que se trata de establecer las bases de la justa retribución para quien se vio obligado a demandar o a concurrir al proceso, no obstante que la razón estaba de su parte, de ahí que el equitativo pero severo criterio en esta materia será un factor importante para evitar infinidad de trámites inútiles que se surten sobre el supuesto de que se afrontará una mínima condena a pagar costas.</w:t>
      </w:r>
    </w:p>
    <w:p w14:paraId="19C28432" w14:textId="77777777" w:rsidR="00E3019F" w:rsidRPr="00737E41" w:rsidRDefault="00E3019F" w:rsidP="00737E41">
      <w:pPr>
        <w:ind w:left="426" w:right="420"/>
        <w:jc w:val="both"/>
        <w:rPr>
          <w:rFonts w:ascii="Tahoma" w:hAnsi="Tahoma" w:cs="Tahoma"/>
          <w:i/>
          <w:iCs/>
          <w:sz w:val="22"/>
        </w:rPr>
      </w:pPr>
    </w:p>
    <w:p w14:paraId="56563659" w14:textId="77777777" w:rsidR="00E3019F" w:rsidRPr="00737E41" w:rsidRDefault="00E3019F" w:rsidP="00737E41">
      <w:pPr>
        <w:ind w:left="426" w:right="420"/>
        <w:jc w:val="both"/>
        <w:rPr>
          <w:rFonts w:ascii="Tahoma" w:hAnsi="Tahoma" w:cs="Tahoma"/>
          <w:i/>
          <w:iCs/>
          <w:sz w:val="22"/>
        </w:rPr>
      </w:pPr>
      <w:r w:rsidRPr="00737E41">
        <w:rPr>
          <w:rFonts w:ascii="Tahoma" w:hAnsi="Tahoma" w:cs="Tahoma"/>
          <w:b/>
          <w:i/>
          <w:iCs/>
          <w:sz w:val="22"/>
        </w:rPr>
        <w:t>Y de manera especial reitero el llamado de atención a los funcionarios de segunda instancia y casación, quienes por el trámite correspondiente a tales etapas del proceso fijan sumas ciertamente irrisorias que sólo constituyen un acicate para abusar del empleo de esos recursos.</w:t>
      </w:r>
      <w:r w:rsidRPr="00737E41">
        <w:rPr>
          <w:rFonts w:ascii="Tahoma" w:hAnsi="Tahoma" w:cs="Tahoma"/>
          <w:i/>
          <w:iCs/>
          <w:sz w:val="22"/>
        </w:rPr>
        <w:t>” (Negrilla fuera de texto)</w:t>
      </w:r>
    </w:p>
    <w:p w14:paraId="7C2AB2CE" w14:textId="77777777" w:rsidR="00B86CD0" w:rsidRPr="00B00A3A" w:rsidRDefault="00B86CD0" w:rsidP="00B00A3A">
      <w:pPr>
        <w:pStyle w:val="Prrafodelista"/>
        <w:spacing w:line="276" w:lineRule="auto"/>
        <w:rPr>
          <w:rFonts w:ascii="Tahoma" w:hAnsi="Tahoma" w:cs="Tahoma"/>
        </w:rPr>
      </w:pPr>
    </w:p>
    <w:p w14:paraId="68E9F505" w14:textId="77777777" w:rsidR="00E3019F" w:rsidRPr="00B00A3A" w:rsidRDefault="00E3019F" w:rsidP="00B00A3A">
      <w:pPr>
        <w:pStyle w:val="Prrafodelista"/>
        <w:spacing w:line="276" w:lineRule="auto"/>
        <w:rPr>
          <w:rFonts w:ascii="Tahoma" w:hAnsi="Tahoma" w:cs="Tahoma"/>
          <w:b/>
        </w:rPr>
      </w:pPr>
      <w:r w:rsidRPr="00B00A3A">
        <w:rPr>
          <w:rFonts w:ascii="Tahoma" w:hAnsi="Tahoma" w:cs="Tahoma"/>
          <w:b/>
        </w:rPr>
        <w:t>6.2 Caso concreto</w:t>
      </w:r>
    </w:p>
    <w:p w14:paraId="7269A0DF" w14:textId="77777777" w:rsidR="00E3019F" w:rsidRPr="00B00A3A" w:rsidRDefault="00E3019F" w:rsidP="00B00A3A">
      <w:pPr>
        <w:autoSpaceDE w:val="0"/>
        <w:autoSpaceDN w:val="0"/>
        <w:adjustRightInd w:val="0"/>
        <w:spacing w:line="276" w:lineRule="auto"/>
        <w:ind w:firstLine="709"/>
        <w:jc w:val="both"/>
        <w:rPr>
          <w:rFonts w:ascii="Tahoma" w:hAnsi="Tahoma" w:cs="Tahoma"/>
        </w:rPr>
      </w:pPr>
    </w:p>
    <w:p w14:paraId="6338A3CF" w14:textId="2EEBB407" w:rsidR="0021324C" w:rsidRPr="00B00A3A" w:rsidRDefault="00212B54" w:rsidP="00B00A3A">
      <w:pPr>
        <w:tabs>
          <w:tab w:val="left" w:pos="284"/>
        </w:tabs>
        <w:spacing w:line="276" w:lineRule="auto"/>
        <w:jc w:val="both"/>
        <w:rPr>
          <w:rFonts w:ascii="Tahoma" w:hAnsi="Tahoma" w:cs="Tahoma"/>
        </w:rPr>
      </w:pPr>
      <w:r w:rsidRPr="00B00A3A">
        <w:rPr>
          <w:rFonts w:ascii="Tahoma" w:hAnsi="Tahoma" w:cs="Tahoma"/>
        </w:rPr>
        <w:lastRenderedPageBreak/>
        <w:tab/>
      </w:r>
      <w:r w:rsidRPr="00B00A3A">
        <w:rPr>
          <w:rFonts w:ascii="Tahoma" w:hAnsi="Tahoma" w:cs="Tahoma"/>
        </w:rPr>
        <w:tab/>
        <w:t xml:space="preserve">Sea lo primero indicar </w:t>
      </w:r>
      <w:r w:rsidR="00C3560A" w:rsidRPr="00B00A3A">
        <w:rPr>
          <w:rFonts w:ascii="Tahoma" w:hAnsi="Tahoma" w:cs="Tahoma"/>
        </w:rPr>
        <w:t xml:space="preserve">que en la demanda se cuantificaron las pretensiones en la suma de </w:t>
      </w:r>
      <w:r w:rsidR="000741C5" w:rsidRPr="00B00A3A">
        <w:rPr>
          <w:rFonts w:ascii="Tahoma" w:hAnsi="Tahoma" w:cs="Tahoma"/>
        </w:rPr>
        <w:t>$114.781.242 correspondiente a las mesadas pensionales pretendidas en razón a un salario mínimo</w:t>
      </w:r>
      <w:r w:rsidR="00D403C2" w:rsidRPr="00B00A3A">
        <w:rPr>
          <w:rFonts w:ascii="Tahoma" w:hAnsi="Tahoma" w:cs="Tahoma"/>
        </w:rPr>
        <w:t xml:space="preserve">,  </w:t>
      </w:r>
      <w:r w:rsidR="0077073B" w:rsidRPr="00B00A3A">
        <w:rPr>
          <w:rFonts w:ascii="Tahoma" w:hAnsi="Tahoma" w:cs="Tahoma"/>
        </w:rPr>
        <w:t>valor que no supera</w:t>
      </w:r>
      <w:r w:rsidR="00D403C2" w:rsidRPr="00B00A3A">
        <w:rPr>
          <w:rFonts w:ascii="Tahoma" w:hAnsi="Tahoma" w:cs="Tahoma"/>
        </w:rPr>
        <w:t xml:space="preserve"> </w:t>
      </w:r>
      <w:r w:rsidR="0077073B" w:rsidRPr="00B00A3A">
        <w:rPr>
          <w:rFonts w:ascii="Tahoma" w:hAnsi="Tahoma" w:cs="Tahoma"/>
        </w:rPr>
        <w:t>a</w:t>
      </w:r>
      <w:r w:rsidR="00D403C2" w:rsidRPr="00B00A3A">
        <w:rPr>
          <w:rFonts w:ascii="Tahoma" w:hAnsi="Tahoma" w:cs="Tahoma"/>
        </w:rPr>
        <w:t>l equivalente a 150 salario mínimos para el año 201</w:t>
      </w:r>
      <w:r w:rsidR="0077073B" w:rsidRPr="00B00A3A">
        <w:rPr>
          <w:rFonts w:ascii="Tahoma" w:hAnsi="Tahoma" w:cs="Tahoma"/>
        </w:rPr>
        <w:t>8</w:t>
      </w:r>
      <w:r w:rsidR="00D403C2" w:rsidRPr="00B00A3A">
        <w:rPr>
          <w:rFonts w:ascii="Tahoma" w:hAnsi="Tahoma" w:cs="Tahoma"/>
        </w:rPr>
        <w:t xml:space="preserve"> -$</w:t>
      </w:r>
      <w:r w:rsidR="0077073B" w:rsidRPr="00B00A3A">
        <w:rPr>
          <w:rFonts w:ascii="Tahoma" w:hAnsi="Tahoma" w:cs="Tahoma"/>
        </w:rPr>
        <w:t xml:space="preserve"> 117.186.300</w:t>
      </w:r>
      <w:r w:rsidR="00D403C2" w:rsidRPr="00B00A3A">
        <w:rPr>
          <w:rFonts w:ascii="Tahoma" w:hAnsi="Tahoma" w:cs="Tahoma"/>
        </w:rPr>
        <w:t xml:space="preserve">-, </w:t>
      </w:r>
      <w:r w:rsidR="004A5140" w:rsidRPr="00B00A3A">
        <w:rPr>
          <w:rFonts w:ascii="Tahoma" w:hAnsi="Tahoma" w:cs="Tahoma"/>
        </w:rPr>
        <w:t>lo que implica que</w:t>
      </w:r>
      <w:r w:rsidR="00D403C2" w:rsidRPr="00B00A3A">
        <w:rPr>
          <w:rFonts w:ascii="Tahoma" w:hAnsi="Tahoma" w:cs="Tahoma"/>
        </w:rPr>
        <w:t xml:space="preserve"> </w:t>
      </w:r>
      <w:r w:rsidR="0077073B" w:rsidRPr="00B00A3A">
        <w:rPr>
          <w:rFonts w:ascii="Tahoma" w:hAnsi="Tahoma" w:cs="Tahoma"/>
        </w:rPr>
        <w:t xml:space="preserve">no </w:t>
      </w:r>
      <w:r w:rsidR="00D403C2" w:rsidRPr="00B00A3A">
        <w:rPr>
          <w:rFonts w:ascii="Tahoma" w:hAnsi="Tahoma" w:cs="Tahoma"/>
        </w:rPr>
        <w:t xml:space="preserve">le asiste razón al recurrente </w:t>
      </w:r>
      <w:r w:rsidR="0021324C" w:rsidRPr="00B00A3A">
        <w:rPr>
          <w:rFonts w:ascii="Tahoma" w:hAnsi="Tahoma" w:cs="Tahoma"/>
        </w:rPr>
        <w:t xml:space="preserve">en cuanto </w:t>
      </w:r>
      <w:r w:rsidR="00D403C2" w:rsidRPr="00B00A3A">
        <w:rPr>
          <w:rFonts w:ascii="Tahoma" w:hAnsi="Tahoma" w:cs="Tahoma"/>
        </w:rPr>
        <w:t xml:space="preserve">a que el porcentaje para fijar las agencias en derecho corresponde al de los procesos declarativos de mayor cuantía, </w:t>
      </w:r>
      <w:r w:rsidR="0077073B" w:rsidRPr="00B00A3A">
        <w:rPr>
          <w:rFonts w:ascii="Tahoma" w:hAnsi="Tahoma" w:cs="Tahoma"/>
        </w:rPr>
        <w:t>sino que corresponde a</w:t>
      </w:r>
      <w:r w:rsidR="004A5140" w:rsidRPr="00B00A3A">
        <w:rPr>
          <w:rFonts w:ascii="Tahoma" w:hAnsi="Tahoma" w:cs="Tahoma"/>
        </w:rPr>
        <w:t xml:space="preserve"> lo reglado</w:t>
      </w:r>
      <w:r w:rsidR="0077073B" w:rsidRPr="00B00A3A">
        <w:rPr>
          <w:rFonts w:ascii="Tahoma" w:hAnsi="Tahoma" w:cs="Tahoma"/>
        </w:rPr>
        <w:t xml:space="preserve"> para los procesos de menor cuantía, </w:t>
      </w:r>
      <w:r w:rsidR="0021324C" w:rsidRPr="00B00A3A">
        <w:rPr>
          <w:rFonts w:ascii="Tahoma" w:hAnsi="Tahoma" w:cs="Tahoma"/>
        </w:rPr>
        <w:t xml:space="preserve">esto es, </w:t>
      </w:r>
      <w:r w:rsidR="00D403C2" w:rsidRPr="00B00A3A">
        <w:rPr>
          <w:rFonts w:ascii="Tahoma" w:hAnsi="Tahoma" w:cs="Tahoma"/>
        </w:rPr>
        <w:t xml:space="preserve">entre el </w:t>
      </w:r>
      <w:r w:rsidR="0077073B" w:rsidRPr="00B00A3A">
        <w:rPr>
          <w:rFonts w:ascii="Tahoma" w:hAnsi="Tahoma" w:cs="Tahoma"/>
        </w:rPr>
        <w:t xml:space="preserve">4% y el 10% </w:t>
      </w:r>
      <w:r w:rsidR="00D403C2" w:rsidRPr="00B00A3A">
        <w:rPr>
          <w:rFonts w:ascii="Tahoma" w:hAnsi="Tahoma" w:cs="Tahoma"/>
        </w:rPr>
        <w:t xml:space="preserve">de lo pedido, </w:t>
      </w:r>
      <w:r w:rsidR="0077073B" w:rsidRPr="00B00A3A">
        <w:rPr>
          <w:rFonts w:ascii="Tahoma" w:hAnsi="Tahoma" w:cs="Tahoma"/>
        </w:rPr>
        <w:t xml:space="preserve">tal como lo consideró la a-quo, en el entendido que, aunque es cierto que en materia laboral los procesos no se clasifican por cuantía, ello no impide que para efectos de establecer el rango de las agencias en derecho se acuda a las normas procesales generales. </w:t>
      </w:r>
    </w:p>
    <w:p w14:paraId="31D4631C" w14:textId="77777777" w:rsidR="005E426F" w:rsidRPr="00B00A3A" w:rsidRDefault="005E426F" w:rsidP="00B00A3A">
      <w:pPr>
        <w:tabs>
          <w:tab w:val="left" w:pos="284"/>
        </w:tabs>
        <w:spacing w:line="276" w:lineRule="auto"/>
        <w:jc w:val="both"/>
        <w:rPr>
          <w:rFonts w:ascii="Tahoma" w:hAnsi="Tahoma" w:cs="Tahoma"/>
        </w:rPr>
      </w:pPr>
    </w:p>
    <w:p w14:paraId="7D496194" w14:textId="1887EE79" w:rsidR="00E3019F" w:rsidRPr="00B00A3A" w:rsidRDefault="00164D91" w:rsidP="00B00A3A">
      <w:pPr>
        <w:tabs>
          <w:tab w:val="left" w:pos="284"/>
        </w:tabs>
        <w:spacing w:line="276" w:lineRule="auto"/>
        <w:jc w:val="both"/>
        <w:rPr>
          <w:rFonts w:ascii="Tahoma" w:hAnsi="Tahoma" w:cs="Tahoma"/>
        </w:rPr>
      </w:pPr>
      <w:r w:rsidRPr="00B00A3A">
        <w:rPr>
          <w:rFonts w:ascii="Tahoma" w:hAnsi="Tahoma" w:cs="Tahoma"/>
        </w:rPr>
        <w:tab/>
      </w:r>
      <w:r w:rsidRPr="00B00A3A">
        <w:rPr>
          <w:rFonts w:ascii="Tahoma" w:hAnsi="Tahoma" w:cs="Tahoma"/>
        </w:rPr>
        <w:tab/>
      </w:r>
      <w:r w:rsidR="00DB2133" w:rsidRPr="00B00A3A">
        <w:rPr>
          <w:rFonts w:ascii="Tahoma" w:hAnsi="Tahoma" w:cs="Tahoma"/>
        </w:rPr>
        <w:t>Ahora, s</w:t>
      </w:r>
      <w:r w:rsidR="00E3019F" w:rsidRPr="00B00A3A">
        <w:rPr>
          <w:rFonts w:ascii="Tahoma" w:hAnsi="Tahoma" w:cs="Tahoma"/>
        </w:rPr>
        <w:t>i partimos de la base de que las agencias en derecho constituye</w:t>
      </w:r>
      <w:r w:rsidR="007D4752" w:rsidRPr="00B00A3A">
        <w:rPr>
          <w:rFonts w:ascii="Tahoma" w:hAnsi="Tahoma" w:cs="Tahoma"/>
        </w:rPr>
        <w:t>n</w:t>
      </w:r>
      <w:r w:rsidR="00E3019F" w:rsidRPr="00B00A3A">
        <w:rPr>
          <w:rFonts w:ascii="Tahoma" w:hAnsi="Tahoma" w:cs="Tahoma"/>
        </w:rPr>
        <w:t xml:space="preserve"> la cantidad que debe el juez ordenar para el favorecido con la condena en costas, con el fin de resarcirle los gastos que tuvo que afrontar para pagar los honorarios de un abogado</w:t>
      </w:r>
      <w:r w:rsidR="0021324C" w:rsidRPr="00B00A3A">
        <w:rPr>
          <w:rFonts w:ascii="Tahoma" w:hAnsi="Tahoma" w:cs="Tahoma"/>
        </w:rPr>
        <w:t>, p</w:t>
      </w:r>
      <w:r w:rsidR="00E3019F" w:rsidRPr="00B00A3A">
        <w:rPr>
          <w:rFonts w:ascii="Tahoma" w:hAnsi="Tahoma" w:cs="Tahoma"/>
        </w:rPr>
        <w:t>ara concretar el valor de las referidas agencias se debieron analizar los criterios señalados en las normas aplicables, tales como la naturaleza, la calidad y la duración de la gestión realizada por el apoderado, la naturaleza de las pretensiones y demás circunstancias relacionadas</w:t>
      </w:r>
      <w:r w:rsidR="0021324C" w:rsidRPr="00B00A3A">
        <w:rPr>
          <w:rFonts w:ascii="Tahoma" w:hAnsi="Tahoma" w:cs="Tahoma"/>
        </w:rPr>
        <w:t>, sin que ello implique, prima facie, que cuando el trabajador resulte vencido deba aplicarse necesariamente el mínimo porcentaje permitido, tal como lo pretende el recurrente</w:t>
      </w:r>
      <w:r w:rsidR="00E3019F" w:rsidRPr="00B00A3A">
        <w:rPr>
          <w:rFonts w:ascii="Tahoma" w:hAnsi="Tahoma" w:cs="Tahoma"/>
        </w:rPr>
        <w:t>.</w:t>
      </w:r>
    </w:p>
    <w:p w14:paraId="03316760" w14:textId="77777777" w:rsidR="00E3019F" w:rsidRPr="00B00A3A" w:rsidRDefault="00E3019F" w:rsidP="00B00A3A">
      <w:pPr>
        <w:pStyle w:val="Sinespaciado"/>
        <w:spacing w:line="276" w:lineRule="auto"/>
        <w:rPr>
          <w:rFonts w:ascii="Tahoma" w:hAnsi="Tahoma" w:cs="Tahoma"/>
        </w:rPr>
      </w:pPr>
    </w:p>
    <w:p w14:paraId="1C15899B" w14:textId="7186DAE4" w:rsidR="00E3019F" w:rsidRPr="00B00A3A" w:rsidRDefault="0021324C" w:rsidP="00B00A3A">
      <w:pPr>
        <w:autoSpaceDE w:val="0"/>
        <w:autoSpaceDN w:val="0"/>
        <w:adjustRightInd w:val="0"/>
        <w:spacing w:line="276" w:lineRule="auto"/>
        <w:ind w:firstLine="709"/>
        <w:jc w:val="both"/>
        <w:rPr>
          <w:rFonts w:ascii="Tahoma" w:hAnsi="Tahoma" w:cs="Tahoma"/>
          <w:shd w:val="clear" w:color="auto" w:fill="FAF9F8"/>
        </w:rPr>
      </w:pPr>
      <w:r w:rsidRPr="00B00A3A">
        <w:rPr>
          <w:rFonts w:ascii="Tahoma" w:hAnsi="Tahoma" w:cs="Tahoma"/>
        </w:rPr>
        <w:t>Así, e</w:t>
      </w:r>
      <w:r w:rsidR="00E3019F" w:rsidRPr="00B00A3A">
        <w:rPr>
          <w:rFonts w:ascii="Tahoma" w:hAnsi="Tahoma" w:cs="Tahoma"/>
        </w:rPr>
        <w:t>n el caso concreto la pretensión perseguida era de carácter pecuniaria, se practicaron pruebas de índole</w:t>
      </w:r>
      <w:r w:rsidR="0091059B" w:rsidRPr="00B00A3A">
        <w:rPr>
          <w:rFonts w:ascii="Tahoma" w:hAnsi="Tahoma" w:cs="Tahoma"/>
        </w:rPr>
        <w:t xml:space="preserve"> documental</w:t>
      </w:r>
      <w:r w:rsidR="00DB2133" w:rsidRPr="00B00A3A">
        <w:rPr>
          <w:rFonts w:ascii="Tahoma" w:hAnsi="Tahoma" w:cs="Tahoma"/>
        </w:rPr>
        <w:t xml:space="preserve"> y</w:t>
      </w:r>
      <w:r w:rsidR="00EA5DD2" w:rsidRPr="00B00A3A">
        <w:rPr>
          <w:rFonts w:ascii="Tahoma" w:hAnsi="Tahoma" w:cs="Tahoma"/>
        </w:rPr>
        <w:t xml:space="preserve"> </w:t>
      </w:r>
      <w:r w:rsidR="00DB2133" w:rsidRPr="00B00A3A">
        <w:rPr>
          <w:rFonts w:ascii="Tahoma" w:hAnsi="Tahoma" w:cs="Tahoma"/>
        </w:rPr>
        <w:t>testimonial</w:t>
      </w:r>
      <w:r w:rsidR="00E3019F" w:rsidRPr="00B00A3A">
        <w:rPr>
          <w:rFonts w:ascii="Tahoma" w:hAnsi="Tahoma" w:cs="Tahoma"/>
        </w:rPr>
        <w:t>; además, es menester considerar que la duración en primera instancia se extendió entre el</w:t>
      </w:r>
      <w:r w:rsidR="00EA5DD2" w:rsidRPr="00B00A3A">
        <w:rPr>
          <w:rFonts w:ascii="Tahoma" w:hAnsi="Tahoma" w:cs="Tahoma"/>
        </w:rPr>
        <w:t xml:space="preserve"> </w:t>
      </w:r>
      <w:r w:rsidR="004A5140" w:rsidRPr="00B00A3A">
        <w:rPr>
          <w:rFonts w:ascii="Tahoma" w:hAnsi="Tahoma" w:cs="Tahoma"/>
        </w:rPr>
        <w:t>10 de septiembre de 2018</w:t>
      </w:r>
      <w:r w:rsidR="00E3019F" w:rsidRPr="00B00A3A">
        <w:rPr>
          <w:rFonts w:ascii="Tahoma" w:hAnsi="Tahoma" w:cs="Tahoma"/>
        </w:rPr>
        <w:t xml:space="preserve"> y el </w:t>
      </w:r>
      <w:r w:rsidR="004A5140" w:rsidRPr="00B00A3A">
        <w:rPr>
          <w:rFonts w:ascii="Tahoma" w:hAnsi="Tahoma" w:cs="Tahoma"/>
        </w:rPr>
        <w:t>04 de octubre de 2022</w:t>
      </w:r>
      <w:r w:rsidR="00E3019F" w:rsidRPr="00B00A3A">
        <w:rPr>
          <w:rFonts w:ascii="Tahoma" w:hAnsi="Tahoma" w:cs="Tahoma"/>
        </w:rPr>
        <w:t>, fecha en que</w:t>
      </w:r>
      <w:r w:rsidR="004A5140" w:rsidRPr="00B00A3A">
        <w:rPr>
          <w:rFonts w:ascii="Tahoma" w:hAnsi="Tahoma" w:cs="Tahoma"/>
        </w:rPr>
        <w:t xml:space="preserve"> se negaron las pretensiones de la demanda</w:t>
      </w:r>
      <w:r w:rsidR="00EA5DD2" w:rsidRPr="00B00A3A">
        <w:rPr>
          <w:rFonts w:ascii="Tahoma" w:hAnsi="Tahoma" w:cs="Tahoma"/>
        </w:rPr>
        <w:t>, por lo que se condenó en costas al actor</w:t>
      </w:r>
      <w:r w:rsidR="00E3019F" w:rsidRPr="00B00A3A">
        <w:rPr>
          <w:rFonts w:ascii="Tahoma" w:hAnsi="Tahoma" w:cs="Tahoma"/>
        </w:rPr>
        <w:t xml:space="preserve">, la cual fue apelada por </w:t>
      </w:r>
      <w:r w:rsidR="00EA5DD2" w:rsidRPr="00B00A3A">
        <w:rPr>
          <w:rFonts w:ascii="Tahoma" w:hAnsi="Tahoma" w:cs="Tahoma"/>
        </w:rPr>
        <w:t>la activa</w:t>
      </w:r>
      <w:r w:rsidR="00E3019F" w:rsidRPr="00B00A3A">
        <w:rPr>
          <w:rFonts w:ascii="Tahoma" w:hAnsi="Tahoma" w:cs="Tahoma"/>
        </w:rPr>
        <w:t xml:space="preserve">, emitiéndose sentencia por parte de esta Colegiatura </w:t>
      </w:r>
      <w:r w:rsidR="75191BFE" w:rsidRPr="00B00A3A">
        <w:rPr>
          <w:rFonts w:ascii="Tahoma" w:hAnsi="Tahoma" w:cs="Tahoma"/>
        </w:rPr>
        <w:t>el 01</w:t>
      </w:r>
      <w:r w:rsidR="004A5140" w:rsidRPr="00B00A3A">
        <w:rPr>
          <w:rFonts w:ascii="Tahoma" w:hAnsi="Tahoma" w:cs="Tahoma"/>
        </w:rPr>
        <w:t xml:space="preserve"> de junio de 2023</w:t>
      </w:r>
      <w:r w:rsidR="00E3019F" w:rsidRPr="00B00A3A">
        <w:rPr>
          <w:rFonts w:ascii="Tahoma" w:hAnsi="Tahoma" w:cs="Tahoma"/>
        </w:rPr>
        <w:t>.</w:t>
      </w:r>
    </w:p>
    <w:p w14:paraId="014CD1F5" w14:textId="77777777" w:rsidR="00E3019F" w:rsidRPr="00B00A3A" w:rsidRDefault="00E3019F" w:rsidP="00B00A3A">
      <w:pPr>
        <w:autoSpaceDE w:val="0"/>
        <w:autoSpaceDN w:val="0"/>
        <w:adjustRightInd w:val="0"/>
        <w:spacing w:line="276" w:lineRule="auto"/>
        <w:ind w:firstLine="709"/>
        <w:jc w:val="both"/>
        <w:rPr>
          <w:rFonts w:ascii="Tahoma" w:hAnsi="Tahoma" w:cs="Tahoma"/>
          <w:shd w:val="clear" w:color="auto" w:fill="FAF9F8"/>
        </w:rPr>
      </w:pPr>
    </w:p>
    <w:p w14:paraId="2E36956C" w14:textId="7FAE5B4E" w:rsidR="0019529E" w:rsidRPr="00B00A3A" w:rsidRDefault="005E426F" w:rsidP="00B00A3A">
      <w:pPr>
        <w:autoSpaceDE w:val="0"/>
        <w:autoSpaceDN w:val="0"/>
        <w:adjustRightInd w:val="0"/>
        <w:spacing w:line="276" w:lineRule="auto"/>
        <w:ind w:firstLine="709"/>
        <w:jc w:val="both"/>
        <w:rPr>
          <w:rFonts w:ascii="Tahoma" w:hAnsi="Tahoma" w:cs="Tahoma"/>
        </w:rPr>
      </w:pPr>
      <w:r w:rsidRPr="00B00A3A">
        <w:rPr>
          <w:rFonts w:ascii="Tahoma" w:hAnsi="Tahoma" w:cs="Tahoma"/>
        </w:rPr>
        <w:t>Por otra parte, e</w:t>
      </w:r>
      <w:r w:rsidR="00E3019F" w:rsidRPr="00B00A3A">
        <w:rPr>
          <w:rFonts w:ascii="Tahoma" w:hAnsi="Tahoma" w:cs="Tahoma"/>
        </w:rPr>
        <w:t xml:space="preserve">n el expediente digital se advierte que </w:t>
      </w:r>
      <w:r w:rsidR="004A5140" w:rsidRPr="00B00A3A">
        <w:rPr>
          <w:rFonts w:ascii="Tahoma" w:hAnsi="Tahoma" w:cs="Tahoma"/>
        </w:rPr>
        <w:t>los profesionales</w:t>
      </w:r>
      <w:r w:rsidR="00E3019F" w:rsidRPr="00B00A3A">
        <w:rPr>
          <w:rFonts w:ascii="Tahoma" w:hAnsi="Tahoma" w:cs="Tahoma"/>
        </w:rPr>
        <w:t xml:space="preserve"> que actúa</w:t>
      </w:r>
      <w:r w:rsidR="004A5140" w:rsidRPr="00B00A3A">
        <w:rPr>
          <w:rFonts w:ascii="Tahoma" w:hAnsi="Tahoma" w:cs="Tahoma"/>
        </w:rPr>
        <w:t>n</w:t>
      </w:r>
      <w:r w:rsidR="00E3019F" w:rsidRPr="00B00A3A">
        <w:rPr>
          <w:rFonts w:ascii="Tahoma" w:hAnsi="Tahoma" w:cs="Tahoma"/>
        </w:rPr>
        <w:t xml:space="preserve"> en nombre </w:t>
      </w:r>
      <w:r w:rsidR="0091059B" w:rsidRPr="00B00A3A">
        <w:rPr>
          <w:rFonts w:ascii="Tahoma" w:hAnsi="Tahoma" w:cs="Tahoma"/>
        </w:rPr>
        <w:t xml:space="preserve">de </w:t>
      </w:r>
      <w:r w:rsidR="00E25FF6" w:rsidRPr="00B00A3A">
        <w:rPr>
          <w:rFonts w:ascii="Tahoma" w:hAnsi="Tahoma" w:cs="Tahoma"/>
        </w:rPr>
        <w:t>la</w:t>
      </w:r>
      <w:r w:rsidR="004A5140" w:rsidRPr="00B00A3A">
        <w:rPr>
          <w:rFonts w:ascii="Tahoma" w:hAnsi="Tahoma" w:cs="Tahoma"/>
        </w:rPr>
        <w:t>s</w:t>
      </w:r>
      <w:r w:rsidR="00E25FF6" w:rsidRPr="00B00A3A">
        <w:rPr>
          <w:rFonts w:ascii="Tahoma" w:hAnsi="Tahoma" w:cs="Tahoma"/>
        </w:rPr>
        <w:t xml:space="preserve"> </w:t>
      </w:r>
      <w:r w:rsidR="0021324C" w:rsidRPr="00B00A3A">
        <w:rPr>
          <w:rFonts w:ascii="Tahoma" w:hAnsi="Tahoma" w:cs="Tahoma"/>
        </w:rPr>
        <w:t>demandada</w:t>
      </w:r>
      <w:r w:rsidR="004A5140" w:rsidRPr="00B00A3A">
        <w:rPr>
          <w:rFonts w:ascii="Tahoma" w:hAnsi="Tahoma" w:cs="Tahoma"/>
        </w:rPr>
        <w:t>s</w:t>
      </w:r>
      <w:r w:rsidR="00E3019F" w:rsidRPr="00B00A3A">
        <w:rPr>
          <w:rFonts w:ascii="Tahoma" w:hAnsi="Tahoma" w:cs="Tahoma"/>
        </w:rPr>
        <w:t xml:space="preserve"> </w:t>
      </w:r>
      <w:r w:rsidR="00EA5DD2" w:rsidRPr="00B00A3A">
        <w:rPr>
          <w:rFonts w:ascii="Tahoma" w:hAnsi="Tahoma" w:cs="Tahoma"/>
        </w:rPr>
        <w:t>contest</w:t>
      </w:r>
      <w:r w:rsidR="004A5140" w:rsidRPr="00B00A3A">
        <w:rPr>
          <w:rFonts w:ascii="Tahoma" w:hAnsi="Tahoma" w:cs="Tahoma"/>
        </w:rPr>
        <w:t>aron</w:t>
      </w:r>
      <w:r w:rsidR="00EA5DD2" w:rsidRPr="00B00A3A">
        <w:rPr>
          <w:rFonts w:ascii="Tahoma" w:hAnsi="Tahoma" w:cs="Tahoma"/>
        </w:rPr>
        <w:t xml:space="preserve"> en término la demanda y </w:t>
      </w:r>
      <w:r w:rsidR="00E3019F" w:rsidRPr="00B00A3A">
        <w:rPr>
          <w:rFonts w:ascii="Tahoma" w:hAnsi="Tahoma" w:cs="Tahoma"/>
        </w:rPr>
        <w:t>procur</w:t>
      </w:r>
      <w:r w:rsidR="00E926C3" w:rsidRPr="00B00A3A">
        <w:rPr>
          <w:rFonts w:ascii="Tahoma" w:hAnsi="Tahoma" w:cs="Tahoma"/>
        </w:rPr>
        <w:t>aron</w:t>
      </w:r>
      <w:r w:rsidR="00E3019F" w:rsidRPr="00B00A3A">
        <w:rPr>
          <w:rFonts w:ascii="Tahoma" w:hAnsi="Tahoma" w:cs="Tahoma"/>
        </w:rPr>
        <w:t xml:space="preserve"> la </w:t>
      </w:r>
      <w:r w:rsidR="0091059B" w:rsidRPr="00B00A3A">
        <w:rPr>
          <w:rFonts w:ascii="Tahoma" w:hAnsi="Tahoma" w:cs="Tahoma"/>
        </w:rPr>
        <w:t>consecución de la totalidad de la prueba documental que favoreció los intereses de su</w:t>
      </w:r>
      <w:r w:rsidR="00E926C3" w:rsidRPr="00B00A3A">
        <w:rPr>
          <w:rFonts w:ascii="Tahoma" w:hAnsi="Tahoma" w:cs="Tahoma"/>
        </w:rPr>
        <w:t>s</w:t>
      </w:r>
      <w:r w:rsidR="0091059B" w:rsidRPr="00B00A3A">
        <w:rPr>
          <w:rFonts w:ascii="Tahoma" w:hAnsi="Tahoma" w:cs="Tahoma"/>
        </w:rPr>
        <w:t xml:space="preserve"> client</w:t>
      </w:r>
      <w:r w:rsidR="00E25FF6" w:rsidRPr="00B00A3A">
        <w:rPr>
          <w:rFonts w:ascii="Tahoma" w:hAnsi="Tahoma" w:cs="Tahoma"/>
        </w:rPr>
        <w:t>a</w:t>
      </w:r>
      <w:r w:rsidR="00E926C3" w:rsidRPr="00B00A3A">
        <w:rPr>
          <w:rFonts w:ascii="Tahoma" w:hAnsi="Tahoma" w:cs="Tahoma"/>
        </w:rPr>
        <w:t>s</w:t>
      </w:r>
      <w:r w:rsidR="0091059B" w:rsidRPr="00B00A3A">
        <w:rPr>
          <w:rFonts w:ascii="Tahoma" w:hAnsi="Tahoma" w:cs="Tahoma"/>
        </w:rPr>
        <w:t xml:space="preserve">; </w:t>
      </w:r>
      <w:r w:rsidR="00DB2133" w:rsidRPr="00B00A3A">
        <w:rPr>
          <w:rFonts w:ascii="Tahoma" w:hAnsi="Tahoma" w:cs="Tahoma"/>
        </w:rPr>
        <w:t xml:space="preserve">actuando </w:t>
      </w:r>
      <w:r w:rsidR="00E3019F" w:rsidRPr="00B00A3A">
        <w:rPr>
          <w:rFonts w:ascii="Tahoma" w:hAnsi="Tahoma" w:cs="Tahoma"/>
        </w:rPr>
        <w:t>en todas las audiencias y en todo el trámite procesal, lo cual permití</w:t>
      </w:r>
      <w:r w:rsidR="003D6E07" w:rsidRPr="00B00A3A">
        <w:rPr>
          <w:rFonts w:ascii="Tahoma" w:hAnsi="Tahoma" w:cs="Tahoma"/>
        </w:rPr>
        <w:t>a</w:t>
      </w:r>
      <w:r w:rsidR="00E3019F" w:rsidRPr="00B00A3A">
        <w:rPr>
          <w:rFonts w:ascii="Tahoma" w:hAnsi="Tahoma" w:cs="Tahoma"/>
        </w:rPr>
        <w:t xml:space="preserve"> establecer un porcentaje del </w:t>
      </w:r>
      <w:r w:rsidR="00E926C3" w:rsidRPr="00B00A3A">
        <w:rPr>
          <w:rFonts w:ascii="Tahoma" w:hAnsi="Tahoma" w:cs="Tahoma"/>
        </w:rPr>
        <w:t>5</w:t>
      </w:r>
      <w:r w:rsidR="00E3019F" w:rsidRPr="00B00A3A">
        <w:rPr>
          <w:rFonts w:ascii="Tahoma" w:hAnsi="Tahoma" w:cs="Tahoma"/>
        </w:rPr>
        <w:t>%</w:t>
      </w:r>
      <w:r w:rsidR="00B507B0" w:rsidRPr="00B00A3A">
        <w:rPr>
          <w:rStyle w:val="Refdenotaalpie"/>
          <w:rFonts w:ascii="Tahoma" w:hAnsi="Tahoma" w:cs="Tahoma"/>
        </w:rPr>
        <w:footnoteReference w:id="3"/>
      </w:r>
      <w:r w:rsidR="00E3019F" w:rsidRPr="00B00A3A">
        <w:rPr>
          <w:rFonts w:ascii="Tahoma" w:hAnsi="Tahoma" w:cs="Tahoma"/>
        </w:rPr>
        <w:t xml:space="preserve"> sobre lo pretendido en la demanda principal,</w:t>
      </w:r>
      <w:r w:rsidR="003D6E07" w:rsidRPr="00B00A3A">
        <w:rPr>
          <w:rFonts w:ascii="Tahoma" w:hAnsi="Tahoma" w:cs="Tahoma"/>
        </w:rPr>
        <w:t xml:space="preserve"> </w:t>
      </w:r>
      <w:r w:rsidR="00E926C3" w:rsidRPr="00B00A3A">
        <w:rPr>
          <w:rFonts w:ascii="Tahoma" w:hAnsi="Tahoma" w:cs="Tahoma"/>
        </w:rPr>
        <w:t>como lo hiciera la a-quo, toda vez que el valor de las pretensiones se encuentra más cerca del límite superior de los procesos de menor cuantía y, por ello, había lugar a ubicarse en el límite inferior del porcentaje</w:t>
      </w:r>
      <w:r w:rsidR="00592943" w:rsidRPr="00B00A3A">
        <w:rPr>
          <w:rFonts w:ascii="Tahoma" w:hAnsi="Tahoma" w:cs="Tahoma"/>
        </w:rPr>
        <w:t xml:space="preserve"> -4% y 5%-, siendo procedente el mayor valor entre estos, toda vez que </w:t>
      </w:r>
      <w:r w:rsidR="00E926C3" w:rsidRPr="00B00A3A">
        <w:rPr>
          <w:rFonts w:ascii="Tahoma" w:hAnsi="Tahoma" w:cs="Tahoma"/>
        </w:rPr>
        <w:t xml:space="preserve">la duración del proceso en primera instancia por más de 4 años, sin que la tardanza pueda atribuírsele a negligencia de la pasiva, hacen procedente </w:t>
      </w:r>
      <w:r w:rsidR="00592943" w:rsidRPr="00B00A3A">
        <w:rPr>
          <w:rFonts w:ascii="Tahoma" w:hAnsi="Tahoma" w:cs="Tahoma"/>
        </w:rPr>
        <w:t>apartarse del menor porcentaje por lo menos en un punto</w:t>
      </w:r>
      <w:r w:rsidR="00E926C3" w:rsidRPr="00B00A3A">
        <w:rPr>
          <w:rFonts w:ascii="Tahoma" w:hAnsi="Tahoma" w:cs="Tahoma"/>
        </w:rPr>
        <w:t xml:space="preserve">. </w:t>
      </w:r>
    </w:p>
    <w:p w14:paraId="4AD7BB1C" w14:textId="77777777" w:rsidR="00B86CD0" w:rsidRPr="00B00A3A" w:rsidRDefault="00B86CD0" w:rsidP="00B00A3A">
      <w:pPr>
        <w:autoSpaceDE w:val="0"/>
        <w:autoSpaceDN w:val="0"/>
        <w:adjustRightInd w:val="0"/>
        <w:spacing w:line="276" w:lineRule="auto"/>
        <w:ind w:firstLine="709"/>
        <w:jc w:val="both"/>
        <w:rPr>
          <w:rFonts w:ascii="Tahoma" w:hAnsi="Tahoma" w:cs="Tahoma"/>
        </w:rPr>
      </w:pPr>
    </w:p>
    <w:p w14:paraId="18FC4285" w14:textId="2090A007" w:rsidR="00485D25" w:rsidRPr="00B00A3A" w:rsidRDefault="00485D25" w:rsidP="00B00A3A">
      <w:pPr>
        <w:autoSpaceDE w:val="0"/>
        <w:autoSpaceDN w:val="0"/>
        <w:adjustRightInd w:val="0"/>
        <w:spacing w:line="276" w:lineRule="auto"/>
        <w:ind w:firstLine="708"/>
        <w:jc w:val="both"/>
        <w:rPr>
          <w:rFonts w:ascii="Tahoma" w:hAnsi="Tahoma" w:cs="Tahoma"/>
        </w:rPr>
      </w:pPr>
      <w:r w:rsidRPr="00B00A3A">
        <w:rPr>
          <w:rFonts w:ascii="Tahoma" w:hAnsi="Tahoma" w:cs="Tahoma"/>
        </w:rPr>
        <w:t>Al no haber prosperado el recurso, las costas procesales de segunda instancia correrán a cargo de la parte recurrente en un 100%, las cuales serán liquidadas por la secretaría del juzgado de origen.</w:t>
      </w:r>
    </w:p>
    <w:p w14:paraId="689CA953" w14:textId="77777777" w:rsidR="00E3019F" w:rsidRPr="00B00A3A" w:rsidRDefault="00E3019F" w:rsidP="00B00A3A">
      <w:pPr>
        <w:autoSpaceDE w:val="0"/>
        <w:autoSpaceDN w:val="0"/>
        <w:adjustRightInd w:val="0"/>
        <w:spacing w:line="276" w:lineRule="auto"/>
        <w:ind w:firstLine="561"/>
        <w:jc w:val="both"/>
        <w:rPr>
          <w:rFonts w:ascii="Tahoma" w:hAnsi="Tahoma" w:cs="Tahoma"/>
          <w:color w:val="000000"/>
        </w:rPr>
      </w:pPr>
    </w:p>
    <w:p w14:paraId="5D18CB2A" w14:textId="77777777" w:rsidR="00E3019F" w:rsidRPr="00B00A3A" w:rsidRDefault="00E3019F" w:rsidP="00B00A3A">
      <w:pPr>
        <w:spacing w:line="276" w:lineRule="auto"/>
        <w:ind w:firstLine="708"/>
        <w:jc w:val="both"/>
        <w:rPr>
          <w:rFonts w:ascii="Tahoma" w:hAnsi="Tahoma" w:cs="Tahoma"/>
          <w:b/>
        </w:rPr>
      </w:pPr>
      <w:r w:rsidRPr="00B00A3A">
        <w:rPr>
          <w:rFonts w:ascii="Tahoma" w:hAnsi="Tahoma" w:cs="Tahoma"/>
          <w:spacing w:val="2"/>
        </w:rPr>
        <w:lastRenderedPageBreak/>
        <w:t xml:space="preserve">En mérito de lo expuesto, </w:t>
      </w:r>
      <w:r w:rsidRPr="00B00A3A">
        <w:rPr>
          <w:rFonts w:ascii="Tahoma" w:hAnsi="Tahoma" w:cs="Tahoma"/>
        </w:rPr>
        <w:t xml:space="preserve">el </w:t>
      </w:r>
      <w:r w:rsidRPr="00B00A3A">
        <w:rPr>
          <w:rFonts w:ascii="Tahoma" w:hAnsi="Tahoma" w:cs="Tahoma"/>
          <w:b/>
        </w:rPr>
        <w:t xml:space="preserve">Tribunal Superior del Distrito Judicial de Pereira, Sala Primera de Decisión Laboral, </w:t>
      </w:r>
    </w:p>
    <w:p w14:paraId="1B36E752" w14:textId="77777777" w:rsidR="00E3019F" w:rsidRPr="00B00A3A" w:rsidRDefault="00E3019F" w:rsidP="00B00A3A">
      <w:pPr>
        <w:spacing w:line="276" w:lineRule="auto"/>
        <w:ind w:firstLine="708"/>
        <w:jc w:val="both"/>
        <w:rPr>
          <w:rFonts w:ascii="Tahoma" w:hAnsi="Tahoma" w:cs="Tahoma"/>
          <w:b/>
        </w:rPr>
      </w:pPr>
    </w:p>
    <w:p w14:paraId="6BCEE2CD" w14:textId="77777777" w:rsidR="00E3019F" w:rsidRPr="00B00A3A" w:rsidRDefault="00E3019F" w:rsidP="00885D98">
      <w:pPr>
        <w:spacing w:line="276" w:lineRule="auto"/>
        <w:jc w:val="center"/>
        <w:rPr>
          <w:rFonts w:ascii="Tahoma" w:hAnsi="Tahoma" w:cs="Tahoma"/>
          <w:b/>
        </w:rPr>
      </w:pPr>
      <w:r w:rsidRPr="00B00A3A">
        <w:rPr>
          <w:rFonts w:ascii="Tahoma" w:hAnsi="Tahoma" w:cs="Tahoma"/>
          <w:b/>
        </w:rPr>
        <w:t>R E S U E L V E:</w:t>
      </w:r>
    </w:p>
    <w:p w14:paraId="7ADFB0CE" w14:textId="77777777" w:rsidR="00E3019F" w:rsidRPr="00B00A3A" w:rsidRDefault="00E3019F" w:rsidP="00B00A3A">
      <w:pPr>
        <w:spacing w:line="276" w:lineRule="auto"/>
        <w:ind w:firstLine="708"/>
        <w:jc w:val="center"/>
        <w:rPr>
          <w:rFonts w:ascii="Tahoma" w:hAnsi="Tahoma" w:cs="Tahoma"/>
          <w:b/>
        </w:rPr>
      </w:pPr>
    </w:p>
    <w:p w14:paraId="418059E3" w14:textId="5750F5CF" w:rsidR="00485D25" w:rsidRPr="00B00A3A" w:rsidRDefault="00885D98" w:rsidP="00B00A3A">
      <w:pPr>
        <w:spacing w:line="276" w:lineRule="auto"/>
        <w:ind w:firstLine="708"/>
        <w:jc w:val="both"/>
        <w:rPr>
          <w:rFonts w:ascii="Tahoma" w:hAnsi="Tahoma" w:cs="Tahoma"/>
        </w:rPr>
      </w:pPr>
      <w:r w:rsidRPr="00B00A3A">
        <w:rPr>
          <w:rFonts w:ascii="Tahoma" w:hAnsi="Tahoma" w:cs="Tahoma"/>
          <w:b/>
          <w:u w:val="single"/>
        </w:rPr>
        <w:t>PRIMERO</w:t>
      </w:r>
      <w:r w:rsidRPr="00B00A3A">
        <w:rPr>
          <w:rFonts w:ascii="Tahoma" w:hAnsi="Tahoma" w:cs="Tahoma"/>
          <w:b/>
        </w:rPr>
        <w:t>. -</w:t>
      </w:r>
      <w:r w:rsidR="00E3019F" w:rsidRPr="00B00A3A">
        <w:rPr>
          <w:rFonts w:ascii="Tahoma" w:hAnsi="Tahoma" w:cs="Tahoma"/>
          <w:b/>
        </w:rPr>
        <w:t xml:space="preserve"> </w:t>
      </w:r>
      <w:r w:rsidR="00485D25" w:rsidRPr="00B00A3A">
        <w:rPr>
          <w:rFonts w:ascii="Tahoma" w:hAnsi="Tahoma" w:cs="Tahoma"/>
          <w:b/>
        </w:rPr>
        <w:t xml:space="preserve">CONFIRMAR </w:t>
      </w:r>
      <w:r w:rsidR="00485D25" w:rsidRPr="00B00A3A">
        <w:rPr>
          <w:rFonts w:ascii="Tahoma" w:hAnsi="Tahoma" w:cs="Tahoma"/>
        </w:rPr>
        <w:t xml:space="preserve">el auto proferido el </w:t>
      </w:r>
      <w:r w:rsidR="009469D8" w:rsidRPr="00B00A3A">
        <w:rPr>
          <w:rFonts w:ascii="Tahoma" w:eastAsiaTheme="minorHAnsi" w:hAnsi="Tahoma" w:cs="Tahoma"/>
          <w:lang w:val="es-CO" w:eastAsia="en-US"/>
        </w:rPr>
        <w:t>26 de octubre de 2023</w:t>
      </w:r>
      <w:r w:rsidR="00485D25" w:rsidRPr="00B00A3A">
        <w:rPr>
          <w:rFonts w:ascii="Tahoma" w:hAnsi="Tahoma" w:cs="Tahoma"/>
        </w:rPr>
        <w:t>por el Juzgado Cuarto Laboral del Circuito de Pereira, por las razones expuestas en la parte motiva de esta providencia.</w:t>
      </w:r>
    </w:p>
    <w:p w14:paraId="74051E3F" w14:textId="77777777" w:rsidR="00485D25" w:rsidRPr="00B00A3A" w:rsidRDefault="00485D25" w:rsidP="00B00A3A">
      <w:pPr>
        <w:spacing w:line="276" w:lineRule="auto"/>
        <w:ind w:firstLine="708"/>
        <w:jc w:val="both"/>
        <w:rPr>
          <w:rFonts w:ascii="Tahoma" w:hAnsi="Tahoma" w:cs="Tahoma"/>
        </w:rPr>
      </w:pPr>
    </w:p>
    <w:p w14:paraId="03664D5A" w14:textId="38078EE2" w:rsidR="00485D25" w:rsidRPr="00B00A3A" w:rsidRDefault="00885D98" w:rsidP="00B00A3A">
      <w:pPr>
        <w:spacing w:line="276" w:lineRule="auto"/>
        <w:ind w:firstLine="708"/>
        <w:jc w:val="both"/>
        <w:rPr>
          <w:rFonts w:ascii="Tahoma" w:hAnsi="Tahoma" w:cs="Tahoma"/>
        </w:rPr>
      </w:pPr>
      <w:r w:rsidRPr="00B00A3A">
        <w:rPr>
          <w:rFonts w:ascii="Tahoma" w:hAnsi="Tahoma" w:cs="Tahoma"/>
          <w:b/>
        </w:rPr>
        <w:t>Segundo. -</w:t>
      </w:r>
      <w:r w:rsidR="00485D25" w:rsidRPr="00B00A3A">
        <w:rPr>
          <w:rFonts w:ascii="Tahoma" w:hAnsi="Tahoma" w:cs="Tahoma"/>
        </w:rPr>
        <w:t xml:space="preserve"> Co</w:t>
      </w:r>
      <w:r w:rsidR="00485D25" w:rsidRPr="00B00A3A">
        <w:rPr>
          <w:rFonts w:ascii="Tahoma" w:hAnsi="Tahoma" w:cs="Tahoma"/>
          <w:spacing w:val="2"/>
        </w:rPr>
        <w:t>ndenar en costas de segunda instancia a la parte actora, por no haber prosperado el recurso. Liquídense por la secretaría del juzgado de origen.</w:t>
      </w:r>
    </w:p>
    <w:p w14:paraId="4959D545" w14:textId="77777777" w:rsidR="005D608C" w:rsidRPr="005D608C" w:rsidRDefault="005D608C" w:rsidP="005D608C">
      <w:pPr>
        <w:spacing w:line="264" w:lineRule="auto"/>
        <w:jc w:val="both"/>
        <w:rPr>
          <w:rFonts w:ascii="Tahoma" w:eastAsia="Calibri" w:hAnsi="Tahoma" w:cs="Tahoma"/>
          <w:lang w:val="es-CO" w:eastAsia="en-US"/>
        </w:rPr>
      </w:pPr>
      <w:bookmarkStart w:id="3" w:name="_Hlk126574973"/>
    </w:p>
    <w:p w14:paraId="1657914F" w14:textId="77777777" w:rsidR="005D608C" w:rsidRPr="005D608C" w:rsidRDefault="005D608C" w:rsidP="005D608C">
      <w:pPr>
        <w:spacing w:line="264" w:lineRule="auto"/>
        <w:jc w:val="center"/>
        <w:rPr>
          <w:rFonts w:ascii="Tahoma" w:eastAsia="Tahoma" w:hAnsi="Tahoma" w:cs="Tahoma"/>
          <w:b/>
          <w:bCs/>
          <w:lang w:val="es-CO" w:eastAsia="en-US"/>
        </w:rPr>
      </w:pPr>
      <w:r w:rsidRPr="005D608C">
        <w:rPr>
          <w:rFonts w:ascii="Tahoma" w:eastAsia="Tahoma" w:hAnsi="Tahoma" w:cs="Tahoma"/>
          <w:b/>
          <w:bCs/>
          <w:lang w:val="es-CO" w:eastAsia="en-US"/>
        </w:rPr>
        <w:t>Notifíquese y cúmplase</w:t>
      </w:r>
    </w:p>
    <w:p w14:paraId="386E43FD" w14:textId="77777777" w:rsidR="005D608C" w:rsidRPr="005D608C" w:rsidRDefault="005D608C" w:rsidP="005D608C">
      <w:pPr>
        <w:spacing w:line="264" w:lineRule="auto"/>
        <w:jc w:val="both"/>
        <w:rPr>
          <w:rFonts w:ascii="Tahoma" w:eastAsia="Calibri" w:hAnsi="Tahoma" w:cs="Tahoma"/>
          <w:lang w:val="es-CO" w:eastAsia="en-US"/>
        </w:rPr>
      </w:pPr>
      <w:r w:rsidRPr="005D608C">
        <w:rPr>
          <w:rFonts w:ascii="Tahoma" w:eastAsia="Calibri" w:hAnsi="Tahoma" w:cs="Tahoma"/>
          <w:lang w:val="es-CO" w:eastAsia="en-US"/>
        </w:rPr>
        <w:t xml:space="preserve"> </w:t>
      </w:r>
    </w:p>
    <w:p w14:paraId="793314E7" w14:textId="77777777" w:rsidR="005D608C" w:rsidRPr="005D608C" w:rsidRDefault="005D608C" w:rsidP="005D608C">
      <w:pPr>
        <w:widowControl w:val="0"/>
        <w:autoSpaceDE w:val="0"/>
        <w:autoSpaceDN w:val="0"/>
        <w:adjustRightInd w:val="0"/>
        <w:spacing w:line="264" w:lineRule="auto"/>
        <w:jc w:val="both"/>
        <w:rPr>
          <w:rFonts w:ascii="Tahoma" w:hAnsi="Tahoma" w:cs="Tahoma"/>
        </w:rPr>
      </w:pPr>
      <w:r w:rsidRPr="005D608C">
        <w:rPr>
          <w:rFonts w:ascii="Tahoma" w:hAnsi="Tahoma" w:cs="Tahoma"/>
        </w:rPr>
        <w:tab/>
        <w:t>La Magistrada ponente,</w:t>
      </w:r>
    </w:p>
    <w:p w14:paraId="37B5D383" w14:textId="77777777" w:rsidR="005D608C" w:rsidRPr="005D608C" w:rsidRDefault="005D608C" w:rsidP="005D608C">
      <w:pPr>
        <w:spacing w:line="264" w:lineRule="auto"/>
        <w:rPr>
          <w:rFonts w:ascii="Tahoma" w:hAnsi="Tahoma" w:cs="Tahoma"/>
        </w:rPr>
      </w:pPr>
    </w:p>
    <w:p w14:paraId="55800A27" w14:textId="77777777" w:rsidR="005D608C" w:rsidRPr="005D608C" w:rsidRDefault="005D608C" w:rsidP="005D608C">
      <w:pPr>
        <w:spacing w:line="264" w:lineRule="auto"/>
        <w:rPr>
          <w:rFonts w:ascii="Tahoma" w:hAnsi="Tahoma" w:cs="Tahoma"/>
        </w:rPr>
      </w:pPr>
    </w:p>
    <w:p w14:paraId="2C125189" w14:textId="77777777" w:rsidR="005D608C" w:rsidRPr="005D608C" w:rsidRDefault="005D608C" w:rsidP="005D608C">
      <w:pPr>
        <w:spacing w:line="264" w:lineRule="auto"/>
        <w:rPr>
          <w:rFonts w:ascii="Tahoma" w:hAnsi="Tahoma" w:cs="Tahoma"/>
        </w:rPr>
      </w:pPr>
    </w:p>
    <w:p w14:paraId="55CEC6AA" w14:textId="77777777" w:rsidR="005D608C" w:rsidRPr="005D608C" w:rsidRDefault="005D608C" w:rsidP="005D608C">
      <w:pPr>
        <w:keepNext/>
        <w:spacing w:line="264" w:lineRule="auto"/>
        <w:jc w:val="center"/>
        <w:outlineLvl w:val="2"/>
        <w:rPr>
          <w:rFonts w:ascii="Tahoma" w:hAnsi="Tahoma" w:cs="Tahoma"/>
          <w:b/>
          <w:bCs/>
        </w:rPr>
      </w:pPr>
      <w:r w:rsidRPr="005D608C">
        <w:rPr>
          <w:rFonts w:ascii="Tahoma" w:hAnsi="Tahoma" w:cs="Tahoma"/>
          <w:b/>
          <w:bCs/>
        </w:rPr>
        <w:t>ANA LUCÍA CAICEDO CALDERÓN</w:t>
      </w:r>
    </w:p>
    <w:p w14:paraId="78A8560D" w14:textId="77777777" w:rsidR="005D608C" w:rsidRPr="005D608C" w:rsidRDefault="005D608C" w:rsidP="005D608C">
      <w:pPr>
        <w:spacing w:line="264" w:lineRule="auto"/>
        <w:rPr>
          <w:rFonts w:ascii="Tahoma" w:hAnsi="Tahoma" w:cs="Tahoma"/>
        </w:rPr>
      </w:pPr>
    </w:p>
    <w:p w14:paraId="6CFA18F2" w14:textId="77777777" w:rsidR="005D608C" w:rsidRPr="005D608C" w:rsidRDefault="005D608C" w:rsidP="005D608C">
      <w:pPr>
        <w:spacing w:line="264" w:lineRule="auto"/>
        <w:ind w:firstLine="708"/>
        <w:rPr>
          <w:rFonts w:ascii="Tahoma" w:hAnsi="Tahoma" w:cs="Tahoma"/>
        </w:rPr>
      </w:pPr>
      <w:bookmarkStart w:id="4" w:name="_Hlk62478330"/>
      <w:r w:rsidRPr="005D608C">
        <w:rPr>
          <w:rFonts w:ascii="Tahoma" w:hAnsi="Tahoma" w:cs="Tahoma"/>
        </w:rPr>
        <w:t>La Magistrada y el Magistrado,</w:t>
      </w:r>
    </w:p>
    <w:p w14:paraId="519BEF3A" w14:textId="77777777" w:rsidR="005D608C" w:rsidRPr="005D608C" w:rsidRDefault="005D608C" w:rsidP="005D608C">
      <w:pPr>
        <w:spacing w:line="264" w:lineRule="auto"/>
        <w:rPr>
          <w:rFonts w:ascii="Tahoma" w:hAnsi="Tahoma" w:cs="Tahoma"/>
        </w:rPr>
      </w:pPr>
    </w:p>
    <w:p w14:paraId="663572E3" w14:textId="77777777" w:rsidR="005D608C" w:rsidRPr="005D608C" w:rsidRDefault="005D608C" w:rsidP="005D608C">
      <w:pPr>
        <w:spacing w:line="264" w:lineRule="auto"/>
        <w:rPr>
          <w:rFonts w:ascii="Tahoma" w:hAnsi="Tahoma" w:cs="Tahoma"/>
        </w:rPr>
      </w:pPr>
    </w:p>
    <w:p w14:paraId="2B85611B" w14:textId="77777777" w:rsidR="005D608C" w:rsidRPr="005D608C" w:rsidRDefault="005D608C" w:rsidP="005D608C">
      <w:pPr>
        <w:spacing w:line="264" w:lineRule="auto"/>
        <w:rPr>
          <w:rFonts w:ascii="Tahoma" w:hAnsi="Tahoma" w:cs="Tahoma"/>
        </w:rPr>
      </w:pPr>
    </w:p>
    <w:p w14:paraId="1C34BB85" w14:textId="57402FE2" w:rsidR="00DC41AE" w:rsidRPr="005D608C" w:rsidRDefault="005D608C" w:rsidP="005D608C">
      <w:pPr>
        <w:spacing w:line="264" w:lineRule="auto"/>
        <w:jc w:val="both"/>
        <w:rPr>
          <w:rFonts w:ascii="Tahoma" w:eastAsia="Calibri" w:hAnsi="Tahoma" w:cs="Tahoma"/>
          <w:lang w:eastAsia="en-US"/>
        </w:rPr>
      </w:pPr>
      <w:r w:rsidRPr="005D608C">
        <w:rPr>
          <w:rFonts w:ascii="Tahoma" w:hAnsi="Tahoma" w:cs="Tahoma"/>
          <w:b/>
          <w:bCs/>
        </w:rPr>
        <w:t>OLGA LUCÍA HOYOS SEPÚLVEDA</w:t>
      </w:r>
      <w:r w:rsidRPr="005D608C">
        <w:rPr>
          <w:rFonts w:ascii="Tahoma" w:hAnsi="Tahoma" w:cs="Tahoma"/>
          <w:b/>
          <w:bCs/>
        </w:rPr>
        <w:tab/>
      </w:r>
      <w:r w:rsidRPr="005D608C">
        <w:rPr>
          <w:rFonts w:ascii="Tahoma" w:hAnsi="Tahoma" w:cs="Tahoma"/>
          <w:b/>
          <w:bCs/>
        </w:rPr>
        <w:tab/>
        <w:t>GERMÁN DARÍO GÓEZ VINASCO</w:t>
      </w:r>
      <w:bookmarkEnd w:id="3"/>
      <w:bookmarkEnd w:id="4"/>
    </w:p>
    <w:sectPr w:rsidR="00DC41AE" w:rsidRPr="005D608C" w:rsidSect="004E0534">
      <w:headerReference w:type="even" r:id="rId12"/>
      <w:headerReference w:type="default" r:id="rId13"/>
      <w:footerReference w:type="default" r:id="rId14"/>
      <w:pgSz w:w="12242" w:h="18722" w:code="258"/>
      <w:pgMar w:top="1871" w:right="1304" w:bottom="1304" w:left="1871"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580BC" w14:textId="77777777" w:rsidR="00DE69F6" w:rsidRDefault="00DE69F6">
      <w:r>
        <w:separator/>
      </w:r>
    </w:p>
  </w:endnote>
  <w:endnote w:type="continuationSeparator" w:id="0">
    <w:p w14:paraId="774FED0E" w14:textId="77777777" w:rsidR="00DE69F6" w:rsidRDefault="00DE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ahoma"/>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159641"/>
      <w:docPartObj>
        <w:docPartGallery w:val="Page Numbers (Bottom of Page)"/>
        <w:docPartUnique/>
      </w:docPartObj>
    </w:sdtPr>
    <w:sdtEndPr>
      <w:rPr>
        <w:rStyle w:val="Nmerodepgina"/>
        <w:rFonts w:ascii="Arial" w:hAnsi="Arial" w:cs="Arial"/>
        <w:sz w:val="18"/>
      </w:rPr>
    </w:sdtEndPr>
    <w:sdtContent>
      <w:p w14:paraId="3644C7F9" w14:textId="73F38E90" w:rsidR="0064697B" w:rsidRPr="00894A9B" w:rsidRDefault="0064697B">
        <w:pPr>
          <w:pStyle w:val="Piedepgina"/>
          <w:jc w:val="right"/>
          <w:rPr>
            <w:rFonts w:ascii="Arial" w:hAnsi="Arial" w:cs="Arial"/>
            <w:sz w:val="18"/>
          </w:rPr>
        </w:pPr>
        <w:r w:rsidRPr="00894A9B">
          <w:rPr>
            <w:rFonts w:ascii="Arial" w:hAnsi="Arial" w:cs="Arial"/>
            <w:sz w:val="18"/>
          </w:rPr>
          <w:fldChar w:fldCharType="begin"/>
        </w:r>
        <w:r w:rsidRPr="00894A9B">
          <w:rPr>
            <w:rFonts w:ascii="Arial" w:hAnsi="Arial" w:cs="Arial"/>
            <w:sz w:val="18"/>
          </w:rPr>
          <w:instrText>PAGE   \* MERGEFORMAT</w:instrText>
        </w:r>
        <w:r w:rsidRPr="00894A9B">
          <w:rPr>
            <w:rFonts w:ascii="Arial" w:hAnsi="Arial" w:cs="Arial"/>
            <w:sz w:val="18"/>
          </w:rPr>
          <w:fldChar w:fldCharType="separate"/>
        </w:r>
        <w:r w:rsidR="003B6435">
          <w:rPr>
            <w:rFonts w:ascii="Arial" w:hAnsi="Arial" w:cs="Arial"/>
            <w:noProof/>
            <w:sz w:val="18"/>
          </w:rPr>
          <w:t>6</w:t>
        </w:r>
        <w:r w:rsidRPr="00894A9B">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BFDCE" w14:textId="77777777" w:rsidR="00DE69F6" w:rsidRDefault="00DE69F6">
      <w:r>
        <w:separator/>
      </w:r>
    </w:p>
  </w:footnote>
  <w:footnote w:type="continuationSeparator" w:id="0">
    <w:p w14:paraId="3ACCC576" w14:textId="77777777" w:rsidR="00DE69F6" w:rsidRDefault="00DE69F6">
      <w:r>
        <w:continuationSeparator/>
      </w:r>
    </w:p>
  </w:footnote>
  <w:footnote w:id="1">
    <w:p w14:paraId="3620ADF6" w14:textId="77777777" w:rsidR="00E3019F" w:rsidRPr="00885D98" w:rsidRDefault="00E3019F" w:rsidP="00885D98">
      <w:pPr>
        <w:pStyle w:val="Textonotapie"/>
        <w:jc w:val="both"/>
        <w:rPr>
          <w:rFonts w:ascii="Arial" w:hAnsi="Arial" w:cs="Arial"/>
          <w:sz w:val="18"/>
          <w:szCs w:val="18"/>
        </w:rPr>
      </w:pPr>
      <w:r w:rsidRPr="00885D98">
        <w:rPr>
          <w:rStyle w:val="Refdenotaalpie"/>
          <w:rFonts w:ascii="Arial" w:hAnsi="Arial" w:cs="Arial"/>
          <w:sz w:val="18"/>
          <w:szCs w:val="18"/>
        </w:rPr>
        <w:footnoteRef/>
      </w:r>
      <w:r w:rsidRPr="00885D98">
        <w:rPr>
          <w:rFonts w:ascii="Arial" w:hAnsi="Arial" w:cs="Arial"/>
          <w:sz w:val="18"/>
          <w:szCs w:val="18"/>
        </w:rPr>
        <w:t xml:space="preserve"> Camacho Azula, Manual de Derecho Procesal, Tomo II Parte General. Novena Edición. Pág. 418. </w:t>
      </w:r>
    </w:p>
  </w:footnote>
  <w:footnote w:id="2">
    <w:p w14:paraId="1EBE92AE" w14:textId="77777777" w:rsidR="00E3019F" w:rsidRPr="00885D98" w:rsidRDefault="00E3019F" w:rsidP="00885D98">
      <w:pPr>
        <w:pStyle w:val="Textonotapie"/>
        <w:jc w:val="both"/>
        <w:rPr>
          <w:rFonts w:ascii="Arial" w:hAnsi="Arial" w:cs="Arial"/>
          <w:sz w:val="18"/>
          <w:szCs w:val="18"/>
        </w:rPr>
      </w:pPr>
      <w:r w:rsidRPr="00885D98">
        <w:rPr>
          <w:rStyle w:val="Refdenotaalpie"/>
          <w:rFonts w:ascii="Arial" w:hAnsi="Arial" w:cs="Arial"/>
          <w:sz w:val="18"/>
          <w:szCs w:val="18"/>
        </w:rPr>
        <w:footnoteRef/>
      </w:r>
      <w:r w:rsidRPr="00885D98">
        <w:rPr>
          <w:rFonts w:ascii="Arial" w:hAnsi="Arial" w:cs="Arial"/>
          <w:sz w:val="18"/>
          <w:szCs w:val="18"/>
        </w:rPr>
        <w:t xml:space="preserve"> López Blanco Hernán, Código General del Proceso, Parte General. 2016. Págs. 1057 y 1058.</w:t>
      </w:r>
    </w:p>
  </w:footnote>
  <w:footnote w:id="3">
    <w:p w14:paraId="2CAB8DEF" w14:textId="149F0CF4" w:rsidR="00B507B0" w:rsidRPr="00885D98" w:rsidRDefault="00B507B0" w:rsidP="00885D98">
      <w:pPr>
        <w:pStyle w:val="Textonotapie"/>
        <w:jc w:val="both"/>
        <w:rPr>
          <w:rFonts w:ascii="Arial" w:hAnsi="Arial" w:cs="Arial"/>
          <w:sz w:val="18"/>
          <w:szCs w:val="18"/>
        </w:rPr>
      </w:pPr>
      <w:r w:rsidRPr="00885D98">
        <w:rPr>
          <w:rStyle w:val="Refdenotaalpie"/>
          <w:rFonts w:ascii="Arial" w:hAnsi="Arial" w:cs="Arial"/>
          <w:sz w:val="18"/>
          <w:szCs w:val="18"/>
        </w:rPr>
        <w:footnoteRef/>
      </w:r>
      <w:r w:rsidRPr="00885D98">
        <w:rPr>
          <w:rFonts w:ascii="Arial" w:hAnsi="Arial" w:cs="Arial"/>
          <w:sz w:val="18"/>
          <w:szCs w:val="18"/>
        </w:rPr>
        <w:t xml:space="preserve"> Atendiendo lo dispuesto en el parágrafo 3º del artículo 3º del Acuerdo PSAA16-10554 de 2016, esto es, que a mayor de la pretensión valor menor porcentaje a reconocer.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4EBC1" w14:textId="77777777" w:rsidR="00E4512E" w:rsidRDefault="00E4512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E4F2E6" w14:textId="77777777" w:rsidR="00E4512E" w:rsidRDefault="00E4512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67C91" w14:textId="77777777" w:rsidR="00E4512E" w:rsidRPr="00894A9B" w:rsidRDefault="00E4512E" w:rsidP="00894A9B">
    <w:pPr>
      <w:pStyle w:val="Encabezado"/>
      <w:framePr w:wrap="around" w:vAnchor="text" w:hAnchor="margin" w:xAlign="center" w:y="1"/>
      <w:rPr>
        <w:rStyle w:val="Nmerodepgina"/>
        <w:rFonts w:ascii="Arial" w:hAnsi="Arial" w:cs="Arial"/>
      </w:rPr>
    </w:pPr>
  </w:p>
  <w:p w14:paraId="664DDAEF" w14:textId="02180200" w:rsidR="00B45943" w:rsidRPr="00894A9B" w:rsidRDefault="00B45943" w:rsidP="00894A9B">
    <w:pPr>
      <w:rPr>
        <w:rFonts w:ascii="Arial" w:hAnsi="Arial" w:cs="Arial"/>
        <w:sz w:val="18"/>
        <w:szCs w:val="18"/>
        <w:lang w:val="es-419"/>
      </w:rPr>
    </w:pPr>
    <w:r w:rsidRPr="00894A9B">
      <w:rPr>
        <w:rFonts w:ascii="Arial" w:hAnsi="Arial" w:cs="Arial"/>
        <w:sz w:val="18"/>
        <w:szCs w:val="18"/>
        <w:lang w:val="es-419"/>
      </w:rPr>
      <w:t>Radicación No.:</w:t>
    </w:r>
    <w:r w:rsidR="00894A9B">
      <w:rPr>
        <w:rFonts w:ascii="Arial" w:hAnsi="Arial" w:cs="Arial"/>
        <w:sz w:val="18"/>
        <w:szCs w:val="18"/>
        <w:lang w:val="es-419"/>
      </w:rPr>
      <w:tab/>
    </w:r>
    <w:r w:rsidRPr="00894A9B">
      <w:rPr>
        <w:rFonts w:ascii="Arial" w:hAnsi="Arial" w:cs="Arial"/>
        <w:sz w:val="18"/>
        <w:szCs w:val="18"/>
        <w:lang w:val="es-419"/>
      </w:rPr>
      <w:t>66001-31-05-00</w:t>
    </w:r>
    <w:r w:rsidR="009D7126" w:rsidRPr="00894A9B">
      <w:rPr>
        <w:rFonts w:ascii="Arial" w:hAnsi="Arial" w:cs="Arial"/>
        <w:sz w:val="18"/>
        <w:szCs w:val="18"/>
        <w:lang w:val="es-419"/>
      </w:rPr>
      <w:t>4</w:t>
    </w:r>
    <w:r w:rsidRPr="00894A9B">
      <w:rPr>
        <w:rFonts w:ascii="Arial" w:hAnsi="Arial" w:cs="Arial"/>
        <w:sz w:val="18"/>
        <w:szCs w:val="18"/>
        <w:lang w:val="es-419"/>
      </w:rPr>
      <w:t>-201</w:t>
    </w:r>
    <w:r w:rsidR="00237C8F" w:rsidRPr="00894A9B">
      <w:rPr>
        <w:rFonts w:ascii="Arial" w:hAnsi="Arial" w:cs="Arial"/>
        <w:sz w:val="18"/>
        <w:szCs w:val="18"/>
        <w:lang w:val="es-419"/>
      </w:rPr>
      <w:t>8</w:t>
    </w:r>
    <w:r w:rsidRPr="00894A9B">
      <w:rPr>
        <w:rFonts w:ascii="Arial" w:hAnsi="Arial" w:cs="Arial"/>
        <w:sz w:val="18"/>
        <w:szCs w:val="18"/>
        <w:lang w:val="es-419"/>
      </w:rPr>
      <w:t>-00</w:t>
    </w:r>
    <w:r w:rsidR="009D7126" w:rsidRPr="00894A9B">
      <w:rPr>
        <w:rFonts w:ascii="Arial" w:hAnsi="Arial" w:cs="Arial"/>
        <w:sz w:val="18"/>
        <w:szCs w:val="18"/>
        <w:lang w:val="es-419"/>
      </w:rPr>
      <w:t>4</w:t>
    </w:r>
    <w:r w:rsidR="00237C8F" w:rsidRPr="00894A9B">
      <w:rPr>
        <w:rFonts w:ascii="Arial" w:hAnsi="Arial" w:cs="Arial"/>
        <w:sz w:val="18"/>
        <w:szCs w:val="18"/>
        <w:lang w:val="es-419"/>
      </w:rPr>
      <w:t>5</w:t>
    </w:r>
    <w:r w:rsidR="009D7126" w:rsidRPr="00894A9B">
      <w:rPr>
        <w:rFonts w:ascii="Arial" w:hAnsi="Arial" w:cs="Arial"/>
        <w:sz w:val="18"/>
        <w:szCs w:val="18"/>
        <w:lang w:val="es-419"/>
      </w:rPr>
      <w:t>7</w:t>
    </w:r>
    <w:r w:rsidRPr="00894A9B">
      <w:rPr>
        <w:rFonts w:ascii="Arial" w:hAnsi="Arial" w:cs="Arial"/>
        <w:sz w:val="18"/>
        <w:szCs w:val="18"/>
        <w:lang w:val="es-419"/>
      </w:rPr>
      <w:t>-02</w:t>
    </w:r>
  </w:p>
  <w:p w14:paraId="2A2D5FE5" w14:textId="51CDAB46" w:rsidR="00B45943" w:rsidRPr="00894A9B" w:rsidRDefault="00B45943" w:rsidP="00894A9B">
    <w:pPr>
      <w:rPr>
        <w:rFonts w:ascii="Arial" w:hAnsi="Arial" w:cs="Arial"/>
        <w:sz w:val="18"/>
        <w:szCs w:val="18"/>
        <w:lang w:val="es-419"/>
      </w:rPr>
    </w:pPr>
    <w:r w:rsidRPr="00894A9B">
      <w:rPr>
        <w:rFonts w:ascii="Arial" w:hAnsi="Arial" w:cs="Arial"/>
        <w:sz w:val="18"/>
        <w:szCs w:val="18"/>
        <w:lang w:val="es-419"/>
      </w:rPr>
      <w:t>Demandante:</w:t>
    </w:r>
    <w:r w:rsidR="00894A9B">
      <w:rPr>
        <w:rFonts w:ascii="Arial" w:hAnsi="Arial" w:cs="Arial"/>
        <w:sz w:val="18"/>
        <w:szCs w:val="18"/>
        <w:lang w:val="es-419"/>
      </w:rPr>
      <w:tab/>
    </w:r>
    <w:r w:rsidR="00237C8F" w:rsidRPr="00894A9B">
      <w:rPr>
        <w:rFonts w:ascii="Arial" w:hAnsi="Arial" w:cs="Arial"/>
        <w:sz w:val="18"/>
        <w:szCs w:val="18"/>
        <w:lang w:val="es-419"/>
      </w:rPr>
      <w:t>Leonardo Ortiz Mesa</w:t>
    </w:r>
  </w:p>
  <w:p w14:paraId="29C49874" w14:textId="13F00A57" w:rsidR="00B45943" w:rsidRPr="00894A9B" w:rsidRDefault="00B45943" w:rsidP="00894A9B">
    <w:pPr>
      <w:rPr>
        <w:rFonts w:ascii="Arial" w:hAnsi="Arial" w:cs="Arial"/>
        <w:sz w:val="18"/>
        <w:szCs w:val="18"/>
        <w:lang w:val="es-419"/>
      </w:rPr>
    </w:pPr>
    <w:r w:rsidRPr="00894A9B">
      <w:rPr>
        <w:rFonts w:ascii="Arial" w:hAnsi="Arial" w:cs="Arial"/>
        <w:sz w:val="18"/>
        <w:szCs w:val="18"/>
        <w:lang w:val="es-419"/>
      </w:rPr>
      <w:t>Demandado:</w:t>
    </w:r>
    <w:r w:rsidR="00894A9B">
      <w:rPr>
        <w:rFonts w:ascii="Arial" w:hAnsi="Arial" w:cs="Arial"/>
        <w:sz w:val="18"/>
        <w:szCs w:val="18"/>
        <w:lang w:val="es-419"/>
      </w:rPr>
      <w:tab/>
    </w:r>
    <w:r w:rsidR="00237C8F" w:rsidRPr="00894A9B">
      <w:rPr>
        <w:rFonts w:ascii="Arial" w:hAnsi="Arial" w:cs="Arial"/>
        <w:sz w:val="18"/>
        <w:szCs w:val="18"/>
        <w:lang w:val="es-419"/>
      </w:rPr>
      <w:t>Junta Nacional de Calificación de Invalidez y otro</w:t>
    </w:r>
    <w:r w:rsidR="009D7126" w:rsidRPr="00894A9B">
      <w:rPr>
        <w:rFonts w:ascii="Arial" w:hAnsi="Arial" w:cs="Arial"/>
        <w:sz w:val="18"/>
        <w:szCs w:val="18"/>
        <w:lang w:val="es-419"/>
      </w:rPr>
      <w:t>.</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870AF"/>
    <w:multiLevelType w:val="multilevel"/>
    <w:tmpl w:val="B13261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9190FCC"/>
    <w:multiLevelType w:val="hybridMultilevel"/>
    <w:tmpl w:val="1002A0CE"/>
    <w:lvl w:ilvl="0" w:tplc="FFFFFFFF">
      <w:start w:val="1"/>
      <w:numFmt w:val="decimal"/>
      <w:lvlText w:val=""/>
      <w:lvlJc w:val="left"/>
    </w:lvl>
    <w:lvl w:ilvl="1" w:tplc="0C0A0001">
      <w:start w:val="1"/>
      <w:numFmt w:val="bullet"/>
      <w:lvlText w:val=""/>
      <w:lvlJc w:val="left"/>
      <w:pPr>
        <w:tabs>
          <w:tab w:val="num" w:pos="360"/>
        </w:tabs>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57B2BC5"/>
    <w:multiLevelType w:val="hybridMultilevel"/>
    <w:tmpl w:val="DDFEFA82"/>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EE12357"/>
    <w:multiLevelType w:val="hybridMultilevel"/>
    <w:tmpl w:val="28665458"/>
    <w:lvl w:ilvl="0" w:tplc="42AC1844">
      <w:start w:val="1"/>
      <w:numFmt w:val="lowerLetter"/>
      <w:lvlText w:val="%1)"/>
      <w:lvlJc w:val="left"/>
      <w:pPr>
        <w:ind w:left="1011" w:hanging="450"/>
      </w:pPr>
      <w:rPr>
        <w:rFonts w:hint="default"/>
      </w:rPr>
    </w:lvl>
    <w:lvl w:ilvl="1" w:tplc="240A0019" w:tentative="1">
      <w:start w:val="1"/>
      <w:numFmt w:val="lowerLetter"/>
      <w:lvlText w:val="%2."/>
      <w:lvlJc w:val="left"/>
      <w:pPr>
        <w:ind w:left="1641" w:hanging="360"/>
      </w:pPr>
    </w:lvl>
    <w:lvl w:ilvl="2" w:tplc="240A001B" w:tentative="1">
      <w:start w:val="1"/>
      <w:numFmt w:val="lowerRoman"/>
      <w:lvlText w:val="%3."/>
      <w:lvlJc w:val="right"/>
      <w:pPr>
        <w:ind w:left="2361" w:hanging="180"/>
      </w:pPr>
    </w:lvl>
    <w:lvl w:ilvl="3" w:tplc="240A000F" w:tentative="1">
      <w:start w:val="1"/>
      <w:numFmt w:val="decimal"/>
      <w:lvlText w:val="%4."/>
      <w:lvlJc w:val="left"/>
      <w:pPr>
        <w:ind w:left="3081" w:hanging="360"/>
      </w:pPr>
    </w:lvl>
    <w:lvl w:ilvl="4" w:tplc="240A0019" w:tentative="1">
      <w:start w:val="1"/>
      <w:numFmt w:val="lowerLetter"/>
      <w:lvlText w:val="%5."/>
      <w:lvlJc w:val="left"/>
      <w:pPr>
        <w:ind w:left="3801" w:hanging="360"/>
      </w:pPr>
    </w:lvl>
    <w:lvl w:ilvl="5" w:tplc="240A001B" w:tentative="1">
      <w:start w:val="1"/>
      <w:numFmt w:val="lowerRoman"/>
      <w:lvlText w:val="%6."/>
      <w:lvlJc w:val="right"/>
      <w:pPr>
        <w:ind w:left="4521" w:hanging="180"/>
      </w:pPr>
    </w:lvl>
    <w:lvl w:ilvl="6" w:tplc="240A000F" w:tentative="1">
      <w:start w:val="1"/>
      <w:numFmt w:val="decimal"/>
      <w:lvlText w:val="%7."/>
      <w:lvlJc w:val="left"/>
      <w:pPr>
        <w:ind w:left="5241" w:hanging="360"/>
      </w:pPr>
    </w:lvl>
    <w:lvl w:ilvl="7" w:tplc="240A0019" w:tentative="1">
      <w:start w:val="1"/>
      <w:numFmt w:val="lowerLetter"/>
      <w:lvlText w:val="%8."/>
      <w:lvlJc w:val="left"/>
      <w:pPr>
        <w:ind w:left="5961" w:hanging="360"/>
      </w:pPr>
    </w:lvl>
    <w:lvl w:ilvl="8" w:tplc="240A001B" w:tentative="1">
      <w:start w:val="1"/>
      <w:numFmt w:val="lowerRoman"/>
      <w:lvlText w:val="%9."/>
      <w:lvlJc w:val="right"/>
      <w:pPr>
        <w:ind w:left="6681" w:hanging="180"/>
      </w:pPr>
    </w:lvl>
  </w:abstractNum>
  <w:abstractNum w:abstractNumId="4" w15:restartNumberingAfterBreak="0">
    <w:nsid w:val="4D130F61"/>
    <w:multiLevelType w:val="hybridMultilevel"/>
    <w:tmpl w:val="4B22C8C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3540566"/>
    <w:multiLevelType w:val="hybridMultilevel"/>
    <w:tmpl w:val="C9D80D50"/>
    <w:lvl w:ilvl="0" w:tplc="B0A64C5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535F2A1F"/>
    <w:multiLevelType w:val="multilevel"/>
    <w:tmpl w:val="698C7DC2"/>
    <w:lvl w:ilvl="0">
      <w:start w:val="6"/>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15:restartNumberingAfterBreak="0">
    <w:nsid w:val="5FAD326F"/>
    <w:multiLevelType w:val="hybridMultilevel"/>
    <w:tmpl w:val="10DE71E2"/>
    <w:lvl w:ilvl="0" w:tplc="04B84FAE">
      <w:start w:val="1"/>
      <w:numFmt w:val="decimal"/>
      <w:lvlText w:val="%1."/>
      <w:lvlJc w:val="left"/>
      <w:pPr>
        <w:tabs>
          <w:tab w:val="num" w:pos="1482"/>
        </w:tabs>
        <w:ind w:left="1482" w:hanging="360"/>
      </w:pPr>
      <w:rPr>
        <w:rFonts w:hint="default"/>
      </w:rPr>
    </w:lvl>
    <w:lvl w:ilvl="1" w:tplc="0C0A0001">
      <w:start w:val="1"/>
      <w:numFmt w:val="bullet"/>
      <w:lvlText w:val=""/>
      <w:lvlJc w:val="left"/>
      <w:pPr>
        <w:tabs>
          <w:tab w:val="num" w:pos="2202"/>
        </w:tabs>
        <w:ind w:left="2202" w:hanging="360"/>
      </w:pPr>
      <w:rPr>
        <w:rFonts w:ascii="Symbol" w:hAnsi="Symbol" w:hint="default"/>
      </w:rPr>
    </w:lvl>
    <w:lvl w:ilvl="2" w:tplc="0C0A001B">
      <w:start w:val="1"/>
      <w:numFmt w:val="lowerRoman"/>
      <w:lvlText w:val="%3."/>
      <w:lvlJc w:val="right"/>
      <w:pPr>
        <w:tabs>
          <w:tab w:val="num" w:pos="2922"/>
        </w:tabs>
        <w:ind w:left="2922" w:hanging="180"/>
      </w:pPr>
    </w:lvl>
    <w:lvl w:ilvl="3" w:tplc="0C0A000F" w:tentative="1">
      <w:start w:val="1"/>
      <w:numFmt w:val="decimal"/>
      <w:lvlText w:val="%4."/>
      <w:lvlJc w:val="left"/>
      <w:pPr>
        <w:tabs>
          <w:tab w:val="num" w:pos="3642"/>
        </w:tabs>
        <w:ind w:left="3642" w:hanging="360"/>
      </w:pPr>
    </w:lvl>
    <w:lvl w:ilvl="4" w:tplc="0C0A0019" w:tentative="1">
      <w:start w:val="1"/>
      <w:numFmt w:val="lowerLetter"/>
      <w:lvlText w:val="%5."/>
      <w:lvlJc w:val="left"/>
      <w:pPr>
        <w:tabs>
          <w:tab w:val="num" w:pos="4362"/>
        </w:tabs>
        <w:ind w:left="4362" w:hanging="360"/>
      </w:pPr>
    </w:lvl>
    <w:lvl w:ilvl="5" w:tplc="0C0A001B" w:tentative="1">
      <w:start w:val="1"/>
      <w:numFmt w:val="lowerRoman"/>
      <w:lvlText w:val="%6."/>
      <w:lvlJc w:val="right"/>
      <w:pPr>
        <w:tabs>
          <w:tab w:val="num" w:pos="5082"/>
        </w:tabs>
        <w:ind w:left="5082" w:hanging="180"/>
      </w:pPr>
    </w:lvl>
    <w:lvl w:ilvl="6" w:tplc="0C0A000F" w:tentative="1">
      <w:start w:val="1"/>
      <w:numFmt w:val="decimal"/>
      <w:lvlText w:val="%7."/>
      <w:lvlJc w:val="left"/>
      <w:pPr>
        <w:tabs>
          <w:tab w:val="num" w:pos="5802"/>
        </w:tabs>
        <w:ind w:left="5802" w:hanging="360"/>
      </w:pPr>
    </w:lvl>
    <w:lvl w:ilvl="7" w:tplc="0C0A0019" w:tentative="1">
      <w:start w:val="1"/>
      <w:numFmt w:val="lowerLetter"/>
      <w:lvlText w:val="%8."/>
      <w:lvlJc w:val="left"/>
      <w:pPr>
        <w:tabs>
          <w:tab w:val="num" w:pos="6522"/>
        </w:tabs>
        <w:ind w:left="6522" w:hanging="360"/>
      </w:pPr>
    </w:lvl>
    <w:lvl w:ilvl="8" w:tplc="0C0A001B" w:tentative="1">
      <w:start w:val="1"/>
      <w:numFmt w:val="lowerRoman"/>
      <w:lvlText w:val="%9."/>
      <w:lvlJc w:val="right"/>
      <w:pPr>
        <w:tabs>
          <w:tab w:val="num" w:pos="7242"/>
        </w:tabs>
        <w:ind w:left="7242" w:hanging="180"/>
      </w:pPr>
    </w:lvl>
  </w:abstractNum>
  <w:abstractNum w:abstractNumId="8" w15:restartNumberingAfterBreak="0">
    <w:nsid w:val="61E96F88"/>
    <w:multiLevelType w:val="hybridMultilevel"/>
    <w:tmpl w:val="4732BC2E"/>
    <w:lvl w:ilvl="0" w:tplc="7A381A1A">
      <w:start w:val="1"/>
      <w:numFmt w:val="upperRoman"/>
      <w:lvlText w:val="%1."/>
      <w:lvlJc w:val="left"/>
      <w:pPr>
        <w:tabs>
          <w:tab w:val="num" w:pos="1080"/>
        </w:tabs>
        <w:ind w:left="1080" w:hanging="720"/>
      </w:pPr>
      <w:rPr>
        <w:rFonts w:hint="default"/>
      </w:rPr>
    </w:lvl>
    <w:lvl w:ilvl="1" w:tplc="E8AA697E">
      <w:start w:val="1"/>
      <w:numFmt w:val="lowerRoman"/>
      <w:lvlText w:val="%2)"/>
      <w:lvlJc w:val="left"/>
      <w:pPr>
        <w:tabs>
          <w:tab w:val="num" w:pos="1890"/>
        </w:tabs>
        <w:ind w:left="1890" w:hanging="81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C675557"/>
    <w:multiLevelType w:val="hybridMultilevel"/>
    <w:tmpl w:val="908E2112"/>
    <w:lvl w:ilvl="0" w:tplc="14FA1F98">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2"/>
  </w:num>
  <w:num w:numId="2">
    <w:abstractNumId w:val="9"/>
  </w:num>
  <w:num w:numId="3">
    <w:abstractNumId w:val="4"/>
  </w:num>
  <w:num w:numId="4">
    <w:abstractNumId w:val="8"/>
  </w:num>
  <w:num w:numId="5">
    <w:abstractNumId w:val="7"/>
  </w:num>
  <w:num w:numId="6">
    <w:abstractNumId w:val="1"/>
  </w:num>
  <w:num w:numId="7">
    <w:abstractNumId w:val="0"/>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D9A"/>
    <w:rsid w:val="00010BCA"/>
    <w:rsid w:val="000122C3"/>
    <w:rsid w:val="000221B2"/>
    <w:rsid w:val="00022C3C"/>
    <w:rsid w:val="000311B6"/>
    <w:rsid w:val="00033A2D"/>
    <w:rsid w:val="00037BE9"/>
    <w:rsid w:val="000423FA"/>
    <w:rsid w:val="00045363"/>
    <w:rsid w:val="00047455"/>
    <w:rsid w:val="000707E1"/>
    <w:rsid w:val="000725EA"/>
    <w:rsid w:val="0007279E"/>
    <w:rsid w:val="000741C5"/>
    <w:rsid w:val="00080C0B"/>
    <w:rsid w:val="0008744D"/>
    <w:rsid w:val="000A231C"/>
    <w:rsid w:val="000B1D00"/>
    <w:rsid w:val="000B661F"/>
    <w:rsid w:val="000D337F"/>
    <w:rsid w:val="000E338B"/>
    <w:rsid w:val="000E7932"/>
    <w:rsid w:val="000F0B02"/>
    <w:rsid w:val="000F413B"/>
    <w:rsid w:val="000F51B5"/>
    <w:rsid w:val="00105A4E"/>
    <w:rsid w:val="0011793D"/>
    <w:rsid w:val="001227F5"/>
    <w:rsid w:val="0012453B"/>
    <w:rsid w:val="001252D7"/>
    <w:rsid w:val="00136F80"/>
    <w:rsid w:val="00146221"/>
    <w:rsid w:val="0014679F"/>
    <w:rsid w:val="001536FD"/>
    <w:rsid w:val="001638DF"/>
    <w:rsid w:val="00164D91"/>
    <w:rsid w:val="00180497"/>
    <w:rsid w:val="001878A5"/>
    <w:rsid w:val="00191B0B"/>
    <w:rsid w:val="0019529E"/>
    <w:rsid w:val="001A25C0"/>
    <w:rsid w:val="001A5A7D"/>
    <w:rsid w:val="001B25B0"/>
    <w:rsid w:val="001B6B09"/>
    <w:rsid w:val="001D0A6C"/>
    <w:rsid w:val="001D38BA"/>
    <w:rsid w:val="001E1792"/>
    <w:rsid w:val="001E7B88"/>
    <w:rsid w:val="001F16F2"/>
    <w:rsid w:val="00202112"/>
    <w:rsid w:val="00212B54"/>
    <w:rsid w:val="0021324C"/>
    <w:rsid w:val="00213E82"/>
    <w:rsid w:val="002142AD"/>
    <w:rsid w:val="00217842"/>
    <w:rsid w:val="0022618E"/>
    <w:rsid w:val="00231793"/>
    <w:rsid w:val="002331B0"/>
    <w:rsid w:val="00236EEA"/>
    <w:rsid w:val="00237C8F"/>
    <w:rsid w:val="00267896"/>
    <w:rsid w:val="00271CD5"/>
    <w:rsid w:val="002733EC"/>
    <w:rsid w:val="00276973"/>
    <w:rsid w:val="00296C30"/>
    <w:rsid w:val="002B6F35"/>
    <w:rsid w:val="002C483D"/>
    <w:rsid w:val="002F43FD"/>
    <w:rsid w:val="002F692F"/>
    <w:rsid w:val="002F6E7F"/>
    <w:rsid w:val="00301C4A"/>
    <w:rsid w:val="003030FC"/>
    <w:rsid w:val="00305E98"/>
    <w:rsid w:val="00307C50"/>
    <w:rsid w:val="003212AF"/>
    <w:rsid w:val="00322D89"/>
    <w:rsid w:val="00323312"/>
    <w:rsid w:val="00325921"/>
    <w:rsid w:val="003709C4"/>
    <w:rsid w:val="00370FA0"/>
    <w:rsid w:val="003959B0"/>
    <w:rsid w:val="00395B71"/>
    <w:rsid w:val="003A09A6"/>
    <w:rsid w:val="003A2DC3"/>
    <w:rsid w:val="003A500B"/>
    <w:rsid w:val="003A5978"/>
    <w:rsid w:val="003B6435"/>
    <w:rsid w:val="003B7BCC"/>
    <w:rsid w:val="003C3C64"/>
    <w:rsid w:val="003C5DB7"/>
    <w:rsid w:val="003D0BEC"/>
    <w:rsid w:val="003D162B"/>
    <w:rsid w:val="003D3F39"/>
    <w:rsid w:val="003D50FD"/>
    <w:rsid w:val="003D6E07"/>
    <w:rsid w:val="003F05B2"/>
    <w:rsid w:val="003F0BCC"/>
    <w:rsid w:val="004168FF"/>
    <w:rsid w:val="00423759"/>
    <w:rsid w:val="004247F6"/>
    <w:rsid w:val="004353E8"/>
    <w:rsid w:val="0044177D"/>
    <w:rsid w:val="0044588F"/>
    <w:rsid w:val="004511F0"/>
    <w:rsid w:val="004569E6"/>
    <w:rsid w:val="00457B5F"/>
    <w:rsid w:val="00463FEE"/>
    <w:rsid w:val="004761C5"/>
    <w:rsid w:val="0048102F"/>
    <w:rsid w:val="0048524C"/>
    <w:rsid w:val="00485D25"/>
    <w:rsid w:val="004A16A7"/>
    <w:rsid w:val="004A257B"/>
    <w:rsid w:val="004A5140"/>
    <w:rsid w:val="004A5C56"/>
    <w:rsid w:val="004D2EF6"/>
    <w:rsid w:val="004D5EEC"/>
    <w:rsid w:val="004E0534"/>
    <w:rsid w:val="004E31B1"/>
    <w:rsid w:val="00501F2B"/>
    <w:rsid w:val="00516A72"/>
    <w:rsid w:val="005344E9"/>
    <w:rsid w:val="00542453"/>
    <w:rsid w:val="00553AED"/>
    <w:rsid w:val="005579CC"/>
    <w:rsid w:val="00566D23"/>
    <w:rsid w:val="0057286E"/>
    <w:rsid w:val="00575453"/>
    <w:rsid w:val="00576177"/>
    <w:rsid w:val="00582F80"/>
    <w:rsid w:val="00592943"/>
    <w:rsid w:val="005A0AE2"/>
    <w:rsid w:val="005A4E97"/>
    <w:rsid w:val="005A508F"/>
    <w:rsid w:val="005B5F82"/>
    <w:rsid w:val="005C2733"/>
    <w:rsid w:val="005C492A"/>
    <w:rsid w:val="005D0ADF"/>
    <w:rsid w:val="005D35F4"/>
    <w:rsid w:val="005D389A"/>
    <w:rsid w:val="005D5CD3"/>
    <w:rsid w:val="005D608C"/>
    <w:rsid w:val="005E1C1E"/>
    <w:rsid w:val="005E20BF"/>
    <w:rsid w:val="005E21A4"/>
    <w:rsid w:val="005E426F"/>
    <w:rsid w:val="005E55E5"/>
    <w:rsid w:val="005F34BE"/>
    <w:rsid w:val="00602C82"/>
    <w:rsid w:val="00604B7F"/>
    <w:rsid w:val="00605F4E"/>
    <w:rsid w:val="006067D1"/>
    <w:rsid w:val="006275F1"/>
    <w:rsid w:val="006340F1"/>
    <w:rsid w:val="00643200"/>
    <w:rsid w:val="0064697B"/>
    <w:rsid w:val="0065764F"/>
    <w:rsid w:val="00666E9B"/>
    <w:rsid w:val="00670AD4"/>
    <w:rsid w:val="006748F2"/>
    <w:rsid w:val="00691328"/>
    <w:rsid w:val="006B32C4"/>
    <w:rsid w:val="006B458C"/>
    <w:rsid w:val="006C3176"/>
    <w:rsid w:val="006D0D93"/>
    <w:rsid w:val="006D46B4"/>
    <w:rsid w:val="00733698"/>
    <w:rsid w:val="00734455"/>
    <w:rsid w:val="00737E41"/>
    <w:rsid w:val="00741FA4"/>
    <w:rsid w:val="00744993"/>
    <w:rsid w:val="00752117"/>
    <w:rsid w:val="00756981"/>
    <w:rsid w:val="0076513F"/>
    <w:rsid w:val="0076606E"/>
    <w:rsid w:val="0077073B"/>
    <w:rsid w:val="007725F1"/>
    <w:rsid w:val="007730B2"/>
    <w:rsid w:val="007861F8"/>
    <w:rsid w:val="00791D9A"/>
    <w:rsid w:val="007A110A"/>
    <w:rsid w:val="007C493C"/>
    <w:rsid w:val="007D4752"/>
    <w:rsid w:val="007D7836"/>
    <w:rsid w:val="007E3AD0"/>
    <w:rsid w:val="00806029"/>
    <w:rsid w:val="0082751E"/>
    <w:rsid w:val="00831800"/>
    <w:rsid w:val="00842660"/>
    <w:rsid w:val="00844B0C"/>
    <w:rsid w:val="00851EDE"/>
    <w:rsid w:val="00853AA5"/>
    <w:rsid w:val="008627DC"/>
    <w:rsid w:val="00866256"/>
    <w:rsid w:val="00875E15"/>
    <w:rsid w:val="008850AB"/>
    <w:rsid w:val="00885D98"/>
    <w:rsid w:val="00892757"/>
    <w:rsid w:val="00894947"/>
    <w:rsid w:val="00894A9B"/>
    <w:rsid w:val="008953CC"/>
    <w:rsid w:val="00897E59"/>
    <w:rsid w:val="008A30EF"/>
    <w:rsid w:val="008A687B"/>
    <w:rsid w:val="008B2320"/>
    <w:rsid w:val="008B7386"/>
    <w:rsid w:val="008D547F"/>
    <w:rsid w:val="008F4962"/>
    <w:rsid w:val="00901757"/>
    <w:rsid w:val="009017FF"/>
    <w:rsid w:val="00907FF7"/>
    <w:rsid w:val="0091059B"/>
    <w:rsid w:val="0091570E"/>
    <w:rsid w:val="009222D4"/>
    <w:rsid w:val="009241F2"/>
    <w:rsid w:val="00943AA1"/>
    <w:rsid w:val="009469D8"/>
    <w:rsid w:val="00951787"/>
    <w:rsid w:val="00953D67"/>
    <w:rsid w:val="009A2F1E"/>
    <w:rsid w:val="009A594D"/>
    <w:rsid w:val="009B6457"/>
    <w:rsid w:val="009C3D69"/>
    <w:rsid w:val="009C4244"/>
    <w:rsid w:val="009D1F75"/>
    <w:rsid w:val="009D7126"/>
    <w:rsid w:val="009F6014"/>
    <w:rsid w:val="00A249FF"/>
    <w:rsid w:val="00A35C82"/>
    <w:rsid w:val="00A4022A"/>
    <w:rsid w:val="00A428E4"/>
    <w:rsid w:val="00A55874"/>
    <w:rsid w:val="00A61F00"/>
    <w:rsid w:val="00A66375"/>
    <w:rsid w:val="00A66D18"/>
    <w:rsid w:val="00A70B89"/>
    <w:rsid w:val="00AA321F"/>
    <w:rsid w:val="00AB7BDF"/>
    <w:rsid w:val="00AC46D9"/>
    <w:rsid w:val="00AC7DEE"/>
    <w:rsid w:val="00AD5496"/>
    <w:rsid w:val="00AE39A6"/>
    <w:rsid w:val="00AE3F1A"/>
    <w:rsid w:val="00B00A3A"/>
    <w:rsid w:val="00B147B8"/>
    <w:rsid w:val="00B2577D"/>
    <w:rsid w:val="00B32AD2"/>
    <w:rsid w:val="00B42BB2"/>
    <w:rsid w:val="00B45943"/>
    <w:rsid w:val="00B507B0"/>
    <w:rsid w:val="00B57765"/>
    <w:rsid w:val="00B7269B"/>
    <w:rsid w:val="00B82A49"/>
    <w:rsid w:val="00B86CD0"/>
    <w:rsid w:val="00BA4435"/>
    <w:rsid w:val="00BC347D"/>
    <w:rsid w:val="00BD66B1"/>
    <w:rsid w:val="00BE0D9B"/>
    <w:rsid w:val="00BE17B4"/>
    <w:rsid w:val="00BE6F91"/>
    <w:rsid w:val="00BF651C"/>
    <w:rsid w:val="00C0097B"/>
    <w:rsid w:val="00C01C23"/>
    <w:rsid w:val="00C151D6"/>
    <w:rsid w:val="00C2189F"/>
    <w:rsid w:val="00C33DCE"/>
    <w:rsid w:val="00C3560A"/>
    <w:rsid w:val="00C35CB3"/>
    <w:rsid w:val="00C3752A"/>
    <w:rsid w:val="00C41FCD"/>
    <w:rsid w:val="00C43F4A"/>
    <w:rsid w:val="00C523D6"/>
    <w:rsid w:val="00C662EF"/>
    <w:rsid w:val="00C75666"/>
    <w:rsid w:val="00C808C0"/>
    <w:rsid w:val="00CA0E8F"/>
    <w:rsid w:val="00CB6B64"/>
    <w:rsid w:val="00CC3A22"/>
    <w:rsid w:val="00CD4CE6"/>
    <w:rsid w:val="00CE0C31"/>
    <w:rsid w:val="00CE1757"/>
    <w:rsid w:val="00CE35B2"/>
    <w:rsid w:val="00CE7235"/>
    <w:rsid w:val="00D00E38"/>
    <w:rsid w:val="00D132DD"/>
    <w:rsid w:val="00D228D5"/>
    <w:rsid w:val="00D23896"/>
    <w:rsid w:val="00D35E37"/>
    <w:rsid w:val="00D36757"/>
    <w:rsid w:val="00D37CC9"/>
    <w:rsid w:val="00D403C2"/>
    <w:rsid w:val="00D50CFB"/>
    <w:rsid w:val="00D53425"/>
    <w:rsid w:val="00D82B2F"/>
    <w:rsid w:val="00D97AE5"/>
    <w:rsid w:val="00DA136B"/>
    <w:rsid w:val="00DA2A01"/>
    <w:rsid w:val="00DA6F0B"/>
    <w:rsid w:val="00DB2133"/>
    <w:rsid w:val="00DB470F"/>
    <w:rsid w:val="00DC3384"/>
    <w:rsid w:val="00DC3B49"/>
    <w:rsid w:val="00DC41AE"/>
    <w:rsid w:val="00DD3AA1"/>
    <w:rsid w:val="00DD538C"/>
    <w:rsid w:val="00DD589C"/>
    <w:rsid w:val="00DD7CE3"/>
    <w:rsid w:val="00DE375A"/>
    <w:rsid w:val="00DE49E9"/>
    <w:rsid w:val="00DE4CA8"/>
    <w:rsid w:val="00DE69F6"/>
    <w:rsid w:val="00E017F3"/>
    <w:rsid w:val="00E209DD"/>
    <w:rsid w:val="00E24BC8"/>
    <w:rsid w:val="00E25FF6"/>
    <w:rsid w:val="00E3019F"/>
    <w:rsid w:val="00E32215"/>
    <w:rsid w:val="00E35297"/>
    <w:rsid w:val="00E37E81"/>
    <w:rsid w:val="00E4512E"/>
    <w:rsid w:val="00E45D5B"/>
    <w:rsid w:val="00E65271"/>
    <w:rsid w:val="00E70E19"/>
    <w:rsid w:val="00E7262E"/>
    <w:rsid w:val="00E75E17"/>
    <w:rsid w:val="00E836E6"/>
    <w:rsid w:val="00E91896"/>
    <w:rsid w:val="00E926C3"/>
    <w:rsid w:val="00E94B3F"/>
    <w:rsid w:val="00EA5DD2"/>
    <w:rsid w:val="00ED004D"/>
    <w:rsid w:val="00ED3FEB"/>
    <w:rsid w:val="00EE0B78"/>
    <w:rsid w:val="00EE1772"/>
    <w:rsid w:val="00EE51EC"/>
    <w:rsid w:val="00EF2558"/>
    <w:rsid w:val="00F0098A"/>
    <w:rsid w:val="00F01B9F"/>
    <w:rsid w:val="00F0416B"/>
    <w:rsid w:val="00F2634E"/>
    <w:rsid w:val="00F50641"/>
    <w:rsid w:val="00F5087C"/>
    <w:rsid w:val="00F525F0"/>
    <w:rsid w:val="00F53AB0"/>
    <w:rsid w:val="00F62390"/>
    <w:rsid w:val="00F62A0B"/>
    <w:rsid w:val="00F71B1E"/>
    <w:rsid w:val="00F7310E"/>
    <w:rsid w:val="00F74834"/>
    <w:rsid w:val="00F81225"/>
    <w:rsid w:val="00F81E76"/>
    <w:rsid w:val="00F86E83"/>
    <w:rsid w:val="00F913A7"/>
    <w:rsid w:val="00F93CAE"/>
    <w:rsid w:val="00FA0B60"/>
    <w:rsid w:val="00FA3DED"/>
    <w:rsid w:val="00FB0547"/>
    <w:rsid w:val="00FB3BD6"/>
    <w:rsid w:val="00FB4C39"/>
    <w:rsid w:val="00FC1B85"/>
    <w:rsid w:val="00FC68E0"/>
    <w:rsid w:val="00FC6ABB"/>
    <w:rsid w:val="00FD548B"/>
    <w:rsid w:val="00FE6D9F"/>
    <w:rsid w:val="00FF1F91"/>
    <w:rsid w:val="0699675B"/>
    <w:rsid w:val="06B11FCB"/>
    <w:rsid w:val="0717BAF4"/>
    <w:rsid w:val="07A81DCD"/>
    <w:rsid w:val="0848D628"/>
    <w:rsid w:val="0A569AFA"/>
    <w:rsid w:val="0A720F10"/>
    <w:rsid w:val="1DEA9367"/>
    <w:rsid w:val="28A1D321"/>
    <w:rsid w:val="2C7F04FE"/>
    <w:rsid w:val="2DE81D2D"/>
    <w:rsid w:val="36A92915"/>
    <w:rsid w:val="36B1A256"/>
    <w:rsid w:val="49EDD176"/>
    <w:rsid w:val="4A5C6AF5"/>
    <w:rsid w:val="4BD7775E"/>
    <w:rsid w:val="4C675989"/>
    <w:rsid w:val="505D4CDC"/>
    <w:rsid w:val="58DD7363"/>
    <w:rsid w:val="59FCF649"/>
    <w:rsid w:val="5D527A01"/>
    <w:rsid w:val="64F40B9B"/>
    <w:rsid w:val="6AE695E5"/>
    <w:rsid w:val="75191B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DAE46"/>
  <w15:chartTrackingRefBased/>
  <w15:docId w15:val="{B7891931-67A4-4C40-AF7A-D6B08032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435"/>
    <w:rPr>
      <w:sz w:val="24"/>
      <w:szCs w:val="24"/>
      <w:lang w:val="es-ES" w:eastAsia="es-ES"/>
    </w:rPr>
  </w:style>
  <w:style w:type="paragraph" w:styleId="Ttulo1">
    <w:name w:val="heading 1"/>
    <w:basedOn w:val="Normal"/>
    <w:next w:val="Normal"/>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qFormat/>
    <w:pPr>
      <w:keepNext/>
      <w:widowControl w:val="0"/>
      <w:autoSpaceDE w:val="0"/>
      <w:autoSpaceDN w:val="0"/>
      <w:adjustRightInd w:val="0"/>
      <w:spacing w:line="360" w:lineRule="auto"/>
      <w:ind w:firstLine="708"/>
      <w:jc w:val="both"/>
      <w:outlineLvl w:val="4"/>
    </w:pPr>
    <w:rPr>
      <w:rFonts w:ascii="Arial" w:hAnsi="Arial" w:cs="Arial"/>
      <w:b/>
      <w:bCs/>
    </w:rPr>
  </w:style>
  <w:style w:type="paragraph" w:styleId="Ttulo6">
    <w:name w:val="heading 6"/>
    <w:basedOn w:val="Normal"/>
    <w:next w:val="Normal"/>
    <w:qFormat/>
    <w:pPr>
      <w:spacing w:before="240" w:after="60"/>
      <w:outlineLvl w:val="5"/>
    </w:pPr>
    <w:rPr>
      <w:rFonts w:ascii="Calibri" w:hAnsi="Calibri"/>
      <w:b/>
      <w:bCs/>
      <w:sz w:val="22"/>
      <w:szCs w:val="22"/>
    </w:rPr>
  </w:style>
  <w:style w:type="paragraph" w:styleId="Ttulo8">
    <w:name w:val="heading 8"/>
    <w:basedOn w:val="Normal"/>
    <w:next w:val="Normal"/>
    <w:qFormat/>
    <w:pPr>
      <w:spacing w:before="240" w:after="60"/>
      <w:outlineLvl w:val="7"/>
    </w:pPr>
    <w:rPr>
      <w:rFonts w:ascii="Calibri" w:hAnsi="Calibr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widowControl w:val="0"/>
      <w:autoSpaceDE w:val="0"/>
      <w:autoSpaceDN w:val="0"/>
      <w:adjustRightInd w:val="0"/>
      <w:spacing w:line="360" w:lineRule="auto"/>
      <w:jc w:val="center"/>
    </w:pPr>
    <w:rPr>
      <w:rFonts w:ascii="Arial" w:hAnsi="Arial" w:cs="Arial"/>
      <w:b/>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pPr>
      <w:widowControl w:val="0"/>
      <w:autoSpaceDE w:val="0"/>
      <w:autoSpaceDN w:val="0"/>
      <w:adjustRightInd w:val="0"/>
      <w:spacing w:line="360" w:lineRule="auto"/>
      <w:ind w:firstLine="708"/>
      <w:jc w:val="both"/>
    </w:pPr>
    <w:rPr>
      <w:rFonts w:ascii="Tahoma" w:hAnsi="Tahoma" w:cs="Tahoma"/>
    </w:rPr>
  </w:style>
  <w:style w:type="paragraph" w:styleId="Textoindependiente">
    <w:name w:val="Body Text"/>
    <w:basedOn w:val="Normal"/>
    <w:pPr>
      <w:spacing w:after="120"/>
    </w:pPr>
  </w:style>
  <w:style w:type="paragraph" w:styleId="Textoindependiente3">
    <w:name w:val="Body Text 3"/>
    <w:basedOn w:val="Normal"/>
    <w:pPr>
      <w:spacing w:after="120"/>
    </w:pPr>
    <w:rPr>
      <w:sz w:val="16"/>
      <w:szCs w:val="16"/>
    </w:rPr>
  </w:style>
  <w:style w:type="character" w:customStyle="1" w:styleId="textonavy">
    <w:name w:val="texto_navy"/>
    <w:basedOn w:val="Fuentedeprrafopredeter"/>
  </w:style>
  <w:style w:type="paragraph" w:customStyle="1" w:styleId="Textoindependiente31">
    <w:name w:val="Texto independiente 31"/>
    <w:basedOn w:val="Normal"/>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uiPriority w:val="99"/>
    <w:semiHidden/>
    <w:rPr>
      <w:vertAlign w:val="superscript"/>
    </w:rPr>
  </w:style>
  <w:style w:type="paragraph" w:styleId="Textonotapie">
    <w:name w:val="footnote text"/>
    <w:basedOn w:val="Normal"/>
    <w:link w:val="TextonotapieCar"/>
    <w:uiPriority w:val="99"/>
    <w:semiHidden/>
    <w:rPr>
      <w:sz w:val="20"/>
      <w:szCs w:val="20"/>
    </w:rPr>
  </w:style>
  <w:style w:type="character" w:customStyle="1" w:styleId="articulo-principal">
    <w:name w:val="articulo-principal"/>
    <w:basedOn w:val="Fuentedeprrafopredeter"/>
  </w:style>
  <w:style w:type="character" w:styleId="Hipervnculo">
    <w:name w:val="Hyperlink"/>
    <w:rPr>
      <w:color w:val="0000FF"/>
      <w:u w:val="single"/>
    </w:rPr>
  </w:style>
  <w:style w:type="character" w:customStyle="1" w:styleId="field-temas-especificos">
    <w:name w:val="field-temas-especificos"/>
    <w:basedOn w:val="Fuentedeprrafopredeter"/>
  </w:style>
  <w:style w:type="paragraph" w:styleId="Sangra3detindependiente">
    <w:name w:val="Body Text Indent 3"/>
    <w:basedOn w:val="Normal"/>
    <w:pPr>
      <w:spacing w:after="120"/>
      <w:ind w:left="283"/>
    </w:pPr>
    <w:rPr>
      <w:sz w:val="16"/>
      <w:szCs w:val="16"/>
    </w:rPr>
  </w:style>
  <w:style w:type="character" w:customStyle="1" w:styleId="CarCar3">
    <w:name w:val="Car Car3"/>
    <w:rPr>
      <w:sz w:val="16"/>
      <w:szCs w:val="16"/>
    </w:rPr>
  </w:style>
  <w:style w:type="character" w:customStyle="1" w:styleId="CarCar5">
    <w:name w:val="Car Car5"/>
    <w:semiHidden/>
    <w:rPr>
      <w:rFonts w:ascii="Calibri" w:eastAsia="Times New Roman" w:hAnsi="Calibri" w:cs="Times New Roman"/>
      <w:b/>
      <w:bCs/>
      <w:sz w:val="22"/>
      <w:szCs w:val="22"/>
    </w:rPr>
  </w:style>
  <w:style w:type="character" w:customStyle="1" w:styleId="CarCar4">
    <w:name w:val="Car Car4"/>
    <w:semiHidden/>
    <w:rPr>
      <w:rFonts w:ascii="Calibri" w:eastAsia="Times New Roman" w:hAnsi="Calibri" w:cs="Times New Roman"/>
      <w:i/>
      <w:iCs/>
      <w:sz w:val="24"/>
      <w:szCs w:val="24"/>
    </w:rPr>
  </w:style>
  <w:style w:type="paragraph" w:styleId="Subttulo">
    <w:name w:val="Subtitle"/>
    <w:basedOn w:val="Normal"/>
    <w:qFormat/>
    <w:pPr>
      <w:spacing w:line="480" w:lineRule="auto"/>
      <w:ind w:left="567"/>
      <w:jc w:val="both"/>
    </w:pPr>
    <w:rPr>
      <w:rFonts w:ascii="Arial" w:hAnsi="Arial"/>
      <w:b/>
      <w:sz w:val="28"/>
      <w:szCs w:val="20"/>
      <w:lang w:val="es-ES_tradnl"/>
    </w:rPr>
  </w:style>
  <w:style w:type="character" w:customStyle="1" w:styleId="CarCar2">
    <w:name w:val="Car Car2"/>
    <w:rPr>
      <w:rFonts w:ascii="Arial" w:hAnsi="Arial"/>
      <w:b/>
      <w:sz w:val="28"/>
      <w:lang w:val="es-ES_tradnl"/>
    </w:rPr>
  </w:style>
  <w:style w:type="paragraph" w:styleId="Textosinformato">
    <w:name w:val="Plain Text"/>
    <w:basedOn w:val="Normal"/>
    <w:rPr>
      <w:rFonts w:ascii="Courier New" w:hAnsi="Courier New"/>
      <w:b/>
      <w:sz w:val="20"/>
      <w:szCs w:val="20"/>
    </w:rPr>
  </w:style>
  <w:style w:type="character" w:customStyle="1" w:styleId="CarCar1">
    <w:name w:val="Car Car1"/>
    <w:rPr>
      <w:rFonts w:ascii="Courier New" w:hAnsi="Courier New"/>
      <w:b/>
    </w:rPr>
  </w:style>
  <w:style w:type="paragraph" w:styleId="Piedepgina">
    <w:name w:val="footer"/>
    <w:basedOn w:val="Normal"/>
    <w:link w:val="PiedepginaCar"/>
    <w:uiPriority w:val="99"/>
    <w:pPr>
      <w:tabs>
        <w:tab w:val="center" w:pos="4252"/>
        <w:tab w:val="right" w:pos="8504"/>
      </w:tabs>
    </w:pPr>
  </w:style>
  <w:style w:type="character" w:customStyle="1" w:styleId="CarCar">
    <w:name w:val="Car Car"/>
    <w:rPr>
      <w:sz w:val="24"/>
      <w:szCs w:val="24"/>
    </w:rPr>
  </w:style>
  <w:style w:type="paragraph" w:customStyle="1" w:styleId="Default">
    <w:name w:val="Default"/>
    <w:pPr>
      <w:autoSpaceDE w:val="0"/>
      <w:autoSpaceDN w:val="0"/>
      <w:adjustRightInd w:val="0"/>
    </w:pPr>
    <w:rPr>
      <w:rFonts w:ascii="Tahoma" w:hAnsi="Tahoma" w:cs="Tahoma"/>
      <w:color w:val="000000"/>
      <w:sz w:val="24"/>
      <w:szCs w:val="24"/>
      <w:lang w:val="es-ES" w:eastAsia="es-ES"/>
    </w:rPr>
  </w:style>
  <w:style w:type="paragraph" w:styleId="Textonotaalfinal">
    <w:name w:val="endnote text"/>
    <w:basedOn w:val="Normal"/>
    <w:link w:val="TextonotaalfinalCar"/>
    <w:rsid w:val="003F0BCC"/>
    <w:rPr>
      <w:sz w:val="20"/>
      <w:szCs w:val="20"/>
    </w:rPr>
  </w:style>
  <w:style w:type="character" w:customStyle="1" w:styleId="TextonotaalfinalCar">
    <w:name w:val="Texto nota al final Car"/>
    <w:link w:val="Textonotaalfinal"/>
    <w:rsid w:val="003F0BCC"/>
    <w:rPr>
      <w:lang w:val="es-ES" w:eastAsia="es-ES"/>
    </w:rPr>
  </w:style>
  <w:style w:type="character" w:styleId="Refdenotaalfinal">
    <w:name w:val="endnote reference"/>
    <w:rsid w:val="003F0BCC"/>
    <w:rPr>
      <w:vertAlign w:val="superscript"/>
    </w:rPr>
  </w:style>
  <w:style w:type="paragraph" w:styleId="Textodeglobo">
    <w:name w:val="Balloon Text"/>
    <w:basedOn w:val="Normal"/>
    <w:semiHidden/>
    <w:rsid w:val="005344E9"/>
    <w:rPr>
      <w:rFonts w:ascii="Tahoma" w:hAnsi="Tahoma" w:cs="Tahoma"/>
      <w:sz w:val="16"/>
      <w:szCs w:val="16"/>
    </w:rPr>
  </w:style>
  <w:style w:type="character" w:customStyle="1" w:styleId="fontstyle01">
    <w:name w:val="fontstyle01"/>
    <w:basedOn w:val="Fuentedeprrafopredeter"/>
    <w:rsid w:val="001F16F2"/>
    <w:rPr>
      <w:rFonts w:ascii="Tahoma-Bold" w:hAnsi="Tahoma-Bold" w:hint="default"/>
      <w:b/>
      <w:bCs/>
      <w:i w:val="0"/>
      <w:iCs w:val="0"/>
      <w:color w:val="000000"/>
      <w:sz w:val="24"/>
      <w:szCs w:val="24"/>
    </w:rPr>
  </w:style>
  <w:style w:type="character" w:customStyle="1" w:styleId="fontstyle21">
    <w:name w:val="fontstyle21"/>
    <w:basedOn w:val="Fuentedeprrafopredeter"/>
    <w:rsid w:val="001F16F2"/>
    <w:rPr>
      <w:rFonts w:ascii="Tahoma" w:hAnsi="Tahoma" w:cs="Tahoma" w:hint="default"/>
      <w:b w:val="0"/>
      <w:bCs w:val="0"/>
      <w:i w:val="0"/>
      <w:iCs w:val="0"/>
      <w:color w:val="000000"/>
      <w:sz w:val="24"/>
      <w:szCs w:val="24"/>
    </w:rPr>
  </w:style>
  <w:style w:type="character" w:customStyle="1" w:styleId="PiedepginaCar">
    <w:name w:val="Pie de página Car"/>
    <w:basedOn w:val="Fuentedeprrafopredeter"/>
    <w:link w:val="Piedepgina"/>
    <w:uiPriority w:val="99"/>
    <w:rsid w:val="0064697B"/>
    <w:rPr>
      <w:sz w:val="24"/>
      <w:szCs w:val="24"/>
      <w:lang w:val="es-ES" w:eastAsia="es-ES"/>
    </w:rPr>
  </w:style>
  <w:style w:type="paragraph" w:styleId="Prrafodelista">
    <w:name w:val="List Paragraph"/>
    <w:basedOn w:val="Normal"/>
    <w:uiPriority w:val="34"/>
    <w:qFormat/>
    <w:rsid w:val="0064697B"/>
    <w:pPr>
      <w:spacing w:line="360" w:lineRule="auto"/>
      <w:ind w:left="720"/>
      <w:contextualSpacing/>
      <w:jc w:val="both"/>
    </w:pPr>
    <w:rPr>
      <w:rFonts w:ascii="Arial" w:eastAsiaTheme="minorHAnsi" w:hAnsi="Arial" w:cstheme="minorBidi"/>
      <w:lang w:val="es-CO" w:eastAsia="en-US"/>
    </w:rPr>
  </w:style>
  <w:style w:type="paragraph" w:customStyle="1" w:styleId="paragraph">
    <w:name w:val="paragraph"/>
    <w:basedOn w:val="Normal"/>
    <w:rsid w:val="0064697B"/>
    <w:pPr>
      <w:spacing w:before="100" w:beforeAutospacing="1" w:after="100" w:afterAutospacing="1"/>
    </w:pPr>
    <w:rPr>
      <w:lang w:val="es-CO" w:eastAsia="es-ES_tradnl"/>
    </w:rPr>
  </w:style>
  <w:style w:type="character" w:customStyle="1" w:styleId="normaltextrun">
    <w:name w:val="normaltextrun"/>
    <w:basedOn w:val="Fuentedeprrafopredeter"/>
    <w:rsid w:val="0064697B"/>
  </w:style>
  <w:style w:type="character" w:customStyle="1" w:styleId="eop">
    <w:name w:val="eop"/>
    <w:basedOn w:val="Fuentedeprrafopredeter"/>
    <w:rsid w:val="0064697B"/>
  </w:style>
  <w:style w:type="character" w:styleId="Refdecomentario">
    <w:name w:val="annotation reference"/>
    <w:basedOn w:val="Fuentedeprrafopredeter"/>
    <w:rsid w:val="005A0AE2"/>
    <w:rPr>
      <w:sz w:val="16"/>
      <w:szCs w:val="16"/>
    </w:rPr>
  </w:style>
  <w:style w:type="paragraph" w:styleId="Textocomentario">
    <w:name w:val="annotation text"/>
    <w:basedOn w:val="Normal"/>
    <w:link w:val="TextocomentarioCar"/>
    <w:rsid w:val="005A0AE2"/>
    <w:rPr>
      <w:sz w:val="20"/>
      <w:szCs w:val="20"/>
    </w:rPr>
  </w:style>
  <w:style w:type="character" w:customStyle="1" w:styleId="TextocomentarioCar">
    <w:name w:val="Texto comentario Car"/>
    <w:basedOn w:val="Fuentedeprrafopredeter"/>
    <w:link w:val="Textocomentario"/>
    <w:rsid w:val="005A0AE2"/>
    <w:rPr>
      <w:lang w:val="es-ES" w:eastAsia="es-ES"/>
    </w:rPr>
  </w:style>
  <w:style w:type="character" w:customStyle="1" w:styleId="TextonotapieCar">
    <w:name w:val="Texto nota pie Car"/>
    <w:basedOn w:val="Fuentedeprrafopredeter"/>
    <w:link w:val="Textonotapie"/>
    <w:uiPriority w:val="99"/>
    <w:semiHidden/>
    <w:rsid w:val="00F62A0B"/>
    <w:rPr>
      <w:lang w:val="es-ES" w:eastAsia="es-ES"/>
    </w:rPr>
  </w:style>
  <w:style w:type="paragraph" w:styleId="Sinespaciado">
    <w:name w:val="No Spacing"/>
    <w:uiPriority w:val="1"/>
    <w:qFormat/>
    <w:rsid w:val="00276973"/>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51770">
      <w:bodyDiv w:val="1"/>
      <w:marLeft w:val="0"/>
      <w:marRight w:val="0"/>
      <w:marTop w:val="0"/>
      <w:marBottom w:val="0"/>
      <w:divBdr>
        <w:top w:val="none" w:sz="0" w:space="0" w:color="auto"/>
        <w:left w:val="none" w:sz="0" w:space="0" w:color="auto"/>
        <w:bottom w:val="none" w:sz="0" w:space="0" w:color="auto"/>
        <w:right w:val="none" w:sz="0" w:space="0" w:color="auto"/>
      </w:divBdr>
    </w:div>
    <w:div w:id="658120758">
      <w:bodyDiv w:val="1"/>
      <w:marLeft w:val="0"/>
      <w:marRight w:val="0"/>
      <w:marTop w:val="0"/>
      <w:marBottom w:val="0"/>
      <w:divBdr>
        <w:top w:val="none" w:sz="0" w:space="0" w:color="auto"/>
        <w:left w:val="none" w:sz="0" w:space="0" w:color="auto"/>
        <w:bottom w:val="none" w:sz="0" w:space="0" w:color="auto"/>
        <w:right w:val="none" w:sz="0" w:space="0" w:color="auto"/>
      </w:divBdr>
    </w:div>
    <w:div w:id="1453132992">
      <w:bodyDiv w:val="1"/>
      <w:marLeft w:val="0"/>
      <w:marRight w:val="0"/>
      <w:marTop w:val="0"/>
      <w:marBottom w:val="0"/>
      <w:divBdr>
        <w:top w:val="none" w:sz="0" w:space="0" w:color="auto"/>
        <w:left w:val="none" w:sz="0" w:space="0" w:color="auto"/>
        <w:bottom w:val="none" w:sz="0" w:space="0" w:color="auto"/>
        <w:right w:val="none" w:sz="0" w:space="0" w:color="auto"/>
      </w:divBdr>
    </w:div>
    <w:div w:id="160735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FFD0A-28D3-46BA-BFF5-D5829B9C4BB6}">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6BE350A2-2C80-4C3D-B068-21B1A8042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3C4945-4B43-4568-A883-AE358129E816}">
  <ds:schemaRefs>
    <ds:schemaRef ds:uri="http://schemas.microsoft.com/sharepoint/v3/contenttype/forms"/>
  </ds:schemaRefs>
</ds:datastoreItem>
</file>

<file path=customXml/itemProps4.xml><?xml version="1.0" encoding="utf-8"?>
<ds:datastoreItem xmlns:ds="http://schemas.openxmlformats.org/officeDocument/2006/customXml" ds:itemID="{B9AE9A2C-4CE5-48AC-AB5A-45C34FE95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2060</Words>
  <Characters>11747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Radicación Nro</vt:lpstr>
    </vt:vector>
  </TitlesOfParts>
  <Company>Trabajo</Company>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Radicación Nro</dc:title>
  <dc:subject/>
  <dc:creator>Personal</dc:creator>
  <cp:keywords/>
  <dc:description/>
  <cp:lastModifiedBy>samsung</cp:lastModifiedBy>
  <cp:revision>8</cp:revision>
  <cp:lastPrinted>2011-07-28T20:53:00Z</cp:lastPrinted>
  <dcterms:created xsi:type="dcterms:W3CDTF">2024-04-11T16:55:00Z</dcterms:created>
  <dcterms:modified xsi:type="dcterms:W3CDTF">2024-06-13T21:00:00Z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57100000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