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074A9A7" w14:textId="50FAB11B" w:rsidR="00605EC8" w:rsidRPr="00AE5A4C" w:rsidRDefault="00AE5A4C" w:rsidP="00605EC8">
      <w:pPr>
        <w:tabs>
          <w:tab w:val="left" w:pos="9067"/>
        </w:tabs>
        <w:spacing w:line="240" w:lineRule="auto"/>
        <w:ind w:firstLine="0"/>
        <w:rPr>
          <w:rFonts w:eastAsia="Century Gothic" w:cs="Arial"/>
          <w:b/>
          <w:bCs/>
          <w:sz w:val="20"/>
          <w:szCs w:val="22"/>
        </w:rPr>
      </w:pPr>
      <w:bookmarkStart w:id="0" w:name="_Hlk182219765"/>
      <w:r>
        <w:rPr>
          <w:rFonts w:eastAsia="Century Gothic" w:cs="Arial"/>
          <w:b/>
          <w:bCs/>
          <w:sz w:val="20"/>
          <w:szCs w:val="22"/>
        </w:rPr>
        <w:t xml:space="preserve">CONTRATO DE TRABAJO / MODALIDAD / POR OBRA O LABOR / INDEFINICIÓN </w:t>
      </w:r>
    </w:p>
    <w:p w14:paraId="269D5398" w14:textId="230568A7" w:rsidR="00605EC8" w:rsidRPr="002E7ABA" w:rsidRDefault="00AE5A4C" w:rsidP="00605EC8">
      <w:pPr>
        <w:tabs>
          <w:tab w:val="left" w:pos="9067"/>
        </w:tabs>
        <w:spacing w:line="240" w:lineRule="auto"/>
        <w:ind w:firstLine="0"/>
        <w:rPr>
          <w:rFonts w:eastAsia="Century Gothic" w:cs="Arial"/>
          <w:sz w:val="20"/>
          <w:szCs w:val="22"/>
        </w:rPr>
      </w:pPr>
      <w:r w:rsidRPr="00AE5A4C">
        <w:rPr>
          <w:rFonts w:eastAsia="Century Gothic" w:cs="Arial"/>
          <w:sz w:val="20"/>
          <w:szCs w:val="22"/>
        </w:rPr>
        <w:t xml:space="preserve">A propósito de la modalidad contractual declarada la cual deviene del articulo 45 CST, cuenta indicar que es propio de dicha modalidad cuando la duración del vínculo quedó supeditada a la terminación de la obra o labor por la cual se ha contratado al trabajador por lo que, culminada la obra, finiquita el contrato. Sin embargo, jurisprudencialmente también se ha dicho que, ante la ausencia de un pacto expreso, el contrato se debe entender a término indefinido para todos sus efectos, situación que también sucede cuando la naturaleza de la obra contratada no es clara, esto es, cuando no se puede identificar con precisión (CSJ, </w:t>
      </w:r>
      <w:proofErr w:type="spellStart"/>
      <w:r w:rsidRPr="00AE5A4C">
        <w:rPr>
          <w:rFonts w:eastAsia="Century Gothic" w:cs="Arial"/>
          <w:sz w:val="20"/>
          <w:szCs w:val="22"/>
        </w:rPr>
        <w:t>SCL</w:t>
      </w:r>
      <w:proofErr w:type="spellEnd"/>
      <w:r w:rsidRPr="00AE5A4C">
        <w:rPr>
          <w:rFonts w:eastAsia="Century Gothic" w:cs="Arial"/>
          <w:sz w:val="20"/>
          <w:szCs w:val="22"/>
        </w:rPr>
        <w:t xml:space="preserve"> sentencia 69175 del 27 de junio de 2018).</w:t>
      </w:r>
    </w:p>
    <w:p w14:paraId="7C9CC595" w14:textId="77777777" w:rsidR="00605EC8" w:rsidRPr="002E7ABA" w:rsidRDefault="00605EC8" w:rsidP="00605EC8">
      <w:pPr>
        <w:tabs>
          <w:tab w:val="left" w:pos="9067"/>
        </w:tabs>
        <w:spacing w:line="240" w:lineRule="auto"/>
        <w:ind w:firstLine="0"/>
        <w:rPr>
          <w:rFonts w:eastAsia="Century Gothic" w:cs="Arial"/>
          <w:sz w:val="20"/>
          <w:szCs w:val="22"/>
        </w:rPr>
      </w:pPr>
    </w:p>
    <w:p w14:paraId="2AF11A2B" w14:textId="1ADF07DD" w:rsidR="00AE5A4C" w:rsidRPr="00AE5A4C" w:rsidRDefault="00AE5A4C" w:rsidP="00AE5A4C">
      <w:pPr>
        <w:tabs>
          <w:tab w:val="left" w:pos="9067"/>
        </w:tabs>
        <w:spacing w:line="240" w:lineRule="auto"/>
        <w:ind w:firstLine="0"/>
        <w:rPr>
          <w:rFonts w:eastAsia="Century Gothic" w:cs="Arial"/>
          <w:b/>
          <w:bCs/>
          <w:sz w:val="20"/>
          <w:szCs w:val="22"/>
        </w:rPr>
      </w:pPr>
      <w:r>
        <w:rPr>
          <w:rFonts w:eastAsia="Century Gothic" w:cs="Arial"/>
          <w:b/>
          <w:bCs/>
          <w:sz w:val="20"/>
          <w:szCs w:val="22"/>
        </w:rPr>
        <w:t xml:space="preserve">TERMINACIÓN DEL </w:t>
      </w:r>
      <w:r>
        <w:rPr>
          <w:rFonts w:eastAsia="Century Gothic" w:cs="Arial"/>
          <w:b/>
          <w:bCs/>
          <w:sz w:val="20"/>
          <w:szCs w:val="22"/>
        </w:rPr>
        <w:t xml:space="preserve">CONTRATO / </w:t>
      </w:r>
      <w:r>
        <w:rPr>
          <w:rFonts w:eastAsia="Century Gothic" w:cs="Arial"/>
          <w:b/>
          <w:bCs/>
          <w:sz w:val="20"/>
          <w:szCs w:val="22"/>
        </w:rPr>
        <w:t>CARGAS PROBATORIAS</w:t>
      </w:r>
    </w:p>
    <w:p w14:paraId="2554DD64" w14:textId="6288569F" w:rsidR="00605EC8" w:rsidRPr="002E7ABA" w:rsidRDefault="00AE5A4C" w:rsidP="00605EC8">
      <w:pPr>
        <w:tabs>
          <w:tab w:val="left" w:pos="9067"/>
        </w:tabs>
        <w:spacing w:line="240" w:lineRule="auto"/>
        <w:ind w:firstLine="0"/>
        <w:rPr>
          <w:rFonts w:eastAsia="Century Gothic" w:cs="Arial"/>
          <w:sz w:val="20"/>
          <w:szCs w:val="22"/>
        </w:rPr>
      </w:pPr>
      <w:r>
        <w:rPr>
          <w:rFonts w:eastAsia="Century Gothic" w:cs="Arial"/>
          <w:sz w:val="20"/>
          <w:szCs w:val="22"/>
        </w:rPr>
        <w:t>…</w:t>
      </w:r>
      <w:r w:rsidRPr="00AE5A4C">
        <w:rPr>
          <w:rFonts w:eastAsia="Century Gothic" w:cs="Arial"/>
          <w:sz w:val="20"/>
          <w:szCs w:val="22"/>
        </w:rPr>
        <w:t xml:space="preserve"> en cuanto a la forma de terminación del nexo discutido, es de memorar que la Sala de Casación Laboral en la sentencia </w:t>
      </w:r>
      <w:proofErr w:type="spellStart"/>
      <w:r w:rsidRPr="00AE5A4C">
        <w:rPr>
          <w:rFonts w:eastAsia="Century Gothic" w:cs="Arial"/>
          <w:sz w:val="20"/>
          <w:szCs w:val="22"/>
        </w:rPr>
        <w:t>SL17728</w:t>
      </w:r>
      <w:proofErr w:type="spellEnd"/>
      <w:r w:rsidRPr="00AE5A4C">
        <w:rPr>
          <w:rFonts w:eastAsia="Century Gothic" w:cs="Arial"/>
          <w:sz w:val="20"/>
          <w:szCs w:val="22"/>
        </w:rPr>
        <w:t>/2016 advirtió, que, en materia de despidos, sobre el trabajador gravita la carga de demostrar que la terminación del contrato por parte del empleador para impetrar judicialmente los efectos de su terminación injusta, en tal caso, la carga de la prueba se invierte de manera que, al empleador, le corresponde demostrar que el despido se basó en las causas esgrimidas en el documento con el que comunicó su decisión.</w:t>
      </w:r>
    </w:p>
    <w:p w14:paraId="43BE0D56" w14:textId="77777777" w:rsidR="00605EC8" w:rsidRPr="002E7ABA" w:rsidRDefault="00605EC8" w:rsidP="00605EC8">
      <w:pPr>
        <w:tabs>
          <w:tab w:val="left" w:pos="9067"/>
        </w:tabs>
        <w:spacing w:line="240" w:lineRule="auto"/>
        <w:ind w:firstLine="0"/>
        <w:rPr>
          <w:rFonts w:eastAsia="Century Gothic" w:cs="Arial"/>
          <w:sz w:val="20"/>
          <w:szCs w:val="22"/>
        </w:rPr>
      </w:pPr>
    </w:p>
    <w:p w14:paraId="7E85A9AD" w14:textId="616A64C7" w:rsidR="00AE5A4C" w:rsidRPr="00AE5A4C" w:rsidRDefault="00770392" w:rsidP="00AE5A4C">
      <w:pPr>
        <w:tabs>
          <w:tab w:val="left" w:pos="9067"/>
        </w:tabs>
        <w:spacing w:line="240" w:lineRule="auto"/>
        <w:ind w:firstLine="0"/>
        <w:rPr>
          <w:rFonts w:eastAsia="Century Gothic" w:cs="Arial"/>
          <w:b/>
          <w:bCs/>
          <w:sz w:val="20"/>
          <w:szCs w:val="22"/>
        </w:rPr>
      </w:pPr>
      <w:r>
        <w:rPr>
          <w:rFonts w:eastAsia="Century Gothic" w:cs="Arial"/>
          <w:b/>
          <w:bCs/>
          <w:sz w:val="20"/>
          <w:szCs w:val="22"/>
        </w:rPr>
        <w:t>LLAMAMIENTO EN GARANTÍA</w:t>
      </w:r>
      <w:r w:rsidR="00AE5A4C">
        <w:rPr>
          <w:rFonts w:eastAsia="Century Gothic" w:cs="Arial"/>
          <w:b/>
          <w:bCs/>
          <w:sz w:val="20"/>
          <w:szCs w:val="22"/>
        </w:rPr>
        <w:t xml:space="preserve"> / </w:t>
      </w:r>
      <w:r w:rsidR="00D36679">
        <w:rPr>
          <w:rFonts w:eastAsia="Century Gothic" w:cs="Arial"/>
          <w:b/>
          <w:bCs/>
          <w:sz w:val="20"/>
          <w:szCs w:val="22"/>
        </w:rPr>
        <w:t xml:space="preserve">COBERTURA </w:t>
      </w:r>
      <w:r w:rsidR="00AE5A4C">
        <w:rPr>
          <w:rFonts w:eastAsia="Century Gothic" w:cs="Arial"/>
          <w:b/>
          <w:bCs/>
          <w:sz w:val="20"/>
          <w:szCs w:val="22"/>
        </w:rPr>
        <w:t xml:space="preserve">/ </w:t>
      </w:r>
      <w:r w:rsidR="00D36679">
        <w:rPr>
          <w:rFonts w:eastAsia="Century Gothic" w:cs="Arial"/>
          <w:b/>
          <w:bCs/>
          <w:sz w:val="20"/>
          <w:szCs w:val="22"/>
        </w:rPr>
        <w:t>PRESCRIPCIÓN</w:t>
      </w:r>
    </w:p>
    <w:p w14:paraId="75BC52A8" w14:textId="612E3745" w:rsidR="00605EC8" w:rsidRDefault="00770392" w:rsidP="00605EC8">
      <w:pPr>
        <w:tabs>
          <w:tab w:val="left" w:pos="9067"/>
        </w:tabs>
        <w:spacing w:line="240" w:lineRule="auto"/>
        <w:ind w:firstLine="0"/>
        <w:rPr>
          <w:rFonts w:eastAsia="Century Gothic" w:cs="Arial"/>
          <w:sz w:val="20"/>
          <w:szCs w:val="22"/>
        </w:rPr>
      </w:pPr>
      <w:r w:rsidRPr="00770392">
        <w:rPr>
          <w:rFonts w:eastAsia="Century Gothic" w:cs="Arial"/>
          <w:sz w:val="20"/>
          <w:szCs w:val="22"/>
        </w:rPr>
        <w:t xml:space="preserve">Al observar la garantía única de seguros de cumplimiento en favor de entidades estatales </w:t>
      </w:r>
      <w:proofErr w:type="spellStart"/>
      <w:r w:rsidRPr="00770392">
        <w:rPr>
          <w:rFonts w:eastAsia="Century Gothic" w:cs="Arial"/>
          <w:sz w:val="20"/>
          <w:szCs w:val="22"/>
        </w:rPr>
        <w:t>GU001441</w:t>
      </w:r>
      <w:proofErr w:type="spellEnd"/>
      <w:r w:rsidRPr="00770392">
        <w:rPr>
          <w:rFonts w:eastAsia="Century Gothic" w:cs="Arial"/>
          <w:sz w:val="20"/>
          <w:szCs w:val="22"/>
        </w:rPr>
        <w:t xml:space="preserve"> expedida por la Compañía Aseguradora de Fianzas Confianza S.A., esta cubre las contingencias que susciten entre el 13-09-2004 y el 12-06-2008, respecto del pago de salarios, prestaciones sociales, indemnizaciones</w:t>
      </w:r>
      <w:r>
        <w:rPr>
          <w:rFonts w:eastAsia="Century Gothic" w:cs="Arial"/>
          <w:sz w:val="20"/>
          <w:szCs w:val="22"/>
        </w:rPr>
        <w:t xml:space="preserve">…  </w:t>
      </w:r>
      <w:r w:rsidRPr="00770392">
        <w:rPr>
          <w:rFonts w:eastAsia="Century Gothic" w:cs="Arial"/>
          <w:sz w:val="20"/>
          <w:szCs w:val="22"/>
        </w:rPr>
        <w:t>De su contenido, se desprende que el objeto de la garantía es “amparar el pago de los perjuicios imputables al garantizado derivado del incumplimiento de las obligaciones surgidas durante la ejecución del contrato de obra pública No 02 del 12 de agosto de 2004”</w:t>
      </w:r>
      <w:r>
        <w:rPr>
          <w:rFonts w:eastAsia="Century Gothic" w:cs="Arial"/>
          <w:sz w:val="20"/>
          <w:szCs w:val="22"/>
        </w:rPr>
        <w:t xml:space="preserve"> … </w:t>
      </w:r>
      <w:r w:rsidRPr="00770392">
        <w:rPr>
          <w:rFonts w:eastAsia="Century Gothic" w:cs="Arial"/>
          <w:sz w:val="20"/>
          <w:szCs w:val="22"/>
        </w:rPr>
        <w:t>En cuanto a la prescripción del contrato de seguros, el artículo 1081 del Código de Comercio establece que la prescripción ordinaria de las acciones que se derivan del contrato de seguro será de dos años y corre a partir del momento en que el interesado haya tenido o debido tener conocimiento del hecho que da base a la acción y la prescripción extraordinaria será de cinco años, contabilizados desde el momento en que nace el respectivo derecho.</w:t>
      </w:r>
    </w:p>
    <w:p w14:paraId="1B0F7DB1" w14:textId="77777777" w:rsidR="00AE5A4C" w:rsidRDefault="00AE5A4C" w:rsidP="00605EC8">
      <w:pPr>
        <w:tabs>
          <w:tab w:val="left" w:pos="9067"/>
        </w:tabs>
        <w:spacing w:line="240" w:lineRule="auto"/>
        <w:ind w:firstLine="0"/>
        <w:rPr>
          <w:rFonts w:eastAsia="Century Gothic" w:cs="Arial"/>
          <w:sz w:val="20"/>
          <w:szCs w:val="22"/>
        </w:rPr>
      </w:pPr>
    </w:p>
    <w:p w14:paraId="401572A4" w14:textId="77777777" w:rsidR="00AE5A4C" w:rsidRPr="002E7ABA" w:rsidRDefault="00AE5A4C" w:rsidP="00605EC8">
      <w:pPr>
        <w:tabs>
          <w:tab w:val="left" w:pos="9067"/>
        </w:tabs>
        <w:spacing w:line="240" w:lineRule="auto"/>
        <w:ind w:firstLine="0"/>
        <w:rPr>
          <w:rFonts w:eastAsia="Century Gothic" w:cs="Arial"/>
          <w:sz w:val="20"/>
          <w:szCs w:val="22"/>
        </w:rPr>
      </w:pPr>
    </w:p>
    <w:p w14:paraId="54BBDF41" w14:textId="77777777" w:rsidR="00605EC8" w:rsidRPr="002E7ABA" w:rsidRDefault="00605EC8" w:rsidP="00605EC8">
      <w:pPr>
        <w:tabs>
          <w:tab w:val="left" w:pos="9067"/>
        </w:tabs>
        <w:spacing w:line="240" w:lineRule="auto"/>
        <w:ind w:firstLine="0"/>
        <w:rPr>
          <w:rFonts w:eastAsia="Century Gothic" w:cs="Arial"/>
          <w:sz w:val="20"/>
          <w:szCs w:val="22"/>
        </w:rPr>
      </w:pPr>
    </w:p>
    <w:p w14:paraId="779FCDD8" w14:textId="5030F7DE" w:rsidR="00605EC8" w:rsidRPr="00605EC8" w:rsidRDefault="00605EC8" w:rsidP="00605EC8">
      <w:pPr>
        <w:spacing w:line="240" w:lineRule="auto"/>
        <w:ind w:firstLine="0"/>
        <w:rPr>
          <w:rFonts w:eastAsia="Century Gothic" w:cs="Arial"/>
          <w:sz w:val="20"/>
          <w:szCs w:val="22"/>
        </w:rPr>
      </w:pPr>
      <w:r w:rsidRPr="00605EC8">
        <w:rPr>
          <w:rFonts w:eastAsia="Century Gothic" w:cs="Arial"/>
          <w:sz w:val="20"/>
          <w:szCs w:val="22"/>
        </w:rPr>
        <w:t>Proceso:</w:t>
      </w:r>
      <w:r>
        <w:rPr>
          <w:rFonts w:eastAsia="Century Gothic" w:cs="Arial"/>
          <w:sz w:val="20"/>
          <w:szCs w:val="22"/>
        </w:rPr>
        <w:tab/>
      </w:r>
      <w:r w:rsidRPr="00605EC8">
        <w:rPr>
          <w:rFonts w:eastAsia="Century Gothic" w:cs="Arial"/>
          <w:sz w:val="20"/>
          <w:szCs w:val="22"/>
        </w:rPr>
        <w:tab/>
        <w:t>Ordinario Laboral</w:t>
      </w:r>
    </w:p>
    <w:p w14:paraId="48A8E109" w14:textId="14CE7A27" w:rsidR="00605EC8" w:rsidRPr="00605EC8" w:rsidRDefault="00605EC8" w:rsidP="00605EC8">
      <w:pPr>
        <w:spacing w:line="240" w:lineRule="auto"/>
        <w:ind w:firstLine="0"/>
        <w:rPr>
          <w:rFonts w:eastAsia="Century Gothic" w:cs="Arial"/>
          <w:sz w:val="20"/>
          <w:szCs w:val="22"/>
        </w:rPr>
      </w:pPr>
      <w:r w:rsidRPr="00605EC8">
        <w:rPr>
          <w:rFonts w:eastAsia="Century Gothic" w:cs="Arial"/>
          <w:sz w:val="20"/>
          <w:szCs w:val="22"/>
        </w:rPr>
        <w:t>Radicado:</w:t>
      </w:r>
      <w:r>
        <w:rPr>
          <w:rFonts w:eastAsia="Century Gothic" w:cs="Arial"/>
          <w:sz w:val="20"/>
          <w:szCs w:val="22"/>
        </w:rPr>
        <w:tab/>
      </w:r>
      <w:r w:rsidRPr="00605EC8">
        <w:rPr>
          <w:rFonts w:eastAsia="Century Gothic" w:cs="Arial"/>
          <w:sz w:val="20"/>
          <w:szCs w:val="22"/>
        </w:rPr>
        <w:tab/>
        <w:t>66001310500120100051702</w:t>
      </w:r>
    </w:p>
    <w:p w14:paraId="11CE02FE" w14:textId="3C549B16" w:rsidR="00605EC8" w:rsidRPr="00605EC8" w:rsidRDefault="00605EC8" w:rsidP="00605EC8">
      <w:pPr>
        <w:spacing w:line="240" w:lineRule="auto"/>
        <w:ind w:firstLine="0"/>
        <w:rPr>
          <w:rFonts w:eastAsia="Century Gothic" w:cs="Arial"/>
          <w:sz w:val="20"/>
          <w:szCs w:val="22"/>
        </w:rPr>
      </w:pPr>
      <w:r w:rsidRPr="00605EC8">
        <w:rPr>
          <w:rFonts w:eastAsia="Century Gothic" w:cs="Arial"/>
          <w:sz w:val="20"/>
          <w:szCs w:val="22"/>
        </w:rPr>
        <w:t>Demandante:</w:t>
      </w:r>
      <w:r>
        <w:rPr>
          <w:rFonts w:eastAsia="Century Gothic" w:cs="Arial"/>
          <w:sz w:val="20"/>
          <w:szCs w:val="22"/>
        </w:rPr>
        <w:tab/>
      </w:r>
      <w:r w:rsidRPr="00605EC8">
        <w:rPr>
          <w:rFonts w:eastAsia="Century Gothic" w:cs="Arial"/>
          <w:sz w:val="20"/>
          <w:szCs w:val="22"/>
        </w:rPr>
        <w:tab/>
        <w:t>Julián Alberto Ruiz</w:t>
      </w:r>
    </w:p>
    <w:p w14:paraId="27559341" w14:textId="635FEBCF" w:rsidR="00605EC8" w:rsidRPr="00605EC8" w:rsidRDefault="00605EC8" w:rsidP="00605EC8">
      <w:pPr>
        <w:spacing w:line="240" w:lineRule="auto"/>
        <w:ind w:left="2124" w:hanging="2124"/>
        <w:rPr>
          <w:rFonts w:eastAsia="Century Gothic" w:cs="Arial"/>
          <w:sz w:val="20"/>
          <w:szCs w:val="22"/>
        </w:rPr>
      </w:pPr>
      <w:r w:rsidRPr="00605EC8">
        <w:rPr>
          <w:rFonts w:eastAsia="Century Gothic" w:cs="Arial"/>
          <w:sz w:val="20"/>
          <w:szCs w:val="22"/>
        </w:rPr>
        <w:t>Demandado:</w:t>
      </w:r>
      <w:r w:rsidRPr="00605EC8">
        <w:rPr>
          <w:rFonts w:eastAsia="Century Gothic" w:cs="Arial"/>
          <w:sz w:val="20"/>
          <w:szCs w:val="22"/>
        </w:rPr>
        <w:tab/>
        <w:t xml:space="preserve">Hernando Granada Gómez, Cival Constructores Ltda., Cesar Baena García, </w:t>
      </w:r>
      <w:proofErr w:type="spellStart"/>
      <w:r w:rsidRPr="00605EC8">
        <w:rPr>
          <w:rFonts w:eastAsia="Century Gothic" w:cs="Arial"/>
          <w:sz w:val="20"/>
          <w:szCs w:val="22"/>
        </w:rPr>
        <w:t>Megabus</w:t>
      </w:r>
      <w:proofErr w:type="spellEnd"/>
      <w:r w:rsidRPr="00605EC8">
        <w:rPr>
          <w:rFonts w:eastAsia="Century Gothic" w:cs="Arial"/>
          <w:sz w:val="20"/>
          <w:szCs w:val="22"/>
        </w:rPr>
        <w:t xml:space="preserve"> S.A. y Municipio de Pereira</w:t>
      </w:r>
    </w:p>
    <w:p w14:paraId="18FEFB4F" w14:textId="2D1CC6CF" w:rsidR="00605EC8" w:rsidRPr="00605EC8" w:rsidRDefault="00605EC8" w:rsidP="00605EC8">
      <w:pPr>
        <w:spacing w:line="240" w:lineRule="auto"/>
        <w:ind w:firstLine="0"/>
        <w:rPr>
          <w:rFonts w:eastAsia="Century Gothic" w:cs="Arial"/>
          <w:sz w:val="20"/>
          <w:szCs w:val="22"/>
        </w:rPr>
      </w:pPr>
      <w:r w:rsidRPr="00605EC8">
        <w:rPr>
          <w:rFonts w:eastAsia="Century Gothic" w:cs="Arial"/>
          <w:sz w:val="20"/>
          <w:szCs w:val="22"/>
        </w:rPr>
        <w:t>Llamado en Garantía:</w:t>
      </w:r>
      <w:r w:rsidRPr="00605EC8">
        <w:rPr>
          <w:rFonts w:eastAsia="Century Gothic" w:cs="Arial"/>
          <w:sz w:val="20"/>
          <w:szCs w:val="22"/>
        </w:rPr>
        <w:tab/>
        <w:t>Fianza Confianza S</w:t>
      </w:r>
      <w:r>
        <w:rPr>
          <w:rFonts w:eastAsia="Century Gothic" w:cs="Arial"/>
          <w:sz w:val="20"/>
          <w:szCs w:val="22"/>
        </w:rPr>
        <w:t>.</w:t>
      </w:r>
      <w:r w:rsidRPr="00605EC8">
        <w:rPr>
          <w:rFonts w:eastAsia="Century Gothic" w:cs="Arial"/>
          <w:sz w:val="20"/>
          <w:szCs w:val="22"/>
        </w:rPr>
        <w:t>A</w:t>
      </w:r>
      <w:r>
        <w:rPr>
          <w:rFonts w:eastAsia="Century Gothic" w:cs="Arial"/>
          <w:sz w:val="20"/>
          <w:szCs w:val="22"/>
        </w:rPr>
        <w:t>.</w:t>
      </w:r>
    </w:p>
    <w:p w14:paraId="08FBBF3F" w14:textId="2AF70E62" w:rsidR="00605EC8" w:rsidRPr="00605EC8" w:rsidRDefault="00605EC8" w:rsidP="00605EC8">
      <w:pPr>
        <w:spacing w:line="240" w:lineRule="auto"/>
        <w:ind w:firstLine="0"/>
        <w:rPr>
          <w:rFonts w:eastAsia="Century Gothic" w:cs="Arial"/>
          <w:sz w:val="20"/>
          <w:szCs w:val="22"/>
        </w:rPr>
      </w:pPr>
      <w:r w:rsidRPr="00605EC8">
        <w:rPr>
          <w:rFonts w:eastAsia="Century Gothic" w:cs="Arial"/>
          <w:sz w:val="20"/>
          <w:szCs w:val="22"/>
        </w:rPr>
        <w:t>Asunto:</w:t>
      </w:r>
      <w:r>
        <w:rPr>
          <w:rFonts w:eastAsia="Century Gothic" w:cs="Arial"/>
          <w:sz w:val="20"/>
          <w:szCs w:val="22"/>
        </w:rPr>
        <w:tab/>
      </w:r>
      <w:r>
        <w:rPr>
          <w:rFonts w:eastAsia="Century Gothic" w:cs="Arial"/>
          <w:sz w:val="20"/>
          <w:szCs w:val="22"/>
        </w:rPr>
        <w:tab/>
      </w:r>
      <w:r>
        <w:rPr>
          <w:rFonts w:eastAsia="Century Gothic" w:cs="Arial"/>
          <w:sz w:val="20"/>
          <w:szCs w:val="22"/>
        </w:rPr>
        <w:tab/>
      </w:r>
      <w:r w:rsidRPr="00605EC8">
        <w:rPr>
          <w:rFonts w:eastAsia="Century Gothic" w:cs="Arial"/>
          <w:sz w:val="20"/>
          <w:szCs w:val="22"/>
        </w:rPr>
        <w:t>Apelación sentencia del 6 de diciembre de 2022</w:t>
      </w:r>
    </w:p>
    <w:p w14:paraId="3CE49A8B" w14:textId="05DBC828" w:rsidR="00605EC8" w:rsidRPr="00605EC8" w:rsidRDefault="00605EC8" w:rsidP="00605EC8">
      <w:pPr>
        <w:spacing w:line="240" w:lineRule="auto"/>
        <w:ind w:firstLine="0"/>
        <w:rPr>
          <w:rFonts w:eastAsia="Century Gothic" w:cs="Arial"/>
          <w:sz w:val="20"/>
          <w:szCs w:val="22"/>
        </w:rPr>
      </w:pPr>
      <w:r w:rsidRPr="00605EC8">
        <w:rPr>
          <w:rFonts w:eastAsia="Century Gothic" w:cs="Arial"/>
          <w:sz w:val="20"/>
          <w:szCs w:val="22"/>
        </w:rPr>
        <w:t>Juzgado:</w:t>
      </w:r>
      <w:r>
        <w:rPr>
          <w:rFonts w:eastAsia="Century Gothic" w:cs="Arial"/>
          <w:sz w:val="20"/>
          <w:szCs w:val="22"/>
        </w:rPr>
        <w:tab/>
      </w:r>
      <w:r w:rsidRPr="00605EC8">
        <w:rPr>
          <w:rFonts w:eastAsia="Century Gothic" w:cs="Arial"/>
          <w:sz w:val="20"/>
          <w:szCs w:val="22"/>
        </w:rPr>
        <w:tab/>
        <w:t>Primero Laboral del Circuito</w:t>
      </w:r>
    </w:p>
    <w:p w14:paraId="336FE24B" w14:textId="4E5E8F29" w:rsidR="00605EC8" w:rsidRPr="002E7ABA" w:rsidRDefault="00605EC8" w:rsidP="00605EC8">
      <w:pPr>
        <w:spacing w:line="240" w:lineRule="auto"/>
        <w:ind w:firstLine="0"/>
        <w:rPr>
          <w:rFonts w:eastAsia="Century Gothic" w:cs="Arial"/>
          <w:sz w:val="20"/>
          <w:szCs w:val="22"/>
        </w:rPr>
      </w:pPr>
      <w:r w:rsidRPr="00605EC8">
        <w:rPr>
          <w:rFonts w:eastAsia="Century Gothic" w:cs="Arial"/>
          <w:sz w:val="20"/>
          <w:szCs w:val="22"/>
        </w:rPr>
        <w:t>Tema:</w:t>
      </w:r>
      <w:r>
        <w:rPr>
          <w:rFonts w:eastAsia="Century Gothic" w:cs="Arial"/>
          <w:sz w:val="20"/>
          <w:szCs w:val="22"/>
        </w:rPr>
        <w:tab/>
      </w:r>
      <w:r>
        <w:rPr>
          <w:rFonts w:eastAsia="Century Gothic" w:cs="Arial"/>
          <w:sz w:val="20"/>
          <w:szCs w:val="22"/>
        </w:rPr>
        <w:tab/>
      </w:r>
      <w:r w:rsidRPr="00605EC8">
        <w:rPr>
          <w:rFonts w:eastAsia="Century Gothic" w:cs="Arial"/>
          <w:sz w:val="20"/>
          <w:szCs w:val="22"/>
        </w:rPr>
        <w:tab/>
        <w:t>Contrato realidad</w:t>
      </w:r>
    </w:p>
    <w:p w14:paraId="66492625" w14:textId="77777777" w:rsidR="00605EC8" w:rsidRPr="002E7ABA" w:rsidRDefault="00605EC8" w:rsidP="00605EC8">
      <w:pPr>
        <w:tabs>
          <w:tab w:val="left" w:pos="9067"/>
        </w:tabs>
        <w:spacing w:line="240" w:lineRule="auto"/>
        <w:ind w:firstLine="0"/>
        <w:rPr>
          <w:rFonts w:eastAsia="Century Gothic" w:cs="Arial"/>
          <w:sz w:val="20"/>
          <w:szCs w:val="22"/>
        </w:rPr>
      </w:pPr>
    </w:p>
    <w:p w14:paraId="1F493D8C" w14:textId="77777777" w:rsidR="00605EC8" w:rsidRPr="002E7ABA" w:rsidRDefault="00605EC8" w:rsidP="00605EC8">
      <w:pPr>
        <w:tabs>
          <w:tab w:val="left" w:pos="9067"/>
        </w:tabs>
        <w:spacing w:line="240" w:lineRule="auto"/>
        <w:ind w:firstLine="0"/>
        <w:rPr>
          <w:rFonts w:eastAsia="Century Gothic" w:cs="Arial"/>
          <w:sz w:val="20"/>
          <w:szCs w:val="22"/>
        </w:rPr>
      </w:pPr>
    </w:p>
    <w:p w14:paraId="57CAF11C" w14:textId="77777777" w:rsidR="00605EC8" w:rsidRPr="002E7ABA" w:rsidRDefault="00605EC8" w:rsidP="00605EC8">
      <w:pPr>
        <w:tabs>
          <w:tab w:val="left" w:pos="9067"/>
        </w:tabs>
        <w:spacing w:line="240" w:lineRule="auto"/>
        <w:ind w:firstLine="0"/>
        <w:rPr>
          <w:rFonts w:eastAsia="Century Gothic" w:cs="Arial"/>
          <w:sz w:val="20"/>
          <w:szCs w:val="22"/>
        </w:rPr>
      </w:pPr>
    </w:p>
    <w:p w14:paraId="1F90A36E" w14:textId="77777777" w:rsidR="00605EC8" w:rsidRPr="002E7ABA" w:rsidRDefault="00605EC8" w:rsidP="00605EC8">
      <w:pPr>
        <w:overflowPunct w:val="0"/>
        <w:autoSpaceDE w:val="0"/>
        <w:autoSpaceDN w:val="0"/>
        <w:adjustRightInd w:val="0"/>
        <w:spacing w:line="276" w:lineRule="auto"/>
        <w:ind w:firstLine="0"/>
        <w:jc w:val="center"/>
        <w:textAlignment w:val="baseline"/>
        <w:rPr>
          <w:rFonts w:ascii="Bookman Old Style" w:eastAsia="Times New Roman" w:hAnsi="Bookman Old Style" w:cs="Bookman Old Style"/>
          <w:b/>
          <w:bCs/>
          <w:lang w:val="es-ES_tradnl" w:eastAsia="es-ES"/>
        </w:rPr>
      </w:pPr>
      <w:r w:rsidRPr="002E7ABA">
        <w:rPr>
          <w:rFonts w:ascii="Bookman Old Style" w:eastAsia="Times New Roman" w:hAnsi="Bookman Old Style" w:cs="Bookman Old Style"/>
          <w:b/>
          <w:bCs/>
          <w:lang w:val="es-ES_tradnl" w:eastAsia="es-ES"/>
        </w:rPr>
        <w:t>REPÚBLICA DE COLOMBIA</w:t>
      </w:r>
    </w:p>
    <w:p w14:paraId="0ADA67CA" w14:textId="77777777" w:rsidR="00605EC8" w:rsidRPr="002E7ABA" w:rsidRDefault="00605EC8" w:rsidP="00605EC8">
      <w:pPr>
        <w:overflowPunct w:val="0"/>
        <w:autoSpaceDE w:val="0"/>
        <w:autoSpaceDN w:val="0"/>
        <w:adjustRightInd w:val="0"/>
        <w:spacing w:line="276" w:lineRule="auto"/>
        <w:ind w:firstLine="0"/>
        <w:jc w:val="center"/>
        <w:textAlignment w:val="baseline"/>
        <w:rPr>
          <w:rFonts w:ascii="Bookman Old Style" w:eastAsia="Times New Roman" w:hAnsi="Bookman Old Style" w:cs="Bookman Old Style"/>
          <w:b/>
          <w:bCs/>
          <w:lang w:val="es-ES_tradnl" w:eastAsia="es-ES"/>
        </w:rPr>
      </w:pPr>
      <w:r w:rsidRPr="002E7ABA">
        <w:rPr>
          <w:rFonts w:ascii="Bookman Old Style" w:eastAsia="Times New Roman" w:hAnsi="Bookman Old Style" w:cs="Bookman Old Style"/>
          <w:b/>
          <w:bCs/>
          <w:lang w:val="es-ES_tradnl" w:eastAsia="es-ES"/>
        </w:rPr>
        <w:t>RAMA JUDICIAL DEL PODER PÚBLICO</w:t>
      </w:r>
    </w:p>
    <w:p w14:paraId="77CC6607" w14:textId="77777777" w:rsidR="00605EC8" w:rsidRPr="002E7ABA" w:rsidRDefault="00605EC8" w:rsidP="00605EC8">
      <w:pPr>
        <w:spacing w:line="276" w:lineRule="auto"/>
        <w:ind w:firstLine="0"/>
        <w:jc w:val="center"/>
        <w:rPr>
          <w:rFonts w:ascii="Bookman Old Style" w:eastAsia="Calibri" w:hAnsi="Bookman Old Style" w:cs="Times New Roman"/>
          <w:b/>
          <w:lang w:val="es-ES" w:eastAsia="es-ES"/>
        </w:rPr>
      </w:pPr>
      <w:r w:rsidRPr="002E7ABA">
        <w:rPr>
          <w:rFonts w:ascii="Bookman Old Style" w:eastAsia="Calibri" w:hAnsi="Bookman Old Style" w:cs="Times New Roman"/>
          <w:noProof/>
          <w:lang w:eastAsia="es-CO"/>
        </w:rPr>
        <w:drawing>
          <wp:inline distT="0" distB="0" distL="0" distR="0" wp14:anchorId="1C7E74C9" wp14:editId="3A52F380">
            <wp:extent cx="800100" cy="561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 cy="561975"/>
                    </a:xfrm>
                    <a:prstGeom prst="rect">
                      <a:avLst/>
                    </a:prstGeom>
                  </pic:spPr>
                </pic:pic>
              </a:graphicData>
            </a:graphic>
          </wp:inline>
        </w:drawing>
      </w:r>
    </w:p>
    <w:p w14:paraId="77731CD7" w14:textId="77777777" w:rsidR="00605EC8" w:rsidRPr="002E7ABA" w:rsidRDefault="00605EC8" w:rsidP="00605EC8">
      <w:pPr>
        <w:spacing w:line="276" w:lineRule="auto"/>
        <w:ind w:firstLine="0"/>
        <w:jc w:val="center"/>
        <w:rPr>
          <w:rFonts w:ascii="Bookman Old Style" w:eastAsia="Calibri" w:hAnsi="Bookman Old Style" w:cs="Times New Roman"/>
          <w:b/>
          <w:lang w:val="es-ES" w:eastAsia="es-ES"/>
        </w:rPr>
      </w:pPr>
      <w:r w:rsidRPr="002E7ABA">
        <w:rPr>
          <w:rFonts w:ascii="Bookman Old Style" w:eastAsia="Calibri" w:hAnsi="Bookman Old Style" w:cs="Times New Roman"/>
          <w:b/>
          <w:lang w:val="es-ES" w:eastAsia="es-ES"/>
        </w:rPr>
        <w:t>TRIBUNAL SUPERIOR DEL DISTRITO JUDICIAL DE PEREIRA</w:t>
      </w:r>
    </w:p>
    <w:p w14:paraId="16265F84" w14:textId="77777777" w:rsidR="00605EC8" w:rsidRPr="002E7ABA" w:rsidRDefault="00605EC8" w:rsidP="00605EC8">
      <w:pPr>
        <w:spacing w:line="276" w:lineRule="auto"/>
        <w:ind w:firstLine="0"/>
        <w:jc w:val="center"/>
        <w:rPr>
          <w:rFonts w:ascii="Bookman Old Style" w:eastAsia="Dotum" w:hAnsi="Bookman Old Style" w:cs="Tahoma"/>
          <w:b/>
        </w:rPr>
      </w:pPr>
      <w:r w:rsidRPr="002E7ABA">
        <w:rPr>
          <w:rFonts w:ascii="Bookman Old Style" w:eastAsia="Dotum" w:hAnsi="Bookman Old Style" w:cs="Tahoma"/>
          <w:b/>
        </w:rPr>
        <w:t>SALA DE DECISIÓN LABORAL</w:t>
      </w:r>
    </w:p>
    <w:p w14:paraId="592B04B9" w14:textId="77777777" w:rsidR="00605EC8" w:rsidRPr="002E7ABA" w:rsidRDefault="00605EC8" w:rsidP="00605EC8">
      <w:pPr>
        <w:spacing w:line="276" w:lineRule="auto"/>
        <w:ind w:firstLine="0"/>
        <w:rPr>
          <w:rFonts w:ascii="Bookman Old Style" w:eastAsia="Times New Roman" w:hAnsi="Bookman Old Style" w:cs="Times New Roman"/>
          <w:lang w:val="es-ES" w:eastAsia="es-ES"/>
        </w:rPr>
      </w:pPr>
    </w:p>
    <w:p w14:paraId="626108C5" w14:textId="77777777" w:rsidR="00605EC8" w:rsidRPr="002E7ABA" w:rsidRDefault="00605EC8" w:rsidP="00605EC8">
      <w:pPr>
        <w:tabs>
          <w:tab w:val="left" w:pos="9067"/>
        </w:tabs>
        <w:spacing w:line="276" w:lineRule="auto"/>
        <w:ind w:firstLine="0"/>
        <w:jc w:val="center"/>
        <w:rPr>
          <w:rFonts w:ascii="Bookman Old Style" w:eastAsia="Century Gothic" w:hAnsi="Bookman Old Style" w:cs="Arial"/>
        </w:rPr>
      </w:pPr>
      <w:r w:rsidRPr="002E7ABA">
        <w:rPr>
          <w:rFonts w:ascii="Bookman Old Style" w:eastAsia="Century Gothic" w:hAnsi="Bookman Old Style" w:cs="Arial"/>
          <w:bCs/>
        </w:rPr>
        <w:t xml:space="preserve">Magistrado Ponente: </w:t>
      </w:r>
      <w:r w:rsidRPr="002E7ABA">
        <w:rPr>
          <w:rFonts w:ascii="Bookman Old Style" w:eastAsia="Century Gothic" w:hAnsi="Bookman Old Style" w:cs="Arial"/>
          <w:b/>
          <w:bCs/>
        </w:rPr>
        <w:t xml:space="preserve">GERMÁN DARÍO </w:t>
      </w:r>
      <w:proofErr w:type="spellStart"/>
      <w:r w:rsidRPr="002E7ABA">
        <w:rPr>
          <w:rFonts w:ascii="Bookman Old Style" w:eastAsia="Century Gothic" w:hAnsi="Bookman Old Style" w:cs="Arial"/>
          <w:b/>
          <w:bCs/>
        </w:rPr>
        <w:t>GÓEZ</w:t>
      </w:r>
      <w:proofErr w:type="spellEnd"/>
      <w:r w:rsidRPr="002E7ABA">
        <w:rPr>
          <w:rFonts w:ascii="Bookman Old Style" w:eastAsia="Century Gothic" w:hAnsi="Bookman Old Style" w:cs="Arial"/>
          <w:b/>
          <w:bCs/>
        </w:rPr>
        <w:t xml:space="preserve"> VINASCO</w:t>
      </w:r>
    </w:p>
    <w:p w14:paraId="3F9A460F" w14:textId="77777777" w:rsidR="00605EC8" w:rsidRPr="002E7ABA" w:rsidRDefault="00605EC8" w:rsidP="00605EC8">
      <w:pPr>
        <w:spacing w:line="276" w:lineRule="auto"/>
        <w:ind w:firstLine="0"/>
        <w:rPr>
          <w:rFonts w:ascii="Bookman Old Style" w:eastAsia="Times New Roman" w:hAnsi="Bookman Old Style" w:cs="Times New Roman"/>
          <w:lang w:val="es-ES" w:eastAsia="es-ES"/>
        </w:rPr>
      </w:pPr>
    </w:p>
    <w:bookmarkEnd w:id="0"/>
    <w:p w14:paraId="055BFA78" w14:textId="0618F2BF" w:rsidR="00A334ED" w:rsidRPr="00605EC8" w:rsidRDefault="00A334ED" w:rsidP="00605EC8">
      <w:pPr>
        <w:spacing w:line="276" w:lineRule="auto"/>
        <w:ind w:firstLine="0"/>
        <w:jc w:val="center"/>
        <w:rPr>
          <w:rFonts w:ascii="Bookman Old Style" w:hAnsi="Bookman Old Style" w:cs="Arial"/>
        </w:rPr>
      </w:pPr>
      <w:r w:rsidRPr="00605EC8">
        <w:rPr>
          <w:rFonts w:ascii="Bookman Old Style" w:hAnsi="Bookman Old Style" w:cs="Arial"/>
        </w:rPr>
        <w:t xml:space="preserve">Pereira, </w:t>
      </w:r>
      <w:r w:rsidR="00C75605" w:rsidRPr="00605EC8">
        <w:rPr>
          <w:rFonts w:ascii="Bookman Old Style" w:hAnsi="Bookman Old Style" w:cs="Arial"/>
        </w:rPr>
        <w:t>dieciséis</w:t>
      </w:r>
      <w:r w:rsidRPr="00605EC8">
        <w:rPr>
          <w:rFonts w:ascii="Bookman Old Style" w:hAnsi="Bookman Old Style" w:cs="Arial"/>
        </w:rPr>
        <w:t xml:space="preserve"> (</w:t>
      </w:r>
      <w:r w:rsidR="00C75605" w:rsidRPr="00605EC8">
        <w:rPr>
          <w:rFonts w:ascii="Bookman Old Style" w:hAnsi="Bookman Old Style" w:cs="Arial"/>
        </w:rPr>
        <w:t>16</w:t>
      </w:r>
      <w:r w:rsidRPr="00605EC8">
        <w:rPr>
          <w:rFonts w:ascii="Bookman Old Style" w:hAnsi="Bookman Old Style" w:cs="Arial"/>
        </w:rPr>
        <w:t xml:space="preserve">) de </w:t>
      </w:r>
      <w:r w:rsidR="00C75605" w:rsidRPr="00605EC8">
        <w:rPr>
          <w:rFonts w:ascii="Bookman Old Style" w:hAnsi="Bookman Old Style" w:cs="Arial"/>
        </w:rPr>
        <w:t xml:space="preserve">septiembre </w:t>
      </w:r>
      <w:r w:rsidRPr="00605EC8">
        <w:rPr>
          <w:rFonts w:ascii="Bookman Old Style" w:hAnsi="Bookman Old Style" w:cs="Arial"/>
        </w:rPr>
        <w:t>de dos mil veinticuatro (2024)</w:t>
      </w:r>
    </w:p>
    <w:p w14:paraId="34A48438" w14:textId="77777777" w:rsidR="00A334ED" w:rsidRPr="00605EC8" w:rsidRDefault="00A334ED" w:rsidP="00605EC8">
      <w:pPr>
        <w:spacing w:line="276" w:lineRule="auto"/>
        <w:ind w:firstLine="0"/>
        <w:jc w:val="center"/>
        <w:rPr>
          <w:rFonts w:ascii="Bookman Old Style" w:hAnsi="Bookman Old Style" w:cs="Arial"/>
        </w:rPr>
      </w:pPr>
    </w:p>
    <w:p w14:paraId="26711BC8" w14:textId="7913F388" w:rsidR="00A334ED" w:rsidRPr="00605EC8" w:rsidRDefault="00C75605" w:rsidP="00605EC8">
      <w:pPr>
        <w:spacing w:line="276" w:lineRule="auto"/>
        <w:ind w:firstLine="0"/>
        <w:jc w:val="center"/>
        <w:rPr>
          <w:rFonts w:ascii="Bookman Old Style" w:hAnsi="Bookman Old Style" w:cs="Arial"/>
        </w:rPr>
      </w:pPr>
      <w:r w:rsidRPr="00605EC8">
        <w:rPr>
          <w:rFonts w:ascii="Bookman Old Style" w:hAnsi="Bookman Old Style" w:cs="Arial"/>
        </w:rPr>
        <w:t>Aprobado por Acta No. 143</w:t>
      </w:r>
      <w:r w:rsidR="00A334ED" w:rsidRPr="00605EC8">
        <w:rPr>
          <w:rFonts w:ascii="Bookman Old Style" w:hAnsi="Bookman Old Style" w:cs="Arial"/>
        </w:rPr>
        <w:t xml:space="preserve"> del (</w:t>
      </w:r>
      <w:r w:rsidRPr="00605EC8">
        <w:rPr>
          <w:rFonts w:ascii="Bookman Old Style" w:hAnsi="Bookman Old Style" w:cs="Arial"/>
        </w:rPr>
        <w:t>10</w:t>
      </w:r>
      <w:r w:rsidR="00A334ED" w:rsidRPr="00605EC8">
        <w:rPr>
          <w:rFonts w:ascii="Bookman Old Style" w:hAnsi="Bookman Old Style" w:cs="Arial"/>
        </w:rPr>
        <w:t>/</w:t>
      </w:r>
      <w:r w:rsidRPr="00605EC8">
        <w:rPr>
          <w:rFonts w:ascii="Bookman Old Style" w:hAnsi="Bookman Old Style" w:cs="Arial"/>
        </w:rPr>
        <w:t>09/</w:t>
      </w:r>
      <w:r w:rsidR="00A334ED" w:rsidRPr="00605EC8">
        <w:rPr>
          <w:rFonts w:ascii="Bookman Old Style" w:hAnsi="Bookman Old Style" w:cs="Arial"/>
        </w:rPr>
        <w:t>2024)</w:t>
      </w:r>
    </w:p>
    <w:p w14:paraId="5C438D6A" w14:textId="77777777" w:rsidR="00A334ED" w:rsidRPr="00605EC8" w:rsidRDefault="00A334ED" w:rsidP="00605EC8">
      <w:pPr>
        <w:spacing w:line="276" w:lineRule="auto"/>
        <w:ind w:firstLine="0"/>
        <w:rPr>
          <w:rFonts w:ascii="Bookman Old Style" w:hAnsi="Bookman Old Style" w:cs="Arial"/>
        </w:rPr>
      </w:pPr>
    </w:p>
    <w:p w14:paraId="2694F978" w14:textId="77777777" w:rsidR="00A334ED" w:rsidRPr="00605EC8" w:rsidRDefault="00A334ED" w:rsidP="00605EC8">
      <w:pPr>
        <w:spacing w:line="276" w:lineRule="auto"/>
        <w:ind w:firstLine="0"/>
        <w:rPr>
          <w:rFonts w:ascii="Bookman Old Style" w:hAnsi="Bookman Old Style" w:cs="Arial"/>
        </w:rPr>
      </w:pPr>
    </w:p>
    <w:p w14:paraId="3C3341E4" w14:textId="3B5D9ECE" w:rsidR="00A334ED" w:rsidRPr="00605EC8" w:rsidRDefault="00A334ED" w:rsidP="00605EC8">
      <w:pPr>
        <w:spacing w:line="276" w:lineRule="auto"/>
        <w:ind w:firstLine="0"/>
        <w:rPr>
          <w:rFonts w:ascii="Bookman Old Style" w:hAnsi="Bookman Old Style" w:cs="Arial"/>
          <w:b/>
          <w:bCs/>
        </w:rPr>
      </w:pPr>
      <w:r w:rsidRPr="00605EC8">
        <w:rPr>
          <w:rFonts w:ascii="Bookman Old Style" w:hAnsi="Bookman Old Style" w:cs="Arial"/>
        </w:rPr>
        <w:lastRenderedPageBreak/>
        <w:t xml:space="preserve">El Tribunal Superior de Distrito Judicial de Pereira, Sala de Decisión Laboral, procede a resolver </w:t>
      </w:r>
      <w:r w:rsidR="00995673" w:rsidRPr="00605EC8">
        <w:rPr>
          <w:rFonts w:ascii="Bookman Old Style" w:hAnsi="Bookman Old Style" w:cs="Arial"/>
        </w:rPr>
        <w:t>los</w:t>
      </w:r>
      <w:r w:rsidRPr="00605EC8">
        <w:rPr>
          <w:rFonts w:ascii="Bookman Old Style" w:hAnsi="Bookman Old Style" w:cs="Arial"/>
        </w:rPr>
        <w:t xml:space="preserve"> recurso</w:t>
      </w:r>
      <w:r w:rsidR="00995673" w:rsidRPr="00605EC8">
        <w:rPr>
          <w:rFonts w:ascii="Bookman Old Style" w:hAnsi="Bookman Old Style" w:cs="Arial"/>
        </w:rPr>
        <w:t>s</w:t>
      </w:r>
      <w:r w:rsidRPr="00605EC8">
        <w:rPr>
          <w:rFonts w:ascii="Bookman Old Style" w:hAnsi="Bookman Old Style" w:cs="Arial"/>
        </w:rPr>
        <w:t xml:space="preserve"> de apelación</w:t>
      </w:r>
      <w:r w:rsidR="00995673" w:rsidRPr="00605EC8">
        <w:rPr>
          <w:rFonts w:ascii="Bookman Old Style" w:hAnsi="Bookman Old Style" w:cs="Arial"/>
        </w:rPr>
        <w:t xml:space="preserve"> formulados</w:t>
      </w:r>
      <w:r w:rsidRPr="00605EC8">
        <w:rPr>
          <w:rFonts w:ascii="Bookman Old Style" w:hAnsi="Bookman Old Style" w:cs="Arial"/>
        </w:rPr>
        <w:t xml:space="preserve">, respecto de la sentencia proferida por el Juzgado </w:t>
      </w:r>
      <w:r w:rsidR="00207069" w:rsidRPr="00605EC8">
        <w:rPr>
          <w:rFonts w:ascii="Bookman Old Style" w:hAnsi="Bookman Old Style" w:cs="Arial"/>
          <w:noProof/>
        </w:rPr>
        <w:t xml:space="preserve">Primero </w:t>
      </w:r>
      <w:r w:rsidRPr="00605EC8">
        <w:rPr>
          <w:rFonts w:ascii="Bookman Old Style" w:hAnsi="Bookman Old Style" w:cs="Arial"/>
          <w:noProof/>
        </w:rPr>
        <w:t>Laboral del Circuito</w:t>
      </w:r>
      <w:r w:rsidRPr="00605EC8">
        <w:rPr>
          <w:rFonts w:ascii="Bookman Old Style" w:hAnsi="Bookman Old Style" w:cs="Arial"/>
        </w:rPr>
        <w:t xml:space="preserve"> de Pereira, dentro del proceso </w:t>
      </w:r>
      <w:r w:rsidRPr="00605EC8">
        <w:rPr>
          <w:rFonts w:ascii="Bookman Old Style" w:hAnsi="Bookman Old Style" w:cs="Arial"/>
          <w:b/>
          <w:bCs/>
        </w:rPr>
        <w:t>ordinario</w:t>
      </w:r>
      <w:r w:rsidRPr="00605EC8">
        <w:rPr>
          <w:rFonts w:ascii="Bookman Old Style" w:hAnsi="Bookman Old Style" w:cs="Arial"/>
        </w:rPr>
        <w:t xml:space="preserve"> promovido por </w:t>
      </w:r>
      <w:r w:rsidR="00207069" w:rsidRPr="00605EC8">
        <w:rPr>
          <w:rFonts w:ascii="Bookman Old Style" w:hAnsi="Bookman Old Style" w:cs="Arial"/>
          <w:b/>
          <w:bCs/>
          <w:noProof/>
        </w:rPr>
        <w:t xml:space="preserve">JULIAN ALBERTO RUIZ </w:t>
      </w:r>
      <w:r w:rsidRPr="00605EC8">
        <w:rPr>
          <w:rFonts w:ascii="Bookman Old Style" w:hAnsi="Bookman Old Style" w:cs="Arial"/>
        </w:rPr>
        <w:t xml:space="preserve">en contra de </w:t>
      </w:r>
      <w:r w:rsidR="00207069" w:rsidRPr="00605EC8">
        <w:rPr>
          <w:rFonts w:ascii="Bookman Old Style" w:hAnsi="Bookman Old Style" w:cs="Arial"/>
          <w:b/>
          <w:bCs/>
          <w:noProof/>
        </w:rPr>
        <w:t>HERNANDO GRANADA GOMEZ, CIVAL CONSTRUCTORES LTDA</w:t>
      </w:r>
      <w:r w:rsidR="00605EC8">
        <w:rPr>
          <w:rFonts w:ascii="Bookman Old Style" w:hAnsi="Bookman Old Style" w:cs="Arial"/>
          <w:b/>
          <w:bCs/>
          <w:noProof/>
        </w:rPr>
        <w:t>.</w:t>
      </w:r>
      <w:r w:rsidR="00207069" w:rsidRPr="00605EC8">
        <w:rPr>
          <w:rFonts w:ascii="Bookman Old Style" w:hAnsi="Bookman Old Style" w:cs="Arial"/>
          <w:b/>
          <w:bCs/>
          <w:noProof/>
        </w:rPr>
        <w:t>, CESAR BAENA GARCIA,  MEGABUS S.A. y MUNICIPIO DE PEREIRA</w:t>
      </w:r>
      <w:r w:rsidRPr="00605EC8">
        <w:rPr>
          <w:rFonts w:ascii="Bookman Old Style" w:hAnsi="Bookman Old Style" w:cs="Arial"/>
        </w:rPr>
        <w:t xml:space="preserve">, cuya radicación corresponde al </w:t>
      </w:r>
      <w:r w:rsidR="00BB1DE2" w:rsidRPr="00605EC8">
        <w:rPr>
          <w:rFonts w:ascii="Bookman Old Style" w:hAnsi="Bookman Old Style" w:cs="Arial"/>
          <w:b/>
          <w:bCs/>
          <w:noProof/>
        </w:rPr>
        <w:t>66001310500120100051702</w:t>
      </w:r>
      <w:r w:rsidRPr="00605EC8">
        <w:rPr>
          <w:rFonts w:ascii="Bookman Old Style" w:hAnsi="Bookman Old Style" w:cs="Arial"/>
          <w:b/>
          <w:bCs/>
        </w:rPr>
        <w:t>.</w:t>
      </w:r>
    </w:p>
    <w:p w14:paraId="1573A4BE" w14:textId="77777777" w:rsidR="00A334ED" w:rsidRPr="00605EC8" w:rsidRDefault="00A334ED" w:rsidP="00605EC8">
      <w:pPr>
        <w:spacing w:line="276" w:lineRule="auto"/>
        <w:ind w:firstLine="0"/>
        <w:rPr>
          <w:rFonts w:ascii="Bookman Old Style" w:hAnsi="Bookman Old Style" w:cs="Arial"/>
        </w:rPr>
      </w:pPr>
    </w:p>
    <w:p w14:paraId="07BAB573" w14:textId="4BCC6B9C" w:rsidR="00184DA2" w:rsidRPr="00605EC8" w:rsidRDefault="00184DA2" w:rsidP="00605EC8">
      <w:pPr>
        <w:spacing w:line="276" w:lineRule="auto"/>
        <w:ind w:firstLine="0"/>
        <w:rPr>
          <w:rFonts w:ascii="Bookman Old Style" w:hAnsi="Bookman Old Style" w:cs="Arial"/>
        </w:rPr>
      </w:pPr>
      <w:r w:rsidRPr="00605EC8">
        <w:rPr>
          <w:rFonts w:ascii="Bookman Old Style" w:hAnsi="Bookman Old Style" w:cs="Arial"/>
        </w:rPr>
        <w:t>Así mismo, es de advertir que el Magistrado Dr. Julio César Salazar Muñoz y las Magistradas Olga Lucía Hoyos Sepúlveda y Ana Lucía Caicedo Calderón presentaron impe</w:t>
      </w:r>
      <w:r w:rsidR="001868E0" w:rsidRPr="00605EC8">
        <w:rPr>
          <w:rFonts w:ascii="Bookman Old Style" w:hAnsi="Bookman Old Style" w:cs="Arial"/>
        </w:rPr>
        <w:t>dimento para conocer del asunto que fueron aceptados</w:t>
      </w:r>
      <w:r w:rsidRPr="00605EC8">
        <w:rPr>
          <w:rFonts w:ascii="Bookman Old Style" w:hAnsi="Bookman Old Style" w:cs="Arial"/>
        </w:rPr>
        <w:t xml:space="preserve">. </w:t>
      </w:r>
    </w:p>
    <w:p w14:paraId="7E9269A0" w14:textId="45855FF8" w:rsidR="00D15539" w:rsidRPr="00605EC8" w:rsidRDefault="00D15539" w:rsidP="00605EC8">
      <w:pPr>
        <w:spacing w:line="276" w:lineRule="auto"/>
        <w:ind w:firstLine="0"/>
        <w:rPr>
          <w:rFonts w:ascii="Bookman Old Style" w:hAnsi="Bookman Old Style" w:cs="Arial"/>
        </w:rPr>
      </w:pPr>
    </w:p>
    <w:p w14:paraId="28BF8570" w14:textId="74F08BE1" w:rsidR="00D15539" w:rsidRPr="00605EC8" w:rsidRDefault="00D15539" w:rsidP="00605EC8">
      <w:pPr>
        <w:spacing w:line="276" w:lineRule="auto"/>
        <w:ind w:firstLine="0"/>
        <w:rPr>
          <w:rFonts w:ascii="Bookman Old Style" w:hAnsi="Bookman Old Style" w:cs="Arial"/>
        </w:rPr>
      </w:pPr>
      <w:r w:rsidRPr="00605EC8">
        <w:rPr>
          <w:rFonts w:ascii="Bookman Old Style" w:hAnsi="Bookman Old Style" w:cs="Arial"/>
        </w:rPr>
        <w:t xml:space="preserve">Conforme el acta de designación del 29 de agosto de 2024, se </w:t>
      </w:r>
      <w:proofErr w:type="gramStart"/>
      <w:r w:rsidRPr="00605EC8">
        <w:rPr>
          <w:rFonts w:ascii="Bookman Old Style" w:hAnsi="Bookman Old Style" w:cs="Arial"/>
        </w:rPr>
        <w:t>nombró como</w:t>
      </w:r>
      <w:proofErr w:type="gramEnd"/>
      <w:r w:rsidRPr="00605EC8">
        <w:rPr>
          <w:rFonts w:ascii="Bookman Old Style" w:hAnsi="Bookman Old Style" w:cs="Arial"/>
        </w:rPr>
        <w:t xml:space="preserve"> conjuez a la </w:t>
      </w:r>
      <w:r w:rsidRPr="00605EC8">
        <w:rPr>
          <w:rFonts w:ascii="Bookman Old Style" w:hAnsi="Bookman Old Style" w:cs="Arial"/>
          <w:b/>
        </w:rPr>
        <w:t>Dra. Carolina Fernández Gómez</w:t>
      </w:r>
      <w:r w:rsidRPr="00605EC8">
        <w:rPr>
          <w:rFonts w:ascii="Bookman Old Style" w:hAnsi="Bookman Old Style" w:cs="Arial"/>
        </w:rPr>
        <w:t xml:space="preserve"> para conformar la Sala de Decisión.</w:t>
      </w:r>
      <w:r w:rsidR="00C75605" w:rsidRPr="00605EC8">
        <w:rPr>
          <w:rFonts w:ascii="Bookman Old Style" w:hAnsi="Bookman Old Style" w:cs="Arial"/>
        </w:rPr>
        <w:t xml:space="preserve"> Igualmente, en acta del 02 de septiembre de 2024, se </w:t>
      </w:r>
      <w:proofErr w:type="gramStart"/>
      <w:r w:rsidR="00C75605" w:rsidRPr="00605EC8">
        <w:rPr>
          <w:rFonts w:ascii="Bookman Old Style" w:hAnsi="Bookman Old Style" w:cs="Arial"/>
        </w:rPr>
        <w:t>nombró como</w:t>
      </w:r>
      <w:proofErr w:type="gramEnd"/>
      <w:r w:rsidR="00C75605" w:rsidRPr="00605EC8">
        <w:rPr>
          <w:rFonts w:ascii="Bookman Old Style" w:hAnsi="Bookman Old Style" w:cs="Arial"/>
        </w:rPr>
        <w:t xml:space="preserve"> conjuez al </w:t>
      </w:r>
      <w:r w:rsidR="00C75605" w:rsidRPr="00605EC8">
        <w:rPr>
          <w:rFonts w:ascii="Bookman Old Style" w:hAnsi="Bookman Old Style" w:cs="Arial"/>
          <w:b/>
        </w:rPr>
        <w:t>Dr. William</w:t>
      </w:r>
      <w:r w:rsidR="00C75605" w:rsidRPr="00605EC8">
        <w:rPr>
          <w:rFonts w:ascii="Bookman Old Style" w:hAnsi="Bookman Old Style" w:cs="Arial"/>
        </w:rPr>
        <w:t xml:space="preserve"> </w:t>
      </w:r>
      <w:r w:rsidR="00C75605" w:rsidRPr="00605EC8">
        <w:rPr>
          <w:rFonts w:ascii="Bookman Old Style" w:hAnsi="Bookman Old Style" w:cs="Arial"/>
          <w:b/>
        </w:rPr>
        <w:t xml:space="preserve">Alberto Giraldo Orozco </w:t>
      </w:r>
      <w:r w:rsidR="00C75605" w:rsidRPr="00605EC8">
        <w:rPr>
          <w:rFonts w:ascii="Bookman Old Style" w:hAnsi="Bookman Old Style" w:cs="Arial"/>
        </w:rPr>
        <w:t>para conformar mayorías en la presente decisión.</w:t>
      </w:r>
    </w:p>
    <w:p w14:paraId="3313A4DA" w14:textId="77777777" w:rsidR="00184DA2" w:rsidRPr="00605EC8" w:rsidRDefault="00184DA2" w:rsidP="00605EC8">
      <w:pPr>
        <w:spacing w:line="276" w:lineRule="auto"/>
        <w:ind w:firstLine="0"/>
        <w:rPr>
          <w:rFonts w:ascii="Bookman Old Style" w:hAnsi="Bookman Old Style" w:cs="Arial"/>
        </w:rPr>
      </w:pPr>
    </w:p>
    <w:p w14:paraId="1083C97E" w14:textId="594C81B4" w:rsidR="00A334ED" w:rsidRPr="00605EC8" w:rsidRDefault="00A334ED" w:rsidP="00605EC8">
      <w:pPr>
        <w:spacing w:line="276" w:lineRule="auto"/>
        <w:ind w:firstLine="0"/>
        <w:rPr>
          <w:rFonts w:ascii="Bookman Old Style" w:hAnsi="Bookman Old Style" w:cs="Arial"/>
        </w:rPr>
      </w:pPr>
      <w:r w:rsidRPr="00605EC8">
        <w:rPr>
          <w:rFonts w:ascii="Bookman Old Style" w:hAnsi="Bookman Old Style" w:cs="Arial"/>
        </w:rPr>
        <w:t>Seguidamente</w:t>
      </w:r>
      <w:r w:rsidR="00796B34" w:rsidRPr="00605EC8">
        <w:rPr>
          <w:rFonts w:ascii="Bookman Old Style" w:hAnsi="Bookman Old Style" w:cs="Arial"/>
        </w:rPr>
        <w:t>,</w:t>
      </w:r>
      <w:r w:rsidRPr="00605EC8">
        <w:rPr>
          <w:rFonts w:ascii="Bookman Old Style" w:hAnsi="Bookman Old Style" w:cs="Arial"/>
        </w:rPr>
        <w:t xml:space="preserve"> se procede a proferir la decisión por escrito aprobada por esta Sala, conforme al artículo 15 del Decreto No. 806 de 2020, adoptado como legislación permanente por la Ley 221</w:t>
      </w:r>
      <w:r w:rsidR="00954FDE" w:rsidRPr="00605EC8">
        <w:rPr>
          <w:rFonts w:ascii="Bookman Old Style" w:hAnsi="Bookman Old Style" w:cs="Arial"/>
        </w:rPr>
        <w:t>3</w:t>
      </w:r>
      <w:r w:rsidRPr="00605EC8">
        <w:rPr>
          <w:rFonts w:ascii="Bookman Old Style" w:hAnsi="Bookman Old Style" w:cs="Arial"/>
        </w:rPr>
        <w:t xml:space="preserve"> del 13 de junio de 2022, la cual se traduce en la siguiente,</w:t>
      </w:r>
    </w:p>
    <w:p w14:paraId="2AD5B0A8" w14:textId="77777777" w:rsidR="00A334ED" w:rsidRPr="00605EC8" w:rsidRDefault="00A334ED" w:rsidP="00605EC8">
      <w:pPr>
        <w:spacing w:line="276" w:lineRule="auto"/>
        <w:rPr>
          <w:rFonts w:ascii="Bookman Old Style" w:hAnsi="Bookman Old Style" w:cs="Arial"/>
        </w:rPr>
      </w:pPr>
    </w:p>
    <w:p w14:paraId="62E6D440" w14:textId="7C2CA8E7" w:rsidR="00A334ED" w:rsidRPr="00605EC8" w:rsidRDefault="00A334ED" w:rsidP="00605EC8">
      <w:pPr>
        <w:spacing w:line="276" w:lineRule="auto"/>
        <w:ind w:firstLine="0"/>
        <w:jc w:val="center"/>
        <w:rPr>
          <w:rFonts w:ascii="Bookman Old Style" w:hAnsi="Bookman Old Style" w:cs="Arial"/>
          <w:b/>
        </w:rPr>
      </w:pPr>
      <w:r w:rsidRPr="00605EC8">
        <w:rPr>
          <w:rFonts w:ascii="Bookman Old Style" w:hAnsi="Bookman Old Style" w:cs="Arial"/>
          <w:b/>
        </w:rPr>
        <w:t>SENTENCIA</w:t>
      </w:r>
      <w:r w:rsidR="00C75605" w:rsidRPr="00605EC8">
        <w:rPr>
          <w:rFonts w:ascii="Bookman Old Style" w:hAnsi="Bookman Old Style" w:cs="Arial"/>
          <w:b/>
        </w:rPr>
        <w:t xml:space="preserve"> No. 154</w:t>
      </w:r>
    </w:p>
    <w:p w14:paraId="4C69966F" w14:textId="77777777" w:rsidR="00A334ED" w:rsidRPr="00605EC8" w:rsidRDefault="00A334ED" w:rsidP="00605EC8">
      <w:pPr>
        <w:spacing w:line="276" w:lineRule="auto"/>
        <w:rPr>
          <w:rFonts w:ascii="Bookman Old Style" w:hAnsi="Bookman Old Style" w:cs="Arial"/>
          <w:b/>
        </w:rPr>
      </w:pPr>
    </w:p>
    <w:p w14:paraId="09BCEB7B" w14:textId="77777777" w:rsidR="00A334ED" w:rsidRPr="00605EC8" w:rsidRDefault="00A334ED" w:rsidP="00605EC8">
      <w:pPr>
        <w:spacing w:line="276" w:lineRule="auto"/>
        <w:ind w:firstLine="0"/>
        <w:jc w:val="center"/>
        <w:rPr>
          <w:rFonts w:ascii="Bookman Old Style" w:hAnsi="Bookman Old Style" w:cs="Arial"/>
          <w:b/>
        </w:rPr>
      </w:pPr>
      <w:r w:rsidRPr="00605EC8">
        <w:rPr>
          <w:rFonts w:ascii="Bookman Old Style" w:hAnsi="Bookman Old Style" w:cs="Arial"/>
          <w:b/>
        </w:rPr>
        <w:t>ANTECEDENTES</w:t>
      </w:r>
    </w:p>
    <w:p w14:paraId="2FA28847" w14:textId="77777777" w:rsidR="00A334ED" w:rsidRPr="00605EC8" w:rsidRDefault="00A334ED" w:rsidP="00605EC8">
      <w:pPr>
        <w:spacing w:line="276" w:lineRule="auto"/>
        <w:rPr>
          <w:rFonts w:ascii="Bookman Old Style" w:hAnsi="Bookman Old Style" w:cs="Arial"/>
        </w:rPr>
      </w:pPr>
    </w:p>
    <w:p w14:paraId="0952E749" w14:textId="1B1C81ED" w:rsidR="00A334ED" w:rsidRPr="00605EC8" w:rsidRDefault="00A334ED" w:rsidP="00605EC8">
      <w:pPr>
        <w:spacing w:line="276" w:lineRule="auto"/>
        <w:ind w:firstLine="0"/>
        <w:rPr>
          <w:rFonts w:ascii="Bookman Old Style" w:hAnsi="Bookman Old Style" w:cs="Arial"/>
        </w:rPr>
      </w:pPr>
      <w:r w:rsidRPr="00605EC8">
        <w:rPr>
          <w:rFonts w:ascii="Bookman Old Style" w:hAnsi="Bookman Old Style" w:cs="Arial"/>
          <w:b/>
          <w:bCs/>
        </w:rPr>
        <w:t>Pretensiones.</w:t>
      </w:r>
      <w:r w:rsidRPr="00605EC8">
        <w:rPr>
          <w:rFonts w:ascii="Bookman Old Style" w:hAnsi="Bookman Old Style" w:cs="Arial"/>
        </w:rPr>
        <w:t xml:space="preserve"> </w:t>
      </w:r>
    </w:p>
    <w:p w14:paraId="4C7F86AE" w14:textId="77777777" w:rsidR="00A334ED" w:rsidRPr="00605EC8" w:rsidRDefault="00A334ED" w:rsidP="00605EC8">
      <w:pPr>
        <w:spacing w:line="276" w:lineRule="auto"/>
        <w:rPr>
          <w:rFonts w:ascii="Bookman Old Style" w:hAnsi="Bookman Old Style" w:cs="Arial"/>
        </w:rPr>
      </w:pPr>
    </w:p>
    <w:p w14:paraId="14EE98A1" w14:textId="248699B7" w:rsidR="00B10BE3" w:rsidRPr="00605EC8" w:rsidRDefault="00F35C97" w:rsidP="00605EC8">
      <w:pPr>
        <w:spacing w:line="276" w:lineRule="auto"/>
        <w:ind w:firstLine="0"/>
        <w:rPr>
          <w:rFonts w:ascii="Bookman Old Style" w:hAnsi="Bookman Old Style" w:cs="Arial"/>
        </w:rPr>
      </w:pPr>
      <w:r w:rsidRPr="00605EC8">
        <w:rPr>
          <w:rFonts w:ascii="Bookman Old Style" w:hAnsi="Bookman Old Style" w:cs="Arial"/>
          <w:b/>
        </w:rPr>
        <w:t>JULIÁN</w:t>
      </w:r>
      <w:r w:rsidR="00E729AF" w:rsidRPr="00605EC8">
        <w:rPr>
          <w:rFonts w:ascii="Bookman Old Style" w:hAnsi="Bookman Old Style" w:cs="Arial"/>
          <w:b/>
        </w:rPr>
        <w:t xml:space="preserve"> ALBERTO RUIZ</w:t>
      </w:r>
      <w:r w:rsidR="00E729AF" w:rsidRPr="00605EC8">
        <w:rPr>
          <w:rFonts w:ascii="Bookman Old Style" w:hAnsi="Bookman Old Style" w:cs="Arial"/>
        </w:rPr>
        <w:t>, aspira a que se declare la existencia de</w:t>
      </w:r>
      <w:r w:rsidR="00E729AF" w:rsidRPr="00605EC8">
        <w:rPr>
          <w:rFonts w:ascii="Bookman Old Style" w:hAnsi="Bookman Old Style" w:cs="Arial"/>
        </w:rPr>
        <w:br/>
        <w:t>un contrato de trabajo verbal a término indefinido</w:t>
      </w:r>
      <w:r w:rsidR="00907F87" w:rsidRPr="00605EC8">
        <w:rPr>
          <w:rFonts w:ascii="Bookman Old Style" w:hAnsi="Bookman Old Style" w:cs="Arial"/>
        </w:rPr>
        <w:t xml:space="preserve"> con </w:t>
      </w:r>
      <w:r w:rsidR="00E729AF" w:rsidRPr="00605EC8">
        <w:rPr>
          <w:rFonts w:ascii="Bookman Old Style" w:hAnsi="Bookman Old Style" w:cs="Arial"/>
        </w:rPr>
        <w:t xml:space="preserve">los señores </w:t>
      </w:r>
      <w:r w:rsidR="00E729AF" w:rsidRPr="00605EC8">
        <w:rPr>
          <w:rFonts w:ascii="Bookman Old Style" w:hAnsi="Bookman Old Style" w:cs="Arial"/>
          <w:b/>
        </w:rPr>
        <w:t xml:space="preserve">HERNANDO GRANADA </w:t>
      </w:r>
      <w:r w:rsidRPr="00605EC8">
        <w:rPr>
          <w:rFonts w:ascii="Bookman Old Style" w:hAnsi="Bookman Old Style" w:cs="Arial"/>
          <w:b/>
        </w:rPr>
        <w:t>GÓMEZ</w:t>
      </w:r>
      <w:r w:rsidR="00E729AF" w:rsidRPr="00605EC8">
        <w:rPr>
          <w:rFonts w:ascii="Bookman Old Style" w:hAnsi="Bookman Old Style" w:cs="Arial"/>
          <w:b/>
        </w:rPr>
        <w:t xml:space="preserve">, CESAR BAENA </w:t>
      </w:r>
      <w:r w:rsidRPr="00605EC8">
        <w:rPr>
          <w:rFonts w:ascii="Bookman Old Style" w:hAnsi="Bookman Old Style" w:cs="Arial"/>
          <w:b/>
        </w:rPr>
        <w:t>GARCÍA</w:t>
      </w:r>
      <w:r w:rsidR="00E729AF" w:rsidRPr="00605EC8">
        <w:rPr>
          <w:rFonts w:ascii="Bookman Old Style" w:hAnsi="Bookman Old Style" w:cs="Arial"/>
          <w:b/>
        </w:rPr>
        <w:t xml:space="preserve"> </w:t>
      </w:r>
      <w:r w:rsidR="00E729AF" w:rsidRPr="00605EC8">
        <w:rPr>
          <w:rFonts w:ascii="Bookman Old Style" w:hAnsi="Bookman Old Style" w:cs="Arial"/>
        </w:rPr>
        <w:t xml:space="preserve">y la sociedad </w:t>
      </w:r>
      <w:r w:rsidR="00E729AF" w:rsidRPr="00605EC8">
        <w:rPr>
          <w:rFonts w:ascii="Bookman Old Style" w:hAnsi="Bookman Old Style" w:cs="Arial"/>
          <w:b/>
        </w:rPr>
        <w:t xml:space="preserve">CIVAL CONSTRUCTORES </w:t>
      </w:r>
      <w:r w:rsidRPr="00605EC8">
        <w:rPr>
          <w:rFonts w:ascii="Bookman Old Style" w:hAnsi="Bookman Old Style" w:cs="Arial"/>
          <w:b/>
        </w:rPr>
        <w:t>LTDA.</w:t>
      </w:r>
      <w:r w:rsidR="00E729AF" w:rsidRPr="00605EC8">
        <w:rPr>
          <w:rFonts w:ascii="Bookman Old Style" w:hAnsi="Bookman Old Style" w:cs="Arial"/>
        </w:rPr>
        <w:t xml:space="preserve">, como integrantes del </w:t>
      </w:r>
      <w:r w:rsidR="00E729AF" w:rsidRPr="00605EC8">
        <w:rPr>
          <w:rFonts w:ascii="Bookman Old Style" w:hAnsi="Bookman Old Style" w:cs="Arial"/>
          <w:b/>
        </w:rPr>
        <w:t>CONSORCIO MEGAVIA 2004</w:t>
      </w:r>
      <w:r w:rsidR="00E729AF" w:rsidRPr="00605EC8">
        <w:rPr>
          <w:rFonts w:ascii="Bookman Old Style" w:hAnsi="Bookman Old Style" w:cs="Arial"/>
        </w:rPr>
        <w:t xml:space="preserve">, así como la solidaridad del </w:t>
      </w:r>
      <w:r w:rsidR="00E729AF" w:rsidRPr="00605EC8">
        <w:rPr>
          <w:rFonts w:ascii="Bookman Old Style" w:hAnsi="Bookman Old Style" w:cs="Arial"/>
          <w:b/>
        </w:rPr>
        <w:t>MUNICIPIO DE PEREIRA</w:t>
      </w:r>
      <w:r w:rsidR="00E729AF" w:rsidRPr="00605EC8">
        <w:rPr>
          <w:rFonts w:ascii="Bookman Old Style" w:hAnsi="Bookman Old Style" w:cs="Arial"/>
        </w:rPr>
        <w:t xml:space="preserve"> y </w:t>
      </w:r>
      <w:r w:rsidR="00E729AF" w:rsidRPr="00605EC8">
        <w:rPr>
          <w:rFonts w:ascii="Bookman Old Style" w:hAnsi="Bookman Old Style" w:cs="Arial"/>
          <w:b/>
        </w:rPr>
        <w:t>MEGABUS S.A.</w:t>
      </w:r>
      <w:r w:rsidR="00B10BE3" w:rsidRPr="00605EC8">
        <w:rPr>
          <w:rFonts w:ascii="Bookman Old Style" w:hAnsi="Bookman Old Style" w:cs="Arial"/>
        </w:rPr>
        <w:t xml:space="preserve"> En consecuencia, solicita que se profieran las siguientes declaraciones y condenas:</w:t>
      </w:r>
    </w:p>
    <w:p w14:paraId="6CFBCE31" w14:textId="77777777" w:rsidR="00B10BE3" w:rsidRPr="00605EC8" w:rsidRDefault="00B10BE3" w:rsidP="00605EC8">
      <w:pPr>
        <w:spacing w:line="276" w:lineRule="auto"/>
        <w:ind w:firstLine="0"/>
        <w:rPr>
          <w:rFonts w:ascii="Bookman Old Style" w:hAnsi="Bookman Old Style" w:cs="Arial"/>
        </w:rPr>
      </w:pPr>
    </w:p>
    <w:p w14:paraId="74B7B3A5" w14:textId="112C00D4" w:rsidR="00342860" w:rsidRPr="00605EC8" w:rsidRDefault="00B10BE3" w:rsidP="00605EC8">
      <w:pPr>
        <w:spacing w:line="276" w:lineRule="auto"/>
        <w:ind w:firstLine="0"/>
        <w:rPr>
          <w:rFonts w:ascii="Bookman Old Style" w:hAnsi="Bookman Old Style" w:cs="Arial"/>
        </w:rPr>
      </w:pPr>
      <w:r w:rsidRPr="00605EC8">
        <w:rPr>
          <w:rFonts w:ascii="Bookman Old Style" w:hAnsi="Bookman Old Style" w:cs="Arial"/>
        </w:rPr>
        <w:t xml:space="preserve">Por </w:t>
      </w:r>
      <w:r w:rsidR="00E729AF" w:rsidRPr="00605EC8">
        <w:rPr>
          <w:rFonts w:ascii="Bookman Old Style" w:hAnsi="Bookman Old Style" w:cs="Arial"/>
        </w:rPr>
        <w:t xml:space="preserve">el incumplimiento del parágrafo </w:t>
      </w:r>
      <w:r w:rsidRPr="00605EC8">
        <w:rPr>
          <w:rFonts w:ascii="Bookman Old Style" w:hAnsi="Bookman Old Style" w:cs="Arial"/>
        </w:rPr>
        <w:t>1, A</w:t>
      </w:r>
      <w:r w:rsidR="00E729AF" w:rsidRPr="00605EC8">
        <w:rPr>
          <w:rFonts w:ascii="Bookman Old Style" w:hAnsi="Bookman Old Style" w:cs="Arial"/>
        </w:rPr>
        <w:t xml:space="preserve">rtículo 65 del CST, se deje sin efecto la terminación del contrato de trabajo y </w:t>
      </w:r>
      <w:r w:rsidRPr="00605EC8">
        <w:rPr>
          <w:rFonts w:ascii="Bookman Old Style" w:hAnsi="Bookman Old Style" w:cs="Arial"/>
        </w:rPr>
        <w:t xml:space="preserve">disponga como sanción </w:t>
      </w:r>
      <w:r w:rsidR="00E729AF" w:rsidRPr="00605EC8">
        <w:rPr>
          <w:rFonts w:ascii="Bookman Old Style" w:hAnsi="Bookman Old Style" w:cs="Arial"/>
        </w:rPr>
        <w:t xml:space="preserve">el pago de los </w:t>
      </w:r>
      <w:r w:rsidR="00E729AF" w:rsidRPr="00605EC8">
        <w:rPr>
          <w:rFonts w:ascii="Bookman Old Style" w:hAnsi="Bookman Old Style" w:cs="Arial"/>
          <w:i/>
        </w:rPr>
        <w:t>salarios</w:t>
      </w:r>
      <w:r w:rsidR="00F614A5" w:rsidRPr="00605EC8">
        <w:rPr>
          <w:rFonts w:ascii="Bookman Old Style" w:hAnsi="Bookman Old Style" w:cs="Arial"/>
        </w:rPr>
        <w:t xml:space="preserve">, </w:t>
      </w:r>
      <w:r w:rsidR="00F614A5" w:rsidRPr="00605EC8">
        <w:rPr>
          <w:rFonts w:ascii="Bookman Old Style" w:hAnsi="Bookman Old Style" w:cs="Arial"/>
          <w:i/>
        </w:rPr>
        <w:t>cesantías, intereses a las cesantías</w:t>
      </w:r>
      <w:r w:rsidR="00F614A5" w:rsidRPr="00605EC8">
        <w:rPr>
          <w:rFonts w:ascii="Bookman Old Style" w:hAnsi="Bookman Old Style" w:cs="Arial"/>
        </w:rPr>
        <w:t xml:space="preserve">, </w:t>
      </w:r>
      <w:r w:rsidR="00F614A5" w:rsidRPr="00605EC8">
        <w:rPr>
          <w:rFonts w:ascii="Bookman Old Style" w:hAnsi="Bookman Old Style" w:cs="Arial"/>
          <w:i/>
        </w:rPr>
        <w:t>prima de servicios</w:t>
      </w:r>
      <w:r w:rsidR="00F614A5" w:rsidRPr="00605EC8">
        <w:rPr>
          <w:rFonts w:ascii="Bookman Old Style" w:hAnsi="Bookman Old Style" w:cs="Arial"/>
        </w:rPr>
        <w:t xml:space="preserve">, </w:t>
      </w:r>
      <w:r w:rsidR="00F614A5" w:rsidRPr="00605EC8">
        <w:rPr>
          <w:rFonts w:ascii="Bookman Old Style" w:hAnsi="Bookman Old Style" w:cs="Arial"/>
          <w:i/>
        </w:rPr>
        <w:t>auxilio de transporte</w:t>
      </w:r>
      <w:r w:rsidR="00F614A5" w:rsidRPr="00605EC8">
        <w:rPr>
          <w:rFonts w:ascii="Bookman Old Style" w:hAnsi="Bookman Old Style" w:cs="Arial"/>
        </w:rPr>
        <w:t xml:space="preserve">, </w:t>
      </w:r>
      <w:r w:rsidR="00F614A5" w:rsidRPr="00605EC8">
        <w:rPr>
          <w:rFonts w:ascii="Bookman Old Style" w:hAnsi="Bookman Old Style" w:cs="Arial"/>
          <w:i/>
        </w:rPr>
        <w:t>vacaciones</w:t>
      </w:r>
      <w:r w:rsidR="00907F87" w:rsidRPr="00605EC8">
        <w:rPr>
          <w:rFonts w:ascii="Bookman Old Style" w:hAnsi="Bookman Old Style" w:cs="Arial"/>
          <w:i/>
        </w:rPr>
        <w:t>, vestido y calzado de labor</w:t>
      </w:r>
      <w:r w:rsidR="00F614A5" w:rsidRPr="00605EC8">
        <w:rPr>
          <w:rFonts w:ascii="Bookman Old Style" w:hAnsi="Bookman Old Style" w:cs="Arial"/>
          <w:i/>
        </w:rPr>
        <w:t xml:space="preserve"> y aportes a seguridad social desde la terminación hasta el pago</w:t>
      </w:r>
      <w:r w:rsidR="00907F87" w:rsidRPr="00605EC8">
        <w:rPr>
          <w:rFonts w:ascii="Bookman Old Style" w:hAnsi="Bookman Old Style" w:cs="Arial"/>
          <w:i/>
        </w:rPr>
        <w:t xml:space="preserve">, </w:t>
      </w:r>
      <w:r w:rsidR="00342860" w:rsidRPr="00605EC8">
        <w:rPr>
          <w:rFonts w:ascii="Bookman Old Style" w:hAnsi="Bookman Old Style" w:cs="Arial"/>
          <w:i/>
        </w:rPr>
        <w:t xml:space="preserve">horas extras, dominicales y festivos </w:t>
      </w:r>
      <w:r w:rsidR="00907F87" w:rsidRPr="00605EC8">
        <w:rPr>
          <w:rFonts w:ascii="Bookman Old Style" w:hAnsi="Bookman Old Style" w:cs="Arial"/>
          <w:i/>
        </w:rPr>
        <w:t>además de la indexación</w:t>
      </w:r>
      <w:r w:rsidR="00F614A5" w:rsidRPr="00605EC8">
        <w:rPr>
          <w:rFonts w:ascii="Bookman Old Style" w:hAnsi="Bookman Old Style" w:cs="Arial"/>
        </w:rPr>
        <w:t>.</w:t>
      </w:r>
      <w:r w:rsidR="00907F87" w:rsidRPr="00605EC8">
        <w:rPr>
          <w:rFonts w:ascii="Bookman Old Style" w:hAnsi="Bookman Old Style" w:cs="Arial"/>
        </w:rPr>
        <w:t xml:space="preserve"> En subsidio, se condene a los demandados al pago de las </w:t>
      </w:r>
      <w:r w:rsidR="00907F87" w:rsidRPr="00605EC8">
        <w:rPr>
          <w:rFonts w:ascii="Bookman Old Style" w:hAnsi="Bookman Old Style" w:cs="Arial"/>
          <w:i/>
        </w:rPr>
        <w:t>cesantías</w:t>
      </w:r>
      <w:r w:rsidR="00907F87" w:rsidRPr="00605EC8">
        <w:rPr>
          <w:rFonts w:ascii="Bookman Old Style" w:hAnsi="Bookman Old Style" w:cs="Arial"/>
        </w:rPr>
        <w:t xml:space="preserve">, </w:t>
      </w:r>
      <w:r w:rsidR="00907F87" w:rsidRPr="00605EC8">
        <w:rPr>
          <w:rFonts w:ascii="Bookman Old Style" w:hAnsi="Bookman Old Style" w:cs="Arial"/>
          <w:i/>
        </w:rPr>
        <w:t>intereses a las cesantías</w:t>
      </w:r>
      <w:r w:rsidR="00907F87" w:rsidRPr="00605EC8">
        <w:rPr>
          <w:rFonts w:ascii="Bookman Old Style" w:hAnsi="Bookman Old Style" w:cs="Arial"/>
        </w:rPr>
        <w:t xml:space="preserve">, </w:t>
      </w:r>
      <w:r w:rsidR="00907F87" w:rsidRPr="00605EC8">
        <w:rPr>
          <w:rFonts w:ascii="Bookman Old Style" w:hAnsi="Bookman Old Style" w:cs="Arial"/>
          <w:i/>
        </w:rPr>
        <w:t>prima de servicios</w:t>
      </w:r>
      <w:r w:rsidR="00907F87" w:rsidRPr="00605EC8">
        <w:rPr>
          <w:rFonts w:ascii="Bookman Old Style" w:hAnsi="Bookman Old Style" w:cs="Arial"/>
        </w:rPr>
        <w:t xml:space="preserve">, </w:t>
      </w:r>
      <w:r w:rsidR="00907F87" w:rsidRPr="00605EC8">
        <w:rPr>
          <w:rFonts w:ascii="Bookman Old Style" w:hAnsi="Bookman Old Style" w:cs="Arial"/>
          <w:i/>
        </w:rPr>
        <w:t>vacaciones</w:t>
      </w:r>
      <w:r w:rsidR="00907F87" w:rsidRPr="00605EC8">
        <w:rPr>
          <w:rFonts w:ascii="Bookman Old Style" w:hAnsi="Bookman Old Style" w:cs="Arial"/>
        </w:rPr>
        <w:t xml:space="preserve">, </w:t>
      </w:r>
      <w:r w:rsidR="00907F87" w:rsidRPr="00605EC8">
        <w:rPr>
          <w:rFonts w:ascii="Bookman Old Style" w:hAnsi="Bookman Old Style" w:cs="Arial"/>
          <w:i/>
        </w:rPr>
        <w:t>calzado y vestido de labor,</w:t>
      </w:r>
      <w:r w:rsidR="00907F87" w:rsidRPr="00605EC8">
        <w:rPr>
          <w:rFonts w:ascii="Bookman Old Style" w:hAnsi="Bookman Old Style" w:cs="Arial"/>
        </w:rPr>
        <w:t xml:space="preserve"> </w:t>
      </w:r>
      <w:r w:rsidR="00907F87" w:rsidRPr="00605EC8">
        <w:rPr>
          <w:rFonts w:ascii="Bookman Old Style" w:hAnsi="Bookman Old Style" w:cs="Arial"/>
          <w:i/>
        </w:rPr>
        <w:t xml:space="preserve">subsidio de transporte, </w:t>
      </w:r>
      <w:r w:rsidR="002508F8" w:rsidRPr="00605EC8">
        <w:rPr>
          <w:rFonts w:ascii="Bookman Old Style" w:hAnsi="Bookman Old Style" w:cs="Arial"/>
          <w:i/>
        </w:rPr>
        <w:t>aportes a seguridad social,</w:t>
      </w:r>
      <w:r w:rsidR="002508F8" w:rsidRPr="00605EC8">
        <w:rPr>
          <w:rFonts w:ascii="Bookman Old Style" w:hAnsi="Bookman Old Style" w:cs="Arial"/>
        </w:rPr>
        <w:t xml:space="preserve"> </w:t>
      </w:r>
      <w:r w:rsidR="00907F87" w:rsidRPr="00605EC8">
        <w:rPr>
          <w:rFonts w:ascii="Bookman Old Style" w:hAnsi="Bookman Old Style" w:cs="Arial"/>
          <w:i/>
        </w:rPr>
        <w:t>indemnización moratoria</w:t>
      </w:r>
      <w:r w:rsidR="00342860" w:rsidRPr="00605EC8">
        <w:rPr>
          <w:rFonts w:ascii="Bookman Old Style" w:hAnsi="Bookman Old Style" w:cs="Arial"/>
          <w:i/>
        </w:rPr>
        <w:t>, indemnización del artículo 99 de la Ley 50 de 1990</w:t>
      </w:r>
      <w:r w:rsidR="002508F8" w:rsidRPr="00605EC8">
        <w:rPr>
          <w:rFonts w:ascii="Bookman Old Style" w:hAnsi="Bookman Old Style" w:cs="Arial"/>
          <w:i/>
        </w:rPr>
        <w:t>, indexación y costas.</w:t>
      </w:r>
    </w:p>
    <w:p w14:paraId="62E4ED41" w14:textId="77777777" w:rsidR="00342860" w:rsidRPr="00605EC8" w:rsidRDefault="00342860" w:rsidP="00605EC8">
      <w:pPr>
        <w:spacing w:line="276" w:lineRule="auto"/>
        <w:ind w:firstLine="0"/>
        <w:rPr>
          <w:rFonts w:ascii="Bookman Old Style" w:hAnsi="Bookman Old Style" w:cs="Arial"/>
        </w:rPr>
      </w:pPr>
    </w:p>
    <w:p w14:paraId="5E787812" w14:textId="515210AF" w:rsidR="00A334ED" w:rsidRPr="00605EC8" w:rsidRDefault="001656D8" w:rsidP="00605EC8">
      <w:pPr>
        <w:spacing w:line="276" w:lineRule="auto"/>
        <w:ind w:firstLine="0"/>
        <w:rPr>
          <w:rFonts w:ascii="Bookman Old Style" w:hAnsi="Bookman Old Style" w:cs="Arial"/>
        </w:rPr>
      </w:pPr>
      <w:r w:rsidRPr="00605EC8">
        <w:rPr>
          <w:rFonts w:ascii="Bookman Old Style" w:hAnsi="Bookman Old Style" w:cs="Arial"/>
          <w:b/>
          <w:bCs/>
        </w:rPr>
        <w:t>Recuento fáctico</w:t>
      </w:r>
      <w:r w:rsidR="00A334ED" w:rsidRPr="00605EC8">
        <w:rPr>
          <w:rFonts w:ascii="Bookman Old Style" w:hAnsi="Bookman Old Style" w:cs="Arial"/>
          <w:b/>
          <w:bCs/>
        </w:rPr>
        <w:t>.</w:t>
      </w:r>
      <w:r w:rsidR="00A334ED" w:rsidRPr="00605EC8">
        <w:rPr>
          <w:rFonts w:ascii="Bookman Old Style" w:hAnsi="Bookman Old Style" w:cs="Arial"/>
        </w:rPr>
        <w:t xml:space="preserve"> </w:t>
      </w:r>
    </w:p>
    <w:p w14:paraId="4EA343FF" w14:textId="77777777" w:rsidR="00A334ED" w:rsidRPr="00605EC8" w:rsidRDefault="00A334ED" w:rsidP="00605EC8">
      <w:pPr>
        <w:spacing w:line="276" w:lineRule="auto"/>
        <w:rPr>
          <w:rFonts w:ascii="Bookman Old Style" w:hAnsi="Bookman Old Style" w:cs="Arial"/>
        </w:rPr>
      </w:pPr>
    </w:p>
    <w:p w14:paraId="61EDEF08" w14:textId="2D7A11D0" w:rsidR="00337739" w:rsidRPr="00605EC8" w:rsidRDefault="00A334ED" w:rsidP="00605EC8">
      <w:pPr>
        <w:spacing w:line="276" w:lineRule="auto"/>
        <w:ind w:firstLine="0"/>
        <w:rPr>
          <w:rFonts w:ascii="Bookman Old Style" w:hAnsi="Bookman Old Style"/>
        </w:rPr>
      </w:pPr>
      <w:r w:rsidRPr="00605EC8">
        <w:rPr>
          <w:rFonts w:ascii="Bookman Old Style" w:hAnsi="Bookman Old Style" w:cs="Arial"/>
        </w:rPr>
        <w:t xml:space="preserve">En síntesis, </w:t>
      </w:r>
      <w:r w:rsidR="005533BB" w:rsidRPr="00605EC8">
        <w:rPr>
          <w:rFonts w:ascii="Bookman Old Style" w:hAnsi="Bookman Old Style" w:cs="Arial"/>
          <w:noProof/>
        </w:rPr>
        <w:t xml:space="preserve">relata la accionante que </w:t>
      </w:r>
      <w:r w:rsidR="00337739" w:rsidRPr="00605EC8">
        <w:rPr>
          <w:rFonts w:ascii="Bookman Old Style" w:hAnsi="Bookman Old Style"/>
        </w:rPr>
        <w:t xml:space="preserve">fue contratado de manera verbal por los señores </w:t>
      </w:r>
      <w:r w:rsidR="003A29A0" w:rsidRPr="00605EC8">
        <w:rPr>
          <w:rFonts w:ascii="Bookman Old Style" w:hAnsi="Bookman Old Style"/>
          <w:i/>
        </w:rPr>
        <w:t>Julio Valderrama, Hernando Granada y Cesar Baena</w:t>
      </w:r>
      <w:r w:rsidR="00337739" w:rsidRPr="00605EC8">
        <w:rPr>
          <w:rFonts w:ascii="Bookman Old Style" w:hAnsi="Bookman Old Style"/>
        </w:rPr>
        <w:t xml:space="preserve">, en representación del </w:t>
      </w:r>
      <w:r w:rsidR="003A29A0" w:rsidRPr="00605EC8">
        <w:rPr>
          <w:rFonts w:ascii="Bookman Old Style" w:hAnsi="Bookman Old Style"/>
          <w:i/>
        </w:rPr>
        <w:t>Consorcio Megavía 2004</w:t>
      </w:r>
      <w:r w:rsidR="00337739" w:rsidRPr="00605EC8">
        <w:rPr>
          <w:rFonts w:ascii="Bookman Old Style" w:hAnsi="Bookman Old Style"/>
        </w:rPr>
        <w:t xml:space="preserve">, para trabajar en las obras previstas en el Contrato </w:t>
      </w:r>
      <w:proofErr w:type="spellStart"/>
      <w:r w:rsidR="00337739" w:rsidRPr="00605EC8">
        <w:rPr>
          <w:rFonts w:ascii="Bookman Old Style" w:hAnsi="Bookman Old Style"/>
        </w:rPr>
        <w:t>No.02</w:t>
      </w:r>
      <w:proofErr w:type="spellEnd"/>
      <w:r w:rsidR="00337739" w:rsidRPr="00605EC8">
        <w:rPr>
          <w:rFonts w:ascii="Bookman Old Style" w:hAnsi="Bookman Old Style"/>
        </w:rPr>
        <w:t xml:space="preserve"> del 12 de agosto de 2004, suscrito entre el referido Consorcio y </w:t>
      </w:r>
      <w:proofErr w:type="spellStart"/>
      <w:r w:rsidR="003A29A0" w:rsidRPr="00605EC8">
        <w:rPr>
          <w:rFonts w:ascii="Bookman Old Style" w:hAnsi="Bookman Old Style"/>
        </w:rPr>
        <w:t>Megabus</w:t>
      </w:r>
      <w:proofErr w:type="spellEnd"/>
      <w:r w:rsidR="003A29A0" w:rsidRPr="00605EC8">
        <w:rPr>
          <w:rFonts w:ascii="Bookman Old Style" w:hAnsi="Bookman Old Style"/>
        </w:rPr>
        <w:t xml:space="preserve"> </w:t>
      </w:r>
      <w:r w:rsidR="00337739" w:rsidRPr="00605EC8">
        <w:rPr>
          <w:rFonts w:ascii="Bookman Old Style" w:hAnsi="Bookman Old Style"/>
        </w:rPr>
        <w:t>S.A. cuyo objeto fue la “</w:t>
      </w:r>
      <w:r w:rsidR="00337739" w:rsidRPr="004A79A5">
        <w:rPr>
          <w:rFonts w:ascii="Bookman Old Style" w:hAnsi="Bookman Old Style"/>
          <w:sz w:val="22"/>
          <w:szCs w:val="22"/>
        </w:rPr>
        <w:t xml:space="preserve">construcción de un tramo de corredor para el sistema de transporte masivo </w:t>
      </w:r>
      <w:proofErr w:type="spellStart"/>
      <w:r w:rsidR="00337739" w:rsidRPr="004A79A5">
        <w:rPr>
          <w:rFonts w:ascii="Bookman Old Style" w:hAnsi="Bookman Old Style"/>
          <w:sz w:val="22"/>
          <w:szCs w:val="22"/>
        </w:rPr>
        <w:t>Megabus</w:t>
      </w:r>
      <w:proofErr w:type="spellEnd"/>
      <w:r w:rsidR="00337739" w:rsidRPr="004A79A5">
        <w:rPr>
          <w:rFonts w:ascii="Bookman Old Style" w:hAnsi="Bookman Old Style"/>
          <w:sz w:val="22"/>
          <w:szCs w:val="22"/>
        </w:rPr>
        <w:t xml:space="preserve">, comprendido entre la carrera 6ª entre calles 12 y 24, calles 24 entre carreras </w:t>
      </w:r>
      <w:proofErr w:type="spellStart"/>
      <w:r w:rsidR="00337739" w:rsidRPr="004A79A5">
        <w:rPr>
          <w:rFonts w:ascii="Bookman Old Style" w:hAnsi="Bookman Old Style"/>
          <w:sz w:val="22"/>
          <w:szCs w:val="22"/>
        </w:rPr>
        <w:t>6ta</w:t>
      </w:r>
      <w:proofErr w:type="spellEnd"/>
      <w:r w:rsidR="00337739" w:rsidRPr="004A79A5">
        <w:rPr>
          <w:rFonts w:ascii="Bookman Old Style" w:hAnsi="Bookman Old Style"/>
          <w:sz w:val="22"/>
          <w:szCs w:val="22"/>
        </w:rPr>
        <w:t xml:space="preserve"> y 7ª en el Municipio de Pereira</w:t>
      </w:r>
      <w:r w:rsidR="00337739" w:rsidRPr="00605EC8">
        <w:rPr>
          <w:rFonts w:ascii="Bookman Old Style" w:hAnsi="Bookman Old Style"/>
        </w:rPr>
        <w:t>”.</w:t>
      </w:r>
      <w:r w:rsidR="00812661" w:rsidRPr="00605EC8">
        <w:rPr>
          <w:rFonts w:ascii="Bookman Old Style" w:hAnsi="Bookman Old Style"/>
        </w:rPr>
        <w:t xml:space="preserve"> </w:t>
      </w:r>
      <w:r w:rsidR="00337739" w:rsidRPr="00605EC8">
        <w:rPr>
          <w:rFonts w:ascii="Bookman Old Style" w:hAnsi="Bookman Old Style"/>
        </w:rPr>
        <w:t xml:space="preserve">Que </w:t>
      </w:r>
      <w:r w:rsidR="00812661" w:rsidRPr="00605EC8">
        <w:rPr>
          <w:rFonts w:ascii="Bookman Old Style" w:hAnsi="Bookman Old Style"/>
        </w:rPr>
        <w:t xml:space="preserve">las labores que </w:t>
      </w:r>
      <w:r w:rsidR="00337739" w:rsidRPr="00605EC8">
        <w:rPr>
          <w:rFonts w:ascii="Bookman Old Style" w:hAnsi="Bookman Old Style"/>
        </w:rPr>
        <w:t xml:space="preserve">desempeñó </w:t>
      </w:r>
      <w:r w:rsidR="00812661" w:rsidRPr="00605EC8">
        <w:rPr>
          <w:rFonts w:ascii="Bookman Old Style" w:hAnsi="Bookman Old Style"/>
        </w:rPr>
        <w:t xml:space="preserve">fueron </w:t>
      </w:r>
      <w:r w:rsidR="00337739" w:rsidRPr="00605EC8">
        <w:rPr>
          <w:rFonts w:ascii="Bookman Old Style" w:hAnsi="Bookman Old Style"/>
        </w:rPr>
        <w:t xml:space="preserve">como Oficial de Construcción desde el 14 de septiembre de 2004, cumpliendo una jornada laboral de 7:00 a.m. a 10:00 p.m., devengando un salario mínimo mensual legal vigente y que el 25 de junio de 2005, fue despedido de manera unilateral y sin justa causa. </w:t>
      </w:r>
      <w:r w:rsidR="00812661" w:rsidRPr="00605EC8">
        <w:rPr>
          <w:rFonts w:ascii="Bookman Old Style" w:hAnsi="Bookman Old Style"/>
        </w:rPr>
        <w:t xml:space="preserve">No obstante, advierte que </w:t>
      </w:r>
      <w:r w:rsidR="00337739" w:rsidRPr="00605EC8">
        <w:rPr>
          <w:rFonts w:ascii="Bookman Old Style" w:hAnsi="Bookman Old Style"/>
        </w:rPr>
        <w:t xml:space="preserve">finalizada la obra de Megavía el 06-03-2005, continuó realizando algunas labores </w:t>
      </w:r>
      <w:r w:rsidR="00812661" w:rsidRPr="00605EC8">
        <w:rPr>
          <w:rFonts w:ascii="Bookman Old Style" w:hAnsi="Bookman Old Style"/>
        </w:rPr>
        <w:t xml:space="preserve">para la </w:t>
      </w:r>
      <w:r w:rsidR="00337739" w:rsidRPr="00605EC8">
        <w:rPr>
          <w:rFonts w:ascii="Bookman Old Style" w:hAnsi="Bookman Old Style"/>
        </w:rPr>
        <w:t xml:space="preserve">obra </w:t>
      </w:r>
      <w:r w:rsidR="00812661" w:rsidRPr="00605EC8">
        <w:rPr>
          <w:rFonts w:ascii="Bookman Old Style" w:hAnsi="Bookman Old Style"/>
        </w:rPr>
        <w:t xml:space="preserve">para </w:t>
      </w:r>
      <w:r w:rsidR="00337739" w:rsidRPr="00605EC8">
        <w:rPr>
          <w:rFonts w:ascii="Bookman Old Style" w:hAnsi="Bookman Old Style"/>
        </w:rPr>
        <w:t xml:space="preserve">ultimar detalles. </w:t>
      </w:r>
      <w:r w:rsidR="0069499F" w:rsidRPr="00605EC8">
        <w:rPr>
          <w:rFonts w:ascii="Bookman Old Style" w:hAnsi="Bookman Old Style"/>
        </w:rPr>
        <w:t xml:space="preserve">Agrega, que </w:t>
      </w:r>
      <w:r w:rsidR="00812661" w:rsidRPr="00605EC8">
        <w:rPr>
          <w:rFonts w:ascii="Bookman Old Style" w:hAnsi="Bookman Old Style"/>
        </w:rPr>
        <w:t xml:space="preserve">a la terminación </w:t>
      </w:r>
      <w:r w:rsidR="00337739" w:rsidRPr="00605EC8">
        <w:rPr>
          <w:rFonts w:ascii="Bookman Old Style" w:hAnsi="Bookman Old Style"/>
        </w:rPr>
        <w:t xml:space="preserve">no se le </w:t>
      </w:r>
      <w:r w:rsidR="00812661" w:rsidRPr="00605EC8">
        <w:rPr>
          <w:rFonts w:ascii="Bookman Old Style" w:hAnsi="Bookman Old Style"/>
        </w:rPr>
        <w:t>pagaron las acreencias labores ni prestacionales pretendidas.</w:t>
      </w:r>
    </w:p>
    <w:p w14:paraId="632735DE" w14:textId="77777777" w:rsidR="00337739" w:rsidRPr="00605EC8" w:rsidRDefault="00337739" w:rsidP="00605EC8">
      <w:pPr>
        <w:spacing w:line="276" w:lineRule="auto"/>
        <w:rPr>
          <w:rFonts w:ascii="Bookman Old Style" w:hAnsi="Bookman Old Style"/>
        </w:rPr>
      </w:pPr>
    </w:p>
    <w:p w14:paraId="5A877D92" w14:textId="6DFE1140" w:rsidR="00337739" w:rsidRPr="00605EC8" w:rsidRDefault="00812661" w:rsidP="00605EC8">
      <w:pPr>
        <w:spacing w:line="276" w:lineRule="auto"/>
        <w:ind w:firstLine="0"/>
        <w:rPr>
          <w:rFonts w:ascii="Bookman Old Style" w:hAnsi="Bookman Old Style" w:cs="Arial"/>
        </w:rPr>
      </w:pPr>
      <w:r w:rsidRPr="00605EC8">
        <w:rPr>
          <w:rFonts w:ascii="Bookman Old Style" w:hAnsi="Bookman Old Style"/>
        </w:rPr>
        <w:t>De otro lado, asegura q</w:t>
      </w:r>
      <w:r w:rsidR="00337739" w:rsidRPr="00605EC8">
        <w:rPr>
          <w:rFonts w:ascii="Bookman Old Style" w:hAnsi="Bookman Old Style"/>
        </w:rPr>
        <w:t>ue los integrantes del Consorcio MEGAVIA 2004 son los llamados a responder por las acreencias laborales reclamadas, MEGABUS SA como beneficiario de la obra y el Municipio de Pereira como dueño de la obra, deben responder solidariamente</w:t>
      </w:r>
      <w:r w:rsidRPr="00605EC8">
        <w:rPr>
          <w:rFonts w:ascii="Bookman Old Style" w:hAnsi="Bookman Old Style"/>
        </w:rPr>
        <w:t xml:space="preserve"> por las acreencias imploradas</w:t>
      </w:r>
      <w:r w:rsidR="00337739" w:rsidRPr="00605EC8">
        <w:rPr>
          <w:rFonts w:ascii="Bookman Old Style" w:hAnsi="Bookman Old Style"/>
        </w:rPr>
        <w:t>.</w:t>
      </w:r>
    </w:p>
    <w:p w14:paraId="573947E5" w14:textId="77777777" w:rsidR="00A334ED" w:rsidRPr="00605EC8" w:rsidRDefault="00A334ED" w:rsidP="00605EC8">
      <w:pPr>
        <w:spacing w:line="276" w:lineRule="auto"/>
        <w:rPr>
          <w:rFonts w:ascii="Bookman Old Style" w:hAnsi="Bookman Old Style" w:cs="Arial"/>
        </w:rPr>
      </w:pPr>
    </w:p>
    <w:p w14:paraId="4B87EF10" w14:textId="48117597" w:rsidR="00A334ED" w:rsidRPr="00605EC8" w:rsidRDefault="00A334ED" w:rsidP="00605EC8">
      <w:pPr>
        <w:spacing w:line="276" w:lineRule="auto"/>
        <w:ind w:firstLine="0"/>
        <w:rPr>
          <w:rFonts w:ascii="Bookman Old Style" w:hAnsi="Bookman Old Style" w:cs="Arial"/>
        </w:rPr>
      </w:pPr>
      <w:r w:rsidRPr="00605EC8">
        <w:rPr>
          <w:rFonts w:ascii="Bookman Old Style" w:hAnsi="Bookman Old Style" w:cs="Arial"/>
          <w:noProof/>
        </w:rPr>
        <w:t xml:space="preserve">La demanda fue radicada el </w:t>
      </w:r>
      <w:r w:rsidR="00470B9B" w:rsidRPr="00605EC8">
        <w:rPr>
          <w:rFonts w:ascii="Bookman Old Style" w:hAnsi="Bookman Old Style" w:cs="Arial"/>
          <w:noProof/>
        </w:rPr>
        <w:t>12 de mayo de 2010</w:t>
      </w:r>
      <w:r w:rsidRPr="00605EC8">
        <w:rPr>
          <w:rFonts w:ascii="Bookman Old Style" w:hAnsi="Bookman Old Style" w:cs="Arial"/>
          <w:noProof/>
        </w:rPr>
        <w:t xml:space="preserve"> y admitida por auto del </w:t>
      </w:r>
      <w:r w:rsidR="00470B9B" w:rsidRPr="00605EC8">
        <w:rPr>
          <w:rFonts w:ascii="Bookman Old Style" w:hAnsi="Bookman Old Style" w:cs="Arial"/>
          <w:noProof/>
        </w:rPr>
        <w:t>18 de mayo de 2010</w:t>
      </w:r>
      <w:r w:rsidRPr="00605EC8">
        <w:rPr>
          <w:rFonts w:ascii="Bookman Old Style" w:hAnsi="Bookman Old Style" w:cs="Arial"/>
        </w:rPr>
        <w:t>.</w:t>
      </w:r>
    </w:p>
    <w:p w14:paraId="4B295CC9" w14:textId="77777777" w:rsidR="000370D6" w:rsidRPr="00605EC8" w:rsidRDefault="000370D6" w:rsidP="00605EC8">
      <w:pPr>
        <w:spacing w:line="276" w:lineRule="auto"/>
        <w:ind w:firstLine="0"/>
        <w:rPr>
          <w:rFonts w:ascii="Bookman Old Style" w:hAnsi="Bookman Old Style" w:cs="Arial"/>
        </w:rPr>
      </w:pPr>
    </w:p>
    <w:p w14:paraId="2C9C2953" w14:textId="7545247D" w:rsidR="00A334ED" w:rsidRPr="00605EC8" w:rsidRDefault="00A334ED" w:rsidP="00605EC8">
      <w:pPr>
        <w:spacing w:line="276" w:lineRule="auto"/>
        <w:ind w:firstLine="0"/>
        <w:rPr>
          <w:rFonts w:ascii="Bookman Old Style" w:hAnsi="Bookman Old Style" w:cs="Arial"/>
        </w:rPr>
      </w:pPr>
      <w:r w:rsidRPr="00605EC8">
        <w:rPr>
          <w:rFonts w:ascii="Bookman Old Style" w:hAnsi="Bookman Old Style" w:cs="Arial"/>
          <w:b/>
          <w:bCs/>
        </w:rPr>
        <w:t>Posición de las demandadas.</w:t>
      </w:r>
    </w:p>
    <w:p w14:paraId="7DEA26E5" w14:textId="77777777" w:rsidR="00A334ED" w:rsidRPr="00605EC8" w:rsidRDefault="00A334ED" w:rsidP="00605EC8">
      <w:pPr>
        <w:spacing w:line="276" w:lineRule="auto"/>
        <w:rPr>
          <w:rFonts w:ascii="Bookman Old Style" w:hAnsi="Bookman Old Style" w:cs="Arial"/>
        </w:rPr>
      </w:pPr>
    </w:p>
    <w:p w14:paraId="2EA108B4" w14:textId="6ED2EFB8" w:rsidR="007B4A32" w:rsidRPr="00605EC8" w:rsidRDefault="007B4A32" w:rsidP="00605EC8">
      <w:pPr>
        <w:spacing w:line="276" w:lineRule="auto"/>
        <w:ind w:firstLine="0"/>
        <w:rPr>
          <w:rFonts w:ascii="Bookman Old Style" w:hAnsi="Bookman Old Style"/>
        </w:rPr>
      </w:pPr>
      <w:r w:rsidRPr="00605EC8">
        <w:rPr>
          <w:rFonts w:ascii="Bookman Old Style" w:hAnsi="Bookman Old Style"/>
          <w:b/>
        </w:rPr>
        <w:t xml:space="preserve">HERNANDO GRANADA GÓMEZ </w:t>
      </w:r>
      <w:r w:rsidRPr="00605EC8">
        <w:rPr>
          <w:rFonts w:ascii="Bookman Old Style" w:hAnsi="Bookman Old Style"/>
        </w:rPr>
        <w:t xml:space="preserve">y </w:t>
      </w:r>
      <w:r w:rsidRPr="00605EC8">
        <w:rPr>
          <w:rFonts w:ascii="Bookman Old Style" w:hAnsi="Bookman Old Style"/>
          <w:b/>
        </w:rPr>
        <w:t>CÉSAR BAENA</w:t>
      </w:r>
      <w:r w:rsidRPr="00605EC8">
        <w:rPr>
          <w:rFonts w:ascii="Bookman Old Style" w:hAnsi="Bookman Old Style"/>
        </w:rPr>
        <w:t xml:space="preserve">, a través de Curador, se opuso a las pretensiones e invocó como excepción la de </w:t>
      </w:r>
      <w:r w:rsidR="00F35C97" w:rsidRPr="00605EC8">
        <w:rPr>
          <w:rFonts w:ascii="Bookman Old Style" w:hAnsi="Bookman Old Style"/>
        </w:rPr>
        <w:t>prescripción (</w:t>
      </w:r>
      <w:r w:rsidRPr="00605EC8">
        <w:rPr>
          <w:rFonts w:ascii="Bookman Old Style" w:hAnsi="Bookman Old Style"/>
        </w:rPr>
        <w:t>archivo 72 y 82).</w:t>
      </w:r>
    </w:p>
    <w:p w14:paraId="72D7A007" w14:textId="77777777" w:rsidR="007B4A32" w:rsidRPr="00605EC8" w:rsidRDefault="007B4A32" w:rsidP="00605EC8">
      <w:pPr>
        <w:spacing w:line="276" w:lineRule="auto"/>
        <w:rPr>
          <w:rFonts w:ascii="Bookman Old Style" w:hAnsi="Bookman Old Style"/>
        </w:rPr>
      </w:pPr>
    </w:p>
    <w:p w14:paraId="5523270D" w14:textId="259F5786" w:rsidR="007B4A32" w:rsidRPr="00605EC8" w:rsidRDefault="007B4A32" w:rsidP="00605EC8">
      <w:pPr>
        <w:spacing w:line="276" w:lineRule="auto"/>
        <w:ind w:firstLine="0"/>
        <w:rPr>
          <w:rFonts w:ascii="Bookman Old Style" w:hAnsi="Bookman Old Style"/>
        </w:rPr>
      </w:pPr>
      <w:proofErr w:type="spellStart"/>
      <w:r w:rsidRPr="00605EC8">
        <w:rPr>
          <w:rFonts w:ascii="Bookman Old Style" w:hAnsi="Bookman Old Style"/>
          <w:b/>
        </w:rPr>
        <w:t>CIVAL</w:t>
      </w:r>
      <w:proofErr w:type="spellEnd"/>
      <w:r w:rsidRPr="00605EC8">
        <w:rPr>
          <w:rFonts w:ascii="Bookman Old Style" w:hAnsi="Bookman Old Style"/>
          <w:b/>
        </w:rPr>
        <w:t xml:space="preserve"> CONSTRUCCIONES </w:t>
      </w:r>
      <w:proofErr w:type="spellStart"/>
      <w:r w:rsidRPr="00605EC8">
        <w:rPr>
          <w:rFonts w:ascii="Bookman Old Style" w:hAnsi="Bookman Old Style"/>
          <w:b/>
        </w:rPr>
        <w:t>LTDA</w:t>
      </w:r>
      <w:proofErr w:type="spellEnd"/>
      <w:r w:rsidRPr="00605EC8">
        <w:rPr>
          <w:rFonts w:ascii="Bookman Old Style" w:hAnsi="Bookman Old Style"/>
        </w:rPr>
        <w:t xml:space="preserve">, a través de Curador, se opuso a las pretensiones e invocó como excepción la de </w:t>
      </w:r>
      <w:r w:rsidR="00F35C97" w:rsidRPr="00605EC8">
        <w:rPr>
          <w:rFonts w:ascii="Bookman Old Style" w:hAnsi="Bookman Old Style"/>
        </w:rPr>
        <w:t>prescripción (</w:t>
      </w:r>
      <w:r w:rsidRPr="00605EC8">
        <w:rPr>
          <w:rFonts w:ascii="Bookman Old Style" w:hAnsi="Bookman Old Style"/>
        </w:rPr>
        <w:t>archivo 96 y 99).</w:t>
      </w:r>
    </w:p>
    <w:p w14:paraId="74FA9B62" w14:textId="77777777" w:rsidR="007B4A32" w:rsidRPr="00605EC8" w:rsidRDefault="007B4A32" w:rsidP="00605EC8">
      <w:pPr>
        <w:spacing w:line="276" w:lineRule="auto"/>
        <w:ind w:firstLine="0"/>
        <w:rPr>
          <w:rFonts w:ascii="Bookman Old Style" w:hAnsi="Bookman Old Style"/>
          <w:b/>
        </w:rPr>
      </w:pPr>
    </w:p>
    <w:p w14:paraId="17324C44" w14:textId="38E1E5CE" w:rsidR="00A334ED" w:rsidRPr="00605EC8" w:rsidRDefault="00337739" w:rsidP="00605EC8">
      <w:pPr>
        <w:spacing w:line="276" w:lineRule="auto"/>
        <w:ind w:firstLine="0"/>
        <w:rPr>
          <w:rFonts w:ascii="Bookman Old Style" w:hAnsi="Bookman Old Style"/>
        </w:rPr>
      </w:pPr>
      <w:proofErr w:type="spellStart"/>
      <w:r w:rsidRPr="00605EC8">
        <w:rPr>
          <w:rFonts w:ascii="Bookman Old Style" w:hAnsi="Bookman Old Style"/>
          <w:b/>
        </w:rPr>
        <w:t>MEGABÚS</w:t>
      </w:r>
      <w:proofErr w:type="spellEnd"/>
      <w:r w:rsidRPr="00605EC8">
        <w:rPr>
          <w:rFonts w:ascii="Bookman Old Style" w:hAnsi="Bookman Old Style"/>
          <w:b/>
        </w:rPr>
        <w:t xml:space="preserve"> S.A</w:t>
      </w:r>
      <w:r w:rsidRPr="00605EC8">
        <w:rPr>
          <w:rFonts w:ascii="Bookman Old Style" w:hAnsi="Bookman Old Style"/>
        </w:rPr>
        <w:t xml:space="preserve">., </w:t>
      </w:r>
      <w:r w:rsidR="00125459" w:rsidRPr="00605EC8">
        <w:rPr>
          <w:rFonts w:ascii="Bookman Old Style" w:hAnsi="Bookman Old Style"/>
        </w:rPr>
        <w:t>Mediante escrito d</w:t>
      </w:r>
      <w:r w:rsidRPr="00605EC8">
        <w:rPr>
          <w:rFonts w:ascii="Bookman Old Style" w:hAnsi="Bookman Old Style"/>
        </w:rPr>
        <w:t xml:space="preserve">el 9 de noviembre de 2012, </w:t>
      </w:r>
      <w:r w:rsidR="00125459" w:rsidRPr="00605EC8">
        <w:rPr>
          <w:rFonts w:ascii="Bookman Old Style" w:hAnsi="Bookman Old Style"/>
        </w:rPr>
        <w:t xml:space="preserve">se opuso </w:t>
      </w:r>
      <w:r w:rsidRPr="00605EC8">
        <w:rPr>
          <w:rFonts w:ascii="Bookman Old Style" w:hAnsi="Bookman Old Style"/>
        </w:rPr>
        <w:t xml:space="preserve">a la totalidad de pretensiones, </w:t>
      </w:r>
      <w:r w:rsidR="00125459" w:rsidRPr="00605EC8">
        <w:rPr>
          <w:rFonts w:ascii="Bookman Old Style" w:hAnsi="Bookman Old Style"/>
        </w:rPr>
        <w:t xml:space="preserve">argumentando que </w:t>
      </w:r>
      <w:r w:rsidRPr="00605EC8">
        <w:rPr>
          <w:rFonts w:ascii="Bookman Old Style" w:hAnsi="Bookman Old Style"/>
        </w:rPr>
        <w:t xml:space="preserve">MEGAVIA 2004 fue un contratista independiente </w:t>
      </w:r>
      <w:r w:rsidR="00125459" w:rsidRPr="00605EC8">
        <w:rPr>
          <w:rFonts w:ascii="Bookman Old Style" w:hAnsi="Bookman Old Style"/>
        </w:rPr>
        <w:t xml:space="preserve">quien </w:t>
      </w:r>
      <w:r w:rsidRPr="00605EC8">
        <w:rPr>
          <w:rFonts w:ascii="Bookman Old Style" w:hAnsi="Bookman Old Style"/>
        </w:rPr>
        <w:t>contrat</w:t>
      </w:r>
      <w:r w:rsidR="00125459" w:rsidRPr="00605EC8">
        <w:rPr>
          <w:rFonts w:ascii="Bookman Old Style" w:hAnsi="Bookman Old Style"/>
        </w:rPr>
        <w:t>ó</w:t>
      </w:r>
      <w:r w:rsidRPr="00605EC8">
        <w:rPr>
          <w:rFonts w:ascii="Bookman Old Style" w:hAnsi="Bookman Old Style"/>
        </w:rPr>
        <w:t xml:space="preserve"> su personal de manera autónoma e independiente</w:t>
      </w:r>
      <w:r w:rsidR="00125459" w:rsidRPr="00605EC8">
        <w:rPr>
          <w:rFonts w:ascii="Bookman Old Style" w:hAnsi="Bookman Old Style"/>
        </w:rPr>
        <w:t xml:space="preserve">. Excepciona </w:t>
      </w:r>
      <w:r w:rsidRPr="00605EC8">
        <w:rPr>
          <w:rFonts w:ascii="Bookman Old Style" w:hAnsi="Bookman Old Style"/>
          <w:i/>
        </w:rPr>
        <w:t>prescripción</w:t>
      </w:r>
      <w:r w:rsidRPr="00605EC8">
        <w:rPr>
          <w:rFonts w:ascii="Bookman Old Style" w:hAnsi="Bookman Old Style"/>
        </w:rPr>
        <w:t xml:space="preserve"> </w:t>
      </w:r>
      <w:r w:rsidR="00426166" w:rsidRPr="00605EC8">
        <w:rPr>
          <w:rFonts w:ascii="Bookman Old Style" w:hAnsi="Bookman Old Style"/>
        </w:rPr>
        <w:t xml:space="preserve">y llamó en garantía a la Compañía Aseguradora Fianza Confianza S.A. </w:t>
      </w:r>
      <w:r w:rsidRPr="00605EC8">
        <w:rPr>
          <w:rFonts w:ascii="Bookman Old Style" w:hAnsi="Bookman Old Style"/>
        </w:rPr>
        <w:t>(</w:t>
      </w:r>
      <w:r w:rsidR="00125459" w:rsidRPr="00605EC8">
        <w:rPr>
          <w:rFonts w:ascii="Bookman Old Style" w:hAnsi="Bookman Old Style"/>
        </w:rPr>
        <w:t xml:space="preserve">Archivo </w:t>
      </w:r>
      <w:r w:rsidRPr="00605EC8">
        <w:rPr>
          <w:rFonts w:ascii="Bookman Old Style" w:hAnsi="Bookman Old Style"/>
        </w:rPr>
        <w:t>60).</w:t>
      </w:r>
    </w:p>
    <w:p w14:paraId="3C9E7FB0" w14:textId="27955403" w:rsidR="00745A74" w:rsidRPr="00605EC8" w:rsidRDefault="00745A74" w:rsidP="00605EC8">
      <w:pPr>
        <w:spacing w:line="276" w:lineRule="auto"/>
        <w:rPr>
          <w:rFonts w:ascii="Bookman Old Style" w:hAnsi="Bookman Old Style"/>
        </w:rPr>
      </w:pPr>
    </w:p>
    <w:p w14:paraId="23BB2786" w14:textId="08CB64CA" w:rsidR="00337739" w:rsidRPr="00605EC8" w:rsidRDefault="00337739" w:rsidP="00605EC8">
      <w:pPr>
        <w:spacing w:line="276" w:lineRule="auto"/>
        <w:ind w:firstLine="0"/>
        <w:rPr>
          <w:rFonts w:ascii="Bookman Old Style" w:hAnsi="Bookman Old Style"/>
        </w:rPr>
      </w:pPr>
      <w:r w:rsidRPr="00605EC8">
        <w:rPr>
          <w:rFonts w:ascii="Bookman Old Style" w:hAnsi="Bookman Old Style"/>
          <w:b/>
        </w:rPr>
        <w:t xml:space="preserve">LA COMPAÑÍA ASEGURADORA DE FINANZAS SA CONFIANZA </w:t>
      </w:r>
      <w:proofErr w:type="spellStart"/>
      <w:r w:rsidRPr="00605EC8">
        <w:rPr>
          <w:rFonts w:ascii="Bookman Old Style" w:hAnsi="Bookman Old Style"/>
          <w:b/>
        </w:rPr>
        <w:t>S.A</w:t>
      </w:r>
      <w:proofErr w:type="spellEnd"/>
      <w:r w:rsidRPr="00605EC8">
        <w:rPr>
          <w:rFonts w:ascii="Bookman Old Style" w:hAnsi="Bookman Old Style"/>
        </w:rPr>
        <w:t xml:space="preserve">, </w:t>
      </w:r>
      <w:r w:rsidR="005B366C" w:rsidRPr="00605EC8">
        <w:rPr>
          <w:rFonts w:ascii="Bookman Old Style" w:hAnsi="Bookman Old Style"/>
        </w:rPr>
        <w:t xml:space="preserve">se opuso a las pretensiones de la demanda y, frente al llamamiento indicó que la póliza constituida si bien </w:t>
      </w:r>
      <w:r w:rsidRPr="00605EC8">
        <w:rPr>
          <w:rFonts w:ascii="Bookman Old Style" w:hAnsi="Bookman Old Style"/>
        </w:rPr>
        <w:t xml:space="preserve">cubre el pago de salarios, prestaciones sociales </w:t>
      </w:r>
      <w:r w:rsidR="005B366C" w:rsidRPr="00605EC8">
        <w:rPr>
          <w:rFonts w:ascii="Bookman Old Style" w:hAnsi="Bookman Old Style"/>
        </w:rPr>
        <w:t xml:space="preserve">y la indemnización del </w:t>
      </w:r>
      <w:r w:rsidRPr="00605EC8">
        <w:rPr>
          <w:rFonts w:ascii="Bookman Old Style" w:hAnsi="Bookman Old Style"/>
        </w:rPr>
        <w:t xml:space="preserve">artículo 64 del </w:t>
      </w:r>
      <w:proofErr w:type="spellStart"/>
      <w:r w:rsidRPr="00605EC8">
        <w:rPr>
          <w:rFonts w:ascii="Bookman Old Style" w:hAnsi="Bookman Old Style"/>
        </w:rPr>
        <w:t>C.S.T</w:t>
      </w:r>
      <w:proofErr w:type="spellEnd"/>
      <w:r w:rsidRPr="00605EC8">
        <w:rPr>
          <w:rFonts w:ascii="Bookman Old Style" w:hAnsi="Bookman Old Style"/>
        </w:rPr>
        <w:t xml:space="preserve">., </w:t>
      </w:r>
      <w:r w:rsidR="005B366C" w:rsidRPr="00605EC8">
        <w:rPr>
          <w:rFonts w:ascii="Bookman Old Style" w:hAnsi="Bookman Old Style"/>
        </w:rPr>
        <w:t xml:space="preserve">no así la indemnización moratoria, por lo </w:t>
      </w:r>
      <w:r w:rsidR="007E61C0" w:rsidRPr="00605EC8">
        <w:rPr>
          <w:rFonts w:ascii="Bookman Old Style" w:hAnsi="Bookman Old Style"/>
        </w:rPr>
        <w:t>que,</w:t>
      </w:r>
      <w:r w:rsidR="005B366C" w:rsidRPr="00605EC8">
        <w:rPr>
          <w:rFonts w:ascii="Bookman Old Style" w:hAnsi="Bookman Old Style"/>
        </w:rPr>
        <w:t xml:space="preserve"> ante una </w:t>
      </w:r>
      <w:r w:rsidRPr="00605EC8">
        <w:rPr>
          <w:rFonts w:ascii="Bookman Old Style" w:hAnsi="Bookman Old Style"/>
        </w:rPr>
        <w:t xml:space="preserve">eventual condena, </w:t>
      </w:r>
      <w:r w:rsidR="005B366C" w:rsidRPr="00605EC8">
        <w:rPr>
          <w:rFonts w:ascii="Bookman Old Style" w:hAnsi="Bookman Old Style"/>
        </w:rPr>
        <w:t xml:space="preserve">se </w:t>
      </w:r>
      <w:r w:rsidRPr="00605EC8">
        <w:rPr>
          <w:rFonts w:ascii="Bookman Old Style" w:hAnsi="Bookman Old Style"/>
        </w:rPr>
        <w:t xml:space="preserve">deberá responder </w:t>
      </w:r>
      <w:r w:rsidR="005B366C" w:rsidRPr="00605EC8">
        <w:rPr>
          <w:rFonts w:ascii="Bookman Old Style" w:hAnsi="Bookman Old Style"/>
        </w:rPr>
        <w:t xml:space="preserve">según la </w:t>
      </w:r>
      <w:r w:rsidRPr="00605EC8">
        <w:rPr>
          <w:rFonts w:ascii="Bookman Old Style" w:hAnsi="Bookman Old Style"/>
        </w:rPr>
        <w:t xml:space="preserve">póliza suscrita. </w:t>
      </w:r>
      <w:r w:rsidR="007E61C0" w:rsidRPr="00605EC8">
        <w:rPr>
          <w:rFonts w:ascii="Bookman Old Style" w:hAnsi="Bookman Old Style"/>
        </w:rPr>
        <w:t xml:space="preserve">Excepciona: </w:t>
      </w:r>
      <w:r w:rsidR="007E61C0" w:rsidRPr="00605EC8">
        <w:rPr>
          <w:rFonts w:ascii="Bookman Old Style" w:hAnsi="Bookman Old Style"/>
          <w:i/>
        </w:rPr>
        <w:t xml:space="preserve">Prescripción de las acreencias laborales </w:t>
      </w:r>
      <w:r w:rsidR="005B366C" w:rsidRPr="00605EC8">
        <w:rPr>
          <w:rFonts w:ascii="Bookman Old Style" w:hAnsi="Bookman Old Style"/>
        </w:rPr>
        <w:t>(Archivo 75).</w:t>
      </w:r>
    </w:p>
    <w:p w14:paraId="53E99DE8" w14:textId="10926B97" w:rsidR="00745A74" w:rsidRPr="00605EC8" w:rsidRDefault="00745A74" w:rsidP="00605EC8">
      <w:pPr>
        <w:spacing w:line="276" w:lineRule="auto"/>
        <w:ind w:firstLine="0"/>
        <w:rPr>
          <w:rFonts w:ascii="Bookman Old Style" w:hAnsi="Bookman Old Style"/>
        </w:rPr>
      </w:pPr>
    </w:p>
    <w:p w14:paraId="29391493" w14:textId="2D436273" w:rsidR="007B4A32" w:rsidRPr="00605EC8" w:rsidRDefault="007B4A32" w:rsidP="00605EC8">
      <w:pPr>
        <w:spacing w:line="276" w:lineRule="auto"/>
        <w:ind w:firstLine="0"/>
        <w:rPr>
          <w:rFonts w:ascii="Bookman Old Style" w:hAnsi="Bookman Old Style"/>
          <w:i/>
        </w:rPr>
      </w:pPr>
      <w:r w:rsidRPr="00605EC8">
        <w:rPr>
          <w:rFonts w:ascii="Bookman Old Style" w:hAnsi="Bookman Old Style"/>
          <w:b/>
        </w:rPr>
        <w:t xml:space="preserve">MUNICIPIO DE PEREIRA. </w:t>
      </w:r>
      <w:r w:rsidRPr="00605EC8">
        <w:rPr>
          <w:rFonts w:ascii="Bookman Old Style" w:hAnsi="Bookman Old Style"/>
        </w:rPr>
        <w:t>Mediante escrito del 22 de febrero de 2011 se opuso a la solidaridad pretendida al considerar que el trabajador fue contratado por el Consorcio MEGAVIA 2004, último que fue contratado por MEGABUS S.A</w:t>
      </w:r>
      <w:r w:rsidR="00F35C97">
        <w:rPr>
          <w:rFonts w:ascii="Bookman Old Style" w:hAnsi="Bookman Old Style"/>
        </w:rPr>
        <w:t>.</w:t>
      </w:r>
      <w:r w:rsidRPr="00605EC8">
        <w:rPr>
          <w:rFonts w:ascii="Bookman Old Style" w:hAnsi="Bookman Old Style"/>
        </w:rPr>
        <w:t xml:space="preserve"> sin que el Municipio hubiere intervenido en la contratación entre las partes. Excepciona: </w:t>
      </w:r>
      <w:r w:rsidRPr="00605EC8">
        <w:rPr>
          <w:rFonts w:ascii="Bookman Old Style" w:hAnsi="Bookman Old Style"/>
          <w:i/>
        </w:rPr>
        <w:t>Falta de legitimación en la causa por pasiva (archivo 10).</w:t>
      </w:r>
    </w:p>
    <w:p w14:paraId="5C364670" w14:textId="77777777" w:rsidR="007B4A32" w:rsidRPr="00605EC8" w:rsidRDefault="007B4A32" w:rsidP="00605EC8">
      <w:pPr>
        <w:spacing w:line="276" w:lineRule="auto"/>
        <w:ind w:firstLine="0"/>
        <w:rPr>
          <w:rFonts w:ascii="Bookman Old Style" w:hAnsi="Bookman Old Style"/>
        </w:rPr>
      </w:pPr>
    </w:p>
    <w:p w14:paraId="7FA48066" w14:textId="77777777" w:rsidR="00A334ED" w:rsidRPr="00605EC8" w:rsidRDefault="00A334ED" w:rsidP="00605EC8">
      <w:pPr>
        <w:spacing w:line="276" w:lineRule="auto"/>
        <w:ind w:firstLine="0"/>
        <w:jc w:val="center"/>
        <w:rPr>
          <w:rFonts w:ascii="Bookman Old Style" w:hAnsi="Bookman Old Style" w:cs="Arial"/>
          <w:b/>
        </w:rPr>
      </w:pPr>
      <w:r w:rsidRPr="00605EC8">
        <w:rPr>
          <w:rFonts w:ascii="Bookman Old Style" w:hAnsi="Bookman Old Style" w:cs="Arial"/>
          <w:b/>
        </w:rPr>
        <w:t>SENTENCIA DE PRIMERA INSTANCIA</w:t>
      </w:r>
    </w:p>
    <w:p w14:paraId="64DED5FE" w14:textId="77777777" w:rsidR="00A334ED" w:rsidRPr="00605EC8" w:rsidRDefault="00A334ED" w:rsidP="00605EC8">
      <w:pPr>
        <w:spacing w:line="276" w:lineRule="auto"/>
        <w:rPr>
          <w:rFonts w:ascii="Bookman Old Style" w:hAnsi="Bookman Old Style" w:cs="Arial"/>
        </w:rPr>
      </w:pPr>
    </w:p>
    <w:p w14:paraId="53C464BD" w14:textId="005C5777" w:rsidR="00324815" w:rsidRPr="00605EC8" w:rsidRDefault="00A334ED" w:rsidP="00605EC8">
      <w:pPr>
        <w:spacing w:line="276" w:lineRule="auto"/>
        <w:ind w:firstLine="0"/>
        <w:rPr>
          <w:rFonts w:ascii="Bookman Old Style" w:hAnsi="Bookman Old Style" w:cs="Arial"/>
        </w:rPr>
      </w:pPr>
      <w:r w:rsidRPr="00605EC8">
        <w:rPr>
          <w:rFonts w:ascii="Bookman Old Style" w:hAnsi="Bookman Old Style" w:cs="Arial"/>
        </w:rPr>
        <w:t xml:space="preserve">Mediante decisión del </w:t>
      </w:r>
      <w:r w:rsidR="00A74904" w:rsidRPr="00605EC8">
        <w:rPr>
          <w:rFonts w:ascii="Bookman Old Style" w:hAnsi="Bookman Old Style" w:cs="Arial"/>
          <w:noProof/>
        </w:rPr>
        <w:t>6 de diciembre de 2022</w:t>
      </w:r>
      <w:r w:rsidRPr="00605EC8">
        <w:rPr>
          <w:rFonts w:ascii="Bookman Old Style" w:hAnsi="Bookman Old Style" w:cs="Arial"/>
        </w:rPr>
        <w:t xml:space="preserve">, </w:t>
      </w:r>
      <w:r w:rsidR="00324815" w:rsidRPr="00605EC8">
        <w:rPr>
          <w:rFonts w:ascii="Bookman Old Style" w:hAnsi="Bookman Old Style" w:cs="Arial"/>
        </w:rPr>
        <w:t xml:space="preserve">la Jueza </w:t>
      </w:r>
      <w:r w:rsidR="00A74904" w:rsidRPr="00605EC8">
        <w:rPr>
          <w:rFonts w:ascii="Bookman Old Style" w:hAnsi="Bookman Old Style" w:cs="Arial"/>
          <w:noProof/>
        </w:rPr>
        <w:t xml:space="preserve">Tercera </w:t>
      </w:r>
      <w:r w:rsidR="00324815" w:rsidRPr="00605EC8">
        <w:rPr>
          <w:rFonts w:ascii="Bookman Old Style" w:hAnsi="Bookman Old Style" w:cs="Arial"/>
          <w:noProof/>
        </w:rPr>
        <w:t>Laboral Del Circuito</w:t>
      </w:r>
      <w:r w:rsidR="00324815" w:rsidRPr="00605EC8">
        <w:rPr>
          <w:rFonts w:ascii="Bookman Old Style" w:hAnsi="Bookman Old Style" w:cs="Arial"/>
        </w:rPr>
        <w:t xml:space="preserve"> </w:t>
      </w:r>
      <w:r w:rsidRPr="00605EC8">
        <w:rPr>
          <w:rFonts w:ascii="Bookman Old Style" w:hAnsi="Bookman Old Style" w:cs="Arial"/>
        </w:rPr>
        <w:t xml:space="preserve">de Pereira dispuso: </w:t>
      </w:r>
    </w:p>
    <w:p w14:paraId="2753292B" w14:textId="77777777" w:rsidR="001656D8" w:rsidRPr="00605EC8" w:rsidRDefault="001656D8" w:rsidP="00605EC8">
      <w:pPr>
        <w:spacing w:line="276" w:lineRule="auto"/>
        <w:ind w:right="1469" w:firstLine="0"/>
        <w:rPr>
          <w:rFonts w:ascii="Bookman Old Style" w:hAnsi="Bookman Old Style" w:cs="Arial"/>
          <w:iCs/>
        </w:rPr>
      </w:pPr>
    </w:p>
    <w:p w14:paraId="1538E74D" w14:textId="66A12443" w:rsidR="00D01986" w:rsidRPr="00F35C97" w:rsidRDefault="004A79A5" w:rsidP="00F35C97">
      <w:pPr>
        <w:spacing w:line="240" w:lineRule="auto"/>
        <w:ind w:left="426" w:right="420" w:firstLine="0"/>
        <w:rPr>
          <w:rFonts w:ascii="Bookman Old Style" w:hAnsi="Bookman Old Style" w:cs="Arial"/>
          <w:iCs/>
          <w:sz w:val="22"/>
          <w:szCs w:val="22"/>
        </w:rPr>
      </w:pPr>
      <w:r>
        <w:rPr>
          <w:rFonts w:ascii="Bookman Old Style" w:hAnsi="Bookman Old Style" w:cs="Arial"/>
          <w:iCs/>
          <w:sz w:val="22"/>
          <w:szCs w:val="22"/>
        </w:rPr>
        <w:t>“</w:t>
      </w:r>
      <w:r w:rsidR="00D01986" w:rsidRPr="00F35C97">
        <w:rPr>
          <w:rFonts w:ascii="Bookman Old Style" w:hAnsi="Bookman Old Style" w:cs="Arial"/>
          <w:iCs/>
          <w:sz w:val="22"/>
          <w:szCs w:val="22"/>
        </w:rPr>
        <w:t xml:space="preserve">PRIMERO: DECLARAR que entre los señores HERNANDO GRANADA </w:t>
      </w:r>
      <w:r w:rsidR="00F35C97" w:rsidRPr="00F35C97">
        <w:rPr>
          <w:rFonts w:ascii="Bookman Old Style" w:hAnsi="Bookman Old Style" w:cs="Arial"/>
          <w:iCs/>
          <w:sz w:val="22"/>
          <w:szCs w:val="22"/>
        </w:rPr>
        <w:t>GÓMEZ</w:t>
      </w:r>
      <w:r w:rsidR="00D01986" w:rsidRPr="00F35C97">
        <w:rPr>
          <w:rFonts w:ascii="Bookman Old Style" w:hAnsi="Bookman Old Style" w:cs="Arial"/>
          <w:iCs/>
          <w:sz w:val="22"/>
          <w:szCs w:val="22"/>
        </w:rPr>
        <w:t xml:space="preserve">, CESAR BAENA GARCÍA y CIVAL CONSTRUCTORES LTDA., en su condición de empleador, y el señor </w:t>
      </w:r>
      <w:r w:rsidR="00F35C97" w:rsidRPr="00F35C97">
        <w:rPr>
          <w:rFonts w:ascii="Bookman Old Style" w:hAnsi="Bookman Old Style" w:cs="Arial"/>
          <w:iCs/>
          <w:sz w:val="22"/>
          <w:szCs w:val="22"/>
        </w:rPr>
        <w:t>JULIÁN</w:t>
      </w:r>
      <w:r w:rsidR="00D01986" w:rsidRPr="00F35C97">
        <w:rPr>
          <w:rFonts w:ascii="Bookman Old Style" w:hAnsi="Bookman Old Style" w:cs="Arial"/>
          <w:iCs/>
          <w:sz w:val="22"/>
          <w:szCs w:val="22"/>
        </w:rPr>
        <w:t xml:space="preserve"> ALBERTO RUIZ en su condición de trabajador,</w:t>
      </w:r>
      <w:r w:rsidR="00574476" w:rsidRPr="00F35C97">
        <w:rPr>
          <w:rFonts w:ascii="Bookman Old Style" w:hAnsi="Bookman Old Style" w:cs="Arial"/>
          <w:iCs/>
          <w:sz w:val="22"/>
          <w:szCs w:val="22"/>
        </w:rPr>
        <w:t xml:space="preserve"> </w:t>
      </w:r>
      <w:r w:rsidR="00D01986" w:rsidRPr="00F35C97">
        <w:rPr>
          <w:rFonts w:ascii="Bookman Old Style" w:hAnsi="Bookman Old Style" w:cs="Arial"/>
          <w:iCs/>
          <w:sz w:val="22"/>
          <w:szCs w:val="22"/>
        </w:rPr>
        <w:t>existió un contrato de trabajo verbal que se suscitó entre el 14 de septiembre de 2004 y el 06 de marzo de 2005.</w:t>
      </w:r>
    </w:p>
    <w:p w14:paraId="0F189C06" w14:textId="77777777" w:rsidR="00574476" w:rsidRPr="00F35C97" w:rsidRDefault="00574476" w:rsidP="00F35C97">
      <w:pPr>
        <w:spacing w:line="240" w:lineRule="auto"/>
        <w:ind w:left="426" w:right="420" w:firstLine="0"/>
        <w:rPr>
          <w:rFonts w:ascii="Bookman Old Style" w:hAnsi="Bookman Old Style" w:cs="Arial"/>
          <w:iCs/>
          <w:sz w:val="22"/>
          <w:szCs w:val="22"/>
        </w:rPr>
      </w:pPr>
    </w:p>
    <w:p w14:paraId="5D4D6C72" w14:textId="01F5E0E6" w:rsidR="00D01986" w:rsidRPr="00F35C97" w:rsidRDefault="00D01986" w:rsidP="00F35C97">
      <w:pPr>
        <w:spacing w:line="240" w:lineRule="auto"/>
        <w:ind w:left="426" w:right="420" w:firstLine="0"/>
        <w:rPr>
          <w:rFonts w:ascii="Bookman Old Style" w:hAnsi="Bookman Old Style" w:cs="Arial"/>
          <w:iCs/>
          <w:sz w:val="22"/>
          <w:szCs w:val="22"/>
        </w:rPr>
      </w:pPr>
      <w:r w:rsidRPr="00F35C97">
        <w:rPr>
          <w:rFonts w:ascii="Bookman Old Style" w:hAnsi="Bookman Old Style" w:cs="Arial"/>
          <w:iCs/>
          <w:sz w:val="22"/>
          <w:szCs w:val="22"/>
        </w:rPr>
        <w:t>SEGUNDO: DECLARAR que MEGABUS S.A</w:t>
      </w:r>
      <w:r w:rsidR="00F35C97">
        <w:rPr>
          <w:rFonts w:ascii="Bookman Old Style" w:hAnsi="Bookman Old Style" w:cs="Arial"/>
          <w:iCs/>
          <w:sz w:val="22"/>
          <w:szCs w:val="22"/>
        </w:rPr>
        <w:t>.</w:t>
      </w:r>
      <w:r w:rsidRPr="00F35C97">
        <w:rPr>
          <w:rFonts w:ascii="Bookman Old Style" w:hAnsi="Bookman Old Style" w:cs="Arial"/>
          <w:iCs/>
          <w:sz w:val="22"/>
          <w:szCs w:val="22"/>
        </w:rPr>
        <w:t xml:space="preserve">, en su condición de beneficiario del contrato de obra N° 02 de 2004, suscrito con el Consocio MEGAVIA 2004, es solidariamente responsable de las acreencias laborales a que tiene derecho el demandante </w:t>
      </w:r>
      <w:r w:rsidR="00F35C97" w:rsidRPr="00F35C97">
        <w:rPr>
          <w:rFonts w:ascii="Bookman Old Style" w:hAnsi="Bookman Old Style" w:cs="Arial"/>
          <w:iCs/>
          <w:sz w:val="22"/>
          <w:szCs w:val="22"/>
        </w:rPr>
        <w:t>JULIÁN</w:t>
      </w:r>
      <w:r w:rsidRPr="00F35C97">
        <w:rPr>
          <w:rFonts w:ascii="Bookman Old Style" w:hAnsi="Bookman Old Style" w:cs="Arial"/>
          <w:iCs/>
          <w:sz w:val="22"/>
          <w:szCs w:val="22"/>
        </w:rPr>
        <w:t xml:space="preserve"> ALBERTO RUIZ, conforme a lo dicho en la parte motiva.</w:t>
      </w:r>
    </w:p>
    <w:p w14:paraId="6918B5A3" w14:textId="77777777" w:rsidR="00574476" w:rsidRPr="00F35C97" w:rsidRDefault="00574476" w:rsidP="00F35C97">
      <w:pPr>
        <w:spacing w:line="240" w:lineRule="auto"/>
        <w:ind w:left="426" w:right="420" w:firstLine="0"/>
        <w:rPr>
          <w:rFonts w:ascii="Bookman Old Style" w:hAnsi="Bookman Old Style" w:cs="Arial"/>
          <w:iCs/>
          <w:sz w:val="22"/>
          <w:szCs w:val="22"/>
        </w:rPr>
      </w:pPr>
    </w:p>
    <w:p w14:paraId="1EAD3F48" w14:textId="6CAF5C8B" w:rsidR="00D01986" w:rsidRPr="00F35C97" w:rsidRDefault="00D01986" w:rsidP="00F35C97">
      <w:pPr>
        <w:spacing w:line="240" w:lineRule="auto"/>
        <w:ind w:left="426" w:right="420" w:firstLine="0"/>
        <w:rPr>
          <w:rFonts w:ascii="Bookman Old Style" w:hAnsi="Bookman Old Style" w:cs="Arial"/>
          <w:iCs/>
          <w:sz w:val="22"/>
          <w:szCs w:val="22"/>
        </w:rPr>
      </w:pPr>
      <w:r w:rsidRPr="00F35C97">
        <w:rPr>
          <w:rFonts w:ascii="Bookman Old Style" w:hAnsi="Bookman Old Style" w:cs="Arial"/>
          <w:iCs/>
          <w:sz w:val="22"/>
          <w:szCs w:val="22"/>
        </w:rPr>
        <w:t xml:space="preserve">TERCERO: DECLARAR parcialmente probada la excepción de PRESCRIPCIÓN, propuesta por los demandados HERNANDO GRANADA </w:t>
      </w:r>
      <w:r w:rsidR="00F35C97" w:rsidRPr="00F35C97">
        <w:rPr>
          <w:rFonts w:ascii="Bookman Old Style" w:hAnsi="Bookman Old Style" w:cs="Arial"/>
          <w:iCs/>
          <w:sz w:val="22"/>
          <w:szCs w:val="22"/>
        </w:rPr>
        <w:t>GÓMEZ</w:t>
      </w:r>
      <w:r w:rsidRPr="00F35C97">
        <w:rPr>
          <w:rFonts w:ascii="Bookman Old Style" w:hAnsi="Bookman Old Style" w:cs="Arial"/>
          <w:iCs/>
          <w:sz w:val="22"/>
          <w:szCs w:val="22"/>
        </w:rPr>
        <w:t>, CESAR BAENA GARCÍA y CIVAL CONSTRUCTORES LTDA., y MEGABUS S.A., conforme a lo dicho en la parte motiva, la de no cobertura de indemnizaciones moratorias</w:t>
      </w:r>
      <w:r w:rsidR="00574476" w:rsidRPr="00F35C97">
        <w:rPr>
          <w:rFonts w:ascii="Bookman Old Style" w:hAnsi="Bookman Old Style" w:cs="Arial"/>
          <w:iCs/>
          <w:sz w:val="22"/>
          <w:szCs w:val="22"/>
        </w:rPr>
        <w:t xml:space="preserve"> </w:t>
      </w:r>
      <w:r w:rsidRPr="00F35C97">
        <w:rPr>
          <w:rFonts w:ascii="Bookman Old Style" w:hAnsi="Bookman Old Style" w:cs="Arial"/>
          <w:iCs/>
          <w:sz w:val="22"/>
          <w:szCs w:val="22"/>
        </w:rPr>
        <w:t>propuesta por la llamada en garantía y la de falta de legitimación en la causa propuesta por el Municipio de Pereira.</w:t>
      </w:r>
    </w:p>
    <w:p w14:paraId="2C9C2E27" w14:textId="77777777" w:rsidR="00574476" w:rsidRPr="00F35C97" w:rsidRDefault="00574476" w:rsidP="00F35C97">
      <w:pPr>
        <w:spacing w:line="240" w:lineRule="auto"/>
        <w:ind w:left="426" w:right="420" w:firstLine="0"/>
        <w:rPr>
          <w:rFonts w:ascii="Bookman Old Style" w:hAnsi="Bookman Old Style" w:cs="Arial"/>
          <w:iCs/>
          <w:sz w:val="22"/>
          <w:szCs w:val="22"/>
        </w:rPr>
      </w:pPr>
    </w:p>
    <w:p w14:paraId="067C07D4" w14:textId="50C186E9" w:rsidR="00D01986" w:rsidRPr="00F35C97" w:rsidRDefault="00D01986" w:rsidP="00F35C97">
      <w:pPr>
        <w:spacing w:line="240" w:lineRule="auto"/>
        <w:ind w:left="426" w:right="420" w:firstLine="0"/>
        <w:rPr>
          <w:rFonts w:ascii="Bookman Old Style" w:hAnsi="Bookman Old Style" w:cs="Arial"/>
          <w:iCs/>
          <w:sz w:val="22"/>
          <w:szCs w:val="22"/>
        </w:rPr>
      </w:pPr>
      <w:r w:rsidRPr="00F35C97">
        <w:rPr>
          <w:rFonts w:ascii="Bookman Old Style" w:hAnsi="Bookman Old Style" w:cs="Arial"/>
          <w:iCs/>
          <w:sz w:val="22"/>
          <w:szCs w:val="22"/>
        </w:rPr>
        <w:t xml:space="preserve">CUARTO: CONDENAR a los señores HERNANDO GRANADA </w:t>
      </w:r>
      <w:r w:rsidR="00F35C97" w:rsidRPr="00F35C97">
        <w:rPr>
          <w:rFonts w:ascii="Bookman Old Style" w:hAnsi="Bookman Old Style" w:cs="Arial"/>
          <w:iCs/>
          <w:sz w:val="22"/>
          <w:szCs w:val="22"/>
        </w:rPr>
        <w:t>GÓMEZ</w:t>
      </w:r>
      <w:r w:rsidRPr="00F35C97">
        <w:rPr>
          <w:rFonts w:ascii="Bookman Old Style" w:hAnsi="Bookman Old Style" w:cs="Arial"/>
          <w:iCs/>
          <w:sz w:val="22"/>
          <w:szCs w:val="22"/>
        </w:rPr>
        <w:t xml:space="preserve">, CESAR BAENA GARCÍA y la Sociedad CIVAL CONSTRUCTORES </w:t>
      </w:r>
      <w:r w:rsidR="00F35C97" w:rsidRPr="00F35C97">
        <w:rPr>
          <w:rFonts w:ascii="Bookman Old Style" w:hAnsi="Bookman Old Style" w:cs="Arial"/>
          <w:iCs/>
          <w:sz w:val="22"/>
          <w:szCs w:val="22"/>
        </w:rPr>
        <w:t>LTDA.</w:t>
      </w:r>
      <w:r w:rsidRPr="00F35C97">
        <w:rPr>
          <w:rFonts w:ascii="Bookman Old Style" w:hAnsi="Bookman Old Style" w:cs="Arial"/>
          <w:iCs/>
          <w:sz w:val="22"/>
          <w:szCs w:val="22"/>
        </w:rPr>
        <w:t xml:space="preserve"> y en forma solidaria a MEGABUS S.A., a cancelar a favor del demandante </w:t>
      </w:r>
      <w:r w:rsidR="00F35C97" w:rsidRPr="00F35C97">
        <w:rPr>
          <w:rFonts w:ascii="Bookman Old Style" w:hAnsi="Bookman Old Style" w:cs="Arial"/>
          <w:iCs/>
          <w:sz w:val="22"/>
          <w:szCs w:val="22"/>
        </w:rPr>
        <w:t>JULIÁN</w:t>
      </w:r>
      <w:r w:rsidRPr="00F35C97">
        <w:rPr>
          <w:rFonts w:ascii="Bookman Old Style" w:hAnsi="Bookman Old Style" w:cs="Arial"/>
          <w:iCs/>
          <w:sz w:val="22"/>
          <w:szCs w:val="22"/>
        </w:rPr>
        <w:t xml:space="preserve"> ALBERTO RUIZ, los aportes a seguridad social en pensiones adeudados, esto es por 16 días del mes de septiembre, 22 días para el mes de octubre, 30 días para los meses de noviembre, y diciembre de 2004 respectivamente y por 30 días del mes de enero, 22 días restantes del mes de febrero y 6 días del mes de marzo de 2005 los que se deben hacer con un ingreso base de cotización del salario mínimo mensual vigente</w:t>
      </w:r>
      <w:r w:rsidR="00574476" w:rsidRPr="00F35C97">
        <w:rPr>
          <w:rFonts w:ascii="Bookman Old Style" w:hAnsi="Bookman Old Style" w:cs="Arial"/>
          <w:iCs/>
          <w:sz w:val="22"/>
          <w:szCs w:val="22"/>
        </w:rPr>
        <w:t xml:space="preserve"> </w:t>
      </w:r>
      <w:r w:rsidRPr="00F35C97">
        <w:rPr>
          <w:rFonts w:ascii="Bookman Old Style" w:hAnsi="Bookman Old Style" w:cs="Arial"/>
          <w:iCs/>
          <w:sz w:val="22"/>
          <w:szCs w:val="22"/>
        </w:rPr>
        <w:t>para la época, con los respectivos intereses moratorios y rendimientos financieros y ante la Administradora de Pensiones PROTECCIÓN S.A</w:t>
      </w:r>
      <w:r w:rsidR="00F35C97">
        <w:rPr>
          <w:rFonts w:ascii="Bookman Old Style" w:hAnsi="Bookman Old Style" w:cs="Arial"/>
          <w:iCs/>
          <w:sz w:val="22"/>
          <w:szCs w:val="22"/>
        </w:rPr>
        <w:t>.</w:t>
      </w:r>
      <w:r w:rsidRPr="00F35C97">
        <w:rPr>
          <w:rFonts w:ascii="Bookman Old Style" w:hAnsi="Bookman Old Style" w:cs="Arial"/>
          <w:iCs/>
          <w:sz w:val="22"/>
          <w:szCs w:val="22"/>
        </w:rPr>
        <w:t>, para lo cual queda a cargo de los empleadores la obligación de solicitar el cálculo actuarial, necesario para el pago.</w:t>
      </w:r>
    </w:p>
    <w:p w14:paraId="5C0A84A3" w14:textId="77777777" w:rsidR="00574476" w:rsidRPr="00F35C97" w:rsidRDefault="00574476" w:rsidP="00F35C97">
      <w:pPr>
        <w:spacing w:line="240" w:lineRule="auto"/>
        <w:ind w:left="426" w:right="420" w:firstLine="0"/>
        <w:rPr>
          <w:rFonts w:ascii="Bookman Old Style" w:hAnsi="Bookman Old Style" w:cs="Arial"/>
          <w:iCs/>
          <w:sz w:val="22"/>
          <w:szCs w:val="22"/>
        </w:rPr>
      </w:pPr>
    </w:p>
    <w:p w14:paraId="750F954B" w14:textId="2B616AB2" w:rsidR="00D01986" w:rsidRPr="00F35C97" w:rsidRDefault="00D01986" w:rsidP="00F35C97">
      <w:pPr>
        <w:spacing w:line="240" w:lineRule="auto"/>
        <w:ind w:left="426" w:right="420" w:firstLine="0"/>
        <w:rPr>
          <w:rFonts w:ascii="Bookman Old Style" w:hAnsi="Bookman Old Style" w:cs="Arial"/>
          <w:iCs/>
          <w:sz w:val="22"/>
          <w:szCs w:val="22"/>
        </w:rPr>
      </w:pPr>
      <w:r w:rsidRPr="00F35C97">
        <w:rPr>
          <w:rFonts w:ascii="Bookman Old Style" w:hAnsi="Bookman Old Style" w:cs="Arial"/>
          <w:iCs/>
          <w:sz w:val="22"/>
          <w:szCs w:val="22"/>
        </w:rPr>
        <w:t>QUINTO: CONDENAR a la llamada en garantía COMPAÑÍA ASEGURADORA DE FIANZAS S.A. CONFIANZA a responder frente a la beneficiaria aquí condenada MEGABUS SA, por los valores que deba cancelar a favor del demandante, hasta por</w:t>
      </w:r>
      <w:r w:rsidR="00574476" w:rsidRPr="00F35C97">
        <w:rPr>
          <w:rFonts w:ascii="Bookman Old Style" w:hAnsi="Bookman Old Style" w:cs="Arial"/>
          <w:iCs/>
          <w:sz w:val="22"/>
          <w:szCs w:val="22"/>
        </w:rPr>
        <w:t xml:space="preserve"> </w:t>
      </w:r>
      <w:r w:rsidRPr="00F35C97">
        <w:rPr>
          <w:rFonts w:ascii="Bookman Old Style" w:hAnsi="Bookman Old Style" w:cs="Arial"/>
          <w:iCs/>
          <w:sz w:val="22"/>
          <w:szCs w:val="22"/>
        </w:rPr>
        <w:t>los montos amparados en la póliza No.</w:t>
      </w:r>
      <w:r w:rsidR="00F35C97">
        <w:rPr>
          <w:rFonts w:ascii="Bookman Old Style" w:hAnsi="Bookman Old Style" w:cs="Arial"/>
          <w:iCs/>
          <w:sz w:val="22"/>
          <w:szCs w:val="22"/>
        </w:rPr>
        <w:t xml:space="preserve"> </w:t>
      </w:r>
      <w:r w:rsidRPr="00F35C97">
        <w:rPr>
          <w:rFonts w:ascii="Bookman Old Style" w:hAnsi="Bookman Old Style" w:cs="Arial"/>
          <w:iCs/>
          <w:sz w:val="22"/>
          <w:szCs w:val="22"/>
        </w:rPr>
        <w:t>16-GU-001441 del 13 de agosto de 2004.</w:t>
      </w:r>
    </w:p>
    <w:p w14:paraId="0CB96876" w14:textId="77777777" w:rsidR="00574476" w:rsidRPr="00F35C97" w:rsidRDefault="00574476" w:rsidP="00F35C97">
      <w:pPr>
        <w:spacing w:line="240" w:lineRule="auto"/>
        <w:ind w:left="426" w:right="420" w:firstLine="0"/>
        <w:rPr>
          <w:rFonts w:ascii="Bookman Old Style" w:hAnsi="Bookman Old Style" w:cs="Arial"/>
          <w:iCs/>
          <w:sz w:val="22"/>
          <w:szCs w:val="22"/>
        </w:rPr>
      </w:pPr>
    </w:p>
    <w:p w14:paraId="14F33F9D" w14:textId="5B841F35" w:rsidR="00D01986" w:rsidRPr="00F35C97" w:rsidRDefault="00D01986" w:rsidP="00F35C97">
      <w:pPr>
        <w:spacing w:line="240" w:lineRule="auto"/>
        <w:ind w:left="426" w:right="420" w:firstLine="0"/>
        <w:rPr>
          <w:rFonts w:ascii="Bookman Old Style" w:hAnsi="Bookman Old Style" w:cs="Arial"/>
          <w:iCs/>
          <w:sz w:val="22"/>
          <w:szCs w:val="22"/>
        </w:rPr>
      </w:pPr>
      <w:r w:rsidRPr="00F35C97">
        <w:rPr>
          <w:rFonts w:ascii="Bookman Old Style" w:hAnsi="Bookman Old Style" w:cs="Arial"/>
          <w:iCs/>
          <w:sz w:val="22"/>
          <w:szCs w:val="22"/>
        </w:rPr>
        <w:t xml:space="preserve">SEXTO: ABSOLVER al Municipio de Pereira de las pretensiones formuladas en su contra por el señor </w:t>
      </w:r>
      <w:r w:rsidR="00F35C97" w:rsidRPr="00F35C97">
        <w:rPr>
          <w:rFonts w:ascii="Bookman Old Style" w:hAnsi="Bookman Old Style" w:cs="Arial"/>
          <w:iCs/>
          <w:sz w:val="22"/>
          <w:szCs w:val="22"/>
        </w:rPr>
        <w:t>JULIÁN</w:t>
      </w:r>
      <w:r w:rsidRPr="00F35C97">
        <w:rPr>
          <w:rFonts w:ascii="Bookman Old Style" w:hAnsi="Bookman Old Style" w:cs="Arial"/>
          <w:iCs/>
          <w:sz w:val="22"/>
          <w:szCs w:val="22"/>
        </w:rPr>
        <w:t xml:space="preserve"> ALBERTO RUIZ, de conformidad con lo dicho en la parte motiva.</w:t>
      </w:r>
    </w:p>
    <w:p w14:paraId="7ABD0A78" w14:textId="77777777" w:rsidR="00574476" w:rsidRPr="00F35C97" w:rsidRDefault="00574476" w:rsidP="00F35C97">
      <w:pPr>
        <w:spacing w:line="240" w:lineRule="auto"/>
        <w:ind w:left="426" w:right="420" w:firstLine="0"/>
        <w:rPr>
          <w:rFonts w:ascii="Bookman Old Style" w:hAnsi="Bookman Old Style" w:cs="Arial"/>
          <w:iCs/>
          <w:sz w:val="22"/>
          <w:szCs w:val="22"/>
        </w:rPr>
      </w:pPr>
    </w:p>
    <w:p w14:paraId="52DC2F1E" w14:textId="12984FC4" w:rsidR="00D01986" w:rsidRPr="00F35C97" w:rsidRDefault="00F35C97" w:rsidP="00F35C97">
      <w:pPr>
        <w:spacing w:line="240" w:lineRule="auto"/>
        <w:ind w:left="426" w:right="420" w:firstLine="0"/>
        <w:rPr>
          <w:rFonts w:ascii="Bookman Old Style" w:hAnsi="Bookman Old Style" w:cs="Arial"/>
          <w:iCs/>
          <w:sz w:val="22"/>
          <w:szCs w:val="22"/>
        </w:rPr>
      </w:pPr>
      <w:r w:rsidRPr="00F35C97">
        <w:rPr>
          <w:rFonts w:ascii="Bookman Old Style" w:hAnsi="Bookman Old Style" w:cs="Arial"/>
          <w:iCs/>
          <w:sz w:val="22"/>
          <w:szCs w:val="22"/>
        </w:rPr>
        <w:t>SÉPTIMO</w:t>
      </w:r>
      <w:r w:rsidR="00D01986" w:rsidRPr="00F35C97">
        <w:rPr>
          <w:rFonts w:ascii="Bookman Old Style" w:hAnsi="Bookman Old Style" w:cs="Arial"/>
          <w:iCs/>
          <w:sz w:val="22"/>
          <w:szCs w:val="22"/>
        </w:rPr>
        <w:t>: NEGAR las demás pretensiones de la demanda.</w:t>
      </w:r>
    </w:p>
    <w:p w14:paraId="7119287A" w14:textId="77777777" w:rsidR="00574476" w:rsidRPr="00F35C97" w:rsidRDefault="00574476" w:rsidP="00F35C97">
      <w:pPr>
        <w:spacing w:line="240" w:lineRule="auto"/>
        <w:ind w:left="426" w:right="420" w:firstLine="0"/>
        <w:rPr>
          <w:rFonts w:ascii="Bookman Old Style" w:hAnsi="Bookman Old Style" w:cs="Arial"/>
          <w:iCs/>
          <w:sz w:val="22"/>
          <w:szCs w:val="22"/>
        </w:rPr>
      </w:pPr>
    </w:p>
    <w:p w14:paraId="00B8E64D" w14:textId="5106A52F" w:rsidR="00D01986" w:rsidRPr="00F35C97" w:rsidRDefault="00D01986" w:rsidP="00F35C97">
      <w:pPr>
        <w:spacing w:line="240" w:lineRule="auto"/>
        <w:ind w:left="426" w:right="420" w:firstLine="0"/>
        <w:rPr>
          <w:rFonts w:ascii="Bookman Old Style" w:hAnsi="Bookman Old Style" w:cs="Arial"/>
          <w:iCs/>
          <w:sz w:val="22"/>
          <w:szCs w:val="22"/>
        </w:rPr>
      </w:pPr>
      <w:r w:rsidRPr="00F35C97">
        <w:rPr>
          <w:rFonts w:ascii="Bookman Old Style" w:hAnsi="Bookman Old Style" w:cs="Arial"/>
          <w:iCs/>
          <w:sz w:val="22"/>
          <w:szCs w:val="22"/>
        </w:rPr>
        <w:t xml:space="preserve">OCTAVO: CONDENAR los demandados HERNANDO GRANADA </w:t>
      </w:r>
      <w:r w:rsidR="00F35C97" w:rsidRPr="00F35C97">
        <w:rPr>
          <w:rFonts w:ascii="Bookman Old Style" w:hAnsi="Bookman Old Style" w:cs="Arial"/>
          <w:iCs/>
          <w:sz w:val="22"/>
          <w:szCs w:val="22"/>
        </w:rPr>
        <w:t>GÓMEZ</w:t>
      </w:r>
      <w:r w:rsidRPr="00F35C97">
        <w:rPr>
          <w:rFonts w:ascii="Bookman Old Style" w:hAnsi="Bookman Old Style" w:cs="Arial"/>
          <w:iCs/>
          <w:sz w:val="22"/>
          <w:szCs w:val="22"/>
        </w:rPr>
        <w:t xml:space="preserve">, CESAR BAENA GARCÍA, CIVAL CONSTRUCTORES </w:t>
      </w:r>
      <w:r w:rsidR="00F35C97" w:rsidRPr="00F35C97">
        <w:rPr>
          <w:rFonts w:ascii="Bookman Old Style" w:hAnsi="Bookman Old Style" w:cs="Arial"/>
          <w:iCs/>
          <w:sz w:val="22"/>
          <w:szCs w:val="22"/>
        </w:rPr>
        <w:t>LTDA.</w:t>
      </w:r>
      <w:r w:rsidRPr="00F35C97">
        <w:rPr>
          <w:rFonts w:ascii="Bookman Old Style" w:hAnsi="Bookman Old Style" w:cs="Arial"/>
          <w:iCs/>
          <w:sz w:val="22"/>
          <w:szCs w:val="22"/>
        </w:rPr>
        <w:t xml:space="preserve"> y MEGABUS S.A., a cancelar las costas procesales en un porcentaje del 20% a favor de la demandante, teniendo en cuenta la prosperidad parcial de sus peticiones, las que se liquidaran en la</w:t>
      </w:r>
      <w:r w:rsidR="00574476" w:rsidRPr="00F35C97">
        <w:rPr>
          <w:rFonts w:ascii="Bookman Old Style" w:hAnsi="Bookman Old Style" w:cs="Arial"/>
          <w:iCs/>
          <w:sz w:val="22"/>
          <w:szCs w:val="22"/>
        </w:rPr>
        <w:t xml:space="preserve"> </w:t>
      </w:r>
      <w:r w:rsidRPr="00F35C97">
        <w:rPr>
          <w:rFonts w:ascii="Bookman Old Style" w:hAnsi="Bookman Old Style" w:cs="Arial"/>
          <w:iCs/>
          <w:sz w:val="22"/>
          <w:szCs w:val="22"/>
        </w:rPr>
        <w:t>oportunidad procesal pertinente.</w:t>
      </w:r>
    </w:p>
    <w:p w14:paraId="408C8F51" w14:textId="77777777" w:rsidR="00574476" w:rsidRPr="00F35C97" w:rsidRDefault="00574476" w:rsidP="00F35C97">
      <w:pPr>
        <w:spacing w:line="240" w:lineRule="auto"/>
        <w:ind w:left="426" w:right="420" w:firstLine="0"/>
        <w:rPr>
          <w:rFonts w:ascii="Bookman Old Style" w:hAnsi="Bookman Old Style" w:cs="Arial"/>
          <w:iCs/>
          <w:sz w:val="22"/>
          <w:szCs w:val="22"/>
        </w:rPr>
      </w:pPr>
    </w:p>
    <w:p w14:paraId="4031D9C4" w14:textId="079A948D" w:rsidR="00D01986" w:rsidRPr="00F35C97" w:rsidRDefault="00D01986" w:rsidP="00F35C97">
      <w:pPr>
        <w:spacing w:line="240" w:lineRule="auto"/>
        <w:ind w:left="426" w:right="420" w:firstLine="0"/>
        <w:rPr>
          <w:rFonts w:ascii="Bookman Old Style" w:hAnsi="Bookman Old Style" w:cs="Arial"/>
          <w:iCs/>
          <w:sz w:val="22"/>
          <w:szCs w:val="22"/>
        </w:rPr>
      </w:pPr>
      <w:r w:rsidRPr="00F35C97">
        <w:rPr>
          <w:rFonts w:ascii="Bookman Old Style" w:hAnsi="Bookman Old Style" w:cs="Arial"/>
          <w:iCs/>
          <w:sz w:val="22"/>
          <w:szCs w:val="22"/>
        </w:rPr>
        <w:t xml:space="preserve">NOVENO: CONDENAR en costas al demandante </w:t>
      </w:r>
      <w:r w:rsidR="00F35C97" w:rsidRPr="00F35C97">
        <w:rPr>
          <w:rFonts w:ascii="Bookman Old Style" w:hAnsi="Bookman Old Style" w:cs="Arial"/>
          <w:iCs/>
          <w:sz w:val="22"/>
          <w:szCs w:val="22"/>
        </w:rPr>
        <w:t>JULIÁN</w:t>
      </w:r>
      <w:r w:rsidRPr="00F35C97">
        <w:rPr>
          <w:rFonts w:ascii="Bookman Old Style" w:hAnsi="Bookman Old Style" w:cs="Arial"/>
          <w:iCs/>
          <w:sz w:val="22"/>
          <w:szCs w:val="22"/>
        </w:rPr>
        <w:t xml:space="preserve"> ALBERTO RUIZ en favor del MUNICIPIO DE PEREIRA, las que se liquidaran en la oportunidad procesal</w:t>
      </w:r>
      <w:r w:rsidR="00574476" w:rsidRPr="00F35C97">
        <w:rPr>
          <w:rFonts w:ascii="Bookman Old Style" w:hAnsi="Bookman Old Style" w:cs="Arial"/>
          <w:iCs/>
          <w:sz w:val="22"/>
          <w:szCs w:val="22"/>
        </w:rPr>
        <w:t xml:space="preserve"> </w:t>
      </w:r>
      <w:r w:rsidRPr="00F35C97">
        <w:rPr>
          <w:rFonts w:ascii="Bookman Old Style" w:hAnsi="Bookman Old Style" w:cs="Arial"/>
          <w:iCs/>
          <w:sz w:val="22"/>
          <w:szCs w:val="22"/>
        </w:rPr>
        <w:t>pertinente.</w:t>
      </w:r>
    </w:p>
    <w:p w14:paraId="5B45A203" w14:textId="77777777" w:rsidR="00574476" w:rsidRPr="00F35C97" w:rsidRDefault="00574476" w:rsidP="00F35C97">
      <w:pPr>
        <w:spacing w:line="240" w:lineRule="auto"/>
        <w:ind w:left="426" w:right="420" w:firstLine="0"/>
        <w:rPr>
          <w:rFonts w:ascii="Bookman Old Style" w:hAnsi="Bookman Old Style" w:cs="Arial"/>
          <w:iCs/>
          <w:sz w:val="22"/>
          <w:szCs w:val="22"/>
        </w:rPr>
      </w:pPr>
    </w:p>
    <w:p w14:paraId="7CB9F4DD" w14:textId="43E56224" w:rsidR="00D01986" w:rsidRPr="00F35C97" w:rsidRDefault="00D01986" w:rsidP="00F35C97">
      <w:pPr>
        <w:spacing w:line="240" w:lineRule="auto"/>
        <w:ind w:left="426" w:right="420" w:firstLine="0"/>
        <w:rPr>
          <w:rFonts w:ascii="Bookman Old Style" w:hAnsi="Bookman Old Style" w:cs="Arial"/>
          <w:iCs/>
          <w:sz w:val="22"/>
          <w:szCs w:val="22"/>
        </w:rPr>
      </w:pPr>
      <w:r w:rsidRPr="00F35C97">
        <w:rPr>
          <w:rFonts w:ascii="Bookman Old Style" w:hAnsi="Bookman Old Style" w:cs="Arial"/>
          <w:iCs/>
          <w:sz w:val="22"/>
          <w:szCs w:val="22"/>
        </w:rPr>
        <w:t xml:space="preserve">DECIMO: CONDENAR en costas a la llamada en garantía COMPAÑÍA ASEGURADORA DE FIANZAS S.A. CONFIANZA, en favor de MEGABUS SA, </w:t>
      </w:r>
      <w:r w:rsidR="001656D8" w:rsidRPr="00F35C97">
        <w:rPr>
          <w:rFonts w:ascii="Bookman Old Style" w:hAnsi="Bookman Old Style" w:cs="Arial"/>
          <w:iCs/>
          <w:sz w:val="22"/>
          <w:szCs w:val="22"/>
        </w:rPr>
        <w:t>l</w:t>
      </w:r>
      <w:r w:rsidRPr="00F35C97">
        <w:rPr>
          <w:rFonts w:ascii="Bookman Old Style" w:hAnsi="Bookman Old Style" w:cs="Arial"/>
          <w:iCs/>
          <w:sz w:val="22"/>
          <w:szCs w:val="22"/>
        </w:rPr>
        <w:t>as que se liquidaran en la oportunidad procesal pertinente.</w:t>
      </w:r>
    </w:p>
    <w:p w14:paraId="1DA7765D" w14:textId="77777777" w:rsidR="00574476" w:rsidRPr="00F35C97" w:rsidRDefault="00574476" w:rsidP="00F35C97">
      <w:pPr>
        <w:spacing w:line="240" w:lineRule="auto"/>
        <w:ind w:left="426" w:right="420" w:firstLine="0"/>
        <w:rPr>
          <w:rFonts w:ascii="Bookman Old Style" w:hAnsi="Bookman Old Style" w:cs="Arial"/>
          <w:iCs/>
          <w:sz w:val="22"/>
          <w:szCs w:val="22"/>
        </w:rPr>
      </w:pPr>
    </w:p>
    <w:p w14:paraId="482DEFC2" w14:textId="134B7399" w:rsidR="00D01986" w:rsidRPr="00F35C97" w:rsidRDefault="00D01986" w:rsidP="00F35C97">
      <w:pPr>
        <w:spacing w:line="240" w:lineRule="auto"/>
        <w:ind w:left="426" w:right="420" w:firstLine="0"/>
        <w:rPr>
          <w:rFonts w:ascii="Bookman Old Style" w:hAnsi="Bookman Old Style" w:cs="Arial"/>
          <w:iCs/>
          <w:sz w:val="22"/>
          <w:szCs w:val="22"/>
        </w:rPr>
      </w:pPr>
      <w:r w:rsidRPr="00F35C97">
        <w:rPr>
          <w:rFonts w:ascii="Bookman Old Style" w:hAnsi="Bookman Old Style" w:cs="Arial"/>
          <w:iCs/>
          <w:sz w:val="22"/>
          <w:szCs w:val="22"/>
        </w:rPr>
        <w:t xml:space="preserve">DECIMO PRIMERO: FIJA como honorarios a favor de los Abogados LEONEL DE </w:t>
      </w:r>
      <w:r w:rsidR="00C75605" w:rsidRPr="00F35C97">
        <w:rPr>
          <w:rFonts w:ascii="Bookman Old Style" w:hAnsi="Bookman Old Style" w:cs="Arial"/>
          <w:iCs/>
          <w:sz w:val="22"/>
          <w:szCs w:val="22"/>
        </w:rPr>
        <w:t>JESÚS</w:t>
      </w:r>
      <w:r w:rsidRPr="00F35C97">
        <w:rPr>
          <w:rFonts w:ascii="Bookman Old Style" w:hAnsi="Bookman Old Style" w:cs="Arial"/>
          <w:iCs/>
          <w:sz w:val="22"/>
          <w:szCs w:val="22"/>
        </w:rPr>
        <w:t xml:space="preserve"> TORO TORO y FELIPE DUQUE PALACIO, por su labor como curadores ad-litem, el valor correspondiente a 20 salarios mínimos diarios vigentes, esto es $666.666, para cada uno de ellos y a cargo del demandante.</w:t>
      </w:r>
      <w:r w:rsidR="001656D8" w:rsidRPr="00F35C97">
        <w:rPr>
          <w:rFonts w:ascii="Bookman Old Style" w:hAnsi="Bookman Old Style" w:cs="Arial"/>
          <w:iCs/>
          <w:sz w:val="22"/>
          <w:szCs w:val="22"/>
        </w:rPr>
        <w:t xml:space="preserve"> (…)”</w:t>
      </w:r>
    </w:p>
    <w:p w14:paraId="054F07A8" w14:textId="77777777" w:rsidR="001656D8" w:rsidRPr="00605EC8" w:rsidRDefault="001656D8" w:rsidP="00605EC8">
      <w:pPr>
        <w:spacing w:line="276" w:lineRule="auto"/>
        <w:ind w:firstLine="0"/>
        <w:rPr>
          <w:rFonts w:ascii="Bookman Old Style" w:hAnsi="Bookman Old Style"/>
        </w:rPr>
      </w:pPr>
    </w:p>
    <w:p w14:paraId="51FD294B" w14:textId="5041A8CF" w:rsidR="00CA4734" w:rsidRPr="00605EC8" w:rsidRDefault="00F76ED1" w:rsidP="00605EC8">
      <w:pPr>
        <w:spacing w:line="276" w:lineRule="auto"/>
        <w:ind w:firstLine="0"/>
        <w:rPr>
          <w:rFonts w:ascii="Bookman Old Style" w:hAnsi="Bookman Old Style"/>
        </w:rPr>
      </w:pPr>
      <w:r w:rsidRPr="00605EC8">
        <w:rPr>
          <w:rFonts w:ascii="Bookman Old Style" w:hAnsi="Bookman Old Style"/>
        </w:rPr>
        <w:t xml:space="preserve">Para resolver, tuvo en cuenta </w:t>
      </w:r>
      <w:r w:rsidR="00930FA1" w:rsidRPr="00605EC8">
        <w:rPr>
          <w:rFonts w:ascii="Bookman Old Style" w:hAnsi="Bookman Old Style"/>
        </w:rPr>
        <w:t xml:space="preserve">el contenido del artículo 22 CST, indicando que el elemento relacionado con la prestación personal del servicio se había acreditado </w:t>
      </w:r>
      <w:r w:rsidR="00A74904" w:rsidRPr="00605EC8">
        <w:rPr>
          <w:rFonts w:ascii="Bookman Old Style" w:hAnsi="Bookman Old Style"/>
        </w:rPr>
        <w:t xml:space="preserve">con la documental </w:t>
      </w:r>
      <w:r w:rsidR="00930FA1" w:rsidRPr="00605EC8">
        <w:rPr>
          <w:rFonts w:ascii="Bookman Old Style" w:hAnsi="Bookman Old Style"/>
        </w:rPr>
        <w:t xml:space="preserve">tales como </w:t>
      </w:r>
      <w:r w:rsidR="00A74904" w:rsidRPr="00605EC8">
        <w:rPr>
          <w:rFonts w:ascii="Bookman Old Style" w:hAnsi="Bookman Old Style"/>
        </w:rPr>
        <w:t xml:space="preserve">la afiliación </w:t>
      </w:r>
      <w:r w:rsidR="00930FA1" w:rsidRPr="00605EC8">
        <w:rPr>
          <w:rFonts w:ascii="Bookman Old Style" w:hAnsi="Bookman Old Style"/>
        </w:rPr>
        <w:t xml:space="preserve">a la seguridad social que se hizo </w:t>
      </w:r>
      <w:r w:rsidR="00A74904" w:rsidRPr="00605EC8">
        <w:rPr>
          <w:rFonts w:ascii="Bookman Old Style" w:hAnsi="Bookman Old Style"/>
        </w:rPr>
        <w:t xml:space="preserve">del trabajador por </w:t>
      </w:r>
      <w:r w:rsidR="00930FA1" w:rsidRPr="00605EC8">
        <w:rPr>
          <w:rFonts w:ascii="Bookman Old Style" w:hAnsi="Bookman Old Style"/>
        </w:rPr>
        <w:t xml:space="preserve">el </w:t>
      </w:r>
      <w:r w:rsidR="00A74904" w:rsidRPr="00605EC8">
        <w:rPr>
          <w:rFonts w:ascii="Bookman Old Style" w:hAnsi="Bookman Old Style"/>
        </w:rPr>
        <w:t xml:space="preserve">Consorcio </w:t>
      </w:r>
      <w:r w:rsidR="00930FA1" w:rsidRPr="00605EC8">
        <w:rPr>
          <w:rFonts w:ascii="Bookman Old Style" w:hAnsi="Bookman Old Style"/>
        </w:rPr>
        <w:t xml:space="preserve">Megavía 2004 conformado por Hernando Granada </w:t>
      </w:r>
      <w:r w:rsidR="00C24B60" w:rsidRPr="00605EC8">
        <w:rPr>
          <w:rFonts w:ascii="Bookman Old Style" w:hAnsi="Bookman Old Style"/>
        </w:rPr>
        <w:t>Gómez</w:t>
      </w:r>
      <w:r w:rsidR="00930FA1" w:rsidRPr="00605EC8">
        <w:rPr>
          <w:rFonts w:ascii="Bookman Old Style" w:hAnsi="Bookman Old Style"/>
        </w:rPr>
        <w:t xml:space="preserve">, Cival constructores Ltda. y Cesar Baena García </w:t>
      </w:r>
      <w:r w:rsidR="00A74904" w:rsidRPr="00605EC8">
        <w:rPr>
          <w:rFonts w:ascii="Bookman Old Style" w:hAnsi="Bookman Old Style"/>
        </w:rPr>
        <w:t xml:space="preserve">y con el testimonio del </w:t>
      </w:r>
      <w:r w:rsidR="00930FA1" w:rsidRPr="00605EC8">
        <w:rPr>
          <w:rFonts w:ascii="Bookman Old Style" w:hAnsi="Bookman Old Style"/>
        </w:rPr>
        <w:t xml:space="preserve">Sr. Carlos Arturo García Marín </w:t>
      </w:r>
      <w:r w:rsidR="00A74904" w:rsidRPr="00605EC8">
        <w:rPr>
          <w:rFonts w:ascii="Bookman Old Style" w:hAnsi="Bookman Old Style"/>
        </w:rPr>
        <w:t>(archivo 168)</w:t>
      </w:r>
      <w:r w:rsidR="00D66D75" w:rsidRPr="00605EC8">
        <w:rPr>
          <w:rFonts w:ascii="Bookman Old Style" w:hAnsi="Bookman Old Style"/>
        </w:rPr>
        <w:t xml:space="preserve">. De allí, que se generó la presunción del </w:t>
      </w:r>
      <w:r w:rsidR="00A74904" w:rsidRPr="00605EC8">
        <w:rPr>
          <w:rFonts w:ascii="Bookman Old Style" w:hAnsi="Bookman Old Style"/>
        </w:rPr>
        <w:t>artículo 24 del CST</w:t>
      </w:r>
      <w:r w:rsidR="00D66D75" w:rsidRPr="00605EC8">
        <w:rPr>
          <w:rFonts w:ascii="Bookman Old Style" w:hAnsi="Bookman Old Style"/>
        </w:rPr>
        <w:t xml:space="preserve">., la cual no encontró desvirtuada por los demandados, en tanto que con el citado testimonio, el cual encontró creíble, estableció que la relación entre las partes fue subordinada, dadas las circunstancias en que se desarrolló la actividad por parte del trabajador, la cual contenía la imposición de </w:t>
      </w:r>
      <w:r w:rsidR="00CA4734" w:rsidRPr="00605EC8">
        <w:rPr>
          <w:rFonts w:ascii="Bookman Old Style" w:hAnsi="Bookman Old Style"/>
        </w:rPr>
        <w:t>horario</w:t>
      </w:r>
      <w:r w:rsidR="00D66D75" w:rsidRPr="00605EC8">
        <w:rPr>
          <w:rFonts w:ascii="Bookman Old Style" w:hAnsi="Bookman Old Style"/>
        </w:rPr>
        <w:t xml:space="preserve">s, funciones específicas </w:t>
      </w:r>
      <w:r w:rsidR="00CA4734" w:rsidRPr="00605EC8">
        <w:rPr>
          <w:rFonts w:ascii="Bookman Old Style" w:hAnsi="Bookman Old Style"/>
        </w:rPr>
        <w:t xml:space="preserve">asignadas y </w:t>
      </w:r>
      <w:r w:rsidR="00D66D75" w:rsidRPr="00605EC8">
        <w:rPr>
          <w:rFonts w:ascii="Bookman Old Style" w:hAnsi="Bookman Old Style"/>
        </w:rPr>
        <w:t xml:space="preserve">emisión de </w:t>
      </w:r>
      <w:r w:rsidR="00CA4734" w:rsidRPr="00605EC8">
        <w:rPr>
          <w:rFonts w:ascii="Bookman Old Style" w:hAnsi="Bookman Old Style"/>
        </w:rPr>
        <w:t xml:space="preserve">instrucciones y directrices </w:t>
      </w:r>
      <w:r w:rsidR="00D66D75" w:rsidRPr="00605EC8">
        <w:rPr>
          <w:rFonts w:ascii="Bookman Old Style" w:hAnsi="Bookman Old Style"/>
        </w:rPr>
        <w:t xml:space="preserve">por el demandado </w:t>
      </w:r>
      <w:r w:rsidR="00CA4734" w:rsidRPr="00605EC8">
        <w:rPr>
          <w:rFonts w:ascii="Bookman Old Style" w:hAnsi="Bookman Old Style"/>
        </w:rPr>
        <w:t xml:space="preserve">a través de su jefe inmediato, </w:t>
      </w:r>
      <w:r w:rsidR="00D66D75" w:rsidRPr="00605EC8">
        <w:rPr>
          <w:rFonts w:ascii="Bookman Old Style" w:hAnsi="Bookman Old Style"/>
        </w:rPr>
        <w:t xml:space="preserve">infiriendo la existencia del elemento de </w:t>
      </w:r>
      <w:r w:rsidR="00CA4734" w:rsidRPr="00605EC8">
        <w:rPr>
          <w:rFonts w:ascii="Bookman Old Style" w:hAnsi="Bookman Old Style"/>
        </w:rPr>
        <w:t>la subordinación</w:t>
      </w:r>
      <w:r w:rsidR="00D66D75" w:rsidRPr="00605EC8">
        <w:rPr>
          <w:rFonts w:ascii="Bookman Old Style" w:hAnsi="Bookman Old Style"/>
        </w:rPr>
        <w:t>.</w:t>
      </w:r>
      <w:r w:rsidR="00C24B60" w:rsidRPr="00605EC8">
        <w:rPr>
          <w:rFonts w:ascii="Bookman Old Style" w:hAnsi="Bookman Old Style"/>
        </w:rPr>
        <w:t xml:space="preserve"> En cuanto a la remuneración la estableció en valor del salario mínimo de la época, para lo cual también tuvo en cuenta que </w:t>
      </w:r>
      <w:r w:rsidR="00CA4734" w:rsidRPr="00605EC8">
        <w:rPr>
          <w:rFonts w:ascii="Bookman Old Style" w:hAnsi="Bookman Old Style"/>
        </w:rPr>
        <w:t xml:space="preserve">ningún trabajador </w:t>
      </w:r>
      <w:r w:rsidR="00C24B60" w:rsidRPr="00605EC8">
        <w:rPr>
          <w:rFonts w:ascii="Bookman Old Style" w:hAnsi="Bookman Old Style"/>
        </w:rPr>
        <w:t xml:space="preserve">podía </w:t>
      </w:r>
      <w:r w:rsidR="00CA4734" w:rsidRPr="00605EC8">
        <w:rPr>
          <w:rFonts w:ascii="Bookman Old Style" w:hAnsi="Bookman Old Style"/>
        </w:rPr>
        <w:t xml:space="preserve">percibir una suma inferior </w:t>
      </w:r>
      <w:r w:rsidR="00C24B60" w:rsidRPr="00605EC8">
        <w:rPr>
          <w:rFonts w:ascii="Bookman Old Style" w:hAnsi="Bookman Old Style"/>
        </w:rPr>
        <w:t>a dicho quantum, el cual tuvo en cuenta al momento de realizar las liquidaciones correspondientes.</w:t>
      </w:r>
      <w:r w:rsidR="006D7C36" w:rsidRPr="00605EC8">
        <w:rPr>
          <w:rFonts w:ascii="Bookman Old Style" w:hAnsi="Bookman Old Style"/>
        </w:rPr>
        <w:t xml:space="preserve"> Así mismo, </w:t>
      </w:r>
      <w:r w:rsidR="00684897" w:rsidRPr="00605EC8">
        <w:rPr>
          <w:rFonts w:ascii="Bookman Old Style" w:hAnsi="Bookman Old Style"/>
        </w:rPr>
        <w:t xml:space="preserve">conforme lo deducido de la testimonial de </w:t>
      </w:r>
      <w:r w:rsidR="00684897" w:rsidRPr="00605EC8">
        <w:rPr>
          <w:rFonts w:ascii="Bookman Old Style" w:hAnsi="Bookman Old Style"/>
          <w:i/>
        </w:rPr>
        <w:t>Carlos Arturo García Marín</w:t>
      </w:r>
      <w:r w:rsidR="00684897" w:rsidRPr="00605EC8">
        <w:rPr>
          <w:rFonts w:ascii="Bookman Old Style" w:hAnsi="Bookman Old Style"/>
        </w:rPr>
        <w:t xml:space="preserve"> y en aplicación de lo trazado por la Corte Suprema de Justicia, </w:t>
      </w:r>
      <w:r w:rsidR="006D7C36" w:rsidRPr="00605EC8">
        <w:rPr>
          <w:rFonts w:ascii="Bookman Old Style" w:hAnsi="Bookman Old Style"/>
        </w:rPr>
        <w:t>estableció como extremos</w:t>
      </w:r>
      <w:r w:rsidR="00684897" w:rsidRPr="00605EC8">
        <w:rPr>
          <w:rFonts w:ascii="Bookman Old Style" w:hAnsi="Bookman Old Style"/>
        </w:rPr>
        <w:t xml:space="preserve"> </w:t>
      </w:r>
      <w:r w:rsidR="00CA4734" w:rsidRPr="00605EC8">
        <w:rPr>
          <w:rFonts w:ascii="Bookman Old Style" w:hAnsi="Bookman Old Style"/>
        </w:rPr>
        <w:t xml:space="preserve">el </w:t>
      </w:r>
      <w:r w:rsidR="00684897" w:rsidRPr="00605EC8">
        <w:rPr>
          <w:rFonts w:ascii="Bookman Old Style" w:hAnsi="Bookman Old Style"/>
        </w:rPr>
        <w:t xml:space="preserve">14 de septiembre de 2004 </w:t>
      </w:r>
      <w:r w:rsidR="00E45899" w:rsidRPr="00605EC8">
        <w:rPr>
          <w:rFonts w:ascii="Bookman Old Style" w:hAnsi="Bookman Old Style"/>
        </w:rPr>
        <w:t xml:space="preserve">al </w:t>
      </w:r>
      <w:r w:rsidR="00684897" w:rsidRPr="00605EC8">
        <w:rPr>
          <w:rFonts w:ascii="Bookman Old Style" w:hAnsi="Bookman Old Style"/>
        </w:rPr>
        <w:t xml:space="preserve">06 de marzo de 2005, indicando que el hito final lo sería teniendo en cuenta la finalización de la obra, para lo cual, tuvo en cuenta </w:t>
      </w:r>
      <w:r w:rsidR="00CA4734" w:rsidRPr="00605EC8">
        <w:rPr>
          <w:rFonts w:ascii="Bookman Old Style" w:hAnsi="Bookman Old Style"/>
        </w:rPr>
        <w:t xml:space="preserve">el acta de entrega allegada por </w:t>
      </w:r>
      <w:r w:rsidR="00E45899" w:rsidRPr="00605EC8">
        <w:rPr>
          <w:rFonts w:ascii="Bookman Old Style" w:hAnsi="Bookman Old Style"/>
        </w:rPr>
        <w:t>Megabùs</w:t>
      </w:r>
      <w:r w:rsidR="00CA4734" w:rsidRPr="00605EC8">
        <w:rPr>
          <w:rFonts w:ascii="Bookman Old Style" w:hAnsi="Bookman Old Style"/>
        </w:rPr>
        <w:t xml:space="preserve"> S</w:t>
      </w:r>
      <w:r w:rsidR="00E45899" w:rsidRPr="00605EC8">
        <w:rPr>
          <w:rFonts w:ascii="Bookman Old Style" w:hAnsi="Bookman Old Style"/>
        </w:rPr>
        <w:t>.</w:t>
      </w:r>
      <w:r w:rsidR="00CA4734" w:rsidRPr="00605EC8">
        <w:rPr>
          <w:rFonts w:ascii="Bookman Old Style" w:hAnsi="Bookman Old Style"/>
        </w:rPr>
        <w:t>A</w:t>
      </w:r>
      <w:r w:rsidR="00F35C97">
        <w:rPr>
          <w:rFonts w:ascii="Bookman Old Style" w:hAnsi="Bookman Old Style"/>
        </w:rPr>
        <w:t>.</w:t>
      </w:r>
      <w:r w:rsidR="00CA4734" w:rsidRPr="00605EC8">
        <w:rPr>
          <w:rFonts w:ascii="Bookman Old Style" w:hAnsi="Bookman Old Style"/>
        </w:rPr>
        <w:t xml:space="preserve">, </w:t>
      </w:r>
      <w:r w:rsidR="00E45899" w:rsidRPr="00605EC8">
        <w:rPr>
          <w:rFonts w:ascii="Bookman Old Style" w:hAnsi="Bookman Old Style"/>
        </w:rPr>
        <w:t xml:space="preserve">según la cual, </w:t>
      </w:r>
      <w:r w:rsidR="00CA4734" w:rsidRPr="00605EC8">
        <w:rPr>
          <w:rFonts w:ascii="Bookman Old Style" w:hAnsi="Bookman Old Style"/>
        </w:rPr>
        <w:t>la obra finaliz</w:t>
      </w:r>
      <w:r w:rsidR="00390721" w:rsidRPr="00605EC8">
        <w:rPr>
          <w:rFonts w:ascii="Bookman Old Style" w:hAnsi="Bookman Old Style"/>
        </w:rPr>
        <w:t>ó</w:t>
      </w:r>
      <w:r w:rsidR="00CA4734" w:rsidRPr="00605EC8">
        <w:rPr>
          <w:rFonts w:ascii="Bookman Old Style" w:hAnsi="Bookman Old Style"/>
        </w:rPr>
        <w:t xml:space="preserve"> el 6 de marzo de 2005. </w:t>
      </w:r>
      <w:r w:rsidR="00390721" w:rsidRPr="00605EC8">
        <w:rPr>
          <w:rFonts w:ascii="Bookman Old Style" w:hAnsi="Bookman Old Style"/>
        </w:rPr>
        <w:t xml:space="preserve">De otro lado, tuvo en cuenta </w:t>
      </w:r>
      <w:r w:rsidR="003354E4" w:rsidRPr="00605EC8">
        <w:rPr>
          <w:rFonts w:ascii="Bookman Old Style" w:hAnsi="Bookman Old Style"/>
        </w:rPr>
        <w:t>que,</w:t>
      </w:r>
      <w:r w:rsidR="00684897" w:rsidRPr="00605EC8">
        <w:rPr>
          <w:rFonts w:ascii="Bookman Old Style" w:hAnsi="Bookman Old Style"/>
        </w:rPr>
        <w:t xml:space="preserve"> </w:t>
      </w:r>
      <w:r w:rsidR="00CA4734" w:rsidRPr="00605EC8">
        <w:rPr>
          <w:rFonts w:ascii="Bookman Old Style" w:hAnsi="Bookman Old Style"/>
        </w:rPr>
        <w:t>para el mes de junio de 2005</w:t>
      </w:r>
      <w:r w:rsidR="00684897" w:rsidRPr="00605EC8">
        <w:rPr>
          <w:rFonts w:ascii="Bookman Old Style" w:hAnsi="Bookman Old Style"/>
        </w:rPr>
        <w:t xml:space="preserve">, el actor </w:t>
      </w:r>
      <w:r w:rsidR="00390721" w:rsidRPr="00605EC8">
        <w:rPr>
          <w:rFonts w:ascii="Bookman Old Style" w:hAnsi="Bookman Old Style"/>
        </w:rPr>
        <w:t xml:space="preserve">había sido </w:t>
      </w:r>
      <w:r w:rsidR="00CA4734" w:rsidRPr="00605EC8">
        <w:rPr>
          <w:rFonts w:ascii="Bookman Old Style" w:hAnsi="Bookman Old Style"/>
        </w:rPr>
        <w:t xml:space="preserve">afiliado </w:t>
      </w:r>
      <w:r w:rsidR="00684897" w:rsidRPr="00605EC8">
        <w:rPr>
          <w:rFonts w:ascii="Bookman Old Style" w:hAnsi="Bookman Old Style"/>
        </w:rPr>
        <w:t xml:space="preserve">ante la </w:t>
      </w:r>
      <w:r w:rsidR="00CA4734" w:rsidRPr="00605EC8">
        <w:rPr>
          <w:rFonts w:ascii="Bookman Old Style" w:hAnsi="Bookman Old Style"/>
        </w:rPr>
        <w:t xml:space="preserve">ARL POSITIVA por </w:t>
      </w:r>
      <w:r w:rsidR="00684897" w:rsidRPr="00605EC8">
        <w:rPr>
          <w:rFonts w:ascii="Bookman Old Style" w:hAnsi="Bookman Old Style"/>
        </w:rPr>
        <w:t>otro empleador</w:t>
      </w:r>
      <w:r w:rsidR="00CA4734" w:rsidRPr="00605EC8">
        <w:rPr>
          <w:rFonts w:ascii="Bookman Old Style" w:hAnsi="Bookman Old Style"/>
        </w:rPr>
        <w:t xml:space="preserve">, reportado para </w:t>
      </w:r>
      <w:r w:rsidR="00684897" w:rsidRPr="00605EC8">
        <w:rPr>
          <w:rFonts w:ascii="Bookman Old Style" w:hAnsi="Bookman Old Style"/>
        </w:rPr>
        <w:t xml:space="preserve">ese mes de </w:t>
      </w:r>
      <w:r w:rsidR="00CA4734" w:rsidRPr="00605EC8">
        <w:rPr>
          <w:rFonts w:ascii="Bookman Old Style" w:hAnsi="Bookman Old Style"/>
        </w:rPr>
        <w:t>junio 22 días laborados (</w:t>
      </w:r>
      <w:proofErr w:type="spellStart"/>
      <w:r w:rsidR="00CA4734" w:rsidRPr="00605EC8">
        <w:rPr>
          <w:rFonts w:ascii="Bookman Old Style" w:hAnsi="Bookman Old Style"/>
        </w:rPr>
        <w:t>fl</w:t>
      </w:r>
      <w:proofErr w:type="spellEnd"/>
      <w:r w:rsidR="00CA4734" w:rsidRPr="00605EC8">
        <w:rPr>
          <w:rFonts w:ascii="Bookman Old Style" w:hAnsi="Bookman Old Style"/>
        </w:rPr>
        <w:t>. 6, archivo 160)</w:t>
      </w:r>
      <w:r w:rsidR="00684897" w:rsidRPr="00605EC8">
        <w:rPr>
          <w:rFonts w:ascii="Bookman Old Style" w:hAnsi="Bookman Old Style"/>
        </w:rPr>
        <w:t>.</w:t>
      </w:r>
    </w:p>
    <w:p w14:paraId="0FD5D3D8" w14:textId="192CBAE5" w:rsidR="00CA4734" w:rsidRPr="00605EC8" w:rsidRDefault="00CA4734" w:rsidP="00605EC8">
      <w:pPr>
        <w:spacing w:line="276" w:lineRule="auto"/>
        <w:rPr>
          <w:rFonts w:ascii="Bookman Old Style" w:hAnsi="Bookman Old Style"/>
        </w:rPr>
      </w:pPr>
    </w:p>
    <w:p w14:paraId="481EB124" w14:textId="2A448168" w:rsidR="00CA4734" w:rsidRPr="00605EC8" w:rsidRDefault="002577CD" w:rsidP="00605EC8">
      <w:pPr>
        <w:spacing w:line="276" w:lineRule="auto"/>
        <w:ind w:firstLine="0"/>
        <w:rPr>
          <w:rFonts w:ascii="Bookman Old Style" w:hAnsi="Bookman Old Style"/>
        </w:rPr>
      </w:pPr>
      <w:r w:rsidRPr="00605EC8">
        <w:rPr>
          <w:rFonts w:ascii="Bookman Old Style" w:hAnsi="Bookman Old Style"/>
        </w:rPr>
        <w:t xml:space="preserve">En cuanto al </w:t>
      </w:r>
      <w:r w:rsidRPr="00605EC8">
        <w:rPr>
          <w:rFonts w:ascii="Bookman Old Style" w:hAnsi="Bookman Old Style"/>
          <w:i/>
        </w:rPr>
        <w:t>despido</w:t>
      </w:r>
      <w:r w:rsidRPr="00605EC8">
        <w:rPr>
          <w:rFonts w:ascii="Bookman Old Style" w:hAnsi="Bookman Old Style"/>
        </w:rPr>
        <w:t xml:space="preserve">, indicó </w:t>
      </w:r>
      <w:proofErr w:type="gramStart"/>
      <w:r w:rsidRPr="00605EC8">
        <w:rPr>
          <w:rFonts w:ascii="Bookman Old Style" w:hAnsi="Bookman Old Style"/>
        </w:rPr>
        <w:t>que</w:t>
      </w:r>
      <w:proofErr w:type="gramEnd"/>
      <w:r w:rsidRPr="00605EC8">
        <w:rPr>
          <w:rFonts w:ascii="Bookman Old Style" w:hAnsi="Bookman Old Style"/>
        </w:rPr>
        <w:t xml:space="preserve"> según la testimonial, </w:t>
      </w:r>
      <w:r w:rsidR="00CA4734" w:rsidRPr="00605EC8">
        <w:rPr>
          <w:rFonts w:ascii="Bookman Old Style" w:hAnsi="Bookman Old Style"/>
        </w:rPr>
        <w:t xml:space="preserve">la terminación se dio por haber finalizado la obra, y si bien </w:t>
      </w:r>
      <w:r w:rsidRPr="00605EC8">
        <w:rPr>
          <w:rFonts w:ascii="Bookman Old Style" w:hAnsi="Bookman Old Style"/>
        </w:rPr>
        <w:t xml:space="preserve">se había argüido </w:t>
      </w:r>
      <w:r w:rsidR="00CA4734" w:rsidRPr="00605EC8">
        <w:rPr>
          <w:rFonts w:ascii="Bookman Old Style" w:hAnsi="Bookman Old Style"/>
        </w:rPr>
        <w:t xml:space="preserve">que luego de </w:t>
      </w:r>
      <w:r w:rsidRPr="00605EC8">
        <w:rPr>
          <w:rFonts w:ascii="Bookman Old Style" w:hAnsi="Bookman Old Style"/>
        </w:rPr>
        <w:t xml:space="preserve">ese momento, el actor </w:t>
      </w:r>
      <w:r w:rsidR="00CA4734" w:rsidRPr="00605EC8">
        <w:rPr>
          <w:rFonts w:ascii="Bookman Old Style" w:hAnsi="Bookman Old Style"/>
        </w:rPr>
        <w:t xml:space="preserve">continúo prestando sus servicios hasta junio de 2005, lo cierto es que </w:t>
      </w:r>
      <w:r w:rsidRPr="00605EC8">
        <w:rPr>
          <w:rFonts w:ascii="Bookman Old Style" w:hAnsi="Bookman Old Style"/>
        </w:rPr>
        <w:t>ello no se había demostrado</w:t>
      </w:r>
      <w:r w:rsidR="00CA4734" w:rsidRPr="00605EC8">
        <w:rPr>
          <w:rFonts w:ascii="Bookman Old Style" w:hAnsi="Bookman Old Style"/>
        </w:rPr>
        <w:t xml:space="preserve">, por </w:t>
      </w:r>
      <w:r w:rsidRPr="00605EC8">
        <w:rPr>
          <w:rFonts w:ascii="Bookman Old Style" w:hAnsi="Bookman Old Style"/>
        </w:rPr>
        <w:t xml:space="preserve">lo que el finiquito había acaecido </w:t>
      </w:r>
      <w:r w:rsidRPr="00605EC8">
        <w:rPr>
          <w:rFonts w:ascii="Bookman Old Style" w:hAnsi="Bookman Old Style"/>
        </w:rPr>
        <w:lastRenderedPageBreak/>
        <w:t xml:space="preserve">por una </w:t>
      </w:r>
      <w:r w:rsidR="00CA4734" w:rsidRPr="00605EC8">
        <w:rPr>
          <w:rFonts w:ascii="Bookman Old Style" w:hAnsi="Bookman Old Style"/>
        </w:rPr>
        <w:t xml:space="preserve">causal legal prevista en el artículo 61 del </w:t>
      </w:r>
      <w:proofErr w:type="spellStart"/>
      <w:r w:rsidR="00CA4734" w:rsidRPr="00605EC8">
        <w:rPr>
          <w:rFonts w:ascii="Bookman Old Style" w:hAnsi="Bookman Old Style"/>
        </w:rPr>
        <w:t>C</w:t>
      </w:r>
      <w:r w:rsidR="00F34D32" w:rsidRPr="00605EC8">
        <w:rPr>
          <w:rFonts w:ascii="Bookman Old Style" w:hAnsi="Bookman Old Style"/>
        </w:rPr>
        <w:t>.</w:t>
      </w:r>
      <w:r w:rsidR="00CA4734" w:rsidRPr="00605EC8">
        <w:rPr>
          <w:rFonts w:ascii="Bookman Old Style" w:hAnsi="Bookman Old Style"/>
        </w:rPr>
        <w:t>S</w:t>
      </w:r>
      <w:r w:rsidR="00F34D32" w:rsidRPr="00605EC8">
        <w:rPr>
          <w:rFonts w:ascii="Bookman Old Style" w:hAnsi="Bookman Old Style"/>
        </w:rPr>
        <w:t>.</w:t>
      </w:r>
      <w:r w:rsidR="00CA4734" w:rsidRPr="00605EC8">
        <w:rPr>
          <w:rFonts w:ascii="Bookman Old Style" w:hAnsi="Bookman Old Style"/>
        </w:rPr>
        <w:t>T</w:t>
      </w:r>
      <w:proofErr w:type="spellEnd"/>
      <w:r w:rsidR="007B38D6" w:rsidRPr="00605EC8">
        <w:rPr>
          <w:rFonts w:ascii="Bookman Old Style" w:hAnsi="Bookman Old Style"/>
        </w:rPr>
        <w:t>.,</w:t>
      </w:r>
      <w:r w:rsidR="000962C2" w:rsidRPr="00605EC8">
        <w:rPr>
          <w:rFonts w:ascii="Bookman Old Style" w:hAnsi="Bookman Old Style"/>
        </w:rPr>
        <w:t xml:space="preserve"> como lo era </w:t>
      </w:r>
      <w:r w:rsidR="00CA4734" w:rsidRPr="00605EC8">
        <w:rPr>
          <w:rFonts w:ascii="Bookman Old Style" w:hAnsi="Bookman Old Style"/>
        </w:rPr>
        <w:t>la terminación de la obra o labor contratada</w:t>
      </w:r>
      <w:r w:rsidR="0074141D" w:rsidRPr="00605EC8">
        <w:rPr>
          <w:rFonts w:ascii="Bookman Old Style" w:hAnsi="Bookman Old Style"/>
        </w:rPr>
        <w:t xml:space="preserve">, encontrando no viable la indemnización </w:t>
      </w:r>
      <w:r w:rsidR="007B38D6" w:rsidRPr="00605EC8">
        <w:rPr>
          <w:rFonts w:ascii="Bookman Old Style" w:hAnsi="Bookman Old Style"/>
        </w:rPr>
        <w:t>del articulo 64 CST.</w:t>
      </w:r>
    </w:p>
    <w:p w14:paraId="3B311CF0" w14:textId="77777777" w:rsidR="00CA4734" w:rsidRPr="00605EC8" w:rsidRDefault="00CA4734" w:rsidP="00605EC8">
      <w:pPr>
        <w:spacing w:line="276" w:lineRule="auto"/>
        <w:rPr>
          <w:rFonts w:ascii="Bookman Old Style" w:hAnsi="Bookman Old Style"/>
        </w:rPr>
      </w:pPr>
    </w:p>
    <w:p w14:paraId="3B08F33C" w14:textId="04954896" w:rsidR="006D1496" w:rsidRPr="00605EC8" w:rsidRDefault="007B38D6" w:rsidP="00605EC8">
      <w:pPr>
        <w:spacing w:line="276" w:lineRule="auto"/>
        <w:ind w:firstLine="0"/>
        <w:rPr>
          <w:rFonts w:ascii="Bookman Old Style" w:hAnsi="Bookman Old Style"/>
        </w:rPr>
      </w:pPr>
      <w:r w:rsidRPr="00605EC8">
        <w:rPr>
          <w:rFonts w:ascii="Bookman Old Style" w:hAnsi="Bookman Old Style"/>
        </w:rPr>
        <w:t xml:space="preserve">En cuanto a las consecuencias del </w:t>
      </w:r>
      <w:r w:rsidR="00CA4734" w:rsidRPr="00605EC8">
        <w:rPr>
          <w:rFonts w:ascii="Bookman Old Style" w:hAnsi="Bookman Old Style"/>
        </w:rPr>
        <w:t xml:space="preserve">incumplimiento del empleador al contenido del parágrafo del artículo 65 del CST, </w:t>
      </w:r>
      <w:r w:rsidRPr="00605EC8">
        <w:rPr>
          <w:rFonts w:ascii="Bookman Old Style" w:hAnsi="Bookman Old Style"/>
        </w:rPr>
        <w:t xml:space="preserve">refirió que lo que se sancionaba no era la falta de información al trabajador del pago de sus aportes sino la falta de pago de dichos aportes. Indicando que en el presente caso se había acreditado la afiliación a pensiones por lo menos en dos meses, incluyendo el mes de febrero de 2005, previo a la terminación del contrato por lo que no se podía afirmar que estaba demostrada la mala fe porque en seguridad social </w:t>
      </w:r>
      <w:r w:rsidR="00CA4734" w:rsidRPr="00605EC8">
        <w:rPr>
          <w:rFonts w:ascii="Bookman Old Style" w:hAnsi="Bookman Old Style"/>
        </w:rPr>
        <w:t xml:space="preserve">no </w:t>
      </w:r>
      <w:r w:rsidRPr="00605EC8">
        <w:rPr>
          <w:rFonts w:ascii="Bookman Old Style" w:hAnsi="Bookman Old Style"/>
        </w:rPr>
        <w:t xml:space="preserve">era </w:t>
      </w:r>
      <w:r w:rsidR="00CA4734" w:rsidRPr="00605EC8">
        <w:rPr>
          <w:rFonts w:ascii="Bookman Old Style" w:hAnsi="Bookman Old Style"/>
        </w:rPr>
        <w:t xml:space="preserve">viable el solo </w:t>
      </w:r>
      <w:r w:rsidRPr="00605EC8">
        <w:rPr>
          <w:rFonts w:ascii="Bookman Old Style" w:hAnsi="Bookman Old Style"/>
        </w:rPr>
        <w:t xml:space="preserve">pago </w:t>
      </w:r>
      <w:r w:rsidR="00CA4734" w:rsidRPr="00605EC8">
        <w:rPr>
          <w:rFonts w:ascii="Bookman Old Style" w:hAnsi="Bookman Old Style"/>
        </w:rPr>
        <w:t xml:space="preserve">de aportes a pensiones, sin el correspondiente pago a salud y ARL, </w:t>
      </w:r>
      <w:r w:rsidR="006D1496" w:rsidRPr="00605EC8">
        <w:rPr>
          <w:rFonts w:ascii="Bookman Old Style" w:hAnsi="Bookman Old Style"/>
        </w:rPr>
        <w:t xml:space="preserve">y </w:t>
      </w:r>
      <w:r w:rsidRPr="00605EC8">
        <w:rPr>
          <w:rFonts w:ascii="Bookman Old Style" w:hAnsi="Bookman Old Style"/>
        </w:rPr>
        <w:t>en este asunto</w:t>
      </w:r>
      <w:r w:rsidR="006D1496" w:rsidRPr="00605EC8">
        <w:rPr>
          <w:rFonts w:ascii="Bookman Old Style" w:hAnsi="Bookman Old Style"/>
        </w:rPr>
        <w:t>,</w:t>
      </w:r>
      <w:r w:rsidRPr="00605EC8">
        <w:rPr>
          <w:rFonts w:ascii="Bookman Old Style" w:hAnsi="Bookman Old Style"/>
        </w:rPr>
        <w:t xml:space="preserve"> </w:t>
      </w:r>
      <w:r w:rsidR="006D1496" w:rsidRPr="00605EC8">
        <w:rPr>
          <w:rFonts w:ascii="Bookman Old Style" w:hAnsi="Bookman Old Style"/>
        </w:rPr>
        <w:t xml:space="preserve">consideró que </w:t>
      </w:r>
      <w:r w:rsidRPr="00605EC8">
        <w:rPr>
          <w:rFonts w:ascii="Bookman Old Style" w:hAnsi="Bookman Old Style"/>
        </w:rPr>
        <w:t xml:space="preserve">se desconocían las razones </w:t>
      </w:r>
      <w:r w:rsidR="00CA4734" w:rsidRPr="00605EC8">
        <w:rPr>
          <w:rFonts w:ascii="Bookman Old Style" w:hAnsi="Bookman Old Style"/>
        </w:rPr>
        <w:t xml:space="preserve">por </w:t>
      </w:r>
      <w:r w:rsidRPr="00605EC8">
        <w:rPr>
          <w:rFonts w:ascii="Bookman Old Style" w:hAnsi="Bookman Old Style"/>
        </w:rPr>
        <w:t xml:space="preserve">las </w:t>
      </w:r>
      <w:r w:rsidR="00CA4734" w:rsidRPr="00605EC8">
        <w:rPr>
          <w:rFonts w:ascii="Bookman Old Style" w:hAnsi="Bookman Old Style"/>
        </w:rPr>
        <w:t xml:space="preserve">que </w:t>
      </w:r>
      <w:r w:rsidR="006D1496" w:rsidRPr="00605EC8">
        <w:rPr>
          <w:rFonts w:ascii="Bookman Old Style" w:hAnsi="Bookman Old Style"/>
        </w:rPr>
        <w:t xml:space="preserve">el empleador </w:t>
      </w:r>
      <w:r w:rsidR="00CA4734" w:rsidRPr="00605EC8">
        <w:rPr>
          <w:rFonts w:ascii="Bookman Old Style" w:hAnsi="Bookman Old Style"/>
        </w:rPr>
        <w:t xml:space="preserve">omitió él </w:t>
      </w:r>
      <w:r w:rsidR="00013951" w:rsidRPr="00605EC8">
        <w:rPr>
          <w:rFonts w:ascii="Bookman Old Style" w:hAnsi="Bookman Old Style"/>
        </w:rPr>
        <w:t>envío</w:t>
      </w:r>
      <w:r w:rsidR="00CA4734" w:rsidRPr="00605EC8">
        <w:rPr>
          <w:rFonts w:ascii="Bookman Old Style" w:hAnsi="Bookman Old Style"/>
        </w:rPr>
        <w:t xml:space="preserve"> de </w:t>
      </w:r>
      <w:r w:rsidRPr="00605EC8">
        <w:rPr>
          <w:rFonts w:ascii="Bookman Old Style" w:hAnsi="Bookman Old Style"/>
        </w:rPr>
        <w:t xml:space="preserve">la </w:t>
      </w:r>
      <w:r w:rsidR="00CA4734" w:rsidRPr="00605EC8">
        <w:rPr>
          <w:rFonts w:ascii="Bookman Old Style" w:hAnsi="Bookman Old Style"/>
        </w:rPr>
        <w:t xml:space="preserve">información al trabajador </w:t>
      </w:r>
      <w:r w:rsidRPr="00605EC8">
        <w:rPr>
          <w:rFonts w:ascii="Bookman Old Style" w:hAnsi="Bookman Old Style"/>
        </w:rPr>
        <w:t xml:space="preserve">a </w:t>
      </w:r>
      <w:r w:rsidR="00CA4734" w:rsidRPr="00605EC8">
        <w:rPr>
          <w:rFonts w:ascii="Bookman Old Style" w:hAnsi="Bookman Old Style"/>
        </w:rPr>
        <w:t xml:space="preserve">la terminación del contrato o si el pago se efectuó en el plazo, </w:t>
      </w:r>
      <w:r w:rsidRPr="00605EC8">
        <w:rPr>
          <w:rFonts w:ascii="Bookman Old Style" w:hAnsi="Bookman Old Style"/>
        </w:rPr>
        <w:t xml:space="preserve">además, en ningún caso, no había </w:t>
      </w:r>
      <w:r w:rsidR="00CA4734" w:rsidRPr="00605EC8">
        <w:rPr>
          <w:rFonts w:ascii="Bookman Old Style" w:hAnsi="Bookman Old Style"/>
        </w:rPr>
        <w:t>lugar a la reincorporación al cargo.</w:t>
      </w:r>
      <w:r w:rsidR="00A1125B" w:rsidRPr="00605EC8">
        <w:rPr>
          <w:rFonts w:ascii="Bookman Old Style" w:hAnsi="Bookman Old Style"/>
        </w:rPr>
        <w:t xml:space="preserve"> </w:t>
      </w:r>
    </w:p>
    <w:p w14:paraId="7221683F" w14:textId="77777777" w:rsidR="006D1496" w:rsidRPr="00605EC8" w:rsidRDefault="006D1496" w:rsidP="00605EC8">
      <w:pPr>
        <w:spacing w:line="276" w:lineRule="auto"/>
        <w:ind w:firstLine="0"/>
        <w:rPr>
          <w:rFonts w:ascii="Bookman Old Style" w:hAnsi="Bookman Old Style"/>
        </w:rPr>
      </w:pPr>
    </w:p>
    <w:p w14:paraId="02689965" w14:textId="4AE5A92F" w:rsidR="00CA4734" w:rsidRPr="00605EC8" w:rsidRDefault="007B38D6" w:rsidP="00605EC8">
      <w:pPr>
        <w:spacing w:line="276" w:lineRule="auto"/>
        <w:ind w:firstLine="0"/>
        <w:rPr>
          <w:rFonts w:ascii="Bookman Old Style" w:hAnsi="Bookman Old Style"/>
        </w:rPr>
      </w:pPr>
      <w:r w:rsidRPr="00605EC8">
        <w:rPr>
          <w:rFonts w:ascii="Bookman Old Style" w:hAnsi="Bookman Old Style"/>
        </w:rPr>
        <w:t>Advierte que</w:t>
      </w:r>
      <w:r w:rsidR="00013951" w:rsidRPr="00605EC8">
        <w:rPr>
          <w:rFonts w:ascii="Bookman Old Style" w:hAnsi="Bookman Old Style"/>
        </w:rPr>
        <w:t xml:space="preserve"> </w:t>
      </w:r>
      <w:r w:rsidRPr="00605EC8">
        <w:rPr>
          <w:rFonts w:ascii="Bookman Old Style" w:hAnsi="Bookman Old Style"/>
        </w:rPr>
        <w:t xml:space="preserve">tampoco se había demostrado </w:t>
      </w:r>
      <w:r w:rsidR="00CA4734" w:rsidRPr="00605EC8">
        <w:rPr>
          <w:rFonts w:ascii="Bookman Old Style" w:hAnsi="Bookman Old Style"/>
        </w:rPr>
        <w:t>que el trabajador fue despedido sin justa causa</w:t>
      </w:r>
      <w:r w:rsidR="00A02162" w:rsidRPr="00605EC8">
        <w:rPr>
          <w:rFonts w:ascii="Bookman Old Style" w:hAnsi="Bookman Old Style"/>
        </w:rPr>
        <w:t xml:space="preserve">, siendo esta </w:t>
      </w:r>
      <w:r w:rsidR="00CA4734" w:rsidRPr="00605EC8">
        <w:rPr>
          <w:rFonts w:ascii="Bookman Old Style" w:hAnsi="Bookman Old Style"/>
        </w:rPr>
        <w:t>la figura de terminación que exige el parágrafo del artículo 65 del CST</w:t>
      </w:r>
      <w:r w:rsidR="00A1125B" w:rsidRPr="00605EC8">
        <w:rPr>
          <w:rFonts w:ascii="Bookman Old Style" w:hAnsi="Bookman Old Style"/>
        </w:rPr>
        <w:t>,</w:t>
      </w:r>
      <w:r w:rsidR="00CA4734" w:rsidRPr="00605EC8">
        <w:rPr>
          <w:rFonts w:ascii="Bookman Old Style" w:hAnsi="Bookman Old Style"/>
        </w:rPr>
        <w:t xml:space="preserve"> </w:t>
      </w:r>
      <w:r w:rsidR="00A1125B" w:rsidRPr="00605EC8">
        <w:rPr>
          <w:rFonts w:ascii="Bookman Old Style" w:hAnsi="Bookman Old Style"/>
        </w:rPr>
        <w:t xml:space="preserve">que obliga el </w:t>
      </w:r>
      <w:r w:rsidR="00CA4734" w:rsidRPr="00605EC8">
        <w:rPr>
          <w:rFonts w:ascii="Bookman Old Style" w:hAnsi="Bookman Old Style"/>
        </w:rPr>
        <w:t xml:space="preserve">informar al trabajador el pago de sus aportes, para </w:t>
      </w:r>
      <w:r w:rsidR="00A1125B" w:rsidRPr="00605EC8">
        <w:rPr>
          <w:rFonts w:ascii="Bookman Old Style" w:hAnsi="Bookman Old Style"/>
        </w:rPr>
        <w:t xml:space="preserve">dar </w:t>
      </w:r>
      <w:r w:rsidR="00CA4734" w:rsidRPr="00605EC8">
        <w:rPr>
          <w:rFonts w:ascii="Bookman Old Style" w:hAnsi="Bookman Old Style"/>
        </w:rPr>
        <w:t xml:space="preserve">eficacia </w:t>
      </w:r>
      <w:r w:rsidR="00A1125B" w:rsidRPr="00605EC8">
        <w:rPr>
          <w:rFonts w:ascii="Bookman Old Style" w:hAnsi="Bookman Old Style"/>
        </w:rPr>
        <w:t xml:space="preserve">al </w:t>
      </w:r>
      <w:r w:rsidR="00CA4734" w:rsidRPr="00605EC8">
        <w:rPr>
          <w:rFonts w:ascii="Bookman Old Style" w:hAnsi="Bookman Old Style"/>
        </w:rPr>
        <w:t xml:space="preserve">despido, supuesto legal </w:t>
      </w:r>
      <w:r w:rsidR="00A1125B" w:rsidRPr="00605EC8">
        <w:rPr>
          <w:rFonts w:ascii="Bookman Old Style" w:hAnsi="Bookman Old Style"/>
        </w:rPr>
        <w:t xml:space="preserve">que en este caso no se había cumplido, negando </w:t>
      </w:r>
      <w:r w:rsidR="0086248E" w:rsidRPr="00605EC8">
        <w:rPr>
          <w:rFonts w:ascii="Bookman Old Style" w:hAnsi="Bookman Old Style"/>
        </w:rPr>
        <w:t xml:space="preserve">por ello tal </w:t>
      </w:r>
      <w:r w:rsidR="00A1125B" w:rsidRPr="00605EC8">
        <w:rPr>
          <w:rFonts w:ascii="Bookman Old Style" w:hAnsi="Bookman Old Style"/>
        </w:rPr>
        <w:t>pretensión.</w:t>
      </w:r>
    </w:p>
    <w:p w14:paraId="18245C72" w14:textId="45FB509D" w:rsidR="00CA4734" w:rsidRPr="00605EC8" w:rsidRDefault="00CA4734" w:rsidP="00605EC8">
      <w:pPr>
        <w:spacing w:line="276" w:lineRule="auto"/>
        <w:rPr>
          <w:rFonts w:ascii="Bookman Old Style" w:hAnsi="Bookman Old Style" w:cs="Arial"/>
        </w:rPr>
      </w:pPr>
    </w:p>
    <w:p w14:paraId="21088495" w14:textId="41AF0404" w:rsidR="00DF5D62" w:rsidRPr="00605EC8" w:rsidRDefault="00A1125B" w:rsidP="00605EC8">
      <w:pPr>
        <w:spacing w:line="276" w:lineRule="auto"/>
        <w:ind w:firstLine="0"/>
        <w:rPr>
          <w:rFonts w:ascii="Bookman Old Style" w:hAnsi="Bookman Old Style"/>
        </w:rPr>
      </w:pPr>
      <w:r w:rsidRPr="00605EC8">
        <w:rPr>
          <w:rFonts w:ascii="Bookman Old Style" w:hAnsi="Bookman Old Style"/>
        </w:rPr>
        <w:t xml:space="preserve">Al arribar a las pretensiones subsidiarias que corresponden </w:t>
      </w:r>
      <w:r w:rsidR="00CA4734" w:rsidRPr="00605EC8">
        <w:rPr>
          <w:rFonts w:ascii="Bookman Old Style" w:hAnsi="Bookman Old Style"/>
        </w:rPr>
        <w:t xml:space="preserve">al pago de las prestaciones sociales, vacaciones, dotación y aportes a seguridad social del tiempo laborado, </w:t>
      </w:r>
      <w:r w:rsidR="00916A4C" w:rsidRPr="00605EC8">
        <w:rPr>
          <w:rFonts w:ascii="Bookman Old Style" w:hAnsi="Bookman Old Style"/>
        </w:rPr>
        <w:t xml:space="preserve">tuvo </w:t>
      </w:r>
      <w:r w:rsidR="00CA4734" w:rsidRPr="00605EC8">
        <w:rPr>
          <w:rFonts w:ascii="Bookman Old Style" w:hAnsi="Bookman Old Style"/>
        </w:rPr>
        <w:t>como remuneración el salario mínimo</w:t>
      </w:r>
      <w:r w:rsidR="00916A4C" w:rsidRPr="00605EC8">
        <w:rPr>
          <w:rFonts w:ascii="Bookman Old Style" w:hAnsi="Bookman Old Style"/>
        </w:rPr>
        <w:t>.</w:t>
      </w:r>
      <w:r w:rsidR="0086248E" w:rsidRPr="00605EC8">
        <w:rPr>
          <w:rFonts w:ascii="Bookman Old Style" w:hAnsi="Bookman Old Style"/>
        </w:rPr>
        <w:t xml:space="preserve"> Sin embargo, al analizar </w:t>
      </w:r>
      <w:r w:rsidR="00542074" w:rsidRPr="00605EC8">
        <w:rPr>
          <w:rFonts w:ascii="Bookman Old Style" w:hAnsi="Bookman Old Style" w:cs="Arial"/>
        </w:rPr>
        <w:t xml:space="preserve">la prescripción, la encontró parcialmente probada al tener en cuenta que el contrato laboral </w:t>
      </w:r>
      <w:r w:rsidR="00DF5D62" w:rsidRPr="00605EC8">
        <w:rPr>
          <w:rFonts w:ascii="Bookman Old Style" w:hAnsi="Bookman Old Style"/>
        </w:rPr>
        <w:t>fue terminado el 6 de marzo del 2005, fecha a partir de la cual empieza a contar el término de prescripción de la acción</w:t>
      </w:r>
      <w:r w:rsidR="00542074" w:rsidRPr="00605EC8">
        <w:rPr>
          <w:rFonts w:ascii="Bookman Old Style" w:hAnsi="Bookman Old Style"/>
        </w:rPr>
        <w:t xml:space="preserve">, sin encontrar prueba </w:t>
      </w:r>
      <w:r w:rsidR="00DF5D62" w:rsidRPr="00605EC8">
        <w:rPr>
          <w:rFonts w:ascii="Bookman Old Style" w:hAnsi="Bookman Old Style"/>
        </w:rPr>
        <w:t xml:space="preserve">de reclamo </w:t>
      </w:r>
      <w:r w:rsidR="00542074" w:rsidRPr="00605EC8">
        <w:rPr>
          <w:rFonts w:ascii="Bookman Old Style" w:hAnsi="Bookman Old Style"/>
        </w:rPr>
        <w:t xml:space="preserve">ante el empleador </w:t>
      </w:r>
      <w:r w:rsidR="00DF5D62" w:rsidRPr="00605EC8">
        <w:rPr>
          <w:rFonts w:ascii="Bookman Old Style" w:hAnsi="Bookman Old Style"/>
        </w:rPr>
        <w:t>para el pago de lo adeudado</w:t>
      </w:r>
      <w:r w:rsidR="00542074" w:rsidRPr="00605EC8">
        <w:rPr>
          <w:rFonts w:ascii="Bookman Old Style" w:hAnsi="Bookman Old Style"/>
        </w:rPr>
        <w:t>, anotando que la reclamación administrativa surtida ante los llamados en solidaridad no interrumpía la prescripción frente al empleador. De allí que estableció que,</w:t>
      </w:r>
      <w:r w:rsidR="00DF5D62" w:rsidRPr="00605EC8">
        <w:rPr>
          <w:rFonts w:ascii="Bookman Old Style" w:hAnsi="Bookman Old Style"/>
        </w:rPr>
        <w:t xml:space="preserve"> al no haberse interrumpido el término aludido, a la fecha de presentación de la demanda </w:t>
      </w:r>
      <w:r w:rsidR="00542074" w:rsidRPr="00605EC8">
        <w:rPr>
          <w:rFonts w:ascii="Bookman Old Style" w:hAnsi="Bookman Old Style"/>
        </w:rPr>
        <w:t>d</w:t>
      </w:r>
      <w:r w:rsidR="00DF5D62" w:rsidRPr="00605EC8">
        <w:rPr>
          <w:rFonts w:ascii="Bookman Old Style" w:hAnsi="Bookman Old Style"/>
        </w:rPr>
        <w:t>el 12 mayo de 2010</w:t>
      </w:r>
      <w:r w:rsidR="00542074" w:rsidRPr="00605EC8">
        <w:rPr>
          <w:rFonts w:ascii="Bookman Old Style" w:hAnsi="Bookman Old Style"/>
        </w:rPr>
        <w:t xml:space="preserve">, a ese momento </w:t>
      </w:r>
      <w:r w:rsidR="00DF5D62" w:rsidRPr="00605EC8">
        <w:rPr>
          <w:rFonts w:ascii="Bookman Old Style" w:hAnsi="Bookman Old Style"/>
        </w:rPr>
        <w:t xml:space="preserve">ya había operado </w:t>
      </w:r>
      <w:r w:rsidR="00542074" w:rsidRPr="00605EC8">
        <w:rPr>
          <w:rFonts w:ascii="Bookman Old Style" w:hAnsi="Bookman Old Style"/>
        </w:rPr>
        <w:t xml:space="preserve">dicho fenómeno quedando a salvo los </w:t>
      </w:r>
      <w:r w:rsidR="00DF5D62" w:rsidRPr="00605EC8">
        <w:rPr>
          <w:rFonts w:ascii="Bookman Old Style" w:hAnsi="Bookman Old Style"/>
        </w:rPr>
        <w:t>aportes al sistema de seguridad social en pensiones, por ser un derecho imprescriptible.</w:t>
      </w:r>
      <w:r w:rsidR="00542074" w:rsidRPr="00605EC8">
        <w:rPr>
          <w:rFonts w:ascii="Bookman Old Style" w:hAnsi="Bookman Old Style"/>
        </w:rPr>
        <w:t xml:space="preserve"> </w:t>
      </w:r>
    </w:p>
    <w:p w14:paraId="1DFE195C" w14:textId="381F9904" w:rsidR="00DF5D62" w:rsidRPr="00605EC8" w:rsidRDefault="00DF5D62" w:rsidP="00605EC8">
      <w:pPr>
        <w:spacing w:line="276" w:lineRule="auto"/>
        <w:rPr>
          <w:rFonts w:ascii="Bookman Old Style" w:hAnsi="Bookman Old Style" w:cs="Arial"/>
        </w:rPr>
      </w:pPr>
    </w:p>
    <w:p w14:paraId="475B27E9" w14:textId="303C7469" w:rsidR="00DF5D62" w:rsidRPr="00605EC8" w:rsidRDefault="00DF5D62" w:rsidP="00605EC8">
      <w:pPr>
        <w:spacing w:line="276" w:lineRule="auto"/>
        <w:ind w:firstLine="0"/>
        <w:rPr>
          <w:rFonts w:ascii="Bookman Old Style" w:hAnsi="Bookman Old Style"/>
        </w:rPr>
      </w:pPr>
      <w:r w:rsidRPr="00605EC8">
        <w:rPr>
          <w:rFonts w:ascii="Bookman Old Style" w:hAnsi="Bookman Old Style"/>
        </w:rPr>
        <w:t>En cuanto al pago de aportes al sistema de seguridad social</w:t>
      </w:r>
      <w:r w:rsidR="00E958FD" w:rsidRPr="00605EC8">
        <w:rPr>
          <w:rFonts w:ascii="Bookman Old Style" w:hAnsi="Bookman Old Style"/>
        </w:rPr>
        <w:t xml:space="preserve"> </w:t>
      </w:r>
      <w:r w:rsidRPr="00605EC8">
        <w:rPr>
          <w:rFonts w:ascii="Bookman Old Style" w:hAnsi="Bookman Old Style"/>
        </w:rPr>
        <w:t>integral por el tiempo laborado</w:t>
      </w:r>
      <w:r w:rsidR="00E958FD" w:rsidRPr="00605EC8">
        <w:rPr>
          <w:rFonts w:ascii="Bookman Old Style" w:hAnsi="Bookman Old Style"/>
        </w:rPr>
        <w:t xml:space="preserve">, indicó que respecto del sistema de salud y ARL no había lugar a proferir condena porque </w:t>
      </w:r>
      <w:r w:rsidRPr="00605EC8">
        <w:rPr>
          <w:rFonts w:ascii="Bookman Old Style" w:hAnsi="Bookman Old Style"/>
        </w:rPr>
        <w:t xml:space="preserve">dichas afiliaciones </w:t>
      </w:r>
      <w:r w:rsidR="00E958FD" w:rsidRPr="00605EC8">
        <w:rPr>
          <w:rFonts w:ascii="Bookman Old Style" w:hAnsi="Bookman Old Style"/>
        </w:rPr>
        <w:t xml:space="preserve">cubrían </w:t>
      </w:r>
      <w:r w:rsidRPr="00605EC8">
        <w:rPr>
          <w:rFonts w:ascii="Bookman Old Style" w:hAnsi="Bookman Old Style"/>
        </w:rPr>
        <w:t xml:space="preserve">las contingencias </w:t>
      </w:r>
      <w:r w:rsidR="00E958FD" w:rsidRPr="00605EC8">
        <w:rPr>
          <w:rFonts w:ascii="Bookman Old Style" w:hAnsi="Bookman Old Style"/>
        </w:rPr>
        <w:t xml:space="preserve">presentadas durante </w:t>
      </w:r>
      <w:r w:rsidRPr="00605EC8">
        <w:rPr>
          <w:rFonts w:ascii="Bookman Old Style" w:hAnsi="Bookman Old Style"/>
        </w:rPr>
        <w:t xml:space="preserve">la ejecución de la relación laboral, </w:t>
      </w:r>
      <w:r w:rsidR="00E958FD" w:rsidRPr="00605EC8">
        <w:rPr>
          <w:rFonts w:ascii="Bookman Old Style" w:hAnsi="Bookman Old Style"/>
        </w:rPr>
        <w:t xml:space="preserve">pues </w:t>
      </w:r>
      <w:r w:rsidRPr="00605EC8">
        <w:rPr>
          <w:rFonts w:ascii="Bookman Old Style" w:hAnsi="Bookman Old Style"/>
        </w:rPr>
        <w:t xml:space="preserve">a cargo del </w:t>
      </w:r>
      <w:r w:rsidR="00E958FD" w:rsidRPr="00605EC8">
        <w:rPr>
          <w:rFonts w:ascii="Bookman Old Style" w:hAnsi="Bookman Old Style"/>
        </w:rPr>
        <w:t xml:space="preserve">empleador estaba la de </w:t>
      </w:r>
      <w:r w:rsidRPr="00605EC8">
        <w:rPr>
          <w:rFonts w:ascii="Bookman Old Style" w:hAnsi="Bookman Old Style"/>
        </w:rPr>
        <w:t>sufragar el gasto que demand</w:t>
      </w:r>
      <w:r w:rsidR="00E958FD" w:rsidRPr="00605EC8">
        <w:rPr>
          <w:rFonts w:ascii="Bookman Old Style" w:hAnsi="Bookman Old Style"/>
        </w:rPr>
        <w:t>aran</w:t>
      </w:r>
      <w:r w:rsidRPr="00605EC8">
        <w:rPr>
          <w:rFonts w:ascii="Bookman Old Style" w:hAnsi="Bookman Old Style"/>
        </w:rPr>
        <w:t xml:space="preserve"> los siniestros ocurridos cuando aquél no tenía afiliado al trabajador </w:t>
      </w:r>
      <w:r w:rsidR="00E958FD" w:rsidRPr="00605EC8">
        <w:rPr>
          <w:rFonts w:ascii="Bookman Old Style" w:hAnsi="Bookman Old Style"/>
        </w:rPr>
        <w:t xml:space="preserve">en tales subsistemas, pero frente </w:t>
      </w:r>
      <w:r w:rsidRPr="00605EC8">
        <w:rPr>
          <w:rFonts w:ascii="Bookman Old Style" w:hAnsi="Bookman Old Style"/>
        </w:rPr>
        <w:t xml:space="preserve">a los aportes a pensiones, </w:t>
      </w:r>
      <w:r w:rsidR="00E958FD" w:rsidRPr="00605EC8">
        <w:rPr>
          <w:rFonts w:ascii="Bookman Old Style" w:hAnsi="Bookman Old Style"/>
        </w:rPr>
        <w:t xml:space="preserve">tuvo en cuenta </w:t>
      </w:r>
      <w:r w:rsidRPr="00605EC8">
        <w:rPr>
          <w:rFonts w:ascii="Bookman Old Style" w:hAnsi="Bookman Old Style"/>
        </w:rPr>
        <w:t xml:space="preserve">el documento </w:t>
      </w:r>
      <w:r w:rsidR="00E958FD" w:rsidRPr="00605EC8">
        <w:rPr>
          <w:rFonts w:ascii="Bookman Old Style" w:hAnsi="Bookman Old Style"/>
        </w:rPr>
        <w:t xml:space="preserve">arrimado </w:t>
      </w:r>
      <w:r w:rsidRPr="00605EC8">
        <w:rPr>
          <w:rFonts w:ascii="Bookman Old Style" w:hAnsi="Bookman Old Style"/>
        </w:rPr>
        <w:t xml:space="preserve">por Protección </w:t>
      </w:r>
      <w:proofErr w:type="spellStart"/>
      <w:r w:rsidR="00E958FD" w:rsidRPr="00605EC8">
        <w:rPr>
          <w:rFonts w:ascii="Bookman Old Style" w:hAnsi="Bookman Old Style"/>
        </w:rPr>
        <w:t>S.A</w:t>
      </w:r>
      <w:proofErr w:type="spellEnd"/>
      <w:r w:rsidR="00E958FD" w:rsidRPr="00605EC8">
        <w:rPr>
          <w:rFonts w:ascii="Bookman Old Style" w:hAnsi="Bookman Old Style"/>
        </w:rPr>
        <w:t xml:space="preserve"> donde se </w:t>
      </w:r>
      <w:r w:rsidRPr="00605EC8">
        <w:rPr>
          <w:rFonts w:ascii="Bookman Old Style" w:hAnsi="Bookman Old Style"/>
        </w:rPr>
        <w:t xml:space="preserve">acreditó </w:t>
      </w:r>
      <w:r w:rsidR="00E958FD" w:rsidRPr="00605EC8">
        <w:rPr>
          <w:rFonts w:ascii="Bookman Old Style" w:hAnsi="Bookman Old Style"/>
        </w:rPr>
        <w:t xml:space="preserve">la realización de </w:t>
      </w:r>
      <w:r w:rsidRPr="00605EC8">
        <w:rPr>
          <w:rFonts w:ascii="Bookman Old Style" w:hAnsi="Bookman Old Style"/>
        </w:rPr>
        <w:t xml:space="preserve">aportes correspondientes a 8 días de octubre de 2004, y 6 días de febrero de 2005 por parte del Consorcio </w:t>
      </w:r>
      <w:r w:rsidR="00D22E25" w:rsidRPr="00605EC8">
        <w:rPr>
          <w:rFonts w:ascii="Bookman Old Style" w:hAnsi="Bookman Old Style"/>
        </w:rPr>
        <w:t>Megavía</w:t>
      </w:r>
      <w:r w:rsidRPr="00605EC8">
        <w:rPr>
          <w:rFonts w:ascii="Bookman Old Style" w:hAnsi="Bookman Old Style"/>
        </w:rPr>
        <w:t xml:space="preserve"> 2004. </w:t>
      </w:r>
      <w:r w:rsidR="00BD2106" w:rsidRPr="00605EC8">
        <w:rPr>
          <w:rFonts w:ascii="Bookman Old Style" w:hAnsi="Bookman Old Style"/>
        </w:rPr>
        <w:t xml:space="preserve">Así, estableció </w:t>
      </w:r>
      <w:r w:rsidR="00441EF1" w:rsidRPr="00605EC8">
        <w:rPr>
          <w:rFonts w:ascii="Bookman Old Style" w:hAnsi="Bookman Old Style"/>
        </w:rPr>
        <w:t xml:space="preserve">el derecho del accionante </w:t>
      </w:r>
      <w:r w:rsidRPr="00605EC8">
        <w:rPr>
          <w:rFonts w:ascii="Bookman Old Style" w:hAnsi="Bookman Old Style"/>
        </w:rPr>
        <w:t xml:space="preserve">a </w:t>
      </w:r>
      <w:r w:rsidRPr="00605EC8">
        <w:rPr>
          <w:rFonts w:ascii="Bookman Old Style" w:hAnsi="Bookman Old Style"/>
        </w:rPr>
        <w:lastRenderedPageBreak/>
        <w:t xml:space="preserve">que los empleadores </w:t>
      </w:r>
      <w:r w:rsidR="00441EF1" w:rsidRPr="00605EC8">
        <w:rPr>
          <w:rFonts w:ascii="Bookman Old Style" w:hAnsi="Bookman Old Style"/>
        </w:rPr>
        <w:t xml:space="preserve">cancelaran el cálculo actuarial de </w:t>
      </w:r>
      <w:r w:rsidRPr="00605EC8">
        <w:rPr>
          <w:rFonts w:ascii="Bookman Old Style" w:hAnsi="Bookman Old Style"/>
        </w:rPr>
        <w:t xml:space="preserve">16 días de septiembre, 22 días de octubre, 30 días de noviembre y diciembre de 2004, </w:t>
      </w:r>
      <w:r w:rsidR="00441EF1" w:rsidRPr="00605EC8">
        <w:rPr>
          <w:rFonts w:ascii="Bookman Old Style" w:hAnsi="Bookman Old Style"/>
        </w:rPr>
        <w:t xml:space="preserve">así como </w:t>
      </w:r>
      <w:r w:rsidRPr="00605EC8">
        <w:rPr>
          <w:rFonts w:ascii="Bookman Old Style" w:hAnsi="Bookman Old Style"/>
        </w:rPr>
        <w:t xml:space="preserve">30 días de enero, 22 días de febrero y 6 días de marzo de 2005, teniendo en cuenta, los extremos de la relación laboral fijados, los que se </w:t>
      </w:r>
      <w:r w:rsidR="00441EF1" w:rsidRPr="00605EC8">
        <w:rPr>
          <w:rFonts w:ascii="Bookman Old Style" w:hAnsi="Bookman Old Style"/>
        </w:rPr>
        <w:t xml:space="preserve">debían </w:t>
      </w:r>
      <w:r w:rsidRPr="00605EC8">
        <w:rPr>
          <w:rFonts w:ascii="Bookman Old Style" w:hAnsi="Bookman Old Style"/>
        </w:rPr>
        <w:t xml:space="preserve">hacer con un </w:t>
      </w:r>
      <w:r w:rsidR="00441EF1" w:rsidRPr="00605EC8">
        <w:rPr>
          <w:rFonts w:ascii="Bookman Old Style" w:hAnsi="Bookman Old Style"/>
        </w:rPr>
        <w:t xml:space="preserve">IBC igual al </w:t>
      </w:r>
      <w:proofErr w:type="spellStart"/>
      <w:r w:rsidR="00441EF1" w:rsidRPr="00605EC8">
        <w:rPr>
          <w:rFonts w:ascii="Bookman Old Style" w:hAnsi="Bookman Old Style"/>
        </w:rPr>
        <w:t>SMLV</w:t>
      </w:r>
      <w:proofErr w:type="spellEnd"/>
      <w:r w:rsidR="00441EF1" w:rsidRPr="00605EC8">
        <w:rPr>
          <w:rFonts w:ascii="Bookman Old Style" w:hAnsi="Bookman Old Style"/>
        </w:rPr>
        <w:t xml:space="preserve">, además de los </w:t>
      </w:r>
      <w:r w:rsidRPr="00605EC8">
        <w:rPr>
          <w:rFonts w:ascii="Bookman Old Style" w:hAnsi="Bookman Old Style"/>
        </w:rPr>
        <w:t xml:space="preserve">intereses moratorios y rendimientos financieros </w:t>
      </w:r>
      <w:r w:rsidR="004C2EFE" w:rsidRPr="00605EC8">
        <w:rPr>
          <w:rFonts w:ascii="Bookman Old Style" w:hAnsi="Bookman Old Style"/>
        </w:rPr>
        <w:t xml:space="preserve">que le fueran cobrados por </w:t>
      </w:r>
      <w:r w:rsidRPr="00605EC8">
        <w:rPr>
          <w:rFonts w:ascii="Bookman Old Style" w:hAnsi="Bookman Old Style"/>
        </w:rPr>
        <w:t xml:space="preserve">la </w:t>
      </w:r>
      <w:r w:rsidR="00441EF1" w:rsidRPr="00605EC8">
        <w:rPr>
          <w:rFonts w:ascii="Bookman Old Style" w:hAnsi="Bookman Old Style"/>
        </w:rPr>
        <w:t xml:space="preserve">AFP Protección </w:t>
      </w:r>
      <w:r w:rsidRPr="00605EC8">
        <w:rPr>
          <w:rFonts w:ascii="Bookman Old Style" w:hAnsi="Bookman Old Style"/>
        </w:rPr>
        <w:t>S.A</w:t>
      </w:r>
      <w:r w:rsidR="00441EF1" w:rsidRPr="00605EC8">
        <w:rPr>
          <w:rFonts w:ascii="Bookman Old Style" w:hAnsi="Bookman Old Style"/>
        </w:rPr>
        <w:t>.</w:t>
      </w:r>
    </w:p>
    <w:p w14:paraId="3DBEFD14" w14:textId="62FFCCF8" w:rsidR="00DF5D62" w:rsidRPr="00605EC8" w:rsidRDefault="00DF5D62" w:rsidP="00605EC8">
      <w:pPr>
        <w:spacing w:line="276" w:lineRule="auto"/>
        <w:rPr>
          <w:rFonts w:ascii="Bookman Old Style" w:hAnsi="Bookman Old Style"/>
        </w:rPr>
      </w:pPr>
    </w:p>
    <w:p w14:paraId="35AC8B73" w14:textId="07BB6612" w:rsidR="00A054C1" w:rsidRPr="00605EC8" w:rsidRDefault="00302153" w:rsidP="00605EC8">
      <w:pPr>
        <w:spacing w:line="276" w:lineRule="auto"/>
        <w:ind w:firstLine="0"/>
        <w:rPr>
          <w:rFonts w:ascii="Bookman Old Style" w:hAnsi="Bookman Old Style"/>
        </w:rPr>
      </w:pPr>
      <w:r w:rsidRPr="00605EC8">
        <w:rPr>
          <w:rFonts w:ascii="Bookman Old Style" w:hAnsi="Bookman Old Style"/>
          <w:bCs/>
        </w:rPr>
        <w:t xml:space="preserve">Frente a </w:t>
      </w:r>
      <w:r w:rsidR="00463B17" w:rsidRPr="00605EC8">
        <w:rPr>
          <w:rFonts w:ascii="Bookman Old Style" w:hAnsi="Bookman Old Style"/>
          <w:bCs/>
        </w:rPr>
        <w:t xml:space="preserve">la </w:t>
      </w:r>
      <w:r w:rsidR="00DF5D62" w:rsidRPr="00605EC8">
        <w:rPr>
          <w:rFonts w:ascii="Bookman Old Style" w:hAnsi="Bookman Old Style"/>
          <w:bCs/>
        </w:rPr>
        <w:t>Solidaridad</w:t>
      </w:r>
      <w:r w:rsidR="00463B17" w:rsidRPr="00605EC8">
        <w:rPr>
          <w:rFonts w:ascii="Bookman Old Style" w:hAnsi="Bookman Old Style"/>
          <w:bCs/>
        </w:rPr>
        <w:t>, la estableció respecto de MEGABUS S.A.</w:t>
      </w:r>
      <w:r w:rsidR="00463B17" w:rsidRPr="00605EC8">
        <w:rPr>
          <w:rFonts w:ascii="Bookman Old Style" w:hAnsi="Bookman Old Style"/>
        </w:rPr>
        <w:t xml:space="preserve"> como </w:t>
      </w:r>
      <w:r w:rsidR="00A054C1" w:rsidRPr="00605EC8">
        <w:rPr>
          <w:rFonts w:ascii="Bookman Old Style" w:hAnsi="Bookman Old Style"/>
        </w:rPr>
        <w:t xml:space="preserve">beneficiario del servicio o dueño de la obra, </w:t>
      </w:r>
      <w:r w:rsidR="00463B17" w:rsidRPr="00605EC8">
        <w:rPr>
          <w:rFonts w:ascii="Bookman Old Style" w:hAnsi="Bookman Old Style"/>
        </w:rPr>
        <w:t xml:space="preserve">por lo que consideró que tenía la </w:t>
      </w:r>
      <w:r w:rsidR="00A054C1" w:rsidRPr="00605EC8">
        <w:rPr>
          <w:rFonts w:ascii="Bookman Old Style" w:hAnsi="Bookman Old Style"/>
        </w:rPr>
        <w:t xml:space="preserve">connotación de garante para el pago de las acreencias </w:t>
      </w:r>
      <w:r w:rsidR="00463B17" w:rsidRPr="00605EC8">
        <w:rPr>
          <w:rFonts w:ascii="Bookman Old Style" w:hAnsi="Bookman Old Style"/>
        </w:rPr>
        <w:t>laborales</w:t>
      </w:r>
      <w:r w:rsidR="00A054C1" w:rsidRPr="00605EC8">
        <w:rPr>
          <w:rFonts w:ascii="Bookman Old Style" w:hAnsi="Bookman Old Style"/>
        </w:rPr>
        <w:t xml:space="preserve">, </w:t>
      </w:r>
      <w:r w:rsidR="00463B17" w:rsidRPr="00605EC8">
        <w:rPr>
          <w:rFonts w:ascii="Bookman Old Style" w:hAnsi="Bookman Old Style"/>
        </w:rPr>
        <w:t xml:space="preserve">al haber encontrado que las actividades del contratista </w:t>
      </w:r>
      <w:r w:rsidR="000C4E19" w:rsidRPr="00605EC8">
        <w:rPr>
          <w:rFonts w:ascii="Bookman Old Style" w:hAnsi="Bookman Old Style"/>
        </w:rPr>
        <w:t xml:space="preserve">independiente </w:t>
      </w:r>
      <w:r w:rsidR="00463B17" w:rsidRPr="00605EC8">
        <w:rPr>
          <w:rFonts w:ascii="Bookman Old Style" w:hAnsi="Bookman Old Style"/>
        </w:rPr>
        <w:t xml:space="preserve">no eran extrañas </w:t>
      </w:r>
      <w:r w:rsidR="00A054C1" w:rsidRPr="00605EC8">
        <w:rPr>
          <w:rFonts w:ascii="Bookman Old Style" w:hAnsi="Bookman Old Style"/>
        </w:rPr>
        <w:t xml:space="preserve">a las actividades de </w:t>
      </w:r>
      <w:proofErr w:type="spellStart"/>
      <w:r w:rsidR="00463B17" w:rsidRPr="00605EC8">
        <w:rPr>
          <w:rFonts w:ascii="Bookman Old Style" w:hAnsi="Bookman Old Style"/>
        </w:rPr>
        <w:t>Megab</w:t>
      </w:r>
      <w:r w:rsidR="00A36FE8" w:rsidRPr="00605EC8">
        <w:rPr>
          <w:rFonts w:ascii="Bookman Old Style" w:hAnsi="Bookman Old Style"/>
        </w:rPr>
        <w:t>ú</w:t>
      </w:r>
      <w:r w:rsidR="00463B17" w:rsidRPr="00605EC8">
        <w:rPr>
          <w:rFonts w:ascii="Bookman Old Style" w:hAnsi="Bookman Old Style"/>
        </w:rPr>
        <w:t>s</w:t>
      </w:r>
      <w:proofErr w:type="spellEnd"/>
      <w:r w:rsidR="00463B17" w:rsidRPr="00605EC8">
        <w:rPr>
          <w:rFonts w:ascii="Bookman Old Style" w:hAnsi="Bookman Old Style"/>
        </w:rPr>
        <w:t xml:space="preserve"> S.A.</w:t>
      </w:r>
      <w:r w:rsidR="00A36FE8" w:rsidRPr="00605EC8">
        <w:rPr>
          <w:rFonts w:ascii="Bookman Old Style" w:hAnsi="Bookman Old Style"/>
        </w:rPr>
        <w:t>, porque del certificado de existencia y representación legal de este</w:t>
      </w:r>
      <w:r w:rsidR="000C4E19" w:rsidRPr="00605EC8">
        <w:rPr>
          <w:rFonts w:ascii="Bookman Old Style" w:hAnsi="Bookman Old Style"/>
        </w:rPr>
        <w:t xml:space="preserve">, se indicaba que </w:t>
      </w:r>
      <w:r w:rsidR="00A054C1" w:rsidRPr="00605EC8">
        <w:rPr>
          <w:rFonts w:ascii="Bookman Old Style" w:hAnsi="Bookman Old Style"/>
        </w:rPr>
        <w:t xml:space="preserve">para el desarrollo de su objeto social </w:t>
      </w:r>
      <w:r w:rsidR="000C4E19" w:rsidRPr="00605EC8">
        <w:rPr>
          <w:rFonts w:ascii="Bookman Old Style" w:hAnsi="Bookman Old Style"/>
        </w:rPr>
        <w:t xml:space="preserve">podía </w:t>
      </w:r>
      <w:r w:rsidR="00A054C1" w:rsidRPr="00605EC8">
        <w:rPr>
          <w:rFonts w:ascii="Bookman Old Style" w:hAnsi="Bookman Old Style"/>
        </w:rPr>
        <w:t>desarrollar “</w:t>
      </w:r>
      <w:r w:rsidR="00A054C1" w:rsidRPr="004A79A5">
        <w:rPr>
          <w:rFonts w:ascii="Bookman Old Style" w:hAnsi="Bookman Old Style"/>
          <w:sz w:val="22"/>
          <w:szCs w:val="22"/>
        </w:rPr>
        <w:t>la ejecución directamente o través de terceros, de todas las actividades previas, concomitantes y posteriores, para construir, operar y mantener el sistema integrado de transporte masivo…</w:t>
      </w:r>
      <w:r w:rsidR="00A054C1" w:rsidRPr="00605EC8">
        <w:rPr>
          <w:rFonts w:ascii="Bookman Old Style" w:hAnsi="Bookman Old Style"/>
        </w:rPr>
        <w:t>”</w:t>
      </w:r>
      <w:r w:rsidR="000C4E19" w:rsidRPr="00605EC8">
        <w:rPr>
          <w:rFonts w:ascii="Bookman Old Style" w:hAnsi="Bookman Old Style"/>
        </w:rPr>
        <w:t>,</w:t>
      </w:r>
      <w:r w:rsidR="00A054C1" w:rsidRPr="00605EC8">
        <w:rPr>
          <w:rFonts w:ascii="Bookman Old Style" w:hAnsi="Bookman Old Style"/>
        </w:rPr>
        <w:t xml:space="preserve"> Además, </w:t>
      </w:r>
      <w:r w:rsidR="000C4E19" w:rsidRPr="00605EC8">
        <w:rPr>
          <w:rFonts w:ascii="Bookman Old Style" w:hAnsi="Bookman Old Style"/>
        </w:rPr>
        <w:t xml:space="preserve">podía </w:t>
      </w:r>
      <w:r w:rsidR="00A054C1" w:rsidRPr="00605EC8">
        <w:rPr>
          <w:rFonts w:ascii="Bookman Old Style" w:hAnsi="Bookman Old Style"/>
        </w:rPr>
        <w:t>desarrollar “</w:t>
      </w:r>
      <w:r w:rsidR="00A054C1" w:rsidRPr="004A79A5">
        <w:rPr>
          <w:rFonts w:ascii="Bookman Old Style" w:hAnsi="Bookman Old Style"/>
          <w:sz w:val="22"/>
          <w:szCs w:val="22"/>
        </w:rPr>
        <w:t xml:space="preserve">la construcción y puesta en funcionamiento del sistema integrado de transporte masivo, el cual, </w:t>
      </w:r>
      <w:r w:rsidRPr="004A79A5">
        <w:rPr>
          <w:rFonts w:ascii="Bookman Old Style" w:hAnsi="Bookman Old Style"/>
          <w:sz w:val="22"/>
          <w:szCs w:val="22"/>
        </w:rPr>
        <w:t xml:space="preserve">comprendía </w:t>
      </w:r>
      <w:r w:rsidR="00A054C1" w:rsidRPr="004A79A5">
        <w:rPr>
          <w:rFonts w:ascii="Bookman Old Style" w:hAnsi="Bookman Old Style"/>
          <w:sz w:val="22"/>
          <w:szCs w:val="22"/>
        </w:rPr>
        <w:t>el diseño operacional y la planeación del mismo y todas las obras principales y accesorias necesarias para la administración y operación eficaz y eficiente del sistema de transporte masivo…</w:t>
      </w:r>
      <w:r w:rsidR="00A054C1" w:rsidRPr="00605EC8">
        <w:rPr>
          <w:rFonts w:ascii="Bookman Old Style" w:hAnsi="Bookman Old Style"/>
        </w:rPr>
        <w:t>”</w:t>
      </w:r>
      <w:r w:rsidR="000C4E19" w:rsidRPr="00605EC8">
        <w:rPr>
          <w:rFonts w:ascii="Bookman Old Style" w:hAnsi="Bookman Old Style"/>
        </w:rPr>
        <w:t xml:space="preserve">. </w:t>
      </w:r>
      <w:r w:rsidRPr="00605EC8">
        <w:rPr>
          <w:rFonts w:ascii="Bookman Old Style" w:hAnsi="Bookman Old Style"/>
        </w:rPr>
        <w:t>De otro lado</w:t>
      </w:r>
      <w:r w:rsidR="000C4E19" w:rsidRPr="00605EC8">
        <w:rPr>
          <w:rFonts w:ascii="Bookman Old Style" w:hAnsi="Bookman Old Style"/>
        </w:rPr>
        <w:t xml:space="preserve">, descartó igual connotación respecto del </w:t>
      </w:r>
      <w:r w:rsidR="00A054C1" w:rsidRPr="00605EC8">
        <w:rPr>
          <w:rFonts w:ascii="Bookman Old Style" w:hAnsi="Bookman Old Style"/>
        </w:rPr>
        <w:t xml:space="preserve">Municipio de Pereira, </w:t>
      </w:r>
      <w:r w:rsidR="000C4E19" w:rsidRPr="00605EC8">
        <w:rPr>
          <w:rFonts w:ascii="Bookman Old Style" w:hAnsi="Bookman Old Style"/>
        </w:rPr>
        <w:t xml:space="preserve">al </w:t>
      </w:r>
      <w:r w:rsidR="00A054C1" w:rsidRPr="00605EC8">
        <w:rPr>
          <w:rFonts w:ascii="Bookman Old Style" w:hAnsi="Bookman Old Style"/>
        </w:rPr>
        <w:t xml:space="preserve">concluir que respecto </w:t>
      </w:r>
      <w:r w:rsidR="000C4E19" w:rsidRPr="00605EC8">
        <w:rPr>
          <w:rFonts w:ascii="Bookman Old Style" w:hAnsi="Bookman Old Style"/>
        </w:rPr>
        <w:t xml:space="preserve">de dicho </w:t>
      </w:r>
      <w:r w:rsidR="00A054C1" w:rsidRPr="00605EC8">
        <w:rPr>
          <w:rFonts w:ascii="Bookman Old Style" w:hAnsi="Bookman Old Style"/>
        </w:rPr>
        <w:t xml:space="preserve">Ente Territorial no se </w:t>
      </w:r>
      <w:r w:rsidR="000C4E19" w:rsidRPr="00605EC8">
        <w:rPr>
          <w:rFonts w:ascii="Bookman Old Style" w:hAnsi="Bookman Old Style"/>
        </w:rPr>
        <w:t xml:space="preserve">había configurado </w:t>
      </w:r>
      <w:r w:rsidR="00A054C1" w:rsidRPr="00605EC8">
        <w:rPr>
          <w:rFonts w:ascii="Bookman Old Style" w:hAnsi="Bookman Old Style"/>
        </w:rPr>
        <w:t>la precitada solidaridad</w:t>
      </w:r>
      <w:r w:rsidR="000C4E19" w:rsidRPr="00605EC8">
        <w:rPr>
          <w:rFonts w:ascii="Bookman Old Style" w:hAnsi="Bookman Old Style"/>
        </w:rPr>
        <w:t xml:space="preserve"> al no tener este la </w:t>
      </w:r>
      <w:r w:rsidR="00A054C1" w:rsidRPr="00605EC8">
        <w:rPr>
          <w:rFonts w:ascii="Bookman Old Style" w:hAnsi="Bookman Old Style"/>
        </w:rPr>
        <w:t xml:space="preserve">titularidad de </w:t>
      </w:r>
      <w:r w:rsidRPr="00605EC8">
        <w:rPr>
          <w:rFonts w:ascii="Bookman Old Style" w:hAnsi="Bookman Old Style"/>
        </w:rPr>
        <w:t xml:space="preserve">la </w:t>
      </w:r>
      <w:r w:rsidR="00A054C1" w:rsidRPr="00605EC8">
        <w:rPr>
          <w:rFonts w:ascii="Bookman Old Style" w:hAnsi="Bookman Old Style"/>
        </w:rPr>
        <w:t>malla vial que fue intervenida</w:t>
      </w:r>
      <w:r w:rsidR="00184414" w:rsidRPr="00605EC8">
        <w:rPr>
          <w:rFonts w:ascii="Bookman Old Style" w:hAnsi="Bookman Old Style"/>
        </w:rPr>
        <w:t xml:space="preserve"> y, por tanto, no era la beneficiaria del servicio</w:t>
      </w:r>
      <w:r w:rsidR="000C4E19" w:rsidRPr="00605EC8">
        <w:rPr>
          <w:rFonts w:ascii="Bookman Old Style" w:hAnsi="Bookman Old Style"/>
        </w:rPr>
        <w:t>.</w:t>
      </w:r>
    </w:p>
    <w:p w14:paraId="41DF1EF9" w14:textId="77777777" w:rsidR="00373BB6" w:rsidRPr="00605EC8" w:rsidRDefault="00373BB6" w:rsidP="00605EC8">
      <w:pPr>
        <w:spacing w:line="276" w:lineRule="auto"/>
        <w:ind w:firstLine="0"/>
        <w:rPr>
          <w:rFonts w:ascii="Bookman Old Style" w:hAnsi="Bookman Old Style"/>
        </w:rPr>
      </w:pPr>
    </w:p>
    <w:p w14:paraId="08425938" w14:textId="4D66AD0D" w:rsidR="00A054C1" w:rsidRPr="00605EC8" w:rsidRDefault="00373BB6" w:rsidP="00605EC8">
      <w:pPr>
        <w:spacing w:line="276" w:lineRule="auto"/>
        <w:ind w:firstLine="0"/>
        <w:rPr>
          <w:rFonts w:ascii="Bookman Old Style" w:hAnsi="Bookman Old Style"/>
        </w:rPr>
      </w:pPr>
      <w:r w:rsidRPr="00605EC8">
        <w:rPr>
          <w:rFonts w:ascii="Bookman Old Style" w:hAnsi="Bookman Old Style"/>
        </w:rPr>
        <w:t xml:space="preserve">En cuanto al llamamiento en garantía, </w:t>
      </w:r>
      <w:r w:rsidRPr="00605EC8">
        <w:rPr>
          <w:rFonts w:ascii="Bookman Old Style" w:hAnsi="Bookman Old Style"/>
          <w:bCs/>
        </w:rPr>
        <w:t xml:space="preserve">realizado por </w:t>
      </w:r>
      <w:r w:rsidR="00A054C1" w:rsidRPr="00605EC8">
        <w:rPr>
          <w:rFonts w:ascii="Bookman Old Style" w:hAnsi="Bookman Old Style"/>
        </w:rPr>
        <w:t xml:space="preserve">MEGABUS S.A., </w:t>
      </w:r>
      <w:r w:rsidRPr="00605EC8">
        <w:rPr>
          <w:rFonts w:ascii="Bookman Old Style" w:hAnsi="Bookman Old Style"/>
        </w:rPr>
        <w:t xml:space="preserve">respecto de </w:t>
      </w:r>
      <w:r w:rsidR="00A054C1" w:rsidRPr="00605EC8">
        <w:rPr>
          <w:rFonts w:ascii="Bookman Old Style" w:hAnsi="Bookman Old Style"/>
        </w:rPr>
        <w:t xml:space="preserve">la Compañía Aseguradora de Fianzas S.A. </w:t>
      </w:r>
      <w:r w:rsidRPr="00605EC8">
        <w:rPr>
          <w:rFonts w:ascii="Bookman Old Style" w:hAnsi="Bookman Old Style"/>
        </w:rPr>
        <w:t>Confianza</w:t>
      </w:r>
      <w:r w:rsidR="00A054C1" w:rsidRPr="00605EC8">
        <w:rPr>
          <w:rFonts w:ascii="Bookman Old Style" w:hAnsi="Bookman Old Style"/>
        </w:rPr>
        <w:t xml:space="preserve">, </w:t>
      </w:r>
      <w:r w:rsidRPr="00605EC8">
        <w:rPr>
          <w:rFonts w:ascii="Bookman Old Style" w:hAnsi="Bookman Old Style"/>
        </w:rPr>
        <w:t xml:space="preserve">tuvo en </w:t>
      </w:r>
      <w:r w:rsidR="00A054C1" w:rsidRPr="00605EC8">
        <w:rPr>
          <w:rFonts w:ascii="Bookman Old Style" w:hAnsi="Bookman Old Style"/>
        </w:rPr>
        <w:t xml:space="preserve">cuenta la póliza </w:t>
      </w:r>
      <w:proofErr w:type="spellStart"/>
      <w:r w:rsidR="00A054C1" w:rsidRPr="00605EC8">
        <w:rPr>
          <w:rFonts w:ascii="Bookman Old Style" w:hAnsi="Bookman Old Style"/>
        </w:rPr>
        <w:t>No.16</w:t>
      </w:r>
      <w:proofErr w:type="spellEnd"/>
      <w:r w:rsidR="00A054C1" w:rsidRPr="00605EC8">
        <w:rPr>
          <w:rFonts w:ascii="Bookman Old Style" w:hAnsi="Bookman Old Style"/>
        </w:rPr>
        <w:t xml:space="preserve">- </w:t>
      </w:r>
      <w:proofErr w:type="spellStart"/>
      <w:r w:rsidR="00A054C1" w:rsidRPr="00605EC8">
        <w:rPr>
          <w:rFonts w:ascii="Bookman Old Style" w:hAnsi="Bookman Old Style"/>
        </w:rPr>
        <w:t>GU</w:t>
      </w:r>
      <w:proofErr w:type="spellEnd"/>
      <w:r w:rsidR="00A054C1" w:rsidRPr="00605EC8">
        <w:rPr>
          <w:rFonts w:ascii="Bookman Old Style" w:hAnsi="Bookman Old Style"/>
        </w:rPr>
        <w:t xml:space="preserve">-001441 del 13 de agosto de 2004, </w:t>
      </w:r>
      <w:r w:rsidRPr="00605EC8">
        <w:rPr>
          <w:rFonts w:ascii="Bookman Old Style" w:hAnsi="Bookman Old Style"/>
        </w:rPr>
        <w:t xml:space="preserve">que amparó </w:t>
      </w:r>
      <w:r w:rsidR="00A054C1" w:rsidRPr="00605EC8">
        <w:rPr>
          <w:rFonts w:ascii="Bookman Old Style" w:hAnsi="Bookman Old Style"/>
        </w:rPr>
        <w:t>los riesgos derivados del contrato de obra pública No.</w:t>
      </w:r>
      <w:r w:rsidRPr="00605EC8">
        <w:rPr>
          <w:rFonts w:ascii="Bookman Old Style" w:hAnsi="Bookman Old Style"/>
        </w:rPr>
        <w:t xml:space="preserve"> </w:t>
      </w:r>
      <w:r w:rsidR="00A054C1" w:rsidRPr="00605EC8">
        <w:rPr>
          <w:rFonts w:ascii="Bookman Old Style" w:hAnsi="Bookman Old Style"/>
        </w:rPr>
        <w:t xml:space="preserve">02 del 12 de agosto de 2004, entre los cuales </w:t>
      </w:r>
      <w:r w:rsidRPr="00605EC8">
        <w:rPr>
          <w:rFonts w:ascii="Bookman Old Style" w:hAnsi="Bookman Old Style"/>
        </w:rPr>
        <w:t xml:space="preserve">estableció </w:t>
      </w:r>
      <w:r w:rsidR="00A054C1" w:rsidRPr="00605EC8">
        <w:rPr>
          <w:rFonts w:ascii="Bookman Old Style" w:hAnsi="Bookman Old Style"/>
        </w:rPr>
        <w:t xml:space="preserve">el pago de salarios, prestaciones sociales e indemnizaciones a que </w:t>
      </w:r>
      <w:r w:rsidRPr="00605EC8">
        <w:rPr>
          <w:rFonts w:ascii="Bookman Old Style" w:hAnsi="Bookman Old Style"/>
        </w:rPr>
        <w:t xml:space="preserve">hacía </w:t>
      </w:r>
      <w:r w:rsidR="00A054C1" w:rsidRPr="00605EC8">
        <w:rPr>
          <w:rFonts w:ascii="Bookman Old Style" w:hAnsi="Bookman Old Style"/>
        </w:rPr>
        <w:t xml:space="preserve">referencia el </w:t>
      </w:r>
      <w:r w:rsidRPr="00605EC8">
        <w:rPr>
          <w:rFonts w:ascii="Bookman Old Style" w:hAnsi="Bookman Old Style"/>
        </w:rPr>
        <w:t xml:space="preserve">Art. </w:t>
      </w:r>
      <w:r w:rsidR="00A054C1" w:rsidRPr="00605EC8">
        <w:rPr>
          <w:rFonts w:ascii="Bookman Old Style" w:hAnsi="Bookman Old Style"/>
        </w:rPr>
        <w:t xml:space="preserve">64 del </w:t>
      </w:r>
      <w:proofErr w:type="spellStart"/>
      <w:r w:rsidR="00A054C1" w:rsidRPr="00605EC8">
        <w:rPr>
          <w:rFonts w:ascii="Bookman Old Style" w:hAnsi="Bookman Old Style"/>
        </w:rPr>
        <w:t>C</w:t>
      </w:r>
      <w:r w:rsidRPr="00605EC8">
        <w:rPr>
          <w:rFonts w:ascii="Bookman Old Style" w:hAnsi="Bookman Old Style"/>
        </w:rPr>
        <w:t>.S.T</w:t>
      </w:r>
      <w:proofErr w:type="spellEnd"/>
      <w:r w:rsidRPr="00605EC8">
        <w:rPr>
          <w:rFonts w:ascii="Bookman Old Style" w:hAnsi="Bookman Old Style"/>
        </w:rPr>
        <w:t>., póliza que se</w:t>
      </w:r>
      <w:r w:rsidR="00A054C1" w:rsidRPr="00605EC8">
        <w:rPr>
          <w:rFonts w:ascii="Bookman Old Style" w:hAnsi="Bookman Old Style"/>
        </w:rPr>
        <w:t xml:space="preserve"> pactó con una vigencia desde el 13 de agosto de 2004 hasta el 12 de marzo de 2008</w:t>
      </w:r>
      <w:r w:rsidRPr="00605EC8">
        <w:rPr>
          <w:rFonts w:ascii="Bookman Old Style" w:hAnsi="Bookman Old Style"/>
        </w:rPr>
        <w:t xml:space="preserve">, encontrando que </w:t>
      </w:r>
      <w:r w:rsidR="00A054C1" w:rsidRPr="00605EC8">
        <w:rPr>
          <w:rFonts w:ascii="Bookman Old Style" w:hAnsi="Bookman Old Style"/>
        </w:rPr>
        <w:t>al haber</w:t>
      </w:r>
      <w:r w:rsidRPr="00605EC8">
        <w:rPr>
          <w:rFonts w:ascii="Bookman Old Style" w:hAnsi="Bookman Old Style"/>
        </w:rPr>
        <w:t>se</w:t>
      </w:r>
      <w:r w:rsidR="00A054C1" w:rsidRPr="00605EC8">
        <w:rPr>
          <w:rFonts w:ascii="Bookman Old Style" w:hAnsi="Bookman Old Style"/>
        </w:rPr>
        <w:t xml:space="preserve"> acreditad</w:t>
      </w:r>
      <w:r w:rsidRPr="00605EC8">
        <w:rPr>
          <w:rFonts w:ascii="Bookman Old Style" w:hAnsi="Bookman Old Style"/>
        </w:rPr>
        <w:t>o</w:t>
      </w:r>
      <w:r w:rsidR="00A054C1" w:rsidRPr="00605EC8">
        <w:rPr>
          <w:rFonts w:ascii="Bookman Old Style" w:hAnsi="Bookman Old Style"/>
        </w:rPr>
        <w:t xml:space="preserve"> la solidaridad de </w:t>
      </w:r>
      <w:proofErr w:type="spellStart"/>
      <w:r w:rsidR="00A054C1" w:rsidRPr="00605EC8">
        <w:rPr>
          <w:rFonts w:ascii="Bookman Old Style" w:hAnsi="Bookman Old Style"/>
        </w:rPr>
        <w:t>Megabus</w:t>
      </w:r>
      <w:proofErr w:type="spellEnd"/>
      <w:r w:rsidR="00A054C1" w:rsidRPr="00605EC8">
        <w:rPr>
          <w:rFonts w:ascii="Bookman Old Style" w:hAnsi="Bookman Old Style"/>
        </w:rPr>
        <w:t xml:space="preserve"> S.A., frente a las acreencias </w:t>
      </w:r>
      <w:r w:rsidRPr="00605EC8">
        <w:rPr>
          <w:rFonts w:ascii="Bookman Old Style" w:hAnsi="Bookman Old Style"/>
        </w:rPr>
        <w:t xml:space="preserve">del </w:t>
      </w:r>
      <w:r w:rsidR="00A054C1" w:rsidRPr="00605EC8">
        <w:rPr>
          <w:rFonts w:ascii="Bookman Old Style" w:hAnsi="Bookman Old Style"/>
        </w:rPr>
        <w:t xml:space="preserve">trabajador, específicamente por los aportes a seguridad social en pensiones y en virtud de la póliza </w:t>
      </w:r>
      <w:proofErr w:type="spellStart"/>
      <w:r w:rsidR="00A054C1" w:rsidRPr="00605EC8">
        <w:rPr>
          <w:rFonts w:ascii="Bookman Old Style" w:hAnsi="Bookman Old Style"/>
        </w:rPr>
        <w:t>No.16</w:t>
      </w:r>
      <w:proofErr w:type="spellEnd"/>
      <w:r w:rsidR="00A054C1" w:rsidRPr="00605EC8">
        <w:rPr>
          <w:rFonts w:ascii="Bookman Old Style" w:hAnsi="Bookman Old Style"/>
        </w:rPr>
        <w:t>-</w:t>
      </w:r>
      <w:proofErr w:type="spellStart"/>
      <w:r w:rsidR="00A054C1" w:rsidRPr="00605EC8">
        <w:rPr>
          <w:rFonts w:ascii="Bookman Old Style" w:hAnsi="Bookman Old Style"/>
        </w:rPr>
        <w:t>GU</w:t>
      </w:r>
      <w:proofErr w:type="spellEnd"/>
      <w:r w:rsidR="00A054C1" w:rsidRPr="00605EC8">
        <w:rPr>
          <w:rFonts w:ascii="Bookman Old Style" w:hAnsi="Bookman Old Style"/>
        </w:rPr>
        <w:t xml:space="preserve">-001441 del 13 de agosto de 2004, </w:t>
      </w:r>
      <w:r w:rsidRPr="00605EC8">
        <w:rPr>
          <w:rFonts w:ascii="Bookman Old Style" w:hAnsi="Bookman Old Style"/>
        </w:rPr>
        <w:t xml:space="preserve">encontró que aquella estaba </w:t>
      </w:r>
      <w:r w:rsidR="00A054C1" w:rsidRPr="00605EC8">
        <w:rPr>
          <w:rFonts w:ascii="Bookman Old Style" w:hAnsi="Bookman Old Style"/>
        </w:rPr>
        <w:t xml:space="preserve">llamada a responder como garante de </w:t>
      </w:r>
      <w:proofErr w:type="spellStart"/>
      <w:r w:rsidR="00A054C1" w:rsidRPr="00605EC8">
        <w:rPr>
          <w:rFonts w:ascii="Bookman Old Style" w:hAnsi="Bookman Old Style"/>
        </w:rPr>
        <w:t>Megabús</w:t>
      </w:r>
      <w:proofErr w:type="spellEnd"/>
      <w:r w:rsidR="00A054C1" w:rsidRPr="00605EC8">
        <w:rPr>
          <w:rFonts w:ascii="Bookman Old Style" w:hAnsi="Bookman Old Style"/>
        </w:rPr>
        <w:t xml:space="preserve"> S.A. por </w:t>
      </w:r>
      <w:r w:rsidRPr="00605EC8">
        <w:rPr>
          <w:rFonts w:ascii="Bookman Old Style" w:hAnsi="Bookman Old Style"/>
        </w:rPr>
        <w:t xml:space="preserve">dichos </w:t>
      </w:r>
      <w:r w:rsidR="00A054C1" w:rsidRPr="00605EC8">
        <w:rPr>
          <w:rFonts w:ascii="Bookman Old Style" w:hAnsi="Bookman Old Style"/>
        </w:rPr>
        <w:t>valores</w:t>
      </w:r>
      <w:r w:rsidRPr="00605EC8">
        <w:rPr>
          <w:rFonts w:ascii="Bookman Old Style" w:hAnsi="Bookman Old Style"/>
        </w:rPr>
        <w:t>.</w:t>
      </w:r>
    </w:p>
    <w:p w14:paraId="703DE9A5" w14:textId="1239479F" w:rsidR="00DF5D62" w:rsidRPr="00605EC8" w:rsidRDefault="00DF5D62" w:rsidP="00605EC8">
      <w:pPr>
        <w:spacing w:line="276" w:lineRule="auto"/>
        <w:rPr>
          <w:rFonts w:ascii="Bookman Old Style" w:hAnsi="Bookman Old Style" w:cs="Arial"/>
        </w:rPr>
      </w:pPr>
    </w:p>
    <w:p w14:paraId="435C822F" w14:textId="487A33AD" w:rsidR="00A334ED" w:rsidRPr="00605EC8" w:rsidRDefault="00A334ED" w:rsidP="00605EC8">
      <w:pPr>
        <w:spacing w:line="276" w:lineRule="auto"/>
        <w:ind w:firstLine="0"/>
        <w:jc w:val="center"/>
        <w:rPr>
          <w:rFonts w:ascii="Bookman Old Style" w:hAnsi="Bookman Old Style" w:cs="Arial"/>
          <w:b/>
        </w:rPr>
      </w:pPr>
      <w:r w:rsidRPr="00605EC8">
        <w:rPr>
          <w:rFonts w:ascii="Bookman Old Style" w:hAnsi="Bookman Old Style" w:cs="Arial"/>
          <w:b/>
        </w:rPr>
        <w:t xml:space="preserve">RECURSOS DE APELACIÓN </w:t>
      </w:r>
    </w:p>
    <w:p w14:paraId="4EFB1309" w14:textId="77777777" w:rsidR="00A334ED" w:rsidRPr="00605EC8" w:rsidRDefault="00A334ED" w:rsidP="00605EC8">
      <w:pPr>
        <w:spacing w:line="276" w:lineRule="auto"/>
        <w:rPr>
          <w:rFonts w:ascii="Bookman Old Style" w:hAnsi="Bookman Old Style" w:cs="Arial"/>
        </w:rPr>
      </w:pPr>
    </w:p>
    <w:p w14:paraId="14FBFC5D" w14:textId="6D2B2FC7" w:rsidR="00C46C41" w:rsidRPr="00605EC8" w:rsidRDefault="00851B95" w:rsidP="00605EC8">
      <w:pPr>
        <w:spacing w:line="276" w:lineRule="auto"/>
        <w:ind w:firstLine="0"/>
        <w:rPr>
          <w:rFonts w:ascii="Bookman Old Style" w:hAnsi="Bookman Old Style"/>
        </w:rPr>
      </w:pPr>
      <w:r w:rsidRPr="00605EC8">
        <w:rPr>
          <w:rFonts w:ascii="Bookman Old Style" w:hAnsi="Bookman Old Style" w:cs="Arial"/>
          <w:bCs/>
          <w:noProof/>
        </w:rPr>
        <w:t xml:space="preserve">La </w:t>
      </w:r>
      <w:r w:rsidRPr="00605EC8">
        <w:rPr>
          <w:rFonts w:ascii="Bookman Old Style" w:hAnsi="Bookman Old Style" w:cs="Arial"/>
          <w:b/>
          <w:noProof/>
        </w:rPr>
        <w:t>p</w:t>
      </w:r>
      <w:r w:rsidR="00444789" w:rsidRPr="00605EC8">
        <w:rPr>
          <w:rFonts w:ascii="Bookman Old Style" w:hAnsi="Bookman Old Style" w:cs="Arial"/>
          <w:b/>
          <w:noProof/>
        </w:rPr>
        <w:t>arte actora</w:t>
      </w:r>
      <w:r w:rsidRPr="00605EC8">
        <w:rPr>
          <w:rFonts w:ascii="Bookman Old Style" w:hAnsi="Bookman Old Style" w:cs="Arial"/>
          <w:bCs/>
          <w:noProof/>
        </w:rPr>
        <w:t>, insisti</w:t>
      </w:r>
      <w:r w:rsidR="00025B04" w:rsidRPr="00605EC8">
        <w:rPr>
          <w:rFonts w:ascii="Bookman Old Style" w:hAnsi="Bookman Old Style" w:cs="Arial"/>
          <w:bCs/>
          <w:noProof/>
        </w:rPr>
        <w:t>ó</w:t>
      </w:r>
      <w:r w:rsidRPr="00605EC8">
        <w:rPr>
          <w:rFonts w:ascii="Bookman Old Style" w:hAnsi="Bookman Old Style" w:cs="Arial"/>
          <w:bCs/>
          <w:noProof/>
        </w:rPr>
        <w:t xml:space="preserve"> en la aplicaci</w:t>
      </w:r>
      <w:r w:rsidR="0091085A" w:rsidRPr="00605EC8">
        <w:rPr>
          <w:rFonts w:ascii="Bookman Old Style" w:hAnsi="Bookman Old Style" w:cs="Arial"/>
          <w:bCs/>
          <w:noProof/>
        </w:rPr>
        <w:t>ó</w:t>
      </w:r>
      <w:r w:rsidRPr="00605EC8">
        <w:rPr>
          <w:rFonts w:ascii="Bookman Old Style" w:hAnsi="Bookman Old Style" w:cs="Arial"/>
          <w:bCs/>
          <w:noProof/>
        </w:rPr>
        <w:t xml:space="preserve">n del </w:t>
      </w:r>
      <w:r w:rsidR="00C46C41" w:rsidRPr="00605EC8">
        <w:rPr>
          <w:rFonts w:ascii="Bookman Old Style" w:hAnsi="Bookman Old Style"/>
        </w:rPr>
        <w:t>parágrafo 1 del artículo 65 del CST</w:t>
      </w:r>
      <w:r w:rsidRPr="00605EC8">
        <w:rPr>
          <w:rFonts w:ascii="Bookman Old Style" w:hAnsi="Bookman Old Style"/>
        </w:rPr>
        <w:t xml:space="preserve">, considerando </w:t>
      </w:r>
      <w:r w:rsidR="00C46C41" w:rsidRPr="00605EC8">
        <w:rPr>
          <w:rFonts w:ascii="Bookman Old Style" w:hAnsi="Bookman Old Style"/>
        </w:rPr>
        <w:t xml:space="preserve">que </w:t>
      </w:r>
      <w:r w:rsidRPr="00605EC8">
        <w:rPr>
          <w:rFonts w:ascii="Bookman Old Style" w:hAnsi="Bookman Old Style"/>
        </w:rPr>
        <w:t xml:space="preserve">la conclusión de la </w:t>
      </w:r>
      <w:r w:rsidRPr="00605EC8">
        <w:rPr>
          <w:rFonts w:ascii="Bookman Old Style" w:hAnsi="Bookman Old Style"/>
          <w:i/>
          <w:iCs/>
        </w:rPr>
        <w:t xml:space="preserve">a quo </w:t>
      </w:r>
      <w:r w:rsidRPr="00605EC8">
        <w:rPr>
          <w:rFonts w:ascii="Bookman Old Style" w:hAnsi="Bookman Old Style"/>
        </w:rPr>
        <w:t xml:space="preserve">violaba </w:t>
      </w:r>
      <w:r w:rsidR="00C46C41" w:rsidRPr="00605EC8">
        <w:rPr>
          <w:rFonts w:ascii="Bookman Old Style" w:hAnsi="Bookman Old Style"/>
        </w:rPr>
        <w:t xml:space="preserve">el derecho a la igualdad, </w:t>
      </w:r>
      <w:r w:rsidR="0091085A" w:rsidRPr="00605EC8">
        <w:rPr>
          <w:rFonts w:ascii="Bookman Old Style" w:hAnsi="Bookman Old Style"/>
        </w:rPr>
        <w:t xml:space="preserve">al </w:t>
      </w:r>
      <w:r w:rsidRPr="00605EC8">
        <w:rPr>
          <w:rFonts w:ascii="Bookman Old Style" w:hAnsi="Bookman Old Style"/>
        </w:rPr>
        <w:t xml:space="preserve">considerar que no justificaba </w:t>
      </w:r>
      <w:r w:rsidR="00C46C41" w:rsidRPr="00605EC8">
        <w:rPr>
          <w:rFonts w:ascii="Bookman Old Style" w:hAnsi="Bookman Old Style"/>
        </w:rPr>
        <w:t xml:space="preserve">que se </w:t>
      </w:r>
      <w:r w:rsidRPr="00605EC8">
        <w:rPr>
          <w:rFonts w:ascii="Bookman Old Style" w:hAnsi="Bookman Old Style"/>
        </w:rPr>
        <w:t xml:space="preserve">exigiera </w:t>
      </w:r>
      <w:r w:rsidR="00C46C41" w:rsidRPr="00605EC8">
        <w:rPr>
          <w:rFonts w:ascii="Bookman Old Style" w:hAnsi="Bookman Old Style"/>
        </w:rPr>
        <w:t xml:space="preserve">el pago de la seguridad social al trabajador despedido con justa causa como </w:t>
      </w:r>
      <w:r w:rsidRPr="00605EC8">
        <w:rPr>
          <w:rFonts w:ascii="Bookman Old Style" w:hAnsi="Bookman Old Style"/>
        </w:rPr>
        <w:t xml:space="preserve">a aquel </w:t>
      </w:r>
      <w:r w:rsidR="00C46C41" w:rsidRPr="00605EC8">
        <w:rPr>
          <w:rFonts w:ascii="Bookman Old Style" w:hAnsi="Bookman Old Style"/>
        </w:rPr>
        <w:t>que se le finiquita sin justa causa.</w:t>
      </w:r>
      <w:r w:rsidR="00A65815" w:rsidRPr="00605EC8">
        <w:rPr>
          <w:rFonts w:ascii="Bookman Old Style" w:hAnsi="Bookman Old Style"/>
        </w:rPr>
        <w:t xml:space="preserve"> De otro lado, refiere que atendiendo </w:t>
      </w:r>
      <w:r w:rsidR="00C46C41" w:rsidRPr="00605EC8">
        <w:rPr>
          <w:rFonts w:ascii="Bookman Old Style" w:hAnsi="Bookman Old Style"/>
        </w:rPr>
        <w:t xml:space="preserve">la modalidad contractual, </w:t>
      </w:r>
      <w:r w:rsidR="00A65815" w:rsidRPr="00605EC8">
        <w:rPr>
          <w:rFonts w:ascii="Bookman Old Style" w:hAnsi="Bookman Old Style"/>
        </w:rPr>
        <w:t xml:space="preserve">lo lógico era que si </w:t>
      </w:r>
      <w:r w:rsidR="00C46C41" w:rsidRPr="00605EC8">
        <w:rPr>
          <w:rFonts w:ascii="Bookman Old Style" w:hAnsi="Bookman Old Style"/>
        </w:rPr>
        <w:t xml:space="preserve">el demandante fue contratado de manera verbal </w:t>
      </w:r>
      <w:r w:rsidR="00A65815" w:rsidRPr="00605EC8">
        <w:rPr>
          <w:rFonts w:ascii="Bookman Old Style" w:hAnsi="Bookman Old Style"/>
        </w:rPr>
        <w:t xml:space="preserve">lo fue </w:t>
      </w:r>
      <w:r w:rsidR="00C46C41" w:rsidRPr="00605EC8">
        <w:rPr>
          <w:rFonts w:ascii="Bookman Old Style" w:hAnsi="Bookman Old Style"/>
        </w:rPr>
        <w:t>por t</w:t>
      </w:r>
      <w:r w:rsidR="0091085A" w:rsidRPr="00605EC8">
        <w:rPr>
          <w:rFonts w:ascii="Bookman Old Style" w:hAnsi="Bookman Old Style"/>
        </w:rPr>
        <w:t>é</w:t>
      </w:r>
      <w:r w:rsidR="00C46C41" w:rsidRPr="00605EC8">
        <w:rPr>
          <w:rFonts w:ascii="Bookman Old Style" w:hAnsi="Bookman Old Style"/>
        </w:rPr>
        <w:t xml:space="preserve">rmino indefinido, </w:t>
      </w:r>
      <w:r w:rsidR="00A65815" w:rsidRPr="00605EC8">
        <w:rPr>
          <w:rFonts w:ascii="Bookman Old Style" w:hAnsi="Bookman Old Style"/>
        </w:rPr>
        <w:t xml:space="preserve">por lo que sin ninguna </w:t>
      </w:r>
      <w:r w:rsidR="00C46C41" w:rsidRPr="00605EC8">
        <w:rPr>
          <w:rFonts w:ascii="Bookman Old Style" w:hAnsi="Bookman Old Style"/>
        </w:rPr>
        <w:t xml:space="preserve">prueba la </w:t>
      </w:r>
      <w:r w:rsidR="00A65815" w:rsidRPr="00605EC8">
        <w:rPr>
          <w:rFonts w:ascii="Bookman Old Style" w:hAnsi="Bookman Old Style"/>
        </w:rPr>
        <w:t xml:space="preserve">falladora había presumido que se trató </w:t>
      </w:r>
      <w:r w:rsidR="00C46C41" w:rsidRPr="00605EC8">
        <w:rPr>
          <w:rFonts w:ascii="Bookman Old Style" w:hAnsi="Bookman Old Style"/>
        </w:rPr>
        <w:t xml:space="preserve">de la modalidad obra o labor contratada y que </w:t>
      </w:r>
      <w:r w:rsidR="00C46C41" w:rsidRPr="00605EC8">
        <w:rPr>
          <w:rFonts w:ascii="Bookman Old Style" w:hAnsi="Bookman Old Style"/>
        </w:rPr>
        <w:lastRenderedPageBreak/>
        <w:t xml:space="preserve">se terminó por finiquitar la </w:t>
      </w:r>
      <w:r w:rsidR="00A65815" w:rsidRPr="00605EC8">
        <w:rPr>
          <w:rFonts w:ascii="Bookman Old Style" w:hAnsi="Bookman Old Style"/>
        </w:rPr>
        <w:t xml:space="preserve">misma, olvidando la falladora </w:t>
      </w:r>
      <w:r w:rsidR="00C46C41" w:rsidRPr="00605EC8">
        <w:rPr>
          <w:rFonts w:ascii="Bookman Old Style" w:hAnsi="Bookman Old Style"/>
        </w:rPr>
        <w:t xml:space="preserve">que </w:t>
      </w:r>
      <w:r w:rsidR="00A65815" w:rsidRPr="00605EC8">
        <w:rPr>
          <w:rFonts w:ascii="Bookman Old Style" w:hAnsi="Bookman Old Style"/>
        </w:rPr>
        <w:t xml:space="preserve">entre </w:t>
      </w:r>
      <w:r w:rsidR="00C46C41" w:rsidRPr="00605EC8">
        <w:rPr>
          <w:rFonts w:ascii="Bookman Old Style" w:hAnsi="Bookman Old Style"/>
        </w:rPr>
        <w:t xml:space="preserve">las exigencias </w:t>
      </w:r>
      <w:r w:rsidR="00A65815" w:rsidRPr="00605EC8">
        <w:rPr>
          <w:rFonts w:ascii="Bookman Old Style" w:hAnsi="Bookman Old Style"/>
        </w:rPr>
        <w:t xml:space="preserve">de ese </w:t>
      </w:r>
      <w:r w:rsidR="00C46C41" w:rsidRPr="00605EC8">
        <w:rPr>
          <w:rFonts w:ascii="Bookman Old Style" w:hAnsi="Bookman Old Style"/>
        </w:rPr>
        <w:t>tipo de contrato</w:t>
      </w:r>
      <w:r w:rsidR="00A65815" w:rsidRPr="00605EC8">
        <w:rPr>
          <w:rFonts w:ascii="Bookman Old Style" w:hAnsi="Bookman Old Style"/>
        </w:rPr>
        <w:t>s</w:t>
      </w:r>
      <w:r w:rsidR="00C46C41" w:rsidRPr="00605EC8">
        <w:rPr>
          <w:rFonts w:ascii="Bookman Old Style" w:hAnsi="Bookman Old Style"/>
        </w:rPr>
        <w:t xml:space="preserve"> </w:t>
      </w:r>
      <w:r w:rsidR="00A65815" w:rsidRPr="00605EC8">
        <w:rPr>
          <w:rFonts w:ascii="Bookman Old Style" w:hAnsi="Bookman Old Style"/>
        </w:rPr>
        <w:t xml:space="preserve">era </w:t>
      </w:r>
      <w:r w:rsidR="00C46C41" w:rsidRPr="00605EC8">
        <w:rPr>
          <w:rFonts w:ascii="Bookman Old Style" w:hAnsi="Bookman Old Style"/>
        </w:rPr>
        <w:t xml:space="preserve">el acuerdo </w:t>
      </w:r>
      <w:r w:rsidR="00A65815" w:rsidRPr="00605EC8">
        <w:rPr>
          <w:rFonts w:ascii="Bookman Old Style" w:hAnsi="Bookman Old Style"/>
        </w:rPr>
        <w:t xml:space="preserve">expreso </w:t>
      </w:r>
      <w:r w:rsidR="00C46C41" w:rsidRPr="00605EC8">
        <w:rPr>
          <w:rFonts w:ascii="Bookman Old Style" w:hAnsi="Bookman Old Style"/>
        </w:rPr>
        <w:t>respecto a esa modalidad</w:t>
      </w:r>
      <w:r w:rsidR="00A65815" w:rsidRPr="00605EC8">
        <w:rPr>
          <w:rFonts w:ascii="Bookman Old Style" w:hAnsi="Bookman Old Style"/>
        </w:rPr>
        <w:t xml:space="preserve">, por tanto dicho dislate, conllevaba a que quedara </w:t>
      </w:r>
      <w:r w:rsidR="00C46C41" w:rsidRPr="00605EC8">
        <w:rPr>
          <w:rFonts w:ascii="Bookman Old Style" w:hAnsi="Bookman Old Style"/>
        </w:rPr>
        <w:t xml:space="preserve">sin sustento </w:t>
      </w:r>
      <w:r w:rsidR="00A65815" w:rsidRPr="00605EC8">
        <w:rPr>
          <w:rFonts w:ascii="Bookman Old Style" w:hAnsi="Bookman Old Style"/>
        </w:rPr>
        <w:t xml:space="preserve">la conclusión relativa a </w:t>
      </w:r>
      <w:r w:rsidR="00C46C41" w:rsidRPr="00605EC8">
        <w:rPr>
          <w:rFonts w:ascii="Bookman Old Style" w:hAnsi="Bookman Old Style"/>
        </w:rPr>
        <w:t xml:space="preserve">que al no ser </w:t>
      </w:r>
      <w:r w:rsidR="00D66A9D" w:rsidRPr="00605EC8">
        <w:rPr>
          <w:rFonts w:ascii="Bookman Old Style" w:hAnsi="Bookman Old Style"/>
        </w:rPr>
        <w:t xml:space="preserve">una </w:t>
      </w:r>
      <w:r w:rsidR="00C46C41" w:rsidRPr="00605EC8">
        <w:rPr>
          <w:rFonts w:ascii="Bookman Old Style" w:hAnsi="Bookman Old Style"/>
        </w:rPr>
        <w:t>terminación sin justa causa</w:t>
      </w:r>
      <w:r w:rsidR="00A65815" w:rsidRPr="00605EC8">
        <w:rPr>
          <w:rFonts w:ascii="Bookman Old Style" w:hAnsi="Bookman Old Style"/>
        </w:rPr>
        <w:t xml:space="preserve">, </w:t>
      </w:r>
      <w:r w:rsidR="00C46C41" w:rsidRPr="00605EC8">
        <w:rPr>
          <w:rFonts w:ascii="Bookman Old Style" w:hAnsi="Bookman Old Style"/>
        </w:rPr>
        <w:t xml:space="preserve">no </w:t>
      </w:r>
      <w:r w:rsidR="00A65815" w:rsidRPr="00605EC8">
        <w:rPr>
          <w:rFonts w:ascii="Bookman Old Style" w:hAnsi="Bookman Old Style"/>
        </w:rPr>
        <w:t xml:space="preserve">era </w:t>
      </w:r>
      <w:r w:rsidR="00C46C41" w:rsidRPr="00605EC8">
        <w:rPr>
          <w:rFonts w:ascii="Bookman Old Style" w:hAnsi="Bookman Old Style"/>
        </w:rPr>
        <w:t xml:space="preserve">predicable la sanción </w:t>
      </w:r>
      <w:r w:rsidR="00A65815" w:rsidRPr="00605EC8">
        <w:rPr>
          <w:rFonts w:ascii="Bookman Old Style" w:hAnsi="Bookman Old Style"/>
        </w:rPr>
        <w:t>solicitada.</w:t>
      </w:r>
      <w:r w:rsidR="00233888" w:rsidRPr="00605EC8">
        <w:rPr>
          <w:rFonts w:ascii="Bookman Old Style" w:hAnsi="Bookman Old Style"/>
        </w:rPr>
        <w:t xml:space="preserve"> En tal sentido, refiere que </w:t>
      </w:r>
      <w:r w:rsidR="00C46C41" w:rsidRPr="00605EC8">
        <w:rPr>
          <w:rFonts w:ascii="Bookman Old Style" w:hAnsi="Bookman Old Style" w:cs="Arial"/>
        </w:rPr>
        <w:t xml:space="preserve">el parágrafo 1 del </w:t>
      </w:r>
      <w:r w:rsidR="00233888" w:rsidRPr="00605EC8">
        <w:rPr>
          <w:rFonts w:ascii="Bookman Old Style" w:hAnsi="Bookman Old Style" w:cs="Arial"/>
        </w:rPr>
        <w:t>artículo</w:t>
      </w:r>
      <w:r w:rsidR="00C46C41" w:rsidRPr="00605EC8">
        <w:rPr>
          <w:rFonts w:ascii="Bookman Old Style" w:hAnsi="Bookman Old Style" w:cs="Arial"/>
        </w:rPr>
        <w:t xml:space="preserve"> 64 CST, </w:t>
      </w:r>
      <w:r w:rsidR="00D66A9D" w:rsidRPr="00605EC8">
        <w:rPr>
          <w:rFonts w:ascii="Bookman Old Style" w:hAnsi="Bookman Old Style"/>
        </w:rPr>
        <w:t xml:space="preserve">era una </w:t>
      </w:r>
      <w:r w:rsidR="00C46C41" w:rsidRPr="00605EC8">
        <w:rPr>
          <w:rFonts w:ascii="Bookman Old Style" w:hAnsi="Bookman Old Style"/>
        </w:rPr>
        <w:t>norma</w:t>
      </w:r>
      <w:r w:rsidR="00233888" w:rsidRPr="00605EC8">
        <w:rPr>
          <w:rFonts w:ascii="Bookman Old Style" w:hAnsi="Bookman Old Style"/>
        </w:rPr>
        <w:t xml:space="preserve"> </w:t>
      </w:r>
      <w:r w:rsidR="00C46C41" w:rsidRPr="00605EC8">
        <w:rPr>
          <w:rFonts w:ascii="Bookman Old Style" w:hAnsi="Bookman Old Style"/>
        </w:rPr>
        <w:t xml:space="preserve">clara </w:t>
      </w:r>
      <w:r w:rsidR="00233888" w:rsidRPr="00605EC8">
        <w:rPr>
          <w:rFonts w:ascii="Bookman Old Style" w:hAnsi="Bookman Old Style"/>
        </w:rPr>
        <w:t xml:space="preserve">y </w:t>
      </w:r>
      <w:r w:rsidR="00C46C41" w:rsidRPr="00605EC8">
        <w:rPr>
          <w:rFonts w:ascii="Bookman Old Style" w:hAnsi="Bookman Old Style"/>
        </w:rPr>
        <w:t xml:space="preserve">no </w:t>
      </w:r>
      <w:r w:rsidR="00233888" w:rsidRPr="00605EC8">
        <w:rPr>
          <w:rFonts w:ascii="Bookman Old Style" w:hAnsi="Bookman Old Style"/>
        </w:rPr>
        <w:t xml:space="preserve">era </w:t>
      </w:r>
      <w:r w:rsidR="00C46C41" w:rsidRPr="00605EC8">
        <w:rPr>
          <w:rFonts w:ascii="Bookman Old Style" w:hAnsi="Bookman Old Style"/>
        </w:rPr>
        <w:t xml:space="preserve">dable al interprete otorgar </w:t>
      </w:r>
      <w:r w:rsidR="00233888" w:rsidRPr="00605EC8">
        <w:rPr>
          <w:rFonts w:ascii="Bookman Old Style" w:hAnsi="Bookman Old Style"/>
        </w:rPr>
        <w:t xml:space="preserve">un </w:t>
      </w:r>
      <w:r w:rsidR="00C46C41" w:rsidRPr="00605EC8">
        <w:rPr>
          <w:rFonts w:ascii="Bookman Old Style" w:hAnsi="Bookman Old Style"/>
        </w:rPr>
        <w:t xml:space="preserve">sentido diferente </w:t>
      </w:r>
      <w:r w:rsidR="00233888" w:rsidRPr="00605EC8">
        <w:rPr>
          <w:rFonts w:ascii="Bookman Old Style" w:hAnsi="Bookman Old Style"/>
        </w:rPr>
        <w:t xml:space="preserve">a lo que </w:t>
      </w:r>
      <w:r w:rsidR="00D66A9D" w:rsidRPr="00605EC8">
        <w:rPr>
          <w:rFonts w:ascii="Bookman Old Style" w:hAnsi="Bookman Old Style"/>
        </w:rPr>
        <w:t xml:space="preserve">allí </w:t>
      </w:r>
      <w:r w:rsidR="00233888" w:rsidRPr="00605EC8">
        <w:rPr>
          <w:rFonts w:ascii="Bookman Old Style" w:hAnsi="Bookman Old Style"/>
        </w:rPr>
        <w:t xml:space="preserve">se </w:t>
      </w:r>
      <w:r w:rsidR="00C46C41" w:rsidRPr="00605EC8">
        <w:rPr>
          <w:rFonts w:ascii="Bookman Old Style" w:hAnsi="Bookman Old Style"/>
        </w:rPr>
        <w:t xml:space="preserve">quiso expresar. </w:t>
      </w:r>
    </w:p>
    <w:p w14:paraId="71141567" w14:textId="77777777" w:rsidR="00C46C41" w:rsidRPr="00605EC8" w:rsidRDefault="00C46C41" w:rsidP="00605EC8">
      <w:pPr>
        <w:spacing w:line="276" w:lineRule="auto"/>
        <w:rPr>
          <w:rFonts w:ascii="Bookman Old Style" w:hAnsi="Bookman Old Style"/>
        </w:rPr>
      </w:pPr>
    </w:p>
    <w:p w14:paraId="493D587A" w14:textId="6C97BAB2" w:rsidR="00C46C41" w:rsidRPr="00605EC8" w:rsidRDefault="00233888" w:rsidP="00605EC8">
      <w:pPr>
        <w:spacing w:line="276" w:lineRule="auto"/>
        <w:ind w:firstLine="0"/>
        <w:rPr>
          <w:rFonts w:ascii="Bookman Old Style" w:hAnsi="Bookman Old Style"/>
        </w:rPr>
      </w:pPr>
      <w:r w:rsidRPr="00605EC8">
        <w:rPr>
          <w:rFonts w:ascii="Bookman Old Style" w:hAnsi="Bookman Old Style"/>
        </w:rPr>
        <w:t xml:space="preserve">Anota que el </w:t>
      </w:r>
      <w:r w:rsidR="00C46C41" w:rsidRPr="00605EC8">
        <w:rPr>
          <w:rFonts w:ascii="Bookman Old Style" w:hAnsi="Bookman Old Style"/>
        </w:rPr>
        <w:t xml:space="preserve">operador </w:t>
      </w:r>
      <w:r w:rsidRPr="00605EC8">
        <w:rPr>
          <w:rFonts w:ascii="Bookman Old Style" w:hAnsi="Bookman Old Style"/>
        </w:rPr>
        <w:t xml:space="preserve">había mencionado </w:t>
      </w:r>
      <w:r w:rsidR="00C46C41" w:rsidRPr="00605EC8">
        <w:rPr>
          <w:rFonts w:ascii="Bookman Old Style" w:hAnsi="Bookman Old Style"/>
        </w:rPr>
        <w:t xml:space="preserve">que no se probó la mala fe del empleador, de tal suerte que </w:t>
      </w:r>
      <w:r w:rsidR="00E07874" w:rsidRPr="00605EC8">
        <w:rPr>
          <w:rFonts w:ascii="Bookman Old Style" w:hAnsi="Bookman Old Style"/>
        </w:rPr>
        <w:t xml:space="preserve">arguye que no se podía </w:t>
      </w:r>
      <w:r w:rsidR="00C46C41" w:rsidRPr="00605EC8">
        <w:rPr>
          <w:rFonts w:ascii="Bookman Old Style" w:hAnsi="Bookman Old Style"/>
        </w:rPr>
        <w:t xml:space="preserve">aplicar la sanción y </w:t>
      </w:r>
      <w:proofErr w:type="gramStart"/>
      <w:r w:rsidR="00C46C41" w:rsidRPr="00605EC8">
        <w:rPr>
          <w:rFonts w:ascii="Bookman Old Style" w:hAnsi="Bookman Old Style"/>
        </w:rPr>
        <w:t>que</w:t>
      </w:r>
      <w:proofErr w:type="gramEnd"/>
      <w:r w:rsidR="00C46C41" w:rsidRPr="00605EC8">
        <w:rPr>
          <w:rFonts w:ascii="Bookman Old Style" w:hAnsi="Bookman Old Style"/>
        </w:rPr>
        <w:t xml:space="preserve"> pese a </w:t>
      </w:r>
      <w:r w:rsidR="00AD2191" w:rsidRPr="00605EC8">
        <w:rPr>
          <w:rFonts w:ascii="Bookman Old Style" w:hAnsi="Bookman Old Style"/>
        </w:rPr>
        <w:t xml:space="preserve">los </w:t>
      </w:r>
      <w:r w:rsidR="00C46C41" w:rsidRPr="00605EC8">
        <w:rPr>
          <w:rFonts w:ascii="Bookman Old Style" w:hAnsi="Bookman Old Style"/>
        </w:rPr>
        <w:t>oficios remitidos</w:t>
      </w:r>
      <w:r w:rsidR="00AD2191" w:rsidRPr="00605EC8">
        <w:rPr>
          <w:rFonts w:ascii="Bookman Old Style" w:hAnsi="Bookman Old Style"/>
        </w:rPr>
        <w:t xml:space="preserve">, no </w:t>
      </w:r>
      <w:r w:rsidR="00C46C41" w:rsidRPr="00605EC8">
        <w:rPr>
          <w:rFonts w:ascii="Bookman Old Style" w:hAnsi="Bookman Old Style"/>
        </w:rPr>
        <w:t>se pudo establecer si existió o no pago a salud y riesgos laborales</w:t>
      </w:r>
      <w:r w:rsidR="00AD2191" w:rsidRPr="00605EC8">
        <w:rPr>
          <w:rFonts w:ascii="Bookman Old Style" w:hAnsi="Bookman Old Style"/>
        </w:rPr>
        <w:t xml:space="preserve"> y, </w:t>
      </w:r>
      <w:r w:rsidR="00C46C41" w:rsidRPr="00605EC8">
        <w:rPr>
          <w:rFonts w:ascii="Bookman Old Style" w:hAnsi="Bookman Old Style"/>
        </w:rPr>
        <w:t xml:space="preserve">ante la falta de esas pruebas </w:t>
      </w:r>
      <w:r w:rsidR="00AD2191" w:rsidRPr="00605EC8">
        <w:rPr>
          <w:rFonts w:ascii="Bookman Old Style" w:hAnsi="Bookman Old Style"/>
        </w:rPr>
        <w:t xml:space="preserve">equivocadamente </w:t>
      </w:r>
      <w:r w:rsidR="00C46C41" w:rsidRPr="00605EC8">
        <w:rPr>
          <w:rFonts w:ascii="Bookman Old Style" w:hAnsi="Bookman Old Style"/>
        </w:rPr>
        <w:t xml:space="preserve">se abstiene de aplicar la sanción. </w:t>
      </w:r>
      <w:r w:rsidRPr="00605EC8">
        <w:rPr>
          <w:rFonts w:ascii="Bookman Old Style" w:hAnsi="Bookman Old Style"/>
        </w:rPr>
        <w:t xml:space="preserve">De allí que considera un yerro </w:t>
      </w:r>
      <w:r w:rsidR="00C46C41" w:rsidRPr="00605EC8">
        <w:rPr>
          <w:rFonts w:ascii="Bookman Old Style" w:hAnsi="Bookman Old Style"/>
        </w:rPr>
        <w:t xml:space="preserve">pretender que la mala fe del empleador al no pagar se </w:t>
      </w:r>
      <w:r w:rsidRPr="00605EC8">
        <w:rPr>
          <w:rFonts w:ascii="Bookman Old Style" w:hAnsi="Bookman Old Style"/>
        </w:rPr>
        <w:t xml:space="preserve">tenía </w:t>
      </w:r>
      <w:r w:rsidR="00C46C41" w:rsidRPr="00605EC8">
        <w:rPr>
          <w:rFonts w:ascii="Bookman Old Style" w:hAnsi="Bookman Old Style"/>
        </w:rPr>
        <w:t xml:space="preserve">que demostrar, </w:t>
      </w:r>
      <w:r w:rsidRPr="00605EC8">
        <w:rPr>
          <w:rFonts w:ascii="Bookman Old Style" w:hAnsi="Bookman Old Style"/>
        </w:rPr>
        <w:t xml:space="preserve">considerando que lo que se debía analizar era </w:t>
      </w:r>
      <w:r w:rsidR="00C46C41" w:rsidRPr="00605EC8">
        <w:rPr>
          <w:rFonts w:ascii="Bookman Old Style" w:hAnsi="Bookman Old Style"/>
        </w:rPr>
        <w:t xml:space="preserve">la justificación que </w:t>
      </w:r>
      <w:r w:rsidRPr="00605EC8">
        <w:rPr>
          <w:rFonts w:ascii="Bookman Old Style" w:hAnsi="Bookman Old Style"/>
        </w:rPr>
        <w:t xml:space="preserve">permitía </w:t>
      </w:r>
      <w:r w:rsidR="00C46C41" w:rsidRPr="00605EC8">
        <w:rPr>
          <w:rFonts w:ascii="Bookman Old Style" w:hAnsi="Bookman Old Style"/>
        </w:rPr>
        <w:t xml:space="preserve">inferir </w:t>
      </w:r>
      <w:r w:rsidRPr="00605EC8">
        <w:rPr>
          <w:rFonts w:ascii="Bookman Old Style" w:hAnsi="Bookman Old Style"/>
        </w:rPr>
        <w:t xml:space="preserve">la </w:t>
      </w:r>
      <w:r w:rsidR="00C46C41" w:rsidRPr="00605EC8">
        <w:rPr>
          <w:rFonts w:ascii="Bookman Old Style" w:hAnsi="Bookman Old Style"/>
        </w:rPr>
        <w:t>buena fe del empleador</w:t>
      </w:r>
      <w:r w:rsidRPr="00605EC8">
        <w:rPr>
          <w:rFonts w:ascii="Bookman Old Style" w:hAnsi="Bookman Old Style"/>
        </w:rPr>
        <w:t>, la cual no se había presentado en este caso</w:t>
      </w:r>
      <w:r w:rsidR="00D639E3" w:rsidRPr="00605EC8">
        <w:rPr>
          <w:rFonts w:ascii="Bookman Old Style" w:hAnsi="Bookman Old Style"/>
        </w:rPr>
        <w:t xml:space="preserve">. Además, consideró un </w:t>
      </w:r>
      <w:r w:rsidR="00C46C41" w:rsidRPr="00605EC8">
        <w:rPr>
          <w:rFonts w:ascii="Bookman Old Style" w:hAnsi="Bookman Old Style"/>
        </w:rPr>
        <w:t xml:space="preserve">error pretender que </w:t>
      </w:r>
      <w:r w:rsidR="00D639E3" w:rsidRPr="00605EC8">
        <w:rPr>
          <w:rFonts w:ascii="Bookman Old Style" w:hAnsi="Bookman Old Style"/>
        </w:rPr>
        <w:t xml:space="preserve">al </w:t>
      </w:r>
      <w:r w:rsidR="00C46C41" w:rsidRPr="00605EC8">
        <w:rPr>
          <w:rFonts w:ascii="Bookman Old Style" w:hAnsi="Bookman Old Style"/>
        </w:rPr>
        <w:t xml:space="preserve">trabajador </w:t>
      </w:r>
      <w:r w:rsidR="00D639E3" w:rsidRPr="00605EC8">
        <w:rPr>
          <w:rFonts w:ascii="Bookman Old Style" w:hAnsi="Bookman Old Style"/>
        </w:rPr>
        <w:t xml:space="preserve">le incumbiera </w:t>
      </w:r>
      <w:r w:rsidR="00C46C41" w:rsidRPr="00605EC8">
        <w:rPr>
          <w:rFonts w:ascii="Bookman Old Style" w:hAnsi="Bookman Old Style"/>
        </w:rPr>
        <w:t xml:space="preserve">probar que no le pagaron la seguridad social, </w:t>
      </w:r>
      <w:r w:rsidR="00D639E3" w:rsidRPr="00605EC8">
        <w:rPr>
          <w:rFonts w:ascii="Bookman Old Style" w:hAnsi="Bookman Old Style"/>
        </w:rPr>
        <w:t xml:space="preserve">porque al ser una negación indefinida </w:t>
      </w:r>
      <w:r w:rsidR="00C46C41" w:rsidRPr="00605EC8">
        <w:rPr>
          <w:rFonts w:ascii="Bookman Old Style" w:hAnsi="Bookman Old Style"/>
        </w:rPr>
        <w:t xml:space="preserve">no </w:t>
      </w:r>
      <w:r w:rsidR="00D639E3" w:rsidRPr="00605EC8">
        <w:rPr>
          <w:rFonts w:ascii="Bookman Old Style" w:hAnsi="Bookman Old Style"/>
        </w:rPr>
        <w:t xml:space="preserve">tenía </w:t>
      </w:r>
      <w:r w:rsidR="00C46C41" w:rsidRPr="00605EC8">
        <w:rPr>
          <w:rFonts w:ascii="Bookman Old Style" w:hAnsi="Bookman Old Style"/>
        </w:rPr>
        <w:t xml:space="preserve">prueba, y </w:t>
      </w:r>
      <w:r w:rsidR="001C5E6D" w:rsidRPr="00605EC8">
        <w:rPr>
          <w:rFonts w:ascii="Bookman Old Style" w:hAnsi="Bookman Old Style"/>
        </w:rPr>
        <w:t xml:space="preserve">era </w:t>
      </w:r>
      <w:r w:rsidR="00C46C41" w:rsidRPr="00605EC8">
        <w:rPr>
          <w:rFonts w:ascii="Bookman Old Style" w:hAnsi="Bookman Old Style"/>
        </w:rPr>
        <w:t xml:space="preserve">carga </w:t>
      </w:r>
      <w:r w:rsidR="00D639E3" w:rsidRPr="00605EC8">
        <w:rPr>
          <w:rFonts w:ascii="Bookman Old Style" w:hAnsi="Bookman Old Style"/>
        </w:rPr>
        <w:t>d</w:t>
      </w:r>
      <w:r w:rsidR="00C46C41" w:rsidRPr="00605EC8">
        <w:rPr>
          <w:rFonts w:ascii="Bookman Old Style" w:hAnsi="Bookman Old Style"/>
        </w:rPr>
        <w:t xml:space="preserve">el empleador </w:t>
      </w:r>
      <w:r w:rsidR="00D639E3" w:rsidRPr="00605EC8">
        <w:rPr>
          <w:rFonts w:ascii="Bookman Old Style" w:hAnsi="Bookman Old Style"/>
        </w:rPr>
        <w:t xml:space="preserve">el </w:t>
      </w:r>
      <w:r w:rsidR="00C46C41" w:rsidRPr="00605EC8">
        <w:rPr>
          <w:rFonts w:ascii="Bookman Old Style" w:hAnsi="Bookman Old Style"/>
        </w:rPr>
        <w:t>demostrar el pago.</w:t>
      </w:r>
    </w:p>
    <w:p w14:paraId="30D66DF4" w14:textId="2D450355" w:rsidR="00C46C41" w:rsidRPr="00605EC8" w:rsidRDefault="00C46C41" w:rsidP="00605EC8">
      <w:pPr>
        <w:spacing w:line="276" w:lineRule="auto"/>
        <w:rPr>
          <w:rFonts w:ascii="Bookman Old Style" w:hAnsi="Bookman Old Style" w:cs="Arial"/>
        </w:rPr>
      </w:pPr>
    </w:p>
    <w:p w14:paraId="6D7A93A3" w14:textId="4A3F1D8A" w:rsidR="00C46C41" w:rsidRPr="00605EC8" w:rsidRDefault="00C46C41" w:rsidP="00605EC8">
      <w:pPr>
        <w:spacing w:line="276" w:lineRule="auto"/>
        <w:ind w:firstLine="0"/>
        <w:rPr>
          <w:rFonts w:ascii="Bookman Old Style" w:hAnsi="Bookman Old Style"/>
        </w:rPr>
      </w:pPr>
      <w:r w:rsidRPr="00605EC8">
        <w:rPr>
          <w:rFonts w:ascii="Bookman Old Style" w:hAnsi="Bookman Old Style"/>
        </w:rPr>
        <w:t xml:space="preserve">Respecto a la prescripción </w:t>
      </w:r>
      <w:r w:rsidR="00873B80" w:rsidRPr="00605EC8">
        <w:rPr>
          <w:rFonts w:ascii="Bookman Old Style" w:hAnsi="Bookman Old Style"/>
        </w:rPr>
        <w:t>advierte</w:t>
      </w:r>
      <w:r w:rsidRPr="00605EC8">
        <w:rPr>
          <w:rFonts w:ascii="Bookman Old Style" w:hAnsi="Bookman Old Style"/>
        </w:rPr>
        <w:t xml:space="preserve"> que el despacho señala que la sanción se relaciona de manera directa con el pago de la seguridad social, </w:t>
      </w:r>
      <w:r w:rsidR="00873B80" w:rsidRPr="00605EC8">
        <w:rPr>
          <w:rFonts w:ascii="Bookman Old Style" w:hAnsi="Bookman Old Style"/>
        </w:rPr>
        <w:t xml:space="preserve">la cual </w:t>
      </w:r>
      <w:r w:rsidRPr="00605EC8">
        <w:rPr>
          <w:rFonts w:ascii="Bookman Old Style" w:hAnsi="Bookman Old Style"/>
        </w:rPr>
        <w:t xml:space="preserve">no prescribe, </w:t>
      </w:r>
      <w:r w:rsidR="00873B80" w:rsidRPr="00605EC8">
        <w:rPr>
          <w:rFonts w:ascii="Bookman Old Style" w:hAnsi="Bookman Old Style"/>
        </w:rPr>
        <w:t xml:space="preserve">por tanto, </w:t>
      </w:r>
      <w:r w:rsidRPr="00605EC8">
        <w:rPr>
          <w:rFonts w:ascii="Bookman Old Style" w:hAnsi="Bookman Old Style"/>
        </w:rPr>
        <w:t xml:space="preserve">la sanción </w:t>
      </w:r>
      <w:r w:rsidR="00873B80" w:rsidRPr="00605EC8">
        <w:rPr>
          <w:rFonts w:ascii="Bookman Old Style" w:hAnsi="Bookman Old Style"/>
        </w:rPr>
        <w:t xml:space="preserve">que ello generaba era </w:t>
      </w:r>
      <w:r w:rsidRPr="00605EC8">
        <w:rPr>
          <w:rFonts w:ascii="Bookman Old Style" w:hAnsi="Bookman Old Style"/>
        </w:rPr>
        <w:t xml:space="preserve">accesoria </w:t>
      </w:r>
      <w:r w:rsidR="00873B80" w:rsidRPr="00605EC8">
        <w:rPr>
          <w:rFonts w:ascii="Bookman Old Style" w:hAnsi="Bookman Old Style"/>
        </w:rPr>
        <w:t xml:space="preserve">de la </w:t>
      </w:r>
      <w:r w:rsidRPr="00605EC8">
        <w:rPr>
          <w:rFonts w:ascii="Bookman Old Style" w:hAnsi="Bookman Old Style"/>
        </w:rPr>
        <w:t xml:space="preserve">principal, por lo cual </w:t>
      </w:r>
      <w:r w:rsidR="00873B80" w:rsidRPr="00605EC8">
        <w:rPr>
          <w:rFonts w:ascii="Bookman Old Style" w:hAnsi="Bookman Old Style"/>
        </w:rPr>
        <w:t xml:space="preserve">debía </w:t>
      </w:r>
      <w:r w:rsidRPr="00605EC8">
        <w:rPr>
          <w:rFonts w:ascii="Bookman Old Style" w:hAnsi="Bookman Old Style"/>
        </w:rPr>
        <w:t xml:space="preserve">seguir su misma suerte. </w:t>
      </w:r>
      <w:r w:rsidR="00873B80" w:rsidRPr="00605EC8">
        <w:rPr>
          <w:rFonts w:ascii="Bookman Old Style" w:hAnsi="Bookman Old Style"/>
        </w:rPr>
        <w:t xml:space="preserve">De manera que </w:t>
      </w:r>
      <w:r w:rsidR="00AD0F69" w:rsidRPr="00605EC8">
        <w:rPr>
          <w:rFonts w:ascii="Bookman Old Style" w:hAnsi="Bookman Old Style"/>
        </w:rPr>
        <w:t xml:space="preserve">consideraba </w:t>
      </w:r>
      <w:proofErr w:type="gramStart"/>
      <w:r w:rsidR="00AD0F69" w:rsidRPr="00605EC8">
        <w:rPr>
          <w:rFonts w:ascii="Bookman Old Style" w:hAnsi="Bookman Old Style"/>
        </w:rPr>
        <w:t>que</w:t>
      </w:r>
      <w:proofErr w:type="gramEnd"/>
      <w:r w:rsidR="00AD0F69" w:rsidRPr="00605EC8">
        <w:rPr>
          <w:rFonts w:ascii="Bookman Old Style" w:hAnsi="Bookman Old Style"/>
        </w:rPr>
        <w:t xml:space="preserve"> al ser </w:t>
      </w:r>
      <w:r w:rsidRPr="00605EC8">
        <w:rPr>
          <w:rFonts w:ascii="Bookman Old Style" w:hAnsi="Bookman Old Style"/>
        </w:rPr>
        <w:t xml:space="preserve">la sanción </w:t>
      </w:r>
      <w:r w:rsidR="00873B80" w:rsidRPr="00605EC8">
        <w:rPr>
          <w:rFonts w:ascii="Bookman Old Style" w:hAnsi="Bookman Old Style"/>
        </w:rPr>
        <w:t xml:space="preserve">de </w:t>
      </w:r>
      <w:r w:rsidRPr="00605EC8">
        <w:rPr>
          <w:rFonts w:ascii="Bookman Old Style" w:hAnsi="Bookman Old Style"/>
        </w:rPr>
        <w:t xml:space="preserve">tracto sucesivo </w:t>
      </w:r>
      <w:r w:rsidR="00AD0F69" w:rsidRPr="00605EC8">
        <w:rPr>
          <w:rFonts w:ascii="Bookman Old Style" w:hAnsi="Bookman Old Style"/>
        </w:rPr>
        <w:t xml:space="preserve">y producto de la falta de aportes, dichos </w:t>
      </w:r>
      <w:r w:rsidRPr="00605EC8">
        <w:rPr>
          <w:rFonts w:ascii="Bookman Old Style" w:hAnsi="Bookman Old Style"/>
        </w:rPr>
        <w:t xml:space="preserve">derechos </w:t>
      </w:r>
      <w:r w:rsidR="00873B80" w:rsidRPr="00605EC8">
        <w:rPr>
          <w:rFonts w:ascii="Bookman Old Style" w:hAnsi="Bookman Old Style"/>
        </w:rPr>
        <w:t xml:space="preserve">podían ser reclamados </w:t>
      </w:r>
      <w:r w:rsidRPr="00605EC8">
        <w:rPr>
          <w:rFonts w:ascii="Bookman Old Style" w:hAnsi="Bookman Old Style"/>
        </w:rPr>
        <w:t>en cualquier tiempo.</w:t>
      </w:r>
      <w:r w:rsidR="00873B80" w:rsidRPr="00605EC8">
        <w:rPr>
          <w:rFonts w:ascii="Bookman Old Style" w:hAnsi="Bookman Old Style"/>
        </w:rPr>
        <w:t xml:space="preserve"> Ello, para denotar que si </w:t>
      </w:r>
      <w:r w:rsidRPr="00605EC8">
        <w:rPr>
          <w:rFonts w:ascii="Bookman Old Style" w:hAnsi="Bookman Old Style"/>
        </w:rPr>
        <w:t>por incumplimiento de una obligación del empleador</w:t>
      </w:r>
      <w:r w:rsidR="00873B80" w:rsidRPr="00605EC8">
        <w:rPr>
          <w:rFonts w:ascii="Bookman Old Style" w:hAnsi="Bookman Old Style"/>
        </w:rPr>
        <w:t>,</w:t>
      </w:r>
      <w:r w:rsidRPr="00605EC8">
        <w:rPr>
          <w:rFonts w:ascii="Bookman Old Style" w:hAnsi="Bookman Old Style"/>
        </w:rPr>
        <w:t xml:space="preserve"> la terminación del contrato no </w:t>
      </w:r>
      <w:r w:rsidR="00873B80" w:rsidRPr="00605EC8">
        <w:rPr>
          <w:rFonts w:ascii="Bookman Old Style" w:hAnsi="Bookman Old Style"/>
        </w:rPr>
        <w:t xml:space="preserve">surtía </w:t>
      </w:r>
      <w:r w:rsidRPr="00605EC8">
        <w:rPr>
          <w:rFonts w:ascii="Bookman Old Style" w:hAnsi="Bookman Old Style"/>
        </w:rPr>
        <w:t>efecto</w:t>
      </w:r>
      <w:r w:rsidR="00873B80" w:rsidRPr="00605EC8">
        <w:rPr>
          <w:rFonts w:ascii="Bookman Old Style" w:hAnsi="Bookman Old Style"/>
        </w:rPr>
        <w:t>s</w:t>
      </w:r>
      <w:r w:rsidRPr="00605EC8">
        <w:rPr>
          <w:rFonts w:ascii="Bookman Old Style" w:hAnsi="Bookman Old Style"/>
        </w:rPr>
        <w:t>, queda</w:t>
      </w:r>
      <w:r w:rsidR="00873B80" w:rsidRPr="00605EC8">
        <w:rPr>
          <w:rFonts w:ascii="Bookman Old Style" w:hAnsi="Bookman Old Style"/>
        </w:rPr>
        <w:t>ba</w:t>
      </w:r>
      <w:r w:rsidRPr="00605EC8">
        <w:rPr>
          <w:rFonts w:ascii="Bookman Old Style" w:hAnsi="Bookman Old Style"/>
        </w:rPr>
        <w:t xml:space="preserve"> vigente el pago de las prestaciones sociales</w:t>
      </w:r>
      <w:r w:rsidR="00873B80" w:rsidRPr="00605EC8">
        <w:rPr>
          <w:rFonts w:ascii="Bookman Old Style" w:hAnsi="Bookman Old Style"/>
        </w:rPr>
        <w:t xml:space="preserve"> que además eran </w:t>
      </w:r>
      <w:r w:rsidRPr="00605EC8">
        <w:rPr>
          <w:rFonts w:ascii="Bookman Old Style" w:hAnsi="Bookman Old Style"/>
        </w:rPr>
        <w:t xml:space="preserve">derechos </w:t>
      </w:r>
      <w:r w:rsidR="00873B80" w:rsidRPr="00605EC8">
        <w:rPr>
          <w:rFonts w:ascii="Bookman Old Style" w:hAnsi="Bookman Old Style"/>
        </w:rPr>
        <w:t>irrenunciables,</w:t>
      </w:r>
      <w:r w:rsidRPr="00605EC8">
        <w:rPr>
          <w:rFonts w:ascii="Bookman Old Style" w:hAnsi="Bookman Old Style"/>
        </w:rPr>
        <w:t xml:space="preserve"> por </w:t>
      </w:r>
      <w:r w:rsidR="00873B80" w:rsidRPr="00605EC8">
        <w:rPr>
          <w:rFonts w:ascii="Bookman Old Style" w:hAnsi="Bookman Old Style"/>
        </w:rPr>
        <w:t>tanto</w:t>
      </w:r>
      <w:r w:rsidRPr="00605EC8">
        <w:rPr>
          <w:rFonts w:ascii="Bookman Old Style" w:hAnsi="Bookman Old Style"/>
        </w:rPr>
        <w:t xml:space="preserve">, </w:t>
      </w:r>
      <w:r w:rsidR="00873B80" w:rsidRPr="00605EC8">
        <w:rPr>
          <w:rFonts w:ascii="Bookman Old Style" w:hAnsi="Bookman Old Style"/>
        </w:rPr>
        <w:t xml:space="preserve">durante </w:t>
      </w:r>
      <w:r w:rsidRPr="00605EC8">
        <w:rPr>
          <w:rFonts w:ascii="Bookman Old Style" w:hAnsi="Bookman Old Style"/>
        </w:rPr>
        <w:t>el tiempo que tarde el empleador en subsanar la omisión que se señala en el parágrafo 1º del artículo 65 del CST</w:t>
      </w:r>
      <w:r w:rsidR="00C87B4F" w:rsidRPr="00605EC8">
        <w:rPr>
          <w:rFonts w:ascii="Bookman Old Style" w:hAnsi="Bookman Old Style"/>
        </w:rPr>
        <w:t>, procedía el pago de los citados emolumentos.</w:t>
      </w:r>
    </w:p>
    <w:p w14:paraId="1A0E5CD2" w14:textId="77777777" w:rsidR="00C87B4F" w:rsidRPr="00605EC8" w:rsidRDefault="00C87B4F" w:rsidP="00605EC8">
      <w:pPr>
        <w:spacing w:line="276" w:lineRule="auto"/>
        <w:ind w:firstLine="0"/>
        <w:rPr>
          <w:rFonts w:ascii="Bookman Old Style" w:hAnsi="Bookman Old Style" w:cs="Arial"/>
        </w:rPr>
      </w:pPr>
    </w:p>
    <w:p w14:paraId="435EC203" w14:textId="16379B79" w:rsidR="00C46C41" w:rsidRPr="00605EC8" w:rsidRDefault="00FE0F70" w:rsidP="00605EC8">
      <w:pPr>
        <w:spacing w:line="276" w:lineRule="auto"/>
        <w:ind w:firstLine="0"/>
        <w:rPr>
          <w:rFonts w:ascii="Bookman Old Style" w:hAnsi="Bookman Old Style"/>
        </w:rPr>
      </w:pPr>
      <w:r w:rsidRPr="00605EC8">
        <w:rPr>
          <w:rFonts w:ascii="Bookman Old Style" w:hAnsi="Bookman Old Style" w:cs="Arial"/>
          <w:b/>
        </w:rPr>
        <w:t xml:space="preserve">La </w:t>
      </w:r>
      <w:r w:rsidR="00C46C41" w:rsidRPr="00605EC8">
        <w:rPr>
          <w:rFonts w:ascii="Bookman Old Style" w:hAnsi="Bookman Old Style"/>
          <w:b/>
        </w:rPr>
        <w:t>Compañía Aseguradora de Fianzas S.A.</w:t>
      </w:r>
      <w:r w:rsidR="00A53C7D" w:rsidRPr="00605EC8">
        <w:rPr>
          <w:rFonts w:ascii="Bookman Old Style" w:hAnsi="Bookman Old Style"/>
          <w:b/>
        </w:rPr>
        <w:t xml:space="preserve">, </w:t>
      </w:r>
      <w:r w:rsidR="00A53C7D" w:rsidRPr="00605EC8">
        <w:rPr>
          <w:rFonts w:ascii="Bookman Old Style" w:hAnsi="Bookman Old Style"/>
          <w:bCs/>
        </w:rPr>
        <w:t xml:space="preserve">sostuvo que </w:t>
      </w:r>
      <w:r w:rsidR="005F35A3" w:rsidRPr="00605EC8">
        <w:rPr>
          <w:rFonts w:ascii="Bookman Old Style" w:hAnsi="Bookman Old Style"/>
        </w:rPr>
        <w:t xml:space="preserve">el término de prescripción ordinaria </w:t>
      </w:r>
      <w:r w:rsidR="00A53C7D" w:rsidRPr="00605EC8">
        <w:rPr>
          <w:rFonts w:ascii="Bookman Old Style" w:hAnsi="Bookman Old Style"/>
        </w:rPr>
        <w:t xml:space="preserve">debía </w:t>
      </w:r>
      <w:r w:rsidR="005F35A3" w:rsidRPr="00605EC8">
        <w:rPr>
          <w:rFonts w:ascii="Bookman Old Style" w:hAnsi="Bookman Old Style"/>
        </w:rPr>
        <w:t xml:space="preserve">empezar a contarse desde el momento en el cual </w:t>
      </w:r>
      <w:proofErr w:type="spellStart"/>
      <w:r w:rsidR="005F35A3" w:rsidRPr="00605EC8">
        <w:rPr>
          <w:rFonts w:ascii="Bookman Old Style" w:hAnsi="Bookman Old Style"/>
        </w:rPr>
        <w:t>Megabús</w:t>
      </w:r>
      <w:proofErr w:type="spellEnd"/>
      <w:r w:rsidR="005F35A3" w:rsidRPr="00605EC8">
        <w:rPr>
          <w:rFonts w:ascii="Bookman Old Style" w:hAnsi="Bookman Old Style"/>
        </w:rPr>
        <w:t xml:space="preserve"> S.A. debió conocer sobre los presuntos incumplimientos respecto de obligaciones laborales, en los que había incurrido el Consorcio Megavía 2004. </w:t>
      </w:r>
      <w:r w:rsidR="00A53C7D" w:rsidRPr="00605EC8">
        <w:rPr>
          <w:rFonts w:ascii="Bookman Old Style" w:hAnsi="Bookman Old Style"/>
        </w:rPr>
        <w:t xml:space="preserve">Arguye que </w:t>
      </w:r>
      <w:proofErr w:type="spellStart"/>
      <w:r w:rsidR="005F35A3" w:rsidRPr="00605EC8">
        <w:rPr>
          <w:rFonts w:ascii="Bookman Old Style" w:hAnsi="Bookman Old Style"/>
        </w:rPr>
        <w:t>Megabús</w:t>
      </w:r>
      <w:proofErr w:type="spellEnd"/>
      <w:r w:rsidR="005F35A3" w:rsidRPr="00605EC8">
        <w:rPr>
          <w:rFonts w:ascii="Bookman Old Style" w:hAnsi="Bookman Old Style"/>
        </w:rPr>
        <w:t xml:space="preserve"> S.A., tenía la obligación legal de vigilar el cumplimiento de las obligaciones laborales y de </w:t>
      </w:r>
      <w:r w:rsidR="00A53C7D" w:rsidRPr="00605EC8">
        <w:rPr>
          <w:rFonts w:ascii="Bookman Old Style" w:hAnsi="Bookman Old Style"/>
        </w:rPr>
        <w:t xml:space="preserve">la </w:t>
      </w:r>
      <w:r w:rsidR="005F35A3" w:rsidRPr="00605EC8">
        <w:rPr>
          <w:rFonts w:ascii="Bookman Old Style" w:hAnsi="Bookman Old Style"/>
        </w:rPr>
        <w:t xml:space="preserve">seguridad social </w:t>
      </w:r>
      <w:proofErr w:type="gramStart"/>
      <w:r w:rsidR="00A53C7D" w:rsidRPr="00605EC8">
        <w:rPr>
          <w:rFonts w:ascii="Bookman Old Style" w:hAnsi="Bookman Old Style"/>
        </w:rPr>
        <w:t>y</w:t>
      </w:r>
      <w:proofErr w:type="gramEnd"/>
      <w:r w:rsidR="00A53C7D" w:rsidRPr="00605EC8">
        <w:rPr>
          <w:rFonts w:ascii="Bookman Old Style" w:hAnsi="Bookman Old Style"/>
        </w:rPr>
        <w:t xml:space="preserve"> por ende, se infería </w:t>
      </w:r>
      <w:r w:rsidR="005F35A3" w:rsidRPr="00605EC8">
        <w:rPr>
          <w:rFonts w:ascii="Bookman Old Style" w:hAnsi="Bookman Old Style"/>
        </w:rPr>
        <w:t>que la llamante en garantía debió conocer sobre los presuntos incumplimientos de su contratista desde la fecha en que éstos empezaron a presentarse, esto es, desde febrero de 2005.</w:t>
      </w:r>
    </w:p>
    <w:p w14:paraId="7918F725" w14:textId="4DCE496A" w:rsidR="005F35A3" w:rsidRPr="00605EC8" w:rsidRDefault="005F35A3" w:rsidP="00605EC8">
      <w:pPr>
        <w:spacing w:line="276" w:lineRule="auto"/>
        <w:rPr>
          <w:rFonts w:ascii="Bookman Old Style" w:hAnsi="Bookman Old Style" w:cs="Arial"/>
        </w:rPr>
      </w:pPr>
    </w:p>
    <w:p w14:paraId="6AD51866" w14:textId="6F18AE52" w:rsidR="005F35A3" w:rsidRPr="00605EC8" w:rsidRDefault="00A53C7D" w:rsidP="00605EC8">
      <w:pPr>
        <w:spacing w:line="276" w:lineRule="auto"/>
        <w:ind w:firstLine="0"/>
        <w:rPr>
          <w:rFonts w:ascii="Bookman Old Style" w:hAnsi="Bookman Old Style"/>
        </w:rPr>
      </w:pPr>
      <w:r w:rsidRPr="00605EC8">
        <w:rPr>
          <w:rFonts w:ascii="Bookman Old Style" w:hAnsi="Bookman Old Style"/>
        </w:rPr>
        <w:t xml:space="preserve">Anota que, </w:t>
      </w:r>
      <w:r w:rsidR="005F35A3" w:rsidRPr="00605EC8">
        <w:rPr>
          <w:rFonts w:ascii="Bookman Old Style" w:hAnsi="Bookman Old Style"/>
        </w:rPr>
        <w:t xml:space="preserve">según los hechos de la demanda, </w:t>
      </w:r>
      <w:proofErr w:type="spellStart"/>
      <w:r w:rsidR="005F35A3" w:rsidRPr="00605EC8">
        <w:rPr>
          <w:rFonts w:ascii="Bookman Old Style" w:hAnsi="Bookman Old Style"/>
        </w:rPr>
        <w:t>Megabús</w:t>
      </w:r>
      <w:proofErr w:type="spellEnd"/>
      <w:r w:rsidR="005F35A3" w:rsidRPr="00605EC8">
        <w:rPr>
          <w:rFonts w:ascii="Bookman Old Style" w:hAnsi="Bookman Old Style"/>
        </w:rPr>
        <w:t xml:space="preserve"> S.A. recibió varias reclamaciones </w:t>
      </w:r>
      <w:r w:rsidRPr="00605EC8">
        <w:rPr>
          <w:rFonts w:ascii="Bookman Old Style" w:hAnsi="Bookman Old Style"/>
        </w:rPr>
        <w:t>de la parte actora</w:t>
      </w:r>
      <w:r w:rsidR="005F35A3" w:rsidRPr="00605EC8">
        <w:rPr>
          <w:rFonts w:ascii="Bookman Old Style" w:hAnsi="Bookman Old Style"/>
        </w:rPr>
        <w:t xml:space="preserve">, fue citada a una audiencia de conciliación ante el Ministerio de Protección Social y pese a ello, no adelantó los trámites pertinentes para hacer efectivo el seguro, </w:t>
      </w:r>
      <w:r w:rsidRPr="00605EC8">
        <w:rPr>
          <w:rFonts w:ascii="Bookman Old Style" w:hAnsi="Bookman Old Style"/>
        </w:rPr>
        <w:t xml:space="preserve">según </w:t>
      </w:r>
      <w:r w:rsidR="005F35A3" w:rsidRPr="00605EC8">
        <w:rPr>
          <w:rFonts w:ascii="Bookman Old Style" w:hAnsi="Bookman Old Style"/>
        </w:rPr>
        <w:t>la ley y las condiciones generales del seguro.</w:t>
      </w:r>
      <w:r w:rsidRPr="00605EC8">
        <w:rPr>
          <w:rFonts w:ascii="Bookman Old Style" w:hAnsi="Bookman Old Style"/>
        </w:rPr>
        <w:t xml:space="preserve"> Por tanto, considera que </w:t>
      </w:r>
      <w:r w:rsidR="005F35A3" w:rsidRPr="00605EC8">
        <w:rPr>
          <w:rFonts w:ascii="Bookman Old Style" w:hAnsi="Bookman Old Style"/>
        </w:rPr>
        <w:t xml:space="preserve">la prescripción ordinaria de las </w:t>
      </w:r>
      <w:r w:rsidR="005F35A3" w:rsidRPr="00605EC8">
        <w:rPr>
          <w:rFonts w:ascii="Bookman Old Style" w:hAnsi="Bookman Old Style"/>
        </w:rPr>
        <w:lastRenderedPageBreak/>
        <w:t xml:space="preserve">acciones derivadas del contrato de seguro se configuró, a más tardar, en el mes de marzo de 2007, esto es, dos (2) años contados desde el momento en que el trabajador terminó su vinculación con el Consorcio Megavía 2004. </w:t>
      </w:r>
      <w:r w:rsidRPr="00605EC8">
        <w:rPr>
          <w:rFonts w:ascii="Bookman Old Style" w:hAnsi="Bookman Old Style"/>
        </w:rPr>
        <w:t xml:space="preserve">Y, como </w:t>
      </w:r>
      <w:proofErr w:type="spellStart"/>
      <w:r w:rsidR="005F35A3" w:rsidRPr="00605EC8">
        <w:rPr>
          <w:rFonts w:ascii="Bookman Old Style" w:hAnsi="Bookman Old Style"/>
        </w:rPr>
        <w:t>Megabús</w:t>
      </w:r>
      <w:proofErr w:type="spellEnd"/>
      <w:r w:rsidR="005F35A3" w:rsidRPr="00605EC8">
        <w:rPr>
          <w:rFonts w:ascii="Bookman Old Style" w:hAnsi="Bookman Old Style"/>
        </w:rPr>
        <w:t xml:space="preserve"> S.A. propuso el llamamiento en garantía a Confianza en enero de 2010, para tal fecha, las acciones derivadas del contrato de seguro se encontraban prescritas</w:t>
      </w:r>
      <w:r w:rsidRPr="00605EC8">
        <w:rPr>
          <w:rFonts w:ascii="Bookman Old Style" w:hAnsi="Bookman Old Style"/>
        </w:rPr>
        <w:t xml:space="preserve"> porque </w:t>
      </w:r>
      <w:r w:rsidR="005F35A3" w:rsidRPr="00605EC8">
        <w:rPr>
          <w:rFonts w:ascii="Bookman Old Style" w:hAnsi="Bookman Old Style"/>
        </w:rPr>
        <w:t>había</w:t>
      </w:r>
      <w:r w:rsidRPr="00605EC8">
        <w:rPr>
          <w:rFonts w:ascii="Bookman Old Style" w:hAnsi="Bookman Old Style"/>
        </w:rPr>
        <w:t xml:space="preserve"> </w:t>
      </w:r>
      <w:r w:rsidR="005F35A3" w:rsidRPr="00605EC8">
        <w:rPr>
          <w:rFonts w:ascii="Bookman Old Style" w:hAnsi="Bookman Old Style"/>
        </w:rPr>
        <w:t>transcurrido más de dos (2) años desde el conocimiento del hecho que da</w:t>
      </w:r>
      <w:r w:rsidRPr="00605EC8">
        <w:rPr>
          <w:rFonts w:ascii="Bookman Old Style" w:hAnsi="Bookman Old Style"/>
        </w:rPr>
        <w:t>ba</w:t>
      </w:r>
      <w:r w:rsidR="005F35A3" w:rsidRPr="00605EC8">
        <w:rPr>
          <w:rFonts w:ascii="Bookman Old Style" w:hAnsi="Bookman Old Style"/>
        </w:rPr>
        <w:t xml:space="preserve"> base a la acción (incumplimiento de las obligaciones laborales por parte del tomador/garantizado), sin que se hubiere interrumpido la prescripción civil </w:t>
      </w:r>
      <w:r w:rsidR="008518CD" w:rsidRPr="00605EC8">
        <w:rPr>
          <w:rFonts w:ascii="Bookman Old Style" w:hAnsi="Bookman Old Style"/>
        </w:rPr>
        <w:t xml:space="preserve">o </w:t>
      </w:r>
      <w:r w:rsidR="005F35A3" w:rsidRPr="00605EC8">
        <w:rPr>
          <w:rFonts w:ascii="Bookman Old Style" w:hAnsi="Bookman Old Style"/>
        </w:rPr>
        <w:t xml:space="preserve">naturalmente. </w:t>
      </w:r>
    </w:p>
    <w:p w14:paraId="366B8F03" w14:textId="77777777" w:rsidR="002D0497" w:rsidRPr="00605EC8" w:rsidRDefault="002D0497" w:rsidP="00605EC8">
      <w:pPr>
        <w:spacing w:line="276" w:lineRule="auto"/>
        <w:ind w:firstLine="0"/>
        <w:rPr>
          <w:rFonts w:ascii="Bookman Old Style" w:hAnsi="Bookman Old Style"/>
        </w:rPr>
      </w:pPr>
    </w:p>
    <w:p w14:paraId="03DA7E52" w14:textId="14A6A843" w:rsidR="005F35A3" w:rsidRPr="00605EC8" w:rsidRDefault="008518CD" w:rsidP="00605EC8">
      <w:pPr>
        <w:spacing w:line="276" w:lineRule="auto"/>
        <w:ind w:firstLine="0"/>
        <w:rPr>
          <w:rFonts w:ascii="Bookman Old Style" w:hAnsi="Bookman Old Style"/>
        </w:rPr>
      </w:pPr>
      <w:r w:rsidRPr="00605EC8">
        <w:rPr>
          <w:rFonts w:ascii="Bookman Old Style" w:hAnsi="Bookman Old Style" w:cs="Arial"/>
        </w:rPr>
        <w:t xml:space="preserve">En cuanto la cobertura, anota que según </w:t>
      </w:r>
      <w:r w:rsidR="005F35A3" w:rsidRPr="00605EC8">
        <w:rPr>
          <w:rFonts w:ascii="Bookman Old Style" w:hAnsi="Bookman Old Style"/>
        </w:rPr>
        <w:t xml:space="preserve">las condiciones generales de la garantía única de cumplimiento con base en la cual se llamó en garantía a Confianza, el amparo de </w:t>
      </w:r>
      <w:r w:rsidRPr="00605EC8">
        <w:rPr>
          <w:rFonts w:ascii="Bookman Old Style" w:hAnsi="Bookman Old Style"/>
        </w:rPr>
        <w:t xml:space="preserve">pago </w:t>
      </w:r>
      <w:r w:rsidR="005F35A3" w:rsidRPr="00605EC8">
        <w:rPr>
          <w:rFonts w:ascii="Bookman Old Style" w:hAnsi="Bookman Old Style"/>
        </w:rPr>
        <w:t xml:space="preserve">de </w:t>
      </w:r>
      <w:r w:rsidRPr="00605EC8">
        <w:rPr>
          <w:rFonts w:ascii="Bookman Old Style" w:hAnsi="Bookman Old Style"/>
        </w:rPr>
        <w:t>s</w:t>
      </w:r>
      <w:r w:rsidR="005F35A3" w:rsidRPr="00605EC8">
        <w:rPr>
          <w:rFonts w:ascii="Bookman Old Style" w:hAnsi="Bookman Old Style"/>
        </w:rPr>
        <w:t xml:space="preserve">alarios, </w:t>
      </w:r>
      <w:r w:rsidRPr="00605EC8">
        <w:rPr>
          <w:rFonts w:ascii="Bookman Old Style" w:hAnsi="Bookman Old Style"/>
        </w:rPr>
        <w:t>p</w:t>
      </w:r>
      <w:r w:rsidR="005F35A3" w:rsidRPr="00605EC8">
        <w:rPr>
          <w:rFonts w:ascii="Bookman Old Style" w:hAnsi="Bookman Old Style"/>
        </w:rPr>
        <w:t xml:space="preserve">restaciones e </w:t>
      </w:r>
      <w:r w:rsidRPr="00605EC8">
        <w:rPr>
          <w:rFonts w:ascii="Bookman Old Style" w:hAnsi="Bookman Old Style"/>
        </w:rPr>
        <w:t>indemnizaciones</w:t>
      </w:r>
      <w:r w:rsidR="005F35A3" w:rsidRPr="00605EC8">
        <w:rPr>
          <w:rFonts w:ascii="Bookman Old Style" w:hAnsi="Bookman Old Style"/>
        </w:rPr>
        <w:t xml:space="preserve"> no </w:t>
      </w:r>
      <w:r w:rsidRPr="00605EC8">
        <w:rPr>
          <w:rFonts w:ascii="Bookman Old Style" w:hAnsi="Bookman Old Style"/>
        </w:rPr>
        <w:t xml:space="preserve">cubría </w:t>
      </w:r>
      <w:r w:rsidR="005F35A3" w:rsidRPr="00605EC8">
        <w:rPr>
          <w:rFonts w:ascii="Bookman Old Style" w:hAnsi="Bookman Old Style"/>
        </w:rPr>
        <w:t xml:space="preserve">indemnizaciones diferentes a </w:t>
      </w:r>
      <w:r w:rsidR="002D3CF7" w:rsidRPr="00605EC8">
        <w:rPr>
          <w:rFonts w:ascii="Bookman Old Style" w:hAnsi="Bookman Old Style"/>
        </w:rPr>
        <w:t xml:space="preserve">la </w:t>
      </w:r>
      <w:r w:rsidRPr="00605EC8">
        <w:rPr>
          <w:rFonts w:ascii="Bookman Old Style" w:hAnsi="Bookman Old Style"/>
        </w:rPr>
        <w:t>d</w:t>
      </w:r>
      <w:r w:rsidR="005F35A3" w:rsidRPr="00605EC8">
        <w:rPr>
          <w:rFonts w:ascii="Bookman Old Style" w:hAnsi="Bookman Old Style"/>
        </w:rPr>
        <w:t xml:space="preserve">el artículo 64 </w:t>
      </w:r>
      <w:r w:rsidRPr="00605EC8">
        <w:rPr>
          <w:rFonts w:ascii="Bookman Old Style" w:hAnsi="Bookman Old Style"/>
        </w:rPr>
        <w:t xml:space="preserve">CST, pues ésta solo cubría </w:t>
      </w:r>
      <w:r w:rsidR="005F35A3" w:rsidRPr="00605EC8">
        <w:rPr>
          <w:rFonts w:ascii="Bookman Old Style" w:hAnsi="Bookman Old Style"/>
        </w:rPr>
        <w:t>la</w:t>
      </w:r>
      <w:r w:rsidRPr="00605EC8">
        <w:rPr>
          <w:rFonts w:ascii="Bookman Old Style" w:hAnsi="Bookman Old Style"/>
        </w:rPr>
        <w:t xml:space="preserve"> </w:t>
      </w:r>
      <w:r w:rsidR="005F35A3" w:rsidRPr="00605EC8">
        <w:rPr>
          <w:rFonts w:ascii="Bookman Old Style" w:hAnsi="Bookman Old Style"/>
        </w:rPr>
        <w:t>indemnización por despido sin justa causa</w:t>
      </w:r>
      <w:r w:rsidRPr="00605EC8">
        <w:rPr>
          <w:rFonts w:ascii="Bookman Old Style" w:hAnsi="Bookman Old Style"/>
        </w:rPr>
        <w:t xml:space="preserve">, según el </w:t>
      </w:r>
      <w:r w:rsidR="005F35A3" w:rsidRPr="00605EC8">
        <w:rPr>
          <w:rFonts w:ascii="Bookman Old Style" w:hAnsi="Bookman Old Style"/>
        </w:rPr>
        <w:t>numeral 1.5 de las condiciones generales de las pólizas</w:t>
      </w:r>
      <w:r w:rsidRPr="00605EC8">
        <w:rPr>
          <w:rFonts w:ascii="Bookman Old Style" w:hAnsi="Bookman Old Style"/>
        </w:rPr>
        <w:t>.</w:t>
      </w:r>
    </w:p>
    <w:p w14:paraId="02FADA78" w14:textId="77777777" w:rsidR="005F35A3" w:rsidRPr="00605EC8" w:rsidRDefault="005F35A3" w:rsidP="00605EC8">
      <w:pPr>
        <w:spacing w:line="276" w:lineRule="auto"/>
        <w:rPr>
          <w:rFonts w:ascii="Bookman Old Style" w:hAnsi="Bookman Old Style"/>
        </w:rPr>
      </w:pPr>
    </w:p>
    <w:p w14:paraId="646F491A" w14:textId="4636219E" w:rsidR="005F35A3" w:rsidRPr="00605EC8" w:rsidRDefault="008518CD" w:rsidP="00605EC8">
      <w:pPr>
        <w:spacing w:line="276" w:lineRule="auto"/>
        <w:ind w:firstLine="0"/>
        <w:rPr>
          <w:rFonts w:ascii="Bookman Old Style" w:hAnsi="Bookman Old Style"/>
        </w:rPr>
      </w:pPr>
      <w:r w:rsidRPr="00605EC8">
        <w:rPr>
          <w:rFonts w:ascii="Bookman Old Style" w:hAnsi="Bookman Old Style"/>
        </w:rPr>
        <w:t xml:space="preserve">Refiere </w:t>
      </w:r>
      <w:proofErr w:type="gramStart"/>
      <w:r w:rsidRPr="00605EC8">
        <w:rPr>
          <w:rFonts w:ascii="Bookman Old Style" w:hAnsi="Bookman Old Style"/>
        </w:rPr>
        <w:t>que</w:t>
      </w:r>
      <w:proofErr w:type="gramEnd"/>
      <w:r w:rsidRPr="00605EC8">
        <w:rPr>
          <w:rFonts w:ascii="Bookman Old Style" w:hAnsi="Bookman Old Style"/>
        </w:rPr>
        <w:t xml:space="preserve"> </w:t>
      </w:r>
      <w:r w:rsidR="005F35A3" w:rsidRPr="00605EC8">
        <w:rPr>
          <w:rFonts w:ascii="Bookman Old Style" w:hAnsi="Bookman Old Style"/>
        </w:rPr>
        <w:t xml:space="preserve">de acuerdo con las condiciones generales del seguro, se </w:t>
      </w:r>
      <w:r w:rsidRPr="00605EC8">
        <w:rPr>
          <w:rFonts w:ascii="Bookman Old Style" w:hAnsi="Bookman Old Style"/>
        </w:rPr>
        <w:t xml:space="preserve">advertía </w:t>
      </w:r>
      <w:r w:rsidR="005F35A3" w:rsidRPr="00605EC8">
        <w:rPr>
          <w:rFonts w:ascii="Bookman Old Style" w:hAnsi="Bookman Old Style"/>
        </w:rPr>
        <w:t xml:space="preserve">que la póliza con base en la cual se llamó en garantía a </w:t>
      </w:r>
      <w:r w:rsidRPr="00605EC8">
        <w:rPr>
          <w:rFonts w:ascii="Bookman Old Style" w:hAnsi="Bookman Old Style"/>
        </w:rPr>
        <w:t>la aseguradora</w:t>
      </w:r>
      <w:r w:rsidR="005F35A3" w:rsidRPr="00605EC8">
        <w:rPr>
          <w:rFonts w:ascii="Bookman Old Style" w:hAnsi="Bookman Old Style"/>
        </w:rPr>
        <w:t xml:space="preserve">, no </w:t>
      </w:r>
      <w:r w:rsidRPr="00605EC8">
        <w:rPr>
          <w:rFonts w:ascii="Bookman Old Style" w:hAnsi="Bookman Old Style"/>
        </w:rPr>
        <w:t xml:space="preserve">cubría </w:t>
      </w:r>
      <w:r w:rsidR="005F35A3" w:rsidRPr="00605EC8">
        <w:rPr>
          <w:rFonts w:ascii="Bookman Old Style" w:hAnsi="Bookman Old Style"/>
        </w:rPr>
        <w:t xml:space="preserve">indemnización </w:t>
      </w:r>
      <w:r w:rsidRPr="00605EC8">
        <w:rPr>
          <w:rFonts w:ascii="Bookman Old Style" w:hAnsi="Bookman Old Style"/>
        </w:rPr>
        <w:t xml:space="preserve">como la del </w:t>
      </w:r>
      <w:r w:rsidR="005F35A3" w:rsidRPr="00605EC8">
        <w:rPr>
          <w:rFonts w:ascii="Bookman Old Style" w:hAnsi="Bookman Old Style"/>
        </w:rPr>
        <w:t>artículo 65</w:t>
      </w:r>
      <w:r w:rsidRPr="00605EC8">
        <w:rPr>
          <w:rFonts w:ascii="Bookman Old Style" w:hAnsi="Bookman Old Style"/>
        </w:rPr>
        <w:t xml:space="preserve"> CST</w:t>
      </w:r>
      <w:r w:rsidR="005F35A3" w:rsidRPr="00605EC8">
        <w:rPr>
          <w:rFonts w:ascii="Bookman Old Style" w:hAnsi="Bookman Old Style"/>
        </w:rPr>
        <w:t>, ni la prevista en el numeral 3° del artículo 99 de la Ley 50 de 1990</w:t>
      </w:r>
      <w:r w:rsidRPr="00605EC8">
        <w:rPr>
          <w:rFonts w:ascii="Bookman Old Style" w:hAnsi="Bookman Old Style"/>
        </w:rPr>
        <w:t xml:space="preserve">, </w:t>
      </w:r>
      <w:r w:rsidR="005F35A3" w:rsidRPr="00605EC8">
        <w:rPr>
          <w:rFonts w:ascii="Bookman Old Style" w:hAnsi="Bookman Old Style"/>
        </w:rPr>
        <w:t>ni la del ar</w:t>
      </w:r>
      <w:r w:rsidR="004B12B5" w:rsidRPr="00605EC8">
        <w:rPr>
          <w:rFonts w:ascii="Bookman Old Style" w:hAnsi="Bookman Old Style"/>
        </w:rPr>
        <w:t>tículo 1° de la Ley 52 de 19752</w:t>
      </w:r>
      <w:r w:rsidR="005F35A3" w:rsidRPr="00605EC8">
        <w:rPr>
          <w:rFonts w:ascii="Bookman Old Style" w:hAnsi="Bookman Old Style"/>
        </w:rPr>
        <w:t xml:space="preserve">, ni </w:t>
      </w:r>
      <w:r w:rsidRPr="00605EC8">
        <w:rPr>
          <w:rFonts w:ascii="Bookman Old Style" w:hAnsi="Bookman Old Style"/>
        </w:rPr>
        <w:t>otra diferente a la d</w:t>
      </w:r>
      <w:r w:rsidR="005F35A3" w:rsidRPr="00605EC8">
        <w:rPr>
          <w:rFonts w:ascii="Bookman Old Style" w:hAnsi="Bookman Old Style"/>
        </w:rPr>
        <w:t>el artículo 64 del CST.</w:t>
      </w:r>
      <w:r w:rsidRPr="00605EC8">
        <w:rPr>
          <w:rFonts w:ascii="Bookman Old Style" w:hAnsi="Bookman Old Style"/>
        </w:rPr>
        <w:t xml:space="preserve"> Por tanto, considera que la </w:t>
      </w:r>
      <w:r w:rsidR="005F35A3" w:rsidRPr="00605EC8">
        <w:rPr>
          <w:rFonts w:ascii="Bookman Old Style" w:hAnsi="Bookman Old Style"/>
        </w:rPr>
        <w:t xml:space="preserve">sentencia </w:t>
      </w:r>
      <w:r w:rsidRPr="00605EC8">
        <w:rPr>
          <w:rFonts w:ascii="Bookman Old Style" w:hAnsi="Bookman Old Style"/>
        </w:rPr>
        <w:t xml:space="preserve">desbordaba </w:t>
      </w:r>
      <w:r w:rsidR="005F35A3" w:rsidRPr="00605EC8">
        <w:rPr>
          <w:rFonts w:ascii="Bookman Old Style" w:hAnsi="Bookman Old Style"/>
        </w:rPr>
        <w:t xml:space="preserve">los amparos contenidos en la póliza teniendo en cuenta que la obliga a cancelar el valor dejado de cotizar en </w:t>
      </w:r>
      <w:r w:rsidRPr="00605EC8">
        <w:rPr>
          <w:rFonts w:ascii="Bookman Old Style" w:hAnsi="Bookman Old Style"/>
        </w:rPr>
        <w:t xml:space="preserve">la AFP con sus </w:t>
      </w:r>
      <w:r w:rsidR="005F35A3" w:rsidRPr="00605EC8">
        <w:rPr>
          <w:rFonts w:ascii="Bookman Old Style" w:hAnsi="Bookman Old Style"/>
        </w:rPr>
        <w:t xml:space="preserve">intereses y rendimientos, </w:t>
      </w:r>
      <w:r w:rsidRPr="00605EC8">
        <w:rPr>
          <w:rFonts w:ascii="Bookman Old Style" w:hAnsi="Bookman Old Style"/>
        </w:rPr>
        <w:t xml:space="preserve">lo cual </w:t>
      </w:r>
      <w:r w:rsidR="005F35A3" w:rsidRPr="00605EC8">
        <w:rPr>
          <w:rFonts w:ascii="Bookman Old Style" w:hAnsi="Bookman Old Style"/>
        </w:rPr>
        <w:t xml:space="preserve">no fue objeto de cobertura y si bien en la parte motiva </w:t>
      </w:r>
      <w:r w:rsidRPr="00605EC8">
        <w:rPr>
          <w:rFonts w:ascii="Bookman Old Style" w:hAnsi="Bookman Old Style"/>
        </w:rPr>
        <w:t xml:space="preserve">se </w:t>
      </w:r>
      <w:r w:rsidR="005F35A3" w:rsidRPr="00605EC8">
        <w:rPr>
          <w:rFonts w:ascii="Bookman Old Style" w:hAnsi="Bookman Old Style"/>
        </w:rPr>
        <w:t xml:space="preserve">tuvo </w:t>
      </w:r>
      <w:r w:rsidRPr="00605EC8">
        <w:rPr>
          <w:rFonts w:ascii="Bookman Old Style" w:hAnsi="Bookman Old Style"/>
        </w:rPr>
        <w:t xml:space="preserve">por </w:t>
      </w:r>
      <w:r w:rsidR="005F35A3" w:rsidRPr="00605EC8">
        <w:rPr>
          <w:rFonts w:ascii="Bookman Old Style" w:hAnsi="Bookman Old Style"/>
        </w:rPr>
        <w:t xml:space="preserve">probada la excepción de no cobertura de intereses, tampoco lo </w:t>
      </w:r>
      <w:r w:rsidRPr="00605EC8">
        <w:rPr>
          <w:rFonts w:ascii="Bookman Old Style" w:hAnsi="Bookman Old Style"/>
        </w:rPr>
        <w:t xml:space="preserve">era </w:t>
      </w:r>
      <w:r w:rsidR="005F35A3" w:rsidRPr="00605EC8">
        <w:rPr>
          <w:rFonts w:ascii="Bookman Old Style" w:hAnsi="Bookman Old Style"/>
        </w:rPr>
        <w:t xml:space="preserve">para el pago de aportes </w:t>
      </w:r>
      <w:r w:rsidRPr="00605EC8">
        <w:rPr>
          <w:rFonts w:ascii="Bookman Old Style" w:hAnsi="Bookman Old Style"/>
        </w:rPr>
        <w:t xml:space="preserve">a </w:t>
      </w:r>
      <w:r w:rsidR="005F35A3" w:rsidRPr="00605EC8">
        <w:rPr>
          <w:rFonts w:ascii="Bookman Old Style" w:hAnsi="Bookman Old Style"/>
        </w:rPr>
        <w:t>seguridad social dejados de pagar</w:t>
      </w:r>
      <w:r w:rsidRPr="00605EC8">
        <w:rPr>
          <w:rFonts w:ascii="Bookman Old Style" w:hAnsi="Bookman Old Style"/>
        </w:rPr>
        <w:t>.</w:t>
      </w:r>
    </w:p>
    <w:p w14:paraId="58748358" w14:textId="08DFB485" w:rsidR="005F35A3" w:rsidRPr="00605EC8" w:rsidRDefault="005F35A3" w:rsidP="00605EC8">
      <w:pPr>
        <w:spacing w:line="276" w:lineRule="auto"/>
        <w:rPr>
          <w:rFonts w:ascii="Bookman Old Style" w:hAnsi="Bookman Old Style" w:cs="Arial"/>
        </w:rPr>
      </w:pPr>
    </w:p>
    <w:p w14:paraId="34B02642" w14:textId="77777777" w:rsidR="00A334ED" w:rsidRPr="00605EC8" w:rsidRDefault="00A334ED" w:rsidP="00605EC8">
      <w:pPr>
        <w:spacing w:line="276" w:lineRule="auto"/>
        <w:ind w:firstLine="0"/>
        <w:jc w:val="center"/>
        <w:rPr>
          <w:rFonts w:ascii="Bookman Old Style" w:hAnsi="Bookman Old Style" w:cs="Arial"/>
          <w:b/>
        </w:rPr>
      </w:pPr>
      <w:r w:rsidRPr="00605EC8">
        <w:rPr>
          <w:rFonts w:ascii="Bookman Old Style" w:hAnsi="Bookman Old Style" w:cs="Arial"/>
          <w:b/>
        </w:rPr>
        <w:t>ALEGATOS DE SEGUNDA INSTANCIA</w:t>
      </w:r>
    </w:p>
    <w:p w14:paraId="64B8854B" w14:textId="77777777" w:rsidR="00A334ED" w:rsidRPr="00605EC8" w:rsidRDefault="00A334ED" w:rsidP="00605EC8">
      <w:pPr>
        <w:spacing w:line="276" w:lineRule="auto"/>
        <w:rPr>
          <w:rFonts w:ascii="Bookman Old Style" w:hAnsi="Bookman Old Style" w:cs="Arial"/>
        </w:rPr>
      </w:pPr>
    </w:p>
    <w:p w14:paraId="15DE8DDA" w14:textId="77777777" w:rsidR="00A334ED" w:rsidRPr="00605EC8" w:rsidRDefault="00A334ED" w:rsidP="00605EC8">
      <w:pPr>
        <w:spacing w:line="276" w:lineRule="auto"/>
        <w:ind w:firstLine="0"/>
        <w:rPr>
          <w:rFonts w:ascii="Bookman Old Style" w:hAnsi="Bookman Old Style" w:cs="Arial"/>
        </w:rPr>
      </w:pPr>
      <w:r w:rsidRPr="00605EC8">
        <w:rPr>
          <w:rFonts w:ascii="Bookman Old Style" w:hAnsi="Bookman Old Style" w:cs="Arial"/>
        </w:rPr>
        <w:t>Como la finalidad de esta etapa es atender la persuasión fáctica y jurídica sobre el tema objeto de discusión, bajo ese espectro se atienden los alegatos que guarden relación directa con los temas debatidos. Para tal efecto, mediante fijación en lista, se corrió traslado a las partes para alegar de conclusión, los cuales obran en el expediente digital. De la presentación de alegaciones en término, se remite a la constancia de la Secretaría de la Sala.</w:t>
      </w:r>
    </w:p>
    <w:p w14:paraId="15F4A47D" w14:textId="77777777" w:rsidR="00A334ED" w:rsidRPr="00605EC8" w:rsidRDefault="00A334ED" w:rsidP="00605EC8">
      <w:pPr>
        <w:spacing w:line="276" w:lineRule="auto"/>
        <w:rPr>
          <w:rFonts w:ascii="Bookman Old Style" w:hAnsi="Bookman Old Style" w:cs="Arial"/>
        </w:rPr>
      </w:pPr>
    </w:p>
    <w:p w14:paraId="5C8AF26B" w14:textId="6C094692" w:rsidR="00230D6C" w:rsidRPr="00605EC8" w:rsidRDefault="004B12B5" w:rsidP="00605EC8">
      <w:pPr>
        <w:spacing w:line="276" w:lineRule="auto"/>
        <w:ind w:firstLine="0"/>
        <w:jc w:val="center"/>
        <w:rPr>
          <w:rFonts w:ascii="Bookman Old Style" w:hAnsi="Bookman Old Style" w:cs="Arial"/>
          <w:b/>
          <w:bCs/>
        </w:rPr>
      </w:pPr>
      <w:r w:rsidRPr="00605EC8">
        <w:rPr>
          <w:rFonts w:ascii="Bookman Old Style" w:hAnsi="Bookman Old Style" w:cs="Arial"/>
          <w:b/>
          <w:bCs/>
        </w:rPr>
        <w:t>CUESTIÓ</w:t>
      </w:r>
      <w:r w:rsidR="00230D6C" w:rsidRPr="00605EC8">
        <w:rPr>
          <w:rFonts w:ascii="Bookman Old Style" w:hAnsi="Bookman Old Style" w:cs="Arial"/>
          <w:b/>
          <w:bCs/>
        </w:rPr>
        <w:t>N PREVIA</w:t>
      </w:r>
    </w:p>
    <w:p w14:paraId="5982E62F" w14:textId="77777777" w:rsidR="00230D6C" w:rsidRPr="00605EC8" w:rsidRDefault="00230D6C" w:rsidP="00605EC8">
      <w:pPr>
        <w:spacing w:line="276" w:lineRule="auto"/>
        <w:ind w:firstLine="0"/>
        <w:rPr>
          <w:rFonts w:ascii="Bookman Old Style" w:hAnsi="Bookman Old Style"/>
        </w:rPr>
      </w:pPr>
    </w:p>
    <w:p w14:paraId="47476047" w14:textId="77777777" w:rsidR="004B12B5" w:rsidRPr="00605EC8" w:rsidRDefault="00230D6C" w:rsidP="00605EC8">
      <w:pPr>
        <w:spacing w:line="276" w:lineRule="auto"/>
        <w:ind w:firstLine="0"/>
        <w:rPr>
          <w:rFonts w:ascii="Bookman Old Style" w:hAnsi="Bookman Old Style"/>
        </w:rPr>
      </w:pPr>
      <w:r w:rsidRPr="00605EC8">
        <w:rPr>
          <w:rFonts w:ascii="Bookman Old Style" w:hAnsi="Bookman Old Style"/>
        </w:rPr>
        <w:t>La presente contienda planteada desde mayo de 2010 fue dirigida en contra de los integrantes del Consorcio Megavía 2004, conforme a la posición que al respecto tenía la Corte Suprema de Justicia, pues recuérdese que la jurisprudencia al momento de la presentación de la demanda, señalaba que la conformación de un consorcio o unión temporal no configuraba una persona jurídica diferente a los de sus miembros individualmente considerados y, a partir de ese argumento, se planteaba que “</w:t>
      </w:r>
      <w:r w:rsidRPr="004A79A5">
        <w:rPr>
          <w:rFonts w:ascii="Bookman Old Style" w:hAnsi="Bookman Old Style"/>
          <w:sz w:val="22"/>
          <w:szCs w:val="22"/>
        </w:rPr>
        <w:t xml:space="preserve">no son sujetos procesales que puedan responder válidamente por obligaciones a su cargo, por lo que las responsabilidades que en la ejecución de la obra se susciten, son a cargo de las </w:t>
      </w:r>
      <w:r w:rsidRPr="004A79A5">
        <w:rPr>
          <w:rFonts w:ascii="Bookman Old Style" w:hAnsi="Bookman Old Style"/>
          <w:sz w:val="22"/>
          <w:szCs w:val="22"/>
        </w:rPr>
        <w:lastRenderedPageBreak/>
        <w:t>personas que las integran</w:t>
      </w:r>
      <w:r w:rsidRPr="00BC13A5">
        <w:rPr>
          <w:rFonts w:ascii="Bookman Old Style" w:hAnsi="Bookman Old Style"/>
        </w:rPr>
        <w:t>” (CSJ SL, 11 feb. 2009, rad. 24426). Asimismo, planteaba que “</w:t>
      </w:r>
      <w:r w:rsidRPr="004A79A5">
        <w:rPr>
          <w:rFonts w:ascii="Bookman Old Style" w:hAnsi="Bookman Old Style"/>
          <w:sz w:val="22"/>
          <w:szCs w:val="22"/>
        </w:rPr>
        <w:t>no obstante que tienen responsabilidad solidaria, (...) cuando concurren al proceso (...) se debe integrar litisconsorcio necesario por activa o por pasiva según corresponda con todos y cada uno de los unidos temporalmente</w:t>
      </w:r>
      <w:r w:rsidRPr="00605EC8">
        <w:rPr>
          <w:rFonts w:ascii="Bookman Old Style" w:hAnsi="Bookman Old Style"/>
        </w:rPr>
        <w:t xml:space="preserve">” (CSJ SL, 24 nov. 2009, rad. 35043). </w:t>
      </w:r>
    </w:p>
    <w:p w14:paraId="3DBE05BF" w14:textId="77777777" w:rsidR="004B12B5" w:rsidRPr="00605EC8" w:rsidRDefault="004B12B5" w:rsidP="00605EC8">
      <w:pPr>
        <w:spacing w:line="276" w:lineRule="auto"/>
        <w:ind w:firstLine="0"/>
        <w:rPr>
          <w:rFonts w:ascii="Bookman Old Style" w:hAnsi="Bookman Old Style"/>
        </w:rPr>
      </w:pPr>
    </w:p>
    <w:p w14:paraId="0DC587D2" w14:textId="4F7E5CE1" w:rsidR="00230D6C" w:rsidRPr="00605EC8" w:rsidRDefault="00230D6C" w:rsidP="00605EC8">
      <w:pPr>
        <w:spacing w:line="276" w:lineRule="auto"/>
        <w:ind w:firstLine="0"/>
        <w:rPr>
          <w:rFonts w:ascii="Bookman Old Style" w:hAnsi="Bookman Old Style"/>
        </w:rPr>
      </w:pPr>
      <w:r w:rsidRPr="00605EC8">
        <w:rPr>
          <w:rFonts w:ascii="Bookman Old Style" w:hAnsi="Bookman Old Style"/>
        </w:rPr>
        <w:t xml:space="preserve">En síntesis, al momento de radicarse la presente demanda, se consideraba que el Consorcio o la Unión Temporal carecía de capacidad para ser parte y comparecer al proceso, razón por la cual la parte pasiva se encuentra integrada por todos y cada uno de los integrantes del citado Consorcio. </w:t>
      </w:r>
    </w:p>
    <w:p w14:paraId="6DF84898" w14:textId="77777777" w:rsidR="00230D6C" w:rsidRPr="00605EC8" w:rsidRDefault="00230D6C" w:rsidP="00605EC8">
      <w:pPr>
        <w:spacing w:line="276" w:lineRule="auto"/>
        <w:ind w:firstLine="0"/>
        <w:rPr>
          <w:rFonts w:ascii="Bookman Old Style" w:hAnsi="Bookman Old Style"/>
        </w:rPr>
      </w:pPr>
    </w:p>
    <w:p w14:paraId="6905F018" w14:textId="77777777" w:rsidR="00230D6C" w:rsidRPr="00605EC8" w:rsidRDefault="00230D6C" w:rsidP="00605EC8">
      <w:pPr>
        <w:spacing w:line="276" w:lineRule="auto"/>
        <w:ind w:firstLine="0"/>
        <w:rPr>
          <w:rFonts w:ascii="Bookman Old Style" w:hAnsi="Bookman Old Style"/>
        </w:rPr>
      </w:pPr>
      <w:r w:rsidRPr="00605EC8">
        <w:rPr>
          <w:rFonts w:ascii="Bookman Old Style" w:hAnsi="Bookman Old Style"/>
        </w:rPr>
        <w:t xml:space="preserve">Lo anterior se puntualiza porque no se desconoce el cambio de posición trazado por la Sala de Casación Laboral de la Corte Suprema de Justicia a partir del 10/02/2021, en la que se concluyó que los consorcios o uniones temporales sí podían comparecer al juicio, según un nuevo estudio del asunto, en la que la Corte rectificó dicho precedente jurisprudencial, para establecer que las uniones temporales y consorcios sí tienen capacidad para ser parte y comparecer al proceso a través de su representante legal, y sin que deba constituirse un litisconsorcio necesario con cada uno de sus integrantes, y en esa medida pueden responder por las obligaciones de sus trabajadores, así como cada uno de sus miembros solidariamente. La primera razón que sustenta ese cambio de criterio es la relativa a que la sola circunstancia que un grupo de personas o asociación carezca de personalidad jurídica no es siempre una razón suficiente para afirmar que no pueda configurar una relación jurídico procesal en una contienda litigiosa y, en esa medida, ser sujeto procesal. </w:t>
      </w:r>
    </w:p>
    <w:p w14:paraId="23D8B2BF" w14:textId="77777777" w:rsidR="00230D6C" w:rsidRPr="00605EC8" w:rsidRDefault="00230D6C" w:rsidP="00605EC8">
      <w:pPr>
        <w:spacing w:line="276" w:lineRule="auto"/>
        <w:ind w:firstLine="0"/>
        <w:rPr>
          <w:rFonts w:ascii="Bookman Old Style" w:hAnsi="Bookman Old Style"/>
        </w:rPr>
      </w:pPr>
    </w:p>
    <w:p w14:paraId="4B4DFDB0" w14:textId="77777777" w:rsidR="00230D6C" w:rsidRPr="00605EC8" w:rsidRDefault="00230D6C" w:rsidP="00605EC8">
      <w:pPr>
        <w:spacing w:line="276" w:lineRule="auto"/>
        <w:ind w:firstLine="0"/>
        <w:rPr>
          <w:rFonts w:ascii="Bookman Old Style" w:hAnsi="Bookman Old Style"/>
        </w:rPr>
      </w:pPr>
      <w:r w:rsidRPr="00605EC8">
        <w:rPr>
          <w:rFonts w:ascii="Bookman Old Style" w:hAnsi="Bookman Old Style"/>
        </w:rPr>
        <w:t>De otro lado, la nueva línea jurisprudencial señaló que el empleador no debía ser el integrante del consorcio que celebre el contrato de trabajo, porque radicar en un solo miembro la responsabilidad por los derechos laborales del trabajador que prestó su trabajo a una organización empresarial, anulaba la posibilidad jurídica que aquel tiene de demandar solidariamente al consorcio o a la unión temporal y a todos sus integrantes, según lo faculta el artículo 7.º de la Ley 80 de 1993, al tiempo que se buscó promover la protección de los trabajadores y evitar adoptar fallos inhibitorios.</w:t>
      </w:r>
    </w:p>
    <w:p w14:paraId="0A0A1A8A" w14:textId="77777777" w:rsidR="00230D6C" w:rsidRPr="00605EC8" w:rsidRDefault="00230D6C" w:rsidP="00605EC8">
      <w:pPr>
        <w:spacing w:line="276" w:lineRule="auto"/>
        <w:ind w:firstLine="0"/>
        <w:rPr>
          <w:rFonts w:ascii="Bookman Old Style" w:hAnsi="Bookman Old Style"/>
        </w:rPr>
      </w:pPr>
    </w:p>
    <w:p w14:paraId="40A8CC31" w14:textId="77777777" w:rsidR="00230D6C" w:rsidRPr="00605EC8" w:rsidRDefault="00230D6C" w:rsidP="00605EC8">
      <w:pPr>
        <w:spacing w:line="276" w:lineRule="auto"/>
        <w:ind w:firstLine="0"/>
        <w:rPr>
          <w:rFonts w:ascii="Bookman Old Style" w:hAnsi="Bookman Old Style"/>
        </w:rPr>
      </w:pPr>
      <w:r w:rsidRPr="00605EC8">
        <w:rPr>
          <w:rFonts w:ascii="Bookman Old Style" w:hAnsi="Bookman Old Style"/>
        </w:rPr>
        <w:t>Ahora, como en este caso en particular, atendiendo a que la demanda fue radicada desde el 2010, en tal orden, a pesar de que el 06-12-2022 se profirió la sentencia de primera instancia, remitida a esta Corporación por apelación, se decide de fondo el asunto bajo un escenario en el que la actuación de los sujetos procesales estuvo determinada por la jurisprudencia vigente para entonces, por lo que este caso resulta ser una excepción a la nueva regla jurisprudencial, pues de ajustar el caso a esta última, generaría una posible afectación en los derechos fundamentales al modificar las reglas procesales con base en las cuales, legítimamente, actuaron (</w:t>
      </w:r>
      <w:proofErr w:type="spellStart"/>
      <w:r w:rsidRPr="00605EC8">
        <w:rPr>
          <w:rFonts w:ascii="Bookman Old Style" w:hAnsi="Bookman Old Style"/>
        </w:rPr>
        <w:t>SU406</w:t>
      </w:r>
      <w:proofErr w:type="spellEnd"/>
      <w:r w:rsidRPr="00605EC8">
        <w:rPr>
          <w:rFonts w:ascii="Bookman Old Style" w:hAnsi="Bookman Old Style"/>
        </w:rPr>
        <w:t xml:space="preserve">-2016), amén que no justifica alterar el curso de un proceso que lleva más de catorce años, en virtud de cambios ulteriores de criterio en la resolución de estos conflictos, cuando </w:t>
      </w:r>
      <w:r w:rsidRPr="00605EC8">
        <w:rPr>
          <w:rFonts w:ascii="Bookman Old Style" w:hAnsi="Bookman Old Style"/>
        </w:rPr>
        <w:lastRenderedPageBreak/>
        <w:t>en el fondo nada impide resolverlo de fondo al haber concurrido al proceso todos los integrantes que en otrora, conformaron el Consorcio Megavía 2004.</w:t>
      </w:r>
    </w:p>
    <w:p w14:paraId="26AE4626" w14:textId="77777777" w:rsidR="00230D6C" w:rsidRPr="00605EC8" w:rsidRDefault="00230D6C" w:rsidP="00605EC8">
      <w:pPr>
        <w:spacing w:line="276" w:lineRule="auto"/>
        <w:ind w:firstLine="0"/>
        <w:rPr>
          <w:rFonts w:ascii="Bookman Old Style" w:hAnsi="Bookman Old Style"/>
        </w:rPr>
      </w:pPr>
    </w:p>
    <w:p w14:paraId="06C5EB30" w14:textId="77777777" w:rsidR="00230D6C" w:rsidRPr="00605EC8" w:rsidRDefault="00230D6C" w:rsidP="00605EC8">
      <w:pPr>
        <w:spacing w:line="276" w:lineRule="auto"/>
        <w:ind w:firstLine="0"/>
        <w:rPr>
          <w:rFonts w:ascii="Bookman Old Style" w:hAnsi="Bookman Old Style"/>
        </w:rPr>
      </w:pPr>
      <w:r w:rsidRPr="00605EC8">
        <w:rPr>
          <w:rFonts w:ascii="Bookman Old Style" w:hAnsi="Bookman Old Style"/>
        </w:rPr>
        <w:t xml:space="preserve">Para mayor sustento de lo dicho, se trae a colación la sentencia </w:t>
      </w:r>
      <w:proofErr w:type="spellStart"/>
      <w:r w:rsidRPr="00605EC8">
        <w:rPr>
          <w:rFonts w:ascii="Bookman Old Style" w:hAnsi="Bookman Old Style"/>
        </w:rPr>
        <w:t>SL1320</w:t>
      </w:r>
      <w:proofErr w:type="spellEnd"/>
      <w:r w:rsidRPr="00605EC8">
        <w:rPr>
          <w:rFonts w:ascii="Bookman Old Style" w:hAnsi="Bookman Old Style"/>
        </w:rPr>
        <w:t>-2023, donde se planteó:</w:t>
      </w:r>
    </w:p>
    <w:p w14:paraId="71DC3992" w14:textId="77777777" w:rsidR="00230D6C" w:rsidRPr="00605EC8" w:rsidRDefault="00230D6C" w:rsidP="00605EC8">
      <w:pPr>
        <w:spacing w:line="276" w:lineRule="auto"/>
        <w:ind w:right="1752" w:firstLine="0"/>
        <w:rPr>
          <w:rFonts w:ascii="Bookman Old Style" w:hAnsi="Bookman Old Style" w:cs="Arial"/>
          <w:iCs/>
        </w:rPr>
      </w:pPr>
    </w:p>
    <w:p w14:paraId="28998B87" w14:textId="77777777" w:rsidR="00230D6C" w:rsidRPr="00F35C97" w:rsidRDefault="00230D6C" w:rsidP="00F35C97">
      <w:pPr>
        <w:spacing w:line="240" w:lineRule="auto"/>
        <w:ind w:left="426" w:right="420" w:firstLine="0"/>
        <w:rPr>
          <w:rFonts w:ascii="Bookman Old Style" w:hAnsi="Bookman Old Style" w:cs="Arial"/>
          <w:iCs/>
          <w:sz w:val="22"/>
          <w:szCs w:val="22"/>
        </w:rPr>
      </w:pPr>
      <w:r w:rsidRPr="00F35C97">
        <w:rPr>
          <w:rFonts w:ascii="Bookman Old Style" w:hAnsi="Bookman Old Style" w:cs="Arial"/>
          <w:iCs/>
          <w:sz w:val="22"/>
          <w:szCs w:val="22"/>
        </w:rPr>
        <w:t xml:space="preserve">“… en la sentencia CSJ </w:t>
      </w:r>
      <w:proofErr w:type="spellStart"/>
      <w:r w:rsidRPr="00F35C97">
        <w:rPr>
          <w:rFonts w:ascii="Bookman Old Style" w:hAnsi="Bookman Old Style" w:cs="Arial"/>
          <w:iCs/>
          <w:sz w:val="22"/>
          <w:szCs w:val="22"/>
        </w:rPr>
        <w:t>SL676</w:t>
      </w:r>
      <w:proofErr w:type="spellEnd"/>
      <w:r w:rsidRPr="00F35C97">
        <w:rPr>
          <w:rFonts w:ascii="Bookman Old Style" w:hAnsi="Bookman Old Style" w:cs="Arial"/>
          <w:iCs/>
          <w:sz w:val="22"/>
          <w:szCs w:val="22"/>
        </w:rPr>
        <w:t>-2021, se insistió en que «los consorcios y uniones temporales tienen capacidad para ser parte y comparecer al proceso a través de su representante legal y sin que deba constituirse un litisconsorcio necesario con cada uno de sus integrantes, los cuales pueden responder solidariamente»</w:t>
      </w:r>
    </w:p>
    <w:p w14:paraId="258A8CB1" w14:textId="77777777" w:rsidR="00230D6C" w:rsidRPr="00F35C97" w:rsidRDefault="00230D6C" w:rsidP="00F35C97">
      <w:pPr>
        <w:spacing w:line="240" w:lineRule="auto"/>
        <w:ind w:left="426" w:right="420" w:firstLine="0"/>
        <w:rPr>
          <w:rFonts w:ascii="Bookman Old Style" w:hAnsi="Bookman Old Style" w:cs="Arial"/>
          <w:iCs/>
          <w:sz w:val="22"/>
          <w:szCs w:val="22"/>
        </w:rPr>
      </w:pPr>
    </w:p>
    <w:p w14:paraId="4F442330" w14:textId="77777777" w:rsidR="00230D6C" w:rsidRPr="00F35C97" w:rsidRDefault="00230D6C" w:rsidP="00F35C97">
      <w:pPr>
        <w:spacing w:line="240" w:lineRule="auto"/>
        <w:ind w:left="426" w:right="420" w:firstLine="0"/>
        <w:rPr>
          <w:rFonts w:ascii="Bookman Old Style" w:hAnsi="Bookman Old Style" w:cs="Arial"/>
          <w:iCs/>
          <w:sz w:val="22"/>
          <w:szCs w:val="22"/>
        </w:rPr>
      </w:pPr>
      <w:r w:rsidRPr="00F35C97">
        <w:rPr>
          <w:rFonts w:ascii="Bookman Old Style" w:hAnsi="Bookman Old Style" w:cs="Arial"/>
          <w:iCs/>
          <w:sz w:val="22"/>
          <w:szCs w:val="22"/>
        </w:rPr>
        <w:t xml:space="preserve">Siendo así, si bien el consorcio no fue vinculado al presente juicio, su ausencia ni impedía la decisión condenatoria, por las siguientes razones: (i) Exigir su comparecencia, como lo reclama Constructora </w:t>
      </w:r>
      <w:proofErr w:type="spellStart"/>
      <w:r w:rsidRPr="00F35C97">
        <w:rPr>
          <w:rFonts w:ascii="Bookman Old Style" w:hAnsi="Bookman Old Style" w:cs="Arial"/>
          <w:iCs/>
          <w:sz w:val="22"/>
          <w:szCs w:val="22"/>
        </w:rPr>
        <w:t>Conconcretos</w:t>
      </w:r>
      <w:proofErr w:type="spellEnd"/>
      <w:r w:rsidRPr="00F35C97">
        <w:rPr>
          <w:rFonts w:ascii="Bookman Old Style" w:hAnsi="Bookman Old Style" w:cs="Arial"/>
          <w:iCs/>
          <w:sz w:val="22"/>
          <w:szCs w:val="22"/>
        </w:rPr>
        <w:t xml:space="preserve"> SA, constituye una obligación de imposible cumplimiento, toda vez, que dejó de existir de tiempo atrás; (</w:t>
      </w:r>
      <w:proofErr w:type="spellStart"/>
      <w:r w:rsidRPr="00F35C97">
        <w:rPr>
          <w:rFonts w:ascii="Bookman Old Style" w:hAnsi="Bookman Old Style" w:cs="Arial"/>
          <w:iCs/>
          <w:sz w:val="22"/>
          <w:szCs w:val="22"/>
        </w:rPr>
        <w:t>ii</w:t>
      </w:r>
      <w:proofErr w:type="spellEnd"/>
      <w:r w:rsidRPr="00F35C97">
        <w:rPr>
          <w:rFonts w:ascii="Bookman Old Style" w:hAnsi="Bookman Old Style" w:cs="Arial"/>
          <w:iCs/>
          <w:sz w:val="22"/>
          <w:szCs w:val="22"/>
        </w:rPr>
        <w:t xml:space="preserve">) </w:t>
      </w:r>
      <w:r w:rsidRPr="00F35C97">
        <w:rPr>
          <w:rFonts w:ascii="Bookman Old Style" w:hAnsi="Bookman Old Style" w:cs="Arial"/>
          <w:b/>
          <w:bCs/>
          <w:iCs/>
          <w:sz w:val="22"/>
          <w:szCs w:val="22"/>
        </w:rPr>
        <w:t xml:space="preserve">el fallo referido con radicado CSJ </w:t>
      </w:r>
      <w:proofErr w:type="spellStart"/>
      <w:r w:rsidRPr="00F35C97">
        <w:rPr>
          <w:rFonts w:ascii="Bookman Old Style" w:hAnsi="Bookman Old Style" w:cs="Arial"/>
          <w:b/>
          <w:bCs/>
          <w:iCs/>
          <w:sz w:val="22"/>
          <w:szCs w:val="22"/>
        </w:rPr>
        <w:t>SL462</w:t>
      </w:r>
      <w:proofErr w:type="spellEnd"/>
      <w:r w:rsidRPr="00F35C97">
        <w:rPr>
          <w:rFonts w:ascii="Bookman Old Style" w:hAnsi="Bookman Old Style" w:cs="Arial"/>
          <w:b/>
          <w:bCs/>
          <w:iCs/>
          <w:sz w:val="22"/>
          <w:szCs w:val="22"/>
        </w:rPr>
        <w:t>-2021, adoctrinó que aunque los consorcios «pueden ser convocados para responder por las obligaciones laborales», ello no implica que de no ser vinculados al debate, como en este evento, conduzca a la irremediable absolución de los miembros que lo integraron, pues de ser así, no tendría sentido la solidaridad explicada; (</w:t>
      </w:r>
      <w:proofErr w:type="spellStart"/>
      <w:r w:rsidRPr="00F35C97">
        <w:rPr>
          <w:rFonts w:ascii="Bookman Old Style" w:hAnsi="Bookman Old Style" w:cs="Arial"/>
          <w:b/>
          <w:bCs/>
          <w:iCs/>
          <w:sz w:val="22"/>
          <w:szCs w:val="22"/>
        </w:rPr>
        <w:t>iii</w:t>
      </w:r>
      <w:proofErr w:type="spellEnd"/>
      <w:r w:rsidRPr="00F35C97">
        <w:rPr>
          <w:rFonts w:ascii="Bookman Old Style" w:hAnsi="Bookman Old Style" w:cs="Arial"/>
          <w:b/>
          <w:bCs/>
          <w:iCs/>
          <w:sz w:val="22"/>
          <w:szCs w:val="22"/>
        </w:rPr>
        <w:t>) de aceptarse la tesis del apelante, fácil sería burlar los derechos sociales de los trabajadores, implementando un sistema de contratación a través de consorcios que luego desaparezcan y así liberen a sus integrantes de la responsabilidad social y legal que les es exigible;</w:t>
      </w:r>
      <w:r w:rsidRPr="00F35C97">
        <w:rPr>
          <w:rFonts w:ascii="Bookman Old Style" w:hAnsi="Bookman Old Style" w:cs="Arial"/>
          <w:iCs/>
          <w:sz w:val="22"/>
          <w:szCs w:val="22"/>
        </w:rPr>
        <w:t xml:space="preserve"> (</w:t>
      </w:r>
      <w:proofErr w:type="spellStart"/>
      <w:r w:rsidRPr="00F35C97">
        <w:rPr>
          <w:rFonts w:ascii="Bookman Old Style" w:hAnsi="Bookman Old Style" w:cs="Arial"/>
          <w:iCs/>
          <w:sz w:val="22"/>
          <w:szCs w:val="22"/>
        </w:rPr>
        <w:t>iv</w:t>
      </w:r>
      <w:proofErr w:type="spellEnd"/>
      <w:r w:rsidRPr="00F35C97">
        <w:rPr>
          <w:rFonts w:ascii="Bookman Old Style" w:hAnsi="Bookman Old Style" w:cs="Arial"/>
          <w:iCs/>
          <w:sz w:val="22"/>
          <w:szCs w:val="22"/>
        </w:rPr>
        <w:t xml:space="preserve">) como lo iteró la sentencia inmediatamente recordada: «el Derecho del Trabajo es un derecho que capta las realidades», que impone en el sub examine, mantener la condena impuesta a Constructora </w:t>
      </w:r>
      <w:proofErr w:type="spellStart"/>
      <w:r w:rsidRPr="00F35C97">
        <w:rPr>
          <w:rFonts w:ascii="Bookman Old Style" w:hAnsi="Bookman Old Style" w:cs="Arial"/>
          <w:iCs/>
          <w:sz w:val="22"/>
          <w:szCs w:val="22"/>
        </w:rPr>
        <w:t>Conconcreto</w:t>
      </w:r>
      <w:proofErr w:type="spellEnd"/>
      <w:r w:rsidRPr="00F35C97">
        <w:rPr>
          <w:rFonts w:ascii="Bookman Old Style" w:hAnsi="Bookman Old Style" w:cs="Arial"/>
          <w:iCs/>
          <w:sz w:val="22"/>
          <w:szCs w:val="22"/>
        </w:rPr>
        <w:t xml:space="preserve"> </w:t>
      </w:r>
      <w:proofErr w:type="spellStart"/>
      <w:r w:rsidRPr="00F35C97">
        <w:rPr>
          <w:rFonts w:ascii="Bookman Old Style" w:hAnsi="Bookman Old Style" w:cs="Arial"/>
          <w:iCs/>
          <w:sz w:val="22"/>
          <w:szCs w:val="22"/>
        </w:rPr>
        <w:t>S.A</w:t>
      </w:r>
      <w:proofErr w:type="spellEnd"/>
      <w:r w:rsidRPr="00F35C97">
        <w:rPr>
          <w:rFonts w:ascii="Bookman Old Style" w:hAnsi="Bookman Old Style" w:cs="Arial"/>
          <w:iCs/>
          <w:sz w:val="22"/>
          <w:szCs w:val="22"/>
        </w:rPr>
        <w:t>, en su condición de miembro del consorcio, conservando su derecho a accionar contra los demás integrantes, para obtener, si así lo desea, el recobro pertinente (…)”. (negrillas fuera de texto).</w:t>
      </w:r>
    </w:p>
    <w:p w14:paraId="14129B8D" w14:textId="77777777" w:rsidR="00230D6C" w:rsidRPr="00605EC8" w:rsidRDefault="00230D6C" w:rsidP="00605EC8">
      <w:pPr>
        <w:spacing w:line="276" w:lineRule="auto"/>
        <w:ind w:firstLine="0"/>
        <w:rPr>
          <w:rFonts w:ascii="Bookman Old Style" w:hAnsi="Bookman Old Style" w:cs="Arial"/>
        </w:rPr>
      </w:pPr>
    </w:p>
    <w:p w14:paraId="6556FD0A" w14:textId="38B6BA3D" w:rsidR="00A334ED" w:rsidRPr="00605EC8" w:rsidRDefault="00230D6C" w:rsidP="00605EC8">
      <w:pPr>
        <w:spacing w:line="276" w:lineRule="auto"/>
        <w:ind w:firstLine="0"/>
        <w:rPr>
          <w:rFonts w:ascii="Bookman Old Style" w:hAnsi="Bookman Old Style" w:cs="Arial"/>
        </w:rPr>
      </w:pPr>
      <w:r w:rsidRPr="00605EC8">
        <w:rPr>
          <w:rFonts w:ascii="Bookman Old Style" w:hAnsi="Bookman Old Style" w:cs="Arial"/>
        </w:rPr>
        <w:t>Aclarado lo anterior y s</w:t>
      </w:r>
      <w:r w:rsidR="00A334ED" w:rsidRPr="00605EC8">
        <w:rPr>
          <w:rFonts w:ascii="Bookman Old Style" w:hAnsi="Bookman Old Style" w:cs="Arial"/>
        </w:rPr>
        <w:t>urtido el trámite que corresponde a esta instancia, procede la Sala de decisión a dictar la providencia que corresponde, previas las siguientes,</w:t>
      </w:r>
    </w:p>
    <w:p w14:paraId="55365A39" w14:textId="77777777" w:rsidR="00A334ED" w:rsidRPr="00605EC8" w:rsidRDefault="00A334ED" w:rsidP="00605EC8">
      <w:pPr>
        <w:spacing w:line="276" w:lineRule="auto"/>
        <w:rPr>
          <w:rStyle w:val="normaltextrun"/>
          <w:rFonts w:ascii="Bookman Old Style" w:hAnsi="Bookman Old Style" w:cs="Arial"/>
          <w:lang w:eastAsia="es-CO"/>
        </w:rPr>
      </w:pPr>
    </w:p>
    <w:p w14:paraId="213024A3" w14:textId="77777777" w:rsidR="00A334ED" w:rsidRPr="00605EC8" w:rsidRDefault="00A334ED" w:rsidP="00605EC8">
      <w:pPr>
        <w:spacing w:line="276" w:lineRule="auto"/>
        <w:ind w:firstLine="0"/>
        <w:jc w:val="center"/>
        <w:rPr>
          <w:rFonts w:ascii="Bookman Old Style" w:hAnsi="Bookman Old Style" w:cs="Arial"/>
          <w:b/>
        </w:rPr>
      </w:pPr>
      <w:r w:rsidRPr="00605EC8">
        <w:rPr>
          <w:rFonts w:ascii="Bookman Old Style" w:hAnsi="Bookman Old Style" w:cs="Arial"/>
          <w:b/>
        </w:rPr>
        <w:t>CONSIDERACIONES</w:t>
      </w:r>
    </w:p>
    <w:p w14:paraId="4EFA3238" w14:textId="77777777" w:rsidR="00A334ED" w:rsidRPr="00605EC8" w:rsidRDefault="00A334ED" w:rsidP="00605EC8">
      <w:pPr>
        <w:spacing w:line="276" w:lineRule="auto"/>
        <w:ind w:firstLine="0"/>
        <w:jc w:val="center"/>
        <w:rPr>
          <w:rFonts w:ascii="Bookman Old Style" w:hAnsi="Bookman Old Style" w:cs="Arial"/>
          <w:b/>
        </w:rPr>
      </w:pPr>
    </w:p>
    <w:p w14:paraId="3C0124AA" w14:textId="4D4ACFF4" w:rsidR="00002EF1" w:rsidRPr="00605EC8" w:rsidRDefault="00A334ED" w:rsidP="00605EC8">
      <w:pPr>
        <w:spacing w:line="276" w:lineRule="auto"/>
        <w:ind w:firstLine="0"/>
        <w:rPr>
          <w:rFonts w:ascii="Bookman Old Style" w:hAnsi="Bookman Old Style" w:cs="Arial"/>
        </w:rPr>
      </w:pPr>
      <w:r w:rsidRPr="00605EC8">
        <w:rPr>
          <w:rFonts w:ascii="Bookman Old Style" w:hAnsi="Bookman Old Style" w:cs="Arial"/>
        </w:rPr>
        <w:t xml:space="preserve">Conforme al anterior panorama, la Sala se ceñirá a los fundamentos </w:t>
      </w:r>
      <w:r w:rsidR="00002EF1" w:rsidRPr="00605EC8">
        <w:rPr>
          <w:rFonts w:ascii="Bookman Old Style" w:hAnsi="Bookman Old Style" w:cs="Arial"/>
        </w:rPr>
        <w:t xml:space="preserve">de los </w:t>
      </w:r>
      <w:r w:rsidRPr="00605EC8">
        <w:rPr>
          <w:rFonts w:ascii="Bookman Old Style" w:hAnsi="Bookman Old Style" w:cs="Arial"/>
        </w:rPr>
        <w:t>recurso</w:t>
      </w:r>
      <w:r w:rsidR="00002EF1" w:rsidRPr="00605EC8">
        <w:rPr>
          <w:rFonts w:ascii="Bookman Old Style" w:hAnsi="Bookman Old Style" w:cs="Arial"/>
        </w:rPr>
        <w:t>s</w:t>
      </w:r>
      <w:r w:rsidRPr="00605EC8">
        <w:rPr>
          <w:rFonts w:ascii="Bookman Old Style" w:hAnsi="Bookman Old Style" w:cs="Arial"/>
        </w:rPr>
        <w:t xml:space="preserve"> de apelación, según lo dispuesto en el artículo </w:t>
      </w:r>
      <w:proofErr w:type="spellStart"/>
      <w:r w:rsidRPr="00605EC8">
        <w:rPr>
          <w:rFonts w:ascii="Bookman Old Style" w:hAnsi="Bookman Old Style" w:cs="Arial"/>
        </w:rPr>
        <w:t>66A</w:t>
      </w:r>
      <w:proofErr w:type="spellEnd"/>
      <w:r w:rsidRPr="00605EC8">
        <w:rPr>
          <w:rFonts w:ascii="Bookman Old Style" w:hAnsi="Bookman Old Style" w:cs="Arial"/>
        </w:rPr>
        <w:t xml:space="preserve"> del </w:t>
      </w:r>
      <w:proofErr w:type="spellStart"/>
      <w:r w:rsidRPr="00605EC8">
        <w:rPr>
          <w:rFonts w:ascii="Bookman Old Style" w:hAnsi="Bookman Old Style" w:cs="Arial"/>
        </w:rPr>
        <w:t>CPTSS</w:t>
      </w:r>
      <w:proofErr w:type="spellEnd"/>
      <w:r w:rsidRPr="00605EC8">
        <w:rPr>
          <w:rFonts w:ascii="Bookman Old Style" w:hAnsi="Bookman Old Style" w:cs="Arial"/>
        </w:rPr>
        <w:t xml:space="preserve">, por lo que </w:t>
      </w:r>
      <w:r w:rsidR="00002EF1" w:rsidRPr="00605EC8">
        <w:rPr>
          <w:rFonts w:ascii="Bookman Old Style" w:hAnsi="Bookman Old Style" w:cs="Arial"/>
        </w:rPr>
        <w:t xml:space="preserve">los </w:t>
      </w:r>
      <w:r w:rsidRPr="00605EC8">
        <w:rPr>
          <w:rFonts w:ascii="Bookman Old Style" w:hAnsi="Bookman Old Style" w:cs="Arial"/>
        </w:rPr>
        <w:t>problema</w:t>
      </w:r>
      <w:r w:rsidR="00002EF1" w:rsidRPr="00605EC8">
        <w:rPr>
          <w:rFonts w:ascii="Bookman Old Style" w:hAnsi="Bookman Old Style" w:cs="Arial"/>
        </w:rPr>
        <w:t>s</w:t>
      </w:r>
      <w:r w:rsidRPr="00605EC8">
        <w:rPr>
          <w:rFonts w:ascii="Bookman Old Style" w:hAnsi="Bookman Old Style" w:cs="Arial"/>
        </w:rPr>
        <w:t xml:space="preserve"> jurídico</w:t>
      </w:r>
      <w:r w:rsidR="00002EF1" w:rsidRPr="00605EC8">
        <w:rPr>
          <w:rFonts w:ascii="Bookman Old Style" w:hAnsi="Bookman Old Style" w:cs="Arial"/>
        </w:rPr>
        <w:t>s</w:t>
      </w:r>
      <w:r w:rsidRPr="00605EC8">
        <w:rPr>
          <w:rFonts w:ascii="Bookman Old Style" w:hAnsi="Bookman Old Style" w:cs="Arial"/>
        </w:rPr>
        <w:t xml:space="preserve"> se enmarca</w:t>
      </w:r>
      <w:r w:rsidR="00002EF1" w:rsidRPr="00605EC8">
        <w:rPr>
          <w:rFonts w:ascii="Bookman Old Style" w:hAnsi="Bookman Old Style" w:cs="Arial"/>
        </w:rPr>
        <w:t>n</w:t>
      </w:r>
      <w:r w:rsidRPr="00605EC8">
        <w:rPr>
          <w:rFonts w:ascii="Bookman Old Style" w:hAnsi="Bookman Old Style" w:cs="Arial"/>
        </w:rPr>
        <w:t xml:space="preserve"> en</w:t>
      </w:r>
      <w:r w:rsidR="00796B34" w:rsidRPr="00605EC8">
        <w:rPr>
          <w:rFonts w:ascii="Bookman Old Style" w:hAnsi="Bookman Old Style" w:cs="Arial"/>
        </w:rPr>
        <w:t>:</w:t>
      </w:r>
      <w:r w:rsidRPr="00605EC8">
        <w:rPr>
          <w:rFonts w:ascii="Bookman Old Style" w:hAnsi="Bookman Old Style" w:cs="Arial"/>
        </w:rPr>
        <w:t xml:space="preserve"> </w:t>
      </w:r>
    </w:p>
    <w:p w14:paraId="77DE35A2" w14:textId="77777777" w:rsidR="00002EF1" w:rsidRPr="00605EC8" w:rsidRDefault="00002EF1" w:rsidP="00605EC8">
      <w:pPr>
        <w:spacing w:line="276" w:lineRule="auto"/>
        <w:ind w:firstLine="0"/>
        <w:rPr>
          <w:rFonts w:ascii="Bookman Old Style" w:hAnsi="Bookman Old Style" w:cs="Arial"/>
        </w:rPr>
      </w:pPr>
    </w:p>
    <w:p w14:paraId="6F65603D" w14:textId="6DAE70F3" w:rsidR="00A334ED" w:rsidRPr="00605EC8" w:rsidRDefault="00796B34" w:rsidP="00605EC8">
      <w:pPr>
        <w:spacing w:line="276" w:lineRule="auto"/>
        <w:ind w:firstLine="0"/>
        <w:rPr>
          <w:rFonts w:ascii="Bookman Old Style" w:hAnsi="Bookman Old Style" w:cs="Arial"/>
          <w:i/>
          <w:iCs/>
        </w:rPr>
      </w:pPr>
      <w:r w:rsidRPr="00605EC8">
        <w:rPr>
          <w:rFonts w:ascii="Bookman Old Style" w:hAnsi="Bookman Old Style" w:cs="Arial"/>
          <w:i/>
          <w:iCs/>
        </w:rPr>
        <w:t xml:space="preserve">i) </w:t>
      </w:r>
      <w:r w:rsidR="00002EF1" w:rsidRPr="00605EC8">
        <w:rPr>
          <w:rFonts w:ascii="Bookman Old Style" w:hAnsi="Bookman Old Style" w:cs="Arial"/>
          <w:i/>
          <w:iCs/>
        </w:rPr>
        <w:t xml:space="preserve"> Establecer cuál es la interpretación que debe dársele al parágrafo 1 del artículo 65 CST. </w:t>
      </w:r>
      <w:r w:rsidR="00075C70" w:rsidRPr="00605EC8">
        <w:rPr>
          <w:rFonts w:ascii="Bookman Old Style" w:hAnsi="Bookman Old Style" w:cs="Arial"/>
          <w:i/>
          <w:iCs/>
        </w:rPr>
        <w:t xml:space="preserve">Para </w:t>
      </w:r>
      <w:r w:rsidR="00002EF1" w:rsidRPr="00605EC8">
        <w:rPr>
          <w:rFonts w:ascii="Bookman Old Style" w:hAnsi="Bookman Old Style" w:cs="Arial"/>
          <w:i/>
          <w:iCs/>
        </w:rPr>
        <w:t xml:space="preserve">ello, </w:t>
      </w:r>
      <w:r w:rsidR="00075C70" w:rsidRPr="00605EC8">
        <w:rPr>
          <w:rFonts w:ascii="Bookman Old Style" w:hAnsi="Bookman Old Style" w:cs="Arial"/>
          <w:i/>
          <w:iCs/>
        </w:rPr>
        <w:t xml:space="preserve">se deberá </w:t>
      </w:r>
      <w:r w:rsidR="00A7575A" w:rsidRPr="00605EC8">
        <w:rPr>
          <w:rFonts w:ascii="Bookman Old Style" w:hAnsi="Bookman Old Style" w:cs="Arial"/>
          <w:i/>
          <w:iCs/>
        </w:rPr>
        <w:t xml:space="preserve">analizar </w:t>
      </w:r>
      <w:r w:rsidR="00002EF1" w:rsidRPr="00605EC8">
        <w:rPr>
          <w:rFonts w:ascii="Bookman Old Style" w:hAnsi="Bookman Old Style" w:cs="Arial"/>
          <w:i/>
          <w:iCs/>
        </w:rPr>
        <w:t>si la forma de terminación o la modalidad contractual se relaciona con la sanción allí dispuesta.</w:t>
      </w:r>
    </w:p>
    <w:p w14:paraId="2DE7308A" w14:textId="77777777" w:rsidR="00002EF1" w:rsidRPr="00605EC8" w:rsidRDefault="00002EF1" w:rsidP="00605EC8">
      <w:pPr>
        <w:spacing w:line="276" w:lineRule="auto"/>
        <w:ind w:firstLine="0"/>
        <w:rPr>
          <w:rFonts w:ascii="Bookman Old Style" w:hAnsi="Bookman Old Style" w:cs="Arial"/>
        </w:rPr>
      </w:pPr>
    </w:p>
    <w:p w14:paraId="3561529E" w14:textId="4A9622A9" w:rsidR="00002EF1" w:rsidRPr="00605EC8" w:rsidRDefault="00002EF1" w:rsidP="00605EC8">
      <w:pPr>
        <w:spacing w:line="276" w:lineRule="auto"/>
        <w:ind w:firstLine="0"/>
        <w:rPr>
          <w:rFonts w:ascii="Bookman Old Style" w:hAnsi="Bookman Old Style" w:cs="Arial"/>
          <w:i/>
          <w:iCs/>
        </w:rPr>
      </w:pPr>
      <w:proofErr w:type="spellStart"/>
      <w:r w:rsidRPr="00605EC8">
        <w:rPr>
          <w:rFonts w:ascii="Bookman Old Style" w:hAnsi="Bookman Old Style" w:cs="Arial"/>
          <w:i/>
          <w:iCs/>
        </w:rPr>
        <w:t>ii</w:t>
      </w:r>
      <w:proofErr w:type="spellEnd"/>
      <w:r w:rsidRPr="00605EC8">
        <w:rPr>
          <w:rFonts w:ascii="Bookman Old Style" w:hAnsi="Bookman Old Style" w:cs="Arial"/>
          <w:i/>
          <w:iCs/>
        </w:rPr>
        <w:t>) De ser aplicable en este caso las consecuencias del parágrafo 1 del artículo 65 CST., establecer si la misma es</w:t>
      </w:r>
      <w:r w:rsidR="00741F08" w:rsidRPr="00605EC8">
        <w:rPr>
          <w:rFonts w:ascii="Bookman Old Style" w:hAnsi="Bookman Old Style" w:cs="Arial"/>
          <w:i/>
          <w:iCs/>
        </w:rPr>
        <w:t>tá sometido a las reglas de la prescripción.</w:t>
      </w:r>
    </w:p>
    <w:p w14:paraId="0947CDEC" w14:textId="77777777" w:rsidR="00002EF1" w:rsidRPr="00605EC8" w:rsidRDefault="00002EF1" w:rsidP="00605EC8">
      <w:pPr>
        <w:spacing w:line="276" w:lineRule="auto"/>
        <w:ind w:firstLine="0"/>
        <w:rPr>
          <w:rFonts w:ascii="Bookman Old Style" w:hAnsi="Bookman Old Style" w:cs="Arial"/>
          <w:i/>
          <w:iCs/>
        </w:rPr>
      </w:pPr>
    </w:p>
    <w:p w14:paraId="5E87973E" w14:textId="4AA204F2" w:rsidR="00002EF1" w:rsidRPr="00605EC8" w:rsidRDefault="00002EF1" w:rsidP="00605EC8">
      <w:pPr>
        <w:spacing w:line="276" w:lineRule="auto"/>
        <w:ind w:firstLine="0"/>
        <w:rPr>
          <w:rFonts w:ascii="Bookman Old Style" w:hAnsi="Bookman Old Style" w:cs="Arial"/>
        </w:rPr>
      </w:pPr>
      <w:proofErr w:type="spellStart"/>
      <w:r w:rsidRPr="00605EC8">
        <w:rPr>
          <w:rFonts w:ascii="Bookman Old Style" w:hAnsi="Bookman Old Style" w:cs="Arial"/>
          <w:i/>
          <w:iCs/>
        </w:rPr>
        <w:t>iii</w:t>
      </w:r>
      <w:proofErr w:type="spellEnd"/>
      <w:r w:rsidRPr="00605EC8">
        <w:rPr>
          <w:rFonts w:ascii="Bookman Old Style" w:hAnsi="Bookman Old Style" w:cs="Arial"/>
          <w:i/>
          <w:iCs/>
        </w:rPr>
        <w:t xml:space="preserve">) Los valores objeto de condena se encuentran cubiertos por la póliza por la cual es garante la Aseguradora Fianza Confianza S.A. De ser así, establecer si </w:t>
      </w:r>
      <w:r w:rsidRPr="00605EC8">
        <w:rPr>
          <w:rFonts w:ascii="Bookman Old Style" w:hAnsi="Bookman Old Style" w:cs="Arial"/>
          <w:i/>
          <w:iCs/>
        </w:rPr>
        <w:lastRenderedPageBreak/>
        <w:t xml:space="preserve">en este caso la prescripción </w:t>
      </w:r>
      <w:r w:rsidR="008D17F8" w:rsidRPr="00605EC8">
        <w:rPr>
          <w:rFonts w:ascii="Bookman Old Style" w:hAnsi="Bookman Old Style" w:cs="Arial"/>
          <w:i/>
          <w:iCs/>
        </w:rPr>
        <w:t>alcanzó a enervar la posibilidad de cobro a dicha aseguradora.</w:t>
      </w:r>
    </w:p>
    <w:p w14:paraId="7758F7B7" w14:textId="77777777" w:rsidR="008D17F8" w:rsidRPr="00605EC8" w:rsidRDefault="008D17F8" w:rsidP="00605EC8">
      <w:pPr>
        <w:spacing w:line="276" w:lineRule="auto"/>
        <w:ind w:firstLine="0"/>
        <w:rPr>
          <w:rFonts w:ascii="Bookman Old Style" w:hAnsi="Bookman Old Style" w:cs="Arial"/>
        </w:rPr>
      </w:pPr>
    </w:p>
    <w:p w14:paraId="1AE86CEB" w14:textId="193F5F06" w:rsidR="00B652A2" w:rsidRPr="00605EC8" w:rsidRDefault="00B652A2" w:rsidP="00605EC8">
      <w:pPr>
        <w:spacing w:line="276" w:lineRule="auto"/>
        <w:ind w:firstLine="0"/>
        <w:rPr>
          <w:rFonts w:ascii="Bookman Old Style" w:hAnsi="Bookman Old Style" w:cs="Arial"/>
        </w:rPr>
      </w:pPr>
      <w:r w:rsidRPr="00605EC8">
        <w:rPr>
          <w:rFonts w:ascii="Bookman Old Style" w:hAnsi="Bookman Old Style" w:cs="Arial"/>
        </w:rPr>
        <w:t>Para resolver los problemas jurídicos planteados, se tiene:</w:t>
      </w:r>
    </w:p>
    <w:p w14:paraId="658FB8BC" w14:textId="77777777" w:rsidR="00B652A2" w:rsidRPr="00605EC8" w:rsidRDefault="00B652A2" w:rsidP="00605EC8">
      <w:pPr>
        <w:spacing w:line="276" w:lineRule="auto"/>
        <w:ind w:firstLine="0"/>
        <w:rPr>
          <w:rFonts w:ascii="Bookman Old Style" w:hAnsi="Bookman Old Style" w:cs="Arial"/>
        </w:rPr>
      </w:pPr>
    </w:p>
    <w:p w14:paraId="76D7A257" w14:textId="648071C2" w:rsidR="008D17F8" w:rsidRPr="00605EC8" w:rsidRDefault="006D177B" w:rsidP="00605EC8">
      <w:pPr>
        <w:spacing w:line="276" w:lineRule="auto"/>
        <w:ind w:firstLine="0"/>
        <w:rPr>
          <w:rFonts w:ascii="Bookman Old Style" w:hAnsi="Bookman Old Style" w:cs="Arial"/>
        </w:rPr>
      </w:pPr>
      <w:r w:rsidRPr="00605EC8">
        <w:rPr>
          <w:rFonts w:ascii="Bookman Old Style" w:hAnsi="Bookman Old Style" w:cs="Arial"/>
          <w:b/>
          <w:bCs/>
          <w:u w:val="single"/>
        </w:rPr>
        <w:t>De la modalidad contractual</w:t>
      </w:r>
      <w:r w:rsidRPr="00605EC8">
        <w:rPr>
          <w:rFonts w:ascii="Bookman Old Style" w:hAnsi="Bookman Old Style" w:cs="Arial"/>
        </w:rPr>
        <w:t xml:space="preserve">. </w:t>
      </w:r>
      <w:r w:rsidR="00B652A2" w:rsidRPr="00605EC8">
        <w:rPr>
          <w:rFonts w:ascii="Bookman Old Style" w:hAnsi="Bookman Old Style" w:cs="Arial"/>
        </w:rPr>
        <w:t>En primer lugar, cuenta indicar que</w:t>
      </w:r>
      <w:r w:rsidR="008D17F8" w:rsidRPr="00605EC8">
        <w:rPr>
          <w:rFonts w:ascii="Bookman Old Style" w:hAnsi="Bookman Old Style" w:cs="Arial"/>
        </w:rPr>
        <w:t xml:space="preserve"> no fue objeto de recurso que entre el Sr. Julián Alberto Ruíz y Hernando Granada Gómez, César Baena García y Cival Construcciones </w:t>
      </w:r>
      <w:r w:rsidR="00B652A2" w:rsidRPr="00605EC8">
        <w:rPr>
          <w:rFonts w:ascii="Bookman Old Style" w:hAnsi="Bookman Old Style" w:cs="Arial"/>
        </w:rPr>
        <w:t>Ltda.</w:t>
      </w:r>
      <w:r w:rsidR="008D17F8" w:rsidRPr="00605EC8">
        <w:rPr>
          <w:rFonts w:ascii="Bookman Old Style" w:hAnsi="Bookman Old Style" w:cs="Arial"/>
        </w:rPr>
        <w:t>, existió un contrato de trabajo entre el 14 de septiembre de 2004 y el 6 de marzo de 2005, siendo el salario el mínimo legal vigente.</w:t>
      </w:r>
      <w:r w:rsidR="00B652A2" w:rsidRPr="00605EC8">
        <w:rPr>
          <w:rFonts w:ascii="Bookman Old Style" w:hAnsi="Bookman Old Style" w:cs="Arial"/>
        </w:rPr>
        <w:t xml:space="preserve"> Al respecto, </w:t>
      </w:r>
      <w:r w:rsidR="009E721F" w:rsidRPr="00605EC8">
        <w:rPr>
          <w:rFonts w:ascii="Bookman Old Style" w:hAnsi="Bookman Old Style" w:cs="Arial"/>
        </w:rPr>
        <w:t>disiente</w:t>
      </w:r>
      <w:r w:rsidR="00B652A2" w:rsidRPr="00605EC8">
        <w:rPr>
          <w:rFonts w:ascii="Bookman Old Style" w:hAnsi="Bookman Old Style" w:cs="Arial"/>
        </w:rPr>
        <w:t xml:space="preserve"> la parte actora que la modalidad contractual debió ser declarada a término indefinido y no por duración </w:t>
      </w:r>
      <w:r w:rsidR="00A6722B" w:rsidRPr="00605EC8">
        <w:rPr>
          <w:rFonts w:ascii="Bookman Old Style" w:hAnsi="Bookman Old Style" w:cs="Arial"/>
        </w:rPr>
        <w:t xml:space="preserve">de la </w:t>
      </w:r>
      <w:r w:rsidR="00B652A2" w:rsidRPr="00605EC8">
        <w:rPr>
          <w:rFonts w:ascii="Bookman Old Style" w:hAnsi="Bookman Old Style" w:cs="Arial"/>
        </w:rPr>
        <w:t>obra.</w:t>
      </w:r>
    </w:p>
    <w:p w14:paraId="14F185C4" w14:textId="77777777" w:rsidR="00710833" w:rsidRPr="00605EC8" w:rsidRDefault="00710833" w:rsidP="00605EC8">
      <w:pPr>
        <w:spacing w:line="276" w:lineRule="auto"/>
        <w:ind w:firstLine="0"/>
        <w:rPr>
          <w:rFonts w:ascii="Bookman Old Style" w:hAnsi="Bookman Old Style" w:cs="Arial"/>
        </w:rPr>
      </w:pPr>
    </w:p>
    <w:p w14:paraId="5FF8F2A7" w14:textId="77777777" w:rsidR="009E0384" w:rsidRPr="00605EC8" w:rsidRDefault="009E0384" w:rsidP="00605EC8">
      <w:pPr>
        <w:spacing w:line="276" w:lineRule="auto"/>
        <w:ind w:firstLine="0"/>
        <w:rPr>
          <w:rFonts w:ascii="Bookman Old Style" w:hAnsi="Bookman Old Style" w:cs="Arial"/>
        </w:rPr>
      </w:pPr>
      <w:r w:rsidRPr="00605EC8">
        <w:rPr>
          <w:rFonts w:ascii="Bookman Old Style" w:hAnsi="Bookman Old Style" w:cs="Arial"/>
        </w:rPr>
        <w:t xml:space="preserve">A propósito de la modalidad contractual declarada la cual deviene del articulo 45 CST, cuenta indicar que es propio de dicha modalidad cuando la duración del vínculo quedó supeditada a la terminación de la obra o labor por la cual se ha contratado al trabajador por lo que, culminada la obra, finiquita el contrato. Sin embargo, jurisprudencialmente también se ha dicho que, ante la ausencia de un pacto expreso, el contrato se debe entender a término indefinido para todos sus efectos, situación que también sucede cuando la naturaleza de la obra contratada no es clara, esto es, cuando no se puede identificar con precisión (CSJ, </w:t>
      </w:r>
      <w:proofErr w:type="spellStart"/>
      <w:r w:rsidRPr="00605EC8">
        <w:rPr>
          <w:rFonts w:ascii="Bookman Old Style" w:hAnsi="Bookman Old Style" w:cs="Arial"/>
        </w:rPr>
        <w:t>SCL</w:t>
      </w:r>
      <w:proofErr w:type="spellEnd"/>
      <w:r w:rsidRPr="00605EC8">
        <w:rPr>
          <w:rFonts w:ascii="Bookman Old Style" w:hAnsi="Bookman Old Style" w:cs="Arial"/>
        </w:rPr>
        <w:t xml:space="preserve"> sentencia 69175 del 27 de junio de 2018</w:t>
      </w:r>
      <w:r w:rsidRPr="00AE5A4C">
        <w:rPr>
          <w:rFonts w:ascii="Bookman Old Style" w:hAnsi="Bookman Old Style" w:cs="Arial"/>
          <w:vertAlign w:val="superscript"/>
        </w:rPr>
        <w:footnoteReference w:id="1"/>
      </w:r>
      <w:r w:rsidRPr="00605EC8">
        <w:rPr>
          <w:rFonts w:ascii="Bookman Old Style" w:hAnsi="Bookman Old Style" w:cs="Arial"/>
        </w:rPr>
        <w:t>).</w:t>
      </w:r>
    </w:p>
    <w:p w14:paraId="6C81D093" w14:textId="77777777" w:rsidR="009E0384" w:rsidRPr="00605EC8" w:rsidRDefault="009E0384" w:rsidP="00605EC8">
      <w:pPr>
        <w:spacing w:line="276" w:lineRule="auto"/>
        <w:ind w:firstLine="0"/>
        <w:rPr>
          <w:rFonts w:ascii="Bookman Old Style" w:hAnsi="Bookman Old Style" w:cs="Arial"/>
        </w:rPr>
      </w:pPr>
    </w:p>
    <w:p w14:paraId="4B2B846C" w14:textId="77777777" w:rsidR="009E0384" w:rsidRPr="00605EC8" w:rsidRDefault="009E0384" w:rsidP="00605EC8">
      <w:pPr>
        <w:spacing w:line="276" w:lineRule="auto"/>
        <w:ind w:firstLine="0"/>
        <w:rPr>
          <w:rFonts w:ascii="Bookman Old Style" w:hAnsi="Bookman Old Style" w:cs="Arial"/>
        </w:rPr>
      </w:pPr>
      <w:r w:rsidRPr="00605EC8">
        <w:rPr>
          <w:rFonts w:ascii="Bookman Old Style" w:hAnsi="Bookman Old Style" w:cs="Arial"/>
        </w:rPr>
        <w:t xml:space="preserve">Al respecto, en sentencia </w:t>
      </w:r>
      <w:proofErr w:type="spellStart"/>
      <w:r w:rsidRPr="00605EC8">
        <w:rPr>
          <w:rFonts w:ascii="Bookman Old Style" w:hAnsi="Bookman Old Style" w:cs="Arial"/>
        </w:rPr>
        <w:t>SL5353</w:t>
      </w:r>
      <w:proofErr w:type="spellEnd"/>
      <w:r w:rsidRPr="00605EC8">
        <w:rPr>
          <w:rFonts w:ascii="Bookman Old Style" w:hAnsi="Bookman Old Style" w:cs="Arial"/>
        </w:rPr>
        <w:t>-2021, se dijo:</w:t>
      </w:r>
    </w:p>
    <w:p w14:paraId="5F840829" w14:textId="77777777" w:rsidR="009E0384" w:rsidRPr="00605EC8" w:rsidRDefault="009E0384" w:rsidP="00605EC8">
      <w:pPr>
        <w:spacing w:line="276" w:lineRule="auto"/>
        <w:ind w:right="1185" w:firstLine="0"/>
        <w:rPr>
          <w:rFonts w:ascii="Bookman Old Style" w:hAnsi="Bookman Old Style" w:cs="Times New Roman"/>
          <w:spacing w:val="-10"/>
        </w:rPr>
      </w:pPr>
    </w:p>
    <w:p w14:paraId="673A006F" w14:textId="77777777" w:rsidR="009E0384" w:rsidRPr="00F35C97" w:rsidRDefault="009E0384" w:rsidP="00F35C97">
      <w:pPr>
        <w:spacing w:line="240" w:lineRule="auto"/>
        <w:ind w:left="426" w:right="420" w:firstLine="0"/>
        <w:rPr>
          <w:rFonts w:ascii="Bookman Old Style" w:hAnsi="Bookman Old Style" w:cs="Times New Roman"/>
          <w:spacing w:val="-10"/>
          <w:sz w:val="22"/>
          <w:szCs w:val="22"/>
        </w:rPr>
      </w:pPr>
      <w:r w:rsidRPr="00F35C97">
        <w:rPr>
          <w:rFonts w:ascii="Bookman Old Style" w:hAnsi="Bookman Old Style" w:cs="Times New Roman"/>
          <w:spacing w:val="-10"/>
          <w:sz w:val="22"/>
          <w:szCs w:val="22"/>
        </w:rPr>
        <w:t>«En este sentido, la declaratoria del contrato de trabajo entre ellos, supone la inexistencia de cláusula o acuerdo alguno previo sobre término fijo o labor pactada, toda vez que dichas modalidades de contratación laboral requieren acuerdo expreso entre las partes.</w:t>
      </w:r>
    </w:p>
    <w:p w14:paraId="372F7F9C" w14:textId="77777777" w:rsidR="009E0384" w:rsidRPr="00F35C97" w:rsidRDefault="009E0384" w:rsidP="00F35C97">
      <w:pPr>
        <w:spacing w:line="240" w:lineRule="auto"/>
        <w:ind w:left="426" w:right="420" w:firstLine="0"/>
        <w:rPr>
          <w:rFonts w:ascii="Bookman Old Style" w:hAnsi="Bookman Old Style" w:cs="Times New Roman"/>
          <w:spacing w:val="-10"/>
          <w:sz w:val="22"/>
          <w:szCs w:val="22"/>
        </w:rPr>
      </w:pPr>
    </w:p>
    <w:p w14:paraId="343F62FB" w14:textId="77777777" w:rsidR="009E0384" w:rsidRPr="00F35C97" w:rsidRDefault="009E0384" w:rsidP="00F35C97">
      <w:pPr>
        <w:spacing w:line="240" w:lineRule="auto"/>
        <w:ind w:left="426" w:right="420" w:firstLine="0"/>
        <w:rPr>
          <w:rFonts w:ascii="Bookman Old Style" w:hAnsi="Bookman Old Style" w:cs="Times New Roman"/>
          <w:spacing w:val="-10"/>
          <w:sz w:val="22"/>
          <w:szCs w:val="22"/>
        </w:rPr>
      </w:pPr>
      <w:r w:rsidRPr="00F35C97">
        <w:rPr>
          <w:rFonts w:ascii="Bookman Old Style" w:hAnsi="Bookman Old Style" w:cs="Times New Roman"/>
          <w:spacing w:val="-10"/>
          <w:sz w:val="22"/>
          <w:szCs w:val="22"/>
        </w:rPr>
        <w:t>Surtida la declaratoria de contrato realidad, no puede alegarse un acuerdo previo sobre modalidad contractual alguna, de forma tal que necesariamente lo fue a término indefinido según lo puntualiza el artículo 47 del Código Sustantivo del Trabajo (…)».</w:t>
      </w:r>
    </w:p>
    <w:p w14:paraId="0434461D" w14:textId="77777777" w:rsidR="009E0384" w:rsidRPr="00605EC8" w:rsidRDefault="009E0384" w:rsidP="00605EC8">
      <w:pPr>
        <w:spacing w:line="276" w:lineRule="auto"/>
        <w:ind w:firstLine="0"/>
        <w:rPr>
          <w:rFonts w:ascii="Bookman Old Style" w:hAnsi="Bookman Old Style" w:cs="Arial"/>
        </w:rPr>
      </w:pPr>
    </w:p>
    <w:p w14:paraId="1DC3A5DA" w14:textId="52FFEBF9" w:rsidR="00710833" w:rsidRPr="00605EC8" w:rsidRDefault="00710833" w:rsidP="00605EC8">
      <w:pPr>
        <w:spacing w:line="276" w:lineRule="auto"/>
        <w:ind w:firstLine="0"/>
        <w:rPr>
          <w:rFonts w:ascii="Bookman Old Style" w:hAnsi="Bookman Old Style"/>
        </w:rPr>
      </w:pPr>
      <w:r w:rsidRPr="00605EC8">
        <w:rPr>
          <w:rFonts w:ascii="Bookman Old Style" w:hAnsi="Bookman Old Style" w:cs="Arial"/>
        </w:rPr>
        <w:t xml:space="preserve">Para resolver, es del caso traer a </w:t>
      </w:r>
      <w:r w:rsidR="009E0384" w:rsidRPr="00605EC8">
        <w:rPr>
          <w:rFonts w:ascii="Bookman Old Style" w:hAnsi="Bookman Old Style" w:cs="Arial"/>
        </w:rPr>
        <w:t>colación</w:t>
      </w:r>
      <w:r w:rsidRPr="00605EC8">
        <w:rPr>
          <w:rFonts w:ascii="Bookman Old Style" w:hAnsi="Bookman Old Style" w:cs="Arial"/>
        </w:rPr>
        <w:t xml:space="preserve"> algunos apartes de la</w:t>
      </w:r>
      <w:r w:rsidR="00C91922" w:rsidRPr="00605EC8">
        <w:rPr>
          <w:rFonts w:ascii="Bookman Old Style" w:hAnsi="Bookman Old Style" w:cs="Arial"/>
        </w:rPr>
        <w:t>s</w:t>
      </w:r>
      <w:r w:rsidRPr="00605EC8">
        <w:rPr>
          <w:rFonts w:ascii="Bookman Old Style" w:hAnsi="Bookman Old Style" w:cs="Arial"/>
        </w:rPr>
        <w:t xml:space="preserve"> pruebas recaudadas durante el trámite como el </w:t>
      </w:r>
      <w:r w:rsidR="00C91922" w:rsidRPr="00605EC8">
        <w:rPr>
          <w:rStyle w:val="nfasissutil"/>
          <w:rFonts w:ascii="Bookman Old Style" w:hAnsi="Bookman Old Style" w:cs="Arial"/>
          <w:i w:val="0"/>
          <w:iCs w:val="0"/>
          <w:color w:val="auto"/>
        </w:rPr>
        <w:t>i</w:t>
      </w:r>
      <w:r w:rsidRPr="00605EC8">
        <w:rPr>
          <w:rStyle w:val="nfasissutil"/>
          <w:rFonts w:ascii="Bookman Old Style" w:hAnsi="Bookman Old Style" w:cs="Arial"/>
          <w:i w:val="0"/>
          <w:iCs w:val="0"/>
          <w:color w:val="auto"/>
        </w:rPr>
        <w:t xml:space="preserve">nterrogatorio </w:t>
      </w:r>
      <w:r w:rsidR="00C91922" w:rsidRPr="00605EC8">
        <w:rPr>
          <w:rStyle w:val="nfasissutil"/>
          <w:rFonts w:ascii="Bookman Old Style" w:hAnsi="Bookman Old Style" w:cs="Arial"/>
          <w:i w:val="0"/>
          <w:iCs w:val="0"/>
          <w:color w:val="auto"/>
        </w:rPr>
        <w:t xml:space="preserve">a </w:t>
      </w:r>
      <w:r w:rsidRPr="00605EC8">
        <w:rPr>
          <w:rStyle w:val="nfasissutil"/>
          <w:rFonts w:ascii="Bookman Old Style" w:hAnsi="Bookman Old Style" w:cs="Arial"/>
          <w:b/>
          <w:bCs/>
          <w:i w:val="0"/>
          <w:iCs w:val="0"/>
          <w:color w:val="auto"/>
        </w:rPr>
        <w:t xml:space="preserve">Julián Alberto Ruiz </w:t>
      </w:r>
      <w:r w:rsidRPr="00605EC8">
        <w:rPr>
          <w:rStyle w:val="nfasissutil"/>
          <w:rFonts w:ascii="Bookman Old Style" w:hAnsi="Bookman Old Style" w:cs="Arial"/>
          <w:i w:val="0"/>
          <w:iCs w:val="0"/>
          <w:color w:val="auto"/>
        </w:rPr>
        <w:t xml:space="preserve">(Archivo 162) quien relató que prestó sus servicios en la obra adelantada por el Consorcio </w:t>
      </w:r>
      <w:proofErr w:type="spellStart"/>
      <w:r w:rsidRPr="00605EC8">
        <w:rPr>
          <w:rStyle w:val="nfasissutil"/>
          <w:rFonts w:ascii="Bookman Old Style" w:hAnsi="Bookman Old Style" w:cs="Arial"/>
          <w:i w:val="0"/>
          <w:iCs w:val="0"/>
          <w:color w:val="auto"/>
        </w:rPr>
        <w:t>Megavía</w:t>
      </w:r>
      <w:proofErr w:type="spellEnd"/>
      <w:r w:rsidRPr="00605EC8">
        <w:rPr>
          <w:rStyle w:val="nfasissutil"/>
          <w:rFonts w:ascii="Bookman Old Style" w:hAnsi="Bookman Old Style" w:cs="Arial"/>
          <w:i w:val="0"/>
          <w:iCs w:val="0"/>
          <w:color w:val="auto"/>
        </w:rPr>
        <w:t xml:space="preserve"> 2004 y </w:t>
      </w:r>
      <w:proofErr w:type="spellStart"/>
      <w:r w:rsidRPr="00605EC8">
        <w:rPr>
          <w:rStyle w:val="nfasissutil"/>
          <w:rFonts w:ascii="Bookman Old Style" w:hAnsi="Bookman Old Style" w:cs="Arial"/>
          <w:i w:val="0"/>
          <w:iCs w:val="0"/>
          <w:color w:val="auto"/>
        </w:rPr>
        <w:t>Megabús</w:t>
      </w:r>
      <w:proofErr w:type="spellEnd"/>
      <w:r w:rsidRPr="00605EC8">
        <w:rPr>
          <w:rStyle w:val="nfasissutil"/>
          <w:rFonts w:ascii="Bookman Old Style" w:hAnsi="Bookman Old Style" w:cs="Arial"/>
          <w:i w:val="0"/>
          <w:iCs w:val="0"/>
          <w:color w:val="auto"/>
        </w:rPr>
        <w:t xml:space="preserve"> S.A., siendo contratado por la primera a partir del 14 de septiembre de 2004 ejerciendo labores como oficial de construcción para la realización de brechas, cambiar alcantarillados, volver y tapar y terminar como tal con el concreto</w:t>
      </w:r>
      <w:r w:rsidR="00E828A1" w:rsidRPr="00605EC8">
        <w:rPr>
          <w:rStyle w:val="nfasissutil"/>
          <w:rFonts w:ascii="Bookman Old Style" w:hAnsi="Bookman Old Style" w:cs="Arial"/>
          <w:i w:val="0"/>
          <w:iCs w:val="0"/>
          <w:color w:val="auto"/>
        </w:rPr>
        <w:t xml:space="preserve">. Por </w:t>
      </w:r>
      <w:r w:rsidRPr="00605EC8">
        <w:rPr>
          <w:rStyle w:val="nfasissutil"/>
          <w:rFonts w:ascii="Bookman Old Style" w:hAnsi="Bookman Old Style" w:cs="Arial"/>
          <w:i w:val="0"/>
          <w:iCs w:val="0"/>
          <w:color w:val="auto"/>
        </w:rPr>
        <w:t xml:space="preserve">su parte, el testigo </w:t>
      </w:r>
      <w:r w:rsidRPr="00605EC8">
        <w:rPr>
          <w:rFonts w:ascii="Bookman Old Style" w:hAnsi="Bookman Old Style"/>
          <w:b/>
          <w:bCs/>
        </w:rPr>
        <w:t>Carlos Arturo García Marín</w:t>
      </w:r>
      <w:r w:rsidRPr="00605EC8">
        <w:rPr>
          <w:rFonts w:ascii="Bookman Old Style" w:hAnsi="Bookman Old Style"/>
        </w:rPr>
        <w:t>, ocupación ayudante de construcción, quien trabajó en la obra Megavía, recordó que a su ingreso el 24 de septiembre de 2004, el demandante llevaba una semana laborando quien realizaba todo lo relacionado con el hierro, siendo las actividades desarrolladas en la calle 16 hasta la calle 20 con carrera 6</w:t>
      </w:r>
      <w:r w:rsidR="004B1CC2" w:rsidRPr="00605EC8">
        <w:rPr>
          <w:rFonts w:ascii="Bookman Old Style" w:hAnsi="Bookman Old Style"/>
        </w:rPr>
        <w:t>. Agrega que para la vinculación con Megavía no se firmaron contratos y q</w:t>
      </w:r>
      <w:r w:rsidRPr="00605EC8">
        <w:rPr>
          <w:rFonts w:ascii="Bookman Old Style" w:hAnsi="Bookman Old Style"/>
        </w:rPr>
        <w:t xml:space="preserve">ue el contrato del señor Ruiz con Megavía 2004 </w:t>
      </w:r>
      <w:r w:rsidRPr="00605EC8">
        <w:rPr>
          <w:rFonts w:ascii="Bookman Old Style" w:hAnsi="Bookman Old Style"/>
        </w:rPr>
        <w:lastRenderedPageBreak/>
        <w:t xml:space="preserve">pudo terminar en junio de 2005 porque el (deponente) culminó el 31 de diciembre de 2004, pues la obra había terminado, siendo la terminación informada </w:t>
      </w:r>
      <w:r w:rsidR="000748D3" w:rsidRPr="00605EC8">
        <w:rPr>
          <w:rFonts w:ascii="Bookman Old Style" w:hAnsi="Bookman Old Style"/>
        </w:rPr>
        <w:t xml:space="preserve">a los trabajadores </w:t>
      </w:r>
      <w:r w:rsidR="0026521A" w:rsidRPr="00605EC8">
        <w:rPr>
          <w:rFonts w:ascii="Bookman Old Style" w:hAnsi="Bookman Old Style"/>
        </w:rPr>
        <w:t xml:space="preserve">por </w:t>
      </w:r>
      <w:r w:rsidR="000748D3" w:rsidRPr="00605EC8">
        <w:rPr>
          <w:rFonts w:ascii="Bookman Old Style" w:hAnsi="Bookman Old Style"/>
        </w:rPr>
        <w:t xml:space="preserve">parte de </w:t>
      </w:r>
      <w:r w:rsidR="0026521A" w:rsidRPr="00605EC8">
        <w:rPr>
          <w:rFonts w:ascii="Bookman Old Style" w:hAnsi="Bookman Old Style"/>
        </w:rPr>
        <w:t>los encargados</w:t>
      </w:r>
      <w:r w:rsidR="000748D3" w:rsidRPr="00605EC8">
        <w:rPr>
          <w:rFonts w:ascii="Bookman Old Style" w:hAnsi="Bookman Old Style"/>
        </w:rPr>
        <w:t xml:space="preserve">, lo cual se hacía </w:t>
      </w:r>
      <w:r w:rsidRPr="00605EC8">
        <w:rPr>
          <w:rFonts w:ascii="Bookman Old Style" w:hAnsi="Bookman Old Style"/>
        </w:rPr>
        <w:t>de manera verbal</w:t>
      </w:r>
      <w:r w:rsidR="000748D3" w:rsidRPr="00605EC8">
        <w:rPr>
          <w:rFonts w:ascii="Bookman Old Style" w:hAnsi="Bookman Old Style"/>
        </w:rPr>
        <w:t>,</w:t>
      </w:r>
      <w:r w:rsidRPr="00605EC8">
        <w:rPr>
          <w:rFonts w:ascii="Bookman Old Style" w:hAnsi="Bookman Old Style"/>
        </w:rPr>
        <w:t xml:space="preserve"> </w:t>
      </w:r>
      <w:r w:rsidR="000748D3" w:rsidRPr="00605EC8">
        <w:rPr>
          <w:rFonts w:ascii="Bookman Old Style" w:hAnsi="Bookman Old Style"/>
        </w:rPr>
        <w:t xml:space="preserve">señalando </w:t>
      </w:r>
      <w:r w:rsidR="00D85D36" w:rsidRPr="00605EC8">
        <w:rPr>
          <w:rFonts w:ascii="Bookman Old Style" w:hAnsi="Bookman Old Style"/>
        </w:rPr>
        <w:t xml:space="preserve">de manera genérica </w:t>
      </w:r>
      <w:r w:rsidR="000748D3" w:rsidRPr="00605EC8">
        <w:rPr>
          <w:rFonts w:ascii="Bookman Old Style" w:hAnsi="Bookman Old Style"/>
        </w:rPr>
        <w:t xml:space="preserve">que a los trabajadores se les despedía indicando </w:t>
      </w:r>
      <w:r w:rsidR="0026521A" w:rsidRPr="00605EC8">
        <w:rPr>
          <w:rFonts w:ascii="Bookman Old Style" w:hAnsi="Bookman Old Style"/>
          <w:i/>
          <w:iCs/>
        </w:rPr>
        <w:t>que no había más trabajo</w:t>
      </w:r>
      <w:r w:rsidRPr="00605EC8">
        <w:rPr>
          <w:rFonts w:ascii="Bookman Old Style" w:hAnsi="Bookman Old Style"/>
        </w:rPr>
        <w:t xml:space="preserve">. Dijo haber conocido que el actor continuó </w:t>
      </w:r>
      <w:r w:rsidR="004B1CC2" w:rsidRPr="00605EC8">
        <w:rPr>
          <w:rFonts w:ascii="Bookman Old Style" w:hAnsi="Bookman Old Style"/>
        </w:rPr>
        <w:t xml:space="preserve">trabajando después de que el salió, </w:t>
      </w:r>
      <w:r w:rsidRPr="00605EC8">
        <w:rPr>
          <w:rFonts w:ascii="Bookman Old Style" w:hAnsi="Bookman Old Style"/>
        </w:rPr>
        <w:t xml:space="preserve">porque lo veía </w:t>
      </w:r>
      <w:r w:rsidR="004B1CC2" w:rsidRPr="00605EC8">
        <w:rPr>
          <w:rFonts w:ascii="Bookman Old Style" w:hAnsi="Bookman Old Style"/>
        </w:rPr>
        <w:t xml:space="preserve">en la obra </w:t>
      </w:r>
      <w:r w:rsidRPr="00605EC8">
        <w:rPr>
          <w:rFonts w:ascii="Bookman Old Style" w:hAnsi="Bookman Old Style"/>
        </w:rPr>
        <w:t xml:space="preserve">cuando el deponente </w:t>
      </w:r>
      <w:r w:rsidR="004B1CC2" w:rsidRPr="00605EC8">
        <w:rPr>
          <w:rFonts w:ascii="Bookman Old Style" w:hAnsi="Bookman Old Style"/>
        </w:rPr>
        <w:t xml:space="preserve">iba </w:t>
      </w:r>
      <w:r w:rsidRPr="00605EC8">
        <w:rPr>
          <w:rFonts w:ascii="Bookman Old Style" w:hAnsi="Bookman Old Style"/>
        </w:rPr>
        <w:t xml:space="preserve">a preguntar por su liquidación, lo </w:t>
      </w:r>
      <w:r w:rsidR="003F1E12" w:rsidRPr="00605EC8">
        <w:rPr>
          <w:rFonts w:ascii="Bookman Old Style" w:hAnsi="Bookman Old Style"/>
        </w:rPr>
        <w:t>cual,</w:t>
      </w:r>
      <w:r w:rsidRPr="00605EC8">
        <w:rPr>
          <w:rFonts w:ascii="Bookman Old Style" w:hAnsi="Bookman Old Style"/>
        </w:rPr>
        <w:t xml:space="preserve"> hacia cada mes</w:t>
      </w:r>
      <w:r w:rsidR="00D85D36" w:rsidRPr="00605EC8">
        <w:rPr>
          <w:rFonts w:ascii="Bookman Old Style" w:hAnsi="Bookman Old Style"/>
        </w:rPr>
        <w:t>, sin dar cuenta de las circunstancias de tiempo, modo y lugar en que finiquitó el contrato de trabajo del aquí demandante.</w:t>
      </w:r>
    </w:p>
    <w:p w14:paraId="75BE6553" w14:textId="77777777" w:rsidR="00710833" w:rsidRPr="00605EC8" w:rsidRDefault="00710833" w:rsidP="00605EC8">
      <w:pPr>
        <w:spacing w:line="276" w:lineRule="auto"/>
        <w:ind w:firstLine="0"/>
        <w:rPr>
          <w:rFonts w:ascii="Bookman Old Style" w:hAnsi="Bookman Old Style"/>
        </w:rPr>
      </w:pPr>
    </w:p>
    <w:p w14:paraId="3CAF517F" w14:textId="3F0C882C" w:rsidR="003F1E12" w:rsidRPr="00605EC8" w:rsidRDefault="0062041B" w:rsidP="00605EC8">
      <w:pPr>
        <w:spacing w:line="276" w:lineRule="auto"/>
        <w:ind w:firstLine="0"/>
        <w:rPr>
          <w:rFonts w:ascii="Bookman Old Style" w:eastAsia="Dotum" w:hAnsi="Bookman Old Style" w:cs="Arial"/>
          <w:bCs/>
          <w:lang w:eastAsia="es-ES"/>
        </w:rPr>
      </w:pPr>
      <w:r w:rsidRPr="00605EC8">
        <w:rPr>
          <w:rFonts w:ascii="Bookman Old Style" w:hAnsi="Bookman Old Style"/>
        </w:rPr>
        <w:t>E</w:t>
      </w:r>
      <w:r w:rsidR="009E0384" w:rsidRPr="00605EC8">
        <w:rPr>
          <w:rFonts w:ascii="Bookman Old Style" w:hAnsi="Bookman Old Style"/>
        </w:rPr>
        <w:t xml:space="preserve">n este caso, </w:t>
      </w:r>
      <w:r w:rsidR="004A43FC" w:rsidRPr="00605EC8">
        <w:rPr>
          <w:rFonts w:ascii="Bookman Old Style" w:hAnsi="Bookman Old Style"/>
        </w:rPr>
        <w:t>de las pruebas arrimadas, del interrogatorio al demandante y del testimonio recaudado no emerge que hubiere existido contrato escrito o que se hubiere mencionado que la vinculación estuviera supeditada a la obra o a ciertos tramos de la construcción en la que participó el accionante</w:t>
      </w:r>
      <w:r w:rsidR="00C57A97" w:rsidRPr="00605EC8">
        <w:rPr>
          <w:rFonts w:ascii="Bookman Old Style" w:hAnsi="Bookman Old Style"/>
        </w:rPr>
        <w:t xml:space="preserve">. De manera que, </w:t>
      </w:r>
      <w:r w:rsidR="009E721F" w:rsidRPr="00605EC8">
        <w:rPr>
          <w:rFonts w:ascii="Bookman Old Style" w:eastAsia="Dotum" w:hAnsi="Bookman Old Style" w:cs="Arial"/>
          <w:bCs/>
          <w:lang w:eastAsia="es-ES"/>
        </w:rPr>
        <w:t xml:space="preserve">al no haber existido o por lo menos probado, la existencia de un pacto expreso </w:t>
      </w:r>
      <w:r w:rsidR="00C57A97" w:rsidRPr="00605EC8">
        <w:rPr>
          <w:rFonts w:ascii="Bookman Old Style" w:eastAsia="Dotum" w:hAnsi="Bookman Old Style" w:cs="Arial"/>
          <w:bCs/>
          <w:lang w:eastAsia="es-ES"/>
        </w:rPr>
        <w:t xml:space="preserve">entre las partes </w:t>
      </w:r>
      <w:r w:rsidR="009E721F" w:rsidRPr="00605EC8">
        <w:rPr>
          <w:rFonts w:ascii="Bookman Old Style" w:eastAsia="Dotum" w:hAnsi="Bookman Old Style" w:cs="Arial"/>
          <w:bCs/>
          <w:lang w:eastAsia="es-ES"/>
        </w:rPr>
        <w:t xml:space="preserve">relativo a la duración del vínculo laboral, conforme a la jurisprudencia </w:t>
      </w:r>
      <w:r w:rsidR="00C57A97" w:rsidRPr="00605EC8">
        <w:rPr>
          <w:rFonts w:ascii="Bookman Old Style" w:eastAsia="Dotum" w:hAnsi="Bookman Old Style" w:cs="Arial"/>
          <w:bCs/>
          <w:lang w:eastAsia="es-ES"/>
        </w:rPr>
        <w:t xml:space="preserve">ya </w:t>
      </w:r>
      <w:r w:rsidR="009E721F" w:rsidRPr="00605EC8">
        <w:rPr>
          <w:rFonts w:ascii="Bookman Old Style" w:eastAsia="Dotum" w:hAnsi="Bookman Old Style" w:cs="Arial"/>
          <w:bCs/>
          <w:lang w:eastAsia="es-ES"/>
        </w:rPr>
        <w:t xml:space="preserve">citada, </w:t>
      </w:r>
      <w:r w:rsidR="00C57A97" w:rsidRPr="00605EC8">
        <w:rPr>
          <w:rFonts w:ascii="Bookman Old Style" w:eastAsia="Dotum" w:hAnsi="Bookman Old Style" w:cs="Arial"/>
          <w:bCs/>
          <w:lang w:eastAsia="es-ES"/>
        </w:rPr>
        <w:t xml:space="preserve">lo que </w:t>
      </w:r>
      <w:r w:rsidR="009E721F" w:rsidRPr="00605EC8">
        <w:rPr>
          <w:rFonts w:ascii="Bookman Old Style" w:eastAsia="Dotum" w:hAnsi="Bookman Old Style" w:cs="Arial"/>
          <w:bCs/>
          <w:lang w:eastAsia="es-ES"/>
        </w:rPr>
        <w:t xml:space="preserve">debe entenderse </w:t>
      </w:r>
      <w:r w:rsidR="00C57A97" w:rsidRPr="00605EC8">
        <w:rPr>
          <w:rFonts w:ascii="Bookman Old Style" w:eastAsia="Dotum" w:hAnsi="Bookman Old Style" w:cs="Arial"/>
          <w:bCs/>
          <w:lang w:eastAsia="es-ES"/>
        </w:rPr>
        <w:t xml:space="preserve">es que el </w:t>
      </w:r>
      <w:r w:rsidR="009E721F" w:rsidRPr="00605EC8">
        <w:rPr>
          <w:rFonts w:ascii="Bookman Old Style" w:eastAsia="Dotum" w:hAnsi="Bookman Old Style" w:cs="Arial"/>
          <w:bCs/>
          <w:lang w:eastAsia="es-ES"/>
        </w:rPr>
        <w:t xml:space="preserve">contrato lo fue a término indefinido, razón por la cual, en este punto, tiene vocación de prosperidad la argumentación dada por la parte actora, porque se itera, en el plenario ninguna prueba </w:t>
      </w:r>
      <w:r w:rsidR="00C57A97" w:rsidRPr="00605EC8">
        <w:rPr>
          <w:rFonts w:ascii="Bookman Old Style" w:eastAsia="Dotum" w:hAnsi="Bookman Old Style" w:cs="Arial"/>
          <w:bCs/>
          <w:lang w:eastAsia="es-ES"/>
        </w:rPr>
        <w:t xml:space="preserve">existe </w:t>
      </w:r>
      <w:r w:rsidR="009E721F" w:rsidRPr="00605EC8">
        <w:rPr>
          <w:rFonts w:ascii="Bookman Old Style" w:eastAsia="Dotum" w:hAnsi="Bookman Old Style" w:cs="Arial"/>
          <w:bCs/>
          <w:lang w:eastAsia="es-ES"/>
        </w:rPr>
        <w:t>respecto</w:t>
      </w:r>
      <w:r w:rsidR="00C57A97" w:rsidRPr="00605EC8">
        <w:rPr>
          <w:rFonts w:ascii="Bookman Old Style" w:eastAsia="Dotum" w:hAnsi="Bookman Old Style" w:cs="Arial"/>
          <w:bCs/>
          <w:lang w:eastAsia="es-ES"/>
        </w:rPr>
        <w:t xml:space="preserve"> de un tiempo específicamente pactado</w:t>
      </w:r>
      <w:r w:rsidR="009E721F" w:rsidRPr="00605EC8">
        <w:rPr>
          <w:rFonts w:ascii="Bookman Old Style" w:eastAsia="Dotum" w:hAnsi="Bookman Old Style" w:cs="Arial"/>
          <w:bCs/>
          <w:lang w:eastAsia="es-ES"/>
        </w:rPr>
        <w:t xml:space="preserve">, amén que ni siquiera puede decirse que hubo una discusión previa frente a las condiciones del contrato porque, de acuerdo </w:t>
      </w:r>
      <w:r w:rsidR="00C57A97" w:rsidRPr="00605EC8">
        <w:rPr>
          <w:rFonts w:ascii="Bookman Old Style" w:eastAsia="Dotum" w:hAnsi="Bookman Old Style" w:cs="Arial"/>
          <w:bCs/>
          <w:lang w:eastAsia="es-ES"/>
        </w:rPr>
        <w:t>a lo probado</w:t>
      </w:r>
      <w:r w:rsidR="009E721F" w:rsidRPr="00605EC8">
        <w:rPr>
          <w:rFonts w:ascii="Bookman Old Style" w:eastAsia="Dotum" w:hAnsi="Bookman Old Style" w:cs="Arial"/>
          <w:bCs/>
          <w:lang w:eastAsia="es-ES"/>
        </w:rPr>
        <w:t xml:space="preserve">, </w:t>
      </w:r>
      <w:r w:rsidR="00C57A97" w:rsidRPr="00605EC8">
        <w:rPr>
          <w:rFonts w:ascii="Bookman Old Style" w:eastAsia="Dotum" w:hAnsi="Bookman Old Style" w:cs="Arial"/>
          <w:bCs/>
          <w:lang w:eastAsia="es-ES"/>
        </w:rPr>
        <w:t>la vinculación que se hizo fue verbal.</w:t>
      </w:r>
      <w:r w:rsidR="006F17CA" w:rsidRPr="00605EC8">
        <w:rPr>
          <w:rFonts w:ascii="Bookman Old Style" w:eastAsia="Dotum" w:hAnsi="Bookman Old Style" w:cs="Arial"/>
          <w:bCs/>
          <w:lang w:eastAsia="es-ES"/>
        </w:rPr>
        <w:t xml:space="preserve"> </w:t>
      </w:r>
    </w:p>
    <w:p w14:paraId="3167A39C" w14:textId="77777777" w:rsidR="003F1E12" w:rsidRPr="00605EC8" w:rsidRDefault="003F1E12" w:rsidP="00605EC8">
      <w:pPr>
        <w:spacing w:line="276" w:lineRule="auto"/>
        <w:ind w:firstLine="0"/>
        <w:rPr>
          <w:rFonts w:ascii="Bookman Old Style" w:eastAsia="Dotum" w:hAnsi="Bookman Old Style" w:cs="Arial"/>
          <w:bCs/>
          <w:lang w:eastAsia="es-ES"/>
        </w:rPr>
      </w:pPr>
    </w:p>
    <w:p w14:paraId="429645CE" w14:textId="2CD63979" w:rsidR="00B652A2" w:rsidRPr="00605EC8" w:rsidRDefault="006F17CA" w:rsidP="00605EC8">
      <w:pPr>
        <w:spacing w:line="276" w:lineRule="auto"/>
        <w:ind w:firstLine="0"/>
        <w:rPr>
          <w:rFonts w:ascii="Bookman Old Style" w:eastAsia="Dotum" w:hAnsi="Bookman Old Style" w:cs="Arial"/>
          <w:bCs/>
          <w:lang w:eastAsia="es-ES"/>
        </w:rPr>
      </w:pPr>
      <w:r w:rsidRPr="00605EC8">
        <w:rPr>
          <w:rFonts w:ascii="Bookman Old Style" w:eastAsia="Dotum" w:hAnsi="Bookman Old Style" w:cs="Arial"/>
          <w:bCs/>
          <w:lang w:eastAsia="es-ES"/>
        </w:rPr>
        <w:t>Por lo dicho, se aclarará el ordinal primero de la sentencia para especificar que se trató de un contrato de trabajo a término indefinido.</w:t>
      </w:r>
    </w:p>
    <w:p w14:paraId="294BDA48" w14:textId="77777777" w:rsidR="00B652A2" w:rsidRPr="00605EC8" w:rsidRDefault="00B652A2" w:rsidP="00605EC8">
      <w:pPr>
        <w:spacing w:line="276" w:lineRule="auto"/>
        <w:ind w:firstLine="0"/>
        <w:rPr>
          <w:rFonts w:ascii="Bookman Old Style" w:eastAsia="Dotum" w:hAnsi="Bookman Old Style" w:cs="Arial"/>
          <w:bCs/>
          <w:lang w:eastAsia="es-ES"/>
        </w:rPr>
      </w:pPr>
    </w:p>
    <w:p w14:paraId="4DB5A4E1" w14:textId="37681B94" w:rsidR="00450932" w:rsidRPr="00605EC8" w:rsidRDefault="006D177B" w:rsidP="00605EC8">
      <w:pPr>
        <w:spacing w:line="276" w:lineRule="auto"/>
        <w:ind w:firstLine="0"/>
        <w:rPr>
          <w:rFonts w:ascii="Bookman Old Style" w:eastAsia="Dotum" w:hAnsi="Bookman Old Style" w:cs="Arial"/>
          <w:bCs/>
          <w:lang w:eastAsia="es-ES"/>
        </w:rPr>
      </w:pPr>
      <w:r w:rsidRPr="00605EC8">
        <w:rPr>
          <w:rFonts w:ascii="Bookman Old Style" w:eastAsia="Dotum" w:hAnsi="Bookman Old Style" w:cs="Arial"/>
          <w:b/>
          <w:u w:val="single"/>
          <w:lang w:eastAsia="es-ES"/>
        </w:rPr>
        <w:t>De la terminación del nexo</w:t>
      </w:r>
      <w:r w:rsidRPr="00605EC8">
        <w:rPr>
          <w:rFonts w:ascii="Bookman Old Style" w:eastAsia="Dotum" w:hAnsi="Bookman Old Style" w:cs="Arial"/>
          <w:b/>
          <w:lang w:eastAsia="es-ES"/>
        </w:rPr>
        <w:t>.</w:t>
      </w:r>
      <w:r w:rsidRPr="00605EC8">
        <w:rPr>
          <w:rFonts w:ascii="Bookman Old Style" w:eastAsia="Dotum" w:hAnsi="Bookman Old Style" w:cs="Arial"/>
          <w:bCs/>
          <w:lang w:eastAsia="es-ES"/>
        </w:rPr>
        <w:t xml:space="preserve"> </w:t>
      </w:r>
      <w:bookmarkStart w:id="1" w:name="_Hlk182739982"/>
      <w:r w:rsidR="00450932" w:rsidRPr="00605EC8">
        <w:rPr>
          <w:rFonts w:ascii="Bookman Old Style" w:eastAsia="Dotum" w:hAnsi="Bookman Old Style" w:cs="Arial"/>
          <w:bCs/>
          <w:lang w:eastAsia="es-ES"/>
        </w:rPr>
        <w:t xml:space="preserve">Ahora, en cuanto a la forma de terminación del nexo discutido, es de memorar que la Sala de Casación Laboral en la sentencia </w:t>
      </w:r>
      <w:proofErr w:type="spellStart"/>
      <w:r w:rsidR="00450932" w:rsidRPr="00605EC8">
        <w:rPr>
          <w:rFonts w:ascii="Bookman Old Style" w:eastAsia="Dotum" w:hAnsi="Bookman Old Style" w:cs="Arial"/>
          <w:bCs/>
          <w:lang w:eastAsia="es-ES"/>
        </w:rPr>
        <w:t>SL17728</w:t>
      </w:r>
      <w:proofErr w:type="spellEnd"/>
      <w:r w:rsidR="00450932" w:rsidRPr="00605EC8">
        <w:rPr>
          <w:rFonts w:ascii="Bookman Old Style" w:eastAsia="Dotum" w:hAnsi="Bookman Old Style" w:cs="Arial"/>
          <w:bCs/>
          <w:lang w:eastAsia="es-ES"/>
        </w:rPr>
        <w:t xml:space="preserve">/2016 advirtió, que, en materia de despidos, sobre el trabajador gravita la carga de demostrar </w:t>
      </w:r>
      <w:r w:rsidR="003F1E12" w:rsidRPr="00605EC8">
        <w:rPr>
          <w:rFonts w:ascii="Bookman Old Style" w:eastAsia="Dotum" w:hAnsi="Bookman Old Style" w:cs="Arial"/>
          <w:bCs/>
          <w:lang w:eastAsia="es-ES"/>
        </w:rPr>
        <w:t xml:space="preserve">que </w:t>
      </w:r>
      <w:r w:rsidR="00450932" w:rsidRPr="00605EC8">
        <w:rPr>
          <w:rFonts w:ascii="Bookman Old Style" w:eastAsia="Dotum" w:hAnsi="Bookman Old Style" w:cs="Arial"/>
          <w:bCs/>
          <w:lang w:eastAsia="es-ES"/>
        </w:rPr>
        <w:t>la terminación del contrato</w:t>
      </w:r>
      <w:r w:rsidR="00550C88" w:rsidRPr="00605EC8">
        <w:rPr>
          <w:rFonts w:ascii="Bookman Old Style" w:eastAsia="Dotum" w:hAnsi="Bookman Old Style" w:cs="Arial"/>
          <w:bCs/>
          <w:lang w:eastAsia="es-ES"/>
        </w:rPr>
        <w:t xml:space="preserve"> </w:t>
      </w:r>
      <w:r w:rsidR="003F1E12" w:rsidRPr="00605EC8">
        <w:rPr>
          <w:rFonts w:ascii="Bookman Old Style" w:eastAsia="Dotum" w:hAnsi="Bookman Old Style" w:cs="Arial"/>
          <w:bCs/>
          <w:lang w:eastAsia="es-ES"/>
        </w:rPr>
        <w:t xml:space="preserve">por parte del empleador </w:t>
      </w:r>
      <w:r w:rsidR="00550C88" w:rsidRPr="00605EC8">
        <w:rPr>
          <w:rFonts w:ascii="Bookman Old Style" w:eastAsia="Dotum" w:hAnsi="Bookman Old Style" w:cs="Arial"/>
          <w:bCs/>
          <w:lang w:eastAsia="es-ES"/>
        </w:rPr>
        <w:t>para impetrar judicialmente los efectos de su terminación injusta</w:t>
      </w:r>
      <w:r w:rsidR="00450932" w:rsidRPr="00605EC8">
        <w:rPr>
          <w:rFonts w:ascii="Bookman Old Style" w:eastAsia="Dotum" w:hAnsi="Bookman Old Style" w:cs="Arial"/>
          <w:bCs/>
          <w:lang w:eastAsia="es-ES"/>
        </w:rPr>
        <w:t xml:space="preserve">, </w:t>
      </w:r>
      <w:r w:rsidR="00550C88" w:rsidRPr="00605EC8">
        <w:rPr>
          <w:rFonts w:ascii="Bookman Old Style" w:eastAsia="Dotum" w:hAnsi="Bookman Old Style" w:cs="Arial"/>
          <w:bCs/>
          <w:lang w:eastAsia="es-ES"/>
        </w:rPr>
        <w:t xml:space="preserve">en </w:t>
      </w:r>
      <w:r w:rsidR="003F1E12" w:rsidRPr="00605EC8">
        <w:rPr>
          <w:rFonts w:ascii="Bookman Old Style" w:eastAsia="Dotum" w:hAnsi="Bookman Old Style" w:cs="Arial"/>
          <w:bCs/>
          <w:lang w:eastAsia="es-ES"/>
        </w:rPr>
        <w:t xml:space="preserve">tal </w:t>
      </w:r>
      <w:r w:rsidR="00550C88" w:rsidRPr="00605EC8">
        <w:rPr>
          <w:rFonts w:ascii="Bookman Old Style" w:eastAsia="Dotum" w:hAnsi="Bookman Old Style" w:cs="Arial"/>
          <w:bCs/>
          <w:lang w:eastAsia="es-ES"/>
        </w:rPr>
        <w:t xml:space="preserve">caso, la carga de la prueba se invierte de manera que, al empleador, le corresponde demostrar que </w:t>
      </w:r>
      <w:r w:rsidR="00450932" w:rsidRPr="00605EC8">
        <w:rPr>
          <w:rFonts w:ascii="Bookman Old Style" w:eastAsia="Dotum" w:hAnsi="Bookman Old Style" w:cs="Arial"/>
          <w:bCs/>
          <w:lang w:eastAsia="es-ES"/>
        </w:rPr>
        <w:t xml:space="preserve">el despido se basó en las causas esgrimidas en el documento con el que comunicó su decisión. </w:t>
      </w:r>
      <w:bookmarkEnd w:id="1"/>
    </w:p>
    <w:p w14:paraId="5DE3B4D5" w14:textId="77777777" w:rsidR="00450932" w:rsidRPr="00605EC8" w:rsidRDefault="00450932" w:rsidP="00605EC8">
      <w:pPr>
        <w:spacing w:line="276" w:lineRule="auto"/>
        <w:ind w:firstLine="0"/>
        <w:rPr>
          <w:rFonts w:ascii="Bookman Old Style" w:eastAsia="Dotum" w:hAnsi="Bookman Old Style" w:cs="Arial"/>
          <w:bCs/>
          <w:lang w:eastAsia="es-ES"/>
        </w:rPr>
      </w:pPr>
    </w:p>
    <w:p w14:paraId="2DCADD75" w14:textId="15CF28D1" w:rsidR="00450932" w:rsidRPr="00605EC8" w:rsidRDefault="0026521A" w:rsidP="00605EC8">
      <w:pPr>
        <w:spacing w:line="276" w:lineRule="auto"/>
        <w:ind w:firstLine="0"/>
        <w:rPr>
          <w:rFonts w:ascii="Bookman Old Style" w:hAnsi="Bookman Old Style"/>
        </w:rPr>
      </w:pPr>
      <w:r w:rsidRPr="00605EC8">
        <w:rPr>
          <w:rFonts w:ascii="Bookman Old Style" w:eastAsia="Dotum" w:hAnsi="Bookman Old Style" w:cs="Arial"/>
          <w:bCs/>
          <w:lang w:eastAsia="es-ES"/>
        </w:rPr>
        <w:t>E</w:t>
      </w:r>
      <w:r w:rsidR="00450932" w:rsidRPr="00605EC8">
        <w:rPr>
          <w:rFonts w:ascii="Bookman Old Style" w:eastAsia="Dotum" w:hAnsi="Bookman Old Style" w:cs="Arial"/>
          <w:bCs/>
          <w:lang w:eastAsia="es-ES"/>
        </w:rPr>
        <w:t xml:space="preserve">n </w:t>
      </w:r>
      <w:r w:rsidR="00AC7E0F" w:rsidRPr="00605EC8">
        <w:rPr>
          <w:rFonts w:ascii="Bookman Old Style" w:eastAsia="Dotum" w:hAnsi="Bookman Old Style" w:cs="Arial"/>
          <w:bCs/>
          <w:lang w:eastAsia="es-ES"/>
        </w:rPr>
        <w:t>este</w:t>
      </w:r>
      <w:r w:rsidR="00450932" w:rsidRPr="00605EC8">
        <w:rPr>
          <w:rFonts w:ascii="Bookman Old Style" w:eastAsia="Dotum" w:hAnsi="Bookman Old Style" w:cs="Arial"/>
          <w:bCs/>
          <w:lang w:eastAsia="es-ES"/>
        </w:rPr>
        <w:t xml:space="preserve"> asunto </w:t>
      </w:r>
      <w:r w:rsidRPr="00605EC8">
        <w:rPr>
          <w:rFonts w:ascii="Bookman Old Style" w:eastAsia="Dotum" w:hAnsi="Bookman Old Style" w:cs="Arial"/>
          <w:bCs/>
          <w:lang w:eastAsia="es-ES"/>
        </w:rPr>
        <w:t>solo milita los dichos d</w:t>
      </w:r>
      <w:r w:rsidR="00AC7E0F" w:rsidRPr="00605EC8">
        <w:rPr>
          <w:rFonts w:ascii="Bookman Old Style" w:eastAsia="Dotum" w:hAnsi="Bookman Old Style" w:cs="Arial"/>
          <w:bCs/>
          <w:lang w:eastAsia="es-ES"/>
        </w:rPr>
        <w:t xml:space="preserve">el único testigo escuchado, el Sr. </w:t>
      </w:r>
      <w:r w:rsidR="00450932" w:rsidRPr="00605EC8">
        <w:rPr>
          <w:rFonts w:ascii="Bookman Old Style" w:hAnsi="Bookman Old Style"/>
          <w:i/>
          <w:iCs/>
        </w:rPr>
        <w:t>Carlos Arturo García Marín</w:t>
      </w:r>
      <w:r w:rsidR="00450932" w:rsidRPr="00605EC8">
        <w:rPr>
          <w:rFonts w:ascii="Bookman Old Style" w:hAnsi="Bookman Old Style"/>
        </w:rPr>
        <w:t xml:space="preserve">, </w:t>
      </w:r>
      <w:r w:rsidR="003F1E12" w:rsidRPr="00605EC8">
        <w:rPr>
          <w:rFonts w:ascii="Bookman Old Style" w:hAnsi="Bookman Old Style"/>
        </w:rPr>
        <w:t xml:space="preserve">quien </w:t>
      </w:r>
      <w:r w:rsidR="00AC7E0F" w:rsidRPr="00605EC8">
        <w:rPr>
          <w:rFonts w:ascii="Bookman Old Style" w:hAnsi="Bookman Old Style"/>
        </w:rPr>
        <w:t xml:space="preserve">no dio cuenta </w:t>
      </w:r>
      <w:r w:rsidR="0051747A" w:rsidRPr="00605EC8">
        <w:rPr>
          <w:rFonts w:ascii="Bookman Old Style" w:hAnsi="Bookman Old Style"/>
        </w:rPr>
        <w:t xml:space="preserve">expresa </w:t>
      </w:r>
      <w:r w:rsidRPr="00605EC8">
        <w:rPr>
          <w:rFonts w:ascii="Bookman Old Style" w:hAnsi="Bookman Old Style"/>
        </w:rPr>
        <w:t>de las circunstancias</w:t>
      </w:r>
      <w:r w:rsidR="003F1E12" w:rsidRPr="00605EC8">
        <w:rPr>
          <w:rFonts w:ascii="Bookman Old Style" w:hAnsi="Bookman Old Style"/>
        </w:rPr>
        <w:t xml:space="preserve"> de la terminación del nexo del demandante</w:t>
      </w:r>
      <w:r w:rsidRPr="00605EC8">
        <w:rPr>
          <w:rFonts w:ascii="Bookman Old Style" w:hAnsi="Bookman Old Style"/>
        </w:rPr>
        <w:t xml:space="preserve">, </w:t>
      </w:r>
      <w:r w:rsidR="0051747A" w:rsidRPr="00605EC8">
        <w:rPr>
          <w:rFonts w:ascii="Bookman Old Style" w:hAnsi="Bookman Old Style"/>
        </w:rPr>
        <w:t xml:space="preserve">pues indicó </w:t>
      </w:r>
      <w:r w:rsidR="00AC7E0F" w:rsidRPr="00605EC8">
        <w:rPr>
          <w:rFonts w:ascii="Bookman Old Style" w:hAnsi="Bookman Old Style"/>
        </w:rPr>
        <w:t xml:space="preserve">que habiendo laborado él </w:t>
      </w:r>
      <w:r w:rsidR="003F1E12" w:rsidRPr="00605EC8">
        <w:rPr>
          <w:rFonts w:ascii="Bookman Old Style" w:hAnsi="Bookman Old Style"/>
        </w:rPr>
        <w:t xml:space="preserve">(testigo) </w:t>
      </w:r>
      <w:r w:rsidR="00AC7E0F" w:rsidRPr="00605EC8">
        <w:rPr>
          <w:rFonts w:ascii="Bookman Old Style" w:hAnsi="Bookman Old Style"/>
        </w:rPr>
        <w:t>hasta el 31 de diciembre de 2004</w:t>
      </w:r>
      <w:r w:rsidR="003F1E12" w:rsidRPr="00605EC8">
        <w:rPr>
          <w:rFonts w:ascii="Bookman Old Style" w:hAnsi="Bookman Old Style"/>
        </w:rPr>
        <w:t xml:space="preserve">, el demandante continuó prestando sus servicios y que, en aquellos eventos en que el testigo iba a la obra </w:t>
      </w:r>
      <w:r w:rsidR="00AC7E0F" w:rsidRPr="00605EC8">
        <w:rPr>
          <w:rFonts w:ascii="Bookman Old Style" w:hAnsi="Bookman Old Style"/>
        </w:rPr>
        <w:t xml:space="preserve">a preguntar por su liquidación, </w:t>
      </w:r>
      <w:r w:rsidR="003F1E12" w:rsidRPr="00605EC8">
        <w:rPr>
          <w:rFonts w:ascii="Bookman Old Style" w:hAnsi="Bookman Old Style"/>
        </w:rPr>
        <w:t xml:space="preserve">era que </w:t>
      </w:r>
      <w:r w:rsidR="00AC7E0F" w:rsidRPr="00605EC8">
        <w:rPr>
          <w:rFonts w:ascii="Bookman Old Style" w:hAnsi="Bookman Old Style"/>
        </w:rPr>
        <w:t xml:space="preserve">veía </w:t>
      </w:r>
      <w:r w:rsidR="003F1E12" w:rsidRPr="00605EC8">
        <w:rPr>
          <w:rFonts w:ascii="Bookman Old Style" w:hAnsi="Bookman Old Style"/>
        </w:rPr>
        <w:t xml:space="preserve">que </w:t>
      </w:r>
      <w:r w:rsidR="00AC7E0F" w:rsidRPr="00605EC8">
        <w:rPr>
          <w:rFonts w:ascii="Bookman Old Style" w:hAnsi="Bookman Old Style"/>
        </w:rPr>
        <w:t xml:space="preserve">demandante continuaba trabajando </w:t>
      </w:r>
      <w:r w:rsidRPr="00605EC8">
        <w:rPr>
          <w:rFonts w:ascii="Bookman Old Style" w:hAnsi="Bookman Old Style"/>
        </w:rPr>
        <w:t xml:space="preserve">y, únicamente mencionó </w:t>
      </w:r>
      <w:r w:rsidR="003F1E12" w:rsidRPr="00605EC8">
        <w:rPr>
          <w:rFonts w:ascii="Bookman Old Style" w:hAnsi="Bookman Old Style"/>
        </w:rPr>
        <w:t xml:space="preserve">de manera genérica </w:t>
      </w:r>
      <w:r w:rsidRPr="00605EC8">
        <w:rPr>
          <w:rFonts w:ascii="Bookman Old Style" w:hAnsi="Bookman Old Style"/>
        </w:rPr>
        <w:t xml:space="preserve">que las terminaciones de los contratos de trabajo habían sido </w:t>
      </w:r>
      <w:r w:rsidR="003F1E12" w:rsidRPr="00605EC8">
        <w:rPr>
          <w:rFonts w:ascii="Bookman Old Style" w:hAnsi="Bookman Old Style"/>
        </w:rPr>
        <w:t xml:space="preserve">a través de </w:t>
      </w:r>
      <w:r w:rsidRPr="00605EC8">
        <w:rPr>
          <w:rFonts w:ascii="Bookman Old Style" w:hAnsi="Bookman Old Style"/>
        </w:rPr>
        <w:t xml:space="preserve">una simple comunicación de los encargados donde de manera verbal les indicaban </w:t>
      </w:r>
      <w:r w:rsidR="003F1E12" w:rsidRPr="00605EC8">
        <w:rPr>
          <w:rFonts w:ascii="Bookman Old Style" w:hAnsi="Bookman Old Style"/>
        </w:rPr>
        <w:t xml:space="preserve">a los trabajadores </w:t>
      </w:r>
      <w:r w:rsidRPr="00605EC8">
        <w:rPr>
          <w:rFonts w:ascii="Bookman Old Style" w:hAnsi="Bookman Old Style"/>
        </w:rPr>
        <w:t>que</w:t>
      </w:r>
      <w:r w:rsidRPr="00605EC8">
        <w:rPr>
          <w:rFonts w:ascii="Bookman Old Style" w:hAnsi="Bookman Old Style"/>
          <w:i/>
          <w:iCs/>
        </w:rPr>
        <w:t xml:space="preserve"> no había más trabajo</w:t>
      </w:r>
      <w:r w:rsidRPr="00605EC8">
        <w:rPr>
          <w:rFonts w:ascii="Bookman Old Style" w:hAnsi="Bookman Old Style"/>
        </w:rPr>
        <w:t xml:space="preserve">, </w:t>
      </w:r>
      <w:r w:rsidR="003F1E12" w:rsidRPr="00605EC8">
        <w:rPr>
          <w:rFonts w:ascii="Bookman Old Style" w:hAnsi="Bookman Old Style"/>
        </w:rPr>
        <w:t xml:space="preserve">por lo que al </w:t>
      </w:r>
      <w:r w:rsidRPr="00605EC8">
        <w:rPr>
          <w:rFonts w:ascii="Bookman Old Style" w:hAnsi="Bookman Old Style"/>
        </w:rPr>
        <w:t xml:space="preserve">no </w:t>
      </w:r>
      <w:r w:rsidR="00AC7E0F" w:rsidRPr="00605EC8">
        <w:rPr>
          <w:rFonts w:ascii="Bookman Old Style" w:hAnsi="Bookman Old Style"/>
        </w:rPr>
        <w:t xml:space="preserve">haber </w:t>
      </w:r>
      <w:r w:rsidR="003F1E12" w:rsidRPr="00605EC8">
        <w:rPr>
          <w:rFonts w:ascii="Bookman Old Style" w:hAnsi="Bookman Old Style"/>
        </w:rPr>
        <w:t xml:space="preserve">mostrado </w:t>
      </w:r>
      <w:r w:rsidR="003F1E12" w:rsidRPr="00605EC8">
        <w:rPr>
          <w:rFonts w:ascii="Bookman Old Style" w:hAnsi="Bookman Old Style"/>
        </w:rPr>
        <w:lastRenderedPageBreak/>
        <w:t xml:space="preserve">conocimiento sobre </w:t>
      </w:r>
      <w:r w:rsidR="00AC7E0F" w:rsidRPr="00605EC8">
        <w:rPr>
          <w:rFonts w:ascii="Bookman Old Style" w:hAnsi="Bookman Old Style"/>
        </w:rPr>
        <w:t>las circunstancias del finiquito</w:t>
      </w:r>
      <w:r w:rsidRPr="00605EC8">
        <w:rPr>
          <w:rFonts w:ascii="Bookman Old Style" w:hAnsi="Bookman Old Style"/>
        </w:rPr>
        <w:t xml:space="preserve"> del actor</w:t>
      </w:r>
      <w:r w:rsidR="00AC7E0F" w:rsidRPr="00605EC8">
        <w:rPr>
          <w:rFonts w:ascii="Bookman Old Style" w:hAnsi="Bookman Old Style"/>
        </w:rPr>
        <w:t xml:space="preserve">, </w:t>
      </w:r>
      <w:r w:rsidR="008A36B3" w:rsidRPr="00605EC8">
        <w:rPr>
          <w:rFonts w:ascii="Bookman Old Style" w:hAnsi="Bookman Old Style"/>
        </w:rPr>
        <w:t>en esta caso</w:t>
      </w:r>
      <w:r w:rsidR="003F1E12" w:rsidRPr="00605EC8">
        <w:rPr>
          <w:rFonts w:ascii="Bookman Old Style" w:hAnsi="Bookman Old Style"/>
        </w:rPr>
        <w:t>,</w:t>
      </w:r>
      <w:r w:rsidR="008A36B3" w:rsidRPr="00605EC8">
        <w:rPr>
          <w:rFonts w:ascii="Bookman Old Style" w:hAnsi="Bookman Old Style"/>
        </w:rPr>
        <w:t xml:space="preserve"> </w:t>
      </w:r>
      <w:r w:rsidR="00E90EB4" w:rsidRPr="00605EC8">
        <w:rPr>
          <w:rFonts w:ascii="Bookman Old Style" w:hAnsi="Bookman Old Style"/>
        </w:rPr>
        <w:t xml:space="preserve">no </w:t>
      </w:r>
      <w:r w:rsidR="003F1E12" w:rsidRPr="00605EC8">
        <w:rPr>
          <w:rFonts w:ascii="Bookman Old Style" w:hAnsi="Bookman Old Style"/>
        </w:rPr>
        <w:t xml:space="preserve">puede argüirse que </w:t>
      </w:r>
      <w:r w:rsidR="00E90EB4" w:rsidRPr="00605EC8">
        <w:rPr>
          <w:rFonts w:ascii="Bookman Old Style" w:hAnsi="Bookman Old Style"/>
        </w:rPr>
        <w:t xml:space="preserve">fue </w:t>
      </w:r>
      <w:r w:rsidR="00AC7E0F" w:rsidRPr="00605EC8">
        <w:rPr>
          <w:rFonts w:ascii="Bookman Old Style" w:hAnsi="Bookman Old Style"/>
        </w:rPr>
        <w:t xml:space="preserve">demostrado </w:t>
      </w:r>
      <w:r w:rsidR="00E90EB4" w:rsidRPr="00605EC8">
        <w:rPr>
          <w:rFonts w:ascii="Bookman Old Style" w:hAnsi="Bookman Old Style"/>
        </w:rPr>
        <w:t>el hecho del despido</w:t>
      </w:r>
      <w:r w:rsidR="008A36B3" w:rsidRPr="00605EC8">
        <w:rPr>
          <w:rFonts w:ascii="Bookman Old Style" w:hAnsi="Bookman Old Style"/>
        </w:rPr>
        <w:t>.</w:t>
      </w:r>
    </w:p>
    <w:p w14:paraId="40CF256F" w14:textId="77777777" w:rsidR="00E90EB4" w:rsidRPr="00605EC8" w:rsidRDefault="00E90EB4" w:rsidP="00605EC8">
      <w:pPr>
        <w:spacing w:line="276" w:lineRule="auto"/>
        <w:ind w:firstLine="0"/>
        <w:rPr>
          <w:rFonts w:ascii="Bookman Old Style" w:hAnsi="Bookman Old Style"/>
        </w:rPr>
      </w:pPr>
    </w:p>
    <w:p w14:paraId="4E6134CF" w14:textId="05424F21" w:rsidR="008D17F8" w:rsidRPr="00605EC8" w:rsidRDefault="00075C70" w:rsidP="00605EC8">
      <w:pPr>
        <w:spacing w:line="276" w:lineRule="auto"/>
        <w:ind w:firstLine="0"/>
        <w:rPr>
          <w:rFonts w:ascii="Bookman Old Style" w:hAnsi="Bookman Old Style" w:cs="Arial"/>
        </w:rPr>
      </w:pPr>
      <w:r w:rsidRPr="00605EC8">
        <w:rPr>
          <w:rFonts w:ascii="Bookman Old Style" w:eastAsia="Dotum" w:hAnsi="Bookman Old Style" w:cs="Arial"/>
          <w:b/>
          <w:u w:val="single"/>
          <w:lang w:eastAsia="es-ES"/>
        </w:rPr>
        <w:t xml:space="preserve">De la interpretación </w:t>
      </w:r>
      <w:r w:rsidRPr="00605EC8">
        <w:rPr>
          <w:rFonts w:ascii="Bookman Old Style" w:hAnsi="Bookman Old Style"/>
          <w:b/>
          <w:u w:val="single"/>
        </w:rPr>
        <w:t>del parágrafo 1 del artículo 65 CST</w:t>
      </w:r>
      <w:r w:rsidRPr="00605EC8">
        <w:rPr>
          <w:rFonts w:ascii="Bookman Old Style" w:hAnsi="Bookman Old Style"/>
        </w:rPr>
        <w:t>.</w:t>
      </w:r>
      <w:r w:rsidR="006A488A" w:rsidRPr="00605EC8">
        <w:rPr>
          <w:rFonts w:ascii="Bookman Old Style" w:hAnsi="Bookman Old Style"/>
        </w:rPr>
        <w:t xml:space="preserve"> Para resolver, es menester recordar que </w:t>
      </w:r>
      <w:r w:rsidR="008D17F8" w:rsidRPr="00605EC8">
        <w:rPr>
          <w:rFonts w:ascii="Bookman Old Style" w:hAnsi="Bookman Old Style" w:cs="Arial"/>
        </w:rPr>
        <w:t xml:space="preserve">no fue objeto de recurso el hecho de que a la terminación </w:t>
      </w:r>
      <w:r w:rsidR="006A488A" w:rsidRPr="00605EC8">
        <w:rPr>
          <w:rFonts w:ascii="Bookman Old Style" w:hAnsi="Bookman Old Style" w:cs="Arial"/>
        </w:rPr>
        <w:t xml:space="preserve">que tuvo lugar el 6 de marzo de 2005, </w:t>
      </w:r>
      <w:r w:rsidR="008D17F8" w:rsidRPr="00605EC8">
        <w:rPr>
          <w:rFonts w:ascii="Bookman Old Style" w:hAnsi="Bookman Old Style" w:cs="Arial"/>
        </w:rPr>
        <w:t>al demandante le adeudaban los aportes en pensión correspondiente a los 16 días del mes de septiembre, 22 días para el mes de octubre, 30 días para los meses de noviembre, y diciembre de 2004 respectivamente y por 30 días del mes de enero, 22 días restantes del mes de febrero y 6 días del mes de marzo de 2005.</w:t>
      </w:r>
    </w:p>
    <w:p w14:paraId="2DD35102" w14:textId="77777777" w:rsidR="00CB5EAD" w:rsidRPr="00605EC8" w:rsidRDefault="00CB5EAD" w:rsidP="00605EC8">
      <w:pPr>
        <w:spacing w:line="276" w:lineRule="auto"/>
        <w:ind w:firstLine="0"/>
        <w:rPr>
          <w:rFonts w:ascii="Bookman Old Style" w:hAnsi="Bookman Old Style" w:cs="Arial"/>
        </w:rPr>
      </w:pPr>
    </w:p>
    <w:p w14:paraId="4BB5BC58" w14:textId="4CB9EC08" w:rsidR="00CB5EAD" w:rsidRPr="00605EC8" w:rsidRDefault="00857FC7" w:rsidP="00605EC8">
      <w:pPr>
        <w:spacing w:line="276" w:lineRule="auto"/>
        <w:ind w:firstLine="0"/>
        <w:rPr>
          <w:rFonts w:ascii="Bookman Old Style" w:hAnsi="Bookman Old Style" w:cs="Arial"/>
        </w:rPr>
      </w:pPr>
      <w:r w:rsidRPr="00605EC8">
        <w:rPr>
          <w:rFonts w:ascii="Bookman Old Style" w:hAnsi="Bookman Old Style" w:cs="Arial"/>
        </w:rPr>
        <w:t>Para resolver</w:t>
      </w:r>
      <w:r w:rsidR="00CB5EAD" w:rsidRPr="00605EC8">
        <w:rPr>
          <w:rFonts w:ascii="Bookman Old Style" w:hAnsi="Bookman Old Style" w:cs="Arial"/>
        </w:rPr>
        <w:t xml:space="preserve">, </w:t>
      </w:r>
      <w:r w:rsidRPr="00605EC8">
        <w:rPr>
          <w:rFonts w:ascii="Bookman Old Style" w:hAnsi="Bookman Old Style" w:cs="Arial"/>
        </w:rPr>
        <w:t xml:space="preserve">indica el </w:t>
      </w:r>
      <w:r w:rsidR="00172CA1" w:rsidRPr="00605EC8">
        <w:rPr>
          <w:rFonts w:ascii="Bookman Old Style" w:hAnsi="Bookman Old Style" w:cs="Arial"/>
        </w:rPr>
        <w:t>parágrafo 1 del artículo</w:t>
      </w:r>
      <w:r w:rsidR="00CB5EAD" w:rsidRPr="00605EC8">
        <w:rPr>
          <w:rFonts w:ascii="Bookman Old Style" w:hAnsi="Bookman Old Style" w:cs="Arial"/>
        </w:rPr>
        <w:t xml:space="preserve"> 65 CST, lo siguiente:</w:t>
      </w:r>
    </w:p>
    <w:p w14:paraId="6F416858" w14:textId="77777777" w:rsidR="00CB5EAD" w:rsidRPr="00605EC8" w:rsidRDefault="00CB5EAD" w:rsidP="00605EC8">
      <w:pPr>
        <w:spacing w:line="276" w:lineRule="auto"/>
        <w:ind w:firstLine="0"/>
        <w:rPr>
          <w:rFonts w:ascii="Bookman Old Style" w:hAnsi="Bookman Old Style" w:cs="Arial"/>
        </w:rPr>
      </w:pPr>
    </w:p>
    <w:p w14:paraId="3DA095AE" w14:textId="55411BE4" w:rsidR="00CB5EAD" w:rsidRPr="00F35C97" w:rsidRDefault="00857FC7" w:rsidP="00F35C97">
      <w:pPr>
        <w:spacing w:line="240" w:lineRule="auto"/>
        <w:ind w:left="426" w:right="420" w:firstLine="0"/>
        <w:rPr>
          <w:rFonts w:ascii="Bookman Old Style" w:hAnsi="Bookman Old Style" w:cs="Times New Roman"/>
          <w:b/>
          <w:bCs/>
          <w:spacing w:val="-10"/>
          <w:sz w:val="22"/>
          <w:szCs w:val="22"/>
        </w:rPr>
      </w:pPr>
      <w:r w:rsidRPr="00F35C97">
        <w:rPr>
          <w:rFonts w:ascii="Bookman Old Style" w:hAnsi="Bookman Old Style" w:cs="Times New Roman"/>
          <w:spacing w:val="-10"/>
          <w:sz w:val="22"/>
          <w:szCs w:val="22"/>
        </w:rPr>
        <w:t>“</w:t>
      </w:r>
      <w:r w:rsidR="00CB5EAD" w:rsidRPr="00F35C97">
        <w:rPr>
          <w:rFonts w:ascii="Bookman Old Style" w:hAnsi="Bookman Old Style" w:cs="Times New Roman"/>
          <w:b/>
          <w:bCs/>
          <w:spacing w:val="-10"/>
          <w:sz w:val="22"/>
          <w:szCs w:val="22"/>
        </w:rPr>
        <w:t>Artículo 65.</w:t>
      </w:r>
      <w:r w:rsidR="00F35C97" w:rsidRPr="00F35C97">
        <w:rPr>
          <w:rFonts w:ascii="Bookman Old Style" w:hAnsi="Bookman Old Style" w:cs="Times New Roman"/>
          <w:b/>
          <w:bCs/>
          <w:spacing w:val="-10"/>
          <w:sz w:val="22"/>
          <w:szCs w:val="22"/>
        </w:rPr>
        <w:t xml:space="preserve"> </w:t>
      </w:r>
      <w:r w:rsidR="00CB5EAD" w:rsidRPr="00F35C97">
        <w:rPr>
          <w:rFonts w:ascii="Bookman Old Style" w:hAnsi="Bookman Old Style" w:cs="Times New Roman"/>
          <w:b/>
          <w:bCs/>
          <w:spacing w:val="-10"/>
          <w:sz w:val="22"/>
          <w:szCs w:val="22"/>
        </w:rPr>
        <w:t>Indemnización por falta de pago: </w:t>
      </w:r>
    </w:p>
    <w:p w14:paraId="4594D8D9" w14:textId="15F876B2" w:rsidR="00CB5EAD" w:rsidRPr="00F35C97" w:rsidRDefault="00CB5EAD" w:rsidP="00F35C97">
      <w:pPr>
        <w:spacing w:line="240" w:lineRule="auto"/>
        <w:ind w:left="426" w:right="420" w:firstLine="0"/>
        <w:rPr>
          <w:rFonts w:ascii="Bookman Old Style" w:hAnsi="Bookman Old Style" w:cs="Times New Roman"/>
          <w:spacing w:val="-10"/>
          <w:sz w:val="22"/>
          <w:szCs w:val="22"/>
        </w:rPr>
      </w:pPr>
      <w:r w:rsidRPr="00F35C97">
        <w:rPr>
          <w:rFonts w:ascii="Bookman Old Style" w:hAnsi="Bookman Old Style" w:cs="Times New Roman"/>
          <w:spacing w:val="-10"/>
          <w:sz w:val="22"/>
          <w:szCs w:val="22"/>
        </w:rPr>
        <w:t>(…)</w:t>
      </w:r>
    </w:p>
    <w:p w14:paraId="48F68DA0" w14:textId="77777777" w:rsidR="00CB5EAD" w:rsidRPr="00F35C97" w:rsidRDefault="00CB5EAD" w:rsidP="00F35C97">
      <w:pPr>
        <w:spacing w:line="240" w:lineRule="auto"/>
        <w:ind w:left="426" w:right="420" w:firstLine="0"/>
        <w:rPr>
          <w:rFonts w:ascii="Bookman Old Style" w:hAnsi="Bookman Old Style" w:cs="Times New Roman"/>
          <w:spacing w:val="-10"/>
          <w:sz w:val="22"/>
          <w:szCs w:val="22"/>
        </w:rPr>
      </w:pPr>
      <w:r w:rsidRPr="00F35C97">
        <w:rPr>
          <w:rFonts w:ascii="Bookman Old Style" w:hAnsi="Bookman Old Style" w:cs="Times New Roman"/>
          <w:b/>
          <w:bCs/>
          <w:spacing w:val="-10"/>
          <w:sz w:val="22"/>
          <w:szCs w:val="22"/>
        </w:rPr>
        <w:t>Parágrafo 1º.</w:t>
      </w:r>
      <w:r w:rsidRPr="00F35C97">
        <w:rPr>
          <w:rFonts w:ascii="Bookman Old Style" w:hAnsi="Bookman Old Style" w:cs="Times New Roman"/>
          <w:spacing w:val="-10"/>
          <w:sz w:val="22"/>
          <w:szCs w:val="22"/>
        </w:rPr>
        <w:t> Para proceder a la terminación del contrato de trabajo establecido en el artículo 64 del Código Sustantivo del Trabajo, el empleador le deberá informar por escrito al trabajador, a la última dirección registrada, dentro de los sesenta (60) días siguientes a la terminación del contrato, el estado de pago de las cotizaciones de Seguridad Social y parafiscalidad sobre los salarios de los últimos tres meses anteriores a la terminación del contrato, adjuntando los comprobantes de pago que los certifiquen. Si el empleador no demuestra el pago de dichas cotizaciones, la terminación del contrato no producirá efecto. Sin embargo, el empleador podrá pagar las cotizaciones durante los sesenta (60) días siguientes, con los intereses de mora.  </w:t>
      </w:r>
    </w:p>
    <w:p w14:paraId="35A41DC0" w14:textId="1055962B" w:rsidR="00CB5EAD" w:rsidRPr="00F35C97" w:rsidRDefault="00CB5EAD" w:rsidP="00F35C97">
      <w:pPr>
        <w:spacing w:line="240" w:lineRule="auto"/>
        <w:ind w:left="426" w:right="420" w:firstLine="0"/>
        <w:rPr>
          <w:rFonts w:ascii="Bookman Old Style" w:hAnsi="Bookman Old Style" w:cs="Times New Roman"/>
          <w:spacing w:val="-10"/>
          <w:sz w:val="22"/>
          <w:szCs w:val="22"/>
        </w:rPr>
      </w:pPr>
      <w:r w:rsidRPr="00F35C97">
        <w:rPr>
          <w:rFonts w:ascii="Bookman Old Style" w:hAnsi="Bookman Old Style" w:cs="Times New Roman"/>
          <w:spacing w:val="-10"/>
          <w:sz w:val="22"/>
          <w:szCs w:val="22"/>
        </w:rPr>
        <w:t>(…)”.  </w:t>
      </w:r>
    </w:p>
    <w:p w14:paraId="12720664" w14:textId="77777777" w:rsidR="00CB5EAD" w:rsidRPr="00605EC8" w:rsidRDefault="00CB5EAD" w:rsidP="00605EC8">
      <w:pPr>
        <w:spacing w:line="276" w:lineRule="auto"/>
        <w:ind w:firstLine="0"/>
        <w:rPr>
          <w:rFonts w:ascii="Bookman Old Style" w:hAnsi="Bookman Old Style" w:cs="Arial"/>
        </w:rPr>
      </w:pPr>
    </w:p>
    <w:p w14:paraId="34E9CDF6" w14:textId="7E3AA7BB" w:rsidR="00CB5EAD" w:rsidRPr="00605EC8" w:rsidRDefault="00857FC7" w:rsidP="00605EC8">
      <w:pPr>
        <w:spacing w:line="276" w:lineRule="auto"/>
        <w:ind w:firstLine="0"/>
        <w:rPr>
          <w:rFonts w:ascii="Bookman Old Style" w:hAnsi="Bookman Old Style" w:cs="Arial"/>
        </w:rPr>
      </w:pPr>
      <w:r w:rsidRPr="00605EC8">
        <w:rPr>
          <w:rFonts w:ascii="Bookman Old Style" w:hAnsi="Bookman Old Style" w:cs="Arial"/>
        </w:rPr>
        <w:t xml:space="preserve">Pues bien, para el caso, como puede notarse el empleador </w:t>
      </w:r>
      <w:r w:rsidR="001F1956" w:rsidRPr="00605EC8">
        <w:rPr>
          <w:rFonts w:ascii="Bookman Old Style" w:hAnsi="Bookman Old Style" w:cs="Arial"/>
        </w:rPr>
        <w:t>adeudaba al trabajador el pago de aportes a seguridad social de</w:t>
      </w:r>
      <w:r w:rsidR="00FE60B7" w:rsidRPr="00605EC8">
        <w:rPr>
          <w:rFonts w:ascii="Bookman Old Style" w:hAnsi="Bookman Old Style" w:cs="Arial"/>
        </w:rPr>
        <w:t xml:space="preserve"> los 3 meses que antecedieron a la terminación del contrato</w:t>
      </w:r>
      <w:r w:rsidR="001F1956" w:rsidRPr="00605EC8">
        <w:rPr>
          <w:rFonts w:ascii="Bookman Old Style" w:hAnsi="Bookman Old Style" w:cs="Arial"/>
        </w:rPr>
        <w:t>, pues adeudaba el ciclo de diciembre de 2004 y enero de 2005, además de 22 días de febrero de 2005 y los 6 días de marzo de igual anualidad.</w:t>
      </w:r>
    </w:p>
    <w:p w14:paraId="41BC7BCB" w14:textId="77777777" w:rsidR="00AE0B44" w:rsidRPr="00605EC8" w:rsidRDefault="00AE0B44" w:rsidP="00605EC8">
      <w:pPr>
        <w:spacing w:line="276" w:lineRule="auto"/>
        <w:ind w:firstLine="0"/>
        <w:rPr>
          <w:rFonts w:ascii="Bookman Old Style" w:hAnsi="Bookman Old Style" w:cs="Arial"/>
        </w:rPr>
      </w:pPr>
    </w:p>
    <w:p w14:paraId="1447A706" w14:textId="2F02021B" w:rsidR="00AE0B44" w:rsidRPr="00605EC8" w:rsidRDefault="00AE0B44" w:rsidP="00605EC8">
      <w:pPr>
        <w:spacing w:line="276" w:lineRule="auto"/>
        <w:ind w:firstLine="0"/>
        <w:rPr>
          <w:rFonts w:ascii="Bookman Old Style" w:hAnsi="Bookman Old Style" w:cs="Arial"/>
        </w:rPr>
      </w:pPr>
      <w:r w:rsidRPr="00605EC8">
        <w:rPr>
          <w:rFonts w:ascii="Bookman Old Style" w:hAnsi="Bookman Old Style" w:cs="Arial"/>
        </w:rPr>
        <w:t xml:space="preserve">Ahora, frente al alcance del presunto incumplimiento del parágrafo 1º del artículo 29 de la 789 de 2002 por parte del empleador, la Corte ha sido pacífica en </w:t>
      </w:r>
      <w:r w:rsidR="00172CA1" w:rsidRPr="00605EC8">
        <w:rPr>
          <w:rFonts w:ascii="Bookman Old Style" w:hAnsi="Bookman Old Style" w:cs="Arial"/>
        </w:rPr>
        <w:t xml:space="preserve">señalar </w:t>
      </w:r>
      <w:r w:rsidRPr="00605EC8">
        <w:rPr>
          <w:rFonts w:ascii="Bookman Old Style" w:hAnsi="Bookman Old Style" w:cs="Arial"/>
        </w:rPr>
        <w:t xml:space="preserve">que ello no genera la ineficacia del despido y el restablecimiento del contrato, como lo pretende el impulsor de esta contienda. Así se ha reiterado en la sentencia </w:t>
      </w:r>
      <w:proofErr w:type="spellStart"/>
      <w:r w:rsidRPr="00605EC8">
        <w:rPr>
          <w:rFonts w:ascii="Bookman Old Style" w:hAnsi="Bookman Old Style" w:cs="Arial"/>
        </w:rPr>
        <w:t>SL12041</w:t>
      </w:r>
      <w:proofErr w:type="spellEnd"/>
      <w:r w:rsidRPr="00605EC8">
        <w:rPr>
          <w:rFonts w:ascii="Bookman Old Style" w:hAnsi="Bookman Old Style" w:cs="Arial"/>
        </w:rPr>
        <w:t>-2016, así:</w:t>
      </w:r>
    </w:p>
    <w:p w14:paraId="5E3A3FA2" w14:textId="77777777" w:rsidR="00AE0B44" w:rsidRPr="00605EC8" w:rsidRDefault="00AE0B44" w:rsidP="00605EC8">
      <w:pPr>
        <w:spacing w:line="276" w:lineRule="auto"/>
        <w:ind w:right="1185" w:firstLine="0"/>
        <w:rPr>
          <w:rFonts w:ascii="Bookman Old Style" w:hAnsi="Bookman Old Style" w:cs="Times New Roman"/>
          <w:spacing w:val="-10"/>
        </w:rPr>
      </w:pPr>
    </w:p>
    <w:p w14:paraId="073F0AA5" w14:textId="05E5B410" w:rsidR="00AE0B44" w:rsidRPr="00BC13A5" w:rsidRDefault="00AE0B44" w:rsidP="00BC13A5">
      <w:pPr>
        <w:spacing w:line="240" w:lineRule="auto"/>
        <w:ind w:left="426" w:right="420" w:firstLine="0"/>
        <w:rPr>
          <w:rFonts w:ascii="Bookman Old Style" w:hAnsi="Bookman Old Style" w:cs="Times New Roman"/>
          <w:spacing w:val="-10"/>
          <w:sz w:val="22"/>
          <w:szCs w:val="22"/>
        </w:rPr>
      </w:pPr>
      <w:r w:rsidRPr="00BC13A5">
        <w:rPr>
          <w:rFonts w:ascii="Bookman Old Style" w:hAnsi="Bookman Old Style" w:cs="Times New Roman"/>
          <w:spacing w:val="-10"/>
          <w:sz w:val="22"/>
          <w:szCs w:val="22"/>
        </w:rPr>
        <w:t>“… en sentencia 35303 de 14 de julio de 2009, sobre el tema de debate se expuso:</w:t>
      </w:r>
    </w:p>
    <w:p w14:paraId="188809CD" w14:textId="77777777" w:rsidR="00AE0B44" w:rsidRPr="00BC13A5" w:rsidRDefault="00AE0B44" w:rsidP="00BC13A5">
      <w:pPr>
        <w:spacing w:line="240" w:lineRule="auto"/>
        <w:ind w:left="426" w:right="420" w:firstLine="0"/>
        <w:rPr>
          <w:rFonts w:ascii="Bookman Old Style" w:hAnsi="Bookman Old Style" w:cs="Times New Roman"/>
          <w:spacing w:val="-10"/>
          <w:sz w:val="22"/>
          <w:szCs w:val="22"/>
        </w:rPr>
      </w:pPr>
    </w:p>
    <w:p w14:paraId="35ECB73E" w14:textId="74CF4DDB" w:rsidR="00AE0B44" w:rsidRPr="00BC13A5" w:rsidRDefault="00AE0B44" w:rsidP="00BC13A5">
      <w:pPr>
        <w:spacing w:line="240" w:lineRule="auto"/>
        <w:ind w:left="426" w:right="420" w:firstLine="0"/>
        <w:rPr>
          <w:rFonts w:ascii="Bookman Old Style" w:hAnsi="Bookman Old Style" w:cs="Times New Roman"/>
          <w:spacing w:val="-10"/>
          <w:sz w:val="22"/>
          <w:szCs w:val="22"/>
        </w:rPr>
      </w:pPr>
      <w:r w:rsidRPr="00BC13A5">
        <w:rPr>
          <w:rFonts w:ascii="Bookman Old Style" w:hAnsi="Bookman Old Style" w:cs="Times New Roman"/>
          <w:spacing w:val="-10"/>
          <w:sz w:val="22"/>
          <w:szCs w:val="22"/>
        </w:rPr>
        <w:t xml:space="preserve">Ahora, el Parágrafo 1° del artículo 29 de la Ley 789 de 2002, que modificó el 65 del </w:t>
      </w:r>
      <w:proofErr w:type="spellStart"/>
      <w:r w:rsidRPr="00BC13A5">
        <w:rPr>
          <w:rFonts w:ascii="Bookman Old Style" w:hAnsi="Bookman Old Style" w:cs="Times New Roman"/>
          <w:spacing w:val="-10"/>
          <w:sz w:val="22"/>
          <w:szCs w:val="22"/>
        </w:rPr>
        <w:t>C.S.T</w:t>
      </w:r>
      <w:proofErr w:type="spellEnd"/>
      <w:r w:rsidRPr="00BC13A5">
        <w:rPr>
          <w:rFonts w:ascii="Bookman Old Style" w:hAnsi="Bookman Old Style" w:cs="Times New Roman"/>
          <w:spacing w:val="-10"/>
          <w:sz w:val="22"/>
          <w:szCs w:val="22"/>
        </w:rPr>
        <w:t xml:space="preserve">., no contempla el restablecimiento real y efectivo del contrato de trabajo, tan es así, que la norma consagra el pago posterior de las cotizaciones, dado que su finalidad no es otra que la de </w:t>
      </w:r>
      <w:r w:rsidR="00560E24" w:rsidRPr="00BC13A5">
        <w:rPr>
          <w:rFonts w:ascii="Bookman Old Style" w:hAnsi="Bookman Old Style" w:cs="Times New Roman"/>
          <w:spacing w:val="-10"/>
          <w:sz w:val="22"/>
          <w:szCs w:val="22"/>
        </w:rPr>
        <w:t>garantizar el</w:t>
      </w:r>
      <w:r w:rsidRPr="00BC13A5">
        <w:rPr>
          <w:rFonts w:ascii="Bookman Old Style" w:hAnsi="Bookman Old Style" w:cs="Times New Roman"/>
          <w:spacing w:val="-10"/>
          <w:sz w:val="22"/>
          <w:szCs w:val="22"/>
        </w:rPr>
        <w:t xml:space="preserve"> pago oportuno de los aportes de seguridad social y parafiscales. En efecto, revisado el trámite que en el Congreso de la República tuvo el proyecto de la que sería la Ley 789 de 2002, se percibe que en la exposición de motivos se denominó el plan como aquel  ‘POR EL CUAL  SE DICTAN NORMAS PARA PROMOVER EMPLEABILIDAD Y DESARROLLAR LA PROTECCIÓN SOCIAL’, mientras que en el capítulo llamado ‘justificación y desarrollo de los articulados’ se precisa que como lo ‘postulan los artículo 23 al 30, tales condiciones especiales se han diseñado con el especial cuidado de no debilitar a las entidades administradoras de los recursos de SENA, ICBF y Cajas de Compensación, en la medida en que éste beneficio sólo se concederá a quienes mantengan en términos reales sus aportes a </w:t>
      </w:r>
      <w:r w:rsidRPr="00BC13A5">
        <w:rPr>
          <w:rFonts w:ascii="Bookman Old Style" w:hAnsi="Bookman Old Style" w:cs="Times New Roman"/>
          <w:spacing w:val="-10"/>
          <w:sz w:val="22"/>
          <w:szCs w:val="22"/>
        </w:rPr>
        <w:lastRenderedPageBreak/>
        <w:t xml:space="preserve">tales entidades. Igualmente, estamos solicitando facultades para cerrar la brecha de la evasión frente a todos los aportes parafiscales, en </w:t>
      </w:r>
      <w:r w:rsidR="00560E24" w:rsidRPr="00BC13A5">
        <w:rPr>
          <w:rFonts w:ascii="Bookman Old Style" w:hAnsi="Bookman Old Style" w:cs="Times New Roman"/>
          <w:spacing w:val="-10"/>
          <w:sz w:val="22"/>
          <w:szCs w:val="22"/>
        </w:rPr>
        <w:t>armonía con</w:t>
      </w:r>
      <w:r w:rsidRPr="00BC13A5">
        <w:rPr>
          <w:rFonts w:ascii="Bookman Old Style" w:hAnsi="Bookman Old Style" w:cs="Times New Roman"/>
          <w:spacing w:val="-10"/>
          <w:sz w:val="22"/>
          <w:szCs w:val="22"/>
        </w:rPr>
        <w:t xml:space="preserve"> el proceso de simplificación en el recaudo que queremos construir…’. </w:t>
      </w:r>
    </w:p>
    <w:p w14:paraId="09CDC88E" w14:textId="77777777" w:rsidR="00AE0B44" w:rsidRPr="00BC13A5" w:rsidRDefault="00AE0B44" w:rsidP="00BC13A5">
      <w:pPr>
        <w:spacing w:line="240" w:lineRule="auto"/>
        <w:ind w:left="426" w:right="420" w:firstLine="0"/>
        <w:rPr>
          <w:rFonts w:ascii="Bookman Old Style" w:hAnsi="Bookman Old Style" w:cs="Times New Roman"/>
          <w:spacing w:val="-10"/>
          <w:sz w:val="22"/>
          <w:szCs w:val="22"/>
        </w:rPr>
      </w:pPr>
    </w:p>
    <w:p w14:paraId="062BBF75" w14:textId="77777777" w:rsidR="00560E24" w:rsidRPr="00BC13A5" w:rsidRDefault="00560E24" w:rsidP="00BC13A5">
      <w:pPr>
        <w:spacing w:line="240" w:lineRule="auto"/>
        <w:ind w:left="426" w:right="420" w:firstLine="0"/>
        <w:rPr>
          <w:rFonts w:ascii="Bookman Old Style" w:hAnsi="Bookman Old Style" w:cs="Times New Roman"/>
          <w:spacing w:val="-10"/>
          <w:sz w:val="22"/>
          <w:szCs w:val="22"/>
        </w:rPr>
      </w:pPr>
      <w:r w:rsidRPr="00BC13A5">
        <w:rPr>
          <w:rFonts w:ascii="Bookman Old Style" w:hAnsi="Bookman Old Style" w:cs="Times New Roman"/>
          <w:spacing w:val="-10"/>
          <w:sz w:val="22"/>
          <w:szCs w:val="22"/>
        </w:rPr>
        <w:t>En ese orden, el bien jurídico protegido es la viabilidad del sistema de seguridad social integral, teniendo especial cuidado en no debilitar al SENA, al ICBF y a las CAJAS DE COMPENSACIÓN y por ello se incluyó en el Parágrafo 1° del artículo 65 del Estatuto Sustantivo del Trabajo, el estado de pago de las cotizaciones por parafiscalidad, por su significación social, lo que descarta que tal protección se encamine a la estabilidad en el empleo, por el contrario, lo consagrado por la norma tiende a la coerción como mecanismo para la viabilidad del sistema, precisamente con lo que podría denominarse como ‘sanción al moroso’.</w:t>
      </w:r>
    </w:p>
    <w:p w14:paraId="575CA679" w14:textId="77777777" w:rsidR="00560E24" w:rsidRPr="00BC13A5" w:rsidRDefault="00560E24" w:rsidP="00BC13A5">
      <w:pPr>
        <w:spacing w:line="240" w:lineRule="auto"/>
        <w:ind w:left="426" w:right="420" w:firstLine="0"/>
        <w:rPr>
          <w:rFonts w:ascii="Bookman Old Style" w:hAnsi="Bookman Old Style" w:cs="Times New Roman"/>
          <w:spacing w:val="-10"/>
          <w:sz w:val="22"/>
          <w:szCs w:val="22"/>
        </w:rPr>
      </w:pPr>
    </w:p>
    <w:p w14:paraId="186B47ED" w14:textId="34D27DFE" w:rsidR="00560E24" w:rsidRPr="00BC13A5" w:rsidRDefault="00560E24" w:rsidP="00BC13A5">
      <w:pPr>
        <w:spacing w:line="240" w:lineRule="auto"/>
        <w:ind w:left="426" w:right="420" w:firstLine="0"/>
        <w:rPr>
          <w:rFonts w:ascii="Bookman Old Style" w:hAnsi="Bookman Old Style" w:cs="Times New Roman"/>
          <w:spacing w:val="-10"/>
          <w:sz w:val="22"/>
          <w:szCs w:val="22"/>
        </w:rPr>
      </w:pPr>
      <w:r w:rsidRPr="00BC13A5">
        <w:rPr>
          <w:rFonts w:ascii="Bookman Old Style" w:hAnsi="Bookman Old Style" w:cs="Times New Roman"/>
          <w:spacing w:val="-10"/>
          <w:sz w:val="22"/>
          <w:szCs w:val="22"/>
        </w:rPr>
        <w:t xml:space="preserve">Por ello, carecería de lógica </w:t>
      </w:r>
      <w:proofErr w:type="gramStart"/>
      <w:r w:rsidRPr="00BC13A5">
        <w:rPr>
          <w:rFonts w:ascii="Bookman Old Style" w:hAnsi="Bookman Old Style" w:cs="Times New Roman"/>
          <w:spacing w:val="-10"/>
          <w:sz w:val="22"/>
          <w:szCs w:val="22"/>
        </w:rPr>
        <w:t>que</w:t>
      </w:r>
      <w:proofErr w:type="gramEnd"/>
      <w:r w:rsidRPr="00BC13A5">
        <w:rPr>
          <w:rFonts w:ascii="Bookman Old Style" w:hAnsi="Bookman Old Style" w:cs="Times New Roman"/>
          <w:spacing w:val="-10"/>
          <w:sz w:val="22"/>
          <w:szCs w:val="22"/>
        </w:rPr>
        <w:t xml:space="preserve"> aun cesando la causa de la sanción, ejemplo pago posterior, continuase el correctivo como lo sería la orden de reintegro del trabajador al cargo y los efectos que conllevaría el mismo, situación superada por la jurisprudencia. Precisamente en sentencia de 30 de enero de 2007, radicación 29443, se reflexionó así:</w:t>
      </w:r>
    </w:p>
    <w:p w14:paraId="66B30C03" w14:textId="77777777" w:rsidR="00560E24" w:rsidRPr="00BC13A5" w:rsidRDefault="00560E24" w:rsidP="00BC13A5">
      <w:pPr>
        <w:spacing w:line="240" w:lineRule="auto"/>
        <w:ind w:left="426" w:right="420" w:firstLine="0"/>
        <w:rPr>
          <w:rFonts w:ascii="Bookman Old Style" w:hAnsi="Bookman Old Style" w:cs="Times New Roman"/>
          <w:spacing w:val="-10"/>
          <w:sz w:val="22"/>
          <w:szCs w:val="22"/>
        </w:rPr>
      </w:pPr>
      <w:r w:rsidRPr="00BC13A5">
        <w:rPr>
          <w:rFonts w:ascii="Bookman Old Style" w:hAnsi="Bookman Old Style" w:cs="Times New Roman"/>
          <w:spacing w:val="-10"/>
          <w:sz w:val="22"/>
          <w:szCs w:val="22"/>
        </w:rPr>
        <w:t xml:space="preserve"> </w:t>
      </w:r>
    </w:p>
    <w:p w14:paraId="7DE0C2C7" w14:textId="77777777" w:rsidR="00560E24" w:rsidRPr="00BC13A5" w:rsidRDefault="00560E24" w:rsidP="00BC13A5">
      <w:pPr>
        <w:spacing w:line="240" w:lineRule="auto"/>
        <w:ind w:left="426" w:right="420" w:firstLine="0"/>
        <w:rPr>
          <w:rFonts w:ascii="Bookman Old Style" w:hAnsi="Bookman Old Style" w:cs="Times New Roman"/>
          <w:spacing w:val="-10"/>
          <w:sz w:val="22"/>
          <w:szCs w:val="22"/>
        </w:rPr>
      </w:pPr>
      <w:r w:rsidRPr="00BC13A5">
        <w:rPr>
          <w:rFonts w:ascii="Bookman Old Style" w:hAnsi="Bookman Old Style" w:cs="Times New Roman"/>
          <w:spacing w:val="-10"/>
          <w:sz w:val="22"/>
          <w:szCs w:val="22"/>
        </w:rPr>
        <w:t xml:space="preserve">Sea lo primero indicar que la condición de eficacia para la terminación de los contratos de trabajo prevista en el artículo 65 del </w:t>
      </w:r>
      <w:proofErr w:type="spellStart"/>
      <w:r w:rsidRPr="00BC13A5">
        <w:rPr>
          <w:rFonts w:ascii="Bookman Old Style" w:hAnsi="Bookman Old Style" w:cs="Times New Roman"/>
          <w:spacing w:val="-10"/>
          <w:sz w:val="22"/>
          <w:szCs w:val="22"/>
        </w:rPr>
        <w:t>C.S.T</w:t>
      </w:r>
      <w:proofErr w:type="spellEnd"/>
      <w:r w:rsidRPr="00BC13A5">
        <w:rPr>
          <w:rFonts w:ascii="Bookman Old Style" w:hAnsi="Bookman Old Style" w:cs="Times New Roman"/>
          <w:spacing w:val="-10"/>
          <w:sz w:val="22"/>
          <w:szCs w:val="22"/>
        </w:rPr>
        <w:t>., modificado por el artículo 29 de la Ley 789 de 2002, es un mecanismo de garantía de cobertura real y concreta para el trabajador en materia de seguridad social y contribuciones parafiscales; ciertamente si se le exige al empleador que, para que el despido que se propone realizar sea apto para terminar el contrato de trabajo,  cumpla con sus obligaciones  para con las entidades del sistema de seguridad social y administradores de recursos parafiscales, se evita que las prestaciones o servicios que estas instituciones ofrecen se nieguen por falta de pago completo de las respectivas cotizaciones o aportes.</w:t>
      </w:r>
    </w:p>
    <w:p w14:paraId="329D3784" w14:textId="77777777" w:rsidR="00560E24" w:rsidRPr="00BC13A5" w:rsidRDefault="00560E24" w:rsidP="00BC13A5">
      <w:pPr>
        <w:spacing w:line="240" w:lineRule="auto"/>
        <w:ind w:left="426" w:right="420" w:firstLine="0"/>
        <w:rPr>
          <w:rFonts w:ascii="Bookman Old Style" w:hAnsi="Bookman Old Style" w:cs="Times New Roman"/>
          <w:spacing w:val="-10"/>
          <w:sz w:val="22"/>
          <w:szCs w:val="22"/>
        </w:rPr>
      </w:pPr>
    </w:p>
    <w:p w14:paraId="54679A18" w14:textId="77777777" w:rsidR="00560E24" w:rsidRPr="00BC13A5" w:rsidRDefault="00560E24" w:rsidP="00BC13A5">
      <w:pPr>
        <w:spacing w:line="240" w:lineRule="auto"/>
        <w:ind w:left="426" w:right="420" w:firstLine="0"/>
        <w:rPr>
          <w:rFonts w:ascii="Bookman Old Style" w:hAnsi="Bookman Old Style" w:cs="Times New Roman"/>
          <w:spacing w:val="-10"/>
          <w:sz w:val="22"/>
          <w:szCs w:val="22"/>
        </w:rPr>
      </w:pPr>
      <w:r w:rsidRPr="00BC13A5">
        <w:rPr>
          <w:rFonts w:ascii="Bookman Old Style" w:hAnsi="Bookman Old Style" w:cs="Times New Roman"/>
          <w:spacing w:val="-10"/>
          <w:sz w:val="22"/>
          <w:szCs w:val="22"/>
        </w:rPr>
        <w:t>El artículo 48 de la Constitución Política establece como principio de la seguridad social la sostenibilidad financiera del sistema, puesto que la eficacia de los derechos consagrados está irremisiblemente unida a la existencia de recursos suficientes, estimados más allá de los demandados por la urgencia del día, para la viabilidad de las instituciones durante esta y las siguientes generaciones.</w:t>
      </w:r>
    </w:p>
    <w:p w14:paraId="258F6E13" w14:textId="77777777" w:rsidR="00560E24" w:rsidRPr="00BC13A5" w:rsidRDefault="00560E24" w:rsidP="00BC13A5">
      <w:pPr>
        <w:spacing w:line="240" w:lineRule="auto"/>
        <w:ind w:left="426" w:right="420" w:firstLine="0"/>
        <w:rPr>
          <w:rFonts w:ascii="Bookman Old Style" w:hAnsi="Bookman Old Style" w:cs="Times New Roman"/>
          <w:spacing w:val="-10"/>
          <w:sz w:val="22"/>
          <w:szCs w:val="22"/>
        </w:rPr>
      </w:pPr>
    </w:p>
    <w:p w14:paraId="0A7EA333" w14:textId="77777777" w:rsidR="00560E24" w:rsidRPr="00BC13A5" w:rsidRDefault="00560E24" w:rsidP="00BC13A5">
      <w:pPr>
        <w:spacing w:line="240" w:lineRule="auto"/>
        <w:ind w:left="426" w:right="420" w:firstLine="0"/>
        <w:rPr>
          <w:rFonts w:ascii="Bookman Old Style" w:hAnsi="Bookman Old Style" w:cs="Times New Roman"/>
          <w:spacing w:val="-10"/>
          <w:sz w:val="22"/>
          <w:szCs w:val="22"/>
        </w:rPr>
      </w:pPr>
      <w:r w:rsidRPr="00BC13A5">
        <w:rPr>
          <w:rFonts w:ascii="Bookman Old Style" w:hAnsi="Bookman Old Style" w:cs="Times New Roman"/>
          <w:spacing w:val="-10"/>
          <w:sz w:val="22"/>
          <w:szCs w:val="22"/>
        </w:rPr>
        <w:t>El Constituyente y el legislador de las últimas décadas, han tenido como finalidad central de sus proyectos y disposiciones el garantizar el equilibrio financiero del sistema, que se obtiene no sólo incrementando los aportes del empleador y del trabajador, y del Estado, sino garantizando los medios para asegurar su efectivo recaudo’.</w:t>
      </w:r>
    </w:p>
    <w:p w14:paraId="37479C44" w14:textId="77777777" w:rsidR="00560E24" w:rsidRPr="00BC13A5" w:rsidRDefault="00560E24" w:rsidP="00BC13A5">
      <w:pPr>
        <w:spacing w:line="240" w:lineRule="auto"/>
        <w:ind w:left="426" w:right="420" w:firstLine="0"/>
        <w:rPr>
          <w:rFonts w:ascii="Bookman Old Style" w:hAnsi="Bookman Old Style" w:cs="Times New Roman"/>
          <w:spacing w:val="-10"/>
          <w:sz w:val="22"/>
          <w:szCs w:val="22"/>
        </w:rPr>
      </w:pPr>
    </w:p>
    <w:p w14:paraId="2EBCE23A" w14:textId="77777777" w:rsidR="00EE7DE5" w:rsidRPr="00BC13A5" w:rsidRDefault="00560E24" w:rsidP="00BC13A5">
      <w:pPr>
        <w:spacing w:line="240" w:lineRule="auto"/>
        <w:ind w:left="426" w:right="420" w:firstLine="0"/>
        <w:rPr>
          <w:rFonts w:ascii="Bookman Old Style" w:hAnsi="Bookman Old Style" w:cs="Times New Roman"/>
          <w:spacing w:val="-10"/>
          <w:sz w:val="22"/>
          <w:szCs w:val="22"/>
        </w:rPr>
      </w:pPr>
      <w:r w:rsidRPr="00BC13A5">
        <w:rPr>
          <w:rFonts w:ascii="Bookman Old Style" w:hAnsi="Bookman Old Style" w:cs="Times New Roman"/>
          <w:spacing w:val="-10"/>
          <w:sz w:val="22"/>
          <w:szCs w:val="22"/>
        </w:rPr>
        <w:t>Por tanto, al armonizar la preceptiva en cuestión, al igual que lo hizo la jurisprudencia con el artículo 1° del Decreto 797 de 1949, desde el extinguido Tribunal Supremo del Trabajo, se condenará a la parte demandada  a pagar al actor, una suma igual al último salario diario por cada día de retardo en sufragar los aportes parafiscales de los tres últimos meses anteriores a la terminación del contrato con BERNAL BEJERANO, desde el 1° de abril de 2004 y hasta cuando […la empresa] acredite el pago de tales aportes con posterioridad a esta decisión.</w:t>
      </w:r>
    </w:p>
    <w:p w14:paraId="66F41855" w14:textId="77777777" w:rsidR="00EE7DE5" w:rsidRPr="00605EC8" w:rsidRDefault="00EE7DE5" w:rsidP="00605EC8">
      <w:pPr>
        <w:spacing w:line="276" w:lineRule="auto"/>
        <w:ind w:right="1185" w:firstLine="0"/>
        <w:rPr>
          <w:rFonts w:ascii="Bookman Old Style" w:hAnsi="Bookman Old Style" w:cs="Times New Roman"/>
          <w:spacing w:val="-10"/>
        </w:rPr>
      </w:pPr>
    </w:p>
    <w:p w14:paraId="56DC5D59" w14:textId="77777777" w:rsidR="00EE7DE5" w:rsidRPr="00605EC8" w:rsidRDefault="00EE7DE5" w:rsidP="00605EC8">
      <w:pPr>
        <w:spacing w:line="276" w:lineRule="auto"/>
        <w:ind w:right="1185" w:firstLine="0"/>
        <w:rPr>
          <w:rFonts w:ascii="Bookman Old Style" w:hAnsi="Bookman Old Style" w:cs="Times New Roman"/>
          <w:spacing w:val="-10"/>
        </w:rPr>
      </w:pPr>
      <w:r w:rsidRPr="00605EC8">
        <w:rPr>
          <w:rFonts w:ascii="Bookman Old Style" w:hAnsi="Bookman Old Style" w:cs="Times New Roman"/>
          <w:spacing w:val="-10"/>
        </w:rPr>
        <w:t xml:space="preserve">Por la misma línea, en sentencia </w:t>
      </w:r>
      <w:proofErr w:type="spellStart"/>
      <w:r w:rsidRPr="00605EC8">
        <w:rPr>
          <w:rFonts w:ascii="Bookman Old Style" w:hAnsi="Bookman Old Style" w:cs="Times New Roman"/>
          <w:spacing w:val="-10"/>
        </w:rPr>
        <w:t>SL516</w:t>
      </w:r>
      <w:proofErr w:type="spellEnd"/>
      <w:r w:rsidRPr="00605EC8">
        <w:rPr>
          <w:rFonts w:ascii="Bookman Old Style" w:hAnsi="Bookman Old Style" w:cs="Times New Roman"/>
          <w:spacing w:val="-10"/>
        </w:rPr>
        <w:t>-2013, dijo la Sala:</w:t>
      </w:r>
    </w:p>
    <w:p w14:paraId="3A8E54BB" w14:textId="77777777" w:rsidR="00BB6525" w:rsidRPr="00605EC8" w:rsidRDefault="00BB6525" w:rsidP="00605EC8">
      <w:pPr>
        <w:spacing w:line="276" w:lineRule="auto"/>
        <w:ind w:right="1185" w:firstLine="0"/>
        <w:rPr>
          <w:rFonts w:ascii="Bookman Old Style" w:hAnsi="Bookman Old Style" w:cs="Times New Roman"/>
          <w:spacing w:val="-10"/>
        </w:rPr>
      </w:pPr>
    </w:p>
    <w:p w14:paraId="1FAF4447" w14:textId="190D9EB5" w:rsidR="00EE7DE5" w:rsidRPr="00F35C97" w:rsidRDefault="00EE7DE5" w:rsidP="00F35C97">
      <w:pPr>
        <w:spacing w:line="240" w:lineRule="auto"/>
        <w:ind w:left="426" w:right="420" w:firstLine="0"/>
        <w:rPr>
          <w:rFonts w:ascii="Bookman Old Style" w:hAnsi="Bookman Old Style" w:cs="Times New Roman"/>
          <w:spacing w:val="-10"/>
          <w:sz w:val="22"/>
          <w:szCs w:val="22"/>
        </w:rPr>
      </w:pPr>
      <w:r w:rsidRPr="00F35C97">
        <w:rPr>
          <w:rFonts w:ascii="Bookman Old Style" w:hAnsi="Bookman Old Style" w:cs="Times New Roman"/>
          <w:spacing w:val="-10"/>
          <w:sz w:val="22"/>
          <w:szCs w:val="22"/>
        </w:rPr>
        <w:t xml:space="preserve">Del texto pre trascrito, en especial del aparte destacado por la Sala, no cabe duda </w:t>
      </w:r>
      <w:proofErr w:type="gramStart"/>
      <w:r w:rsidRPr="00F35C97">
        <w:rPr>
          <w:rFonts w:ascii="Bookman Old Style" w:hAnsi="Bookman Old Style" w:cs="Times New Roman"/>
          <w:spacing w:val="-10"/>
          <w:sz w:val="22"/>
          <w:szCs w:val="22"/>
        </w:rPr>
        <w:t>que</w:t>
      </w:r>
      <w:proofErr w:type="gramEnd"/>
      <w:r w:rsidRPr="00F35C97">
        <w:rPr>
          <w:rFonts w:ascii="Bookman Old Style" w:hAnsi="Bookman Old Style" w:cs="Times New Roman"/>
          <w:spacing w:val="-10"/>
          <w:sz w:val="22"/>
          <w:szCs w:val="22"/>
        </w:rPr>
        <w:t xml:space="preserve"> la norma consagra una consecuencia adversa para el empleador incumplido en el pago de las respectivas cotizaciones y a favor del trabajador, en virtud de la relación laboral que los liga y de la cual se derivan las obligaciones de cotizar que, justamente, constituyen el objeto de protección de la norma.</w:t>
      </w:r>
    </w:p>
    <w:p w14:paraId="21DB0E1E" w14:textId="77777777" w:rsidR="00EE7DE5" w:rsidRPr="00F35C97" w:rsidRDefault="00EE7DE5" w:rsidP="00F35C97">
      <w:pPr>
        <w:spacing w:line="240" w:lineRule="auto"/>
        <w:ind w:left="426" w:right="420" w:firstLine="0"/>
        <w:rPr>
          <w:rFonts w:ascii="Bookman Old Style" w:hAnsi="Bookman Old Style" w:cs="Times New Roman"/>
          <w:spacing w:val="-10"/>
          <w:sz w:val="22"/>
          <w:szCs w:val="22"/>
        </w:rPr>
      </w:pPr>
    </w:p>
    <w:p w14:paraId="2FF4C0E0" w14:textId="4C8E5529" w:rsidR="00967DC6" w:rsidRPr="00F35C97" w:rsidRDefault="00EE7DE5" w:rsidP="00F35C97">
      <w:pPr>
        <w:spacing w:line="240" w:lineRule="auto"/>
        <w:ind w:left="426" w:right="420" w:firstLine="0"/>
        <w:rPr>
          <w:rFonts w:ascii="Bookman Old Style" w:hAnsi="Bookman Old Style" w:cs="Times New Roman"/>
          <w:spacing w:val="-10"/>
          <w:sz w:val="22"/>
          <w:szCs w:val="22"/>
        </w:rPr>
      </w:pPr>
      <w:r w:rsidRPr="00F35C97">
        <w:rPr>
          <w:rFonts w:ascii="Bookman Old Style" w:hAnsi="Bookman Old Style" w:cs="Times New Roman"/>
          <w:spacing w:val="-10"/>
          <w:sz w:val="22"/>
          <w:szCs w:val="22"/>
        </w:rPr>
        <w:t xml:space="preserve">Si bien la redacción de la norma en comento es distinta al texto original del artículo 65 del CST y a la modificación introducida a este por el primer inciso del citado </w:t>
      </w:r>
      <w:r w:rsidRPr="00F35C97">
        <w:rPr>
          <w:rFonts w:ascii="Bookman Old Style" w:hAnsi="Bookman Old Style" w:cs="Times New Roman"/>
          <w:spacing w:val="-10"/>
          <w:sz w:val="22"/>
          <w:szCs w:val="22"/>
        </w:rPr>
        <w:lastRenderedPageBreak/>
        <w:t>artículo 29 de la Ley 789, en la medida que allí sí se fija, claramente, la consecuencia consistente en que el empleador le deberá pagar al trabajador un día de salario por cada día de mora en el pago de los salarios y prestaciones sociales a la terminación del contrato,  no puede ser motivo de extrañeza para la comunidad jurídica laboral el que, cuando el legislador se refiera a la ineficacia del retiro del servicio derivada del incumplimiento del pago de obligaciones laborales, en este caso del sistema de la protección social, a cargo del empleador, se equipare al pago de la indemnización moratoria a favor del trabajador, por cuanto la jurisprudencia tiene precisado, desde antaño, conforme al propósito de la norma en estos casos, que el objeto de tutela jurídica no es la estabilidad laboral, sino el pago de ciertas obligaciones laborales que, dada su naturaleza, merecen una protección especial y que esta protección debe estar armonizada con el principio general de la resolución contenido en todos los contratos de trabajo</w:t>
      </w:r>
      <w:r w:rsidR="00523B6C" w:rsidRPr="00F35C97">
        <w:rPr>
          <w:rFonts w:ascii="Bookman Old Style" w:hAnsi="Bookman Old Style" w:cs="Times New Roman"/>
          <w:spacing w:val="-10"/>
          <w:sz w:val="22"/>
          <w:szCs w:val="22"/>
        </w:rPr>
        <w:t xml:space="preserve"> (…)”</w:t>
      </w:r>
      <w:r w:rsidRPr="00F35C97">
        <w:rPr>
          <w:rFonts w:ascii="Bookman Old Style" w:hAnsi="Bookman Old Style" w:cs="Times New Roman"/>
          <w:spacing w:val="-10"/>
          <w:sz w:val="22"/>
          <w:szCs w:val="22"/>
        </w:rPr>
        <w:t xml:space="preserve">  </w:t>
      </w:r>
      <w:r w:rsidR="000E2D63" w:rsidRPr="00F35C97">
        <w:rPr>
          <w:rFonts w:ascii="Bookman Old Style" w:hAnsi="Bookman Old Style" w:cs="Times New Roman"/>
          <w:spacing w:val="-10"/>
          <w:sz w:val="22"/>
          <w:szCs w:val="22"/>
        </w:rPr>
        <w:t>(</w:t>
      </w:r>
      <w:r w:rsidR="00967DC6" w:rsidRPr="00F35C97">
        <w:rPr>
          <w:rFonts w:ascii="Bookman Old Style" w:hAnsi="Bookman Old Style" w:cs="Times New Roman"/>
          <w:spacing w:val="-10"/>
          <w:sz w:val="22"/>
          <w:szCs w:val="22"/>
        </w:rPr>
        <w:t>Postura reiterada, e</w:t>
      </w:r>
      <w:r w:rsidR="000E2D63" w:rsidRPr="00F35C97">
        <w:rPr>
          <w:rFonts w:ascii="Bookman Old Style" w:hAnsi="Bookman Old Style" w:cs="Times New Roman"/>
          <w:spacing w:val="-10"/>
          <w:sz w:val="22"/>
          <w:szCs w:val="22"/>
        </w:rPr>
        <w:t xml:space="preserve">ntre otras, </w:t>
      </w:r>
      <w:proofErr w:type="spellStart"/>
      <w:r w:rsidR="000E2D63" w:rsidRPr="00F35C97">
        <w:rPr>
          <w:rFonts w:ascii="Bookman Old Style" w:hAnsi="Bookman Old Style" w:cs="Times New Roman"/>
          <w:spacing w:val="-10"/>
          <w:sz w:val="22"/>
          <w:szCs w:val="22"/>
        </w:rPr>
        <w:t>SL133</w:t>
      </w:r>
      <w:proofErr w:type="spellEnd"/>
      <w:r w:rsidR="000E2D63" w:rsidRPr="00F35C97">
        <w:rPr>
          <w:rFonts w:ascii="Bookman Old Style" w:hAnsi="Bookman Old Style" w:cs="Times New Roman"/>
          <w:spacing w:val="-10"/>
          <w:sz w:val="22"/>
          <w:szCs w:val="22"/>
        </w:rPr>
        <w:t xml:space="preserve">-2018, </w:t>
      </w:r>
      <w:proofErr w:type="spellStart"/>
      <w:r w:rsidR="000E2D63" w:rsidRPr="00F35C97">
        <w:rPr>
          <w:rFonts w:ascii="Bookman Old Style" w:hAnsi="Bookman Old Style" w:cs="Times New Roman"/>
          <w:spacing w:val="-10"/>
          <w:sz w:val="22"/>
          <w:szCs w:val="22"/>
        </w:rPr>
        <w:t>SL3407</w:t>
      </w:r>
      <w:proofErr w:type="spellEnd"/>
      <w:r w:rsidR="000E2D63" w:rsidRPr="00F35C97">
        <w:rPr>
          <w:rFonts w:ascii="Bookman Old Style" w:hAnsi="Bookman Old Style" w:cs="Times New Roman"/>
          <w:spacing w:val="-10"/>
          <w:sz w:val="22"/>
          <w:szCs w:val="22"/>
        </w:rPr>
        <w:t>-2018</w:t>
      </w:r>
      <w:r w:rsidR="00967DC6" w:rsidRPr="00F35C97">
        <w:rPr>
          <w:rFonts w:ascii="Bookman Old Style" w:hAnsi="Bookman Old Style" w:cs="Times New Roman"/>
          <w:spacing w:val="-10"/>
          <w:sz w:val="22"/>
          <w:szCs w:val="22"/>
        </w:rPr>
        <w:t xml:space="preserve">, </w:t>
      </w:r>
      <w:proofErr w:type="spellStart"/>
      <w:r w:rsidR="00967DC6" w:rsidRPr="00F35C97">
        <w:rPr>
          <w:rFonts w:ascii="Bookman Old Style" w:hAnsi="Bookman Old Style" w:cs="Times New Roman"/>
          <w:spacing w:val="-10"/>
          <w:sz w:val="22"/>
          <w:szCs w:val="22"/>
        </w:rPr>
        <w:t>SL2572</w:t>
      </w:r>
      <w:proofErr w:type="spellEnd"/>
      <w:r w:rsidR="00967DC6" w:rsidRPr="00F35C97">
        <w:rPr>
          <w:rFonts w:ascii="Bookman Old Style" w:hAnsi="Bookman Old Style" w:cs="Times New Roman"/>
          <w:spacing w:val="-10"/>
          <w:sz w:val="22"/>
          <w:szCs w:val="22"/>
        </w:rPr>
        <w:t xml:space="preserve">-2019, </w:t>
      </w:r>
      <w:proofErr w:type="spellStart"/>
      <w:r w:rsidR="00967DC6" w:rsidRPr="00F35C97">
        <w:rPr>
          <w:rFonts w:ascii="Bookman Old Style" w:hAnsi="Bookman Old Style" w:cs="Times New Roman"/>
          <w:spacing w:val="-10"/>
          <w:sz w:val="22"/>
          <w:szCs w:val="22"/>
        </w:rPr>
        <w:t>SL7335</w:t>
      </w:r>
      <w:proofErr w:type="spellEnd"/>
      <w:r w:rsidR="00967DC6" w:rsidRPr="00F35C97">
        <w:rPr>
          <w:rFonts w:ascii="Bookman Old Style" w:hAnsi="Bookman Old Style" w:cs="Times New Roman"/>
          <w:spacing w:val="-10"/>
          <w:sz w:val="22"/>
          <w:szCs w:val="22"/>
        </w:rPr>
        <w:t xml:space="preserve">-2014; </w:t>
      </w:r>
      <w:proofErr w:type="spellStart"/>
      <w:r w:rsidR="00967DC6" w:rsidRPr="00F35C97">
        <w:rPr>
          <w:rFonts w:ascii="Bookman Old Style" w:hAnsi="Bookman Old Style" w:cs="Times New Roman"/>
          <w:spacing w:val="-10"/>
          <w:sz w:val="22"/>
          <w:szCs w:val="22"/>
        </w:rPr>
        <w:t>SL2221</w:t>
      </w:r>
      <w:proofErr w:type="spellEnd"/>
      <w:r w:rsidR="00967DC6" w:rsidRPr="00F35C97">
        <w:rPr>
          <w:rFonts w:ascii="Bookman Old Style" w:hAnsi="Bookman Old Style" w:cs="Times New Roman"/>
          <w:spacing w:val="-10"/>
          <w:sz w:val="22"/>
          <w:szCs w:val="22"/>
        </w:rPr>
        <w:t xml:space="preserve">-2018; </w:t>
      </w:r>
      <w:proofErr w:type="spellStart"/>
      <w:r w:rsidR="00967DC6" w:rsidRPr="00F35C97">
        <w:rPr>
          <w:rFonts w:ascii="Bookman Old Style" w:hAnsi="Bookman Old Style" w:cs="Times New Roman"/>
          <w:spacing w:val="-10"/>
          <w:sz w:val="22"/>
          <w:szCs w:val="22"/>
        </w:rPr>
        <w:t>SL3670</w:t>
      </w:r>
      <w:proofErr w:type="spellEnd"/>
      <w:r w:rsidR="00967DC6" w:rsidRPr="00F35C97">
        <w:rPr>
          <w:rFonts w:ascii="Bookman Old Style" w:hAnsi="Bookman Old Style" w:cs="Times New Roman"/>
          <w:spacing w:val="-10"/>
          <w:sz w:val="22"/>
          <w:szCs w:val="22"/>
        </w:rPr>
        <w:t xml:space="preserve">-2019, </w:t>
      </w:r>
      <w:proofErr w:type="spellStart"/>
      <w:r w:rsidR="00967DC6" w:rsidRPr="00F35C97">
        <w:rPr>
          <w:rFonts w:ascii="Bookman Old Style" w:hAnsi="Bookman Old Style" w:cs="Times New Roman"/>
          <w:spacing w:val="-10"/>
          <w:sz w:val="22"/>
          <w:szCs w:val="22"/>
        </w:rPr>
        <w:t>SL4619</w:t>
      </w:r>
      <w:proofErr w:type="spellEnd"/>
      <w:r w:rsidR="00967DC6" w:rsidRPr="00F35C97">
        <w:rPr>
          <w:rFonts w:ascii="Bookman Old Style" w:hAnsi="Bookman Old Style" w:cs="Times New Roman"/>
          <w:spacing w:val="-10"/>
          <w:sz w:val="22"/>
          <w:szCs w:val="22"/>
        </w:rPr>
        <w:t xml:space="preserve">-2020, </w:t>
      </w:r>
      <w:proofErr w:type="spellStart"/>
      <w:r w:rsidR="00967DC6" w:rsidRPr="00F35C97">
        <w:rPr>
          <w:rFonts w:ascii="Bookman Old Style" w:hAnsi="Bookman Old Style" w:cs="Times New Roman"/>
          <w:spacing w:val="-10"/>
          <w:sz w:val="22"/>
          <w:szCs w:val="22"/>
        </w:rPr>
        <w:t>SL1320</w:t>
      </w:r>
      <w:proofErr w:type="spellEnd"/>
      <w:r w:rsidR="00967DC6" w:rsidRPr="00F35C97">
        <w:rPr>
          <w:rFonts w:ascii="Bookman Old Style" w:hAnsi="Bookman Old Style" w:cs="Times New Roman"/>
          <w:spacing w:val="-10"/>
          <w:sz w:val="22"/>
          <w:szCs w:val="22"/>
        </w:rPr>
        <w:t>-2021).</w:t>
      </w:r>
    </w:p>
    <w:p w14:paraId="73971E80" w14:textId="77777777" w:rsidR="00967DC6" w:rsidRPr="00605EC8" w:rsidRDefault="00967DC6" w:rsidP="00605EC8">
      <w:pPr>
        <w:spacing w:line="276" w:lineRule="auto"/>
        <w:ind w:firstLine="0"/>
        <w:rPr>
          <w:rFonts w:ascii="Bookman Old Style" w:hAnsi="Bookman Old Style" w:cs="Arial"/>
        </w:rPr>
      </w:pPr>
    </w:p>
    <w:p w14:paraId="4008A09F" w14:textId="4899D79B" w:rsidR="00D01379" w:rsidRPr="00605EC8" w:rsidRDefault="00E04F52" w:rsidP="00605EC8">
      <w:pPr>
        <w:spacing w:line="276" w:lineRule="auto"/>
        <w:ind w:firstLine="0"/>
        <w:rPr>
          <w:rFonts w:ascii="Bookman Old Style" w:hAnsi="Bookman Old Style" w:cs="Arial"/>
        </w:rPr>
      </w:pPr>
      <w:r w:rsidRPr="00605EC8">
        <w:rPr>
          <w:rFonts w:ascii="Bookman Old Style" w:hAnsi="Bookman Old Style" w:cs="Arial"/>
        </w:rPr>
        <w:t xml:space="preserve">Ahora, aduce el recurrente que la consecuencia de la citada norma </w:t>
      </w:r>
      <w:r w:rsidR="00FB358E" w:rsidRPr="00605EC8">
        <w:rPr>
          <w:rFonts w:ascii="Bookman Old Style" w:hAnsi="Bookman Old Style" w:cs="Arial"/>
        </w:rPr>
        <w:t xml:space="preserve">violaba el derecho a la igualdad, al considerar que no justificaba que se exigiera el pago de la seguridad social al trabajador despedido con justa causa como a aquel que se le finiquita sin justa causa. En tal aspecto, le asiste la razón al recurrente en este punto de la argumentación, pues en tal sentido lo consideró </w:t>
      </w:r>
      <w:r w:rsidR="00D01379" w:rsidRPr="00605EC8">
        <w:rPr>
          <w:rFonts w:ascii="Bookman Old Style" w:hAnsi="Bookman Old Style" w:cs="Arial"/>
        </w:rPr>
        <w:t xml:space="preserve">la Corte en la sentencia </w:t>
      </w:r>
      <w:proofErr w:type="spellStart"/>
      <w:r w:rsidR="00D01379" w:rsidRPr="00605EC8">
        <w:rPr>
          <w:rFonts w:ascii="Bookman Old Style" w:hAnsi="Bookman Old Style" w:cs="Arial"/>
        </w:rPr>
        <w:t>SL4619</w:t>
      </w:r>
      <w:proofErr w:type="spellEnd"/>
      <w:r w:rsidR="00D01379" w:rsidRPr="00605EC8">
        <w:rPr>
          <w:rFonts w:ascii="Bookman Old Style" w:hAnsi="Bookman Old Style" w:cs="Arial"/>
        </w:rPr>
        <w:t xml:space="preserve">-2020, </w:t>
      </w:r>
      <w:r w:rsidR="00FB358E" w:rsidRPr="00605EC8">
        <w:rPr>
          <w:rFonts w:ascii="Bookman Old Style" w:hAnsi="Bookman Old Style" w:cs="Arial"/>
        </w:rPr>
        <w:t xml:space="preserve">donde </w:t>
      </w:r>
      <w:r w:rsidR="00D01379" w:rsidRPr="00605EC8">
        <w:rPr>
          <w:rFonts w:ascii="Bookman Old Style" w:hAnsi="Bookman Old Style" w:cs="Arial"/>
        </w:rPr>
        <w:t>planteó:</w:t>
      </w:r>
    </w:p>
    <w:p w14:paraId="6F6BEEB5" w14:textId="77777777" w:rsidR="00D01379" w:rsidRPr="00605EC8" w:rsidRDefault="00D01379" w:rsidP="00605EC8">
      <w:pPr>
        <w:spacing w:line="276" w:lineRule="auto"/>
        <w:ind w:firstLine="0"/>
        <w:rPr>
          <w:rFonts w:ascii="Bookman Old Style" w:hAnsi="Bookman Old Style" w:cs="Arial"/>
        </w:rPr>
      </w:pPr>
    </w:p>
    <w:p w14:paraId="6EC3ADEE" w14:textId="1E05677C" w:rsidR="00D01379" w:rsidRPr="00F35C97" w:rsidRDefault="00D01379" w:rsidP="00F35C97">
      <w:pPr>
        <w:spacing w:line="240" w:lineRule="auto"/>
        <w:ind w:left="426" w:right="420" w:firstLine="0"/>
        <w:rPr>
          <w:rFonts w:ascii="Bookman Old Style" w:hAnsi="Bookman Old Style" w:cs="Times New Roman"/>
          <w:spacing w:val="-10"/>
          <w:sz w:val="22"/>
          <w:szCs w:val="22"/>
        </w:rPr>
      </w:pPr>
      <w:r w:rsidRPr="00F35C97">
        <w:rPr>
          <w:rFonts w:ascii="Bookman Old Style" w:hAnsi="Bookman Old Style" w:cs="Times New Roman"/>
          <w:spacing w:val="-10"/>
          <w:sz w:val="22"/>
          <w:szCs w:val="22"/>
        </w:rPr>
        <w:t xml:space="preserve">“Paralelamente, la Corte ha asentado que la protección contentiva en el parágrafo primero de la norma en comento </w:t>
      </w:r>
      <w:r w:rsidRPr="00F35C97">
        <w:rPr>
          <w:rFonts w:ascii="Bookman Old Style" w:hAnsi="Bookman Old Style" w:cs="Times New Roman"/>
          <w:b/>
          <w:bCs/>
          <w:spacing w:val="-10"/>
          <w:sz w:val="22"/>
          <w:szCs w:val="22"/>
        </w:rPr>
        <w:t>se aplica indistintamente del modo de terminación del contrato laboral, lo que significa que la sanción prevista para cuando se presenta un incumplimiento de las obligaciones de la seguridad social y parafiscales, opera no solo cuando el vínculo finaliza por despido injusto, sino también al culminar por cualquier otro motivo o causa</w:t>
      </w:r>
      <w:r w:rsidRPr="00F35C97">
        <w:rPr>
          <w:rFonts w:ascii="Bookman Old Style" w:hAnsi="Bookman Old Style" w:cs="Times New Roman"/>
          <w:spacing w:val="-10"/>
          <w:sz w:val="22"/>
          <w:szCs w:val="22"/>
        </w:rPr>
        <w:t xml:space="preserve">. Así se ha adoctrinado en las providencias CSJ SL, 30 en. 2007, rad. 29443; CSJ SL, 14 jul. 2009, rad. 35303; y, más recientemente, en la CSJ </w:t>
      </w:r>
      <w:proofErr w:type="spellStart"/>
      <w:r w:rsidRPr="00F35C97">
        <w:rPr>
          <w:rFonts w:ascii="Bookman Old Style" w:hAnsi="Bookman Old Style" w:cs="Times New Roman"/>
          <w:spacing w:val="-10"/>
          <w:sz w:val="22"/>
          <w:szCs w:val="22"/>
        </w:rPr>
        <w:t>SL458</w:t>
      </w:r>
      <w:proofErr w:type="spellEnd"/>
      <w:r w:rsidRPr="00F35C97">
        <w:rPr>
          <w:rFonts w:ascii="Bookman Old Style" w:hAnsi="Bookman Old Style" w:cs="Times New Roman"/>
          <w:spacing w:val="-10"/>
          <w:sz w:val="22"/>
          <w:szCs w:val="22"/>
        </w:rPr>
        <w:t>-2013, en la que se adujo:</w:t>
      </w:r>
    </w:p>
    <w:p w14:paraId="63F479EC" w14:textId="77777777" w:rsidR="00D01379" w:rsidRPr="00F35C97" w:rsidRDefault="00D01379" w:rsidP="00F35C97">
      <w:pPr>
        <w:spacing w:line="240" w:lineRule="auto"/>
        <w:ind w:left="426" w:right="420" w:firstLine="0"/>
        <w:rPr>
          <w:rFonts w:ascii="Bookman Old Style" w:hAnsi="Bookman Old Style" w:cs="Times New Roman"/>
          <w:spacing w:val="-10"/>
          <w:sz w:val="22"/>
          <w:szCs w:val="22"/>
        </w:rPr>
      </w:pPr>
    </w:p>
    <w:p w14:paraId="34F63351" w14:textId="77777777" w:rsidR="00D01379" w:rsidRPr="00F35C97" w:rsidRDefault="00D01379" w:rsidP="00F35C97">
      <w:pPr>
        <w:spacing w:line="240" w:lineRule="auto"/>
        <w:ind w:left="851" w:right="845" w:firstLine="0"/>
        <w:rPr>
          <w:rFonts w:ascii="Bookman Old Style" w:hAnsi="Bookman Old Style" w:cs="Times New Roman"/>
          <w:spacing w:val="-10"/>
          <w:sz w:val="22"/>
          <w:szCs w:val="22"/>
        </w:rPr>
      </w:pPr>
      <w:r w:rsidRPr="00F35C97">
        <w:rPr>
          <w:rFonts w:ascii="Bookman Old Style" w:hAnsi="Bookman Old Style" w:cs="Times New Roman"/>
          <w:spacing w:val="-10"/>
          <w:sz w:val="22"/>
          <w:szCs w:val="22"/>
        </w:rPr>
        <w:t xml:space="preserve">Por último, con relación al argumento de que sería inequitativa la imposición de esta sanción por la mora en el caso de terminación del contrato sin justa causa, en tanto se exime de esta al empleador incumplido que finaliza la relación con justa causa o por mutuo acuerdo, o por cualquier otra forma de terminación del artículo 61 del CST, estima la Sala que la solución a la discriminación contenida en la norma, no es desaparecer la medida que es lo que propone en el fondo la censura, pues, se reitera, toda interpretación debe, por principio, procurar la efectividad de la norma. </w:t>
      </w:r>
    </w:p>
    <w:p w14:paraId="641B896F" w14:textId="77777777" w:rsidR="00D01379" w:rsidRPr="00F35C97" w:rsidRDefault="00D01379" w:rsidP="004A79A5">
      <w:pPr>
        <w:spacing w:line="240" w:lineRule="auto"/>
        <w:ind w:left="851" w:right="845" w:firstLine="0"/>
        <w:rPr>
          <w:rFonts w:ascii="Bookman Old Style" w:hAnsi="Bookman Old Style" w:cs="Times New Roman"/>
          <w:spacing w:val="-10"/>
          <w:sz w:val="22"/>
          <w:szCs w:val="22"/>
        </w:rPr>
      </w:pPr>
    </w:p>
    <w:p w14:paraId="0F744D74" w14:textId="654CF5C8" w:rsidR="00D01379" w:rsidRPr="00F35C97" w:rsidRDefault="00D01379" w:rsidP="004A79A5">
      <w:pPr>
        <w:spacing w:line="240" w:lineRule="auto"/>
        <w:ind w:left="851" w:right="845" w:firstLine="0"/>
        <w:rPr>
          <w:rFonts w:ascii="Bookman Old Style" w:hAnsi="Bookman Old Style" w:cs="Times New Roman"/>
          <w:spacing w:val="-10"/>
          <w:sz w:val="22"/>
          <w:szCs w:val="22"/>
        </w:rPr>
      </w:pPr>
      <w:r w:rsidRPr="00F35C97">
        <w:rPr>
          <w:rFonts w:ascii="Bookman Old Style" w:hAnsi="Bookman Old Style" w:cs="Times New Roman"/>
          <w:spacing w:val="-10"/>
          <w:sz w:val="22"/>
          <w:szCs w:val="22"/>
        </w:rPr>
        <w:t>En atención a dicho principio y en razón de la finalidad atrás indicada de la medida contenida en la disposición objeto del presente estudio, esta Sala, para eliminar la exclusión injustificada de la protección en comento, asentó que la consecuencia prevista en dicho Parágrafo se debía aplicar indistintamente cualquiera sea el modo de terminación del contrato de trabajo, dado que, para el sistema, era irrelevante este aspecto y no tenía cabida la protección discriminatoria que se le ofrecía al trabajador solo para cuando era despedido injustamente. A continuación, se trascribe lo dicho por esta Corte sobre el tema en la sentencia 29443 del 30 de enero de 2007, para mejor recordación:</w:t>
      </w:r>
    </w:p>
    <w:p w14:paraId="7BCC24B8" w14:textId="77777777" w:rsidR="00D01379" w:rsidRPr="00F35C97" w:rsidRDefault="00D01379" w:rsidP="004A79A5">
      <w:pPr>
        <w:spacing w:line="240" w:lineRule="auto"/>
        <w:ind w:left="851" w:right="845" w:firstLine="0"/>
        <w:rPr>
          <w:rFonts w:ascii="Bookman Old Style" w:hAnsi="Bookman Old Style" w:cs="Times New Roman"/>
          <w:spacing w:val="-10"/>
          <w:sz w:val="22"/>
          <w:szCs w:val="22"/>
        </w:rPr>
      </w:pPr>
    </w:p>
    <w:p w14:paraId="61A98EEB" w14:textId="547DE660" w:rsidR="00D01379" w:rsidRPr="00F35C97" w:rsidRDefault="00D01379" w:rsidP="004A79A5">
      <w:pPr>
        <w:spacing w:line="240" w:lineRule="auto"/>
        <w:ind w:left="1276" w:right="1129" w:firstLine="0"/>
        <w:rPr>
          <w:rFonts w:ascii="Bookman Old Style" w:hAnsi="Bookman Old Style" w:cs="Times New Roman"/>
          <w:spacing w:val="-10"/>
          <w:sz w:val="22"/>
          <w:szCs w:val="22"/>
        </w:rPr>
      </w:pPr>
      <w:r w:rsidRPr="00F35C97">
        <w:rPr>
          <w:rFonts w:ascii="Bookman Old Style" w:hAnsi="Bookman Old Style" w:cs="Times New Roman"/>
          <w:spacing w:val="-10"/>
          <w:sz w:val="22"/>
          <w:szCs w:val="22"/>
        </w:rPr>
        <w:t xml:space="preserve">“El Constituyente y el legislador de las últimas décadas, han tenido como finalidad central de sus proyectos y disposiciones el garantizar el equilibrio financiero del sistema, que se obtiene no sólo incrementando los aportes del empleador y del trabajador, y del </w:t>
      </w:r>
      <w:r w:rsidRPr="00F35C97">
        <w:rPr>
          <w:rFonts w:ascii="Bookman Old Style" w:hAnsi="Bookman Old Style" w:cs="Times New Roman"/>
          <w:spacing w:val="-10"/>
          <w:sz w:val="22"/>
          <w:szCs w:val="22"/>
        </w:rPr>
        <w:lastRenderedPageBreak/>
        <w:t>Estado, sino garantizando los medios para asegurar su efectivo recaudo.</w:t>
      </w:r>
    </w:p>
    <w:p w14:paraId="40DCB2C0" w14:textId="77777777" w:rsidR="00D01379" w:rsidRPr="00F35C97" w:rsidRDefault="00D01379" w:rsidP="004A79A5">
      <w:pPr>
        <w:spacing w:line="240" w:lineRule="auto"/>
        <w:ind w:left="1276" w:right="1129" w:firstLine="0"/>
        <w:rPr>
          <w:rFonts w:ascii="Bookman Old Style" w:hAnsi="Bookman Old Style" w:cs="Times New Roman"/>
          <w:spacing w:val="-10"/>
          <w:sz w:val="22"/>
          <w:szCs w:val="22"/>
        </w:rPr>
      </w:pPr>
    </w:p>
    <w:p w14:paraId="6DC2405F" w14:textId="4EA98841" w:rsidR="00D01379" w:rsidRPr="00F35C97" w:rsidRDefault="00D01379" w:rsidP="004A79A5">
      <w:pPr>
        <w:spacing w:line="240" w:lineRule="auto"/>
        <w:ind w:left="1276" w:right="1129" w:firstLine="0"/>
        <w:rPr>
          <w:rFonts w:ascii="Bookman Old Style" w:hAnsi="Bookman Old Style" w:cs="Times New Roman"/>
          <w:spacing w:val="-10"/>
          <w:sz w:val="22"/>
          <w:szCs w:val="22"/>
        </w:rPr>
      </w:pPr>
      <w:r w:rsidRPr="00F35C97">
        <w:rPr>
          <w:rFonts w:ascii="Bookman Old Style" w:hAnsi="Bookman Old Style" w:cs="Times New Roman"/>
          <w:spacing w:val="-10"/>
          <w:sz w:val="22"/>
          <w:szCs w:val="22"/>
        </w:rPr>
        <w:t xml:space="preserve">Dentro de esta perspectiva encaja la reforma al artículo 65 del Código Sustantivo del Trabajo, introducida por el artículo 29 de la Ley 789 de 2002, cuyo entendimiento no admite la restricción a la que conduciría el apego literal al texto, en la parte que al remitir al artículo 64 del </w:t>
      </w:r>
      <w:proofErr w:type="spellStart"/>
      <w:r w:rsidRPr="00F35C97">
        <w:rPr>
          <w:rFonts w:ascii="Bookman Old Style" w:hAnsi="Bookman Old Style" w:cs="Times New Roman"/>
          <w:spacing w:val="-10"/>
          <w:sz w:val="22"/>
          <w:szCs w:val="22"/>
        </w:rPr>
        <w:t>C.S.T</w:t>
      </w:r>
      <w:proofErr w:type="spellEnd"/>
      <w:r w:rsidRPr="00F35C97">
        <w:rPr>
          <w:rFonts w:ascii="Bookman Old Style" w:hAnsi="Bookman Old Style" w:cs="Times New Roman"/>
          <w:spacing w:val="-10"/>
          <w:sz w:val="22"/>
          <w:szCs w:val="22"/>
        </w:rPr>
        <w:t xml:space="preserve">., limita la protección al evento de que el trabajador sea despido sin justa causa; ocurre que </w:t>
      </w:r>
      <w:r w:rsidRPr="004A79A5">
        <w:rPr>
          <w:rFonts w:ascii="Bookman Old Style" w:hAnsi="Bookman Old Style" w:cs="Times New Roman"/>
          <w:b/>
          <w:bCs/>
          <w:spacing w:val="-10"/>
          <w:sz w:val="22"/>
          <w:szCs w:val="22"/>
        </w:rPr>
        <w:t>para las obligaciones con la seguridad social y contribuciones parafiscales es absolutamente irrelevante la forma de terminación del contrato; de hecho los deberes para con el sistema surgen desde el momento en el que se inicia el vínculo laboral y se generan durante toda su vigencia</w:t>
      </w:r>
      <w:r w:rsidRPr="00F35C97">
        <w:rPr>
          <w:rFonts w:ascii="Bookman Old Style" w:hAnsi="Bookman Old Style" w:cs="Times New Roman"/>
          <w:spacing w:val="-10"/>
          <w:sz w:val="22"/>
          <w:szCs w:val="22"/>
        </w:rPr>
        <w:t>. No tiene entonces, razonable cabida la discriminatoria protección que se le ofrece al trabajador, sólo para cuando es despedido injustamente, cuando tal mecanismo previsto en la ley debe desplegar su poder de garantía frente a todos los trabajadores para quienes finalice su vínculo laboral, ora por una forma legal de terminación del contrato, ora por decisión unilateral, con justa o injusta causa por parte de alguna de las partes”.</w:t>
      </w:r>
    </w:p>
    <w:p w14:paraId="2F6C4BE5" w14:textId="77777777" w:rsidR="00D01379" w:rsidRPr="00605EC8" w:rsidRDefault="00D01379" w:rsidP="00605EC8">
      <w:pPr>
        <w:spacing w:line="276" w:lineRule="auto"/>
        <w:ind w:firstLine="0"/>
        <w:rPr>
          <w:rFonts w:ascii="Bookman Old Style" w:hAnsi="Bookman Old Style" w:cs="Arial"/>
        </w:rPr>
      </w:pPr>
    </w:p>
    <w:p w14:paraId="624E72DD" w14:textId="35A024F9" w:rsidR="00995EE3" w:rsidRPr="00605EC8" w:rsidRDefault="000E2D63" w:rsidP="00605EC8">
      <w:pPr>
        <w:spacing w:line="276" w:lineRule="auto"/>
        <w:ind w:firstLine="0"/>
        <w:rPr>
          <w:rFonts w:ascii="Bookman Old Style" w:hAnsi="Bookman Old Style" w:cs="Arial"/>
        </w:rPr>
      </w:pPr>
      <w:r w:rsidRPr="00605EC8">
        <w:rPr>
          <w:rFonts w:ascii="Bookman Old Style" w:hAnsi="Bookman Old Style" w:cs="Arial"/>
        </w:rPr>
        <w:t xml:space="preserve">De manera que, </w:t>
      </w:r>
      <w:r w:rsidR="008A36B3" w:rsidRPr="00605EC8">
        <w:rPr>
          <w:rFonts w:ascii="Bookman Old Style" w:hAnsi="Bookman Old Style" w:cs="Arial"/>
        </w:rPr>
        <w:t xml:space="preserve">con independencia de las circunstancias de la terminación del contrato de trabajo, </w:t>
      </w:r>
      <w:r w:rsidR="00515DE9" w:rsidRPr="00605EC8">
        <w:rPr>
          <w:rFonts w:ascii="Bookman Old Style" w:hAnsi="Bookman Old Style" w:cs="Arial"/>
        </w:rPr>
        <w:t xml:space="preserve">en este asunto </w:t>
      </w:r>
      <w:r w:rsidRPr="00605EC8">
        <w:rPr>
          <w:rFonts w:ascii="Bookman Old Style" w:hAnsi="Bookman Old Style" w:cs="Arial"/>
        </w:rPr>
        <w:t>no había lugar de declararse, como lo pretende la parte actora, que el contrato estaba vigente a la fecha de presentación de la demanda y hacía el futuro, en razón de lo previsto en el parágrafo 1º del artículo 29 de la Ley 789 de 2002, en atención a que en cuanto a la interpretación de dicha norma, la Corte ha insistido, que no contiene una ineficacia propiamente dicha, tal y como indicó en líneas precedentes.</w:t>
      </w:r>
      <w:r w:rsidR="00EE1B01" w:rsidRPr="00605EC8">
        <w:rPr>
          <w:rFonts w:ascii="Bookman Old Style" w:hAnsi="Bookman Old Style" w:cs="Arial"/>
        </w:rPr>
        <w:t xml:space="preserve"> De manera que, </w:t>
      </w:r>
      <w:r w:rsidR="00995EE3" w:rsidRPr="00605EC8">
        <w:rPr>
          <w:rFonts w:ascii="Bookman Old Style" w:hAnsi="Bookman Old Style" w:cs="Arial"/>
        </w:rPr>
        <w:t xml:space="preserve">atendiendo la verdadera consecuencia del parágrafo 1 del artículo 65 del CST, según la jurisprudencia </w:t>
      </w:r>
      <w:r w:rsidR="00EE1B01" w:rsidRPr="00605EC8">
        <w:rPr>
          <w:rFonts w:ascii="Bookman Old Style" w:hAnsi="Bookman Old Style" w:cs="Arial"/>
        </w:rPr>
        <w:t xml:space="preserve">memorada, </w:t>
      </w:r>
      <w:r w:rsidR="008A36B3" w:rsidRPr="00605EC8">
        <w:rPr>
          <w:rFonts w:ascii="Bookman Old Style" w:hAnsi="Bookman Old Style" w:cs="Arial"/>
        </w:rPr>
        <w:t xml:space="preserve">sería </w:t>
      </w:r>
      <w:r w:rsidR="00995EE3" w:rsidRPr="00605EC8">
        <w:rPr>
          <w:rFonts w:ascii="Bookman Old Style" w:hAnsi="Bookman Old Style" w:cs="Arial"/>
        </w:rPr>
        <w:t xml:space="preserve">la obligación de pagar un día de salario por cada día de mora en el pago de los aportes previo análisis de la existencia o no de buena fe por parte del empleador, porque dicha norma no tiene como finalidad la protección del empleo sino la sostenibilidad del sistema de seguridad social. </w:t>
      </w:r>
    </w:p>
    <w:p w14:paraId="57EF669B" w14:textId="77777777" w:rsidR="00995EE3" w:rsidRPr="00605EC8" w:rsidRDefault="00995EE3" w:rsidP="00605EC8">
      <w:pPr>
        <w:spacing w:line="276" w:lineRule="auto"/>
        <w:ind w:firstLine="0"/>
        <w:rPr>
          <w:rFonts w:ascii="Bookman Old Style" w:hAnsi="Bookman Old Style" w:cs="Arial"/>
        </w:rPr>
      </w:pPr>
    </w:p>
    <w:p w14:paraId="27FD99B7" w14:textId="77777777" w:rsidR="00EE1B01" w:rsidRPr="00605EC8" w:rsidRDefault="00995EE3" w:rsidP="00605EC8">
      <w:pPr>
        <w:spacing w:line="276" w:lineRule="auto"/>
        <w:ind w:firstLine="0"/>
        <w:rPr>
          <w:rFonts w:ascii="Bookman Old Style" w:hAnsi="Bookman Old Style" w:cs="Estrangelo Edessa"/>
          <w:bCs/>
          <w:iCs/>
        </w:rPr>
      </w:pPr>
      <w:r w:rsidRPr="00605EC8">
        <w:rPr>
          <w:rFonts w:ascii="Bookman Old Style" w:hAnsi="Bookman Old Style" w:cs="Estrangelo Edessa"/>
          <w:bCs/>
          <w:i/>
        </w:rPr>
        <w:t xml:space="preserve">En tal sentido, </w:t>
      </w:r>
      <w:r w:rsidR="0089144E" w:rsidRPr="00605EC8">
        <w:rPr>
          <w:rFonts w:ascii="Bookman Old Style" w:hAnsi="Bookman Old Style" w:cs="Estrangelo Edessa"/>
          <w:bCs/>
          <w:i/>
        </w:rPr>
        <w:t xml:space="preserve">aunque </w:t>
      </w:r>
      <w:r w:rsidRPr="00605EC8">
        <w:rPr>
          <w:rFonts w:ascii="Bookman Old Style" w:hAnsi="Bookman Old Style" w:cs="Estrangelo Edessa"/>
          <w:bCs/>
          <w:i/>
        </w:rPr>
        <w:t xml:space="preserve">en este caso no se avizora ninguna razón atendible que justifique el incumplimiento, por tanto, la buena fe </w:t>
      </w:r>
      <w:r w:rsidR="0089144E" w:rsidRPr="00605EC8">
        <w:rPr>
          <w:rFonts w:ascii="Bookman Old Style" w:hAnsi="Bookman Old Style" w:cs="Estrangelo Edessa"/>
          <w:bCs/>
          <w:i/>
        </w:rPr>
        <w:t xml:space="preserve">en realidad </w:t>
      </w:r>
      <w:r w:rsidRPr="00605EC8">
        <w:rPr>
          <w:rFonts w:ascii="Bookman Old Style" w:hAnsi="Bookman Old Style" w:cs="Estrangelo Edessa"/>
          <w:bCs/>
          <w:i/>
        </w:rPr>
        <w:t xml:space="preserve">no </w:t>
      </w:r>
      <w:r w:rsidR="0089144E" w:rsidRPr="00605EC8">
        <w:rPr>
          <w:rFonts w:ascii="Bookman Old Style" w:hAnsi="Bookman Old Style" w:cs="Estrangelo Edessa"/>
          <w:bCs/>
          <w:i/>
        </w:rPr>
        <w:t xml:space="preserve">está </w:t>
      </w:r>
      <w:r w:rsidRPr="00605EC8">
        <w:rPr>
          <w:rFonts w:ascii="Bookman Old Style" w:hAnsi="Bookman Old Style" w:cs="Estrangelo Edessa"/>
          <w:bCs/>
          <w:i/>
        </w:rPr>
        <w:t>acreditada</w:t>
      </w:r>
      <w:r w:rsidR="00EE1B01" w:rsidRPr="00605EC8">
        <w:rPr>
          <w:rFonts w:ascii="Bookman Old Style" w:hAnsi="Bookman Old Style" w:cs="Estrangelo Edessa"/>
          <w:bCs/>
          <w:i/>
        </w:rPr>
        <w:t xml:space="preserve"> como lo sostuvo la a quo</w:t>
      </w:r>
      <w:r w:rsidR="0089144E" w:rsidRPr="00605EC8">
        <w:rPr>
          <w:rFonts w:ascii="Bookman Old Style" w:hAnsi="Bookman Old Style" w:cs="Estrangelo Edessa"/>
          <w:bCs/>
          <w:i/>
        </w:rPr>
        <w:t xml:space="preserve">, </w:t>
      </w:r>
      <w:r w:rsidR="0089144E" w:rsidRPr="00605EC8">
        <w:rPr>
          <w:rFonts w:ascii="Bookman Old Style" w:hAnsi="Bookman Old Style" w:cs="Estrangelo Edessa"/>
          <w:bCs/>
          <w:iCs/>
        </w:rPr>
        <w:t xml:space="preserve">para el asunto bajo estudio, </w:t>
      </w:r>
      <w:r w:rsidR="00EE1B01" w:rsidRPr="00605EC8">
        <w:rPr>
          <w:rFonts w:ascii="Bookman Old Style" w:hAnsi="Bookman Old Style" w:cs="Estrangelo Edessa"/>
          <w:bCs/>
          <w:iCs/>
        </w:rPr>
        <w:t>del incumplimiento devenía la sanción moratoria</w:t>
      </w:r>
      <w:r w:rsidRPr="00605EC8">
        <w:rPr>
          <w:rFonts w:ascii="Bookman Old Style" w:hAnsi="Bookman Old Style" w:cs="Estrangelo Edessa"/>
          <w:bCs/>
          <w:iCs/>
        </w:rPr>
        <w:t>, como quiera que el empleador no demostró el pago completo de los aportes</w:t>
      </w:r>
      <w:r w:rsidR="00EE1B01" w:rsidRPr="00605EC8">
        <w:rPr>
          <w:rFonts w:ascii="Bookman Old Style" w:hAnsi="Bookman Old Style" w:cs="Estrangelo Edessa"/>
          <w:bCs/>
          <w:iCs/>
        </w:rPr>
        <w:t>. No obstante</w:t>
      </w:r>
      <w:r w:rsidR="0089144E" w:rsidRPr="00605EC8">
        <w:rPr>
          <w:rFonts w:ascii="Bookman Old Style" w:hAnsi="Bookman Old Style" w:cs="Estrangelo Edessa"/>
          <w:bCs/>
          <w:iCs/>
        </w:rPr>
        <w:t xml:space="preserve">, </w:t>
      </w:r>
      <w:r w:rsidR="00EE1B01" w:rsidRPr="00605EC8">
        <w:rPr>
          <w:rFonts w:ascii="Bookman Old Style" w:hAnsi="Bookman Old Style" w:cs="Estrangelo Edessa"/>
          <w:bCs/>
          <w:iCs/>
        </w:rPr>
        <w:t xml:space="preserve">a pesar de tal </w:t>
      </w:r>
      <w:r w:rsidRPr="00605EC8">
        <w:rPr>
          <w:rFonts w:ascii="Bookman Old Style" w:hAnsi="Bookman Old Style" w:cs="Estrangelo Edessa"/>
          <w:bCs/>
          <w:iCs/>
        </w:rPr>
        <w:t xml:space="preserve">circunstancia, </w:t>
      </w:r>
      <w:r w:rsidR="00EE1B01" w:rsidRPr="00605EC8">
        <w:rPr>
          <w:rFonts w:ascii="Bookman Old Style" w:hAnsi="Bookman Old Style" w:cs="Estrangelo Edessa"/>
          <w:bCs/>
          <w:iCs/>
        </w:rPr>
        <w:t xml:space="preserve">debe decirse que </w:t>
      </w:r>
      <w:r w:rsidR="0089144E" w:rsidRPr="00605EC8">
        <w:rPr>
          <w:rFonts w:ascii="Bookman Old Style" w:hAnsi="Bookman Old Style" w:cs="Estrangelo Edessa"/>
          <w:bCs/>
          <w:iCs/>
        </w:rPr>
        <w:t>tampoco había lugar a imponer condena</w:t>
      </w:r>
      <w:r w:rsidR="00EE1B01" w:rsidRPr="00605EC8">
        <w:rPr>
          <w:rFonts w:ascii="Bookman Old Style" w:hAnsi="Bookman Old Style" w:cs="Estrangelo Edessa"/>
          <w:bCs/>
          <w:iCs/>
        </w:rPr>
        <w:t xml:space="preserve"> alguna por dicho concepto</w:t>
      </w:r>
      <w:r w:rsidR="0089144E" w:rsidRPr="00605EC8">
        <w:rPr>
          <w:rFonts w:ascii="Bookman Old Style" w:hAnsi="Bookman Old Style" w:cs="Estrangelo Edessa"/>
          <w:bCs/>
          <w:iCs/>
        </w:rPr>
        <w:t xml:space="preserve">, pues </w:t>
      </w:r>
      <w:r w:rsidRPr="00605EC8">
        <w:rPr>
          <w:rFonts w:ascii="Bookman Old Style" w:hAnsi="Bookman Old Style" w:cs="Estrangelo Edessa"/>
          <w:bCs/>
          <w:iCs/>
        </w:rPr>
        <w:t xml:space="preserve">nótese que entre la fecha en la que la obligación se había hecho exigible – 6 de marzo de 2005 – y la fecha de presentación de la demanda – 12 de mayo de 2010 – ya había transcurrido más de los tres años previstos en el artículo 488 del Código Sustantivo del Trabajo, por lo que la prescripción </w:t>
      </w:r>
      <w:r w:rsidR="00EE1B01" w:rsidRPr="00605EC8">
        <w:rPr>
          <w:rFonts w:ascii="Bookman Old Style" w:hAnsi="Bookman Old Style" w:cs="Estrangelo Edessa"/>
          <w:bCs/>
          <w:iCs/>
        </w:rPr>
        <w:t xml:space="preserve">terminó afectando </w:t>
      </w:r>
      <w:r w:rsidRPr="00605EC8">
        <w:rPr>
          <w:rFonts w:ascii="Bookman Old Style" w:hAnsi="Bookman Old Style" w:cs="Estrangelo Edessa"/>
          <w:bCs/>
          <w:iCs/>
        </w:rPr>
        <w:t xml:space="preserve">dicha </w:t>
      </w:r>
      <w:r w:rsidR="00887B25" w:rsidRPr="00605EC8">
        <w:rPr>
          <w:rFonts w:ascii="Bookman Old Style" w:hAnsi="Bookman Old Style" w:cs="Estrangelo Edessa"/>
          <w:bCs/>
          <w:iCs/>
        </w:rPr>
        <w:t>indemnización</w:t>
      </w:r>
      <w:r w:rsidRPr="00605EC8">
        <w:rPr>
          <w:rFonts w:ascii="Bookman Old Style" w:hAnsi="Bookman Old Style" w:cs="Estrangelo Edessa"/>
          <w:bCs/>
          <w:iCs/>
        </w:rPr>
        <w:t xml:space="preserve">. </w:t>
      </w:r>
    </w:p>
    <w:p w14:paraId="34C448ED" w14:textId="77777777" w:rsidR="00EE1B01" w:rsidRPr="00605EC8" w:rsidRDefault="00EE1B01" w:rsidP="00605EC8">
      <w:pPr>
        <w:spacing w:line="276" w:lineRule="auto"/>
        <w:ind w:firstLine="0"/>
        <w:rPr>
          <w:rFonts w:ascii="Bookman Old Style" w:hAnsi="Bookman Old Style" w:cs="Estrangelo Edessa"/>
          <w:bCs/>
          <w:iCs/>
        </w:rPr>
      </w:pPr>
    </w:p>
    <w:p w14:paraId="72AC65AC" w14:textId="4D8206CB" w:rsidR="00995EE3" w:rsidRPr="00605EC8" w:rsidRDefault="00441B8B" w:rsidP="00605EC8">
      <w:pPr>
        <w:spacing w:line="276" w:lineRule="auto"/>
        <w:ind w:firstLine="0"/>
        <w:rPr>
          <w:rFonts w:ascii="Bookman Old Style" w:hAnsi="Bookman Old Style" w:cs="Estrangelo Edessa"/>
          <w:bCs/>
          <w:iCs/>
        </w:rPr>
      </w:pPr>
      <w:r w:rsidRPr="00605EC8">
        <w:rPr>
          <w:rFonts w:ascii="Bookman Old Style" w:hAnsi="Bookman Old Style" w:cs="Estrangelo Edessa"/>
          <w:bCs/>
          <w:iCs/>
        </w:rPr>
        <w:t>En este punto</w:t>
      </w:r>
      <w:r w:rsidR="00995EE3" w:rsidRPr="00605EC8">
        <w:rPr>
          <w:rFonts w:ascii="Bookman Old Style" w:hAnsi="Bookman Old Style" w:cs="Estrangelo Edessa"/>
          <w:bCs/>
          <w:iCs/>
        </w:rPr>
        <w:t>, huelga indicar que si bien es cierto que los derechos que genera</w:t>
      </w:r>
      <w:r w:rsidR="0089144E" w:rsidRPr="00605EC8">
        <w:rPr>
          <w:rFonts w:ascii="Bookman Old Style" w:hAnsi="Bookman Old Style" w:cs="Estrangelo Edessa"/>
          <w:bCs/>
          <w:iCs/>
        </w:rPr>
        <w:t xml:space="preserve">n </w:t>
      </w:r>
      <w:r w:rsidR="00995EE3" w:rsidRPr="00605EC8">
        <w:rPr>
          <w:rFonts w:ascii="Bookman Old Style" w:hAnsi="Bookman Old Style" w:cs="Estrangelo Edessa"/>
          <w:bCs/>
          <w:iCs/>
        </w:rPr>
        <w:t xml:space="preserve">la sanción – aportes a seguridad social - son imprescriptibles, dicha regla no se extiende a la indemnización moratoria por la sola consecuencia de la mora en el pago de </w:t>
      </w:r>
      <w:r w:rsidR="00887B25" w:rsidRPr="00605EC8">
        <w:rPr>
          <w:rFonts w:ascii="Bookman Old Style" w:hAnsi="Bookman Old Style" w:cs="Estrangelo Edessa"/>
          <w:bCs/>
          <w:iCs/>
        </w:rPr>
        <w:t xml:space="preserve">los aportes con incidencia pensional, por </w:t>
      </w:r>
      <w:r w:rsidR="00512862" w:rsidRPr="00605EC8">
        <w:rPr>
          <w:rFonts w:ascii="Bookman Old Style" w:hAnsi="Bookman Old Style" w:cs="Estrangelo Edessa"/>
          <w:bCs/>
          <w:iCs/>
        </w:rPr>
        <w:t>tanto,</w:t>
      </w:r>
      <w:r w:rsidR="00887B25" w:rsidRPr="00605EC8">
        <w:rPr>
          <w:rFonts w:ascii="Bookman Old Style" w:hAnsi="Bookman Old Style" w:cs="Estrangelo Edessa"/>
          <w:bCs/>
          <w:iCs/>
        </w:rPr>
        <w:t xml:space="preserve"> </w:t>
      </w:r>
      <w:r w:rsidR="0089144E" w:rsidRPr="00605EC8">
        <w:rPr>
          <w:rFonts w:ascii="Bookman Old Style" w:hAnsi="Bookman Old Style" w:cs="Estrangelo Edessa"/>
          <w:bCs/>
          <w:iCs/>
        </w:rPr>
        <w:t xml:space="preserve">bajo las </w:t>
      </w:r>
      <w:r w:rsidR="0089144E" w:rsidRPr="00605EC8">
        <w:rPr>
          <w:rFonts w:ascii="Bookman Old Style" w:hAnsi="Bookman Old Style" w:cs="Estrangelo Edessa"/>
          <w:bCs/>
          <w:iCs/>
        </w:rPr>
        <w:lastRenderedPageBreak/>
        <w:t xml:space="preserve">circunstancias planteadas, en este caso, </w:t>
      </w:r>
      <w:r w:rsidR="00887B25" w:rsidRPr="00605EC8">
        <w:rPr>
          <w:rFonts w:ascii="Bookman Old Style" w:hAnsi="Bookman Old Style" w:cs="Estrangelo Edessa"/>
          <w:bCs/>
          <w:iCs/>
        </w:rPr>
        <w:t xml:space="preserve">no había lugar a emitir condena por </w:t>
      </w:r>
      <w:r w:rsidR="002F365C" w:rsidRPr="00605EC8">
        <w:rPr>
          <w:rFonts w:ascii="Bookman Old Style" w:hAnsi="Bookman Old Style" w:cs="Estrangelo Edessa"/>
          <w:bCs/>
          <w:iCs/>
        </w:rPr>
        <w:t>indemnización</w:t>
      </w:r>
      <w:r w:rsidR="0089144E" w:rsidRPr="00605EC8">
        <w:rPr>
          <w:rFonts w:ascii="Bookman Old Style" w:hAnsi="Bookman Old Style" w:cs="Estrangelo Edessa"/>
          <w:bCs/>
          <w:iCs/>
        </w:rPr>
        <w:t xml:space="preserve"> moratoria </w:t>
      </w:r>
      <w:r w:rsidRPr="00605EC8">
        <w:rPr>
          <w:rFonts w:ascii="Bookman Old Style" w:hAnsi="Bookman Old Style" w:cs="Estrangelo Edessa"/>
          <w:bCs/>
          <w:iCs/>
        </w:rPr>
        <w:t xml:space="preserve">porque fue afectada por el paso del tiempo </w:t>
      </w:r>
      <w:r w:rsidR="0089144E" w:rsidRPr="00605EC8">
        <w:rPr>
          <w:rFonts w:ascii="Bookman Old Style" w:hAnsi="Bookman Old Style" w:cs="Estrangelo Edessa"/>
          <w:bCs/>
          <w:iCs/>
        </w:rPr>
        <w:t xml:space="preserve">y menos aún, </w:t>
      </w:r>
      <w:r w:rsidRPr="00605EC8">
        <w:rPr>
          <w:rFonts w:ascii="Bookman Old Style" w:hAnsi="Bookman Old Style" w:cs="Estrangelo Edessa"/>
          <w:bCs/>
          <w:iCs/>
        </w:rPr>
        <w:t xml:space="preserve">había lugar a </w:t>
      </w:r>
      <w:r w:rsidR="0089144E" w:rsidRPr="00605EC8">
        <w:rPr>
          <w:rFonts w:ascii="Bookman Old Style" w:hAnsi="Bookman Old Style" w:cs="Estrangelo Edessa"/>
          <w:bCs/>
          <w:iCs/>
        </w:rPr>
        <w:t>disponer el restablecimiento del empleo como se pretendió por la parte actora</w:t>
      </w:r>
      <w:r w:rsidRPr="00605EC8">
        <w:rPr>
          <w:rFonts w:ascii="Bookman Old Style" w:hAnsi="Bookman Old Style" w:cs="Estrangelo Edessa"/>
          <w:bCs/>
          <w:iCs/>
        </w:rPr>
        <w:t>, por las razones explicadas en palabras de la Corte.</w:t>
      </w:r>
    </w:p>
    <w:p w14:paraId="4C9A10C4" w14:textId="77777777" w:rsidR="00441B8B" w:rsidRPr="00605EC8" w:rsidRDefault="00441B8B" w:rsidP="00605EC8">
      <w:pPr>
        <w:spacing w:line="276" w:lineRule="auto"/>
        <w:ind w:firstLine="0"/>
        <w:rPr>
          <w:rFonts w:ascii="Bookman Old Style" w:hAnsi="Bookman Old Style" w:cs="Estrangelo Edessa"/>
          <w:bCs/>
          <w:iCs/>
        </w:rPr>
      </w:pPr>
    </w:p>
    <w:p w14:paraId="3ADA1A37" w14:textId="79F2B8C7" w:rsidR="00A2294F" w:rsidRPr="00605EC8" w:rsidRDefault="002F365C" w:rsidP="00605EC8">
      <w:pPr>
        <w:spacing w:line="276" w:lineRule="auto"/>
        <w:ind w:firstLine="0"/>
        <w:rPr>
          <w:rFonts w:ascii="Bookman Old Style" w:hAnsi="Bookman Old Style" w:cs="Estrangelo Edessa"/>
          <w:bCs/>
          <w:iCs/>
        </w:rPr>
      </w:pPr>
      <w:r w:rsidRPr="00605EC8">
        <w:rPr>
          <w:rFonts w:ascii="Bookman Old Style" w:hAnsi="Bookman Old Style" w:cs="Estrangelo Edessa"/>
          <w:bCs/>
          <w:iCs/>
        </w:rPr>
        <w:t>Hasta lo aquí discurrido, el recurso incoado a instancia actora prosperaría parcialmente en cuanto a la modalidad contractual</w:t>
      </w:r>
      <w:r w:rsidR="00441B8B" w:rsidRPr="00605EC8">
        <w:rPr>
          <w:rFonts w:ascii="Bookman Old Style" w:hAnsi="Bookman Old Style" w:cs="Estrangelo Edessa"/>
          <w:bCs/>
          <w:iCs/>
        </w:rPr>
        <w:t xml:space="preserve"> y la argumentación que tuvo respecto de la desigualdad en la aplicación de la norma frente a la forma de terminación</w:t>
      </w:r>
      <w:r w:rsidRPr="00605EC8">
        <w:rPr>
          <w:rFonts w:ascii="Bookman Old Style" w:hAnsi="Bookman Old Style" w:cs="Estrangelo Edessa"/>
          <w:bCs/>
          <w:iCs/>
        </w:rPr>
        <w:t>, no así en lo</w:t>
      </w:r>
      <w:r w:rsidR="00441B8B" w:rsidRPr="00605EC8">
        <w:rPr>
          <w:rFonts w:ascii="Bookman Old Style" w:hAnsi="Bookman Old Style" w:cs="Estrangelo Edessa"/>
          <w:bCs/>
          <w:iCs/>
        </w:rPr>
        <w:t>s</w:t>
      </w:r>
      <w:r w:rsidRPr="00605EC8">
        <w:rPr>
          <w:rFonts w:ascii="Bookman Old Style" w:hAnsi="Bookman Old Style" w:cs="Estrangelo Edessa"/>
          <w:bCs/>
          <w:iCs/>
        </w:rPr>
        <w:t xml:space="preserve"> demás</w:t>
      </w:r>
      <w:r w:rsidR="00441B8B" w:rsidRPr="00605EC8">
        <w:rPr>
          <w:rFonts w:ascii="Bookman Old Style" w:hAnsi="Bookman Old Style" w:cs="Estrangelo Edessa"/>
          <w:bCs/>
          <w:iCs/>
        </w:rPr>
        <w:t xml:space="preserve"> aspectos</w:t>
      </w:r>
      <w:r w:rsidRPr="00605EC8">
        <w:rPr>
          <w:rFonts w:ascii="Bookman Old Style" w:hAnsi="Bookman Old Style" w:cs="Estrangelo Edessa"/>
          <w:bCs/>
          <w:iCs/>
        </w:rPr>
        <w:t xml:space="preserve">, </w:t>
      </w:r>
      <w:r w:rsidR="00441B8B" w:rsidRPr="00605EC8">
        <w:rPr>
          <w:rFonts w:ascii="Bookman Old Style" w:hAnsi="Bookman Old Style" w:cs="Estrangelo Edessa"/>
          <w:bCs/>
          <w:iCs/>
        </w:rPr>
        <w:t xml:space="preserve">razón por la cual se mantendrá la decisión de primer grado, </w:t>
      </w:r>
      <w:r w:rsidRPr="00605EC8">
        <w:rPr>
          <w:rFonts w:ascii="Bookman Old Style" w:hAnsi="Bookman Old Style" w:cs="Estrangelo Edessa"/>
          <w:bCs/>
          <w:iCs/>
        </w:rPr>
        <w:t xml:space="preserve">pero por razones </w:t>
      </w:r>
      <w:r w:rsidR="00441B8B" w:rsidRPr="00605EC8">
        <w:rPr>
          <w:rFonts w:ascii="Bookman Old Style" w:hAnsi="Bookman Old Style" w:cs="Estrangelo Edessa"/>
          <w:bCs/>
          <w:iCs/>
        </w:rPr>
        <w:t>diferentes</w:t>
      </w:r>
      <w:r w:rsidRPr="00605EC8">
        <w:rPr>
          <w:rFonts w:ascii="Bookman Old Style" w:hAnsi="Bookman Old Style" w:cs="Estrangelo Edessa"/>
          <w:bCs/>
          <w:iCs/>
        </w:rPr>
        <w:t>.</w:t>
      </w:r>
    </w:p>
    <w:p w14:paraId="5459B5B2" w14:textId="77777777" w:rsidR="00995EE3" w:rsidRPr="00605EC8" w:rsidRDefault="00995EE3" w:rsidP="00605EC8">
      <w:pPr>
        <w:spacing w:line="276" w:lineRule="auto"/>
        <w:ind w:firstLine="0"/>
        <w:rPr>
          <w:rFonts w:ascii="Bookman Old Style" w:hAnsi="Bookman Old Style" w:cs="Estrangelo Edessa"/>
          <w:bCs/>
          <w:iCs/>
        </w:rPr>
      </w:pPr>
    </w:p>
    <w:p w14:paraId="04A2FA5E" w14:textId="2920CF30" w:rsidR="008D17F8" w:rsidRPr="00605EC8" w:rsidRDefault="002F365C" w:rsidP="00605EC8">
      <w:pPr>
        <w:spacing w:line="276" w:lineRule="auto"/>
        <w:ind w:firstLine="0"/>
        <w:rPr>
          <w:rFonts w:ascii="Bookman Old Style" w:hAnsi="Bookman Old Style" w:cs="Arial"/>
        </w:rPr>
      </w:pPr>
      <w:r w:rsidRPr="00605EC8">
        <w:rPr>
          <w:rFonts w:ascii="Bookman Old Style" w:hAnsi="Bookman Old Style" w:cs="Arial"/>
          <w:b/>
          <w:bCs/>
          <w:u w:val="single"/>
        </w:rPr>
        <w:t>Del llamamiento en garantía</w:t>
      </w:r>
      <w:r w:rsidRPr="00605EC8">
        <w:rPr>
          <w:rFonts w:ascii="Bookman Old Style" w:hAnsi="Bookman Old Style" w:cs="Arial"/>
          <w:b/>
          <w:bCs/>
        </w:rPr>
        <w:t>.</w:t>
      </w:r>
      <w:r w:rsidRPr="00605EC8">
        <w:rPr>
          <w:rFonts w:ascii="Bookman Old Style" w:hAnsi="Bookman Old Style" w:cs="Arial"/>
        </w:rPr>
        <w:t xml:space="preserve"> </w:t>
      </w:r>
      <w:r w:rsidR="00006D5D" w:rsidRPr="00605EC8">
        <w:rPr>
          <w:rFonts w:ascii="Bookman Old Style" w:hAnsi="Bookman Old Style" w:cs="Arial"/>
        </w:rPr>
        <w:t xml:space="preserve">Como puede notarse, en este caso, no </w:t>
      </w:r>
      <w:r w:rsidR="008D17F8" w:rsidRPr="00605EC8">
        <w:rPr>
          <w:rFonts w:ascii="Bookman Old Style" w:hAnsi="Bookman Old Style" w:cs="Arial"/>
        </w:rPr>
        <w:t xml:space="preserve">fue objeto de recurso que </w:t>
      </w:r>
      <w:proofErr w:type="spellStart"/>
      <w:r w:rsidR="008D17F8" w:rsidRPr="00605EC8">
        <w:rPr>
          <w:rFonts w:ascii="Bookman Old Style" w:hAnsi="Bookman Old Style" w:cs="Arial"/>
        </w:rPr>
        <w:t>MEGABUS</w:t>
      </w:r>
      <w:proofErr w:type="spellEnd"/>
      <w:r w:rsidR="008D17F8" w:rsidRPr="00605EC8">
        <w:rPr>
          <w:rFonts w:ascii="Bookman Old Style" w:hAnsi="Bookman Old Style" w:cs="Arial"/>
        </w:rPr>
        <w:t xml:space="preserve"> S.A</w:t>
      </w:r>
      <w:r w:rsidR="00770392">
        <w:rPr>
          <w:rFonts w:ascii="Bookman Old Style" w:hAnsi="Bookman Old Style" w:cs="Arial"/>
        </w:rPr>
        <w:t>.</w:t>
      </w:r>
      <w:r w:rsidR="008D17F8" w:rsidRPr="00605EC8">
        <w:rPr>
          <w:rFonts w:ascii="Bookman Old Style" w:hAnsi="Bookman Old Style" w:cs="Arial"/>
        </w:rPr>
        <w:t xml:space="preserve">, en su condición de beneficiario del contrato de obra </w:t>
      </w:r>
      <w:proofErr w:type="spellStart"/>
      <w:r w:rsidR="008D17F8" w:rsidRPr="00605EC8">
        <w:rPr>
          <w:rFonts w:ascii="Bookman Old Style" w:hAnsi="Bookman Old Style" w:cs="Arial"/>
        </w:rPr>
        <w:t>N°</w:t>
      </w:r>
      <w:proofErr w:type="spellEnd"/>
      <w:r w:rsidR="008D17F8" w:rsidRPr="00605EC8">
        <w:rPr>
          <w:rFonts w:ascii="Bookman Old Style" w:hAnsi="Bookman Old Style" w:cs="Arial"/>
        </w:rPr>
        <w:t xml:space="preserve"> 02 de 2004, suscrito con el Consocio MEGAVIA 2004, es solidariamente responsable en el pago de las acreencias laborales a favor del impulsor de esta contienda. </w:t>
      </w:r>
    </w:p>
    <w:p w14:paraId="16911838" w14:textId="77777777" w:rsidR="008D17F8" w:rsidRPr="00605EC8" w:rsidRDefault="008D17F8" w:rsidP="00605EC8">
      <w:pPr>
        <w:spacing w:line="276" w:lineRule="auto"/>
        <w:ind w:firstLine="0"/>
        <w:rPr>
          <w:rFonts w:ascii="Bookman Old Style" w:hAnsi="Bookman Old Style" w:cs="Arial"/>
        </w:rPr>
      </w:pPr>
    </w:p>
    <w:p w14:paraId="6FE363B8" w14:textId="179645FF" w:rsidR="00A50E7C" w:rsidRPr="00605EC8" w:rsidRDefault="008D17F8" w:rsidP="00605EC8">
      <w:pPr>
        <w:spacing w:line="276" w:lineRule="auto"/>
        <w:ind w:firstLine="0"/>
        <w:rPr>
          <w:rFonts w:ascii="Bookman Old Style" w:eastAsia="Times New Roman" w:hAnsi="Bookman Old Style" w:cs="Arial"/>
          <w:lang w:eastAsia="es-CO"/>
        </w:rPr>
      </w:pPr>
      <w:r w:rsidRPr="00605EC8">
        <w:rPr>
          <w:rFonts w:ascii="Bookman Old Style" w:hAnsi="Bookman Old Style" w:cs="Arial"/>
        </w:rPr>
        <w:t xml:space="preserve">De otro lado, </w:t>
      </w:r>
      <w:r w:rsidR="00B652A2" w:rsidRPr="00605EC8">
        <w:rPr>
          <w:rFonts w:ascii="Bookman Old Style" w:hAnsi="Bookman Old Style" w:cs="Arial"/>
        </w:rPr>
        <w:t xml:space="preserve">en esta instancia </w:t>
      </w:r>
      <w:r w:rsidR="00006D5D" w:rsidRPr="00605EC8">
        <w:rPr>
          <w:rFonts w:ascii="Bookman Old Style" w:hAnsi="Bookman Old Style" w:cs="Arial"/>
        </w:rPr>
        <w:t xml:space="preserve">tampoco amerita discusión </w:t>
      </w:r>
      <w:r w:rsidR="00B652A2" w:rsidRPr="00605EC8">
        <w:rPr>
          <w:rFonts w:ascii="Bookman Old Style" w:hAnsi="Bookman Old Style" w:cs="Arial"/>
        </w:rPr>
        <w:t xml:space="preserve">que </w:t>
      </w:r>
      <w:r w:rsidRPr="00605EC8">
        <w:rPr>
          <w:rFonts w:ascii="Bookman Old Style" w:hAnsi="Bookman Old Style" w:cs="Arial"/>
        </w:rPr>
        <w:t xml:space="preserve">la llamada en garantía </w:t>
      </w:r>
      <w:r w:rsidR="00006D5D" w:rsidRPr="00605EC8">
        <w:rPr>
          <w:rFonts w:ascii="Bookman Old Style" w:hAnsi="Bookman Old Style" w:cs="Arial"/>
        </w:rPr>
        <w:t xml:space="preserve">Compañía Aseguradora </w:t>
      </w:r>
      <w:r w:rsidR="00770392" w:rsidRPr="00605EC8">
        <w:rPr>
          <w:rFonts w:ascii="Bookman Old Style" w:hAnsi="Bookman Old Style" w:cs="Arial"/>
        </w:rPr>
        <w:t xml:space="preserve">de </w:t>
      </w:r>
      <w:r w:rsidR="00006D5D" w:rsidRPr="00605EC8">
        <w:rPr>
          <w:rFonts w:ascii="Bookman Old Style" w:hAnsi="Bookman Old Style" w:cs="Arial"/>
        </w:rPr>
        <w:t xml:space="preserve">Fianzas </w:t>
      </w:r>
      <w:r w:rsidRPr="00605EC8">
        <w:rPr>
          <w:rFonts w:ascii="Bookman Old Style" w:hAnsi="Bookman Old Style" w:cs="Arial"/>
        </w:rPr>
        <w:t xml:space="preserve">S.A. </w:t>
      </w:r>
      <w:r w:rsidR="00006D5D" w:rsidRPr="00605EC8">
        <w:rPr>
          <w:rFonts w:ascii="Bookman Old Style" w:hAnsi="Bookman Old Style" w:cs="Arial"/>
        </w:rPr>
        <w:t xml:space="preserve">Confianza </w:t>
      </w:r>
      <w:r w:rsidR="00B652A2" w:rsidRPr="00605EC8">
        <w:rPr>
          <w:rFonts w:ascii="Bookman Old Style" w:hAnsi="Bookman Old Style" w:cs="Arial"/>
        </w:rPr>
        <w:t>es</w:t>
      </w:r>
      <w:r w:rsidR="00006D5D" w:rsidRPr="00605EC8">
        <w:rPr>
          <w:rFonts w:ascii="Bookman Old Style" w:hAnsi="Bookman Old Style" w:cs="Arial"/>
        </w:rPr>
        <w:t>tá</w:t>
      </w:r>
      <w:r w:rsidR="00B652A2" w:rsidRPr="00605EC8">
        <w:rPr>
          <w:rFonts w:ascii="Bookman Old Style" w:hAnsi="Bookman Old Style" w:cs="Arial"/>
        </w:rPr>
        <w:t xml:space="preserve"> llamada </w:t>
      </w:r>
      <w:r w:rsidRPr="00605EC8">
        <w:rPr>
          <w:rFonts w:ascii="Bookman Old Style" w:hAnsi="Bookman Old Style" w:cs="Arial"/>
        </w:rPr>
        <w:t xml:space="preserve">a responder frente a la beneficiaria </w:t>
      </w:r>
      <w:r w:rsidR="00B652A2" w:rsidRPr="00605EC8">
        <w:rPr>
          <w:rFonts w:ascii="Bookman Old Style" w:hAnsi="Bookman Old Style" w:cs="Arial"/>
        </w:rPr>
        <w:t xml:space="preserve">de la obra </w:t>
      </w:r>
      <w:proofErr w:type="spellStart"/>
      <w:r w:rsidRPr="00605EC8">
        <w:rPr>
          <w:rFonts w:ascii="Bookman Old Style" w:hAnsi="Bookman Old Style" w:cs="Arial"/>
        </w:rPr>
        <w:t>MEGABUS</w:t>
      </w:r>
      <w:proofErr w:type="spellEnd"/>
      <w:r w:rsidRPr="00605EC8">
        <w:rPr>
          <w:rFonts w:ascii="Bookman Old Style" w:hAnsi="Bookman Old Style" w:cs="Arial"/>
        </w:rPr>
        <w:t xml:space="preserve"> </w:t>
      </w:r>
      <w:proofErr w:type="spellStart"/>
      <w:r w:rsidRPr="00605EC8">
        <w:rPr>
          <w:rFonts w:ascii="Bookman Old Style" w:hAnsi="Bookman Old Style" w:cs="Arial"/>
        </w:rPr>
        <w:t>S</w:t>
      </w:r>
      <w:r w:rsidR="00006D5D" w:rsidRPr="00605EC8">
        <w:rPr>
          <w:rFonts w:ascii="Bookman Old Style" w:hAnsi="Bookman Old Style" w:cs="Arial"/>
        </w:rPr>
        <w:t>.</w:t>
      </w:r>
      <w:r w:rsidRPr="00605EC8">
        <w:rPr>
          <w:rFonts w:ascii="Bookman Old Style" w:hAnsi="Bookman Old Style" w:cs="Arial"/>
        </w:rPr>
        <w:t>A</w:t>
      </w:r>
      <w:proofErr w:type="spellEnd"/>
      <w:r w:rsidRPr="00605EC8">
        <w:rPr>
          <w:rFonts w:ascii="Bookman Old Style" w:hAnsi="Bookman Old Style" w:cs="Arial"/>
        </w:rPr>
        <w:t xml:space="preserve">, por </w:t>
      </w:r>
      <w:r w:rsidR="00B652A2" w:rsidRPr="00605EC8">
        <w:rPr>
          <w:rFonts w:ascii="Bookman Old Style" w:hAnsi="Bookman Old Style" w:cs="Arial"/>
        </w:rPr>
        <w:t>las acreencias labor</w:t>
      </w:r>
      <w:r w:rsidR="00A72D4F" w:rsidRPr="00605EC8">
        <w:rPr>
          <w:rFonts w:ascii="Bookman Old Style" w:hAnsi="Bookman Old Style" w:cs="Arial"/>
        </w:rPr>
        <w:t>ales</w:t>
      </w:r>
      <w:r w:rsidR="00B652A2" w:rsidRPr="00605EC8">
        <w:rPr>
          <w:rFonts w:ascii="Bookman Old Style" w:hAnsi="Bookman Old Style" w:cs="Arial"/>
        </w:rPr>
        <w:t xml:space="preserve"> </w:t>
      </w:r>
      <w:r w:rsidRPr="00605EC8">
        <w:rPr>
          <w:rFonts w:ascii="Bookman Old Style" w:hAnsi="Bookman Old Style" w:cs="Arial"/>
        </w:rPr>
        <w:t>hasta por los montos</w:t>
      </w:r>
      <w:r w:rsidR="00B652A2" w:rsidRPr="00605EC8">
        <w:rPr>
          <w:rFonts w:ascii="Bookman Old Style" w:hAnsi="Bookman Old Style" w:cs="Arial"/>
        </w:rPr>
        <w:t xml:space="preserve"> </w:t>
      </w:r>
      <w:r w:rsidRPr="00605EC8">
        <w:rPr>
          <w:rFonts w:ascii="Bookman Old Style" w:hAnsi="Bookman Old Style" w:cs="Arial"/>
        </w:rPr>
        <w:t xml:space="preserve">amparados </w:t>
      </w:r>
      <w:r w:rsidR="00006D5D" w:rsidRPr="00605EC8">
        <w:rPr>
          <w:rFonts w:ascii="Bookman Old Style" w:hAnsi="Bookman Old Style" w:cs="Arial"/>
        </w:rPr>
        <w:t xml:space="preserve">y conforme a las disposiciones de </w:t>
      </w:r>
      <w:r w:rsidRPr="00605EC8">
        <w:rPr>
          <w:rFonts w:ascii="Bookman Old Style" w:hAnsi="Bookman Old Style" w:cs="Arial"/>
        </w:rPr>
        <w:t>la póliza No.</w:t>
      </w:r>
      <w:r w:rsidR="00770392">
        <w:rPr>
          <w:rFonts w:ascii="Bookman Old Style" w:hAnsi="Bookman Old Style" w:cs="Arial"/>
        </w:rPr>
        <w:t xml:space="preserve"> </w:t>
      </w:r>
      <w:r w:rsidRPr="00605EC8">
        <w:rPr>
          <w:rFonts w:ascii="Bookman Old Style" w:hAnsi="Bookman Old Style" w:cs="Arial"/>
        </w:rPr>
        <w:t>16-</w:t>
      </w:r>
      <w:proofErr w:type="spellStart"/>
      <w:r w:rsidRPr="00605EC8">
        <w:rPr>
          <w:rFonts w:ascii="Bookman Old Style" w:hAnsi="Bookman Old Style" w:cs="Arial"/>
        </w:rPr>
        <w:t>GU</w:t>
      </w:r>
      <w:proofErr w:type="spellEnd"/>
      <w:r w:rsidRPr="00605EC8">
        <w:rPr>
          <w:rFonts w:ascii="Bookman Old Style" w:hAnsi="Bookman Old Style" w:cs="Arial"/>
        </w:rPr>
        <w:t>-001441 del 13 de agosto de 2004</w:t>
      </w:r>
      <w:r w:rsidR="00A50E7C" w:rsidRPr="00605EC8">
        <w:rPr>
          <w:rFonts w:ascii="Bookman Old Style" w:hAnsi="Bookman Old Style" w:cs="Arial"/>
        </w:rPr>
        <w:t>,</w:t>
      </w:r>
      <w:r w:rsidR="00A50E7C" w:rsidRPr="00605EC8">
        <w:rPr>
          <w:rFonts w:ascii="Bookman Old Style" w:eastAsia="Times New Roman" w:hAnsi="Bookman Old Style" w:cs="Arial"/>
          <w:lang w:eastAsia="es-CO"/>
        </w:rPr>
        <w:t xml:space="preserve"> cuyo tomador fue el </w:t>
      </w:r>
      <w:r w:rsidR="00A72D4F" w:rsidRPr="00605EC8">
        <w:rPr>
          <w:rFonts w:ascii="Bookman Old Style" w:eastAsia="Times New Roman" w:hAnsi="Bookman Old Style" w:cs="Arial"/>
          <w:lang w:eastAsia="es-CO"/>
        </w:rPr>
        <w:t xml:space="preserve">Consorcio Megavía </w:t>
      </w:r>
      <w:r w:rsidR="00A50E7C" w:rsidRPr="00605EC8">
        <w:rPr>
          <w:rFonts w:ascii="Bookman Old Style" w:eastAsia="Times New Roman" w:hAnsi="Bookman Old Style" w:cs="Arial"/>
          <w:lang w:eastAsia="es-CO"/>
        </w:rPr>
        <w:t xml:space="preserve">2004 a favor de </w:t>
      </w:r>
      <w:r w:rsidR="00A72D4F" w:rsidRPr="00605EC8">
        <w:rPr>
          <w:rFonts w:ascii="Bookman Old Style" w:eastAsia="Times New Roman" w:hAnsi="Bookman Old Style" w:cs="Arial"/>
          <w:lang w:eastAsia="es-CO"/>
        </w:rPr>
        <w:t xml:space="preserve">Megabùs </w:t>
      </w:r>
      <w:r w:rsidR="00A50E7C" w:rsidRPr="00605EC8">
        <w:rPr>
          <w:rFonts w:ascii="Bookman Old Style" w:eastAsia="Times New Roman" w:hAnsi="Bookman Old Style" w:cs="Arial"/>
          <w:lang w:eastAsia="es-CO"/>
        </w:rPr>
        <w:t>S.A. en virtud del citado contrato de obra pública No 02 del 12 de agosto de 2004, de la cual se desprende, que se constituyó para cubrir, entre otros conceptos, los pagos de los salarios y prestaciones sociales de los trabajadores contratados por los integrantes del consorcio.</w:t>
      </w:r>
    </w:p>
    <w:p w14:paraId="017573B9" w14:textId="77777777" w:rsidR="00A50E7C" w:rsidRPr="00605EC8" w:rsidRDefault="00A50E7C" w:rsidP="00605EC8">
      <w:pPr>
        <w:spacing w:line="276" w:lineRule="auto"/>
        <w:ind w:firstLine="0"/>
        <w:rPr>
          <w:rFonts w:ascii="Bookman Old Style" w:eastAsia="Times New Roman" w:hAnsi="Bookman Old Style" w:cs="Arial"/>
          <w:lang w:eastAsia="es-CO"/>
        </w:rPr>
      </w:pPr>
    </w:p>
    <w:p w14:paraId="11E526A6" w14:textId="6DB32E07" w:rsidR="00A50E7C" w:rsidRPr="00605EC8" w:rsidRDefault="00A50E7C" w:rsidP="00605EC8">
      <w:pPr>
        <w:spacing w:line="276" w:lineRule="auto"/>
        <w:ind w:firstLine="0"/>
        <w:rPr>
          <w:rFonts w:ascii="Bookman Old Style" w:eastAsia="Times New Roman" w:hAnsi="Bookman Old Style" w:cs="Arial"/>
          <w:lang w:eastAsia="es-CO"/>
        </w:rPr>
      </w:pPr>
      <w:r w:rsidRPr="00605EC8">
        <w:rPr>
          <w:rFonts w:ascii="Bookman Old Style" w:eastAsia="Times New Roman" w:hAnsi="Bookman Old Style" w:cs="Arial"/>
          <w:lang w:eastAsia="es-CO"/>
        </w:rPr>
        <w:t xml:space="preserve">Al observar la garantía única de seguros de cumplimiento en favor de entidades estatales </w:t>
      </w:r>
      <w:proofErr w:type="spellStart"/>
      <w:r w:rsidRPr="00605EC8">
        <w:rPr>
          <w:rFonts w:ascii="Bookman Old Style" w:eastAsia="Times New Roman" w:hAnsi="Bookman Old Style" w:cs="Arial"/>
          <w:lang w:eastAsia="es-CO"/>
        </w:rPr>
        <w:t>GU001441</w:t>
      </w:r>
      <w:proofErr w:type="spellEnd"/>
      <w:r w:rsidRPr="00605EC8">
        <w:rPr>
          <w:rFonts w:ascii="Bookman Old Style" w:eastAsia="Times New Roman" w:hAnsi="Bookman Old Style" w:cs="Arial"/>
          <w:lang w:eastAsia="es-CO"/>
        </w:rPr>
        <w:t xml:space="preserve"> expedida por la Compañía Aseguradora de Fianzas Confianza S.A., esta cubre las contingencias que susciten entre el 13-09-2004 y el 12-06-2008, respecto del pago de salarios, prestaciones sociales, indemnizaciones – </w:t>
      </w:r>
      <w:proofErr w:type="spellStart"/>
      <w:r w:rsidR="00907663" w:rsidRPr="00605EC8">
        <w:rPr>
          <w:rFonts w:ascii="Bookman Old Style" w:eastAsia="Times New Roman" w:hAnsi="Bookman Old Style" w:cs="Arial"/>
          <w:lang w:eastAsia="es-CO"/>
        </w:rPr>
        <w:t>fl</w:t>
      </w:r>
      <w:proofErr w:type="spellEnd"/>
      <w:r w:rsidRPr="00605EC8">
        <w:rPr>
          <w:rFonts w:ascii="Bookman Old Style" w:eastAsia="Times New Roman" w:hAnsi="Bookman Old Style" w:cs="Arial"/>
          <w:lang w:eastAsia="es-CO"/>
        </w:rPr>
        <w:t xml:space="preserve">. 6, </w:t>
      </w:r>
      <w:r w:rsidR="00907663" w:rsidRPr="00605EC8">
        <w:rPr>
          <w:rFonts w:ascii="Bookman Old Style" w:eastAsia="Times New Roman" w:hAnsi="Bookman Old Style" w:cs="Arial"/>
          <w:lang w:eastAsia="es-CO"/>
        </w:rPr>
        <w:t>archivo 61</w:t>
      </w:r>
      <w:r w:rsidRPr="00605EC8">
        <w:rPr>
          <w:rFonts w:ascii="Bookman Old Style" w:eastAsia="Times New Roman" w:hAnsi="Bookman Old Style" w:cs="Arial"/>
          <w:lang w:eastAsia="es-CO"/>
        </w:rPr>
        <w:t xml:space="preserve">–. </w:t>
      </w:r>
    </w:p>
    <w:p w14:paraId="1F0868C1" w14:textId="77777777" w:rsidR="00A50E7C" w:rsidRPr="00605EC8" w:rsidRDefault="00A50E7C" w:rsidP="00605EC8">
      <w:pPr>
        <w:spacing w:line="276" w:lineRule="auto"/>
        <w:ind w:firstLine="0"/>
        <w:rPr>
          <w:rFonts w:ascii="Bookman Old Style" w:eastAsia="Times New Roman" w:hAnsi="Bookman Old Style" w:cs="Arial"/>
          <w:lang w:eastAsia="es-CO"/>
        </w:rPr>
      </w:pPr>
    </w:p>
    <w:p w14:paraId="13D810DE" w14:textId="645299AA" w:rsidR="00477D65" w:rsidRPr="00605EC8" w:rsidRDefault="00A50E7C" w:rsidP="00605EC8">
      <w:pPr>
        <w:spacing w:line="276" w:lineRule="auto"/>
        <w:ind w:firstLine="0"/>
        <w:rPr>
          <w:rFonts w:ascii="Bookman Old Style" w:eastAsia="Times New Roman" w:hAnsi="Bookman Old Style" w:cs="Arial"/>
          <w:lang w:eastAsia="es-CO"/>
        </w:rPr>
      </w:pPr>
      <w:r w:rsidRPr="00605EC8">
        <w:rPr>
          <w:rFonts w:ascii="Bookman Old Style" w:eastAsia="Times New Roman" w:hAnsi="Bookman Old Style" w:cs="Arial"/>
          <w:lang w:eastAsia="es-CO"/>
        </w:rPr>
        <w:t>De su contenido, se desprende que el objeto de la garantía es “</w:t>
      </w:r>
      <w:r w:rsidRPr="00BC13A5">
        <w:rPr>
          <w:rFonts w:ascii="Bookman Old Style" w:eastAsia="Times New Roman" w:hAnsi="Bookman Old Style" w:cs="Arial"/>
          <w:sz w:val="22"/>
          <w:szCs w:val="22"/>
          <w:lang w:eastAsia="es-CO"/>
        </w:rPr>
        <w:t>amparar el pago de los perjuicios imputables al garantizado derivado del incumplimiento de las obligaciones surgidas durante la ejecución del contrato de obra pública No 02 del 12 de agosto de 2004</w:t>
      </w:r>
      <w:r w:rsidRPr="00605EC8">
        <w:rPr>
          <w:rFonts w:ascii="Bookman Old Style" w:eastAsia="Times New Roman" w:hAnsi="Bookman Old Style" w:cs="Arial"/>
          <w:lang w:eastAsia="es-CO"/>
        </w:rPr>
        <w:t>” y, refiere que la póliza se expide en consideración a las declaraciones hechas por el tomador en cualquier documento aportado para la expedición, los cuales forman parte integrante de la póliza</w:t>
      </w:r>
      <w:r w:rsidR="00477D65" w:rsidRPr="00605EC8">
        <w:rPr>
          <w:rFonts w:ascii="Bookman Old Style" w:eastAsia="Times New Roman" w:hAnsi="Bookman Old Style" w:cs="Arial"/>
          <w:lang w:eastAsia="es-CO"/>
        </w:rPr>
        <w:t xml:space="preserve"> – </w:t>
      </w:r>
      <w:proofErr w:type="spellStart"/>
      <w:r w:rsidR="00477D65" w:rsidRPr="00605EC8">
        <w:rPr>
          <w:rFonts w:ascii="Bookman Old Style" w:eastAsia="Times New Roman" w:hAnsi="Bookman Old Style" w:cs="Arial"/>
          <w:lang w:eastAsia="es-CO"/>
        </w:rPr>
        <w:t>fl</w:t>
      </w:r>
      <w:proofErr w:type="spellEnd"/>
      <w:r w:rsidR="00477D65" w:rsidRPr="00605EC8">
        <w:rPr>
          <w:rFonts w:ascii="Bookman Old Style" w:eastAsia="Times New Roman" w:hAnsi="Bookman Old Style" w:cs="Arial"/>
          <w:lang w:eastAsia="es-CO"/>
        </w:rPr>
        <w:t xml:space="preserve">. 8, archivo 61–. </w:t>
      </w:r>
    </w:p>
    <w:p w14:paraId="020D0F54" w14:textId="77777777" w:rsidR="00477D65" w:rsidRPr="00605EC8" w:rsidRDefault="00477D65" w:rsidP="00605EC8">
      <w:pPr>
        <w:pStyle w:val="Prrafodelista"/>
        <w:spacing w:line="276" w:lineRule="auto"/>
        <w:jc w:val="both"/>
        <w:rPr>
          <w:rFonts w:ascii="Bookman Old Style" w:eastAsia="Times New Roman" w:hAnsi="Bookman Old Style" w:cs="Arial"/>
          <w:lang w:eastAsia="es-CO"/>
        </w:rPr>
      </w:pPr>
    </w:p>
    <w:p w14:paraId="47850595" w14:textId="2A39A676" w:rsidR="00A50E7C" w:rsidRPr="00605EC8" w:rsidRDefault="00A50E7C" w:rsidP="00605EC8">
      <w:pPr>
        <w:spacing w:line="276" w:lineRule="auto"/>
        <w:ind w:firstLine="0"/>
        <w:rPr>
          <w:rFonts w:ascii="Bookman Old Style" w:eastAsia="Times New Roman" w:hAnsi="Bookman Old Style" w:cs="Arial"/>
          <w:lang w:eastAsia="es-CO"/>
        </w:rPr>
      </w:pPr>
      <w:r w:rsidRPr="00605EC8">
        <w:rPr>
          <w:rFonts w:ascii="Bookman Old Style" w:eastAsia="Times New Roman" w:hAnsi="Bookman Old Style" w:cs="Arial"/>
          <w:lang w:eastAsia="es-CO"/>
        </w:rPr>
        <w:t>En ese orden, al observar el contrato de obra pública, en su clausulado están:</w:t>
      </w:r>
    </w:p>
    <w:p w14:paraId="5533EF75" w14:textId="77777777" w:rsidR="00A50E7C" w:rsidRPr="00605EC8" w:rsidRDefault="00A50E7C" w:rsidP="00605EC8">
      <w:pPr>
        <w:pStyle w:val="Prrafodelista"/>
        <w:spacing w:line="276" w:lineRule="auto"/>
        <w:jc w:val="both"/>
        <w:rPr>
          <w:rFonts w:ascii="Bookman Old Style" w:eastAsia="Times New Roman" w:hAnsi="Bookman Old Style" w:cs="Arial"/>
          <w:lang w:eastAsia="es-CO"/>
        </w:rPr>
      </w:pPr>
    </w:p>
    <w:p w14:paraId="00B3B4B1" w14:textId="096D3A69" w:rsidR="00477D65" w:rsidRPr="004A79A5" w:rsidRDefault="00A50E7C" w:rsidP="004A79A5">
      <w:pPr>
        <w:spacing w:line="240" w:lineRule="auto"/>
        <w:ind w:left="426" w:right="420" w:firstLine="0"/>
        <w:rPr>
          <w:rFonts w:ascii="Bookman Old Style" w:hAnsi="Bookman Old Style" w:cs="Times New Roman"/>
          <w:spacing w:val="-10"/>
          <w:sz w:val="22"/>
          <w:szCs w:val="22"/>
        </w:rPr>
      </w:pPr>
      <w:r w:rsidRPr="004A79A5">
        <w:rPr>
          <w:rFonts w:ascii="Bookman Old Style" w:hAnsi="Bookman Old Style" w:cs="Times New Roman"/>
          <w:spacing w:val="-10"/>
          <w:sz w:val="22"/>
          <w:szCs w:val="22"/>
        </w:rPr>
        <w:t xml:space="preserve">“CLÁUSULA </w:t>
      </w:r>
      <w:r w:rsidR="004A79A5" w:rsidRPr="004A79A5">
        <w:rPr>
          <w:rFonts w:ascii="Bookman Old Style" w:hAnsi="Bookman Old Style" w:cs="Times New Roman"/>
          <w:spacing w:val="-10"/>
          <w:sz w:val="22"/>
          <w:szCs w:val="22"/>
        </w:rPr>
        <w:t>TRIGÉSIMA</w:t>
      </w:r>
      <w:r w:rsidRPr="004A79A5">
        <w:rPr>
          <w:rFonts w:ascii="Bookman Old Style" w:hAnsi="Bookman Old Style" w:cs="Times New Roman"/>
          <w:spacing w:val="-10"/>
          <w:sz w:val="22"/>
          <w:szCs w:val="22"/>
        </w:rPr>
        <w:t xml:space="preserve"> SÉPTIMA. Seguridad Social. EL CONTRATISTA debe afiliarse y afiliar a sus trabajadores a una </w:t>
      </w:r>
      <w:proofErr w:type="spellStart"/>
      <w:r w:rsidRPr="004A79A5">
        <w:rPr>
          <w:rFonts w:ascii="Bookman Old Style" w:hAnsi="Bookman Old Style" w:cs="Times New Roman"/>
          <w:spacing w:val="-10"/>
          <w:sz w:val="22"/>
          <w:szCs w:val="22"/>
        </w:rPr>
        <w:t>A.R.P</w:t>
      </w:r>
      <w:proofErr w:type="spellEnd"/>
      <w:r w:rsidRPr="004A79A5">
        <w:rPr>
          <w:rFonts w:ascii="Bookman Old Style" w:hAnsi="Bookman Old Style" w:cs="Times New Roman"/>
          <w:spacing w:val="-10"/>
          <w:sz w:val="22"/>
          <w:szCs w:val="22"/>
        </w:rPr>
        <w:t xml:space="preserve">., a una Entidad Promotora de Salud, una Administradora de Riesgos Profesionales y una Administradora de Fondos de </w:t>
      </w:r>
      <w:r w:rsidRPr="004A79A5">
        <w:rPr>
          <w:rFonts w:ascii="Bookman Old Style" w:hAnsi="Bookman Old Style" w:cs="Times New Roman"/>
          <w:spacing w:val="-10"/>
          <w:sz w:val="22"/>
          <w:szCs w:val="22"/>
        </w:rPr>
        <w:lastRenderedPageBreak/>
        <w:t>Pensiones, según lo ordenado en el Artículo 161 y el Artículo 282 de la Ley 100 de 1993, previo requisito para la iniciación del contrato</w:t>
      </w:r>
      <w:r w:rsidR="00477D65" w:rsidRPr="004A79A5">
        <w:rPr>
          <w:rFonts w:ascii="Bookman Old Style" w:hAnsi="Bookman Old Style" w:cs="Times New Roman"/>
          <w:spacing w:val="-10"/>
          <w:sz w:val="22"/>
          <w:szCs w:val="22"/>
        </w:rPr>
        <w:t xml:space="preserve"> – </w:t>
      </w:r>
      <w:proofErr w:type="spellStart"/>
      <w:r w:rsidR="00477D65" w:rsidRPr="004A79A5">
        <w:rPr>
          <w:rFonts w:ascii="Bookman Old Style" w:hAnsi="Bookman Old Style" w:cs="Times New Roman"/>
          <w:spacing w:val="-10"/>
          <w:sz w:val="22"/>
          <w:szCs w:val="22"/>
        </w:rPr>
        <w:t>fl</w:t>
      </w:r>
      <w:proofErr w:type="spellEnd"/>
      <w:r w:rsidR="00477D65" w:rsidRPr="004A79A5">
        <w:rPr>
          <w:rFonts w:ascii="Bookman Old Style" w:hAnsi="Bookman Old Style" w:cs="Times New Roman"/>
          <w:spacing w:val="-10"/>
          <w:sz w:val="22"/>
          <w:szCs w:val="22"/>
        </w:rPr>
        <w:t xml:space="preserve">. 42, archivo 60–. </w:t>
      </w:r>
    </w:p>
    <w:p w14:paraId="06FD363B" w14:textId="77777777" w:rsidR="00A50E7C" w:rsidRPr="004A79A5" w:rsidRDefault="00A50E7C" w:rsidP="004A79A5">
      <w:pPr>
        <w:spacing w:line="240" w:lineRule="auto"/>
        <w:ind w:left="426" w:right="420" w:firstLine="0"/>
        <w:rPr>
          <w:rFonts w:ascii="Bookman Old Style" w:hAnsi="Bookman Old Style" w:cs="Times New Roman"/>
          <w:spacing w:val="-10"/>
          <w:sz w:val="22"/>
          <w:szCs w:val="22"/>
        </w:rPr>
      </w:pPr>
    </w:p>
    <w:p w14:paraId="3B161C79" w14:textId="7D09081F" w:rsidR="00A50E7C" w:rsidRPr="004A79A5" w:rsidRDefault="00477D65" w:rsidP="004A79A5">
      <w:pPr>
        <w:spacing w:line="240" w:lineRule="auto"/>
        <w:ind w:left="426" w:right="420" w:firstLine="0"/>
        <w:rPr>
          <w:rFonts w:ascii="Bookman Old Style" w:hAnsi="Bookman Old Style" w:cs="Times New Roman"/>
          <w:spacing w:val="-10"/>
          <w:sz w:val="22"/>
          <w:szCs w:val="22"/>
        </w:rPr>
      </w:pPr>
      <w:r w:rsidRPr="004A79A5">
        <w:rPr>
          <w:rFonts w:ascii="Bookman Old Style" w:hAnsi="Bookman Old Style" w:cs="Times New Roman"/>
          <w:spacing w:val="-10"/>
          <w:sz w:val="22"/>
          <w:szCs w:val="22"/>
        </w:rPr>
        <w:t>“</w:t>
      </w:r>
      <w:r w:rsidR="00A50E7C" w:rsidRPr="004A79A5">
        <w:rPr>
          <w:rFonts w:ascii="Bookman Old Style" w:hAnsi="Bookman Old Style" w:cs="Times New Roman"/>
          <w:spacing w:val="-10"/>
          <w:sz w:val="22"/>
          <w:szCs w:val="22"/>
        </w:rPr>
        <w:t xml:space="preserve">CLÁUSULA </w:t>
      </w:r>
      <w:r w:rsidR="004A79A5" w:rsidRPr="004A79A5">
        <w:rPr>
          <w:rFonts w:ascii="Bookman Old Style" w:hAnsi="Bookman Old Style" w:cs="Times New Roman"/>
          <w:spacing w:val="-10"/>
          <w:sz w:val="22"/>
          <w:szCs w:val="22"/>
        </w:rPr>
        <w:t>VIGÉSIMA</w:t>
      </w:r>
      <w:r w:rsidR="00A50E7C" w:rsidRPr="004A79A5">
        <w:rPr>
          <w:rFonts w:ascii="Bookman Old Style" w:hAnsi="Bookman Old Style" w:cs="Times New Roman"/>
          <w:spacing w:val="-10"/>
          <w:sz w:val="22"/>
          <w:szCs w:val="22"/>
        </w:rPr>
        <w:t xml:space="preserve"> SEGUNDA. Garantías: Para garantizar el fiel cumplimiento de las obligaciones contractuales que atañen al CONTRATISTA, éste se obliga a constituir en favor del CONTRATANTE garantía única del cumplimiento de las obligaciones en los siguientes términos, la cual se mantendrá vigente durante su vida y liquidación y se ajustará a los límites, existencia y extensión del riesgo amparado. La garantía consistirá en póliza expedida por Compañía de Seguros legalmente establecida en Colombia y amparará: ¨…” c) Pago de salarios, prestaciones sociales e indemnizaciones: Para garantizar el </w:t>
      </w:r>
      <w:r w:rsidR="00A50E7C" w:rsidRPr="004A79A5">
        <w:rPr>
          <w:rFonts w:ascii="Bookman Old Style" w:hAnsi="Bookman Old Style" w:cs="Times New Roman"/>
          <w:b/>
          <w:bCs/>
          <w:spacing w:val="-10"/>
          <w:sz w:val="22"/>
          <w:szCs w:val="22"/>
        </w:rPr>
        <w:t xml:space="preserve">cumplimiento de las obligaciones referentes a salarios, prestaciones sociales y </w:t>
      </w:r>
      <w:r w:rsidR="00A50E7C" w:rsidRPr="004A79A5">
        <w:rPr>
          <w:rFonts w:ascii="Bookman Old Style" w:hAnsi="Bookman Old Style" w:cs="Times New Roman"/>
          <w:b/>
          <w:bCs/>
          <w:spacing w:val="-10"/>
          <w:sz w:val="22"/>
          <w:szCs w:val="22"/>
          <w:u w:val="single"/>
        </w:rPr>
        <w:t>demás obligaciones laborales con sus trabajadores</w:t>
      </w:r>
      <w:r w:rsidR="00A50E7C" w:rsidRPr="004A79A5">
        <w:rPr>
          <w:rFonts w:ascii="Bookman Old Style" w:hAnsi="Bookman Old Style" w:cs="Times New Roman"/>
          <w:spacing w:val="-10"/>
          <w:sz w:val="22"/>
          <w:szCs w:val="22"/>
        </w:rPr>
        <w:t>, EL CONTRATISTA, deberá constituir una fianza equivalente al diez por ciento (10%) del valor definitivo del presente contrato, con una vigencia igual a la del contrato y tres (3) años más”</w:t>
      </w:r>
      <w:r w:rsidR="00713EBA" w:rsidRPr="004A79A5">
        <w:rPr>
          <w:rFonts w:ascii="Bookman Old Style" w:hAnsi="Bookman Old Style" w:cs="Times New Roman"/>
          <w:spacing w:val="-10"/>
          <w:sz w:val="22"/>
          <w:szCs w:val="22"/>
        </w:rPr>
        <w:t xml:space="preserve"> – </w:t>
      </w:r>
      <w:proofErr w:type="spellStart"/>
      <w:r w:rsidR="00713EBA" w:rsidRPr="004A79A5">
        <w:rPr>
          <w:rFonts w:ascii="Bookman Old Style" w:hAnsi="Bookman Old Style" w:cs="Times New Roman"/>
          <w:spacing w:val="-10"/>
          <w:sz w:val="22"/>
          <w:szCs w:val="22"/>
        </w:rPr>
        <w:t>fl</w:t>
      </w:r>
      <w:proofErr w:type="spellEnd"/>
      <w:r w:rsidR="00713EBA" w:rsidRPr="004A79A5">
        <w:rPr>
          <w:rFonts w:ascii="Bookman Old Style" w:hAnsi="Bookman Old Style" w:cs="Times New Roman"/>
          <w:spacing w:val="-10"/>
          <w:sz w:val="22"/>
          <w:szCs w:val="22"/>
        </w:rPr>
        <w:t>. 32, archivo 60–.</w:t>
      </w:r>
    </w:p>
    <w:p w14:paraId="5A4F19C8" w14:textId="77777777" w:rsidR="00A50E7C" w:rsidRPr="00605EC8" w:rsidRDefault="00A50E7C" w:rsidP="00605EC8">
      <w:pPr>
        <w:pStyle w:val="Prrafodelista"/>
        <w:spacing w:line="276" w:lineRule="auto"/>
        <w:jc w:val="both"/>
        <w:rPr>
          <w:rFonts w:ascii="Bookman Old Style" w:eastAsia="Times New Roman" w:hAnsi="Bookman Old Style"/>
          <w:lang w:eastAsia="es-CO"/>
        </w:rPr>
      </w:pPr>
    </w:p>
    <w:p w14:paraId="279D06F8" w14:textId="3710B618" w:rsidR="00A50E7C" w:rsidRPr="00605EC8" w:rsidRDefault="00A50E7C" w:rsidP="00605EC8">
      <w:pPr>
        <w:spacing w:line="276" w:lineRule="auto"/>
        <w:ind w:firstLine="0"/>
        <w:rPr>
          <w:rFonts w:ascii="Bookman Old Style" w:eastAsia="Times New Roman" w:hAnsi="Bookman Old Style" w:cs="Arial"/>
          <w:lang w:eastAsia="es-CO"/>
        </w:rPr>
      </w:pPr>
      <w:r w:rsidRPr="00605EC8">
        <w:rPr>
          <w:rFonts w:ascii="Bookman Old Style" w:eastAsia="Times New Roman" w:hAnsi="Bookman Old Style" w:cs="Arial"/>
          <w:lang w:eastAsia="es-CO"/>
        </w:rPr>
        <w:t xml:space="preserve">Por lo anterior, y como quiera que el contrato de seguros ampara la obligación que de manera solidaria le ha sido impuesta a </w:t>
      </w:r>
      <w:proofErr w:type="spellStart"/>
      <w:r w:rsidRPr="00605EC8">
        <w:rPr>
          <w:rFonts w:ascii="Bookman Old Style" w:eastAsia="Times New Roman" w:hAnsi="Bookman Old Style" w:cs="Arial"/>
          <w:lang w:eastAsia="es-CO"/>
        </w:rPr>
        <w:t>Megabús</w:t>
      </w:r>
      <w:proofErr w:type="spellEnd"/>
      <w:r w:rsidRPr="00605EC8">
        <w:rPr>
          <w:rFonts w:ascii="Bookman Old Style" w:eastAsia="Times New Roman" w:hAnsi="Bookman Old Style" w:cs="Arial"/>
          <w:lang w:eastAsia="es-CO"/>
        </w:rPr>
        <w:t xml:space="preserve"> S.A., en esa dirección se debía ordenar a la Cía. Aseguradora de Fianza S.A. Confianza a que le reembolse </w:t>
      </w:r>
      <w:r w:rsidR="00F7600B" w:rsidRPr="00605EC8">
        <w:rPr>
          <w:rFonts w:ascii="Bookman Old Style" w:eastAsia="Times New Roman" w:hAnsi="Bookman Old Style" w:cs="Arial"/>
          <w:lang w:eastAsia="es-CO"/>
        </w:rPr>
        <w:t xml:space="preserve">a </w:t>
      </w:r>
      <w:proofErr w:type="spellStart"/>
      <w:r w:rsidR="00F7600B" w:rsidRPr="00605EC8">
        <w:rPr>
          <w:rFonts w:ascii="Bookman Old Style" w:eastAsia="Times New Roman" w:hAnsi="Bookman Old Style" w:cs="Arial"/>
          <w:lang w:eastAsia="es-CO"/>
        </w:rPr>
        <w:t>Megabús</w:t>
      </w:r>
      <w:proofErr w:type="spellEnd"/>
      <w:r w:rsidR="00F7600B" w:rsidRPr="00605EC8">
        <w:rPr>
          <w:rFonts w:ascii="Bookman Old Style" w:eastAsia="Times New Roman" w:hAnsi="Bookman Old Style" w:cs="Arial"/>
          <w:lang w:eastAsia="es-CO"/>
        </w:rPr>
        <w:t xml:space="preserve"> S.A. </w:t>
      </w:r>
      <w:r w:rsidRPr="00605EC8">
        <w:rPr>
          <w:rFonts w:ascii="Bookman Old Style" w:eastAsia="Times New Roman" w:hAnsi="Bookman Old Style" w:cs="Arial"/>
          <w:lang w:eastAsia="es-CO"/>
        </w:rPr>
        <w:t xml:space="preserve">los pagos que por efectos de la solidaridad declarada </w:t>
      </w:r>
      <w:r w:rsidRPr="00605EC8">
        <w:rPr>
          <w:rFonts w:ascii="Bookman Old Style" w:eastAsia="Times New Roman" w:hAnsi="Bookman Old Style"/>
          <w:lang w:eastAsia="es-CO"/>
        </w:rPr>
        <w:t>le</w:t>
      </w:r>
      <w:r w:rsidRPr="00605EC8">
        <w:rPr>
          <w:rFonts w:ascii="Bookman Old Style" w:eastAsia="Times New Roman" w:hAnsi="Bookman Old Style" w:cs="Arial"/>
          <w:lang w:eastAsia="es-CO"/>
        </w:rPr>
        <w:t xml:space="preserve"> corresponda hacer respecto de la condena proferida</w:t>
      </w:r>
      <w:r w:rsidR="00E61494" w:rsidRPr="00605EC8">
        <w:rPr>
          <w:rFonts w:ascii="Bookman Old Style" w:eastAsia="Times New Roman" w:hAnsi="Bookman Old Style" w:cs="Arial"/>
          <w:lang w:eastAsia="es-CO"/>
        </w:rPr>
        <w:t xml:space="preserve"> por concepto de </w:t>
      </w:r>
      <w:r w:rsidR="00F7600B" w:rsidRPr="00605EC8">
        <w:rPr>
          <w:rFonts w:ascii="Bookman Old Style" w:eastAsia="Times New Roman" w:hAnsi="Bookman Old Style" w:cs="Arial"/>
          <w:lang w:eastAsia="es-CO"/>
        </w:rPr>
        <w:t xml:space="preserve">pago de </w:t>
      </w:r>
      <w:r w:rsidR="00E61494" w:rsidRPr="00605EC8">
        <w:rPr>
          <w:rFonts w:ascii="Bookman Old Style" w:eastAsia="Times New Roman" w:hAnsi="Bookman Old Style" w:cs="Arial"/>
          <w:lang w:eastAsia="es-CO"/>
        </w:rPr>
        <w:t xml:space="preserve">aportes a seguridad social, </w:t>
      </w:r>
      <w:r w:rsidR="00F7600B" w:rsidRPr="00605EC8">
        <w:rPr>
          <w:rFonts w:ascii="Bookman Old Style" w:eastAsia="Times New Roman" w:hAnsi="Bookman Old Style" w:cs="Arial"/>
          <w:lang w:eastAsia="es-CO"/>
        </w:rPr>
        <w:t xml:space="preserve">según cálculo actuarial de los aportes con sus intereses que para el efecto haga el fondo de pensiones al que el trabajador se encontraba afiliado, </w:t>
      </w:r>
      <w:r w:rsidR="00E61494" w:rsidRPr="00605EC8">
        <w:rPr>
          <w:rFonts w:ascii="Bookman Old Style" w:eastAsia="Times New Roman" w:hAnsi="Bookman Old Style" w:cs="Arial"/>
          <w:lang w:eastAsia="es-CO"/>
        </w:rPr>
        <w:t>pues corresponde a una obligación laboral</w:t>
      </w:r>
      <w:r w:rsidRPr="00605EC8">
        <w:rPr>
          <w:rFonts w:ascii="Bookman Old Style" w:eastAsia="Times New Roman" w:hAnsi="Bookman Old Style" w:cs="Arial"/>
          <w:lang w:eastAsia="es-CO"/>
        </w:rPr>
        <w:t>, lo cual está sujeta al límite asegurado.</w:t>
      </w:r>
    </w:p>
    <w:p w14:paraId="26B9A44F" w14:textId="77777777" w:rsidR="00F7600B" w:rsidRPr="00605EC8" w:rsidRDefault="00F7600B" w:rsidP="00605EC8">
      <w:pPr>
        <w:spacing w:line="276" w:lineRule="auto"/>
        <w:ind w:firstLine="0"/>
        <w:rPr>
          <w:rFonts w:ascii="Bookman Old Style" w:eastAsia="Times New Roman" w:hAnsi="Bookman Old Style" w:cs="Arial"/>
          <w:lang w:eastAsia="es-CO"/>
        </w:rPr>
      </w:pPr>
    </w:p>
    <w:p w14:paraId="6EBBD78D" w14:textId="0B641099" w:rsidR="00F7600B" w:rsidRPr="00605EC8" w:rsidRDefault="000639A7" w:rsidP="00605EC8">
      <w:pPr>
        <w:spacing w:line="276" w:lineRule="auto"/>
        <w:ind w:firstLine="0"/>
        <w:rPr>
          <w:rFonts w:ascii="Bookman Old Style" w:eastAsia="Dotum" w:hAnsi="Bookman Old Style" w:cs="Arial"/>
          <w:bCs/>
          <w:lang w:eastAsia="es-ES"/>
        </w:rPr>
      </w:pPr>
      <w:r w:rsidRPr="00605EC8">
        <w:rPr>
          <w:rFonts w:ascii="Bookman Old Style" w:eastAsia="Dotum" w:hAnsi="Bookman Old Style" w:cs="Arial"/>
          <w:bCs/>
          <w:lang w:eastAsia="es-ES"/>
        </w:rPr>
        <w:t xml:space="preserve">Ahora, comoquiera que el ordinal cuarto de la sentencia ordena además </w:t>
      </w:r>
      <w:r w:rsidR="00BE11A4" w:rsidRPr="00605EC8">
        <w:rPr>
          <w:rFonts w:ascii="Bookman Old Style" w:eastAsia="Dotum" w:hAnsi="Bookman Old Style" w:cs="Arial"/>
          <w:bCs/>
          <w:lang w:eastAsia="es-ES"/>
        </w:rPr>
        <w:t xml:space="preserve">del cálculo actuarial con sus intereses, </w:t>
      </w:r>
      <w:r w:rsidRPr="00605EC8">
        <w:rPr>
          <w:rFonts w:ascii="Bookman Old Style" w:eastAsia="Dotum" w:hAnsi="Bookman Old Style" w:cs="Arial"/>
          <w:bCs/>
          <w:lang w:eastAsia="es-ES"/>
        </w:rPr>
        <w:t xml:space="preserve">el pago de rendimientos, </w:t>
      </w:r>
      <w:r w:rsidR="00BE11A4" w:rsidRPr="00605EC8">
        <w:rPr>
          <w:rFonts w:ascii="Bookman Old Style" w:eastAsia="Dotum" w:hAnsi="Bookman Old Style" w:cs="Arial"/>
          <w:bCs/>
          <w:lang w:eastAsia="es-ES"/>
        </w:rPr>
        <w:t xml:space="preserve">último que no se torna confuso, en tal sentido se modificara </w:t>
      </w:r>
      <w:r w:rsidRPr="00605EC8">
        <w:rPr>
          <w:rFonts w:ascii="Bookman Old Style" w:eastAsia="Dotum" w:hAnsi="Bookman Old Style" w:cs="Arial"/>
          <w:bCs/>
          <w:lang w:eastAsia="es-ES"/>
        </w:rPr>
        <w:t>la orden impartida</w:t>
      </w:r>
      <w:r w:rsidR="00BE11A4" w:rsidRPr="00605EC8">
        <w:rPr>
          <w:rFonts w:ascii="Bookman Old Style" w:eastAsia="Dotum" w:hAnsi="Bookman Old Style" w:cs="Arial"/>
          <w:bCs/>
          <w:lang w:eastAsia="es-ES"/>
        </w:rPr>
        <w:t xml:space="preserve"> en </w:t>
      </w:r>
      <w:r w:rsidRPr="00605EC8">
        <w:rPr>
          <w:rFonts w:ascii="Bookman Old Style" w:eastAsia="Dotum" w:hAnsi="Bookman Old Style" w:cs="Arial"/>
          <w:bCs/>
          <w:lang w:eastAsia="es-ES"/>
        </w:rPr>
        <w:t>dicho ordinal.</w:t>
      </w:r>
    </w:p>
    <w:p w14:paraId="4E210E7E" w14:textId="77777777" w:rsidR="00A50E7C" w:rsidRPr="00605EC8" w:rsidRDefault="00A50E7C" w:rsidP="00605EC8">
      <w:pPr>
        <w:pStyle w:val="Prrafodelista"/>
        <w:spacing w:line="276" w:lineRule="auto"/>
        <w:jc w:val="both"/>
        <w:rPr>
          <w:rFonts w:ascii="Bookman Old Style" w:eastAsia="Times New Roman" w:hAnsi="Bookman Old Style" w:cs="Arial"/>
          <w:lang w:eastAsia="es-CO"/>
        </w:rPr>
      </w:pPr>
    </w:p>
    <w:p w14:paraId="6535CCAA" w14:textId="77777777" w:rsidR="00A50E7C" w:rsidRPr="00605EC8" w:rsidRDefault="00A50E7C" w:rsidP="00605EC8">
      <w:pPr>
        <w:spacing w:line="276" w:lineRule="auto"/>
        <w:ind w:firstLine="0"/>
        <w:rPr>
          <w:rFonts w:ascii="Bookman Old Style" w:eastAsia="Times New Roman" w:hAnsi="Bookman Old Style" w:cs="Arial"/>
          <w:lang w:eastAsia="es-CO"/>
        </w:rPr>
      </w:pPr>
      <w:bookmarkStart w:id="2" w:name="_Hlk182740637"/>
      <w:r w:rsidRPr="00605EC8">
        <w:rPr>
          <w:rFonts w:ascii="Bookman Old Style" w:eastAsia="Times New Roman" w:hAnsi="Bookman Old Style" w:cs="Arial"/>
          <w:lang w:eastAsia="es-CO"/>
        </w:rPr>
        <w:t>En cuanto a la prescripción del contrato de seguros, el artículo 1081 del Código de Comercio establece que la prescripción ordinaria de las acciones que se derivan del contrato de seguro será de dos años y corre a partir del momento en que el interesado haya tenido o debido tener conocimiento del hecho que da base a la acción y la prescripción extraordinaria será de cinco años, contabilizados desde el momento en que nace el respectivo derecho.</w:t>
      </w:r>
    </w:p>
    <w:bookmarkEnd w:id="2"/>
    <w:p w14:paraId="5BF98E3E" w14:textId="77777777" w:rsidR="00A50E7C" w:rsidRPr="00605EC8" w:rsidRDefault="00A50E7C" w:rsidP="00605EC8">
      <w:pPr>
        <w:pStyle w:val="Prrafodelista"/>
        <w:spacing w:line="276" w:lineRule="auto"/>
        <w:jc w:val="both"/>
        <w:rPr>
          <w:rFonts w:ascii="Bookman Old Style" w:eastAsia="Times New Roman" w:hAnsi="Bookman Old Style" w:cs="Arial"/>
          <w:lang w:eastAsia="es-CO"/>
        </w:rPr>
      </w:pPr>
    </w:p>
    <w:p w14:paraId="0FD2BD5D" w14:textId="77777777" w:rsidR="00A50E7C" w:rsidRPr="00605EC8" w:rsidRDefault="00A50E7C" w:rsidP="00605EC8">
      <w:pPr>
        <w:spacing w:line="276" w:lineRule="auto"/>
        <w:ind w:firstLine="0"/>
        <w:rPr>
          <w:rFonts w:ascii="Bookman Old Style" w:eastAsia="Times New Roman" w:hAnsi="Bookman Old Style" w:cs="Arial"/>
          <w:lang w:eastAsia="es-CO"/>
        </w:rPr>
      </w:pPr>
      <w:r w:rsidRPr="00605EC8">
        <w:rPr>
          <w:rFonts w:ascii="Bookman Old Style" w:eastAsia="Times New Roman" w:hAnsi="Bookman Old Style" w:cs="Arial"/>
          <w:lang w:eastAsia="es-CO"/>
        </w:rPr>
        <w:t>Al respecto, en casos iguales al que nos ocupa, la Sala en Sentencia del 3 de junio de 2020, Rad. 66001-31-05-002-2010-0089-01 (</w:t>
      </w:r>
      <w:proofErr w:type="spellStart"/>
      <w:r w:rsidRPr="00605EC8">
        <w:rPr>
          <w:rFonts w:ascii="Bookman Old Style" w:eastAsia="Times New Roman" w:hAnsi="Bookman Old Style" w:cs="Arial"/>
          <w:lang w:eastAsia="es-CO"/>
        </w:rPr>
        <w:t>M.P</w:t>
      </w:r>
      <w:proofErr w:type="spellEnd"/>
      <w:r w:rsidRPr="00605EC8">
        <w:rPr>
          <w:rFonts w:ascii="Bookman Old Style" w:eastAsia="Times New Roman" w:hAnsi="Bookman Old Style" w:cs="Arial"/>
          <w:lang w:eastAsia="es-CO"/>
        </w:rPr>
        <w:t>. Dr. Julio César Salazar Muñoz), dijo:</w:t>
      </w:r>
    </w:p>
    <w:p w14:paraId="22B74E49" w14:textId="77777777" w:rsidR="00A50E7C" w:rsidRPr="00605EC8" w:rsidRDefault="00A50E7C" w:rsidP="00605EC8">
      <w:pPr>
        <w:spacing w:line="276" w:lineRule="auto"/>
        <w:ind w:firstLine="0"/>
        <w:rPr>
          <w:rFonts w:ascii="Bookman Old Style" w:eastAsia="Arial" w:hAnsi="Bookman Old Style" w:cs="Arial"/>
          <w:lang w:val="es-ES"/>
        </w:rPr>
      </w:pPr>
    </w:p>
    <w:p w14:paraId="6D431484" w14:textId="77777777" w:rsidR="00A50E7C" w:rsidRPr="004A79A5" w:rsidRDefault="00A50E7C" w:rsidP="004A79A5">
      <w:pPr>
        <w:spacing w:line="240" w:lineRule="auto"/>
        <w:ind w:left="426" w:right="420" w:firstLine="0"/>
        <w:rPr>
          <w:rFonts w:ascii="Bookman Old Style" w:hAnsi="Bookman Old Style" w:cs="Times New Roman"/>
          <w:spacing w:val="-10"/>
          <w:sz w:val="22"/>
          <w:szCs w:val="22"/>
        </w:rPr>
      </w:pPr>
      <w:r w:rsidRPr="004A79A5">
        <w:rPr>
          <w:rFonts w:ascii="Bookman Old Style" w:hAnsi="Bookman Old Style" w:cs="Times New Roman"/>
          <w:spacing w:val="-10"/>
          <w:sz w:val="22"/>
          <w:szCs w:val="22"/>
        </w:rPr>
        <w:t xml:space="preserve">“Respecto a la excepción de prescripción que pretende la Aseguradora que  se declare en torno al contrato de seguro, disiente la Sala del argumento consistente en que los dos años con los que contaba la beneficiaria del seguro para reclamar la garantía, deben ser contabilizados desde el momento en que </w:t>
      </w:r>
      <w:proofErr w:type="spellStart"/>
      <w:r w:rsidRPr="004A79A5">
        <w:rPr>
          <w:rFonts w:ascii="Bookman Old Style" w:hAnsi="Bookman Old Style" w:cs="Times New Roman"/>
          <w:spacing w:val="-10"/>
          <w:sz w:val="22"/>
          <w:szCs w:val="22"/>
        </w:rPr>
        <w:t>Megabus</w:t>
      </w:r>
      <w:proofErr w:type="spellEnd"/>
      <w:r w:rsidRPr="004A79A5">
        <w:rPr>
          <w:rFonts w:ascii="Bookman Old Style" w:hAnsi="Bookman Old Style" w:cs="Times New Roman"/>
          <w:spacing w:val="-10"/>
          <w:sz w:val="22"/>
          <w:szCs w:val="22"/>
        </w:rPr>
        <w:t xml:space="preserve"> S.A. conoció o debió conocer sobre el incumplimiento de las obligaciones laborales del citado Consorcio, esto es en abril de 2005, por cuanto recibió varias reclamaciones administrativas y citaciones ante el Inspector de trabajo y aun así no adelantó los trámite pertinentes para hacer efectivo el seguro.</w:t>
      </w:r>
    </w:p>
    <w:p w14:paraId="41770F87" w14:textId="77777777" w:rsidR="00A50E7C" w:rsidRPr="004A79A5" w:rsidRDefault="00A50E7C" w:rsidP="004A79A5">
      <w:pPr>
        <w:spacing w:line="240" w:lineRule="auto"/>
        <w:ind w:left="426" w:right="420" w:firstLine="0"/>
        <w:rPr>
          <w:rFonts w:ascii="Bookman Old Style" w:hAnsi="Bookman Old Style" w:cs="Times New Roman"/>
          <w:spacing w:val="-10"/>
          <w:sz w:val="22"/>
          <w:szCs w:val="22"/>
        </w:rPr>
      </w:pPr>
      <w:r w:rsidRPr="004A79A5">
        <w:rPr>
          <w:rFonts w:ascii="Bookman Old Style" w:hAnsi="Bookman Old Style" w:cs="Times New Roman"/>
          <w:spacing w:val="-10"/>
          <w:sz w:val="22"/>
          <w:szCs w:val="22"/>
        </w:rPr>
        <w:t xml:space="preserve"> </w:t>
      </w:r>
    </w:p>
    <w:p w14:paraId="0F9B8663" w14:textId="77777777" w:rsidR="00A50E7C" w:rsidRPr="004A79A5" w:rsidRDefault="00A50E7C" w:rsidP="004A79A5">
      <w:pPr>
        <w:spacing w:line="240" w:lineRule="auto"/>
        <w:ind w:left="426" w:right="420" w:firstLine="0"/>
        <w:rPr>
          <w:rFonts w:ascii="Bookman Old Style" w:hAnsi="Bookman Old Style" w:cs="Times New Roman"/>
          <w:spacing w:val="-10"/>
          <w:sz w:val="22"/>
          <w:szCs w:val="22"/>
        </w:rPr>
      </w:pPr>
      <w:r w:rsidRPr="004A79A5">
        <w:rPr>
          <w:rFonts w:ascii="Bookman Old Style" w:hAnsi="Bookman Old Style" w:cs="Times New Roman"/>
          <w:spacing w:val="-10"/>
          <w:sz w:val="22"/>
          <w:szCs w:val="22"/>
        </w:rPr>
        <w:t xml:space="preserve">En el sentir de la Sala, el error en el que incurre la Compañía Aseguradora radica en que no es el conocimiento de los hechos en que se fundamenta una eventual </w:t>
      </w:r>
      <w:r w:rsidRPr="004A79A5">
        <w:rPr>
          <w:rFonts w:ascii="Bookman Old Style" w:hAnsi="Bookman Old Style" w:cs="Times New Roman"/>
          <w:spacing w:val="-10"/>
          <w:sz w:val="22"/>
          <w:szCs w:val="22"/>
        </w:rPr>
        <w:lastRenderedPageBreak/>
        <w:t xml:space="preserve">demanda laboral el momento que marca el conteo del término de la prescripción ordinaria de que trata el artículo 1081 del Código de Comercio, sino que el lapso de dos años que señala la norma debe empezar a contabilizarse a partir de la fecha en que </w:t>
      </w:r>
      <w:proofErr w:type="spellStart"/>
      <w:r w:rsidRPr="004A79A5">
        <w:rPr>
          <w:rFonts w:ascii="Bookman Old Style" w:hAnsi="Bookman Old Style" w:cs="Times New Roman"/>
          <w:spacing w:val="-10"/>
          <w:sz w:val="22"/>
          <w:szCs w:val="22"/>
        </w:rPr>
        <w:t>Megabús</w:t>
      </w:r>
      <w:proofErr w:type="spellEnd"/>
      <w:r w:rsidRPr="004A79A5">
        <w:rPr>
          <w:rFonts w:ascii="Bookman Old Style" w:hAnsi="Bookman Old Style" w:cs="Times New Roman"/>
          <w:spacing w:val="-10"/>
          <w:sz w:val="22"/>
          <w:szCs w:val="22"/>
        </w:rPr>
        <w:t xml:space="preserve"> S.A. tuvo conocimiento de la iniciación de la acción laboral en su contra. Ello por cuanto sólo en esa data se concretó el riesgo asegurado, que según la póliza No 16 </w:t>
      </w:r>
      <w:proofErr w:type="spellStart"/>
      <w:r w:rsidRPr="004A79A5">
        <w:rPr>
          <w:rFonts w:ascii="Bookman Old Style" w:hAnsi="Bookman Old Style" w:cs="Times New Roman"/>
          <w:spacing w:val="-10"/>
          <w:sz w:val="22"/>
          <w:szCs w:val="22"/>
        </w:rPr>
        <w:t>GU001441</w:t>
      </w:r>
      <w:proofErr w:type="spellEnd"/>
      <w:r w:rsidRPr="004A79A5">
        <w:rPr>
          <w:rFonts w:ascii="Bookman Old Style" w:hAnsi="Bookman Old Style" w:cs="Times New Roman"/>
          <w:spacing w:val="-10"/>
          <w:sz w:val="22"/>
          <w:szCs w:val="22"/>
        </w:rPr>
        <w:t xml:space="preserve"> –, consiste en “EJECUCIÓN DE OBRA”, amparando “CUMPLIMIENTO DEL CONTRATO, ANTICIPO, PAGO SALARIOS, PRESTACIONES e INDEMNIZACIONES y ESTABILIDAD DE LA OBRA”. </w:t>
      </w:r>
    </w:p>
    <w:p w14:paraId="5C7F3D5C" w14:textId="77777777" w:rsidR="00A50E7C" w:rsidRPr="004A79A5" w:rsidRDefault="00A50E7C" w:rsidP="004A79A5">
      <w:pPr>
        <w:spacing w:line="240" w:lineRule="auto"/>
        <w:ind w:left="426" w:right="420" w:firstLine="0"/>
        <w:rPr>
          <w:rFonts w:ascii="Bookman Old Style" w:hAnsi="Bookman Old Style" w:cs="Times New Roman"/>
          <w:spacing w:val="-10"/>
          <w:sz w:val="22"/>
          <w:szCs w:val="22"/>
        </w:rPr>
      </w:pPr>
    </w:p>
    <w:p w14:paraId="1861D182" w14:textId="4BEEAD90" w:rsidR="00A50E7C" w:rsidRPr="00605EC8" w:rsidRDefault="00A50E7C" w:rsidP="004A79A5">
      <w:pPr>
        <w:spacing w:line="240" w:lineRule="auto"/>
        <w:ind w:left="426" w:right="420" w:firstLine="0"/>
        <w:rPr>
          <w:rFonts w:ascii="Bookman Old Style" w:eastAsia="Arial" w:hAnsi="Bookman Old Style" w:cs="Arial"/>
          <w:lang w:val="es-ES"/>
        </w:rPr>
      </w:pPr>
      <w:r w:rsidRPr="004A79A5">
        <w:rPr>
          <w:rFonts w:ascii="Bookman Old Style" w:hAnsi="Bookman Old Style" w:cs="Times New Roman"/>
          <w:spacing w:val="-10"/>
          <w:sz w:val="22"/>
          <w:szCs w:val="22"/>
        </w:rPr>
        <w:t xml:space="preserve">En suma, el derecho de </w:t>
      </w:r>
      <w:proofErr w:type="spellStart"/>
      <w:r w:rsidRPr="004A79A5">
        <w:rPr>
          <w:rFonts w:ascii="Bookman Old Style" w:hAnsi="Bookman Old Style" w:cs="Times New Roman"/>
          <w:spacing w:val="-10"/>
          <w:sz w:val="22"/>
          <w:szCs w:val="22"/>
        </w:rPr>
        <w:t>Megabús</w:t>
      </w:r>
      <w:proofErr w:type="spellEnd"/>
      <w:r w:rsidRPr="004A79A5">
        <w:rPr>
          <w:rFonts w:ascii="Bookman Old Style" w:hAnsi="Bookman Old Style" w:cs="Times New Roman"/>
          <w:spacing w:val="-10"/>
          <w:sz w:val="22"/>
          <w:szCs w:val="22"/>
        </w:rPr>
        <w:t xml:space="preserve"> S.A. de vincular al trámite al tercero – Aseguradora - surge con la notificación de la demanda laboral a quien efectúo</w:t>
      </w:r>
      <w:r w:rsidRPr="00605EC8">
        <w:rPr>
          <w:rFonts w:ascii="Bookman Old Style" w:eastAsia="Arial" w:hAnsi="Bookman Old Style" w:cs="Arial"/>
          <w:lang w:val="es-ES"/>
        </w:rPr>
        <w:t xml:space="preserve"> el llamamiento, pues solo hasta ese momento es que el demandado conoce de las pretensiones y que se contraen en los riesgos que fueron asegurados, sin que el </w:t>
      </w:r>
      <w:r w:rsidRPr="00605EC8">
        <w:rPr>
          <w:rFonts w:ascii="Bookman Old Style" w:eastAsia="Times New Roman" w:hAnsi="Bookman Old Style" w:cs="Arial"/>
          <w:lang w:eastAsia="es-CO"/>
        </w:rPr>
        <w:t>término</w:t>
      </w:r>
      <w:r w:rsidRPr="00605EC8">
        <w:rPr>
          <w:rFonts w:ascii="Bookman Old Style" w:eastAsia="Arial" w:hAnsi="Bookman Old Style" w:cs="Arial"/>
          <w:lang w:val="es-ES"/>
        </w:rPr>
        <w:t xml:space="preserve"> del artículo 1081 del C. </w:t>
      </w:r>
      <w:proofErr w:type="spellStart"/>
      <w:r w:rsidRPr="00605EC8">
        <w:rPr>
          <w:rFonts w:ascii="Bookman Old Style" w:eastAsia="Arial" w:hAnsi="Bookman Old Style" w:cs="Arial"/>
          <w:lang w:val="es-ES"/>
        </w:rPr>
        <w:t>Cio</w:t>
      </w:r>
      <w:proofErr w:type="spellEnd"/>
      <w:r w:rsidRPr="00605EC8">
        <w:rPr>
          <w:rFonts w:ascii="Bookman Old Style" w:eastAsia="Arial" w:hAnsi="Bookman Old Style" w:cs="Arial"/>
          <w:lang w:val="es-ES"/>
        </w:rPr>
        <w:t xml:space="preserve"> hubiese enervado el derecho que le asistía a </w:t>
      </w:r>
      <w:proofErr w:type="spellStart"/>
      <w:r w:rsidRPr="00605EC8">
        <w:rPr>
          <w:rFonts w:ascii="Bookman Old Style" w:eastAsia="Arial" w:hAnsi="Bookman Old Style" w:cs="Arial"/>
          <w:lang w:val="es-ES"/>
        </w:rPr>
        <w:t>Megabús</w:t>
      </w:r>
      <w:proofErr w:type="spellEnd"/>
      <w:r w:rsidRPr="00605EC8">
        <w:rPr>
          <w:rFonts w:ascii="Bookman Old Style" w:eastAsia="Arial" w:hAnsi="Bookman Old Style" w:cs="Arial"/>
          <w:lang w:val="es-ES"/>
        </w:rPr>
        <w:t xml:space="preserve"> S.A. para solicitar de la Compañía Aseguradora de Fianzas S.A. Confianza S.A. el reembolso total o parcial que tuviere que hacer como resultado de la presente sentencia. Por lo anterior, se </w:t>
      </w:r>
      <w:r w:rsidR="00C76E14" w:rsidRPr="00605EC8">
        <w:rPr>
          <w:rFonts w:ascii="Bookman Old Style" w:eastAsia="Arial" w:hAnsi="Bookman Old Style" w:cs="Arial"/>
          <w:lang w:val="es-ES"/>
        </w:rPr>
        <w:t>confirmará</w:t>
      </w:r>
      <w:r w:rsidRPr="00605EC8">
        <w:rPr>
          <w:rFonts w:ascii="Bookman Old Style" w:eastAsia="Arial" w:hAnsi="Bookman Old Style" w:cs="Arial"/>
          <w:lang w:val="es-ES"/>
        </w:rPr>
        <w:t xml:space="preserve"> la sentencia en este punto en particular.</w:t>
      </w:r>
    </w:p>
    <w:p w14:paraId="5655E71E" w14:textId="77777777" w:rsidR="00006D5D" w:rsidRPr="004A79A5" w:rsidRDefault="00006D5D" w:rsidP="004A79A5">
      <w:pPr>
        <w:spacing w:line="276" w:lineRule="auto"/>
        <w:rPr>
          <w:rFonts w:ascii="Bookman Old Style" w:hAnsi="Bookman Old Style" w:cs="Arial"/>
        </w:rPr>
      </w:pPr>
    </w:p>
    <w:p w14:paraId="2B45247E" w14:textId="3868D304" w:rsidR="00A334ED" w:rsidRPr="00605EC8" w:rsidRDefault="00C76E14" w:rsidP="00605EC8">
      <w:pPr>
        <w:spacing w:line="276" w:lineRule="auto"/>
        <w:ind w:firstLine="0"/>
        <w:rPr>
          <w:rFonts w:ascii="Bookman Old Style" w:hAnsi="Bookman Old Style" w:cs="Arial"/>
        </w:rPr>
      </w:pPr>
      <w:r w:rsidRPr="00605EC8">
        <w:rPr>
          <w:rFonts w:ascii="Bookman Old Style" w:hAnsi="Bookman Old Style" w:cs="Arial"/>
        </w:rPr>
        <w:t>Con todo, al haber prosperado el recurso de la parte actora de manera parcial y ante la no prosperidad del dispuesto por la llamada en garantía, en esta sede no se impondrán costas procesales.</w:t>
      </w:r>
    </w:p>
    <w:p w14:paraId="1695C640" w14:textId="77777777" w:rsidR="00A334ED" w:rsidRPr="004A79A5" w:rsidRDefault="00A334ED" w:rsidP="004A79A5">
      <w:pPr>
        <w:spacing w:line="276" w:lineRule="auto"/>
        <w:rPr>
          <w:rFonts w:ascii="Bookman Old Style" w:hAnsi="Bookman Old Style" w:cs="Arial"/>
        </w:rPr>
      </w:pPr>
    </w:p>
    <w:p w14:paraId="0AE33BE0" w14:textId="77777777" w:rsidR="00A334ED" w:rsidRPr="00605EC8" w:rsidRDefault="00A334ED" w:rsidP="00605EC8">
      <w:pPr>
        <w:spacing w:line="276" w:lineRule="auto"/>
        <w:ind w:firstLine="0"/>
        <w:jc w:val="center"/>
        <w:rPr>
          <w:rFonts w:ascii="Bookman Old Style" w:hAnsi="Bookman Old Style" w:cs="Arial"/>
          <w:b/>
        </w:rPr>
      </w:pPr>
      <w:r w:rsidRPr="00605EC8">
        <w:rPr>
          <w:rFonts w:ascii="Bookman Old Style" w:hAnsi="Bookman Old Style" w:cs="Arial"/>
          <w:b/>
        </w:rPr>
        <w:t>DECISIÓN DE SEGUNDA INSTANCIA</w:t>
      </w:r>
    </w:p>
    <w:p w14:paraId="4A7CC3CF" w14:textId="77777777" w:rsidR="00A334ED" w:rsidRPr="004A79A5" w:rsidRDefault="00A334ED" w:rsidP="004A79A5">
      <w:pPr>
        <w:spacing w:line="276" w:lineRule="auto"/>
        <w:rPr>
          <w:rFonts w:ascii="Bookman Old Style" w:hAnsi="Bookman Old Style" w:cs="Arial"/>
        </w:rPr>
      </w:pPr>
    </w:p>
    <w:p w14:paraId="2F70C852" w14:textId="77777777" w:rsidR="00A334ED" w:rsidRPr="00605EC8" w:rsidRDefault="00A334ED" w:rsidP="00605EC8">
      <w:pPr>
        <w:spacing w:line="276" w:lineRule="auto"/>
        <w:ind w:firstLine="0"/>
        <w:rPr>
          <w:rFonts w:ascii="Bookman Old Style" w:hAnsi="Bookman Old Style" w:cs="Arial"/>
          <w:b/>
        </w:rPr>
      </w:pPr>
      <w:r w:rsidRPr="00605EC8">
        <w:rPr>
          <w:rFonts w:ascii="Bookman Old Style" w:hAnsi="Bookman Old Style" w:cs="Arial"/>
        </w:rPr>
        <w:t>Por lo expuesto</w:t>
      </w:r>
      <w:r w:rsidRPr="00605EC8">
        <w:rPr>
          <w:rFonts w:ascii="Bookman Old Style" w:hAnsi="Bookman Old Style" w:cs="Arial"/>
          <w:b/>
        </w:rPr>
        <w:t xml:space="preserve">, la Sala de Decisión Laboral del Tribunal Superior del Distrito Judicial de Pereira, </w:t>
      </w:r>
      <w:r w:rsidRPr="00605EC8">
        <w:rPr>
          <w:rFonts w:ascii="Bookman Old Style" w:hAnsi="Bookman Old Style" w:cs="Arial"/>
        </w:rPr>
        <w:t>administrando justicia en nombre de la República y por autoridad de la ley</w:t>
      </w:r>
      <w:r w:rsidRPr="00605EC8">
        <w:rPr>
          <w:rFonts w:ascii="Bookman Old Style" w:hAnsi="Bookman Old Style" w:cs="Arial"/>
          <w:b/>
        </w:rPr>
        <w:t>,</w:t>
      </w:r>
    </w:p>
    <w:p w14:paraId="14C1CFC1" w14:textId="77777777" w:rsidR="00A334ED" w:rsidRPr="00605EC8" w:rsidRDefault="00A334ED" w:rsidP="00605EC8">
      <w:pPr>
        <w:spacing w:line="276" w:lineRule="auto"/>
        <w:rPr>
          <w:rFonts w:ascii="Bookman Old Style" w:hAnsi="Bookman Old Style" w:cs="Arial"/>
        </w:rPr>
      </w:pPr>
    </w:p>
    <w:p w14:paraId="6A4BCA0C" w14:textId="77777777" w:rsidR="00A334ED" w:rsidRPr="00605EC8" w:rsidRDefault="00A334ED" w:rsidP="00605EC8">
      <w:pPr>
        <w:spacing w:line="276" w:lineRule="auto"/>
        <w:ind w:firstLine="0"/>
        <w:jc w:val="center"/>
        <w:rPr>
          <w:rFonts w:ascii="Bookman Old Style" w:hAnsi="Bookman Old Style" w:cs="Arial"/>
          <w:b/>
          <w:bCs/>
        </w:rPr>
      </w:pPr>
      <w:r w:rsidRPr="00605EC8">
        <w:rPr>
          <w:rFonts w:ascii="Bookman Old Style" w:hAnsi="Bookman Old Style" w:cs="Arial"/>
          <w:b/>
          <w:bCs/>
        </w:rPr>
        <w:t>RESUELVE</w:t>
      </w:r>
    </w:p>
    <w:p w14:paraId="78930B44" w14:textId="77777777" w:rsidR="00A334ED" w:rsidRPr="00605EC8" w:rsidRDefault="00A334ED" w:rsidP="00605EC8">
      <w:pPr>
        <w:spacing w:line="276" w:lineRule="auto"/>
        <w:rPr>
          <w:rFonts w:ascii="Bookman Old Style" w:hAnsi="Bookman Old Style" w:cs="Arial"/>
        </w:rPr>
      </w:pPr>
    </w:p>
    <w:p w14:paraId="1719E8B3" w14:textId="29889A1B" w:rsidR="0005264B" w:rsidRPr="00605EC8" w:rsidRDefault="00A334ED" w:rsidP="00BC13A5">
      <w:pPr>
        <w:spacing w:line="276" w:lineRule="auto"/>
        <w:ind w:firstLine="0"/>
        <w:rPr>
          <w:rFonts w:ascii="Bookman Old Style" w:hAnsi="Bookman Old Style" w:cs="Arial"/>
        </w:rPr>
      </w:pPr>
      <w:r w:rsidRPr="00605EC8">
        <w:rPr>
          <w:rFonts w:ascii="Bookman Old Style" w:hAnsi="Bookman Old Style" w:cs="Arial"/>
          <w:b/>
        </w:rPr>
        <w:t>PRIMERO</w:t>
      </w:r>
      <w:r w:rsidRPr="00605EC8">
        <w:rPr>
          <w:rFonts w:ascii="Bookman Old Style" w:hAnsi="Bookman Old Style" w:cs="Arial"/>
        </w:rPr>
        <w:t xml:space="preserve">: </w:t>
      </w:r>
      <w:r w:rsidR="0005264B" w:rsidRPr="00605EC8">
        <w:rPr>
          <w:rFonts w:ascii="Bookman Old Style" w:hAnsi="Bookman Old Style" w:cs="Arial"/>
          <w:b/>
          <w:bCs/>
        </w:rPr>
        <w:t xml:space="preserve">CONFIRMAR </w:t>
      </w:r>
      <w:r w:rsidR="0005264B" w:rsidRPr="00605EC8">
        <w:rPr>
          <w:rFonts w:ascii="Bookman Old Style" w:hAnsi="Bookman Old Style" w:cs="Arial"/>
        </w:rPr>
        <w:t xml:space="preserve">la sentencia proferida el 6 de diciembre de 2022 por el Juzgado Primero Laboral del Circuito de Pereira, dentro del proceso adelantado por </w:t>
      </w:r>
      <w:r w:rsidR="0005264B" w:rsidRPr="00605EC8">
        <w:rPr>
          <w:rFonts w:ascii="Bookman Old Style" w:hAnsi="Bookman Old Style" w:cs="Arial"/>
          <w:b/>
          <w:bCs/>
        </w:rPr>
        <w:t>JULIÁN ALBERTO RUIZ</w:t>
      </w:r>
      <w:r w:rsidR="0005264B" w:rsidRPr="00605EC8">
        <w:rPr>
          <w:rFonts w:ascii="Bookman Old Style" w:hAnsi="Bookman Old Style" w:cs="Arial"/>
        </w:rPr>
        <w:t xml:space="preserve"> en contra de </w:t>
      </w:r>
      <w:r w:rsidR="0005264B" w:rsidRPr="00605EC8">
        <w:rPr>
          <w:rFonts w:ascii="Bookman Old Style" w:hAnsi="Bookman Old Style" w:cs="Arial"/>
          <w:b/>
          <w:bCs/>
        </w:rPr>
        <w:t xml:space="preserve">HERNANDO GRANADA GÓMEZ, CIVAL CONSTRUCTORES LTDA., CESAR BAENA </w:t>
      </w:r>
      <w:r w:rsidR="004A79A5" w:rsidRPr="00605EC8">
        <w:rPr>
          <w:rFonts w:ascii="Bookman Old Style" w:hAnsi="Bookman Old Style" w:cs="Arial"/>
          <w:b/>
          <w:bCs/>
        </w:rPr>
        <w:t>GARCÍA, MEGABUS</w:t>
      </w:r>
      <w:r w:rsidR="0005264B" w:rsidRPr="00605EC8">
        <w:rPr>
          <w:rFonts w:ascii="Bookman Old Style" w:hAnsi="Bookman Old Style" w:cs="Arial"/>
          <w:b/>
          <w:bCs/>
        </w:rPr>
        <w:t xml:space="preserve"> S.A. </w:t>
      </w:r>
      <w:r w:rsidR="0005264B" w:rsidRPr="00605EC8">
        <w:rPr>
          <w:rFonts w:ascii="Bookman Old Style" w:hAnsi="Bookman Old Style" w:cs="Arial"/>
        </w:rPr>
        <w:t xml:space="preserve">y </w:t>
      </w:r>
      <w:r w:rsidR="0005264B" w:rsidRPr="00605EC8">
        <w:rPr>
          <w:rFonts w:ascii="Bookman Old Style" w:hAnsi="Bookman Old Style" w:cs="Arial"/>
          <w:b/>
          <w:bCs/>
        </w:rPr>
        <w:t>MUNICIPIO DE PEREIRA</w:t>
      </w:r>
      <w:r w:rsidR="0005264B" w:rsidRPr="00605EC8">
        <w:rPr>
          <w:rFonts w:ascii="Bookman Old Style" w:hAnsi="Bookman Old Style" w:cs="Arial"/>
        </w:rPr>
        <w:t xml:space="preserve">, donde fue llamado en Garantía la </w:t>
      </w:r>
      <w:r w:rsidR="0005264B" w:rsidRPr="00605EC8">
        <w:rPr>
          <w:rFonts w:ascii="Bookman Old Style" w:hAnsi="Bookman Old Style" w:cs="Arial"/>
          <w:b/>
          <w:bCs/>
        </w:rPr>
        <w:t>ASEGURADORA FIANZA CONFIANZA S.A</w:t>
      </w:r>
      <w:r w:rsidR="004A79A5">
        <w:rPr>
          <w:rFonts w:ascii="Bookman Old Style" w:hAnsi="Bookman Old Style" w:cs="Arial"/>
          <w:b/>
          <w:bCs/>
        </w:rPr>
        <w:t>.</w:t>
      </w:r>
      <w:r w:rsidR="0005264B" w:rsidRPr="00605EC8">
        <w:rPr>
          <w:rFonts w:ascii="Bookman Old Style" w:hAnsi="Bookman Old Style" w:cs="Arial"/>
        </w:rPr>
        <w:t>, salvo los ordinales primero y cuarto, los cuales se modifican y quedaran así:</w:t>
      </w:r>
    </w:p>
    <w:p w14:paraId="28EC830B" w14:textId="77777777" w:rsidR="0005264B" w:rsidRPr="00605EC8" w:rsidRDefault="0005264B" w:rsidP="00605EC8">
      <w:pPr>
        <w:spacing w:line="276" w:lineRule="auto"/>
        <w:rPr>
          <w:rFonts w:ascii="Bookman Old Style" w:hAnsi="Bookman Old Style" w:cs="Arial"/>
        </w:rPr>
      </w:pPr>
    </w:p>
    <w:p w14:paraId="6A362171" w14:textId="24EDBB4D" w:rsidR="00663AD7" w:rsidRPr="00605EC8" w:rsidRDefault="00BC13A5" w:rsidP="004A79A5">
      <w:pPr>
        <w:spacing w:line="276" w:lineRule="auto"/>
        <w:ind w:left="426" w:right="420" w:firstLine="0"/>
        <w:rPr>
          <w:rFonts w:ascii="Bookman Old Style" w:hAnsi="Bookman Old Style" w:cs="Arial"/>
          <w:iCs/>
        </w:rPr>
      </w:pPr>
      <w:r>
        <w:rPr>
          <w:rFonts w:ascii="Bookman Old Style" w:hAnsi="Bookman Old Style" w:cs="Arial"/>
          <w:b/>
          <w:bCs/>
          <w:iCs/>
        </w:rPr>
        <w:t>“</w:t>
      </w:r>
      <w:r w:rsidR="00663AD7" w:rsidRPr="00605EC8">
        <w:rPr>
          <w:rFonts w:ascii="Bookman Old Style" w:hAnsi="Bookman Old Style" w:cs="Arial"/>
          <w:b/>
          <w:bCs/>
          <w:iCs/>
        </w:rPr>
        <w:t>PRIMERO</w:t>
      </w:r>
      <w:r w:rsidR="00663AD7" w:rsidRPr="00605EC8">
        <w:rPr>
          <w:rFonts w:ascii="Bookman Old Style" w:hAnsi="Bookman Old Style" w:cs="Arial"/>
          <w:iCs/>
        </w:rPr>
        <w:t xml:space="preserve">: </w:t>
      </w:r>
      <w:r w:rsidR="00663AD7" w:rsidRPr="00605EC8">
        <w:rPr>
          <w:rFonts w:ascii="Bookman Old Style" w:hAnsi="Bookman Old Style" w:cs="Arial"/>
          <w:b/>
          <w:bCs/>
          <w:iCs/>
        </w:rPr>
        <w:t>DECLARAR</w:t>
      </w:r>
      <w:r w:rsidR="00663AD7" w:rsidRPr="00605EC8">
        <w:rPr>
          <w:rFonts w:ascii="Bookman Old Style" w:hAnsi="Bookman Old Style" w:cs="Arial"/>
          <w:iCs/>
        </w:rPr>
        <w:t xml:space="preserve"> que entre los señores HERNANDO </w:t>
      </w:r>
      <w:r w:rsidR="00663AD7" w:rsidRPr="00605EC8">
        <w:rPr>
          <w:rFonts w:ascii="Bookman Old Style" w:hAnsi="Bookman Old Style" w:cs="Arial"/>
          <w:b/>
          <w:bCs/>
          <w:iCs/>
        </w:rPr>
        <w:t xml:space="preserve">GRANADA </w:t>
      </w:r>
      <w:r w:rsidR="004A79A5" w:rsidRPr="00605EC8">
        <w:rPr>
          <w:rFonts w:ascii="Bookman Old Style" w:hAnsi="Bookman Old Style" w:cs="Arial"/>
          <w:b/>
          <w:bCs/>
          <w:iCs/>
        </w:rPr>
        <w:t>GÓMEZ</w:t>
      </w:r>
      <w:r w:rsidR="00663AD7" w:rsidRPr="00605EC8">
        <w:rPr>
          <w:rFonts w:ascii="Bookman Old Style" w:hAnsi="Bookman Old Style" w:cs="Arial"/>
          <w:b/>
          <w:bCs/>
          <w:iCs/>
        </w:rPr>
        <w:t>, CESAR BAENA GARCÍA y CIVAL CONSTRUCTORES LTDA.,</w:t>
      </w:r>
      <w:r w:rsidR="00663AD7" w:rsidRPr="00605EC8">
        <w:rPr>
          <w:rFonts w:ascii="Bookman Old Style" w:hAnsi="Bookman Old Style" w:cs="Arial"/>
          <w:iCs/>
        </w:rPr>
        <w:t xml:space="preserve"> </w:t>
      </w:r>
      <w:r w:rsidR="00244E3C" w:rsidRPr="00605EC8">
        <w:rPr>
          <w:rFonts w:ascii="Bookman Old Style" w:hAnsi="Bookman Old Style" w:cs="Arial"/>
          <w:iCs/>
        </w:rPr>
        <w:t xml:space="preserve">integrantes del </w:t>
      </w:r>
      <w:r w:rsidR="00244E3C" w:rsidRPr="00605EC8">
        <w:rPr>
          <w:rFonts w:ascii="Bookman Old Style" w:hAnsi="Bookman Old Style" w:cs="Arial"/>
          <w:b/>
          <w:bCs/>
          <w:iCs/>
        </w:rPr>
        <w:t xml:space="preserve">CONSORCIO MEGAVÍA </w:t>
      </w:r>
      <w:r w:rsidR="00663AD7" w:rsidRPr="00605EC8">
        <w:rPr>
          <w:rFonts w:ascii="Bookman Old Style" w:hAnsi="Bookman Old Style" w:cs="Arial"/>
          <w:iCs/>
        </w:rPr>
        <w:t xml:space="preserve">en su condición de empleador, y el señor </w:t>
      </w:r>
      <w:r w:rsidR="004A79A5" w:rsidRPr="00605EC8">
        <w:rPr>
          <w:rFonts w:ascii="Bookman Old Style" w:hAnsi="Bookman Old Style" w:cs="Arial"/>
          <w:b/>
          <w:bCs/>
          <w:iCs/>
        </w:rPr>
        <w:t>JULIÁN</w:t>
      </w:r>
      <w:r w:rsidR="00663AD7" w:rsidRPr="00605EC8">
        <w:rPr>
          <w:rFonts w:ascii="Bookman Old Style" w:hAnsi="Bookman Old Style" w:cs="Arial"/>
          <w:b/>
          <w:bCs/>
          <w:iCs/>
        </w:rPr>
        <w:t xml:space="preserve"> ALBERTO RUIZ</w:t>
      </w:r>
      <w:r w:rsidR="00663AD7" w:rsidRPr="00605EC8">
        <w:rPr>
          <w:rFonts w:ascii="Bookman Old Style" w:hAnsi="Bookman Old Style" w:cs="Arial"/>
          <w:iCs/>
        </w:rPr>
        <w:t xml:space="preserve"> en su condición de trabajador, existió un contrato de trabajo verbal </w:t>
      </w:r>
      <w:r w:rsidR="00244E3C" w:rsidRPr="00605EC8">
        <w:rPr>
          <w:rFonts w:ascii="Bookman Old Style" w:hAnsi="Bookman Old Style" w:cs="Arial"/>
          <w:iCs/>
        </w:rPr>
        <w:t xml:space="preserve">a término indefinido, </w:t>
      </w:r>
      <w:r w:rsidR="00663AD7" w:rsidRPr="00605EC8">
        <w:rPr>
          <w:rFonts w:ascii="Bookman Old Style" w:hAnsi="Bookman Old Style" w:cs="Arial"/>
          <w:iCs/>
        </w:rPr>
        <w:t xml:space="preserve">que se suscitó entre el 14 de septiembre de 2004 y el 06 de marzo de 2005. </w:t>
      </w:r>
    </w:p>
    <w:p w14:paraId="6BDE68BF" w14:textId="4D0990B4" w:rsidR="00244E3C" w:rsidRPr="00605EC8" w:rsidRDefault="00244E3C" w:rsidP="004A79A5">
      <w:pPr>
        <w:spacing w:line="276" w:lineRule="auto"/>
        <w:ind w:left="426" w:right="420" w:firstLine="0"/>
        <w:rPr>
          <w:rFonts w:ascii="Bookman Old Style" w:hAnsi="Bookman Old Style" w:cs="Arial"/>
          <w:iCs/>
        </w:rPr>
      </w:pPr>
    </w:p>
    <w:p w14:paraId="2AF56463" w14:textId="70EF4388" w:rsidR="00244E3C" w:rsidRPr="00605EC8" w:rsidRDefault="00BC13A5" w:rsidP="004A79A5">
      <w:pPr>
        <w:spacing w:line="276" w:lineRule="auto"/>
        <w:ind w:left="426" w:right="420" w:firstLine="0"/>
        <w:rPr>
          <w:rFonts w:ascii="Bookman Old Style" w:hAnsi="Bookman Old Style" w:cs="Arial"/>
          <w:iCs/>
        </w:rPr>
      </w:pPr>
      <w:r>
        <w:rPr>
          <w:rFonts w:ascii="Bookman Old Style" w:hAnsi="Bookman Old Style" w:cs="Arial"/>
          <w:b/>
          <w:bCs/>
          <w:iCs/>
        </w:rPr>
        <w:t>“</w:t>
      </w:r>
      <w:r w:rsidR="00663AD7" w:rsidRPr="00605EC8">
        <w:rPr>
          <w:rFonts w:ascii="Bookman Old Style" w:hAnsi="Bookman Old Style" w:cs="Arial"/>
          <w:b/>
          <w:bCs/>
          <w:iCs/>
        </w:rPr>
        <w:t>CUARTO</w:t>
      </w:r>
      <w:r w:rsidR="00663AD7" w:rsidRPr="00605EC8">
        <w:rPr>
          <w:rFonts w:ascii="Bookman Old Style" w:hAnsi="Bookman Old Style" w:cs="Arial"/>
          <w:iCs/>
        </w:rPr>
        <w:t xml:space="preserve">: </w:t>
      </w:r>
      <w:r w:rsidR="00663AD7" w:rsidRPr="00605EC8">
        <w:rPr>
          <w:rFonts w:ascii="Bookman Old Style" w:hAnsi="Bookman Old Style" w:cs="Arial"/>
          <w:b/>
          <w:bCs/>
          <w:iCs/>
        </w:rPr>
        <w:t>CONDENAR</w:t>
      </w:r>
      <w:r w:rsidR="00663AD7" w:rsidRPr="00605EC8">
        <w:rPr>
          <w:rFonts w:ascii="Bookman Old Style" w:hAnsi="Bookman Old Style" w:cs="Arial"/>
          <w:iCs/>
        </w:rPr>
        <w:t xml:space="preserve"> a los señores </w:t>
      </w:r>
      <w:r w:rsidR="00663AD7" w:rsidRPr="00605EC8">
        <w:rPr>
          <w:rFonts w:ascii="Bookman Old Style" w:hAnsi="Bookman Old Style" w:cs="Arial"/>
          <w:b/>
          <w:bCs/>
          <w:iCs/>
        </w:rPr>
        <w:t xml:space="preserve">HERNANDO GRANADA </w:t>
      </w:r>
      <w:r w:rsidR="004A79A5" w:rsidRPr="00605EC8">
        <w:rPr>
          <w:rFonts w:ascii="Bookman Old Style" w:hAnsi="Bookman Old Style" w:cs="Arial"/>
          <w:b/>
          <w:bCs/>
          <w:iCs/>
        </w:rPr>
        <w:t>GÓMEZ</w:t>
      </w:r>
      <w:r w:rsidR="00663AD7" w:rsidRPr="00605EC8">
        <w:rPr>
          <w:rFonts w:ascii="Bookman Old Style" w:hAnsi="Bookman Old Style" w:cs="Arial"/>
          <w:b/>
          <w:bCs/>
          <w:iCs/>
        </w:rPr>
        <w:t>, CESAR BAENA GARCÍA</w:t>
      </w:r>
      <w:r w:rsidR="00663AD7" w:rsidRPr="00605EC8">
        <w:rPr>
          <w:rFonts w:ascii="Bookman Old Style" w:hAnsi="Bookman Old Style" w:cs="Arial"/>
          <w:iCs/>
        </w:rPr>
        <w:t xml:space="preserve"> y la Sociedad </w:t>
      </w:r>
      <w:r w:rsidR="00663AD7" w:rsidRPr="00605EC8">
        <w:rPr>
          <w:rFonts w:ascii="Bookman Old Style" w:hAnsi="Bookman Old Style" w:cs="Arial"/>
          <w:b/>
          <w:bCs/>
          <w:iCs/>
        </w:rPr>
        <w:t xml:space="preserve">CIVAL CONSTRUCTORES </w:t>
      </w:r>
      <w:r w:rsidR="004A79A5" w:rsidRPr="00605EC8">
        <w:rPr>
          <w:rFonts w:ascii="Bookman Old Style" w:hAnsi="Bookman Old Style" w:cs="Arial"/>
          <w:b/>
          <w:bCs/>
          <w:iCs/>
        </w:rPr>
        <w:t>LTDA.</w:t>
      </w:r>
      <w:r w:rsidR="00663AD7" w:rsidRPr="00605EC8">
        <w:rPr>
          <w:rFonts w:ascii="Bookman Old Style" w:hAnsi="Bookman Old Style" w:cs="Arial"/>
          <w:iCs/>
        </w:rPr>
        <w:t xml:space="preserve"> </w:t>
      </w:r>
      <w:r w:rsidR="00244E3C" w:rsidRPr="00605EC8">
        <w:rPr>
          <w:rFonts w:ascii="Bookman Old Style" w:hAnsi="Bookman Old Style" w:cs="Arial"/>
          <w:iCs/>
        </w:rPr>
        <w:t xml:space="preserve">integrantes del Consorcio Megavía </w:t>
      </w:r>
      <w:r w:rsidR="00663AD7" w:rsidRPr="00605EC8">
        <w:rPr>
          <w:rFonts w:ascii="Bookman Old Style" w:hAnsi="Bookman Old Style" w:cs="Arial"/>
          <w:iCs/>
        </w:rPr>
        <w:t xml:space="preserve">y en forma solidaria a </w:t>
      </w:r>
      <w:r w:rsidR="00663AD7" w:rsidRPr="00605EC8">
        <w:rPr>
          <w:rFonts w:ascii="Bookman Old Style" w:hAnsi="Bookman Old Style" w:cs="Arial"/>
          <w:b/>
          <w:bCs/>
          <w:iCs/>
        </w:rPr>
        <w:t>MEGABUS S.A</w:t>
      </w:r>
      <w:r w:rsidR="00663AD7" w:rsidRPr="00605EC8">
        <w:rPr>
          <w:rFonts w:ascii="Bookman Old Style" w:hAnsi="Bookman Old Style" w:cs="Arial"/>
          <w:iCs/>
        </w:rPr>
        <w:t xml:space="preserve">., a cancelar a favor del demandante </w:t>
      </w:r>
      <w:r w:rsidR="004A79A5" w:rsidRPr="00605EC8">
        <w:rPr>
          <w:rFonts w:ascii="Bookman Old Style" w:hAnsi="Bookman Old Style" w:cs="Arial"/>
          <w:b/>
          <w:bCs/>
          <w:iCs/>
        </w:rPr>
        <w:lastRenderedPageBreak/>
        <w:t>JULIÁN</w:t>
      </w:r>
      <w:r w:rsidR="00663AD7" w:rsidRPr="00605EC8">
        <w:rPr>
          <w:rFonts w:ascii="Bookman Old Style" w:hAnsi="Bookman Old Style" w:cs="Arial"/>
          <w:b/>
          <w:bCs/>
          <w:iCs/>
        </w:rPr>
        <w:t xml:space="preserve"> ALBERTO RUIZ</w:t>
      </w:r>
      <w:r w:rsidR="00663AD7" w:rsidRPr="00605EC8">
        <w:rPr>
          <w:rFonts w:ascii="Bookman Old Style" w:hAnsi="Bookman Old Style" w:cs="Arial"/>
          <w:iCs/>
        </w:rPr>
        <w:t xml:space="preserve">, los aportes a seguridad social en pensiones adeudados, esto es por 16 días del mes de septiembre, 22 días para el mes de octubre, 30 días para los meses de noviembre, y diciembre de 2004 respectivamente y por 30 días del mes de enero, 22 días restantes del mes de febrero y 6 días del mes de marzo de 2005 los que se deben hacer </w:t>
      </w:r>
      <w:r w:rsidR="00244E3C" w:rsidRPr="00605EC8">
        <w:rPr>
          <w:rFonts w:ascii="Bookman Old Style" w:hAnsi="Bookman Old Style" w:cs="Arial"/>
          <w:iCs/>
        </w:rPr>
        <w:t xml:space="preserve">sobre la base </w:t>
      </w:r>
      <w:r w:rsidR="00663AD7" w:rsidRPr="00605EC8">
        <w:rPr>
          <w:rFonts w:ascii="Bookman Old Style" w:hAnsi="Bookman Old Style" w:cs="Arial"/>
          <w:iCs/>
        </w:rPr>
        <w:t>del salario mínimo mensual vigente para la época, con los respectivos intereses</w:t>
      </w:r>
      <w:r w:rsidR="00244E3C" w:rsidRPr="00605EC8">
        <w:rPr>
          <w:rFonts w:ascii="Bookman Old Style" w:hAnsi="Bookman Old Style" w:cs="Arial"/>
          <w:iCs/>
        </w:rPr>
        <w:t xml:space="preserve">, según el cálculo actuarial que para el efecto realice Protección </w:t>
      </w:r>
      <w:proofErr w:type="spellStart"/>
      <w:r w:rsidR="00663AD7" w:rsidRPr="00605EC8">
        <w:rPr>
          <w:rFonts w:ascii="Bookman Old Style" w:hAnsi="Bookman Old Style" w:cs="Arial"/>
          <w:iCs/>
        </w:rPr>
        <w:t>S.A</w:t>
      </w:r>
      <w:proofErr w:type="spellEnd"/>
      <w:r w:rsidR="00663AD7" w:rsidRPr="00605EC8">
        <w:rPr>
          <w:rFonts w:ascii="Bookman Old Style" w:hAnsi="Bookman Old Style" w:cs="Arial"/>
          <w:iCs/>
        </w:rPr>
        <w:t xml:space="preserve">, </w:t>
      </w:r>
      <w:r w:rsidR="00244E3C" w:rsidRPr="00605EC8">
        <w:rPr>
          <w:rFonts w:ascii="Bookman Old Style" w:hAnsi="Bookman Old Style" w:cs="Arial"/>
          <w:iCs/>
        </w:rPr>
        <w:t>como AFP en la cual estaba vinculado el demandante</w:t>
      </w:r>
      <w:r>
        <w:rPr>
          <w:rFonts w:ascii="Bookman Old Style" w:hAnsi="Bookman Old Style" w:cs="Arial"/>
          <w:iCs/>
        </w:rPr>
        <w:t>”.</w:t>
      </w:r>
    </w:p>
    <w:p w14:paraId="0E300FFD" w14:textId="77777777" w:rsidR="00244E3C" w:rsidRPr="00605EC8" w:rsidRDefault="00244E3C" w:rsidP="00605EC8">
      <w:pPr>
        <w:spacing w:line="276" w:lineRule="auto"/>
        <w:ind w:left="708" w:right="1752" w:firstLine="0"/>
        <w:rPr>
          <w:rFonts w:ascii="Bookman Old Style" w:hAnsi="Bookman Old Style" w:cs="Arial"/>
          <w:iCs/>
        </w:rPr>
      </w:pPr>
    </w:p>
    <w:p w14:paraId="3CB8F4C8" w14:textId="53DF60BA" w:rsidR="00A334ED" w:rsidRPr="00605EC8" w:rsidRDefault="00A334ED" w:rsidP="00BC13A5">
      <w:pPr>
        <w:spacing w:line="276" w:lineRule="auto"/>
        <w:ind w:firstLine="0"/>
        <w:rPr>
          <w:rFonts w:ascii="Bookman Old Style" w:hAnsi="Bookman Old Style" w:cs="Arial"/>
          <w:bCs/>
        </w:rPr>
      </w:pPr>
      <w:r w:rsidRPr="00605EC8">
        <w:rPr>
          <w:rFonts w:ascii="Bookman Old Style" w:hAnsi="Bookman Old Style" w:cs="Arial"/>
          <w:b/>
        </w:rPr>
        <w:t>SEGUNDO</w:t>
      </w:r>
      <w:r w:rsidRPr="00605EC8">
        <w:rPr>
          <w:rFonts w:ascii="Bookman Old Style" w:hAnsi="Bookman Old Style" w:cs="Arial"/>
        </w:rPr>
        <w:t xml:space="preserve">: </w:t>
      </w:r>
      <w:r w:rsidR="00244E3C" w:rsidRPr="00605EC8">
        <w:rPr>
          <w:rFonts w:ascii="Bookman Old Style" w:hAnsi="Bookman Old Style" w:cs="Arial"/>
        </w:rPr>
        <w:t>Sin</w:t>
      </w:r>
      <w:r w:rsidR="00244E3C" w:rsidRPr="00605EC8">
        <w:rPr>
          <w:rFonts w:ascii="Bookman Old Style" w:hAnsi="Bookman Old Style" w:cs="Arial"/>
          <w:b/>
          <w:bCs/>
        </w:rPr>
        <w:t xml:space="preserve"> </w:t>
      </w:r>
      <w:r w:rsidR="00BE6CA0" w:rsidRPr="00605EC8">
        <w:rPr>
          <w:rFonts w:ascii="Bookman Old Style" w:hAnsi="Bookman Old Style" w:cs="Arial"/>
          <w:b/>
          <w:bCs/>
        </w:rPr>
        <w:t xml:space="preserve">COSTAS </w:t>
      </w:r>
      <w:r w:rsidR="00BE6CA0" w:rsidRPr="00605EC8">
        <w:rPr>
          <w:rFonts w:ascii="Bookman Old Style" w:hAnsi="Bookman Old Style" w:cs="Arial"/>
          <w:bCs/>
        </w:rPr>
        <w:t>en esta instancia</w:t>
      </w:r>
      <w:r w:rsidR="00244E3C" w:rsidRPr="00605EC8">
        <w:rPr>
          <w:rFonts w:ascii="Bookman Old Style" w:hAnsi="Bookman Old Style" w:cs="Arial"/>
          <w:bCs/>
        </w:rPr>
        <w:t>.</w:t>
      </w:r>
    </w:p>
    <w:p w14:paraId="589D21C3" w14:textId="77777777" w:rsidR="00605EC8" w:rsidRPr="002E7ABA" w:rsidRDefault="00605EC8" w:rsidP="00605EC8">
      <w:pPr>
        <w:tabs>
          <w:tab w:val="left" w:pos="9067"/>
        </w:tabs>
        <w:spacing w:line="276" w:lineRule="auto"/>
        <w:ind w:firstLine="0"/>
        <w:rPr>
          <w:rFonts w:ascii="Bookman Old Style" w:eastAsia="Century Gothic" w:hAnsi="Bookman Old Style" w:cs="Times New Roman"/>
        </w:rPr>
      </w:pPr>
    </w:p>
    <w:p w14:paraId="1F2517EC" w14:textId="77777777" w:rsidR="00605EC8" w:rsidRPr="002E7ABA" w:rsidRDefault="00605EC8" w:rsidP="00605EC8">
      <w:pPr>
        <w:tabs>
          <w:tab w:val="left" w:pos="9067"/>
        </w:tabs>
        <w:spacing w:line="276" w:lineRule="auto"/>
        <w:jc w:val="center"/>
        <w:rPr>
          <w:rFonts w:ascii="Bookman Old Style" w:eastAsia="Century Gothic" w:hAnsi="Bookman Old Style" w:cs="Times New Roman"/>
          <w:b/>
          <w:bCs/>
        </w:rPr>
      </w:pPr>
      <w:r w:rsidRPr="002E7ABA">
        <w:rPr>
          <w:rFonts w:ascii="Bookman Old Style" w:eastAsia="Century Gothic" w:hAnsi="Bookman Old Style" w:cs="Times New Roman"/>
          <w:b/>
          <w:bCs/>
        </w:rPr>
        <w:t>NOTIFÍQUESE Y CÚMPLASE</w:t>
      </w:r>
    </w:p>
    <w:p w14:paraId="6D1389A8" w14:textId="77777777" w:rsidR="00605EC8" w:rsidRPr="002E7ABA" w:rsidRDefault="00605EC8" w:rsidP="00605EC8">
      <w:pPr>
        <w:tabs>
          <w:tab w:val="left" w:pos="9067"/>
        </w:tabs>
        <w:spacing w:line="276" w:lineRule="auto"/>
        <w:ind w:firstLine="0"/>
        <w:rPr>
          <w:rFonts w:ascii="Bookman Old Style" w:eastAsia="Century Gothic" w:hAnsi="Bookman Old Style" w:cs="Times New Roman"/>
        </w:rPr>
      </w:pPr>
    </w:p>
    <w:p w14:paraId="2194D277" w14:textId="77777777" w:rsidR="00605EC8" w:rsidRPr="002E7ABA" w:rsidRDefault="00605EC8" w:rsidP="00605EC8">
      <w:pPr>
        <w:tabs>
          <w:tab w:val="left" w:pos="9067"/>
        </w:tabs>
        <w:spacing w:line="276" w:lineRule="auto"/>
        <w:ind w:firstLine="0"/>
        <w:rPr>
          <w:rFonts w:ascii="Bookman Old Style" w:eastAsia="Century Gothic" w:hAnsi="Bookman Old Style" w:cs="Times New Roman"/>
        </w:rPr>
      </w:pPr>
      <w:r w:rsidRPr="002E7ABA">
        <w:rPr>
          <w:rFonts w:ascii="Bookman Old Style" w:eastAsia="Century Gothic" w:hAnsi="Bookman Old Style" w:cs="Times New Roman"/>
        </w:rPr>
        <w:t>Quienes integran la Sala,</w:t>
      </w:r>
    </w:p>
    <w:p w14:paraId="655AF060" w14:textId="77777777" w:rsidR="00605EC8" w:rsidRPr="002E7ABA" w:rsidRDefault="00605EC8" w:rsidP="00605EC8">
      <w:pPr>
        <w:tabs>
          <w:tab w:val="left" w:pos="9067"/>
        </w:tabs>
        <w:spacing w:line="276" w:lineRule="auto"/>
        <w:ind w:firstLine="0"/>
        <w:rPr>
          <w:rFonts w:ascii="Bookman Old Style" w:eastAsia="Century Gothic" w:hAnsi="Bookman Old Style" w:cs="Times New Roman"/>
        </w:rPr>
      </w:pPr>
    </w:p>
    <w:p w14:paraId="6CC48836" w14:textId="77777777" w:rsidR="00605EC8" w:rsidRPr="002E7ABA" w:rsidRDefault="00605EC8" w:rsidP="00605EC8">
      <w:pPr>
        <w:tabs>
          <w:tab w:val="left" w:pos="9067"/>
        </w:tabs>
        <w:spacing w:line="276" w:lineRule="auto"/>
        <w:ind w:firstLine="0"/>
        <w:rPr>
          <w:rFonts w:ascii="Bookman Old Style" w:eastAsia="Century Gothic" w:hAnsi="Bookman Old Style" w:cs="Times New Roman"/>
        </w:rPr>
      </w:pPr>
    </w:p>
    <w:p w14:paraId="4AAA6AB0" w14:textId="77777777" w:rsidR="00605EC8" w:rsidRPr="002E7ABA" w:rsidRDefault="00605EC8" w:rsidP="00605EC8">
      <w:pPr>
        <w:tabs>
          <w:tab w:val="left" w:pos="9067"/>
        </w:tabs>
        <w:spacing w:line="276" w:lineRule="auto"/>
        <w:ind w:firstLine="0"/>
        <w:jc w:val="center"/>
        <w:rPr>
          <w:rFonts w:ascii="Bookman Old Style" w:eastAsia="Century Gothic" w:hAnsi="Bookman Old Style" w:cs="Times New Roman"/>
          <w:b/>
        </w:rPr>
      </w:pPr>
      <w:r w:rsidRPr="002E7ABA">
        <w:rPr>
          <w:rFonts w:ascii="Bookman Old Style" w:eastAsia="Century Gothic" w:hAnsi="Bookman Old Style" w:cs="Times New Roman"/>
          <w:b/>
        </w:rPr>
        <w:t xml:space="preserve">GERMÁN DARÍO </w:t>
      </w:r>
      <w:proofErr w:type="spellStart"/>
      <w:r w:rsidRPr="002E7ABA">
        <w:rPr>
          <w:rFonts w:ascii="Bookman Old Style" w:eastAsia="Century Gothic" w:hAnsi="Bookman Old Style" w:cs="Times New Roman"/>
          <w:b/>
        </w:rPr>
        <w:t>GÓEZ</w:t>
      </w:r>
      <w:proofErr w:type="spellEnd"/>
      <w:r w:rsidRPr="002E7ABA">
        <w:rPr>
          <w:rFonts w:ascii="Bookman Old Style" w:eastAsia="Century Gothic" w:hAnsi="Bookman Old Style" w:cs="Times New Roman"/>
          <w:b/>
        </w:rPr>
        <w:t xml:space="preserve"> VINASCO</w:t>
      </w:r>
    </w:p>
    <w:p w14:paraId="06CBD182" w14:textId="77777777" w:rsidR="00605EC8" w:rsidRPr="002E7ABA" w:rsidRDefault="00605EC8" w:rsidP="00605EC8">
      <w:pPr>
        <w:tabs>
          <w:tab w:val="left" w:pos="9067"/>
        </w:tabs>
        <w:spacing w:line="276" w:lineRule="auto"/>
        <w:ind w:firstLine="0"/>
        <w:jc w:val="center"/>
        <w:rPr>
          <w:rFonts w:ascii="Bookman Old Style" w:eastAsia="Century Gothic" w:hAnsi="Bookman Old Style" w:cs="Times New Roman"/>
          <w:bCs/>
        </w:rPr>
      </w:pPr>
      <w:r w:rsidRPr="002E7ABA">
        <w:rPr>
          <w:rFonts w:ascii="Bookman Old Style" w:eastAsia="Century Gothic" w:hAnsi="Bookman Old Style" w:cs="Times New Roman"/>
          <w:bCs/>
        </w:rPr>
        <w:t>Magistrado Ponente</w:t>
      </w:r>
    </w:p>
    <w:p w14:paraId="54312D76" w14:textId="77777777" w:rsidR="00605EC8" w:rsidRPr="002E7ABA" w:rsidRDefault="00605EC8" w:rsidP="00605EC8">
      <w:pPr>
        <w:tabs>
          <w:tab w:val="left" w:pos="9067"/>
        </w:tabs>
        <w:spacing w:line="276" w:lineRule="auto"/>
        <w:ind w:firstLine="0"/>
        <w:rPr>
          <w:rFonts w:ascii="Bookman Old Style" w:eastAsia="Century Gothic" w:hAnsi="Bookman Old Style" w:cs="Times New Roman"/>
        </w:rPr>
      </w:pPr>
    </w:p>
    <w:p w14:paraId="7DA9DB69" w14:textId="77777777" w:rsidR="00605EC8" w:rsidRPr="002E7ABA" w:rsidRDefault="00605EC8" w:rsidP="00605EC8">
      <w:pPr>
        <w:tabs>
          <w:tab w:val="left" w:pos="9067"/>
        </w:tabs>
        <w:spacing w:line="276" w:lineRule="auto"/>
        <w:ind w:firstLine="0"/>
        <w:rPr>
          <w:rFonts w:ascii="Bookman Old Style" w:eastAsia="Century Gothic" w:hAnsi="Bookman Old Style" w:cs="Times New Roman"/>
        </w:rPr>
      </w:pPr>
    </w:p>
    <w:p w14:paraId="78533949" w14:textId="77777777" w:rsidR="00605EC8" w:rsidRPr="002E7ABA" w:rsidRDefault="00605EC8" w:rsidP="00605EC8">
      <w:pPr>
        <w:tabs>
          <w:tab w:val="left" w:pos="9067"/>
        </w:tabs>
        <w:spacing w:line="276" w:lineRule="auto"/>
        <w:ind w:firstLine="0"/>
        <w:jc w:val="center"/>
        <w:rPr>
          <w:rFonts w:ascii="Bookman Old Style" w:eastAsia="Century Gothic" w:hAnsi="Bookman Old Style" w:cs="Times New Roman"/>
          <w:b/>
          <w:bCs/>
        </w:rPr>
      </w:pPr>
      <w:r w:rsidRPr="002E7ABA">
        <w:rPr>
          <w:rFonts w:ascii="Bookman Old Style" w:eastAsia="Century Gothic" w:hAnsi="Bookman Old Style" w:cs="Times New Roman"/>
          <w:b/>
          <w:bCs/>
        </w:rPr>
        <w:t>OLGA LUCIA HOYOS SEPÚLVEDA</w:t>
      </w:r>
    </w:p>
    <w:p w14:paraId="2BC9A653" w14:textId="77777777" w:rsidR="00605EC8" w:rsidRPr="002E7ABA" w:rsidRDefault="00605EC8" w:rsidP="00605EC8">
      <w:pPr>
        <w:tabs>
          <w:tab w:val="left" w:pos="9067"/>
        </w:tabs>
        <w:spacing w:line="276" w:lineRule="auto"/>
        <w:ind w:firstLine="0"/>
        <w:jc w:val="center"/>
        <w:rPr>
          <w:rFonts w:ascii="Bookman Old Style" w:eastAsia="Century Gothic" w:hAnsi="Bookman Old Style" w:cs="Times New Roman"/>
        </w:rPr>
      </w:pPr>
      <w:r w:rsidRPr="002E7ABA">
        <w:rPr>
          <w:rFonts w:ascii="Bookman Old Style" w:eastAsia="Century Gothic" w:hAnsi="Bookman Old Style" w:cs="Times New Roman"/>
        </w:rPr>
        <w:t>Magistrada</w:t>
      </w:r>
    </w:p>
    <w:p w14:paraId="0E5C2D38" w14:textId="77777777" w:rsidR="00605EC8" w:rsidRPr="00605EC8" w:rsidRDefault="00605EC8" w:rsidP="00605EC8">
      <w:pPr>
        <w:spacing w:line="276" w:lineRule="auto"/>
        <w:ind w:firstLine="0"/>
        <w:jc w:val="center"/>
        <w:rPr>
          <w:rFonts w:ascii="Bookman Old Style" w:hAnsi="Bookman Old Style"/>
        </w:rPr>
      </w:pPr>
      <w:r w:rsidRPr="00605EC8">
        <w:rPr>
          <w:rFonts w:ascii="Bookman Old Style" w:hAnsi="Bookman Old Style"/>
        </w:rPr>
        <w:t>Con impedimento</w:t>
      </w:r>
    </w:p>
    <w:p w14:paraId="71FE7AEB" w14:textId="77777777" w:rsidR="00605EC8" w:rsidRPr="002E7ABA" w:rsidRDefault="00605EC8" w:rsidP="00605EC8">
      <w:pPr>
        <w:tabs>
          <w:tab w:val="left" w:pos="9067"/>
        </w:tabs>
        <w:spacing w:line="276" w:lineRule="auto"/>
        <w:ind w:firstLine="0"/>
        <w:rPr>
          <w:rFonts w:ascii="Bookman Old Style" w:eastAsia="Century Gothic" w:hAnsi="Bookman Old Style" w:cs="Times New Roman"/>
        </w:rPr>
      </w:pPr>
    </w:p>
    <w:p w14:paraId="4ABE6F20" w14:textId="77777777" w:rsidR="00605EC8" w:rsidRPr="002E7ABA" w:rsidRDefault="00605EC8" w:rsidP="00605EC8">
      <w:pPr>
        <w:tabs>
          <w:tab w:val="left" w:pos="9067"/>
        </w:tabs>
        <w:spacing w:line="276" w:lineRule="auto"/>
        <w:ind w:firstLine="0"/>
        <w:rPr>
          <w:rFonts w:ascii="Bookman Old Style" w:eastAsia="Century Gothic" w:hAnsi="Bookman Old Style" w:cs="Times New Roman"/>
        </w:rPr>
      </w:pPr>
    </w:p>
    <w:p w14:paraId="06B9EBE1" w14:textId="77777777" w:rsidR="00605EC8" w:rsidRPr="002E7ABA" w:rsidRDefault="00605EC8" w:rsidP="00605EC8">
      <w:pPr>
        <w:tabs>
          <w:tab w:val="left" w:pos="9067"/>
        </w:tabs>
        <w:spacing w:line="276" w:lineRule="auto"/>
        <w:ind w:firstLine="0"/>
        <w:jc w:val="center"/>
        <w:rPr>
          <w:rFonts w:ascii="Bookman Old Style" w:eastAsia="Century Gothic" w:hAnsi="Bookman Old Style" w:cs="Times New Roman"/>
          <w:b/>
          <w:bCs/>
        </w:rPr>
      </w:pPr>
      <w:r w:rsidRPr="002E7ABA">
        <w:rPr>
          <w:rFonts w:ascii="Bookman Old Style" w:eastAsia="Century Gothic" w:hAnsi="Bookman Old Style" w:cs="Times New Roman"/>
          <w:b/>
          <w:bCs/>
        </w:rPr>
        <w:t>JULIO CÉSAR SALAZAR MUÑOZ</w:t>
      </w:r>
    </w:p>
    <w:p w14:paraId="259AD4A2" w14:textId="77777777" w:rsidR="00605EC8" w:rsidRPr="002E7ABA" w:rsidRDefault="00605EC8" w:rsidP="00605EC8">
      <w:pPr>
        <w:tabs>
          <w:tab w:val="left" w:pos="9067"/>
        </w:tabs>
        <w:spacing w:line="276" w:lineRule="auto"/>
        <w:ind w:firstLine="0"/>
        <w:jc w:val="center"/>
        <w:rPr>
          <w:rStyle w:val="nfasissutil"/>
          <w:rFonts w:ascii="Bookman Old Style" w:eastAsia="Century Gothic" w:hAnsi="Bookman Old Style" w:cs="Times New Roman"/>
          <w:i w:val="0"/>
          <w:iCs w:val="0"/>
          <w:color w:val="auto"/>
        </w:rPr>
      </w:pPr>
      <w:r w:rsidRPr="002E7ABA">
        <w:rPr>
          <w:rFonts w:ascii="Bookman Old Style" w:eastAsia="Century Gothic" w:hAnsi="Bookman Old Style" w:cs="Times New Roman"/>
        </w:rPr>
        <w:t>Magistrado</w:t>
      </w:r>
    </w:p>
    <w:p w14:paraId="4995EB84" w14:textId="239116F0" w:rsidR="00F63B9D" w:rsidRPr="00605EC8" w:rsidRDefault="00E04B8B" w:rsidP="00605EC8">
      <w:pPr>
        <w:spacing w:line="276" w:lineRule="auto"/>
        <w:ind w:firstLine="0"/>
        <w:jc w:val="center"/>
        <w:rPr>
          <w:rFonts w:ascii="Bookman Old Style" w:hAnsi="Bookman Old Style"/>
        </w:rPr>
      </w:pPr>
      <w:r w:rsidRPr="00605EC8">
        <w:rPr>
          <w:rFonts w:ascii="Bookman Old Style" w:hAnsi="Bookman Old Style"/>
        </w:rPr>
        <w:t>Con impedimento</w:t>
      </w:r>
    </w:p>
    <w:p w14:paraId="1029A8D1" w14:textId="77777777" w:rsidR="00C75605" w:rsidRPr="00605EC8" w:rsidRDefault="00C75605" w:rsidP="00605EC8">
      <w:pPr>
        <w:spacing w:line="276" w:lineRule="auto"/>
        <w:ind w:firstLine="0"/>
        <w:jc w:val="center"/>
        <w:rPr>
          <w:rFonts w:ascii="Bookman Old Style" w:hAnsi="Bookman Old Style"/>
        </w:rPr>
      </w:pPr>
    </w:p>
    <w:p w14:paraId="213E4792" w14:textId="7D480208" w:rsidR="00C75605" w:rsidRPr="00605EC8" w:rsidRDefault="00C75605" w:rsidP="00605EC8">
      <w:pPr>
        <w:spacing w:line="276" w:lineRule="auto"/>
        <w:ind w:firstLine="0"/>
        <w:jc w:val="center"/>
        <w:rPr>
          <w:rFonts w:ascii="Bookman Old Style" w:hAnsi="Bookman Old Style"/>
        </w:rPr>
      </w:pPr>
    </w:p>
    <w:p w14:paraId="4E82F114" w14:textId="2A663538" w:rsidR="00C75605" w:rsidRPr="00605EC8" w:rsidRDefault="00C75605" w:rsidP="00605EC8">
      <w:pPr>
        <w:spacing w:line="276" w:lineRule="auto"/>
        <w:ind w:firstLine="0"/>
        <w:jc w:val="center"/>
        <w:rPr>
          <w:rFonts w:ascii="Bookman Old Style" w:hAnsi="Bookman Old Style" w:cs="Arial"/>
          <w:b/>
        </w:rPr>
      </w:pPr>
      <w:r w:rsidRPr="00605EC8">
        <w:rPr>
          <w:rFonts w:ascii="Bookman Old Style" w:hAnsi="Bookman Old Style" w:cs="Arial"/>
          <w:b/>
        </w:rPr>
        <w:t>ANA LUCÍA CAICEDO CALDERÓN</w:t>
      </w:r>
    </w:p>
    <w:p w14:paraId="4A700CF3" w14:textId="77777777" w:rsidR="00C75605" w:rsidRPr="00605EC8" w:rsidRDefault="00C75605" w:rsidP="00605EC8">
      <w:pPr>
        <w:spacing w:line="276" w:lineRule="auto"/>
        <w:ind w:firstLine="0"/>
        <w:jc w:val="center"/>
        <w:rPr>
          <w:rFonts w:ascii="Bookman Old Style" w:hAnsi="Bookman Old Style"/>
        </w:rPr>
      </w:pPr>
      <w:r w:rsidRPr="00605EC8">
        <w:rPr>
          <w:rFonts w:ascii="Bookman Old Style" w:hAnsi="Bookman Old Style"/>
        </w:rPr>
        <w:t>Magistrada</w:t>
      </w:r>
    </w:p>
    <w:p w14:paraId="47AD9C5F" w14:textId="77777777" w:rsidR="00C75605" w:rsidRPr="00605EC8" w:rsidRDefault="00C75605" w:rsidP="00605EC8">
      <w:pPr>
        <w:spacing w:line="276" w:lineRule="auto"/>
        <w:ind w:firstLine="0"/>
        <w:jc w:val="center"/>
        <w:rPr>
          <w:rFonts w:ascii="Bookman Old Style" w:hAnsi="Bookman Old Style"/>
        </w:rPr>
      </w:pPr>
      <w:r w:rsidRPr="00605EC8">
        <w:rPr>
          <w:rFonts w:ascii="Bookman Old Style" w:hAnsi="Bookman Old Style"/>
        </w:rPr>
        <w:t>Con impedimento</w:t>
      </w:r>
    </w:p>
    <w:p w14:paraId="5689072D" w14:textId="37146D61" w:rsidR="00A334ED" w:rsidRPr="00605EC8" w:rsidRDefault="00A334ED" w:rsidP="00605EC8">
      <w:pPr>
        <w:spacing w:line="276" w:lineRule="auto"/>
        <w:ind w:firstLine="0"/>
        <w:rPr>
          <w:rFonts w:ascii="Bookman Old Style" w:hAnsi="Bookman Old Style" w:cs="Arial"/>
          <w:bCs/>
        </w:rPr>
      </w:pPr>
    </w:p>
    <w:p w14:paraId="61E52FFF" w14:textId="0A5F7C0A" w:rsidR="00A334ED" w:rsidRPr="00605EC8" w:rsidRDefault="00A334ED" w:rsidP="00605EC8">
      <w:pPr>
        <w:spacing w:line="276" w:lineRule="auto"/>
        <w:ind w:firstLine="0"/>
        <w:jc w:val="center"/>
        <w:rPr>
          <w:rFonts w:ascii="Bookman Old Style" w:hAnsi="Bookman Old Style" w:cs="Arial"/>
          <w:b/>
          <w:bCs/>
        </w:rPr>
      </w:pPr>
    </w:p>
    <w:p w14:paraId="306F43FF" w14:textId="2ADA9E26" w:rsidR="00A334ED" w:rsidRPr="00605EC8" w:rsidRDefault="00E04B8B" w:rsidP="00605EC8">
      <w:pPr>
        <w:spacing w:line="276" w:lineRule="auto"/>
        <w:ind w:firstLine="0"/>
        <w:jc w:val="center"/>
        <w:rPr>
          <w:rFonts w:ascii="Bookman Old Style" w:hAnsi="Bookman Old Style"/>
          <w:b/>
          <w:bCs/>
        </w:rPr>
      </w:pPr>
      <w:r w:rsidRPr="00605EC8">
        <w:rPr>
          <w:rFonts w:ascii="Bookman Old Style" w:hAnsi="Bookman Old Style"/>
          <w:b/>
          <w:bCs/>
        </w:rPr>
        <w:t>CAROLINA FERNÁNDEZ GÓMEZ</w:t>
      </w:r>
    </w:p>
    <w:p w14:paraId="379058DE" w14:textId="0BB28063" w:rsidR="00A334ED" w:rsidRPr="00605EC8" w:rsidRDefault="00C54541" w:rsidP="00605EC8">
      <w:pPr>
        <w:spacing w:line="276" w:lineRule="auto"/>
        <w:ind w:firstLine="0"/>
        <w:jc w:val="center"/>
        <w:rPr>
          <w:rFonts w:ascii="Bookman Old Style" w:hAnsi="Bookman Old Style" w:cs="Arial"/>
        </w:rPr>
      </w:pPr>
      <w:r w:rsidRPr="00605EC8">
        <w:rPr>
          <w:rFonts w:ascii="Bookman Old Style" w:hAnsi="Bookman Old Style" w:cs="Arial"/>
        </w:rPr>
        <w:t xml:space="preserve">Conjuez </w:t>
      </w:r>
    </w:p>
    <w:p w14:paraId="37ADFE36" w14:textId="77777777" w:rsidR="00A334ED" w:rsidRPr="00605EC8" w:rsidRDefault="00A334ED" w:rsidP="00605EC8">
      <w:pPr>
        <w:spacing w:line="276" w:lineRule="auto"/>
        <w:ind w:firstLine="0"/>
        <w:jc w:val="center"/>
        <w:rPr>
          <w:rFonts w:ascii="Bookman Old Style" w:hAnsi="Bookman Old Style" w:cs="Arial"/>
          <w:b/>
          <w:bCs/>
        </w:rPr>
      </w:pPr>
    </w:p>
    <w:p w14:paraId="02F85BC5" w14:textId="77777777" w:rsidR="00C54541" w:rsidRPr="00605EC8" w:rsidRDefault="00C54541" w:rsidP="00605EC8">
      <w:pPr>
        <w:spacing w:line="276" w:lineRule="auto"/>
        <w:ind w:firstLine="0"/>
        <w:jc w:val="center"/>
        <w:rPr>
          <w:rFonts w:ascii="Bookman Old Style" w:hAnsi="Bookman Old Style" w:cs="Arial"/>
          <w:b/>
          <w:bCs/>
        </w:rPr>
      </w:pPr>
    </w:p>
    <w:p w14:paraId="0AD2FE5F" w14:textId="31898FC5" w:rsidR="009927D6" w:rsidRPr="00605EC8" w:rsidRDefault="002C0021" w:rsidP="00605EC8">
      <w:pPr>
        <w:spacing w:line="276" w:lineRule="auto"/>
        <w:ind w:firstLine="0"/>
        <w:jc w:val="center"/>
        <w:rPr>
          <w:rFonts w:ascii="Bookman Old Style" w:hAnsi="Bookman Old Style" w:cs="Arial"/>
          <w:b/>
          <w:bCs/>
        </w:rPr>
      </w:pPr>
      <w:r w:rsidRPr="00605EC8">
        <w:rPr>
          <w:rFonts w:ascii="Bookman Old Style" w:hAnsi="Bookman Old Style" w:cs="Arial"/>
          <w:b/>
        </w:rPr>
        <w:t xml:space="preserve">       </w:t>
      </w:r>
      <w:r w:rsidRPr="00605EC8">
        <w:rPr>
          <w:rFonts w:ascii="Bookman Old Style" w:hAnsi="Bookman Old Style" w:cs="Arial"/>
          <w:b/>
          <w:bCs/>
        </w:rPr>
        <w:t>WILLIAM ALBERTO GIRALDO OROZCO</w:t>
      </w:r>
    </w:p>
    <w:p w14:paraId="7B8C4DE9" w14:textId="18ECD45D" w:rsidR="00C54541" w:rsidRPr="00605EC8" w:rsidRDefault="00C54541" w:rsidP="00605EC8">
      <w:pPr>
        <w:spacing w:line="276" w:lineRule="auto"/>
        <w:ind w:firstLine="0"/>
        <w:jc w:val="center"/>
        <w:rPr>
          <w:rStyle w:val="nfasissutil"/>
          <w:rFonts w:ascii="Bookman Old Style" w:hAnsi="Bookman Old Style" w:cs="Arial"/>
          <w:i w:val="0"/>
          <w:iCs w:val="0"/>
          <w:color w:val="auto"/>
        </w:rPr>
      </w:pPr>
      <w:r w:rsidRPr="00605EC8">
        <w:rPr>
          <w:rFonts w:ascii="Bookman Old Style" w:hAnsi="Bookman Old Style" w:cs="Arial"/>
        </w:rPr>
        <w:t>Conjuez</w:t>
      </w:r>
    </w:p>
    <w:sectPr w:rsidR="00C54541" w:rsidRPr="00605EC8" w:rsidSect="00D36679">
      <w:headerReference w:type="default" r:id="rId12"/>
      <w:footerReference w:type="default" r:id="rId13"/>
      <w:type w:val="continuous"/>
      <w:pgSz w:w="12242" w:h="18722" w:code="258"/>
      <w:pgMar w:top="1928"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10FF6" w14:textId="77777777" w:rsidR="004D58DF" w:rsidRDefault="004D58DF" w:rsidP="00FD6141">
      <w:pPr>
        <w:spacing w:line="240" w:lineRule="auto"/>
      </w:pPr>
      <w:r>
        <w:separator/>
      </w:r>
    </w:p>
  </w:endnote>
  <w:endnote w:type="continuationSeparator" w:id="0">
    <w:p w14:paraId="533A3493" w14:textId="77777777" w:rsidR="004D58DF" w:rsidRDefault="004D58DF" w:rsidP="00FD6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89446"/>
      <w:docPartObj>
        <w:docPartGallery w:val="Page Numbers (Bottom of Page)"/>
        <w:docPartUnique/>
      </w:docPartObj>
    </w:sdtPr>
    <w:sdtContent>
      <w:p w14:paraId="3BA9F6C8" w14:textId="77777777" w:rsidR="003F7BF2" w:rsidRDefault="003F7BF2" w:rsidP="003F7BF2">
        <w:pPr>
          <w:pStyle w:val="Piedepgina"/>
          <w:ind w:firstLine="0"/>
          <w:jc w:val="center"/>
        </w:pPr>
        <w:r>
          <w:rPr>
            <w:noProof/>
            <w:lang w:eastAsia="es-CO"/>
          </w:rPr>
          <mc:AlternateContent>
            <mc:Choice Requires="wps">
              <w:drawing>
                <wp:inline distT="0" distB="0" distL="0" distR="0" wp14:anchorId="10EEAC17" wp14:editId="2F4CB8FC">
                  <wp:extent cx="5467350" cy="54610"/>
                  <wp:effectExtent l="38100" t="0" r="0" b="21590"/>
                  <wp:docPr id="819768336"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265C0594">
                <v:shapetype id="_x0000_t110" coordsize="21600,21600" o:spt="110" path="m10800,l,10800,10800,21600,21600,10800xe" w14:anchorId="01A6737D">
                  <v:stroke joinstyle="miter"/>
                  <v:path textboxrect="5400,5400,16200,16200" gradientshapeok="t" o:connecttype="rect"/>
                </v:shapetype>
                <v:shape id="Diagrama de flujo: decisión 2"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711411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">
                  <w10:anchorlock/>
                </v:shape>
              </w:pict>
            </mc:Fallback>
          </mc:AlternateContent>
        </w:r>
      </w:p>
    </w:sdtContent>
  </w:sdt>
  <w:p w14:paraId="026D360B" w14:textId="42353564" w:rsidR="003F7BF2" w:rsidRPr="00605EC8" w:rsidRDefault="003F7BF2" w:rsidP="003F7BF2">
    <w:pPr>
      <w:pStyle w:val="Piedepgina"/>
      <w:ind w:firstLine="0"/>
      <w:jc w:val="center"/>
      <w:rPr>
        <w:color w:val="6D6D6D" w:themeColor="background2" w:themeShade="80"/>
        <w:sz w:val="18"/>
        <w:szCs w:val="18"/>
      </w:rPr>
    </w:pPr>
    <w:r w:rsidRPr="00605EC8">
      <w:rPr>
        <w:color w:val="6D6D6D" w:themeColor="background2" w:themeShade="80"/>
        <w:sz w:val="18"/>
        <w:szCs w:val="18"/>
        <w:lang w:val="es-ES"/>
      </w:rPr>
      <w:t xml:space="preserve">Página </w:t>
    </w:r>
    <w:r w:rsidRPr="00605EC8">
      <w:rPr>
        <w:color w:val="6D6D6D" w:themeColor="background2" w:themeShade="80"/>
        <w:sz w:val="18"/>
        <w:szCs w:val="18"/>
      </w:rPr>
      <w:fldChar w:fldCharType="begin"/>
    </w:r>
    <w:r w:rsidRPr="00605EC8">
      <w:rPr>
        <w:color w:val="6D6D6D" w:themeColor="background2" w:themeShade="80"/>
        <w:sz w:val="18"/>
        <w:szCs w:val="18"/>
      </w:rPr>
      <w:instrText>PAGE  \* Arabic  \* MERGEFORMAT</w:instrText>
    </w:r>
    <w:r w:rsidRPr="00605EC8">
      <w:rPr>
        <w:color w:val="6D6D6D" w:themeColor="background2" w:themeShade="80"/>
        <w:sz w:val="18"/>
        <w:szCs w:val="18"/>
      </w:rPr>
      <w:fldChar w:fldCharType="separate"/>
    </w:r>
    <w:r w:rsidR="004B12B5" w:rsidRPr="00605EC8">
      <w:rPr>
        <w:noProof/>
        <w:color w:val="6D6D6D" w:themeColor="background2" w:themeShade="80"/>
        <w:sz w:val="18"/>
        <w:szCs w:val="18"/>
        <w:lang w:val="es-ES"/>
      </w:rPr>
      <w:t>14</w:t>
    </w:r>
    <w:r w:rsidRPr="00605EC8">
      <w:rPr>
        <w:color w:val="6D6D6D" w:themeColor="background2" w:themeShade="80"/>
        <w:sz w:val="18"/>
        <w:szCs w:val="18"/>
      </w:rPr>
      <w:fldChar w:fldCharType="end"/>
    </w:r>
    <w:r w:rsidRPr="00605EC8">
      <w:rPr>
        <w:color w:val="6D6D6D" w:themeColor="background2" w:themeShade="80"/>
        <w:sz w:val="18"/>
        <w:szCs w:val="18"/>
        <w:lang w:val="es-ES"/>
      </w:rPr>
      <w:t xml:space="preserve"> de </w:t>
    </w:r>
    <w:r w:rsidRPr="00605EC8">
      <w:rPr>
        <w:color w:val="6D6D6D" w:themeColor="background2" w:themeShade="80"/>
        <w:sz w:val="18"/>
        <w:szCs w:val="18"/>
      </w:rPr>
      <w:fldChar w:fldCharType="begin"/>
    </w:r>
    <w:r w:rsidRPr="00605EC8">
      <w:rPr>
        <w:color w:val="6D6D6D" w:themeColor="background2" w:themeShade="80"/>
        <w:sz w:val="18"/>
        <w:szCs w:val="18"/>
      </w:rPr>
      <w:instrText>NUMPAGES  \* Arabic  \* MERGEFORMAT</w:instrText>
    </w:r>
    <w:r w:rsidRPr="00605EC8">
      <w:rPr>
        <w:color w:val="6D6D6D" w:themeColor="background2" w:themeShade="80"/>
        <w:sz w:val="18"/>
        <w:szCs w:val="18"/>
      </w:rPr>
      <w:fldChar w:fldCharType="separate"/>
    </w:r>
    <w:r w:rsidR="004B12B5" w:rsidRPr="00605EC8">
      <w:rPr>
        <w:noProof/>
        <w:color w:val="6D6D6D" w:themeColor="background2" w:themeShade="80"/>
        <w:sz w:val="18"/>
        <w:szCs w:val="18"/>
        <w:lang w:val="es-ES"/>
      </w:rPr>
      <w:t>22</w:t>
    </w:r>
    <w:r w:rsidRPr="00605EC8">
      <w:rPr>
        <w:color w:val="6D6D6D" w:themeColor="background2"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09AF9" w14:textId="77777777" w:rsidR="004D58DF" w:rsidRDefault="004D58DF" w:rsidP="00FD6141">
      <w:pPr>
        <w:spacing w:line="240" w:lineRule="auto"/>
      </w:pPr>
      <w:r>
        <w:separator/>
      </w:r>
    </w:p>
  </w:footnote>
  <w:footnote w:type="continuationSeparator" w:id="0">
    <w:p w14:paraId="7EB70719" w14:textId="77777777" w:rsidR="004D58DF" w:rsidRDefault="004D58DF" w:rsidP="00FD6141">
      <w:pPr>
        <w:spacing w:line="240" w:lineRule="auto"/>
      </w:pPr>
      <w:r>
        <w:continuationSeparator/>
      </w:r>
    </w:p>
  </w:footnote>
  <w:footnote w:id="1">
    <w:p w14:paraId="7EC512D1" w14:textId="77777777" w:rsidR="009E0384" w:rsidRPr="00AE5A4C" w:rsidRDefault="009E0384" w:rsidP="00AE5A4C">
      <w:pPr>
        <w:pStyle w:val="Textonotapie"/>
        <w:rPr>
          <w:sz w:val="18"/>
          <w:szCs w:val="18"/>
          <w:lang w:val="es-ES"/>
        </w:rPr>
      </w:pPr>
      <w:r w:rsidRPr="00AE5A4C">
        <w:rPr>
          <w:rStyle w:val="Refdenotaalpie"/>
          <w:sz w:val="18"/>
          <w:szCs w:val="18"/>
        </w:rPr>
        <w:footnoteRef/>
      </w:r>
      <w:r w:rsidRPr="00AE5A4C">
        <w:rPr>
          <w:sz w:val="18"/>
          <w:szCs w:val="18"/>
        </w:rPr>
        <w:t xml:space="preserve"> </w:t>
      </w:r>
      <w:proofErr w:type="spellStart"/>
      <w:r w:rsidRPr="00AE5A4C">
        <w:rPr>
          <w:sz w:val="18"/>
          <w:szCs w:val="18"/>
        </w:rPr>
        <w:t>M.P</w:t>
      </w:r>
      <w:proofErr w:type="spellEnd"/>
      <w:r w:rsidRPr="00AE5A4C">
        <w:rPr>
          <w:sz w:val="18"/>
          <w:szCs w:val="18"/>
        </w:rPr>
        <w:t>. Dra. Clara Cecilia Dueñas Quevedo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8B261" w14:textId="213E05A7" w:rsidR="00D24FD3" w:rsidRPr="00605EC8" w:rsidRDefault="00D24FD3" w:rsidP="00605EC8">
    <w:pPr>
      <w:spacing w:line="240" w:lineRule="auto"/>
      <w:ind w:left="5812" w:right="-5" w:firstLine="0"/>
      <w:jc w:val="right"/>
      <w:rPr>
        <w:rFonts w:cs="Arial"/>
        <w:noProof/>
        <w:sz w:val="18"/>
        <w:szCs w:val="18"/>
      </w:rPr>
    </w:pPr>
    <w:r w:rsidRPr="00605EC8">
      <w:rPr>
        <w:rFonts w:cs="Arial"/>
        <w:noProof/>
        <w:sz w:val="18"/>
        <w:szCs w:val="18"/>
      </w:rPr>
      <w:t>Julian Alberto Ruiz vs Hernando Granada Gomez  y otros</w:t>
    </w:r>
  </w:p>
  <w:p w14:paraId="31BAEBF6" w14:textId="120983A4" w:rsidR="003F7BF2" w:rsidRPr="00605EC8" w:rsidRDefault="00D24FD3" w:rsidP="00605EC8">
    <w:pPr>
      <w:spacing w:line="240" w:lineRule="auto"/>
      <w:ind w:left="5812" w:right="-5" w:firstLine="0"/>
      <w:jc w:val="right"/>
      <w:rPr>
        <w:rFonts w:cs="Arial"/>
        <w:sz w:val="18"/>
        <w:szCs w:val="18"/>
      </w:rPr>
    </w:pPr>
    <w:r w:rsidRPr="00605EC8">
      <w:rPr>
        <w:rFonts w:cs="Arial"/>
        <w:noProof/>
        <w:sz w:val="18"/>
        <w:szCs w:val="18"/>
      </w:rPr>
      <w:t>Radicación 66001310500120100051702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34924"/>
    <w:multiLevelType w:val="hybridMultilevel"/>
    <w:tmpl w:val="5500668C"/>
    <w:lvl w:ilvl="0" w:tplc="E3E4254C">
      <w:start w:val="2"/>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725361"/>
    <w:multiLevelType w:val="hybridMultilevel"/>
    <w:tmpl w:val="6D7A760C"/>
    <w:lvl w:ilvl="0" w:tplc="517681AE">
      <w:start w:val="2"/>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1">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 w15:restartNumberingAfterBreak="1">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BA25251"/>
    <w:multiLevelType w:val="multilevel"/>
    <w:tmpl w:val="ED4C322E"/>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1">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6" w15:restartNumberingAfterBreak="1">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16cid:durableId="143939034">
    <w:abstractNumId w:val="2"/>
  </w:num>
  <w:num w:numId="2" w16cid:durableId="2107799807">
    <w:abstractNumId w:val="2"/>
  </w:num>
  <w:num w:numId="3" w16cid:durableId="1554341355">
    <w:abstractNumId w:val="2"/>
  </w:num>
  <w:num w:numId="4" w16cid:durableId="2064595258">
    <w:abstractNumId w:val="2"/>
  </w:num>
  <w:num w:numId="5" w16cid:durableId="85077576">
    <w:abstractNumId w:val="6"/>
  </w:num>
  <w:num w:numId="6" w16cid:durableId="27292866">
    <w:abstractNumId w:val="6"/>
  </w:num>
  <w:num w:numId="7" w16cid:durableId="333536320">
    <w:abstractNumId w:val="6"/>
  </w:num>
  <w:num w:numId="8" w16cid:durableId="1723212457">
    <w:abstractNumId w:val="6"/>
  </w:num>
  <w:num w:numId="9" w16cid:durableId="1760173168">
    <w:abstractNumId w:val="5"/>
  </w:num>
  <w:num w:numId="10" w16cid:durableId="197738824">
    <w:abstractNumId w:val="3"/>
  </w:num>
  <w:num w:numId="11" w16cid:durableId="9530499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5411600">
    <w:abstractNumId w:val="1"/>
  </w:num>
  <w:num w:numId="13" w16cid:durableId="158434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proofState w:spelling="clean" w:grammar="clean"/>
  <w:attachedTemplate r:id="rId1"/>
  <w:defaultTabStop w:val="708"/>
  <w:hyphenationZone w:val="425"/>
  <w:drawingGridHorizontalSpacing w:val="120"/>
  <w:drawingGridVerticalSpacing w:val="36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986"/>
    <w:rsid w:val="00002EF1"/>
    <w:rsid w:val="00006D5D"/>
    <w:rsid w:val="00013951"/>
    <w:rsid w:val="00025B04"/>
    <w:rsid w:val="00026736"/>
    <w:rsid w:val="00030381"/>
    <w:rsid w:val="000370D6"/>
    <w:rsid w:val="00041F2F"/>
    <w:rsid w:val="00042C69"/>
    <w:rsid w:val="00050C16"/>
    <w:rsid w:val="00051BF6"/>
    <w:rsid w:val="0005264B"/>
    <w:rsid w:val="0005333F"/>
    <w:rsid w:val="000639A7"/>
    <w:rsid w:val="000748D3"/>
    <w:rsid w:val="00075C70"/>
    <w:rsid w:val="00076EF2"/>
    <w:rsid w:val="00093F7E"/>
    <w:rsid w:val="000962C2"/>
    <w:rsid w:val="000A170A"/>
    <w:rsid w:val="000C2C75"/>
    <w:rsid w:val="000C4E19"/>
    <w:rsid w:val="000D0161"/>
    <w:rsid w:val="000D3F7D"/>
    <w:rsid w:val="000E2D63"/>
    <w:rsid w:val="00101380"/>
    <w:rsid w:val="00125459"/>
    <w:rsid w:val="00134A3C"/>
    <w:rsid w:val="001363CA"/>
    <w:rsid w:val="001505F9"/>
    <w:rsid w:val="001656D8"/>
    <w:rsid w:val="00166E1B"/>
    <w:rsid w:val="00172CA1"/>
    <w:rsid w:val="00184414"/>
    <w:rsid w:val="00184DA2"/>
    <w:rsid w:val="001868E0"/>
    <w:rsid w:val="001943AF"/>
    <w:rsid w:val="001A391F"/>
    <w:rsid w:val="001B2C76"/>
    <w:rsid w:val="001C5E6D"/>
    <w:rsid w:val="001C7373"/>
    <w:rsid w:val="001D6565"/>
    <w:rsid w:val="001D772D"/>
    <w:rsid w:val="001E47D4"/>
    <w:rsid w:val="001F168F"/>
    <w:rsid w:val="001F1956"/>
    <w:rsid w:val="001F3C68"/>
    <w:rsid w:val="002014E0"/>
    <w:rsid w:val="00205565"/>
    <w:rsid w:val="00207069"/>
    <w:rsid w:val="002211E6"/>
    <w:rsid w:val="00230D6C"/>
    <w:rsid w:val="00231F37"/>
    <w:rsid w:val="00233888"/>
    <w:rsid w:val="00244E3C"/>
    <w:rsid w:val="002508F8"/>
    <w:rsid w:val="002577CD"/>
    <w:rsid w:val="0026521A"/>
    <w:rsid w:val="00286FFB"/>
    <w:rsid w:val="0029665B"/>
    <w:rsid w:val="002A02C9"/>
    <w:rsid w:val="002A1D28"/>
    <w:rsid w:val="002C0021"/>
    <w:rsid w:val="002C3BB6"/>
    <w:rsid w:val="002C54E6"/>
    <w:rsid w:val="002D0497"/>
    <w:rsid w:val="002D3CF7"/>
    <w:rsid w:val="002D3D15"/>
    <w:rsid w:val="002D413D"/>
    <w:rsid w:val="002E0B67"/>
    <w:rsid w:val="002F365C"/>
    <w:rsid w:val="00302153"/>
    <w:rsid w:val="00305C2E"/>
    <w:rsid w:val="00310979"/>
    <w:rsid w:val="00324815"/>
    <w:rsid w:val="00330548"/>
    <w:rsid w:val="003354E4"/>
    <w:rsid w:val="00337739"/>
    <w:rsid w:val="00342860"/>
    <w:rsid w:val="00373BB6"/>
    <w:rsid w:val="00390721"/>
    <w:rsid w:val="00394430"/>
    <w:rsid w:val="00395752"/>
    <w:rsid w:val="003A29A0"/>
    <w:rsid w:val="003A2C30"/>
    <w:rsid w:val="003F1E12"/>
    <w:rsid w:val="003F7BF2"/>
    <w:rsid w:val="00407364"/>
    <w:rsid w:val="004161F7"/>
    <w:rsid w:val="00426166"/>
    <w:rsid w:val="00430B47"/>
    <w:rsid w:val="00441B8B"/>
    <w:rsid w:val="00441EF1"/>
    <w:rsid w:val="00443FE1"/>
    <w:rsid w:val="00444789"/>
    <w:rsid w:val="00450932"/>
    <w:rsid w:val="00452B81"/>
    <w:rsid w:val="00463B17"/>
    <w:rsid w:val="00470B9B"/>
    <w:rsid w:val="004763C7"/>
    <w:rsid w:val="00477D65"/>
    <w:rsid w:val="004876D3"/>
    <w:rsid w:val="0049517E"/>
    <w:rsid w:val="004A43FC"/>
    <w:rsid w:val="004A79A5"/>
    <w:rsid w:val="004B12B5"/>
    <w:rsid w:val="004B1CC2"/>
    <w:rsid w:val="004C10A3"/>
    <w:rsid w:val="004C2EFE"/>
    <w:rsid w:val="004C7D5A"/>
    <w:rsid w:val="004D58DF"/>
    <w:rsid w:val="004D5F43"/>
    <w:rsid w:val="004E39E6"/>
    <w:rsid w:val="004E6A8F"/>
    <w:rsid w:val="004F0854"/>
    <w:rsid w:val="004F2ECE"/>
    <w:rsid w:val="00511227"/>
    <w:rsid w:val="00512862"/>
    <w:rsid w:val="00515DE9"/>
    <w:rsid w:val="0051747A"/>
    <w:rsid w:val="00523B6C"/>
    <w:rsid w:val="005363E0"/>
    <w:rsid w:val="00541556"/>
    <w:rsid w:val="00542074"/>
    <w:rsid w:val="00550C88"/>
    <w:rsid w:val="005533BB"/>
    <w:rsid w:val="005537D7"/>
    <w:rsid w:val="0055617A"/>
    <w:rsid w:val="00560E24"/>
    <w:rsid w:val="005655B4"/>
    <w:rsid w:val="00574056"/>
    <w:rsid w:val="00574476"/>
    <w:rsid w:val="005858D7"/>
    <w:rsid w:val="00587EE1"/>
    <w:rsid w:val="005B366C"/>
    <w:rsid w:val="005B5103"/>
    <w:rsid w:val="005F22D6"/>
    <w:rsid w:val="005F35A3"/>
    <w:rsid w:val="00605EC8"/>
    <w:rsid w:val="0062041B"/>
    <w:rsid w:val="00632D34"/>
    <w:rsid w:val="00636ACF"/>
    <w:rsid w:val="00640DA1"/>
    <w:rsid w:val="00645F2B"/>
    <w:rsid w:val="00651C9B"/>
    <w:rsid w:val="0066112A"/>
    <w:rsid w:val="00663AD7"/>
    <w:rsid w:val="00665265"/>
    <w:rsid w:val="0068240F"/>
    <w:rsid w:val="00684897"/>
    <w:rsid w:val="00690320"/>
    <w:rsid w:val="00691B05"/>
    <w:rsid w:val="0069415A"/>
    <w:rsid w:val="0069499F"/>
    <w:rsid w:val="00694ABB"/>
    <w:rsid w:val="006A488A"/>
    <w:rsid w:val="006C73F3"/>
    <w:rsid w:val="006D1496"/>
    <w:rsid w:val="006D177B"/>
    <w:rsid w:val="006D3B18"/>
    <w:rsid w:val="006D7C36"/>
    <w:rsid w:val="006E1912"/>
    <w:rsid w:val="006F17CA"/>
    <w:rsid w:val="006F346C"/>
    <w:rsid w:val="006F34D1"/>
    <w:rsid w:val="006F41AA"/>
    <w:rsid w:val="00703E07"/>
    <w:rsid w:val="00710196"/>
    <w:rsid w:val="00710833"/>
    <w:rsid w:val="00713EBA"/>
    <w:rsid w:val="00714046"/>
    <w:rsid w:val="007228C5"/>
    <w:rsid w:val="0074141D"/>
    <w:rsid w:val="00741F08"/>
    <w:rsid w:val="00745A74"/>
    <w:rsid w:val="00761745"/>
    <w:rsid w:val="00761BA8"/>
    <w:rsid w:val="007651F7"/>
    <w:rsid w:val="00770392"/>
    <w:rsid w:val="00783EC9"/>
    <w:rsid w:val="00796882"/>
    <w:rsid w:val="00796B34"/>
    <w:rsid w:val="007A337B"/>
    <w:rsid w:val="007B0C12"/>
    <w:rsid w:val="007B38D6"/>
    <w:rsid w:val="007B4A32"/>
    <w:rsid w:val="007C748D"/>
    <w:rsid w:val="007D4BD9"/>
    <w:rsid w:val="007E3B48"/>
    <w:rsid w:val="007E43B1"/>
    <w:rsid w:val="007E61C0"/>
    <w:rsid w:val="007F25EB"/>
    <w:rsid w:val="00805DC9"/>
    <w:rsid w:val="00812661"/>
    <w:rsid w:val="00836039"/>
    <w:rsid w:val="00840121"/>
    <w:rsid w:val="008518CD"/>
    <w:rsid w:val="00851B95"/>
    <w:rsid w:val="00853B8C"/>
    <w:rsid w:val="008548ED"/>
    <w:rsid w:val="0085589B"/>
    <w:rsid w:val="00857FC7"/>
    <w:rsid w:val="0086248E"/>
    <w:rsid w:val="00873B80"/>
    <w:rsid w:val="00884606"/>
    <w:rsid w:val="00887B25"/>
    <w:rsid w:val="0089144E"/>
    <w:rsid w:val="00892BA9"/>
    <w:rsid w:val="008A069E"/>
    <w:rsid w:val="008A36B3"/>
    <w:rsid w:val="008A5808"/>
    <w:rsid w:val="008A7FF0"/>
    <w:rsid w:val="008D17F8"/>
    <w:rsid w:val="008E5F5F"/>
    <w:rsid w:val="00905C4D"/>
    <w:rsid w:val="00907663"/>
    <w:rsid w:val="00907F87"/>
    <w:rsid w:val="0091085A"/>
    <w:rsid w:val="00916A4C"/>
    <w:rsid w:val="00927842"/>
    <w:rsid w:val="00930FA1"/>
    <w:rsid w:val="0094449A"/>
    <w:rsid w:val="009472B9"/>
    <w:rsid w:val="00954FDE"/>
    <w:rsid w:val="00960F4E"/>
    <w:rsid w:val="00962AFD"/>
    <w:rsid w:val="00967DC6"/>
    <w:rsid w:val="009927D6"/>
    <w:rsid w:val="00995673"/>
    <w:rsid w:val="00995EE3"/>
    <w:rsid w:val="009A502A"/>
    <w:rsid w:val="009A649D"/>
    <w:rsid w:val="009A698D"/>
    <w:rsid w:val="009B699C"/>
    <w:rsid w:val="009D200C"/>
    <w:rsid w:val="009D49FF"/>
    <w:rsid w:val="009E0384"/>
    <w:rsid w:val="009E2790"/>
    <w:rsid w:val="009E2F3D"/>
    <w:rsid w:val="009E721F"/>
    <w:rsid w:val="00A02162"/>
    <w:rsid w:val="00A054C1"/>
    <w:rsid w:val="00A1125B"/>
    <w:rsid w:val="00A11F09"/>
    <w:rsid w:val="00A17A7A"/>
    <w:rsid w:val="00A21779"/>
    <w:rsid w:val="00A2294F"/>
    <w:rsid w:val="00A332D6"/>
    <w:rsid w:val="00A334ED"/>
    <w:rsid w:val="00A36FE8"/>
    <w:rsid w:val="00A44DA4"/>
    <w:rsid w:val="00A50E7C"/>
    <w:rsid w:val="00A512B6"/>
    <w:rsid w:val="00A52FC3"/>
    <w:rsid w:val="00A53C7D"/>
    <w:rsid w:val="00A65815"/>
    <w:rsid w:val="00A65BE6"/>
    <w:rsid w:val="00A6722B"/>
    <w:rsid w:val="00A72D4F"/>
    <w:rsid w:val="00A74117"/>
    <w:rsid w:val="00A74904"/>
    <w:rsid w:val="00A7575A"/>
    <w:rsid w:val="00A8752F"/>
    <w:rsid w:val="00A9077A"/>
    <w:rsid w:val="00AA2730"/>
    <w:rsid w:val="00AC7E0F"/>
    <w:rsid w:val="00AD0F69"/>
    <w:rsid w:val="00AD2191"/>
    <w:rsid w:val="00AD4868"/>
    <w:rsid w:val="00AE0B44"/>
    <w:rsid w:val="00AE5A4C"/>
    <w:rsid w:val="00AF293E"/>
    <w:rsid w:val="00B10BE3"/>
    <w:rsid w:val="00B13264"/>
    <w:rsid w:val="00B3585E"/>
    <w:rsid w:val="00B36FFC"/>
    <w:rsid w:val="00B37397"/>
    <w:rsid w:val="00B5077F"/>
    <w:rsid w:val="00B652A2"/>
    <w:rsid w:val="00B668B6"/>
    <w:rsid w:val="00B9061F"/>
    <w:rsid w:val="00BB1DE2"/>
    <w:rsid w:val="00BB6525"/>
    <w:rsid w:val="00BC0B6B"/>
    <w:rsid w:val="00BC1090"/>
    <w:rsid w:val="00BC13A5"/>
    <w:rsid w:val="00BC1D55"/>
    <w:rsid w:val="00BC3B29"/>
    <w:rsid w:val="00BD2106"/>
    <w:rsid w:val="00BD33CF"/>
    <w:rsid w:val="00BD3559"/>
    <w:rsid w:val="00BE0508"/>
    <w:rsid w:val="00BE11A4"/>
    <w:rsid w:val="00BE6CA0"/>
    <w:rsid w:val="00C00D9D"/>
    <w:rsid w:val="00C01A79"/>
    <w:rsid w:val="00C11C98"/>
    <w:rsid w:val="00C234EE"/>
    <w:rsid w:val="00C24336"/>
    <w:rsid w:val="00C24B60"/>
    <w:rsid w:val="00C25170"/>
    <w:rsid w:val="00C3180A"/>
    <w:rsid w:val="00C3216F"/>
    <w:rsid w:val="00C33596"/>
    <w:rsid w:val="00C37495"/>
    <w:rsid w:val="00C44BAF"/>
    <w:rsid w:val="00C44E7A"/>
    <w:rsid w:val="00C46C41"/>
    <w:rsid w:val="00C54541"/>
    <w:rsid w:val="00C57A97"/>
    <w:rsid w:val="00C70216"/>
    <w:rsid w:val="00C73189"/>
    <w:rsid w:val="00C75605"/>
    <w:rsid w:val="00C76E14"/>
    <w:rsid w:val="00C87131"/>
    <w:rsid w:val="00C87B4F"/>
    <w:rsid w:val="00C91922"/>
    <w:rsid w:val="00C97074"/>
    <w:rsid w:val="00CA4734"/>
    <w:rsid w:val="00CB2456"/>
    <w:rsid w:val="00CB4B5D"/>
    <w:rsid w:val="00CB5EAD"/>
    <w:rsid w:val="00CD3C4C"/>
    <w:rsid w:val="00CE66F3"/>
    <w:rsid w:val="00D0075A"/>
    <w:rsid w:val="00D01379"/>
    <w:rsid w:val="00D01986"/>
    <w:rsid w:val="00D15539"/>
    <w:rsid w:val="00D1762A"/>
    <w:rsid w:val="00D17B50"/>
    <w:rsid w:val="00D20D67"/>
    <w:rsid w:val="00D22E25"/>
    <w:rsid w:val="00D24FD3"/>
    <w:rsid w:val="00D25758"/>
    <w:rsid w:val="00D36679"/>
    <w:rsid w:val="00D466E6"/>
    <w:rsid w:val="00D61EA5"/>
    <w:rsid w:val="00D639E3"/>
    <w:rsid w:val="00D66A9D"/>
    <w:rsid w:val="00D66D75"/>
    <w:rsid w:val="00D85D36"/>
    <w:rsid w:val="00D87D1D"/>
    <w:rsid w:val="00D96EB7"/>
    <w:rsid w:val="00DA275C"/>
    <w:rsid w:val="00DA4BE6"/>
    <w:rsid w:val="00DC5810"/>
    <w:rsid w:val="00DD709C"/>
    <w:rsid w:val="00DE6FAF"/>
    <w:rsid w:val="00DF5D62"/>
    <w:rsid w:val="00E049DE"/>
    <w:rsid w:val="00E04B8B"/>
    <w:rsid w:val="00E04F52"/>
    <w:rsid w:val="00E07874"/>
    <w:rsid w:val="00E258C5"/>
    <w:rsid w:val="00E40BB4"/>
    <w:rsid w:val="00E44599"/>
    <w:rsid w:val="00E45899"/>
    <w:rsid w:val="00E61494"/>
    <w:rsid w:val="00E67665"/>
    <w:rsid w:val="00E67A8F"/>
    <w:rsid w:val="00E71D29"/>
    <w:rsid w:val="00E729AF"/>
    <w:rsid w:val="00E735FC"/>
    <w:rsid w:val="00E75390"/>
    <w:rsid w:val="00E75C73"/>
    <w:rsid w:val="00E828A1"/>
    <w:rsid w:val="00E90EB4"/>
    <w:rsid w:val="00E958FD"/>
    <w:rsid w:val="00EA1AA9"/>
    <w:rsid w:val="00EA321D"/>
    <w:rsid w:val="00EA7C9F"/>
    <w:rsid w:val="00EB2345"/>
    <w:rsid w:val="00EC5E72"/>
    <w:rsid w:val="00EE1B01"/>
    <w:rsid w:val="00EE7DE5"/>
    <w:rsid w:val="00F01AFA"/>
    <w:rsid w:val="00F1327E"/>
    <w:rsid w:val="00F15AA1"/>
    <w:rsid w:val="00F17097"/>
    <w:rsid w:val="00F31157"/>
    <w:rsid w:val="00F34D32"/>
    <w:rsid w:val="00F35C97"/>
    <w:rsid w:val="00F46284"/>
    <w:rsid w:val="00F54AF4"/>
    <w:rsid w:val="00F614A5"/>
    <w:rsid w:val="00F62C75"/>
    <w:rsid w:val="00F63618"/>
    <w:rsid w:val="00F63B9D"/>
    <w:rsid w:val="00F7600B"/>
    <w:rsid w:val="00F76ED1"/>
    <w:rsid w:val="00F77D0E"/>
    <w:rsid w:val="00F828EC"/>
    <w:rsid w:val="00F90E78"/>
    <w:rsid w:val="00F97A6F"/>
    <w:rsid w:val="00FA6890"/>
    <w:rsid w:val="00FA7099"/>
    <w:rsid w:val="00FB0911"/>
    <w:rsid w:val="00FB358E"/>
    <w:rsid w:val="00FB4E4E"/>
    <w:rsid w:val="00FC0CC4"/>
    <w:rsid w:val="00FC155D"/>
    <w:rsid w:val="00FD1E89"/>
    <w:rsid w:val="00FD5F47"/>
    <w:rsid w:val="00FD6141"/>
    <w:rsid w:val="00FE0F70"/>
    <w:rsid w:val="00FE272A"/>
    <w:rsid w:val="00FE60B7"/>
    <w:rsid w:val="5C590D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2AE55"/>
  <w15:chartTrackingRefBased/>
  <w15:docId w15:val="{671666C9-0896-4B40-BDB8-B9865E89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43"/>
    <w:rPr>
      <w:rFonts w:cstheme="minorBidi"/>
      <w:color w:val="auto"/>
      <w:kern w:val="0"/>
      <w14:ligatures w14:val="none"/>
    </w:rPr>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color w:val="000000"/>
      <w:kern w:val="2"/>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color w:val="000000"/>
      <w:kern w:val="2"/>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color w:val="000000"/>
      <w:spacing w:val="-10"/>
      <w:kern w:val="28"/>
      <w:szCs w:val="56"/>
      <w14:ligatures w14:val="standardContextual"/>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nfasissutil">
    <w:name w:val="Subtle Emphasis"/>
    <w:basedOn w:val="Fuentedeprrafopredeter"/>
    <w:uiPriority w:val="19"/>
    <w:qFormat/>
    <w:rsid w:val="00DC5810"/>
    <w:rPr>
      <w:i/>
      <w:iCs/>
      <w:color w:val="404040" w:themeColor="text1" w:themeTint="BF"/>
    </w:rPr>
  </w:style>
  <w:style w:type="paragraph" w:styleId="Encabezado">
    <w:name w:val="header"/>
    <w:basedOn w:val="Normal"/>
    <w:link w:val="EncabezadoCar"/>
    <w:uiPriority w:val="99"/>
    <w:unhideWhenUsed/>
    <w:rsid w:val="00FD61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6141"/>
    <w:rPr>
      <w:rFonts w:cstheme="minorBidi"/>
      <w:color w:val="auto"/>
      <w:kern w:val="0"/>
      <w14:ligatures w14:val="none"/>
    </w:rPr>
  </w:style>
  <w:style w:type="paragraph" w:styleId="Piedepgina">
    <w:name w:val="footer"/>
    <w:basedOn w:val="Normal"/>
    <w:link w:val="PiedepginaCar"/>
    <w:uiPriority w:val="99"/>
    <w:unhideWhenUsed/>
    <w:rsid w:val="00FD61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6141"/>
    <w:rPr>
      <w:rFonts w:cstheme="minorBidi"/>
      <w:color w:val="auto"/>
      <w:kern w:val="0"/>
      <w14:ligatures w14:val="none"/>
    </w:rPr>
  </w:style>
  <w:style w:type="character" w:customStyle="1" w:styleId="FontStyle46">
    <w:name w:val="Font Style46"/>
    <w:uiPriority w:val="99"/>
    <w:rsid w:val="00FD6141"/>
    <w:rPr>
      <w:rFonts w:ascii="Courier New" w:hAnsi="Courier New" w:cs="Courier New"/>
      <w:sz w:val="26"/>
      <w:szCs w:val="26"/>
    </w:rPr>
  </w:style>
  <w:style w:type="character" w:customStyle="1" w:styleId="normaltextrun">
    <w:name w:val="normaltextrun"/>
    <w:basedOn w:val="Fuentedeprrafopredeter"/>
    <w:rsid w:val="00541556"/>
  </w:style>
  <w:style w:type="character" w:styleId="Refdenotaalpie">
    <w:name w:val="footnote reference"/>
    <w:aliases w:val="Texto nota al pie,Pie de Página,FC,Texto de nota al pi,Pie de P_gi"/>
    <w:basedOn w:val="Fuentedeprrafopredeter"/>
    <w:link w:val="4GChar"/>
    <w:uiPriority w:val="99"/>
    <w:unhideWhenUsed/>
    <w:qFormat/>
    <w:rsid w:val="001505F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505F9"/>
    <w:pPr>
      <w:spacing w:line="240" w:lineRule="auto"/>
      <w:ind w:firstLine="0"/>
    </w:pPr>
    <w:rPr>
      <w:rFonts w:cs="Arial"/>
      <w:color w:val="000000"/>
      <w:kern w:val="2"/>
      <w:vertAlign w:val="superscript"/>
      <w14:ligatures w14:val="standardContextual"/>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 Char Char Char1,f"/>
    <w:basedOn w:val="Normal"/>
    <w:link w:val="TextonotapieCar"/>
    <w:uiPriority w:val="99"/>
    <w:unhideWhenUsed/>
    <w:qFormat/>
    <w:rsid w:val="001505F9"/>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f Car"/>
    <w:basedOn w:val="Fuentedeprrafopredeter"/>
    <w:link w:val="Textonotapie"/>
    <w:uiPriority w:val="99"/>
    <w:qFormat/>
    <w:rsid w:val="001505F9"/>
    <w:rPr>
      <w:rFonts w:cstheme="minorBidi"/>
      <w:color w:val="auto"/>
      <w:kern w:val="0"/>
      <w:sz w:val="20"/>
      <w:szCs w:val="20"/>
      <w14:ligatures w14:val="none"/>
    </w:rPr>
  </w:style>
  <w:style w:type="paragraph" w:styleId="Prrafodelista">
    <w:name w:val="List Paragraph"/>
    <w:basedOn w:val="Normal"/>
    <w:link w:val="PrrafodelistaCar"/>
    <w:uiPriority w:val="34"/>
    <w:qFormat/>
    <w:rsid w:val="000D0161"/>
    <w:pPr>
      <w:autoSpaceDE w:val="0"/>
      <w:autoSpaceDN w:val="0"/>
      <w:adjustRightInd w:val="0"/>
      <w:spacing w:line="240" w:lineRule="auto"/>
      <w:ind w:firstLine="0"/>
      <w:jc w:val="left"/>
    </w:pPr>
    <w:rPr>
      <w:rFonts w:ascii="Times New Roman" w:hAnsi="Times New Roman" w:cs="Times New Roman"/>
    </w:rPr>
  </w:style>
  <w:style w:type="character" w:customStyle="1" w:styleId="PrrafodelistaCar">
    <w:name w:val="Párrafo de lista Car"/>
    <w:link w:val="Prrafodelista"/>
    <w:uiPriority w:val="34"/>
    <w:locked/>
    <w:rsid w:val="000D0161"/>
    <w:rPr>
      <w:rFonts w:ascii="Times New Roman" w:hAnsi="Times New Roman" w:cs="Times New Roman"/>
      <w:color w:val="auto"/>
      <w:kern w:val="0"/>
      <w14:ligatures w14:val="none"/>
    </w:rPr>
  </w:style>
  <w:style w:type="paragraph" w:styleId="NormalWeb">
    <w:name w:val="Normal (Web)"/>
    <w:basedOn w:val="Normal"/>
    <w:uiPriority w:val="99"/>
    <w:unhideWhenUsed/>
    <w:rsid w:val="00450932"/>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styleId="Textoennegrita">
    <w:name w:val="Strong"/>
    <w:basedOn w:val="Fuentedeprrafopredeter"/>
    <w:uiPriority w:val="22"/>
    <w:qFormat/>
    <w:rsid w:val="00450932"/>
    <w:rPr>
      <w:b/>
      <w:bCs/>
    </w:rPr>
  </w:style>
  <w:style w:type="character" w:styleId="nfasis">
    <w:name w:val="Emphasis"/>
    <w:basedOn w:val="Fuentedeprrafopredeter"/>
    <w:uiPriority w:val="20"/>
    <w:qFormat/>
    <w:rsid w:val="00CB5EAD"/>
    <w:rPr>
      <w:i/>
      <w:iCs/>
    </w:rPr>
  </w:style>
  <w:style w:type="paragraph" w:customStyle="1" w:styleId="Sangra3detindependiente1">
    <w:name w:val="Sangría 3 de t. independiente1"/>
    <w:basedOn w:val="Normal"/>
    <w:rsid w:val="00D01379"/>
    <w:pPr>
      <w:spacing w:line="480" w:lineRule="auto"/>
      <w:ind w:firstLine="708"/>
    </w:pPr>
    <w:rPr>
      <w:rFonts w:eastAsia="Times New Roman" w:cs="Times New Roman"/>
      <w:b/>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260379509">
      <w:bodyDiv w:val="1"/>
      <w:marLeft w:val="0"/>
      <w:marRight w:val="0"/>
      <w:marTop w:val="0"/>
      <w:marBottom w:val="0"/>
      <w:divBdr>
        <w:top w:val="none" w:sz="0" w:space="0" w:color="auto"/>
        <w:left w:val="none" w:sz="0" w:space="0" w:color="auto"/>
        <w:bottom w:val="none" w:sz="0" w:space="0" w:color="auto"/>
        <w:right w:val="none" w:sz="0" w:space="0" w:color="auto"/>
      </w:divBdr>
    </w:div>
    <w:div w:id="293869303">
      <w:bodyDiv w:val="1"/>
      <w:marLeft w:val="0"/>
      <w:marRight w:val="0"/>
      <w:marTop w:val="0"/>
      <w:marBottom w:val="0"/>
      <w:divBdr>
        <w:top w:val="none" w:sz="0" w:space="0" w:color="auto"/>
        <w:left w:val="none" w:sz="0" w:space="0" w:color="auto"/>
        <w:bottom w:val="none" w:sz="0" w:space="0" w:color="auto"/>
        <w:right w:val="none" w:sz="0" w:space="0" w:color="auto"/>
      </w:divBdr>
    </w:div>
    <w:div w:id="455828982">
      <w:bodyDiv w:val="1"/>
      <w:marLeft w:val="0"/>
      <w:marRight w:val="0"/>
      <w:marTop w:val="0"/>
      <w:marBottom w:val="0"/>
      <w:divBdr>
        <w:top w:val="none" w:sz="0" w:space="0" w:color="auto"/>
        <w:left w:val="none" w:sz="0" w:space="0" w:color="auto"/>
        <w:bottom w:val="none" w:sz="0" w:space="0" w:color="auto"/>
        <w:right w:val="none" w:sz="0" w:space="0" w:color="auto"/>
      </w:divBdr>
    </w:div>
    <w:div w:id="468085441">
      <w:bodyDiv w:val="1"/>
      <w:marLeft w:val="0"/>
      <w:marRight w:val="0"/>
      <w:marTop w:val="0"/>
      <w:marBottom w:val="0"/>
      <w:divBdr>
        <w:top w:val="none" w:sz="0" w:space="0" w:color="auto"/>
        <w:left w:val="none" w:sz="0" w:space="0" w:color="auto"/>
        <w:bottom w:val="none" w:sz="0" w:space="0" w:color="auto"/>
        <w:right w:val="none" w:sz="0" w:space="0" w:color="auto"/>
      </w:divBdr>
    </w:div>
    <w:div w:id="575939974">
      <w:bodyDiv w:val="1"/>
      <w:marLeft w:val="0"/>
      <w:marRight w:val="0"/>
      <w:marTop w:val="0"/>
      <w:marBottom w:val="0"/>
      <w:divBdr>
        <w:top w:val="none" w:sz="0" w:space="0" w:color="auto"/>
        <w:left w:val="none" w:sz="0" w:space="0" w:color="auto"/>
        <w:bottom w:val="none" w:sz="0" w:space="0" w:color="auto"/>
        <w:right w:val="none" w:sz="0" w:space="0" w:color="auto"/>
      </w:divBdr>
    </w:div>
    <w:div w:id="605695188">
      <w:bodyDiv w:val="1"/>
      <w:marLeft w:val="0"/>
      <w:marRight w:val="0"/>
      <w:marTop w:val="0"/>
      <w:marBottom w:val="0"/>
      <w:divBdr>
        <w:top w:val="none" w:sz="0" w:space="0" w:color="auto"/>
        <w:left w:val="none" w:sz="0" w:space="0" w:color="auto"/>
        <w:bottom w:val="none" w:sz="0" w:space="0" w:color="auto"/>
        <w:right w:val="none" w:sz="0" w:space="0" w:color="auto"/>
      </w:divBdr>
    </w:div>
    <w:div w:id="658118485">
      <w:bodyDiv w:val="1"/>
      <w:marLeft w:val="0"/>
      <w:marRight w:val="0"/>
      <w:marTop w:val="0"/>
      <w:marBottom w:val="0"/>
      <w:divBdr>
        <w:top w:val="none" w:sz="0" w:space="0" w:color="auto"/>
        <w:left w:val="none" w:sz="0" w:space="0" w:color="auto"/>
        <w:bottom w:val="none" w:sz="0" w:space="0" w:color="auto"/>
        <w:right w:val="none" w:sz="0" w:space="0" w:color="auto"/>
      </w:divBdr>
    </w:div>
    <w:div w:id="761143816">
      <w:bodyDiv w:val="1"/>
      <w:marLeft w:val="0"/>
      <w:marRight w:val="0"/>
      <w:marTop w:val="0"/>
      <w:marBottom w:val="0"/>
      <w:divBdr>
        <w:top w:val="none" w:sz="0" w:space="0" w:color="auto"/>
        <w:left w:val="none" w:sz="0" w:space="0" w:color="auto"/>
        <w:bottom w:val="none" w:sz="0" w:space="0" w:color="auto"/>
        <w:right w:val="none" w:sz="0" w:space="0" w:color="auto"/>
      </w:divBdr>
    </w:div>
    <w:div w:id="805977200">
      <w:bodyDiv w:val="1"/>
      <w:marLeft w:val="0"/>
      <w:marRight w:val="0"/>
      <w:marTop w:val="0"/>
      <w:marBottom w:val="0"/>
      <w:divBdr>
        <w:top w:val="none" w:sz="0" w:space="0" w:color="auto"/>
        <w:left w:val="none" w:sz="0" w:space="0" w:color="auto"/>
        <w:bottom w:val="none" w:sz="0" w:space="0" w:color="auto"/>
        <w:right w:val="none" w:sz="0" w:space="0" w:color="auto"/>
      </w:divBdr>
    </w:div>
    <w:div w:id="914165988">
      <w:bodyDiv w:val="1"/>
      <w:marLeft w:val="0"/>
      <w:marRight w:val="0"/>
      <w:marTop w:val="0"/>
      <w:marBottom w:val="0"/>
      <w:divBdr>
        <w:top w:val="none" w:sz="0" w:space="0" w:color="auto"/>
        <w:left w:val="none" w:sz="0" w:space="0" w:color="auto"/>
        <w:bottom w:val="none" w:sz="0" w:space="0" w:color="auto"/>
        <w:right w:val="none" w:sz="0" w:space="0" w:color="auto"/>
      </w:divBdr>
    </w:div>
    <w:div w:id="973682413">
      <w:bodyDiv w:val="1"/>
      <w:marLeft w:val="0"/>
      <w:marRight w:val="0"/>
      <w:marTop w:val="0"/>
      <w:marBottom w:val="0"/>
      <w:divBdr>
        <w:top w:val="none" w:sz="0" w:space="0" w:color="auto"/>
        <w:left w:val="none" w:sz="0" w:space="0" w:color="auto"/>
        <w:bottom w:val="none" w:sz="0" w:space="0" w:color="auto"/>
        <w:right w:val="none" w:sz="0" w:space="0" w:color="auto"/>
      </w:divBdr>
    </w:div>
    <w:div w:id="989745724">
      <w:bodyDiv w:val="1"/>
      <w:marLeft w:val="0"/>
      <w:marRight w:val="0"/>
      <w:marTop w:val="0"/>
      <w:marBottom w:val="0"/>
      <w:divBdr>
        <w:top w:val="none" w:sz="0" w:space="0" w:color="auto"/>
        <w:left w:val="none" w:sz="0" w:space="0" w:color="auto"/>
        <w:bottom w:val="none" w:sz="0" w:space="0" w:color="auto"/>
        <w:right w:val="none" w:sz="0" w:space="0" w:color="auto"/>
      </w:divBdr>
    </w:div>
    <w:div w:id="1379040261">
      <w:bodyDiv w:val="1"/>
      <w:marLeft w:val="0"/>
      <w:marRight w:val="0"/>
      <w:marTop w:val="0"/>
      <w:marBottom w:val="0"/>
      <w:divBdr>
        <w:top w:val="none" w:sz="0" w:space="0" w:color="auto"/>
        <w:left w:val="none" w:sz="0" w:space="0" w:color="auto"/>
        <w:bottom w:val="none" w:sz="0" w:space="0" w:color="auto"/>
        <w:right w:val="none" w:sz="0" w:space="0" w:color="auto"/>
      </w:divBdr>
    </w:div>
    <w:div w:id="1857768339">
      <w:bodyDiv w:val="1"/>
      <w:marLeft w:val="0"/>
      <w:marRight w:val="0"/>
      <w:marTop w:val="0"/>
      <w:marBottom w:val="0"/>
      <w:divBdr>
        <w:top w:val="none" w:sz="0" w:space="0" w:color="auto"/>
        <w:left w:val="none" w:sz="0" w:space="0" w:color="auto"/>
        <w:bottom w:val="none" w:sz="0" w:space="0" w:color="auto"/>
        <w:right w:val="none" w:sz="0" w:space="0" w:color="auto"/>
      </w:divBdr>
    </w:div>
    <w:div w:id="1921331760">
      <w:bodyDiv w:val="1"/>
      <w:marLeft w:val="0"/>
      <w:marRight w:val="0"/>
      <w:marTop w:val="0"/>
      <w:marBottom w:val="0"/>
      <w:divBdr>
        <w:top w:val="none" w:sz="0" w:space="0" w:color="auto"/>
        <w:left w:val="none" w:sz="0" w:space="0" w:color="auto"/>
        <w:bottom w:val="none" w:sz="0" w:space="0" w:color="auto"/>
        <w:right w:val="none" w:sz="0" w:space="0" w:color="auto"/>
      </w:divBdr>
    </w:div>
    <w:div w:id="1965384983">
      <w:bodyDiv w:val="1"/>
      <w:marLeft w:val="0"/>
      <w:marRight w:val="0"/>
      <w:marTop w:val="0"/>
      <w:marBottom w:val="0"/>
      <w:divBdr>
        <w:top w:val="none" w:sz="0" w:space="0" w:color="auto"/>
        <w:left w:val="none" w:sz="0" w:space="0" w:color="auto"/>
        <w:bottom w:val="none" w:sz="0" w:space="0" w:color="auto"/>
        <w:right w:val="none" w:sz="0" w:space="0" w:color="auto"/>
      </w:divBdr>
    </w:div>
    <w:div w:id="202397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Plantillas%20personalizadas%20de%20Office\Sentencia2Inst.dotx" TargetMode="Externa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e7b1d2-d9d8-4be6-a468-264bc75ebb9f">
      <Terms xmlns="http://schemas.microsoft.com/office/infopath/2007/PartnerControls"/>
    </lcf76f155ced4ddcb4097134ff3c332f>
    <TaxCatchAll xmlns="263eb5da-2fbb-442b-8ecc-8a249418e2b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3" ma:contentTypeDescription="Crear nuevo documento." ma:contentTypeScope="" ma:versionID="b3ba92f3a4673e4b4370433766fb46db">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3c235824eaa50a0131c0dc10aac29fa"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b829ca4c-a04a-49cf-b451-b7340f3a0e8e}"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7F685-247F-45EF-9E05-1DE8A0C916D5}">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2.xml><?xml version="1.0" encoding="utf-8"?>
<ds:datastoreItem xmlns:ds="http://schemas.openxmlformats.org/officeDocument/2006/customXml" ds:itemID="{409041D6-41A2-4BCC-89A6-AE8368225317}">
  <ds:schemaRefs>
    <ds:schemaRef ds:uri="http://schemas.openxmlformats.org/officeDocument/2006/bibliography"/>
  </ds:schemaRefs>
</ds:datastoreItem>
</file>

<file path=customXml/itemProps3.xml><?xml version="1.0" encoding="utf-8"?>
<ds:datastoreItem xmlns:ds="http://schemas.openxmlformats.org/officeDocument/2006/customXml" ds:itemID="{E141F8CE-ABD5-475E-AC7E-3396234D4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9E2F2-E71E-4126-95EF-25D551987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Sentencia2Inst</Template>
  <TotalTime>69</TotalTime>
  <Pages>21</Pages>
  <Words>9653</Words>
  <Characters>53096</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ALONSO GAVIRIA</cp:lastModifiedBy>
  <cp:revision>4</cp:revision>
  <dcterms:created xsi:type="dcterms:W3CDTF">2024-09-13T17:04:00Z</dcterms:created>
  <dcterms:modified xsi:type="dcterms:W3CDTF">2024-11-17T17:58:00Z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