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2E82D68" w14:textId="4E8BABE0" w:rsidR="0048256B" w:rsidRPr="00DC3A86" w:rsidRDefault="00DC3A86" w:rsidP="0048256B">
      <w:pPr>
        <w:tabs>
          <w:tab w:val="left" w:pos="9067"/>
        </w:tabs>
        <w:spacing w:after="0" w:line="240" w:lineRule="auto"/>
        <w:jc w:val="both"/>
        <w:rPr>
          <w:rFonts w:ascii="Arial" w:eastAsia="Century Gothic" w:hAnsi="Arial" w:cs="Arial"/>
          <w:b/>
          <w:bCs/>
          <w:sz w:val="20"/>
          <w:szCs w:val="24"/>
        </w:rPr>
      </w:pPr>
      <w:r>
        <w:rPr>
          <w:rFonts w:ascii="Arial" w:eastAsia="Century Gothic" w:hAnsi="Arial" w:cs="Arial"/>
          <w:b/>
          <w:bCs/>
          <w:sz w:val="20"/>
          <w:szCs w:val="24"/>
        </w:rPr>
        <w:t>DERECHO A LA SALUD / TRANSPORTE DEL PACIENTE / REQUISITOS</w:t>
      </w:r>
    </w:p>
    <w:p w14:paraId="70229DFC" w14:textId="5F4D9441" w:rsidR="0048256B" w:rsidRPr="00AF0E44" w:rsidRDefault="00DC3A86" w:rsidP="00DC3A86">
      <w:pPr>
        <w:tabs>
          <w:tab w:val="left" w:pos="9067"/>
        </w:tabs>
        <w:spacing w:after="0" w:line="240" w:lineRule="auto"/>
        <w:jc w:val="both"/>
        <w:rPr>
          <w:rFonts w:ascii="Arial" w:eastAsia="Century Gothic" w:hAnsi="Arial" w:cs="Arial"/>
          <w:sz w:val="20"/>
          <w:szCs w:val="24"/>
        </w:rPr>
      </w:pPr>
      <w:r>
        <w:rPr>
          <w:rFonts w:ascii="Arial" w:eastAsia="Century Gothic" w:hAnsi="Arial" w:cs="Arial"/>
          <w:sz w:val="20"/>
          <w:szCs w:val="24"/>
        </w:rPr>
        <w:t xml:space="preserve">… </w:t>
      </w:r>
      <w:r w:rsidRPr="00DC3A86">
        <w:rPr>
          <w:rFonts w:ascii="Arial" w:eastAsia="Century Gothic" w:hAnsi="Arial" w:cs="Arial"/>
          <w:sz w:val="20"/>
          <w:szCs w:val="24"/>
        </w:rPr>
        <w:t>la Corte Constitucional ha señalado que los servicios de salud en principio deben ser prestados en el lugar de residencia del afiliado. A pesar de ello, existen ocasiones en las cuales se ordene la prestación del servicio en un municipio diferente porque en el lugar de residencia no se cuenta con los recursos médicos necesarios para prestar una adecuada atención que garantice la salud del afiliado. De ello surge la necesidad de determinar a cargo de quién está el desembolso de los gastos de transporte.</w:t>
      </w:r>
      <w:r>
        <w:rPr>
          <w:rFonts w:ascii="Arial" w:eastAsia="Century Gothic" w:hAnsi="Arial" w:cs="Arial"/>
          <w:sz w:val="20"/>
          <w:szCs w:val="24"/>
        </w:rPr>
        <w:t xml:space="preserve"> (…) </w:t>
      </w:r>
      <w:r w:rsidRPr="00DC3A86">
        <w:rPr>
          <w:rFonts w:ascii="Arial" w:eastAsia="Century Gothic" w:hAnsi="Arial" w:cs="Arial"/>
          <w:sz w:val="20"/>
          <w:szCs w:val="24"/>
        </w:rPr>
        <w:t>Más adelante</w:t>
      </w:r>
      <w:r>
        <w:rPr>
          <w:rFonts w:ascii="Arial" w:eastAsia="Century Gothic" w:hAnsi="Arial" w:cs="Arial"/>
          <w:sz w:val="20"/>
          <w:szCs w:val="24"/>
        </w:rPr>
        <w:t>…</w:t>
      </w:r>
      <w:r w:rsidRPr="00DC3A86">
        <w:rPr>
          <w:rFonts w:ascii="Arial" w:eastAsia="Century Gothic" w:hAnsi="Arial" w:cs="Arial"/>
          <w:sz w:val="20"/>
          <w:szCs w:val="24"/>
        </w:rPr>
        <w:t xml:space="preserve"> describe una serie de circunstancias en las cuales, las entidades promotoras de salud están llamadas a garantizar el servicio de transporte, las cuales son:“(i) que el procedimiento o tratamiento se considere indispensable para garantizar los derechos a la salud y a la vida de la persona; (</w:t>
      </w:r>
      <w:proofErr w:type="spellStart"/>
      <w:r w:rsidRPr="00DC3A86">
        <w:rPr>
          <w:rFonts w:ascii="Arial" w:eastAsia="Century Gothic" w:hAnsi="Arial" w:cs="Arial"/>
          <w:sz w:val="20"/>
          <w:szCs w:val="24"/>
        </w:rPr>
        <w:t>ii</w:t>
      </w:r>
      <w:proofErr w:type="spellEnd"/>
      <w:r w:rsidRPr="00DC3A86">
        <w:rPr>
          <w:rFonts w:ascii="Arial" w:eastAsia="Century Gothic" w:hAnsi="Arial" w:cs="Arial"/>
          <w:sz w:val="20"/>
          <w:szCs w:val="24"/>
        </w:rPr>
        <w:t>) que ni el paciente ni sus familiares cercanos tengan los recursos económicos suficientes para pagar el valor del traslado; y (</w:t>
      </w:r>
      <w:proofErr w:type="spellStart"/>
      <w:r w:rsidRPr="00DC3A86">
        <w:rPr>
          <w:rFonts w:ascii="Arial" w:eastAsia="Century Gothic" w:hAnsi="Arial" w:cs="Arial"/>
          <w:sz w:val="20"/>
          <w:szCs w:val="24"/>
        </w:rPr>
        <w:t>iii</w:t>
      </w:r>
      <w:proofErr w:type="spellEnd"/>
      <w:r w:rsidRPr="00DC3A86">
        <w:rPr>
          <w:rFonts w:ascii="Arial" w:eastAsia="Century Gothic" w:hAnsi="Arial" w:cs="Arial"/>
          <w:sz w:val="20"/>
          <w:szCs w:val="24"/>
        </w:rPr>
        <w:t>) que de no efectuarse la remisión se ponga en riesgo la vida, la integridad física o el estado de salud del usuario”</w:t>
      </w:r>
      <w:r>
        <w:rPr>
          <w:rFonts w:ascii="Arial" w:eastAsia="Century Gothic" w:hAnsi="Arial" w:cs="Arial"/>
          <w:sz w:val="20"/>
          <w:szCs w:val="24"/>
        </w:rPr>
        <w:t xml:space="preserve"> … </w:t>
      </w:r>
    </w:p>
    <w:p w14:paraId="7B13B704" w14:textId="77777777" w:rsidR="0048256B" w:rsidRPr="00AF0E44" w:rsidRDefault="0048256B" w:rsidP="0048256B">
      <w:pPr>
        <w:tabs>
          <w:tab w:val="left" w:pos="9067"/>
        </w:tabs>
        <w:spacing w:after="0" w:line="240" w:lineRule="auto"/>
        <w:jc w:val="both"/>
        <w:rPr>
          <w:rFonts w:ascii="Arial" w:eastAsia="Century Gothic" w:hAnsi="Arial" w:cs="Arial"/>
          <w:sz w:val="20"/>
          <w:szCs w:val="24"/>
        </w:rPr>
      </w:pPr>
    </w:p>
    <w:p w14:paraId="7FF2E1D7" w14:textId="1529EDBA" w:rsidR="00DC3A86" w:rsidRPr="00DC3A86" w:rsidRDefault="00DC3A86" w:rsidP="00DC3A86">
      <w:pPr>
        <w:tabs>
          <w:tab w:val="left" w:pos="9067"/>
        </w:tabs>
        <w:spacing w:after="0" w:line="240" w:lineRule="auto"/>
        <w:jc w:val="both"/>
        <w:rPr>
          <w:rFonts w:ascii="Arial" w:eastAsia="Century Gothic" w:hAnsi="Arial" w:cs="Arial"/>
          <w:b/>
          <w:bCs/>
          <w:sz w:val="20"/>
          <w:szCs w:val="24"/>
        </w:rPr>
      </w:pPr>
      <w:r>
        <w:rPr>
          <w:rFonts w:ascii="Arial" w:eastAsia="Century Gothic" w:hAnsi="Arial" w:cs="Arial"/>
          <w:b/>
          <w:bCs/>
          <w:sz w:val="20"/>
          <w:szCs w:val="24"/>
        </w:rPr>
        <w:t xml:space="preserve">ACOMPAÑANTE / </w:t>
      </w:r>
      <w:r w:rsidR="004A2C56">
        <w:rPr>
          <w:rFonts w:ascii="Arial" w:eastAsia="Century Gothic" w:hAnsi="Arial" w:cs="Arial"/>
          <w:b/>
          <w:bCs/>
          <w:sz w:val="20"/>
          <w:szCs w:val="24"/>
        </w:rPr>
        <w:t xml:space="preserve">EN CASO DE </w:t>
      </w:r>
      <w:r w:rsidR="00072457">
        <w:rPr>
          <w:rFonts w:ascii="Arial" w:eastAsia="Century Gothic" w:hAnsi="Arial" w:cs="Arial"/>
          <w:b/>
          <w:bCs/>
          <w:sz w:val="20"/>
          <w:szCs w:val="24"/>
        </w:rPr>
        <w:t>MENORES, ANCIANOS Y DISCAPACITADOS</w:t>
      </w:r>
    </w:p>
    <w:p w14:paraId="3E611900" w14:textId="60364742" w:rsidR="0048256B" w:rsidRPr="00AF0E44" w:rsidRDefault="00DC3A86" w:rsidP="00DC3A86">
      <w:pPr>
        <w:tabs>
          <w:tab w:val="left" w:pos="9067"/>
        </w:tabs>
        <w:spacing w:after="0" w:line="240" w:lineRule="auto"/>
        <w:jc w:val="both"/>
        <w:rPr>
          <w:rFonts w:ascii="Arial" w:eastAsia="Century Gothic" w:hAnsi="Arial" w:cs="Arial"/>
          <w:sz w:val="20"/>
          <w:szCs w:val="24"/>
        </w:rPr>
      </w:pPr>
      <w:r w:rsidRPr="00DC3A86">
        <w:rPr>
          <w:rFonts w:ascii="Arial" w:eastAsia="Century Gothic" w:hAnsi="Arial" w:cs="Arial"/>
          <w:sz w:val="20"/>
          <w:szCs w:val="24"/>
        </w:rPr>
        <w:t>En el caso del transporte para acompañantes de pacientes, se ha dicho que debe tratarse de personas con discapacidad, ancianos o menores de edad que no pueden valerse por sí mismos. En sentencia T-786 de 2006 la Corte Constitucional explicó:</w:t>
      </w:r>
      <w:r>
        <w:rPr>
          <w:rFonts w:ascii="Arial" w:eastAsia="Century Gothic" w:hAnsi="Arial" w:cs="Arial"/>
          <w:sz w:val="20"/>
          <w:szCs w:val="24"/>
        </w:rPr>
        <w:t xml:space="preserve"> </w:t>
      </w:r>
      <w:r w:rsidRPr="00DC3A86">
        <w:rPr>
          <w:rFonts w:ascii="Arial" w:eastAsia="Century Gothic" w:hAnsi="Arial" w:cs="Arial"/>
          <w:sz w:val="20"/>
          <w:szCs w:val="24"/>
        </w:rPr>
        <w:t xml:space="preserve">“En consecuencia, el cubrimiento de los gastos de transporte para que un usuario pueda acceder al servicio de salud está sujeto a la capacidad económica del paciente y a sus capacidades físicas y mentales, pues en casos en los que se encuentren involucrados menores, discapacitados y personas de la tercera edad, se hace evidente que, además de la necesidad del cubrimiento del gasto de traslado a otra ciudad para sí mismos, es indispensable el cubrimiento de los gastos de desplazamiento de un acompañante, por parte de la </w:t>
      </w:r>
      <w:proofErr w:type="spellStart"/>
      <w:r w:rsidRPr="00DC3A86">
        <w:rPr>
          <w:rFonts w:ascii="Arial" w:eastAsia="Century Gothic" w:hAnsi="Arial" w:cs="Arial"/>
          <w:sz w:val="20"/>
          <w:szCs w:val="24"/>
        </w:rPr>
        <w:t>E.P.S</w:t>
      </w:r>
      <w:proofErr w:type="spellEnd"/>
      <w:r w:rsidRPr="00DC3A86">
        <w:rPr>
          <w:rFonts w:ascii="Arial" w:eastAsia="Century Gothic" w:hAnsi="Arial" w:cs="Arial"/>
          <w:sz w:val="20"/>
          <w:szCs w:val="24"/>
        </w:rPr>
        <w:t>.</w:t>
      </w:r>
    </w:p>
    <w:p w14:paraId="2E08FB47" w14:textId="77777777" w:rsidR="0048256B" w:rsidRPr="00AF0E44" w:rsidRDefault="0048256B" w:rsidP="0048256B">
      <w:pPr>
        <w:tabs>
          <w:tab w:val="left" w:pos="9067"/>
        </w:tabs>
        <w:spacing w:after="0" w:line="240" w:lineRule="auto"/>
        <w:jc w:val="both"/>
        <w:rPr>
          <w:rFonts w:ascii="Arial" w:eastAsia="Century Gothic" w:hAnsi="Arial" w:cs="Arial"/>
          <w:sz w:val="20"/>
          <w:szCs w:val="24"/>
        </w:rPr>
      </w:pPr>
    </w:p>
    <w:p w14:paraId="299CAA50" w14:textId="77777777" w:rsidR="0048256B" w:rsidRPr="00AF0E44" w:rsidRDefault="0048256B" w:rsidP="0048256B">
      <w:pPr>
        <w:tabs>
          <w:tab w:val="left" w:pos="9067"/>
        </w:tabs>
        <w:spacing w:after="0" w:line="240" w:lineRule="auto"/>
        <w:jc w:val="both"/>
        <w:rPr>
          <w:rFonts w:ascii="Arial" w:eastAsia="Century Gothic" w:hAnsi="Arial" w:cs="Arial"/>
          <w:sz w:val="20"/>
          <w:szCs w:val="24"/>
        </w:rPr>
      </w:pPr>
    </w:p>
    <w:p w14:paraId="7A3E7887" w14:textId="77777777" w:rsidR="0048256B" w:rsidRPr="00AF0E44" w:rsidRDefault="0048256B" w:rsidP="0048256B">
      <w:pPr>
        <w:tabs>
          <w:tab w:val="left" w:pos="9067"/>
        </w:tabs>
        <w:spacing w:after="0" w:line="240" w:lineRule="auto"/>
        <w:jc w:val="both"/>
        <w:rPr>
          <w:rFonts w:ascii="Arial" w:eastAsia="Century Gothic" w:hAnsi="Arial" w:cs="Arial"/>
          <w:sz w:val="20"/>
          <w:szCs w:val="24"/>
        </w:rPr>
      </w:pPr>
    </w:p>
    <w:p w14:paraId="027578AB" w14:textId="77777777" w:rsidR="0048256B" w:rsidRPr="00AF0E44" w:rsidRDefault="0048256B" w:rsidP="0048256B">
      <w:pPr>
        <w:tabs>
          <w:tab w:val="left" w:pos="9067"/>
        </w:tabs>
        <w:spacing w:after="0" w:line="276" w:lineRule="auto"/>
        <w:jc w:val="center"/>
        <w:rPr>
          <w:rFonts w:ascii="Bookman Old Style" w:eastAsia="Century Gothic" w:hAnsi="Bookman Old Style" w:cs="Arial"/>
          <w:b/>
          <w:bCs/>
          <w:sz w:val="24"/>
          <w:szCs w:val="24"/>
        </w:rPr>
      </w:pPr>
      <w:r w:rsidRPr="00AF0E44">
        <w:rPr>
          <w:rFonts w:ascii="Bookman Old Style" w:eastAsia="Century Gothic" w:hAnsi="Bookman Old Style" w:cs="Arial"/>
          <w:b/>
          <w:bCs/>
          <w:sz w:val="24"/>
          <w:szCs w:val="24"/>
        </w:rPr>
        <w:t>TRIBUNAL SUPERIOR – SALA DE DECISIÓN LABORAL</w:t>
      </w:r>
    </w:p>
    <w:p w14:paraId="6FA2DFAE" w14:textId="77777777" w:rsidR="0048256B" w:rsidRPr="00AF0E44" w:rsidRDefault="0048256B" w:rsidP="0048256B">
      <w:pPr>
        <w:tabs>
          <w:tab w:val="left" w:pos="9067"/>
        </w:tabs>
        <w:spacing w:after="0" w:line="276" w:lineRule="auto"/>
        <w:jc w:val="center"/>
        <w:rPr>
          <w:rFonts w:ascii="Bookman Old Style" w:eastAsia="Century Gothic" w:hAnsi="Bookman Old Style" w:cs="Times New Roman"/>
          <w:noProof/>
          <w:sz w:val="24"/>
          <w:szCs w:val="24"/>
        </w:rPr>
      </w:pPr>
      <w:r w:rsidRPr="00AF0E44">
        <w:rPr>
          <w:rFonts w:ascii="Bookman Old Style" w:eastAsia="Century Gothic" w:hAnsi="Bookman Old Style" w:cs="Arial"/>
          <w:b/>
          <w:bCs/>
          <w:sz w:val="24"/>
          <w:szCs w:val="24"/>
        </w:rPr>
        <w:t>DISTRITO JUDICIAL DE PEREIRA</w:t>
      </w:r>
      <w:r w:rsidRPr="00AF0E44">
        <w:rPr>
          <w:rFonts w:ascii="Bookman Old Style" w:eastAsia="Century Gothic" w:hAnsi="Bookman Old Style" w:cs="Times New Roman"/>
          <w:noProof/>
          <w:sz w:val="24"/>
          <w:szCs w:val="24"/>
        </w:rPr>
        <w:t xml:space="preserve"> </w:t>
      </w:r>
    </w:p>
    <w:p w14:paraId="566C12D1" w14:textId="77777777" w:rsidR="0048256B" w:rsidRPr="00AF0E44" w:rsidRDefault="0048256B" w:rsidP="0048256B">
      <w:pPr>
        <w:tabs>
          <w:tab w:val="left" w:pos="9067"/>
        </w:tabs>
        <w:spacing w:after="0" w:line="276" w:lineRule="auto"/>
        <w:jc w:val="center"/>
        <w:rPr>
          <w:rFonts w:ascii="Bookman Old Style" w:eastAsia="Century Gothic" w:hAnsi="Bookman Old Style" w:cs="Arial"/>
          <w:sz w:val="24"/>
          <w:szCs w:val="24"/>
        </w:rPr>
      </w:pPr>
      <w:r w:rsidRPr="00AF0E44">
        <w:rPr>
          <w:rFonts w:ascii="Bookman Old Style" w:eastAsia="Century Gothic" w:hAnsi="Bookman Old Style" w:cs="Times New Roman"/>
          <w:noProof/>
          <w:sz w:val="24"/>
          <w:szCs w:val="24"/>
          <w:lang w:val="en-US"/>
        </w:rPr>
        <w:drawing>
          <wp:inline distT="0" distB="0" distL="0" distR="0" wp14:anchorId="094C6E60" wp14:editId="54330DC6">
            <wp:extent cx="476250" cy="5683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0B1ACF65" w14:textId="77777777" w:rsidR="0048256B" w:rsidRPr="00AF0E44" w:rsidRDefault="0048256B" w:rsidP="0048256B">
      <w:pPr>
        <w:tabs>
          <w:tab w:val="left" w:pos="9067"/>
        </w:tabs>
        <w:spacing w:after="0" w:line="276" w:lineRule="auto"/>
        <w:jc w:val="center"/>
        <w:rPr>
          <w:rFonts w:ascii="Bookman Old Style" w:eastAsia="Century Gothic" w:hAnsi="Bookman Old Style" w:cs="Arial"/>
          <w:sz w:val="24"/>
          <w:szCs w:val="24"/>
        </w:rPr>
      </w:pPr>
      <w:r w:rsidRPr="00AF0E44">
        <w:rPr>
          <w:rFonts w:ascii="Bookman Old Style" w:eastAsia="Century Gothic" w:hAnsi="Bookman Old Style" w:cs="Arial"/>
          <w:bCs/>
          <w:sz w:val="24"/>
          <w:szCs w:val="24"/>
        </w:rPr>
        <w:t xml:space="preserve">Magistrado Ponente: </w:t>
      </w:r>
      <w:r w:rsidRPr="00AF0E44">
        <w:rPr>
          <w:rFonts w:ascii="Bookman Old Style" w:eastAsia="Century Gothic" w:hAnsi="Bookman Old Style" w:cs="Arial"/>
          <w:b/>
          <w:bCs/>
          <w:sz w:val="24"/>
          <w:szCs w:val="24"/>
        </w:rPr>
        <w:t xml:space="preserve">GERMÁN DARÍO </w:t>
      </w:r>
      <w:proofErr w:type="spellStart"/>
      <w:r w:rsidRPr="00AF0E44">
        <w:rPr>
          <w:rFonts w:ascii="Bookman Old Style" w:eastAsia="Century Gothic" w:hAnsi="Bookman Old Style" w:cs="Arial"/>
          <w:b/>
          <w:bCs/>
          <w:sz w:val="24"/>
          <w:szCs w:val="24"/>
        </w:rPr>
        <w:t>GÓEZ</w:t>
      </w:r>
      <w:proofErr w:type="spellEnd"/>
      <w:r w:rsidRPr="00AF0E44">
        <w:rPr>
          <w:rFonts w:ascii="Bookman Old Style" w:eastAsia="Century Gothic" w:hAnsi="Bookman Old Style" w:cs="Arial"/>
          <w:b/>
          <w:bCs/>
          <w:sz w:val="24"/>
          <w:szCs w:val="24"/>
        </w:rPr>
        <w:t xml:space="preserve"> VINASCO</w:t>
      </w:r>
    </w:p>
    <w:p w14:paraId="1E9305A6" w14:textId="77777777" w:rsidR="0048256B" w:rsidRPr="00AF0E44"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2430FE34" w14:textId="3E1A3F52" w:rsidR="00FB212F" w:rsidRPr="0048256B" w:rsidRDefault="004C1959" w:rsidP="0048256B">
      <w:pPr>
        <w:spacing w:after="0" w:line="276" w:lineRule="auto"/>
        <w:jc w:val="center"/>
        <w:rPr>
          <w:rFonts w:ascii="Bookman Old Style" w:hAnsi="Bookman Old Style" w:cs="Arial"/>
          <w:sz w:val="24"/>
          <w:szCs w:val="24"/>
        </w:rPr>
      </w:pPr>
      <w:r w:rsidRPr="0048256B">
        <w:rPr>
          <w:rFonts w:ascii="Bookman Old Style" w:hAnsi="Bookman Old Style" w:cs="Arial"/>
          <w:sz w:val="24"/>
          <w:szCs w:val="24"/>
        </w:rPr>
        <w:t>Pereira,</w:t>
      </w:r>
      <w:r w:rsidR="00D61D2C" w:rsidRPr="0048256B">
        <w:rPr>
          <w:rFonts w:ascii="Bookman Old Style" w:hAnsi="Bookman Old Style" w:cs="Arial"/>
          <w:sz w:val="24"/>
          <w:szCs w:val="24"/>
        </w:rPr>
        <w:t xml:space="preserve"> </w:t>
      </w:r>
      <w:r w:rsidR="0510946F" w:rsidRPr="0048256B">
        <w:rPr>
          <w:rFonts w:ascii="Bookman Old Style" w:hAnsi="Bookman Old Style" w:cs="Arial"/>
          <w:sz w:val="24"/>
          <w:szCs w:val="24"/>
        </w:rPr>
        <w:t xml:space="preserve">seis </w:t>
      </w:r>
      <w:r w:rsidR="00FB212F" w:rsidRPr="0048256B">
        <w:rPr>
          <w:rFonts w:ascii="Bookman Old Style" w:hAnsi="Bookman Old Style" w:cs="Arial"/>
          <w:sz w:val="24"/>
          <w:szCs w:val="24"/>
        </w:rPr>
        <w:t>(</w:t>
      </w:r>
      <w:r w:rsidR="4D3D874E" w:rsidRPr="0048256B">
        <w:rPr>
          <w:rFonts w:ascii="Bookman Old Style" w:hAnsi="Bookman Old Style" w:cs="Arial"/>
          <w:sz w:val="24"/>
          <w:szCs w:val="24"/>
        </w:rPr>
        <w:t>06</w:t>
      </w:r>
      <w:r w:rsidR="00FB212F" w:rsidRPr="0048256B">
        <w:rPr>
          <w:rFonts w:ascii="Bookman Old Style" w:hAnsi="Bookman Old Style" w:cs="Arial"/>
          <w:sz w:val="24"/>
          <w:szCs w:val="24"/>
        </w:rPr>
        <w:t xml:space="preserve">) de </w:t>
      </w:r>
      <w:r w:rsidR="001169DB" w:rsidRPr="0048256B">
        <w:rPr>
          <w:rFonts w:ascii="Bookman Old Style" w:hAnsi="Bookman Old Style" w:cs="Arial"/>
          <w:sz w:val="24"/>
          <w:szCs w:val="24"/>
        </w:rPr>
        <w:t>agosto</w:t>
      </w:r>
      <w:r w:rsidR="002E36F9" w:rsidRPr="0048256B">
        <w:rPr>
          <w:rFonts w:ascii="Bookman Old Style" w:hAnsi="Bookman Old Style" w:cs="Arial"/>
          <w:sz w:val="24"/>
          <w:szCs w:val="24"/>
        </w:rPr>
        <w:t xml:space="preserve"> </w:t>
      </w:r>
      <w:r w:rsidR="00FB212F" w:rsidRPr="0048256B">
        <w:rPr>
          <w:rFonts w:ascii="Bookman Old Style" w:hAnsi="Bookman Old Style" w:cs="Arial"/>
          <w:sz w:val="24"/>
          <w:szCs w:val="24"/>
        </w:rPr>
        <w:t>de dos mil veinti</w:t>
      </w:r>
      <w:r w:rsidR="001169DB" w:rsidRPr="0048256B">
        <w:rPr>
          <w:rFonts w:ascii="Bookman Old Style" w:hAnsi="Bookman Old Style" w:cs="Arial"/>
          <w:sz w:val="24"/>
          <w:szCs w:val="24"/>
        </w:rPr>
        <w:t>cuatro</w:t>
      </w:r>
      <w:r w:rsidR="00FB212F" w:rsidRPr="0048256B">
        <w:rPr>
          <w:rFonts w:ascii="Bookman Old Style" w:hAnsi="Bookman Old Style" w:cs="Arial"/>
          <w:sz w:val="24"/>
          <w:szCs w:val="24"/>
        </w:rPr>
        <w:t xml:space="preserve"> (202</w:t>
      </w:r>
      <w:r w:rsidR="001169DB" w:rsidRPr="0048256B">
        <w:rPr>
          <w:rFonts w:ascii="Bookman Old Style" w:hAnsi="Bookman Old Style" w:cs="Arial"/>
          <w:sz w:val="24"/>
          <w:szCs w:val="24"/>
        </w:rPr>
        <w:t>4</w:t>
      </w:r>
      <w:r w:rsidR="00FB212F" w:rsidRPr="0048256B">
        <w:rPr>
          <w:rFonts w:ascii="Bookman Old Style" w:hAnsi="Bookman Old Style" w:cs="Arial"/>
          <w:sz w:val="24"/>
          <w:szCs w:val="24"/>
        </w:rPr>
        <w:t>)</w:t>
      </w:r>
    </w:p>
    <w:p w14:paraId="662F56C0" w14:textId="77777777" w:rsidR="00EB3448" w:rsidRPr="0048256B" w:rsidRDefault="00EB3448" w:rsidP="0048256B">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830"/>
        <w:gridCol w:w="5103"/>
      </w:tblGrid>
      <w:tr w:rsidR="00EB3448" w:rsidRPr="0048256B" w14:paraId="5C6A28A0" w14:textId="77777777" w:rsidTr="620FE415">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11FEA7A" w14:textId="0C0BCC4F" w:rsidR="00EB3448"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Proceso:</w:t>
            </w:r>
          </w:p>
        </w:tc>
        <w:tc>
          <w:tcPr>
            <w:tcW w:w="5103" w:type="dxa"/>
            <w:tcBorders>
              <w:top w:val="single" w:sz="4" w:space="0" w:color="auto"/>
              <w:left w:val="single" w:sz="4" w:space="0" w:color="auto"/>
              <w:bottom w:val="single" w:sz="4" w:space="0" w:color="auto"/>
              <w:right w:val="single" w:sz="4" w:space="0" w:color="auto"/>
            </w:tcBorders>
          </w:tcPr>
          <w:p w14:paraId="0073254A" w14:textId="51F0E032" w:rsidR="00EB3448" w:rsidRPr="0048256B" w:rsidRDefault="00FB212F" w:rsidP="0048256B">
            <w:pPr>
              <w:ind w:firstLine="0"/>
              <w:rPr>
                <w:rFonts w:ascii="Bookman Old Style" w:hAnsi="Bookman Old Style" w:cs="Arial"/>
                <w:bCs/>
                <w:sz w:val="22"/>
                <w:szCs w:val="22"/>
              </w:rPr>
            </w:pPr>
            <w:r w:rsidRPr="0048256B">
              <w:rPr>
                <w:rFonts w:ascii="Bookman Old Style" w:hAnsi="Bookman Old Style" w:cs="Arial"/>
                <w:bCs/>
                <w:sz w:val="22"/>
                <w:szCs w:val="22"/>
              </w:rPr>
              <w:t>Impugnación de Acción de Tutela</w:t>
            </w:r>
          </w:p>
        </w:tc>
      </w:tr>
      <w:tr w:rsidR="00EB3448" w:rsidRPr="0048256B" w14:paraId="28A5BDEC" w14:textId="77777777" w:rsidTr="620FE415">
        <w:trPr>
          <w:trHeight w:val="25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FA56A6C" w14:textId="7991D8E6" w:rsidR="00EB3448"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Radicado:</w:t>
            </w:r>
          </w:p>
        </w:tc>
        <w:tc>
          <w:tcPr>
            <w:tcW w:w="5103" w:type="dxa"/>
            <w:tcBorders>
              <w:top w:val="single" w:sz="4" w:space="0" w:color="auto"/>
              <w:left w:val="single" w:sz="4" w:space="0" w:color="auto"/>
              <w:bottom w:val="single" w:sz="4" w:space="0" w:color="auto"/>
              <w:right w:val="single" w:sz="4" w:space="0" w:color="auto"/>
            </w:tcBorders>
          </w:tcPr>
          <w:p w14:paraId="37F0B6E8" w14:textId="3FAD3C75" w:rsidR="00EB3448" w:rsidRPr="0048256B" w:rsidRDefault="001169DB" w:rsidP="0048256B">
            <w:pPr>
              <w:ind w:firstLine="0"/>
              <w:rPr>
                <w:rFonts w:ascii="Bookman Old Style" w:hAnsi="Bookman Old Style" w:cs="Arial"/>
                <w:bCs/>
                <w:sz w:val="22"/>
                <w:szCs w:val="22"/>
              </w:rPr>
            </w:pPr>
            <w:r w:rsidRPr="0048256B">
              <w:rPr>
                <w:rFonts w:ascii="Bookman Old Style" w:hAnsi="Bookman Old Style" w:cs="Arial"/>
                <w:bCs/>
                <w:sz w:val="22"/>
                <w:szCs w:val="22"/>
              </w:rPr>
              <w:t>66170310500120240024201</w:t>
            </w:r>
          </w:p>
        </w:tc>
      </w:tr>
      <w:tr w:rsidR="00EB3448" w:rsidRPr="0048256B" w14:paraId="6D16A525" w14:textId="77777777" w:rsidTr="620FE415">
        <w:trPr>
          <w:trHeight w:val="79"/>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973BFD4" w14:textId="69C5E566" w:rsidR="00EB3448" w:rsidRPr="0048256B" w:rsidRDefault="0048256B" w:rsidP="0048256B">
            <w:pPr>
              <w:ind w:firstLine="0"/>
              <w:rPr>
                <w:rFonts w:ascii="Bookman Old Style" w:hAnsi="Bookman Old Style" w:cs="Arial"/>
                <w:bCs/>
                <w:sz w:val="22"/>
                <w:szCs w:val="22"/>
              </w:rPr>
            </w:pPr>
            <w:r>
              <w:rPr>
                <w:rFonts w:ascii="Bookman Old Style" w:hAnsi="Bookman Old Style" w:cs="Arial"/>
                <w:bCs/>
                <w:sz w:val="22"/>
                <w:szCs w:val="22"/>
              </w:rPr>
              <w:t>Demandante</w:t>
            </w:r>
            <w:r w:rsidRPr="0048256B">
              <w:rPr>
                <w:rFonts w:ascii="Bookman Old Style" w:hAnsi="Bookman Old Style" w:cs="Arial"/>
                <w:bCs/>
                <w:sz w:val="22"/>
                <w:szCs w:val="22"/>
              </w:rPr>
              <w:t>:</w:t>
            </w:r>
          </w:p>
        </w:tc>
        <w:tc>
          <w:tcPr>
            <w:tcW w:w="5103" w:type="dxa"/>
            <w:tcBorders>
              <w:top w:val="single" w:sz="4" w:space="0" w:color="auto"/>
              <w:left w:val="single" w:sz="4" w:space="0" w:color="auto"/>
              <w:bottom w:val="single" w:sz="4" w:space="0" w:color="auto"/>
              <w:right w:val="single" w:sz="4" w:space="0" w:color="auto"/>
            </w:tcBorders>
          </w:tcPr>
          <w:p w14:paraId="68931196" w14:textId="663867A3" w:rsidR="00EB3448"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 xml:space="preserve">Bilmar Alexander Marulanda Penagos </w:t>
            </w:r>
          </w:p>
        </w:tc>
      </w:tr>
      <w:tr w:rsidR="00EB3448" w:rsidRPr="0048256B" w14:paraId="4A34EB2F" w14:textId="77777777" w:rsidTr="620FE415">
        <w:trPr>
          <w:trHeight w:val="25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8CA6DBC" w14:textId="39B1BAAF" w:rsidR="00EB3448"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Accionadas:</w:t>
            </w:r>
          </w:p>
        </w:tc>
        <w:tc>
          <w:tcPr>
            <w:tcW w:w="5103" w:type="dxa"/>
            <w:tcBorders>
              <w:top w:val="single" w:sz="4" w:space="0" w:color="auto"/>
              <w:left w:val="single" w:sz="4" w:space="0" w:color="auto"/>
              <w:bottom w:val="single" w:sz="4" w:space="0" w:color="auto"/>
              <w:right w:val="single" w:sz="4" w:space="0" w:color="auto"/>
            </w:tcBorders>
          </w:tcPr>
          <w:p w14:paraId="375A42F3" w14:textId="76208A56" w:rsidR="00EB3448" w:rsidRPr="0048256B" w:rsidRDefault="001169DB" w:rsidP="0048256B">
            <w:pPr>
              <w:ind w:firstLine="0"/>
              <w:rPr>
                <w:rFonts w:ascii="Bookman Old Style" w:hAnsi="Bookman Old Style" w:cs="Arial"/>
                <w:bCs/>
                <w:sz w:val="22"/>
                <w:szCs w:val="22"/>
              </w:rPr>
            </w:pPr>
            <w:r w:rsidRPr="0048256B">
              <w:rPr>
                <w:rFonts w:ascii="Bookman Old Style" w:hAnsi="Bookman Old Style" w:cs="Arial"/>
                <w:bCs/>
                <w:sz w:val="22"/>
                <w:szCs w:val="22"/>
              </w:rPr>
              <w:t>-</w:t>
            </w:r>
            <w:r w:rsidR="0048256B" w:rsidRPr="0048256B">
              <w:rPr>
                <w:rFonts w:ascii="Bookman Old Style" w:hAnsi="Bookman Old Style" w:cs="Arial"/>
                <w:bCs/>
                <w:sz w:val="22"/>
                <w:szCs w:val="22"/>
              </w:rPr>
              <w:t xml:space="preserve">Dirección Establecimiento de Sanidad Militar </w:t>
            </w:r>
            <w:proofErr w:type="spellStart"/>
            <w:r w:rsidRPr="0048256B">
              <w:rPr>
                <w:rFonts w:ascii="Bookman Old Style" w:hAnsi="Bookman Old Style" w:cs="Arial"/>
                <w:bCs/>
                <w:sz w:val="22"/>
                <w:szCs w:val="22"/>
              </w:rPr>
              <w:t>ESM</w:t>
            </w:r>
            <w:proofErr w:type="spellEnd"/>
            <w:r w:rsidRPr="0048256B">
              <w:rPr>
                <w:rFonts w:ascii="Bookman Old Style" w:hAnsi="Bookman Old Style" w:cs="Arial"/>
                <w:bCs/>
                <w:sz w:val="22"/>
                <w:szCs w:val="22"/>
              </w:rPr>
              <w:t xml:space="preserve"> – </w:t>
            </w:r>
            <w:r w:rsidR="0048256B" w:rsidRPr="0048256B">
              <w:rPr>
                <w:rFonts w:ascii="Bookman Old Style" w:hAnsi="Bookman Old Style" w:cs="Arial"/>
                <w:bCs/>
                <w:sz w:val="22"/>
                <w:szCs w:val="22"/>
              </w:rPr>
              <w:t xml:space="preserve">Batallón </w:t>
            </w:r>
            <w:r w:rsidRPr="0048256B">
              <w:rPr>
                <w:rFonts w:ascii="Bookman Old Style" w:hAnsi="Bookman Old Style" w:cs="Arial"/>
                <w:bCs/>
                <w:sz w:val="22"/>
                <w:szCs w:val="22"/>
              </w:rPr>
              <w:t>“</w:t>
            </w:r>
            <w:r w:rsidR="0048256B" w:rsidRPr="0048256B">
              <w:rPr>
                <w:rFonts w:ascii="Bookman Old Style" w:hAnsi="Bookman Old Style" w:cs="Arial"/>
                <w:bCs/>
                <w:sz w:val="22"/>
                <w:szCs w:val="22"/>
              </w:rPr>
              <w:t>San Mateo</w:t>
            </w:r>
            <w:r w:rsidRPr="0048256B">
              <w:rPr>
                <w:rFonts w:ascii="Bookman Old Style" w:hAnsi="Bookman Old Style" w:cs="Arial"/>
                <w:bCs/>
                <w:sz w:val="22"/>
                <w:szCs w:val="22"/>
              </w:rPr>
              <w:t>”</w:t>
            </w:r>
          </w:p>
          <w:p w14:paraId="28E0915A" w14:textId="2DE6A8B9" w:rsidR="001169DB" w:rsidRPr="0048256B" w:rsidRDefault="001169DB" w:rsidP="0048256B">
            <w:pPr>
              <w:ind w:firstLine="0"/>
              <w:rPr>
                <w:rFonts w:ascii="Bookman Old Style" w:hAnsi="Bookman Old Style" w:cs="Arial"/>
                <w:bCs/>
                <w:sz w:val="22"/>
                <w:szCs w:val="22"/>
              </w:rPr>
            </w:pPr>
            <w:r w:rsidRPr="0048256B">
              <w:rPr>
                <w:rFonts w:ascii="Bookman Old Style" w:hAnsi="Bookman Old Style" w:cs="Arial"/>
                <w:bCs/>
                <w:sz w:val="22"/>
                <w:szCs w:val="22"/>
              </w:rPr>
              <w:t>-</w:t>
            </w:r>
            <w:r w:rsidR="0048256B" w:rsidRPr="0048256B">
              <w:rPr>
                <w:rFonts w:ascii="Bookman Old Style" w:hAnsi="Bookman Old Style" w:cs="Arial"/>
                <w:bCs/>
                <w:sz w:val="22"/>
                <w:szCs w:val="22"/>
              </w:rPr>
              <w:t>Dirección de Sanidad Militar del Ejército Nacional – Batallón “Cacique Calarcá</w:t>
            </w:r>
            <w:r w:rsidR="00B8550A" w:rsidRPr="0048256B">
              <w:rPr>
                <w:rFonts w:ascii="Bookman Old Style" w:hAnsi="Bookman Old Style" w:cs="Arial"/>
                <w:bCs/>
                <w:sz w:val="22"/>
                <w:szCs w:val="22"/>
              </w:rPr>
              <w:t>”</w:t>
            </w:r>
          </w:p>
        </w:tc>
      </w:tr>
      <w:tr w:rsidR="00B8550A" w:rsidRPr="0048256B" w14:paraId="3E132358" w14:textId="77777777" w:rsidTr="620FE415">
        <w:trPr>
          <w:trHeight w:val="256"/>
          <w:jc w:val="center"/>
        </w:trPr>
        <w:tc>
          <w:tcPr>
            <w:tcW w:w="2830" w:type="dxa"/>
            <w:tcBorders>
              <w:top w:val="single" w:sz="4" w:space="0" w:color="auto"/>
              <w:left w:val="single" w:sz="4" w:space="0" w:color="auto"/>
              <w:bottom w:val="single" w:sz="4" w:space="0" w:color="auto"/>
              <w:right w:val="single" w:sz="4" w:space="0" w:color="auto"/>
            </w:tcBorders>
            <w:vAlign w:val="center"/>
          </w:tcPr>
          <w:p w14:paraId="51FB9C80" w14:textId="0E81DF3C" w:rsidR="00B8550A"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Vinculada:</w:t>
            </w:r>
          </w:p>
        </w:tc>
        <w:tc>
          <w:tcPr>
            <w:tcW w:w="5103" w:type="dxa"/>
            <w:tcBorders>
              <w:top w:val="single" w:sz="4" w:space="0" w:color="auto"/>
              <w:left w:val="single" w:sz="4" w:space="0" w:color="auto"/>
              <w:bottom w:val="single" w:sz="4" w:space="0" w:color="auto"/>
              <w:right w:val="single" w:sz="4" w:space="0" w:color="auto"/>
            </w:tcBorders>
          </w:tcPr>
          <w:p w14:paraId="3CAFC486" w14:textId="69BFF471" w:rsidR="00B8550A"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Ejército Nacional – Dirección de Personal</w:t>
            </w:r>
          </w:p>
        </w:tc>
      </w:tr>
      <w:tr w:rsidR="00EB3448" w:rsidRPr="0048256B" w14:paraId="5A028360" w14:textId="77777777" w:rsidTr="620FE415">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B2F3A78" w14:textId="511EAFFF" w:rsidR="00EB3448"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Tema:</w:t>
            </w:r>
          </w:p>
        </w:tc>
        <w:tc>
          <w:tcPr>
            <w:tcW w:w="5103" w:type="dxa"/>
            <w:tcBorders>
              <w:top w:val="single" w:sz="4" w:space="0" w:color="auto"/>
              <w:left w:val="single" w:sz="4" w:space="0" w:color="auto"/>
              <w:bottom w:val="single" w:sz="4" w:space="0" w:color="auto"/>
              <w:right w:val="single" w:sz="4" w:space="0" w:color="auto"/>
            </w:tcBorders>
          </w:tcPr>
          <w:p w14:paraId="0DE309FA" w14:textId="5685F1E6" w:rsidR="00EB3448"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 xml:space="preserve">Derecho a la Salud </w:t>
            </w:r>
            <w:r w:rsidR="000912B5" w:rsidRPr="0048256B">
              <w:rPr>
                <w:rFonts w:ascii="Bookman Old Style" w:hAnsi="Bookman Old Style" w:cs="Arial"/>
                <w:bCs/>
                <w:sz w:val="22"/>
                <w:szCs w:val="22"/>
              </w:rPr>
              <w:t>y otros</w:t>
            </w:r>
          </w:p>
        </w:tc>
      </w:tr>
      <w:tr w:rsidR="00671A23" w:rsidRPr="0048256B" w14:paraId="280D6CB4" w14:textId="77777777" w:rsidTr="620FE415">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5D5E444A" w14:textId="7CB1F5D5" w:rsidR="00671A23"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Decisión:</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6EC1CC" w14:textId="357DDD40" w:rsidR="00671A23" w:rsidRPr="0048256B" w:rsidRDefault="0048256B" w:rsidP="0048256B">
            <w:pPr>
              <w:ind w:firstLine="0"/>
              <w:rPr>
                <w:rFonts w:ascii="Bookman Old Style" w:hAnsi="Bookman Old Style" w:cs="Arial"/>
                <w:bCs/>
                <w:sz w:val="22"/>
                <w:szCs w:val="22"/>
              </w:rPr>
            </w:pPr>
            <w:r w:rsidRPr="0048256B">
              <w:rPr>
                <w:rFonts w:ascii="Bookman Old Style" w:hAnsi="Bookman Old Style" w:cs="Arial"/>
                <w:bCs/>
                <w:sz w:val="22"/>
                <w:szCs w:val="22"/>
              </w:rPr>
              <w:t>Hecho superado</w:t>
            </w:r>
          </w:p>
        </w:tc>
      </w:tr>
    </w:tbl>
    <w:p w14:paraId="62E4CA08" w14:textId="77777777" w:rsidR="00EB3448" w:rsidRDefault="00EB3448" w:rsidP="0048256B">
      <w:pPr>
        <w:spacing w:after="0" w:line="276" w:lineRule="auto"/>
        <w:ind w:firstLine="709"/>
        <w:jc w:val="both"/>
        <w:rPr>
          <w:rFonts w:ascii="Bookman Old Style" w:hAnsi="Bookman Old Style" w:cs="Arial"/>
          <w:sz w:val="24"/>
          <w:szCs w:val="24"/>
        </w:rPr>
      </w:pPr>
    </w:p>
    <w:p w14:paraId="166BD0DB" w14:textId="77777777" w:rsidR="0048256B" w:rsidRPr="0048256B" w:rsidRDefault="0048256B" w:rsidP="0048256B">
      <w:pPr>
        <w:spacing w:after="0" w:line="276" w:lineRule="auto"/>
        <w:ind w:firstLine="709"/>
        <w:jc w:val="both"/>
        <w:rPr>
          <w:rFonts w:ascii="Bookman Old Style" w:hAnsi="Bookman Old Style" w:cs="Arial"/>
          <w:sz w:val="24"/>
          <w:szCs w:val="24"/>
        </w:rPr>
      </w:pPr>
    </w:p>
    <w:p w14:paraId="7E277509" w14:textId="2FD5B3A1" w:rsidR="00EB3448" w:rsidRPr="0048256B" w:rsidRDefault="004C1959" w:rsidP="0048256B">
      <w:pPr>
        <w:spacing w:after="0" w:line="276" w:lineRule="auto"/>
        <w:jc w:val="center"/>
        <w:rPr>
          <w:rFonts w:ascii="Bookman Old Style" w:hAnsi="Bookman Old Style" w:cs="Arial"/>
          <w:b/>
          <w:bCs/>
          <w:sz w:val="24"/>
          <w:szCs w:val="24"/>
        </w:rPr>
      </w:pPr>
      <w:r w:rsidRPr="0048256B">
        <w:rPr>
          <w:rFonts w:ascii="Bookman Old Style" w:hAnsi="Bookman Old Style" w:cs="Arial"/>
          <w:b/>
          <w:bCs/>
          <w:sz w:val="24"/>
          <w:szCs w:val="24"/>
        </w:rPr>
        <w:t>SENTENCIA No.</w:t>
      </w:r>
      <w:r w:rsidR="002D6D0A" w:rsidRPr="0048256B">
        <w:rPr>
          <w:rFonts w:ascii="Bookman Old Style" w:hAnsi="Bookman Old Style" w:cs="Arial"/>
          <w:b/>
          <w:bCs/>
          <w:sz w:val="24"/>
          <w:szCs w:val="24"/>
        </w:rPr>
        <w:t xml:space="preserve"> </w:t>
      </w:r>
      <w:r w:rsidR="4437AA7D" w:rsidRPr="0048256B">
        <w:rPr>
          <w:rFonts w:ascii="Bookman Old Style" w:hAnsi="Bookman Old Style" w:cs="Arial"/>
          <w:b/>
          <w:bCs/>
          <w:sz w:val="24"/>
          <w:szCs w:val="24"/>
        </w:rPr>
        <w:t>51</w:t>
      </w:r>
    </w:p>
    <w:p w14:paraId="72C9D8E1" w14:textId="77777777" w:rsidR="004D7B99" w:rsidRPr="0048256B" w:rsidRDefault="004D7B99" w:rsidP="0048256B">
      <w:pPr>
        <w:spacing w:after="0" w:line="276" w:lineRule="auto"/>
        <w:jc w:val="center"/>
        <w:rPr>
          <w:rFonts w:ascii="Bookman Old Style" w:hAnsi="Bookman Old Style" w:cs="Arial"/>
          <w:b/>
          <w:sz w:val="24"/>
          <w:szCs w:val="24"/>
        </w:rPr>
      </w:pPr>
    </w:p>
    <w:p w14:paraId="7B0B357B" w14:textId="437E8C97" w:rsidR="00B92E32" w:rsidRPr="0048256B" w:rsidRDefault="00B92E32" w:rsidP="0048256B">
      <w:pPr>
        <w:spacing w:after="0" w:line="276" w:lineRule="auto"/>
        <w:jc w:val="center"/>
        <w:rPr>
          <w:rFonts w:ascii="Bookman Old Style" w:hAnsi="Bookman Old Style" w:cs="Arial"/>
          <w:b/>
          <w:bCs/>
          <w:sz w:val="24"/>
          <w:szCs w:val="24"/>
        </w:rPr>
      </w:pPr>
      <w:r w:rsidRPr="0048256B">
        <w:rPr>
          <w:rFonts w:ascii="Bookman Old Style" w:hAnsi="Bookman Old Style" w:cs="Arial"/>
          <w:b/>
          <w:bCs/>
          <w:sz w:val="24"/>
          <w:szCs w:val="24"/>
        </w:rPr>
        <w:t xml:space="preserve">Aprobado por Acta No. </w:t>
      </w:r>
      <w:r w:rsidR="002A3D87" w:rsidRPr="0048256B">
        <w:rPr>
          <w:rFonts w:ascii="Bookman Old Style" w:hAnsi="Bookman Old Style" w:cs="Arial"/>
          <w:b/>
          <w:bCs/>
          <w:sz w:val="24"/>
          <w:szCs w:val="24"/>
        </w:rPr>
        <w:t>98 del 06 de agosto de 2024</w:t>
      </w:r>
    </w:p>
    <w:p w14:paraId="4AC1DC32" w14:textId="77777777" w:rsidR="00EB3448" w:rsidRPr="0048256B" w:rsidRDefault="00EB3448" w:rsidP="0048256B">
      <w:pPr>
        <w:spacing w:after="0" w:line="276" w:lineRule="auto"/>
        <w:ind w:firstLine="709"/>
        <w:jc w:val="both"/>
        <w:rPr>
          <w:rFonts w:ascii="Bookman Old Style" w:hAnsi="Bookman Old Style" w:cs="Arial"/>
          <w:sz w:val="24"/>
          <w:szCs w:val="24"/>
        </w:rPr>
      </w:pPr>
    </w:p>
    <w:p w14:paraId="4B1D84E7" w14:textId="7C1F833D" w:rsidR="00FB212F" w:rsidRPr="0048256B" w:rsidRDefault="00FB212F"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 xml:space="preserve">En la fecha y una vez cumplido el trámite de ley, se decide el recurso de impugnación </w:t>
      </w:r>
      <w:r w:rsidR="00504F72" w:rsidRPr="0048256B">
        <w:rPr>
          <w:rFonts w:ascii="Bookman Old Style" w:hAnsi="Bookman Old Style" w:cs="Times New Roman"/>
          <w:sz w:val="24"/>
          <w:szCs w:val="24"/>
        </w:rPr>
        <w:t>interpuest</w:t>
      </w:r>
      <w:r w:rsidR="00BD2C83" w:rsidRPr="0048256B">
        <w:rPr>
          <w:rFonts w:ascii="Bookman Old Style" w:hAnsi="Bookman Old Style" w:cs="Times New Roman"/>
          <w:sz w:val="24"/>
          <w:szCs w:val="24"/>
        </w:rPr>
        <w:t>o</w:t>
      </w:r>
      <w:r w:rsidRPr="0048256B">
        <w:rPr>
          <w:rFonts w:ascii="Bookman Old Style" w:hAnsi="Bookman Old Style" w:cs="Times New Roman"/>
          <w:sz w:val="24"/>
          <w:szCs w:val="24"/>
        </w:rPr>
        <w:t xml:space="preserve"> por </w:t>
      </w:r>
      <w:r w:rsidR="00B8550A" w:rsidRPr="0048256B">
        <w:rPr>
          <w:rFonts w:ascii="Bookman Old Style" w:hAnsi="Bookman Old Style" w:cs="Times New Roman"/>
          <w:sz w:val="24"/>
          <w:szCs w:val="24"/>
        </w:rPr>
        <w:t>el accionante</w:t>
      </w:r>
      <w:r w:rsidRPr="0048256B">
        <w:rPr>
          <w:rFonts w:ascii="Bookman Old Style" w:hAnsi="Bookman Old Style" w:cs="Times New Roman"/>
          <w:sz w:val="24"/>
          <w:szCs w:val="24"/>
        </w:rPr>
        <w:t xml:space="preserve"> frente al fallo de primera instancia del </w:t>
      </w:r>
      <w:r w:rsidR="00B8550A" w:rsidRPr="0048256B">
        <w:rPr>
          <w:rFonts w:ascii="Bookman Old Style" w:hAnsi="Bookman Old Style" w:cs="Times New Roman"/>
          <w:sz w:val="24"/>
          <w:szCs w:val="24"/>
        </w:rPr>
        <w:t>27 de junio de 2024</w:t>
      </w:r>
      <w:r w:rsidRPr="0048256B">
        <w:rPr>
          <w:rFonts w:ascii="Bookman Old Style" w:hAnsi="Bookman Old Style" w:cs="Times New Roman"/>
          <w:sz w:val="24"/>
          <w:szCs w:val="24"/>
        </w:rPr>
        <w:t xml:space="preserve">, proferido por el </w:t>
      </w:r>
      <w:r w:rsidR="00B8550A" w:rsidRPr="0048256B">
        <w:rPr>
          <w:rFonts w:ascii="Bookman Old Style" w:hAnsi="Bookman Old Style" w:cs="Times New Roman"/>
          <w:sz w:val="24"/>
          <w:szCs w:val="24"/>
        </w:rPr>
        <w:t>Juzgado Laboral del Circuito de Dosquebradas</w:t>
      </w:r>
      <w:r w:rsidR="00BD2C83" w:rsidRPr="0048256B">
        <w:rPr>
          <w:rFonts w:ascii="Bookman Old Style" w:hAnsi="Bookman Old Style" w:cs="Times New Roman"/>
          <w:sz w:val="24"/>
          <w:szCs w:val="24"/>
        </w:rPr>
        <w:t>, Risaralda</w:t>
      </w:r>
      <w:r w:rsidRPr="0048256B">
        <w:rPr>
          <w:rFonts w:ascii="Bookman Old Style" w:hAnsi="Bookman Old Style" w:cs="Times New Roman"/>
          <w:sz w:val="24"/>
          <w:szCs w:val="24"/>
        </w:rPr>
        <w:t>.</w:t>
      </w:r>
    </w:p>
    <w:p w14:paraId="46807426" w14:textId="77777777" w:rsidR="00FB212F" w:rsidRPr="0048256B" w:rsidRDefault="00FB212F" w:rsidP="0048256B">
      <w:pPr>
        <w:spacing w:after="0" w:line="276" w:lineRule="auto"/>
        <w:ind w:firstLine="426"/>
        <w:jc w:val="both"/>
        <w:rPr>
          <w:rFonts w:ascii="Bookman Old Style" w:hAnsi="Bookman Old Style" w:cs="Times New Roman"/>
          <w:sz w:val="24"/>
          <w:szCs w:val="24"/>
        </w:rPr>
      </w:pPr>
    </w:p>
    <w:p w14:paraId="48F4B4AA" w14:textId="7D6D79B6" w:rsidR="00FB212F" w:rsidRPr="0048256B" w:rsidRDefault="00FB212F" w:rsidP="00072457">
      <w:pPr>
        <w:pStyle w:val="Prrafodelista"/>
        <w:numPr>
          <w:ilvl w:val="0"/>
          <w:numId w:val="11"/>
        </w:numPr>
        <w:spacing w:line="276" w:lineRule="auto"/>
        <w:ind w:left="709"/>
        <w:jc w:val="center"/>
        <w:rPr>
          <w:rFonts w:ascii="Bookman Old Style" w:hAnsi="Bookman Old Style" w:cs="Times New Roman"/>
          <w:b/>
          <w:sz w:val="24"/>
          <w:szCs w:val="24"/>
        </w:rPr>
      </w:pPr>
      <w:r w:rsidRPr="0048256B">
        <w:rPr>
          <w:rFonts w:ascii="Bookman Old Style" w:hAnsi="Bookman Old Style" w:cs="Times New Roman"/>
          <w:b/>
          <w:sz w:val="24"/>
          <w:szCs w:val="24"/>
        </w:rPr>
        <w:t>ANTECEDENTES</w:t>
      </w:r>
    </w:p>
    <w:p w14:paraId="6EC3B5F2" w14:textId="77777777" w:rsidR="00FB212F" w:rsidRPr="0048256B" w:rsidRDefault="00FB212F" w:rsidP="0048256B">
      <w:pPr>
        <w:spacing w:after="0" w:line="276" w:lineRule="auto"/>
        <w:ind w:firstLine="426"/>
        <w:jc w:val="both"/>
        <w:rPr>
          <w:rFonts w:ascii="Bookman Old Style" w:hAnsi="Bookman Old Style" w:cs="Times New Roman"/>
          <w:sz w:val="24"/>
          <w:szCs w:val="24"/>
        </w:rPr>
      </w:pPr>
    </w:p>
    <w:p w14:paraId="6527FD19" w14:textId="47CCC0EB" w:rsidR="00FB212F" w:rsidRPr="0048256B" w:rsidRDefault="00B8550A"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lastRenderedPageBreak/>
        <w:t>El señor</w:t>
      </w:r>
      <w:r w:rsidR="00FB212F" w:rsidRPr="0048256B">
        <w:rPr>
          <w:rFonts w:ascii="Bookman Old Style" w:hAnsi="Bookman Old Style" w:cs="Times New Roman"/>
          <w:sz w:val="24"/>
          <w:szCs w:val="24"/>
        </w:rPr>
        <w:t xml:space="preserve"> </w:t>
      </w:r>
      <w:r w:rsidR="00962EDB" w:rsidRPr="0048256B">
        <w:rPr>
          <w:rFonts w:ascii="Bookman Old Style" w:hAnsi="Bookman Old Style" w:cs="Times New Roman"/>
          <w:b/>
          <w:bCs/>
          <w:sz w:val="24"/>
          <w:szCs w:val="24"/>
        </w:rPr>
        <w:t>BILMAR ALEXANDER MARULANDA PENAGOS</w:t>
      </w:r>
      <w:r w:rsidR="00FB212F" w:rsidRPr="0048256B">
        <w:rPr>
          <w:rFonts w:ascii="Bookman Old Style" w:hAnsi="Bookman Old Style" w:cs="Times New Roman"/>
          <w:sz w:val="24"/>
          <w:szCs w:val="24"/>
        </w:rPr>
        <w:t xml:space="preserve">, promovió acción de tutela contra la </w:t>
      </w:r>
      <w:r w:rsidR="00962EDB" w:rsidRPr="0048256B">
        <w:rPr>
          <w:rFonts w:ascii="Bookman Old Style" w:hAnsi="Bookman Old Style" w:cs="Times New Roman"/>
          <w:sz w:val="24"/>
          <w:szCs w:val="24"/>
        </w:rPr>
        <w:t>DIRECCIÓN ESTABLECIMIENTO DE SANIDAD MILITAR ESM BATALLÓN SAN MATEO, la DIRECCIÓN DE SANIDAD MILITAR DEL EJÉRCITO NACIONAL y el ESTABLECIMIENTO DE SANIDAD MILITAR BATALLÓN DE ASPC Nro. 8 CACIQUE CALARCA</w:t>
      </w:r>
      <w:r w:rsidR="005202A5" w:rsidRPr="0048256B">
        <w:rPr>
          <w:rFonts w:ascii="Bookman Old Style" w:hAnsi="Bookman Old Style" w:cs="Times New Roman"/>
          <w:sz w:val="24"/>
          <w:szCs w:val="24"/>
        </w:rPr>
        <w:t>, al considerar vulnerado</w:t>
      </w:r>
      <w:r w:rsidR="003D0F1F" w:rsidRPr="0048256B">
        <w:rPr>
          <w:rFonts w:ascii="Bookman Old Style" w:hAnsi="Bookman Old Style" w:cs="Times New Roman"/>
          <w:sz w:val="24"/>
          <w:szCs w:val="24"/>
        </w:rPr>
        <w:t>s</w:t>
      </w:r>
      <w:r w:rsidR="005202A5" w:rsidRPr="0048256B">
        <w:rPr>
          <w:rFonts w:ascii="Bookman Old Style" w:hAnsi="Bookman Old Style" w:cs="Times New Roman"/>
          <w:sz w:val="24"/>
          <w:szCs w:val="24"/>
        </w:rPr>
        <w:t xml:space="preserve"> y amenazado</w:t>
      </w:r>
      <w:r w:rsidR="003D0F1F" w:rsidRPr="0048256B">
        <w:rPr>
          <w:rFonts w:ascii="Bookman Old Style" w:hAnsi="Bookman Old Style" w:cs="Times New Roman"/>
          <w:sz w:val="24"/>
          <w:szCs w:val="24"/>
        </w:rPr>
        <w:t>s</w:t>
      </w:r>
      <w:r w:rsidR="005202A5" w:rsidRPr="0048256B">
        <w:rPr>
          <w:rFonts w:ascii="Bookman Old Style" w:hAnsi="Bookman Old Style" w:cs="Times New Roman"/>
          <w:sz w:val="24"/>
          <w:szCs w:val="24"/>
        </w:rPr>
        <w:t xml:space="preserve"> su derecho fundamental</w:t>
      </w:r>
      <w:r w:rsidR="00FB212F" w:rsidRPr="0048256B">
        <w:rPr>
          <w:rFonts w:ascii="Bookman Old Style" w:hAnsi="Bookman Old Style" w:cs="Times New Roman"/>
          <w:sz w:val="24"/>
          <w:szCs w:val="24"/>
        </w:rPr>
        <w:t xml:space="preserve"> </w:t>
      </w:r>
      <w:r w:rsidR="000912B5" w:rsidRPr="0048256B">
        <w:rPr>
          <w:rFonts w:ascii="Bookman Old Style" w:hAnsi="Bookman Old Style" w:cs="Times New Roman"/>
          <w:sz w:val="24"/>
          <w:szCs w:val="24"/>
        </w:rPr>
        <w:t>a la salud, vida y dignidad humana</w:t>
      </w:r>
      <w:r w:rsidR="0000157C" w:rsidRPr="0048256B">
        <w:rPr>
          <w:rFonts w:ascii="Bookman Old Style" w:hAnsi="Bookman Old Style" w:cs="Times New Roman"/>
          <w:sz w:val="24"/>
          <w:szCs w:val="24"/>
        </w:rPr>
        <w:t xml:space="preserve">, </w:t>
      </w:r>
      <w:r w:rsidR="005202A5" w:rsidRPr="0048256B">
        <w:rPr>
          <w:rFonts w:ascii="Bookman Old Style" w:hAnsi="Bookman Old Style" w:cs="Times New Roman"/>
          <w:sz w:val="24"/>
          <w:szCs w:val="24"/>
        </w:rPr>
        <w:t>consagrado</w:t>
      </w:r>
      <w:r w:rsidR="003D0F1F" w:rsidRPr="0048256B">
        <w:rPr>
          <w:rFonts w:ascii="Bookman Old Style" w:hAnsi="Bookman Old Style" w:cs="Times New Roman"/>
          <w:sz w:val="24"/>
          <w:szCs w:val="24"/>
        </w:rPr>
        <w:t>s</w:t>
      </w:r>
      <w:r w:rsidR="005202A5" w:rsidRPr="0048256B">
        <w:rPr>
          <w:rFonts w:ascii="Bookman Old Style" w:hAnsi="Bookman Old Style" w:cs="Times New Roman"/>
          <w:sz w:val="24"/>
          <w:szCs w:val="24"/>
        </w:rPr>
        <w:t xml:space="preserve"> </w:t>
      </w:r>
      <w:r w:rsidR="00FB212F" w:rsidRPr="0048256B">
        <w:rPr>
          <w:rFonts w:ascii="Bookman Old Style" w:hAnsi="Bookman Old Style" w:cs="Times New Roman"/>
          <w:sz w:val="24"/>
          <w:szCs w:val="24"/>
        </w:rPr>
        <w:t>en la Constitución Política.</w:t>
      </w:r>
    </w:p>
    <w:p w14:paraId="3A81512B" w14:textId="0E13AF2C" w:rsidR="00545A82" w:rsidRPr="0048256B" w:rsidRDefault="00545A82" w:rsidP="0048256B">
      <w:pPr>
        <w:spacing w:after="0" w:line="276" w:lineRule="auto"/>
        <w:ind w:firstLine="426"/>
        <w:jc w:val="both"/>
        <w:rPr>
          <w:rFonts w:ascii="Bookman Old Style" w:hAnsi="Bookman Old Style" w:cs="Times New Roman"/>
          <w:sz w:val="24"/>
          <w:szCs w:val="24"/>
        </w:rPr>
      </w:pPr>
    </w:p>
    <w:p w14:paraId="1DFB7521" w14:textId="73CFCA46" w:rsidR="00FB212F" w:rsidRPr="0048256B" w:rsidRDefault="00962EDB"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El</w:t>
      </w:r>
      <w:r w:rsidR="00FB212F" w:rsidRPr="0048256B">
        <w:rPr>
          <w:rFonts w:ascii="Bookman Old Style" w:hAnsi="Bookman Old Style" w:cs="Times New Roman"/>
          <w:sz w:val="24"/>
          <w:szCs w:val="24"/>
        </w:rPr>
        <w:t xml:space="preserve"> accionante justifica el amparo constitucional basado en los siguientes,</w:t>
      </w:r>
    </w:p>
    <w:p w14:paraId="52C93F7D" w14:textId="77777777" w:rsidR="00FB212F" w:rsidRPr="0048256B" w:rsidRDefault="00FB212F" w:rsidP="0048256B">
      <w:pPr>
        <w:spacing w:after="0" w:line="276" w:lineRule="auto"/>
        <w:ind w:firstLine="426"/>
        <w:jc w:val="both"/>
        <w:rPr>
          <w:rFonts w:ascii="Bookman Old Style" w:hAnsi="Bookman Old Style" w:cs="Times New Roman"/>
          <w:sz w:val="24"/>
          <w:szCs w:val="24"/>
        </w:rPr>
      </w:pPr>
    </w:p>
    <w:p w14:paraId="0D9589B6" w14:textId="6C0037E3" w:rsidR="00FB212F" w:rsidRPr="0048256B" w:rsidRDefault="00FB212F" w:rsidP="0048256B">
      <w:pPr>
        <w:spacing w:after="0" w:line="276" w:lineRule="auto"/>
        <w:jc w:val="center"/>
        <w:rPr>
          <w:rFonts w:ascii="Bookman Old Style" w:hAnsi="Bookman Old Style" w:cs="Times New Roman"/>
          <w:b/>
          <w:sz w:val="24"/>
          <w:szCs w:val="24"/>
        </w:rPr>
      </w:pPr>
      <w:r w:rsidRPr="0048256B">
        <w:rPr>
          <w:rFonts w:ascii="Bookman Old Style" w:hAnsi="Bookman Old Style" w:cs="Times New Roman"/>
          <w:b/>
          <w:sz w:val="24"/>
          <w:szCs w:val="24"/>
        </w:rPr>
        <w:t>HECHOS</w:t>
      </w:r>
    </w:p>
    <w:p w14:paraId="3CD0C2CA" w14:textId="77777777" w:rsidR="00FB212F" w:rsidRPr="0048256B" w:rsidRDefault="00FB212F" w:rsidP="0048256B">
      <w:pPr>
        <w:spacing w:after="0" w:line="276" w:lineRule="auto"/>
        <w:jc w:val="center"/>
        <w:rPr>
          <w:rFonts w:ascii="Bookman Old Style" w:hAnsi="Bookman Old Style" w:cs="Times New Roman"/>
          <w:b/>
          <w:sz w:val="24"/>
          <w:szCs w:val="24"/>
        </w:rPr>
      </w:pPr>
    </w:p>
    <w:p w14:paraId="1DAC54F8" w14:textId="12E7C1FF" w:rsidR="00B45143" w:rsidRPr="0048256B" w:rsidRDefault="00FB212F"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Señal</w:t>
      </w:r>
      <w:r w:rsidR="009E759C" w:rsidRPr="0048256B">
        <w:rPr>
          <w:rFonts w:ascii="Bookman Old Style" w:hAnsi="Bookman Old Style" w:cs="Times New Roman"/>
          <w:sz w:val="24"/>
          <w:szCs w:val="24"/>
        </w:rPr>
        <w:t>ó</w:t>
      </w:r>
      <w:r w:rsidRPr="0048256B">
        <w:rPr>
          <w:rFonts w:ascii="Bookman Old Style" w:hAnsi="Bookman Old Style" w:cs="Times New Roman"/>
          <w:sz w:val="24"/>
          <w:szCs w:val="24"/>
        </w:rPr>
        <w:t xml:space="preserve"> que</w:t>
      </w:r>
      <w:r w:rsidR="0000157C" w:rsidRPr="0048256B">
        <w:rPr>
          <w:rFonts w:ascii="Bookman Old Style" w:hAnsi="Bookman Old Style" w:cs="Times New Roman"/>
          <w:sz w:val="24"/>
          <w:szCs w:val="24"/>
        </w:rPr>
        <w:t xml:space="preserve"> </w:t>
      </w:r>
      <w:r w:rsidR="00962EDB" w:rsidRPr="0048256B">
        <w:rPr>
          <w:rFonts w:ascii="Bookman Old Style" w:hAnsi="Bookman Old Style" w:cs="Times New Roman"/>
          <w:sz w:val="24"/>
          <w:szCs w:val="24"/>
        </w:rPr>
        <w:t xml:space="preserve">tiene un diagnóstico de “420 – CARDIOMIOPATIA DILATADA” y debido a su estado de salud le fueron ordenados varios exámenes, procedimientos y consultas con diferentes especialistas; sin embargo, le programaron citas para el 23 y 24 de julio de 2024 en el Hospital Militar Central de la ciudad de Bogotá. Por consiguiente, solicita sean tutelados sus derechos y se ordene el servicio de transporte vía </w:t>
      </w:r>
      <w:r w:rsidR="009A7A91" w:rsidRPr="0048256B">
        <w:rPr>
          <w:rFonts w:ascii="Bookman Old Style" w:hAnsi="Bookman Old Style" w:cs="Times New Roman"/>
          <w:sz w:val="24"/>
          <w:szCs w:val="24"/>
        </w:rPr>
        <w:t>área</w:t>
      </w:r>
      <w:r w:rsidR="00962EDB" w:rsidRPr="0048256B">
        <w:rPr>
          <w:rFonts w:ascii="Bookman Old Style" w:hAnsi="Bookman Old Style" w:cs="Times New Roman"/>
          <w:sz w:val="24"/>
          <w:szCs w:val="24"/>
        </w:rPr>
        <w:t>, alimentación y alojamiento para él y su acompañante.</w:t>
      </w:r>
      <w:r w:rsidR="009A7A91" w:rsidRPr="0048256B">
        <w:rPr>
          <w:rFonts w:ascii="Bookman Old Style" w:hAnsi="Bookman Old Style" w:cs="Times New Roman"/>
          <w:sz w:val="24"/>
          <w:szCs w:val="24"/>
        </w:rPr>
        <w:t xml:space="preserve"> </w:t>
      </w:r>
    </w:p>
    <w:p w14:paraId="4E143936" w14:textId="77777777" w:rsidR="00BE6A1D" w:rsidRPr="0048256B" w:rsidRDefault="00BE6A1D" w:rsidP="0048256B">
      <w:pPr>
        <w:spacing w:after="0" w:line="276" w:lineRule="auto"/>
        <w:ind w:firstLine="426"/>
        <w:jc w:val="both"/>
        <w:rPr>
          <w:rFonts w:ascii="Bookman Old Style" w:hAnsi="Bookman Old Style" w:cs="Times New Roman"/>
          <w:sz w:val="24"/>
          <w:szCs w:val="24"/>
        </w:rPr>
      </w:pPr>
    </w:p>
    <w:p w14:paraId="28AAC875" w14:textId="77777777" w:rsidR="00FB212F" w:rsidRPr="0048256B" w:rsidRDefault="00FB212F" w:rsidP="0048256B">
      <w:pPr>
        <w:spacing w:after="0" w:line="276" w:lineRule="auto"/>
        <w:jc w:val="center"/>
        <w:rPr>
          <w:rFonts w:ascii="Bookman Old Style" w:hAnsi="Bookman Old Style" w:cs="Times New Roman"/>
          <w:b/>
          <w:sz w:val="24"/>
          <w:szCs w:val="24"/>
        </w:rPr>
      </w:pPr>
      <w:r w:rsidRPr="0048256B">
        <w:rPr>
          <w:rFonts w:ascii="Bookman Old Style" w:hAnsi="Bookman Old Style" w:cs="Times New Roman"/>
          <w:b/>
          <w:sz w:val="24"/>
          <w:szCs w:val="24"/>
        </w:rPr>
        <w:t>PRETENSIONES</w:t>
      </w:r>
    </w:p>
    <w:p w14:paraId="6F74718C" w14:textId="77777777" w:rsidR="001F0A23" w:rsidRPr="0048256B" w:rsidRDefault="001F0A23" w:rsidP="0048256B">
      <w:pPr>
        <w:spacing w:after="0" w:line="276" w:lineRule="auto"/>
        <w:ind w:firstLine="426"/>
        <w:jc w:val="both"/>
        <w:rPr>
          <w:rFonts w:ascii="Bookman Old Style" w:hAnsi="Bookman Old Style" w:cs="Times New Roman"/>
          <w:sz w:val="24"/>
          <w:szCs w:val="24"/>
        </w:rPr>
      </w:pPr>
    </w:p>
    <w:p w14:paraId="3AD8FAD5" w14:textId="05AECD09" w:rsidR="00FB212F" w:rsidRPr="0048256B" w:rsidRDefault="00585151"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El</w:t>
      </w:r>
      <w:r w:rsidR="001F0A23" w:rsidRPr="0048256B">
        <w:rPr>
          <w:rFonts w:ascii="Bookman Old Style" w:hAnsi="Bookman Old Style" w:cs="Times New Roman"/>
          <w:sz w:val="24"/>
          <w:szCs w:val="24"/>
        </w:rPr>
        <w:t xml:space="preserve"> </w:t>
      </w:r>
      <w:r w:rsidR="00BE6A1D" w:rsidRPr="0048256B">
        <w:rPr>
          <w:rFonts w:ascii="Bookman Old Style" w:hAnsi="Bookman Old Style" w:cs="Times New Roman"/>
          <w:sz w:val="24"/>
          <w:szCs w:val="24"/>
        </w:rPr>
        <w:t>accionante</w:t>
      </w:r>
      <w:r w:rsidR="001F0A23" w:rsidRPr="0048256B">
        <w:rPr>
          <w:rFonts w:ascii="Bookman Old Style" w:hAnsi="Bookman Old Style" w:cs="Times New Roman"/>
          <w:sz w:val="24"/>
          <w:szCs w:val="24"/>
        </w:rPr>
        <w:t xml:space="preserve"> solicita se tutele</w:t>
      </w:r>
      <w:r w:rsidR="00BE6A1D" w:rsidRPr="0048256B">
        <w:rPr>
          <w:rFonts w:ascii="Bookman Old Style" w:hAnsi="Bookman Old Style" w:cs="Times New Roman"/>
          <w:sz w:val="24"/>
          <w:szCs w:val="24"/>
        </w:rPr>
        <w:t>n</w:t>
      </w:r>
      <w:r w:rsidR="00443334" w:rsidRPr="0048256B">
        <w:rPr>
          <w:rFonts w:ascii="Bookman Old Style" w:hAnsi="Bookman Old Style" w:cs="Times New Roman"/>
          <w:sz w:val="24"/>
          <w:szCs w:val="24"/>
        </w:rPr>
        <w:t xml:space="preserve"> su</w:t>
      </w:r>
      <w:r w:rsidR="00BE6A1D" w:rsidRPr="0048256B">
        <w:rPr>
          <w:rFonts w:ascii="Bookman Old Style" w:hAnsi="Bookman Old Style" w:cs="Times New Roman"/>
          <w:sz w:val="24"/>
          <w:szCs w:val="24"/>
        </w:rPr>
        <w:t>s</w:t>
      </w:r>
      <w:r w:rsidR="00443334" w:rsidRPr="0048256B">
        <w:rPr>
          <w:rFonts w:ascii="Bookman Old Style" w:hAnsi="Bookman Old Style" w:cs="Times New Roman"/>
          <w:sz w:val="24"/>
          <w:szCs w:val="24"/>
        </w:rPr>
        <w:t xml:space="preserve"> derecho</w:t>
      </w:r>
      <w:r w:rsidR="00BE6A1D" w:rsidRPr="0048256B">
        <w:rPr>
          <w:rFonts w:ascii="Bookman Old Style" w:hAnsi="Bookman Old Style" w:cs="Times New Roman"/>
          <w:sz w:val="24"/>
          <w:szCs w:val="24"/>
        </w:rPr>
        <w:t>s</w:t>
      </w:r>
      <w:r w:rsidR="00443334" w:rsidRPr="0048256B">
        <w:rPr>
          <w:rFonts w:ascii="Bookman Old Style" w:hAnsi="Bookman Old Style" w:cs="Times New Roman"/>
          <w:sz w:val="24"/>
          <w:szCs w:val="24"/>
        </w:rPr>
        <w:t xml:space="preserve"> fundamental</w:t>
      </w:r>
      <w:r w:rsidR="00BE6A1D" w:rsidRPr="0048256B">
        <w:rPr>
          <w:rFonts w:ascii="Bookman Old Style" w:hAnsi="Bookman Old Style" w:cs="Times New Roman"/>
          <w:sz w:val="24"/>
          <w:szCs w:val="24"/>
        </w:rPr>
        <w:t>es</w:t>
      </w:r>
      <w:r w:rsidR="0046294A" w:rsidRPr="0048256B">
        <w:rPr>
          <w:rFonts w:ascii="Bookman Old Style" w:hAnsi="Bookman Old Style" w:cs="Times New Roman"/>
          <w:sz w:val="24"/>
          <w:szCs w:val="24"/>
        </w:rPr>
        <w:t xml:space="preserve"> </w:t>
      </w:r>
      <w:r w:rsidR="00B45143" w:rsidRPr="0048256B">
        <w:rPr>
          <w:rFonts w:ascii="Bookman Old Style" w:hAnsi="Bookman Old Style" w:cs="Times New Roman"/>
          <w:sz w:val="24"/>
          <w:szCs w:val="24"/>
        </w:rPr>
        <w:t>a la salud,</w:t>
      </w:r>
      <w:r w:rsidR="00FE78B2" w:rsidRPr="0048256B">
        <w:rPr>
          <w:rFonts w:ascii="Bookman Old Style" w:hAnsi="Bookman Old Style" w:cs="Times New Roman"/>
          <w:sz w:val="24"/>
          <w:szCs w:val="24"/>
        </w:rPr>
        <w:t xml:space="preserve"> la</w:t>
      </w:r>
      <w:r w:rsidR="00B45143" w:rsidRPr="0048256B">
        <w:rPr>
          <w:rFonts w:ascii="Bookman Old Style" w:hAnsi="Bookman Old Style" w:cs="Times New Roman"/>
          <w:sz w:val="24"/>
          <w:szCs w:val="24"/>
        </w:rPr>
        <w:t xml:space="preserve"> vida, y </w:t>
      </w:r>
      <w:r w:rsidR="00FE78B2" w:rsidRPr="0048256B">
        <w:rPr>
          <w:rFonts w:ascii="Bookman Old Style" w:hAnsi="Bookman Old Style" w:cs="Times New Roman"/>
          <w:sz w:val="24"/>
          <w:szCs w:val="24"/>
        </w:rPr>
        <w:t>dignidad humana;</w:t>
      </w:r>
      <w:r w:rsidR="00B45143" w:rsidRPr="0048256B">
        <w:rPr>
          <w:rFonts w:ascii="Bookman Old Style" w:hAnsi="Bookman Old Style" w:cs="Times New Roman"/>
          <w:sz w:val="24"/>
          <w:szCs w:val="24"/>
        </w:rPr>
        <w:t xml:space="preserve"> en consecuencia, se ordene </w:t>
      </w:r>
      <w:r w:rsidRPr="0048256B">
        <w:rPr>
          <w:rFonts w:ascii="Bookman Old Style" w:hAnsi="Bookman Old Style" w:cs="Times New Roman"/>
          <w:sz w:val="24"/>
          <w:szCs w:val="24"/>
        </w:rPr>
        <w:t>a las entidades accionadas a autorizar los servicios de transporte, alojamiento y alimentación para él y un acompañante, a fin de acudir a todas las citas médicas que fueron programadas en el Hospital Militar Central de Bogotá.</w:t>
      </w:r>
    </w:p>
    <w:p w14:paraId="1FB92CE5" w14:textId="77777777" w:rsidR="001E0B5D" w:rsidRPr="0048256B" w:rsidRDefault="001E0B5D" w:rsidP="0048256B">
      <w:pPr>
        <w:spacing w:after="0" w:line="276" w:lineRule="auto"/>
        <w:ind w:firstLine="426"/>
        <w:jc w:val="both"/>
        <w:rPr>
          <w:rFonts w:ascii="Bookman Old Style" w:hAnsi="Bookman Old Style" w:cs="Times New Roman"/>
          <w:sz w:val="24"/>
          <w:szCs w:val="24"/>
        </w:rPr>
      </w:pPr>
    </w:p>
    <w:p w14:paraId="3A425B8B" w14:textId="7E7DE135" w:rsidR="00FB212F" w:rsidRPr="0048256B" w:rsidRDefault="00FB212F" w:rsidP="0048256B">
      <w:pPr>
        <w:spacing w:after="0" w:line="276" w:lineRule="auto"/>
        <w:ind w:firstLine="426"/>
        <w:jc w:val="center"/>
        <w:rPr>
          <w:rFonts w:ascii="Bookman Old Style" w:hAnsi="Bookman Old Style" w:cs="Times New Roman"/>
          <w:b/>
          <w:sz w:val="24"/>
          <w:szCs w:val="24"/>
        </w:rPr>
      </w:pPr>
      <w:r w:rsidRPr="0048256B">
        <w:rPr>
          <w:rFonts w:ascii="Bookman Old Style" w:hAnsi="Bookman Old Style" w:cs="Times New Roman"/>
          <w:b/>
          <w:sz w:val="24"/>
          <w:szCs w:val="24"/>
        </w:rPr>
        <w:t>POSICIÓN DE LA</w:t>
      </w:r>
      <w:r w:rsidR="00585151" w:rsidRPr="0048256B">
        <w:rPr>
          <w:rFonts w:ascii="Bookman Old Style" w:hAnsi="Bookman Old Style" w:cs="Times New Roman"/>
          <w:b/>
          <w:sz w:val="24"/>
          <w:szCs w:val="24"/>
        </w:rPr>
        <w:t>S</w:t>
      </w:r>
      <w:r w:rsidRPr="0048256B">
        <w:rPr>
          <w:rFonts w:ascii="Bookman Old Style" w:hAnsi="Bookman Old Style" w:cs="Times New Roman"/>
          <w:b/>
          <w:sz w:val="24"/>
          <w:szCs w:val="24"/>
        </w:rPr>
        <w:t xml:space="preserve"> ACCIONADA</w:t>
      </w:r>
      <w:r w:rsidR="00585151" w:rsidRPr="0048256B">
        <w:rPr>
          <w:rFonts w:ascii="Bookman Old Style" w:hAnsi="Bookman Old Style" w:cs="Times New Roman"/>
          <w:b/>
          <w:sz w:val="24"/>
          <w:szCs w:val="24"/>
        </w:rPr>
        <w:t>S</w:t>
      </w:r>
    </w:p>
    <w:p w14:paraId="1EBEB59F" w14:textId="77777777" w:rsidR="00FB212F" w:rsidRPr="0048256B" w:rsidRDefault="00FB212F" w:rsidP="0048256B">
      <w:pPr>
        <w:spacing w:after="0" w:line="276" w:lineRule="auto"/>
        <w:ind w:firstLine="426"/>
        <w:jc w:val="both"/>
        <w:rPr>
          <w:rFonts w:ascii="Bookman Old Style" w:hAnsi="Bookman Old Style" w:cs="Times New Roman"/>
          <w:sz w:val="24"/>
          <w:szCs w:val="24"/>
        </w:rPr>
      </w:pPr>
    </w:p>
    <w:p w14:paraId="635BE20D" w14:textId="6D345A57" w:rsidR="007807B7" w:rsidRPr="0048256B" w:rsidRDefault="00273CD3" w:rsidP="0048256B">
      <w:pPr>
        <w:spacing w:after="0" w:line="276" w:lineRule="auto"/>
        <w:jc w:val="both"/>
        <w:rPr>
          <w:rFonts w:ascii="Bookman Old Style" w:hAnsi="Bookman Old Style" w:cs="Times New Roman"/>
          <w:b/>
          <w:bCs/>
          <w:sz w:val="24"/>
          <w:szCs w:val="24"/>
        </w:rPr>
      </w:pPr>
      <w:r w:rsidRPr="0048256B">
        <w:rPr>
          <w:rFonts w:ascii="Bookman Old Style" w:hAnsi="Bookman Old Style" w:cs="Times New Roman"/>
          <w:sz w:val="24"/>
          <w:szCs w:val="24"/>
        </w:rPr>
        <w:tab/>
        <w:t xml:space="preserve">La </w:t>
      </w:r>
      <w:r w:rsidR="00585151" w:rsidRPr="0048256B">
        <w:rPr>
          <w:rFonts w:ascii="Bookman Old Style" w:hAnsi="Bookman Old Style" w:cs="Times New Roman"/>
          <w:b/>
          <w:sz w:val="24"/>
          <w:szCs w:val="24"/>
        </w:rPr>
        <w:t xml:space="preserve">DIRECCIÓN DE SANIDAD EJÉRCITO (DISAN EJC) </w:t>
      </w:r>
      <w:r w:rsidR="00585151" w:rsidRPr="0048256B">
        <w:rPr>
          <w:rFonts w:ascii="Bookman Old Style" w:hAnsi="Bookman Old Style" w:cs="Times New Roman"/>
          <w:sz w:val="24"/>
          <w:szCs w:val="24"/>
        </w:rPr>
        <w:t>indicó que cumple funciones administrativas, pero no es la encargada de prestar el servicio médico asistencial a los usuarios, pues esa labor está en cabeza de los Establecimientos de Sanidad Militar de cada regional. Así las cosas, en el presente caso, el E.S.M BASAM BATALLÓN DE ARTILLERÍA No. 8 SAN MATEO pertenece a la unidad centralizada de la regional</w:t>
      </w:r>
      <w:r w:rsidR="003E56B0" w:rsidRPr="0048256B">
        <w:rPr>
          <w:rFonts w:ascii="Bookman Old Style" w:hAnsi="Bookman Old Style" w:cs="Times New Roman"/>
          <w:sz w:val="24"/>
          <w:szCs w:val="24"/>
        </w:rPr>
        <w:t xml:space="preserve"> 11 de</w:t>
      </w:r>
      <w:r w:rsidR="00585151" w:rsidRPr="0048256B">
        <w:rPr>
          <w:rFonts w:ascii="Bookman Old Style" w:hAnsi="Bookman Old Style" w:cs="Times New Roman"/>
          <w:sz w:val="24"/>
          <w:szCs w:val="24"/>
        </w:rPr>
        <w:t xml:space="preserve"> Armenia</w:t>
      </w:r>
      <w:r w:rsidR="003E56B0" w:rsidRPr="0048256B">
        <w:rPr>
          <w:rFonts w:ascii="Bookman Old Style" w:hAnsi="Bookman Old Style" w:cs="Times New Roman"/>
          <w:sz w:val="24"/>
          <w:szCs w:val="24"/>
        </w:rPr>
        <w:t xml:space="preserve">; por tanto, son estas entidades las encargadas de coordinar la autorización de los servicios </w:t>
      </w:r>
      <w:r w:rsidR="0048256B" w:rsidRPr="0048256B">
        <w:rPr>
          <w:rFonts w:ascii="Bookman Old Style" w:hAnsi="Bookman Old Style" w:cs="Times New Roman"/>
          <w:sz w:val="24"/>
          <w:szCs w:val="24"/>
        </w:rPr>
        <w:t>médico-asistenciales</w:t>
      </w:r>
      <w:r w:rsidR="003E56B0" w:rsidRPr="0048256B">
        <w:rPr>
          <w:rFonts w:ascii="Bookman Old Style" w:hAnsi="Bookman Old Style" w:cs="Times New Roman"/>
          <w:sz w:val="24"/>
          <w:szCs w:val="24"/>
        </w:rPr>
        <w:t xml:space="preserve"> que requiere el señor Bilmar Marulanda. Sin embargo, advirtió que el accionante no ha presentado la solicitud previa ante la entidad para los servicios de traslado, alimentación y hospedaje; por lo cual, le corresponde primero agotar el mecanismo administrativo ante el Batallón San Mateo. En consecuencia, solicita que se niegue la tutela por improcedente y sea desvinculada de la acción. En caso contrario, que se ordene a la Regional 11 para que realice el estudio respectivo de adquisición de bienes y servicios a fin de garantizar el servicio requerido.</w:t>
      </w:r>
      <w:r w:rsidR="00585151" w:rsidRPr="0048256B">
        <w:rPr>
          <w:rFonts w:ascii="Bookman Old Style" w:hAnsi="Bookman Old Style" w:cs="Times New Roman"/>
          <w:b/>
          <w:sz w:val="24"/>
          <w:szCs w:val="24"/>
        </w:rPr>
        <w:t xml:space="preserve"> </w:t>
      </w:r>
      <w:r w:rsidR="00585151" w:rsidRPr="0048256B">
        <w:rPr>
          <w:rFonts w:ascii="Bookman Old Style" w:hAnsi="Bookman Old Style" w:cs="Times New Roman"/>
          <w:sz w:val="24"/>
          <w:szCs w:val="24"/>
        </w:rPr>
        <w:t>(anexo08)</w:t>
      </w:r>
      <w:r w:rsidRPr="0048256B">
        <w:rPr>
          <w:rFonts w:ascii="Bookman Old Style" w:hAnsi="Bookman Old Style" w:cs="Times New Roman"/>
          <w:b/>
          <w:bCs/>
          <w:sz w:val="24"/>
          <w:szCs w:val="24"/>
        </w:rPr>
        <w:t xml:space="preserve"> </w:t>
      </w:r>
    </w:p>
    <w:p w14:paraId="1E27EE3E" w14:textId="7CEB8827" w:rsidR="003E56B0" w:rsidRPr="0048256B" w:rsidRDefault="003E56B0" w:rsidP="0048256B">
      <w:pPr>
        <w:spacing w:after="0" w:line="276" w:lineRule="auto"/>
        <w:jc w:val="both"/>
        <w:rPr>
          <w:rFonts w:ascii="Bookman Old Style" w:hAnsi="Bookman Old Style" w:cs="Times New Roman"/>
          <w:sz w:val="24"/>
          <w:szCs w:val="24"/>
        </w:rPr>
      </w:pPr>
    </w:p>
    <w:p w14:paraId="72D332E1" w14:textId="76C910E0" w:rsidR="003E56B0" w:rsidRPr="0048256B" w:rsidRDefault="003E56B0" w:rsidP="0048256B">
      <w:pPr>
        <w:spacing w:after="0" w:line="276" w:lineRule="auto"/>
        <w:jc w:val="both"/>
        <w:rPr>
          <w:rFonts w:ascii="Bookman Old Style" w:hAnsi="Bookman Old Style" w:cs="Times New Roman"/>
          <w:sz w:val="24"/>
          <w:szCs w:val="24"/>
        </w:rPr>
      </w:pPr>
      <w:r w:rsidRPr="0048256B">
        <w:rPr>
          <w:rFonts w:ascii="Bookman Old Style" w:hAnsi="Bookman Old Style" w:cs="Times New Roman"/>
          <w:sz w:val="24"/>
          <w:szCs w:val="24"/>
        </w:rPr>
        <w:tab/>
      </w:r>
      <w:r w:rsidR="00C31798" w:rsidRPr="0048256B">
        <w:rPr>
          <w:rFonts w:ascii="Bookman Old Style" w:hAnsi="Bookman Old Style" w:cs="Times New Roman"/>
          <w:sz w:val="24"/>
          <w:szCs w:val="24"/>
        </w:rPr>
        <w:t xml:space="preserve">El </w:t>
      </w:r>
      <w:r w:rsidR="00C31798" w:rsidRPr="0048256B">
        <w:rPr>
          <w:rFonts w:ascii="Bookman Old Style" w:hAnsi="Bookman Old Style" w:cs="Times New Roman"/>
          <w:b/>
          <w:sz w:val="24"/>
          <w:szCs w:val="24"/>
        </w:rPr>
        <w:t xml:space="preserve">ESTABLECIMIENTO DE SANIDAD MILITAR BAACA “SAN MATEO” </w:t>
      </w:r>
      <w:r w:rsidR="00C31798" w:rsidRPr="0048256B">
        <w:rPr>
          <w:rFonts w:ascii="Bookman Old Style" w:hAnsi="Bookman Old Style" w:cs="Times New Roman"/>
          <w:sz w:val="24"/>
          <w:szCs w:val="24"/>
        </w:rPr>
        <w:t xml:space="preserve">indicó que no es el Dispensario Médico del batallón San Mateo el competente </w:t>
      </w:r>
      <w:r w:rsidR="00C31798" w:rsidRPr="0048256B">
        <w:rPr>
          <w:rFonts w:ascii="Bookman Old Style" w:hAnsi="Bookman Old Style" w:cs="Times New Roman"/>
          <w:sz w:val="24"/>
          <w:szCs w:val="24"/>
        </w:rPr>
        <w:lastRenderedPageBreak/>
        <w:t xml:space="preserve">para conceder los viáticos del usuario, pues es una entidad meramente prestacional del servicio de salud, siendo la Dirección de Sanidad el ente administrativo que cuenta con el rubro presupuestal para el pago y materialización de los viáticos de los usuarios adscritos al Subsistema de Salud de las FF.MM, la única obligación del dispensario médico dentro de este proceso es que una vez la persona cuente con una cita médica fuera de la ciudad de Pereira o sus alrededores y haya remitido dicha información al Dispensario, este último elevará una solicitud de la cita a la Dirección de Sanidad - Sección viáticos, requiriendo la materialización de los viáticos, estando sujetos a lo que la Dirección de Sanidad lleve a cabo para la realización y materialización de los viáticos solicitados. Advirtió que el accionante cuenta con los medios económicos para sufragar el viaje, pues disfruta de una pensión con una asignación de $3.526.095 como suboficial cabo primero retirado. </w:t>
      </w:r>
      <w:r w:rsidR="00A11CC7" w:rsidRPr="0048256B">
        <w:rPr>
          <w:rFonts w:ascii="Bookman Old Style" w:hAnsi="Bookman Old Style" w:cs="Times New Roman"/>
          <w:sz w:val="24"/>
          <w:szCs w:val="24"/>
        </w:rPr>
        <w:t>Finalmente, anotó que el actor nunca ha solicitado los servicios de alojamiento, transporte y alimentación</w:t>
      </w:r>
      <w:r w:rsidR="00131220" w:rsidRPr="0048256B">
        <w:rPr>
          <w:rFonts w:ascii="Bookman Old Style" w:hAnsi="Bookman Old Style" w:cs="Times New Roman"/>
          <w:sz w:val="24"/>
          <w:szCs w:val="24"/>
        </w:rPr>
        <w:t>, por tanto, no puede alegar que los mismos fueron negados. Bajo dichos argumentos, solicitó se declare improcedente la acción de tutela.</w:t>
      </w:r>
      <w:r w:rsidR="00C31798" w:rsidRPr="0048256B">
        <w:rPr>
          <w:rFonts w:ascii="Bookman Old Style" w:hAnsi="Bookman Old Style" w:cs="Times New Roman"/>
          <w:sz w:val="24"/>
          <w:szCs w:val="24"/>
        </w:rPr>
        <w:t xml:space="preserve"> (anexo11)</w:t>
      </w:r>
    </w:p>
    <w:p w14:paraId="1A99640D" w14:textId="09A0182C" w:rsidR="004E65B1" w:rsidRPr="0048256B" w:rsidRDefault="004E65B1" w:rsidP="0048256B">
      <w:pPr>
        <w:spacing w:after="0" w:line="276" w:lineRule="auto"/>
        <w:jc w:val="both"/>
        <w:rPr>
          <w:rFonts w:ascii="Bookman Old Style" w:hAnsi="Bookman Old Style" w:cs="Times New Roman"/>
          <w:sz w:val="24"/>
          <w:szCs w:val="24"/>
        </w:rPr>
      </w:pPr>
    </w:p>
    <w:p w14:paraId="6D1BA82F" w14:textId="30A435A2" w:rsidR="006A3F83" w:rsidRPr="0048256B" w:rsidRDefault="006A3F83" w:rsidP="0048256B">
      <w:pPr>
        <w:spacing w:after="0" w:line="276" w:lineRule="auto"/>
        <w:jc w:val="center"/>
        <w:rPr>
          <w:rFonts w:ascii="Bookman Old Style" w:hAnsi="Bookman Old Style" w:cs="Times New Roman"/>
          <w:b/>
          <w:sz w:val="24"/>
          <w:szCs w:val="24"/>
        </w:rPr>
      </w:pPr>
      <w:r w:rsidRPr="0048256B">
        <w:rPr>
          <w:rFonts w:ascii="Bookman Old Style" w:hAnsi="Bookman Old Style" w:cs="Times New Roman"/>
          <w:b/>
          <w:sz w:val="24"/>
          <w:szCs w:val="24"/>
        </w:rPr>
        <w:t>FALLO IMPUGNADO</w:t>
      </w:r>
    </w:p>
    <w:p w14:paraId="507A00C6" w14:textId="737C8C0F" w:rsidR="006A3F83" w:rsidRPr="0048256B" w:rsidRDefault="006A3F83" w:rsidP="0048256B">
      <w:pPr>
        <w:spacing w:after="0" w:line="276" w:lineRule="auto"/>
        <w:ind w:firstLine="426"/>
        <w:jc w:val="center"/>
        <w:rPr>
          <w:rFonts w:ascii="Bookman Old Style" w:hAnsi="Bookman Old Style" w:cs="Times New Roman"/>
          <w:b/>
          <w:sz w:val="24"/>
          <w:szCs w:val="24"/>
        </w:rPr>
      </w:pPr>
    </w:p>
    <w:p w14:paraId="5D68F86A" w14:textId="22E19198" w:rsidR="00EF081A" w:rsidRPr="0048256B" w:rsidRDefault="006A3F83" w:rsidP="0048256B">
      <w:pPr>
        <w:spacing w:after="0" w:line="276" w:lineRule="auto"/>
        <w:ind w:firstLine="426"/>
        <w:jc w:val="both"/>
        <w:rPr>
          <w:rFonts w:ascii="Bookman Old Style" w:hAnsi="Bookman Old Style" w:cs="Times New Roman"/>
          <w:i/>
          <w:sz w:val="24"/>
          <w:szCs w:val="24"/>
        </w:rPr>
      </w:pPr>
      <w:r w:rsidRPr="0048256B">
        <w:rPr>
          <w:rFonts w:ascii="Bookman Old Style" w:hAnsi="Bookman Old Style" w:cs="Times New Roman"/>
          <w:sz w:val="24"/>
          <w:szCs w:val="24"/>
        </w:rPr>
        <w:t xml:space="preserve">Mediante sentencia del </w:t>
      </w:r>
      <w:r w:rsidR="004E65B1" w:rsidRPr="0048256B">
        <w:rPr>
          <w:rFonts w:ascii="Bookman Old Style" w:hAnsi="Bookman Old Style" w:cs="Times New Roman"/>
          <w:sz w:val="24"/>
          <w:szCs w:val="24"/>
        </w:rPr>
        <w:t>27 de junio de 2024</w:t>
      </w:r>
      <w:r w:rsidR="00EF081A" w:rsidRPr="0048256B">
        <w:rPr>
          <w:rFonts w:ascii="Bookman Old Style" w:hAnsi="Bookman Old Style" w:cs="Times New Roman"/>
          <w:sz w:val="24"/>
          <w:szCs w:val="24"/>
        </w:rPr>
        <w:t xml:space="preserve">, el </w:t>
      </w:r>
      <w:r w:rsidR="00B8550A" w:rsidRPr="0048256B">
        <w:rPr>
          <w:rFonts w:ascii="Bookman Old Style" w:hAnsi="Bookman Old Style" w:cs="Times New Roman"/>
          <w:sz w:val="24"/>
          <w:szCs w:val="24"/>
        </w:rPr>
        <w:t>Juzgado Laboral del Circuito de Dosquebradas</w:t>
      </w:r>
      <w:r w:rsidR="00186C82" w:rsidRPr="0048256B">
        <w:rPr>
          <w:rFonts w:ascii="Bookman Old Style" w:hAnsi="Bookman Old Style" w:cs="Times New Roman"/>
          <w:sz w:val="24"/>
          <w:szCs w:val="24"/>
        </w:rPr>
        <w:t>, Risaralda</w:t>
      </w:r>
      <w:r w:rsidR="00D91E14" w:rsidRPr="0048256B">
        <w:rPr>
          <w:rFonts w:ascii="Bookman Old Style" w:hAnsi="Bookman Old Style" w:cs="Times New Roman"/>
          <w:sz w:val="24"/>
          <w:szCs w:val="24"/>
        </w:rPr>
        <w:t xml:space="preserve">, </w:t>
      </w:r>
      <w:r w:rsidR="007D2CB6" w:rsidRPr="0048256B">
        <w:rPr>
          <w:rFonts w:ascii="Bookman Old Style" w:hAnsi="Bookman Old Style" w:cs="Times New Roman"/>
          <w:sz w:val="24"/>
          <w:szCs w:val="24"/>
        </w:rPr>
        <w:t>resolvió “negar por improcedente” la acción constitucional.</w:t>
      </w:r>
    </w:p>
    <w:p w14:paraId="179624C4" w14:textId="77777777" w:rsidR="00EF081A" w:rsidRPr="0048256B" w:rsidRDefault="00EF081A" w:rsidP="0048256B">
      <w:pPr>
        <w:spacing w:after="0" w:line="276" w:lineRule="auto"/>
        <w:ind w:firstLine="426"/>
        <w:jc w:val="both"/>
        <w:rPr>
          <w:rFonts w:ascii="Bookman Old Style" w:hAnsi="Bookman Old Style" w:cs="Times New Roman"/>
          <w:sz w:val="24"/>
          <w:szCs w:val="24"/>
        </w:rPr>
      </w:pPr>
    </w:p>
    <w:p w14:paraId="3715C37C" w14:textId="6022C584" w:rsidR="006C6603" w:rsidRPr="0048256B" w:rsidRDefault="00EF081A"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 xml:space="preserve">Como fundamento de la decisión, </w:t>
      </w:r>
      <w:r w:rsidR="007D2CB6" w:rsidRPr="0048256B">
        <w:rPr>
          <w:rFonts w:ascii="Bookman Old Style" w:hAnsi="Bookman Old Style" w:cs="Times New Roman"/>
          <w:sz w:val="24"/>
          <w:szCs w:val="24"/>
        </w:rPr>
        <w:t>la</w:t>
      </w:r>
      <w:r w:rsidR="00B02DC3" w:rsidRPr="0048256B">
        <w:rPr>
          <w:rFonts w:ascii="Bookman Old Style" w:hAnsi="Bookman Old Style" w:cs="Times New Roman"/>
          <w:sz w:val="24"/>
          <w:szCs w:val="24"/>
        </w:rPr>
        <w:t xml:space="preserve"> </w:t>
      </w:r>
      <w:r w:rsidR="00B02DC3" w:rsidRPr="0048256B">
        <w:rPr>
          <w:rFonts w:ascii="Bookman Old Style" w:hAnsi="Bookman Old Style" w:cs="Times New Roman"/>
          <w:i/>
          <w:sz w:val="24"/>
          <w:szCs w:val="24"/>
        </w:rPr>
        <w:t xml:space="preserve">a quo </w:t>
      </w:r>
      <w:r w:rsidR="00C07485" w:rsidRPr="0048256B">
        <w:rPr>
          <w:rFonts w:ascii="Bookman Old Style" w:hAnsi="Bookman Old Style" w:cs="Times New Roman"/>
          <w:sz w:val="24"/>
          <w:szCs w:val="24"/>
        </w:rPr>
        <w:t xml:space="preserve">señaló que </w:t>
      </w:r>
      <w:r w:rsidR="004E708E" w:rsidRPr="0048256B">
        <w:rPr>
          <w:rFonts w:ascii="Bookman Old Style" w:hAnsi="Bookman Old Style" w:cs="Times New Roman"/>
          <w:sz w:val="24"/>
          <w:szCs w:val="24"/>
        </w:rPr>
        <w:t>el accionante no ha solicitado ante las entidades accionadas el cubrimiento de gastos de transporte y viáticos para asistir a las citas y exámenes médicos que le fueron programadas en la ciudad de Bogotá, de ahí que no es posible declarar que aquellas vulneraron los derechos del actor ante la inexistencia de una respuesta negativa de los servicios que no han sido solicitados. En ese sentido, consideró que como existe un medio administrativo que debe agotarse en primera instancia, la tutela se torna improcedente para salvaguardar los derechos pretendidos.</w:t>
      </w:r>
    </w:p>
    <w:p w14:paraId="0524E37F" w14:textId="77777777" w:rsidR="001123B2" w:rsidRPr="0048256B" w:rsidRDefault="001123B2" w:rsidP="0048256B">
      <w:pPr>
        <w:spacing w:after="0" w:line="276" w:lineRule="auto"/>
        <w:ind w:firstLine="426"/>
        <w:jc w:val="both"/>
        <w:rPr>
          <w:rFonts w:ascii="Bookman Old Style" w:hAnsi="Bookman Old Style" w:cs="Times New Roman"/>
          <w:sz w:val="24"/>
          <w:szCs w:val="24"/>
        </w:rPr>
      </w:pPr>
    </w:p>
    <w:p w14:paraId="45E639BE" w14:textId="40B40C31" w:rsidR="00143EAE" w:rsidRPr="0048256B" w:rsidRDefault="00143EAE" w:rsidP="0048256B">
      <w:pPr>
        <w:spacing w:after="0" w:line="276" w:lineRule="auto"/>
        <w:ind w:firstLine="426"/>
        <w:jc w:val="center"/>
        <w:rPr>
          <w:rFonts w:ascii="Bookman Old Style" w:hAnsi="Bookman Old Style" w:cs="Times New Roman"/>
          <w:b/>
          <w:sz w:val="24"/>
          <w:szCs w:val="24"/>
        </w:rPr>
      </w:pPr>
      <w:r w:rsidRPr="0048256B">
        <w:rPr>
          <w:rFonts w:ascii="Bookman Old Style" w:hAnsi="Bookman Old Style" w:cs="Times New Roman"/>
          <w:b/>
          <w:sz w:val="24"/>
          <w:szCs w:val="24"/>
        </w:rPr>
        <w:t>IMPUGNACIÓN</w:t>
      </w:r>
    </w:p>
    <w:p w14:paraId="56449AE7" w14:textId="20F7675D" w:rsidR="00143EAE" w:rsidRPr="0048256B" w:rsidRDefault="00143EAE" w:rsidP="0048256B">
      <w:pPr>
        <w:spacing w:after="0" w:line="276" w:lineRule="auto"/>
        <w:ind w:firstLine="426"/>
        <w:jc w:val="center"/>
        <w:rPr>
          <w:rFonts w:ascii="Bookman Old Style" w:hAnsi="Bookman Old Style" w:cs="Times New Roman"/>
          <w:b/>
          <w:sz w:val="24"/>
          <w:szCs w:val="24"/>
        </w:rPr>
      </w:pPr>
    </w:p>
    <w:p w14:paraId="17EC651F" w14:textId="3C08DD60" w:rsidR="00124B70" w:rsidRPr="0048256B" w:rsidRDefault="006C115B"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 xml:space="preserve">El accionante BILMAR ALEXANDER MARULANDA </w:t>
      </w:r>
      <w:r w:rsidR="00143EAE" w:rsidRPr="0048256B">
        <w:rPr>
          <w:rFonts w:ascii="Bookman Old Style" w:hAnsi="Bookman Old Style" w:cs="Times New Roman"/>
          <w:sz w:val="24"/>
          <w:szCs w:val="24"/>
        </w:rPr>
        <w:t>impugnó el fallo de tutela proferido</w:t>
      </w:r>
      <w:r w:rsidR="009170DE" w:rsidRPr="0048256B">
        <w:rPr>
          <w:rFonts w:ascii="Bookman Old Style" w:hAnsi="Bookman Old Style" w:cs="Times New Roman"/>
          <w:sz w:val="24"/>
          <w:szCs w:val="24"/>
        </w:rPr>
        <w:t xml:space="preserve"> en primera instancia, </w:t>
      </w:r>
      <w:r w:rsidR="000400DC" w:rsidRPr="0048256B">
        <w:rPr>
          <w:rFonts w:ascii="Bookman Old Style" w:hAnsi="Bookman Old Style" w:cs="Times New Roman"/>
          <w:sz w:val="24"/>
          <w:szCs w:val="24"/>
        </w:rPr>
        <w:t xml:space="preserve">alegando que las barreras burocráticas no pueden ser un obstáculo para el goce efectivo del derecho a la salud, por ende, el ESTABLECIMIENTO DE SANIDAD MILITAR ESM BATALLÓN SAN MATEO es la encargada de garantizar la autorización del tratamiento y que estas sean oportunas, de ahí que está vulnerando su derecho a la salud. </w:t>
      </w:r>
      <w:r w:rsidR="003E71B8" w:rsidRPr="0048256B">
        <w:rPr>
          <w:rFonts w:ascii="Bookman Old Style" w:hAnsi="Bookman Old Style" w:cs="Times New Roman"/>
          <w:sz w:val="24"/>
          <w:szCs w:val="24"/>
        </w:rPr>
        <w:t>Por lo tanto, solicitó se revoque la sentencia y se ordene</w:t>
      </w:r>
      <w:r w:rsidR="00083B24" w:rsidRPr="0048256B">
        <w:rPr>
          <w:rFonts w:ascii="Bookman Old Style" w:hAnsi="Bookman Old Style" w:cs="Times New Roman"/>
          <w:sz w:val="24"/>
          <w:szCs w:val="24"/>
        </w:rPr>
        <w:t xml:space="preserve"> el servicio de transporte, alojamiento y alimentación para él y su acompañante a la ciudad de Bogotá en el Hospital Militar Central.</w:t>
      </w:r>
    </w:p>
    <w:p w14:paraId="5E56F5FF" w14:textId="77777777" w:rsidR="009E0DF3" w:rsidRPr="0048256B" w:rsidRDefault="009E0DF3" w:rsidP="0048256B">
      <w:pPr>
        <w:spacing w:after="0" w:line="276" w:lineRule="auto"/>
        <w:ind w:firstLine="426"/>
        <w:jc w:val="both"/>
        <w:rPr>
          <w:rFonts w:ascii="Bookman Old Style" w:hAnsi="Bookman Old Style" w:cs="Times New Roman"/>
          <w:sz w:val="24"/>
          <w:szCs w:val="24"/>
        </w:rPr>
      </w:pPr>
    </w:p>
    <w:p w14:paraId="4E450D49" w14:textId="084FDC0C" w:rsidR="00143EAE" w:rsidRPr="0048256B" w:rsidRDefault="002629D0"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Procede la Sala a decidir previas las siguientes:</w:t>
      </w:r>
    </w:p>
    <w:p w14:paraId="5817DD62" w14:textId="77777777" w:rsidR="006A3F83" w:rsidRPr="0048256B" w:rsidRDefault="006A3F83" w:rsidP="0048256B">
      <w:pPr>
        <w:spacing w:after="0" w:line="276" w:lineRule="auto"/>
        <w:ind w:firstLine="426"/>
        <w:jc w:val="center"/>
        <w:rPr>
          <w:rFonts w:ascii="Bookman Old Style" w:hAnsi="Bookman Old Style" w:cs="Times New Roman"/>
          <w:b/>
          <w:sz w:val="24"/>
          <w:szCs w:val="24"/>
        </w:rPr>
      </w:pPr>
    </w:p>
    <w:p w14:paraId="026BF26A" w14:textId="03CD4318" w:rsidR="00FB212F" w:rsidRPr="0048256B" w:rsidRDefault="007538B8" w:rsidP="00072457">
      <w:pPr>
        <w:pStyle w:val="Prrafodelista"/>
        <w:numPr>
          <w:ilvl w:val="0"/>
          <w:numId w:val="11"/>
        </w:numPr>
        <w:spacing w:line="276" w:lineRule="auto"/>
        <w:ind w:left="709"/>
        <w:jc w:val="center"/>
        <w:rPr>
          <w:rFonts w:ascii="Bookman Old Style" w:hAnsi="Bookman Old Style" w:cs="Times New Roman"/>
          <w:b/>
          <w:sz w:val="24"/>
          <w:szCs w:val="24"/>
        </w:rPr>
      </w:pPr>
      <w:r w:rsidRPr="0048256B">
        <w:rPr>
          <w:rFonts w:ascii="Bookman Old Style" w:hAnsi="Bookman Old Style" w:cs="Times New Roman"/>
          <w:b/>
          <w:sz w:val="24"/>
          <w:szCs w:val="24"/>
        </w:rPr>
        <w:lastRenderedPageBreak/>
        <w:t>CONSIDERACIONES</w:t>
      </w:r>
    </w:p>
    <w:p w14:paraId="65ECC6B9" w14:textId="77777777" w:rsidR="00AE3E72" w:rsidRPr="0048256B" w:rsidRDefault="00AE3E72" w:rsidP="0048256B">
      <w:pPr>
        <w:spacing w:after="0" w:line="276" w:lineRule="auto"/>
        <w:ind w:firstLine="426"/>
        <w:rPr>
          <w:rFonts w:ascii="Bookman Old Style" w:hAnsi="Bookman Old Style" w:cs="Times New Roman"/>
          <w:b/>
          <w:sz w:val="24"/>
          <w:szCs w:val="24"/>
        </w:rPr>
      </w:pPr>
    </w:p>
    <w:p w14:paraId="432F0B46" w14:textId="44832AEE" w:rsidR="007538B8" w:rsidRPr="0048256B" w:rsidRDefault="00AE3E72" w:rsidP="0048256B">
      <w:pPr>
        <w:pStyle w:val="Prrafodelista"/>
        <w:numPr>
          <w:ilvl w:val="0"/>
          <w:numId w:val="15"/>
        </w:numPr>
        <w:spacing w:line="276" w:lineRule="auto"/>
        <w:rPr>
          <w:rFonts w:ascii="Bookman Old Style" w:hAnsi="Bookman Old Style" w:cs="Times New Roman"/>
          <w:b/>
          <w:sz w:val="24"/>
          <w:szCs w:val="24"/>
        </w:rPr>
      </w:pPr>
      <w:r w:rsidRPr="0048256B">
        <w:rPr>
          <w:rFonts w:ascii="Bookman Old Style" w:hAnsi="Bookman Old Style" w:cs="Times New Roman"/>
          <w:b/>
          <w:sz w:val="24"/>
          <w:szCs w:val="24"/>
        </w:rPr>
        <w:t>Sobre la Acción de Tutela</w:t>
      </w:r>
    </w:p>
    <w:p w14:paraId="26FB1599" w14:textId="77777777" w:rsidR="00AE3E72" w:rsidRPr="0048256B" w:rsidRDefault="00AE3E72" w:rsidP="0048256B">
      <w:pPr>
        <w:spacing w:after="0" w:line="276" w:lineRule="auto"/>
        <w:ind w:firstLine="426"/>
        <w:rPr>
          <w:rFonts w:ascii="Bookman Old Style" w:hAnsi="Bookman Old Style" w:cs="Times New Roman"/>
          <w:b/>
          <w:sz w:val="24"/>
          <w:szCs w:val="24"/>
        </w:rPr>
      </w:pPr>
    </w:p>
    <w:p w14:paraId="16CD064C" w14:textId="2DE3868B" w:rsidR="007538B8" w:rsidRPr="0048256B" w:rsidRDefault="007538B8"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 xml:space="preserve">El artículo 86 de la Constitución Política consagra la </w:t>
      </w:r>
      <w:r w:rsidRPr="0048256B">
        <w:rPr>
          <w:rFonts w:ascii="Bookman Old Style" w:hAnsi="Bookman Old Style" w:cs="Times New Roman"/>
          <w:b/>
          <w:sz w:val="24"/>
          <w:szCs w:val="24"/>
        </w:rPr>
        <w:t>Acción de Tutela</w:t>
      </w:r>
      <w:r w:rsidRPr="0048256B">
        <w:rPr>
          <w:rFonts w:ascii="Bookman Old Style" w:hAnsi="Bookman Old Style" w:cs="Times New Roman"/>
          <w:sz w:val="24"/>
          <w:szCs w:val="24"/>
        </w:rPr>
        <w:t xml:space="preserve"> como un instrumento jurídico a través del cual los ciudadanos pueden acudir ante los Jueces Constitucionales</w:t>
      </w:r>
      <w:r w:rsidR="00AA5F99" w:rsidRPr="0048256B">
        <w:rPr>
          <w:rFonts w:ascii="Bookman Old Style" w:hAnsi="Bookman Old Style" w:cs="Times New Roman"/>
          <w:sz w:val="24"/>
          <w:szCs w:val="24"/>
        </w:rPr>
        <w:t xml:space="preserve"> </w:t>
      </w:r>
      <w:r w:rsidRPr="0048256B">
        <w:rPr>
          <w:rFonts w:ascii="Bookman Old Style" w:hAnsi="Bookman Old Style" w:cs="Times New Roman"/>
          <w:sz w:val="24"/>
          <w:szCs w:val="24"/>
        </w:rPr>
        <w:t>a reclamar la protección directa e inmediata de los derechos fundamentales que estén siendo vulnerados,</w:t>
      </w:r>
      <w:r w:rsidR="00AA5F99" w:rsidRPr="0048256B">
        <w:rPr>
          <w:rFonts w:ascii="Bookman Old Style" w:hAnsi="Bookman Old Style" w:cs="Times New Roman"/>
          <w:sz w:val="24"/>
          <w:szCs w:val="24"/>
        </w:rPr>
        <w:t xml:space="preserve"> sin mayores requerimientos de índole formal y con la certeza de obtener oportuna resolución.</w:t>
      </w:r>
      <w:r w:rsidR="00951B5E" w:rsidRPr="0048256B">
        <w:rPr>
          <w:rFonts w:ascii="Bookman Old Style" w:hAnsi="Bookman Old Style" w:cs="Times New Roman"/>
          <w:sz w:val="24"/>
          <w:szCs w:val="24"/>
        </w:rPr>
        <w:t xml:space="preserve"> Así pues, la Tutela procede</w:t>
      </w:r>
      <w:r w:rsidR="00AA5F99" w:rsidRPr="0048256B">
        <w:rPr>
          <w:rFonts w:ascii="Bookman Old Style" w:hAnsi="Bookman Old Style" w:cs="Times New Roman"/>
          <w:sz w:val="24"/>
          <w:szCs w:val="24"/>
        </w:rPr>
        <w:t xml:space="preserve"> frente a situaciones de hecho que representen quebran</w:t>
      </w:r>
      <w:r w:rsidR="00951B5E" w:rsidRPr="0048256B">
        <w:rPr>
          <w:rFonts w:ascii="Bookman Old Style" w:hAnsi="Bookman Old Style" w:cs="Times New Roman"/>
          <w:sz w:val="24"/>
          <w:szCs w:val="24"/>
        </w:rPr>
        <w:t>t</w:t>
      </w:r>
      <w:r w:rsidR="00AA5F99" w:rsidRPr="0048256B">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48256B">
        <w:rPr>
          <w:rFonts w:ascii="Bookman Old Style" w:hAnsi="Bookman Old Style" w:cs="Times New Roman"/>
          <w:sz w:val="24"/>
          <w:szCs w:val="24"/>
        </w:rPr>
        <w:t>; de esta forma, se propende por cumplir uno de los fines esenciales del Estado Social de Derecho</w:t>
      </w:r>
      <w:r w:rsidR="007E54A2" w:rsidRPr="0048256B">
        <w:rPr>
          <w:rFonts w:ascii="Bookman Old Style" w:hAnsi="Bookman Old Style" w:cs="Times New Roman"/>
          <w:sz w:val="24"/>
          <w:szCs w:val="24"/>
        </w:rPr>
        <w:t xml:space="preserve"> </w:t>
      </w:r>
      <w:r w:rsidR="00951B5E" w:rsidRPr="0048256B">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48256B" w:rsidRDefault="00951B5E" w:rsidP="0048256B">
      <w:pPr>
        <w:spacing w:after="0" w:line="276" w:lineRule="auto"/>
        <w:ind w:firstLine="426"/>
        <w:jc w:val="both"/>
        <w:rPr>
          <w:rFonts w:ascii="Bookman Old Style" w:hAnsi="Bookman Old Style" w:cs="Times New Roman"/>
          <w:sz w:val="24"/>
          <w:szCs w:val="24"/>
        </w:rPr>
      </w:pPr>
    </w:p>
    <w:p w14:paraId="180068DE" w14:textId="3EF22207" w:rsidR="00951B5E" w:rsidRPr="0048256B" w:rsidRDefault="00951B5E"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 xml:space="preserve">Se trata entonces de una categoría constitucional de protección que consagró la Constitución de 1991, tendiente a salvaguardar los derechos fundamentales de las personas, de lesiones o amenazas de vulneración por parte de una </w:t>
      </w:r>
      <w:proofErr w:type="gramStart"/>
      <w:r w:rsidRPr="0048256B">
        <w:rPr>
          <w:rFonts w:ascii="Bookman Old Style" w:hAnsi="Bookman Old Style" w:cs="Times New Roman"/>
          <w:sz w:val="24"/>
          <w:szCs w:val="24"/>
        </w:rPr>
        <w:t>autoridad pública</w:t>
      </w:r>
      <w:proofErr w:type="gramEnd"/>
      <w:r w:rsidRPr="0048256B">
        <w:rPr>
          <w:rFonts w:ascii="Bookman Old Style" w:hAnsi="Bookman Old Style" w:cs="Times New Roman"/>
          <w:sz w:val="24"/>
          <w:szCs w:val="24"/>
        </w:rPr>
        <w:t xml:space="preserve">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48256B">
        <w:rPr>
          <w:rFonts w:ascii="Bookman Old Style" w:hAnsi="Bookman Old Style" w:cs="Times New Roman"/>
          <w:sz w:val="24"/>
          <w:szCs w:val="24"/>
        </w:rPr>
        <w:t xml:space="preserve"> que no puede ser asumida como una institución procesal alternativa, supletiva, ni sustitutiva de las competencias constitucionales y legales de las </w:t>
      </w:r>
      <w:proofErr w:type="gramStart"/>
      <w:r w:rsidR="004C64F2" w:rsidRPr="0048256B">
        <w:rPr>
          <w:rFonts w:ascii="Bookman Old Style" w:hAnsi="Bookman Old Style" w:cs="Times New Roman"/>
          <w:sz w:val="24"/>
          <w:szCs w:val="24"/>
        </w:rPr>
        <w:t>autoridades públicas</w:t>
      </w:r>
      <w:proofErr w:type="gramEnd"/>
      <w:r w:rsidR="004C64F2" w:rsidRPr="0048256B">
        <w:rPr>
          <w:rFonts w:ascii="Bookman Old Style" w:hAnsi="Bookman Old Style" w:cs="Times New Roman"/>
          <w:sz w:val="24"/>
          <w:szCs w:val="24"/>
        </w:rPr>
        <w:t>.</w:t>
      </w:r>
    </w:p>
    <w:p w14:paraId="6A1042C7" w14:textId="2CDE3731" w:rsidR="00E92A82" w:rsidRPr="0048256B" w:rsidRDefault="00E92A82" w:rsidP="0048256B">
      <w:pPr>
        <w:spacing w:after="0" w:line="276" w:lineRule="auto"/>
        <w:ind w:firstLine="426"/>
        <w:jc w:val="both"/>
        <w:rPr>
          <w:rFonts w:ascii="Bookman Old Style" w:hAnsi="Bookman Old Style" w:cs="Times New Roman"/>
          <w:sz w:val="24"/>
          <w:szCs w:val="24"/>
        </w:rPr>
      </w:pPr>
    </w:p>
    <w:p w14:paraId="1B1AE6F5" w14:textId="288D840C" w:rsidR="00E92A82" w:rsidRPr="0048256B" w:rsidRDefault="00E92A82" w:rsidP="0048256B">
      <w:pPr>
        <w:pStyle w:val="Prrafodelista"/>
        <w:numPr>
          <w:ilvl w:val="0"/>
          <w:numId w:val="15"/>
        </w:numPr>
        <w:spacing w:line="276" w:lineRule="auto"/>
        <w:rPr>
          <w:rFonts w:ascii="Bookman Old Style" w:hAnsi="Bookman Old Style" w:cs="Times New Roman"/>
          <w:b/>
          <w:bCs/>
          <w:sz w:val="24"/>
          <w:szCs w:val="24"/>
        </w:rPr>
      </w:pPr>
      <w:r w:rsidRPr="0048256B">
        <w:rPr>
          <w:rFonts w:ascii="Bookman Old Style" w:hAnsi="Bookman Old Style" w:cs="Times New Roman"/>
          <w:b/>
          <w:bCs/>
          <w:sz w:val="24"/>
          <w:szCs w:val="24"/>
        </w:rPr>
        <w:t>Sobre el servicio de transporte</w:t>
      </w:r>
    </w:p>
    <w:p w14:paraId="721AF674" w14:textId="77777777" w:rsidR="00E92A82" w:rsidRPr="0048256B" w:rsidRDefault="00E92A82" w:rsidP="0048256B">
      <w:pPr>
        <w:spacing w:after="0" w:line="276" w:lineRule="auto"/>
        <w:ind w:left="426"/>
        <w:rPr>
          <w:rFonts w:ascii="Bookman Old Style" w:hAnsi="Bookman Old Style" w:cs="Times New Roman"/>
          <w:b/>
          <w:bCs/>
          <w:sz w:val="24"/>
          <w:szCs w:val="24"/>
        </w:rPr>
      </w:pPr>
    </w:p>
    <w:p w14:paraId="1759825B" w14:textId="135A9982" w:rsidR="0060087D" w:rsidRPr="0048256B" w:rsidRDefault="0060087D" w:rsidP="0048256B">
      <w:pPr>
        <w:spacing w:after="0" w:line="276" w:lineRule="auto"/>
        <w:ind w:firstLine="426"/>
        <w:jc w:val="both"/>
        <w:rPr>
          <w:rFonts w:ascii="Bookman Old Style" w:hAnsi="Bookman Old Style"/>
          <w:iCs/>
          <w:sz w:val="24"/>
          <w:szCs w:val="24"/>
          <w:bdr w:val="none" w:sz="0" w:space="0" w:color="auto" w:frame="1"/>
        </w:rPr>
      </w:pPr>
      <w:r w:rsidRPr="0048256B">
        <w:rPr>
          <w:rFonts w:ascii="Bookman Old Style" w:hAnsi="Bookman Old Style"/>
          <w:iCs/>
          <w:sz w:val="24"/>
          <w:szCs w:val="24"/>
          <w:bdr w:val="none" w:sz="0" w:space="0" w:color="auto" w:frame="1"/>
        </w:rPr>
        <w:t>En diferentes pronunciamientos la Corte Constitucional ha señalado que los servicios de salud en principio deben ser prestados en el lugar de residencia del afiliado. A pesar de ello, existen ocasiones en las cuales se ordene la prestación del servicio en un municipio diferente porque en el lugar de residencia no se cuenta con los recursos médicos necesarios para prestar una adecuada atención que garantice la salud del afiliado. De ello surge la necesidad de determinar a cargo de quién está el desembolso de los gastos de transporte.</w:t>
      </w:r>
    </w:p>
    <w:p w14:paraId="48F522E1" w14:textId="77777777" w:rsidR="0060087D" w:rsidRPr="0048256B" w:rsidRDefault="0060087D" w:rsidP="0048256B">
      <w:pPr>
        <w:spacing w:after="0" w:line="276" w:lineRule="auto"/>
        <w:ind w:firstLine="426"/>
        <w:jc w:val="both"/>
        <w:rPr>
          <w:rFonts w:ascii="Bookman Old Style" w:hAnsi="Bookman Old Style"/>
          <w:iCs/>
          <w:sz w:val="24"/>
          <w:szCs w:val="24"/>
          <w:bdr w:val="none" w:sz="0" w:space="0" w:color="auto" w:frame="1"/>
        </w:rPr>
      </w:pPr>
    </w:p>
    <w:p w14:paraId="0F6DBBDA" w14:textId="09C213CF" w:rsidR="00E92A82" w:rsidRPr="0048256B" w:rsidRDefault="0060087D" w:rsidP="0048256B">
      <w:pPr>
        <w:spacing w:after="0" w:line="276" w:lineRule="auto"/>
        <w:ind w:firstLine="426"/>
        <w:jc w:val="both"/>
        <w:rPr>
          <w:rFonts w:ascii="Bookman Old Style" w:hAnsi="Bookman Old Style"/>
          <w:iCs/>
          <w:sz w:val="24"/>
          <w:szCs w:val="24"/>
          <w:bdr w:val="none" w:sz="0" w:space="0" w:color="auto" w:frame="1"/>
        </w:rPr>
      </w:pPr>
      <w:r w:rsidRPr="0048256B">
        <w:rPr>
          <w:rFonts w:ascii="Bookman Old Style" w:hAnsi="Bookman Old Style"/>
          <w:iCs/>
          <w:sz w:val="24"/>
          <w:szCs w:val="24"/>
          <w:bdr w:val="none" w:sz="0" w:space="0" w:color="auto" w:frame="1"/>
        </w:rPr>
        <w:t>Se</w:t>
      </w:r>
      <w:r w:rsidR="00E92A82" w:rsidRPr="0048256B">
        <w:rPr>
          <w:rFonts w:ascii="Bookman Old Style" w:hAnsi="Bookman Old Style"/>
          <w:iCs/>
          <w:sz w:val="24"/>
          <w:szCs w:val="24"/>
          <w:bdr w:val="none" w:sz="0" w:space="0" w:color="auto" w:frame="1"/>
        </w:rPr>
        <w:t xml:space="preserve"> ha reconocido que aun cuando la Ley Estatutaria 1751 de 2015 ni la Ley 100 de 1993 contemplan una disposición que regule la prestación de los servicios de transporte, dicho servicio puede constituir una barrera de acceso a los servicios de salud, incluso cuando el paciente no se encuentra domiciliado en una zona especial por dispersión geográfica. Así lo ha dispuesto en diferentes providencias, como la Sentencia T-228-2020, donde expuso:</w:t>
      </w:r>
    </w:p>
    <w:p w14:paraId="757EAA76" w14:textId="77777777" w:rsidR="0060087D" w:rsidRPr="0048256B" w:rsidRDefault="0060087D" w:rsidP="0048256B">
      <w:pPr>
        <w:spacing w:after="0" w:line="276" w:lineRule="auto"/>
        <w:ind w:firstLine="426"/>
        <w:jc w:val="both"/>
        <w:rPr>
          <w:rFonts w:ascii="Bookman Old Style" w:hAnsi="Bookman Old Style"/>
          <w:iCs/>
          <w:sz w:val="24"/>
          <w:szCs w:val="24"/>
          <w:bdr w:val="none" w:sz="0" w:space="0" w:color="auto" w:frame="1"/>
        </w:rPr>
      </w:pPr>
    </w:p>
    <w:p w14:paraId="7FCC4979" w14:textId="77777777" w:rsidR="00E92A82" w:rsidRPr="0048256B" w:rsidRDefault="00E92A82" w:rsidP="0048256B">
      <w:pPr>
        <w:spacing w:after="0" w:line="240" w:lineRule="auto"/>
        <w:ind w:left="426" w:right="420"/>
        <w:jc w:val="both"/>
        <w:rPr>
          <w:rFonts w:ascii="Bookman Old Style" w:hAnsi="Bookman Old Style"/>
          <w:i/>
          <w:iCs/>
          <w:bdr w:val="none" w:sz="0" w:space="0" w:color="auto" w:frame="1"/>
        </w:rPr>
      </w:pPr>
      <w:r w:rsidRPr="0048256B">
        <w:rPr>
          <w:rFonts w:ascii="Bookman Old Style" w:hAnsi="Bookman Old Style"/>
          <w:iCs/>
          <w:bdr w:val="none" w:sz="0" w:space="0" w:color="auto" w:frame="1"/>
        </w:rPr>
        <w:tab/>
      </w:r>
      <w:r w:rsidRPr="0048256B">
        <w:rPr>
          <w:rFonts w:ascii="Bookman Old Style" w:hAnsi="Bookman Old Style"/>
          <w:i/>
          <w:iCs/>
          <w:bdr w:val="none" w:sz="0" w:space="0" w:color="auto" w:frame="1"/>
        </w:rPr>
        <w:t xml:space="preserve">“(…) la jurisprudencia constitucional ha resaltado que, en los casos en que el transporte constituya una barrera o una limitante para el acceso al servicio </w:t>
      </w:r>
      <w:r w:rsidRPr="0048256B">
        <w:rPr>
          <w:rFonts w:ascii="Bookman Old Style" w:hAnsi="Bookman Old Style"/>
          <w:i/>
          <w:iCs/>
          <w:bdr w:val="none" w:sz="0" w:space="0" w:color="auto" w:frame="1"/>
        </w:rPr>
        <w:lastRenderedPageBreak/>
        <w:t>médico, es un deber de las E.P.S. asumir los gastos de traslado de la persona, particularmente, cuando deba acudir a una zona geográfica distinta de aquella en la que reside.”</w:t>
      </w:r>
    </w:p>
    <w:p w14:paraId="5B2B9866" w14:textId="77777777" w:rsidR="00E92A82" w:rsidRPr="0048256B" w:rsidRDefault="00E92A82" w:rsidP="0048256B">
      <w:pPr>
        <w:spacing w:after="0" w:line="276" w:lineRule="auto"/>
        <w:jc w:val="both"/>
        <w:rPr>
          <w:rFonts w:ascii="Bookman Old Style" w:hAnsi="Bookman Old Style"/>
          <w:i/>
          <w:iCs/>
          <w:sz w:val="24"/>
          <w:szCs w:val="24"/>
          <w:bdr w:val="none" w:sz="0" w:space="0" w:color="auto" w:frame="1"/>
        </w:rPr>
      </w:pPr>
    </w:p>
    <w:p w14:paraId="32825B32" w14:textId="5FDEE8A2" w:rsidR="00E92A82" w:rsidRPr="0048256B" w:rsidRDefault="00E92A82" w:rsidP="0048256B">
      <w:pPr>
        <w:spacing w:after="0" w:line="276" w:lineRule="auto"/>
        <w:ind w:firstLine="708"/>
        <w:jc w:val="both"/>
        <w:rPr>
          <w:rFonts w:ascii="Bookman Old Style" w:hAnsi="Bookman Old Style"/>
          <w:iCs/>
          <w:sz w:val="24"/>
          <w:szCs w:val="24"/>
          <w:bdr w:val="none" w:sz="0" w:space="0" w:color="auto" w:frame="1"/>
        </w:rPr>
      </w:pPr>
      <w:bookmarkStart w:id="0" w:name="_Hlk178690938"/>
      <w:r w:rsidRPr="0048256B">
        <w:rPr>
          <w:rFonts w:ascii="Bookman Old Style" w:hAnsi="Bookman Old Style"/>
          <w:iCs/>
          <w:sz w:val="24"/>
          <w:szCs w:val="24"/>
          <w:bdr w:val="none" w:sz="0" w:space="0" w:color="auto" w:frame="1"/>
        </w:rPr>
        <w:t>Más adelante en la misma sentencia, describe una serie de circunstancias en las cuales, las entidades promotoras de salud están llamadas a garantizar el servicio de transporte, las cuales son:</w:t>
      </w:r>
      <w:r w:rsidRPr="0048256B">
        <w:rPr>
          <w:rFonts w:ascii="Bookman Old Style" w:hAnsi="Bookman Old Style"/>
          <w:i/>
          <w:iCs/>
          <w:sz w:val="24"/>
          <w:szCs w:val="24"/>
          <w:bdr w:val="none" w:sz="0" w:space="0" w:color="auto" w:frame="1"/>
        </w:rPr>
        <w:t>“</w:t>
      </w:r>
      <w:r w:rsidRPr="0048256B">
        <w:rPr>
          <w:rFonts w:ascii="Bookman Old Style" w:hAnsi="Bookman Old Style"/>
          <w:b/>
          <w:i/>
          <w:iCs/>
          <w:bdr w:val="none" w:sz="0" w:space="0" w:color="auto" w:frame="1"/>
        </w:rPr>
        <w:t xml:space="preserve">(i) </w:t>
      </w:r>
      <w:r w:rsidRPr="0048256B">
        <w:rPr>
          <w:rFonts w:ascii="Bookman Old Style" w:hAnsi="Bookman Old Style"/>
          <w:i/>
          <w:iCs/>
          <w:bdr w:val="none" w:sz="0" w:space="0" w:color="auto" w:frame="1"/>
        </w:rPr>
        <w:t xml:space="preserve">que el procedimiento o tratamiento se considere indispensable para garantizar los derechos a la salud y a la vida de la persona; </w:t>
      </w:r>
      <w:r w:rsidRPr="0048256B">
        <w:rPr>
          <w:rFonts w:ascii="Bookman Old Style" w:hAnsi="Bookman Old Style"/>
          <w:b/>
          <w:i/>
          <w:iCs/>
          <w:bdr w:val="none" w:sz="0" w:space="0" w:color="auto" w:frame="1"/>
        </w:rPr>
        <w:t>(</w:t>
      </w:r>
      <w:proofErr w:type="spellStart"/>
      <w:r w:rsidRPr="0048256B">
        <w:rPr>
          <w:rFonts w:ascii="Bookman Old Style" w:hAnsi="Bookman Old Style"/>
          <w:b/>
          <w:i/>
          <w:iCs/>
          <w:bdr w:val="none" w:sz="0" w:space="0" w:color="auto" w:frame="1"/>
        </w:rPr>
        <w:t>ii</w:t>
      </w:r>
      <w:proofErr w:type="spellEnd"/>
      <w:r w:rsidRPr="0048256B">
        <w:rPr>
          <w:rFonts w:ascii="Bookman Old Style" w:hAnsi="Bookman Old Style"/>
          <w:b/>
          <w:i/>
          <w:iCs/>
          <w:bdr w:val="none" w:sz="0" w:space="0" w:color="auto" w:frame="1"/>
        </w:rPr>
        <w:t>)</w:t>
      </w:r>
      <w:r w:rsidRPr="0048256B">
        <w:rPr>
          <w:rFonts w:ascii="Bookman Old Style" w:hAnsi="Bookman Old Style"/>
          <w:i/>
          <w:iCs/>
          <w:bdr w:val="none" w:sz="0" w:space="0" w:color="auto" w:frame="1"/>
        </w:rPr>
        <w:t xml:space="preserve"> que ni el paciente ni sus familiares cercanos tengan los recursos económicos suficientes para pagar el valor del traslado; y </w:t>
      </w:r>
      <w:r w:rsidRPr="0048256B">
        <w:rPr>
          <w:rFonts w:ascii="Bookman Old Style" w:hAnsi="Bookman Old Style"/>
          <w:b/>
          <w:i/>
          <w:iCs/>
          <w:bdr w:val="none" w:sz="0" w:space="0" w:color="auto" w:frame="1"/>
        </w:rPr>
        <w:t>(</w:t>
      </w:r>
      <w:proofErr w:type="spellStart"/>
      <w:r w:rsidRPr="0048256B">
        <w:rPr>
          <w:rFonts w:ascii="Bookman Old Style" w:hAnsi="Bookman Old Style"/>
          <w:b/>
          <w:i/>
          <w:iCs/>
          <w:bdr w:val="none" w:sz="0" w:space="0" w:color="auto" w:frame="1"/>
        </w:rPr>
        <w:t>iii</w:t>
      </w:r>
      <w:proofErr w:type="spellEnd"/>
      <w:r w:rsidRPr="0048256B">
        <w:rPr>
          <w:rFonts w:ascii="Bookman Old Style" w:hAnsi="Bookman Old Style"/>
          <w:b/>
          <w:i/>
          <w:iCs/>
          <w:bdr w:val="none" w:sz="0" w:space="0" w:color="auto" w:frame="1"/>
        </w:rPr>
        <w:t>)</w:t>
      </w:r>
      <w:r w:rsidRPr="0048256B">
        <w:rPr>
          <w:rFonts w:ascii="Bookman Old Style" w:hAnsi="Bookman Old Style"/>
          <w:i/>
          <w:iCs/>
          <w:bdr w:val="none" w:sz="0" w:space="0" w:color="auto" w:frame="1"/>
        </w:rPr>
        <w:t xml:space="preserve"> que de no efectuarse la remisión se ponga en riesgo la vida, la integridad física o el estado de salud del usuario</w:t>
      </w:r>
      <w:r w:rsidRPr="0048256B">
        <w:rPr>
          <w:rFonts w:ascii="Bookman Old Style" w:hAnsi="Bookman Old Style"/>
          <w:i/>
          <w:iCs/>
          <w:sz w:val="24"/>
          <w:szCs w:val="24"/>
          <w:bdr w:val="none" w:sz="0" w:space="0" w:color="auto" w:frame="1"/>
        </w:rPr>
        <w:t>”. A lo anterior se ha añadido que:</w:t>
      </w:r>
      <w:r w:rsidR="0048256B">
        <w:rPr>
          <w:rFonts w:ascii="Bookman Old Style" w:hAnsi="Bookman Old Style"/>
          <w:i/>
          <w:iCs/>
          <w:sz w:val="24"/>
          <w:szCs w:val="24"/>
          <w:bdr w:val="none" w:sz="0" w:space="0" w:color="auto" w:frame="1"/>
        </w:rPr>
        <w:t xml:space="preserve"> “</w:t>
      </w:r>
      <w:r w:rsidRPr="0048256B">
        <w:rPr>
          <w:rFonts w:ascii="Bookman Old Style" w:hAnsi="Bookman Old Style"/>
          <w:b/>
          <w:i/>
          <w:iCs/>
          <w:bdr w:val="none" w:sz="0" w:space="0" w:color="auto" w:frame="1"/>
        </w:rPr>
        <w:t>v)</w:t>
      </w:r>
      <w:r w:rsidRPr="0048256B">
        <w:rPr>
          <w:rFonts w:ascii="Bookman Old Style" w:hAnsi="Bookman Old Style"/>
          <w:i/>
          <w:iCs/>
          <w:bdr w:val="none" w:sz="0" w:space="0" w:color="auto" w:frame="1"/>
        </w:rPr>
        <w:t xml:space="preserve"> si la atención médica en el lugar de remisión exigiere más de un día de duración, se cubrirán los gastos de alojamiento y manutención</w:t>
      </w:r>
      <w:r w:rsidRPr="0048256B">
        <w:rPr>
          <w:rFonts w:ascii="Bookman Old Style" w:hAnsi="Bookman Old Style"/>
          <w:i/>
          <w:iCs/>
          <w:sz w:val="24"/>
          <w:szCs w:val="24"/>
          <w:bdr w:val="none" w:sz="0" w:space="0" w:color="auto" w:frame="1"/>
        </w:rPr>
        <w:t>.”</w:t>
      </w:r>
    </w:p>
    <w:p w14:paraId="4DF15458" w14:textId="77777777" w:rsidR="00E92A82" w:rsidRPr="0048256B" w:rsidRDefault="00E92A82" w:rsidP="0048256B">
      <w:pPr>
        <w:spacing w:after="0" w:line="276" w:lineRule="auto"/>
        <w:jc w:val="both"/>
        <w:rPr>
          <w:rFonts w:ascii="Bookman Old Style" w:hAnsi="Bookman Old Style"/>
          <w:iCs/>
          <w:sz w:val="24"/>
          <w:szCs w:val="24"/>
          <w:bdr w:val="none" w:sz="0" w:space="0" w:color="auto" w:frame="1"/>
        </w:rPr>
      </w:pPr>
      <w:r w:rsidRPr="0048256B">
        <w:rPr>
          <w:rFonts w:ascii="Bookman Old Style" w:hAnsi="Bookman Old Style"/>
          <w:iCs/>
          <w:sz w:val="24"/>
          <w:szCs w:val="24"/>
          <w:bdr w:val="none" w:sz="0" w:space="0" w:color="auto" w:frame="1"/>
        </w:rPr>
        <w:tab/>
      </w:r>
    </w:p>
    <w:p w14:paraId="3E3DA33D" w14:textId="77777777" w:rsidR="00E92A82" w:rsidRPr="0048256B" w:rsidRDefault="00E92A82" w:rsidP="0048256B">
      <w:pPr>
        <w:spacing w:after="0" w:line="276" w:lineRule="auto"/>
        <w:jc w:val="both"/>
        <w:rPr>
          <w:rFonts w:ascii="Bookman Old Style" w:hAnsi="Bookman Old Style"/>
          <w:iCs/>
          <w:sz w:val="24"/>
          <w:szCs w:val="24"/>
          <w:bdr w:val="none" w:sz="0" w:space="0" w:color="auto" w:frame="1"/>
        </w:rPr>
      </w:pPr>
      <w:r w:rsidRPr="0048256B">
        <w:rPr>
          <w:rFonts w:ascii="Bookman Old Style" w:hAnsi="Bookman Old Style"/>
          <w:iCs/>
          <w:sz w:val="24"/>
          <w:szCs w:val="24"/>
          <w:bdr w:val="none" w:sz="0" w:space="0" w:color="auto" w:frame="1"/>
        </w:rPr>
        <w:tab/>
        <w:t>Bajo estos parámetros, se puede concluir que si bien por principio de solidaridad, el paciente y su núcleo familiar están llamados a asumir los gastos requeridos para acceder a los servicios médicos, existen situaciones que obligan al Sistema de Salud a proveer lo necesario para solventar los servicios respectivos que permitan al paciente a acceder a los servicios de salud</w:t>
      </w:r>
      <w:bookmarkEnd w:id="0"/>
      <w:r w:rsidRPr="0048256B">
        <w:rPr>
          <w:rFonts w:ascii="Bookman Old Style" w:hAnsi="Bookman Old Style"/>
          <w:iCs/>
          <w:sz w:val="24"/>
          <w:szCs w:val="24"/>
          <w:bdr w:val="none" w:sz="0" w:space="0" w:color="auto" w:frame="1"/>
        </w:rPr>
        <w:t xml:space="preserve"> y que los derechos fundamentales del afiliado no se vean afectados en razón a barreras económicas.</w:t>
      </w:r>
    </w:p>
    <w:p w14:paraId="2A8C2C32" w14:textId="207615A7" w:rsidR="00C82BF1" w:rsidRPr="0048256B" w:rsidRDefault="00C82BF1" w:rsidP="0048256B">
      <w:pPr>
        <w:spacing w:after="0" w:line="276" w:lineRule="auto"/>
        <w:ind w:firstLine="426"/>
        <w:jc w:val="both"/>
        <w:rPr>
          <w:rFonts w:ascii="Bookman Old Style" w:hAnsi="Bookman Old Style" w:cs="Times New Roman"/>
          <w:sz w:val="24"/>
          <w:szCs w:val="24"/>
        </w:rPr>
      </w:pPr>
    </w:p>
    <w:p w14:paraId="4263F5BD" w14:textId="627AD7BD" w:rsidR="00C82BF1" w:rsidRPr="0048256B" w:rsidRDefault="00F123F6" w:rsidP="0048256B">
      <w:pPr>
        <w:pStyle w:val="Prrafodelista"/>
        <w:numPr>
          <w:ilvl w:val="0"/>
          <w:numId w:val="15"/>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48256B">
        <w:rPr>
          <w:rFonts w:ascii="Bookman Old Style" w:hAnsi="Bookman Old Style"/>
          <w:b/>
          <w:sz w:val="24"/>
          <w:szCs w:val="24"/>
          <w:bdr w:val="none" w:sz="0" w:space="0" w:color="auto" w:frame="1"/>
          <w:lang w:val="es-ES_tradnl"/>
        </w:rPr>
        <w:t xml:space="preserve">Sobre </w:t>
      </w:r>
      <w:r w:rsidR="000F20CD" w:rsidRPr="0048256B">
        <w:rPr>
          <w:rFonts w:ascii="Bookman Old Style" w:hAnsi="Bookman Old Style"/>
          <w:b/>
          <w:sz w:val="24"/>
          <w:szCs w:val="24"/>
          <w:bdr w:val="none" w:sz="0" w:space="0" w:color="auto" w:frame="1"/>
          <w:lang w:val="es-ES_tradnl"/>
        </w:rPr>
        <w:t>los gastos de transporte</w:t>
      </w:r>
      <w:r w:rsidRPr="0048256B">
        <w:rPr>
          <w:rFonts w:ascii="Bookman Old Style" w:hAnsi="Bookman Old Style"/>
          <w:b/>
          <w:sz w:val="24"/>
          <w:szCs w:val="24"/>
          <w:bdr w:val="none" w:sz="0" w:space="0" w:color="auto" w:frame="1"/>
          <w:lang w:val="es-ES_tradnl"/>
        </w:rPr>
        <w:t xml:space="preserve"> </w:t>
      </w:r>
      <w:r w:rsidR="000F20CD" w:rsidRPr="0048256B">
        <w:rPr>
          <w:rFonts w:ascii="Bookman Old Style" w:hAnsi="Bookman Old Style"/>
          <w:b/>
          <w:sz w:val="24"/>
          <w:szCs w:val="24"/>
          <w:bdr w:val="none" w:sz="0" w:space="0" w:color="auto" w:frame="1"/>
          <w:lang w:val="es-ES_tradnl"/>
        </w:rPr>
        <w:t>para acompañantes</w:t>
      </w:r>
    </w:p>
    <w:p w14:paraId="761A6C6E" w14:textId="7128F9C4" w:rsidR="00F123F6" w:rsidRPr="0048256B" w:rsidRDefault="00F123F6" w:rsidP="0048256B">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635788FE" w14:textId="7A1B063A" w:rsidR="0060087D" w:rsidRPr="0048256B" w:rsidRDefault="0060087D" w:rsidP="0048256B">
      <w:pPr>
        <w:shd w:val="clear" w:color="auto" w:fill="FFFFFF"/>
        <w:tabs>
          <w:tab w:val="left" w:pos="9214"/>
        </w:tabs>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48256B">
        <w:rPr>
          <w:rFonts w:ascii="Bookman Old Style" w:hAnsi="Bookman Old Style"/>
          <w:sz w:val="24"/>
          <w:szCs w:val="24"/>
          <w:bdr w:val="none" w:sz="0" w:space="0" w:color="auto" w:frame="1"/>
          <w:lang w:val="es-ES_tradnl"/>
        </w:rPr>
        <w:t>En el caso del transporte para acompañantes de pacientes</w:t>
      </w:r>
      <w:r w:rsidR="00EB488C" w:rsidRPr="0048256B">
        <w:rPr>
          <w:rFonts w:ascii="Bookman Old Style" w:hAnsi="Bookman Old Style"/>
          <w:sz w:val="24"/>
          <w:szCs w:val="24"/>
          <w:bdr w:val="none" w:sz="0" w:space="0" w:color="auto" w:frame="1"/>
          <w:lang w:val="es-ES_tradnl"/>
        </w:rPr>
        <w:t>, se ha dicho que debe tratarse de personas con discapacidad, ancianos o menores de edad que no pueden valerse por sí mismos. En sentencia T-786 de 2006 la Corte Constitucional explicó:</w:t>
      </w:r>
    </w:p>
    <w:p w14:paraId="79CAE03E" w14:textId="05B8C221" w:rsidR="00EB488C" w:rsidRPr="0048256B" w:rsidRDefault="00EB488C" w:rsidP="0048256B">
      <w:pPr>
        <w:shd w:val="clear" w:color="auto" w:fill="FFFFFF"/>
        <w:tabs>
          <w:tab w:val="left" w:pos="9214"/>
        </w:tabs>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3F67BB15" w14:textId="244E3D1F" w:rsidR="00EB488C" w:rsidRPr="00284300" w:rsidRDefault="00EB488C" w:rsidP="00284300">
      <w:pPr>
        <w:spacing w:after="0" w:line="240" w:lineRule="auto"/>
        <w:ind w:left="426" w:right="420"/>
        <w:jc w:val="both"/>
        <w:rPr>
          <w:rFonts w:ascii="Bookman Old Style" w:hAnsi="Bookman Old Style"/>
          <w:iCs/>
          <w:bdr w:val="none" w:sz="0" w:space="0" w:color="auto" w:frame="1"/>
        </w:rPr>
      </w:pPr>
      <w:r w:rsidRPr="00284300">
        <w:rPr>
          <w:rFonts w:ascii="Bookman Old Style" w:hAnsi="Bookman Old Style"/>
          <w:iCs/>
          <w:bdr w:val="none" w:sz="0" w:space="0" w:color="auto" w:frame="1"/>
        </w:rPr>
        <w:t>“En consecuencia, el cubrimiento de los gastos de transporte para que un usuario pueda acceder al servicio de salud está sujeto a la capacidad económica del paciente y a sus capacidades físicas y mentales, pues en casos en los que se encuentren involucrados menores, discapacitados y personas de la tercera edad, se hace evidente que, además de la necesidad del cubrimiento del gasto de traslado a otra ciudad para sí mismos, es indispensable el cubrimiento de los gastos de desplazamiento de un acompañante, por parte de la E.P.S.</w:t>
      </w:r>
    </w:p>
    <w:p w14:paraId="02619A16" w14:textId="77777777" w:rsidR="00EB488C" w:rsidRPr="00284300" w:rsidRDefault="00EB488C" w:rsidP="00284300">
      <w:pPr>
        <w:spacing w:after="0" w:line="240" w:lineRule="auto"/>
        <w:ind w:left="426" w:right="420"/>
        <w:jc w:val="both"/>
        <w:rPr>
          <w:rFonts w:ascii="Bookman Old Style" w:hAnsi="Bookman Old Style"/>
          <w:iCs/>
          <w:bdr w:val="none" w:sz="0" w:space="0" w:color="auto" w:frame="1"/>
        </w:rPr>
      </w:pPr>
    </w:p>
    <w:p w14:paraId="1BFC0F0F" w14:textId="1EAC6B89" w:rsidR="00EB488C" w:rsidRPr="00284300" w:rsidRDefault="00EB488C" w:rsidP="00284300">
      <w:pPr>
        <w:spacing w:after="0" w:line="240" w:lineRule="auto"/>
        <w:ind w:left="426" w:right="420"/>
        <w:jc w:val="both"/>
        <w:rPr>
          <w:rFonts w:ascii="Bookman Old Style" w:hAnsi="Bookman Old Style"/>
          <w:iCs/>
          <w:bdr w:val="none" w:sz="0" w:space="0" w:color="auto" w:frame="1"/>
        </w:rPr>
      </w:pPr>
      <w:r w:rsidRPr="00284300">
        <w:rPr>
          <w:rFonts w:ascii="Bookman Old Style" w:hAnsi="Bookman Old Style"/>
          <w:iCs/>
          <w:bdr w:val="none" w:sz="0" w:space="0" w:color="auto" w:frame="1"/>
        </w:rPr>
        <w:t>Es entonces evidente que la obligación de las Entidades Prestadoras del Servicio de Salud supera los límites de la pura y elemental atención médica de los usuarios y, en consecuencia, implica el análisis y la valoración integral de cada caso, atendiendo a la realidad física, social y económica del paciente, entre otros elementos, que permita identificar las necesidades y las garantías en salud que se le deben prestar, compromiso que se hace imperante en los casos en los que el usuario es un menor de edad”</w:t>
      </w:r>
    </w:p>
    <w:p w14:paraId="57A629C1" w14:textId="792B3F6E" w:rsidR="00EB488C" w:rsidRPr="0048256B" w:rsidRDefault="00EB488C" w:rsidP="0048256B">
      <w:pPr>
        <w:shd w:val="clear" w:color="auto" w:fill="FFFFFF"/>
        <w:tabs>
          <w:tab w:val="left" w:pos="9214"/>
        </w:tabs>
        <w:spacing w:after="0" w:line="276" w:lineRule="auto"/>
        <w:ind w:firstLine="426"/>
        <w:contextualSpacing/>
        <w:mirrorIndents/>
        <w:jc w:val="both"/>
        <w:textAlignment w:val="baseline"/>
        <w:rPr>
          <w:rFonts w:ascii="Bookman Old Style" w:hAnsi="Bookman Old Style"/>
          <w:i/>
          <w:sz w:val="24"/>
          <w:szCs w:val="24"/>
          <w:bdr w:val="none" w:sz="0" w:space="0" w:color="auto" w:frame="1"/>
          <w:lang w:val="es-ES_tradnl"/>
        </w:rPr>
      </w:pPr>
    </w:p>
    <w:p w14:paraId="0B2D5FFE" w14:textId="4B49D0F4" w:rsidR="00EB488C" w:rsidRPr="0048256B" w:rsidRDefault="00647636" w:rsidP="0048256B">
      <w:pPr>
        <w:shd w:val="clear" w:color="auto" w:fill="FFFFFF" w:themeFill="background1"/>
        <w:tabs>
          <w:tab w:val="left" w:pos="9214"/>
        </w:tabs>
        <w:spacing w:after="0" w:line="276" w:lineRule="auto"/>
        <w:ind w:firstLine="426"/>
        <w:contextualSpacing/>
        <w:mirrorIndents/>
        <w:jc w:val="both"/>
        <w:textAlignment w:val="baseline"/>
        <w:rPr>
          <w:rFonts w:ascii="Bookman Old Style" w:hAnsi="Bookman Old Style"/>
          <w:i/>
          <w:iCs/>
          <w:sz w:val="24"/>
          <w:szCs w:val="24"/>
          <w:bdr w:val="none" w:sz="0" w:space="0" w:color="auto" w:frame="1"/>
          <w:lang w:val="es-ES"/>
        </w:rPr>
      </w:pPr>
      <w:r w:rsidRPr="0048256B">
        <w:rPr>
          <w:rFonts w:ascii="Bookman Old Style" w:hAnsi="Bookman Old Style"/>
          <w:sz w:val="24"/>
          <w:szCs w:val="24"/>
          <w:bdr w:val="none" w:sz="0" w:space="0" w:color="auto" w:frame="1"/>
          <w:lang w:val="es-ES"/>
        </w:rPr>
        <w:t>Más adelante se explicó que c</w:t>
      </w:r>
      <w:r w:rsidR="00EB488C" w:rsidRPr="0048256B">
        <w:rPr>
          <w:rFonts w:ascii="Bookman Old Style" w:hAnsi="Bookman Old Style"/>
          <w:sz w:val="24"/>
          <w:szCs w:val="24"/>
          <w:bdr w:val="none" w:sz="0" w:space="0" w:color="auto" w:frame="1"/>
          <w:lang w:val="es-ES"/>
        </w:rPr>
        <w:t>omo requisitos para acceder al transporte de acompañantes se debe demostrar</w:t>
      </w:r>
      <w:r w:rsidRPr="0048256B">
        <w:rPr>
          <w:rFonts w:ascii="Bookman Old Style" w:hAnsi="Bookman Old Style"/>
          <w:sz w:val="24"/>
          <w:szCs w:val="24"/>
          <w:bdr w:val="none" w:sz="0" w:space="0" w:color="auto" w:frame="1"/>
          <w:lang w:val="es-ES"/>
        </w:rPr>
        <w:t xml:space="preserve"> lo siguiente</w:t>
      </w:r>
      <w:r w:rsidR="00EB488C" w:rsidRPr="0048256B">
        <w:rPr>
          <w:rFonts w:ascii="Bookman Old Style" w:hAnsi="Bookman Old Style"/>
          <w:sz w:val="24"/>
          <w:szCs w:val="24"/>
          <w:bdr w:val="none" w:sz="0" w:space="0" w:color="auto" w:frame="1"/>
          <w:lang w:val="es-ES"/>
        </w:rPr>
        <w:t>:</w:t>
      </w:r>
      <w:r w:rsidR="00EB488C" w:rsidRPr="0048256B">
        <w:rPr>
          <w:rFonts w:ascii="Bookman Old Style" w:hAnsi="Bookman Old Style"/>
          <w:i/>
          <w:iCs/>
          <w:sz w:val="24"/>
          <w:szCs w:val="24"/>
          <w:bdr w:val="none" w:sz="0" w:space="0" w:color="auto" w:frame="1"/>
          <w:lang w:val="es-ES"/>
        </w:rPr>
        <w:t xml:space="preserve"> </w:t>
      </w:r>
      <w:r w:rsidR="00284300">
        <w:rPr>
          <w:rFonts w:ascii="Bookman Old Style" w:hAnsi="Bookman Old Style"/>
          <w:i/>
          <w:iCs/>
          <w:sz w:val="24"/>
          <w:szCs w:val="24"/>
          <w:bdr w:val="none" w:sz="0" w:space="0" w:color="auto" w:frame="1"/>
          <w:lang w:val="es-ES"/>
        </w:rPr>
        <w:t>“</w:t>
      </w:r>
      <w:r w:rsidR="00EB488C" w:rsidRPr="00284300">
        <w:rPr>
          <w:rFonts w:ascii="Bookman Old Style" w:hAnsi="Bookman Old Style"/>
          <w:i/>
          <w:iCs/>
          <w:bdr w:val="none" w:sz="0" w:space="0" w:color="auto" w:frame="1"/>
          <w:lang w:val="es-ES"/>
        </w:rPr>
        <w:t>i) el paciente sea totalmente dependiente de un tercero para su desplazamiento, (</w:t>
      </w:r>
      <w:proofErr w:type="spellStart"/>
      <w:r w:rsidR="00EB488C" w:rsidRPr="00284300">
        <w:rPr>
          <w:rFonts w:ascii="Bookman Old Style" w:hAnsi="Bookman Old Style"/>
          <w:i/>
          <w:iCs/>
          <w:bdr w:val="none" w:sz="0" w:space="0" w:color="auto" w:frame="1"/>
          <w:lang w:val="es-ES"/>
        </w:rPr>
        <w:t>ii</w:t>
      </w:r>
      <w:proofErr w:type="spellEnd"/>
      <w:r w:rsidR="00EB488C" w:rsidRPr="00284300">
        <w:rPr>
          <w:rFonts w:ascii="Bookman Old Style" w:hAnsi="Bookman Old Style"/>
          <w:i/>
          <w:iCs/>
          <w:bdr w:val="none" w:sz="0" w:space="0" w:color="auto" w:frame="1"/>
          <w:lang w:val="es-ES"/>
        </w:rPr>
        <w:t xml:space="preserve">) requiera atención permanente para garantizar su integridad física y el ejercicio adecuado de sus labores cotidianas y </w:t>
      </w:r>
      <w:r w:rsidR="00EB488C" w:rsidRPr="00284300">
        <w:rPr>
          <w:rFonts w:ascii="Bookman Old Style" w:hAnsi="Bookman Old Style"/>
          <w:i/>
          <w:iCs/>
          <w:bdr w:val="none" w:sz="0" w:space="0" w:color="auto" w:frame="1"/>
          <w:lang w:val="es-ES"/>
        </w:rPr>
        <w:lastRenderedPageBreak/>
        <w:t>(</w:t>
      </w:r>
      <w:proofErr w:type="spellStart"/>
      <w:r w:rsidR="00EB488C" w:rsidRPr="00284300">
        <w:rPr>
          <w:rFonts w:ascii="Bookman Old Style" w:hAnsi="Bookman Old Style"/>
          <w:i/>
          <w:iCs/>
          <w:bdr w:val="none" w:sz="0" w:space="0" w:color="auto" w:frame="1"/>
          <w:lang w:val="es-ES"/>
        </w:rPr>
        <w:t>iii</w:t>
      </w:r>
      <w:proofErr w:type="spellEnd"/>
      <w:r w:rsidR="00EB488C" w:rsidRPr="00284300">
        <w:rPr>
          <w:rFonts w:ascii="Bookman Old Style" w:hAnsi="Bookman Old Style"/>
          <w:i/>
          <w:iCs/>
          <w:bdr w:val="none" w:sz="0" w:space="0" w:color="auto" w:frame="1"/>
          <w:lang w:val="es-ES"/>
        </w:rPr>
        <w:t>) ni él ni su núcleo familiar cuenten con los recursos suficientes para financiar el traslado</w:t>
      </w:r>
      <w:r w:rsidR="00EB488C" w:rsidRPr="0048256B">
        <w:rPr>
          <w:rFonts w:ascii="Bookman Old Style" w:hAnsi="Bookman Old Style"/>
          <w:i/>
          <w:iCs/>
          <w:sz w:val="24"/>
          <w:szCs w:val="24"/>
          <w:bdr w:val="none" w:sz="0" w:space="0" w:color="auto" w:frame="1"/>
          <w:lang w:val="es-ES"/>
        </w:rPr>
        <w:t>”.</w:t>
      </w:r>
    </w:p>
    <w:p w14:paraId="09B1B471" w14:textId="75C79ADB" w:rsidR="00BE2AF3" w:rsidRPr="0048256B" w:rsidRDefault="00BE2AF3" w:rsidP="0048256B">
      <w:pPr>
        <w:shd w:val="clear" w:color="auto" w:fill="FFFFFF"/>
        <w:tabs>
          <w:tab w:val="left" w:pos="9214"/>
        </w:tabs>
        <w:spacing w:after="0" w:line="276" w:lineRule="auto"/>
        <w:ind w:firstLine="426"/>
        <w:contextualSpacing/>
        <w:mirrorIndents/>
        <w:jc w:val="both"/>
        <w:textAlignment w:val="baseline"/>
        <w:rPr>
          <w:rFonts w:ascii="Bookman Old Style" w:hAnsi="Bookman Old Style"/>
          <w:i/>
          <w:sz w:val="24"/>
          <w:szCs w:val="24"/>
          <w:bdr w:val="none" w:sz="0" w:space="0" w:color="auto" w:frame="1"/>
          <w:lang w:val="es-ES_tradnl"/>
        </w:rPr>
      </w:pPr>
    </w:p>
    <w:p w14:paraId="6420897A" w14:textId="6D2683A2" w:rsidR="00B347EF" w:rsidRPr="0048256B" w:rsidRDefault="00BE2AF3" w:rsidP="0048256B">
      <w:pPr>
        <w:shd w:val="clear" w:color="auto" w:fill="FFFFFF"/>
        <w:tabs>
          <w:tab w:val="left" w:pos="9214"/>
        </w:tabs>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48256B">
        <w:rPr>
          <w:rFonts w:ascii="Bookman Old Style" w:hAnsi="Bookman Old Style"/>
          <w:sz w:val="24"/>
          <w:szCs w:val="24"/>
          <w:bdr w:val="none" w:sz="0" w:space="0" w:color="auto" w:frame="1"/>
          <w:lang w:val="es-ES_tradnl"/>
        </w:rPr>
        <w:t>Así las cosas, le corresponde al juez de tutela realizar un análisis de las circunstancias en cada caso particular e identificar si los solicitantes cumplen los requisitos necesarios para acceder al servicio de transporte de acompañante.</w:t>
      </w:r>
    </w:p>
    <w:p w14:paraId="5E9C9FAE" w14:textId="77777777" w:rsidR="002F423B" w:rsidRPr="0048256B" w:rsidRDefault="002F423B"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740D0BE0" w:rsidR="00AE3E72" w:rsidRPr="0048256B" w:rsidRDefault="004D7B99" w:rsidP="0048256B">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48256B">
        <w:rPr>
          <w:rFonts w:ascii="Bookman Old Style" w:hAnsi="Bookman Old Style"/>
          <w:b/>
          <w:sz w:val="24"/>
          <w:szCs w:val="24"/>
          <w:bdr w:val="none" w:sz="0" w:space="0" w:color="auto" w:frame="1"/>
          <w:lang w:val="es-ES_tradnl"/>
        </w:rPr>
        <w:t>Caso Concreto</w:t>
      </w:r>
    </w:p>
    <w:p w14:paraId="7D1EEDDB" w14:textId="34F9ABBC" w:rsidR="004D7B99" w:rsidRPr="0048256B" w:rsidRDefault="004D7B99" w:rsidP="0048256B">
      <w:pPr>
        <w:shd w:val="clear" w:color="auto" w:fill="FFFFFF"/>
        <w:spacing w:after="0" w:line="276" w:lineRule="auto"/>
        <w:contextualSpacing/>
        <w:mirrorIndents/>
        <w:jc w:val="both"/>
        <w:textAlignment w:val="baseline"/>
        <w:rPr>
          <w:rFonts w:ascii="Bookman Old Style" w:hAnsi="Bookman Old Style"/>
          <w:b/>
          <w:sz w:val="24"/>
          <w:szCs w:val="24"/>
          <w:bdr w:val="none" w:sz="0" w:space="0" w:color="auto" w:frame="1"/>
          <w:lang w:val="es-ES_tradnl"/>
        </w:rPr>
      </w:pPr>
    </w:p>
    <w:p w14:paraId="100C4F53" w14:textId="77777777" w:rsidR="00AA03C2" w:rsidRPr="0048256B" w:rsidRDefault="000A49DD"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48256B">
        <w:rPr>
          <w:rFonts w:ascii="Bookman Old Style" w:hAnsi="Bookman Old Style"/>
          <w:sz w:val="24"/>
          <w:szCs w:val="24"/>
          <w:bdr w:val="none" w:sz="0" w:space="0" w:color="auto" w:frame="1"/>
          <w:lang w:val="es-ES_tradnl"/>
        </w:rPr>
        <w:t xml:space="preserve">Descendiendo al caso bajo estudio, </w:t>
      </w:r>
      <w:r w:rsidR="00B05F52" w:rsidRPr="0048256B">
        <w:rPr>
          <w:rFonts w:ascii="Bookman Old Style" w:hAnsi="Bookman Old Style"/>
          <w:sz w:val="24"/>
          <w:szCs w:val="24"/>
          <w:bdr w:val="none" w:sz="0" w:space="0" w:color="auto" w:frame="1"/>
          <w:lang w:val="es-ES_tradnl"/>
        </w:rPr>
        <w:t xml:space="preserve">se evidencia </w:t>
      </w:r>
      <w:r w:rsidR="00DD01E1" w:rsidRPr="0048256B">
        <w:rPr>
          <w:rFonts w:ascii="Bookman Old Style" w:hAnsi="Bookman Old Style"/>
          <w:sz w:val="24"/>
          <w:szCs w:val="24"/>
          <w:bdr w:val="none" w:sz="0" w:space="0" w:color="auto" w:frame="1"/>
          <w:lang w:val="es-ES_tradnl"/>
        </w:rPr>
        <w:t>que el señor BILMAR ALEXANDER MARULANDA PENAGOS</w:t>
      </w:r>
      <w:r w:rsidR="0086785B" w:rsidRPr="0048256B">
        <w:rPr>
          <w:rFonts w:ascii="Bookman Old Style" w:hAnsi="Bookman Old Style"/>
          <w:sz w:val="24"/>
          <w:szCs w:val="24"/>
          <w:bdr w:val="none" w:sz="0" w:space="0" w:color="auto" w:frame="1"/>
          <w:lang w:val="es-ES_tradnl"/>
        </w:rPr>
        <w:t xml:space="preserve">, </w:t>
      </w:r>
      <w:r w:rsidR="00DD01E1" w:rsidRPr="0048256B">
        <w:rPr>
          <w:rFonts w:ascii="Bookman Old Style" w:hAnsi="Bookman Old Style"/>
          <w:sz w:val="24"/>
          <w:szCs w:val="24"/>
          <w:bdr w:val="none" w:sz="0" w:space="0" w:color="auto" w:frame="1"/>
          <w:lang w:val="es-ES_tradnl"/>
        </w:rPr>
        <w:t xml:space="preserve">es un militar retirado que </w:t>
      </w:r>
      <w:r w:rsidR="0086785B" w:rsidRPr="0048256B">
        <w:rPr>
          <w:rFonts w:ascii="Bookman Old Style" w:hAnsi="Bookman Old Style"/>
          <w:sz w:val="24"/>
          <w:szCs w:val="24"/>
          <w:bdr w:val="none" w:sz="0" w:space="0" w:color="auto" w:frame="1"/>
          <w:lang w:val="es-ES_tradnl"/>
        </w:rPr>
        <w:t>padece varias enfermedades, por lo cual,</w:t>
      </w:r>
      <w:r w:rsidR="00BE2AF3" w:rsidRPr="0048256B">
        <w:rPr>
          <w:rFonts w:ascii="Bookman Old Style" w:hAnsi="Bookman Old Style"/>
          <w:sz w:val="24"/>
          <w:szCs w:val="24"/>
          <w:bdr w:val="none" w:sz="0" w:space="0" w:color="auto" w:frame="1"/>
          <w:lang w:val="es-ES_tradnl"/>
        </w:rPr>
        <w:t xml:space="preserve"> </w:t>
      </w:r>
      <w:r w:rsidR="00DD01E1" w:rsidRPr="0048256B">
        <w:rPr>
          <w:rFonts w:ascii="Bookman Old Style" w:hAnsi="Bookman Old Style"/>
          <w:sz w:val="24"/>
          <w:szCs w:val="24"/>
          <w:bdr w:val="none" w:sz="0" w:space="0" w:color="auto" w:frame="1"/>
          <w:lang w:val="es-ES_tradnl"/>
        </w:rPr>
        <w:t xml:space="preserve">le han programado varias citas médicas y tratamientos en el Hospital Militar Central de la ciudad de Bogotá, a pesar de que vive en </w:t>
      </w:r>
      <w:r w:rsidR="002506FD" w:rsidRPr="0048256B">
        <w:rPr>
          <w:rFonts w:ascii="Bookman Old Style" w:hAnsi="Bookman Old Style"/>
          <w:sz w:val="24"/>
          <w:szCs w:val="24"/>
          <w:bdr w:val="none" w:sz="0" w:space="0" w:color="auto" w:frame="1"/>
          <w:lang w:val="es-ES_tradnl"/>
        </w:rPr>
        <w:t>Dosquebradas, Risaralda.</w:t>
      </w:r>
      <w:r w:rsidR="00AA03C2" w:rsidRPr="0048256B">
        <w:rPr>
          <w:rFonts w:ascii="Bookman Old Style" w:hAnsi="Bookman Old Style"/>
          <w:sz w:val="24"/>
          <w:szCs w:val="24"/>
          <w:bdr w:val="none" w:sz="0" w:space="0" w:color="auto" w:frame="1"/>
          <w:lang w:val="es-ES_tradnl"/>
        </w:rPr>
        <w:t xml:space="preserve"> </w:t>
      </w:r>
    </w:p>
    <w:p w14:paraId="4EDA7725" w14:textId="77777777" w:rsidR="00AA03C2" w:rsidRPr="0048256B" w:rsidRDefault="00AA03C2"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876CF87" w14:textId="1AD2505A" w:rsidR="00AA03C2" w:rsidRPr="0048256B" w:rsidRDefault="00AA03C2" w:rsidP="0048256B">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48256B">
        <w:rPr>
          <w:rFonts w:ascii="Bookman Old Style" w:hAnsi="Bookman Old Style"/>
          <w:sz w:val="24"/>
          <w:szCs w:val="24"/>
          <w:bdr w:val="none" w:sz="0" w:space="0" w:color="auto" w:frame="1"/>
          <w:lang w:val="es-ES"/>
        </w:rPr>
        <w:t xml:space="preserve">En respuesta de las accionadas, informaron que el accionante no había solicitado en debida forma y con antelación los servicios de transporte, alojamiento y alimentación para él y su acompañante; por lo tanto, no es posible declarar la vulneración de sus derechos fundamentales. Por esta misma razón la </w:t>
      </w:r>
      <w:r w:rsidRPr="0048256B">
        <w:rPr>
          <w:rFonts w:ascii="Bookman Old Style" w:hAnsi="Bookman Old Style"/>
          <w:i/>
          <w:iCs/>
          <w:sz w:val="24"/>
          <w:szCs w:val="24"/>
          <w:bdr w:val="none" w:sz="0" w:space="0" w:color="auto" w:frame="1"/>
          <w:lang w:val="es-ES"/>
        </w:rPr>
        <w:t>a quo</w:t>
      </w:r>
      <w:r w:rsidRPr="0048256B">
        <w:rPr>
          <w:rFonts w:ascii="Bookman Old Style" w:hAnsi="Bookman Old Style"/>
          <w:sz w:val="24"/>
          <w:szCs w:val="24"/>
          <w:bdr w:val="none" w:sz="0" w:space="0" w:color="auto" w:frame="1"/>
          <w:lang w:val="es-ES"/>
        </w:rPr>
        <w:t xml:space="preserve"> </w:t>
      </w:r>
      <w:r w:rsidR="5FC52865" w:rsidRPr="0048256B">
        <w:rPr>
          <w:rFonts w:ascii="Bookman Old Style" w:hAnsi="Bookman Old Style"/>
          <w:sz w:val="24"/>
          <w:szCs w:val="24"/>
          <w:bdr w:val="none" w:sz="0" w:space="0" w:color="auto" w:frame="1"/>
          <w:lang w:val="es-ES"/>
        </w:rPr>
        <w:t xml:space="preserve">declaró la improcedencia de </w:t>
      </w:r>
      <w:r w:rsidRPr="0048256B">
        <w:rPr>
          <w:rFonts w:ascii="Bookman Old Style" w:hAnsi="Bookman Old Style"/>
          <w:sz w:val="24"/>
          <w:szCs w:val="24"/>
          <w:bdr w:val="none" w:sz="0" w:space="0" w:color="auto" w:frame="1"/>
          <w:lang w:val="es-ES"/>
        </w:rPr>
        <w:t xml:space="preserve">la acción de tutela interpuesta. </w:t>
      </w:r>
    </w:p>
    <w:p w14:paraId="72D0B5D5" w14:textId="4BDCB07A" w:rsidR="00CF1F4A" w:rsidRPr="0048256B" w:rsidRDefault="00CF1F4A"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C6B1B26" w14:textId="369FCFE5" w:rsidR="00CF1F4A" w:rsidRPr="0048256B" w:rsidRDefault="00CF1F4A"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48256B">
        <w:rPr>
          <w:rFonts w:ascii="Bookman Old Style" w:hAnsi="Bookman Old Style"/>
          <w:sz w:val="24"/>
          <w:szCs w:val="24"/>
          <w:bdr w:val="none" w:sz="0" w:space="0" w:color="auto" w:frame="1"/>
          <w:lang w:val="es-ES_tradnl"/>
        </w:rPr>
        <w:t>Pues bien, revisadas las pruebas se evidencia que las órdenes médicas y citas programadas en</w:t>
      </w:r>
      <w:r w:rsidR="00465970" w:rsidRPr="0048256B">
        <w:rPr>
          <w:rFonts w:ascii="Bookman Old Style" w:hAnsi="Bookman Old Style"/>
          <w:sz w:val="24"/>
          <w:szCs w:val="24"/>
          <w:bdr w:val="none" w:sz="0" w:space="0" w:color="auto" w:frame="1"/>
          <w:lang w:val="es-ES_tradnl"/>
        </w:rPr>
        <w:t xml:space="preserve"> el Hospital Militar Central de</w:t>
      </w:r>
      <w:r w:rsidRPr="0048256B">
        <w:rPr>
          <w:rFonts w:ascii="Bookman Old Style" w:hAnsi="Bookman Old Style"/>
          <w:sz w:val="24"/>
          <w:szCs w:val="24"/>
          <w:bdr w:val="none" w:sz="0" w:space="0" w:color="auto" w:frame="1"/>
          <w:lang w:val="es-ES_tradnl"/>
        </w:rPr>
        <w:t xml:space="preserve"> la ciudad de Bogotá datan del </w:t>
      </w:r>
      <w:r w:rsidR="00465970" w:rsidRPr="0048256B">
        <w:rPr>
          <w:rFonts w:ascii="Bookman Old Style" w:hAnsi="Bookman Old Style"/>
          <w:sz w:val="24"/>
          <w:szCs w:val="24"/>
          <w:bdr w:val="none" w:sz="0" w:space="0" w:color="auto" w:frame="1"/>
          <w:lang w:val="es-ES_tradnl"/>
        </w:rPr>
        <w:t xml:space="preserve">23 y 24 de julio de 2024. Por requerimiento del juzgado de primera instancia, para demostrar la falta de recursos económicos para solventar los gastos de traslado, alojamiento y alimentación, el accionante informó que es pensionado por invalidez devengando un monto mensual de $3.359.801, que su grupo familiar </w:t>
      </w:r>
      <w:r w:rsidR="00AA03C2" w:rsidRPr="0048256B">
        <w:rPr>
          <w:rFonts w:ascii="Bookman Old Style" w:hAnsi="Bookman Old Style"/>
          <w:sz w:val="24"/>
          <w:szCs w:val="24"/>
          <w:bdr w:val="none" w:sz="0" w:space="0" w:color="auto" w:frame="1"/>
          <w:lang w:val="es-ES_tradnl"/>
        </w:rPr>
        <w:t>está</w:t>
      </w:r>
      <w:r w:rsidR="00465970" w:rsidRPr="0048256B">
        <w:rPr>
          <w:rFonts w:ascii="Bookman Old Style" w:hAnsi="Bookman Old Style"/>
          <w:sz w:val="24"/>
          <w:szCs w:val="24"/>
          <w:bdr w:val="none" w:sz="0" w:space="0" w:color="auto" w:frame="1"/>
          <w:lang w:val="es-ES_tradnl"/>
        </w:rPr>
        <w:t xml:space="preserve"> conforma</w:t>
      </w:r>
      <w:r w:rsidR="00AA03C2" w:rsidRPr="0048256B">
        <w:rPr>
          <w:rFonts w:ascii="Bookman Old Style" w:hAnsi="Bookman Old Style"/>
          <w:sz w:val="24"/>
          <w:szCs w:val="24"/>
          <w:bdr w:val="none" w:sz="0" w:space="0" w:color="auto" w:frame="1"/>
          <w:lang w:val="es-ES_tradnl"/>
        </w:rPr>
        <w:t>do por</w:t>
      </w:r>
      <w:r w:rsidR="00465970" w:rsidRPr="0048256B">
        <w:rPr>
          <w:rFonts w:ascii="Bookman Old Style" w:hAnsi="Bookman Old Style"/>
          <w:sz w:val="24"/>
          <w:szCs w:val="24"/>
          <w:bdr w:val="none" w:sz="0" w:space="0" w:color="auto" w:frame="1"/>
          <w:lang w:val="es-ES_tradnl"/>
        </w:rPr>
        <w:t xml:space="preserve"> su esposa que es trabajadora independiente cuyos ingresos ascienden a $1.300.000</w:t>
      </w:r>
      <w:r w:rsidR="000B3F95" w:rsidRPr="0048256B">
        <w:rPr>
          <w:rFonts w:ascii="Bookman Old Style" w:hAnsi="Bookman Old Style"/>
          <w:sz w:val="24"/>
          <w:szCs w:val="24"/>
          <w:bdr w:val="none" w:sz="0" w:space="0" w:color="auto" w:frame="1"/>
          <w:lang w:val="es-ES_tradnl"/>
        </w:rPr>
        <w:t>, se hace cargo de sus padres adultos mayores</w:t>
      </w:r>
      <w:r w:rsidR="00465970" w:rsidRPr="0048256B">
        <w:rPr>
          <w:rFonts w:ascii="Bookman Old Style" w:hAnsi="Bookman Old Style"/>
          <w:sz w:val="24"/>
          <w:szCs w:val="24"/>
          <w:bdr w:val="none" w:sz="0" w:space="0" w:color="auto" w:frame="1"/>
          <w:lang w:val="es-ES_tradnl"/>
        </w:rPr>
        <w:t xml:space="preserve"> y actualmente costea sus estudios en la carrera de administración de empresas en la Universidad del Área Andina, debiendo cancelar la suma de $2.500.000 por semestre</w:t>
      </w:r>
      <w:r w:rsidR="00AA03C2" w:rsidRPr="0048256B">
        <w:rPr>
          <w:rFonts w:ascii="Bookman Old Style" w:hAnsi="Bookman Old Style"/>
          <w:sz w:val="24"/>
          <w:szCs w:val="24"/>
          <w:bdr w:val="none" w:sz="0" w:space="0" w:color="auto" w:frame="1"/>
          <w:lang w:val="es-ES_tradnl"/>
        </w:rPr>
        <w:t>. Ambos</w:t>
      </w:r>
      <w:r w:rsidR="00465970" w:rsidRPr="0048256B">
        <w:rPr>
          <w:rFonts w:ascii="Bookman Old Style" w:hAnsi="Bookman Old Style"/>
          <w:sz w:val="24"/>
          <w:szCs w:val="24"/>
          <w:bdr w:val="none" w:sz="0" w:space="0" w:color="auto" w:frame="1"/>
          <w:lang w:val="es-ES_tradnl"/>
        </w:rPr>
        <w:t xml:space="preserve"> procrearon un hijo que </w:t>
      </w:r>
      <w:r w:rsidR="00AA03C2" w:rsidRPr="0048256B">
        <w:rPr>
          <w:rFonts w:ascii="Bookman Old Style" w:hAnsi="Bookman Old Style"/>
          <w:sz w:val="24"/>
          <w:szCs w:val="24"/>
          <w:bdr w:val="none" w:sz="0" w:space="0" w:color="auto" w:frame="1"/>
          <w:lang w:val="es-ES_tradnl"/>
        </w:rPr>
        <w:t>cuenta con</w:t>
      </w:r>
      <w:r w:rsidR="00465970" w:rsidRPr="0048256B">
        <w:rPr>
          <w:rFonts w:ascii="Bookman Old Style" w:hAnsi="Bookman Old Style"/>
          <w:sz w:val="24"/>
          <w:szCs w:val="24"/>
          <w:bdr w:val="none" w:sz="0" w:space="0" w:color="auto" w:frame="1"/>
          <w:lang w:val="es-ES_tradnl"/>
        </w:rPr>
        <w:t xml:space="preserve"> 10 años. Además,</w:t>
      </w:r>
      <w:r w:rsidR="00AA03C2" w:rsidRPr="0048256B">
        <w:rPr>
          <w:rFonts w:ascii="Bookman Old Style" w:hAnsi="Bookman Old Style"/>
          <w:sz w:val="24"/>
          <w:szCs w:val="24"/>
          <w:bdr w:val="none" w:sz="0" w:space="0" w:color="auto" w:frame="1"/>
          <w:lang w:val="es-ES_tradnl"/>
        </w:rPr>
        <w:t xml:space="preserve"> el actor indicó que</w:t>
      </w:r>
      <w:r w:rsidR="00465970" w:rsidRPr="0048256B">
        <w:rPr>
          <w:rFonts w:ascii="Bookman Old Style" w:hAnsi="Bookman Old Style"/>
          <w:sz w:val="24"/>
          <w:szCs w:val="24"/>
          <w:bdr w:val="none" w:sz="0" w:space="0" w:color="auto" w:frame="1"/>
          <w:lang w:val="es-ES_tradnl"/>
        </w:rPr>
        <w:t xml:space="preserve"> </w:t>
      </w:r>
      <w:r w:rsidR="00AA03C2" w:rsidRPr="0048256B">
        <w:rPr>
          <w:rFonts w:ascii="Bookman Old Style" w:hAnsi="Bookman Old Style"/>
          <w:sz w:val="24"/>
          <w:szCs w:val="24"/>
          <w:bdr w:val="none" w:sz="0" w:space="0" w:color="auto" w:frame="1"/>
          <w:lang w:val="es-ES_tradnl"/>
        </w:rPr>
        <w:t>su señora</w:t>
      </w:r>
      <w:r w:rsidR="000B3F95" w:rsidRPr="0048256B">
        <w:rPr>
          <w:rFonts w:ascii="Bookman Old Style" w:hAnsi="Bookman Old Style"/>
          <w:sz w:val="24"/>
          <w:szCs w:val="24"/>
          <w:bdr w:val="none" w:sz="0" w:space="0" w:color="auto" w:frame="1"/>
          <w:lang w:val="es-ES_tradnl"/>
        </w:rPr>
        <w:t xml:space="preserve"> madre e</w:t>
      </w:r>
      <w:r w:rsidR="00465970" w:rsidRPr="0048256B">
        <w:rPr>
          <w:rFonts w:ascii="Bookman Old Style" w:hAnsi="Bookman Old Style"/>
          <w:sz w:val="24"/>
          <w:szCs w:val="24"/>
          <w:bdr w:val="none" w:sz="0" w:space="0" w:color="auto" w:frame="1"/>
          <w:lang w:val="es-ES_tradnl"/>
        </w:rPr>
        <w:t>s pensionada por sobrevivientes y su hermana es una persona discapacitada, beneficiaria de una pensión de invalidez, ambas prestaciones por la suma de un salario mínimo legal mensual vigente</w:t>
      </w:r>
      <w:r w:rsidR="000B3F95" w:rsidRPr="0048256B">
        <w:rPr>
          <w:rFonts w:ascii="Bookman Old Style" w:hAnsi="Bookman Old Style"/>
          <w:sz w:val="24"/>
          <w:szCs w:val="24"/>
          <w:bdr w:val="none" w:sz="0" w:space="0" w:color="auto" w:frame="1"/>
          <w:lang w:val="es-ES_tradnl"/>
        </w:rPr>
        <w:t xml:space="preserve">. </w:t>
      </w:r>
    </w:p>
    <w:p w14:paraId="323023BB" w14:textId="7BD78E01" w:rsidR="00AA03C2" w:rsidRPr="0048256B" w:rsidRDefault="00AA03C2"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176FAABC" w14:textId="65F14BB2" w:rsidR="00AA03C2" w:rsidRPr="0048256B" w:rsidRDefault="00AA03C2"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48256B">
        <w:rPr>
          <w:rFonts w:ascii="Bookman Old Style" w:hAnsi="Bookman Old Style"/>
          <w:sz w:val="24"/>
          <w:szCs w:val="24"/>
          <w:bdr w:val="none" w:sz="0" w:space="0" w:color="auto" w:frame="1"/>
          <w:lang w:val="es-ES_tradnl"/>
        </w:rPr>
        <w:t>Conforme lo anterior, aseguró que el núcleo familiar cuenta con ingresos totales por $4.659.801 y los gastos suman un total de $4.993.801.</w:t>
      </w:r>
    </w:p>
    <w:p w14:paraId="74F1DD67" w14:textId="2BF74CF3" w:rsidR="00AA03C2" w:rsidRPr="0048256B" w:rsidRDefault="00AA03C2"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94FC810" w14:textId="0BE5529B" w:rsidR="00AA03C2" w:rsidRPr="0048256B" w:rsidRDefault="00AA03C2" w:rsidP="0048256B">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48256B">
        <w:rPr>
          <w:rFonts w:ascii="Bookman Old Style" w:hAnsi="Bookman Old Style"/>
          <w:sz w:val="24"/>
          <w:szCs w:val="24"/>
          <w:bdr w:val="none" w:sz="0" w:space="0" w:color="auto" w:frame="1"/>
          <w:lang w:val="es-ES"/>
        </w:rPr>
        <w:t xml:space="preserve">Sobre el servicio de transporte, alojamiento y alimentación para acudir a citas, tratamientos y procedimientos médicos por fuera del lugar de residencia del usuario, la </w:t>
      </w:r>
      <w:r w:rsidR="00660B5F" w:rsidRPr="0048256B">
        <w:rPr>
          <w:rFonts w:ascii="Bookman Old Style" w:hAnsi="Bookman Old Style"/>
          <w:sz w:val="24"/>
          <w:szCs w:val="24"/>
          <w:bdr w:val="none" w:sz="0" w:space="0" w:color="auto" w:frame="1"/>
          <w:lang w:val="es-ES"/>
        </w:rPr>
        <w:t>Corte Constitucional recordó que, el servicio de transporte intermunicipal era procedente en todos los eventos en los que un paciente sea remitido a una IPS ubicada en un municipio diferente a su domicilio. Esto, con el fin de evitar la configuración de “</w:t>
      </w:r>
      <w:r w:rsidR="00660B5F" w:rsidRPr="00284300">
        <w:rPr>
          <w:rFonts w:ascii="Bookman Old Style" w:hAnsi="Bookman Old Style"/>
          <w:i/>
          <w:iCs/>
          <w:bdr w:val="none" w:sz="0" w:space="0" w:color="auto" w:frame="1"/>
          <w:lang w:val="es-ES"/>
        </w:rPr>
        <w:t xml:space="preserve">una barrera de acceso, </w:t>
      </w:r>
      <w:r w:rsidR="00660B5F" w:rsidRPr="00284300">
        <w:rPr>
          <w:rFonts w:ascii="Bookman Old Style" w:hAnsi="Bookman Old Style"/>
          <w:i/>
          <w:iCs/>
          <w:bdr w:val="none" w:sz="0" w:space="0" w:color="auto" w:frame="1"/>
          <w:lang w:val="es-ES"/>
        </w:rPr>
        <w:lastRenderedPageBreak/>
        <w:t>que ha sido proscrita por la jurisprudencia constitucional</w:t>
      </w:r>
      <w:r w:rsidR="00660B5F" w:rsidRPr="0048256B">
        <w:rPr>
          <w:rFonts w:ascii="Bookman Old Style" w:hAnsi="Bookman Old Style"/>
          <w:i/>
          <w:iCs/>
          <w:sz w:val="24"/>
          <w:szCs w:val="24"/>
          <w:bdr w:val="none" w:sz="0" w:space="0" w:color="auto" w:frame="1"/>
          <w:lang w:val="es-ES"/>
        </w:rPr>
        <w:t>”</w:t>
      </w:r>
      <w:r w:rsidR="00660B5F" w:rsidRPr="0048256B">
        <w:rPr>
          <w:rFonts w:ascii="Bookman Old Style" w:hAnsi="Bookman Old Style"/>
          <w:sz w:val="24"/>
          <w:szCs w:val="24"/>
          <w:bdr w:val="none" w:sz="0" w:space="0" w:color="auto" w:frame="1"/>
          <w:lang w:val="es-ES"/>
        </w:rPr>
        <w:t xml:space="preserve">. En la sentencia </w:t>
      </w:r>
      <w:r w:rsidR="00660B5F" w:rsidRPr="0048256B">
        <w:rPr>
          <w:rFonts w:ascii="Bookman Old Style" w:hAnsi="Bookman Old Style"/>
          <w:b/>
          <w:bCs/>
          <w:sz w:val="24"/>
          <w:szCs w:val="24"/>
          <w:bdr w:val="none" w:sz="0" w:space="0" w:color="auto" w:frame="1"/>
          <w:lang w:val="es-ES"/>
        </w:rPr>
        <w:t>SU 508-2020</w:t>
      </w:r>
      <w:r w:rsidR="00660B5F" w:rsidRPr="0048256B">
        <w:rPr>
          <w:rFonts w:ascii="Bookman Old Style" w:hAnsi="Bookman Old Style"/>
          <w:sz w:val="24"/>
          <w:szCs w:val="24"/>
          <w:bdr w:val="none" w:sz="0" w:space="0" w:color="auto" w:frame="1"/>
          <w:lang w:val="es-ES"/>
        </w:rPr>
        <w:t xml:space="preserve"> esa Corporación advirtió que el reconocimiento del transporte en otro municipio diferente al lugar de residencia aplica para todo el territorio nacional y no es exigible el requisito de capacidad económica, debido a que este servicio es financiado por el sistema</w:t>
      </w:r>
      <w:r w:rsidR="6B1B8D28" w:rsidRPr="0048256B">
        <w:rPr>
          <w:rFonts w:ascii="Bookman Old Style" w:hAnsi="Bookman Old Style"/>
          <w:sz w:val="24"/>
          <w:szCs w:val="24"/>
          <w:bdr w:val="none" w:sz="0" w:space="0" w:color="auto" w:frame="1"/>
          <w:lang w:val="es-ES"/>
        </w:rPr>
        <w:t xml:space="preserve"> de UPC</w:t>
      </w:r>
      <w:r w:rsidR="00660B5F" w:rsidRPr="0048256B">
        <w:rPr>
          <w:rFonts w:ascii="Bookman Old Style" w:hAnsi="Bookman Old Style"/>
          <w:sz w:val="24"/>
          <w:szCs w:val="24"/>
          <w:bdr w:val="none" w:sz="0" w:space="0" w:color="auto" w:frame="1"/>
          <w:lang w:val="es-ES"/>
        </w:rPr>
        <w:t xml:space="preserve">, no requiere prescripción médica y su reconocimiento es obligación de la EPS a partir del mismo momento de la autorización del servicio en un municipio diferente al domicilio del paciente. </w:t>
      </w:r>
    </w:p>
    <w:p w14:paraId="5CC35660" w14:textId="4CD57D56" w:rsidR="00660B5F" w:rsidRPr="0048256B" w:rsidRDefault="00660B5F" w:rsidP="0048256B">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7F93E97D" w14:textId="1783AA58" w:rsidR="00124970" w:rsidRPr="0048256B" w:rsidRDefault="23ED0FCC" w:rsidP="0048256B">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48256B">
        <w:rPr>
          <w:rFonts w:ascii="Bookman Old Style" w:hAnsi="Bookman Old Style"/>
          <w:sz w:val="24"/>
          <w:szCs w:val="24"/>
          <w:bdr w:val="none" w:sz="0" w:space="0" w:color="auto" w:frame="1"/>
          <w:lang w:val="es-ES"/>
        </w:rPr>
        <w:t>No obstante</w:t>
      </w:r>
      <w:r w:rsidR="08CA1661" w:rsidRPr="0048256B">
        <w:rPr>
          <w:rFonts w:ascii="Bookman Old Style" w:hAnsi="Bookman Old Style"/>
          <w:sz w:val="24"/>
          <w:szCs w:val="24"/>
          <w:bdr w:val="none" w:sz="0" w:space="0" w:color="auto" w:frame="1"/>
          <w:lang w:val="es-ES"/>
        </w:rPr>
        <w:t xml:space="preserve">, </w:t>
      </w:r>
      <w:r w:rsidR="150D96E8" w:rsidRPr="0048256B">
        <w:rPr>
          <w:rFonts w:ascii="Bookman Old Style" w:hAnsi="Bookman Old Style"/>
          <w:sz w:val="24"/>
          <w:szCs w:val="24"/>
          <w:bdr w:val="none" w:sz="0" w:space="0" w:color="auto" w:frame="1"/>
          <w:lang w:val="es-ES"/>
        </w:rPr>
        <w:t>el Sistema de Salud de las Fuerzas</w:t>
      </w:r>
      <w:r w:rsidR="40110636" w:rsidRPr="0048256B">
        <w:rPr>
          <w:rFonts w:ascii="Bookman Old Style" w:hAnsi="Bookman Old Style"/>
          <w:sz w:val="24"/>
          <w:szCs w:val="24"/>
          <w:bdr w:val="none" w:sz="0" w:space="0" w:color="auto" w:frame="1"/>
          <w:lang w:val="es-ES"/>
        </w:rPr>
        <w:t xml:space="preserve"> </w:t>
      </w:r>
      <w:r w:rsidR="150D96E8" w:rsidRPr="0048256B">
        <w:rPr>
          <w:rFonts w:ascii="Bookman Old Style" w:hAnsi="Bookman Old Style"/>
          <w:sz w:val="24"/>
          <w:szCs w:val="24"/>
          <w:bdr w:val="none" w:sz="0" w:space="0" w:color="auto" w:frame="1"/>
          <w:lang w:val="es-ES"/>
        </w:rPr>
        <w:t xml:space="preserve">Militares y de la Policía Nacional </w:t>
      </w:r>
      <w:r w:rsidR="37A9412B" w:rsidRPr="0048256B">
        <w:rPr>
          <w:rFonts w:ascii="Bookman Old Style" w:hAnsi="Bookman Old Style"/>
          <w:sz w:val="24"/>
          <w:szCs w:val="24"/>
          <w:bdr w:val="none" w:sz="0" w:space="0" w:color="auto" w:frame="1"/>
          <w:lang w:val="es-ES"/>
        </w:rPr>
        <w:t>no</w:t>
      </w:r>
      <w:r w:rsidR="3150AB86" w:rsidRPr="0048256B">
        <w:rPr>
          <w:rFonts w:ascii="Bookman Old Style" w:hAnsi="Bookman Old Style"/>
          <w:sz w:val="24"/>
          <w:szCs w:val="24"/>
          <w:bdr w:val="none" w:sz="0" w:space="0" w:color="auto" w:frame="1"/>
          <w:lang w:val="es-ES"/>
        </w:rPr>
        <w:t xml:space="preserve"> cuenta con recursos financiados por la Unidad de Pago por Capitación</w:t>
      </w:r>
      <w:r w:rsidR="73D9CD51" w:rsidRPr="0048256B">
        <w:rPr>
          <w:rFonts w:ascii="Bookman Old Style" w:hAnsi="Bookman Old Style"/>
          <w:sz w:val="24"/>
          <w:szCs w:val="24"/>
          <w:bdr w:val="none" w:sz="0" w:space="0" w:color="auto" w:frame="1"/>
          <w:lang w:val="es-ES"/>
        </w:rPr>
        <w:t xml:space="preserve"> UPC, pues el presupuesto es dispuesto por el Ministerio de Defensa para la sanidad militar, tal como lo explicó en su contestación </w:t>
      </w:r>
      <w:r w:rsidR="7306E799" w:rsidRPr="0048256B">
        <w:rPr>
          <w:rFonts w:ascii="Bookman Old Style" w:hAnsi="Bookman Old Style"/>
          <w:sz w:val="24"/>
          <w:szCs w:val="24"/>
          <w:bdr w:val="none" w:sz="0" w:space="0" w:color="auto" w:frame="1"/>
          <w:lang w:val="es-ES"/>
        </w:rPr>
        <w:t>el Establecimiento de Sanidad Militar “SAN MATEO” (anexo11)</w:t>
      </w:r>
      <w:r w:rsidR="4D99B8F6" w:rsidRPr="0048256B">
        <w:rPr>
          <w:rFonts w:ascii="Bookman Old Style" w:hAnsi="Bookman Old Style"/>
          <w:sz w:val="24"/>
          <w:szCs w:val="24"/>
          <w:bdr w:val="none" w:sz="0" w:space="0" w:color="auto" w:frame="1"/>
          <w:lang w:val="es-ES"/>
        </w:rPr>
        <w:t xml:space="preserve">. Lo anterior quiere decir que, al tratarse de un sistema y régimen especial </w:t>
      </w:r>
      <w:r w:rsidR="3079E87C" w:rsidRPr="0048256B">
        <w:rPr>
          <w:rFonts w:ascii="Bookman Old Style" w:hAnsi="Bookman Old Style"/>
          <w:sz w:val="24"/>
          <w:szCs w:val="24"/>
          <w:bdr w:val="none" w:sz="0" w:space="0" w:color="auto" w:frame="1"/>
          <w:lang w:val="es-ES"/>
        </w:rPr>
        <w:t>está regulado</w:t>
      </w:r>
      <w:r w:rsidR="4D99B8F6" w:rsidRPr="0048256B">
        <w:rPr>
          <w:rFonts w:ascii="Bookman Old Style" w:hAnsi="Bookman Old Style"/>
          <w:sz w:val="24"/>
          <w:szCs w:val="24"/>
          <w:bdr w:val="none" w:sz="0" w:space="0" w:color="auto" w:frame="1"/>
          <w:lang w:val="es-ES"/>
        </w:rPr>
        <w:t xml:space="preserve"> por sus propias normas</w:t>
      </w:r>
      <w:r w:rsidR="2D11E118" w:rsidRPr="0048256B">
        <w:rPr>
          <w:rFonts w:ascii="Bookman Old Style" w:hAnsi="Bookman Old Style"/>
          <w:sz w:val="24"/>
          <w:szCs w:val="24"/>
          <w:bdr w:val="none" w:sz="0" w:space="0" w:color="auto" w:frame="1"/>
          <w:lang w:val="es-ES"/>
        </w:rPr>
        <w:t>, como la</w:t>
      </w:r>
      <w:r w:rsidR="5062E956" w:rsidRPr="0048256B">
        <w:rPr>
          <w:rFonts w:ascii="Bookman Old Style" w:hAnsi="Bookman Old Style"/>
          <w:sz w:val="24"/>
          <w:szCs w:val="24"/>
          <w:bdr w:val="none" w:sz="0" w:space="0" w:color="auto" w:frame="1"/>
          <w:lang w:val="es-ES"/>
        </w:rPr>
        <w:t xml:space="preserve"> </w:t>
      </w:r>
      <w:r w:rsidR="5062E956" w:rsidRPr="0048256B">
        <w:rPr>
          <w:rFonts w:ascii="Bookman Old Style" w:hAnsi="Bookman Old Style"/>
          <w:b/>
          <w:sz w:val="24"/>
          <w:szCs w:val="24"/>
          <w:bdr w:val="none" w:sz="0" w:space="0" w:color="auto" w:frame="1"/>
          <w:lang w:val="es-ES"/>
        </w:rPr>
        <w:t>Ley 352 de 1997</w:t>
      </w:r>
      <w:r w:rsidR="359F2254" w:rsidRPr="0048256B">
        <w:rPr>
          <w:rFonts w:ascii="Bookman Old Style" w:hAnsi="Bookman Old Style"/>
          <w:b/>
          <w:sz w:val="24"/>
          <w:szCs w:val="24"/>
          <w:bdr w:val="none" w:sz="0" w:space="0" w:color="auto" w:frame="1"/>
          <w:lang w:val="es-ES"/>
        </w:rPr>
        <w:t>, el Decreto 1795 de 2000</w:t>
      </w:r>
      <w:r w:rsidR="359F2254" w:rsidRPr="0048256B">
        <w:rPr>
          <w:rFonts w:ascii="Bookman Old Style" w:hAnsi="Bookman Old Style"/>
          <w:sz w:val="24"/>
          <w:szCs w:val="24"/>
          <w:bdr w:val="none" w:sz="0" w:space="0" w:color="auto" w:frame="1"/>
          <w:lang w:val="es-ES"/>
        </w:rPr>
        <w:t xml:space="preserve">, entre otras. De ahí que no puede ser catalogada </w:t>
      </w:r>
      <w:r w:rsidR="6023931D" w:rsidRPr="0048256B">
        <w:rPr>
          <w:rFonts w:ascii="Bookman Old Style" w:hAnsi="Bookman Old Style"/>
          <w:sz w:val="24"/>
          <w:szCs w:val="24"/>
          <w:bdr w:val="none" w:sz="0" w:space="0" w:color="auto" w:frame="1"/>
          <w:lang w:val="es-ES"/>
        </w:rPr>
        <w:t>como una EPS</w:t>
      </w:r>
      <w:r w:rsidR="27FF5158" w:rsidRPr="0048256B">
        <w:rPr>
          <w:rFonts w:ascii="Bookman Old Style" w:hAnsi="Bookman Old Style"/>
          <w:sz w:val="24"/>
          <w:szCs w:val="24"/>
          <w:bdr w:val="none" w:sz="0" w:space="0" w:color="auto" w:frame="1"/>
          <w:lang w:val="es-ES"/>
        </w:rPr>
        <w:t xml:space="preserve"> financiada por la UPC</w:t>
      </w:r>
      <w:r w:rsidR="6023931D" w:rsidRPr="0048256B">
        <w:rPr>
          <w:rFonts w:ascii="Bookman Old Style" w:hAnsi="Bookman Old Style"/>
          <w:sz w:val="24"/>
          <w:szCs w:val="24"/>
          <w:bdr w:val="none" w:sz="0" w:space="0" w:color="auto" w:frame="1"/>
          <w:lang w:val="es-ES"/>
        </w:rPr>
        <w:t xml:space="preserve">. </w:t>
      </w:r>
    </w:p>
    <w:p w14:paraId="52420E76" w14:textId="38A8BA09" w:rsidR="00124970" w:rsidRPr="0048256B" w:rsidRDefault="00124970" w:rsidP="0048256B">
      <w:pPr>
        <w:shd w:val="clear" w:color="auto" w:fill="FFFFFF" w:themeFill="background1"/>
        <w:spacing w:after="0" w:line="276" w:lineRule="auto"/>
        <w:contextualSpacing/>
        <w:mirrorIndents/>
        <w:jc w:val="both"/>
        <w:textAlignment w:val="baseline"/>
        <w:rPr>
          <w:rFonts w:ascii="Bookman Old Style" w:eastAsiaTheme="minorEastAsia" w:hAnsi="Bookman Old Style"/>
          <w:sz w:val="24"/>
          <w:szCs w:val="24"/>
          <w:lang w:val="es-ES"/>
        </w:rPr>
      </w:pPr>
    </w:p>
    <w:p w14:paraId="151B98FB" w14:textId="425084F6" w:rsidR="00124970" w:rsidRPr="0048256B" w:rsidRDefault="6023931D" w:rsidP="0048256B">
      <w:pPr>
        <w:shd w:val="clear" w:color="auto" w:fill="FFFFFF" w:themeFill="background1"/>
        <w:spacing w:after="0" w:line="276" w:lineRule="auto"/>
        <w:ind w:firstLine="426"/>
        <w:contextualSpacing/>
        <w:mirrorIndents/>
        <w:jc w:val="both"/>
        <w:textAlignment w:val="baseline"/>
        <w:rPr>
          <w:rFonts w:ascii="Bookman Old Style" w:eastAsiaTheme="minorEastAsia" w:hAnsi="Bookman Old Style"/>
          <w:sz w:val="24"/>
          <w:szCs w:val="24"/>
          <w:lang w:val="es-ES"/>
        </w:rPr>
      </w:pPr>
      <w:r w:rsidRPr="0048256B">
        <w:rPr>
          <w:rFonts w:ascii="Bookman Old Style" w:hAnsi="Bookman Old Style"/>
          <w:sz w:val="24"/>
          <w:szCs w:val="24"/>
          <w:bdr w:val="none" w:sz="0" w:space="0" w:color="auto" w:frame="1"/>
          <w:lang w:val="es-ES"/>
        </w:rPr>
        <w:t xml:space="preserve">Esta tesis ha sido plasmada por la Corte Constitucional en sentencias como la T-505 de 2012 donde explicó: </w:t>
      </w:r>
      <w:r w:rsidRPr="0048256B">
        <w:rPr>
          <w:rFonts w:ascii="Bookman Old Style" w:hAnsi="Bookman Old Style"/>
          <w:i/>
          <w:sz w:val="24"/>
          <w:szCs w:val="24"/>
          <w:bdr w:val="none" w:sz="0" w:space="0" w:color="auto" w:frame="1"/>
          <w:lang w:val="es-ES"/>
        </w:rPr>
        <w:t>“</w:t>
      </w:r>
      <w:r w:rsidRPr="00284300">
        <w:rPr>
          <w:rFonts w:ascii="Bookman Old Style" w:hAnsi="Bookman Old Style"/>
          <w:i/>
          <w:bdr w:val="none" w:sz="0" w:space="0" w:color="auto" w:frame="1"/>
          <w:lang w:val="es-ES"/>
        </w:rPr>
        <w:t xml:space="preserve">Como ya lo expuso la Sentencia T-540 de 2002, si bien en términos prácticos puede decirse que la Dirección General de Sanidad Militar, por las funciones que cumple, entre las cuales está la de “dirigir la operación y funcionamiento del Subsistema de Salud de las Fuerzas Militares” (artículo 10, literal a) de la Ley 352 de 1997), puede compararse con una Empresa o Entidad Promotora de Salud de la que trata el artículo 177 de la Ley 100 de 1993, cuya función básica es la de “organizar, y garantizar, directa o indirectamente, la prestación del plan de salud obligatorio a los afiliados (...)”, </w:t>
      </w:r>
      <w:r w:rsidRPr="00284300">
        <w:rPr>
          <w:rFonts w:ascii="Bookman Old Style" w:hAnsi="Bookman Old Style"/>
          <w:b/>
          <w:i/>
          <w:bdr w:val="none" w:sz="0" w:space="0" w:color="auto" w:frame="1"/>
          <w:lang w:val="es-ES"/>
        </w:rPr>
        <w:t>lo cierto es que la Dirección General de Sanidad Militar es un organismo que pertenece a un sistema de salud especial y por ello no puede ser catalogada como Empresa Promotora de Salud (EPS) por lo que debe regirse entonces, por las normas de ese sistema especial</w:t>
      </w:r>
      <w:r w:rsidRPr="0048256B">
        <w:rPr>
          <w:rFonts w:ascii="Bookman Old Style" w:hAnsi="Bookman Old Style"/>
          <w:b/>
          <w:sz w:val="24"/>
          <w:szCs w:val="24"/>
          <w:bdr w:val="none" w:sz="0" w:space="0" w:color="auto" w:frame="1"/>
          <w:lang w:val="es-ES"/>
        </w:rPr>
        <w:t>.</w:t>
      </w:r>
      <w:r w:rsidR="76F232F0" w:rsidRPr="0048256B">
        <w:rPr>
          <w:rFonts w:ascii="Bookman Old Style" w:hAnsi="Bookman Old Style"/>
          <w:sz w:val="24"/>
          <w:szCs w:val="24"/>
          <w:bdr w:val="none" w:sz="0" w:space="0" w:color="auto" w:frame="1"/>
          <w:lang w:val="es-ES"/>
        </w:rPr>
        <w:t>” (Negrilla fuera de texto)</w:t>
      </w:r>
    </w:p>
    <w:p w14:paraId="57009C54" w14:textId="5161BB29" w:rsidR="00124970" w:rsidRPr="0048256B" w:rsidRDefault="00124970" w:rsidP="0048256B">
      <w:pPr>
        <w:shd w:val="clear" w:color="auto" w:fill="FFFFFF" w:themeFill="background1"/>
        <w:spacing w:after="0" w:line="276" w:lineRule="auto"/>
        <w:contextualSpacing/>
        <w:mirrorIndents/>
        <w:jc w:val="both"/>
        <w:textAlignment w:val="baseline"/>
        <w:rPr>
          <w:rFonts w:ascii="Bookman Old Style" w:eastAsiaTheme="minorEastAsia" w:hAnsi="Bookman Old Style"/>
          <w:sz w:val="24"/>
          <w:szCs w:val="24"/>
          <w:lang w:val="es-ES"/>
        </w:rPr>
      </w:pPr>
    </w:p>
    <w:p w14:paraId="1DB4A558" w14:textId="7E0E7027" w:rsidR="00124970" w:rsidRPr="0048256B" w:rsidRDefault="76F232F0" w:rsidP="0048256B">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lang w:val="es-ES"/>
        </w:rPr>
      </w:pPr>
      <w:r w:rsidRPr="0048256B">
        <w:rPr>
          <w:rFonts w:ascii="Bookman Old Style" w:hAnsi="Bookman Old Style" w:cs="Arial"/>
          <w:sz w:val="24"/>
          <w:szCs w:val="24"/>
        </w:rPr>
        <w:t>Así las cosas, comoquiera que el sistema de salud de militares y policías se rige por normas especiales y</w:t>
      </w:r>
      <w:r w:rsidR="44632F39" w:rsidRPr="0048256B">
        <w:rPr>
          <w:rFonts w:ascii="Bookman Old Style" w:hAnsi="Bookman Old Style" w:cs="Arial"/>
          <w:sz w:val="24"/>
          <w:szCs w:val="24"/>
        </w:rPr>
        <w:t xml:space="preserve"> su</w:t>
      </w:r>
      <w:r w:rsidRPr="0048256B">
        <w:rPr>
          <w:rFonts w:ascii="Bookman Old Style" w:hAnsi="Bookman Old Style" w:cs="Arial"/>
          <w:sz w:val="24"/>
          <w:szCs w:val="24"/>
        </w:rPr>
        <w:t xml:space="preserve"> presupuesto se obtiene de fuentes distintas a la UPC, corresponde</w:t>
      </w:r>
      <w:r w:rsidR="7195B17C" w:rsidRPr="0048256B">
        <w:rPr>
          <w:rFonts w:ascii="Bookman Old Style" w:hAnsi="Bookman Old Style" w:cs="Arial"/>
          <w:sz w:val="24"/>
          <w:szCs w:val="24"/>
        </w:rPr>
        <w:t>ría a la Sala</w:t>
      </w:r>
      <w:r w:rsidRPr="0048256B">
        <w:rPr>
          <w:rFonts w:ascii="Bookman Old Style" w:hAnsi="Bookman Old Style" w:cs="Arial"/>
          <w:sz w:val="24"/>
          <w:szCs w:val="24"/>
        </w:rPr>
        <w:t xml:space="preserve"> determinar si el accionante cumple </w:t>
      </w:r>
      <w:r w:rsidR="33019195" w:rsidRPr="0048256B">
        <w:rPr>
          <w:rFonts w:ascii="Bookman Old Style" w:hAnsi="Bookman Old Style" w:cs="Arial"/>
          <w:sz w:val="24"/>
          <w:szCs w:val="24"/>
        </w:rPr>
        <w:t xml:space="preserve">o no </w:t>
      </w:r>
      <w:r w:rsidRPr="0048256B">
        <w:rPr>
          <w:rFonts w:ascii="Bookman Old Style" w:hAnsi="Bookman Old Style" w:cs="Arial"/>
          <w:sz w:val="24"/>
          <w:szCs w:val="24"/>
        </w:rPr>
        <w:t>con los requisitos jurisprudenciales</w:t>
      </w:r>
      <w:r w:rsidR="00124970" w:rsidRPr="00DC3A86">
        <w:rPr>
          <w:rFonts w:ascii="Bookman Old Style" w:hAnsi="Bookman Old Style" w:cs="Arial"/>
          <w:sz w:val="24"/>
          <w:szCs w:val="24"/>
          <w:vertAlign w:val="superscript"/>
        </w:rPr>
        <w:footnoteReference w:id="1"/>
      </w:r>
      <w:r w:rsidR="1433F06C" w:rsidRPr="0048256B">
        <w:rPr>
          <w:rFonts w:ascii="Bookman Old Style" w:hAnsi="Bookman Old Style" w:cs="Arial"/>
          <w:sz w:val="24"/>
          <w:szCs w:val="24"/>
        </w:rPr>
        <w:t xml:space="preserve"> </w:t>
      </w:r>
      <w:r w:rsidR="04FF891B" w:rsidRPr="0048256B">
        <w:rPr>
          <w:rFonts w:ascii="Bookman Old Style" w:hAnsi="Bookman Old Style" w:cs="Arial"/>
          <w:sz w:val="24"/>
          <w:szCs w:val="24"/>
        </w:rPr>
        <w:t xml:space="preserve">para </w:t>
      </w:r>
      <w:r w:rsidR="452A3852" w:rsidRPr="0048256B">
        <w:rPr>
          <w:rFonts w:ascii="Bookman Old Style" w:hAnsi="Bookman Old Style" w:cs="Arial"/>
          <w:sz w:val="24"/>
          <w:szCs w:val="24"/>
        </w:rPr>
        <w:t>acceder al servicio de</w:t>
      </w:r>
      <w:r w:rsidR="04FF891B" w:rsidRPr="0048256B">
        <w:rPr>
          <w:rFonts w:ascii="Bookman Old Style" w:hAnsi="Bookman Old Style" w:cs="Arial"/>
          <w:sz w:val="24"/>
          <w:szCs w:val="24"/>
        </w:rPr>
        <w:t xml:space="preserve"> transporte intermunicipal </w:t>
      </w:r>
      <w:r w:rsidR="22D66117" w:rsidRPr="0048256B">
        <w:rPr>
          <w:rFonts w:ascii="Bookman Old Style" w:hAnsi="Bookman Old Style" w:cs="Arial"/>
          <w:sz w:val="24"/>
          <w:szCs w:val="24"/>
        </w:rPr>
        <w:t xml:space="preserve">y </w:t>
      </w:r>
      <w:r w:rsidR="03275818" w:rsidRPr="0048256B">
        <w:rPr>
          <w:rFonts w:ascii="Bookman Old Style" w:hAnsi="Bookman Old Style" w:cs="Arial"/>
          <w:sz w:val="24"/>
          <w:szCs w:val="24"/>
        </w:rPr>
        <w:t xml:space="preserve">trasladarse de Dosquebradas a Bogotá para acudir a las </w:t>
      </w:r>
      <w:r w:rsidR="4D3B5FEE" w:rsidRPr="0048256B">
        <w:rPr>
          <w:rFonts w:ascii="Bookman Old Style" w:hAnsi="Bookman Old Style" w:cs="Arial"/>
          <w:sz w:val="24"/>
          <w:szCs w:val="24"/>
        </w:rPr>
        <w:t>citas médicas del 23 y 24 de julio de 2024</w:t>
      </w:r>
      <w:r w:rsidR="71BEB31E" w:rsidRPr="0048256B">
        <w:rPr>
          <w:rFonts w:ascii="Bookman Old Style" w:hAnsi="Bookman Old Style" w:cs="Arial"/>
          <w:sz w:val="24"/>
          <w:szCs w:val="24"/>
        </w:rPr>
        <w:t>. E</w:t>
      </w:r>
      <w:r w:rsidR="4D3B5FEE" w:rsidRPr="0048256B">
        <w:rPr>
          <w:rFonts w:ascii="Bookman Old Style" w:hAnsi="Bookman Old Style" w:cs="Arial"/>
          <w:sz w:val="24"/>
          <w:szCs w:val="24"/>
        </w:rPr>
        <w:t xml:space="preserve">mpero, se evidencia la configuración de hecho </w:t>
      </w:r>
      <w:r w:rsidR="7BF11BB0" w:rsidRPr="0048256B">
        <w:rPr>
          <w:rFonts w:ascii="Bookman Old Style" w:hAnsi="Bookman Old Style" w:cs="Arial"/>
          <w:sz w:val="24"/>
          <w:szCs w:val="24"/>
        </w:rPr>
        <w:t>superado</w:t>
      </w:r>
      <w:r w:rsidR="4D3B5FEE" w:rsidRPr="0048256B">
        <w:rPr>
          <w:rFonts w:ascii="Bookman Old Style" w:hAnsi="Bookman Old Style" w:cs="Arial"/>
          <w:sz w:val="24"/>
          <w:szCs w:val="24"/>
        </w:rPr>
        <w:t xml:space="preserve">, puesto que, en llamada telefónica del pasado 05 de agosto de 2024 a las 3:51pm, el señor </w:t>
      </w:r>
      <w:r w:rsidR="4D3B5FEE" w:rsidRPr="0048256B">
        <w:rPr>
          <w:rFonts w:ascii="Bookman Old Style" w:hAnsi="Bookman Old Style"/>
          <w:sz w:val="24"/>
          <w:szCs w:val="24"/>
          <w:lang w:val="es-ES"/>
        </w:rPr>
        <w:t>BILMAR ALEXANDER MARULANDA PENAGOS</w:t>
      </w:r>
      <w:r w:rsidR="4D3B5FEE" w:rsidRPr="0048256B">
        <w:rPr>
          <w:rFonts w:ascii="Bookman Old Style" w:hAnsi="Bookman Old Style" w:cs="Arial"/>
          <w:sz w:val="24"/>
          <w:szCs w:val="24"/>
        </w:rPr>
        <w:t xml:space="preserve"> informó que actualmente se encuentra en la ciudad de Bogotá a la espera de realizarse un procedimiento quirúrgico en el corazón que se llevará a cabo el día de hoy 06 de agosto, para tratar la enfermedad </w:t>
      </w:r>
      <w:r w:rsidR="4D3B5FEE" w:rsidRPr="0048256B">
        <w:rPr>
          <w:rFonts w:ascii="Bookman Old Style" w:hAnsi="Bookman Old Style"/>
          <w:i/>
          <w:iCs/>
          <w:sz w:val="24"/>
          <w:szCs w:val="24"/>
          <w:lang w:val="es-ES"/>
        </w:rPr>
        <w:t xml:space="preserve">Cardiomiopatía Dilatada </w:t>
      </w:r>
      <w:r w:rsidR="4D3B5FEE" w:rsidRPr="0048256B">
        <w:rPr>
          <w:rFonts w:ascii="Bookman Old Style" w:hAnsi="Bookman Old Style"/>
          <w:sz w:val="24"/>
          <w:szCs w:val="24"/>
          <w:lang w:val="es-ES"/>
        </w:rPr>
        <w:t>en el Hospital Militar Central en Bogotá.</w:t>
      </w:r>
    </w:p>
    <w:p w14:paraId="5A1DA616" w14:textId="6627FA16" w:rsidR="00124970" w:rsidRPr="0048256B" w:rsidRDefault="00124970" w:rsidP="0048256B">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lang w:val="es-ES"/>
        </w:rPr>
      </w:pPr>
    </w:p>
    <w:p w14:paraId="60D75E16" w14:textId="19B665C3" w:rsidR="00124970" w:rsidRPr="0048256B" w:rsidRDefault="4D3B5FEE" w:rsidP="0048256B">
      <w:pPr>
        <w:shd w:val="clear" w:color="auto" w:fill="FFFFFF" w:themeFill="background1"/>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48256B">
        <w:rPr>
          <w:rFonts w:ascii="Bookman Old Style" w:hAnsi="Bookman Old Style"/>
          <w:sz w:val="24"/>
          <w:szCs w:val="24"/>
          <w:lang w:val="es-ES"/>
        </w:rPr>
        <w:lastRenderedPageBreak/>
        <w:t>De est</w:t>
      </w:r>
      <w:r w:rsidR="5E144718" w:rsidRPr="0048256B">
        <w:rPr>
          <w:rFonts w:ascii="Bookman Old Style" w:hAnsi="Bookman Old Style"/>
          <w:sz w:val="24"/>
          <w:szCs w:val="24"/>
          <w:lang w:val="es-ES"/>
        </w:rPr>
        <w:t>e</w:t>
      </w:r>
      <w:r w:rsidRPr="0048256B">
        <w:rPr>
          <w:rFonts w:ascii="Bookman Old Style" w:hAnsi="Bookman Old Style"/>
          <w:sz w:val="24"/>
          <w:szCs w:val="24"/>
          <w:lang w:val="es-ES"/>
        </w:rPr>
        <w:t xml:space="preserve"> modo, no existen razón para analizar </w:t>
      </w:r>
      <w:r w:rsidR="216D44A7" w:rsidRPr="0048256B">
        <w:rPr>
          <w:rFonts w:ascii="Bookman Old Style" w:hAnsi="Bookman Old Style"/>
          <w:sz w:val="24"/>
          <w:szCs w:val="24"/>
          <w:lang w:val="es-ES"/>
        </w:rPr>
        <w:t>la procedencia o no del servicio de transporte en este caso, pues no se arrimaron pruebas de que el accionante t</w:t>
      </w:r>
      <w:r w:rsidR="1DC91281" w:rsidRPr="0048256B">
        <w:rPr>
          <w:rFonts w:ascii="Bookman Old Style" w:hAnsi="Bookman Old Style"/>
          <w:sz w:val="24"/>
          <w:szCs w:val="24"/>
          <w:lang w:val="es-ES"/>
        </w:rPr>
        <w:t>enga</w:t>
      </w:r>
      <w:r w:rsidR="216D44A7" w:rsidRPr="0048256B">
        <w:rPr>
          <w:rFonts w:ascii="Bookman Old Style" w:hAnsi="Bookman Old Style"/>
          <w:sz w:val="24"/>
          <w:szCs w:val="24"/>
          <w:lang w:val="es-ES"/>
        </w:rPr>
        <w:t xml:space="preserve"> otr</w:t>
      </w:r>
      <w:r w:rsidR="2EEA9DB5" w:rsidRPr="0048256B">
        <w:rPr>
          <w:rFonts w:ascii="Bookman Old Style" w:hAnsi="Bookman Old Style"/>
          <w:sz w:val="24"/>
          <w:szCs w:val="24"/>
          <w:lang w:val="es-ES"/>
        </w:rPr>
        <w:t>a</w:t>
      </w:r>
      <w:r w:rsidR="216D44A7" w:rsidRPr="0048256B">
        <w:rPr>
          <w:rFonts w:ascii="Bookman Old Style" w:hAnsi="Bookman Old Style"/>
          <w:sz w:val="24"/>
          <w:szCs w:val="24"/>
          <w:lang w:val="es-ES"/>
        </w:rPr>
        <w:t>s citas o procedimientos programados</w:t>
      </w:r>
      <w:r w:rsidR="6A54D224" w:rsidRPr="0048256B">
        <w:rPr>
          <w:rFonts w:ascii="Bookman Old Style" w:hAnsi="Bookman Old Style"/>
          <w:sz w:val="24"/>
          <w:szCs w:val="24"/>
          <w:lang w:val="es-ES"/>
        </w:rPr>
        <w:t xml:space="preserve"> y autorizados</w:t>
      </w:r>
      <w:r w:rsidR="216D44A7" w:rsidRPr="0048256B">
        <w:rPr>
          <w:rFonts w:ascii="Bookman Old Style" w:hAnsi="Bookman Old Style"/>
          <w:sz w:val="24"/>
          <w:szCs w:val="24"/>
          <w:lang w:val="es-ES"/>
        </w:rPr>
        <w:t xml:space="preserve"> para la ciudad de Bogotá y la acción de tutela</w:t>
      </w:r>
      <w:r w:rsidR="5A67BE2F" w:rsidRPr="0048256B">
        <w:rPr>
          <w:rFonts w:ascii="Bookman Old Style" w:hAnsi="Bookman Old Style"/>
          <w:sz w:val="24"/>
          <w:szCs w:val="24"/>
          <w:lang w:val="es-ES"/>
        </w:rPr>
        <w:t xml:space="preserve"> resulta</w:t>
      </w:r>
      <w:r w:rsidR="216D44A7" w:rsidRPr="0048256B">
        <w:rPr>
          <w:rFonts w:ascii="Bookman Old Style" w:hAnsi="Bookman Old Style"/>
          <w:sz w:val="24"/>
          <w:szCs w:val="24"/>
          <w:lang w:val="es-ES"/>
        </w:rPr>
        <w:t xml:space="preserve"> improce</w:t>
      </w:r>
      <w:r w:rsidR="496EC601" w:rsidRPr="0048256B">
        <w:rPr>
          <w:rFonts w:ascii="Bookman Old Style" w:hAnsi="Bookman Old Style"/>
          <w:sz w:val="24"/>
          <w:szCs w:val="24"/>
          <w:lang w:val="es-ES"/>
        </w:rPr>
        <w:t>dente para resolver</w:t>
      </w:r>
      <w:r w:rsidR="3369F2EA" w:rsidRPr="0048256B">
        <w:rPr>
          <w:rFonts w:ascii="Bookman Old Style" w:hAnsi="Bookman Old Style"/>
          <w:sz w:val="24"/>
          <w:szCs w:val="24"/>
          <w:lang w:val="es-ES"/>
        </w:rPr>
        <w:t xml:space="preserve"> discusiones</w:t>
      </w:r>
      <w:r w:rsidR="496EC601" w:rsidRPr="0048256B">
        <w:rPr>
          <w:rFonts w:ascii="Bookman Old Style" w:hAnsi="Bookman Old Style"/>
          <w:sz w:val="24"/>
          <w:szCs w:val="24"/>
          <w:lang w:val="es-ES"/>
        </w:rPr>
        <w:t xml:space="preserve"> sobre hechos futuros.</w:t>
      </w:r>
      <w:r w:rsidR="14246C62" w:rsidRPr="0048256B">
        <w:rPr>
          <w:rFonts w:ascii="Bookman Old Style" w:hAnsi="Bookman Old Style"/>
          <w:sz w:val="24"/>
          <w:szCs w:val="24"/>
          <w:lang w:val="es-ES"/>
        </w:rPr>
        <w:t xml:space="preserve"> Lo que corresponde es que el accionante, si lo considera necesario, efectúe el recobro de los gastos en que incurrió </w:t>
      </w:r>
      <w:r w:rsidR="1D862277" w:rsidRPr="0048256B">
        <w:rPr>
          <w:rFonts w:ascii="Bookman Old Style" w:hAnsi="Bookman Old Style"/>
          <w:sz w:val="24"/>
          <w:szCs w:val="24"/>
          <w:lang w:val="es-ES"/>
        </w:rPr>
        <w:t>ante las entidades correspondientes.</w:t>
      </w:r>
    </w:p>
    <w:p w14:paraId="54BC21C9" w14:textId="0BB078BC" w:rsidR="620FE415" w:rsidRPr="0048256B" w:rsidRDefault="620FE415" w:rsidP="0048256B">
      <w:pPr>
        <w:shd w:val="clear" w:color="auto" w:fill="FFFFFF" w:themeFill="background1"/>
        <w:spacing w:after="0" w:line="276" w:lineRule="auto"/>
        <w:ind w:firstLine="426"/>
        <w:contextualSpacing/>
        <w:jc w:val="both"/>
        <w:rPr>
          <w:rFonts w:ascii="Bookman Old Style" w:hAnsi="Bookman Old Style"/>
          <w:sz w:val="24"/>
          <w:szCs w:val="24"/>
          <w:lang w:val="es-ES"/>
        </w:rPr>
      </w:pPr>
    </w:p>
    <w:p w14:paraId="689612D7" w14:textId="2DA3D8B5" w:rsidR="264630AC" w:rsidRPr="0048256B" w:rsidRDefault="264630AC" w:rsidP="0048256B">
      <w:pPr>
        <w:shd w:val="clear" w:color="auto" w:fill="FFFFFF" w:themeFill="background1"/>
        <w:spacing w:after="0" w:line="276" w:lineRule="auto"/>
        <w:ind w:firstLine="426"/>
        <w:contextualSpacing/>
        <w:jc w:val="both"/>
        <w:rPr>
          <w:rFonts w:ascii="Bookman Old Style" w:hAnsi="Bookman Old Style"/>
          <w:sz w:val="24"/>
          <w:szCs w:val="24"/>
          <w:lang w:val="es-ES"/>
        </w:rPr>
      </w:pPr>
      <w:r w:rsidRPr="0048256B">
        <w:rPr>
          <w:rFonts w:ascii="Bookman Old Style" w:hAnsi="Bookman Old Style"/>
          <w:sz w:val="24"/>
          <w:szCs w:val="24"/>
          <w:lang w:val="es-ES"/>
        </w:rPr>
        <w:t>En virtud de lo anterior, se confirmará la improcedencia de la acción de tutela, pero por la carencia actual de objeto por hecho superado.</w:t>
      </w:r>
    </w:p>
    <w:p w14:paraId="27A757F7" w14:textId="75AC1814" w:rsidR="620FE415" w:rsidRPr="0048256B" w:rsidRDefault="620FE415" w:rsidP="0048256B">
      <w:pPr>
        <w:shd w:val="clear" w:color="auto" w:fill="FFFFFF" w:themeFill="background1"/>
        <w:spacing w:after="0" w:line="276" w:lineRule="auto"/>
        <w:ind w:firstLine="426"/>
        <w:contextualSpacing/>
        <w:jc w:val="both"/>
        <w:rPr>
          <w:rFonts w:ascii="Bookman Old Style" w:hAnsi="Bookman Old Style"/>
          <w:sz w:val="24"/>
          <w:szCs w:val="24"/>
          <w:lang w:val="es-ES"/>
        </w:rPr>
      </w:pPr>
    </w:p>
    <w:p w14:paraId="739B01A7" w14:textId="3298F065" w:rsidR="00D3723E" w:rsidRPr="0048256B" w:rsidRDefault="003221E0"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sz w:val="24"/>
          <w:szCs w:val="24"/>
        </w:rPr>
        <w:t xml:space="preserve">En mérito de lo expuesto, </w:t>
      </w:r>
      <w:r w:rsidR="00D3723E" w:rsidRPr="0048256B">
        <w:rPr>
          <w:rFonts w:ascii="Bookman Old Style" w:hAnsi="Bookman Old Style" w:cs="Times New Roman"/>
          <w:sz w:val="24"/>
          <w:szCs w:val="24"/>
        </w:rPr>
        <w:t xml:space="preserve">la </w:t>
      </w:r>
      <w:r w:rsidR="00D3723E" w:rsidRPr="0048256B">
        <w:rPr>
          <w:rFonts w:ascii="Bookman Old Style" w:hAnsi="Bookman Old Style" w:cs="Times New Roman"/>
          <w:b/>
          <w:sz w:val="24"/>
          <w:szCs w:val="24"/>
        </w:rPr>
        <w:t>Sala de Decisión Laboral del Tribunal Superior del Distrito Judicial de Pereira</w:t>
      </w:r>
      <w:r w:rsidR="00D3723E" w:rsidRPr="0048256B">
        <w:rPr>
          <w:rFonts w:ascii="Bookman Old Style" w:hAnsi="Bookman Old Style" w:cs="Times New Roman"/>
          <w:sz w:val="24"/>
          <w:szCs w:val="24"/>
        </w:rPr>
        <w:t>, administrando justicia en nombre de la República y por autoridad de la ley</w:t>
      </w:r>
      <w:r w:rsidRPr="0048256B">
        <w:rPr>
          <w:rFonts w:ascii="Bookman Old Style" w:hAnsi="Bookman Old Style" w:cs="Times New Roman"/>
          <w:sz w:val="24"/>
          <w:szCs w:val="24"/>
        </w:rPr>
        <w:t>,</w:t>
      </w:r>
    </w:p>
    <w:p w14:paraId="1C9B655F" w14:textId="77777777" w:rsidR="00D3723E" w:rsidRPr="0048256B" w:rsidRDefault="00D3723E" w:rsidP="0048256B">
      <w:pPr>
        <w:spacing w:after="0" w:line="276" w:lineRule="auto"/>
        <w:ind w:firstLine="426"/>
        <w:jc w:val="both"/>
        <w:rPr>
          <w:rFonts w:ascii="Bookman Old Style" w:hAnsi="Bookman Old Style" w:cs="Times New Roman"/>
          <w:sz w:val="24"/>
          <w:szCs w:val="24"/>
        </w:rPr>
      </w:pPr>
    </w:p>
    <w:p w14:paraId="108CB12D" w14:textId="77777777" w:rsidR="00D3723E" w:rsidRPr="0048256B" w:rsidRDefault="00D3723E" w:rsidP="0048256B">
      <w:pPr>
        <w:spacing w:after="0" w:line="276" w:lineRule="auto"/>
        <w:jc w:val="center"/>
        <w:rPr>
          <w:rFonts w:ascii="Bookman Old Style" w:hAnsi="Bookman Old Style" w:cs="Times New Roman"/>
          <w:b/>
          <w:bCs/>
          <w:sz w:val="24"/>
          <w:szCs w:val="24"/>
        </w:rPr>
      </w:pPr>
      <w:r w:rsidRPr="0048256B">
        <w:rPr>
          <w:rFonts w:ascii="Bookman Old Style" w:hAnsi="Bookman Old Style" w:cs="Times New Roman"/>
          <w:b/>
          <w:bCs/>
          <w:sz w:val="24"/>
          <w:szCs w:val="24"/>
        </w:rPr>
        <w:t>RESUELVE</w:t>
      </w:r>
    </w:p>
    <w:p w14:paraId="0075BFA7" w14:textId="77777777" w:rsidR="00D3723E" w:rsidRPr="0048256B" w:rsidRDefault="00D3723E" w:rsidP="0048256B">
      <w:pPr>
        <w:spacing w:after="0" w:line="276" w:lineRule="auto"/>
        <w:ind w:firstLine="426"/>
        <w:jc w:val="both"/>
        <w:rPr>
          <w:rFonts w:ascii="Bookman Old Style" w:hAnsi="Bookman Old Style" w:cs="Times New Roman"/>
          <w:sz w:val="24"/>
          <w:szCs w:val="24"/>
        </w:rPr>
      </w:pPr>
    </w:p>
    <w:p w14:paraId="371735D1" w14:textId="3F7D1E8F" w:rsidR="0079319B" w:rsidRPr="0048256B" w:rsidRDefault="00D3723E"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b/>
          <w:bCs/>
          <w:sz w:val="24"/>
          <w:szCs w:val="24"/>
        </w:rPr>
        <w:t>PRIMERO</w:t>
      </w:r>
      <w:r w:rsidRPr="0048256B">
        <w:rPr>
          <w:rFonts w:ascii="Bookman Old Style" w:hAnsi="Bookman Old Style" w:cs="Times New Roman"/>
          <w:sz w:val="24"/>
          <w:szCs w:val="24"/>
        </w:rPr>
        <w:t xml:space="preserve">: </w:t>
      </w:r>
      <w:r w:rsidR="16F4D600" w:rsidRPr="0048256B">
        <w:rPr>
          <w:rFonts w:ascii="Bookman Old Style" w:hAnsi="Bookman Old Style" w:cs="Times New Roman"/>
          <w:b/>
          <w:bCs/>
          <w:sz w:val="24"/>
          <w:szCs w:val="24"/>
        </w:rPr>
        <w:t>CONFIRMAR</w:t>
      </w:r>
      <w:r w:rsidR="0079319B" w:rsidRPr="0048256B">
        <w:rPr>
          <w:rFonts w:ascii="Bookman Old Style" w:hAnsi="Bookman Old Style" w:cs="Times New Roman"/>
          <w:b/>
          <w:bCs/>
          <w:sz w:val="24"/>
          <w:szCs w:val="24"/>
        </w:rPr>
        <w:t xml:space="preserve"> </w:t>
      </w:r>
      <w:r w:rsidR="0079319B" w:rsidRPr="0048256B">
        <w:rPr>
          <w:rFonts w:ascii="Bookman Old Style" w:hAnsi="Bookman Old Style" w:cs="Times New Roman"/>
          <w:sz w:val="24"/>
          <w:szCs w:val="24"/>
        </w:rPr>
        <w:t xml:space="preserve">la sentencia proferida por el </w:t>
      </w:r>
      <w:r w:rsidR="00B8550A" w:rsidRPr="0048256B">
        <w:rPr>
          <w:rFonts w:ascii="Bookman Old Style" w:hAnsi="Bookman Old Style" w:cs="Times New Roman"/>
          <w:sz w:val="24"/>
          <w:szCs w:val="24"/>
        </w:rPr>
        <w:t>Juzgado Laboral del Circuito de Dosquebradas</w:t>
      </w:r>
      <w:r w:rsidR="0079319B" w:rsidRPr="0048256B">
        <w:rPr>
          <w:rFonts w:ascii="Bookman Old Style" w:hAnsi="Bookman Old Style" w:cs="Times New Roman"/>
          <w:sz w:val="24"/>
          <w:szCs w:val="24"/>
        </w:rPr>
        <w:t>, Risaralda</w:t>
      </w:r>
      <w:r w:rsidR="4E63A3E7" w:rsidRPr="0048256B">
        <w:rPr>
          <w:rFonts w:ascii="Bookman Old Style" w:hAnsi="Bookman Old Style" w:cs="Times New Roman"/>
          <w:sz w:val="24"/>
          <w:szCs w:val="24"/>
        </w:rPr>
        <w:t>, pero por carencia actual de objeto por hecho superado.</w:t>
      </w:r>
    </w:p>
    <w:p w14:paraId="197093A7" w14:textId="0EDD2412" w:rsidR="00A74F34" w:rsidRPr="0048256B" w:rsidRDefault="00A74F34" w:rsidP="0048256B">
      <w:pPr>
        <w:spacing w:after="0" w:line="276" w:lineRule="auto"/>
        <w:ind w:firstLine="426"/>
        <w:jc w:val="both"/>
        <w:rPr>
          <w:rFonts w:ascii="Bookman Old Style" w:hAnsi="Bookman Old Style" w:cs="Times New Roman"/>
          <w:sz w:val="24"/>
          <w:szCs w:val="24"/>
        </w:rPr>
      </w:pPr>
    </w:p>
    <w:p w14:paraId="4139E648" w14:textId="4C20B1CE" w:rsidR="00D75338" w:rsidRPr="0048256B" w:rsidRDefault="00A74F34" w:rsidP="0048256B">
      <w:pPr>
        <w:spacing w:after="0" w:line="276" w:lineRule="auto"/>
        <w:ind w:firstLine="426"/>
        <w:jc w:val="both"/>
        <w:rPr>
          <w:rFonts w:ascii="Bookman Old Style" w:hAnsi="Bookman Old Style" w:cs="Times New Roman"/>
          <w:sz w:val="24"/>
          <w:szCs w:val="24"/>
        </w:rPr>
      </w:pPr>
      <w:r w:rsidRPr="0048256B">
        <w:rPr>
          <w:rFonts w:ascii="Bookman Old Style" w:hAnsi="Bookman Old Style" w:cs="Times New Roman"/>
          <w:b/>
          <w:bCs/>
          <w:sz w:val="24"/>
          <w:szCs w:val="24"/>
        </w:rPr>
        <w:t xml:space="preserve">SEGUNDO: </w:t>
      </w:r>
      <w:r w:rsidR="00A163B8" w:rsidRPr="0048256B">
        <w:rPr>
          <w:rFonts w:ascii="Bookman Old Style" w:hAnsi="Bookman Old Style" w:cs="Times New Roman"/>
          <w:b/>
          <w:bCs/>
          <w:sz w:val="24"/>
          <w:szCs w:val="24"/>
        </w:rPr>
        <w:t xml:space="preserve">NOTIFÍQUESE </w:t>
      </w:r>
      <w:r w:rsidR="00A163B8" w:rsidRPr="0048256B">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48256B" w:rsidRDefault="00EE763C" w:rsidP="0048256B">
      <w:pPr>
        <w:spacing w:after="0" w:line="276" w:lineRule="auto"/>
        <w:ind w:firstLine="426"/>
        <w:jc w:val="both"/>
        <w:rPr>
          <w:rFonts w:ascii="Bookman Old Style" w:hAnsi="Bookman Old Style" w:cs="Times New Roman"/>
          <w:b/>
          <w:bCs/>
          <w:sz w:val="24"/>
          <w:szCs w:val="24"/>
        </w:rPr>
      </w:pPr>
    </w:p>
    <w:p w14:paraId="1BA800F2" w14:textId="349D8494" w:rsidR="003221E0" w:rsidRPr="0048256B" w:rsidRDefault="4412E7FE" w:rsidP="0048256B">
      <w:pPr>
        <w:spacing w:after="0" w:line="276" w:lineRule="auto"/>
        <w:ind w:firstLine="426"/>
        <w:jc w:val="both"/>
        <w:rPr>
          <w:rFonts w:ascii="Bookman Old Style" w:hAnsi="Bookman Old Style" w:cs="Times New Roman"/>
          <w:b/>
          <w:bCs/>
          <w:sz w:val="24"/>
          <w:szCs w:val="24"/>
        </w:rPr>
      </w:pPr>
      <w:r w:rsidRPr="0048256B">
        <w:rPr>
          <w:rFonts w:ascii="Bookman Old Style" w:hAnsi="Bookman Old Style" w:cs="Times New Roman"/>
          <w:b/>
          <w:bCs/>
          <w:sz w:val="24"/>
          <w:szCs w:val="24"/>
        </w:rPr>
        <w:t>TERCERO</w:t>
      </w:r>
      <w:r w:rsidR="00EE763C" w:rsidRPr="0048256B">
        <w:rPr>
          <w:rFonts w:ascii="Bookman Old Style" w:hAnsi="Bookman Old Style" w:cs="Times New Roman"/>
          <w:b/>
          <w:bCs/>
          <w:sz w:val="24"/>
          <w:szCs w:val="24"/>
        </w:rPr>
        <w:t xml:space="preserve">: </w:t>
      </w:r>
      <w:r w:rsidR="003221E0" w:rsidRPr="0048256B">
        <w:rPr>
          <w:rFonts w:ascii="Bookman Old Style" w:hAnsi="Bookman Old Style" w:cs="Times New Roman"/>
          <w:b/>
          <w:bCs/>
          <w:sz w:val="24"/>
          <w:szCs w:val="24"/>
        </w:rPr>
        <w:t xml:space="preserve">DENTRO </w:t>
      </w:r>
      <w:r w:rsidR="003221E0" w:rsidRPr="0048256B">
        <w:rPr>
          <w:rFonts w:ascii="Bookman Old Style" w:hAnsi="Bookman Old Style" w:cs="Times New Roman"/>
          <w:sz w:val="24"/>
          <w:szCs w:val="24"/>
        </w:rPr>
        <w:t xml:space="preserve">de los diez (10) días siguientes a la ejecutoria del presente fallo, </w:t>
      </w:r>
      <w:r w:rsidR="003221E0" w:rsidRPr="0048256B">
        <w:rPr>
          <w:rFonts w:ascii="Bookman Old Style" w:hAnsi="Bookman Old Style" w:cs="Times New Roman"/>
          <w:b/>
          <w:bCs/>
          <w:sz w:val="24"/>
          <w:szCs w:val="24"/>
        </w:rPr>
        <w:t xml:space="preserve">REMÍTASE </w:t>
      </w:r>
      <w:r w:rsidR="003221E0" w:rsidRPr="0048256B">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48256B">
        <w:rPr>
          <w:rFonts w:ascii="Bookman Old Style" w:hAnsi="Bookman Old Style" w:cs="Times New Roman"/>
          <w:b/>
          <w:bCs/>
          <w:sz w:val="24"/>
          <w:szCs w:val="24"/>
        </w:rPr>
        <w:t xml:space="preserve">REVISIÓN. </w:t>
      </w:r>
    </w:p>
    <w:p w14:paraId="172EB603"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76094324" w14:textId="77777777" w:rsidR="0048256B" w:rsidRPr="0048256B" w:rsidRDefault="0048256B" w:rsidP="0048256B">
      <w:pPr>
        <w:tabs>
          <w:tab w:val="left" w:pos="9067"/>
        </w:tabs>
        <w:spacing w:after="0" w:line="276" w:lineRule="auto"/>
        <w:ind w:firstLine="709"/>
        <w:jc w:val="center"/>
        <w:rPr>
          <w:rFonts w:ascii="Bookman Old Style" w:eastAsia="Century Gothic" w:hAnsi="Bookman Old Style" w:cs="Times New Roman"/>
          <w:b/>
          <w:bCs/>
          <w:sz w:val="24"/>
          <w:szCs w:val="24"/>
        </w:rPr>
      </w:pPr>
      <w:r w:rsidRPr="0048256B">
        <w:rPr>
          <w:rFonts w:ascii="Bookman Old Style" w:eastAsia="Century Gothic" w:hAnsi="Bookman Old Style" w:cs="Times New Roman"/>
          <w:b/>
          <w:bCs/>
          <w:sz w:val="24"/>
          <w:szCs w:val="24"/>
        </w:rPr>
        <w:t>NOTIFÍQUESE Y CÚMPLASE</w:t>
      </w:r>
    </w:p>
    <w:p w14:paraId="5C61A2CE"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28AF93E0"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r w:rsidRPr="0048256B">
        <w:rPr>
          <w:rFonts w:ascii="Bookman Old Style" w:eastAsia="Century Gothic" w:hAnsi="Bookman Old Style" w:cs="Times New Roman"/>
          <w:sz w:val="24"/>
          <w:szCs w:val="24"/>
        </w:rPr>
        <w:t>Quienes integran la Sala,</w:t>
      </w:r>
    </w:p>
    <w:p w14:paraId="72C8C673"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1B720DF6"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018E444D" w14:textId="77777777" w:rsidR="0048256B" w:rsidRPr="0048256B" w:rsidRDefault="0048256B" w:rsidP="0048256B">
      <w:pPr>
        <w:tabs>
          <w:tab w:val="left" w:pos="9067"/>
        </w:tabs>
        <w:spacing w:after="0" w:line="276" w:lineRule="auto"/>
        <w:jc w:val="center"/>
        <w:rPr>
          <w:rFonts w:ascii="Bookman Old Style" w:eastAsia="Century Gothic" w:hAnsi="Bookman Old Style" w:cs="Times New Roman"/>
          <w:b/>
          <w:sz w:val="24"/>
          <w:szCs w:val="24"/>
        </w:rPr>
      </w:pPr>
      <w:r w:rsidRPr="0048256B">
        <w:rPr>
          <w:rFonts w:ascii="Bookman Old Style" w:eastAsia="Century Gothic" w:hAnsi="Bookman Old Style" w:cs="Times New Roman"/>
          <w:b/>
          <w:sz w:val="24"/>
          <w:szCs w:val="24"/>
        </w:rPr>
        <w:t xml:space="preserve">GERMÁN DARÍO </w:t>
      </w:r>
      <w:proofErr w:type="spellStart"/>
      <w:r w:rsidRPr="0048256B">
        <w:rPr>
          <w:rFonts w:ascii="Bookman Old Style" w:eastAsia="Century Gothic" w:hAnsi="Bookman Old Style" w:cs="Times New Roman"/>
          <w:b/>
          <w:sz w:val="24"/>
          <w:szCs w:val="24"/>
        </w:rPr>
        <w:t>GÓEZ</w:t>
      </w:r>
      <w:proofErr w:type="spellEnd"/>
      <w:r w:rsidRPr="0048256B">
        <w:rPr>
          <w:rFonts w:ascii="Bookman Old Style" w:eastAsia="Century Gothic" w:hAnsi="Bookman Old Style" w:cs="Times New Roman"/>
          <w:b/>
          <w:sz w:val="24"/>
          <w:szCs w:val="24"/>
        </w:rPr>
        <w:t xml:space="preserve"> VINASCO</w:t>
      </w:r>
    </w:p>
    <w:p w14:paraId="49DEFEB6" w14:textId="77777777" w:rsidR="0048256B" w:rsidRPr="0048256B" w:rsidRDefault="0048256B" w:rsidP="0048256B">
      <w:pPr>
        <w:tabs>
          <w:tab w:val="left" w:pos="9067"/>
        </w:tabs>
        <w:spacing w:after="0" w:line="276" w:lineRule="auto"/>
        <w:jc w:val="center"/>
        <w:rPr>
          <w:rFonts w:ascii="Bookman Old Style" w:eastAsia="Century Gothic" w:hAnsi="Bookman Old Style" w:cs="Times New Roman"/>
          <w:bCs/>
          <w:sz w:val="24"/>
          <w:szCs w:val="24"/>
        </w:rPr>
      </w:pPr>
      <w:r w:rsidRPr="0048256B">
        <w:rPr>
          <w:rFonts w:ascii="Bookman Old Style" w:eastAsia="Century Gothic" w:hAnsi="Bookman Old Style" w:cs="Times New Roman"/>
          <w:bCs/>
          <w:sz w:val="24"/>
          <w:szCs w:val="24"/>
        </w:rPr>
        <w:t>Magistrado Ponente</w:t>
      </w:r>
    </w:p>
    <w:p w14:paraId="0ADE6390"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109E4948"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236E0AF3" w14:textId="77777777" w:rsidR="0048256B" w:rsidRPr="0048256B" w:rsidRDefault="0048256B" w:rsidP="0048256B">
      <w:pPr>
        <w:tabs>
          <w:tab w:val="left" w:pos="9067"/>
        </w:tabs>
        <w:spacing w:after="0" w:line="276" w:lineRule="auto"/>
        <w:jc w:val="center"/>
        <w:rPr>
          <w:rFonts w:ascii="Bookman Old Style" w:eastAsia="Century Gothic" w:hAnsi="Bookman Old Style" w:cs="Times New Roman"/>
          <w:b/>
          <w:bCs/>
          <w:sz w:val="24"/>
          <w:szCs w:val="24"/>
        </w:rPr>
      </w:pPr>
      <w:r w:rsidRPr="0048256B">
        <w:rPr>
          <w:rFonts w:ascii="Bookman Old Style" w:eastAsia="Century Gothic" w:hAnsi="Bookman Old Style" w:cs="Times New Roman"/>
          <w:b/>
          <w:bCs/>
          <w:sz w:val="24"/>
          <w:szCs w:val="24"/>
        </w:rPr>
        <w:t>OLGA LUCIA HOYOS SEPÚLVEDA</w:t>
      </w:r>
    </w:p>
    <w:p w14:paraId="4FA6E42B" w14:textId="77777777" w:rsidR="0048256B" w:rsidRPr="0048256B" w:rsidRDefault="0048256B" w:rsidP="0048256B">
      <w:pPr>
        <w:tabs>
          <w:tab w:val="left" w:pos="9067"/>
        </w:tabs>
        <w:spacing w:after="0" w:line="276" w:lineRule="auto"/>
        <w:jc w:val="center"/>
        <w:rPr>
          <w:rFonts w:ascii="Bookman Old Style" w:eastAsia="Century Gothic" w:hAnsi="Bookman Old Style" w:cs="Times New Roman"/>
          <w:sz w:val="24"/>
          <w:szCs w:val="24"/>
        </w:rPr>
      </w:pPr>
      <w:r w:rsidRPr="0048256B">
        <w:rPr>
          <w:rFonts w:ascii="Bookman Old Style" w:eastAsia="Century Gothic" w:hAnsi="Bookman Old Style" w:cs="Times New Roman"/>
          <w:sz w:val="24"/>
          <w:szCs w:val="24"/>
        </w:rPr>
        <w:t>Magistrada</w:t>
      </w:r>
    </w:p>
    <w:p w14:paraId="160300DE" w14:textId="77777777" w:rsidR="0048256B" w:rsidRPr="0048256B" w:rsidRDefault="0048256B" w:rsidP="0048256B">
      <w:pPr>
        <w:tabs>
          <w:tab w:val="left" w:pos="9067"/>
        </w:tabs>
        <w:spacing w:after="0" w:line="276" w:lineRule="auto"/>
        <w:jc w:val="center"/>
        <w:rPr>
          <w:rFonts w:ascii="Bookman Old Style" w:eastAsia="Century Gothic" w:hAnsi="Bookman Old Style" w:cs="Times New Roman"/>
          <w:sz w:val="24"/>
          <w:szCs w:val="24"/>
        </w:rPr>
      </w:pPr>
      <w:r w:rsidRPr="0048256B">
        <w:rPr>
          <w:rFonts w:ascii="Bookman Old Style" w:eastAsia="Century Gothic" w:hAnsi="Bookman Old Style" w:cs="Times New Roman"/>
          <w:sz w:val="24"/>
          <w:szCs w:val="24"/>
        </w:rPr>
        <w:t>Ausencia justificada</w:t>
      </w:r>
    </w:p>
    <w:p w14:paraId="508C21EF"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2AFE9F46" w14:textId="77777777" w:rsidR="0048256B" w:rsidRPr="0048256B" w:rsidRDefault="0048256B" w:rsidP="0048256B">
      <w:pPr>
        <w:tabs>
          <w:tab w:val="left" w:pos="9067"/>
        </w:tabs>
        <w:spacing w:after="0" w:line="276" w:lineRule="auto"/>
        <w:jc w:val="both"/>
        <w:rPr>
          <w:rFonts w:ascii="Bookman Old Style" w:eastAsia="Century Gothic" w:hAnsi="Bookman Old Style" w:cs="Times New Roman"/>
          <w:sz w:val="24"/>
          <w:szCs w:val="24"/>
        </w:rPr>
      </w:pPr>
    </w:p>
    <w:p w14:paraId="053104EB" w14:textId="77777777" w:rsidR="0048256B" w:rsidRPr="0048256B" w:rsidRDefault="0048256B" w:rsidP="0048256B">
      <w:pPr>
        <w:tabs>
          <w:tab w:val="left" w:pos="9067"/>
        </w:tabs>
        <w:spacing w:after="0" w:line="276" w:lineRule="auto"/>
        <w:jc w:val="center"/>
        <w:rPr>
          <w:rFonts w:ascii="Bookman Old Style" w:eastAsia="Century Gothic" w:hAnsi="Bookman Old Style" w:cs="Times New Roman"/>
          <w:b/>
          <w:bCs/>
          <w:sz w:val="24"/>
          <w:szCs w:val="24"/>
        </w:rPr>
      </w:pPr>
      <w:r w:rsidRPr="0048256B">
        <w:rPr>
          <w:rFonts w:ascii="Bookman Old Style" w:eastAsia="Century Gothic" w:hAnsi="Bookman Old Style" w:cs="Times New Roman"/>
          <w:b/>
          <w:bCs/>
          <w:sz w:val="24"/>
          <w:szCs w:val="24"/>
        </w:rPr>
        <w:t>JULIO CÉSAR SALAZAR MUÑOZ</w:t>
      </w:r>
    </w:p>
    <w:p w14:paraId="56746531" w14:textId="31F4C3A9" w:rsidR="620FE415" w:rsidRPr="0048256B" w:rsidRDefault="0048256B" w:rsidP="0048256B">
      <w:pPr>
        <w:tabs>
          <w:tab w:val="left" w:pos="9067"/>
        </w:tabs>
        <w:spacing w:after="0" w:line="276" w:lineRule="auto"/>
        <w:jc w:val="center"/>
        <w:rPr>
          <w:rFonts w:ascii="Bookman Old Style" w:eastAsia="Century Gothic" w:hAnsi="Bookman Old Style" w:cs="Times New Roman"/>
          <w:sz w:val="24"/>
          <w:szCs w:val="24"/>
        </w:rPr>
      </w:pPr>
      <w:r w:rsidRPr="0048256B">
        <w:rPr>
          <w:rFonts w:ascii="Bookman Old Style" w:eastAsia="Century Gothic" w:hAnsi="Bookman Old Style" w:cs="Times New Roman"/>
          <w:sz w:val="24"/>
          <w:szCs w:val="24"/>
        </w:rPr>
        <w:t>Magistrado</w:t>
      </w:r>
    </w:p>
    <w:sectPr w:rsidR="620FE415" w:rsidRPr="0048256B" w:rsidSect="00072457">
      <w:headerReference w:type="default" r:id="rId12"/>
      <w:footerReference w:type="default" r:id="rId13"/>
      <w:pgSz w:w="12242" w:h="18722" w:code="258"/>
      <w:pgMar w:top="1814" w:right="1247" w:bottom="1247"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E7504" w14:textId="77777777" w:rsidR="00666D4E" w:rsidRDefault="00666D4E" w:rsidP="00EB3448">
      <w:pPr>
        <w:spacing w:after="0" w:line="240" w:lineRule="auto"/>
      </w:pPr>
      <w:r>
        <w:separator/>
      </w:r>
    </w:p>
  </w:endnote>
  <w:endnote w:type="continuationSeparator" w:id="0">
    <w:p w14:paraId="3FE471A0" w14:textId="77777777" w:rsidR="00666D4E" w:rsidRDefault="00666D4E"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302685"/>
      <w:docPartObj>
        <w:docPartGallery w:val="Page Numbers (Bottom of Page)"/>
        <w:docPartUnique/>
      </w:docPartObj>
    </w:sdtPr>
    <w:sdtEndPr>
      <w:rPr>
        <w:rFonts w:ascii="Arial" w:hAnsi="Arial" w:cs="Arial"/>
        <w:sz w:val="18"/>
        <w:szCs w:val="18"/>
      </w:rPr>
    </w:sdtEndPr>
    <w:sdtContent>
      <w:p w14:paraId="05C9AD66" w14:textId="5206C2EA" w:rsidR="0032637E" w:rsidRPr="00284300" w:rsidRDefault="0032637E">
        <w:pPr>
          <w:pStyle w:val="Piedepgina"/>
          <w:jc w:val="right"/>
          <w:rPr>
            <w:rFonts w:ascii="Arial" w:hAnsi="Arial" w:cs="Arial"/>
            <w:sz w:val="18"/>
            <w:szCs w:val="18"/>
          </w:rPr>
        </w:pPr>
        <w:r w:rsidRPr="00284300">
          <w:rPr>
            <w:rFonts w:ascii="Arial" w:hAnsi="Arial" w:cs="Arial"/>
            <w:sz w:val="18"/>
            <w:szCs w:val="18"/>
          </w:rPr>
          <w:fldChar w:fldCharType="begin"/>
        </w:r>
        <w:r w:rsidRPr="00284300">
          <w:rPr>
            <w:rFonts w:ascii="Arial" w:hAnsi="Arial" w:cs="Arial"/>
            <w:sz w:val="18"/>
            <w:szCs w:val="18"/>
          </w:rPr>
          <w:instrText>PAGE   \* MERGEFORMAT</w:instrText>
        </w:r>
        <w:r w:rsidRPr="00284300">
          <w:rPr>
            <w:rFonts w:ascii="Arial" w:hAnsi="Arial" w:cs="Arial"/>
            <w:sz w:val="18"/>
            <w:szCs w:val="18"/>
          </w:rPr>
          <w:fldChar w:fldCharType="separate"/>
        </w:r>
        <w:r w:rsidR="00D85E2C" w:rsidRPr="00284300">
          <w:rPr>
            <w:rFonts w:ascii="Arial" w:hAnsi="Arial" w:cs="Arial"/>
            <w:noProof/>
            <w:sz w:val="18"/>
            <w:szCs w:val="18"/>
            <w:lang w:val="es-ES"/>
          </w:rPr>
          <w:t>9</w:t>
        </w:r>
        <w:r w:rsidRPr="00284300">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F9F01" w14:textId="77777777" w:rsidR="00666D4E" w:rsidRDefault="00666D4E" w:rsidP="00EB3448">
      <w:pPr>
        <w:spacing w:after="0" w:line="240" w:lineRule="auto"/>
      </w:pPr>
      <w:r>
        <w:separator/>
      </w:r>
    </w:p>
  </w:footnote>
  <w:footnote w:type="continuationSeparator" w:id="0">
    <w:p w14:paraId="3E321639" w14:textId="77777777" w:rsidR="00666D4E" w:rsidRDefault="00666D4E" w:rsidP="00EB3448">
      <w:pPr>
        <w:spacing w:after="0" w:line="240" w:lineRule="auto"/>
      </w:pPr>
      <w:r>
        <w:continuationSeparator/>
      </w:r>
    </w:p>
  </w:footnote>
  <w:footnote w:id="1">
    <w:p w14:paraId="46A833EF" w14:textId="19BA7E2C" w:rsidR="620FE415" w:rsidRPr="00284300" w:rsidRDefault="620FE415" w:rsidP="00284300">
      <w:pPr>
        <w:spacing w:after="0" w:line="240" w:lineRule="auto"/>
        <w:jc w:val="both"/>
        <w:rPr>
          <w:rFonts w:ascii="Arial" w:hAnsi="Arial" w:cs="Arial"/>
          <w:sz w:val="18"/>
          <w:szCs w:val="18"/>
        </w:rPr>
      </w:pPr>
      <w:r w:rsidRPr="00284300">
        <w:rPr>
          <w:rFonts w:ascii="Arial" w:hAnsi="Arial" w:cs="Arial"/>
          <w:sz w:val="18"/>
          <w:szCs w:val="18"/>
        </w:rPr>
        <w:footnoteRef/>
      </w:r>
      <w:r w:rsidRPr="00284300">
        <w:rPr>
          <w:rFonts w:ascii="Arial" w:hAnsi="Arial" w:cs="Arial"/>
          <w:sz w:val="18"/>
          <w:szCs w:val="18"/>
        </w:rPr>
        <w:t xml:space="preserve"> “</w:t>
      </w:r>
      <w:r w:rsidRPr="00284300">
        <w:rPr>
          <w:rFonts w:ascii="Arial" w:hAnsi="Arial" w:cs="Arial"/>
          <w:b/>
          <w:bCs/>
          <w:sz w:val="18"/>
          <w:szCs w:val="18"/>
        </w:rPr>
        <w:t xml:space="preserve">(i) </w:t>
      </w:r>
      <w:r w:rsidRPr="00284300">
        <w:rPr>
          <w:rFonts w:ascii="Arial" w:hAnsi="Arial" w:cs="Arial"/>
          <w:sz w:val="18"/>
          <w:szCs w:val="18"/>
        </w:rPr>
        <w:t xml:space="preserve">que el procedimiento o tratamiento se considere indispensable para garantizar los derechos a la salud y a la vida de la persona; </w:t>
      </w:r>
      <w:r w:rsidRPr="00284300">
        <w:rPr>
          <w:rFonts w:ascii="Arial" w:hAnsi="Arial" w:cs="Arial"/>
          <w:b/>
          <w:bCs/>
          <w:sz w:val="18"/>
          <w:szCs w:val="18"/>
        </w:rPr>
        <w:t>(</w:t>
      </w:r>
      <w:proofErr w:type="spellStart"/>
      <w:r w:rsidRPr="00284300">
        <w:rPr>
          <w:rFonts w:ascii="Arial" w:hAnsi="Arial" w:cs="Arial"/>
          <w:b/>
          <w:bCs/>
          <w:sz w:val="18"/>
          <w:szCs w:val="18"/>
        </w:rPr>
        <w:t>ii</w:t>
      </w:r>
      <w:proofErr w:type="spellEnd"/>
      <w:r w:rsidRPr="00284300">
        <w:rPr>
          <w:rFonts w:ascii="Arial" w:hAnsi="Arial" w:cs="Arial"/>
          <w:b/>
          <w:bCs/>
          <w:sz w:val="18"/>
          <w:szCs w:val="18"/>
        </w:rPr>
        <w:t>)</w:t>
      </w:r>
      <w:r w:rsidRPr="00284300">
        <w:rPr>
          <w:rFonts w:ascii="Arial" w:hAnsi="Arial" w:cs="Arial"/>
          <w:sz w:val="18"/>
          <w:szCs w:val="18"/>
        </w:rPr>
        <w:t xml:space="preserve"> que ni el paciente ni sus familiares cercanos tengan los recursos económicos suficientes para pagar el valor del traslado; y </w:t>
      </w:r>
      <w:r w:rsidRPr="00284300">
        <w:rPr>
          <w:rFonts w:ascii="Arial" w:hAnsi="Arial" w:cs="Arial"/>
          <w:b/>
          <w:bCs/>
          <w:sz w:val="18"/>
          <w:szCs w:val="18"/>
        </w:rPr>
        <w:t>(</w:t>
      </w:r>
      <w:proofErr w:type="spellStart"/>
      <w:r w:rsidRPr="00284300">
        <w:rPr>
          <w:rFonts w:ascii="Arial" w:hAnsi="Arial" w:cs="Arial"/>
          <w:b/>
          <w:bCs/>
          <w:sz w:val="18"/>
          <w:szCs w:val="18"/>
        </w:rPr>
        <w:t>iii</w:t>
      </w:r>
      <w:proofErr w:type="spellEnd"/>
      <w:r w:rsidRPr="00284300">
        <w:rPr>
          <w:rFonts w:ascii="Arial" w:hAnsi="Arial" w:cs="Arial"/>
          <w:b/>
          <w:bCs/>
          <w:sz w:val="18"/>
          <w:szCs w:val="18"/>
        </w:rPr>
        <w:t>)</w:t>
      </w:r>
      <w:r w:rsidRPr="00284300">
        <w:rPr>
          <w:rFonts w:ascii="Arial" w:hAnsi="Arial" w:cs="Arial"/>
          <w:sz w:val="18"/>
          <w:szCs w:val="18"/>
        </w:rPr>
        <w:t xml:space="preserve"> que de no efectuarse la remisión se ponga en riesgo la vida, la integridad física o el estado de salud del usuario”. A lo anterior se ha añadido que: </w:t>
      </w:r>
      <w:r w:rsidRPr="00284300">
        <w:rPr>
          <w:rFonts w:ascii="Arial" w:hAnsi="Arial" w:cs="Arial"/>
          <w:b/>
          <w:bCs/>
          <w:sz w:val="18"/>
          <w:szCs w:val="18"/>
        </w:rPr>
        <w:t>(</w:t>
      </w:r>
      <w:proofErr w:type="spellStart"/>
      <w:r w:rsidRPr="00284300">
        <w:rPr>
          <w:rFonts w:ascii="Arial" w:hAnsi="Arial" w:cs="Arial"/>
          <w:b/>
          <w:bCs/>
          <w:sz w:val="18"/>
          <w:szCs w:val="18"/>
        </w:rPr>
        <w:t>iv</w:t>
      </w:r>
      <w:proofErr w:type="spellEnd"/>
      <w:r w:rsidRPr="00284300">
        <w:rPr>
          <w:rFonts w:ascii="Arial" w:hAnsi="Arial" w:cs="Arial"/>
          <w:b/>
          <w:bCs/>
          <w:sz w:val="18"/>
          <w:szCs w:val="18"/>
        </w:rPr>
        <w:t>)</w:t>
      </w:r>
      <w:r w:rsidRPr="00284300">
        <w:rPr>
          <w:rFonts w:ascii="Arial" w:hAnsi="Arial" w:cs="Arial"/>
          <w:sz w:val="18"/>
          <w:szCs w:val="18"/>
        </w:rPr>
        <w:t xml:space="preserve"> si la atención médica en el lugar de remisión exigiere más de un día de duración, se cubrirán los gastos de alojamiento y manutención.” Sentencia T-228-2020</w:t>
      </w:r>
      <w:r w:rsidR="003B4FD2" w:rsidRPr="00284300">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0AA4A" w14:textId="77777777" w:rsidR="001169DB" w:rsidRPr="00284300" w:rsidRDefault="001169DB" w:rsidP="0000157C">
    <w:pPr>
      <w:spacing w:after="0" w:line="240" w:lineRule="auto"/>
      <w:rPr>
        <w:rFonts w:ascii="Arial" w:hAnsi="Arial" w:cs="Arial"/>
        <w:bCs/>
        <w:sz w:val="18"/>
        <w:szCs w:val="18"/>
      </w:rPr>
    </w:pPr>
    <w:r w:rsidRPr="00284300">
      <w:rPr>
        <w:rFonts w:ascii="Arial" w:hAnsi="Arial" w:cs="Arial"/>
        <w:bCs/>
        <w:sz w:val="18"/>
        <w:szCs w:val="18"/>
      </w:rPr>
      <w:t>66170310500120240024201</w:t>
    </w:r>
  </w:p>
  <w:p w14:paraId="514A0BC9" w14:textId="6CC55C27" w:rsidR="0032637E" w:rsidRPr="00284300" w:rsidRDefault="00284300" w:rsidP="00284300">
    <w:pPr>
      <w:spacing w:after="0" w:line="240" w:lineRule="auto"/>
      <w:rPr>
        <w:rFonts w:ascii="Arial" w:hAnsi="Arial" w:cs="Arial"/>
        <w:bCs/>
        <w:sz w:val="18"/>
        <w:szCs w:val="18"/>
      </w:rPr>
    </w:pPr>
    <w:r w:rsidRPr="00284300">
      <w:rPr>
        <w:rFonts w:ascii="Arial" w:hAnsi="Arial" w:cs="Arial"/>
        <w:bCs/>
        <w:sz w:val="18"/>
        <w:szCs w:val="18"/>
      </w:rPr>
      <w:t xml:space="preserve">Bilmar Alexander Marulanda Penagos Vs Dirección de Sanidad Militar </w:t>
    </w:r>
    <w:r w:rsidR="001169DB" w:rsidRPr="00284300">
      <w:rPr>
        <w:rFonts w:ascii="Arial" w:hAnsi="Arial" w:cs="Arial"/>
        <w:bCs/>
        <w:sz w:val="18"/>
        <w:szCs w:val="18"/>
      </w:rPr>
      <w:t>y otros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0"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77112631"/>
    <w:multiLevelType w:val="hybridMultilevel"/>
    <w:tmpl w:val="41F0ED1C"/>
    <w:lvl w:ilvl="0" w:tplc="9490C968">
      <w:start w:val="1"/>
      <w:numFmt w:val="decimal"/>
      <w:lvlText w:val="%1."/>
      <w:lvlJc w:val="left"/>
      <w:pPr>
        <w:ind w:left="786" w:hanging="360"/>
      </w:pPr>
      <w:rPr>
        <w:rFonts w:hint="default"/>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78D300E6"/>
    <w:multiLevelType w:val="hybridMultilevel"/>
    <w:tmpl w:val="6442967A"/>
    <w:lvl w:ilvl="0" w:tplc="EC3EB87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15:restartNumberingAfterBreak="0">
    <w:nsid w:val="7E4E5812"/>
    <w:multiLevelType w:val="hybridMultilevel"/>
    <w:tmpl w:val="D68E811E"/>
    <w:lvl w:ilvl="0" w:tplc="60B8D74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16cid:durableId="670911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083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805202">
    <w:abstractNumId w:val="1"/>
  </w:num>
  <w:num w:numId="4" w16cid:durableId="859467264">
    <w:abstractNumId w:val="10"/>
  </w:num>
  <w:num w:numId="5" w16cid:durableId="520435451">
    <w:abstractNumId w:val="9"/>
  </w:num>
  <w:num w:numId="6" w16cid:durableId="843713193">
    <w:abstractNumId w:val="3"/>
  </w:num>
  <w:num w:numId="7" w16cid:durableId="1835946205">
    <w:abstractNumId w:val="6"/>
  </w:num>
  <w:num w:numId="8" w16cid:durableId="1711878543">
    <w:abstractNumId w:val="8"/>
  </w:num>
  <w:num w:numId="9" w16cid:durableId="1793330353">
    <w:abstractNumId w:val="7"/>
  </w:num>
  <w:num w:numId="10" w16cid:durableId="726878215">
    <w:abstractNumId w:val="0"/>
  </w:num>
  <w:num w:numId="11" w16cid:durableId="1965769617">
    <w:abstractNumId w:val="11"/>
  </w:num>
  <w:num w:numId="12" w16cid:durableId="2016611338">
    <w:abstractNumId w:val="4"/>
  </w:num>
  <w:num w:numId="13" w16cid:durableId="352727168">
    <w:abstractNumId w:val="5"/>
  </w:num>
  <w:num w:numId="14" w16cid:durableId="2023120182">
    <w:abstractNumId w:val="14"/>
  </w:num>
  <w:num w:numId="15" w16cid:durableId="1682779970">
    <w:abstractNumId w:val="12"/>
  </w:num>
  <w:num w:numId="16" w16cid:durableId="2009283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43"/>
    <w:rsid w:val="0000157C"/>
    <w:rsid w:val="00010195"/>
    <w:rsid w:val="00013AAD"/>
    <w:rsid w:val="00022B91"/>
    <w:rsid w:val="0002304E"/>
    <w:rsid w:val="0002433E"/>
    <w:rsid w:val="00025C71"/>
    <w:rsid w:val="000323A1"/>
    <w:rsid w:val="00036AAB"/>
    <w:rsid w:val="00036D82"/>
    <w:rsid w:val="0003728E"/>
    <w:rsid w:val="000400DC"/>
    <w:rsid w:val="0004667D"/>
    <w:rsid w:val="00053B80"/>
    <w:rsid w:val="00060B94"/>
    <w:rsid w:val="00070C1A"/>
    <w:rsid w:val="00072457"/>
    <w:rsid w:val="00072E3F"/>
    <w:rsid w:val="000752FE"/>
    <w:rsid w:val="000761D9"/>
    <w:rsid w:val="00080827"/>
    <w:rsid w:val="00081CB7"/>
    <w:rsid w:val="00083B24"/>
    <w:rsid w:val="000912B5"/>
    <w:rsid w:val="000961FA"/>
    <w:rsid w:val="000A49DD"/>
    <w:rsid w:val="000B0179"/>
    <w:rsid w:val="000B3F95"/>
    <w:rsid w:val="000B51BC"/>
    <w:rsid w:val="000B610A"/>
    <w:rsid w:val="000C3E40"/>
    <w:rsid w:val="000C7366"/>
    <w:rsid w:val="000D3F14"/>
    <w:rsid w:val="000D73CE"/>
    <w:rsid w:val="000E0220"/>
    <w:rsid w:val="000E18A8"/>
    <w:rsid w:val="000E20CF"/>
    <w:rsid w:val="000E3875"/>
    <w:rsid w:val="000F20CD"/>
    <w:rsid w:val="000F6696"/>
    <w:rsid w:val="00100A50"/>
    <w:rsid w:val="00101A2B"/>
    <w:rsid w:val="00103FC4"/>
    <w:rsid w:val="00104461"/>
    <w:rsid w:val="0010763F"/>
    <w:rsid w:val="001123B2"/>
    <w:rsid w:val="00114BF1"/>
    <w:rsid w:val="001169DB"/>
    <w:rsid w:val="00124970"/>
    <w:rsid w:val="00124B70"/>
    <w:rsid w:val="00130678"/>
    <w:rsid w:val="00131220"/>
    <w:rsid w:val="00134985"/>
    <w:rsid w:val="00135B1C"/>
    <w:rsid w:val="001360E5"/>
    <w:rsid w:val="00141378"/>
    <w:rsid w:val="001417C6"/>
    <w:rsid w:val="00142075"/>
    <w:rsid w:val="00143A1C"/>
    <w:rsid w:val="00143EAE"/>
    <w:rsid w:val="00144CC0"/>
    <w:rsid w:val="00150E39"/>
    <w:rsid w:val="0015178B"/>
    <w:rsid w:val="0015348B"/>
    <w:rsid w:val="00160555"/>
    <w:rsid w:val="00162B78"/>
    <w:rsid w:val="001702F3"/>
    <w:rsid w:val="00176ADF"/>
    <w:rsid w:val="00177E43"/>
    <w:rsid w:val="0018201B"/>
    <w:rsid w:val="00186C82"/>
    <w:rsid w:val="00186E31"/>
    <w:rsid w:val="00192D9E"/>
    <w:rsid w:val="001962A3"/>
    <w:rsid w:val="001974B9"/>
    <w:rsid w:val="001B3C08"/>
    <w:rsid w:val="001B400C"/>
    <w:rsid w:val="001C0D86"/>
    <w:rsid w:val="001C5717"/>
    <w:rsid w:val="001D0ACC"/>
    <w:rsid w:val="001D0B8A"/>
    <w:rsid w:val="001D1D48"/>
    <w:rsid w:val="001D1DDD"/>
    <w:rsid w:val="001E0B5D"/>
    <w:rsid w:val="001E1630"/>
    <w:rsid w:val="001E5A49"/>
    <w:rsid w:val="001F0A23"/>
    <w:rsid w:val="001F538A"/>
    <w:rsid w:val="001F599E"/>
    <w:rsid w:val="00202646"/>
    <w:rsid w:val="002041C5"/>
    <w:rsid w:val="00207699"/>
    <w:rsid w:val="00222145"/>
    <w:rsid w:val="00225122"/>
    <w:rsid w:val="00225323"/>
    <w:rsid w:val="00233CDA"/>
    <w:rsid w:val="00241A63"/>
    <w:rsid w:val="002438BF"/>
    <w:rsid w:val="00244A07"/>
    <w:rsid w:val="002506FD"/>
    <w:rsid w:val="00251FDF"/>
    <w:rsid w:val="00252268"/>
    <w:rsid w:val="0026013E"/>
    <w:rsid w:val="00260F59"/>
    <w:rsid w:val="0026251D"/>
    <w:rsid w:val="002629D0"/>
    <w:rsid w:val="00262F0F"/>
    <w:rsid w:val="002655A3"/>
    <w:rsid w:val="00272B7F"/>
    <w:rsid w:val="00272DD1"/>
    <w:rsid w:val="00273CD3"/>
    <w:rsid w:val="00284300"/>
    <w:rsid w:val="002844BB"/>
    <w:rsid w:val="00291969"/>
    <w:rsid w:val="002A07BF"/>
    <w:rsid w:val="002A3D87"/>
    <w:rsid w:val="002A3F53"/>
    <w:rsid w:val="002B4236"/>
    <w:rsid w:val="002C7A6B"/>
    <w:rsid w:val="002D345A"/>
    <w:rsid w:val="002D6C53"/>
    <w:rsid w:val="002D6D0A"/>
    <w:rsid w:val="002D6F14"/>
    <w:rsid w:val="002E2C2B"/>
    <w:rsid w:val="002E36F9"/>
    <w:rsid w:val="002F423B"/>
    <w:rsid w:val="002F55B7"/>
    <w:rsid w:val="002F69A7"/>
    <w:rsid w:val="002F720E"/>
    <w:rsid w:val="00300DFC"/>
    <w:rsid w:val="00302074"/>
    <w:rsid w:val="00310257"/>
    <w:rsid w:val="00312799"/>
    <w:rsid w:val="00312869"/>
    <w:rsid w:val="003165E7"/>
    <w:rsid w:val="003179D1"/>
    <w:rsid w:val="00317B6D"/>
    <w:rsid w:val="003221E0"/>
    <w:rsid w:val="00323B31"/>
    <w:rsid w:val="0032637E"/>
    <w:rsid w:val="00330790"/>
    <w:rsid w:val="00331F41"/>
    <w:rsid w:val="003479D1"/>
    <w:rsid w:val="003523F5"/>
    <w:rsid w:val="003544FA"/>
    <w:rsid w:val="00355060"/>
    <w:rsid w:val="0035637C"/>
    <w:rsid w:val="00356581"/>
    <w:rsid w:val="00372363"/>
    <w:rsid w:val="0037399F"/>
    <w:rsid w:val="003843B9"/>
    <w:rsid w:val="00386B76"/>
    <w:rsid w:val="0039005D"/>
    <w:rsid w:val="00391336"/>
    <w:rsid w:val="0039593F"/>
    <w:rsid w:val="003A0726"/>
    <w:rsid w:val="003B4FD2"/>
    <w:rsid w:val="003BED32"/>
    <w:rsid w:val="003C31AE"/>
    <w:rsid w:val="003D0F1F"/>
    <w:rsid w:val="003D4C1F"/>
    <w:rsid w:val="003D558B"/>
    <w:rsid w:val="003D6D7A"/>
    <w:rsid w:val="003E0571"/>
    <w:rsid w:val="003E1154"/>
    <w:rsid w:val="003E354F"/>
    <w:rsid w:val="003E56B0"/>
    <w:rsid w:val="003E5BA4"/>
    <w:rsid w:val="003E71B8"/>
    <w:rsid w:val="003F3912"/>
    <w:rsid w:val="003F4F32"/>
    <w:rsid w:val="004009A3"/>
    <w:rsid w:val="0040374A"/>
    <w:rsid w:val="004057D7"/>
    <w:rsid w:val="004062A3"/>
    <w:rsid w:val="00407A02"/>
    <w:rsid w:val="00410CB9"/>
    <w:rsid w:val="0042277B"/>
    <w:rsid w:val="00422F36"/>
    <w:rsid w:val="004239CC"/>
    <w:rsid w:val="0043476F"/>
    <w:rsid w:val="00443334"/>
    <w:rsid w:val="00447A13"/>
    <w:rsid w:val="00447D77"/>
    <w:rsid w:val="004534BE"/>
    <w:rsid w:val="0046294A"/>
    <w:rsid w:val="00465970"/>
    <w:rsid w:val="004736E1"/>
    <w:rsid w:val="0048256B"/>
    <w:rsid w:val="00487910"/>
    <w:rsid w:val="00490735"/>
    <w:rsid w:val="004953F2"/>
    <w:rsid w:val="004A24B0"/>
    <w:rsid w:val="004A2C56"/>
    <w:rsid w:val="004A3C06"/>
    <w:rsid w:val="004A528C"/>
    <w:rsid w:val="004B00D7"/>
    <w:rsid w:val="004B549F"/>
    <w:rsid w:val="004C1959"/>
    <w:rsid w:val="004C37A2"/>
    <w:rsid w:val="004C64F2"/>
    <w:rsid w:val="004D14A3"/>
    <w:rsid w:val="004D2B71"/>
    <w:rsid w:val="004D42DE"/>
    <w:rsid w:val="004D5AAC"/>
    <w:rsid w:val="004D6F27"/>
    <w:rsid w:val="004D7B99"/>
    <w:rsid w:val="004E2A6B"/>
    <w:rsid w:val="004E3C06"/>
    <w:rsid w:val="004E4436"/>
    <w:rsid w:val="004E65B1"/>
    <w:rsid w:val="004E708E"/>
    <w:rsid w:val="004F1116"/>
    <w:rsid w:val="004F42DB"/>
    <w:rsid w:val="004F67AC"/>
    <w:rsid w:val="0050336E"/>
    <w:rsid w:val="00503457"/>
    <w:rsid w:val="00504F72"/>
    <w:rsid w:val="005059E3"/>
    <w:rsid w:val="005075D0"/>
    <w:rsid w:val="005075E0"/>
    <w:rsid w:val="00515460"/>
    <w:rsid w:val="005202A5"/>
    <w:rsid w:val="005213F6"/>
    <w:rsid w:val="00521D07"/>
    <w:rsid w:val="005300C1"/>
    <w:rsid w:val="00532793"/>
    <w:rsid w:val="0053490D"/>
    <w:rsid w:val="005356CA"/>
    <w:rsid w:val="00540C61"/>
    <w:rsid w:val="00545A82"/>
    <w:rsid w:val="005467E3"/>
    <w:rsid w:val="00546DFD"/>
    <w:rsid w:val="00557FCE"/>
    <w:rsid w:val="0056484A"/>
    <w:rsid w:val="00566C1A"/>
    <w:rsid w:val="005734CE"/>
    <w:rsid w:val="00573B27"/>
    <w:rsid w:val="00576D5A"/>
    <w:rsid w:val="00582AFE"/>
    <w:rsid w:val="00583B1C"/>
    <w:rsid w:val="0058469A"/>
    <w:rsid w:val="00584DDE"/>
    <w:rsid w:val="00585151"/>
    <w:rsid w:val="0059607A"/>
    <w:rsid w:val="005A7665"/>
    <w:rsid w:val="005B0FB2"/>
    <w:rsid w:val="005C78E3"/>
    <w:rsid w:val="005D4CE3"/>
    <w:rsid w:val="005D51CB"/>
    <w:rsid w:val="005D5416"/>
    <w:rsid w:val="005E06F4"/>
    <w:rsid w:val="005E0E43"/>
    <w:rsid w:val="005E701B"/>
    <w:rsid w:val="005F1AEF"/>
    <w:rsid w:val="005F20E4"/>
    <w:rsid w:val="005F30B9"/>
    <w:rsid w:val="0060087D"/>
    <w:rsid w:val="00602E91"/>
    <w:rsid w:val="00603577"/>
    <w:rsid w:val="00624DCD"/>
    <w:rsid w:val="00631CEA"/>
    <w:rsid w:val="00632B99"/>
    <w:rsid w:val="0064021E"/>
    <w:rsid w:val="0064044C"/>
    <w:rsid w:val="0064331D"/>
    <w:rsid w:val="00643D5F"/>
    <w:rsid w:val="00645631"/>
    <w:rsid w:val="00647636"/>
    <w:rsid w:val="006534B2"/>
    <w:rsid w:val="00660B5F"/>
    <w:rsid w:val="00661DAD"/>
    <w:rsid w:val="0066568F"/>
    <w:rsid w:val="00666838"/>
    <w:rsid w:val="00666D4E"/>
    <w:rsid w:val="0067020C"/>
    <w:rsid w:val="00671A23"/>
    <w:rsid w:val="0067422C"/>
    <w:rsid w:val="00682AC1"/>
    <w:rsid w:val="00682ECC"/>
    <w:rsid w:val="00695AB5"/>
    <w:rsid w:val="006970E0"/>
    <w:rsid w:val="006A0879"/>
    <w:rsid w:val="006A3F83"/>
    <w:rsid w:val="006C115B"/>
    <w:rsid w:val="006C5A72"/>
    <w:rsid w:val="006C6603"/>
    <w:rsid w:val="006C6DDD"/>
    <w:rsid w:val="006D5B8C"/>
    <w:rsid w:val="006E21C2"/>
    <w:rsid w:val="006E311A"/>
    <w:rsid w:val="006E59E4"/>
    <w:rsid w:val="006F19F1"/>
    <w:rsid w:val="006F4E8A"/>
    <w:rsid w:val="007127AD"/>
    <w:rsid w:val="00715D8E"/>
    <w:rsid w:val="0072521E"/>
    <w:rsid w:val="00725834"/>
    <w:rsid w:val="00727D15"/>
    <w:rsid w:val="00731236"/>
    <w:rsid w:val="00735B99"/>
    <w:rsid w:val="007449E9"/>
    <w:rsid w:val="0075097C"/>
    <w:rsid w:val="007538B8"/>
    <w:rsid w:val="00753B15"/>
    <w:rsid w:val="00753DC3"/>
    <w:rsid w:val="007550B2"/>
    <w:rsid w:val="00757021"/>
    <w:rsid w:val="00760DF6"/>
    <w:rsid w:val="00764701"/>
    <w:rsid w:val="0077097D"/>
    <w:rsid w:val="00777709"/>
    <w:rsid w:val="007807B7"/>
    <w:rsid w:val="00785CB6"/>
    <w:rsid w:val="00792A77"/>
    <w:rsid w:val="00792D1E"/>
    <w:rsid w:val="0079319B"/>
    <w:rsid w:val="0079762F"/>
    <w:rsid w:val="007A20BE"/>
    <w:rsid w:val="007A253A"/>
    <w:rsid w:val="007B12CB"/>
    <w:rsid w:val="007B311A"/>
    <w:rsid w:val="007B66FC"/>
    <w:rsid w:val="007C1CBF"/>
    <w:rsid w:val="007C3364"/>
    <w:rsid w:val="007D0856"/>
    <w:rsid w:val="007D2CB6"/>
    <w:rsid w:val="007D50D6"/>
    <w:rsid w:val="007D652F"/>
    <w:rsid w:val="007D7E35"/>
    <w:rsid w:val="007E003C"/>
    <w:rsid w:val="007E54A2"/>
    <w:rsid w:val="007F5C13"/>
    <w:rsid w:val="007F73C3"/>
    <w:rsid w:val="00812E24"/>
    <w:rsid w:val="00812F9D"/>
    <w:rsid w:val="00815820"/>
    <w:rsid w:val="00822CAA"/>
    <w:rsid w:val="00823728"/>
    <w:rsid w:val="0082399B"/>
    <w:rsid w:val="008243CD"/>
    <w:rsid w:val="00836E5A"/>
    <w:rsid w:val="00844064"/>
    <w:rsid w:val="0085CE23"/>
    <w:rsid w:val="00866875"/>
    <w:rsid w:val="0086785B"/>
    <w:rsid w:val="00877782"/>
    <w:rsid w:val="00877797"/>
    <w:rsid w:val="00880082"/>
    <w:rsid w:val="00880C1C"/>
    <w:rsid w:val="0088100B"/>
    <w:rsid w:val="00885138"/>
    <w:rsid w:val="00887334"/>
    <w:rsid w:val="00892A8C"/>
    <w:rsid w:val="008971B6"/>
    <w:rsid w:val="008A2E9E"/>
    <w:rsid w:val="008A6536"/>
    <w:rsid w:val="008B1543"/>
    <w:rsid w:val="008B3C15"/>
    <w:rsid w:val="008B4236"/>
    <w:rsid w:val="008D4523"/>
    <w:rsid w:val="008D5BF3"/>
    <w:rsid w:val="008E5B73"/>
    <w:rsid w:val="008F443A"/>
    <w:rsid w:val="009170DE"/>
    <w:rsid w:val="00920437"/>
    <w:rsid w:val="0092363A"/>
    <w:rsid w:val="009321B3"/>
    <w:rsid w:val="009376BE"/>
    <w:rsid w:val="00941BC8"/>
    <w:rsid w:val="00946600"/>
    <w:rsid w:val="00951B5E"/>
    <w:rsid w:val="009531F0"/>
    <w:rsid w:val="00954FE9"/>
    <w:rsid w:val="0095691F"/>
    <w:rsid w:val="00962EDB"/>
    <w:rsid w:val="00974080"/>
    <w:rsid w:val="00977095"/>
    <w:rsid w:val="009778D1"/>
    <w:rsid w:val="0099390B"/>
    <w:rsid w:val="00993DDB"/>
    <w:rsid w:val="009A21E7"/>
    <w:rsid w:val="009A3C9C"/>
    <w:rsid w:val="009A55E7"/>
    <w:rsid w:val="009A6E4B"/>
    <w:rsid w:val="009A7A91"/>
    <w:rsid w:val="009B08FA"/>
    <w:rsid w:val="009B40B2"/>
    <w:rsid w:val="009B52FA"/>
    <w:rsid w:val="009C1D23"/>
    <w:rsid w:val="009C44CB"/>
    <w:rsid w:val="009D0F76"/>
    <w:rsid w:val="009D4423"/>
    <w:rsid w:val="009E0DF3"/>
    <w:rsid w:val="009E759C"/>
    <w:rsid w:val="009E77E7"/>
    <w:rsid w:val="009F10A0"/>
    <w:rsid w:val="009F1E85"/>
    <w:rsid w:val="009F267D"/>
    <w:rsid w:val="009F391B"/>
    <w:rsid w:val="009F8159"/>
    <w:rsid w:val="00A01439"/>
    <w:rsid w:val="00A03251"/>
    <w:rsid w:val="00A11C58"/>
    <w:rsid w:val="00A11CC7"/>
    <w:rsid w:val="00A163B8"/>
    <w:rsid w:val="00A31709"/>
    <w:rsid w:val="00A32D0F"/>
    <w:rsid w:val="00A3309A"/>
    <w:rsid w:val="00A37D54"/>
    <w:rsid w:val="00A40707"/>
    <w:rsid w:val="00A42EF8"/>
    <w:rsid w:val="00A462D8"/>
    <w:rsid w:val="00A5335F"/>
    <w:rsid w:val="00A60DB5"/>
    <w:rsid w:val="00A62755"/>
    <w:rsid w:val="00A745F4"/>
    <w:rsid w:val="00A74F34"/>
    <w:rsid w:val="00A74FDE"/>
    <w:rsid w:val="00A94288"/>
    <w:rsid w:val="00AA03C2"/>
    <w:rsid w:val="00AA5F99"/>
    <w:rsid w:val="00AA7BAC"/>
    <w:rsid w:val="00AB338B"/>
    <w:rsid w:val="00AC44B4"/>
    <w:rsid w:val="00AC6875"/>
    <w:rsid w:val="00AD1363"/>
    <w:rsid w:val="00AD2D18"/>
    <w:rsid w:val="00AD4128"/>
    <w:rsid w:val="00AD4775"/>
    <w:rsid w:val="00AD748B"/>
    <w:rsid w:val="00AE28C6"/>
    <w:rsid w:val="00AE3E72"/>
    <w:rsid w:val="00AE433D"/>
    <w:rsid w:val="00AE467F"/>
    <w:rsid w:val="00AF0D47"/>
    <w:rsid w:val="00AF1249"/>
    <w:rsid w:val="00AF2F3B"/>
    <w:rsid w:val="00B02DC3"/>
    <w:rsid w:val="00B05F52"/>
    <w:rsid w:val="00B118D3"/>
    <w:rsid w:val="00B12481"/>
    <w:rsid w:val="00B12B73"/>
    <w:rsid w:val="00B12C45"/>
    <w:rsid w:val="00B16B65"/>
    <w:rsid w:val="00B221FE"/>
    <w:rsid w:val="00B347EF"/>
    <w:rsid w:val="00B35D4B"/>
    <w:rsid w:val="00B35F5C"/>
    <w:rsid w:val="00B37D26"/>
    <w:rsid w:val="00B4114C"/>
    <w:rsid w:val="00B413B3"/>
    <w:rsid w:val="00B41DCB"/>
    <w:rsid w:val="00B44423"/>
    <w:rsid w:val="00B45143"/>
    <w:rsid w:val="00B4739E"/>
    <w:rsid w:val="00B5259A"/>
    <w:rsid w:val="00B556D2"/>
    <w:rsid w:val="00B656A0"/>
    <w:rsid w:val="00B7022C"/>
    <w:rsid w:val="00B8550A"/>
    <w:rsid w:val="00B862D0"/>
    <w:rsid w:val="00B92201"/>
    <w:rsid w:val="00B92E32"/>
    <w:rsid w:val="00BA6B03"/>
    <w:rsid w:val="00BB5FFC"/>
    <w:rsid w:val="00BC1999"/>
    <w:rsid w:val="00BD0791"/>
    <w:rsid w:val="00BD2260"/>
    <w:rsid w:val="00BD2C83"/>
    <w:rsid w:val="00BD4A86"/>
    <w:rsid w:val="00BE115C"/>
    <w:rsid w:val="00BE16A2"/>
    <w:rsid w:val="00BE25C7"/>
    <w:rsid w:val="00BE2AF3"/>
    <w:rsid w:val="00BE6A1D"/>
    <w:rsid w:val="00BE7A01"/>
    <w:rsid w:val="00C01D99"/>
    <w:rsid w:val="00C0578F"/>
    <w:rsid w:val="00C05D23"/>
    <w:rsid w:val="00C07485"/>
    <w:rsid w:val="00C23F3D"/>
    <w:rsid w:val="00C24407"/>
    <w:rsid w:val="00C30E85"/>
    <w:rsid w:val="00C31798"/>
    <w:rsid w:val="00C34636"/>
    <w:rsid w:val="00C50471"/>
    <w:rsid w:val="00C5463B"/>
    <w:rsid w:val="00C56A54"/>
    <w:rsid w:val="00C61089"/>
    <w:rsid w:val="00C62797"/>
    <w:rsid w:val="00C73122"/>
    <w:rsid w:val="00C75358"/>
    <w:rsid w:val="00C753D8"/>
    <w:rsid w:val="00C81B3F"/>
    <w:rsid w:val="00C82BF1"/>
    <w:rsid w:val="00C851CE"/>
    <w:rsid w:val="00C87C76"/>
    <w:rsid w:val="00C91538"/>
    <w:rsid w:val="00CA04EC"/>
    <w:rsid w:val="00CA0C9E"/>
    <w:rsid w:val="00CA2389"/>
    <w:rsid w:val="00CC1B61"/>
    <w:rsid w:val="00CC620A"/>
    <w:rsid w:val="00CD2B02"/>
    <w:rsid w:val="00CD3D6F"/>
    <w:rsid w:val="00CD6034"/>
    <w:rsid w:val="00CE04C8"/>
    <w:rsid w:val="00CE0CE8"/>
    <w:rsid w:val="00CE151A"/>
    <w:rsid w:val="00CE1F4B"/>
    <w:rsid w:val="00CE60C4"/>
    <w:rsid w:val="00CF1F4A"/>
    <w:rsid w:val="00CF324C"/>
    <w:rsid w:val="00CF7944"/>
    <w:rsid w:val="00D00906"/>
    <w:rsid w:val="00D05009"/>
    <w:rsid w:val="00D0717F"/>
    <w:rsid w:val="00D15E0B"/>
    <w:rsid w:val="00D203E0"/>
    <w:rsid w:val="00D2307E"/>
    <w:rsid w:val="00D24BB5"/>
    <w:rsid w:val="00D35109"/>
    <w:rsid w:val="00D3723E"/>
    <w:rsid w:val="00D5359C"/>
    <w:rsid w:val="00D5409D"/>
    <w:rsid w:val="00D543C6"/>
    <w:rsid w:val="00D54D95"/>
    <w:rsid w:val="00D61D2C"/>
    <w:rsid w:val="00D6206F"/>
    <w:rsid w:val="00D629FB"/>
    <w:rsid w:val="00D715E0"/>
    <w:rsid w:val="00D72F1A"/>
    <w:rsid w:val="00D72F37"/>
    <w:rsid w:val="00D74517"/>
    <w:rsid w:val="00D75338"/>
    <w:rsid w:val="00D77D25"/>
    <w:rsid w:val="00D813F9"/>
    <w:rsid w:val="00D85E2C"/>
    <w:rsid w:val="00D86AE4"/>
    <w:rsid w:val="00D878E2"/>
    <w:rsid w:val="00D9168D"/>
    <w:rsid w:val="00D91E14"/>
    <w:rsid w:val="00D92903"/>
    <w:rsid w:val="00D964BF"/>
    <w:rsid w:val="00DA3E44"/>
    <w:rsid w:val="00DA4869"/>
    <w:rsid w:val="00DA6506"/>
    <w:rsid w:val="00DB1FE3"/>
    <w:rsid w:val="00DB277F"/>
    <w:rsid w:val="00DB47F8"/>
    <w:rsid w:val="00DB6E1F"/>
    <w:rsid w:val="00DC3A86"/>
    <w:rsid w:val="00DC430D"/>
    <w:rsid w:val="00DC624A"/>
    <w:rsid w:val="00DD01C9"/>
    <w:rsid w:val="00DD01E1"/>
    <w:rsid w:val="00DE700D"/>
    <w:rsid w:val="00DF5AFC"/>
    <w:rsid w:val="00E079B4"/>
    <w:rsid w:val="00E12962"/>
    <w:rsid w:val="00E159C1"/>
    <w:rsid w:val="00E2140B"/>
    <w:rsid w:val="00E309D2"/>
    <w:rsid w:val="00E30ED9"/>
    <w:rsid w:val="00E32C7F"/>
    <w:rsid w:val="00E3317B"/>
    <w:rsid w:val="00E440DC"/>
    <w:rsid w:val="00E50A81"/>
    <w:rsid w:val="00E5360C"/>
    <w:rsid w:val="00E53ECE"/>
    <w:rsid w:val="00E540B3"/>
    <w:rsid w:val="00E7117D"/>
    <w:rsid w:val="00E91EED"/>
    <w:rsid w:val="00E92A82"/>
    <w:rsid w:val="00E9368E"/>
    <w:rsid w:val="00EA5ACD"/>
    <w:rsid w:val="00EA7E1E"/>
    <w:rsid w:val="00EB0140"/>
    <w:rsid w:val="00EB024F"/>
    <w:rsid w:val="00EB2961"/>
    <w:rsid w:val="00EB3448"/>
    <w:rsid w:val="00EB3FC2"/>
    <w:rsid w:val="00EB488C"/>
    <w:rsid w:val="00EB519D"/>
    <w:rsid w:val="00EB5C4C"/>
    <w:rsid w:val="00EC3FD9"/>
    <w:rsid w:val="00EC7695"/>
    <w:rsid w:val="00ED1C80"/>
    <w:rsid w:val="00ED2511"/>
    <w:rsid w:val="00ED7DDB"/>
    <w:rsid w:val="00EE06AB"/>
    <w:rsid w:val="00EE763C"/>
    <w:rsid w:val="00EF081A"/>
    <w:rsid w:val="00F123F6"/>
    <w:rsid w:val="00F15EF7"/>
    <w:rsid w:val="00F2591A"/>
    <w:rsid w:val="00F318C1"/>
    <w:rsid w:val="00F40604"/>
    <w:rsid w:val="00F42159"/>
    <w:rsid w:val="00F43FC3"/>
    <w:rsid w:val="00F451F1"/>
    <w:rsid w:val="00F50082"/>
    <w:rsid w:val="00F56F80"/>
    <w:rsid w:val="00F60296"/>
    <w:rsid w:val="00F65673"/>
    <w:rsid w:val="00F7002D"/>
    <w:rsid w:val="00F738C5"/>
    <w:rsid w:val="00F76A2A"/>
    <w:rsid w:val="00F8387E"/>
    <w:rsid w:val="00F9455D"/>
    <w:rsid w:val="00F94AFD"/>
    <w:rsid w:val="00F964B6"/>
    <w:rsid w:val="00FA095F"/>
    <w:rsid w:val="00FB212F"/>
    <w:rsid w:val="00FB2639"/>
    <w:rsid w:val="00FB3B01"/>
    <w:rsid w:val="00FB66C1"/>
    <w:rsid w:val="00FC2921"/>
    <w:rsid w:val="00FC4610"/>
    <w:rsid w:val="00FC7F83"/>
    <w:rsid w:val="00FD2E26"/>
    <w:rsid w:val="00FE0E10"/>
    <w:rsid w:val="00FE1CED"/>
    <w:rsid w:val="00FE78B2"/>
    <w:rsid w:val="00FF1879"/>
    <w:rsid w:val="00FF1E27"/>
    <w:rsid w:val="013A88D3"/>
    <w:rsid w:val="01CE070C"/>
    <w:rsid w:val="020DAFDE"/>
    <w:rsid w:val="023ED73E"/>
    <w:rsid w:val="02514DCE"/>
    <w:rsid w:val="0251B13F"/>
    <w:rsid w:val="02B0C0FE"/>
    <w:rsid w:val="03275818"/>
    <w:rsid w:val="0398F566"/>
    <w:rsid w:val="0412D8D6"/>
    <w:rsid w:val="0435B6B8"/>
    <w:rsid w:val="04FF891B"/>
    <w:rsid w:val="0510946F"/>
    <w:rsid w:val="060D984C"/>
    <w:rsid w:val="0688FD8E"/>
    <w:rsid w:val="071C2B3B"/>
    <w:rsid w:val="074F2252"/>
    <w:rsid w:val="077CF488"/>
    <w:rsid w:val="07843221"/>
    <w:rsid w:val="07D3C04E"/>
    <w:rsid w:val="08CA1661"/>
    <w:rsid w:val="08D6C568"/>
    <w:rsid w:val="08F32CAF"/>
    <w:rsid w:val="0906A868"/>
    <w:rsid w:val="091E2446"/>
    <w:rsid w:val="0981CFB5"/>
    <w:rsid w:val="09B9EAEE"/>
    <w:rsid w:val="09C10675"/>
    <w:rsid w:val="0A13C575"/>
    <w:rsid w:val="0A4CF864"/>
    <w:rsid w:val="0A8DB353"/>
    <w:rsid w:val="0AA278C9"/>
    <w:rsid w:val="0AD8F39F"/>
    <w:rsid w:val="0B112004"/>
    <w:rsid w:val="0B11A71C"/>
    <w:rsid w:val="0C1E5D94"/>
    <w:rsid w:val="0CBE611E"/>
    <w:rsid w:val="0DF0F0D1"/>
    <w:rsid w:val="0DF13A33"/>
    <w:rsid w:val="0DFB612B"/>
    <w:rsid w:val="0E5E1EFE"/>
    <w:rsid w:val="0E730C80"/>
    <w:rsid w:val="0F7E068B"/>
    <w:rsid w:val="0FA3E9D1"/>
    <w:rsid w:val="0FD54AFE"/>
    <w:rsid w:val="10505237"/>
    <w:rsid w:val="1082C990"/>
    <w:rsid w:val="108AA657"/>
    <w:rsid w:val="118A5F5E"/>
    <w:rsid w:val="11A43A3C"/>
    <w:rsid w:val="124E493B"/>
    <w:rsid w:val="134F967A"/>
    <w:rsid w:val="13657488"/>
    <w:rsid w:val="136E5AD7"/>
    <w:rsid w:val="13FD4E64"/>
    <w:rsid w:val="14246C62"/>
    <w:rsid w:val="1429031B"/>
    <w:rsid w:val="1433F06C"/>
    <w:rsid w:val="14CE7540"/>
    <w:rsid w:val="150D96E8"/>
    <w:rsid w:val="152A77E0"/>
    <w:rsid w:val="152A854F"/>
    <w:rsid w:val="156B4B0B"/>
    <w:rsid w:val="1663B0DC"/>
    <w:rsid w:val="16795D23"/>
    <w:rsid w:val="16ADE91F"/>
    <w:rsid w:val="16B21D1D"/>
    <w:rsid w:val="16F4D600"/>
    <w:rsid w:val="17C64E2F"/>
    <w:rsid w:val="180306C1"/>
    <w:rsid w:val="185083E4"/>
    <w:rsid w:val="187506C5"/>
    <w:rsid w:val="18797659"/>
    <w:rsid w:val="18BD8ABF"/>
    <w:rsid w:val="18F3F18E"/>
    <w:rsid w:val="19A1E663"/>
    <w:rsid w:val="19A6DC21"/>
    <w:rsid w:val="19B14DB2"/>
    <w:rsid w:val="1A72837D"/>
    <w:rsid w:val="1C2C777A"/>
    <w:rsid w:val="1C5725C0"/>
    <w:rsid w:val="1C7B9D4E"/>
    <w:rsid w:val="1C8CEAC3"/>
    <w:rsid w:val="1CD98725"/>
    <w:rsid w:val="1D4877E8"/>
    <w:rsid w:val="1D5DBBE7"/>
    <w:rsid w:val="1D862277"/>
    <w:rsid w:val="1DC91281"/>
    <w:rsid w:val="1E1D668B"/>
    <w:rsid w:val="1E755786"/>
    <w:rsid w:val="1EB8FB04"/>
    <w:rsid w:val="1EC5550E"/>
    <w:rsid w:val="1EEC1EEA"/>
    <w:rsid w:val="1EFFC6FA"/>
    <w:rsid w:val="1F2BD6FB"/>
    <w:rsid w:val="1F928C26"/>
    <w:rsid w:val="1FB33E10"/>
    <w:rsid w:val="20B7AD51"/>
    <w:rsid w:val="20C89CA4"/>
    <w:rsid w:val="20E4E048"/>
    <w:rsid w:val="2147477B"/>
    <w:rsid w:val="216D44A7"/>
    <w:rsid w:val="217387F0"/>
    <w:rsid w:val="2242C77C"/>
    <w:rsid w:val="2246A2C4"/>
    <w:rsid w:val="22646D05"/>
    <w:rsid w:val="22D3B89D"/>
    <w:rsid w:val="22D66117"/>
    <w:rsid w:val="22E317DC"/>
    <w:rsid w:val="22EADED2"/>
    <w:rsid w:val="23588289"/>
    <w:rsid w:val="23A0D2A2"/>
    <w:rsid w:val="23E0E21D"/>
    <w:rsid w:val="23ED0FCC"/>
    <w:rsid w:val="23F5B45C"/>
    <w:rsid w:val="2436D32C"/>
    <w:rsid w:val="2448C125"/>
    <w:rsid w:val="24FA5817"/>
    <w:rsid w:val="25004E95"/>
    <w:rsid w:val="254DEAD0"/>
    <w:rsid w:val="260BD96A"/>
    <w:rsid w:val="26195F73"/>
    <w:rsid w:val="26431B9B"/>
    <w:rsid w:val="264630AC"/>
    <w:rsid w:val="2647367C"/>
    <w:rsid w:val="266C1F53"/>
    <w:rsid w:val="26816C59"/>
    <w:rsid w:val="278B50EA"/>
    <w:rsid w:val="2796B9F9"/>
    <w:rsid w:val="27FF5158"/>
    <w:rsid w:val="28EB611E"/>
    <w:rsid w:val="298CC7D0"/>
    <w:rsid w:val="29D9336B"/>
    <w:rsid w:val="29DCE94E"/>
    <w:rsid w:val="29ED329E"/>
    <w:rsid w:val="2A8DC603"/>
    <w:rsid w:val="2B6B2F63"/>
    <w:rsid w:val="2B977E0C"/>
    <w:rsid w:val="2C17604B"/>
    <w:rsid w:val="2C7EA5A6"/>
    <w:rsid w:val="2D11E118"/>
    <w:rsid w:val="2D9FFF13"/>
    <w:rsid w:val="2DA6964F"/>
    <w:rsid w:val="2DA73B03"/>
    <w:rsid w:val="2E336B6A"/>
    <w:rsid w:val="2E4BEC00"/>
    <w:rsid w:val="2E67EE9F"/>
    <w:rsid w:val="2E773138"/>
    <w:rsid w:val="2E777EED"/>
    <w:rsid w:val="2ECF8E93"/>
    <w:rsid w:val="2EE69824"/>
    <w:rsid w:val="2EEA9DB5"/>
    <w:rsid w:val="2F4ADD93"/>
    <w:rsid w:val="2F8A3316"/>
    <w:rsid w:val="2FD506A9"/>
    <w:rsid w:val="2FEE18C2"/>
    <w:rsid w:val="300B50EB"/>
    <w:rsid w:val="30130199"/>
    <w:rsid w:val="302F3937"/>
    <w:rsid w:val="305C7422"/>
    <w:rsid w:val="3079E87C"/>
    <w:rsid w:val="3150AB86"/>
    <w:rsid w:val="317C86F4"/>
    <w:rsid w:val="3191D6A9"/>
    <w:rsid w:val="31B0CD62"/>
    <w:rsid w:val="31F84483"/>
    <w:rsid w:val="32072F55"/>
    <w:rsid w:val="32BE7E3E"/>
    <w:rsid w:val="33019195"/>
    <w:rsid w:val="336964F6"/>
    <w:rsid w:val="3369F2EA"/>
    <w:rsid w:val="33F253B8"/>
    <w:rsid w:val="3454333C"/>
    <w:rsid w:val="34A1B0CF"/>
    <w:rsid w:val="3502AA5A"/>
    <w:rsid w:val="3512A6D7"/>
    <w:rsid w:val="359F2254"/>
    <w:rsid w:val="35B8C6B8"/>
    <w:rsid w:val="35BA76F5"/>
    <w:rsid w:val="35F574FF"/>
    <w:rsid w:val="363210D5"/>
    <w:rsid w:val="3682431D"/>
    <w:rsid w:val="369E7ABB"/>
    <w:rsid w:val="3736942F"/>
    <w:rsid w:val="374F90FB"/>
    <w:rsid w:val="379BA2EC"/>
    <w:rsid w:val="37A9412B"/>
    <w:rsid w:val="37E2E864"/>
    <w:rsid w:val="37F47325"/>
    <w:rsid w:val="381A8DFA"/>
    <w:rsid w:val="38308A0E"/>
    <w:rsid w:val="3848C03B"/>
    <w:rsid w:val="3897133F"/>
    <w:rsid w:val="38A7475F"/>
    <w:rsid w:val="3937734D"/>
    <w:rsid w:val="3939B487"/>
    <w:rsid w:val="39601E63"/>
    <w:rsid w:val="39B9E3DF"/>
    <w:rsid w:val="39FBB8E2"/>
    <w:rsid w:val="3A9A28FF"/>
    <w:rsid w:val="3AC82937"/>
    <w:rsid w:val="3AEC6C0B"/>
    <w:rsid w:val="3B021434"/>
    <w:rsid w:val="3B06042D"/>
    <w:rsid w:val="3B7476DB"/>
    <w:rsid w:val="3C07BB12"/>
    <w:rsid w:val="3C345C83"/>
    <w:rsid w:val="3C5BEDC3"/>
    <w:rsid w:val="3CCDF6AB"/>
    <w:rsid w:val="3CD44BE7"/>
    <w:rsid w:val="3CE842CA"/>
    <w:rsid w:val="3CF97227"/>
    <w:rsid w:val="3D139AAA"/>
    <w:rsid w:val="3D612B7E"/>
    <w:rsid w:val="3D9709B7"/>
    <w:rsid w:val="3DAB1357"/>
    <w:rsid w:val="3DB75D32"/>
    <w:rsid w:val="3E0AE470"/>
    <w:rsid w:val="3E240CCD"/>
    <w:rsid w:val="3E8CF9D0"/>
    <w:rsid w:val="3E954288"/>
    <w:rsid w:val="3E9FCB92"/>
    <w:rsid w:val="3EAF6B0B"/>
    <w:rsid w:val="3EBD9F2E"/>
    <w:rsid w:val="3EEB50CE"/>
    <w:rsid w:val="3F04DFE7"/>
    <w:rsid w:val="3FA6B4D1"/>
    <w:rsid w:val="3FE52A8A"/>
    <w:rsid w:val="400BECA9"/>
    <w:rsid w:val="40110636"/>
    <w:rsid w:val="4013C970"/>
    <w:rsid w:val="4050D89E"/>
    <w:rsid w:val="41428532"/>
    <w:rsid w:val="418ED216"/>
    <w:rsid w:val="4237D651"/>
    <w:rsid w:val="426A3FE0"/>
    <w:rsid w:val="42F77DF0"/>
    <w:rsid w:val="42F7EDB5"/>
    <w:rsid w:val="43078709"/>
    <w:rsid w:val="43733CB5"/>
    <w:rsid w:val="4412E7FE"/>
    <w:rsid w:val="4437AA7D"/>
    <w:rsid w:val="445A2356"/>
    <w:rsid w:val="44632F39"/>
    <w:rsid w:val="452A3852"/>
    <w:rsid w:val="4532DC27"/>
    <w:rsid w:val="45B9E7A3"/>
    <w:rsid w:val="45F368BA"/>
    <w:rsid w:val="4654BD39"/>
    <w:rsid w:val="468D51C5"/>
    <w:rsid w:val="46B72BB3"/>
    <w:rsid w:val="4734BE8C"/>
    <w:rsid w:val="47C4CEF6"/>
    <w:rsid w:val="47D6596C"/>
    <w:rsid w:val="47FE139A"/>
    <w:rsid w:val="480BDC12"/>
    <w:rsid w:val="48390259"/>
    <w:rsid w:val="48CA4D5A"/>
    <w:rsid w:val="48EBE7C7"/>
    <w:rsid w:val="492D9479"/>
    <w:rsid w:val="49609F57"/>
    <w:rsid w:val="496EC601"/>
    <w:rsid w:val="49DC1CC5"/>
    <w:rsid w:val="4A483E1C"/>
    <w:rsid w:val="4AE9B2FC"/>
    <w:rsid w:val="4B23A200"/>
    <w:rsid w:val="4BECC551"/>
    <w:rsid w:val="4BFE0028"/>
    <w:rsid w:val="4C149ECF"/>
    <w:rsid w:val="4C3DFDDD"/>
    <w:rsid w:val="4C5F9AFD"/>
    <w:rsid w:val="4CBF7261"/>
    <w:rsid w:val="4D175031"/>
    <w:rsid w:val="4D3B5FEE"/>
    <w:rsid w:val="4D3D874E"/>
    <w:rsid w:val="4D99B8F6"/>
    <w:rsid w:val="4E01059C"/>
    <w:rsid w:val="4E63A3E7"/>
    <w:rsid w:val="4E74F47C"/>
    <w:rsid w:val="4EF3F77E"/>
    <w:rsid w:val="4F395175"/>
    <w:rsid w:val="4F3C6129"/>
    <w:rsid w:val="4F7C43E3"/>
    <w:rsid w:val="4F8600E8"/>
    <w:rsid w:val="4FE27722"/>
    <w:rsid w:val="50111305"/>
    <w:rsid w:val="5062E956"/>
    <w:rsid w:val="51609682"/>
    <w:rsid w:val="5176D501"/>
    <w:rsid w:val="518618E9"/>
    <w:rsid w:val="51ED901E"/>
    <w:rsid w:val="524102E0"/>
    <w:rsid w:val="527401EB"/>
    <w:rsid w:val="528C13CB"/>
    <w:rsid w:val="5322ED29"/>
    <w:rsid w:val="5367BAF6"/>
    <w:rsid w:val="536BCAFF"/>
    <w:rsid w:val="53E9212B"/>
    <w:rsid w:val="53F4965A"/>
    <w:rsid w:val="540FD24C"/>
    <w:rsid w:val="5437D68D"/>
    <w:rsid w:val="54476F1C"/>
    <w:rsid w:val="54A7C314"/>
    <w:rsid w:val="551AA7D6"/>
    <w:rsid w:val="55FFCB76"/>
    <w:rsid w:val="5673608D"/>
    <w:rsid w:val="569E3C1C"/>
    <w:rsid w:val="56E47C70"/>
    <w:rsid w:val="570AD3B8"/>
    <w:rsid w:val="57185515"/>
    <w:rsid w:val="5747730E"/>
    <w:rsid w:val="5774EDD9"/>
    <w:rsid w:val="57919258"/>
    <w:rsid w:val="57B4C434"/>
    <w:rsid w:val="58804CD1"/>
    <w:rsid w:val="58C35AD3"/>
    <w:rsid w:val="592CE32E"/>
    <w:rsid w:val="59301725"/>
    <w:rsid w:val="593E9F97"/>
    <w:rsid w:val="595E1AC4"/>
    <w:rsid w:val="59B7F54B"/>
    <w:rsid w:val="5A54BB4D"/>
    <w:rsid w:val="5A67BE2F"/>
    <w:rsid w:val="5A96C6D8"/>
    <w:rsid w:val="5AA38D4F"/>
    <w:rsid w:val="5AC8B38F"/>
    <w:rsid w:val="5AFFCB09"/>
    <w:rsid w:val="5B3F4345"/>
    <w:rsid w:val="5B845297"/>
    <w:rsid w:val="5B92D706"/>
    <w:rsid w:val="5C83468B"/>
    <w:rsid w:val="5E144718"/>
    <w:rsid w:val="5E65E4F7"/>
    <w:rsid w:val="5EA9B562"/>
    <w:rsid w:val="5EB4BA93"/>
    <w:rsid w:val="5EF41744"/>
    <w:rsid w:val="5F516E76"/>
    <w:rsid w:val="5F5DD615"/>
    <w:rsid w:val="5F9C24B2"/>
    <w:rsid w:val="5FC52865"/>
    <w:rsid w:val="5FD82764"/>
    <w:rsid w:val="6023931D"/>
    <w:rsid w:val="602736CF"/>
    <w:rsid w:val="60A0F031"/>
    <w:rsid w:val="6139F07B"/>
    <w:rsid w:val="61995236"/>
    <w:rsid w:val="61C30730"/>
    <w:rsid w:val="620FE415"/>
    <w:rsid w:val="62D3C574"/>
    <w:rsid w:val="631AF20A"/>
    <w:rsid w:val="641656B9"/>
    <w:rsid w:val="648E5870"/>
    <w:rsid w:val="648F4DD1"/>
    <w:rsid w:val="650090AC"/>
    <w:rsid w:val="65439A0E"/>
    <w:rsid w:val="659A9604"/>
    <w:rsid w:val="65B414D1"/>
    <w:rsid w:val="65DEDA24"/>
    <w:rsid w:val="65E62E0D"/>
    <w:rsid w:val="660C9C5B"/>
    <w:rsid w:val="6615EF40"/>
    <w:rsid w:val="662A28D1"/>
    <w:rsid w:val="664A2B6F"/>
    <w:rsid w:val="66D63384"/>
    <w:rsid w:val="66E600CC"/>
    <w:rsid w:val="67366665"/>
    <w:rsid w:val="6750134A"/>
    <w:rsid w:val="6768E7FA"/>
    <w:rsid w:val="67C5F932"/>
    <w:rsid w:val="68376F4B"/>
    <w:rsid w:val="68C760CA"/>
    <w:rsid w:val="68E55207"/>
    <w:rsid w:val="690C9522"/>
    <w:rsid w:val="69F5AB8B"/>
    <w:rsid w:val="6A54D224"/>
    <w:rsid w:val="6A6E0727"/>
    <w:rsid w:val="6AC7BADA"/>
    <w:rsid w:val="6B1B8D28"/>
    <w:rsid w:val="6BB58980"/>
    <w:rsid w:val="6BB971EF"/>
    <w:rsid w:val="6C1DB98F"/>
    <w:rsid w:val="6C23846D"/>
    <w:rsid w:val="6C8A222B"/>
    <w:rsid w:val="6CA8C20C"/>
    <w:rsid w:val="6DA410A2"/>
    <w:rsid w:val="6DBF54CE"/>
    <w:rsid w:val="6E02E6A0"/>
    <w:rsid w:val="6E42DBE0"/>
    <w:rsid w:val="6E557D1B"/>
    <w:rsid w:val="6EBF84D2"/>
    <w:rsid w:val="6F165A42"/>
    <w:rsid w:val="6FC4BF0C"/>
    <w:rsid w:val="7009690C"/>
    <w:rsid w:val="700D8D54"/>
    <w:rsid w:val="7069FDB0"/>
    <w:rsid w:val="70712140"/>
    <w:rsid w:val="70ABA5AD"/>
    <w:rsid w:val="70F4BCAA"/>
    <w:rsid w:val="713A323C"/>
    <w:rsid w:val="7176C583"/>
    <w:rsid w:val="718B2F0F"/>
    <w:rsid w:val="718D1DDD"/>
    <w:rsid w:val="7195B17C"/>
    <w:rsid w:val="71BEB31E"/>
    <w:rsid w:val="71CA85F8"/>
    <w:rsid w:val="71D10B9E"/>
    <w:rsid w:val="71DF13B4"/>
    <w:rsid w:val="7205CE11"/>
    <w:rsid w:val="720F90CA"/>
    <w:rsid w:val="726778AC"/>
    <w:rsid w:val="728D428D"/>
    <w:rsid w:val="72CFC6F3"/>
    <w:rsid w:val="72F09259"/>
    <w:rsid w:val="72FC5FCE"/>
    <w:rsid w:val="7306E799"/>
    <w:rsid w:val="73D9CD51"/>
    <w:rsid w:val="73E3466F"/>
    <w:rsid w:val="743F890F"/>
    <w:rsid w:val="74D74345"/>
    <w:rsid w:val="74FDD664"/>
    <w:rsid w:val="75B21D8D"/>
    <w:rsid w:val="75F305B0"/>
    <w:rsid w:val="7614BA77"/>
    <w:rsid w:val="762B89AD"/>
    <w:rsid w:val="7633F64F"/>
    <w:rsid w:val="76E4EADA"/>
    <w:rsid w:val="76F232F0"/>
    <w:rsid w:val="7762A465"/>
    <w:rsid w:val="77C75A0E"/>
    <w:rsid w:val="789CE95C"/>
    <w:rsid w:val="78D6BA30"/>
    <w:rsid w:val="7902CB00"/>
    <w:rsid w:val="793B251B"/>
    <w:rsid w:val="7A4D553D"/>
    <w:rsid w:val="7A843110"/>
    <w:rsid w:val="7B061954"/>
    <w:rsid w:val="7B7E7007"/>
    <w:rsid w:val="7B9D4AB3"/>
    <w:rsid w:val="7BF11BB0"/>
    <w:rsid w:val="7C48957A"/>
    <w:rsid w:val="7CE8F588"/>
    <w:rsid w:val="7D3653D4"/>
    <w:rsid w:val="7D43A2E8"/>
    <w:rsid w:val="7D6E755B"/>
    <w:rsid w:val="7D9BB046"/>
    <w:rsid w:val="7E870723"/>
    <w:rsid w:val="7EA526B3"/>
    <w:rsid w:val="7EBE42FC"/>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583992966">
      <w:bodyDiv w:val="1"/>
      <w:marLeft w:val="0"/>
      <w:marRight w:val="0"/>
      <w:marTop w:val="0"/>
      <w:marBottom w:val="0"/>
      <w:divBdr>
        <w:top w:val="none" w:sz="0" w:space="0" w:color="auto"/>
        <w:left w:val="none" w:sz="0" w:space="0" w:color="auto"/>
        <w:bottom w:val="none" w:sz="0" w:space="0" w:color="auto"/>
        <w:right w:val="none" w:sz="0" w:space="0" w:color="auto"/>
      </w:divBdr>
    </w:div>
    <w:div w:id="710543867">
      <w:bodyDiv w:val="1"/>
      <w:marLeft w:val="0"/>
      <w:marRight w:val="0"/>
      <w:marTop w:val="0"/>
      <w:marBottom w:val="0"/>
      <w:divBdr>
        <w:top w:val="none" w:sz="0" w:space="0" w:color="auto"/>
        <w:left w:val="none" w:sz="0" w:space="0" w:color="auto"/>
        <w:bottom w:val="none" w:sz="0" w:space="0" w:color="auto"/>
        <w:right w:val="none" w:sz="0" w:space="0" w:color="auto"/>
      </w:divBdr>
      <w:divsChild>
        <w:div w:id="1495490384">
          <w:marLeft w:val="0"/>
          <w:marRight w:val="0"/>
          <w:marTop w:val="0"/>
          <w:marBottom w:val="0"/>
          <w:divBdr>
            <w:top w:val="none" w:sz="0" w:space="0" w:color="auto"/>
            <w:left w:val="none" w:sz="0" w:space="0" w:color="auto"/>
            <w:bottom w:val="none" w:sz="0" w:space="0" w:color="auto"/>
            <w:right w:val="none" w:sz="0" w:space="0" w:color="auto"/>
          </w:divBdr>
        </w:div>
      </w:divsChild>
    </w:div>
    <w:div w:id="837580510">
      <w:bodyDiv w:val="1"/>
      <w:marLeft w:val="0"/>
      <w:marRight w:val="0"/>
      <w:marTop w:val="0"/>
      <w:marBottom w:val="0"/>
      <w:divBdr>
        <w:top w:val="none" w:sz="0" w:space="0" w:color="auto"/>
        <w:left w:val="none" w:sz="0" w:space="0" w:color="auto"/>
        <w:bottom w:val="none" w:sz="0" w:space="0" w:color="auto"/>
        <w:right w:val="none" w:sz="0" w:space="0" w:color="auto"/>
      </w:divBdr>
      <w:divsChild>
        <w:div w:id="974676463">
          <w:marLeft w:val="0"/>
          <w:marRight w:val="0"/>
          <w:marTop w:val="0"/>
          <w:marBottom w:val="0"/>
          <w:divBdr>
            <w:top w:val="none" w:sz="0" w:space="0" w:color="auto"/>
            <w:left w:val="none" w:sz="0" w:space="0" w:color="auto"/>
            <w:bottom w:val="none" w:sz="0" w:space="0" w:color="auto"/>
            <w:right w:val="none" w:sz="0" w:space="0" w:color="auto"/>
          </w:divBdr>
        </w:div>
      </w:divsChild>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32262">
      <w:bodyDiv w:val="1"/>
      <w:marLeft w:val="0"/>
      <w:marRight w:val="0"/>
      <w:marTop w:val="0"/>
      <w:marBottom w:val="0"/>
      <w:divBdr>
        <w:top w:val="none" w:sz="0" w:space="0" w:color="auto"/>
        <w:left w:val="none" w:sz="0" w:space="0" w:color="auto"/>
        <w:bottom w:val="none" w:sz="0" w:space="0" w:color="auto"/>
        <w:right w:val="none" w:sz="0" w:space="0" w:color="auto"/>
      </w:divBdr>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5647616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499074465">
      <w:bodyDiv w:val="1"/>
      <w:marLeft w:val="0"/>
      <w:marRight w:val="0"/>
      <w:marTop w:val="0"/>
      <w:marBottom w:val="0"/>
      <w:divBdr>
        <w:top w:val="none" w:sz="0" w:space="0" w:color="auto"/>
        <w:left w:val="none" w:sz="0" w:space="0" w:color="auto"/>
        <w:bottom w:val="none" w:sz="0" w:space="0" w:color="auto"/>
        <w:right w:val="none" w:sz="0" w:space="0" w:color="auto"/>
      </w:divBdr>
    </w:div>
    <w:div w:id="1735619830">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DDEF8-D360-49B0-8CDE-5D1F9E9A7727}">
  <ds:schemaRefs>
    <ds:schemaRef ds:uri="http://schemas.openxmlformats.org/officeDocument/2006/bibliography"/>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4.xml><?xml version="1.0" encoding="utf-8"?>
<ds:datastoreItem xmlns:ds="http://schemas.openxmlformats.org/officeDocument/2006/customXml" ds:itemID="{2A9FB6B6-A87C-440D-8F3C-9B05B2827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3290</Words>
  <Characters>18101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ALONSO GAVIRIA</cp:lastModifiedBy>
  <cp:revision>7</cp:revision>
  <dcterms:created xsi:type="dcterms:W3CDTF">2024-08-06T20:08:00Z</dcterms:created>
  <dcterms:modified xsi:type="dcterms:W3CDTF">2024-10-03T14:31:00Z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