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36316" w14:textId="36551CA7" w:rsidR="00236485" w:rsidRPr="00EF1723" w:rsidRDefault="00EF1723" w:rsidP="00236485">
      <w:pPr>
        <w:overflowPunct/>
        <w:autoSpaceDE/>
        <w:autoSpaceDN/>
        <w:adjustRightInd/>
        <w:spacing w:line="240" w:lineRule="auto"/>
        <w:textAlignment w:val="auto"/>
        <w:rPr>
          <w:rFonts w:ascii="Arial" w:hAnsi="Arial" w:cs="Arial"/>
          <w:b/>
          <w:sz w:val="20"/>
          <w:szCs w:val="12"/>
          <w:lang w:eastAsia="es-MX"/>
        </w:rPr>
      </w:pPr>
      <w:r>
        <w:rPr>
          <w:rFonts w:ascii="Arial" w:hAnsi="Arial" w:cs="Arial"/>
          <w:b/>
          <w:sz w:val="20"/>
          <w:szCs w:val="12"/>
          <w:lang w:eastAsia="es-MX"/>
        </w:rPr>
        <w:t>RECUSACIÓN / COMPETENCIA DEL TRIBUNAL PARA RESOLVER</w:t>
      </w:r>
    </w:p>
    <w:p w14:paraId="23FD163D" w14:textId="3F7C732B" w:rsidR="00236485" w:rsidRPr="00236485" w:rsidRDefault="003D52A1" w:rsidP="00236485">
      <w:pPr>
        <w:overflowPunct/>
        <w:autoSpaceDE/>
        <w:autoSpaceDN/>
        <w:adjustRightInd/>
        <w:spacing w:line="240" w:lineRule="auto"/>
        <w:textAlignment w:val="auto"/>
        <w:rPr>
          <w:rFonts w:ascii="Arial" w:hAnsi="Arial" w:cs="Arial"/>
          <w:sz w:val="20"/>
          <w:szCs w:val="12"/>
          <w:lang w:eastAsia="es-MX"/>
        </w:rPr>
      </w:pPr>
      <w:r w:rsidRPr="003D52A1">
        <w:rPr>
          <w:rFonts w:ascii="Arial" w:hAnsi="Arial" w:cs="Arial"/>
          <w:sz w:val="20"/>
          <w:szCs w:val="12"/>
          <w:lang w:eastAsia="es-MX"/>
        </w:rPr>
        <w:t xml:space="preserve">Considera esta Colegiatura que es competente para resolver de plano acerca de la recusación formulada en contra del titular del Juzgado Primero Penal del Circuito Especializado de Pereira (Rda.), de conformidad con lo dispuesto en el artículo 60 de la Ley 906/04, modificado por el artículo 84 de la Ley 1395 de 2010, no obstante que la jurisprudencia de la Sala de Casación Penal de la Corte Suprema de Justicia, desde el año 2015, en el radicado </w:t>
      </w:r>
      <w:proofErr w:type="spellStart"/>
      <w:r w:rsidRPr="003D52A1">
        <w:rPr>
          <w:rFonts w:ascii="Arial" w:hAnsi="Arial" w:cs="Arial"/>
          <w:sz w:val="20"/>
          <w:szCs w:val="12"/>
          <w:lang w:eastAsia="es-MX"/>
        </w:rPr>
        <w:t>AP4589</w:t>
      </w:r>
      <w:proofErr w:type="spellEnd"/>
      <w:r w:rsidRPr="003D52A1">
        <w:rPr>
          <w:rFonts w:ascii="Arial" w:hAnsi="Arial" w:cs="Arial"/>
          <w:sz w:val="20"/>
          <w:szCs w:val="12"/>
          <w:lang w:eastAsia="es-MX"/>
        </w:rPr>
        <w:t>-2015 (46501)</w:t>
      </w:r>
      <w:r>
        <w:rPr>
          <w:rFonts w:ascii="Arial" w:hAnsi="Arial" w:cs="Arial"/>
          <w:sz w:val="20"/>
          <w:szCs w:val="12"/>
          <w:lang w:eastAsia="es-MX"/>
        </w:rPr>
        <w:t>…</w:t>
      </w:r>
      <w:r w:rsidRPr="003D52A1">
        <w:rPr>
          <w:rFonts w:ascii="Arial" w:hAnsi="Arial" w:cs="Arial"/>
          <w:sz w:val="20"/>
          <w:szCs w:val="12"/>
          <w:lang w:eastAsia="es-MX"/>
        </w:rPr>
        <w:t>, ha estimado que de acuerdo con el contenido de los artículos 57 y 60 de la Ley 906 de 2004, la recusación debe seguir el trámite previsto para los impedimentos</w:t>
      </w:r>
      <w:r>
        <w:rPr>
          <w:rFonts w:ascii="Arial" w:hAnsi="Arial" w:cs="Arial"/>
          <w:sz w:val="20"/>
          <w:szCs w:val="12"/>
          <w:lang w:eastAsia="es-MX"/>
        </w:rPr>
        <w:t>…</w:t>
      </w:r>
    </w:p>
    <w:p w14:paraId="3F4AF46F" w14:textId="77777777" w:rsidR="00236485" w:rsidRPr="00236485" w:rsidRDefault="00236485" w:rsidP="00236485">
      <w:pPr>
        <w:overflowPunct/>
        <w:autoSpaceDE/>
        <w:autoSpaceDN/>
        <w:adjustRightInd/>
        <w:spacing w:line="240" w:lineRule="auto"/>
        <w:textAlignment w:val="auto"/>
        <w:rPr>
          <w:rFonts w:ascii="Arial" w:hAnsi="Arial" w:cs="Arial"/>
          <w:sz w:val="20"/>
          <w:szCs w:val="12"/>
          <w:lang w:eastAsia="es-MX"/>
        </w:rPr>
      </w:pPr>
    </w:p>
    <w:p w14:paraId="5F73D254" w14:textId="20EFD66D" w:rsidR="00EF1723" w:rsidRPr="00EF1723" w:rsidRDefault="003A6CC3" w:rsidP="00EF1723">
      <w:pPr>
        <w:overflowPunct/>
        <w:autoSpaceDE/>
        <w:autoSpaceDN/>
        <w:adjustRightInd/>
        <w:spacing w:line="240" w:lineRule="auto"/>
        <w:textAlignment w:val="auto"/>
        <w:rPr>
          <w:rFonts w:ascii="Arial" w:hAnsi="Arial" w:cs="Arial"/>
          <w:b/>
          <w:sz w:val="20"/>
          <w:szCs w:val="12"/>
          <w:lang w:eastAsia="es-MX"/>
        </w:rPr>
      </w:pPr>
      <w:r>
        <w:rPr>
          <w:rFonts w:ascii="Arial" w:hAnsi="Arial" w:cs="Arial"/>
          <w:b/>
          <w:sz w:val="20"/>
          <w:szCs w:val="12"/>
          <w:lang w:eastAsia="es-MX"/>
        </w:rPr>
        <w:t xml:space="preserve">RECUSACIÓN / FINALIDAD / CAUSALES / </w:t>
      </w:r>
      <w:proofErr w:type="spellStart"/>
      <w:r>
        <w:rPr>
          <w:rFonts w:ascii="Arial" w:hAnsi="Arial" w:cs="Arial"/>
          <w:b/>
          <w:sz w:val="20"/>
          <w:szCs w:val="12"/>
          <w:lang w:eastAsia="es-MX"/>
        </w:rPr>
        <w:t>TAXATIVIDAD</w:t>
      </w:r>
      <w:proofErr w:type="spellEnd"/>
    </w:p>
    <w:p w14:paraId="39900ABC" w14:textId="66D7ECD7" w:rsidR="00236485" w:rsidRPr="003A6CC3" w:rsidRDefault="003A6CC3" w:rsidP="003A6CC3">
      <w:pPr>
        <w:overflowPunct/>
        <w:autoSpaceDE/>
        <w:autoSpaceDN/>
        <w:adjustRightInd/>
        <w:spacing w:line="240" w:lineRule="auto"/>
        <w:textAlignment w:val="auto"/>
        <w:rPr>
          <w:rFonts w:ascii="Arial" w:hAnsi="Arial" w:cs="Arial"/>
          <w:sz w:val="20"/>
          <w:szCs w:val="12"/>
          <w:lang w:eastAsia="es-MX"/>
        </w:rPr>
      </w:pPr>
      <w:r w:rsidRPr="003A6CC3">
        <w:rPr>
          <w:rFonts w:ascii="Arial" w:hAnsi="Arial" w:cs="Arial"/>
          <w:sz w:val="20"/>
          <w:szCs w:val="12"/>
          <w:lang w:eastAsia="es-MX"/>
        </w:rPr>
        <w:t>La jurisprudencia constitucional ha puntualizado que los atributos de independencia e imparcialidad del funcionario judicial están orientados a salvaguardar los principios esenciales de la Administración de Justicia, y se traducen en un derecho subjetivo de los ciudadanos en la medida que forman parte del debido proceso. Los impedimentos y las recusaciones son los mecanismos previstos en el orden jurídico para garantizar el principio de imparcialidad del funcionario judicial</w:t>
      </w:r>
      <w:r>
        <w:rPr>
          <w:rFonts w:ascii="Arial" w:hAnsi="Arial" w:cs="Arial"/>
          <w:sz w:val="20"/>
          <w:szCs w:val="12"/>
          <w:lang w:eastAsia="es-MX"/>
        </w:rPr>
        <w:t xml:space="preserve">… </w:t>
      </w:r>
      <w:r w:rsidRPr="003A6CC3">
        <w:rPr>
          <w:rFonts w:ascii="Arial" w:hAnsi="Arial" w:cs="Arial"/>
          <w:sz w:val="20"/>
          <w:szCs w:val="12"/>
          <w:lang w:eastAsia="es-MX"/>
        </w:rPr>
        <w:t>Las causales de impedimento y recusaciones son taxativas y, por lo mismo, de restrictiva aplicación.</w:t>
      </w:r>
    </w:p>
    <w:p w14:paraId="65F8A1EA" w14:textId="77777777" w:rsidR="00236485" w:rsidRPr="00236485" w:rsidRDefault="00236485" w:rsidP="00236485">
      <w:pPr>
        <w:overflowPunct/>
        <w:autoSpaceDE/>
        <w:autoSpaceDN/>
        <w:adjustRightInd/>
        <w:spacing w:line="240" w:lineRule="auto"/>
        <w:textAlignment w:val="auto"/>
        <w:rPr>
          <w:rFonts w:ascii="Arial" w:hAnsi="Arial" w:cs="Arial"/>
          <w:sz w:val="20"/>
          <w:szCs w:val="12"/>
          <w:lang w:eastAsia="es-MX"/>
        </w:rPr>
      </w:pPr>
    </w:p>
    <w:p w14:paraId="18D10E49" w14:textId="087E126F" w:rsidR="003A6CC3" w:rsidRPr="00EF1723" w:rsidRDefault="003A6CC3" w:rsidP="003A6CC3">
      <w:pPr>
        <w:overflowPunct/>
        <w:autoSpaceDE/>
        <w:autoSpaceDN/>
        <w:adjustRightInd/>
        <w:spacing w:line="240" w:lineRule="auto"/>
        <w:textAlignment w:val="auto"/>
        <w:rPr>
          <w:rFonts w:ascii="Arial" w:hAnsi="Arial" w:cs="Arial"/>
          <w:b/>
          <w:sz w:val="20"/>
          <w:szCs w:val="12"/>
          <w:lang w:eastAsia="es-MX"/>
        </w:rPr>
      </w:pPr>
      <w:r>
        <w:rPr>
          <w:rFonts w:ascii="Arial" w:hAnsi="Arial" w:cs="Arial"/>
          <w:b/>
          <w:sz w:val="20"/>
          <w:szCs w:val="12"/>
          <w:lang w:eastAsia="es-MX"/>
        </w:rPr>
        <w:t xml:space="preserve">RECUSACIÓN / CAUSAL / </w:t>
      </w:r>
      <w:r w:rsidR="00D244CF">
        <w:rPr>
          <w:rFonts w:ascii="Arial" w:hAnsi="Arial" w:cs="Arial"/>
          <w:b/>
          <w:sz w:val="20"/>
          <w:szCs w:val="12"/>
          <w:lang w:eastAsia="es-MX"/>
        </w:rPr>
        <w:t>HABER EMITIDO OPINIÓN EN EJERCICIO DE SUS FUNCIONES</w:t>
      </w:r>
    </w:p>
    <w:p w14:paraId="0E688320" w14:textId="7467FE0C" w:rsidR="00236485" w:rsidRPr="00236485" w:rsidRDefault="00AC1A4D" w:rsidP="00AC1A4D">
      <w:pPr>
        <w:overflowPunct/>
        <w:autoSpaceDE/>
        <w:autoSpaceDN/>
        <w:adjustRightInd/>
        <w:spacing w:line="240" w:lineRule="auto"/>
        <w:textAlignment w:val="auto"/>
        <w:rPr>
          <w:rFonts w:ascii="Arial" w:hAnsi="Arial" w:cs="Arial"/>
          <w:sz w:val="20"/>
          <w:szCs w:val="12"/>
          <w:lang w:eastAsia="es-MX"/>
        </w:rPr>
      </w:pPr>
      <w:r>
        <w:rPr>
          <w:rFonts w:ascii="Arial" w:hAnsi="Arial" w:cs="Arial"/>
          <w:sz w:val="20"/>
          <w:szCs w:val="12"/>
          <w:lang w:eastAsia="es-MX"/>
        </w:rPr>
        <w:t xml:space="preserve">… </w:t>
      </w:r>
      <w:r w:rsidRPr="00AC1A4D">
        <w:rPr>
          <w:rFonts w:ascii="Arial" w:hAnsi="Arial" w:cs="Arial"/>
          <w:sz w:val="20"/>
          <w:szCs w:val="12"/>
          <w:lang w:eastAsia="es-MX"/>
        </w:rPr>
        <w:t xml:space="preserve">la causal de impedimento contemplada en el numeral 6º del artículo 56 </w:t>
      </w:r>
      <w:proofErr w:type="spellStart"/>
      <w:r w:rsidRPr="00AC1A4D">
        <w:rPr>
          <w:rFonts w:ascii="Arial" w:hAnsi="Arial" w:cs="Arial"/>
          <w:sz w:val="20"/>
          <w:szCs w:val="12"/>
          <w:lang w:eastAsia="es-MX"/>
        </w:rPr>
        <w:t>C.P.P</w:t>
      </w:r>
      <w:proofErr w:type="spellEnd"/>
      <w:r w:rsidRPr="00AC1A4D">
        <w:rPr>
          <w:rFonts w:ascii="Arial" w:hAnsi="Arial" w:cs="Arial"/>
          <w:sz w:val="20"/>
          <w:szCs w:val="12"/>
          <w:lang w:eastAsia="es-MX"/>
        </w:rPr>
        <w:t>.- la cual se configura cuando “[…] el funcionario haya dictado la providencia de cuya revisión se trata, o hubiere participado dentro del proceso […]”. Y respecto a esta la jurisprudencia ha plasmado lo siguiente:</w:t>
      </w:r>
      <w:r>
        <w:rPr>
          <w:rFonts w:ascii="Arial" w:hAnsi="Arial" w:cs="Arial"/>
          <w:sz w:val="20"/>
          <w:szCs w:val="12"/>
          <w:lang w:eastAsia="es-MX"/>
        </w:rPr>
        <w:t xml:space="preserve"> </w:t>
      </w:r>
      <w:r w:rsidRPr="00AC1A4D">
        <w:rPr>
          <w:rFonts w:ascii="Arial" w:hAnsi="Arial" w:cs="Arial"/>
          <w:sz w:val="20"/>
          <w:szCs w:val="12"/>
          <w:lang w:eastAsia="es-MX"/>
        </w:rPr>
        <w:t>“[…] en punto de la causal impeditiva objeto de análisis, ha dicho la Corte que cuando se trate de una opinión emitida en ejercicio de las funciones, debe verificarse si la opinión expuesta en el citado pronunciamiento es lo suficientemente relevante como para perturbar la imparcialidad del funcionario y si versa sobre alguno de los temas que se deben abordar en el nuevo proceso</w:t>
      </w:r>
      <w:r>
        <w:rPr>
          <w:rFonts w:ascii="Arial" w:hAnsi="Arial" w:cs="Arial"/>
          <w:sz w:val="20"/>
          <w:szCs w:val="12"/>
          <w:lang w:eastAsia="es-MX"/>
        </w:rPr>
        <w:t>…”</w:t>
      </w:r>
    </w:p>
    <w:p w14:paraId="5A7B126E" w14:textId="77777777" w:rsidR="00236485" w:rsidRPr="00236485" w:rsidRDefault="00236485" w:rsidP="00236485">
      <w:pPr>
        <w:overflowPunct/>
        <w:autoSpaceDE/>
        <w:autoSpaceDN/>
        <w:adjustRightInd/>
        <w:spacing w:line="240" w:lineRule="auto"/>
        <w:textAlignment w:val="auto"/>
        <w:rPr>
          <w:rFonts w:ascii="Arial" w:hAnsi="Arial" w:cs="Arial"/>
          <w:sz w:val="20"/>
          <w:szCs w:val="12"/>
          <w:lang w:eastAsia="es-MX"/>
        </w:rPr>
      </w:pPr>
    </w:p>
    <w:p w14:paraId="0B0B5CB0" w14:textId="3145D2A8" w:rsidR="007F1C41" w:rsidRPr="00EF1723" w:rsidRDefault="007F1C41" w:rsidP="007F1C41">
      <w:pPr>
        <w:overflowPunct/>
        <w:autoSpaceDE/>
        <w:autoSpaceDN/>
        <w:adjustRightInd/>
        <w:spacing w:line="240" w:lineRule="auto"/>
        <w:textAlignment w:val="auto"/>
        <w:rPr>
          <w:rFonts w:ascii="Arial" w:hAnsi="Arial" w:cs="Arial"/>
          <w:b/>
          <w:sz w:val="20"/>
          <w:szCs w:val="12"/>
          <w:lang w:eastAsia="es-MX"/>
        </w:rPr>
      </w:pPr>
      <w:r>
        <w:rPr>
          <w:rFonts w:ascii="Arial" w:hAnsi="Arial" w:cs="Arial"/>
          <w:b/>
          <w:sz w:val="20"/>
          <w:szCs w:val="12"/>
          <w:lang w:eastAsia="es-MX"/>
        </w:rPr>
        <w:t xml:space="preserve">RECUSACIÓN / HABER EMITIDO OPINIÓN </w:t>
      </w:r>
      <w:r>
        <w:rPr>
          <w:rFonts w:ascii="Arial" w:hAnsi="Arial" w:cs="Arial"/>
          <w:b/>
          <w:sz w:val="20"/>
          <w:szCs w:val="12"/>
          <w:lang w:eastAsia="es-MX"/>
        </w:rPr>
        <w:t xml:space="preserve">/ </w:t>
      </w:r>
      <w:r w:rsidR="00C5642A">
        <w:rPr>
          <w:rFonts w:ascii="Arial" w:hAnsi="Arial" w:cs="Arial"/>
          <w:b/>
          <w:sz w:val="20"/>
          <w:szCs w:val="12"/>
          <w:lang w:eastAsia="es-MX"/>
        </w:rPr>
        <w:t>APLICACIÓN RESTRICTIVA</w:t>
      </w:r>
    </w:p>
    <w:p w14:paraId="3E7EDB74" w14:textId="25F690F8" w:rsidR="00236485" w:rsidRDefault="006B2109" w:rsidP="006B2109">
      <w:pPr>
        <w:overflowPunct/>
        <w:autoSpaceDE/>
        <w:autoSpaceDN/>
        <w:adjustRightInd/>
        <w:spacing w:line="240" w:lineRule="auto"/>
        <w:textAlignment w:val="auto"/>
        <w:rPr>
          <w:rFonts w:ascii="Arial" w:hAnsi="Arial" w:cs="Arial"/>
          <w:sz w:val="20"/>
          <w:szCs w:val="12"/>
          <w:lang w:eastAsia="es-MX"/>
        </w:rPr>
      </w:pPr>
      <w:r w:rsidRPr="006B2109">
        <w:rPr>
          <w:rFonts w:ascii="Arial" w:hAnsi="Arial" w:cs="Arial"/>
          <w:sz w:val="20"/>
          <w:szCs w:val="12"/>
          <w:lang w:eastAsia="es-MX"/>
        </w:rPr>
        <w:t>De igual manera ha sostenido esa alta Corporación lo siguiente:</w:t>
      </w:r>
      <w:r w:rsidR="007F1C41">
        <w:rPr>
          <w:rFonts w:ascii="Arial" w:hAnsi="Arial" w:cs="Arial"/>
          <w:sz w:val="20"/>
          <w:szCs w:val="12"/>
          <w:lang w:eastAsia="es-MX"/>
        </w:rPr>
        <w:t xml:space="preserve"> </w:t>
      </w:r>
      <w:r w:rsidRPr="006B2109">
        <w:rPr>
          <w:rFonts w:ascii="Arial" w:hAnsi="Arial" w:cs="Arial"/>
          <w:sz w:val="20"/>
          <w:szCs w:val="12"/>
          <w:lang w:eastAsia="es-MX"/>
        </w:rPr>
        <w:t xml:space="preserve">“No obstante, ha expuesto la Corte de forma pacífica que no toda opinión ajena al proceso origina una circunstancia impeditiva.  Tampoco la configura aquella que expresa el juez en ejercicio de sus funciones, pues «ello entrañaría el absurdo de que la facultad que la ley otorga al juez para cumplir su actividad judicial a la vez lo inhabilita para intervenir en otros asuntos de su competencia» (CSJ </w:t>
      </w:r>
      <w:proofErr w:type="spellStart"/>
      <w:r w:rsidRPr="006B2109">
        <w:rPr>
          <w:rFonts w:ascii="Arial" w:hAnsi="Arial" w:cs="Arial"/>
          <w:sz w:val="20"/>
          <w:szCs w:val="12"/>
          <w:lang w:eastAsia="es-MX"/>
        </w:rPr>
        <w:t>AP4977</w:t>
      </w:r>
      <w:proofErr w:type="spellEnd"/>
      <w:r w:rsidRPr="006B2109">
        <w:rPr>
          <w:rFonts w:ascii="Arial" w:hAnsi="Arial" w:cs="Arial"/>
          <w:sz w:val="20"/>
          <w:szCs w:val="12"/>
          <w:lang w:eastAsia="es-MX"/>
        </w:rPr>
        <w:t xml:space="preserve"> – 2014).  La única excepción a tal regla es que el funcionario haya dictado la providencia de cuya revisión se trata.</w:t>
      </w:r>
    </w:p>
    <w:p w14:paraId="42BAF918" w14:textId="19F2E6BC" w:rsidR="006B2109" w:rsidRDefault="006B2109" w:rsidP="00236485">
      <w:pPr>
        <w:overflowPunct/>
        <w:autoSpaceDE/>
        <w:autoSpaceDN/>
        <w:adjustRightInd/>
        <w:spacing w:line="240" w:lineRule="auto"/>
        <w:textAlignment w:val="auto"/>
        <w:rPr>
          <w:rFonts w:ascii="Arial" w:hAnsi="Arial" w:cs="Arial"/>
          <w:sz w:val="20"/>
          <w:szCs w:val="12"/>
          <w:lang w:eastAsia="es-MX"/>
        </w:rPr>
      </w:pPr>
    </w:p>
    <w:p w14:paraId="168A8C0C" w14:textId="77777777" w:rsidR="006B2109" w:rsidRPr="00236485" w:rsidRDefault="006B2109" w:rsidP="00236485">
      <w:pPr>
        <w:overflowPunct/>
        <w:autoSpaceDE/>
        <w:autoSpaceDN/>
        <w:adjustRightInd/>
        <w:spacing w:line="240" w:lineRule="auto"/>
        <w:textAlignment w:val="auto"/>
        <w:rPr>
          <w:rFonts w:ascii="Arial" w:hAnsi="Arial" w:cs="Arial"/>
          <w:sz w:val="20"/>
          <w:szCs w:val="12"/>
          <w:lang w:eastAsia="es-MX"/>
        </w:rPr>
      </w:pPr>
    </w:p>
    <w:p w14:paraId="23B5D4A6" w14:textId="77777777" w:rsidR="00236485" w:rsidRPr="00236485" w:rsidRDefault="00236485" w:rsidP="00236485">
      <w:pPr>
        <w:overflowPunct/>
        <w:autoSpaceDE/>
        <w:autoSpaceDN/>
        <w:adjustRightInd/>
        <w:spacing w:line="240" w:lineRule="auto"/>
        <w:textAlignment w:val="auto"/>
        <w:rPr>
          <w:rFonts w:ascii="Arial" w:hAnsi="Arial" w:cs="Arial"/>
          <w:sz w:val="20"/>
          <w:szCs w:val="12"/>
          <w:lang w:eastAsia="es-MX"/>
        </w:rPr>
      </w:pPr>
    </w:p>
    <w:p w14:paraId="002C96D9" w14:textId="77777777" w:rsidR="00236485" w:rsidRPr="00236485" w:rsidRDefault="00236485" w:rsidP="00236485">
      <w:pPr>
        <w:overflowPunct/>
        <w:autoSpaceDE/>
        <w:autoSpaceDN/>
        <w:adjustRightInd/>
        <w:spacing w:line="240" w:lineRule="auto"/>
        <w:jc w:val="center"/>
        <w:textAlignment w:val="auto"/>
        <w:rPr>
          <w:rFonts w:cs="Times New Roman"/>
          <w:b/>
          <w:sz w:val="16"/>
          <w:szCs w:val="12"/>
          <w:lang w:eastAsia="es-MX"/>
        </w:rPr>
      </w:pPr>
      <w:r w:rsidRPr="00236485">
        <w:rPr>
          <w:rFonts w:cs="Times New Roman"/>
          <w:b/>
          <w:sz w:val="16"/>
          <w:szCs w:val="12"/>
          <w:lang w:eastAsia="es-MX"/>
        </w:rPr>
        <w:t>REPÚBLICA DE COLOMBIA</w:t>
      </w:r>
    </w:p>
    <w:p w14:paraId="49A3B4A9" w14:textId="77777777" w:rsidR="00236485" w:rsidRPr="00236485" w:rsidRDefault="00236485" w:rsidP="00236485">
      <w:pPr>
        <w:overflowPunct/>
        <w:autoSpaceDE/>
        <w:autoSpaceDN/>
        <w:adjustRightInd/>
        <w:spacing w:line="240" w:lineRule="auto"/>
        <w:jc w:val="center"/>
        <w:textAlignment w:val="auto"/>
        <w:rPr>
          <w:rFonts w:cs="Times New Roman"/>
          <w:b/>
          <w:sz w:val="16"/>
          <w:szCs w:val="12"/>
          <w:lang w:eastAsia="es-MX"/>
        </w:rPr>
      </w:pPr>
      <w:r w:rsidRPr="00236485">
        <w:rPr>
          <w:rFonts w:cs="Times New Roman"/>
          <w:b/>
          <w:sz w:val="16"/>
          <w:szCs w:val="12"/>
          <w:lang w:eastAsia="es-MX"/>
        </w:rPr>
        <w:t>PEREIRA-RISARALDA</w:t>
      </w:r>
    </w:p>
    <w:p w14:paraId="28568938" w14:textId="3FF11FA4" w:rsidR="00236485" w:rsidRPr="00236485" w:rsidRDefault="00236485" w:rsidP="00236485">
      <w:pPr>
        <w:overflowPunct/>
        <w:autoSpaceDE/>
        <w:autoSpaceDN/>
        <w:adjustRightInd/>
        <w:spacing w:line="240" w:lineRule="auto"/>
        <w:jc w:val="center"/>
        <w:textAlignment w:val="auto"/>
        <w:rPr>
          <w:rFonts w:cs="Times New Roman"/>
          <w:sz w:val="16"/>
          <w:szCs w:val="12"/>
          <w:lang w:eastAsia="es-MX"/>
        </w:rPr>
      </w:pPr>
      <w:r w:rsidRPr="00236485">
        <w:rPr>
          <w:rFonts w:ascii="Times New Roman" w:hAnsi="Times New Roman" w:cs="Times New Roman"/>
          <w:noProof/>
          <w:sz w:val="24"/>
          <w:szCs w:val="20"/>
          <w:lang w:val="en-US" w:eastAsia="en-US"/>
        </w:rPr>
        <w:drawing>
          <wp:anchor distT="0" distB="0" distL="114300" distR="114300" simplePos="0" relativeHeight="251666432" behindDoc="1" locked="0" layoutInCell="1" allowOverlap="1" wp14:anchorId="333C7FE6" wp14:editId="07937B62">
            <wp:simplePos x="0" y="0"/>
            <wp:positionH relativeFrom="column">
              <wp:align>center</wp:align>
            </wp:positionH>
            <wp:positionV relativeFrom="paragraph">
              <wp:posOffset>136525</wp:posOffset>
            </wp:positionV>
            <wp:extent cx="777875" cy="532130"/>
            <wp:effectExtent l="0" t="0" r="3175" b="127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6485">
        <w:rPr>
          <w:rFonts w:cs="Times New Roman"/>
          <w:b/>
          <w:sz w:val="16"/>
          <w:szCs w:val="12"/>
          <w:lang w:eastAsia="es-MX"/>
        </w:rPr>
        <w:t>RAMA JUDICIAL</w:t>
      </w:r>
    </w:p>
    <w:p w14:paraId="1ADAF8B2" w14:textId="77777777" w:rsidR="00236485" w:rsidRPr="00236485" w:rsidRDefault="00236485" w:rsidP="00236485">
      <w:pPr>
        <w:overflowPunct/>
        <w:autoSpaceDE/>
        <w:autoSpaceDN/>
        <w:adjustRightInd/>
        <w:jc w:val="center"/>
        <w:textAlignment w:val="auto"/>
        <w:rPr>
          <w:rFonts w:ascii="Algerian" w:hAnsi="Algerian" w:cs="Times New Roman"/>
          <w:b/>
          <w:sz w:val="28"/>
          <w:szCs w:val="28"/>
          <w:lang w:eastAsia="es-MX"/>
        </w:rPr>
      </w:pPr>
      <w:r w:rsidRPr="00236485">
        <w:rPr>
          <w:rFonts w:ascii="Algerian" w:hAnsi="Algerian" w:cs="Times New Roman"/>
          <w:b/>
          <w:smallCaps/>
          <w:color w:val="000000"/>
          <w:sz w:val="28"/>
          <w:szCs w:val="28"/>
          <w:lang w:eastAsia="es-MX"/>
        </w:rPr>
        <w:t>TRIBUNAL SUPERIOR DE PEREIRA</w:t>
      </w:r>
    </w:p>
    <w:p w14:paraId="5D8385DA" w14:textId="77777777" w:rsidR="00236485" w:rsidRPr="00236485" w:rsidRDefault="00236485" w:rsidP="00236485">
      <w:pPr>
        <w:overflowPunct/>
        <w:autoSpaceDE/>
        <w:autoSpaceDN/>
        <w:adjustRightInd/>
        <w:jc w:val="center"/>
        <w:textAlignment w:val="auto"/>
        <w:rPr>
          <w:rFonts w:ascii="Algerian" w:hAnsi="Algerian" w:cs="Times New Roman"/>
          <w:b/>
          <w:smallCaps/>
          <w:color w:val="000000"/>
          <w:sz w:val="28"/>
          <w:szCs w:val="28"/>
          <w:lang w:eastAsia="es-MX"/>
        </w:rPr>
      </w:pPr>
      <w:r w:rsidRPr="00236485">
        <w:rPr>
          <w:rFonts w:ascii="Algerian" w:hAnsi="Algerian" w:cs="Times New Roman"/>
          <w:b/>
          <w:smallCaps/>
          <w:color w:val="000000"/>
          <w:sz w:val="28"/>
          <w:szCs w:val="28"/>
          <w:lang w:eastAsia="es-MX"/>
        </w:rPr>
        <w:t>SALA DE DECISIÓN PENAL</w:t>
      </w:r>
    </w:p>
    <w:p w14:paraId="19B2D716" w14:textId="77777777" w:rsidR="00236485" w:rsidRPr="00236485" w:rsidRDefault="00236485" w:rsidP="00236485">
      <w:pPr>
        <w:overflowPunct/>
        <w:autoSpaceDE/>
        <w:autoSpaceDN/>
        <w:adjustRightInd/>
        <w:jc w:val="center"/>
        <w:textAlignment w:val="auto"/>
        <w:rPr>
          <w:rFonts w:cs="Times New Roman"/>
          <w:szCs w:val="20"/>
          <w:lang w:eastAsia="es-MX"/>
        </w:rPr>
      </w:pPr>
      <w:r w:rsidRPr="00236485">
        <w:rPr>
          <w:rFonts w:cs="Times New Roman"/>
          <w:szCs w:val="20"/>
          <w:lang w:eastAsia="es-MX"/>
        </w:rPr>
        <w:t>Magistrado Ponente</w:t>
      </w:r>
    </w:p>
    <w:p w14:paraId="7CF22721" w14:textId="77777777" w:rsidR="00236485" w:rsidRPr="00236485" w:rsidRDefault="00236485" w:rsidP="00236485">
      <w:pPr>
        <w:overflowPunct/>
        <w:autoSpaceDE/>
        <w:autoSpaceDN/>
        <w:adjustRightInd/>
        <w:jc w:val="center"/>
        <w:textAlignment w:val="auto"/>
        <w:rPr>
          <w:rFonts w:cs="Times New Roman"/>
          <w:b/>
          <w:sz w:val="24"/>
          <w:szCs w:val="24"/>
          <w:lang w:eastAsia="es-MX"/>
        </w:rPr>
      </w:pPr>
      <w:r w:rsidRPr="00236485">
        <w:rPr>
          <w:rFonts w:cs="Times New Roman"/>
          <w:b/>
          <w:sz w:val="24"/>
          <w:szCs w:val="24"/>
          <w:lang w:eastAsia="es-MX"/>
        </w:rPr>
        <w:t>CARLOS ALBERTO PAZ ZÚÑIGA</w:t>
      </w:r>
    </w:p>
    <w:p w14:paraId="70D40968" w14:textId="4E8647A3" w:rsidR="00236485" w:rsidRDefault="00236485" w:rsidP="00236485">
      <w:pPr>
        <w:overflowPunct/>
        <w:autoSpaceDE/>
        <w:autoSpaceDN/>
        <w:adjustRightInd/>
        <w:textAlignment w:val="auto"/>
        <w:rPr>
          <w:position w:val="-4"/>
          <w:sz w:val="24"/>
          <w:szCs w:val="24"/>
          <w:lang w:eastAsia="es-MX"/>
        </w:rPr>
      </w:pPr>
    </w:p>
    <w:p w14:paraId="7ECC61D9" w14:textId="77777777" w:rsidR="00012398" w:rsidRPr="00236485" w:rsidRDefault="00012398" w:rsidP="00236485">
      <w:pPr>
        <w:jc w:val="center"/>
        <w:rPr>
          <w:sz w:val="24"/>
          <w:szCs w:val="24"/>
        </w:rPr>
      </w:pPr>
      <w:r w:rsidRPr="00236485">
        <w:rPr>
          <w:sz w:val="24"/>
          <w:szCs w:val="24"/>
        </w:rPr>
        <w:t xml:space="preserve">Pereira, </w:t>
      </w:r>
      <w:r w:rsidR="006C5DA2" w:rsidRPr="00236485">
        <w:rPr>
          <w:sz w:val="24"/>
          <w:szCs w:val="24"/>
        </w:rPr>
        <w:t>dieci</w:t>
      </w:r>
      <w:r w:rsidR="00782500" w:rsidRPr="00236485">
        <w:rPr>
          <w:sz w:val="24"/>
          <w:szCs w:val="24"/>
        </w:rPr>
        <w:t>nueve</w:t>
      </w:r>
      <w:r w:rsidR="00F227FA" w:rsidRPr="00236485">
        <w:rPr>
          <w:sz w:val="24"/>
          <w:szCs w:val="24"/>
        </w:rPr>
        <w:t xml:space="preserve"> </w:t>
      </w:r>
      <w:r w:rsidR="006C5DA2" w:rsidRPr="00236485">
        <w:rPr>
          <w:sz w:val="24"/>
          <w:szCs w:val="24"/>
        </w:rPr>
        <w:t>(1</w:t>
      </w:r>
      <w:r w:rsidR="00782500" w:rsidRPr="00236485">
        <w:rPr>
          <w:sz w:val="24"/>
          <w:szCs w:val="24"/>
        </w:rPr>
        <w:t>9</w:t>
      </w:r>
      <w:r w:rsidRPr="00236485">
        <w:rPr>
          <w:sz w:val="24"/>
          <w:szCs w:val="24"/>
        </w:rPr>
        <w:t xml:space="preserve">) de </w:t>
      </w:r>
      <w:r w:rsidR="00F227FA" w:rsidRPr="00236485">
        <w:rPr>
          <w:sz w:val="24"/>
          <w:szCs w:val="24"/>
        </w:rPr>
        <w:t xml:space="preserve">septiembre </w:t>
      </w:r>
      <w:r w:rsidRPr="00236485">
        <w:rPr>
          <w:sz w:val="24"/>
          <w:szCs w:val="24"/>
        </w:rPr>
        <w:t>de dos mil veintitrés (2023)</w:t>
      </w:r>
    </w:p>
    <w:p w14:paraId="0A6B277A" w14:textId="77777777" w:rsidR="00012398" w:rsidRPr="00236485" w:rsidRDefault="00012398" w:rsidP="00236485">
      <w:pPr>
        <w:rPr>
          <w:sz w:val="24"/>
          <w:szCs w:val="24"/>
        </w:rPr>
      </w:pPr>
    </w:p>
    <w:p w14:paraId="4BD61A23" w14:textId="53D85659" w:rsidR="00012398" w:rsidRPr="00236485" w:rsidRDefault="00012398" w:rsidP="00236485">
      <w:pPr>
        <w:jc w:val="center"/>
        <w:rPr>
          <w:sz w:val="24"/>
          <w:szCs w:val="24"/>
        </w:rPr>
      </w:pPr>
      <w:r w:rsidRPr="00236485">
        <w:rPr>
          <w:sz w:val="24"/>
          <w:szCs w:val="24"/>
        </w:rPr>
        <w:t xml:space="preserve">Acta de Aprobación No </w:t>
      </w:r>
      <w:r w:rsidR="00782500" w:rsidRPr="00236485">
        <w:rPr>
          <w:sz w:val="24"/>
          <w:szCs w:val="24"/>
        </w:rPr>
        <w:t>1012</w:t>
      </w:r>
    </w:p>
    <w:p w14:paraId="6FB57EA1" w14:textId="092414B1" w:rsidR="00012398" w:rsidRPr="00236485" w:rsidRDefault="00012398" w:rsidP="00236485">
      <w:pPr>
        <w:jc w:val="center"/>
        <w:rPr>
          <w:sz w:val="24"/>
          <w:szCs w:val="24"/>
        </w:rPr>
      </w:pPr>
      <w:r w:rsidRPr="00236485">
        <w:rPr>
          <w:sz w:val="24"/>
          <w:szCs w:val="24"/>
        </w:rPr>
        <w:t xml:space="preserve">Hora: </w:t>
      </w:r>
      <w:r w:rsidR="00782500" w:rsidRPr="00236485">
        <w:rPr>
          <w:sz w:val="24"/>
          <w:szCs w:val="24"/>
        </w:rPr>
        <w:t>11:30 a.m.</w:t>
      </w:r>
    </w:p>
    <w:p w14:paraId="483A7D07" w14:textId="56F7511F" w:rsidR="00236485" w:rsidRPr="00236485" w:rsidRDefault="00236485" w:rsidP="00236485">
      <w:pPr>
        <w:jc w:val="center"/>
        <w:rPr>
          <w:sz w:val="24"/>
          <w:szCs w:val="24"/>
        </w:rPr>
      </w:pPr>
      <w:r w:rsidRPr="00236485">
        <w:rPr>
          <w:sz w:val="24"/>
          <w:szCs w:val="24"/>
        </w:rPr>
        <w:t xml:space="preserve">Radicación: </w:t>
      </w:r>
      <w:bookmarkStart w:id="0" w:name="_GoBack"/>
      <w:r w:rsidRPr="00236485">
        <w:rPr>
          <w:sz w:val="24"/>
          <w:szCs w:val="24"/>
        </w:rPr>
        <w:t>66088600006620210034501</w:t>
      </w:r>
      <w:bookmarkEnd w:id="0"/>
    </w:p>
    <w:p w14:paraId="20C7D3D0" w14:textId="405EF82A" w:rsidR="00012398" w:rsidRDefault="00012398" w:rsidP="00236485">
      <w:pPr>
        <w:rPr>
          <w:sz w:val="24"/>
          <w:szCs w:val="24"/>
        </w:rPr>
      </w:pPr>
    </w:p>
    <w:p w14:paraId="16634CAF" w14:textId="77777777" w:rsidR="002F4784" w:rsidRPr="00236485" w:rsidRDefault="002F4784" w:rsidP="00236485">
      <w:pPr>
        <w:rPr>
          <w:sz w:val="24"/>
          <w:szCs w:val="24"/>
        </w:rPr>
      </w:pPr>
    </w:p>
    <w:p w14:paraId="2D1586A4" w14:textId="77777777" w:rsidR="00012398" w:rsidRPr="002F4784" w:rsidRDefault="00012398" w:rsidP="002F4784">
      <w:pPr>
        <w:overflowPunct/>
        <w:autoSpaceDE/>
        <w:autoSpaceDN/>
        <w:adjustRightInd/>
        <w:textAlignment w:val="auto"/>
        <w:rPr>
          <w:rFonts w:ascii="Algerian" w:hAnsi="Algerian"/>
          <w:sz w:val="30"/>
          <w:szCs w:val="20"/>
          <w:lang w:eastAsia="es-MX"/>
        </w:rPr>
      </w:pPr>
      <w:r w:rsidRPr="002F4784">
        <w:rPr>
          <w:rFonts w:ascii="Algerian" w:hAnsi="Algerian"/>
          <w:sz w:val="30"/>
          <w:szCs w:val="20"/>
          <w:lang w:eastAsia="es-MX"/>
        </w:rPr>
        <w:t xml:space="preserve">1.- VISTOS </w:t>
      </w:r>
    </w:p>
    <w:p w14:paraId="2DDAFE45" w14:textId="77777777" w:rsidR="00012398" w:rsidRPr="00236485" w:rsidRDefault="00012398" w:rsidP="00236485">
      <w:pPr>
        <w:pStyle w:val="Textoindependiente"/>
        <w:rPr>
          <w:sz w:val="24"/>
          <w:szCs w:val="24"/>
        </w:rPr>
      </w:pPr>
    </w:p>
    <w:p w14:paraId="45597BDA" w14:textId="3D6CE0AD" w:rsidR="00012398" w:rsidRPr="00236485" w:rsidRDefault="00012398" w:rsidP="00236485">
      <w:pPr>
        <w:pStyle w:val="Textoindependiente"/>
        <w:spacing w:after="0"/>
        <w:rPr>
          <w:sz w:val="24"/>
          <w:szCs w:val="24"/>
        </w:rPr>
      </w:pPr>
      <w:r w:rsidRPr="00236485">
        <w:rPr>
          <w:sz w:val="24"/>
          <w:szCs w:val="24"/>
        </w:rPr>
        <w:t xml:space="preserve">Corresponde a la Corporación pronunciarse respecto a la recusación propuesta </w:t>
      </w:r>
      <w:r w:rsidR="00F227FA" w:rsidRPr="00236485">
        <w:rPr>
          <w:sz w:val="24"/>
          <w:szCs w:val="24"/>
        </w:rPr>
        <w:t xml:space="preserve">tanto por el delegado del ente acusador como </w:t>
      </w:r>
      <w:r w:rsidRPr="00236485">
        <w:rPr>
          <w:sz w:val="24"/>
          <w:szCs w:val="24"/>
        </w:rPr>
        <w:t xml:space="preserve">por </w:t>
      </w:r>
      <w:r w:rsidR="00F227FA" w:rsidRPr="00236485">
        <w:rPr>
          <w:sz w:val="24"/>
          <w:szCs w:val="24"/>
        </w:rPr>
        <w:t>e</w:t>
      </w:r>
      <w:r w:rsidRPr="00236485">
        <w:rPr>
          <w:sz w:val="24"/>
          <w:szCs w:val="24"/>
        </w:rPr>
        <w:t>l apoderad</w:t>
      </w:r>
      <w:r w:rsidR="00F227FA" w:rsidRPr="00236485">
        <w:rPr>
          <w:sz w:val="24"/>
          <w:szCs w:val="24"/>
        </w:rPr>
        <w:t>o</w:t>
      </w:r>
      <w:r w:rsidRPr="00236485">
        <w:rPr>
          <w:sz w:val="24"/>
          <w:szCs w:val="24"/>
        </w:rPr>
        <w:t xml:space="preserve"> del señor </w:t>
      </w:r>
      <w:proofErr w:type="spellStart"/>
      <w:r w:rsidR="008633C5">
        <w:rPr>
          <w:b/>
          <w:sz w:val="24"/>
          <w:szCs w:val="24"/>
        </w:rPr>
        <w:t>JMP</w:t>
      </w:r>
      <w:proofErr w:type="spellEnd"/>
      <w:r w:rsidRPr="00236485">
        <w:rPr>
          <w:sz w:val="24"/>
          <w:szCs w:val="24"/>
        </w:rPr>
        <w:t xml:space="preserve">, contra el </w:t>
      </w:r>
      <w:r w:rsidRPr="00236485">
        <w:rPr>
          <w:sz w:val="24"/>
          <w:szCs w:val="24"/>
        </w:rPr>
        <w:lastRenderedPageBreak/>
        <w:t xml:space="preserve">titular del Juzgado Primero Penal del Circuito Especializado de esta capital, con ocasión del trámite surtido en el proceso seguido </w:t>
      </w:r>
      <w:r w:rsidR="00CD05F4" w:rsidRPr="00236485">
        <w:rPr>
          <w:sz w:val="24"/>
          <w:szCs w:val="24"/>
        </w:rPr>
        <w:t>frente a</w:t>
      </w:r>
      <w:r w:rsidRPr="00236485">
        <w:rPr>
          <w:sz w:val="24"/>
          <w:szCs w:val="24"/>
        </w:rPr>
        <w:t>l antes mencionado</w:t>
      </w:r>
      <w:r w:rsidR="00F227FA" w:rsidRPr="00236485">
        <w:rPr>
          <w:sz w:val="24"/>
          <w:szCs w:val="24"/>
        </w:rPr>
        <w:t>.</w:t>
      </w:r>
    </w:p>
    <w:p w14:paraId="14F12B6C" w14:textId="77777777" w:rsidR="00012398" w:rsidRPr="00236485" w:rsidRDefault="00012398" w:rsidP="00236485">
      <w:pPr>
        <w:rPr>
          <w:sz w:val="24"/>
          <w:szCs w:val="24"/>
        </w:rPr>
      </w:pPr>
    </w:p>
    <w:p w14:paraId="031B7DD1" w14:textId="77777777" w:rsidR="00012398" w:rsidRPr="002F4784" w:rsidRDefault="00012398" w:rsidP="002F4784">
      <w:pPr>
        <w:overflowPunct/>
        <w:autoSpaceDE/>
        <w:autoSpaceDN/>
        <w:adjustRightInd/>
        <w:textAlignment w:val="auto"/>
        <w:rPr>
          <w:rFonts w:ascii="Algerian" w:hAnsi="Algerian"/>
          <w:sz w:val="30"/>
          <w:szCs w:val="20"/>
          <w:lang w:eastAsia="es-MX"/>
        </w:rPr>
      </w:pPr>
      <w:r w:rsidRPr="002F4784">
        <w:rPr>
          <w:rFonts w:ascii="Algerian" w:hAnsi="Algerian"/>
          <w:sz w:val="30"/>
          <w:szCs w:val="20"/>
          <w:lang w:eastAsia="es-MX"/>
        </w:rPr>
        <w:t xml:space="preserve">2.- </w:t>
      </w:r>
      <w:r w:rsidR="00EB5669" w:rsidRPr="002F4784">
        <w:rPr>
          <w:rFonts w:ascii="Algerian" w:hAnsi="Algerian"/>
          <w:sz w:val="30"/>
          <w:szCs w:val="20"/>
          <w:lang w:eastAsia="es-MX"/>
        </w:rPr>
        <w:t>ACTUACIÓN PROCESAL</w:t>
      </w:r>
    </w:p>
    <w:p w14:paraId="50B67B83" w14:textId="77777777" w:rsidR="00012398" w:rsidRPr="00236485" w:rsidRDefault="00012398" w:rsidP="00236485">
      <w:pPr>
        <w:rPr>
          <w:sz w:val="24"/>
          <w:szCs w:val="24"/>
        </w:rPr>
      </w:pPr>
    </w:p>
    <w:p w14:paraId="03AD4077" w14:textId="1D302936" w:rsidR="00F227FA" w:rsidRPr="00236485" w:rsidRDefault="009D7118" w:rsidP="00236485">
      <w:pPr>
        <w:rPr>
          <w:sz w:val="24"/>
          <w:szCs w:val="24"/>
          <w:lang w:val="es-CO"/>
        </w:rPr>
      </w:pPr>
      <w:r w:rsidRPr="00236485">
        <w:rPr>
          <w:b/>
          <w:sz w:val="24"/>
          <w:szCs w:val="24"/>
        </w:rPr>
        <w:t xml:space="preserve">2.1.- </w:t>
      </w:r>
      <w:r w:rsidRPr="00236485">
        <w:rPr>
          <w:sz w:val="24"/>
          <w:szCs w:val="24"/>
        </w:rPr>
        <w:t xml:space="preserve">En </w:t>
      </w:r>
      <w:r w:rsidR="00F227FA" w:rsidRPr="00236485">
        <w:rPr>
          <w:sz w:val="24"/>
          <w:szCs w:val="24"/>
        </w:rPr>
        <w:t>febrero 23 de 2023</w:t>
      </w:r>
      <w:r w:rsidRPr="00236485">
        <w:rPr>
          <w:sz w:val="24"/>
          <w:szCs w:val="24"/>
        </w:rPr>
        <w:t xml:space="preserve">, le fue asignado al Juzgado Primero Penal del Circuito Especializado de esta ciudad el escrito de acusación fechado </w:t>
      </w:r>
      <w:r w:rsidR="00F227FA" w:rsidRPr="00236485">
        <w:rPr>
          <w:sz w:val="24"/>
          <w:szCs w:val="24"/>
        </w:rPr>
        <w:t>febrero 17 de 2023</w:t>
      </w:r>
      <w:r w:rsidRPr="00236485">
        <w:rPr>
          <w:sz w:val="24"/>
          <w:szCs w:val="24"/>
        </w:rPr>
        <w:t xml:space="preserve">, por medio del cual la Fiscalía </w:t>
      </w:r>
      <w:r w:rsidR="00F227FA" w:rsidRPr="00236485">
        <w:rPr>
          <w:sz w:val="24"/>
          <w:szCs w:val="24"/>
        </w:rPr>
        <w:t xml:space="preserve">31 Seccional de la Unidad Especial Antinarcótico </w:t>
      </w:r>
      <w:r w:rsidRPr="00236485">
        <w:rPr>
          <w:sz w:val="24"/>
          <w:szCs w:val="24"/>
        </w:rPr>
        <w:t>de esta capital</w:t>
      </w:r>
      <w:r w:rsidRPr="00236485">
        <w:rPr>
          <w:sz w:val="24"/>
          <w:szCs w:val="24"/>
          <w:lang w:val="es-CO"/>
        </w:rPr>
        <w:t xml:space="preserve">, acusó a las siguientes personas: </w:t>
      </w:r>
      <w:r w:rsidRPr="00236485">
        <w:rPr>
          <w:b/>
          <w:sz w:val="24"/>
          <w:szCs w:val="24"/>
          <w:lang w:val="es-CO"/>
        </w:rPr>
        <w:t>(i)</w:t>
      </w:r>
      <w:r w:rsidRPr="00236485">
        <w:rPr>
          <w:sz w:val="24"/>
          <w:szCs w:val="24"/>
          <w:lang w:val="es-CO"/>
        </w:rPr>
        <w:t xml:space="preserve"> </w:t>
      </w:r>
      <w:proofErr w:type="spellStart"/>
      <w:r w:rsidR="008759DB">
        <w:rPr>
          <w:sz w:val="24"/>
          <w:szCs w:val="24"/>
          <w:lang w:val="es-CO"/>
        </w:rPr>
        <w:t>EDSO</w:t>
      </w:r>
      <w:proofErr w:type="spellEnd"/>
      <w:r w:rsidR="00F227FA" w:rsidRPr="00236485">
        <w:rPr>
          <w:sz w:val="24"/>
          <w:szCs w:val="24"/>
          <w:lang w:val="es-CO"/>
        </w:rPr>
        <w:t xml:space="preserve"> </w:t>
      </w:r>
      <w:r w:rsidRPr="00236485">
        <w:rPr>
          <w:sz w:val="24"/>
          <w:szCs w:val="24"/>
          <w:lang w:val="es-CO"/>
        </w:rPr>
        <w:t>como probable autor</w:t>
      </w:r>
      <w:r w:rsidR="00F227FA" w:rsidRPr="00236485">
        <w:rPr>
          <w:sz w:val="24"/>
          <w:szCs w:val="24"/>
          <w:lang w:val="es-CO"/>
        </w:rPr>
        <w:t xml:space="preserve"> a título de dolo </w:t>
      </w:r>
      <w:r w:rsidRPr="00236485">
        <w:rPr>
          <w:sz w:val="24"/>
          <w:szCs w:val="24"/>
          <w:lang w:val="es-CO"/>
        </w:rPr>
        <w:t xml:space="preserve">de los delitos de concierto para delinquir </w:t>
      </w:r>
      <w:r w:rsidR="00F227FA" w:rsidRPr="00236485">
        <w:rPr>
          <w:sz w:val="24"/>
          <w:szCs w:val="24"/>
          <w:lang w:val="es-CO"/>
        </w:rPr>
        <w:t>con fines de narcotráfico -art. 340 inc. 2 C.P.-en concurso heterogéneo con el punible de tráfico, fabricación o porte de estupefacientes -art. 376 inc. 2° C.P.- verbo rector “vender”, en concurso homogéneo y sucesivo</w:t>
      </w:r>
      <w:r w:rsidR="00C97896" w:rsidRPr="00236485">
        <w:rPr>
          <w:sz w:val="24"/>
          <w:szCs w:val="24"/>
          <w:lang w:val="es-CO"/>
        </w:rPr>
        <w:t>,</w:t>
      </w:r>
      <w:r w:rsidR="00F227FA" w:rsidRPr="00236485">
        <w:rPr>
          <w:sz w:val="24"/>
          <w:szCs w:val="24"/>
          <w:lang w:val="es-CO"/>
        </w:rPr>
        <w:t xml:space="preserve"> en concurso heterogéneo con destinación ilícita de inmuebles  -art. 377 C.P.-; </w:t>
      </w:r>
      <w:r w:rsidRPr="00236485">
        <w:rPr>
          <w:b/>
          <w:sz w:val="24"/>
          <w:szCs w:val="24"/>
          <w:lang w:val="es-CO"/>
        </w:rPr>
        <w:t>(ii)</w:t>
      </w:r>
      <w:r w:rsidRPr="00236485">
        <w:rPr>
          <w:sz w:val="24"/>
          <w:szCs w:val="24"/>
          <w:lang w:val="es-CO"/>
        </w:rPr>
        <w:t xml:space="preserve"> </w:t>
      </w:r>
      <w:proofErr w:type="spellStart"/>
      <w:r w:rsidR="008759DB">
        <w:rPr>
          <w:sz w:val="24"/>
          <w:szCs w:val="24"/>
          <w:lang w:val="es-CO"/>
        </w:rPr>
        <w:t>JATZ</w:t>
      </w:r>
      <w:proofErr w:type="spellEnd"/>
      <w:r w:rsidRPr="00236485">
        <w:rPr>
          <w:sz w:val="24"/>
          <w:szCs w:val="24"/>
          <w:lang w:val="es-CO"/>
        </w:rPr>
        <w:t>, como autor</w:t>
      </w:r>
      <w:r w:rsidR="00F227FA" w:rsidRPr="00236485">
        <w:rPr>
          <w:sz w:val="24"/>
          <w:szCs w:val="24"/>
          <w:lang w:val="es-CO"/>
        </w:rPr>
        <w:t xml:space="preserve"> a título de dolo del delito de </w:t>
      </w:r>
      <w:r w:rsidRPr="00236485">
        <w:rPr>
          <w:sz w:val="24"/>
          <w:szCs w:val="24"/>
          <w:lang w:val="es-CO"/>
        </w:rPr>
        <w:t>concierto para delinquir</w:t>
      </w:r>
      <w:r w:rsidR="00F227FA" w:rsidRPr="00236485">
        <w:rPr>
          <w:sz w:val="24"/>
          <w:szCs w:val="24"/>
          <w:lang w:val="es-CO"/>
        </w:rPr>
        <w:t xml:space="preserve"> con fines de narcotráfico -art. 340 inc. 2° C.P.-, en concurso heterogéneo con el ilícito de tráfico, fabricación o porte de estupefacientes -art. 376 inc. 2° C.P.- verbo rector “vender”, en concurso homogéneo y sucesivo</w:t>
      </w:r>
      <w:r w:rsidR="00780883" w:rsidRPr="00236485">
        <w:rPr>
          <w:sz w:val="24"/>
          <w:szCs w:val="24"/>
          <w:lang w:val="es-CO"/>
        </w:rPr>
        <w:t>;</w:t>
      </w:r>
      <w:r w:rsidR="00F227FA" w:rsidRPr="00236485">
        <w:rPr>
          <w:sz w:val="24"/>
          <w:szCs w:val="24"/>
          <w:lang w:val="es-CO"/>
        </w:rPr>
        <w:t xml:space="preserve"> y </w:t>
      </w:r>
      <w:r w:rsidR="00F227FA" w:rsidRPr="00236485">
        <w:rPr>
          <w:b/>
          <w:sz w:val="24"/>
          <w:szCs w:val="24"/>
          <w:lang w:val="es-CO"/>
        </w:rPr>
        <w:t>(iii)</w:t>
      </w:r>
      <w:r w:rsidR="00F227FA" w:rsidRPr="00236485">
        <w:rPr>
          <w:sz w:val="24"/>
          <w:szCs w:val="24"/>
          <w:lang w:val="es-CO"/>
        </w:rPr>
        <w:t xml:space="preserve"> </w:t>
      </w:r>
      <w:proofErr w:type="spellStart"/>
      <w:r w:rsidR="008633C5">
        <w:rPr>
          <w:b/>
          <w:sz w:val="24"/>
          <w:szCs w:val="24"/>
          <w:lang w:val="es-CO"/>
        </w:rPr>
        <w:t>JMP</w:t>
      </w:r>
      <w:proofErr w:type="spellEnd"/>
      <w:r w:rsidR="00F227FA" w:rsidRPr="00236485">
        <w:rPr>
          <w:b/>
          <w:sz w:val="24"/>
          <w:szCs w:val="24"/>
          <w:lang w:val="es-CO"/>
        </w:rPr>
        <w:t xml:space="preserve"> </w:t>
      </w:r>
      <w:r w:rsidR="00F227FA" w:rsidRPr="00236485">
        <w:rPr>
          <w:sz w:val="24"/>
          <w:szCs w:val="24"/>
          <w:lang w:val="es-CO"/>
        </w:rPr>
        <w:t>como autor a título de dolo del ilícito de concierto para delinquir con fines de narcotráfico -art. 340 inc. 2° C.P.-, en concurso heterogéneo con el punible de tráfico, fabricación o porte de estupefacientes -art. 376 inc. 2° C.P.- verbo rector “vender”, en concurso homog</w:t>
      </w:r>
      <w:r w:rsidR="00C97896" w:rsidRPr="00236485">
        <w:rPr>
          <w:sz w:val="24"/>
          <w:szCs w:val="24"/>
          <w:lang w:val="es-CO"/>
        </w:rPr>
        <w:t>é</w:t>
      </w:r>
      <w:r w:rsidR="00F227FA" w:rsidRPr="00236485">
        <w:rPr>
          <w:sz w:val="24"/>
          <w:szCs w:val="24"/>
          <w:lang w:val="es-CO"/>
        </w:rPr>
        <w:t>neo y sucesivo</w:t>
      </w:r>
      <w:r w:rsidR="00C97896" w:rsidRPr="00236485">
        <w:rPr>
          <w:sz w:val="24"/>
          <w:szCs w:val="24"/>
          <w:lang w:val="es-CO"/>
        </w:rPr>
        <w:t>,</w:t>
      </w:r>
      <w:r w:rsidR="00F227FA" w:rsidRPr="00236485">
        <w:rPr>
          <w:sz w:val="24"/>
          <w:szCs w:val="24"/>
          <w:lang w:val="es-CO"/>
        </w:rPr>
        <w:t xml:space="preserve"> en concurso heterogéneo con destinación ilícita de inmuebles </w:t>
      </w:r>
      <w:r w:rsidR="00C97896" w:rsidRPr="00236485">
        <w:rPr>
          <w:sz w:val="24"/>
          <w:szCs w:val="24"/>
          <w:lang w:val="es-CO"/>
        </w:rPr>
        <w:t>-art. 377 C.P.-.</w:t>
      </w:r>
    </w:p>
    <w:p w14:paraId="288EC09E" w14:textId="77777777" w:rsidR="009D7118" w:rsidRPr="00236485" w:rsidRDefault="009D7118" w:rsidP="00236485">
      <w:pPr>
        <w:rPr>
          <w:sz w:val="24"/>
          <w:szCs w:val="24"/>
          <w:lang w:val="es-CO"/>
        </w:rPr>
      </w:pPr>
    </w:p>
    <w:p w14:paraId="07802766" w14:textId="17F2191A" w:rsidR="009D7118" w:rsidRPr="00236485" w:rsidRDefault="009D7118" w:rsidP="00236485">
      <w:pPr>
        <w:rPr>
          <w:sz w:val="24"/>
          <w:szCs w:val="24"/>
          <w:lang w:val="es-CO"/>
        </w:rPr>
      </w:pPr>
      <w:r w:rsidRPr="00236485">
        <w:rPr>
          <w:b/>
          <w:sz w:val="24"/>
          <w:szCs w:val="24"/>
          <w:lang w:val="es-CO"/>
        </w:rPr>
        <w:t xml:space="preserve">2.2.- </w:t>
      </w:r>
      <w:r w:rsidRPr="00236485">
        <w:rPr>
          <w:sz w:val="24"/>
          <w:szCs w:val="24"/>
          <w:lang w:val="es-CO"/>
        </w:rPr>
        <w:t xml:space="preserve">En </w:t>
      </w:r>
      <w:r w:rsidR="00C97896" w:rsidRPr="00236485">
        <w:rPr>
          <w:sz w:val="24"/>
          <w:szCs w:val="24"/>
          <w:lang w:val="es-CO"/>
        </w:rPr>
        <w:t xml:space="preserve">mayo 26 de 2023 se dio inicio a la audiencia de formulación de acusación exclusivamente con respecto al señor </w:t>
      </w:r>
      <w:proofErr w:type="spellStart"/>
      <w:r w:rsidR="008633C5">
        <w:rPr>
          <w:b/>
          <w:sz w:val="24"/>
          <w:szCs w:val="24"/>
          <w:lang w:val="es-CO"/>
        </w:rPr>
        <w:t>JMP</w:t>
      </w:r>
      <w:proofErr w:type="spellEnd"/>
      <w:r w:rsidR="00C97896" w:rsidRPr="00236485">
        <w:rPr>
          <w:sz w:val="24"/>
          <w:szCs w:val="24"/>
          <w:lang w:val="es-CO"/>
        </w:rPr>
        <w:t>, misma que se suspendió a petición del delegado fiscal</w:t>
      </w:r>
      <w:r w:rsidR="00C97896" w:rsidRPr="00236485">
        <w:rPr>
          <w:sz w:val="24"/>
          <w:szCs w:val="24"/>
          <w:vertAlign w:val="superscript"/>
        </w:rPr>
        <w:footnoteReference w:id="1"/>
      </w:r>
      <w:r w:rsidR="00C97896" w:rsidRPr="00236485">
        <w:rPr>
          <w:sz w:val="24"/>
          <w:szCs w:val="24"/>
          <w:lang w:val="es-CO"/>
        </w:rPr>
        <w:t xml:space="preserve">, quien a su vez retiró el escrito de acusación elevado contra los </w:t>
      </w:r>
      <w:proofErr w:type="spellStart"/>
      <w:r w:rsidR="00C97896" w:rsidRPr="00236485">
        <w:rPr>
          <w:sz w:val="24"/>
          <w:szCs w:val="24"/>
          <w:lang w:val="es-CO"/>
        </w:rPr>
        <w:t>coprocesados</w:t>
      </w:r>
      <w:proofErr w:type="spellEnd"/>
      <w:r w:rsidR="00C97896" w:rsidRPr="00236485">
        <w:rPr>
          <w:sz w:val="24"/>
          <w:szCs w:val="24"/>
          <w:lang w:val="es-CO"/>
        </w:rPr>
        <w:t xml:space="preserve"> </w:t>
      </w:r>
      <w:proofErr w:type="spellStart"/>
      <w:r w:rsidR="008759DB">
        <w:rPr>
          <w:sz w:val="24"/>
          <w:szCs w:val="24"/>
          <w:lang w:val="es-CO"/>
        </w:rPr>
        <w:t>JATZ</w:t>
      </w:r>
      <w:proofErr w:type="spellEnd"/>
      <w:r w:rsidR="00E4123E" w:rsidRPr="00236485">
        <w:rPr>
          <w:sz w:val="24"/>
          <w:szCs w:val="24"/>
          <w:lang w:val="es-CO"/>
        </w:rPr>
        <w:t xml:space="preserve"> y </w:t>
      </w:r>
      <w:proofErr w:type="spellStart"/>
      <w:r w:rsidR="008759DB">
        <w:rPr>
          <w:sz w:val="24"/>
          <w:szCs w:val="24"/>
          <w:lang w:val="es-CO"/>
        </w:rPr>
        <w:t>EDSO</w:t>
      </w:r>
      <w:proofErr w:type="spellEnd"/>
      <w:r w:rsidR="00C97896" w:rsidRPr="00236485">
        <w:rPr>
          <w:sz w:val="24"/>
          <w:szCs w:val="24"/>
          <w:lang w:val="es-CO"/>
        </w:rPr>
        <w:t xml:space="preserve">, para proceder luego de ello a </w:t>
      </w:r>
      <w:r w:rsidRPr="00236485">
        <w:rPr>
          <w:sz w:val="24"/>
          <w:szCs w:val="24"/>
          <w:lang w:val="es-CO"/>
        </w:rPr>
        <w:t>manifesta</w:t>
      </w:r>
      <w:r w:rsidR="00C97896" w:rsidRPr="00236485">
        <w:rPr>
          <w:sz w:val="24"/>
          <w:szCs w:val="24"/>
          <w:lang w:val="es-CO"/>
        </w:rPr>
        <w:t xml:space="preserve">r que llegó a un </w:t>
      </w:r>
      <w:r w:rsidRPr="00236485">
        <w:rPr>
          <w:sz w:val="24"/>
          <w:szCs w:val="24"/>
          <w:lang w:val="es-CO"/>
        </w:rPr>
        <w:t xml:space="preserve">preacuerdo </w:t>
      </w:r>
      <w:r w:rsidR="00C97896" w:rsidRPr="00236485">
        <w:rPr>
          <w:sz w:val="24"/>
          <w:szCs w:val="24"/>
          <w:lang w:val="es-CO"/>
        </w:rPr>
        <w:t xml:space="preserve">con </w:t>
      </w:r>
      <w:r w:rsidR="00D843DF" w:rsidRPr="00236485">
        <w:rPr>
          <w:sz w:val="24"/>
          <w:szCs w:val="24"/>
          <w:lang w:val="es-CO"/>
        </w:rPr>
        <w:t>estos</w:t>
      </w:r>
      <w:r w:rsidR="00C97896" w:rsidRPr="00236485">
        <w:rPr>
          <w:sz w:val="24"/>
          <w:szCs w:val="24"/>
          <w:lang w:val="es-CO"/>
        </w:rPr>
        <w:t>, el cual procede a verbalizar y el a-quo verifica con estos que en efecto su voluntad está encaminada a aceptar los cargos endilgados por vía del aludido consenso</w:t>
      </w:r>
      <w:r w:rsidR="00E4123E" w:rsidRPr="00236485">
        <w:rPr>
          <w:sz w:val="24"/>
          <w:szCs w:val="24"/>
          <w:lang w:val="es-CO"/>
        </w:rPr>
        <w:t xml:space="preserve">, los </w:t>
      </w:r>
      <w:r w:rsidR="00D30D79" w:rsidRPr="00236485">
        <w:rPr>
          <w:sz w:val="24"/>
          <w:szCs w:val="24"/>
          <w:lang w:val="es-CO"/>
        </w:rPr>
        <w:t xml:space="preserve">que </w:t>
      </w:r>
      <w:r w:rsidR="00E4123E" w:rsidRPr="00236485">
        <w:rPr>
          <w:sz w:val="24"/>
          <w:szCs w:val="24"/>
          <w:lang w:val="es-CO"/>
        </w:rPr>
        <w:t xml:space="preserve">posteriormente aprobó (en septiembre 04 y 06 de 2023) y en esa última fecha </w:t>
      </w:r>
      <w:r w:rsidR="00D30D79" w:rsidRPr="00236485">
        <w:rPr>
          <w:sz w:val="24"/>
          <w:szCs w:val="24"/>
          <w:lang w:val="es-CO"/>
        </w:rPr>
        <w:t>dicta</w:t>
      </w:r>
      <w:r w:rsidRPr="00236485">
        <w:rPr>
          <w:sz w:val="24"/>
          <w:szCs w:val="24"/>
          <w:lang w:val="es-CO"/>
        </w:rPr>
        <w:t xml:space="preserve"> sentencia en contra de est</w:t>
      </w:r>
      <w:r w:rsidR="00E4123E" w:rsidRPr="00236485">
        <w:rPr>
          <w:sz w:val="24"/>
          <w:szCs w:val="24"/>
          <w:lang w:val="es-CO"/>
        </w:rPr>
        <w:t>os</w:t>
      </w:r>
      <w:r w:rsidRPr="00236485">
        <w:rPr>
          <w:sz w:val="24"/>
          <w:szCs w:val="24"/>
          <w:lang w:val="es-CO"/>
        </w:rPr>
        <w:t>, conden</w:t>
      </w:r>
      <w:r w:rsidR="00E4123E" w:rsidRPr="00236485">
        <w:rPr>
          <w:sz w:val="24"/>
          <w:szCs w:val="24"/>
          <w:lang w:val="es-CO"/>
        </w:rPr>
        <w:t xml:space="preserve">ándolos respectivamente </w:t>
      </w:r>
      <w:r w:rsidRPr="00236485">
        <w:rPr>
          <w:sz w:val="24"/>
          <w:szCs w:val="24"/>
          <w:lang w:val="es-CO"/>
        </w:rPr>
        <w:t xml:space="preserve">a una pena de </w:t>
      </w:r>
      <w:r w:rsidR="00E4123E" w:rsidRPr="00236485">
        <w:rPr>
          <w:b/>
          <w:bCs/>
          <w:sz w:val="24"/>
          <w:szCs w:val="24"/>
          <w:lang w:val="es-CO"/>
        </w:rPr>
        <w:t>60</w:t>
      </w:r>
      <w:r w:rsidRPr="00236485">
        <w:rPr>
          <w:b/>
          <w:bCs/>
          <w:sz w:val="24"/>
          <w:szCs w:val="24"/>
          <w:lang w:val="es-CO"/>
        </w:rPr>
        <w:t xml:space="preserve"> meses de prisión y multa de 1</w:t>
      </w:r>
      <w:r w:rsidR="00E4123E" w:rsidRPr="00236485">
        <w:rPr>
          <w:b/>
          <w:bCs/>
          <w:sz w:val="24"/>
          <w:szCs w:val="24"/>
          <w:lang w:val="es-CO"/>
        </w:rPr>
        <w:t>.354</w:t>
      </w:r>
      <w:r w:rsidRPr="00236485">
        <w:rPr>
          <w:b/>
          <w:bCs/>
          <w:sz w:val="24"/>
          <w:szCs w:val="24"/>
          <w:lang w:val="es-CO"/>
        </w:rPr>
        <w:t xml:space="preserve"> </w:t>
      </w:r>
      <w:proofErr w:type="spellStart"/>
      <w:r w:rsidRPr="00236485">
        <w:rPr>
          <w:b/>
          <w:bCs/>
          <w:sz w:val="24"/>
          <w:szCs w:val="24"/>
          <w:lang w:val="es-CO"/>
        </w:rPr>
        <w:t>SMLMV</w:t>
      </w:r>
      <w:proofErr w:type="spellEnd"/>
      <w:r w:rsidRPr="00236485">
        <w:rPr>
          <w:b/>
          <w:bCs/>
          <w:sz w:val="24"/>
          <w:szCs w:val="24"/>
          <w:lang w:val="es-CO"/>
        </w:rPr>
        <w:t>,</w:t>
      </w:r>
      <w:r w:rsidRPr="00236485">
        <w:rPr>
          <w:sz w:val="24"/>
          <w:szCs w:val="24"/>
          <w:lang w:val="es-CO"/>
        </w:rPr>
        <w:t xml:space="preserve"> </w:t>
      </w:r>
      <w:r w:rsidR="00E4123E" w:rsidRPr="00236485">
        <w:rPr>
          <w:sz w:val="24"/>
          <w:szCs w:val="24"/>
          <w:lang w:val="es-CO"/>
        </w:rPr>
        <w:t xml:space="preserve">y </w:t>
      </w:r>
      <w:r w:rsidR="00E4123E" w:rsidRPr="00236485">
        <w:rPr>
          <w:b/>
          <w:bCs/>
          <w:sz w:val="24"/>
          <w:szCs w:val="24"/>
          <w:lang w:val="es-CO"/>
        </w:rPr>
        <w:t xml:space="preserve">69 meses de prisión y multa de 2.026.66 </w:t>
      </w:r>
      <w:proofErr w:type="spellStart"/>
      <w:r w:rsidR="00E4123E" w:rsidRPr="00236485">
        <w:rPr>
          <w:b/>
          <w:bCs/>
          <w:sz w:val="24"/>
          <w:szCs w:val="24"/>
          <w:lang w:val="es-CO"/>
        </w:rPr>
        <w:t>SMLMV</w:t>
      </w:r>
      <w:proofErr w:type="spellEnd"/>
      <w:r w:rsidR="00E4123E" w:rsidRPr="00236485">
        <w:rPr>
          <w:b/>
          <w:bCs/>
          <w:sz w:val="24"/>
          <w:szCs w:val="24"/>
          <w:lang w:val="es-CO"/>
        </w:rPr>
        <w:t>,</w:t>
      </w:r>
      <w:r w:rsidR="00E4123E" w:rsidRPr="00236485">
        <w:rPr>
          <w:sz w:val="24"/>
          <w:szCs w:val="24"/>
          <w:lang w:val="es-CO"/>
        </w:rPr>
        <w:t xml:space="preserve"> como </w:t>
      </w:r>
      <w:r w:rsidRPr="00236485">
        <w:rPr>
          <w:sz w:val="24"/>
          <w:szCs w:val="24"/>
          <w:lang w:val="es-CO"/>
        </w:rPr>
        <w:t>autor</w:t>
      </w:r>
      <w:r w:rsidR="00E4123E" w:rsidRPr="00236485">
        <w:rPr>
          <w:sz w:val="24"/>
          <w:szCs w:val="24"/>
          <w:lang w:val="es-CO"/>
        </w:rPr>
        <w:t>es</w:t>
      </w:r>
      <w:r w:rsidRPr="00236485">
        <w:rPr>
          <w:sz w:val="24"/>
          <w:szCs w:val="24"/>
          <w:lang w:val="es-CO"/>
        </w:rPr>
        <w:t xml:space="preserve"> de los delitos </w:t>
      </w:r>
      <w:r w:rsidR="00E4123E" w:rsidRPr="00236485">
        <w:rPr>
          <w:sz w:val="24"/>
          <w:szCs w:val="24"/>
          <w:lang w:val="es-CO"/>
        </w:rPr>
        <w:t>por los cuales fueron acusados</w:t>
      </w:r>
      <w:r w:rsidRPr="00236485">
        <w:rPr>
          <w:sz w:val="24"/>
          <w:szCs w:val="24"/>
          <w:lang w:val="es-CO"/>
        </w:rPr>
        <w:t xml:space="preserve">, </w:t>
      </w:r>
      <w:r w:rsidR="001A4EDA" w:rsidRPr="00236485">
        <w:rPr>
          <w:sz w:val="24"/>
          <w:szCs w:val="24"/>
          <w:lang w:val="es-CO"/>
        </w:rPr>
        <w:t>negándoseles</w:t>
      </w:r>
      <w:r w:rsidR="00E4123E" w:rsidRPr="00236485">
        <w:rPr>
          <w:sz w:val="24"/>
          <w:szCs w:val="24"/>
          <w:lang w:val="es-CO"/>
        </w:rPr>
        <w:t xml:space="preserve"> la suspensión condicional de la ejecución de la pena y la prisión domiciliaria, </w:t>
      </w:r>
      <w:r w:rsidRPr="00236485">
        <w:rPr>
          <w:sz w:val="24"/>
          <w:szCs w:val="24"/>
          <w:lang w:val="es-CO"/>
        </w:rPr>
        <w:t>decisión que cobró firmeza en esa oportunidad</w:t>
      </w:r>
      <w:r w:rsidR="00E4123E" w:rsidRPr="00236485">
        <w:rPr>
          <w:sz w:val="24"/>
          <w:szCs w:val="24"/>
          <w:lang w:val="es-CO"/>
        </w:rPr>
        <w:t>, al no haberse interpuesto recurso alguno.</w:t>
      </w:r>
    </w:p>
    <w:p w14:paraId="5A7417CB" w14:textId="77777777" w:rsidR="009D7118" w:rsidRPr="00236485" w:rsidRDefault="009D7118" w:rsidP="00236485">
      <w:pPr>
        <w:rPr>
          <w:sz w:val="24"/>
          <w:szCs w:val="24"/>
          <w:lang w:val="es-CO"/>
        </w:rPr>
      </w:pPr>
    </w:p>
    <w:p w14:paraId="32C1B93D" w14:textId="379E1132" w:rsidR="00782403" w:rsidRPr="00236485" w:rsidRDefault="009D7118" w:rsidP="00236485">
      <w:pPr>
        <w:rPr>
          <w:sz w:val="24"/>
          <w:szCs w:val="24"/>
          <w:lang w:val="es-CO"/>
        </w:rPr>
      </w:pPr>
      <w:r w:rsidRPr="00236485">
        <w:rPr>
          <w:b/>
          <w:sz w:val="24"/>
          <w:szCs w:val="24"/>
          <w:lang w:val="es-CO"/>
        </w:rPr>
        <w:lastRenderedPageBreak/>
        <w:t>2.3-.</w:t>
      </w:r>
      <w:r w:rsidRPr="00236485">
        <w:rPr>
          <w:sz w:val="24"/>
          <w:szCs w:val="24"/>
          <w:lang w:val="es-CO"/>
        </w:rPr>
        <w:t xml:space="preserve"> </w:t>
      </w:r>
      <w:r w:rsidR="00782403" w:rsidRPr="00236485">
        <w:rPr>
          <w:sz w:val="24"/>
          <w:szCs w:val="24"/>
          <w:lang w:val="es-CO"/>
        </w:rPr>
        <w:t xml:space="preserve">Con antelación a continuarse con la audiencia de formulación de acusación </w:t>
      </w:r>
      <w:r w:rsidR="00CD05F4" w:rsidRPr="00236485">
        <w:rPr>
          <w:sz w:val="24"/>
          <w:szCs w:val="24"/>
          <w:lang w:val="es-CO"/>
        </w:rPr>
        <w:t xml:space="preserve">frente al </w:t>
      </w:r>
      <w:r w:rsidR="00782403" w:rsidRPr="00236485">
        <w:rPr>
          <w:sz w:val="24"/>
          <w:szCs w:val="24"/>
          <w:lang w:val="es-CO"/>
        </w:rPr>
        <w:t xml:space="preserve">señor </w:t>
      </w:r>
      <w:proofErr w:type="spellStart"/>
      <w:r w:rsidR="008633C5">
        <w:rPr>
          <w:b/>
          <w:sz w:val="24"/>
          <w:szCs w:val="24"/>
          <w:lang w:val="es-CO"/>
        </w:rPr>
        <w:t>JMP</w:t>
      </w:r>
      <w:proofErr w:type="spellEnd"/>
      <w:r w:rsidR="00782403" w:rsidRPr="00236485">
        <w:rPr>
          <w:sz w:val="24"/>
          <w:szCs w:val="24"/>
          <w:lang w:val="es-CO"/>
        </w:rPr>
        <w:t xml:space="preserve">, el a-quo </w:t>
      </w:r>
      <w:r w:rsidR="00D30D79" w:rsidRPr="00236485">
        <w:rPr>
          <w:sz w:val="24"/>
          <w:szCs w:val="24"/>
          <w:lang w:val="es-CO"/>
        </w:rPr>
        <w:t xml:space="preserve">estimó </w:t>
      </w:r>
      <w:r w:rsidR="00782403" w:rsidRPr="00236485">
        <w:rPr>
          <w:sz w:val="24"/>
          <w:szCs w:val="24"/>
          <w:lang w:val="es-CO"/>
        </w:rPr>
        <w:t>que no había lugar a declararse impedido, en tanto el que una persona al parecer perteneciente a una banda efectué un preacuerdo, ello automática</w:t>
      </w:r>
      <w:r w:rsidR="003964E4" w:rsidRPr="00236485">
        <w:rPr>
          <w:sz w:val="24"/>
          <w:szCs w:val="24"/>
          <w:lang w:val="es-CO"/>
        </w:rPr>
        <w:t>mente</w:t>
      </w:r>
      <w:r w:rsidR="00782403" w:rsidRPr="00236485">
        <w:rPr>
          <w:sz w:val="24"/>
          <w:szCs w:val="24"/>
          <w:lang w:val="es-CO"/>
        </w:rPr>
        <w:t xml:space="preserve"> no impide al </w:t>
      </w:r>
      <w:r w:rsidR="003964E4" w:rsidRPr="00236485">
        <w:rPr>
          <w:sz w:val="24"/>
          <w:szCs w:val="24"/>
          <w:lang w:val="es-CO"/>
        </w:rPr>
        <w:t>juez</w:t>
      </w:r>
      <w:r w:rsidR="00782403" w:rsidRPr="00236485">
        <w:rPr>
          <w:sz w:val="24"/>
          <w:szCs w:val="24"/>
          <w:lang w:val="es-CO"/>
        </w:rPr>
        <w:t xml:space="preserve"> </w:t>
      </w:r>
      <w:r w:rsidR="003964E4" w:rsidRPr="00236485">
        <w:rPr>
          <w:sz w:val="24"/>
          <w:szCs w:val="24"/>
          <w:lang w:val="es-CO"/>
        </w:rPr>
        <w:t>continuar con el juzgamiento de otros presuntos integrantes de la misma banda delincuencial</w:t>
      </w:r>
      <w:r w:rsidR="00782403" w:rsidRPr="00236485">
        <w:rPr>
          <w:sz w:val="24"/>
          <w:szCs w:val="24"/>
          <w:lang w:val="es-CO"/>
        </w:rPr>
        <w:t xml:space="preserve">, como es la línea que ha trazado el despacho, y cada caso debe analizarse de manera particular, al no ser lo mismo que </w:t>
      </w:r>
      <w:proofErr w:type="spellStart"/>
      <w:r w:rsidR="00782403" w:rsidRPr="00236485">
        <w:rPr>
          <w:sz w:val="24"/>
          <w:szCs w:val="24"/>
          <w:lang w:val="es-CO"/>
        </w:rPr>
        <w:t>preacuerde</w:t>
      </w:r>
      <w:proofErr w:type="spellEnd"/>
      <w:r w:rsidR="00782403" w:rsidRPr="00236485">
        <w:rPr>
          <w:sz w:val="24"/>
          <w:szCs w:val="24"/>
          <w:lang w:val="es-CO"/>
        </w:rPr>
        <w:t xml:space="preserve"> un vendedor, quien se limit</w:t>
      </w:r>
      <w:r w:rsidR="00D30D79" w:rsidRPr="00236485">
        <w:rPr>
          <w:sz w:val="24"/>
          <w:szCs w:val="24"/>
          <w:lang w:val="es-CO"/>
        </w:rPr>
        <w:t>a</w:t>
      </w:r>
      <w:r w:rsidR="00782403" w:rsidRPr="00236485">
        <w:rPr>
          <w:sz w:val="24"/>
          <w:szCs w:val="24"/>
          <w:lang w:val="es-CO"/>
        </w:rPr>
        <w:t xml:space="preserve"> a expender el producto, entregar el dinero o recibir más sustancia para comercializarla, sin tener contacto alguno con cabecillas o mandos medios, que tal consenso lo realice un cabecilla, quien sí tiene comunicación con todos los miembros del grupo, lo que por s</w:t>
      </w:r>
      <w:r w:rsidR="00D30D79" w:rsidRPr="00236485">
        <w:rPr>
          <w:sz w:val="24"/>
          <w:szCs w:val="24"/>
          <w:lang w:val="es-CO"/>
        </w:rPr>
        <w:t>í</w:t>
      </w:r>
      <w:r w:rsidR="00782403" w:rsidRPr="00236485">
        <w:rPr>
          <w:sz w:val="24"/>
          <w:szCs w:val="24"/>
          <w:lang w:val="es-CO"/>
        </w:rPr>
        <w:t xml:space="preserve"> solo configura el concierto, aunado a que deben analizarse si las pruebas que sustentan </w:t>
      </w:r>
      <w:r w:rsidR="00D30D79" w:rsidRPr="00236485">
        <w:rPr>
          <w:sz w:val="24"/>
          <w:szCs w:val="24"/>
          <w:lang w:val="es-CO"/>
        </w:rPr>
        <w:t xml:space="preserve">el </w:t>
      </w:r>
      <w:r w:rsidR="00782403" w:rsidRPr="00236485">
        <w:rPr>
          <w:sz w:val="24"/>
          <w:szCs w:val="24"/>
          <w:lang w:val="es-CO"/>
        </w:rPr>
        <w:t>compromiso es común para el resto de coacusados</w:t>
      </w:r>
      <w:r w:rsidR="00D30D79" w:rsidRPr="00236485">
        <w:rPr>
          <w:sz w:val="24"/>
          <w:szCs w:val="24"/>
          <w:lang w:val="es-CO"/>
        </w:rPr>
        <w:t xml:space="preserve">; no obstante, en </w:t>
      </w:r>
      <w:r w:rsidR="001E2CD8" w:rsidRPr="00236485">
        <w:rPr>
          <w:sz w:val="24"/>
          <w:szCs w:val="24"/>
          <w:lang w:val="es-CO"/>
        </w:rPr>
        <w:t xml:space="preserve">el </w:t>
      </w:r>
      <w:r w:rsidR="00782403" w:rsidRPr="00236485">
        <w:rPr>
          <w:sz w:val="24"/>
          <w:szCs w:val="24"/>
          <w:lang w:val="es-CO"/>
        </w:rPr>
        <w:t xml:space="preserve">asunto la “prueba reina” para </w:t>
      </w:r>
      <w:r w:rsidR="000E493A" w:rsidRPr="00236485">
        <w:rPr>
          <w:sz w:val="24"/>
          <w:szCs w:val="24"/>
          <w:lang w:val="es-CO"/>
        </w:rPr>
        <w:t xml:space="preserve">inferir </w:t>
      </w:r>
      <w:r w:rsidR="00782403" w:rsidRPr="00236485">
        <w:rPr>
          <w:sz w:val="24"/>
          <w:szCs w:val="24"/>
          <w:lang w:val="es-CO"/>
        </w:rPr>
        <w:t xml:space="preserve">el concierto entre  </w:t>
      </w:r>
      <w:proofErr w:type="spellStart"/>
      <w:r w:rsidR="00FA433E">
        <w:rPr>
          <w:sz w:val="22"/>
          <w:szCs w:val="24"/>
        </w:rPr>
        <w:t>EDSO</w:t>
      </w:r>
      <w:proofErr w:type="spellEnd"/>
      <w:r w:rsidR="00FA433E" w:rsidRPr="00F13D97">
        <w:rPr>
          <w:sz w:val="22"/>
          <w:szCs w:val="24"/>
        </w:rPr>
        <w:t xml:space="preserve"> y </w:t>
      </w:r>
      <w:proofErr w:type="spellStart"/>
      <w:r w:rsidR="00FA433E">
        <w:rPr>
          <w:sz w:val="22"/>
          <w:szCs w:val="24"/>
        </w:rPr>
        <w:t>JATZ</w:t>
      </w:r>
      <w:proofErr w:type="spellEnd"/>
      <w:r w:rsidR="00782403" w:rsidRPr="00236485">
        <w:rPr>
          <w:sz w:val="24"/>
          <w:szCs w:val="24"/>
          <w:lang w:val="es-CO"/>
        </w:rPr>
        <w:t xml:space="preserve"> fue el interrogatorio de una testigo, donde solo los nombró a ellos y lo que hacían, a la vez que </w:t>
      </w:r>
      <w:r w:rsidR="00D30D79" w:rsidRPr="00236485">
        <w:rPr>
          <w:sz w:val="24"/>
          <w:szCs w:val="24"/>
          <w:lang w:val="es-CO"/>
        </w:rPr>
        <w:t xml:space="preserve">sostuvo </w:t>
      </w:r>
      <w:r w:rsidR="00782403" w:rsidRPr="00236485">
        <w:rPr>
          <w:sz w:val="24"/>
          <w:szCs w:val="24"/>
          <w:lang w:val="es-CO"/>
        </w:rPr>
        <w:t xml:space="preserve">que a </w:t>
      </w:r>
      <w:proofErr w:type="spellStart"/>
      <w:r w:rsidR="00FA433E">
        <w:rPr>
          <w:sz w:val="22"/>
          <w:szCs w:val="24"/>
        </w:rPr>
        <w:t>EDSO</w:t>
      </w:r>
      <w:proofErr w:type="spellEnd"/>
      <w:r w:rsidR="00782403" w:rsidRPr="00236485">
        <w:rPr>
          <w:sz w:val="24"/>
          <w:szCs w:val="24"/>
          <w:lang w:val="es-CO"/>
        </w:rPr>
        <w:t xml:space="preserve"> lo surtía un primo, conocido con el alias de “</w:t>
      </w:r>
      <w:proofErr w:type="spellStart"/>
      <w:r w:rsidR="00782403" w:rsidRPr="00236485">
        <w:rPr>
          <w:sz w:val="24"/>
          <w:szCs w:val="24"/>
          <w:lang w:val="es-CO"/>
        </w:rPr>
        <w:t>JHON</w:t>
      </w:r>
      <w:proofErr w:type="spellEnd"/>
      <w:r w:rsidR="00782403" w:rsidRPr="00236485">
        <w:rPr>
          <w:sz w:val="24"/>
          <w:szCs w:val="24"/>
          <w:lang w:val="es-CO"/>
        </w:rPr>
        <w:t xml:space="preserve">”, </w:t>
      </w:r>
      <w:r w:rsidR="00DC1680" w:rsidRPr="00236485">
        <w:rPr>
          <w:sz w:val="24"/>
          <w:szCs w:val="24"/>
          <w:lang w:val="es-CO"/>
        </w:rPr>
        <w:t>y d</w:t>
      </w:r>
      <w:r w:rsidR="00782403" w:rsidRPr="00236485">
        <w:rPr>
          <w:sz w:val="24"/>
          <w:szCs w:val="24"/>
          <w:lang w:val="es-CO"/>
        </w:rPr>
        <w:t>e tal información se desprendió el concierto</w:t>
      </w:r>
      <w:r w:rsidR="00780883" w:rsidRPr="00236485">
        <w:rPr>
          <w:sz w:val="24"/>
          <w:szCs w:val="24"/>
          <w:lang w:val="es-CO"/>
        </w:rPr>
        <w:t>,</w:t>
      </w:r>
      <w:r w:rsidR="00782403" w:rsidRPr="00236485">
        <w:rPr>
          <w:sz w:val="24"/>
          <w:szCs w:val="24"/>
          <w:lang w:val="es-CO"/>
        </w:rPr>
        <w:t xml:space="preserve"> pero allí no se menciona para nada a </w:t>
      </w:r>
      <w:proofErr w:type="spellStart"/>
      <w:r w:rsidR="006C5DA2" w:rsidRPr="00236485">
        <w:rPr>
          <w:b/>
          <w:sz w:val="24"/>
          <w:szCs w:val="24"/>
          <w:lang w:val="es-CO"/>
        </w:rPr>
        <w:t>J</w:t>
      </w:r>
      <w:r w:rsidR="00782403" w:rsidRPr="00236485">
        <w:rPr>
          <w:b/>
          <w:sz w:val="24"/>
          <w:szCs w:val="24"/>
          <w:lang w:val="es-CO"/>
        </w:rPr>
        <w:t>MP</w:t>
      </w:r>
      <w:proofErr w:type="spellEnd"/>
      <w:r w:rsidR="00782403" w:rsidRPr="00236485">
        <w:rPr>
          <w:sz w:val="24"/>
          <w:szCs w:val="24"/>
          <w:lang w:val="es-CO"/>
        </w:rPr>
        <w:t>, sin que por s</w:t>
      </w:r>
      <w:r w:rsidR="00DC18A6" w:rsidRPr="00236485">
        <w:rPr>
          <w:sz w:val="24"/>
          <w:szCs w:val="24"/>
          <w:lang w:val="es-CO"/>
        </w:rPr>
        <w:t>í</w:t>
      </w:r>
      <w:r w:rsidR="00782403" w:rsidRPr="00236485">
        <w:rPr>
          <w:sz w:val="24"/>
          <w:szCs w:val="24"/>
          <w:lang w:val="es-CO"/>
        </w:rPr>
        <w:t xml:space="preserve"> mismo pueda ser s</w:t>
      </w:r>
      <w:r w:rsidR="000E493A" w:rsidRPr="00236485">
        <w:rPr>
          <w:sz w:val="24"/>
          <w:szCs w:val="24"/>
          <w:lang w:val="es-CO"/>
        </w:rPr>
        <w:t xml:space="preserve">oporte </w:t>
      </w:r>
      <w:r w:rsidR="00782403" w:rsidRPr="00236485">
        <w:rPr>
          <w:sz w:val="24"/>
          <w:szCs w:val="24"/>
          <w:lang w:val="es-CO"/>
        </w:rPr>
        <w:t xml:space="preserve">de la responsabilidad de este, por lo </w:t>
      </w:r>
      <w:r w:rsidR="00DC18A6" w:rsidRPr="00236485">
        <w:rPr>
          <w:sz w:val="24"/>
          <w:szCs w:val="24"/>
          <w:lang w:val="es-CO"/>
        </w:rPr>
        <w:t xml:space="preserve">que considera </w:t>
      </w:r>
      <w:r w:rsidR="00782403" w:rsidRPr="00236485">
        <w:rPr>
          <w:sz w:val="24"/>
          <w:szCs w:val="24"/>
          <w:lang w:val="es-CO"/>
        </w:rPr>
        <w:t>que no debe declararse impedido.</w:t>
      </w:r>
    </w:p>
    <w:p w14:paraId="4CEC219E" w14:textId="77777777" w:rsidR="00EB5669" w:rsidRPr="00236485" w:rsidRDefault="00EB5669" w:rsidP="00236485">
      <w:pPr>
        <w:rPr>
          <w:sz w:val="24"/>
          <w:szCs w:val="24"/>
          <w:lang w:val="es-CO"/>
        </w:rPr>
      </w:pPr>
    </w:p>
    <w:p w14:paraId="19D276AE" w14:textId="77777777" w:rsidR="00782403" w:rsidRPr="00236485" w:rsidRDefault="00782403" w:rsidP="00236485">
      <w:pPr>
        <w:rPr>
          <w:sz w:val="24"/>
          <w:szCs w:val="24"/>
          <w:lang w:val="es-CO"/>
        </w:rPr>
      </w:pPr>
      <w:r w:rsidRPr="00236485">
        <w:rPr>
          <w:b/>
          <w:sz w:val="24"/>
          <w:szCs w:val="24"/>
          <w:lang w:val="es-CO"/>
        </w:rPr>
        <w:t>2.4.-</w:t>
      </w:r>
      <w:r w:rsidRPr="00236485">
        <w:rPr>
          <w:sz w:val="24"/>
          <w:szCs w:val="24"/>
          <w:lang w:val="es-CO"/>
        </w:rPr>
        <w:t xml:space="preserve"> Concedida la palabra a los intervinientes </w:t>
      </w:r>
      <w:r w:rsidR="009E2474" w:rsidRPr="00236485">
        <w:rPr>
          <w:sz w:val="24"/>
          <w:szCs w:val="24"/>
          <w:lang w:val="es-CO"/>
        </w:rPr>
        <w:t xml:space="preserve">por si </w:t>
      </w:r>
      <w:r w:rsidR="0064680B" w:rsidRPr="00236485">
        <w:rPr>
          <w:sz w:val="24"/>
          <w:szCs w:val="24"/>
          <w:lang w:val="es-CO"/>
        </w:rPr>
        <w:t xml:space="preserve">era </w:t>
      </w:r>
      <w:r w:rsidR="009E2474" w:rsidRPr="00236485">
        <w:rPr>
          <w:sz w:val="24"/>
          <w:szCs w:val="24"/>
          <w:lang w:val="es-CO"/>
        </w:rPr>
        <w:t>su deseo recusarlo</w:t>
      </w:r>
      <w:r w:rsidR="0064680B" w:rsidRPr="00236485">
        <w:rPr>
          <w:sz w:val="24"/>
          <w:szCs w:val="24"/>
          <w:lang w:val="es-CO"/>
        </w:rPr>
        <w:t>,</w:t>
      </w:r>
      <w:r w:rsidR="009E2474" w:rsidRPr="00236485">
        <w:rPr>
          <w:sz w:val="24"/>
          <w:szCs w:val="24"/>
          <w:lang w:val="es-CO"/>
        </w:rPr>
        <w:t xml:space="preserve"> así procedieron tanto fiscal como el defensor del procesado quienes indicaron.</w:t>
      </w:r>
    </w:p>
    <w:p w14:paraId="3A1FA13E" w14:textId="77777777" w:rsidR="009E2474" w:rsidRPr="00236485" w:rsidRDefault="009E2474" w:rsidP="00236485">
      <w:pPr>
        <w:rPr>
          <w:sz w:val="24"/>
          <w:szCs w:val="24"/>
          <w:lang w:val="es-CO"/>
        </w:rPr>
      </w:pPr>
    </w:p>
    <w:p w14:paraId="6A798B8E" w14:textId="0A59F97B" w:rsidR="009E2474" w:rsidRPr="00236485" w:rsidRDefault="009E2474" w:rsidP="00236485">
      <w:pPr>
        <w:rPr>
          <w:sz w:val="24"/>
          <w:szCs w:val="24"/>
          <w:lang w:val="es-CO"/>
        </w:rPr>
      </w:pPr>
      <w:r w:rsidRPr="00236485">
        <w:rPr>
          <w:sz w:val="24"/>
          <w:szCs w:val="24"/>
          <w:lang w:val="es-CO"/>
        </w:rPr>
        <w:t xml:space="preserve">Expresó el delegado del ente acusador que acorde con el contenido del numeral 6º art. 56 </w:t>
      </w:r>
      <w:proofErr w:type="spellStart"/>
      <w:r w:rsidRPr="00236485">
        <w:rPr>
          <w:sz w:val="24"/>
          <w:szCs w:val="24"/>
          <w:lang w:val="es-CO"/>
        </w:rPr>
        <w:t>C.P.P</w:t>
      </w:r>
      <w:proofErr w:type="spellEnd"/>
      <w:r w:rsidRPr="00236485">
        <w:rPr>
          <w:sz w:val="24"/>
          <w:szCs w:val="24"/>
          <w:lang w:val="es-CO"/>
        </w:rPr>
        <w:t xml:space="preserve">. el a-quo debe declarar su impedimento, independientemente de la valoración probatoria, </w:t>
      </w:r>
      <w:r w:rsidR="0064680B" w:rsidRPr="00236485">
        <w:rPr>
          <w:sz w:val="24"/>
          <w:szCs w:val="24"/>
          <w:lang w:val="es-CO"/>
        </w:rPr>
        <w:t xml:space="preserve">ya que </w:t>
      </w:r>
      <w:r w:rsidRPr="00236485">
        <w:rPr>
          <w:sz w:val="24"/>
          <w:szCs w:val="24"/>
          <w:lang w:val="es-CO"/>
        </w:rPr>
        <w:t xml:space="preserve">participó en el proceso y tomó una decisión, así mismo, por cuanto estamos ante un concierto donde hay comunidad de prueba y si el juez no la asimila frente a </w:t>
      </w:r>
      <w:proofErr w:type="spellStart"/>
      <w:r w:rsidR="008633C5">
        <w:rPr>
          <w:b/>
          <w:sz w:val="24"/>
          <w:szCs w:val="24"/>
          <w:lang w:val="es-CO"/>
        </w:rPr>
        <w:t>JMP</w:t>
      </w:r>
      <w:proofErr w:type="spellEnd"/>
      <w:r w:rsidRPr="00236485">
        <w:rPr>
          <w:sz w:val="24"/>
          <w:szCs w:val="24"/>
          <w:lang w:val="es-CO"/>
        </w:rPr>
        <w:t xml:space="preserve">, el agente encubierto dará luces de cuándo se daban las presuntas reuniones para la venta de estupefacientes; acá sí hay concierto y se valoró para los otros dos </w:t>
      </w:r>
      <w:proofErr w:type="spellStart"/>
      <w:r w:rsidRPr="00236485">
        <w:rPr>
          <w:sz w:val="24"/>
          <w:szCs w:val="24"/>
          <w:lang w:val="es-CO"/>
        </w:rPr>
        <w:t>coprocesados</w:t>
      </w:r>
      <w:proofErr w:type="spellEnd"/>
      <w:r w:rsidRPr="00236485">
        <w:rPr>
          <w:sz w:val="24"/>
          <w:szCs w:val="24"/>
          <w:lang w:val="es-CO"/>
        </w:rPr>
        <w:t xml:space="preserve">, y todos tres fueron imputados por tal ilícito, </w:t>
      </w:r>
      <w:r w:rsidR="0064680B" w:rsidRPr="00236485">
        <w:rPr>
          <w:sz w:val="24"/>
          <w:szCs w:val="24"/>
          <w:lang w:val="es-CO"/>
        </w:rPr>
        <w:t xml:space="preserve">se </w:t>
      </w:r>
      <w:r w:rsidRPr="00236485">
        <w:rPr>
          <w:sz w:val="24"/>
          <w:szCs w:val="24"/>
          <w:lang w:val="es-CO"/>
        </w:rPr>
        <w:t xml:space="preserve">determinó </w:t>
      </w:r>
      <w:r w:rsidR="0064680B" w:rsidRPr="00236485">
        <w:rPr>
          <w:sz w:val="24"/>
          <w:szCs w:val="24"/>
          <w:lang w:val="es-CO"/>
        </w:rPr>
        <w:t xml:space="preserve">tal ilícito </w:t>
      </w:r>
      <w:r w:rsidRPr="00236485">
        <w:rPr>
          <w:sz w:val="24"/>
          <w:szCs w:val="24"/>
          <w:lang w:val="es-CO"/>
        </w:rPr>
        <w:t xml:space="preserve">como facultad de la valoración probatoria que tiene el juez, y lo sustenta en el auto </w:t>
      </w:r>
      <w:proofErr w:type="spellStart"/>
      <w:r w:rsidRPr="00236485">
        <w:rPr>
          <w:sz w:val="24"/>
          <w:szCs w:val="24"/>
          <w:lang w:val="es-CO"/>
        </w:rPr>
        <w:t>AP3446</w:t>
      </w:r>
      <w:proofErr w:type="spellEnd"/>
      <w:r w:rsidRPr="00236485">
        <w:rPr>
          <w:sz w:val="24"/>
          <w:szCs w:val="24"/>
          <w:lang w:val="es-CO"/>
        </w:rPr>
        <w:t>-20</w:t>
      </w:r>
      <w:r w:rsidR="00D843DF" w:rsidRPr="00236485">
        <w:rPr>
          <w:sz w:val="24"/>
          <w:szCs w:val="24"/>
          <w:lang w:val="es-CO"/>
        </w:rPr>
        <w:t>2</w:t>
      </w:r>
      <w:r w:rsidRPr="00236485">
        <w:rPr>
          <w:sz w:val="24"/>
          <w:szCs w:val="24"/>
          <w:lang w:val="es-CO"/>
        </w:rPr>
        <w:t xml:space="preserve">2 rad. 61926, donde la Corte definió un </w:t>
      </w:r>
      <w:r w:rsidR="00D843DF" w:rsidRPr="00236485">
        <w:rPr>
          <w:sz w:val="24"/>
          <w:szCs w:val="24"/>
          <w:lang w:val="es-CO"/>
        </w:rPr>
        <w:t xml:space="preserve">caso </w:t>
      </w:r>
      <w:r w:rsidRPr="00236485">
        <w:rPr>
          <w:sz w:val="24"/>
          <w:szCs w:val="24"/>
          <w:lang w:val="es-CO"/>
        </w:rPr>
        <w:t xml:space="preserve">similar, y estimó que había lugar al impedimento en tanto el juez anticipó su valoración, con lo cual podía verse comprometido su imparcialidad. Considera que se debe dar trámite a la recusación para que </w:t>
      </w:r>
      <w:r w:rsidR="00A357D6" w:rsidRPr="00236485">
        <w:rPr>
          <w:sz w:val="24"/>
          <w:szCs w:val="24"/>
          <w:lang w:val="es-CO"/>
        </w:rPr>
        <w:t xml:space="preserve">dilucide </w:t>
      </w:r>
      <w:r w:rsidRPr="00236485">
        <w:rPr>
          <w:sz w:val="24"/>
          <w:szCs w:val="24"/>
          <w:lang w:val="es-CO"/>
        </w:rPr>
        <w:t>el Tribunal quien debe asumir el asunto.</w:t>
      </w:r>
    </w:p>
    <w:p w14:paraId="53EBC417" w14:textId="77777777" w:rsidR="009E2474" w:rsidRPr="00236485" w:rsidRDefault="009E2474" w:rsidP="00236485">
      <w:pPr>
        <w:rPr>
          <w:sz w:val="24"/>
          <w:szCs w:val="24"/>
          <w:lang w:val="es-CO"/>
        </w:rPr>
      </w:pPr>
    </w:p>
    <w:p w14:paraId="16CE89B7" w14:textId="14D7AE1D" w:rsidR="005E27DF" w:rsidRPr="00236485" w:rsidRDefault="005E27DF" w:rsidP="00236485">
      <w:pPr>
        <w:rPr>
          <w:sz w:val="24"/>
          <w:szCs w:val="24"/>
          <w:lang w:val="es-CO"/>
        </w:rPr>
      </w:pPr>
      <w:r w:rsidRPr="00236485">
        <w:rPr>
          <w:sz w:val="24"/>
          <w:szCs w:val="24"/>
          <w:lang w:val="es-CO"/>
        </w:rPr>
        <w:t>A su turno, el defensor del procesado, pide al a-quo reconsidere su decisión y declare su impedimento, por cuanto</w:t>
      </w:r>
      <w:r w:rsidR="004B5785" w:rsidRPr="00236485">
        <w:rPr>
          <w:sz w:val="24"/>
          <w:szCs w:val="24"/>
          <w:lang w:val="es-CO"/>
        </w:rPr>
        <w:t xml:space="preserve"> con su participación en este asunto ha ingresado en los parámetros objetivos del numeral 6° art. 56 </w:t>
      </w:r>
      <w:proofErr w:type="spellStart"/>
      <w:r w:rsidR="004B5785" w:rsidRPr="00236485">
        <w:rPr>
          <w:sz w:val="24"/>
          <w:szCs w:val="24"/>
          <w:lang w:val="es-CO"/>
        </w:rPr>
        <w:t>C.P.P</w:t>
      </w:r>
      <w:proofErr w:type="spellEnd"/>
      <w:r w:rsidR="004B5785" w:rsidRPr="00236485">
        <w:rPr>
          <w:sz w:val="24"/>
          <w:szCs w:val="24"/>
          <w:lang w:val="es-CO"/>
        </w:rPr>
        <w:t xml:space="preserve">., y si hace relación a un concierto para delinquir, se tiene que en efecto de </w:t>
      </w:r>
      <w:proofErr w:type="spellStart"/>
      <w:r w:rsidR="00A377AB">
        <w:rPr>
          <w:b/>
          <w:sz w:val="24"/>
          <w:szCs w:val="24"/>
          <w:lang w:val="es-CO"/>
        </w:rPr>
        <w:t>JMP</w:t>
      </w:r>
      <w:proofErr w:type="spellEnd"/>
      <w:r w:rsidR="004B5785" w:rsidRPr="00236485">
        <w:rPr>
          <w:sz w:val="24"/>
          <w:szCs w:val="24"/>
          <w:lang w:val="es-CO"/>
        </w:rPr>
        <w:t xml:space="preserve"> se le imputó tal conducta, y lo que se aprecia es una valoración anticipada </w:t>
      </w:r>
      <w:r w:rsidRPr="00236485">
        <w:rPr>
          <w:sz w:val="24"/>
          <w:szCs w:val="24"/>
          <w:lang w:val="es-CO"/>
        </w:rPr>
        <w:t>en este proceso</w:t>
      </w:r>
      <w:r w:rsidR="004B5785" w:rsidRPr="00236485">
        <w:rPr>
          <w:sz w:val="24"/>
          <w:szCs w:val="24"/>
          <w:lang w:val="es-CO"/>
        </w:rPr>
        <w:t xml:space="preserve"> y al hacer tal manifestación, estima que no habría lugar a imputar a su cliente ese delito y si se continúa la actuación en curso del canon 336 </w:t>
      </w:r>
      <w:proofErr w:type="spellStart"/>
      <w:r w:rsidR="004B5785" w:rsidRPr="00236485">
        <w:rPr>
          <w:sz w:val="24"/>
          <w:szCs w:val="24"/>
          <w:lang w:val="es-CO"/>
        </w:rPr>
        <w:t>C.P.P</w:t>
      </w:r>
      <w:proofErr w:type="spellEnd"/>
      <w:r w:rsidR="004B5785" w:rsidRPr="00236485">
        <w:rPr>
          <w:sz w:val="24"/>
          <w:szCs w:val="24"/>
          <w:lang w:val="es-CO"/>
        </w:rPr>
        <w:t xml:space="preserve">., se abriría la posibilidad de pedir una nulidad, al no estar los argumentos fácticos para acusarlo y para evitar inconvenientes a futuro  lo más sano es que se declare impedido, al ser un hecho cierto que existió una contaminación, en tanto ya conoce los hechos y de una manera u otra valoró los </w:t>
      </w:r>
      <w:proofErr w:type="spellStart"/>
      <w:r w:rsidR="004B5785" w:rsidRPr="00236485">
        <w:rPr>
          <w:sz w:val="24"/>
          <w:szCs w:val="24"/>
          <w:lang w:val="es-CO"/>
        </w:rPr>
        <w:t>EMP</w:t>
      </w:r>
      <w:proofErr w:type="spellEnd"/>
      <w:r w:rsidR="004B5785" w:rsidRPr="00236485">
        <w:rPr>
          <w:sz w:val="24"/>
          <w:szCs w:val="24"/>
          <w:lang w:val="es-CO"/>
        </w:rPr>
        <w:t xml:space="preserve"> para avaluar el preacuerdo de los demás implicados.</w:t>
      </w:r>
    </w:p>
    <w:p w14:paraId="0C85DF6A" w14:textId="77777777" w:rsidR="009E2474" w:rsidRPr="00236485" w:rsidRDefault="009E2474" w:rsidP="00236485">
      <w:pPr>
        <w:rPr>
          <w:sz w:val="24"/>
          <w:szCs w:val="24"/>
          <w:lang w:val="es-CO"/>
        </w:rPr>
      </w:pPr>
    </w:p>
    <w:p w14:paraId="06D8A640" w14:textId="751D61D0" w:rsidR="00642B22" w:rsidRPr="00236485" w:rsidRDefault="004B5785" w:rsidP="00236485">
      <w:pPr>
        <w:rPr>
          <w:sz w:val="24"/>
          <w:szCs w:val="24"/>
          <w:lang w:val="es-CO"/>
        </w:rPr>
      </w:pPr>
      <w:r w:rsidRPr="00236485">
        <w:rPr>
          <w:b/>
          <w:sz w:val="24"/>
          <w:szCs w:val="24"/>
          <w:lang w:val="es-CO"/>
        </w:rPr>
        <w:lastRenderedPageBreak/>
        <w:t>2.5.-</w:t>
      </w:r>
      <w:r w:rsidRPr="00236485">
        <w:rPr>
          <w:sz w:val="24"/>
          <w:szCs w:val="24"/>
          <w:lang w:val="es-CO"/>
        </w:rPr>
        <w:t xml:space="preserve"> El a-quo nuevamente esgrimió que la aplicación de la causal 6ª del artículo 56 </w:t>
      </w:r>
      <w:proofErr w:type="spellStart"/>
      <w:r w:rsidRPr="00236485">
        <w:rPr>
          <w:sz w:val="24"/>
          <w:szCs w:val="24"/>
          <w:lang w:val="es-CO"/>
        </w:rPr>
        <w:t>C.P.P</w:t>
      </w:r>
      <w:proofErr w:type="spellEnd"/>
      <w:r w:rsidRPr="00236485">
        <w:rPr>
          <w:sz w:val="24"/>
          <w:szCs w:val="24"/>
          <w:lang w:val="es-CO"/>
        </w:rPr>
        <w:t xml:space="preserve">. no es objetiva, y reitera que el </w:t>
      </w:r>
      <w:r w:rsidR="000E493A" w:rsidRPr="00236485">
        <w:rPr>
          <w:sz w:val="24"/>
          <w:szCs w:val="24"/>
          <w:lang w:val="es-CO"/>
        </w:rPr>
        <w:t xml:space="preserve">insumo </w:t>
      </w:r>
      <w:r w:rsidRPr="00236485">
        <w:rPr>
          <w:sz w:val="24"/>
          <w:szCs w:val="24"/>
          <w:lang w:val="es-CO"/>
        </w:rPr>
        <w:t xml:space="preserve">principal para condenar a JORGE ANDRÉS y </w:t>
      </w:r>
      <w:proofErr w:type="spellStart"/>
      <w:r w:rsidR="00FA433E">
        <w:rPr>
          <w:sz w:val="22"/>
          <w:szCs w:val="24"/>
        </w:rPr>
        <w:t>EDSO</w:t>
      </w:r>
      <w:proofErr w:type="spellEnd"/>
      <w:r w:rsidRPr="00236485">
        <w:rPr>
          <w:sz w:val="24"/>
          <w:szCs w:val="24"/>
          <w:lang w:val="es-CO"/>
        </w:rPr>
        <w:t xml:space="preserve"> fue un solo interrogatorio donde los</w:t>
      </w:r>
      <w:r w:rsidR="000264FE" w:rsidRPr="00236485">
        <w:rPr>
          <w:sz w:val="24"/>
          <w:szCs w:val="24"/>
          <w:lang w:val="es-CO"/>
        </w:rPr>
        <w:t xml:space="preserve"> señalan </w:t>
      </w:r>
      <w:r w:rsidRPr="00236485">
        <w:rPr>
          <w:sz w:val="24"/>
          <w:szCs w:val="24"/>
          <w:lang w:val="es-CO"/>
        </w:rPr>
        <w:t xml:space="preserve">y aluden a su accionar, lo cual junto con la aceptación por vía de preacuerdo se dio </w:t>
      </w:r>
      <w:r w:rsidR="000E493A" w:rsidRPr="00236485">
        <w:rPr>
          <w:sz w:val="24"/>
          <w:szCs w:val="24"/>
          <w:lang w:val="es-CO"/>
        </w:rPr>
        <w:t xml:space="preserve">soporte </w:t>
      </w:r>
      <w:r w:rsidRPr="00236485">
        <w:rPr>
          <w:sz w:val="24"/>
          <w:szCs w:val="24"/>
          <w:lang w:val="es-CO"/>
        </w:rPr>
        <w:t xml:space="preserve">a ese mínimo probatorio respecto del concierto para delinquir, pero en tal interrogatorio no se </w:t>
      </w:r>
      <w:r w:rsidR="000E493A" w:rsidRPr="00236485">
        <w:rPr>
          <w:sz w:val="24"/>
          <w:szCs w:val="24"/>
          <w:lang w:val="es-CO"/>
        </w:rPr>
        <w:t xml:space="preserve">cita </w:t>
      </w:r>
      <w:r w:rsidRPr="00236485">
        <w:rPr>
          <w:sz w:val="24"/>
          <w:szCs w:val="24"/>
          <w:lang w:val="es-CO"/>
        </w:rPr>
        <w:t xml:space="preserve">a </w:t>
      </w:r>
      <w:proofErr w:type="spellStart"/>
      <w:r w:rsidR="00A377AB">
        <w:rPr>
          <w:b/>
          <w:sz w:val="24"/>
          <w:szCs w:val="24"/>
          <w:lang w:val="es-CO"/>
        </w:rPr>
        <w:t>JMP</w:t>
      </w:r>
      <w:proofErr w:type="spellEnd"/>
      <w:r w:rsidRPr="00236485">
        <w:rPr>
          <w:sz w:val="24"/>
          <w:szCs w:val="24"/>
          <w:lang w:val="es-CO"/>
        </w:rPr>
        <w:t xml:space="preserve">, por lo cual no </w:t>
      </w:r>
      <w:r w:rsidR="000264FE" w:rsidRPr="00236485">
        <w:rPr>
          <w:sz w:val="24"/>
          <w:szCs w:val="24"/>
          <w:lang w:val="es-CO"/>
        </w:rPr>
        <w:t>se contamino probatoriamente ni realizó una</w:t>
      </w:r>
      <w:r w:rsidRPr="00236485">
        <w:rPr>
          <w:sz w:val="24"/>
          <w:szCs w:val="24"/>
          <w:lang w:val="es-CO"/>
        </w:rPr>
        <w:t xml:space="preserve"> correlación de los posibles eventos, y aunque el defensor ahora sostiene que si no hay elementos para el concierto de </w:t>
      </w:r>
      <w:proofErr w:type="spellStart"/>
      <w:r w:rsidR="00A377AB">
        <w:rPr>
          <w:b/>
          <w:sz w:val="24"/>
          <w:szCs w:val="24"/>
          <w:lang w:val="es-CO"/>
        </w:rPr>
        <w:t>JMP</w:t>
      </w:r>
      <w:proofErr w:type="spellEnd"/>
      <w:r w:rsidRPr="00236485">
        <w:rPr>
          <w:sz w:val="24"/>
          <w:szCs w:val="24"/>
          <w:lang w:val="es-CO"/>
        </w:rPr>
        <w:t xml:space="preserve"> no</w:t>
      </w:r>
      <w:r w:rsidR="00A357D6" w:rsidRPr="00236485">
        <w:rPr>
          <w:sz w:val="24"/>
          <w:szCs w:val="24"/>
          <w:lang w:val="es-CO"/>
        </w:rPr>
        <w:t xml:space="preserve"> obra </w:t>
      </w:r>
      <w:r w:rsidRPr="00236485">
        <w:rPr>
          <w:sz w:val="24"/>
          <w:szCs w:val="24"/>
          <w:lang w:val="es-CO"/>
        </w:rPr>
        <w:t>un sustento fáctico, aduce que la acusación es una teoría de la Fisca</w:t>
      </w:r>
      <w:r w:rsidR="00642B22" w:rsidRPr="00236485">
        <w:rPr>
          <w:sz w:val="24"/>
          <w:szCs w:val="24"/>
          <w:lang w:val="es-CO"/>
        </w:rPr>
        <w:t>l</w:t>
      </w:r>
      <w:r w:rsidRPr="00236485">
        <w:rPr>
          <w:sz w:val="24"/>
          <w:szCs w:val="24"/>
          <w:lang w:val="es-CO"/>
        </w:rPr>
        <w:t xml:space="preserve">ía </w:t>
      </w:r>
      <w:r w:rsidR="00642B22" w:rsidRPr="00236485">
        <w:rPr>
          <w:sz w:val="24"/>
          <w:szCs w:val="24"/>
          <w:lang w:val="es-CO"/>
        </w:rPr>
        <w:t>y p</w:t>
      </w:r>
      <w:r w:rsidR="00D77226" w:rsidRPr="00236485">
        <w:rPr>
          <w:sz w:val="24"/>
          <w:szCs w:val="24"/>
          <w:lang w:val="es-CO"/>
        </w:rPr>
        <w:t>or</w:t>
      </w:r>
      <w:r w:rsidR="00642B22" w:rsidRPr="00236485">
        <w:rPr>
          <w:sz w:val="24"/>
          <w:szCs w:val="24"/>
          <w:lang w:val="es-CO"/>
        </w:rPr>
        <w:t xml:space="preserve"> consiguiente si existen o no </w:t>
      </w:r>
      <w:proofErr w:type="spellStart"/>
      <w:r w:rsidR="000E493A" w:rsidRPr="00236485">
        <w:rPr>
          <w:sz w:val="24"/>
          <w:szCs w:val="24"/>
          <w:lang w:val="es-CO"/>
        </w:rPr>
        <w:t>EMP</w:t>
      </w:r>
      <w:proofErr w:type="spellEnd"/>
      <w:r w:rsidR="000E493A" w:rsidRPr="00236485">
        <w:rPr>
          <w:sz w:val="24"/>
          <w:szCs w:val="24"/>
          <w:lang w:val="es-CO"/>
        </w:rPr>
        <w:t xml:space="preserve"> </w:t>
      </w:r>
      <w:r w:rsidR="00642B22" w:rsidRPr="00236485">
        <w:rPr>
          <w:sz w:val="24"/>
          <w:szCs w:val="24"/>
          <w:lang w:val="es-CO"/>
        </w:rPr>
        <w:t xml:space="preserve">de responsabilidad ello deberá acreditarse en juicio, pero el que no se mencione en el interrogatorio no quiere decir que no </w:t>
      </w:r>
      <w:r w:rsidR="00A357D6" w:rsidRPr="00236485">
        <w:rPr>
          <w:sz w:val="24"/>
          <w:szCs w:val="24"/>
          <w:lang w:val="es-CO"/>
        </w:rPr>
        <w:t>hay</w:t>
      </w:r>
      <w:r w:rsidR="000E493A" w:rsidRPr="00236485">
        <w:rPr>
          <w:sz w:val="24"/>
          <w:szCs w:val="24"/>
          <w:lang w:val="es-CO"/>
        </w:rPr>
        <w:t>a</w:t>
      </w:r>
      <w:r w:rsidR="00A357D6" w:rsidRPr="00236485">
        <w:rPr>
          <w:sz w:val="24"/>
          <w:szCs w:val="24"/>
          <w:lang w:val="es-CO"/>
        </w:rPr>
        <w:t xml:space="preserve"> </w:t>
      </w:r>
      <w:r w:rsidR="00642B22" w:rsidRPr="00236485">
        <w:rPr>
          <w:sz w:val="24"/>
          <w:szCs w:val="24"/>
          <w:lang w:val="es-CO"/>
        </w:rPr>
        <w:t xml:space="preserve">otros para vincularlo al concierto, aunado a que quien dio tal información podría ampliarla en juicio. Estima que no prejuzga acerca de la inocencia o compromiso de nadie en particular, pero de los </w:t>
      </w:r>
      <w:r w:rsidR="000E493A" w:rsidRPr="00236485">
        <w:rPr>
          <w:sz w:val="24"/>
          <w:szCs w:val="24"/>
          <w:lang w:val="es-CO"/>
        </w:rPr>
        <w:t xml:space="preserve">soportes </w:t>
      </w:r>
      <w:r w:rsidR="00642B22" w:rsidRPr="00236485">
        <w:rPr>
          <w:sz w:val="24"/>
          <w:szCs w:val="24"/>
          <w:lang w:val="es-CO"/>
        </w:rPr>
        <w:t xml:space="preserve">que le entregaron no hay nada que </w:t>
      </w:r>
      <w:r w:rsidR="000E493A" w:rsidRPr="00236485">
        <w:rPr>
          <w:sz w:val="24"/>
          <w:szCs w:val="24"/>
          <w:lang w:val="es-CO"/>
        </w:rPr>
        <w:t xml:space="preserve">refiera </w:t>
      </w:r>
      <w:r w:rsidR="00642B22" w:rsidRPr="00236485">
        <w:rPr>
          <w:sz w:val="24"/>
          <w:szCs w:val="24"/>
          <w:lang w:val="es-CO"/>
        </w:rPr>
        <w:t xml:space="preserve">a </w:t>
      </w:r>
      <w:proofErr w:type="spellStart"/>
      <w:r w:rsidR="00A377AB">
        <w:rPr>
          <w:b/>
          <w:sz w:val="24"/>
          <w:szCs w:val="24"/>
          <w:lang w:val="es-CO"/>
        </w:rPr>
        <w:t>JMP</w:t>
      </w:r>
      <w:proofErr w:type="spellEnd"/>
      <w:r w:rsidR="00642B22" w:rsidRPr="00236485">
        <w:rPr>
          <w:sz w:val="24"/>
          <w:szCs w:val="24"/>
          <w:lang w:val="es-CO"/>
        </w:rPr>
        <w:t>, ni verificó alguno que lo mencionara, por lo cual no está contaminado, ni ostenta ningún prejuicio</w:t>
      </w:r>
      <w:r w:rsidR="00D77226" w:rsidRPr="00236485">
        <w:rPr>
          <w:sz w:val="24"/>
          <w:szCs w:val="24"/>
          <w:lang w:val="es-CO"/>
        </w:rPr>
        <w:t>;</w:t>
      </w:r>
      <w:r w:rsidR="00642B22" w:rsidRPr="00236485">
        <w:rPr>
          <w:sz w:val="24"/>
          <w:szCs w:val="24"/>
          <w:lang w:val="es-CO"/>
        </w:rPr>
        <w:t xml:space="preserve"> no </w:t>
      </w:r>
      <w:r w:rsidR="00D77226" w:rsidRPr="00236485">
        <w:rPr>
          <w:sz w:val="24"/>
          <w:szCs w:val="24"/>
          <w:lang w:val="es-CO"/>
        </w:rPr>
        <w:t>obstante,</w:t>
      </w:r>
      <w:r w:rsidR="00642B22" w:rsidRPr="00236485">
        <w:rPr>
          <w:sz w:val="24"/>
          <w:szCs w:val="24"/>
          <w:lang w:val="es-CO"/>
        </w:rPr>
        <w:t xml:space="preserve"> admite que no ha visto ningún </w:t>
      </w:r>
      <w:proofErr w:type="spellStart"/>
      <w:r w:rsidR="00642B22" w:rsidRPr="00236485">
        <w:rPr>
          <w:sz w:val="24"/>
          <w:szCs w:val="24"/>
          <w:lang w:val="es-CO"/>
        </w:rPr>
        <w:t>EMP</w:t>
      </w:r>
      <w:proofErr w:type="spellEnd"/>
      <w:r w:rsidRPr="00236485">
        <w:rPr>
          <w:sz w:val="24"/>
          <w:szCs w:val="24"/>
          <w:lang w:val="es-CO"/>
        </w:rPr>
        <w:t xml:space="preserve"> </w:t>
      </w:r>
      <w:r w:rsidR="00642B22" w:rsidRPr="00236485">
        <w:rPr>
          <w:sz w:val="24"/>
          <w:szCs w:val="24"/>
          <w:lang w:val="es-CO"/>
        </w:rPr>
        <w:t xml:space="preserve">contra </w:t>
      </w:r>
      <w:proofErr w:type="spellStart"/>
      <w:r w:rsidR="00A377AB">
        <w:rPr>
          <w:b/>
          <w:sz w:val="24"/>
          <w:szCs w:val="24"/>
          <w:lang w:val="es-CO"/>
        </w:rPr>
        <w:t>JMP</w:t>
      </w:r>
      <w:proofErr w:type="spellEnd"/>
      <w:r w:rsidR="00642B22" w:rsidRPr="00236485">
        <w:rPr>
          <w:sz w:val="24"/>
          <w:szCs w:val="24"/>
          <w:lang w:val="es-CO"/>
        </w:rPr>
        <w:t xml:space="preserve"> por cuanto, reitera, en el interrogatorio enviado no lo </w:t>
      </w:r>
      <w:r w:rsidR="000E493A" w:rsidRPr="00236485">
        <w:rPr>
          <w:sz w:val="24"/>
          <w:szCs w:val="24"/>
          <w:lang w:val="es-CO"/>
        </w:rPr>
        <w:t xml:space="preserve">nombran </w:t>
      </w:r>
      <w:r w:rsidR="00642B22" w:rsidRPr="00236485">
        <w:rPr>
          <w:sz w:val="24"/>
          <w:szCs w:val="24"/>
          <w:lang w:val="es-CO"/>
        </w:rPr>
        <w:t>y no tuvo necesidad de ver los eventos que lo involucraban en las bitácoras.</w:t>
      </w:r>
    </w:p>
    <w:p w14:paraId="406E9654" w14:textId="77777777" w:rsidR="00F32A98" w:rsidRPr="00236485" w:rsidRDefault="00F32A98" w:rsidP="00236485">
      <w:pPr>
        <w:rPr>
          <w:sz w:val="24"/>
          <w:szCs w:val="24"/>
          <w:lang w:val="es-CO"/>
        </w:rPr>
      </w:pPr>
    </w:p>
    <w:p w14:paraId="6D89ED61" w14:textId="77777777" w:rsidR="00012398" w:rsidRPr="00236485" w:rsidRDefault="00012398" w:rsidP="00236485">
      <w:pPr>
        <w:pStyle w:val="AlgerianTtulo"/>
        <w:spacing w:line="276" w:lineRule="auto"/>
        <w:rPr>
          <w:rFonts w:ascii="Tahoma" w:hAnsi="Tahoma"/>
          <w:sz w:val="24"/>
          <w:szCs w:val="24"/>
        </w:rPr>
      </w:pPr>
      <w:r w:rsidRPr="002F4784">
        <w:rPr>
          <w:rFonts w:eastAsia="Times New Roman"/>
          <w:szCs w:val="20"/>
          <w:lang w:eastAsia="es-MX"/>
        </w:rPr>
        <w:t>3.-</w:t>
      </w:r>
      <w:r w:rsidRPr="00236485">
        <w:rPr>
          <w:rFonts w:ascii="Tahoma" w:hAnsi="Tahoma"/>
          <w:sz w:val="24"/>
          <w:szCs w:val="24"/>
        </w:rPr>
        <w:t xml:space="preserve"> Para resolver, </w:t>
      </w:r>
      <w:r w:rsidRPr="002F4784">
        <w:rPr>
          <w:rFonts w:eastAsia="Times New Roman"/>
          <w:szCs w:val="20"/>
          <w:lang w:eastAsia="es-MX"/>
        </w:rPr>
        <w:t>se CONSIDERA</w:t>
      </w:r>
    </w:p>
    <w:p w14:paraId="5F648C69" w14:textId="77777777" w:rsidR="009D7118" w:rsidRPr="00236485" w:rsidRDefault="009D7118" w:rsidP="00236485">
      <w:pPr>
        <w:pStyle w:val="AlgerianTtulo"/>
        <w:spacing w:line="276" w:lineRule="auto"/>
        <w:rPr>
          <w:rFonts w:ascii="Tahoma" w:hAnsi="Tahoma"/>
          <w:sz w:val="24"/>
          <w:szCs w:val="24"/>
        </w:rPr>
      </w:pPr>
    </w:p>
    <w:p w14:paraId="2F6B80D2" w14:textId="77777777" w:rsidR="009D7118" w:rsidRPr="00236485" w:rsidRDefault="009D7118" w:rsidP="00236485">
      <w:pPr>
        <w:pStyle w:val="AlgerianTtulo"/>
        <w:spacing w:line="276" w:lineRule="auto"/>
        <w:rPr>
          <w:rFonts w:ascii="Tahoma" w:hAnsi="Tahoma"/>
          <w:b/>
          <w:bCs/>
          <w:sz w:val="24"/>
          <w:szCs w:val="24"/>
        </w:rPr>
      </w:pPr>
      <w:r w:rsidRPr="00236485">
        <w:rPr>
          <w:rFonts w:ascii="Tahoma" w:hAnsi="Tahoma"/>
          <w:b/>
          <w:bCs/>
          <w:sz w:val="24"/>
          <w:szCs w:val="24"/>
        </w:rPr>
        <w:t>3.1</w:t>
      </w:r>
      <w:r w:rsidRPr="00236485">
        <w:rPr>
          <w:rFonts w:ascii="Tahoma" w:hAnsi="Tahoma"/>
          <w:sz w:val="24"/>
          <w:szCs w:val="24"/>
        </w:rPr>
        <w:t xml:space="preserve"> </w:t>
      </w:r>
      <w:r w:rsidRPr="00236485">
        <w:rPr>
          <w:rFonts w:ascii="Tahoma" w:hAnsi="Tahoma"/>
          <w:b/>
          <w:bCs/>
          <w:sz w:val="24"/>
          <w:szCs w:val="24"/>
        </w:rPr>
        <w:t>De la competencia.</w:t>
      </w:r>
    </w:p>
    <w:p w14:paraId="4A39C89D" w14:textId="77777777" w:rsidR="0056113A" w:rsidRPr="00236485" w:rsidRDefault="0056113A" w:rsidP="00236485">
      <w:pPr>
        <w:rPr>
          <w:sz w:val="24"/>
          <w:szCs w:val="24"/>
        </w:rPr>
      </w:pPr>
    </w:p>
    <w:p w14:paraId="25D1FE16" w14:textId="4AE21BC4" w:rsidR="009D7118" w:rsidRPr="00236485" w:rsidRDefault="009D7118" w:rsidP="00236485">
      <w:pPr>
        <w:rPr>
          <w:sz w:val="24"/>
          <w:szCs w:val="24"/>
        </w:rPr>
      </w:pPr>
      <w:r w:rsidRPr="00236485">
        <w:rPr>
          <w:sz w:val="24"/>
          <w:szCs w:val="24"/>
        </w:rPr>
        <w:t xml:space="preserve">Considera esta Colegiatura que es competente para </w:t>
      </w:r>
      <w:r w:rsidRPr="00236485">
        <w:rPr>
          <w:b/>
          <w:bCs/>
          <w:sz w:val="24"/>
          <w:szCs w:val="24"/>
        </w:rPr>
        <w:t>resolver de plano</w:t>
      </w:r>
      <w:r w:rsidRPr="00236485">
        <w:rPr>
          <w:sz w:val="24"/>
          <w:szCs w:val="24"/>
        </w:rPr>
        <w:t xml:space="preserve"> acerca de la recusación formulada en contra del titular del Juzgado Primero Penal del Circuito Especializado de Pereira (Rda.), de conformidad con lo dispuesto en el </w:t>
      </w:r>
      <w:r w:rsidRPr="00236485">
        <w:rPr>
          <w:b/>
          <w:bCs/>
          <w:sz w:val="24"/>
          <w:szCs w:val="24"/>
        </w:rPr>
        <w:t>artículo 60 de la Ley 906/04</w:t>
      </w:r>
      <w:r w:rsidRPr="00236485">
        <w:rPr>
          <w:sz w:val="24"/>
          <w:szCs w:val="24"/>
        </w:rPr>
        <w:t xml:space="preserve">, modificado por el artículo 84 de la Ley 1395 de 2010, no obstante que la jurisprudencia de la Sala de Casación Penal de la Corte Suprema de Justicia, desde el año 2015, en el radicado </w:t>
      </w:r>
      <w:proofErr w:type="spellStart"/>
      <w:r w:rsidRPr="00236485">
        <w:rPr>
          <w:b/>
          <w:bCs/>
          <w:sz w:val="24"/>
          <w:szCs w:val="24"/>
        </w:rPr>
        <w:t>AP4589</w:t>
      </w:r>
      <w:proofErr w:type="spellEnd"/>
      <w:r w:rsidRPr="00236485">
        <w:rPr>
          <w:b/>
          <w:bCs/>
          <w:sz w:val="24"/>
          <w:szCs w:val="24"/>
        </w:rPr>
        <w:t>-2015 (46501)</w:t>
      </w:r>
      <w:r w:rsidRPr="00236485">
        <w:rPr>
          <w:sz w:val="24"/>
          <w:szCs w:val="24"/>
        </w:rPr>
        <w:t xml:space="preserve">, Magistrado Ponente Luis Guillermo Salazar Otero, que ha sido reiterada hasta la fecha, ha </w:t>
      </w:r>
      <w:r w:rsidR="00A357D6" w:rsidRPr="00236485">
        <w:rPr>
          <w:sz w:val="24"/>
          <w:szCs w:val="24"/>
        </w:rPr>
        <w:t xml:space="preserve">estimado </w:t>
      </w:r>
      <w:r w:rsidRPr="00236485">
        <w:rPr>
          <w:sz w:val="24"/>
          <w:szCs w:val="24"/>
        </w:rPr>
        <w:t xml:space="preserve">que de acuerdo con el contenido de los artículos 57 y 60 de la Ley 906 de 2004, la recusación debe seguir el trámite previsto para los impedimentos. En este sentido, cuando se formule una recusación contra un funcionario y este </w:t>
      </w:r>
      <w:r w:rsidRPr="00236485">
        <w:rPr>
          <w:b/>
          <w:bCs/>
          <w:sz w:val="24"/>
          <w:szCs w:val="24"/>
        </w:rPr>
        <w:t xml:space="preserve">no </w:t>
      </w:r>
      <w:r w:rsidRPr="00236485">
        <w:rPr>
          <w:sz w:val="24"/>
          <w:szCs w:val="24"/>
        </w:rPr>
        <w:t xml:space="preserve">se declare impedido, </w:t>
      </w:r>
      <w:r w:rsidRPr="00236485">
        <w:rPr>
          <w:b/>
          <w:bCs/>
          <w:sz w:val="24"/>
          <w:szCs w:val="24"/>
        </w:rPr>
        <w:t>lo procedente es remitir el asunto a un funcionario de la misma especialidad que sigue en turno a fin de que decida de plano</w:t>
      </w:r>
      <w:r w:rsidRPr="00236485">
        <w:rPr>
          <w:sz w:val="24"/>
          <w:szCs w:val="24"/>
        </w:rPr>
        <w:t xml:space="preserve">. Punto en el cual se destaca que la intervención </w:t>
      </w:r>
      <w:r w:rsidR="0056113A" w:rsidRPr="00236485">
        <w:rPr>
          <w:sz w:val="24"/>
          <w:szCs w:val="24"/>
        </w:rPr>
        <w:t xml:space="preserve">del </w:t>
      </w:r>
      <w:r w:rsidRPr="00236485">
        <w:rPr>
          <w:sz w:val="24"/>
          <w:szCs w:val="24"/>
        </w:rPr>
        <w:t>superior solo está habilitada cuando se presente discrepancia.</w:t>
      </w:r>
    </w:p>
    <w:p w14:paraId="040D5DAC" w14:textId="77777777" w:rsidR="009D7118" w:rsidRPr="00236485" w:rsidRDefault="009D7118" w:rsidP="00236485">
      <w:pPr>
        <w:rPr>
          <w:sz w:val="24"/>
          <w:szCs w:val="24"/>
        </w:rPr>
      </w:pPr>
    </w:p>
    <w:p w14:paraId="0FCF547F" w14:textId="77777777" w:rsidR="009D7118" w:rsidRPr="00236485" w:rsidRDefault="009D7118" w:rsidP="00236485">
      <w:pPr>
        <w:rPr>
          <w:sz w:val="24"/>
          <w:szCs w:val="24"/>
        </w:rPr>
      </w:pPr>
      <w:r w:rsidRPr="00236485">
        <w:rPr>
          <w:sz w:val="24"/>
          <w:szCs w:val="24"/>
        </w:rPr>
        <w:lastRenderedPageBreak/>
        <w:t>La Sala</w:t>
      </w:r>
      <w:r w:rsidR="00642B22" w:rsidRPr="00236485">
        <w:rPr>
          <w:sz w:val="24"/>
          <w:szCs w:val="24"/>
        </w:rPr>
        <w:t>, como ya lo hizo en pretérita ocasión y con ponencia de quien ahora ejerce igual función</w:t>
      </w:r>
      <w:r w:rsidR="00642B22" w:rsidRPr="00236485">
        <w:rPr>
          <w:sz w:val="24"/>
          <w:szCs w:val="24"/>
          <w:vertAlign w:val="superscript"/>
        </w:rPr>
        <w:footnoteReference w:id="2"/>
      </w:r>
      <w:r w:rsidR="00642B22" w:rsidRPr="00236485">
        <w:rPr>
          <w:sz w:val="24"/>
          <w:szCs w:val="24"/>
        </w:rPr>
        <w:t>,</w:t>
      </w:r>
      <w:r w:rsidRPr="00236485">
        <w:rPr>
          <w:sz w:val="24"/>
          <w:szCs w:val="24"/>
        </w:rPr>
        <w:t xml:space="preserve"> respetuosamente se aparta </w:t>
      </w:r>
      <w:r w:rsidR="00642B22" w:rsidRPr="00236485">
        <w:rPr>
          <w:sz w:val="24"/>
          <w:szCs w:val="24"/>
        </w:rPr>
        <w:t xml:space="preserve">nuevamente </w:t>
      </w:r>
      <w:r w:rsidRPr="00236485">
        <w:rPr>
          <w:sz w:val="24"/>
          <w:szCs w:val="24"/>
        </w:rPr>
        <w:t xml:space="preserve">de la aludida interpretación de la Corte, por cuanto el contenido normativo del artículo 60 de la Ley 906 de 2004 es absolutamente claro y no </w:t>
      </w:r>
      <w:r w:rsidR="00CD05F4" w:rsidRPr="00236485">
        <w:rPr>
          <w:sz w:val="24"/>
          <w:szCs w:val="24"/>
        </w:rPr>
        <w:t xml:space="preserve">ofrece </w:t>
      </w:r>
      <w:r w:rsidRPr="00236485">
        <w:rPr>
          <w:sz w:val="24"/>
          <w:szCs w:val="24"/>
        </w:rPr>
        <w:t xml:space="preserve">duda, en lo atinente al </w:t>
      </w:r>
      <w:r w:rsidR="00A357D6" w:rsidRPr="00236485">
        <w:rPr>
          <w:sz w:val="24"/>
          <w:szCs w:val="24"/>
        </w:rPr>
        <w:t xml:space="preserve">procedimiento </w:t>
      </w:r>
      <w:r w:rsidRPr="00236485">
        <w:rPr>
          <w:sz w:val="24"/>
          <w:szCs w:val="24"/>
        </w:rPr>
        <w:t xml:space="preserve">a seguir cuando el funcionario recusado </w:t>
      </w:r>
      <w:r w:rsidRPr="00236485">
        <w:rPr>
          <w:b/>
          <w:bCs/>
          <w:sz w:val="24"/>
          <w:szCs w:val="24"/>
          <w:u w:val="single"/>
        </w:rPr>
        <w:t>no acepta</w:t>
      </w:r>
      <w:r w:rsidRPr="00236485">
        <w:rPr>
          <w:sz w:val="24"/>
          <w:szCs w:val="24"/>
        </w:rPr>
        <w:t xml:space="preserve"> la misma, disponiendo que la actuación </w:t>
      </w:r>
      <w:r w:rsidRPr="00236485">
        <w:rPr>
          <w:b/>
          <w:bCs/>
          <w:sz w:val="24"/>
          <w:szCs w:val="24"/>
        </w:rPr>
        <w:t>“</w:t>
      </w:r>
      <w:r w:rsidRPr="00F13D97">
        <w:rPr>
          <w:b/>
          <w:bCs/>
          <w:sz w:val="22"/>
          <w:szCs w:val="24"/>
        </w:rPr>
        <w:t>(…) se enviará a quien le corresponde resolver para que decida de plano (…)</w:t>
      </w:r>
      <w:r w:rsidRPr="00236485">
        <w:rPr>
          <w:b/>
          <w:bCs/>
          <w:sz w:val="24"/>
          <w:szCs w:val="24"/>
        </w:rPr>
        <w:t xml:space="preserve">”, </w:t>
      </w:r>
      <w:r w:rsidRPr="00236485">
        <w:rPr>
          <w:sz w:val="24"/>
          <w:szCs w:val="24"/>
        </w:rPr>
        <w:t xml:space="preserve">esto es, de </w:t>
      </w:r>
      <w:r w:rsidRPr="00236485">
        <w:rPr>
          <w:b/>
          <w:bCs/>
          <w:sz w:val="24"/>
          <w:szCs w:val="24"/>
        </w:rPr>
        <w:t>manera inmediata y sin trámites</w:t>
      </w:r>
      <w:r w:rsidRPr="00236485">
        <w:rPr>
          <w:sz w:val="24"/>
          <w:szCs w:val="24"/>
        </w:rPr>
        <w:t xml:space="preserve">, lo cual difiere sustancialmente del </w:t>
      </w:r>
      <w:r w:rsidR="00A357D6" w:rsidRPr="00236485">
        <w:rPr>
          <w:sz w:val="24"/>
          <w:szCs w:val="24"/>
        </w:rPr>
        <w:t xml:space="preserve">cometido </w:t>
      </w:r>
      <w:r w:rsidRPr="00236485">
        <w:rPr>
          <w:sz w:val="24"/>
          <w:szCs w:val="24"/>
        </w:rPr>
        <w:t xml:space="preserve">a seguir cuando el funcionario recusado </w:t>
      </w:r>
      <w:r w:rsidRPr="00236485">
        <w:rPr>
          <w:b/>
          <w:bCs/>
          <w:sz w:val="24"/>
          <w:szCs w:val="24"/>
          <w:u w:val="single"/>
        </w:rPr>
        <w:t>si acepta</w:t>
      </w:r>
      <w:r w:rsidRPr="00236485">
        <w:rPr>
          <w:sz w:val="24"/>
          <w:szCs w:val="24"/>
        </w:rPr>
        <w:t xml:space="preserve"> la recusación, en cuyo caso se continuará con el </w:t>
      </w:r>
      <w:r w:rsidR="00CD05F4" w:rsidRPr="00236485">
        <w:rPr>
          <w:sz w:val="24"/>
          <w:szCs w:val="24"/>
        </w:rPr>
        <w:t xml:space="preserve">diligenciamiento </w:t>
      </w:r>
      <w:r w:rsidRPr="00236485">
        <w:rPr>
          <w:sz w:val="24"/>
          <w:szCs w:val="24"/>
        </w:rPr>
        <w:t xml:space="preserve">previsto cuando se admite causal de impedimento, regulado en el artículo 57 ídem. </w:t>
      </w:r>
    </w:p>
    <w:p w14:paraId="1FE94AC7" w14:textId="77777777" w:rsidR="009D7118" w:rsidRPr="00236485" w:rsidRDefault="009D7118" w:rsidP="00236485">
      <w:pPr>
        <w:rPr>
          <w:sz w:val="24"/>
          <w:szCs w:val="24"/>
        </w:rPr>
      </w:pPr>
    </w:p>
    <w:p w14:paraId="53E68870" w14:textId="77777777" w:rsidR="009D7118" w:rsidRPr="00236485" w:rsidRDefault="009D7118" w:rsidP="00236485">
      <w:pPr>
        <w:rPr>
          <w:sz w:val="24"/>
          <w:szCs w:val="24"/>
        </w:rPr>
      </w:pPr>
      <w:r w:rsidRPr="00236485">
        <w:rPr>
          <w:sz w:val="24"/>
          <w:szCs w:val="24"/>
        </w:rPr>
        <w:t xml:space="preserve">Según la interpretación de la Corte en la </w:t>
      </w:r>
      <w:r w:rsidR="000E493A" w:rsidRPr="00236485">
        <w:rPr>
          <w:sz w:val="24"/>
          <w:szCs w:val="24"/>
        </w:rPr>
        <w:t xml:space="preserve">citada </w:t>
      </w:r>
      <w:r w:rsidRPr="00236485">
        <w:rPr>
          <w:sz w:val="24"/>
          <w:szCs w:val="24"/>
        </w:rPr>
        <w:t>decisión (</w:t>
      </w:r>
      <w:proofErr w:type="spellStart"/>
      <w:r w:rsidRPr="00236485">
        <w:rPr>
          <w:sz w:val="24"/>
          <w:szCs w:val="24"/>
        </w:rPr>
        <w:t>AP4589</w:t>
      </w:r>
      <w:proofErr w:type="spellEnd"/>
      <w:r w:rsidRPr="00236485">
        <w:rPr>
          <w:sz w:val="24"/>
          <w:szCs w:val="24"/>
        </w:rPr>
        <w:t>-2015), en el trámite de una recusación podrían presentarse tres hipótesis, a saber:</w:t>
      </w:r>
    </w:p>
    <w:p w14:paraId="4E0D09DA" w14:textId="77777777" w:rsidR="009D7118" w:rsidRPr="00236485" w:rsidRDefault="009D7118" w:rsidP="00236485">
      <w:pPr>
        <w:pStyle w:val="Default"/>
        <w:spacing w:line="276" w:lineRule="auto"/>
        <w:ind w:left="567" w:right="335"/>
        <w:jc w:val="both"/>
        <w:rPr>
          <w:rFonts w:ascii="Tahoma" w:hAnsi="Tahoma" w:cs="Tahoma"/>
        </w:rPr>
      </w:pPr>
    </w:p>
    <w:p w14:paraId="653FCFE0" w14:textId="77777777" w:rsidR="009D7118" w:rsidRPr="009307D1" w:rsidRDefault="009D7118" w:rsidP="009307D1">
      <w:pPr>
        <w:pStyle w:val="Default"/>
        <w:ind w:left="426" w:right="420" w:firstLine="708"/>
        <w:jc w:val="both"/>
        <w:rPr>
          <w:rFonts w:ascii="Tahoma" w:hAnsi="Tahoma" w:cs="Tahoma"/>
          <w:sz w:val="22"/>
        </w:rPr>
      </w:pPr>
      <w:r w:rsidRPr="009307D1">
        <w:rPr>
          <w:rFonts w:ascii="Tahoma" w:hAnsi="Tahoma" w:cs="Tahoma"/>
          <w:sz w:val="22"/>
        </w:rPr>
        <w:t xml:space="preserve">“(…) (i) Que el juez recusado acepte la postulación del proponente, envíe las diligencias al que le sigue en turno, pero éste considere que no se configuró la causal alegada. </w:t>
      </w:r>
    </w:p>
    <w:p w14:paraId="5C16C2DA" w14:textId="77777777" w:rsidR="009D7118" w:rsidRPr="009307D1" w:rsidRDefault="009D7118" w:rsidP="009307D1">
      <w:pPr>
        <w:pStyle w:val="Default"/>
        <w:ind w:left="426" w:right="420" w:firstLine="708"/>
        <w:jc w:val="both"/>
        <w:rPr>
          <w:rFonts w:ascii="Tahoma" w:hAnsi="Tahoma" w:cs="Tahoma"/>
          <w:sz w:val="22"/>
        </w:rPr>
      </w:pPr>
    </w:p>
    <w:p w14:paraId="703E1669" w14:textId="77777777" w:rsidR="009D7118" w:rsidRPr="009307D1" w:rsidRDefault="009D7118" w:rsidP="009307D1">
      <w:pPr>
        <w:pStyle w:val="Default"/>
        <w:ind w:left="426" w:right="420" w:firstLine="708"/>
        <w:jc w:val="both"/>
        <w:rPr>
          <w:rFonts w:ascii="Tahoma" w:hAnsi="Tahoma" w:cs="Tahoma"/>
          <w:sz w:val="22"/>
        </w:rPr>
      </w:pPr>
      <w:r w:rsidRPr="009307D1">
        <w:rPr>
          <w:rFonts w:ascii="Tahoma" w:hAnsi="Tahoma" w:cs="Tahoma"/>
          <w:sz w:val="22"/>
        </w:rPr>
        <w:t xml:space="preserve">(ii) Que el funcionario recusado no acepte la proposición del postulante, remita la actuación al que le sigue en turno y éste sí considera que la causal es fundada. </w:t>
      </w:r>
    </w:p>
    <w:p w14:paraId="18EEA598" w14:textId="77777777" w:rsidR="009D7118" w:rsidRPr="009307D1" w:rsidRDefault="009D7118" w:rsidP="009307D1">
      <w:pPr>
        <w:pStyle w:val="Default"/>
        <w:ind w:left="426" w:right="420"/>
        <w:jc w:val="both"/>
        <w:rPr>
          <w:rFonts w:ascii="Tahoma" w:hAnsi="Tahoma" w:cs="Tahoma"/>
          <w:sz w:val="22"/>
        </w:rPr>
      </w:pPr>
    </w:p>
    <w:p w14:paraId="16537DFB" w14:textId="77777777" w:rsidR="009D7118" w:rsidRPr="009307D1" w:rsidRDefault="009D7118" w:rsidP="009307D1">
      <w:pPr>
        <w:pStyle w:val="Default"/>
        <w:ind w:left="426" w:right="420" w:firstLine="708"/>
        <w:jc w:val="both"/>
        <w:rPr>
          <w:rFonts w:ascii="Tahoma" w:hAnsi="Tahoma" w:cs="Tahoma"/>
          <w:sz w:val="22"/>
        </w:rPr>
      </w:pPr>
      <w:r w:rsidRPr="009307D1">
        <w:rPr>
          <w:rFonts w:ascii="Tahoma" w:hAnsi="Tahoma" w:cs="Tahoma"/>
          <w:sz w:val="22"/>
        </w:rPr>
        <w:t>Casos en los cuales, deberá ser el superior funcional común de las autoridades judiciales involucradas quien resuelva de plano y de manera definitiva el asunto y, en el evento de tratarse de despachos de diversos distritos judiciales corresponderá su resolución a esta Sala como fue explicado en CSJ AP, 7 mar. 2011, Rad. 35951. (…)</w:t>
      </w:r>
    </w:p>
    <w:p w14:paraId="1C14BDC8" w14:textId="77777777" w:rsidR="009D7118" w:rsidRPr="009307D1" w:rsidRDefault="009D7118" w:rsidP="009307D1">
      <w:pPr>
        <w:pStyle w:val="Sinespaciado"/>
        <w:ind w:left="426" w:right="420"/>
        <w:rPr>
          <w:rFonts w:ascii="Tahoma" w:hAnsi="Tahoma" w:cs="Tahoma"/>
          <w:szCs w:val="24"/>
        </w:rPr>
      </w:pPr>
    </w:p>
    <w:p w14:paraId="62C172F4" w14:textId="77777777" w:rsidR="009D7118" w:rsidRPr="009307D1" w:rsidRDefault="009D7118" w:rsidP="009307D1">
      <w:pPr>
        <w:pStyle w:val="Default"/>
        <w:ind w:left="426" w:right="420" w:firstLine="708"/>
        <w:jc w:val="both"/>
        <w:rPr>
          <w:rFonts w:ascii="Tahoma" w:hAnsi="Tahoma" w:cs="Tahoma"/>
          <w:sz w:val="22"/>
        </w:rPr>
      </w:pPr>
      <w:r w:rsidRPr="009307D1">
        <w:rPr>
          <w:rFonts w:ascii="Tahoma" w:hAnsi="Tahoma" w:cs="Tahoma"/>
          <w:sz w:val="22"/>
        </w:rPr>
        <w:t>1.3. Ahora, si los dos juzgadores encuentran infundada la causal enervada, se tiene por finiquitado el incidente y el juez recusado, deberá continuar con el trámite de rigor. (…)”</w:t>
      </w:r>
    </w:p>
    <w:p w14:paraId="3263D78E" w14:textId="77777777" w:rsidR="009D7118" w:rsidRPr="00236485" w:rsidRDefault="009D7118" w:rsidP="00236485">
      <w:pPr>
        <w:pStyle w:val="Default"/>
        <w:spacing w:line="276" w:lineRule="auto"/>
        <w:jc w:val="both"/>
        <w:rPr>
          <w:rFonts w:ascii="Tahoma" w:hAnsi="Tahoma" w:cs="Tahoma"/>
        </w:rPr>
      </w:pPr>
    </w:p>
    <w:p w14:paraId="3B511F0E" w14:textId="77777777" w:rsidR="009D7118" w:rsidRPr="00236485" w:rsidRDefault="009D7118" w:rsidP="00236485">
      <w:pPr>
        <w:pStyle w:val="Default"/>
        <w:spacing w:line="276" w:lineRule="auto"/>
        <w:jc w:val="both"/>
        <w:rPr>
          <w:rFonts w:ascii="Tahoma" w:hAnsi="Tahoma" w:cs="Tahoma"/>
          <w:b/>
          <w:bCs/>
        </w:rPr>
      </w:pPr>
      <w:r w:rsidRPr="00236485">
        <w:rPr>
          <w:rFonts w:ascii="Tahoma" w:hAnsi="Tahoma" w:cs="Tahoma"/>
          <w:color w:val="auto"/>
        </w:rPr>
        <w:t>Para la Sala, las anteriores reglas fijadas por la Corte van en contravía del texto legal, pues mírese que en las dos primeras hipótesis la recusación finalmente no la decide</w:t>
      </w:r>
      <w:r w:rsidRPr="00236485">
        <w:rPr>
          <w:rFonts w:ascii="Tahoma" w:hAnsi="Tahoma" w:cs="Tahoma"/>
        </w:rPr>
        <w:t xml:space="preserve"> </w:t>
      </w:r>
      <w:r w:rsidRPr="00236485">
        <w:rPr>
          <w:rFonts w:ascii="Tahoma" w:hAnsi="Tahoma" w:cs="Tahoma"/>
          <w:b/>
        </w:rPr>
        <w:t>“</w:t>
      </w:r>
      <w:r w:rsidRPr="00236485">
        <w:rPr>
          <w:rFonts w:ascii="Tahoma" w:hAnsi="Tahoma" w:cs="Tahoma"/>
          <w:b/>
          <w:bCs/>
        </w:rPr>
        <w:t>de plano”</w:t>
      </w:r>
      <w:r w:rsidRPr="00236485">
        <w:rPr>
          <w:rFonts w:ascii="Tahoma" w:hAnsi="Tahoma" w:cs="Tahoma"/>
        </w:rPr>
        <w:t xml:space="preserve"> </w:t>
      </w:r>
      <w:r w:rsidRPr="00236485">
        <w:rPr>
          <w:rFonts w:ascii="Tahoma" w:hAnsi="Tahoma" w:cs="Tahoma"/>
          <w:color w:val="auto"/>
        </w:rPr>
        <w:t>el juez homólogo o funcionario de la misma especialidad que sigue en turno, sino el superior funcional común de ambas autoridades judiciales, dilatando innecesariamente un asunto que el propio legislador ha querido se resuelva de</w:t>
      </w:r>
      <w:r w:rsidRPr="00236485">
        <w:rPr>
          <w:rFonts w:ascii="Tahoma" w:hAnsi="Tahoma" w:cs="Tahoma"/>
          <w:b/>
          <w:bCs/>
        </w:rPr>
        <w:t xml:space="preserve"> inmediato y sin trámites.</w:t>
      </w:r>
    </w:p>
    <w:p w14:paraId="322125F7" w14:textId="77777777" w:rsidR="009D7118" w:rsidRPr="00236485" w:rsidRDefault="009D7118" w:rsidP="00236485">
      <w:pPr>
        <w:rPr>
          <w:sz w:val="24"/>
          <w:szCs w:val="24"/>
        </w:rPr>
      </w:pPr>
    </w:p>
    <w:p w14:paraId="3CBA5251" w14:textId="77777777" w:rsidR="009D7118" w:rsidRPr="00236485" w:rsidRDefault="009D7118" w:rsidP="00236485">
      <w:pPr>
        <w:rPr>
          <w:sz w:val="24"/>
          <w:szCs w:val="24"/>
        </w:rPr>
      </w:pPr>
      <w:r w:rsidRPr="00236485">
        <w:rPr>
          <w:sz w:val="24"/>
          <w:szCs w:val="24"/>
        </w:rPr>
        <w:t xml:space="preserve">No obstante el tenor literal de la norma, con la  interpretación de la Corte  se obvian importantes disposiciones que desde 1887 regulan la manera de comprender los contenidos normativos, como que, de conformidad con el artículo 27 de la Ley 57 de </w:t>
      </w:r>
      <w:r w:rsidRPr="00236485">
        <w:rPr>
          <w:sz w:val="24"/>
          <w:szCs w:val="24"/>
        </w:rPr>
        <w:lastRenderedPageBreak/>
        <w:t>dicho año “</w:t>
      </w:r>
      <w:r w:rsidRPr="00F13D97">
        <w:rPr>
          <w:sz w:val="22"/>
          <w:szCs w:val="24"/>
        </w:rPr>
        <w:t>Cuando el sentido de la ley sea claro, no se desatenderá su tenor literal a pretexto de consultar su espíritu</w:t>
      </w:r>
      <w:r w:rsidRPr="00236485">
        <w:rPr>
          <w:sz w:val="24"/>
          <w:szCs w:val="24"/>
        </w:rPr>
        <w:t>”; o el 28: “</w:t>
      </w:r>
      <w:r w:rsidRPr="00F13D97">
        <w:rPr>
          <w:sz w:val="22"/>
          <w:szCs w:val="24"/>
        </w:rPr>
        <w:t>Las palabras de la ley se entenderán en su sentido natural y obvio, según el uso general de las mismas palabras</w:t>
      </w:r>
      <w:r w:rsidR="00022845" w:rsidRPr="00236485">
        <w:rPr>
          <w:sz w:val="24"/>
          <w:szCs w:val="24"/>
        </w:rPr>
        <w:t>”</w:t>
      </w:r>
      <w:r w:rsidRPr="00236485">
        <w:rPr>
          <w:sz w:val="24"/>
          <w:szCs w:val="24"/>
        </w:rPr>
        <w:t xml:space="preserve">; o el 29: </w:t>
      </w:r>
      <w:r w:rsidR="0056113A" w:rsidRPr="00236485">
        <w:rPr>
          <w:sz w:val="24"/>
          <w:szCs w:val="24"/>
        </w:rPr>
        <w:t>“</w:t>
      </w:r>
      <w:r w:rsidRPr="00F13D97">
        <w:rPr>
          <w:sz w:val="22"/>
          <w:szCs w:val="24"/>
        </w:rPr>
        <w:t>Las palabras técnicas de toda ciencia o arte se tomarán en el sentido que les den los que profesan la misma ciencia o arte; a menos que aparezca claramente que se han formado en sentido diverso</w:t>
      </w:r>
      <w:r w:rsidRPr="00236485">
        <w:rPr>
          <w:sz w:val="24"/>
          <w:szCs w:val="24"/>
        </w:rPr>
        <w:t>”.</w:t>
      </w:r>
    </w:p>
    <w:p w14:paraId="52F4C23E" w14:textId="77777777" w:rsidR="00D0127B" w:rsidRPr="00236485" w:rsidRDefault="00D0127B" w:rsidP="00236485">
      <w:pPr>
        <w:rPr>
          <w:sz w:val="24"/>
          <w:szCs w:val="24"/>
        </w:rPr>
      </w:pPr>
    </w:p>
    <w:p w14:paraId="12CCB60B" w14:textId="77777777" w:rsidR="009D7118" w:rsidRPr="00236485" w:rsidRDefault="009D7118" w:rsidP="00236485">
      <w:pPr>
        <w:rPr>
          <w:sz w:val="24"/>
          <w:szCs w:val="24"/>
        </w:rPr>
      </w:pPr>
      <w:r w:rsidRPr="00236485">
        <w:rPr>
          <w:sz w:val="24"/>
          <w:szCs w:val="24"/>
        </w:rPr>
        <w:t xml:space="preserve">De otra parte, considera la Sala que, tratándose de recusaciones </w:t>
      </w:r>
      <w:r w:rsidRPr="00236485">
        <w:rPr>
          <w:b/>
          <w:bCs/>
          <w:sz w:val="24"/>
          <w:szCs w:val="24"/>
        </w:rPr>
        <w:t>no aceptadas</w:t>
      </w:r>
      <w:r w:rsidRPr="00236485">
        <w:rPr>
          <w:sz w:val="24"/>
          <w:szCs w:val="24"/>
        </w:rPr>
        <w:t>, la discrepancia jurídica surge entre la parte que recusa y el funcionario que no la acepta, lo que de suyo habilita la competencia del superior funcional de este último para que resuelva de plano la recusación.</w:t>
      </w:r>
    </w:p>
    <w:p w14:paraId="52707E97" w14:textId="77777777" w:rsidR="009D7118" w:rsidRPr="00236485" w:rsidRDefault="009D7118" w:rsidP="00236485">
      <w:pPr>
        <w:rPr>
          <w:sz w:val="24"/>
          <w:szCs w:val="24"/>
        </w:rPr>
      </w:pPr>
    </w:p>
    <w:p w14:paraId="40B54258" w14:textId="77777777" w:rsidR="009D7118" w:rsidRPr="00236485" w:rsidRDefault="009D7118" w:rsidP="00236485">
      <w:pPr>
        <w:rPr>
          <w:sz w:val="24"/>
          <w:szCs w:val="24"/>
        </w:rPr>
      </w:pPr>
      <w:r w:rsidRPr="00236485">
        <w:rPr>
          <w:sz w:val="24"/>
          <w:szCs w:val="24"/>
        </w:rPr>
        <w:t xml:space="preserve">Por lo anterior, se itera, que de conformidad con el artículo 60 de la Ley 906 de 2004, esta Sala es competente para resolver de plano la recusación en el presente caso.  </w:t>
      </w:r>
    </w:p>
    <w:p w14:paraId="04BEFB7F" w14:textId="77777777" w:rsidR="009D7118" w:rsidRPr="00236485" w:rsidRDefault="009D7118" w:rsidP="00236485">
      <w:pPr>
        <w:rPr>
          <w:sz w:val="24"/>
          <w:szCs w:val="24"/>
        </w:rPr>
      </w:pPr>
    </w:p>
    <w:p w14:paraId="2DC2DC3A" w14:textId="77777777" w:rsidR="009D7118" w:rsidRPr="00236485" w:rsidRDefault="009D7118" w:rsidP="00236485">
      <w:pPr>
        <w:rPr>
          <w:b/>
          <w:bCs/>
          <w:sz w:val="24"/>
          <w:szCs w:val="24"/>
        </w:rPr>
      </w:pPr>
      <w:r w:rsidRPr="00236485">
        <w:rPr>
          <w:b/>
          <w:bCs/>
          <w:sz w:val="24"/>
          <w:szCs w:val="24"/>
        </w:rPr>
        <w:t>3.2</w:t>
      </w:r>
      <w:r w:rsidRPr="00236485">
        <w:rPr>
          <w:sz w:val="24"/>
          <w:szCs w:val="24"/>
        </w:rPr>
        <w:t xml:space="preserve"> </w:t>
      </w:r>
      <w:r w:rsidRPr="00236485">
        <w:rPr>
          <w:b/>
          <w:bCs/>
          <w:sz w:val="24"/>
          <w:szCs w:val="24"/>
        </w:rPr>
        <w:t>Asunto concreto.</w:t>
      </w:r>
    </w:p>
    <w:p w14:paraId="2787738A" w14:textId="77777777" w:rsidR="00012398" w:rsidRPr="00236485" w:rsidRDefault="00012398" w:rsidP="00236485">
      <w:pPr>
        <w:rPr>
          <w:sz w:val="24"/>
          <w:szCs w:val="24"/>
        </w:rPr>
      </w:pPr>
    </w:p>
    <w:p w14:paraId="12684024" w14:textId="77777777" w:rsidR="00012398" w:rsidRPr="00236485" w:rsidRDefault="00012398" w:rsidP="00236485">
      <w:pPr>
        <w:rPr>
          <w:sz w:val="24"/>
          <w:szCs w:val="24"/>
        </w:rPr>
      </w:pPr>
      <w:r w:rsidRPr="00236485">
        <w:rPr>
          <w:sz w:val="24"/>
          <w:szCs w:val="24"/>
        </w:rPr>
        <w:t>La jurisprudencia constitucional</w:t>
      </w:r>
      <w:r w:rsidRPr="00236485">
        <w:rPr>
          <w:sz w:val="24"/>
          <w:szCs w:val="24"/>
          <w:vertAlign w:val="superscript"/>
        </w:rPr>
        <w:footnoteReference w:id="3"/>
      </w:r>
      <w:r w:rsidRPr="00236485">
        <w:rPr>
          <w:sz w:val="24"/>
          <w:szCs w:val="24"/>
        </w:rPr>
        <w:t xml:space="preserve"> ha puntualizado que los atributos de independencia e imparcialidad del funcionario judicial están orientados a salvaguardar los principios esenciales de la Administración de Justicia, y se traducen en un derecho subjetivo de los ciudadanos en la medida que forman parte del debido proceso. Los impedimentos y las recusaciones son los mecanismos previstos en el orden jurídico para garantizar el principio de imparcialidad del funcionario judicial. Tienen su fundamento constitucional en el artículo 29 de la Constitución, y en los convenios internacionales sobre derechos humanos aprobados por el estado colombiano</w:t>
      </w:r>
      <w:r w:rsidRPr="00236485">
        <w:rPr>
          <w:sz w:val="24"/>
          <w:szCs w:val="24"/>
          <w:vertAlign w:val="superscript"/>
        </w:rPr>
        <w:footnoteReference w:id="4"/>
      </w:r>
      <w:r w:rsidRPr="00236485">
        <w:rPr>
          <w:sz w:val="24"/>
          <w:szCs w:val="24"/>
        </w:rPr>
        <w:t>.</w:t>
      </w:r>
    </w:p>
    <w:p w14:paraId="447151BC" w14:textId="77777777" w:rsidR="00012398" w:rsidRPr="00236485" w:rsidRDefault="00012398" w:rsidP="00236485">
      <w:pPr>
        <w:rPr>
          <w:sz w:val="24"/>
          <w:szCs w:val="24"/>
        </w:rPr>
      </w:pPr>
    </w:p>
    <w:p w14:paraId="4A597D07" w14:textId="77777777" w:rsidR="00012398" w:rsidRPr="00236485" w:rsidRDefault="00012398" w:rsidP="00236485">
      <w:pPr>
        <w:rPr>
          <w:spacing w:val="-2"/>
          <w:sz w:val="24"/>
          <w:szCs w:val="24"/>
        </w:rPr>
      </w:pPr>
      <w:r w:rsidRPr="00236485">
        <w:rPr>
          <w:spacing w:val="-2"/>
          <w:sz w:val="24"/>
          <w:szCs w:val="24"/>
        </w:rPr>
        <w:t>Las causales de impedimento y recusaciones son taxativas y, por lo mismo, de restrictiva aplicación. De modo que no pueden ni los funcionarios ni las partes, por vía de interpretación, adicionarlos o aplicarles criterios analógicos, siendo entonces precisas las causales de impedimento y recusación contenidas en la Ley, por cuanto el legislador es el único autorizado para crearlas.</w:t>
      </w:r>
    </w:p>
    <w:p w14:paraId="661E4650" w14:textId="77777777" w:rsidR="00012398" w:rsidRPr="00236485" w:rsidRDefault="00012398" w:rsidP="00236485">
      <w:pPr>
        <w:rPr>
          <w:spacing w:val="-2"/>
          <w:sz w:val="24"/>
          <w:szCs w:val="24"/>
        </w:rPr>
      </w:pPr>
    </w:p>
    <w:p w14:paraId="327C63EC" w14:textId="53AAFDF5" w:rsidR="00012398" w:rsidRPr="00236485" w:rsidRDefault="00642B22" w:rsidP="00236485">
      <w:pPr>
        <w:rPr>
          <w:spacing w:val="-2"/>
          <w:sz w:val="24"/>
          <w:szCs w:val="24"/>
        </w:rPr>
      </w:pPr>
      <w:r w:rsidRPr="00236485">
        <w:rPr>
          <w:spacing w:val="-2"/>
          <w:sz w:val="24"/>
          <w:szCs w:val="24"/>
        </w:rPr>
        <w:t>De la información suministrada tanto por el delegado del ente acusador, como por el apoderado del acá procesado, se entiende que los mismos</w:t>
      </w:r>
      <w:r w:rsidR="00A357D6" w:rsidRPr="00236485">
        <w:rPr>
          <w:spacing w:val="-2"/>
          <w:sz w:val="24"/>
          <w:szCs w:val="24"/>
        </w:rPr>
        <w:t xml:space="preserve"> aprecian </w:t>
      </w:r>
      <w:r w:rsidRPr="00236485">
        <w:rPr>
          <w:spacing w:val="-2"/>
          <w:sz w:val="24"/>
          <w:szCs w:val="24"/>
        </w:rPr>
        <w:t>que el funcionari</w:t>
      </w:r>
      <w:r w:rsidR="00F916EC">
        <w:rPr>
          <w:spacing w:val="-2"/>
          <w:sz w:val="24"/>
          <w:szCs w:val="24"/>
        </w:rPr>
        <w:t>o de primer nivel se encuentra inc</w:t>
      </w:r>
      <w:r w:rsidRPr="00236485">
        <w:rPr>
          <w:spacing w:val="-2"/>
          <w:sz w:val="24"/>
          <w:szCs w:val="24"/>
        </w:rPr>
        <w:t>urso e</w:t>
      </w:r>
      <w:r w:rsidR="00F916EC">
        <w:rPr>
          <w:spacing w:val="-2"/>
          <w:sz w:val="24"/>
          <w:szCs w:val="24"/>
        </w:rPr>
        <w:t>n</w:t>
      </w:r>
      <w:r w:rsidRPr="00236485">
        <w:rPr>
          <w:spacing w:val="-2"/>
          <w:sz w:val="24"/>
          <w:szCs w:val="24"/>
        </w:rPr>
        <w:t xml:space="preserve"> la causal de impedimento contemplada en </w:t>
      </w:r>
      <w:r w:rsidR="00012398" w:rsidRPr="00236485">
        <w:rPr>
          <w:spacing w:val="-2"/>
          <w:sz w:val="24"/>
          <w:szCs w:val="24"/>
        </w:rPr>
        <w:t xml:space="preserve">el numeral 6º del artículo 56 </w:t>
      </w:r>
      <w:proofErr w:type="spellStart"/>
      <w:r w:rsidR="00012398" w:rsidRPr="00236485">
        <w:rPr>
          <w:spacing w:val="-2"/>
          <w:sz w:val="24"/>
          <w:szCs w:val="24"/>
        </w:rPr>
        <w:t>C.P.P</w:t>
      </w:r>
      <w:proofErr w:type="spellEnd"/>
      <w:r w:rsidR="00012398" w:rsidRPr="00236485">
        <w:rPr>
          <w:spacing w:val="-2"/>
          <w:sz w:val="24"/>
          <w:szCs w:val="24"/>
        </w:rPr>
        <w:t>.- la cual se configura cuando “</w:t>
      </w:r>
      <w:r w:rsidR="00012398" w:rsidRPr="00F13D97">
        <w:rPr>
          <w:spacing w:val="-2"/>
          <w:sz w:val="22"/>
          <w:szCs w:val="24"/>
        </w:rPr>
        <w:t xml:space="preserve">[…] </w:t>
      </w:r>
      <w:r w:rsidR="00012398" w:rsidRPr="00F13D97">
        <w:rPr>
          <w:sz w:val="22"/>
          <w:szCs w:val="24"/>
        </w:rPr>
        <w:t>el funcionario haya dictado la providencia de cuya revisión se trata, o hubiere participado dentro del proceso […]</w:t>
      </w:r>
      <w:r w:rsidR="00012398" w:rsidRPr="00236485">
        <w:rPr>
          <w:sz w:val="24"/>
          <w:szCs w:val="24"/>
        </w:rPr>
        <w:t xml:space="preserve">”. </w:t>
      </w:r>
      <w:r w:rsidR="00012398" w:rsidRPr="00236485">
        <w:rPr>
          <w:spacing w:val="-2"/>
          <w:sz w:val="24"/>
          <w:szCs w:val="24"/>
        </w:rPr>
        <w:t>Y respecto a esta la jurisprudencia ha plasmado lo siguiente:</w:t>
      </w:r>
    </w:p>
    <w:p w14:paraId="69122E0C" w14:textId="77777777" w:rsidR="00012398" w:rsidRPr="00236485" w:rsidRDefault="00012398" w:rsidP="00236485">
      <w:pPr>
        <w:rPr>
          <w:spacing w:val="-2"/>
          <w:sz w:val="24"/>
          <w:szCs w:val="24"/>
        </w:rPr>
      </w:pPr>
    </w:p>
    <w:p w14:paraId="797D6FFA" w14:textId="77777777" w:rsidR="00012398" w:rsidRPr="00F13D97" w:rsidRDefault="00012398" w:rsidP="00F13D97">
      <w:pPr>
        <w:spacing w:line="240" w:lineRule="auto"/>
        <w:ind w:left="426" w:right="420"/>
        <w:rPr>
          <w:sz w:val="22"/>
          <w:szCs w:val="24"/>
        </w:rPr>
      </w:pPr>
      <w:r w:rsidRPr="00F13D97">
        <w:rPr>
          <w:sz w:val="22"/>
          <w:szCs w:val="24"/>
        </w:rPr>
        <w:t xml:space="preserve">“[…] en punto de la causal impeditiva objeto de análisis, ha dicho la Corte que cuando se trate de </w:t>
      </w:r>
      <w:r w:rsidRPr="00F13D97">
        <w:rPr>
          <w:sz w:val="22"/>
          <w:szCs w:val="24"/>
          <w:u w:val="single"/>
        </w:rPr>
        <w:t xml:space="preserve">una </w:t>
      </w:r>
      <w:r w:rsidRPr="00F13D97">
        <w:rPr>
          <w:i/>
          <w:sz w:val="22"/>
          <w:szCs w:val="24"/>
          <w:u w:val="single"/>
        </w:rPr>
        <w:t xml:space="preserve">opinión </w:t>
      </w:r>
      <w:r w:rsidRPr="00F13D97">
        <w:rPr>
          <w:sz w:val="22"/>
          <w:szCs w:val="24"/>
          <w:u w:val="single"/>
        </w:rPr>
        <w:t>emitida en ejercicio de las funciones</w:t>
      </w:r>
      <w:r w:rsidRPr="00F13D97">
        <w:rPr>
          <w:sz w:val="22"/>
          <w:szCs w:val="24"/>
        </w:rPr>
        <w:t xml:space="preserve">, </w:t>
      </w:r>
      <w:r w:rsidRPr="00F13D97">
        <w:rPr>
          <w:sz w:val="22"/>
          <w:szCs w:val="24"/>
          <w:u w:val="single"/>
        </w:rPr>
        <w:t>debe verificarse</w:t>
      </w:r>
      <w:r w:rsidRPr="00F13D97">
        <w:rPr>
          <w:sz w:val="22"/>
          <w:szCs w:val="24"/>
        </w:rPr>
        <w:t xml:space="preserve"> </w:t>
      </w:r>
      <w:r w:rsidRPr="00F13D97">
        <w:rPr>
          <w:sz w:val="22"/>
          <w:szCs w:val="24"/>
          <w:u w:val="single"/>
        </w:rPr>
        <w:t>si la opinión</w:t>
      </w:r>
      <w:r w:rsidRPr="00F13D97">
        <w:rPr>
          <w:sz w:val="22"/>
          <w:szCs w:val="24"/>
        </w:rPr>
        <w:t xml:space="preserve"> expuesta en el citado pronunciamiento </w:t>
      </w:r>
      <w:r w:rsidRPr="00F13D97">
        <w:rPr>
          <w:sz w:val="22"/>
          <w:szCs w:val="24"/>
          <w:u w:val="single"/>
        </w:rPr>
        <w:t>es lo suficientemente relevante como para perturbar la imparcialidad del funcionario y</w:t>
      </w:r>
      <w:r w:rsidRPr="00F13D97">
        <w:rPr>
          <w:sz w:val="22"/>
          <w:szCs w:val="24"/>
        </w:rPr>
        <w:t xml:space="preserve"> si versa sobre alguno de los temas que se deben abordar en el nuevo proceso.</w:t>
      </w:r>
    </w:p>
    <w:p w14:paraId="5C3DC00E" w14:textId="77777777" w:rsidR="00012398" w:rsidRPr="00F13D97" w:rsidRDefault="00012398" w:rsidP="00F13D97">
      <w:pPr>
        <w:spacing w:line="240" w:lineRule="auto"/>
        <w:ind w:left="426" w:right="420"/>
        <w:rPr>
          <w:sz w:val="22"/>
          <w:szCs w:val="24"/>
        </w:rPr>
      </w:pPr>
    </w:p>
    <w:p w14:paraId="47FDCB34" w14:textId="626F15B6" w:rsidR="00012398" w:rsidRPr="00F13D97" w:rsidRDefault="00012398" w:rsidP="00F13D97">
      <w:pPr>
        <w:spacing w:line="240" w:lineRule="auto"/>
        <w:ind w:left="426" w:right="420"/>
        <w:rPr>
          <w:sz w:val="22"/>
          <w:szCs w:val="24"/>
        </w:rPr>
      </w:pPr>
      <w:r w:rsidRPr="00F13D97">
        <w:rPr>
          <w:sz w:val="22"/>
          <w:szCs w:val="24"/>
        </w:rPr>
        <w:t xml:space="preserve">Lo anterior, bajo la premisa de que </w:t>
      </w:r>
      <w:r w:rsidRPr="00F13D97">
        <w:rPr>
          <w:sz w:val="22"/>
          <w:szCs w:val="24"/>
          <w:u w:val="single"/>
        </w:rPr>
        <w:t>solo la opinión sustancial y vinculante sobre el objeto del debate, habilita al funcionario a apartarse del conocimiento del asunto</w:t>
      </w:r>
      <w:r w:rsidRPr="00F13D97">
        <w:rPr>
          <w:sz w:val="22"/>
          <w:szCs w:val="24"/>
        </w:rPr>
        <w:t xml:space="preserve">. (Ver CSJ </w:t>
      </w:r>
      <w:proofErr w:type="spellStart"/>
      <w:r w:rsidRPr="00F13D97">
        <w:rPr>
          <w:sz w:val="22"/>
          <w:szCs w:val="24"/>
        </w:rPr>
        <w:t>AP3301</w:t>
      </w:r>
      <w:proofErr w:type="spellEnd"/>
      <w:r w:rsidRPr="00F13D97">
        <w:rPr>
          <w:sz w:val="22"/>
          <w:szCs w:val="24"/>
        </w:rPr>
        <w:t xml:space="preserve"> – 2018).”</w:t>
      </w:r>
      <w:r w:rsidRPr="00F13D97">
        <w:rPr>
          <w:sz w:val="22"/>
          <w:szCs w:val="24"/>
          <w:vertAlign w:val="superscript"/>
        </w:rPr>
        <w:t xml:space="preserve"> </w:t>
      </w:r>
      <w:r w:rsidRPr="00F13D97">
        <w:rPr>
          <w:sz w:val="22"/>
          <w:szCs w:val="24"/>
          <w:vertAlign w:val="superscript"/>
        </w:rPr>
        <w:footnoteReference w:id="5"/>
      </w:r>
      <w:r w:rsidRPr="00F13D97">
        <w:rPr>
          <w:sz w:val="22"/>
          <w:szCs w:val="24"/>
        </w:rPr>
        <w:t xml:space="preserve"> –subrayas fuera de texto</w:t>
      </w:r>
      <w:r w:rsidR="007D5425">
        <w:rPr>
          <w:sz w:val="22"/>
          <w:szCs w:val="24"/>
        </w:rPr>
        <w:t>–</w:t>
      </w:r>
    </w:p>
    <w:p w14:paraId="6E6955DE" w14:textId="09BDC219" w:rsidR="00012398" w:rsidRPr="00236485" w:rsidRDefault="00012398" w:rsidP="00236485">
      <w:pPr>
        <w:rPr>
          <w:spacing w:val="-2"/>
          <w:sz w:val="24"/>
          <w:szCs w:val="24"/>
        </w:rPr>
      </w:pPr>
    </w:p>
    <w:p w14:paraId="5A100688" w14:textId="77777777" w:rsidR="00012398" w:rsidRPr="00236485" w:rsidRDefault="00012398" w:rsidP="00236485">
      <w:pPr>
        <w:rPr>
          <w:spacing w:val="-2"/>
          <w:sz w:val="24"/>
          <w:szCs w:val="24"/>
        </w:rPr>
      </w:pPr>
      <w:r w:rsidRPr="00236485">
        <w:rPr>
          <w:spacing w:val="-2"/>
          <w:sz w:val="24"/>
          <w:szCs w:val="24"/>
        </w:rPr>
        <w:t>De igual manera ha sostenido esa alta Corporación lo siguiente:</w:t>
      </w:r>
    </w:p>
    <w:p w14:paraId="33D76400" w14:textId="77777777" w:rsidR="00012398" w:rsidRPr="00236485" w:rsidRDefault="00012398" w:rsidP="00236485">
      <w:pPr>
        <w:rPr>
          <w:spacing w:val="-2"/>
          <w:sz w:val="24"/>
          <w:szCs w:val="24"/>
        </w:rPr>
      </w:pPr>
    </w:p>
    <w:p w14:paraId="6924309C" w14:textId="77777777" w:rsidR="00012398" w:rsidRPr="009307D1" w:rsidRDefault="00012398" w:rsidP="009307D1">
      <w:pPr>
        <w:pStyle w:val="Default"/>
        <w:ind w:left="426" w:right="420" w:firstLine="708"/>
        <w:jc w:val="both"/>
        <w:rPr>
          <w:rFonts w:ascii="Tahoma" w:hAnsi="Tahoma" w:cs="Tahoma"/>
          <w:sz w:val="22"/>
        </w:rPr>
      </w:pPr>
      <w:r w:rsidRPr="009307D1">
        <w:rPr>
          <w:rFonts w:ascii="Tahoma" w:hAnsi="Tahoma" w:cs="Tahoma"/>
          <w:sz w:val="22"/>
        </w:rPr>
        <w:t>“No obstante, ha expuesto la Corte de forma pacífica que no toda opinión ajena al proceso origina una circunstancia impeditiva.  Tampoco la configura aquella que expresa el juez en ejercicio de sus funciones, pues «</w:t>
      </w:r>
      <w:r w:rsidRPr="00F13D97">
        <w:rPr>
          <w:rFonts w:ascii="Tahoma" w:hAnsi="Tahoma" w:cs="Tahoma"/>
          <w:i/>
          <w:sz w:val="22"/>
        </w:rPr>
        <w:t>ello entrañaría el absurdo de que la facultad que la ley otorga al juez para cumplir su actividad judicial a la vez lo inhabilita para intervenir en otros asuntos de su competencia</w:t>
      </w:r>
      <w:r w:rsidRPr="009307D1">
        <w:rPr>
          <w:rFonts w:ascii="Tahoma" w:hAnsi="Tahoma" w:cs="Tahoma"/>
          <w:sz w:val="22"/>
        </w:rPr>
        <w:t xml:space="preserve">» (CSJ </w:t>
      </w:r>
      <w:proofErr w:type="spellStart"/>
      <w:r w:rsidRPr="009307D1">
        <w:rPr>
          <w:rFonts w:ascii="Tahoma" w:hAnsi="Tahoma" w:cs="Tahoma"/>
          <w:sz w:val="22"/>
        </w:rPr>
        <w:t>AP4977</w:t>
      </w:r>
      <w:proofErr w:type="spellEnd"/>
      <w:r w:rsidRPr="009307D1">
        <w:rPr>
          <w:rFonts w:ascii="Tahoma" w:hAnsi="Tahoma" w:cs="Tahoma"/>
          <w:sz w:val="22"/>
        </w:rPr>
        <w:t xml:space="preserve"> – 2014).  La única excepción a tal regla es que el funcionario haya dictado la providencia de cuya revisión se trata.</w:t>
      </w:r>
    </w:p>
    <w:p w14:paraId="2C69BDFE" w14:textId="77777777" w:rsidR="00012398" w:rsidRPr="009307D1" w:rsidRDefault="00012398" w:rsidP="009307D1">
      <w:pPr>
        <w:pStyle w:val="Default"/>
        <w:ind w:left="426" w:right="420" w:firstLine="708"/>
        <w:jc w:val="both"/>
        <w:rPr>
          <w:rFonts w:ascii="Tahoma" w:hAnsi="Tahoma" w:cs="Tahoma"/>
          <w:sz w:val="22"/>
        </w:rPr>
      </w:pPr>
    </w:p>
    <w:p w14:paraId="6FAA93A2" w14:textId="77777777" w:rsidR="00012398" w:rsidRPr="009307D1" w:rsidRDefault="00012398" w:rsidP="009307D1">
      <w:pPr>
        <w:pStyle w:val="Default"/>
        <w:ind w:left="426" w:right="420" w:firstLine="708"/>
        <w:jc w:val="both"/>
        <w:rPr>
          <w:rFonts w:ascii="Tahoma" w:hAnsi="Tahoma" w:cs="Tahoma"/>
          <w:sz w:val="22"/>
        </w:rPr>
      </w:pPr>
      <w:r w:rsidRPr="009307D1">
        <w:rPr>
          <w:rFonts w:ascii="Tahoma" w:hAnsi="Tahoma" w:cs="Tahoma"/>
          <w:sz w:val="22"/>
        </w:rPr>
        <w:t xml:space="preserve">Del mismo modo, la actividad natural y razón de ser de los funcionarios judiciales es dictar decisiones en las que, por supuesto, plasman su criterio sobre determinado asunto. Por ello, el cumplimiento de tal deber no puede constituir por sí mismo una causal de impedimento para conocer otros procesos en el futuro (CSJ </w:t>
      </w:r>
      <w:proofErr w:type="spellStart"/>
      <w:r w:rsidRPr="009307D1">
        <w:rPr>
          <w:rFonts w:ascii="Tahoma" w:hAnsi="Tahoma" w:cs="Tahoma"/>
          <w:sz w:val="22"/>
        </w:rPr>
        <w:t>AP4074</w:t>
      </w:r>
      <w:proofErr w:type="spellEnd"/>
      <w:r w:rsidRPr="009307D1">
        <w:rPr>
          <w:rFonts w:ascii="Tahoma" w:hAnsi="Tahoma" w:cs="Tahoma"/>
          <w:sz w:val="22"/>
        </w:rPr>
        <w:t xml:space="preserve"> – 2016).”</w:t>
      </w:r>
      <w:r w:rsidRPr="009307D1">
        <w:rPr>
          <w:rFonts w:ascii="Tahoma" w:hAnsi="Tahoma" w:cs="Tahoma"/>
          <w:vertAlign w:val="superscript"/>
        </w:rPr>
        <w:footnoteReference w:id="6"/>
      </w:r>
    </w:p>
    <w:p w14:paraId="7DEEB04C" w14:textId="77777777" w:rsidR="00012398" w:rsidRPr="00236485" w:rsidRDefault="00012398" w:rsidP="00236485">
      <w:pPr>
        <w:rPr>
          <w:spacing w:val="-2"/>
          <w:sz w:val="24"/>
          <w:szCs w:val="24"/>
        </w:rPr>
      </w:pPr>
    </w:p>
    <w:p w14:paraId="48EE5CF4" w14:textId="77777777" w:rsidR="009D7118" w:rsidRPr="00236485" w:rsidRDefault="009D7118" w:rsidP="00236485">
      <w:pPr>
        <w:rPr>
          <w:sz w:val="24"/>
          <w:szCs w:val="24"/>
        </w:rPr>
      </w:pPr>
      <w:r w:rsidRPr="00236485">
        <w:rPr>
          <w:spacing w:val="-2"/>
          <w:sz w:val="24"/>
          <w:szCs w:val="24"/>
        </w:rPr>
        <w:t>Lo anterior significa, sin dubitación alguna, que no siempre que un juez haya conocido de un proceso y que luego deba asumir otra actuación, quede automáticamente inmerso en tal causal de impedimento,</w:t>
      </w:r>
      <w:r w:rsidR="00642B22" w:rsidRPr="00236485">
        <w:rPr>
          <w:spacing w:val="-2"/>
          <w:sz w:val="24"/>
          <w:szCs w:val="24"/>
        </w:rPr>
        <w:t xml:space="preserve"> como lo sostuvo con buen tino el funcionario de primer nivel, </w:t>
      </w:r>
      <w:r w:rsidRPr="00236485">
        <w:rPr>
          <w:spacing w:val="-2"/>
          <w:sz w:val="24"/>
          <w:szCs w:val="24"/>
        </w:rPr>
        <w:t xml:space="preserve">en tanto para ello deben evidenciarse motivos relevantes que permitan poner en tela de juicio su imparcialidad. </w:t>
      </w:r>
      <w:r w:rsidRPr="00236485">
        <w:rPr>
          <w:sz w:val="24"/>
          <w:szCs w:val="24"/>
        </w:rPr>
        <w:t xml:space="preserve">Y es que sobre la causal bajo análisis y, en concreto </w:t>
      </w:r>
      <w:r w:rsidR="00CD05F4" w:rsidRPr="00236485">
        <w:rPr>
          <w:sz w:val="24"/>
          <w:szCs w:val="24"/>
        </w:rPr>
        <w:t xml:space="preserve">ante </w:t>
      </w:r>
      <w:r w:rsidRPr="00236485">
        <w:rPr>
          <w:sz w:val="24"/>
          <w:szCs w:val="24"/>
        </w:rPr>
        <w:t xml:space="preserve">la hipótesis referida a que el funcionario judicial haya </w:t>
      </w:r>
      <w:r w:rsidRPr="00236485">
        <w:rPr>
          <w:b/>
          <w:bCs/>
          <w:i/>
          <w:iCs/>
          <w:sz w:val="24"/>
          <w:szCs w:val="24"/>
        </w:rPr>
        <w:t>manifestado su</w:t>
      </w:r>
      <w:r w:rsidRPr="00236485">
        <w:rPr>
          <w:b/>
          <w:bCs/>
          <w:sz w:val="24"/>
          <w:szCs w:val="24"/>
        </w:rPr>
        <w:t xml:space="preserve"> </w:t>
      </w:r>
      <w:r w:rsidRPr="00236485">
        <w:rPr>
          <w:b/>
          <w:bCs/>
          <w:i/>
          <w:iCs/>
          <w:sz w:val="24"/>
          <w:szCs w:val="24"/>
        </w:rPr>
        <w:t>opinión</w:t>
      </w:r>
      <w:r w:rsidRPr="00236485">
        <w:rPr>
          <w:sz w:val="24"/>
          <w:szCs w:val="24"/>
        </w:rPr>
        <w:t xml:space="preserve"> sobre el asunto materia del proceso, la Sala de Casación Penal de la Corte Suprema de Justicia ha dejado claro que para su configuración han de tenerse en cuenta las siguientes directrices</w:t>
      </w:r>
      <w:r w:rsidRPr="00236485">
        <w:rPr>
          <w:rStyle w:val="Refdenotaalpie"/>
          <w:sz w:val="24"/>
          <w:szCs w:val="24"/>
        </w:rPr>
        <w:footnoteReference w:id="7"/>
      </w:r>
      <w:r w:rsidRPr="00236485">
        <w:rPr>
          <w:sz w:val="24"/>
          <w:szCs w:val="24"/>
        </w:rPr>
        <w:t>:</w:t>
      </w:r>
    </w:p>
    <w:p w14:paraId="7B70D487" w14:textId="77777777" w:rsidR="00012398" w:rsidRPr="00236485" w:rsidRDefault="00012398" w:rsidP="00236485">
      <w:pPr>
        <w:tabs>
          <w:tab w:val="left" w:pos="1134"/>
          <w:tab w:val="left" w:pos="1418"/>
        </w:tabs>
        <w:rPr>
          <w:i/>
          <w:sz w:val="24"/>
          <w:szCs w:val="24"/>
        </w:rPr>
      </w:pPr>
    </w:p>
    <w:p w14:paraId="329641B8" w14:textId="77777777" w:rsidR="00012398" w:rsidRPr="00236485" w:rsidRDefault="00012398" w:rsidP="00236485">
      <w:pPr>
        <w:tabs>
          <w:tab w:val="left" w:pos="1134"/>
        </w:tabs>
        <w:ind w:firstLine="709"/>
        <w:rPr>
          <w:sz w:val="24"/>
          <w:szCs w:val="24"/>
        </w:rPr>
      </w:pPr>
      <w:r w:rsidRPr="00236485">
        <w:rPr>
          <w:b/>
          <w:bCs/>
          <w:i/>
          <w:iCs/>
          <w:sz w:val="24"/>
          <w:szCs w:val="24"/>
        </w:rPr>
        <w:t>i)</w:t>
      </w:r>
      <w:r w:rsidRPr="00236485">
        <w:rPr>
          <w:b/>
          <w:bCs/>
          <w:sz w:val="24"/>
          <w:szCs w:val="24"/>
        </w:rPr>
        <w:t xml:space="preserve"> </w:t>
      </w:r>
      <w:r w:rsidRPr="00236485">
        <w:rPr>
          <w:sz w:val="24"/>
          <w:szCs w:val="24"/>
        </w:rPr>
        <w:t xml:space="preserve">No toda opinión o concepto sobre el objeto del proceso conduce a que el funcionario deba separarse del mismo, pues la opinión que adquiere relevancia jurídica para estos efectos es la que se emite por fuera de la actuación y ha de ser de tal </w:t>
      </w:r>
      <w:r w:rsidRPr="00236485">
        <w:rPr>
          <w:sz w:val="24"/>
          <w:szCs w:val="24"/>
        </w:rPr>
        <w:lastRenderedPageBreak/>
        <w:t>entidad o naturaleza, que lo vincule de antemano frente a las variables en las que recae el pronunciamiento.</w:t>
      </w:r>
      <w:r w:rsidRPr="00236485">
        <w:rPr>
          <w:rStyle w:val="Refdenotaalpie"/>
          <w:sz w:val="24"/>
          <w:szCs w:val="24"/>
        </w:rPr>
        <w:footnoteReference w:id="8"/>
      </w:r>
    </w:p>
    <w:p w14:paraId="4964014A" w14:textId="77777777" w:rsidR="00012398" w:rsidRPr="00236485" w:rsidRDefault="00012398" w:rsidP="00236485">
      <w:pPr>
        <w:tabs>
          <w:tab w:val="left" w:pos="1134"/>
        </w:tabs>
        <w:ind w:firstLine="709"/>
        <w:rPr>
          <w:sz w:val="24"/>
          <w:szCs w:val="24"/>
        </w:rPr>
      </w:pPr>
    </w:p>
    <w:p w14:paraId="1C925EBC" w14:textId="77777777" w:rsidR="00012398" w:rsidRPr="00236485" w:rsidRDefault="00012398" w:rsidP="00236485">
      <w:pPr>
        <w:tabs>
          <w:tab w:val="left" w:pos="1134"/>
        </w:tabs>
        <w:ind w:firstLine="709"/>
        <w:rPr>
          <w:sz w:val="24"/>
          <w:szCs w:val="24"/>
        </w:rPr>
      </w:pPr>
      <w:r w:rsidRPr="00236485">
        <w:rPr>
          <w:b/>
          <w:bCs/>
          <w:i/>
          <w:iCs/>
          <w:sz w:val="24"/>
          <w:szCs w:val="24"/>
        </w:rPr>
        <w:t>ii)</w:t>
      </w:r>
      <w:r w:rsidRPr="00236485">
        <w:rPr>
          <w:i/>
          <w:iCs/>
          <w:sz w:val="24"/>
          <w:szCs w:val="24"/>
        </w:rPr>
        <w:t xml:space="preserve"> </w:t>
      </w:r>
      <w:r w:rsidRPr="00236485">
        <w:rPr>
          <w:sz w:val="24"/>
          <w:szCs w:val="24"/>
        </w:rPr>
        <w:t>La opinión no sólo debe versar sobre un aspecto sustancial vinculante, sino que es necesario que esté relacionada con las premisas fácticas y jurídicas comprendidas en el juicio de reproche en contra de quien es procesado en el trámite donde se expresa el impedimento o la recusación, pues ello permitiría anticipar el criterio del funcionario frente a la responsabilidad que pudiese asistirle.</w:t>
      </w:r>
      <w:r w:rsidRPr="00236485">
        <w:rPr>
          <w:rStyle w:val="Refdenotaalpie"/>
          <w:sz w:val="24"/>
          <w:szCs w:val="24"/>
        </w:rPr>
        <w:footnoteReference w:id="9"/>
      </w:r>
    </w:p>
    <w:p w14:paraId="36490686" w14:textId="77777777" w:rsidR="00012398" w:rsidRPr="00236485" w:rsidRDefault="00012398" w:rsidP="00236485">
      <w:pPr>
        <w:tabs>
          <w:tab w:val="left" w:pos="1134"/>
        </w:tabs>
        <w:ind w:firstLine="709"/>
        <w:rPr>
          <w:i/>
          <w:iCs/>
          <w:sz w:val="24"/>
          <w:szCs w:val="24"/>
        </w:rPr>
      </w:pPr>
    </w:p>
    <w:p w14:paraId="2A8C0D4F" w14:textId="77777777" w:rsidR="00012398" w:rsidRPr="00236485" w:rsidRDefault="00012398" w:rsidP="00236485">
      <w:pPr>
        <w:tabs>
          <w:tab w:val="left" w:pos="1134"/>
        </w:tabs>
        <w:ind w:firstLine="709"/>
        <w:rPr>
          <w:i/>
          <w:sz w:val="24"/>
          <w:szCs w:val="24"/>
        </w:rPr>
      </w:pPr>
      <w:r w:rsidRPr="00236485">
        <w:rPr>
          <w:b/>
          <w:bCs/>
          <w:i/>
          <w:iCs/>
          <w:sz w:val="24"/>
          <w:szCs w:val="24"/>
        </w:rPr>
        <w:t>iii)</w:t>
      </w:r>
      <w:r w:rsidRPr="00236485">
        <w:rPr>
          <w:i/>
          <w:iCs/>
          <w:sz w:val="24"/>
          <w:szCs w:val="24"/>
        </w:rPr>
        <w:t xml:space="preserve"> </w:t>
      </w:r>
      <w:r w:rsidRPr="00236485">
        <w:rPr>
          <w:sz w:val="24"/>
          <w:szCs w:val="24"/>
        </w:rPr>
        <w:t xml:space="preserve">Los conceptos expuestos por los funcionarios judiciales en ejercicio de su labor no se encuentran cobijados por la causal, pues </w:t>
      </w:r>
      <w:r w:rsidRPr="00236485">
        <w:rPr>
          <w:i/>
          <w:sz w:val="24"/>
          <w:szCs w:val="24"/>
        </w:rPr>
        <w:t>“</w:t>
      </w:r>
      <w:r w:rsidRPr="00F13D97">
        <w:rPr>
          <w:i/>
          <w:sz w:val="22"/>
          <w:szCs w:val="24"/>
        </w:rPr>
        <w:t>ello entrañaría el absurdo de que la facultad que la ley otorga al juez para cumplir su actividad judicial a la vez lo inhabilita para intervenir en otros asuntos de su competencia</w:t>
      </w:r>
      <w:r w:rsidRPr="00236485">
        <w:rPr>
          <w:i/>
          <w:sz w:val="24"/>
          <w:szCs w:val="24"/>
        </w:rPr>
        <w:t>”</w:t>
      </w:r>
      <w:r w:rsidRPr="00236485">
        <w:rPr>
          <w:rStyle w:val="Refdenotaalpie"/>
          <w:i/>
          <w:sz w:val="24"/>
          <w:szCs w:val="24"/>
        </w:rPr>
        <w:footnoteReference w:id="10"/>
      </w:r>
      <w:r w:rsidRPr="00236485">
        <w:rPr>
          <w:sz w:val="24"/>
          <w:szCs w:val="24"/>
        </w:rPr>
        <w:t xml:space="preserve">.  Es decir, si la ley </w:t>
      </w:r>
      <w:r w:rsidRPr="00236485">
        <w:rPr>
          <w:i/>
          <w:sz w:val="24"/>
          <w:szCs w:val="24"/>
        </w:rPr>
        <w:t>“</w:t>
      </w:r>
      <w:r w:rsidRPr="00F13D97">
        <w:rPr>
          <w:i/>
          <w:sz w:val="22"/>
          <w:szCs w:val="24"/>
        </w:rPr>
        <w:t>ha deferido a un funcionario la facultad para que en conocimiento a su cargo y en una misma instancia adopte decisiones en las que expone obviamente sus conceptos u opiniones, mal podría operar ello a la vez como circunstancia que le impidiera asumir en otro proceso su labor</w:t>
      </w:r>
      <w:r w:rsidRPr="00236485">
        <w:rPr>
          <w:i/>
          <w:sz w:val="24"/>
          <w:szCs w:val="24"/>
        </w:rPr>
        <w:t>”</w:t>
      </w:r>
      <w:r w:rsidRPr="00236485">
        <w:rPr>
          <w:rStyle w:val="Refdenotaalpie"/>
          <w:i/>
          <w:sz w:val="24"/>
          <w:szCs w:val="24"/>
        </w:rPr>
        <w:footnoteReference w:id="11"/>
      </w:r>
    </w:p>
    <w:p w14:paraId="59E7663D" w14:textId="77777777" w:rsidR="00012398" w:rsidRPr="00236485" w:rsidRDefault="00012398" w:rsidP="00236485">
      <w:pPr>
        <w:tabs>
          <w:tab w:val="left" w:pos="1134"/>
        </w:tabs>
        <w:ind w:firstLine="709"/>
        <w:rPr>
          <w:sz w:val="24"/>
          <w:szCs w:val="24"/>
        </w:rPr>
      </w:pPr>
    </w:p>
    <w:p w14:paraId="1D4A2A7F" w14:textId="16D38E19" w:rsidR="009D7118" w:rsidRPr="00236485" w:rsidRDefault="009D7118" w:rsidP="00236485">
      <w:pPr>
        <w:rPr>
          <w:spacing w:val="-2"/>
          <w:sz w:val="24"/>
          <w:szCs w:val="24"/>
        </w:rPr>
      </w:pPr>
      <w:r w:rsidRPr="00236485">
        <w:rPr>
          <w:spacing w:val="-2"/>
          <w:sz w:val="24"/>
          <w:szCs w:val="24"/>
        </w:rPr>
        <w:t xml:space="preserve">En este asunto específico, si bien </w:t>
      </w:r>
      <w:r w:rsidR="00642B22" w:rsidRPr="00236485">
        <w:rPr>
          <w:spacing w:val="-2"/>
          <w:sz w:val="24"/>
          <w:szCs w:val="24"/>
        </w:rPr>
        <w:t xml:space="preserve">el delegado del ente acusador y el </w:t>
      </w:r>
      <w:r w:rsidR="0024186E" w:rsidRPr="00236485">
        <w:rPr>
          <w:spacing w:val="-2"/>
          <w:sz w:val="24"/>
          <w:szCs w:val="24"/>
        </w:rPr>
        <w:t>defensor</w:t>
      </w:r>
      <w:r w:rsidRPr="00236485">
        <w:rPr>
          <w:spacing w:val="-2"/>
          <w:sz w:val="24"/>
          <w:szCs w:val="24"/>
        </w:rPr>
        <w:t xml:space="preserve"> estima</w:t>
      </w:r>
      <w:r w:rsidR="00642B22" w:rsidRPr="00236485">
        <w:rPr>
          <w:spacing w:val="-2"/>
          <w:sz w:val="24"/>
          <w:szCs w:val="24"/>
        </w:rPr>
        <w:t>n</w:t>
      </w:r>
      <w:r w:rsidRPr="00236485">
        <w:rPr>
          <w:spacing w:val="-2"/>
          <w:sz w:val="24"/>
          <w:szCs w:val="24"/>
        </w:rPr>
        <w:t xml:space="preserve"> que el juez debe apartarse del conocimiento de esta actuación, por cuanto ya emitió sentencia contra  otro</w:t>
      </w:r>
      <w:r w:rsidR="00642B22" w:rsidRPr="00236485">
        <w:rPr>
          <w:spacing w:val="-2"/>
          <w:sz w:val="24"/>
          <w:szCs w:val="24"/>
        </w:rPr>
        <w:t>s</w:t>
      </w:r>
      <w:r w:rsidRPr="00236485">
        <w:rPr>
          <w:spacing w:val="-2"/>
          <w:sz w:val="24"/>
          <w:szCs w:val="24"/>
        </w:rPr>
        <w:t xml:space="preserve"> de los </w:t>
      </w:r>
      <w:proofErr w:type="spellStart"/>
      <w:r w:rsidRPr="00236485">
        <w:rPr>
          <w:spacing w:val="-2"/>
          <w:sz w:val="24"/>
          <w:szCs w:val="24"/>
        </w:rPr>
        <w:t>coprocesados</w:t>
      </w:r>
      <w:proofErr w:type="spellEnd"/>
      <w:r w:rsidRPr="00236485">
        <w:rPr>
          <w:spacing w:val="-2"/>
          <w:sz w:val="24"/>
          <w:szCs w:val="24"/>
        </w:rPr>
        <w:t xml:space="preserve">, </w:t>
      </w:r>
      <w:r w:rsidR="00642B22" w:rsidRPr="00236485">
        <w:rPr>
          <w:spacing w:val="-2"/>
          <w:sz w:val="24"/>
          <w:szCs w:val="24"/>
        </w:rPr>
        <w:t xml:space="preserve"> a quienes encontró responsables, entre otros del </w:t>
      </w:r>
      <w:r w:rsidRPr="00236485">
        <w:rPr>
          <w:spacing w:val="-2"/>
          <w:sz w:val="24"/>
          <w:szCs w:val="24"/>
        </w:rPr>
        <w:t xml:space="preserve">delito de concierto para delinquir, por el que </w:t>
      </w:r>
      <w:r w:rsidR="00642B22" w:rsidRPr="00236485">
        <w:rPr>
          <w:spacing w:val="-2"/>
          <w:sz w:val="24"/>
          <w:szCs w:val="24"/>
        </w:rPr>
        <w:t xml:space="preserve">igualmente </w:t>
      </w:r>
      <w:r w:rsidRPr="00236485">
        <w:rPr>
          <w:spacing w:val="-2"/>
          <w:sz w:val="24"/>
          <w:szCs w:val="24"/>
        </w:rPr>
        <w:t xml:space="preserve">será investigado </w:t>
      </w:r>
      <w:r w:rsidR="00642B22" w:rsidRPr="00236485">
        <w:rPr>
          <w:spacing w:val="-2"/>
          <w:sz w:val="24"/>
          <w:szCs w:val="24"/>
        </w:rPr>
        <w:t xml:space="preserve">el señor </w:t>
      </w:r>
      <w:proofErr w:type="spellStart"/>
      <w:r w:rsidR="008633C5">
        <w:rPr>
          <w:b/>
          <w:spacing w:val="-2"/>
          <w:sz w:val="24"/>
          <w:szCs w:val="24"/>
        </w:rPr>
        <w:t>JMP</w:t>
      </w:r>
      <w:proofErr w:type="spellEnd"/>
      <w:r w:rsidRPr="00236485">
        <w:rPr>
          <w:spacing w:val="-2"/>
          <w:sz w:val="24"/>
          <w:szCs w:val="24"/>
        </w:rPr>
        <w:t xml:space="preserve">, considera la Sala que le asiste razón al funcionario a-quo cuando aseguró que </w:t>
      </w:r>
      <w:r w:rsidR="00196E70" w:rsidRPr="00236485">
        <w:rPr>
          <w:spacing w:val="-2"/>
          <w:sz w:val="24"/>
          <w:szCs w:val="24"/>
        </w:rPr>
        <w:t xml:space="preserve">no está contaminado y por consiguiente </w:t>
      </w:r>
      <w:r w:rsidRPr="00236485">
        <w:rPr>
          <w:spacing w:val="-2"/>
          <w:sz w:val="24"/>
          <w:szCs w:val="24"/>
        </w:rPr>
        <w:t xml:space="preserve">su imparcialidad no se halla afectada de continuar con el presente trámite, máxime cuando el análisis que realizó lo hizo únicamente para establecer la existencia de ese mínimo probatorio al que estaba obligado para proceder a emitir sentencia contra </w:t>
      </w:r>
      <w:r w:rsidR="00196E70" w:rsidRPr="00236485">
        <w:rPr>
          <w:spacing w:val="-2"/>
          <w:sz w:val="24"/>
          <w:szCs w:val="24"/>
        </w:rPr>
        <w:t xml:space="preserve">los señores </w:t>
      </w:r>
      <w:proofErr w:type="spellStart"/>
      <w:r w:rsidR="008759DB">
        <w:rPr>
          <w:sz w:val="24"/>
          <w:szCs w:val="24"/>
          <w:lang w:val="es-CO"/>
        </w:rPr>
        <w:t>JATZ</w:t>
      </w:r>
      <w:proofErr w:type="spellEnd"/>
      <w:r w:rsidR="00196E70" w:rsidRPr="00236485">
        <w:rPr>
          <w:sz w:val="24"/>
          <w:szCs w:val="24"/>
          <w:lang w:val="es-CO"/>
        </w:rPr>
        <w:t xml:space="preserve"> y </w:t>
      </w:r>
      <w:proofErr w:type="spellStart"/>
      <w:r w:rsidR="008759DB">
        <w:rPr>
          <w:sz w:val="24"/>
          <w:szCs w:val="24"/>
          <w:lang w:val="es-CO"/>
        </w:rPr>
        <w:t>EDSO</w:t>
      </w:r>
      <w:proofErr w:type="spellEnd"/>
      <w:r w:rsidR="00012DBD" w:rsidRPr="00236485">
        <w:rPr>
          <w:sz w:val="24"/>
          <w:szCs w:val="24"/>
          <w:lang w:val="es-CO"/>
        </w:rPr>
        <w:t>,</w:t>
      </w:r>
      <w:r w:rsidR="00196E70" w:rsidRPr="00236485">
        <w:rPr>
          <w:spacing w:val="-2"/>
          <w:sz w:val="24"/>
          <w:szCs w:val="24"/>
        </w:rPr>
        <w:t xml:space="preserve"> </w:t>
      </w:r>
      <w:r w:rsidRPr="00236485">
        <w:rPr>
          <w:spacing w:val="-2"/>
          <w:sz w:val="24"/>
          <w:szCs w:val="24"/>
        </w:rPr>
        <w:t>con ocasión de la aceptación de cargos</w:t>
      </w:r>
      <w:r w:rsidR="00196E70" w:rsidRPr="00236485">
        <w:rPr>
          <w:spacing w:val="-2"/>
          <w:sz w:val="24"/>
          <w:szCs w:val="24"/>
        </w:rPr>
        <w:t xml:space="preserve"> por la vía del preacuerdo</w:t>
      </w:r>
      <w:r w:rsidRPr="00236485">
        <w:rPr>
          <w:spacing w:val="-2"/>
          <w:sz w:val="24"/>
          <w:szCs w:val="24"/>
        </w:rPr>
        <w:t>, sin que hubiera ingresado en tal determinación en aspectos a</w:t>
      </w:r>
      <w:r w:rsidR="00CD05F4" w:rsidRPr="00236485">
        <w:rPr>
          <w:spacing w:val="-2"/>
          <w:sz w:val="24"/>
          <w:szCs w:val="24"/>
        </w:rPr>
        <w:t xml:space="preserve">lusivos </w:t>
      </w:r>
      <w:r w:rsidRPr="00236485">
        <w:rPr>
          <w:spacing w:val="-2"/>
          <w:sz w:val="24"/>
          <w:szCs w:val="24"/>
        </w:rPr>
        <w:t>a la comisión de la ilicitud ni mucho menos de la responsabilidad que se le pudiera atribuir a</w:t>
      </w:r>
      <w:r w:rsidR="00196E70" w:rsidRPr="00236485">
        <w:rPr>
          <w:spacing w:val="-2"/>
          <w:sz w:val="24"/>
          <w:szCs w:val="24"/>
        </w:rPr>
        <w:t xml:space="preserve">l también </w:t>
      </w:r>
      <w:proofErr w:type="spellStart"/>
      <w:r w:rsidRPr="00236485">
        <w:rPr>
          <w:spacing w:val="-2"/>
          <w:sz w:val="24"/>
          <w:szCs w:val="24"/>
        </w:rPr>
        <w:t>coprocesado</w:t>
      </w:r>
      <w:proofErr w:type="spellEnd"/>
      <w:r w:rsidRPr="00236485">
        <w:rPr>
          <w:spacing w:val="-2"/>
          <w:sz w:val="24"/>
          <w:szCs w:val="24"/>
        </w:rPr>
        <w:t>, esto es, al señor</w:t>
      </w:r>
      <w:r w:rsidR="00196E70" w:rsidRPr="00236485">
        <w:rPr>
          <w:spacing w:val="-2"/>
          <w:sz w:val="24"/>
          <w:szCs w:val="24"/>
        </w:rPr>
        <w:t xml:space="preserve"> </w:t>
      </w:r>
      <w:proofErr w:type="spellStart"/>
      <w:r w:rsidR="008633C5">
        <w:rPr>
          <w:b/>
          <w:spacing w:val="-2"/>
          <w:sz w:val="24"/>
          <w:szCs w:val="24"/>
        </w:rPr>
        <w:t>JMP</w:t>
      </w:r>
      <w:proofErr w:type="spellEnd"/>
      <w:r w:rsidR="00196E70" w:rsidRPr="00236485">
        <w:rPr>
          <w:spacing w:val="-2"/>
          <w:sz w:val="24"/>
          <w:szCs w:val="24"/>
        </w:rPr>
        <w:t>.</w:t>
      </w:r>
    </w:p>
    <w:p w14:paraId="414D1909" w14:textId="77777777" w:rsidR="009D7118" w:rsidRPr="00236485" w:rsidRDefault="009D7118" w:rsidP="00236485">
      <w:pPr>
        <w:rPr>
          <w:spacing w:val="-2"/>
          <w:sz w:val="24"/>
          <w:szCs w:val="24"/>
        </w:rPr>
      </w:pPr>
    </w:p>
    <w:p w14:paraId="45C65260" w14:textId="59E2F81A" w:rsidR="000514DD" w:rsidRPr="00236485" w:rsidRDefault="009D7118" w:rsidP="00236485">
      <w:pPr>
        <w:rPr>
          <w:spacing w:val="-4"/>
          <w:sz w:val="24"/>
          <w:szCs w:val="24"/>
        </w:rPr>
      </w:pPr>
      <w:r w:rsidRPr="00236485">
        <w:rPr>
          <w:spacing w:val="-2"/>
          <w:sz w:val="24"/>
          <w:szCs w:val="24"/>
        </w:rPr>
        <w:t xml:space="preserve">Adviértase que el a-quo al proferir fallo contra </w:t>
      </w:r>
      <w:proofErr w:type="spellStart"/>
      <w:r w:rsidR="008759DB">
        <w:rPr>
          <w:sz w:val="24"/>
          <w:szCs w:val="24"/>
          <w:lang w:val="es-CO"/>
        </w:rPr>
        <w:t>JATZ</w:t>
      </w:r>
      <w:proofErr w:type="spellEnd"/>
      <w:r w:rsidR="00196E70" w:rsidRPr="00236485">
        <w:rPr>
          <w:sz w:val="24"/>
          <w:szCs w:val="24"/>
          <w:lang w:val="es-CO"/>
        </w:rPr>
        <w:t xml:space="preserve"> y </w:t>
      </w:r>
      <w:proofErr w:type="spellStart"/>
      <w:r w:rsidR="008759DB">
        <w:rPr>
          <w:sz w:val="24"/>
          <w:szCs w:val="24"/>
          <w:lang w:val="es-CO"/>
        </w:rPr>
        <w:t>EDSO</w:t>
      </w:r>
      <w:proofErr w:type="spellEnd"/>
      <w:r w:rsidRPr="00236485">
        <w:rPr>
          <w:spacing w:val="-2"/>
          <w:sz w:val="24"/>
          <w:szCs w:val="24"/>
        </w:rPr>
        <w:t xml:space="preserve">, en momento alguno hizo referencia a la intervención que en los hechos atinentes al presunto concierto para delinquir haya podido tener </w:t>
      </w:r>
      <w:r w:rsidR="00196E70" w:rsidRPr="00236485">
        <w:rPr>
          <w:spacing w:val="-2"/>
          <w:sz w:val="24"/>
          <w:szCs w:val="24"/>
        </w:rPr>
        <w:t>e</w:t>
      </w:r>
      <w:r w:rsidRPr="00236485">
        <w:rPr>
          <w:spacing w:val="-2"/>
          <w:sz w:val="24"/>
          <w:szCs w:val="24"/>
        </w:rPr>
        <w:t xml:space="preserve">l señor </w:t>
      </w:r>
      <w:proofErr w:type="spellStart"/>
      <w:r w:rsidR="008633C5">
        <w:rPr>
          <w:b/>
          <w:spacing w:val="-2"/>
          <w:sz w:val="24"/>
          <w:szCs w:val="24"/>
        </w:rPr>
        <w:t>JMP</w:t>
      </w:r>
      <w:proofErr w:type="spellEnd"/>
      <w:r w:rsidRPr="00236485">
        <w:rPr>
          <w:b/>
          <w:spacing w:val="-2"/>
          <w:sz w:val="24"/>
          <w:szCs w:val="24"/>
        </w:rPr>
        <w:t xml:space="preserve">; </w:t>
      </w:r>
      <w:r w:rsidRPr="00236485">
        <w:rPr>
          <w:spacing w:val="-2"/>
          <w:sz w:val="24"/>
          <w:szCs w:val="24"/>
        </w:rPr>
        <w:t xml:space="preserve"> por el contrario, se aprecia que solo efectuó un análisis de los hechos que le fueron endilgados a</w:t>
      </w:r>
      <w:r w:rsidR="00196E70" w:rsidRPr="00236485">
        <w:rPr>
          <w:spacing w:val="-2"/>
          <w:sz w:val="24"/>
          <w:szCs w:val="24"/>
        </w:rPr>
        <w:t xml:space="preserve"> </w:t>
      </w:r>
      <w:proofErr w:type="spellStart"/>
      <w:r w:rsidR="008759DB">
        <w:rPr>
          <w:spacing w:val="-2"/>
          <w:sz w:val="24"/>
          <w:szCs w:val="24"/>
        </w:rPr>
        <w:t>JATZ</w:t>
      </w:r>
      <w:proofErr w:type="spellEnd"/>
      <w:r w:rsidR="00196E70" w:rsidRPr="00236485">
        <w:rPr>
          <w:spacing w:val="-2"/>
          <w:sz w:val="24"/>
          <w:szCs w:val="24"/>
        </w:rPr>
        <w:t xml:space="preserve"> y </w:t>
      </w:r>
      <w:proofErr w:type="spellStart"/>
      <w:r w:rsidR="008759DB">
        <w:rPr>
          <w:spacing w:val="-2"/>
          <w:sz w:val="24"/>
          <w:szCs w:val="24"/>
        </w:rPr>
        <w:t>EDSO</w:t>
      </w:r>
      <w:proofErr w:type="spellEnd"/>
      <w:r w:rsidRPr="00236485">
        <w:rPr>
          <w:spacing w:val="-2"/>
          <w:sz w:val="24"/>
          <w:szCs w:val="24"/>
        </w:rPr>
        <w:t>, y si bien es cierto, adujo que de la valoración de esa prueba mínima se estableció</w:t>
      </w:r>
      <w:r w:rsidR="00196E70" w:rsidRPr="00236485">
        <w:rPr>
          <w:spacing w:val="-2"/>
          <w:sz w:val="24"/>
          <w:szCs w:val="24"/>
        </w:rPr>
        <w:t xml:space="preserve"> “</w:t>
      </w:r>
      <w:r w:rsidR="00196E70" w:rsidRPr="00F13D97">
        <w:rPr>
          <w:spacing w:val="-2"/>
          <w:sz w:val="22"/>
          <w:szCs w:val="24"/>
        </w:rPr>
        <w:t xml:space="preserve">[…] a </w:t>
      </w:r>
      <w:r w:rsidR="00196E70" w:rsidRPr="00F13D97">
        <w:rPr>
          <w:sz w:val="22"/>
          <w:szCs w:val="24"/>
        </w:rPr>
        <w:t xml:space="preserve">través del trabajo </w:t>
      </w:r>
      <w:r w:rsidR="00196E70" w:rsidRPr="00F13D97">
        <w:rPr>
          <w:sz w:val="22"/>
          <w:szCs w:val="24"/>
        </w:rPr>
        <w:lastRenderedPageBreak/>
        <w:t xml:space="preserve">investigativo realizado por la </w:t>
      </w:r>
      <w:proofErr w:type="spellStart"/>
      <w:r w:rsidR="00196E70" w:rsidRPr="00F13D97">
        <w:rPr>
          <w:sz w:val="22"/>
          <w:szCs w:val="24"/>
        </w:rPr>
        <w:t>FGN</w:t>
      </w:r>
      <w:proofErr w:type="spellEnd"/>
      <w:r w:rsidR="00196E70" w:rsidRPr="00F13D97">
        <w:rPr>
          <w:sz w:val="22"/>
          <w:szCs w:val="24"/>
        </w:rPr>
        <w:t xml:space="preserve">, la demostración inequívoca de la existencia de una organización criminal dedicada a la venta de estupefacientes, en el municipio de </w:t>
      </w:r>
      <w:proofErr w:type="spellStart"/>
      <w:r w:rsidR="00196E70" w:rsidRPr="00F13D97">
        <w:rPr>
          <w:sz w:val="22"/>
          <w:szCs w:val="24"/>
        </w:rPr>
        <w:t>Mistrató</w:t>
      </w:r>
      <w:proofErr w:type="spellEnd"/>
      <w:r w:rsidR="00196E70" w:rsidRPr="00F13D97">
        <w:rPr>
          <w:sz w:val="22"/>
          <w:szCs w:val="24"/>
        </w:rPr>
        <w:t xml:space="preserve"> en la vivienda del señor </w:t>
      </w:r>
      <w:proofErr w:type="spellStart"/>
      <w:r w:rsidR="008759DB">
        <w:rPr>
          <w:sz w:val="22"/>
          <w:szCs w:val="24"/>
        </w:rPr>
        <w:t>EDSO</w:t>
      </w:r>
      <w:proofErr w:type="spellEnd"/>
      <w:r w:rsidR="00196E70" w:rsidRPr="00F13D97">
        <w:rPr>
          <w:sz w:val="22"/>
          <w:szCs w:val="24"/>
        </w:rPr>
        <w:t xml:space="preserve"> y en el sitio de trabajo del señor </w:t>
      </w:r>
      <w:proofErr w:type="spellStart"/>
      <w:r w:rsidR="008759DB">
        <w:rPr>
          <w:sz w:val="22"/>
          <w:szCs w:val="24"/>
        </w:rPr>
        <w:t>JATZ</w:t>
      </w:r>
      <w:proofErr w:type="spellEnd"/>
      <w:r w:rsidR="00196E70" w:rsidRPr="00F13D97">
        <w:rPr>
          <w:sz w:val="22"/>
          <w:szCs w:val="24"/>
        </w:rPr>
        <w:t>, esto es en el lavadero de carros y motos que se encuentra a la entrada del mencionado municipio</w:t>
      </w:r>
      <w:r w:rsidR="00196E70" w:rsidRPr="00236485">
        <w:rPr>
          <w:sz w:val="24"/>
          <w:szCs w:val="24"/>
        </w:rPr>
        <w:t>”</w:t>
      </w:r>
      <w:r w:rsidR="00012DBD" w:rsidRPr="00236485">
        <w:rPr>
          <w:sz w:val="24"/>
          <w:szCs w:val="24"/>
        </w:rPr>
        <w:t>;</w:t>
      </w:r>
      <w:r w:rsidR="00196E70" w:rsidRPr="00236485">
        <w:rPr>
          <w:sz w:val="24"/>
          <w:szCs w:val="24"/>
        </w:rPr>
        <w:t xml:space="preserve"> e igualmente</w:t>
      </w:r>
      <w:r w:rsidR="00012DBD" w:rsidRPr="00236485">
        <w:rPr>
          <w:sz w:val="24"/>
          <w:szCs w:val="24"/>
        </w:rPr>
        <w:t>,</w:t>
      </w:r>
      <w:r w:rsidR="00196E70" w:rsidRPr="00236485">
        <w:rPr>
          <w:sz w:val="24"/>
          <w:szCs w:val="24"/>
        </w:rPr>
        <w:t xml:space="preserve"> que “</w:t>
      </w:r>
      <w:r w:rsidR="00196E70" w:rsidRPr="00F13D97">
        <w:rPr>
          <w:sz w:val="22"/>
          <w:szCs w:val="24"/>
        </w:rPr>
        <w:t xml:space="preserve">[…] en cuanto a la pertenencia de los señores </w:t>
      </w:r>
      <w:proofErr w:type="spellStart"/>
      <w:r w:rsidR="008759DB">
        <w:rPr>
          <w:sz w:val="22"/>
          <w:szCs w:val="24"/>
        </w:rPr>
        <w:t>EDSO</w:t>
      </w:r>
      <w:proofErr w:type="spellEnd"/>
      <w:r w:rsidR="00196E70" w:rsidRPr="00F13D97">
        <w:rPr>
          <w:sz w:val="22"/>
          <w:szCs w:val="24"/>
        </w:rPr>
        <w:t xml:space="preserve"> y </w:t>
      </w:r>
      <w:proofErr w:type="spellStart"/>
      <w:r w:rsidR="008759DB">
        <w:rPr>
          <w:sz w:val="22"/>
          <w:szCs w:val="24"/>
        </w:rPr>
        <w:t>JATZ</w:t>
      </w:r>
      <w:proofErr w:type="spellEnd"/>
      <w:r w:rsidR="00196E70" w:rsidRPr="00F13D97">
        <w:rPr>
          <w:sz w:val="22"/>
          <w:szCs w:val="24"/>
        </w:rPr>
        <w:t xml:space="preserve"> a la referida estructura criminal, cabe resaltar que fue enrostrada a través del interrogatorio practicado a un miembro del grupo, en el cual se describieron los lugares de expendio de las sustancias estupefacientes, las características de los expendedores y la manera como se surten una vez se agotaba la sustancia ilícita, realizándose el respectivo reconocimiento fotográfico</w:t>
      </w:r>
      <w:r w:rsidR="0090085E" w:rsidRPr="00F13D97">
        <w:rPr>
          <w:sz w:val="22"/>
          <w:szCs w:val="24"/>
        </w:rPr>
        <w:t xml:space="preserve"> […]</w:t>
      </w:r>
      <w:r w:rsidR="0090085E" w:rsidRPr="00236485">
        <w:rPr>
          <w:sz w:val="24"/>
          <w:szCs w:val="24"/>
        </w:rPr>
        <w:t>”</w:t>
      </w:r>
      <w:r w:rsidR="0090085E" w:rsidRPr="00236485">
        <w:rPr>
          <w:spacing w:val="-4"/>
          <w:sz w:val="24"/>
          <w:szCs w:val="24"/>
        </w:rPr>
        <w:t xml:space="preserve">. Como se ve, la mención que hizo el a-quo lo </w:t>
      </w:r>
      <w:r w:rsidRPr="00236485">
        <w:rPr>
          <w:spacing w:val="-4"/>
          <w:sz w:val="24"/>
          <w:szCs w:val="24"/>
        </w:rPr>
        <w:t xml:space="preserve">fue precisamente para hacer </w:t>
      </w:r>
      <w:r w:rsidR="000E493A" w:rsidRPr="00236485">
        <w:rPr>
          <w:spacing w:val="-4"/>
          <w:sz w:val="24"/>
          <w:szCs w:val="24"/>
        </w:rPr>
        <w:t xml:space="preserve">referencia </w:t>
      </w:r>
      <w:r w:rsidRPr="00236485">
        <w:rPr>
          <w:spacing w:val="-4"/>
          <w:sz w:val="24"/>
          <w:szCs w:val="24"/>
        </w:rPr>
        <w:t xml:space="preserve">a la presencia de una organización dedicada a los ilícitos por </w:t>
      </w:r>
      <w:r w:rsidR="0090085E" w:rsidRPr="00236485">
        <w:rPr>
          <w:spacing w:val="-4"/>
          <w:sz w:val="24"/>
          <w:szCs w:val="24"/>
        </w:rPr>
        <w:t>l</w:t>
      </w:r>
      <w:r w:rsidRPr="00236485">
        <w:rPr>
          <w:spacing w:val="-4"/>
          <w:sz w:val="24"/>
          <w:szCs w:val="24"/>
        </w:rPr>
        <w:t xml:space="preserve">os cuales </w:t>
      </w:r>
      <w:r w:rsidR="00196E70" w:rsidRPr="00236485">
        <w:rPr>
          <w:spacing w:val="-4"/>
          <w:sz w:val="24"/>
          <w:szCs w:val="24"/>
        </w:rPr>
        <w:t xml:space="preserve">estos aceptaron </w:t>
      </w:r>
      <w:r w:rsidRPr="00236485">
        <w:rPr>
          <w:spacing w:val="-4"/>
          <w:sz w:val="24"/>
          <w:szCs w:val="24"/>
        </w:rPr>
        <w:t xml:space="preserve">cargos, pero sin hacer </w:t>
      </w:r>
      <w:r w:rsidR="006C5DA2" w:rsidRPr="00236485">
        <w:rPr>
          <w:spacing w:val="-4"/>
          <w:sz w:val="24"/>
          <w:szCs w:val="24"/>
        </w:rPr>
        <w:t>alusión</w:t>
      </w:r>
      <w:r w:rsidR="006C5DA2" w:rsidRPr="00236485">
        <w:rPr>
          <w:spacing w:val="-4"/>
          <w:sz w:val="24"/>
          <w:szCs w:val="24"/>
          <w:lang w:val="es-CO"/>
        </w:rPr>
        <w:t xml:space="preserve"> </w:t>
      </w:r>
      <w:r w:rsidRPr="00236485">
        <w:rPr>
          <w:spacing w:val="-4"/>
          <w:sz w:val="24"/>
          <w:szCs w:val="24"/>
        </w:rPr>
        <w:t xml:space="preserve">que a esta pertenecía </w:t>
      </w:r>
      <w:r w:rsidR="00196E70" w:rsidRPr="00236485">
        <w:rPr>
          <w:spacing w:val="-4"/>
          <w:sz w:val="24"/>
          <w:szCs w:val="24"/>
        </w:rPr>
        <w:t xml:space="preserve">el acá </w:t>
      </w:r>
      <w:r w:rsidRPr="00236485">
        <w:rPr>
          <w:spacing w:val="-4"/>
          <w:sz w:val="24"/>
          <w:szCs w:val="24"/>
        </w:rPr>
        <w:t>procesado</w:t>
      </w:r>
      <w:r w:rsidR="00196E70" w:rsidRPr="00236485">
        <w:rPr>
          <w:spacing w:val="-4"/>
          <w:sz w:val="24"/>
          <w:szCs w:val="24"/>
        </w:rPr>
        <w:t xml:space="preserve"> </w:t>
      </w:r>
      <w:proofErr w:type="spellStart"/>
      <w:r w:rsidR="008633C5">
        <w:rPr>
          <w:b/>
          <w:spacing w:val="-4"/>
          <w:sz w:val="24"/>
          <w:szCs w:val="24"/>
        </w:rPr>
        <w:t>JMP</w:t>
      </w:r>
      <w:proofErr w:type="spellEnd"/>
      <w:r w:rsidR="00196E70" w:rsidRPr="00236485">
        <w:rPr>
          <w:spacing w:val="-4"/>
          <w:sz w:val="24"/>
          <w:szCs w:val="24"/>
        </w:rPr>
        <w:t xml:space="preserve">, </w:t>
      </w:r>
      <w:r w:rsidR="006C5DA2" w:rsidRPr="00236485">
        <w:rPr>
          <w:spacing w:val="-4"/>
          <w:sz w:val="24"/>
          <w:szCs w:val="24"/>
        </w:rPr>
        <w:t>de</w:t>
      </w:r>
      <w:r w:rsidR="00196E70" w:rsidRPr="00236485">
        <w:rPr>
          <w:spacing w:val="-4"/>
          <w:sz w:val="24"/>
          <w:szCs w:val="24"/>
        </w:rPr>
        <w:t xml:space="preserve"> quien ni siquiera hizo la más mínima </w:t>
      </w:r>
      <w:r w:rsidR="000E493A" w:rsidRPr="00236485">
        <w:rPr>
          <w:spacing w:val="-4"/>
          <w:sz w:val="24"/>
          <w:szCs w:val="24"/>
        </w:rPr>
        <w:t xml:space="preserve">insinuación </w:t>
      </w:r>
      <w:r w:rsidR="00196E70" w:rsidRPr="00236485">
        <w:rPr>
          <w:spacing w:val="-4"/>
          <w:sz w:val="24"/>
          <w:szCs w:val="24"/>
        </w:rPr>
        <w:t xml:space="preserve">en el fallo, ya fuera en punto de su participación en </w:t>
      </w:r>
      <w:r w:rsidR="000E493A" w:rsidRPr="00236485">
        <w:rPr>
          <w:spacing w:val="-4"/>
          <w:sz w:val="24"/>
          <w:szCs w:val="24"/>
        </w:rPr>
        <w:t xml:space="preserve">una </w:t>
      </w:r>
      <w:r w:rsidR="00196E70" w:rsidRPr="00236485">
        <w:rPr>
          <w:spacing w:val="-4"/>
          <w:sz w:val="24"/>
          <w:szCs w:val="24"/>
        </w:rPr>
        <w:t>organización criminal, ora sobre compromiso alguno en tal ilicitud</w:t>
      </w:r>
      <w:r w:rsidR="000514DD" w:rsidRPr="00236485">
        <w:rPr>
          <w:spacing w:val="-4"/>
          <w:sz w:val="24"/>
          <w:szCs w:val="24"/>
        </w:rPr>
        <w:t xml:space="preserve">. Mírese incluso </w:t>
      </w:r>
      <w:r w:rsidR="0082021A" w:rsidRPr="00236485">
        <w:rPr>
          <w:spacing w:val="-4"/>
          <w:sz w:val="24"/>
          <w:szCs w:val="24"/>
        </w:rPr>
        <w:t>que,</w:t>
      </w:r>
      <w:r w:rsidR="000514DD" w:rsidRPr="00236485">
        <w:rPr>
          <w:spacing w:val="-4"/>
          <w:sz w:val="24"/>
          <w:szCs w:val="24"/>
        </w:rPr>
        <w:t xml:space="preserve"> frente a un posible impedimento, cuando el juzgador realiza un análisis probatorio sobre medios de prueba comunes a otro proceso judicial, la Sala de Casación penal ha señalado:</w:t>
      </w:r>
    </w:p>
    <w:p w14:paraId="6452FA20" w14:textId="77777777" w:rsidR="000514DD" w:rsidRPr="00236485" w:rsidRDefault="000514DD" w:rsidP="00236485">
      <w:pPr>
        <w:snapToGrid w:val="0"/>
        <w:ind w:firstLine="703"/>
        <w:rPr>
          <w:bCs/>
          <w:color w:val="000000" w:themeColor="text1"/>
          <w:sz w:val="24"/>
          <w:szCs w:val="24"/>
          <w:lang w:val="es-ES_tradnl"/>
        </w:rPr>
      </w:pPr>
    </w:p>
    <w:p w14:paraId="5E5281E1" w14:textId="77777777" w:rsidR="000514DD" w:rsidRPr="00236485" w:rsidRDefault="000514DD" w:rsidP="006B2109">
      <w:pPr>
        <w:snapToGrid w:val="0"/>
        <w:ind w:left="426" w:right="335"/>
        <w:rPr>
          <w:bCs/>
          <w:color w:val="000000" w:themeColor="text1"/>
          <w:sz w:val="24"/>
          <w:szCs w:val="24"/>
          <w:lang w:val="es-ES_tradnl"/>
        </w:rPr>
      </w:pPr>
      <w:r w:rsidRPr="009307D1">
        <w:rPr>
          <w:color w:val="000000"/>
          <w:sz w:val="22"/>
          <w:szCs w:val="24"/>
        </w:rPr>
        <w:t>“(…) el análisis probatorio que un funcionario judicial despliegue en el marco de otro proceso, sobre ciertos medios de prueba comunes a otra actuación judicial, no genera de manera automática la prosperidad jurídica de la aludida circunstancia impediente, por cuanto las consideraciones o apreciaciones probatorias expresadas por el órgano judicial obedecerá a las particularidades fácticas propias de cada asunto, siendo exclusivamente predicables frente a quien se emite el pronunciamiento, salvo, que se viertan opiniones sustanciales de tal naturaleza que vincule su criterio frente al</w:t>
      </w:r>
      <w:r w:rsidRPr="00236485">
        <w:rPr>
          <w:i/>
          <w:sz w:val="24"/>
          <w:szCs w:val="24"/>
          <w:lang w:val="es-CO"/>
        </w:rPr>
        <w:t xml:space="preserve"> </w:t>
      </w:r>
      <w:r w:rsidRPr="009307D1">
        <w:rPr>
          <w:color w:val="000000"/>
          <w:sz w:val="22"/>
          <w:szCs w:val="24"/>
        </w:rPr>
        <w:t xml:space="preserve">objeto de la </w:t>
      </w:r>
      <w:proofErr w:type="spellStart"/>
      <w:r w:rsidRPr="009307D1">
        <w:rPr>
          <w:color w:val="000000"/>
          <w:sz w:val="22"/>
          <w:szCs w:val="24"/>
        </w:rPr>
        <w:t>litis</w:t>
      </w:r>
      <w:proofErr w:type="spellEnd"/>
      <w:r w:rsidRPr="009307D1">
        <w:rPr>
          <w:color w:val="000000"/>
          <w:sz w:val="22"/>
          <w:szCs w:val="24"/>
        </w:rPr>
        <w:t xml:space="preserve"> de los procesos que se tramiten contra terceros”</w:t>
      </w:r>
      <w:r w:rsidRPr="00236485">
        <w:rPr>
          <w:sz w:val="24"/>
          <w:szCs w:val="24"/>
          <w:vertAlign w:val="superscript"/>
          <w:lang w:val="es-CO"/>
        </w:rPr>
        <w:footnoteReference w:id="12"/>
      </w:r>
      <w:r w:rsidRPr="009307D1">
        <w:rPr>
          <w:color w:val="000000"/>
          <w:sz w:val="22"/>
          <w:szCs w:val="24"/>
        </w:rPr>
        <w:t>.</w:t>
      </w:r>
    </w:p>
    <w:p w14:paraId="1E4D6FEE" w14:textId="77777777" w:rsidR="000514DD" w:rsidRPr="00236485" w:rsidRDefault="000514DD" w:rsidP="00236485">
      <w:pPr>
        <w:rPr>
          <w:spacing w:val="-4"/>
          <w:sz w:val="24"/>
          <w:szCs w:val="24"/>
        </w:rPr>
      </w:pPr>
    </w:p>
    <w:p w14:paraId="1BCBB31D" w14:textId="0301A94E" w:rsidR="009D7118" w:rsidRPr="00236485" w:rsidRDefault="009D7118" w:rsidP="00236485">
      <w:pPr>
        <w:rPr>
          <w:spacing w:val="-2"/>
          <w:sz w:val="24"/>
          <w:szCs w:val="24"/>
        </w:rPr>
      </w:pPr>
      <w:r w:rsidRPr="00236485">
        <w:rPr>
          <w:spacing w:val="-2"/>
          <w:sz w:val="24"/>
          <w:szCs w:val="24"/>
        </w:rPr>
        <w:t xml:space="preserve">De todas formas, mírese también que lo efectuado por el titular del despacho se limitó a </w:t>
      </w:r>
      <w:r w:rsidR="008D4CFA" w:rsidRPr="00236485">
        <w:rPr>
          <w:spacing w:val="-2"/>
          <w:sz w:val="24"/>
          <w:szCs w:val="24"/>
        </w:rPr>
        <w:t xml:space="preserve">plasmar </w:t>
      </w:r>
      <w:r w:rsidRPr="00236485">
        <w:rPr>
          <w:spacing w:val="-2"/>
          <w:sz w:val="24"/>
          <w:szCs w:val="24"/>
        </w:rPr>
        <w:t xml:space="preserve">solo los hechos </w:t>
      </w:r>
      <w:r w:rsidR="000264FE" w:rsidRPr="00236485">
        <w:rPr>
          <w:spacing w:val="-2"/>
          <w:sz w:val="24"/>
          <w:szCs w:val="24"/>
        </w:rPr>
        <w:t xml:space="preserve">a que hace alusión </w:t>
      </w:r>
      <w:r w:rsidRPr="00236485">
        <w:rPr>
          <w:spacing w:val="-2"/>
          <w:sz w:val="24"/>
          <w:szCs w:val="24"/>
        </w:rPr>
        <w:t>el mismo escrito de acusación atinentes a</w:t>
      </w:r>
      <w:r w:rsidR="001B2C40" w:rsidRPr="00236485">
        <w:rPr>
          <w:spacing w:val="-2"/>
          <w:sz w:val="24"/>
          <w:szCs w:val="24"/>
        </w:rPr>
        <w:t xml:space="preserve"> los señores </w:t>
      </w:r>
      <w:proofErr w:type="spellStart"/>
      <w:r w:rsidR="008759DB">
        <w:rPr>
          <w:spacing w:val="-2"/>
          <w:sz w:val="24"/>
          <w:szCs w:val="24"/>
        </w:rPr>
        <w:t>JATZ</w:t>
      </w:r>
      <w:proofErr w:type="spellEnd"/>
      <w:r w:rsidR="001B2C40" w:rsidRPr="00236485">
        <w:rPr>
          <w:spacing w:val="-2"/>
          <w:sz w:val="24"/>
          <w:szCs w:val="24"/>
        </w:rPr>
        <w:t xml:space="preserve"> y </w:t>
      </w:r>
      <w:proofErr w:type="spellStart"/>
      <w:r w:rsidR="008759DB">
        <w:rPr>
          <w:spacing w:val="-2"/>
          <w:sz w:val="24"/>
          <w:szCs w:val="24"/>
        </w:rPr>
        <w:t>EDSO</w:t>
      </w:r>
      <w:proofErr w:type="spellEnd"/>
      <w:r w:rsidRPr="00236485">
        <w:rPr>
          <w:spacing w:val="-2"/>
          <w:sz w:val="24"/>
          <w:szCs w:val="24"/>
        </w:rPr>
        <w:t>, no a</w:t>
      </w:r>
      <w:r w:rsidR="001B2C40" w:rsidRPr="00236485">
        <w:rPr>
          <w:spacing w:val="-2"/>
          <w:sz w:val="24"/>
          <w:szCs w:val="24"/>
        </w:rPr>
        <w:t xml:space="preserve">l otro </w:t>
      </w:r>
      <w:proofErr w:type="spellStart"/>
      <w:r w:rsidRPr="00236485">
        <w:rPr>
          <w:spacing w:val="-2"/>
          <w:sz w:val="24"/>
          <w:szCs w:val="24"/>
        </w:rPr>
        <w:t>coprocesado</w:t>
      </w:r>
      <w:proofErr w:type="spellEnd"/>
      <w:r w:rsidRPr="00236485">
        <w:rPr>
          <w:spacing w:val="-2"/>
          <w:sz w:val="24"/>
          <w:szCs w:val="24"/>
        </w:rPr>
        <w:t>,</w:t>
      </w:r>
      <w:r w:rsidR="001B2C40" w:rsidRPr="00236485">
        <w:rPr>
          <w:spacing w:val="-2"/>
          <w:sz w:val="24"/>
          <w:szCs w:val="24"/>
        </w:rPr>
        <w:t xml:space="preserve"> en tanto ello será</w:t>
      </w:r>
      <w:r w:rsidRPr="00236485">
        <w:rPr>
          <w:spacing w:val="-2"/>
          <w:sz w:val="24"/>
          <w:szCs w:val="24"/>
        </w:rPr>
        <w:t xml:space="preserve"> materia de debate al momento del juicio oral que </w:t>
      </w:r>
      <w:r w:rsidR="00CD05F4" w:rsidRPr="00236485">
        <w:rPr>
          <w:spacing w:val="-2"/>
          <w:sz w:val="24"/>
          <w:szCs w:val="24"/>
        </w:rPr>
        <w:t>deberá surtirse en este asunto</w:t>
      </w:r>
      <w:r w:rsidRPr="00236485">
        <w:rPr>
          <w:spacing w:val="-2"/>
          <w:sz w:val="24"/>
          <w:szCs w:val="24"/>
        </w:rPr>
        <w:t xml:space="preserve">. </w:t>
      </w:r>
      <w:r w:rsidR="00237F89" w:rsidRPr="00236485">
        <w:rPr>
          <w:spacing w:val="-2"/>
          <w:sz w:val="24"/>
          <w:szCs w:val="24"/>
        </w:rPr>
        <w:t xml:space="preserve">Lo dicho, con mayor razón cuando para adoptar las referidas decisiones -aprobación de preacuerdo y posterior sentencia- no </w:t>
      </w:r>
      <w:r w:rsidR="00CD05F4" w:rsidRPr="00236485">
        <w:rPr>
          <w:spacing w:val="-2"/>
          <w:sz w:val="24"/>
          <w:szCs w:val="24"/>
        </w:rPr>
        <w:t xml:space="preserve">ingresó en </w:t>
      </w:r>
      <w:r w:rsidR="00237F89" w:rsidRPr="00236485">
        <w:rPr>
          <w:spacing w:val="-2"/>
          <w:sz w:val="24"/>
          <w:szCs w:val="24"/>
        </w:rPr>
        <w:t xml:space="preserve">un análisis de fondo de los elementos materiales probatorios con los que supuestamente contaba el órgano encargado de la persecución penal para establecer con estos el compromiso del otro </w:t>
      </w:r>
      <w:proofErr w:type="spellStart"/>
      <w:r w:rsidR="00237F89" w:rsidRPr="00236485">
        <w:rPr>
          <w:spacing w:val="-2"/>
          <w:sz w:val="24"/>
          <w:szCs w:val="24"/>
        </w:rPr>
        <w:t>coprocesado</w:t>
      </w:r>
      <w:proofErr w:type="spellEnd"/>
      <w:r w:rsidR="00237F89" w:rsidRPr="00236485">
        <w:rPr>
          <w:spacing w:val="-2"/>
          <w:sz w:val="24"/>
          <w:szCs w:val="24"/>
        </w:rPr>
        <w:t xml:space="preserve">, es decir, en </w:t>
      </w:r>
      <w:r w:rsidR="00CD05F4" w:rsidRPr="00236485">
        <w:rPr>
          <w:spacing w:val="-2"/>
          <w:sz w:val="24"/>
          <w:szCs w:val="24"/>
        </w:rPr>
        <w:t xml:space="preserve">instante </w:t>
      </w:r>
      <w:r w:rsidR="00237F89" w:rsidRPr="00236485">
        <w:rPr>
          <w:spacing w:val="-2"/>
          <w:sz w:val="24"/>
          <w:szCs w:val="24"/>
        </w:rPr>
        <w:t xml:space="preserve">alguno por parte del juzgador se anticipó </w:t>
      </w:r>
      <w:r w:rsidR="003576DB" w:rsidRPr="00236485">
        <w:rPr>
          <w:spacing w:val="-2"/>
          <w:sz w:val="24"/>
          <w:szCs w:val="24"/>
        </w:rPr>
        <w:t xml:space="preserve">a </w:t>
      </w:r>
      <w:r w:rsidR="00237F89" w:rsidRPr="00236485">
        <w:rPr>
          <w:spacing w:val="-2"/>
          <w:sz w:val="24"/>
          <w:szCs w:val="24"/>
        </w:rPr>
        <w:t xml:space="preserve">una valoración probatoria frente al señor </w:t>
      </w:r>
      <w:proofErr w:type="spellStart"/>
      <w:r w:rsidR="008633C5">
        <w:rPr>
          <w:b/>
          <w:spacing w:val="-2"/>
          <w:sz w:val="24"/>
          <w:szCs w:val="24"/>
        </w:rPr>
        <w:t>JMP</w:t>
      </w:r>
      <w:proofErr w:type="spellEnd"/>
      <w:r w:rsidR="00237F89" w:rsidRPr="00236485">
        <w:rPr>
          <w:spacing w:val="-2"/>
          <w:sz w:val="24"/>
          <w:szCs w:val="24"/>
        </w:rPr>
        <w:t xml:space="preserve"> al dictar fallo </w:t>
      </w:r>
      <w:r w:rsidR="00CD05F4" w:rsidRPr="00236485">
        <w:rPr>
          <w:spacing w:val="-2"/>
          <w:sz w:val="24"/>
          <w:szCs w:val="24"/>
        </w:rPr>
        <w:t xml:space="preserve">contra </w:t>
      </w:r>
      <w:r w:rsidR="00237F89" w:rsidRPr="00236485">
        <w:rPr>
          <w:spacing w:val="-2"/>
          <w:sz w:val="24"/>
          <w:szCs w:val="24"/>
        </w:rPr>
        <w:t>los antes mencionados</w:t>
      </w:r>
      <w:r w:rsidR="000514DD" w:rsidRPr="00236485">
        <w:rPr>
          <w:spacing w:val="-2"/>
          <w:sz w:val="24"/>
          <w:szCs w:val="24"/>
        </w:rPr>
        <w:t xml:space="preserve">, ni mucho menos esgrimió opiniones sustanciales, esenciales y vinculantes, que tuvieran la relevancia suficiente como para comprometer la imparcialidad en la decisión que en este preciso asunto deba </w:t>
      </w:r>
      <w:r w:rsidR="000514DD" w:rsidRPr="00236485">
        <w:rPr>
          <w:spacing w:val="-2"/>
          <w:sz w:val="24"/>
          <w:szCs w:val="24"/>
        </w:rPr>
        <w:lastRenderedPageBreak/>
        <w:t>emitirse</w:t>
      </w:r>
      <w:r w:rsidR="003576DB" w:rsidRPr="00236485">
        <w:rPr>
          <w:spacing w:val="-2"/>
          <w:sz w:val="24"/>
          <w:szCs w:val="24"/>
        </w:rPr>
        <w:t xml:space="preserve"> -como sí ocurrió en la decisión que analizó la Corte y a la que hizo alusión el fiscal-</w:t>
      </w:r>
      <w:r w:rsidR="000514DD" w:rsidRPr="00236485">
        <w:rPr>
          <w:spacing w:val="-2"/>
          <w:sz w:val="24"/>
          <w:szCs w:val="24"/>
        </w:rPr>
        <w:t>.</w:t>
      </w:r>
      <w:r w:rsidR="00237F89" w:rsidRPr="00236485">
        <w:rPr>
          <w:spacing w:val="-2"/>
          <w:sz w:val="24"/>
          <w:szCs w:val="24"/>
        </w:rPr>
        <w:t xml:space="preserve"> </w:t>
      </w:r>
      <w:r w:rsidRPr="00236485">
        <w:rPr>
          <w:spacing w:val="-2"/>
          <w:sz w:val="24"/>
          <w:szCs w:val="24"/>
        </w:rPr>
        <w:t xml:space="preserve">Y por supuesto, leer o enterarse de los hechos contenidos en la acusación, es una situación inevitable que sin duda alguna no tiene la capacidad de perturbar el ánimo del juzgador, ni </w:t>
      </w:r>
      <w:r w:rsidR="001B2C40" w:rsidRPr="00236485">
        <w:rPr>
          <w:spacing w:val="-2"/>
          <w:sz w:val="24"/>
          <w:szCs w:val="24"/>
        </w:rPr>
        <w:t xml:space="preserve">tampoco </w:t>
      </w:r>
      <w:r w:rsidRPr="00236485">
        <w:rPr>
          <w:spacing w:val="-2"/>
          <w:sz w:val="24"/>
          <w:szCs w:val="24"/>
        </w:rPr>
        <w:t xml:space="preserve">puede ser el fundamento para una recusación.  </w:t>
      </w:r>
    </w:p>
    <w:p w14:paraId="70A3151B" w14:textId="77777777" w:rsidR="009D7118" w:rsidRPr="00236485" w:rsidRDefault="009D7118" w:rsidP="00236485">
      <w:pPr>
        <w:rPr>
          <w:spacing w:val="-2"/>
          <w:sz w:val="24"/>
          <w:szCs w:val="24"/>
        </w:rPr>
      </w:pPr>
    </w:p>
    <w:p w14:paraId="3B6DA824" w14:textId="00426959" w:rsidR="009D7118" w:rsidRPr="00236485" w:rsidRDefault="009D7118" w:rsidP="00236485">
      <w:pPr>
        <w:rPr>
          <w:spacing w:val="-2"/>
          <w:sz w:val="24"/>
          <w:szCs w:val="24"/>
        </w:rPr>
      </w:pPr>
      <w:r w:rsidRPr="00236485">
        <w:rPr>
          <w:spacing w:val="-2"/>
          <w:sz w:val="24"/>
          <w:szCs w:val="24"/>
        </w:rPr>
        <w:t xml:space="preserve">Por </w:t>
      </w:r>
      <w:r w:rsidR="000264FE" w:rsidRPr="00236485">
        <w:rPr>
          <w:spacing w:val="-2"/>
          <w:sz w:val="24"/>
          <w:szCs w:val="24"/>
        </w:rPr>
        <w:t>consiguiente</w:t>
      </w:r>
      <w:r w:rsidRPr="00236485">
        <w:rPr>
          <w:spacing w:val="-2"/>
          <w:sz w:val="24"/>
          <w:szCs w:val="24"/>
        </w:rPr>
        <w:t xml:space="preserve">, no puede pensarse que el juzgador no será imparcial al momento de </w:t>
      </w:r>
      <w:r w:rsidR="000E493A" w:rsidRPr="00236485">
        <w:rPr>
          <w:spacing w:val="-2"/>
          <w:sz w:val="24"/>
          <w:szCs w:val="24"/>
        </w:rPr>
        <w:t xml:space="preserve">emitir </w:t>
      </w:r>
      <w:r w:rsidRPr="00236485">
        <w:rPr>
          <w:spacing w:val="-2"/>
          <w:sz w:val="24"/>
          <w:szCs w:val="24"/>
        </w:rPr>
        <w:t xml:space="preserve">una providencia de fondo respecto a la prueba que en el juicio se allegue en torno a demostrar tanto la verdadera ocurrencia de los hechos atribuidos como la culpabilidad o no que en los mismos pudiera llegar a tener </w:t>
      </w:r>
      <w:r w:rsidR="001B2C40" w:rsidRPr="00236485">
        <w:rPr>
          <w:spacing w:val="-2"/>
          <w:sz w:val="24"/>
          <w:szCs w:val="24"/>
        </w:rPr>
        <w:t xml:space="preserve">el </w:t>
      </w:r>
      <w:proofErr w:type="spellStart"/>
      <w:r w:rsidRPr="00236485">
        <w:rPr>
          <w:spacing w:val="-2"/>
          <w:sz w:val="24"/>
          <w:szCs w:val="24"/>
        </w:rPr>
        <w:t>coprocesado</w:t>
      </w:r>
      <w:proofErr w:type="spellEnd"/>
      <w:r w:rsidR="00D27F1B" w:rsidRPr="00236485">
        <w:rPr>
          <w:spacing w:val="-2"/>
          <w:sz w:val="24"/>
          <w:szCs w:val="24"/>
        </w:rPr>
        <w:t xml:space="preserve"> </w:t>
      </w:r>
      <w:proofErr w:type="spellStart"/>
      <w:r w:rsidR="008633C5">
        <w:rPr>
          <w:b/>
          <w:spacing w:val="-2"/>
          <w:sz w:val="24"/>
          <w:szCs w:val="24"/>
        </w:rPr>
        <w:t>JMP</w:t>
      </w:r>
      <w:proofErr w:type="spellEnd"/>
      <w:r w:rsidRPr="00236485">
        <w:rPr>
          <w:spacing w:val="-2"/>
          <w:sz w:val="24"/>
          <w:szCs w:val="24"/>
        </w:rPr>
        <w:t>.</w:t>
      </w:r>
    </w:p>
    <w:p w14:paraId="78D84651" w14:textId="77777777" w:rsidR="009D7118" w:rsidRPr="00236485" w:rsidRDefault="009D7118" w:rsidP="00236485">
      <w:pPr>
        <w:rPr>
          <w:spacing w:val="-2"/>
          <w:sz w:val="24"/>
          <w:szCs w:val="24"/>
        </w:rPr>
      </w:pPr>
    </w:p>
    <w:p w14:paraId="1C0E7814" w14:textId="77777777" w:rsidR="009D7118" w:rsidRPr="00236485" w:rsidRDefault="009D7118" w:rsidP="00236485">
      <w:pPr>
        <w:rPr>
          <w:spacing w:val="-2"/>
          <w:sz w:val="24"/>
          <w:szCs w:val="24"/>
        </w:rPr>
      </w:pPr>
      <w:r w:rsidRPr="00236485">
        <w:rPr>
          <w:spacing w:val="-2"/>
          <w:sz w:val="24"/>
          <w:szCs w:val="24"/>
        </w:rPr>
        <w:t>Así las cosas, no hay lugar a apartar del conocimiento del caso al servidor judicial</w:t>
      </w:r>
      <w:r w:rsidR="008D4CFA" w:rsidRPr="00236485">
        <w:rPr>
          <w:spacing w:val="-2"/>
          <w:sz w:val="24"/>
          <w:szCs w:val="24"/>
        </w:rPr>
        <w:t xml:space="preserve"> de primer nivel.</w:t>
      </w:r>
    </w:p>
    <w:p w14:paraId="72216B68" w14:textId="77777777" w:rsidR="00012398" w:rsidRPr="00236485" w:rsidRDefault="00012398" w:rsidP="00236485">
      <w:pPr>
        <w:rPr>
          <w:spacing w:val="-2"/>
          <w:sz w:val="24"/>
          <w:szCs w:val="24"/>
        </w:rPr>
      </w:pPr>
    </w:p>
    <w:p w14:paraId="07227450" w14:textId="77777777" w:rsidR="00012398" w:rsidRPr="002F4784" w:rsidRDefault="00012398" w:rsidP="002F4784">
      <w:pPr>
        <w:overflowPunct/>
        <w:autoSpaceDE/>
        <w:autoSpaceDN/>
        <w:adjustRightInd/>
        <w:textAlignment w:val="auto"/>
        <w:rPr>
          <w:rFonts w:ascii="Algerian" w:hAnsi="Algerian"/>
          <w:sz w:val="30"/>
          <w:szCs w:val="20"/>
          <w:lang w:eastAsia="es-MX"/>
        </w:rPr>
      </w:pPr>
      <w:r w:rsidRPr="002F4784">
        <w:rPr>
          <w:rFonts w:ascii="Algerian" w:hAnsi="Algerian"/>
          <w:sz w:val="30"/>
          <w:szCs w:val="20"/>
          <w:lang w:eastAsia="es-MX"/>
        </w:rPr>
        <w:t>4.- DECISIÓN</w:t>
      </w:r>
    </w:p>
    <w:p w14:paraId="4FD4DA88" w14:textId="77777777" w:rsidR="00012398" w:rsidRPr="00236485" w:rsidRDefault="00012398" w:rsidP="00236485">
      <w:pPr>
        <w:rPr>
          <w:spacing w:val="-2"/>
          <w:sz w:val="24"/>
          <w:szCs w:val="24"/>
        </w:rPr>
      </w:pPr>
    </w:p>
    <w:p w14:paraId="33D07976" w14:textId="61AC6360" w:rsidR="00012398" w:rsidRPr="00236485" w:rsidRDefault="00012398" w:rsidP="00236485">
      <w:pPr>
        <w:rPr>
          <w:spacing w:val="-2"/>
          <w:sz w:val="24"/>
          <w:szCs w:val="24"/>
        </w:rPr>
      </w:pPr>
      <w:r w:rsidRPr="00236485">
        <w:rPr>
          <w:spacing w:val="-2"/>
          <w:sz w:val="24"/>
          <w:szCs w:val="24"/>
        </w:rPr>
        <w:t>En mérito de lo discurrido, el Tribunal Superior del Distrito Judicial de Pereira</w:t>
      </w:r>
      <w:r w:rsidRPr="00236485">
        <w:rPr>
          <w:bCs/>
          <w:spacing w:val="-2"/>
          <w:sz w:val="24"/>
          <w:szCs w:val="24"/>
        </w:rPr>
        <w:t>,</w:t>
      </w:r>
      <w:r w:rsidRPr="00236485">
        <w:rPr>
          <w:b/>
          <w:bCs/>
          <w:spacing w:val="-2"/>
          <w:sz w:val="24"/>
          <w:szCs w:val="24"/>
        </w:rPr>
        <w:t xml:space="preserve"> </w:t>
      </w:r>
      <w:r w:rsidRPr="00236485">
        <w:rPr>
          <w:spacing w:val="-2"/>
          <w:sz w:val="24"/>
          <w:szCs w:val="24"/>
        </w:rPr>
        <w:t xml:space="preserve">en Sala de Decisión Penal, </w:t>
      </w:r>
      <w:r w:rsidRPr="00236485">
        <w:rPr>
          <w:b/>
          <w:bCs/>
          <w:spacing w:val="-2"/>
          <w:sz w:val="24"/>
          <w:szCs w:val="24"/>
        </w:rPr>
        <w:t>DECLARA INFUNDADA</w:t>
      </w:r>
      <w:r w:rsidRPr="00236485">
        <w:rPr>
          <w:spacing w:val="-2"/>
          <w:sz w:val="24"/>
          <w:szCs w:val="24"/>
        </w:rPr>
        <w:t xml:space="preserve"> la recusación planteada por la </w:t>
      </w:r>
      <w:r w:rsidR="00D27F1B" w:rsidRPr="00236485">
        <w:rPr>
          <w:spacing w:val="-2"/>
          <w:sz w:val="24"/>
          <w:szCs w:val="24"/>
        </w:rPr>
        <w:t xml:space="preserve">Fiscalía y la </w:t>
      </w:r>
      <w:r w:rsidRPr="00236485">
        <w:rPr>
          <w:spacing w:val="-2"/>
          <w:sz w:val="24"/>
          <w:szCs w:val="24"/>
        </w:rPr>
        <w:t xml:space="preserve">defensa del señor </w:t>
      </w:r>
      <w:proofErr w:type="spellStart"/>
      <w:r w:rsidR="008633C5">
        <w:rPr>
          <w:b/>
          <w:spacing w:val="-2"/>
          <w:sz w:val="24"/>
          <w:szCs w:val="24"/>
        </w:rPr>
        <w:t>JMP</w:t>
      </w:r>
      <w:proofErr w:type="spellEnd"/>
      <w:r w:rsidR="00D27F1B" w:rsidRPr="00236485">
        <w:rPr>
          <w:b/>
          <w:spacing w:val="-2"/>
          <w:sz w:val="24"/>
          <w:szCs w:val="24"/>
        </w:rPr>
        <w:t xml:space="preserve"> </w:t>
      </w:r>
      <w:r w:rsidRPr="00236485">
        <w:rPr>
          <w:spacing w:val="-2"/>
          <w:sz w:val="24"/>
          <w:szCs w:val="24"/>
        </w:rPr>
        <w:t xml:space="preserve">contra el titular del Juzgado Primero Penal del Circuito Especializado de esta capital; en consecuencia, se dispone que la actuación retorne al citado despacho para que se continúe el trámite de ley. </w:t>
      </w:r>
    </w:p>
    <w:p w14:paraId="5FD0667A" w14:textId="77777777" w:rsidR="00012398" w:rsidRPr="00236485" w:rsidRDefault="00012398" w:rsidP="00236485">
      <w:pPr>
        <w:rPr>
          <w:spacing w:val="-2"/>
          <w:sz w:val="24"/>
          <w:szCs w:val="24"/>
          <w:lang w:val="es-ES_tradnl"/>
        </w:rPr>
      </w:pPr>
    </w:p>
    <w:p w14:paraId="58F84284" w14:textId="77777777" w:rsidR="00012398" w:rsidRPr="00236485" w:rsidRDefault="00012398" w:rsidP="00236485">
      <w:pPr>
        <w:rPr>
          <w:spacing w:val="-2"/>
          <w:sz w:val="24"/>
          <w:szCs w:val="24"/>
          <w:lang w:val="es-ES_tradnl"/>
        </w:rPr>
      </w:pPr>
      <w:r w:rsidRPr="00236485">
        <w:rPr>
          <w:spacing w:val="-2"/>
          <w:sz w:val="24"/>
          <w:szCs w:val="24"/>
          <w:lang w:val="es-ES_tradnl"/>
        </w:rPr>
        <w:t>Contra la presente determinación no procede recurso alguno.</w:t>
      </w:r>
    </w:p>
    <w:p w14:paraId="18ACB854" w14:textId="77777777" w:rsidR="00236485" w:rsidRPr="00236485" w:rsidRDefault="00236485" w:rsidP="00236485">
      <w:pPr>
        <w:overflowPunct/>
        <w:autoSpaceDE/>
        <w:autoSpaceDN/>
        <w:adjustRightInd/>
        <w:textAlignment w:val="auto"/>
        <w:rPr>
          <w:rFonts w:eastAsia="SimSun"/>
          <w:position w:val="-6"/>
          <w:sz w:val="24"/>
          <w:szCs w:val="24"/>
          <w:lang w:eastAsia="es-MX"/>
        </w:rPr>
      </w:pPr>
      <w:bookmarkStart w:id="1" w:name="_Hlk139017540"/>
    </w:p>
    <w:p w14:paraId="35281E3F" w14:textId="77777777" w:rsidR="00236485" w:rsidRPr="00236485" w:rsidRDefault="00236485" w:rsidP="00236485">
      <w:pPr>
        <w:overflowPunct/>
        <w:autoSpaceDE/>
        <w:autoSpaceDN/>
        <w:adjustRightInd/>
        <w:textAlignment w:val="auto"/>
        <w:rPr>
          <w:rFonts w:ascii="Algerian" w:hAnsi="Algerian"/>
          <w:sz w:val="30"/>
          <w:szCs w:val="20"/>
          <w:lang w:eastAsia="es-MX"/>
        </w:rPr>
      </w:pPr>
      <w:r w:rsidRPr="00236485">
        <w:rPr>
          <w:rFonts w:ascii="Algerian" w:hAnsi="Algerian"/>
          <w:sz w:val="30"/>
          <w:szCs w:val="20"/>
          <w:lang w:eastAsia="es-MX"/>
        </w:rPr>
        <w:t>COMUNÍQUESE Y CÚMPLASE</w:t>
      </w:r>
    </w:p>
    <w:p w14:paraId="5F1D2569" w14:textId="77777777" w:rsidR="00236485" w:rsidRPr="00236485" w:rsidRDefault="00236485" w:rsidP="00236485">
      <w:pPr>
        <w:overflowPunct/>
        <w:autoSpaceDE/>
        <w:autoSpaceDN/>
        <w:adjustRightInd/>
        <w:textAlignment w:val="auto"/>
        <w:rPr>
          <w:position w:val="-6"/>
          <w:sz w:val="24"/>
          <w:szCs w:val="24"/>
          <w:lang w:eastAsia="es-MX"/>
        </w:rPr>
      </w:pPr>
    </w:p>
    <w:p w14:paraId="7C3114C4" w14:textId="77777777" w:rsidR="00236485" w:rsidRPr="00236485" w:rsidRDefault="00236485" w:rsidP="00236485">
      <w:pPr>
        <w:overflowPunct/>
        <w:autoSpaceDE/>
        <w:autoSpaceDN/>
        <w:adjustRightInd/>
        <w:textAlignment w:val="auto"/>
        <w:rPr>
          <w:position w:val="-4"/>
          <w:sz w:val="24"/>
          <w:szCs w:val="24"/>
          <w:lang w:eastAsia="es-MX"/>
        </w:rPr>
      </w:pPr>
    </w:p>
    <w:p w14:paraId="01F6AB6D" w14:textId="053888D9" w:rsidR="00236485" w:rsidRPr="00236485" w:rsidRDefault="00236485" w:rsidP="00236485">
      <w:pPr>
        <w:overflowPunct/>
        <w:autoSpaceDE/>
        <w:autoSpaceDN/>
        <w:adjustRightInd/>
        <w:jc w:val="center"/>
        <w:textAlignment w:val="auto"/>
        <w:rPr>
          <w:b/>
          <w:position w:val="-4"/>
          <w:sz w:val="24"/>
          <w:szCs w:val="24"/>
          <w:lang w:val="es-ES_tradnl" w:eastAsia="es-MX"/>
        </w:rPr>
      </w:pPr>
      <w:r w:rsidRPr="00236485">
        <w:rPr>
          <w:b/>
          <w:position w:val="-4"/>
          <w:sz w:val="24"/>
          <w:szCs w:val="24"/>
          <w:lang w:val="es-ES_tradnl" w:eastAsia="es-MX"/>
        </w:rPr>
        <w:t xml:space="preserve">CARLOS </w:t>
      </w:r>
      <w:r w:rsidR="00910B1D" w:rsidRPr="00910B1D">
        <w:rPr>
          <w:b/>
          <w:position w:val="-4"/>
          <w:sz w:val="24"/>
          <w:szCs w:val="24"/>
          <w:lang w:val="es-ES_tradnl" w:eastAsia="es-MX"/>
        </w:rPr>
        <w:t xml:space="preserve">ALBERTO </w:t>
      </w:r>
      <w:r w:rsidRPr="00236485">
        <w:rPr>
          <w:b/>
          <w:position w:val="-4"/>
          <w:sz w:val="24"/>
          <w:szCs w:val="24"/>
          <w:lang w:val="es-ES_tradnl" w:eastAsia="es-MX"/>
        </w:rPr>
        <w:t>PAZ ZÚÑIGA</w:t>
      </w:r>
    </w:p>
    <w:p w14:paraId="6F1B30C3" w14:textId="77777777" w:rsidR="00236485" w:rsidRPr="00236485" w:rsidRDefault="00236485" w:rsidP="00236485">
      <w:pPr>
        <w:overflowPunct/>
        <w:autoSpaceDE/>
        <w:autoSpaceDN/>
        <w:adjustRightInd/>
        <w:jc w:val="center"/>
        <w:textAlignment w:val="auto"/>
        <w:rPr>
          <w:position w:val="-4"/>
          <w:sz w:val="24"/>
          <w:szCs w:val="24"/>
          <w:lang w:val="es-ES_tradnl" w:eastAsia="es-MX"/>
        </w:rPr>
      </w:pPr>
      <w:r w:rsidRPr="00236485">
        <w:rPr>
          <w:position w:val="-4"/>
          <w:sz w:val="24"/>
          <w:szCs w:val="24"/>
          <w:lang w:val="es-ES_tradnl" w:eastAsia="es-MX"/>
        </w:rPr>
        <w:t xml:space="preserve">Magistrado </w:t>
      </w:r>
    </w:p>
    <w:p w14:paraId="012AA394" w14:textId="77777777" w:rsidR="00236485" w:rsidRPr="00236485" w:rsidRDefault="00236485" w:rsidP="00236485">
      <w:pPr>
        <w:overflowPunct/>
        <w:autoSpaceDE/>
        <w:autoSpaceDN/>
        <w:adjustRightInd/>
        <w:textAlignment w:val="auto"/>
        <w:rPr>
          <w:position w:val="-4"/>
          <w:sz w:val="24"/>
          <w:szCs w:val="24"/>
          <w:lang w:val="es-ES_tradnl" w:eastAsia="es-MX"/>
        </w:rPr>
      </w:pPr>
    </w:p>
    <w:p w14:paraId="5BD21D2F" w14:textId="77777777" w:rsidR="00236485" w:rsidRPr="00236485" w:rsidRDefault="00236485" w:rsidP="00236485">
      <w:pPr>
        <w:overflowPunct/>
        <w:autoSpaceDE/>
        <w:autoSpaceDN/>
        <w:adjustRightInd/>
        <w:textAlignment w:val="auto"/>
        <w:rPr>
          <w:position w:val="-4"/>
          <w:sz w:val="24"/>
          <w:szCs w:val="24"/>
          <w:lang w:val="es-ES_tradnl" w:eastAsia="es-MX"/>
        </w:rPr>
      </w:pPr>
    </w:p>
    <w:p w14:paraId="26B68BAA" w14:textId="77777777" w:rsidR="00236485" w:rsidRPr="00236485" w:rsidRDefault="00236485" w:rsidP="00236485">
      <w:pPr>
        <w:overflowPunct/>
        <w:autoSpaceDE/>
        <w:autoSpaceDN/>
        <w:adjustRightInd/>
        <w:jc w:val="center"/>
        <w:textAlignment w:val="auto"/>
        <w:rPr>
          <w:b/>
          <w:position w:val="-4"/>
          <w:sz w:val="24"/>
          <w:szCs w:val="24"/>
          <w:lang w:val="es-ES_tradnl" w:eastAsia="es-MX"/>
        </w:rPr>
      </w:pPr>
      <w:r w:rsidRPr="00236485">
        <w:rPr>
          <w:b/>
          <w:position w:val="-4"/>
          <w:sz w:val="24"/>
          <w:szCs w:val="24"/>
          <w:lang w:val="es-ES_tradnl" w:eastAsia="es-MX"/>
        </w:rPr>
        <w:t>JULIÁN RIVERA LOAIZA</w:t>
      </w:r>
    </w:p>
    <w:p w14:paraId="4418B3CD" w14:textId="77777777" w:rsidR="00236485" w:rsidRPr="00236485" w:rsidRDefault="00236485" w:rsidP="00236485">
      <w:pPr>
        <w:overflowPunct/>
        <w:autoSpaceDE/>
        <w:autoSpaceDN/>
        <w:adjustRightInd/>
        <w:jc w:val="center"/>
        <w:textAlignment w:val="auto"/>
        <w:rPr>
          <w:position w:val="-4"/>
          <w:sz w:val="24"/>
          <w:szCs w:val="24"/>
          <w:lang w:val="es-ES_tradnl" w:eastAsia="es-MX"/>
        </w:rPr>
      </w:pPr>
      <w:r w:rsidRPr="00236485">
        <w:rPr>
          <w:position w:val="-4"/>
          <w:sz w:val="24"/>
          <w:szCs w:val="24"/>
          <w:lang w:val="es-ES_tradnl" w:eastAsia="es-MX"/>
        </w:rPr>
        <w:t xml:space="preserve">Magistrado </w:t>
      </w:r>
    </w:p>
    <w:p w14:paraId="02B69E69" w14:textId="77777777" w:rsidR="00236485" w:rsidRPr="00236485" w:rsidRDefault="00236485" w:rsidP="00236485">
      <w:pPr>
        <w:overflowPunct/>
        <w:autoSpaceDE/>
        <w:autoSpaceDN/>
        <w:adjustRightInd/>
        <w:textAlignment w:val="auto"/>
        <w:rPr>
          <w:position w:val="-4"/>
          <w:sz w:val="24"/>
          <w:szCs w:val="24"/>
          <w:lang w:val="es-ES_tradnl" w:eastAsia="es-MX"/>
        </w:rPr>
      </w:pPr>
    </w:p>
    <w:p w14:paraId="32E7DAF1" w14:textId="77777777" w:rsidR="00236485" w:rsidRPr="00236485" w:rsidRDefault="00236485" w:rsidP="00236485">
      <w:pPr>
        <w:overflowPunct/>
        <w:autoSpaceDE/>
        <w:autoSpaceDN/>
        <w:adjustRightInd/>
        <w:textAlignment w:val="auto"/>
        <w:rPr>
          <w:position w:val="-4"/>
          <w:sz w:val="24"/>
          <w:szCs w:val="24"/>
          <w:lang w:val="es-ES_tradnl" w:eastAsia="es-MX"/>
        </w:rPr>
      </w:pPr>
    </w:p>
    <w:p w14:paraId="03C71D42" w14:textId="77777777" w:rsidR="00236485" w:rsidRPr="00236485" w:rsidRDefault="00236485" w:rsidP="00236485">
      <w:pPr>
        <w:overflowPunct/>
        <w:autoSpaceDE/>
        <w:autoSpaceDN/>
        <w:adjustRightInd/>
        <w:jc w:val="center"/>
        <w:textAlignment w:val="auto"/>
        <w:rPr>
          <w:b/>
          <w:position w:val="-4"/>
          <w:sz w:val="24"/>
          <w:szCs w:val="24"/>
          <w:lang w:val="es-ES_tradnl" w:eastAsia="es-MX"/>
        </w:rPr>
      </w:pPr>
      <w:r w:rsidRPr="00236485">
        <w:rPr>
          <w:b/>
          <w:position w:val="-4"/>
          <w:sz w:val="24"/>
          <w:szCs w:val="24"/>
          <w:lang w:val="es-ES_tradnl" w:eastAsia="es-MX"/>
        </w:rPr>
        <w:t xml:space="preserve">MANUEL </w:t>
      </w:r>
      <w:proofErr w:type="spellStart"/>
      <w:r w:rsidRPr="00236485">
        <w:rPr>
          <w:b/>
          <w:position w:val="-4"/>
          <w:sz w:val="24"/>
          <w:szCs w:val="24"/>
          <w:lang w:val="es-ES_tradnl" w:eastAsia="es-MX"/>
        </w:rPr>
        <w:t>YARZAGARAY</w:t>
      </w:r>
      <w:proofErr w:type="spellEnd"/>
      <w:r w:rsidRPr="00236485">
        <w:rPr>
          <w:b/>
          <w:position w:val="-4"/>
          <w:sz w:val="24"/>
          <w:szCs w:val="24"/>
          <w:lang w:val="es-ES_tradnl" w:eastAsia="es-MX"/>
        </w:rPr>
        <w:t xml:space="preserve"> BANDERA</w:t>
      </w:r>
    </w:p>
    <w:p w14:paraId="1076D94C" w14:textId="4312ECA0" w:rsidR="00012398" w:rsidRPr="00236485" w:rsidRDefault="00236485" w:rsidP="00236485">
      <w:pPr>
        <w:overflowPunct/>
        <w:autoSpaceDE/>
        <w:autoSpaceDN/>
        <w:adjustRightInd/>
        <w:jc w:val="center"/>
        <w:textAlignment w:val="auto"/>
        <w:rPr>
          <w:position w:val="-4"/>
          <w:sz w:val="24"/>
          <w:szCs w:val="24"/>
          <w:lang w:val="es-ES_tradnl" w:eastAsia="es-MX"/>
        </w:rPr>
      </w:pPr>
      <w:r w:rsidRPr="00236485">
        <w:rPr>
          <w:position w:val="-4"/>
          <w:sz w:val="24"/>
          <w:szCs w:val="24"/>
          <w:lang w:val="es-ES_tradnl" w:eastAsia="es-MX"/>
        </w:rPr>
        <w:t>Magistrado</w:t>
      </w:r>
      <w:bookmarkEnd w:id="1"/>
    </w:p>
    <w:sectPr w:rsidR="00012398" w:rsidRPr="00236485" w:rsidSect="002F4784">
      <w:headerReference w:type="default" r:id="rId7"/>
      <w:footerReference w:type="default" r:id="rId8"/>
      <w:pgSz w:w="12242" w:h="18722" w:code="258"/>
      <w:pgMar w:top="1871" w:right="1304" w:bottom="1304"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F9AF7" w14:textId="77777777" w:rsidR="008D03AC" w:rsidRDefault="008D03AC" w:rsidP="00012398">
      <w:pPr>
        <w:spacing w:line="240" w:lineRule="auto"/>
      </w:pPr>
      <w:r>
        <w:separator/>
      </w:r>
    </w:p>
    <w:p w14:paraId="0568CCCD" w14:textId="77777777" w:rsidR="008D03AC" w:rsidRDefault="008D03AC"/>
    <w:p w14:paraId="20858A80" w14:textId="77777777" w:rsidR="008D03AC" w:rsidRDefault="008D03AC"/>
    <w:p w14:paraId="3E1F028D" w14:textId="77777777" w:rsidR="008D03AC" w:rsidRDefault="008D03AC"/>
    <w:p w14:paraId="46B1C1F3" w14:textId="77777777" w:rsidR="008D03AC" w:rsidRDefault="008D03AC" w:rsidP="00236485"/>
    <w:p w14:paraId="2C6A623E" w14:textId="77777777" w:rsidR="008D03AC" w:rsidRDefault="008D03AC" w:rsidP="00236485"/>
    <w:p w14:paraId="0847ABA2" w14:textId="77777777" w:rsidR="008D03AC" w:rsidRDefault="008D03AC"/>
  </w:endnote>
  <w:endnote w:type="continuationSeparator" w:id="0">
    <w:p w14:paraId="7553443A" w14:textId="77777777" w:rsidR="008D03AC" w:rsidRDefault="008D03AC" w:rsidP="00012398">
      <w:pPr>
        <w:spacing w:line="240" w:lineRule="auto"/>
      </w:pPr>
      <w:r>
        <w:continuationSeparator/>
      </w:r>
    </w:p>
    <w:p w14:paraId="166D48BA" w14:textId="77777777" w:rsidR="008D03AC" w:rsidRDefault="008D03AC"/>
    <w:p w14:paraId="798BD185" w14:textId="77777777" w:rsidR="008D03AC" w:rsidRDefault="008D03AC"/>
    <w:p w14:paraId="03F1E63D" w14:textId="77777777" w:rsidR="008D03AC" w:rsidRDefault="008D03AC"/>
    <w:p w14:paraId="721A5CA4" w14:textId="77777777" w:rsidR="008D03AC" w:rsidRDefault="008D03AC" w:rsidP="00236485"/>
    <w:p w14:paraId="7860FF67" w14:textId="77777777" w:rsidR="008D03AC" w:rsidRDefault="008D03AC" w:rsidP="00236485"/>
    <w:p w14:paraId="3C330E20" w14:textId="77777777" w:rsidR="008D03AC" w:rsidRDefault="008D0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223B0" w14:textId="1FE17237" w:rsidR="004F4E58" w:rsidRPr="002F4784" w:rsidRDefault="00A357D6" w:rsidP="002F4784">
    <w:pPr>
      <w:pStyle w:val="Encabezado"/>
      <w:jc w:val="right"/>
      <w:rPr>
        <w:rFonts w:ascii="Arial" w:hAnsi="Arial" w:cs="Arial"/>
        <w:sz w:val="18"/>
        <w:szCs w:val="16"/>
      </w:rPr>
    </w:pPr>
    <w:r w:rsidRPr="002F4784">
      <w:rPr>
        <w:rFonts w:ascii="Arial" w:hAnsi="Arial" w:cs="Arial"/>
        <w:sz w:val="18"/>
        <w:szCs w:val="16"/>
      </w:rPr>
      <w:t xml:space="preserve">Página </w:t>
    </w:r>
    <w:r w:rsidRPr="002F4784">
      <w:rPr>
        <w:rFonts w:ascii="Arial" w:hAnsi="Arial" w:cs="Arial"/>
        <w:sz w:val="18"/>
        <w:szCs w:val="16"/>
      </w:rPr>
      <w:fldChar w:fldCharType="begin"/>
    </w:r>
    <w:r w:rsidRPr="002F4784">
      <w:rPr>
        <w:rFonts w:ascii="Arial" w:hAnsi="Arial" w:cs="Arial"/>
        <w:sz w:val="18"/>
        <w:szCs w:val="16"/>
      </w:rPr>
      <w:instrText>PAGE  \* Arabic  \* MERGEFORMAT</w:instrText>
    </w:r>
    <w:r w:rsidRPr="002F4784">
      <w:rPr>
        <w:rFonts w:ascii="Arial" w:hAnsi="Arial" w:cs="Arial"/>
        <w:sz w:val="18"/>
        <w:szCs w:val="16"/>
      </w:rPr>
      <w:fldChar w:fldCharType="separate"/>
    </w:r>
    <w:r w:rsidR="00C5642A">
      <w:rPr>
        <w:rFonts w:ascii="Arial" w:hAnsi="Arial" w:cs="Arial"/>
        <w:noProof/>
        <w:sz w:val="18"/>
        <w:szCs w:val="16"/>
      </w:rPr>
      <w:t>2</w:t>
    </w:r>
    <w:r w:rsidRPr="002F4784">
      <w:rPr>
        <w:rFonts w:ascii="Arial" w:hAnsi="Arial" w:cs="Arial"/>
        <w:sz w:val="18"/>
        <w:szCs w:val="16"/>
      </w:rPr>
      <w:fldChar w:fldCharType="end"/>
    </w:r>
    <w:r w:rsidRPr="002F4784">
      <w:rPr>
        <w:rFonts w:ascii="Arial" w:hAnsi="Arial" w:cs="Arial"/>
        <w:sz w:val="18"/>
        <w:szCs w:val="16"/>
      </w:rPr>
      <w:t xml:space="preserve"> de </w:t>
    </w:r>
    <w:r w:rsidRPr="002F4784">
      <w:rPr>
        <w:rFonts w:ascii="Arial" w:hAnsi="Arial" w:cs="Arial"/>
        <w:sz w:val="18"/>
        <w:szCs w:val="16"/>
      </w:rPr>
      <w:fldChar w:fldCharType="begin"/>
    </w:r>
    <w:r w:rsidRPr="002F4784">
      <w:rPr>
        <w:rFonts w:ascii="Arial" w:hAnsi="Arial" w:cs="Arial"/>
        <w:sz w:val="18"/>
        <w:szCs w:val="16"/>
      </w:rPr>
      <w:instrText>NUMPAGES  \* Arabic  \* MERGEFORMAT</w:instrText>
    </w:r>
    <w:r w:rsidRPr="002F4784">
      <w:rPr>
        <w:rFonts w:ascii="Arial" w:hAnsi="Arial" w:cs="Arial"/>
        <w:sz w:val="18"/>
        <w:szCs w:val="16"/>
      </w:rPr>
      <w:fldChar w:fldCharType="separate"/>
    </w:r>
    <w:r w:rsidR="00C5642A">
      <w:rPr>
        <w:rFonts w:ascii="Arial" w:hAnsi="Arial" w:cs="Arial"/>
        <w:noProof/>
        <w:sz w:val="18"/>
        <w:szCs w:val="16"/>
      </w:rPr>
      <w:t>10</w:t>
    </w:r>
    <w:r w:rsidRPr="002F4784">
      <w:rPr>
        <w:rFonts w:ascii="Arial" w:hAnsi="Arial" w:cs="Arial"/>
        <w:sz w:val="18"/>
        <w:szCs w:val="16"/>
      </w:rPr>
      <w:fldChar w:fldCharType="end"/>
    </w:r>
  </w:p>
  <w:p w14:paraId="1FA61A41" w14:textId="77777777" w:rsidR="00000000" w:rsidRDefault="008D03A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9F220" w14:textId="77777777" w:rsidR="008D03AC" w:rsidRDefault="008D03AC" w:rsidP="00012398">
      <w:pPr>
        <w:spacing w:line="240" w:lineRule="auto"/>
      </w:pPr>
      <w:r>
        <w:separator/>
      </w:r>
    </w:p>
    <w:p w14:paraId="685A6ABF" w14:textId="77777777" w:rsidR="008D03AC" w:rsidRDefault="008D03AC"/>
    <w:p w14:paraId="6FBE1945" w14:textId="77777777" w:rsidR="008D03AC" w:rsidRDefault="008D03AC"/>
    <w:p w14:paraId="6ADC5DE1" w14:textId="77777777" w:rsidR="008D03AC" w:rsidRDefault="008D03AC"/>
    <w:p w14:paraId="230A7DA5" w14:textId="77777777" w:rsidR="008D03AC" w:rsidRDefault="008D03AC" w:rsidP="00236485"/>
    <w:p w14:paraId="6482F4FC" w14:textId="77777777" w:rsidR="008D03AC" w:rsidRDefault="008D03AC" w:rsidP="00236485"/>
    <w:p w14:paraId="0EFD63C8" w14:textId="77777777" w:rsidR="008D03AC" w:rsidRDefault="008D03AC"/>
  </w:footnote>
  <w:footnote w:type="continuationSeparator" w:id="0">
    <w:p w14:paraId="040FD66C" w14:textId="77777777" w:rsidR="008D03AC" w:rsidRDefault="008D03AC" w:rsidP="00012398">
      <w:pPr>
        <w:spacing w:line="240" w:lineRule="auto"/>
      </w:pPr>
      <w:r>
        <w:continuationSeparator/>
      </w:r>
    </w:p>
    <w:p w14:paraId="6EA1A79A" w14:textId="77777777" w:rsidR="008D03AC" w:rsidRDefault="008D03AC"/>
    <w:p w14:paraId="4AA7ABE4" w14:textId="77777777" w:rsidR="008D03AC" w:rsidRDefault="008D03AC"/>
    <w:p w14:paraId="1D7A27DE" w14:textId="77777777" w:rsidR="008D03AC" w:rsidRDefault="008D03AC"/>
    <w:p w14:paraId="7258218C" w14:textId="77777777" w:rsidR="008D03AC" w:rsidRDefault="008D03AC" w:rsidP="00236485"/>
    <w:p w14:paraId="3A0BF703" w14:textId="77777777" w:rsidR="008D03AC" w:rsidRDefault="008D03AC" w:rsidP="00236485"/>
    <w:p w14:paraId="7810115E" w14:textId="77777777" w:rsidR="008D03AC" w:rsidRDefault="008D03AC"/>
  </w:footnote>
  <w:footnote w:id="1">
    <w:p w14:paraId="263AB333" w14:textId="77777777" w:rsidR="00A357D6" w:rsidRPr="009307D1" w:rsidRDefault="00A357D6" w:rsidP="009307D1">
      <w:pPr>
        <w:pStyle w:val="Textonotapie"/>
        <w:spacing w:line="240" w:lineRule="auto"/>
        <w:rPr>
          <w:rFonts w:ascii="Arial" w:hAnsi="Arial" w:cs="Arial"/>
          <w:sz w:val="18"/>
          <w:szCs w:val="18"/>
        </w:rPr>
      </w:pPr>
      <w:r w:rsidRPr="009307D1">
        <w:rPr>
          <w:rFonts w:ascii="Arial" w:hAnsi="Arial" w:cs="Arial"/>
          <w:sz w:val="18"/>
          <w:szCs w:val="18"/>
          <w:vertAlign w:val="superscript"/>
        </w:rPr>
        <w:footnoteRef/>
      </w:r>
      <w:r w:rsidRPr="009307D1">
        <w:rPr>
          <w:rFonts w:ascii="Arial" w:hAnsi="Arial" w:cs="Arial"/>
          <w:sz w:val="18"/>
          <w:szCs w:val="18"/>
        </w:rPr>
        <w:t xml:space="preserve"> En agosto 01 de 2023, procedió a aclarar el descubrimiento probatorio relacionado en el escrito acusatorio.</w:t>
      </w:r>
    </w:p>
  </w:footnote>
  <w:footnote w:id="2">
    <w:p w14:paraId="34F966A6" w14:textId="77777777" w:rsidR="00A357D6" w:rsidRPr="009307D1" w:rsidRDefault="00A357D6" w:rsidP="009307D1">
      <w:pPr>
        <w:pStyle w:val="Textonotapie"/>
        <w:spacing w:line="240" w:lineRule="auto"/>
        <w:rPr>
          <w:rFonts w:ascii="Arial" w:hAnsi="Arial" w:cs="Arial"/>
          <w:sz w:val="18"/>
          <w:szCs w:val="18"/>
        </w:rPr>
      </w:pPr>
      <w:r w:rsidRPr="009307D1">
        <w:rPr>
          <w:rFonts w:ascii="Arial" w:hAnsi="Arial" w:cs="Arial"/>
          <w:sz w:val="18"/>
          <w:szCs w:val="18"/>
          <w:vertAlign w:val="superscript"/>
        </w:rPr>
        <w:footnoteRef/>
      </w:r>
      <w:r w:rsidRPr="009307D1">
        <w:rPr>
          <w:rFonts w:ascii="Arial" w:hAnsi="Arial" w:cs="Arial"/>
          <w:sz w:val="18"/>
          <w:szCs w:val="18"/>
        </w:rPr>
        <w:t xml:space="preserve"> </w:t>
      </w:r>
      <w:proofErr w:type="spellStart"/>
      <w:r w:rsidRPr="009307D1">
        <w:rPr>
          <w:rFonts w:ascii="Arial" w:hAnsi="Arial" w:cs="Arial"/>
          <w:sz w:val="18"/>
          <w:szCs w:val="18"/>
        </w:rPr>
        <w:t>TSP</w:t>
      </w:r>
      <w:proofErr w:type="spellEnd"/>
      <w:r w:rsidRPr="009307D1">
        <w:rPr>
          <w:rFonts w:ascii="Arial" w:hAnsi="Arial" w:cs="Arial"/>
          <w:sz w:val="18"/>
          <w:szCs w:val="18"/>
        </w:rPr>
        <w:t xml:space="preserve"> AP, 26 jul. 2023, rad. 664406000000 2022 00001 01.</w:t>
      </w:r>
    </w:p>
  </w:footnote>
  <w:footnote w:id="3">
    <w:p w14:paraId="5EE3ADD8" w14:textId="77777777" w:rsidR="00A357D6" w:rsidRPr="009307D1" w:rsidRDefault="00A357D6" w:rsidP="009307D1">
      <w:pPr>
        <w:pStyle w:val="Textonotapie"/>
        <w:spacing w:line="240" w:lineRule="auto"/>
        <w:rPr>
          <w:rFonts w:ascii="Arial" w:hAnsi="Arial" w:cs="Arial"/>
          <w:sz w:val="18"/>
          <w:szCs w:val="18"/>
        </w:rPr>
      </w:pPr>
      <w:r w:rsidRPr="009307D1">
        <w:rPr>
          <w:rFonts w:ascii="Arial" w:hAnsi="Arial" w:cs="Arial"/>
          <w:sz w:val="18"/>
          <w:szCs w:val="18"/>
          <w:vertAlign w:val="superscript"/>
        </w:rPr>
        <w:footnoteRef/>
      </w:r>
      <w:r w:rsidRPr="009307D1">
        <w:rPr>
          <w:rFonts w:ascii="Arial" w:hAnsi="Arial" w:cs="Arial"/>
          <w:sz w:val="18"/>
          <w:szCs w:val="18"/>
        </w:rPr>
        <w:t xml:space="preserve"> Sentencias T-176 de 2009, T-080 de 2006, T-266 de 1999; Autos A-039 de 2010, y A-169 de 2009.</w:t>
      </w:r>
    </w:p>
  </w:footnote>
  <w:footnote w:id="4">
    <w:p w14:paraId="5F911281" w14:textId="77777777" w:rsidR="00A357D6" w:rsidRPr="00D244CF" w:rsidRDefault="00A357D6" w:rsidP="009307D1">
      <w:pPr>
        <w:pStyle w:val="Textonotapie"/>
        <w:spacing w:line="240" w:lineRule="auto"/>
        <w:rPr>
          <w:rFonts w:ascii="Arial" w:hAnsi="Arial" w:cs="Arial"/>
          <w:sz w:val="18"/>
          <w:szCs w:val="18"/>
          <w:lang w:val="es-CO"/>
        </w:rPr>
      </w:pPr>
      <w:r w:rsidRPr="009307D1">
        <w:rPr>
          <w:rFonts w:ascii="Arial" w:hAnsi="Arial" w:cs="Arial"/>
          <w:sz w:val="18"/>
          <w:szCs w:val="18"/>
          <w:vertAlign w:val="superscript"/>
        </w:rPr>
        <w:footnoteRef/>
      </w:r>
      <w:r w:rsidRPr="009307D1">
        <w:rPr>
          <w:rFonts w:ascii="Arial" w:hAnsi="Arial" w:cs="Arial"/>
          <w:sz w:val="18"/>
          <w:szCs w:val="18"/>
        </w:rPr>
        <w:t xml:space="preserve"> Corte </w:t>
      </w:r>
      <w:r w:rsidRPr="00D244CF">
        <w:rPr>
          <w:rFonts w:ascii="Arial" w:hAnsi="Arial" w:cs="Arial"/>
          <w:sz w:val="18"/>
          <w:szCs w:val="18"/>
          <w:lang w:val="es-CO"/>
        </w:rPr>
        <w:t>Constitucional, sentencia T- 080 de 2006, reiterada en auto 169 de 2009.</w:t>
      </w:r>
    </w:p>
  </w:footnote>
  <w:footnote w:id="5">
    <w:p w14:paraId="5B7FD34D" w14:textId="77777777" w:rsidR="00A357D6" w:rsidRPr="00D244CF" w:rsidRDefault="00A357D6" w:rsidP="009307D1">
      <w:pPr>
        <w:spacing w:line="240" w:lineRule="auto"/>
        <w:rPr>
          <w:rFonts w:ascii="Arial" w:hAnsi="Arial" w:cs="Arial"/>
          <w:sz w:val="18"/>
          <w:szCs w:val="18"/>
          <w:lang w:val="es-CO"/>
        </w:rPr>
      </w:pPr>
      <w:r w:rsidRPr="00D244CF">
        <w:rPr>
          <w:rFonts w:ascii="Arial" w:hAnsi="Arial" w:cs="Arial"/>
          <w:sz w:val="18"/>
          <w:szCs w:val="18"/>
          <w:vertAlign w:val="superscript"/>
          <w:lang w:val="es-CO"/>
        </w:rPr>
        <w:footnoteRef/>
      </w:r>
      <w:r w:rsidRPr="00D244CF">
        <w:rPr>
          <w:rFonts w:ascii="Arial" w:hAnsi="Arial" w:cs="Arial"/>
          <w:sz w:val="18"/>
          <w:szCs w:val="18"/>
          <w:lang w:val="es-CO"/>
        </w:rPr>
        <w:t xml:space="preserve"> CSJ AP, 10 sept. 2014, Rad. 44356, entre otras</w:t>
      </w:r>
    </w:p>
  </w:footnote>
  <w:footnote w:id="6">
    <w:p w14:paraId="51DA1527" w14:textId="77777777" w:rsidR="00A357D6" w:rsidRPr="009307D1" w:rsidRDefault="00A357D6" w:rsidP="009307D1">
      <w:pPr>
        <w:spacing w:line="240" w:lineRule="auto"/>
        <w:rPr>
          <w:rFonts w:ascii="Arial" w:hAnsi="Arial" w:cs="Arial"/>
          <w:sz w:val="18"/>
          <w:szCs w:val="18"/>
          <w:lang w:val="en-US"/>
        </w:rPr>
      </w:pPr>
      <w:r w:rsidRPr="009307D1">
        <w:rPr>
          <w:rFonts w:ascii="Arial" w:hAnsi="Arial" w:cs="Arial"/>
          <w:sz w:val="18"/>
          <w:szCs w:val="18"/>
          <w:vertAlign w:val="superscript"/>
        </w:rPr>
        <w:footnoteRef/>
      </w:r>
      <w:r w:rsidRPr="009307D1">
        <w:rPr>
          <w:rFonts w:ascii="Arial" w:hAnsi="Arial" w:cs="Arial"/>
          <w:sz w:val="18"/>
          <w:szCs w:val="18"/>
          <w:lang w:val="en-US"/>
        </w:rPr>
        <w:t xml:space="preserve"> </w:t>
      </w:r>
      <w:proofErr w:type="spellStart"/>
      <w:r w:rsidRPr="009307D1">
        <w:rPr>
          <w:rFonts w:ascii="Arial" w:hAnsi="Arial" w:cs="Arial"/>
          <w:sz w:val="18"/>
          <w:szCs w:val="18"/>
          <w:lang w:val="en-US"/>
        </w:rPr>
        <w:t>CSJ</w:t>
      </w:r>
      <w:proofErr w:type="spellEnd"/>
      <w:r w:rsidRPr="009307D1">
        <w:rPr>
          <w:rFonts w:ascii="Arial" w:hAnsi="Arial" w:cs="Arial"/>
          <w:sz w:val="18"/>
          <w:szCs w:val="18"/>
          <w:lang w:val="en-US"/>
        </w:rPr>
        <w:t xml:space="preserve"> AP, 14 </w:t>
      </w:r>
      <w:proofErr w:type="gramStart"/>
      <w:r w:rsidRPr="009307D1">
        <w:rPr>
          <w:rFonts w:ascii="Arial" w:hAnsi="Arial" w:cs="Arial"/>
          <w:sz w:val="18"/>
          <w:szCs w:val="18"/>
          <w:lang w:val="en-US"/>
        </w:rPr>
        <w:t>sept</w:t>
      </w:r>
      <w:proofErr w:type="gramEnd"/>
      <w:r w:rsidRPr="009307D1">
        <w:rPr>
          <w:rFonts w:ascii="Arial" w:hAnsi="Arial" w:cs="Arial"/>
          <w:sz w:val="18"/>
          <w:szCs w:val="18"/>
          <w:lang w:val="en-US"/>
        </w:rPr>
        <w:t>. 2016, Rad. 48848</w:t>
      </w:r>
    </w:p>
  </w:footnote>
  <w:footnote w:id="7">
    <w:p w14:paraId="366A4D63" w14:textId="77777777" w:rsidR="00A357D6" w:rsidRPr="009307D1" w:rsidRDefault="00A357D6" w:rsidP="009307D1">
      <w:pPr>
        <w:pStyle w:val="Textonotapie"/>
        <w:spacing w:line="240" w:lineRule="auto"/>
        <w:rPr>
          <w:rFonts w:ascii="Arial" w:hAnsi="Arial" w:cs="Arial"/>
          <w:sz w:val="18"/>
          <w:szCs w:val="18"/>
          <w:lang w:val="en-US"/>
        </w:rPr>
      </w:pPr>
      <w:r w:rsidRPr="009307D1">
        <w:rPr>
          <w:rStyle w:val="Refdenotaalpie"/>
          <w:rFonts w:ascii="Arial" w:hAnsi="Arial" w:cs="Arial"/>
          <w:sz w:val="18"/>
          <w:szCs w:val="18"/>
        </w:rPr>
        <w:footnoteRef/>
      </w:r>
      <w:r w:rsidRPr="009307D1">
        <w:rPr>
          <w:rFonts w:ascii="Arial" w:hAnsi="Arial" w:cs="Arial"/>
          <w:sz w:val="18"/>
          <w:szCs w:val="18"/>
          <w:lang w:val="en-US"/>
        </w:rPr>
        <w:t xml:space="preserve"> </w:t>
      </w:r>
      <w:proofErr w:type="spellStart"/>
      <w:r w:rsidRPr="009307D1">
        <w:rPr>
          <w:rFonts w:ascii="Arial" w:hAnsi="Arial" w:cs="Arial"/>
          <w:sz w:val="18"/>
          <w:szCs w:val="18"/>
          <w:lang w:val="en-US"/>
        </w:rPr>
        <w:t>CSJ</w:t>
      </w:r>
      <w:proofErr w:type="spellEnd"/>
      <w:r w:rsidRPr="009307D1">
        <w:rPr>
          <w:rFonts w:ascii="Arial" w:hAnsi="Arial" w:cs="Arial"/>
          <w:sz w:val="18"/>
          <w:szCs w:val="18"/>
          <w:lang w:val="en-US"/>
        </w:rPr>
        <w:t xml:space="preserve"> AP, 02 </w:t>
      </w:r>
      <w:proofErr w:type="spellStart"/>
      <w:r w:rsidRPr="009307D1">
        <w:rPr>
          <w:rFonts w:ascii="Arial" w:hAnsi="Arial" w:cs="Arial"/>
          <w:sz w:val="18"/>
          <w:szCs w:val="18"/>
          <w:lang w:val="en-US"/>
        </w:rPr>
        <w:t>dic</w:t>
      </w:r>
      <w:proofErr w:type="spellEnd"/>
      <w:r w:rsidRPr="009307D1">
        <w:rPr>
          <w:rFonts w:ascii="Arial" w:hAnsi="Arial" w:cs="Arial"/>
          <w:sz w:val="18"/>
          <w:szCs w:val="18"/>
          <w:lang w:val="en-US"/>
        </w:rPr>
        <w:t>. 2020, rad. 58449.</w:t>
      </w:r>
    </w:p>
  </w:footnote>
  <w:footnote w:id="8">
    <w:p w14:paraId="2727AF1A" w14:textId="77777777" w:rsidR="00A357D6" w:rsidRPr="009307D1" w:rsidRDefault="00A357D6" w:rsidP="009307D1">
      <w:pPr>
        <w:pStyle w:val="Textonotapie"/>
        <w:spacing w:line="240" w:lineRule="auto"/>
        <w:rPr>
          <w:rFonts w:ascii="Arial" w:hAnsi="Arial" w:cs="Arial"/>
          <w:sz w:val="18"/>
          <w:szCs w:val="18"/>
          <w:lang w:val="en-US"/>
        </w:rPr>
      </w:pPr>
      <w:r w:rsidRPr="009307D1">
        <w:rPr>
          <w:rStyle w:val="Refdenotaalpie"/>
          <w:rFonts w:ascii="Arial" w:hAnsi="Arial" w:cs="Arial"/>
          <w:sz w:val="18"/>
          <w:szCs w:val="18"/>
        </w:rPr>
        <w:footnoteRef/>
      </w:r>
      <w:r w:rsidRPr="009307D1">
        <w:rPr>
          <w:rFonts w:ascii="Arial" w:hAnsi="Arial" w:cs="Arial"/>
          <w:sz w:val="18"/>
          <w:szCs w:val="18"/>
          <w:lang w:val="en-US"/>
        </w:rPr>
        <w:t xml:space="preserve"> </w:t>
      </w:r>
      <w:proofErr w:type="spellStart"/>
      <w:r w:rsidRPr="009307D1">
        <w:rPr>
          <w:rFonts w:ascii="Arial" w:hAnsi="Arial" w:cs="Arial"/>
          <w:sz w:val="18"/>
          <w:szCs w:val="18"/>
          <w:lang w:val="en-US"/>
        </w:rPr>
        <w:t>CSJ</w:t>
      </w:r>
      <w:proofErr w:type="spellEnd"/>
      <w:r w:rsidRPr="009307D1">
        <w:rPr>
          <w:rFonts w:ascii="Arial" w:hAnsi="Arial" w:cs="Arial"/>
          <w:sz w:val="18"/>
          <w:szCs w:val="18"/>
          <w:lang w:val="en-US"/>
        </w:rPr>
        <w:t xml:space="preserve"> AP, 03 Sep. 2002, Rad. 19756, </w:t>
      </w:r>
      <w:proofErr w:type="spellStart"/>
      <w:r w:rsidRPr="009307D1">
        <w:rPr>
          <w:rFonts w:ascii="Arial" w:hAnsi="Arial" w:cs="Arial"/>
          <w:sz w:val="18"/>
          <w:szCs w:val="18"/>
          <w:lang w:val="en-US"/>
        </w:rPr>
        <w:t>reiterado</w:t>
      </w:r>
      <w:proofErr w:type="spellEnd"/>
      <w:r w:rsidRPr="009307D1">
        <w:rPr>
          <w:rFonts w:ascii="Arial" w:hAnsi="Arial" w:cs="Arial"/>
          <w:sz w:val="18"/>
          <w:szCs w:val="18"/>
          <w:lang w:val="en-US"/>
        </w:rPr>
        <w:t xml:space="preserve"> </w:t>
      </w:r>
      <w:proofErr w:type="spellStart"/>
      <w:r w:rsidRPr="009307D1">
        <w:rPr>
          <w:rFonts w:ascii="Arial" w:hAnsi="Arial" w:cs="Arial"/>
          <w:sz w:val="18"/>
          <w:szCs w:val="18"/>
          <w:lang w:val="en-US"/>
        </w:rPr>
        <w:t>en</w:t>
      </w:r>
      <w:proofErr w:type="spellEnd"/>
      <w:r w:rsidRPr="009307D1">
        <w:rPr>
          <w:rFonts w:ascii="Arial" w:hAnsi="Arial" w:cs="Arial"/>
          <w:sz w:val="18"/>
          <w:szCs w:val="18"/>
          <w:lang w:val="en-US"/>
        </w:rPr>
        <w:t xml:space="preserve"> </w:t>
      </w:r>
      <w:proofErr w:type="spellStart"/>
      <w:r w:rsidRPr="009307D1">
        <w:rPr>
          <w:rFonts w:ascii="Arial" w:hAnsi="Arial" w:cs="Arial"/>
          <w:sz w:val="18"/>
          <w:szCs w:val="18"/>
          <w:lang w:val="en-US"/>
        </w:rPr>
        <w:t>CSJ</w:t>
      </w:r>
      <w:proofErr w:type="spellEnd"/>
      <w:r w:rsidRPr="009307D1">
        <w:rPr>
          <w:rFonts w:ascii="Arial" w:hAnsi="Arial" w:cs="Arial"/>
          <w:sz w:val="18"/>
          <w:szCs w:val="18"/>
          <w:lang w:val="en-US"/>
        </w:rPr>
        <w:t xml:space="preserve"> </w:t>
      </w:r>
      <w:proofErr w:type="spellStart"/>
      <w:r w:rsidRPr="009307D1">
        <w:rPr>
          <w:rFonts w:ascii="Arial" w:hAnsi="Arial" w:cs="Arial"/>
          <w:color w:val="000000"/>
          <w:sz w:val="18"/>
          <w:szCs w:val="18"/>
          <w:shd w:val="clear" w:color="auto" w:fill="FFFFFF"/>
          <w:lang w:val="en-US"/>
        </w:rPr>
        <w:t>AP2971</w:t>
      </w:r>
      <w:proofErr w:type="spellEnd"/>
      <w:r w:rsidRPr="009307D1">
        <w:rPr>
          <w:rFonts w:ascii="Arial" w:hAnsi="Arial" w:cs="Arial"/>
          <w:color w:val="000000"/>
          <w:sz w:val="18"/>
          <w:szCs w:val="18"/>
          <w:shd w:val="clear" w:color="auto" w:fill="FFFFFF"/>
          <w:lang w:val="en-US"/>
        </w:rPr>
        <w:t xml:space="preserve">-2020, 28 </w:t>
      </w:r>
      <w:proofErr w:type="spellStart"/>
      <w:r w:rsidRPr="009307D1">
        <w:rPr>
          <w:rFonts w:ascii="Arial" w:hAnsi="Arial" w:cs="Arial"/>
          <w:color w:val="000000"/>
          <w:sz w:val="18"/>
          <w:szCs w:val="18"/>
          <w:shd w:val="clear" w:color="auto" w:fill="FFFFFF"/>
          <w:lang w:val="en-US"/>
        </w:rPr>
        <w:t>oct.</w:t>
      </w:r>
      <w:proofErr w:type="spellEnd"/>
      <w:r w:rsidRPr="009307D1">
        <w:rPr>
          <w:rFonts w:ascii="Arial" w:hAnsi="Arial" w:cs="Arial"/>
          <w:color w:val="000000"/>
          <w:sz w:val="18"/>
          <w:szCs w:val="18"/>
          <w:shd w:val="clear" w:color="auto" w:fill="FFFFFF"/>
          <w:lang w:val="en-US"/>
        </w:rPr>
        <w:t xml:space="preserve"> 2020, rad. 58304</w:t>
      </w:r>
      <w:r w:rsidRPr="009307D1">
        <w:rPr>
          <w:rFonts w:ascii="Arial" w:hAnsi="Arial" w:cs="Arial"/>
          <w:sz w:val="18"/>
          <w:szCs w:val="18"/>
          <w:lang w:val="en-US"/>
        </w:rPr>
        <w:t>.</w:t>
      </w:r>
    </w:p>
  </w:footnote>
  <w:footnote w:id="9">
    <w:p w14:paraId="38752DA5" w14:textId="77777777" w:rsidR="00A357D6" w:rsidRPr="009307D1" w:rsidRDefault="00A357D6" w:rsidP="009307D1">
      <w:pPr>
        <w:tabs>
          <w:tab w:val="left" w:pos="1134"/>
        </w:tabs>
        <w:spacing w:line="240" w:lineRule="auto"/>
        <w:rPr>
          <w:rFonts w:ascii="Arial" w:hAnsi="Arial" w:cs="Arial"/>
          <w:sz w:val="18"/>
          <w:szCs w:val="18"/>
          <w:lang w:val="en-US"/>
        </w:rPr>
      </w:pPr>
      <w:r w:rsidRPr="009307D1">
        <w:rPr>
          <w:rStyle w:val="Refdenotaalpie"/>
          <w:rFonts w:ascii="Arial" w:hAnsi="Arial" w:cs="Arial"/>
          <w:sz w:val="18"/>
          <w:szCs w:val="18"/>
        </w:rPr>
        <w:footnoteRef/>
      </w:r>
      <w:r w:rsidRPr="009307D1">
        <w:rPr>
          <w:rFonts w:ascii="Arial" w:hAnsi="Arial" w:cs="Arial"/>
          <w:sz w:val="18"/>
          <w:szCs w:val="18"/>
          <w:lang w:val="en-US"/>
        </w:rPr>
        <w:t xml:space="preserve"> </w:t>
      </w:r>
      <w:proofErr w:type="spellStart"/>
      <w:r w:rsidRPr="009307D1">
        <w:rPr>
          <w:rFonts w:ascii="Arial" w:hAnsi="Arial" w:cs="Arial"/>
          <w:sz w:val="18"/>
          <w:szCs w:val="18"/>
          <w:lang w:val="en-US"/>
        </w:rPr>
        <w:t>CSJ</w:t>
      </w:r>
      <w:proofErr w:type="spellEnd"/>
      <w:r w:rsidRPr="009307D1">
        <w:rPr>
          <w:rFonts w:ascii="Arial" w:hAnsi="Arial" w:cs="Arial"/>
          <w:sz w:val="18"/>
          <w:szCs w:val="18"/>
          <w:lang w:val="en-US"/>
        </w:rPr>
        <w:t xml:space="preserve"> AP 6696-2017.</w:t>
      </w:r>
    </w:p>
  </w:footnote>
  <w:footnote w:id="10">
    <w:p w14:paraId="0264EB70" w14:textId="77777777" w:rsidR="00A357D6" w:rsidRPr="009307D1" w:rsidRDefault="00A357D6" w:rsidP="009307D1">
      <w:pPr>
        <w:pStyle w:val="Textonotapie"/>
        <w:spacing w:line="240" w:lineRule="auto"/>
        <w:rPr>
          <w:rFonts w:ascii="Arial" w:hAnsi="Arial" w:cs="Arial"/>
          <w:sz w:val="18"/>
          <w:szCs w:val="18"/>
          <w:lang w:val="en-US"/>
        </w:rPr>
      </w:pPr>
      <w:r w:rsidRPr="009307D1">
        <w:rPr>
          <w:rStyle w:val="Refdenotaalpie"/>
          <w:rFonts w:ascii="Arial" w:hAnsi="Arial" w:cs="Arial"/>
          <w:sz w:val="18"/>
          <w:szCs w:val="18"/>
        </w:rPr>
        <w:footnoteRef/>
      </w:r>
      <w:r w:rsidRPr="009307D1">
        <w:rPr>
          <w:rFonts w:ascii="Arial" w:hAnsi="Arial" w:cs="Arial"/>
          <w:sz w:val="18"/>
          <w:szCs w:val="18"/>
          <w:lang w:val="en-US"/>
        </w:rPr>
        <w:t xml:space="preserve"> </w:t>
      </w:r>
      <w:proofErr w:type="spellStart"/>
      <w:r w:rsidRPr="009307D1">
        <w:rPr>
          <w:rFonts w:ascii="Arial" w:hAnsi="Arial" w:cs="Arial"/>
          <w:sz w:val="18"/>
          <w:szCs w:val="18"/>
          <w:lang w:val="en-US"/>
        </w:rPr>
        <w:t>CSJ</w:t>
      </w:r>
      <w:proofErr w:type="spellEnd"/>
      <w:r w:rsidRPr="009307D1">
        <w:rPr>
          <w:rFonts w:ascii="Arial" w:hAnsi="Arial" w:cs="Arial"/>
          <w:sz w:val="18"/>
          <w:szCs w:val="18"/>
          <w:lang w:val="en-US"/>
        </w:rPr>
        <w:t xml:space="preserve"> AP 4977-2014.</w:t>
      </w:r>
    </w:p>
  </w:footnote>
  <w:footnote w:id="11">
    <w:p w14:paraId="74A8C8A7" w14:textId="77777777" w:rsidR="00A357D6" w:rsidRPr="009307D1" w:rsidRDefault="00A357D6" w:rsidP="009307D1">
      <w:pPr>
        <w:tabs>
          <w:tab w:val="left" w:pos="1134"/>
        </w:tabs>
        <w:spacing w:line="240" w:lineRule="auto"/>
        <w:rPr>
          <w:rFonts w:ascii="Arial" w:hAnsi="Arial" w:cs="Arial"/>
          <w:sz w:val="18"/>
          <w:szCs w:val="18"/>
          <w:lang w:val="es-MX"/>
        </w:rPr>
      </w:pPr>
      <w:r w:rsidRPr="009307D1">
        <w:rPr>
          <w:rStyle w:val="Refdenotaalpie"/>
          <w:rFonts w:ascii="Arial" w:hAnsi="Arial" w:cs="Arial"/>
          <w:sz w:val="18"/>
          <w:szCs w:val="18"/>
        </w:rPr>
        <w:footnoteRef/>
      </w:r>
      <w:r w:rsidRPr="009307D1">
        <w:rPr>
          <w:rFonts w:ascii="Arial" w:hAnsi="Arial" w:cs="Arial"/>
          <w:sz w:val="18"/>
          <w:szCs w:val="18"/>
        </w:rPr>
        <w:t xml:space="preserve"> CSJ AP, 17 mar 1999, Rad. 15466.</w:t>
      </w:r>
    </w:p>
  </w:footnote>
  <w:footnote w:id="12">
    <w:p w14:paraId="0A26ABE1" w14:textId="77777777" w:rsidR="000514DD" w:rsidRPr="009307D1" w:rsidRDefault="000514DD" w:rsidP="009307D1">
      <w:pPr>
        <w:pStyle w:val="Textonotapie"/>
        <w:spacing w:line="240" w:lineRule="auto"/>
        <w:rPr>
          <w:rFonts w:ascii="Arial" w:hAnsi="Arial" w:cs="Arial"/>
          <w:sz w:val="18"/>
          <w:szCs w:val="18"/>
          <w:lang w:val="es-MX"/>
        </w:rPr>
      </w:pPr>
      <w:r w:rsidRPr="009307D1">
        <w:rPr>
          <w:rStyle w:val="Refdenotaalpie"/>
          <w:rFonts w:ascii="Arial" w:eastAsia="Calibri" w:hAnsi="Arial" w:cs="Arial"/>
          <w:sz w:val="18"/>
          <w:szCs w:val="18"/>
        </w:rPr>
        <w:footnoteRef/>
      </w:r>
      <w:r w:rsidRPr="009307D1">
        <w:rPr>
          <w:rFonts w:ascii="Arial" w:hAnsi="Arial" w:cs="Arial"/>
          <w:sz w:val="18"/>
          <w:szCs w:val="18"/>
        </w:rPr>
        <w:t xml:space="preserve"> </w:t>
      </w:r>
      <w:r w:rsidRPr="009307D1">
        <w:rPr>
          <w:rFonts w:ascii="Arial" w:hAnsi="Arial" w:cs="Arial"/>
          <w:color w:val="000000"/>
          <w:sz w:val="18"/>
          <w:szCs w:val="18"/>
          <w:lang w:val="es-CO"/>
        </w:rPr>
        <w:t xml:space="preserve">CSJ AP. 30 abr. 2019, rad. 55077. Postura reiterada en CSJ AP. 18 </w:t>
      </w:r>
      <w:proofErr w:type="spellStart"/>
      <w:r w:rsidRPr="009307D1">
        <w:rPr>
          <w:rFonts w:ascii="Arial" w:hAnsi="Arial" w:cs="Arial"/>
          <w:color w:val="000000"/>
          <w:sz w:val="18"/>
          <w:szCs w:val="18"/>
          <w:lang w:val="es-CO"/>
        </w:rPr>
        <w:t>may</w:t>
      </w:r>
      <w:proofErr w:type="spellEnd"/>
      <w:r w:rsidRPr="009307D1">
        <w:rPr>
          <w:rFonts w:ascii="Arial" w:hAnsi="Arial" w:cs="Arial"/>
          <w:color w:val="000000"/>
          <w:sz w:val="18"/>
          <w:szCs w:val="18"/>
          <w:lang w:val="es-CO"/>
        </w:rPr>
        <w:t>. 2022, rad. 61510.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CF013" w14:textId="0504819C" w:rsidR="00A357D6" w:rsidRPr="002F4784" w:rsidRDefault="002F4784" w:rsidP="002F4784">
    <w:pPr>
      <w:pStyle w:val="Encabezado"/>
      <w:jc w:val="right"/>
      <w:rPr>
        <w:rFonts w:ascii="Arial" w:hAnsi="Arial" w:cs="Arial"/>
        <w:sz w:val="18"/>
        <w:szCs w:val="16"/>
      </w:rPr>
    </w:pPr>
    <w:r w:rsidRPr="002F4784">
      <w:rPr>
        <w:rFonts w:ascii="Arial" w:hAnsi="Arial" w:cs="Arial"/>
        <w:sz w:val="18"/>
        <w:szCs w:val="16"/>
      </w:rPr>
      <w:t>Concierto para delinquir agravado</w:t>
    </w:r>
  </w:p>
  <w:p w14:paraId="68F30116" w14:textId="35009E35" w:rsidR="00A357D6" w:rsidRPr="002F4784" w:rsidRDefault="002F4784" w:rsidP="002F4784">
    <w:pPr>
      <w:pStyle w:val="Encabezado"/>
      <w:jc w:val="right"/>
      <w:rPr>
        <w:rFonts w:ascii="Arial" w:hAnsi="Arial" w:cs="Arial"/>
        <w:sz w:val="18"/>
        <w:szCs w:val="16"/>
      </w:rPr>
    </w:pPr>
    <w:r w:rsidRPr="002F4784">
      <w:rPr>
        <w:rFonts w:ascii="Arial" w:hAnsi="Arial" w:cs="Arial"/>
        <w:sz w:val="18"/>
        <w:szCs w:val="16"/>
      </w:rPr>
      <w:t>Radicación</w:t>
    </w:r>
    <w:r w:rsidR="00A357D6" w:rsidRPr="002F4784">
      <w:rPr>
        <w:rFonts w:ascii="Arial" w:hAnsi="Arial" w:cs="Arial"/>
        <w:sz w:val="18"/>
        <w:szCs w:val="16"/>
      </w:rPr>
      <w:t>:</w:t>
    </w:r>
    <w:r w:rsidR="00A357D6" w:rsidRPr="002F4784">
      <w:rPr>
        <w:rFonts w:ascii="Arial" w:hAnsi="Arial" w:cs="Arial"/>
        <w:sz w:val="28"/>
      </w:rPr>
      <w:t xml:space="preserve"> </w:t>
    </w:r>
    <w:r w:rsidR="00A357D6" w:rsidRPr="002F4784">
      <w:rPr>
        <w:rFonts w:ascii="Arial" w:hAnsi="Arial" w:cs="Arial"/>
        <w:sz w:val="18"/>
        <w:szCs w:val="16"/>
      </w:rPr>
      <w:t>660886000066 2021 00345 01</w:t>
    </w:r>
  </w:p>
  <w:p w14:paraId="4D7D9051" w14:textId="4B1D751B" w:rsidR="00A357D6" w:rsidRPr="002F4784" w:rsidRDefault="002F4784" w:rsidP="002F4784">
    <w:pPr>
      <w:pStyle w:val="Encabezado"/>
      <w:jc w:val="right"/>
      <w:rPr>
        <w:rFonts w:ascii="Arial" w:hAnsi="Arial" w:cs="Arial"/>
        <w:sz w:val="18"/>
        <w:szCs w:val="16"/>
      </w:rPr>
    </w:pPr>
    <w:r w:rsidRPr="002F4784">
      <w:rPr>
        <w:rFonts w:ascii="Arial" w:hAnsi="Arial" w:cs="Arial"/>
        <w:sz w:val="18"/>
        <w:szCs w:val="16"/>
      </w:rPr>
      <w:t>Procesado</w:t>
    </w:r>
    <w:r w:rsidR="00A357D6" w:rsidRPr="002F4784">
      <w:rPr>
        <w:rFonts w:ascii="Arial" w:hAnsi="Arial" w:cs="Arial"/>
        <w:sz w:val="18"/>
        <w:szCs w:val="16"/>
      </w:rPr>
      <w:t xml:space="preserve">: </w:t>
    </w:r>
    <w:proofErr w:type="spellStart"/>
    <w:r w:rsidR="00A357D6" w:rsidRPr="002F4784">
      <w:rPr>
        <w:rFonts w:ascii="Arial" w:hAnsi="Arial" w:cs="Arial"/>
        <w:sz w:val="18"/>
        <w:szCs w:val="16"/>
      </w:rPr>
      <w:t>JMP</w:t>
    </w:r>
    <w:proofErr w:type="spellEnd"/>
  </w:p>
  <w:p w14:paraId="65165FC5" w14:textId="363A9A81" w:rsidR="00A357D6" w:rsidRPr="002F4784" w:rsidRDefault="002F4784" w:rsidP="002F4784">
    <w:pPr>
      <w:pStyle w:val="Encabezado"/>
      <w:jc w:val="right"/>
      <w:rPr>
        <w:rFonts w:ascii="Arial" w:hAnsi="Arial" w:cs="Arial"/>
        <w:sz w:val="18"/>
        <w:szCs w:val="16"/>
        <w:lang w:val="es-CO"/>
      </w:rPr>
    </w:pPr>
    <w:r w:rsidRPr="002F4784">
      <w:rPr>
        <w:rFonts w:ascii="Arial" w:hAnsi="Arial" w:cs="Arial"/>
        <w:sz w:val="18"/>
        <w:szCs w:val="16"/>
      </w:rPr>
      <w:t>Declara infundada recusación</w:t>
    </w:r>
  </w:p>
  <w:p w14:paraId="33E28A0D" w14:textId="2AC70624" w:rsidR="004F4E58" w:rsidRPr="002F4784" w:rsidRDefault="00A357D6" w:rsidP="002F4784">
    <w:pPr>
      <w:pStyle w:val="Encabezado"/>
      <w:jc w:val="right"/>
      <w:rPr>
        <w:rFonts w:ascii="Arial" w:hAnsi="Arial" w:cs="Arial"/>
        <w:sz w:val="18"/>
        <w:szCs w:val="16"/>
      </w:rPr>
    </w:pPr>
    <w:r w:rsidRPr="002F4784">
      <w:rPr>
        <w:rFonts w:ascii="Arial" w:hAnsi="Arial" w:cs="Arial"/>
        <w:sz w:val="18"/>
        <w:szCs w:val="16"/>
      </w:rPr>
      <w:t>A No.</w:t>
    </w:r>
    <w:r w:rsidR="002F4784" w:rsidRPr="002F4784">
      <w:rPr>
        <w:rFonts w:ascii="Arial" w:hAnsi="Arial" w:cs="Arial"/>
        <w:sz w:val="18"/>
        <w:szCs w:val="16"/>
      </w:rPr>
      <w:t xml:space="preserve"> </w:t>
    </w:r>
    <w:r w:rsidR="006C5DA2" w:rsidRPr="002F4784">
      <w:rPr>
        <w:rFonts w:ascii="Arial" w:hAnsi="Arial" w:cs="Arial"/>
        <w:sz w:val="18"/>
        <w:szCs w:val="16"/>
      </w:rPr>
      <w:t>064</w:t>
    </w:r>
  </w:p>
  <w:p w14:paraId="5F1E2FA8" w14:textId="77777777" w:rsidR="00000000" w:rsidRDefault="008D03A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398"/>
    <w:rsid w:val="00012398"/>
    <w:rsid w:val="00012DBD"/>
    <w:rsid w:val="00021269"/>
    <w:rsid w:val="00022845"/>
    <w:rsid w:val="000264FE"/>
    <w:rsid w:val="0003144F"/>
    <w:rsid w:val="0004627D"/>
    <w:rsid w:val="000514DD"/>
    <w:rsid w:val="000E493A"/>
    <w:rsid w:val="001209FB"/>
    <w:rsid w:val="001649CD"/>
    <w:rsid w:val="001735B0"/>
    <w:rsid w:val="00196E70"/>
    <w:rsid w:val="001A4EDA"/>
    <w:rsid w:val="001B2C40"/>
    <w:rsid w:val="001E2CD8"/>
    <w:rsid w:val="00236485"/>
    <w:rsid w:val="00237F89"/>
    <w:rsid w:val="00240E89"/>
    <w:rsid w:val="0024186E"/>
    <w:rsid w:val="002475EA"/>
    <w:rsid w:val="002D6BF0"/>
    <w:rsid w:val="002F4784"/>
    <w:rsid w:val="003576DB"/>
    <w:rsid w:val="003964E4"/>
    <w:rsid w:val="003A6CC3"/>
    <w:rsid w:val="003D52A1"/>
    <w:rsid w:val="00433090"/>
    <w:rsid w:val="004578CA"/>
    <w:rsid w:val="004A26F3"/>
    <w:rsid w:val="004B5785"/>
    <w:rsid w:val="004F4E58"/>
    <w:rsid w:val="005379DE"/>
    <w:rsid w:val="005459F1"/>
    <w:rsid w:val="0056113A"/>
    <w:rsid w:val="005A7138"/>
    <w:rsid w:val="005E27DF"/>
    <w:rsid w:val="00642B22"/>
    <w:rsid w:val="0064680B"/>
    <w:rsid w:val="006A44F4"/>
    <w:rsid w:val="006B2109"/>
    <w:rsid w:val="006C5DA2"/>
    <w:rsid w:val="006C63C9"/>
    <w:rsid w:val="006D7153"/>
    <w:rsid w:val="007455CC"/>
    <w:rsid w:val="00747086"/>
    <w:rsid w:val="00747D65"/>
    <w:rsid w:val="00780883"/>
    <w:rsid w:val="00782403"/>
    <w:rsid w:val="00782500"/>
    <w:rsid w:val="007A7CAA"/>
    <w:rsid w:val="007D5425"/>
    <w:rsid w:val="007F1C41"/>
    <w:rsid w:val="0081532E"/>
    <w:rsid w:val="0082021A"/>
    <w:rsid w:val="00845FE2"/>
    <w:rsid w:val="008633C5"/>
    <w:rsid w:val="008759DB"/>
    <w:rsid w:val="008B2736"/>
    <w:rsid w:val="008D03AC"/>
    <w:rsid w:val="008D4CFA"/>
    <w:rsid w:val="0090085E"/>
    <w:rsid w:val="00910B1D"/>
    <w:rsid w:val="009139F4"/>
    <w:rsid w:val="009307D1"/>
    <w:rsid w:val="00941671"/>
    <w:rsid w:val="009520AE"/>
    <w:rsid w:val="009C5635"/>
    <w:rsid w:val="009D7118"/>
    <w:rsid w:val="009E2474"/>
    <w:rsid w:val="00A357D6"/>
    <w:rsid w:val="00A377AB"/>
    <w:rsid w:val="00AC1A4D"/>
    <w:rsid w:val="00AF0B39"/>
    <w:rsid w:val="00B31D66"/>
    <w:rsid w:val="00B65F28"/>
    <w:rsid w:val="00BD6105"/>
    <w:rsid w:val="00BE3CE0"/>
    <w:rsid w:val="00C06004"/>
    <w:rsid w:val="00C2279A"/>
    <w:rsid w:val="00C447DF"/>
    <w:rsid w:val="00C5642A"/>
    <w:rsid w:val="00C97896"/>
    <w:rsid w:val="00CD05F4"/>
    <w:rsid w:val="00D0127B"/>
    <w:rsid w:val="00D244CF"/>
    <w:rsid w:val="00D27F1B"/>
    <w:rsid w:val="00D30D79"/>
    <w:rsid w:val="00D32931"/>
    <w:rsid w:val="00D40B69"/>
    <w:rsid w:val="00D77226"/>
    <w:rsid w:val="00D843DF"/>
    <w:rsid w:val="00DC1680"/>
    <w:rsid w:val="00DC18A6"/>
    <w:rsid w:val="00DD2F1A"/>
    <w:rsid w:val="00E4123E"/>
    <w:rsid w:val="00EB0A4E"/>
    <w:rsid w:val="00EB3DFC"/>
    <w:rsid w:val="00EB5669"/>
    <w:rsid w:val="00EF1723"/>
    <w:rsid w:val="00F13D97"/>
    <w:rsid w:val="00F151DB"/>
    <w:rsid w:val="00F227FA"/>
    <w:rsid w:val="00F32A98"/>
    <w:rsid w:val="00F72C1E"/>
    <w:rsid w:val="00F765C2"/>
    <w:rsid w:val="00F916EC"/>
    <w:rsid w:val="00F9648D"/>
    <w:rsid w:val="00FA433E"/>
    <w:rsid w:val="00FE25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5248"/>
  <w15:chartTrackingRefBased/>
  <w15:docId w15:val="{50B4E54A-53B1-4179-90E6-65F85EA3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012398"/>
    <w:pPr>
      <w:overflowPunct w:val="0"/>
      <w:autoSpaceDE w:val="0"/>
      <w:autoSpaceDN w:val="0"/>
      <w:adjustRightInd w:val="0"/>
      <w:spacing w:after="0" w:line="276" w:lineRule="auto"/>
      <w:jc w:val="both"/>
      <w:textAlignment w:val="baseline"/>
    </w:pPr>
    <w:rPr>
      <w:rFonts w:ascii="Tahoma" w:eastAsia="Times New Roman" w:hAnsi="Tahoma" w:cs="Tahoma"/>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lgerianTtulo">
    <w:name w:val="Algerian Título"/>
    <w:next w:val="Normal"/>
    <w:link w:val="AlgerianTtuloCar"/>
    <w:rsid w:val="00012398"/>
    <w:pPr>
      <w:tabs>
        <w:tab w:val="left" w:pos="1202"/>
      </w:tabs>
      <w:spacing w:after="0" w:line="360" w:lineRule="auto"/>
      <w:jc w:val="both"/>
    </w:pPr>
    <w:rPr>
      <w:rFonts w:ascii="Algerian" w:eastAsia="Tahoma" w:hAnsi="Algerian" w:cs="Tahoma"/>
      <w:sz w:val="30"/>
      <w:szCs w:val="26"/>
      <w:lang w:val="es-ES" w:eastAsia="es-ES"/>
    </w:rPr>
  </w:style>
  <w:style w:type="paragraph" w:styleId="Textonotapie">
    <w:name w:val="footnote text"/>
    <w:aliases w:val="Ref. de nota al pie1,Texto de nota al pie,Footnote Text Char Char Char Char Char,Footnote Text Char Char Char Char,Ref. de nota al pie2,FA Fu,texto de nota al pie,Footnote Text Char Char Char,Footnote Text Cha,referencia nota al pie,F,Car"/>
    <w:basedOn w:val="Normal"/>
    <w:link w:val="TextonotapieCar"/>
    <w:qFormat/>
    <w:rsid w:val="00012398"/>
    <w:rPr>
      <w:sz w:val="20"/>
    </w:rPr>
  </w:style>
  <w:style w:type="character" w:customStyle="1" w:styleId="TextonotapieCar">
    <w:name w:val="Texto nota pie Car"/>
    <w:aliases w:val="Ref. de nota al pie1 Car,Texto de nota al pie Car,Footnote Text Char Char Char Char Char Car,Footnote Text Char Char Char Char Car,Ref. de nota al pie2 Car,FA Fu Car,texto de nota al pie Car,Footnote Text Char Char Char Car,F Car"/>
    <w:basedOn w:val="Fuentedeprrafopredeter"/>
    <w:link w:val="Textonotapie"/>
    <w:rsid w:val="00012398"/>
    <w:rPr>
      <w:rFonts w:ascii="Tahoma" w:eastAsia="Times New Roman" w:hAnsi="Tahoma" w:cs="Tahoma"/>
      <w:sz w:val="20"/>
      <w:szCs w:val="26"/>
      <w:lang w:val="es-ES" w:eastAsia="es-ES"/>
    </w:rPr>
  </w:style>
  <w:style w:type="paragraph" w:styleId="Textoindependiente3">
    <w:name w:val="Body Text 3"/>
    <w:basedOn w:val="Normal"/>
    <w:link w:val="Textoindependiente3Car"/>
    <w:uiPriority w:val="99"/>
    <w:rsid w:val="00012398"/>
    <w:pPr>
      <w:overflowPunct/>
      <w:autoSpaceDE/>
      <w:autoSpaceDN/>
      <w:adjustRightInd/>
      <w:spacing w:after="120"/>
      <w:textAlignment w:val="auto"/>
    </w:pPr>
    <w:rPr>
      <w:sz w:val="16"/>
      <w:szCs w:val="16"/>
      <w:lang w:eastAsia="es-MX"/>
    </w:rPr>
  </w:style>
  <w:style w:type="character" w:customStyle="1" w:styleId="Textoindependiente3Car">
    <w:name w:val="Texto independiente 3 Car"/>
    <w:basedOn w:val="Fuentedeprrafopredeter"/>
    <w:link w:val="Textoindependiente3"/>
    <w:uiPriority w:val="99"/>
    <w:rsid w:val="00012398"/>
    <w:rPr>
      <w:rFonts w:ascii="Tahoma" w:eastAsia="Times New Roman" w:hAnsi="Tahoma" w:cs="Tahoma"/>
      <w:sz w:val="16"/>
      <w:szCs w:val="16"/>
      <w:lang w:val="es-ES" w:eastAsia="es-MX"/>
    </w:rPr>
  </w:style>
  <w:style w:type="paragraph" w:styleId="Textoindependiente">
    <w:name w:val="Body Text"/>
    <w:basedOn w:val="Normal"/>
    <w:link w:val="TextoindependienteCar"/>
    <w:uiPriority w:val="99"/>
    <w:rsid w:val="00012398"/>
    <w:pPr>
      <w:spacing w:after="120"/>
    </w:pPr>
    <w:rPr>
      <w:sz w:val="27"/>
      <w:szCs w:val="27"/>
    </w:rPr>
  </w:style>
  <w:style w:type="character" w:customStyle="1" w:styleId="TextoindependienteCar">
    <w:name w:val="Texto independiente Car"/>
    <w:basedOn w:val="Fuentedeprrafopredeter"/>
    <w:link w:val="Textoindependiente"/>
    <w:uiPriority w:val="99"/>
    <w:rsid w:val="00012398"/>
    <w:rPr>
      <w:rFonts w:ascii="Tahoma" w:eastAsia="Times New Roman" w:hAnsi="Tahoma" w:cs="Tahoma"/>
      <w:sz w:val="27"/>
      <w:szCs w:val="27"/>
      <w:lang w:val="es-ES" w:eastAsia="es-ES"/>
    </w:rPr>
  </w:style>
  <w:style w:type="character" w:customStyle="1" w:styleId="AlgerianTtuloCar">
    <w:name w:val="Algerian Título Car"/>
    <w:link w:val="AlgerianTtulo"/>
    <w:rsid w:val="00012398"/>
    <w:rPr>
      <w:rFonts w:ascii="Algerian" w:eastAsia="Tahoma" w:hAnsi="Algerian" w:cs="Tahoma"/>
      <w:sz w:val="30"/>
      <w:szCs w:val="26"/>
      <w:lang w:val="es-ES" w:eastAsia="es-ES"/>
    </w:rPr>
  </w:style>
  <w:style w:type="character" w:styleId="Refdenotaalpie">
    <w:name w:val="footnote reference"/>
    <w:aliases w:val="Footnotes refss,Appel note de bas de page,Footnote number,BVI fnr,f,4_G,16 Point,Superscript 6 Point,Ref,de nota al pie,Ref. de nota al pie 2,Fago Fußnotenzeichen,Texto nota pie Car2,FC,Ref1,FZ,Footnote symbol,Footnote,Nota de pie,f1"/>
    <w:basedOn w:val="Fuentedeprrafopredeter"/>
    <w:link w:val="4GChar"/>
    <w:qFormat/>
    <w:rsid w:val="00012398"/>
    <w:rPr>
      <w:vertAlign w:val="superscript"/>
    </w:rPr>
  </w:style>
  <w:style w:type="paragraph" w:styleId="Encabezado">
    <w:name w:val="header"/>
    <w:basedOn w:val="Normal"/>
    <w:link w:val="EncabezadoCar"/>
    <w:unhideWhenUsed/>
    <w:rsid w:val="00012398"/>
    <w:pPr>
      <w:tabs>
        <w:tab w:val="center" w:pos="4252"/>
        <w:tab w:val="right" w:pos="8504"/>
      </w:tabs>
      <w:spacing w:line="240" w:lineRule="auto"/>
    </w:pPr>
  </w:style>
  <w:style w:type="character" w:customStyle="1" w:styleId="EncabezadoCar">
    <w:name w:val="Encabezado Car"/>
    <w:basedOn w:val="Fuentedeprrafopredeter"/>
    <w:link w:val="Encabezado"/>
    <w:rsid w:val="00012398"/>
    <w:rPr>
      <w:rFonts w:ascii="Tahoma" w:eastAsia="Times New Roman" w:hAnsi="Tahoma" w:cs="Tahoma"/>
      <w:sz w:val="26"/>
      <w:szCs w:val="26"/>
      <w:lang w:val="es-ES" w:eastAsia="es-ES"/>
    </w:rPr>
  </w:style>
  <w:style w:type="paragraph" w:styleId="Piedepgina">
    <w:name w:val="footer"/>
    <w:basedOn w:val="Normal"/>
    <w:link w:val="PiedepginaCar"/>
    <w:uiPriority w:val="99"/>
    <w:unhideWhenUsed/>
    <w:rsid w:val="0001239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2398"/>
    <w:rPr>
      <w:rFonts w:ascii="Tahoma" w:eastAsia="Times New Roman" w:hAnsi="Tahoma" w:cs="Tahoma"/>
      <w:sz w:val="26"/>
      <w:szCs w:val="26"/>
      <w:lang w:val="es-ES" w:eastAsia="es-ES"/>
    </w:rPr>
  </w:style>
  <w:style w:type="character" w:customStyle="1" w:styleId="Algerian">
    <w:name w:val="Algerian"/>
    <w:rsid w:val="00012398"/>
    <w:rPr>
      <w:rFonts w:ascii="Algerian" w:hAnsi="Algerian"/>
      <w:sz w:val="3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012398"/>
    <w:pPr>
      <w:overflowPunct/>
      <w:autoSpaceDE/>
      <w:autoSpaceDN/>
      <w:adjustRightInd/>
      <w:spacing w:line="240" w:lineRule="auto"/>
      <w:textAlignment w:val="auto"/>
    </w:pPr>
    <w:rPr>
      <w:rFonts w:asciiTheme="minorHAnsi" w:eastAsiaTheme="minorHAnsi" w:hAnsiTheme="minorHAnsi" w:cstheme="minorBidi"/>
      <w:sz w:val="22"/>
      <w:szCs w:val="22"/>
      <w:vertAlign w:val="superscript"/>
      <w:lang w:val="es-CO" w:eastAsia="en-US"/>
    </w:rPr>
  </w:style>
  <w:style w:type="paragraph" w:styleId="Sinespaciado">
    <w:name w:val="No Spacing"/>
    <w:uiPriority w:val="1"/>
    <w:qFormat/>
    <w:rsid w:val="009D7118"/>
    <w:pPr>
      <w:spacing w:after="0" w:line="240" w:lineRule="auto"/>
    </w:pPr>
    <w:rPr>
      <w:rFonts w:ascii="Calibri" w:eastAsia="Batang" w:hAnsi="Calibri" w:cs="Calibri"/>
    </w:rPr>
  </w:style>
  <w:style w:type="paragraph" w:customStyle="1" w:styleId="Default">
    <w:name w:val="Default"/>
    <w:rsid w:val="009D711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3923</Words>
  <Characters>22362</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02 Sala Penal Tribunal Superior - Risaralda - Pereira</dc:creator>
  <cp:keywords/>
  <dc:description/>
  <cp:lastModifiedBy>samsung</cp:lastModifiedBy>
  <cp:revision>7</cp:revision>
  <cp:lastPrinted>2023-09-19T20:56:00Z</cp:lastPrinted>
  <dcterms:created xsi:type="dcterms:W3CDTF">2023-10-04T15:51:00Z</dcterms:created>
  <dcterms:modified xsi:type="dcterms:W3CDTF">2023-11-05T21:34:00Z</dcterms:modified>
</cp:coreProperties>
</file>