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22261" w14:textId="0A476540" w:rsidR="001D2AA8" w:rsidRPr="00900D3D" w:rsidRDefault="004E683F" w:rsidP="001D2AA8">
      <w:pPr>
        <w:spacing w:line="240" w:lineRule="auto"/>
        <w:ind w:firstLine="0"/>
        <w:rPr>
          <w:rFonts w:ascii="Arial" w:eastAsia="Calibri" w:hAnsi="Arial"/>
          <w:b/>
          <w:sz w:val="20"/>
          <w:szCs w:val="24"/>
        </w:rPr>
      </w:pPr>
      <w:r>
        <w:rPr>
          <w:rFonts w:ascii="Arial" w:eastAsia="Calibri" w:hAnsi="Arial"/>
          <w:b/>
          <w:sz w:val="20"/>
          <w:szCs w:val="24"/>
        </w:rPr>
        <w:t>EXCEPCIÓN PREVIA / POSITIVA S.A. / NATURALEZA JURÍDICA</w:t>
      </w:r>
    </w:p>
    <w:p w14:paraId="454DEC0F" w14:textId="11F9264B" w:rsidR="001D2AA8" w:rsidRPr="00900D3D" w:rsidRDefault="00900D3D" w:rsidP="00900D3D">
      <w:pPr>
        <w:spacing w:line="240" w:lineRule="auto"/>
        <w:ind w:firstLine="0"/>
        <w:rPr>
          <w:rFonts w:ascii="Arial" w:eastAsia="Calibri" w:hAnsi="Arial"/>
          <w:sz w:val="20"/>
          <w:szCs w:val="24"/>
        </w:rPr>
      </w:pPr>
      <w:r>
        <w:rPr>
          <w:rFonts w:ascii="Arial" w:eastAsia="Calibri" w:hAnsi="Arial"/>
          <w:sz w:val="20"/>
          <w:szCs w:val="24"/>
        </w:rPr>
        <w:t xml:space="preserve">… </w:t>
      </w:r>
      <w:r w:rsidRPr="00900D3D">
        <w:rPr>
          <w:rFonts w:ascii="Arial" w:eastAsia="Calibri" w:hAnsi="Arial"/>
          <w:sz w:val="20"/>
          <w:szCs w:val="24"/>
        </w:rPr>
        <w:t>conforme al artículo 1 del Decreto 1234 de 2012, Positiva Compañía de Seguros S.A. es una sociedad anónima de participación mayoritaria del Estado, que tiene el carácter de entidad descentralizada indirecta del orden nacional y que se encuentra sometida al régimen de Empresa Industrial y Comercial del Estado.</w:t>
      </w:r>
    </w:p>
    <w:p w14:paraId="5965C900" w14:textId="77777777" w:rsidR="001D2AA8" w:rsidRPr="001D2AA8" w:rsidRDefault="001D2AA8" w:rsidP="001D2AA8">
      <w:pPr>
        <w:spacing w:line="240" w:lineRule="auto"/>
        <w:ind w:firstLine="0"/>
        <w:rPr>
          <w:rFonts w:ascii="Arial" w:eastAsia="Calibri" w:hAnsi="Arial"/>
          <w:sz w:val="20"/>
          <w:szCs w:val="24"/>
        </w:rPr>
      </w:pPr>
    </w:p>
    <w:p w14:paraId="364C42BA" w14:textId="2CDCB2AF" w:rsidR="004E683F" w:rsidRPr="00900D3D" w:rsidRDefault="00A04BCF" w:rsidP="004E683F">
      <w:pPr>
        <w:spacing w:line="240" w:lineRule="auto"/>
        <w:ind w:firstLine="0"/>
        <w:rPr>
          <w:rFonts w:ascii="Arial" w:eastAsia="Calibri" w:hAnsi="Arial"/>
          <w:b/>
          <w:sz w:val="20"/>
          <w:szCs w:val="24"/>
        </w:rPr>
      </w:pPr>
      <w:r>
        <w:rPr>
          <w:rFonts w:ascii="Arial" w:eastAsia="Calibri" w:hAnsi="Arial"/>
          <w:b/>
          <w:sz w:val="20"/>
          <w:szCs w:val="24"/>
        </w:rPr>
        <w:t xml:space="preserve">EXCEPCIÓN PREVIA </w:t>
      </w:r>
      <w:r w:rsidR="004E683F">
        <w:rPr>
          <w:rFonts w:ascii="Arial" w:eastAsia="Calibri" w:hAnsi="Arial"/>
          <w:b/>
          <w:sz w:val="20"/>
          <w:szCs w:val="24"/>
        </w:rPr>
        <w:t xml:space="preserve">/ FALTA DE COMPETENCIA </w:t>
      </w:r>
      <w:r w:rsidR="00520BC8">
        <w:rPr>
          <w:rFonts w:ascii="Arial" w:eastAsia="Calibri" w:hAnsi="Arial"/>
          <w:b/>
          <w:sz w:val="20"/>
          <w:szCs w:val="24"/>
        </w:rPr>
        <w:t>/ OPORTUNIDAD</w:t>
      </w:r>
      <w:r>
        <w:rPr>
          <w:rFonts w:ascii="Arial" w:eastAsia="Calibri" w:hAnsi="Arial"/>
          <w:b/>
          <w:sz w:val="20"/>
          <w:szCs w:val="24"/>
        </w:rPr>
        <w:t xml:space="preserve"> PARA PROPONERLA</w:t>
      </w:r>
    </w:p>
    <w:p w14:paraId="245ACFE9" w14:textId="652FB4E6" w:rsidR="001D2AA8" w:rsidRPr="001D2AA8" w:rsidRDefault="004E683F" w:rsidP="001D2AA8">
      <w:pPr>
        <w:spacing w:line="240" w:lineRule="auto"/>
        <w:ind w:firstLine="0"/>
        <w:rPr>
          <w:rFonts w:ascii="Arial" w:eastAsia="Calibri" w:hAnsi="Arial"/>
          <w:sz w:val="20"/>
          <w:szCs w:val="24"/>
        </w:rPr>
      </w:pPr>
      <w:r>
        <w:rPr>
          <w:rFonts w:ascii="Arial" w:eastAsia="Calibri" w:hAnsi="Arial"/>
          <w:sz w:val="20"/>
          <w:szCs w:val="24"/>
        </w:rPr>
        <w:t xml:space="preserve">… </w:t>
      </w:r>
      <w:r w:rsidRPr="004E683F">
        <w:rPr>
          <w:rFonts w:ascii="Arial" w:eastAsia="Calibri" w:hAnsi="Arial"/>
          <w:sz w:val="20"/>
          <w:szCs w:val="24"/>
        </w:rPr>
        <w:t xml:space="preserve">la Sala de Casación Laboral ha precisado que, de conformidad con lo dispuesto en el artículo 6º del </w:t>
      </w:r>
      <w:proofErr w:type="spellStart"/>
      <w:r w:rsidRPr="004E683F">
        <w:rPr>
          <w:rFonts w:ascii="Arial" w:eastAsia="Calibri" w:hAnsi="Arial"/>
          <w:sz w:val="20"/>
          <w:szCs w:val="24"/>
        </w:rPr>
        <w:t>CPTSS</w:t>
      </w:r>
      <w:proofErr w:type="spellEnd"/>
      <w:r w:rsidRPr="004E683F">
        <w:rPr>
          <w:rFonts w:ascii="Arial" w:eastAsia="Calibri" w:hAnsi="Arial"/>
          <w:sz w:val="20"/>
          <w:szCs w:val="24"/>
        </w:rPr>
        <w:t>, quien pretenda demandar a una entidad de derecho público, a una entidad administrativa autónoma o a una entidad de derecho social, debe elevar un reclamo directo a la Administración previo a la presentación de la demanda y el agotamiento de esa reclamación constituye un factor de competencia para el juez laboral.</w:t>
      </w:r>
      <w:r w:rsidR="00520BC8">
        <w:rPr>
          <w:rFonts w:ascii="Arial" w:eastAsia="Calibri" w:hAnsi="Arial"/>
          <w:sz w:val="20"/>
          <w:szCs w:val="24"/>
        </w:rPr>
        <w:t xml:space="preserve"> (…) “</w:t>
      </w:r>
      <w:r w:rsidR="00520BC8" w:rsidRPr="00520BC8">
        <w:rPr>
          <w:rFonts w:ascii="Arial" w:eastAsia="Calibri" w:hAnsi="Arial"/>
          <w:sz w:val="20"/>
          <w:szCs w:val="24"/>
        </w:rPr>
        <w:t xml:space="preserve">dado que la exigencia del artículo 6° del C. de </w:t>
      </w:r>
      <w:proofErr w:type="spellStart"/>
      <w:r w:rsidR="00520BC8" w:rsidRPr="00520BC8">
        <w:rPr>
          <w:rFonts w:ascii="Arial" w:eastAsia="Calibri" w:hAnsi="Arial"/>
          <w:sz w:val="20"/>
          <w:szCs w:val="24"/>
        </w:rPr>
        <w:t>P.L</w:t>
      </w:r>
      <w:proofErr w:type="spellEnd"/>
      <w:r w:rsidR="00520BC8" w:rsidRPr="00520BC8">
        <w:rPr>
          <w:rFonts w:ascii="Arial" w:eastAsia="Calibri" w:hAnsi="Arial"/>
          <w:sz w:val="20"/>
          <w:szCs w:val="24"/>
        </w:rPr>
        <w:t xml:space="preserve"> es un factor de competencia, y por ende un presupuesto procesal, la misma debe encontrarse satisfecha en el momento de la admisión de la demanda. Por tanto, cuando se presenta una demanda contra alguna de las entidades públicas o sociales señaladas en la norma precitada es deber ineludible del juez laboral constatar, antes de pronunciarse sobre la admisión de tal escrito introductorio, que se haya agotado el procedimiento gubernativo o reglamentario previsto en dicho precepto obligación procesal</w:t>
      </w:r>
      <w:r w:rsidR="00520BC8">
        <w:rPr>
          <w:rFonts w:ascii="Arial" w:eastAsia="Calibri" w:hAnsi="Arial"/>
          <w:sz w:val="20"/>
          <w:szCs w:val="24"/>
        </w:rPr>
        <w:t>…”</w:t>
      </w:r>
    </w:p>
    <w:p w14:paraId="4AE6D4CB" w14:textId="77777777" w:rsidR="001D2AA8" w:rsidRPr="001D2AA8" w:rsidRDefault="001D2AA8" w:rsidP="001D2AA8">
      <w:pPr>
        <w:spacing w:line="240" w:lineRule="auto"/>
        <w:ind w:firstLine="0"/>
        <w:rPr>
          <w:rFonts w:ascii="Arial" w:eastAsia="Calibri" w:hAnsi="Arial"/>
          <w:sz w:val="20"/>
          <w:szCs w:val="24"/>
        </w:rPr>
      </w:pPr>
    </w:p>
    <w:p w14:paraId="1237E325" w14:textId="77777777" w:rsidR="001D2AA8" w:rsidRPr="001D2AA8" w:rsidRDefault="001D2AA8" w:rsidP="001D2AA8">
      <w:pPr>
        <w:spacing w:line="240" w:lineRule="auto"/>
        <w:ind w:firstLine="0"/>
        <w:rPr>
          <w:rFonts w:ascii="Arial" w:eastAsia="Calibri" w:hAnsi="Arial"/>
          <w:sz w:val="20"/>
          <w:szCs w:val="24"/>
        </w:rPr>
      </w:pPr>
    </w:p>
    <w:p w14:paraId="0511BB17" w14:textId="77777777" w:rsidR="001D2AA8" w:rsidRPr="001D2AA8" w:rsidRDefault="001D2AA8" w:rsidP="001D2AA8">
      <w:pPr>
        <w:spacing w:line="240" w:lineRule="auto"/>
        <w:ind w:firstLine="0"/>
        <w:rPr>
          <w:rFonts w:ascii="Arial" w:eastAsia="Calibri" w:hAnsi="Arial"/>
          <w:sz w:val="20"/>
          <w:szCs w:val="24"/>
        </w:rPr>
      </w:pPr>
    </w:p>
    <w:p w14:paraId="1443211F" w14:textId="77777777" w:rsidR="001D2AA8" w:rsidRPr="001D2AA8" w:rsidRDefault="001D2AA8" w:rsidP="001D2AA8">
      <w:pPr>
        <w:spacing w:line="240" w:lineRule="auto"/>
        <w:ind w:firstLine="0"/>
        <w:jc w:val="center"/>
        <w:rPr>
          <w:rFonts w:eastAsia="Calibri"/>
          <w:b/>
          <w:sz w:val="24"/>
          <w:szCs w:val="24"/>
        </w:rPr>
      </w:pPr>
      <w:r w:rsidRPr="001D2AA8">
        <w:rPr>
          <w:rFonts w:eastAsia="Calibri"/>
          <w:b/>
          <w:sz w:val="24"/>
          <w:szCs w:val="24"/>
        </w:rPr>
        <w:t xml:space="preserve">REPUBLICA DE COLOMBIA </w:t>
      </w:r>
    </w:p>
    <w:p w14:paraId="6E5A6BD7" w14:textId="77777777" w:rsidR="001D2AA8" w:rsidRPr="001D2AA8" w:rsidRDefault="001D2AA8" w:rsidP="001D2AA8">
      <w:pPr>
        <w:spacing w:line="240" w:lineRule="auto"/>
        <w:ind w:firstLine="0"/>
        <w:jc w:val="center"/>
        <w:rPr>
          <w:rFonts w:eastAsia="Calibri"/>
          <w:b/>
          <w:sz w:val="24"/>
          <w:szCs w:val="24"/>
        </w:rPr>
      </w:pPr>
      <w:r w:rsidRPr="001D2AA8">
        <w:rPr>
          <w:rFonts w:eastAsia="Calibri"/>
          <w:b/>
          <w:sz w:val="24"/>
          <w:szCs w:val="24"/>
        </w:rPr>
        <w:t>RAMA JUDICIAL DEL PODER PÚBLICO</w:t>
      </w:r>
    </w:p>
    <w:p w14:paraId="1DE7FF2F" w14:textId="77777777" w:rsidR="001D2AA8" w:rsidRPr="001D2AA8" w:rsidRDefault="001D2AA8" w:rsidP="001D2AA8">
      <w:pPr>
        <w:spacing w:line="240" w:lineRule="auto"/>
        <w:ind w:firstLine="0"/>
        <w:jc w:val="center"/>
        <w:rPr>
          <w:rFonts w:eastAsia="Calibri"/>
          <w:b/>
          <w:sz w:val="24"/>
          <w:szCs w:val="24"/>
        </w:rPr>
      </w:pPr>
      <w:r w:rsidRPr="001D2AA8">
        <w:rPr>
          <w:rFonts w:eastAsia="Calibri"/>
          <w:noProof/>
          <w:sz w:val="24"/>
          <w:szCs w:val="24"/>
          <w:lang w:val="en-US"/>
        </w:rPr>
        <w:drawing>
          <wp:inline distT="0" distB="0" distL="0" distR="0" wp14:anchorId="29958A96" wp14:editId="68F25789">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68356D16" w14:textId="77777777" w:rsidR="001D2AA8" w:rsidRPr="001D2AA8" w:rsidRDefault="001D2AA8" w:rsidP="001D2AA8">
      <w:pPr>
        <w:spacing w:line="240" w:lineRule="auto"/>
        <w:ind w:firstLine="0"/>
        <w:jc w:val="center"/>
        <w:rPr>
          <w:rFonts w:eastAsia="Calibri"/>
          <w:b/>
          <w:sz w:val="24"/>
          <w:szCs w:val="24"/>
        </w:rPr>
      </w:pPr>
      <w:r w:rsidRPr="001D2AA8">
        <w:rPr>
          <w:rFonts w:eastAsia="Calibri"/>
          <w:b/>
          <w:sz w:val="24"/>
          <w:szCs w:val="24"/>
        </w:rPr>
        <w:t>TRIBUNAL SUPERIOR DEL DISTRITO JUDICIAL DE PEREIRA</w:t>
      </w:r>
    </w:p>
    <w:p w14:paraId="64A6DBFA" w14:textId="77777777" w:rsidR="001D2AA8" w:rsidRPr="001D2AA8" w:rsidRDefault="001D2AA8" w:rsidP="001D2AA8">
      <w:pPr>
        <w:spacing w:line="240" w:lineRule="auto"/>
        <w:ind w:firstLine="0"/>
        <w:jc w:val="center"/>
        <w:rPr>
          <w:rFonts w:eastAsia="Calibri"/>
          <w:b/>
          <w:sz w:val="24"/>
          <w:szCs w:val="24"/>
        </w:rPr>
      </w:pPr>
      <w:r w:rsidRPr="001D2AA8">
        <w:rPr>
          <w:rFonts w:eastAsia="Calibri"/>
          <w:b/>
          <w:sz w:val="24"/>
          <w:szCs w:val="24"/>
        </w:rPr>
        <w:t>SALA DE DECISIÓN LABORAL</w:t>
      </w:r>
    </w:p>
    <w:p w14:paraId="7051F0BE" w14:textId="77777777" w:rsidR="001D2AA8" w:rsidRPr="001D2AA8" w:rsidRDefault="001D2AA8" w:rsidP="001D2AA8">
      <w:pPr>
        <w:spacing w:line="240" w:lineRule="auto"/>
        <w:ind w:firstLine="0"/>
        <w:jc w:val="center"/>
        <w:rPr>
          <w:rFonts w:eastAsia="Calibri"/>
          <w:b/>
          <w:sz w:val="24"/>
          <w:szCs w:val="24"/>
        </w:rPr>
      </w:pPr>
    </w:p>
    <w:p w14:paraId="128D8A95" w14:textId="77777777" w:rsidR="001D2AA8" w:rsidRPr="001D2AA8" w:rsidRDefault="001D2AA8" w:rsidP="001D2AA8">
      <w:pPr>
        <w:spacing w:line="240" w:lineRule="auto"/>
        <w:ind w:firstLine="0"/>
        <w:jc w:val="center"/>
        <w:rPr>
          <w:rFonts w:eastAsia="Calibri"/>
          <w:b/>
          <w:sz w:val="24"/>
          <w:szCs w:val="24"/>
        </w:rPr>
      </w:pPr>
      <w:r w:rsidRPr="001D2AA8">
        <w:rPr>
          <w:rFonts w:eastAsia="Calibri"/>
          <w:b/>
          <w:sz w:val="24"/>
          <w:szCs w:val="24"/>
        </w:rPr>
        <w:t xml:space="preserve">GERMÁN DARÍO </w:t>
      </w:r>
      <w:proofErr w:type="spellStart"/>
      <w:r w:rsidRPr="001D2AA8">
        <w:rPr>
          <w:rFonts w:eastAsia="Calibri"/>
          <w:b/>
          <w:sz w:val="24"/>
          <w:szCs w:val="24"/>
        </w:rPr>
        <w:t>GÓEZ</w:t>
      </w:r>
      <w:proofErr w:type="spellEnd"/>
      <w:r w:rsidRPr="001D2AA8">
        <w:rPr>
          <w:rFonts w:eastAsia="Calibri"/>
          <w:b/>
          <w:sz w:val="24"/>
          <w:szCs w:val="24"/>
        </w:rPr>
        <w:t xml:space="preserve"> </w:t>
      </w:r>
      <w:proofErr w:type="spellStart"/>
      <w:r w:rsidRPr="001D2AA8">
        <w:rPr>
          <w:rFonts w:eastAsia="Calibri"/>
          <w:b/>
          <w:sz w:val="24"/>
          <w:szCs w:val="24"/>
        </w:rPr>
        <w:t>VINASCO</w:t>
      </w:r>
      <w:proofErr w:type="spellEnd"/>
    </w:p>
    <w:p w14:paraId="5B0A3CC9" w14:textId="77777777" w:rsidR="001D2AA8" w:rsidRPr="001D2AA8" w:rsidRDefault="001D2AA8" w:rsidP="001D2AA8">
      <w:pPr>
        <w:spacing w:line="240" w:lineRule="auto"/>
        <w:ind w:firstLine="0"/>
        <w:jc w:val="center"/>
        <w:rPr>
          <w:rFonts w:eastAsia="Calibri"/>
          <w:b/>
          <w:sz w:val="24"/>
          <w:szCs w:val="24"/>
        </w:rPr>
      </w:pPr>
      <w:r w:rsidRPr="001D2AA8">
        <w:rPr>
          <w:rFonts w:eastAsia="Calibri"/>
          <w:sz w:val="24"/>
          <w:szCs w:val="24"/>
        </w:rPr>
        <w:t>Magistrado Ponente</w:t>
      </w:r>
    </w:p>
    <w:p w14:paraId="32CACFE0" w14:textId="77777777" w:rsidR="001D2AA8" w:rsidRPr="001D2AA8" w:rsidRDefault="001D2AA8" w:rsidP="001D2AA8">
      <w:pPr>
        <w:spacing w:line="240" w:lineRule="auto"/>
        <w:ind w:firstLine="0"/>
        <w:rPr>
          <w:rFonts w:eastAsia="Calibri"/>
          <w:sz w:val="24"/>
          <w:szCs w:val="24"/>
        </w:rPr>
      </w:pP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73"/>
        <w:gridCol w:w="5245"/>
      </w:tblGrid>
      <w:tr w:rsidR="003949D3" w:rsidRPr="00AA3364" w14:paraId="211F72A2" w14:textId="77777777" w:rsidTr="00AA336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73" w:type="dxa"/>
            <w:tcBorders>
              <w:bottom w:val="none" w:sz="0" w:space="0" w:color="auto"/>
              <w:right w:val="none" w:sz="0" w:space="0" w:color="auto"/>
            </w:tcBorders>
            <w:shd w:val="clear" w:color="auto" w:fill="auto"/>
          </w:tcPr>
          <w:p w14:paraId="2CB0DDBD" w14:textId="626E7AB7" w:rsidR="003949D3" w:rsidRPr="0047432A" w:rsidRDefault="0047432A" w:rsidP="0047432A">
            <w:pPr>
              <w:ind w:firstLine="0"/>
              <w:jc w:val="left"/>
              <w:rPr>
                <w:rFonts w:cs="Tahoma"/>
                <w:i w:val="0"/>
                <w:sz w:val="22"/>
                <w:szCs w:val="24"/>
              </w:rPr>
            </w:pPr>
            <w:r w:rsidRPr="0047432A">
              <w:rPr>
                <w:rFonts w:cs="Tahoma"/>
                <w:i w:val="0"/>
                <w:sz w:val="22"/>
                <w:szCs w:val="24"/>
              </w:rPr>
              <w:t>Proceso</w:t>
            </w:r>
            <w:r w:rsidR="003949D3" w:rsidRPr="0047432A">
              <w:rPr>
                <w:rFonts w:cs="Tahoma"/>
                <w:i w:val="0"/>
                <w:sz w:val="22"/>
                <w:szCs w:val="24"/>
              </w:rPr>
              <w:t>:</w:t>
            </w:r>
          </w:p>
        </w:tc>
        <w:tc>
          <w:tcPr>
            <w:tcW w:w="5245" w:type="dxa"/>
            <w:tcBorders>
              <w:bottom w:val="none" w:sz="0" w:space="0" w:color="auto"/>
            </w:tcBorders>
            <w:shd w:val="clear" w:color="auto" w:fill="auto"/>
          </w:tcPr>
          <w:p w14:paraId="18376B63" w14:textId="4707ED58" w:rsidR="003949D3" w:rsidRPr="0047432A" w:rsidRDefault="0047432A" w:rsidP="0047432A">
            <w:pPr>
              <w:ind w:firstLine="0"/>
              <w:cnfStyle w:val="100000000000" w:firstRow="1" w:lastRow="0" w:firstColumn="0" w:lastColumn="0" w:oddVBand="0" w:evenVBand="0" w:oddHBand="0" w:evenHBand="0" w:firstRowFirstColumn="0" w:firstRowLastColumn="0" w:lastRowFirstColumn="0" w:lastRowLastColumn="0"/>
              <w:rPr>
                <w:rFonts w:cs="Tahoma"/>
                <w:i w:val="0"/>
                <w:sz w:val="22"/>
                <w:szCs w:val="24"/>
              </w:rPr>
            </w:pPr>
            <w:r w:rsidRPr="0047432A">
              <w:rPr>
                <w:rFonts w:cs="Tahoma"/>
                <w:i w:val="0"/>
                <w:sz w:val="22"/>
                <w:szCs w:val="24"/>
              </w:rPr>
              <w:t>Ordinario laboral</w:t>
            </w:r>
          </w:p>
        </w:tc>
      </w:tr>
      <w:tr w:rsidR="003949D3" w:rsidRPr="00AA3364" w14:paraId="27102963" w14:textId="77777777" w:rsidTr="00AA3364">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4E7D7722" w14:textId="77777777" w:rsidR="003949D3" w:rsidRPr="0047432A" w:rsidRDefault="003949D3" w:rsidP="0047432A">
            <w:pPr>
              <w:ind w:firstLine="0"/>
              <w:jc w:val="left"/>
              <w:rPr>
                <w:rFonts w:cs="Tahoma"/>
                <w:i w:val="0"/>
                <w:sz w:val="22"/>
                <w:szCs w:val="24"/>
              </w:rPr>
            </w:pPr>
            <w:r w:rsidRPr="0047432A">
              <w:rPr>
                <w:rFonts w:cs="Tahoma"/>
                <w:i w:val="0"/>
                <w:sz w:val="22"/>
                <w:szCs w:val="24"/>
              </w:rPr>
              <w:t>Radicado:</w:t>
            </w:r>
          </w:p>
        </w:tc>
        <w:tc>
          <w:tcPr>
            <w:tcW w:w="5245" w:type="dxa"/>
            <w:shd w:val="clear" w:color="auto" w:fill="auto"/>
          </w:tcPr>
          <w:p w14:paraId="3E503BBA" w14:textId="77777777" w:rsidR="003949D3" w:rsidRPr="0047432A" w:rsidRDefault="003949D3" w:rsidP="0047432A">
            <w:pPr>
              <w:ind w:firstLine="0"/>
              <w:cnfStyle w:val="000000000000" w:firstRow="0" w:lastRow="0" w:firstColumn="0" w:lastColumn="0" w:oddVBand="0" w:evenVBand="0" w:oddHBand="0" w:evenHBand="0" w:firstRowFirstColumn="0" w:firstRowLastColumn="0" w:lastRowFirstColumn="0" w:lastRowLastColumn="0"/>
              <w:rPr>
                <w:rFonts w:cs="Tahoma"/>
                <w:sz w:val="22"/>
                <w:szCs w:val="24"/>
              </w:rPr>
            </w:pPr>
            <w:r w:rsidRPr="0047432A">
              <w:rPr>
                <w:rFonts w:eastAsia="Times New Roman" w:cs="Tahoma"/>
                <w:sz w:val="22"/>
                <w:szCs w:val="24"/>
                <w:lang w:eastAsia="es-CO"/>
              </w:rPr>
              <w:t>66001310500120200025501</w:t>
            </w:r>
          </w:p>
        </w:tc>
      </w:tr>
      <w:tr w:rsidR="003949D3" w:rsidRPr="00AA3364" w14:paraId="1E7B204A" w14:textId="77777777" w:rsidTr="00AA3364">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32107423" w14:textId="77777777" w:rsidR="003949D3" w:rsidRPr="0047432A" w:rsidRDefault="003949D3" w:rsidP="0047432A">
            <w:pPr>
              <w:ind w:firstLine="0"/>
              <w:jc w:val="left"/>
              <w:rPr>
                <w:rFonts w:cs="Tahoma"/>
                <w:i w:val="0"/>
                <w:sz w:val="22"/>
                <w:szCs w:val="24"/>
              </w:rPr>
            </w:pPr>
            <w:r w:rsidRPr="0047432A">
              <w:rPr>
                <w:rFonts w:cs="Tahoma"/>
                <w:i w:val="0"/>
                <w:sz w:val="22"/>
                <w:szCs w:val="24"/>
              </w:rPr>
              <w:t>Demandante:</w:t>
            </w:r>
          </w:p>
        </w:tc>
        <w:tc>
          <w:tcPr>
            <w:tcW w:w="5245" w:type="dxa"/>
            <w:shd w:val="clear" w:color="auto" w:fill="auto"/>
          </w:tcPr>
          <w:p w14:paraId="3C442CE5" w14:textId="77777777" w:rsidR="003949D3" w:rsidRPr="0047432A" w:rsidRDefault="003949D3" w:rsidP="0047432A">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47432A">
              <w:rPr>
                <w:rFonts w:eastAsia="Times New Roman" w:cs="Tahoma"/>
                <w:sz w:val="22"/>
                <w:szCs w:val="24"/>
                <w:lang w:eastAsia="es-CO"/>
              </w:rPr>
              <w:t>Freddy Machado Mosquera</w:t>
            </w:r>
          </w:p>
        </w:tc>
      </w:tr>
      <w:tr w:rsidR="003949D3" w:rsidRPr="00AA3364" w14:paraId="07D70C96" w14:textId="77777777" w:rsidTr="00AA3364">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74927B37" w14:textId="77777777" w:rsidR="003949D3" w:rsidRPr="0047432A" w:rsidRDefault="003949D3" w:rsidP="0047432A">
            <w:pPr>
              <w:ind w:firstLine="0"/>
              <w:jc w:val="left"/>
              <w:rPr>
                <w:rFonts w:cs="Tahoma"/>
                <w:i w:val="0"/>
                <w:sz w:val="22"/>
                <w:szCs w:val="24"/>
              </w:rPr>
            </w:pPr>
            <w:r w:rsidRPr="0047432A">
              <w:rPr>
                <w:rFonts w:cs="Tahoma"/>
                <w:i w:val="0"/>
                <w:sz w:val="22"/>
                <w:szCs w:val="24"/>
              </w:rPr>
              <w:t>Demandado:</w:t>
            </w:r>
          </w:p>
        </w:tc>
        <w:tc>
          <w:tcPr>
            <w:tcW w:w="5245" w:type="dxa"/>
            <w:shd w:val="clear" w:color="auto" w:fill="auto"/>
          </w:tcPr>
          <w:p w14:paraId="328DDFFF" w14:textId="77777777" w:rsidR="003949D3" w:rsidRPr="0047432A" w:rsidRDefault="003949D3" w:rsidP="0047432A">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47432A">
              <w:rPr>
                <w:rFonts w:eastAsia="Times New Roman" w:cs="Tahoma"/>
                <w:sz w:val="22"/>
                <w:szCs w:val="24"/>
                <w:lang w:eastAsia="es-CO"/>
              </w:rPr>
              <w:t>Positiva S.A.</w:t>
            </w:r>
          </w:p>
        </w:tc>
      </w:tr>
      <w:tr w:rsidR="003949D3" w:rsidRPr="00AA3364" w14:paraId="1AB91A55" w14:textId="77777777" w:rsidTr="00AA3364">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600A8CE3" w14:textId="77777777" w:rsidR="003949D3" w:rsidRPr="0047432A" w:rsidRDefault="003949D3" w:rsidP="0047432A">
            <w:pPr>
              <w:ind w:firstLine="0"/>
              <w:jc w:val="left"/>
              <w:rPr>
                <w:rFonts w:cs="Tahoma"/>
                <w:i w:val="0"/>
                <w:sz w:val="22"/>
                <w:szCs w:val="24"/>
              </w:rPr>
            </w:pPr>
            <w:r w:rsidRPr="0047432A">
              <w:rPr>
                <w:rFonts w:cs="Tahoma"/>
                <w:i w:val="0"/>
                <w:sz w:val="22"/>
                <w:szCs w:val="24"/>
              </w:rPr>
              <w:t>Asunto:</w:t>
            </w:r>
          </w:p>
        </w:tc>
        <w:tc>
          <w:tcPr>
            <w:tcW w:w="5245" w:type="dxa"/>
            <w:shd w:val="clear" w:color="auto" w:fill="auto"/>
          </w:tcPr>
          <w:p w14:paraId="0FCBDBBA" w14:textId="77777777" w:rsidR="003949D3" w:rsidRPr="0047432A" w:rsidRDefault="003949D3" w:rsidP="0047432A">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47432A">
              <w:rPr>
                <w:rFonts w:eastAsia="Times New Roman" w:cs="Tahoma"/>
                <w:sz w:val="22"/>
                <w:szCs w:val="24"/>
                <w:lang w:eastAsia="es-CO"/>
              </w:rPr>
              <w:t>Apelación auto del 17 de julio de 2023</w:t>
            </w:r>
          </w:p>
        </w:tc>
      </w:tr>
      <w:tr w:rsidR="003949D3" w:rsidRPr="00AA3364" w14:paraId="4A9400F3" w14:textId="77777777" w:rsidTr="00AA3364">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4A33E55A" w14:textId="77777777" w:rsidR="003949D3" w:rsidRPr="0047432A" w:rsidRDefault="003949D3" w:rsidP="0047432A">
            <w:pPr>
              <w:ind w:firstLine="0"/>
              <w:jc w:val="left"/>
              <w:rPr>
                <w:rFonts w:cs="Tahoma"/>
                <w:i w:val="0"/>
                <w:sz w:val="22"/>
                <w:szCs w:val="24"/>
              </w:rPr>
            </w:pPr>
            <w:r w:rsidRPr="0047432A">
              <w:rPr>
                <w:rFonts w:cs="Tahoma"/>
                <w:i w:val="0"/>
                <w:sz w:val="22"/>
                <w:szCs w:val="24"/>
              </w:rPr>
              <w:t>Juzgado:</w:t>
            </w:r>
          </w:p>
        </w:tc>
        <w:tc>
          <w:tcPr>
            <w:tcW w:w="5245" w:type="dxa"/>
            <w:shd w:val="clear" w:color="auto" w:fill="auto"/>
          </w:tcPr>
          <w:p w14:paraId="43F2898F" w14:textId="77777777" w:rsidR="003949D3" w:rsidRPr="0047432A" w:rsidRDefault="003949D3" w:rsidP="0047432A">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47432A">
              <w:rPr>
                <w:rFonts w:eastAsia="Times New Roman" w:cs="Tahoma"/>
                <w:sz w:val="22"/>
                <w:szCs w:val="24"/>
                <w:lang w:eastAsia="es-CO"/>
              </w:rPr>
              <w:t>Primero Laboral del Circuito de Pereira</w:t>
            </w:r>
          </w:p>
        </w:tc>
      </w:tr>
      <w:tr w:rsidR="003949D3" w:rsidRPr="00AA3364" w14:paraId="6E73CB81" w14:textId="77777777" w:rsidTr="00AA3364">
        <w:trPr>
          <w:jc w:val="center"/>
        </w:trPr>
        <w:tc>
          <w:tcPr>
            <w:cnfStyle w:val="001000000000" w:firstRow="0" w:lastRow="0" w:firstColumn="1" w:lastColumn="0" w:oddVBand="0" w:evenVBand="0" w:oddHBand="0" w:evenHBand="0" w:firstRowFirstColumn="0" w:firstRowLastColumn="0" w:lastRowFirstColumn="0" w:lastRowLastColumn="0"/>
            <w:tcW w:w="1873" w:type="dxa"/>
            <w:tcBorders>
              <w:right w:val="none" w:sz="0" w:space="0" w:color="auto"/>
            </w:tcBorders>
            <w:shd w:val="clear" w:color="auto" w:fill="auto"/>
          </w:tcPr>
          <w:p w14:paraId="2AF5477D" w14:textId="77777777" w:rsidR="003949D3" w:rsidRPr="0047432A" w:rsidRDefault="003949D3" w:rsidP="0047432A">
            <w:pPr>
              <w:ind w:firstLine="0"/>
              <w:jc w:val="left"/>
              <w:rPr>
                <w:rFonts w:cs="Tahoma"/>
                <w:i w:val="0"/>
                <w:sz w:val="22"/>
                <w:szCs w:val="24"/>
              </w:rPr>
            </w:pPr>
            <w:r w:rsidRPr="0047432A">
              <w:rPr>
                <w:rFonts w:cs="Tahoma"/>
                <w:i w:val="0"/>
                <w:sz w:val="22"/>
                <w:szCs w:val="24"/>
              </w:rPr>
              <w:t>Tema:</w:t>
            </w:r>
          </w:p>
        </w:tc>
        <w:tc>
          <w:tcPr>
            <w:tcW w:w="5245" w:type="dxa"/>
            <w:shd w:val="clear" w:color="auto" w:fill="auto"/>
          </w:tcPr>
          <w:p w14:paraId="1EC45EC1" w14:textId="77777777" w:rsidR="003949D3" w:rsidRPr="0047432A" w:rsidRDefault="003949D3" w:rsidP="0047432A">
            <w:pPr>
              <w:ind w:firstLine="0"/>
              <w:cnfStyle w:val="000000000000" w:firstRow="0" w:lastRow="0" w:firstColumn="0" w:lastColumn="0" w:oddVBand="0" w:evenVBand="0" w:oddHBand="0" w:evenHBand="0" w:firstRowFirstColumn="0" w:firstRowLastColumn="0" w:lastRowFirstColumn="0" w:lastRowLastColumn="0"/>
              <w:rPr>
                <w:rFonts w:eastAsia="Times New Roman" w:cs="Tahoma"/>
                <w:sz w:val="22"/>
                <w:szCs w:val="24"/>
                <w:lang w:eastAsia="es-CO"/>
              </w:rPr>
            </w:pPr>
            <w:r w:rsidRPr="0047432A">
              <w:rPr>
                <w:rFonts w:eastAsia="Times New Roman" w:cs="Tahoma"/>
                <w:sz w:val="22"/>
                <w:szCs w:val="24"/>
                <w:lang w:eastAsia="es-CO"/>
              </w:rPr>
              <w:t>Auto que decide excepciones previas</w:t>
            </w:r>
          </w:p>
        </w:tc>
      </w:tr>
    </w:tbl>
    <w:p w14:paraId="6B53194F" w14:textId="77777777" w:rsidR="003949D3" w:rsidRPr="00AA3364" w:rsidRDefault="003949D3" w:rsidP="00AA3364">
      <w:pPr>
        <w:spacing w:line="276" w:lineRule="auto"/>
        <w:ind w:firstLine="0"/>
        <w:rPr>
          <w:rFonts w:cs="Tahoma"/>
          <w:b/>
          <w:sz w:val="24"/>
          <w:szCs w:val="24"/>
        </w:rPr>
      </w:pPr>
    </w:p>
    <w:p w14:paraId="6DFED8DE" w14:textId="7729AD7D" w:rsidR="003949D3" w:rsidRPr="00AA3364" w:rsidRDefault="003949D3" w:rsidP="00AA3364">
      <w:pPr>
        <w:spacing w:line="276" w:lineRule="auto"/>
        <w:ind w:firstLine="0"/>
        <w:jc w:val="center"/>
        <w:rPr>
          <w:rFonts w:cs="Tahoma"/>
          <w:b/>
          <w:sz w:val="24"/>
          <w:szCs w:val="24"/>
        </w:rPr>
      </w:pPr>
      <w:r w:rsidRPr="00AA3364">
        <w:rPr>
          <w:rFonts w:cs="Tahoma"/>
          <w:b/>
          <w:sz w:val="24"/>
          <w:szCs w:val="24"/>
        </w:rPr>
        <w:t>APROBADO POR ACTA N</w:t>
      </w:r>
      <w:r w:rsidR="001D1818" w:rsidRPr="00AA3364">
        <w:rPr>
          <w:rFonts w:cs="Tahoma"/>
          <w:b/>
          <w:sz w:val="24"/>
          <w:szCs w:val="24"/>
        </w:rPr>
        <w:t>o. 194 DEL 28 DE NOVIEMBRE DE 2023</w:t>
      </w:r>
    </w:p>
    <w:p w14:paraId="64D2AF83" w14:textId="77777777" w:rsidR="003949D3" w:rsidRPr="00AA3364" w:rsidRDefault="003949D3" w:rsidP="00AA3364">
      <w:pPr>
        <w:spacing w:line="276" w:lineRule="auto"/>
        <w:ind w:firstLine="0"/>
        <w:rPr>
          <w:rFonts w:cs="Tahoma"/>
          <w:b/>
          <w:sz w:val="24"/>
          <w:szCs w:val="24"/>
        </w:rPr>
      </w:pPr>
    </w:p>
    <w:p w14:paraId="106B0560" w14:textId="5954A762" w:rsidR="003949D3" w:rsidRPr="00AA3364" w:rsidRDefault="00E55EEE" w:rsidP="00AA3364">
      <w:pPr>
        <w:spacing w:line="276" w:lineRule="auto"/>
        <w:ind w:firstLine="0"/>
        <w:rPr>
          <w:rFonts w:cs="Tahoma"/>
          <w:sz w:val="24"/>
          <w:szCs w:val="24"/>
        </w:rPr>
      </w:pPr>
      <w:r w:rsidRPr="00AA3364">
        <w:rPr>
          <w:rFonts w:cs="Tahoma"/>
          <w:sz w:val="24"/>
          <w:szCs w:val="24"/>
        </w:rPr>
        <w:t xml:space="preserve">Hoy cuatro (04) de diciembre de dos mil veintitrés (2023) </w:t>
      </w:r>
      <w:r w:rsidR="003949D3" w:rsidRPr="00AA3364">
        <w:rPr>
          <w:rFonts w:cs="Tahoma"/>
          <w:sz w:val="24"/>
          <w:szCs w:val="24"/>
        </w:rPr>
        <w:t xml:space="preserve">En el presente asunto, conoce la Sala del proceso en virtud del recurso de apelación propuesto en contra el auto proferido por el Juzgado Primero Laboral del Circuito de Pereira, por medio del cual se decidieron las excepciones previas, recurso que propone el vocero judicial de la parte demandante en el </w:t>
      </w:r>
      <w:r w:rsidR="003949D3" w:rsidRPr="004C2F19">
        <w:rPr>
          <w:rFonts w:cs="Tahoma"/>
          <w:b/>
          <w:sz w:val="24"/>
          <w:szCs w:val="24"/>
        </w:rPr>
        <w:t>Ordinario Laboral</w:t>
      </w:r>
      <w:r w:rsidR="003949D3" w:rsidRPr="00AA3364">
        <w:rPr>
          <w:rFonts w:cs="Tahoma"/>
          <w:sz w:val="24"/>
          <w:szCs w:val="24"/>
        </w:rPr>
        <w:t xml:space="preserve"> promovido por </w:t>
      </w:r>
      <w:r w:rsidR="003949D3" w:rsidRPr="00AA3364">
        <w:rPr>
          <w:rFonts w:cs="Tahoma"/>
          <w:b/>
          <w:sz w:val="24"/>
          <w:szCs w:val="24"/>
        </w:rPr>
        <w:t xml:space="preserve">FREDDY MACHADO MOSQUERA </w:t>
      </w:r>
      <w:r w:rsidR="003949D3" w:rsidRPr="00AA3364">
        <w:rPr>
          <w:rFonts w:cs="Tahoma"/>
          <w:sz w:val="24"/>
          <w:szCs w:val="24"/>
        </w:rPr>
        <w:t xml:space="preserve">en contra de </w:t>
      </w:r>
      <w:r w:rsidR="003949D3" w:rsidRPr="00AA3364">
        <w:rPr>
          <w:rFonts w:cs="Tahoma"/>
          <w:b/>
          <w:sz w:val="24"/>
          <w:szCs w:val="24"/>
        </w:rPr>
        <w:t>POSITIVA S.A.</w:t>
      </w:r>
      <w:r w:rsidR="003949D3" w:rsidRPr="00CD5709">
        <w:rPr>
          <w:rFonts w:cs="Tahoma"/>
          <w:sz w:val="24"/>
          <w:szCs w:val="24"/>
        </w:rPr>
        <w:t xml:space="preserve">, </w:t>
      </w:r>
      <w:r w:rsidR="003949D3" w:rsidRPr="00AA3364">
        <w:rPr>
          <w:rFonts w:cs="Tahoma"/>
          <w:sz w:val="24"/>
          <w:szCs w:val="24"/>
        </w:rPr>
        <w:t xml:space="preserve">Radicado </w:t>
      </w:r>
      <w:bookmarkStart w:id="0" w:name="_Hlk150281282"/>
      <w:r w:rsidR="003949D3" w:rsidRPr="00AA3364">
        <w:rPr>
          <w:rFonts w:cs="Tahoma"/>
          <w:b/>
          <w:sz w:val="24"/>
          <w:szCs w:val="24"/>
        </w:rPr>
        <w:fldChar w:fldCharType="begin"/>
      </w:r>
      <w:r w:rsidR="003949D3" w:rsidRPr="00AA3364">
        <w:rPr>
          <w:rFonts w:cs="Tahoma"/>
          <w:b/>
          <w:sz w:val="24"/>
          <w:szCs w:val="24"/>
        </w:rPr>
        <w:instrText>HYPERLINK "https://etbcsj-my.sharepoint.com/:f:/g/personal/seclabper_cendoj_ramajudicial_gov_co/Es-QSDh6IwBBmtVjZy5Apo8BAYPYal451-D5YirRQByZ-w?e=Un1nRo"</w:instrText>
      </w:r>
      <w:r w:rsidR="003949D3" w:rsidRPr="00AA3364">
        <w:rPr>
          <w:rFonts w:cs="Tahoma"/>
          <w:b/>
          <w:sz w:val="24"/>
          <w:szCs w:val="24"/>
        </w:rPr>
        <w:fldChar w:fldCharType="separate"/>
      </w:r>
      <w:r w:rsidR="003949D3" w:rsidRPr="00AA3364">
        <w:rPr>
          <w:b/>
          <w:sz w:val="24"/>
          <w:szCs w:val="24"/>
        </w:rPr>
        <w:t>66001310500120200025501</w:t>
      </w:r>
      <w:r w:rsidR="003949D3" w:rsidRPr="00AA3364">
        <w:rPr>
          <w:b/>
          <w:sz w:val="24"/>
          <w:szCs w:val="24"/>
        </w:rPr>
        <w:fldChar w:fldCharType="end"/>
      </w:r>
      <w:bookmarkEnd w:id="0"/>
      <w:r w:rsidR="003949D3" w:rsidRPr="00AA3364">
        <w:rPr>
          <w:rFonts w:cs="Tahoma"/>
          <w:sz w:val="24"/>
          <w:szCs w:val="24"/>
        </w:rPr>
        <w:t>.</w:t>
      </w:r>
    </w:p>
    <w:p w14:paraId="74B9E1A8" w14:textId="77777777" w:rsidR="003949D3" w:rsidRPr="00AA3364" w:rsidRDefault="003949D3" w:rsidP="00AA3364">
      <w:pPr>
        <w:spacing w:line="276" w:lineRule="auto"/>
        <w:ind w:firstLine="0"/>
        <w:rPr>
          <w:rFonts w:cs="Tahoma"/>
          <w:sz w:val="24"/>
          <w:szCs w:val="24"/>
        </w:rPr>
      </w:pPr>
    </w:p>
    <w:p w14:paraId="1A12CEB3" w14:textId="77777777" w:rsidR="003949D3" w:rsidRPr="00AA3364" w:rsidRDefault="003949D3" w:rsidP="00AA3364">
      <w:pPr>
        <w:spacing w:line="276" w:lineRule="auto"/>
        <w:ind w:firstLine="851"/>
        <w:rPr>
          <w:rFonts w:cs="Tahoma"/>
          <w:sz w:val="24"/>
          <w:szCs w:val="24"/>
        </w:rPr>
      </w:pPr>
      <w:r w:rsidRPr="00AA3364">
        <w:rPr>
          <w:rFonts w:cs="Tahoma"/>
          <w:sz w:val="24"/>
          <w:szCs w:val="24"/>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5E907108" w14:textId="77777777" w:rsidR="003949D3" w:rsidRPr="00AA3364" w:rsidRDefault="003949D3" w:rsidP="00AA3364">
      <w:pPr>
        <w:spacing w:line="276" w:lineRule="auto"/>
        <w:ind w:firstLine="0"/>
        <w:rPr>
          <w:rFonts w:cs="Tahoma"/>
          <w:b/>
          <w:sz w:val="24"/>
          <w:szCs w:val="24"/>
        </w:rPr>
      </w:pPr>
    </w:p>
    <w:p w14:paraId="664D2F19" w14:textId="20C5CF76" w:rsidR="003949D3" w:rsidRPr="00AA3364" w:rsidRDefault="001D1818" w:rsidP="00AA3364">
      <w:pPr>
        <w:spacing w:line="276" w:lineRule="auto"/>
        <w:ind w:firstLine="0"/>
        <w:jc w:val="center"/>
        <w:rPr>
          <w:rFonts w:cs="Tahoma"/>
          <w:b/>
          <w:sz w:val="24"/>
          <w:szCs w:val="24"/>
        </w:rPr>
      </w:pPr>
      <w:r w:rsidRPr="00AA3364">
        <w:rPr>
          <w:rFonts w:cs="Tahoma"/>
          <w:b/>
          <w:sz w:val="24"/>
          <w:szCs w:val="24"/>
        </w:rPr>
        <w:t xml:space="preserve">AUTO </w:t>
      </w:r>
      <w:r w:rsidR="003949D3" w:rsidRPr="00AA3364">
        <w:rPr>
          <w:rFonts w:cs="Tahoma"/>
          <w:b/>
          <w:sz w:val="24"/>
          <w:szCs w:val="24"/>
        </w:rPr>
        <w:t xml:space="preserve">INTERLOCUTORIO </w:t>
      </w:r>
      <w:r w:rsidR="0065790C" w:rsidRPr="00AA3364">
        <w:rPr>
          <w:rFonts w:cs="Tahoma"/>
          <w:b/>
          <w:sz w:val="24"/>
          <w:szCs w:val="24"/>
        </w:rPr>
        <w:t>No</w:t>
      </w:r>
      <w:r w:rsidRPr="00AA3364">
        <w:rPr>
          <w:rFonts w:cs="Tahoma"/>
          <w:b/>
          <w:sz w:val="24"/>
          <w:szCs w:val="24"/>
        </w:rPr>
        <w:t xml:space="preserve">. 141 </w:t>
      </w:r>
    </w:p>
    <w:p w14:paraId="0AE5BCAD" w14:textId="77777777" w:rsidR="00E5253A" w:rsidRPr="00AA3364" w:rsidRDefault="00E5253A" w:rsidP="00AA3364">
      <w:pPr>
        <w:spacing w:line="276" w:lineRule="auto"/>
        <w:ind w:firstLine="0"/>
        <w:jc w:val="center"/>
        <w:rPr>
          <w:rFonts w:cs="Tahoma"/>
          <w:b/>
          <w:sz w:val="24"/>
          <w:szCs w:val="24"/>
        </w:rPr>
      </w:pPr>
    </w:p>
    <w:p w14:paraId="4944A9AD" w14:textId="2278590B" w:rsidR="003949D3" w:rsidRPr="00AA3364" w:rsidRDefault="00E5253A" w:rsidP="00AA3364">
      <w:pPr>
        <w:pStyle w:val="Prrafodelista"/>
        <w:numPr>
          <w:ilvl w:val="0"/>
          <w:numId w:val="11"/>
        </w:numPr>
        <w:spacing w:line="276" w:lineRule="auto"/>
        <w:ind w:left="284"/>
        <w:jc w:val="center"/>
        <w:rPr>
          <w:rFonts w:cs="Tahoma"/>
          <w:b/>
          <w:sz w:val="24"/>
          <w:szCs w:val="24"/>
        </w:rPr>
      </w:pPr>
      <w:r w:rsidRPr="00AA3364">
        <w:rPr>
          <w:rFonts w:cs="Tahoma"/>
          <w:b/>
          <w:sz w:val="24"/>
          <w:szCs w:val="24"/>
        </w:rPr>
        <w:lastRenderedPageBreak/>
        <w:t>ANTECEDENTES</w:t>
      </w:r>
    </w:p>
    <w:p w14:paraId="1F94C242" w14:textId="77777777" w:rsidR="00405F66" w:rsidRPr="00AA3364" w:rsidRDefault="00405F66" w:rsidP="00AA3364">
      <w:pPr>
        <w:spacing w:line="276" w:lineRule="auto"/>
        <w:ind w:firstLine="0"/>
        <w:rPr>
          <w:rFonts w:cs="Tahoma"/>
          <w:b/>
          <w:sz w:val="24"/>
          <w:szCs w:val="24"/>
        </w:rPr>
      </w:pPr>
    </w:p>
    <w:p w14:paraId="13AE644B" w14:textId="6B0A65EC" w:rsidR="003F73F6" w:rsidRPr="00AA3364" w:rsidRDefault="003F73F6" w:rsidP="00AA3364">
      <w:pPr>
        <w:spacing w:line="276" w:lineRule="auto"/>
        <w:ind w:firstLine="851"/>
        <w:rPr>
          <w:rFonts w:cs="Tahoma"/>
          <w:bCs/>
          <w:sz w:val="24"/>
          <w:szCs w:val="24"/>
        </w:rPr>
      </w:pPr>
      <w:r w:rsidRPr="00AA3364">
        <w:rPr>
          <w:rFonts w:cs="Tahoma"/>
          <w:b/>
          <w:sz w:val="24"/>
          <w:szCs w:val="24"/>
        </w:rPr>
        <w:t>FREDDY MACHADO MOSQUERA</w:t>
      </w:r>
      <w:r w:rsidRPr="00AA3364">
        <w:rPr>
          <w:rFonts w:cs="Tahoma"/>
          <w:bCs/>
          <w:sz w:val="24"/>
          <w:szCs w:val="24"/>
        </w:rPr>
        <w:t xml:space="preserve"> aspira a </w:t>
      </w:r>
      <w:r w:rsidR="00C22A87" w:rsidRPr="00AA3364">
        <w:rPr>
          <w:rFonts w:cs="Tahoma"/>
          <w:bCs/>
          <w:sz w:val="24"/>
          <w:szCs w:val="24"/>
        </w:rPr>
        <w:t>que,</w:t>
      </w:r>
      <w:r w:rsidRPr="00AA3364">
        <w:rPr>
          <w:rFonts w:cs="Tahoma"/>
          <w:bCs/>
          <w:sz w:val="24"/>
          <w:szCs w:val="24"/>
        </w:rPr>
        <w:t xml:space="preserve"> </w:t>
      </w:r>
      <w:r w:rsidR="00C22A87" w:rsidRPr="00AA3364">
        <w:rPr>
          <w:rFonts w:cs="Tahoma"/>
          <w:bCs/>
          <w:sz w:val="24"/>
          <w:szCs w:val="24"/>
        </w:rPr>
        <w:t xml:space="preserve">en virtud de un accidente y enfermedad laboral, </w:t>
      </w:r>
      <w:r w:rsidRPr="00AA3364">
        <w:rPr>
          <w:rFonts w:cs="Tahoma"/>
          <w:bCs/>
          <w:sz w:val="24"/>
          <w:szCs w:val="24"/>
        </w:rPr>
        <w:t xml:space="preserve">se </w:t>
      </w:r>
      <w:r w:rsidR="00C22A87" w:rsidRPr="00AA3364">
        <w:rPr>
          <w:rFonts w:cs="Tahoma"/>
          <w:bCs/>
          <w:sz w:val="24"/>
          <w:szCs w:val="24"/>
        </w:rPr>
        <w:t xml:space="preserve">condene </w:t>
      </w:r>
      <w:r w:rsidRPr="00AA3364">
        <w:rPr>
          <w:rFonts w:cs="Tahoma"/>
          <w:bCs/>
          <w:sz w:val="24"/>
          <w:szCs w:val="24"/>
        </w:rPr>
        <w:t xml:space="preserve">a </w:t>
      </w:r>
      <w:r w:rsidRPr="00AA3364">
        <w:rPr>
          <w:rFonts w:cs="Tahoma"/>
          <w:b/>
          <w:sz w:val="24"/>
          <w:szCs w:val="24"/>
        </w:rPr>
        <w:t>POSITIVA COMPAÑÍA DE SEGUROS S.A.</w:t>
      </w:r>
      <w:r w:rsidRPr="00AA3364">
        <w:rPr>
          <w:rFonts w:cs="Tahoma"/>
          <w:bCs/>
          <w:sz w:val="24"/>
          <w:szCs w:val="24"/>
        </w:rPr>
        <w:t xml:space="preserve">, al pago de los gastos médicos </w:t>
      </w:r>
      <w:r w:rsidR="00C22A87" w:rsidRPr="00AA3364">
        <w:rPr>
          <w:rFonts w:cs="Tahoma"/>
          <w:bCs/>
          <w:sz w:val="24"/>
          <w:szCs w:val="24"/>
        </w:rPr>
        <w:t xml:space="preserve">que incurrió por </w:t>
      </w:r>
      <w:r w:rsidR="00E5253A" w:rsidRPr="00AA3364">
        <w:rPr>
          <w:rFonts w:cs="Tahoma"/>
          <w:bCs/>
          <w:sz w:val="24"/>
          <w:szCs w:val="24"/>
        </w:rPr>
        <w:t>concepto de:</w:t>
      </w:r>
      <w:r w:rsidR="00C22A87" w:rsidRPr="00AA3364">
        <w:rPr>
          <w:rFonts w:cs="Tahoma"/>
          <w:bCs/>
          <w:sz w:val="24"/>
          <w:szCs w:val="24"/>
        </w:rPr>
        <w:t xml:space="preserve"> </w:t>
      </w:r>
      <w:r w:rsidR="00E5253A" w:rsidRPr="00AA3364">
        <w:rPr>
          <w:rFonts w:cs="Tahoma"/>
          <w:bCs/>
          <w:sz w:val="24"/>
          <w:szCs w:val="24"/>
        </w:rPr>
        <w:t xml:space="preserve">Resonancia magnética de rodilla derecha </w:t>
      </w:r>
      <w:r w:rsidR="00C22A87" w:rsidRPr="00AA3364">
        <w:rPr>
          <w:rFonts w:cs="Tahoma"/>
          <w:bCs/>
          <w:sz w:val="24"/>
          <w:szCs w:val="24"/>
        </w:rPr>
        <w:t>(</w:t>
      </w:r>
      <w:r w:rsidR="00E5253A" w:rsidRPr="00AA3364">
        <w:rPr>
          <w:rFonts w:cs="Tahoma"/>
          <w:bCs/>
          <w:sz w:val="24"/>
          <w:szCs w:val="24"/>
        </w:rPr>
        <w:t>$702.031</w:t>
      </w:r>
      <w:r w:rsidR="00C22A87" w:rsidRPr="00AA3364">
        <w:rPr>
          <w:rFonts w:cs="Tahoma"/>
          <w:bCs/>
          <w:sz w:val="24"/>
          <w:szCs w:val="24"/>
        </w:rPr>
        <w:t>)</w:t>
      </w:r>
      <w:r w:rsidR="00E5253A" w:rsidRPr="00AA3364">
        <w:rPr>
          <w:rFonts w:cs="Tahoma"/>
          <w:bCs/>
          <w:sz w:val="24"/>
          <w:szCs w:val="24"/>
        </w:rPr>
        <w:t xml:space="preserve">, </w:t>
      </w:r>
      <w:r w:rsidR="00C22A87" w:rsidRPr="00AA3364">
        <w:rPr>
          <w:rFonts w:cs="Tahoma"/>
          <w:bCs/>
          <w:sz w:val="24"/>
          <w:szCs w:val="24"/>
        </w:rPr>
        <w:t>c</w:t>
      </w:r>
      <w:r w:rsidR="00E5253A" w:rsidRPr="00AA3364">
        <w:rPr>
          <w:rFonts w:cs="Tahoma"/>
          <w:bCs/>
          <w:sz w:val="24"/>
          <w:szCs w:val="24"/>
        </w:rPr>
        <w:t xml:space="preserve">onsulta por valoración </w:t>
      </w:r>
      <w:r w:rsidR="00C22A87" w:rsidRPr="00AA3364">
        <w:rPr>
          <w:rFonts w:cs="Tahoma"/>
          <w:bCs/>
          <w:sz w:val="24"/>
          <w:szCs w:val="24"/>
        </w:rPr>
        <w:t>(</w:t>
      </w:r>
      <w:r w:rsidR="00E5253A" w:rsidRPr="00AA3364">
        <w:rPr>
          <w:rFonts w:cs="Tahoma"/>
          <w:bCs/>
          <w:sz w:val="24"/>
          <w:szCs w:val="24"/>
        </w:rPr>
        <w:t>$60.800</w:t>
      </w:r>
      <w:r w:rsidR="00C22A87" w:rsidRPr="00AA3364">
        <w:rPr>
          <w:rFonts w:cs="Tahoma"/>
          <w:bCs/>
          <w:sz w:val="24"/>
          <w:szCs w:val="24"/>
        </w:rPr>
        <w:t>)</w:t>
      </w:r>
      <w:r w:rsidR="00E5253A" w:rsidRPr="00AA3364">
        <w:rPr>
          <w:rFonts w:cs="Tahoma"/>
          <w:bCs/>
          <w:sz w:val="24"/>
          <w:szCs w:val="24"/>
        </w:rPr>
        <w:t xml:space="preserve">, </w:t>
      </w:r>
      <w:r w:rsidR="00C22A87" w:rsidRPr="00AA3364">
        <w:rPr>
          <w:rFonts w:cs="Tahoma"/>
          <w:bCs/>
          <w:sz w:val="24"/>
          <w:szCs w:val="24"/>
        </w:rPr>
        <w:t>g</w:t>
      </w:r>
      <w:r w:rsidR="00E5253A" w:rsidRPr="00AA3364">
        <w:rPr>
          <w:rFonts w:cs="Tahoma"/>
          <w:bCs/>
          <w:sz w:val="24"/>
          <w:szCs w:val="24"/>
        </w:rPr>
        <w:t xml:space="preserve">astos de instrumentador quirúrgico </w:t>
      </w:r>
      <w:r w:rsidR="00C22A87" w:rsidRPr="00AA3364">
        <w:rPr>
          <w:rFonts w:cs="Tahoma"/>
          <w:bCs/>
          <w:sz w:val="24"/>
          <w:szCs w:val="24"/>
        </w:rPr>
        <w:t>(</w:t>
      </w:r>
      <w:r w:rsidR="00E5253A" w:rsidRPr="00AA3364">
        <w:rPr>
          <w:rFonts w:cs="Tahoma"/>
          <w:bCs/>
          <w:sz w:val="24"/>
          <w:szCs w:val="24"/>
        </w:rPr>
        <w:t>$408.015</w:t>
      </w:r>
      <w:r w:rsidR="00C22A87" w:rsidRPr="00AA3364">
        <w:rPr>
          <w:rFonts w:cs="Tahoma"/>
          <w:bCs/>
          <w:sz w:val="24"/>
          <w:szCs w:val="24"/>
        </w:rPr>
        <w:t>)</w:t>
      </w:r>
      <w:r w:rsidR="00E5253A" w:rsidRPr="00AA3364">
        <w:rPr>
          <w:rFonts w:cs="Tahoma"/>
          <w:bCs/>
          <w:sz w:val="24"/>
          <w:szCs w:val="24"/>
        </w:rPr>
        <w:t xml:space="preserve">, quirúrgicos </w:t>
      </w:r>
      <w:r w:rsidR="00C22A87" w:rsidRPr="00AA3364">
        <w:rPr>
          <w:rFonts w:cs="Tahoma"/>
          <w:bCs/>
          <w:sz w:val="24"/>
          <w:szCs w:val="24"/>
        </w:rPr>
        <w:t>(</w:t>
      </w:r>
      <w:r w:rsidR="00E5253A" w:rsidRPr="00AA3364">
        <w:rPr>
          <w:rFonts w:cs="Tahoma"/>
          <w:bCs/>
          <w:sz w:val="24"/>
          <w:szCs w:val="24"/>
        </w:rPr>
        <w:t>$9.720.000</w:t>
      </w:r>
      <w:r w:rsidR="00C22A87" w:rsidRPr="00AA3364">
        <w:rPr>
          <w:rFonts w:cs="Tahoma"/>
          <w:bCs/>
          <w:sz w:val="24"/>
          <w:szCs w:val="24"/>
        </w:rPr>
        <w:t>)</w:t>
      </w:r>
      <w:r w:rsidR="00E5253A" w:rsidRPr="00AA3364">
        <w:rPr>
          <w:rFonts w:cs="Tahoma"/>
          <w:bCs/>
          <w:sz w:val="24"/>
          <w:szCs w:val="24"/>
        </w:rPr>
        <w:t xml:space="preserve">, de rehabilitación fisioterapéutica </w:t>
      </w:r>
      <w:r w:rsidR="00C22A87" w:rsidRPr="00AA3364">
        <w:rPr>
          <w:rFonts w:cs="Tahoma"/>
          <w:bCs/>
          <w:sz w:val="24"/>
          <w:szCs w:val="24"/>
        </w:rPr>
        <w:t>(</w:t>
      </w:r>
      <w:r w:rsidR="00E5253A" w:rsidRPr="00AA3364">
        <w:rPr>
          <w:rFonts w:cs="Tahoma"/>
          <w:bCs/>
          <w:sz w:val="24"/>
          <w:szCs w:val="24"/>
        </w:rPr>
        <w:t>$11.250.000</w:t>
      </w:r>
      <w:r w:rsidR="00C22A87" w:rsidRPr="00AA3364">
        <w:rPr>
          <w:rFonts w:cs="Tahoma"/>
          <w:bCs/>
          <w:sz w:val="24"/>
          <w:szCs w:val="24"/>
        </w:rPr>
        <w:t>)</w:t>
      </w:r>
      <w:r w:rsidR="00E5253A" w:rsidRPr="00AA3364">
        <w:rPr>
          <w:rFonts w:cs="Tahoma"/>
          <w:bCs/>
          <w:sz w:val="24"/>
          <w:szCs w:val="24"/>
        </w:rPr>
        <w:t xml:space="preserve"> y de fortalecimiento físico </w:t>
      </w:r>
      <w:r w:rsidR="00C22A87" w:rsidRPr="00AA3364">
        <w:rPr>
          <w:rFonts w:cs="Tahoma"/>
          <w:bCs/>
          <w:sz w:val="24"/>
          <w:szCs w:val="24"/>
        </w:rPr>
        <w:t>(</w:t>
      </w:r>
      <w:r w:rsidR="00E5253A" w:rsidRPr="00AA3364">
        <w:rPr>
          <w:rFonts w:cs="Tahoma"/>
          <w:bCs/>
          <w:sz w:val="24"/>
          <w:szCs w:val="24"/>
        </w:rPr>
        <w:t>$1.300.</w:t>
      </w:r>
      <w:r w:rsidR="00E5253A" w:rsidRPr="00AA3364">
        <w:rPr>
          <w:rFonts w:cs="Tahoma"/>
          <w:sz w:val="24"/>
          <w:szCs w:val="24"/>
        </w:rPr>
        <w:t>00</w:t>
      </w:r>
      <w:r w:rsidR="00C22A87" w:rsidRPr="00AA3364">
        <w:rPr>
          <w:rFonts w:cs="Tahoma"/>
          <w:sz w:val="24"/>
          <w:szCs w:val="24"/>
        </w:rPr>
        <w:t>)</w:t>
      </w:r>
      <w:r w:rsidR="00E5253A" w:rsidRPr="00AA3364">
        <w:rPr>
          <w:rFonts w:cs="Tahoma"/>
          <w:bCs/>
          <w:sz w:val="24"/>
          <w:szCs w:val="24"/>
        </w:rPr>
        <w:t xml:space="preserve">, </w:t>
      </w:r>
      <w:r w:rsidR="00C22A87" w:rsidRPr="00AA3364">
        <w:rPr>
          <w:rFonts w:cs="Tahoma"/>
          <w:bCs/>
          <w:sz w:val="24"/>
          <w:szCs w:val="24"/>
        </w:rPr>
        <w:t xml:space="preserve">además de los </w:t>
      </w:r>
      <w:r w:rsidRPr="00AA3364">
        <w:rPr>
          <w:rFonts w:cs="Tahoma"/>
          <w:bCs/>
          <w:sz w:val="24"/>
          <w:szCs w:val="24"/>
        </w:rPr>
        <w:t xml:space="preserve">intereses moratorios e indexación. </w:t>
      </w:r>
      <w:r w:rsidR="00C22A87" w:rsidRPr="00AA3364">
        <w:rPr>
          <w:rFonts w:cs="Tahoma"/>
          <w:bCs/>
          <w:sz w:val="24"/>
          <w:szCs w:val="24"/>
        </w:rPr>
        <w:t xml:space="preserve">De igual forma, solicita el pago </w:t>
      </w:r>
      <w:r w:rsidRPr="00AA3364">
        <w:rPr>
          <w:rFonts w:cs="Tahoma"/>
          <w:bCs/>
          <w:sz w:val="24"/>
          <w:szCs w:val="24"/>
        </w:rPr>
        <w:t>de las costas del proceso.</w:t>
      </w:r>
    </w:p>
    <w:p w14:paraId="572A46C3" w14:textId="77777777" w:rsidR="00E5253A" w:rsidRPr="00AA3364" w:rsidRDefault="00E5253A" w:rsidP="00AA3364">
      <w:pPr>
        <w:spacing w:line="276" w:lineRule="auto"/>
        <w:ind w:firstLine="0"/>
        <w:rPr>
          <w:rFonts w:cs="Tahoma"/>
          <w:bCs/>
          <w:sz w:val="24"/>
          <w:szCs w:val="24"/>
        </w:rPr>
      </w:pPr>
    </w:p>
    <w:p w14:paraId="4A0F2FCC" w14:textId="170C4940" w:rsidR="00B42AD4" w:rsidRPr="00AA3364" w:rsidRDefault="00B42AD4" w:rsidP="00AA3364">
      <w:pPr>
        <w:spacing w:line="276" w:lineRule="auto"/>
        <w:ind w:firstLine="851"/>
        <w:rPr>
          <w:rFonts w:cs="Tahoma"/>
          <w:bCs/>
          <w:sz w:val="24"/>
          <w:szCs w:val="24"/>
        </w:rPr>
      </w:pPr>
      <w:r w:rsidRPr="00AA3364">
        <w:rPr>
          <w:rFonts w:cs="Tahoma"/>
          <w:bCs/>
          <w:sz w:val="24"/>
          <w:szCs w:val="24"/>
        </w:rPr>
        <w:t>Se sustenta lo pretendido</w:t>
      </w:r>
      <w:r w:rsidR="0096070C" w:rsidRPr="00AA3364">
        <w:rPr>
          <w:rFonts w:cs="Tahoma"/>
          <w:bCs/>
          <w:sz w:val="24"/>
          <w:szCs w:val="24"/>
        </w:rPr>
        <w:t xml:space="preserve">, en síntesis, </w:t>
      </w:r>
      <w:r w:rsidRPr="00AA3364">
        <w:rPr>
          <w:rFonts w:cs="Tahoma"/>
          <w:bCs/>
          <w:sz w:val="24"/>
          <w:szCs w:val="24"/>
        </w:rPr>
        <w:t>en que,</w:t>
      </w:r>
      <w:r w:rsidR="0096070C" w:rsidRPr="00AA3364">
        <w:rPr>
          <w:rFonts w:cs="Tahoma"/>
          <w:bCs/>
          <w:sz w:val="24"/>
          <w:szCs w:val="24"/>
        </w:rPr>
        <w:t xml:space="preserve"> </w:t>
      </w:r>
      <w:r w:rsidRPr="00AA3364">
        <w:rPr>
          <w:rFonts w:cs="Tahoma"/>
          <w:bCs/>
          <w:sz w:val="24"/>
          <w:szCs w:val="24"/>
        </w:rPr>
        <w:t xml:space="preserve">siendo el actor </w:t>
      </w:r>
      <w:r w:rsidR="0096070C" w:rsidRPr="00AA3364">
        <w:rPr>
          <w:rFonts w:cs="Tahoma"/>
          <w:bCs/>
          <w:sz w:val="24"/>
          <w:szCs w:val="24"/>
        </w:rPr>
        <w:t xml:space="preserve">vinculado como jugador de futbol profesional a la </w:t>
      </w:r>
      <w:r w:rsidRPr="00AA3364">
        <w:rPr>
          <w:rFonts w:cs="Tahoma"/>
          <w:bCs/>
          <w:sz w:val="24"/>
          <w:szCs w:val="24"/>
        </w:rPr>
        <w:t xml:space="preserve">Asociación Deportivo Pasto, </w:t>
      </w:r>
      <w:r w:rsidR="0096070C" w:rsidRPr="00AA3364">
        <w:rPr>
          <w:rFonts w:cs="Tahoma"/>
          <w:bCs/>
          <w:sz w:val="24"/>
          <w:szCs w:val="24"/>
        </w:rPr>
        <w:t>el 13</w:t>
      </w:r>
      <w:r w:rsidRPr="00AA3364">
        <w:rPr>
          <w:rFonts w:cs="Tahoma"/>
          <w:bCs/>
          <w:sz w:val="24"/>
          <w:szCs w:val="24"/>
        </w:rPr>
        <w:t>-03-2016</w:t>
      </w:r>
      <w:r w:rsidR="0096070C" w:rsidRPr="00AA3364">
        <w:rPr>
          <w:rFonts w:cs="Tahoma"/>
          <w:bCs/>
          <w:sz w:val="24"/>
          <w:szCs w:val="24"/>
        </w:rPr>
        <w:t xml:space="preserve"> sufrió un accidente laboral reportado por su empleador</w:t>
      </w:r>
      <w:r w:rsidRPr="00AA3364">
        <w:rPr>
          <w:rFonts w:cs="Tahoma"/>
          <w:bCs/>
          <w:sz w:val="24"/>
          <w:szCs w:val="24"/>
        </w:rPr>
        <w:t>, razón por la cual, el 0</w:t>
      </w:r>
      <w:r w:rsidR="0096070C" w:rsidRPr="00AA3364">
        <w:rPr>
          <w:rFonts w:cs="Tahoma"/>
          <w:bCs/>
          <w:sz w:val="24"/>
          <w:szCs w:val="24"/>
        </w:rPr>
        <w:t>2</w:t>
      </w:r>
      <w:r w:rsidRPr="00AA3364">
        <w:rPr>
          <w:rFonts w:cs="Tahoma"/>
          <w:bCs/>
          <w:sz w:val="24"/>
          <w:szCs w:val="24"/>
        </w:rPr>
        <w:t>-04-2016</w:t>
      </w:r>
      <w:r w:rsidR="0096070C" w:rsidRPr="00AA3364">
        <w:rPr>
          <w:rFonts w:cs="Tahoma"/>
          <w:bCs/>
          <w:sz w:val="24"/>
          <w:szCs w:val="24"/>
        </w:rPr>
        <w:t xml:space="preserve"> fue intervenido quirúrgicamente </w:t>
      </w:r>
      <w:r w:rsidRPr="00AA3364">
        <w:rPr>
          <w:rFonts w:cs="Tahoma"/>
          <w:bCs/>
          <w:sz w:val="24"/>
          <w:szCs w:val="24"/>
        </w:rPr>
        <w:t xml:space="preserve">en la rodilla derecha </w:t>
      </w:r>
      <w:r w:rsidR="0096070C" w:rsidRPr="00AA3364">
        <w:rPr>
          <w:rFonts w:cs="Tahoma"/>
          <w:bCs/>
          <w:sz w:val="24"/>
          <w:szCs w:val="24"/>
        </w:rPr>
        <w:t xml:space="preserve">por </w:t>
      </w:r>
      <w:r w:rsidRPr="00AA3364">
        <w:rPr>
          <w:rFonts w:cs="Tahoma"/>
          <w:bCs/>
          <w:sz w:val="24"/>
          <w:szCs w:val="24"/>
        </w:rPr>
        <w:t xml:space="preserve">Positiva Compañía </w:t>
      </w:r>
      <w:r w:rsidR="00CD5709" w:rsidRPr="00AA3364">
        <w:rPr>
          <w:rFonts w:cs="Tahoma"/>
          <w:bCs/>
          <w:sz w:val="24"/>
          <w:szCs w:val="24"/>
        </w:rPr>
        <w:t xml:space="preserve">de </w:t>
      </w:r>
      <w:r w:rsidRPr="00AA3364">
        <w:rPr>
          <w:rFonts w:cs="Tahoma"/>
          <w:bCs/>
          <w:sz w:val="24"/>
          <w:szCs w:val="24"/>
        </w:rPr>
        <w:t xml:space="preserve">Seguros </w:t>
      </w:r>
      <w:r w:rsidR="0096070C" w:rsidRPr="00AA3364">
        <w:rPr>
          <w:rFonts w:cs="Tahoma"/>
          <w:bCs/>
          <w:sz w:val="24"/>
          <w:szCs w:val="24"/>
        </w:rPr>
        <w:t xml:space="preserve">S.A., cirugía </w:t>
      </w:r>
      <w:r w:rsidRPr="00AA3364">
        <w:rPr>
          <w:rFonts w:cs="Tahoma"/>
          <w:bCs/>
          <w:sz w:val="24"/>
          <w:szCs w:val="24"/>
        </w:rPr>
        <w:t xml:space="preserve">que trató la </w:t>
      </w:r>
      <w:r w:rsidR="0096070C" w:rsidRPr="00AA3364">
        <w:rPr>
          <w:rFonts w:cs="Tahoma"/>
          <w:bCs/>
          <w:sz w:val="24"/>
          <w:szCs w:val="24"/>
        </w:rPr>
        <w:t xml:space="preserve">lesión </w:t>
      </w:r>
      <w:r w:rsidRPr="00AA3364">
        <w:rPr>
          <w:rFonts w:cs="Tahoma"/>
          <w:bCs/>
          <w:sz w:val="24"/>
          <w:szCs w:val="24"/>
        </w:rPr>
        <w:t xml:space="preserve">de </w:t>
      </w:r>
      <w:r w:rsidR="0096070C" w:rsidRPr="00AA3364">
        <w:rPr>
          <w:rFonts w:cs="Tahoma"/>
          <w:bCs/>
          <w:sz w:val="24"/>
          <w:szCs w:val="24"/>
        </w:rPr>
        <w:t>meniscos, omitiendo el médico tratante otras lesiones diagnosticadas.</w:t>
      </w:r>
      <w:r w:rsidR="007D2755" w:rsidRPr="00AA3364">
        <w:rPr>
          <w:rFonts w:cs="Tahoma"/>
          <w:bCs/>
          <w:sz w:val="24"/>
          <w:szCs w:val="24"/>
        </w:rPr>
        <w:t xml:space="preserve"> Que el 25</w:t>
      </w:r>
      <w:r w:rsidRPr="00AA3364">
        <w:rPr>
          <w:rFonts w:cs="Tahoma"/>
          <w:bCs/>
          <w:sz w:val="24"/>
          <w:szCs w:val="24"/>
        </w:rPr>
        <w:t>-07-2016</w:t>
      </w:r>
      <w:r w:rsidR="007D2755" w:rsidRPr="00AA3364">
        <w:rPr>
          <w:rFonts w:cs="Tahoma"/>
          <w:bCs/>
          <w:sz w:val="24"/>
          <w:szCs w:val="24"/>
        </w:rPr>
        <w:t xml:space="preserve"> </w:t>
      </w:r>
      <w:r w:rsidRPr="00AA3364">
        <w:rPr>
          <w:rFonts w:cs="Tahoma"/>
          <w:bCs/>
          <w:sz w:val="24"/>
          <w:szCs w:val="24"/>
        </w:rPr>
        <w:t xml:space="preserve">al reincorporarse </w:t>
      </w:r>
      <w:r w:rsidR="007D2755" w:rsidRPr="00AA3364">
        <w:rPr>
          <w:rFonts w:cs="Tahoma"/>
          <w:bCs/>
          <w:sz w:val="24"/>
          <w:szCs w:val="24"/>
        </w:rPr>
        <w:t>a entrenamientos, en la práctica del 31</w:t>
      </w:r>
      <w:r w:rsidRPr="00AA3364">
        <w:rPr>
          <w:rFonts w:cs="Tahoma"/>
          <w:bCs/>
          <w:sz w:val="24"/>
          <w:szCs w:val="24"/>
        </w:rPr>
        <w:t>-08-2016</w:t>
      </w:r>
      <w:r w:rsidR="007D2755" w:rsidRPr="00AA3364">
        <w:rPr>
          <w:rFonts w:cs="Tahoma"/>
          <w:bCs/>
          <w:sz w:val="24"/>
          <w:szCs w:val="24"/>
        </w:rPr>
        <w:t xml:space="preserve"> </w:t>
      </w:r>
      <w:r w:rsidRPr="00AA3364">
        <w:rPr>
          <w:rFonts w:cs="Tahoma"/>
          <w:bCs/>
          <w:sz w:val="24"/>
          <w:szCs w:val="24"/>
        </w:rPr>
        <w:t xml:space="preserve">por un </w:t>
      </w:r>
      <w:r w:rsidR="007D2755" w:rsidRPr="00AA3364">
        <w:rPr>
          <w:rFonts w:cs="Tahoma"/>
          <w:bCs/>
          <w:sz w:val="24"/>
          <w:szCs w:val="24"/>
        </w:rPr>
        <w:t xml:space="preserve">movimiento de rotación, </w:t>
      </w:r>
      <w:r w:rsidRPr="00AA3364">
        <w:rPr>
          <w:rFonts w:cs="Tahoma"/>
          <w:bCs/>
          <w:sz w:val="24"/>
          <w:szCs w:val="24"/>
        </w:rPr>
        <w:t xml:space="preserve">se </w:t>
      </w:r>
      <w:r w:rsidR="007D2755" w:rsidRPr="00AA3364">
        <w:rPr>
          <w:rFonts w:cs="Tahoma"/>
          <w:bCs/>
          <w:sz w:val="24"/>
          <w:szCs w:val="24"/>
        </w:rPr>
        <w:t xml:space="preserve">le generó dolor en la rodilla intervenida, aparejado de impotencia funcional, </w:t>
      </w:r>
      <w:r w:rsidRPr="00AA3364">
        <w:rPr>
          <w:rFonts w:cs="Tahoma"/>
          <w:bCs/>
          <w:sz w:val="24"/>
          <w:szCs w:val="24"/>
        </w:rPr>
        <w:t xml:space="preserve">por lo que fue </w:t>
      </w:r>
      <w:r w:rsidR="007D2755" w:rsidRPr="00AA3364">
        <w:rPr>
          <w:rFonts w:cs="Tahoma"/>
          <w:bCs/>
          <w:sz w:val="24"/>
          <w:szCs w:val="24"/>
        </w:rPr>
        <w:t xml:space="preserve">nuevamente reportado por el empleador a la </w:t>
      </w:r>
      <w:proofErr w:type="spellStart"/>
      <w:r w:rsidR="007D2755" w:rsidRPr="00AA3364">
        <w:rPr>
          <w:rFonts w:cs="Tahoma"/>
          <w:bCs/>
          <w:sz w:val="24"/>
          <w:szCs w:val="24"/>
        </w:rPr>
        <w:t>ARL</w:t>
      </w:r>
      <w:proofErr w:type="spellEnd"/>
      <w:r w:rsidR="007D2755" w:rsidRPr="00AA3364">
        <w:rPr>
          <w:rFonts w:cs="Tahoma"/>
          <w:bCs/>
          <w:sz w:val="24"/>
          <w:szCs w:val="24"/>
        </w:rPr>
        <w:t xml:space="preserve"> </w:t>
      </w:r>
      <w:r w:rsidRPr="00AA3364">
        <w:rPr>
          <w:rFonts w:cs="Tahoma"/>
          <w:bCs/>
          <w:sz w:val="24"/>
          <w:szCs w:val="24"/>
        </w:rPr>
        <w:t xml:space="preserve">Positiva, por cuanto presentó diagnóstico de </w:t>
      </w:r>
      <w:r w:rsidR="007D2755" w:rsidRPr="00AA3364">
        <w:rPr>
          <w:rFonts w:cs="Tahoma"/>
          <w:bCs/>
          <w:sz w:val="24"/>
          <w:szCs w:val="24"/>
        </w:rPr>
        <w:t>ruptura de ligamento cruzado entre otras patologías de origen laboral</w:t>
      </w:r>
      <w:r w:rsidRPr="00AA3364">
        <w:rPr>
          <w:rFonts w:cs="Tahoma"/>
          <w:bCs/>
          <w:sz w:val="24"/>
          <w:szCs w:val="24"/>
        </w:rPr>
        <w:t xml:space="preserve">, requiriendo </w:t>
      </w:r>
      <w:r w:rsidR="007D2755" w:rsidRPr="00AA3364">
        <w:rPr>
          <w:rFonts w:cs="Tahoma"/>
          <w:bCs/>
          <w:sz w:val="24"/>
          <w:szCs w:val="24"/>
        </w:rPr>
        <w:t>una reconstrucción de ligamento cruzado posterior</w:t>
      </w:r>
      <w:r w:rsidRPr="00AA3364">
        <w:rPr>
          <w:rFonts w:cs="Tahoma"/>
          <w:bCs/>
          <w:sz w:val="24"/>
          <w:szCs w:val="24"/>
        </w:rPr>
        <w:t>.</w:t>
      </w:r>
    </w:p>
    <w:p w14:paraId="5980760D" w14:textId="77777777" w:rsidR="00B42AD4" w:rsidRPr="00AA3364" w:rsidRDefault="00B42AD4" w:rsidP="00AA3364">
      <w:pPr>
        <w:spacing w:line="276" w:lineRule="auto"/>
        <w:ind w:firstLine="851"/>
        <w:rPr>
          <w:rFonts w:cs="Tahoma"/>
          <w:bCs/>
          <w:sz w:val="24"/>
          <w:szCs w:val="24"/>
        </w:rPr>
      </w:pPr>
    </w:p>
    <w:p w14:paraId="0F46E339" w14:textId="77777777" w:rsidR="00154973" w:rsidRPr="00AA3364" w:rsidRDefault="00B42AD4" w:rsidP="00AA3364">
      <w:pPr>
        <w:spacing w:line="276" w:lineRule="auto"/>
        <w:ind w:firstLine="851"/>
        <w:rPr>
          <w:rFonts w:cs="Tahoma"/>
          <w:bCs/>
          <w:sz w:val="24"/>
          <w:szCs w:val="24"/>
        </w:rPr>
      </w:pPr>
      <w:r w:rsidRPr="00AA3364">
        <w:rPr>
          <w:rFonts w:cs="Tahoma"/>
          <w:bCs/>
          <w:sz w:val="24"/>
          <w:szCs w:val="24"/>
        </w:rPr>
        <w:t xml:space="preserve">Reclama que </w:t>
      </w:r>
      <w:r w:rsidR="007D2755" w:rsidRPr="00AA3364">
        <w:rPr>
          <w:rFonts w:cs="Tahoma"/>
          <w:bCs/>
          <w:sz w:val="24"/>
          <w:szCs w:val="24"/>
        </w:rPr>
        <w:t xml:space="preserve">la </w:t>
      </w:r>
      <w:proofErr w:type="spellStart"/>
      <w:r w:rsidR="007D2755" w:rsidRPr="00AA3364">
        <w:rPr>
          <w:rFonts w:cs="Tahoma"/>
          <w:bCs/>
          <w:sz w:val="24"/>
          <w:szCs w:val="24"/>
        </w:rPr>
        <w:t>ARL</w:t>
      </w:r>
      <w:proofErr w:type="spellEnd"/>
      <w:r w:rsidR="007D2755" w:rsidRPr="00AA3364">
        <w:rPr>
          <w:rFonts w:cs="Tahoma"/>
          <w:bCs/>
          <w:sz w:val="24"/>
          <w:szCs w:val="24"/>
        </w:rPr>
        <w:t xml:space="preserve"> POSITIVA </w:t>
      </w:r>
      <w:r w:rsidRPr="00AA3364">
        <w:rPr>
          <w:rFonts w:cs="Tahoma"/>
          <w:bCs/>
          <w:sz w:val="24"/>
          <w:szCs w:val="24"/>
        </w:rPr>
        <w:t>se negó a</w:t>
      </w:r>
      <w:r w:rsidR="007D2755" w:rsidRPr="00AA3364">
        <w:rPr>
          <w:rFonts w:cs="Tahoma"/>
          <w:bCs/>
          <w:sz w:val="24"/>
          <w:szCs w:val="24"/>
        </w:rPr>
        <w:t xml:space="preserve"> la atención médica, </w:t>
      </w:r>
      <w:r w:rsidRPr="00AA3364">
        <w:rPr>
          <w:rFonts w:cs="Tahoma"/>
          <w:bCs/>
          <w:sz w:val="24"/>
          <w:szCs w:val="24"/>
        </w:rPr>
        <w:t xml:space="preserve">alegando que </w:t>
      </w:r>
      <w:r w:rsidR="007D2755" w:rsidRPr="00AA3364">
        <w:rPr>
          <w:rFonts w:cs="Tahoma"/>
          <w:bCs/>
          <w:sz w:val="24"/>
          <w:szCs w:val="24"/>
        </w:rPr>
        <w:t xml:space="preserve">el origen de los diagnósticos y </w:t>
      </w:r>
      <w:r w:rsidRPr="00AA3364">
        <w:rPr>
          <w:rFonts w:cs="Tahoma"/>
          <w:bCs/>
          <w:sz w:val="24"/>
          <w:szCs w:val="24"/>
        </w:rPr>
        <w:t xml:space="preserve">aduciendo haber </w:t>
      </w:r>
      <w:r w:rsidR="007D2755" w:rsidRPr="00AA3364">
        <w:rPr>
          <w:rFonts w:cs="Tahoma"/>
          <w:bCs/>
          <w:sz w:val="24"/>
          <w:szCs w:val="24"/>
        </w:rPr>
        <w:t>intervenido lo que a le correspondía</w:t>
      </w:r>
      <w:r w:rsidRPr="00AA3364">
        <w:rPr>
          <w:rFonts w:cs="Tahoma"/>
          <w:bCs/>
          <w:sz w:val="24"/>
          <w:szCs w:val="24"/>
        </w:rPr>
        <w:t xml:space="preserve"> a la </w:t>
      </w:r>
      <w:proofErr w:type="spellStart"/>
      <w:r w:rsidRPr="00AA3364">
        <w:rPr>
          <w:rFonts w:cs="Tahoma"/>
          <w:bCs/>
          <w:sz w:val="24"/>
          <w:szCs w:val="24"/>
        </w:rPr>
        <w:t>ARL</w:t>
      </w:r>
      <w:proofErr w:type="spellEnd"/>
      <w:r w:rsidRPr="00AA3364">
        <w:rPr>
          <w:rFonts w:cs="Tahoma"/>
          <w:bCs/>
          <w:sz w:val="24"/>
          <w:szCs w:val="24"/>
        </w:rPr>
        <w:t xml:space="preserve">. En virtud de ello, para </w:t>
      </w:r>
      <w:r w:rsidR="007D2755" w:rsidRPr="00AA3364">
        <w:rPr>
          <w:rFonts w:cs="Tahoma"/>
          <w:bCs/>
          <w:sz w:val="24"/>
          <w:szCs w:val="24"/>
        </w:rPr>
        <w:t xml:space="preserve">atender </w:t>
      </w:r>
      <w:r w:rsidRPr="00AA3364">
        <w:rPr>
          <w:rFonts w:cs="Tahoma"/>
          <w:bCs/>
          <w:sz w:val="24"/>
          <w:szCs w:val="24"/>
        </w:rPr>
        <w:t xml:space="preserve">sus </w:t>
      </w:r>
      <w:r w:rsidR="007D2755" w:rsidRPr="00AA3364">
        <w:rPr>
          <w:rFonts w:cs="Tahoma"/>
          <w:bCs/>
          <w:sz w:val="24"/>
          <w:szCs w:val="24"/>
        </w:rPr>
        <w:t xml:space="preserve">patologías requirió de </w:t>
      </w:r>
      <w:r w:rsidRPr="00AA3364">
        <w:rPr>
          <w:rFonts w:cs="Tahoma"/>
          <w:bCs/>
          <w:sz w:val="24"/>
          <w:szCs w:val="24"/>
        </w:rPr>
        <w:t xml:space="preserve">una </w:t>
      </w:r>
      <w:r w:rsidR="007D2755" w:rsidRPr="00AA3364">
        <w:rPr>
          <w:rFonts w:cs="Tahoma"/>
          <w:bCs/>
          <w:sz w:val="24"/>
          <w:szCs w:val="24"/>
        </w:rPr>
        <w:t xml:space="preserve">intervención médica prioritaria, </w:t>
      </w:r>
      <w:r w:rsidRPr="00AA3364">
        <w:rPr>
          <w:rFonts w:cs="Tahoma"/>
          <w:bCs/>
          <w:sz w:val="24"/>
          <w:szCs w:val="24"/>
        </w:rPr>
        <w:t xml:space="preserve">la cual debió asumir él con su </w:t>
      </w:r>
      <w:proofErr w:type="spellStart"/>
      <w:r w:rsidRPr="00AA3364">
        <w:rPr>
          <w:rFonts w:cs="Tahoma"/>
          <w:bCs/>
          <w:sz w:val="24"/>
          <w:szCs w:val="24"/>
        </w:rPr>
        <w:t>pecunio</w:t>
      </w:r>
      <w:proofErr w:type="spellEnd"/>
      <w:r w:rsidRPr="00AA3364">
        <w:rPr>
          <w:rFonts w:cs="Tahoma"/>
          <w:bCs/>
          <w:sz w:val="24"/>
          <w:szCs w:val="24"/>
        </w:rPr>
        <w:t>.</w:t>
      </w:r>
      <w:r w:rsidR="00154973" w:rsidRPr="00AA3364">
        <w:rPr>
          <w:rFonts w:cs="Tahoma"/>
          <w:bCs/>
          <w:sz w:val="24"/>
          <w:szCs w:val="24"/>
        </w:rPr>
        <w:t xml:space="preserve"> </w:t>
      </w:r>
    </w:p>
    <w:p w14:paraId="49220A8D" w14:textId="77777777" w:rsidR="00154973" w:rsidRPr="00AA3364" w:rsidRDefault="00154973" w:rsidP="00AA3364">
      <w:pPr>
        <w:spacing w:line="276" w:lineRule="auto"/>
        <w:ind w:firstLine="851"/>
        <w:rPr>
          <w:rFonts w:cs="Tahoma"/>
          <w:bCs/>
          <w:sz w:val="24"/>
          <w:szCs w:val="24"/>
        </w:rPr>
      </w:pPr>
    </w:p>
    <w:p w14:paraId="79522695" w14:textId="549444F2" w:rsidR="00E37ED3" w:rsidRPr="00AA3364" w:rsidRDefault="00154973" w:rsidP="00AA3364">
      <w:pPr>
        <w:spacing w:line="276" w:lineRule="auto"/>
        <w:ind w:firstLine="851"/>
        <w:rPr>
          <w:rFonts w:cs="Tahoma"/>
          <w:bCs/>
          <w:sz w:val="24"/>
          <w:szCs w:val="24"/>
        </w:rPr>
      </w:pPr>
      <w:r w:rsidRPr="00AA3364">
        <w:rPr>
          <w:rFonts w:cs="Tahoma"/>
          <w:bCs/>
          <w:sz w:val="24"/>
          <w:szCs w:val="24"/>
        </w:rPr>
        <w:t xml:space="preserve">Relaciona que </w:t>
      </w:r>
      <w:r w:rsidR="007D2755" w:rsidRPr="00AA3364">
        <w:rPr>
          <w:rFonts w:cs="Tahoma"/>
          <w:bCs/>
          <w:sz w:val="24"/>
          <w:szCs w:val="24"/>
        </w:rPr>
        <w:t>el 9</w:t>
      </w:r>
      <w:r w:rsidRPr="00AA3364">
        <w:rPr>
          <w:rFonts w:cs="Tahoma"/>
          <w:bCs/>
          <w:sz w:val="24"/>
          <w:szCs w:val="24"/>
        </w:rPr>
        <w:t>-07-2017</w:t>
      </w:r>
      <w:r w:rsidR="007D2755" w:rsidRPr="00AA3364">
        <w:rPr>
          <w:rFonts w:cs="Tahoma"/>
          <w:bCs/>
          <w:sz w:val="24"/>
          <w:szCs w:val="24"/>
        </w:rPr>
        <w:t xml:space="preserve"> asumió </w:t>
      </w:r>
      <w:r w:rsidRPr="00AA3364">
        <w:rPr>
          <w:rFonts w:cs="Tahoma"/>
          <w:bCs/>
          <w:sz w:val="24"/>
          <w:szCs w:val="24"/>
        </w:rPr>
        <w:t xml:space="preserve">el pago de </w:t>
      </w:r>
      <w:r w:rsidR="007D2755" w:rsidRPr="00AA3364">
        <w:rPr>
          <w:rFonts w:cs="Tahoma"/>
          <w:bCs/>
          <w:sz w:val="24"/>
          <w:szCs w:val="24"/>
        </w:rPr>
        <w:t xml:space="preserve">$702.031 de la resonancia Magnética de la rodilla derecha, examen que confirmó la ruptura de ligamento cruzado posterior. </w:t>
      </w:r>
      <w:r w:rsidRPr="00AA3364">
        <w:rPr>
          <w:rFonts w:cs="Tahoma"/>
          <w:bCs/>
          <w:sz w:val="24"/>
          <w:szCs w:val="24"/>
        </w:rPr>
        <w:t xml:space="preserve">El </w:t>
      </w:r>
      <w:r w:rsidR="007D2755" w:rsidRPr="00AA3364">
        <w:rPr>
          <w:rFonts w:cs="Tahoma"/>
          <w:bCs/>
          <w:sz w:val="24"/>
          <w:szCs w:val="24"/>
        </w:rPr>
        <w:t>17</w:t>
      </w:r>
      <w:r w:rsidRPr="00AA3364">
        <w:rPr>
          <w:rFonts w:cs="Tahoma"/>
          <w:bCs/>
          <w:sz w:val="24"/>
          <w:szCs w:val="24"/>
        </w:rPr>
        <w:t>-07-2017</w:t>
      </w:r>
      <w:r w:rsidR="007D2755" w:rsidRPr="00AA3364">
        <w:rPr>
          <w:rFonts w:cs="Tahoma"/>
          <w:bCs/>
          <w:sz w:val="24"/>
          <w:szCs w:val="24"/>
        </w:rPr>
        <w:t xml:space="preserve"> </w:t>
      </w:r>
      <w:r w:rsidRPr="00AA3364">
        <w:rPr>
          <w:rFonts w:cs="Tahoma"/>
          <w:bCs/>
          <w:sz w:val="24"/>
          <w:szCs w:val="24"/>
        </w:rPr>
        <w:t xml:space="preserve">pagó $60.800 por la </w:t>
      </w:r>
      <w:r w:rsidR="007D2755" w:rsidRPr="00AA3364">
        <w:rPr>
          <w:rFonts w:cs="Tahoma"/>
          <w:bCs/>
          <w:sz w:val="24"/>
          <w:szCs w:val="24"/>
        </w:rPr>
        <w:t>consulta de valoración y el 19</w:t>
      </w:r>
      <w:r w:rsidRPr="00AA3364">
        <w:rPr>
          <w:rFonts w:cs="Tahoma"/>
          <w:bCs/>
          <w:sz w:val="24"/>
          <w:szCs w:val="24"/>
        </w:rPr>
        <w:t xml:space="preserve">-07-2017 pagó $9.720.000 por la cirugía realizada </w:t>
      </w:r>
      <w:r w:rsidR="007D2755" w:rsidRPr="00AA3364">
        <w:rPr>
          <w:rFonts w:cs="Tahoma"/>
          <w:bCs/>
          <w:sz w:val="24"/>
          <w:szCs w:val="24"/>
        </w:rPr>
        <w:t>en la Clínica el Rosario</w:t>
      </w:r>
      <w:r w:rsidRPr="00AA3364">
        <w:rPr>
          <w:rFonts w:cs="Tahoma"/>
          <w:bCs/>
          <w:sz w:val="24"/>
          <w:szCs w:val="24"/>
        </w:rPr>
        <w:t xml:space="preserve"> y </w:t>
      </w:r>
      <w:r w:rsidR="007D2755" w:rsidRPr="00AA3364">
        <w:rPr>
          <w:rFonts w:cs="Tahoma"/>
          <w:bCs/>
          <w:sz w:val="24"/>
          <w:szCs w:val="24"/>
        </w:rPr>
        <w:t xml:space="preserve">$408.015, </w:t>
      </w:r>
      <w:r w:rsidRPr="00AA3364">
        <w:rPr>
          <w:rFonts w:cs="Tahoma"/>
          <w:bCs/>
          <w:sz w:val="24"/>
          <w:szCs w:val="24"/>
        </w:rPr>
        <w:t xml:space="preserve">para el </w:t>
      </w:r>
      <w:r w:rsidR="007D2755" w:rsidRPr="00AA3364">
        <w:rPr>
          <w:rFonts w:cs="Tahoma"/>
          <w:bCs/>
          <w:sz w:val="24"/>
          <w:szCs w:val="24"/>
        </w:rPr>
        <w:t>instrumentador quirúrgico</w:t>
      </w:r>
      <w:r w:rsidRPr="00AA3364">
        <w:rPr>
          <w:rFonts w:cs="Tahoma"/>
          <w:bCs/>
          <w:sz w:val="24"/>
          <w:szCs w:val="24"/>
        </w:rPr>
        <w:t>. Agrega que</w:t>
      </w:r>
      <w:r w:rsidR="001D1818" w:rsidRPr="00AA3364">
        <w:rPr>
          <w:rFonts w:cs="Tahoma"/>
          <w:bCs/>
          <w:sz w:val="24"/>
          <w:szCs w:val="24"/>
        </w:rPr>
        <w:t>,</w:t>
      </w:r>
      <w:r w:rsidRPr="00AA3364">
        <w:rPr>
          <w:rFonts w:cs="Tahoma"/>
          <w:bCs/>
          <w:sz w:val="24"/>
          <w:szCs w:val="24"/>
        </w:rPr>
        <w:t xml:space="preserve"> para su rehabilitación, debió pagar $11.250.000 para </w:t>
      </w:r>
      <w:r w:rsidR="007D2755" w:rsidRPr="00AA3364">
        <w:rPr>
          <w:rFonts w:cs="Tahoma"/>
          <w:bCs/>
          <w:sz w:val="24"/>
          <w:szCs w:val="24"/>
        </w:rPr>
        <w:t xml:space="preserve">gastos de rehabilitación fisioterapéutica </w:t>
      </w:r>
      <w:r w:rsidRPr="00AA3364">
        <w:rPr>
          <w:rFonts w:cs="Tahoma"/>
          <w:bCs/>
          <w:sz w:val="24"/>
          <w:szCs w:val="24"/>
        </w:rPr>
        <w:t xml:space="preserve">y $1.300.000 para </w:t>
      </w:r>
      <w:r w:rsidR="007D2755" w:rsidRPr="00AA3364">
        <w:rPr>
          <w:rFonts w:cs="Tahoma"/>
          <w:bCs/>
          <w:sz w:val="24"/>
          <w:szCs w:val="24"/>
        </w:rPr>
        <w:t xml:space="preserve">trabajos de fortalecimiento en el Gimnasio </w:t>
      </w:r>
      <w:proofErr w:type="spellStart"/>
      <w:r w:rsidR="007D2755" w:rsidRPr="00AA3364">
        <w:rPr>
          <w:rFonts w:cs="Tahoma"/>
          <w:bCs/>
          <w:sz w:val="24"/>
          <w:szCs w:val="24"/>
        </w:rPr>
        <w:t>Dynamic</w:t>
      </w:r>
      <w:proofErr w:type="spellEnd"/>
      <w:r w:rsidR="007D2755" w:rsidRPr="00AA3364">
        <w:rPr>
          <w:rFonts w:cs="Tahoma"/>
          <w:bCs/>
          <w:sz w:val="24"/>
          <w:szCs w:val="24"/>
        </w:rPr>
        <w:t xml:space="preserve"> </w:t>
      </w:r>
      <w:proofErr w:type="spellStart"/>
      <w:r w:rsidR="007D2755" w:rsidRPr="00AA3364">
        <w:rPr>
          <w:rFonts w:cs="Tahoma"/>
          <w:bCs/>
          <w:sz w:val="24"/>
          <w:szCs w:val="24"/>
        </w:rPr>
        <w:t>Evolution</w:t>
      </w:r>
      <w:proofErr w:type="spellEnd"/>
      <w:r w:rsidR="007D2755" w:rsidRPr="00AA3364">
        <w:rPr>
          <w:rFonts w:cs="Tahoma"/>
          <w:bCs/>
          <w:sz w:val="24"/>
          <w:szCs w:val="24"/>
        </w:rPr>
        <w:t xml:space="preserve"> Train</w:t>
      </w:r>
      <w:r w:rsidRPr="00AA3364">
        <w:rPr>
          <w:rFonts w:cs="Tahoma"/>
          <w:bCs/>
          <w:sz w:val="24"/>
          <w:szCs w:val="24"/>
        </w:rPr>
        <w:t>.</w:t>
      </w:r>
    </w:p>
    <w:p w14:paraId="776503A7" w14:textId="77777777" w:rsidR="00E37ED3" w:rsidRPr="00AA3364" w:rsidRDefault="00E37ED3" w:rsidP="00AA3364">
      <w:pPr>
        <w:spacing w:line="276" w:lineRule="auto"/>
        <w:ind w:firstLine="0"/>
        <w:rPr>
          <w:rFonts w:cs="Tahoma"/>
          <w:bCs/>
          <w:sz w:val="24"/>
          <w:szCs w:val="24"/>
        </w:rPr>
      </w:pPr>
    </w:p>
    <w:p w14:paraId="07C902B2" w14:textId="537B0104" w:rsidR="00E37ED3" w:rsidRPr="00AA3364" w:rsidRDefault="00E745AE" w:rsidP="00AA3364">
      <w:pPr>
        <w:spacing w:line="276" w:lineRule="auto"/>
        <w:ind w:firstLine="851"/>
        <w:rPr>
          <w:rFonts w:cs="Tahoma"/>
          <w:bCs/>
          <w:sz w:val="24"/>
          <w:szCs w:val="24"/>
        </w:rPr>
      </w:pPr>
      <w:r w:rsidRPr="00AA3364">
        <w:rPr>
          <w:rFonts w:cs="Tahoma"/>
          <w:bCs/>
          <w:sz w:val="24"/>
          <w:szCs w:val="24"/>
        </w:rPr>
        <w:t xml:space="preserve">Resalta que el </w:t>
      </w:r>
      <w:r w:rsidR="00E37ED3" w:rsidRPr="00AA3364">
        <w:rPr>
          <w:rFonts w:cs="Tahoma"/>
          <w:bCs/>
          <w:sz w:val="24"/>
          <w:szCs w:val="24"/>
        </w:rPr>
        <w:t>25</w:t>
      </w:r>
      <w:r w:rsidRPr="00AA3364">
        <w:rPr>
          <w:rFonts w:cs="Tahoma"/>
          <w:bCs/>
          <w:sz w:val="24"/>
          <w:szCs w:val="24"/>
        </w:rPr>
        <w:t>-10-2018</w:t>
      </w:r>
      <w:r w:rsidR="00E37ED3" w:rsidRPr="00AA3364">
        <w:rPr>
          <w:rFonts w:cs="Tahoma"/>
          <w:bCs/>
          <w:sz w:val="24"/>
          <w:szCs w:val="24"/>
        </w:rPr>
        <w:t xml:space="preserve"> la Junta Nacional de Calificación de Invalidez confirmó el dictamen de la Junta Regional de Calificación de Invalidez de Antioquia </w:t>
      </w:r>
      <w:r w:rsidRPr="00AA3364">
        <w:rPr>
          <w:rFonts w:cs="Tahoma"/>
          <w:bCs/>
          <w:sz w:val="24"/>
          <w:szCs w:val="24"/>
        </w:rPr>
        <w:t xml:space="preserve">que da cuenta del </w:t>
      </w:r>
      <w:r w:rsidR="00E37ED3" w:rsidRPr="00AA3364">
        <w:rPr>
          <w:rFonts w:cs="Tahoma"/>
          <w:bCs/>
          <w:sz w:val="24"/>
          <w:szCs w:val="24"/>
        </w:rPr>
        <w:t>origen laboral</w:t>
      </w:r>
      <w:r w:rsidRPr="00AA3364">
        <w:rPr>
          <w:rFonts w:cs="Tahoma"/>
          <w:bCs/>
          <w:sz w:val="24"/>
          <w:szCs w:val="24"/>
        </w:rPr>
        <w:t xml:space="preserve"> de la contingencia y, por ello, en </w:t>
      </w:r>
      <w:r w:rsidR="00E37ED3" w:rsidRPr="00AA3364">
        <w:rPr>
          <w:rFonts w:cs="Tahoma"/>
          <w:bCs/>
          <w:sz w:val="24"/>
          <w:szCs w:val="24"/>
        </w:rPr>
        <w:t xml:space="preserve">2019, reclamó verbalmente en diversas ocasiones el pago de incapacidades, gastos quirúrgicos y de rehabilitación a </w:t>
      </w:r>
      <w:r w:rsidRPr="00AA3364">
        <w:rPr>
          <w:rFonts w:cs="Tahoma"/>
          <w:bCs/>
          <w:sz w:val="24"/>
          <w:szCs w:val="24"/>
        </w:rPr>
        <w:t>Positiva S.A.</w:t>
      </w:r>
      <w:r w:rsidR="00E37ED3" w:rsidRPr="00AA3364">
        <w:rPr>
          <w:rFonts w:cs="Tahoma"/>
          <w:bCs/>
          <w:sz w:val="24"/>
          <w:szCs w:val="24"/>
        </w:rPr>
        <w:t>, sin que hubieren sido tramitadas o resueltas</w:t>
      </w:r>
      <w:r w:rsidRPr="00AA3364">
        <w:rPr>
          <w:rFonts w:cs="Tahoma"/>
          <w:bCs/>
          <w:sz w:val="24"/>
          <w:szCs w:val="24"/>
        </w:rPr>
        <w:t xml:space="preserve">; que promovió </w:t>
      </w:r>
      <w:r w:rsidR="00E37ED3" w:rsidRPr="00AA3364">
        <w:rPr>
          <w:rFonts w:cs="Tahoma"/>
          <w:bCs/>
          <w:sz w:val="24"/>
          <w:szCs w:val="24"/>
        </w:rPr>
        <w:t>acción constitucional ante el juzgado 38 penal municipal con funciones de control de garantías bajo el radicado 2019-201</w:t>
      </w:r>
      <w:r w:rsidRPr="00AA3364">
        <w:rPr>
          <w:rFonts w:cs="Tahoma"/>
          <w:bCs/>
          <w:sz w:val="24"/>
          <w:szCs w:val="24"/>
        </w:rPr>
        <w:t xml:space="preserve">, despacho que resolvió el </w:t>
      </w:r>
      <w:r w:rsidR="00E37ED3" w:rsidRPr="00AA3364">
        <w:rPr>
          <w:rFonts w:cs="Tahoma"/>
          <w:bCs/>
          <w:sz w:val="24"/>
          <w:szCs w:val="24"/>
        </w:rPr>
        <w:t xml:space="preserve">asunto </w:t>
      </w:r>
      <w:r w:rsidRPr="00AA3364">
        <w:rPr>
          <w:rFonts w:cs="Tahoma"/>
          <w:bCs/>
          <w:sz w:val="24"/>
          <w:szCs w:val="24"/>
        </w:rPr>
        <w:t xml:space="preserve">reconociendo </w:t>
      </w:r>
      <w:r w:rsidR="00E37ED3" w:rsidRPr="00AA3364">
        <w:rPr>
          <w:rFonts w:cs="Tahoma"/>
          <w:bCs/>
          <w:sz w:val="24"/>
          <w:szCs w:val="24"/>
        </w:rPr>
        <w:t>las incapacidades</w:t>
      </w:r>
      <w:r w:rsidR="00EC4508" w:rsidRPr="00AA3364">
        <w:rPr>
          <w:rFonts w:cs="Tahoma"/>
          <w:bCs/>
          <w:sz w:val="24"/>
          <w:szCs w:val="24"/>
        </w:rPr>
        <w:t>.</w:t>
      </w:r>
    </w:p>
    <w:p w14:paraId="7347A357" w14:textId="77777777" w:rsidR="003F6C92" w:rsidRPr="00AA3364" w:rsidRDefault="003F6C92" w:rsidP="00AA3364">
      <w:pPr>
        <w:spacing w:line="276" w:lineRule="auto"/>
        <w:ind w:firstLine="851"/>
        <w:rPr>
          <w:rFonts w:cs="Tahoma"/>
          <w:bCs/>
          <w:sz w:val="24"/>
          <w:szCs w:val="24"/>
        </w:rPr>
      </w:pPr>
    </w:p>
    <w:p w14:paraId="620B4095" w14:textId="677699EA" w:rsidR="00E745AE" w:rsidRPr="00AA3364" w:rsidRDefault="00E745AE" w:rsidP="00AA3364">
      <w:pPr>
        <w:spacing w:line="276" w:lineRule="auto"/>
        <w:ind w:firstLine="851"/>
        <w:rPr>
          <w:rFonts w:cs="Tahoma"/>
          <w:b/>
          <w:sz w:val="24"/>
          <w:szCs w:val="24"/>
        </w:rPr>
      </w:pPr>
      <w:r w:rsidRPr="00AA3364">
        <w:rPr>
          <w:rFonts w:cs="Tahoma"/>
          <w:b/>
          <w:sz w:val="24"/>
          <w:szCs w:val="24"/>
        </w:rPr>
        <w:lastRenderedPageBreak/>
        <w:t>Trámite surtido.</w:t>
      </w:r>
    </w:p>
    <w:p w14:paraId="3DEF78E3" w14:textId="77777777" w:rsidR="00E745AE" w:rsidRPr="00AA3364" w:rsidRDefault="00E745AE" w:rsidP="00AA3364">
      <w:pPr>
        <w:spacing w:line="276" w:lineRule="auto"/>
        <w:ind w:firstLine="851"/>
        <w:rPr>
          <w:rFonts w:cs="Tahoma"/>
          <w:bCs/>
          <w:sz w:val="24"/>
          <w:szCs w:val="24"/>
        </w:rPr>
      </w:pPr>
    </w:p>
    <w:p w14:paraId="3869FF2F" w14:textId="669CCDA1" w:rsidR="00500F97" w:rsidRPr="00AA3364" w:rsidRDefault="0036650B" w:rsidP="00AA3364">
      <w:pPr>
        <w:spacing w:line="276" w:lineRule="auto"/>
        <w:ind w:firstLine="851"/>
        <w:rPr>
          <w:rFonts w:cs="Tahoma"/>
          <w:bCs/>
          <w:sz w:val="24"/>
          <w:szCs w:val="24"/>
        </w:rPr>
      </w:pPr>
      <w:r w:rsidRPr="00AA3364">
        <w:rPr>
          <w:rFonts w:cs="Tahoma"/>
          <w:bCs/>
          <w:sz w:val="24"/>
          <w:szCs w:val="24"/>
        </w:rPr>
        <w:t xml:space="preserve">La demanda fue radicada el </w:t>
      </w:r>
      <w:r w:rsidR="003F00BE" w:rsidRPr="00AA3364">
        <w:rPr>
          <w:rFonts w:cs="Tahoma"/>
          <w:b/>
          <w:sz w:val="24"/>
          <w:szCs w:val="24"/>
        </w:rPr>
        <w:t>21 de octubre de 2020</w:t>
      </w:r>
      <w:r w:rsidR="003F00BE" w:rsidRPr="00AA3364">
        <w:rPr>
          <w:rFonts w:cs="Tahoma"/>
          <w:bCs/>
          <w:sz w:val="24"/>
          <w:szCs w:val="24"/>
        </w:rPr>
        <w:t xml:space="preserve"> (archivo 05)</w:t>
      </w:r>
      <w:r w:rsidR="005A493B" w:rsidRPr="00AA3364">
        <w:rPr>
          <w:rFonts w:cs="Tahoma"/>
          <w:bCs/>
          <w:sz w:val="24"/>
          <w:szCs w:val="24"/>
        </w:rPr>
        <w:t xml:space="preserve">, siendo </w:t>
      </w:r>
      <w:r w:rsidR="003F00BE" w:rsidRPr="00AA3364">
        <w:rPr>
          <w:rFonts w:cs="Tahoma"/>
          <w:bCs/>
          <w:sz w:val="24"/>
          <w:szCs w:val="24"/>
        </w:rPr>
        <w:t>inadmitida por auto del 13 de enero de 2021 (archivo 06), entre otros, por la falta de reclamación administrativa.</w:t>
      </w:r>
      <w:r w:rsidR="005A493B" w:rsidRPr="00AA3364">
        <w:rPr>
          <w:rFonts w:cs="Tahoma"/>
          <w:bCs/>
          <w:sz w:val="24"/>
          <w:szCs w:val="24"/>
        </w:rPr>
        <w:t xml:space="preserve"> Luego, por auto del </w:t>
      </w:r>
      <w:r w:rsidR="00500F97" w:rsidRPr="00AA3364">
        <w:rPr>
          <w:rFonts w:cs="Tahoma"/>
          <w:b/>
          <w:sz w:val="24"/>
          <w:szCs w:val="24"/>
        </w:rPr>
        <w:t>17 de febrero de 2021</w:t>
      </w:r>
      <w:r w:rsidR="00500F97" w:rsidRPr="00AA3364">
        <w:rPr>
          <w:rFonts w:cs="Tahoma"/>
          <w:bCs/>
          <w:sz w:val="24"/>
          <w:szCs w:val="24"/>
        </w:rPr>
        <w:t xml:space="preserve"> (archivo 8) el juzgado al considerar subsanad</w:t>
      </w:r>
      <w:r w:rsidR="005A493B" w:rsidRPr="00AA3364">
        <w:rPr>
          <w:rFonts w:cs="Tahoma"/>
          <w:bCs/>
          <w:sz w:val="24"/>
          <w:szCs w:val="24"/>
        </w:rPr>
        <w:t xml:space="preserve">a la falencia, </w:t>
      </w:r>
      <w:r w:rsidR="00500F97" w:rsidRPr="00AA3364">
        <w:rPr>
          <w:rFonts w:cs="Tahoma"/>
          <w:bCs/>
          <w:sz w:val="24"/>
          <w:szCs w:val="24"/>
        </w:rPr>
        <w:t>admitió</w:t>
      </w:r>
      <w:r w:rsidR="005A493B" w:rsidRPr="00AA3364">
        <w:rPr>
          <w:rFonts w:cs="Tahoma"/>
          <w:bCs/>
          <w:sz w:val="24"/>
          <w:szCs w:val="24"/>
        </w:rPr>
        <w:t xml:space="preserve"> la demanda</w:t>
      </w:r>
      <w:r w:rsidR="00500F97" w:rsidRPr="00AA3364">
        <w:rPr>
          <w:rFonts w:cs="Tahoma"/>
          <w:bCs/>
          <w:sz w:val="24"/>
          <w:szCs w:val="24"/>
        </w:rPr>
        <w:t>.</w:t>
      </w:r>
    </w:p>
    <w:p w14:paraId="2703AEA1" w14:textId="77777777" w:rsidR="004E42A4" w:rsidRPr="00AA3364" w:rsidRDefault="004E42A4" w:rsidP="00AA3364">
      <w:pPr>
        <w:spacing w:line="276" w:lineRule="auto"/>
        <w:ind w:firstLine="0"/>
        <w:rPr>
          <w:rFonts w:cs="Tahoma"/>
          <w:b/>
          <w:sz w:val="24"/>
          <w:szCs w:val="24"/>
        </w:rPr>
      </w:pPr>
    </w:p>
    <w:p w14:paraId="1E52131A" w14:textId="629EFC8B" w:rsidR="00853FBC" w:rsidRPr="00AA3364" w:rsidRDefault="00853FBC" w:rsidP="00AA3364">
      <w:pPr>
        <w:spacing w:line="276" w:lineRule="auto"/>
        <w:ind w:firstLine="0"/>
        <w:rPr>
          <w:rFonts w:cs="Tahoma"/>
          <w:b/>
          <w:sz w:val="24"/>
          <w:szCs w:val="24"/>
        </w:rPr>
      </w:pPr>
      <w:r w:rsidRPr="00AA3364">
        <w:rPr>
          <w:rFonts w:cs="Tahoma"/>
          <w:b/>
          <w:sz w:val="24"/>
          <w:szCs w:val="24"/>
        </w:rPr>
        <w:tab/>
        <w:t>Posición de la demandada.</w:t>
      </w:r>
    </w:p>
    <w:p w14:paraId="7F163AAA" w14:textId="77777777" w:rsidR="00853FBC" w:rsidRPr="00AA3364" w:rsidRDefault="00853FBC" w:rsidP="00AA3364">
      <w:pPr>
        <w:spacing w:line="276" w:lineRule="auto"/>
        <w:ind w:firstLine="0"/>
        <w:rPr>
          <w:rFonts w:cs="Tahoma"/>
          <w:b/>
          <w:sz w:val="24"/>
          <w:szCs w:val="24"/>
        </w:rPr>
      </w:pPr>
    </w:p>
    <w:p w14:paraId="53B849D0" w14:textId="77777777" w:rsidR="00047523" w:rsidRPr="00AA3364" w:rsidRDefault="00500F97" w:rsidP="00AA3364">
      <w:pPr>
        <w:spacing w:line="276" w:lineRule="auto"/>
        <w:ind w:firstLine="708"/>
        <w:rPr>
          <w:rFonts w:cs="Tahoma"/>
          <w:bCs/>
          <w:sz w:val="24"/>
          <w:szCs w:val="24"/>
        </w:rPr>
      </w:pPr>
      <w:r w:rsidRPr="00AA3364">
        <w:rPr>
          <w:rFonts w:cs="Tahoma"/>
          <w:b/>
          <w:sz w:val="24"/>
          <w:szCs w:val="24"/>
        </w:rPr>
        <w:t>POSITIVA S.A</w:t>
      </w:r>
      <w:r w:rsidRPr="00AA3364">
        <w:rPr>
          <w:rFonts w:cs="Tahoma"/>
          <w:bCs/>
          <w:sz w:val="24"/>
          <w:szCs w:val="24"/>
        </w:rPr>
        <w:t xml:space="preserve">. al contestar </w:t>
      </w:r>
      <w:r w:rsidR="00923762" w:rsidRPr="00AA3364">
        <w:rPr>
          <w:rFonts w:cs="Tahoma"/>
          <w:bCs/>
          <w:sz w:val="24"/>
          <w:szCs w:val="24"/>
        </w:rPr>
        <w:t xml:space="preserve">se opuso a lo pretendido bajo el argumento que los recobros reclamados no tenían cobertura dentro del sistema de seguridad social por cuanto las mismas fueron emitidas por médico particular, no adscrito a una </w:t>
      </w:r>
      <w:proofErr w:type="spellStart"/>
      <w:r w:rsidR="00923762" w:rsidRPr="00AA3364">
        <w:rPr>
          <w:rFonts w:cs="Tahoma"/>
          <w:bCs/>
          <w:sz w:val="24"/>
          <w:szCs w:val="24"/>
        </w:rPr>
        <w:t>EPS</w:t>
      </w:r>
      <w:proofErr w:type="spellEnd"/>
      <w:r w:rsidR="00923762" w:rsidRPr="00AA3364">
        <w:rPr>
          <w:rFonts w:cs="Tahoma"/>
          <w:bCs/>
          <w:sz w:val="24"/>
          <w:szCs w:val="24"/>
        </w:rPr>
        <w:t xml:space="preserve"> o a la </w:t>
      </w:r>
      <w:proofErr w:type="spellStart"/>
      <w:r w:rsidR="00923762" w:rsidRPr="00AA3364">
        <w:rPr>
          <w:rFonts w:cs="Tahoma"/>
          <w:bCs/>
          <w:sz w:val="24"/>
          <w:szCs w:val="24"/>
        </w:rPr>
        <w:t>ARL</w:t>
      </w:r>
      <w:proofErr w:type="spellEnd"/>
      <w:r w:rsidR="00923762" w:rsidRPr="00AA3364">
        <w:rPr>
          <w:rFonts w:cs="Tahoma"/>
          <w:bCs/>
          <w:sz w:val="24"/>
          <w:szCs w:val="24"/>
        </w:rPr>
        <w:t xml:space="preserve">. </w:t>
      </w:r>
    </w:p>
    <w:p w14:paraId="45E106E6" w14:textId="77777777" w:rsidR="00047523" w:rsidRPr="00AA3364" w:rsidRDefault="00047523" w:rsidP="00AA3364">
      <w:pPr>
        <w:spacing w:line="276" w:lineRule="auto"/>
        <w:ind w:firstLine="0"/>
        <w:rPr>
          <w:rFonts w:cs="Tahoma"/>
          <w:bCs/>
          <w:sz w:val="24"/>
          <w:szCs w:val="24"/>
        </w:rPr>
      </w:pPr>
    </w:p>
    <w:p w14:paraId="14382ECE" w14:textId="1A941368" w:rsidR="007D2755" w:rsidRPr="00AA3364" w:rsidRDefault="00923762" w:rsidP="00AA3364">
      <w:pPr>
        <w:spacing w:line="276" w:lineRule="auto"/>
        <w:ind w:firstLine="708"/>
        <w:rPr>
          <w:rFonts w:cs="Tahoma"/>
          <w:bCs/>
          <w:sz w:val="24"/>
          <w:szCs w:val="24"/>
        </w:rPr>
      </w:pPr>
      <w:r w:rsidRPr="00AA3364">
        <w:rPr>
          <w:rFonts w:cs="Tahoma"/>
          <w:bCs/>
          <w:sz w:val="24"/>
          <w:szCs w:val="24"/>
        </w:rPr>
        <w:t xml:space="preserve">Excepcionó como previa la </w:t>
      </w:r>
      <w:r w:rsidRPr="00AA3364">
        <w:rPr>
          <w:rFonts w:cs="Tahoma"/>
          <w:b/>
          <w:sz w:val="24"/>
          <w:szCs w:val="24"/>
        </w:rPr>
        <w:t>falta de reclamación administrativa</w:t>
      </w:r>
      <w:r w:rsidRPr="00AA3364">
        <w:rPr>
          <w:rFonts w:cs="Tahoma"/>
          <w:bCs/>
          <w:sz w:val="24"/>
          <w:szCs w:val="24"/>
        </w:rPr>
        <w:t xml:space="preserve"> como factor de competencia, para lo cual tuvo en cuenta la manifestación realizada por el demandante en los hechos 29 y 30 de la demanda</w:t>
      </w:r>
      <w:r w:rsidR="00047523" w:rsidRPr="00AA3364">
        <w:rPr>
          <w:rFonts w:cs="Tahoma"/>
          <w:bCs/>
          <w:sz w:val="24"/>
          <w:szCs w:val="24"/>
        </w:rPr>
        <w:t>, indicando que la parte actora había confesado no haber hecho uso de los medios tecnológicos para realizar la reclamación de los reembolsos</w:t>
      </w:r>
      <w:r w:rsidR="00EF1E8E" w:rsidRPr="00AA3364">
        <w:rPr>
          <w:rFonts w:cs="Tahoma"/>
          <w:bCs/>
          <w:sz w:val="24"/>
          <w:szCs w:val="24"/>
        </w:rPr>
        <w:t xml:space="preserve"> (archivo 12)</w:t>
      </w:r>
      <w:r w:rsidR="00047523" w:rsidRPr="00AA3364">
        <w:rPr>
          <w:rFonts w:cs="Tahoma"/>
          <w:bCs/>
          <w:sz w:val="24"/>
          <w:szCs w:val="24"/>
        </w:rPr>
        <w:t>.</w:t>
      </w:r>
    </w:p>
    <w:p w14:paraId="550011C6" w14:textId="77777777" w:rsidR="003F6C92" w:rsidRPr="00AA3364" w:rsidRDefault="003F6C92" w:rsidP="00AA3364">
      <w:pPr>
        <w:spacing w:line="276" w:lineRule="auto"/>
        <w:ind w:firstLine="708"/>
        <w:rPr>
          <w:rFonts w:cs="Tahoma"/>
          <w:bCs/>
          <w:sz w:val="24"/>
          <w:szCs w:val="24"/>
        </w:rPr>
      </w:pPr>
    </w:p>
    <w:p w14:paraId="185566F3" w14:textId="0BBC601E" w:rsidR="00405F66" w:rsidRPr="00AA3364" w:rsidRDefault="00405F66" w:rsidP="00AA3364">
      <w:pPr>
        <w:pStyle w:val="Prrafodelista"/>
        <w:numPr>
          <w:ilvl w:val="0"/>
          <w:numId w:val="11"/>
        </w:numPr>
        <w:spacing w:line="276" w:lineRule="auto"/>
        <w:ind w:left="284"/>
        <w:jc w:val="center"/>
        <w:rPr>
          <w:rFonts w:cs="Tahoma"/>
          <w:b/>
          <w:sz w:val="24"/>
          <w:szCs w:val="24"/>
        </w:rPr>
      </w:pPr>
      <w:r w:rsidRPr="00AA3364">
        <w:rPr>
          <w:rFonts w:cs="Tahoma"/>
          <w:b/>
          <w:sz w:val="24"/>
          <w:szCs w:val="24"/>
        </w:rPr>
        <w:t>AUTO RECURRIDO</w:t>
      </w:r>
    </w:p>
    <w:p w14:paraId="6942AAE3" w14:textId="77777777" w:rsidR="00405F66" w:rsidRPr="00AA3364" w:rsidRDefault="00405F66" w:rsidP="00AA3364">
      <w:pPr>
        <w:spacing w:line="276" w:lineRule="auto"/>
        <w:ind w:firstLine="0"/>
        <w:rPr>
          <w:rFonts w:cs="Tahoma"/>
          <w:sz w:val="24"/>
          <w:szCs w:val="24"/>
        </w:rPr>
      </w:pPr>
    </w:p>
    <w:p w14:paraId="26B8364C" w14:textId="76184AD0" w:rsidR="00405F66" w:rsidRPr="00AA3364" w:rsidRDefault="003F6C92" w:rsidP="00AA3364">
      <w:pPr>
        <w:spacing w:line="276" w:lineRule="auto"/>
        <w:ind w:firstLine="708"/>
        <w:rPr>
          <w:rFonts w:cs="Tahoma"/>
          <w:sz w:val="24"/>
          <w:szCs w:val="24"/>
        </w:rPr>
      </w:pPr>
      <w:r w:rsidRPr="00AA3364">
        <w:rPr>
          <w:rFonts w:cs="Tahoma"/>
          <w:sz w:val="24"/>
          <w:szCs w:val="24"/>
        </w:rPr>
        <w:t xml:space="preserve">Durante la etapa que habla el </w:t>
      </w:r>
      <w:r w:rsidR="00693019" w:rsidRPr="00AA3364">
        <w:rPr>
          <w:rFonts w:cs="Tahoma"/>
          <w:sz w:val="24"/>
          <w:szCs w:val="24"/>
        </w:rPr>
        <w:t>artículo</w:t>
      </w:r>
      <w:r w:rsidRPr="00AA3364">
        <w:rPr>
          <w:rFonts w:cs="Tahoma"/>
          <w:sz w:val="24"/>
          <w:szCs w:val="24"/>
        </w:rPr>
        <w:t xml:space="preserve"> 32</w:t>
      </w:r>
      <w:r w:rsidR="00CD5709">
        <w:rPr>
          <w:rFonts w:cs="Tahoma"/>
          <w:sz w:val="24"/>
          <w:szCs w:val="24"/>
        </w:rPr>
        <w:t xml:space="preserve"> </w:t>
      </w:r>
      <w:proofErr w:type="spellStart"/>
      <w:r w:rsidRPr="00AA3364">
        <w:rPr>
          <w:rFonts w:cs="Tahoma"/>
          <w:sz w:val="24"/>
          <w:szCs w:val="24"/>
        </w:rPr>
        <w:t>CPTSS</w:t>
      </w:r>
      <w:proofErr w:type="spellEnd"/>
      <w:r w:rsidRPr="00AA3364">
        <w:rPr>
          <w:rFonts w:cs="Tahoma"/>
          <w:sz w:val="24"/>
          <w:szCs w:val="24"/>
        </w:rPr>
        <w:t>,</w:t>
      </w:r>
      <w:r w:rsidR="00CD5709">
        <w:rPr>
          <w:rFonts w:cs="Tahoma"/>
          <w:sz w:val="24"/>
          <w:szCs w:val="24"/>
        </w:rPr>
        <w:t xml:space="preserve"> </w:t>
      </w:r>
      <w:r w:rsidRPr="00AA3364">
        <w:rPr>
          <w:rFonts w:cs="Tahoma"/>
          <w:sz w:val="24"/>
          <w:szCs w:val="24"/>
        </w:rPr>
        <w:t>previo traslado realizado en audiencia, m</w:t>
      </w:r>
      <w:r w:rsidR="00405F66" w:rsidRPr="00AA3364">
        <w:rPr>
          <w:rFonts w:cs="Tahoma"/>
          <w:sz w:val="24"/>
          <w:szCs w:val="24"/>
        </w:rPr>
        <w:t xml:space="preserve">ediante auto del 17 de julio de 2023, el juzgado primero laboral del circuito de </w:t>
      </w:r>
      <w:r w:rsidR="003F73F6" w:rsidRPr="00AA3364">
        <w:rPr>
          <w:rFonts w:cs="Tahoma"/>
          <w:sz w:val="24"/>
          <w:szCs w:val="24"/>
        </w:rPr>
        <w:t>Pereira</w:t>
      </w:r>
      <w:r w:rsidR="00405F66" w:rsidRPr="00AA3364">
        <w:rPr>
          <w:rFonts w:cs="Tahoma"/>
          <w:sz w:val="24"/>
          <w:szCs w:val="24"/>
        </w:rPr>
        <w:t xml:space="preserve"> dispuso:</w:t>
      </w:r>
    </w:p>
    <w:p w14:paraId="332FA92C" w14:textId="77777777" w:rsidR="00405F66" w:rsidRPr="00AA3364" w:rsidRDefault="00405F66" w:rsidP="00AA3364">
      <w:pPr>
        <w:spacing w:line="276" w:lineRule="auto"/>
        <w:ind w:firstLine="0"/>
        <w:rPr>
          <w:rFonts w:cs="Tahoma"/>
          <w:sz w:val="24"/>
          <w:szCs w:val="24"/>
        </w:rPr>
      </w:pPr>
    </w:p>
    <w:p w14:paraId="48C92A21" w14:textId="0962C246" w:rsidR="00405F66" w:rsidRPr="0047432A" w:rsidRDefault="00405F66" w:rsidP="0047432A">
      <w:pPr>
        <w:spacing w:line="240" w:lineRule="auto"/>
        <w:ind w:left="426" w:right="420" w:hanging="1"/>
        <w:rPr>
          <w:rStyle w:val="fontstyle21"/>
          <w:rFonts w:ascii="Bookman Old Style" w:hAnsi="Bookman Old Style"/>
          <w:sz w:val="22"/>
          <w:szCs w:val="24"/>
        </w:rPr>
      </w:pPr>
      <w:r w:rsidRPr="0047432A">
        <w:rPr>
          <w:rStyle w:val="fontstyle21"/>
          <w:rFonts w:ascii="Bookman Old Style" w:hAnsi="Bookman Old Style"/>
          <w:sz w:val="22"/>
          <w:szCs w:val="24"/>
        </w:rPr>
        <w:t>“</w:t>
      </w:r>
      <w:r w:rsidRPr="0047432A">
        <w:rPr>
          <w:rStyle w:val="fontstyle21"/>
          <w:rFonts w:ascii="Bookman Old Style" w:hAnsi="Bookman Old Style"/>
          <w:b/>
          <w:bCs/>
          <w:sz w:val="22"/>
          <w:szCs w:val="24"/>
        </w:rPr>
        <w:t>PRIMERO</w:t>
      </w:r>
      <w:r w:rsidRPr="0047432A">
        <w:rPr>
          <w:rStyle w:val="fontstyle21"/>
          <w:rFonts w:ascii="Bookman Old Style" w:hAnsi="Bookman Old Style"/>
          <w:sz w:val="22"/>
          <w:szCs w:val="24"/>
        </w:rPr>
        <w:t xml:space="preserve">: DECRETAR la prosperidad de la excepción previa de falta de competencia por ausencia de reclamación administrativa, alegada por POSITIVA </w:t>
      </w:r>
      <w:r w:rsidR="0047432A" w:rsidRPr="0047432A">
        <w:rPr>
          <w:rStyle w:val="fontstyle21"/>
          <w:rFonts w:ascii="Bookman Old Style" w:hAnsi="Bookman Old Style"/>
          <w:sz w:val="22"/>
          <w:szCs w:val="24"/>
        </w:rPr>
        <w:t>COMPAÑÍA</w:t>
      </w:r>
      <w:r w:rsidRPr="0047432A">
        <w:rPr>
          <w:rStyle w:val="fontstyle21"/>
          <w:rFonts w:ascii="Bookman Old Style" w:hAnsi="Bookman Old Style"/>
          <w:sz w:val="22"/>
          <w:szCs w:val="24"/>
        </w:rPr>
        <w:t xml:space="preserve"> DE SEGUROS S.A. </w:t>
      </w:r>
      <w:r w:rsidRPr="0047432A">
        <w:rPr>
          <w:rStyle w:val="fontstyle21"/>
          <w:rFonts w:ascii="Bookman Old Style" w:hAnsi="Bookman Old Style"/>
          <w:b/>
          <w:bCs/>
          <w:sz w:val="22"/>
          <w:szCs w:val="24"/>
        </w:rPr>
        <w:t>SEGUNDA</w:t>
      </w:r>
      <w:r w:rsidRPr="0047432A">
        <w:rPr>
          <w:rStyle w:val="fontstyle21"/>
          <w:rFonts w:ascii="Bookman Old Style" w:hAnsi="Bookman Old Style"/>
          <w:sz w:val="22"/>
          <w:szCs w:val="24"/>
        </w:rPr>
        <w:t xml:space="preserve">: consecuencia de lo anterior, RECHAZAR la demanda promovida por el señor FREDY MACHADO MOSQUERA en contra de POSITIVA </w:t>
      </w:r>
      <w:r w:rsidR="0047432A" w:rsidRPr="0047432A">
        <w:rPr>
          <w:rStyle w:val="fontstyle21"/>
          <w:rFonts w:ascii="Bookman Old Style" w:hAnsi="Bookman Old Style"/>
          <w:sz w:val="22"/>
          <w:szCs w:val="24"/>
        </w:rPr>
        <w:t>COMPAÑÍA</w:t>
      </w:r>
      <w:r w:rsidRPr="0047432A">
        <w:rPr>
          <w:rStyle w:val="fontstyle21"/>
          <w:rFonts w:ascii="Bookman Old Style" w:hAnsi="Bookman Old Style"/>
          <w:sz w:val="22"/>
          <w:szCs w:val="24"/>
        </w:rPr>
        <w:t xml:space="preserve"> DE SEGUROS S.A. </w:t>
      </w:r>
      <w:r w:rsidRPr="0047432A">
        <w:rPr>
          <w:rStyle w:val="fontstyle21"/>
          <w:rFonts w:ascii="Bookman Old Style" w:hAnsi="Bookman Old Style"/>
          <w:b/>
          <w:bCs/>
          <w:sz w:val="22"/>
          <w:szCs w:val="24"/>
        </w:rPr>
        <w:t>TERCERO</w:t>
      </w:r>
      <w:r w:rsidRPr="0047432A">
        <w:rPr>
          <w:rStyle w:val="fontstyle21"/>
          <w:rFonts w:ascii="Bookman Old Style" w:hAnsi="Bookman Old Style"/>
          <w:sz w:val="22"/>
          <w:szCs w:val="24"/>
        </w:rPr>
        <w:t xml:space="preserve">: ordenar el archivo del proceso, previa anotación en los libros </w:t>
      </w:r>
      <w:proofErr w:type="spellStart"/>
      <w:r w:rsidRPr="0047432A">
        <w:rPr>
          <w:rStyle w:val="fontstyle21"/>
          <w:rFonts w:ascii="Bookman Old Style" w:hAnsi="Bookman Old Style"/>
          <w:sz w:val="22"/>
          <w:szCs w:val="24"/>
        </w:rPr>
        <w:t>radicadores</w:t>
      </w:r>
      <w:proofErr w:type="spellEnd"/>
      <w:r w:rsidRPr="0047432A">
        <w:rPr>
          <w:rStyle w:val="fontstyle21"/>
          <w:rFonts w:ascii="Bookman Old Style" w:hAnsi="Bookman Old Style"/>
          <w:sz w:val="22"/>
          <w:szCs w:val="24"/>
        </w:rPr>
        <w:t>”.</w:t>
      </w:r>
    </w:p>
    <w:p w14:paraId="3AA331A9" w14:textId="77777777" w:rsidR="00405F66" w:rsidRPr="00AA3364" w:rsidRDefault="00405F66" w:rsidP="00AA3364">
      <w:pPr>
        <w:spacing w:line="276" w:lineRule="auto"/>
        <w:ind w:left="708" w:firstLine="0"/>
        <w:rPr>
          <w:rFonts w:cs="Times New Roman"/>
          <w:sz w:val="24"/>
          <w:szCs w:val="24"/>
        </w:rPr>
      </w:pPr>
    </w:p>
    <w:p w14:paraId="58D8B9C2" w14:textId="4D3D6F3D" w:rsidR="003B33B1" w:rsidRPr="00AA3364" w:rsidRDefault="003B33B1" w:rsidP="00AA3364">
      <w:pPr>
        <w:spacing w:line="276" w:lineRule="auto"/>
        <w:ind w:firstLine="708"/>
        <w:rPr>
          <w:rFonts w:cs="Tahoma"/>
          <w:sz w:val="24"/>
          <w:szCs w:val="24"/>
        </w:rPr>
      </w:pPr>
      <w:r w:rsidRPr="00AA3364">
        <w:rPr>
          <w:rFonts w:cs="Tahoma"/>
          <w:sz w:val="24"/>
          <w:szCs w:val="24"/>
        </w:rPr>
        <w:t xml:space="preserve">Al resolver, refirió que no había duda de que la demandada era una entidad de carácter público dada la participación Estatal con que se contaba, por lo que debía surtirse la reclamación administrativa la cual debía ser escrita, </w:t>
      </w:r>
      <w:r w:rsidR="0065790C" w:rsidRPr="00AA3364">
        <w:rPr>
          <w:rFonts w:cs="Tahoma"/>
          <w:sz w:val="24"/>
          <w:szCs w:val="24"/>
        </w:rPr>
        <w:t xml:space="preserve">no siendo válida la reclamación de carácter verbal y comoquiera que en el hecho 29 y 30 </w:t>
      </w:r>
      <w:r w:rsidR="00B54734" w:rsidRPr="00AA3364">
        <w:rPr>
          <w:rFonts w:cs="Tahoma"/>
          <w:sz w:val="24"/>
          <w:szCs w:val="24"/>
        </w:rPr>
        <w:t>el actor</w:t>
      </w:r>
      <w:r w:rsidR="0065790C" w:rsidRPr="00AA3364">
        <w:rPr>
          <w:rFonts w:cs="Tahoma"/>
          <w:sz w:val="24"/>
          <w:szCs w:val="24"/>
        </w:rPr>
        <w:t xml:space="preserve"> confesó que dicha reclamación se hizo de manera verbal sin aportarse la constancia de la radicación de dicha reclamación, no era posible dar por acreditado el requisito de procedibilidad, sin que tampoco fuera viable tomar como tal</w:t>
      </w:r>
      <w:r w:rsidR="00E17FA1" w:rsidRPr="00AA3364">
        <w:rPr>
          <w:rFonts w:cs="Tahoma"/>
          <w:sz w:val="24"/>
          <w:szCs w:val="24"/>
        </w:rPr>
        <w:t>,</w:t>
      </w:r>
      <w:r w:rsidR="0065790C" w:rsidRPr="00AA3364">
        <w:rPr>
          <w:rFonts w:cs="Tahoma"/>
          <w:sz w:val="24"/>
          <w:szCs w:val="24"/>
        </w:rPr>
        <w:t xml:space="preserve"> la acción de tutela que se presentó porque estaba dirigida a que se ordenara el pago de las prestaciones económica asistenciales derivadas de las patologías de su rodilla y que culminó con la orden de pagar las incapacidades</w:t>
      </w:r>
      <w:r w:rsidR="00E17FA1" w:rsidRPr="00AA3364">
        <w:rPr>
          <w:rFonts w:cs="Tahoma"/>
          <w:sz w:val="24"/>
          <w:szCs w:val="24"/>
        </w:rPr>
        <w:t xml:space="preserve">, por lo que no </w:t>
      </w:r>
      <w:r w:rsidR="0065790C" w:rsidRPr="00AA3364">
        <w:rPr>
          <w:rFonts w:cs="Tahoma"/>
          <w:sz w:val="24"/>
          <w:szCs w:val="24"/>
        </w:rPr>
        <w:t xml:space="preserve">fue propiamente </w:t>
      </w:r>
      <w:r w:rsidR="00E17FA1" w:rsidRPr="00AA3364">
        <w:rPr>
          <w:rFonts w:cs="Tahoma"/>
          <w:sz w:val="24"/>
          <w:szCs w:val="24"/>
        </w:rPr>
        <w:t xml:space="preserve">por el </w:t>
      </w:r>
      <w:r w:rsidR="0065790C" w:rsidRPr="00AA3364">
        <w:rPr>
          <w:rFonts w:cs="Tahoma"/>
          <w:sz w:val="24"/>
          <w:szCs w:val="24"/>
        </w:rPr>
        <w:t>reembolso de los gastos médicos en que incurrió posteriormente, razón por la cual, el medio exceptivo salió avante.</w:t>
      </w:r>
    </w:p>
    <w:p w14:paraId="2694BF18" w14:textId="77777777" w:rsidR="00B644D2" w:rsidRPr="00AA3364" w:rsidRDefault="00B644D2" w:rsidP="00AA3364">
      <w:pPr>
        <w:spacing w:line="276" w:lineRule="auto"/>
        <w:ind w:firstLine="0"/>
        <w:rPr>
          <w:rFonts w:cs="Tahoma"/>
          <w:sz w:val="24"/>
          <w:szCs w:val="24"/>
        </w:rPr>
      </w:pPr>
    </w:p>
    <w:p w14:paraId="5A802515" w14:textId="2497C46A" w:rsidR="00F41E71" w:rsidRPr="00AA3364" w:rsidRDefault="00F41E71" w:rsidP="00AA3364">
      <w:pPr>
        <w:pStyle w:val="Prrafodelista"/>
        <w:numPr>
          <w:ilvl w:val="0"/>
          <w:numId w:val="11"/>
        </w:numPr>
        <w:spacing w:line="276" w:lineRule="auto"/>
        <w:ind w:left="284"/>
        <w:jc w:val="center"/>
        <w:rPr>
          <w:rFonts w:cs="Tahoma"/>
          <w:b/>
          <w:sz w:val="24"/>
          <w:szCs w:val="24"/>
        </w:rPr>
      </w:pPr>
      <w:r w:rsidRPr="00AA3364">
        <w:rPr>
          <w:rFonts w:cs="Tahoma"/>
          <w:b/>
          <w:sz w:val="24"/>
          <w:szCs w:val="24"/>
        </w:rPr>
        <w:t>RECURSO DE APELACIÓN</w:t>
      </w:r>
    </w:p>
    <w:p w14:paraId="3977ED37" w14:textId="77777777" w:rsidR="00F41E71" w:rsidRPr="00AA3364" w:rsidRDefault="00F41E71" w:rsidP="00AA3364">
      <w:pPr>
        <w:spacing w:line="276" w:lineRule="auto"/>
        <w:ind w:firstLine="0"/>
        <w:rPr>
          <w:rFonts w:cs="Tahoma"/>
          <w:b/>
          <w:sz w:val="24"/>
          <w:szCs w:val="24"/>
        </w:rPr>
      </w:pPr>
    </w:p>
    <w:p w14:paraId="09ED9727" w14:textId="0B80F08E" w:rsidR="00F41E71" w:rsidRPr="00AA3364" w:rsidRDefault="00887D09" w:rsidP="00AA3364">
      <w:pPr>
        <w:spacing w:line="276" w:lineRule="auto"/>
        <w:ind w:firstLine="708"/>
        <w:rPr>
          <w:rFonts w:cs="Tahoma"/>
          <w:sz w:val="24"/>
          <w:szCs w:val="24"/>
        </w:rPr>
      </w:pPr>
      <w:r w:rsidRPr="00AA3364">
        <w:rPr>
          <w:rFonts w:cs="Tahoma"/>
          <w:sz w:val="24"/>
          <w:szCs w:val="24"/>
        </w:rPr>
        <w:t>La parte actora r</w:t>
      </w:r>
      <w:r w:rsidR="00252E8A" w:rsidRPr="00AA3364">
        <w:rPr>
          <w:rFonts w:cs="Tahoma"/>
          <w:sz w:val="24"/>
          <w:szCs w:val="24"/>
        </w:rPr>
        <w:t xml:space="preserve">ecurrió la decisión indicando que un proceso se inicia formalmente con la notificación de la demanda y no con la presentación de </w:t>
      </w:r>
      <w:r w:rsidR="000A5596" w:rsidRPr="00AA3364">
        <w:rPr>
          <w:rFonts w:cs="Tahoma"/>
          <w:sz w:val="24"/>
          <w:szCs w:val="24"/>
        </w:rPr>
        <w:t>esta</w:t>
      </w:r>
      <w:r w:rsidR="00252E8A" w:rsidRPr="00AA3364">
        <w:rPr>
          <w:rFonts w:cs="Tahoma"/>
          <w:sz w:val="24"/>
          <w:szCs w:val="24"/>
        </w:rPr>
        <w:t xml:space="preserve">, por </w:t>
      </w:r>
      <w:r w:rsidR="00151EFB" w:rsidRPr="00AA3364">
        <w:rPr>
          <w:rFonts w:cs="Tahoma"/>
          <w:sz w:val="24"/>
          <w:szCs w:val="24"/>
        </w:rPr>
        <w:t>tanto,</w:t>
      </w:r>
      <w:r w:rsidR="00252E8A" w:rsidRPr="00AA3364">
        <w:rPr>
          <w:rFonts w:cs="Tahoma"/>
          <w:sz w:val="24"/>
          <w:szCs w:val="24"/>
        </w:rPr>
        <w:t xml:space="preserve"> la reclamación podía hacerse incluso antes de la notificación a los demandados. De otro lado, refiere que con la subsanación de la demanda se arrimó la evidencia de la presentación de la reclamación administrativa realizada a través de </w:t>
      </w:r>
      <w:proofErr w:type="spellStart"/>
      <w:r w:rsidR="00151EFB" w:rsidRPr="00AA3364">
        <w:rPr>
          <w:rFonts w:cs="Tahoma"/>
          <w:sz w:val="24"/>
          <w:szCs w:val="24"/>
        </w:rPr>
        <w:t>Servientrega</w:t>
      </w:r>
      <w:proofErr w:type="spellEnd"/>
      <w:r w:rsidR="00252E8A" w:rsidRPr="00AA3364">
        <w:rPr>
          <w:rFonts w:cs="Tahoma"/>
          <w:sz w:val="24"/>
          <w:szCs w:val="24"/>
        </w:rPr>
        <w:t xml:space="preserve"> S.A., a través de un canal virtual</w:t>
      </w:r>
      <w:r w:rsidR="002A5815" w:rsidRPr="00AA3364">
        <w:rPr>
          <w:rFonts w:cs="Tahoma"/>
          <w:sz w:val="24"/>
          <w:szCs w:val="24"/>
        </w:rPr>
        <w:t xml:space="preserve"> el 14 de octubre de 2020, en tanto que la notificación fue realizada mucho después. Agrega que, como si fuera poco la acción de tutela también contenía la solicitud de las prestaciones derivadas de un evento de origen laboral</w:t>
      </w:r>
      <w:r w:rsidR="00BE0E68" w:rsidRPr="00AA3364">
        <w:rPr>
          <w:rFonts w:cs="Tahoma"/>
          <w:sz w:val="24"/>
          <w:szCs w:val="24"/>
        </w:rPr>
        <w:t>, por lo que la acción de tutela si bien accedió al pago de incapacidades no lo hizo frente a los gastos de la cirugía siendo esta última la razón del proceso.</w:t>
      </w:r>
    </w:p>
    <w:p w14:paraId="0978E51B" w14:textId="77777777" w:rsidR="00946E11" w:rsidRPr="00AA3364" w:rsidRDefault="00946E11" w:rsidP="00AA3364">
      <w:pPr>
        <w:spacing w:line="276" w:lineRule="auto"/>
        <w:ind w:firstLine="0"/>
        <w:rPr>
          <w:rFonts w:cs="Tahoma"/>
          <w:bCs/>
          <w:sz w:val="24"/>
          <w:szCs w:val="24"/>
        </w:rPr>
      </w:pPr>
    </w:p>
    <w:p w14:paraId="1D859722" w14:textId="7F90010E" w:rsidR="00D420BB" w:rsidRPr="00AA3364" w:rsidRDefault="004D62AE" w:rsidP="00AA3364">
      <w:pPr>
        <w:spacing w:line="276" w:lineRule="auto"/>
        <w:ind w:firstLine="708"/>
        <w:rPr>
          <w:rFonts w:cs="Tahoma"/>
          <w:sz w:val="24"/>
          <w:szCs w:val="24"/>
        </w:rPr>
      </w:pPr>
      <w:r w:rsidRPr="00AA3364">
        <w:rPr>
          <w:rFonts w:cs="Tahoma"/>
          <w:sz w:val="24"/>
          <w:szCs w:val="24"/>
        </w:rPr>
        <w:t xml:space="preserve">La jueza al resolver </w:t>
      </w:r>
      <w:r w:rsidR="00D420BB" w:rsidRPr="00AA3364">
        <w:rPr>
          <w:rFonts w:cs="Tahoma"/>
          <w:sz w:val="24"/>
          <w:szCs w:val="24"/>
        </w:rPr>
        <w:t xml:space="preserve">el recurso </w:t>
      </w:r>
      <w:r w:rsidRPr="00AA3364">
        <w:rPr>
          <w:rFonts w:cs="Tahoma"/>
          <w:sz w:val="24"/>
          <w:szCs w:val="24"/>
        </w:rPr>
        <w:t xml:space="preserve">de </w:t>
      </w:r>
      <w:r w:rsidR="00D420BB" w:rsidRPr="00AA3364">
        <w:rPr>
          <w:rFonts w:cs="Tahoma"/>
          <w:sz w:val="24"/>
          <w:szCs w:val="24"/>
        </w:rPr>
        <w:t xml:space="preserve">reposición, no accedió a lo solicitado arguyendo que la reclamación realizada al momento de subsanar la demanda, no advertía que se estaba reclamando con el mensaje de datos </w:t>
      </w:r>
      <w:r w:rsidR="005C7644" w:rsidRPr="00AA3364">
        <w:rPr>
          <w:rFonts w:cs="Tahoma"/>
          <w:sz w:val="24"/>
          <w:szCs w:val="24"/>
        </w:rPr>
        <w:t xml:space="preserve">ni que se tratara de </w:t>
      </w:r>
      <w:r w:rsidR="00D420BB" w:rsidRPr="00AA3364">
        <w:rPr>
          <w:rFonts w:cs="Tahoma"/>
          <w:sz w:val="24"/>
          <w:szCs w:val="24"/>
        </w:rPr>
        <w:t>iguales pretensiones a las del proceso</w:t>
      </w:r>
      <w:r w:rsidR="005C7644" w:rsidRPr="00AA3364">
        <w:rPr>
          <w:rFonts w:cs="Tahoma"/>
          <w:sz w:val="24"/>
          <w:szCs w:val="24"/>
        </w:rPr>
        <w:t xml:space="preserve"> y que de haber sido así, tampoco se le había dado </w:t>
      </w:r>
      <w:r w:rsidR="00D420BB" w:rsidRPr="00AA3364">
        <w:rPr>
          <w:rFonts w:cs="Tahoma"/>
          <w:sz w:val="24"/>
          <w:szCs w:val="24"/>
        </w:rPr>
        <w:t xml:space="preserve">oportunidad a la </w:t>
      </w:r>
      <w:r w:rsidR="005C7644" w:rsidRPr="00AA3364">
        <w:rPr>
          <w:rFonts w:cs="Tahoma"/>
          <w:sz w:val="24"/>
          <w:szCs w:val="24"/>
        </w:rPr>
        <w:t xml:space="preserve">demandada </w:t>
      </w:r>
      <w:r w:rsidR="00D420BB" w:rsidRPr="00AA3364">
        <w:rPr>
          <w:rFonts w:cs="Tahoma"/>
          <w:sz w:val="24"/>
          <w:szCs w:val="24"/>
        </w:rPr>
        <w:t>de resolver sobre lo planteado</w:t>
      </w:r>
      <w:r w:rsidR="005C7644" w:rsidRPr="00AA3364">
        <w:rPr>
          <w:rFonts w:cs="Tahoma"/>
          <w:sz w:val="24"/>
          <w:szCs w:val="24"/>
        </w:rPr>
        <w:t xml:space="preserve">, por lo que no había tenido oportunidad </w:t>
      </w:r>
      <w:r w:rsidR="00D420BB" w:rsidRPr="00AA3364">
        <w:rPr>
          <w:rFonts w:cs="Tahoma"/>
          <w:sz w:val="24"/>
          <w:szCs w:val="24"/>
        </w:rPr>
        <w:t xml:space="preserve">de pronunciarse al haberse realizado </w:t>
      </w:r>
      <w:r w:rsidR="005C7644" w:rsidRPr="00AA3364">
        <w:rPr>
          <w:rFonts w:cs="Tahoma"/>
          <w:sz w:val="24"/>
          <w:szCs w:val="24"/>
        </w:rPr>
        <w:t xml:space="preserve">la reclamación </w:t>
      </w:r>
      <w:r w:rsidR="00D420BB" w:rsidRPr="00AA3364">
        <w:rPr>
          <w:rFonts w:cs="Tahoma"/>
          <w:sz w:val="24"/>
          <w:szCs w:val="24"/>
        </w:rPr>
        <w:t>con posterioridad a la presentación de la demanda.</w:t>
      </w:r>
    </w:p>
    <w:p w14:paraId="78029802" w14:textId="77777777" w:rsidR="00946E11" w:rsidRPr="00AA3364" w:rsidRDefault="00946E11" w:rsidP="00AA3364">
      <w:pPr>
        <w:spacing w:line="276" w:lineRule="auto"/>
        <w:ind w:firstLine="0"/>
        <w:rPr>
          <w:rFonts w:cs="Tahoma"/>
          <w:bCs/>
          <w:sz w:val="24"/>
          <w:szCs w:val="24"/>
        </w:rPr>
      </w:pPr>
    </w:p>
    <w:p w14:paraId="3B2025EC" w14:textId="0C227774" w:rsidR="00551E35" w:rsidRPr="00AA3364" w:rsidRDefault="00551E35" w:rsidP="00AA3364">
      <w:pPr>
        <w:pStyle w:val="Prrafodelista"/>
        <w:numPr>
          <w:ilvl w:val="0"/>
          <w:numId w:val="11"/>
        </w:numPr>
        <w:spacing w:line="276" w:lineRule="auto"/>
        <w:ind w:left="284"/>
        <w:jc w:val="center"/>
        <w:rPr>
          <w:rFonts w:cs="Tahoma"/>
          <w:b/>
          <w:sz w:val="24"/>
          <w:szCs w:val="24"/>
        </w:rPr>
      </w:pPr>
      <w:r w:rsidRPr="00AA3364">
        <w:rPr>
          <w:rFonts w:cs="Tahoma"/>
          <w:b/>
          <w:sz w:val="24"/>
          <w:szCs w:val="24"/>
        </w:rPr>
        <w:t>ALEGATOS DE SEGUNDA INSTANCIA</w:t>
      </w:r>
    </w:p>
    <w:p w14:paraId="738BBBD8" w14:textId="77777777" w:rsidR="00946E11" w:rsidRPr="00AA3364" w:rsidRDefault="00946E11" w:rsidP="00AA3364">
      <w:pPr>
        <w:spacing w:line="276" w:lineRule="auto"/>
        <w:ind w:firstLine="0"/>
        <w:rPr>
          <w:rFonts w:cs="Tahoma"/>
          <w:bCs/>
          <w:sz w:val="24"/>
          <w:szCs w:val="24"/>
        </w:rPr>
      </w:pPr>
    </w:p>
    <w:p w14:paraId="61753E1D" w14:textId="268661EA" w:rsidR="00E051B6" w:rsidRPr="00AA3364" w:rsidRDefault="00E051B6" w:rsidP="00AA3364">
      <w:pPr>
        <w:spacing w:line="276" w:lineRule="auto"/>
        <w:ind w:firstLine="708"/>
        <w:rPr>
          <w:rFonts w:cs="Tahoma"/>
          <w:sz w:val="24"/>
          <w:szCs w:val="24"/>
        </w:rPr>
      </w:pPr>
      <w:r w:rsidRPr="00AA3364">
        <w:rPr>
          <w:rFonts w:cs="Tahoma"/>
          <w:sz w:val="24"/>
          <w:szCs w:val="24"/>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del 17-10-2023 y de la presentación de alegaciones en término, se remite a la constancia de la Secretaría de la Sala [archivo 07]. </w:t>
      </w:r>
    </w:p>
    <w:p w14:paraId="69DCD43F" w14:textId="77777777" w:rsidR="00E051B6" w:rsidRPr="00AA3364" w:rsidRDefault="00E051B6" w:rsidP="00AA3364">
      <w:pPr>
        <w:spacing w:line="276" w:lineRule="auto"/>
        <w:ind w:firstLine="708"/>
        <w:rPr>
          <w:rFonts w:cs="Tahoma"/>
          <w:sz w:val="24"/>
          <w:szCs w:val="24"/>
        </w:rPr>
      </w:pPr>
    </w:p>
    <w:p w14:paraId="57C75C70" w14:textId="77777777" w:rsidR="00E051B6" w:rsidRPr="00AA3364" w:rsidRDefault="00E051B6" w:rsidP="00AA3364">
      <w:pPr>
        <w:spacing w:line="276" w:lineRule="auto"/>
        <w:ind w:firstLine="708"/>
        <w:rPr>
          <w:rFonts w:cs="Tahoma"/>
          <w:sz w:val="24"/>
          <w:szCs w:val="24"/>
        </w:rPr>
      </w:pPr>
      <w:r w:rsidRPr="00AA3364">
        <w:rPr>
          <w:rFonts w:cs="Tahoma"/>
          <w:sz w:val="24"/>
          <w:szCs w:val="24"/>
        </w:rPr>
        <w:t>Surtido el trámite que corresponde a esta instancia procede la Sala de decisión a dictar la providencia que corresponde, previas las siguientes,</w:t>
      </w:r>
    </w:p>
    <w:p w14:paraId="16320F94" w14:textId="77777777" w:rsidR="00E051B6" w:rsidRPr="00AA3364" w:rsidRDefault="00E051B6" w:rsidP="00AA3364">
      <w:pPr>
        <w:spacing w:line="276" w:lineRule="auto"/>
        <w:ind w:firstLine="708"/>
        <w:rPr>
          <w:rFonts w:cs="Tahoma"/>
          <w:sz w:val="24"/>
          <w:szCs w:val="24"/>
        </w:rPr>
      </w:pPr>
    </w:p>
    <w:p w14:paraId="2D6B36F6" w14:textId="3D79242E" w:rsidR="00551E35" w:rsidRPr="00AA3364" w:rsidRDefault="00E051B6" w:rsidP="00AA3364">
      <w:pPr>
        <w:pStyle w:val="Prrafodelista"/>
        <w:numPr>
          <w:ilvl w:val="0"/>
          <w:numId w:val="11"/>
        </w:numPr>
        <w:spacing w:line="276" w:lineRule="auto"/>
        <w:ind w:left="284"/>
        <w:jc w:val="center"/>
        <w:rPr>
          <w:rFonts w:cs="Tahoma"/>
          <w:b/>
          <w:sz w:val="24"/>
          <w:szCs w:val="24"/>
        </w:rPr>
      </w:pPr>
      <w:r w:rsidRPr="00AA3364">
        <w:rPr>
          <w:rFonts w:cs="Tahoma"/>
          <w:b/>
          <w:sz w:val="24"/>
          <w:szCs w:val="24"/>
        </w:rPr>
        <w:t>CONSIDERACIONES</w:t>
      </w:r>
    </w:p>
    <w:p w14:paraId="74B62250" w14:textId="77777777" w:rsidR="00551E35" w:rsidRPr="00AA3364" w:rsidRDefault="00551E35" w:rsidP="00AA3364">
      <w:pPr>
        <w:spacing w:line="276" w:lineRule="auto"/>
        <w:ind w:firstLine="708"/>
        <w:rPr>
          <w:rFonts w:cs="Tahoma"/>
          <w:sz w:val="24"/>
          <w:szCs w:val="24"/>
        </w:rPr>
      </w:pPr>
    </w:p>
    <w:p w14:paraId="4060936F" w14:textId="7901A5CF" w:rsidR="00CF6CA2" w:rsidRPr="00AA3364" w:rsidRDefault="00CF6CA2" w:rsidP="00AA3364">
      <w:pPr>
        <w:spacing w:line="276" w:lineRule="auto"/>
        <w:ind w:firstLine="851"/>
        <w:rPr>
          <w:sz w:val="24"/>
          <w:szCs w:val="24"/>
        </w:rPr>
      </w:pPr>
      <w:r w:rsidRPr="00AA3364">
        <w:rPr>
          <w:sz w:val="24"/>
          <w:szCs w:val="24"/>
        </w:rPr>
        <w:t xml:space="preserve">En el presente caso encontramos que se recurre en apelación el auto por medio del cual se resuelven las excepciones previas del proceso ordinario, decisión recurrible al tenor del numeral 3 del artículo 65 del </w:t>
      </w:r>
      <w:proofErr w:type="spellStart"/>
      <w:r w:rsidRPr="00AA3364">
        <w:rPr>
          <w:sz w:val="24"/>
          <w:szCs w:val="24"/>
        </w:rPr>
        <w:t>CPT</w:t>
      </w:r>
      <w:proofErr w:type="spellEnd"/>
      <w:r w:rsidRPr="00AA3364">
        <w:rPr>
          <w:sz w:val="24"/>
          <w:szCs w:val="24"/>
        </w:rPr>
        <w:t xml:space="preserve"> y SS.</w:t>
      </w:r>
    </w:p>
    <w:p w14:paraId="31E23EC9" w14:textId="77777777" w:rsidR="00CF6CA2" w:rsidRPr="00AA3364" w:rsidRDefault="00CF6CA2" w:rsidP="00AA3364">
      <w:pPr>
        <w:spacing w:line="276" w:lineRule="auto"/>
        <w:ind w:firstLine="708"/>
        <w:rPr>
          <w:rFonts w:cs="Tahoma"/>
          <w:sz w:val="24"/>
          <w:szCs w:val="24"/>
        </w:rPr>
      </w:pPr>
    </w:p>
    <w:p w14:paraId="1C6BFBE5" w14:textId="060967DD" w:rsidR="00946E11" w:rsidRPr="00AA3364" w:rsidRDefault="00723BA7" w:rsidP="00AA3364">
      <w:pPr>
        <w:spacing w:line="276" w:lineRule="auto"/>
        <w:ind w:firstLine="708"/>
        <w:rPr>
          <w:rFonts w:cs="Tahoma"/>
          <w:sz w:val="24"/>
          <w:szCs w:val="24"/>
        </w:rPr>
      </w:pPr>
      <w:r w:rsidRPr="00AA3364">
        <w:rPr>
          <w:rFonts w:cs="Tahoma"/>
          <w:sz w:val="24"/>
          <w:szCs w:val="24"/>
        </w:rPr>
        <w:t>Bajo el anterior escenario, el problema jurídico a resolver se centra en establecer si había lugar a declarar probada la excepción previa de falta de reclamación administrativa.</w:t>
      </w:r>
    </w:p>
    <w:p w14:paraId="0F504D24" w14:textId="77777777" w:rsidR="00786F9B" w:rsidRPr="00AA3364" w:rsidRDefault="00786F9B" w:rsidP="00AA3364">
      <w:pPr>
        <w:spacing w:line="276" w:lineRule="auto"/>
        <w:ind w:firstLine="708"/>
        <w:rPr>
          <w:rFonts w:cs="Tahoma"/>
          <w:sz w:val="24"/>
          <w:szCs w:val="24"/>
        </w:rPr>
      </w:pPr>
    </w:p>
    <w:p w14:paraId="6403AFEC" w14:textId="0588A3A8" w:rsidR="0096032B" w:rsidRPr="00AA3364" w:rsidRDefault="0096032B" w:rsidP="00AA3364">
      <w:pPr>
        <w:spacing w:line="276" w:lineRule="auto"/>
        <w:ind w:firstLine="708"/>
        <w:rPr>
          <w:rFonts w:cs="Tahoma"/>
          <w:sz w:val="24"/>
          <w:szCs w:val="24"/>
        </w:rPr>
      </w:pPr>
      <w:r w:rsidRPr="00AA3364">
        <w:rPr>
          <w:rFonts w:cs="Tahoma"/>
          <w:sz w:val="24"/>
          <w:szCs w:val="24"/>
        </w:rPr>
        <w:t xml:space="preserve">Para resolver, es menester traer a colación que conforme al </w:t>
      </w:r>
      <w:r w:rsidR="00170F36" w:rsidRPr="00AA3364">
        <w:rPr>
          <w:rFonts w:cs="Tahoma"/>
          <w:sz w:val="24"/>
          <w:szCs w:val="24"/>
        </w:rPr>
        <w:t>artículo 1</w:t>
      </w:r>
      <w:r w:rsidR="00CA4B13" w:rsidRPr="00AA3364">
        <w:rPr>
          <w:rFonts w:cs="Tahoma"/>
          <w:sz w:val="24"/>
          <w:szCs w:val="24"/>
        </w:rPr>
        <w:t xml:space="preserve"> </w:t>
      </w:r>
      <w:r w:rsidR="00170F36" w:rsidRPr="00AA3364">
        <w:rPr>
          <w:rFonts w:cs="Tahoma"/>
          <w:sz w:val="24"/>
          <w:szCs w:val="24"/>
        </w:rPr>
        <w:t xml:space="preserve">del Decreto 1234 de 2012, </w:t>
      </w:r>
      <w:r w:rsidRPr="00AA3364">
        <w:rPr>
          <w:rFonts w:cs="Tahoma"/>
          <w:sz w:val="24"/>
          <w:szCs w:val="24"/>
        </w:rPr>
        <w:t xml:space="preserve">Positiva Compañía </w:t>
      </w:r>
      <w:r w:rsidR="00900D3D" w:rsidRPr="00AA3364">
        <w:rPr>
          <w:rFonts w:cs="Tahoma"/>
          <w:sz w:val="24"/>
          <w:szCs w:val="24"/>
        </w:rPr>
        <w:t xml:space="preserve">de </w:t>
      </w:r>
      <w:r w:rsidRPr="00AA3364">
        <w:rPr>
          <w:rFonts w:cs="Tahoma"/>
          <w:sz w:val="24"/>
          <w:szCs w:val="24"/>
        </w:rPr>
        <w:t xml:space="preserve">Seguros </w:t>
      </w:r>
      <w:r w:rsidR="00170F36" w:rsidRPr="00AA3364">
        <w:rPr>
          <w:rFonts w:cs="Tahoma"/>
          <w:sz w:val="24"/>
          <w:szCs w:val="24"/>
        </w:rPr>
        <w:t>S.A</w:t>
      </w:r>
      <w:r w:rsidR="00900D3D">
        <w:rPr>
          <w:rFonts w:cs="Tahoma"/>
          <w:sz w:val="24"/>
          <w:szCs w:val="24"/>
        </w:rPr>
        <w:t>.</w:t>
      </w:r>
      <w:r w:rsidR="00170F36" w:rsidRPr="00AA3364">
        <w:rPr>
          <w:rFonts w:cs="Tahoma"/>
          <w:sz w:val="24"/>
          <w:szCs w:val="24"/>
        </w:rPr>
        <w:t xml:space="preserve"> es una</w:t>
      </w:r>
      <w:r w:rsidR="00CA4B13" w:rsidRPr="00AA3364">
        <w:rPr>
          <w:rFonts w:cs="Tahoma"/>
          <w:sz w:val="24"/>
          <w:szCs w:val="24"/>
        </w:rPr>
        <w:t xml:space="preserve"> </w:t>
      </w:r>
      <w:r w:rsidR="00170F36" w:rsidRPr="00AA3364">
        <w:rPr>
          <w:rFonts w:cs="Tahoma"/>
          <w:sz w:val="24"/>
          <w:szCs w:val="24"/>
        </w:rPr>
        <w:t>sociedad anónima de participación mayoritaria del Estado, que tiene el</w:t>
      </w:r>
      <w:r w:rsidR="00CA4B13" w:rsidRPr="00AA3364">
        <w:rPr>
          <w:rFonts w:cs="Tahoma"/>
          <w:sz w:val="24"/>
          <w:szCs w:val="24"/>
        </w:rPr>
        <w:t xml:space="preserve"> </w:t>
      </w:r>
      <w:r w:rsidR="00170F36" w:rsidRPr="00AA3364">
        <w:rPr>
          <w:rFonts w:cs="Tahoma"/>
          <w:sz w:val="24"/>
          <w:szCs w:val="24"/>
        </w:rPr>
        <w:t>carácter</w:t>
      </w:r>
      <w:r w:rsidRPr="00AA3364">
        <w:rPr>
          <w:rFonts w:cs="Tahoma"/>
          <w:sz w:val="24"/>
          <w:szCs w:val="24"/>
        </w:rPr>
        <w:t xml:space="preserve"> </w:t>
      </w:r>
      <w:r w:rsidR="00170F36" w:rsidRPr="00AA3364">
        <w:rPr>
          <w:rFonts w:cs="Tahoma"/>
          <w:sz w:val="24"/>
          <w:szCs w:val="24"/>
        </w:rPr>
        <w:t>de entidad descentralizada indirecta del orden nacional y que se</w:t>
      </w:r>
      <w:r w:rsidR="00CA4B13" w:rsidRPr="00AA3364">
        <w:rPr>
          <w:rFonts w:cs="Tahoma"/>
          <w:sz w:val="24"/>
          <w:szCs w:val="24"/>
        </w:rPr>
        <w:t xml:space="preserve"> </w:t>
      </w:r>
      <w:r w:rsidR="00170F36" w:rsidRPr="00AA3364">
        <w:rPr>
          <w:rFonts w:cs="Tahoma"/>
          <w:sz w:val="24"/>
          <w:szCs w:val="24"/>
        </w:rPr>
        <w:t>encuentra</w:t>
      </w:r>
      <w:r w:rsidRPr="00AA3364">
        <w:rPr>
          <w:rFonts w:cs="Tahoma"/>
          <w:sz w:val="24"/>
          <w:szCs w:val="24"/>
        </w:rPr>
        <w:t xml:space="preserve"> </w:t>
      </w:r>
      <w:r w:rsidR="00170F36" w:rsidRPr="00AA3364">
        <w:rPr>
          <w:rFonts w:cs="Tahoma"/>
          <w:sz w:val="24"/>
          <w:szCs w:val="24"/>
        </w:rPr>
        <w:t>sometida al régimen de Empresa Industrial y Comercial del</w:t>
      </w:r>
      <w:r w:rsidR="00CA4B13" w:rsidRPr="00AA3364">
        <w:rPr>
          <w:rFonts w:cs="Tahoma"/>
          <w:sz w:val="24"/>
          <w:szCs w:val="24"/>
        </w:rPr>
        <w:t xml:space="preserve"> </w:t>
      </w:r>
      <w:r w:rsidR="00170F36" w:rsidRPr="00AA3364">
        <w:rPr>
          <w:rFonts w:cs="Tahoma"/>
          <w:sz w:val="24"/>
          <w:szCs w:val="24"/>
        </w:rPr>
        <w:t>Estado.</w:t>
      </w:r>
      <w:r w:rsidRPr="00AA3364">
        <w:rPr>
          <w:rFonts w:cs="Tahoma"/>
          <w:sz w:val="24"/>
          <w:szCs w:val="24"/>
        </w:rPr>
        <w:t xml:space="preserve"> </w:t>
      </w:r>
    </w:p>
    <w:p w14:paraId="4C20D26E" w14:textId="77777777" w:rsidR="004B02A5" w:rsidRPr="00AA3364" w:rsidRDefault="004B02A5" w:rsidP="00AA3364">
      <w:pPr>
        <w:spacing w:line="276" w:lineRule="auto"/>
        <w:ind w:firstLine="708"/>
        <w:rPr>
          <w:rFonts w:cs="Tahoma"/>
          <w:sz w:val="24"/>
          <w:szCs w:val="24"/>
        </w:rPr>
      </w:pPr>
    </w:p>
    <w:p w14:paraId="54DBCCEB" w14:textId="618ECA68" w:rsidR="004B02A5" w:rsidRPr="00AA3364" w:rsidRDefault="004B02A5" w:rsidP="00AA3364">
      <w:pPr>
        <w:spacing w:line="276" w:lineRule="auto"/>
        <w:ind w:firstLine="708"/>
        <w:rPr>
          <w:rFonts w:cs="Tahoma"/>
          <w:sz w:val="24"/>
          <w:szCs w:val="24"/>
        </w:rPr>
      </w:pPr>
      <w:bookmarkStart w:id="1" w:name="6"/>
      <w:r w:rsidRPr="00AA3364">
        <w:rPr>
          <w:rFonts w:cs="Tahoma"/>
          <w:sz w:val="24"/>
          <w:szCs w:val="24"/>
        </w:rPr>
        <w:t xml:space="preserve">Ahora, dispone el artículo 6 del </w:t>
      </w:r>
      <w:proofErr w:type="spellStart"/>
      <w:r w:rsidRPr="00AA3364">
        <w:rPr>
          <w:rFonts w:cs="Tahoma"/>
          <w:sz w:val="24"/>
          <w:szCs w:val="24"/>
        </w:rPr>
        <w:t>CPTSS</w:t>
      </w:r>
      <w:proofErr w:type="spellEnd"/>
      <w:r w:rsidRPr="00AA3364">
        <w:rPr>
          <w:rFonts w:cs="Tahoma"/>
          <w:sz w:val="24"/>
          <w:szCs w:val="24"/>
        </w:rPr>
        <w:t xml:space="preserve"> modificado por el artículo </w:t>
      </w:r>
      <w:proofErr w:type="spellStart"/>
      <w:r w:rsidR="005A5711">
        <w:fldChar w:fldCharType="begin"/>
      </w:r>
      <w:r w:rsidR="005A5711">
        <w:instrText xml:space="preserve"> HYPERLINK "http://www.secretariasenado.gov.co/senado/basedoc/ley_0712_2001.html" \l "4" </w:instrText>
      </w:r>
      <w:r w:rsidR="005A5711">
        <w:fldChar w:fldCharType="separate"/>
      </w:r>
      <w:r w:rsidRPr="00AA3364">
        <w:rPr>
          <w:rFonts w:cs="Tahoma"/>
          <w:sz w:val="24"/>
          <w:szCs w:val="24"/>
        </w:rPr>
        <w:t>4</w:t>
      </w:r>
      <w:r w:rsidR="005A5711">
        <w:rPr>
          <w:rFonts w:cs="Tahoma"/>
          <w:sz w:val="24"/>
          <w:szCs w:val="24"/>
        </w:rPr>
        <w:fldChar w:fldCharType="end"/>
      </w:r>
      <w:r w:rsidRPr="00AA3364">
        <w:rPr>
          <w:rFonts w:cs="Tahoma"/>
          <w:sz w:val="24"/>
          <w:szCs w:val="24"/>
        </w:rPr>
        <w:t>o</w:t>
      </w:r>
      <w:proofErr w:type="spellEnd"/>
      <w:r w:rsidRPr="00AA3364">
        <w:rPr>
          <w:rFonts w:cs="Tahoma"/>
          <w:sz w:val="24"/>
          <w:szCs w:val="24"/>
        </w:rPr>
        <w:t>. de la Ley 712 de 2001:</w:t>
      </w:r>
    </w:p>
    <w:p w14:paraId="36D61296" w14:textId="77777777" w:rsidR="004B02A5" w:rsidRPr="00AA3364" w:rsidRDefault="004B02A5" w:rsidP="00AA3364">
      <w:pPr>
        <w:spacing w:line="276" w:lineRule="auto"/>
        <w:ind w:firstLine="708"/>
        <w:rPr>
          <w:rFonts w:cs="Tahoma"/>
          <w:sz w:val="24"/>
          <w:szCs w:val="24"/>
        </w:rPr>
      </w:pPr>
    </w:p>
    <w:p w14:paraId="7C438408" w14:textId="2EB45D5B" w:rsidR="004B02A5" w:rsidRPr="0047432A" w:rsidRDefault="004B02A5" w:rsidP="0047432A">
      <w:pPr>
        <w:spacing w:line="240" w:lineRule="auto"/>
        <w:ind w:left="426" w:right="420" w:hanging="1"/>
        <w:rPr>
          <w:rStyle w:val="fontstyle21"/>
          <w:rFonts w:ascii="Bookman Old Style" w:hAnsi="Bookman Old Style"/>
          <w:sz w:val="22"/>
          <w:szCs w:val="24"/>
        </w:rPr>
      </w:pPr>
      <w:r w:rsidRPr="0047432A">
        <w:rPr>
          <w:rStyle w:val="fontstyle21"/>
          <w:rFonts w:ascii="Bookman Old Style" w:hAnsi="Bookman Old Style"/>
          <w:sz w:val="22"/>
          <w:szCs w:val="24"/>
        </w:rPr>
        <w:t>“</w:t>
      </w:r>
      <w:r w:rsidRPr="0047432A">
        <w:rPr>
          <w:rStyle w:val="fontstyle21"/>
          <w:rFonts w:ascii="Bookman Old Style" w:hAnsi="Bookman Old Style"/>
          <w:b/>
          <w:bCs/>
          <w:sz w:val="22"/>
          <w:szCs w:val="24"/>
        </w:rPr>
        <w:t>Reclamación Administrativa</w:t>
      </w:r>
      <w:r w:rsidRPr="0047432A">
        <w:rPr>
          <w:rStyle w:val="fontstyle21"/>
          <w:rFonts w:ascii="Bookman Old Style" w:hAnsi="Bookman Old Style"/>
          <w:sz w:val="22"/>
          <w:szCs w:val="24"/>
        </w:rPr>
        <w:t>.</w:t>
      </w:r>
      <w:bookmarkEnd w:id="1"/>
      <w:r w:rsidRPr="0047432A">
        <w:rPr>
          <w:rStyle w:val="fontstyle21"/>
          <w:rFonts w:ascii="Bookman Old Style" w:hAnsi="Bookman Old Style"/>
          <w:sz w:val="22"/>
          <w:szCs w:val="24"/>
        </w:rPr>
        <w:t>  Las acciones contenciosas contra la Nación, las entidades territoriales y cualquiera otra entidad de la administración pública sólo podrán iniciarse cuando se haya agotado la reclamación administrativa. Esta reclamación consiste en el simple reclamo escrito del servidor público o trabajador sobre el derecho que pretenda, y se agota cuando se haya decidido </w:t>
      </w:r>
      <w:r w:rsidRPr="0047432A">
        <w:rPr>
          <w:rStyle w:val="fontstyle21"/>
          <w:rFonts w:ascii="Bookman Old Style" w:hAnsi="Bookman Old Style"/>
          <w:sz w:val="22"/>
          <w:szCs w:val="24"/>
          <w:u w:val="single"/>
        </w:rPr>
        <w:t>o cuando transcurrido un mes desde su presentación no ha sido resuelta”</w:t>
      </w:r>
      <w:r w:rsidRPr="0047432A">
        <w:rPr>
          <w:rStyle w:val="fontstyle21"/>
          <w:rFonts w:ascii="Bookman Old Style" w:hAnsi="Bookman Old Style"/>
          <w:sz w:val="22"/>
          <w:szCs w:val="24"/>
        </w:rPr>
        <w:t>. &lt;Aparte subrayado condicionalmente exequible</w:t>
      </w:r>
      <w:r w:rsidR="003F6131" w:rsidRPr="0047432A">
        <w:rPr>
          <w:rStyle w:val="fontstyle21"/>
          <w:rFonts w:ascii="Bookman Old Style" w:hAnsi="Bookman Old Style"/>
          <w:sz w:val="22"/>
          <w:szCs w:val="24"/>
        </w:rPr>
        <w:t xml:space="preserve"> </w:t>
      </w:r>
      <w:r w:rsidR="00B47DF8" w:rsidRPr="0047432A">
        <w:rPr>
          <w:rStyle w:val="fontstyle21"/>
          <w:rFonts w:ascii="Bookman Old Style" w:hAnsi="Bookman Old Style"/>
          <w:sz w:val="22"/>
          <w:szCs w:val="24"/>
        </w:rPr>
        <w:t>C</w:t>
      </w:r>
      <w:r w:rsidR="003F6131" w:rsidRPr="0047432A">
        <w:rPr>
          <w:rStyle w:val="fontstyle21"/>
          <w:rFonts w:ascii="Bookman Old Style" w:hAnsi="Bookman Old Style"/>
          <w:sz w:val="22"/>
          <w:szCs w:val="24"/>
        </w:rPr>
        <w:t>-792/06</w:t>
      </w:r>
      <w:r w:rsidRPr="0047432A">
        <w:rPr>
          <w:rStyle w:val="fontstyle21"/>
          <w:rFonts w:ascii="Bookman Old Style" w:hAnsi="Bookman Old Style"/>
          <w:sz w:val="22"/>
          <w:szCs w:val="24"/>
        </w:rPr>
        <w:t>&gt;</w:t>
      </w:r>
    </w:p>
    <w:p w14:paraId="2ED532BB" w14:textId="77777777" w:rsidR="004C4951" w:rsidRPr="00AA3364" w:rsidRDefault="004C4951" w:rsidP="00AA3364">
      <w:pPr>
        <w:spacing w:line="276" w:lineRule="auto"/>
        <w:ind w:firstLine="708"/>
        <w:rPr>
          <w:rFonts w:cs="Tahoma"/>
          <w:sz w:val="24"/>
          <w:szCs w:val="24"/>
        </w:rPr>
      </w:pPr>
    </w:p>
    <w:p w14:paraId="63AED9E8" w14:textId="77F3006A" w:rsidR="00E775AA" w:rsidRPr="00AA3364" w:rsidRDefault="006A55C5" w:rsidP="00AA3364">
      <w:pPr>
        <w:spacing w:line="276" w:lineRule="auto"/>
        <w:ind w:firstLine="708"/>
        <w:rPr>
          <w:rFonts w:cs="Tahoma"/>
          <w:sz w:val="24"/>
          <w:szCs w:val="24"/>
        </w:rPr>
      </w:pPr>
      <w:r w:rsidRPr="00AA3364">
        <w:rPr>
          <w:rFonts w:cs="Tahoma"/>
          <w:sz w:val="24"/>
          <w:szCs w:val="24"/>
        </w:rPr>
        <w:t xml:space="preserve">Frente al tema, </w:t>
      </w:r>
      <w:r w:rsidR="00E775AA" w:rsidRPr="00AA3364">
        <w:rPr>
          <w:rFonts w:cs="Tahoma"/>
          <w:sz w:val="24"/>
          <w:szCs w:val="24"/>
        </w:rPr>
        <w:t xml:space="preserve">la Sala de Casación Laboral ha precisado que, de conformidad con lo dispuesto en el artículo 6º del </w:t>
      </w:r>
      <w:proofErr w:type="spellStart"/>
      <w:r w:rsidR="00E775AA" w:rsidRPr="00AA3364">
        <w:rPr>
          <w:rFonts w:cs="Tahoma"/>
          <w:sz w:val="24"/>
          <w:szCs w:val="24"/>
        </w:rPr>
        <w:t>CPTSS</w:t>
      </w:r>
      <w:proofErr w:type="spellEnd"/>
      <w:r w:rsidR="00E775AA" w:rsidRPr="00AA3364">
        <w:rPr>
          <w:rFonts w:cs="Tahoma"/>
          <w:sz w:val="24"/>
          <w:szCs w:val="24"/>
        </w:rPr>
        <w:t>, quien pretenda demandar a una entidad de derecho público, a una</w:t>
      </w:r>
      <w:r w:rsidRPr="00AA3364">
        <w:rPr>
          <w:rFonts w:cs="Tahoma"/>
          <w:sz w:val="24"/>
          <w:szCs w:val="24"/>
        </w:rPr>
        <w:t xml:space="preserve"> </w:t>
      </w:r>
      <w:r w:rsidR="00E775AA" w:rsidRPr="00AA3364">
        <w:rPr>
          <w:rFonts w:cs="Tahoma"/>
          <w:sz w:val="24"/>
          <w:szCs w:val="24"/>
        </w:rPr>
        <w:t>entidad administrativa autónoma o a una entidad de derecho social, debe elevar un reclamo directo a</w:t>
      </w:r>
      <w:r w:rsidRPr="00AA3364">
        <w:rPr>
          <w:rFonts w:cs="Tahoma"/>
          <w:sz w:val="24"/>
          <w:szCs w:val="24"/>
        </w:rPr>
        <w:t xml:space="preserve"> </w:t>
      </w:r>
      <w:r w:rsidR="00E775AA" w:rsidRPr="00AA3364">
        <w:rPr>
          <w:rFonts w:cs="Tahoma"/>
          <w:sz w:val="24"/>
          <w:szCs w:val="24"/>
        </w:rPr>
        <w:t>la Administración previo a la presentación de la demanda y el agotamiento de</w:t>
      </w:r>
      <w:r w:rsidRPr="00AA3364">
        <w:rPr>
          <w:rFonts w:cs="Tahoma"/>
          <w:sz w:val="24"/>
          <w:szCs w:val="24"/>
        </w:rPr>
        <w:t xml:space="preserve"> </w:t>
      </w:r>
      <w:r w:rsidR="00E775AA" w:rsidRPr="00AA3364">
        <w:rPr>
          <w:rFonts w:cs="Tahoma"/>
          <w:sz w:val="24"/>
          <w:szCs w:val="24"/>
        </w:rPr>
        <w:t>esa reclamación constituye un factor de</w:t>
      </w:r>
      <w:r w:rsidRPr="00AA3364">
        <w:rPr>
          <w:rFonts w:cs="Tahoma"/>
          <w:sz w:val="24"/>
          <w:szCs w:val="24"/>
        </w:rPr>
        <w:t xml:space="preserve"> </w:t>
      </w:r>
      <w:r w:rsidR="00E775AA" w:rsidRPr="00AA3364">
        <w:rPr>
          <w:rFonts w:cs="Tahoma"/>
          <w:sz w:val="24"/>
          <w:szCs w:val="24"/>
        </w:rPr>
        <w:t xml:space="preserve">competencia para el juez laboral. </w:t>
      </w:r>
    </w:p>
    <w:p w14:paraId="515D1AC2" w14:textId="77777777" w:rsidR="00E775AA" w:rsidRPr="00AA3364" w:rsidRDefault="00E775AA" w:rsidP="00AA3364">
      <w:pPr>
        <w:spacing w:line="276" w:lineRule="auto"/>
        <w:ind w:firstLine="708"/>
        <w:rPr>
          <w:rFonts w:cs="Tahoma"/>
          <w:sz w:val="24"/>
          <w:szCs w:val="24"/>
        </w:rPr>
      </w:pPr>
    </w:p>
    <w:p w14:paraId="21B0FABD" w14:textId="19EBAEA1" w:rsidR="004510CF" w:rsidRPr="00AA3364" w:rsidRDefault="00E775AA" w:rsidP="00AA3364">
      <w:pPr>
        <w:spacing w:line="276" w:lineRule="auto"/>
        <w:ind w:firstLine="708"/>
        <w:rPr>
          <w:rFonts w:cs="Tahoma"/>
          <w:sz w:val="24"/>
          <w:szCs w:val="24"/>
        </w:rPr>
      </w:pPr>
      <w:r w:rsidRPr="00AA3364">
        <w:rPr>
          <w:rFonts w:cs="Tahoma"/>
          <w:sz w:val="24"/>
          <w:szCs w:val="24"/>
        </w:rPr>
        <w:t xml:space="preserve">En efecto, </w:t>
      </w:r>
      <w:r w:rsidR="006A55C5" w:rsidRPr="00AA3364">
        <w:rPr>
          <w:rFonts w:cs="Tahoma"/>
          <w:sz w:val="24"/>
          <w:szCs w:val="24"/>
        </w:rPr>
        <w:t xml:space="preserve">la </w:t>
      </w:r>
      <w:r w:rsidR="004510CF" w:rsidRPr="00AA3364">
        <w:rPr>
          <w:rFonts w:cs="Tahoma"/>
          <w:sz w:val="24"/>
          <w:szCs w:val="24"/>
        </w:rPr>
        <w:t xml:space="preserve">sentencia CSJ </w:t>
      </w:r>
      <w:proofErr w:type="spellStart"/>
      <w:r w:rsidR="004510CF" w:rsidRPr="00AA3364">
        <w:rPr>
          <w:rFonts w:cs="Tahoma"/>
          <w:sz w:val="24"/>
          <w:szCs w:val="24"/>
        </w:rPr>
        <w:t>SL</w:t>
      </w:r>
      <w:proofErr w:type="spellEnd"/>
      <w:r w:rsidR="004510CF" w:rsidRPr="00AA3364">
        <w:rPr>
          <w:rFonts w:cs="Tahoma"/>
          <w:sz w:val="24"/>
          <w:szCs w:val="24"/>
        </w:rPr>
        <w:t xml:space="preserve">, 13 oct. 1999, rad. 12221, reiterada en providencias CSJ </w:t>
      </w:r>
      <w:proofErr w:type="spellStart"/>
      <w:r w:rsidR="004510CF" w:rsidRPr="00AA3364">
        <w:rPr>
          <w:rFonts w:cs="Tahoma"/>
          <w:sz w:val="24"/>
          <w:szCs w:val="24"/>
        </w:rPr>
        <w:t>SL</w:t>
      </w:r>
      <w:proofErr w:type="spellEnd"/>
      <w:r w:rsidR="004510CF" w:rsidRPr="00AA3364">
        <w:rPr>
          <w:rFonts w:cs="Tahoma"/>
          <w:sz w:val="24"/>
          <w:szCs w:val="24"/>
        </w:rPr>
        <w:t xml:space="preserve">, 24 </w:t>
      </w:r>
      <w:proofErr w:type="spellStart"/>
      <w:r w:rsidR="004510CF" w:rsidRPr="00AA3364">
        <w:rPr>
          <w:rFonts w:cs="Tahoma"/>
          <w:sz w:val="24"/>
          <w:szCs w:val="24"/>
        </w:rPr>
        <w:t>may</w:t>
      </w:r>
      <w:proofErr w:type="spellEnd"/>
      <w:r w:rsidR="004510CF" w:rsidRPr="00AA3364">
        <w:rPr>
          <w:rFonts w:cs="Tahoma"/>
          <w:sz w:val="24"/>
          <w:szCs w:val="24"/>
        </w:rPr>
        <w:t xml:space="preserve">. 2007, rad. 30056, </w:t>
      </w:r>
      <w:proofErr w:type="spellStart"/>
      <w:r w:rsidR="004510CF" w:rsidRPr="00AA3364">
        <w:rPr>
          <w:rFonts w:cs="Tahoma"/>
          <w:sz w:val="24"/>
          <w:szCs w:val="24"/>
        </w:rPr>
        <w:t>SL13128</w:t>
      </w:r>
      <w:proofErr w:type="spellEnd"/>
      <w:r w:rsidR="004510CF" w:rsidRPr="00AA3364">
        <w:rPr>
          <w:rFonts w:cs="Tahoma"/>
          <w:sz w:val="24"/>
          <w:szCs w:val="24"/>
        </w:rPr>
        <w:t xml:space="preserve">-2014 y </w:t>
      </w:r>
      <w:proofErr w:type="spellStart"/>
      <w:r w:rsidR="004510CF" w:rsidRPr="00AA3364">
        <w:rPr>
          <w:rFonts w:cs="Tahoma"/>
          <w:sz w:val="24"/>
          <w:szCs w:val="24"/>
        </w:rPr>
        <w:t>SL3159</w:t>
      </w:r>
      <w:proofErr w:type="spellEnd"/>
      <w:r w:rsidR="004510CF" w:rsidRPr="00AA3364">
        <w:rPr>
          <w:rFonts w:cs="Tahoma"/>
          <w:sz w:val="24"/>
          <w:szCs w:val="24"/>
        </w:rPr>
        <w:t xml:space="preserve">/2018, </w:t>
      </w:r>
      <w:r w:rsidR="006A55C5" w:rsidRPr="00AA3364">
        <w:rPr>
          <w:rFonts w:cs="Tahoma"/>
          <w:sz w:val="24"/>
          <w:szCs w:val="24"/>
        </w:rPr>
        <w:t>refiere</w:t>
      </w:r>
      <w:r w:rsidR="004510CF" w:rsidRPr="00AA3364">
        <w:rPr>
          <w:rFonts w:cs="Tahoma"/>
          <w:sz w:val="24"/>
          <w:szCs w:val="24"/>
        </w:rPr>
        <w:t>:</w:t>
      </w:r>
    </w:p>
    <w:p w14:paraId="52046934" w14:textId="77777777" w:rsidR="00802FE6" w:rsidRPr="00AA3364" w:rsidRDefault="00802FE6" w:rsidP="00AA3364">
      <w:pPr>
        <w:spacing w:line="276" w:lineRule="auto"/>
        <w:ind w:firstLine="708"/>
        <w:rPr>
          <w:rFonts w:cs="Tahoma"/>
          <w:sz w:val="24"/>
          <w:szCs w:val="24"/>
        </w:rPr>
      </w:pPr>
    </w:p>
    <w:p w14:paraId="151833C1" w14:textId="0AFE88E3" w:rsidR="004510CF" w:rsidRPr="00693019" w:rsidRDefault="004510CF" w:rsidP="00693019">
      <w:pPr>
        <w:spacing w:line="240" w:lineRule="auto"/>
        <w:ind w:left="426" w:right="420" w:hanging="1"/>
        <w:rPr>
          <w:rStyle w:val="fontstyle21"/>
          <w:rFonts w:ascii="Bookman Old Style" w:hAnsi="Bookman Old Style"/>
          <w:iCs w:val="0"/>
          <w:sz w:val="22"/>
          <w:szCs w:val="24"/>
        </w:rPr>
      </w:pPr>
      <w:r w:rsidRPr="00693019">
        <w:rPr>
          <w:rStyle w:val="fontstyle21"/>
          <w:rFonts w:ascii="Bookman Old Style" w:hAnsi="Bookman Old Style"/>
          <w:iCs w:val="0"/>
          <w:sz w:val="22"/>
          <w:szCs w:val="24"/>
        </w:rPr>
        <w:t xml:space="preserve">‘En cuanto a la naturaleza jurídico-procesal de la exigencia del agotamiento de la vía gubernativa en el procedimiento laboral, si bien para explicar la misma se han construido varias tesis, tales como la de asimilarla a un requisito de la demanda, o de considerarla un presupuesto de la acción, o de calificarla como un factor de competencia, lo cierto es que la jurisprudencia de la Sala Laboral siempre que se ha ocupado del tema se ha inclinado por esta última, esto es, que la misma constituye un factor de competencia para el juez laboral, pues mientras este procedimiento </w:t>
      </w:r>
      <w:proofErr w:type="spellStart"/>
      <w:r w:rsidRPr="00693019">
        <w:rPr>
          <w:rStyle w:val="fontstyle21"/>
          <w:rFonts w:ascii="Bookman Old Style" w:hAnsi="Bookman Old Style"/>
          <w:iCs w:val="0"/>
          <w:sz w:val="22"/>
          <w:szCs w:val="24"/>
        </w:rPr>
        <w:t>preprocesal</w:t>
      </w:r>
      <w:proofErr w:type="spellEnd"/>
      <w:r w:rsidRPr="00693019">
        <w:rPr>
          <w:rStyle w:val="fontstyle21"/>
          <w:rFonts w:ascii="Bookman Old Style" w:hAnsi="Bookman Old Style"/>
          <w:iCs w:val="0"/>
          <w:sz w:val="22"/>
          <w:szCs w:val="24"/>
        </w:rPr>
        <w:t xml:space="preserve"> no se lleve a cabo el Juez del Trabajo no puede aprehender el conocimiento del conflicto planteado; además, esta calificación dada a la vía gubernativa encuentra sustento también en que el artículo 6° del C. de P. L., figura</w:t>
      </w:r>
      <w:r w:rsidR="00754563" w:rsidRPr="00693019">
        <w:rPr>
          <w:rStyle w:val="fontstyle21"/>
          <w:rFonts w:ascii="Bookman Old Style" w:hAnsi="Bookman Old Style"/>
          <w:iCs w:val="0"/>
          <w:sz w:val="22"/>
          <w:szCs w:val="24"/>
        </w:rPr>
        <w:t xml:space="preserve"> </w:t>
      </w:r>
      <w:r w:rsidRPr="00693019">
        <w:rPr>
          <w:rStyle w:val="fontstyle21"/>
          <w:rFonts w:ascii="Bookman Old Style" w:hAnsi="Bookman Old Style"/>
          <w:iCs w:val="0"/>
          <w:sz w:val="22"/>
          <w:szCs w:val="24"/>
        </w:rPr>
        <w:t>dentro</w:t>
      </w:r>
      <w:r w:rsidR="00754563" w:rsidRPr="00693019">
        <w:rPr>
          <w:rStyle w:val="fontstyle21"/>
          <w:rFonts w:ascii="Bookman Old Style" w:hAnsi="Bookman Old Style"/>
          <w:iCs w:val="0"/>
          <w:sz w:val="22"/>
          <w:szCs w:val="24"/>
        </w:rPr>
        <w:t xml:space="preserve"> </w:t>
      </w:r>
      <w:r w:rsidRPr="00693019">
        <w:rPr>
          <w:rStyle w:val="fontstyle21"/>
          <w:rFonts w:ascii="Bookman Old Style" w:hAnsi="Bookman Old Style"/>
          <w:iCs w:val="0"/>
          <w:sz w:val="22"/>
          <w:szCs w:val="24"/>
        </w:rPr>
        <w:t>de</w:t>
      </w:r>
      <w:r w:rsidR="00754563" w:rsidRPr="00693019">
        <w:rPr>
          <w:rStyle w:val="fontstyle21"/>
          <w:rFonts w:ascii="Bookman Old Style" w:hAnsi="Bookman Old Style"/>
          <w:iCs w:val="0"/>
          <w:sz w:val="22"/>
          <w:szCs w:val="24"/>
        </w:rPr>
        <w:t xml:space="preserve"> </w:t>
      </w:r>
      <w:r w:rsidRPr="00693019">
        <w:rPr>
          <w:rStyle w:val="fontstyle21"/>
          <w:rFonts w:ascii="Bookman Old Style" w:hAnsi="Bookman Old Style"/>
          <w:iCs w:val="0"/>
          <w:sz w:val="22"/>
          <w:szCs w:val="24"/>
        </w:rPr>
        <w:t>las</w:t>
      </w:r>
      <w:r w:rsidR="00754563" w:rsidRPr="00693019">
        <w:rPr>
          <w:rStyle w:val="fontstyle21"/>
          <w:rFonts w:ascii="Bookman Old Style" w:hAnsi="Bookman Old Style"/>
          <w:iCs w:val="0"/>
          <w:sz w:val="22"/>
          <w:szCs w:val="24"/>
        </w:rPr>
        <w:t xml:space="preserve"> </w:t>
      </w:r>
      <w:r w:rsidRPr="00693019">
        <w:rPr>
          <w:rStyle w:val="fontstyle21"/>
          <w:rFonts w:ascii="Bookman Old Style" w:hAnsi="Bookman Old Style"/>
          <w:iCs w:val="0"/>
          <w:sz w:val="22"/>
          <w:szCs w:val="24"/>
        </w:rPr>
        <w:t>normas</w:t>
      </w:r>
      <w:r w:rsidR="00754563" w:rsidRPr="00693019">
        <w:rPr>
          <w:rStyle w:val="fontstyle21"/>
          <w:rFonts w:ascii="Bookman Old Style" w:hAnsi="Bookman Old Style"/>
          <w:iCs w:val="0"/>
          <w:sz w:val="22"/>
          <w:szCs w:val="24"/>
        </w:rPr>
        <w:t xml:space="preserve"> </w:t>
      </w:r>
      <w:r w:rsidRPr="00693019">
        <w:rPr>
          <w:rStyle w:val="fontstyle21"/>
          <w:rFonts w:ascii="Bookman Old Style" w:hAnsi="Bookman Old Style"/>
          <w:iCs w:val="0"/>
          <w:sz w:val="22"/>
          <w:szCs w:val="24"/>
        </w:rPr>
        <w:t>de</w:t>
      </w:r>
      <w:r w:rsidR="00754563" w:rsidRPr="00693019">
        <w:rPr>
          <w:rStyle w:val="fontstyle21"/>
          <w:rFonts w:ascii="Bookman Old Style" w:hAnsi="Bookman Old Style"/>
          <w:iCs w:val="0"/>
          <w:sz w:val="22"/>
          <w:szCs w:val="24"/>
        </w:rPr>
        <w:t xml:space="preserve"> </w:t>
      </w:r>
      <w:r w:rsidRPr="00693019">
        <w:rPr>
          <w:rStyle w:val="fontstyle21"/>
          <w:rFonts w:ascii="Bookman Old Style" w:hAnsi="Bookman Old Style"/>
          <w:iCs w:val="0"/>
          <w:sz w:val="22"/>
          <w:szCs w:val="24"/>
        </w:rPr>
        <w:t>dicho</w:t>
      </w:r>
      <w:r w:rsidR="00754563" w:rsidRPr="00693019">
        <w:rPr>
          <w:rStyle w:val="fontstyle21"/>
          <w:rFonts w:ascii="Bookman Old Style" w:hAnsi="Bookman Old Style"/>
          <w:iCs w:val="0"/>
          <w:sz w:val="22"/>
          <w:szCs w:val="24"/>
        </w:rPr>
        <w:t xml:space="preserve"> </w:t>
      </w:r>
      <w:r w:rsidRPr="00693019">
        <w:rPr>
          <w:rStyle w:val="fontstyle21"/>
          <w:rFonts w:ascii="Bookman Old Style" w:hAnsi="Bookman Old Style"/>
          <w:iCs w:val="0"/>
          <w:sz w:val="22"/>
          <w:szCs w:val="24"/>
        </w:rPr>
        <w:t>estatuto procesal que regulan el fenómeno de la competencia en materia laboral.</w:t>
      </w:r>
    </w:p>
    <w:p w14:paraId="6DD761E0" w14:textId="77777777" w:rsidR="00802FE6" w:rsidRPr="00693019" w:rsidRDefault="00802FE6" w:rsidP="00693019">
      <w:pPr>
        <w:spacing w:line="240" w:lineRule="auto"/>
        <w:ind w:left="426" w:right="420" w:hanging="1"/>
        <w:rPr>
          <w:rStyle w:val="fontstyle21"/>
          <w:rFonts w:ascii="Bookman Old Style" w:hAnsi="Bookman Old Style"/>
          <w:i w:val="0"/>
          <w:iCs w:val="0"/>
          <w:sz w:val="22"/>
          <w:szCs w:val="24"/>
        </w:rPr>
      </w:pPr>
    </w:p>
    <w:p w14:paraId="0326C5B6" w14:textId="48D6BF41" w:rsidR="004C4951" w:rsidRPr="00693019" w:rsidRDefault="00E775AA" w:rsidP="00693019">
      <w:pPr>
        <w:spacing w:line="240" w:lineRule="auto"/>
        <w:ind w:left="426" w:right="420" w:hanging="1"/>
        <w:rPr>
          <w:rFonts w:cs="Tahoma"/>
          <w:sz w:val="22"/>
          <w:szCs w:val="24"/>
        </w:rPr>
      </w:pPr>
      <w:r w:rsidRPr="00693019">
        <w:rPr>
          <w:rStyle w:val="fontstyle21"/>
          <w:rFonts w:ascii="Bookman Old Style" w:hAnsi="Bookman Old Style"/>
          <w:sz w:val="22"/>
          <w:szCs w:val="24"/>
        </w:rPr>
        <w:t xml:space="preserve">'Entonces, dado que la exigencia del artículo 6° del C. de </w:t>
      </w:r>
      <w:proofErr w:type="spellStart"/>
      <w:r w:rsidRPr="00693019">
        <w:rPr>
          <w:rStyle w:val="fontstyle21"/>
          <w:rFonts w:ascii="Bookman Old Style" w:hAnsi="Bookman Old Style"/>
          <w:sz w:val="22"/>
          <w:szCs w:val="24"/>
        </w:rPr>
        <w:t>P.L</w:t>
      </w:r>
      <w:proofErr w:type="spellEnd"/>
      <w:r w:rsidRPr="00693019">
        <w:rPr>
          <w:rStyle w:val="fontstyle21"/>
          <w:rFonts w:ascii="Bookman Old Style" w:hAnsi="Bookman Old Style"/>
          <w:sz w:val="22"/>
          <w:szCs w:val="24"/>
        </w:rPr>
        <w:t xml:space="preserve"> es un factor de</w:t>
      </w:r>
      <w:r w:rsidR="00802FE6"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 xml:space="preserve">competencia, y por ende un presupuesto procesal, la misma </w:t>
      </w:r>
      <w:r w:rsidRPr="00693019">
        <w:rPr>
          <w:rStyle w:val="fontstyle21"/>
          <w:rFonts w:ascii="Bookman Old Style" w:hAnsi="Bookman Old Style"/>
          <w:b/>
          <w:bCs/>
          <w:sz w:val="22"/>
          <w:szCs w:val="24"/>
          <w:u w:val="single"/>
        </w:rPr>
        <w:t>debe encontrarse</w:t>
      </w:r>
      <w:r w:rsidR="00802FE6" w:rsidRPr="00693019">
        <w:rPr>
          <w:rStyle w:val="fontstyle21"/>
          <w:rFonts w:ascii="Bookman Old Style" w:hAnsi="Bookman Old Style"/>
          <w:b/>
          <w:bCs/>
          <w:sz w:val="22"/>
          <w:szCs w:val="24"/>
          <w:u w:val="single"/>
        </w:rPr>
        <w:t xml:space="preserve"> </w:t>
      </w:r>
      <w:r w:rsidRPr="00693019">
        <w:rPr>
          <w:rStyle w:val="fontstyle21"/>
          <w:rFonts w:ascii="Bookman Old Style" w:hAnsi="Bookman Old Style"/>
          <w:b/>
          <w:bCs/>
          <w:sz w:val="22"/>
          <w:szCs w:val="24"/>
          <w:u w:val="single"/>
        </w:rPr>
        <w:t>satisfecha en el momento de la admisión de la demanda</w:t>
      </w:r>
      <w:r w:rsidRPr="00693019">
        <w:rPr>
          <w:rStyle w:val="fontstyle21"/>
          <w:rFonts w:ascii="Bookman Old Style" w:hAnsi="Bookman Old Style"/>
          <w:sz w:val="22"/>
          <w:szCs w:val="24"/>
        </w:rPr>
        <w:t>. Por tanto, cuando se</w:t>
      </w:r>
      <w:r w:rsidR="00802FE6"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presenta una demanda contra alguna de las entidades públicas o sociales</w:t>
      </w:r>
      <w:r w:rsidR="00802FE6"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señaladas en la norma precitada es deber ineludible del juez laboral constatar,</w:t>
      </w:r>
      <w:r w:rsidR="00802FE6"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antes de pronunciarse sobre la admisión de tal escrito introductorio, que se</w:t>
      </w:r>
      <w:r w:rsidR="00802FE6"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haya agotado el procedimiento gubernativo o reglamentario previsto en dicho</w:t>
      </w:r>
      <w:r w:rsidR="00802FE6"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 xml:space="preserve">precepto </w:t>
      </w:r>
      <w:r w:rsidR="00C42CB3" w:rsidRPr="00693019">
        <w:rPr>
          <w:rStyle w:val="fontstyle21"/>
          <w:rFonts w:ascii="Bookman Old Style" w:hAnsi="Bookman Old Style"/>
          <w:sz w:val="22"/>
          <w:szCs w:val="24"/>
        </w:rPr>
        <w:t xml:space="preserve">obligación procesal que el dispensador de justicia debe cumplir con sumo cuidado y acuciosidad, ya que está de por medio nada menos que establecer si tiene competencia o no para conocer del pleito que se pone bajo su consideración </w:t>
      </w:r>
      <w:r w:rsidRPr="00693019">
        <w:rPr>
          <w:rStyle w:val="fontstyle21"/>
          <w:rFonts w:ascii="Bookman Old Style" w:hAnsi="Bookman Old Style"/>
          <w:sz w:val="22"/>
          <w:szCs w:val="24"/>
        </w:rPr>
        <w:t>(…)</w:t>
      </w:r>
    </w:p>
    <w:p w14:paraId="61DCA9BF" w14:textId="77777777" w:rsidR="00786F9B" w:rsidRPr="00693019" w:rsidRDefault="00786F9B" w:rsidP="00693019">
      <w:pPr>
        <w:spacing w:line="240" w:lineRule="auto"/>
        <w:ind w:left="426" w:right="420" w:hanging="1"/>
        <w:rPr>
          <w:rStyle w:val="fontstyle21"/>
          <w:rFonts w:ascii="Bookman Old Style" w:hAnsi="Bookman Old Style"/>
          <w:sz w:val="22"/>
          <w:szCs w:val="24"/>
        </w:rPr>
      </w:pPr>
    </w:p>
    <w:p w14:paraId="435D1F21" w14:textId="67B8699C" w:rsidR="00946E11" w:rsidRPr="00693019" w:rsidRDefault="00C42CB3" w:rsidP="00693019">
      <w:pPr>
        <w:spacing w:line="240" w:lineRule="auto"/>
        <w:ind w:left="426" w:right="420" w:hanging="1"/>
        <w:rPr>
          <w:rStyle w:val="fontstyle21"/>
          <w:rFonts w:ascii="Bookman Old Style" w:hAnsi="Bookman Old Style"/>
          <w:sz w:val="22"/>
          <w:szCs w:val="24"/>
        </w:rPr>
      </w:pPr>
      <w:r w:rsidRPr="00693019">
        <w:rPr>
          <w:rStyle w:val="fontstyle21"/>
          <w:rFonts w:ascii="Bookman Old Style" w:hAnsi="Bookman Old Style"/>
          <w:sz w:val="22"/>
          <w:szCs w:val="24"/>
        </w:rPr>
        <w:t xml:space="preserve">‘Pero puede suceder que el Juez </w:t>
      </w:r>
      <w:r w:rsidR="00B76AE6" w:rsidRPr="00693019">
        <w:rPr>
          <w:rStyle w:val="fontstyle21"/>
          <w:rFonts w:ascii="Bookman Old Style" w:hAnsi="Bookman Old Style"/>
          <w:sz w:val="22"/>
          <w:szCs w:val="24"/>
        </w:rPr>
        <w:t>Laboral admita</w:t>
      </w:r>
      <w:r w:rsidRPr="00693019">
        <w:rPr>
          <w:rStyle w:val="fontstyle21"/>
          <w:rFonts w:ascii="Bookman Old Style" w:hAnsi="Bookman Old Style"/>
          <w:sz w:val="22"/>
          <w:szCs w:val="24"/>
        </w:rPr>
        <w:t xml:space="preserve"> la demanda sin advertir la falta de cumplimiento por parte del accionante de la exigencia contemplada en el </w:t>
      </w:r>
      <w:proofErr w:type="spellStart"/>
      <w:r w:rsidRPr="00693019">
        <w:rPr>
          <w:rStyle w:val="fontstyle21"/>
          <w:rFonts w:ascii="Bookman Old Style" w:hAnsi="Bookman Old Style"/>
          <w:sz w:val="22"/>
          <w:szCs w:val="24"/>
        </w:rPr>
        <w:t>pluricitado</w:t>
      </w:r>
      <w:proofErr w:type="spellEnd"/>
      <w:r w:rsidRPr="00693019">
        <w:rPr>
          <w:rStyle w:val="fontstyle21"/>
          <w:rFonts w:ascii="Bookman Old Style" w:hAnsi="Bookman Old Style"/>
          <w:sz w:val="22"/>
          <w:szCs w:val="24"/>
        </w:rPr>
        <w:t xml:space="preserve"> artículo 6° del C. de </w:t>
      </w:r>
      <w:proofErr w:type="spellStart"/>
      <w:r w:rsidRPr="00693019">
        <w:rPr>
          <w:rStyle w:val="fontstyle21"/>
          <w:rFonts w:ascii="Bookman Old Style" w:hAnsi="Bookman Old Style"/>
          <w:sz w:val="22"/>
          <w:szCs w:val="24"/>
        </w:rPr>
        <w:t>P.L</w:t>
      </w:r>
      <w:proofErr w:type="spellEnd"/>
      <w:r w:rsidRPr="00693019">
        <w:rPr>
          <w:rStyle w:val="fontstyle21"/>
          <w:rFonts w:ascii="Bookman Old Style" w:hAnsi="Bookman Old Style"/>
          <w:sz w:val="22"/>
          <w:szCs w:val="24"/>
        </w:rPr>
        <w:t>. En este caso es deber procesal de la parte demandada, así como un elemental ejercicio de la lealtad que se deben los sujetos procesales entre sí y que éstos le deben al Juez, alertar a éste sobre la omisión del agotamiento del procedimiento gubernativo, pero no de cualquier manera, sino mediante la proposición de los medios de defensa que en su  favor consagra</w:t>
      </w:r>
      <w:r w:rsidR="00400F85"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la</w:t>
      </w:r>
      <w:r w:rsidR="00400F85" w:rsidRPr="00693019">
        <w:rPr>
          <w:rStyle w:val="fontstyle21"/>
          <w:rFonts w:ascii="Bookman Old Style" w:hAnsi="Bookman Old Style"/>
          <w:sz w:val="22"/>
          <w:szCs w:val="24"/>
        </w:rPr>
        <w:t xml:space="preserve"> </w:t>
      </w:r>
      <w:r w:rsidRPr="00693019">
        <w:rPr>
          <w:rStyle w:val="fontstyle21"/>
          <w:rFonts w:ascii="Bookman Old Style" w:hAnsi="Bookman Old Style"/>
          <w:sz w:val="22"/>
          <w:szCs w:val="24"/>
        </w:rPr>
        <w:t xml:space="preserve">ley adjetiva del trabajo en su artículo 32, </w:t>
      </w:r>
      <w:r w:rsidR="004B02A5" w:rsidRPr="00693019">
        <w:rPr>
          <w:rStyle w:val="fontstyle21"/>
          <w:rFonts w:ascii="Bookman Old Style" w:hAnsi="Bookman Old Style"/>
          <w:sz w:val="22"/>
          <w:szCs w:val="24"/>
        </w:rPr>
        <w:t>cuáles</w:t>
      </w:r>
      <w:r w:rsidRPr="00693019">
        <w:rPr>
          <w:rStyle w:val="fontstyle21"/>
          <w:rFonts w:ascii="Bookman Old Style" w:hAnsi="Bookman Old Style"/>
          <w:sz w:val="22"/>
          <w:szCs w:val="24"/>
        </w:rPr>
        <w:t xml:space="preserve"> son las </w:t>
      </w:r>
      <w:r w:rsidRPr="00693019">
        <w:rPr>
          <w:rStyle w:val="fontstyle21"/>
          <w:rFonts w:ascii="Bookman Old Style" w:hAnsi="Bookman Old Style"/>
          <w:sz w:val="22"/>
          <w:szCs w:val="24"/>
        </w:rPr>
        <w:lastRenderedPageBreak/>
        <w:t xml:space="preserve">excepciones previas o dilatorias respectivas, que para el caso concreto que se examina se contrae a la de falta de competencia, por no agotamiento previo de la vía gubernativa, </w:t>
      </w:r>
      <w:r w:rsidR="00B76AE6" w:rsidRPr="00693019">
        <w:rPr>
          <w:rStyle w:val="fontstyle21"/>
          <w:rFonts w:ascii="Bookman Old Style" w:hAnsi="Bookman Old Style"/>
          <w:sz w:val="22"/>
          <w:szCs w:val="24"/>
        </w:rPr>
        <w:t xml:space="preserve">, de conformidad con lo previsto en el numeral 2° del artículo 97 del C. de </w:t>
      </w:r>
      <w:proofErr w:type="spellStart"/>
      <w:r w:rsidR="00B76AE6" w:rsidRPr="00693019">
        <w:rPr>
          <w:rStyle w:val="fontstyle21"/>
          <w:rFonts w:ascii="Bookman Old Style" w:hAnsi="Bookman Old Style"/>
          <w:sz w:val="22"/>
          <w:szCs w:val="24"/>
        </w:rPr>
        <w:t>P.C</w:t>
      </w:r>
      <w:proofErr w:type="spellEnd"/>
      <w:r w:rsidR="00B76AE6" w:rsidRPr="00693019">
        <w:rPr>
          <w:rStyle w:val="fontstyle21"/>
          <w:rFonts w:ascii="Bookman Old Style" w:hAnsi="Bookman Old Style"/>
          <w:sz w:val="22"/>
          <w:szCs w:val="24"/>
        </w:rPr>
        <w:t xml:space="preserve">., modificado por el </w:t>
      </w:r>
      <w:proofErr w:type="spellStart"/>
      <w:r w:rsidR="00B76AE6" w:rsidRPr="00693019">
        <w:rPr>
          <w:rStyle w:val="fontstyle21"/>
          <w:rFonts w:ascii="Bookman Old Style" w:hAnsi="Bookman Old Style"/>
          <w:sz w:val="22"/>
          <w:szCs w:val="24"/>
        </w:rPr>
        <w:t>D.E</w:t>
      </w:r>
      <w:proofErr w:type="spellEnd"/>
      <w:r w:rsidR="00B76AE6" w:rsidRPr="00693019">
        <w:rPr>
          <w:rStyle w:val="fontstyle21"/>
          <w:rFonts w:ascii="Bookman Old Style" w:hAnsi="Bookman Old Style"/>
          <w:sz w:val="22"/>
          <w:szCs w:val="24"/>
        </w:rPr>
        <w:t xml:space="preserve">. 2282 de 1989, art. 1°, </w:t>
      </w:r>
      <w:proofErr w:type="spellStart"/>
      <w:r w:rsidR="00B76AE6" w:rsidRPr="00693019">
        <w:rPr>
          <w:rStyle w:val="fontstyle21"/>
          <w:rFonts w:ascii="Bookman Old Style" w:hAnsi="Bookman Old Style"/>
          <w:sz w:val="22"/>
          <w:szCs w:val="24"/>
        </w:rPr>
        <w:t>num</w:t>
      </w:r>
      <w:proofErr w:type="spellEnd"/>
      <w:r w:rsidR="00B76AE6" w:rsidRPr="00693019">
        <w:rPr>
          <w:rStyle w:val="fontstyle21"/>
          <w:rFonts w:ascii="Bookman Old Style" w:hAnsi="Bookman Old Style"/>
          <w:sz w:val="22"/>
          <w:szCs w:val="24"/>
        </w:rPr>
        <w:t>.</w:t>
      </w:r>
      <w:r w:rsidR="00693019">
        <w:rPr>
          <w:rStyle w:val="fontstyle21"/>
          <w:rFonts w:ascii="Bookman Old Style" w:hAnsi="Bookman Old Style"/>
          <w:sz w:val="22"/>
          <w:szCs w:val="24"/>
        </w:rPr>
        <w:t xml:space="preserve"> </w:t>
      </w:r>
      <w:r w:rsidR="00B76AE6" w:rsidRPr="00693019">
        <w:rPr>
          <w:rStyle w:val="fontstyle21"/>
          <w:rFonts w:ascii="Bookman Old Style" w:hAnsi="Bookman Old Style"/>
          <w:sz w:val="22"/>
          <w:szCs w:val="24"/>
        </w:rPr>
        <w:t>46, disposición a la cual fuerza remitirnos por mandato del artículo 145 del Código de Procedimiento Laboral. O también puede formularse la excepción dilatoria de no agotamiento del procedimiento gubernativo o reglamentario, que como ya ha tenido oportunidad la Corte de expresarlo, “...bien puede entenderse que constituye una excepción en el proceso laboral, propia y autónoma” (Sentencia de Julio 21 de 1981. Rad. N° 7619) […]</w:t>
      </w:r>
      <w:r w:rsidRPr="00693019">
        <w:rPr>
          <w:rStyle w:val="fontstyle21"/>
          <w:rFonts w:ascii="Bookman Old Style" w:hAnsi="Bookman Old Style"/>
          <w:sz w:val="22"/>
          <w:szCs w:val="24"/>
        </w:rPr>
        <w:t xml:space="preserve">”. </w:t>
      </w:r>
    </w:p>
    <w:p w14:paraId="55387CB7" w14:textId="77777777" w:rsidR="00DE24E4" w:rsidRPr="00AA3364" w:rsidRDefault="00DE24E4" w:rsidP="00AA3364">
      <w:pPr>
        <w:spacing w:line="276" w:lineRule="auto"/>
        <w:ind w:firstLine="708"/>
        <w:rPr>
          <w:rFonts w:cs="Tahoma"/>
          <w:i/>
          <w:iCs/>
          <w:sz w:val="24"/>
          <w:szCs w:val="24"/>
        </w:rPr>
      </w:pPr>
    </w:p>
    <w:p w14:paraId="145FE153" w14:textId="26439456" w:rsidR="00DE24E4" w:rsidRPr="00AA3364" w:rsidRDefault="00DE24E4" w:rsidP="00AA3364">
      <w:pPr>
        <w:spacing w:line="276" w:lineRule="auto"/>
        <w:ind w:firstLine="708"/>
        <w:rPr>
          <w:rFonts w:cs="Tahoma"/>
          <w:sz w:val="24"/>
          <w:szCs w:val="24"/>
        </w:rPr>
      </w:pPr>
      <w:r w:rsidRPr="00AA3364">
        <w:rPr>
          <w:rFonts w:cs="Tahoma"/>
          <w:sz w:val="24"/>
          <w:szCs w:val="24"/>
        </w:rPr>
        <w:t xml:space="preserve">Pues bien, atendiendo lo anterior, </w:t>
      </w:r>
      <w:r w:rsidR="00460439" w:rsidRPr="00AA3364">
        <w:rPr>
          <w:rFonts w:cs="Tahoma"/>
          <w:sz w:val="24"/>
          <w:szCs w:val="24"/>
        </w:rPr>
        <w:t xml:space="preserve">en primer </w:t>
      </w:r>
      <w:r w:rsidR="00D20873" w:rsidRPr="00AA3364">
        <w:rPr>
          <w:rFonts w:cs="Tahoma"/>
          <w:sz w:val="24"/>
          <w:szCs w:val="24"/>
        </w:rPr>
        <w:t>lugar,</w:t>
      </w:r>
      <w:r w:rsidR="00460439" w:rsidRPr="00AA3364">
        <w:rPr>
          <w:rFonts w:cs="Tahoma"/>
          <w:sz w:val="24"/>
          <w:szCs w:val="24"/>
        </w:rPr>
        <w:t xml:space="preserve"> debe indicarse que al revisar el devenir procesal se encuentra que la demanda fue presentada el </w:t>
      </w:r>
      <w:r w:rsidR="00460439" w:rsidRPr="00AA3364">
        <w:rPr>
          <w:rFonts w:cs="Tahoma"/>
          <w:b/>
          <w:bCs/>
          <w:sz w:val="24"/>
          <w:szCs w:val="24"/>
        </w:rPr>
        <w:t>21 de octubre de 2020</w:t>
      </w:r>
      <w:r w:rsidR="00460439" w:rsidRPr="00AA3364">
        <w:rPr>
          <w:rFonts w:cs="Tahoma"/>
          <w:sz w:val="24"/>
          <w:szCs w:val="24"/>
        </w:rPr>
        <w:t xml:space="preserve"> (archivo 05, </w:t>
      </w:r>
      <w:proofErr w:type="spellStart"/>
      <w:r w:rsidR="00460439" w:rsidRPr="00AA3364">
        <w:rPr>
          <w:rFonts w:cs="Tahoma"/>
          <w:sz w:val="24"/>
          <w:szCs w:val="24"/>
        </w:rPr>
        <w:t>CO1Ordinario</w:t>
      </w:r>
      <w:proofErr w:type="spellEnd"/>
      <w:r w:rsidR="00460439" w:rsidRPr="00AA3364">
        <w:rPr>
          <w:rFonts w:cs="Tahoma"/>
          <w:sz w:val="24"/>
          <w:szCs w:val="24"/>
        </w:rPr>
        <w:t xml:space="preserve">), siendo inadmitida por el juzgado mediante providencia del </w:t>
      </w:r>
      <w:r w:rsidR="00460439" w:rsidRPr="00AA3364">
        <w:rPr>
          <w:rFonts w:cs="Tahoma"/>
          <w:b/>
          <w:bCs/>
          <w:sz w:val="24"/>
          <w:szCs w:val="24"/>
        </w:rPr>
        <w:t>13 de enero de 2021</w:t>
      </w:r>
      <w:r w:rsidR="00460439" w:rsidRPr="00AA3364">
        <w:rPr>
          <w:rFonts w:cs="Tahoma"/>
          <w:sz w:val="24"/>
          <w:szCs w:val="24"/>
        </w:rPr>
        <w:t xml:space="preserve"> justamente ante la falta reclamación administrativa (archivo 06, </w:t>
      </w:r>
      <w:proofErr w:type="spellStart"/>
      <w:r w:rsidR="00460439" w:rsidRPr="00AA3364">
        <w:rPr>
          <w:rFonts w:cs="Tahoma"/>
          <w:sz w:val="24"/>
          <w:szCs w:val="24"/>
        </w:rPr>
        <w:t>CO1Ordinario</w:t>
      </w:r>
      <w:proofErr w:type="spellEnd"/>
      <w:r w:rsidR="00460439" w:rsidRPr="00AA3364">
        <w:rPr>
          <w:rFonts w:cs="Tahoma"/>
          <w:sz w:val="24"/>
          <w:szCs w:val="24"/>
        </w:rPr>
        <w:t xml:space="preserve">). Frente a ello, la parte actora presentó escrito de subsanación de la demanda el </w:t>
      </w:r>
      <w:r w:rsidR="00460439" w:rsidRPr="00AA3364">
        <w:rPr>
          <w:rFonts w:cs="Tahoma"/>
          <w:b/>
          <w:bCs/>
          <w:sz w:val="24"/>
          <w:szCs w:val="24"/>
        </w:rPr>
        <w:t>18 de enero de 2021</w:t>
      </w:r>
      <w:r w:rsidR="00460439" w:rsidRPr="00AA3364">
        <w:rPr>
          <w:rFonts w:cs="Tahoma"/>
          <w:sz w:val="24"/>
          <w:szCs w:val="24"/>
        </w:rPr>
        <w:t xml:space="preserve"> (archivo 07, </w:t>
      </w:r>
      <w:proofErr w:type="spellStart"/>
      <w:r w:rsidR="00460439" w:rsidRPr="00AA3364">
        <w:rPr>
          <w:rFonts w:cs="Tahoma"/>
          <w:sz w:val="24"/>
          <w:szCs w:val="24"/>
        </w:rPr>
        <w:t>CO1Ordinario</w:t>
      </w:r>
      <w:proofErr w:type="spellEnd"/>
      <w:r w:rsidR="00460439" w:rsidRPr="00AA3364">
        <w:rPr>
          <w:rFonts w:cs="Tahoma"/>
          <w:sz w:val="24"/>
          <w:szCs w:val="24"/>
        </w:rPr>
        <w:t xml:space="preserve">), siendo admitida por auto del </w:t>
      </w:r>
      <w:r w:rsidR="00460439" w:rsidRPr="00AA3364">
        <w:rPr>
          <w:rFonts w:cs="Tahoma"/>
          <w:b/>
          <w:bCs/>
          <w:sz w:val="24"/>
          <w:szCs w:val="24"/>
        </w:rPr>
        <w:t>17 de febrero de 2021</w:t>
      </w:r>
      <w:r w:rsidR="00460439" w:rsidRPr="00AA3364">
        <w:rPr>
          <w:rFonts w:cs="Tahoma"/>
          <w:sz w:val="24"/>
          <w:szCs w:val="24"/>
        </w:rPr>
        <w:t xml:space="preserve"> (archivo 08, </w:t>
      </w:r>
      <w:proofErr w:type="spellStart"/>
      <w:r w:rsidR="00460439" w:rsidRPr="00AA3364">
        <w:rPr>
          <w:rFonts w:cs="Tahoma"/>
          <w:sz w:val="24"/>
          <w:szCs w:val="24"/>
        </w:rPr>
        <w:t>CO1Ordinario</w:t>
      </w:r>
      <w:proofErr w:type="spellEnd"/>
      <w:r w:rsidR="00460439" w:rsidRPr="00AA3364">
        <w:rPr>
          <w:rFonts w:cs="Tahoma"/>
          <w:sz w:val="24"/>
          <w:szCs w:val="24"/>
        </w:rPr>
        <w:t>).</w:t>
      </w:r>
    </w:p>
    <w:p w14:paraId="33355A6E" w14:textId="77777777" w:rsidR="00D20873" w:rsidRPr="00AA3364" w:rsidRDefault="00D20873" w:rsidP="00AA3364">
      <w:pPr>
        <w:spacing w:line="276" w:lineRule="auto"/>
        <w:ind w:firstLine="708"/>
        <w:rPr>
          <w:rFonts w:cs="Tahoma"/>
          <w:sz w:val="24"/>
          <w:szCs w:val="24"/>
        </w:rPr>
      </w:pPr>
    </w:p>
    <w:p w14:paraId="3EBCA8AF" w14:textId="1DA597D2" w:rsidR="002A04B4" w:rsidRPr="00AA3364" w:rsidRDefault="00D20873" w:rsidP="00AA3364">
      <w:pPr>
        <w:spacing w:line="276" w:lineRule="auto"/>
        <w:ind w:firstLine="708"/>
        <w:rPr>
          <w:rFonts w:cs="Tahoma"/>
          <w:sz w:val="24"/>
          <w:szCs w:val="24"/>
        </w:rPr>
      </w:pPr>
      <w:r w:rsidRPr="00AA3364">
        <w:rPr>
          <w:rFonts w:cs="Tahoma"/>
          <w:sz w:val="24"/>
          <w:szCs w:val="24"/>
        </w:rPr>
        <w:t xml:space="preserve">Ahora, al revisar la documentación que arrimó la parte actora </w:t>
      </w:r>
      <w:r w:rsidR="003700A3" w:rsidRPr="00AA3364">
        <w:rPr>
          <w:rFonts w:cs="Tahoma"/>
          <w:sz w:val="24"/>
          <w:szCs w:val="24"/>
        </w:rPr>
        <w:t xml:space="preserve">como anexos </w:t>
      </w:r>
      <w:r w:rsidRPr="00AA3364">
        <w:rPr>
          <w:rFonts w:cs="Tahoma"/>
          <w:sz w:val="24"/>
          <w:szCs w:val="24"/>
        </w:rPr>
        <w:t xml:space="preserve">al momento de subsanar la demanda, encuentra la Sala incorporados los siguientes documentos: </w:t>
      </w:r>
      <w:r w:rsidRPr="00AA3364">
        <w:rPr>
          <w:rFonts w:cs="Tahoma"/>
          <w:b/>
          <w:bCs/>
          <w:sz w:val="24"/>
          <w:szCs w:val="24"/>
        </w:rPr>
        <w:t>(i)</w:t>
      </w:r>
      <w:r w:rsidRPr="00AA3364">
        <w:rPr>
          <w:rFonts w:cs="Tahoma"/>
          <w:sz w:val="24"/>
          <w:szCs w:val="24"/>
        </w:rPr>
        <w:t xml:space="preserve"> </w:t>
      </w:r>
      <w:r w:rsidR="002A04B4" w:rsidRPr="00AA3364">
        <w:rPr>
          <w:rFonts w:cs="Tahoma"/>
          <w:sz w:val="24"/>
          <w:szCs w:val="24"/>
        </w:rPr>
        <w:t xml:space="preserve">Escrito </w:t>
      </w:r>
      <w:r w:rsidR="003700A3" w:rsidRPr="00AA3364">
        <w:rPr>
          <w:rFonts w:cs="Tahoma"/>
          <w:sz w:val="24"/>
          <w:szCs w:val="24"/>
        </w:rPr>
        <w:t xml:space="preserve">dirigido a la </w:t>
      </w:r>
      <w:proofErr w:type="spellStart"/>
      <w:r w:rsidR="003700A3" w:rsidRPr="00AA3364">
        <w:rPr>
          <w:rFonts w:cs="Tahoma"/>
          <w:b/>
          <w:bCs/>
          <w:sz w:val="24"/>
          <w:szCs w:val="24"/>
        </w:rPr>
        <w:t>ARL</w:t>
      </w:r>
      <w:proofErr w:type="spellEnd"/>
      <w:r w:rsidR="003700A3" w:rsidRPr="00AA3364">
        <w:rPr>
          <w:rFonts w:cs="Tahoma"/>
          <w:b/>
          <w:bCs/>
          <w:sz w:val="24"/>
          <w:szCs w:val="24"/>
        </w:rPr>
        <w:t xml:space="preserve"> POSITIVA S.A</w:t>
      </w:r>
      <w:r w:rsidR="003700A3" w:rsidRPr="00AA3364">
        <w:rPr>
          <w:rFonts w:cs="Tahoma"/>
          <w:sz w:val="24"/>
          <w:szCs w:val="24"/>
        </w:rPr>
        <w:t>. con asunto “</w:t>
      </w:r>
      <w:r w:rsidR="003700A3" w:rsidRPr="00AA3364">
        <w:rPr>
          <w:rFonts w:cs="Tahoma"/>
          <w:b/>
          <w:bCs/>
          <w:sz w:val="24"/>
          <w:szCs w:val="24"/>
          <w:u w:val="single"/>
        </w:rPr>
        <w:t>reclamación administrativa</w:t>
      </w:r>
      <w:r w:rsidR="003700A3" w:rsidRPr="00AA3364">
        <w:rPr>
          <w:rFonts w:cs="Tahoma"/>
          <w:sz w:val="24"/>
          <w:szCs w:val="24"/>
        </w:rPr>
        <w:t>” [archivo 07, página 16-21]</w:t>
      </w:r>
      <w:r w:rsidR="002A04B4" w:rsidRPr="00AA3364">
        <w:rPr>
          <w:rFonts w:cs="Tahoma"/>
          <w:sz w:val="24"/>
          <w:szCs w:val="24"/>
        </w:rPr>
        <w:t xml:space="preserve">, </w:t>
      </w:r>
      <w:r w:rsidR="3750978C" w:rsidRPr="00AA3364">
        <w:rPr>
          <w:rFonts w:eastAsia="Bookman Old Style" w:cs="Bookman Old Style"/>
          <w:sz w:val="24"/>
          <w:szCs w:val="24"/>
        </w:rPr>
        <w:t xml:space="preserve">el cual no fue desconocido ni tachado por la demandada, y </w:t>
      </w:r>
      <w:r w:rsidR="002A04B4" w:rsidRPr="00AA3364">
        <w:rPr>
          <w:rFonts w:cs="Tahoma"/>
          <w:sz w:val="24"/>
          <w:szCs w:val="24"/>
        </w:rPr>
        <w:t xml:space="preserve">en su contenido </w:t>
      </w:r>
      <w:r w:rsidR="003700A3" w:rsidRPr="00AA3364">
        <w:rPr>
          <w:rFonts w:cs="Tahoma"/>
          <w:sz w:val="24"/>
          <w:szCs w:val="24"/>
        </w:rPr>
        <w:t xml:space="preserve">se peticiona el pago de iguales conceptos a los </w:t>
      </w:r>
      <w:r w:rsidR="002A04B4" w:rsidRPr="00AA3364">
        <w:rPr>
          <w:rFonts w:cs="Tahoma"/>
          <w:sz w:val="24"/>
          <w:szCs w:val="24"/>
        </w:rPr>
        <w:t>reclamados con la acción judicial</w:t>
      </w:r>
      <w:r w:rsidR="1393E128" w:rsidRPr="00AA3364">
        <w:rPr>
          <w:rFonts w:cs="Tahoma"/>
          <w:sz w:val="24"/>
          <w:szCs w:val="24"/>
        </w:rPr>
        <w:t>, así:</w:t>
      </w:r>
      <w:r w:rsidR="002A04B4" w:rsidRPr="00AA3364">
        <w:rPr>
          <w:rFonts w:cs="Tahoma"/>
          <w:sz w:val="24"/>
          <w:szCs w:val="24"/>
        </w:rPr>
        <w:t xml:space="preserve"> </w:t>
      </w:r>
    </w:p>
    <w:p w14:paraId="3F51BA50" w14:textId="0B9AC597" w:rsidR="002A04B4" w:rsidRPr="00AA3364" w:rsidRDefault="002A04B4" w:rsidP="00AA3364">
      <w:pPr>
        <w:spacing w:line="276" w:lineRule="auto"/>
        <w:rPr>
          <w:rFonts w:eastAsia="Bookman Old Style" w:cs="Bookman Old Style"/>
          <w:sz w:val="24"/>
          <w:szCs w:val="24"/>
        </w:rPr>
      </w:pPr>
    </w:p>
    <w:tbl>
      <w:tblPr>
        <w:tblStyle w:val="Tablaconcuadrcula"/>
        <w:tblW w:w="0" w:type="auto"/>
        <w:tblLayout w:type="fixed"/>
        <w:tblLook w:val="04A0" w:firstRow="1" w:lastRow="0" w:firstColumn="1" w:lastColumn="0" w:noHBand="0" w:noVBand="1"/>
      </w:tblPr>
      <w:tblGrid>
        <w:gridCol w:w="4425"/>
        <w:gridCol w:w="4395"/>
      </w:tblGrid>
      <w:tr w:rsidR="0FEDB18B" w:rsidRPr="00AA3364" w14:paraId="66D315CD" w14:textId="77777777" w:rsidTr="0FEDB18B">
        <w:trPr>
          <w:trHeight w:val="300"/>
        </w:trPr>
        <w:tc>
          <w:tcPr>
            <w:tcW w:w="4425" w:type="dxa"/>
            <w:tcBorders>
              <w:top w:val="single" w:sz="8" w:space="0" w:color="auto"/>
              <w:left w:val="single" w:sz="8" w:space="0" w:color="auto"/>
              <w:bottom w:val="single" w:sz="8" w:space="0" w:color="auto"/>
              <w:right w:val="single" w:sz="8" w:space="0" w:color="auto"/>
            </w:tcBorders>
            <w:tcMar>
              <w:left w:w="108" w:type="dxa"/>
              <w:right w:w="108" w:type="dxa"/>
            </w:tcMar>
          </w:tcPr>
          <w:p w14:paraId="7A1E5FE9" w14:textId="6A89BB8D" w:rsidR="0FEDB18B" w:rsidRPr="00AA3364" w:rsidRDefault="0FEDB18B" w:rsidP="00AA3364">
            <w:pPr>
              <w:spacing w:line="276" w:lineRule="auto"/>
              <w:jc w:val="center"/>
              <w:rPr>
                <w:sz w:val="24"/>
                <w:szCs w:val="24"/>
              </w:rPr>
            </w:pPr>
            <w:r w:rsidRPr="00AA3364">
              <w:rPr>
                <w:rFonts w:eastAsia="Bookman Old Style" w:cs="Bookman Old Style"/>
                <w:b/>
                <w:bCs/>
                <w:i/>
                <w:iCs/>
                <w:sz w:val="24"/>
                <w:szCs w:val="24"/>
              </w:rPr>
              <w:t>Pretendido en la demanda</w:t>
            </w:r>
          </w:p>
          <w:p w14:paraId="7A6CF158" w14:textId="4B1B369E" w:rsidR="0FEDB18B" w:rsidRPr="00AA3364" w:rsidRDefault="0FEDB18B" w:rsidP="00AA3364">
            <w:pPr>
              <w:spacing w:line="276" w:lineRule="auto"/>
              <w:jc w:val="center"/>
              <w:rPr>
                <w:sz w:val="24"/>
                <w:szCs w:val="24"/>
              </w:rPr>
            </w:pPr>
            <w:r w:rsidRPr="00AA3364">
              <w:rPr>
                <w:rFonts w:eastAsia="Bookman Old Style" w:cs="Bookman Old Style"/>
                <w:i/>
                <w:iCs/>
                <w:sz w:val="24"/>
                <w:szCs w:val="24"/>
              </w:rPr>
              <w:t>(Pág. 10, archivo 07)</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tcPr>
          <w:p w14:paraId="6A0D6946" w14:textId="6F2D4AF1" w:rsidR="0FEDB18B" w:rsidRPr="00AA3364" w:rsidRDefault="0FEDB18B" w:rsidP="00AA3364">
            <w:pPr>
              <w:spacing w:line="276" w:lineRule="auto"/>
              <w:jc w:val="center"/>
              <w:rPr>
                <w:sz w:val="24"/>
                <w:szCs w:val="24"/>
              </w:rPr>
            </w:pPr>
            <w:r w:rsidRPr="00AA3364">
              <w:rPr>
                <w:rFonts w:eastAsia="Bookman Old Style" w:cs="Bookman Old Style"/>
                <w:b/>
                <w:bCs/>
                <w:i/>
                <w:iCs/>
                <w:sz w:val="24"/>
                <w:szCs w:val="24"/>
              </w:rPr>
              <w:t>Reclamación</w:t>
            </w:r>
          </w:p>
          <w:p w14:paraId="71F898AB" w14:textId="07D29236" w:rsidR="0FEDB18B" w:rsidRPr="00AA3364" w:rsidRDefault="0FEDB18B" w:rsidP="00AA3364">
            <w:pPr>
              <w:spacing w:line="276" w:lineRule="auto"/>
              <w:jc w:val="center"/>
              <w:rPr>
                <w:sz w:val="24"/>
                <w:szCs w:val="24"/>
              </w:rPr>
            </w:pPr>
            <w:r w:rsidRPr="00AA3364">
              <w:rPr>
                <w:rFonts w:eastAsia="Bookman Old Style" w:cs="Bookman Old Style"/>
                <w:i/>
                <w:iCs/>
                <w:sz w:val="24"/>
                <w:szCs w:val="24"/>
              </w:rPr>
              <w:t>(Pág. 16-21, archivo 07)</w:t>
            </w:r>
          </w:p>
        </w:tc>
      </w:tr>
      <w:tr w:rsidR="0FEDB18B" w:rsidRPr="00AA3364" w14:paraId="5F580099" w14:textId="77777777" w:rsidTr="0FEDB18B">
        <w:trPr>
          <w:trHeight w:val="300"/>
        </w:trPr>
        <w:tc>
          <w:tcPr>
            <w:tcW w:w="4425" w:type="dxa"/>
            <w:tcBorders>
              <w:top w:val="single" w:sz="8" w:space="0" w:color="auto"/>
              <w:left w:val="single" w:sz="8" w:space="0" w:color="auto"/>
              <w:bottom w:val="single" w:sz="8" w:space="0" w:color="auto"/>
              <w:right w:val="single" w:sz="8" w:space="0" w:color="auto"/>
            </w:tcBorders>
            <w:tcMar>
              <w:left w:w="108" w:type="dxa"/>
              <w:right w:w="108" w:type="dxa"/>
            </w:tcMar>
          </w:tcPr>
          <w:p w14:paraId="5EE42E27" w14:textId="118B15C6" w:rsidR="679E8D00" w:rsidRPr="00AA3364" w:rsidRDefault="679E8D00" w:rsidP="00AA3364">
            <w:pPr>
              <w:spacing w:line="276" w:lineRule="auto"/>
              <w:ind w:firstLine="0"/>
              <w:rPr>
                <w:sz w:val="24"/>
                <w:szCs w:val="24"/>
              </w:rPr>
            </w:pPr>
            <w:r w:rsidRPr="00AA3364">
              <w:rPr>
                <w:noProof/>
                <w:sz w:val="24"/>
                <w:szCs w:val="24"/>
                <w:lang w:val="en-US"/>
              </w:rPr>
              <w:drawing>
                <wp:inline distT="0" distB="0" distL="0" distR="0" wp14:anchorId="6EC4B573" wp14:editId="2421FE34">
                  <wp:extent cx="2647950" cy="3276600"/>
                  <wp:effectExtent l="0" t="0" r="0" b="0"/>
                  <wp:docPr id="1734204049" name="Imagen 173420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47950" cy="3276600"/>
                          </a:xfrm>
                          <a:prstGeom prst="rect">
                            <a:avLst/>
                          </a:prstGeom>
                        </pic:spPr>
                      </pic:pic>
                    </a:graphicData>
                  </a:graphic>
                </wp:inline>
              </w:drawing>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3E393A" w14:textId="51FC67E9" w:rsidR="679E8D00" w:rsidRPr="00AA3364" w:rsidRDefault="679E8D00" w:rsidP="00AA3364">
            <w:pPr>
              <w:spacing w:line="276" w:lineRule="auto"/>
              <w:ind w:firstLine="0"/>
              <w:jc w:val="center"/>
              <w:rPr>
                <w:sz w:val="24"/>
                <w:szCs w:val="24"/>
              </w:rPr>
            </w:pPr>
            <w:r w:rsidRPr="00AA3364">
              <w:rPr>
                <w:noProof/>
                <w:sz w:val="24"/>
                <w:szCs w:val="24"/>
                <w:lang w:val="en-US"/>
              </w:rPr>
              <w:drawing>
                <wp:inline distT="0" distB="0" distL="0" distR="0" wp14:anchorId="736D1607" wp14:editId="4E95C766">
                  <wp:extent cx="2657475" cy="2047875"/>
                  <wp:effectExtent l="0" t="0" r="0" b="0"/>
                  <wp:docPr id="1277462010" name="Imagen 127746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57475" cy="2047875"/>
                          </a:xfrm>
                          <a:prstGeom prst="rect">
                            <a:avLst/>
                          </a:prstGeom>
                        </pic:spPr>
                      </pic:pic>
                    </a:graphicData>
                  </a:graphic>
                </wp:inline>
              </w:drawing>
            </w:r>
          </w:p>
        </w:tc>
      </w:tr>
    </w:tbl>
    <w:p w14:paraId="517464F1" w14:textId="02123B82" w:rsidR="002A04B4" w:rsidRPr="00AA3364" w:rsidRDefault="002A04B4" w:rsidP="00AA3364">
      <w:pPr>
        <w:spacing w:line="276" w:lineRule="auto"/>
        <w:rPr>
          <w:rFonts w:eastAsia="Bookman Old Style" w:cs="Bookman Old Style"/>
          <w:sz w:val="24"/>
          <w:szCs w:val="24"/>
        </w:rPr>
      </w:pPr>
    </w:p>
    <w:p w14:paraId="4FB2B26C" w14:textId="0BA6374B" w:rsidR="002A04B4" w:rsidRPr="00AA3364" w:rsidRDefault="002A04B4" w:rsidP="00AA3364">
      <w:pPr>
        <w:spacing w:line="276" w:lineRule="auto"/>
        <w:ind w:firstLine="708"/>
        <w:rPr>
          <w:rFonts w:cs="Tahoma"/>
          <w:sz w:val="24"/>
          <w:szCs w:val="24"/>
        </w:rPr>
      </w:pPr>
      <w:r w:rsidRPr="00AA3364">
        <w:rPr>
          <w:rFonts w:cs="Tahoma"/>
          <w:b/>
          <w:bCs/>
          <w:sz w:val="24"/>
          <w:szCs w:val="24"/>
        </w:rPr>
        <w:t>(ii)</w:t>
      </w:r>
      <w:r w:rsidRPr="00AA3364">
        <w:rPr>
          <w:rFonts w:cs="Tahoma"/>
          <w:sz w:val="24"/>
          <w:szCs w:val="24"/>
        </w:rPr>
        <w:t xml:space="preserve"> Además, milita correo certificado por </w:t>
      </w:r>
      <w:proofErr w:type="spellStart"/>
      <w:r w:rsidRPr="00AA3364">
        <w:rPr>
          <w:rFonts w:cs="Tahoma"/>
          <w:sz w:val="24"/>
          <w:szCs w:val="24"/>
        </w:rPr>
        <w:t>Servientrega</w:t>
      </w:r>
      <w:proofErr w:type="spellEnd"/>
      <w:r w:rsidRPr="00AA3364">
        <w:rPr>
          <w:rFonts w:cs="Tahoma"/>
          <w:sz w:val="24"/>
          <w:szCs w:val="24"/>
        </w:rPr>
        <w:t xml:space="preserve"> S.A. dirigido al e-mail </w:t>
      </w:r>
      <w:r w:rsidRPr="00AA3364">
        <w:rPr>
          <w:rFonts w:cs="Tahoma"/>
          <w:b/>
          <w:bCs/>
          <w:sz w:val="24"/>
          <w:szCs w:val="24"/>
        </w:rPr>
        <w:t>servicioalcliente@positiva.gov.co</w:t>
      </w:r>
      <w:r w:rsidRPr="00AA3364">
        <w:rPr>
          <w:rFonts w:cs="Tahoma"/>
          <w:sz w:val="24"/>
          <w:szCs w:val="24"/>
        </w:rPr>
        <w:t xml:space="preserve">, con asunto reclamación administrativa enviada el </w:t>
      </w:r>
      <w:r w:rsidRPr="00AA3364">
        <w:rPr>
          <w:rFonts w:cs="Tahoma"/>
          <w:b/>
          <w:bCs/>
          <w:sz w:val="24"/>
          <w:szCs w:val="24"/>
        </w:rPr>
        <w:t>14 de octubre de 2020</w:t>
      </w:r>
      <w:r w:rsidRPr="00AA3364">
        <w:rPr>
          <w:rFonts w:cs="Tahoma"/>
          <w:sz w:val="24"/>
          <w:szCs w:val="24"/>
        </w:rPr>
        <w:t xml:space="preserve">, con certificación de lectura </w:t>
      </w:r>
      <w:r w:rsidRPr="00AA3364">
        <w:rPr>
          <w:rFonts w:cs="Tahoma"/>
          <w:sz w:val="24"/>
          <w:szCs w:val="24"/>
        </w:rPr>
        <w:lastRenderedPageBreak/>
        <w:t>de mensaje por el destinatario y, en el contenido del mensaje se denota asunto “</w:t>
      </w:r>
      <w:r w:rsidRPr="00AA3364">
        <w:rPr>
          <w:rFonts w:cs="Tahoma"/>
          <w:b/>
          <w:bCs/>
          <w:sz w:val="24"/>
          <w:szCs w:val="24"/>
        </w:rPr>
        <w:t>Reclamación administrativa Freddy Machado Mosquera”</w:t>
      </w:r>
      <w:r w:rsidRPr="00AA3364">
        <w:rPr>
          <w:rFonts w:cs="Tahoma"/>
          <w:sz w:val="24"/>
          <w:szCs w:val="24"/>
        </w:rPr>
        <w:t xml:space="preserve"> dirigida a la </w:t>
      </w:r>
      <w:proofErr w:type="spellStart"/>
      <w:r w:rsidRPr="00AA3364">
        <w:rPr>
          <w:rFonts w:cs="Tahoma"/>
          <w:sz w:val="24"/>
          <w:szCs w:val="24"/>
        </w:rPr>
        <w:t>ARL</w:t>
      </w:r>
      <w:proofErr w:type="spellEnd"/>
      <w:r w:rsidRPr="00AA3364">
        <w:rPr>
          <w:rFonts w:cs="Tahoma"/>
          <w:sz w:val="24"/>
          <w:szCs w:val="24"/>
        </w:rPr>
        <w:t xml:space="preserve"> POSITIVA Pereira donde se indica “</w:t>
      </w:r>
      <w:r w:rsidRPr="002721EF">
        <w:rPr>
          <w:rFonts w:cs="Tahoma"/>
          <w:i/>
          <w:iCs/>
          <w:sz w:val="22"/>
          <w:szCs w:val="24"/>
        </w:rPr>
        <w:t>FREDY MACHADO MOSQUERA, identificado con la cédula de ciudadanía No. 1.093.534.322; quien actúa en calidad de ex</w:t>
      </w:r>
      <w:r w:rsidR="001D1818" w:rsidRPr="002721EF">
        <w:rPr>
          <w:rFonts w:cs="Tahoma"/>
          <w:i/>
          <w:iCs/>
          <w:sz w:val="22"/>
          <w:szCs w:val="24"/>
        </w:rPr>
        <w:t xml:space="preserve"> </w:t>
      </w:r>
      <w:r w:rsidRPr="002721EF">
        <w:rPr>
          <w:rFonts w:cs="Tahoma"/>
          <w:i/>
          <w:iCs/>
          <w:sz w:val="22"/>
          <w:szCs w:val="24"/>
        </w:rPr>
        <w:t xml:space="preserve">afiliado a la </w:t>
      </w:r>
      <w:proofErr w:type="spellStart"/>
      <w:r w:rsidRPr="002721EF">
        <w:rPr>
          <w:rFonts w:cs="Tahoma"/>
          <w:i/>
          <w:iCs/>
          <w:sz w:val="22"/>
          <w:szCs w:val="24"/>
        </w:rPr>
        <w:t>ARL</w:t>
      </w:r>
      <w:proofErr w:type="spellEnd"/>
      <w:r w:rsidRPr="002721EF">
        <w:rPr>
          <w:rFonts w:cs="Tahoma"/>
          <w:i/>
          <w:iCs/>
          <w:sz w:val="22"/>
          <w:szCs w:val="24"/>
        </w:rPr>
        <w:t xml:space="preserve"> POSITIVA, presento reclamación administrativa por concepto de gastos médicos, de rehabilitación, fortalecimiento todos ellos conexos con mis di gnósticos de origen laboral</w:t>
      </w:r>
      <w:r w:rsidRPr="00AA3364">
        <w:rPr>
          <w:rFonts w:cs="Tahoma"/>
          <w:sz w:val="24"/>
          <w:szCs w:val="24"/>
        </w:rPr>
        <w:t>” y refiere como documento adjunto a la comunicación “Reclamación_administrativa.pdf” [archivo 7, página 56-57].</w:t>
      </w:r>
    </w:p>
    <w:p w14:paraId="77EB31BA" w14:textId="77777777" w:rsidR="002A04B4" w:rsidRPr="00AA3364" w:rsidRDefault="002A04B4" w:rsidP="00AA3364">
      <w:pPr>
        <w:spacing w:line="276" w:lineRule="auto"/>
        <w:ind w:firstLine="708"/>
        <w:rPr>
          <w:rFonts w:cs="Tahoma"/>
          <w:sz w:val="24"/>
          <w:szCs w:val="24"/>
        </w:rPr>
      </w:pPr>
    </w:p>
    <w:p w14:paraId="1AE5A436" w14:textId="0BF97652" w:rsidR="393F111F" w:rsidRPr="00AA3364" w:rsidRDefault="393F111F" w:rsidP="00AA3364">
      <w:pPr>
        <w:spacing w:line="276" w:lineRule="auto"/>
        <w:ind w:firstLine="708"/>
        <w:rPr>
          <w:sz w:val="24"/>
          <w:szCs w:val="24"/>
        </w:rPr>
      </w:pPr>
      <w:r w:rsidRPr="00AA3364">
        <w:rPr>
          <w:noProof/>
          <w:sz w:val="24"/>
          <w:szCs w:val="24"/>
          <w:lang w:val="en-US"/>
        </w:rPr>
        <w:drawing>
          <wp:inline distT="0" distB="0" distL="0" distR="0" wp14:anchorId="770A72D3" wp14:editId="738AA447">
            <wp:extent cx="4457700" cy="3810000"/>
            <wp:effectExtent l="0" t="0" r="0" b="0"/>
            <wp:docPr id="1560817464" name="Imagen 15608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457700" cy="3810000"/>
                    </a:xfrm>
                    <a:prstGeom prst="rect">
                      <a:avLst/>
                    </a:prstGeom>
                  </pic:spPr>
                </pic:pic>
              </a:graphicData>
            </a:graphic>
          </wp:inline>
        </w:drawing>
      </w:r>
    </w:p>
    <w:p w14:paraId="54E7F893" w14:textId="783E4716" w:rsidR="0FEDB18B" w:rsidRPr="00AA3364" w:rsidRDefault="0FEDB18B" w:rsidP="00AA3364">
      <w:pPr>
        <w:spacing w:line="276" w:lineRule="auto"/>
        <w:ind w:firstLine="708"/>
        <w:rPr>
          <w:sz w:val="24"/>
          <w:szCs w:val="24"/>
        </w:rPr>
      </w:pPr>
    </w:p>
    <w:p w14:paraId="660B8DBF" w14:textId="3C74F37D" w:rsidR="002164EF" w:rsidRPr="00AA3364" w:rsidRDefault="002164EF" w:rsidP="00AA3364">
      <w:pPr>
        <w:spacing w:line="276" w:lineRule="auto"/>
        <w:ind w:firstLine="708"/>
        <w:rPr>
          <w:rFonts w:eastAsia="Bookman Old Style" w:cs="Bookman Old Style"/>
          <w:sz w:val="24"/>
          <w:szCs w:val="24"/>
        </w:rPr>
      </w:pPr>
      <w:r w:rsidRPr="00AA3364">
        <w:rPr>
          <w:rFonts w:cs="Tahoma"/>
          <w:sz w:val="24"/>
          <w:szCs w:val="24"/>
        </w:rPr>
        <w:t>De dichos documentos huelga indicar que</w:t>
      </w:r>
      <w:r w:rsidR="00B26423" w:rsidRPr="00AA3364">
        <w:rPr>
          <w:rFonts w:cs="Tahoma"/>
          <w:sz w:val="24"/>
          <w:szCs w:val="24"/>
        </w:rPr>
        <w:t xml:space="preserve">, en primer lugar, la demandada Positiva S.A., en su contestación ni siquiera hizo alusión a dichos documentos pues la excepción la fundó en el hecho 29 y 30 de la demandada, </w:t>
      </w:r>
      <w:r w:rsidR="0061434C" w:rsidRPr="00AA3364">
        <w:rPr>
          <w:rFonts w:cs="Tahoma"/>
          <w:sz w:val="24"/>
          <w:szCs w:val="24"/>
        </w:rPr>
        <w:t xml:space="preserve">sin observar que ello había sido justamente </w:t>
      </w:r>
      <w:r w:rsidR="00B26423" w:rsidRPr="00AA3364">
        <w:rPr>
          <w:rFonts w:cs="Tahoma"/>
          <w:sz w:val="24"/>
          <w:szCs w:val="24"/>
        </w:rPr>
        <w:t xml:space="preserve">objeto de subsanación </w:t>
      </w:r>
      <w:r w:rsidR="002F58F6" w:rsidRPr="00AA3364">
        <w:rPr>
          <w:rFonts w:cs="Tahoma"/>
          <w:sz w:val="24"/>
          <w:szCs w:val="24"/>
        </w:rPr>
        <w:t>como</w:t>
      </w:r>
      <w:r w:rsidR="0061434C" w:rsidRPr="00AA3364">
        <w:rPr>
          <w:rFonts w:cs="Tahoma"/>
          <w:sz w:val="24"/>
          <w:szCs w:val="24"/>
        </w:rPr>
        <w:t xml:space="preserve"> </w:t>
      </w:r>
      <w:r w:rsidR="002F58F6" w:rsidRPr="00AA3364">
        <w:rPr>
          <w:rFonts w:cs="Tahoma"/>
          <w:sz w:val="24"/>
          <w:szCs w:val="24"/>
        </w:rPr>
        <w:t>se observó</w:t>
      </w:r>
      <w:r w:rsidR="0061434C" w:rsidRPr="00AA3364">
        <w:rPr>
          <w:rFonts w:cs="Tahoma"/>
          <w:sz w:val="24"/>
          <w:szCs w:val="24"/>
        </w:rPr>
        <w:t>;</w:t>
      </w:r>
      <w:r w:rsidR="002F58F6" w:rsidRPr="00AA3364">
        <w:rPr>
          <w:rFonts w:cs="Tahoma"/>
          <w:sz w:val="24"/>
          <w:szCs w:val="24"/>
        </w:rPr>
        <w:t xml:space="preserve"> en segundo lugar, </w:t>
      </w:r>
      <w:r w:rsidR="0061434C" w:rsidRPr="00AA3364">
        <w:rPr>
          <w:rFonts w:cs="Tahoma"/>
          <w:sz w:val="24"/>
          <w:szCs w:val="24"/>
        </w:rPr>
        <w:t xml:space="preserve">los documentos obrantes a folio 16 al 21 y del 56 al 57 no fueron tachados ni desconocidos por la demandada al momento de su contestación y; en tercer lugar, </w:t>
      </w:r>
      <w:r w:rsidR="00570EB9" w:rsidRPr="00AA3364">
        <w:rPr>
          <w:rFonts w:cs="Tahoma"/>
          <w:sz w:val="24"/>
          <w:szCs w:val="24"/>
        </w:rPr>
        <w:t xml:space="preserve">obsérvese que la reclamación tuvo lugar previo a la presentación de la demanda y, en todo caso, el mes que </w:t>
      </w:r>
      <w:r w:rsidR="003711B5" w:rsidRPr="00AA3364">
        <w:rPr>
          <w:rFonts w:cs="Tahoma"/>
          <w:sz w:val="24"/>
          <w:szCs w:val="24"/>
        </w:rPr>
        <w:t xml:space="preserve">debía transcurrir para entenderse agotada la reclamación [art. 6 </w:t>
      </w:r>
      <w:proofErr w:type="spellStart"/>
      <w:r w:rsidR="003711B5" w:rsidRPr="00AA3364">
        <w:rPr>
          <w:rFonts w:cs="Tahoma"/>
          <w:sz w:val="24"/>
          <w:szCs w:val="24"/>
        </w:rPr>
        <w:t>CPTSS</w:t>
      </w:r>
      <w:proofErr w:type="spellEnd"/>
      <w:r w:rsidR="003711B5" w:rsidRPr="00AA3364">
        <w:rPr>
          <w:rFonts w:cs="Tahoma"/>
          <w:sz w:val="24"/>
          <w:szCs w:val="24"/>
        </w:rPr>
        <w:t xml:space="preserve">], venció el </w:t>
      </w:r>
      <w:r w:rsidR="003711B5" w:rsidRPr="00AA3364">
        <w:rPr>
          <w:rFonts w:cs="Tahoma"/>
          <w:b/>
          <w:bCs/>
          <w:sz w:val="24"/>
          <w:szCs w:val="24"/>
        </w:rPr>
        <w:t>14 de noviembre de 2020</w:t>
      </w:r>
      <w:r w:rsidR="003711B5" w:rsidRPr="00AA3364">
        <w:rPr>
          <w:rFonts w:cs="Tahoma"/>
          <w:sz w:val="24"/>
          <w:szCs w:val="24"/>
        </w:rPr>
        <w:t xml:space="preserve">, es decir, mucho antes de admitida la demanda, la cual, luego de haber sido inadmitida (13-01-2021) y subsanada (18-01-2021), tuvo lugar el </w:t>
      </w:r>
      <w:r w:rsidR="003711B5" w:rsidRPr="00AA3364">
        <w:rPr>
          <w:rFonts w:cs="Tahoma"/>
          <w:b/>
          <w:bCs/>
          <w:sz w:val="24"/>
          <w:szCs w:val="24"/>
        </w:rPr>
        <w:t>17 de febrero de 2021</w:t>
      </w:r>
      <w:r w:rsidR="003711B5" w:rsidRPr="00AA3364">
        <w:rPr>
          <w:rFonts w:cs="Tahoma"/>
          <w:sz w:val="24"/>
          <w:szCs w:val="24"/>
        </w:rPr>
        <w:t xml:space="preserve">, lo que implica que la exigencia del artículo 6° del C. de </w:t>
      </w:r>
      <w:proofErr w:type="spellStart"/>
      <w:r w:rsidR="003711B5" w:rsidRPr="00AA3364">
        <w:rPr>
          <w:rFonts w:cs="Tahoma"/>
          <w:sz w:val="24"/>
          <w:szCs w:val="24"/>
        </w:rPr>
        <w:t>P.L</w:t>
      </w:r>
      <w:proofErr w:type="spellEnd"/>
      <w:r w:rsidR="003711B5" w:rsidRPr="00AA3364">
        <w:rPr>
          <w:rFonts w:cs="Tahoma"/>
          <w:sz w:val="24"/>
          <w:szCs w:val="24"/>
        </w:rPr>
        <w:t xml:space="preserve"> como factor de competencia, y presupuesto procesal, se encontró satisfecha al momento de la admisión de la demanda</w:t>
      </w:r>
      <w:r w:rsidR="00C4500F" w:rsidRPr="00AA3364">
        <w:rPr>
          <w:rFonts w:cs="Tahoma"/>
          <w:sz w:val="24"/>
          <w:szCs w:val="24"/>
        </w:rPr>
        <w:t>, lo que de suyo conlleva a que se debió declarar no probado el medio exceptivo incoado</w:t>
      </w:r>
      <w:r w:rsidR="221D1863" w:rsidRPr="00AA3364">
        <w:rPr>
          <w:rFonts w:cs="Tahoma"/>
          <w:sz w:val="24"/>
          <w:szCs w:val="24"/>
        </w:rPr>
        <w:t xml:space="preserve">, siendo </w:t>
      </w:r>
      <w:r w:rsidR="003E6D2A" w:rsidRPr="00AA3364">
        <w:rPr>
          <w:rFonts w:cs="Tahoma"/>
          <w:sz w:val="24"/>
          <w:szCs w:val="24"/>
        </w:rPr>
        <w:t>equívoca la decisión de primer orden</w:t>
      </w:r>
      <w:r w:rsidR="2B32DBA8" w:rsidRPr="00AA3364">
        <w:rPr>
          <w:rFonts w:cs="Tahoma"/>
          <w:sz w:val="24"/>
          <w:szCs w:val="24"/>
        </w:rPr>
        <w:t xml:space="preserve">, </w:t>
      </w:r>
      <w:r w:rsidR="2B32DBA8" w:rsidRPr="00AA3364">
        <w:rPr>
          <w:rFonts w:eastAsia="Bookman Old Style" w:cs="Bookman Old Style"/>
          <w:sz w:val="24"/>
          <w:szCs w:val="24"/>
        </w:rPr>
        <w:t>debido a que la jueza al decidir</w:t>
      </w:r>
      <w:r w:rsidR="02CB2D81" w:rsidRPr="00AA3364">
        <w:rPr>
          <w:rFonts w:eastAsia="Bookman Old Style" w:cs="Bookman Old Style"/>
          <w:sz w:val="24"/>
          <w:szCs w:val="24"/>
        </w:rPr>
        <w:t>,</w:t>
      </w:r>
      <w:r w:rsidR="2B32DBA8" w:rsidRPr="00AA3364">
        <w:rPr>
          <w:rFonts w:eastAsia="Bookman Old Style" w:cs="Bookman Old Style"/>
          <w:sz w:val="24"/>
          <w:szCs w:val="24"/>
        </w:rPr>
        <w:t xml:space="preserve"> pasó por alto que entre los documentos agregados con la subsanación se había arrimado la copia de la reclamación que se afirma como aquella que corresponde a la remitida en el correo por </w:t>
      </w:r>
      <w:proofErr w:type="spellStart"/>
      <w:r w:rsidR="2B32DBA8" w:rsidRPr="00AA3364">
        <w:rPr>
          <w:rFonts w:eastAsia="Bookman Old Style" w:cs="Bookman Old Style"/>
          <w:sz w:val="24"/>
          <w:szCs w:val="24"/>
        </w:rPr>
        <w:t>Servientrega</w:t>
      </w:r>
      <w:proofErr w:type="spellEnd"/>
      <w:r w:rsidR="2B32DBA8" w:rsidRPr="00AA3364">
        <w:rPr>
          <w:rFonts w:eastAsia="Bookman Old Style" w:cs="Bookman Old Style"/>
          <w:sz w:val="24"/>
          <w:szCs w:val="24"/>
        </w:rPr>
        <w:t xml:space="preserve"> (pág. 16-21, archivo </w:t>
      </w:r>
      <w:r w:rsidR="2B32DBA8" w:rsidRPr="00AA3364">
        <w:rPr>
          <w:rFonts w:eastAsia="Bookman Old Style" w:cs="Bookman Old Style"/>
          <w:sz w:val="24"/>
          <w:szCs w:val="24"/>
        </w:rPr>
        <w:lastRenderedPageBreak/>
        <w:t>7), refiriéndose únicamente al contenido del mensaje de datos visible en páginas posteriores (Pág. 56-57, archivo 7)</w:t>
      </w:r>
      <w:r w:rsidR="74339589" w:rsidRPr="00AA3364">
        <w:rPr>
          <w:rFonts w:eastAsia="Bookman Old Style" w:cs="Bookman Old Style"/>
          <w:sz w:val="24"/>
          <w:szCs w:val="24"/>
        </w:rPr>
        <w:t>, d</w:t>
      </w:r>
      <w:r w:rsidR="19004C62" w:rsidRPr="00AA3364">
        <w:rPr>
          <w:rFonts w:eastAsia="Bookman Old Style" w:cs="Bookman Old Style"/>
          <w:sz w:val="24"/>
          <w:szCs w:val="24"/>
        </w:rPr>
        <w:t>ocumentos</w:t>
      </w:r>
      <w:r w:rsidR="79321B2F" w:rsidRPr="00AA3364">
        <w:rPr>
          <w:rFonts w:eastAsia="Bookman Old Style" w:cs="Bookman Old Style"/>
          <w:sz w:val="24"/>
          <w:szCs w:val="24"/>
        </w:rPr>
        <w:t xml:space="preserve"> </w:t>
      </w:r>
      <w:r w:rsidR="19004C62" w:rsidRPr="00AA3364">
        <w:rPr>
          <w:rFonts w:eastAsia="Bookman Old Style" w:cs="Bookman Old Style"/>
          <w:sz w:val="24"/>
          <w:szCs w:val="24"/>
        </w:rPr>
        <w:t xml:space="preserve">respecto de los cuales, la parte pasiva al plantear el medio exceptivo, lo hizo ateniéndose a lo dicho en los hechos de la demanda primigenia, pues no le mereció ningún pronunciamiento la subsanación que trató sobre este punto en particular.  </w:t>
      </w:r>
    </w:p>
    <w:p w14:paraId="100C5C09" w14:textId="04F239CD" w:rsidR="0FEDB18B" w:rsidRPr="00AA3364" w:rsidRDefault="0FEDB18B" w:rsidP="00AA3364">
      <w:pPr>
        <w:spacing w:line="276" w:lineRule="auto"/>
        <w:ind w:firstLine="708"/>
        <w:rPr>
          <w:rFonts w:cs="Tahoma"/>
          <w:sz w:val="24"/>
          <w:szCs w:val="24"/>
        </w:rPr>
      </w:pPr>
    </w:p>
    <w:p w14:paraId="6D44CA9E" w14:textId="426092FD" w:rsidR="001F33EB" w:rsidRPr="00AA3364" w:rsidRDefault="001F33EB" w:rsidP="00AA3364">
      <w:pPr>
        <w:spacing w:line="276" w:lineRule="auto"/>
        <w:ind w:firstLine="708"/>
        <w:rPr>
          <w:rFonts w:cs="Tahoma"/>
          <w:sz w:val="24"/>
          <w:szCs w:val="24"/>
        </w:rPr>
      </w:pPr>
      <w:r w:rsidRPr="00AA3364">
        <w:rPr>
          <w:rFonts w:cs="Tahoma"/>
          <w:sz w:val="24"/>
          <w:szCs w:val="24"/>
        </w:rPr>
        <w:t xml:space="preserve">Por lo anterior, se revocará la decisión de primera instancia para en su lugar, disponer la no prosperidad del medio exceptivo y la continuidad del proceso, </w:t>
      </w:r>
      <w:r w:rsidR="56C06FE1" w:rsidRPr="00AA3364">
        <w:rPr>
          <w:rFonts w:cs="Tahoma"/>
          <w:sz w:val="24"/>
          <w:szCs w:val="24"/>
        </w:rPr>
        <w:t>al</w:t>
      </w:r>
      <w:r w:rsidR="50793282" w:rsidRPr="00AA3364">
        <w:rPr>
          <w:rFonts w:cs="Tahoma"/>
          <w:sz w:val="24"/>
          <w:szCs w:val="24"/>
        </w:rPr>
        <w:t xml:space="preserve"> </w:t>
      </w:r>
      <w:r w:rsidR="181B8AB0" w:rsidRPr="00AA3364">
        <w:rPr>
          <w:rFonts w:cs="Tahoma"/>
          <w:sz w:val="24"/>
          <w:szCs w:val="24"/>
        </w:rPr>
        <w:t xml:space="preserve">no haber más </w:t>
      </w:r>
      <w:r w:rsidR="50793282" w:rsidRPr="00AA3364">
        <w:rPr>
          <w:rFonts w:cs="Tahoma"/>
          <w:sz w:val="24"/>
          <w:szCs w:val="24"/>
        </w:rPr>
        <w:t>excepci</w:t>
      </w:r>
      <w:r w:rsidR="2D05D896" w:rsidRPr="00AA3364">
        <w:rPr>
          <w:rFonts w:cs="Tahoma"/>
          <w:sz w:val="24"/>
          <w:szCs w:val="24"/>
        </w:rPr>
        <w:t xml:space="preserve">ones previas formuladas por la demandada </w:t>
      </w:r>
      <w:r w:rsidR="3844E5F5" w:rsidRPr="00AA3364">
        <w:rPr>
          <w:rFonts w:cs="Tahoma"/>
          <w:sz w:val="24"/>
          <w:szCs w:val="24"/>
        </w:rPr>
        <w:t xml:space="preserve">y </w:t>
      </w:r>
      <w:r w:rsidR="2D05D896" w:rsidRPr="00AA3364">
        <w:rPr>
          <w:rFonts w:cs="Tahoma"/>
          <w:sz w:val="24"/>
          <w:szCs w:val="24"/>
        </w:rPr>
        <w:t xml:space="preserve">que </w:t>
      </w:r>
      <w:r w:rsidR="6A20D55C" w:rsidRPr="00AA3364">
        <w:rPr>
          <w:rFonts w:cs="Tahoma"/>
          <w:sz w:val="24"/>
          <w:szCs w:val="24"/>
        </w:rPr>
        <w:t xml:space="preserve">estuvieran pendientes de </w:t>
      </w:r>
      <w:r w:rsidR="2D05D896" w:rsidRPr="00AA3364">
        <w:rPr>
          <w:rFonts w:cs="Tahoma"/>
          <w:sz w:val="24"/>
          <w:szCs w:val="24"/>
        </w:rPr>
        <w:t>ser analizadas en p</w:t>
      </w:r>
      <w:r w:rsidR="2C801D71" w:rsidRPr="00AA3364">
        <w:rPr>
          <w:rFonts w:cs="Tahoma"/>
          <w:sz w:val="24"/>
          <w:szCs w:val="24"/>
        </w:rPr>
        <w:t>rimera instancia.</w:t>
      </w:r>
      <w:r w:rsidR="2D05D896" w:rsidRPr="00AA3364">
        <w:rPr>
          <w:rFonts w:cs="Tahoma"/>
          <w:sz w:val="24"/>
          <w:szCs w:val="24"/>
        </w:rPr>
        <w:t xml:space="preserve"> </w:t>
      </w:r>
    </w:p>
    <w:p w14:paraId="7530BE90" w14:textId="075E269E" w:rsidR="001F33EB" w:rsidRPr="00AA3364" w:rsidRDefault="001F33EB" w:rsidP="00AA3364">
      <w:pPr>
        <w:spacing w:line="276" w:lineRule="auto"/>
        <w:ind w:firstLine="708"/>
        <w:rPr>
          <w:rFonts w:cs="Tahoma"/>
          <w:sz w:val="24"/>
          <w:szCs w:val="24"/>
        </w:rPr>
      </w:pPr>
    </w:p>
    <w:p w14:paraId="50B2C540" w14:textId="5D776611" w:rsidR="001F33EB" w:rsidRPr="00AA3364" w:rsidRDefault="50793282" w:rsidP="00AA3364">
      <w:pPr>
        <w:spacing w:line="276" w:lineRule="auto"/>
        <w:ind w:firstLine="708"/>
        <w:rPr>
          <w:rFonts w:cs="Tahoma"/>
          <w:sz w:val="24"/>
          <w:szCs w:val="24"/>
        </w:rPr>
      </w:pPr>
      <w:r w:rsidRPr="00AA3364">
        <w:rPr>
          <w:rFonts w:cs="Tahoma"/>
          <w:sz w:val="24"/>
          <w:szCs w:val="24"/>
        </w:rPr>
        <w:t xml:space="preserve">Por el trámite, se condenará </w:t>
      </w:r>
      <w:r w:rsidR="001F33EB" w:rsidRPr="00AA3364">
        <w:rPr>
          <w:rFonts w:cs="Tahoma"/>
          <w:sz w:val="24"/>
          <w:szCs w:val="24"/>
        </w:rPr>
        <w:t>a la demandada en costas en ambas instancias.</w:t>
      </w:r>
    </w:p>
    <w:p w14:paraId="52002A24" w14:textId="77777777" w:rsidR="00C4500F" w:rsidRPr="00AA3364" w:rsidRDefault="00C4500F" w:rsidP="00AA3364">
      <w:pPr>
        <w:spacing w:line="276" w:lineRule="auto"/>
        <w:ind w:firstLine="708"/>
        <w:rPr>
          <w:rFonts w:cs="Tahoma"/>
          <w:sz w:val="24"/>
          <w:szCs w:val="24"/>
        </w:rPr>
      </w:pPr>
    </w:p>
    <w:p w14:paraId="35D71A4A" w14:textId="77777777" w:rsidR="00D5288A" w:rsidRPr="00AA3364" w:rsidRDefault="00D5288A" w:rsidP="00AA3364">
      <w:pPr>
        <w:spacing w:line="276" w:lineRule="auto"/>
        <w:rPr>
          <w:sz w:val="24"/>
          <w:szCs w:val="24"/>
        </w:rPr>
      </w:pPr>
      <w:r w:rsidRPr="00AA3364">
        <w:rPr>
          <w:sz w:val="24"/>
          <w:szCs w:val="24"/>
        </w:rPr>
        <w:t xml:space="preserve">En mérito de lo expuesto, el </w:t>
      </w:r>
      <w:r w:rsidRPr="00AA3364">
        <w:rPr>
          <w:b/>
          <w:sz w:val="24"/>
          <w:szCs w:val="24"/>
        </w:rPr>
        <w:t>Tribunal Superior del Distrito Judicial de Pereira (Risaralda), Sala de Decisión Laboral</w:t>
      </w:r>
      <w:r w:rsidRPr="00AA3364">
        <w:rPr>
          <w:sz w:val="24"/>
          <w:szCs w:val="24"/>
        </w:rPr>
        <w:t xml:space="preserve">, </w:t>
      </w:r>
    </w:p>
    <w:p w14:paraId="18184D25" w14:textId="77777777" w:rsidR="00D5288A" w:rsidRPr="00AA3364" w:rsidRDefault="00D5288A" w:rsidP="00AA3364">
      <w:pPr>
        <w:spacing w:line="276" w:lineRule="auto"/>
        <w:rPr>
          <w:sz w:val="24"/>
          <w:szCs w:val="24"/>
        </w:rPr>
      </w:pPr>
    </w:p>
    <w:p w14:paraId="77544A1F" w14:textId="77777777" w:rsidR="00D5288A" w:rsidRPr="00AA3364" w:rsidRDefault="00D5288A" w:rsidP="00693019">
      <w:pPr>
        <w:spacing w:line="276" w:lineRule="auto"/>
        <w:ind w:firstLine="0"/>
        <w:jc w:val="center"/>
        <w:rPr>
          <w:b/>
          <w:bCs/>
          <w:sz w:val="24"/>
          <w:szCs w:val="24"/>
        </w:rPr>
      </w:pPr>
      <w:r w:rsidRPr="00AA3364">
        <w:rPr>
          <w:b/>
          <w:bCs/>
          <w:sz w:val="24"/>
          <w:szCs w:val="24"/>
        </w:rPr>
        <w:t>RESUELVE:</w:t>
      </w:r>
    </w:p>
    <w:p w14:paraId="77AC849D" w14:textId="77777777" w:rsidR="00D5288A" w:rsidRPr="00AA3364" w:rsidRDefault="00D5288A" w:rsidP="00AA3364">
      <w:pPr>
        <w:spacing w:line="276" w:lineRule="auto"/>
        <w:rPr>
          <w:b/>
          <w:bCs/>
          <w:sz w:val="24"/>
          <w:szCs w:val="24"/>
        </w:rPr>
      </w:pPr>
    </w:p>
    <w:p w14:paraId="4164CB3C" w14:textId="3044A618" w:rsidR="00D5288A" w:rsidRPr="00AA3364" w:rsidRDefault="00D5288A" w:rsidP="00AA3364">
      <w:pPr>
        <w:spacing w:line="276" w:lineRule="auto"/>
        <w:rPr>
          <w:rFonts w:cs="Tahoma"/>
          <w:sz w:val="24"/>
          <w:szCs w:val="24"/>
        </w:rPr>
      </w:pPr>
      <w:r w:rsidRPr="00AA3364">
        <w:rPr>
          <w:rFonts w:cs="Tahoma"/>
          <w:b/>
          <w:bCs/>
          <w:sz w:val="24"/>
          <w:szCs w:val="24"/>
        </w:rPr>
        <w:t>PRIMERO:</w:t>
      </w:r>
      <w:r w:rsidRPr="00AA3364">
        <w:rPr>
          <w:rFonts w:cs="Tahoma"/>
          <w:sz w:val="24"/>
          <w:szCs w:val="24"/>
        </w:rPr>
        <w:t xml:space="preserve"> </w:t>
      </w:r>
      <w:r w:rsidRPr="00AA3364">
        <w:rPr>
          <w:rFonts w:cs="Tahoma"/>
          <w:b/>
          <w:bCs/>
          <w:sz w:val="24"/>
          <w:szCs w:val="24"/>
        </w:rPr>
        <w:t xml:space="preserve">REVOCAR </w:t>
      </w:r>
      <w:r w:rsidR="00021116" w:rsidRPr="00AA3364">
        <w:rPr>
          <w:rFonts w:cs="Tahoma"/>
          <w:sz w:val="24"/>
          <w:szCs w:val="24"/>
        </w:rPr>
        <w:t>en su integridad</w:t>
      </w:r>
      <w:r w:rsidR="00021116" w:rsidRPr="00AA3364">
        <w:rPr>
          <w:rFonts w:cs="Tahoma"/>
          <w:b/>
          <w:bCs/>
          <w:sz w:val="24"/>
          <w:szCs w:val="24"/>
        </w:rPr>
        <w:t xml:space="preserve"> </w:t>
      </w:r>
      <w:r w:rsidRPr="00AA3364">
        <w:rPr>
          <w:rFonts w:cs="Tahoma"/>
          <w:sz w:val="24"/>
          <w:szCs w:val="24"/>
        </w:rPr>
        <w:t xml:space="preserve">el auto del 17 de julio de 2023 </w:t>
      </w:r>
      <w:r w:rsidR="00021116" w:rsidRPr="00AA3364">
        <w:rPr>
          <w:rFonts w:cs="Tahoma"/>
          <w:sz w:val="24"/>
          <w:szCs w:val="24"/>
        </w:rPr>
        <w:t xml:space="preserve">del </w:t>
      </w:r>
      <w:r w:rsidR="003E7DDE" w:rsidRPr="00AA3364">
        <w:rPr>
          <w:rFonts w:cs="Tahoma"/>
          <w:sz w:val="24"/>
          <w:szCs w:val="24"/>
        </w:rPr>
        <w:t xml:space="preserve">Juzgado Primero Laboral </w:t>
      </w:r>
      <w:r w:rsidR="00021116" w:rsidRPr="00AA3364">
        <w:rPr>
          <w:rFonts w:cs="Tahoma"/>
          <w:sz w:val="24"/>
          <w:szCs w:val="24"/>
        </w:rPr>
        <w:t xml:space="preserve">del </w:t>
      </w:r>
      <w:r w:rsidR="003E7DDE" w:rsidRPr="00AA3364">
        <w:rPr>
          <w:rFonts w:cs="Tahoma"/>
          <w:sz w:val="24"/>
          <w:szCs w:val="24"/>
        </w:rPr>
        <w:t xml:space="preserve">Circuito </w:t>
      </w:r>
      <w:r w:rsidR="00021116" w:rsidRPr="00AA3364">
        <w:rPr>
          <w:rFonts w:cs="Tahoma"/>
          <w:sz w:val="24"/>
          <w:szCs w:val="24"/>
        </w:rPr>
        <w:t>de Pereira.</w:t>
      </w:r>
    </w:p>
    <w:p w14:paraId="0243423F" w14:textId="77777777" w:rsidR="00021116" w:rsidRPr="00AA3364" w:rsidRDefault="00021116" w:rsidP="00AA3364">
      <w:pPr>
        <w:spacing w:line="276" w:lineRule="auto"/>
        <w:ind w:firstLine="0"/>
        <w:rPr>
          <w:rFonts w:cs="Tahoma"/>
          <w:sz w:val="24"/>
          <w:szCs w:val="24"/>
        </w:rPr>
      </w:pPr>
    </w:p>
    <w:p w14:paraId="6671035A" w14:textId="020D4968" w:rsidR="00D5288A" w:rsidRPr="00AA3364" w:rsidRDefault="00021116" w:rsidP="00AA3364">
      <w:pPr>
        <w:spacing w:line="276" w:lineRule="auto"/>
        <w:rPr>
          <w:rFonts w:cs="Tahoma"/>
          <w:sz w:val="24"/>
          <w:szCs w:val="24"/>
        </w:rPr>
      </w:pPr>
      <w:r w:rsidRPr="00AA3364">
        <w:rPr>
          <w:rFonts w:cs="Tahoma"/>
          <w:b/>
          <w:bCs/>
          <w:sz w:val="24"/>
          <w:szCs w:val="24"/>
        </w:rPr>
        <w:t>SEGUNDO: DECLARAR</w:t>
      </w:r>
      <w:r w:rsidRPr="00AA3364">
        <w:rPr>
          <w:rFonts w:cs="Tahoma"/>
          <w:sz w:val="24"/>
          <w:szCs w:val="24"/>
        </w:rPr>
        <w:t xml:space="preserve"> no probada </w:t>
      </w:r>
      <w:r w:rsidR="00D5288A" w:rsidRPr="00AA3364">
        <w:rPr>
          <w:rFonts w:cs="Tahoma"/>
          <w:sz w:val="24"/>
          <w:szCs w:val="24"/>
        </w:rPr>
        <w:t xml:space="preserve">la excepción previa de falta de competencia por ausencia de reclamación administrativa, alegada por </w:t>
      </w:r>
      <w:r w:rsidR="00954D62" w:rsidRPr="00AA3364">
        <w:rPr>
          <w:rFonts w:cs="Tahoma"/>
          <w:sz w:val="24"/>
          <w:szCs w:val="24"/>
        </w:rPr>
        <w:t>Positiva Compañía de Seguros S.A</w:t>
      </w:r>
      <w:r w:rsidR="00D5288A" w:rsidRPr="00AA3364">
        <w:rPr>
          <w:rFonts w:cs="Tahoma"/>
          <w:sz w:val="24"/>
          <w:szCs w:val="24"/>
        </w:rPr>
        <w:t xml:space="preserve">. </w:t>
      </w:r>
      <w:proofErr w:type="gramStart"/>
      <w:r w:rsidR="00954D62" w:rsidRPr="00AA3364">
        <w:rPr>
          <w:rFonts w:cs="Tahoma"/>
          <w:sz w:val="24"/>
          <w:szCs w:val="24"/>
        </w:rPr>
        <w:t>y</w:t>
      </w:r>
      <w:proofErr w:type="gramEnd"/>
      <w:r w:rsidR="00954D62" w:rsidRPr="00AA3364">
        <w:rPr>
          <w:rFonts w:cs="Tahoma"/>
          <w:sz w:val="24"/>
          <w:szCs w:val="24"/>
        </w:rPr>
        <w:t xml:space="preserve"> por tanto, se dispone la continuidad del proceso.</w:t>
      </w:r>
    </w:p>
    <w:p w14:paraId="189A7B53" w14:textId="77777777" w:rsidR="00D5288A" w:rsidRPr="00AA3364" w:rsidRDefault="00D5288A" w:rsidP="00AA3364">
      <w:pPr>
        <w:spacing w:line="276" w:lineRule="auto"/>
        <w:ind w:firstLine="0"/>
        <w:rPr>
          <w:rFonts w:cs="Tahoma"/>
          <w:sz w:val="24"/>
          <w:szCs w:val="24"/>
        </w:rPr>
      </w:pPr>
    </w:p>
    <w:p w14:paraId="7979DAA4" w14:textId="2DA5FE92" w:rsidR="00D5288A" w:rsidRPr="00AA3364" w:rsidRDefault="00954D62" w:rsidP="00AA3364">
      <w:pPr>
        <w:spacing w:line="276" w:lineRule="auto"/>
        <w:rPr>
          <w:sz w:val="24"/>
          <w:szCs w:val="24"/>
        </w:rPr>
      </w:pPr>
      <w:r w:rsidRPr="00AA3364">
        <w:rPr>
          <w:b/>
          <w:bCs/>
          <w:sz w:val="24"/>
          <w:szCs w:val="24"/>
        </w:rPr>
        <w:t>TERCERO</w:t>
      </w:r>
      <w:r w:rsidR="00D5288A" w:rsidRPr="00AA3364">
        <w:rPr>
          <w:b/>
          <w:bCs/>
          <w:sz w:val="24"/>
          <w:szCs w:val="24"/>
        </w:rPr>
        <w:t>: COSTAS</w:t>
      </w:r>
      <w:r w:rsidR="00D5288A" w:rsidRPr="00AA3364">
        <w:rPr>
          <w:sz w:val="24"/>
          <w:szCs w:val="24"/>
        </w:rPr>
        <w:t xml:space="preserve"> en ambas instancias a cargo de Positiva S.A. y a favor de la parte actora.</w:t>
      </w:r>
    </w:p>
    <w:p w14:paraId="09E7C7A4" w14:textId="77777777" w:rsidR="00FD2250" w:rsidRPr="00AA3364" w:rsidRDefault="00FD2250" w:rsidP="00AA3364">
      <w:pPr>
        <w:spacing w:line="276" w:lineRule="auto"/>
        <w:rPr>
          <w:sz w:val="24"/>
          <w:szCs w:val="24"/>
        </w:rPr>
      </w:pPr>
    </w:p>
    <w:p w14:paraId="640C9FBD" w14:textId="6EA2038C" w:rsidR="00FD2250" w:rsidRPr="00AA3364" w:rsidRDefault="00FD2250" w:rsidP="00AA3364">
      <w:pPr>
        <w:spacing w:line="276" w:lineRule="auto"/>
        <w:rPr>
          <w:sz w:val="24"/>
          <w:szCs w:val="24"/>
        </w:rPr>
      </w:pPr>
      <w:r w:rsidRPr="00AA3364">
        <w:rPr>
          <w:b/>
          <w:bCs/>
          <w:sz w:val="24"/>
          <w:szCs w:val="24"/>
        </w:rPr>
        <w:t xml:space="preserve">CUARTO: </w:t>
      </w:r>
      <w:r w:rsidRPr="00AA3364">
        <w:rPr>
          <w:sz w:val="24"/>
          <w:szCs w:val="24"/>
        </w:rPr>
        <w:t>Una vez ejecutoriada esta providencia, devuélvase el expediente al Juzgado de origen.</w:t>
      </w:r>
    </w:p>
    <w:p w14:paraId="54C6ACF4" w14:textId="77777777" w:rsidR="00FD2250" w:rsidRPr="00AA3364" w:rsidRDefault="00FD2250" w:rsidP="00AA3364">
      <w:pPr>
        <w:spacing w:line="276" w:lineRule="auto"/>
        <w:rPr>
          <w:b/>
          <w:bCs/>
          <w:sz w:val="24"/>
          <w:szCs w:val="24"/>
          <w:lang w:val="es-ES_tradnl"/>
        </w:rPr>
      </w:pPr>
    </w:p>
    <w:p w14:paraId="773AC453" w14:textId="52D7EB41" w:rsidR="00D5288A" w:rsidRPr="00AA3364" w:rsidRDefault="001D1818" w:rsidP="00AA3364">
      <w:pPr>
        <w:spacing w:line="276" w:lineRule="auto"/>
        <w:ind w:firstLine="0"/>
        <w:jc w:val="center"/>
        <w:rPr>
          <w:rStyle w:val="normaltextrun"/>
          <w:b/>
          <w:sz w:val="24"/>
          <w:szCs w:val="24"/>
        </w:rPr>
      </w:pPr>
      <w:r w:rsidRPr="00AA3364">
        <w:rPr>
          <w:rStyle w:val="normaltextrun"/>
          <w:b/>
          <w:sz w:val="24"/>
          <w:szCs w:val="24"/>
        </w:rPr>
        <w:t>NOTIFÍQUESE Y CÚMPLASE.</w:t>
      </w:r>
    </w:p>
    <w:p w14:paraId="629B0818" w14:textId="77777777" w:rsidR="00AA3364" w:rsidRPr="00AA3364" w:rsidRDefault="00AA3364" w:rsidP="00AA3364">
      <w:pPr>
        <w:spacing w:line="276" w:lineRule="auto"/>
        <w:ind w:firstLine="0"/>
        <w:rPr>
          <w:rFonts w:eastAsia="Century Gothic"/>
          <w:color w:val="000000"/>
          <w:kern w:val="2"/>
          <w:sz w:val="24"/>
          <w:szCs w:val="24"/>
        </w:rPr>
      </w:pPr>
    </w:p>
    <w:p w14:paraId="709261D3" w14:textId="77777777" w:rsidR="00AA3364" w:rsidRPr="00AA3364" w:rsidRDefault="00AA3364" w:rsidP="00AA3364">
      <w:pPr>
        <w:spacing w:line="276" w:lineRule="auto"/>
        <w:ind w:firstLine="0"/>
        <w:rPr>
          <w:rFonts w:eastAsia="Arial Unicode MS"/>
          <w:color w:val="000000"/>
          <w:kern w:val="2"/>
          <w:sz w:val="24"/>
          <w:szCs w:val="24"/>
        </w:rPr>
      </w:pPr>
      <w:r w:rsidRPr="00AA3364">
        <w:rPr>
          <w:rFonts w:eastAsia="Century Gothic"/>
          <w:color w:val="000000"/>
          <w:kern w:val="2"/>
          <w:sz w:val="24"/>
          <w:szCs w:val="24"/>
        </w:rPr>
        <w:t>Los Magistrados</w:t>
      </w:r>
      <w:r w:rsidRPr="00AA3364">
        <w:rPr>
          <w:rFonts w:eastAsia="Arial Unicode MS"/>
          <w:color w:val="000000"/>
          <w:kern w:val="2"/>
          <w:sz w:val="24"/>
          <w:szCs w:val="24"/>
        </w:rPr>
        <w:t>,</w:t>
      </w:r>
    </w:p>
    <w:p w14:paraId="3ABFC514" w14:textId="77777777" w:rsidR="00AA3364" w:rsidRPr="00AA3364" w:rsidRDefault="00AA3364" w:rsidP="00AA3364">
      <w:pPr>
        <w:spacing w:line="276" w:lineRule="auto"/>
        <w:ind w:firstLine="0"/>
        <w:rPr>
          <w:rFonts w:eastAsia="Arial Unicode MS"/>
          <w:color w:val="000000"/>
          <w:kern w:val="2"/>
          <w:sz w:val="24"/>
          <w:szCs w:val="24"/>
        </w:rPr>
      </w:pPr>
    </w:p>
    <w:p w14:paraId="69F8599E" w14:textId="77777777" w:rsidR="00AA3364" w:rsidRPr="00AA3364" w:rsidRDefault="00AA3364" w:rsidP="00AA3364">
      <w:pPr>
        <w:spacing w:line="276" w:lineRule="auto"/>
        <w:ind w:firstLine="0"/>
        <w:rPr>
          <w:rFonts w:eastAsia="Arial Unicode MS"/>
          <w:color w:val="000000"/>
          <w:kern w:val="2"/>
          <w:sz w:val="24"/>
          <w:szCs w:val="24"/>
        </w:rPr>
      </w:pPr>
    </w:p>
    <w:p w14:paraId="7792FBEE" w14:textId="77777777" w:rsidR="00AA3364" w:rsidRPr="00AA3364" w:rsidRDefault="00AA3364" w:rsidP="00AA3364">
      <w:pPr>
        <w:spacing w:line="276" w:lineRule="auto"/>
        <w:ind w:firstLine="0"/>
        <w:jc w:val="center"/>
        <w:rPr>
          <w:rFonts w:eastAsia="Arial Unicode MS"/>
          <w:b/>
          <w:bCs/>
          <w:color w:val="000000"/>
          <w:kern w:val="2"/>
          <w:sz w:val="24"/>
          <w:szCs w:val="24"/>
        </w:rPr>
      </w:pPr>
      <w:r w:rsidRPr="00AA3364">
        <w:rPr>
          <w:rFonts w:eastAsia="Arial Unicode MS"/>
          <w:b/>
          <w:bCs/>
          <w:color w:val="000000"/>
          <w:kern w:val="2"/>
          <w:sz w:val="24"/>
          <w:szCs w:val="24"/>
        </w:rPr>
        <w:t xml:space="preserve">GERMÁN DARÍO </w:t>
      </w:r>
      <w:proofErr w:type="spellStart"/>
      <w:r w:rsidRPr="00AA3364">
        <w:rPr>
          <w:rFonts w:eastAsia="Arial Unicode MS"/>
          <w:b/>
          <w:bCs/>
          <w:color w:val="000000"/>
          <w:kern w:val="2"/>
          <w:sz w:val="24"/>
          <w:szCs w:val="24"/>
        </w:rPr>
        <w:t>GÓEZ</w:t>
      </w:r>
      <w:proofErr w:type="spellEnd"/>
      <w:r w:rsidRPr="00AA3364">
        <w:rPr>
          <w:rFonts w:eastAsia="Arial Unicode MS"/>
          <w:b/>
          <w:bCs/>
          <w:color w:val="000000"/>
          <w:kern w:val="2"/>
          <w:sz w:val="24"/>
          <w:szCs w:val="24"/>
        </w:rPr>
        <w:t xml:space="preserve"> </w:t>
      </w:r>
      <w:proofErr w:type="spellStart"/>
      <w:r w:rsidRPr="00AA3364">
        <w:rPr>
          <w:rFonts w:eastAsia="Arial Unicode MS"/>
          <w:b/>
          <w:bCs/>
          <w:color w:val="000000"/>
          <w:kern w:val="2"/>
          <w:sz w:val="24"/>
          <w:szCs w:val="24"/>
        </w:rPr>
        <w:t>VINASCO</w:t>
      </w:r>
      <w:proofErr w:type="spellEnd"/>
    </w:p>
    <w:p w14:paraId="5CD7CB20" w14:textId="77777777" w:rsidR="00AA3364" w:rsidRPr="00AA3364" w:rsidRDefault="00AA3364" w:rsidP="00AA3364">
      <w:pPr>
        <w:spacing w:line="276" w:lineRule="auto"/>
        <w:ind w:firstLine="0"/>
        <w:jc w:val="center"/>
        <w:rPr>
          <w:rFonts w:eastAsia="Arial Unicode MS"/>
          <w:color w:val="000000"/>
          <w:kern w:val="2"/>
          <w:sz w:val="24"/>
          <w:szCs w:val="24"/>
        </w:rPr>
      </w:pPr>
      <w:r w:rsidRPr="00AA3364">
        <w:rPr>
          <w:rFonts w:eastAsia="Arial Unicode MS"/>
          <w:color w:val="000000"/>
          <w:kern w:val="2"/>
          <w:sz w:val="24"/>
          <w:szCs w:val="24"/>
        </w:rPr>
        <w:t>Magistrado ponente</w:t>
      </w:r>
    </w:p>
    <w:p w14:paraId="5D987998" w14:textId="77777777" w:rsidR="00AA3364" w:rsidRPr="00AA3364" w:rsidRDefault="00AA3364" w:rsidP="00AA3364">
      <w:pPr>
        <w:spacing w:line="276" w:lineRule="auto"/>
        <w:ind w:firstLine="0"/>
        <w:rPr>
          <w:rFonts w:eastAsia="Arial Unicode MS"/>
          <w:color w:val="000000"/>
          <w:kern w:val="2"/>
          <w:sz w:val="24"/>
          <w:szCs w:val="24"/>
        </w:rPr>
      </w:pPr>
    </w:p>
    <w:p w14:paraId="3D7D966F" w14:textId="77777777" w:rsidR="00AA3364" w:rsidRPr="00AA3364" w:rsidRDefault="00AA3364" w:rsidP="00AA3364">
      <w:pPr>
        <w:spacing w:line="276" w:lineRule="auto"/>
        <w:ind w:firstLine="0"/>
        <w:rPr>
          <w:rFonts w:eastAsia="Arial Unicode MS"/>
          <w:color w:val="000000"/>
          <w:kern w:val="2"/>
          <w:sz w:val="24"/>
          <w:szCs w:val="24"/>
        </w:rPr>
      </w:pPr>
    </w:p>
    <w:p w14:paraId="1600EE7A" w14:textId="77777777" w:rsidR="00AA3364" w:rsidRPr="00AA3364" w:rsidRDefault="00AA3364" w:rsidP="00AA3364">
      <w:pPr>
        <w:spacing w:line="276" w:lineRule="auto"/>
        <w:ind w:firstLine="0"/>
        <w:jc w:val="center"/>
        <w:rPr>
          <w:rFonts w:eastAsia="Arial Unicode MS"/>
          <w:b/>
          <w:bCs/>
          <w:color w:val="000000"/>
          <w:kern w:val="2"/>
          <w:sz w:val="24"/>
          <w:szCs w:val="24"/>
        </w:rPr>
      </w:pPr>
      <w:r w:rsidRPr="00AA3364">
        <w:rPr>
          <w:rFonts w:eastAsia="Arial Unicode MS"/>
          <w:b/>
          <w:bCs/>
          <w:color w:val="000000"/>
          <w:kern w:val="2"/>
          <w:sz w:val="24"/>
          <w:szCs w:val="24"/>
        </w:rPr>
        <w:t>OLGA LUCIA HOYOS SEPÚLVEDA</w:t>
      </w:r>
    </w:p>
    <w:p w14:paraId="3CC9831B" w14:textId="77777777" w:rsidR="00AA3364" w:rsidRPr="00AA3364" w:rsidRDefault="00AA3364" w:rsidP="00AA3364">
      <w:pPr>
        <w:spacing w:line="276" w:lineRule="auto"/>
        <w:ind w:firstLine="0"/>
        <w:jc w:val="center"/>
        <w:rPr>
          <w:rFonts w:eastAsia="Arial Unicode MS"/>
          <w:color w:val="000000"/>
          <w:kern w:val="2"/>
          <w:sz w:val="24"/>
          <w:szCs w:val="24"/>
        </w:rPr>
      </w:pPr>
      <w:r w:rsidRPr="00AA3364">
        <w:rPr>
          <w:rFonts w:eastAsia="Arial Unicode MS"/>
          <w:color w:val="000000"/>
          <w:kern w:val="2"/>
          <w:sz w:val="24"/>
          <w:szCs w:val="24"/>
        </w:rPr>
        <w:t xml:space="preserve">Magistrada </w:t>
      </w:r>
    </w:p>
    <w:p w14:paraId="19B772E9" w14:textId="77777777" w:rsidR="00AA3364" w:rsidRPr="00AA3364" w:rsidRDefault="00AA3364" w:rsidP="00AA3364">
      <w:pPr>
        <w:spacing w:line="276" w:lineRule="auto"/>
        <w:ind w:firstLine="0"/>
        <w:jc w:val="center"/>
        <w:rPr>
          <w:rFonts w:eastAsia="Arial Unicode MS"/>
          <w:b/>
          <w:bCs/>
          <w:color w:val="000000"/>
          <w:kern w:val="2"/>
          <w:sz w:val="24"/>
          <w:szCs w:val="24"/>
        </w:rPr>
      </w:pPr>
    </w:p>
    <w:p w14:paraId="2DC00ECA" w14:textId="77777777" w:rsidR="00AA3364" w:rsidRPr="00AA3364" w:rsidRDefault="00AA3364" w:rsidP="00AA3364">
      <w:pPr>
        <w:spacing w:line="276" w:lineRule="auto"/>
        <w:ind w:firstLine="0"/>
        <w:jc w:val="center"/>
        <w:rPr>
          <w:rFonts w:eastAsia="Arial Unicode MS"/>
          <w:b/>
          <w:bCs/>
          <w:color w:val="000000"/>
          <w:kern w:val="2"/>
          <w:sz w:val="24"/>
          <w:szCs w:val="24"/>
        </w:rPr>
      </w:pPr>
    </w:p>
    <w:p w14:paraId="3C04336D" w14:textId="77777777" w:rsidR="00AA3364" w:rsidRPr="00AA3364" w:rsidRDefault="00AA3364" w:rsidP="00AA3364">
      <w:pPr>
        <w:spacing w:line="276" w:lineRule="auto"/>
        <w:ind w:firstLine="0"/>
        <w:jc w:val="center"/>
        <w:rPr>
          <w:rFonts w:eastAsia="Arial Unicode MS"/>
          <w:b/>
          <w:bCs/>
          <w:color w:val="000000"/>
          <w:kern w:val="2"/>
          <w:sz w:val="24"/>
          <w:szCs w:val="24"/>
        </w:rPr>
      </w:pPr>
      <w:r w:rsidRPr="00AA3364">
        <w:rPr>
          <w:rFonts w:eastAsia="Arial Unicode MS"/>
          <w:b/>
          <w:bCs/>
          <w:color w:val="000000"/>
          <w:kern w:val="2"/>
          <w:sz w:val="24"/>
          <w:szCs w:val="24"/>
        </w:rPr>
        <w:t>JULIO CÉSAR SALAZAR MUÑOZ</w:t>
      </w:r>
    </w:p>
    <w:p w14:paraId="474B243D" w14:textId="2EE83178" w:rsidR="00EF14A8" w:rsidRPr="00520BC8" w:rsidRDefault="00AA3364" w:rsidP="00520BC8">
      <w:pPr>
        <w:spacing w:line="276" w:lineRule="auto"/>
        <w:ind w:firstLine="0"/>
        <w:jc w:val="center"/>
        <w:rPr>
          <w:rFonts w:eastAsia="Century Gothic"/>
          <w:b/>
          <w:bCs/>
          <w:color w:val="000000"/>
          <w:kern w:val="2"/>
          <w:sz w:val="24"/>
          <w:szCs w:val="24"/>
        </w:rPr>
      </w:pPr>
      <w:r w:rsidRPr="00AA3364">
        <w:rPr>
          <w:rFonts w:eastAsia="Arial Unicode MS"/>
          <w:color w:val="000000"/>
          <w:kern w:val="2"/>
          <w:sz w:val="24"/>
          <w:szCs w:val="24"/>
        </w:rPr>
        <w:t>Magistrado</w:t>
      </w:r>
      <w:bookmarkStart w:id="2" w:name="_GoBack"/>
      <w:bookmarkEnd w:id="2"/>
    </w:p>
    <w:sectPr w:rsidR="00EF14A8" w:rsidRPr="00520BC8" w:rsidSect="00AA3364">
      <w:headerReference w:type="default" r:id="rId15"/>
      <w:footerReference w:type="default" r:id="rId16"/>
      <w:pgSz w:w="12242" w:h="18722" w:code="258"/>
      <w:pgMar w:top="1871" w:right="1304" w:bottom="1304" w:left="1871" w:header="567" w:footer="567" w:gutter="0"/>
      <w:cols w:space="708"/>
      <w:titlePg/>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C256BF" w16cex:dateUtc="2023-11-10T18:43:43.108Z"/>
  <w16cex:commentExtensible w16cex:durableId="61571DA4" w16cex:dateUtc="2023-11-14T13:30:15.103Z"/>
  <w16cex:commentExtensible w16cex:durableId="58534EC5" w16cex:dateUtc="2023-11-14T13:35:49.207Z"/>
  <w16cex:commentExtensible w16cex:durableId="06C1774D" w16cex:dateUtc="2023-11-14T15:58:33.951Z"/>
  <w16cex:commentExtensible w16cex:durableId="30CCCF11" w16cex:dateUtc="2023-11-17T14:49:27.187Z"/>
  <w16cex:commentExtensible w16cex:durableId="2999C5C1" w16cex:dateUtc="2023-11-17T17:01:54.409Z"/>
  <w16cex:commentExtensible w16cex:durableId="5863824F" w16cex:dateUtc="2023-11-20T18:57:26.8Z"/>
  <w16cex:commentExtensible w16cex:durableId="7C135E35" w16cex:dateUtc="2023-11-20T19:01:48.412Z"/>
</w16cex:commentsExtensible>
</file>

<file path=word/commentsIds.xml><?xml version="1.0" encoding="utf-8"?>
<w16cid:commentsIds xmlns:mc="http://schemas.openxmlformats.org/markup-compatibility/2006" xmlns:w16cid="http://schemas.microsoft.com/office/word/2016/wordml/cid" mc:Ignorable="w16cid">
  <w16cid:commentId w16cid:paraId="4C95EE7E" w16cid:durableId="39C256BF"/>
  <w16cid:commentId w16cid:paraId="1F741C79" w16cid:durableId="61571DA4"/>
  <w16cid:commentId w16cid:paraId="4D83C2F4" w16cid:durableId="58534EC5"/>
  <w16cid:commentId w16cid:paraId="56B50F31" w16cid:durableId="06C1774D"/>
  <w16cid:commentId w16cid:paraId="4A60BD8C" w16cid:durableId="30CCCF11"/>
  <w16cid:commentId w16cid:paraId="619A5914" w16cid:durableId="2999C5C1"/>
  <w16cid:commentId w16cid:paraId="5D0990B6" w16cid:durableId="5863824F"/>
  <w16cid:commentId w16cid:paraId="497B3BDA" w16cid:durableId="7C135E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6165" w14:textId="77777777" w:rsidR="009B4A03" w:rsidRDefault="009B4A03" w:rsidP="0017277B">
      <w:pPr>
        <w:spacing w:line="240" w:lineRule="auto"/>
      </w:pPr>
      <w:r>
        <w:separator/>
      </w:r>
    </w:p>
  </w:endnote>
  <w:endnote w:type="continuationSeparator" w:id="0">
    <w:p w14:paraId="671AA8E9" w14:textId="77777777" w:rsidR="009B4A03" w:rsidRDefault="009B4A03" w:rsidP="00172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Pro Cond">
    <w:altName w:val="Arial"/>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11347" w14:textId="77777777" w:rsidR="004F0603" w:rsidRPr="001D2AA8" w:rsidRDefault="004F0603" w:rsidP="004F0603">
    <w:pPr>
      <w:pStyle w:val="Encabezado"/>
      <w:tabs>
        <w:tab w:val="clear" w:pos="4419"/>
        <w:tab w:val="clear" w:pos="8838"/>
        <w:tab w:val="left" w:pos="1134"/>
      </w:tabs>
      <w:ind w:left="2127" w:right="1610" w:firstLine="0"/>
      <w:jc w:val="center"/>
      <w:rPr>
        <w:rFonts w:ascii="Verdana Pro Cond" w:hAnsi="Verdana Pro Cond"/>
        <w:color w:val="3B3838"/>
        <w:sz w:val="16"/>
        <w:szCs w:val="16"/>
        <w:lang w:val="es-ES"/>
      </w:rPr>
    </w:pPr>
  </w:p>
  <w:p w14:paraId="7544DB74" w14:textId="4D37D4F1" w:rsidR="0017277B" w:rsidRPr="001D2AA8" w:rsidRDefault="0017277B" w:rsidP="00693019">
    <w:pPr>
      <w:pStyle w:val="Encabezado"/>
      <w:pBdr>
        <w:top w:val="double" w:sz="4" w:space="1" w:color="002060"/>
      </w:pBdr>
      <w:tabs>
        <w:tab w:val="clear" w:pos="4419"/>
        <w:tab w:val="clear" w:pos="8838"/>
        <w:tab w:val="left" w:pos="1134"/>
      </w:tabs>
      <w:ind w:left="2127" w:right="1610" w:firstLine="0"/>
      <w:jc w:val="center"/>
      <w:rPr>
        <w:rFonts w:ascii="Arial" w:hAnsi="Arial"/>
        <w:b/>
        <w:bCs/>
        <w:color w:val="3B3838"/>
        <w:sz w:val="18"/>
        <w:szCs w:val="16"/>
      </w:rPr>
    </w:pPr>
    <w:r w:rsidRPr="001D2AA8">
      <w:rPr>
        <w:rFonts w:ascii="Arial" w:hAnsi="Arial"/>
        <w:color w:val="3B3838"/>
        <w:sz w:val="18"/>
        <w:szCs w:val="16"/>
        <w:lang w:val="es-ES"/>
      </w:rPr>
      <w:t xml:space="preserve">Página </w:t>
    </w:r>
    <w:r w:rsidRPr="001D2AA8">
      <w:rPr>
        <w:rFonts w:ascii="Arial" w:hAnsi="Arial"/>
        <w:b/>
        <w:bCs/>
        <w:color w:val="3B3838"/>
        <w:sz w:val="18"/>
        <w:szCs w:val="16"/>
      </w:rPr>
      <w:fldChar w:fldCharType="begin"/>
    </w:r>
    <w:r w:rsidRPr="001D2AA8">
      <w:rPr>
        <w:rFonts w:ascii="Arial" w:hAnsi="Arial"/>
        <w:b/>
        <w:bCs/>
        <w:color w:val="3B3838"/>
        <w:sz w:val="18"/>
        <w:szCs w:val="16"/>
      </w:rPr>
      <w:instrText>PAGE  \* Arabic  \* MERGEFORMAT</w:instrText>
    </w:r>
    <w:r w:rsidRPr="001D2AA8">
      <w:rPr>
        <w:rFonts w:ascii="Arial" w:hAnsi="Arial"/>
        <w:b/>
        <w:bCs/>
        <w:color w:val="3B3838"/>
        <w:sz w:val="18"/>
        <w:szCs w:val="16"/>
      </w:rPr>
      <w:fldChar w:fldCharType="separate"/>
    </w:r>
    <w:r w:rsidR="00A04BCF">
      <w:rPr>
        <w:rFonts w:ascii="Arial" w:hAnsi="Arial"/>
        <w:b/>
        <w:bCs/>
        <w:noProof/>
        <w:color w:val="3B3838"/>
        <w:sz w:val="18"/>
        <w:szCs w:val="16"/>
      </w:rPr>
      <w:t>8</w:t>
    </w:r>
    <w:r w:rsidRPr="001D2AA8">
      <w:rPr>
        <w:rFonts w:ascii="Arial" w:hAnsi="Arial"/>
        <w:b/>
        <w:bCs/>
        <w:color w:val="3B3838"/>
        <w:sz w:val="18"/>
        <w:szCs w:val="16"/>
      </w:rPr>
      <w:fldChar w:fldCharType="end"/>
    </w:r>
    <w:r w:rsidRPr="001D2AA8">
      <w:rPr>
        <w:rFonts w:ascii="Arial" w:hAnsi="Arial"/>
        <w:color w:val="3B3838"/>
        <w:sz w:val="18"/>
        <w:szCs w:val="16"/>
        <w:lang w:val="es-ES"/>
      </w:rPr>
      <w:t xml:space="preserve"> de </w:t>
    </w:r>
    <w:r w:rsidRPr="001D2AA8">
      <w:rPr>
        <w:rFonts w:ascii="Arial" w:hAnsi="Arial"/>
        <w:b/>
        <w:bCs/>
        <w:color w:val="3B3838"/>
        <w:sz w:val="18"/>
        <w:szCs w:val="16"/>
      </w:rPr>
      <w:fldChar w:fldCharType="begin"/>
    </w:r>
    <w:r w:rsidRPr="001D2AA8">
      <w:rPr>
        <w:rFonts w:ascii="Arial" w:hAnsi="Arial"/>
        <w:b/>
        <w:bCs/>
        <w:color w:val="3B3838"/>
        <w:sz w:val="18"/>
        <w:szCs w:val="16"/>
      </w:rPr>
      <w:instrText>NUMPAGES  \* Arabic  \* MERGEFORMAT</w:instrText>
    </w:r>
    <w:r w:rsidRPr="001D2AA8">
      <w:rPr>
        <w:rFonts w:ascii="Arial" w:hAnsi="Arial"/>
        <w:b/>
        <w:bCs/>
        <w:color w:val="3B3838"/>
        <w:sz w:val="18"/>
        <w:szCs w:val="16"/>
      </w:rPr>
      <w:fldChar w:fldCharType="separate"/>
    </w:r>
    <w:r w:rsidR="00A04BCF">
      <w:rPr>
        <w:rFonts w:ascii="Arial" w:hAnsi="Arial"/>
        <w:b/>
        <w:bCs/>
        <w:noProof/>
        <w:color w:val="3B3838"/>
        <w:sz w:val="18"/>
        <w:szCs w:val="16"/>
      </w:rPr>
      <w:t>8</w:t>
    </w:r>
    <w:r w:rsidRPr="001D2AA8">
      <w:rPr>
        <w:rFonts w:ascii="Arial" w:hAnsi="Arial"/>
        <w:b/>
        <w:bCs/>
        <w:color w:val="3B3838"/>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87BE" w14:textId="77777777" w:rsidR="009B4A03" w:rsidRDefault="009B4A03" w:rsidP="0017277B">
      <w:pPr>
        <w:spacing w:line="240" w:lineRule="auto"/>
      </w:pPr>
      <w:r>
        <w:separator/>
      </w:r>
    </w:p>
  </w:footnote>
  <w:footnote w:type="continuationSeparator" w:id="0">
    <w:p w14:paraId="7671F0D3" w14:textId="77777777" w:rsidR="009B4A03" w:rsidRDefault="009B4A03" w:rsidP="00172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EAB9" w14:textId="66A11D09" w:rsidR="0017277B" w:rsidRPr="001D2AA8" w:rsidRDefault="0017277B" w:rsidP="002721EF">
    <w:pPr>
      <w:pStyle w:val="Encabezado"/>
      <w:jc w:val="center"/>
      <w:rPr>
        <w:rFonts w:ascii="Arial" w:hAnsi="Arial"/>
        <w:i/>
        <w:color w:val="3B3838"/>
        <w:sz w:val="18"/>
        <w:szCs w:val="16"/>
      </w:rPr>
    </w:pPr>
    <w:r w:rsidRPr="001D2AA8">
      <w:rPr>
        <w:rFonts w:ascii="Arial" w:hAnsi="Arial"/>
        <w:i/>
        <w:color w:val="3B3838"/>
        <w:sz w:val="18"/>
        <w:szCs w:val="16"/>
      </w:rPr>
      <w:t>Freddy Machado Mosquera</w:t>
    </w:r>
    <w:r w:rsidR="004F0603" w:rsidRPr="001D2AA8">
      <w:rPr>
        <w:rFonts w:ascii="Arial" w:hAnsi="Arial"/>
        <w:i/>
        <w:color w:val="3B3838"/>
        <w:sz w:val="18"/>
        <w:szCs w:val="16"/>
      </w:rPr>
      <w:t xml:space="preserve"> </w:t>
    </w:r>
    <w:r w:rsidRPr="001D2AA8">
      <w:rPr>
        <w:rFonts w:ascii="Arial" w:hAnsi="Arial"/>
        <w:i/>
        <w:color w:val="3B3838"/>
        <w:sz w:val="18"/>
        <w:szCs w:val="16"/>
      </w:rPr>
      <w:t xml:space="preserve">Vs </w:t>
    </w:r>
    <w:r w:rsidRPr="001D2AA8">
      <w:rPr>
        <w:rFonts w:ascii="Arial" w:hAnsi="Arial"/>
        <w:bCs/>
        <w:i/>
        <w:color w:val="3B3838"/>
        <w:sz w:val="18"/>
        <w:szCs w:val="16"/>
      </w:rPr>
      <w:t>Positiva S.A.</w:t>
    </w:r>
  </w:p>
  <w:p w14:paraId="10FA7B92" w14:textId="582945C8" w:rsidR="0017277B" w:rsidRPr="001D2AA8" w:rsidRDefault="0017277B" w:rsidP="002721EF">
    <w:pPr>
      <w:pStyle w:val="Encabezado"/>
      <w:pBdr>
        <w:bottom w:val="double" w:sz="4" w:space="1" w:color="002060"/>
      </w:pBdr>
      <w:tabs>
        <w:tab w:val="clear" w:pos="4419"/>
        <w:tab w:val="clear" w:pos="8838"/>
        <w:tab w:val="left" w:pos="1134"/>
      </w:tabs>
      <w:ind w:left="2127" w:right="1610" w:firstLine="0"/>
      <w:jc w:val="center"/>
      <w:rPr>
        <w:rFonts w:ascii="Arial" w:hAnsi="Arial"/>
        <w:i/>
        <w:color w:val="3B3838"/>
        <w:sz w:val="18"/>
        <w:szCs w:val="16"/>
      </w:rPr>
    </w:pPr>
    <w:r w:rsidRPr="001D2AA8">
      <w:rPr>
        <w:rFonts w:ascii="Arial" w:hAnsi="Arial"/>
        <w:i/>
        <w:color w:val="3B3838"/>
        <w:sz w:val="18"/>
        <w:szCs w:val="16"/>
      </w:rPr>
      <w:t>Radicado 66001310500120200025501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7F6"/>
    <w:multiLevelType w:val="hybridMultilevel"/>
    <w:tmpl w:val="EAA4120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1"/>
  </w:num>
  <w:num w:numId="2">
    <w:abstractNumId w:val="1"/>
  </w:num>
  <w:num w:numId="3">
    <w:abstractNumId w:val="1"/>
  </w:num>
  <w:num w:numId="4">
    <w:abstractNumId w:val="1"/>
  </w:num>
  <w:num w:numId="5">
    <w:abstractNumId w:val="4"/>
  </w:num>
  <w:num w:numId="6">
    <w:abstractNumId w:val="4"/>
  </w:num>
  <w:num w:numId="7">
    <w:abstractNumId w:val="4"/>
  </w:num>
  <w:num w:numId="8">
    <w:abstractNumId w:val="4"/>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BE"/>
    <w:rsid w:val="00021116"/>
    <w:rsid w:val="00030381"/>
    <w:rsid w:val="00047523"/>
    <w:rsid w:val="00096796"/>
    <w:rsid w:val="000A5596"/>
    <w:rsid w:val="000E796D"/>
    <w:rsid w:val="00112E0D"/>
    <w:rsid w:val="001363CA"/>
    <w:rsid w:val="00151EFB"/>
    <w:rsid w:val="00154973"/>
    <w:rsid w:val="001553BF"/>
    <w:rsid w:val="00170F36"/>
    <w:rsid w:val="0017277B"/>
    <w:rsid w:val="001D1818"/>
    <w:rsid w:val="001D2AA8"/>
    <w:rsid w:val="001D6565"/>
    <w:rsid w:val="001F33EB"/>
    <w:rsid w:val="002014E0"/>
    <w:rsid w:val="00205565"/>
    <w:rsid w:val="002164EF"/>
    <w:rsid w:val="00252E8A"/>
    <w:rsid w:val="002721EF"/>
    <w:rsid w:val="002A04B4"/>
    <w:rsid w:val="002A5815"/>
    <w:rsid w:val="002B0C8C"/>
    <w:rsid w:val="002E0B67"/>
    <w:rsid w:val="002F58F6"/>
    <w:rsid w:val="003037D2"/>
    <w:rsid w:val="00330548"/>
    <w:rsid w:val="0036650B"/>
    <w:rsid w:val="0036781C"/>
    <w:rsid w:val="003700A3"/>
    <w:rsid w:val="003711B5"/>
    <w:rsid w:val="003838C0"/>
    <w:rsid w:val="003949D3"/>
    <w:rsid w:val="003B33B1"/>
    <w:rsid w:val="003C5935"/>
    <w:rsid w:val="003D0841"/>
    <w:rsid w:val="003E6D2A"/>
    <w:rsid w:val="003E7DDE"/>
    <w:rsid w:val="003F00BE"/>
    <w:rsid w:val="003F6131"/>
    <w:rsid w:val="003F6C92"/>
    <w:rsid w:val="003F73F6"/>
    <w:rsid w:val="00400F85"/>
    <w:rsid w:val="00405F66"/>
    <w:rsid w:val="004510CF"/>
    <w:rsid w:val="00460439"/>
    <w:rsid w:val="0047432A"/>
    <w:rsid w:val="004859D4"/>
    <w:rsid w:val="004B02A5"/>
    <w:rsid w:val="004C2F19"/>
    <w:rsid w:val="004C4951"/>
    <w:rsid w:val="004D62AE"/>
    <w:rsid w:val="004E42A4"/>
    <w:rsid w:val="004E683F"/>
    <w:rsid w:val="004E7BBE"/>
    <w:rsid w:val="004F0603"/>
    <w:rsid w:val="00500F97"/>
    <w:rsid w:val="00502B52"/>
    <w:rsid w:val="00520BC8"/>
    <w:rsid w:val="00551E35"/>
    <w:rsid w:val="00553222"/>
    <w:rsid w:val="00557AC3"/>
    <w:rsid w:val="005655B4"/>
    <w:rsid w:val="00570EB9"/>
    <w:rsid w:val="005A493B"/>
    <w:rsid w:val="005A5711"/>
    <w:rsid w:val="005B134D"/>
    <w:rsid w:val="005B5103"/>
    <w:rsid w:val="005C7644"/>
    <w:rsid w:val="006060EA"/>
    <w:rsid w:val="0061434C"/>
    <w:rsid w:val="006321C2"/>
    <w:rsid w:val="0065790C"/>
    <w:rsid w:val="00665265"/>
    <w:rsid w:val="00693019"/>
    <w:rsid w:val="00694ABB"/>
    <w:rsid w:val="006A55C5"/>
    <w:rsid w:val="006E69BD"/>
    <w:rsid w:val="006E6E4F"/>
    <w:rsid w:val="00723BA7"/>
    <w:rsid w:val="00753CFB"/>
    <w:rsid w:val="00754563"/>
    <w:rsid w:val="00763E30"/>
    <w:rsid w:val="00767DD2"/>
    <w:rsid w:val="00786F9B"/>
    <w:rsid w:val="007D2755"/>
    <w:rsid w:val="007E43B1"/>
    <w:rsid w:val="00802FE6"/>
    <w:rsid w:val="00853FBC"/>
    <w:rsid w:val="008548ED"/>
    <w:rsid w:val="00887D09"/>
    <w:rsid w:val="00900D3D"/>
    <w:rsid w:val="00923762"/>
    <w:rsid w:val="00946E11"/>
    <w:rsid w:val="00954D62"/>
    <w:rsid w:val="00955D5D"/>
    <w:rsid w:val="0096032B"/>
    <w:rsid w:val="0096070C"/>
    <w:rsid w:val="009802EE"/>
    <w:rsid w:val="009B4A03"/>
    <w:rsid w:val="00A04BCF"/>
    <w:rsid w:val="00A45FF3"/>
    <w:rsid w:val="00A74117"/>
    <w:rsid w:val="00AA3364"/>
    <w:rsid w:val="00AE7C0C"/>
    <w:rsid w:val="00B26423"/>
    <w:rsid w:val="00B31EEC"/>
    <w:rsid w:val="00B42AD4"/>
    <w:rsid w:val="00B47DF8"/>
    <w:rsid w:val="00B54734"/>
    <w:rsid w:val="00B607C8"/>
    <w:rsid w:val="00B644D2"/>
    <w:rsid w:val="00B74277"/>
    <w:rsid w:val="00B76AE6"/>
    <w:rsid w:val="00BA11E3"/>
    <w:rsid w:val="00BB2E6D"/>
    <w:rsid w:val="00BE0E68"/>
    <w:rsid w:val="00BE2CF8"/>
    <w:rsid w:val="00C22A87"/>
    <w:rsid w:val="00C24336"/>
    <w:rsid w:val="00C42CB3"/>
    <w:rsid w:val="00C4500F"/>
    <w:rsid w:val="00CA4B13"/>
    <w:rsid w:val="00CD5709"/>
    <w:rsid w:val="00CF6CA2"/>
    <w:rsid w:val="00D0075A"/>
    <w:rsid w:val="00D1762A"/>
    <w:rsid w:val="00D20873"/>
    <w:rsid w:val="00D27AD7"/>
    <w:rsid w:val="00D338B9"/>
    <w:rsid w:val="00D420BB"/>
    <w:rsid w:val="00D5288A"/>
    <w:rsid w:val="00DD005E"/>
    <w:rsid w:val="00DE24E4"/>
    <w:rsid w:val="00E051B6"/>
    <w:rsid w:val="00E17FA1"/>
    <w:rsid w:val="00E37ED3"/>
    <w:rsid w:val="00E44599"/>
    <w:rsid w:val="00E5253A"/>
    <w:rsid w:val="00E55EEE"/>
    <w:rsid w:val="00E6000E"/>
    <w:rsid w:val="00E71D29"/>
    <w:rsid w:val="00E745AE"/>
    <w:rsid w:val="00E75138"/>
    <w:rsid w:val="00E775AA"/>
    <w:rsid w:val="00EC4508"/>
    <w:rsid w:val="00EF14A8"/>
    <w:rsid w:val="00EF1E8E"/>
    <w:rsid w:val="00EF5F6E"/>
    <w:rsid w:val="00F105D0"/>
    <w:rsid w:val="00F1327E"/>
    <w:rsid w:val="00F31157"/>
    <w:rsid w:val="00F41E71"/>
    <w:rsid w:val="00FD2250"/>
    <w:rsid w:val="00FF6672"/>
    <w:rsid w:val="019804EA"/>
    <w:rsid w:val="01DDDD86"/>
    <w:rsid w:val="02CB2D81"/>
    <w:rsid w:val="02F40350"/>
    <w:rsid w:val="034B4B96"/>
    <w:rsid w:val="038AD5E7"/>
    <w:rsid w:val="062BA412"/>
    <w:rsid w:val="0772719D"/>
    <w:rsid w:val="0CA7E7BE"/>
    <w:rsid w:val="0FEDB18B"/>
    <w:rsid w:val="11061B46"/>
    <w:rsid w:val="120D16D6"/>
    <w:rsid w:val="1393E128"/>
    <w:rsid w:val="13F40449"/>
    <w:rsid w:val="181B8AB0"/>
    <w:rsid w:val="19004C62"/>
    <w:rsid w:val="1AB99502"/>
    <w:rsid w:val="1BB3F91C"/>
    <w:rsid w:val="1E7B70E5"/>
    <w:rsid w:val="1ED27181"/>
    <w:rsid w:val="20C344B8"/>
    <w:rsid w:val="220A1243"/>
    <w:rsid w:val="221D1863"/>
    <w:rsid w:val="24AAE06E"/>
    <w:rsid w:val="2541B305"/>
    <w:rsid w:val="280016A7"/>
    <w:rsid w:val="2A721484"/>
    <w:rsid w:val="2B32DBA8"/>
    <w:rsid w:val="2C801D71"/>
    <w:rsid w:val="2D05D896"/>
    <w:rsid w:val="2DA9B546"/>
    <w:rsid w:val="320B9A85"/>
    <w:rsid w:val="3750978C"/>
    <w:rsid w:val="3844E5F5"/>
    <w:rsid w:val="393F111F"/>
    <w:rsid w:val="3C6B3FC4"/>
    <w:rsid w:val="3E56ABA7"/>
    <w:rsid w:val="46DF67C6"/>
    <w:rsid w:val="482A589E"/>
    <w:rsid w:val="48F150E0"/>
    <w:rsid w:val="4C588A3E"/>
    <w:rsid w:val="4ED7410E"/>
    <w:rsid w:val="4F609264"/>
    <w:rsid w:val="50793282"/>
    <w:rsid w:val="51479450"/>
    <w:rsid w:val="5460CE38"/>
    <w:rsid w:val="56C06FE1"/>
    <w:rsid w:val="57470D85"/>
    <w:rsid w:val="592D6C5E"/>
    <w:rsid w:val="5976A57E"/>
    <w:rsid w:val="5DD8F8AD"/>
    <w:rsid w:val="62B147F9"/>
    <w:rsid w:val="67006443"/>
    <w:rsid w:val="679E8D00"/>
    <w:rsid w:val="6A20D55C"/>
    <w:rsid w:val="7155F412"/>
    <w:rsid w:val="729A1786"/>
    <w:rsid w:val="74339589"/>
    <w:rsid w:val="7609199B"/>
    <w:rsid w:val="77B150A8"/>
    <w:rsid w:val="79321B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480F"/>
  <w15:chartTrackingRefBased/>
  <w15:docId w15:val="{D7E5F173-51F5-4295-B259-228FDB4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3EB"/>
    <w:pPr>
      <w:ind w:firstLine="567"/>
    </w:pPr>
    <w:rPr>
      <w:rFonts w:ascii="Bookman Old Style" w:hAnsi="Bookman Old Style"/>
      <w:color w:val="auto"/>
      <w:kern w:val="0"/>
      <w:sz w:val="28"/>
      <w:szCs w:val="26"/>
      <w14:ligatures w14:val="none"/>
    </w:rPr>
  </w:style>
  <w:style w:type="paragraph" w:styleId="Ttulo1">
    <w:name w:val="heading 1"/>
    <w:basedOn w:val="Normal"/>
    <w:next w:val="Normal"/>
    <w:link w:val="Ttulo1Car"/>
    <w:autoRedefine/>
    <w:uiPriority w:val="9"/>
    <w:qFormat/>
    <w:rsid w:val="00205565"/>
    <w:pPr>
      <w:keepNext/>
      <w:keepLines/>
      <w:ind w:firstLine="709"/>
      <w:outlineLvl w:val="0"/>
    </w:pPr>
    <w:rPr>
      <w:rFonts w:ascii="Arial" w:eastAsiaTheme="majorEastAsia" w:hAnsi="Arial" w:cstheme="majorBidi"/>
      <w:b/>
      <w:color w:val="000000"/>
      <w:kern w:val="2"/>
      <w:sz w:val="24"/>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ascii="Arial" w:eastAsiaTheme="majorEastAsia" w:hAnsi="Arial" w:cstheme="majorBidi"/>
      <w:color w:val="000000"/>
      <w:kern w:val="2"/>
      <w:sz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ascii="Arial" w:eastAsiaTheme="majorEastAsia" w:hAnsi="Arial" w:cstheme="majorBidi"/>
      <w:b/>
      <w:color w:val="000000"/>
      <w:spacing w:val="-10"/>
      <w:kern w:val="28"/>
      <w:sz w:val="24"/>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4E7BBE"/>
    <w:rPr>
      <w:color w:val="0563C1"/>
      <w:u w:val="single"/>
    </w:rPr>
  </w:style>
  <w:style w:type="table" w:styleId="Tablanormal5">
    <w:name w:val="Plain Table 5"/>
    <w:basedOn w:val="Tablanormal"/>
    <w:uiPriority w:val="45"/>
    <w:rsid w:val="004E7BBE"/>
    <w:pPr>
      <w:spacing w:line="240" w:lineRule="auto"/>
      <w:ind w:firstLine="567"/>
    </w:pPr>
    <w:rPr>
      <w:rFonts w:ascii="Bookman Old Style" w:hAnsi="Bookman Old Style"/>
      <w:color w:val="auto"/>
      <w:kern w:val="0"/>
      <w:sz w:val="28"/>
      <w:szCs w:val="26"/>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405F66"/>
    <w:rPr>
      <w:color w:val="F38B53" w:themeColor="followedHyperlink"/>
      <w:u w:val="single"/>
    </w:rPr>
  </w:style>
  <w:style w:type="paragraph" w:styleId="Prrafodelista">
    <w:name w:val="List Paragraph"/>
    <w:basedOn w:val="Normal"/>
    <w:uiPriority w:val="34"/>
    <w:qFormat/>
    <w:rsid w:val="00E5253A"/>
    <w:pPr>
      <w:ind w:left="720"/>
      <w:contextualSpacing/>
    </w:pPr>
  </w:style>
  <w:style w:type="character" w:customStyle="1" w:styleId="UnresolvedMention">
    <w:name w:val="Unresolved Mention"/>
    <w:basedOn w:val="Fuentedeprrafopredeter"/>
    <w:uiPriority w:val="99"/>
    <w:semiHidden/>
    <w:unhideWhenUsed/>
    <w:rsid w:val="00E75138"/>
    <w:rPr>
      <w:color w:val="605E5C"/>
      <w:shd w:val="clear" w:color="auto" w:fill="E1DFDD"/>
    </w:rPr>
  </w:style>
  <w:style w:type="paragraph" w:styleId="Encabezado">
    <w:name w:val="header"/>
    <w:basedOn w:val="Normal"/>
    <w:link w:val="EncabezadoCar"/>
    <w:uiPriority w:val="99"/>
    <w:unhideWhenUsed/>
    <w:rsid w:val="0017277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7277B"/>
    <w:rPr>
      <w:rFonts w:ascii="Bookman Old Style" w:hAnsi="Bookman Old Style"/>
      <w:color w:val="auto"/>
      <w:kern w:val="0"/>
      <w:sz w:val="28"/>
      <w:szCs w:val="26"/>
      <w14:ligatures w14:val="none"/>
    </w:rPr>
  </w:style>
  <w:style w:type="paragraph" w:styleId="Piedepgina">
    <w:name w:val="footer"/>
    <w:basedOn w:val="Normal"/>
    <w:link w:val="PiedepginaCar"/>
    <w:uiPriority w:val="99"/>
    <w:unhideWhenUsed/>
    <w:rsid w:val="0017277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7277B"/>
    <w:rPr>
      <w:rFonts w:ascii="Bookman Old Style" w:hAnsi="Bookman Old Style"/>
      <w:color w:val="auto"/>
      <w:kern w:val="0"/>
      <w:sz w:val="28"/>
      <w:szCs w:val="26"/>
      <w14:ligatures w14:val="none"/>
    </w:rPr>
  </w:style>
  <w:style w:type="character" w:customStyle="1" w:styleId="fontstyle01">
    <w:name w:val="fontstyle01"/>
    <w:basedOn w:val="Fuentedeprrafopredeter"/>
    <w:rsid w:val="00E775AA"/>
    <w:rPr>
      <w:rFonts w:ascii="TimesNewRomanPSMT" w:hAnsi="TimesNewRomanPSMT" w:hint="default"/>
      <w:b w:val="0"/>
      <w:bCs w:val="0"/>
      <w:i w:val="0"/>
      <w:iCs w:val="0"/>
      <w:color w:val="000000"/>
      <w:sz w:val="28"/>
      <w:szCs w:val="28"/>
    </w:rPr>
  </w:style>
  <w:style w:type="character" w:customStyle="1" w:styleId="fontstyle21">
    <w:name w:val="fontstyle21"/>
    <w:basedOn w:val="Fuentedeprrafopredeter"/>
    <w:rsid w:val="00E775AA"/>
    <w:rPr>
      <w:rFonts w:ascii="TimesNewRomanPS-ItalicMT" w:hAnsi="TimesNewRomanPS-ItalicMT" w:hint="default"/>
      <w:b w:val="0"/>
      <w:bCs w:val="0"/>
      <w:i/>
      <w:iCs/>
      <w:color w:val="000000"/>
      <w:sz w:val="28"/>
      <w:szCs w:val="28"/>
    </w:rPr>
  </w:style>
  <w:style w:type="paragraph" w:styleId="Textoindependiente">
    <w:name w:val="Body Text"/>
    <w:basedOn w:val="Normal"/>
    <w:link w:val="TextoindependienteCar"/>
    <w:uiPriority w:val="99"/>
    <w:semiHidden/>
    <w:unhideWhenUsed/>
    <w:rsid w:val="00D5288A"/>
    <w:pPr>
      <w:spacing w:line="240" w:lineRule="auto"/>
      <w:ind w:firstLine="0"/>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99"/>
    <w:semiHidden/>
    <w:rsid w:val="00D5288A"/>
    <w:rPr>
      <w:rFonts w:ascii="Times New Roman" w:eastAsia="Times New Roman" w:hAnsi="Times New Roman" w:cs="Times New Roman"/>
      <w:color w:val="auto"/>
      <w:kern w:val="0"/>
      <w:sz w:val="28"/>
      <w:lang w:val="es-ES" w:eastAsia="es-ES"/>
      <w14:ligatures w14:val="none"/>
    </w:rPr>
  </w:style>
  <w:style w:type="character" w:customStyle="1" w:styleId="normaltextrun">
    <w:name w:val="normaltextrun"/>
    <w:basedOn w:val="Fuentedeprrafopredeter"/>
    <w:rsid w:val="00D5288A"/>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Bookman Old Style" w:hAnsi="Bookman Old Style"/>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D181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818"/>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69f63ade57c24606"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85ee01456074dd1"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D957-2B21-4246-ADC7-8FB01012BD8D}">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43BDE5C4-AFE8-4CE3-9AD1-9469C55F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FD990-E99F-436B-8AE2-ED51CBC93231}">
  <ds:schemaRefs>
    <ds:schemaRef ds:uri="http://schemas.microsoft.com/sharepoint/v3/contenttype/forms"/>
  </ds:schemaRefs>
</ds:datastoreItem>
</file>

<file path=customXml/itemProps4.xml><?xml version="1.0" encoding="utf-8"?>
<ds:datastoreItem xmlns:ds="http://schemas.openxmlformats.org/officeDocument/2006/customXml" ds:itemID="{CD7B28B6-30FA-465D-B5A7-0BA5049F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3025</Words>
  <Characters>17249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9</cp:revision>
  <dcterms:created xsi:type="dcterms:W3CDTF">2023-12-01T16:13:00Z</dcterms:created>
  <dcterms:modified xsi:type="dcterms:W3CDTF">2024-02-15T21:20:00Z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