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50BED" w14:textId="17AD2409" w:rsidR="006A3ADB" w:rsidRPr="006A3ADB" w:rsidRDefault="006A3ADB" w:rsidP="003543B4">
      <w:pPr>
        <w:jc w:val="both"/>
        <w:rPr>
          <w:rFonts w:ascii="Arial" w:eastAsia="Calibri" w:hAnsi="Arial" w:cs="Arial"/>
          <w:b/>
          <w:sz w:val="20"/>
          <w:lang w:val="es-CO" w:eastAsia="en-US"/>
        </w:rPr>
      </w:pPr>
      <w:bookmarkStart w:id="0" w:name="_GoBack"/>
      <w:bookmarkEnd w:id="0"/>
      <w:r>
        <w:rPr>
          <w:rFonts w:ascii="Arial" w:eastAsia="Calibri" w:hAnsi="Arial" w:cs="Arial"/>
          <w:b/>
          <w:sz w:val="20"/>
          <w:lang w:val="es-CO" w:eastAsia="en-US"/>
        </w:rPr>
        <w:t>RECUSACIÓN / IMPEDIMENTOS / FINALIDAD</w:t>
      </w:r>
    </w:p>
    <w:p w14:paraId="6C8F261D" w14:textId="1C7A2EBA" w:rsidR="003543B4" w:rsidRPr="006A3ADB" w:rsidRDefault="006A3ADB" w:rsidP="006A3ADB">
      <w:pPr>
        <w:jc w:val="both"/>
        <w:rPr>
          <w:rFonts w:ascii="Arial" w:eastAsia="Calibri" w:hAnsi="Arial" w:cs="Arial"/>
          <w:sz w:val="20"/>
          <w:lang w:val="es-CO" w:eastAsia="en-US"/>
        </w:rPr>
      </w:pPr>
      <w:r w:rsidRPr="006A3ADB">
        <w:rPr>
          <w:rFonts w:ascii="Arial" w:eastAsia="Calibri" w:hAnsi="Arial" w:cs="Arial"/>
          <w:sz w:val="20"/>
          <w:lang w:val="es-CO" w:eastAsia="en-US"/>
        </w:rPr>
        <w:t>Con la finalidad de garantizar la imparcialidad e independencia como principios de la justicia y atributos del operador judicial, el Legislador previó el régimen de las recusaciones e impedimentos en el artículo 141 del Código General del Proceso, donde se describe taxativamente un listado de circunstancias en que el juez puede estar inmerso en una “incapacidad subjetiva” y que de acreditarse se debe desplazar su competencia, ya sea por voluntad propia o por medio de una orden del superior jerárquico.</w:t>
      </w:r>
    </w:p>
    <w:p w14:paraId="4AB60911" w14:textId="77777777" w:rsidR="003543B4" w:rsidRPr="003543B4" w:rsidRDefault="003543B4" w:rsidP="003543B4">
      <w:pPr>
        <w:jc w:val="both"/>
        <w:rPr>
          <w:rFonts w:ascii="Arial" w:eastAsia="Calibri" w:hAnsi="Arial" w:cs="Arial"/>
          <w:sz w:val="20"/>
          <w:lang w:val="es-CO" w:eastAsia="en-US"/>
        </w:rPr>
      </w:pPr>
    </w:p>
    <w:p w14:paraId="482C0524" w14:textId="0868F97E" w:rsidR="006A3ADB" w:rsidRPr="006A3ADB" w:rsidRDefault="006A3ADB" w:rsidP="006A3ADB">
      <w:pPr>
        <w:jc w:val="both"/>
        <w:rPr>
          <w:rFonts w:ascii="Arial" w:eastAsia="Calibri" w:hAnsi="Arial" w:cs="Arial"/>
          <w:b/>
          <w:sz w:val="20"/>
          <w:lang w:val="es-CO" w:eastAsia="en-US"/>
        </w:rPr>
      </w:pPr>
      <w:r>
        <w:rPr>
          <w:rFonts w:ascii="Arial" w:eastAsia="Calibri" w:hAnsi="Arial" w:cs="Arial"/>
          <w:b/>
          <w:sz w:val="20"/>
          <w:lang w:val="es-CO" w:eastAsia="en-US"/>
        </w:rPr>
        <w:t xml:space="preserve">RECUSACIÓN / </w:t>
      </w:r>
      <w:r w:rsidR="00A36083">
        <w:rPr>
          <w:rFonts w:ascii="Arial" w:eastAsia="Calibri" w:hAnsi="Arial" w:cs="Arial"/>
          <w:b/>
          <w:sz w:val="20"/>
          <w:lang w:val="es-CO" w:eastAsia="en-US"/>
        </w:rPr>
        <w:t>CAUSALES / HABER FORMULADO QUEJA DISCIPLINARIA</w:t>
      </w:r>
    </w:p>
    <w:p w14:paraId="4486A59F" w14:textId="233ECDEA" w:rsidR="003543B4" w:rsidRPr="00A36083" w:rsidRDefault="00A36083" w:rsidP="00A36083">
      <w:pPr>
        <w:jc w:val="both"/>
        <w:rPr>
          <w:rFonts w:ascii="Arial" w:eastAsia="Calibri" w:hAnsi="Arial" w:cs="Arial"/>
          <w:sz w:val="20"/>
          <w:lang w:val="es-CO" w:eastAsia="en-US"/>
        </w:rPr>
      </w:pPr>
      <w:r>
        <w:rPr>
          <w:rFonts w:ascii="Arial" w:eastAsia="Calibri" w:hAnsi="Arial" w:cs="Arial"/>
          <w:sz w:val="20"/>
          <w:lang w:val="es-CO" w:eastAsia="en-US"/>
        </w:rPr>
        <w:t xml:space="preserve">… </w:t>
      </w:r>
      <w:r w:rsidRPr="00A36083">
        <w:rPr>
          <w:rFonts w:ascii="Arial" w:eastAsia="Calibri" w:hAnsi="Arial" w:cs="Arial"/>
          <w:sz w:val="20"/>
          <w:lang w:val="es-CO" w:eastAsia="en-US"/>
        </w:rPr>
        <w:t>en lo relativo a la causal de recusación alegada por el abogado</w:t>
      </w:r>
      <w:r>
        <w:rPr>
          <w:rFonts w:ascii="Arial" w:eastAsia="Calibri" w:hAnsi="Arial" w:cs="Arial"/>
          <w:sz w:val="20"/>
          <w:lang w:val="es-CO" w:eastAsia="en-US"/>
        </w:rPr>
        <w:t>…</w:t>
      </w:r>
      <w:r w:rsidRPr="00A36083">
        <w:rPr>
          <w:rFonts w:ascii="Arial" w:eastAsia="Calibri" w:hAnsi="Arial" w:cs="Arial"/>
          <w:sz w:val="20"/>
          <w:lang w:val="es-CO" w:eastAsia="en-US"/>
        </w:rPr>
        <w:t xml:space="preserve"> en contra de la jueza del Juzgado Quinto Laboral del Circuito de Pereira, se encuentra estipulada en el numeral 8 del artículo 141 del </w:t>
      </w:r>
      <w:proofErr w:type="spellStart"/>
      <w:r w:rsidRPr="00A36083">
        <w:rPr>
          <w:rFonts w:ascii="Arial" w:eastAsia="Calibri" w:hAnsi="Arial" w:cs="Arial"/>
          <w:sz w:val="20"/>
          <w:lang w:val="es-CO" w:eastAsia="en-US"/>
        </w:rPr>
        <w:t>CGP</w:t>
      </w:r>
      <w:proofErr w:type="spellEnd"/>
      <w:r>
        <w:rPr>
          <w:rFonts w:ascii="Arial" w:eastAsia="Calibri" w:hAnsi="Arial" w:cs="Arial"/>
          <w:sz w:val="20"/>
          <w:lang w:val="es-CO" w:eastAsia="en-US"/>
        </w:rPr>
        <w:t>…</w:t>
      </w:r>
      <w:r w:rsidRPr="00A36083">
        <w:rPr>
          <w:rFonts w:ascii="Arial" w:eastAsia="Calibri" w:hAnsi="Arial" w:cs="Arial"/>
          <w:sz w:val="20"/>
          <w:lang w:val="es-CO" w:eastAsia="en-US"/>
        </w:rPr>
        <w:t>:</w:t>
      </w:r>
      <w:r>
        <w:rPr>
          <w:rFonts w:ascii="Arial" w:eastAsia="Calibri" w:hAnsi="Arial" w:cs="Arial"/>
          <w:sz w:val="20"/>
          <w:lang w:val="es-CO" w:eastAsia="en-US"/>
        </w:rPr>
        <w:t xml:space="preserve"> </w:t>
      </w:r>
      <w:r w:rsidRPr="00A36083">
        <w:rPr>
          <w:rFonts w:ascii="Arial" w:eastAsia="Calibri" w:hAnsi="Arial" w:cs="Arial"/>
          <w:sz w:val="20"/>
          <w:lang w:val="es-CO" w:eastAsia="en-US"/>
        </w:rPr>
        <w:t>“8. Haber formulado el juez, su cónyuge, compañero permanente o pariente en primer grado de consanguinidad o civil, denuncia penal o disciplinaria contra una de las partes o su representante o apoderado, o estar aquellos legitimados para intervenir como parte civil o víctima en el respectivo proceso penal.”</w:t>
      </w:r>
      <w:r>
        <w:rPr>
          <w:rFonts w:ascii="Arial" w:eastAsia="Calibri" w:hAnsi="Arial" w:cs="Arial"/>
          <w:sz w:val="20"/>
          <w:lang w:val="es-CO" w:eastAsia="en-US"/>
        </w:rPr>
        <w:t xml:space="preserve"> (…) </w:t>
      </w:r>
      <w:r w:rsidRPr="00A36083">
        <w:rPr>
          <w:rFonts w:ascii="Arial" w:eastAsia="Calibri" w:hAnsi="Arial" w:cs="Arial"/>
          <w:sz w:val="20"/>
          <w:lang w:val="es-CO" w:eastAsia="en-US"/>
        </w:rPr>
        <w:t>En esta causal (…), no importa si la denuncia es anterior al proceso o no, pues el solo hecho de que el juez haya presentado denuncia penal o formulado queja disciplinaria, se parte de la base de que se pierde la imparcialidad necesaria para administrar justicia.</w:t>
      </w:r>
    </w:p>
    <w:p w14:paraId="7C8C936F" w14:textId="77777777" w:rsidR="003543B4" w:rsidRPr="003543B4" w:rsidRDefault="003543B4" w:rsidP="003543B4">
      <w:pPr>
        <w:jc w:val="both"/>
        <w:rPr>
          <w:rFonts w:ascii="Arial" w:eastAsia="Calibri" w:hAnsi="Arial" w:cs="Arial"/>
          <w:sz w:val="20"/>
          <w:lang w:val="es-CO" w:eastAsia="en-US"/>
        </w:rPr>
      </w:pPr>
    </w:p>
    <w:p w14:paraId="1B9B2734" w14:textId="5918BDAA" w:rsidR="00A36083" w:rsidRPr="006A3ADB" w:rsidRDefault="00A36083" w:rsidP="00A36083">
      <w:pPr>
        <w:jc w:val="both"/>
        <w:rPr>
          <w:rFonts w:ascii="Arial" w:eastAsia="Calibri" w:hAnsi="Arial" w:cs="Arial"/>
          <w:b/>
          <w:sz w:val="20"/>
          <w:lang w:val="es-CO" w:eastAsia="en-US"/>
        </w:rPr>
      </w:pPr>
      <w:r>
        <w:rPr>
          <w:rFonts w:ascii="Arial" w:eastAsia="Calibri" w:hAnsi="Arial" w:cs="Arial"/>
          <w:b/>
          <w:sz w:val="20"/>
          <w:lang w:val="es-CO" w:eastAsia="en-US"/>
        </w:rPr>
        <w:t xml:space="preserve">RECUSACIÓN / </w:t>
      </w:r>
      <w:r w:rsidR="00BC25BE">
        <w:rPr>
          <w:rFonts w:ascii="Arial" w:eastAsia="Calibri" w:hAnsi="Arial" w:cs="Arial"/>
          <w:b/>
          <w:sz w:val="20"/>
          <w:lang w:val="es-CO" w:eastAsia="en-US"/>
        </w:rPr>
        <w:t xml:space="preserve">COMPULSA DE COPIAS / QUEJA DISCIPLINARIA / </w:t>
      </w:r>
      <w:r>
        <w:rPr>
          <w:rFonts w:ascii="Arial" w:eastAsia="Calibri" w:hAnsi="Arial" w:cs="Arial"/>
          <w:b/>
          <w:sz w:val="20"/>
          <w:lang w:val="es-CO" w:eastAsia="en-US"/>
        </w:rPr>
        <w:t>DI</w:t>
      </w:r>
      <w:r w:rsidR="00BC25BE">
        <w:rPr>
          <w:rFonts w:ascii="Arial" w:eastAsia="Calibri" w:hAnsi="Arial" w:cs="Arial"/>
          <w:b/>
          <w:sz w:val="20"/>
          <w:lang w:val="es-CO" w:eastAsia="en-US"/>
        </w:rPr>
        <w:t>FERENCIAS</w:t>
      </w:r>
    </w:p>
    <w:p w14:paraId="3800FEE3" w14:textId="6FF1FDD6" w:rsidR="003543B4" w:rsidRPr="007A512B" w:rsidRDefault="007A512B" w:rsidP="007A512B">
      <w:pPr>
        <w:jc w:val="both"/>
        <w:rPr>
          <w:rFonts w:ascii="Arial" w:eastAsia="Calibri" w:hAnsi="Arial" w:cs="Arial"/>
          <w:sz w:val="20"/>
          <w:lang w:val="es-CO" w:eastAsia="en-US"/>
        </w:rPr>
      </w:pPr>
      <w:r>
        <w:rPr>
          <w:rFonts w:ascii="Arial" w:eastAsia="Calibri" w:hAnsi="Arial" w:cs="Arial"/>
          <w:sz w:val="20"/>
          <w:lang w:val="es-CO" w:eastAsia="en-US"/>
        </w:rPr>
        <w:t xml:space="preserve">… </w:t>
      </w:r>
      <w:r w:rsidRPr="007A512B">
        <w:rPr>
          <w:rFonts w:ascii="Arial" w:eastAsia="Calibri" w:hAnsi="Arial" w:cs="Arial"/>
          <w:sz w:val="20"/>
          <w:lang w:val="es-CO" w:eastAsia="en-US"/>
        </w:rPr>
        <w:t>en el caso que nos ocupa, se encuentra que durante la audiencia de conciliación del 10 de noviembre</w:t>
      </w:r>
      <w:r>
        <w:rPr>
          <w:rFonts w:ascii="Arial" w:eastAsia="Calibri" w:hAnsi="Arial" w:cs="Arial"/>
          <w:sz w:val="20"/>
          <w:lang w:val="es-CO" w:eastAsia="en-US"/>
        </w:rPr>
        <w:t>…</w:t>
      </w:r>
      <w:r w:rsidRPr="007A512B">
        <w:rPr>
          <w:rFonts w:ascii="Arial" w:eastAsia="Calibri" w:hAnsi="Arial" w:cs="Arial"/>
          <w:sz w:val="20"/>
          <w:lang w:val="es-CO" w:eastAsia="en-US"/>
        </w:rPr>
        <w:t xml:space="preserve"> la jueza ordenó compulsar de copias ante la Comisión Seccional de Disciplina Judicial de Risaralda en contra del abogado para que investigue la presunta falta disciplinaria en que incurrió</w:t>
      </w:r>
      <w:r>
        <w:rPr>
          <w:rFonts w:ascii="Arial" w:eastAsia="Calibri" w:hAnsi="Arial" w:cs="Arial"/>
          <w:sz w:val="20"/>
          <w:lang w:val="es-CO" w:eastAsia="en-US"/>
        </w:rPr>
        <w:t xml:space="preserve">… </w:t>
      </w:r>
      <w:r w:rsidRPr="007A512B">
        <w:rPr>
          <w:rFonts w:ascii="Arial" w:eastAsia="Calibri" w:hAnsi="Arial" w:cs="Arial"/>
          <w:sz w:val="20"/>
          <w:lang w:val="es-CO" w:eastAsia="en-US"/>
        </w:rPr>
        <w:t>conforme al artículo 86 de la Ley 1952 de 2019, la queja disciplinaria es un mecanismo legal que puede ser formulado por cualquier persona -incluso el juez- por las posibles faltas disciplinarias cometidas por un aboga</w:t>
      </w:r>
      <w:r>
        <w:rPr>
          <w:rFonts w:ascii="Arial" w:eastAsia="Calibri" w:hAnsi="Arial" w:cs="Arial"/>
          <w:sz w:val="20"/>
          <w:lang w:val="es-CO" w:eastAsia="en-US"/>
        </w:rPr>
        <w:t xml:space="preserve">do dentro y fuera de un proceso… </w:t>
      </w:r>
      <w:r w:rsidR="00732957" w:rsidRPr="00732957">
        <w:rPr>
          <w:rFonts w:ascii="Arial" w:eastAsia="Calibri" w:hAnsi="Arial" w:cs="Arial"/>
          <w:sz w:val="20"/>
          <w:lang w:val="es-CO" w:eastAsia="en-US"/>
        </w:rPr>
        <w:t>es claro que la compulsa de copias es diferente a la queja disciplinaria, pues la primera es exclusiva del juez como instrumento de tipo objetivo para salvaguardar los derechos y deberes de los intervinientes en el marco de un proceso, Mientras que la segunda, puede ser promovida por cualquier persona para poner en conocimiento a la jurisdicción disciplinaria de la comisión de una falta por parte de un abogado, sin que sea necesario que se adelante con ocasión a un determinado proceso.</w:t>
      </w:r>
    </w:p>
    <w:p w14:paraId="193F2428" w14:textId="77777777" w:rsidR="003543B4" w:rsidRPr="003543B4" w:rsidRDefault="003543B4" w:rsidP="003543B4">
      <w:pPr>
        <w:jc w:val="both"/>
        <w:rPr>
          <w:rFonts w:ascii="Arial" w:eastAsia="Calibri" w:hAnsi="Arial" w:cs="Arial"/>
          <w:sz w:val="20"/>
          <w:lang w:val="es-CO" w:eastAsia="en-US"/>
        </w:rPr>
      </w:pPr>
    </w:p>
    <w:p w14:paraId="265AD645" w14:textId="77777777" w:rsidR="003543B4" w:rsidRPr="003543B4" w:rsidRDefault="003543B4" w:rsidP="003543B4">
      <w:pPr>
        <w:jc w:val="both"/>
        <w:rPr>
          <w:rFonts w:ascii="Arial" w:eastAsia="Calibri" w:hAnsi="Arial" w:cs="Arial"/>
          <w:sz w:val="20"/>
          <w:lang w:val="es-CO" w:eastAsia="en-US"/>
        </w:rPr>
      </w:pPr>
    </w:p>
    <w:p w14:paraId="05DAD057" w14:textId="77777777" w:rsidR="003543B4" w:rsidRPr="003543B4" w:rsidRDefault="003543B4" w:rsidP="003543B4">
      <w:pPr>
        <w:jc w:val="both"/>
        <w:rPr>
          <w:rFonts w:ascii="Arial" w:eastAsia="Calibri" w:hAnsi="Arial" w:cs="Arial"/>
          <w:sz w:val="20"/>
          <w:lang w:val="es-CO" w:eastAsia="en-US"/>
        </w:rPr>
      </w:pPr>
    </w:p>
    <w:p w14:paraId="17FAA5A4" w14:textId="77777777" w:rsidR="003543B4" w:rsidRPr="003543B4" w:rsidRDefault="003543B4" w:rsidP="003543B4">
      <w:pPr>
        <w:jc w:val="center"/>
        <w:rPr>
          <w:rFonts w:ascii="Bookman Old Style" w:eastAsia="Calibri" w:hAnsi="Bookman Old Style" w:cs="Arial"/>
          <w:b/>
          <w:sz w:val="24"/>
          <w:lang w:val="es-CO" w:eastAsia="en-US"/>
        </w:rPr>
      </w:pPr>
      <w:r w:rsidRPr="003543B4">
        <w:rPr>
          <w:rFonts w:ascii="Bookman Old Style" w:eastAsia="Calibri" w:hAnsi="Bookman Old Style" w:cs="Arial"/>
          <w:b/>
          <w:sz w:val="24"/>
          <w:lang w:val="es-CO" w:eastAsia="en-US"/>
        </w:rPr>
        <w:t xml:space="preserve">REPUBLICA DE COLOMBIA </w:t>
      </w:r>
    </w:p>
    <w:p w14:paraId="05B15368" w14:textId="77777777" w:rsidR="003543B4" w:rsidRPr="003543B4" w:rsidRDefault="003543B4" w:rsidP="003543B4">
      <w:pPr>
        <w:jc w:val="center"/>
        <w:rPr>
          <w:rFonts w:ascii="Bookman Old Style" w:eastAsia="Calibri" w:hAnsi="Bookman Old Style" w:cs="Arial"/>
          <w:b/>
          <w:sz w:val="24"/>
          <w:lang w:val="es-CO" w:eastAsia="en-US"/>
        </w:rPr>
      </w:pPr>
      <w:r w:rsidRPr="003543B4">
        <w:rPr>
          <w:rFonts w:ascii="Bookman Old Style" w:eastAsia="Calibri" w:hAnsi="Bookman Old Style" w:cs="Arial"/>
          <w:b/>
          <w:sz w:val="24"/>
          <w:lang w:val="es-CO" w:eastAsia="en-US"/>
        </w:rPr>
        <w:t>RAMA JUDICIAL DEL PODER PÚBLICO</w:t>
      </w:r>
    </w:p>
    <w:p w14:paraId="7ED9738D" w14:textId="77777777" w:rsidR="003543B4" w:rsidRPr="003543B4" w:rsidRDefault="003543B4" w:rsidP="003543B4">
      <w:pPr>
        <w:jc w:val="center"/>
        <w:rPr>
          <w:rFonts w:ascii="Bookman Old Style" w:eastAsia="Calibri" w:hAnsi="Bookman Old Style" w:cs="Arial"/>
          <w:b/>
          <w:sz w:val="24"/>
          <w:lang w:val="es-CO" w:eastAsia="en-US"/>
        </w:rPr>
      </w:pPr>
      <w:r w:rsidRPr="003543B4">
        <w:rPr>
          <w:rFonts w:ascii="Bookman Old Style" w:eastAsia="Calibri" w:hAnsi="Bookman Old Style" w:cs="Arial"/>
          <w:noProof/>
          <w:sz w:val="24"/>
          <w:lang w:val="en-US" w:eastAsia="en-US"/>
        </w:rPr>
        <w:drawing>
          <wp:inline distT="0" distB="0" distL="0" distR="0" wp14:anchorId="0FD626E6" wp14:editId="259F077E">
            <wp:extent cx="792480" cy="594360"/>
            <wp:effectExtent l="0" t="0" r="762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7732DFF4" w14:textId="77777777" w:rsidR="003543B4" w:rsidRPr="003543B4" w:rsidRDefault="003543B4" w:rsidP="0057394B">
      <w:pPr>
        <w:jc w:val="center"/>
        <w:rPr>
          <w:rFonts w:ascii="Bookman Old Style" w:eastAsia="Calibri" w:hAnsi="Bookman Old Style" w:cs="Arial"/>
          <w:b/>
          <w:sz w:val="24"/>
          <w:lang w:val="es-CO" w:eastAsia="en-US"/>
        </w:rPr>
      </w:pPr>
      <w:r w:rsidRPr="003543B4">
        <w:rPr>
          <w:rFonts w:ascii="Bookman Old Style" w:eastAsia="Calibri" w:hAnsi="Bookman Old Style" w:cs="Arial"/>
          <w:b/>
          <w:sz w:val="24"/>
          <w:lang w:val="es-CO" w:eastAsia="en-US"/>
        </w:rPr>
        <w:t>TRIBUNAL SUPERIOR DEL DISTRITO JUDICIAL DE PEREIRA</w:t>
      </w:r>
    </w:p>
    <w:p w14:paraId="75C69E08" w14:textId="77777777" w:rsidR="003543B4" w:rsidRPr="003543B4" w:rsidRDefault="003543B4" w:rsidP="0057394B">
      <w:pPr>
        <w:jc w:val="center"/>
        <w:rPr>
          <w:rFonts w:ascii="Bookman Old Style" w:eastAsia="Calibri" w:hAnsi="Bookman Old Style" w:cs="Arial"/>
          <w:b/>
          <w:sz w:val="24"/>
          <w:lang w:val="es-CO" w:eastAsia="en-US"/>
        </w:rPr>
      </w:pPr>
      <w:r w:rsidRPr="003543B4">
        <w:rPr>
          <w:rFonts w:ascii="Bookman Old Style" w:eastAsia="Calibri" w:hAnsi="Bookman Old Style" w:cs="Arial"/>
          <w:b/>
          <w:sz w:val="24"/>
          <w:lang w:val="es-CO" w:eastAsia="en-US"/>
        </w:rPr>
        <w:t>SALA DE DECISIÓN LABORAL</w:t>
      </w:r>
    </w:p>
    <w:p w14:paraId="5FA985A0" w14:textId="77777777" w:rsidR="003543B4" w:rsidRPr="003543B4" w:rsidRDefault="003543B4" w:rsidP="0057394B">
      <w:pPr>
        <w:jc w:val="center"/>
        <w:rPr>
          <w:rFonts w:ascii="Bookman Old Style" w:eastAsia="Calibri" w:hAnsi="Bookman Old Style" w:cs="Arial"/>
          <w:b/>
          <w:sz w:val="24"/>
          <w:lang w:val="es-CO" w:eastAsia="en-US"/>
        </w:rPr>
      </w:pPr>
    </w:p>
    <w:p w14:paraId="05783A8C" w14:textId="77777777" w:rsidR="003543B4" w:rsidRPr="003543B4" w:rsidRDefault="003543B4" w:rsidP="0057394B">
      <w:pPr>
        <w:jc w:val="center"/>
        <w:rPr>
          <w:rFonts w:ascii="Bookman Old Style" w:eastAsia="Calibri" w:hAnsi="Bookman Old Style" w:cs="Arial"/>
          <w:b/>
          <w:sz w:val="24"/>
          <w:lang w:val="es-CO" w:eastAsia="en-US"/>
        </w:rPr>
      </w:pPr>
      <w:r w:rsidRPr="003543B4">
        <w:rPr>
          <w:rFonts w:ascii="Bookman Old Style" w:eastAsia="Calibri" w:hAnsi="Bookman Old Style" w:cs="Arial"/>
          <w:b/>
          <w:sz w:val="24"/>
          <w:lang w:val="es-CO" w:eastAsia="en-US"/>
        </w:rPr>
        <w:t xml:space="preserve">GERMÁN DARÍO </w:t>
      </w:r>
      <w:proofErr w:type="spellStart"/>
      <w:r w:rsidRPr="003543B4">
        <w:rPr>
          <w:rFonts w:ascii="Bookman Old Style" w:eastAsia="Calibri" w:hAnsi="Bookman Old Style" w:cs="Arial"/>
          <w:b/>
          <w:sz w:val="24"/>
          <w:lang w:val="es-CO" w:eastAsia="en-US"/>
        </w:rPr>
        <w:t>GÓEZ</w:t>
      </w:r>
      <w:proofErr w:type="spellEnd"/>
      <w:r w:rsidRPr="003543B4">
        <w:rPr>
          <w:rFonts w:ascii="Bookman Old Style" w:eastAsia="Calibri" w:hAnsi="Bookman Old Style" w:cs="Arial"/>
          <w:b/>
          <w:sz w:val="24"/>
          <w:lang w:val="es-CO" w:eastAsia="en-US"/>
        </w:rPr>
        <w:t xml:space="preserve"> </w:t>
      </w:r>
      <w:proofErr w:type="spellStart"/>
      <w:r w:rsidRPr="003543B4">
        <w:rPr>
          <w:rFonts w:ascii="Bookman Old Style" w:eastAsia="Calibri" w:hAnsi="Bookman Old Style" w:cs="Arial"/>
          <w:b/>
          <w:sz w:val="24"/>
          <w:lang w:val="es-CO" w:eastAsia="en-US"/>
        </w:rPr>
        <w:t>VINASCO</w:t>
      </w:r>
      <w:proofErr w:type="spellEnd"/>
    </w:p>
    <w:p w14:paraId="706AC427" w14:textId="77777777" w:rsidR="003543B4" w:rsidRPr="003543B4" w:rsidRDefault="003543B4" w:rsidP="0057394B">
      <w:pPr>
        <w:jc w:val="center"/>
        <w:rPr>
          <w:rFonts w:ascii="Bookman Old Style" w:eastAsia="Calibri" w:hAnsi="Bookman Old Style" w:cs="Arial"/>
          <w:b/>
          <w:sz w:val="24"/>
          <w:lang w:val="es-CO" w:eastAsia="en-US"/>
        </w:rPr>
      </w:pPr>
      <w:r w:rsidRPr="003543B4">
        <w:rPr>
          <w:rFonts w:ascii="Bookman Old Style" w:eastAsia="Calibri" w:hAnsi="Bookman Old Style" w:cs="Arial"/>
          <w:sz w:val="24"/>
          <w:lang w:val="es-CO" w:eastAsia="en-US"/>
        </w:rPr>
        <w:t>Magistrado Ponente</w:t>
      </w:r>
    </w:p>
    <w:p w14:paraId="4AF40E51" w14:textId="77777777" w:rsidR="003543B4" w:rsidRPr="003543B4" w:rsidRDefault="003543B4" w:rsidP="0057394B">
      <w:pPr>
        <w:spacing w:line="276" w:lineRule="auto"/>
        <w:jc w:val="both"/>
        <w:rPr>
          <w:rFonts w:ascii="Bookman Old Style" w:eastAsia="Calibri" w:hAnsi="Bookman Old Style" w:cs="Arial"/>
          <w:sz w:val="24"/>
          <w:lang w:val="es-CO" w:eastAsia="en-US"/>
        </w:rPr>
      </w:pPr>
    </w:p>
    <w:p w14:paraId="7EE5FF12" w14:textId="1FDD7DE3" w:rsidR="000F1056" w:rsidRPr="007666BA" w:rsidRDefault="00AE3A27" w:rsidP="0057394B">
      <w:pPr>
        <w:spacing w:line="276" w:lineRule="auto"/>
        <w:jc w:val="center"/>
        <w:rPr>
          <w:rFonts w:ascii="Bookman Old Style" w:eastAsia="Dotum" w:hAnsi="Bookman Old Style" w:cs="FrankRuehl"/>
          <w:sz w:val="24"/>
        </w:rPr>
      </w:pPr>
      <w:r w:rsidRPr="007666BA">
        <w:rPr>
          <w:rFonts w:ascii="Bookman Old Style" w:eastAsia="Dotum" w:hAnsi="Bookman Old Style" w:cs="FrankRuehl"/>
          <w:sz w:val="24"/>
        </w:rPr>
        <w:t>Pereira</w:t>
      </w:r>
      <w:r w:rsidR="00781178" w:rsidRPr="007666BA">
        <w:rPr>
          <w:rFonts w:ascii="Bookman Old Style" w:eastAsia="Dotum" w:hAnsi="Bookman Old Style" w:cs="FrankRuehl"/>
          <w:sz w:val="24"/>
        </w:rPr>
        <w:t>,</w:t>
      </w:r>
      <w:r w:rsidR="004E755E" w:rsidRPr="007666BA">
        <w:rPr>
          <w:rFonts w:ascii="Bookman Old Style" w:eastAsia="Dotum" w:hAnsi="Bookman Old Style" w:cs="FrankRuehl"/>
          <w:sz w:val="24"/>
        </w:rPr>
        <w:t xml:space="preserve"> trece</w:t>
      </w:r>
      <w:r w:rsidR="00781178" w:rsidRPr="007666BA">
        <w:rPr>
          <w:rFonts w:ascii="Bookman Old Style" w:eastAsia="Dotum" w:hAnsi="Bookman Old Style" w:cs="FrankRuehl"/>
          <w:sz w:val="24"/>
        </w:rPr>
        <w:t xml:space="preserve"> </w:t>
      </w:r>
      <w:r w:rsidR="000F1056" w:rsidRPr="007666BA">
        <w:rPr>
          <w:rFonts w:ascii="Bookman Old Style" w:eastAsia="Dotum" w:hAnsi="Bookman Old Style" w:cs="FrankRuehl"/>
          <w:sz w:val="24"/>
        </w:rPr>
        <w:t>(</w:t>
      </w:r>
      <w:r w:rsidR="004E755E" w:rsidRPr="007666BA">
        <w:rPr>
          <w:rFonts w:ascii="Bookman Old Style" w:eastAsia="Dotum" w:hAnsi="Bookman Old Style" w:cs="FrankRuehl"/>
          <w:sz w:val="24"/>
        </w:rPr>
        <w:t>13</w:t>
      </w:r>
      <w:r w:rsidR="000F1056" w:rsidRPr="007666BA">
        <w:rPr>
          <w:rFonts w:ascii="Bookman Old Style" w:eastAsia="Dotum" w:hAnsi="Bookman Old Style" w:cs="FrankRuehl"/>
          <w:sz w:val="24"/>
        </w:rPr>
        <w:t xml:space="preserve">) de </w:t>
      </w:r>
      <w:r w:rsidR="00E164EE" w:rsidRPr="007666BA">
        <w:rPr>
          <w:rFonts w:ascii="Bookman Old Style" w:eastAsia="Dotum" w:hAnsi="Bookman Old Style" w:cs="FrankRuehl"/>
          <w:sz w:val="24"/>
        </w:rPr>
        <w:t>diciembre</w:t>
      </w:r>
      <w:r w:rsidRPr="007666BA">
        <w:rPr>
          <w:rFonts w:ascii="Bookman Old Style" w:eastAsia="Dotum" w:hAnsi="Bookman Old Style" w:cs="FrankRuehl"/>
          <w:sz w:val="24"/>
        </w:rPr>
        <w:t xml:space="preserve"> </w:t>
      </w:r>
      <w:r w:rsidR="00EE5F45" w:rsidRPr="007666BA">
        <w:rPr>
          <w:rFonts w:ascii="Bookman Old Style" w:eastAsia="Dotum" w:hAnsi="Bookman Old Style" w:cs="FrankRuehl"/>
          <w:sz w:val="24"/>
        </w:rPr>
        <w:t>de dos mil veinti</w:t>
      </w:r>
      <w:r w:rsidR="00C87598" w:rsidRPr="007666BA">
        <w:rPr>
          <w:rFonts w:ascii="Bookman Old Style" w:eastAsia="Dotum" w:hAnsi="Bookman Old Style" w:cs="FrankRuehl"/>
          <w:sz w:val="24"/>
        </w:rPr>
        <w:t>trés</w:t>
      </w:r>
      <w:r w:rsidR="00EE5F45" w:rsidRPr="007666BA">
        <w:rPr>
          <w:rFonts w:ascii="Bookman Old Style" w:eastAsia="Dotum" w:hAnsi="Bookman Old Style" w:cs="FrankRuehl"/>
          <w:sz w:val="24"/>
        </w:rPr>
        <w:t xml:space="preserve"> </w:t>
      </w:r>
      <w:r w:rsidR="000F1056" w:rsidRPr="007666BA">
        <w:rPr>
          <w:rFonts w:ascii="Bookman Old Style" w:eastAsia="Dotum" w:hAnsi="Bookman Old Style" w:cs="FrankRuehl"/>
          <w:sz w:val="24"/>
        </w:rPr>
        <w:t>(20</w:t>
      </w:r>
      <w:r w:rsidR="00EE5F45" w:rsidRPr="007666BA">
        <w:rPr>
          <w:rFonts w:ascii="Bookman Old Style" w:eastAsia="Dotum" w:hAnsi="Bookman Old Style" w:cs="FrankRuehl"/>
          <w:sz w:val="24"/>
        </w:rPr>
        <w:t>2</w:t>
      </w:r>
      <w:r w:rsidR="00C87598" w:rsidRPr="007666BA">
        <w:rPr>
          <w:rFonts w:ascii="Bookman Old Style" w:eastAsia="Dotum" w:hAnsi="Bookman Old Style" w:cs="FrankRuehl"/>
          <w:sz w:val="24"/>
        </w:rPr>
        <w:t>3</w:t>
      </w:r>
      <w:r w:rsidR="000F1056" w:rsidRPr="007666BA">
        <w:rPr>
          <w:rFonts w:ascii="Bookman Old Style" w:eastAsia="Dotum" w:hAnsi="Bookman Old Style" w:cs="FrankRuehl"/>
          <w:sz w:val="24"/>
        </w:rPr>
        <w:t xml:space="preserve">) </w:t>
      </w:r>
    </w:p>
    <w:p w14:paraId="02EB378F" w14:textId="77777777" w:rsidR="000F1056" w:rsidRPr="007666BA" w:rsidRDefault="000F1056" w:rsidP="0057394B">
      <w:pPr>
        <w:tabs>
          <w:tab w:val="left" w:pos="2127"/>
        </w:tabs>
        <w:suppressAutoHyphens/>
        <w:autoSpaceDE w:val="0"/>
        <w:autoSpaceDN w:val="0"/>
        <w:adjustRightInd w:val="0"/>
        <w:spacing w:line="276" w:lineRule="auto"/>
        <w:jc w:val="both"/>
        <w:rPr>
          <w:rFonts w:ascii="Bookman Old Style" w:hAnsi="Bookman Old Style"/>
          <w:b/>
          <w:sz w:val="24"/>
          <w:lang w:val="es-ES_tradnl"/>
        </w:rPr>
      </w:pPr>
    </w:p>
    <w:tbl>
      <w:tblPr>
        <w:tblStyle w:val="Tablaconcuadrcula"/>
        <w:tblW w:w="8642" w:type="dxa"/>
        <w:jc w:val="center"/>
        <w:tblLook w:val="04A0" w:firstRow="1" w:lastRow="0" w:firstColumn="1" w:lastColumn="0" w:noHBand="0" w:noVBand="1"/>
      </w:tblPr>
      <w:tblGrid>
        <w:gridCol w:w="3114"/>
        <w:gridCol w:w="5528"/>
      </w:tblGrid>
      <w:tr w:rsidR="00702316" w:rsidRPr="007666BA" w14:paraId="2D03250D" w14:textId="77777777" w:rsidTr="0057394B">
        <w:trPr>
          <w:trHeight w:val="285"/>
          <w:jc w:val="center"/>
        </w:trPr>
        <w:tc>
          <w:tcPr>
            <w:tcW w:w="3114" w:type="dxa"/>
          </w:tcPr>
          <w:p w14:paraId="1430AFEB" w14:textId="00A18BAF" w:rsidR="000F1056" w:rsidRPr="007666BA" w:rsidRDefault="00D276F8" w:rsidP="00D276F8">
            <w:pPr>
              <w:tabs>
                <w:tab w:val="left" w:pos="2127"/>
              </w:tabs>
              <w:suppressAutoHyphens/>
              <w:autoSpaceDE w:val="0"/>
              <w:autoSpaceDN w:val="0"/>
              <w:adjustRightInd w:val="0"/>
              <w:ind w:left="25"/>
              <w:jc w:val="both"/>
              <w:rPr>
                <w:rFonts w:ascii="Bookman Old Style" w:hAnsi="Bookman Old Style"/>
                <w:sz w:val="22"/>
                <w:lang w:val="es-ES_tradnl"/>
              </w:rPr>
            </w:pPr>
            <w:r w:rsidRPr="007666BA">
              <w:rPr>
                <w:rFonts w:ascii="Bookman Old Style" w:hAnsi="Bookman Old Style"/>
                <w:sz w:val="22"/>
                <w:lang w:val="es-ES_tradnl"/>
              </w:rPr>
              <w:t>Proceso:</w:t>
            </w:r>
          </w:p>
        </w:tc>
        <w:tc>
          <w:tcPr>
            <w:tcW w:w="5528" w:type="dxa"/>
          </w:tcPr>
          <w:p w14:paraId="2257D3EC" w14:textId="0DB26AFA" w:rsidR="000F1056" w:rsidRPr="007666BA" w:rsidRDefault="00C87598" w:rsidP="00D276F8">
            <w:pPr>
              <w:tabs>
                <w:tab w:val="left" w:pos="2127"/>
              </w:tabs>
              <w:suppressAutoHyphens/>
              <w:autoSpaceDE w:val="0"/>
              <w:autoSpaceDN w:val="0"/>
              <w:adjustRightInd w:val="0"/>
              <w:ind w:left="284"/>
              <w:jc w:val="both"/>
              <w:rPr>
                <w:rFonts w:ascii="Bookman Old Style" w:hAnsi="Bookman Old Style"/>
                <w:bCs/>
                <w:sz w:val="22"/>
                <w:lang w:val="es-ES_tradnl"/>
              </w:rPr>
            </w:pPr>
            <w:r w:rsidRPr="007666BA">
              <w:rPr>
                <w:rFonts w:ascii="Bookman Old Style" w:hAnsi="Bookman Old Style"/>
                <w:bCs/>
                <w:sz w:val="22"/>
                <w:lang w:val="es-ES_tradnl"/>
              </w:rPr>
              <w:t>Ordinario</w:t>
            </w:r>
            <w:r w:rsidR="000F1056" w:rsidRPr="007666BA">
              <w:rPr>
                <w:rFonts w:ascii="Bookman Old Style" w:hAnsi="Bookman Old Style"/>
                <w:bCs/>
                <w:sz w:val="22"/>
                <w:lang w:val="es-ES_tradnl"/>
              </w:rPr>
              <w:t xml:space="preserve"> Laboral </w:t>
            </w:r>
          </w:p>
        </w:tc>
      </w:tr>
      <w:tr w:rsidR="00702316" w:rsidRPr="007666BA" w14:paraId="6C2D602B" w14:textId="77777777" w:rsidTr="0057394B">
        <w:trPr>
          <w:jc w:val="center"/>
        </w:trPr>
        <w:tc>
          <w:tcPr>
            <w:tcW w:w="3114" w:type="dxa"/>
          </w:tcPr>
          <w:p w14:paraId="3FA17035" w14:textId="36B941B1" w:rsidR="000F1056" w:rsidRPr="007666BA" w:rsidRDefault="00D276F8" w:rsidP="00D276F8">
            <w:pPr>
              <w:tabs>
                <w:tab w:val="left" w:pos="2127"/>
              </w:tabs>
              <w:suppressAutoHyphens/>
              <w:autoSpaceDE w:val="0"/>
              <w:autoSpaceDN w:val="0"/>
              <w:adjustRightInd w:val="0"/>
              <w:ind w:left="25"/>
              <w:jc w:val="both"/>
              <w:rPr>
                <w:rFonts w:ascii="Bookman Old Style" w:hAnsi="Bookman Old Style"/>
                <w:sz w:val="22"/>
                <w:lang w:val="es-ES_tradnl"/>
              </w:rPr>
            </w:pPr>
            <w:r w:rsidRPr="007666BA">
              <w:rPr>
                <w:rFonts w:ascii="Bookman Old Style" w:hAnsi="Bookman Old Style"/>
                <w:sz w:val="22"/>
                <w:lang w:val="es-ES_tradnl"/>
              </w:rPr>
              <w:t>Radicado:</w:t>
            </w:r>
          </w:p>
        </w:tc>
        <w:tc>
          <w:tcPr>
            <w:tcW w:w="5528" w:type="dxa"/>
          </w:tcPr>
          <w:p w14:paraId="356C08CD" w14:textId="3EF2EC07" w:rsidR="000F1056" w:rsidRPr="007666BA" w:rsidRDefault="00E164EE" w:rsidP="00D276F8">
            <w:pPr>
              <w:ind w:left="284"/>
              <w:jc w:val="both"/>
              <w:rPr>
                <w:rFonts w:ascii="Bookman Old Style" w:hAnsi="Bookman Old Style"/>
                <w:bCs/>
                <w:sz w:val="22"/>
                <w:lang w:val="es-ES_tradnl"/>
              </w:rPr>
            </w:pPr>
            <w:r w:rsidRPr="007666BA">
              <w:rPr>
                <w:rFonts w:ascii="Bookman Old Style" w:hAnsi="Bookman Old Style"/>
                <w:bCs/>
                <w:sz w:val="22"/>
                <w:lang w:val="es-ES_tradnl"/>
              </w:rPr>
              <w:t>66001310500520220015601</w:t>
            </w:r>
          </w:p>
        </w:tc>
      </w:tr>
      <w:tr w:rsidR="00E164EE" w:rsidRPr="007666BA" w14:paraId="1E1EDA37" w14:textId="77777777" w:rsidTr="0057394B">
        <w:trPr>
          <w:jc w:val="center"/>
        </w:trPr>
        <w:tc>
          <w:tcPr>
            <w:tcW w:w="3114" w:type="dxa"/>
          </w:tcPr>
          <w:p w14:paraId="61FA1B88" w14:textId="08652A0B" w:rsidR="00E164EE" w:rsidRPr="007666BA" w:rsidRDefault="00D276F8" w:rsidP="00D276F8">
            <w:pPr>
              <w:tabs>
                <w:tab w:val="left" w:pos="2127"/>
              </w:tabs>
              <w:suppressAutoHyphens/>
              <w:autoSpaceDE w:val="0"/>
              <w:autoSpaceDN w:val="0"/>
              <w:adjustRightInd w:val="0"/>
              <w:ind w:left="25"/>
              <w:jc w:val="both"/>
              <w:rPr>
                <w:rFonts w:ascii="Bookman Old Style" w:hAnsi="Bookman Old Style"/>
                <w:sz w:val="22"/>
                <w:lang w:val="es-ES_tradnl"/>
              </w:rPr>
            </w:pPr>
            <w:r w:rsidRPr="007666BA">
              <w:rPr>
                <w:rFonts w:ascii="Bookman Old Style" w:hAnsi="Bookman Old Style"/>
                <w:sz w:val="22"/>
                <w:lang w:val="es-ES_tradnl"/>
              </w:rPr>
              <w:t>Acumulado:</w:t>
            </w:r>
          </w:p>
        </w:tc>
        <w:tc>
          <w:tcPr>
            <w:tcW w:w="5528" w:type="dxa"/>
          </w:tcPr>
          <w:p w14:paraId="52FF103D" w14:textId="45CBB45B" w:rsidR="00E164EE" w:rsidRPr="007666BA" w:rsidRDefault="00E164EE" w:rsidP="00D276F8">
            <w:pPr>
              <w:ind w:left="284"/>
              <w:jc w:val="both"/>
              <w:rPr>
                <w:rFonts w:ascii="Bookman Old Style" w:hAnsi="Bookman Old Style"/>
                <w:bCs/>
                <w:sz w:val="22"/>
                <w:lang w:val="es-ES_tradnl"/>
              </w:rPr>
            </w:pPr>
            <w:r w:rsidRPr="007666BA">
              <w:rPr>
                <w:rFonts w:ascii="Bookman Old Style" w:hAnsi="Bookman Old Style"/>
                <w:bCs/>
                <w:sz w:val="22"/>
                <w:lang w:val="es-ES_tradnl"/>
              </w:rPr>
              <w:t>66001310500520220027600</w:t>
            </w:r>
          </w:p>
        </w:tc>
      </w:tr>
      <w:tr w:rsidR="00702316" w:rsidRPr="007666BA" w14:paraId="2318C9A4" w14:textId="77777777" w:rsidTr="0057394B">
        <w:trPr>
          <w:jc w:val="center"/>
        </w:trPr>
        <w:tc>
          <w:tcPr>
            <w:tcW w:w="3114" w:type="dxa"/>
          </w:tcPr>
          <w:p w14:paraId="50CDA047" w14:textId="2EA7BADF" w:rsidR="000F1056" w:rsidRPr="007666BA" w:rsidRDefault="00D276F8" w:rsidP="00D276F8">
            <w:pPr>
              <w:tabs>
                <w:tab w:val="left" w:pos="2127"/>
              </w:tabs>
              <w:suppressAutoHyphens/>
              <w:autoSpaceDE w:val="0"/>
              <w:autoSpaceDN w:val="0"/>
              <w:adjustRightInd w:val="0"/>
              <w:ind w:left="25"/>
              <w:jc w:val="both"/>
              <w:rPr>
                <w:rFonts w:ascii="Bookman Old Style" w:hAnsi="Bookman Old Style"/>
                <w:sz w:val="22"/>
                <w:lang w:val="es-ES_tradnl"/>
              </w:rPr>
            </w:pPr>
            <w:r w:rsidRPr="007666BA">
              <w:rPr>
                <w:rFonts w:ascii="Bookman Old Style" w:hAnsi="Bookman Old Style"/>
                <w:sz w:val="22"/>
                <w:lang w:val="es-ES_tradnl"/>
              </w:rPr>
              <w:t>Demandante  principal:</w:t>
            </w:r>
          </w:p>
        </w:tc>
        <w:tc>
          <w:tcPr>
            <w:tcW w:w="5528" w:type="dxa"/>
          </w:tcPr>
          <w:p w14:paraId="4B9FBC55" w14:textId="20FBDD57" w:rsidR="000F1056" w:rsidRPr="007666BA" w:rsidRDefault="00D276F8" w:rsidP="00D276F8">
            <w:pPr>
              <w:tabs>
                <w:tab w:val="left" w:pos="2127"/>
              </w:tabs>
              <w:suppressAutoHyphens/>
              <w:autoSpaceDE w:val="0"/>
              <w:autoSpaceDN w:val="0"/>
              <w:adjustRightInd w:val="0"/>
              <w:ind w:left="284"/>
              <w:jc w:val="both"/>
              <w:rPr>
                <w:rFonts w:ascii="Bookman Old Style" w:hAnsi="Bookman Old Style"/>
                <w:sz w:val="22"/>
                <w:lang w:val="es-ES_tradnl"/>
              </w:rPr>
            </w:pPr>
            <w:proofErr w:type="spellStart"/>
            <w:r w:rsidRPr="007666BA">
              <w:rPr>
                <w:rFonts w:ascii="Bookman Old Style" w:hAnsi="Bookman Old Style"/>
                <w:sz w:val="22"/>
                <w:lang w:val="es-ES_tradnl"/>
              </w:rPr>
              <w:t>Jhon</w:t>
            </w:r>
            <w:proofErr w:type="spellEnd"/>
            <w:r w:rsidRPr="007666BA">
              <w:rPr>
                <w:rFonts w:ascii="Bookman Old Style" w:hAnsi="Bookman Old Style"/>
                <w:sz w:val="22"/>
                <w:lang w:val="es-ES_tradnl"/>
              </w:rPr>
              <w:t xml:space="preserve"> Esteban Puerta Giraldo</w:t>
            </w:r>
          </w:p>
        </w:tc>
      </w:tr>
      <w:tr w:rsidR="00E164EE" w:rsidRPr="007666BA" w14:paraId="4B3ED2AE" w14:textId="77777777" w:rsidTr="0057394B">
        <w:trPr>
          <w:jc w:val="center"/>
        </w:trPr>
        <w:tc>
          <w:tcPr>
            <w:tcW w:w="3114" w:type="dxa"/>
          </w:tcPr>
          <w:p w14:paraId="1F2B35CB" w14:textId="12769922" w:rsidR="00E164EE" w:rsidRPr="007666BA" w:rsidRDefault="00D276F8" w:rsidP="00D276F8">
            <w:pPr>
              <w:tabs>
                <w:tab w:val="left" w:pos="2127"/>
              </w:tabs>
              <w:suppressAutoHyphens/>
              <w:autoSpaceDE w:val="0"/>
              <w:autoSpaceDN w:val="0"/>
              <w:adjustRightInd w:val="0"/>
              <w:ind w:left="25"/>
              <w:jc w:val="both"/>
              <w:rPr>
                <w:rFonts w:ascii="Bookman Old Style" w:hAnsi="Bookman Old Style"/>
                <w:sz w:val="22"/>
                <w:lang w:val="es-ES_tradnl"/>
              </w:rPr>
            </w:pPr>
            <w:r w:rsidRPr="007666BA">
              <w:rPr>
                <w:rFonts w:ascii="Bookman Old Style" w:hAnsi="Bookman Old Style"/>
                <w:sz w:val="22"/>
                <w:lang w:val="es-ES_tradnl"/>
              </w:rPr>
              <w:t>Demandante acumulado:</w:t>
            </w:r>
          </w:p>
        </w:tc>
        <w:tc>
          <w:tcPr>
            <w:tcW w:w="5528" w:type="dxa"/>
          </w:tcPr>
          <w:p w14:paraId="57BB65D7" w14:textId="498754B1" w:rsidR="00E164EE" w:rsidRPr="007666BA" w:rsidRDefault="00D276F8" w:rsidP="00D276F8">
            <w:pPr>
              <w:tabs>
                <w:tab w:val="left" w:pos="2127"/>
              </w:tabs>
              <w:suppressAutoHyphens/>
              <w:autoSpaceDE w:val="0"/>
              <w:autoSpaceDN w:val="0"/>
              <w:adjustRightInd w:val="0"/>
              <w:ind w:left="284"/>
              <w:jc w:val="both"/>
              <w:rPr>
                <w:rFonts w:ascii="Bookman Old Style" w:hAnsi="Bookman Old Style"/>
                <w:sz w:val="22"/>
                <w:lang w:val="es-ES_tradnl"/>
              </w:rPr>
            </w:pPr>
            <w:r w:rsidRPr="007666BA">
              <w:rPr>
                <w:rFonts w:ascii="Bookman Old Style" w:hAnsi="Bookman Old Style"/>
                <w:sz w:val="22"/>
                <w:lang w:val="es-ES_tradnl"/>
              </w:rPr>
              <w:t>Concepción Hernández Fuentes</w:t>
            </w:r>
          </w:p>
        </w:tc>
      </w:tr>
      <w:tr w:rsidR="00702316" w:rsidRPr="007666BA" w14:paraId="1503445C" w14:textId="77777777" w:rsidTr="0057394B">
        <w:trPr>
          <w:jc w:val="center"/>
        </w:trPr>
        <w:tc>
          <w:tcPr>
            <w:tcW w:w="3114" w:type="dxa"/>
          </w:tcPr>
          <w:p w14:paraId="71069CC1" w14:textId="4A906E69" w:rsidR="000F1056" w:rsidRPr="007666BA" w:rsidRDefault="00D276F8" w:rsidP="00D276F8">
            <w:pPr>
              <w:tabs>
                <w:tab w:val="left" w:pos="2127"/>
              </w:tabs>
              <w:suppressAutoHyphens/>
              <w:autoSpaceDE w:val="0"/>
              <w:autoSpaceDN w:val="0"/>
              <w:adjustRightInd w:val="0"/>
              <w:ind w:left="25"/>
              <w:jc w:val="both"/>
              <w:rPr>
                <w:rFonts w:ascii="Bookman Old Style" w:hAnsi="Bookman Old Style"/>
                <w:sz w:val="22"/>
                <w:lang w:val="es-ES_tradnl"/>
              </w:rPr>
            </w:pPr>
            <w:r w:rsidRPr="007666BA">
              <w:rPr>
                <w:rFonts w:ascii="Bookman Old Style" w:hAnsi="Bookman Old Style"/>
                <w:sz w:val="22"/>
                <w:lang w:val="es-ES_tradnl"/>
              </w:rPr>
              <w:t>Demandados:</w:t>
            </w:r>
          </w:p>
        </w:tc>
        <w:tc>
          <w:tcPr>
            <w:tcW w:w="5528" w:type="dxa"/>
          </w:tcPr>
          <w:p w14:paraId="00E26B9A" w14:textId="326CB539" w:rsidR="000F1056" w:rsidRPr="007666BA" w:rsidRDefault="00D276F8" w:rsidP="00D276F8">
            <w:pPr>
              <w:tabs>
                <w:tab w:val="left" w:pos="2127"/>
              </w:tabs>
              <w:suppressAutoHyphens/>
              <w:autoSpaceDE w:val="0"/>
              <w:autoSpaceDN w:val="0"/>
              <w:adjustRightInd w:val="0"/>
              <w:ind w:left="284"/>
              <w:jc w:val="both"/>
              <w:rPr>
                <w:rFonts w:ascii="Bookman Old Style" w:hAnsi="Bookman Old Style"/>
                <w:sz w:val="22"/>
                <w:lang w:val="es-ES_tradnl"/>
              </w:rPr>
            </w:pPr>
            <w:r w:rsidRPr="007666BA">
              <w:rPr>
                <w:rFonts w:ascii="Bookman Old Style" w:hAnsi="Bookman Old Style"/>
                <w:sz w:val="22"/>
                <w:lang w:val="es-ES_tradnl"/>
              </w:rPr>
              <w:t xml:space="preserve">Las Ingenierías </w:t>
            </w:r>
            <w:r w:rsidR="00285A1C" w:rsidRPr="007666BA">
              <w:rPr>
                <w:rFonts w:ascii="Bookman Old Style" w:hAnsi="Bookman Old Style"/>
                <w:sz w:val="22"/>
                <w:lang w:val="es-ES_tradnl"/>
              </w:rPr>
              <w:t>S.A.S.</w:t>
            </w:r>
          </w:p>
          <w:p w14:paraId="117A1CE0" w14:textId="4BBBF19C" w:rsidR="00285A1C" w:rsidRPr="007666BA" w:rsidRDefault="00D276F8" w:rsidP="00D276F8">
            <w:pPr>
              <w:tabs>
                <w:tab w:val="left" w:pos="2127"/>
              </w:tabs>
              <w:suppressAutoHyphens/>
              <w:autoSpaceDE w:val="0"/>
              <w:autoSpaceDN w:val="0"/>
              <w:adjustRightInd w:val="0"/>
              <w:ind w:left="284"/>
              <w:jc w:val="both"/>
              <w:rPr>
                <w:rFonts w:ascii="Bookman Old Style" w:hAnsi="Bookman Old Style"/>
                <w:sz w:val="22"/>
                <w:lang w:val="es-ES_tradnl"/>
              </w:rPr>
            </w:pPr>
            <w:r w:rsidRPr="007666BA">
              <w:rPr>
                <w:rFonts w:ascii="Bookman Old Style" w:hAnsi="Bookman Old Style"/>
                <w:sz w:val="22"/>
                <w:lang w:val="es-ES_tradnl"/>
              </w:rPr>
              <w:t xml:space="preserve">Sociedad de Activos Especiales </w:t>
            </w:r>
            <w:r w:rsidR="00285A1C" w:rsidRPr="007666BA">
              <w:rPr>
                <w:rFonts w:ascii="Bookman Old Style" w:hAnsi="Bookman Old Style"/>
                <w:sz w:val="22"/>
                <w:lang w:val="es-ES_tradnl"/>
              </w:rPr>
              <w:t>S.A.S.</w:t>
            </w:r>
          </w:p>
          <w:p w14:paraId="02406A8D" w14:textId="39141BAA" w:rsidR="00E164EE" w:rsidRPr="007666BA" w:rsidRDefault="00D276F8" w:rsidP="00D276F8">
            <w:pPr>
              <w:tabs>
                <w:tab w:val="left" w:pos="2127"/>
              </w:tabs>
              <w:suppressAutoHyphens/>
              <w:autoSpaceDE w:val="0"/>
              <w:autoSpaceDN w:val="0"/>
              <w:adjustRightInd w:val="0"/>
              <w:ind w:left="284"/>
              <w:jc w:val="both"/>
              <w:rPr>
                <w:rFonts w:ascii="Bookman Old Style" w:hAnsi="Bookman Old Style"/>
                <w:sz w:val="22"/>
                <w:lang w:val="es-ES_tradnl"/>
              </w:rPr>
            </w:pPr>
            <w:r w:rsidRPr="007666BA">
              <w:rPr>
                <w:rFonts w:ascii="Bookman Old Style" w:hAnsi="Bookman Old Style"/>
                <w:sz w:val="22"/>
                <w:lang w:val="es-ES_tradnl"/>
              </w:rPr>
              <w:t>Sara Montoya Soto</w:t>
            </w:r>
          </w:p>
          <w:p w14:paraId="42AEC993" w14:textId="50E3D27D" w:rsidR="00285A1C" w:rsidRPr="007666BA" w:rsidRDefault="00D276F8" w:rsidP="00D276F8">
            <w:pPr>
              <w:tabs>
                <w:tab w:val="left" w:pos="2127"/>
              </w:tabs>
              <w:suppressAutoHyphens/>
              <w:autoSpaceDE w:val="0"/>
              <w:autoSpaceDN w:val="0"/>
              <w:adjustRightInd w:val="0"/>
              <w:ind w:left="284"/>
              <w:jc w:val="both"/>
              <w:rPr>
                <w:rFonts w:ascii="Bookman Old Style" w:hAnsi="Bookman Old Style"/>
                <w:sz w:val="22"/>
                <w:lang w:val="es-ES_tradnl"/>
              </w:rPr>
            </w:pPr>
            <w:r w:rsidRPr="007666BA">
              <w:rPr>
                <w:rFonts w:ascii="Bookman Old Style" w:hAnsi="Bookman Old Style"/>
                <w:sz w:val="22"/>
                <w:lang w:val="es-ES_tradnl"/>
              </w:rPr>
              <w:t xml:space="preserve">Andrés Alberto Ávila </w:t>
            </w:r>
            <w:proofErr w:type="spellStart"/>
            <w:r w:rsidRPr="007666BA">
              <w:rPr>
                <w:rFonts w:ascii="Bookman Old Style" w:hAnsi="Bookman Old Style"/>
                <w:sz w:val="22"/>
                <w:lang w:val="es-ES_tradnl"/>
              </w:rPr>
              <w:t>Ávila</w:t>
            </w:r>
            <w:proofErr w:type="spellEnd"/>
          </w:p>
        </w:tc>
      </w:tr>
      <w:tr w:rsidR="000321E4" w:rsidRPr="007666BA" w14:paraId="637679F3" w14:textId="77777777" w:rsidTr="0057394B">
        <w:trPr>
          <w:trHeight w:val="350"/>
          <w:jc w:val="center"/>
        </w:trPr>
        <w:tc>
          <w:tcPr>
            <w:tcW w:w="3114" w:type="dxa"/>
          </w:tcPr>
          <w:p w14:paraId="789309A0" w14:textId="71FB8C75" w:rsidR="000321E4" w:rsidRPr="007666BA" w:rsidRDefault="00D276F8" w:rsidP="00D276F8">
            <w:pPr>
              <w:tabs>
                <w:tab w:val="left" w:pos="2127"/>
              </w:tabs>
              <w:suppressAutoHyphens/>
              <w:autoSpaceDE w:val="0"/>
              <w:autoSpaceDN w:val="0"/>
              <w:adjustRightInd w:val="0"/>
              <w:ind w:left="25"/>
              <w:jc w:val="both"/>
              <w:rPr>
                <w:rFonts w:ascii="Bookman Old Style" w:hAnsi="Bookman Old Style"/>
                <w:sz w:val="22"/>
                <w:lang w:val="es-ES_tradnl"/>
              </w:rPr>
            </w:pPr>
            <w:r w:rsidRPr="007666BA">
              <w:rPr>
                <w:rFonts w:ascii="Bookman Old Style" w:hAnsi="Bookman Old Style"/>
                <w:bCs/>
                <w:sz w:val="22"/>
                <w:lang w:val="es-ES_tradnl"/>
              </w:rPr>
              <w:t>Juzgado:</w:t>
            </w:r>
          </w:p>
        </w:tc>
        <w:tc>
          <w:tcPr>
            <w:tcW w:w="5528" w:type="dxa"/>
          </w:tcPr>
          <w:p w14:paraId="3BE536DC" w14:textId="15DE3F92" w:rsidR="000321E4" w:rsidRPr="007666BA" w:rsidRDefault="000321E4" w:rsidP="00D276F8">
            <w:pPr>
              <w:suppressAutoHyphens/>
              <w:autoSpaceDE w:val="0"/>
              <w:autoSpaceDN w:val="0"/>
              <w:adjustRightInd w:val="0"/>
              <w:ind w:left="284"/>
              <w:jc w:val="both"/>
              <w:rPr>
                <w:rFonts w:ascii="Bookman Old Style" w:hAnsi="Bookman Old Style"/>
                <w:bCs/>
                <w:sz w:val="22"/>
                <w:lang w:val="es-ES_tradnl"/>
              </w:rPr>
            </w:pPr>
            <w:r w:rsidRPr="007666BA">
              <w:rPr>
                <w:rFonts w:ascii="Bookman Old Style" w:hAnsi="Bookman Old Style"/>
                <w:bCs/>
                <w:sz w:val="22"/>
                <w:lang w:val="es-ES_tradnl"/>
              </w:rPr>
              <w:t xml:space="preserve">Juzgado </w:t>
            </w:r>
            <w:r w:rsidR="00E164EE" w:rsidRPr="007666BA">
              <w:rPr>
                <w:rFonts w:ascii="Bookman Old Style" w:hAnsi="Bookman Old Style"/>
                <w:bCs/>
                <w:sz w:val="22"/>
                <w:lang w:val="es-ES_tradnl"/>
              </w:rPr>
              <w:t>Quinto</w:t>
            </w:r>
            <w:r w:rsidRPr="007666BA">
              <w:rPr>
                <w:rFonts w:ascii="Bookman Old Style" w:hAnsi="Bookman Old Style"/>
                <w:bCs/>
                <w:sz w:val="22"/>
                <w:lang w:val="es-ES_tradnl"/>
              </w:rPr>
              <w:t xml:space="preserve"> Laboral del Circuito de Pereira </w:t>
            </w:r>
          </w:p>
        </w:tc>
      </w:tr>
      <w:tr w:rsidR="00883BBA" w:rsidRPr="007666BA" w14:paraId="3DDB4721" w14:textId="77777777" w:rsidTr="0057394B">
        <w:trPr>
          <w:trHeight w:val="307"/>
          <w:jc w:val="center"/>
        </w:trPr>
        <w:tc>
          <w:tcPr>
            <w:tcW w:w="3114" w:type="dxa"/>
          </w:tcPr>
          <w:p w14:paraId="5B2CA629" w14:textId="23ABA3C4" w:rsidR="000F1056" w:rsidRPr="007666BA" w:rsidRDefault="00D276F8" w:rsidP="00D276F8">
            <w:pPr>
              <w:tabs>
                <w:tab w:val="left" w:pos="2127"/>
              </w:tabs>
              <w:suppressAutoHyphens/>
              <w:autoSpaceDE w:val="0"/>
              <w:autoSpaceDN w:val="0"/>
              <w:adjustRightInd w:val="0"/>
              <w:ind w:left="25"/>
              <w:jc w:val="both"/>
              <w:rPr>
                <w:rFonts w:ascii="Bookman Old Style" w:hAnsi="Bookman Old Style"/>
                <w:sz w:val="22"/>
                <w:lang w:val="es-ES_tradnl"/>
              </w:rPr>
            </w:pPr>
            <w:r w:rsidRPr="007666BA">
              <w:rPr>
                <w:rFonts w:ascii="Bookman Old Style" w:hAnsi="Bookman Old Style"/>
                <w:iCs/>
                <w:sz w:val="22"/>
              </w:rPr>
              <w:t>Tema:</w:t>
            </w:r>
          </w:p>
        </w:tc>
        <w:tc>
          <w:tcPr>
            <w:tcW w:w="5528" w:type="dxa"/>
          </w:tcPr>
          <w:p w14:paraId="39AEE92D" w14:textId="4DB8B656" w:rsidR="000F1056" w:rsidRPr="007666BA" w:rsidRDefault="00307DD9" w:rsidP="00D276F8">
            <w:pPr>
              <w:autoSpaceDE w:val="0"/>
              <w:autoSpaceDN w:val="0"/>
              <w:adjustRightInd w:val="0"/>
              <w:ind w:left="284"/>
              <w:jc w:val="both"/>
              <w:rPr>
                <w:rFonts w:ascii="Bookman Old Style" w:eastAsia="Dotum" w:hAnsi="Bookman Old Style" w:cs="Tahoma"/>
                <w:bCs/>
                <w:sz w:val="22"/>
              </w:rPr>
            </w:pPr>
            <w:r w:rsidRPr="007666BA">
              <w:rPr>
                <w:rFonts w:ascii="Bookman Old Style" w:eastAsia="Dotum" w:hAnsi="Bookman Old Style" w:cs="Tahoma"/>
                <w:bCs/>
                <w:sz w:val="22"/>
              </w:rPr>
              <w:t>Recusación</w:t>
            </w:r>
            <w:r w:rsidR="00227D55" w:rsidRPr="007666BA">
              <w:rPr>
                <w:rFonts w:ascii="Bookman Old Style" w:eastAsia="Dotum" w:hAnsi="Bookman Old Style" w:cs="Tahoma"/>
                <w:bCs/>
                <w:sz w:val="22"/>
              </w:rPr>
              <w:t xml:space="preserve"> – Causal No. 8</w:t>
            </w:r>
            <w:r w:rsidR="009D794E" w:rsidRPr="007666BA">
              <w:rPr>
                <w:rFonts w:ascii="Bookman Old Style" w:eastAsia="Dotum" w:hAnsi="Bookman Old Style" w:cs="Tahoma"/>
                <w:bCs/>
                <w:sz w:val="22"/>
              </w:rPr>
              <w:t xml:space="preserve">, </w:t>
            </w:r>
            <w:r w:rsidR="00227D55" w:rsidRPr="007666BA">
              <w:rPr>
                <w:rFonts w:ascii="Bookman Old Style" w:eastAsia="Dotum" w:hAnsi="Bookman Old Style" w:cs="Tahoma"/>
                <w:bCs/>
                <w:sz w:val="22"/>
              </w:rPr>
              <w:t>Art. 141 del C.G.P.</w:t>
            </w:r>
          </w:p>
        </w:tc>
      </w:tr>
      <w:tr w:rsidR="006D6CA8" w:rsidRPr="007666BA" w14:paraId="519F32A2" w14:textId="77777777" w:rsidTr="0057394B">
        <w:trPr>
          <w:trHeight w:val="307"/>
          <w:jc w:val="center"/>
        </w:trPr>
        <w:tc>
          <w:tcPr>
            <w:tcW w:w="3114" w:type="dxa"/>
          </w:tcPr>
          <w:p w14:paraId="01BD9F17" w14:textId="0FF8B595" w:rsidR="006D6CA8" w:rsidRPr="007666BA" w:rsidRDefault="00D276F8" w:rsidP="00D276F8">
            <w:pPr>
              <w:tabs>
                <w:tab w:val="left" w:pos="2127"/>
              </w:tabs>
              <w:suppressAutoHyphens/>
              <w:autoSpaceDE w:val="0"/>
              <w:autoSpaceDN w:val="0"/>
              <w:adjustRightInd w:val="0"/>
              <w:ind w:left="25"/>
              <w:jc w:val="both"/>
              <w:rPr>
                <w:rFonts w:ascii="Bookman Old Style" w:hAnsi="Bookman Old Style"/>
                <w:iCs/>
                <w:sz w:val="22"/>
              </w:rPr>
            </w:pPr>
            <w:r w:rsidRPr="007666BA">
              <w:rPr>
                <w:rFonts w:ascii="Bookman Old Style" w:hAnsi="Bookman Old Style"/>
                <w:iCs/>
                <w:sz w:val="22"/>
              </w:rPr>
              <w:t>Decisión:</w:t>
            </w:r>
          </w:p>
        </w:tc>
        <w:tc>
          <w:tcPr>
            <w:tcW w:w="5528" w:type="dxa"/>
          </w:tcPr>
          <w:p w14:paraId="628CE0F6" w14:textId="2E5299B8" w:rsidR="006D6CA8" w:rsidRPr="007666BA" w:rsidRDefault="00D276F8" w:rsidP="00D276F8">
            <w:pPr>
              <w:autoSpaceDE w:val="0"/>
              <w:autoSpaceDN w:val="0"/>
              <w:adjustRightInd w:val="0"/>
              <w:ind w:left="284"/>
              <w:jc w:val="both"/>
              <w:rPr>
                <w:rFonts w:ascii="Bookman Old Style" w:eastAsia="Dotum" w:hAnsi="Bookman Old Style" w:cs="Tahoma"/>
                <w:sz w:val="22"/>
              </w:rPr>
            </w:pPr>
            <w:r w:rsidRPr="007666BA">
              <w:rPr>
                <w:rFonts w:ascii="Bookman Old Style" w:eastAsia="Dotum" w:hAnsi="Bookman Old Style" w:cs="Tahoma"/>
                <w:sz w:val="22"/>
              </w:rPr>
              <w:t xml:space="preserve">Declara infundada </w:t>
            </w:r>
            <w:r>
              <w:rPr>
                <w:rFonts w:ascii="Bookman Old Style" w:eastAsia="Dotum" w:hAnsi="Bookman Old Style" w:cs="Tahoma"/>
                <w:sz w:val="22"/>
              </w:rPr>
              <w:t>–</w:t>
            </w:r>
            <w:r w:rsidR="00B42B6D" w:rsidRPr="007666BA">
              <w:rPr>
                <w:rFonts w:ascii="Bookman Old Style" w:eastAsia="Dotum" w:hAnsi="Bookman Old Style" w:cs="Tahoma"/>
                <w:sz w:val="22"/>
              </w:rPr>
              <w:t xml:space="preserve"> </w:t>
            </w:r>
            <w:r w:rsidRPr="007666BA">
              <w:rPr>
                <w:rFonts w:ascii="Bookman Old Style" w:eastAsia="Dotum" w:hAnsi="Bookman Old Style" w:cs="Tahoma"/>
                <w:sz w:val="22"/>
              </w:rPr>
              <w:t>Impone Multa</w:t>
            </w:r>
          </w:p>
        </w:tc>
      </w:tr>
    </w:tbl>
    <w:p w14:paraId="6A05A809" w14:textId="77777777" w:rsidR="000F1056" w:rsidRPr="007666BA" w:rsidRDefault="000F1056" w:rsidP="0057394B">
      <w:pPr>
        <w:keepNext/>
        <w:tabs>
          <w:tab w:val="left" w:pos="3544"/>
        </w:tabs>
        <w:spacing w:line="276" w:lineRule="auto"/>
        <w:ind w:right="51"/>
        <w:outlineLvl w:val="1"/>
        <w:rPr>
          <w:rFonts w:ascii="Bookman Old Style" w:hAnsi="Bookman Old Style" w:cs="FrankRuehl"/>
          <w:sz w:val="24"/>
        </w:rPr>
      </w:pPr>
    </w:p>
    <w:p w14:paraId="217F5937" w14:textId="6CDC48AA" w:rsidR="000F1056" w:rsidRPr="007666BA" w:rsidRDefault="00EE5F45" w:rsidP="0057394B">
      <w:pPr>
        <w:widowControl w:val="0"/>
        <w:tabs>
          <w:tab w:val="left" w:pos="-720"/>
        </w:tabs>
        <w:suppressAutoHyphens/>
        <w:overflowPunct w:val="0"/>
        <w:autoSpaceDE w:val="0"/>
        <w:autoSpaceDN w:val="0"/>
        <w:adjustRightInd w:val="0"/>
        <w:spacing w:line="276" w:lineRule="auto"/>
        <w:jc w:val="both"/>
        <w:rPr>
          <w:rFonts w:ascii="Bookman Old Style" w:hAnsi="Bookman Old Style" w:cs="Arial"/>
          <w:sz w:val="24"/>
        </w:rPr>
      </w:pPr>
      <w:r w:rsidRPr="007666BA">
        <w:rPr>
          <w:rFonts w:ascii="Bookman Old Style" w:eastAsia="Dotum" w:hAnsi="Bookman Old Style" w:cs="Tahoma"/>
          <w:sz w:val="24"/>
        </w:rPr>
        <w:t xml:space="preserve">Corresponde a la Sala </w:t>
      </w:r>
      <w:r w:rsidR="000F1056" w:rsidRPr="007666BA">
        <w:rPr>
          <w:rFonts w:ascii="Bookman Old Style" w:eastAsia="Dotum" w:hAnsi="Bookman Old Style" w:cs="Tahoma"/>
          <w:sz w:val="24"/>
        </w:rPr>
        <w:t xml:space="preserve">decidir </w:t>
      </w:r>
      <w:r w:rsidR="0007377E" w:rsidRPr="007666BA">
        <w:rPr>
          <w:rFonts w:ascii="Bookman Old Style" w:eastAsia="Dotum" w:hAnsi="Bookman Old Style" w:cs="Tahoma"/>
          <w:sz w:val="24"/>
        </w:rPr>
        <w:t xml:space="preserve">sobre </w:t>
      </w:r>
      <w:r w:rsidR="009D794E" w:rsidRPr="007666BA">
        <w:rPr>
          <w:rFonts w:ascii="Bookman Old Style" w:eastAsia="Dotum" w:hAnsi="Bookman Old Style" w:cs="Tahoma"/>
          <w:sz w:val="24"/>
        </w:rPr>
        <w:t>la Recusación</w:t>
      </w:r>
      <w:r w:rsidR="0007377E" w:rsidRPr="007666BA">
        <w:rPr>
          <w:rFonts w:ascii="Bookman Old Style" w:eastAsia="Dotum" w:hAnsi="Bookman Old Style" w:cs="Tahoma"/>
          <w:sz w:val="24"/>
        </w:rPr>
        <w:t xml:space="preserve"> interpuest</w:t>
      </w:r>
      <w:r w:rsidR="009D794E" w:rsidRPr="007666BA">
        <w:rPr>
          <w:rFonts w:ascii="Bookman Old Style" w:eastAsia="Dotum" w:hAnsi="Bookman Old Style" w:cs="Tahoma"/>
          <w:sz w:val="24"/>
        </w:rPr>
        <w:t>a</w:t>
      </w:r>
      <w:r w:rsidR="0007377E" w:rsidRPr="007666BA">
        <w:rPr>
          <w:rFonts w:ascii="Bookman Old Style" w:eastAsia="Dotum" w:hAnsi="Bookman Old Style" w:cs="Tahoma"/>
          <w:sz w:val="24"/>
        </w:rPr>
        <w:t xml:space="preserve"> por </w:t>
      </w:r>
      <w:r w:rsidR="009D794E" w:rsidRPr="007666BA">
        <w:rPr>
          <w:rFonts w:ascii="Bookman Old Style" w:eastAsia="Dotum" w:hAnsi="Bookman Old Style" w:cs="Tahoma"/>
          <w:sz w:val="24"/>
        </w:rPr>
        <w:t>el</w:t>
      </w:r>
      <w:r w:rsidR="0007377E" w:rsidRPr="007666BA">
        <w:rPr>
          <w:rFonts w:ascii="Bookman Old Style" w:eastAsia="Dotum" w:hAnsi="Bookman Old Style" w:cs="Tahoma"/>
          <w:sz w:val="24"/>
        </w:rPr>
        <w:t xml:space="preserve"> apoderad</w:t>
      </w:r>
      <w:r w:rsidR="009D794E" w:rsidRPr="007666BA">
        <w:rPr>
          <w:rFonts w:ascii="Bookman Old Style" w:eastAsia="Dotum" w:hAnsi="Bookman Old Style" w:cs="Tahoma"/>
          <w:sz w:val="24"/>
        </w:rPr>
        <w:t>o</w:t>
      </w:r>
      <w:r w:rsidR="0007377E" w:rsidRPr="007666BA">
        <w:rPr>
          <w:rFonts w:ascii="Bookman Old Style" w:eastAsia="Dotum" w:hAnsi="Bookman Old Style" w:cs="Tahoma"/>
          <w:sz w:val="24"/>
        </w:rPr>
        <w:t xml:space="preserve"> judicial de </w:t>
      </w:r>
      <w:r w:rsidR="009D794E" w:rsidRPr="007666BA">
        <w:rPr>
          <w:rFonts w:ascii="Bookman Old Style" w:eastAsia="Dotum" w:hAnsi="Bookman Old Style" w:cs="Tahoma"/>
          <w:sz w:val="24"/>
        </w:rPr>
        <w:t xml:space="preserve">los demandantes </w:t>
      </w:r>
      <w:r w:rsidR="007F1389" w:rsidRPr="007666BA">
        <w:rPr>
          <w:rFonts w:ascii="Bookman Old Style" w:eastAsia="Dotum" w:hAnsi="Bookman Old Style" w:cs="Tahoma"/>
          <w:sz w:val="24"/>
        </w:rPr>
        <w:t xml:space="preserve">el </w:t>
      </w:r>
      <w:r w:rsidR="007F1389" w:rsidRPr="007666BA">
        <w:rPr>
          <w:rFonts w:ascii="Bookman Old Style" w:hAnsi="Bookman Old Style"/>
          <w:sz w:val="24"/>
        </w:rPr>
        <w:t>Dr. MATÍAS SAJONA</w:t>
      </w:r>
      <w:r w:rsidR="007F1389" w:rsidRPr="007666BA">
        <w:rPr>
          <w:rFonts w:ascii="Bookman Old Style" w:eastAsia="Dotum" w:hAnsi="Bookman Old Style" w:cs="Tahoma"/>
          <w:sz w:val="24"/>
        </w:rPr>
        <w:t xml:space="preserve"> </w:t>
      </w:r>
      <w:r w:rsidR="0007377E" w:rsidRPr="007666BA">
        <w:rPr>
          <w:rFonts w:ascii="Bookman Old Style" w:eastAsia="Dotum" w:hAnsi="Bookman Old Style" w:cs="Tahoma"/>
          <w:sz w:val="24"/>
        </w:rPr>
        <w:t xml:space="preserve">en contra </w:t>
      </w:r>
      <w:r w:rsidR="004443BA" w:rsidRPr="007666BA">
        <w:rPr>
          <w:rFonts w:ascii="Bookman Old Style" w:eastAsia="Dotum" w:hAnsi="Bookman Old Style" w:cs="Tahoma"/>
          <w:sz w:val="24"/>
        </w:rPr>
        <w:t>de la jueza</w:t>
      </w:r>
      <w:r w:rsidR="007F1389" w:rsidRPr="007666BA">
        <w:rPr>
          <w:rFonts w:ascii="Bookman Old Style" w:eastAsia="Dotum" w:hAnsi="Bookman Old Style" w:cs="Tahoma"/>
          <w:sz w:val="24"/>
        </w:rPr>
        <w:t xml:space="preserve"> </w:t>
      </w:r>
      <w:r w:rsidR="007F1389" w:rsidRPr="007666BA">
        <w:rPr>
          <w:rFonts w:ascii="Bookman Old Style" w:eastAsia="Dotum" w:hAnsi="Bookman Old Style" w:cs="Tahoma"/>
          <w:sz w:val="24"/>
        </w:rPr>
        <w:lastRenderedPageBreak/>
        <w:t>quinta laboral</w:t>
      </w:r>
      <w:r w:rsidR="004443BA" w:rsidRPr="007666BA">
        <w:rPr>
          <w:rFonts w:ascii="Bookman Old Style" w:eastAsia="Dotum" w:hAnsi="Bookman Old Style" w:cs="Tahoma"/>
          <w:sz w:val="24"/>
        </w:rPr>
        <w:t xml:space="preserve">, por la causal No. 8 del artículo 141 del Código General del Proceso, dentro del proceso </w:t>
      </w:r>
      <w:r w:rsidR="004443BA" w:rsidRPr="0057394B">
        <w:rPr>
          <w:rFonts w:ascii="Bookman Old Style" w:eastAsia="Dotum" w:hAnsi="Bookman Old Style" w:cs="Tahoma"/>
          <w:b/>
          <w:sz w:val="24"/>
        </w:rPr>
        <w:t>ordinario laboral</w:t>
      </w:r>
      <w:r w:rsidR="004443BA" w:rsidRPr="007666BA">
        <w:rPr>
          <w:rFonts w:ascii="Bookman Old Style" w:eastAsia="Dotum" w:hAnsi="Bookman Old Style" w:cs="Tahoma"/>
          <w:sz w:val="24"/>
        </w:rPr>
        <w:t xml:space="preserve"> que conoce el Juzgado Quinto Laboral del Circuito de Pereira, </w:t>
      </w:r>
      <w:r w:rsidR="00B47BFE" w:rsidRPr="007666BA">
        <w:rPr>
          <w:rFonts w:ascii="Bookman Old Style" w:hAnsi="Bookman Old Style" w:cs="Arial"/>
          <w:sz w:val="24"/>
        </w:rPr>
        <w:t>con</w:t>
      </w:r>
      <w:r w:rsidR="000F1056" w:rsidRPr="007666BA">
        <w:rPr>
          <w:rFonts w:ascii="Bookman Old Style" w:hAnsi="Bookman Old Style"/>
          <w:sz w:val="24"/>
          <w:lang w:val="es-ES_tradnl"/>
        </w:rPr>
        <w:t xml:space="preserve"> radicado </w:t>
      </w:r>
      <w:r w:rsidR="004443BA" w:rsidRPr="007666BA">
        <w:rPr>
          <w:rFonts w:ascii="Bookman Old Style" w:hAnsi="Bookman Old Style"/>
          <w:b/>
          <w:bCs/>
          <w:sz w:val="24"/>
          <w:lang w:val="es-ES_tradnl"/>
        </w:rPr>
        <w:t>66001310500520220015601</w:t>
      </w:r>
      <w:r w:rsidR="00285A1C" w:rsidRPr="007666BA">
        <w:rPr>
          <w:rFonts w:ascii="Bookman Old Style" w:hAnsi="Bookman Old Style"/>
          <w:bCs/>
          <w:sz w:val="24"/>
          <w:lang w:val="es-ES_tradnl"/>
        </w:rPr>
        <w:t xml:space="preserve"> acumulado.</w:t>
      </w:r>
    </w:p>
    <w:p w14:paraId="5A39BBE3" w14:textId="77777777" w:rsidR="00535700" w:rsidRPr="007666BA" w:rsidRDefault="00535700" w:rsidP="0057394B">
      <w:pPr>
        <w:tabs>
          <w:tab w:val="left" w:pos="0"/>
        </w:tabs>
        <w:suppressAutoHyphens/>
        <w:spacing w:line="276" w:lineRule="auto"/>
        <w:jc w:val="center"/>
        <w:rPr>
          <w:rFonts w:ascii="Bookman Old Style" w:hAnsi="Bookman Old Style" w:cs="Arial Narrow"/>
          <w:b/>
          <w:bCs/>
          <w:spacing w:val="-3"/>
          <w:sz w:val="24"/>
          <w:u w:val="single"/>
        </w:rPr>
      </w:pPr>
    </w:p>
    <w:p w14:paraId="11EDED2E" w14:textId="13FC7678" w:rsidR="000F1056" w:rsidRPr="007666BA" w:rsidRDefault="00285A1C" w:rsidP="0057394B">
      <w:pPr>
        <w:tabs>
          <w:tab w:val="left" w:pos="0"/>
        </w:tabs>
        <w:suppressAutoHyphens/>
        <w:spacing w:line="276" w:lineRule="auto"/>
        <w:jc w:val="center"/>
        <w:rPr>
          <w:rFonts w:ascii="Bookman Old Style" w:hAnsi="Bookman Old Style" w:cs="Arial Narrow"/>
          <w:b/>
          <w:bCs/>
          <w:spacing w:val="-3"/>
          <w:sz w:val="24"/>
        </w:rPr>
      </w:pPr>
      <w:r w:rsidRPr="007666BA">
        <w:rPr>
          <w:rFonts w:ascii="Bookman Old Style" w:hAnsi="Bookman Old Style" w:cs="Arial Narrow"/>
          <w:b/>
          <w:bCs/>
          <w:spacing w:val="-3"/>
          <w:sz w:val="24"/>
        </w:rPr>
        <w:t xml:space="preserve">AUTO INTERLOCUTORIO No. </w:t>
      </w:r>
      <w:r w:rsidR="004E755E" w:rsidRPr="007666BA">
        <w:rPr>
          <w:rFonts w:ascii="Bookman Old Style" w:hAnsi="Bookman Old Style" w:cs="Arial Narrow"/>
          <w:b/>
          <w:bCs/>
          <w:spacing w:val="-3"/>
          <w:sz w:val="24"/>
        </w:rPr>
        <w:t>148</w:t>
      </w:r>
    </w:p>
    <w:p w14:paraId="41C8F396" w14:textId="77777777" w:rsidR="000F1056" w:rsidRPr="007666BA" w:rsidRDefault="000F1056" w:rsidP="0057394B">
      <w:pPr>
        <w:spacing w:line="276" w:lineRule="auto"/>
        <w:rPr>
          <w:rFonts w:ascii="Bookman Old Style" w:eastAsia="Dotum" w:hAnsi="Bookman Old Style" w:cs="Tahoma"/>
          <w:sz w:val="24"/>
        </w:rPr>
      </w:pPr>
    </w:p>
    <w:p w14:paraId="0F10BAA5" w14:textId="77777777" w:rsidR="000F1056" w:rsidRPr="007666BA" w:rsidRDefault="000F1056" w:rsidP="0057394B">
      <w:pPr>
        <w:pStyle w:val="Prrafodelista"/>
        <w:numPr>
          <w:ilvl w:val="0"/>
          <w:numId w:val="1"/>
        </w:numPr>
        <w:spacing w:line="276" w:lineRule="auto"/>
        <w:ind w:left="0"/>
        <w:jc w:val="center"/>
        <w:rPr>
          <w:rFonts w:ascii="Bookman Old Style" w:hAnsi="Bookman Old Style"/>
          <w:b/>
          <w:sz w:val="24"/>
        </w:rPr>
      </w:pPr>
      <w:r w:rsidRPr="007666BA">
        <w:rPr>
          <w:rFonts w:ascii="Bookman Old Style" w:hAnsi="Bookman Old Style"/>
          <w:b/>
          <w:sz w:val="24"/>
        </w:rPr>
        <w:t>ANTECEDENTES</w:t>
      </w:r>
    </w:p>
    <w:p w14:paraId="72A3D3EC" w14:textId="77777777" w:rsidR="00013AB7" w:rsidRPr="007666BA" w:rsidRDefault="00013AB7" w:rsidP="0057394B">
      <w:pPr>
        <w:spacing w:line="276" w:lineRule="auto"/>
        <w:jc w:val="center"/>
        <w:rPr>
          <w:rFonts w:ascii="Bookman Old Style" w:hAnsi="Bookman Old Style"/>
          <w:b/>
          <w:sz w:val="24"/>
        </w:rPr>
      </w:pPr>
    </w:p>
    <w:p w14:paraId="0814D574" w14:textId="5BF6E617" w:rsidR="00F561B0" w:rsidRPr="007666BA" w:rsidRDefault="00397A6A" w:rsidP="0057394B">
      <w:pPr>
        <w:spacing w:line="276" w:lineRule="auto"/>
        <w:jc w:val="both"/>
        <w:rPr>
          <w:rFonts w:ascii="Bookman Old Style" w:hAnsi="Bookman Old Style"/>
          <w:sz w:val="24"/>
        </w:rPr>
      </w:pPr>
      <w:r w:rsidRPr="007666BA">
        <w:rPr>
          <w:rFonts w:ascii="Bookman Old Style" w:hAnsi="Bookman Old Style"/>
          <w:b/>
          <w:sz w:val="24"/>
        </w:rPr>
        <w:t>1)</w:t>
      </w:r>
      <w:r w:rsidRPr="007666BA">
        <w:rPr>
          <w:rFonts w:ascii="Bookman Old Style" w:hAnsi="Bookman Old Style"/>
          <w:sz w:val="24"/>
        </w:rPr>
        <w:t xml:space="preserve"> </w:t>
      </w:r>
      <w:r w:rsidR="00483193" w:rsidRPr="007666BA">
        <w:rPr>
          <w:rFonts w:ascii="Bookman Old Style" w:hAnsi="Bookman Old Style"/>
          <w:sz w:val="24"/>
        </w:rPr>
        <w:t>A través</w:t>
      </w:r>
      <w:r w:rsidR="00737085" w:rsidRPr="007666BA">
        <w:rPr>
          <w:rFonts w:ascii="Bookman Old Style" w:hAnsi="Bookman Old Style"/>
          <w:sz w:val="24"/>
        </w:rPr>
        <w:t xml:space="preserve"> de </w:t>
      </w:r>
      <w:r w:rsidR="00483193" w:rsidRPr="007666BA">
        <w:rPr>
          <w:rFonts w:ascii="Bookman Old Style" w:hAnsi="Bookman Old Style"/>
          <w:sz w:val="24"/>
        </w:rPr>
        <w:t>su abogado el Dr. MATÍAS SAJONA</w:t>
      </w:r>
      <w:r w:rsidR="00737085" w:rsidRPr="007666BA">
        <w:rPr>
          <w:rFonts w:ascii="Bookman Old Style" w:hAnsi="Bookman Old Style"/>
          <w:sz w:val="24"/>
        </w:rPr>
        <w:t>, el</w:t>
      </w:r>
      <w:r w:rsidR="00285A1C" w:rsidRPr="007666BA">
        <w:rPr>
          <w:rFonts w:ascii="Bookman Old Style" w:hAnsi="Bookman Old Style"/>
          <w:sz w:val="24"/>
        </w:rPr>
        <w:t xml:space="preserve"> señor JHON ESTEBAN PUERTA GIRALDO presentó demanda ordinaria contra LAS INGENIERÍAS S.A.S.</w:t>
      </w:r>
      <w:r w:rsidR="00737085" w:rsidRPr="007666BA">
        <w:rPr>
          <w:rFonts w:ascii="Bookman Old Style" w:hAnsi="Bookman Old Style"/>
          <w:sz w:val="24"/>
        </w:rPr>
        <w:t>, la SOCIEDAD DE ACTIVOS ESPECIALES S.A.S.,</w:t>
      </w:r>
      <w:r w:rsidR="00285A1C" w:rsidRPr="007666BA">
        <w:rPr>
          <w:rFonts w:ascii="Bookman Old Style" w:hAnsi="Bookman Old Style"/>
          <w:sz w:val="24"/>
        </w:rPr>
        <w:t xml:space="preserve"> la señora SARA MONTOYA SOTO</w:t>
      </w:r>
      <w:r w:rsidR="00737085" w:rsidRPr="007666BA">
        <w:rPr>
          <w:rFonts w:ascii="Bookman Old Style" w:hAnsi="Bookman Old Style"/>
          <w:sz w:val="24"/>
        </w:rPr>
        <w:t xml:space="preserve"> y el señor ANDRÉS ALBERTO ÁVILA </w:t>
      </w:r>
      <w:proofErr w:type="spellStart"/>
      <w:r w:rsidR="00737085" w:rsidRPr="007666BA">
        <w:rPr>
          <w:rFonts w:ascii="Bookman Old Style" w:hAnsi="Bookman Old Style"/>
          <w:sz w:val="24"/>
        </w:rPr>
        <w:t>ÁVILA</w:t>
      </w:r>
      <w:proofErr w:type="spellEnd"/>
      <w:r w:rsidR="00285A1C" w:rsidRPr="007666BA">
        <w:rPr>
          <w:rFonts w:ascii="Bookman Old Style" w:hAnsi="Bookman Old Style"/>
          <w:sz w:val="24"/>
        </w:rPr>
        <w:t>, en la que pretende se declare la existencia de un contrato a término fijo de tres meses a partir del 13 de julio de 2020; se declare</w:t>
      </w:r>
      <w:r w:rsidR="00737085" w:rsidRPr="007666BA">
        <w:rPr>
          <w:rFonts w:ascii="Bookman Old Style" w:hAnsi="Bookman Old Style"/>
          <w:sz w:val="24"/>
        </w:rPr>
        <w:t xml:space="preserve"> a los demandados</w:t>
      </w:r>
      <w:r w:rsidR="00285A1C" w:rsidRPr="007666BA">
        <w:rPr>
          <w:rFonts w:ascii="Bookman Old Style" w:hAnsi="Bookman Old Style"/>
          <w:sz w:val="24"/>
        </w:rPr>
        <w:t xml:space="preserve"> solidariamente responsable</w:t>
      </w:r>
      <w:r w:rsidR="00737085" w:rsidRPr="007666BA">
        <w:rPr>
          <w:rFonts w:ascii="Bookman Old Style" w:hAnsi="Bookman Old Style"/>
          <w:sz w:val="24"/>
        </w:rPr>
        <w:t>s</w:t>
      </w:r>
      <w:r w:rsidR="00285A1C" w:rsidRPr="007666BA">
        <w:rPr>
          <w:rFonts w:ascii="Bookman Old Style" w:hAnsi="Bookman Old Style"/>
          <w:sz w:val="24"/>
        </w:rPr>
        <w:t xml:space="preserve"> del pago de los salarios, prestaciones y las indemnizaciones.</w:t>
      </w:r>
      <w:r w:rsidR="00483193" w:rsidRPr="007666BA">
        <w:rPr>
          <w:rFonts w:ascii="Bookman Old Style" w:hAnsi="Bookman Old Style"/>
          <w:sz w:val="24"/>
        </w:rPr>
        <w:t xml:space="preserve"> Asimismo, solicita el reintegro a la ejecución de sus funciones.</w:t>
      </w:r>
    </w:p>
    <w:p w14:paraId="0B6EBFC6" w14:textId="23E03AC1" w:rsidR="00483193" w:rsidRPr="007666BA" w:rsidRDefault="00483193" w:rsidP="0057394B">
      <w:pPr>
        <w:spacing w:line="276" w:lineRule="auto"/>
        <w:jc w:val="both"/>
        <w:rPr>
          <w:rFonts w:ascii="Bookman Old Style" w:hAnsi="Bookman Old Style"/>
          <w:b/>
          <w:sz w:val="24"/>
        </w:rPr>
      </w:pPr>
    </w:p>
    <w:p w14:paraId="6C3ABA5A" w14:textId="3D790EE1" w:rsidR="00483193" w:rsidRPr="007666BA" w:rsidRDefault="00483193" w:rsidP="0057394B">
      <w:pPr>
        <w:spacing w:line="276" w:lineRule="auto"/>
        <w:jc w:val="both"/>
        <w:rPr>
          <w:rFonts w:ascii="Bookman Old Style" w:hAnsi="Bookman Old Style"/>
          <w:sz w:val="24"/>
        </w:rPr>
      </w:pPr>
      <w:r w:rsidRPr="007666BA">
        <w:rPr>
          <w:rFonts w:ascii="Bookman Old Style" w:hAnsi="Bookman Old Style"/>
          <w:b/>
          <w:sz w:val="24"/>
        </w:rPr>
        <w:t>2)</w:t>
      </w:r>
      <w:r w:rsidRPr="007666BA">
        <w:rPr>
          <w:rFonts w:ascii="Bookman Old Style" w:hAnsi="Bookman Old Style"/>
          <w:sz w:val="24"/>
        </w:rPr>
        <w:t xml:space="preserve"> Por medio del mismo apoderado, la señora CONCEPCIÓN HERNÁNDEZ FUENTES, presentó demanda ordinaria contra LAS INGENIERÍAS S.A.S. y la señora SARA MONTOYA SOTO, pretendiendo se declare la existencia de un contrato de trabajo a término fijo de tres meses a partir del 16 de noviembre de 2020; se declare a las demandadas solidariamente responsables del pago de los salarios, prestaciones y las indemnizaciones. Asimismo, solicita el reintegro a la ejecución de sus funciones.</w:t>
      </w:r>
    </w:p>
    <w:p w14:paraId="463111A7" w14:textId="5A30C9A4" w:rsidR="00483193" w:rsidRPr="007666BA" w:rsidRDefault="00483193" w:rsidP="0057394B">
      <w:pPr>
        <w:spacing w:line="276" w:lineRule="auto"/>
        <w:jc w:val="both"/>
        <w:rPr>
          <w:rFonts w:ascii="Bookman Old Style" w:hAnsi="Bookman Old Style"/>
          <w:sz w:val="24"/>
        </w:rPr>
      </w:pPr>
    </w:p>
    <w:p w14:paraId="1CB46C5A" w14:textId="4712D36F" w:rsidR="00483193" w:rsidRPr="007666BA" w:rsidRDefault="00483193" w:rsidP="0057394B">
      <w:pPr>
        <w:spacing w:line="276" w:lineRule="auto"/>
        <w:jc w:val="both"/>
        <w:rPr>
          <w:rFonts w:ascii="Bookman Old Style" w:hAnsi="Bookman Old Style"/>
          <w:sz w:val="24"/>
        </w:rPr>
      </w:pPr>
      <w:r w:rsidRPr="007666BA">
        <w:rPr>
          <w:rFonts w:ascii="Bookman Old Style" w:hAnsi="Bookman Old Style"/>
          <w:b/>
          <w:sz w:val="24"/>
        </w:rPr>
        <w:t>3)</w:t>
      </w:r>
      <w:r w:rsidRPr="007666BA">
        <w:rPr>
          <w:rFonts w:ascii="Bookman Old Style" w:hAnsi="Bookman Old Style"/>
          <w:sz w:val="24"/>
        </w:rPr>
        <w:t xml:space="preserve"> El conocimiento de los procesos le correspondió al Juzgado Quinto Laboral del Circuito de Pereira, que por medio del auto No. 323 del 24 de octubre de 2023 resolvió, entre otras, ordenar la acumulación del proceso promovido por la señora CONCEPCIÓN HERNÁNDEZ FUENTE, quedando como principal el radicado 66001310500520220015601. Asimismo, programó la audiencia del artículo 77 del CPTSS para el día 10 de noviembre de 2023 a las 10:30am.</w:t>
      </w:r>
    </w:p>
    <w:p w14:paraId="7649E503" w14:textId="13D1C657" w:rsidR="00483193" w:rsidRPr="007666BA" w:rsidRDefault="00483193" w:rsidP="0057394B">
      <w:pPr>
        <w:spacing w:line="276" w:lineRule="auto"/>
        <w:jc w:val="both"/>
        <w:rPr>
          <w:rFonts w:ascii="Bookman Old Style" w:hAnsi="Bookman Old Style"/>
          <w:sz w:val="24"/>
        </w:rPr>
      </w:pPr>
    </w:p>
    <w:p w14:paraId="71B2A682" w14:textId="10686FD4" w:rsidR="00483193" w:rsidRPr="007666BA" w:rsidRDefault="00483193" w:rsidP="0057394B">
      <w:pPr>
        <w:spacing w:line="276" w:lineRule="auto"/>
        <w:jc w:val="both"/>
        <w:rPr>
          <w:rFonts w:ascii="Bookman Old Style" w:hAnsi="Bookman Old Style"/>
          <w:sz w:val="24"/>
        </w:rPr>
      </w:pPr>
      <w:r w:rsidRPr="007666BA">
        <w:rPr>
          <w:rFonts w:ascii="Bookman Old Style" w:hAnsi="Bookman Old Style"/>
          <w:b/>
          <w:sz w:val="24"/>
        </w:rPr>
        <w:t>4)</w:t>
      </w:r>
      <w:r w:rsidRPr="007666BA">
        <w:rPr>
          <w:rFonts w:ascii="Bookman Old Style" w:hAnsi="Bookman Old Style"/>
          <w:sz w:val="24"/>
        </w:rPr>
        <w:t xml:space="preserve"> El 10 de noviembre, durante la audiencia de la conciliación</w:t>
      </w:r>
      <w:r w:rsidR="00781178" w:rsidRPr="007666BA">
        <w:rPr>
          <w:rFonts w:ascii="Bookman Old Style" w:hAnsi="Bookman Old Style"/>
          <w:sz w:val="24"/>
        </w:rPr>
        <w:t xml:space="preserve"> la jueza ordenó la compulsa de copias ante la Comisión Seccional de Disciplina</w:t>
      </w:r>
      <w:r w:rsidRPr="007666BA">
        <w:rPr>
          <w:rFonts w:ascii="Bookman Old Style" w:hAnsi="Bookman Old Style"/>
          <w:sz w:val="24"/>
        </w:rPr>
        <w:t xml:space="preserve"> </w:t>
      </w:r>
      <w:r w:rsidR="00781178" w:rsidRPr="007666BA">
        <w:rPr>
          <w:rFonts w:ascii="Bookman Old Style" w:hAnsi="Bookman Old Style"/>
          <w:sz w:val="24"/>
        </w:rPr>
        <w:t>Judicial de Risaralda para que investigue la presunta falta disciplinaria en que incurrió el abogado MATÍAS SAJONA, con fundamento en la infracción al derecho consagrado en el artículo 37 numeral 7, así como los deberes previstos en el artículo 38 numeral 7</w:t>
      </w:r>
      <w:r w:rsidR="005C7E32" w:rsidRPr="007666BA">
        <w:rPr>
          <w:rFonts w:ascii="Bookman Old Style" w:hAnsi="Bookman Old Style"/>
          <w:sz w:val="24"/>
        </w:rPr>
        <w:t>, ambos</w:t>
      </w:r>
      <w:r w:rsidR="00781178" w:rsidRPr="007666BA">
        <w:rPr>
          <w:rFonts w:ascii="Bookman Old Style" w:hAnsi="Bookman Old Style"/>
          <w:sz w:val="24"/>
        </w:rPr>
        <w:t xml:space="preserve"> de la Ley 1952 de 2019 y el articulo 78 numerales 3 y 8 del CGP.</w:t>
      </w:r>
    </w:p>
    <w:p w14:paraId="45325073" w14:textId="56CE315E" w:rsidR="00781178" w:rsidRPr="007666BA" w:rsidRDefault="00781178" w:rsidP="0057394B">
      <w:pPr>
        <w:spacing w:line="276" w:lineRule="auto"/>
        <w:jc w:val="both"/>
        <w:rPr>
          <w:rFonts w:ascii="Bookman Old Style" w:hAnsi="Bookman Old Style"/>
          <w:sz w:val="24"/>
        </w:rPr>
      </w:pPr>
    </w:p>
    <w:p w14:paraId="3F48D1E5" w14:textId="0EA22813" w:rsidR="00781178" w:rsidRPr="007666BA" w:rsidRDefault="00781178" w:rsidP="0057394B">
      <w:pPr>
        <w:spacing w:line="276" w:lineRule="auto"/>
        <w:jc w:val="both"/>
        <w:rPr>
          <w:rFonts w:ascii="Bookman Old Style" w:hAnsi="Bookman Old Style"/>
          <w:sz w:val="24"/>
        </w:rPr>
      </w:pPr>
      <w:r w:rsidRPr="007666BA">
        <w:rPr>
          <w:rFonts w:ascii="Bookman Old Style" w:hAnsi="Bookman Old Style"/>
          <w:sz w:val="24"/>
        </w:rPr>
        <w:t xml:space="preserve">Para sustentar esa decisión, la </w:t>
      </w:r>
      <w:r w:rsidRPr="007666BA">
        <w:rPr>
          <w:rFonts w:ascii="Bookman Old Style" w:hAnsi="Bookman Old Style"/>
          <w:i/>
          <w:sz w:val="24"/>
        </w:rPr>
        <w:t xml:space="preserve">a quo </w:t>
      </w:r>
      <w:r w:rsidRPr="007666BA">
        <w:rPr>
          <w:rFonts w:ascii="Bookman Old Style" w:hAnsi="Bookman Old Style"/>
          <w:sz w:val="24"/>
        </w:rPr>
        <w:t>precisó:</w:t>
      </w:r>
    </w:p>
    <w:p w14:paraId="7DE80CE2" w14:textId="4265B177" w:rsidR="00781178" w:rsidRPr="007666BA" w:rsidRDefault="00781178" w:rsidP="0057394B">
      <w:pPr>
        <w:spacing w:line="276" w:lineRule="auto"/>
        <w:jc w:val="both"/>
        <w:rPr>
          <w:rFonts w:ascii="Bookman Old Style" w:hAnsi="Bookman Old Style"/>
          <w:sz w:val="24"/>
        </w:rPr>
      </w:pPr>
    </w:p>
    <w:p w14:paraId="37193C28" w14:textId="77777777" w:rsidR="00781178" w:rsidRPr="0057394B" w:rsidRDefault="00781178" w:rsidP="008D3EBA">
      <w:pPr>
        <w:ind w:left="426" w:right="420"/>
        <w:jc w:val="both"/>
        <w:rPr>
          <w:rFonts w:ascii="Bookman Old Style" w:hAnsi="Bookman Old Style"/>
          <w:i/>
          <w:sz w:val="22"/>
        </w:rPr>
      </w:pPr>
      <w:r w:rsidRPr="0057394B">
        <w:rPr>
          <w:rFonts w:ascii="Bookman Old Style" w:hAnsi="Bookman Old Style"/>
          <w:sz w:val="22"/>
        </w:rPr>
        <w:t>“</w:t>
      </w:r>
      <w:r w:rsidRPr="0057394B">
        <w:rPr>
          <w:rFonts w:ascii="Bookman Old Style" w:hAnsi="Bookman Old Style"/>
          <w:b/>
          <w:i/>
          <w:sz w:val="22"/>
        </w:rPr>
        <w:t>Audiencia de Conciliación:</w:t>
      </w:r>
      <w:r w:rsidRPr="0057394B">
        <w:rPr>
          <w:rFonts w:ascii="Bookman Old Style" w:hAnsi="Bookman Old Style"/>
          <w:i/>
          <w:sz w:val="22"/>
        </w:rPr>
        <w:t xml:space="preserve"> encontrándose la Juez agotando esta etapa frente al proceso con radicado 2022-156, en el que actúa como demandante </w:t>
      </w:r>
      <w:proofErr w:type="spellStart"/>
      <w:r w:rsidRPr="0057394B">
        <w:rPr>
          <w:rFonts w:ascii="Bookman Old Style" w:hAnsi="Bookman Old Style"/>
          <w:i/>
          <w:sz w:val="22"/>
        </w:rPr>
        <w:t>Jhon</w:t>
      </w:r>
      <w:proofErr w:type="spellEnd"/>
      <w:r w:rsidRPr="0057394B">
        <w:rPr>
          <w:rFonts w:ascii="Bookman Old Style" w:hAnsi="Bookman Old Style"/>
          <w:i/>
          <w:sz w:val="22"/>
        </w:rPr>
        <w:t xml:space="preserve"> Esteban Puerta, el apoderado judicial de éste sin solicitar el uso de palabra, intervino, alegando que la suscrita estaba induciendo la conciliación y obligando a su prohijado a que conciliara, ante lo cual se le dijo que el Despacho estaba procurando que las partes conciliaran y finalmente que la conciliación </w:t>
      </w:r>
      <w:r w:rsidRPr="0057394B">
        <w:rPr>
          <w:rFonts w:ascii="Bookman Old Style" w:hAnsi="Bookman Old Style"/>
          <w:i/>
          <w:sz w:val="22"/>
        </w:rPr>
        <w:lastRenderedPageBreak/>
        <w:t xml:space="preserve">era un mecanismo voluntario. El abogado de la parte demandante, se tomó el uso de la palabra y no permitió que continuara el desarrollo de la conciliación, obstaculizó el curso normal de la misma, no permitía que la jueza interviniera, procediendo a recusarla por enemistad y afirmando su falta de imparcialidad y objetiva para resolver los procesos bajo su conocimiento. </w:t>
      </w:r>
    </w:p>
    <w:p w14:paraId="6752A8A1" w14:textId="77777777" w:rsidR="00781178" w:rsidRPr="0057394B" w:rsidRDefault="00781178" w:rsidP="008D3EBA">
      <w:pPr>
        <w:ind w:left="426" w:right="420"/>
        <w:jc w:val="both"/>
        <w:rPr>
          <w:rFonts w:ascii="Bookman Old Style" w:hAnsi="Bookman Old Style"/>
          <w:i/>
          <w:sz w:val="22"/>
        </w:rPr>
      </w:pPr>
    </w:p>
    <w:p w14:paraId="5255FCAB" w14:textId="6A55069F" w:rsidR="00781178" w:rsidRPr="0057394B" w:rsidRDefault="00781178" w:rsidP="008D3EBA">
      <w:pPr>
        <w:ind w:left="426" w:right="420"/>
        <w:jc w:val="both"/>
        <w:rPr>
          <w:rFonts w:ascii="Bookman Old Style" w:hAnsi="Bookman Old Style"/>
          <w:i/>
          <w:sz w:val="22"/>
        </w:rPr>
      </w:pPr>
      <w:r w:rsidRPr="0057394B">
        <w:rPr>
          <w:rFonts w:ascii="Bookman Old Style" w:hAnsi="Bookman Old Style"/>
          <w:i/>
          <w:sz w:val="22"/>
        </w:rPr>
        <w:t>Frente a la anterior solicitud del apoderado judicial de los demandantes, el juzgado no accedió, teniendo en cuenta que no existe enemistad grave con el profesional del derecho, sino que se tratan de desavenencias surgidas con ocasión al trámite de la audiencia, en que el apoderado judicial no permite el uso de la palabra de la juez y tampoco la solicita, menos aún no espera que se le autorice para intervenir; todo lo cual, impide el desarrollo normal de la audiencia”</w:t>
      </w:r>
    </w:p>
    <w:p w14:paraId="5AEBEF9B" w14:textId="710841CE" w:rsidR="00781178" w:rsidRPr="007666BA" w:rsidRDefault="00781178" w:rsidP="0057394B">
      <w:pPr>
        <w:spacing w:line="276" w:lineRule="auto"/>
        <w:jc w:val="both"/>
        <w:rPr>
          <w:rFonts w:ascii="Bookman Old Style" w:hAnsi="Bookman Old Style"/>
          <w:i/>
          <w:sz w:val="24"/>
        </w:rPr>
      </w:pPr>
    </w:p>
    <w:p w14:paraId="4D490AA7" w14:textId="01226FBF" w:rsidR="008E19D9" w:rsidRPr="007666BA" w:rsidRDefault="00781178" w:rsidP="0057394B">
      <w:pPr>
        <w:spacing w:line="276" w:lineRule="auto"/>
        <w:jc w:val="both"/>
        <w:rPr>
          <w:rFonts w:ascii="Bookman Old Style" w:hAnsi="Bookman Old Style"/>
          <w:sz w:val="24"/>
        </w:rPr>
      </w:pPr>
      <w:r w:rsidRPr="007666BA">
        <w:rPr>
          <w:rFonts w:ascii="Bookman Old Style" w:hAnsi="Bookman Old Style"/>
          <w:b/>
          <w:sz w:val="24"/>
        </w:rPr>
        <w:t xml:space="preserve">5) </w:t>
      </w:r>
      <w:r w:rsidRPr="007666BA">
        <w:rPr>
          <w:rFonts w:ascii="Bookman Old Style" w:hAnsi="Bookman Old Style"/>
          <w:sz w:val="24"/>
        </w:rPr>
        <w:t>Durante la audiencia y ante la compulsa de copias ordenada por la jueza, el apoderado en cuestión solicitó el impedimento y</w:t>
      </w:r>
      <w:r w:rsidR="008E19D9" w:rsidRPr="007666BA">
        <w:rPr>
          <w:rFonts w:ascii="Bookman Old Style" w:hAnsi="Bookman Old Style"/>
          <w:sz w:val="24"/>
        </w:rPr>
        <w:t xml:space="preserve"> en subsidio</w:t>
      </w:r>
      <w:r w:rsidRPr="007666BA">
        <w:rPr>
          <w:rFonts w:ascii="Bookman Old Style" w:hAnsi="Bookman Old Style"/>
          <w:sz w:val="24"/>
        </w:rPr>
        <w:t xml:space="preserve"> la recusación a la juez con fundamento en la causal del numeral 8 del artículo 141 del CGP. En respuesta, la juzgadora señaló que no procedía </w:t>
      </w:r>
      <w:r w:rsidR="008E19D9" w:rsidRPr="007666BA">
        <w:rPr>
          <w:rFonts w:ascii="Bookman Old Style" w:hAnsi="Bookman Old Style"/>
          <w:sz w:val="24"/>
        </w:rPr>
        <w:t xml:space="preserve">el impedimento </w:t>
      </w:r>
      <w:r w:rsidRPr="007666BA">
        <w:rPr>
          <w:rFonts w:ascii="Bookman Old Style" w:hAnsi="Bookman Old Style"/>
          <w:sz w:val="24"/>
        </w:rPr>
        <w:t>e</w:t>
      </w:r>
      <w:r w:rsidR="008E19D9" w:rsidRPr="007666BA">
        <w:rPr>
          <w:rFonts w:ascii="Bookman Old Style" w:hAnsi="Bookman Old Style"/>
          <w:sz w:val="24"/>
        </w:rPr>
        <w:t>n tanto que la causal trata de la denuncia disciplinaria y no la compulsa de copias.</w:t>
      </w:r>
    </w:p>
    <w:p w14:paraId="1C62E8BE" w14:textId="77777777" w:rsidR="008E19D9" w:rsidRPr="007666BA" w:rsidRDefault="008E19D9" w:rsidP="0057394B">
      <w:pPr>
        <w:spacing w:line="276" w:lineRule="auto"/>
        <w:jc w:val="both"/>
        <w:rPr>
          <w:rFonts w:ascii="Bookman Old Style" w:hAnsi="Bookman Old Style"/>
          <w:sz w:val="24"/>
        </w:rPr>
      </w:pPr>
    </w:p>
    <w:p w14:paraId="7D17D461" w14:textId="056D42B6" w:rsidR="008E19D9" w:rsidRPr="007666BA" w:rsidRDefault="008E19D9" w:rsidP="0057394B">
      <w:pPr>
        <w:spacing w:line="276" w:lineRule="auto"/>
        <w:jc w:val="both"/>
        <w:rPr>
          <w:rFonts w:ascii="Bookman Old Style" w:hAnsi="Bookman Old Style"/>
          <w:sz w:val="24"/>
        </w:rPr>
      </w:pPr>
      <w:r w:rsidRPr="007666BA">
        <w:rPr>
          <w:rFonts w:ascii="Bookman Old Style" w:hAnsi="Bookman Old Style"/>
          <w:b/>
          <w:sz w:val="24"/>
        </w:rPr>
        <w:t>6)</w:t>
      </w:r>
      <w:r w:rsidRPr="007666BA">
        <w:rPr>
          <w:rFonts w:ascii="Bookman Old Style" w:hAnsi="Bookman Old Style"/>
          <w:sz w:val="24"/>
        </w:rPr>
        <w:t xml:space="preserve"> </w:t>
      </w:r>
      <w:r w:rsidR="00781178" w:rsidRPr="007666BA">
        <w:rPr>
          <w:rFonts w:ascii="Bookman Old Style" w:hAnsi="Bookman Old Style"/>
          <w:sz w:val="24"/>
        </w:rPr>
        <w:t>M</w:t>
      </w:r>
      <w:r w:rsidRPr="007666BA">
        <w:rPr>
          <w:rFonts w:ascii="Bookman Old Style" w:hAnsi="Bookman Old Style"/>
          <w:sz w:val="24"/>
        </w:rPr>
        <w:t xml:space="preserve">ás adelante, </w:t>
      </w:r>
      <w:r w:rsidR="00781178" w:rsidRPr="007666BA">
        <w:rPr>
          <w:rFonts w:ascii="Bookman Old Style" w:hAnsi="Bookman Old Style"/>
          <w:sz w:val="24"/>
        </w:rPr>
        <w:t>en el memorial allegado el 15 de noviembre de 2023, amplió los argumentos de la recusación</w:t>
      </w:r>
      <w:r w:rsidRPr="007666BA">
        <w:rPr>
          <w:rFonts w:ascii="Bookman Old Style" w:hAnsi="Bookman Old Style"/>
          <w:sz w:val="24"/>
        </w:rPr>
        <w:t xml:space="preserve"> reiterando que, debido a la notificación de la denuncia ante la Comisión de Disciplina Judicial del Distrito de </w:t>
      </w:r>
      <w:r w:rsidR="00F001AB" w:rsidRPr="007666BA">
        <w:rPr>
          <w:rFonts w:ascii="Bookman Old Style" w:hAnsi="Bookman Old Style"/>
          <w:sz w:val="24"/>
        </w:rPr>
        <w:t>Risaralda</w:t>
      </w:r>
      <w:r w:rsidRPr="007666BA">
        <w:rPr>
          <w:rFonts w:ascii="Bookman Old Style" w:hAnsi="Bookman Old Style"/>
          <w:sz w:val="24"/>
        </w:rPr>
        <w:t xml:space="preserve"> se configuró la causal 8 del artículo 141 del CGP que obliga a la juez quinta laboral a separarse del proceso y de los demás con radicados 66001310500520220015500, 66001310500520220015800 &amp;</w:t>
      </w:r>
    </w:p>
    <w:p w14:paraId="64D15FA3" w14:textId="33F832C8" w:rsidR="00781178" w:rsidRPr="007666BA" w:rsidRDefault="008E19D9" w:rsidP="0057394B">
      <w:pPr>
        <w:spacing w:line="276" w:lineRule="auto"/>
        <w:jc w:val="both"/>
        <w:rPr>
          <w:rFonts w:ascii="Bookman Old Style" w:hAnsi="Bookman Old Style"/>
          <w:sz w:val="24"/>
        </w:rPr>
      </w:pPr>
      <w:r w:rsidRPr="007666BA">
        <w:rPr>
          <w:rFonts w:ascii="Bookman Old Style" w:hAnsi="Bookman Old Style"/>
          <w:sz w:val="24"/>
        </w:rPr>
        <w:t>66001310500520220016000.</w:t>
      </w:r>
    </w:p>
    <w:p w14:paraId="53C10124" w14:textId="43CD9774" w:rsidR="00FA50F5" w:rsidRPr="007666BA" w:rsidRDefault="00FA50F5" w:rsidP="0057394B">
      <w:pPr>
        <w:spacing w:line="276" w:lineRule="auto"/>
        <w:jc w:val="both"/>
        <w:rPr>
          <w:rFonts w:ascii="Bookman Old Style" w:hAnsi="Bookman Old Style"/>
          <w:sz w:val="24"/>
        </w:rPr>
      </w:pPr>
    </w:p>
    <w:p w14:paraId="7030FE3A" w14:textId="11D7104C" w:rsidR="00FA50F5" w:rsidRPr="007666BA" w:rsidRDefault="00FA50F5" w:rsidP="0057394B">
      <w:pPr>
        <w:pStyle w:val="Textoindependiente"/>
        <w:widowControl w:val="0"/>
        <w:numPr>
          <w:ilvl w:val="0"/>
          <w:numId w:val="1"/>
        </w:numPr>
        <w:spacing w:line="276" w:lineRule="auto"/>
        <w:ind w:left="0"/>
        <w:jc w:val="center"/>
        <w:rPr>
          <w:rFonts w:ascii="Bookman Old Style" w:hAnsi="Bookman Old Style" w:cs="Arial"/>
          <w:b/>
          <w:sz w:val="24"/>
        </w:rPr>
      </w:pPr>
      <w:r w:rsidRPr="007666BA">
        <w:rPr>
          <w:rFonts w:ascii="Bookman Old Style" w:hAnsi="Bookman Old Style" w:cs="Arial"/>
          <w:b/>
          <w:sz w:val="24"/>
        </w:rPr>
        <w:t>COMPETENCIA</w:t>
      </w:r>
    </w:p>
    <w:p w14:paraId="2295DD6D" w14:textId="77777777" w:rsidR="00FA50F5" w:rsidRPr="007666BA" w:rsidRDefault="00FA50F5" w:rsidP="0057394B">
      <w:pPr>
        <w:pStyle w:val="Textoindependiente"/>
        <w:widowControl w:val="0"/>
        <w:spacing w:line="276" w:lineRule="auto"/>
        <w:rPr>
          <w:rFonts w:ascii="Bookman Old Style" w:hAnsi="Bookman Old Style" w:cs="Arial"/>
          <w:b/>
          <w:sz w:val="24"/>
        </w:rPr>
      </w:pPr>
    </w:p>
    <w:p w14:paraId="6A5C56DE" w14:textId="742B3D62" w:rsidR="00FA50F5" w:rsidRPr="007666BA" w:rsidRDefault="00FA50F5" w:rsidP="0057394B">
      <w:pPr>
        <w:pStyle w:val="Textoindependiente"/>
        <w:widowControl w:val="0"/>
        <w:spacing w:line="276" w:lineRule="auto"/>
        <w:rPr>
          <w:rFonts w:ascii="Bookman Old Style" w:hAnsi="Bookman Old Style" w:cs="Arial"/>
          <w:sz w:val="24"/>
        </w:rPr>
      </w:pPr>
      <w:r w:rsidRPr="007666BA">
        <w:rPr>
          <w:rFonts w:ascii="Bookman Old Style" w:hAnsi="Bookman Old Style" w:cs="Arial"/>
          <w:sz w:val="24"/>
        </w:rPr>
        <w:t xml:space="preserve">Esta Sala es competente para resolver la solicitud de recusación presentada por el abogado </w:t>
      </w:r>
      <w:r w:rsidRPr="007666BA">
        <w:rPr>
          <w:rFonts w:ascii="Bookman Old Style" w:hAnsi="Bookman Old Style"/>
          <w:sz w:val="24"/>
        </w:rPr>
        <w:t>MATÍAS SAJONA contra la juez quinta laboral, e</w:t>
      </w:r>
      <w:r w:rsidRPr="007666BA">
        <w:rPr>
          <w:rFonts w:ascii="Bookman Old Style" w:hAnsi="Bookman Old Style" w:cs="Arial"/>
          <w:sz w:val="24"/>
        </w:rPr>
        <w:t xml:space="preserve">n virtud del artículo 140 y siguientes del Código General del Proceso, aplicable en asuntos ordinarios laborales por disposición del artículo 145 del </w:t>
      </w:r>
      <w:r w:rsidR="00230E10" w:rsidRPr="007666BA">
        <w:rPr>
          <w:rFonts w:ascii="Bookman Old Style" w:hAnsi="Bookman Old Style" w:cs="Arial"/>
          <w:sz w:val="24"/>
        </w:rPr>
        <w:t>Código Procesal del Trabajo y d</w:t>
      </w:r>
      <w:r w:rsidRPr="007666BA">
        <w:rPr>
          <w:rFonts w:ascii="Bookman Old Style" w:hAnsi="Bookman Old Style" w:cs="Arial"/>
          <w:sz w:val="24"/>
        </w:rPr>
        <w:t xml:space="preserve">e </w:t>
      </w:r>
      <w:r w:rsidR="00230E10" w:rsidRPr="007666BA">
        <w:rPr>
          <w:rFonts w:ascii="Bookman Old Style" w:hAnsi="Bookman Old Style" w:cs="Arial"/>
          <w:sz w:val="24"/>
        </w:rPr>
        <w:t>l</w:t>
      </w:r>
      <w:r w:rsidRPr="007666BA">
        <w:rPr>
          <w:rFonts w:ascii="Bookman Old Style" w:hAnsi="Bookman Old Style" w:cs="Arial"/>
          <w:sz w:val="24"/>
        </w:rPr>
        <w:t>a Seguridad Social.</w:t>
      </w:r>
    </w:p>
    <w:p w14:paraId="049F31CB" w14:textId="77777777" w:rsidR="003668AE" w:rsidRPr="007666BA" w:rsidRDefault="003668AE" w:rsidP="0057394B">
      <w:pPr>
        <w:spacing w:line="276" w:lineRule="auto"/>
        <w:jc w:val="both"/>
        <w:rPr>
          <w:rFonts w:ascii="Bookman Old Style" w:hAnsi="Bookman Old Style" w:cs="Arial"/>
          <w:sz w:val="24"/>
        </w:rPr>
      </w:pPr>
    </w:p>
    <w:p w14:paraId="2E0A79F2" w14:textId="77777777" w:rsidR="00AA3C0D" w:rsidRPr="007666BA" w:rsidRDefault="00AA3C0D" w:rsidP="0057394B">
      <w:pPr>
        <w:pStyle w:val="Prrafodelista"/>
        <w:numPr>
          <w:ilvl w:val="0"/>
          <w:numId w:val="1"/>
        </w:numPr>
        <w:spacing w:line="276" w:lineRule="auto"/>
        <w:ind w:left="0"/>
        <w:jc w:val="center"/>
        <w:rPr>
          <w:rFonts w:ascii="Bookman Old Style" w:hAnsi="Bookman Old Style" w:cs="Arial"/>
          <w:b/>
          <w:sz w:val="24"/>
          <w:lang w:eastAsia="en-US"/>
        </w:rPr>
      </w:pPr>
      <w:r w:rsidRPr="007666BA">
        <w:rPr>
          <w:rFonts w:ascii="Bookman Old Style" w:hAnsi="Bookman Old Style" w:cs="Arial"/>
          <w:b/>
          <w:sz w:val="24"/>
        </w:rPr>
        <w:t>CONSIDERACIONES</w:t>
      </w:r>
    </w:p>
    <w:p w14:paraId="2F0DDD35" w14:textId="4DC445FD" w:rsidR="00AA3C0D" w:rsidRPr="007666BA" w:rsidRDefault="00AA3C0D" w:rsidP="0057394B">
      <w:pPr>
        <w:spacing w:line="276" w:lineRule="auto"/>
        <w:jc w:val="both"/>
        <w:rPr>
          <w:rFonts w:ascii="Bookman Old Style" w:hAnsi="Bookman Old Style" w:cs="Arial"/>
          <w:sz w:val="24"/>
        </w:rPr>
      </w:pPr>
      <w:r w:rsidRPr="007666BA">
        <w:rPr>
          <w:rFonts w:ascii="Bookman Old Style" w:hAnsi="Bookman Old Style" w:cs="Arial"/>
          <w:sz w:val="24"/>
        </w:rPr>
        <w:t xml:space="preserve">       </w:t>
      </w:r>
    </w:p>
    <w:p w14:paraId="6FEC9219" w14:textId="6DAD9E40" w:rsidR="007F1389" w:rsidRPr="007666BA" w:rsidRDefault="00FA50F5" w:rsidP="007666BA">
      <w:pPr>
        <w:pStyle w:val="Textoindependiente"/>
        <w:widowControl w:val="0"/>
        <w:numPr>
          <w:ilvl w:val="0"/>
          <w:numId w:val="4"/>
        </w:numPr>
        <w:spacing w:line="276" w:lineRule="auto"/>
        <w:ind w:left="426"/>
        <w:rPr>
          <w:rFonts w:ascii="Bookman Old Style" w:hAnsi="Bookman Old Style" w:cs="Arial"/>
          <w:b/>
          <w:sz w:val="24"/>
        </w:rPr>
      </w:pPr>
      <w:r w:rsidRPr="007666BA">
        <w:rPr>
          <w:rFonts w:ascii="Bookman Old Style" w:hAnsi="Bookman Old Style" w:cs="Arial"/>
          <w:b/>
          <w:sz w:val="24"/>
        </w:rPr>
        <w:t>P</w:t>
      </w:r>
      <w:r w:rsidR="007F1389" w:rsidRPr="007666BA">
        <w:rPr>
          <w:rFonts w:ascii="Bookman Old Style" w:hAnsi="Bookman Old Style" w:cs="Arial"/>
          <w:b/>
          <w:sz w:val="24"/>
        </w:rPr>
        <w:t>roblema Jurídico</w:t>
      </w:r>
    </w:p>
    <w:p w14:paraId="03DFE945" w14:textId="77777777" w:rsidR="007F1389" w:rsidRPr="0057394B" w:rsidRDefault="007F1389" w:rsidP="0057394B">
      <w:pPr>
        <w:pStyle w:val="Textoindependiente"/>
        <w:widowControl w:val="0"/>
        <w:spacing w:line="276" w:lineRule="auto"/>
        <w:rPr>
          <w:rFonts w:ascii="Bookman Old Style" w:hAnsi="Bookman Old Style" w:cs="Arial"/>
          <w:sz w:val="24"/>
        </w:rPr>
      </w:pPr>
    </w:p>
    <w:p w14:paraId="7C90F767" w14:textId="77777777" w:rsidR="00FA50F5" w:rsidRPr="0057394B" w:rsidRDefault="00AA3C0D" w:rsidP="0057394B">
      <w:pPr>
        <w:pStyle w:val="Textoindependiente"/>
        <w:widowControl w:val="0"/>
        <w:spacing w:line="276" w:lineRule="auto"/>
        <w:rPr>
          <w:rFonts w:ascii="Bookman Old Style" w:hAnsi="Bookman Old Style" w:cs="Arial"/>
          <w:sz w:val="24"/>
        </w:rPr>
      </w:pPr>
      <w:r w:rsidRPr="007666BA">
        <w:rPr>
          <w:rFonts w:ascii="Bookman Old Style" w:hAnsi="Bookman Old Style" w:cs="Arial"/>
          <w:sz w:val="24"/>
        </w:rPr>
        <w:t>El problema jurídico en el presente asunto se circunscribe a establecer</w:t>
      </w:r>
      <w:r w:rsidR="190D6378" w:rsidRPr="007666BA">
        <w:rPr>
          <w:rFonts w:ascii="Bookman Old Style" w:hAnsi="Bookman Old Style" w:cs="Arial"/>
          <w:sz w:val="24"/>
        </w:rPr>
        <w:t xml:space="preserve"> </w:t>
      </w:r>
      <w:r w:rsidR="007F1389" w:rsidRPr="007666BA">
        <w:rPr>
          <w:rFonts w:ascii="Bookman Old Style" w:hAnsi="Bookman Old Style" w:cs="Arial"/>
          <w:sz w:val="24"/>
        </w:rPr>
        <w:t xml:space="preserve">la procedencia de la causal </w:t>
      </w:r>
      <w:r w:rsidR="007F1389" w:rsidRPr="0057394B">
        <w:rPr>
          <w:rFonts w:ascii="Bookman Old Style" w:hAnsi="Bookman Old Style" w:cs="Arial"/>
          <w:sz w:val="24"/>
        </w:rPr>
        <w:t>No. 8 del artículo 141 del Código General del Proceso, respecto a la recusación interpuesta por el abogado el Dr. MATÍAS SAJONA en contra de la jueza del Juzgado Quinto Laboral del Circuito de Pereira.</w:t>
      </w:r>
    </w:p>
    <w:p w14:paraId="082247E6" w14:textId="77777777" w:rsidR="00FA50F5" w:rsidRPr="0057394B" w:rsidRDefault="00FA50F5" w:rsidP="0057394B">
      <w:pPr>
        <w:pStyle w:val="Textoindependiente"/>
        <w:widowControl w:val="0"/>
        <w:spacing w:line="276" w:lineRule="auto"/>
        <w:rPr>
          <w:rFonts w:ascii="Bookman Old Style" w:hAnsi="Bookman Old Style" w:cs="Arial"/>
          <w:sz w:val="24"/>
        </w:rPr>
      </w:pPr>
    </w:p>
    <w:p w14:paraId="26DBAFFD" w14:textId="06D98B9E" w:rsidR="00FA50F5" w:rsidRPr="007666BA" w:rsidRDefault="00FA50F5" w:rsidP="007666BA">
      <w:pPr>
        <w:pStyle w:val="Textoindependiente"/>
        <w:widowControl w:val="0"/>
        <w:numPr>
          <w:ilvl w:val="0"/>
          <w:numId w:val="4"/>
        </w:numPr>
        <w:spacing w:line="276" w:lineRule="auto"/>
        <w:ind w:left="426"/>
        <w:rPr>
          <w:rFonts w:ascii="Bookman Old Style" w:hAnsi="Bookman Old Style"/>
          <w:sz w:val="24"/>
        </w:rPr>
      </w:pPr>
      <w:r w:rsidRPr="007666BA">
        <w:rPr>
          <w:rFonts w:ascii="Bookman Old Style" w:hAnsi="Bookman Old Style" w:cs="Arial"/>
          <w:b/>
          <w:sz w:val="24"/>
        </w:rPr>
        <w:t>Sobre la recusación</w:t>
      </w:r>
    </w:p>
    <w:p w14:paraId="70B7F9C3" w14:textId="513C1F03" w:rsidR="00FA50F5" w:rsidRPr="007666BA" w:rsidRDefault="00FA50F5" w:rsidP="0057394B">
      <w:pPr>
        <w:pStyle w:val="Textoindependiente"/>
        <w:widowControl w:val="0"/>
        <w:spacing w:line="276" w:lineRule="auto"/>
        <w:rPr>
          <w:rFonts w:ascii="Bookman Old Style" w:hAnsi="Bookman Old Style" w:cs="Arial"/>
          <w:sz w:val="24"/>
        </w:rPr>
      </w:pPr>
    </w:p>
    <w:p w14:paraId="64C327C4" w14:textId="42521A0D" w:rsidR="00F97BAB" w:rsidRPr="007666BA" w:rsidRDefault="00C001EE" w:rsidP="0057394B">
      <w:pPr>
        <w:pStyle w:val="Textoindependiente"/>
        <w:widowControl w:val="0"/>
        <w:spacing w:line="276" w:lineRule="auto"/>
        <w:rPr>
          <w:rFonts w:ascii="Bookman Old Style" w:hAnsi="Bookman Old Style" w:cs="Arial"/>
          <w:sz w:val="24"/>
        </w:rPr>
      </w:pPr>
      <w:r w:rsidRPr="007666BA">
        <w:rPr>
          <w:rFonts w:ascii="Bookman Old Style" w:hAnsi="Bookman Old Style" w:cs="Arial"/>
          <w:sz w:val="24"/>
        </w:rPr>
        <w:t>La</w:t>
      </w:r>
      <w:r w:rsidR="00DC103E" w:rsidRPr="007666BA">
        <w:rPr>
          <w:rFonts w:ascii="Bookman Old Style" w:hAnsi="Bookman Old Style" w:cs="Arial"/>
          <w:sz w:val="24"/>
        </w:rPr>
        <w:t xml:space="preserve"> imparcialidad e independencia</w:t>
      </w:r>
      <w:r w:rsidRPr="007666BA">
        <w:rPr>
          <w:rFonts w:ascii="Bookman Old Style" w:hAnsi="Bookman Old Style" w:cs="Arial"/>
          <w:sz w:val="24"/>
        </w:rPr>
        <w:t xml:space="preserve"> son principios</w:t>
      </w:r>
      <w:r w:rsidR="00DC103E" w:rsidRPr="007666BA">
        <w:rPr>
          <w:rFonts w:ascii="Bookman Old Style" w:hAnsi="Bookman Old Style" w:cs="Arial"/>
          <w:sz w:val="24"/>
        </w:rPr>
        <w:t xml:space="preserve"> fundamentales en la administración de justicia y</w:t>
      </w:r>
      <w:r w:rsidR="00F97BAB" w:rsidRPr="007666BA">
        <w:rPr>
          <w:rFonts w:ascii="Bookman Old Style" w:hAnsi="Bookman Old Style" w:cs="Arial"/>
          <w:sz w:val="24"/>
        </w:rPr>
        <w:t xml:space="preserve"> tienen fundamento en el desarrollo del derecho al</w:t>
      </w:r>
      <w:r w:rsidR="00DC103E" w:rsidRPr="007666BA">
        <w:rPr>
          <w:rFonts w:ascii="Bookman Old Style" w:hAnsi="Bookman Old Style" w:cs="Arial"/>
          <w:sz w:val="24"/>
        </w:rPr>
        <w:t xml:space="preserve"> debido proceso consagrado en el artículo 29</w:t>
      </w:r>
      <w:r w:rsidR="00F97BAB" w:rsidRPr="007666BA">
        <w:rPr>
          <w:rFonts w:ascii="Bookman Old Style" w:hAnsi="Bookman Old Style" w:cs="Arial"/>
          <w:sz w:val="24"/>
        </w:rPr>
        <w:t xml:space="preserve"> y el derecho a la igualdad del artículo 13, ambos</w:t>
      </w:r>
      <w:r w:rsidR="00DC103E" w:rsidRPr="007666BA">
        <w:rPr>
          <w:rFonts w:ascii="Bookman Old Style" w:hAnsi="Bookman Old Style" w:cs="Arial"/>
          <w:sz w:val="24"/>
        </w:rPr>
        <w:t xml:space="preserve"> de la Constitución Política.</w:t>
      </w:r>
      <w:r w:rsidR="00F97BAB" w:rsidRPr="007666BA">
        <w:rPr>
          <w:rFonts w:ascii="Bookman Old Style" w:hAnsi="Bookman Old Style" w:cs="Arial"/>
          <w:sz w:val="24"/>
        </w:rPr>
        <w:t xml:space="preserve"> De ahí que </w:t>
      </w:r>
      <w:r w:rsidRPr="007666BA">
        <w:rPr>
          <w:rFonts w:ascii="Bookman Old Style" w:hAnsi="Bookman Old Style" w:cs="Arial"/>
          <w:sz w:val="24"/>
        </w:rPr>
        <w:t xml:space="preserve">se exige que </w:t>
      </w:r>
      <w:r w:rsidR="00F97BAB" w:rsidRPr="007666BA">
        <w:rPr>
          <w:rFonts w:ascii="Bookman Old Style" w:hAnsi="Bookman Old Style" w:cs="Arial"/>
          <w:sz w:val="24"/>
        </w:rPr>
        <w:t xml:space="preserve">el juez </w:t>
      </w:r>
      <w:r w:rsidR="00F97BAB" w:rsidRPr="007666BA">
        <w:rPr>
          <w:rFonts w:ascii="Bookman Old Style" w:hAnsi="Bookman Old Style" w:cs="Arial"/>
          <w:sz w:val="24"/>
        </w:rPr>
        <w:lastRenderedPageBreak/>
        <w:t xml:space="preserve">encargado de ponerle fin a una </w:t>
      </w:r>
      <w:r w:rsidR="00F97BAB" w:rsidRPr="0057394B">
        <w:rPr>
          <w:rFonts w:ascii="Bookman Old Style" w:hAnsi="Bookman Old Style" w:cs="Arial"/>
          <w:sz w:val="24"/>
        </w:rPr>
        <w:t>litis</w:t>
      </w:r>
      <w:r w:rsidR="00F97BAB" w:rsidRPr="007666BA">
        <w:rPr>
          <w:rFonts w:ascii="Bookman Old Style" w:hAnsi="Bookman Old Style" w:cs="Arial"/>
          <w:sz w:val="24"/>
        </w:rPr>
        <w:t xml:space="preserve"> </w:t>
      </w:r>
      <w:r w:rsidRPr="007666BA">
        <w:rPr>
          <w:rFonts w:ascii="Bookman Old Style" w:hAnsi="Bookman Old Style" w:cs="Arial"/>
          <w:sz w:val="24"/>
        </w:rPr>
        <w:t>está obligado a</w:t>
      </w:r>
      <w:r w:rsidR="00F97BAB" w:rsidRPr="007666BA">
        <w:rPr>
          <w:rFonts w:ascii="Bookman Old Style" w:hAnsi="Bookman Old Style" w:cs="Arial"/>
          <w:sz w:val="24"/>
        </w:rPr>
        <w:t xml:space="preserve"> proferir sus decisiones sin ningún interés distinto al de administrar pronta y cumplida justicia con objetividad, ponderación, equilibrio y mesura, con observancia a los derechos de igualdad y acceso a la administración de justicia.</w:t>
      </w:r>
      <w:r w:rsidR="00817222" w:rsidRPr="007666BA">
        <w:rPr>
          <w:rFonts w:ascii="Bookman Old Style" w:hAnsi="Bookman Old Style" w:cs="Arial"/>
          <w:sz w:val="24"/>
        </w:rPr>
        <w:t xml:space="preserve"> Esto</w:t>
      </w:r>
      <w:r w:rsidR="00A80151" w:rsidRPr="007666BA">
        <w:rPr>
          <w:rFonts w:ascii="Bookman Old Style" w:hAnsi="Bookman Old Style" w:cs="Arial"/>
          <w:sz w:val="24"/>
        </w:rPr>
        <w:t xml:space="preserve"> supone que el juzgador no deba</w:t>
      </w:r>
      <w:r w:rsidR="00817222" w:rsidRPr="007666BA">
        <w:rPr>
          <w:rFonts w:ascii="Bookman Old Style" w:hAnsi="Bookman Old Style" w:cs="Arial"/>
          <w:sz w:val="24"/>
        </w:rPr>
        <w:t xml:space="preserve"> emitir sentencias cuando se encuentre inmerso en sentimientos de animadversión o aprecio a una de las partes, sus apoderados o representantes o cualquier situación que pueda comprometer su juicio.</w:t>
      </w:r>
    </w:p>
    <w:p w14:paraId="62BE398A" w14:textId="25437892" w:rsidR="004422E8" w:rsidRPr="007666BA" w:rsidRDefault="004422E8" w:rsidP="0057394B">
      <w:pPr>
        <w:pStyle w:val="Textoindependiente"/>
        <w:widowControl w:val="0"/>
        <w:spacing w:line="276" w:lineRule="auto"/>
        <w:rPr>
          <w:rFonts w:ascii="Bookman Old Style" w:hAnsi="Bookman Old Style" w:cs="Arial"/>
          <w:sz w:val="24"/>
        </w:rPr>
      </w:pPr>
    </w:p>
    <w:p w14:paraId="28752FBD" w14:textId="5898F634" w:rsidR="004422E8" w:rsidRPr="007666BA" w:rsidRDefault="004422E8" w:rsidP="0057394B">
      <w:pPr>
        <w:pStyle w:val="Textoindependiente"/>
        <w:widowControl w:val="0"/>
        <w:spacing w:line="276" w:lineRule="auto"/>
        <w:rPr>
          <w:rFonts w:ascii="Bookman Old Style" w:hAnsi="Bookman Old Style" w:cs="Arial"/>
          <w:sz w:val="24"/>
        </w:rPr>
      </w:pPr>
      <w:r w:rsidRPr="007666BA">
        <w:rPr>
          <w:rFonts w:ascii="Bookman Old Style" w:hAnsi="Bookman Old Style" w:cs="Arial"/>
          <w:sz w:val="24"/>
        </w:rPr>
        <w:t>Y es que debido a la</w:t>
      </w:r>
      <w:r w:rsidR="001163D8" w:rsidRPr="007666BA">
        <w:rPr>
          <w:rFonts w:ascii="Bookman Old Style" w:hAnsi="Bookman Old Style" w:cs="Arial"/>
          <w:sz w:val="24"/>
        </w:rPr>
        <w:t xml:space="preserve"> obvia</w:t>
      </w:r>
      <w:r w:rsidRPr="007666BA">
        <w:rPr>
          <w:rFonts w:ascii="Bookman Old Style" w:hAnsi="Bookman Old Style" w:cs="Arial"/>
          <w:sz w:val="24"/>
        </w:rPr>
        <w:t xml:space="preserve"> natur</w:t>
      </w:r>
      <w:r w:rsidR="001163D8" w:rsidRPr="007666BA">
        <w:rPr>
          <w:rFonts w:ascii="Bookman Old Style" w:hAnsi="Bookman Old Style" w:cs="Arial"/>
          <w:sz w:val="24"/>
        </w:rPr>
        <w:t>aleza humana de los jueces no lo</w:t>
      </w:r>
      <w:r w:rsidRPr="007666BA">
        <w:rPr>
          <w:rFonts w:ascii="Bookman Old Style" w:hAnsi="Bookman Old Style" w:cs="Arial"/>
          <w:sz w:val="24"/>
        </w:rPr>
        <w:t>s exime de que puedan perder la imparcialidad en ciertos casos o al menos se lleva a pensar que así es, por ende, ante cualquier indicio de eso suceda, incluso si no sucede, surgen las herramientas del impedimento y la recus</w:t>
      </w:r>
      <w:r w:rsidR="001163D8" w:rsidRPr="007666BA">
        <w:rPr>
          <w:rFonts w:ascii="Bookman Old Style" w:hAnsi="Bookman Old Style" w:cs="Arial"/>
          <w:sz w:val="24"/>
        </w:rPr>
        <w:t>ación como un medio excepcional que le permite</w:t>
      </w:r>
      <w:r w:rsidRPr="007666BA">
        <w:rPr>
          <w:rFonts w:ascii="Bookman Old Style" w:hAnsi="Bookman Old Style" w:cs="Arial"/>
          <w:sz w:val="24"/>
        </w:rPr>
        <w:t xml:space="preserve"> al juez separarse del conocimiento de un asunto, sin</w:t>
      </w:r>
      <w:r w:rsidR="001163D8" w:rsidRPr="007666BA">
        <w:rPr>
          <w:rFonts w:ascii="Bookman Old Style" w:hAnsi="Bookman Old Style" w:cs="Arial"/>
          <w:sz w:val="24"/>
        </w:rPr>
        <w:t xml:space="preserve"> que</w:t>
      </w:r>
      <w:r w:rsidRPr="007666BA">
        <w:rPr>
          <w:rFonts w:ascii="Bookman Old Style" w:hAnsi="Bookman Old Style" w:cs="Arial"/>
          <w:sz w:val="24"/>
        </w:rPr>
        <w:t xml:space="preserve"> ello signifique un </w:t>
      </w:r>
      <w:r w:rsidR="001163D8" w:rsidRPr="007666BA">
        <w:rPr>
          <w:rFonts w:ascii="Bookman Old Style" w:hAnsi="Bookman Old Style" w:cs="Arial"/>
          <w:sz w:val="24"/>
        </w:rPr>
        <w:t>“</w:t>
      </w:r>
      <w:r w:rsidRPr="007666BA">
        <w:rPr>
          <w:rFonts w:ascii="Bookman Old Style" w:hAnsi="Bookman Old Style" w:cs="Arial"/>
          <w:sz w:val="24"/>
        </w:rPr>
        <w:t>castigo</w:t>
      </w:r>
      <w:r w:rsidR="001163D8" w:rsidRPr="007666BA">
        <w:rPr>
          <w:rFonts w:ascii="Bookman Old Style" w:hAnsi="Bookman Old Style" w:cs="Arial"/>
          <w:sz w:val="24"/>
        </w:rPr>
        <w:t>”</w:t>
      </w:r>
      <w:r w:rsidRPr="007666BA">
        <w:rPr>
          <w:rFonts w:ascii="Bookman Old Style" w:hAnsi="Bookman Old Style" w:cs="Arial"/>
          <w:sz w:val="24"/>
        </w:rPr>
        <w:t xml:space="preserve"> o sanción, simplemente lo que se busca es conservar y garantizar la imparcialidad y la independencia de la justicia.</w:t>
      </w:r>
    </w:p>
    <w:p w14:paraId="6FCF34E3" w14:textId="43A7351F" w:rsidR="00817222" w:rsidRPr="007666BA" w:rsidRDefault="00817222" w:rsidP="0057394B">
      <w:pPr>
        <w:pStyle w:val="Textoindependiente"/>
        <w:widowControl w:val="0"/>
        <w:spacing w:line="276" w:lineRule="auto"/>
        <w:rPr>
          <w:rFonts w:ascii="Bookman Old Style" w:hAnsi="Bookman Old Style" w:cs="Arial"/>
          <w:sz w:val="24"/>
        </w:rPr>
      </w:pPr>
    </w:p>
    <w:p w14:paraId="66F7B509" w14:textId="6CC01D89" w:rsidR="00817222" w:rsidRPr="007666BA" w:rsidRDefault="00817222" w:rsidP="0057394B">
      <w:pPr>
        <w:pStyle w:val="Textoindependiente"/>
        <w:widowControl w:val="0"/>
        <w:spacing w:line="276" w:lineRule="auto"/>
        <w:rPr>
          <w:rFonts w:ascii="Bookman Old Style" w:hAnsi="Bookman Old Style" w:cs="Arial"/>
          <w:sz w:val="24"/>
        </w:rPr>
      </w:pPr>
      <w:r w:rsidRPr="007666BA">
        <w:rPr>
          <w:rFonts w:ascii="Bookman Old Style" w:hAnsi="Bookman Old Style" w:cs="Arial"/>
          <w:sz w:val="24"/>
        </w:rPr>
        <w:t xml:space="preserve">Sobre estos dos principios fundamentales de la administración de justicia, la Corte Constitucional en sentencia C-496 de 2016 recordó: </w:t>
      </w:r>
    </w:p>
    <w:p w14:paraId="47E8F84E" w14:textId="77777777" w:rsidR="00817222" w:rsidRPr="007666BA" w:rsidRDefault="00817222" w:rsidP="0057394B">
      <w:pPr>
        <w:pStyle w:val="Textoindependiente"/>
        <w:widowControl w:val="0"/>
        <w:spacing w:line="276" w:lineRule="auto"/>
        <w:rPr>
          <w:rFonts w:ascii="Bookman Old Style" w:hAnsi="Bookman Old Style" w:cs="Arial"/>
          <w:sz w:val="24"/>
        </w:rPr>
      </w:pPr>
    </w:p>
    <w:p w14:paraId="4F8AA09A" w14:textId="39D9854D" w:rsidR="00817222" w:rsidRPr="008D3EBA" w:rsidRDefault="00817222" w:rsidP="008D3EBA">
      <w:pPr>
        <w:pStyle w:val="Textoindependiente"/>
        <w:widowControl w:val="0"/>
        <w:ind w:left="426" w:right="420"/>
        <w:rPr>
          <w:rFonts w:ascii="Bookman Old Style" w:hAnsi="Bookman Old Style" w:cs="Arial"/>
          <w:sz w:val="22"/>
        </w:rPr>
      </w:pPr>
      <w:r w:rsidRPr="008D3EBA">
        <w:rPr>
          <w:rFonts w:ascii="Bookman Old Style" w:hAnsi="Bookman Old Style"/>
          <w:color w:val="2D2D2D"/>
          <w:sz w:val="22"/>
          <w:shd w:val="clear" w:color="auto" w:fill="FFFFFF"/>
        </w:rPr>
        <w:t>“</w:t>
      </w:r>
      <w:r w:rsidRPr="008D3EBA">
        <w:rPr>
          <w:rFonts w:ascii="Bookman Old Style" w:hAnsi="Bookman Old Style" w:cs="Arial"/>
          <w:i/>
          <w:sz w:val="22"/>
        </w:rPr>
        <w:t xml:space="preserve">La Corte ha explicado claramente </w:t>
      </w:r>
      <w:r w:rsidRPr="008D3EBA">
        <w:rPr>
          <w:rFonts w:ascii="Bookman Old Style" w:hAnsi="Bookman Old Style" w:cs="Arial"/>
          <w:b/>
          <w:i/>
          <w:sz w:val="22"/>
        </w:rPr>
        <w:t>la diferencia entre los atributos de independencia e imparcialidad</w:t>
      </w:r>
      <w:r w:rsidRPr="008D3EBA">
        <w:rPr>
          <w:rFonts w:ascii="Bookman Old Style" w:hAnsi="Bookman Old Style" w:cs="Arial"/>
          <w:i/>
          <w:sz w:val="22"/>
        </w:rPr>
        <w:t xml:space="preserve"> en los siguientes términos: </w:t>
      </w:r>
      <w:r w:rsidRPr="008D3EBA">
        <w:rPr>
          <w:rFonts w:ascii="Bookman Old Style" w:hAnsi="Bookman Old Style" w:cs="Arial"/>
          <w:b/>
          <w:i/>
          <w:sz w:val="22"/>
        </w:rPr>
        <w:t>“[la] independencia</w:t>
      </w:r>
      <w:r w:rsidRPr="008D3EBA">
        <w:rPr>
          <w:rFonts w:ascii="Bookman Old Style" w:hAnsi="Bookman Old Style" w:cs="Arial"/>
          <w:i/>
          <w:sz w:val="22"/>
        </w:rPr>
        <w:t xml:space="preserve">, como su nombre lo indica, hace alusión a que los funcionarios encargados de administrar justicia no se vean sometidos a presiones, […] a insinuaciones, recomendaciones, exigencias, determinaciones o consejos por parte de otros órganos del poder, inclusive de la misma rama judicial, sin perjuicio del ejercicio legítimo por parte de otras autoridades judiciales de sus competencias constitucionales y legales”. </w:t>
      </w:r>
      <w:r w:rsidRPr="008D3EBA">
        <w:rPr>
          <w:rFonts w:ascii="Bookman Old Style" w:hAnsi="Bookman Old Style" w:cs="Arial"/>
          <w:b/>
          <w:i/>
          <w:sz w:val="22"/>
        </w:rPr>
        <w:t>Sobre la imparcialidad</w:t>
      </w:r>
      <w:r w:rsidRPr="008D3EBA">
        <w:rPr>
          <w:rFonts w:ascii="Bookman Old Style" w:hAnsi="Bookman Old Style" w:cs="Arial"/>
          <w:i/>
          <w:sz w:val="22"/>
        </w:rPr>
        <w:t xml:space="preserve">, ha señalado que esta “se predica del derecho de igualdad de todas las personas ante la ley (Art. 13 C.P.), garantía de la cual deben gozar todos los ciudadanos frente a quien administra justicia. </w:t>
      </w:r>
      <w:r w:rsidRPr="008D3EBA">
        <w:rPr>
          <w:rFonts w:ascii="Bookman Old Style" w:hAnsi="Bookman Old Style" w:cs="Arial"/>
          <w:b/>
          <w:i/>
          <w:sz w:val="22"/>
        </w:rPr>
        <w:t>Se trata de un asunto no sólo de índole moral y ética, en el que la honestidad y la honorabilidad del juez son presupuestos necesarios para que la sociedad confíe en los encargados de definir la responsabilidad de las personas y la vigencia de sus derechos, sino también de responsabilidad judicial</w:t>
      </w:r>
      <w:r w:rsidRPr="008D3EBA">
        <w:rPr>
          <w:rFonts w:ascii="Bookman Old Style" w:hAnsi="Bookman Old Style" w:cs="Arial"/>
          <w:i/>
          <w:sz w:val="22"/>
        </w:rPr>
        <w:t xml:space="preserve">.” </w:t>
      </w:r>
    </w:p>
    <w:p w14:paraId="3469FA39" w14:textId="7CE1715D" w:rsidR="00817222" w:rsidRPr="008D3EBA" w:rsidRDefault="00817222" w:rsidP="008D3EBA">
      <w:pPr>
        <w:pStyle w:val="Textoindependiente"/>
        <w:widowControl w:val="0"/>
        <w:ind w:left="426" w:right="420"/>
        <w:rPr>
          <w:rFonts w:ascii="Bookman Old Style" w:hAnsi="Bookman Old Style" w:cs="Arial"/>
          <w:sz w:val="22"/>
        </w:rPr>
      </w:pPr>
    </w:p>
    <w:p w14:paraId="6FC70693" w14:textId="0B0BED80" w:rsidR="00817222" w:rsidRPr="008D3EBA" w:rsidRDefault="00817222" w:rsidP="008D3EBA">
      <w:pPr>
        <w:pStyle w:val="Textoindependiente"/>
        <w:widowControl w:val="0"/>
        <w:ind w:left="426" w:right="420"/>
        <w:rPr>
          <w:rFonts w:ascii="Bookman Old Style" w:hAnsi="Bookman Old Style" w:cs="Arial"/>
          <w:sz w:val="22"/>
        </w:rPr>
      </w:pPr>
      <w:r w:rsidRPr="008D3EBA">
        <w:rPr>
          <w:rFonts w:ascii="Bookman Old Style" w:hAnsi="Bookman Old Style" w:cs="Arial"/>
          <w:sz w:val="22"/>
        </w:rPr>
        <w:t>(…)</w:t>
      </w:r>
    </w:p>
    <w:p w14:paraId="15BF8C07" w14:textId="77777777" w:rsidR="00817222" w:rsidRPr="008D3EBA" w:rsidRDefault="00817222" w:rsidP="008D3EBA">
      <w:pPr>
        <w:pStyle w:val="Textoindependiente"/>
        <w:widowControl w:val="0"/>
        <w:ind w:left="426" w:right="420"/>
        <w:rPr>
          <w:rFonts w:ascii="Bookman Old Style" w:hAnsi="Bookman Old Style" w:cs="Arial"/>
          <w:i/>
          <w:sz w:val="22"/>
        </w:rPr>
      </w:pPr>
    </w:p>
    <w:p w14:paraId="192C48E3" w14:textId="77777777" w:rsidR="00817222" w:rsidRPr="008D3EBA" w:rsidRDefault="00817222" w:rsidP="008D3EBA">
      <w:pPr>
        <w:pStyle w:val="Textoindependiente"/>
        <w:widowControl w:val="0"/>
        <w:ind w:left="426" w:right="420"/>
        <w:rPr>
          <w:rFonts w:ascii="Bookman Old Style" w:hAnsi="Bookman Old Style" w:cs="Arial"/>
          <w:sz w:val="22"/>
        </w:rPr>
      </w:pPr>
      <w:r w:rsidRPr="008D3EBA">
        <w:rPr>
          <w:rFonts w:ascii="Bookman Old Style" w:hAnsi="Bookman Old Style" w:cs="Arial"/>
          <w:i/>
          <w:sz w:val="22"/>
        </w:rPr>
        <w:t xml:space="preserve">“Dentro de este contexto, </w:t>
      </w:r>
      <w:r w:rsidRPr="008D3EBA">
        <w:rPr>
          <w:rFonts w:ascii="Bookman Old Style" w:hAnsi="Bookman Old Style" w:cs="Arial"/>
          <w:b/>
          <w:i/>
          <w:sz w:val="22"/>
        </w:rPr>
        <w:t>la jurisprudencia constitucional le ha reconocido a la noción de imparcialidad, una doble dimensión: (i) subjetiva</w:t>
      </w:r>
      <w:r w:rsidRPr="008D3EBA">
        <w:rPr>
          <w:rFonts w:ascii="Bookman Old Style" w:hAnsi="Bookman Old Style" w:cs="Arial"/>
          <w:i/>
          <w:sz w:val="22"/>
        </w:rPr>
        <w:t xml:space="preserve">, esto es, relacionada con “la probidad y la independencia del juez, de manera que éste no se incline intencionadamente para favorecer o perjudicar a alguno de los sujetos procesales, o hacia uno de los aspectos en debate, debiendo declararse impedido, o ser recusado, si se encuentra dentro de cualquiera de las causales previstas al efecto”; </w:t>
      </w:r>
      <w:r w:rsidRPr="008D3EBA">
        <w:rPr>
          <w:rFonts w:ascii="Bookman Old Style" w:hAnsi="Bookman Old Style" w:cs="Arial"/>
          <w:b/>
          <w:i/>
          <w:sz w:val="22"/>
        </w:rPr>
        <w:t>y (ii) una dimensión objetiva</w:t>
      </w:r>
      <w:r w:rsidRPr="008D3EBA">
        <w:rPr>
          <w:rFonts w:ascii="Bookman Old Style" w:hAnsi="Bookman Old Style" w:cs="Arial"/>
          <w:i/>
          <w:sz w:val="22"/>
        </w:rPr>
        <w:t xml:space="preserve">, “esto es, sin contacto anterior con el </w:t>
      </w:r>
      <w:proofErr w:type="spellStart"/>
      <w:r w:rsidRPr="008D3EBA">
        <w:rPr>
          <w:rFonts w:ascii="Bookman Old Style" w:hAnsi="Bookman Old Style" w:cs="Arial"/>
          <w:i/>
          <w:sz w:val="22"/>
        </w:rPr>
        <w:t>thema</w:t>
      </w:r>
      <w:proofErr w:type="spellEnd"/>
      <w:r w:rsidRPr="008D3EBA">
        <w:rPr>
          <w:rFonts w:ascii="Bookman Old Style" w:hAnsi="Bookman Old Style" w:cs="Arial"/>
          <w:i/>
          <w:sz w:val="22"/>
        </w:rPr>
        <w:t xml:space="preserve"> </w:t>
      </w:r>
      <w:proofErr w:type="spellStart"/>
      <w:r w:rsidRPr="008D3EBA">
        <w:rPr>
          <w:rFonts w:ascii="Bookman Old Style" w:hAnsi="Bookman Old Style" w:cs="Arial"/>
          <w:i/>
          <w:sz w:val="22"/>
        </w:rPr>
        <w:t>decidendi</w:t>
      </w:r>
      <w:proofErr w:type="spellEnd"/>
      <w:r w:rsidRPr="008D3EBA">
        <w:rPr>
          <w:rFonts w:ascii="Bookman Old Style" w:hAnsi="Bookman Old Style" w:cs="Arial"/>
          <w:i/>
          <w:sz w:val="22"/>
        </w:rPr>
        <w:t xml:space="preserve">, “de modo que se ofrezcan las garantías suficientes, desde un punto de vista funcional y orgánico, para excluir cualquier duda razonable al respecto’”. </w:t>
      </w:r>
      <w:r w:rsidRPr="008D3EBA">
        <w:rPr>
          <w:rFonts w:ascii="Bookman Old Style" w:hAnsi="Bookman Old Style" w:cs="Arial"/>
          <w:b/>
          <w:i/>
          <w:sz w:val="22"/>
        </w:rPr>
        <w:t>No se pone con ella en duda la “rectitud personal de los Jueces que lleven a cabo la instrucción” sino atender al hecho natural y obvio de que la instrucción del proceso genera en el funcionario que lo adelante, una afectación de ánimo, por lo cual no es garantista para el inculpado que sea éste mismo quien lo juzgue</w:t>
      </w:r>
      <w:r w:rsidRPr="008D3EBA">
        <w:rPr>
          <w:rFonts w:ascii="Bookman Old Style" w:hAnsi="Bookman Old Style" w:cs="Arial"/>
          <w:i/>
          <w:sz w:val="22"/>
        </w:rPr>
        <w:t xml:space="preserve">” </w:t>
      </w:r>
      <w:r w:rsidRPr="008D3EBA">
        <w:rPr>
          <w:rFonts w:ascii="Bookman Old Style" w:hAnsi="Bookman Old Style" w:cs="Arial"/>
          <w:sz w:val="22"/>
        </w:rPr>
        <w:t>(Negrilla fuera de texto)</w:t>
      </w:r>
    </w:p>
    <w:p w14:paraId="29673F56" w14:textId="77777777" w:rsidR="00F97BAB" w:rsidRPr="007666BA" w:rsidRDefault="00F97BAB" w:rsidP="0057394B">
      <w:pPr>
        <w:pStyle w:val="Textoindependiente"/>
        <w:widowControl w:val="0"/>
        <w:spacing w:line="276" w:lineRule="auto"/>
        <w:rPr>
          <w:rFonts w:ascii="Bookman Old Style" w:hAnsi="Bookman Old Style" w:cs="Arial"/>
          <w:sz w:val="24"/>
        </w:rPr>
      </w:pPr>
    </w:p>
    <w:p w14:paraId="7DBC0318" w14:textId="188E4211" w:rsidR="00F97BAB" w:rsidRPr="007666BA" w:rsidRDefault="00F97BAB" w:rsidP="0057394B">
      <w:pPr>
        <w:pStyle w:val="Textoindependiente"/>
        <w:widowControl w:val="0"/>
        <w:spacing w:line="276" w:lineRule="auto"/>
        <w:rPr>
          <w:rFonts w:ascii="Bookman Old Style" w:hAnsi="Bookman Old Style" w:cs="Arial"/>
          <w:sz w:val="24"/>
        </w:rPr>
      </w:pPr>
      <w:r w:rsidRPr="007666BA">
        <w:rPr>
          <w:rFonts w:ascii="Bookman Old Style" w:hAnsi="Bookman Old Style" w:cs="Arial"/>
          <w:sz w:val="24"/>
        </w:rPr>
        <w:t>Con la finalidad de garantizar la imparcialidad e independencia</w:t>
      </w:r>
      <w:r w:rsidR="00C001EE" w:rsidRPr="007666BA">
        <w:rPr>
          <w:rFonts w:ascii="Bookman Old Style" w:hAnsi="Bookman Old Style" w:cs="Arial"/>
          <w:sz w:val="24"/>
        </w:rPr>
        <w:t xml:space="preserve"> como </w:t>
      </w:r>
      <w:r w:rsidR="00C001EE" w:rsidRPr="007666BA">
        <w:rPr>
          <w:rFonts w:ascii="Bookman Old Style" w:hAnsi="Bookman Old Style" w:cs="Arial"/>
          <w:sz w:val="24"/>
        </w:rPr>
        <w:lastRenderedPageBreak/>
        <w:t xml:space="preserve">principios de la justicia y atributos del </w:t>
      </w:r>
      <w:r w:rsidR="001163D8" w:rsidRPr="007666BA">
        <w:rPr>
          <w:rFonts w:ascii="Bookman Old Style" w:hAnsi="Bookman Old Style" w:cs="Arial"/>
          <w:sz w:val="24"/>
        </w:rPr>
        <w:t>operador judicial</w:t>
      </w:r>
      <w:r w:rsidR="00C001EE" w:rsidRPr="007666BA">
        <w:rPr>
          <w:rFonts w:ascii="Bookman Old Style" w:hAnsi="Bookman Old Style" w:cs="Arial"/>
          <w:sz w:val="24"/>
        </w:rPr>
        <w:t>,</w:t>
      </w:r>
      <w:r w:rsidR="00817222" w:rsidRPr="007666BA">
        <w:rPr>
          <w:rFonts w:ascii="Bookman Old Style" w:hAnsi="Bookman Old Style" w:cs="Arial"/>
          <w:sz w:val="24"/>
        </w:rPr>
        <w:t xml:space="preserve"> e</w:t>
      </w:r>
      <w:r w:rsidR="00DC103E" w:rsidRPr="007666BA">
        <w:rPr>
          <w:rFonts w:ascii="Bookman Old Style" w:hAnsi="Bookman Old Style" w:cs="Arial"/>
          <w:sz w:val="24"/>
        </w:rPr>
        <w:t xml:space="preserve">l Legislador previó </w:t>
      </w:r>
      <w:r w:rsidR="00FA50F5" w:rsidRPr="007666BA">
        <w:rPr>
          <w:rFonts w:ascii="Bookman Old Style" w:hAnsi="Bookman Old Style" w:cs="Arial"/>
          <w:sz w:val="24"/>
        </w:rPr>
        <w:t>el régimen de las recusaciones e impedimentos</w:t>
      </w:r>
      <w:r w:rsidR="004422E8" w:rsidRPr="007666BA">
        <w:rPr>
          <w:rFonts w:ascii="Bookman Old Style" w:hAnsi="Bookman Old Style" w:cs="Arial"/>
          <w:sz w:val="24"/>
        </w:rPr>
        <w:t xml:space="preserve"> </w:t>
      </w:r>
      <w:r w:rsidR="00817222" w:rsidRPr="007666BA">
        <w:rPr>
          <w:rFonts w:ascii="Bookman Old Style" w:hAnsi="Bookman Old Style" w:cs="Arial"/>
          <w:sz w:val="24"/>
        </w:rPr>
        <w:t>en el artículo 141</w:t>
      </w:r>
      <w:r w:rsidR="004422E8" w:rsidRPr="007666BA">
        <w:rPr>
          <w:rFonts w:ascii="Bookman Old Style" w:hAnsi="Bookman Old Style" w:cs="Arial"/>
          <w:sz w:val="24"/>
        </w:rPr>
        <w:t xml:space="preserve"> del Código General del Proceso, donde se describe taxativa</w:t>
      </w:r>
      <w:r w:rsidR="001163D8" w:rsidRPr="007666BA">
        <w:rPr>
          <w:rFonts w:ascii="Bookman Old Style" w:hAnsi="Bookman Old Style" w:cs="Arial"/>
          <w:sz w:val="24"/>
        </w:rPr>
        <w:t xml:space="preserve">mente un listado de circunstancias en que el juez puede estar inmerso en una “incapacidad subjetiva” y que de acreditarse </w:t>
      </w:r>
      <w:r w:rsidR="004422E8" w:rsidRPr="007666BA">
        <w:rPr>
          <w:rFonts w:ascii="Bookman Old Style" w:hAnsi="Bookman Old Style" w:cs="Arial"/>
          <w:sz w:val="24"/>
        </w:rPr>
        <w:t>se</w:t>
      </w:r>
      <w:r w:rsidR="001163D8" w:rsidRPr="007666BA">
        <w:rPr>
          <w:rFonts w:ascii="Bookman Old Style" w:hAnsi="Bookman Old Style" w:cs="Arial"/>
          <w:sz w:val="24"/>
        </w:rPr>
        <w:t xml:space="preserve"> debe</w:t>
      </w:r>
      <w:r w:rsidR="004422E8" w:rsidRPr="007666BA">
        <w:rPr>
          <w:rFonts w:ascii="Bookman Old Style" w:hAnsi="Bookman Old Style" w:cs="Arial"/>
          <w:sz w:val="24"/>
        </w:rPr>
        <w:t xml:space="preserve"> desplaza</w:t>
      </w:r>
      <w:r w:rsidR="001163D8" w:rsidRPr="007666BA">
        <w:rPr>
          <w:rFonts w:ascii="Bookman Old Style" w:hAnsi="Bookman Old Style" w:cs="Arial"/>
          <w:sz w:val="24"/>
        </w:rPr>
        <w:t>r su</w:t>
      </w:r>
      <w:r w:rsidR="004422E8" w:rsidRPr="007666BA">
        <w:rPr>
          <w:rFonts w:ascii="Bookman Old Style" w:hAnsi="Bookman Old Style" w:cs="Arial"/>
          <w:sz w:val="24"/>
        </w:rPr>
        <w:t xml:space="preserve"> competencia</w:t>
      </w:r>
      <w:r w:rsidR="001163D8" w:rsidRPr="007666BA">
        <w:rPr>
          <w:rFonts w:ascii="Bookman Old Style" w:hAnsi="Bookman Old Style" w:cs="Arial"/>
          <w:sz w:val="24"/>
        </w:rPr>
        <w:t>, ya sea por voluntad propia o por medio de una orden del superior jerárquico.</w:t>
      </w:r>
      <w:r w:rsidR="004422E8" w:rsidRPr="007666BA">
        <w:rPr>
          <w:rFonts w:ascii="Bookman Old Style" w:hAnsi="Bookman Old Style" w:cs="Arial"/>
          <w:sz w:val="24"/>
        </w:rPr>
        <w:t xml:space="preserve"> </w:t>
      </w:r>
      <w:r w:rsidR="001163D8" w:rsidRPr="007666BA">
        <w:rPr>
          <w:rFonts w:ascii="Bookman Old Style" w:hAnsi="Bookman Old Style" w:cs="Arial"/>
          <w:sz w:val="24"/>
        </w:rPr>
        <w:t>Estas causales son:</w:t>
      </w:r>
    </w:p>
    <w:p w14:paraId="7E738DAC" w14:textId="73AA8465" w:rsidR="004422E8" w:rsidRPr="007666BA" w:rsidRDefault="004422E8" w:rsidP="0057394B">
      <w:pPr>
        <w:pStyle w:val="Textoindependiente"/>
        <w:widowControl w:val="0"/>
        <w:spacing w:line="276" w:lineRule="auto"/>
        <w:rPr>
          <w:rFonts w:ascii="Bookman Old Style" w:hAnsi="Bookman Old Style" w:cs="Arial"/>
          <w:sz w:val="24"/>
        </w:rPr>
      </w:pPr>
    </w:p>
    <w:p w14:paraId="5D96EA41" w14:textId="017F9189" w:rsidR="004422E8" w:rsidRPr="008D3EBA" w:rsidRDefault="004422E8" w:rsidP="008D3EBA">
      <w:pPr>
        <w:pStyle w:val="Textoindependiente"/>
        <w:widowControl w:val="0"/>
        <w:ind w:left="426" w:right="420"/>
        <w:rPr>
          <w:rFonts w:ascii="Bookman Old Style" w:hAnsi="Bookman Old Style" w:cs="Arial"/>
          <w:i/>
          <w:sz w:val="22"/>
        </w:rPr>
      </w:pPr>
      <w:r w:rsidRPr="008D3EBA">
        <w:rPr>
          <w:rFonts w:ascii="Bookman Old Style" w:hAnsi="Bookman Old Style" w:cs="Arial"/>
          <w:i/>
          <w:sz w:val="22"/>
        </w:rPr>
        <w:t>“</w:t>
      </w:r>
      <w:r w:rsidRPr="008D3EBA">
        <w:rPr>
          <w:rFonts w:ascii="Bookman Old Style" w:hAnsi="Bookman Old Style" w:cs="Arial"/>
          <w:b/>
          <w:i/>
          <w:sz w:val="22"/>
        </w:rPr>
        <w:t xml:space="preserve">Artículo 141. Causales de recusación. </w:t>
      </w:r>
      <w:r w:rsidRPr="008D3EBA">
        <w:rPr>
          <w:rFonts w:ascii="Bookman Old Style" w:hAnsi="Bookman Old Style" w:cs="Arial"/>
          <w:i/>
          <w:sz w:val="22"/>
        </w:rPr>
        <w:t>Son causales de recusación las siguientes:</w:t>
      </w:r>
    </w:p>
    <w:p w14:paraId="01A59DE1" w14:textId="77777777" w:rsidR="004422E8" w:rsidRPr="008D3EBA" w:rsidRDefault="004422E8" w:rsidP="008D3EBA">
      <w:pPr>
        <w:pStyle w:val="Textoindependiente"/>
        <w:widowControl w:val="0"/>
        <w:ind w:left="426" w:right="420"/>
        <w:rPr>
          <w:rFonts w:ascii="Bookman Old Style" w:hAnsi="Bookman Old Style" w:cs="Arial"/>
          <w:i/>
          <w:sz w:val="22"/>
        </w:rPr>
      </w:pPr>
    </w:p>
    <w:p w14:paraId="49A6612F" w14:textId="77777777" w:rsidR="004422E8" w:rsidRPr="008D3EBA" w:rsidRDefault="004422E8" w:rsidP="008D3EBA">
      <w:pPr>
        <w:pStyle w:val="Textoindependiente"/>
        <w:widowControl w:val="0"/>
        <w:ind w:left="426" w:right="420"/>
        <w:rPr>
          <w:rFonts w:ascii="Bookman Old Style" w:hAnsi="Bookman Old Style" w:cs="Arial"/>
          <w:i/>
          <w:sz w:val="22"/>
        </w:rPr>
      </w:pPr>
      <w:r w:rsidRPr="008D3EBA">
        <w:rPr>
          <w:rFonts w:ascii="Bookman Old Style" w:hAnsi="Bookman Old Style" w:cs="Arial"/>
          <w:i/>
          <w:sz w:val="22"/>
        </w:rPr>
        <w:t>1. Tener el juez, su cónyuge, compañero permanente o alguno de sus parientes dentro del cuarto grado de consanguinidad o civil, o segundo de afinidad, interés directo o indirecto en el proceso.</w:t>
      </w:r>
    </w:p>
    <w:p w14:paraId="0EEB1481" w14:textId="77777777" w:rsidR="004422E8" w:rsidRPr="008D3EBA" w:rsidRDefault="004422E8" w:rsidP="008D3EBA">
      <w:pPr>
        <w:pStyle w:val="Textoindependiente"/>
        <w:widowControl w:val="0"/>
        <w:ind w:left="426" w:right="420"/>
        <w:rPr>
          <w:rFonts w:ascii="Bookman Old Style" w:hAnsi="Bookman Old Style" w:cs="Arial"/>
          <w:i/>
          <w:sz w:val="22"/>
        </w:rPr>
      </w:pPr>
    </w:p>
    <w:p w14:paraId="6B7E624A" w14:textId="77777777" w:rsidR="004422E8" w:rsidRPr="008D3EBA" w:rsidRDefault="004422E8" w:rsidP="008D3EBA">
      <w:pPr>
        <w:pStyle w:val="Textoindependiente"/>
        <w:widowControl w:val="0"/>
        <w:ind w:left="426" w:right="420"/>
        <w:rPr>
          <w:rFonts w:ascii="Bookman Old Style" w:hAnsi="Bookman Old Style" w:cs="Arial"/>
          <w:i/>
          <w:sz w:val="22"/>
        </w:rPr>
      </w:pPr>
      <w:r w:rsidRPr="008D3EBA">
        <w:rPr>
          <w:rFonts w:ascii="Bookman Old Style" w:hAnsi="Bookman Old Style" w:cs="Arial"/>
          <w:i/>
          <w:sz w:val="22"/>
        </w:rPr>
        <w:t>2. Haber conocido del proceso o realizado cualquier actuación en instancia anterior, el juez, su cónyuge, compañero permanente o algunos de sus parientes indicados en el numeral precedente.</w:t>
      </w:r>
    </w:p>
    <w:p w14:paraId="6A8DB162" w14:textId="77777777" w:rsidR="004422E8" w:rsidRPr="008D3EBA" w:rsidRDefault="004422E8" w:rsidP="008D3EBA">
      <w:pPr>
        <w:pStyle w:val="Textoindependiente"/>
        <w:widowControl w:val="0"/>
        <w:ind w:left="426" w:right="420"/>
        <w:rPr>
          <w:rFonts w:ascii="Bookman Old Style" w:hAnsi="Bookman Old Style" w:cs="Arial"/>
          <w:i/>
          <w:sz w:val="22"/>
        </w:rPr>
      </w:pPr>
    </w:p>
    <w:p w14:paraId="58DAEA38" w14:textId="77777777" w:rsidR="004422E8" w:rsidRPr="008D3EBA" w:rsidRDefault="004422E8" w:rsidP="008D3EBA">
      <w:pPr>
        <w:pStyle w:val="Textoindependiente"/>
        <w:widowControl w:val="0"/>
        <w:ind w:left="426" w:right="420"/>
        <w:rPr>
          <w:rFonts w:ascii="Bookman Old Style" w:hAnsi="Bookman Old Style" w:cs="Arial"/>
          <w:i/>
          <w:sz w:val="22"/>
        </w:rPr>
      </w:pPr>
      <w:r w:rsidRPr="008D3EBA">
        <w:rPr>
          <w:rFonts w:ascii="Bookman Old Style" w:hAnsi="Bookman Old Style" w:cs="Arial"/>
          <w:i/>
          <w:sz w:val="22"/>
        </w:rPr>
        <w:t>3. Ser cónyuge, compañero permanente o pariente de alguna de las partes o de su representante o apoderado, dentro del cuarto grado de consanguinidad o civil, o segundo de afinidad.</w:t>
      </w:r>
    </w:p>
    <w:p w14:paraId="61585C94" w14:textId="77777777" w:rsidR="004422E8" w:rsidRPr="008D3EBA" w:rsidRDefault="004422E8" w:rsidP="008D3EBA">
      <w:pPr>
        <w:pStyle w:val="Textoindependiente"/>
        <w:widowControl w:val="0"/>
        <w:ind w:left="426" w:right="420"/>
        <w:rPr>
          <w:rFonts w:ascii="Bookman Old Style" w:hAnsi="Bookman Old Style" w:cs="Arial"/>
          <w:i/>
          <w:sz w:val="22"/>
        </w:rPr>
      </w:pPr>
    </w:p>
    <w:p w14:paraId="15E48BBC" w14:textId="77777777" w:rsidR="004422E8" w:rsidRPr="008D3EBA" w:rsidRDefault="004422E8" w:rsidP="008D3EBA">
      <w:pPr>
        <w:pStyle w:val="Textoindependiente"/>
        <w:widowControl w:val="0"/>
        <w:ind w:left="426" w:right="420"/>
        <w:rPr>
          <w:rFonts w:ascii="Bookman Old Style" w:hAnsi="Bookman Old Style" w:cs="Arial"/>
          <w:i/>
          <w:sz w:val="22"/>
        </w:rPr>
      </w:pPr>
      <w:r w:rsidRPr="008D3EBA">
        <w:rPr>
          <w:rFonts w:ascii="Bookman Old Style" w:hAnsi="Bookman Old Style" w:cs="Arial"/>
          <w:i/>
          <w:sz w:val="22"/>
        </w:rPr>
        <w:t>4. Ser el juez, su cónyuge, compañero permanente o alguno de sus parientes indicados en el numeral 3, curador, consejero o administrador de bienes de cualquiera de las partes.</w:t>
      </w:r>
    </w:p>
    <w:p w14:paraId="7BD16956" w14:textId="77777777" w:rsidR="004422E8" w:rsidRPr="008D3EBA" w:rsidRDefault="004422E8" w:rsidP="008D3EBA">
      <w:pPr>
        <w:pStyle w:val="Textoindependiente"/>
        <w:widowControl w:val="0"/>
        <w:ind w:left="426" w:right="420"/>
        <w:rPr>
          <w:rFonts w:ascii="Bookman Old Style" w:hAnsi="Bookman Old Style" w:cs="Arial"/>
          <w:i/>
          <w:sz w:val="22"/>
        </w:rPr>
      </w:pPr>
    </w:p>
    <w:p w14:paraId="2BC2F15E" w14:textId="77777777" w:rsidR="004422E8" w:rsidRPr="008D3EBA" w:rsidRDefault="004422E8" w:rsidP="008D3EBA">
      <w:pPr>
        <w:pStyle w:val="Textoindependiente"/>
        <w:widowControl w:val="0"/>
        <w:ind w:left="426" w:right="420"/>
        <w:rPr>
          <w:rFonts w:ascii="Bookman Old Style" w:hAnsi="Bookman Old Style" w:cs="Arial"/>
          <w:i/>
          <w:sz w:val="22"/>
        </w:rPr>
      </w:pPr>
      <w:r w:rsidRPr="008D3EBA">
        <w:rPr>
          <w:rFonts w:ascii="Bookman Old Style" w:hAnsi="Bookman Old Style" w:cs="Arial"/>
          <w:i/>
          <w:sz w:val="22"/>
        </w:rPr>
        <w:t>5. Ser alguna de las partes, su representante o apoderado, dependiente o mandatario del juez o administrador de sus negocios.</w:t>
      </w:r>
    </w:p>
    <w:p w14:paraId="70B276FE" w14:textId="77777777" w:rsidR="004422E8" w:rsidRPr="008D3EBA" w:rsidRDefault="004422E8" w:rsidP="008D3EBA">
      <w:pPr>
        <w:pStyle w:val="Textoindependiente"/>
        <w:widowControl w:val="0"/>
        <w:ind w:left="426" w:right="420"/>
        <w:rPr>
          <w:rFonts w:ascii="Bookman Old Style" w:hAnsi="Bookman Old Style" w:cs="Arial"/>
          <w:i/>
          <w:sz w:val="22"/>
        </w:rPr>
      </w:pPr>
    </w:p>
    <w:p w14:paraId="098BD1EF" w14:textId="77777777" w:rsidR="004422E8" w:rsidRPr="008D3EBA" w:rsidRDefault="004422E8" w:rsidP="008D3EBA">
      <w:pPr>
        <w:pStyle w:val="Textoindependiente"/>
        <w:widowControl w:val="0"/>
        <w:ind w:left="426" w:right="420"/>
        <w:rPr>
          <w:rFonts w:ascii="Bookman Old Style" w:hAnsi="Bookman Old Style" w:cs="Arial"/>
          <w:i/>
          <w:sz w:val="22"/>
        </w:rPr>
      </w:pPr>
      <w:r w:rsidRPr="008D3EBA">
        <w:rPr>
          <w:rFonts w:ascii="Bookman Old Style" w:hAnsi="Bookman Old Style" w:cs="Arial"/>
          <w:i/>
          <w:sz w:val="22"/>
        </w:rPr>
        <w:t>6. Existir pleito pendiente entre el juez, su cónyuge, compañero permanente o alguno de sus parientes indicados en el numeral 3, y cualquiera de las partes, su representante o apoderado.</w:t>
      </w:r>
    </w:p>
    <w:p w14:paraId="5401616A" w14:textId="77777777" w:rsidR="004422E8" w:rsidRPr="008D3EBA" w:rsidRDefault="004422E8" w:rsidP="008D3EBA">
      <w:pPr>
        <w:pStyle w:val="Textoindependiente"/>
        <w:widowControl w:val="0"/>
        <w:ind w:left="426" w:right="420"/>
        <w:rPr>
          <w:rFonts w:ascii="Bookman Old Style" w:hAnsi="Bookman Old Style" w:cs="Arial"/>
          <w:i/>
          <w:sz w:val="22"/>
        </w:rPr>
      </w:pPr>
    </w:p>
    <w:p w14:paraId="54030410" w14:textId="77777777" w:rsidR="004422E8" w:rsidRPr="008D3EBA" w:rsidRDefault="004422E8" w:rsidP="008D3EBA">
      <w:pPr>
        <w:pStyle w:val="Textoindependiente"/>
        <w:widowControl w:val="0"/>
        <w:ind w:left="426" w:right="420"/>
        <w:rPr>
          <w:rFonts w:ascii="Bookman Old Style" w:hAnsi="Bookman Old Style" w:cs="Arial"/>
          <w:i/>
          <w:sz w:val="22"/>
        </w:rPr>
      </w:pPr>
      <w:r w:rsidRPr="008D3EBA">
        <w:rPr>
          <w:rFonts w:ascii="Bookman Old Style" w:hAnsi="Bookman Old Style" w:cs="Arial"/>
          <w:i/>
          <w:sz w:val="22"/>
        </w:rPr>
        <w:t>7. Haber formulado alguna de las partes, su representante o apoderado, denuncia penal o disciplinaria contra el juez, su cónyuge o compañero permanente, o pariente en primer grado de consanguinidad o civil, antes de iniciarse el proceso o después, siempre que la denuncia se refiera a hechos ajenos al proceso o a la ejecución de la sentencia, y que el denunciado se halle vinculado a la investigación.</w:t>
      </w:r>
    </w:p>
    <w:p w14:paraId="12BFAA83" w14:textId="77777777" w:rsidR="004422E8" w:rsidRPr="008D3EBA" w:rsidRDefault="004422E8" w:rsidP="008D3EBA">
      <w:pPr>
        <w:pStyle w:val="Textoindependiente"/>
        <w:widowControl w:val="0"/>
        <w:ind w:left="426" w:right="420"/>
        <w:rPr>
          <w:rFonts w:ascii="Bookman Old Style" w:hAnsi="Bookman Old Style" w:cs="Arial"/>
          <w:i/>
          <w:sz w:val="22"/>
        </w:rPr>
      </w:pPr>
    </w:p>
    <w:p w14:paraId="5DFD2F1E" w14:textId="77777777" w:rsidR="004422E8" w:rsidRPr="008D3EBA" w:rsidRDefault="004422E8" w:rsidP="008D3EBA">
      <w:pPr>
        <w:pStyle w:val="Textoindependiente"/>
        <w:widowControl w:val="0"/>
        <w:ind w:left="426" w:right="420"/>
        <w:rPr>
          <w:rFonts w:ascii="Bookman Old Style" w:hAnsi="Bookman Old Style" w:cs="Arial"/>
          <w:i/>
          <w:sz w:val="22"/>
        </w:rPr>
      </w:pPr>
      <w:r w:rsidRPr="008D3EBA">
        <w:rPr>
          <w:rFonts w:ascii="Bookman Old Style" w:hAnsi="Bookman Old Style" w:cs="Arial"/>
          <w:i/>
          <w:sz w:val="22"/>
        </w:rPr>
        <w:t>8. Haber formulado el juez, su cónyuge, compañero permanente o pariente en primer grado de consanguinidad o civil, denuncia penal o disciplinaria contra una de las partes o su representante o apoderado, o estar aquellos legitimados para intervenir como parte civil o víctima en el respectivo proceso penal.</w:t>
      </w:r>
    </w:p>
    <w:p w14:paraId="55056F55" w14:textId="77777777" w:rsidR="004422E8" w:rsidRPr="008D3EBA" w:rsidRDefault="004422E8" w:rsidP="008D3EBA">
      <w:pPr>
        <w:pStyle w:val="Textoindependiente"/>
        <w:widowControl w:val="0"/>
        <w:ind w:left="426" w:right="420"/>
        <w:rPr>
          <w:rFonts w:ascii="Bookman Old Style" w:hAnsi="Bookman Old Style" w:cs="Arial"/>
          <w:i/>
          <w:sz w:val="22"/>
        </w:rPr>
      </w:pPr>
    </w:p>
    <w:p w14:paraId="4C8CFD20" w14:textId="77777777" w:rsidR="004422E8" w:rsidRPr="008D3EBA" w:rsidRDefault="004422E8" w:rsidP="008D3EBA">
      <w:pPr>
        <w:pStyle w:val="Textoindependiente"/>
        <w:widowControl w:val="0"/>
        <w:ind w:left="426" w:right="420"/>
        <w:rPr>
          <w:rFonts w:ascii="Bookman Old Style" w:hAnsi="Bookman Old Style" w:cs="Arial"/>
          <w:i/>
          <w:sz w:val="22"/>
        </w:rPr>
      </w:pPr>
      <w:r w:rsidRPr="008D3EBA">
        <w:rPr>
          <w:rFonts w:ascii="Bookman Old Style" w:hAnsi="Bookman Old Style" w:cs="Arial"/>
          <w:i/>
          <w:sz w:val="22"/>
        </w:rPr>
        <w:t>9. Existir enemistad grave o amistad íntima entre el juez y alguna de las partes, su representante o apoderado.</w:t>
      </w:r>
    </w:p>
    <w:p w14:paraId="57D78805" w14:textId="77777777" w:rsidR="004422E8" w:rsidRPr="008D3EBA" w:rsidRDefault="004422E8" w:rsidP="008D3EBA">
      <w:pPr>
        <w:pStyle w:val="Textoindependiente"/>
        <w:widowControl w:val="0"/>
        <w:ind w:left="426" w:right="420"/>
        <w:rPr>
          <w:rFonts w:ascii="Bookman Old Style" w:hAnsi="Bookman Old Style" w:cs="Arial"/>
          <w:i/>
          <w:sz w:val="22"/>
        </w:rPr>
      </w:pPr>
    </w:p>
    <w:p w14:paraId="028A0807" w14:textId="77777777" w:rsidR="004422E8" w:rsidRPr="008D3EBA" w:rsidRDefault="004422E8" w:rsidP="008D3EBA">
      <w:pPr>
        <w:pStyle w:val="Textoindependiente"/>
        <w:widowControl w:val="0"/>
        <w:ind w:left="426" w:right="420"/>
        <w:rPr>
          <w:rFonts w:ascii="Bookman Old Style" w:hAnsi="Bookman Old Style" w:cs="Arial"/>
          <w:i/>
          <w:sz w:val="22"/>
        </w:rPr>
      </w:pPr>
      <w:r w:rsidRPr="008D3EBA">
        <w:rPr>
          <w:rFonts w:ascii="Bookman Old Style" w:hAnsi="Bookman Old Style" w:cs="Arial"/>
          <w:i/>
          <w:sz w:val="22"/>
        </w:rPr>
        <w:t>10. Ser el juez, su cónyuge, compañero permanente o alguno de sus parientes en segundo grado de consanguinidad o civil, o primero de afinidad, acreedor o deudor de alguna de las partes, su representante o apoderado, salvo cuando se trate de persona de derecho público, establecimiento de crédito, sociedad anónima o empresa de servicio público.</w:t>
      </w:r>
    </w:p>
    <w:p w14:paraId="0462B0B7" w14:textId="77777777" w:rsidR="004422E8" w:rsidRPr="008D3EBA" w:rsidRDefault="004422E8" w:rsidP="008D3EBA">
      <w:pPr>
        <w:pStyle w:val="Textoindependiente"/>
        <w:widowControl w:val="0"/>
        <w:ind w:left="426" w:right="420"/>
        <w:rPr>
          <w:rFonts w:ascii="Bookman Old Style" w:hAnsi="Bookman Old Style" w:cs="Arial"/>
          <w:i/>
          <w:sz w:val="22"/>
        </w:rPr>
      </w:pPr>
    </w:p>
    <w:p w14:paraId="59220A7D" w14:textId="77777777" w:rsidR="004422E8" w:rsidRPr="008D3EBA" w:rsidRDefault="004422E8" w:rsidP="008D3EBA">
      <w:pPr>
        <w:pStyle w:val="Textoindependiente"/>
        <w:widowControl w:val="0"/>
        <w:ind w:left="426" w:right="420"/>
        <w:rPr>
          <w:rFonts w:ascii="Bookman Old Style" w:hAnsi="Bookman Old Style" w:cs="Arial"/>
          <w:i/>
          <w:sz w:val="22"/>
        </w:rPr>
      </w:pPr>
      <w:r w:rsidRPr="008D3EBA">
        <w:rPr>
          <w:rFonts w:ascii="Bookman Old Style" w:hAnsi="Bookman Old Style" w:cs="Arial"/>
          <w:i/>
          <w:sz w:val="22"/>
        </w:rPr>
        <w:t>11. Ser el juez, su cónyuge, compañero permanente o alguno de sus parientes indicados en el numeral anterior, socio de alguna de las partes o su representante o apoderado en sociedad de personas.</w:t>
      </w:r>
    </w:p>
    <w:p w14:paraId="09F93C1D" w14:textId="77777777" w:rsidR="004422E8" w:rsidRPr="008D3EBA" w:rsidRDefault="004422E8" w:rsidP="008D3EBA">
      <w:pPr>
        <w:pStyle w:val="Textoindependiente"/>
        <w:widowControl w:val="0"/>
        <w:ind w:left="426" w:right="420"/>
        <w:rPr>
          <w:rFonts w:ascii="Bookman Old Style" w:hAnsi="Bookman Old Style" w:cs="Arial"/>
          <w:i/>
          <w:sz w:val="22"/>
        </w:rPr>
      </w:pPr>
    </w:p>
    <w:p w14:paraId="3983DF81" w14:textId="77777777" w:rsidR="004422E8" w:rsidRPr="008D3EBA" w:rsidRDefault="004422E8" w:rsidP="008D3EBA">
      <w:pPr>
        <w:pStyle w:val="Textoindependiente"/>
        <w:widowControl w:val="0"/>
        <w:ind w:left="426" w:right="420"/>
        <w:rPr>
          <w:rFonts w:ascii="Bookman Old Style" w:hAnsi="Bookman Old Style" w:cs="Arial"/>
          <w:i/>
          <w:sz w:val="22"/>
        </w:rPr>
      </w:pPr>
      <w:r w:rsidRPr="008D3EBA">
        <w:rPr>
          <w:rFonts w:ascii="Bookman Old Style" w:hAnsi="Bookman Old Style" w:cs="Arial"/>
          <w:i/>
          <w:sz w:val="22"/>
        </w:rPr>
        <w:t>12. Haber dado el juez consejo o concepto fuera de actuación judicial sobre las cuestiones materia del proceso, o haber intervenido en este como apoderado, agente del Ministerio Público, perito o testigo.</w:t>
      </w:r>
    </w:p>
    <w:p w14:paraId="13222FD5" w14:textId="77777777" w:rsidR="004422E8" w:rsidRPr="008D3EBA" w:rsidRDefault="004422E8" w:rsidP="008D3EBA">
      <w:pPr>
        <w:pStyle w:val="Textoindependiente"/>
        <w:widowControl w:val="0"/>
        <w:ind w:left="426" w:right="420"/>
        <w:rPr>
          <w:rFonts w:ascii="Bookman Old Style" w:hAnsi="Bookman Old Style" w:cs="Arial"/>
          <w:i/>
          <w:sz w:val="22"/>
        </w:rPr>
      </w:pPr>
    </w:p>
    <w:p w14:paraId="2191BB4C" w14:textId="77777777" w:rsidR="004422E8" w:rsidRPr="008D3EBA" w:rsidRDefault="004422E8" w:rsidP="008D3EBA">
      <w:pPr>
        <w:pStyle w:val="Textoindependiente"/>
        <w:widowControl w:val="0"/>
        <w:ind w:left="426" w:right="420"/>
        <w:rPr>
          <w:rFonts w:ascii="Bookman Old Style" w:hAnsi="Bookman Old Style" w:cs="Arial"/>
          <w:i/>
          <w:sz w:val="22"/>
        </w:rPr>
      </w:pPr>
      <w:r w:rsidRPr="008D3EBA">
        <w:rPr>
          <w:rFonts w:ascii="Bookman Old Style" w:hAnsi="Bookman Old Style" w:cs="Arial"/>
          <w:i/>
          <w:sz w:val="22"/>
        </w:rPr>
        <w:t>13. Ser el juez, su cónyuge, compañero permanente o alguno de sus parientes indicados en el numeral 1, heredero o legatario de alguna de las partes, antes de la iniciación del proceso.</w:t>
      </w:r>
    </w:p>
    <w:p w14:paraId="6ECB1FEF" w14:textId="77777777" w:rsidR="004422E8" w:rsidRPr="008D3EBA" w:rsidRDefault="004422E8" w:rsidP="008D3EBA">
      <w:pPr>
        <w:pStyle w:val="Textoindependiente"/>
        <w:widowControl w:val="0"/>
        <w:ind w:left="426" w:right="420"/>
        <w:rPr>
          <w:rFonts w:ascii="Bookman Old Style" w:hAnsi="Bookman Old Style" w:cs="Arial"/>
          <w:i/>
          <w:sz w:val="22"/>
        </w:rPr>
      </w:pPr>
    </w:p>
    <w:p w14:paraId="7A4AD5A8" w14:textId="2AD62523" w:rsidR="004422E8" w:rsidRPr="008D3EBA" w:rsidRDefault="004422E8" w:rsidP="008D3EBA">
      <w:pPr>
        <w:pStyle w:val="Textoindependiente"/>
        <w:widowControl w:val="0"/>
        <w:ind w:left="426" w:right="420"/>
        <w:rPr>
          <w:rFonts w:ascii="Bookman Old Style" w:hAnsi="Bookman Old Style" w:cs="Arial"/>
          <w:i/>
          <w:sz w:val="22"/>
        </w:rPr>
      </w:pPr>
      <w:r w:rsidRPr="008D3EBA">
        <w:rPr>
          <w:rFonts w:ascii="Bookman Old Style" w:hAnsi="Bookman Old Style" w:cs="Arial"/>
          <w:i/>
          <w:sz w:val="22"/>
        </w:rPr>
        <w:t>14. Tener el juez, su cónyuge, compañero permanente o alguno de sus parientes en segundo grado de consanguinidad o civil, pleito pendiente en que se controvierta la misma cuestión jurídica que él debe fallar.”</w:t>
      </w:r>
    </w:p>
    <w:p w14:paraId="49DFEF77" w14:textId="77777777" w:rsidR="004422E8" w:rsidRPr="007666BA" w:rsidRDefault="004422E8" w:rsidP="007666BA">
      <w:pPr>
        <w:pStyle w:val="Textoindependiente"/>
        <w:widowControl w:val="0"/>
        <w:spacing w:line="276" w:lineRule="auto"/>
        <w:ind w:left="426"/>
        <w:rPr>
          <w:rFonts w:ascii="Bookman Old Style" w:hAnsi="Bookman Old Style" w:cs="Arial"/>
          <w:sz w:val="24"/>
        </w:rPr>
      </w:pPr>
    </w:p>
    <w:p w14:paraId="2C2D2F42" w14:textId="2546E531" w:rsidR="00817222" w:rsidRPr="007666BA" w:rsidRDefault="00817222" w:rsidP="007666BA">
      <w:pPr>
        <w:pStyle w:val="Textoindependiente"/>
        <w:widowControl w:val="0"/>
        <w:numPr>
          <w:ilvl w:val="0"/>
          <w:numId w:val="4"/>
        </w:numPr>
        <w:spacing w:line="276" w:lineRule="auto"/>
        <w:ind w:left="426"/>
        <w:rPr>
          <w:rFonts w:ascii="Bookman Old Style" w:hAnsi="Bookman Old Style" w:cs="Arial"/>
          <w:b/>
          <w:sz w:val="24"/>
        </w:rPr>
      </w:pPr>
      <w:r w:rsidRPr="007666BA">
        <w:rPr>
          <w:rFonts w:ascii="Bookman Old Style" w:hAnsi="Bookman Old Style" w:cs="Arial"/>
          <w:b/>
          <w:sz w:val="24"/>
        </w:rPr>
        <w:t>Caso Concreto</w:t>
      </w:r>
    </w:p>
    <w:p w14:paraId="5E8D922B" w14:textId="04311252" w:rsidR="00817222" w:rsidRPr="007666BA" w:rsidRDefault="00817222" w:rsidP="007666BA">
      <w:pPr>
        <w:pStyle w:val="Textoindependiente"/>
        <w:widowControl w:val="0"/>
        <w:spacing w:line="276" w:lineRule="auto"/>
        <w:ind w:left="426"/>
        <w:rPr>
          <w:rFonts w:ascii="Bookman Old Style" w:hAnsi="Bookman Old Style" w:cs="Arial"/>
          <w:sz w:val="24"/>
        </w:rPr>
      </w:pPr>
    </w:p>
    <w:p w14:paraId="3016C4D6" w14:textId="5652AB97" w:rsidR="00817222" w:rsidRPr="007666BA" w:rsidRDefault="001163D8" w:rsidP="008D3EBA">
      <w:pPr>
        <w:pStyle w:val="Textoindependiente"/>
        <w:widowControl w:val="0"/>
        <w:spacing w:line="276" w:lineRule="auto"/>
        <w:rPr>
          <w:rFonts w:ascii="Bookman Old Style" w:hAnsi="Bookman Old Style" w:cs="Arial"/>
          <w:sz w:val="24"/>
        </w:rPr>
      </w:pPr>
      <w:r w:rsidRPr="007666BA">
        <w:rPr>
          <w:rFonts w:ascii="Bookman Old Style" w:hAnsi="Bookman Old Style" w:cs="Arial"/>
          <w:sz w:val="24"/>
        </w:rPr>
        <w:t>Descendiendo al caso en concreto, e</w:t>
      </w:r>
      <w:r w:rsidR="00817222" w:rsidRPr="007666BA">
        <w:rPr>
          <w:rFonts w:ascii="Bookman Old Style" w:hAnsi="Bookman Old Style" w:cs="Arial"/>
          <w:sz w:val="24"/>
        </w:rPr>
        <w:t xml:space="preserve">n lo relativo a la causal de recusación alegada por el abogado </w:t>
      </w:r>
      <w:r w:rsidR="00817222" w:rsidRPr="008D3EBA">
        <w:rPr>
          <w:rFonts w:ascii="Bookman Old Style" w:hAnsi="Bookman Old Style" w:cs="Arial"/>
          <w:sz w:val="24"/>
        </w:rPr>
        <w:t>Dr. MATÍAS SAJONA en contra de la jueza del Juzgado Quinto Laboral del Circuito de Pe</w:t>
      </w:r>
      <w:r w:rsidR="00E85047" w:rsidRPr="008D3EBA">
        <w:rPr>
          <w:rFonts w:ascii="Bookman Old Style" w:hAnsi="Bookman Old Style" w:cs="Arial"/>
          <w:sz w:val="24"/>
        </w:rPr>
        <w:t>reira,</w:t>
      </w:r>
      <w:r w:rsidR="00817222" w:rsidRPr="007666BA">
        <w:rPr>
          <w:rFonts w:ascii="Bookman Old Style" w:hAnsi="Bookman Old Style" w:cs="Arial"/>
          <w:sz w:val="24"/>
        </w:rPr>
        <w:t xml:space="preserve"> se encuentra estipulada en el numeral 8 del artículo 141 del CGP que</w:t>
      </w:r>
      <w:r w:rsidRPr="007666BA">
        <w:rPr>
          <w:rFonts w:ascii="Bookman Old Style" w:hAnsi="Bookman Old Style" w:cs="Arial"/>
          <w:sz w:val="24"/>
        </w:rPr>
        <w:t xml:space="preserve"> recordemos</w:t>
      </w:r>
      <w:r w:rsidR="00817222" w:rsidRPr="007666BA">
        <w:rPr>
          <w:rFonts w:ascii="Bookman Old Style" w:hAnsi="Bookman Old Style" w:cs="Arial"/>
          <w:sz w:val="24"/>
        </w:rPr>
        <w:t xml:space="preserve"> dispone:</w:t>
      </w:r>
    </w:p>
    <w:p w14:paraId="748A049B" w14:textId="77777777" w:rsidR="00817222" w:rsidRPr="007666BA" w:rsidRDefault="00817222" w:rsidP="008D3EBA">
      <w:pPr>
        <w:pStyle w:val="Textoindependiente"/>
        <w:widowControl w:val="0"/>
        <w:spacing w:line="276" w:lineRule="auto"/>
        <w:rPr>
          <w:rFonts w:ascii="Bookman Old Style" w:hAnsi="Bookman Old Style" w:cs="Arial"/>
          <w:sz w:val="24"/>
        </w:rPr>
      </w:pPr>
    </w:p>
    <w:p w14:paraId="66103854" w14:textId="79F4B374" w:rsidR="00817222" w:rsidRPr="00164D84" w:rsidRDefault="00817222" w:rsidP="00164D84">
      <w:pPr>
        <w:pStyle w:val="Textoindependiente"/>
        <w:widowControl w:val="0"/>
        <w:ind w:left="426" w:right="420"/>
        <w:rPr>
          <w:rFonts w:ascii="Bookman Old Style" w:hAnsi="Bookman Old Style" w:cs="Arial"/>
          <w:i/>
          <w:sz w:val="22"/>
        </w:rPr>
      </w:pPr>
      <w:r w:rsidRPr="00164D84">
        <w:rPr>
          <w:rFonts w:ascii="Bookman Old Style" w:hAnsi="Bookman Old Style" w:cs="Arial"/>
          <w:sz w:val="22"/>
        </w:rPr>
        <w:t>“</w:t>
      </w:r>
      <w:r w:rsidRPr="00164D84">
        <w:rPr>
          <w:rFonts w:ascii="Bookman Old Style" w:hAnsi="Bookman Old Style" w:cs="Arial"/>
          <w:i/>
          <w:sz w:val="22"/>
        </w:rPr>
        <w:t xml:space="preserve">8. </w:t>
      </w:r>
      <w:r w:rsidRPr="00164D84">
        <w:rPr>
          <w:rFonts w:ascii="Bookman Old Style" w:hAnsi="Bookman Old Style" w:cs="Arial"/>
          <w:b/>
          <w:i/>
          <w:sz w:val="22"/>
        </w:rPr>
        <w:t>Haber formulado el juez, su cónyuge, compañero permanente o pariente en primer grado de consanguinidad o civil, denuncia penal o disciplinaria contra una de las partes o su representante o apoderado</w:t>
      </w:r>
      <w:r w:rsidRPr="00164D84">
        <w:rPr>
          <w:rFonts w:ascii="Bookman Old Style" w:hAnsi="Bookman Old Style" w:cs="Arial"/>
          <w:i/>
          <w:sz w:val="22"/>
        </w:rPr>
        <w:t>, o estar aquellos legitimados para intervenir como parte civil o víctima en el respectivo proceso penal.”</w:t>
      </w:r>
    </w:p>
    <w:p w14:paraId="51A4BFEE" w14:textId="01777B27" w:rsidR="00F001AB" w:rsidRPr="00164D84" w:rsidRDefault="00F001AB" w:rsidP="00164D84">
      <w:pPr>
        <w:pStyle w:val="Textoindependiente"/>
        <w:widowControl w:val="0"/>
        <w:ind w:left="426" w:right="420"/>
        <w:rPr>
          <w:rFonts w:ascii="Bookman Old Style" w:hAnsi="Bookman Old Style" w:cs="Arial"/>
          <w:i/>
          <w:sz w:val="22"/>
        </w:rPr>
      </w:pPr>
    </w:p>
    <w:p w14:paraId="4B305967" w14:textId="5399DFCB" w:rsidR="005538B3" w:rsidRPr="00164D84" w:rsidRDefault="00F001AB" w:rsidP="00164D84">
      <w:pPr>
        <w:pStyle w:val="Textoindependiente"/>
        <w:widowControl w:val="0"/>
        <w:ind w:left="426" w:right="420"/>
        <w:rPr>
          <w:rFonts w:ascii="Bookman Old Style" w:hAnsi="Bookman Old Style" w:cs="Arial"/>
          <w:i/>
          <w:sz w:val="22"/>
        </w:rPr>
      </w:pPr>
      <w:r w:rsidRPr="00164D84">
        <w:rPr>
          <w:rFonts w:ascii="Bookman Old Style" w:hAnsi="Bookman Old Style" w:cs="Arial"/>
          <w:sz w:val="22"/>
        </w:rPr>
        <w:t xml:space="preserve">Específicamente con relación a la causal 8 de recusación, </w:t>
      </w:r>
      <w:r w:rsidR="005538B3" w:rsidRPr="00164D84">
        <w:rPr>
          <w:rFonts w:ascii="Bookman Old Style" w:hAnsi="Bookman Old Style" w:cs="Arial"/>
          <w:sz w:val="22"/>
        </w:rPr>
        <w:t>la doctrina ha enseñado que “</w:t>
      </w:r>
      <w:r w:rsidR="005538B3" w:rsidRPr="00164D84">
        <w:rPr>
          <w:rFonts w:ascii="Bookman Old Style" w:hAnsi="Bookman Old Style" w:cs="Arial"/>
          <w:b/>
          <w:i/>
          <w:sz w:val="22"/>
        </w:rPr>
        <w:t xml:space="preserve">La ley parte de la base de </w:t>
      </w:r>
      <w:r w:rsidR="006A3ADB" w:rsidRPr="00164D84">
        <w:rPr>
          <w:rFonts w:ascii="Bookman Old Style" w:hAnsi="Bookman Old Style" w:cs="Arial"/>
          <w:b/>
          <w:i/>
          <w:sz w:val="22"/>
        </w:rPr>
        <w:t>que,</w:t>
      </w:r>
      <w:r w:rsidR="005538B3" w:rsidRPr="00164D84">
        <w:rPr>
          <w:rFonts w:ascii="Bookman Old Style" w:hAnsi="Bookman Old Style" w:cs="Arial"/>
          <w:b/>
          <w:i/>
          <w:sz w:val="22"/>
        </w:rPr>
        <w:t xml:space="preserve"> si el juez formula esta denuncia penal o queja disciplinaria, no tendrá para con el denunciado la objetividad necesaria para tramitar y resolver el respectivo proceso</w:t>
      </w:r>
      <w:r w:rsidR="005538B3" w:rsidRPr="00164D84">
        <w:rPr>
          <w:rFonts w:ascii="Bookman Old Style" w:hAnsi="Bookman Old Style" w:cs="Arial"/>
          <w:i/>
          <w:sz w:val="22"/>
        </w:rPr>
        <w:t xml:space="preserve">, por lo cual debe separarse del conocimiento de este. </w:t>
      </w:r>
    </w:p>
    <w:p w14:paraId="36F19D8A" w14:textId="63F8F75B" w:rsidR="005538B3" w:rsidRPr="00164D84" w:rsidRDefault="005538B3" w:rsidP="00164D84">
      <w:pPr>
        <w:pStyle w:val="Textoindependiente"/>
        <w:widowControl w:val="0"/>
        <w:ind w:left="426" w:right="420"/>
        <w:rPr>
          <w:rFonts w:ascii="Bookman Old Style" w:hAnsi="Bookman Old Style" w:cs="Arial"/>
          <w:sz w:val="22"/>
        </w:rPr>
      </w:pPr>
      <w:r w:rsidRPr="00164D84">
        <w:rPr>
          <w:rFonts w:ascii="Bookman Old Style" w:hAnsi="Bookman Old Style" w:cs="Arial"/>
          <w:sz w:val="22"/>
        </w:rPr>
        <w:t xml:space="preserve">(…) </w:t>
      </w:r>
    </w:p>
    <w:p w14:paraId="5FBC26B6" w14:textId="19B01FB5" w:rsidR="00F001AB" w:rsidRPr="00164D84" w:rsidRDefault="005538B3" w:rsidP="00164D84">
      <w:pPr>
        <w:pStyle w:val="Textoindependiente"/>
        <w:widowControl w:val="0"/>
        <w:ind w:left="426" w:right="420"/>
        <w:rPr>
          <w:rFonts w:ascii="Bookman Old Style" w:hAnsi="Bookman Old Style" w:cs="Arial"/>
          <w:sz w:val="22"/>
        </w:rPr>
      </w:pPr>
      <w:r w:rsidRPr="00164D84">
        <w:rPr>
          <w:rFonts w:ascii="Bookman Old Style" w:hAnsi="Bookman Old Style" w:cs="Arial"/>
          <w:i/>
          <w:sz w:val="22"/>
        </w:rPr>
        <w:t xml:space="preserve">En esta causal </w:t>
      </w:r>
      <w:r w:rsidRPr="00164D84">
        <w:rPr>
          <w:rFonts w:ascii="Bookman Old Style" w:hAnsi="Bookman Old Style" w:cs="Arial"/>
          <w:sz w:val="22"/>
        </w:rPr>
        <w:t xml:space="preserve">(…), </w:t>
      </w:r>
      <w:r w:rsidRPr="00164D84">
        <w:rPr>
          <w:rFonts w:ascii="Bookman Old Style" w:hAnsi="Bookman Old Style" w:cs="Arial"/>
          <w:b/>
          <w:i/>
          <w:sz w:val="22"/>
        </w:rPr>
        <w:t>no importa si la denuncia es anterior al proceso o no, pues el solo hecho de que el juez haya presentado denuncia penal o formulado queja disciplinaria, se parte de la base de que se pierde la imparcialidad necesaria para administrar justicia</w:t>
      </w:r>
      <w:r w:rsidRPr="00164D84">
        <w:rPr>
          <w:rFonts w:ascii="Bookman Old Style" w:hAnsi="Bookman Old Style" w:cs="Arial"/>
          <w:i/>
          <w:sz w:val="22"/>
        </w:rPr>
        <w:t>. Cuando el juez denuncia penalmente o formula queja disciplinaria pierde la neutralidad o, por lo menos, la pone en entredicho, de suerte que puede ser recusado por ese motivo, o en virtud de este debe declararse impedido.”</w:t>
      </w:r>
      <w:r w:rsidR="00FB7FF6" w:rsidRPr="00164D84">
        <w:rPr>
          <w:rStyle w:val="Refdenotaalpie"/>
          <w:rFonts w:ascii="Bookman Old Style" w:hAnsi="Bookman Old Style" w:cs="Arial"/>
          <w:sz w:val="22"/>
        </w:rPr>
        <w:t xml:space="preserve"> </w:t>
      </w:r>
      <w:r w:rsidR="00FB7FF6" w:rsidRPr="00164D84">
        <w:rPr>
          <w:rStyle w:val="Refdenotaalpie"/>
          <w:rFonts w:ascii="Bookman Old Style" w:hAnsi="Bookman Old Style" w:cs="Arial"/>
          <w:sz w:val="22"/>
        </w:rPr>
        <w:footnoteReference w:id="1"/>
      </w:r>
      <w:r w:rsidR="00B13F93" w:rsidRPr="00164D84">
        <w:rPr>
          <w:rFonts w:ascii="Bookman Old Style" w:hAnsi="Bookman Old Style" w:cs="Arial"/>
          <w:i/>
          <w:sz w:val="22"/>
        </w:rPr>
        <w:t xml:space="preserve"> </w:t>
      </w:r>
      <w:r w:rsidR="00B13F93" w:rsidRPr="00164D84">
        <w:rPr>
          <w:rFonts w:ascii="Bookman Old Style" w:hAnsi="Bookman Old Style" w:cs="Arial"/>
          <w:sz w:val="22"/>
        </w:rPr>
        <w:t xml:space="preserve">(Sanabria Santos, </w:t>
      </w:r>
      <w:r w:rsidR="00F001AB" w:rsidRPr="00164D84">
        <w:rPr>
          <w:rFonts w:ascii="Bookman Old Style" w:hAnsi="Bookman Old Style" w:cs="Arial"/>
          <w:sz w:val="22"/>
        </w:rPr>
        <w:t>Henry</w:t>
      </w:r>
      <w:r w:rsidR="00F001AB" w:rsidRPr="00164D84">
        <w:rPr>
          <w:rStyle w:val="Refdenotaalpie"/>
          <w:rFonts w:ascii="Bookman Old Style" w:hAnsi="Bookman Old Style" w:cs="Arial"/>
          <w:sz w:val="22"/>
        </w:rPr>
        <w:footnoteReference w:id="2"/>
      </w:r>
      <w:r w:rsidR="00B13F93" w:rsidRPr="00164D84">
        <w:rPr>
          <w:rFonts w:ascii="Bookman Old Style" w:hAnsi="Bookman Old Style" w:cs="Arial"/>
          <w:sz w:val="22"/>
        </w:rPr>
        <w:t>, 2021)</w:t>
      </w:r>
      <w:r w:rsidR="001163D8" w:rsidRPr="00164D84">
        <w:rPr>
          <w:rFonts w:ascii="Bookman Old Style" w:hAnsi="Bookman Old Style" w:cs="Arial"/>
          <w:sz w:val="22"/>
        </w:rPr>
        <w:t xml:space="preserve"> (Negrilla fuera de texto)</w:t>
      </w:r>
    </w:p>
    <w:p w14:paraId="4FE25870" w14:textId="7A001242" w:rsidR="00B46451" w:rsidRPr="007666BA" w:rsidRDefault="00B46451" w:rsidP="008D3EBA">
      <w:pPr>
        <w:pStyle w:val="Textoindependiente"/>
        <w:widowControl w:val="0"/>
        <w:spacing w:line="276" w:lineRule="auto"/>
        <w:rPr>
          <w:rFonts w:ascii="Bookman Old Style" w:hAnsi="Bookman Old Style" w:cs="Arial"/>
          <w:sz w:val="24"/>
        </w:rPr>
      </w:pPr>
    </w:p>
    <w:p w14:paraId="0B2B67C4" w14:textId="77777777" w:rsidR="00E85047" w:rsidRPr="008D3EBA" w:rsidRDefault="00E85047" w:rsidP="008D3EBA">
      <w:pPr>
        <w:pStyle w:val="Textoindependiente"/>
        <w:widowControl w:val="0"/>
        <w:spacing w:line="276" w:lineRule="auto"/>
        <w:rPr>
          <w:rFonts w:ascii="Bookman Old Style" w:hAnsi="Bookman Old Style" w:cs="Arial"/>
          <w:sz w:val="24"/>
        </w:rPr>
      </w:pPr>
      <w:r w:rsidRPr="007666BA">
        <w:rPr>
          <w:rFonts w:ascii="Bookman Old Style" w:hAnsi="Bookman Old Style" w:cs="Arial"/>
          <w:sz w:val="24"/>
        </w:rPr>
        <w:t xml:space="preserve">Conforme lo anterior, en el caso que nos ocupa, se encuentra que durante la audiencia de conciliación del </w:t>
      </w:r>
      <w:r w:rsidRPr="008D3EBA">
        <w:rPr>
          <w:rFonts w:ascii="Bookman Old Style" w:hAnsi="Bookman Old Style" w:cs="Arial"/>
          <w:sz w:val="24"/>
        </w:rPr>
        <w:t xml:space="preserve">10 de noviembre (Anexo21), la jueza ordenó compulsar de copias ante la Comisión Seccional de Disciplina Judicial de Risaralda en contra del abogado para que investigue la presunta falta disciplinaria en que incurrió, con fundamento en la infracción al derecho consagrado en el artículo 37 numeral 7, así como los deberes previstos en el artículo 38 numeral 7, ambos de la Ley 1952 de 2019 y el articulo 78 numerales </w:t>
      </w:r>
      <w:r w:rsidRPr="008D3EBA">
        <w:rPr>
          <w:rFonts w:ascii="Bookman Old Style" w:hAnsi="Bookman Old Style" w:cs="Arial"/>
          <w:sz w:val="24"/>
        </w:rPr>
        <w:lastRenderedPageBreak/>
        <w:t xml:space="preserve">3 y 8 del CGP. </w:t>
      </w:r>
    </w:p>
    <w:p w14:paraId="5A6F4C11" w14:textId="77777777" w:rsidR="00E85047" w:rsidRPr="008D3EBA" w:rsidRDefault="00E85047" w:rsidP="008D3EBA">
      <w:pPr>
        <w:pStyle w:val="Textoindependiente"/>
        <w:widowControl w:val="0"/>
        <w:spacing w:line="276" w:lineRule="auto"/>
        <w:rPr>
          <w:rFonts w:ascii="Bookman Old Style" w:hAnsi="Bookman Old Style" w:cs="Arial"/>
          <w:sz w:val="24"/>
        </w:rPr>
      </w:pPr>
    </w:p>
    <w:p w14:paraId="65E23010" w14:textId="7F5E775D" w:rsidR="00E85047" w:rsidRPr="008D3EBA" w:rsidRDefault="00E85047" w:rsidP="008D3EBA">
      <w:pPr>
        <w:pStyle w:val="Textoindependiente"/>
        <w:widowControl w:val="0"/>
        <w:spacing w:line="276" w:lineRule="auto"/>
        <w:rPr>
          <w:rFonts w:ascii="Bookman Old Style" w:hAnsi="Bookman Old Style" w:cs="Arial"/>
          <w:sz w:val="24"/>
        </w:rPr>
      </w:pPr>
      <w:r w:rsidRPr="008D3EBA">
        <w:rPr>
          <w:rFonts w:ascii="Bookman Old Style" w:hAnsi="Bookman Old Style" w:cs="Arial"/>
          <w:sz w:val="24"/>
        </w:rPr>
        <w:t>Posteriormente, emitió el oficio No. 701 del 16 de noviembre (Anexo23), mediante la cual comunicó a la Comisión Seccional sobre la compulsa y adjuntó como prueba la mentada audiencia del 10 de noviembre.</w:t>
      </w:r>
    </w:p>
    <w:p w14:paraId="66163181" w14:textId="1FA207EC" w:rsidR="00E85047" w:rsidRPr="008D3EBA" w:rsidRDefault="00E85047" w:rsidP="008D3EBA">
      <w:pPr>
        <w:pStyle w:val="Textoindependiente"/>
        <w:widowControl w:val="0"/>
        <w:spacing w:line="276" w:lineRule="auto"/>
        <w:rPr>
          <w:rFonts w:ascii="Bookman Old Style" w:hAnsi="Bookman Old Style" w:cs="Arial"/>
          <w:sz w:val="24"/>
        </w:rPr>
      </w:pPr>
    </w:p>
    <w:p w14:paraId="7C5BAAF7" w14:textId="42619924" w:rsidR="00CA7FC9" w:rsidRPr="00164D84" w:rsidRDefault="00592008" w:rsidP="00164D84">
      <w:pPr>
        <w:pStyle w:val="Textoindependiente"/>
        <w:widowControl w:val="0"/>
        <w:ind w:left="426" w:right="420"/>
        <w:rPr>
          <w:rFonts w:ascii="Bookman Old Style" w:hAnsi="Bookman Old Style"/>
          <w:sz w:val="22"/>
        </w:rPr>
      </w:pPr>
      <w:r w:rsidRPr="00164D84">
        <w:rPr>
          <w:rFonts w:ascii="Bookman Old Style" w:hAnsi="Bookman Old Style"/>
          <w:sz w:val="22"/>
        </w:rPr>
        <w:t xml:space="preserve">Aquí se aclara que </w:t>
      </w:r>
      <w:r w:rsidR="005C4960" w:rsidRPr="00164D84">
        <w:rPr>
          <w:rFonts w:ascii="Bookman Old Style" w:hAnsi="Bookman Old Style"/>
          <w:sz w:val="22"/>
        </w:rPr>
        <w:t>l</w:t>
      </w:r>
      <w:r w:rsidR="00CA7FC9" w:rsidRPr="00164D84">
        <w:rPr>
          <w:rFonts w:ascii="Bookman Old Style" w:hAnsi="Bookman Old Style"/>
          <w:sz w:val="22"/>
        </w:rPr>
        <w:t xml:space="preserve">a </w:t>
      </w:r>
      <w:r w:rsidR="00CA7FC9" w:rsidRPr="00164D84">
        <w:rPr>
          <w:rFonts w:ascii="Bookman Old Style" w:hAnsi="Bookman Old Style"/>
          <w:b/>
          <w:sz w:val="22"/>
        </w:rPr>
        <w:t>compulsa de copias</w:t>
      </w:r>
      <w:r w:rsidR="00CA7FC9" w:rsidRPr="00164D84">
        <w:rPr>
          <w:rFonts w:ascii="Bookman Old Style" w:hAnsi="Bookman Old Style"/>
          <w:sz w:val="22"/>
        </w:rPr>
        <w:t xml:space="preserve"> es un deber del operador judicial, según el numeral 3, artículo 42 del Código General del Proceso que dispone: “</w:t>
      </w:r>
      <w:r w:rsidR="00CA7FC9" w:rsidRPr="00164D84">
        <w:rPr>
          <w:rFonts w:ascii="Bookman Old Style" w:hAnsi="Bookman Old Style"/>
          <w:i/>
          <w:sz w:val="22"/>
        </w:rPr>
        <w:t xml:space="preserve">Son deberes del juez: </w:t>
      </w:r>
      <w:r w:rsidR="00CA7FC9" w:rsidRPr="00164D84">
        <w:rPr>
          <w:rFonts w:ascii="Bookman Old Style" w:hAnsi="Bookman Old Style"/>
          <w:sz w:val="22"/>
        </w:rPr>
        <w:t>(…)</w:t>
      </w:r>
      <w:r w:rsidR="008F6A41" w:rsidRPr="00164D84">
        <w:rPr>
          <w:rFonts w:ascii="Bookman Old Style" w:hAnsi="Bookman Old Style"/>
          <w:sz w:val="22"/>
        </w:rPr>
        <w:t xml:space="preserve"> </w:t>
      </w:r>
      <w:r w:rsidR="00CA7FC9" w:rsidRPr="00164D84">
        <w:rPr>
          <w:rFonts w:ascii="Bookman Old Style" w:hAnsi="Bookman Old Style"/>
          <w:i/>
          <w:sz w:val="22"/>
        </w:rPr>
        <w:t>Prevenir, remediar, sancionar o denunciar por los medios que este código consagra, los actos contrarios a la dignidad de la justicia, lealtad, probidad y buena fe que deben observarse en el proceso, lo mismo que toda tentativa de fraude procesal”.</w:t>
      </w:r>
      <w:r w:rsidR="00CA7FC9" w:rsidRPr="00164D84">
        <w:rPr>
          <w:rFonts w:ascii="Bookman Old Style" w:hAnsi="Bookman Old Style"/>
          <w:sz w:val="22"/>
        </w:rPr>
        <w:t xml:space="preserve"> </w:t>
      </w:r>
      <w:r w:rsidR="00660B5C" w:rsidRPr="00164D84">
        <w:rPr>
          <w:rFonts w:ascii="Bookman Old Style" w:hAnsi="Bookman Old Style"/>
          <w:sz w:val="22"/>
        </w:rPr>
        <w:t>De modo que, se utiliza como una herramienta de control y observancia de las actuaciones de las partes o sus apoderados, en el curso de un proceso de conocimiento del juez.</w:t>
      </w:r>
    </w:p>
    <w:p w14:paraId="12DDF7E0" w14:textId="687B15A7" w:rsidR="00660B5C" w:rsidRPr="008D3EBA" w:rsidRDefault="00660B5C" w:rsidP="008D3EBA">
      <w:pPr>
        <w:pStyle w:val="Textoindependiente"/>
        <w:widowControl w:val="0"/>
        <w:spacing w:line="276" w:lineRule="auto"/>
        <w:rPr>
          <w:rFonts w:ascii="Bookman Old Style" w:hAnsi="Bookman Old Style" w:cs="Arial"/>
          <w:sz w:val="24"/>
        </w:rPr>
      </w:pPr>
    </w:p>
    <w:p w14:paraId="69DB0AE8" w14:textId="5381348F" w:rsidR="00350B0E" w:rsidRPr="008D3EBA" w:rsidRDefault="00660B5C" w:rsidP="008D3EBA">
      <w:pPr>
        <w:pStyle w:val="Textoindependiente"/>
        <w:widowControl w:val="0"/>
        <w:spacing w:line="276" w:lineRule="auto"/>
        <w:rPr>
          <w:rFonts w:ascii="Bookman Old Style" w:hAnsi="Bookman Old Style" w:cs="Arial"/>
          <w:sz w:val="24"/>
        </w:rPr>
      </w:pPr>
      <w:r w:rsidRPr="008D3EBA">
        <w:rPr>
          <w:rFonts w:ascii="Bookman Old Style" w:hAnsi="Bookman Old Style" w:cs="Arial"/>
          <w:sz w:val="24"/>
        </w:rPr>
        <w:t xml:space="preserve">Mientras que, conforme al artículo 86 de la Ley 1952 de 2019, la </w:t>
      </w:r>
      <w:r w:rsidRPr="008D3EBA">
        <w:rPr>
          <w:rFonts w:ascii="Bookman Old Style" w:hAnsi="Bookman Old Style" w:cs="Arial"/>
          <w:b/>
          <w:sz w:val="24"/>
        </w:rPr>
        <w:t>queja disciplinaria</w:t>
      </w:r>
      <w:r w:rsidRPr="008D3EBA">
        <w:rPr>
          <w:rFonts w:ascii="Bookman Old Style" w:hAnsi="Bookman Old Style" w:cs="Arial"/>
          <w:sz w:val="24"/>
        </w:rPr>
        <w:t xml:space="preserve"> es un mecanismo legal que puede ser formulado por cualquier persona</w:t>
      </w:r>
      <w:r w:rsidR="00C32BE5" w:rsidRPr="008D3EBA">
        <w:rPr>
          <w:rFonts w:ascii="Bookman Old Style" w:hAnsi="Bookman Old Style" w:cs="Arial"/>
          <w:sz w:val="24"/>
        </w:rPr>
        <w:t xml:space="preserve"> -incluso el juez-</w:t>
      </w:r>
      <w:r w:rsidRPr="008D3EBA">
        <w:rPr>
          <w:rFonts w:ascii="Bookman Old Style" w:hAnsi="Bookman Old Style" w:cs="Arial"/>
          <w:sz w:val="24"/>
        </w:rPr>
        <w:t xml:space="preserve"> por las posibles faltas disciplinarias cometidas por un abogado dentro y fuera de un proceso</w:t>
      </w:r>
      <w:r w:rsidR="005C4960" w:rsidRPr="008D3EBA">
        <w:rPr>
          <w:rFonts w:ascii="Bookman Old Style" w:hAnsi="Bookman Old Style" w:cs="Arial"/>
          <w:sz w:val="24"/>
        </w:rPr>
        <w:t>.</w:t>
      </w:r>
      <w:r w:rsidR="00DE06E1" w:rsidRPr="008D3EBA">
        <w:rPr>
          <w:rFonts w:ascii="Bookman Old Style" w:hAnsi="Bookman Old Style" w:cs="Arial"/>
          <w:sz w:val="24"/>
        </w:rPr>
        <w:t xml:space="preserve"> </w:t>
      </w:r>
      <w:r w:rsidR="00350B0E" w:rsidRPr="008D3EBA">
        <w:rPr>
          <w:rFonts w:ascii="Bookman Old Style" w:hAnsi="Bookman Old Style" w:cs="Arial"/>
          <w:sz w:val="24"/>
        </w:rPr>
        <w:t>En estos casos, el quejoso endilga directamente la responsabilidad al profesional del derecho</w:t>
      </w:r>
      <w:r w:rsidR="009959CD" w:rsidRPr="008D3EBA">
        <w:rPr>
          <w:rFonts w:ascii="Bookman Old Style" w:hAnsi="Bookman Old Style" w:cs="Arial"/>
          <w:sz w:val="24"/>
        </w:rPr>
        <w:t xml:space="preserve"> de una manera personal</w:t>
      </w:r>
      <w:r w:rsidR="00350B0E" w:rsidRPr="008D3EBA">
        <w:rPr>
          <w:rFonts w:ascii="Bookman Old Style" w:hAnsi="Bookman Old Style" w:cs="Arial"/>
          <w:sz w:val="24"/>
        </w:rPr>
        <w:t xml:space="preserve"> porque está seguro de la comisión de una falta disciplinaria, de ahí que solicita al órgano competente que investigue y declare su responsabilidad con la imposición de las sanciones correspondientes.</w:t>
      </w:r>
      <w:r w:rsidR="00474295" w:rsidRPr="008D3EBA">
        <w:rPr>
          <w:rFonts w:ascii="Bookman Old Style" w:hAnsi="Bookman Old Style" w:cs="Arial"/>
          <w:sz w:val="24"/>
        </w:rPr>
        <w:t xml:space="preserve"> De ahí que, cuando el quejoso es un juez, esta situación es suficiente para configurar la causal de impedimento o recusación que obliga al operador a separarse del conocimiento de un asunto.</w:t>
      </w:r>
    </w:p>
    <w:p w14:paraId="4BE8434C" w14:textId="286A9AE5" w:rsidR="005C4960" w:rsidRPr="008D3EBA" w:rsidRDefault="005C4960" w:rsidP="008D3EBA">
      <w:pPr>
        <w:pStyle w:val="Textoindependiente"/>
        <w:widowControl w:val="0"/>
        <w:spacing w:line="276" w:lineRule="auto"/>
        <w:rPr>
          <w:rFonts w:ascii="Bookman Old Style" w:hAnsi="Bookman Old Style" w:cs="Arial"/>
          <w:sz w:val="24"/>
        </w:rPr>
      </w:pPr>
    </w:p>
    <w:p w14:paraId="15CF63EA" w14:textId="3D4A3957" w:rsidR="00FA1E8B" w:rsidRPr="008D3EBA" w:rsidRDefault="00350B0E" w:rsidP="008D3EBA">
      <w:pPr>
        <w:pStyle w:val="Textoindependiente"/>
        <w:widowControl w:val="0"/>
        <w:spacing w:line="276" w:lineRule="auto"/>
        <w:rPr>
          <w:rFonts w:ascii="Bookman Old Style" w:hAnsi="Bookman Old Style" w:cs="Arial"/>
          <w:sz w:val="24"/>
        </w:rPr>
      </w:pPr>
      <w:r w:rsidRPr="008D3EBA">
        <w:rPr>
          <w:rFonts w:ascii="Bookman Old Style" w:hAnsi="Bookman Old Style" w:cs="Arial"/>
          <w:sz w:val="24"/>
        </w:rPr>
        <w:t xml:space="preserve">Así pues, es claro que la compulsa de copias es diferente a la queja disciplinaria, pues la primera es exclusiva del juez </w:t>
      </w:r>
      <w:r w:rsidR="00FA1E8B" w:rsidRPr="008D3EBA">
        <w:rPr>
          <w:rFonts w:ascii="Bookman Old Style" w:hAnsi="Bookman Old Style" w:cs="Arial"/>
          <w:sz w:val="24"/>
        </w:rPr>
        <w:t>como instrumento</w:t>
      </w:r>
      <w:r w:rsidR="009959CD" w:rsidRPr="008D3EBA">
        <w:rPr>
          <w:rFonts w:ascii="Bookman Old Style" w:hAnsi="Bookman Old Style" w:cs="Arial"/>
          <w:sz w:val="24"/>
        </w:rPr>
        <w:t xml:space="preserve"> de tipo objetivo</w:t>
      </w:r>
      <w:r w:rsidR="00FA1E8B" w:rsidRPr="008D3EBA">
        <w:rPr>
          <w:rFonts w:ascii="Bookman Old Style" w:hAnsi="Bookman Old Style" w:cs="Arial"/>
          <w:sz w:val="24"/>
        </w:rPr>
        <w:t xml:space="preserve"> para salvaguardar los derechos y deberes de los intervinientes en el marco de un proceso, Mientras que la segunda, </w:t>
      </w:r>
      <w:r w:rsidR="00803420" w:rsidRPr="008D3EBA">
        <w:rPr>
          <w:rFonts w:ascii="Bookman Old Style" w:hAnsi="Bookman Old Style" w:cs="Arial"/>
          <w:sz w:val="24"/>
        </w:rPr>
        <w:t>puede ser promovida</w:t>
      </w:r>
      <w:r w:rsidR="00FA1E8B" w:rsidRPr="008D3EBA">
        <w:rPr>
          <w:rFonts w:ascii="Bookman Old Style" w:hAnsi="Bookman Old Style" w:cs="Arial"/>
          <w:sz w:val="24"/>
        </w:rPr>
        <w:t xml:space="preserve"> por cualquier persona para </w:t>
      </w:r>
      <w:r w:rsidR="00803420" w:rsidRPr="008D3EBA">
        <w:rPr>
          <w:rFonts w:ascii="Bookman Old Style" w:hAnsi="Bookman Old Style" w:cs="Arial"/>
          <w:sz w:val="24"/>
        </w:rPr>
        <w:t>poner en conocimiento a la jurisdicción disciplinaria de la comisión de una falta por parte de un abogado, sin que sea necesario que se adelante con ocasión a un determinado proceso.</w:t>
      </w:r>
    </w:p>
    <w:p w14:paraId="2B7795FB" w14:textId="77777777" w:rsidR="00FA1E8B" w:rsidRPr="008D3EBA" w:rsidRDefault="00FA1E8B" w:rsidP="008D3EBA">
      <w:pPr>
        <w:pStyle w:val="Textoindependiente"/>
        <w:widowControl w:val="0"/>
        <w:spacing w:line="276" w:lineRule="auto"/>
        <w:rPr>
          <w:rFonts w:ascii="Bookman Old Style" w:hAnsi="Bookman Old Style" w:cs="Arial"/>
          <w:sz w:val="24"/>
        </w:rPr>
      </w:pPr>
    </w:p>
    <w:p w14:paraId="4D9094C3" w14:textId="5038BB55" w:rsidR="005C4960" w:rsidRPr="008D3EBA" w:rsidRDefault="00350B0E" w:rsidP="008D3EBA">
      <w:pPr>
        <w:pStyle w:val="Textoindependiente"/>
        <w:widowControl w:val="0"/>
        <w:spacing w:line="276" w:lineRule="auto"/>
        <w:rPr>
          <w:rFonts w:ascii="Bookman Old Style" w:hAnsi="Bookman Old Style" w:cs="Arial"/>
          <w:sz w:val="24"/>
        </w:rPr>
      </w:pPr>
      <w:r w:rsidRPr="008D3EBA">
        <w:rPr>
          <w:rFonts w:ascii="Bookman Old Style" w:hAnsi="Bookman Old Style" w:cs="Arial"/>
          <w:sz w:val="24"/>
        </w:rPr>
        <w:t xml:space="preserve">Tanto la queja disciplinaria como la compulsa, </w:t>
      </w:r>
      <w:r w:rsidR="005C4960" w:rsidRPr="008D3EBA">
        <w:rPr>
          <w:rFonts w:ascii="Bookman Old Style" w:hAnsi="Bookman Old Style" w:cs="Arial"/>
          <w:sz w:val="24"/>
        </w:rPr>
        <w:t xml:space="preserve">conforme al artículo 211 de la Ley 1952 de 2019 y aplicables de la Ley 2094 de 2021, </w:t>
      </w:r>
      <w:r w:rsidRPr="008D3EBA">
        <w:rPr>
          <w:rFonts w:ascii="Bookman Old Style" w:hAnsi="Bookman Old Style" w:cs="Arial"/>
          <w:sz w:val="24"/>
        </w:rPr>
        <w:t>da</w:t>
      </w:r>
      <w:r w:rsidR="005C4960" w:rsidRPr="008D3EBA">
        <w:rPr>
          <w:rFonts w:ascii="Bookman Old Style" w:hAnsi="Bookman Old Style" w:cs="Arial"/>
          <w:sz w:val="24"/>
        </w:rPr>
        <w:t xml:space="preserve"> inicio al proceso de investigación disciplinaria en contra de un abogado, la cual, de quedar plenamente demostrad</w:t>
      </w:r>
      <w:r w:rsidRPr="008D3EBA">
        <w:rPr>
          <w:rFonts w:ascii="Bookman Old Style" w:hAnsi="Bookman Old Style" w:cs="Arial"/>
          <w:sz w:val="24"/>
        </w:rPr>
        <w:t>a</w:t>
      </w:r>
      <w:r w:rsidR="005C4960" w:rsidRPr="008D3EBA">
        <w:rPr>
          <w:rFonts w:ascii="Bookman Old Style" w:hAnsi="Bookman Old Style" w:cs="Arial"/>
          <w:sz w:val="24"/>
        </w:rPr>
        <w:t>, podría finalizar con la imposición de sanciones pecuniarias y/o administrativas en aquellos casos en que el investigado es declarado disciplinariamente responsable de las faltas endilgadas e incumplimiento de los deberes establecidos en el Código Disciplinario del Abogado Ley 1123 de 2007.</w:t>
      </w:r>
    </w:p>
    <w:p w14:paraId="63C5BAC6" w14:textId="3B2A629F" w:rsidR="000061D4" w:rsidRPr="008D3EBA" w:rsidRDefault="000061D4" w:rsidP="008D3EBA">
      <w:pPr>
        <w:pStyle w:val="Textoindependiente"/>
        <w:widowControl w:val="0"/>
        <w:spacing w:line="276" w:lineRule="auto"/>
        <w:rPr>
          <w:rFonts w:ascii="Bookman Old Style" w:hAnsi="Bookman Old Style" w:cs="Arial"/>
          <w:sz w:val="24"/>
        </w:rPr>
      </w:pPr>
    </w:p>
    <w:p w14:paraId="39FED5B2" w14:textId="5F89E380" w:rsidR="00F001AB" w:rsidRPr="008D3EBA" w:rsidRDefault="000061D4" w:rsidP="008D3EBA">
      <w:pPr>
        <w:pStyle w:val="Textoindependiente"/>
        <w:widowControl w:val="0"/>
        <w:spacing w:line="276" w:lineRule="auto"/>
        <w:rPr>
          <w:rFonts w:ascii="Bookman Old Style" w:hAnsi="Bookman Old Style" w:cs="Arial"/>
          <w:sz w:val="24"/>
        </w:rPr>
      </w:pPr>
      <w:r w:rsidRPr="008D3EBA">
        <w:rPr>
          <w:rFonts w:ascii="Bookman Old Style" w:hAnsi="Bookman Old Style" w:cs="Arial"/>
          <w:sz w:val="24"/>
        </w:rPr>
        <w:t xml:space="preserve">Este tipo de procesos disciplinarios son resueltos en primera instancia por la Comisión Seccional de Disciplina Judicial de cada distrito del </w:t>
      </w:r>
      <w:r w:rsidR="009A2E25" w:rsidRPr="008D3EBA">
        <w:rPr>
          <w:rFonts w:ascii="Bookman Old Style" w:hAnsi="Bookman Old Style" w:cs="Arial"/>
          <w:sz w:val="24"/>
        </w:rPr>
        <w:t>país donde se encuentre creada y l</w:t>
      </w:r>
      <w:r w:rsidRPr="008D3EBA">
        <w:rPr>
          <w:rFonts w:ascii="Bookman Old Style" w:hAnsi="Bookman Old Style" w:cs="Arial"/>
          <w:sz w:val="24"/>
        </w:rPr>
        <w:t>a segunda instancia es conocida por la Comisión Nacional de Disciplina Judicial.</w:t>
      </w:r>
    </w:p>
    <w:p w14:paraId="7B3DB25D" w14:textId="4E3AFFC5" w:rsidR="00F001AB" w:rsidRPr="008D3EBA" w:rsidRDefault="00F001AB" w:rsidP="008D3EBA">
      <w:pPr>
        <w:pStyle w:val="Textoindependiente"/>
        <w:widowControl w:val="0"/>
        <w:spacing w:line="276" w:lineRule="auto"/>
        <w:rPr>
          <w:rFonts w:ascii="Bookman Old Style" w:hAnsi="Bookman Old Style" w:cs="Arial"/>
          <w:sz w:val="24"/>
        </w:rPr>
      </w:pPr>
    </w:p>
    <w:p w14:paraId="31363111" w14:textId="086F579D" w:rsidR="00930329" w:rsidRPr="008D3EBA" w:rsidRDefault="000061D4" w:rsidP="008D3EBA">
      <w:pPr>
        <w:pStyle w:val="Textoindependiente"/>
        <w:widowControl w:val="0"/>
        <w:spacing w:line="276" w:lineRule="auto"/>
        <w:rPr>
          <w:rFonts w:ascii="Bookman Old Style" w:hAnsi="Bookman Old Style" w:cs="Arial"/>
          <w:sz w:val="24"/>
        </w:rPr>
      </w:pPr>
      <w:r w:rsidRPr="008D3EBA">
        <w:rPr>
          <w:rFonts w:ascii="Bookman Old Style" w:hAnsi="Bookman Old Style" w:cs="Arial"/>
          <w:sz w:val="24"/>
        </w:rPr>
        <w:t>De manera que, al realizar</w:t>
      </w:r>
      <w:r w:rsidR="00F001AB" w:rsidRPr="008D3EBA">
        <w:rPr>
          <w:rFonts w:ascii="Bookman Old Style" w:hAnsi="Bookman Old Style" w:cs="Arial"/>
          <w:sz w:val="24"/>
        </w:rPr>
        <w:t xml:space="preserve"> la jueza</w:t>
      </w:r>
      <w:r w:rsidRPr="008D3EBA">
        <w:rPr>
          <w:rFonts w:ascii="Bookman Old Style" w:hAnsi="Bookman Old Style" w:cs="Arial"/>
          <w:sz w:val="24"/>
        </w:rPr>
        <w:t xml:space="preserve"> la compulsa de copias en contra d</w:t>
      </w:r>
      <w:r w:rsidRPr="007666BA">
        <w:rPr>
          <w:rFonts w:ascii="Bookman Old Style" w:hAnsi="Bookman Old Style" w:cs="Arial"/>
          <w:sz w:val="24"/>
        </w:rPr>
        <w:t xml:space="preserve">el abogado </w:t>
      </w:r>
      <w:r w:rsidRPr="008D3EBA">
        <w:rPr>
          <w:rFonts w:ascii="Bookman Old Style" w:hAnsi="Bookman Old Style" w:cs="Arial"/>
          <w:sz w:val="24"/>
        </w:rPr>
        <w:lastRenderedPageBreak/>
        <w:t xml:space="preserve">Dr. MATÍAS SAJONA, </w:t>
      </w:r>
      <w:r w:rsidR="00824472" w:rsidRPr="008D3EBA">
        <w:rPr>
          <w:rFonts w:ascii="Bookman Old Style" w:hAnsi="Bookman Old Style" w:cs="Arial"/>
          <w:sz w:val="24"/>
        </w:rPr>
        <w:t>no puede entenderse como un motivo para recusar a un togado o que este se deba declarar impedido</w:t>
      </w:r>
      <w:r w:rsidR="009A2E25" w:rsidRPr="008D3EBA">
        <w:rPr>
          <w:rFonts w:ascii="Bookman Old Style" w:hAnsi="Bookman Old Style" w:cs="Arial"/>
          <w:sz w:val="24"/>
        </w:rPr>
        <w:t xml:space="preserve"> por ello</w:t>
      </w:r>
      <w:r w:rsidR="00824472" w:rsidRPr="008D3EBA">
        <w:rPr>
          <w:rFonts w:ascii="Bookman Old Style" w:hAnsi="Bookman Old Style" w:cs="Arial"/>
          <w:sz w:val="24"/>
        </w:rPr>
        <w:t>, pues</w:t>
      </w:r>
      <w:r w:rsidR="00803420" w:rsidRPr="008D3EBA">
        <w:rPr>
          <w:rFonts w:ascii="Bookman Old Style" w:hAnsi="Bookman Old Style" w:cs="Arial"/>
          <w:sz w:val="24"/>
        </w:rPr>
        <w:t xml:space="preserve"> se reitera,</w:t>
      </w:r>
      <w:r w:rsidR="00824472" w:rsidRPr="008D3EBA">
        <w:rPr>
          <w:rFonts w:ascii="Bookman Old Style" w:hAnsi="Bookman Old Style" w:cs="Arial"/>
          <w:sz w:val="24"/>
        </w:rPr>
        <w:t xml:space="preserve"> es un mecanismo utilizado y dispuesto para salvagua</w:t>
      </w:r>
      <w:r w:rsidR="009A2E25" w:rsidRPr="008D3EBA">
        <w:rPr>
          <w:rFonts w:ascii="Bookman Old Style" w:hAnsi="Bookman Old Style" w:cs="Arial"/>
          <w:sz w:val="24"/>
        </w:rPr>
        <w:t>rdar los derechos de las partes y los intervinientes en procura de</w:t>
      </w:r>
      <w:r w:rsidR="00824472" w:rsidRPr="008D3EBA">
        <w:rPr>
          <w:rFonts w:ascii="Bookman Old Style" w:hAnsi="Bookman Old Style" w:cs="Arial"/>
          <w:sz w:val="24"/>
        </w:rPr>
        <w:t xml:space="preserve"> la correcta administración de justicia y el cumplimiento de los deberes del abogado. </w:t>
      </w:r>
      <w:r w:rsidR="00FB7FF6" w:rsidRPr="008D3EBA">
        <w:rPr>
          <w:rFonts w:ascii="Bookman Old Style" w:hAnsi="Bookman Old Style" w:cs="Arial"/>
          <w:sz w:val="24"/>
        </w:rPr>
        <w:t>De modo que, la</w:t>
      </w:r>
      <w:r w:rsidR="009A2E25" w:rsidRPr="008D3EBA">
        <w:rPr>
          <w:rFonts w:ascii="Bookman Old Style" w:hAnsi="Bookman Old Style" w:cs="Arial"/>
          <w:sz w:val="24"/>
        </w:rPr>
        <w:t xml:space="preserve"> sola</w:t>
      </w:r>
      <w:r w:rsidR="00FB7FF6" w:rsidRPr="008D3EBA">
        <w:rPr>
          <w:rFonts w:ascii="Bookman Old Style" w:hAnsi="Bookman Old Style" w:cs="Arial"/>
          <w:sz w:val="24"/>
        </w:rPr>
        <w:t xml:space="preserve"> presencia de una compulsa</w:t>
      </w:r>
      <w:r w:rsidR="00732957">
        <w:rPr>
          <w:rFonts w:ascii="Bookman Old Style" w:hAnsi="Bookman Old Style" w:cs="Arial"/>
          <w:sz w:val="24"/>
        </w:rPr>
        <w:t>,</w:t>
      </w:r>
      <w:r w:rsidR="00FB7FF6" w:rsidRPr="008D3EBA">
        <w:rPr>
          <w:rFonts w:ascii="Bookman Old Style" w:hAnsi="Bookman Old Style" w:cs="Arial"/>
          <w:sz w:val="24"/>
        </w:rPr>
        <w:t xml:space="preserve"> no puede ser óbice para separarse</w:t>
      </w:r>
      <w:r w:rsidR="009A2E25" w:rsidRPr="008D3EBA">
        <w:rPr>
          <w:rFonts w:ascii="Bookman Old Style" w:hAnsi="Bookman Old Style" w:cs="Arial"/>
          <w:sz w:val="24"/>
        </w:rPr>
        <w:t xml:space="preserve"> del conocimiento de un asunto</w:t>
      </w:r>
      <w:r w:rsidR="00803420" w:rsidRPr="008D3EBA">
        <w:rPr>
          <w:rFonts w:ascii="Bookman Old Style" w:hAnsi="Bookman Old Style" w:cs="Arial"/>
          <w:sz w:val="24"/>
        </w:rPr>
        <w:t>.</w:t>
      </w:r>
      <w:r w:rsidR="00FB7FF6" w:rsidRPr="008D3EBA">
        <w:rPr>
          <w:rFonts w:ascii="Bookman Old Style" w:hAnsi="Bookman Old Style" w:cs="Arial"/>
          <w:sz w:val="24"/>
        </w:rPr>
        <w:t xml:space="preserve"> </w:t>
      </w:r>
    </w:p>
    <w:p w14:paraId="17BAD11D" w14:textId="77777777" w:rsidR="00930329" w:rsidRPr="008D3EBA" w:rsidRDefault="00930329" w:rsidP="008D3EBA">
      <w:pPr>
        <w:pStyle w:val="Textoindependiente"/>
        <w:widowControl w:val="0"/>
        <w:spacing w:line="276" w:lineRule="auto"/>
        <w:rPr>
          <w:rFonts w:ascii="Bookman Old Style" w:hAnsi="Bookman Old Style" w:cs="Arial"/>
          <w:sz w:val="24"/>
        </w:rPr>
      </w:pPr>
    </w:p>
    <w:p w14:paraId="21F4DB41" w14:textId="54DDDBA8" w:rsidR="003C0CA5" w:rsidRPr="008D3EBA" w:rsidRDefault="003C0CA5" w:rsidP="008D3EBA">
      <w:pPr>
        <w:pStyle w:val="Textoindependiente"/>
        <w:widowControl w:val="0"/>
        <w:spacing w:line="276" w:lineRule="auto"/>
        <w:rPr>
          <w:rFonts w:ascii="Bookman Old Style" w:hAnsi="Bookman Old Style" w:cs="Arial"/>
          <w:sz w:val="24"/>
        </w:rPr>
      </w:pPr>
      <w:r w:rsidRPr="008D3EBA">
        <w:rPr>
          <w:rFonts w:ascii="Bookman Old Style" w:hAnsi="Bookman Old Style" w:cs="Arial"/>
          <w:sz w:val="24"/>
        </w:rPr>
        <w:t>Bajo tales parámetros jurisprudenciales, e</w:t>
      </w:r>
      <w:r w:rsidR="00930329" w:rsidRPr="008D3EBA">
        <w:rPr>
          <w:rFonts w:ascii="Bookman Old Style" w:hAnsi="Bookman Old Style" w:cs="Arial"/>
          <w:sz w:val="24"/>
        </w:rPr>
        <w:t>n este</w:t>
      </w:r>
      <w:r w:rsidR="00824472" w:rsidRPr="008D3EBA">
        <w:rPr>
          <w:rFonts w:ascii="Bookman Old Style" w:hAnsi="Bookman Old Style" w:cs="Arial"/>
          <w:sz w:val="24"/>
        </w:rPr>
        <w:t xml:space="preserve"> </w:t>
      </w:r>
      <w:r w:rsidR="00FB7FF6" w:rsidRPr="008D3EBA">
        <w:rPr>
          <w:rFonts w:ascii="Bookman Old Style" w:hAnsi="Bookman Old Style" w:cs="Arial"/>
          <w:sz w:val="24"/>
        </w:rPr>
        <w:t>asunto</w:t>
      </w:r>
      <w:r w:rsidR="00824472" w:rsidRPr="008D3EBA">
        <w:rPr>
          <w:rFonts w:ascii="Bookman Old Style" w:hAnsi="Bookman Old Style" w:cs="Arial"/>
          <w:sz w:val="24"/>
        </w:rPr>
        <w:t xml:space="preserve"> particular</w:t>
      </w:r>
      <w:r w:rsidRPr="008D3EBA">
        <w:rPr>
          <w:rFonts w:ascii="Bookman Old Style" w:hAnsi="Bookman Old Style" w:cs="Arial"/>
          <w:sz w:val="24"/>
        </w:rPr>
        <w:t>,</w:t>
      </w:r>
      <w:r w:rsidR="00824472" w:rsidRPr="008D3EBA">
        <w:rPr>
          <w:rFonts w:ascii="Bookman Old Style" w:hAnsi="Bookman Old Style" w:cs="Arial"/>
          <w:sz w:val="24"/>
        </w:rPr>
        <w:t xml:space="preserve"> </w:t>
      </w:r>
      <w:r w:rsidR="00803420" w:rsidRPr="008D3EBA">
        <w:rPr>
          <w:rFonts w:ascii="Bookman Old Style" w:hAnsi="Bookman Old Style" w:cs="Arial"/>
          <w:sz w:val="24"/>
        </w:rPr>
        <w:t xml:space="preserve">no se encuentra </w:t>
      </w:r>
      <w:r w:rsidR="00824472" w:rsidRPr="008D3EBA">
        <w:rPr>
          <w:rFonts w:ascii="Bookman Old Style" w:hAnsi="Bookman Old Style" w:cs="Arial"/>
          <w:sz w:val="24"/>
        </w:rPr>
        <w:t>configurada la causal 8 del artículo 141 del CGP, pues</w:t>
      </w:r>
      <w:r w:rsidR="00930329" w:rsidRPr="008D3EBA">
        <w:rPr>
          <w:rFonts w:ascii="Bookman Old Style" w:hAnsi="Bookman Old Style" w:cs="Arial"/>
          <w:sz w:val="24"/>
        </w:rPr>
        <w:t xml:space="preserve"> </w:t>
      </w:r>
      <w:r w:rsidRPr="008D3EBA">
        <w:rPr>
          <w:rFonts w:ascii="Bookman Old Style" w:hAnsi="Bookman Old Style" w:cs="Arial"/>
          <w:sz w:val="24"/>
        </w:rPr>
        <w:t xml:space="preserve">la a quo </w:t>
      </w:r>
      <w:r w:rsidR="00803420" w:rsidRPr="008D3EBA">
        <w:rPr>
          <w:rFonts w:ascii="Bookman Old Style" w:hAnsi="Bookman Old Style" w:cs="Arial"/>
          <w:sz w:val="24"/>
        </w:rPr>
        <w:t xml:space="preserve">no </w:t>
      </w:r>
      <w:r w:rsidR="00930329" w:rsidRPr="008D3EBA">
        <w:rPr>
          <w:rFonts w:ascii="Bookman Old Style" w:hAnsi="Bookman Old Style" w:cs="Arial"/>
          <w:sz w:val="24"/>
        </w:rPr>
        <w:t xml:space="preserve">formuló queja </w:t>
      </w:r>
      <w:r w:rsidR="009959CD" w:rsidRPr="008D3EBA">
        <w:rPr>
          <w:rFonts w:ascii="Bookman Old Style" w:hAnsi="Bookman Old Style" w:cs="Arial"/>
          <w:sz w:val="24"/>
        </w:rPr>
        <w:t>disciplinaria,</w:t>
      </w:r>
      <w:r w:rsidR="00930329" w:rsidRPr="008D3EBA">
        <w:rPr>
          <w:rFonts w:ascii="Bookman Old Style" w:hAnsi="Bookman Old Style" w:cs="Arial"/>
          <w:sz w:val="24"/>
        </w:rPr>
        <w:t xml:space="preserve"> </w:t>
      </w:r>
      <w:r w:rsidR="00803420" w:rsidRPr="008D3EBA">
        <w:rPr>
          <w:rFonts w:ascii="Bookman Old Style" w:hAnsi="Bookman Old Style" w:cs="Arial"/>
          <w:sz w:val="24"/>
        </w:rPr>
        <w:t xml:space="preserve">sino que compulsó copias </w:t>
      </w:r>
      <w:r w:rsidR="00930329" w:rsidRPr="008D3EBA">
        <w:rPr>
          <w:rFonts w:ascii="Bookman Old Style" w:hAnsi="Bookman Old Style" w:cs="Arial"/>
          <w:sz w:val="24"/>
        </w:rPr>
        <w:t>en contra del abogado</w:t>
      </w:r>
      <w:r w:rsidR="00803420" w:rsidRPr="008D3EBA">
        <w:rPr>
          <w:rFonts w:ascii="Bookman Old Style" w:hAnsi="Bookman Old Style" w:cs="Arial"/>
          <w:sz w:val="24"/>
        </w:rPr>
        <w:t xml:space="preserve"> para que la Comisión Seccional de Disciplina Judicial de Risaralda por</w:t>
      </w:r>
      <w:r w:rsidR="00FB7FF6" w:rsidRPr="008D3EBA">
        <w:rPr>
          <w:rFonts w:ascii="Bookman Old Style" w:hAnsi="Bookman Old Style" w:cs="Arial"/>
          <w:sz w:val="24"/>
        </w:rPr>
        <w:t xml:space="preserve"> la</w:t>
      </w:r>
      <w:r w:rsidR="00930329" w:rsidRPr="008D3EBA">
        <w:rPr>
          <w:rFonts w:ascii="Bookman Old Style" w:hAnsi="Bookman Old Style" w:cs="Arial"/>
          <w:sz w:val="24"/>
        </w:rPr>
        <w:t xml:space="preserve"> presunta </w:t>
      </w:r>
      <w:r w:rsidR="00803420" w:rsidRPr="008D3EBA">
        <w:rPr>
          <w:rFonts w:ascii="Bookman Old Style" w:hAnsi="Bookman Old Style" w:cs="Arial"/>
          <w:sz w:val="24"/>
        </w:rPr>
        <w:t>vulneración de</w:t>
      </w:r>
      <w:r w:rsidR="00930329" w:rsidRPr="008D3EBA">
        <w:rPr>
          <w:rFonts w:ascii="Bookman Old Style" w:hAnsi="Bookman Old Style" w:cs="Arial"/>
          <w:sz w:val="24"/>
        </w:rPr>
        <w:t xml:space="preserve">l artículo 37 numeral 7, así como los deberes previstos en el artículo 38 numeral 7, ambos de la Ley 1952 de 2019. </w:t>
      </w:r>
    </w:p>
    <w:p w14:paraId="775260E4" w14:textId="094FDFA3" w:rsidR="001A6B3D" w:rsidRPr="008D3EBA" w:rsidRDefault="001A6B3D" w:rsidP="008D3EBA">
      <w:pPr>
        <w:pStyle w:val="Textoindependiente"/>
        <w:widowControl w:val="0"/>
        <w:spacing w:line="276" w:lineRule="auto"/>
        <w:rPr>
          <w:rFonts w:ascii="Bookman Old Style" w:hAnsi="Bookman Old Style" w:cs="Arial"/>
          <w:sz w:val="24"/>
        </w:rPr>
      </w:pPr>
    </w:p>
    <w:p w14:paraId="58433227" w14:textId="6736E138" w:rsidR="001A6B3D" w:rsidRPr="007666BA" w:rsidRDefault="001A6B3D" w:rsidP="008D3EBA">
      <w:pPr>
        <w:spacing w:line="276" w:lineRule="auto"/>
        <w:jc w:val="both"/>
        <w:rPr>
          <w:rFonts w:ascii="Bookman Old Style" w:hAnsi="Bookman Old Style"/>
          <w:sz w:val="24"/>
        </w:rPr>
      </w:pPr>
      <w:r w:rsidRPr="007666BA">
        <w:rPr>
          <w:rFonts w:ascii="Bookman Old Style" w:hAnsi="Bookman Old Style"/>
          <w:sz w:val="24"/>
        </w:rPr>
        <w:t xml:space="preserve">Y es que nótese que en el acta de conciliación la </w:t>
      </w:r>
      <w:r w:rsidR="00803420" w:rsidRPr="007666BA">
        <w:rPr>
          <w:rFonts w:ascii="Bookman Old Style" w:hAnsi="Bookman Old Style"/>
          <w:sz w:val="24"/>
        </w:rPr>
        <w:t>jueza</w:t>
      </w:r>
      <w:r w:rsidRPr="007666BA">
        <w:rPr>
          <w:rFonts w:ascii="Bookman Old Style" w:hAnsi="Bookman Old Style"/>
          <w:i/>
          <w:sz w:val="24"/>
        </w:rPr>
        <w:t xml:space="preserve"> </w:t>
      </w:r>
      <w:r w:rsidRPr="007666BA">
        <w:rPr>
          <w:rFonts w:ascii="Bookman Old Style" w:hAnsi="Bookman Old Style"/>
          <w:sz w:val="24"/>
        </w:rPr>
        <w:t>indicó “</w:t>
      </w:r>
      <w:r w:rsidRPr="00164D84">
        <w:rPr>
          <w:rFonts w:ascii="Bookman Old Style" w:hAnsi="Bookman Old Style"/>
          <w:i/>
          <w:sz w:val="22"/>
        </w:rPr>
        <w:t xml:space="preserve">Frente a la anterior solicitud del apoderado judicial de los demandantes, el juzgado no accedió, teniendo en cuenta que no existe enemistad grave con el profesional del derecho, sino que </w:t>
      </w:r>
      <w:r w:rsidRPr="00164D84">
        <w:rPr>
          <w:rFonts w:ascii="Bookman Old Style" w:hAnsi="Bookman Old Style"/>
          <w:b/>
          <w:i/>
          <w:sz w:val="22"/>
        </w:rPr>
        <w:t>se tratan de desavenencias surgidas con ocasión al trámite de la audiencia, en que el apoderado judicial no permite el uso de la palabra de la juez y tampoco la solicita, menos aún no espera que se le autorice para intervenir; todo lo cual, impide el desarrollo normal de la audiencia</w:t>
      </w:r>
      <w:r w:rsidRPr="007666BA">
        <w:rPr>
          <w:rFonts w:ascii="Bookman Old Style" w:hAnsi="Bookman Old Style"/>
          <w:i/>
          <w:sz w:val="24"/>
        </w:rPr>
        <w:t xml:space="preserve">”. </w:t>
      </w:r>
      <w:r w:rsidRPr="007666BA">
        <w:rPr>
          <w:rFonts w:ascii="Bookman Old Style" w:hAnsi="Bookman Old Style"/>
          <w:sz w:val="24"/>
        </w:rPr>
        <w:t>(Anexo21)</w:t>
      </w:r>
      <w:r w:rsidRPr="007666BA">
        <w:rPr>
          <w:rFonts w:ascii="Bookman Old Style" w:hAnsi="Bookman Old Style"/>
          <w:i/>
          <w:sz w:val="24"/>
        </w:rPr>
        <w:t xml:space="preserve"> </w:t>
      </w:r>
      <w:r w:rsidRPr="007666BA">
        <w:rPr>
          <w:rFonts w:ascii="Bookman Old Style" w:hAnsi="Bookman Old Style"/>
          <w:sz w:val="24"/>
        </w:rPr>
        <w:t>(Negrilla fuera de texto)</w:t>
      </w:r>
    </w:p>
    <w:p w14:paraId="0B882ED5" w14:textId="77777777" w:rsidR="003C0CA5" w:rsidRPr="007666BA" w:rsidRDefault="003C0CA5" w:rsidP="008D3EBA">
      <w:pPr>
        <w:pStyle w:val="Textoindependiente"/>
        <w:widowControl w:val="0"/>
        <w:spacing w:line="276" w:lineRule="auto"/>
        <w:rPr>
          <w:rFonts w:ascii="Bookman Old Style" w:hAnsi="Bookman Old Style"/>
          <w:sz w:val="24"/>
        </w:rPr>
      </w:pPr>
    </w:p>
    <w:p w14:paraId="65673442" w14:textId="72369443" w:rsidR="00930329" w:rsidRPr="007666BA" w:rsidRDefault="00930329" w:rsidP="008D3EBA">
      <w:pPr>
        <w:pStyle w:val="Textoindependiente"/>
        <w:widowControl w:val="0"/>
        <w:spacing w:line="276" w:lineRule="auto"/>
        <w:rPr>
          <w:rFonts w:ascii="Bookman Old Style" w:hAnsi="Bookman Old Style"/>
          <w:sz w:val="24"/>
        </w:rPr>
      </w:pPr>
      <w:r w:rsidRPr="007666BA">
        <w:rPr>
          <w:rFonts w:ascii="Bookman Old Style" w:hAnsi="Bookman Old Style"/>
          <w:sz w:val="24"/>
        </w:rPr>
        <w:t xml:space="preserve">Lo </w:t>
      </w:r>
      <w:r w:rsidR="003C0CA5" w:rsidRPr="007666BA">
        <w:rPr>
          <w:rFonts w:ascii="Bookman Old Style" w:hAnsi="Bookman Old Style"/>
          <w:sz w:val="24"/>
        </w:rPr>
        <w:t>anterior</w:t>
      </w:r>
      <w:r w:rsidRPr="007666BA">
        <w:rPr>
          <w:rFonts w:ascii="Bookman Old Style" w:hAnsi="Bookman Old Style"/>
          <w:sz w:val="24"/>
        </w:rPr>
        <w:t xml:space="preserve">, resulta suficiente </w:t>
      </w:r>
      <w:r w:rsidR="009959CD" w:rsidRPr="007666BA">
        <w:rPr>
          <w:rFonts w:ascii="Bookman Old Style" w:hAnsi="Bookman Old Style"/>
          <w:sz w:val="24"/>
        </w:rPr>
        <w:t xml:space="preserve">para asegurar que de ninguna manera </w:t>
      </w:r>
      <w:r w:rsidR="00474295" w:rsidRPr="007666BA">
        <w:rPr>
          <w:rFonts w:ascii="Bookman Old Style" w:hAnsi="Bookman Old Style"/>
          <w:sz w:val="24"/>
        </w:rPr>
        <w:t xml:space="preserve">la jueza perdió imparcialidad e independencia con el mero hecho de </w:t>
      </w:r>
      <w:r w:rsidR="009959CD" w:rsidRPr="007666BA">
        <w:rPr>
          <w:rFonts w:ascii="Bookman Old Style" w:hAnsi="Bookman Old Style"/>
          <w:sz w:val="24"/>
        </w:rPr>
        <w:t>compulsa</w:t>
      </w:r>
      <w:r w:rsidR="00474295" w:rsidRPr="007666BA">
        <w:rPr>
          <w:rFonts w:ascii="Bookman Old Style" w:hAnsi="Bookman Old Style"/>
          <w:sz w:val="24"/>
        </w:rPr>
        <w:t xml:space="preserve">r </w:t>
      </w:r>
      <w:r w:rsidR="009959CD" w:rsidRPr="007666BA">
        <w:rPr>
          <w:rFonts w:ascii="Bookman Old Style" w:hAnsi="Bookman Old Style"/>
          <w:sz w:val="24"/>
        </w:rPr>
        <w:t>copias</w:t>
      </w:r>
      <w:r w:rsidR="00474295" w:rsidRPr="007666BA">
        <w:rPr>
          <w:rFonts w:ascii="Bookman Old Style" w:hAnsi="Bookman Old Style"/>
          <w:sz w:val="24"/>
        </w:rPr>
        <w:t xml:space="preserve"> a la Comisión para que investigue el comportamiento del </w:t>
      </w:r>
      <w:r w:rsidR="009959CD" w:rsidRPr="007666BA">
        <w:rPr>
          <w:rFonts w:ascii="Bookman Old Style" w:hAnsi="Bookman Old Style"/>
          <w:sz w:val="24"/>
        </w:rPr>
        <w:t>apoderado</w:t>
      </w:r>
      <w:r w:rsidR="00474295" w:rsidRPr="007666BA">
        <w:rPr>
          <w:rFonts w:ascii="Bookman Old Style" w:hAnsi="Bookman Old Style"/>
          <w:sz w:val="24"/>
        </w:rPr>
        <w:t xml:space="preserve">. Mucho menos se puede </w:t>
      </w:r>
      <w:r w:rsidRPr="007666BA">
        <w:rPr>
          <w:rFonts w:ascii="Bookman Old Style" w:hAnsi="Bookman Old Style"/>
          <w:sz w:val="24"/>
        </w:rPr>
        <w:t>suponer</w:t>
      </w:r>
      <w:r w:rsidR="00474295" w:rsidRPr="007666BA">
        <w:rPr>
          <w:rFonts w:ascii="Bookman Old Style" w:hAnsi="Bookman Old Style"/>
          <w:sz w:val="24"/>
        </w:rPr>
        <w:t xml:space="preserve"> que con este acto </w:t>
      </w:r>
      <w:r w:rsidRPr="007666BA">
        <w:rPr>
          <w:rFonts w:ascii="Bookman Old Style" w:hAnsi="Bookman Old Style"/>
          <w:sz w:val="24"/>
        </w:rPr>
        <w:t xml:space="preserve">la </w:t>
      </w:r>
      <w:r w:rsidRPr="007666BA">
        <w:rPr>
          <w:rFonts w:ascii="Bookman Old Style" w:hAnsi="Bookman Old Style"/>
          <w:i/>
          <w:sz w:val="24"/>
        </w:rPr>
        <w:t xml:space="preserve">a quo </w:t>
      </w:r>
      <w:r w:rsidRPr="007666BA">
        <w:rPr>
          <w:rFonts w:ascii="Bookman Old Style" w:hAnsi="Bookman Old Style"/>
          <w:sz w:val="24"/>
        </w:rPr>
        <w:t>carece de</w:t>
      </w:r>
      <w:r w:rsidR="003C0CA5" w:rsidRPr="007666BA">
        <w:rPr>
          <w:rFonts w:ascii="Bookman Old Style" w:hAnsi="Bookman Old Style"/>
          <w:sz w:val="24"/>
        </w:rPr>
        <w:t xml:space="preserve"> la</w:t>
      </w:r>
      <w:r w:rsidRPr="007666BA">
        <w:rPr>
          <w:rFonts w:ascii="Bookman Old Style" w:hAnsi="Bookman Old Style"/>
          <w:sz w:val="24"/>
        </w:rPr>
        <w:t xml:space="preserve"> objetividad necesaria para tramitar y resolver el respe</w:t>
      </w:r>
      <w:r w:rsidR="00B143A9" w:rsidRPr="007666BA">
        <w:rPr>
          <w:rFonts w:ascii="Bookman Old Style" w:hAnsi="Bookman Old Style"/>
          <w:sz w:val="24"/>
        </w:rPr>
        <w:t xml:space="preserve">ctivo proceso ordinario laboral, </w:t>
      </w:r>
      <w:r w:rsidR="00474295" w:rsidRPr="007666BA">
        <w:rPr>
          <w:rFonts w:ascii="Bookman Old Style" w:hAnsi="Bookman Old Style"/>
          <w:sz w:val="24"/>
        </w:rPr>
        <w:t>por lo que, se declarará i</w:t>
      </w:r>
      <w:r w:rsidR="00686FBA" w:rsidRPr="007666BA">
        <w:rPr>
          <w:rFonts w:ascii="Bookman Old Style" w:hAnsi="Bookman Old Style"/>
          <w:sz w:val="24"/>
        </w:rPr>
        <w:t>nfundada</w:t>
      </w:r>
      <w:r w:rsidR="00474295" w:rsidRPr="007666BA">
        <w:rPr>
          <w:rFonts w:ascii="Bookman Old Style" w:hAnsi="Bookman Old Style"/>
          <w:sz w:val="24"/>
        </w:rPr>
        <w:t xml:space="preserve"> la solicitud de recusación interpuesta por el abogado Dr. MATÍAS SAJONA en contra de la jueza quinta laboral del circuito de Pereira.</w:t>
      </w:r>
    </w:p>
    <w:p w14:paraId="5B80E3E5" w14:textId="4DDEF09C" w:rsidR="003C0CA5" w:rsidRPr="007666BA" w:rsidRDefault="003C0CA5" w:rsidP="008D3EBA">
      <w:pPr>
        <w:pStyle w:val="Textoindependiente"/>
        <w:widowControl w:val="0"/>
        <w:spacing w:line="276" w:lineRule="auto"/>
        <w:rPr>
          <w:rFonts w:ascii="Bookman Old Style" w:hAnsi="Bookman Old Style"/>
          <w:sz w:val="24"/>
        </w:rPr>
      </w:pPr>
    </w:p>
    <w:p w14:paraId="7CC165B6" w14:textId="125F6755" w:rsidR="003C0CA5" w:rsidRPr="007666BA" w:rsidRDefault="7CC67542" w:rsidP="008D3EBA">
      <w:pPr>
        <w:pStyle w:val="Textoindependiente"/>
        <w:widowControl w:val="0"/>
        <w:spacing w:line="276" w:lineRule="auto"/>
        <w:rPr>
          <w:rFonts w:ascii="Bookman Old Style" w:hAnsi="Bookman Old Style"/>
          <w:sz w:val="24"/>
        </w:rPr>
      </w:pPr>
      <w:r w:rsidRPr="007666BA">
        <w:rPr>
          <w:rFonts w:ascii="Bookman Old Style" w:hAnsi="Bookman Old Style"/>
          <w:sz w:val="24"/>
        </w:rPr>
        <w:t>L</w:t>
      </w:r>
      <w:r w:rsidR="003C0CA5" w:rsidRPr="007666BA">
        <w:rPr>
          <w:rFonts w:ascii="Bookman Old Style" w:hAnsi="Bookman Old Style"/>
          <w:sz w:val="24"/>
        </w:rPr>
        <w:t>a Sala no se pronunciará sobre los demás procesos que expuso el apoderado en su escrito, ya que se analizó y decidió únicamente sobre el proceso con radicado No. 66001310500520220015601 acumulado.</w:t>
      </w:r>
    </w:p>
    <w:p w14:paraId="23364014" w14:textId="0DC81C1F" w:rsidR="20FF6984" w:rsidRPr="007666BA" w:rsidRDefault="20FF6984" w:rsidP="008D3EBA">
      <w:pPr>
        <w:pStyle w:val="Textoindependiente"/>
        <w:widowControl w:val="0"/>
        <w:spacing w:line="276" w:lineRule="auto"/>
        <w:rPr>
          <w:rFonts w:ascii="Bookman Old Style" w:hAnsi="Bookman Old Style"/>
          <w:sz w:val="24"/>
        </w:rPr>
      </w:pPr>
    </w:p>
    <w:p w14:paraId="1140F6D5" w14:textId="2BCAA447" w:rsidR="1273AED2" w:rsidRPr="007666BA" w:rsidRDefault="1273AED2" w:rsidP="008D3EBA">
      <w:pPr>
        <w:spacing w:line="276" w:lineRule="auto"/>
        <w:jc w:val="both"/>
        <w:rPr>
          <w:rFonts w:ascii="Bookman Old Style" w:eastAsia="Bookman Old Style" w:hAnsi="Bookman Old Style" w:cs="Bookman Old Style"/>
          <w:i/>
          <w:iCs/>
          <w:sz w:val="24"/>
          <w:lang w:val="es"/>
        </w:rPr>
      </w:pPr>
      <w:r w:rsidRPr="007666BA">
        <w:rPr>
          <w:rFonts w:ascii="Bookman Old Style" w:eastAsia="Bookman Old Style" w:hAnsi="Bookman Old Style" w:cs="Bookman Old Style"/>
          <w:sz w:val="24"/>
          <w:lang w:val="es"/>
        </w:rPr>
        <w:t>Finalmente, el artículo 147 del CGP, señala “</w:t>
      </w:r>
      <w:r w:rsidRPr="00164D84">
        <w:rPr>
          <w:rFonts w:ascii="Bookman Old Style" w:eastAsia="Bookman Old Style" w:hAnsi="Bookman Old Style" w:cs="Bookman Old Style"/>
          <w:i/>
          <w:iCs/>
          <w:sz w:val="22"/>
          <w:lang w:val="es"/>
        </w:rPr>
        <w:t>Cuando una recusación se declare no probada y se disponga que hubo temeridad o mala fe en su proposición, en el mismo auto se impondrá al recusante y al apoderado de este, solidariamente, multa de cinco (5) a diez (10) salarios mínimos mensuales, sin perjuicio de la investigación disciplinaria a que haya lugar</w:t>
      </w:r>
      <w:r w:rsidRPr="007666BA">
        <w:rPr>
          <w:rFonts w:ascii="Bookman Old Style" w:eastAsia="Bookman Old Style" w:hAnsi="Bookman Old Style" w:cs="Bookman Old Style"/>
          <w:i/>
          <w:iCs/>
          <w:sz w:val="24"/>
          <w:lang w:val="es"/>
        </w:rPr>
        <w:t>”.</w:t>
      </w:r>
    </w:p>
    <w:p w14:paraId="120464CF" w14:textId="6437C771" w:rsidR="1273AED2" w:rsidRPr="007666BA" w:rsidRDefault="1273AED2" w:rsidP="008D3EBA">
      <w:pPr>
        <w:spacing w:line="276" w:lineRule="auto"/>
        <w:jc w:val="both"/>
        <w:rPr>
          <w:rFonts w:ascii="Bookman Old Style" w:eastAsia="Bookman Old Style" w:hAnsi="Bookman Old Style" w:cs="Bookman Old Style"/>
          <w:i/>
          <w:iCs/>
          <w:sz w:val="24"/>
          <w:lang w:val="es"/>
        </w:rPr>
      </w:pPr>
      <w:r w:rsidRPr="007666BA">
        <w:rPr>
          <w:rFonts w:ascii="Bookman Old Style" w:eastAsia="Bookman Old Style" w:hAnsi="Bookman Old Style" w:cs="Bookman Old Style"/>
          <w:i/>
          <w:iCs/>
          <w:sz w:val="24"/>
          <w:lang w:val="es"/>
        </w:rPr>
        <w:t xml:space="preserve"> </w:t>
      </w:r>
    </w:p>
    <w:p w14:paraId="578FFE47" w14:textId="5C82AF85" w:rsidR="1273AED2" w:rsidRPr="007666BA" w:rsidRDefault="1273AED2" w:rsidP="008D3EBA">
      <w:pPr>
        <w:spacing w:line="276" w:lineRule="auto"/>
        <w:jc w:val="both"/>
        <w:rPr>
          <w:rFonts w:ascii="Bookman Old Style" w:eastAsia="Bookman Old Style" w:hAnsi="Bookman Old Style" w:cs="Bookman Old Style"/>
          <w:sz w:val="24"/>
          <w:lang w:val="es"/>
        </w:rPr>
      </w:pPr>
      <w:r w:rsidRPr="007666BA">
        <w:rPr>
          <w:rFonts w:ascii="Bookman Old Style" w:eastAsia="Bookman Old Style" w:hAnsi="Bookman Old Style" w:cs="Bookman Old Style"/>
          <w:sz w:val="24"/>
          <w:lang w:val="es"/>
        </w:rPr>
        <w:t>Al respecto, la Corte Suprema de Justicia en su Sala Laboral, en providencia AL1238-2018 afirmó: “</w:t>
      </w:r>
      <w:r w:rsidRPr="00164D84">
        <w:rPr>
          <w:rFonts w:ascii="Bookman Old Style" w:eastAsia="Bookman Old Style" w:hAnsi="Bookman Old Style" w:cs="Bookman Old Style"/>
          <w:i/>
          <w:iCs/>
          <w:sz w:val="22"/>
          <w:lang w:val="es"/>
        </w:rPr>
        <w:t xml:space="preserve">Por lo anterior, el recusante debe satisfacer los requerimientos exigidos en la ley, lo que significa que la recusación debe ser fundada en la objetividad, expresando clara y concretamente la causal alegada, relacionando los hechos en que se funde y las pruebas que se pretendan hacer valer, como así lo consagra el artículo 143 del C. G. P., </w:t>
      </w:r>
      <w:r w:rsidRPr="00164D84">
        <w:rPr>
          <w:rFonts w:ascii="Bookman Old Style" w:eastAsia="Bookman Old Style" w:hAnsi="Bookman Old Style" w:cs="Bookman Old Style"/>
          <w:b/>
          <w:bCs/>
          <w:i/>
          <w:iCs/>
          <w:sz w:val="22"/>
          <w:lang w:val="es"/>
        </w:rPr>
        <w:t>de lo contrario, la solicitud caerá en una mera especulación, tornándose en una acción temeraria y de mala fe</w:t>
      </w:r>
      <w:r w:rsidRPr="007666BA">
        <w:rPr>
          <w:rFonts w:ascii="Bookman Old Style" w:eastAsia="Bookman Old Style" w:hAnsi="Bookman Old Style" w:cs="Bookman Old Style"/>
          <w:i/>
          <w:iCs/>
          <w:sz w:val="24"/>
          <w:lang w:val="es"/>
        </w:rPr>
        <w:t xml:space="preserve">”. </w:t>
      </w:r>
      <w:r w:rsidRPr="007666BA">
        <w:rPr>
          <w:rFonts w:ascii="Bookman Old Style" w:eastAsia="Bookman Old Style" w:hAnsi="Bookman Old Style" w:cs="Bookman Old Style"/>
          <w:sz w:val="24"/>
          <w:lang w:val="es"/>
        </w:rPr>
        <w:t>(Negrilla fuera de texto)</w:t>
      </w:r>
    </w:p>
    <w:p w14:paraId="4592BDE1" w14:textId="22E80260" w:rsidR="1273AED2" w:rsidRPr="007666BA" w:rsidRDefault="1273AED2" w:rsidP="008D3EBA">
      <w:pPr>
        <w:spacing w:line="276" w:lineRule="auto"/>
        <w:jc w:val="both"/>
        <w:rPr>
          <w:rFonts w:ascii="Bookman Old Style" w:eastAsia="Bookman Old Style" w:hAnsi="Bookman Old Style" w:cs="Bookman Old Style"/>
          <w:sz w:val="24"/>
          <w:lang w:val="es"/>
        </w:rPr>
      </w:pPr>
      <w:r w:rsidRPr="007666BA">
        <w:rPr>
          <w:rFonts w:ascii="Bookman Old Style" w:eastAsia="Bookman Old Style" w:hAnsi="Bookman Old Style" w:cs="Bookman Old Style"/>
          <w:sz w:val="24"/>
          <w:lang w:val="es"/>
        </w:rPr>
        <w:lastRenderedPageBreak/>
        <w:t xml:space="preserve"> </w:t>
      </w:r>
    </w:p>
    <w:p w14:paraId="66059480" w14:textId="40C8996C" w:rsidR="1273AED2" w:rsidRPr="007666BA" w:rsidRDefault="1273AED2" w:rsidP="008D3EBA">
      <w:pPr>
        <w:spacing w:line="276" w:lineRule="auto"/>
        <w:jc w:val="both"/>
        <w:rPr>
          <w:rFonts w:ascii="Bookman Old Style" w:eastAsia="Bookman Old Style" w:hAnsi="Bookman Old Style" w:cs="Bookman Old Style"/>
          <w:sz w:val="24"/>
          <w:lang w:val="es"/>
        </w:rPr>
      </w:pPr>
      <w:r w:rsidRPr="007666BA">
        <w:rPr>
          <w:rFonts w:ascii="Bookman Old Style" w:eastAsia="Bookman Old Style" w:hAnsi="Bookman Old Style" w:cs="Bookman Old Style"/>
          <w:sz w:val="24"/>
          <w:lang w:val="es"/>
        </w:rPr>
        <w:t>En el caso analizado, es evidente la temeridad del profesional del derecho, pues presentó la recusación a sabiendas de que carecía de fundamento legal y probatorio. De modo que, como no prosperó la solicitud de recusación se encuentra configurada la temeridad y se impondrá multa de cinco (5) salarios mínimos legales mensuales vigentes, al apoderado Dr. MATÍAS SAJONA, conforme a lo dispuesto en el numeral 1 del artículo 79 y el artículo 147, ambos del CGP.</w:t>
      </w:r>
    </w:p>
    <w:p w14:paraId="594F891D" w14:textId="77777777" w:rsidR="00275E74" w:rsidRPr="007666BA" w:rsidRDefault="00275E74" w:rsidP="008D3EBA">
      <w:pPr>
        <w:pStyle w:val="Textoindependiente"/>
        <w:spacing w:line="276" w:lineRule="auto"/>
        <w:rPr>
          <w:rFonts w:ascii="Bookman Old Style" w:eastAsia="Bookman Old Style" w:hAnsi="Bookman Old Style" w:cs="Bookman Old Style"/>
          <w:sz w:val="24"/>
        </w:rPr>
      </w:pPr>
    </w:p>
    <w:p w14:paraId="1C93CF6B" w14:textId="5AB4C1DC" w:rsidR="00AB470B" w:rsidRPr="007666BA" w:rsidRDefault="00AB470B" w:rsidP="007666BA">
      <w:pPr>
        <w:pStyle w:val="Textoindependiente"/>
        <w:spacing w:line="276" w:lineRule="auto"/>
        <w:rPr>
          <w:rFonts w:ascii="Bookman Old Style" w:eastAsia="Dotum" w:hAnsi="Bookman Old Style" w:cs="Tahoma"/>
          <w:sz w:val="24"/>
        </w:rPr>
      </w:pPr>
      <w:r w:rsidRPr="007666BA">
        <w:rPr>
          <w:rFonts w:ascii="Bookman Old Style" w:eastAsia="Dotum" w:hAnsi="Bookman Old Style" w:cs="Tahoma"/>
          <w:sz w:val="24"/>
        </w:rPr>
        <w:t xml:space="preserve">En mérito de lo expuesto, la </w:t>
      </w:r>
      <w:r w:rsidRPr="007666BA">
        <w:rPr>
          <w:rFonts w:ascii="Bookman Old Style" w:eastAsia="Dotum" w:hAnsi="Bookman Old Style" w:cs="Tahoma"/>
          <w:b/>
          <w:bCs/>
          <w:sz w:val="24"/>
        </w:rPr>
        <w:t>Sala</w:t>
      </w:r>
      <w:r w:rsidR="3E031004" w:rsidRPr="007666BA">
        <w:rPr>
          <w:rFonts w:ascii="Bookman Old Style" w:eastAsia="Dotum" w:hAnsi="Bookman Old Style" w:cs="Tahoma"/>
          <w:b/>
          <w:bCs/>
          <w:sz w:val="24"/>
        </w:rPr>
        <w:t xml:space="preserve"> </w:t>
      </w:r>
      <w:r w:rsidRPr="007666BA">
        <w:rPr>
          <w:rFonts w:ascii="Bookman Old Style" w:eastAsia="Dotum" w:hAnsi="Bookman Old Style" w:cs="Tahoma"/>
          <w:b/>
          <w:bCs/>
          <w:sz w:val="24"/>
        </w:rPr>
        <w:t>de Decisión Laboral del Tribunal Superior del Distrito Judicial de Pereira</w:t>
      </w:r>
      <w:r w:rsidRPr="007666BA">
        <w:rPr>
          <w:rFonts w:ascii="Bookman Old Style" w:eastAsia="Dotum" w:hAnsi="Bookman Old Style" w:cs="Tahoma"/>
          <w:sz w:val="24"/>
        </w:rPr>
        <w:t>,</w:t>
      </w:r>
    </w:p>
    <w:p w14:paraId="1F72F646" w14:textId="77777777" w:rsidR="00AB470B" w:rsidRPr="007666BA" w:rsidRDefault="00AB470B" w:rsidP="007666BA">
      <w:pPr>
        <w:pStyle w:val="Textoindependiente"/>
        <w:spacing w:line="276" w:lineRule="auto"/>
        <w:rPr>
          <w:rFonts w:ascii="Bookman Old Style" w:eastAsia="Dotum" w:hAnsi="Bookman Old Style" w:cs="Tahoma"/>
          <w:sz w:val="24"/>
        </w:rPr>
      </w:pPr>
    </w:p>
    <w:p w14:paraId="0E746780" w14:textId="3D77B327" w:rsidR="00141070" w:rsidRPr="007666BA" w:rsidRDefault="000914EE" w:rsidP="007666BA">
      <w:pPr>
        <w:pStyle w:val="Textoindependiente"/>
        <w:spacing w:line="276" w:lineRule="auto"/>
        <w:jc w:val="center"/>
        <w:rPr>
          <w:rFonts w:ascii="Bookman Old Style" w:eastAsia="Dotum" w:hAnsi="Bookman Old Style" w:cs="Tahoma"/>
          <w:b/>
          <w:sz w:val="24"/>
        </w:rPr>
      </w:pPr>
      <w:r w:rsidRPr="007666BA">
        <w:rPr>
          <w:rFonts w:ascii="Bookman Old Style" w:eastAsia="Dotum" w:hAnsi="Bookman Old Style" w:cs="Tahoma"/>
          <w:b/>
          <w:sz w:val="24"/>
        </w:rPr>
        <w:t>RESUELVE:</w:t>
      </w:r>
    </w:p>
    <w:p w14:paraId="08CE6F91" w14:textId="77777777" w:rsidR="0098348C" w:rsidRPr="007666BA" w:rsidRDefault="0098348C" w:rsidP="007666BA">
      <w:pPr>
        <w:pStyle w:val="Textoindependiente"/>
        <w:spacing w:line="276" w:lineRule="auto"/>
        <w:jc w:val="center"/>
        <w:rPr>
          <w:rFonts w:ascii="Bookman Old Style" w:eastAsia="Dotum" w:hAnsi="Bookman Old Style" w:cs="Tahoma"/>
          <w:b/>
          <w:sz w:val="24"/>
        </w:rPr>
      </w:pPr>
    </w:p>
    <w:p w14:paraId="706EA590" w14:textId="7BEC3C37" w:rsidR="005E743F" w:rsidRPr="007666BA" w:rsidRDefault="005E743F" w:rsidP="007666BA">
      <w:pPr>
        <w:pStyle w:val="Textoindependiente"/>
        <w:spacing w:line="276" w:lineRule="auto"/>
        <w:rPr>
          <w:rFonts w:ascii="Bookman Old Style" w:eastAsia="Bookman Old Style" w:hAnsi="Bookman Old Style" w:cs="Bookman Old Style"/>
          <w:sz w:val="24"/>
        </w:rPr>
      </w:pPr>
      <w:r w:rsidRPr="007666BA">
        <w:rPr>
          <w:rFonts w:ascii="Bookman Old Style" w:eastAsia="Bookman Old Style" w:hAnsi="Bookman Old Style" w:cs="Bookman Old Style"/>
          <w:b/>
          <w:bCs/>
          <w:sz w:val="24"/>
        </w:rPr>
        <w:t>PRIMERO: DECLARAR</w:t>
      </w:r>
      <w:r w:rsidRPr="007666BA">
        <w:rPr>
          <w:rFonts w:ascii="Bookman Old Style" w:eastAsia="Bookman Old Style" w:hAnsi="Bookman Old Style" w:cs="Bookman Old Style"/>
          <w:sz w:val="24"/>
        </w:rPr>
        <w:t xml:space="preserve"> </w:t>
      </w:r>
      <w:r w:rsidR="00686FBA" w:rsidRPr="007666BA">
        <w:rPr>
          <w:rFonts w:ascii="Bookman Old Style" w:hAnsi="Bookman Old Style"/>
          <w:b/>
          <w:sz w:val="24"/>
        </w:rPr>
        <w:t xml:space="preserve">INFUNDADA </w:t>
      </w:r>
      <w:r w:rsidR="00686FBA" w:rsidRPr="007666BA">
        <w:rPr>
          <w:rFonts w:ascii="Bookman Old Style" w:hAnsi="Bookman Old Style"/>
          <w:sz w:val="24"/>
        </w:rPr>
        <w:t xml:space="preserve">la solicitud de recusación interpuesta por el abogado Dr. MATÍAS SAJONA en contra </w:t>
      </w:r>
      <w:r w:rsidR="00B143A9" w:rsidRPr="007666BA">
        <w:rPr>
          <w:rFonts w:ascii="Bookman Old Style" w:eastAsia="Dotum" w:hAnsi="Bookman Old Style" w:cs="Tahoma"/>
          <w:sz w:val="24"/>
        </w:rPr>
        <w:t>de la operadora judicial del Juzgado Quinto Laboral del Circuito de Pereira, por la causal No. 8 del artículo 141 del Código General del Proceso, por las consideraciones expuestas en la parte motiva.</w:t>
      </w:r>
    </w:p>
    <w:p w14:paraId="61CDCEAD" w14:textId="77777777" w:rsidR="005E743F" w:rsidRPr="007666BA" w:rsidRDefault="005E743F" w:rsidP="007666BA">
      <w:pPr>
        <w:spacing w:line="276" w:lineRule="auto"/>
        <w:jc w:val="both"/>
        <w:rPr>
          <w:rFonts w:ascii="Bookman Old Style" w:eastAsia="Bookman Old Style" w:hAnsi="Bookman Old Style" w:cs="Bookman Old Style"/>
          <w:b/>
          <w:bCs/>
          <w:sz w:val="24"/>
        </w:rPr>
      </w:pPr>
    </w:p>
    <w:p w14:paraId="0F7B0EB8" w14:textId="6D2E805B" w:rsidR="008E1E1D" w:rsidRPr="007666BA" w:rsidRDefault="005E743F" w:rsidP="007666BA">
      <w:pPr>
        <w:pStyle w:val="Textoindependiente"/>
        <w:widowControl w:val="0"/>
        <w:spacing w:line="276" w:lineRule="auto"/>
        <w:rPr>
          <w:rFonts w:ascii="Bookman Old Style" w:hAnsi="Bookman Old Style"/>
          <w:sz w:val="24"/>
        </w:rPr>
      </w:pPr>
      <w:r w:rsidRPr="007666BA">
        <w:rPr>
          <w:rFonts w:ascii="Bookman Old Style" w:eastAsia="Bookman Old Style" w:hAnsi="Bookman Old Style" w:cs="Bookman Old Style"/>
          <w:b/>
          <w:bCs/>
          <w:sz w:val="24"/>
        </w:rPr>
        <w:t>SEGUNDO:</w:t>
      </w:r>
      <w:r w:rsidR="008E1E1D" w:rsidRPr="007666BA">
        <w:rPr>
          <w:rFonts w:ascii="Bookman Old Style" w:eastAsia="Bookman Old Style" w:hAnsi="Bookman Old Style" w:cs="Bookman Old Style"/>
          <w:b/>
          <w:bCs/>
          <w:sz w:val="24"/>
        </w:rPr>
        <w:t xml:space="preserve"> IMPONER</w:t>
      </w:r>
      <w:r w:rsidR="008E1E1D" w:rsidRPr="007666BA">
        <w:rPr>
          <w:rFonts w:ascii="Bookman Old Style" w:hAnsi="Bookman Old Style"/>
          <w:sz w:val="24"/>
        </w:rPr>
        <w:t xml:space="preserve"> multa de cinco (5) salarios mínimos legales mensuales vigentes al apoderado Dr. MATÍAS SAJONA, </w:t>
      </w:r>
      <w:r w:rsidR="004E755E" w:rsidRPr="007666BA">
        <w:rPr>
          <w:rFonts w:ascii="Bookman Old Style" w:eastAsia="Bookman Old Style" w:hAnsi="Bookman Old Style" w:cs="Bookman Old Style"/>
          <w:sz w:val="24"/>
          <w:lang w:val="es"/>
        </w:rPr>
        <w:t>conforme a lo dispuesto en el numeral 1 del artículo 79 y el artículo 147, ambos del CGP.</w:t>
      </w:r>
    </w:p>
    <w:p w14:paraId="488EC2B1" w14:textId="27CFE5AE" w:rsidR="008E1E1D" w:rsidRPr="007666BA" w:rsidRDefault="008E1E1D" w:rsidP="007666BA">
      <w:pPr>
        <w:pStyle w:val="Textoindependiente"/>
        <w:widowControl w:val="0"/>
        <w:spacing w:line="276" w:lineRule="auto"/>
        <w:rPr>
          <w:rFonts w:ascii="Bookman Old Style" w:hAnsi="Bookman Old Style"/>
          <w:sz w:val="24"/>
        </w:rPr>
      </w:pPr>
    </w:p>
    <w:p w14:paraId="415BB321" w14:textId="21E3B0DB" w:rsidR="0062147B" w:rsidRPr="007666BA" w:rsidRDefault="008E1E1D" w:rsidP="007666BA">
      <w:pPr>
        <w:pStyle w:val="Textoindependiente"/>
        <w:widowControl w:val="0"/>
        <w:spacing w:line="276" w:lineRule="auto"/>
        <w:rPr>
          <w:rFonts w:ascii="Bookman Old Style" w:eastAsia="Bookman Old Style" w:hAnsi="Bookman Old Style" w:cs="Bookman Old Style"/>
          <w:bCs/>
          <w:sz w:val="24"/>
        </w:rPr>
      </w:pPr>
      <w:r w:rsidRPr="007666BA">
        <w:rPr>
          <w:rFonts w:ascii="Bookman Old Style" w:hAnsi="Bookman Old Style"/>
          <w:b/>
          <w:sz w:val="24"/>
        </w:rPr>
        <w:t xml:space="preserve">TERCERO: </w:t>
      </w:r>
      <w:r w:rsidRPr="007666BA">
        <w:rPr>
          <w:rFonts w:ascii="Bookman Old Style" w:hAnsi="Bookman Old Style"/>
          <w:b/>
          <w:bCs/>
          <w:sz w:val="24"/>
        </w:rPr>
        <w:t xml:space="preserve">DEVOLVER </w:t>
      </w:r>
      <w:r w:rsidR="00B143A9" w:rsidRPr="007666BA">
        <w:rPr>
          <w:rFonts w:ascii="Bookman Old Style" w:hAnsi="Bookman Old Style"/>
          <w:bCs/>
          <w:sz w:val="24"/>
        </w:rPr>
        <w:t xml:space="preserve">el expediente </w:t>
      </w:r>
      <w:r w:rsidRPr="007666BA">
        <w:rPr>
          <w:rFonts w:ascii="Bookman Old Style" w:hAnsi="Bookman Old Style"/>
          <w:bCs/>
          <w:sz w:val="24"/>
        </w:rPr>
        <w:t>al juzgado de origen</w:t>
      </w:r>
      <w:r w:rsidR="00B143A9" w:rsidRPr="007666BA">
        <w:rPr>
          <w:rFonts w:ascii="Bookman Old Style" w:hAnsi="Bookman Old Style"/>
          <w:bCs/>
          <w:sz w:val="24"/>
        </w:rPr>
        <w:t xml:space="preserve"> para continúe el conocimiento del proceso identificado con número de radicado </w:t>
      </w:r>
      <w:r w:rsidR="00B143A9" w:rsidRPr="007666BA">
        <w:rPr>
          <w:rFonts w:ascii="Bookman Old Style" w:hAnsi="Bookman Old Style"/>
          <w:sz w:val="24"/>
        </w:rPr>
        <w:t>66001310500520220015601 acumulado.</w:t>
      </w:r>
    </w:p>
    <w:p w14:paraId="61CC5F62" w14:textId="77777777" w:rsidR="0062147B" w:rsidRPr="007666BA" w:rsidRDefault="0062147B" w:rsidP="007666BA">
      <w:pPr>
        <w:spacing w:line="276" w:lineRule="auto"/>
        <w:jc w:val="both"/>
        <w:rPr>
          <w:rFonts w:ascii="Bookman Old Style" w:eastAsia="Bookman Old Style" w:hAnsi="Bookman Old Style" w:cs="Bookman Old Style"/>
          <w:b/>
          <w:bCs/>
          <w:sz w:val="24"/>
        </w:rPr>
      </w:pPr>
    </w:p>
    <w:p w14:paraId="57F7752B" w14:textId="59D325CA" w:rsidR="00B143A9" w:rsidRPr="007666BA" w:rsidRDefault="008E1E1D" w:rsidP="007666BA">
      <w:pPr>
        <w:spacing w:line="276" w:lineRule="auto"/>
        <w:jc w:val="both"/>
        <w:rPr>
          <w:rFonts w:ascii="Bookman Old Style" w:eastAsia="Bookman Old Style" w:hAnsi="Bookman Old Style" w:cs="Bookman Old Style"/>
          <w:b/>
          <w:bCs/>
          <w:sz w:val="24"/>
        </w:rPr>
      </w:pPr>
      <w:r w:rsidRPr="007666BA">
        <w:rPr>
          <w:rFonts w:ascii="Bookman Old Style" w:eastAsia="Bookman Old Style" w:hAnsi="Bookman Old Style" w:cs="Bookman Old Style"/>
          <w:b/>
          <w:bCs/>
          <w:sz w:val="24"/>
        </w:rPr>
        <w:t>CUARTO</w:t>
      </w:r>
      <w:r w:rsidR="0062147B" w:rsidRPr="007666BA">
        <w:rPr>
          <w:rFonts w:ascii="Bookman Old Style" w:eastAsia="Bookman Old Style" w:hAnsi="Bookman Old Style" w:cs="Bookman Old Style"/>
          <w:b/>
          <w:bCs/>
          <w:sz w:val="24"/>
        </w:rPr>
        <w:t xml:space="preserve">: </w:t>
      </w:r>
      <w:r w:rsidR="00B143A9" w:rsidRPr="007666BA">
        <w:rPr>
          <w:rFonts w:ascii="Bookman Old Style" w:eastAsia="Bookman Old Style" w:hAnsi="Bookman Old Style" w:cs="Bookman Old Style"/>
          <w:bCs/>
          <w:sz w:val="24"/>
        </w:rPr>
        <w:t>Sin recursos</w:t>
      </w:r>
      <w:r w:rsidRPr="007666BA">
        <w:rPr>
          <w:rFonts w:ascii="Bookman Old Style" w:eastAsia="Bookman Old Style" w:hAnsi="Bookman Old Style" w:cs="Bookman Old Style"/>
          <w:bCs/>
          <w:sz w:val="24"/>
        </w:rPr>
        <w:t xml:space="preserve"> contra esta decisión</w:t>
      </w:r>
      <w:r w:rsidR="00B143A9" w:rsidRPr="007666BA">
        <w:rPr>
          <w:rFonts w:ascii="Bookman Old Style" w:eastAsia="Bookman Old Style" w:hAnsi="Bookman Old Style" w:cs="Bookman Old Style"/>
          <w:bCs/>
          <w:sz w:val="24"/>
        </w:rPr>
        <w:t>.</w:t>
      </w:r>
    </w:p>
    <w:p w14:paraId="7640CFC4" w14:textId="77777777" w:rsidR="00B143A9" w:rsidRPr="007666BA" w:rsidRDefault="00B143A9" w:rsidP="007666BA">
      <w:pPr>
        <w:spacing w:line="276" w:lineRule="auto"/>
        <w:jc w:val="both"/>
        <w:rPr>
          <w:rFonts w:ascii="Bookman Old Style" w:eastAsia="Bookman Old Style" w:hAnsi="Bookman Old Style" w:cs="Bookman Old Style"/>
          <w:b/>
          <w:bCs/>
          <w:sz w:val="24"/>
        </w:rPr>
      </w:pPr>
    </w:p>
    <w:p w14:paraId="62BF6E02" w14:textId="77777777" w:rsidR="000F1056" w:rsidRPr="007666BA" w:rsidRDefault="00CF79F1" w:rsidP="007666BA">
      <w:pPr>
        <w:pStyle w:val="Textoindependiente"/>
        <w:spacing w:line="276" w:lineRule="auto"/>
        <w:jc w:val="center"/>
        <w:rPr>
          <w:rFonts w:ascii="Bookman Old Style" w:eastAsia="Dotum" w:hAnsi="Bookman Old Style" w:cs="Tahoma"/>
          <w:b/>
          <w:sz w:val="24"/>
        </w:rPr>
      </w:pPr>
      <w:r w:rsidRPr="007666BA">
        <w:rPr>
          <w:rFonts w:ascii="Bookman Old Style" w:eastAsia="Dotum" w:hAnsi="Bookman Old Style" w:cs="Tahoma"/>
          <w:b/>
          <w:sz w:val="24"/>
        </w:rPr>
        <w:t>NOTIFÍQUESE Y CÚMPLASE.</w:t>
      </w:r>
    </w:p>
    <w:p w14:paraId="1E96CE21" w14:textId="77777777" w:rsidR="007666BA" w:rsidRPr="007666BA" w:rsidRDefault="007666BA" w:rsidP="007666BA">
      <w:pPr>
        <w:spacing w:line="276" w:lineRule="auto"/>
        <w:jc w:val="both"/>
        <w:rPr>
          <w:rFonts w:ascii="Bookman Old Style" w:eastAsia="Century Gothic" w:hAnsi="Bookman Old Style" w:cs="Arial"/>
          <w:color w:val="000000"/>
          <w:kern w:val="2"/>
          <w:sz w:val="24"/>
          <w:lang w:val="es-CO" w:eastAsia="en-US"/>
        </w:rPr>
      </w:pPr>
    </w:p>
    <w:p w14:paraId="1A6E850F" w14:textId="77777777" w:rsidR="007666BA" w:rsidRPr="007666BA" w:rsidRDefault="007666BA" w:rsidP="007666BA">
      <w:pPr>
        <w:spacing w:line="276" w:lineRule="auto"/>
        <w:jc w:val="both"/>
        <w:rPr>
          <w:rFonts w:ascii="Bookman Old Style" w:eastAsia="Arial Unicode MS" w:hAnsi="Bookman Old Style" w:cs="Arial"/>
          <w:color w:val="000000"/>
          <w:kern w:val="2"/>
          <w:sz w:val="24"/>
          <w:lang w:val="es-CO" w:eastAsia="en-US"/>
        </w:rPr>
      </w:pPr>
      <w:r w:rsidRPr="007666BA">
        <w:rPr>
          <w:rFonts w:ascii="Bookman Old Style" w:eastAsia="Century Gothic" w:hAnsi="Bookman Old Style" w:cs="Arial"/>
          <w:color w:val="000000"/>
          <w:kern w:val="2"/>
          <w:sz w:val="24"/>
          <w:lang w:val="es-CO" w:eastAsia="en-US"/>
        </w:rPr>
        <w:t>Los Magistrados</w:t>
      </w:r>
      <w:r w:rsidRPr="007666BA">
        <w:rPr>
          <w:rFonts w:ascii="Bookman Old Style" w:eastAsia="Arial Unicode MS" w:hAnsi="Bookman Old Style" w:cs="Arial"/>
          <w:color w:val="000000"/>
          <w:kern w:val="2"/>
          <w:sz w:val="24"/>
          <w:lang w:val="es-CO" w:eastAsia="en-US"/>
        </w:rPr>
        <w:t>,</w:t>
      </w:r>
    </w:p>
    <w:p w14:paraId="1CF3455A" w14:textId="77777777" w:rsidR="007666BA" w:rsidRPr="007666BA" w:rsidRDefault="007666BA" w:rsidP="007666BA">
      <w:pPr>
        <w:spacing w:line="276" w:lineRule="auto"/>
        <w:jc w:val="both"/>
        <w:rPr>
          <w:rFonts w:ascii="Bookman Old Style" w:eastAsia="Arial Unicode MS" w:hAnsi="Bookman Old Style" w:cs="Arial"/>
          <w:color w:val="000000"/>
          <w:kern w:val="2"/>
          <w:sz w:val="24"/>
          <w:lang w:val="es-CO" w:eastAsia="en-US"/>
        </w:rPr>
      </w:pPr>
    </w:p>
    <w:p w14:paraId="3BB84A50" w14:textId="77777777" w:rsidR="007666BA" w:rsidRPr="007666BA" w:rsidRDefault="007666BA" w:rsidP="007666BA">
      <w:pPr>
        <w:spacing w:line="276" w:lineRule="auto"/>
        <w:jc w:val="both"/>
        <w:rPr>
          <w:rFonts w:ascii="Bookman Old Style" w:eastAsia="Arial Unicode MS" w:hAnsi="Bookman Old Style" w:cs="Arial"/>
          <w:color w:val="000000"/>
          <w:kern w:val="2"/>
          <w:sz w:val="24"/>
          <w:lang w:val="es-CO" w:eastAsia="en-US"/>
        </w:rPr>
      </w:pPr>
    </w:p>
    <w:p w14:paraId="2807B6E1" w14:textId="77777777" w:rsidR="007666BA" w:rsidRPr="007666BA" w:rsidRDefault="007666BA" w:rsidP="007666BA">
      <w:pPr>
        <w:spacing w:line="276" w:lineRule="auto"/>
        <w:jc w:val="center"/>
        <w:rPr>
          <w:rFonts w:ascii="Bookman Old Style" w:eastAsia="Arial Unicode MS" w:hAnsi="Bookman Old Style" w:cs="Arial"/>
          <w:b/>
          <w:bCs/>
          <w:color w:val="000000"/>
          <w:kern w:val="2"/>
          <w:sz w:val="24"/>
          <w:lang w:val="es-CO" w:eastAsia="en-US"/>
        </w:rPr>
      </w:pPr>
      <w:r w:rsidRPr="007666BA">
        <w:rPr>
          <w:rFonts w:ascii="Bookman Old Style" w:eastAsia="Arial Unicode MS" w:hAnsi="Bookman Old Style" w:cs="Arial"/>
          <w:b/>
          <w:bCs/>
          <w:color w:val="000000"/>
          <w:kern w:val="2"/>
          <w:sz w:val="24"/>
          <w:lang w:val="es-CO" w:eastAsia="en-US"/>
        </w:rPr>
        <w:t xml:space="preserve">GERMÁN DARÍO </w:t>
      </w:r>
      <w:proofErr w:type="spellStart"/>
      <w:r w:rsidRPr="007666BA">
        <w:rPr>
          <w:rFonts w:ascii="Bookman Old Style" w:eastAsia="Arial Unicode MS" w:hAnsi="Bookman Old Style" w:cs="Arial"/>
          <w:b/>
          <w:bCs/>
          <w:color w:val="000000"/>
          <w:kern w:val="2"/>
          <w:sz w:val="24"/>
          <w:lang w:val="es-CO" w:eastAsia="en-US"/>
        </w:rPr>
        <w:t>GÓEZ</w:t>
      </w:r>
      <w:proofErr w:type="spellEnd"/>
      <w:r w:rsidRPr="007666BA">
        <w:rPr>
          <w:rFonts w:ascii="Bookman Old Style" w:eastAsia="Arial Unicode MS" w:hAnsi="Bookman Old Style" w:cs="Arial"/>
          <w:b/>
          <w:bCs/>
          <w:color w:val="000000"/>
          <w:kern w:val="2"/>
          <w:sz w:val="24"/>
          <w:lang w:val="es-CO" w:eastAsia="en-US"/>
        </w:rPr>
        <w:t xml:space="preserve"> </w:t>
      </w:r>
      <w:proofErr w:type="spellStart"/>
      <w:r w:rsidRPr="007666BA">
        <w:rPr>
          <w:rFonts w:ascii="Bookman Old Style" w:eastAsia="Arial Unicode MS" w:hAnsi="Bookman Old Style" w:cs="Arial"/>
          <w:b/>
          <w:bCs/>
          <w:color w:val="000000"/>
          <w:kern w:val="2"/>
          <w:sz w:val="24"/>
          <w:lang w:val="es-CO" w:eastAsia="en-US"/>
        </w:rPr>
        <w:t>VINASCO</w:t>
      </w:r>
      <w:proofErr w:type="spellEnd"/>
    </w:p>
    <w:p w14:paraId="4AFFAB15" w14:textId="77777777" w:rsidR="007666BA" w:rsidRPr="007666BA" w:rsidRDefault="007666BA" w:rsidP="007666BA">
      <w:pPr>
        <w:spacing w:line="276" w:lineRule="auto"/>
        <w:jc w:val="center"/>
        <w:rPr>
          <w:rFonts w:ascii="Bookman Old Style" w:eastAsia="Arial Unicode MS" w:hAnsi="Bookman Old Style" w:cs="Arial"/>
          <w:color w:val="000000"/>
          <w:kern w:val="2"/>
          <w:sz w:val="24"/>
          <w:lang w:val="es-CO" w:eastAsia="en-US"/>
        </w:rPr>
      </w:pPr>
      <w:r w:rsidRPr="007666BA">
        <w:rPr>
          <w:rFonts w:ascii="Bookman Old Style" w:eastAsia="Arial Unicode MS" w:hAnsi="Bookman Old Style" w:cs="Arial"/>
          <w:color w:val="000000"/>
          <w:kern w:val="2"/>
          <w:sz w:val="24"/>
          <w:lang w:val="es-CO" w:eastAsia="en-US"/>
        </w:rPr>
        <w:t>Magistrado ponente</w:t>
      </w:r>
    </w:p>
    <w:p w14:paraId="4D531A32" w14:textId="77777777" w:rsidR="007666BA" w:rsidRPr="007666BA" w:rsidRDefault="007666BA" w:rsidP="007666BA">
      <w:pPr>
        <w:spacing w:line="276" w:lineRule="auto"/>
        <w:jc w:val="both"/>
        <w:rPr>
          <w:rFonts w:ascii="Bookman Old Style" w:eastAsia="Arial Unicode MS" w:hAnsi="Bookman Old Style" w:cs="Arial"/>
          <w:color w:val="000000"/>
          <w:kern w:val="2"/>
          <w:sz w:val="24"/>
          <w:lang w:val="es-CO" w:eastAsia="en-US"/>
        </w:rPr>
      </w:pPr>
    </w:p>
    <w:p w14:paraId="0820DAA4" w14:textId="77777777" w:rsidR="007666BA" w:rsidRPr="007666BA" w:rsidRDefault="007666BA" w:rsidP="007666BA">
      <w:pPr>
        <w:spacing w:line="276" w:lineRule="auto"/>
        <w:jc w:val="both"/>
        <w:rPr>
          <w:rFonts w:ascii="Bookman Old Style" w:eastAsia="Arial Unicode MS" w:hAnsi="Bookman Old Style" w:cs="Arial"/>
          <w:color w:val="000000"/>
          <w:kern w:val="2"/>
          <w:sz w:val="24"/>
          <w:lang w:val="es-CO" w:eastAsia="en-US"/>
        </w:rPr>
      </w:pPr>
    </w:p>
    <w:p w14:paraId="6F707D52" w14:textId="77777777" w:rsidR="007666BA" w:rsidRPr="007666BA" w:rsidRDefault="007666BA" w:rsidP="007666BA">
      <w:pPr>
        <w:spacing w:line="276" w:lineRule="auto"/>
        <w:jc w:val="center"/>
        <w:rPr>
          <w:rFonts w:ascii="Bookman Old Style" w:eastAsia="Arial Unicode MS" w:hAnsi="Bookman Old Style" w:cs="Arial"/>
          <w:b/>
          <w:bCs/>
          <w:color w:val="000000"/>
          <w:kern w:val="2"/>
          <w:sz w:val="24"/>
          <w:lang w:val="es-CO" w:eastAsia="en-US"/>
        </w:rPr>
      </w:pPr>
      <w:r w:rsidRPr="007666BA">
        <w:rPr>
          <w:rFonts w:ascii="Bookman Old Style" w:eastAsia="Arial Unicode MS" w:hAnsi="Bookman Old Style" w:cs="Arial"/>
          <w:b/>
          <w:bCs/>
          <w:color w:val="000000"/>
          <w:kern w:val="2"/>
          <w:sz w:val="24"/>
          <w:lang w:val="es-CO" w:eastAsia="en-US"/>
        </w:rPr>
        <w:t>OLGA LUCIA HOYOS SEPÚLVEDA</w:t>
      </w:r>
    </w:p>
    <w:p w14:paraId="4984B863" w14:textId="77777777" w:rsidR="007666BA" w:rsidRPr="007666BA" w:rsidRDefault="007666BA" w:rsidP="007666BA">
      <w:pPr>
        <w:spacing w:line="276" w:lineRule="auto"/>
        <w:jc w:val="center"/>
        <w:rPr>
          <w:rFonts w:ascii="Bookman Old Style" w:eastAsia="Arial Unicode MS" w:hAnsi="Bookman Old Style" w:cs="Arial"/>
          <w:color w:val="000000"/>
          <w:kern w:val="2"/>
          <w:sz w:val="24"/>
          <w:lang w:val="es-CO" w:eastAsia="en-US"/>
        </w:rPr>
      </w:pPr>
      <w:r w:rsidRPr="007666BA">
        <w:rPr>
          <w:rFonts w:ascii="Bookman Old Style" w:eastAsia="Arial Unicode MS" w:hAnsi="Bookman Old Style" w:cs="Arial"/>
          <w:color w:val="000000"/>
          <w:kern w:val="2"/>
          <w:sz w:val="24"/>
          <w:lang w:val="es-CO" w:eastAsia="en-US"/>
        </w:rPr>
        <w:t xml:space="preserve">Magistrada </w:t>
      </w:r>
    </w:p>
    <w:p w14:paraId="03A282B6" w14:textId="77777777" w:rsidR="007666BA" w:rsidRPr="007666BA" w:rsidRDefault="007666BA" w:rsidP="007666BA">
      <w:pPr>
        <w:spacing w:line="276" w:lineRule="auto"/>
        <w:jc w:val="center"/>
        <w:rPr>
          <w:rFonts w:ascii="Bookman Old Style" w:eastAsia="Arial Unicode MS" w:hAnsi="Bookman Old Style" w:cs="Arial"/>
          <w:b/>
          <w:bCs/>
          <w:color w:val="000000"/>
          <w:kern w:val="2"/>
          <w:sz w:val="24"/>
          <w:lang w:val="es-CO" w:eastAsia="en-US"/>
        </w:rPr>
      </w:pPr>
    </w:p>
    <w:p w14:paraId="0C7D444E" w14:textId="77777777" w:rsidR="007666BA" w:rsidRPr="007666BA" w:rsidRDefault="007666BA" w:rsidP="007666BA">
      <w:pPr>
        <w:spacing w:line="276" w:lineRule="auto"/>
        <w:jc w:val="center"/>
        <w:rPr>
          <w:rFonts w:ascii="Bookman Old Style" w:eastAsia="Arial Unicode MS" w:hAnsi="Bookman Old Style" w:cs="Arial"/>
          <w:b/>
          <w:bCs/>
          <w:color w:val="000000"/>
          <w:kern w:val="2"/>
          <w:sz w:val="24"/>
          <w:lang w:val="es-CO" w:eastAsia="en-US"/>
        </w:rPr>
      </w:pPr>
    </w:p>
    <w:p w14:paraId="3CB2230D" w14:textId="77777777" w:rsidR="007666BA" w:rsidRPr="007666BA" w:rsidRDefault="007666BA" w:rsidP="007666BA">
      <w:pPr>
        <w:spacing w:line="276" w:lineRule="auto"/>
        <w:jc w:val="center"/>
        <w:rPr>
          <w:rFonts w:ascii="Bookman Old Style" w:eastAsia="Arial Unicode MS" w:hAnsi="Bookman Old Style" w:cs="Arial"/>
          <w:b/>
          <w:bCs/>
          <w:color w:val="000000"/>
          <w:kern w:val="2"/>
          <w:sz w:val="24"/>
          <w:lang w:val="es-CO" w:eastAsia="en-US"/>
        </w:rPr>
      </w:pPr>
      <w:r w:rsidRPr="007666BA">
        <w:rPr>
          <w:rFonts w:ascii="Bookman Old Style" w:eastAsia="Arial Unicode MS" w:hAnsi="Bookman Old Style" w:cs="Arial"/>
          <w:b/>
          <w:bCs/>
          <w:color w:val="000000"/>
          <w:kern w:val="2"/>
          <w:sz w:val="24"/>
          <w:lang w:val="es-CO" w:eastAsia="en-US"/>
        </w:rPr>
        <w:t>JULIO CÉSAR SALAZAR MUÑOZ</w:t>
      </w:r>
    </w:p>
    <w:p w14:paraId="36E901F4" w14:textId="55625384" w:rsidR="00E30958" w:rsidRPr="007666BA" w:rsidRDefault="007666BA" w:rsidP="007666BA">
      <w:pPr>
        <w:spacing w:line="276" w:lineRule="auto"/>
        <w:jc w:val="center"/>
        <w:rPr>
          <w:rFonts w:ascii="Bookman Old Style" w:eastAsia="Century Gothic" w:hAnsi="Bookman Old Style" w:cs="Arial"/>
          <w:b/>
          <w:bCs/>
          <w:color w:val="000000"/>
          <w:kern w:val="2"/>
          <w:sz w:val="24"/>
          <w:lang w:val="es-CO" w:eastAsia="en-US"/>
        </w:rPr>
      </w:pPr>
      <w:r w:rsidRPr="007666BA">
        <w:rPr>
          <w:rFonts w:ascii="Bookman Old Style" w:eastAsia="Arial Unicode MS" w:hAnsi="Bookman Old Style" w:cs="Arial"/>
          <w:color w:val="000000"/>
          <w:kern w:val="2"/>
          <w:sz w:val="24"/>
          <w:lang w:val="es-CO" w:eastAsia="en-US"/>
        </w:rPr>
        <w:t>Magistrado</w:t>
      </w:r>
    </w:p>
    <w:sectPr w:rsidR="00E30958" w:rsidRPr="007666BA" w:rsidSect="00BC25BE">
      <w:footerReference w:type="default" r:id="rId12"/>
      <w:pgSz w:w="12242" w:h="18722" w:code="258"/>
      <w:pgMar w:top="1814" w:right="1247" w:bottom="1247" w:left="1814" w:header="567" w:footer="567" w:gutter="0"/>
      <w:cols w:space="708"/>
      <w:titlePg/>
      <w:docGrid w:linePitch="38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60669D" w16cex:dateUtc="2021-05-24T19:59:13.568Z"/>
  <w16cex:commentExtensible w16cex:durableId="368F354A" w16cex:dateUtc="2021-05-07T19:06:41.284Z"/>
  <w16cex:commentExtensible w16cex:durableId="156C932D" w16cex:dateUtc="2021-05-24T14:40:14.945Z"/>
  <w16cex:commentExtensible w16cex:durableId="1FC3C285" w16cex:dateUtc="2021-05-24T20:00:49.811Z"/>
  <w16cex:commentExtensible w16cex:durableId="5EA35DDA" w16cex:dateUtc="2021-05-24T20:01:07.874Z"/>
  <w16cex:commentExtensible w16cex:durableId="25BB76CA" w16cex:dateUtc="2021-05-24T20:02:02.476Z"/>
  <w16cex:commentExtensible w16cex:durableId="2D351C73" w16cex:dateUtc="2021-05-24T20:02:54.507Z"/>
  <w16cex:commentExtensible w16cex:durableId="6E026F9F" w16cex:dateUtc="2021-05-24T20:04:06.789Z"/>
  <w16cex:commentExtensible w16cex:durableId="159B23AE" w16cex:dateUtc="2021-05-24T20:52:40.629Z"/>
  <w16cex:commentExtensible w16cex:durableId="4EBC6CD7" w16cex:dateUtc="2021-05-24T21:05:45.3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5F2F9" w14:textId="77777777" w:rsidR="00BF5988" w:rsidRDefault="00BF5988">
      <w:r>
        <w:separator/>
      </w:r>
    </w:p>
  </w:endnote>
  <w:endnote w:type="continuationSeparator" w:id="0">
    <w:p w14:paraId="3F0BD156" w14:textId="77777777" w:rsidR="00BF5988" w:rsidRDefault="00BF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73041546"/>
      <w:docPartObj>
        <w:docPartGallery w:val="Page Numbers (Bottom of Page)"/>
        <w:docPartUnique/>
      </w:docPartObj>
    </w:sdtPr>
    <w:sdtEndPr/>
    <w:sdtContent>
      <w:sdt>
        <w:sdtPr>
          <w:rPr>
            <w:rFonts w:ascii="Arial" w:hAnsi="Arial" w:cs="Arial"/>
          </w:rPr>
          <w:id w:val="1495379701"/>
          <w:docPartObj>
            <w:docPartGallery w:val="Page Numbers (Top of Page)"/>
            <w:docPartUnique/>
          </w:docPartObj>
        </w:sdtPr>
        <w:sdtEndPr/>
        <w:sdtContent>
          <w:p w14:paraId="6862F9F7" w14:textId="63BE5CBA" w:rsidR="00F001AB" w:rsidRPr="001E0466" w:rsidRDefault="00F001AB">
            <w:pPr>
              <w:pStyle w:val="Piedepgina"/>
              <w:jc w:val="right"/>
              <w:rPr>
                <w:rFonts w:ascii="Arial" w:hAnsi="Arial" w:cs="Arial"/>
              </w:rPr>
            </w:pPr>
            <w:r w:rsidRPr="001E0466">
              <w:rPr>
                <w:rFonts w:ascii="Arial" w:hAnsi="Arial" w:cs="Arial"/>
                <w:sz w:val="18"/>
                <w:szCs w:val="18"/>
              </w:rPr>
              <w:t xml:space="preserve">Página </w:t>
            </w:r>
            <w:r w:rsidRPr="001E0466">
              <w:rPr>
                <w:rFonts w:ascii="Arial" w:hAnsi="Arial" w:cs="Arial"/>
                <w:bCs/>
                <w:color w:val="2B579A"/>
                <w:sz w:val="18"/>
                <w:szCs w:val="18"/>
                <w:shd w:val="clear" w:color="auto" w:fill="E6E6E6"/>
              </w:rPr>
              <w:fldChar w:fldCharType="begin"/>
            </w:r>
            <w:r w:rsidRPr="001E0466">
              <w:rPr>
                <w:rFonts w:ascii="Arial" w:hAnsi="Arial" w:cs="Arial"/>
                <w:bCs/>
                <w:sz w:val="18"/>
                <w:szCs w:val="18"/>
              </w:rPr>
              <w:instrText>PAGE</w:instrText>
            </w:r>
            <w:r w:rsidRPr="001E0466">
              <w:rPr>
                <w:rFonts w:ascii="Arial" w:hAnsi="Arial" w:cs="Arial"/>
                <w:bCs/>
                <w:color w:val="2B579A"/>
                <w:sz w:val="18"/>
                <w:szCs w:val="18"/>
                <w:shd w:val="clear" w:color="auto" w:fill="E6E6E6"/>
              </w:rPr>
              <w:fldChar w:fldCharType="separate"/>
            </w:r>
            <w:r w:rsidR="00BC25BE">
              <w:rPr>
                <w:rFonts w:ascii="Arial" w:hAnsi="Arial" w:cs="Arial"/>
                <w:bCs/>
                <w:noProof/>
                <w:sz w:val="18"/>
                <w:szCs w:val="18"/>
              </w:rPr>
              <w:t>2</w:t>
            </w:r>
            <w:r w:rsidRPr="001E0466">
              <w:rPr>
                <w:rFonts w:ascii="Arial" w:hAnsi="Arial" w:cs="Arial"/>
                <w:bCs/>
                <w:color w:val="2B579A"/>
                <w:sz w:val="18"/>
                <w:szCs w:val="18"/>
                <w:shd w:val="clear" w:color="auto" w:fill="E6E6E6"/>
              </w:rPr>
              <w:fldChar w:fldCharType="end"/>
            </w:r>
            <w:r w:rsidRPr="001E0466">
              <w:rPr>
                <w:rFonts w:ascii="Arial" w:hAnsi="Arial" w:cs="Arial"/>
                <w:sz w:val="18"/>
                <w:szCs w:val="18"/>
              </w:rPr>
              <w:t xml:space="preserve"> de </w:t>
            </w:r>
            <w:r w:rsidRPr="001E0466">
              <w:rPr>
                <w:rFonts w:ascii="Arial" w:hAnsi="Arial" w:cs="Arial"/>
                <w:bCs/>
                <w:color w:val="2B579A"/>
                <w:sz w:val="18"/>
                <w:szCs w:val="18"/>
                <w:shd w:val="clear" w:color="auto" w:fill="E6E6E6"/>
              </w:rPr>
              <w:fldChar w:fldCharType="begin"/>
            </w:r>
            <w:r w:rsidRPr="001E0466">
              <w:rPr>
                <w:rFonts w:ascii="Arial" w:hAnsi="Arial" w:cs="Arial"/>
                <w:bCs/>
                <w:sz w:val="18"/>
                <w:szCs w:val="18"/>
              </w:rPr>
              <w:instrText>NUMPAGES</w:instrText>
            </w:r>
            <w:r w:rsidRPr="001E0466">
              <w:rPr>
                <w:rFonts w:ascii="Arial" w:hAnsi="Arial" w:cs="Arial"/>
                <w:bCs/>
                <w:color w:val="2B579A"/>
                <w:sz w:val="18"/>
                <w:szCs w:val="18"/>
                <w:shd w:val="clear" w:color="auto" w:fill="E6E6E6"/>
              </w:rPr>
              <w:fldChar w:fldCharType="separate"/>
            </w:r>
            <w:r w:rsidR="00BC25BE">
              <w:rPr>
                <w:rFonts w:ascii="Arial" w:hAnsi="Arial" w:cs="Arial"/>
                <w:bCs/>
                <w:noProof/>
                <w:sz w:val="18"/>
                <w:szCs w:val="18"/>
              </w:rPr>
              <w:t>9</w:t>
            </w:r>
            <w:r w:rsidRPr="001E0466">
              <w:rPr>
                <w:rFonts w:ascii="Arial" w:hAnsi="Arial" w:cs="Arial"/>
                <w:bCs/>
                <w:color w:val="2B579A"/>
                <w:sz w:val="18"/>
                <w:szCs w:val="18"/>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C15BE" w14:textId="77777777" w:rsidR="00BF5988" w:rsidRDefault="00BF5988">
      <w:r>
        <w:separator/>
      </w:r>
    </w:p>
  </w:footnote>
  <w:footnote w:type="continuationSeparator" w:id="0">
    <w:p w14:paraId="3D342C80" w14:textId="77777777" w:rsidR="00BF5988" w:rsidRDefault="00BF5988">
      <w:r>
        <w:continuationSeparator/>
      </w:r>
    </w:p>
  </w:footnote>
  <w:footnote w:id="1">
    <w:p w14:paraId="3E988141" w14:textId="48350C1E" w:rsidR="00FB7FF6" w:rsidRPr="001E0466" w:rsidRDefault="00FB7FF6" w:rsidP="001E0466">
      <w:pPr>
        <w:pStyle w:val="Textonotapie"/>
        <w:jc w:val="both"/>
        <w:rPr>
          <w:rFonts w:ascii="Arial" w:hAnsi="Arial" w:cs="Arial"/>
          <w:i/>
          <w:sz w:val="18"/>
        </w:rPr>
      </w:pPr>
      <w:r w:rsidRPr="001E0466">
        <w:rPr>
          <w:rStyle w:val="Refdenotaalpie"/>
          <w:rFonts w:ascii="Arial" w:hAnsi="Arial" w:cs="Arial"/>
          <w:sz w:val="18"/>
        </w:rPr>
        <w:footnoteRef/>
      </w:r>
      <w:r w:rsidRPr="001E0466">
        <w:rPr>
          <w:rFonts w:ascii="Arial" w:hAnsi="Arial" w:cs="Arial"/>
          <w:sz w:val="18"/>
        </w:rPr>
        <w:t xml:space="preserve"> Pág.</w:t>
      </w:r>
      <w:r w:rsidR="007A512B">
        <w:rPr>
          <w:rFonts w:ascii="Arial" w:hAnsi="Arial" w:cs="Arial"/>
          <w:sz w:val="18"/>
        </w:rPr>
        <w:t xml:space="preserve"> </w:t>
      </w:r>
      <w:r w:rsidRPr="001E0466">
        <w:rPr>
          <w:rFonts w:ascii="Arial" w:hAnsi="Arial" w:cs="Arial"/>
          <w:sz w:val="18"/>
        </w:rPr>
        <w:t>230, Libro: “</w:t>
      </w:r>
      <w:r w:rsidRPr="001E0466">
        <w:rPr>
          <w:rFonts w:ascii="Arial" w:hAnsi="Arial" w:cs="Arial"/>
          <w:i/>
          <w:sz w:val="18"/>
        </w:rPr>
        <w:t xml:space="preserve">Derecho Procesal Civil General” </w:t>
      </w:r>
      <w:r w:rsidRPr="001E0466">
        <w:rPr>
          <w:rFonts w:ascii="Arial" w:hAnsi="Arial" w:cs="Arial"/>
          <w:sz w:val="18"/>
        </w:rPr>
        <w:t>2021.  Universidad Externado de Colombia.</w:t>
      </w:r>
    </w:p>
  </w:footnote>
  <w:footnote w:id="2">
    <w:p w14:paraId="35FE8C1D" w14:textId="2ED720C3" w:rsidR="00F001AB" w:rsidRPr="001E0466" w:rsidRDefault="00F001AB" w:rsidP="001E0466">
      <w:pPr>
        <w:pStyle w:val="Textonotapie"/>
        <w:jc w:val="both"/>
        <w:rPr>
          <w:rFonts w:ascii="Arial" w:hAnsi="Arial" w:cs="Arial"/>
          <w:sz w:val="18"/>
        </w:rPr>
      </w:pPr>
      <w:r w:rsidRPr="001E0466">
        <w:rPr>
          <w:rStyle w:val="Refdenotaalpie"/>
          <w:rFonts w:ascii="Arial" w:hAnsi="Arial" w:cs="Arial"/>
          <w:sz w:val="18"/>
        </w:rPr>
        <w:footnoteRef/>
      </w:r>
      <w:r w:rsidRPr="001E0466">
        <w:rPr>
          <w:rFonts w:ascii="Arial" w:hAnsi="Arial" w:cs="Arial"/>
          <w:sz w:val="18"/>
        </w:rPr>
        <w:t xml:space="preserve"> Abogado de la Universidad Externado de Colombia, Especialista en Derecho Procesal Civil y Magíster en Responsabilidad Civil de la misma Universidad. Actualmente se desempeña como profesor titular de Derecho Procesal Civil General en segundo año de Derecho en la Universidad Externado de Colombia y como profesor de varios posgrados en dicha casa de estudios. Miembro de la Comisión Asesora y Revisora del Proyecto de Código General de Proceso, creada por el Gobierno Nacional mediante Resolución 0016 de 16 de enero de 2012, expedida por el Ministerio de Justicia y del Derecho. Miembro del Instituto Colombiano de Derecho Procesal. Abogado litigante. Miembro de la lista de árbitros y de secretarios del Centro de Arbitraje y Conciliación de la Cámara de Comercio de Bogotá. </w:t>
      </w:r>
      <w:proofErr w:type="spellStart"/>
      <w:r w:rsidRPr="001E0466">
        <w:rPr>
          <w:rFonts w:ascii="Arial" w:hAnsi="Arial" w:cs="Arial"/>
          <w:sz w:val="18"/>
        </w:rPr>
        <w:t>CvLAC</w:t>
      </w:r>
      <w:proofErr w:type="spellEnd"/>
      <w:r w:rsidRPr="001E0466">
        <w:rPr>
          <w:rFonts w:ascii="Arial" w:hAnsi="Arial" w:cs="Arial"/>
          <w:sz w:val="18"/>
        </w:rPr>
        <w:t>.</w:t>
      </w:r>
      <w:r w:rsidR="005538B3" w:rsidRPr="001E0466">
        <w:rPr>
          <w:rFonts w:ascii="Arial" w:hAnsi="Arial" w:cs="Arial"/>
          <w:sz w:val="18"/>
        </w:rPr>
        <w:t xml:space="preserve"> Tomado de: https://procesal.uexternado.edu.co/nomina/henry-sanabria-santos/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97263"/>
    <w:multiLevelType w:val="hybridMultilevel"/>
    <w:tmpl w:val="EF067984"/>
    <w:lvl w:ilvl="0" w:tplc="3B5213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7949B4"/>
    <w:multiLevelType w:val="hybridMultilevel"/>
    <w:tmpl w:val="926E1986"/>
    <w:lvl w:ilvl="0" w:tplc="63F8A7B6">
      <w:start w:val="1"/>
      <w:numFmt w:val="upperRoman"/>
      <w:lvlText w:val="%1."/>
      <w:lvlJc w:val="left"/>
      <w:pPr>
        <w:ind w:left="1080" w:hanging="720"/>
      </w:pPr>
      <w:rPr>
        <w:rFonts w:ascii="Bookman Old Style" w:eastAsia="Dotum" w:hAnsi="Bookman Old Style" w:cs="Tahoma"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71B119B"/>
    <w:multiLevelType w:val="hybridMultilevel"/>
    <w:tmpl w:val="4FFCE5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FFF54CA"/>
    <w:multiLevelType w:val="hybridMultilevel"/>
    <w:tmpl w:val="FD90444A"/>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56"/>
    <w:rsid w:val="000061D4"/>
    <w:rsid w:val="00013AB7"/>
    <w:rsid w:val="000321E4"/>
    <w:rsid w:val="00034E18"/>
    <w:rsid w:val="0007377E"/>
    <w:rsid w:val="000857A5"/>
    <w:rsid w:val="000914EE"/>
    <w:rsid w:val="000918EA"/>
    <w:rsid w:val="000B0862"/>
    <w:rsid w:val="000B3E34"/>
    <w:rsid w:val="000E3139"/>
    <w:rsid w:val="000F1056"/>
    <w:rsid w:val="00110DF4"/>
    <w:rsid w:val="0011314F"/>
    <w:rsid w:val="001163D8"/>
    <w:rsid w:val="00117CF3"/>
    <w:rsid w:val="00130E91"/>
    <w:rsid w:val="00133288"/>
    <w:rsid w:val="00141070"/>
    <w:rsid w:val="00164D84"/>
    <w:rsid w:val="00196B65"/>
    <w:rsid w:val="001A6B3D"/>
    <w:rsid w:val="001B67BF"/>
    <w:rsid w:val="001C44F6"/>
    <w:rsid w:val="001D12AD"/>
    <w:rsid w:val="001E0466"/>
    <w:rsid w:val="00227B4C"/>
    <w:rsid w:val="00227D55"/>
    <w:rsid w:val="00230E10"/>
    <w:rsid w:val="00253193"/>
    <w:rsid w:val="002577E8"/>
    <w:rsid w:val="00275E74"/>
    <w:rsid w:val="00285A1C"/>
    <w:rsid w:val="002D05A9"/>
    <w:rsid w:val="002E5EA4"/>
    <w:rsid w:val="00307DD9"/>
    <w:rsid w:val="00327F40"/>
    <w:rsid w:val="00341458"/>
    <w:rsid w:val="00350B0E"/>
    <w:rsid w:val="003543B4"/>
    <w:rsid w:val="003668AE"/>
    <w:rsid w:val="00397A6A"/>
    <w:rsid w:val="003A5103"/>
    <w:rsid w:val="003C0A4D"/>
    <w:rsid w:val="003C0CA5"/>
    <w:rsid w:val="003D3119"/>
    <w:rsid w:val="003E0F7A"/>
    <w:rsid w:val="003E328F"/>
    <w:rsid w:val="00401DEC"/>
    <w:rsid w:val="00411379"/>
    <w:rsid w:val="00421963"/>
    <w:rsid w:val="00425E36"/>
    <w:rsid w:val="00432043"/>
    <w:rsid w:val="004422E8"/>
    <w:rsid w:val="0044328D"/>
    <w:rsid w:val="004443BA"/>
    <w:rsid w:val="004628A7"/>
    <w:rsid w:val="00474295"/>
    <w:rsid w:val="004818EB"/>
    <w:rsid w:val="00483193"/>
    <w:rsid w:val="004A5F25"/>
    <w:rsid w:val="004E755E"/>
    <w:rsid w:val="00514A44"/>
    <w:rsid w:val="005245D8"/>
    <w:rsid w:val="00535700"/>
    <w:rsid w:val="005538B3"/>
    <w:rsid w:val="005679AA"/>
    <w:rsid w:val="0057394B"/>
    <w:rsid w:val="00577887"/>
    <w:rsid w:val="00592008"/>
    <w:rsid w:val="00594356"/>
    <w:rsid w:val="00597A5B"/>
    <w:rsid w:val="005A1A46"/>
    <w:rsid w:val="005A201D"/>
    <w:rsid w:val="005A4BE1"/>
    <w:rsid w:val="005B6144"/>
    <w:rsid w:val="005C4960"/>
    <w:rsid w:val="005C7E32"/>
    <w:rsid w:val="005E4846"/>
    <w:rsid w:val="005E743F"/>
    <w:rsid w:val="005F2F94"/>
    <w:rsid w:val="005F42C6"/>
    <w:rsid w:val="00603748"/>
    <w:rsid w:val="0062147B"/>
    <w:rsid w:val="00630F6F"/>
    <w:rsid w:val="00645B2C"/>
    <w:rsid w:val="00650277"/>
    <w:rsid w:val="00660B5C"/>
    <w:rsid w:val="00686FBA"/>
    <w:rsid w:val="006A3ADB"/>
    <w:rsid w:val="006C104A"/>
    <w:rsid w:val="006C5CBB"/>
    <w:rsid w:val="006D65B4"/>
    <w:rsid w:val="006D6CA8"/>
    <w:rsid w:val="00702316"/>
    <w:rsid w:val="00726C20"/>
    <w:rsid w:val="00732957"/>
    <w:rsid w:val="00737085"/>
    <w:rsid w:val="00741F01"/>
    <w:rsid w:val="00753AF7"/>
    <w:rsid w:val="00757B37"/>
    <w:rsid w:val="007666BA"/>
    <w:rsid w:val="00781178"/>
    <w:rsid w:val="0079486B"/>
    <w:rsid w:val="007969B4"/>
    <w:rsid w:val="007A512B"/>
    <w:rsid w:val="007B0212"/>
    <w:rsid w:val="007B5943"/>
    <w:rsid w:val="007D58AA"/>
    <w:rsid w:val="007F1389"/>
    <w:rsid w:val="00803420"/>
    <w:rsid w:val="008059EA"/>
    <w:rsid w:val="00807444"/>
    <w:rsid w:val="008103F2"/>
    <w:rsid w:val="00817222"/>
    <w:rsid w:val="00824472"/>
    <w:rsid w:val="00834658"/>
    <w:rsid w:val="00845876"/>
    <w:rsid w:val="00851B69"/>
    <w:rsid w:val="0088357B"/>
    <w:rsid w:val="00883BBA"/>
    <w:rsid w:val="008D350A"/>
    <w:rsid w:val="008D3EBA"/>
    <w:rsid w:val="008E19D9"/>
    <w:rsid w:val="008E1E1D"/>
    <w:rsid w:val="008F5B2A"/>
    <w:rsid w:val="008F6A41"/>
    <w:rsid w:val="009140A6"/>
    <w:rsid w:val="00930329"/>
    <w:rsid w:val="009351EB"/>
    <w:rsid w:val="0098348C"/>
    <w:rsid w:val="009959CD"/>
    <w:rsid w:val="009A2E25"/>
    <w:rsid w:val="009D794E"/>
    <w:rsid w:val="009F7170"/>
    <w:rsid w:val="00A00665"/>
    <w:rsid w:val="00A02836"/>
    <w:rsid w:val="00A04AAA"/>
    <w:rsid w:val="00A318F6"/>
    <w:rsid w:val="00A36083"/>
    <w:rsid w:val="00A65610"/>
    <w:rsid w:val="00A80151"/>
    <w:rsid w:val="00AA06EF"/>
    <w:rsid w:val="00AA3C0D"/>
    <w:rsid w:val="00AB470B"/>
    <w:rsid w:val="00AB78D0"/>
    <w:rsid w:val="00AE3A27"/>
    <w:rsid w:val="00B13F93"/>
    <w:rsid w:val="00B143A9"/>
    <w:rsid w:val="00B17713"/>
    <w:rsid w:val="00B17FF2"/>
    <w:rsid w:val="00B2141C"/>
    <w:rsid w:val="00B32FD1"/>
    <w:rsid w:val="00B42B6D"/>
    <w:rsid w:val="00B46451"/>
    <w:rsid w:val="00B47BFE"/>
    <w:rsid w:val="00B53EFE"/>
    <w:rsid w:val="00B630CB"/>
    <w:rsid w:val="00B823AF"/>
    <w:rsid w:val="00B84513"/>
    <w:rsid w:val="00B92FA0"/>
    <w:rsid w:val="00B94B08"/>
    <w:rsid w:val="00BA3E50"/>
    <w:rsid w:val="00BB1D06"/>
    <w:rsid w:val="00BB3C0C"/>
    <w:rsid w:val="00BC25BE"/>
    <w:rsid w:val="00BD3AF8"/>
    <w:rsid w:val="00BD7BD3"/>
    <w:rsid w:val="00BF5988"/>
    <w:rsid w:val="00C001EE"/>
    <w:rsid w:val="00C0545F"/>
    <w:rsid w:val="00C0750E"/>
    <w:rsid w:val="00C161D5"/>
    <w:rsid w:val="00C26359"/>
    <w:rsid w:val="00C32BE5"/>
    <w:rsid w:val="00C66F0E"/>
    <w:rsid w:val="00C7362C"/>
    <w:rsid w:val="00C75070"/>
    <w:rsid w:val="00C765C2"/>
    <w:rsid w:val="00C84938"/>
    <w:rsid w:val="00C87598"/>
    <w:rsid w:val="00CA6B01"/>
    <w:rsid w:val="00CA7FC9"/>
    <w:rsid w:val="00CB2C97"/>
    <w:rsid w:val="00CC638B"/>
    <w:rsid w:val="00CC70DA"/>
    <w:rsid w:val="00CD05B4"/>
    <w:rsid w:val="00CE649F"/>
    <w:rsid w:val="00CF29A7"/>
    <w:rsid w:val="00CF79F1"/>
    <w:rsid w:val="00D1230B"/>
    <w:rsid w:val="00D276F8"/>
    <w:rsid w:val="00D81FCF"/>
    <w:rsid w:val="00D938F4"/>
    <w:rsid w:val="00DA19A5"/>
    <w:rsid w:val="00DC103E"/>
    <w:rsid w:val="00DE06E1"/>
    <w:rsid w:val="00E164EE"/>
    <w:rsid w:val="00E30958"/>
    <w:rsid w:val="00E44ECB"/>
    <w:rsid w:val="00E576EE"/>
    <w:rsid w:val="00E72620"/>
    <w:rsid w:val="00E743F2"/>
    <w:rsid w:val="00E85047"/>
    <w:rsid w:val="00E93D0B"/>
    <w:rsid w:val="00EB4EB1"/>
    <w:rsid w:val="00EC4A96"/>
    <w:rsid w:val="00ED336B"/>
    <w:rsid w:val="00EE5F45"/>
    <w:rsid w:val="00EF2FEB"/>
    <w:rsid w:val="00F001AB"/>
    <w:rsid w:val="00F14B85"/>
    <w:rsid w:val="00F26597"/>
    <w:rsid w:val="00F31CF1"/>
    <w:rsid w:val="00F33281"/>
    <w:rsid w:val="00F34930"/>
    <w:rsid w:val="00F35139"/>
    <w:rsid w:val="00F517AB"/>
    <w:rsid w:val="00F561B0"/>
    <w:rsid w:val="00F61901"/>
    <w:rsid w:val="00F65256"/>
    <w:rsid w:val="00F66BB4"/>
    <w:rsid w:val="00F73482"/>
    <w:rsid w:val="00F84F7D"/>
    <w:rsid w:val="00F97BAB"/>
    <w:rsid w:val="00FA1E8B"/>
    <w:rsid w:val="00FA50F5"/>
    <w:rsid w:val="00FA53E3"/>
    <w:rsid w:val="00FB1FEF"/>
    <w:rsid w:val="00FB7FF6"/>
    <w:rsid w:val="00FD6DC9"/>
    <w:rsid w:val="00FF1B7B"/>
    <w:rsid w:val="00FF7A4E"/>
    <w:rsid w:val="02FEA7C2"/>
    <w:rsid w:val="0790EFE2"/>
    <w:rsid w:val="0830E987"/>
    <w:rsid w:val="08DB22CD"/>
    <w:rsid w:val="0960224C"/>
    <w:rsid w:val="10CE8C0A"/>
    <w:rsid w:val="10EBF660"/>
    <w:rsid w:val="11E3AFE9"/>
    <w:rsid w:val="1273AED2"/>
    <w:rsid w:val="144D3D03"/>
    <w:rsid w:val="148AA9B0"/>
    <w:rsid w:val="15E90D64"/>
    <w:rsid w:val="190D6378"/>
    <w:rsid w:val="1C0478A4"/>
    <w:rsid w:val="1DB1510B"/>
    <w:rsid w:val="1DD28461"/>
    <w:rsid w:val="1F8793BE"/>
    <w:rsid w:val="1FE2C286"/>
    <w:rsid w:val="20B114C6"/>
    <w:rsid w:val="20FF6984"/>
    <w:rsid w:val="2155E378"/>
    <w:rsid w:val="21C9E652"/>
    <w:rsid w:val="22AE680F"/>
    <w:rsid w:val="233557F2"/>
    <w:rsid w:val="2365B6B3"/>
    <w:rsid w:val="2372C373"/>
    <w:rsid w:val="29312759"/>
    <w:rsid w:val="2C2AA6EC"/>
    <w:rsid w:val="31911FAA"/>
    <w:rsid w:val="320B90AD"/>
    <w:rsid w:val="3538BC1A"/>
    <w:rsid w:val="37008855"/>
    <w:rsid w:val="371A12FB"/>
    <w:rsid w:val="381114AA"/>
    <w:rsid w:val="3A86AF6A"/>
    <w:rsid w:val="3B87B5B0"/>
    <w:rsid w:val="3E031004"/>
    <w:rsid w:val="40BB9ACA"/>
    <w:rsid w:val="430CC096"/>
    <w:rsid w:val="432DED0C"/>
    <w:rsid w:val="4515A26A"/>
    <w:rsid w:val="451C93D1"/>
    <w:rsid w:val="4529A091"/>
    <w:rsid w:val="4A9F007A"/>
    <w:rsid w:val="4AFEAA1E"/>
    <w:rsid w:val="4D5C6675"/>
    <w:rsid w:val="4EF12F7E"/>
    <w:rsid w:val="4F5A48AE"/>
    <w:rsid w:val="566E2ADA"/>
    <w:rsid w:val="5944F2F3"/>
    <w:rsid w:val="5C2AB1D4"/>
    <w:rsid w:val="5CA64F39"/>
    <w:rsid w:val="651F8AC7"/>
    <w:rsid w:val="65943593"/>
    <w:rsid w:val="66364469"/>
    <w:rsid w:val="66EF28D0"/>
    <w:rsid w:val="6F555BA6"/>
    <w:rsid w:val="6FF1ED5B"/>
    <w:rsid w:val="7078F174"/>
    <w:rsid w:val="744152C9"/>
    <w:rsid w:val="7B07AE13"/>
    <w:rsid w:val="7BD27C88"/>
    <w:rsid w:val="7CC675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4A96"/>
  <w15:chartTrackingRefBased/>
  <w15:docId w15:val="{8FE279B1-DA59-471C-9478-BF4A37B5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056"/>
    <w:pPr>
      <w:spacing w:after="0" w:line="240" w:lineRule="auto"/>
    </w:pPr>
    <w:rPr>
      <w:rFonts w:ascii="Times New Roman" w:eastAsia="Times New Roman" w:hAnsi="Times New Roman" w:cs="Times New Roman"/>
      <w:sz w:val="28"/>
      <w:szCs w:val="24"/>
      <w:lang w:eastAsia="es-ES"/>
    </w:rPr>
  </w:style>
  <w:style w:type="paragraph" w:styleId="Ttulo1">
    <w:name w:val="heading 1"/>
    <w:basedOn w:val="Normal"/>
    <w:next w:val="Normal"/>
    <w:link w:val="Ttulo1Car"/>
    <w:qFormat/>
    <w:rsid w:val="000F1056"/>
    <w:pPr>
      <w:keepNext/>
      <w:spacing w:line="360" w:lineRule="auto"/>
      <w:jc w:val="center"/>
      <w:outlineLvl w:val="0"/>
    </w:pPr>
    <w:rPr>
      <w:rFonts w:ascii="Arial" w:hAnsi="Arial"/>
      <w:b/>
      <w:szCs w:val="20"/>
      <w:lang w:val="es-ES_tradnl"/>
    </w:rPr>
  </w:style>
  <w:style w:type="paragraph" w:styleId="Ttulo2">
    <w:name w:val="heading 2"/>
    <w:basedOn w:val="Normal"/>
    <w:next w:val="Normal"/>
    <w:link w:val="Ttulo2Car"/>
    <w:uiPriority w:val="9"/>
    <w:unhideWhenUsed/>
    <w:qFormat/>
    <w:rsid w:val="005538B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1056"/>
    <w:rPr>
      <w:rFonts w:ascii="Arial" w:eastAsia="Times New Roman" w:hAnsi="Arial" w:cs="Times New Roman"/>
      <w:b/>
      <w:sz w:val="28"/>
      <w:szCs w:val="20"/>
      <w:lang w:val="es-ES_tradnl" w:eastAsia="es-ES"/>
    </w:rPr>
  </w:style>
  <w:style w:type="paragraph" w:styleId="Textoindependiente">
    <w:name w:val="Body Text"/>
    <w:basedOn w:val="Normal"/>
    <w:link w:val="TextoindependienteCar"/>
    <w:uiPriority w:val="99"/>
    <w:semiHidden/>
    <w:rsid w:val="000F1056"/>
    <w:pPr>
      <w:jc w:val="both"/>
    </w:pPr>
  </w:style>
  <w:style w:type="character" w:customStyle="1" w:styleId="TextoindependienteCar">
    <w:name w:val="Texto independiente Car"/>
    <w:basedOn w:val="Fuentedeprrafopredeter"/>
    <w:link w:val="Textoindependiente"/>
    <w:uiPriority w:val="99"/>
    <w:semiHidden/>
    <w:rsid w:val="000F1056"/>
    <w:rPr>
      <w:rFonts w:ascii="Times New Roman" w:eastAsia="Times New Roman" w:hAnsi="Times New Roman" w:cs="Times New Roman"/>
      <w:sz w:val="28"/>
      <w:szCs w:val="24"/>
      <w:lang w:eastAsia="es-ES"/>
    </w:rPr>
  </w:style>
  <w:style w:type="paragraph" w:styleId="Piedepgina">
    <w:name w:val="footer"/>
    <w:basedOn w:val="Normal"/>
    <w:link w:val="PiedepginaCar"/>
    <w:uiPriority w:val="99"/>
    <w:unhideWhenUsed/>
    <w:rsid w:val="000F1056"/>
    <w:pPr>
      <w:tabs>
        <w:tab w:val="center" w:pos="4252"/>
        <w:tab w:val="right" w:pos="8504"/>
      </w:tabs>
    </w:pPr>
  </w:style>
  <w:style w:type="character" w:customStyle="1" w:styleId="PiedepginaCar">
    <w:name w:val="Pie de página Car"/>
    <w:basedOn w:val="Fuentedeprrafopredeter"/>
    <w:link w:val="Piedepgina"/>
    <w:uiPriority w:val="99"/>
    <w:rsid w:val="000F1056"/>
    <w:rPr>
      <w:rFonts w:ascii="Times New Roman" w:eastAsia="Times New Roman" w:hAnsi="Times New Roman" w:cs="Times New Roman"/>
      <w:sz w:val="28"/>
      <w:szCs w:val="24"/>
      <w:lang w:eastAsia="es-ES"/>
    </w:rPr>
  </w:style>
  <w:style w:type="paragraph" w:styleId="Prrafodelista">
    <w:name w:val="List Paragraph"/>
    <w:basedOn w:val="Normal"/>
    <w:uiPriority w:val="34"/>
    <w:qFormat/>
    <w:rsid w:val="000F1056"/>
    <w:pPr>
      <w:ind w:left="720"/>
      <w:contextualSpacing/>
    </w:pPr>
  </w:style>
  <w:style w:type="paragraph" w:styleId="Ttulo">
    <w:name w:val="Title"/>
    <w:basedOn w:val="Normal"/>
    <w:link w:val="TtuloCar"/>
    <w:qFormat/>
    <w:rsid w:val="000F1056"/>
    <w:pPr>
      <w:overflowPunct w:val="0"/>
      <w:autoSpaceDE w:val="0"/>
      <w:autoSpaceDN w:val="0"/>
      <w:adjustRightInd w:val="0"/>
      <w:spacing w:line="360" w:lineRule="auto"/>
      <w:jc w:val="center"/>
      <w:textAlignment w:val="baseline"/>
    </w:pPr>
    <w:rPr>
      <w:rFonts w:ascii="Tahoma" w:hAnsi="Tahoma" w:cs="Tahoma"/>
      <w:b/>
      <w:bCs/>
      <w:sz w:val="24"/>
      <w:lang w:val="es-ES_tradnl"/>
    </w:rPr>
  </w:style>
  <w:style w:type="character" w:customStyle="1" w:styleId="TtuloCar">
    <w:name w:val="Título Car"/>
    <w:basedOn w:val="Fuentedeprrafopredeter"/>
    <w:link w:val="Ttulo"/>
    <w:rsid w:val="000F1056"/>
    <w:rPr>
      <w:rFonts w:ascii="Tahoma" w:eastAsia="Times New Roman" w:hAnsi="Tahoma" w:cs="Tahoma"/>
      <w:b/>
      <w:bCs/>
      <w:sz w:val="24"/>
      <w:szCs w:val="24"/>
      <w:lang w:val="es-ES_tradnl" w:eastAsia="es-ES"/>
    </w:rPr>
  </w:style>
  <w:style w:type="table" w:styleId="Tablaconcuadrcula">
    <w:name w:val="Table Grid"/>
    <w:basedOn w:val="Tablanormal"/>
    <w:uiPriority w:val="59"/>
    <w:rsid w:val="000F105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2">
    <w:name w:val="Sin espaciado2"/>
    <w:rsid w:val="000F1056"/>
    <w:pPr>
      <w:spacing w:after="0" w:line="240" w:lineRule="auto"/>
    </w:pPr>
    <w:rPr>
      <w:rFonts w:ascii="Calibri" w:eastAsia="Times New Roman" w:hAnsi="Calibri" w:cs="Times New Roman"/>
      <w:lang w:val="es-CO"/>
    </w:rPr>
  </w:style>
  <w:style w:type="paragraph" w:styleId="Textodeglobo">
    <w:name w:val="Balloon Text"/>
    <w:basedOn w:val="Normal"/>
    <w:link w:val="TextodegloboCar"/>
    <w:uiPriority w:val="99"/>
    <w:semiHidden/>
    <w:unhideWhenUsed/>
    <w:rsid w:val="005357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5700"/>
    <w:rPr>
      <w:rFonts w:ascii="Segoe UI" w:eastAsia="Times New Roman" w:hAnsi="Segoe UI" w:cs="Segoe UI"/>
      <w:sz w:val="18"/>
      <w:szCs w:val="18"/>
      <w:lang w:eastAsia="es-ES"/>
    </w:rPr>
  </w:style>
  <w:style w:type="paragraph" w:styleId="Textonotapie">
    <w:name w:val="footnote text"/>
    <w:basedOn w:val="Normal"/>
    <w:link w:val="TextonotapieCar"/>
    <w:uiPriority w:val="99"/>
    <w:semiHidden/>
    <w:unhideWhenUsed/>
    <w:rsid w:val="00117CF3"/>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117CF3"/>
    <w:rPr>
      <w:sz w:val="20"/>
      <w:szCs w:val="20"/>
      <w:lang w:val="es-CO"/>
    </w:rPr>
  </w:style>
  <w:style w:type="character" w:styleId="Refdenotaalpie">
    <w:name w:val="footnote reference"/>
    <w:basedOn w:val="Fuentedeprrafopredeter"/>
    <w:uiPriority w:val="99"/>
    <w:semiHidden/>
    <w:unhideWhenUsed/>
    <w:rsid w:val="00117CF3"/>
    <w:rPr>
      <w:vertAlign w:val="superscript"/>
    </w:rPr>
  </w:style>
  <w:style w:type="paragraph" w:customStyle="1" w:styleId="Default">
    <w:name w:val="Default"/>
    <w:rsid w:val="00B94B08"/>
    <w:pPr>
      <w:autoSpaceDE w:val="0"/>
      <w:autoSpaceDN w:val="0"/>
      <w:adjustRightInd w:val="0"/>
      <w:spacing w:after="0" w:line="240" w:lineRule="auto"/>
    </w:pPr>
    <w:rPr>
      <w:rFonts w:ascii="Century Gothic" w:hAnsi="Century Gothic" w:cs="Century Gothic"/>
      <w:color w:val="000000"/>
      <w:sz w:val="24"/>
      <w:szCs w:val="24"/>
      <w:lang w:val="es-CO"/>
    </w:rPr>
  </w:style>
  <w:style w:type="paragraph" w:customStyle="1" w:styleId="Textoindependiente31">
    <w:name w:val="Texto independiente 31"/>
    <w:basedOn w:val="Normal"/>
    <w:rsid w:val="00F34930"/>
    <w:pPr>
      <w:spacing w:line="360" w:lineRule="auto"/>
      <w:jc w:val="both"/>
    </w:pPr>
    <w:rPr>
      <w:rFonts w:ascii="Arial" w:hAnsi="Arial"/>
      <w:sz w:val="24"/>
      <w:szCs w:val="20"/>
      <w:lang w:val="es-ES_tradnl"/>
    </w:rPr>
  </w:style>
  <w:style w:type="paragraph" w:styleId="Encabezado">
    <w:name w:val="header"/>
    <w:basedOn w:val="Normal"/>
    <w:link w:val="EncabezadoCar"/>
    <w:uiPriority w:val="99"/>
    <w:unhideWhenUsed/>
    <w:rsid w:val="003668AE"/>
    <w:pPr>
      <w:tabs>
        <w:tab w:val="center" w:pos="4419"/>
        <w:tab w:val="right" w:pos="8838"/>
      </w:tabs>
    </w:pPr>
  </w:style>
  <w:style w:type="character" w:customStyle="1" w:styleId="EncabezadoCar">
    <w:name w:val="Encabezado Car"/>
    <w:basedOn w:val="Fuentedeprrafopredeter"/>
    <w:link w:val="Encabezado"/>
    <w:uiPriority w:val="99"/>
    <w:rsid w:val="003668AE"/>
    <w:rPr>
      <w:rFonts w:ascii="Times New Roman" w:eastAsia="Times New Roman" w:hAnsi="Times New Roman" w:cs="Times New Roman"/>
      <w:sz w:val="28"/>
      <w:szCs w:val="24"/>
      <w:lang w:eastAsia="es-ES"/>
    </w:rPr>
  </w:style>
  <w:style w:type="character" w:customStyle="1" w:styleId="Mencionar1">
    <w:name w:val="Mencionar1"/>
    <w:basedOn w:val="Fuentedeprrafopredeter"/>
    <w:uiPriority w:val="99"/>
    <w:unhideWhenUsed/>
    <w:rPr>
      <w:color w:val="2B579A"/>
      <w:shd w:val="clear" w:color="auto" w:fill="E6E6E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semiHidden/>
    <w:unhideWhenUsed/>
    <w:rsid w:val="00FA50F5"/>
    <w:rPr>
      <w:color w:val="0000FF"/>
      <w:u w:val="single"/>
    </w:rPr>
  </w:style>
  <w:style w:type="character" w:customStyle="1" w:styleId="Ttulo2Car">
    <w:name w:val="Título 2 Car"/>
    <w:basedOn w:val="Fuentedeprrafopredeter"/>
    <w:link w:val="Ttulo2"/>
    <w:uiPriority w:val="9"/>
    <w:rsid w:val="005538B3"/>
    <w:rPr>
      <w:rFonts w:asciiTheme="majorHAnsi" w:eastAsiaTheme="majorEastAsia" w:hAnsiTheme="majorHAnsi" w:cstheme="majorBidi"/>
      <w:color w:val="2E74B5" w:themeColor="accent1" w:themeShade="BF"/>
      <w:sz w:val="26"/>
      <w:szCs w:val="26"/>
      <w:lang w:eastAsia="es-ES"/>
    </w:rPr>
  </w:style>
  <w:style w:type="paragraph" w:styleId="Lista">
    <w:name w:val="List"/>
    <w:basedOn w:val="Normal"/>
    <w:uiPriority w:val="99"/>
    <w:unhideWhenUsed/>
    <w:rsid w:val="005538B3"/>
    <w:pPr>
      <w:ind w:left="283" w:hanging="283"/>
      <w:contextualSpacing/>
    </w:pPr>
  </w:style>
  <w:style w:type="paragraph" w:styleId="Lista2">
    <w:name w:val="List 2"/>
    <w:basedOn w:val="Normal"/>
    <w:uiPriority w:val="99"/>
    <w:unhideWhenUsed/>
    <w:rsid w:val="005538B3"/>
    <w:pPr>
      <w:ind w:left="566" w:hanging="283"/>
      <w:contextualSpacing/>
    </w:pPr>
  </w:style>
  <w:style w:type="paragraph" w:styleId="Saludo">
    <w:name w:val="Salutation"/>
    <w:basedOn w:val="Normal"/>
    <w:next w:val="Normal"/>
    <w:link w:val="SaludoCar"/>
    <w:uiPriority w:val="99"/>
    <w:unhideWhenUsed/>
    <w:rsid w:val="005538B3"/>
  </w:style>
  <w:style w:type="character" w:customStyle="1" w:styleId="SaludoCar">
    <w:name w:val="Saludo Car"/>
    <w:basedOn w:val="Fuentedeprrafopredeter"/>
    <w:link w:val="Saludo"/>
    <w:uiPriority w:val="99"/>
    <w:rsid w:val="005538B3"/>
    <w:rPr>
      <w:rFonts w:ascii="Times New Roman" w:eastAsia="Times New Roman" w:hAnsi="Times New Roman" w:cs="Times New Roman"/>
      <w:sz w:val="28"/>
      <w:szCs w:val="24"/>
      <w:lang w:eastAsia="es-ES"/>
    </w:rPr>
  </w:style>
  <w:style w:type="paragraph" w:styleId="Cierre">
    <w:name w:val="Closing"/>
    <w:basedOn w:val="Normal"/>
    <w:link w:val="CierreCar"/>
    <w:uiPriority w:val="99"/>
    <w:unhideWhenUsed/>
    <w:rsid w:val="005538B3"/>
    <w:pPr>
      <w:ind w:left="4252"/>
    </w:pPr>
  </w:style>
  <w:style w:type="character" w:customStyle="1" w:styleId="CierreCar">
    <w:name w:val="Cierre Car"/>
    <w:basedOn w:val="Fuentedeprrafopredeter"/>
    <w:link w:val="Cierre"/>
    <w:uiPriority w:val="99"/>
    <w:rsid w:val="005538B3"/>
    <w:rPr>
      <w:rFonts w:ascii="Times New Roman" w:eastAsia="Times New Roman" w:hAnsi="Times New Roman" w:cs="Times New Roman"/>
      <w:sz w:val="28"/>
      <w:szCs w:val="24"/>
      <w:lang w:eastAsia="es-ES"/>
    </w:rPr>
  </w:style>
  <w:style w:type="paragraph" w:styleId="Continuarlista">
    <w:name w:val="List Continue"/>
    <w:basedOn w:val="Normal"/>
    <w:uiPriority w:val="99"/>
    <w:unhideWhenUsed/>
    <w:rsid w:val="005538B3"/>
    <w:pPr>
      <w:spacing w:after="120"/>
      <w:ind w:left="283"/>
      <w:contextualSpacing/>
    </w:pPr>
  </w:style>
  <w:style w:type="paragraph" w:styleId="Subttulo">
    <w:name w:val="Subtitle"/>
    <w:basedOn w:val="Normal"/>
    <w:next w:val="Normal"/>
    <w:link w:val="SubttuloCar"/>
    <w:uiPriority w:val="11"/>
    <w:qFormat/>
    <w:rsid w:val="005538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538B3"/>
    <w:rPr>
      <w:rFonts w:eastAsiaTheme="minorEastAsia"/>
      <w:color w:val="5A5A5A" w:themeColor="text1" w:themeTint="A5"/>
      <w:spacing w:val="15"/>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09179">
      <w:bodyDiv w:val="1"/>
      <w:marLeft w:val="0"/>
      <w:marRight w:val="0"/>
      <w:marTop w:val="0"/>
      <w:marBottom w:val="0"/>
      <w:divBdr>
        <w:top w:val="none" w:sz="0" w:space="0" w:color="auto"/>
        <w:left w:val="none" w:sz="0" w:space="0" w:color="auto"/>
        <w:bottom w:val="none" w:sz="0" w:space="0" w:color="auto"/>
        <w:right w:val="none" w:sz="0" w:space="0" w:color="auto"/>
      </w:divBdr>
    </w:div>
    <w:div w:id="561210584">
      <w:bodyDiv w:val="1"/>
      <w:marLeft w:val="0"/>
      <w:marRight w:val="0"/>
      <w:marTop w:val="0"/>
      <w:marBottom w:val="0"/>
      <w:divBdr>
        <w:top w:val="none" w:sz="0" w:space="0" w:color="auto"/>
        <w:left w:val="none" w:sz="0" w:space="0" w:color="auto"/>
        <w:bottom w:val="none" w:sz="0" w:space="0" w:color="auto"/>
        <w:right w:val="none" w:sz="0" w:space="0" w:color="auto"/>
      </w:divBdr>
    </w:div>
    <w:div w:id="922028281">
      <w:bodyDiv w:val="1"/>
      <w:marLeft w:val="0"/>
      <w:marRight w:val="0"/>
      <w:marTop w:val="0"/>
      <w:marBottom w:val="0"/>
      <w:divBdr>
        <w:top w:val="none" w:sz="0" w:space="0" w:color="auto"/>
        <w:left w:val="none" w:sz="0" w:space="0" w:color="auto"/>
        <w:bottom w:val="none" w:sz="0" w:space="0" w:color="auto"/>
        <w:right w:val="none" w:sz="0" w:space="0" w:color="auto"/>
      </w:divBdr>
    </w:div>
    <w:div w:id="944844538">
      <w:bodyDiv w:val="1"/>
      <w:marLeft w:val="0"/>
      <w:marRight w:val="0"/>
      <w:marTop w:val="0"/>
      <w:marBottom w:val="0"/>
      <w:divBdr>
        <w:top w:val="none" w:sz="0" w:space="0" w:color="auto"/>
        <w:left w:val="none" w:sz="0" w:space="0" w:color="auto"/>
        <w:bottom w:val="none" w:sz="0" w:space="0" w:color="auto"/>
        <w:right w:val="none" w:sz="0" w:space="0" w:color="auto"/>
      </w:divBdr>
    </w:div>
    <w:div w:id="1218131781">
      <w:bodyDiv w:val="1"/>
      <w:marLeft w:val="0"/>
      <w:marRight w:val="0"/>
      <w:marTop w:val="0"/>
      <w:marBottom w:val="0"/>
      <w:divBdr>
        <w:top w:val="none" w:sz="0" w:space="0" w:color="auto"/>
        <w:left w:val="none" w:sz="0" w:space="0" w:color="auto"/>
        <w:bottom w:val="none" w:sz="0" w:space="0" w:color="auto"/>
        <w:right w:val="none" w:sz="0" w:space="0" w:color="auto"/>
      </w:divBdr>
    </w:div>
    <w:div w:id="1686207937">
      <w:bodyDiv w:val="1"/>
      <w:marLeft w:val="0"/>
      <w:marRight w:val="0"/>
      <w:marTop w:val="0"/>
      <w:marBottom w:val="0"/>
      <w:divBdr>
        <w:top w:val="none" w:sz="0" w:space="0" w:color="auto"/>
        <w:left w:val="none" w:sz="0" w:space="0" w:color="auto"/>
        <w:bottom w:val="none" w:sz="0" w:space="0" w:color="auto"/>
        <w:right w:val="none" w:sz="0" w:space="0" w:color="auto"/>
      </w:divBdr>
    </w:div>
    <w:div w:id="214034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227b628e5ec74a1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D259-D1E3-4024-A051-20A879005180}">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4EB7E53A-C3B9-44F7-B28D-3BDF43A24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013FB-E043-4C2A-B105-B18A671C352B}">
  <ds:schemaRefs>
    <ds:schemaRef ds:uri="http://schemas.microsoft.com/sharepoint/v3/contenttype/forms"/>
  </ds:schemaRefs>
</ds:datastoreItem>
</file>

<file path=customXml/itemProps4.xml><?xml version="1.0" encoding="utf-8"?>
<ds:datastoreItem xmlns:ds="http://schemas.openxmlformats.org/officeDocument/2006/customXml" ds:itemID="{0C235729-A7F5-40FF-B40F-256A00D6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3797</Words>
  <Characters>21647</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Lopez Forero</dc:creator>
  <cp:keywords/>
  <dc:description/>
  <cp:lastModifiedBy>samsung</cp:lastModifiedBy>
  <cp:revision>6</cp:revision>
  <cp:lastPrinted>2023-11-13T21:38:00Z</cp:lastPrinted>
  <dcterms:created xsi:type="dcterms:W3CDTF">2023-12-12T19:35:00Z</dcterms:created>
  <dcterms:modified xsi:type="dcterms:W3CDTF">2024-02-14T15:38:00Z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