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94C7E9" w14:textId="77777777" w:rsidR="00A7123F" w:rsidRPr="00A7123F" w:rsidRDefault="00165A99" w:rsidP="00A7123F">
      <w:pPr>
        <w:spacing w:line="240" w:lineRule="auto"/>
        <w:ind w:firstLine="0"/>
        <w:contextualSpacing/>
        <w:rPr>
          <w:rFonts w:eastAsia="Calibri"/>
          <w:b/>
          <w:color w:val="auto"/>
          <w:kern w:val="0"/>
          <w:sz w:val="20"/>
          <w:szCs w:val="22"/>
          <w:lang w:val="es-ES"/>
          <w14:ligatures w14:val="none"/>
        </w:rPr>
      </w:pPr>
      <w:hyperlink r:id="rId11" w:history="1">
        <w:r w:rsidR="00A7123F" w:rsidRPr="00A7123F">
          <w:rPr>
            <w:rFonts w:eastAsia="Calibri"/>
            <w:b/>
            <w:color w:val="auto"/>
            <w:kern w:val="0"/>
            <w:sz w:val="20"/>
            <w:szCs w:val="22"/>
            <w14:ligatures w14:val="none"/>
          </w:rPr>
          <w:t>INEFICACIA TRASLADO DE RÉGIMEN / DEBERES DE LAS AFP / GESTIONAR LOS INTERESES DE SUS AFILIADOS</w:t>
        </w:r>
      </w:hyperlink>
    </w:p>
    <w:p w14:paraId="48C60405" w14:textId="77777777" w:rsidR="00A7123F" w:rsidRPr="00A7123F" w:rsidRDefault="00A7123F" w:rsidP="00A7123F">
      <w:pPr>
        <w:spacing w:line="240" w:lineRule="auto"/>
        <w:ind w:firstLine="0"/>
        <w:contextualSpacing/>
        <w:rPr>
          <w:rFonts w:eastAsia="Calibri"/>
          <w:color w:val="auto"/>
          <w:kern w:val="0"/>
          <w:sz w:val="20"/>
          <w:szCs w:val="22"/>
          <w14:ligatures w14:val="none"/>
        </w:rPr>
      </w:pPr>
      <w:r w:rsidRPr="00A7123F">
        <w:rPr>
          <w:rFonts w:eastAsia="Calibri"/>
          <w:color w:val="auto"/>
          <w:kern w:val="0"/>
          <w:sz w:val="20"/>
          <w:szCs w:val="22"/>
          <w14:ligatures w14:val="none"/>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6F950D81" w14:textId="77777777" w:rsidR="00A7123F" w:rsidRPr="00A7123F" w:rsidRDefault="00A7123F" w:rsidP="00A7123F">
      <w:pPr>
        <w:spacing w:line="240" w:lineRule="auto"/>
        <w:ind w:firstLine="0"/>
        <w:contextualSpacing/>
        <w:rPr>
          <w:rFonts w:eastAsia="Calibri"/>
          <w:color w:val="auto"/>
          <w:kern w:val="0"/>
          <w:sz w:val="20"/>
          <w:szCs w:val="22"/>
          <w14:ligatures w14:val="none"/>
        </w:rPr>
      </w:pPr>
    </w:p>
    <w:p w14:paraId="4433F7F6" w14:textId="77777777" w:rsidR="00A7123F" w:rsidRPr="00A7123F" w:rsidRDefault="00165A99" w:rsidP="00A7123F">
      <w:pPr>
        <w:spacing w:line="240" w:lineRule="auto"/>
        <w:ind w:firstLine="0"/>
        <w:contextualSpacing/>
        <w:rPr>
          <w:rFonts w:eastAsia="Calibri"/>
          <w:b/>
          <w:color w:val="auto"/>
          <w:kern w:val="0"/>
          <w:sz w:val="20"/>
          <w:szCs w:val="22"/>
          <w14:ligatures w14:val="none"/>
        </w:rPr>
      </w:pPr>
      <w:hyperlink r:id="rId12" w:history="1">
        <w:r w:rsidR="00A7123F" w:rsidRPr="00A7123F">
          <w:rPr>
            <w:rFonts w:eastAsia="Calibri"/>
            <w:b/>
            <w:color w:val="auto"/>
            <w:kern w:val="0"/>
            <w:sz w:val="20"/>
            <w:szCs w:val="22"/>
            <w14:ligatures w14:val="none"/>
          </w:rPr>
          <w:t>INEFICACIA TRASLADO DE RÉGIMEN / OBLIGACIÓN AFP / SUMINISTRAR INFORMACIÓN COMPLETA Y COMPRENSIBLE</w:t>
        </w:r>
      </w:hyperlink>
    </w:p>
    <w:p w14:paraId="18BC7A00" w14:textId="77777777" w:rsidR="00A7123F" w:rsidRPr="00A7123F" w:rsidRDefault="00A7123F" w:rsidP="00A7123F">
      <w:pPr>
        <w:spacing w:line="240" w:lineRule="auto"/>
        <w:ind w:firstLine="0"/>
        <w:contextualSpacing/>
        <w:rPr>
          <w:rFonts w:eastAsia="Calibri"/>
          <w:color w:val="auto"/>
          <w:kern w:val="0"/>
          <w:sz w:val="20"/>
          <w:szCs w:val="22"/>
          <w14:ligatures w14:val="none"/>
        </w:rPr>
      </w:pPr>
      <w:r w:rsidRPr="00A7123F">
        <w:rPr>
          <w:rFonts w:eastAsia="Calibri"/>
          <w:color w:val="auto"/>
          <w:kern w:val="0"/>
          <w:sz w:val="20"/>
          <w:szCs w:val="22"/>
          <w14:ligatures w14:val="none"/>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11A11F7B" w14:textId="77777777" w:rsidR="00A7123F" w:rsidRPr="00A7123F" w:rsidRDefault="00A7123F" w:rsidP="00A7123F">
      <w:pPr>
        <w:spacing w:line="240" w:lineRule="auto"/>
        <w:ind w:firstLine="0"/>
        <w:contextualSpacing/>
        <w:rPr>
          <w:rFonts w:eastAsia="Calibri"/>
          <w:color w:val="auto"/>
          <w:kern w:val="0"/>
          <w:sz w:val="20"/>
          <w:szCs w:val="22"/>
          <w14:ligatures w14:val="none"/>
        </w:rPr>
      </w:pPr>
    </w:p>
    <w:p w14:paraId="6D415E1D" w14:textId="77777777" w:rsidR="00A7123F" w:rsidRPr="00A7123F" w:rsidRDefault="00165A99" w:rsidP="00A7123F">
      <w:pPr>
        <w:spacing w:line="240" w:lineRule="auto"/>
        <w:ind w:firstLine="0"/>
        <w:contextualSpacing/>
        <w:rPr>
          <w:rFonts w:eastAsia="Calibri"/>
          <w:b/>
          <w:color w:val="auto"/>
          <w:kern w:val="0"/>
          <w:sz w:val="20"/>
          <w:szCs w:val="22"/>
          <w:lang w:val="es-ES"/>
          <w14:ligatures w14:val="none"/>
        </w:rPr>
      </w:pPr>
      <w:hyperlink r:id="rId13" w:history="1">
        <w:r w:rsidR="00A7123F" w:rsidRPr="00A7123F">
          <w:rPr>
            <w:rFonts w:eastAsia="Calibri"/>
            <w:b/>
            <w:color w:val="auto"/>
            <w:kern w:val="0"/>
            <w:sz w:val="20"/>
            <w:szCs w:val="22"/>
            <w14:ligatures w14:val="none"/>
          </w:rPr>
          <w:t>INEFICACIA TRASLADO DE RÉGIMEN / CARGA PROBATORIA DE LAS AFP / DEMOSTRAR QUE CUMPLIERON DEBER</w:t>
        </w:r>
      </w:hyperlink>
      <w:r w:rsidR="00A7123F" w:rsidRPr="00A7123F">
        <w:rPr>
          <w:rFonts w:eastAsia="Calibri"/>
          <w:b/>
          <w:color w:val="auto"/>
          <w:kern w:val="0"/>
          <w:sz w:val="20"/>
          <w:szCs w:val="22"/>
          <w14:ligatures w14:val="none"/>
        </w:rPr>
        <w:t xml:space="preserve"> EL DEBER DE INFORMACIÓN</w:t>
      </w:r>
    </w:p>
    <w:p w14:paraId="7FC473B8" w14:textId="77777777" w:rsidR="00A7123F" w:rsidRPr="00A7123F" w:rsidRDefault="00A7123F" w:rsidP="00A7123F">
      <w:pPr>
        <w:spacing w:line="240" w:lineRule="auto"/>
        <w:ind w:firstLine="0"/>
        <w:contextualSpacing/>
        <w:rPr>
          <w:rFonts w:eastAsia="Calibri"/>
          <w:color w:val="auto"/>
          <w:kern w:val="0"/>
          <w:sz w:val="22"/>
          <w:szCs w:val="22"/>
          <w14:ligatures w14:val="none"/>
        </w:rPr>
      </w:pPr>
      <w:r w:rsidRPr="00A7123F">
        <w:rPr>
          <w:rFonts w:eastAsia="Calibri"/>
          <w:color w:val="auto"/>
          <w:kern w:val="0"/>
          <w:sz w:val="20"/>
          <w:szCs w:val="22"/>
          <w14:ligatures w14:val="none"/>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2E985D58" w14:textId="77777777" w:rsidR="00A7123F" w:rsidRPr="00A7123F" w:rsidRDefault="00A7123F" w:rsidP="00A7123F">
      <w:pPr>
        <w:spacing w:line="240" w:lineRule="auto"/>
        <w:ind w:firstLine="0"/>
        <w:rPr>
          <w:color w:val="auto"/>
          <w:kern w:val="0"/>
          <w:sz w:val="20"/>
          <w14:ligatures w14:val="none"/>
        </w:rPr>
      </w:pPr>
    </w:p>
    <w:p w14:paraId="2641CA6B" w14:textId="77777777" w:rsidR="00A7123F" w:rsidRPr="00A7123F" w:rsidRDefault="00A7123F" w:rsidP="00A7123F">
      <w:pPr>
        <w:spacing w:line="240" w:lineRule="auto"/>
        <w:ind w:firstLine="0"/>
        <w:rPr>
          <w:color w:val="auto"/>
          <w:kern w:val="0"/>
          <w:sz w:val="20"/>
          <w14:ligatures w14:val="none"/>
        </w:rPr>
      </w:pPr>
    </w:p>
    <w:p w14:paraId="44FF2F5B" w14:textId="77777777" w:rsidR="00A7123F" w:rsidRPr="00A7123F" w:rsidRDefault="00A7123F" w:rsidP="00A7123F">
      <w:pPr>
        <w:spacing w:line="240" w:lineRule="auto"/>
        <w:ind w:firstLine="0"/>
        <w:rPr>
          <w:color w:val="auto"/>
          <w:kern w:val="0"/>
          <w:sz w:val="20"/>
          <w14:ligatures w14:val="none"/>
        </w:rPr>
      </w:pPr>
    </w:p>
    <w:p w14:paraId="62E6BE29"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b/>
          <w:color w:val="auto"/>
          <w:kern w:val="0"/>
          <w14:ligatures w14:val="none"/>
        </w:rPr>
        <w:t xml:space="preserve">REPUBLICA DE COLOMBIA </w:t>
      </w:r>
    </w:p>
    <w:p w14:paraId="491A0555"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b/>
          <w:color w:val="auto"/>
          <w:kern w:val="0"/>
          <w14:ligatures w14:val="none"/>
        </w:rPr>
        <w:t>RAMA JUDICIAL DEL PODER PÚBLICO</w:t>
      </w:r>
    </w:p>
    <w:p w14:paraId="064B70F0"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noProof/>
          <w:color w:val="auto"/>
          <w:kern w:val="0"/>
          <w:lang w:val="en-US"/>
          <w14:ligatures w14:val="none"/>
        </w:rPr>
        <w:drawing>
          <wp:inline distT="0" distB="0" distL="0" distR="0" wp14:anchorId="07A98D0C" wp14:editId="0E94A848">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17385F9C"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b/>
          <w:color w:val="auto"/>
          <w:kern w:val="0"/>
          <w14:ligatures w14:val="none"/>
        </w:rPr>
        <w:t>TRIBUNAL SUPERIOR DEL DISTRITO JUDICIAL DE PEREIRA</w:t>
      </w:r>
    </w:p>
    <w:p w14:paraId="68B8B4E4"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b/>
          <w:color w:val="auto"/>
          <w:kern w:val="0"/>
          <w14:ligatures w14:val="none"/>
        </w:rPr>
        <w:t>SALA DE DECISIÓN LABORAL</w:t>
      </w:r>
    </w:p>
    <w:p w14:paraId="11008B23"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p>
    <w:p w14:paraId="5CE67E4D"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b/>
          <w:color w:val="auto"/>
          <w:kern w:val="0"/>
          <w14:ligatures w14:val="none"/>
        </w:rPr>
        <w:t>GERMÁN DARÍO GÓEZ VINASCO</w:t>
      </w:r>
    </w:p>
    <w:p w14:paraId="11883FD8" w14:textId="77777777" w:rsidR="00942ECD" w:rsidRPr="00942ECD" w:rsidRDefault="00942ECD" w:rsidP="00942ECD">
      <w:pPr>
        <w:spacing w:line="240" w:lineRule="auto"/>
        <w:ind w:firstLine="0"/>
        <w:jc w:val="center"/>
        <w:rPr>
          <w:rFonts w:ascii="Bookman Old Style" w:eastAsia="Calibri" w:hAnsi="Bookman Old Style"/>
          <w:b/>
          <w:color w:val="auto"/>
          <w:kern w:val="0"/>
          <w14:ligatures w14:val="none"/>
        </w:rPr>
      </w:pPr>
      <w:r w:rsidRPr="00942ECD">
        <w:rPr>
          <w:rFonts w:ascii="Bookman Old Style" w:eastAsia="Calibri" w:hAnsi="Bookman Old Style"/>
          <w:color w:val="auto"/>
          <w:kern w:val="0"/>
          <w14:ligatures w14:val="none"/>
        </w:rPr>
        <w:t>Magistrado Ponente</w:t>
      </w:r>
    </w:p>
    <w:p w14:paraId="3305FC37" w14:textId="77777777" w:rsidR="00942ECD" w:rsidRPr="00942ECD" w:rsidRDefault="00942ECD" w:rsidP="00942ECD">
      <w:pPr>
        <w:spacing w:line="276" w:lineRule="auto"/>
        <w:ind w:firstLine="0"/>
        <w:rPr>
          <w:rFonts w:ascii="Bookman Old Style" w:eastAsia="Calibri" w:hAnsi="Bookman Old Style"/>
          <w:color w:val="auto"/>
          <w:kern w:val="0"/>
          <w14:ligatures w14:val="none"/>
        </w:rPr>
      </w:pP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64"/>
        <w:gridCol w:w="5901"/>
      </w:tblGrid>
      <w:tr w:rsidR="00942ECD" w:rsidRPr="00942ECD" w14:paraId="15C3D3D1" w14:textId="77777777" w:rsidTr="0054688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38B24411"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bCs/>
                <w:i w:val="0"/>
                <w:iCs w:val="0"/>
                <w:color w:val="auto"/>
                <w:sz w:val="22"/>
              </w:rPr>
              <w:t>Proceso</w:t>
            </w:r>
            <w:r w:rsidRPr="00600743">
              <w:rPr>
                <w:rFonts w:ascii="Bookman Old Style" w:hAnsi="Bookman Old Style" w:cs="Arial"/>
                <w:i w:val="0"/>
                <w:iCs w:val="0"/>
                <w:color w:val="auto"/>
                <w:sz w:val="22"/>
              </w:rPr>
              <w:t>:</w:t>
            </w:r>
          </w:p>
        </w:tc>
        <w:tc>
          <w:tcPr>
            <w:tcW w:w="0" w:type="auto"/>
          </w:tcPr>
          <w:p w14:paraId="29EA1F69" w14:textId="77777777" w:rsidR="008C0708" w:rsidRPr="00600743" w:rsidRDefault="008C0708" w:rsidP="00600743">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cs="Arial"/>
                <w:i w:val="0"/>
                <w:iCs w:val="0"/>
                <w:color w:val="auto"/>
                <w:sz w:val="22"/>
              </w:rPr>
            </w:pPr>
            <w:r w:rsidRPr="00600743">
              <w:rPr>
                <w:rFonts w:ascii="Bookman Old Style" w:hAnsi="Bookman Old Style" w:cs="Arial"/>
                <w:i w:val="0"/>
                <w:iCs w:val="0"/>
                <w:color w:val="auto"/>
                <w:sz w:val="22"/>
              </w:rPr>
              <w:t>Ordinario Laboral</w:t>
            </w:r>
          </w:p>
        </w:tc>
      </w:tr>
      <w:tr w:rsidR="00942ECD" w:rsidRPr="00942ECD" w14:paraId="08A7BA89" w14:textId="77777777" w:rsidTr="0054688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4A1B625"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i w:val="0"/>
                <w:iCs w:val="0"/>
                <w:color w:val="auto"/>
                <w:sz w:val="22"/>
              </w:rPr>
              <w:t>Radicado:</w:t>
            </w:r>
          </w:p>
        </w:tc>
        <w:tc>
          <w:tcPr>
            <w:tcW w:w="0" w:type="auto"/>
          </w:tcPr>
          <w:p w14:paraId="1AD56C48" w14:textId="77777777" w:rsidR="008C0708" w:rsidRPr="00600743" w:rsidRDefault="008C0708" w:rsidP="00600743">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bookmarkStart w:id="0" w:name="_Hlk152671508"/>
            <w:r w:rsidRPr="00600743">
              <w:rPr>
                <w:rFonts w:ascii="Bookman Old Style" w:eastAsia="Times New Roman" w:hAnsi="Bookman Old Style"/>
                <w:color w:val="auto"/>
                <w:kern w:val="0"/>
                <w:sz w:val="22"/>
                <w:lang w:eastAsia="es-CO"/>
                <w14:ligatures w14:val="none"/>
              </w:rPr>
              <w:t>66001310500420230007601</w:t>
            </w:r>
            <w:bookmarkEnd w:id="0"/>
          </w:p>
        </w:tc>
      </w:tr>
      <w:tr w:rsidR="00942ECD" w:rsidRPr="00942ECD" w14:paraId="4A942E32" w14:textId="77777777" w:rsidTr="0054688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5ABCBF9"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i w:val="0"/>
                <w:iCs w:val="0"/>
                <w:color w:val="auto"/>
                <w:sz w:val="22"/>
              </w:rPr>
              <w:t>Demandante:</w:t>
            </w:r>
          </w:p>
        </w:tc>
        <w:tc>
          <w:tcPr>
            <w:tcW w:w="0" w:type="auto"/>
          </w:tcPr>
          <w:p w14:paraId="4ABCDDC2" w14:textId="77777777" w:rsidR="008C0708" w:rsidRPr="00600743" w:rsidRDefault="008C0708" w:rsidP="00600743">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2"/>
                <w:lang w:eastAsia="es-CO"/>
                <w14:ligatures w14:val="none"/>
              </w:rPr>
            </w:pPr>
            <w:r w:rsidRPr="00600743">
              <w:rPr>
                <w:rFonts w:ascii="Bookman Old Style" w:eastAsia="Times New Roman" w:hAnsi="Bookman Old Style"/>
                <w:color w:val="auto"/>
                <w:kern w:val="0"/>
                <w:sz w:val="22"/>
                <w:lang w:eastAsia="es-CO"/>
                <w14:ligatures w14:val="none"/>
              </w:rPr>
              <w:t>Beatriz Elena Bonilla Martínez</w:t>
            </w:r>
          </w:p>
        </w:tc>
      </w:tr>
      <w:tr w:rsidR="00942ECD" w:rsidRPr="00942ECD" w14:paraId="192ACAEC" w14:textId="77777777" w:rsidTr="0054688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BD2263"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i w:val="0"/>
                <w:iCs w:val="0"/>
                <w:color w:val="auto"/>
                <w:sz w:val="22"/>
              </w:rPr>
              <w:t>Demandado:</w:t>
            </w:r>
          </w:p>
        </w:tc>
        <w:tc>
          <w:tcPr>
            <w:tcW w:w="0" w:type="auto"/>
          </w:tcPr>
          <w:p w14:paraId="3FDCEADC" w14:textId="77777777" w:rsidR="008C0708" w:rsidRPr="00600743" w:rsidRDefault="008C0708" w:rsidP="00600743">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2"/>
                <w:lang w:eastAsia="es-CO"/>
                <w14:ligatures w14:val="none"/>
              </w:rPr>
            </w:pPr>
            <w:r w:rsidRPr="00600743">
              <w:rPr>
                <w:rFonts w:ascii="Bookman Old Style" w:eastAsia="Times New Roman" w:hAnsi="Bookman Old Style"/>
                <w:color w:val="auto"/>
                <w:kern w:val="0"/>
                <w:sz w:val="22"/>
                <w:lang w:eastAsia="es-CO"/>
                <w14:ligatures w14:val="none"/>
              </w:rPr>
              <w:t>Colpensiones, Protección S.A., Colfondos S.A.</w:t>
            </w:r>
          </w:p>
        </w:tc>
      </w:tr>
      <w:tr w:rsidR="00942ECD" w:rsidRPr="00942ECD" w14:paraId="71FFBE7B" w14:textId="77777777" w:rsidTr="0054688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B780C6"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i w:val="0"/>
                <w:iCs w:val="0"/>
                <w:color w:val="auto"/>
                <w:sz w:val="22"/>
              </w:rPr>
              <w:t>Asunto:</w:t>
            </w:r>
          </w:p>
        </w:tc>
        <w:tc>
          <w:tcPr>
            <w:tcW w:w="0" w:type="auto"/>
          </w:tcPr>
          <w:p w14:paraId="2FD3F8E2" w14:textId="77777777" w:rsidR="008C0708" w:rsidRPr="00600743" w:rsidRDefault="008C0708" w:rsidP="00600743">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auto"/>
                <w:kern w:val="0"/>
                <w:sz w:val="22"/>
                <w:lang w:eastAsia="es-CO"/>
                <w14:ligatures w14:val="none"/>
              </w:rPr>
            </w:pPr>
            <w:r w:rsidRPr="00600743">
              <w:rPr>
                <w:rFonts w:ascii="Bookman Old Style" w:eastAsia="Times New Roman" w:hAnsi="Bookman Old Style"/>
                <w:color w:val="auto"/>
                <w:kern w:val="0"/>
                <w:sz w:val="22"/>
                <w:lang w:eastAsia="es-CO"/>
                <w14:ligatures w14:val="none"/>
              </w:rPr>
              <w:t xml:space="preserve">Apelación y consulta sentencia </w:t>
            </w:r>
            <w:r w:rsidRPr="00600743">
              <w:rPr>
                <w:rFonts w:ascii="Bookman Old Style" w:eastAsia="Times New Roman" w:hAnsi="Bookman Old Style"/>
                <w:bCs/>
                <w:color w:val="auto"/>
                <w:kern w:val="0"/>
                <w:sz w:val="22"/>
                <w:lang w:eastAsia="es-CO"/>
                <w14:ligatures w14:val="none"/>
              </w:rPr>
              <w:t>29 de agosto de 2023</w:t>
            </w:r>
          </w:p>
        </w:tc>
      </w:tr>
      <w:tr w:rsidR="00942ECD" w:rsidRPr="00942ECD" w14:paraId="19D17403" w14:textId="77777777" w:rsidTr="0054688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3B605A"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i w:val="0"/>
                <w:iCs w:val="0"/>
                <w:color w:val="auto"/>
                <w:sz w:val="22"/>
              </w:rPr>
              <w:t>Juzgado:</w:t>
            </w:r>
          </w:p>
        </w:tc>
        <w:tc>
          <w:tcPr>
            <w:tcW w:w="0" w:type="auto"/>
          </w:tcPr>
          <w:p w14:paraId="2FEC5DA6" w14:textId="77777777" w:rsidR="008C0708" w:rsidRPr="00600743" w:rsidRDefault="008C0708" w:rsidP="00600743">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2"/>
                <w:lang w:eastAsia="es-CO"/>
                <w14:ligatures w14:val="none"/>
              </w:rPr>
            </w:pPr>
            <w:r w:rsidRPr="00600743">
              <w:rPr>
                <w:rFonts w:ascii="Bookman Old Style" w:eastAsia="Times New Roman" w:hAnsi="Bookman Old Style"/>
                <w:color w:val="auto"/>
                <w:kern w:val="0"/>
                <w:sz w:val="22"/>
                <w:lang w:eastAsia="es-CO"/>
                <w14:ligatures w14:val="none"/>
              </w:rPr>
              <w:t>Cuarto Laboral del Circuito</w:t>
            </w:r>
          </w:p>
        </w:tc>
      </w:tr>
      <w:tr w:rsidR="00942ECD" w:rsidRPr="00942ECD" w14:paraId="3F016A5D" w14:textId="77777777" w:rsidTr="0054688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5C4E3D" w14:textId="77777777" w:rsidR="008C0708" w:rsidRPr="00600743" w:rsidRDefault="008C0708" w:rsidP="00600743">
            <w:pPr>
              <w:ind w:firstLine="0"/>
              <w:jc w:val="both"/>
              <w:rPr>
                <w:rFonts w:ascii="Bookman Old Style" w:hAnsi="Bookman Old Style" w:cs="Arial"/>
                <w:i w:val="0"/>
                <w:iCs w:val="0"/>
                <w:color w:val="auto"/>
                <w:sz w:val="22"/>
              </w:rPr>
            </w:pPr>
            <w:r w:rsidRPr="00600743">
              <w:rPr>
                <w:rFonts w:ascii="Bookman Old Style" w:hAnsi="Bookman Old Style" w:cs="Arial"/>
                <w:i w:val="0"/>
                <w:iCs w:val="0"/>
                <w:color w:val="auto"/>
                <w:sz w:val="22"/>
              </w:rPr>
              <w:t>Tema:</w:t>
            </w:r>
          </w:p>
        </w:tc>
        <w:tc>
          <w:tcPr>
            <w:tcW w:w="0" w:type="auto"/>
          </w:tcPr>
          <w:p w14:paraId="57324802" w14:textId="76C43827" w:rsidR="008C0708" w:rsidRPr="00600743" w:rsidRDefault="008C0708" w:rsidP="00600743">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auto"/>
                <w:kern w:val="0"/>
                <w:sz w:val="22"/>
                <w:lang w:eastAsia="es-CO"/>
                <w14:ligatures w14:val="none"/>
              </w:rPr>
            </w:pPr>
            <w:r w:rsidRPr="00600743">
              <w:rPr>
                <w:rFonts w:ascii="Bookman Old Style" w:eastAsia="Times New Roman" w:hAnsi="Bookman Old Style"/>
                <w:color w:val="auto"/>
                <w:kern w:val="0"/>
                <w:sz w:val="22"/>
                <w:lang w:eastAsia="es-CO"/>
                <w14:ligatures w14:val="none"/>
              </w:rPr>
              <w:t>Ineficacia</w:t>
            </w:r>
            <w:r w:rsidR="00A7123F">
              <w:rPr>
                <w:rFonts w:ascii="Bookman Old Style" w:eastAsia="Times New Roman" w:hAnsi="Bookman Old Style"/>
                <w:color w:val="auto"/>
                <w:kern w:val="0"/>
                <w:sz w:val="22"/>
                <w:lang w:eastAsia="es-CO"/>
                <w14:ligatures w14:val="none"/>
              </w:rPr>
              <w:t xml:space="preserve"> de traslado</w:t>
            </w:r>
          </w:p>
        </w:tc>
      </w:tr>
    </w:tbl>
    <w:p w14:paraId="64B9E7F9" w14:textId="77777777" w:rsidR="008C0708" w:rsidRPr="00942ECD" w:rsidRDefault="008C0708" w:rsidP="00942ECD">
      <w:pPr>
        <w:spacing w:line="276" w:lineRule="auto"/>
        <w:ind w:firstLine="0"/>
        <w:rPr>
          <w:rFonts w:ascii="Bookman Old Style" w:hAnsi="Bookman Old Style"/>
          <w:color w:val="auto"/>
        </w:rPr>
      </w:pPr>
    </w:p>
    <w:p w14:paraId="4B0523AF" w14:textId="2DFE41C8" w:rsidR="008C0708" w:rsidRPr="00942ECD" w:rsidRDefault="008C0708" w:rsidP="00942ECD">
      <w:pPr>
        <w:spacing w:line="276" w:lineRule="auto"/>
        <w:ind w:firstLine="0"/>
        <w:jc w:val="center"/>
        <w:rPr>
          <w:rFonts w:ascii="Bookman Old Style" w:hAnsi="Bookman Old Style"/>
          <w:b/>
          <w:color w:val="auto"/>
        </w:rPr>
      </w:pPr>
      <w:r w:rsidRPr="00942ECD">
        <w:rPr>
          <w:rFonts w:ascii="Bookman Old Style" w:hAnsi="Bookman Old Style"/>
          <w:b/>
          <w:color w:val="auto"/>
        </w:rPr>
        <w:t>APROBADO POR ACTA No.</w:t>
      </w:r>
      <w:r w:rsidR="0053174C" w:rsidRPr="00942ECD">
        <w:rPr>
          <w:rFonts w:ascii="Bookman Old Style" w:hAnsi="Bookman Old Style"/>
          <w:b/>
          <w:color w:val="auto"/>
        </w:rPr>
        <w:t xml:space="preserve"> 202 DEL 12 DE DICIEMBRE DE 2023</w:t>
      </w:r>
    </w:p>
    <w:p w14:paraId="1F36BD74" w14:textId="77777777" w:rsidR="008C0708" w:rsidRPr="00942ECD" w:rsidRDefault="008C0708" w:rsidP="00942ECD">
      <w:pPr>
        <w:spacing w:line="276" w:lineRule="auto"/>
        <w:ind w:firstLine="0"/>
        <w:rPr>
          <w:rFonts w:ascii="Bookman Old Style" w:hAnsi="Bookman Old Style"/>
          <w:color w:val="auto"/>
        </w:rPr>
      </w:pPr>
    </w:p>
    <w:p w14:paraId="120ECC8E" w14:textId="2D8998DC" w:rsidR="008C0708" w:rsidRPr="00942ECD" w:rsidRDefault="008C0708" w:rsidP="00942ECD">
      <w:pPr>
        <w:spacing w:line="276" w:lineRule="auto"/>
        <w:rPr>
          <w:rFonts w:ascii="Bookman Old Style" w:hAnsi="Bookman Old Style"/>
          <w:b/>
          <w:bCs/>
          <w:color w:val="auto"/>
        </w:rPr>
      </w:pPr>
      <w:r w:rsidRPr="00942ECD">
        <w:rPr>
          <w:rFonts w:ascii="Bookman Old Style" w:hAnsi="Bookman Old Style"/>
          <w:color w:val="auto"/>
        </w:rPr>
        <w:t xml:space="preserve">Hoy, </w:t>
      </w:r>
      <w:r w:rsidR="0053174C" w:rsidRPr="00942ECD">
        <w:rPr>
          <w:rFonts w:ascii="Bookman Old Style" w:hAnsi="Bookman Old Style"/>
          <w:color w:val="auto"/>
        </w:rPr>
        <w:t>trece</w:t>
      </w:r>
      <w:r w:rsidRPr="00942ECD">
        <w:rPr>
          <w:rFonts w:ascii="Bookman Old Style" w:hAnsi="Bookman Old Style"/>
          <w:color w:val="auto"/>
        </w:rPr>
        <w:t xml:space="preserve"> (</w:t>
      </w:r>
      <w:r w:rsidR="0053174C" w:rsidRPr="00942ECD">
        <w:rPr>
          <w:rFonts w:ascii="Bookman Old Style" w:hAnsi="Bookman Old Style"/>
          <w:color w:val="auto"/>
        </w:rPr>
        <w:t>13</w:t>
      </w:r>
      <w:r w:rsidRPr="00942ECD">
        <w:rPr>
          <w:rFonts w:ascii="Bookman Old Style" w:hAnsi="Bookman Old Style"/>
          <w:color w:val="auto"/>
        </w:rPr>
        <w:t xml:space="preserve">) de </w:t>
      </w:r>
      <w:r w:rsidR="0053174C" w:rsidRPr="00942ECD">
        <w:rPr>
          <w:rFonts w:ascii="Bookman Old Style" w:hAnsi="Bookman Old Style"/>
          <w:color w:val="auto"/>
        </w:rPr>
        <w:t>diciembre</w:t>
      </w:r>
      <w:r w:rsidRPr="00942ECD">
        <w:rPr>
          <w:rFonts w:ascii="Bookman Old Style" w:hAnsi="Bookman Old Style"/>
          <w:color w:val="auto"/>
        </w:rPr>
        <w:t xml:space="preserve"> de dos mil veintitrés (2023), el Tribunal Superior de Distrito Judicial de Pereira, Sala de Decisión Laboral integrada por los magistrados Dra. Olga Lucia Hoyos Sepúlveda, Dr. Julio César Salazar Muñoz y como ponente Dr. Germán Darío Goez Vinasco, procede a resolver los recursos de apelación y el grado jurisdiccional de consulta, respecto de la sentencia proferida por el Juzgado Cuarto Laboral del Circuito de Pereira, dentro del proceso </w:t>
      </w:r>
      <w:r w:rsidRPr="00600743">
        <w:rPr>
          <w:rFonts w:ascii="Bookman Old Style" w:hAnsi="Bookman Old Style"/>
          <w:b/>
          <w:color w:val="auto"/>
        </w:rPr>
        <w:t>ordinario</w:t>
      </w:r>
      <w:r w:rsidR="00600743" w:rsidRPr="00600743">
        <w:rPr>
          <w:rFonts w:ascii="Bookman Old Style" w:hAnsi="Bookman Old Style"/>
          <w:b/>
          <w:color w:val="auto"/>
        </w:rPr>
        <w:t xml:space="preserve"> laboral</w:t>
      </w:r>
      <w:r w:rsidRPr="00942ECD">
        <w:rPr>
          <w:rFonts w:ascii="Bookman Old Style" w:hAnsi="Bookman Old Style"/>
          <w:color w:val="auto"/>
        </w:rPr>
        <w:t xml:space="preserve"> promovido por </w:t>
      </w:r>
      <w:bookmarkStart w:id="1" w:name="_Hlk152711291"/>
      <w:r w:rsidRPr="00942ECD">
        <w:rPr>
          <w:rFonts w:ascii="Bookman Old Style" w:hAnsi="Bookman Old Style"/>
          <w:b/>
          <w:bCs/>
          <w:color w:val="auto"/>
        </w:rPr>
        <w:t xml:space="preserve">BEATRIZ ELENA </w:t>
      </w:r>
      <w:r w:rsidRPr="00942ECD">
        <w:rPr>
          <w:rFonts w:ascii="Bookman Old Style" w:hAnsi="Bookman Old Style"/>
          <w:b/>
          <w:bCs/>
          <w:color w:val="auto"/>
        </w:rPr>
        <w:lastRenderedPageBreak/>
        <w:t xml:space="preserve">BONILLA MARTINEZ </w:t>
      </w:r>
      <w:r w:rsidRPr="00942ECD">
        <w:rPr>
          <w:rFonts w:ascii="Bookman Old Style" w:hAnsi="Bookman Old Style"/>
          <w:color w:val="auto"/>
        </w:rPr>
        <w:t xml:space="preserve">en contra de la </w:t>
      </w:r>
      <w:r w:rsidRPr="00942ECD">
        <w:rPr>
          <w:rFonts w:ascii="Bookman Old Style" w:hAnsi="Bookman Old Style"/>
          <w:b/>
          <w:bCs/>
          <w:color w:val="auto"/>
        </w:rPr>
        <w:t>ADMINISTRADORA COLOMBIANA DE PENSIONES “COLPENSIONES”</w:t>
      </w:r>
      <w:r w:rsidR="000603F2" w:rsidRPr="00942ECD">
        <w:rPr>
          <w:rFonts w:ascii="Bookman Old Style" w:hAnsi="Bookman Old Style"/>
          <w:b/>
          <w:bCs/>
          <w:color w:val="auto"/>
        </w:rPr>
        <w:t>,</w:t>
      </w:r>
      <w:r w:rsidRPr="00942ECD">
        <w:rPr>
          <w:rFonts w:ascii="Bookman Old Style" w:hAnsi="Bookman Old Style"/>
          <w:color w:val="auto"/>
        </w:rPr>
        <w:t xml:space="preserve"> la </w:t>
      </w:r>
      <w:r w:rsidRPr="00942ECD">
        <w:rPr>
          <w:rFonts w:ascii="Bookman Old Style" w:hAnsi="Bookman Old Style"/>
          <w:b/>
          <w:bCs/>
          <w:color w:val="auto"/>
        </w:rPr>
        <w:t>ADMINISTRADORA DE FONDOS DE PENSIONES Y CESANTÍAS PROTECCION S.A.</w:t>
      </w:r>
      <w:r w:rsidRPr="00942ECD">
        <w:rPr>
          <w:rFonts w:ascii="Bookman Old Style" w:hAnsi="Bookman Old Style"/>
          <w:color w:val="auto"/>
        </w:rPr>
        <w:t xml:space="preserve"> y </w:t>
      </w:r>
      <w:r w:rsidRPr="00942ECD">
        <w:rPr>
          <w:rFonts w:ascii="Bookman Old Style" w:hAnsi="Bookman Old Style"/>
          <w:b/>
          <w:bCs/>
          <w:color w:val="auto"/>
        </w:rPr>
        <w:t xml:space="preserve">COLFONDOS </w:t>
      </w:r>
      <w:r w:rsidR="000603F2" w:rsidRPr="00942ECD">
        <w:rPr>
          <w:rFonts w:ascii="Bookman Old Style" w:hAnsi="Bookman Old Style"/>
          <w:b/>
          <w:bCs/>
          <w:color w:val="auto"/>
        </w:rPr>
        <w:t xml:space="preserve">PENSIONES Y CESANTÍAS </w:t>
      </w:r>
      <w:r w:rsidRPr="00942ECD">
        <w:rPr>
          <w:rFonts w:ascii="Bookman Old Style" w:hAnsi="Bookman Old Style"/>
          <w:b/>
          <w:bCs/>
          <w:color w:val="auto"/>
        </w:rPr>
        <w:t>S.A.</w:t>
      </w:r>
      <w:bookmarkEnd w:id="1"/>
      <w:r w:rsidRPr="00942ECD">
        <w:rPr>
          <w:rFonts w:ascii="Bookman Old Style" w:hAnsi="Bookman Old Style"/>
          <w:b/>
          <w:bCs/>
          <w:color w:val="auto"/>
        </w:rPr>
        <w:t xml:space="preserve"> </w:t>
      </w:r>
      <w:r w:rsidRPr="00942ECD">
        <w:rPr>
          <w:rFonts w:ascii="Bookman Old Style" w:hAnsi="Bookman Old Style"/>
          <w:color w:val="auto"/>
        </w:rPr>
        <w:t xml:space="preserve">Radicado:  </w:t>
      </w:r>
      <w:r w:rsidRPr="00942ECD">
        <w:rPr>
          <w:rFonts w:ascii="Bookman Old Style" w:hAnsi="Bookman Old Style"/>
          <w:b/>
          <w:bCs/>
          <w:color w:val="auto"/>
        </w:rPr>
        <w:t>66001310500420230007601.</w:t>
      </w:r>
    </w:p>
    <w:p w14:paraId="5CCA2D04" w14:textId="77777777" w:rsidR="008C0708" w:rsidRPr="00942ECD" w:rsidRDefault="008C0708" w:rsidP="00942ECD">
      <w:pPr>
        <w:spacing w:line="276" w:lineRule="auto"/>
        <w:ind w:firstLine="0"/>
        <w:rPr>
          <w:rFonts w:ascii="Bookman Old Style" w:hAnsi="Bookman Old Style"/>
          <w:color w:val="auto"/>
        </w:rPr>
      </w:pPr>
    </w:p>
    <w:p w14:paraId="532DCC97" w14:textId="38336914" w:rsidR="008C0708" w:rsidRPr="00942ECD" w:rsidRDefault="008C0708"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AUTO</w:t>
      </w:r>
    </w:p>
    <w:p w14:paraId="1F0EAA67" w14:textId="77777777"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ab/>
      </w:r>
    </w:p>
    <w:p w14:paraId="10ABFA54" w14:textId="0917BC05" w:rsidR="008C0708" w:rsidRPr="00942ECD" w:rsidRDefault="00600743" w:rsidP="00942ECD">
      <w:pPr>
        <w:spacing w:line="276" w:lineRule="auto"/>
        <w:rPr>
          <w:rFonts w:ascii="Bookman Old Style" w:hAnsi="Bookman Old Style"/>
          <w:color w:val="auto"/>
        </w:rPr>
      </w:pPr>
      <w:r>
        <w:rPr>
          <w:rFonts w:ascii="Bookman Old Style" w:hAnsi="Bookman Old Style"/>
          <w:color w:val="auto"/>
        </w:rPr>
        <w:t>(…)</w:t>
      </w:r>
    </w:p>
    <w:p w14:paraId="085C3611" w14:textId="77777777" w:rsidR="008C0708" w:rsidRPr="00942ECD" w:rsidRDefault="008C0708" w:rsidP="00942ECD">
      <w:pPr>
        <w:spacing w:line="276" w:lineRule="auto"/>
        <w:rPr>
          <w:rFonts w:ascii="Bookman Old Style" w:hAnsi="Bookman Old Style"/>
          <w:color w:val="auto"/>
        </w:rPr>
      </w:pPr>
    </w:p>
    <w:p w14:paraId="5492EC30" w14:textId="77777777"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7BC841" w14:textId="77777777" w:rsidR="008C0708" w:rsidRPr="00942ECD" w:rsidRDefault="008C0708" w:rsidP="00942ECD">
      <w:pPr>
        <w:spacing w:line="276" w:lineRule="auto"/>
        <w:ind w:firstLine="0"/>
        <w:rPr>
          <w:rFonts w:ascii="Bookman Old Style" w:hAnsi="Bookman Old Style"/>
          <w:color w:val="auto"/>
        </w:rPr>
      </w:pPr>
    </w:p>
    <w:p w14:paraId="5EBE1EC8" w14:textId="3A72C590" w:rsidR="008C0708" w:rsidRPr="00942ECD" w:rsidRDefault="008C0708"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SENTENCIA No.</w:t>
      </w:r>
      <w:r w:rsidR="00546882" w:rsidRPr="00942ECD">
        <w:rPr>
          <w:rFonts w:ascii="Bookman Old Style" w:hAnsi="Bookman Old Style"/>
          <w:b/>
          <w:bCs/>
          <w:color w:val="auto"/>
        </w:rPr>
        <w:t xml:space="preserve"> 210</w:t>
      </w:r>
    </w:p>
    <w:p w14:paraId="3EAFCF33" w14:textId="77777777" w:rsidR="008C0708" w:rsidRPr="00942ECD" w:rsidRDefault="008C0708" w:rsidP="00942ECD">
      <w:pPr>
        <w:spacing w:line="276" w:lineRule="auto"/>
        <w:rPr>
          <w:rFonts w:ascii="Bookman Old Style" w:hAnsi="Bookman Old Style"/>
          <w:b/>
          <w:bCs/>
          <w:color w:val="auto"/>
        </w:rPr>
      </w:pPr>
    </w:p>
    <w:p w14:paraId="79ACAA9F" w14:textId="77777777" w:rsidR="008C0708" w:rsidRPr="00942ECD" w:rsidRDefault="008C0708" w:rsidP="00600743">
      <w:pPr>
        <w:spacing w:line="276" w:lineRule="auto"/>
        <w:ind w:firstLine="0"/>
        <w:jc w:val="center"/>
        <w:rPr>
          <w:rFonts w:ascii="Bookman Old Style" w:hAnsi="Bookman Old Style"/>
          <w:b/>
          <w:bCs/>
          <w:color w:val="auto"/>
        </w:rPr>
      </w:pPr>
      <w:r w:rsidRPr="00942ECD">
        <w:rPr>
          <w:rFonts w:ascii="Bookman Old Style" w:hAnsi="Bookman Old Style"/>
          <w:b/>
          <w:bCs/>
          <w:color w:val="auto"/>
        </w:rPr>
        <w:t>ANTECEDENTES</w:t>
      </w:r>
    </w:p>
    <w:p w14:paraId="701A8075" w14:textId="77777777" w:rsidR="008C0708" w:rsidRPr="00942ECD" w:rsidRDefault="008C0708" w:rsidP="00942ECD">
      <w:pPr>
        <w:spacing w:line="276" w:lineRule="auto"/>
        <w:ind w:firstLine="0"/>
        <w:rPr>
          <w:rFonts w:ascii="Bookman Old Style" w:hAnsi="Bookman Old Style"/>
          <w:color w:val="auto"/>
        </w:rPr>
      </w:pPr>
    </w:p>
    <w:p w14:paraId="66782DDF" w14:textId="7F834EDE" w:rsidR="009953E4" w:rsidRPr="00942ECD" w:rsidRDefault="008C0708" w:rsidP="00942ECD">
      <w:pPr>
        <w:spacing w:line="276" w:lineRule="auto"/>
        <w:rPr>
          <w:rFonts w:ascii="Bookman Old Style" w:hAnsi="Bookman Old Style"/>
          <w:color w:val="auto"/>
        </w:rPr>
      </w:pPr>
      <w:r w:rsidRPr="00942ECD">
        <w:rPr>
          <w:rFonts w:ascii="Bookman Old Style" w:hAnsi="Bookman Old Style"/>
          <w:b/>
          <w:bCs/>
          <w:color w:val="auto"/>
        </w:rPr>
        <w:t xml:space="preserve">BEATRIZ ELENA BONILLA MARTÍNEZ </w:t>
      </w:r>
      <w:r w:rsidRPr="00942ECD">
        <w:rPr>
          <w:rFonts w:ascii="Bookman Old Style" w:hAnsi="Bookman Old Style"/>
          <w:color w:val="auto"/>
        </w:rPr>
        <w:t>aspira a que se declare la ineficacia y/o nulidad del traslado de régimen en el cual migr</w:t>
      </w:r>
      <w:r w:rsidR="009953E4" w:rsidRPr="00942ECD">
        <w:rPr>
          <w:rFonts w:ascii="Bookman Old Style" w:hAnsi="Bookman Old Style"/>
          <w:color w:val="auto"/>
        </w:rPr>
        <w:t>ó</w:t>
      </w:r>
      <w:r w:rsidRPr="00942ECD">
        <w:rPr>
          <w:rFonts w:ascii="Bookman Old Style" w:hAnsi="Bookman Old Style"/>
          <w:color w:val="auto"/>
        </w:rPr>
        <w:t xml:space="preserve"> del Régimen de Prima Media Con Prestación Definida (RPM con PD) </w:t>
      </w:r>
      <w:r w:rsidR="009953E4" w:rsidRPr="00942ECD">
        <w:rPr>
          <w:rFonts w:ascii="Bookman Old Style" w:hAnsi="Bookman Old Style"/>
          <w:color w:val="auto"/>
        </w:rPr>
        <w:t xml:space="preserve">hoy </w:t>
      </w:r>
      <w:r w:rsidRPr="00942ECD">
        <w:rPr>
          <w:rFonts w:ascii="Bookman Old Style" w:hAnsi="Bookman Old Style"/>
          <w:color w:val="auto"/>
        </w:rPr>
        <w:t xml:space="preserve">administrado por la </w:t>
      </w:r>
      <w:r w:rsidRPr="00942ECD">
        <w:rPr>
          <w:rFonts w:ascii="Bookman Old Style" w:hAnsi="Bookman Old Style"/>
          <w:b/>
          <w:bCs/>
          <w:color w:val="auto"/>
        </w:rPr>
        <w:t>ADMINISTRADORA COLOMBIANA DE PENSIONES COLPENSIONES</w:t>
      </w:r>
      <w:r w:rsidRPr="00942ECD">
        <w:rPr>
          <w:rFonts w:ascii="Bookman Old Style" w:hAnsi="Bookman Old Style"/>
          <w:color w:val="auto"/>
        </w:rPr>
        <w:t xml:space="preserve">, hacia </w:t>
      </w:r>
      <w:r w:rsidRPr="00942ECD">
        <w:rPr>
          <w:rFonts w:ascii="Bookman Old Style" w:hAnsi="Bookman Old Style"/>
          <w:b/>
          <w:bCs/>
          <w:color w:val="auto"/>
        </w:rPr>
        <w:t>COLFONDOS PENSIONES Y CESANTIAS S.A.</w:t>
      </w:r>
      <w:r w:rsidRPr="00942ECD">
        <w:rPr>
          <w:rFonts w:ascii="Bookman Old Style" w:hAnsi="Bookman Old Style"/>
          <w:color w:val="auto"/>
        </w:rPr>
        <w:t xml:space="preserve"> </w:t>
      </w:r>
    </w:p>
    <w:p w14:paraId="1DBED6CC" w14:textId="77777777" w:rsidR="009953E4" w:rsidRPr="00942ECD" w:rsidRDefault="009953E4" w:rsidP="00942ECD">
      <w:pPr>
        <w:spacing w:line="276" w:lineRule="auto"/>
        <w:rPr>
          <w:rFonts w:ascii="Bookman Old Style" w:hAnsi="Bookman Old Style"/>
          <w:color w:val="auto"/>
        </w:rPr>
      </w:pPr>
    </w:p>
    <w:p w14:paraId="47E5171A" w14:textId="62BC8510"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 xml:space="preserve">En consecuencia, solicita que se ordene a </w:t>
      </w:r>
      <w:r w:rsidR="009953E4" w:rsidRPr="00942ECD">
        <w:rPr>
          <w:rFonts w:ascii="Bookman Old Style" w:hAnsi="Bookman Old Style"/>
          <w:b/>
          <w:bCs/>
          <w:color w:val="auto"/>
        </w:rPr>
        <w:t>COLFONDOS PENSIONES Y CESANTIAS S.A.</w:t>
      </w:r>
      <w:r w:rsidR="009953E4" w:rsidRPr="00942ECD">
        <w:rPr>
          <w:rFonts w:ascii="Bookman Old Style" w:hAnsi="Bookman Old Style"/>
          <w:color w:val="auto"/>
        </w:rPr>
        <w:t xml:space="preserve"> y a la </w:t>
      </w:r>
      <w:r w:rsidR="009953E4" w:rsidRPr="00942ECD">
        <w:rPr>
          <w:rFonts w:ascii="Bookman Old Style" w:hAnsi="Bookman Old Style"/>
          <w:b/>
          <w:bCs/>
          <w:color w:val="auto"/>
        </w:rPr>
        <w:t>ADMINISTRADORA DE FONDOS DE PENSIONES Y CESANTÍAS PROTECCIÓN S.A.</w:t>
      </w:r>
      <w:r w:rsidR="009953E4" w:rsidRPr="00942ECD">
        <w:rPr>
          <w:rFonts w:ascii="Bookman Old Style" w:hAnsi="Bookman Old Style"/>
          <w:color w:val="auto"/>
        </w:rPr>
        <w:t xml:space="preserve"> </w:t>
      </w:r>
      <w:r w:rsidRPr="00942ECD">
        <w:rPr>
          <w:rFonts w:ascii="Bookman Old Style" w:hAnsi="Bookman Old Style"/>
          <w:color w:val="auto"/>
        </w:rPr>
        <w:t xml:space="preserve">remitir </w:t>
      </w:r>
      <w:r w:rsidR="009953E4" w:rsidRPr="00942ECD">
        <w:rPr>
          <w:rFonts w:ascii="Bookman Old Style" w:hAnsi="Bookman Old Style"/>
          <w:color w:val="auto"/>
        </w:rPr>
        <w:t xml:space="preserve">hacia </w:t>
      </w:r>
      <w:r w:rsidRPr="00942ECD">
        <w:rPr>
          <w:rFonts w:ascii="Bookman Old Style" w:hAnsi="Bookman Old Style"/>
          <w:color w:val="auto"/>
        </w:rPr>
        <w:t xml:space="preserve">Colpensiones, los saldos, cotizaciones y/o aportes, bonos pensionales, sumas adicionales juntos con sus intereses y con la diferencia entre el valor de lo trasladado por la AFP y lo que hubiere cotizado de haber permanecido en el otrora ISS </w:t>
      </w:r>
      <w:r w:rsidR="009953E4" w:rsidRPr="00942ECD">
        <w:rPr>
          <w:rFonts w:ascii="Bookman Old Style" w:hAnsi="Bookman Old Style"/>
          <w:color w:val="auto"/>
        </w:rPr>
        <w:t xml:space="preserve">durante el tiempo en que la actora estuvo en ellas afiliada. </w:t>
      </w:r>
      <w:r w:rsidRPr="00942ECD">
        <w:rPr>
          <w:rFonts w:ascii="Bookman Old Style" w:hAnsi="Bookman Old Style"/>
          <w:color w:val="auto"/>
        </w:rPr>
        <w:t xml:space="preserve">Además, solicita que se ordene a la </w:t>
      </w:r>
      <w:r w:rsidRPr="00942ECD">
        <w:rPr>
          <w:rFonts w:ascii="Bookman Old Style" w:hAnsi="Bookman Old Style"/>
          <w:b/>
          <w:bCs/>
          <w:color w:val="auto"/>
        </w:rPr>
        <w:t>ADMINISTRADORA COLOMBIANA DE PENSIONES "COLPENSIONES",</w:t>
      </w:r>
      <w:r w:rsidRPr="00942ECD">
        <w:rPr>
          <w:rFonts w:ascii="Bookman Old Style" w:hAnsi="Bookman Old Style"/>
          <w:color w:val="auto"/>
        </w:rPr>
        <w:t xml:space="preserve"> que una vez reciba de la AFP PROTECCION S.A., las cotizaciones y/o aportes, los saldos, beneficios, rendimientos y diferencias económicas, acepte el traslado pensional de la </w:t>
      </w:r>
      <w:r w:rsidR="009953E4" w:rsidRPr="00942ECD">
        <w:rPr>
          <w:rFonts w:ascii="Bookman Old Style" w:hAnsi="Bookman Old Style"/>
          <w:color w:val="auto"/>
        </w:rPr>
        <w:t xml:space="preserve">actora. De otro lado, solicita que </w:t>
      </w:r>
      <w:r w:rsidRPr="00942ECD">
        <w:rPr>
          <w:rFonts w:ascii="Bookman Old Style" w:hAnsi="Bookman Old Style"/>
          <w:color w:val="auto"/>
        </w:rPr>
        <w:t>se condene a las agencias en derecho y costas procesales correspondientes.</w:t>
      </w:r>
    </w:p>
    <w:p w14:paraId="3AB41557" w14:textId="77777777" w:rsidR="008C0708" w:rsidRPr="00942ECD" w:rsidRDefault="008C0708" w:rsidP="00942ECD">
      <w:pPr>
        <w:spacing w:line="276" w:lineRule="auto"/>
        <w:rPr>
          <w:rFonts w:ascii="Bookman Old Style" w:hAnsi="Bookman Old Style"/>
          <w:color w:val="auto"/>
        </w:rPr>
      </w:pPr>
    </w:p>
    <w:p w14:paraId="6CB919A4" w14:textId="785A8A46"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 xml:space="preserve">Los hechos que sustentan lo pretendido, indican que la actora en marzo de 1990 se vinculó al ISS hoy </w:t>
      </w:r>
      <w:r w:rsidR="002C5E81" w:rsidRPr="00942ECD">
        <w:rPr>
          <w:rFonts w:ascii="Bookman Old Style" w:hAnsi="Bookman Old Style"/>
          <w:color w:val="auto"/>
        </w:rPr>
        <w:t>Colpensiones</w:t>
      </w:r>
      <w:r w:rsidRPr="00942ECD">
        <w:rPr>
          <w:rFonts w:ascii="Bookman Old Style" w:hAnsi="Bookman Old Style"/>
          <w:color w:val="auto"/>
        </w:rPr>
        <w:t>; que el 25 de Mayo de 200</w:t>
      </w:r>
      <w:r w:rsidR="006D0EDB" w:rsidRPr="00942ECD">
        <w:rPr>
          <w:rFonts w:ascii="Bookman Old Style" w:hAnsi="Bookman Old Style"/>
          <w:color w:val="auto"/>
        </w:rPr>
        <w:t>1</w:t>
      </w:r>
      <w:r w:rsidRPr="00942ECD">
        <w:rPr>
          <w:rFonts w:ascii="Bookman Old Style" w:hAnsi="Bookman Old Style"/>
          <w:color w:val="auto"/>
        </w:rPr>
        <w:t xml:space="preserve">, firmó un formulario de traslado del Régimen de Prima Media con Prestación definida, administrado por el ISS al Régimen de Ahorro Individual con solidaridad administrado por </w:t>
      </w:r>
      <w:r w:rsidR="002C5E81" w:rsidRPr="00942ECD">
        <w:rPr>
          <w:rFonts w:ascii="Bookman Old Style" w:hAnsi="Bookman Old Style"/>
          <w:color w:val="auto"/>
        </w:rPr>
        <w:t xml:space="preserve">Colfondos Pensiones y Cesantías </w:t>
      </w:r>
      <w:r w:rsidRPr="00942ECD">
        <w:rPr>
          <w:rFonts w:ascii="Bookman Old Style" w:hAnsi="Bookman Old Style"/>
          <w:color w:val="auto"/>
        </w:rPr>
        <w:t>S.A., a través de un asesor que le realizo el traslado sin brindarle la asesoría legal y financiera que se requería para ella tomar una decisión libre e informada; ya que no le dio información plena, cierta, seria y oportuna que le permitiera la decisión bajo un consentimiento completo, informado y consciente de las consecuencias económicas que generaría la decisión.</w:t>
      </w:r>
      <w:r w:rsidR="002C5E81" w:rsidRPr="00942ECD">
        <w:rPr>
          <w:rFonts w:ascii="Bookman Old Style" w:hAnsi="Bookman Old Style"/>
          <w:color w:val="auto"/>
        </w:rPr>
        <w:t xml:space="preserve"> Agrega, que </w:t>
      </w:r>
      <w:r w:rsidRPr="00942ECD">
        <w:rPr>
          <w:rFonts w:ascii="Bookman Old Style" w:hAnsi="Bookman Old Style"/>
          <w:color w:val="auto"/>
        </w:rPr>
        <w:t xml:space="preserve">el 1 de agosto de 2008, firmo formulario de traslado entre AFP del RAIS, con la </w:t>
      </w:r>
      <w:r w:rsidR="002C5E81" w:rsidRPr="00942ECD">
        <w:rPr>
          <w:rFonts w:ascii="Bookman Old Style" w:hAnsi="Bookman Old Style"/>
          <w:color w:val="auto"/>
        </w:rPr>
        <w:lastRenderedPageBreak/>
        <w:t xml:space="preserve">Administradora De Fondos Pensiones y Cesantías Protección </w:t>
      </w:r>
      <w:r w:rsidRPr="00942ECD">
        <w:rPr>
          <w:rFonts w:ascii="Bookman Old Style" w:hAnsi="Bookman Old Style"/>
          <w:color w:val="auto"/>
        </w:rPr>
        <w:t>S.A. quien además negó su solicitud de retornar a prima media por estar a menos de 10 años de la edad mínima (archivo 01).</w:t>
      </w:r>
    </w:p>
    <w:p w14:paraId="14199D18" w14:textId="77777777" w:rsidR="008C0708" w:rsidRPr="00942ECD" w:rsidRDefault="008C0708" w:rsidP="00942ECD">
      <w:pPr>
        <w:spacing w:line="276" w:lineRule="auto"/>
        <w:ind w:firstLine="0"/>
        <w:rPr>
          <w:rFonts w:ascii="Bookman Old Style" w:hAnsi="Bookman Old Style"/>
          <w:color w:val="auto"/>
        </w:rPr>
      </w:pPr>
    </w:p>
    <w:p w14:paraId="35AC6694" w14:textId="77777777"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La demanda fue radicada el 27-02-2023 y admitida por auto del 21-03-2023.</w:t>
      </w:r>
    </w:p>
    <w:p w14:paraId="31E812D5" w14:textId="77777777" w:rsidR="008C0708" w:rsidRPr="00942ECD" w:rsidRDefault="008C0708" w:rsidP="00942ECD">
      <w:pPr>
        <w:spacing w:line="276" w:lineRule="auto"/>
        <w:ind w:firstLine="0"/>
        <w:rPr>
          <w:rFonts w:ascii="Bookman Old Style" w:hAnsi="Bookman Old Style"/>
          <w:color w:val="auto"/>
        </w:rPr>
      </w:pPr>
    </w:p>
    <w:p w14:paraId="2F2751C4" w14:textId="1EACB265" w:rsidR="008C0708" w:rsidRPr="00942ECD" w:rsidRDefault="008C0708" w:rsidP="00942ECD">
      <w:pPr>
        <w:spacing w:line="276" w:lineRule="auto"/>
        <w:rPr>
          <w:rFonts w:ascii="Bookman Old Style" w:hAnsi="Bookman Old Style"/>
          <w:b/>
          <w:bCs/>
          <w:color w:val="auto"/>
        </w:rPr>
      </w:pPr>
      <w:r w:rsidRPr="00942ECD">
        <w:rPr>
          <w:rFonts w:ascii="Bookman Old Style" w:hAnsi="Bookman Old Style"/>
          <w:color w:val="auto"/>
        </w:rPr>
        <w:t xml:space="preserve">La </w:t>
      </w:r>
      <w:r w:rsidRPr="00942ECD">
        <w:rPr>
          <w:rFonts w:ascii="Bookman Old Style" w:hAnsi="Bookman Old Style"/>
          <w:b/>
          <w:bCs/>
          <w:color w:val="auto"/>
        </w:rPr>
        <w:t xml:space="preserve">ADMINISTRADORA COLOMBIANA DE PENSIONES COLPENSIONES </w:t>
      </w:r>
      <w:r w:rsidRPr="00942ECD">
        <w:rPr>
          <w:rFonts w:ascii="Bookman Old Style" w:hAnsi="Bookman Old Style"/>
          <w:color w:val="auto"/>
        </w:rPr>
        <w:t>al contestar (archivo 08) se opuso a lo pretendido considerando que no estaban acreditados los requisitos para declarar la ineficacia y tampoco existían los medios de prueba que acrediten las circunstancias expuestas en la demanda, por lo que el traslado de régimen es eficaz. Como excepciones formula</w:t>
      </w:r>
      <w:r w:rsidR="00FF3FEE" w:rsidRPr="00942ECD">
        <w:rPr>
          <w:rFonts w:ascii="Bookman Old Style" w:hAnsi="Bookman Old Style"/>
          <w:color w:val="auto"/>
        </w:rPr>
        <w:t>:</w:t>
      </w:r>
      <w:r w:rsidRPr="00942ECD">
        <w:rPr>
          <w:rFonts w:ascii="Bookman Old Style" w:hAnsi="Bookman Old Style"/>
          <w:color w:val="auto"/>
        </w:rPr>
        <w:t xml:space="preserve"> </w:t>
      </w:r>
      <w:r w:rsidRPr="00942ECD">
        <w:rPr>
          <w:rFonts w:ascii="Bookman Old Style" w:hAnsi="Bookman Old Style"/>
          <w:b/>
          <w:bCs/>
          <w:color w:val="auto"/>
        </w:rPr>
        <w:t>Improcedencia de la declaratoria de ineficacia de traslado de régimen pensional, Improcedencia de admisibilidad de la afiliación en el régimen de prima media con prestación definida sin solución de continuidad, Inoponibilidad de la responsabilidad de la AFP ante Colpensiones en ineficacia de traslado de régimen, inobservancia del principio de sostenibilidad financiera del sistema general de pensiones, Buena fe, excepta de culpa, Improcedencia de condena en costas y agencias en derecho, Prescripción e innominadas.</w:t>
      </w:r>
    </w:p>
    <w:p w14:paraId="1278A49F" w14:textId="77777777" w:rsidR="008C0708" w:rsidRPr="00942ECD" w:rsidRDefault="008C0708" w:rsidP="00942ECD">
      <w:pPr>
        <w:spacing w:line="276" w:lineRule="auto"/>
        <w:ind w:firstLine="0"/>
        <w:rPr>
          <w:rFonts w:ascii="Bookman Old Style" w:hAnsi="Bookman Old Style"/>
          <w:color w:val="auto"/>
        </w:rPr>
      </w:pPr>
    </w:p>
    <w:p w14:paraId="39502820" w14:textId="0E7AA64B" w:rsidR="008C0708" w:rsidRPr="00942ECD" w:rsidRDefault="008C0708" w:rsidP="00942ECD">
      <w:pPr>
        <w:spacing w:line="276" w:lineRule="auto"/>
        <w:rPr>
          <w:rFonts w:ascii="Bookman Old Style" w:hAnsi="Bookman Old Style"/>
          <w:b/>
          <w:bCs/>
          <w:color w:val="auto"/>
        </w:rPr>
      </w:pPr>
      <w:r w:rsidRPr="00942ECD">
        <w:rPr>
          <w:rFonts w:ascii="Bookman Old Style" w:hAnsi="Bookman Old Style"/>
          <w:b/>
          <w:bCs/>
          <w:color w:val="auto"/>
        </w:rPr>
        <w:t>COLFONDOS PENSIONES Y CESANTÍAS S.A.</w:t>
      </w:r>
      <w:r w:rsidRPr="00942ECD">
        <w:rPr>
          <w:rFonts w:ascii="Bookman Old Style" w:hAnsi="Bookman Old Style"/>
          <w:color w:val="auto"/>
        </w:rPr>
        <w:t xml:space="preserve">, se opuso a las pretensiones (archivo 09) al considerar que la afiliación fue en uso del derecho a la libre escogencia; que la actora recibió de los asesores comerciales de </w:t>
      </w:r>
      <w:r w:rsidR="00FF3FEE" w:rsidRPr="00942ECD">
        <w:rPr>
          <w:rFonts w:ascii="Bookman Old Style" w:hAnsi="Bookman Old Style"/>
          <w:color w:val="auto"/>
        </w:rPr>
        <w:t xml:space="preserve">Colfondos </w:t>
      </w:r>
      <w:r w:rsidRPr="00942ECD">
        <w:rPr>
          <w:rFonts w:ascii="Bookman Old Style" w:hAnsi="Bookman Old Style"/>
          <w:color w:val="auto"/>
        </w:rPr>
        <w:t xml:space="preserve">una asesoría integral y completa, por lo que no se podía concluir que el traslado de régimen fue nulo, por cuanto se cumplieron todos los presupuestos de ley, y el formulario fue firmado sin presión ni coacción alguna para efectuar el traslado, y por ende no está viciado el consentimiento. Asegura que tampoco era posible dejar sin efecto un acto válido que nació a la vida jurídica y que ratifica los actos propios de la parte demandante con la vinculación formal a la AFP </w:t>
      </w:r>
      <w:r w:rsidR="00FF3FEE" w:rsidRPr="00942ECD">
        <w:rPr>
          <w:rFonts w:ascii="Bookman Old Style" w:hAnsi="Bookman Old Style"/>
          <w:color w:val="auto"/>
        </w:rPr>
        <w:t xml:space="preserve">Colfondos </w:t>
      </w:r>
      <w:r w:rsidRPr="00942ECD">
        <w:rPr>
          <w:rFonts w:ascii="Bookman Old Style" w:hAnsi="Bookman Old Style"/>
          <w:color w:val="auto"/>
        </w:rPr>
        <w:t xml:space="preserve">S.A., y dentro del plazo legal no manifestó inconformidades ni su deseo de volver al Régimen de Prima Media por lo que tampoco se podía declarar la ineficacia. Como excepciones formula </w:t>
      </w:r>
      <w:r w:rsidR="00FF3FEE" w:rsidRPr="00942ECD">
        <w:rPr>
          <w:rFonts w:ascii="Bookman Old Style" w:hAnsi="Bookman Old Style"/>
          <w:b/>
          <w:bCs/>
          <w:color w:val="auto"/>
        </w:rPr>
        <w:t>Prescripción de la acción para solicitar la nulidad de la afiliación, Compensación y pago, Inexistencia de la obligación, falta de legitimación en la causa por pasiva, Buena fe, Innominada, Ausencia de vicios del consentimiento, Validez de la afiliación al régimen de ahorro individual con solidaridad, Ratificación de la afiliación del actor al fondo de pensiones obligatorias administrado por Colfondos S.A.</w:t>
      </w:r>
    </w:p>
    <w:p w14:paraId="53202E96" w14:textId="77777777" w:rsidR="008C0708" w:rsidRPr="00942ECD" w:rsidRDefault="008C0708" w:rsidP="00942ECD">
      <w:pPr>
        <w:spacing w:line="276" w:lineRule="auto"/>
        <w:ind w:firstLine="0"/>
        <w:rPr>
          <w:rFonts w:ascii="Bookman Old Style" w:hAnsi="Bookman Old Style"/>
          <w:color w:val="auto"/>
        </w:rPr>
      </w:pPr>
    </w:p>
    <w:p w14:paraId="14A81DF7" w14:textId="77777777"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 xml:space="preserve">La </w:t>
      </w:r>
      <w:r w:rsidRPr="00942ECD">
        <w:rPr>
          <w:rFonts w:ascii="Bookman Old Style" w:hAnsi="Bookman Old Style"/>
          <w:b/>
          <w:bCs/>
          <w:color w:val="auto"/>
        </w:rPr>
        <w:t>ADMINISTRADORA DE PENSIONES Y CESANTÍAS PROTECCIÓN S.A.</w:t>
      </w:r>
      <w:r w:rsidRPr="00942ECD">
        <w:rPr>
          <w:rFonts w:ascii="Bookman Old Style" w:hAnsi="Bookman Old Style"/>
          <w:color w:val="auto"/>
        </w:rPr>
        <w:t xml:space="preserve"> no contestó la demanda, conducta que se tuvo como indicio grave en contra según auto del 28 de junio de 2023 (archivo 15).</w:t>
      </w:r>
    </w:p>
    <w:p w14:paraId="10924EAC" w14:textId="77777777" w:rsidR="008C0708" w:rsidRPr="00942ECD" w:rsidRDefault="008C0708" w:rsidP="00942ECD">
      <w:pPr>
        <w:spacing w:line="276" w:lineRule="auto"/>
        <w:ind w:firstLine="0"/>
        <w:rPr>
          <w:rFonts w:ascii="Bookman Old Style" w:hAnsi="Bookman Old Style"/>
          <w:b/>
          <w:bCs/>
          <w:color w:val="auto"/>
        </w:rPr>
      </w:pPr>
    </w:p>
    <w:p w14:paraId="57E0C9F7" w14:textId="77777777" w:rsidR="008C0708" w:rsidRPr="00942ECD" w:rsidRDefault="008C0708" w:rsidP="00942ECD">
      <w:pPr>
        <w:spacing w:line="276" w:lineRule="auto"/>
        <w:jc w:val="center"/>
        <w:rPr>
          <w:rFonts w:ascii="Bookman Old Style" w:hAnsi="Bookman Old Style"/>
          <w:b/>
          <w:bCs/>
          <w:color w:val="auto"/>
        </w:rPr>
      </w:pPr>
      <w:r w:rsidRPr="00942ECD">
        <w:rPr>
          <w:rFonts w:ascii="Bookman Old Style" w:hAnsi="Bookman Old Style"/>
          <w:b/>
          <w:bCs/>
          <w:color w:val="auto"/>
        </w:rPr>
        <w:t>SENTENCIA DE PRIMERA INSTANCIA</w:t>
      </w:r>
    </w:p>
    <w:p w14:paraId="65B0EC62" w14:textId="77777777" w:rsidR="008C0708" w:rsidRPr="00942ECD" w:rsidRDefault="008C0708" w:rsidP="00942ECD">
      <w:pPr>
        <w:spacing w:line="276" w:lineRule="auto"/>
        <w:ind w:firstLine="0"/>
        <w:jc w:val="center"/>
        <w:rPr>
          <w:rFonts w:ascii="Bookman Old Style" w:hAnsi="Bookman Old Style"/>
          <w:b/>
          <w:color w:val="auto"/>
        </w:rPr>
      </w:pPr>
    </w:p>
    <w:p w14:paraId="4F695BC5" w14:textId="77777777" w:rsidR="008C0708" w:rsidRPr="00942ECD" w:rsidRDefault="008C0708" w:rsidP="00942ECD">
      <w:pPr>
        <w:spacing w:line="276" w:lineRule="auto"/>
        <w:ind w:firstLine="0"/>
        <w:rPr>
          <w:rFonts w:ascii="Bookman Old Style" w:hAnsi="Bookman Old Style"/>
          <w:bCs/>
          <w:color w:val="auto"/>
        </w:rPr>
      </w:pPr>
      <w:r w:rsidRPr="00942ECD">
        <w:rPr>
          <w:rFonts w:ascii="Bookman Old Style" w:hAnsi="Bookman Old Style"/>
          <w:bCs/>
          <w:color w:val="auto"/>
        </w:rPr>
        <w:t>El Juzgado Cuarto Laboral del Circuito de Pereira, mediante sentencia del 29 de agosto de 2023, dispuso:</w:t>
      </w:r>
    </w:p>
    <w:p w14:paraId="17F26B30" w14:textId="77777777" w:rsidR="008C0708" w:rsidRPr="00942ECD" w:rsidRDefault="008C0708" w:rsidP="00942ECD">
      <w:pPr>
        <w:spacing w:line="276" w:lineRule="auto"/>
        <w:ind w:firstLine="0"/>
        <w:rPr>
          <w:rFonts w:ascii="Bookman Old Style" w:hAnsi="Bookman Old Style"/>
          <w:color w:val="auto"/>
        </w:rPr>
      </w:pPr>
    </w:p>
    <w:p w14:paraId="30B9646B" w14:textId="76E93EF0" w:rsidR="008C0708" w:rsidRPr="00600743" w:rsidRDefault="00826911" w:rsidP="00600743">
      <w:pPr>
        <w:spacing w:line="240" w:lineRule="auto"/>
        <w:ind w:left="426" w:right="420" w:firstLine="0"/>
        <w:rPr>
          <w:rFonts w:ascii="Bookman Old Style" w:hAnsi="Bookman Old Style"/>
          <w:bCs/>
          <w:color w:val="auto"/>
          <w:sz w:val="22"/>
        </w:rPr>
      </w:pPr>
      <w:r w:rsidRPr="00600743">
        <w:rPr>
          <w:rFonts w:ascii="Bookman Old Style" w:hAnsi="Bookman Old Style"/>
          <w:b/>
          <w:color w:val="auto"/>
          <w:sz w:val="22"/>
        </w:rPr>
        <w:t>“</w:t>
      </w:r>
      <w:r w:rsidR="008C0708" w:rsidRPr="00600743">
        <w:rPr>
          <w:rFonts w:ascii="Bookman Old Style" w:hAnsi="Bookman Old Style"/>
          <w:b/>
          <w:color w:val="auto"/>
          <w:sz w:val="22"/>
        </w:rPr>
        <w:t>PRIMERO</w:t>
      </w:r>
      <w:r w:rsidR="008C0708" w:rsidRPr="00600743">
        <w:rPr>
          <w:rFonts w:ascii="Bookman Old Style" w:hAnsi="Bookman Old Style"/>
          <w:bCs/>
          <w:color w:val="auto"/>
          <w:sz w:val="22"/>
        </w:rPr>
        <w:t xml:space="preserve">: DECLARAR la ineficacia del traslado que BEATRIZ ELENA BONILLA MARTÍNEZ efectuó al RAIS a través de la AFP COLFONDOS S.A. el </w:t>
      </w:r>
      <w:r w:rsidR="008C0708" w:rsidRPr="00600743">
        <w:rPr>
          <w:rFonts w:ascii="Bookman Old Style" w:hAnsi="Bookman Old Style"/>
          <w:b/>
          <w:color w:val="auto"/>
          <w:sz w:val="22"/>
        </w:rPr>
        <w:t>25 de mayo del 2001</w:t>
      </w:r>
      <w:r w:rsidR="008C0708" w:rsidRPr="00600743">
        <w:rPr>
          <w:rFonts w:ascii="Bookman Old Style" w:hAnsi="Bookman Old Style"/>
          <w:bCs/>
          <w:color w:val="auto"/>
          <w:sz w:val="22"/>
        </w:rPr>
        <w:t xml:space="preserve"> con efectividad a partir del 01 de julio del año 2001; y posteriormente los traslados horizontales a ING – Hoy PROTECCIÓN S.A. el </w:t>
      </w:r>
      <w:r w:rsidR="008C0708" w:rsidRPr="00600743">
        <w:rPr>
          <w:rFonts w:ascii="Bookman Old Style" w:hAnsi="Bookman Old Style"/>
          <w:b/>
          <w:color w:val="auto"/>
          <w:sz w:val="22"/>
        </w:rPr>
        <w:t>01 de agosto del 2008</w:t>
      </w:r>
      <w:r w:rsidR="008C0708" w:rsidRPr="00600743">
        <w:rPr>
          <w:rFonts w:ascii="Bookman Old Style" w:hAnsi="Bookman Old Style"/>
          <w:bCs/>
          <w:color w:val="auto"/>
          <w:sz w:val="22"/>
        </w:rPr>
        <w:t xml:space="preserve"> el cual se hizo efectivo el 01 de octubre de 2008, así como a COLFONDOS S.A. el </w:t>
      </w:r>
      <w:r w:rsidR="008C0708" w:rsidRPr="00600743">
        <w:rPr>
          <w:rFonts w:ascii="Bookman Old Style" w:hAnsi="Bookman Old Style"/>
          <w:b/>
          <w:color w:val="auto"/>
          <w:sz w:val="22"/>
        </w:rPr>
        <w:t>20 de mayo del 2009</w:t>
      </w:r>
      <w:r w:rsidR="008C0708" w:rsidRPr="00600743">
        <w:rPr>
          <w:rFonts w:ascii="Bookman Old Style" w:hAnsi="Bookman Old Style"/>
          <w:bCs/>
          <w:color w:val="auto"/>
          <w:sz w:val="22"/>
        </w:rPr>
        <w:t xml:space="preserve"> con efectividad desde el 01 de julio de idéntica data y finalmente a Protección S.A. el </w:t>
      </w:r>
      <w:r w:rsidR="008C0708" w:rsidRPr="00600743">
        <w:rPr>
          <w:rFonts w:ascii="Bookman Old Style" w:hAnsi="Bookman Old Style"/>
          <w:b/>
          <w:color w:val="auto"/>
          <w:sz w:val="22"/>
        </w:rPr>
        <w:t>20 de marzo del 2014</w:t>
      </w:r>
      <w:r w:rsidR="008C0708" w:rsidRPr="00600743">
        <w:rPr>
          <w:rFonts w:ascii="Bookman Old Style" w:hAnsi="Bookman Old Style"/>
          <w:bCs/>
          <w:color w:val="auto"/>
          <w:sz w:val="22"/>
        </w:rPr>
        <w:t xml:space="preserve"> el cual se hizo efectivo a partir del 01 de mayo de 2014, debiéndose retrotraer las cosas al estado en que se encontraban antes de ocurrir este, es decir, como si ello no se hubiera producido, dadas las consideraciones precedentes.</w:t>
      </w:r>
      <w:r w:rsidRPr="00600743">
        <w:rPr>
          <w:rFonts w:ascii="Bookman Old Style" w:hAnsi="Bookman Old Style"/>
          <w:bCs/>
          <w:color w:val="auto"/>
          <w:sz w:val="22"/>
        </w:rPr>
        <w:t xml:space="preserve"> </w:t>
      </w:r>
      <w:r w:rsidR="008C0708" w:rsidRPr="00600743">
        <w:rPr>
          <w:rFonts w:ascii="Bookman Old Style" w:hAnsi="Bookman Old Style"/>
          <w:b/>
          <w:color w:val="auto"/>
          <w:sz w:val="22"/>
        </w:rPr>
        <w:t>SEGUNDO</w:t>
      </w:r>
      <w:r w:rsidR="008C0708" w:rsidRPr="00600743">
        <w:rPr>
          <w:rFonts w:ascii="Bookman Old Style" w:hAnsi="Bookman Old Style"/>
          <w:bCs/>
          <w:color w:val="auto"/>
          <w:sz w:val="22"/>
        </w:rPr>
        <w:t>: A. ORDENAR al fondo privado de pensiones PROTECCIÓN S.A. a girar a favor de la ADMINISTRADORA COLOMBIANA DE PENSIONES COLPENSIONES, la totalidad de los aportes y rendimientos financieros de la cuenta de ahorro individual correspondiente a todo el tiempo en que la actora ha permanecido en el RAIS, dentro del mes siguiente a la ejecutoria de esta decisión.</w:t>
      </w:r>
      <w:r w:rsidRPr="00600743">
        <w:rPr>
          <w:rFonts w:ascii="Bookman Old Style" w:hAnsi="Bookman Old Style"/>
          <w:bCs/>
          <w:color w:val="auto"/>
          <w:sz w:val="22"/>
        </w:rPr>
        <w:t xml:space="preserve"> </w:t>
      </w:r>
      <w:r w:rsidR="008C0708" w:rsidRPr="00600743">
        <w:rPr>
          <w:rFonts w:ascii="Bookman Old Style" w:hAnsi="Bookman Old Style"/>
          <w:bCs/>
          <w:color w:val="auto"/>
          <w:sz w:val="22"/>
        </w:rPr>
        <w:t>B. CONDENAR a los fondos privados de pensiones COLFONDOS S.A. Y PROTECCIÓN S.A. para que, dentro del mes siguiente a la ejecutoria de esta decisión, procedan a restituir los gastos de administración, las cuotas de garantía de pensión mínima y seguros previsionales, con cargo a sus propios recursos y debidamente indexados, a favor de la ADMINISTRADORA COLOMBIANA DE PENSIONES COLPENSIONES.</w:t>
      </w:r>
      <w:r w:rsidRPr="00600743">
        <w:rPr>
          <w:rFonts w:ascii="Bookman Old Style" w:hAnsi="Bookman Old Style"/>
          <w:bCs/>
          <w:color w:val="auto"/>
          <w:sz w:val="22"/>
        </w:rPr>
        <w:t xml:space="preserve"> </w:t>
      </w:r>
      <w:r w:rsidR="008C0708" w:rsidRPr="00600743">
        <w:rPr>
          <w:rFonts w:ascii="Bookman Old Style" w:hAnsi="Bookman Old Style"/>
          <w:bCs/>
          <w:color w:val="auto"/>
          <w:sz w:val="22"/>
        </w:rPr>
        <w:t xml:space="preserve">Se precisa </w:t>
      </w:r>
      <w:r w:rsidRPr="00600743">
        <w:rPr>
          <w:rFonts w:ascii="Bookman Old Style" w:hAnsi="Bookman Old Style"/>
          <w:bCs/>
          <w:color w:val="auto"/>
          <w:sz w:val="22"/>
        </w:rPr>
        <w:t>que,</w:t>
      </w:r>
      <w:r w:rsidR="008C0708" w:rsidRPr="00600743">
        <w:rPr>
          <w:rFonts w:ascii="Bookman Old Style" w:hAnsi="Bookman Old Style"/>
          <w:bCs/>
          <w:color w:val="auto"/>
          <w:sz w:val="22"/>
        </w:rPr>
        <w:t xml:space="preserve"> al momento de cumplirse estas órdenes, los conceptos deberán aparecer discriminados con sus respectivos valores, junto con el detalle pormenorizado de los ciclos, IBC, aportes y demás información relevante que los justifiquen.</w:t>
      </w:r>
      <w:r w:rsidRPr="00600743">
        <w:rPr>
          <w:rFonts w:ascii="Bookman Old Style" w:hAnsi="Bookman Old Style"/>
          <w:bCs/>
          <w:color w:val="auto"/>
          <w:sz w:val="22"/>
        </w:rPr>
        <w:t xml:space="preserve"> </w:t>
      </w:r>
      <w:r w:rsidR="008C0708" w:rsidRPr="00600743">
        <w:rPr>
          <w:rFonts w:ascii="Bookman Old Style" w:hAnsi="Bookman Old Style"/>
          <w:b/>
          <w:color w:val="auto"/>
          <w:sz w:val="22"/>
        </w:rPr>
        <w:t>TERCERO</w:t>
      </w:r>
      <w:r w:rsidR="008C0708" w:rsidRPr="00600743">
        <w:rPr>
          <w:rFonts w:ascii="Bookman Old Style" w:hAnsi="Bookman Old Style"/>
          <w:bCs/>
          <w:color w:val="auto"/>
          <w:sz w:val="22"/>
        </w:rPr>
        <w:t>: COMUNICAR a la Oficina de Bonos Pensionales del Ministerio de Hacienda y Crédito Público para que, en un trámite interno y aplicando lo previsto en las normas que regulan la materia, tal como se expuso en la parte motiva, proceda a ejecutar todas las acciones necesarias, para retrotraer las cosas al estado en el que se encontraban al momento en que la demandante se trasladó de régimen pensional, procediendo, entre otras cosas y de ser el caso, a anular o dejar sin vigencia el bono pensional que se generó a favor de la señora BEATRIZ ELENA BONILLA MARTÍNEZ.</w:t>
      </w:r>
      <w:r w:rsidRPr="00600743">
        <w:rPr>
          <w:rFonts w:ascii="Bookman Old Style" w:hAnsi="Bookman Old Style"/>
          <w:bCs/>
          <w:color w:val="auto"/>
          <w:sz w:val="22"/>
        </w:rPr>
        <w:t xml:space="preserve"> </w:t>
      </w:r>
      <w:r w:rsidR="008C0708" w:rsidRPr="00600743">
        <w:rPr>
          <w:rFonts w:ascii="Bookman Old Style" w:hAnsi="Bookman Old Style"/>
          <w:b/>
          <w:color w:val="auto"/>
          <w:sz w:val="22"/>
        </w:rPr>
        <w:t>CUARTO</w:t>
      </w:r>
      <w:r w:rsidR="008C0708" w:rsidRPr="00600743">
        <w:rPr>
          <w:rFonts w:ascii="Bookman Old Style" w:hAnsi="Bookman Old Style"/>
          <w:bCs/>
          <w:color w:val="auto"/>
          <w:sz w:val="22"/>
        </w:rPr>
        <w:t>: ORDENAR a la AFP PROTECCIÓN S.A., para que, en caso de haber recibido el pago del bono pensional en favor de la cuenta de ahorro individual de la demandante, proceda a restituir la suma pagada por ese concepto a la OBP del MINISTERIO DE HACIENDA Y CRÉDITO PÚBLICO, suma que deberá estar debidamente indexada, precisándose que esa actualización del valor del bono pensional debe ser cancelada con su propio patrimonio.</w:t>
      </w:r>
      <w:r w:rsidRPr="00600743">
        <w:rPr>
          <w:rFonts w:ascii="Bookman Old Style" w:hAnsi="Bookman Old Style"/>
          <w:bCs/>
          <w:color w:val="auto"/>
          <w:sz w:val="22"/>
        </w:rPr>
        <w:t xml:space="preserve"> </w:t>
      </w:r>
      <w:r w:rsidR="008C0708" w:rsidRPr="00600743">
        <w:rPr>
          <w:rFonts w:ascii="Bookman Old Style" w:hAnsi="Bookman Old Style"/>
          <w:b/>
          <w:color w:val="auto"/>
          <w:sz w:val="22"/>
        </w:rPr>
        <w:t>QUINTO</w:t>
      </w:r>
      <w:r w:rsidR="008C0708" w:rsidRPr="00600743">
        <w:rPr>
          <w:rFonts w:ascii="Bookman Old Style" w:hAnsi="Bookman Old Style"/>
          <w:bCs/>
          <w:color w:val="auto"/>
          <w:sz w:val="22"/>
        </w:rPr>
        <w:t>: ORDENAR a la Administradora Colombiana de Pensiones – Colpensiones, para que proceda a aceptar sin dilaciones, el traslado de la señora BEATRIZ ELENA BONILLA MARTÍNEZ del régimen de ahorro individual, al de prima media con prestación definida, sin solución de continuidad, desde el momento en que se afilió a este último régimen.</w:t>
      </w:r>
      <w:r w:rsidRPr="00600743">
        <w:rPr>
          <w:rFonts w:ascii="Bookman Old Style" w:hAnsi="Bookman Old Style"/>
          <w:bCs/>
          <w:color w:val="auto"/>
          <w:sz w:val="22"/>
        </w:rPr>
        <w:t xml:space="preserve"> </w:t>
      </w:r>
      <w:r w:rsidR="008C0708" w:rsidRPr="00600743">
        <w:rPr>
          <w:rFonts w:ascii="Bookman Old Style" w:hAnsi="Bookman Old Style"/>
          <w:b/>
          <w:color w:val="auto"/>
          <w:sz w:val="22"/>
        </w:rPr>
        <w:t>SEXTO</w:t>
      </w:r>
      <w:r w:rsidR="008C0708" w:rsidRPr="00600743">
        <w:rPr>
          <w:rFonts w:ascii="Bookman Old Style" w:hAnsi="Bookman Old Style"/>
          <w:bCs/>
          <w:color w:val="auto"/>
          <w:sz w:val="22"/>
        </w:rPr>
        <w:t>: DESESTIMAR las excepciones propuestas por las accionadas.</w:t>
      </w:r>
      <w:r w:rsidRPr="00600743">
        <w:rPr>
          <w:rFonts w:ascii="Bookman Old Style" w:hAnsi="Bookman Old Style"/>
          <w:bCs/>
          <w:color w:val="auto"/>
          <w:sz w:val="22"/>
        </w:rPr>
        <w:t xml:space="preserve"> </w:t>
      </w:r>
      <w:r w:rsidR="008C0708" w:rsidRPr="00600743">
        <w:rPr>
          <w:rFonts w:ascii="Bookman Old Style" w:hAnsi="Bookman Old Style"/>
          <w:b/>
          <w:color w:val="auto"/>
          <w:sz w:val="22"/>
        </w:rPr>
        <w:t>SÉPTIMO</w:t>
      </w:r>
      <w:r w:rsidR="008C0708" w:rsidRPr="00600743">
        <w:rPr>
          <w:rFonts w:ascii="Bookman Old Style" w:hAnsi="Bookman Old Style"/>
          <w:bCs/>
          <w:color w:val="auto"/>
          <w:sz w:val="22"/>
        </w:rPr>
        <w:t>: CONDENAR en costas procesales a cargo de COLFONDOS S.A. en un 100%, en favor de la demandante</w:t>
      </w:r>
      <w:r w:rsidR="00BF3863">
        <w:rPr>
          <w:rFonts w:ascii="Bookman Old Style" w:hAnsi="Bookman Old Style"/>
          <w:bCs/>
          <w:color w:val="auto"/>
          <w:sz w:val="22"/>
        </w:rPr>
        <w:t>”.</w:t>
      </w:r>
    </w:p>
    <w:p w14:paraId="73A9BE55" w14:textId="77777777" w:rsidR="00826911" w:rsidRPr="00942ECD" w:rsidRDefault="00826911" w:rsidP="00942ECD">
      <w:pPr>
        <w:spacing w:line="276" w:lineRule="auto"/>
        <w:ind w:left="1416" w:right="616" w:firstLine="0"/>
        <w:rPr>
          <w:rFonts w:ascii="Bookman Old Style" w:hAnsi="Bookman Old Style" w:cs="Segoe UI"/>
          <w:color w:val="auto"/>
          <w:shd w:val="clear" w:color="auto" w:fill="D1D0CE"/>
        </w:rPr>
      </w:pPr>
    </w:p>
    <w:p w14:paraId="60B97883" w14:textId="0C20644F" w:rsidR="00C07339" w:rsidRPr="00942ECD" w:rsidRDefault="00C07339" w:rsidP="00942ECD">
      <w:pPr>
        <w:spacing w:line="276" w:lineRule="auto"/>
        <w:rPr>
          <w:rFonts w:ascii="Bookman Old Style" w:hAnsi="Bookman Old Style"/>
          <w:bCs/>
          <w:color w:val="auto"/>
        </w:rPr>
      </w:pPr>
      <w:r w:rsidRPr="00942ECD">
        <w:rPr>
          <w:rFonts w:ascii="Bookman Old Style" w:hAnsi="Bookman Old Style"/>
          <w:bCs/>
          <w:color w:val="auto"/>
        </w:rPr>
        <w:t xml:space="preserve">En síntesis, la jueza de instancia dedujo 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w:t>
      </w:r>
      <w:r w:rsidRPr="00942ECD">
        <w:rPr>
          <w:rFonts w:ascii="Bookman Old Style" w:hAnsi="Bookman Old Style"/>
          <w:bCs/>
          <w:color w:val="auto"/>
        </w:rPr>
        <w:lastRenderedPageBreak/>
        <w:t>consecuencias  de ambos regímenes, sin que sea suficiente la sola suscripción del formulario de afiliación porque solo acreditan que existió un consentimiento más no que hubiese sido informado.</w:t>
      </w:r>
    </w:p>
    <w:p w14:paraId="2251DACF" w14:textId="77777777" w:rsidR="00C07339" w:rsidRPr="00942ECD" w:rsidRDefault="00C07339" w:rsidP="00942ECD">
      <w:pPr>
        <w:spacing w:line="276" w:lineRule="auto"/>
        <w:rPr>
          <w:rFonts w:ascii="Bookman Old Style" w:hAnsi="Bookman Old Style"/>
          <w:bCs/>
          <w:color w:val="auto"/>
        </w:rPr>
      </w:pPr>
    </w:p>
    <w:p w14:paraId="61D7F90B" w14:textId="4DFC1F7E" w:rsidR="008C0708" w:rsidRPr="00942ECD" w:rsidRDefault="00C07339" w:rsidP="00942ECD">
      <w:pPr>
        <w:spacing w:line="276" w:lineRule="auto"/>
        <w:rPr>
          <w:rFonts w:ascii="Bookman Old Style" w:hAnsi="Bookman Old Style"/>
          <w:bCs/>
          <w:color w:val="auto"/>
        </w:rPr>
      </w:pPr>
      <w:r w:rsidRPr="00942ECD">
        <w:rPr>
          <w:rFonts w:ascii="Bookman Old Style" w:hAnsi="Bookman Old Style"/>
          <w:bCs/>
          <w:color w:val="auto"/>
        </w:rPr>
        <w:t xml:space="preserve">Frente al caso concreto, dedujo </w:t>
      </w:r>
      <w:r w:rsidR="008C0708" w:rsidRPr="00942ECD">
        <w:rPr>
          <w:rFonts w:ascii="Bookman Old Style" w:hAnsi="Bookman Old Style"/>
          <w:bCs/>
          <w:color w:val="auto"/>
        </w:rPr>
        <w:t xml:space="preserve">que </w:t>
      </w:r>
      <w:r w:rsidRPr="00942ECD">
        <w:rPr>
          <w:rFonts w:ascii="Bookman Old Style" w:hAnsi="Bookman Old Style"/>
          <w:bCs/>
          <w:color w:val="auto"/>
        </w:rPr>
        <w:t xml:space="preserve">de las </w:t>
      </w:r>
      <w:r w:rsidR="008C0708" w:rsidRPr="00942ECD">
        <w:rPr>
          <w:rFonts w:ascii="Bookman Old Style" w:hAnsi="Bookman Old Style"/>
          <w:bCs/>
          <w:color w:val="auto"/>
        </w:rPr>
        <w:t xml:space="preserve">pruebas documentales </w:t>
      </w:r>
      <w:r w:rsidRPr="00942ECD">
        <w:rPr>
          <w:rFonts w:ascii="Bookman Old Style" w:hAnsi="Bookman Old Style"/>
          <w:bCs/>
          <w:color w:val="auto"/>
        </w:rPr>
        <w:t xml:space="preserve">no se </w:t>
      </w:r>
      <w:r w:rsidR="008C0708" w:rsidRPr="00942ECD">
        <w:rPr>
          <w:rFonts w:ascii="Bookman Old Style" w:hAnsi="Bookman Old Style"/>
          <w:bCs/>
          <w:color w:val="auto"/>
        </w:rPr>
        <w:t>evidencia</w:t>
      </w:r>
      <w:r w:rsidRPr="00942ECD">
        <w:rPr>
          <w:rFonts w:ascii="Bookman Old Style" w:hAnsi="Bookman Old Style"/>
          <w:bCs/>
          <w:color w:val="auto"/>
        </w:rPr>
        <w:t>ba</w:t>
      </w:r>
      <w:r w:rsidR="008C0708" w:rsidRPr="00942ECD">
        <w:rPr>
          <w:rFonts w:ascii="Bookman Old Style" w:hAnsi="Bookman Old Style"/>
          <w:bCs/>
          <w:color w:val="auto"/>
        </w:rPr>
        <w:t xml:space="preserve"> cuál fue la información que brindó el asesor a la </w:t>
      </w:r>
      <w:r w:rsidRPr="00942ECD">
        <w:rPr>
          <w:rFonts w:ascii="Bookman Old Style" w:hAnsi="Bookman Old Style"/>
          <w:bCs/>
          <w:color w:val="auto"/>
        </w:rPr>
        <w:t xml:space="preserve">actora </w:t>
      </w:r>
      <w:r w:rsidR="008C0708" w:rsidRPr="00942ECD">
        <w:rPr>
          <w:rFonts w:ascii="Bookman Old Style" w:hAnsi="Bookman Old Style"/>
          <w:bCs/>
          <w:color w:val="auto"/>
        </w:rPr>
        <w:t>al momento de efectuar el traslado de régimen pensional, aunado a esos elementos no aporta</w:t>
      </w:r>
      <w:r w:rsidRPr="00942ECD">
        <w:rPr>
          <w:rFonts w:ascii="Bookman Old Style" w:hAnsi="Bookman Old Style"/>
          <w:bCs/>
          <w:color w:val="auto"/>
        </w:rPr>
        <w:t>ba</w:t>
      </w:r>
      <w:r w:rsidR="008C0708" w:rsidRPr="00942ECD">
        <w:rPr>
          <w:rFonts w:ascii="Bookman Old Style" w:hAnsi="Bookman Old Style"/>
          <w:bCs/>
          <w:color w:val="auto"/>
        </w:rPr>
        <w:t>n en nada para resolver el problema jurídico</w:t>
      </w:r>
      <w:r w:rsidR="00B52FF9" w:rsidRPr="00942ECD">
        <w:rPr>
          <w:rFonts w:ascii="Bookman Old Style" w:hAnsi="Bookman Old Style"/>
          <w:bCs/>
          <w:color w:val="auto"/>
        </w:rPr>
        <w:t xml:space="preserve">: que, </w:t>
      </w:r>
      <w:r w:rsidR="008C0708" w:rsidRPr="00942ECD">
        <w:rPr>
          <w:rFonts w:ascii="Bookman Old Style" w:hAnsi="Bookman Old Style"/>
          <w:bCs/>
          <w:color w:val="auto"/>
        </w:rPr>
        <w:t xml:space="preserve">en interrogatorio a la </w:t>
      </w:r>
      <w:r w:rsidR="00B52FF9" w:rsidRPr="00942ECD">
        <w:rPr>
          <w:rFonts w:ascii="Bookman Old Style" w:hAnsi="Bookman Old Style"/>
          <w:bCs/>
          <w:color w:val="auto"/>
        </w:rPr>
        <w:t>demandante</w:t>
      </w:r>
      <w:r w:rsidR="008C0708" w:rsidRPr="00942ECD">
        <w:rPr>
          <w:rFonts w:ascii="Bookman Old Style" w:hAnsi="Bookman Old Style"/>
          <w:bCs/>
          <w:color w:val="auto"/>
        </w:rPr>
        <w:t xml:space="preserve">, </w:t>
      </w:r>
      <w:r w:rsidR="00B52FF9" w:rsidRPr="00942ECD">
        <w:rPr>
          <w:rFonts w:ascii="Bookman Old Style" w:hAnsi="Bookman Old Style"/>
          <w:bCs/>
          <w:color w:val="auto"/>
        </w:rPr>
        <w:t xml:space="preserve">si bien </w:t>
      </w:r>
      <w:r w:rsidR="008C0708" w:rsidRPr="00942ECD">
        <w:rPr>
          <w:rFonts w:ascii="Bookman Old Style" w:hAnsi="Bookman Old Style"/>
          <w:bCs/>
          <w:color w:val="auto"/>
        </w:rPr>
        <w:t xml:space="preserve">contó cuáles fueron </w:t>
      </w:r>
      <w:r w:rsidR="00B52FF9" w:rsidRPr="00942ECD">
        <w:rPr>
          <w:rFonts w:ascii="Bookman Old Style" w:hAnsi="Bookman Old Style"/>
          <w:bCs/>
          <w:color w:val="auto"/>
        </w:rPr>
        <w:t xml:space="preserve">las </w:t>
      </w:r>
      <w:r w:rsidR="008C0708" w:rsidRPr="00942ECD">
        <w:rPr>
          <w:rFonts w:ascii="Bookman Old Style" w:hAnsi="Bookman Old Style"/>
          <w:bCs/>
          <w:color w:val="auto"/>
        </w:rPr>
        <w:t>condiciones en que efectuó el traslado de régimen pensional</w:t>
      </w:r>
      <w:r w:rsidR="00B52FF9" w:rsidRPr="00942ECD">
        <w:rPr>
          <w:rFonts w:ascii="Bookman Old Style" w:hAnsi="Bookman Old Style"/>
          <w:bCs/>
          <w:color w:val="auto"/>
        </w:rPr>
        <w:t>, lo cierto es que no se había logrado ob</w:t>
      </w:r>
      <w:r w:rsidR="008C0708" w:rsidRPr="00942ECD">
        <w:rPr>
          <w:rFonts w:ascii="Bookman Old Style" w:hAnsi="Bookman Old Style"/>
          <w:bCs/>
          <w:color w:val="auto"/>
        </w:rPr>
        <w:t>tener una confesión que permit</w:t>
      </w:r>
      <w:r w:rsidR="00B52FF9" w:rsidRPr="00942ECD">
        <w:rPr>
          <w:rFonts w:ascii="Bookman Old Style" w:hAnsi="Bookman Old Style"/>
          <w:bCs/>
          <w:color w:val="auto"/>
        </w:rPr>
        <w:t>iera</w:t>
      </w:r>
      <w:r w:rsidR="008C0708" w:rsidRPr="00942ECD">
        <w:rPr>
          <w:rFonts w:ascii="Bookman Old Style" w:hAnsi="Bookman Old Style"/>
          <w:bCs/>
          <w:color w:val="auto"/>
        </w:rPr>
        <w:t xml:space="preserve"> concluir que el fondo </w:t>
      </w:r>
      <w:r w:rsidR="00B52FF9" w:rsidRPr="00942ECD">
        <w:rPr>
          <w:rFonts w:ascii="Bookman Old Style" w:hAnsi="Bookman Old Style"/>
          <w:bCs/>
          <w:color w:val="auto"/>
        </w:rPr>
        <w:t xml:space="preserve">demandado </w:t>
      </w:r>
      <w:r w:rsidR="008C0708" w:rsidRPr="00942ECD">
        <w:rPr>
          <w:rFonts w:ascii="Bookman Old Style" w:hAnsi="Bookman Old Style"/>
          <w:bCs/>
          <w:color w:val="auto"/>
        </w:rPr>
        <w:t>cumplió con su deber de información</w:t>
      </w:r>
      <w:r w:rsidR="00B52FF9" w:rsidRPr="00942ECD">
        <w:rPr>
          <w:rFonts w:ascii="Bookman Old Style" w:hAnsi="Bookman Old Style"/>
          <w:bCs/>
          <w:color w:val="auto"/>
        </w:rPr>
        <w:t xml:space="preserve">, por lo que no </w:t>
      </w:r>
      <w:r w:rsidR="008C0708" w:rsidRPr="00942ECD">
        <w:rPr>
          <w:rFonts w:ascii="Bookman Old Style" w:hAnsi="Bookman Old Style"/>
          <w:bCs/>
          <w:color w:val="auto"/>
        </w:rPr>
        <w:t>se visualiza</w:t>
      </w:r>
      <w:r w:rsidR="00B52FF9" w:rsidRPr="00942ECD">
        <w:rPr>
          <w:rFonts w:ascii="Bookman Old Style" w:hAnsi="Bookman Old Style"/>
          <w:bCs/>
          <w:color w:val="auto"/>
        </w:rPr>
        <w:t>ba</w:t>
      </w:r>
      <w:r w:rsidR="008C0708" w:rsidRPr="00942ECD">
        <w:rPr>
          <w:rFonts w:ascii="Bookman Old Style" w:hAnsi="Bookman Old Style"/>
          <w:bCs/>
          <w:color w:val="auto"/>
        </w:rPr>
        <w:t xml:space="preserve"> que la </w:t>
      </w:r>
      <w:r w:rsidR="00B52FF9" w:rsidRPr="00942ECD">
        <w:rPr>
          <w:rFonts w:ascii="Bookman Old Style" w:hAnsi="Bookman Old Style"/>
          <w:bCs/>
          <w:color w:val="auto"/>
        </w:rPr>
        <w:t xml:space="preserve">AFP hubiere </w:t>
      </w:r>
      <w:r w:rsidR="008C0708" w:rsidRPr="00942ECD">
        <w:rPr>
          <w:rFonts w:ascii="Bookman Old Style" w:hAnsi="Bookman Old Style"/>
          <w:bCs/>
          <w:color w:val="auto"/>
        </w:rPr>
        <w:t xml:space="preserve">proporcionado la información suficiente al momento de la afiliación o durante el vínculo de la parte actora, incumpliendo </w:t>
      </w:r>
      <w:r w:rsidR="00B52FF9" w:rsidRPr="00942ECD">
        <w:rPr>
          <w:rFonts w:ascii="Bookman Old Style" w:hAnsi="Bookman Old Style"/>
          <w:bCs/>
          <w:color w:val="auto"/>
        </w:rPr>
        <w:t xml:space="preserve">la pasiva </w:t>
      </w:r>
      <w:r w:rsidR="008C0708" w:rsidRPr="00942ECD">
        <w:rPr>
          <w:rFonts w:ascii="Bookman Old Style" w:hAnsi="Bookman Old Style"/>
          <w:bCs/>
          <w:color w:val="auto"/>
        </w:rPr>
        <w:t>con la carga de la prueba</w:t>
      </w:r>
      <w:r w:rsidR="00B52FF9" w:rsidRPr="00942ECD">
        <w:rPr>
          <w:rFonts w:ascii="Bookman Old Style" w:hAnsi="Bookman Old Style"/>
          <w:bCs/>
          <w:color w:val="auto"/>
        </w:rPr>
        <w:t xml:space="preserve">. De allí, es que dedujo que la </w:t>
      </w:r>
      <w:r w:rsidR="008C0708" w:rsidRPr="00942ECD">
        <w:rPr>
          <w:rFonts w:ascii="Bookman Old Style" w:hAnsi="Bookman Old Style"/>
          <w:bCs/>
          <w:color w:val="auto"/>
        </w:rPr>
        <w:t xml:space="preserve">decisión de traslado no estuvo precedida de la comprensión suficiente y </w:t>
      </w:r>
      <w:r w:rsidR="00B52FF9" w:rsidRPr="00942ECD">
        <w:rPr>
          <w:rFonts w:ascii="Bookman Old Style" w:hAnsi="Bookman Old Style"/>
          <w:bCs/>
          <w:color w:val="auto"/>
        </w:rPr>
        <w:t>con un r</w:t>
      </w:r>
      <w:r w:rsidR="008C0708" w:rsidRPr="00942ECD">
        <w:rPr>
          <w:rFonts w:ascii="Bookman Old Style" w:hAnsi="Bookman Old Style"/>
          <w:bCs/>
          <w:color w:val="auto"/>
        </w:rPr>
        <w:t>eal consentimiento, sin que tampoco exist</w:t>
      </w:r>
      <w:r w:rsidR="00B52FF9" w:rsidRPr="00942ECD">
        <w:rPr>
          <w:rFonts w:ascii="Bookman Old Style" w:hAnsi="Bookman Old Style"/>
          <w:bCs/>
          <w:color w:val="auto"/>
        </w:rPr>
        <w:t>iera</w:t>
      </w:r>
      <w:r w:rsidR="008C0708" w:rsidRPr="00942ECD">
        <w:rPr>
          <w:rFonts w:ascii="Bookman Old Style" w:hAnsi="Bookman Old Style"/>
          <w:bCs/>
          <w:color w:val="auto"/>
        </w:rPr>
        <w:t xml:space="preserve"> prueba en el expediente que acredit</w:t>
      </w:r>
      <w:r w:rsidR="00B52FF9" w:rsidRPr="00942ECD">
        <w:rPr>
          <w:rFonts w:ascii="Bookman Old Style" w:hAnsi="Bookman Old Style"/>
          <w:bCs/>
          <w:color w:val="auto"/>
        </w:rPr>
        <w:t>ara</w:t>
      </w:r>
      <w:r w:rsidR="008C0708" w:rsidRPr="00942ECD">
        <w:rPr>
          <w:rFonts w:ascii="Bookman Old Style" w:hAnsi="Bookman Old Style"/>
          <w:bCs/>
          <w:color w:val="auto"/>
        </w:rPr>
        <w:t xml:space="preserve"> que la asimetría en la información </w:t>
      </w:r>
      <w:r w:rsidR="00B52FF9" w:rsidRPr="00942ECD">
        <w:rPr>
          <w:rFonts w:ascii="Bookman Old Style" w:hAnsi="Bookman Old Style"/>
          <w:bCs/>
          <w:color w:val="auto"/>
        </w:rPr>
        <w:t xml:space="preserve">para </w:t>
      </w:r>
      <w:r w:rsidR="008C0708" w:rsidRPr="00942ECD">
        <w:rPr>
          <w:rFonts w:ascii="Bookman Old Style" w:hAnsi="Bookman Old Style"/>
          <w:bCs/>
          <w:color w:val="auto"/>
        </w:rPr>
        <w:t xml:space="preserve">el año 2001, cuando </w:t>
      </w:r>
      <w:r w:rsidR="00B52FF9" w:rsidRPr="00942ECD">
        <w:rPr>
          <w:rFonts w:ascii="Bookman Old Style" w:hAnsi="Bookman Old Style"/>
          <w:bCs/>
          <w:color w:val="auto"/>
        </w:rPr>
        <w:t xml:space="preserve">la actora </w:t>
      </w:r>
      <w:r w:rsidR="008C0708" w:rsidRPr="00942ECD">
        <w:rPr>
          <w:rFonts w:ascii="Bookman Old Style" w:hAnsi="Bookman Old Style"/>
          <w:bCs/>
          <w:color w:val="auto"/>
        </w:rPr>
        <w:t xml:space="preserve">se trasladó </w:t>
      </w:r>
      <w:r w:rsidR="00B52FF9" w:rsidRPr="00942ECD">
        <w:rPr>
          <w:rFonts w:ascii="Bookman Old Style" w:hAnsi="Bookman Old Style"/>
          <w:bCs/>
          <w:color w:val="auto"/>
        </w:rPr>
        <w:t>de régimen</w:t>
      </w:r>
      <w:r w:rsidR="00D34F67" w:rsidRPr="00942ECD">
        <w:rPr>
          <w:rFonts w:ascii="Bookman Old Style" w:hAnsi="Bookman Old Style"/>
          <w:bCs/>
          <w:color w:val="auto"/>
        </w:rPr>
        <w:t xml:space="preserve">. Finalmente, </w:t>
      </w:r>
      <w:r w:rsidR="00B52FF9" w:rsidRPr="00942ECD">
        <w:rPr>
          <w:rFonts w:ascii="Bookman Old Style" w:hAnsi="Bookman Old Style"/>
          <w:bCs/>
          <w:color w:val="auto"/>
        </w:rPr>
        <w:t xml:space="preserve">concluye que los traslados horizontales que hizo o el tiempo en que ha permanecido en el RAIS no eran </w:t>
      </w:r>
      <w:r w:rsidR="008C0708" w:rsidRPr="00942ECD">
        <w:rPr>
          <w:rFonts w:ascii="Bookman Old Style" w:hAnsi="Bookman Old Style"/>
          <w:bCs/>
          <w:color w:val="auto"/>
        </w:rPr>
        <w:t xml:space="preserve">situaciones </w:t>
      </w:r>
      <w:r w:rsidR="00B52FF9" w:rsidRPr="00942ECD">
        <w:rPr>
          <w:rFonts w:ascii="Bookman Old Style" w:hAnsi="Bookman Old Style"/>
          <w:bCs/>
          <w:color w:val="auto"/>
        </w:rPr>
        <w:t xml:space="preserve">que demostraran </w:t>
      </w:r>
      <w:r w:rsidR="008C0708" w:rsidRPr="00942ECD">
        <w:rPr>
          <w:rFonts w:ascii="Bookman Old Style" w:hAnsi="Bookman Old Style"/>
          <w:bCs/>
          <w:color w:val="auto"/>
        </w:rPr>
        <w:t>por sí solas los actos de relacionamiento</w:t>
      </w:r>
      <w:r w:rsidR="00B52FF9" w:rsidRPr="00942ECD">
        <w:rPr>
          <w:rFonts w:ascii="Bookman Old Style" w:hAnsi="Bookman Old Style"/>
          <w:bCs/>
          <w:color w:val="auto"/>
        </w:rPr>
        <w:t>, por lo que había lugar a declarar la ineficacia con las consecuencias que ello aparejaba.</w:t>
      </w:r>
    </w:p>
    <w:p w14:paraId="2124F1C5" w14:textId="77777777" w:rsidR="008C0708" w:rsidRPr="00942ECD" w:rsidRDefault="008C0708" w:rsidP="00942ECD">
      <w:pPr>
        <w:spacing w:line="276" w:lineRule="auto"/>
        <w:ind w:left="1416" w:right="616" w:firstLine="0"/>
        <w:rPr>
          <w:rFonts w:ascii="Bookman Old Style" w:hAnsi="Bookman Old Style"/>
          <w:bCs/>
          <w:color w:val="auto"/>
        </w:rPr>
      </w:pPr>
    </w:p>
    <w:p w14:paraId="215BE092" w14:textId="77777777" w:rsidR="008C0708" w:rsidRPr="00942ECD" w:rsidRDefault="008C0708"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RECURSO DE APELACIÓN Y CONSULTA</w:t>
      </w:r>
    </w:p>
    <w:p w14:paraId="5CC2F7E3" w14:textId="77777777" w:rsidR="008C0708" w:rsidRPr="00942ECD" w:rsidRDefault="008C0708" w:rsidP="00942ECD">
      <w:pPr>
        <w:spacing w:line="276" w:lineRule="auto"/>
        <w:ind w:firstLine="0"/>
        <w:rPr>
          <w:rFonts w:ascii="Bookman Old Style" w:hAnsi="Bookman Old Style"/>
          <w:b/>
          <w:color w:val="auto"/>
        </w:rPr>
      </w:pPr>
    </w:p>
    <w:p w14:paraId="591DE5DE" w14:textId="4ACCD409" w:rsidR="008C0708" w:rsidRPr="00942ECD" w:rsidRDefault="008C0708" w:rsidP="00942ECD">
      <w:pPr>
        <w:spacing w:line="276" w:lineRule="auto"/>
        <w:rPr>
          <w:rFonts w:ascii="Bookman Old Style" w:hAnsi="Bookman Old Style"/>
          <w:bCs/>
          <w:color w:val="auto"/>
        </w:rPr>
      </w:pPr>
      <w:r w:rsidRPr="00942ECD">
        <w:rPr>
          <w:rFonts w:ascii="Bookman Old Style" w:hAnsi="Bookman Old Style"/>
          <w:b/>
          <w:color w:val="auto"/>
        </w:rPr>
        <w:t>Colfondos S.A.</w:t>
      </w:r>
      <w:r w:rsidR="00774B3A" w:rsidRPr="00942ECD">
        <w:rPr>
          <w:rFonts w:ascii="Bookman Old Style" w:hAnsi="Bookman Old Style"/>
          <w:bCs/>
          <w:color w:val="auto"/>
        </w:rPr>
        <w:t xml:space="preserve"> r</w:t>
      </w:r>
      <w:r w:rsidRPr="00942ECD">
        <w:rPr>
          <w:rFonts w:ascii="Bookman Old Style" w:hAnsi="Bookman Old Style"/>
          <w:bCs/>
          <w:color w:val="auto"/>
        </w:rPr>
        <w:t xml:space="preserve">ecurrió la decisión que </w:t>
      </w:r>
      <w:r w:rsidR="000E2CCB" w:rsidRPr="00942ECD">
        <w:rPr>
          <w:rFonts w:ascii="Bookman Old Style" w:hAnsi="Bookman Old Style"/>
          <w:bCs/>
          <w:color w:val="auto"/>
        </w:rPr>
        <w:t xml:space="preserve">dispuso el traslado de los </w:t>
      </w:r>
      <w:r w:rsidRPr="00942ECD">
        <w:rPr>
          <w:rFonts w:ascii="Bookman Old Style" w:hAnsi="Bookman Old Style"/>
          <w:bCs/>
          <w:color w:val="auto"/>
        </w:rPr>
        <w:t xml:space="preserve">conceptos por parte de Colfondos al considerar que no era posible sostener la indexación de </w:t>
      </w:r>
      <w:r w:rsidR="004C20F7" w:rsidRPr="00942ECD">
        <w:rPr>
          <w:rFonts w:ascii="Bookman Old Style" w:hAnsi="Bookman Old Style"/>
          <w:bCs/>
          <w:color w:val="auto"/>
        </w:rPr>
        <w:t xml:space="preserve">ellos </w:t>
      </w:r>
      <w:r w:rsidRPr="00942ECD">
        <w:rPr>
          <w:rFonts w:ascii="Bookman Old Style" w:hAnsi="Bookman Old Style"/>
          <w:bCs/>
          <w:color w:val="auto"/>
        </w:rPr>
        <w:t>porque con los rendimientos generados por Colfondos fueron superiores a los que se podían generar en Colpensiones, por lo que estaba más que compensado tal concepto.</w:t>
      </w:r>
      <w:r w:rsidR="00774B3A" w:rsidRPr="00942ECD">
        <w:rPr>
          <w:rFonts w:ascii="Bookman Old Style" w:hAnsi="Bookman Old Style"/>
          <w:bCs/>
          <w:color w:val="auto"/>
        </w:rPr>
        <w:t xml:space="preserve">  </w:t>
      </w:r>
      <w:r w:rsidRPr="00942ECD">
        <w:rPr>
          <w:rFonts w:ascii="Bookman Old Style" w:hAnsi="Bookman Old Style"/>
          <w:bCs/>
          <w:color w:val="auto"/>
        </w:rPr>
        <w:t>Refiere que la indexación ordenada era una excesiva imposición porque con el traslado de los rendimientos se completaría la pérdida del poder adquisitivo de los recursos objeto de transferencia a Colpensiones.</w:t>
      </w:r>
    </w:p>
    <w:p w14:paraId="6B0859FA" w14:textId="77777777" w:rsidR="008C0708" w:rsidRPr="00942ECD" w:rsidRDefault="008C0708" w:rsidP="00942ECD">
      <w:pPr>
        <w:spacing w:line="276" w:lineRule="auto"/>
        <w:rPr>
          <w:rFonts w:ascii="Bookman Old Style" w:hAnsi="Bookman Old Style"/>
          <w:bCs/>
          <w:color w:val="auto"/>
        </w:rPr>
      </w:pPr>
    </w:p>
    <w:p w14:paraId="19390D2C" w14:textId="4543E769" w:rsidR="008C0708" w:rsidRPr="00942ECD" w:rsidRDefault="008C0708" w:rsidP="00942ECD">
      <w:pPr>
        <w:spacing w:line="276" w:lineRule="auto"/>
        <w:rPr>
          <w:rFonts w:ascii="Bookman Old Style" w:hAnsi="Bookman Old Style"/>
          <w:bCs/>
          <w:color w:val="auto"/>
        </w:rPr>
      </w:pPr>
      <w:r w:rsidRPr="00942ECD">
        <w:rPr>
          <w:rFonts w:ascii="Bookman Old Style" w:hAnsi="Bookman Old Style"/>
          <w:b/>
          <w:color w:val="auto"/>
        </w:rPr>
        <w:t>Colpensiones.</w:t>
      </w:r>
      <w:r w:rsidR="00130B54" w:rsidRPr="00942ECD">
        <w:rPr>
          <w:rFonts w:ascii="Bookman Old Style" w:hAnsi="Bookman Old Style"/>
          <w:b/>
          <w:color w:val="auto"/>
        </w:rPr>
        <w:t xml:space="preserve"> </w:t>
      </w:r>
      <w:r w:rsidRPr="00942ECD">
        <w:rPr>
          <w:rFonts w:ascii="Bookman Old Style" w:hAnsi="Bookman Old Style"/>
          <w:bCs/>
          <w:color w:val="auto"/>
        </w:rPr>
        <w:t>Recurrió la decisión, indicando que la afiliación del demandante fue válida al cumplir con los requisitos de la normatividad vigente pues se verificó que la demandante firmó de manera libre y voluntaria y sin presiones el formulario de afiliación, además, la demandante no acreditó el lleno de los requisitos porque no era beneficiaria el régimen de transición y se encuentra a menos de 10 años para acceder a su derecho pensional, por lo que era improcedente deducir la ineficacia cuando después de tanto tiempo aduce que fue engañada solo por el hecho de observar sus expectativas fallidas, por lo que no podía alegarse la ineficacia, pues la acción debió ser la de resarcimiento de perjuicios, agregando que Colpensiones no participó de la afiliación</w:t>
      </w:r>
      <w:r w:rsidR="00AC68F1" w:rsidRPr="00942ECD">
        <w:rPr>
          <w:rFonts w:ascii="Bookman Old Style" w:hAnsi="Bookman Old Style"/>
          <w:bCs/>
          <w:color w:val="auto"/>
        </w:rPr>
        <w:t>.</w:t>
      </w:r>
      <w:r w:rsidRPr="00942ECD">
        <w:rPr>
          <w:rFonts w:ascii="Bookman Old Style" w:hAnsi="Bookman Old Style"/>
          <w:bCs/>
          <w:color w:val="auto"/>
        </w:rPr>
        <w:t xml:space="preserve"> </w:t>
      </w:r>
      <w:r w:rsidRPr="00942ECD">
        <w:rPr>
          <w:rFonts w:ascii="Bookman Old Style" w:hAnsi="Bookman Old Style"/>
          <w:bCs/>
          <w:color w:val="auto"/>
        </w:rPr>
        <w:br/>
      </w:r>
    </w:p>
    <w:p w14:paraId="24C41FD1" w14:textId="77777777" w:rsidR="008C0708" w:rsidRPr="00942ECD" w:rsidRDefault="008C0708" w:rsidP="00942ECD">
      <w:pPr>
        <w:spacing w:line="276" w:lineRule="auto"/>
        <w:rPr>
          <w:rFonts w:ascii="Bookman Old Style" w:hAnsi="Bookman Old Style"/>
          <w:color w:val="auto"/>
        </w:rPr>
      </w:pPr>
      <w:r w:rsidRPr="00942ECD">
        <w:rPr>
          <w:rFonts w:ascii="Bookman Old Style" w:hAnsi="Bookman Old Style"/>
          <w:color w:val="auto"/>
        </w:rPr>
        <w:t xml:space="preserve">Conforme a lo consagrado en el art. 69 del Código Procesal del Trabajo y de la Seguridad Social (CPTSS) la Sala estudiará el fallo del a quo, en grado </w:t>
      </w:r>
      <w:r w:rsidRPr="00942ECD">
        <w:rPr>
          <w:rFonts w:ascii="Bookman Old Style" w:hAnsi="Bookman Old Style"/>
          <w:color w:val="auto"/>
        </w:rPr>
        <w:lastRenderedPageBreak/>
        <w:t>jurisdiccional de consulta, en lo que no fue objeto de la apelación por Colpensiones.</w:t>
      </w:r>
    </w:p>
    <w:p w14:paraId="13055CC9" w14:textId="77777777" w:rsidR="008C0708" w:rsidRPr="00942ECD" w:rsidRDefault="008C0708" w:rsidP="00942ECD">
      <w:pPr>
        <w:spacing w:line="276" w:lineRule="auto"/>
        <w:ind w:firstLine="0"/>
        <w:rPr>
          <w:rFonts w:ascii="Bookman Old Style" w:hAnsi="Bookman Old Style"/>
          <w:b/>
          <w:color w:val="auto"/>
        </w:rPr>
      </w:pPr>
    </w:p>
    <w:p w14:paraId="4FC545EA" w14:textId="77777777" w:rsidR="008C0708" w:rsidRPr="00942ECD" w:rsidRDefault="008C0708"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ALEGATOS DE SEGUNDA INSTANCIA</w:t>
      </w:r>
    </w:p>
    <w:p w14:paraId="5E17F301" w14:textId="77777777" w:rsidR="008C0708" w:rsidRPr="00942ECD" w:rsidRDefault="008C0708" w:rsidP="00942ECD">
      <w:pPr>
        <w:spacing w:line="276" w:lineRule="auto"/>
        <w:rPr>
          <w:rFonts w:ascii="Bookman Old Style" w:hAnsi="Bookman Old Style"/>
          <w:b/>
          <w:color w:val="auto"/>
        </w:rPr>
      </w:pPr>
    </w:p>
    <w:p w14:paraId="178341F0" w14:textId="77777777" w:rsidR="00051CBB" w:rsidRPr="00942ECD" w:rsidRDefault="00051CBB" w:rsidP="00942ECD">
      <w:pPr>
        <w:spacing w:line="276" w:lineRule="auto"/>
        <w:rPr>
          <w:rStyle w:val="normaltextrun"/>
          <w:rFonts w:ascii="Bookman Old Style" w:hAnsi="Bookman Old Style" w:cs="Segoe UI"/>
          <w:color w:val="auto"/>
          <w:lang w:eastAsia="es-CO"/>
        </w:rPr>
      </w:pPr>
      <w:r w:rsidRPr="00942ECD">
        <w:rPr>
          <w:rStyle w:val="normaltextrun"/>
          <w:rFonts w:ascii="Bookman Old Style" w:hAnsi="Bookman Old Style" w:cs="Segoe UI"/>
          <w:color w:val="auto"/>
          <w:lang w:eastAsia="es-CO"/>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B0AB028" w14:textId="77777777" w:rsidR="008C0708" w:rsidRPr="00942ECD" w:rsidRDefault="008C0708" w:rsidP="00942ECD">
      <w:pPr>
        <w:spacing w:line="276" w:lineRule="auto"/>
        <w:rPr>
          <w:rStyle w:val="normaltextrun"/>
          <w:rFonts w:ascii="Bookman Old Style" w:hAnsi="Bookman Old Style" w:cs="Segoe UI"/>
          <w:color w:val="auto"/>
          <w:lang w:eastAsia="es-CO"/>
        </w:rPr>
      </w:pPr>
    </w:p>
    <w:p w14:paraId="2414B6EA" w14:textId="77777777" w:rsidR="008C0708" w:rsidRPr="00942ECD" w:rsidRDefault="008C0708" w:rsidP="00942ECD">
      <w:pPr>
        <w:spacing w:line="276" w:lineRule="auto"/>
        <w:rPr>
          <w:rStyle w:val="normaltextrun"/>
          <w:rFonts w:ascii="Bookman Old Style" w:hAnsi="Bookman Old Style" w:cs="Segoe UI"/>
          <w:color w:val="auto"/>
          <w:lang w:eastAsia="es-CO"/>
        </w:rPr>
      </w:pPr>
      <w:r w:rsidRPr="00942ECD">
        <w:rPr>
          <w:rStyle w:val="normaltextrun"/>
          <w:rFonts w:ascii="Bookman Old Style" w:hAnsi="Bookman Old Style" w:cs="Segoe UI"/>
          <w:color w:val="auto"/>
          <w:lang w:eastAsia="es-CO"/>
        </w:rPr>
        <w:t>Surtido el trámite que corresponde a esta instancia procede la Sala de decisión a dictar la providencia que corresponde, previas las siguientes,</w:t>
      </w:r>
    </w:p>
    <w:p w14:paraId="49B9F451" w14:textId="77777777" w:rsidR="008C0708" w:rsidRPr="00942ECD" w:rsidRDefault="008C0708" w:rsidP="00942ECD">
      <w:pPr>
        <w:spacing w:line="276" w:lineRule="auto"/>
        <w:rPr>
          <w:rStyle w:val="normaltextrun"/>
          <w:rFonts w:ascii="Bookman Old Style" w:hAnsi="Bookman Old Style" w:cs="Segoe UI"/>
          <w:color w:val="auto"/>
          <w:lang w:eastAsia="es-CO"/>
        </w:rPr>
      </w:pPr>
    </w:p>
    <w:p w14:paraId="7DDEA1F0" w14:textId="77777777" w:rsidR="008C0708" w:rsidRPr="00942ECD" w:rsidRDefault="008C0708"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CONSIDERACIONES</w:t>
      </w:r>
    </w:p>
    <w:p w14:paraId="60F75E36" w14:textId="77777777" w:rsidR="008C0708" w:rsidRPr="00942ECD" w:rsidRDefault="008C0708" w:rsidP="00942ECD">
      <w:pPr>
        <w:spacing w:line="276" w:lineRule="auto"/>
        <w:rPr>
          <w:rStyle w:val="normaltextrun"/>
          <w:rFonts w:ascii="Bookman Old Style" w:hAnsi="Bookman Old Style" w:cs="Segoe UI"/>
          <w:color w:val="auto"/>
          <w:lang w:eastAsia="es-CO"/>
        </w:rPr>
      </w:pPr>
    </w:p>
    <w:p w14:paraId="45573BE3" w14:textId="756937FF" w:rsidR="00915021" w:rsidRPr="00942ECD" w:rsidRDefault="00915021" w:rsidP="00942ECD">
      <w:pPr>
        <w:spacing w:line="276" w:lineRule="auto"/>
        <w:rPr>
          <w:rFonts w:ascii="Bookman Old Style" w:hAnsi="Bookman Old Style"/>
          <w:color w:val="auto"/>
        </w:rPr>
      </w:pPr>
      <w:bookmarkStart w:id="2" w:name="_Hlk152753389"/>
      <w:r w:rsidRPr="00942ECD">
        <w:rPr>
          <w:rStyle w:val="normaltextrun"/>
          <w:rFonts w:ascii="Bookman Old Style" w:hAnsi="Bookman Old Style" w:cs="Segoe UI"/>
          <w:color w:val="auto"/>
          <w:lang w:eastAsia="es-CO"/>
        </w:rPr>
        <w:t>De acuerdo con los recursos y alegatos presentados por las partes, los problemas jurídicos a ser abordados consisten en</w:t>
      </w:r>
      <w:r w:rsidR="002B1FA4" w:rsidRPr="00942ECD">
        <w:rPr>
          <w:rStyle w:val="normaltextrun"/>
          <w:rFonts w:ascii="Bookman Old Style" w:hAnsi="Bookman Old Style" w:cs="Segoe UI"/>
          <w:color w:val="auto"/>
          <w:lang w:eastAsia="es-CO"/>
        </w:rPr>
        <w:t xml:space="preserve"> e</w:t>
      </w:r>
      <w:r w:rsidRPr="00942ECD">
        <w:rPr>
          <w:rFonts w:ascii="Bookman Old Style" w:hAnsi="Bookman Old Style"/>
          <w:color w:val="auto"/>
        </w:rPr>
        <w:t xml:space="preserve">stablecer si había lugar a declarar la ineficacia del traslado de régimen pensional; </w:t>
      </w:r>
      <w:r w:rsidR="002B1FA4" w:rsidRPr="00942ECD">
        <w:rPr>
          <w:rFonts w:ascii="Bookman Old Style" w:hAnsi="Bookman Old Style"/>
          <w:color w:val="auto"/>
        </w:rPr>
        <w:t>determinar si h</w:t>
      </w:r>
      <w:r w:rsidRPr="00942ECD">
        <w:rPr>
          <w:rFonts w:ascii="Bookman Old Style" w:hAnsi="Bookman Old Style"/>
          <w:color w:val="auto"/>
        </w:rPr>
        <w:t>abía lugar a ordenar a la AFP Colfondos S.A, el traslado, con cargo a sus propios recursos, del valor de las comisiones, cuotas de administración, cuotas de garantía de pensión mínima y seguros previsionales hacia Colpensiones, indexados</w:t>
      </w:r>
      <w:r w:rsidR="002B1FA4" w:rsidRPr="00942ECD">
        <w:rPr>
          <w:rFonts w:ascii="Bookman Old Style" w:hAnsi="Bookman Old Style"/>
          <w:color w:val="auto"/>
        </w:rPr>
        <w:t xml:space="preserve"> y, se</w:t>
      </w:r>
      <w:r w:rsidRPr="00942ECD">
        <w:rPr>
          <w:rFonts w:ascii="Bookman Old Style" w:hAnsi="Bookman Old Style"/>
          <w:color w:val="auto"/>
        </w:rPr>
        <w:t xml:space="preserve"> deberán analizar las órdenes impartidas en la sentencia y el grado jurisdiccional de consulta en favor de Colpensiones.</w:t>
      </w:r>
    </w:p>
    <w:p w14:paraId="006DCFB0" w14:textId="77777777" w:rsidR="00DD578B" w:rsidRPr="00942ECD" w:rsidRDefault="00DD578B" w:rsidP="00942ECD">
      <w:pPr>
        <w:spacing w:line="276" w:lineRule="auto"/>
        <w:rPr>
          <w:rFonts w:ascii="Bookman Old Style" w:hAnsi="Bookman Old Style"/>
          <w:i/>
          <w:iCs/>
          <w:color w:val="auto"/>
        </w:rPr>
      </w:pPr>
      <w:bookmarkStart w:id="3" w:name="_Hlk152753408"/>
      <w:bookmarkEnd w:id="2"/>
    </w:p>
    <w:p w14:paraId="41312517" w14:textId="24DBD72A" w:rsidR="008C0708" w:rsidRPr="00942ECD" w:rsidRDefault="00DD578B" w:rsidP="00942ECD">
      <w:pPr>
        <w:spacing w:line="276" w:lineRule="auto"/>
        <w:rPr>
          <w:rFonts w:ascii="Bookman Old Style" w:hAnsi="Bookman Old Style"/>
          <w:bCs/>
          <w:i/>
          <w:iCs/>
          <w:color w:val="auto"/>
        </w:rPr>
      </w:pPr>
      <w:r w:rsidRPr="00942ECD">
        <w:rPr>
          <w:rFonts w:ascii="Bookman Old Style" w:hAnsi="Bookman Old Style"/>
          <w:bCs/>
          <w:color w:val="auto"/>
        </w:rPr>
        <w:t xml:space="preserve">Para resolver, </w:t>
      </w:r>
      <w:r w:rsidRPr="00942ECD">
        <w:rPr>
          <w:rFonts w:ascii="Bookman Old Style" w:hAnsi="Bookman Old Style"/>
          <w:color w:val="auto"/>
        </w:rPr>
        <w:t>es de tener en cuenta que los siguientes hechos no presentan discusión:</w:t>
      </w:r>
      <w:r w:rsidR="002455C6" w:rsidRPr="00942ECD">
        <w:rPr>
          <w:rFonts w:ascii="Bookman Old Style" w:hAnsi="Bookman Old Style"/>
          <w:color w:val="auto"/>
        </w:rPr>
        <w:t xml:space="preserve"> </w:t>
      </w:r>
      <w:r w:rsidR="002455C6" w:rsidRPr="00942ECD">
        <w:rPr>
          <w:rFonts w:ascii="Bookman Old Style" w:hAnsi="Bookman Old Style"/>
          <w:b/>
          <w:bCs/>
          <w:i/>
          <w:iCs/>
          <w:color w:val="auto"/>
        </w:rPr>
        <w:t>i</w:t>
      </w:r>
      <w:r w:rsidR="006A5949" w:rsidRPr="00942ECD">
        <w:rPr>
          <w:rFonts w:ascii="Bookman Old Style" w:hAnsi="Bookman Old Style"/>
          <w:b/>
          <w:bCs/>
          <w:i/>
          <w:iCs/>
          <w:color w:val="auto"/>
        </w:rPr>
        <w:t>). -</w:t>
      </w:r>
      <w:r w:rsidR="002455C6" w:rsidRPr="00942ECD">
        <w:rPr>
          <w:rFonts w:ascii="Bookman Old Style" w:hAnsi="Bookman Old Style"/>
          <w:i/>
          <w:iCs/>
          <w:color w:val="auto"/>
        </w:rPr>
        <w:t xml:space="preserve"> </w:t>
      </w:r>
      <w:bookmarkEnd w:id="3"/>
      <w:r w:rsidRPr="00942ECD">
        <w:rPr>
          <w:rFonts w:ascii="Bookman Old Style" w:hAnsi="Bookman Old Style"/>
          <w:b/>
          <w:i/>
          <w:iCs/>
          <w:color w:val="auto"/>
        </w:rPr>
        <w:t xml:space="preserve">Beatriz Elena Bonilla Martínez </w:t>
      </w:r>
      <w:r w:rsidR="008C0708" w:rsidRPr="00942ECD">
        <w:rPr>
          <w:rFonts w:ascii="Bookman Old Style" w:hAnsi="Bookman Old Style"/>
          <w:bCs/>
          <w:i/>
          <w:iCs/>
          <w:color w:val="auto"/>
        </w:rPr>
        <w:t>nació el 10-05-1968 (archivo 02, pág. 1)</w:t>
      </w:r>
      <w:r w:rsidR="002455C6" w:rsidRPr="00942ECD">
        <w:rPr>
          <w:rFonts w:ascii="Bookman Old Style" w:hAnsi="Bookman Old Style"/>
          <w:bCs/>
          <w:i/>
          <w:iCs/>
          <w:color w:val="auto"/>
        </w:rPr>
        <w:t xml:space="preserve">; </w:t>
      </w:r>
      <w:r w:rsidR="002455C6" w:rsidRPr="00942ECD">
        <w:rPr>
          <w:rFonts w:ascii="Bookman Old Style" w:hAnsi="Bookman Old Style"/>
          <w:b/>
          <w:bCs/>
          <w:i/>
          <w:iCs/>
          <w:color w:val="auto"/>
        </w:rPr>
        <w:t xml:space="preserve">ii).- </w:t>
      </w:r>
      <w:r w:rsidR="008C0708" w:rsidRPr="00942ECD">
        <w:rPr>
          <w:rFonts w:ascii="Bookman Old Style" w:hAnsi="Bookman Old Style"/>
          <w:bCs/>
          <w:i/>
          <w:iCs/>
          <w:color w:val="auto"/>
        </w:rPr>
        <w:t>La actora se afilió al ISS hoy Colpensiones realizando aportes entre el 03-05-1994 cotizando hasta el momento de traslado de régimen un total de 304.57 semanas (archivo 02, pág. 14 y archivo 08, pág. 21)</w:t>
      </w:r>
      <w:r w:rsidR="002455C6" w:rsidRPr="00942ECD">
        <w:rPr>
          <w:rFonts w:ascii="Bookman Old Style" w:hAnsi="Bookman Old Style"/>
          <w:bCs/>
          <w:i/>
          <w:iCs/>
          <w:color w:val="auto"/>
        </w:rPr>
        <w:t>:</w:t>
      </w:r>
      <w:r w:rsidR="002455C6" w:rsidRPr="00942ECD">
        <w:rPr>
          <w:rFonts w:ascii="Bookman Old Style" w:hAnsi="Bookman Old Style"/>
          <w:b/>
          <w:bCs/>
          <w:i/>
          <w:iCs/>
          <w:color w:val="auto"/>
        </w:rPr>
        <w:t xml:space="preserve"> iii).- </w:t>
      </w:r>
      <w:r w:rsidR="008C0708" w:rsidRPr="00942ECD">
        <w:rPr>
          <w:rFonts w:ascii="Bookman Old Style" w:hAnsi="Bookman Old Style"/>
          <w:bCs/>
          <w:i/>
          <w:iCs/>
          <w:color w:val="auto"/>
        </w:rPr>
        <w:t xml:space="preserve">La actora se trasladó del RPM con PD hacia el RAIS administrado por Colfondos el </w:t>
      </w:r>
      <w:r w:rsidR="008C0708" w:rsidRPr="00942ECD">
        <w:rPr>
          <w:rFonts w:ascii="Bookman Old Style" w:hAnsi="Bookman Old Style"/>
          <w:b/>
          <w:i/>
          <w:iCs/>
          <w:color w:val="auto"/>
        </w:rPr>
        <w:t>25-05-2001</w:t>
      </w:r>
      <w:r w:rsidR="008C0708" w:rsidRPr="00942ECD">
        <w:rPr>
          <w:rFonts w:ascii="Bookman Old Style" w:hAnsi="Bookman Old Style"/>
          <w:bCs/>
          <w:i/>
          <w:iCs/>
          <w:color w:val="auto"/>
        </w:rPr>
        <w:t xml:space="preserve"> (archivo 02, pág. 16)</w:t>
      </w:r>
      <w:r w:rsidR="002455C6" w:rsidRPr="00942ECD">
        <w:rPr>
          <w:rFonts w:ascii="Bookman Old Style" w:hAnsi="Bookman Old Style"/>
          <w:bCs/>
          <w:i/>
          <w:iCs/>
          <w:color w:val="auto"/>
        </w:rPr>
        <w:t xml:space="preserve">; </w:t>
      </w:r>
      <w:r w:rsidR="002455C6" w:rsidRPr="00942ECD">
        <w:rPr>
          <w:rFonts w:ascii="Bookman Old Style" w:hAnsi="Bookman Old Style"/>
          <w:b/>
          <w:bCs/>
          <w:i/>
          <w:iCs/>
          <w:color w:val="auto"/>
        </w:rPr>
        <w:t xml:space="preserve">iv).- </w:t>
      </w:r>
      <w:r w:rsidR="008C0708" w:rsidRPr="00942ECD">
        <w:rPr>
          <w:rFonts w:ascii="Bookman Old Style" w:hAnsi="Bookman Old Style"/>
          <w:bCs/>
          <w:i/>
          <w:iCs/>
          <w:color w:val="auto"/>
        </w:rPr>
        <w:t>La actora hizo traslados horizontales</w:t>
      </w:r>
      <w:r w:rsidR="00571B9F" w:rsidRPr="00942ECD">
        <w:rPr>
          <w:rFonts w:ascii="Bookman Old Style" w:hAnsi="Bookman Old Style"/>
          <w:bCs/>
          <w:i/>
          <w:iCs/>
          <w:color w:val="auto"/>
        </w:rPr>
        <w:t>, así:</w:t>
      </w:r>
      <w:r w:rsidR="008C0708" w:rsidRPr="00942ECD">
        <w:rPr>
          <w:rFonts w:ascii="Bookman Old Style" w:hAnsi="Bookman Old Style"/>
          <w:bCs/>
          <w:i/>
          <w:iCs/>
          <w:color w:val="auto"/>
        </w:rPr>
        <w:t xml:space="preserve"> (i) De Colfondos S.A hacia ING hoy Protección S.A. el 08-08-2008 (archivo 02, pág. 47); (ii) Desde ING hoy Protección S.A a Colfondos el 20-05-2009 (archivo 02, pág. 9) y (iii) Desde Colfondos S.A. hacia Protección S.A, el 20-03-2014 (archivo 02, pág. 9)</w:t>
      </w:r>
      <w:r w:rsidR="002455C6" w:rsidRPr="00942ECD">
        <w:rPr>
          <w:rFonts w:ascii="Bookman Old Style" w:hAnsi="Bookman Old Style"/>
          <w:bCs/>
          <w:i/>
          <w:iCs/>
          <w:color w:val="auto"/>
        </w:rPr>
        <w:t xml:space="preserve">: </w:t>
      </w:r>
      <w:r w:rsidR="002455C6" w:rsidRPr="00942ECD">
        <w:rPr>
          <w:rFonts w:ascii="Bookman Old Style" w:hAnsi="Bookman Old Style"/>
          <w:b/>
          <w:bCs/>
          <w:i/>
          <w:iCs/>
          <w:color w:val="auto"/>
        </w:rPr>
        <w:t xml:space="preserve">v).- </w:t>
      </w:r>
      <w:r w:rsidR="008C0708" w:rsidRPr="00942ECD">
        <w:rPr>
          <w:rFonts w:ascii="Bookman Old Style" w:hAnsi="Bookman Old Style"/>
          <w:bCs/>
          <w:i/>
          <w:iCs/>
          <w:color w:val="auto"/>
        </w:rPr>
        <w:t>Según la historia laboral de Protección</w:t>
      </w:r>
      <w:r w:rsidR="00571B9F" w:rsidRPr="00942ECD">
        <w:rPr>
          <w:rFonts w:ascii="Bookman Old Style" w:hAnsi="Bookman Old Style"/>
          <w:bCs/>
          <w:i/>
          <w:iCs/>
          <w:color w:val="auto"/>
        </w:rPr>
        <w:t xml:space="preserve"> S.A</w:t>
      </w:r>
      <w:r w:rsidR="008C0708" w:rsidRPr="00942ECD">
        <w:rPr>
          <w:rFonts w:ascii="Bookman Old Style" w:hAnsi="Bookman Old Style"/>
          <w:bCs/>
          <w:i/>
          <w:iCs/>
          <w:color w:val="auto"/>
        </w:rPr>
        <w:t xml:space="preserve">, la actora cuenta con un bono pensional con fecha Redención del Bono 10/05/2028 (archivo 02, pág. 30). </w:t>
      </w:r>
    </w:p>
    <w:p w14:paraId="1568B4BB" w14:textId="77777777" w:rsidR="008C0708" w:rsidRPr="00942ECD" w:rsidRDefault="008C0708" w:rsidP="00942ECD">
      <w:pPr>
        <w:pStyle w:val="Prrafodelista"/>
        <w:spacing w:line="276" w:lineRule="auto"/>
        <w:ind w:left="1069" w:firstLine="0"/>
        <w:rPr>
          <w:rFonts w:ascii="Bookman Old Style" w:hAnsi="Bookman Old Style"/>
          <w:bCs/>
        </w:rPr>
      </w:pPr>
      <w:bookmarkStart w:id="4" w:name="_Hlk152753484"/>
    </w:p>
    <w:p w14:paraId="06F79F2D"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bCs/>
          <w:color w:val="auto"/>
        </w:rPr>
        <w:t>Conforme</w:t>
      </w:r>
      <w:r w:rsidRPr="00942ECD">
        <w:rPr>
          <w:rFonts w:ascii="Bookman Old Style" w:hAnsi="Bookman Old Style"/>
          <w:color w:val="auto"/>
        </w:rPr>
        <w:t xml:space="preserve"> a los anteriores referentes, pasa la Sala a desatar la alzada, en los siguientes términos:</w:t>
      </w:r>
    </w:p>
    <w:p w14:paraId="64A22683" w14:textId="77777777" w:rsidR="001C280C" w:rsidRPr="00942ECD" w:rsidRDefault="001C280C" w:rsidP="00942ECD">
      <w:pPr>
        <w:spacing w:line="276" w:lineRule="auto"/>
        <w:rPr>
          <w:rFonts w:ascii="Bookman Old Style" w:hAnsi="Bookman Old Style"/>
          <w:b/>
          <w:color w:val="auto"/>
        </w:rPr>
      </w:pPr>
    </w:p>
    <w:p w14:paraId="3BAC4D07" w14:textId="77777777" w:rsidR="001C280C" w:rsidRPr="00942ECD" w:rsidRDefault="001C280C" w:rsidP="00942ECD">
      <w:pPr>
        <w:spacing w:line="276" w:lineRule="auto"/>
        <w:ind w:firstLine="0"/>
        <w:jc w:val="center"/>
        <w:rPr>
          <w:rFonts w:ascii="Bookman Old Style" w:hAnsi="Bookman Old Style"/>
          <w:b/>
          <w:color w:val="auto"/>
        </w:rPr>
      </w:pPr>
      <w:r w:rsidRPr="00942ECD">
        <w:rPr>
          <w:rFonts w:ascii="Bookman Old Style" w:hAnsi="Bookman Old Style"/>
          <w:b/>
          <w:color w:val="auto"/>
        </w:rPr>
        <w:t>Ineficacia del traslado de Régimen</w:t>
      </w:r>
    </w:p>
    <w:p w14:paraId="5C13CC6C" w14:textId="77777777" w:rsidR="001C280C" w:rsidRPr="00942ECD" w:rsidRDefault="001C280C" w:rsidP="00942ECD">
      <w:pPr>
        <w:spacing w:line="276" w:lineRule="auto"/>
        <w:rPr>
          <w:rFonts w:ascii="Bookman Old Style" w:hAnsi="Bookman Old Style"/>
          <w:b/>
          <w:color w:val="auto"/>
        </w:rPr>
      </w:pPr>
    </w:p>
    <w:p w14:paraId="7E9644FD"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 xml:space="preserve">Para iniciar, es de advertir que, cuando se pretende por vía judicial la ineficacia del traslado de un afiliado del RPM al RAIS, es necesario tener en cuenta que la ley radica en las Administradoras de Pensiones el deber de </w:t>
      </w:r>
      <w:r w:rsidRPr="00942ECD">
        <w:rPr>
          <w:rFonts w:ascii="Bookman Old Style" w:hAnsi="Bookman Old Style"/>
          <w:color w:val="auto"/>
        </w:rPr>
        <w:lastRenderedPageBreak/>
        <w:t xml:space="preserve">gestión de los intereses de quienes se vinculen a ellas, los cuales surgen desde las etapas previas y preparatorias a la formalización de su afiliación a la administradora, por lo tanto, en razón de la existencia de estas,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65E1A47B" w14:textId="77777777" w:rsidR="001C280C" w:rsidRPr="00942ECD" w:rsidRDefault="001C280C" w:rsidP="00942ECD">
      <w:pPr>
        <w:spacing w:line="276" w:lineRule="auto"/>
        <w:ind w:firstLine="0"/>
        <w:rPr>
          <w:rFonts w:ascii="Bookman Old Style" w:hAnsi="Bookman Old Style"/>
          <w:color w:val="auto"/>
        </w:rPr>
      </w:pPr>
    </w:p>
    <w:p w14:paraId="1C6FE537"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0BB9435A" w14:textId="77777777" w:rsidR="001C280C" w:rsidRPr="00942ECD" w:rsidRDefault="001C280C" w:rsidP="00942ECD">
      <w:pPr>
        <w:spacing w:line="276" w:lineRule="auto"/>
        <w:ind w:firstLine="0"/>
        <w:rPr>
          <w:rFonts w:ascii="Bookman Old Style" w:hAnsi="Bookman Old Style"/>
          <w:color w:val="auto"/>
        </w:rPr>
      </w:pPr>
    </w:p>
    <w:p w14:paraId="5D599B66"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51AB91BD" w14:textId="77777777" w:rsidR="001C280C" w:rsidRPr="00942ECD" w:rsidRDefault="001C280C" w:rsidP="00942ECD">
      <w:pPr>
        <w:spacing w:line="276" w:lineRule="auto"/>
        <w:ind w:firstLine="0"/>
        <w:rPr>
          <w:rFonts w:ascii="Bookman Old Style" w:hAnsi="Bookman Old Style"/>
          <w:color w:val="auto"/>
        </w:rPr>
      </w:pPr>
    </w:p>
    <w:p w14:paraId="3E02D8E6"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A96415">
        <w:rPr>
          <w:rFonts w:ascii="Bookman Old Style" w:hAnsi="Bookman Old Style"/>
          <w:i/>
          <w:iCs/>
          <w:color w:val="auto"/>
          <w:sz w:val="22"/>
          <w:u w:val="single"/>
        </w:rPr>
        <w:t xml:space="preserve">el acto de afiliación o traslado de régimen pensional debe estar acompañado de la decisión libre y voluntaria del afiliado, la cual no se limita a la simple manifestación de quien decide trasladarse, sino que debe ajustarse a los parámetros de libertad informada, es decir, </w:t>
      </w:r>
      <w:r w:rsidRPr="00A96415">
        <w:rPr>
          <w:rFonts w:ascii="Bookman Old Style" w:hAnsi="Bookman Old Style"/>
          <w:i/>
          <w:iCs/>
          <w:color w:val="auto"/>
          <w:sz w:val="22"/>
          <w:u w:val="single"/>
        </w:rPr>
        <w:lastRenderedPageBreak/>
        <w:t>la solicitud y trámite de traslado de régimen pensional, debe estar precedida de una información clara, comprensible y suficiente, sobre las consecuencias favorables y desfavorables que su decisión acarrea</w:t>
      </w:r>
      <w:r w:rsidRPr="00A96415">
        <w:rPr>
          <w:rFonts w:ascii="Bookman Old Style" w:hAnsi="Bookman Old Style"/>
          <w:i/>
          <w:iCs/>
          <w:color w:val="auto"/>
          <w:sz w:val="22"/>
        </w:rPr>
        <w:t xml:space="preserve">» (CSJ3719-2021), todo ello por cuanto </w:t>
      </w:r>
      <w:r w:rsidRPr="00A96415">
        <w:rPr>
          <w:rFonts w:ascii="Bookman Old Style" w:hAnsi="Bookman Old Style"/>
          <w:i/>
          <w:iCs/>
          <w:color w:val="auto"/>
          <w:spacing w:val="-4"/>
          <w:sz w:val="22"/>
        </w:rPr>
        <w:t>«</w:t>
      </w:r>
      <w:r w:rsidRPr="00A96415">
        <w:rPr>
          <w:rFonts w:ascii="Bookman Old Style" w:hAnsi="Bookman Old Style"/>
          <w:i/>
          <w:iCs/>
          <w:color w:val="auto"/>
          <w:spacing w:val="-4"/>
          <w:sz w:val="22"/>
          <w:u w:val="single"/>
        </w:rPr>
        <w:t>la violación del deber de información se predica frente a la validez del acto jurídico de traslado, considerado en sí mismo</w:t>
      </w:r>
      <w:r w:rsidRPr="00942ECD">
        <w:rPr>
          <w:rFonts w:ascii="Bookman Old Style" w:hAnsi="Bookman Old Style"/>
          <w:i/>
          <w:iCs/>
          <w:color w:val="auto"/>
          <w:spacing w:val="-4"/>
        </w:rPr>
        <w:t xml:space="preserve">» </w:t>
      </w:r>
      <w:r w:rsidRPr="00942ECD">
        <w:rPr>
          <w:rFonts w:ascii="Bookman Old Style" w:hAnsi="Bookman Old Style"/>
          <w:color w:val="auto"/>
          <w:spacing w:val="-4"/>
        </w:rPr>
        <w:t xml:space="preserve">(CSJ SL1452-2019, SL1688-2019, SL1689-2019, SL4025-2021). </w:t>
      </w:r>
    </w:p>
    <w:p w14:paraId="0E47D636" w14:textId="77777777" w:rsidR="001C280C" w:rsidRPr="00942ECD" w:rsidRDefault="001C280C" w:rsidP="00942ECD">
      <w:pPr>
        <w:spacing w:line="276" w:lineRule="auto"/>
        <w:ind w:firstLine="0"/>
        <w:rPr>
          <w:rFonts w:ascii="Bookman Old Style" w:hAnsi="Bookman Old Style"/>
          <w:color w:val="auto"/>
        </w:rPr>
      </w:pPr>
    </w:p>
    <w:p w14:paraId="74F1833F"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Así mismo, se ha de señalar que, por el solo hecho de que se suscriba un formulario de afiliación, no es posible inferir que la persona conocía los verdaderos efectos que sobre sus derechos pensionales podía tener la decisión de trasladarse, lo que además no puede considerarse como satisfecho con una simple expresión genérica; o con el hecho de que el afiliado no haya demostrado en el transcurso del tiempo inconformidad alguna sobre el cambio en el sistema pensional que hizo.</w:t>
      </w:r>
    </w:p>
    <w:p w14:paraId="7044F97A" w14:textId="77777777" w:rsidR="001C280C" w:rsidRPr="00942ECD" w:rsidRDefault="001C280C" w:rsidP="00942ECD">
      <w:pPr>
        <w:spacing w:line="276" w:lineRule="auto"/>
        <w:ind w:firstLine="0"/>
        <w:rPr>
          <w:rFonts w:ascii="Bookman Old Style" w:hAnsi="Bookman Old Style"/>
          <w:color w:val="auto"/>
        </w:rPr>
      </w:pPr>
    </w:p>
    <w:p w14:paraId="2123A540"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 xml:space="preserve">En torno a la </w:t>
      </w:r>
      <w:r w:rsidRPr="00942ECD">
        <w:rPr>
          <w:rFonts w:ascii="Bookman Old Style" w:hAnsi="Bookman Old Style"/>
          <w:b/>
          <w:bCs/>
          <w:color w:val="auto"/>
        </w:rPr>
        <w:t>carga de la prueba</w:t>
      </w:r>
      <w:r w:rsidRPr="00942ECD">
        <w:rPr>
          <w:rFonts w:ascii="Bookman Old Style" w:hAnsi="Bookman Old Style"/>
          <w:color w:val="auto"/>
        </w:rPr>
        <w:t>,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6F873953" w14:textId="77777777" w:rsidR="001C280C" w:rsidRPr="00942ECD" w:rsidRDefault="001C280C" w:rsidP="00942ECD">
      <w:pPr>
        <w:spacing w:line="276" w:lineRule="auto"/>
        <w:ind w:firstLine="0"/>
        <w:rPr>
          <w:rFonts w:ascii="Bookman Old Style" w:hAnsi="Bookman Old Style"/>
          <w:color w:val="auto"/>
        </w:rPr>
      </w:pPr>
    </w:p>
    <w:p w14:paraId="31AF2462" w14:textId="77777777" w:rsidR="001C280C" w:rsidRPr="00942ECD" w:rsidRDefault="001C280C" w:rsidP="00942ECD">
      <w:pPr>
        <w:spacing w:line="276" w:lineRule="auto"/>
        <w:rPr>
          <w:rFonts w:ascii="Bookman Old Style" w:hAnsi="Bookman Old Style"/>
          <w:color w:val="auto"/>
        </w:rPr>
      </w:pPr>
      <w:r w:rsidRPr="00942ECD">
        <w:rPr>
          <w:rFonts w:ascii="Bookman Old Style" w:hAnsi="Bookman Old Style"/>
          <w:color w:val="auto"/>
        </w:rPr>
        <w:t>Además de lo expuesto, la Corte ha reiterado (SL1017/2022) que, la transgresión al deber de información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27138790" w14:textId="77777777" w:rsidR="001C280C" w:rsidRPr="00942ECD" w:rsidRDefault="001C280C" w:rsidP="00942ECD">
      <w:pPr>
        <w:spacing w:line="276" w:lineRule="auto"/>
        <w:rPr>
          <w:rFonts w:ascii="Bookman Old Style" w:hAnsi="Bookman Old Style"/>
          <w:b/>
          <w:color w:val="auto"/>
        </w:rPr>
      </w:pPr>
    </w:p>
    <w:p w14:paraId="33446F7D" w14:textId="77777777" w:rsidR="001C280C" w:rsidRPr="00942ECD" w:rsidRDefault="001C280C" w:rsidP="00942ECD">
      <w:pPr>
        <w:spacing w:line="276" w:lineRule="auto"/>
        <w:ind w:firstLine="0"/>
        <w:jc w:val="center"/>
        <w:rPr>
          <w:rFonts w:ascii="Bookman Old Style" w:hAnsi="Bookman Old Style"/>
          <w:bCs/>
          <w:color w:val="auto"/>
        </w:rPr>
      </w:pPr>
      <w:r w:rsidRPr="00942ECD">
        <w:rPr>
          <w:rFonts w:ascii="Bookman Old Style" w:hAnsi="Bookman Old Style"/>
          <w:b/>
          <w:color w:val="auto"/>
        </w:rPr>
        <w:t>Del deber de información</w:t>
      </w:r>
    </w:p>
    <w:bookmarkEnd w:id="4"/>
    <w:p w14:paraId="02AB00A2" w14:textId="77777777" w:rsidR="00F967D6" w:rsidRPr="00942ECD" w:rsidRDefault="00F967D6" w:rsidP="00942ECD">
      <w:pPr>
        <w:pStyle w:val="Prrafodelista"/>
        <w:spacing w:line="276" w:lineRule="auto"/>
        <w:ind w:left="1069" w:firstLine="0"/>
        <w:rPr>
          <w:rFonts w:ascii="Bookman Old Style" w:hAnsi="Bookman Old Style"/>
          <w:bCs/>
        </w:rPr>
      </w:pPr>
    </w:p>
    <w:p w14:paraId="2EFE8822" w14:textId="4201D65A" w:rsidR="00CB4B87" w:rsidRPr="00942ECD" w:rsidRDefault="00CB4B87" w:rsidP="00942ECD">
      <w:pPr>
        <w:spacing w:line="276" w:lineRule="auto"/>
        <w:rPr>
          <w:rFonts w:ascii="Bookman Old Style" w:hAnsi="Bookman Old Style"/>
          <w:color w:val="auto"/>
        </w:rPr>
      </w:pPr>
      <w:bookmarkStart w:id="5" w:name="_Hlk152753523"/>
      <w:r w:rsidRPr="00942ECD">
        <w:rPr>
          <w:rFonts w:ascii="Bookman Old Style" w:hAnsi="Bookman Old Style"/>
          <w:color w:val="auto"/>
        </w:rPr>
        <w:t xml:space="preserve">Aplicando los anteriores criterios al caso que nos ocupa, debe decirse que </w:t>
      </w:r>
      <w:bookmarkStart w:id="6" w:name="_Hlk152753515"/>
      <w:r w:rsidRPr="00942ECD">
        <w:rPr>
          <w:rFonts w:ascii="Bookman Old Style" w:hAnsi="Bookman Old Style"/>
          <w:color w:val="auto"/>
        </w:rPr>
        <w:t xml:space="preserve">de </w:t>
      </w:r>
      <w:bookmarkEnd w:id="5"/>
      <w:r w:rsidRPr="00942ECD">
        <w:rPr>
          <w:rFonts w:ascii="Bookman Old Style" w:hAnsi="Bookman Old Style"/>
          <w:color w:val="auto"/>
        </w:rPr>
        <w:t xml:space="preserve">la documental adosada ninguna es idónea para demostrar que en la antesala de la decisión que tuvo </w:t>
      </w:r>
      <w:r w:rsidR="007C3736" w:rsidRPr="00942ECD">
        <w:rPr>
          <w:rFonts w:ascii="Bookman Old Style" w:hAnsi="Bookman Old Style"/>
          <w:color w:val="auto"/>
        </w:rPr>
        <w:t xml:space="preserve">la </w:t>
      </w:r>
      <w:r w:rsidRPr="00942ECD">
        <w:rPr>
          <w:rFonts w:ascii="Bookman Old Style" w:hAnsi="Bookman Old Style"/>
          <w:color w:val="auto"/>
        </w:rPr>
        <w:t>afiliad</w:t>
      </w:r>
      <w:r w:rsidR="007C3736" w:rsidRPr="00942ECD">
        <w:rPr>
          <w:rFonts w:ascii="Bookman Old Style" w:hAnsi="Bookman Old Style"/>
          <w:color w:val="auto"/>
        </w:rPr>
        <w:t>a</w:t>
      </w:r>
      <w:r w:rsidRPr="00942ECD">
        <w:rPr>
          <w:rFonts w:ascii="Bookman Old Style" w:hAnsi="Bookman Old Style"/>
          <w:color w:val="auto"/>
        </w:rPr>
        <w:t xml:space="preserve"> para migrar del RPM con PD, la AFP cumplió con su deber de información, esto es, dotando a la reclamante de todo el conocimiento que requería para adoptar una decisión consciente, racional y ajustada a sus expectativas pensionales.</w:t>
      </w:r>
    </w:p>
    <w:p w14:paraId="75B949EE" w14:textId="77777777" w:rsidR="00CB4B87" w:rsidRPr="00942ECD" w:rsidRDefault="00CB4B87" w:rsidP="00942ECD">
      <w:pPr>
        <w:spacing w:line="276" w:lineRule="auto"/>
        <w:ind w:firstLine="0"/>
        <w:rPr>
          <w:rFonts w:ascii="Bookman Old Style" w:hAnsi="Bookman Old Style"/>
          <w:color w:val="auto"/>
        </w:rPr>
      </w:pPr>
    </w:p>
    <w:p w14:paraId="60561789" w14:textId="67A4A09A" w:rsidR="00CB4B87" w:rsidRPr="00942ECD" w:rsidRDefault="00CB4B87" w:rsidP="00942ECD">
      <w:pPr>
        <w:spacing w:line="276" w:lineRule="auto"/>
        <w:rPr>
          <w:rFonts w:ascii="Bookman Old Style" w:hAnsi="Bookman Old Style"/>
          <w:color w:val="auto"/>
        </w:rPr>
      </w:pPr>
      <w:r w:rsidRPr="00942ECD">
        <w:rPr>
          <w:rFonts w:ascii="Bookman Old Style" w:hAnsi="Bookman Old Style"/>
          <w:color w:val="auto"/>
        </w:rPr>
        <w:t>Ahora, a pesar de que la actora signó el formulario del traslado que aceptó haberlo realizado de manera “</w:t>
      </w:r>
      <w:r w:rsidRPr="00942ECD">
        <w:rPr>
          <w:rFonts w:ascii="Bookman Old Style" w:hAnsi="Bookman Old Style"/>
          <w:b/>
          <w:bCs/>
          <w:i/>
          <w:iCs/>
          <w:color w:val="auto"/>
        </w:rPr>
        <w:t>libre, voluntaria y sin presiones</w:t>
      </w:r>
      <w:r w:rsidRPr="00942ECD">
        <w:rPr>
          <w:rFonts w:ascii="Bookman Old Style" w:hAnsi="Bookman Old Style"/>
          <w:i/>
          <w:iCs/>
          <w:color w:val="auto"/>
        </w:rPr>
        <w:t>”,</w:t>
      </w:r>
      <w:r w:rsidRPr="00942ECD">
        <w:rPr>
          <w:rFonts w:ascii="Bookman Old Style" w:hAnsi="Bookman Old Style"/>
          <w:color w:val="auto"/>
        </w:rPr>
        <w:t xml:space="preserve"> de ello no se puede deducir que hubo un consentimiento o una decisión de cambio de régimen debida y suficientemente informada cuando justamente a ese momento se careció del conocimiento necesario acerca de las características, ventajas, desventajas, condiciones económicas y del mercado, </w:t>
      </w:r>
      <w:r w:rsidRPr="00942ECD">
        <w:rPr>
          <w:rFonts w:ascii="Bookman Old Style" w:hAnsi="Bookman Old Style"/>
          <w:color w:val="auto"/>
        </w:rPr>
        <w:lastRenderedPageBreak/>
        <w:t xml:space="preserve">del funcionamiento diferenciado de los sistemas pensionales y de las consecuencias que podría acarrear su decisión. Se debe tener en cuenta que era deber de la AFP realizar un proyecto pensional en donde se informara sobre las posibilidades de contar con un </w:t>
      </w:r>
      <w:r w:rsidR="00FF77CF" w:rsidRPr="00942ECD">
        <w:rPr>
          <w:rFonts w:ascii="Bookman Old Style" w:hAnsi="Bookman Old Style"/>
          <w:i/>
          <w:color w:val="auto"/>
        </w:rPr>
        <w:t>quantum</w:t>
      </w:r>
      <w:r w:rsidRPr="00942ECD">
        <w:rPr>
          <w:rFonts w:ascii="Bookman Old Style" w:hAnsi="Bookman Old Style"/>
          <w:color w:val="auto"/>
        </w:rPr>
        <w:t xml:space="preserve"> ajustado a las expectativas en el régimen al cual </w:t>
      </w:r>
      <w:r w:rsidR="007C3736" w:rsidRPr="00942ECD">
        <w:rPr>
          <w:rFonts w:ascii="Bookman Old Style" w:hAnsi="Bookman Old Style"/>
          <w:color w:val="auto"/>
        </w:rPr>
        <w:t xml:space="preserve">la demandante </w:t>
      </w:r>
      <w:r w:rsidRPr="00942ECD">
        <w:rPr>
          <w:rFonts w:ascii="Bookman Old Style" w:hAnsi="Bookman Old Style"/>
          <w:color w:val="auto"/>
        </w:rPr>
        <w:t xml:space="preserve">se iba va a trasladar. </w:t>
      </w:r>
    </w:p>
    <w:p w14:paraId="61D1C825" w14:textId="77777777" w:rsidR="00CB4B87" w:rsidRPr="00942ECD" w:rsidRDefault="00CB4B87" w:rsidP="00942ECD">
      <w:pPr>
        <w:spacing w:line="276" w:lineRule="auto"/>
        <w:rPr>
          <w:rFonts w:ascii="Bookman Old Style" w:hAnsi="Bookman Old Style"/>
          <w:b/>
          <w:color w:val="auto"/>
        </w:rPr>
      </w:pPr>
    </w:p>
    <w:p w14:paraId="6CEA2773" w14:textId="2405F1D1" w:rsidR="008C0708" w:rsidRPr="00942ECD" w:rsidRDefault="00CB4B87" w:rsidP="00942ECD">
      <w:pPr>
        <w:spacing w:line="276" w:lineRule="auto"/>
        <w:rPr>
          <w:rFonts w:ascii="Bookman Old Style" w:hAnsi="Bookman Old Style"/>
          <w:color w:val="auto"/>
        </w:rPr>
      </w:pPr>
      <w:r w:rsidRPr="00942ECD">
        <w:rPr>
          <w:rFonts w:ascii="Bookman Old Style" w:hAnsi="Bookman Old Style"/>
          <w:color w:val="auto"/>
        </w:rPr>
        <w:t xml:space="preserve">Para auscultar si se cumplió con el propósito de la alzada, se escuchó </w:t>
      </w:r>
      <w:r w:rsidRPr="00942ECD">
        <w:rPr>
          <w:rFonts w:ascii="Bookman Old Style" w:hAnsi="Bookman Old Style"/>
          <w:bCs/>
          <w:color w:val="auto"/>
        </w:rPr>
        <w:t>en</w:t>
      </w:r>
      <w:r w:rsidRPr="00942ECD">
        <w:rPr>
          <w:rFonts w:ascii="Bookman Old Style" w:hAnsi="Bookman Old Style"/>
          <w:b/>
          <w:color w:val="auto"/>
        </w:rPr>
        <w:t xml:space="preserve"> interrogatorio</w:t>
      </w:r>
      <w:r w:rsidRPr="00942ECD">
        <w:rPr>
          <w:rFonts w:ascii="Bookman Old Style" w:hAnsi="Bookman Old Style"/>
          <w:color w:val="auto"/>
        </w:rPr>
        <w:t xml:space="preserve"> a </w:t>
      </w:r>
      <w:bookmarkEnd w:id="6"/>
      <w:r w:rsidRPr="00942ECD">
        <w:rPr>
          <w:rFonts w:ascii="Bookman Old Style" w:hAnsi="Bookman Old Style"/>
          <w:b/>
          <w:bCs/>
          <w:color w:val="auto"/>
        </w:rPr>
        <w:t>Beatriz Elena Bonilla Martínez</w:t>
      </w:r>
      <w:r w:rsidR="008C0708" w:rsidRPr="00942ECD">
        <w:rPr>
          <w:rFonts w:ascii="Bookman Old Style" w:hAnsi="Bookman Old Style"/>
          <w:color w:val="auto"/>
        </w:rPr>
        <w:t xml:space="preserve">, </w:t>
      </w:r>
      <w:r w:rsidRPr="00942ECD">
        <w:rPr>
          <w:rFonts w:ascii="Bookman Old Style" w:hAnsi="Bookman Old Style"/>
          <w:color w:val="auto"/>
        </w:rPr>
        <w:t>P</w:t>
      </w:r>
      <w:r w:rsidR="008C0708" w:rsidRPr="00942ECD">
        <w:rPr>
          <w:rFonts w:ascii="Bookman Old Style" w:hAnsi="Bookman Old Style"/>
          <w:color w:val="auto"/>
        </w:rPr>
        <w:t>rofesional en enfermería</w:t>
      </w:r>
      <w:r w:rsidRPr="00942ECD">
        <w:rPr>
          <w:rFonts w:ascii="Bookman Old Style" w:hAnsi="Bookman Old Style"/>
          <w:color w:val="auto"/>
        </w:rPr>
        <w:t>; quien r</w:t>
      </w:r>
      <w:r w:rsidR="008C0708" w:rsidRPr="00942ECD">
        <w:rPr>
          <w:rFonts w:ascii="Bookman Old Style" w:hAnsi="Bookman Old Style"/>
          <w:color w:val="auto"/>
        </w:rPr>
        <w:t xml:space="preserve">elató que en mayo del 2001 laboraba en una entidad de salud en Bogotá; un asesor comercial que iba a la empresa la abordó preguntándole </w:t>
      </w:r>
      <w:r w:rsidR="00830E76" w:rsidRPr="00942ECD">
        <w:rPr>
          <w:rFonts w:ascii="Bookman Old Style" w:hAnsi="Bookman Old Style"/>
          <w:color w:val="auto"/>
        </w:rPr>
        <w:t>en</w:t>
      </w:r>
      <w:r w:rsidR="008C0708" w:rsidRPr="00942ECD">
        <w:rPr>
          <w:rFonts w:ascii="Bookman Old Style" w:hAnsi="Bookman Old Style"/>
          <w:color w:val="auto"/>
        </w:rPr>
        <w:t xml:space="preserve"> qué fondo de pensiones estaba, momento en que estaba en el ISS y, siendo para entonces un momento coyuntural del Seguro Social, le ofreció el traslado a Colfondos y sin mayor información accedió para asegurar que los aportes estuvieran en un en un sitio seguro teniendo en cuenta lo que podía pasar con el ISS. Negó que el asesor le hubiera realizado explicaciones sobre la cuenta de ahorro individual o sus características porque solo se le dijo que sus aportes serían trasladados, refiriendo haber tenido total desinformación para la época.</w:t>
      </w:r>
    </w:p>
    <w:p w14:paraId="5EE1A889" w14:textId="77777777" w:rsidR="005B5103" w:rsidRPr="00942ECD" w:rsidRDefault="005B5103" w:rsidP="00942ECD">
      <w:pPr>
        <w:spacing w:line="276" w:lineRule="auto"/>
        <w:rPr>
          <w:rFonts w:ascii="Bookman Old Style" w:hAnsi="Bookman Old Style"/>
          <w:color w:val="auto"/>
        </w:rPr>
      </w:pPr>
    </w:p>
    <w:p w14:paraId="32AA9B20" w14:textId="77777777" w:rsidR="00CB4B87" w:rsidRPr="00942ECD" w:rsidRDefault="00CB4B87" w:rsidP="00942ECD">
      <w:pPr>
        <w:spacing w:line="276" w:lineRule="auto"/>
        <w:rPr>
          <w:rFonts w:ascii="Bookman Old Style" w:hAnsi="Bookman Old Style"/>
          <w:color w:val="auto"/>
        </w:rPr>
      </w:pPr>
      <w:bookmarkStart w:id="7" w:name="_Hlk152754249"/>
      <w:r w:rsidRPr="00942ECD">
        <w:rPr>
          <w:rFonts w:ascii="Bookman Old Style" w:hAnsi="Bookman Old Style"/>
          <w:color w:val="auto"/>
        </w:rPr>
        <w:t>De dicho instrumento de prueba se advierte que no se encontraron manifestaciones que, conjunta o individualmente, puedan calificarse como una confesión de haber recibido la información a que estaban obligadas la AFP en la antesala del traslado de régimen pensional, lo que implica que, el fondo solo demostró que el formulario se suscribió de manera libre, voluntaria y sin presiones, pero no que cumplió con el deber de información.</w:t>
      </w:r>
    </w:p>
    <w:p w14:paraId="3B6BD3D6" w14:textId="77777777" w:rsidR="00CB4B87" w:rsidRPr="00942ECD" w:rsidRDefault="00CB4B87" w:rsidP="00942ECD">
      <w:pPr>
        <w:spacing w:line="276" w:lineRule="auto"/>
        <w:rPr>
          <w:rFonts w:ascii="Bookman Old Style" w:hAnsi="Bookman Old Style"/>
          <w:color w:val="auto"/>
        </w:rPr>
      </w:pPr>
    </w:p>
    <w:p w14:paraId="78B7C634" w14:textId="7F3576A7" w:rsidR="000F6DA8" w:rsidRPr="00942ECD" w:rsidRDefault="000F6DA8" w:rsidP="00942ECD">
      <w:pPr>
        <w:spacing w:line="276" w:lineRule="auto"/>
        <w:rPr>
          <w:rFonts w:ascii="Bookman Old Style" w:hAnsi="Bookman Old Style"/>
          <w:bCs/>
          <w:color w:val="auto"/>
        </w:rPr>
      </w:pPr>
      <w:r w:rsidRPr="00942ECD">
        <w:rPr>
          <w:rFonts w:ascii="Bookman Old Style" w:hAnsi="Bookman Old Style"/>
          <w:color w:val="auto"/>
        </w:rPr>
        <w:t>Y es que, al analizar el caudal probatorio bajo los parámetros ya traídos a colación, se tiene que no existen elementos que permitan concluir que, durante el traslado de la parte actora, Colfondos S.A. hubiere cumplido con el deber de información que le correspondía</w:t>
      </w:r>
      <w:r w:rsidR="00830E76" w:rsidRPr="00942ECD">
        <w:rPr>
          <w:rFonts w:ascii="Bookman Old Style" w:hAnsi="Bookman Old Style"/>
          <w:color w:val="auto"/>
        </w:rPr>
        <w:t>.</w:t>
      </w:r>
    </w:p>
    <w:p w14:paraId="37E517B5" w14:textId="77777777" w:rsidR="000F6DA8" w:rsidRPr="00942ECD" w:rsidRDefault="000F6DA8" w:rsidP="00942ECD">
      <w:pPr>
        <w:spacing w:line="276" w:lineRule="auto"/>
        <w:rPr>
          <w:rFonts w:ascii="Bookman Old Style" w:hAnsi="Bookman Old Style"/>
          <w:color w:val="auto"/>
        </w:rPr>
      </w:pPr>
    </w:p>
    <w:p w14:paraId="149400E9" w14:textId="3D3BBD97" w:rsidR="000F6DA8" w:rsidRPr="00942ECD" w:rsidRDefault="000F6DA8" w:rsidP="00942ECD">
      <w:pPr>
        <w:spacing w:line="276" w:lineRule="auto"/>
        <w:rPr>
          <w:rFonts w:ascii="Bookman Old Style" w:hAnsi="Bookman Old Style"/>
          <w:color w:val="auto"/>
        </w:rPr>
      </w:pPr>
      <w:r w:rsidRPr="00942ECD">
        <w:rPr>
          <w:rFonts w:ascii="Bookman Old Style" w:hAnsi="Bookman Old Style"/>
          <w:color w:val="auto"/>
        </w:rPr>
        <w:t>En todo caso, resulta notorio que faltó a su deber de «</w:t>
      </w:r>
      <w:r w:rsidRPr="00942ECD">
        <w:rPr>
          <w:rFonts w:ascii="Bookman Old Style" w:hAnsi="Bookman Old Style"/>
          <w:i/>
          <w:iCs/>
          <w:color w:val="auto"/>
        </w:rPr>
        <w:t>información y buen consejo</w:t>
      </w:r>
      <w:r w:rsidRPr="00942ECD">
        <w:rPr>
          <w:rFonts w:ascii="Bookman Old Style" w:hAnsi="Bookman Old Style"/>
          <w:color w:val="auto"/>
        </w:rPr>
        <w:t>», omitiendo informar sobre las ventajas, desventajas, características, riesgos, posibilidades de pensión en cada régimen y demás aspectos que le permitiese comprender claramente la conveniencia o inconveniencia de su decisión, condiciones que debía probar la AFP, pero no lo hizo. Esta situación se acompasa con lo lineado en las sentencias SL12136-2014 y SL4373-2020, entre otras.</w:t>
      </w:r>
    </w:p>
    <w:p w14:paraId="5D800D88" w14:textId="77777777" w:rsidR="000F6DA8" w:rsidRPr="00942ECD" w:rsidRDefault="000F6DA8" w:rsidP="00942ECD">
      <w:pPr>
        <w:spacing w:line="276" w:lineRule="auto"/>
        <w:rPr>
          <w:rFonts w:ascii="Bookman Old Style" w:hAnsi="Bookman Old Style"/>
          <w:color w:val="auto"/>
        </w:rPr>
      </w:pPr>
    </w:p>
    <w:p w14:paraId="506EBA81" w14:textId="7E6DE567" w:rsidR="009F5F1E" w:rsidRPr="00942ECD" w:rsidRDefault="009F5F1E" w:rsidP="00942ECD">
      <w:pPr>
        <w:spacing w:line="276" w:lineRule="auto"/>
        <w:rPr>
          <w:rFonts w:ascii="Bookman Old Style" w:hAnsi="Bookman Old Style"/>
          <w:color w:val="auto"/>
        </w:rPr>
      </w:pPr>
      <w:r w:rsidRPr="00942ECD">
        <w:rPr>
          <w:rFonts w:ascii="Bookman Old Style" w:hAnsi="Bookman Old Style"/>
          <w:color w:val="auto"/>
        </w:rPr>
        <w:t xml:space="preserve">A lo anterior se suma, que las obligaciones que debían observar los fondos de pensiones durante el traslado de la parte accionante eran las contenidas en las normas del sistema vigentes a esa época. De modo que, al ser la solicitud del </w:t>
      </w:r>
      <w:r w:rsidRPr="00942ECD">
        <w:rPr>
          <w:rFonts w:ascii="Bookman Old Style" w:hAnsi="Bookman Old Style"/>
          <w:b/>
          <w:bCs/>
          <w:color w:val="auto"/>
        </w:rPr>
        <w:t>2001,</w:t>
      </w:r>
      <w:r w:rsidRPr="00942ECD">
        <w:rPr>
          <w:rFonts w:ascii="Bookman Old Style" w:hAnsi="Bookman Old Style"/>
          <w:color w:val="auto"/>
        </w:rPr>
        <w:t xml:space="preserve"> es factible pregonar sin vacilación que a </w:t>
      </w:r>
      <w:r w:rsidRPr="00942ECD">
        <w:rPr>
          <w:rFonts w:ascii="Bookman Old Style" w:hAnsi="Bookman Old Style"/>
          <w:b/>
          <w:bCs/>
          <w:color w:val="auto"/>
        </w:rPr>
        <w:t>Colfondos S.A.</w:t>
      </w:r>
      <w:r w:rsidRPr="00942ECD">
        <w:rPr>
          <w:rFonts w:ascii="Bookman Old Style" w:hAnsi="Bookman Old Style"/>
          <w:color w:val="auto"/>
        </w:rPr>
        <w:t xml:space="preserve"> le correspondía cumplir con el deber de información que deviene de las disposiciones constitucionales, de la Ley 100 de 1993, artículos 13, literal b), 271 y 272 y del Decreto 663 de 1993, artículo 97, según los cuales, como mínimo, debió ilustrarse al potencial afiliado sobre las características, condiciones de acceso, efectos y riesgos de cada uno de los regímenes </w:t>
      </w:r>
      <w:r w:rsidRPr="00942ECD">
        <w:rPr>
          <w:rFonts w:ascii="Bookman Old Style" w:hAnsi="Bookman Old Style"/>
          <w:color w:val="auto"/>
        </w:rPr>
        <w:lastRenderedPageBreak/>
        <w:t>pensionales, aspectos anteriores que tampoco se observó respecto de Protección S.A.</w:t>
      </w:r>
    </w:p>
    <w:bookmarkEnd w:id="7"/>
    <w:p w14:paraId="13E3CF21" w14:textId="77777777" w:rsidR="000F6DA8" w:rsidRPr="00942ECD" w:rsidRDefault="000F6DA8" w:rsidP="00942ECD">
      <w:pPr>
        <w:spacing w:line="276" w:lineRule="auto"/>
        <w:rPr>
          <w:rFonts w:ascii="Bookman Old Style" w:hAnsi="Bookman Old Style"/>
          <w:color w:val="auto"/>
        </w:rPr>
      </w:pPr>
    </w:p>
    <w:p w14:paraId="4B8BF497" w14:textId="77777777" w:rsidR="009959C1" w:rsidRPr="00942ECD" w:rsidRDefault="009959C1" w:rsidP="00942ECD">
      <w:pPr>
        <w:spacing w:line="276" w:lineRule="auto"/>
        <w:ind w:firstLine="0"/>
        <w:jc w:val="center"/>
        <w:rPr>
          <w:rFonts w:ascii="Bookman Old Style" w:hAnsi="Bookman Old Style"/>
          <w:b/>
          <w:bCs/>
          <w:color w:val="auto"/>
          <w:u w:val="single"/>
        </w:rPr>
      </w:pPr>
      <w:bookmarkStart w:id="8" w:name="_Hlk152754335"/>
      <w:r w:rsidRPr="00942ECD">
        <w:rPr>
          <w:rFonts w:ascii="Bookman Old Style" w:hAnsi="Bookman Old Style"/>
          <w:b/>
          <w:bCs/>
          <w:color w:val="auto"/>
          <w:u w:val="single"/>
        </w:rPr>
        <w:t>Actos de relacionamiento – Acción a emprender</w:t>
      </w:r>
    </w:p>
    <w:p w14:paraId="533317E0" w14:textId="77777777" w:rsidR="009959C1" w:rsidRPr="00942ECD" w:rsidRDefault="009959C1" w:rsidP="00942ECD">
      <w:pPr>
        <w:spacing w:line="276" w:lineRule="auto"/>
        <w:rPr>
          <w:rFonts w:ascii="Bookman Old Style" w:hAnsi="Bookman Old Style"/>
          <w:color w:val="auto"/>
        </w:rPr>
      </w:pPr>
    </w:p>
    <w:p w14:paraId="6A27D01A" w14:textId="6B1B7EF9" w:rsidR="009959C1" w:rsidRPr="00942ECD" w:rsidRDefault="00830E76" w:rsidP="00942ECD">
      <w:pPr>
        <w:spacing w:line="276" w:lineRule="auto"/>
        <w:rPr>
          <w:rFonts w:ascii="Bookman Old Style" w:hAnsi="Bookman Old Style"/>
          <w:color w:val="auto"/>
        </w:rPr>
      </w:pPr>
      <w:r w:rsidRPr="00942ECD">
        <w:rPr>
          <w:rFonts w:ascii="Bookman Old Style" w:hAnsi="Bookman Old Style"/>
          <w:color w:val="auto"/>
        </w:rPr>
        <w:t>En este punto</w:t>
      </w:r>
      <w:r w:rsidR="009959C1" w:rsidRPr="00942ECD">
        <w:rPr>
          <w:rFonts w:ascii="Bookman Old Style" w:hAnsi="Bookman Old Style"/>
          <w:color w:val="auto"/>
        </w:rPr>
        <w:t xml:space="preserve">, no se puede pretender que se tenga como ratificación el tiempo en que </w:t>
      </w:r>
      <w:r w:rsidR="00953EF5" w:rsidRPr="00942ECD">
        <w:rPr>
          <w:rFonts w:ascii="Bookman Old Style" w:hAnsi="Bookman Old Style"/>
          <w:color w:val="auto"/>
        </w:rPr>
        <w:t>la</w:t>
      </w:r>
      <w:r w:rsidR="009959C1" w:rsidRPr="00942ECD">
        <w:rPr>
          <w:rFonts w:ascii="Bookman Old Style" w:hAnsi="Bookman Old Style"/>
          <w:color w:val="auto"/>
        </w:rPr>
        <w:t xml:space="preserve"> demandante permaneció en el RAIS, el hecho que no se hubiese retractado de su decisión o que no hubiese manifestado la intención de regresar al régimen de prima media, antes de encontrarse inmers</w:t>
      </w:r>
      <w:r w:rsidR="00953EF5" w:rsidRPr="00942ECD">
        <w:rPr>
          <w:rFonts w:ascii="Bookman Old Style" w:hAnsi="Bookman Old Style"/>
          <w:color w:val="auto"/>
        </w:rPr>
        <w:t>a</w:t>
      </w:r>
      <w:r w:rsidR="009959C1" w:rsidRPr="00942ECD">
        <w:rPr>
          <w:rFonts w:ascii="Bookman Old Style" w:hAnsi="Bookman Old Style"/>
          <w:color w:val="auto"/>
        </w:rPr>
        <w:t xml:space="preserve"> en la prohibición de cambiarse de régimen, es decir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cuál régimen era el que más le convenía, pues nunca le mencionaron las características del RAIS, no le expusieron las diferencias con el RPM con PD y menos aún de los riesgos, consecuencias, requisitos de las diferentes modalidades de pensión y demás características que finalmente la demandante desconocía para adoptar una decisión debida y completamente informada.</w:t>
      </w:r>
    </w:p>
    <w:p w14:paraId="14676C96" w14:textId="77777777" w:rsidR="009959C1" w:rsidRPr="00942ECD" w:rsidRDefault="009959C1" w:rsidP="00942ECD">
      <w:pPr>
        <w:spacing w:line="276" w:lineRule="auto"/>
        <w:ind w:firstLine="0"/>
        <w:rPr>
          <w:rFonts w:ascii="Bookman Old Style" w:hAnsi="Bookman Old Style"/>
          <w:color w:val="auto"/>
          <w:highlight w:val="yellow"/>
        </w:rPr>
      </w:pPr>
    </w:p>
    <w:p w14:paraId="5EBD62A0" w14:textId="5305A08D" w:rsidR="009959C1" w:rsidRPr="00942ECD" w:rsidRDefault="009959C1" w:rsidP="00942ECD">
      <w:pPr>
        <w:spacing w:line="276" w:lineRule="auto"/>
        <w:rPr>
          <w:rFonts w:ascii="Bookman Old Style" w:hAnsi="Bookman Old Style"/>
          <w:bCs/>
          <w:color w:val="auto"/>
        </w:rPr>
      </w:pPr>
      <w:r w:rsidRPr="00942ECD">
        <w:rPr>
          <w:rFonts w:ascii="Bookman Old Style" w:hAnsi="Bookman Old Style"/>
          <w:color w:val="auto"/>
        </w:rPr>
        <w:t xml:space="preserve">Aquí, se ha de precisar que la permanencia del afiliado por varios años al RAIS o porque hizo traslados horizontales entre Colfondos S.A y Protección S.A. no son aspectos que derruyan las conclusiones a las que arribó la </w:t>
      </w:r>
      <w:r w:rsidRPr="00942ECD">
        <w:rPr>
          <w:rFonts w:ascii="Bookman Old Style" w:hAnsi="Bookman Old Style"/>
          <w:i/>
          <w:color w:val="auto"/>
        </w:rPr>
        <w:t>a quo</w:t>
      </w:r>
      <w:r w:rsidRPr="00942ECD">
        <w:rPr>
          <w:rFonts w:ascii="Bookman Old Style" w:hAnsi="Bookman Old Style"/>
          <w:color w:val="auto"/>
        </w:rPr>
        <w:t xml:space="preserve">, pues al tratarse de circunstancias ulteriores, no tienen incidencia alguna en los efectos asociados a la forma en que se ejecutó la afiliación primigenia con la cual se materializó el cambio de régimen pensional cuya ineficacia se debate en este proceso. </w:t>
      </w:r>
    </w:p>
    <w:p w14:paraId="227D6D71" w14:textId="77777777" w:rsidR="009959C1" w:rsidRPr="00942ECD" w:rsidRDefault="009959C1" w:rsidP="00942ECD">
      <w:pPr>
        <w:spacing w:line="276" w:lineRule="auto"/>
        <w:rPr>
          <w:rFonts w:ascii="Bookman Old Style" w:hAnsi="Bookman Old Style"/>
          <w:bCs/>
          <w:color w:val="auto"/>
        </w:rPr>
      </w:pPr>
    </w:p>
    <w:p w14:paraId="40DC4F4F" w14:textId="76E62FDD" w:rsidR="009959C1" w:rsidRPr="00942ECD" w:rsidRDefault="009959C1" w:rsidP="00942ECD">
      <w:pPr>
        <w:spacing w:line="276" w:lineRule="auto"/>
        <w:rPr>
          <w:rFonts w:ascii="Bookman Old Style" w:hAnsi="Bookman Old Style"/>
          <w:color w:val="auto"/>
        </w:rPr>
      </w:pPr>
      <w:r w:rsidRPr="00942ECD">
        <w:rPr>
          <w:rFonts w:ascii="Bookman Old Style" w:hAnsi="Bookman Old Style"/>
          <w:color w:val="auto"/>
        </w:rPr>
        <w:t xml:space="preserve">De otro lado, tampoco puede afirmarse que la actora hizo actos de relacionamiento que convalidaron su voluntad de pertenecer al RAIS por el hecho de permanecer por varios años en </w:t>
      </w:r>
      <w:r w:rsidR="00E63483" w:rsidRPr="00942ECD">
        <w:rPr>
          <w:rFonts w:ascii="Bookman Old Style" w:hAnsi="Bookman Old Style"/>
          <w:color w:val="auto"/>
        </w:rPr>
        <w:t>él</w:t>
      </w:r>
      <w:r w:rsidRPr="00942ECD">
        <w:rPr>
          <w:rFonts w:ascii="Bookman Old Style" w:hAnsi="Bookman Old Style"/>
          <w:color w:val="auto"/>
        </w:rPr>
        <w:t>. A propósito de ello, es del caso traer a colación la sentencia SL1055-2022 (2-03-2022)</w:t>
      </w:r>
      <w:r w:rsidRPr="00942ECD">
        <w:rPr>
          <w:rFonts w:ascii="Bookman Old Style" w:hAnsi="Bookman Old Style"/>
          <w:color w:val="auto"/>
          <w:vertAlign w:val="superscript"/>
        </w:rPr>
        <w:footnoteReference w:id="1"/>
      </w:r>
      <w:r w:rsidRPr="00942ECD">
        <w:rPr>
          <w:rFonts w:ascii="Bookman Old Style" w:hAnsi="Bookman Old Style"/>
          <w:color w:val="auto"/>
        </w:rPr>
        <w:t>, que en lo pertinente recalcó:</w:t>
      </w:r>
    </w:p>
    <w:p w14:paraId="5EDB5992" w14:textId="77777777" w:rsidR="009959C1" w:rsidRPr="00942ECD" w:rsidRDefault="009959C1" w:rsidP="00942ECD">
      <w:pPr>
        <w:spacing w:line="276" w:lineRule="auto"/>
        <w:ind w:left="709" w:right="616" w:firstLine="0"/>
        <w:rPr>
          <w:rFonts w:ascii="Bookman Old Style" w:hAnsi="Bookman Old Style"/>
          <w:bCs/>
          <w:color w:val="auto"/>
        </w:rPr>
      </w:pPr>
    </w:p>
    <w:p w14:paraId="20082802" w14:textId="77777777" w:rsidR="009959C1" w:rsidRPr="00BF3863" w:rsidRDefault="009959C1"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73F392C4" w14:textId="77777777" w:rsidR="009959C1" w:rsidRPr="00BF3863" w:rsidRDefault="009959C1" w:rsidP="00BF3863">
      <w:pPr>
        <w:spacing w:line="240" w:lineRule="auto"/>
        <w:ind w:left="426" w:right="420" w:firstLine="0"/>
        <w:rPr>
          <w:rFonts w:ascii="Bookman Old Style" w:hAnsi="Bookman Old Style"/>
          <w:color w:val="auto"/>
          <w:sz w:val="22"/>
        </w:rPr>
      </w:pPr>
    </w:p>
    <w:p w14:paraId="62525253" w14:textId="77777777" w:rsidR="009959C1" w:rsidRPr="00BF3863" w:rsidRDefault="009959C1"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 xml:space="preserve">...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w:t>
      </w:r>
      <w:r w:rsidRPr="00BF3863">
        <w:rPr>
          <w:rFonts w:ascii="Bookman Old Style" w:hAnsi="Bookman Old Style"/>
          <w:color w:val="auto"/>
          <w:sz w:val="22"/>
        </w:rPr>
        <w:lastRenderedPageBreak/>
        <w:t>de trasladarse en el periodo de gracia que estableció la Ley 797 de 2003 para retornar a Colpensiones y no lo hizo, lo que a su juicio ratificaba su voluntad de continuar en el RAIS.</w:t>
      </w:r>
    </w:p>
    <w:p w14:paraId="0B2D345D" w14:textId="77777777" w:rsidR="009959C1" w:rsidRPr="00BF3863" w:rsidRDefault="009959C1" w:rsidP="00BF3863">
      <w:pPr>
        <w:spacing w:line="240" w:lineRule="auto"/>
        <w:ind w:left="426" w:right="420" w:firstLine="0"/>
        <w:rPr>
          <w:rFonts w:ascii="Bookman Old Style" w:hAnsi="Bookman Old Style"/>
          <w:color w:val="auto"/>
          <w:sz w:val="22"/>
        </w:rPr>
      </w:pPr>
    </w:p>
    <w:p w14:paraId="603E9113" w14:textId="77777777" w:rsidR="009959C1" w:rsidRPr="00BF3863" w:rsidRDefault="009959C1"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5B507612" w14:textId="77777777" w:rsidR="009959C1" w:rsidRPr="00BF3863" w:rsidRDefault="009959C1" w:rsidP="00BF3863">
      <w:pPr>
        <w:spacing w:line="240" w:lineRule="auto"/>
        <w:ind w:left="426" w:right="420" w:firstLine="0"/>
        <w:rPr>
          <w:rFonts w:ascii="Bookman Old Style" w:hAnsi="Bookman Old Style"/>
          <w:color w:val="auto"/>
          <w:sz w:val="22"/>
        </w:rPr>
      </w:pPr>
    </w:p>
    <w:p w14:paraId="38CE6728" w14:textId="77777777" w:rsidR="009959C1" w:rsidRPr="00BF3863" w:rsidRDefault="009959C1"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61584278" w14:textId="77777777" w:rsidR="009959C1" w:rsidRPr="00BF3863" w:rsidRDefault="009959C1" w:rsidP="00BF3863">
      <w:pPr>
        <w:spacing w:line="240" w:lineRule="auto"/>
        <w:ind w:left="426" w:right="420" w:firstLine="0"/>
        <w:rPr>
          <w:rFonts w:ascii="Bookman Old Style" w:hAnsi="Bookman Old Style"/>
          <w:color w:val="auto"/>
          <w:sz w:val="22"/>
        </w:rPr>
      </w:pPr>
    </w:p>
    <w:p w14:paraId="11FAE6BD" w14:textId="77777777" w:rsidR="009959C1" w:rsidRPr="00BF3863" w:rsidRDefault="009959C1"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61729EC6" w14:textId="77777777" w:rsidR="009959C1" w:rsidRPr="00942ECD" w:rsidRDefault="009959C1" w:rsidP="00942ECD">
      <w:pPr>
        <w:spacing w:line="276" w:lineRule="auto"/>
        <w:ind w:firstLine="0"/>
        <w:rPr>
          <w:rFonts w:ascii="Bookman Old Style" w:hAnsi="Bookman Old Style"/>
          <w:color w:val="auto"/>
          <w:highlight w:val="yellow"/>
        </w:rPr>
      </w:pPr>
    </w:p>
    <w:p w14:paraId="05420207" w14:textId="014A11CB" w:rsidR="009959C1" w:rsidRPr="00942ECD" w:rsidRDefault="009959C1" w:rsidP="00942ECD">
      <w:pPr>
        <w:spacing w:line="276" w:lineRule="auto"/>
        <w:rPr>
          <w:rFonts w:ascii="Bookman Old Style" w:hAnsi="Bookman Old Style"/>
          <w:color w:val="auto"/>
        </w:rPr>
      </w:pPr>
      <w:r w:rsidRPr="00942ECD">
        <w:rPr>
          <w:rFonts w:ascii="Bookman Old Style" w:hAnsi="Bookman Old Style"/>
          <w:color w:val="auto"/>
        </w:rPr>
        <w:t>En cuanto a la acción a emprender, es de recalcar, que la Sala de Casación Laboral ha indicado que la sanción impuesta por el ordenamiento jurídico a la afiliación desinformada es la ineficacia o exclusión de todo efecto al traslado. Por ello, el examen del acto de cambio de régimen pensional, por transgresión del deber de información, debe abordarse desde la institución de la ineficacia</w:t>
      </w:r>
      <w:r w:rsidRPr="00942ECD">
        <w:rPr>
          <w:rFonts w:ascii="Bookman Old Style" w:hAnsi="Bookman Old Style"/>
          <w:color w:val="auto"/>
          <w:vertAlign w:val="superscript"/>
        </w:rPr>
        <w:footnoteReference w:id="2"/>
      </w:r>
      <w:r w:rsidRPr="00942ECD">
        <w:rPr>
          <w:rFonts w:ascii="Bookman Old Style" w:hAnsi="Bookman Old Style"/>
          <w:color w:val="auto"/>
        </w:rPr>
        <w:t>. Sin embargo, dicho criterio es aplicable solo para el caso de afiliados, pues, tratándose de pensionados, la alta Corporación ha definido, en sentencia (SL 373/2021), que la calidad de pensionado es una situación jurídica consolidada, un hecho consumado, un estatus que no es razonable retrotraer. Dicha situación aquí no ocurre, por cuanto la demandante en la actualidad no tiene la condición de pensionada, en tanto que aún se encuentra vinculada laboralmente.</w:t>
      </w:r>
    </w:p>
    <w:p w14:paraId="50546FD4" w14:textId="77777777" w:rsidR="009959C1" w:rsidRPr="00942ECD" w:rsidRDefault="009959C1" w:rsidP="00942ECD">
      <w:pPr>
        <w:spacing w:line="276" w:lineRule="auto"/>
        <w:ind w:firstLine="0"/>
        <w:rPr>
          <w:rFonts w:ascii="Bookman Old Style" w:hAnsi="Bookman Old Style"/>
          <w:color w:val="auto"/>
        </w:rPr>
      </w:pPr>
    </w:p>
    <w:p w14:paraId="5252F513" w14:textId="77777777" w:rsidR="009959C1" w:rsidRPr="00942ECD" w:rsidRDefault="009959C1" w:rsidP="00942ECD">
      <w:pPr>
        <w:spacing w:line="276" w:lineRule="auto"/>
        <w:rPr>
          <w:rFonts w:ascii="Bookman Old Style" w:hAnsi="Bookman Old Style"/>
          <w:color w:val="auto"/>
        </w:rPr>
      </w:pPr>
      <w:r w:rsidRPr="00942ECD">
        <w:rPr>
          <w:rFonts w:ascii="Bookman Old Style" w:hAnsi="Bookman Old Style"/>
          <w:color w:val="auto"/>
        </w:rPr>
        <w:t xml:space="preserve">Conforme a lo expuesto, la ineficacia del traslado que fue decretada por la </w:t>
      </w:r>
      <w:r w:rsidRPr="00942ECD">
        <w:rPr>
          <w:rFonts w:ascii="Bookman Old Style" w:hAnsi="Bookman Old Style"/>
          <w:i/>
          <w:color w:val="auto"/>
        </w:rPr>
        <w:t>a-quo</w:t>
      </w:r>
      <w:r w:rsidRPr="00942ECD">
        <w:rPr>
          <w:rFonts w:ascii="Bookman Old Style" w:hAnsi="Bookman Old Style"/>
          <w:color w:val="auto"/>
        </w:rPr>
        <w:t xml:space="preserve"> se generó por la falta de asesoría al momento de realizar el traslado a la AFP del RAIS, situación que permite su retorno al RPM, independientemente que se encuentre a menos de 10 años de cumplir la edad pensional, pues ello no impide el retorno al RPMPD porque no se está frente a un nuevo traslado </w:t>
      </w:r>
      <w:r w:rsidRPr="00942ECD">
        <w:rPr>
          <w:rFonts w:ascii="Bookman Old Style" w:hAnsi="Bookman Old Style"/>
          <w:color w:val="auto"/>
        </w:rPr>
        <w:lastRenderedPageBreak/>
        <w:t>sino frente a una declaratoria de ineficacia del primigenio que retrotrae las cosas al estado original.</w:t>
      </w:r>
    </w:p>
    <w:p w14:paraId="5390CAAB" w14:textId="77777777" w:rsidR="009959C1" w:rsidRPr="00942ECD" w:rsidRDefault="009959C1" w:rsidP="00942ECD">
      <w:pPr>
        <w:spacing w:line="276" w:lineRule="auto"/>
        <w:ind w:firstLine="0"/>
        <w:rPr>
          <w:rFonts w:ascii="Bookman Old Style" w:hAnsi="Bookman Old Style"/>
          <w:color w:val="auto"/>
        </w:rPr>
      </w:pPr>
    </w:p>
    <w:p w14:paraId="74BBEA1E" w14:textId="531DAEFC" w:rsidR="009959C1" w:rsidRPr="00942ECD" w:rsidRDefault="009959C1" w:rsidP="00942ECD">
      <w:pPr>
        <w:spacing w:line="276" w:lineRule="auto"/>
        <w:rPr>
          <w:rFonts w:ascii="Bookman Old Style" w:hAnsi="Bookman Old Style"/>
          <w:color w:val="auto"/>
        </w:rPr>
      </w:pPr>
      <w:r w:rsidRPr="00942ECD">
        <w:rPr>
          <w:rFonts w:ascii="Bookman Old Style" w:hAnsi="Bookman Old Style"/>
          <w:color w:val="auto"/>
        </w:rPr>
        <w:t xml:space="preserve">Con todo, se deberá confirmar la ineficacia declarada por la </w:t>
      </w:r>
      <w:r w:rsidRPr="00942ECD">
        <w:rPr>
          <w:rFonts w:ascii="Bookman Old Style" w:hAnsi="Bookman Old Style"/>
          <w:i/>
          <w:color w:val="auto"/>
        </w:rPr>
        <w:t>a quo</w:t>
      </w:r>
      <w:r w:rsidRPr="00942ECD">
        <w:rPr>
          <w:rFonts w:ascii="Bookman Old Style" w:hAnsi="Bookman Old Style"/>
          <w:color w:val="auto"/>
        </w:rPr>
        <w:t xml:space="preserve"> al no tener vocación de prosperidad los argumentos esbozados por Colpensiones</w:t>
      </w:r>
      <w:r w:rsidR="007734DC" w:rsidRPr="00942ECD">
        <w:rPr>
          <w:rFonts w:ascii="Bookman Old Style" w:hAnsi="Bookman Old Style"/>
          <w:color w:val="auto"/>
        </w:rPr>
        <w:t>.</w:t>
      </w:r>
    </w:p>
    <w:p w14:paraId="2F144023" w14:textId="77777777" w:rsidR="00D519F5" w:rsidRPr="00942ECD" w:rsidRDefault="00D519F5" w:rsidP="00942ECD">
      <w:pPr>
        <w:spacing w:line="276" w:lineRule="auto"/>
        <w:rPr>
          <w:rFonts w:ascii="Bookman Old Style" w:hAnsi="Bookman Old Style"/>
          <w:color w:val="auto"/>
        </w:rPr>
      </w:pPr>
    </w:p>
    <w:p w14:paraId="36ED399C" w14:textId="77777777" w:rsidR="00D519F5" w:rsidRPr="00942ECD" w:rsidRDefault="00D519F5"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De los efectos de la ineficacia del traslado de régimen</w:t>
      </w:r>
    </w:p>
    <w:bookmarkEnd w:id="8"/>
    <w:p w14:paraId="45C7E6AB" w14:textId="77777777" w:rsidR="00D519F5" w:rsidRPr="00942ECD" w:rsidRDefault="00D519F5" w:rsidP="00942ECD">
      <w:pPr>
        <w:spacing w:line="276" w:lineRule="auto"/>
        <w:rPr>
          <w:rFonts w:ascii="Bookman Old Style" w:hAnsi="Bookman Old Style"/>
          <w:color w:val="auto"/>
        </w:rPr>
      </w:pPr>
    </w:p>
    <w:p w14:paraId="20E91586" w14:textId="3E761DA9" w:rsidR="00D519F5" w:rsidRPr="00942ECD" w:rsidRDefault="00D519F5" w:rsidP="00942ECD">
      <w:pPr>
        <w:spacing w:line="276" w:lineRule="auto"/>
        <w:rPr>
          <w:rFonts w:ascii="Bookman Old Style" w:hAnsi="Bookman Old Style"/>
          <w:color w:val="auto"/>
        </w:rPr>
      </w:pPr>
      <w:bookmarkStart w:id="9" w:name="_Hlk152754449"/>
      <w:r w:rsidRPr="00942ECD">
        <w:rPr>
          <w:rFonts w:ascii="Bookman Old Style" w:hAnsi="Bookman Old Style"/>
          <w:color w:val="auto"/>
        </w:rPr>
        <w:t xml:space="preserve">Frente </w:t>
      </w:r>
      <w:r w:rsidR="00F544F4" w:rsidRPr="00942ECD">
        <w:rPr>
          <w:rFonts w:ascii="Bookman Old Style" w:hAnsi="Bookman Old Style"/>
          <w:color w:val="auto"/>
        </w:rPr>
        <w:t xml:space="preserve">a </w:t>
      </w:r>
      <w:r w:rsidRPr="00942ECD">
        <w:rPr>
          <w:rFonts w:ascii="Bookman Old Style" w:hAnsi="Bookman Old Style"/>
          <w:color w:val="auto"/>
        </w:rPr>
        <w:t>la orden de devolver los gastos de administración, comisiones y cuotas de garantía de pensión mínima indexadas, ello resulta procedente, dado que, la consecuencia de la declaración de ineficacia del traslado es que la afiliación se retrotrae al estado en que se encontraba, lo que implica que los fondos privados deben devolver todos los valores recibidos con motivo de la afiliación como los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28EB82A2" w14:textId="77777777" w:rsidR="00D519F5" w:rsidRPr="00942ECD" w:rsidRDefault="00D519F5" w:rsidP="00942ECD">
      <w:pPr>
        <w:spacing w:line="276" w:lineRule="auto"/>
        <w:ind w:firstLine="0"/>
        <w:rPr>
          <w:rFonts w:ascii="Bookman Old Style" w:hAnsi="Bookman Old Style"/>
          <w:color w:val="auto"/>
        </w:rPr>
      </w:pPr>
    </w:p>
    <w:p w14:paraId="6DFF493B" w14:textId="77777777" w:rsidR="00D519F5" w:rsidRPr="00BF3863" w:rsidRDefault="00D519F5"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«Como la nulidad fue conducta indebida de la administradora, esta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75A9481A" w14:textId="77777777" w:rsidR="00D519F5" w:rsidRPr="00942ECD" w:rsidRDefault="00D519F5" w:rsidP="00942ECD">
      <w:pPr>
        <w:spacing w:line="276" w:lineRule="auto"/>
        <w:ind w:left="709" w:right="616" w:firstLine="0"/>
        <w:rPr>
          <w:rFonts w:ascii="Bookman Old Style" w:hAnsi="Bookman Old Style"/>
          <w:bCs/>
          <w:color w:val="auto"/>
        </w:rPr>
      </w:pPr>
    </w:p>
    <w:p w14:paraId="10A53C40" w14:textId="464856E1" w:rsidR="00F544F4" w:rsidRPr="00942ECD" w:rsidRDefault="00D519F5" w:rsidP="00942ECD">
      <w:pPr>
        <w:spacing w:line="276" w:lineRule="auto"/>
        <w:rPr>
          <w:rFonts w:ascii="Bookman Old Style" w:hAnsi="Bookman Old Style"/>
          <w:color w:val="auto"/>
        </w:rPr>
      </w:pPr>
      <w:r w:rsidRPr="00942ECD">
        <w:rPr>
          <w:rFonts w:ascii="Bookman Old Style" w:hAnsi="Bookman Old Style"/>
          <w:color w:val="auto"/>
        </w:rPr>
        <w:t xml:space="preserve">Lo anterior implica que </w:t>
      </w:r>
      <w:r w:rsidR="00F544F4" w:rsidRPr="00942ECD">
        <w:rPr>
          <w:rFonts w:ascii="Bookman Old Style" w:hAnsi="Bookman Old Style"/>
          <w:b/>
          <w:bCs/>
          <w:color w:val="auto"/>
        </w:rPr>
        <w:t xml:space="preserve">Protección S.A. </w:t>
      </w:r>
      <w:r w:rsidR="00F544F4" w:rsidRPr="00942ECD">
        <w:rPr>
          <w:rFonts w:ascii="Bookman Old Style" w:hAnsi="Bookman Old Style"/>
          <w:color w:val="auto"/>
        </w:rPr>
        <w:t xml:space="preserve">tiene </w:t>
      </w:r>
      <w:r w:rsidRPr="00942ECD">
        <w:rPr>
          <w:rFonts w:ascii="Bookman Old Style" w:hAnsi="Bookman Old Style"/>
          <w:color w:val="auto"/>
        </w:rPr>
        <w:t>del deber de trasladar todos los dineros que por concepto de aportes y rendimientos se hubieren producido y que hacen parte de la cuenta de ahorro individual de la accionante</w:t>
      </w:r>
      <w:r w:rsidR="002F2E60" w:rsidRPr="00942ECD">
        <w:rPr>
          <w:rFonts w:ascii="Bookman Old Style" w:hAnsi="Bookman Old Style"/>
          <w:color w:val="auto"/>
        </w:rPr>
        <w:t>.</w:t>
      </w:r>
      <w:r w:rsidR="00F544F4" w:rsidRPr="00942ECD">
        <w:rPr>
          <w:rFonts w:ascii="Bookman Old Style" w:hAnsi="Bookman Old Style"/>
          <w:color w:val="auto"/>
        </w:rPr>
        <w:t xml:space="preserve"> De igual forma, tanto </w:t>
      </w:r>
      <w:r w:rsidR="00F544F4" w:rsidRPr="00942ECD">
        <w:rPr>
          <w:rFonts w:ascii="Bookman Old Style" w:hAnsi="Bookman Old Style"/>
          <w:b/>
          <w:bCs/>
          <w:color w:val="auto"/>
        </w:rPr>
        <w:t xml:space="preserve">Protección S.A. </w:t>
      </w:r>
      <w:r w:rsidR="00F544F4" w:rsidRPr="00942ECD">
        <w:rPr>
          <w:rFonts w:ascii="Bookman Old Style" w:hAnsi="Bookman Old Style"/>
          <w:color w:val="auto"/>
        </w:rPr>
        <w:t xml:space="preserve">como </w:t>
      </w:r>
      <w:r w:rsidR="00F544F4" w:rsidRPr="00942ECD">
        <w:rPr>
          <w:rFonts w:ascii="Bookman Old Style" w:hAnsi="Bookman Old Style"/>
          <w:b/>
          <w:bCs/>
          <w:color w:val="auto"/>
        </w:rPr>
        <w:t>Colfondos S.A.</w:t>
      </w:r>
      <w:r w:rsidRPr="00942ECD">
        <w:rPr>
          <w:rFonts w:ascii="Bookman Old Style" w:hAnsi="Bookman Old Style"/>
          <w:color w:val="auto"/>
        </w:rPr>
        <w:t xml:space="preserve"> también debe</w:t>
      </w:r>
      <w:r w:rsidR="00F544F4" w:rsidRPr="00942ECD">
        <w:rPr>
          <w:rFonts w:ascii="Bookman Old Style" w:hAnsi="Bookman Old Style"/>
          <w:color w:val="auto"/>
        </w:rPr>
        <w:t>n</w:t>
      </w:r>
      <w:r w:rsidRPr="00942ECD">
        <w:rPr>
          <w:rFonts w:ascii="Bookman Old Style" w:hAnsi="Bookman Old Style"/>
          <w:color w:val="auto"/>
        </w:rPr>
        <w:t xml:space="preserve"> retornar los valores que cobró a título de cuotas de administración y comisiones, incluidos los aportes destinados para el fondo de garantía de pensión mínima y los valores utilizados en seguros previsionales de invalidez y sobrevivencia, debidamente indexados, con cargo a sus propios recursos, tal y como lo dispuso la jueza de primer orden. </w:t>
      </w:r>
    </w:p>
    <w:p w14:paraId="1608FAF1" w14:textId="77777777" w:rsidR="00F544F4" w:rsidRPr="00942ECD" w:rsidRDefault="00F544F4" w:rsidP="00942ECD">
      <w:pPr>
        <w:spacing w:line="276" w:lineRule="auto"/>
        <w:rPr>
          <w:rFonts w:ascii="Bookman Old Style" w:hAnsi="Bookman Old Style"/>
          <w:color w:val="auto"/>
        </w:rPr>
      </w:pPr>
    </w:p>
    <w:p w14:paraId="7A400E65" w14:textId="2E05227E" w:rsidR="00D519F5" w:rsidRPr="00942ECD" w:rsidRDefault="00D519F5" w:rsidP="00942ECD">
      <w:pPr>
        <w:spacing w:line="276" w:lineRule="auto"/>
        <w:rPr>
          <w:rFonts w:ascii="Bookman Old Style" w:hAnsi="Bookman Old Style"/>
          <w:color w:val="auto"/>
        </w:rPr>
      </w:pPr>
      <w:r w:rsidRPr="00942ECD">
        <w:rPr>
          <w:rFonts w:ascii="Bookman Old Style" w:hAnsi="Bookman Old Style"/>
          <w:color w:val="auto"/>
        </w:rPr>
        <w:t xml:space="preserve">Lo anterior, precisando que dichos emolumentos deben ser abonados en el fondo común que administra </w:t>
      </w:r>
      <w:r w:rsidRPr="00942ECD">
        <w:rPr>
          <w:rFonts w:ascii="Bookman Old Style" w:hAnsi="Bookman Old Style"/>
          <w:b/>
          <w:bCs/>
          <w:color w:val="auto"/>
        </w:rPr>
        <w:t>Colpensiones</w:t>
      </w:r>
      <w:r w:rsidRPr="00942ECD">
        <w:rPr>
          <w:rFonts w:ascii="Bookman Old Style" w:hAnsi="Bookman Old Style"/>
          <w:color w:val="auto"/>
        </w:rPr>
        <w:t xml:space="preserve">, ya que son utilizados para la financiación de la pensión de vejez de la parte demandante (SL1421-2019, SL1688-2019, SL2877-2020, SL4141-2021, SL3611-2021, entre otras más). </w:t>
      </w:r>
    </w:p>
    <w:p w14:paraId="067529C3" w14:textId="77777777" w:rsidR="00D519F5" w:rsidRPr="00942ECD" w:rsidRDefault="00D519F5" w:rsidP="00942ECD">
      <w:pPr>
        <w:spacing w:line="276" w:lineRule="auto"/>
        <w:ind w:firstLine="0"/>
        <w:rPr>
          <w:rFonts w:ascii="Bookman Old Style" w:hAnsi="Bookman Old Style"/>
          <w:color w:val="auto"/>
        </w:rPr>
      </w:pPr>
    </w:p>
    <w:p w14:paraId="57CFD510" w14:textId="77777777" w:rsidR="00D519F5" w:rsidRPr="00942ECD" w:rsidRDefault="00D519F5" w:rsidP="00942ECD">
      <w:pPr>
        <w:spacing w:line="276" w:lineRule="auto"/>
        <w:rPr>
          <w:rFonts w:ascii="Bookman Old Style" w:hAnsi="Bookman Old Style"/>
          <w:color w:val="auto"/>
        </w:rPr>
      </w:pPr>
      <w:r w:rsidRPr="00942ECD">
        <w:rPr>
          <w:rFonts w:ascii="Bookman Old Style" w:hAnsi="Bookman Old Style"/>
          <w:color w:val="auto"/>
        </w:rPr>
        <w:t>Acorde a lo dicho, la orden de devolver dichos emolumentos en sentencia SL1017-2022, M.P. Dr. Gerardo Botero Zuluaga, se expuso:</w:t>
      </w:r>
    </w:p>
    <w:p w14:paraId="5B2D9BA1" w14:textId="77777777" w:rsidR="00D519F5" w:rsidRPr="00942ECD" w:rsidRDefault="00D519F5" w:rsidP="00942ECD">
      <w:pPr>
        <w:spacing w:line="276" w:lineRule="auto"/>
        <w:jc w:val="center"/>
        <w:rPr>
          <w:rFonts w:ascii="Bookman Old Style" w:eastAsia="Bookman Old Style" w:hAnsi="Bookman Old Style"/>
          <w:b/>
          <w:bCs/>
          <w:color w:val="auto"/>
          <w:lang w:val="es-ES"/>
        </w:rPr>
      </w:pPr>
    </w:p>
    <w:p w14:paraId="7FB86100" w14:textId="77777777" w:rsidR="00D519F5" w:rsidRPr="00BF3863" w:rsidRDefault="00D519F5"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w:t>
      </w:r>
      <w:r w:rsidRPr="00BF3863">
        <w:rPr>
          <w:rFonts w:ascii="Bookman Old Style" w:hAnsi="Bookman Old Style"/>
          <w:color w:val="auto"/>
          <w:sz w:val="22"/>
        </w:rPr>
        <w:lastRenderedPageBreak/>
        <w:t xml:space="preserve">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5F6E4452" w14:textId="77777777" w:rsidR="00D519F5" w:rsidRPr="00BF3863" w:rsidRDefault="00D519F5"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 xml:space="preserve">   </w:t>
      </w:r>
    </w:p>
    <w:p w14:paraId="243FD96E" w14:textId="77777777" w:rsidR="00D519F5" w:rsidRPr="00BF3863" w:rsidRDefault="00D519F5" w:rsidP="00BF3863">
      <w:pPr>
        <w:spacing w:line="240" w:lineRule="auto"/>
        <w:ind w:left="426" w:right="420" w:firstLine="0"/>
        <w:rPr>
          <w:rFonts w:ascii="Bookman Old Style" w:hAnsi="Bookman Old Style"/>
          <w:color w:val="auto"/>
          <w:sz w:val="22"/>
        </w:rPr>
      </w:pPr>
      <w:r w:rsidRPr="00BF3863">
        <w:rPr>
          <w:rFonts w:ascii="Bookman Old Style" w:hAnsi="Bookman Old Style"/>
          <w:color w:val="auto"/>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40850A0E" w14:textId="77777777" w:rsidR="00D519F5" w:rsidRPr="00942ECD" w:rsidRDefault="00D519F5" w:rsidP="00942ECD">
      <w:pPr>
        <w:spacing w:line="276" w:lineRule="auto"/>
        <w:ind w:left="709" w:right="616" w:firstLine="0"/>
        <w:rPr>
          <w:rFonts w:ascii="Bookman Old Style" w:hAnsi="Bookman Old Style"/>
          <w:bCs/>
          <w:color w:val="auto"/>
        </w:rPr>
      </w:pPr>
    </w:p>
    <w:p w14:paraId="3EE50D2C" w14:textId="77777777" w:rsidR="00D519F5" w:rsidRPr="00942ECD" w:rsidRDefault="00D519F5" w:rsidP="00942ECD">
      <w:pPr>
        <w:spacing w:line="276" w:lineRule="auto"/>
        <w:rPr>
          <w:rFonts w:ascii="Bookman Old Style" w:hAnsi="Bookman Old Style"/>
          <w:color w:val="auto"/>
        </w:rPr>
      </w:pPr>
      <w:r w:rsidRPr="00942ECD">
        <w:rPr>
          <w:rFonts w:ascii="Bookman Old Style" w:hAnsi="Bookman Old Style"/>
          <w:color w:val="auto"/>
        </w:rPr>
        <w:t xml:space="preserve">De allí, es que las sumas que fueron cobradas para financiar los gastos de administración, incluidos los destinados para el fondo de garantía de pensión mínima y los utilizados en seguros previsionales de invalidez y sobrevivencia, al ser parte integrante de la cotización, pues fueron descontados de ella, corresponden a los valores que deben ser restituidos a Colpensiones porque fue allí donde debieron ingresar y, deben ser </w:t>
      </w:r>
      <w:r w:rsidRPr="00942ECD">
        <w:rPr>
          <w:rFonts w:ascii="Bookman Old Style" w:hAnsi="Bookman Old Style"/>
          <w:b/>
          <w:bCs/>
          <w:color w:val="auto"/>
        </w:rPr>
        <w:t>indexados</w:t>
      </w:r>
      <w:r w:rsidRPr="00942ECD">
        <w:rPr>
          <w:rFonts w:ascii="Bookman Old Style" w:hAnsi="Bookman Old Style"/>
          <w:color w:val="auto"/>
        </w:rPr>
        <w:t>, porque dichos valores están afectados por la pérdida del poder adquisitivo de la moneda.</w:t>
      </w:r>
    </w:p>
    <w:p w14:paraId="74373097" w14:textId="77777777" w:rsidR="00D519F5" w:rsidRPr="00942ECD" w:rsidRDefault="00D519F5" w:rsidP="00942ECD">
      <w:pPr>
        <w:spacing w:line="276" w:lineRule="auto"/>
        <w:rPr>
          <w:rFonts w:ascii="Bookman Old Style" w:hAnsi="Bookman Old Style"/>
          <w:color w:val="auto"/>
        </w:rPr>
      </w:pPr>
    </w:p>
    <w:p w14:paraId="6295E934" w14:textId="77777777" w:rsidR="00D519F5" w:rsidRPr="00942ECD" w:rsidRDefault="00D519F5" w:rsidP="00942ECD">
      <w:pPr>
        <w:spacing w:line="276" w:lineRule="auto"/>
        <w:rPr>
          <w:rFonts w:ascii="Bookman Old Style" w:hAnsi="Bookman Old Style" w:cs="Times New Roman"/>
          <w:color w:val="auto"/>
        </w:rPr>
      </w:pPr>
      <w:r w:rsidRPr="00942ECD">
        <w:rPr>
          <w:rFonts w:ascii="Bookman Old Style" w:hAnsi="Bookman Old Style" w:cs="Times New Roman"/>
          <w:color w:val="auto"/>
        </w:rPr>
        <w:t>Así mismo, advierte la Sala que la decisión de primer grado no lesiona el principio de sostenibilidad fiscal del Sistema General de Pensiones, toda vez que los recursos que se deben reintegrar a Colpensiones, serán utilizados para el reconocimiento y financiamiento del derecho pensional con base en las reglas del R.P.M., lo que descarta la posibilidad de que se generen erogaciones no previstas. Ello, ha sido decantado por la Sala de Casación Laboral de la Corte Suprema de Justicia, en sentencia SL2877-2020 del 29 de julio de 2020, radicación No. 78667. Argumento ratificado en sede de tutela a través de fallo STL11947-2020 del 16 de diciembre de 2020, radicación No. 61500.</w:t>
      </w:r>
    </w:p>
    <w:p w14:paraId="2C205B44" w14:textId="77777777" w:rsidR="00D519F5" w:rsidRPr="00942ECD" w:rsidRDefault="00D519F5" w:rsidP="00942ECD">
      <w:pPr>
        <w:spacing w:line="276" w:lineRule="auto"/>
        <w:rPr>
          <w:rFonts w:ascii="Bookman Old Style" w:hAnsi="Bookman Old Style"/>
          <w:color w:val="auto"/>
        </w:rPr>
      </w:pPr>
    </w:p>
    <w:p w14:paraId="794B13C6" w14:textId="19C644A4" w:rsidR="00D519F5" w:rsidRPr="00942ECD" w:rsidRDefault="00D519F5" w:rsidP="00942ECD">
      <w:pPr>
        <w:spacing w:line="276" w:lineRule="auto"/>
        <w:rPr>
          <w:rFonts w:ascii="Bookman Old Style" w:hAnsi="Bookman Old Style"/>
          <w:color w:val="auto"/>
        </w:rPr>
      </w:pPr>
      <w:r w:rsidRPr="00942ECD">
        <w:rPr>
          <w:rFonts w:ascii="Bookman Old Style" w:hAnsi="Bookman Old Style"/>
          <w:color w:val="auto"/>
        </w:rPr>
        <w:t xml:space="preserve">Con todo, habrá de confirmarse la sentencia de primera instancia, pues los argumentos expuestos por </w:t>
      </w:r>
      <w:r w:rsidR="007E130D" w:rsidRPr="00942ECD">
        <w:rPr>
          <w:rFonts w:ascii="Bookman Old Style" w:hAnsi="Bookman Old Style"/>
          <w:color w:val="auto"/>
        </w:rPr>
        <w:t xml:space="preserve">Colfondos </w:t>
      </w:r>
      <w:r w:rsidRPr="00942ECD">
        <w:rPr>
          <w:rFonts w:ascii="Bookman Old Style" w:hAnsi="Bookman Old Style"/>
          <w:color w:val="auto"/>
        </w:rPr>
        <w:t>S.A. no tienen vocación de prosperidad.</w:t>
      </w:r>
    </w:p>
    <w:bookmarkEnd w:id="9"/>
    <w:p w14:paraId="3A77C58E" w14:textId="77777777" w:rsidR="00C56147" w:rsidRPr="00942ECD" w:rsidRDefault="00C56147" w:rsidP="00942ECD">
      <w:pPr>
        <w:spacing w:line="276" w:lineRule="auto"/>
        <w:rPr>
          <w:rFonts w:ascii="Bookman Old Style" w:hAnsi="Bookman Old Style"/>
          <w:color w:val="auto"/>
        </w:rPr>
      </w:pPr>
    </w:p>
    <w:p w14:paraId="1FE2A3F7" w14:textId="77777777" w:rsidR="00C56147" w:rsidRPr="00942ECD" w:rsidRDefault="00C56147" w:rsidP="00942ECD">
      <w:pPr>
        <w:spacing w:line="276" w:lineRule="auto"/>
        <w:ind w:firstLine="0"/>
        <w:jc w:val="center"/>
        <w:rPr>
          <w:rFonts w:ascii="Bookman Old Style" w:hAnsi="Bookman Old Style"/>
          <w:color w:val="auto"/>
        </w:rPr>
      </w:pPr>
      <w:r w:rsidRPr="00942ECD">
        <w:rPr>
          <w:rFonts w:ascii="Bookman Old Style" w:hAnsi="Bookman Old Style"/>
          <w:b/>
          <w:bCs/>
          <w:color w:val="auto"/>
        </w:rPr>
        <w:t>Consulta de la sentencia en los aspectos no recurridos</w:t>
      </w:r>
    </w:p>
    <w:p w14:paraId="54B90A3A" w14:textId="77777777" w:rsidR="00C56147" w:rsidRPr="00942ECD" w:rsidRDefault="00C56147" w:rsidP="00942ECD">
      <w:pPr>
        <w:spacing w:line="276" w:lineRule="auto"/>
        <w:ind w:firstLine="0"/>
        <w:rPr>
          <w:rFonts w:ascii="Bookman Old Style" w:hAnsi="Bookman Old Style"/>
          <w:color w:val="auto"/>
        </w:rPr>
      </w:pPr>
    </w:p>
    <w:p w14:paraId="36D1833D" w14:textId="7D16F67D" w:rsidR="00C56147" w:rsidRPr="00942ECD" w:rsidRDefault="00C56147" w:rsidP="00942ECD">
      <w:pPr>
        <w:spacing w:line="276" w:lineRule="auto"/>
        <w:rPr>
          <w:rFonts w:ascii="Bookman Old Style" w:hAnsi="Bookman Old Style"/>
          <w:color w:val="auto"/>
        </w:rPr>
      </w:pPr>
      <w:r w:rsidRPr="00942ECD">
        <w:rPr>
          <w:rFonts w:ascii="Bookman Old Style" w:hAnsi="Bookman Old Style"/>
          <w:color w:val="auto"/>
        </w:rPr>
        <w:t xml:space="preserve">Con relación al </w:t>
      </w:r>
      <w:r w:rsidRPr="00942ECD">
        <w:rPr>
          <w:rFonts w:ascii="Bookman Old Style" w:hAnsi="Bookman Old Style"/>
          <w:b/>
          <w:color w:val="auto"/>
        </w:rPr>
        <w:t>bono pensional</w:t>
      </w:r>
      <w:r w:rsidRPr="00942ECD">
        <w:rPr>
          <w:rFonts w:ascii="Bookman Old Style" w:hAnsi="Bookman Old Style"/>
          <w:color w:val="auto"/>
        </w:rPr>
        <w:t xml:space="preserve">, comoquiera que la demandante al momento de trasladarse de régimen pensional contaba con un bono pensional con fecha normal de redención del 10/05/2028 (archivo 02, pág. 30), además que la actora aglutinaba al momento de traslado de régimen un total de </w:t>
      </w:r>
      <w:r w:rsidRPr="00942ECD">
        <w:rPr>
          <w:rFonts w:ascii="Bookman Old Style" w:hAnsi="Bookman Old Style"/>
          <w:color w:val="auto"/>
        </w:rPr>
        <w:lastRenderedPageBreak/>
        <w:t>304.57 semanas (archivo 02, pág. 14 y archivo 08, pág. 21), lleva a concluir que las ordenes impartidas por la Jueza deben ser mantenidas.</w:t>
      </w:r>
    </w:p>
    <w:p w14:paraId="07F90088" w14:textId="77777777" w:rsidR="00051623" w:rsidRPr="00942ECD" w:rsidRDefault="00051623" w:rsidP="00942ECD">
      <w:pPr>
        <w:spacing w:line="276" w:lineRule="auto"/>
        <w:rPr>
          <w:rFonts w:ascii="Bookman Old Style" w:hAnsi="Bookman Old Style"/>
          <w:color w:val="auto"/>
        </w:rPr>
      </w:pPr>
    </w:p>
    <w:p w14:paraId="1F3B1130" w14:textId="4AB2E0B5" w:rsidR="002F211C" w:rsidRPr="00942ECD" w:rsidRDefault="002F211C" w:rsidP="00942ECD">
      <w:pPr>
        <w:spacing w:line="276" w:lineRule="auto"/>
        <w:rPr>
          <w:rFonts w:ascii="Bookman Old Style" w:hAnsi="Bookman Old Style"/>
          <w:color w:val="auto"/>
        </w:rPr>
      </w:pPr>
      <w:bookmarkStart w:id="10" w:name="_Hlk152754819"/>
      <w:r w:rsidRPr="00942ECD">
        <w:rPr>
          <w:rFonts w:ascii="Bookman Old Style" w:hAnsi="Bookman Old Style"/>
          <w:color w:val="auto"/>
        </w:rPr>
        <w:t>Con todo, habrá de confirmarse la sentencia apelada y consultada que declaró la ineficacia del traslado de régimen y como se resolvió de forma desfavorable los recursos de apelación interpuestos, se impondrá costas en esta instancia a Colpensiones y Colfondos S.A</w:t>
      </w:r>
      <w:r w:rsidR="00D70965" w:rsidRPr="00942ECD">
        <w:rPr>
          <w:rFonts w:ascii="Bookman Old Style" w:hAnsi="Bookman Old Style"/>
          <w:color w:val="auto"/>
        </w:rPr>
        <w:t xml:space="preserve"> a favor de la parte actora</w:t>
      </w:r>
      <w:r w:rsidRPr="00942ECD">
        <w:rPr>
          <w:rFonts w:ascii="Bookman Old Style" w:hAnsi="Bookman Old Style"/>
          <w:color w:val="auto"/>
        </w:rPr>
        <w:t>. Sin costas respecto de Protección S.A.</w:t>
      </w:r>
    </w:p>
    <w:p w14:paraId="09E30AEF" w14:textId="77777777" w:rsidR="00C6038E" w:rsidRPr="00942ECD" w:rsidRDefault="00C6038E" w:rsidP="00942ECD">
      <w:pPr>
        <w:spacing w:line="276" w:lineRule="auto"/>
        <w:rPr>
          <w:rFonts w:ascii="Bookman Old Style" w:hAnsi="Bookman Old Style"/>
          <w:color w:val="auto"/>
        </w:rPr>
      </w:pPr>
    </w:p>
    <w:p w14:paraId="6627221A" w14:textId="77777777" w:rsidR="00C6038E" w:rsidRPr="00942ECD" w:rsidRDefault="00C6038E" w:rsidP="00942ECD">
      <w:pPr>
        <w:spacing w:line="276" w:lineRule="auto"/>
        <w:jc w:val="center"/>
        <w:rPr>
          <w:rFonts w:ascii="Bookman Old Style" w:hAnsi="Bookman Old Style"/>
          <w:b/>
          <w:bCs/>
          <w:color w:val="auto"/>
        </w:rPr>
      </w:pPr>
      <w:r w:rsidRPr="00942ECD">
        <w:rPr>
          <w:rFonts w:ascii="Bookman Old Style" w:hAnsi="Bookman Old Style"/>
          <w:b/>
          <w:bCs/>
          <w:color w:val="auto"/>
        </w:rPr>
        <w:t>DECISIÓN DE SEGUNDA INSTANCIA</w:t>
      </w:r>
    </w:p>
    <w:p w14:paraId="065430E4" w14:textId="77777777" w:rsidR="00C6038E" w:rsidRPr="00942ECD" w:rsidRDefault="00C6038E" w:rsidP="00942ECD">
      <w:pPr>
        <w:spacing w:line="276" w:lineRule="auto"/>
        <w:rPr>
          <w:rFonts w:ascii="Bookman Old Style" w:hAnsi="Bookman Old Style"/>
          <w:color w:val="auto"/>
        </w:rPr>
      </w:pPr>
    </w:p>
    <w:p w14:paraId="66E44E74" w14:textId="77777777" w:rsidR="00C6038E" w:rsidRPr="00942ECD" w:rsidRDefault="00C6038E" w:rsidP="00942ECD">
      <w:pPr>
        <w:spacing w:line="276" w:lineRule="auto"/>
        <w:rPr>
          <w:rFonts w:ascii="Bookman Old Style" w:hAnsi="Bookman Old Style"/>
          <w:color w:val="auto"/>
        </w:rPr>
      </w:pPr>
    </w:p>
    <w:p w14:paraId="5FA297BF" w14:textId="77777777" w:rsidR="00C6038E" w:rsidRPr="00942ECD" w:rsidRDefault="00C6038E" w:rsidP="00942ECD">
      <w:pPr>
        <w:spacing w:line="276" w:lineRule="auto"/>
        <w:ind w:firstLine="0"/>
        <w:rPr>
          <w:rFonts w:ascii="Bookman Old Style" w:hAnsi="Bookman Old Style"/>
          <w:b/>
          <w:color w:val="auto"/>
        </w:rPr>
      </w:pPr>
      <w:r w:rsidRPr="00942ECD">
        <w:rPr>
          <w:rFonts w:ascii="Bookman Old Style" w:hAnsi="Bookman Old Style"/>
          <w:color w:val="auto"/>
        </w:rPr>
        <w:t>Por lo expuesto</w:t>
      </w:r>
      <w:r w:rsidRPr="00942ECD">
        <w:rPr>
          <w:rFonts w:ascii="Bookman Old Style" w:hAnsi="Bookman Old Style"/>
          <w:b/>
          <w:color w:val="auto"/>
        </w:rPr>
        <w:t xml:space="preserve">, la Sala de Decisión Laboral del Tribunal Superior del Distrito Judicial de Pereira, </w:t>
      </w:r>
      <w:r w:rsidRPr="00942ECD">
        <w:rPr>
          <w:rFonts w:ascii="Bookman Old Style" w:hAnsi="Bookman Old Style"/>
          <w:color w:val="auto"/>
        </w:rPr>
        <w:t>administrando justicia en nombre de la República y por autoridad de la ley</w:t>
      </w:r>
      <w:r w:rsidRPr="00942ECD">
        <w:rPr>
          <w:rFonts w:ascii="Bookman Old Style" w:hAnsi="Bookman Old Style"/>
          <w:b/>
          <w:color w:val="auto"/>
        </w:rPr>
        <w:t>.</w:t>
      </w:r>
    </w:p>
    <w:p w14:paraId="7BA471E5" w14:textId="77777777" w:rsidR="00C6038E" w:rsidRPr="00942ECD" w:rsidRDefault="00C6038E" w:rsidP="00942ECD">
      <w:pPr>
        <w:spacing w:line="276" w:lineRule="auto"/>
        <w:rPr>
          <w:rFonts w:ascii="Bookman Old Style" w:hAnsi="Bookman Old Style"/>
          <w:color w:val="auto"/>
        </w:rPr>
      </w:pPr>
    </w:p>
    <w:p w14:paraId="6EB25387" w14:textId="77777777" w:rsidR="00C6038E" w:rsidRPr="00942ECD" w:rsidRDefault="00C6038E" w:rsidP="00942ECD">
      <w:pPr>
        <w:spacing w:line="276" w:lineRule="auto"/>
        <w:ind w:firstLine="0"/>
        <w:jc w:val="center"/>
        <w:rPr>
          <w:rFonts w:ascii="Bookman Old Style" w:hAnsi="Bookman Old Style"/>
          <w:b/>
          <w:bCs/>
          <w:color w:val="auto"/>
        </w:rPr>
      </w:pPr>
      <w:r w:rsidRPr="00942ECD">
        <w:rPr>
          <w:rFonts w:ascii="Bookman Old Style" w:hAnsi="Bookman Old Style"/>
          <w:b/>
          <w:bCs/>
          <w:color w:val="auto"/>
        </w:rPr>
        <w:t>RESUELVE</w:t>
      </w:r>
    </w:p>
    <w:p w14:paraId="4A3B4D44" w14:textId="77777777" w:rsidR="00C6038E" w:rsidRPr="00942ECD" w:rsidRDefault="00C6038E" w:rsidP="00942ECD">
      <w:pPr>
        <w:spacing w:line="276" w:lineRule="auto"/>
        <w:rPr>
          <w:rFonts w:ascii="Bookman Old Style" w:hAnsi="Bookman Old Style"/>
          <w:color w:val="auto"/>
        </w:rPr>
      </w:pPr>
    </w:p>
    <w:p w14:paraId="601000D8" w14:textId="0746241B" w:rsidR="00C6038E" w:rsidRPr="00942ECD" w:rsidRDefault="00C6038E" w:rsidP="00942ECD">
      <w:pPr>
        <w:spacing w:line="276" w:lineRule="auto"/>
        <w:rPr>
          <w:rFonts w:ascii="Bookman Old Style" w:hAnsi="Bookman Old Style"/>
          <w:color w:val="auto"/>
        </w:rPr>
      </w:pPr>
      <w:r w:rsidRPr="00942ECD">
        <w:rPr>
          <w:rFonts w:ascii="Bookman Old Style" w:hAnsi="Bookman Old Style"/>
          <w:b/>
          <w:bCs/>
          <w:color w:val="auto"/>
        </w:rPr>
        <w:t>PRIMERO</w:t>
      </w:r>
      <w:r w:rsidRPr="00942ECD">
        <w:rPr>
          <w:rFonts w:ascii="Bookman Old Style" w:hAnsi="Bookman Old Style"/>
          <w:color w:val="auto"/>
        </w:rPr>
        <w:t xml:space="preserve">: </w:t>
      </w:r>
      <w:r w:rsidRPr="00942ECD">
        <w:rPr>
          <w:rFonts w:ascii="Bookman Old Style" w:hAnsi="Bookman Old Style"/>
          <w:b/>
          <w:bCs/>
          <w:color w:val="auto"/>
        </w:rPr>
        <w:t xml:space="preserve">CONFIRMAR </w:t>
      </w:r>
      <w:r w:rsidRPr="00942ECD">
        <w:rPr>
          <w:rFonts w:ascii="Bookman Old Style" w:hAnsi="Bookman Old Style"/>
          <w:color w:val="auto"/>
        </w:rPr>
        <w:t>en su integridad la sentencia proferida el 29 de agosto de 2023, por el Juzgado Cuarto Laboral del Circuito de Pereira.</w:t>
      </w:r>
    </w:p>
    <w:p w14:paraId="60FD41D2" w14:textId="77777777" w:rsidR="00C6038E" w:rsidRPr="00942ECD" w:rsidRDefault="00C6038E" w:rsidP="00942ECD">
      <w:pPr>
        <w:spacing w:line="276" w:lineRule="auto"/>
        <w:rPr>
          <w:rStyle w:val="normaltextrun"/>
          <w:rFonts w:ascii="Bookman Old Style" w:hAnsi="Bookman Old Style"/>
          <w:color w:val="auto"/>
          <w:shd w:val="clear" w:color="auto" w:fill="FFFFFF"/>
        </w:rPr>
      </w:pPr>
    </w:p>
    <w:p w14:paraId="6ED30FF2" w14:textId="166734DA" w:rsidR="00C6038E" w:rsidRPr="00942ECD" w:rsidRDefault="00C6038E" w:rsidP="00942ECD">
      <w:pPr>
        <w:spacing w:line="276" w:lineRule="auto"/>
        <w:rPr>
          <w:rFonts w:ascii="Bookman Old Style" w:hAnsi="Bookman Old Style"/>
          <w:color w:val="auto"/>
        </w:rPr>
      </w:pPr>
      <w:r w:rsidRPr="00942ECD">
        <w:rPr>
          <w:rFonts w:ascii="Bookman Old Style" w:hAnsi="Bookman Old Style"/>
          <w:b/>
          <w:bCs/>
          <w:color w:val="auto"/>
        </w:rPr>
        <w:t>SEGUNDO</w:t>
      </w:r>
      <w:r w:rsidRPr="00942ECD">
        <w:rPr>
          <w:rFonts w:ascii="Bookman Old Style" w:hAnsi="Bookman Old Style"/>
          <w:color w:val="auto"/>
        </w:rPr>
        <w:t xml:space="preserve">: </w:t>
      </w:r>
      <w:r w:rsidRPr="00942ECD">
        <w:rPr>
          <w:rFonts w:ascii="Bookman Old Style" w:hAnsi="Bookman Old Style"/>
          <w:b/>
          <w:bCs/>
          <w:color w:val="auto"/>
        </w:rPr>
        <w:t>COSTAS</w:t>
      </w:r>
      <w:r w:rsidRPr="00942ECD">
        <w:rPr>
          <w:rFonts w:ascii="Bookman Old Style" w:hAnsi="Bookman Old Style"/>
          <w:color w:val="auto"/>
        </w:rPr>
        <w:t xml:space="preserve"> en esta instancia a cargo de Colpensiones y Colfondos S.A., a favor de la parte actora. Sin costas respecto de Protección S.A.</w:t>
      </w:r>
    </w:p>
    <w:p w14:paraId="32179E04" w14:textId="77777777" w:rsidR="00C6038E" w:rsidRPr="00942ECD" w:rsidRDefault="00C6038E" w:rsidP="00942ECD">
      <w:pPr>
        <w:spacing w:line="276" w:lineRule="auto"/>
        <w:rPr>
          <w:rFonts w:ascii="Bookman Old Style" w:hAnsi="Bookman Old Style"/>
          <w:color w:val="auto"/>
        </w:rPr>
      </w:pPr>
    </w:p>
    <w:p w14:paraId="13E1E80F" w14:textId="77777777" w:rsidR="00C6038E" w:rsidRPr="00942ECD" w:rsidRDefault="00C6038E" w:rsidP="00942ECD">
      <w:pPr>
        <w:spacing w:line="276" w:lineRule="auto"/>
        <w:jc w:val="center"/>
        <w:rPr>
          <w:rFonts w:ascii="Bookman Old Style" w:hAnsi="Bookman Old Style"/>
          <w:b/>
          <w:bCs/>
          <w:color w:val="auto"/>
        </w:rPr>
      </w:pPr>
      <w:r w:rsidRPr="00942ECD">
        <w:rPr>
          <w:rFonts w:ascii="Bookman Old Style" w:hAnsi="Bookman Old Style"/>
          <w:b/>
          <w:bCs/>
          <w:color w:val="auto"/>
        </w:rPr>
        <w:t>NOTIFÍQUESE Y CÚMPLASE</w:t>
      </w:r>
    </w:p>
    <w:p w14:paraId="5C904B42" w14:textId="77777777" w:rsidR="00C6038E" w:rsidRPr="00942ECD" w:rsidRDefault="00C6038E" w:rsidP="00942ECD">
      <w:pPr>
        <w:spacing w:line="276" w:lineRule="auto"/>
        <w:ind w:firstLine="0"/>
        <w:rPr>
          <w:rFonts w:ascii="Bookman Old Style" w:hAnsi="Bookman Old Style"/>
          <w:color w:val="auto"/>
        </w:rPr>
      </w:pPr>
    </w:p>
    <w:p w14:paraId="26A40B94" w14:textId="77777777" w:rsidR="00C6038E" w:rsidRPr="00942ECD" w:rsidRDefault="00C6038E" w:rsidP="00942ECD">
      <w:pPr>
        <w:spacing w:line="276" w:lineRule="auto"/>
        <w:ind w:firstLine="0"/>
        <w:rPr>
          <w:rFonts w:ascii="Bookman Old Style" w:hAnsi="Bookman Old Style"/>
          <w:color w:val="auto"/>
        </w:rPr>
      </w:pPr>
      <w:r w:rsidRPr="00942ECD">
        <w:rPr>
          <w:rFonts w:ascii="Bookman Old Style" w:hAnsi="Bookman Old Style"/>
          <w:color w:val="auto"/>
        </w:rPr>
        <w:t>Quienes conforman la Sala,</w:t>
      </w:r>
    </w:p>
    <w:bookmarkEnd w:id="10"/>
    <w:p w14:paraId="791CA015" w14:textId="77777777" w:rsidR="00942ECD" w:rsidRPr="00942ECD" w:rsidRDefault="00942ECD" w:rsidP="00942ECD">
      <w:pPr>
        <w:spacing w:line="276" w:lineRule="auto"/>
        <w:ind w:firstLine="0"/>
        <w:rPr>
          <w:rFonts w:ascii="Bookman Old Style" w:eastAsia="Century Gothic" w:hAnsi="Bookman Old Style"/>
          <w14:ligatures w14:val="none"/>
        </w:rPr>
      </w:pPr>
    </w:p>
    <w:p w14:paraId="5A36332C" w14:textId="77777777" w:rsidR="00942ECD" w:rsidRPr="00942ECD" w:rsidRDefault="00942ECD" w:rsidP="00942ECD">
      <w:pPr>
        <w:spacing w:line="276" w:lineRule="auto"/>
        <w:ind w:firstLine="0"/>
        <w:rPr>
          <w:rFonts w:ascii="Bookman Old Style" w:eastAsia="Arial Unicode MS" w:hAnsi="Bookman Old Style"/>
          <w14:ligatures w14:val="none"/>
        </w:rPr>
      </w:pPr>
      <w:r w:rsidRPr="00942ECD">
        <w:rPr>
          <w:rFonts w:ascii="Bookman Old Style" w:eastAsia="Century Gothic" w:hAnsi="Bookman Old Style"/>
          <w14:ligatures w14:val="none"/>
        </w:rPr>
        <w:t>Los Magistrados</w:t>
      </w:r>
      <w:r w:rsidRPr="00942ECD">
        <w:rPr>
          <w:rFonts w:ascii="Bookman Old Style" w:eastAsia="Arial Unicode MS" w:hAnsi="Bookman Old Style"/>
          <w14:ligatures w14:val="none"/>
        </w:rPr>
        <w:t>,</w:t>
      </w:r>
    </w:p>
    <w:p w14:paraId="6C560E66" w14:textId="77777777" w:rsidR="00942ECD" w:rsidRPr="00942ECD" w:rsidRDefault="00942ECD" w:rsidP="00942ECD">
      <w:pPr>
        <w:spacing w:line="276" w:lineRule="auto"/>
        <w:ind w:firstLine="0"/>
        <w:rPr>
          <w:rFonts w:ascii="Bookman Old Style" w:eastAsia="Arial Unicode MS" w:hAnsi="Bookman Old Style"/>
          <w14:ligatures w14:val="none"/>
        </w:rPr>
      </w:pPr>
    </w:p>
    <w:p w14:paraId="3C736314" w14:textId="77777777" w:rsidR="00942ECD" w:rsidRPr="00942ECD" w:rsidRDefault="00942ECD" w:rsidP="00942ECD">
      <w:pPr>
        <w:spacing w:line="276" w:lineRule="auto"/>
        <w:ind w:firstLine="0"/>
        <w:rPr>
          <w:rFonts w:ascii="Bookman Old Style" w:eastAsia="Arial Unicode MS" w:hAnsi="Bookman Old Style"/>
          <w14:ligatures w14:val="none"/>
        </w:rPr>
      </w:pPr>
    </w:p>
    <w:p w14:paraId="31ACD234" w14:textId="77777777" w:rsidR="00942ECD" w:rsidRPr="00942ECD" w:rsidRDefault="00942ECD" w:rsidP="00942ECD">
      <w:pPr>
        <w:spacing w:line="276" w:lineRule="auto"/>
        <w:ind w:firstLine="0"/>
        <w:jc w:val="center"/>
        <w:rPr>
          <w:rFonts w:ascii="Bookman Old Style" w:eastAsia="Arial Unicode MS" w:hAnsi="Bookman Old Style"/>
          <w:b/>
          <w:bCs/>
          <w14:ligatures w14:val="none"/>
        </w:rPr>
      </w:pPr>
      <w:r w:rsidRPr="00942ECD">
        <w:rPr>
          <w:rFonts w:ascii="Bookman Old Style" w:eastAsia="Arial Unicode MS" w:hAnsi="Bookman Old Style"/>
          <w:b/>
          <w:bCs/>
          <w14:ligatures w14:val="none"/>
        </w:rPr>
        <w:t>GERMÁN DARÍO GÓEZ VINASCO</w:t>
      </w:r>
    </w:p>
    <w:p w14:paraId="4E08E9DC" w14:textId="77777777" w:rsidR="00942ECD" w:rsidRPr="00942ECD" w:rsidRDefault="00942ECD" w:rsidP="00942ECD">
      <w:pPr>
        <w:spacing w:line="276" w:lineRule="auto"/>
        <w:ind w:firstLine="0"/>
        <w:jc w:val="center"/>
        <w:rPr>
          <w:rFonts w:ascii="Bookman Old Style" w:eastAsia="Arial Unicode MS" w:hAnsi="Bookman Old Style"/>
          <w14:ligatures w14:val="none"/>
        </w:rPr>
      </w:pPr>
      <w:r w:rsidRPr="00942ECD">
        <w:rPr>
          <w:rFonts w:ascii="Bookman Old Style" w:eastAsia="Arial Unicode MS" w:hAnsi="Bookman Old Style"/>
          <w14:ligatures w14:val="none"/>
        </w:rPr>
        <w:t>Magistrado ponente</w:t>
      </w:r>
    </w:p>
    <w:p w14:paraId="47007603" w14:textId="77777777" w:rsidR="00942ECD" w:rsidRPr="00942ECD" w:rsidRDefault="00942ECD" w:rsidP="00942ECD">
      <w:pPr>
        <w:spacing w:line="276" w:lineRule="auto"/>
        <w:ind w:firstLine="0"/>
        <w:rPr>
          <w:rFonts w:ascii="Bookman Old Style" w:eastAsia="Arial Unicode MS" w:hAnsi="Bookman Old Style"/>
          <w14:ligatures w14:val="none"/>
        </w:rPr>
      </w:pPr>
    </w:p>
    <w:p w14:paraId="77BC29CD" w14:textId="77777777" w:rsidR="00942ECD" w:rsidRPr="00942ECD" w:rsidRDefault="00942ECD" w:rsidP="00942ECD">
      <w:pPr>
        <w:spacing w:line="276" w:lineRule="auto"/>
        <w:ind w:firstLine="0"/>
        <w:rPr>
          <w:rFonts w:ascii="Bookman Old Style" w:eastAsia="Arial Unicode MS" w:hAnsi="Bookman Old Style"/>
          <w14:ligatures w14:val="none"/>
        </w:rPr>
      </w:pPr>
    </w:p>
    <w:p w14:paraId="089CA014" w14:textId="77777777" w:rsidR="00942ECD" w:rsidRPr="00942ECD" w:rsidRDefault="00942ECD" w:rsidP="00942ECD">
      <w:pPr>
        <w:spacing w:line="276" w:lineRule="auto"/>
        <w:ind w:firstLine="0"/>
        <w:jc w:val="center"/>
        <w:rPr>
          <w:rFonts w:ascii="Bookman Old Style" w:eastAsia="Arial Unicode MS" w:hAnsi="Bookman Old Style"/>
          <w:b/>
          <w:bCs/>
          <w14:ligatures w14:val="none"/>
        </w:rPr>
      </w:pPr>
      <w:r w:rsidRPr="00942ECD">
        <w:rPr>
          <w:rFonts w:ascii="Bookman Old Style" w:eastAsia="Arial Unicode MS" w:hAnsi="Bookman Old Style"/>
          <w:b/>
          <w:bCs/>
          <w14:ligatures w14:val="none"/>
        </w:rPr>
        <w:t>OLGA LUCIA HOYOS SEPÚLVEDA</w:t>
      </w:r>
    </w:p>
    <w:p w14:paraId="7BB5C374" w14:textId="381BCD43" w:rsidR="00942ECD" w:rsidRDefault="00600743" w:rsidP="00942ECD">
      <w:pPr>
        <w:spacing w:line="276" w:lineRule="auto"/>
        <w:ind w:firstLine="0"/>
        <w:jc w:val="center"/>
        <w:rPr>
          <w:rFonts w:ascii="Bookman Old Style" w:eastAsia="Arial Unicode MS" w:hAnsi="Bookman Old Style"/>
          <w14:ligatures w14:val="none"/>
        </w:rPr>
      </w:pPr>
      <w:r>
        <w:rPr>
          <w:rFonts w:ascii="Bookman Old Style" w:eastAsia="Arial Unicode MS" w:hAnsi="Bookman Old Style"/>
          <w14:ligatures w14:val="none"/>
        </w:rPr>
        <w:t>Magistrada</w:t>
      </w:r>
    </w:p>
    <w:p w14:paraId="1D9E5DB5" w14:textId="46CF138B" w:rsidR="00600743" w:rsidRPr="00942ECD" w:rsidRDefault="00600743" w:rsidP="00942ECD">
      <w:pPr>
        <w:spacing w:line="276" w:lineRule="auto"/>
        <w:ind w:firstLine="0"/>
        <w:jc w:val="center"/>
        <w:rPr>
          <w:rFonts w:ascii="Bookman Old Style" w:eastAsia="Arial Unicode MS" w:hAnsi="Bookman Old Style"/>
          <w14:ligatures w14:val="none"/>
        </w:rPr>
      </w:pPr>
      <w:r>
        <w:rPr>
          <w:rFonts w:ascii="Bookman Old Style" w:eastAsia="Arial Unicode MS" w:hAnsi="Bookman Old Style"/>
          <w14:ligatures w14:val="none"/>
        </w:rPr>
        <w:t>Con aclaración de voto</w:t>
      </w:r>
    </w:p>
    <w:p w14:paraId="07182F15" w14:textId="77777777" w:rsidR="00942ECD" w:rsidRPr="00942ECD" w:rsidRDefault="00942ECD" w:rsidP="00942ECD">
      <w:pPr>
        <w:spacing w:line="276" w:lineRule="auto"/>
        <w:ind w:firstLine="0"/>
        <w:jc w:val="center"/>
        <w:rPr>
          <w:rFonts w:ascii="Bookman Old Style" w:eastAsia="Arial Unicode MS" w:hAnsi="Bookman Old Style"/>
          <w:b/>
          <w:bCs/>
          <w14:ligatures w14:val="none"/>
        </w:rPr>
      </w:pPr>
    </w:p>
    <w:p w14:paraId="45D2E882" w14:textId="77777777" w:rsidR="00942ECD" w:rsidRPr="00942ECD" w:rsidRDefault="00942ECD" w:rsidP="00942ECD">
      <w:pPr>
        <w:spacing w:line="276" w:lineRule="auto"/>
        <w:ind w:firstLine="0"/>
        <w:jc w:val="center"/>
        <w:rPr>
          <w:rFonts w:ascii="Bookman Old Style" w:eastAsia="Arial Unicode MS" w:hAnsi="Bookman Old Style"/>
          <w:b/>
          <w:bCs/>
          <w14:ligatures w14:val="none"/>
        </w:rPr>
      </w:pPr>
    </w:p>
    <w:p w14:paraId="472E9FB0" w14:textId="77777777" w:rsidR="00942ECD" w:rsidRPr="00942ECD" w:rsidRDefault="00942ECD" w:rsidP="00942ECD">
      <w:pPr>
        <w:spacing w:line="276" w:lineRule="auto"/>
        <w:ind w:firstLine="0"/>
        <w:jc w:val="center"/>
        <w:rPr>
          <w:rFonts w:ascii="Bookman Old Style" w:eastAsia="Arial Unicode MS" w:hAnsi="Bookman Old Style"/>
          <w:b/>
          <w:bCs/>
          <w14:ligatures w14:val="none"/>
        </w:rPr>
      </w:pPr>
      <w:r w:rsidRPr="00942ECD">
        <w:rPr>
          <w:rFonts w:ascii="Bookman Old Style" w:eastAsia="Arial Unicode MS" w:hAnsi="Bookman Old Style"/>
          <w:b/>
          <w:bCs/>
          <w14:ligatures w14:val="none"/>
        </w:rPr>
        <w:t>JULIO CÉSAR SALAZAR MUÑOZ</w:t>
      </w:r>
    </w:p>
    <w:p w14:paraId="6E6DD9C2" w14:textId="05866045" w:rsidR="00600743" w:rsidRDefault="00942ECD" w:rsidP="00600743">
      <w:pPr>
        <w:spacing w:line="276" w:lineRule="auto"/>
        <w:ind w:firstLine="0"/>
        <w:jc w:val="center"/>
        <w:rPr>
          <w:rFonts w:ascii="Bookman Old Style" w:eastAsia="Century Gothic" w:hAnsi="Bookman Old Style"/>
          <w:bCs/>
          <w14:ligatures w14:val="none"/>
        </w:rPr>
      </w:pPr>
      <w:r w:rsidRPr="00942ECD">
        <w:rPr>
          <w:rFonts w:ascii="Bookman Old Style" w:eastAsia="Arial Unicode MS" w:hAnsi="Bookman Old Style"/>
          <w14:ligatures w14:val="none"/>
        </w:rPr>
        <w:t>Magistrado</w:t>
      </w:r>
    </w:p>
    <w:p w14:paraId="0F27EEBE" w14:textId="3F97BFFE" w:rsidR="00600743" w:rsidRDefault="00600743" w:rsidP="00600743">
      <w:pPr>
        <w:spacing w:line="276" w:lineRule="auto"/>
        <w:ind w:firstLine="0"/>
        <w:jc w:val="center"/>
        <w:rPr>
          <w:rFonts w:ascii="Bookman Old Style" w:eastAsia="Century Gothic" w:hAnsi="Bookman Old Style"/>
          <w:bCs/>
          <w14:ligatures w14:val="none"/>
        </w:rPr>
      </w:pPr>
      <w:r>
        <w:rPr>
          <w:rFonts w:ascii="Bookman Old Style" w:eastAsia="Century Gothic" w:hAnsi="Bookman Old Style"/>
          <w:bCs/>
          <w14:ligatures w14:val="none"/>
        </w:rPr>
        <w:t>Con ausencia justificada</w:t>
      </w:r>
    </w:p>
    <w:p w14:paraId="3BAD44F2" w14:textId="3C4F85C9" w:rsidR="00694EC8" w:rsidRDefault="00694EC8" w:rsidP="00694EC8">
      <w:pPr>
        <w:spacing w:line="276" w:lineRule="auto"/>
        <w:ind w:firstLine="0"/>
        <w:rPr>
          <w:rFonts w:ascii="Bookman Old Style" w:eastAsia="Century Gothic" w:hAnsi="Bookman Old Style"/>
          <w:bCs/>
          <w14:ligatures w14:val="none"/>
        </w:rPr>
      </w:pPr>
    </w:p>
    <w:p w14:paraId="51CC3B2C" w14:textId="16F4DBA3" w:rsidR="00694EC8" w:rsidRDefault="00694EC8">
      <w:pPr>
        <w:rPr>
          <w:rFonts w:ascii="Bookman Old Style" w:eastAsia="Century Gothic" w:hAnsi="Bookman Old Style"/>
          <w:bCs/>
          <w14:ligatures w14:val="none"/>
        </w:rPr>
      </w:pPr>
      <w:r>
        <w:rPr>
          <w:rFonts w:ascii="Bookman Old Style" w:eastAsia="Century Gothic" w:hAnsi="Bookman Old Style"/>
          <w:bCs/>
          <w14:ligatures w14:val="none"/>
        </w:rPr>
        <w:br w:type="page"/>
      </w:r>
    </w:p>
    <w:p w14:paraId="1AC91433" w14:textId="7A6BBF1F" w:rsidR="00AC02EE" w:rsidRPr="00AC02EE"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lastRenderedPageBreak/>
        <w:t xml:space="preserve">Providencia: </w:t>
      </w:r>
      <w:r w:rsidRPr="00AC02EE">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ab/>
        <w:t xml:space="preserve">Sentencia del 13/12/2023 </w:t>
      </w:r>
    </w:p>
    <w:p w14:paraId="2F18A4EC" w14:textId="77777777" w:rsidR="00AC02EE" w:rsidRPr="00AC02EE"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t>Radicación No.:</w:t>
      </w:r>
      <w:r w:rsidRPr="00AC02EE">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ab/>
        <w:t>66001-31-05-004-2023-00076-01</w:t>
      </w:r>
    </w:p>
    <w:p w14:paraId="5F7BB4A5" w14:textId="5D16DCF0" w:rsidR="00AC02EE" w:rsidRPr="00AC02EE"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t>Proceso:</w:t>
      </w:r>
      <w:r w:rsidRPr="00AC02EE">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ab/>
        <w:t xml:space="preserve">Ordinario laboral  </w:t>
      </w:r>
    </w:p>
    <w:p w14:paraId="27CDFFA6" w14:textId="31BD0A21" w:rsidR="00AC02EE" w:rsidRPr="00AC02EE"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t>Demandante:</w:t>
      </w:r>
      <w:r w:rsidRPr="00AC02EE">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ab/>
        <w:t>Beatriz Elena Bonilla Martínez</w:t>
      </w:r>
    </w:p>
    <w:p w14:paraId="24D557C0" w14:textId="7CF55209" w:rsidR="00AC02EE" w:rsidRPr="00AC02EE"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t>Demandado:</w:t>
      </w:r>
      <w:r>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ab/>
        <w:t>Colpensiones, Protección S.A., Colfondos S.A.</w:t>
      </w:r>
    </w:p>
    <w:p w14:paraId="27942F6D" w14:textId="77777777" w:rsidR="00AC02EE" w:rsidRPr="00AC02EE"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t xml:space="preserve">Magistrado ponente: </w:t>
      </w:r>
      <w:r w:rsidRPr="00AC02EE">
        <w:rPr>
          <w:rFonts w:eastAsia="Times New Roman"/>
          <w:bCs/>
          <w:color w:val="auto"/>
          <w:kern w:val="0"/>
          <w:sz w:val="20"/>
          <w:lang w:val="es-ES" w:eastAsia="es-CO"/>
          <w14:ligatures w14:val="none"/>
        </w:rPr>
        <w:tab/>
        <w:t xml:space="preserve">Dr. German Darío Góez Vinasco </w:t>
      </w:r>
    </w:p>
    <w:p w14:paraId="5A1863D7" w14:textId="3AD81A3B" w:rsidR="00694EC8" w:rsidRPr="00694EC8" w:rsidRDefault="00AC02EE" w:rsidP="00AC02EE">
      <w:pPr>
        <w:spacing w:line="240" w:lineRule="auto"/>
        <w:ind w:firstLine="0"/>
        <w:textAlignment w:val="baseline"/>
        <w:rPr>
          <w:rFonts w:eastAsia="Times New Roman"/>
          <w:bCs/>
          <w:color w:val="auto"/>
          <w:kern w:val="0"/>
          <w:sz w:val="20"/>
          <w:lang w:val="es-ES" w:eastAsia="es-CO"/>
          <w14:ligatures w14:val="none"/>
        </w:rPr>
      </w:pPr>
      <w:r w:rsidRPr="00AC02EE">
        <w:rPr>
          <w:rFonts w:eastAsia="Times New Roman"/>
          <w:bCs/>
          <w:color w:val="auto"/>
          <w:kern w:val="0"/>
          <w:sz w:val="20"/>
          <w:lang w:val="es-ES" w:eastAsia="es-CO"/>
          <w14:ligatures w14:val="none"/>
        </w:rPr>
        <w:t xml:space="preserve">Tema: </w:t>
      </w:r>
      <w:r w:rsidRPr="00AC02EE">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ab/>
      </w:r>
      <w:r>
        <w:rPr>
          <w:rFonts w:eastAsia="Times New Roman"/>
          <w:bCs/>
          <w:color w:val="auto"/>
          <w:kern w:val="0"/>
          <w:sz w:val="20"/>
          <w:lang w:val="es-ES" w:eastAsia="es-CO"/>
          <w14:ligatures w14:val="none"/>
        </w:rPr>
        <w:tab/>
      </w:r>
      <w:r w:rsidRPr="00AC02EE">
        <w:rPr>
          <w:rFonts w:eastAsia="Times New Roman"/>
          <w:bCs/>
          <w:color w:val="auto"/>
          <w:kern w:val="0"/>
          <w:sz w:val="20"/>
          <w:lang w:val="es-ES" w:eastAsia="es-CO"/>
          <w14:ligatures w14:val="none"/>
        </w:rPr>
        <w:t xml:space="preserve">Ineficacia de afiliación  </w:t>
      </w:r>
    </w:p>
    <w:p w14:paraId="74BB0A37" w14:textId="77777777" w:rsidR="00694EC8" w:rsidRPr="00694EC8" w:rsidRDefault="00694EC8" w:rsidP="00694EC8">
      <w:pPr>
        <w:spacing w:line="240" w:lineRule="auto"/>
        <w:ind w:firstLine="0"/>
        <w:textAlignment w:val="baseline"/>
        <w:rPr>
          <w:rFonts w:eastAsia="Times New Roman"/>
          <w:color w:val="auto"/>
          <w:kern w:val="0"/>
          <w:sz w:val="20"/>
          <w:lang w:eastAsia="es-CO"/>
          <w14:ligatures w14:val="none"/>
        </w:rPr>
      </w:pPr>
    </w:p>
    <w:p w14:paraId="4683DB63" w14:textId="3E777841" w:rsidR="00694EC8" w:rsidRDefault="00694EC8" w:rsidP="00694EC8">
      <w:pPr>
        <w:spacing w:line="240" w:lineRule="auto"/>
        <w:ind w:firstLine="0"/>
        <w:textAlignment w:val="baseline"/>
        <w:rPr>
          <w:rFonts w:eastAsia="Times New Roman"/>
          <w:color w:val="auto"/>
          <w:kern w:val="0"/>
          <w:sz w:val="20"/>
          <w:lang w:eastAsia="es-CO"/>
          <w14:ligatures w14:val="none"/>
        </w:rPr>
      </w:pPr>
    </w:p>
    <w:p w14:paraId="084D2BDC" w14:textId="77777777" w:rsidR="004F3729" w:rsidRPr="00694EC8" w:rsidRDefault="004F3729" w:rsidP="00694EC8">
      <w:pPr>
        <w:spacing w:line="240" w:lineRule="auto"/>
        <w:ind w:firstLine="0"/>
        <w:textAlignment w:val="baseline"/>
        <w:rPr>
          <w:rFonts w:eastAsia="Times New Roman"/>
          <w:color w:val="auto"/>
          <w:kern w:val="0"/>
          <w:sz w:val="20"/>
          <w:lang w:eastAsia="es-CO"/>
          <w14:ligatures w14:val="none"/>
        </w:rPr>
      </w:pPr>
    </w:p>
    <w:p w14:paraId="4B844519" w14:textId="77777777" w:rsidR="00694EC8" w:rsidRPr="00694EC8" w:rsidRDefault="00694EC8" w:rsidP="00694EC8">
      <w:pPr>
        <w:keepNext/>
        <w:spacing w:line="312" w:lineRule="auto"/>
        <w:ind w:firstLine="0"/>
        <w:jc w:val="center"/>
        <w:outlineLvl w:val="2"/>
        <w:rPr>
          <w:rFonts w:eastAsia="Times New Roman"/>
          <w:b/>
          <w:color w:val="auto"/>
          <w:kern w:val="0"/>
          <w:lang w:val="es-ES_tradnl" w:eastAsia="es-ES"/>
          <w14:ligatures w14:val="none"/>
        </w:rPr>
      </w:pPr>
      <w:r w:rsidRPr="00694EC8">
        <w:rPr>
          <w:rFonts w:eastAsia="Times New Roman"/>
          <w:b/>
          <w:color w:val="auto"/>
          <w:kern w:val="0"/>
          <w:lang w:val="es-ES_tradnl" w:eastAsia="es-ES"/>
          <w14:ligatures w14:val="none"/>
        </w:rPr>
        <w:t>TRIBUNAL SUPERIOR DEL DISTRITO JUDICIAL</w:t>
      </w:r>
    </w:p>
    <w:p w14:paraId="2C5BABA5" w14:textId="77777777" w:rsidR="00694EC8" w:rsidRPr="00694EC8" w:rsidRDefault="00694EC8" w:rsidP="00694EC8">
      <w:pPr>
        <w:spacing w:line="312" w:lineRule="auto"/>
        <w:ind w:firstLine="0"/>
        <w:jc w:val="center"/>
        <w:rPr>
          <w:rFonts w:eastAsia="Calibri"/>
          <w:b/>
          <w:color w:val="auto"/>
          <w:kern w:val="0"/>
          <w14:ligatures w14:val="none"/>
        </w:rPr>
      </w:pPr>
      <w:r w:rsidRPr="00694EC8">
        <w:rPr>
          <w:rFonts w:eastAsia="Calibri"/>
          <w:b/>
          <w:color w:val="auto"/>
          <w:kern w:val="0"/>
          <w14:ligatures w14:val="none"/>
        </w:rPr>
        <w:t>SALA LABORAL</w:t>
      </w:r>
    </w:p>
    <w:p w14:paraId="53D4B16E" w14:textId="77777777" w:rsidR="00694EC8" w:rsidRPr="00694EC8" w:rsidRDefault="00694EC8" w:rsidP="00694EC8">
      <w:pPr>
        <w:spacing w:line="312" w:lineRule="auto"/>
        <w:ind w:firstLine="0"/>
        <w:jc w:val="center"/>
        <w:rPr>
          <w:rFonts w:eastAsia="Times New Roman"/>
          <w:b/>
          <w:color w:val="auto"/>
          <w:kern w:val="0"/>
          <w:lang w:val="es-ES_tradnl" w:eastAsia="es-ES"/>
          <w14:ligatures w14:val="none"/>
        </w:rPr>
      </w:pPr>
      <w:r w:rsidRPr="00694EC8">
        <w:rPr>
          <w:rFonts w:eastAsia="Times New Roman"/>
          <w:b/>
          <w:color w:val="auto"/>
          <w:kern w:val="0"/>
          <w:lang w:val="es-ES_tradnl" w:eastAsia="es-ES"/>
          <w14:ligatures w14:val="none"/>
        </w:rPr>
        <w:t>MAGISTRADA: OLGA LUCIA HOYOS SEPÚLVEDA</w:t>
      </w:r>
    </w:p>
    <w:p w14:paraId="21A7B6A8" w14:textId="77777777" w:rsidR="00694EC8" w:rsidRPr="00694EC8" w:rsidRDefault="00694EC8" w:rsidP="00694EC8">
      <w:pPr>
        <w:spacing w:line="312" w:lineRule="auto"/>
        <w:ind w:firstLine="0"/>
        <w:jc w:val="left"/>
        <w:rPr>
          <w:rFonts w:eastAsia="Times New Roman"/>
          <w:b/>
          <w:color w:val="auto"/>
          <w:kern w:val="0"/>
          <w:lang w:val="es-ES_tradnl" w:eastAsia="es-ES"/>
          <w14:ligatures w14:val="none"/>
        </w:rPr>
      </w:pPr>
    </w:p>
    <w:p w14:paraId="3A1721E0" w14:textId="77777777" w:rsidR="00694EC8" w:rsidRPr="00694EC8" w:rsidRDefault="00694EC8" w:rsidP="00694EC8">
      <w:pPr>
        <w:spacing w:line="312" w:lineRule="auto"/>
        <w:ind w:firstLine="0"/>
        <w:jc w:val="left"/>
        <w:textAlignment w:val="baseline"/>
        <w:rPr>
          <w:rFonts w:eastAsia="Times New Roman"/>
          <w:color w:val="auto"/>
          <w:kern w:val="0"/>
          <w:lang w:val="es-ES_tradnl" w:eastAsia="es-CO"/>
          <w14:ligatures w14:val="none"/>
        </w:rPr>
      </w:pPr>
    </w:p>
    <w:p w14:paraId="247B55DC" w14:textId="77777777" w:rsidR="00694EC8" w:rsidRPr="00694EC8" w:rsidRDefault="00694EC8" w:rsidP="00694EC8">
      <w:pPr>
        <w:spacing w:line="312" w:lineRule="auto"/>
        <w:ind w:firstLine="0"/>
        <w:jc w:val="center"/>
        <w:textAlignment w:val="baseline"/>
        <w:rPr>
          <w:rFonts w:eastAsia="Times New Roman"/>
          <w:color w:val="auto"/>
          <w:kern w:val="0"/>
          <w:lang w:eastAsia="es-CO"/>
          <w14:ligatures w14:val="none"/>
        </w:rPr>
      </w:pPr>
      <w:r w:rsidRPr="00694EC8">
        <w:rPr>
          <w:rFonts w:eastAsia="Times New Roman"/>
          <w:b/>
          <w:bCs/>
          <w:color w:val="auto"/>
          <w:kern w:val="0"/>
          <w:u w:val="single"/>
          <w:lang w:val="es-ES" w:eastAsia="es-CO"/>
          <w14:ligatures w14:val="none"/>
        </w:rPr>
        <w:t>ACLARACIÓN DE VOTO</w:t>
      </w:r>
    </w:p>
    <w:p w14:paraId="2A999757" w14:textId="77777777" w:rsidR="00694EC8" w:rsidRPr="00694EC8" w:rsidRDefault="00694EC8" w:rsidP="00694EC8">
      <w:pPr>
        <w:shd w:val="clear" w:color="auto" w:fill="FFFFFF"/>
        <w:spacing w:line="312" w:lineRule="auto"/>
        <w:ind w:firstLine="0"/>
        <w:jc w:val="left"/>
        <w:textAlignment w:val="baseline"/>
        <w:rPr>
          <w:rFonts w:eastAsia="Times New Roman"/>
          <w:kern w:val="0"/>
          <w:lang w:eastAsia="es-CO"/>
          <w14:ligatures w14:val="none"/>
        </w:rPr>
      </w:pPr>
    </w:p>
    <w:p w14:paraId="614FA3D8" w14:textId="77777777" w:rsidR="00694EC8" w:rsidRPr="00694EC8" w:rsidRDefault="00694EC8" w:rsidP="00694EC8">
      <w:pPr>
        <w:shd w:val="clear" w:color="auto" w:fill="FFFFFF"/>
        <w:spacing w:line="312" w:lineRule="auto"/>
        <w:ind w:firstLine="0"/>
        <w:jc w:val="left"/>
        <w:textAlignment w:val="baseline"/>
        <w:rPr>
          <w:rFonts w:eastAsia="Times New Roman"/>
          <w:color w:val="auto"/>
          <w:kern w:val="0"/>
          <w:lang w:eastAsia="es-CO"/>
          <w14:ligatures w14:val="none"/>
        </w:rPr>
      </w:pPr>
    </w:p>
    <w:p w14:paraId="474D7AFF" w14:textId="77777777" w:rsidR="00694EC8" w:rsidRPr="00694EC8" w:rsidRDefault="00694EC8" w:rsidP="00694EC8">
      <w:pPr>
        <w:spacing w:line="312" w:lineRule="auto"/>
        <w:ind w:firstLine="0"/>
        <w:textAlignment w:val="baseline"/>
        <w:rPr>
          <w:rFonts w:eastAsia="Times New Roman"/>
          <w:color w:val="auto"/>
          <w:kern w:val="0"/>
          <w:szCs w:val="23"/>
          <w:lang w:val="es-ES" w:eastAsia="es-CO"/>
          <w14:ligatures w14:val="none"/>
        </w:rPr>
      </w:pPr>
      <w:r w:rsidRPr="00694EC8">
        <w:rPr>
          <w:rFonts w:eastAsia="Times New Roman"/>
          <w:color w:val="auto"/>
          <w:kern w:val="0"/>
          <w:szCs w:val="23"/>
          <w:lang w:val="es-ES" w:eastAsia="es-CO"/>
          <w14:ligatures w14:val="none"/>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p>
    <w:p w14:paraId="02746733"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p>
    <w:p w14:paraId="46A7CBD8"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2E43FFC7" w14:textId="77777777" w:rsidR="00694EC8" w:rsidRPr="005C5D59" w:rsidRDefault="00694EC8" w:rsidP="005C5D59">
      <w:pPr>
        <w:spacing w:line="312" w:lineRule="auto"/>
        <w:ind w:firstLine="0"/>
        <w:textAlignment w:val="baseline"/>
        <w:rPr>
          <w:rFonts w:eastAsia="Times New Roman"/>
          <w:color w:val="auto"/>
          <w:kern w:val="0"/>
          <w:szCs w:val="23"/>
          <w:lang w:val="es-ES" w:eastAsia="es-CO"/>
          <w14:ligatures w14:val="none"/>
        </w:rPr>
      </w:pPr>
    </w:p>
    <w:p w14:paraId="01B84BC4" w14:textId="77777777" w:rsidR="00694EC8" w:rsidRPr="00694EC8" w:rsidRDefault="00694EC8" w:rsidP="005C5D59">
      <w:pPr>
        <w:spacing w:line="312" w:lineRule="auto"/>
        <w:ind w:firstLine="0"/>
        <w:textAlignment w:val="baseline"/>
        <w:rPr>
          <w:rFonts w:eastAsia="Times New Roman"/>
          <w:color w:val="auto"/>
          <w:kern w:val="0"/>
          <w:szCs w:val="23"/>
          <w:lang w:val="es-ES" w:eastAsia="es-CO"/>
          <w14:ligatures w14:val="none"/>
        </w:rPr>
      </w:pPr>
      <w:r w:rsidRPr="00694EC8">
        <w:rPr>
          <w:rFonts w:eastAsia="Times New Roman"/>
          <w:color w:val="auto"/>
          <w:kern w:val="0"/>
          <w:szCs w:val="23"/>
          <w:lang w:val="es-ES" w:eastAsia="es-CO"/>
          <w14:ligatures w14:val="none"/>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694EC8">
        <w:rPr>
          <w:rFonts w:eastAsia="Times New Roman"/>
          <w:color w:val="auto"/>
          <w:kern w:val="0"/>
          <w:szCs w:val="23"/>
          <w:lang w:val="es-ES" w:eastAsia="es-CO"/>
          <w14:ligatures w14:val="none"/>
        </w:rPr>
        <w:lastRenderedPageBreak/>
        <w:t>calidad, como la única persona que puede infringir o coartar los derechos de libre escogencia del trabajador afiliado.</w:t>
      </w:r>
    </w:p>
    <w:p w14:paraId="163F42D9" w14:textId="77777777" w:rsidR="00694EC8" w:rsidRPr="005C5D59" w:rsidRDefault="00694EC8" w:rsidP="00694EC8">
      <w:pPr>
        <w:spacing w:line="312" w:lineRule="auto"/>
        <w:ind w:firstLine="0"/>
        <w:textAlignment w:val="baseline"/>
        <w:rPr>
          <w:rFonts w:eastAsia="Times New Roman"/>
          <w:color w:val="auto"/>
          <w:kern w:val="0"/>
          <w:szCs w:val="23"/>
          <w:lang w:val="es-ES" w:eastAsia="es-CO"/>
          <w14:ligatures w14:val="none"/>
        </w:rPr>
      </w:pPr>
      <w:r w:rsidRPr="005C5D59">
        <w:rPr>
          <w:rFonts w:eastAsia="Times New Roman"/>
          <w:color w:val="auto"/>
          <w:kern w:val="0"/>
          <w:szCs w:val="23"/>
          <w:lang w:val="es-ES" w:eastAsia="es-CO"/>
          <w14:ligatures w14:val="none"/>
        </w:rPr>
        <w:t xml:space="preserve"> </w:t>
      </w:r>
    </w:p>
    <w:p w14:paraId="13F42B7F"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694EC8">
        <w:rPr>
          <w:rFonts w:eastAsia="Times New Roman"/>
          <w:b/>
          <w:bCs/>
          <w:color w:val="auto"/>
          <w:kern w:val="0"/>
          <w:szCs w:val="23"/>
          <w:lang w:val="es-ES" w:eastAsia="es-CO"/>
          <w14:ligatures w14:val="none"/>
        </w:rPr>
        <w:t>tácitamente</w:t>
      </w:r>
      <w:r w:rsidRPr="00694EC8">
        <w:rPr>
          <w:rFonts w:eastAsia="Times New Roman"/>
          <w:color w:val="auto"/>
          <w:kern w:val="0"/>
          <w:szCs w:val="23"/>
          <w:lang w:val="es-ES" w:eastAsia="es-CO"/>
          <w14:ligatures w14:val="none"/>
        </w:rPr>
        <w:t> a la AFP, pues de haber querido regular su comportamiento, explícitamente lo hubiera incluido como infractor de tal norma, pero no lo hizo.</w:t>
      </w:r>
    </w:p>
    <w:p w14:paraId="19355525"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p>
    <w:p w14:paraId="2E103426"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3EAD6920" w14:textId="77777777" w:rsidR="00694EC8" w:rsidRPr="00694EC8" w:rsidRDefault="00694EC8" w:rsidP="00694EC8">
      <w:pPr>
        <w:spacing w:line="312" w:lineRule="auto"/>
        <w:ind w:firstLine="0"/>
        <w:jc w:val="left"/>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t> </w:t>
      </w:r>
      <w:r w:rsidRPr="00694EC8">
        <w:rPr>
          <w:rFonts w:eastAsia="Times New Roman"/>
          <w:color w:val="auto"/>
          <w:kern w:val="0"/>
          <w:szCs w:val="23"/>
          <w:lang w:eastAsia="es-CO"/>
          <w14:ligatures w14:val="none"/>
        </w:rPr>
        <w:t>   </w:t>
      </w:r>
    </w:p>
    <w:p w14:paraId="1DA6C9DE"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val="es-ES" w:eastAsia="es-CO"/>
          <w14:ligatures w14:val="none"/>
        </w:rPr>
      </w:pPr>
      <w:r w:rsidRPr="00694EC8">
        <w:rPr>
          <w:rFonts w:eastAsia="Times New Roman"/>
          <w:color w:val="auto"/>
          <w:kern w:val="0"/>
          <w:szCs w:val="23"/>
          <w:lang w:val="es-ES" w:eastAsia="es-CO"/>
          <w14:ligatures w14:val="none"/>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229B09F0"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val="es-ES" w:eastAsia="es-CO"/>
          <w14:ligatures w14:val="none"/>
        </w:rPr>
      </w:pPr>
      <w:r w:rsidRPr="00694EC8">
        <w:rPr>
          <w:rFonts w:eastAsia="Times New Roman"/>
          <w:color w:val="auto"/>
          <w:kern w:val="0"/>
          <w:szCs w:val="23"/>
          <w:lang w:val="es-ES" w:eastAsia="es-CO"/>
          <w14:ligatures w14:val="none"/>
        </w:rPr>
        <w:t> </w:t>
      </w:r>
      <w:r w:rsidRPr="00694EC8">
        <w:rPr>
          <w:rFonts w:eastAsia="Times New Roman"/>
          <w:color w:val="auto"/>
          <w:kern w:val="0"/>
          <w:szCs w:val="23"/>
          <w:lang w:eastAsia="es-CO"/>
          <w14:ligatures w14:val="none"/>
        </w:rPr>
        <w:t>   </w:t>
      </w:r>
    </w:p>
    <w:p w14:paraId="30D9102F"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t>El precedente o doctrina probable de la Sala Laboral de la Corte Suprema de Justicia trasgrede la cláusula constitucional 90 y los artículos 2341 y 2343 del Código Civil, porque </w:t>
      </w:r>
      <w:r w:rsidRPr="00694EC8">
        <w:rPr>
          <w:rFonts w:eastAsia="Times New Roman"/>
          <w:i/>
          <w:iCs/>
          <w:color w:val="auto"/>
          <w:kern w:val="0"/>
          <w:szCs w:val="23"/>
          <w:lang w:val="es-ES" w:eastAsia="es-CO"/>
          <w14:ligatures w14:val="none"/>
        </w:rPr>
        <w:t>“el Estado únicamente responderá patrimonialmente por los daños antijurídicos que le sean imputables, causados por la acción o la omisión de las autoridades públicas”,</w:t>
      </w:r>
      <w:r w:rsidRPr="00694EC8">
        <w:rPr>
          <w:rFonts w:eastAsia="Times New Roman"/>
          <w:color w:val="auto"/>
          <w:kern w:val="0"/>
          <w:szCs w:val="23"/>
          <w:lang w:val="es-ES" w:eastAsia="es-CO"/>
          <w14:ligatures w14:val="none"/>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124EA64E"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p>
    <w:p w14:paraId="6E4EBFE5"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val="es-ES" w:eastAsia="es-CO"/>
          <w14:ligatures w14:val="none"/>
        </w:rPr>
      </w:pPr>
      <w:r w:rsidRPr="00694EC8">
        <w:rPr>
          <w:rFonts w:eastAsia="Times New Roman"/>
          <w:color w:val="auto"/>
          <w:kern w:val="0"/>
          <w:szCs w:val="23"/>
          <w:lang w:val="es-ES" w:eastAsia="es-CO"/>
          <w14:ligatures w14:val="none"/>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5E24B1EB"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eastAsia="es-CO"/>
          <w14:ligatures w14:val="none"/>
        </w:rPr>
        <w:t> </w:t>
      </w:r>
    </w:p>
    <w:p w14:paraId="40CA7CC8"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lastRenderedPageBreak/>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694EC8">
        <w:rPr>
          <w:rFonts w:eastAsia="Times New Roman"/>
          <w:b/>
          <w:bCs/>
          <w:color w:val="auto"/>
          <w:kern w:val="0"/>
          <w:szCs w:val="23"/>
          <w:lang w:val="es-ES" w:eastAsia="es-CO"/>
          <w14:ligatures w14:val="none"/>
        </w:rPr>
        <w:t>LUIS BENEDICTO HERRERA DÍAZ, </w:t>
      </w:r>
      <w:r w:rsidRPr="00694EC8">
        <w:rPr>
          <w:rFonts w:eastAsia="Times New Roman"/>
          <w:color w:val="auto"/>
          <w:kern w:val="0"/>
          <w:szCs w:val="23"/>
          <w:lang w:val="es-ES" w:eastAsia="es-CO"/>
          <w14:ligatures w14:val="none"/>
        </w:rPr>
        <w:t xml:space="preserve">dentro del proceso No. 57458, </w:t>
      </w:r>
      <w:r w:rsidRPr="00694EC8">
        <w:rPr>
          <w:rFonts w:eastAsia="Times New Roman"/>
          <w:kern w:val="0"/>
          <w:szCs w:val="23"/>
          <w:lang w:val="es-ES" w:eastAsia="es-CO"/>
          <w14:ligatures w14:val="none"/>
        </w:rPr>
        <w:t>que resulta atemporal y en ese sentido pertinente para discurrir sobre el principio de independencia judicial en relación a cualquier asunto bajo análisis,</w:t>
      </w:r>
      <w:r w:rsidRPr="00694EC8">
        <w:rPr>
          <w:rFonts w:eastAsia="Times New Roman"/>
          <w:color w:val="auto"/>
          <w:kern w:val="0"/>
          <w:szCs w:val="23"/>
          <w:lang w:val="es-ES" w:eastAsia="es-CO"/>
          <w14:ligatures w14:val="none"/>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694EC8">
        <w:rPr>
          <w:rFonts w:eastAsia="Times New Roman"/>
          <w:color w:val="auto"/>
          <w:kern w:val="0"/>
          <w:szCs w:val="23"/>
          <w:lang w:eastAsia="es-CO"/>
          <w14:ligatures w14:val="none"/>
        </w:rPr>
        <w:t> </w:t>
      </w:r>
    </w:p>
    <w:p w14:paraId="34C926AA" w14:textId="77777777" w:rsidR="00694EC8" w:rsidRPr="00694EC8" w:rsidRDefault="00694EC8" w:rsidP="00694EC8">
      <w:pPr>
        <w:shd w:val="clear" w:color="auto" w:fill="FFFFFF"/>
        <w:spacing w:line="312" w:lineRule="auto"/>
        <w:ind w:firstLine="0"/>
        <w:textAlignment w:val="baseline"/>
        <w:rPr>
          <w:rFonts w:eastAsia="Times New Roman"/>
          <w:color w:val="auto"/>
          <w:kern w:val="0"/>
          <w:szCs w:val="23"/>
          <w:lang w:eastAsia="es-CO"/>
          <w14:ligatures w14:val="none"/>
        </w:rPr>
      </w:pPr>
    </w:p>
    <w:p w14:paraId="23DD1563"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r w:rsidRPr="00694EC8">
        <w:rPr>
          <w:rFonts w:eastAsia="Times New Roman"/>
          <w:color w:val="auto"/>
          <w:kern w:val="0"/>
          <w:szCs w:val="23"/>
          <w:lang w:val="es-ES" w:eastAsia="es-CO"/>
          <w14:ligatures w14:val="none"/>
        </w:rPr>
        <w:t>En estos términos aclaro mi voto,</w:t>
      </w:r>
      <w:r w:rsidRPr="00694EC8">
        <w:rPr>
          <w:rFonts w:eastAsia="Times New Roman"/>
          <w:color w:val="auto"/>
          <w:kern w:val="0"/>
          <w:szCs w:val="23"/>
          <w:lang w:eastAsia="es-CO"/>
          <w14:ligatures w14:val="none"/>
        </w:rPr>
        <w:t> </w:t>
      </w:r>
    </w:p>
    <w:p w14:paraId="738A3155"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bookmarkStart w:id="11" w:name="_GoBack"/>
      <w:bookmarkEnd w:id="11"/>
    </w:p>
    <w:p w14:paraId="179376D4"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p>
    <w:p w14:paraId="0F425AB1"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p>
    <w:p w14:paraId="7F9DEA33"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p>
    <w:p w14:paraId="682EA5AE"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p>
    <w:p w14:paraId="6096E77D" w14:textId="77777777"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r w:rsidRPr="00694EC8">
        <w:rPr>
          <w:rFonts w:eastAsia="Times New Roman"/>
          <w:b/>
          <w:bCs/>
          <w:color w:val="auto"/>
          <w:kern w:val="0"/>
          <w:szCs w:val="23"/>
          <w:lang w:val="es-ES" w:eastAsia="es-CO"/>
          <w14:ligatures w14:val="none"/>
        </w:rPr>
        <w:t>OLGA LUCÍA HOYOS SEPÚLVEDA</w:t>
      </w:r>
      <w:r w:rsidRPr="00694EC8">
        <w:rPr>
          <w:rFonts w:eastAsia="Times New Roman"/>
          <w:color w:val="auto"/>
          <w:kern w:val="0"/>
          <w:szCs w:val="23"/>
          <w:lang w:eastAsia="es-CO"/>
          <w14:ligatures w14:val="none"/>
        </w:rPr>
        <w:t>   </w:t>
      </w:r>
    </w:p>
    <w:p w14:paraId="7E5C648D" w14:textId="761E4FE3" w:rsidR="00694EC8" w:rsidRPr="00694EC8" w:rsidRDefault="00694EC8" w:rsidP="00694EC8">
      <w:pPr>
        <w:spacing w:line="312" w:lineRule="auto"/>
        <w:ind w:firstLine="0"/>
        <w:textAlignment w:val="baseline"/>
        <w:rPr>
          <w:rFonts w:eastAsia="Times New Roman"/>
          <w:color w:val="auto"/>
          <w:kern w:val="0"/>
          <w:szCs w:val="23"/>
          <w:lang w:eastAsia="es-CO"/>
          <w14:ligatures w14:val="none"/>
        </w:rPr>
      </w:pPr>
      <w:r w:rsidRPr="00694EC8">
        <w:rPr>
          <w:rFonts w:eastAsia="Times New Roman"/>
          <w:bCs/>
          <w:color w:val="auto"/>
          <w:kern w:val="0"/>
          <w:szCs w:val="23"/>
          <w:lang w:val="es-ES" w:eastAsia="es-CO"/>
          <w14:ligatures w14:val="none"/>
        </w:rPr>
        <w:t>Magistrada</w:t>
      </w:r>
    </w:p>
    <w:sectPr w:rsidR="00694EC8" w:rsidRPr="00694EC8" w:rsidSect="00942ECD">
      <w:headerReference w:type="default" r:id="rId15"/>
      <w:footerReference w:type="default" r:id="rId16"/>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A38E1D" w16cex:dateUtc="2023-12-11T13:21:05.09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86BA4" w14:textId="77777777" w:rsidR="00165A99" w:rsidRDefault="00165A99" w:rsidP="001802F4">
      <w:pPr>
        <w:spacing w:line="240" w:lineRule="auto"/>
      </w:pPr>
      <w:r>
        <w:separator/>
      </w:r>
    </w:p>
  </w:endnote>
  <w:endnote w:type="continuationSeparator" w:id="0">
    <w:p w14:paraId="77BAE461" w14:textId="77777777" w:rsidR="00165A99" w:rsidRDefault="00165A99" w:rsidP="00180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41097" w14:textId="451B2AB5" w:rsidR="001802F4" w:rsidRPr="00E57143" w:rsidRDefault="001802F4" w:rsidP="001802F4">
    <w:pPr>
      <w:pStyle w:val="Piedepgina"/>
      <w:pBdr>
        <w:top w:val="single" w:sz="18" w:space="1" w:color="0070C0"/>
      </w:pBdr>
      <w:tabs>
        <w:tab w:val="clear" w:pos="4419"/>
        <w:tab w:val="clear" w:pos="8838"/>
      </w:tabs>
      <w:ind w:left="1843" w:right="1843" w:firstLine="0"/>
      <w:jc w:val="center"/>
      <w:rPr>
        <w:i/>
        <w:iCs/>
        <w:sz w:val="18"/>
        <w:szCs w:val="16"/>
      </w:rPr>
    </w:pPr>
    <w:r w:rsidRPr="00E57143">
      <w:rPr>
        <w:i/>
        <w:iCs/>
        <w:sz w:val="18"/>
        <w:szCs w:val="16"/>
        <w:lang w:val="es-ES"/>
      </w:rPr>
      <w:t xml:space="preserve">Página </w:t>
    </w:r>
    <w:r w:rsidRPr="00E57143">
      <w:rPr>
        <w:bCs/>
        <w:i/>
        <w:iCs/>
        <w:sz w:val="18"/>
        <w:szCs w:val="16"/>
      </w:rPr>
      <w:fldChar w:fldCharType="begin"/>
    </w:r>
    <w:r w:rsidRPr="00E57143">
      <w:rPr>
        <w:bCs/>
        <w:i/>
        <w:iCs/>
        <w:sz w:val="18"/>
        <w:szCs w:val="16"/>
      </w:rPr>
      <w:instrText>PAGE  \* Arabic  \* MERGEFORMAT</w:instrText>
    </w:r>
    <w:r w:rsidRPr="00E57143">
      <w:rPr>
        <w:bCs/>
        <w:i/>
        <w:iCs/>
        <w:sz w:val="18"/>
        <w:szCs w:val="16"/>
      </w:rPr>
      <w:fldChar w:fldCharType="separate"/>
    </w:r>
    <w:r w:rsidR="007361B4">
      <w:rPr>
        <w:bCs/>
        <w:i/>
        <w:iCs/>
        <w:noProof/>
        <w:sz w:val="18"/>
        <w:szCs w:val="16"/>
      </w:rPr>
      <w:t>17</w:t>
    </w:r>
    <w:r w:rsidRPr="00E57143">
      <w:rPr>
        <w:bCs/>
        <w:i/>
        <w:iCs/>
        <w:sz w:val="18"/>
        <w:szCs w:val="16"/>
      </w:rPr>
      <w:fldChar w:fldCharType="end"/>
    </w:r>
    <w:r w:rsidRPr="00E57143">
      <w:rPr>
        <w:i/>
        <w:iCs/>
        <w:sz w:val="18"/>
        <w:szCs w:val="16"/>
        <w:lang w:val="es-ES"/>
      </w:rPr>
      <w:t xml:space="preserve"> de </w:t>
    </w:r>
    <w:r w:rsidRPr="00E57143">
      <w:rPr>
        <w:bCs/>
        <w:i/>
        <w:iCs/>
        <w:sz w:val="18"/>
        <w:szCs w:val="16"/>
      </w:rPr>
      <w:fldChar w:fldCharType="begin"/>
    </w:r>
    <w:r w:rsidRPr="00E57143">
      <w:rPr>
        <w:bCs/>
        <w:i/>
        <w:iCs/>
        <w:sz w:val="18"/>
        <w:szCs w:val="16"/>
      </w:rPr>
      <w:instrText>NUMPAGES  \* Arabic  \* MERGEFORMAT</w:instrText>
    </w:r>
    <w:r w:rsidRPr="00E57143">
      <w:rPr>
        <w:bCs/>
        <w:i/>
        <w:iCs/>
        <w:sz w:val="18"/>
        <w:szCs w:val="16"/>
      </w:rPr>
      <w:fldChar w:fldCharType="separate"/>
    </w:r>
    <w:r w:rsidR="007361B4">
      <w:rPr>
        <w:bCs/>
        <w:i/>
        <w:iCs/>
        <w:noProof/>
        <w:sz w:val="18"/>
        <w:szCs w:val="16"/>
      </w:rPr>
      <w:t>17</w:t>
    </w:r>
    <w:r w:rsidRPr="00E57143">
      <w:rPr>
        <w:bCs/>
        <w:i/>
        <w:iC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4C7F" w14:textId="77777777" w:rsidR="00165A99" w:rsidRDefault="00165A99" w:rsidP="001802F4">
      <w:pPr>
        <w:spacing w:line="240" w:lineRule="auto"/>
      </w:pPr>
      <w:r>
        <w:separator/>
      </w:r>
    </w:p>
  </w:footnote>
  <w:footnote w:type="continuationSeparator" w:id="0">
    <w:p w14:paraId="37E380CF" w14:textId="77777777" w:rsidR="00165A99" w:rsidRDefault="00165A99" w:rsidP="001802F4">
      <w:pPr>
        <w:spacing w:line="240" w:lineRule="auto"/>
      </w:pPr>
      <w:r>
        <w:continuationSeparator/>
      </w:r>
    </w:p>
  </w:footnote>
  <w:footnote w:id="1">
    <w:p w14:paraId="033F0C70" w14:textId="77777777" w:rsidR="009959C1" w:rsidRPr="00E57143" w:rsidRDefault="009959C1" w:rsidP="00E57143">
      <w:pPr>
        <w:pStyle w:val="Textonotapie"/>
        <w:ind w:firstLine="0"/>
        <w:rPr>
          <w:sz w:val="18"/>
        </w:rPr>
      </w:pPr>
      <w:r w:rsidRPr="00E57143">
        <w:rPr>
          <w:rStyle w:val="Refdenotaalpie"/>
          <w:sz w:val="18"/>
        </w:rPr>
        <w:footnoteRef/>
      </w:r>
      <w:r w:rsidRPr="00E57143">
        <w:rPr>
          <w:sz w:val="18"/>
        </w:rPr>
        <w:t xml:space="preserve"> M.P. Dr. Iván Mauricio Lenis Gómez</w:t>
      </w:r>
    </w:p>
  </w:footnote>
  <w:footnote w:id="2">
    <w:p w14:paraId="24CCCD9A" w14:textId="77777777" w:rsidR="009959C1" w:rsidRPr="00E57143" w:rsidRDefault="009959C1" w:rsidP="00E57143">
      <w:pPr>
        <w:widowControl w:val="0"/>
        <w:tabs>
          <w:tab w:val="left" w:pos="-720"/>
        </w:tabs>
        <w:suppressAutoHyphens/>
        <w:overflowPunct w:val="0"/>
        <w:autoSpaceDE w:val="0"/>
        <w:autoSpaceDN w:val="0"/>
        <w:adjustRightInd w:val="0"/>
        <w:spacing w:line="240" w:lineRule="auto"/>
        <w:ind w:firstLine="0"/>
        <w:rPr>
          <w:sz w:val="16"/>
          <w:szCs w:val="16"/>
        </w:rPr>
      </w:pPr>
      <w:r w:rsidRPr="00E57143">
        <w:rPr>
          <w:rStyle w:val="Refdenotaalpie"/>
          <w:sz w:val="18"/>
          <w:szCs w:val="16"/>
        </w:rPr>
        <w:footnoteRef/>
      </w:r>
      <w:r w:rsidRPr="00E57143">
        <w:rPr>
          <w:sz w:val="18"/>
          <w:szCs w:val="16"/>
        </w:rPr>
        <w:t xml:space="preserve"> CSJ Sentencia SL1688-2019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9C6D" w14:textId="27D10D40" w:rsidR="001802F4" w:rsidRPr="00A96415" w:rsidRDefault="00A96415" w:rsidP="00A96415">
    <w:pPr>
      <w:spacing w:line="240" w:lineRule="auto"/>
      <w:ind w:firstLine="0"/>
      <w:jc w:val="center"/>
      <w:rPr>
        <w:smallCaps/>
        <w:color w:val="595959"/>
        <w:sz w:val="18"/>
        <w:szCs w:val="16"/>
      </w:rPr>
    </w:pPr>
    <w:r w:rsidRPr="00A96415">
      <w:rPr>
        <w:bCs/>
        <w:smallCaps/>
        <w:color w:val="595959"/>
        <w:sz w:val="18"/>
        <w:szCs w:val="16"/>
      </w:rPr>
      <w:t xml:space="preserve">Beatriz Elena Bonilla </w:t>
    </w:r>
    <w:r w:rsidR="00E57143" w:rsidRPr="00A96415">
      <w:rPr>
        <w:bCs/>
        <w:smallCaps/>
        <w:color w:val="595959"/>
        <w:sz w:val="18"/>
        <w:szCs w:val="16"/>
      </w:rPr>
      <w:t>Martínez</w:t>
    </w:r>
    <w:r w:rsidRPr="00A96415">
      <w:rPr>
        <w:bCs/>
        <w:smallCaps/>
        <w:color w:val="595959"/>
        <w:sz w:val="18"/>
        <w:szCs w:val="16"/>
      </w:rPr>
      <w:t xml:space="preserve"> </w:t>
    </w:r>
    <w:r w:rsidRPr="00A96415">
      <w:rPr>
        <w:smallCaps/>
        <w:color w:val="595959"/>
        <w:sz w:val="18"/>
        <w:szCs w:val="16"/>
      </w:rPr>
      <w:t xml:space="preserve">Vs </w:t>
    </w:r>
  </w:p>
  <w:p w14:paraId="410A6C00" w14:textId="7617B637" w:rsidR="001802F4" w:rsidRPr="00A96415" w:rsidRDefault="00A96415" w:rsidP="00A96415">
    <w:pPr>
      <w:pBdr>
        <w:bottom w:val="single" w:sz="18" w:space="1" w:color="0070C0"/>
      </w:pBdr>
      <w:spacing w:line="240" w:lineRule="auto"/>
      <w:ind w:left="1843" w:right="1892" w:firstLine="0"/>
      <w:jc w:val="center"/>
      <w:rPr>
        <w:bCs/>
        <w:smallCaps/>
        <w:color w:val="595959"/>
        <w:sz w:val="18"/>
        <w:szCs w:val="16"/>
      </w:rPr>
    </w:pPr>
    <w:r w:rsidRPr="00A96415">
      <w:rPr>
        <w:bCs/>
        <w:smallCaps/>
        <w:color w:val="595959"/>
        <w:sz w:val="18"/>
        <w:szCs w:val="16"/>
      </w:rPr>
      <w:t>Colpensiones</w:t>
    </w:r>
    <w:r w:rsidR="001802F4" w:rsidRPr="00A96415">
      <w:rPr>
        <w:bCs/>
        <w:smallCaps/>
        <w:color w:val="595959"/>
        <w:sz w:val="18"/>
        <w:szCs w:val="16"/>
      </w:rPr>
      <w:t xml:space="preserve">, </w:t>
    </w:r>
    <w:r w:rsidR="00E57143" w:rsidRPr="00A96415">
      <w:rPr>
        <w:bCs/>
        <w:smallCaps/>
        <w:color w:val="595959"/>
        <w:sz w:val="18"/>
        <w:szCs w:val="16"/>
      </w:rPr>
      <w:t>Protección</w:t>
    </w:r>
    <w:r w:rsidRPr="00A96415">
      <w:rPr>
        <w:bCs/>
        <w:smallCaps/>
        <w:color w:val="595959"/>
        <w:sz w:val="18"/>
        <w:szCs w:val="16"/>
      </w:rPr>
      <w:t xml:space="preserve"> </w:t>
    </w:r>
    <w:r w:rsidR="001802F4" w:rsidRPr="00A96415">
      <w:rPr>
        <w:bCs/>
        <w:smallCaps/>
        <w:color w:val="595959"/>
        <w:sz w:val="18"/>
        <w:szCs w:val="16"/>
      </w:rPr>
      <w:t xml:space="preserve">S.A. </w:t>
    </w:r>
    <w:r w:rsidR="001802F4" w:rsidRPr="00A96415">
      <w:rPr>
        <w:smallCaps/>
        <w:color w:val="595959"/>
        <w:sz w:val="18"/>
        <w:szCs w:val="16"/>
      </w:rPr>
      <w:t>y</w:t>
    </w:r>
    <w:r w:rsidR="001802F4" w:rsidRPr="00A96415">
      <w:rPr>
        <w:bCs/>
        <w:smallCaps/>
        <w:color w:val="595959"/>
        <w:sz w:val="18"/>
        <w:szCs w:val="16"/>
      </w:rPr>
      <w:t xml:space="preserve"> </w:t>
    </w:r>
    <w:r w:rsidRPr="00A96415">
      <w:rPr>
        <w:bCs/>
        <w:smallCaps/>
        <w:color w:val="595959"/>
        <w:sz w:val="18"/>
        <w:szCs w:val="16"/>
      </w:rPr>
      <w:t xml:space="preserve">Colfondos </w:t>
    </w:r>
    <w:r w:rsidR="001802F4" w:rsidRPr="00A96415">
      <w:rPr>
        <w:bCs/>
        <w:smallCaps/>
        <w:color w:val="595959"/>
        <w:sz w:val="18"/>
        <w:szCs w:val="16"/>
      </w:rPr>
      <w:t>S.A.</w:t>
    </w:r>
  </w:p>
  <w:p w14:paraId="1669B669" w14:textId="22086A8E" w:rsidR="001802F4" w:rsidRPr="00A96415" w:rsidRDefault="001802F4" w:rsidP="00A96415">
    <w:pPr>
      <w:pBdr>
        <w:bottom w:val="single" w:sz="18" w:space="1" w:color="0070C0"/>
      </w:pBdr>
      <w:spacing w:line="240" w:lineRule="auto"/>
      <w:ind w:left="1843" w:right="1892" w:firstLine="0"/>
      <w:jc w:val="center"/>
      <w:rPr>
        <w:bCs/>
        <w:smallCaps/>
        <w:color w:val="595959"/>
        <w:sz w:val="18"/>
        <w:szCs w:val="16"/>
      </w:rPr>
    </w:pPr>
    <w:r w:rsidRPr="00A96415">
      <w:rPr>
        <w:smallCaps/>
        <w:color w:val="595959"/>
        <w:sz w:val="18"/>
        <w:szCs w:val="16"/>
      </w:rPr>
      <w:t xml:space="preserve">Radicado:  </w:t>
    </w:r>
    <w:r w:rsidRPr="00A96415">
      <w:rPr>
        <w:bCs/>
        <w:smallCaps/>
        <w:color w:val="595959"/>
        <w:sz w:val="18"/>
        <w:szCs w:val="16"/>
      </w:rPr>
      <w:t>66001310500420230007601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867"/>
    <w:multiLevelType w:val="hybridMultilevel"/>
    <w:tmpl w:val="2C2E5A7A"/>
    <w:lvl w:ilvl="0" w:tplc="F9DAD9FC">
      <w:start w:val="6"/>
      <w:numFmt w:val="bullet"/>
      <w:lvlText w:val="-"/>
      <w:lvlJc w:val="left"/>
      <w:pPr>
        <w:ind w:left="1069" w:hanging="360"/>
      </w:pPr>
      <w:rPr>
        <w:rFonts w:ascii="Bookman Old Style" w:eastAsiaTheme="minorHAnsi" w:hAnsi="Bookman Old Style" w:cs="Segoe UI"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3"/>
  </w:num>
  <w:num w:numId="2">
    <w:abstractNumId w:val="3"/>
  </w:num>
  <w:num w:numId="3">
    <w:abstractNumId w:val="3"/>
  </w:num>
  <w:num w:numId="4">
    <w:abstractNumId w:val="3"/>
  </w:num>
  <w:num w:numId="5">
    <w:abstractNumId w:val="7"/>
  </w:num>
  <w:num w:numId="6">
    <w:abstractNumId w:val="7"/>
  </w:num>
  <w:num w:numId="7">
    <w:abstractNumId w:val="7"/>
  </w:num>
  <w:num w:numId="8">
    <w:abstractNumId w:val="7"/>
  </w:num>
  <w:num w:numId="9">
    <w:abstractNumId w:val="6"/>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08"/>
    <w:rsid w:val="00030381"/>
    <w:rsid w:val="00051623"/>
    <w:rsid w:val="00051CBB"/>
    <w:rsid w:val="000603F2"/>
    <w:rsid w:val="000E2CCB"/>
    <w:rsid w:val="000F6DA8"/>
    <w:rsid w:val="00130B54"/>
    <w:rsid w:val="001363CA"/>
    <w:rsid w:val="00154C81"/>
    <w:rsid w:val="001563FD"/>
    <w:rsid w:val="00165A99"/>
    <w:rsid w:val="001802F4"/>
    <w:rsid w:val="00192101"/>
    <w:rsid w:val="001C280C"/>
    <w:rsid w:val="001D6565"/>
    <w:rsid w:val="002014E0"/>
    <w:rsid w:val="00205565"/>
    <w:rsid w:val="002455C6"/>
    <w:rsid w:val="0025208E"/>
    <w:rsid w:val="002A3293"/>
    <w:rsid w:val="002B1C41"/>
    <w:rsid w:val="002B1FA4"/>
    <w:rsid w:val="002C5E81"/>
    <w:rsid w:val="002E0B67"/>
    <w:rsid w:val="002F211C"/>
    <w:rsid w:val="002F2E60"/>
    <w:rsid w:val="00330548"/>
    <w:rsid w:val="00373185"/>
    <w:rsid w:val="00376E7D"/>
    <w:rsid w:val="003A64E4"/>
    <w:rsid w:val="00440E5C"/>
    <w:rsid w:val="004C20F7"/>
    <w:rsid w:val="004F3729"/>
    <w:rsid w:val="00505871"/>
    <w:rsid w:val="0053174C"/>
    <w:rsid w:val="00546882"/>
    <w:rsid w:val="005655B4"/>
    <w:rsid w:val="00571B9F"/>
    <w:rsid w:val="005B5103"/>
    <w:rsid w:val="005C5D59"/>
    <w:rsid w:val="005E0231"/>
    <w:rsid w:val="00600743"/>
    <w:rsid w:val="0062326B"/>
    <w:rsid w:val="00665265"/>
    <w:rsid w:val="00694ABB"/>
    <w:rsid w:val="00694EC8"/>
    <w:rsid w:val="006A5949"/>
    <w:rsid w:val="006D0EDB"/>
    <w:rsid w:val="007361B4"/>
    <w:rsid w:val="00762178"/>
    <w:rsid w:val="007734DC"/>
    <w:rsid w:val="00774B3A"/>
    <w:rsid w:val="007C3736"/>
    <w:rsid w:val="007E130D"/>
    <w:rsid w:val="007E43B1"/>
    <w:rsid w:val="00826911"/>
    <w:rsid w:val="00830E76"/>
    <w:rsid w:val="008538C9"/>
    <w:rsid w:val="008548ED"/>
    <w:rsid w:val="008C0708"/>
    <w:rsid w:val="00915021"/>
    <w:rsid w:val="00942ECD"/>
    <w:rsid w:val="00953EF5"/>
    <w:rsid w:val="009953E4"/>
    <w:rsid w:val="009959C1"/>
    <w:rsid w:val="009E3458"/>
    <w:rsid w:val="009E4304"/>
    <w:rsid w:val="009F5F1E"/>
    <w:rsid w:val="00A21FE0"/>
    <w:rsid w:val="00A7123F"/>
    <w:rsid w:val="00A74117"/>
    <w:rsid w:val="00A96415"/>
    <w:rsid w:val="00AC02EE"/>
    <w:rsid w:val="00AC68F1"/>
    <w:rsid w:val="00B52FF9"/>
    <w:rsid w:val="00BB1DE4"/>
    <w:rsid w:val="00BF3863"/>
    <w:rsid w:val="00C07339"/>
    <w:rsid w:val="00C24336"/>
    <w:rsid w:val="00C56147"/>
    <w:rsid w:val="00C6038E"/>
    <w:rsid w:val="00CA3DE8"/>
    <w:rsid w:val="00CB27F9"/>
    <w:rsid w:val="00CB4B87"/>
    <w:rsid w:val="00D0075A"/>
    <w:rsid w:val="00D1762A"/>
    <w:rsid w:val="00D34F67"/>
    <w:rsid w:val="00D519F5"/>
    <w:rsid w:val="00D70965"/>
    <w:rsid w:val="00D77AB8"/>
    <w:rsid w:val="00DD578B"/>
    <w:rsid w:val="00E124B7"/>
    <w:rsid w:val="00E44599"/>
    <w:rsid w:val="00E57143"/>
    <w:rsid w:val="00E63483"/>
    <w:rsid w:val="00E6705B"/>
    <w:rsid w:val="00E71D29"/>
    <w:rsid w:val="00F1327E"/>
    <w:rsid w:val="00F31157"/>
    <w:rsid w:val="00F544F4"/>
    <w:rsid w:val="00F967D6"/>
    <w:rsid w:val="00FA6890"/>
    <w:rsid w:val="00FF3FEE"/>
    <w:rsid w:val="00FF77CF"/>
    <w:rsid w:val="281C06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7DE3"/>
  <w15:chartTrackingRefBased/>
  <w15:docId w15:val="{E5943342-6C1E-40A4-A954-DC38D83B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E4"/>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8C0708"/>
    <w:rPr>
      <w:color w:val="F0532B" w:themeColor="hyperlink"/>
      <w:u w:val="single"/>
    </w:rPr>
  </w:style>
  <w:style w:type="table" w:styleId="Tablanormal5">
    <w:name w:val="Plain Table 5"/>
    <w:basedOn w:val="Tablanormal"/>
    <w:uiPriority w:val="45"/>
    <w:rsid w:val="008C070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Fuentedeprrafopredeter"/>
    <w:rsid w:val="008C0708"/>
  </w:style>
  <w:style w:type="paragraph" w:styleId="Prrafodelista">
    <w:name w:val="List Paragraph"/>
    <w:basedOn w:val="Normal"/>
    <w:link w:val="PrrafodelistaCar"/>
    <w:uiPriority w:val="34"/>
    <w:qFormat/>
    <w:rsid w:val="008C0708"/>
    <w:pPr>
      <w:ind w:left="720"/>
      <w:contextualSpacing/>
    </w:pPr>
    <w:rPr>
      <w:rFonts w:cstheme="minorBidi"/>
      <w:color w:val="auto"/>
      <w:kern w:val="0"/>
      <w14:ligatures w14:val="none"/>
    </w:rPr>
  </w:style>
  <w:style w:type="character" w:customStyle="1" w:styleId="PrrafodelistaCar">
    <w:name w:val="Párrafo de lista Car"/>
    <w:link w:val="Prrafodelista"/>
    <w:uiPriority w:val="34"/>
    <w:locked/>
    <w:rsid w:val="008C0708"/>
    <w:rPr>
      <w:rFonts w:cstheme="minorBidi"/>
      <w:color w:val="auto"/>
      <w:kern w:val="0"/>
      <w14:ligatures w14:val="none"/>
    </w:rPr>
  </w:style>
  <w:style w:type="character" w:styleId="Hipervnculovisitado">
    <w:name w:val="FollowedHyperlink"/>
    <w:basedOn w:val="Fuentedeprrafopredeter"/>
    <w:uiPriority w:val="99"/>
    <w:semiHidden/>
    <w:unhideWhenUsed/>
    <w:rsid w:val="008C0708"/>
    <w:rPr>
      <w:color w:val="F38B53" w:themeColor="followedHyperlink"/>
      <w:u w:val="single"/>
    </w:rPr>
  </w:style>
  <w:style w:type="paragraph" w:styleId="Encabezado">
    <w:name w:val="header"/>
    <w:basedOn w:val="Normal"/>
    <w:link w:val="EncabezadoCar"/>
    <w:uiPriority w:val="99"/>
    <w:unhideWhenUsed/>
    <w:rsid w:val="001802F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02F4"/>
  </w:style>
  <w:style w:type="paragraph" w:styleId="Piedepgina">
    <w:name w:val="footer"/>
    <w:basedOn w:val="Normal"/>
    <w:link w:val="PiedepginaCar"/>
    <w:uiPriority w:val="99"/>
    <w:unhideWhenUsed/>
    <w:rsid w:val="001802F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02F4"/>
  </w:style>
  <w:style w:type="character" w:styleId="Refdenotaalpie">
    <w:name w:val="footnote reference"/>
    <w:aliases w:val="Texto nota al pie,Pie de Página,FC,Texto de nota al pi,Pie de P_gi"/>
    <w:basedOn w:val="Fuentedeprrafopredeter"/>
    <w:link w:val="4GChar"/>
    <w:unhideWhenUsed/>
    <w:qFormat/>
    <w:rsid w:val="009959C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959C1"/>
    <w:pPr>
      <w:spacing w:line="240" w:lineRule="auto"/>
      <w:ind w:firstLine="0"/>
    </w:pPr>
    <w:rPr>
      <w:vertAlign w:val="superscript"/>
    </w:rPr>
  </w:style>
  <w:style w:type="paragraph" w:styleId="Textonotapie">
    <w:name w:val="footnote text"/>
    <w:basedOn w:val="Normal"/>
    <w:link w:val="TextonotapieCar"/>
    <w:uiPriority w:val="99"/>
    <w:semiHidden/>
    <w:unhideWhenUsed/>
    <w:rsid w:val="009959C1"/>
    <w:pPr>
      <w:spacing w:line="240" w:lineRule="auto"/>
    </w:pPr>
    <w:rPr>
      <w:rFonts w:cstheme="minorBidi"/>
      <w:color w:val="auto"/>
      <w:kern w:val="0"/>
      <w:sz w:val="20"/>
      <w:szCs w:val="20"/>
      <w14:ligatures w14:val="none"/>
    </w:rPr>
  </w:style>
  <w:style w:type="character" w:customStyle="1" w:styleId="TextonotapieCar">
    <w:name w:val="Texto nota pie Car"/>
    <w:basedOn w:val="Fuentedeprrafopredeter"/>
    <w:link w:val="Textonotapie"/>
    <w:uiPriority w:val="99"/>
    <w:semiHidden/>
    <w:rsid w:val="009959C1"/>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688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07c52830fc4e458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AF816-88BE-463D-93FD-8FBF06DB0A14}">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910E2998-58D3-476A-AC37-A27A41418BEF}">
  <ds:schemaRefs>
    <ds:schemaRef ds:uri="http://schemas.microsoft.com/sharepoint/v3/contenttype/forms"/>
  </ds:schemaRefs>
</ds:datastoreItem>
</file>

<file path=customXml/itemProps3.xml><?xml version="1.0" encoding="utf-8"?>
<ds:datastoreItem xmlns:ds="http://schemas.openxmlformats.org/officeDocument/2006/customXml" ds:itemID="{972BB28C-8ABA-445F-B0BE-A2DB5F461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3762A-0ACC-4C67-AD8F-A893F806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7214</Words>
  <Characters>41121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INEFICACIA</vt:lpstr>
    </vt:vector>
  </TitlesOfParts>
  <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INEFICACIA</dc:title>
  <dc:subject>Beatriz Elena Bonilla Martinez</dc:subject>
  <dc:creator>lpeg</dc:creator>
  <cp:keywords/>
  <dc:description/>
  <cp:lastModifiedBy>samsung</cp:lastModifiedBy>
  <cp:revision>7</cp:revision>
  <dcterms:created xsi:type="dcterms:W3CDTF">2023-12-12T18:44:00Z</dcterms:created>
  <dcterms:modified xsi:type="dcterms:W3CDTF">2024-02-15T22:03:00Z</dcterms:modified>
  <cp:category>SEGURIDAD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