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2C529" w14:textId="77777777" w:rsidR="005056A0" w:rsidRPr="00F721EF" w:rsidRDefault="005056A0" w:rsidP="005056A0">
      <w:pPr>
        <w:spacing w:line="240" w:lineRule="auto"/>
        <w:ind w:firstLine="0"/>
        <w:contextualSpacing/>
        <w:rPr>
          <w:rFonts w:eastAsia="Calibri" w:cs="Arial"/>
          <w:b/>
          <w:sz w:val="20"/>
          <w:szCs w:val="22"/>
          <w:lang w:val="es-ES"/>
        </w:rPr>
      </w:pPr>
      <w:r>
        <w:fldChar w:fldCharType="begin"/>
      </w:r>
      <w:r>
        <w:instrText xml:space="preserve"> HYPERLINK "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w:instrText>
      </w:r>
      <w:r>
        <w:fldChar w:fldCharType="separate"/>
      </w:r>
      <w:r w:rsidRPr="00F721EF">
        <w:rPr>
          <w:rFonts w:eastAsia="Calibri" w:cs="Arial"/>
          <w:b/>
          <w:sz w:val="20"/>
          <w:szCs w:val="22"/>
        </w:rPr>
        <w:t>INEFICACIA TRASLADO DE RÉGIMEN / DEBERES DE LAS AFP / GESTIONAR LOS INTERESES DE SUS AFILIADOS</w:t>
      </w:r>
      <w:r>
        <w:rPr>
          <w:rFonts w:eastAsia="Calibri" w:cs="Arial"/>
          <w:b/>
          <w:sz w:val="20"/>
          <w:szCs w:val="22"/>
        </w:rPr>
        <w:fldChar w:fldCharType="end"/>
      </w:r>
    </w:p>
    <w:p w14:paraId="2F227CDA" w14:textId="77777777" w:rsidR="005056A0" w:rsidRPr="00F721EF" w:rsidRDefault="005056A0" w:rsidP="005056A0">
      <w:pPr>
        <w:spacing w:line="240" w:lineRule="auto"/>
        <w:ind w:firstLine="0"/>
        <w:contextualSpacing/>
        <w:rPr>
          <w:rFonts w:eastAsia="Calibri" w:cs="Arial"/>
          <w:sz w:val="20"/>
          <w:szCs w:val="22"/>
        </w:rPr>
      </w:pPr>
      <w:r w:rsidRPr="00F721EF">
        <w:rPr>
          <w:rFonts w:eastAsia="Calibri" w:cs="Arial"/>
          <w:sz w:val="20"/>
          <w:szCs w:val="22"/>
        </w:rPr>
        <w:t xml:space="preserve">… es de advertir que, cuando se pretende por vía judicial la ineficacia del traslado de un afiliado del RPM al </w:t>
      </w:r>
      <w:proofErr w:type="spellStart"/>
      <w:r w:rsidRPr="00F721EF">
        <w:rPr>
          <w:rFonts w:eastAsia="Calibri" w:cs="Arial"/>
          <w:sz w:val="20"/>
          <w:szCs w:val="22"/>
        </w:rPr>
        <w:t>RAIS</w:t>
      </w:r>
      <w:proofErr w:type="spellEnd"/>
      <w:r w:rsidRPr="00F721EF">
        <w:rPr>
          <w:rFonts w:eastAsia="Calibri" w:cs="Arial"/>
          <w:sz w:val="20"/>
          <w:szCs w:val="22"/>
        </w:rPr>
        <w:t>,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591C918F" w14:textId="77777777" w:rsidR="005056A0" w:rsidRPr="00F721EF" w:rsidRDefault="005056A0" w:rsidP="005056A0">
      <w:pPr>
        <w:spacing w:line="240" w:lineRule="auto"/>
        <w:ind w:firstLine="0"/>
        <w:contextualSpacing/>
        <w:rPr>
          <w:rFonts w:eastAsia="Calibri" w:cs="Arial"/>
          <w:sz w:val="20"/>
          <w:szCs w:val="22"/>
        </w:rPr>
      </w:pPr>
    </w:p>
    <w:p w14:paraId="3808F709" w14:textId="77777777" w:rsidR="005056A0" w:rsidRPr="00F721EF" w:rsidRDefault="005056A0" w:rsidP="005056A0">
      <w:pPr>
        <w:spacing w:line="240" w:lineRule="auto"/>
        <w:ind w:firstLine="0"/>
        <w:contextualSpacing/>
        <w:rPr>
          <w:rFonts w:eastAsia="Calibri" w:cs="Arial"/>
          <w:b/>
          <w:sz w:val="20"/>
          <w:szCs w:val="22"/>
        </w:rPr>
      </w:pPr>
      <w:hyperlink r:id="rId11" w:history="1">
        <w:r w:rsidRPr="00F721EF">
          <w:rPr>
            <w:rFonts w:eastAsia="Calibri" w:cs="Arial"/>
            <w:b/>
            <w:sz w:val="20"/>
            <w:szCs w:val="22"/>
          </w:rPr>
          <w:t>INEFICACIA TRASLADO DE RÉGIMEN / OBLIGACIÓN AFP / SUMINISTRAR INFORMACIÓN COMPLETA Y COMPRENSIBLE</w:t>
        </w:r>
      </w:hyperlink>
    </w:p>
    <w:p w14:paraId="4AF9F72D" w14:textId="77777777" w:rsidR="005056A0" w:rsidRPr="00F721EF" w:rsidRDefault="005056A0" w:rsidP="005056A0">
      <w:pPr>
        <w:spacing w:line="240" w:lineRule="auto"/>
        <w:ind w:firstLine="0"/>
        <w:contextualSpacing/>
        <w:rPr>
          <w:rFonts w:eastAsia="Calibri" w:cs="Arial"/>
          <w:sz w:val="20"/>
          <w:szCs w:val="22"/>
        </w:rPr>
      </w:pPr>
      <w:r w:rsidRPr="00F721EF">
        <w:rPr>
          <w:rFonts w:eastAsia="Calibri" w:cs="Arial"/>
          <w:sz w:val="20"/>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p>
    <w:p w14:paraId="728C4A31" w14:textId="77777777" w:rsidR="005056A0" w:rsidRPr="00F721EF" w:rsidRDefault="005056A0" w:rsidP="005056A0">
      <w:pPr>
        <w:spacing w:line="240" w:lineRule="auto"/>
        <w:ind w:firstLine="0"/>
        <w:contextualSpacing/>
        <w:rPr>
          <w:rFonts w:eastAsia="Calibri" w:cs="Arial"/>
          <w:sz w:val="20"/>
          <w:szCs w:val="22"/>
        </w:rPr>
      </w:pPr>
    </w:p>
    <w:p w14:paraId="0B0739A2" w14:textId="77777777" w:rsidR="005056A0" w:rsidRPr="00F721EF" w:rsidRDefault="005056A0" w:rsidP="005056A0">
      <w:pPr>
        <w:spacing w:line="240" w:lineRule="auto"/>
        <w:ind w:firstLine="0"/>
        <w:contextualSpacing/>
        <w:rPr>
          <w:rFonts w:eastAsia="Calibri" w:cs="Arial"/>
          <w:b/>
          <w:sz w:val="20"/>
          <w:szCs w:val="22"/>
          <w:lang w:val="es-ES"/>
        </w:rPr>
      </w:pPr>
      <w:hyperlink r:id="rId12" w:history="1">
        <w:r w:rsidRPr="00F721EF">
          <w:rPr>
            <w:rFonts w:eastAsia="Calibri" w:cs="Arial"/>
            <w:b/>
            <w:sz w:val="20"/>
            <w:szCs w:val="22"/>
          </w:rPr>
          <w:t>INEFICACIA TRASLADO DE RÉGIMEN / CARGA PROBATORIA DE LAS AFP / DEMOSTRAR QUE CUMPLIERON DEBER</w:t>
        </w:r>
      </w:hyperlink>
      <w:r w:rsidRPr="00F721EF">
        <w:rPr>
          <w:rFonts w:eastAsia="Calibri" w:cs="Arial"/>
          <w:b/>
          <w:sz w:val="20"/>
          <w:szCs w:val="22"/>
        </w:rPr>
        <w:t xml:space="preserve"> EL DEBER DE INFORMACIÓN</w:t>
      </w:r>
    </w:p>
    <w:p w14:paraId="2F3AAAD5" w14:textId="77777777" w:rsidR="005056A0" w:rsidRPr="00F721EF" w:rsidRDefault="005056A0" w:rsidP="005056A0">
      <w:pPr>
        <w:spacing w:line="240" w:lineRule="auto"/>
        <w:ind w:firstLine="0"/>
        <w:contextualSpacing/>
        <w:rPr>
          <w:rFonts w:eastAsia="Calibri" w:cs="Arial"/>
          <w:sz w:val="22"/>
          <w:szCs w:val="22"/>
        </w:rPr>
      </w:pPr>
      <w:r w:rsidRPr="00F721EF">
        <w:rPr>
          <w:rFonts w:eastAsia="Calibri" w:cs="Arial"/>
          <w:sz w:val="20"/>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78B882F2" w14:textId="77777777" w:rsidR="005056A0" w:rsidRPr="00FB29B9" w:rsidRDefault="005056A0" w:rsidP="005056A0">
      <w:pPr>
        <w:spacing w:line="240" w:lineRule="auto"/>
        <w:ind w:firstLine="0"/>
        <w:rPr>
          <w:rFonts w:cs="Arial"/>
          <w:sz w:val="20"/>
        </w:rPr>
      </w:pPr>
    </w:p>
    <w:p w14:paraId="59846863" w14:textId="77777777" w:rsidR="005056A0" w:rsidRPr="00FB29B9" w:rsidRDefault="005056A0" w:rsidP="005056A0">
      <w:pPr>
        <w:spacing w:line="240" w:lineRule="auto"/>
        <w:ind w:firstLine="0"/>
        <w:rPr>
          <w:rFonts w:cs="Arial"/>
          <w:sz w:val="20"/>
        </w:rPr>
      </w:pPr>
    </w:p>
    <w:p w14:paraId="47A57C26" w14:textId="77777777" w:rsidR="005056A0" w:rsidRPr="00FB29B9" w:rsidRDefault="005056A0" w:rsidP="005056A0">
      <w:pPr>
        <w:spacing w:line="240" w:lineRule="auto"/>
        <w:ind w:firstLine="0"/>
        <w:rPr>
          <w:rFonts w:cs="Arial"/>
          <w:sz w:val="20"/>
        </w:rPr>
      </w:pPr>
    </w:p>
    <w:p w14:paraId="639B7792" w14:textId="77777777" w:rsidR="004E4013" w:rsidRPr="004E4013" w:rsidRDefault="004E4013" w:rsidP="004E4013">
      <w:pPr>
        <w:spacing w:line="240" w:lineRule="auto"/>
        <w:ind w:firstLine="0"/>
        <w:jc w:val="center"/>
        <w:rPr>
          <w:rFonts w:ascii="Bookman Old Style" w:eastAsia="Calibri" w:hAnsi="Bookman Old Style" w:cs="Arial"/>
          <w:b/>
        </w:rPr>
      </w:pPr>
      <w:r w:rsidRPr="004E4013">
        <w:rPr>
          <w:rFonts w:ascii="Bookman Old Style" w:eastAsia="Calibri" w:hAnsi="Bookman Old Style" w:cs="Arial"/>
          <w:b/>
        </w:rPr>
        <w:t xml:space="preserve">REPUBLICA DE COLOMBIA </w:t>
      </w:r>
    </w:p>
    <w:p w14:paraId="5E4709F5" w14:textId="77777777" w:rsidR="004E4013" w:rsidRPr="004E4013" w:rsidRDefault="004E4013" w:rsidP="004E4013">
      <w:pPr>
        <w:spacing w:line="240" w:lineRule="auto"/>
        <w:ind w:firstLine="0"/>
        <w:jc w:val="center"/>
        <w:rPr>
          <w:rFonts w:ascii="Bookman Old Style" w:eastAsia="Calibri" w:hAnsi="Bookman Old Style" w:cs="Arial"/>
          <w:b/>
        </w:rPr>
      </w:pPr>
      <w:r w:rsidRPr="004E4013">
        <w:rPr>
          <w:rFonts w:ascii="Bookman Old Style" w:eastAsia="Calibri" w:hAnsi="Bookman Old Style" w:cs="Arial"/>
          <w:b/>
        </w:rPr>
        <w:t>RAMA JUDICIAL DEL PODER PÚBLICO</w:t>
      </w:r>
    </w:p>
    <w:p w14:paraId="6655E7C0" w14:textId="77777777" w:rsidR="004E4013" w:rsidRPr="004E4013" w:rsidRDefault="004E4013" w:rsidP="004E4013">
      <w:pPr>
        <w:spacing w:line="240" w:lineRule="auto"/>
        <w:ind w:firstLine="0"/>
        <w:jc w:val="center"/>
        <w:rPr>
          <w:rFonts w:ascii="Bookman Old Style" w:eastAsia="Calibri" w:hAnsi="Bookman Old Style" w:cs="Arial"/>
          <w:b/>
        </w:rPr>
      </w:pPr>
      <w:r w:rsidRPr="004E4013">
        <w:rPr>
          <w:rFonts w:ascii="Bookman Old Style" w:eastAsia="Calibri" w:hAnsi="Bookman Old Style" w:cs="Arial"/>
          <w:noProof/>
          <w:lang w:val="en-US"/>
        </w:rPr>
        <w:drawing>
          <wp:inline distT="0" distB="0" distL="0" distR="0" wp14:anchorId="539AD0BF" wp14:editId="75470AF2">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08A8923C" w14:textId="77777777" w:rsidR="004E4013" w:rsidRPr="004E4013" w:rsidRDefault="004E4013" w:rsidP="004E4013">
      <w:pPr>
        <w:spacing w:line="240" w:lineRule="auto"/>
        <w:ind w:firstLine="0"/>
        <w:jc w:val="center"/>
        <w:rPr>
          <w:rFonts w:ascii="Bookman Old Style" w:eastAsia="Calibri" w:hAnsi="Bookman Old Style" w:cs="Arial"/>
          <w:b/>
        </w:rPr>
      </w:pPr>
      <w:r w:rsidRPr="004E4013">
        <w:rPr>
          <w:rFonts w:ascii="Bookman Old Style" w:eastAsia="Calibri" w:hAnsi="Bookman Old Style" w:cs="Arial"/>
          <w:b/>
        </w:rPr>
        <w:t>TRIBUNAL SUPERIOR DEL DISTRITO JUDICIAL DE PEREIRA</w:t>
      </w:r>
    </w:p>
    <w:p w14:paraId="45FEC756" w14:textId="77777777" w:rsidR="004E4013" w:rsidRPr="004E4013" w:rsidRDefault="004E4013" w:rsidP="004E4013">
      <w:pPr>
        <w:spacing w:line="240" w:lineRule="auto"/>
        <w:ind w:firstLine="0"/>
        <w:jc w:val="center"/>
        <w:rPr>
          <w:rFonts w:ascii="Bookman Old Style" w:eastAsia="Calibri" w:hAnsi="Bookman Old Style" w:cs="Arial"/>
          <w:b/>
        </w:rPr>
      </w:pPr>
      <w:r w:rsidRPr="004E4013">
        <w:rPr>
          <w:rFonts w:ascii="Bookman Old Style" w:eastAsia="Calibri" w:hAnsi="Bookman Old Style" w:cs="Arial"/>
          <w:b/>
        </w:rPr>
        <w:t>SALA DE DECISIÓN LABORAL</w:t>
      </w:r>
    </w:p>
    <w:p w14:paraId="5A320947" w14:textId="77777777" w:rsidR="004E4013" w:rsidRPr="004E4013" w:rsidRDefault="004E4013" w:rsidP="004E4013">
      <w:pPr>
        <w:spacing w:line="240" w:lineRule="auto"/>
        <w:ind w:firstLine="0"/>
        <w:jc w:val="center"/>
        <w:rPr>
          <w:rFonts w:ascii="Bookman Old Style" w:eastAsia="Calibri" w:hAnsi="Bookman Old Style" w:cs="Arial"/>
          <w:b/>
        </w:rPr>
      </w:pPr>
    </w:p>
    <w:p w14:paraId="4C9ADD3B" w14:textId="77777777" w:rsidR="004E4013" w:rsidRPr="004E4013" w:rsidRDefault="004E4013" w:rsidP="004E4013">
      <w:pPr>
        <w:spacing w:line="240" w:lineRule="auto"/>
        <w:ind w:firstLine="0"/>
        <w:jc w:val="center"/>
        <w:rPr>
          <w:rFonts w:ascii="Bookman Old Style" w:eastAsia="Calibri" w:hAnsi="Bookman Old Style" w:cs="Arial"/>
          <w:b/>
        </w:rPr>
      </w:pPr>
      <w:r w:rsidRPr="004E4013">
        <w:rPr>
          <w:rFonts w:ascii="Bookman Old Style" w:eastAsia="Calibri" w:hAnsi="Bookman Old Style" w:cs="Arial"/>
          <w:b/>
        </w:rPr>
        <w:t xml:space="preserve">GERMÁN DARÍO </w:t>
      </w:r>
      <w:proofErr w:type="spellStart"/>
      <w:r w:rsidRPr="004E4013">
        <w:rPr>
          <w:rFonts w:ascii="Bookman Old Style" w:eastAsia="Calibri" w:hAnsi="Bookman Old Style" w:cs="Arial"/>
          <w:b/>
        </w:rPr>
        <w:t>GÓEZ</w:t>
      </w:r>
      <w:proofErr w:type="spellEnd"/>
      <w:r w:rsidRPr="004E4013">
        <w:rPr>
          <w:rFonts w:ascii="Bookman Old Style" w:eastAsia="Calibri" w:hAnsi="Bookman Old Style" w:cs="Arial"/>
          <w:b/>
        </w:rPr>
        <w:t xml:space="preserve"> </w:t>
      </w:r>
      <w:proofErr w:type="spellStart"/>
      <w:r w:rsidRPr="004E4013">
        <w:rPr>
          <w:rFonts w:ascii="Bookman Old Style" w:eastAsia="Calibri" w:hAnsi="Bookman Old Style" w:cs="Arial"/>
          <w:b/>
        </w:rPr>
        <w:t>VINASCO</w:t>
      </w:r>
      <w:proofErr w:type="spellEnd"/>
    </w:p>
    <w:p w14:paraId="6C26049C" w14:textId="77777777" w:rsidR="004E4013" w:rsidRPr="004E4013" w:rsidRDefault="004E4013" w:rsidP="004E4013">
      <w:pPr>
        <w:spacing w:line="240" w:lineRule="auto"/>
        <w:ind w:firstLine="0"/>
        <w:jc w:val="center"/>
        <w:rPr>
          <w:rFonts w:ascii="Bookman Old Style" w:eastAsia="Calibri" w:hAnsi="Bookman Old Style" w:cs="Arial"/>
          <w:b/>
        </w:rPr>
      </w:pPr>
      <w:r w:rsidRPr="004E4013">
        <w:rPr>
          <w:rFonts w:ascii="Bookman Old Style" w:eastAsia="Calibri" w:hAnsi="Bookman Old Style" w:cs="Arial"/>
        </w:rPr>
        <w:t>Magistrado Ponente</w:t>
      </w:r>
    </w:p>
    <w:p w14:paraId="098BCF42" w14:textId="77777777" w:rsidR="004E4013" w:rsidRPr="004E4013" w:rsidRDefault="004E4013" w:rsidP="004E4013">
      <w:pPr>
        <w:spacing w:line="276" w:lineRule="auto"/>
        <w:ind w:firstLine="0"/>
        <w:rPr>
          <w:rFonts w:ascii="Bookman Old Style" w:eastAsia="Calibri" w:hAnsi="Bookman Old Style"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1"/>
        <w:gridCol w:w="7028"/>
      </w:tblGrid>
      <w:tr w:rsidR="003073FB" w:rsidRPr="004E4013" w14:paraId="70B43AF3" w14:textId="77777777" w:rsidTr="00141646">
        <w:tc>
          <w:tcPr>
            <w:tcW w:w="1121" w:type="pct"/>
            <w:shd w:val="clear" w:color="000000" w:fill="FFFFFF"/>
          </w:tcPr>
          <w:p w14:paraId="38A00487" w14:textId="77777777" w:rsidR="003073FB" w:rsidRPr="00C54280" w:rsidRDefault="003073FB"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hAnsi="Bookman Old Style" w:cs="Arial"/>
                <w:bCs/>
                <w:sz w:val="22"/>
                <w:lang w:eastAsia="es-ES"/>
              </w:rPr>
              <w:t>Proceso:</w:t>
            </w:r>
          </w:p>
        </w:tc>
        <w:tc>
          <w:tcPr>
            <w:tcW w:w="3879" w:type="pct"/>
            <w:shd w:val="clear" w:color="000000" w:fill="FFFFFF"/>
            <w:vAlign w:val="center"/>
            <w:hideMark/>
          </w:tcPr>
          <w:p w14:paraId="6DDA7480" w14:textId="77777777" w:rsidR="003073FB" w:rsidRPr="00C54280" w:rsidRDefault="003073FB"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eastAsia="Times New Roman" w:hAnsi="Bookman Old Style" w:cs="Arial"/>
                <w:color w:val="000000"/>
                <w:sz w:val="22"/>
                <w:lang w:val="es-ES_tradnl" w:eastAsia="es-CO"/>
              </w:rPr>
              <w:t>Ordinario Laboral</w:t>
            </w:r>
          </w:p>
        </w:tc>
      </w:tr>
      <w:tr w:rsidR="003073FB" w:rsidRPr="004E4013" w14:paraId="4BBBDC7E" w14:textId="77777777" w:rsidTr="00141646">
        <w:tc>
          <w:tcPr>
            <w:tcW w:w="1121" w:type="pct"/>
            <w:shd w:val="clear" w:color="000000" w:fill="FFFFFF"/>
          </w:tcPr>
          <w:p w14:paraId="4D465E35" w14:textId="77777777" w:rsidR="003073FB" w:rsidRPr="00C54280" w:rsidRDefault="003073FB"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hAnsi="Bookman Old Style" w:cs="Arial"/>
                <w:bCs/>
                <w:sz w:val="22"/>
                <w:lang w:eastAsia="es-ES"/>
              </w:rPr>
              <w:t>Radicado:</w:t>
            </w:r>
          </w:p>
        </w:tc>
        <w:tc>
          <w:tcPr>
            <w:tcW w:w="3879" w:type="pct"/>
            <w:shd w:val="clear" w:color="000000" w:fill="FFFFFF"/>
            <w:vAlign w:val="center"/>
          </w:tcPr>
          <w:p w14:paraId="1F9900AE" w14:textId="6B01D76C" w:rsidR="003073FB" w:rsidRPr="00C54280" w:rsidRDefault="00321384" w:rsidP="004E4013">
            <w:pPr>
              <w:spacing w:line="240" w:lineRule="auto"/>
              <w:ind w:firstLine="0"/>
              <w:jc w:val="left"/>
              <w:rPr>
                <w:rFonts w:ascii="Bookman Old Style" w:eastAsia="Times New Roman" w:hAnsi="Bookman Old Style" w:cs="Arial"/>
                <w:sz w:val="22"/>
                <w:lang w:eastAsia="es-CO"/>
              </w:rPr>
            </w:pPr>
            <w:r w:rsidRPr="00C54280">
              <w:rPr>
                <w:rFonts w:ascii="Bookman Old Style" w:eastAsia="Times New Roman" w:hAnsi="Bookman Old Style" w:cs="Arial"/>
                <w:sz w:val="22"/>
                <w:lang w:eastAsia="es-CO"/>
              </w:rPr>
              <w:t>66001310500520210043001</w:t>
            </w:r>
          </w:p>
        </w:tc>
      </w:tr>
      <w:tr w:rsidR="003073FB" w:rsidRPr="004E4013" w14:paraId="46E0C80B" w14:textId="77777777" w:rsidTr="00141646">
        <w:tc>
          <w:tcPr>
            <w:tcW w:w="1121" w:type="pct"/>
            <w:shd w:val="clear" w:color="000000" w:fill="FFFFFF"/>
          </w:tcPr>
          <w:p w14:paraId="010699FB" w14:textId="77777777" w:rsidR="003073FB" w:rsidRPr="00C54280" w:rsidRDefault="003073FB"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hAnsi="Bookman Old Style" w:cs="Arial"/>
                <w:bCs/>
                <w:sz w:val="22"/>
                <w:lang w:eastAsia="es-ES"/>
              </w:rPr>
              <w:t>Demandante:</w:t>
            </w:r>
          </w:p>
        </w:tc>
        <w:tc>
          <w:tcPr>
            <w:tcW w:w="3879" w:type="pct"/>
            <w:shd w:val="clear" w:color="000000" w:fill="FFFFFF"/>
            <w:vAlign w:val="center"/>
          </w:tcPr>
          <w:p w14:paraId="754DDB3E" w14:textId="4F5B428B" w:rsidR="003073FB" w:rsidRPr="00C54280" w:rsidRDefault="00C54280" w:rsidP="004E4013">
            <w:pPr>
              <w:spacing w:line="240" w:lineRule="auto"/>
              <w:ind w:firstLine="0"/>
              <w:jc w:val="left"/>
              <w:rPr>
                <w:rFonts w:ascii="Bookman Old Style" w:eastAsia="Times New Roman" w:hAnsi="Bookman Old Style" w:cs="Arial"/>
                <w:sz w:val="22"/>
                <w:lang w:eastAsia="es-CO"/>
              </w:rPr>
            </w:pPr>
            <w:r w:rsidRPr="00C54280">
              <w:rPr>
                <w:rFonts w:ascii="Bookman Old Style" w:eastAsia="Times New Roman" w:hAnsi="Bookman Old Style" w:cs="Arial"/>
                <w:noProof/>
                <w:sz w:val="22"/>
                <w:lang w:eastAsia="es-CO"/>
              </w:rPr>
              <w:t>Martha Cecilia Betancurt Pérez</w:t>
            </w:r>
          </w:p>
        </w:tc>
      </w:tr>
      <w:tr w:rsidR="003073FB" w:rsidRPr="004E4013" w14:paraId="4940F96F" w14:textId="77777777" w:rsidTr="00141646">
        <w:tc>
          <w:tcPr>
            <w:tcW w:w="1121" w:type="pct"/>
            <w:shd w:val="clear" w:color="000000" w:fill="FFFFFF"/>
          </w:tcPr>
          <w:p w14:paraId="38673061" w14:textId="77777777" w:rsidR="003073FB" w:rsidRPr="00C54280" w:rsidRDefault="003073FB"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hAnsi="Bookman Old Style" w:cs="Arial"/>
                <w:bCs/>
                <w:sz w:val="22"/>
                <w:lang w:eastAsia="es-ES"/>
              </w:rPr>
              <w:t>Demandado:</w:t>
            </w:r>
          </w:p>
        </w:tc>
        <w:tc>
          <w:tcPr>
            <w:tcW w:w="3879" w:type="pct"/>
            <w:shd w:val="clear" w:color="000000" w:fill="FFFFFF"/>
            <w:vAlign w:val="center"/>
          </w:tcPr>
          <w:p w14:paraId="69B7BFAB" w14:textId="1C0566EF" w:rsidR="003073FB" w:rsidRPr="00C54280" w:rsidRDefault="00C54280" w:rsidP="004E4013">
            <w:pPr>
              <w:spacing w:line="240" w:lineRule="auto"/>
              <w:ind w:firstLine="0"/>
              <w:jc w:val="left"/>
              <w:rPr>
                <w:rFonts w:ascii="Bookman Old Style" w:eastAsia="Times New Roman" w:hAnsi="Bookman Old Style" w:cs="Arial"/>
                <w:sz w:val="22"/>
                <w:lang w:eastAsia="es-CO"/>
              </w:rPr>
            </w:pPr>
            <w:r w:rsidRPr="00C54280">
              <w:rPr>
                <w:rFonts w:ascii="Bookman Old Style" w:eastAsia="Times New Roman" w:hAnsi="Bookman Old Style" w:cs="Arial"/>
                <w:noProof/>
                <w:sz w:val="22"/>
                <w:lang w:eastAsia="es-CO"/>
              </w:rPr>
              <w:t xml:space="preserve">Colpensiones y Protección </w:t>
            </w:r>
            <w:r w:rsidR="00937F8C" w:rsidRPr="00C54280">
              <w:rPr>
                <w:rFonts w:ascii="Bookman Old Style" w:eastAsia="Times New Roman" w:hAnsi="Bookman Old Style" w:cs="Arial"/>
                <w:noProof/>
                <w:sz w:val="22"/>
                <w:lang w:eastAsia="es-CO"/>
              </w:rPr>
              <w:t>S.A.</w:t>
            </w:r>
          </w:p>
        </w:tc>
      </w:tr>
      <w:tr w:rsidR="003073FB" w:rsidRPr="004E4013" w14:paraId="7D1AC974" w14:textId="77777777" w:rsidTr="00141646">
        <w:tc>
          <w:tcPr>
            <w:tcW w:w="1121" w:type="pct"/>
            <w:shd w:val="clear" w:color="000000" w:fill="FFFFFF"/>
          </w:tcPr>
          <w:p w14:paraId="5CADE9E5" w14:textId="77777777" w:rsidR="003073FB" w:rsidRPr="00C54280" w:rsidRDefault="003073FB"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hAnsi="Bookman Old Style" w:cs="Arial"/>
                <w:bCs/>
                <w:sz w:val="22"/>
                <w:lang w:eastAsia="es-ES"/>
              </w:rPr>
              <w:t>Asunto:</w:t>
            </w:r>
          </w:p>
        </w:tc>
        <w:tc>
          <w:tcPr>
            <w:tcW w:w="3879" w:type="pct"/>
            <w:shd w:val="clear" w:color="000000" w:fill="FFFFFF"/>
            <w:hideMark/>
          </w:tcPr>
          <w:p w14:paraId="16F2D67A" w14:textId="087E656A" w:rsidR="003073FB" w:rsidRPr="00C54280" w:rsidRDefault="003073FB"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hAnsi="Bookman Old Style" w:cs="Arial"/>
                <w:sz w:val="22"/>
                <w:lang w:eastAsia="es-CO"/>
              </w:rPr>
              <w:t>Apelación y Consulta Sentencia (</w:t>
            </w:r>
            <w:r w:rsidR="00321384" w:rsidRPr="00C54280">
              <w:rPr>
                <w:rFonts w:ascii="Bookman Old Style" w:hAnsi="Bookman Old Style" w:cs="Arial"/>
                <w:sz w:val="22"/>
                <w:lang w:eastAsia="es-CO"/>
              </w:rPr>
              <w:t>14</w:t>
            </w:r>
            <w:r w:rsidR="00937F8C" w:rsidRPr="00C54280">
              <w:rPr>
                <w:rFonts w:ascii="Bookman Old Style" w:hAnsi="Bookman Old Style" w:cs="Arial"/>
                <w:sz w:val="22"/>
                <w:lang w:eastAsia="es-CO"/>
              </w:rPr>
              <w:t xml:space="preserve"> de </w:t>
            </w:r>
            <w:r w:rsidR="00321384" w:rsidRPr="00C54280">
              <w:rPr>
                <w:rFonts w:ascii="Bookman Old Style" w:hAnsi="Bookman Old Style" w:cs="Arial"/>
                <w:sz w:val="22"/>
                <w:lang w:eastAsia="es-CO"/>
              </w:rPr>
              <w:t>agosto</w:t>
            </w:r>
            <w:r w:rsidR="00937F8C" w:rsidRPr="00C54280">
              <w:rPr>
                <w:rFonts w:ascii="Bookman Old Style" w:hAnsi="Bookman Old Style" w:cs="Arial"/>
                <w:sz w:val="22"/>
                <w:lang w:eastAsia="es-CO"/>
              </w:rPr>
              <w:t xml:space="preserve"> de 2023)</w:t>
            </w:r>
          </w:p>
        </w:tc>
      </w:tr>
      <w:tr w:rsidR="003073FB" w:rsidRPr="004E4013" w14:paraId="0D4E96D6" w14:textId="77777777" w:rsidTr="00141646">
        <w:tc>
          <w:tcPr>
            <w:tcW w:w="1121" w:type="pct"/>
            <w:shd w:val="clear" w:color="000000" w:fill="FFFFFF"/>
          </w:tcPr>
          <w:p w14:paraId="07AF5DC2" w14:textId="77777777" w:rsidR="003073FB" w:rsidRPr="00C54280" w:rsidRDefault="003073FB"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hAnsi="Bookman Old Style" w:cs="Arial"/>
                <w:bCs/>
                <w:sz w:val="22"/>
                <w:lang w:eastAsia="es-ES"/>
              </w:rPr>
              <w:t>Juzgado:</w:t>
            </w:r>
          </w:p>
        </w:tc>
        <w:tc>
          <w:tcPr>
            <w:tcW w:w="3879" w:type="pct"/>
            <w:shd w:val="clear" w:color="000000" w:fill="FFFFFF"/>
            <w:hideMark/>
          </w:tcPr>
          <w:p w14:paraId="6DAC7D44" w14:textId="25ABD6D5" w:rsidR="003073FB" w:rsidRPr="00C54280" w:rsidRDefault="000D1C12"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hAnsi="Bookman Old Style" w:cs="Arial"/>
                <w:noProof/>
                <w:sz w:val="22"/>
                <w:lang w:eastAsia="es-CO"/>
              </w:rPr>
              <w:t>Quinto</w:t>
            </w:r>
            <w:r w:rsidR="00315036" w:rsidRPr="00C54280">
              <w:rPr>
                <w:rFonts w:ascii="Bookman Old Style" w:hAnsi="Bookman Old Style" w:cs="Arial"/>
                <w:noProof/>
                <w:sz w:val="22"/>
                <w:lang w:eastAsia="es-CO"/>
              </w:rPr>
              <w:t xml:space="preserve"> </w:t>
            </w:r>
            <w:r w:rsidR="003D7454" w:rsidRPr="00C54280">
              <w:rPr>
                <w:rFonts w:ascii="Bookman Old Style" w:hAnsi="Bookman Old Style" w:cs="Arial"/>
                <w:sz w:val="22"/>
                <w:lang w:eastAsia="es-CO"/>
              </w:rPr>
              <w:t>Laboral d</w:t>
            </w:r>
            <w:r w:rsidR="00315036" w:rsidRPr="00C54280">
              <w:rPr>
                <w:rFonts w:ascii="Bookman Old Style" w:hAnsi="Bookman Old Style" w:cs="Arial"/>
                <w:sz w:val="22"/>
                <w:lang w:eastAsia="es-CO"/>
              </w:rPr>
              <w:t xml:space="preserve">el Circuito </w:t>
            </w:r>
            <w:r w:rsidR="003D7454" w:rsidRPr="00C54280">
              <w:rPr>
                <w:rFonts w:ascii="Bookman Old Style" w:hAnsi="Bookman Old Style" w:cs="Arial"/>
                <w:sz w:val="22"/>
                <w:lang w:eastAsia="es-CO"/>
              </w:rPr>
              <w:t>d</w:t>
            </w:r>
            <w:r w:rsidR="00315036" w:rsidRPr="00C54280">
              <w:rPr>
                <w:rFonts w:ascii="Bookman Old Style" w:hAnsi="Bookman Old Style" w:cs="Arial"/>
                <w:sz w:val="22"/>
                <w:lang w:eastAsia="es-CO"/>
              </w:rPr>
              <w:t>e Pereira</w:t>
            </w:r>
          </w:p>
        </w:tc>
      </w:tr>
      <w:tr w:rsidR="003073FB" w:rsidRPr="004E4013" w14:paraId="107F789A" w14:textId="77777777" w:rsidTr="00141646">
        <w:tc>
          <w:tcPr>
            <w:tcW w:w="1121" w:type="pct"/>
            <w:shd w:val="clear" w:color="000000" w:fill="FFFFFF"/>
          </w:tcPr>
          <w:p w14:paraId="1AFD5068" w14:textId="77777777" w:rsidR="003073FB" w:rsidRPr="00C54280" w:rsidRDefault="003073FB" w:rsidP="004E4013">
            <w:pPr>
              <w:spacing w:line="240" w:lineRule="auto"/>
              <w:ind w:firstLine="0"/>
              <w:jc w:val="left"/>
              <w:rPr>
                <w:rFonts w:ascii="Bookman Old Style" w:hAnsi="Bookman Old Style" w:cs="Arial"/>
                <w:bCs/>
                <w:sz w:val="22"/>
                <w:lang w:eastAsia="es-ES"/>
              </w:rPr>
            </w:pPr>
            <w:r w:rsidRPr="00C54280">
              <w:rPr>
                <w:rFonts w:ascii="Bookman Old Style" w:hAnsi="Bookman Old Style" w:cs="Arial"/>
                <w:bCs/>
                <w:sz w:val="22"/>
                <w:lang w:eastAsia="es-ES"/>
              </w:rPr>
              <w:t>Tema:</w:t>
            </w:r>
          </w:p>
        </w:tc>
        <w:tc>
          <w:tcPr>
            <w:tcW w:w="3879" w:type="pct"/>
            <w:shd w:val="clear" w:color="000000" w:fill="FFFFFF"/>
          </w:tcPr>
          <w:p w14:paraId="03027642" w14:textId="77777777" w:rsidR="003073FB" w:rsidRPr="00C54280" w:rsidRDefault="003073FB" w:rsidP="004E4013">
            <w:pPr>
              <w:spacing w:line="240" w:lineRule="auto"/>
              <w:ind w:firstLine="0"/>
              <w:jc w:val="left"/>
              <w:rPr>
                <w:rFonts w:ascii="Bookman Old Style" w:eastAsia="Times New Roman" w:hAnsi="Bookman Old Style" w:cs="Arial"/>
                <w:color w:val="000000"/>
                <w:sz w:val="22"/>
                <w:lang w:val="es-ES_tradnl" w:eastAsia="es-CO"/>
              </w:rPr>
            </w:pPr>
            <w:r w:rsidRPr="00C54280">
              <w:rPr>
                <w:rFonts w:ascii="Bookman Old Style" w:hAnsi="Bookman Old Style" w:cs="Arial"/>
                <w:sz w:val="22"/>
                <w:lang w:eastAsia="es-CO"/>
              </w:rPr>
              <w:t>Ineficacia de traslado</w:t>
            </w:r>
          </w:p>
        </w:tc>
      </w:tr>
    </w:tbl>
    <w:p w14:paraId="05426F63" w14:textId="77777777" w:rsidR="003073FB" w:rsidRPr="004E4013" w:rsidRDefault="003073FB" w:rsidP="004E4013">
      <w:pPr>
        <w:spacing w:line="276" w:lineRule="auto"/>
        <w:ind w:firstLine="0"/>
        <w:rPr>
          <w:rFonts w:ascii="Bookman Old Style" w:hAnsi="Bookman Old Style" w:cs="Arial"/>
        </w:rPr>
      </w:pPr>
    </w:p>
    <w:p w14:paraId="3C3ED7A9" w14:textId="434E1BB2" w:rsidR="003F2659" w:rsidRPr="004E4013" w:rsidRDefault="003F2659" w:rsidP="004E4013">
      <w:pPr>
        <w:autoSpaceDE w:val="0"/>
        <w:autoSpaceDN w:val="0"/>
        <w:adjustRightInd w:val="0"/>
        <w:spacing w:line="276" w:lineRule="auto"/>
        <w:ind w:firstLine="0"/>
        <w:jc w:val="center"/>
        <w:rPr>
          <w:rFonts w:ascii="Bookman Old Style" w:hAnsi="Bookman Old Style" w:cs="Arial"/>
          <w:b/>
          <w:bCs/>
          <w:lang w:eastAsia="es-ES"/>
        </w:rPr>
      </w:pPr>
      <w:r w:rsidRPr="004E4013">
        <w:rPr>
          <w:rFonts w:ascii="Bookman Old Style" w:hAnsi="Bookman Old Style" w:cs="Arial"/>
          <w:b/>
          <w:bCs/>
          <w:lang w:eastAsia="es-ES"/>
        </w:rPr>
        <w:t xml:space="preserve">APROBADO POR ACTA No. </w:t>
      </w:r>
      <w:r w:rsidR="005C565A" w:rsidRPr="004E4013">
        <w:rPr>
          <w:rFonts w:ascii="Bookman Old Style" w:hAnsi="Bookman Old Style" w:cs="Arial"/>
          <w:b/>
          <w:bCs/>
          <w:lang w:eastAsia="es-ES"/>
        </w:rPr>
        <w:t>198 DEL 05 DE DICIEMBRE DE 2023</w:t>
      </w:r>
    </w:p>
    <w:p w14:paraId="71418D6A" w14:textId="77777777" w:rsidR="003073FB" w:rsidRPr="004E4013" w:rsidRDefault="003073FB" w:rsidP="004E4013">
      <w:pPr>
        <w:spacing w:line="276" w:lineRule="auto"/>
        <w:ind w:firstLine="0"/>
        <w:rPr>
          <w:rFonts w:ascii="Bookman Old Style" w:hAnsi="Bookman Old Style" w:cs="Arial"/>
        </w:rPr>
      </w:pPr>
    </w:p>
    <w:p w14:paraId="7ADB16D6" w14:textId="7AC96644"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Hoy, </w:t>
      </w:r>
      <w:r w:rsidR="005C565A" w:rsidRPr="004E4013">
        <w:rPr>
          <w:rFonts w:ascii="Bookman Old Style" w:hAnsi="Bookman Old Style" w:cs="Arial"/>
        </w:rPr>
        <w:t>once</w:t>
      </w:r>
      <w:r w:rsidR="000A21BE" w:rsidRPr="004E4013">
        <w:rPr>
          <w:rFonts w:ascii="Bookman Old Style" w:hAnsi="Bookman Old Style" w:cs="Arial"/>
        </w:rPr>
        <w:t xml:space="preserve"> </w:t>
      </w:r>
      <w:r w:rsidRPr="004E4013">
        <w:rPr>
          <w:rFonts w:ascii="Bookman Old Style" w:hAnsi="Bookman Old Style" w:cs="Arial"/>
        </w:rPr>
        <w:t>(</w:t>
      </w:r>
      <w:r w:rsidR="005C565A" w:rsidRPr="004E4013">
        <w:rPr>
          <w:rFonts w:ascii="Bookman Old Style" w:hAnsi="Bookman Old Style" w:cs="Arial"/>
        </w:rPr>
        <w:t>11</w:t>
      </w:r>
      <w:r w:rsidRPr="004E4013">
        <w:rPr>
          <w:rFonts w:ascii="Bookman Old Style" w:hAnsi="Bookman Old Style" w:cs="Arial"/>
        </w:rPr>
        <w:t xml:space="preserve">) de </w:t>
      </w:r>
      <w:r w:rsidR="00595EFB" w:rsidRPr="004E4013">
        <w:rPr>
          <w:rFonts w:ascii="Bookman Old Style" w:hAnsi="Bookman Old Style" w:cs="Arial"/>
        </w:rPr>
        <w:t>diciembre de dos mil veintitrés</w:t>
      </w:r>
      <w:r w:rsidRPr="004E4013">
        <w:rPr>
          <w:rFonts w:ascii="Bookman Old Style" w:hAnsi="Bookman Old Style" w:cs="Arial"/>
        </w:rPr>
        <w:t xml:space="preserve"> (202</w:t>
      </w:r>
      <w:r w:rsidR="00595EFB" w:rsidRPr="004E4013">
        <w:rPr>
          <w:rFonts w:ascii="Bookman Old Style" w:hAnsi="Bookman Old Style" w:cs="Arial"/>
        </w:rPr>
        <w:t>3</w:t>
      </w:r>
      <w:r w:rsidRPr="004E4013">
        <w:rPr>
          <w:rFonts w:ascii="Bookman Old Style" w:hAnsi="Bookman Old Style" w:cs="Arial"/>
        </w:rPr>
        <w:t>), el Tribunal Superior de Distrito Judicial de Pereira</w:t>
      </w:r>
      <w:r w:rsidRPr="00C54280">
        <w:rPr>
          <w:rFonts w:ascii="Bookman Old Style" w:hAnsi="Bookman Old Style" w:cs="Arial"/>
        </w:rPr>
        <w:t xml:space="preserve">, Sala de Decisión Laboral integrada por los magistrados Dra. OLGA LUCIA HOYOS SEPÚLVEDA, Dr. JULIO CÉSAR SALAZAR MUÑOZ y como ponente Dr. GERMÁN DARÍO </w:t>
      </w:r>
      <w:proofErr w:type="spellStart"/>
      <w:r w:rsidRPr="00C54280">
        <w:rPr>
          <w:rFonts w:ascii="Bookman Old Style" w:hAnsi="Bookman Old Style" w:cs="Arial"/>
        </w:rPr>
        <w:t>GÓEZ</w:t>
      </w:r>
      <w:proofErr w:type="spellEnd"/>
      <w:r w:rsidRPr="00C54280">
        <w:rPr>
          <w:rFonts w:ascii="Bookman Old Style" w:hAnsi="Bookman Old Style" w:cs="Arial"/>
        </w:rPr>
        <w:t xml:space="preserve"> </w:t>
      </w:r>
      <w:proofErr w:type="spellStart"/>
      <w:r w:rsidRPr="00C54280">
        <w:rPr>
          <w:rFonts w:ascii="Bookman Old Style" w:hAnsi="Bookman Old Style" w:cs="Arial"/>
        </w:rPr>
        <w:t>VINASCO</w:t>
      </w:r>
      <w:proofErr w:type="spellEnd"/>
      <w:r w:rsidR="000D1C12" w:rsidRPr="00C54280">
        <w:rPr>
          <w:rFonts w:ascii="Bookman Old Style" w:hAnsi="Bookman Old Style" w:cs="Arial"/>
        </w:rPr>
        <w:t xml:space="preserve">, procede a resolver </w:t>
      </w:r>
      <w:r w:rsidR="00595EFB" w:rsidRPr="00C54280">
        <w:rPr>
          <w:rFonts w:ascii="Bookman Old Style" w:hAnsi="Bookman Old Style" w:cs="Arial"/>
        </w:rPr>
        <w:t>el</w:t>
      </w:r>
      <w:r w:rsidR="00C84DD1" w:rsidRPr="00C54280">
        <w:rPr>
          <w:rFonts w:ascii="Bookman Old Style" w:hAnsi="Bookman Old Style" w:cs="Arial"/>
        </w:rPr>
        <w:t xml:space="preserve"> recurso de apelación</w:t>
      </w:r>
      <w:r w:rsidR="00C84DD1" w:rsidRPr="004E4013">
        <w:rPr>
          <w:rFonts w:ascii="Bookman Old Style" w:hAnsi="Bookman Old Style" w:cs="Arial"/>
        </w:rPr>
        <w:t xml:space="preserve"> interpuesto por </w:t>
      </w:r>
      <w:r w:rsidR="00595EFB" w:rsidRPr="004E4013">
        <w:rPr>
          <w:rFonts w:ascii="Bookman Old Style" w:hAnsi="Bookman Old Style" w:cs="Arial"/>
        </w:rPr>
        <w:t>COLPENSIONES</w:t>
      </w:r>
      <w:r w:rsidR="00321384" w:rsidRPr="004E4013">
        <w:rPr>
          <w:rFonts w:ascii="Bookman Old Style" w:hAnsi="Bookman Old Style" w:cs="Arial"/>
        </w:rPr>
        <w:t xml:space="preserve"> y PROTECCIÓN</w:t>
      </w:r>
      <w:r w:rsidR="00C84DD1" w:rsidRPr="004E4013">
        <w:rPr>
          <w:rFonts w:ascii="Bookman Old Style" w:hAnsi="Bookman Old Style" w:cs="Arial"/>
        </w:rPr>
        <w:t xml:space="preserve"> </w:t>
      </w:r>
      <w:r w:rsidRPr="004E4013">
        <w:rPr>
          <w:rFonts w:ascii="Bookman Old Style" w:hAnsi="Bookman Old Style" w:cs="Arial"/>
        </w:rPr>
        <w:t xml:space="preserve">contra la sentencia de primera instancia, así como el grado jurisdiccional de consulta ordenado a favor de </w:t>
      </w:r>
      <w:r w:rsidR="00321384" w:rsidRPr="004E4013">
        <w:rPr>
          <w:rFonts w:ascii="Bookman Old Style" w:hAnsi="Bookman Old Style" w:cs="Arial"/>
        </w:rPr>
        <w:t>COLPENSIONES</w:t>
      </w:r>
      <w:r w:rsidRPr="004E4013">
        <w:rPr>
          <w:rFonts w:ascii="Bookman Old Style" w:hAnsi="Bookman Old Style" w:cs="Arial"/>
        </w:rPr>
        <w:t xml:space="preserve">, proferida por </w:t>
      </w:r>
      <w:r w:rsidRPr="004E4013">
        <w:rPr>
          <w:rFonts w:ascii="Bookman Old Style" w:hAnsi="Bookman Old Style" w:cs="Arial"/>
        </w:rPr>
        <w:lastRenderedPageBreak/>
        <w:t>el Juzgado</w:t>
      </w:r>
      <w:r w:rsidR="00C90928" w:rsidRPr="004E4013">
        <w:rPr>
          <w:rFonts w:ascii="Bookman Old Style" w:hAnsi="Bookman Old Style" w:cs="Arial"/>
        </w:rPr>
        <w:t xml:space="preserve"> </w:t>
      </w:r>
      <w:r w:rsidR="000D1C12" w:rsidRPr="004E4013">
        <w:rPr>
          <w:rFonts w:ascii="Bookman Old Style" w:hAnsi="Bookman Old Style" w:cs="Arial"/>
        </w:rPr>
        <w:t>Quinto</w:t>
      </w:r>
      <w:r w:rsidR="00315036" w:rsidRPr="004E4013">
        <w:rPr>
          <w:rFonts w:ascii="Bookman Old Style" w:hAnsi="Bookman Old Style" w:cs="Arial"/>
          <w:noProof/>
        </w:rPr>
        <w:t xml:space="preserve"> Laboral Circuito</w:t>
      </w:r>
      <w:r w:rsidR="00315036" w:rsidRPr="004E4013">
        <w:rPr>
          <w:rFonts w:ascii="Bookman Old Style" w:hAnsi="Bookman Old Style" w:cs="Arial"/>
        </w:rPr>
        <w:t xml:space="preserve"> </w:t>
      </w:r>
      <w:r w:rsidRPr="004E4013">
        <w:rPr>
          <w:rFonts w:ascii="Bookman Old Style" w:hAnsi="Bookman Old Style" w:cs="Arial"/>
        </w:rPr>
        <w:t xml:space="preserve">de esta ciudad dentro del proceso </w:t>
      </w:r>
      <w:r w:rsidRPr="00C54280">
        <w:rPr>
          <w:rFonts w:ascii="Bookman Old Style" w:hAnsi="Bookman Old Style" w:cs="Arial"/>
          <w:b/>
        </w:rPr>
        <w:t xml:space="preserve">ordinario </w:t>
      </w:r>
      <w:r w:rsidR="00C54280" w:rsidRPr="00C54280">
        <w:rPr>
          <w:rFonts w:ascii="Bookman Old Style" w:hAnsi="Bookman Old Style" w:cs="Arial"/>
          <w:b/>
        </w:rPr>
        <w:t>laboral</w:t>
      </w:r>
      <w:r w:rsidR="00C54280">
        <w:rPr>
          <w:rFonts w:ascii="Bookman Old Style" w:hAnsi="Bookman Old Style" w:cs="Arial"/>
        </w:rPr>
        <w:t xml:space="preserve"> </w:t>
      </w:r>
      <w:r w:rsidRPr="004E4013">
        <w:rPr>
          <w:rFonts w:ascii="Bookman Old Style" w:hAnsi="Bookman Old Style" w:cs="Arial"/>
        </w:rPr>
        <w:t xml:space="preserve">promovido por </w:t>
      </w:r>
      <w:bookmarkStart w:id="0" w:name="_Hlk105532493"/>
      <w:r w:rsidR="00321384" w:rsidRPr="004E4013">
        <w:rPr>
          <w:rFonts w:ascii="Bookman Old Style" w:hAnsi="Bookman Old Style" w:cs="Arial"/>
          <w:b/>
          <w:bCs/>
          <w:noProof/>
        </w:rPr>
        <w:t xml:space="preserve">MARTHA CECILIA BETANCURT PÉREZ </w:t>
      </w:r>
      <w:r w:rsidRPr="004E4013">
        <w:rPr>
          <w:rFonts w:ascii="Bookman Old Style" w:hAnsi="Bookman Old Style" w:cs="Arial"/>
        </w:rPr>
        <w:t xml:space="preserve">contra la </w:t>
      </w:r>
      <w:r w:rsidR="00595EFB" w:rsidRPr="004E4013">
        <w:rPr>
          <w:rFonts w:ascii="Bookman Old Style" w:hAnsi="Bookman Old Style" w:cs="Arial"/>
          <w:b/>
          <w:noProof/>
        </w:rPr>
        <w:t>COLPENSIONES</w:t>
      </w:r>
      <w:r w:rsidR="000D1C12" w:rsidRPr="004E4013">
        <w:rPr>
          <w:rFonts w:ascii="Bookman Old Style" w:hAnsi="Bookman Old Style" w:cs="Arial"/>
          <w:b/>
          <w:noProof/>
        </w:rPr>
        <w:t xml:space="preserve"> </w:t>
      </w:r>
      <w:r w:rsidR="000D1C12" w:rsidRPr="004E4013">
        <w:rPr>
          <w:rFonts w:ascii="Bookman Old Style" w:hAnsi="Bookman Old Style" w:cs="Arial"/>
          <w:noProof/>
        </w:rPr>
        <w:t xml:space="preserve">y </w:t>
      </w:r>
      <w:r w:rsidR="00595EFB" w:rsidRPr="004E4013">
        <w:rPr>
          <w:rFonts w:ascii="Bookman Old Style" w:hAnsi="Bookman Old Style" w:cs="Arial"/>
          <w:b/>
          <w:noProof/>
        </w:rPr>
        <w:t>PROTECCIÓN</w:t>
      </w:r>
      <w:r w:rsidR="000D1C12" w:rsidRPr="004E4013">
        <w:rPr>
          <w:rFonts w:ascii="Bookman Old Style" w:hAnsi="Bookman Old Style" w:cs="Arial"/>
          <w:b/>
          <w:noProof/>
        </w:rPr>
        <w:t xml:space="preserve"> S.A. </w:t>
      </w:r>
      <w:r w:rsidRPr="004E4013">
        <w:rPr>
          <w:rFonts w:ascii="Bookman Old Style" w:hAnsi="Bookman Old Style" w:cs="Arial"/>
        </w:rPr>
        <w:t xml:space="preserve">radicado </w:t>
      </w:r>
      <w:r w:rsidR="00321384" w:rsidRPr="004E4013">
        <w:rPr>
          <w:rFonts w:ascii="Bookman Old Style" w:hAnsi="Bookman Old Style" w:cs="Arial"/>
          <w:b/>
          <w:noProof/>
        </w:rPr>
        <w:t>66001310500520210043001</w:t>
      </w:r>
      <w:r w:rsidRPr="004E4013">
        <w:rPr>
          <w:rFonts w:ascii="Bookman Old Style" w:hAnsi="Bookman Old Style" w:cs="Arial"/>
        </w:rPr>
        <w:t>.</w:t>
      </w:r>
    </w:p>
    <w:bookmarkEnd w:id="0"/>
    <w:p w14:paraId="42080F58" w14:textId="77777777" w:rsidR="003073FB" w:rsidRPr="004E4013" w:rsidRDefault="003073FB" w:rsidP="004E4013">
      <w:pPr>
        <w:spacing w:line="276" w:lineRule="auto"/>
        <w:ind w:firstLine="0"/>
        <w:rPr>
          <w:rFonts w:ascii="Bookman Old Style" w:hAnsi="Bookman Old Style" w:cs="Arial"/>
        </w:rPr>
      </w:pPr>
    </w:p>
    <w:p w14:paraId="74B3665D" w14:textId="77777777" w:rsidR="0005234B" w:rsidRPr="004E4013" w:rsidRDefault="0005234B" w:rsidP="004E4013">
      <w:pPr>
        <w:spacing w:line="276" w:lineRule="auto"/>
        <w:ind w:firstLine="0"/>
        <w:rPr>
          <w:rFonts w:ascii="Bookman Old Style" w:hAnsi="Bookman Old Style" w:cs="Arial"/>
        </w:rPr>
      </w:pPr>
      <w:r w:rsidRPr="004E4013">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4E4013" w:rsidRDefault="003073FB" w:rsidP="004E4013">
      <w:pPr>
        <w:spacing w:line="276" w:lineRule="auto"/>
        <w:ind w:firstLine="0"/>
        <w:rPr>
          <w:rFonts w:ascii="Bookman Old Style" w:hAnsi="Bookman Old Style" w:cs="Arial"/>
        </w:rPr>
      </w:pPr>
    </w:p>
    <w:p w14:paraId="1277239E" w14:textId="189E8AF6" w:rsidR="003073FB" w:rsidRPr="004E4013" w:rsidRDefault="003073FB" w:rsidP="004E4013">
      <w:pPr>
        <w:suppressAutoHyphens/>
        <w:spacing w:line="276" w:lineRule="auto"/>
        <w:ind w:firstLine="480"/>
        <w:jc w:val="center"/>
        <w:rPr>
          <w:rFonts w:ascii="Bookman Old Style" w:hAnsi="Bookman Old Style" w:cs="Arial"/>
          <w:b/>
          <w:bCs/>
          <w:spacing w:val="-3"/>
          <w:lang w:eastAsia="es-ES"/>
        </w:rPr>
      </w:pPr>
      <w:r w:rsidRPr="004E4013">
        <w:rPr>
          <w:rFonts w:ascii="Bookman Old Style" w:hAnsi="Bookman Old Style" w:cs="Arial"/>
          <w:b/>
          <w:bCs/>
          <w:spacing w:val="-3"/>
          <w:lang w:eastAsia="es-ES"/>
        </w:rPr>
        <w:t xml:space="preserve">SENTENCIA No. </w:t>
      </w:r>
      <w:r w:rsidR="005C565A" w:rsidRPr="004E4013">
        <w:rPr>
          <w:rFonts w:ascii="Bookman Old Style" w:hAnsi="Bookman Old Style" w:cs="Arial"/>
          <w:b/>
          <w:bCs/>
          <w:spacing w:val="-3"/>
          <w:lang w:eastAsia="es-ES"/>
        </w:rPr>
        <w:t>202</w:t>
      </w:r>
    </w:p>
    <w:p w14:paraId="42AF91E9" w14:textId="77777777" w:rsidR="00B86E32" w:rsidRPr="004E4013" w:rsidRDefault="00B86E32" w:rsidP="004E4013">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4E4013" w:rsidRDefault="003073FB" w:rsidP="004E4013">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4E4013">
        <w:rPr>
          <w:rFonts w:ascii="Bookman Old Style" w:hAnsi="Bookman Old Style" w:cs="Arial"/>
          <w:b/>
          <w:bCs/>
        </w:rPr>
        <w:t>ANTECEDENTES</w:t>
      </w:r>
    </w:p>
    <w:p w14:paraId="370072BA" w14:textId="77777777" w:rsidR="003073FB" w:rsidRPr="004E4013" w:rsidRDefault="003073FB" w:rsidP="004E4013">
      <w:pPr>
        <w:spacing w:line="276" w:lineRule="auto"/>
        <w:ind w:firstLine="0"/>
        <w:rPr>
          <w:rFonts w:ascii="Bookman Old Style" w:hAnsi="Bookman Old Style" w:cs="Arial"/>
          <w:color w:val="FF0000"/>
        </w:rPr>
      </w:pPr>
    </w:p>
    <w:p w14:paraId="273E2403" w14:textId="77777777" w:rsidR="003073FB" w:rsidRPr="004E4013" w:rsidRDefault="003073FB" w:rsidP="004E4013">
      <w:pPr>
        <w:pStyle w:val="Prrafodelista"/>
        <w:numPr>
          <w:ilvl w:val="0"/>
          <w:numId w:val="2"/>
        </w:numPr>
        <w:spacing w:line="276" w:lineRule="auto"/>
        <w:ind w:left="284"/>
        <w:rPr>
          <w:rFonts w:ascii="Bookman Old Style" w:hAnsi="Bookman Old Style" w:cs="Arial"/>
        </w:rPr>
      </w:pPr>
      <w:r w:rsidRPr="004E4013">
        <w:rPr>
          <w:rFonts w:ascii="Bookman Old Style" w:hAnsi="Bookman Old Style" w:cs="Arial"/>
          <w:b/>
          <w:bCs/>
        </w:rPr>
        <w:t>Pretensiones</w:t>
      </w:r>
    </w:p>
    <w:p w14:paraId="15F843C9" w14:textId="77777777" w:rsidR="003073FB" w:rsidRPr="004E4013" w:rsidRDefault="003073FB" w:rsidP="004E4013">
      <w:pPr>
        <w:spacing w:line="276" w:lineRule="auto"/>
        <w:ind w:firstLine="0"/>
        <w:rPr>
          <w:rFonts w:ascii="Bookman Old Style" w:hAnsi="Bookman Old Style" w:cs="Arial"/>
        </w:rPr>
      </w:pPr>
    </w:p>
    <w:p w14:paraId="704D2E70" w14:textId="5E2A158B" w:rsidR="003073FB" w:rsidRPr="004E4013" w:rsidRDefault="00321384" w:rsidP="004E4013">
      <w:pPr>
        <w:spacing w:line="276" w:lineRule="auto"/>
        <w:ind w:firstLine="0"/>
        <w:rPr>
          <w:rFonts w:ascii="Bookman Old Style" w:hAnsi="Bookman Old Style" w:cs="Arial"/>
        </w:rPr>
      </w:pPr>
      <w:r w:rsidRPr="004E4013">
        <w:rPr>
          <w:rFonts w:ascii="Bookman Old Style" w:hAnsi="Bookman Old Style" w:cs="Arial"/>
          <w:b/>
          <w:bCs/>
          <w:noProof/>
        </w:rPr>
        <w:t>MARTHA CECILIA BETANCURT PÉREZ</w:t>
      </w:r>
      <w:r w:rsidR="003073FB" w:rsidRPr="004E4013">
        <w:rPr>
          <w:rFonts w:ascii="Bookman Old Style" w:hAnsi="Bookman Old Style" w:cs="Arial"/>
          <w:noProof/>
        </w:rPr>
        <w:t xml:space="preserve">, </w:t>
      </w:r>
      <w:r w:rsidR="00C90928" w:rsidRPr="004E4013">
        <w:rPr>
          <w:rFonts w:ascii="Bookman Old Style" w:hAnsi="Bookman Old Style" w:cs="Arial"/>
          <w:noProof/>
        </w:rPr>
        <w:t>pretende</w:t>
      </w:r>
      <w:r w:rsidR="003073FB" w:rsidRPr="004E4013">
        <w:rPr>
          <w:rFonts w:ascii="Bookman Old Style" w:hAnsi="Bookman Old Style" w:cs="Arial"/>
          <w:noProof/>
        </w:rPr>
        <w:t xml:space="preserve"> se declare la nulidad de la afiliación que hizo </w:t>
      </w:r>
      <w:r w:rsidR="0045781C" w:rsidRPr="004E4013">
        <w:rPr>
          <w:rFonts w:ascii="Bookman Old Style" w:hAnsi="Bookman Old Style" w:cs="Arial"/>
          <w:noProof/>
        </w:rPr>
        <w:t>a</w:t>
      </w:r>
      <w:r w:rsidR="003073FB" w:rsidRPr="004E4013">
        <w:rPr>
          <w:rFonts w:ascii="Bookman Old Style" w:hAnsi="Bookman Old Style" w:cs="Arial"/>
          <w:noProof/>
        </w:rPr>
        <w:t xml:space="preserve"> </w:t>
      </w:r>
      <w:r w:rsidR="00D01B34" w:rsidRPr="004E4013">
        <w:rPr>
          <w:rFonts w:ascii="Bookman Old Style" w:hAnsi="Bookman Old Style" w:cs="Arial"/>
          <w:noProof/>
        </w:rPr>
        <w:t>la AFP</w:t>
      </w:r>
      <w:r w:rsidR="004F2F73" w:rsidRPr="004E4013">
        <w:rPr>
          <w:rFonts w:ascii="Bookman Old Style" w:hAnsi="Bookman Old Style" w:cs="Arial"/>
          <w:noProof/>
        </w:rPr>
        <w:t xml:space="preserve"> </w:t>
      </w:r>
      <w:r w:rsidR="00FF6C9A" w:rsidRPr="004E4013">
        <w:rPr>
          <w:rFonts w:ascii="Bookman Old Style" w:hAnsi="Bookman Old Style" w:cs="Arial"/>
          <w:noProof/>
        </w:rPr>
        <w:t>PROTECCIÓN S.A.</w:t>
      </w:r>
      <w:r w:rsidR="00793226" w:rsidRPr="004E4013">
        <w:rPr>
          <w:rFonts w:ascii="Bookman Old Style" w:hAnsi="Bookman Old Style" w:cs="Arial"/>
          <w:noProof/>
        </w:rPr>
        <w:t xml:space="preserve"> </w:t>
      </w:r>
      <w:r w:rsidR="009F7745" w:rsidRPr="004E4013">
        <w:rPr>
          <w:rFonts w:ascii="Bookman Old Style" w:hAnsi="Bookman Old Style" w:cs="Arial"/>
          <w:noProof/>
        </w:rPr>
        <w:t xml:space="preserve">de </w:t>
      </w:r>
      <w:r w:rsidR="00FF6C9A" w:rsidRPr="004E4013">
        <w:rPr>
          <w:rFonts w:ascii="Bookman Old Style" w:hAnsi="Bookman Old Style" w:cs="Arial"/>
          <w:noProof/>
        </w:rPr>
        <w:t xml:space="preserve">la </w:t>
      </w:r>
      <w:r w:rsidR="003073FB" w:rsidRPr="004E4013">
        <w:rPr>
          <w:rFonts w:ascii="Bookman Old Style" w:hAnsi="Bookman Old Style" w:cs="Arial"/>
          <w:noProof/>
        </w:rPr>
        <w:t>cual se produjo el traslado de régimen desde el Régimen de Prima Media con Prestación Definida</w:t>
      </w:r>
      <w:r w:rsidR="00FF6C9A" w:rsidRPr="004E4013">
        <w:rPr>
          <w:rFonts w:ascii="Bookman Old Style" w:hAnsi="Bookman Old Style" w:cs="Arial"/>
          <w:noProof/>
        </w:rPr>
        <w:t xml:space="preserve"> y </w:t>
      </w:r>
      <w:r w:rsidR="003073FB" w:rsidRPr="004E4013">
        <w:rPr>
          <w:rFonts w:ascii="Bookman Old Style" w:hAnsi="Bookman Old Style" w:cs="Arial"/>
          <w:noProof/>
        </w:rPr>
        <w:t xml:space="preserve">solicita que se condene a </w:t>
      </w:r>
      <w:r w:rsidR="00315036" w:rsidRPr="004E4013">
        <w:rPr>
          <w:rFonts w:ascii="Bookman Old Style" w:hAnsi="Bookman Old Style" w:cs="Arial"/>
          <w:noProof/>
        </w:rPr>
        <w:t>C</w:t>
      </w:r>
      <w:r w:rsidR="00C90928" w:rsidRPr="004E4013">
        <w:rPr>
          <w:rFonts w:ascii="Bookman Old Style" w:hAnsi="Bookman Old Style" w:cs="Arial"/>
          <w:noProof/>
        </w:rPr>
        <w:t>OLPENSIONES</w:t>
      </w:r>
      <w:r w:rsidR="00315036" w:rsidRPr="004E4013">
        <w:rPr>
          <w:rFonts w:ascii="Bookman Old Style" w:hAnsi="Bookman Old Style" w:cs="Arial"/>
          <w:noProof/>
        </w:rPr>
        <w:t xml:space="preserve"> </w:t>
      </w:r>
      <w:r w:rsidR="003073FB" w:rsidRPr="004E4013">
        <w:rPr>
          <w:rFonts w:ascii="Bookman Old Style" w:hAnsi="Bookman Old Style" w:cs="Arial"/>
          <w:noProof/>
        </w:rPr>
        <w:t>a recibirl</w:t>
      </w:r>
      <w:r w:rsidRPr="004E4013">
        <w:rPr>
          <w:rFonts w:ascii="Bookman Old Style" w:hAnsi="Bookman Old Style" w:cs="Arial"/>
          <w:noProof/>
        </w:rPr>
        <w:t>a</w:t>
      </w:r>
      <w:r w:rsidR="003073FB" w:rsidRPr="004E4013">
        <w:rPr>
          <w:rFonts w:ascii="Bookman Old Style" w:hAnsi="Bookman Old Style" w:cs="Arial"/>
          <w:noProof/>
        </w:rPr>
        <w:t xml:space="preserve"> nuevamente como afiliad</w:t>
      </w:r>
      <w:r w:rsidRPr="004E4013">
        <w:rPr>
          <w:rFonts w:ascii="Bookman Old Style" w:hAnsi="Bookman Old Style" w:cs="Arial"/>
          <w:noProof/>
        </w:rPr>
        <w:t>a</w:t>
      </w:r>
      <w:r w:rsidR="003073FB" w:rsidRPr="004E4013">
        <w:rPr>
          <w:rFonts w:ascii="Bookman Old Style" w:hAnsi="Bookman Old Style" w:cs="Arial"/>
          <w:noProof/>
        </w:rPr>
        <w:t xml:space="preserve"> cotizant</w:t>
      </w:r>
      <w:bookmarkStart w:id="1" w:name="_GoBack"/>
      <w:bookmarkEnd w:id="1"/>
      <w:r w:rsidR="003073FB" w:rsidRPr="004E4013">
        <w:rPr>
          <w:rFonts w:ascii="Bookman Old Style" w:hAnsi="Bookman Old Style" w:cs="Arial"/>
          <w:noProof/>
        </w:rPr>
        <w:t>e y a</w:t>
      </w:r>
      <w:r w:rsidR="00FF6C9A" w:rsidRPr="004E4013">
        <w:rPr>
          <w:rFonts w:ascii="Bookman Old Style" w:hAnsi="Bookman Old Style" w:cs="Arial"/>
          <w:noProof/>
        </w:rPr>
        <w:t>l</w:t>
      </w:r>
      <w:r w:rsidR="00424F01" w:rsidRPr="004E4013">
        <w:rPr>
          <w:rFonts w:ascii="Bookman Old Style" w:hAnsi="Bookman Old Style" w:cs="Arial"/>
          <w:noProof/>
        </w:rPr>
        <w:t xml:space="preserve"> fondo privado </w:t>
      </w:r>
      <w:r w:rsidR="00D01B34" w:rsidRPr="004E4013">
        <w:rPr>
          <w:rFonts w:ascii="Bookman Old Style" w:hAnsi="Bookman Old Style" w:cs="Arial"/>
          <w:noProof/>
        </w:rPr>
        <w:t>a liberar</w:t>
      </w:r>
      <w:r w:rsidR="00FF6C9A" w:rsidRPr="004E4013">
        <w:rPr>
          <w:rFonts w:ascii="Bookman Old Style" w:hAnsi="Bookman Old Style" w:cs="Arial"/>
          <w:noProof/>
        </w:rPr>
        <w:t>l</w:t>
      </w:r>
      <w:r w:rsidRPr="004E4013">
        <w:rPr>
          <w:rFonts w:ascii="Bookman Old Style" w:hAnsi="Bookman Old Style" w:cs="Arial"/>
          <w:noProof/>
        </w:rPr>
        <w:t>a</w:t>
      </w:r>
      <w:r w:rsidR="00D01B34" w:rsidRPr="004E4013">
        <w:rPr>
          <w:rFonts w:ascii="Bookman Old Style" w:hAnsi="Bookman Old Style" w:cs="Arial"/>
          <w:noProof/>
        </w:rPr>
        <w:t xml:space="preserve"> de su base</w:t>
      </w:r>
      <w:r w:rsidR="003073FB" w:rsidRPr="004E4013">
        <w:rPr>
          <w:rFonts w:ascii="Bookman Old Style" w:hAnsi="Bookman Old Style" w:cs="Arial"/>
          <w:noProof/>
        </w:rPr>
        <w:t xml:space="preserve"> de datos</w:t>
      </w:r>
      <w:r w:rsidR="00FF6C9A" w:rsidRPr="004E4013">
        <w:rPr>
          <w:rFonts w:ascii="Bookman Old Style" w:hAnsi="Bookman Old Style" w:cs="Arial"/>
          <w:noProof/>
        </w:rPr>
        <w:t xml:space="preserve"> trasladando las </w:t>
      </w:r>
      <w:r w:rsidR="003073FB" w:rsidRPr="004E4013">
        <w:rPr>
          <w:rFonts w:ascii="Bookman Old Style" w:hAnsi="Bookman Old Style" w:cs="Arial"/>
          <w:noProof/>
        </w:rPr>
        <w:t>cotizaciones</w:t>
      </w:r>
      <w:r w:rsidR="00D01B34" w:rsidRPr="004E4013">
        <w:rPr>
          <w:rFonts w:ascii="Bookman Old Style" w:hAnsi="Bookman Old Style" w:cs="Arial"/>
          <w:noProof/>
        </w:rPr>
        <w:t xml:space="preserve"> y rendimientos</w:t>
      </w:r>
      <w:r w:rsidR="00FF6C9A" w:rsidRPr="004E4013">
        <w:rPr>
          <w:rFonts w:ascii="Bookman Old Style" w:hAnsi="Bookman Old Style" w:cs="Arial"/>
          <w:noProof/>
        </w:rPr>
        <w:t xml:space="preserve"> a COLPENSIONES</w:t>
      </w:r>
      <w:r w:rsidR="003073FB" w:rsidRPr="004E4013">
        <w:rPr>
          <w:rFonts w:ascii="Bookman Old Style" w:hAnsi="Bookman Old Style" w:cs="Arial"/>
          <w:noProof/>
        </w:rPr>
        <w:t>. Además, solicita se condene en costas</w:t>
      </w:r>
      <w:r w:rsidR="00711ACF" w:rsidRPr="004E4013">
        <w:rPr>
          <w:rFonts w:ascii="Bookman Old Style" w:hAnsi="Bookman Old Style" w:cs="Arial"/>
          <w:noProof/>
        </w:rPr>
        <w:t xml:space="preserve"> y lo ultra y extra petita</w:t>
      </w:r>
      <w:r w:rsidR="00424F01" w:rsidRPr="004E4013">
        <w:rPr>
          <w:rFonts w:ascii="Bookman Old Style" w:hAnsi="Bookman Old Style" w:cs="Arial"/>
          <w:noProof/>
        </w:rPr>
        <w:t>.</w:t>
      </w:r>
    </w:p>
    <w:p w14:paraId="5BFB7646" w14:textId="77777777" w:rsidR="003073FB" w:rsidRPr="004E4013" w:rsidRDefault="003073FB" w:rsidP="004E4013">
      <w:pPr>
        <w:spacing w:line="276" w:lineRule="auto"/>
        <w:ind w:firstLine="0"/>
        <w:rPr>
          <w:rFonts w:ascii="Bookman Old Style" w:hAnsi="Bookman Old Style" w:cs="Arial"/>
          <w:color w:val="FF0000"/>
        </w:rPr>
      </w:pPr>
    </w:p>
    <w:p w14:paraId="58F5315F" w14:textId="77777777" w:rsidR="003073FB" w:rsidRPr="004E4013" w:rsidRDefault="003073FB" w:rsidP="004E4013">
      <w:pPr>
        <w:pStyle w:val="Prrafodelista"/>
        <w:numPr>
          <w:ilvl w:val="0"/>
          <w:numId w:val="2"/>
        </w:numPr>
        <w:spacing w:line="276" w:lineRule="auto"/>
        <w:ind w:left="284"/>
        <w:rPr>
          <w:rFonts w:ascii="Bookman Old Style" w:hAnsi="Bookman Old Style" w:cs="Arial"/>
        </w:rPr>
      </w:pPr>
      <w:r w:rsidRPr="004E4013">
        <w:rPr>
          <w:rFonts w:ascii="Bookman Old Style" w:hAnsi="Bookman Old Style" w:cs="Arial"/>
          <w:b/>
          <w:bCs/>
        </w:rPr>
        <w:t>Hechos</w:t>
      </w:r>
    </w:p>
    <w:p w14:paraId="5173F076" w14:textId="77777777" w:rsidR="003073FB" w:rsidRPr="004E4013" w:rsidRDefault="003073FB" w:rsidP="004E4013">
      <w:pPr>
        <w:spacing w:line="276" w:lineRule="auto"/>
        <w:ind w:firstLine="0"/>
        <w:rPr>
          <w:rFonts w:ascii="Bookman Old Style" w:hAnsi="Bookman Old Style" w:cs="Arial"/>
        </w:rPr>
      </w:pPr>
    </w:p>
    <w:p w14:paraId="66CB9F19" w14:textId="2FB9CAA8" w:rsidR="00BC3046" w:rsidRPr="004E4013" w:rsidRDefault="003073FB" w:rsidP="004E4013">
      <w:pPr>
        <w:spacing w:line="276" w:lineRule="auto"/>
        <w:ind w:firstLine="0"/>
        <w:rPr>
          <w:rFonts w:ascii="Bookman Old Style" w:hAnsi="Bookman Old Style" w:cs="Arial"/>
          <w:noProof/>
        </w:rPr>
      </w:pPr>
      <w:r w:rsidRPr="004E4013">
        <w:rPr>
          <w:rFonts w:ascii="Bookman Old Style" w:hAnsi="Bookman Old Style" w:cs="Arial"/>
          <w:noProof/>
        </w:rPr>
        <w:t>En sustento de lo pretendido, relata que</w:t>
      </w:r>
      <w:r w:rsidR="00FF6C9A" w:rsidRPr="004E4013">
        <w:rPr>
          <w:rFonts w:ascii="Bookman Old Style" w:hAnsi="Bookman Old Style" w:cs="Arial"/>
          <w:noProof/>
        </w:rPr>
        <w:t xml:space="preserve"> </w:t>
      </w:r>
      <w:r w:rsidR="00321384" w:rsidRPr="004E4013">
        <w:rPr>
          <w:rFonts w:ascii="Bookman Old Style" w:hAnsi="Bookman Old Style" w:cs="Arial"/>
          <w:noProof/>
        </w:rPr>
        <w:t xml:space="preserve">a partir del 09 de enero de 1996 se afilió al ISS hoy COLPENSIONES y se trasladó a SANTANDER el 02 de mayo de 2000, fondo que fue absorbido por PROTECCIÓN S.A. Manifestó que al momento del traslado el asesor del fondo diligenció el formulario de afiliación, pero nunca le brindó la asesoría suficiente para realizar el cambio de régimen, pues no le entregó proyecciones ni comparativos de lo que sería el valor de la pensión </w:t>
      </w:r>
      <w:r w:rsidR="009D08A3" w:rsidRPr="004E4013">
        <w:rPr>
          <w:rFonts w:ascii="Bookman Old Style" w:hAnsi="Bookman Old Style" w:cs="Arial"/>
          <w:noProof/>
        </w:rPr>
        <w:t>tanto en el RPM como en el RAIS. Tampoco compartió la información indicándole las características de cada régimen ni de las ventajas de pertenecer a uno u otro. Como consecuencia, solicitó ante COLPENSIONES el retorno al RPM, pero negada.</w:t>
      </w:r>
    </w:p>
    <w:p w14:paraId="131A98DF" w14:textId="14EA0E40" w:rsidR="00315036" w:rsidRPr="004E4013" w:rsidRDefault="00315036" w:rsidP="004E4013">
      <w:pPr>
        <w:spacing w:line="276" w:lineRule="auto"/>
        <w:ind w:firstLine="0"/>
        <w:rPr>
          <w:rFonts w:ascii="Bookman Old Style" w:hAnsi="Bookman Old Style" w:cs="Arial"/>
          <w:noProof/>
        </w:rPr>
      </w:pPr>
    </w:p>
    <w:p w14:paraId="5367CFD7" w14:textId="77777777" w:rsidR="003073FB" w:rsidRPr="004E4013" w:rsidRDefault="003073FB" w:rsidP="004E4013">
      <w:pPr>
        <w:pStyle w:val="Prrafodelista"/>
        <w:numPr>
          <w:ilvl w:val="0"/>
          <w:numId w:val="2"/>
        </w:numPr>
        <w:spacing w:line="276" w:lineRule="auto"/>
        <w:ind w:left="284"/>
        <w:rPr>
          <w:rFonts w:ascii="Bookman Old Style" w:hAnsi="Bookman Old Style" w:cs="Arial"/>
          <w:b/>
          <w:bCs/>
        </w:rPr>
      </w:pPr>
      <w:r w:rsidRPr="004E4013">
        <w:rPr>
          <w:rFonts w:ascii="Bookman Old Style" w:hAnsi="Bookman Old Style" w:cs="Arial"/>
          <w:b/>
          <w:bCs/>
        </w:rPr>
        <w:t>Posición de las demandadas.</w:t>
      </w:r>
    </w:p>
    <w:p w14:paraId="509D5ABF" w14:textId="77777777" w:rsidR="003073FB" w:rsidRPr="004E4013" w:rsidRDefault="003073FB" w:rsidP="004E4013">
      <w:pPr>
        <w:spacing w:line="276" w:lineRule="auto"/>
        <w:ind w:firstLine="0"/>
        <w:rPr>
          <w:rFonts w:ascii="Bookman Old Style" w:hAnsi="Bookman Old Style" w:cs="Arial"/>
        </w:rPr>
      </w:pPr>
    </w:p>
    <w:p w14:paraId="078BC6A6" w14:textId="090FE244" w:rsidR="003073FB" w:rsidRPr="004E4013" w:rsidRDefault="00C81B30" w:rsidP="004E4013">
      <w:pPr>
        <w:spacing w:line="276" w:lineRule="auto"/>
        <w:ind w:firstLine="0"/>
        <w:rPr>
          <w:rFonts w:ascii="Bookman Old Style" w:hAnsi="Bookman Old Style" w:cs="Arial"/>
          <w:b/>
          <w:noProof/>
        </w:rPr>
      </w:pPr>
      <w:r w:rsidRPr="004E4013">
        <w:rPr>
          <w:rFonts w:ascii="Bookman Old Style" w:hAnsi="Bookman Old Style" w:cs="Arial"/>
          <w:b/>
          <w:bCs/>
          <w:noProof/>
        </w:rPr>
        <w:t>COLPENSIONES</w:t>
      </w:r>
      <w:r w:rsidR="003073FB" w:rsidRPr="004E4013">
        <w:rPr>
          <w:rFonts w:ascii="Bookman Old Style" w:hAnsi="Bookman Old Style" w:cs="Arial"/>
          <w:noProof/>
        </w:rPr>
        <w:t xml:space="preserve">, </w:t>
      </w:r>
      <w:r w:rsidR="009D08A3" w:rsidRPr="004E4013">
        <w:rPr>
          <w:rFonts w:ascii="Bookman Old Style" w:hAnsi="Bookman Old Style" w:cs="Arial"/>
          <w:noProof/>
        </w:rPr>
        <w:t xml:space="preserve">indicó que no le constan los hechos de la demanda y se opone a las pretensiones, teniendo en cuenta que la actora no cumple con los requisitos para afiliarse al RPM y la Adminsitradora no está obligada a efectuar traslados por fuera del término y sin el cumplimiento de las exigencias normativas, máxime si se tiene en cuenta que la afiliación es una potestad única y exclusiva del afiliado que de manera libre y voluntaria decide cambiarse de régimen pensional. Como excepciones formuló: </w:t>
      </w:r>
      <w:r w:rsidR="009D08A3" w:rsidRPr="004E4013">
        <w:rPr>
          <w:rFonts w:ascii="Bookman Old Style" w:hAnsi="Bookman Old Style" w:cs="Arial"/>
          <w:b/>
          <w:noProof/>
        </w:rPr>
        <w:t xml:space="preserve">excepción de falta de causa para demandar, inoponibilidad de la responsabilidad de la AFP ante COLPENSIONES, en casos de ineficacia de traslado de régimen, </w:t>
      </w:r>
      <w:r w:rsidR="009D08A3" w:rsidRPr="004E4013">
        <w:rPr>
          <w:rFonts w:ascii="Bookman Old Style" w:hAnsi="Bookman Old Style" w:cs="Arial"/>
          <w:b/>
          <w:noProof/>
        </w:rPr>
        <w:lastRenderedPageBreak/>
        <w:t xml:space="preserve">inobservancia del principio de sostenibilidad financiera del sistema general de pensiones, inoponibilidad por ser tercero de buena fe, prescripción y declaratoria de otras excepciones: innominada o genérica. </w:t>
      </w:r>
      <w:r w:rsidR="009D08A3" w:rsidRPr="004E4013">
        <w:rPr>
          <w:rFonts w:ascii="Bookman Old Style" w:hAnsi="Bookman Old Style" w:cs="Arial"/>
          <w:noProof/>
        </w:rPr>
        <w:t>(</w:t>
      </w:r>
      <w:r w:rsidR="001B3BC4" w:rsidRPr="004E4013">
        <w:rPr>
          <w:rFonts w:ascii="Bookman Old Style" w:hAnsi="Bookman Old Style" w:cs="Arial"/>
          <w:bCs/>
          <w:noProof/>
        </w:rPr>
        <w:t>Anexo1</w:t>
      </w:r>
      <w:r w:rsidR="009D08A3" w:rsidRPr="004E4013">
        <w:rPr>
          <w:rFonts w:ascii="Bookman Old Style" w:hAnsi="Bookman Old Style" w:cs="Arial"/>
          <w:bCs/>
          <w:noProof/>
        </w:rPr>
        <w:t>1</w:t>
      </w:r>
      <w:r w:rsidR="001B3BC4" w:rsidRPr="004E4013">
        <w:rPr>
          <w:rFonts w:ascii="Bookman Old Style" w:hAnsi="Bookman Old Style" w:cs="Arial"/>
          <w:bCs/>
          <w:noProof/>
        </w:rPr>
        <w:t>)</w:t>
      </w:r>
    </w:p>
    <w:p w14:paraId="18508ED2" w14:textId="77777777" w:rsidR="003073FB" w:rsidRPr="004E4013" w:rsidRDefault="003073FB" w:rsidP="004E4013">
      <w:pPr>
        <w:spacing w:line="276" w:lineRule="auto"/>
        <w:ind w:firstLine="0"/>
        <w:rPr>
          <w:rFonts w:ascii="Bookman Old Style" w:hAnsi="Bookman Old Style" w:cs="Arial"/>
          <w:i/>
          <w:iCs/>
        </w:rPr>
      </w:pPr>
    </w:p>
    <w:p w14:paraId="3152A076" w14:textId="74451887" w:rsidR="00082AF6" w:rsidRPr="004E4013" w:rsidRDefault="00E60061" w:rsidP="004E4013">
      <w:pPr>
        <w:spacing w:line="276" w:lineRule="auto"/>
        <w:ind w:firstLine="0"/>
        <w:rPr>
          <w:rFonts w:ascii="Bookman Old Style" w:hAnsi="Bookman Old Style" w:cs="Arial"/>
          <w:bCs/>
          <w:noProof/>
        </w:rPr>
      </w:pPr>
      <w:r w:rsidRPr="004E4013">
        <w:rPr>
          <w:rFonts w:ascii="Bookman Old Style" w:hAnsi="Bookman Old Style" w:cs="Arial"/>
          <w:b/>
          <w:bCs/>
          <w:noProof/>
        </w:rPr>
        <w:t>P</w:t>
      </w:r>
      <w:r w:rsidR="00D25A9D" w:rsidRPr="004E4013">
        <w:rPr>
          <w:rFonts w:ascii="Bookman Old Style" w:hAnsi="Bookman Old Style" w:cs="Arial"/>
          <w:b/>
          <w:bCs/>
          <w:noProof/>
        </w:rPr>
        <w:t>ROTECCIÓN</w:t>
      </w:r>
      <w:r w:rsidR="00082AF6" w:rsidRPr="004E4013">
        <w:rPr>
          <w:rFonts w:ascii="Bookman Old Style" w:hAnsi="Bookman Old Style" w:cs="Arial"/>
          <w:b/>
          <w:bCs/>
          <w:noProof/>
        </w:rPr>
        <w:t xml:space="preserve"> S.A. </w:t>
      </w:r>
      <w:r w:rsidR="00D25A9D" w:rsidRPr="004E4013">
        <w:rPr>
          <w:rFonts w:ascii="Bookman Old Style" w:hAnsi="Bookman Old Style" w:cs="Arial"/>
          <w:bCs/>
          <w:noProof/>
        </w:rPr>
        <w:t xml:space="preserve">señaló que </w:t>
      </w:r>
      <w:r w:rsidR="009D08A3" w:rsidRPr="004E4013">
        <w:rPr>
          <w:rFonts w:ascii="Bookman Old Style" w:hAnsi="Bookman Old Style" w:cs="Arial"/>
          <w:bCs/>
          <w:noProof/>
        </w:rPr>
        <w:t xml:space="preserve">para la época del traslado del actor lo que legamente se exigía una asesoría personalizada y que la suscripción de la solicitud de afiliación fuera libre, voluntaria y espontánea y el deber de acreditar la asesoría con soportes físicos solo surgió con la expedición de la Ley 1748 de 2018. Agregó que al momento de afiliación era imposibel proyectar el valor de la mesada pensional </w:t>
      </w:r>
      <w:r w:rsidR="006A06AF" w:rsidRPr="004E4013">
        <w:rPr>
          <w:rFonts w:ascii="Bookman Old Style" w:hAnsi="Bookman Old Style" w:cs="Arial"/>
          <w:bCs/>
          <w:noProof/>
        </w:rPr>
        <w:t xml:space="preserve">con tantos años de anticipación por no conocerse el devenir salarial del afiliado con el transcurso del tiempo. De ahí que debe declararse válido el traslado de la accionante. </w:t>
      </w:r>
      <w:r w:rsidRPr="004E4013">
        <w:rPr>
          <w:rFonts w:ascii="Bookman Old Style" w:hAnsi="Bookman Old Style" w:cs="Arial"/>
          <w:bCs/>
          <w:noProof/>
        </w:rPr>
        <w:t xml:space="preserve">Como excepciones propuso: </w:t>
      </w:r>
      <w:r w:rsidR="006A06AF" w:rsidRPr="004E4013">
        <w:rPr>
          <w:rFonts w:ascii="Bookman Old Style" w:hAnsi="Bookman Old Style" w:cs="Arial"/>
          <w:b/>
          <w:bCs/>
          <w:noProof/>
        </w:rPr>
        <w:t>genérica o innominada, prescripción, buena fe, compensación, exoneración de condena en costas, inexistencia de la obligación, falta de la legitimación en la causa y/o ausencia de personería sustantiva por pasiva, inexistencia de la fuente de la obligación, inexistencia de la causa por inexistencia de la oportunidad, ausencia de perjuicios morales y materiales irrogados por parte de esta entidad llamada a juicio, afectación de la estabilidad financiera del sisma en caso de acceder al traslado, excepción de mérito seguro previsional, excepción de mérito cuotas de administración.</w:t>
      </w:r>
      <w:r w:rsidR="001B3BC4" w:rsidRPr="004E4013">
        <w:rPr>
          <w:rFonts w:ascii="Bookman Old Style" w:hAnsi="Bookman Old Style" w:cs="Arial"/>
          <w:b/>
          <w:bCs/>
          <w:noProof/>
        </w:rPr>
        <w:t xml:space="preserve"> </w:t>
      </w:r>
      <w:r w:rsidR="00D25A9D" w:rsidRPr="004E4013">
        <w:rPr>
          <w:rFonts w:ascii="Bookman Old Style" w:hAnsi="Bookman Old Style" w:cs="Arial"/>
          <w:bCs/>
          <w:noProof/>
        </w:rPr>
        <w:t>(Anexo1</w:t>
      </w:r>
      <w:r w:rsidR="009D08A3" w:rsidRPr="004E4013">
        <w:rPr>
          <w:rFonts w:ascii="Bookman Old Style" w:hAnsi="Bookman Old Style" w:cs="Arial"/>
          <w:bCs/>
          <w:noProof/>
        </w:rPr>
        <w:t>2</w:t>
      </w:r>
      <w:r w:rsidR="00D25A9D" w:rsidRPr="004E4013">
        <w:rPr>
          <w:rFonts w:ascii="Bookman Old Style" w:hAnsi="Bookman Old Style" w:cs="Arial"/>
          <w:bCs/>
          <w:noProof/>
        </w:rPr>
        <w:t>)</w:t>
      </w:r>
    </w:p>
    <w:p w14:paraId="524C6945" w14:textId="094D7114" w:rsidR="00B86E32" w:rsidRPr="004E4013" w:rsidRDefault="00B86E32" w:rsidP="004E4013">
      <w:pPr>
        <w:tabs>
          <w:tab w:val="left" w:pos="2268"/>
        </w:tabs>
        <w:suppressAutoHyphens/>
        <w:spacing w:line="276" w:lineRule="auto"/>
        <w:ind w:firstLine="0"/>
        <w:rPr>
          <w:rFonts w:ascii="Bookman Old Style" w:hAnsi="Bookman Old Style" w:cs="Arial"/>
        </w:rPr>
      </w:pPr>
    </w:p>
    <w:p w14:paraId="3C981D2F" w14:textId="77777777" w:rsidR="003073FB" w:rsidRPr="004E4013" w:rsidRDefault="003073FB" w:rsidP="004E4013">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4E4013">
        <w:rPr>
          <w:rFonts w:ascii="Bookman Old Style" w:hAnsi="Bookman Old Style" w:cs="Arial"/>
          <w:b/>
          <w:bCs/>
        </w:rPr>
        <w:t>SENTENCIA DE PRIMERA INSTANCIA</w:t>
      </w:r>
    </w:p>
    <w:p w14:paraId="32A474E2" w14:textId="77777777" w:rsidR="003073FB" w:rsidRPr="004E4013" w:rsidRDefault="003073FB" w:rsidP="004E4013">
      <w:pPr>
        <w:spacing w:line="276" w:lineRule="auto"/>
        <w:ind w:firstLine="0"/>
        <w:rPr>
          <w:rFonts w:ascii="Bookman Old Style" w:hAnsi="Bookman Old Style" w:cs="Arial"/>
        </w:rPr>
      </w:pPr>
    </w:p>
    <w:p w14:paraId="0136D009" w14:textId="77777777" w:rsidR="00F04E18"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La Jueza </w:t>
      </w:r>
      <w:r w:rsidR="007209EE" w:rsidRPr="004E4013">
        <w:rPr>
          <w:rFonts w:ascii="Bookman Old Style" w:hAnsi="Bookman Old Style" w:cs="Arial"/>
          <w:noProof/>
        </w:rPr>
        <w:t>Quinto</w:t>
      </w:r>
      <w:r w:rsidR="006D4809" w:rsidRPr="004E4013">
        <w:rPr>
          <w:rFonts w:ascii="Bookman Old Style" w:hAnsi="Bookman Old Style" w:cs="Arial"/>
          <w:noProof/>
        </w:rPr>
        <w:t xml:space="preserve"> Laboral Circuito</w:t>
      </w:r>
      <w:r w:rsidR="006D4809" w:rsidRPr="004E4013">
        <w:rPr>
          <w:rFonts w:ascii="Bookman Old Style" w:hAnsi="Bookman Old Style" w:cs="Arial"/>
        </w:rPr>
        <w:t xml:space="preserve"> </w:t>
      </w:r>
      <w:r w:rsidR="00EE3DF8" w:rsidRPr="004E4013">
        <w:rPr>
          <w:rFonts w:ascii="Bookman Old Style" w:hAnsi="Bookman Old Style" w:cs="Arial"/>
        </w:rPr>
        <w:t>de Pereira</w:t>
      </w:r>
      <w:r w:rsidRPr="004E4013">
        <w:rPr>
          <w:rFonts w:ascii="Bookman Old Style" w:hAnsi="Bookman Old Style" w:cs="Arial"/>
        </w:rPr>
        <w:t>, resolvió</w:t>
      </w:r>
      <w:r w:rsidR="00F04E18" w:rsidRPr="004E4013">
        <w:rPr>
          <w:rFonts w:ascii="Bookman Old Style" w:hAnsi="Bookman Old Style" w:cs="Arial"/>
        </w:rPr>
        <w:t>:</w:t>
      </w:r>
    </w:p>
    <w:p w14:paraId="1F85B85E" w14:textId="77777777" w:rsidR="00F04E18" w:rsidRPr="004E4013" w:rsidRDefault="00F04E18" w:rsidP="004E4013">
      <w:pPr>
        <w:spacing w:line="276" w:lineRule="auto"/>
        <w:ind w:firstLine="0"/>
        <w:rPr>
          <w:rFonts w:ascii="Bookman Old Style" w:hAnsi="Bookman Old Style" w:cs="Arial"/>
        </w:rPr>
      </w:pPr>
    </w:p>
    <w:p w14:paraId="5590415B" w14:textId="77777777" w:rsidR="006A06AF" w:rsidRPr="00C54280" w:rsidRDefault="00F04E18" w:rsidP="00C54280">
      <w:pPr>
        <w:spacing w:line="240" w:lineRule="auto"/>
        <w:ind w:left="426" w:right="420" w:firstLine="0"/>
        <w:rPr>
          <w:rFonts w:ascii="Bookman Old Style" w:hAnsi="Bookman Old Style" w:cs="Arial"/>
          <w:i/>
          <w:noProof/>
          <w:sz w:val="22"/>
        </w:rPr>
      </w:pPr>
      <w:r w:rsidRPr="00C54280">
        <w:rPr>
          <w:rFonts w:ascii="Bookman Old Style" w:hAnsi="Bookman Old Style" w:cs="Arial"/>
          <w:bCs/>
          <w:i/>
          <w:sz w:val="22"/>
        </w:rPr>
        <w:t>“</w:t>
      </w:r>
      <w:r w:rsidR="006A06AF" w:rsidRPr="00C54280">
        <w:rPr>
          <w:rFonts w:ascii="Bookman Old Style" w:hAnsi="Bookman Old Style" w:cs="Arial"/>
          <w:i/>
          <w:noProof/>
          <w:sz w:val="22"/>
        </w:rPr>
        <w:t xml:space="preserve">PRIMERO: DECLARAR la ineficacia del traslado de régimen que MARTHA CECILIA BETANCURT PÉREZ efectuó al Régimen de Ahorro Individual con Solidaridad, mediante solicitud del 02 de mayo de 2000 efectivo a partir del 01 de julio de 2000, a través del FONDO DE PENSIONES Y CESANTIAS SANTANDER hoy ADMINISTRADORA DE FONDOS DE PENSIONES Y CESANTIAS PROTECCION S.A., por lo expuesto en la parte motiva de esta decisión. </w:t>
      </w:r>
    </w:p>
    <w:p w14:paraId="1302B55D" w14:textId="77777777" w:rsidR="006A06AF" w:rsidRPr="00C54280" w:rsidRDefault="006A06AF" w:rsidP="00C54280">
      <w:pPr>
        <w:spacing w:line="240" w:lineRule="auto"/>
        <w:ind w:left="426" w:right="420" w:firstLine="0"/>
        <w:rPr>
          <w:rFonts w:ascii="Bookman Old Style" w:hAnsi="Bookman Old Style" w:cs="Arial"/>
          <w:i/>
          <w:noProof/>
          <w:sz w:val="22"/>
        </w:rPr>
      </w:pPr>
    </w:p>
    <w:p w14:paraId="2B707BBC" w14:textId="1A283194" w:rsidR="006A06AF" w:rsidRPr="00C54280" w:rsidRDefault="006A06AF" w:rsidP="00C54280">
      <w:pPr>
        <w:spacing w:line="240" w:lineRule="auto"/>
        <w:ind w:left="426" w:right="420" w:firstLine="0"/>
        <w:rPr>
          <w:rFonts w:ascii="Bookman Old Style" w:hAnsi="Bookman Old Style" w:cs="Arial"/>
          <w:i/>
          <w:noProof/>
          <w:sz w:val="22"/>
        </w:rPr>
      </w:pPr>
      <w:r w:rsidRPr="00C54280">
        <w:rPr>
          <w:rFonts w:ascii="Bookman Old Style" w:hAnsi="Bookman Old Style" w:cs="Arial"/>
          <w:i/>
          <w:noProof/>
          <w:sz w:val="22"/>
        </w:rPr>
        <w:t>SEGUNDO: ORDENAR a PROTECCIÓN S.A., que proceda a devolver a la ADMINISTRADORA COLOMBIANA DE PENSIONES - COLPENSIONES, la totalidad de las sumas recibidas con ocasión de la afiliación de MARTHA CECILIA BETANCURT PÉREZ, por concepto de cotizaciones recaudadas durante la vigencia de la afiliación, y sumas adicionales, junto con sus respectivos rendimientos, frutos e intereses</w:t>
      </w:r>
      <w:r w:rsidR="00FB74DA" w:rsidRPr="00C54280">
        <w:rPr>
          <w:rFonts w:ascii="Bookman Old Style" w:hAnsi="Bookman Old Style" w:cs="Arial"/>
          <w:i/>
          <w:noProof/>
          <w:sz w:val="22"/>
        </w:rPr>
        <w:t>.</w:t>
      </w:r>
    </w:p>
    <w:p w14:paraId="7B336EED" w14:textId="77777777" w:rsidR="006A06AF" w:rsidRPr="00C54280" w:rsidRDefault="006A06AF" w:rsidP="00C54280">
      <w:pPr>
        <w:spacing w:line="240" w:lineRule="auto"/>
        <w:ind w:left="426" w:right="420" w:firstLine="0"/>
        <w:rPr>
          <w:rFonts w:ascii="Bookman Old Style" w:hAnsi="Bookman Old Style" w:cs="Arial"/>
          <w:i/>
          <w:noProof/>
          <w:sz w:val="22"/>
        </w:rPr>
      </w:pPr>
    </w:p>
    <w:p w14:paraId="5FF66D2A" w14:textId="77777777" w:rsidR="006A06AF" w:rsidRPr="00C54280" w:rsidRDefault="006A06AF" w:rsidP="00C54280">
      <w:pPr>
        <w:spacing w:line="240" w:lineRule="auto"/>
        <w:ind w:left="426" w:right="420" w:firstLine="0"/>
        <w:rPr>
          <w:rFonts w:ascii="Bookman Old Style" w:hAnsi="Bookman Old Style" w:cs="Arial"/>
          <w:i/>
          <w:noProof/>
          <w:sz w:val="22"/>
        </w:rPr>
      </w:pPr>
      <w:r w:rsidRPr="00C54280">
        <w:rPr>
          <w:rFonts w:ascii="Bookman Old Style" w:hAnsi="Bookman Old Style" w:cs="Arial"/>
          <w:i/>
          <w:noProof/>
          <w:sz w:val="22"/>
        </w:rPr>
        <w:t xml:space="preserve">TERCERO: ORDENAR a PROTECCIÓN S.A. que proceda a devolver a la ADMINISTRADORA COLOMBIANA DE PENSIONES - COLPENSIONES el valor de las comisiones, gastos de administración, cuotas de garantía de pensión mínima y seguros previsionales que descontó, debidamente indexados y con cargo a su patrimonio, por el período en que la señora MARTHA CECILIA BETANCURT PÉREZ estuvo afiliada a dicho fondo. </w:t>
      </w:r>
    </w:p>
    <w:p w14:paraId="660F6D5E" w14:textId="77777777" w:rsidR="006A06AF" w:rsidRPr="00C54280" w:rsidRDefault="006A06AF" w:rsidP="00C54280">
      <w:pPr>
        <w:spacing w:line="240" w:lineRule="auto"/>
        <w:ind w:left="426" w:right="420" w:firstLine="0"/>
        <w:rPr>
          <w:rFonts w:ascii="Bookman Old Style" w:hAnsi="Bookman Old Style" w:cs="Arial"/>
          <w:i/>
          <w:noProof/>
          <w:sz w:val="22"/>
        </w:rPr>
      </w:pPr>
    </w:p>
    <w:p w14:paraId="4F91BAF9" w14:textId="77777777" w:rsidR="006A06AF" w:rsidRPr="00C54280" w:rsidRDefault="006A06AF" w:rsidP="00C54280">
      <w:pPr>
        <w:spacing w:line="240" w:lineRule="auto"/>
        <w:ind w:left="426" w:right="420" w:firstLine="0"/>
        <w:rPr>
          <w:rFonts w:ascii="Bookman Old Style" w:hAnsi="Bookman Old Style" w:cs="Arial"/>
          <w:i/>
          <w:noProof/>
          <w:sz w:val="22"/>
        </w:rPr>
      </w:pPr>
      <w:r w:rsidRPr="00C54280">
        <w:rPr>
          <w:rFonts w:ascii="Bookman Old Style" w:hAnsi="Bookman Old Style" w:cs="Arial"/>
          <w:i/>
          <w:noProof/>
          <w:sz w:val="22"/>
        </w:rPr>
        <w:t xml:space="preserve">CUARTO: COMUNICAR a la OBP del MINISTERIO DE HACIENDA Y CRÉDITO PÚBLICO, la presente decisión, para que, si es del caso, mediante trámite interno y a través de canales institucionales, ejecute todas las acciones a que haya lugar para dejar las cosas en el estado en el que se encontraban para el </w:t>
      </w:r>
      <w:r w:rsidRPr="00C54280">
        <w:rPr>
          <w:rFonts w:ascii="Bookman Old Style" w:hAnsi="Bookman Old Style" w:cs="Arial"/>
          <w:i/>
          <w:noProof/>
          <w:sz w:val="22"/>
        </w:rPr>
        <w:lastRenderedPageBreak/>
        <w:t xml:space="preserve">30 de junio de 2000- día anterior a la efectividad del traslado-, procediendo, entre otras cosas y de ser el caso, a anular o dejar sin vigencia el bono pensional que se hubiese generado en favor de la señora MARTHA CECILIA BETANCURT PÉREZ y que tendría como fecha de redención normal el 2 de enero de 2023, aplicando con ello lo previsto en el artículo 57 del Decreto 1748 de 1995 modificado por el artículo 17 del Decreto 3798 de 2003 hoy recopilado en el Decreto 1833 de 2016. </w:t>
      </w:r>
    </w:p>
    <w:p w14:paraId="45C5F036" w14:textId="77777777" w:rsidR="006A06AF" w:rsidRPr="00C54280" w:rsidRDefault="006A06AF" w:rsidP="00C54280">
      <w:pPr>
        <w:spacing w:line="240" w:lineRule="auto"/>
        <w:ind w:left="426" w:right="420" w:firstLine="0"/>
        <w:rPr>
          <w:rFonts w:ascii="Bookman Old Style" w:hAnsi="Bookman Old Style" w:cs="Arial"/>
          <w:i/>
          <w:noProof/>
          <w:sz w:val="22"/>
        </w:rPr>
      </w:pPr>
    </w:p>
    <w:p w14:paraId="06FFA3DA" w14:textId="77777777" w:rsidR="006A06AF" w:rsidRPr="00C54280" w:rsidRDefault="006A06AF" w:rsidP="00C54280">
      <w:pPr>
        <w:spacing w:line="240" w:lineRule="auto"/>
        <w:ind w:left="426" w:right="420" w:firstLine="0"/>
        <w:rPr>
          <w:rFonts w:ascii="Bookman Old Style" w:hAnsi="Bookman Old Style" w:cs="Arial"/>
          <w:i/>
          <w:noProof/>
          <w:sz w:val="22"/>
        </w:rPr>
      </w:pPr>
      <w:r w:rsidRPr="00C54280">
        <w:rPr>
          <w:rFonts w:ascii="Bookman Old Style" w:hAnsi="Bookman Old Style" w:cs="Arial"/>
          <w:i/>
          <w:noProof/>
          <w:sz w:val="22"/>
        </w:rPr>
        <w:t xml:space="preserve">QUINTO: ORDENAR a la AFP PROTECCIÓN S.A., que, en caso de haberse efectuado la redención del bono, proceda a restituir la suma pagada por ese concepto a favor de la OBP del Ministerio de Hacienda y Crédito Público y/o a la entidad que hubiese efectuado el pago, monto que deberá ser indexado con cargo a sus propios recursos </w:t>
      </w:r>
    </w:p>
    <w:p w14:paraId="109A9704" w14:textId="77777777" w:rsidR="006A06AF" w:rsidRPr="00C54280" w:rsidRDefault="006A06AF" w:rsidP="00C54280">
      <w:pPr>
        <w:spacing w:line="240" w:lineRule="auto"/>
        <w:ind w:left="426" w:right="420" w:firstLine="0"/>
        <w:rPr>
          <w:rFonts w:ascii="Bookman Old Style" w:hAnsi="Bookman Old Style" w:cs="Arial"/>
          <w:i/>
          <w:noProof/>
          <w:sz w:val="22"/>
        </w:rPr>
      </w:pPr>
    </w:p>
    <w:p w14:paraId="3FC63D7D" w14:textId="77777777" w:rsidR="006A06AF" w:rsidRPr="00C54280" w:rsidRDefault="006A06AF" w:rsidP="00C54280">
      <w:pPr>
        <w:spacing w:line="240" w:lineRule="auto"/>
        <w:ind w:left="426" w:right="420" w:firstLine="0"/>
        <w:rPr>
          <w:rFonts w:ascii="Bookman Old Style" w:hAnsi="Bookman Old Style" w:cs="Arial"/>
          <w:i/>
          <w:noProof/>
          <w:sz w:val="22"/>
        </w:rPr>
      </w:pPr>
      <w:r w:rsidRPr="00C54280">
        <w:rPr>
          <w:rFonts w:ascii="Bookman Old Style" w:hAnsi="Bookman Old Style" w:cs="Arial"/>
          <w:i/>
          <w:noProof/>
          <w:sz w:val="22"/>
        </w:rPr>
        <w:t xml:space="preserve">SEXTO: ORDENAR a la ADMINISTRADORA COLOMBIANA DE PENSIONES - COLPENSIONES, que acepte el retorno de MARTHA CECILIA BETANCURT PÉREZ, sin solución de continuidad, desde el momento en que se afilió al régimen que administra. </w:t>
      </w:r>
    </w:p>
    <w:p w14:paraId="18A6D48B" w14:textId="77777777" w:rsidR="006A06AF" w:rsidRPr="00C54280" w:rsidRDefault="006A06AF" w:rsidP="00C54280">
      <w:pPr>
        <w:spacing w:line="240" w:lineRule="auto"/>
        <w:ind w:left="426" w:right="420" w:firstLine="0"/>
        <w:rPr>
          <w:rFonts w:ascii="Bookman Old Style" w:hAnsi="Bookman Old Style" w:cs="Arial"/>
          <w:i/>
          <w:noProof/>
          <w:sz w:val="22"/>
        </w:rPr>
      </w:pPr>
    </w:p>
    <w:p w14:paraId="2257DC37" w14:textId="77777777" w:rsidR="006A06AF" w:rsidRPr="00C54280" w:rsidRDefault="006A06AF" w:rsidP="00C54280">
      <w:pPr>
        <w:spacing w:line="240" w:lineRule="auto"/>
        <w:ind w:left="426" w:right="420" w:firstLine="0"/>
        <w:rPr>
          <w:rFonts w:ascii="Bookman Old Style" w:hAnsi="Bookman Old Style" w:cs="Arial"/>
          <w:i/>
          <w:noProof/>
          <w:sz w:val="22"/>
        </w:rPr>
      </w:pPr>
      <w:r w:rsidRPr="00C54280">
        <w:rPr>
          <w:rFonts w:ascii="Bookman Old Style" w:hAnsi="Bookman Old Style" w:cs="Arial"/>
          <w:i/>
          <w:noProof/>
          <w:sz w:val="22"/>
        </w:rPr>
        <w:t>SÉPTIMO: DECLARAR no probados los medios exceptivos propuestos por las codemandadas, conforme las consideraciones esbozadas.</w:t>
      </w:r>
    </w:p>
    <w:p w14:paraId="0B1D672C" w14:textId="77777777" w:rsidR="006A06AF" w:rsidRPr="00C54280" w:rsidRDefault="006A06AF" w:rsidP="00C54280">
      <w:pPr>
        <w:spacing w:line="240" w:lineRule="auto"/>
        <w:ind w:left="426" w:right="420" w:firstLine="0"/>
        <w:rPr>
          <w:rFonts w:ascii="Bookman Old Style" w:hAnsi="Bookman Old Style" w:cs="Arial"/>
          <w:i/>
          <w:noProof/>
          <w:sz w:val="22"/>
        </w:rPr>
      </w:pPr>
    </w:p>
    <w:p w14:paraId="5D45DBED" w14:textId="020BBC02" w:rsidR="00DF20CF" w:rsidRPr="00C54280" w:rsidRDefault="006A06AF" w:rsidP="00C54280">
      <w:pPr>
        <w:spacing w:line="240" w:lineRule="auto"/>
        <w:ind w:left="426" w:right="420" w:firstLine="0"/>
        <w:rPr>
          <w:rFonts w:ascii="Bookman Old Style" w:hAnsi="Bookman Old Style" w:cs="Arial"/>
          <w:i/>
          <w:noProof/>
          <w:sz w:val="22"/>
        </w:rPr>
      </w:pPr>
      <w:r w:rsidRPr="00C54280">
        <w:rPr>
          <w:rFonts w:ascii="Bookman Old Style" w:hAnsi="Bookman Old Style" w:cs="Arial"/>
          <w:i/>
          <w:noProof/>
          <w:sz w:val="22"/>
        </w:rPr>
        <w:t>OCTAVO: CONDENAR en costas a PROTECCIÓN S.A., en un 100% a favor de la parte actora. Por secretaría liquídense. Sin costas respecto de COLPENSIONES.</w:t>
      </w:r>
      <w:r w:rsidR="00F04E18" w:rsidRPr="00C54280">
        <w:rPr>
          <w:rFonts w:ascii="Bookman Old Style" w:hAnsi="Bookman Old Style" w:cs="Arial"/>
          <w:i/>
          <w:noProof/>
          <w:sz w:val="22"/>
        </w:rPr>
        <w:t>”</w:t>
      </w:r>
    </w:p>
    <w:p w14:paraId="6A4811C4" w14:textId="77777777" w:rsidR="00F04E18" w:rsidRPr="004E4013" w:rsidRDefault="00F04E18" w:rsidP="004E4013">
      <w:pPr>
        <w:spacing w:line="276" w:lineRule="auto"/>
        <w:ind w:firstLine="0"/>
        <w:rPr>
          <w:rFonts w:ascii="Bookman Old Style" w:hAnsi="Bookman Old Style" w:cs="Arial"/>
        </w:rPr>
      </w:pPr>
    </w:p>
    <w:p w14:paraId="607080B6" w14:textId="1157A455" w:rsidR="00C21BAD" w:rsidRPr="004E4013" w:rsidRDefault="00C21BAD" w:rsidP="004E4013">
      <w:pPr>
        <w:spacing w:line="276" w:lineRule="auto"/>
        <w:ind w:firstLine="0"/>
        <w:rPr>
          <w:rFonts w:ascii="Bookman Old Style" w:hAnsi="Bookman Old Style" w:cs="Arial"/>
          <w:noProof/>
        </w:rPr>
      </w:pPr>
      <w:r w:rsidRPr="004E4013">
        <w:rPr>
          <w:rFonts w:ascii="Bookman Old Style" w:hAnsi="Bookman Old Style" w:cs="Arial"/>
        </w:rPr>
        <w:t xml:space="preserve">En síntesis, </w:t>
      </w:r>
      <w:r w:rsidR="0072357F" w:rsidRPr="004E4013">
        <w:rPr>
          <w:rFonts w:ascii="Bookman Old Style" w:hAnsi="Bookman Old Style" w:cs="Arial"/>
        </w:rPr>
        <w:t>el juez</w:t>
      </w:r>
      <w:r w:rsidRPr="004E4013">
        <w:rPr>
          <w:rFonts w:ascii="Bookman Old Style" w:hAnsi="Bookman Old Style" w:cs="Arial"/>
        </w:rPr>
        <w:t xml:space="preserve"> de instancia dedujo </w:t>
      </w:r>
      <w:r w:rsidRPr="004E4013">
        <w:rPr>
          <w:rFonts w:ascii="Bookman Old Style" w:hAnsi="Bookman Old Style" w:cs="Arial"/>
          <w:noProof/>
        </w:rPr>
        <w:t>con fundamento en la jurisprudencia de la Corte Suprema de Justicia, que el caso debía de abordarse desde la ineficacia en sentido estricto al ser la razón la falta de información para la formación del acto; que dicha figura se aplica, independientemente de que sea o no el afiliado beneficiario del régimen de transición, sie</w:t>
      </w:r>
      <w:r w:rsidR="00F61E94" w:rsidRPr="004E4013">
        <w:rPr>
          <w:rFonts w:ascii="Bookman Old Style" w:hAnsi="Bookman Old Style" w:cs="Arial"/>
          <w:noProof/>
        </w:rPr>
        <w:t>ndo la AFP a quien</w:t>
      </w:r>
      <w:r w:rsidRPr="004E4013">
        <w:rPr>
          <w:rFonts w:ascii="Bookman Old Style" w:hAnsi="Bookman Old Style" w:cs="Arial"/>
          <w:noProof/>
        </w:rPr>
        <w:t xml:space="preserve"> le incumbe la carga de probar que, de acuerdo al momento histórico en que se formó el acto, cump</w:t>
      </w:r>
      <w:r w:rsidR="00F61E94" w:rsidRPr="004E4013">
        <w:rPr>
          <w:rFonts w:ascii="Bookman Old Style" w:hAnsi="Bookman Old Style" w:cs="Arial"/>
          <w:noProof/>
        </w:rPr>
        <w:t>lió con el deber de información;</w:t>
      </w:r>
      <w:r w:rsidRPr="004E4013">
        <w:rPr>
          <w:rFonts w:ascii="Bookman Old Style" w:hAnsi="Bookman Old Style" w:cs="Arial"/>
          <w:noProof/>
        </w:rPr>
        <w:t xml:space="preserve"> esto es, que le brindó información clara, cierta, comprensible y oportuna de las características, riesgos, diferencias, condiciones, beneficios y consecuencias  de ambos regímenes, sin que sea suficiente la sola suscripción del formulario de afiliación porque solo acreditan que existió un consentimiento más no que hubiese sido informado.</w:t>
      </w:r>
    </w:p>
    <w:p w14:paraId="5706AEDE" w14:textId="037F0F08" w:rsidR="00C21BAD" w:rsidRPr="004E4013" w:rsidRDefault="00C21BAD" w:rsidP="004E4013">
      <w:pPr>
        <w:spacing w:line="276" w:lineRule="auto"/>
        <w:ind w:firstLine="0"/>
        <w:rPr>
          <w:rFonts w:ascii="Bookman Old Style" w:hAnsi="Bookman Old Style" w:cs="Arial"/>
          <w:noProof/>
        </w:rPr>
      </w:pPr>
    </w:p>
    <w:p w14:paraId="28E9FCBB" w14:textId="17515D04" w:rsidR="00F04E18" w:rsidRPr="004E4013" w:rsidRDefault="00C21BAD" w:rsidP="004E4013">
      <w:pPr>
        <w:spacing w:line="276" w:lineRule="auto"/>
        <w:ind w:firstLine="0"/>
        <w:rPr>
          <w:rFonts w:ascii="Bookman Old Style" w:hAnsi="Bookman Old Style" w:cs="Arial"/>
          <w:noProof/>
        </w:rPr>
      </w:pPr>
      <w:r w:rsidRPr="004E4013">
        <w:rPr>
          <w:rFonts w:ascii="Bookman Old Style" w:hAnsi="Bookman Old Style" w:cs="Arial"/>
          <w:noProof/>
        </w:rPr>
        <w:t>En suma, no encontró que la</w:t>
      </w:r>
      <w:r w:rsidR="00F61E94" w:rsidRPr="004E4013">
        <w:rPr>
          <w:rFonts w:ascii="Bookman Old Style" w:hAnsi="Bookman Old Style" w:cs="Arial"/>
          <w:noProof/>
        </w:rPr>
        <w:t xml:space="preserve"> AFP hubiese</w:t>
      </w:r>
      <w:r w:rsidRPr="004E4013">
        <w:rPr>
          <w:rFonts w:ascii="Bookman Old Style" w:hAnsi="Bookman Old Style" w:cs="Arial"/>
          <w:noProof/>
        </w:rPr>
        <w:t xml:space="preserve"> acreditado que inform</w:t>
      </w:r>
      <w:r w:rsidR="00B55C66" w:rsidRPr="004E4013">
        <w:rPr>
          <w:rFonts w:ascii="Bookman Old Style" w:hAnsi="Bookman Old Style" w:cs="Arial"/>
          <w:noProof/>
        </w:rPr>
        <w:t xml:space="preserve">ó </w:t>
      </w:r>
      <w:r w:rsidRPr="004E4013">
        <w:rPr>
          <w:rFonts w:ascii="Bookman Old Style" w:hAnsi="Bookman Old Style" w:cs="Arial"/>
          <w:noProof/>
        </w:rPr>
        <w:t>debidamente a</w:t>
      </w:r>
      <w:r w:rsidR="006A06AF" w:rsidRPr="004E4013">
        <w:rPr>
          <w:rFonts w:ascii="Bookman Old Style" w:hAnsi="Bookman Old Style" w:cs="Arial"/>
          <w:noProof/>
        </w:rPr>
        <w:t xml:space="preserve"> la</w:t>
      </w:r>
      <w:r w:rsidRPr="004E4013">
        <w:rPr>
          <w:rFonts w:ascii="Bookman Old Style" w:hAnsi="Bookman Old Style" w:cs="Arial"/>
          <w:noProof/>
        </w:rPr>
        <w:t xml:space="preserve"> afiliad</w:t>
      </w:r>
      <w:r w:rsidR="006A06AF" w:rsidRPr="004E4013">
        <w:rPr>
          <w:rFonts w:ascii="Bookman Old Style" w:hAnsi="Bookman Old Style" w:cs="Arial"/>
          <w:noProof/>
        </w:rPr>
        <w:t>a</w:t>
      </w:r>
      <w:r w:rsidR="00630716" w:rsidRPr="004E4013">
        <w:rPr>
          <w:rFonts w:ascii="Bookman Old Style" w:hAnsi="Bookman Old Style" w:cs="Arial"/>
          <w:noProof/>
        </w:rPr>
        <w:t xml:space="preserve"> al momento del traslado</w:t>
      </w:r>
      <w:r w:rsidRPr="004E4013">
        <w:rPr>
          <w:rFonts w:ascii="Bookman Old Style" w:hAnsi="Bookman Old Style" w:cs="Arial"/>
          <w:noProof/>
        </w:rPr>
        <w:t>; que solo arrim</w:t>
      </w:r>
      <w:r w:rsidR="00B55C66" w:rsidRPr="004E4013">
        <w:rPr>
          <w:rFonts w:ascii="Bookman Old Style" w:hAnsi="Bookman Old Style" w:cs="Arial"/>
          <w:noProof/>
        </w:rPr>
        <w:t>ó</w:t>
      </w:r>
      <w:r w:rsidR="00AD1AD0" w:rsidRPr="004E4013">
        <w:rPr>
          <w:rFonts w:ascii="Bookman Old Style" w:hAnsi="Bookman Old Style" w:cs="Arial"/>
          <w:noProof/>
        </w:rPr>
        <w:t xml:space="preserve"> </w:t>
      </w:r>
      <w:r w:rsidRPr="004E4013">
        <w:rPr>
          <w:rFonts w:ascii="Bookman Old Style" w:hAnsi="Bookman Old Style" w:cs="Arial"/>
          <w:noProof/>
        </w:rPr>
        <w:t>el formulario</w:t>
      </w:r>
      <w:r w:rsidR="00B55C66" w:rsidRPr="004E4013">
        <w:rPr>
          <w:rFonts w:ascii="Bookman Old Style" w:hAnsi="Bookman Old Style" w:cs="Arial"/>
          <w:noProof/>
        </w:rPr>
        <w:t xml:space="preserve"> de afiliación</w:t>
      </w:r>
      <w:r w:rsidRPr="004E4013">
        <w:rPr>
          <w:rFonts w:ascii="Bookman Old Style" w:hAnsi="Bookman Old Style" w:cs="Arial"/>
          <w:noProof/>
        </w:rPr>
        <w:t xml:space="preserve"> </w:t>
      </w:r>
      <w:r w:rsidR="00B55C66" w:rsidRPr="004E4013">
        <w:rPr>
          <w:rFonts w:ascii="Bookman Old Style" w:hAnsi="Bookman Old Style" w:cs="Arial"/>
          <w:noProof/>
        </w:rPr>
        <w:t>y el</w:t>
      </w:r>
      <w:r w:rsidRPr="004E4013">
        <w:rPr>
          <w:rFonts w:ascii="Bookman Old Style" w:hAnsi="Bookman Old Style" w:cs="Arial"/>
          <w:noProof/>
        </w:rPr>
        <w:t xml:space="preserve"> historial que</w:t>
      </w:r>
      <w:r w:rsidR="00AD1AD0" w:rsidRPr="004E4013">
        <w:rPr>
          <w:rFonts w:ascii="Bookman Old Style" w:hAnsi="Bookman Old Style" w:cs="Arial"/>
          <w:noProof/>
        </w:rPr>
        <w:t xml:space="preserve"> resultaron ser ins</w:t>
      </w:r>
      <w:r w:rsidRPr="004E4013">
        <w:rPr>
          <w:rFonts w:ascii="Bookman Old Style" w:hAnsi="Bookman Old Style" w:cs="Arial"/>
          <w:noProof/>
        </w:rPr>
        <w:t>uficientes para acreditar que cumpli</w:t>
      </w:r>
      <w:r w:rsidR="00B55C66" w:rsidRPr="004E4013">
        <w:rPr>
          <w:rFonts w:ascii="Bookman Old Style" w:hAnsi="Bookman Old Style" w:cs="Arial"/>
          <w:noProof/>
        </w:rPr>
        <w:t>ó</w:t>
      </w:r>
      <w:r w:rsidRPr="004E4013">
        <w:rPr>
          <w:rFonts w:ascii="Bookman Old Style" w:hAnsi="Bookman Old Style" w:cs="Arial"/>
          <w:noProof/>
        </w:rPr>
        <w:t xml:space="preserve"> con el deber de información</w:t>
      </w:r>
      <w:r w:rsidR="00AD1AD0" w:rsidRPr="004E4013">
        <w:rPr>
          <w:rFonts w:ascii="Bookman Old Style" w:hAnsi="Bookman Old Style" w:cs="Arial"/>
          <w:noProof/>
        </w:rPr>
        <w:t>.</w:t>
      </w:r>
    </w:p>
    <w:p w14:paraId="23983EFE" w14:textId="22B55ECE" w:rsidR="009001EE" w:rsidRPr="004E4013" w:rsidRDefault="009001EE" w:rsidP="004E4013">
      <w:pPr>
        <w:spacing w:line="276" w:lineRule="auto"/>
        <w:ind w:firstLine="0"/>
        <w:rPr>
          <w:rFonts w:ascii="Bookman Old Style" w:hAnsi="Bookman Old Style" w:cs="Arial"/>
          <w:noProof/>
        </w:rPr>
      </w:pPr>
    </w:p>
    <w:p w14:paraId="2302D815" w14:textId="66D33B3C" w:rsidR="009001EE" w:rsidRPr="004E4013" w:rsidRDefault="009001EE" w:rsidP="004E4013">
      <w:pPr>
        <w:spacing w:line="276" w:lineRule="auto"/>
        <w:ind w:firstLine="0"/>
        <w:rPr>
          <w:rFonts w:ascii="Bookman Old Style" w:hAnsi="Bookman Old Style" w:cs="Arial"/>
          <w:noProof/>
        </w:rPr>
      </w:pPr>
      <w:r w:rsidRPr="004E4013">
        <w:rPr>
          <w:rFonts w:ascii="Bookman Old Style" w:hAnsi="Bookman Old Style" w:cs="Arial"/>
          <w:noProof/>
        </w:rPr>
        <w:t xml:space="preserve">En ese sentido, </w:t>
      </w:r>
      <w:r w:rsidR="00793FDC" w:rsidRPr="004E4013">
        <w:rPr>
          <w:rFonts w:ascii="Bookman Old Style" w:hAnsi="Bookman Old Style" w:cs="Arial"/>
          <w:noProof/>
        </w:rPr>
        <w:t xml:space="preserve">condenó a </w:t>
      </w:r>
      <w:r w:rsidR="00B55C66" w:rsidRPr="004E4013">
        <w:rPr>
          <w:rFonts w:ascii="Bookman Old Style" w:hAnsi="Bookman Old Style" w:cs="Arial"/>
          <w:noProof/>
        </w:rPr>
        <w:t>la AFP</w:t>
      </w:r>
      <w:r w:rsidR="00793FDC" w:rsidRPr="004E4013">
        <w:rPr>
          <w:rFonts w:ascii="Bookman Old Style" w:hAnsi="Bookman Old Style" w:cs="Arial"/>
          <w:noProof/>
        </w:rPr>
        <w:t xml:space="preserve"> a devo</w:t>
      </w:r>
      <w:r w:rsidR="00B55C66" w:rsidRPr="004E4013">
        <w:rPr>
          <w:rFonts w:ascii="Bookman Old Style" w:hAnsi="Bookman Old Style" w:cs="Arial"/>
          <w:noProof/>
        </w:rPr>
        <w:t xml:space="preserve">lver los aportes y rendimientos, </w:t>
      </w:r>
      <w:r w:rsidR="00793FDC" w:rsidRPr="004E4013">
        <w:rPr>
          <w:rFonts w:ascii="Bookman Old Style" w:hAnsi="Bookman Old Style" w:cs="Arial"/>
          <w:noProof/>
        </w:rPr>
        <w:t>el valor de las comisiones, sumas adicionales, junto con sus respectivos rendimientos, frutos e intereses, gastos de administración, debidamente indexados</w:t>
      </w:r>
      <w:r w:rsidR="00B55C66" w:rsidRPr="004E4013">
        <w:rPr>
          <w:rFonts w:ascii="Bookman Old Style" w:hAnsi="Bookman Old Style" w:cs="Arial"/>
          <w:noProof/>
        </w:rPr>
        <w:t>.</w:t>
      </w:r>
    </w:p>
    <w:p w14:paraId="6A508F87" w14:textId="77777777" w:rsidR="003073FB" w:rsidRPr="004E4013" w:rsidRDefault="003073FB" w:rsidP="004E4013">
      <w:pPr>
        <w:spacing w:line="276" w:lineRule="auto"/>
        <w:ind w:firstLine="0"/>
        <w:rPr>
          <w:rFonts w:ascii="Bookman Old Style" w:hAnsi="Bookman Old Style" w:cs="Arial"/>
          <w:noProof/>
        </w:rPr>
      </w:pPr>
    </w:p>
    <w:p w14:paraId="65CB586C" w14:textId="77777777" w:rsidR="003073FB" w:rsidRPr="004E4013" w:rsidRDefault="003073FB" w:rsidP="004E4013">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4E4013">
        <w:rPr>
          <w:rFonts w:ascii="Bookman Old Style" w:hAnsi="Bookman Old Style" w:cs="Arial"/>
          <w:b/>
          <w:bCs/>
        </w:rPr>
        <w:t>RECURSOS DE APELACIÓN Y CONSULTA</w:t>
      </w:r>
    </w:p>
    <w:p w14:paraId="450C04E5" w14:textId="77777777" w:rsidR="003073FB" w:rsidRPr="004E4013" w:rsidRDefault="003073FB" w:rsidP="004E4013">
      <w:pPr>
        <w:spacing w:line="276" w:lineRule="auto"/>
        <w:ind w:left="708" w:firstLine="0"/>
        <w:rPr>
          <w:rFonts w:ascii="Bookman Old Style" w:hAnsi="Bookman Old Style" w:cs="Arial"/>
        </w:rPr>
      </w:pPr>
    </w:p>
    <w:p w14:paraId="6F961E51" w14:textId="7116ECBA" w:rsidR="00793FDC" w:rsidRPr="004E4013" w:rsidRDefault="00FA018F" w:rsidP="004E4013">
      <w:pPr>
        <w:spacing w:line="276" w:lineRule="auto"/>
        <w:ind w:firstLine="0"/>
        <w:rPr>
          <w:rFonts w:ascii="Bookman Old Style" w:hAnsi="Bookman Old Style" w:cs="Arial"/>
        </w:rPr>
      </w:pPr>
      <w:r w:rsidRPr="004E4013">
        <w:rPr>
          <w:rFonts w:ascii="Bookman Old Style" w:hAnsi="Bookman Old Style" w:cs="Arial"/>
        </w:rPr>
        <w:t>Inconforme</w:t>
      </w:r>
      <w:r w:rsidR="00DD25B7" w:rsidRPr="004E4013">
        <w:rPr>
          <w:rFonts w:ascii="Bookman Old Style" w:hAnsi="Bookman Old Style" w:cs="Arial"/>
        </w:rPr>
        <w:t xml:space="preserve"> con la decisión</w:t>
      </w:r>
      <w:r w:rsidR="00B55C66" w:rsidRPr="004E4013">
        <w:rPr>
          <w:rFonts w:ascii="Bookman Old Style" w:hAnsi="Bookman Old Style" w:cs="Arial"/>
        </w:rPr>
        <w:t xml:space="preserve"> COLPENSIONES</w:t>
      </w:r>
      <w:r w:rsidR="006A06AF" w:rsidRPr="004E4013">
        <w:rPr>
          <w:rFonts w:ascii="Bookman Old Style" w:hAnsi="Bookman Old Style" w:cs="Arial"/>
        </w:rPr>
        <w:t xml:space="preserve"> y PROTECCIÓN</w:t>
      </w:r>
      <w:r w:rsidR="00793FDC" w:rsidRPr="004E4013">
        <w:rPr>
          <w:rFonts w:ascii="Bookman Old Style" w:hAnsi="Bookman Old Style" w:cs="Arial"/>
        </w:rPr>
        <w:t xml:space="preserve"> interpus</w:t>
      </w:r>
      <w:r w:rsidR="006A06AF" w:rsidRPr="004E4013">
        <w:rPr>
          <w:rFonts w:ascii="Bookman Old Style" w:hAnsi="Bookman Old Style" w:cs="Arial"/>
        </w:rPr>
        <w:t>ieron el</w:t>
      </w:r>
      <w:r w:rsidR="00793FDC" w:rsidRPr="004E4013">
        <w:rPr>
          <w:rFonts w:ascii="Bookman Old Style" w:hAnsi="Bookman Old Style" w:cs="Arial"/>
        </w:rPr>
        <w:t xml:space="preserve"> recurso de apelación, así:</w:t>
      </w:r>
    </w:p>
    <w:p w14:paraId="7648B2D9" w14:textId="5E0236C0" w:rsidR="00793FDC" w:rsidRPr="004E4013" w:rsidRDefault="00793FDC" w:rsidP="004E4013">
      <w:pPr>
        <w:spacing w:line="276" w:lineRule="auto"/>
        <w:ind w:firstLine="0"/>
        <w:rPr>
          <w:rFonts w:ascii="Bookman Old Style" w:hAnsi="Bookman Old Style" w:cs="Arial"/>
        </w:rPr>
      </w:pPr>
    </w:p>
    <w:p w14:paraId="2B7E6023" w14:textId="1B799D3E" w:rsidR="00793FDC" w:rsidRPr="004E4013" w:rsidRDefault="00C7324D" w:rsidP="004E4013">
      <w:pPr>
        <w:spacing w:line="276" w:lineRule="auto"/>
        <w:ind w:firstLine="0"/>
        <w:rPr>
          <w:rFonts w:ascii="Bookman Old Style" w:hAnsi="Bookman Old Style" w:cs="Arial"/>
        </w:rPr>
      </w:pPr>
      <w:r w:rsidRPr="004E4013">
        <w:rPr>
          <w:rFonts w:ascii="Bookman Old Style" w:hAnsi="Bookman Old Style" w:cs="Arial"/>
          <w:b/>
        </w:rPr>
        <w:t xml:space="preserve">COLPENSIONES </w:t>
      </w:r>
      <w:r w:rsidRPr="004E4013">
        <w:rPr>
          <w:rFonts w:ascii="Bookman Old Style" w:hAnsi="Bookman Old Style" w:cs="Arial"/>
        </w:rPr>
        <w:t>indicó que</w:t>
      </w:r>
      <w:r w:rsidR="004E743C" w:rsidRPr="004E4013">
        <w:rPr>
          <w:rFonts w:ascii="Bookman Old Style" w:hAnsi="Bookman Old Style" w:cs="Arial"/>
        </w:rPr>
        <w:t xml:space="preserve"> </w:t>
      </w:r>
      <w:r w:rsidR="00C21DDA" w:rsidRPr="004E4013">
        <w:rPr>
          <w:rFonts w:ascii="Bookman Old Style" w:hAnsi="Bookman Old Style" w:cs="Arial"/>
          <w:bCs/>
          <w:noProof/>
        </w:rPr>
        <w:t>la administradora no hizo parte del traslado de régimen y aún así se le exige resarcir perjuicios que no causó. En todo caso, la actora no demostró un vicio en el consentimiento que generara la nulidad del traslado o la ineficacia, por lo que, ordenar su retorno a COLPENSONES atenta contra la sostenibilidad financiera del régimen. Lo que debía hacer el demandante es adelantar un proceso de resarcimiento de perjuicios y no una ineficacia de traslado. De esta manera, solicita la revocatoria de la sentencia.</w:t>
      </w:r>
    </w:p>
    <w:p w14:paraId="761FDCDE" w14:textId="3F692F81" w:rsidR="006A06AF" w:rsidRPr="004E4013" w:rsidRDefault="006A06AF" w:rsidP="004E4013">
      <w:pPr>
        <w:spacing w:line="276" w:lineRule="auto"/>
        <w:ind w:firstLine="0"/>
        <w:rPr>
          <w:rFonts w:ascii="Bookman Old Style" w:hAnsi="Bookman Old Style" w:cs="Arial"/>
        </w:rPr>
      </w:pPr>
    </w:p>
    <w:p w14:paraId="41502F45" w14:textId="75696BD5" w:rsidR="006A06AF" w:rsidRPr="004E4013" w:rsidRDefault="006A06AF" w:rsidP="004E4013">
      <w:pPr>
        <w:spacing w:line="276" w:lineRule="auto"/>
        <w:ind w:firstLine="0"/>
        <w:rPr>
          <w:rFonts w:ascii="Bookman Old Style" w:hAnsi="Bookman Old Style" w:cs="Arial"/>
        </w:rPr>
      </w:pPr>
      <w:r w:rsidRPr="004E4013">
        <w:rPr>
          <w:rFonts w:ascii="Bookman Old Style" w:hAnsi="Bookman Old Style" w:cs="Arial"/>
          <w:b/>
        </w:rPr>
        <w:t xml:space="preserve">PROTECCIÓN </w:t>
      </w:r>
      <w:r w:rsidRPr="004E4013">
        <w:rPr>
          <w:rFonts w:ascii="Bookman Old Style" w:hAnsi="Bookman Old Style" w:cs="Arial"/>
        </w:rPr>
        <w:t xml:space="preserve">indicó que </w:t>
      </w:r>
      <w:r w:rsidR="008F436C" w:rsidRPr="004E4013">
        <w:rPr>
          <w:rFonts w:ascii="Bookman Old Style" w:hAnsi="Bookman Old Style" w:cs="Arial"/>
        </w:rPr>
        <w:t xml:space="preserve">según la prueba practicadas quedó demostrado que la afiliación es válida y se encuentra ajustada a derecho, pues para la época en que la actora realizó el traslado se le informó sobre las ventajas y desventajas del cambio de régimen y se debe reconocer que para esas fechas no se exigía a las AFP guardar prueba documental de la asesoría brindada al momento de la afiliación al </w:t>
      </w:r>
      <w:proofErr w:type="spellStart"/>
      <w:r w:rsidR="008F436C" w:rsidRPr="004E4013">
        <w:rPr>
          <w:rFonts w:ascii="Bookman Old Style" w:hAnsi="Bookman Old Style" w:cs="Arial"/>
        </w:rPr>
        <w:t>RAIS</w:t>
      </w:r>
      <w:proofErr w:type="spellEnd"/>
      <w:r w:rsidR="008F436C" w:rsidRPr="004E4013">
        <w:rPr>
          <w:rFonts w:ascii="Bookman Old Style" w:hAnsi="Bookman Old Style" w:cs="Arial"/>
        </w:rPr>
        <w:t xml:space="preserve">, por ende, no considera viable la declaración de la ineficacia. Finalmente, respecto de las demás condenas advirtió que no se debió ordenar el retorno de lo descontado por concepto de gastos de administración, ni primas de seguros previsionales y el monto para cubrir la garantía de pensión mínima. En consecuencia, se debe revocar la sentencia de primera instancia. </w:t>
      </w:r>
    </w:p>
    <w:p w14:paraId="026CF8F8" w14:textId="77777777" w:rsidR="00780C27" w:rsidRPr="004E4013" w:rsidRDefault="00780C27" w:rsidP="004E4013">
      <w:pPr>
        <w:spacing w:line="276" w:lineRule="auto"/>
        <w:ind w:firstLine="0"/>
        <w:rPr>
          <w:rFonts w:ascii="Bookman Old Style" w:hAnsi="Bookman Old Style" w:cs="Arial"/>
          <w:bCs/>
          <w:noProof/>
        </w:rPr>
      </w:pPr>
      <w:bookmarkStart w:id="2" w:name="_Hlk105529623"/>
    </w:p>
    <w:bookmarkEnd w:id="2"/>
    <w:p w14:paraId="0934E179" w14:textId="427256B4"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De otro lado, conforme a lo consagrado en el art. 69 del Código Procesal del Trabajo y de la Seguridad Social (</w:t>
      </w:r>
      <w:proofErr w:type="spellStart"/>
      <w:r w:rsidRPr="004E4013">
        <w:rPr>
          <w:rFonts w:ascii="Bookman Old Style" w:hAnsi="Bookman Old Style" w:cs="Arial"/>
        </w:rPr>
        <w:t>CPTSS</w:t>
      </w:r>
      <w:proofErr w:type="spellEnd"/>
      <w:r w:rsidRPr="004E4013">
        <w:rPr>
          <w:rFonts w:ascii="Bookman Old Style" w:hAnsi="Bookman Old Style" w:cs="Arial"/>
        </w:rPr>
        <w:t>) la Sala estudiará el fallo del a quo, en grado jurisdiccional de consulta, en lo que no fue objeto de la apelación por Colpensiones.</w:t>
      </w:r>
    </w:p>
    <w:p w14:paraId="4CBA8DF0" w14:textId="77777777" w:rsidR="003073FB" w:rsidRPr="004E4013" w:rsidRDefault="003073FB" w:rsidP="004E4013">
      <w:pPr>
        <w:spacing w:line="276" w:lineRule="auto"/>
        <w:ind w:firstLine="0"/>
        <w:rPr>
          <w:rFonts w:ascii="Bookman Old Style" w:hAnsi="Bookman Old Style" w:cs="Arial"/>
        </w:rPr>
      </w:pPr>
    </w:p>
    <w:p w14:paraId="2BE405C2" w14:textId="77777777" w:rsidR="003073FB" w:rsidRPr="004E4013" w:rsidRDefault="003073FB" w:rsidP="004E4013">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4E4013">
        <w:rPr>
          <w:rFonts w:ascii="Bookman Old Style" w:hAnsi="Bookman Old Style" w:cs="Arial"/>
          <w:b/>
          <w:bCs/>
        </w:rPr>
        <w:t>ALEGATOS</w:t>
      </w:r>
    </w:p>
    <w:p w14:paraId="65BDA796" w14:textId="77777777" w:rsidR="003073FB" w:rsidRPr="004E4013" w:rsidRDefault="003073FB" w:rsidP="004E4013">
      <w:pPr>
        <w:spacing w:line="276" w:lineRule="auto"/>
        <w:ind w:left="708" w:firstLine="0"/>
        <w:rPr>
          <w:rFonts w:ascii="Bookman Old Style" w:hAnsi="Bookman Old Style" w:cs="Arial"/>
        </w:rPr>
      </w:pPr>
    </w:p>
    <w:p w14:paraId="37D3039A" w14:textId="77777777"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Atendiendo a que la finalidad de esta etapa es atender la persuasión fáctica y jurídicamente sobre el tema objeto de discusión, bajo ese espectro se tendrán en cuentan los alegatos que guardan relación directa con los temas debatidos.</w:t>
      </w:r>
    </w:p>
    <w:p w14:paraId="353E0A2E" w14:textId="77777777" w:rsidR="003073FB" w:rsidRPr="004E4013" w:rsidRDefault="003073FB" w:rsidP="004E4013">
      <w:pPr>
        <w:spacing w:line="276" w:lineRule="auto"/>
        <w:ind w:firstLine="0"/>
        <w:rPr>
          <w:rFonts w:ascii="Bookman Old Style" w:hAnsi="Bookman Old Style" w:cs="Arial"/>
        </w:rPr>
      </w:pPr>
    </w:p>
    <w:p w14:paraId="1F41EA21" w14:textId="77777777"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4E4013" w:rsidRDefault="003073FB" w:rsidP="004E4013">
      <w:pPr>
        <w:spacing w:line="276" w:lineRule="auto"/>
        <w:ind w:firstLine="0"/>
        <w:rPr>
          <w:rFonts w:ascii="Bookman Old Style" w:hAnsi="Bookman Old Style" w:cs="Arial"/>
        </w:rPr>
      </w:pPr>
    </w:p>
    <w:p w14:paraId="0907DB00" w14:textId="77777777" w:rsidR="003073FB" w:rsidRPr="004E4013" w:rsidRDefault="003073FB" w:rsidP="004E4013">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4E4013">
        <w:rPr>
          <w:rFonts w:ascii="Bookman Old Style" w:hAnsi="Bookman Old Style" w:cs="Arial"/>
          <w:b/>
          <w:bCs/>
        </w:rPr>
        <w:t>CONSIDERACIONES</w:t>
      </w:r>
    </w:p>
    <w:p w14:paraId="0D693B5C" w14:textId="77777777" w:rsidR="003073FB" w:rsidRPr="004E4013" w:rsidRDefault="003073FB" w:rsidP="004E4013">
      <w:pPr>
        <w:spacing w:line="276" w:lineRule="auto"/>
        <w:ind w:firstLine="0"/>
        <w:rPr>
          <w:rFonts w:ascii="Bookman Old Style" w:hAnsi="Bookman Old Style" w:cs="Arial"/>
          <w:b/>
        </w:rPr>
      </w:pPr>
    </w:p>
    <w:p w14:paraId="65545C56" w14:textId="77777777" w:rsidR="00CA7B8C"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De acuerdo con los recursos y alegatos presentados por las partes, los (el) problema(s) jurídico(s) a ser abordado(s) consiste(n) en:</w:t>
      </w:r>
      <w:r w:rsidR="00CA7B8C" w:rsidRPr="004E4013">
        <w:rPr>
          <w:rFonts w:ascii="Bookman Old Style" w:hAnsi="Bookman Old Style" w:cs="Arial"/>
        </w:rPr>
        <w:t xml:space="preserve"> </w:t>
      </w:r>
    </w:p>
    <w:p w14:paraId="41C7EEFB" w14:textId="77777777" w:rsidR="00CA7B8C" w:rsidRPr="004E4013" w:rsidRDefault="00CA7B8C" w:rsidP="004E4013">
      <w:pPr>
        <w:spacing w:line="276" w:lineRule="auto"/>
        <w:ind w:firstLine="0"/>
        <w:rPr>
          <w:rFonts w:ascii="Bookman Old Style" w:hAnsi="Bookman Old Style" w:cs="Arial"/>
        </w:rPr>
      </w:pPr>
    </w:p>
    <w:p w14:paraId="1E6714B9" w14:textId="3A034260" w:rsidR="003073FB" w:rsidRPr="004E4013" w:rsidRDefault="00CA7B8C" w:rsidP="004E4013">
      <w:pPr>
        <w:pStyle w:val="Prrafodelista"/>
        <w:numPr>
          <w:ilvl w:val="0"/>
          <w:numId w:val="3"/>
        </w:numPr>
        <w:spacing w:line="276" w:lineRule="auto"/>
        <w:rPr>
          <w:rFonts w:ascii="Bookman Old Style" w:hAnsi="Bookman Old Style" w:cs="Arial"/>
        </w:rPr>
      </w:pPr>
      <w:r w:rsidRPr="004E4013">
        <w:rPr>
          <w:rFonts w:ascii="Bookman Old Style" w:hAnsi="Bookman Old Style" w:cs="Arial"/>
        </w:rPr>
        <w:t>E</w:t>
      </w:r>
      <w:r w:rsidR="003073FB" w:rsidRPr="004E4013">
        <w:rPr>
          <w:rFonts w:ascii="Bookman Old Style" w:hAnsi="Bookman Old Style" w:cs="Arial"/>
        </w:rPr>
        <w:t xml:space="preserve">stablecer si </w:t>
      </w:r>
      <w:r w:rsidR="0085206F" w:rsidRPr="004E4013">
        <w:rPr>
          <w:rFonts w:ascii="Bookman Old Style" w:hAnsi="Bookman Old Style" w:cs="Arial"/>
        </w:rPr>
        <w:t>había lugar a declarar la ineficacia del traslado de régimen pensional.</w:t>
      </w:r>
    </w:p>
    <w:p w14:paraId="0D172810" w14:textId="68841D13" w:rsidR="00CA7B8C" w:rsidRPr="004E4013" w:rsidRDefault="00CA7B8C" w:rsidP="004E4013">
      <w:pPr>
        <w:pStyle w:val="Prrafodelista"/>
        <w:spacing w:line="276" w:lineRule="auto"/>
        <w:ind w:left="1080" w:firstLine="0"/>
        <w:rPr>
          <w:rFonts w:ascii="Bookman Old Style" w:hAnsi="Bookman Old Style" w:cs="Arial"/>
        </w:rPr>
      </w:pPr>
      <w:r w:rsidRPr="004E4013">
        <w:rPr>
          <w:rFonts w:ascii="Bookman Old Style" w:hAnsi="Bookman Old Style" w:cs="Arial"/>
        </w:rPr>
        <w:t xml:space="preserve"> </w:t>
      </w:r>
    </w:p>
    <w:p w14:paraId="6D1CBF46" w14:textId="21B08001" w:rsidR="0085206F" w:rsidRPr="004E4013" w:rsidRDefault="0085206F" w:rsidP="004E4013">
      <w:pPr>
        <w:pStyle w:val="Prrafodelista"/>
        <w:numPr>
          <w:ilvl w:val="0"/>
          <w:numId w:val="3"/>
        </w:numPr>
        <w:spacing w:line="276" w:lineRule="auto"/>
        <w:rPr>
          <w:rFonts w:ascii="Bookman Old Style" w:hAnsi="Bookman Old Style" w:cs="Arial"/>
        </w:rPr>
      </w:pPr>
      <w:r w:rsidRPr="004E4013">
        <w:rPr>
          <w:rFonts w:ascii="Bookman Old Style" w:hAnsi="Bookman Old Style" w:cs="Arial"/>
        </w:rPr>
        <w:t>Había lugar a ordenar a la</w:t>
      </w:r>
      <w:r w:rsidR="00790469" w:rsidRPr="004E4013">
        <w:rPr>
          <w:rFonts w:ascii="Bookman Old Style" w:hAnsi="Bookman Old Style" w:cs="Arial"/>
        </w:rPr>
        <w:t>s</w:t>
      </w:r>
      <w:r w:rsidR="008939F9" w:rsidRPr="004E4013">
        <w:rPr>
          <w:rFonts w:ascii="Bookman Old Style" w:hAnsi="Bookman Old Style" w:cs="Arial"/>
        </w:rPr>
        <w:t xml:space="preserve"> AFP demandada</w:t>
      </w:r>
      <w:r w:rsidR="00790469" w:rsidRPr="004E4013">
        <w:rPr>
          <w:rFonts w:ascii="Bookman Old Style" w:hAnsi="Bookman Old Style" w:cs="Arial"/>
        </w:rPr>
        <w:t>s</w:t>
      </w:r>
      <w:r w:rsidRPr="004E4013">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4E4013" w:rsidRDefault="00B86E32" w:rsidP="004E4013">
      <w:pPr>
        <w:pStyle w:val="Prrafodelista"/>
        <w:spacing w:line="276" w:lineRule="auto"/>
        <w:ind w:left="1080" w:firstLine="0"/>
        <w:rPr>
          <w:rFonts w:ascii="Bookman Old Style" w:hAnsi="Bookman Old Style" w:cs="Arial"/>
        </w:rPr>
      </w:pPr>
    </w:p>
    <w:p w14:paraId="5F9943D6" w14:textId="3426429B" w:rsidR="003073FB" w:rsidRPr="004E4013" w:rsidRDefault="0085206F" w:rsidP="004E4013">
      <w:pPr>
        <w:pStyle w:val="Prrafodelista"/>
        <w:numPr>
          <w:ilvl w:val="0"/>
          <w:numId w:val="3"/>
        </w:numPr>
        <w:spacing w:line="276" w:lineRule="auto"/>
        <w:rPr>
          <w:rFonts w:ascii="Bookman Old Style" w:hAnsi="Bookman Old Style" w:cs="Arial"/>
        </w:rPr>
      </w:pPr>
      <w:r w:rsidRPr="004E4013">
        <w:rPr>
          <w:rFonts w:ascii="Bookman Old Style" w:hAnsi="Bookman Old Style" w:cs="Arial"/>
        </w:rPr>
        <w:lastRenderedPageBreak/>
        <w:t>S</w:t>
      </w:r>
      <w:r w:rsidR="003073FB" w:rsidRPr="004E4013">
        <w:rPr>
          <w:rFonts w:ascii="Bookman Old Style" w:hAnsi="Bookman Old Style" w:cs="Arial"/>
        </w:rPr>
        <w:t>e deberán analizar las órdenes impartidas en la sentencia y el grado jurisdiccional de consulta en favor de Colpensiones.</w:t>
      </w:r>
    </w:p>
    <w:p w14:paraId="15CC5790" w14:textId="77777777" w:rsidR="003073FB" w:rsidRPr="004E4013" w:rsidRDefault="003073FB" w:rsidP="004E4013">
      <w:pPr>
        <w:spacing w:line="276" w:lineRule="auto"/>
        <w:ind w:firstLine="0"/>
        <w:rPr>
          <w:rFonts w:ascii="Bookman Old Style" w:hAnsi="Bookman Old Style" w:cs="Arial"/>
        </w:rPr>
      </w:pPr>
    </w:p>
    <w:p w14:paraId="738BA63F" w14:textId="2C291AF7" w:rsidR="003073FB" w:rsidRPr="004E4013" w:rsidRDefault="00D01A10" w:rsidP="004E4013">
      <w:pPr>
        <w:spacing w:line="276" w:lineRule="auto"/>
        <w:ind w:firstLine="0"/>
        <w:rPr>
          <w:rFonts w:ascii="Bookman Old Style" w:hAnsi="Bookman Old Style" w:cs="Arial"/>
        </w:rPr>
      </w:pPr>
      <w:r w:rsidRPr="004E4013">
        <w:rPr>
          <w:rFonts w:ascii="Bookman Old Style" w:hAnsi="Bookman Old Style" w:cs="Arial"/>
        </w:rPr>
        <w:t>Para iniciar</w:t>
      </w:r>
      <w:r w:rsidR="003073FB" w:rsidRPr="004E4013">
        <w:rPr>
          <w:rFonts w:ascii="Bookman Old Style" w:hAnsi="Bookman Old Style" w:cs="Arial"/>
        </w:rPr>
        <w:t xml:space="preserve">, </w:t>
      </w:r>
      <w:r w:rsidRPr="004E4013">
        <w:rPr>
          <w:rFonts w:ascii="Bookman Old Style" w:hAnsi="Bookman Old Style" w:cs="Arial"/>
        </w:rPr>
        <w:t xml:space="preserve">es de tener en cuenta </w:t>
      </w:r>
      <w:r w:rsidR="003073FB" w:rsidRPr="004E4013">
        <w:rPr>
          <w:rFonts w:ascii="Bookman Old Style" w:hAnsi="Bookman Old Style" w:cs="Arial"/>
        </w:rPr>
        <w:t>que los siguientes hechos no presentan discusión</w:t>
      </w:r>
      <w:r w:rsidR="00DC68A5" w:rsidRPr="004E4013">
        <w:rPr>
          <w:rFonts w:ascii="Bookman Old Style" w:hAnsi="Bookman Old Style" w:cs="Arial"/>
        </w:rPr>
        <w:t xml:space="preserve">: </w:t>
      </w:r>
      <w:r w:rsidR="003073FB" w:rsidRPr="004E4013">
        <w:rPr>
          <w:rFonts w:ascii="Bookman Old Style" w:hAnsi="Bookman Old Style" w:cs="Arial"/>
          <w:b/>
          <w:bCs/>
        </w:rPr>
        <w:t>i)</w:t>
      </w:r>
      <w:r w:rsidR="00952B9A" w:rsidRPr="004E4013">
        <w:rPr>
          <w:rFonts w:ascii="Bookman Old Style" w:hAnsi="Bookman Old Style" w:cs="Arial"/>
        </w:rPr>
        <w:t xml:space="preserve"> </w:t>
      </w:r>
      <w:r w:rsidR="00DF4640" w:rsidRPr="004E4013">
        <w:rPr>
          <w:rFonts w:ascii="Bookman Old Style" w:hAnsi="Bookman Old Style" w:cs="Arial"/>
        </w:rPr>
        <w:t>el</w:t>
      </w:r>
      <w:r w:rsidR="0069307F" w:rsidRPr="004E4013">
        <w:rPr>
          <w:rFonts w:ascii="Bookman Old Style" w:hAnsi="Bookman Old Style" w:cs="Arial"/>
        </w:rPr>
        <w:t xml:space="preserve"> demandante </w:t>
      </w:r>
      <w:r w:rsidR="00790469" w:rsidRPr="004E4013">
        <w:rPr>
          <w:rFonts w:ascii="Bookman Old Style" w:hAnsi="Bookman Old Style" w:cs="Arial"/>
        </w:rPr>
        <w:t xml:space="preserve">nació el </w:t>
      </w:r>
      <w:r w:rsidR="00C21DDA" w:rsidRPr="004E4013">
        <w:rPr>
          <w:rFonts w:ascii="Bookman Old Style" w:hAnsi="Bookman Old Style" w:cs="Arial"/>
        </w:rPr>
        <w:t>02 de enero de 1963</w:t>
      </w:r>
      <w:r w:rsidR="00790469" w:rsidRPr="004E4013">
        <w:rPr>
          <w:rFonts w:ascii="Bookman Old Style" w:hAnsi="Bookman Old Style" w:cs="Arial"/>
        </w:rPr>
        <w:t xml:space="preserve"> (</w:t>
      </w:r>
      <w:proofErr w:type="spellStart"/>
      <w:r w:rsidR="00790469" w:rsidRPr="004E4013">
        <w:rPr>
          <w:rFonts w:ascii="Bookman Old Style" w:hAnsi="Bookman Old Style" w:cs="Arial"/>
        </w:rPr>
        <w:t>fl</w:t>
      </w:r>
      <w:r w:rsidR="00C21DDA" w:rsidRPr="004E4013">
        <w:rPr>
          <w:rFonts w:ascii="Bookman Old Style" w:hAnsi="Bookman Old Style" w:cs="Arial"/>
        </w:rPr>
        <w:t>44</w:t>
      </w:r>
      <w:proofErr w:type="spellEnd"/>
      <w:r w:rsidR="00076DF1" w:rsidRPr="004E4013">
        <w:rPr>
          <w:rFonts w:ascii="Bookman Old Style" w:hAnsi="Bookman Old Style" w:cs="Arial"/>
        </w:rPr>
        <w:t xml:space="preserve">, </w:t>
      </w:r>
      <w:proofErr w:type="spellStart"/>
      <w:r w:rsidR="00076DF1" w:rsidRPr="004E4013">
        <w:rPr>
          <w:rFonts w:ascii="Bookman Old Style" w:hAnsi="Bookman Old Style" w:cs="Arial"/>
        </w:rPr>
        <w:t>anexo0</w:t>
      </w:r>
      <w:r w:rsidR="009A46DA" w:rsidRPr="004E4013">
        <w:rPr>
          <w:rFonts w:ascii="Bookman Old Style" w:hAnsi="Bookman Old Style" w:cs="Arial"/>
        </w:rPr>
        <w:t>3</w:t>
      </w:r>
      <w:proofErr w:type="spellEnd"/>
      <w:r w:rsidR="00076DF1" w:rsidRPr="004E4013">
        <w:rPr>
          <w:rFonts w:ascii="Bookman Old Style" w:hAnsi="Bookman Old Style" w:cs="Arial"/>
        </w:rPr>
        <w:t>)</w:t>
      </w:r>
      <w:r w:rsidR="00BB3E0E" w:rsidRPr="004E4013">
        <w:rPr>
          <w:rFonts w:ascii="Bookman Old Style" w:hAnsi="Bookman Old Style" w:cs="Arial"/>
        </w:rPr>
        <w:t>.</w:t>
      </w:r>
      <w:r w:rsidR="003073FB" w:rsidRPr="004E4013">
        <w:rPr>
          <w:rFonts w:ascii="Bookman Old Style" w:hAnsi="Bookman Old Style" w:cs="Arial"/>
        </w:rPr>
        <w:t xml:space="preserve"> </w:t>
      </w:r>
      <w:r w:rsidR="003073FB" w:rsidRPr="004E4013">
        <w:rPr>
          <w:rFonts w:ascii="Bookman Old Style" w:hAnsi="Bookman Old Style" w:cs="Arial"/>
          <w:b/>
          <w:bCs/>
        </w:rPr>
        <w:t>ii)</w:t>
      </w:r>
      <w:r w:rsidR="003073FB" w:rsidRPr="004E4013">
        <w:rPr>
          <w:rFonts w:ascii="Bookman Old Style" w:hAnsi="Bookman Old Style" w:cs="Arial"/>
        </w:rPr>
        <w:t xml:space="preserve"> </w:t>
      </w:r>
      <w:r w:rsidR="00790469" w:rsidRPr="004E4013">
        <w:rPr>
          <w:rFonts w:ascii="Bookman Old Style" w:hAnsi="Bookman Old Style" w:cs="Arial"/>
        </w:rPr>
        <w:t xml:space="preserve">El </w:t>
      </w:r>
      <w:r w:rsidR="00C21DDA" w:rsidRPr="004E4013">
        <w:rPr>
          <w:rFonts w:ascii="Bookman Old Style" w:hAnsi="Bookman Old Style" w:cs="Arial"/>
        </w:rPr>
        <w:t>02-05-2000 de ING hoy PROTECCIÓN a COLPENSIONES y el 31-12-2012 se efectuó la cesión por fusión entre los fondos privados.</w:t>
      </w:r>
      <w:r w:rsidR="00AA0E34" w:rsidRPr="004E4013">
        <w:rPr>
          <w:rFonts w:ascii="Bookman Old Style" w:hAnsi="Bookman Old Style" w:cs="Arial"/>
        </w:rPr>
        <w:t xml:space="preserve"> </w:t>
      </w:r>
      <w:r w:rsidR="00952B9A" w:rsidRPr="004E4013">
        <w:rPr>
          <w:rFonts w:ascii="Bookman Old Style" w:hAnsi="Bookman Old Style" w:cs="Arial"/>
        </w:rPr>
        <w:t>(</w:t>
      </w:r>
      <w:proofErr w:type="spellStart"/>
      <w:r w:rsidR="00952B9A" w:rsidRPr="004E4013">
        <w:rPr>
          <w:rFonts w:ascii="Bookman Old Style" w:hAnsi="Bookman Old Style" w:cs="Arial"/>
        </w:rPr>
        <w:t>fl</w:t>
      </w:r>
      <w:proofErr w:type="spellEnd"/>
      <w:r w:rsidR="00952B9A" w:rsidRPr="004E4013">
        <w:rPr>
          <w:rFonts w:ascii="Bookman Old Style" w:hAnsi="Bookman Old Style" w:cs="Arial"/>
        </w:rPr>
        <w:t xml:space="preserve">. </w:t>
      </w:r>
      <w:r w:rsidR="00C21DDA" w:rsidRPr="004E4013">
        <w:rPr>
          <w:rFonts w:ascii="Bookman Old Style" w:hAnsi="Bookman Old Style" w:cs="Arial"/>
        </w:rPr>
        <w:t>50</w:t>
      </w:r>
      <w:r w:rsidR="00952B9A" w:rsidRPr="004E4013">
        <w:rPr>
          <w:rFonts w:ascii="Bookman Old Style" w:hAnsi="Bookman Old Style" w:cs="Arial"/>
        </w:rPr>
        <w:t xml:space="preserve"> </w:t>
      </w:r>
      <w:proofErr w:type="spellStart"/>
      <w:r w:rsidR="00952B9A" w:rsidRPr="004E4013">
        <w:rPr>
          <w:rFonts w:ascii="Bookman Old Style" w:hAnsi="Bookman Old Style" w:cs="Arial"/>
        </w:rPr>
        <w:t>anexo</w:t>
      </w:r>
      <w:r w:rsidR="00FC1431" w:rsidRPr="004E4013">
        <w:rPr>
          <w:rFonts w:ascii="Bookman Old Style" w:hAnsi="Bookman Old Style" w:cs="Arial"/>
        </w:rPr>
        <w:t>1</w:t>
      </w:r>
      <w:r w:rsidR="00C21DDA" w:rsidRPr="004E4013">
        <w:rPr>
          <w:rFonts w:ascii="Bookman Old Style" w:hAnsi="Bookman Old Style" w:cs="Arial"/>
        </w:rPr>
        <w:t>2</w:t>
      </w:r>
      <w:proofErr w:type="spellEnd"/>
      <w:r w:rsidR="006601E7" w:rsidRPr="004E4013">
        <w:rPr>
          <w:rFonts w:ascii="Bookman Old Style" w:hAnsi="Bookman Old Style" w:cs="Arial"/>
        </w:rPr>
        <w:t>).</w:t>
      </w:r>
      <w:r w:rsidR="00FC1431" w:rsidRPr="004E4013">
        <w:rPr>
          <w:rFonts w:ascii="Bookman Old Style" w:hAnsi="Bookman Old Style" w:cs="Arial"/>
        </w:rPr>
        <w:t xml:space="preserve"> </w:t>
      </w:r>
      <w:proofErr w:type="spellStart"/>
      <w:r w:rsidR="00FC1431" w:rsidRPr="004E4013">
        <w:rPr>
          <w:rFonts w:ascii="Bookman Old Style" w:hAnsi="Bookman Old Style" w:cs="Arial"/>
          <w:b/>
        </w:rPr>
        <w:t>Iii</w:t>
      </w:r>
      <w:proofErr w:type="spellEnd"/>
      <w:r w:rsidR="00FC1431" w:rsidRPr="004E4013">
        <w:rPr>
          <w:rFonts w:ascii="Bookman Old Style" w:hAnsi="Bookman Old Style" w:cs="Arial"/>
          <w:b/>
        </w:rPr>
        <w:t xml:space="preserve">) </w:t>
      </w:r>
      <w:r w:rsidR="00FC1431" w:rsidRPr="004E4013">
        <w:rPr>
          <w:rFonts w:ascii="Bookman Old Style" w:hAnsi="Bookman Old Style" w:cs="Arial"/>
        </w:rPr>
        <w:t xml:space="preserve">Que la fecha de redención del bono pensional es del </w:t>
      </w:r>
      <w:r w:rsidR="00C21DDA" w:rsidRPr="004E4013">
        <w:rPr>
          <w:rFonts w:ascii="Bookman Old Style" w:hAnsi="Bookman Old Style" w:cs="Arial"/>
        </w:rPr>
        <w:t>02-01-2023</w:t>
      </w:r>
      <w:r w:rsidR="00FA018F" w:rsidRPr="004E4013">
        <w:rPr>
          <w:rFonts w:ascii="Bookman Old Style" w:hAnsi="Bookman Old Style" w:cs="Arial"/>
        </w:rPr>
        <w:t>. (</w:t>
      </w:r>
      <w:proofErr w:type="spellStart"/>
      <w:r w:rsidR="00FA018F" w:rsidRPr="004E4013">
        <w:rPr>
          <w:rFonts w:ascii="Bookman Old Style" w:hAnsi="Bookman Old Style" w:cs="Arial"/>
        </w:rPr>
        <w:t>fl.</w:t>
      </w:r>
      <w:r w:rsidR="00C21DDA" w:rsidRPr="004E4013">
        <w:rPr>
          <w:rFonts w:ascii="Bookman Old Style" w:hAnsi="Bookman Old Style" w:cs="Arial"/>
        </w:rPr>
        <w:t>6</w:t>
      </w:r>
      <w:r w:rsidR="009A46DA" w:rsidRPr="004E4013">
        <w:rPr>
          <w:rFonts w:ascii="Bookman Old Style" w:hAnsi="Bookman Old Style" w:cs="Arial"/>
        </w:rPr>
        <w:t>0</w:t>
      </w:r>
      <w:proofErr w:type="spellEnd"/>
      <w:r w:rsidR="00FA018F" w:rsidRPr="004E4013">
        <w:rPr>
          <w:rFonts w:ascii="Bookman Old Style" w:hAnsi="Bookman Old Style" w:cs="Arial"/>
        </w:rPr>
        <w:t xml:space="preserve">, </w:t>
      </w:r>
      <w:proofErr w:type="spellStart"/>
      <w:r w:rsidR="00FA018F" w:rsidRPr="004E4013">
        <w:rPr>
          <w:rFonts w:ascii="Bookman Old Style" w:hAnsi="Bookman Old Style" w:cs="Arial"/>
        </w:rPr>
        <w:t>anexo</w:t>
      </w:r>
      <w:r w:rsidR="00C21DDA" w:rsidRPr="004E4013">
        <w:rPr>
          <w:rFonts w:ascii="Bookman Old Style" w:hAnsi="Bookman Old Style" w:cs="Arial"/>
        </w:rPr>
        <w:t>12</w:t>
      </w:r>
      <w:proofErr w:type="spellEnd"/>
      <w:r w:rsidR="00FC1431" w:rsidRPr="004E4013">
        <w:rPr>
          <w:rFonts w:ascii="Bookman Old Style" w:hAnsi="Bookman Old Style" w:cs="Arial"/>
        </w:rPr>
        <w:t>)</w:t>
      </w:r>
    </w:p>
    <w:p w14:paraId="4F75A949" w14:textId="77777777" w:rsidR="003073FB" w:rsidRPr="004E4013" w:rsidRDefault="003073FB" w:rsidP="004E4013">
      <w:pPr>
        <w:spacing w:line="276" w:lineRule="auto"/>
        <w:ind w:firstLine="0"/>
        <w:rPr>
          <w:rFonts w:ascii="Bookman Old Style" w:hAnsi="Bookman Old Style" w:cs="Arial"/>
        </w:rPr>
      </w:pPr>
    </w:p>
    <w:p w14:paraId="34F9C432" w14:textId="77777777"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Conforme a los anteriores referentes, pasa la Sala a desatar la alzada, en los siguientes términos:</w:t>
      </w:r>
    </w:p>
    <w:p w14:paraId="6CE880D6" w14:textId="77777777" w:rsidR="003073FB" w:rsidRPr="004E4013" w:rsidRDefault="003073FB" w:rsidP="004E4013">
      <w:pPr>
        <w:spacing w:line="276" w:lineRule="auto"/>
        <w:ind w:firstLine="0"/>
        <w:rPr>
          <w:rFonts w:ascii="Bookman Old Style" w:hAnsi="Bookman Old Style" w:cs="Arial"/>
        </w:rPr>
      </w:pPr>
    </w:p>
    <w:p w14:paraId="2EA3874E" w14:textId="77777777" w:rsidR="003073FB" w:rsidRPr="004E4013" w:rsidRDefault="003073FB" w:rsidP="004E4013">
      <w:pPr>
        <w:spacing w:line="276" w:lineRule="auto"/>
        <w:ind w:firstLine="0"/>
        <w:rPr>
          <w:rFonts w:ascii="Bookman Old Style" w:hAnsi="Bookman Old Style" w:cs="Arial"/>
          <w:b/>
        </w:rPr>
      </w:pPr>
      <w:r w:rsidRPr="004E4013">
        <w:rPr>
          <w:rFonts w:ascii="Bookman Old Style" w:hAnsi="Bookman Old Style" w:cs="Arial"/>
          <w:b/>
        </w:rPr>
        <w:t>DE LA INEFICACIA DEL TRASLADO DE RÉGIMEN.</w:t>
      </w:r>
    </w:p>
    <w:p w14:paraId="528A9506" w14:textId="77777777" w:rsidR="003073FB" w:rsidRPr="004E4013" w:rsidRDefault="003073FB" w:rsidP="004E4013">
      <w:pPr>
        <w:spacing w:line="276" w:lineRule="auto"/>
        <w:ind w:firstLine="0"/>
        <w:rPr>
          <w:rFonts w:ascii="Bookman Old Style" w:hAnsi="Bookman Old Style" w:cs="Arial"/>
        </w:rPr>
      </w:pPr>
    </w:p>
    <w:p w14:paraId="2983F148" w14:textId="77777777"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Para iniciar, es de advertir que, cuando se pretende por vía judicial la ineficacia del traslado de un afiliado del RPM al </w:t>
      </w:r>
      <w:proofErr w:type="spellStart"/>
      <w:r w:rsidRPr="004E4013">
        <w:rPr>
          <w:rFonts w:ascii="Bookman Old Style" w:hAnsi="Bookman Old Style" w:cs="Arial"/>
        </w:rPr>
        <w:t>RAIS</w:t>
      </w:r>
      <w:proofErr w:type="spellEnd"/>
      <w:r w:rsidRPr="004E4013">
        <w:rPr>
          <w:rFonts w:ascii="Bookman Old Style" w:hAnsi="Bookman Old Style" w:cs="Arial"/>
        </w:rPr>
        <w:t xml:space="preserve">,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4E4013" w:rsidRDefault="003073FB" w:rsidP="004E4013">
      <w:pPr>
        <w:spacing w:line="276" w:lineRule="auto"/>
        <w:ind w:firstLine="0"/>
        <w:rPr>
          <w:rFonts w:ascii="Bookman Old Style" w:hAnsi="Bookman Old Style" w:cs="Arial"/>
        </w:rPr>
      </w:pPr>
    </w:p>
    <w:p w14:paraId="40EBAD13" w14:textId="77777777"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4E4013" w:rsidRDefault="003073FB" w:rsidP="004E4013">
      <w:pPr>
        <w:spacing w:line="276" w:lineRule="auto"/>
        <w:ind w:firstLine="0"/>
        <w:rPr>
          <w:rFonts w:ascii="Bookman Old Style" w:hAnsi="Bookman Old Style" w:cs="Arial"/>
        </w:rPr>
      </w:pPr>
    </w:p>
    <w:p w14:paraId="4DFE95DA" w14:textId="77777777"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Lo anterior, tiene fundamento en lo manifestado por la Sala de Casación Laboral de la Corte Suprema de Justicia en sentencias con radicaciones 31314 y 31989 del 9 de septiembre de 2008, No. 33083 del 22 de noviembre de 2011 y la sentencia </w:t>
      </w:r>
      <w:proofErr w:type="spellStart"/>
      <w:r w:rsidRPr="004E4013">
        <w:rPr>
          <w:rFonts w:ascii="Bookman Old Style" w:hAnsi="Bookman Old Style" w:cs="Arial"/>
        </w:rPr>
        <w:t>SL</w:t>
      </w:r>
      <w:proofErr w:type="spellEnd"/>
      <w:r w:rsidRPr="004E4013">
        <w:rPr>
          <w:rFonts w:ascii="Bookman Old Style" w:hAnsi="Bookman Old Style" w:cs="Arial"/>
        </w:rPr>
        <w:t>-12136 rad. No 46292 del 3 de septiembre de 2014.</w:t>
      </w:r>
    </w:p>
    <w:p w14:paraId="3AC7A955" w14:textId="77777777" w:rsidR="003073FB" w:rsidRPr="004E4013" w:rsidRDefault="003073FB" w:rsidP="004E4013">
      <w:pPr>
        <w:spacing w:line="276" w:lineRule="auto"/>
        <w:ind w:firstLine="0"/>
        <w:rPr>
          <w:rFonts w:ascii="Bookman Old Style" w:hAnsi="Bookman Old Style" w:cs="Arial"/>
        </w:rPr>
      </w:pPr>
    </w:p>
    <w:p w14:paraId="18B7F341" w14:textId="77777777"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Es de anotar que la jurisprudencia antes citada corresponde a traslados respecto a personas beneficiarias del régimen de transición, sin embargo, en sendos pronunciamientos de la Sala de Casación Laboral, entre otras, en la </w:t>
      </w:r>
      <w:proofErr w:type="spellStart"/>
      <w:r w:rsidRPr="004E4013">
        <w:rPr>
          <w:rFonts w:ascii="Bookman Old Style" w:hAnsi="Bookman Old Style" w:cs="Arial"/>
        </w:rPr>
        <w:t>SL1452</w:t>
      </w:r>
      <w:proofErr w:type="spellEnd"/>
      <w:r w:rsidRPr="004E4013">
        <w:rPr>
          <w:rFonts w:ascii="Bookman Old Style" w:hAnsi="Bookman Old Style" w:cs="Arial"/>
        </w:rPr>
        <w:t xml:space="preserve">-2019, </w:t>
      </w:r>
      <w:proofErr w:type="spellStart"/>
      <w:r w:rsidRPr="004E4013">
        <w:rPr>
          <w:rFonts w:ascii="Bookman Old Style" w:hAnsi="Bookman Old Style" w:cs="Arial"/>
        </w:rPr>
        <w:t>SL1017</w:t>
      </w:r>
      <w:proofErr w:type="spellEnd"/>
      <w:r w:rsidRPr="004E4013">
        <w:rPr>
          <w:rFonts w:ascii="Bookman Old Style" w:hAnsi="Bookman Old Style" w:cs="Arial"/>
        </w:rPr>
        <w:t>-2022,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527488">
        <w:rPr>
          <w:rFonts w:ascii="Bookman Old Style" w:hAnsi="Bookman Old Style" w:cs="Arial"/>
          <w:i/>
          <w:iCs/>
          <w:sz w:val="22"/>
          <w:u w:val="single"/>
        </w:rPr>
        <w:t>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527488">
        <w:rPr>
          <w:rFonts w:ascii="Bookman Old Style" w:hAnsi="Bookman Old Style" w:cs="Arial"/>
          <w:i/>
          <w:iCs/>
          <w:sz w:val="22"/>
        </w:rPr>
        <w:t xml:space="preserve">» </w:t>
      </w:r>
      <w:r w:rsidRPr="00527488">
        <w:rPr>
          <w:rFonts w:ascii="Bookman Old Style" w:hAnsi="Bookman Old Style" w:cs="Arial"/>
          <w:sz w:val="22"/>
        </w:rPr>
        <w:t>(</w:t>
      </w:r>
      <w:proofErr w:type="spellStart"/>
      <w:r w:rsidRPr="00527488">
        <w:rPr>
          <w:rFonts w:ascii="Bookman Old Style" w:hAnsi="Bookman Old Style" w:cs="Arial"/>
          <w:sz w:val="22"/>
        </w:rPr>
        <w:t>CSJ3719</w:t>
      </w:r>
      <w:proofErr w:type="spellEnd"/>
      <w:r w:rsidRPr="00527488">
        <w:rPr>
          <w:rFonts w:ascii="Bookman Old Style" w:hAnsi="Bookman Old Style" w:cs="Arial"/>
          <w:sz w:val="22"/>
        </w:rPr>
        <w:t xml:space="preserve">-2021), todo ello por cuanto </w:t>
      </w:r>
      <w:r w:rsidRPr="00527488">
        <w:rPr>
          <w:rFonts w:ascii="Bookman Old Style" w:hAnsi="Bookman Old Style" w:cs="Arial"/>
          <w:i/>
          <w:iCs/>
          <w:spacing w:val="-4"/>
          <w:sz w:val="22"/>
        </w:rPr>
        <w:t>«</w:t>
      </w:r>
      <w:r w:rsidRPr="00527488">
        <w:rPr>
          <w:rFonts w:ascii="Bookman Old Style" w:hAnsi="Bookman Old Style" w:cs="Arial"/>
          <w:i/>
          <w:iCs/>
          <w:spacing w:val="-4"/>
          <w:sz w:val="22"/>
          <w:u w:val="single"/>
        </w:rPr>
        <w:t>la violación del deber de información se predica frente a la validez del acto jurídico de traslado, considerado en sí mismo</w:t>
      </w:r>
      <w:r w:rsidRPr="004E4013">
        <w:rPr>
          <w:rFonts w:ascii="Bookman Old Style" w:hAnsi="Bookman Old Style" w:cs="Arial"/>
          <w:i/>
          <w:iCs/>
          <w:spacing w:val="-4"/>
        </w:rPr>
        <w:t xml:space="preserve">» </w:t>
      </w:r>
      <w:r w:rsidRPr="004E4013">
        <w:rPr>
          <w:rFonts w:ascii="Bookman Old Style" w:hAnsi="Bookman Old Style" w:cs="Arial"/>
          <w:spacing w:val="-4"/>
        </w:rPr>
        <w:t xml:space="preserve">(CSJ </w:t>
      </w:r>
      <w:proofErr w:type="spellStart"/>
      <w:r w:rsidRPr="004E4013">
        <w:rPr>
          <w:rFonts w:ascii="Bookman Old Style" w:hAnsi="Bookman Old Style" w:cs="Arial"/>
          <w:spacing w:val="-4"/>
        </w:rPr>
        <w:t>SL1452</w:t>
      </w:r>
      <w:proofErr w:type="spellEnd"/>
      <w:r w:rsidRPr="004E4013">
        <w:rPr>
          <w:rFonts w:ascii="Bookman Old Style" w:hAnsi="Bookman Old Style" w:cs="Arial"/>
          <w:spacing w:val="-4"/>
        </w:rPr>
        <w:t xml:space="preserve">-2019, </w:t>
      </w:r>
      <w:proofErr w:type="spellStart"/>
      <w:r w:rsidRPr="004E4013">
        <w:rPr>
          <w:rFonts w:ascii="Bookman Old Style" w:hAnsi="Bookman Old Style" w:cs="Arial"/>
          <w:spacing w:val="-4"/>
        </w:rPr>
        <w:t>SL1688</w:t>
      </w:r>
      <w:proofErr w:type="spellEnd"/>
      <w:r w:rsidRPr="004E4013">
        <w:rPr>
          <w:rFonts w:ascii="Bookman Old Style" w:hAnsi="Bookman Old Style" w:cs="Arial"/>
          <w:spacing w:val="-4"/>
        </w:rPr>
        <w:t xml:space="preserve">-2019, </w:t>
      </w:r>
      <w:proofErr w:type="spellStart"/>
      <w:r w:rsidRPr="004E4013">
        <w:rPr>
          <w:rFonts w:ascii="Bookman Old Style" w:hAnsi="Bookman Old Style" w:cs="Arial"/>
          <w:spacing w:val="-4"/>
        </w:rPr>
        <w:t>SL1689</w:t>
      </w:r>
      <w:proofErr w:type="spellEnd"/>
      <w:r w:rsidRPr="004E4013">
        <w:rPr>
          <w:rFonts w:ascii="Bookman Old Style" w:hAnsi="Bookman Old Style" w:cs="Arial"/>
          <w:spacing w:val="-4"/>
        </w:rPr>
        <w:t xml:space="preserve">-2019, </w:t>
      </w:r>
      <w:proofErr w:type="spellStart"/>
      <w:r w:rsidRPr="004E4013">
        <w:rPr>
          <w:rFonts w:ascii="Bookman Old Style" w:hAnsi="Bookman Old Style" w:cs="Arial"/>
          <w:spacing w:val="-4"/>
        </w:rPr>
        <w:t>SL4025</w:t>
      </w:r>
      <w:proofErr w:type="spellEnd"/>
      <w:r w:rsidRPr="004E4013">
        <w:rPr>
          <w:rFonts w:ascii="Bookman Old Style" w:hAnsi="Bookman Old Style" w:cs="Arial"/>
          <w:spacing w:val="-4"/>
        </w:rPr>
        <w:t xml:space="preserve">-2021). </w:t>
      </w:r>
    </w:p>
    <w:p w14:paraId="63FBC221" w14:textId="77777777" w:rsidR="003073FB" w:rsidRPr="004E4013" w:rsidRDefault="003073FB" w:rsidP="004E4013">
      <w:pPr>
        <w:spacing w:line="276" w:lineRule="auto"/>
        <w:ind w:firstLine="0"/>
        <w:rPr>
          <w:rFonts w:ascii="Bookman Old Style" w:hAnsi="Bookman Old Style" w:cs="Arial"/>
        </w:rPr>
      </w:pPr>
    </w:p>
    <w:p w14:paraId="4C534AB2" w14:textId="0B2206A3"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4E4013" w:rsidRDefault="003073FB" w:rsidP="004E4013">
      <w:pPr>
        <w:spacing w:line="276" w:lineRule="auto"/>
        <w:ind w:firstLine="0"/>
        <w:rPr>
          <w:rFonts w:ascii="Bookman Old Style" w:hAnsi="Bookman Old Style" w:cs="Arial"/>
        </w:rPr>
      </w:pPr>
    </w:p>
    <w:p w14:paraId="7AD0C737" w14:textId="4AEF1770"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4E4013">
        <w:rPr>
          <w:rFonts w:ascii="Bookman Old Style" w:hAnsi="Bookman Old Style" w:cs="Arial"/>
        </w:rPr>
        <w:t>pues no puede pretenderse que la</w:t>
      </w:r>
      <w:r w:rsidRPr="004E4013">
        <w:rPr>
          <w:rFonts w:ascii="Bookman Old Style" w:hAnsi="Bookman Old Style" w:cs="Arial"/>
        </w:rPr>
        <w:t xml:space="preserve">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4E4013" w:rsidRDefault="003073FB" w:rsidP="004E4013">
      <w:pPr>
        <w:spacing w:line="276" w:lineRule="auto"/>
        <w:ind w:firstLine="0"/>
        <w:rPr>
          <w:rFonts w:ascii="Bookman Old Style" w:hAnsi="Bookman Old Style" w:cs="Arial"/>
        </w:rPr>
      </w:pPr>
    </w:p>
    <w:p w14:paraId="24BF4BD6" w14:textId="77777777"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Además de lo expuesto, la Corte ha reiterado (</w:t>
      </w:r>
      <w:proofErr w:type="spellStart"/>
      <w:r w:rsidRPr="004E4013">
        <w:rPr>
          <w:rFonts w:ascii="Bookman Old Style" w:hAnsi="Bookman Old Style" w:cs="Arial"/>
        </w:rPr>
        <w:t>SL1017</w:t>
      </w:r>
      <w:proofErr w:type="spellEnd"/>
      <w:r w:rsidRPr="004E4013">
        <w:rPr>
          <w:rFonts w:ascii="Bookman Old Style" w:hAnsi="Bookman Old Style" w:cs="Arial"/>
        </w:rPr>
        <w:t xml:space="preserve">/2022)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w:t>
      </w:r>
      <w:r w:rsidRPr="004E4013">
        <w:rPr>
          <w:rFonts w:ascii="Bookman Old Style" w:hAnsi="Bookman Old Style" w:cs="Arial"/>
        </w:rPr>
        <w:lastRenderedPageBreak/>
        <w:t xml:space="preserve">no es otro que el de la ineficacia de la afiliación (CSJ </w:t>
      </w:r>
      <w:proofErr w:type="spellStart"/>
      <w:r w:rsidRPr="004E4013">
        <w:rPr>
          <w:rFonts w:ascii="Bookman Old Style" w:hAnsi="Bookman Old Style" w:cs="Arial"/>
        </w:rPr>
        <w:t>SL3871</w:t>
      </w:r>
      <w:proofErr w:type="spellEnd"/>
      <w:r w:rsidRPr="004E4013">
        <w:rPr>
          <w:rFonts w:ascii="Bookman Old Style" w:hAnsi="Bookman Old Style" w:cs="Arial"/>
        </w:rPr>
        <w:t xml:space="preserve">-2021, CSJ </w:t>
      </w:r>
      <w:proofErr w:type="spellStart"/>
      <w:r w:rsidRPr="004E4013">
        <w:rPr>
          <w:rFonts w:ascii="Bookman Old Style" w:hAnsi="Bookman Old Style" w:cs="Arial"/>
        </w:rPr>
        <w:t>SL</w:t>
      </w:r>
      <w:proofErr w:type="spellEnd"/>
      <w:r w:rsidRPr="004E4013">
        <w:rPr>
          <w:rFonts w:ascii="Bookman Old Style" w:hAnsi="Bookman Old Style" w:cs="Arial"/>
        </w:rPr>
        <w:t xml:space="preserve"> 3611-2021, CSJ </w:t>
      </w:r>
      <w:proofErr w:type="spellStart"/>
      <w:r w:rsidRPr="004E4013">
        <w:rPr>
          <w:rFonts w:ascii="Bookman Old Style" w:hAnsi="Bookman Old Style" w:cs="Arial"/>
        </w:rPr>
        <w:t>SL3537</w:t>
      </w:r>
      <w:proofErr w:type="spellEnd"/>
      <w:r w:rsidRPr="004E4013">
        <w:rPr>
          <w:rFonts w:ascii="Bookman Old Style" w:hAnsi="Bookman Old Style" w:cs="Arial"/>
        </w:rPr>
        <w:t>-2021).</w:t>
      </w:r>
    </w:p>
    <w:p w14:paraId="59CD270F" w14:textId="77777777" w:rsidR="003073FB" w:rsidRPr="004E4013" w:rsidRDefault="003073FB" w:rsidP="004E4013">
      <w:pPr>
        <w:spacing w:line="276" w:lineRule="auto"/>
        <w:ind w:firstLine="0"/>
        <w:rPr>
          <w:rFonts w:ascii="Bookman Old Style" w:hAnsi="Bookman Old Style" w:cs="Arial"/>
        </w:rPr>
      </w:pPr>
    </w:p>
    <w:p w14:paraId="2E604DE1" w14:textId="5F0F256B" w:rsidR="003073FB" w:rsidRPr="004E4013" w:rsidRDefault="003073FB" w:rsidP="004E4013">
      <w:pPr>
        <w:spacing w:line="276" w:lineRule="auto"/>
        <w:ind w:firstLine="0"/>
        <w:rPr>
          <w:rFonts w:ascii="Bookman Old Style" w:hAnsi="Bookman Old Style" w:cs="Arial"/>
          <w:b/>
          <w:bCs/>
          <w:u w:val="single"/>
        </w:rPr>
      </w:pPr>
      <w:r w:rsidRPr="004E4013">
        <w:rPr>
          <w:rFonts w:ascii="Bookman Old Style" w:hAnsi="Bookman Old Style" w:cs="Arial"/>
          <w:u w:val="single"/>
        </w:rPr>
        <w:t>¿</w:t>
      </w:r>
      <w:r w:rsidRPr="004E4013">
        <w:rPr>
          <w:rFonts w:ascii="Bookman Old Style" w:hAnsi="Bookman Old Style" w:cs="Arial"/>
          <w:b/>
          <w:bCs/>
          <w:u w:val="single"/>
        </w:rPr>
        <w:t>Se acreditó el cumplimiento del deber de información por parte de la</w:t>
      </w:r>
      <w:r w:rsidR="00952B9A" w:rsidRPr="004E4013">
        <w:rPr>
          <w:rFonts w:ascii="Bookman Old Style" w:hAnsi="Bookman Old Style" w:cs="Arial"/>
          <w:b/>
          <w:bCs/>
          <w:u w:val="single"/>
        </w:rPr>
        <w:t>s</w:t>
      </w:r>
      <w:r w:rsidRPr="004E4013">
        <w:rPr>
          <w:rFonts w:ascii="Bookman Old Style" w:hAnsi="Bookman Old Style" w:cs="Arial"/>
          <w:b/>
          <w:bCs/>
          <w:u w:val="single"/>
        </w:rPr>
        <w:t xml:space="preserve"> accionada</w:t>
      </w:r>
      <w:r w:rsidR="00952B9A" w:rsidRPr="004E4013">
        <w:rPr>
          <w:rFonts w:ascii="Bookman Old Style" w:hAnsi="Bookman Old Style" w:cs="Arial"/>
          <w:b/>
          <w:bCs/>
          <w:u w:val="single"/>
        </w:rPr>
        <w:t>s</w:t>
      </w:r>
      <w:r w:rsidRPr="004E4013">
        <w:rPr>
          <w:rFonts w:ascii="Bookman Old Style" w:hAnsi="Bookman Old Style" w:cs="Arial"/>
          <w:b/>
          <w:bCs/>
          <w:u w:val="single"/>
        </w:rPr>
        <w:t>?</w:t>
      </w:r>
    </w:p>
    <w:p w14:paraId="3F988C00" w14:textId="77777777" w:rsidR="003073FB" w:rsidRPr="004E4013" w:rsidRDefault="003073FB" w:rsidP="004E4013">
      <w:pPr>
        <w:spacing w:line="276" w:lineRule="auto"/>
        <w:ind w:firstLine="0"/>
        <w:rPr>
          <w:rFonts w:ascii="Bookman Old Style" w:hAnsi="Bookman Old Style" w:cs="Arial"/>
        </w:rPr>
      </w:pPr>
    </w:p>
    <w:p w14:paraId="5A3FBEFB" w14:textId="1D7E982B"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Aplicando los anteriores criterios al caso que nos ocupa, debe decirse que de la documental adosada por la AFP </w:t>
      </w:r>
      <w:r w:rsidR="00FB713A" w:rsidRPr="004E4013">
        <w:rPr>
          <w:rFonts w:ascii="Bookman Old Style" w:hAnsi="Bookman Old Style" w:cs="Arial"/>
        </w:rPr>
        <w:t>ninguna es</w:t>
      </w:r>
      <w:r w:rsidR="00790469" w:rsidRPr="004E4013">
        <w:rPr>
          <w:rFonts w:ascii="Bookman Old Style" w:hAnsi="Bookman Old Style" w:cs="Arial"/>
        </w:rPr>
        <w:t xml:space="preserve"> idónea </w:t>
      </w:r>
      <w:r w:rsidR="00FB713A" w:rsidRPr="004E4013">
        <w:rPr>
          <w:rFonts w:ascii="Bookman Old Style" w:hAnsi="Bookman Old Style" w:cs="Arial"/>
        </w:rPr>
        <w:t>p</w:t>
      </w:r>
      <w:r w:rsidRPr="004E4013">
        <w:rPr>
          <w:rFonts w:ascii="Bookman Old Style" w:hAnsi="Bookman Old Style" w:cs="Arial"/>
        </w:rPr>
        <w:t xml:space="preserve">ara demostrar que en la antesala de </w:t>
      </w:r>
      <w:r w:rsidR="00617A19" w:rsidRPr="004E4013">
        <w:rPr>
          <w:rFonts w:ascii="Bookman Old Style" w:hAnsi="Bookman Old Style" w:cs="Arial"/>
        </w:rPr>
        <w:t xml:space="preserve">la decisión que tuvo </w:t>
      </w:r>
      <w:r w:rsidR="00C21DDA" w:rsidRPr="004E4013">
        <w:rPr>
          <w:rFonts w:ascii="Bookman Old Style" w:hAnsi="Bookman Old Style" w:cs="Arial"/>
        </w:rPr>
        <w:t xml:space="preserve">la </w:t>
      </w:r>
      <w:r w:rsidR="00617A19" w:rsidRPr="004E4013">
        <w:rPr>
          <w:rFonts w:ascii="Bookman Old Style" w:hAnsi="Bookman Old Style" w:cs="Arial"/>
        </w:rPr>
        <w:t>afiliad</w:t>
      </w:r>
      <w:r w:rsidR="00C21DDA" w:rsidRPr="004E4013">
        <w:rPr>
          <w:rFonts w:ascii="Bookman Old Style" w:hAnsi="Bookman Old Style" w:cs="Arial"/>
        </w:rPr>
        <w:t>a</w:t>
      </w:r>
      <w:r w:rsidRPr="004E4013">
        <w:rPr>
          <w:rFonts w:ascii="Bookman Old Style" w:hAnsi="Bookman Old Style" w:cs="Arial"/>
        </w:rPr>
        <w:t xml:space="preserve"> para migrar del RPM con PD, la AFP cumplió con su deber de información, esto es, dotando </w:t>
      </w:r>
      <w:r w:rsidR="00617A19" w:rsidRPr="004E4013">
        <w:rPr>
          <w:rFonts w:ascii="Bookman Old Style" w:hAnsi="Bookman Old Style" w:cs="Arial"/>
        </w:rPr>
        <w:t>a</w:t>
      </w:r>
      <w:r w:rsidR="00C21DDA" w:rsidRPr="004E4013">
        <w:rPr>
          <w:rFonts w:ascii="Bookman Old Style" w:hAnsi="Bookman Old Style" w:cs="Arial"/>
        </w:rPr>
        <w:t xml:space="preserve"> la</w:t>
      </w:r>
      <w:r w:rsidRPr="004E4013">
        <w:rPr>
          <w:rFonts w:ascii="Bookman Old Style" w:hAnsi="Bookman Old Style" w:cs="Arial"/>
        </w:rPr>
        <w:t xml:space="preserve"> reclamante de todo el conocimiento que requería para adoptar una decisión consciente, racional y ajustada a sus expectativas pensionales.</w:t>
      </w:r>
    </w:p>
    <w:p w14:paraId="5A8E7B00" w14:textId="77777777" w:rsidR="003073FB" w:rsidRPr="004E4013" w:rsidRDefault="003073FB" w:rsidP="004E4013">
      <w:pPr>
        <w:spacing w:line="276" w:lineRule="auto"/>
        <w:ind w:firstLine="0"/>
        <w:rPr>
          <w:rFonts w:ascii="Bookman Old Style" w:hAnsi="Bookman Old Style" w:cs="Arial"/>
        </w:rPr>
      </w:pPr>
    </w:p>
    <w:p w14:paraId="27118458" w14:textId="5CD81099"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Ahora, a pesar de que </w:t>
      </w:r>
      <w:r w:rsidR="00C21DDA" w:rsidRPr="004E4013">
        <w:rPr>
          <w:rFonts w:ascii="Bookman Old Style" w:hAnsi="Bookman Old Style" w:cs="Arial"/>
        </w:rPr>
        <w:t xml:space="preserve">la </w:t>
      </w:r>
      <w:r w:rsidR="00FB713A" w:rsidRPr="004E4013">
        <w:rPr>
          <w:rFonts w:ascii="Bookman Old Style" w:hAnsi="Bookman Old Style" w:cs="Arial"/>
        </w:rPr>
        <w:t>actor</w:t>
      </w:r>
      <w:r w:rsidR="00C21DDA" w:rsidRPr="004E4013">
        <w:rPr>
          <w:rFonts w:ascii="Bookman Old Style" w:hAnsi="Bookman Old Style" w:cs="Arial"/>
        </w:rPr>
        <w:t>a</w:t>
      </w:r>
      <w:r w:rsidRPr="004E4013">
        <w:rPr>
          <w:rFonts w:ascii="Bookman Old Style" w:hAnsi="Bookman Old Style" w:cs="Arial"/>
        </w:rPr>
        <w:t xml:space="preserve"> signó el formulario </w:t>
      </w:r>
      <w:r w:rsidR="00FB713A" w:rsidRPr="004E4013">
        <w:rPr>
          <w:rFonts w:ascii="Bookman Old Style" w:hAnsi="Bookman Old Style" w:cs="Arial"/>
        </w:rPr>
        <w:t>del traslado que</w:t>
      </w:r>
      <w:r w:rsidRPr="004E4013">
        <w:rPr>
          <w:rFonts w:ascii="Bookman Old Style" w:hAnsi="Bookman Old Style" w:cs="Arial"/>
        </w:rPr>
        <w:t xml:space="preserve"> aceptó haberlo realizado de manera “</w:t>
      </w:r>
      <w:r w:rsidRPr="004E4013">
        <w:rPr>
          <w:rFonts w:ascii="Bookman Old Style" w:hAnsi="Bookman Old Style" w:cs="Arial"/>
          <w:i/>
          <w:iCs/>
        </w:rPr>
        <w:t>libre, voluntaria y sin presiones”,</w:t>
      </w:r>
      <w:r w:rsidRPr="004E4013">
        <w:rPr>
          <w:rFonts w:ascii="Bookman Old Style" w:hAnsi="Bookman Old Style" w:cs="Arial"/>
        </w:rPr>
        <w:t xml:space="preserve"> de ello no se puede deducir que hubo un consentimiento o</w:t>
      </w:r>
      <w:r w:rsidR="00FB713A" w:rsidRPr="004E4013">
        <w:rPr>
          <w:rFonts w:ascii="Bookman Old Style" w:hAnsi="Bookman Old Style" w:cs="Arial"/>
        </w:rPr>
        <w:t xml:space="preserve"> una</w:t>
      </w:r>
      <w:r w:rsidRPr="004E4013">
        <w:rPr>
          <w:rFonts w:ascii="Bookman Old Style" w:hAnsi="Bookman Old Style" w:cs="Arial"/>
        </w:rPr>
        <w:t xml:space="preserve">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w:t>
      </w:r>
      <w:r w:rsidR="00FB713A" w:rsidRPr="004E4013">
        <w:rPr>
          <w:rFonts w:ascii="Bookman Old Style" w:hAnsi="Bookman Old Style" w:cs="Arial"/>
        </w:rPr>
        <w:t>que podría acarrear su decisión. Se debe tener en cuenta que</w:t>
      </w:r>
      <w:r w:rsidRPr="004E4013">
        <w:rPr>
          <w:rFonts w:ascii="Bookman Old Style" w:hAnsi="Bookman Old Style" w:cs="Arial"/>
        </w:rPr>
        <w:t xml:space="preserve"> era deber de la AFP realizar un proyecto pensional en donde se informara sobre las posibilidades de contar con un </w:t>
      </w:r>
      <w:r w:rsidRPr="004E4013">
        <w:rPr>
          <w:rFonts w:ascii="Bookman Old Style" w:hAnsi="Bookman Old Style" w:cs="Arial"/>
          <w:i/>
        </w:rPr>
        <w:t>quantum</w:t>
      </w:r>
      <w:r w:rsidRPr="004E4013">
        <w:rPr>
          <w:rFonts w:ascii="Bookman Old Style" w:hAnsi="Bookman Old Style" w:cs="Arial"/>
        </w:rPr>
        <w:t xml:space="preserve"> ajustado a las expec</w:t>
      </w:r>
      <w:r w:rsidR="00FB713A" w:rsidRPr="004E4013">
        <w:rPr>
          <w:rFonts w:ascii="Bookman Old Style" w:hAnsi="Bookman Old Style" w:cs="Arial"/>
        </w:rPr>
        <w:t xml:space="preserve">tativas en el régimen al cual el actor se iba va a trasladar. </w:t>
      </w:r>
    </w:p>
    <w:p w14:paraId="42760E83" w14:textId="46177D59" w:rsidR="00BB60BF" w:rsidRPr="004E4013" w:rsidRDefault="00BB60BF" w:rsidP="004E4013">
      <w:pPr>
        <w:spacing w:line="276" w:lineRule="auto"/>
        <w:ind w:firstLine="0"/>
        <w:rPr>
          <w:rFonts w:ascii="Bookman Old Style" w:hAnsi="Bookman Old Style" w:cs="Arial"/>
        </w:rPr>
      </w:pPr>
    </w:p>
    <w:p w14:paraId="7A0F178A" w14:textId="175091FA" w:rsidR="00BB60BF" w:rsidRPr="004E4013" w:rsidRDefault="00BB60BF" w:rsidP="004E4013">
      <w:pPr>
        <w:spacing w:line="276" w:lineRule="auto"/>
        <w:ind w:firstLine="0"/>
        <w:rPr>
          <w:rFonts w:ascii="Bookman Old Style" w:hAnsi="Bookman Old Style" w:cs="Arial"/>
        </w:rPr>
      </w:pPr>
      <w:r w:rsidRPr="004E4013">
        <w:rPr>
          <w:rFonts w:ascii="Bookman Old Style" w:hAnsi="Bookman Old Style" w:cs="Arial"/>
        </w:rPr>
        <w:t xml:space="preserve">Para auscultar si se cumplió con ese propósito, se escuchó </w:t>
      </w:r>
      <w:r w:rsidRPr="004E4013">
        <w:rPr>
          <w:rFonts w:ascii="Bookman Old Style" w:hAnsi="Bookman Old Style" w:cs="Arial"/>
          <w:b/>
        </w:rPr>
        <w:t>en interrogatorio a la parte demandante</w:t>
      </w:r>
      <w:r w:rsidRPr="004E4013">
        <w:rPr>
          <w:rFonts w:ascii="Bookman Old Style" w:hAnsi="Bookman Old Style" w:cs="Arial"/>
        </w:rPr>
        <w:t xml:space="preserve"> </w:t>
      </w:r>
      <w:r w:rsidR="00FB713A" w:rsidRPr="004E4013">
        <w:rPr>
          <w:rFonts w:ascii="Bookman Old Style" w:hAnsi="Bookman Old Style" w:cs="Arial"/>
        </w:rPr>
        <w:t>quien señaló</w:t>
      </w:r>
      <w:r w:rsidRPr="004E4013">
        <w:rPr>
          <w:rFonts w:ascii="Bookman Old Style" w:hAnsi="Bookman Old Style" w:cs="Arial"/>
        </w:rPr>
        <w:t xml:space="preserve"> que</w:t>
      </w:r>
      <w:r w:rsidR="00790469" w:rsidRPr="004E4013">
        <w:rPr>
          <w:rFonts w:ascii="Bookman Old Style" w:hAnsi="Bookman Old Style" w:cs="Arial"/>
        </w:rPr>
        <w:t xml:space="preserve"> </w:t>
      </w:r>
      <w:r w:rsidR="004E743C" w:rsidRPr="004E4013">
        <w:rPr>
          <w:rFonts w:ascii="Bookman Old Style" w:hAnsi="Bookman Old Style" w:cs="Arial"/>
        </w:rPr>
        <w:t xml:space="preserve">estudió hasta tercero de bachillerato, que al momento del traslado laboraba para la empresa Alberto </w:t>
      </w:r>
      <w:proofErr w:type="spellStart"/>
      <w:r w:rsidR="004E743C" w:rsidRPr="004E4013">
        <w:rPr>
          <w:rFonts w:ascii="Bookman Old Style" w:hAnsi="Bookman Old Style" w:cs="Arial"/>
        </w:rPr>
        <w:t>VO5</w:t>
      </w:r>
      <w:proofErr w:type="spellEnd"/>
      <w:r w:rsidR="004E743C" w:rsidRPr="004E4013">
        <w:rPr>
          <w:rFonts w:ascii="Bookman Old Style" w:hAnsi="Bookman Old Style" w:cs="Arial"/>
        </w:rPr>
        <w:t xml:space="preserve"> y antes de ingresar le indicaron que debía afiliarse a un fondo, por lo que, se acercó a la oficina de derechos humanos y firmó el formulario de afiliación al fondo privado PROTECCIÓN S.A. y no hizo preguntas porque no entendió que se trataba de un traslado de régimen. Aseguró que el asesor del fondo no le brindó información sobre las ventajas, desventajas ni sobre las características propias del </w:t>
      </w:r>
      <w:proofErr w:type="spellStart"/>
      <w:r w:rsidR="004E743C" w:rsidRPr="004E4013">
        <w:rPr>
          <w:rFonts w:ascii="Bookman Old Style" w:hAnsi="Bookman Old Style" w:cs="Arial"/>
        </w:rPr>
        <w:t>RAIS</w:t>
      </w:r>
      <w:proofErr w:type="spellEnd"/>
      <w:r w:rsidR="004E743C" w:rsidRPr="004E4013">
        <w:rPr>
          <w:rFonts w:ascii="Bookman Old Style" w:hAnsi="Bookman Old Style" w:cs="Arial"/>
        </w:rPr>
        <w:t xml:space="preserve"> y no se le explicaron los requisitos para acceder al derecho pensional. No obstante, reconoció que firmó el formulario de forma libre y voluntaria y que no se acercó a COLPENSIONES a pedir asesoría.</w:t>
      </w:r>
    </w:p>
    <w:p w14:paraId="05437AA0" w14:textId="08C40F1D" w:rsidR="006D0204" w:rsidRPr="004E4013" w:rsidRDefault="006D0204" w:rsidP="004E4013">
      <w:pPr>
        <w:spacing w:line="276" w:lineRule="auto"/>
        <w:ind w:firstLine="0"/>
        <w:rPr>
          <w:rFonts w:ascii="Bookman Old Style" w:hAnsi="Bookman Old Style" w:cs="Arial"/>
        </w:rPr>
      </w:pPr>
    </w:p>
    <w:p w14:paraId="1973D49D" w14:textId="268A5F76" w:rsidR="00BB60BF" w:rsidRPr="004E4013" w:rsidRDefault="006D0204" w:rsidP="004E4013">
      <w:pPr>
        <w:spacing w:line="276" w:lineRule="auto"/>
        <w:ind w:firstLine="0"/>
        <w:rPr>
          <w:rFonts w:ascii="Bookman Old Style" w:hAnsi="Bookman Old Style" w:cs="Arial"/>
        </w:rPr>
      </w:pPr>
      <w:r w:rsidRPr="004E4013">
        <w:rPr>
          <w:rFonts w:ascii="Bookman Old Style" w:hAnsi="Bookman Old Style" w:cs="Arial"/>
        </w:rPr>
        <w:t xml:space="preserve">Pues bien, de </w:t>
      </w:r>
      <w:r w:rsidR="00BB60BF" w:rsidRPr="004E4013">
        <w:rPr>
          <w:rFonts w:ascii="Bookman Old Style" w:hAnsi="Bookman Old Style" w:cs="Arial"/>
        </w:rPr>
        <w:t xml:space="preserve">dicho instrumento de prueba </w:t>
      </w:r>
      <w:r w:rsidR="00FC1431" w:rsidRPr="004E4013">
        <w:rPr>
          <w:rFonts w:ascii="Bookman Old Style" w:hAnsi="Bookman Old Style" w:cs="Arial"/>
        </w:rPr>
        <w:t xml:space="preserve">se advierte </w:t>
      </w:r>
      <w:r w:rsidR="00BB60BF" w:rsidRPr="004E4013">
        <w:rPr>
          <w:rFonts w:ascii="Bookman Old Style" w:hAnsi="Bookman Old Style" w:cs="Arial"/>
        </w:rPr>
        <w:t>que no se encontraron manifestaciones que, conjunta o individualmente, puedan calificarse como una confesión de haber recibido la información a que estaba</w:t>
      </w:r>
      <w:r w:rsidR="00C248E2" w:rsidRPr="004E4013">
        <w:rPr>
          <w:rFonts w:ascii="Bookman Old Style" w:hAnsi="Bookman Old Style" w:cs="Arial"/>
        </w:rPr>
        <w:t>n</w:t>
      </w:r>
      <w:r w:rsidR="00BB60BF" w:rsidRPr="004E4013">
        <w:rPr>
          <w:rFonts w:ascii="Bookman Old Style" w:hAnsi="Bookman Old Style" w:cs="Arial"/>
        </w:rPr>
        <w:t xml:space="preserve"> obligada</w:t>
      </w:r>
      <w:r w:rsidR="00C248E2" w:rsidRPr="004E4013">
        <w:rPr>
          <w:rFonts w:ascii="Bookman Old Style" w:hAnsi="Bookman Old Style" w:cs="Arial"/>
        </w:rPr>
        <w:t>s</w:t>
      </w:r>
      <w:r w:rsidR="00BB60BF" w:rsidRPr="004E4013">
        <w:rPr>
          <w:rFonts w:ascii="Bookman Old Style" w:hAnsi="Bookman Old Style" w:cs="Arial"/>
        </w:rPr>
        <w:t xml:space="preserve"> la AFP en la antesala del traslado de régime</w:t>
      </w:r>
      <w:r w:rsidR="00FB713A" w:rsidRPr="004E4013">
        <w:rPr>
          <w:rFonts w:ascii="Bookman Old Style" w:hAnsi="Bookman Old Style" w:cs="Arial"/>
        </w:rPr>
        <w:t xml:space="preserve">n pensional, lo que implica que, el fondo </w:t>
      </w:r>
      <w:r w:rsidR="00BB60BF" w:rsidRPr="004E4013">
        <w:rPr>
          <w:rFonts w:ascii="Bookman Old Style" w:hAnsi="Bookman Old Style" w:cs="Arial"/>
        </w:rPr>
        <w:t xml:space="preserve">solo </w:t>
      </w:r>
      <w:r w:rsidR="00FB713A" w:rsidRPr="004E4013">
        <w:rPr>
          <w:rFonts w:ascii="Bookman Old Style" w:hAnsi="Bookman Old Style" w:cs="Arial"/>
        </w:rPr>
        <w:t xml:space="preserve">demostró </w:t>
      </w:r>
      <w:r w:rsidR="00BB60BF" w:rsidRPr="004E4013">
        <w:rPr>
          <w:rFonts w:ascii="Bookman Old Style" w:hAnsi="Bookman Old Style" w:cs="Arial"/>
        </w:rPr>
        <w:t>que el formulario se suscribió de manera libre, voluntaria y sin presiones, pero no que cumpli</w:t>
      </w:r>
      <w:r w:rsidR="00717DD8" w:rsidRPr="004E4013">
        <w:rPr>
          <w:rFonts w:ascii="Bookman Old Style" w:hAnsi="Bookman Old Style" w:cs="Arial"/>
        </w:rPr>
        <w:t>ó</w:t>
      </w:r>
      <w:r w:rsidR="00BB60BF" w:rsidRPr="004E4013">
        <w:rPr>
          <w:rFonts w:ascii="Bookman Old Style" w:hAnsi="Bookman Old Style" w:cs="Arial"/>
        </w:rPr>
        <w:t xml:space="preserve"> con el deber de información.</w:t>
      </w:r>
    </w:p>
    <w:p w14:paraId="660EF989" w14:textId="77777777" w:rsidR="003073FB" w:rsidRPr="004E4013" w:rsidRDefault="003073FB" w:rsidP="004E4013">
      <w:pPr>
        <w:spacing w:line="276" w:lineRule="auto"/>
        <w:ind w:firstLine="0"/>
        <w:rPr>
          <w:rFonts w:ascii="Bookman Old Style" w:hAnsi="Bookman Old Style" w:cs="Arial"/>
        </w:rPr>
      </w:pPr>
    </w:p>
    <w:p w14:paraId="3337942F" w14:textId="757A2E61"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Y es que, al analizar el caudal probatorio bajo los parámetros ya traídos a colación, se tiene que no existen elementos que permitan concluir que, durante el traslado de la parte actora, </w:t>
      </w:r>
      <w:r w:rsidR="00B42FBC" w:rsidRPr="004E4013">
        <w:rPr>
          <w:rFonts w:ascii="Bookman Old Style" w:hAnsi="Bookman Old Style" w:cs="Arial"/>
        </w:rPr>
        <w:t>PROTECCIÓN</w:t>
      </w:r>
      <w:r w:rsidRPr="004E4013">
        <w:rPr>
          <w:rFonts w:ascii="Bookman Old Style" w:hAnsi="Bookman Old Style" w:cs="Arial"/>
        </w:rPr>
        <w:t xml:space="preserve"> hubiere cumplido con el </w:t>
      </w:r>
      <w:r w:rsidRPr="004E4013">
        <w:rPr>
          <w:rFonts w:ascii="Bookman Old Style" w:hAnsi="Bookman Old Style" w:cs="Arial"/>
        </w:rPr>
        <w:lastRenderedPageBreak/>
        <w:t>deber de i</w:t>
      </w:r>
      <w:r w:rsidR="00952B9A" w:rsidRPr="004E4013">
        <w:rPr>
          <w:rFonts w:ascii="Bookman Old Style" w:hAnsi="Bookman Old Style" w:cs="Arial"/>
        </w:rPr>
        <w:t>nformación que le correspondía</w:t>
      </w:r>
      <w:r w:rsidR="00C248E2" w:rsidRPr="004E4013">
        <w:rPr>
          <w:rFonts w:ascii="Bookman Old Style" w:hAnsi="Bookman Old Style" w:cs="Arial"/>
        </w:rPr>
        <w:t xml:space="preserve">, máxime cuando </w:t>
      </w:r>
      <w:r w:rsidR="00C248E2" w:rsidRPr="004E4013">
        <w:rPr>
          <w:rFonts w:ascii="Bookman Old Style" w:hAnsi="Bookman Old Style" w:cs="Arial"/>
          <w:b/>
        </w:rPr>
        <w:t>la única asesoría –</w:t>
      </w:r>
      <w:r w:rsidR="00C248E2" w:rsidRPr="004E4013">
        <w:rPr>
          <w:rFonts w:ascii="Bookman Old Style" w:hAnsi="Bookman Old Style" w:cs="Arial"/>
          <w:b/>
          <w:i/>
        </w:rPr>
        <w:t xml:space="preserve">con las falencias ya denotadas- </w:t>
      </w:r>
      <w:r w:rsidR="00C248E2" w:rsidRPr="004E4013">
        <w:rPr>
          <w:rFonts w:ascii="Bookman Old Style" w:hAnsi="Bookman Old Style" w:cs="Arial"/>
          <w:b/>
        </w:rPr>
        <w:t>que hi</w:t>
      </w:r>
      <w:r w:rsidR="00B42FBC" w:rsidRPr="004E4013">
        <w:rPr>
          <w:rFonts w:ascii="Bookman Old Style" w:hAnsi="Bookman Old Style" w:cs="Arial"/>
          <w:b/>
        </w:rPr>
        <w:t>zo</w:t>
      </w:r>
      <w:r w:rsidR="00C248E2" w:rsidRPr="004E4013">
        <w:rPr>
          <w:rFonts w:ascii="Bookman Old Style" w:hAnsi="Bookman Old Style" w:cs="Arial"/>
          <w:b/>
        </w:rPr>
        <w:t xml:space="preserve"> fue cuando se efectuó el traslado de régimen</w:t>
      </w:r>
      <w:r w:rsidR="00B42FBC" w:rsidRPr="004E4013">
        <w:rPr>
          <w:rFonts w:ascii="Bookman Old Style" w:hAnsi="Bookman Old Style" w:cs="Arial"/>
        </w:rPr>
        <w:t>.</w:t>
      </w:r>
      <w:r w:rsidR="00C248E2" w:rsidRPr="004E4013">
        <w:rPr>
          <w:rFonts w:ascii="Bookman Old Style" w:hAnsi="Bookman Old Style" w:cs="Arial"/>
        </w:rPr>
        <w:t xml:space="preserve"> </w:t>
      </w:r>
      <w:r w:rsidR="00B42FBC" w:rsidRPr="004E4013">
        <w:rPr>
          <w:rFonts w:ascii="Bookman Old Style" w:hAnsi="Bookman Old Style" w:cs="Arial"/>
        </w:rPr>
        <w:t>E</w:t>
      </w:r>
      <w:r w:rsidR="00C248E2" w:rsidRPr="004E4013">
        <w:rPr>
          <w:rFonts w:ascii="Bookman Old Style" w:hAnsi="Bookman Old Style" w:cs="Arial"/>
        </w:rPr>
        <w:t xml:space="preserve">n todo caso, resulta notorio </w:t>
      </w:r>
      <w:r w:rsidRPr="004E4013">
        <w:rPr>
          <w:rFonts w:ascii="Bookman Old Style" w:hAnsi="Bookman Old Style" w:cs="Arial"/>
        </w:rPr>
        <w:t xml:space="preserve">que </w:t>
      </w:r>
      <w:r w:rsidR="00B42FBC" w:rsidRPr="004E4013">
        <w:rPr>
          <w:rFonts w:ascii="Bookman Old Style" w:hAnsi="Bookman Old Style" w:cs="Arial"/>
        </w:rPr>
        <w:t>faltó</w:t>
      </w:r>
      <w:r w:rsidRPr="004E4013">
        <w:rPr>
          <w:rFonts w:ascii="Bookman Old Style" w:hAnsi="Bookman Old Style" w:cs="Arial"/>
        </w:rPr>
        <w:t xml:space="preserve"> a su deber de «</w:t>
      </w:r>
      <w:r w:rsidRPr="004E4013">
        <w:rPr>
          <w:rFonts w:ascii="Bookman Old Style" w:hAnsi="Bookman Old Style" w:cs="Arial"/>
          <w:i/>
          <w:iCs/>
        </w:rPr>
        <w:t>información y buen consejo</w:t>
      </w:r>
      <w:r w:rsidRPr="004E4013">
        <w:rPr>
          <w:rFonts w:ascii="Bookman Old Style" w:hAnsi="Bookman Old Style" w:cs="Arial"/>
        </w:rPr>
        <w:t xml:space="preserve">», </w:t>
      </w:r>
      <w:r w:rsidR="00B42FBC" w:rsidRPr="004E4013">
        <w:rPr>
          <w:rFonts w:ascii="Bookman Old Style" w:hAnsi="Bookman Old Style" w:cs="Arial"/>
        </w:rPr>
        <w:t>omitiendo</w:t>
      </w:r>
      <w:r w:rsidRPr="004E4013">
        <w:rPr>
          <w:rFonts w:ascii="Bookman Old Style" w:hAnsi="Bookman Old Style" w:cs="Arial"/>
        </w:rPr>
        <w:t xml:space="preserve"> informar sobre las ventajas, desventajas, características, riesgos, posibilidades de pensión en cada régimen y demás aspectos que le permitiese comprender claramente la conveniencia o inconveniencia de su decisión, condi</w:t>
      </w:r>
      <w:r w:rsidR="006D0204" w:rsidRPr="004E4013">
        <w:rPr>
          <w:rFonts w:ascii="Bookman Old Style" w:hAnsi="Bookman Old Style" w:cs="Arial"/>
        </w:rPr>
        <w:t>ciones que debía</w:t>
      </w:r>
      <w:r w:rsidRPr="004E4013">
        <w:rPr>
          <w:rFonts w:ascii="Bookman Old Style" w:hAnsi="Bookman Old Style" w:cs="Arial"/>
        </w:rPr>
        <w:t xml:space="preserve"> probar la </w:t>
      </w:r>
      <w:proofErr w:type="gramStart"/>
      <w:r w:rsidRPr="004E4013">
        <w:rPr>
          <w:rFonts w:ascii="Bookman Old Style" w:hAnsi="Bookman Old Style" w:cs="Arial"/>
        </w:rPr>
        <w:t>AFP</w:t>
      </w:r>
      <w:proofErr w:type="gramEnd"/>
      <w:r w:rsidR="00BB60BF" w:rsidRPr="004E4013">
        <w:rPr>
          <w:rFonts w:ascii="Bookman Old Style" w:hAnsi="Bookman Old Style" w:cs="Arial"/>
        </w:rPr>
        <w:t xml:space="preserve"> </w:t>
      </w:r>
      <w:r w:rsidRPr="004E4013">
        <w:rPr>
          <w:rFonts w:ascii="Bookman Old Style" w:hAnsi="Bookman Old Style" w:cs="Arial"/>
        </w:rPr>
        <w:t>pero no lo hi</w:t>
      </w:r>
      <w:r w:rsidR="00B42FBC" w:rsidRPr="004E4013">
        <w:rPr>
          <w:rFonts w:ascii="Bookman Old Style" w:hAnsi="Bookman Old Style" w:cs="Arial"/>
        </w:rPr>
        <w:t>zo. Esta</w:t>
      </w:r>
      <w:r w:rsidRPr="004E4013">
        <w:rPr>
          <w:rFonts w:ascii="Bookman Old Style" w:hAnsi="Bookman Old Style" w:cs="Arial"/>
        </w:rPr>
        <w:t xml:space="preserve"> situación se acompasa con lo lineado en las sentencias </w:t>
      </w:r>
      <w:proofErr w:type="spellStart"/>
      <w:r w:rsidRPr="004E4013">
        <w:rPr>
          <w:rFonts w:ascii="Bookman Old Style" w:hAnsi="Bookman Old Style" w:cs="Arial"/>
        </w:rPr>
        <w:t>SL12136</w:t>
      </w:r>
      <w:proofErr w:type="spellEnd"/>
      <w:r w:rsidRPr="004E4013">
        <w:rPr>
          <w:rFonts w:ascii="Bookman Old Style" w:hAnsi="Bookman Old Style" w:cs="Arial"/>
        </w:rPr>
        <w:t xml:space="preserve">-2014 y </w:t>
      </w:r>
      <w:proofErr w:type="spellStart"/>
      <w:r w:rsidRPr="004E4013">
        <w:rPr>
          <w:rFonts w:ascii="Bookman Old Style" w:hAnsi="Bookman Old Style" w:cs="Arial"/>
        </w:rPr>
        <w:t>SL4373</w:t>
      </w:r>
      <w:proofErr w:type="spellEnd"/>
      <w:r w:rsidRPr="004E4013">
        <w:rPr>
          <w:rFonts w:ascii="Bookman Old Style" w:hAnsi="Bookman Old Style" w:cs="Arial"/>
        </w:rPr>
        <w:t>-2020, entre otras.</w:t>
      </w:r>
    </w:p>
    <w:p w14:paraId="763CB054" w14:textId="77777777" w:rsidR="003073FB" w:rsidRPr="004E4013" w:rsidRDefault="003073FB" w:rsidP="004E4013">
      <w:pPr>
        <w:spacing w:line="276" w:lineRule="auto"/>
        <w:ind w:firstLine="0"/>
        <w:rPr>
          <w:rFonts w:ascii="Bookman Old Style" w:hAnsi="Bookman Old Style" w:cs="Arial"/>
        </w:rPr>
      </w:pPr>
    </w:p>
    <w:p w14:paraId="11457DE1" w14:textId="19FE2E18"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A lo anterior se suma, que las obligaciones que debía</w:t>
      </w:r>
      <w:r w:rsidR="00C248E2" w:rsidRPr="004E4013">
        <w:rPr>
          <w:rFonts w:ascii="Bookman Old Style" w:hAnsi="Bookman Old Style" w:cs="Arial"/>
        </w:rPr>
        <w:t>n observar los</w:t>
      </w:r>
      <w:r w:rsidRPr="004E4013">
        <w:rPr>
          <w:rFonts w:ascii="Bookman Old Style" w:hAnsi="Bookman Old Style" w:cs="Arial"/>
        </w:rPr>
        <w:t xml:space="preserve"> fondo</w:t>
      </w:r>
      <w:r w:rsidR="00C248E2" w:rsidRPr="004E4013">
        <w:rPr>
          <w:rFonts w:ascii="Bookman Old Style" w:hAnsi="Bookman Old Style" w:cs="Arial"/>
        </w:rPr>
        <w:t>s</w:t>
      </w:r>
      <w:r w:rsidRPr="004E4013">
        <w:rPr>
          <w:rFonts w:ascii="Bookman Old Style" w:hAnsi="Bookman Old Style" w:cs="Arial"/>
        </w:rPr>
        <w:t xml:space="preserve"> de pensiones durante el traslado de la parte accionante eran las contenidas en las normas del sistema vigentes a esa época. De modo q</w:t>
      </w:r>
      <w:r w:rsidR="00ED6949" w:rsidRPr="004E4013">
        <w:rPr>
          <w:rFonts w:ascii="Bookman Old Style" w:hAnsi="Bookman Old Style" w:cs="Arial"/>
        </w:rPr>
        <w:t xml:space="preserve">ue, </w:t>
      </w:r>
      <w:r w:rsidR="00952B9A" w:rsidRPr="004E4013">
        <w:rPr>
          <w:rFonts w:ascii="Bookman Old Style" w:hAnsi="Bookman Old Style" w:cs="Arial"/>
        </w:rPr>
        <w:t xml:space="preserve">al ser la solicitud del año </w:t>
      </w:r>
      <w:r w:rsidR="004D63C6" w:rsidRPr="004E4013">
        <w:rPr>
          <w:rFonts w:ascii="Bookman Old Style" w:hAnsi="Bookman Old Style" w:cs="Arial"/>
        </w:rPr>
        <w:t>2000</w:t>
      </w:r>
      <w:r w:rsidRPr="004E4013">
        <w:rPr>
          <w:rFonts w:ascii="Bookman Old Style" w:hAnsi="Bookman Old Style" w:cs="Arial"/>
        </w:rPr>
        <w:t xml:space="preserve"> es factible pr</w:t>
      </w:r>
      <w:r w:rsidR="00B42FBC" w:rsidRPr="004E4013">
        <w:rPr>
          <w:rFonts w:ascii="Bookman Old Style" w:hAnsi="Bookman Old Style" w:cs="Arial"/>
        </w:rPr>
        <w:t>egonar sin vacilación que a PROTECCIÓN</w:t>
      </w:r>
      <w:r w:rsidRPr="004E4013">
        <w:rPr>
          <w:rFonts w:ascii="Bookman Old Style" w:hAnsi="Bookman Old Style" w:cs="Arial"/>
        </w:rPr>
        <w:t xml:space="preserve"> le correspondía cumplir con el deber de información que deviene de las disposiciones constitucionales, de la Ley 100 de 1993, artículos 13, literal b), 271 y 272 y del Decreto 663 de 1993, artículo 97, según los cuales, como mínimo, debió ilustrarse a</w:t>
      </w:r>
      <w:r w:rsidR="00C248E2" w:rsidRPr="004E4013">
        <w:rPr>
          <w:rFonts w:ascii="Bookman Old Style" w:hAnsi="Bookman Old Style" w:cs="Arial"/>
        </w:rPr>
        <w:t>l</w:t>
      </w:r>
      <w:r w:rsidRPr="004E4013">
        <w:rPr>
          <w:rFonts w:ascii="Bookman Old Style" w:hAnsi="Bookman Old Style" w:cs="Arial"/>
        </w:rPr>
        <w:t xml:space="preserve"> potencial afiliad</w:t>
      </w:r>
      <w:r w:rsidR="00C248E2" w:rsidRPr="004E4013">
        <w:rPr>
          <w:rFonts w:ascii="Bookman Old Style" w:hAnsi="Bookman Old Style" w:cs="Arial"/>
        </w:rPr>
        <w:t>o</w:t>
      </w:r>
      <w:r w:rsidRPr="004E4013">
        <w:rPr>
          <w:rFonts w:ascii="Bookman Old Style" w:hAnsi="Bookman Old Style" w:cs="Arial"/>
        </w:rPr>
        <w:t xml:space="preserve"> sobre las características, condiciones de acceso, efectos y riesgos de cada uno de los regímenes pensionales.</w:t>
      </w:r>
    </w:p>
    <w:p w14:paraId="31FAE1DA" w14:textId="77777777" w:rsidR="003073FB" w:rsidRPr="004E4013" w:rsidRDefault="003073FB" w:rsidP="004E4013">
      <w:pPr>
        <w:spacing w:line="276" w:lineRule="auto"/>
        <w:ind w:firstLine="0"/>
        <w:rPr>
          <w:rFonts w:ascii="Bookman Old Style" w:hAnsi="Bookman Old Style" w:cs="Arial"/>
        </w:rPr>
      </w:pPr>
    </w:p>
    <w:p w14:paraId="00B73C1F" w14:textId="77777777" w:rsidR="003073FB" w:rsidRPr="004E4013" w:rsidRDefault="003073FB" w:rsidP="004E4013">
      <w:pPr>
        <w:spacing w:line="276" w:lineRule="auto"/>
        <w:ind w:firstLine="0"/>
        <w:rPr>
          <w:rFonts w:ascii="Bookman Old Style" w:hAnsi="Bookman Old Style" w:cs="Arial"/>
          <w:b/>
          <w:bCs/>
          <w:u w:val="single"/>
        </w:rPr>
      </w:pPr>
      <w:r w:rsidRPr="004E4013">
        <w:rPr>
          <w:rFonts w:ascii="Bookman Old Style" w:hAnsi="Bookman Old Style" w:cs="Arial"/>
          <w:u w:val="single"/>
        </w:rPr>
        <w:t>¿</w:t>
      </w:r>
      <w:r w:rsidRPr="004E4013">
        <w:rPr>
          <w:rFonts w:ascii="Bookman Old Style" w:hAnsi="Bookman Old Style" w:cs="Arial"/>
          <w:b/>
          <w:bCs/>
          <w:u w:val="single"/>
        </w:rPr>
        <w:t xml:space="preserve">El actuar de la parte actora ratifican la voluntad de permanecer en el </w:t>
      </w:r>
      <w:proofErr w:type="spellStart"/>
      <w:r w:rsidRPr="004E4013">
        <w:rPr>
          <w:rFonts w:ascii="Bookman Old Style" w:hAnsi="Bookman Old Style" w:cs="Arial"/>
          <w:b/>
          <w:bCs/>
          <w:u w:val="single"/>
        </w:rPr>
        <w:t>RAIS</w:t>
      </w:r>
      <w:proofErr w:type="spellEnd"/>
      <w:r w:rsidRPr="004E4013">
        <w:rPr>
          <w:rFonts w:ascii="Bookman Old Style" w:hAnsi="Bookman Old Style" w:cs="Arial"/>
          <w:b/>
          <w:bCs/>
          <w:u w:val="single"/>
        </w:rPr>
        <w:t>? ¿Era la ineficacia la acción a emprender?</w:t>
      </w:r>
    </w:p>
    <w:p w14:paraId="108A0F29" w14:textId="77777777" w:rsidR="003073FB" w:rsidRPr="004E4013" w:rsidRDefault="003073FB" w:rsidP="004E4013">
      <w:pPr>
        <w:spacing w:line="276" w:lineRule="auto"/>
        <w:ind w:firstLine="0"/>
        <w:rPr>
          <w:rFonts w:ascii="Bookman Old Style" w:hAnsi="Bookman Old Style" w:cs="Arial"/>
          <w:highlight w:val="yellow"/>
        </w:rPr>
      </w:pPr>
    </w:p>
    <w:p w14:paraId="1B745D95" w14:textId="7D498301"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Frente al tema, no se puede pretender que se tenga como </w:t>
      </w:r>
      <w:r w:rsidR="00ED6949" w:rsidRPr="004E4013">
        <w:rPr>
          <w:rFonts w:ascii="Bookman Old Style" w:hAnsi="Bookman Old Style" w:cs="Arial"/>
        </w:rPr>
        <w:t>ratificación</w:t>
      </w:r>
      <w:r w:rsidR="00952B9A" w:rsidRPr="004E4013">
        <w:rPr>
          <w:rFonts w:ascii="Bookman Old Style" w:hAnsi="Bookman Old Style" w:cs="Arial"/>
        </w:rPr>
        <w:t xml:space="preserve"> </w:t>
      </w:r>
      <w:r w:rsidR="00ED6949" w:rsidRPr="004E4013">
        <w:rPr>
          <w:rFonts w:ascii="Bookman Old Style" w:hAnsi="Bookman Old Style" w:cs="Arial"/>
        </w:rPr>
        <w:t xml:space="preserve">el tiempo en que </w:t>
      </w:r>
      <w:r w:rsidR="004D63C6" w:rsidRPr="004E4013">
        <w:rPr>
          <w:rFonts w:ascii="Bookman Old Style" w:hAnsi="Bookman Old Style" w:cs="Arial"/>
        </w:rPr>
        <w:t>la</w:t>
      </w:r>
      <w:r w:rsidRPr="004E4013">
        <w:rPr>
          <w:rFonts w:ascii="Bookman Old Style" w:hAnsi="Bookman Old Style" w:cs="Arial"/>
        </w:rPr>
        <w:t xml:space="preserve"> demandante permaneció en el </w:t>
      </w:r>
      <w:proofErr w:type="spellStart"/>
      <w:r w:rsidRPr="004E4013">
        <w:rPr>
          <w:rFonts w:ascii="Bookman Old Style" w:hAnsi="Bookman Old Style" w:cs="Arial"/>
        </w:rPr>
        <w:t>RAIS</w:t>
      </w:r>
      <w:proofErr w:type="spellEnd"/>
      <w:r w:rsidR="00C248E2" w:rsidRPr="004E4013">
        <w:rPr>
          <w:rFonts w:ascii="Bookman Old Style" w:hAnsi="Bookman Old Style" w:cs="Arial"/>
        </w:rPr>
        <w:t xml:space="preserve"> administrado por </w:t>
      </w:r>
      <w:r w:rsidR="00B42FBC" w:rsidRPr="004E4013">
        <w:rPr>
          <w:rFonts w:ascii="Bookman Old Style" w:hAnsi="Bookman Old Style" w:cs="Arial"/>
        </w:rPr>
        <w:t>PROTECCIÓN</w:t>
      </w:r>
      <w:r w:rsidRPr="004E4013">
        <w:rPr>
          <w:rFonts w:ascii="Bookman Old Style" w:hAnsi="Bookman Old Style" w:cs="Arial"/>
        </w:rPr>
        <w:t>, el hecho que no se hubiese retractado de su decisión o que no hubiese manifestado la intención de regresar al régimen de prima media, antes de encontrarse inmers</w:t>
      </w:r>
      <w:r w:rsidR="00BB60BF" w:rsidRPr="004E4013">
        <w:rPr>
          <w:rFonts w:ascii="Bookman Old Style" w:hAnsi="Bookman Old Style" w:cs="Arial"/>
        </w:rPr>
        <w:t>o</w:t>
      </w:r>
      <w:r w:rsidRPr="004E4013">
        <w:rPr>
          <w:rFonts w:ascii="Bookman Old Style" w:hAnsi="Bookman Old Style" w:cs="Arial"/>
        </w:rPr>
        <w:t xml:space="preserve"> en la prohibición de cambiarse de régimen, es decir cuando faltaren menos de 10 años para acceder a la edad pensional, pues lo que se evidencia aquí es la falta de acompañamiento, y aún, ante el supuesto que esta tuviera presente dicha disposición, debe tenerse en cuenta que la falta de asesoramiento de la que fue objeto, no le permitía distinguir cual régimen era el que más le convenía, </w:t>
      </w:r>
      <w:r w:rsidR="00B42FBC" w:rsidRPr="004E4013">
        <w:rPr>
          <w:rFonts w:ascii="Bookman Old Style" w:hAnsi="Bookman Old Style" w:cs="Arial"/>
        </w:rPr>
        <w:t>pues nunca le mencionaron</w:t>
      </w:r>
      <w:r w:rsidRPr="004E4013">
        <w:rPr>
          <w:rFonts w:ascii="Bookman Old Style" w:hAnsi="Bookman Old Style" w:cs="Arial"/>
        </w:rPr>
        <w:t xml:space="preserve"> las características del </w:t>
      </w:r>
      <w:proofErr w:type="spellStart"/>
      <w:r w:rsidRPr="004E4013">
        <w:rPr>
          <w:rFonts w:ascii="Bookman Old Style" w:hAnsi="Bookman Old Style" w:cs="Arial"/>
        </w:rPr>
        <w:t>RAIS</w:t>
      </w:r>
      <w:proofErr w:type="spellEnd"/>
      <w:r w:rsidRPr="004E4013">
        <w:rPr>
          <w:rFonts w:ascii="Bookman Old Style" w:hAnsi="Bookman Old Style" w:cs="Arial"/>
        </w:rPr>
        <w:t xml:space="preserve">, </w:t>
      </w:r>
      <w:r w:rsidR="00B42FBC" w:rsidRPr="004E4013">
        <w:rPr>
          <w:rFonts w:ascii="Bookman Old Style" w:hAnsi="Bookman Old Style" w:cs="Arial"/>
        </w:rPr>
        <w:t xml:space="preserve">no </w:t>
      </w:r>
      <w:r w:rsidRPr="004E4013">
        <w:rPr>
          <w:rFonts w:ascii="Bookman Old Style" w:hAnsi="Bookman Old Style" w:cs="Arial"/>
        </w:rPr>
        <w:t>le expusieron las diferencias con el RPM con PD y menos aún de los riesgos, consecuencias, requisitos de las diferentes modalidades de pensión y demás ca</w:t>
      </w:r>
      <w:r w:rsidR="00ED6949" w:rsidRPr="004E4013">
        <w:rPr>
          <w:rFonts w:ascii="Bookman Old Style" w:hAnsi="Bookman Old Style" w:cs="Arial"/>
        </w:rPr>
        <w:t xml:space="preserve">racterísticas que finalmente </w:t>
      </w:r>
      <w:r w:rsidR="004D63C6" w:rsidRPr="004E4013">
        <w:rPr>
          <w:rFonts w:ascii="Bookman Old Style" w:hAnsi="Bookman Old Style" w:cs="Arial"/>
        </w:rPr>
        <w:t>la</w:t>
      </w:r>
      <w:r w:rsidRPr="004E4013">
        <w:rPr>
          <w:rFonts w:ascii="Bookman Old Style" w:hAnsi="Bookman Old Style" w:cs="Arial"/>
        </w:rPr>
        <w:t xml:space="preserve"> demandante desconocía para adoptar una decisión debida y completamente informada.</w:t>
      </w:r>
    </w:p>
    <w:p w14:paraId="5A36D942" w14:textId="77777777" w:rsidR="003073FB" w:rsidRPr="004E4013" w:rsidRDefault="003073FB" w:rsidP="004E4013">
      <w:pPr>
        <w:spacing w:line="276" w:lineRule="auto"/>
        <w:ind w:firstLine="0"/>
        <w:rPr>
          <w:rFonts w:ascii="Bookman Old Style" w:hAnsi="Bookman Old Style" w:cs="Arial"/>
          <w:highlight w:val="yellow"/>
        </w:rPr>
      </w:pPr>
    </w:p>
    <w:p w14:paraId="05399D0C" w14:textId="22BE6D7B"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Aquí, se ha de precisar que la permanencia de</w:t>
      </w:r>
      <w:r w:rsidR="004D63C6" w:rsidRPr="004E4013">
        <w:rPr>
          <w:rFonts w:ascii="Bookman Old Style" w:hAnsi="Bookman Old Style" w:cs="Arial"/>
        </w:rPr>
        <w:t xml:space="preserve"> la</w:t>
      </w:r>
      <w:r w:rsidR="00A57DF7" w:rsidRPr="004E4013">
        <w:rPr>
          <w:rFonts w:ascii="Bookman Old Style" w:hAnsi="Bookman Old Style" w:cs="Arial"/>
        </w:rPr>
        <w:t xml:space="preserve"> </w:t>
      </w:r>
      <w:r w:rsidRPr="004E4013">
        <w:rPr>
          <w:rFonts w:ascii="Bookman Old Style" w:hAnsi="Bookman Old Style" w:cs="Arial"/>
        </w:rPr>
        <w:t>afiliad</w:t>
      </w:r>
      <w:r w:rsidR="004D63C6" w:rsidRPr="004E4013">
        <w:rPr>
          <w:rFonts w:ascii="Bookman Old Style" w:hAnsi="Bookman Old Style" w:cs="Arial"/>
        </w:rPr>
        <w:t>a</w:t>
      </w:r>
      <w:r w:rsidRPr="004E4013">
        <w:rPr>
          <w:rFonts w:ascii="Bookman Old Style" w:hAnsi="Bookman Old Style" w:cs="Arial"/>
        </w:rPr>
        <w:t xml:space="preserve"> por varios años</w:t>
      </w:r>
      <w:r w:rsidR="00332256" w:rsidRPr="004E4013">
        <w:rPr>
          <w:rFonts w:ascii="Bookman Old Style" w:hAnsi="Bookman Old Style" w:cs="Arial"/>
        </w:rPr>
        <w:t xml:space="preserve"> al </w:t>
      </w:r>
      <w:proofErr w:type="spellStart"/>
      <w:r w:rsidR="00332256" w:rsidRPr="004E4013">
        <w:rPr>
          <w:rFonts w:ascii="Bookman Old Style" w:hAnsi="Bookman Old Style" w:cs="Arial"/>
        </w:rPr>
        <w:t>RAIS</w:t>
      </w:r>
      <w:proofErr w:type="spellEnd"/>
      <w:r w:rsidRPr="004E4013">
        <w:rPr>
          <w:rFonts w:ascii="Bookman Old Style" w:hAnsi="Bookman Old Style" w:cs="Arial"/>
        </w:rPr>
        <w:t xml:space="preserve">, no </w:t>
      </w:r>
      <w:r w:rsidR="00332256" w:rsidRPr="004E4013">
        <w:rPr>
          <w:rFonts w:ascii="Bookman Old Style" w:hAnsi="Bookman Old Style" w:cs="Arial"/>
        </w:rPr>
        <w:t>es</w:t>
      </w:r>
      <w:r w:rsidRPr="004E4013">
        <w:rPr>
          <w:rFonts w:ascii="Bookman Old Style" w:hAnsi="Bookman Old Style" w:cs="Arial"/>
        </w:rPr>
        <w:t xml:space="preserve"> </w:t>
      </w:r>
      <w:r w:rsidR="00332256" w:rsidRPr="004E4013">
        <w:rPr>
          <w:rFonts w:ascii="Bookman Old Style" w:hAnsi="Bookman Old Style" w:cs="Arial"/>
        </w:rPr>
        <w:t xml:space="preserve">un </w:t>
      </w:r>
      <w:r w:rsidRPr="004E4013">
        <w:rPr>
          <w:rFonts w:ascii="Bookman Old Style" w:hAnsi="Bookman Old Style" w:cs="Arial"/>
        </w:rPr>
        <w:t xml:space="preserve">aspecto que derruya las </w:t>
      </w:r>
      <w:r w:rsidR="00705E27" w:rsidRPr="004E4013">
        <w:rPr>
          <w:rFonts w:ascii="Bookman Old Style" w:hAnsi="Bookman Old Style" w:cs="Arial"/>
        </w:rPr>
        <w:t xml:space="preserve">conclusiones a las que arribó </w:t>
      </w:r>
      <w:r w:rsidR="00BB60BF" w:rsidRPr="004E4013">
        <w:rPr>
          <w:rFonts w:ascii="Bookman Old Style" w:hAnsi="Bookman Old Style" w:cs="Arial"/>
        </w:rPr>
        <w:t>la</w:t>
      </w:r>
      <w:r w:rsidRPr="004E4013">
        <w:rPr>
          <w:rFonts w:ascii="Bookman Old Style" w:hAnsi="Bookman Old Style" w:cs="Arial"/>
        </w:rPr>
        <w:t xml:space="preserve"> </w:t>
      </w:r>
      <w:r w:rsidR="00705E27" w:rsidRPr="004E4013">
        <w:rPr>
          <w:rFonts w:ascii="Bookman Old Style" w:hAnsi="Bookman Old Style" w:cs="Arial"/>
          <w:i/>
        </w:rPr>
        <w:t>a quo</w:t>
      </w:r>
      <w:r w:rsidRPr="004E4013">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4E4013" w:rsidRDefault="003073FB" w:rsidP="004E4013">
      <w:pPr>
        <w:spacing w:line="276" w:lineRule="auto"/>
        <w:ind w:firstLine="0"/>
        <w:rPr>
          <w:rFonts w:ascii="Bookman Old Style" w:hAnsi="Bookman Old Style" w:cs="Arial"/>
        </w:rPr>
      </w:pPr>
    </w:p>
    <w:p w14:paraId="5CE6261C" w14:textId="3DF5E53C" w:rsidR="003073FB" w:rsidRPr="004E4013" w:rsidRDefault="00CC0BF9" w:rsidP="004E4013">
      <w:pPr>
        <w:spacing w:line="276" w:lineRule="auto"/>
        <w:ind w:firstLine="0"/>
        <w:rPr>
          <w:rFonts w:ascii="Bookman Old Style" w:hAnsi="Bookman Old Style" w:cs="Arial"/>
        </w:rPr>
      </w:pPr>
      <w:r w:rsidRPr="004E4013">
        <w:rPr>
          <w:rFonts w:ascii="Bookman Old Style" w:hAnsi="Bookman Old Style" w:cs="Arial"/>
        </w:rPr>
        <w:lastRenderedPageBreak/>
        <w:t>Tampoco podría afirmarse</w:t>
      </w:r>
      <w:r w:rsidR="00D234AB" w:rsidRPr="004E4013">
        <w:rPr>
          <w:rFonts w:ascii="Bookman Old Style" w:hAnsi="Bookman Old Style" w:cs="Arial"/>
        </w:rPr>
        <w:t xml:space="preserve"> </w:t>
      </w:r>
      <w:r w:rsidR="00705E27" w:rsidRPr="004E4013">
        <w:rPr>
          <w:rFonts w:ascii="Bookman Old Style" w:hAnsi="Bookman Old Style" w:cs="Arial"/>
        </w:rPr>
        <w:t xml:space="preserve">que </w:t>
      </w:r>
      <w:r w:rsidR="004D63C6" w:rsidRPr="004E4013">
        <w:rPr>
          <w:rFonts w:ascii="Bookman Old Style" w:hAnsi="Bookman Old Style" w:cs="Arial"/>
        </w:rPr>
        <w:t>la</w:t>
      </w:r>
      <w:r w:rsidR="00A57DF7" w:rsidRPr="004E4013">
        <w:rPr>
          <w:rFonts w:ascii="Bookman Old Style" w:hAnsi="Bookman Old Style" w:cs="Arial"/>
        </w:rPr>
        <w:t xml:space="preserve"> </w:t>
      </w:r>
      <w:r w:rsidR="003073FB" w:rsidRPr="004E4013">
        <w:rPr>
          <w:rFonts w:ascii="Bookman Old Style" w:hAnsi="Bookman Old Style" w:cs="Arial"/>
        </w:rPr>
        <w:t>actor</w:t>
      </w:r>
      <w:r w:rsidR="004D63C6" w:rsidRPr="004E4013">
        <w:rPr>
          <w:rFonts w:ascii="Bookman Old Style" w:hAnsi="Bookman Old Style" w:cs="Arial"/>
        </w:rPr>
        <w:t>a</w:t>
      </w:r>
      <w:r w:rsidR="003073FB" w:rsidRPr="004E4013">
        <w:rPr>
          <w:rFonts w:ascii="Bookman Old Style" w:hAnsi="Bookman Old Style" w:cs="Arial"/>
        </w:rPr>
        <w:t xml:space="preserve"> hizo </w:t>
      </w:r>
      <w:r w:rsidR="003073FB" w:rsidRPr="004E4013">
        <w:rPr>
          <w:rFonts w:ascii="Bookman Old Style" w:hAnsi="Bookman Old Style" w:cs="Arial"/>
          <w:b/>
          <w:i/>
          <w:iCs/>
        </w:rPr>
        <w:t xml:space="preserve">actos de relacionamiento que convalidaron su voluntad de pertenecer al </w:t>
      </w:r>
      <w:proofErr w:type="spellStart"/>
      <w:r w:rsidR="003073FB" w:rsidRPr="004E4013">
        <w:rPr>
          <w:rFonts w:ascii="Bookman Old Style" w:hAnsi="Bookman Old Style" w:cs="Arial"/>
          <w:b/>
          <w:i/>
          <w:iCs/>
        </w:rPr>
        <w:t>RAIS</w:t>
      </w:r>
      <w:proofErr w:type="spellEnd"/>
      <w:r w:rsidR="00D234AB" w:rsidRPr="004E4013">
        <w:rPr>
          <w:rFonts w:ascii="Bookman Old Style" w:hAnsi="Bookman Old Style" w:cs="Arial"/>
          <w:b/>
        </w:rPr>
        <w:t xml:space="preserve"> </w:t>
      </w:r>
      <w:r w:rsidR="00952B9A" w:rsidRPr="004E4013">
        <w:rPr>
          <w:rFonts w:ascii="Bookman Old Style" w:hAnsi="Bookman Old Style" w:cs="Arial"/>
        </w:rPr>
        <w:t>por</w:t>
      </w:r>
      <w:r w:rsidR="00C248E2" w:rsidRPr="004E4013">
        <w:rPr>
          <w:rFonts w:ascii="Bookman Old Style" w:hAnsi="Bookman Old Style" w:cs="Arial"/>
        </w:rPr>
        <w:t xml:space="preserve"> </w:t>
      </w:r>
      <w:r w:rsidR="00D234AB" w:rsidRPr="004E4013">
        <w:rPr>
          <w:rFonts w:ascii="Bookman Old Style" w:hAnsi="Bookman Old Style" w:cs="Arial"/>
        </w:rPr>
        <w:t>permanecer por más de 20</w:t>
      </w:r>
      <w:r w:rsidRPr="004E4013">
        <w:rPr>
          <w:rFonts w:ascii="Bookman Old Style" w:hAnsi="Bookman Old Style" w:cs="Arial"/>
        </w:rPr>
        <w:t xml:space="preserve"> años en </w:t>
      </w:r>
      <w:r w:rsidR="00C248E2" w:rsidRPr="004E4013">
        <w:rPr>
          <w:rFonts w:ascii="Bookman Old Style" w:hAnsi="Bookman Old Style" w:cs="Arial"/>
        </w:rPr>
        <w:t>dichos fondos</w:t>
      </w:r>
      <w:r w:rsidR="00D234AB" w:rsidRPr="004E4013">
        <w:rPr>
          <w:rFonts w:ascii="Bookman Old Style" w:hAnsi="Bookman Old Style" w:cs="Arial"/>
        </w:rPr>
        <w:t xml:space="preserve">. A </w:t>
      </w:r>
      <w:r w:rsidR="003073FB" w:rsidRPr="004E4013">
        <w:rPr>
          <w:rFonts w:ascii="Bookman Old Style" w:hAnsi="Bookman Old Style" w:cs="Arial"/>
        </w:rPr>
        <w:t xml:space="preserve">propósito de ello, es del caso traer a colación la sentencia </w:t>
      </w:r>
      <w:proofErr w:type="spellStart"/>
      <w:r w:rsidR="003073FB" w:rsidRPr="004E4013">
        <w:rPr>
          <w:rFonts w:ascii="Bookman Old Style" w:hAnsi="Bookman Old Style" w:cs="Arial"/>
        </w:rPr>
        <w:t>SL1055</w:t>
      </w:r>
      <w:proofErr w:type="spellEnd"/>
      <w:r w:rsidR="003073FB" w:rsidRPr="004E4013">
        <w:rPr>
          <w:rFonts w:ascii="Bookman Old Style" w:hAnsi="Bookman Old Style" w:cs="Arial"/>
        </w:rPr>
        <w:t>-2022 (2-03-2022)</w:t>
      </w:r>
      <w:r w:rsidR="003073FB" w:rsidRPr="004E4013">
        <w:rPr>
          <w:rFonts w:ascii="Bookman Old Style" w:hAnsi="Bookman Old Style" w:cs="Arial"/>
          <w:vertAlign w:val="superscript"/>
        </w:rPr>
        <w:footnoteReference w:id="1"/>
      </w:r>
      <w:r w:rsidR="003073FB" w:rsidRPr="004E4013">
        <w:rPr>
          <w:rFonts w:ascii="Bookman Old Style" w:hAnsi="Bookman Old Style" w:cs="Arial"/>
        </w:rPr>
        <w:t>, que en lo pertinente recalcó:</w:t>
      </w:r>
    </w:p>
    <w:p w14:paraId="0450F06B" w14:textId="77777777" w:rsidR="003073FB" w:rsidRPr="004E4013" w:rsidRDefault="003073FB" w:rsidP="004E4013">
      <w:pPr>
        <w:spacing w:line="276" w:lineRule="auto"/>
        <w:ind w:firstLine="0"/>
        <w:rPr>
          <w:rFonts w:ascii="Bookman Old Style" w:hAnsi="Bookman Old Style" w:cs="Arial"/>
        </w:rPr>
      </w:pPr>
    </w:p>
    <w:p w14:paraId="3023F018" w14:textId="77777777" w:rsidR="003073FB" w:rsidRPr="00F11B0C" w:rsidRDefault="003073FB" w:rsidP="00F11B0C">
      <w:pPr>
        <w:spacing w:line="240" w:lineRule="auto"/>
        <w:ind w:left="426" w:right="420" w:firstLine="0"/>
        <w:rPr>
          <w:rFonts w:ascii="Bookman Old Style" w:hAnsi="Bookman Old Style" w:cs="Arial"/>
          <w:i/>
          <w:iCs/>
          <w:sz w:val="22"/>
        </w:rPr>
      </w:pPr>
      <w:r w:rsidRPr="00F11B0C">
        <w:rPr>
          <w:rFonts w:ascii="Bookman Old Style" w:hAnsi="Bookman Old Style" w:cs="Arial"/>
          <w:i/>
          <w:iCs/>
          <w:sz w:val="22"/>
        </w:rPr>
        <w:t xml:space="preserve">“… si bien en el presente asunto uno de los argumentos del accionante fue el relativo a demostrar que su pensión en prima media sería más favorable que en el </w:t>
      </w:r>
      <w:proofErr w:type="spellStart"/>
      <w:r w:rsidRPr="00F11B0C">
        <w:rPr>
          <w:rFonts w:ascii="Bookman Old Style" w:hAnsi="Bookman Old Style" w:cs="Arial"/>
          <w:i/>
          <w:iCs/>
          <w:sz w:val="22"/>
        </w:rPr>
        <w:t>RAIS</w:t>
      </w:r>
      <w:proofErr w:type="spellEnd"/>
      <w:r w:rsidRPr="00F11B0C">
        <w:rPr>
          <w:rFonts w:ascii="Bookman Old Style" w:hAnsi="Bookman Old Style" w:cs="Arial"/>
          <w:i/>
          <w:iCs/>
          <w:sz w:val="22"/>
        </w:rPr>
        <w:t>,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F11B0C" w:rsidRDefault="003073FB" w:rsidP="00F11B0C">
      <w:pPr>
        <w:spacing w:line="240" w:lineRule="auto"/>
        <w:ind w:left="426" w:right="420" w:firstLine="0"/>
        <w:rPr>
          <w:rFonts w:ascii="Bookman Old Style" w:hAnsi="Bookman Old Style" w:cs="Arial"/>
          <w:i/>
          <w:iCs/>
          <w:sz w:val="22"/>
        </w:rPr>
      </w:pPr>
    </w:p>
    <w:p w14:paraId="44AE8249" w14:textId="77777777" w:rsidR="003073FB" w:rsidRPr="00F11B0C" w:rsidRDefault="003073FB" w:rsidP="00F11B0C">
      <w:pPr>
        <w:spacing w:line="240" w:lineRule="auto"/>
        <w:ind w:left="426" w:right="420" w:firstLine="0"/>
        <w:rPr>
          <w:rFonts w:ascii="Bookman Old Style" w:hAnsi="Bookman Old Style" w:cs="Arial"/>
          <w:i/>
          <w:iCs/>
          <w:sz w:val="22"/>
        </w:rPr>
      </w:pPr>
      <w:r w:rsidRPr="00F11B0C">
        <w:rPr>
          <w:rFonts w:ascii="Bookman Old Style" w:hAnsi="Bookman Old Style" w:cs="Arial"/>
          <w:i/>
          <w:iCs/>
          <w:sz w:val="22"/>
        </w:rPr>
        <w:t xml:space="preserve">Precisamente en este punto la Corte advierte que la opositora Old Mutual S.A. sugiere que la afiliación entre regímenes privados es un acto de relacionamiento que implica su voluntad de permanecer al </w:t>
      </w:r>
      <w:proofErr w:type="spellStart"/>
      <w:r w:rsidRPr="00F11B0C">
        <w:rPr>
          <w:rFonts w:ascii="Bookman Old Style" w:hAnsi="Bookman Old Style" w:cs="Arial"/>
          <w:i/>
          <w:iCs/>
          <w:sz w:val="22"/>
        </w:rPr>
        <w:t>RAIS</w:t>
      </w:r>
      <w:proofErr w:type="spellEnd"/>
      <w:r w:rsidRPr="00F11B0C">
        <w:rPr>
          <w:rFonts w:ascii="Bookman Old Style" w:hAnsi="Bookman Old Style" w:cs="Arial"/>
          <w:i/>
          <w:iCs/>
          <w:sz w:val="22"/>
        </w:rPr>
        <w:t xml:space="preserve">.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w:t>
      </w:r>
      <w:proofErr w:type="spellStart"/>
      <w:r w:rsidRPr="00F11B0C">
        <w:rPr>
          <w:rFonts w:ascii="Bookman Old Style" w:hAnsi="Bookman Old Style" w:cs="Arial"/>
          <w:i/>
          <w:iCs/>
          <w:sz w:val="22"/>
        </w:rPr>
        <w:t>RAIS</w:t>
      </w:r>
      <w:proofErr w:type="spellEnd"/>
      <w:r w:rsidRPr="00F11B0C">
        <w:rPr>
          <w:rFonts w:ascii="Bookman Old Style" w:hAnsi="Bookman Old Style" w:cs="Arial"/>
          <w:i/>
          <w:iCs/>
          <w:sz w:val="22"/>
        </w:rPr>
        <w:t>.</w:t>
      </w:r>
    </w:p>
    <w:p w14:paraId="75C90B8C" w14:textId="77777777" w:rsidR="003073FB" w:rsidRPr="00F11B0C" w:rsidRDefault="003073FB" w:rsidP="00F11B0C">
      <w:pPr>
        <w:spacing w:line="240" w:lineRule="auto"/>
        <w:ind w:left="426" w:right="420" w:firstLine="0"/>
        <w:rPr>
          <w:rFonts w:ascii="Bookman Old Style" w:hAnsi="Bookman Old Style" w:cs="Arial"/>
          <w:i/>
          <w:iCs/>
          <w:sz w:val="22"/>
        </w:rPr>
      </w:pPr>
    </w:p>
    <w:p w14:paraId="3CCD02AE" w14:textId="77777777" w:rsidR="003073FB" w:rsidRPr="00F11B0C" w:rsidRDefault="003073FB" w:rsidP="00F11B0C">
      <w:pPr>
        <w:spacing w:line="240" w:lineRule="auto"/>
        <w:ind w:left="426" w:right="420" w:firstLine="0"/>
        <w:rPr>
          <w:rFonts w:ascii="Bookman Old Style" w:hAnsi="Bookman Old Style" w:cs="Arial"/>
          <w:i/>
          <w:iCs/>
          <w:sz w:val="22"/>
        </w:rPr>
      </w:pPr>
      <w:r w:rsidRPr="00F11B0C">
        <w:rPr>
          <w:rFonts w:ascii="Bookman Old Style" w:hAnsi="Bookman Old Style" w:cs="Arial"/>
          <w:i/>
          <w:iCs/>
          <w:sz w:val="22"/>
        </w:rPr>
        <w:t xml:space="preserve">Pues bien, como se explicó en las sentencias CSJ </w:t>
      </w:r>
      <w:proofErr w:type="spellStart"/>
      <w:r w:rsidRPr="00F11B0C">
        <w:rPr>
          <w:rFonts w:ascii="Bookman Old Style" w:hAnsi="Bookman Old Style" w:cs="Arial"/>
          <w:i/>
          <w:iCs/>
          <w:sz w:val="22"/>
        </w:rPr>
        <w:t>SL5686</w:t>
      </w:r>
      <w:proofErr w:type="spellEnd"/>
      <w:r w:rsidRPr="00F11B0C">
        <w:rPr>
          <w:rFonts w:ascii="Bookman Old Style" w:hAnsi="Bookman Old Style" w:cs="Arial"/>
          <w:i/>
          <w:iCs/>
          <w:sz w:val="22"/>
        </w:rPr>
        <w:t xml:space="preserve">-2021 y </w:t>
      </w:r>
      <w:proofErr w:type="spellStart"/>
      <w:r w:rsidRPr="00F11B0C">
        <w:rPr>
          <w:rFonts w:ascii="Bookman Old Style" w:hAnsi="Bookman Old Style" w:cs="Arial"/>
          <w:i/>
          <w:iCs/>
          <w:sz w:val="22"/>
        </w:rPr>
        <w:t>SL5688</w:t>
      </w:r>
      <w:proofErr w:type="spellEnd"/>
      <w:r w:rsidRPr="00F11B0C">
        <w:rPr>
          <w:rFonts w:ascii="Bookman Old Style" w:hAnsi="Bookman Old Style" w:cs="Arial"/>
          <w:i/>
          <w:iCs/>
          <w:sz w:val="22"/>
        </w:rPr>
        <w:t xml:space="preserve">-2021, los argumentos de esta índole son inadmisibles pues desatienden que el eje central de estas discusiones está en determinar si al momento del traslado de prima media al </w:t>
      </w:r>
      <w:proofErr w:type="spellStart"/>
      <w:r w:rsidRPr="00F11B0C">
        <w:rPr>
          <w:rFonts w:ascii="Bookman Old Style" w:hAnsi="Bookman Old Style" w:cs="Arial"/>
          <w:i/>
          <w:iCs/>
          <w:sz w:val="22"/>
        </w:rPr>
        <w:t>RAIS</w:t>
      </w:r>
      <w:proofErr w:type="spellEnd"/>
      <w:r w:rsidRPr="00F11B0C">
        <w:rPr>
          <w:rFonts w:ascii="Bookman Old Style" w:hAnsi="Bookman Old Style" w:cs="Arial"/>
          <w:i/>
          <w:iCs/>
          <w:sz w:val="22"/>
        </w:rPr>
        <w:t xml:space="preserve">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F11B0C" w:rsidRDefault="003073FB" w:rsidP="00F11B0C">
      <w:pPr>
        <w:spacing w:line="240" w:lineRule="auto"/>
        <w:ind w:left="426" w:right="420" w:firstLine="0"/>
        <w:rPr>
          <w:rFonts w:ascii="Bookman Old Style" w:hAnsi="Bookman Old Style" w:cs="Arial"/>
          <w:i/>
          <w:iCs/>
          <w:sz w:val="22"/>
        </w:rPr>
      </w:pPr>
    </w:p>
    <w:p w14:paraId="52FA049A" w14:textId="77777777" w:rsidR="003073FB" w:rsidRPr="00F11B0C" w:rsidRDefault="003073FB" w:rsidP="00F11B0C">
      <w:pPr>
        <w:spacing w:line="240" w:lineRule="auto"/>
        <w:ind w:left="426" w:right="420" w:firstLine="0"/>
        <w:rPr>
          <w:rFonts w:ascii="Bookman Old Style" w:hAnsi="Bookman Old Style" w:cs="Arial"/>
          <w:i/>
          <w:iCs/>
          <w:sz w:val="22"/>
        </w:rPr>
      </w:pPr>
      <w:r w:rsidRPr="00F11B0C">
        <w:rPr>
          <w:rFonts w:ascii="Bookman Old Style" w:hAnsi="Bookman Old Style"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F11B0C">
        <w:rPr>
          <w:rFonts w:ascii="Bookman Old Style" w:hAnsi="Bookman Old Style" w:cs="Arial"/>
          <w:i/>
          <w:iCs/>
          <w:sz w:val="22"/>
        </w:rPr>
        <w:t>SL249</w:t>
      </w:r>
      <w:proofErr w:type="spellEnd"/>
      <w:r w:rsidRPr="00F11B0C">
        <w:rPr>
          <w:rFonts w:ascii="Bookman Old Style" w:hAnsi="Bookman Old Style" w:cs="Arial"/>
          <w:i/>
          <w:iCs/>
          <w:sz w:val="22"/>
        </w:rPr>
        <w:t xml:space="preserve">-2022 y </w:t>
      </w:r>
      <w:proofErr w:type="spellStart"/>
      <w:r w:rsidRPr="00F11B0C">
        <w:rPr>
          <w:rFonts w:ascii="Bookman Old Style" w:hAnsi="Bookman Old Style" w:cs="Arial"/>
          <w:i/>
          <w:iCs/>
          <w:sz w:val="22"/>
        </w:rPr>
        <w:t>SL259</w:t>
      </w:r>
      <w:proofErr w:type="spellEnd"/>
      <w:r w:rsidRPr="00F11B0C">
        <w:rPr>
          <w:rFonts w:ascii="Bookman Old Style" w:hAnsi="Bookman Old Style" w:cs="Arial"/>
          <w:i/>
          <w:iCs/>
          <w:sz w:val="22"/>
        </w:rPr>
        <w:t xml:space="preserve">-2022. Nótese que, conforme la perspectiva explicada, esa voluntad de permanencia en el </w:t>
      </w:r>
      <w:proofErr w:type="spellStart"/>
      <w:r w:rsidRPr="00F11B0C">
        <w:rPr>
          <w:rFonts w:ascii="Bookman Old Style" w:hAnsi="Bookman Old Style" w:cs="Arial"/>
          <w:i/>
          <w:iCs/>
          <w:sz w:val="22"/>
        </w:rPr>
        <w:t>RAIS</w:t>
      </w:r>
      <w:proofErr w:type="spellEnd"/>
      <w:r w:rsidRPr="00F11B0C">
        <w:rPr>
          <w:rFonts w:ascii="Bookman Old Style" w:hAnsi="Bookman Old Style" w:cs="Arial"/>
          <w:i/>
          <w:iCs/>
          <w:sz w:val="22"/>
        </w:rPr>
        <w:t xml:space="preserve">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F11B0C" w:rsidRDefault="003073FB" w:rsidP="00F11B0C">
      <w:pPr>
        <w:spacing w:line="240" w:lineRule="auto"/>
        <w:ind w:left="426" w:right="420" w:firstLine="0"/>
        <w:rPr>
          <w:rFonts w:ascii="Bookman Old Style" w:hAnsi="Bookman Old Style" w:cs="Arial"/>
          <w:i/>
          <w:iCs/>
          <w:sz w:val="22"/>
        </w:rPr>
      </w:pPr>
    </w:p>
    <w:p w14:paraId="0722459B" w14:textId="77777777" w:rsidR="003073FB" w:rsidRPr="00F11B0C" w:rsidRDefault="003073FB" w:rsidP="00F11B0C">
      <w:pPr>
        <w:spacing w:line="240" w:lineRule="auto"/>
        <w:ind w:left="426" w:right="420" w:firstLine="0"/>
        <w:rPr>
          <w:rFonts w:ascii="Bookman Old Style" w:hAnsi="Bookman Old Style" w:cs="Arial"/>
          <w:i/>
          <w:iCs/>
          <w:sz w:val="22"/>
        </w:rPr>
      </w:pPr>
      <w:r w:rsidRPr="00F11B0C">
        <w:rPr>
          <w:rFonts w:ascii="Bookman Old Style" w:hAnsi="Bookman Old Style"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w:t>
      </w:r>
      <w:proofErr w:type="spellStart"/>
      <w:r w:rsidRPr="00F11B0C">
        <w:rPr>
          <w:rFonts w:ascii="Bookman Old Style" w:hAnsi="Bookman Old Style" w:cs="Arial"/>
          <w:i/>
          <w:iCs/>
          <w:sz w:val="22"/>
        </w:rPr>
        <w:t>RAIS</w:t>
      </w:r>
      <w:proofErr w:type="spellEnd"/>
      <w:r w:rsidRPr="00F11B0C">
        <w:rPr>
          <w:rFonts w:ascii="Bookman Old Style" w:hAnsi="Bookman Old Style" w:cs="Arial"/>
          <w:i/>
          <w:iCs/>
          <w:sz w:val="22"/>
        </w:rPr>
        <w:t xml:space="preserve">”. </w:t>
      </w:r>
    </w:p>
    <w:p w14:paraId="48D4F2CC" w14:textId="77777777" w:rsidR="003073FB" w:rsidRPr="004E4013" w:rsidRDefault="003073FB" w:rsidP="004E4013">
      <w:pPr>
        <w:spacing w:line="276" w:lineRule="auto"/>
        <w:ind w:firstLine="0"/>
        <w:rPr>
          <w:rFonts w:ascii="Bookman Old Style" w:hAnsi="Bookman Old Style" w:cs="Arial"/>
          <w:highlight w:val="yellow"/>
        </w:rPr>
      </w:pPr>
    </w:p>
    <w:p w14:paraId="2C734B63" w14:textId="1CB8D22D" w:rsidR="003073FB" w:rsidRPr="004E4013" w:rsidRDefault="00332256" w:rsidP="004E4013">
      <w:pPr>
        <w:spacing w:line="276" w:lineRule="auto"/>
        <w:ind w:firstLine="0"/>
        <w:rPr>
          <w:rFonts w:ascii="Bookman Old Style" w:hAnsi="Bookman Old Style" w:cs="Arial"/>
        </w:rPr>
      </w:pPr>
      <w:r w:rsidRPr="004E4013">
        <w:rPr>
          <w:rFonts w:ascii="Bookman Old Style" w:hAnsi="Bookman Old Style" w:cs="Arial"/>
        </w:rPr>
        <w:t>Es</w:t>
      </w:r>
      <w:r w:rsidR="003073FB" w:rsidRPr="004E4013">
        <w:rPr>
          <w:rFonts w:ascii="Bookman Old Style" w:hAnsi="Bookman Old Style" w:cs="Arial"/>
        </w:rPr>
        <w:t xml:space="preserve"> de recalcar, que la Sala de Casación Laboral ha indicado que la sanción impuesta por el ordenamiento jurídico a la afiliación desinformada es la ineficacia o exclusión de todo efecto al traslado. Por ello, el examen del acto </w:t>
      </w:r>
      <w:r w:rsidR="003073FB" w:rsidRPr="004E4013">
        <w:rPr>
          <w:rFonts w:ascii="Bookman Old Style" w:hAnsi="Bookman Old Style" w:cs="Arial"/>
        </w:rPr>
        <w:lastRenderedPageBreak/>
        <w:t>de cambio de régimen pensional, por transgresión del deber de información, debe abordarse desde la institución de la ineficacia</w:t>
      </w:r>
      <w:r w:rsidR="003073FB" w:rsidRPr="004E4013">
        <w:rPr>
          <w:rFonts w:ascii="Bookman Old Style" w:hAnsi="Bookman Old Style" w:cs="Arial"/>
          <w:vertAlign w:val="superscript"/>
        </w:rPr>
        <w:footnoteReference w:id="2"/>
      </w:r>
      <w:r w:rsidR="003073FB" w:rsidRPr="004E4013">
        <w:rPr>
          <w:rFonts w:ascii="Bookman Old Style" w:hAnsi="Bookman Old Style" w:cs="Arial"/>
        </w:rPr>
        <w:t>. Sin embargo, dicho criterio es aplicable solo para el caso de afiliados, pues, en tratándose de pensionados, la alta Corporación ha definido en reciente sentencia (</w:t>
      </w:r>
      <w:proofErr w:type="spellStart"/>
      <w:r w:rsidR="003073FB" w:rsidRPr="004E4013">
        <w:rPr>
          <w:rFonts w:ascii="Bookman Old Style" w:hAnsi="Bookman Old Style" w:cs="Arial"/>
        </w:rPr>
        <w:t>SL</w:t>
      </w:r>
      <w:proofErr w:type="spellEnd"/>
      <w:r w:rsidR="003073FB" w:rsidRPr="004E4013">
        <w:rPr>
          <w:rFonts w:ascii="Bookman Old Style" w:hAnsi="Bookman Old Style" w:cs="Arial"/>
        </w:rPr>
        <w:t xml:space="preserve"> 373/2021), que la calidad de pensionad</w:t>
      </w:r>
      <w:r w:rsidR="003D4AEE" w:rsidRPr="004E4013">
        <w:rPr>
          <w:rFonts w:ascii="Bookman Old Style" w:hAnsi="Bookman Old Style" w:cs="Arial"/>
        </w:rPr>
        <w:t>o</w:t>
      </w:r>
      <w:r w:rsidR="003073FB" w:rsidRPr="004E4013">
        <w:rPr>
          <w:rFonts w:ascii="Bookman Old Style" w:hAnsi="Bookman Old Style" w:cs="Arial"/>
        </w:rPr>
        <w:t xml:space="preserve"> es una situación jurídica consolidada, un hecho consumado, un estatus</w:t>
      </w:r>
      <w:r w:rsidR="00705E27" w:rsidRPr="004E4013">
        <w:rPr>
          <w:rFonts w:ascii="Bookman Old Style" w:hAnsi="Bookman Old Style" w:cs="Arial"/>
        </w:rPr>
        <w:t xml:space="preserve"> que no es razonable retrotraer</w:t>
      </w:r>
      <w:r w:rsidR="00CC0BF9" w:rsidRPr="004E4013">
        <w:rPr>
          <w:rFonts w:ascii="Bookman Old Style" w:hAnsi="Bookman Old Style" w:cs="Arial"/>
        </w:rPr>
        <w:t>. Dicha situación</w:t>
      </w:r>
      <w:r w:rsidR="003073FB" w:rsidRPr="004E4013">
        <w:rPr>
          <w:rFonts w:ascii="Bookman Old Style" w:hAnsi="Bookman Old Style" w:cs="Arial"/>
        </w:rPr>
        <w:t xml:space="preserve"> aquí no ocurre</w:t>
      </w:r>
      <w:r w:rsidR="00CC0BF9" w:rsidRPr="004E4013">
        <w:rPr>
          <w:rFonts w:ascii="Bookman Old Style" w:hAnsi="Bookman Old Style" w:cs="Arial"/>
        </w:rPr>
        <w:t xml:space="preserve">, por cuanto </w:t>
      </w:r>
      <w:r w:rsidR="004D63C6" w:rsidRPr="004E4013">
        <w:rPr>
          <w:rFonts w:ascii="Bookman Old Style" w:hAnsi="Bookman Old Style" w:cs="Arial"/>
        </w:rPr>
        <w:t>la</w:t>
      </w:r>
      <w:r w:rsidR="003073FB" w:rsidRPr="004E4013">
        <w:rPr>
          <w:rFonts w:ascii="Bookman Old Style" w:hAnsi="Bookman Old Style" w:cs="Arial"/>
        </w:rPr>
        <w:t xml:space="preserve"> demandante en la actualidad no </w:t>
      </w:r>
      <w:r w:rsidR="00CC0BF9" w:rsidRPr="004E4013">
        <w:rPr>
          <w:rFonts w:ascii="Bookman Old Style" w:hAnsi="Bookman Old Style" w:cs="Arial"/>
        </w:rPr>
        <w:t>tiene la condición de pensionad</w:t>
      </w:r>
      <w:r w:rsidR="00022FE4" w:rsidRPr="004E4013">
        <w:rPr>
          <w:rFonts w:ascii="Bookman Old Style" w:hAnsi="Bookman Old Style" w:cs="Arial"/>
        </w:rPr>
        <w:t>o</w:t>
      </w:r>
      <w:r w:rsidR="005D61AD" w:rsidRPr="004E4013">
        <w:rPr>
          <w:rFonts w:ascii="Bookman Old Style" w:hAnsi="Bookman Old Style" w:cs="Arial"/>
        </w:rPr>
        <w:t>.</w:t>
      </w:r>
    </w:p>
    <w:p w14:paraId="5E1FCF2F" w14:textId="77777777" w:rsidR="003073FB" w:rsidRPr="004E4013" w:rsidRDefault="003073FB" w:rsidP="004E4013">
      <w:pPr>
        <w:spacing w:line="276" w:lineRule="auto"/>
        <w:ind w:firstLine="0"/>
        <w:rPr>
          <w:rFonts w:ascii="Bookman Old Style" w:hAnsi="Bookman Old Style" w:cs="Arial"/>
        </w:rPr>
      </w:pPr>
    </w:p>
    <w:p w14:paraId="2B5BA00F" w14:textId="29013C15"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Conforme a lo expuesto, la ineficacia del traslado que fue decretada por </w:t>
      </w:r>
      <w:r w:rsidR="005D61AD" w:rsidRPr="004E4013">
        <w:rPr>
          <w:rFonts w:ascii="Bookman Old Style" w:hAnsi="Bookman Old Style" w:cs="Arial"/>
        </w:rPr>
        <w:t>la</w:t>
      </w:r>
      <w:r w:rsidRPr="004E4013">
        <w:rPr>
          <w:rFonts w:ascii="Bookman Old Style" w:hAnsi="Bookman Old Style" w:cs="Arial"/>
        </w:rPr>
        <w:t xml:space="preserve"> </w:t>
      </w:r>
      <w:r w:rsidRPr="004E4013">
        <w:rPr>
          <w:rFonts w:ascii="Bookman Old Style" w:hAnsi="Bookman Old Style" w:cs="Arial"/>
          <w:i/>
        </w:rPr>
        <w:t>a-quo</w:t>
      </w:r>
      <w:r w:rsidRPr="004E4013">
        <w:rPr>
          <w:rFonts w:ascii="Bookman Old Style" w:hAnsi="Bookman Old Style" w:cs="Arial"/>
        </w:rPr>
        <w:t xml:space="preserve"> se generó por l</w:t>
      </w:r>
      <w:r w:rsidR="00CC0BF9" w:rsidRPr="004E4013">
        <w:rPr>
          <w:rFonts w:ascii="Bookman Old Style" w:hAnsi="Bookman Old Style" w:cs="Arial"/>
        </w:rPr>
        <w:t>a falta de asesoría de</w:t>
      </w:r>
      <w:r w:rsidR="004D63C6" w:rsidRPr="004E4013">
        <w:rPr>
          <w:rFonts w:ascii="Bookman Old Style" w:hAnsi="Bookman Old Style" w:cs="Arial"/>
        </w:rPr>
        <w:t xml:space="preserve"> la</w:t>
      </w:r>
      <w:r w:rsidR="00CC0BF9" w:rsidRPr="004E4013">
        <w:rPr>
          <w:rFonts w:ascii="Bookman Old Style" w:hAnsi="Bookman Old Style" w:cs="Arial"/>
        </w:rPr>
        <w:t xml:space="preserve"> afiliad</w:t>
      </w:r>
      <w:r w:rsidR="004D63C6" w:rsidRPr="004E4013">
        <w:rPr>
          <w:rFonts w:ascii="Bookman Old Style" w:hAnsi="Bookman Old Style" w:cs="Arial"/>
        </w:rPr>
        <w:t>a</w:t>
      </w:r>
      <w:r w:rsidRPr="004E4013">
        <w:rPr>
          <w:rFonts w:ascii="Bookman Old Style" w:hAnsi="Bookman Old Style" w:cs="Arial"/>
        </w:rPr>
        <w:t xml:space="preserve"> al mo</w:t>
      </w:r>
      <w:r w:rsidR="00705E27" w:rsidRPr="004E4013">
        <w:rPr>
          <w:rFonts w:ascii="Bookman Old Style" w:hAnsi="Bookman Old Style" w:cs="Arial"/>
        </w:rPr>
        <w:t>mento de realizar su traslado a</w:t>
      </w:r>
      <w:r w:rsidRPr="004E4013">
        <w:rPr>
          <w:rFonts w:ascii="Bookman Old Style" w:hAnsi="Bookman Old Style" w:cs="Arial"/>
        </w:rPr>
        <w:t xml:space="preserve"> </w:t>
      </w:r>
      <w:r w:rsidR="00705E27" w:rsidRPr="004E4013">
        <w:rPr>
          <w:rFonts w:ascii="Bookman Old Style" w:hAnsi="Bookman Old Style" w:cs="Arial"/>
        </w:rPr>
        <w:t>l</w:t>
      </w:r>
      <w:r w:rsidRPr="004E4013">
        <w:rPr>
          <w:rFonts w:ascii="Bookman Old Style" w:hAnsi="Bookman Old Style" w:cs="Arial"/>
        </w:rPr>
        <w:t>a AFP</w:t>
      </w:r>
      <w:r w:rsidR="005D61AD" w:rsidRPr="004E4013">
        <w:rPr>
          <w:rFonts w:ascii="Bookman Old Style" w:hAnsi="Bookman Old Style" w:cs="Arial"/>
        </w:rPr>
        <w:t xml:space="preserve"> </w:t>
      </w:r>
      <w:r w:rsidR="00332256" w:rsidRPr="004E4013">
        <w:rPr>
          <w:rFonts w:ascii="Bookman Old Style" w:hAnsi="Bookman Old Style" w:cs="Arial"/>
        </w:rPr>
        <w:t>PROTECCIÓN</w:t>
      </w:r>
      <w:r w:rsidRPr="004E4013">
        <w:rPr>
          <w:rFonts w:ascii="Bookman Old Style" w:hAnsi="Bookman Old Style" w:cs="Arial"/>
        </w:rPr>
        <w:t>, situación que permite su retorno al RPM</w:t>
      </w:r>
      <w:r w:rsidR="00705E27" w:rsidRPr="004E4013">
        <w:rPr>
          <w:rFonts w:ascii="Bookman Old Style" w:hAnsi="Bookman Old Style" w:cs="Arial"/>
        </w:rPr>
        <w:t>,</w:t>
      </w:r>
      <w:r w:rsidRPr="004E4013">
        <w:rPr>
          <w:rFonts w:ascii="Bookman Old Style" w:hAnsi="Bookman Old Style" w:cs="Arial"/>
        </w:rPr>
        <w:t xml:space="preserve"> independientemente que se encuentre a menos de 10 años de cumplir la edad pensional, pu</w:t>
      </w:r>
      <w:r w:rsidR="00022FE4" w:rsidRPr="004E4013">
        <w:rPr>
          <w:rFonts w:ascii="Bookman Old Style" w:hAnsi="Bookman Old Style" w:cs="Arial"/>
        </w:rPr>
        <w:t xml:space="preserve">es ello no impide el retorno </w:t>
      </w:r>
      <w:r w:rsidRPr="004E4013">
        <w:rPr>
          <w:rFonts w:ascii="Bookman Old Style" w:hAnsi="Bookman Old Style" w:cs="Arial"/>
        </w:rPr>
        <w:t xml:space="preserve">al </w:t>
      </w:r>
      <w:proofErr w:type="spellStart"/>
      <w:r w:rsidRPr="004E4013">
        <w:rPr>
          <w:rFonts w:ascii="Bookman Old Style" w:hAnsi="Bookman Old Style" w:cs="Arial"/>
        </w:rPr>
        <w:t>RPMPD</w:t>
      </w:r>
      <w:proofErr w:type="spellEnd"/>
      <w:r w:rsidRPr="004E4013">
        <w:rPr>
          <w:rFonts w:ascii="Bookman Old Style" w:hAnsi="Bookman Old Style" w:cs="Arial"/>
        </w:rPr>
        <w:t xml:space="preserve"> porque no se está frente a un nuevo traslado sino frente a una declaratoria de ineficacia del primigenio que retrotrae las cosas al estado original.</w:t>
      </w:r>
    </w:p>
    <w:p w14:paraId="75182129" w14:textId="77777777" w:rsidR="003073FB" w:rsidRPr="004E4013" w:rsidRDefault="003073FB" w:rsidP="004E4013">
      <w:pPr>
        <w:spacing w:line="276" w:lineRule="auto"/>
        <w:ind w:firstLine="0"/>
        <w:rPr>
          <w:rFonts w:ascii="Bookman Old Style" w:hAnsi="Bookman Old Style" w:cs="Arial"/>
        </w:rPr>
      </w:pPr>
    </w:p>
    <w:p w14:paraId="39BD0733" w14:textId="11121C3D"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Con todo, se deberá confirma</w:t>
      </w:r>
      <w:r w:rsidR="00D76CA2" w:rsidRPr="004E4013">
        <w:rPr>
          <w:rFonts w:ascii="Bookman Old Style" w:hAnsi="Bookman Old Style" w:cs="Arial"/>
        </w:rPr>
        <w:t>r la ineficacia declarada por la</w:t>
      </w:r>
      <w:r w:rsidRPr="004E4013">
        <w:rPr>
          <w:rFonts w:ascii="Bookman Old Style" w:hAnsi="Bookman Old Style" w:cs="Arial"/>
        </w:rPr>
        <w:t xml:space="preserve"> </w:t>
      </w:r>
      <w:r w:rsidR="00705E27" w:rsidRPr="004E4013">
        <w:rPr>
          <w:rFonts w:ascii="Bookman Old Style" w:hAnsi="Bookman Old Style" w:cs="Arial"/>
          <w:i/>
        </w:rPr>
        <w:t>a quo</w:t>
      </w:r>
      <w:r w:rsidRPr="004E4013">
        <w:rPr>
          <w:rFonts w:ascii="Bookman Old Style" w:hAnsi="Bookman Old Style" w:cs="Arial"/>
        </w:rPr>
        <w:t xml:space="preserve"> al no tener vocación de prosperidad los argumentos esbozados </w:t>
      </w:r>
      <w:r w:rsidR="003D4AEE" w:rsidRPr="004E4013">
        <w:rPr>
          <w:rFonts w:ascii="Bookman Old Style" w:hAnsi="Bookman Old Style" w:cs="Arial"/>
        </w:rPr>
        <w:t xml:space="preserve">por </w:t>
      </w:r>
      <w:r w:rsidR="00265100" w:rsidRPr="004E4013">
        <w:rPr>
          <w:rFonts w:ascii="Bookman Old Style" w:hAnsi="Bookman Old Style" w:cs="Arial"/>
        </w:rPr>
        <w:t>las demandadas</w:t>
      </w:r>
      <w:r w:rsidRPr="004E4013">
        <w:rPr>
          <w:rFonts w:ascii="Bookman Old Style" w:hAnsi="Bookman Old Style" w:cs="Arial"/>
        </w:rPr>
        <w:t>.</w:t>
      </w:r>
    </w:p>
    <w:p w14:paraId="23C9F92F" w14:textId="77777777" w:rsidR="003073FB" w:rsidRPr="004E4013" w:rsidRDefault="003073FB" w:rsidP="004E4013">
      <w:pPr>
        <w:spacing w:line="276" w:lineRule="auto"/>
        <w:ind w:firstLine="0"/>
        <w:rPr>
          <w:rFonts w:ascii="Bookman Old Style" w:hAnsi="Bookman Old Style" w:cs="Arial"/>
        </w:rPr>
      </w:pPr>
    </w:p>
    <w:p w14:paraId="166948C2" w14:textId="77777777" w:rsidR="003073FB" w:rsidRPr="004E4013" w:rsidRDefault="003073FB" w:rsidP="004E4013">
      <w:pPr>
        <w:spacing w:line="276" w:lineRule="auto"/>
        <w:ind w:firstLine="0"/>
        <w:rPr>
          <w:rFonts w:ascii="Bookman Old Style" w:hAnsi="Bookman Old Style" w:cs="Arial"/>
          <w:b/>
        </w:rPr>
      </w:pPr>
      <w:r w:rsidRPr="004E4013">
        <w:rPr>
          <w:rFonts w:ascii="Bookman Old Style" w:hAnsi="Bookman Old Style" w:cs="Arial"/>
          <w:b/>
        </w:rPr>
        <w:t>De las condenas impuestas en la sentencia y grado de consulta en lo no recurrido.</w:t>
      </w:r>
    </w:p>
    <w:p w14:paraId="6018F54B" w14:textId="77777777" w:rsidR="003073FB" w:rsidRPr="004E4013" w:rsidRDefault="003073FB" w:rsidP="004E4013">
      <w:pPr>
        <w:spacing w:line="276" w:lineRule="auto"/>
        <w:ind w:firstLine="0"/>
        <w:rPr>
          <w:rFonts w:ascii="Bookman Old Style" w:hAnsi="Bookman Old Style" w:cs="Arial"/>
          <w:highlight w:val="yellow"/>
        </w:rPr>
      </w:pPr>
    </w:p>
    <w:p w14:paraId="38872EA4" w14:textId="0D105C28" w:rsidR="003073FB" w:rsidRPr="004E4013" w:rsidRDefault="00265100" w:rsidP="004E4013">
      <w:pPr>
        <w:spacing w:line="276" w:lineRule="auto"/>
        <w:ind w:firstLine="0"/>
        <w:rPr>
          <w:rFonts w:ascii="Bookman Old Style" w:hAnsi="Bookman Old Style" w:cs="Arial"/>
        </w:rPr>
      </w:pPr>
      <w:r w:rsidRPr="004E4013">
        <w:rPr>
          <w:rFonts w:ascii="Bookman Old Style" w:hAnsi="Bookman Old Style" w:cs="Arial"/>
        </w:rPr>
        <w:t xml:space="preserve">Ahora, </w:t>
      </w:r>
      <w:r w:rsidR="007177A5" w:rsidRPr="004E4013">
        <w:rPr>
          <w:rFonts w:ascii="Bookman Old Style" w:hAnsi="Bookman Old Style" w:cs="Arial"/>
        </w:rPr>
        <w:t xml:space="preserve">respecto </w:t>
      </w:r>
      <w:r w:rsidR="004D63C6" w:rsidRPr="004E4013">
        <w:rPr>
          <w:rFonts w:ascii="Bookman Old Style" w:hAnsi="Bookman Old Style" w:cs="Arial"/>
        </w:rPr>
        <w:t>del reproche del apoderado del fondo privado sobre l</w:t>
      </w:r>
      <w:r w:rsidR="007177A5" w:rsidRPr="004E4013">
        <w:rPr>
          <w:rFonts w:ascii="Bookman Old Style" w:hAnsi="Bookman Old Style" w:cs="Arial"/>
        </w:rPr>
        <w:t>a</w:t>
      </w:r>
      <w:r w:rsidRPr="004E4013">
        <w:rPr>
          <w:rFonts w:ascii="Bookman Old Style" w:hAnsi="Bookman Old Style" w:cs="Arial"/>
        </w:rPr>
        <w:t xml:space="preserve"> </w:t>
      </w:r>
      <w:r w:rsidR="007177A5" w:rsidRPr="004E4013">
        <w:rPr>
          <w:rFonts w:ascii="Bookman Old Style" w:hAnsi="Bookman Old Style" w:cs="Arial"/>
        </w:rPr>
        <w:t>orden de</w:t>
      </w:r>
      <w:r w:rsidRPr="004E4013">
        <w:rPr>
          <w:rFonts w:ascii="Bookman Old Style" w:hAnsi="Bookman Old Style" w:cs="Arial"/>
        </w:rPr>
        <w:t xml:space="preserve"> devolver los gastos de administración, comisiones y cuotas de garantía de pensión mínima,</w:t>
      </w:r>
      <w:r w:rsidR="007177A5" w:rsidRPr="004E4013">
        <w:rPr>
          <w:rFonts w:ascii="Bookman Old Style" w:hAnsi="Bookman Old Style" w:cs="Arial"/>
        </w:rPr>
        <w:t xml:space="preserve"> resulta totalmente procedente,</w:t>
      </w:r>
      <w:r w:rsidRPr="004E4013">
        <w:rPr>
          <w:rFonts w:ascii="Bookman Old Style" w:hAnsi="Bookman Old Style" w:cs="Arial"/>
        </w:rPr>
        <w:t xml:space="preserve"> dado que</w:t>
      </w:r>
      <w:r w:rsidR="007177A5" w:rsidRPr="004E4013">
        <w:rPr>
          <w:rFonts w:ascii="Bookman Old Style" w:hAnsi="Bookman Old Style" w:cs="Arial"/>
        </w:rPr>
        <w:t>,</w:t>
      </w:r>
      <w:r w:rsidR="00EC46DC" w:rsidRPr="004E4013">
        <w:rPr>
          <w:rFonts w:ascii="Bookman Old Style" w:hAnsi="Bookman Old Style" w:cs="Arial"/>
        </w:rPr>
        <w:t xml:space="preserve"> la c</w:t>
      </w:r>
      <w:r w:rsidR="003073FB" w:rsidRPr="004E4013">
        <w:rPr>
          <w:rFonts w:ascii="Bookman Old Style" w:hAnsi="Bookman Old Style" w:cs="Arial"/>
        </w:rPr>
        <w:t>onsecuencia de la declaración de ineficacia del traslado es que la afiliación se retrotrae al estado en que se en</w:t>
      </w:r>
      <w:r w:rsidR="00CC0BF9" w:rsidRPr="004E4013">
        <w:rPr>
          <w:rFonts w:ascii="Bookman Old Style" w:hAnsi="Bookman Old Style" w:cs="Arial"/>
        </w:rPr>
        <w:t xml:space="preserve">contraba, lo que implica que </w:t>
      </w:r>
      <w:r w:rsidR="00EC46DC" w:rsidRPr="004E4013">
        <w:rPr>
          <w:rFonts w:ascii="Bookman Old Style" w:hAnsi="Bookman Old Style" w:cs="Arial"/>
        </w:rPr>
        <w:t xml:space="preserve">los fondos privados </w:t>
      </w:r>
      <w:r w:rsidR="00CC0BF9" w:rsidRPr="004E4013">
        <w:rPr>
          <w:rFonts w:ascii="Bookman Old Style" w:hAnsi="Bookman Old Style" w:cs="Arial"/>
        </w:rPr>
        <w:t>debe</w:t>
      </w:r>
      <w:r w:rsidR="00EC46DC" w:rsidRPr="004E4013">
        <w:rPr>
          <w:rFonts w:ascii="Bookman Old Style" w:hAnsi="Bookman Old Style" w:cs="Arial"/>
        </w:rPr>
        <w:t>n</w:t>
      </w:r>
      <w:r w:rsidR="003073FB" w:rsidRPr="004E4013">
        <w:rPr>
          <w:rFonts w:ascii="Bookman Old Style" w:hAnsi="Bookman Old Style" w:cs="Arial"/>
        </w:rPr>
        <w:t xml:space="preserve"> devolver todos los valores recibidos con motivo de la afiliación como los dispone el artículo 1746 del </w:t>
      </w:r>
      <w:proofErr w:type="spellStart"/>
      <w:r w:rsidR="003073FB" w:rsidRPr="004E4013">
        <w:rPr>
          <w:rFonts w:ascii="Bookman Old Style" w:hAnsi="Bookman Old Style" w:cs="Arial"/>
        </w:rPr>
        <w:t>C.C</w:t>
      </w:r>
      <w:proofErr w:type="spellEnd"/>
      <w:r w:rsidR="003073FB" w:rsidRPr="004E4013">
        <w:rPr>
          <w:rFonts w:ascii="Bookman Old Style" w:hAnsi="Bookman Old Style" w:cs="Arial"/>
        </w:rPr>
        <w:t xml:space="preserve">, incluidos los gastos de administración, conforme a la línea jurisprudencial trazada por la Sala de Casación Laboral de la CSJ entre otras, en sentencias </w:t>
      </w:r>
      <w:proofErr w:type="spellStart"/>
      <w:r w:rsidR="003073FB" w:rsidRPr="004E4013">
        <w:rPr>
          <w:rFonts w:ascii="Bookman Old Style" w:hAnsi="Bookman Old Style" w:cs="Arial"/>
        </w:rPr>
        <w:t>SL17595</w:t>
      </w:r>
      <w:proofErr w:type="spellEnd"/>
      <w:r w:rsidR="003073FB" w:rsidRPr="004E4013">
        <w:rPr>
          <w:rFonts w:ascii="Bookman Old Style" w:hAnsi="Bookman Old Style" w:cs="Arial"/>
        </w:rPr>
        <w:t xml:space="preserve">-2017, </w:t>
      </w:r>
      <w:proofErr w:type="spellStart"/>
      <w:r w:rsidR="003073FB" w:rsidRPr="004E4013">
        <w:rPr>
          <w:rFonts w:ascii="Bookman Old Style" w:hAnsi="Bookman Old Style" w:cs="Arial"/>
        </w:rPr>
        <w:t>CSJSL4989</w:t>
      </w:r>
      <w:proofErr w:type="spellEnd"/>
      <w:r w:rsidR="003073FB" w:rsidRPr="004E4013">
        <w:rPr>
          <w:rFonts w:ascii="Bookman Old Style" w:hAnsi="Bookman Old Style" w:cs="Arial"/>
        </w:rPr>
        <w:t>-2018, y en sentencia del 8 de septiembre de 2008, rad. 31989, en la que se dijo:</w:t>
      </w:r>
    </w:p>
    <w:p w14:paraId="35150EBD" w14:textId="77777777" w:rsidR="003073FB" w:rsidRPr="004E4013" w:rsidRDefault="003073FB" w:rsidP="004E4013">
      <w:pPr>
        <w:spacing w:line="276" w:lineRule="auto"/>
        <w:ind w:firstLine="0"/>
        <w:rPr>
          <w:rFonts w:ascii="Bookman Old Style" w:hAnsi="Bookman Old Style" w:cs="Arial"/>
        </w:rPr>
      </w:pPr>
    </w:p>
    <w:p w14:paraId="03E3353E" w14:textId="77777777" w:rsidR="003073FB" w:rsidRPr="00F11B0C" w:rsidRDefault="003073FB" w:rsidP="00F11B0C">
      <w:pPr>
        <w:spacing w:line="240" w:lineRule="auto"/>
        <w:ind w:left="426" w:right="420" w:firstLine="0"/>
        <w:rPr>
          <w:rFonts w:ascii="Bookman Old Style" w:hAnsi="Bookman Old Style" w:cs="Arial"/>
          <w:i/>
          <w:iCs/>
          <w:sz w:val="22"/>
        </w:rPr>
      </w:pPr>
      <w:r w:rsidRPr="00F11B0C">
        <w:rPr>
          <w:rFonts w:ascii="Bookman Old Style" w:hAnsi="Bookman Old Style" w:cs="Arial"/>
          <w:i/>
          <w:iCs/>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4E4013" w:rsidRDefault="003073FB" w:rsidP="004E4013">
      <w:pPr>
        <w:spacing w:line="276" w:lineRule="auto"/>
        <w:ind w:firstLine="0"/>
        <w:rPr>
          <w:rFonts w:ascii="Bookman Old Style" w:hAnsi="Bookman Old Style" w:cs="Arial"/>
        </w:rPr>
      </w:pPr>
    </w:p>
    <w:p w14:paraId="0A2D0CBB" w14:textId="2FBD7346"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Lo anterior implica que </w:t>
      </w:r>
      <w:r w:rsidR="00B10962" w:rsidRPr="004E4013">
        <w:rPr>
          <w:rFonts w:ascii="Bookman Old Style" w:hAnsi="Bookman Old Style" w:cs="Arial"/>
        </w:rPr>
        <w:t xml:space="preserve">PROTECCIÓN </w:t>
      </w:r>
      <w:r w:rsidRPr="004E4013">
        <w:rPr>
          <w:rFonts w:ascii="Bookman Old Style" w:hAnsi="Bookman Old Style" w:cs="Arial"/>
        </w:rPr>
        <w:t>tiene el deber de trasladar todos los dineros que por concepto de aportes y rendimientos se hubieren producido y que hacen parte de la</w:t>
      </w:r>
      <w:r w:rsidR="00ED6949" w:rsidRPr="004E4013">
        <w:rPr>
          <w:rFonts w:ascii="Bookman Old Style" w:hAnsi="Bookman Old Style" w:cs="Arial"/>
        </w:rPr>
        <w:t xml:space="preserve"> c</w:t>
      </w:r>
      <w:r w:rsidR="00022FE4" w:rsidRPr="004E4013">
        <w:rPr>
          <w:rFonts w:ascii="Bookman Old Style" w:hAnsi="Bookman Old Style" w:cs="Arial"/>
        </w:rPr>
        <w:t>uenta de ahorro individual de</w:t>
      </w:r>
      <w:r w:rsidR="004D63C6" w:rsidRPr="004E4013">
        <w:rPr>
          <w:rFonts w:ascii="Bookman Old Style" w:hAnsi="Bookman Old Style" w:cs="Arial"/>
        </w:rPr>
        <w:t xml:space="preserve"> </w:t>
      </w:r>
      <w:r w:rsidR="00022FE4" w:rsidRPr="004E4013">
        <w:rPr>
          <w:rFonts w:ascii="Bookman Old Style" w:hAnsi="Bookman Old Style" w:cs="Arial"/>
        </w:rPr>
        <w:t>l</w:t>
      </w:r>
      <w:r w:rsidR="004D63C6" w:rsidRPr="004E4013">
        <w:rPr>
          <w:rFonts w:ascii="Bookman Old Style" w:hAnsi="Bookman Old Style" w:cs="Arial"/>
        </w:rPr>
        <w:t>a</w:t>
      </w:r>
      <w:r w:rsidR="00B10962" w:rsidRPr="004E4013">
        <w:rPr>
          <w:rFonts w:ascii="Bookman Old Style" w:hAnsi="Bookman Old Style" w:cs="Arial"/>
        </w:rPr>
        <w:t xml:space="preserve"> accionante. También se </w:t>
      </w:r>
      <w:r w:rsidR="00EC46DC" w:rsidRPr="004E4013">
        <w:rPr>
          <w:rFonts w:ascii="Bookman Old Style" w:hAnsi="Bookman Old Style" w:cs="Arial"/>
        </w:rPr>
        <w:t>debe</w:t>
      </w:r>
      <w:r w:rsidR="00B10962" w:rsidRPr="004E4013">
        <w:rPr>
          <w:rFonts w:ascii="Bookman Old Style" w:hAnsi="Bookman Old Style" w:cs="Arial"/>
        </w:rPr>
        <w:t>n</w:t>
      </w:r>
      <w:r w:rsidR="00EC46DC" w:rsidRPr="004E4013">
        <w:rPr>
          <w:rFonts w:ascii="Bookman Old Style" w:hAnsi="Bookman Old Style" w:cs="Arial"/>
        </w:rPr>
        <w:t xml:space="preserve"> retornar</w:t>
      </w:r>
      <w:r w:rsidRPr="004E4013">
        <w:rPr>
          <w:rFonts w:ascii="Bookman Old Style" w:hAnsi="Bookman Old Style" w:cs="Arial"/>
        </w:rPr>
        <w:t xml:space="preserve"> los valores que </w:t>
      </w:r>
      <w:r w:rsidR="00B10962" w:rsidRPr="004E4013">
        <w:rPr>
          <w:rFonts w:ascii="Bookman Old Style" w:hAnsi="Bookman Old Style" w:cs="Arial"/>
        </w:rPr>
        <w:t>cobro</w:t>
      </w:r>
      <w:r w:rsidRPr="004E4013">
        <w:rPr>
          <w:rFonts w:ascii="Bookman Old Style" w:hAnsi="Bookman Old Style" w:cs="Arial"/>
        </w:rPr>
        <w:t xml:space="preserve"> a título de cuotas de administración y comisiones, incluidos los aportes destinados para el fondo de garantía de </w:t>
      </w:r>
      <w:r w:rsidRPr="004E4013">
        <w:rPr>
          <w:rFonts w:ascii="Bookman Old Style" w:hAnsi="Bookman Old Style" w:cs="Arial"/>
        </w:rPr>
        <w:lastRenderedPageBreak/>
        <w:t xml:space="preserve">pensión mínima y los valores utilizados en seguros previsionales de invalidez y sobrevivencia, debidamente indexados, con cargo a sus propios recursos, pues todos estos deberán ser abonados en el fondo común que administra </w:t>
      </w:r>
      <w:r w:rsidR="005E0D01" w:rsidRPr="004E4013">
        <w:rPr>
          <w:rFonts w:ascii="Bookman Old Style" w:hAnsi="Bookman Old Style" w:cs="Arial"/>
        </w:rPr>
        <w:t>COLPENSIONES</w:t>
      </w:r>
      <w:r w:rsidRPr="004E4013">
        <w:rPr>
          <w:rFonts w:ascii="Bookman Old Style" w:hAnsi="Bookman Old Style" w:cs="Arial"/>
        </w:rPr>
        <w:t xml:space="preserve"> y utilizados para la financiación de la pensión de vejez de la parte demandante (</w:t>
      </w:r>
      <w:proofErr w:type="spellStart"/>
      <w:r w:rsidRPr="004E4013">
        <w:rPr>
          <w:rFonts w:ascii="Bookman Old Style" w:hAnsi="Bookman Old Style" w:cs="Arial"/>
        </w:rPr>
        <w:t>SL1421</w:t>
      </w:r>
      <w:proofErr w:type="spellEnd"/>
      <w:r w:rsidRPr="004E4013">
        <w:rPr>
          <w:rFonts w:ascii="Bookman Old Style" w:hAnsi="Bookman Old Style" w:cs="Arial"/>
        </w:rPr>
        <w:t xml:space="preserve">-2019, </w:t>
      </w:r>
      <w:proofErr w:type="spellStart"/>
      <w:r w:rsidRPr="004E4013">
        <w:rPr>
          <w:rFonts w:ascii="Bookman Old Style" w:hAnsi="Bookman Old Style" w:cs="Arial"/>
        </w:rPr>
        <w:t>SL1688</w:t>
      </w:r>
      <w:proofErr w:type="spellEnd"/>
      <w:r w:rsidRPr="004E4013">
        <w:rPr>
          <w:rFonts w:ascii="Bookman Old Style" w:hAnsi="Bookman Old Style" w:cs="Arial"/>
        </w:rPr>
        <w:t xml:space="preserve">-2019, </w:t>
      </w:r>
      <w:proofErr w:type="spellStart"/>
      <w:r w:rsidRPr="004E4013">
        <w:rPr>
          <w:rFonts w:ascii="Bookman Old Style" w:hAnsi="Bookman Old Style" w:cs="Arial"/>
        </w:rPr>
        <w:t>SL2877</w:t>
      </w:r>
      <w:proofErr w:type="spellEnd"/>
      <w:r w:rsidRPr="004E4013">
        <w:rPr>
          <w:rFonts w:ascii="Bookman Old Style" w:hAnsi="Bookman Old Style" w:cs="Arial"/>
        </w:rPr>
        <w:t xml:space="preserve">-2020, </w:t>
      </w:r>
      <w:proofErr w:type="spellStart"/>
      <w:r w:rsidRPr="004E4013">
        <w:rPr>
          <w:rFonts w:ascii="Bookman Old Style" w:hAnsi="Bookman Old Style" w:cs="Arial"/>
        </w:rPr>
        <w:t>SL4141</w:t>
      </w:r>
      <w:proofErr w:type="spellEnd"/>
      <w:r w:rsidRPr="004E4013">
        <w:rPr>
          <w:rFonts w:ascii="Bookman Old Style" w:hAnsi="Bookman Old Style" w:cs="Arial"/>
        </w:rPr>
        <w:t xml:space="preserve">-2021, </w:t>
      </w:r>
      <w:proofErr w:type="spellStart"/>
      <w:r w:rsidRPr="004E4013">
        <w:rPr>
          <w:rFonts w:ascii="Bookman Old Style" w:hAnsi="Bookman Old Style" w:cs="Arial"/>
        </w:rPr>
        <w:t>SL3611</w:t>
      </w:r>
      <w:proofErr w:type="spellEnd"/>
      <w:r w:rsidRPr="004E4013">
        <w:rPr>
          <w:rFonts w:ascii="Bookman Old Style" w:hAnsi="Bookman Old Style" w:cs="Arial"/>
        </w:rPr>
        <w:t xml:space="preserve">-2021, entre otras más). </w:t>
      </w:r>
    </w:p>
    <w:p w14:paraId="7D4E1435" w14:textId="77777777" w:rsidR="003073FB" w:rsidRPr="004E4013" w:rsidRDefault="003073FB" w:rsidP="004E4013">
      <w:pPr>
        <w:spacing w:line="276" w:lineRule="auto"/>
        <w:ind w:firstLine="0"/>
        <w:rPr>
          <w:rFonts w:ascii="Bookman Old Style" w:hAnsi="Bookman Old Style" w:cs="Arial"/>
        </w:rPr>
      </w:pPr>
    </w:p>
    <w:p w14:paraId="376A30E3" w14:textId="1C025393"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Acorde con lo dicho la orden de devolver dichos emolumentos </w:t>
      </w:r>
      <w:r w:rsidR="003D4AEE" w:rsidRPr="004E4013">
        <w:rPr>
          <w:rFonts w:ascii="Bookman Old Style" w:hAnsi="Bookman Old Style" w:cs="Arial"/>
        </w:rPr>
        <w:t>en</w:t>
      </w:r>
      <w:r w:rsidRPr="004E4013">
        <w:rPr>
          <w:rFonts w:ascii="Bookman Old Style" w:hAnsi="Bookman Old Style" w:cs="Arial"/>
        </w:rPr>
        <w:t xml:space="preserve"> reciente pronunciamiento de la Sala de Casación Laboral, sentencia </w:t>
      </w:r>
      <w:proofErr w:type="spellStart"/>
      <w:r w:rsidRPr="004E4013">
        <w:rPr>
          <w:rFonts w:ascii="Bookman Old Style" w:hAnsi="Bookman Old Style" w:cs="Arial"/>
        </w:rPr>
        <w:t>SL1017</w:t>
      </w:r>
      <w:proofErr w:type="spellEnd"/>
      <w:r w:rsidRPr="004E4013">
        <w:rPr>
          <w:rFonts w:ascii="Bookman Old Style" w:hAnsi="Bookman Old Style" w:cs="Arial"/>
        </w:rPr>
        <w:t xml:space="preserve">-2022 </w:t>
      </w:r>
      <w:proofErr w:type="spellStart"/>
      <w:r w:rsidRPr="004E4013">
        <w:rPr>
          <w:rFonts w:ascii="Bookman Old Style" w:hAnsi="Bookman Old Style" w:cs="Arial"/>
        </w:rPr>
        <w:t>M.P</w:t>
      </w:r>
      <w:proofErr w:type="spellEnd"/>
      <w:r w:rsidRPr="004E4013">
        <w:rPr>
          <w:rFonts w:ascii="Bookman Old Style" w:hAnsi="Bookman Old Style" w:cs="Arial"/>
        </w:rPr>
        <w:t xml:space="preserve">. Dr. Gerardo Botero Zuluaga, </w:t>
      </w:r>
      <w:r w:rsidR="003D4AEE" w:rsidRPr="004E4013">
        <w:rPr>
          <w:rFonts w:ascii="Bookman Old Style" w:hAnsi="Bookman Old Style" w:cs="Arial"/>
        </w:rPr>
        <w:t>expuso</w:t>
      </w:r>
      <w:r w:rsidRPr="004E4013">
        <w:rPr>
          <w:rFonts w:ascii="Bookman Old Style" w:hAnsi="Bookman Old Style" w:cs="Arial"/>
        </w:rPr>
        <w:t>:</w:t>
      </w:r>
    </w:p>
    <w:p w14:paraId="7FE24336" w14:textId="77777777" w:rsidR="003073FB" w:rsidRPr="004E4013" w:rsidRDefault="003073FB" w:rsidP="004E4013">
      <w:pPr>
        <w:spacing w:line="276" w:lineRule="auto"/>
        <w:jc w:val="center"/>
        <w:rPr>
          <w:rFonts w:ascii="Bookman Old Style" w:eastAsia="Bookman Old Style" w:hAnsi="Bookman Old Style" w:cs="Arial"/>
          <w:b/>
          <w:bCs/>
          <w:color w:val="FF0000"/>
          <w:lang w:val="es-ES"/>
        </w:rPr>
      </w:pPr>
    </w:p>
    <w:p w14:paraId="26396B26" w14:textId="77777777" w:rsidR="003073FB" w:rsidRPr="00F11B0C" w:rsidRDefault="003073FB" w:rsidP="00F11B0C">
      <w:pPr>
        <w:spacing w:line="240" w:lineRule="auto"/>
        <w:ind w:left="426" w:right="420" w:firstLine="0"/>
        <w:rPr>
          <w:rFonts w:ascii="Bookman Old Style" w:hAnsi="Bookman Old Style" w:cs="Arial"/>
          <w:i/>
          <w:iCs/>
          <w:sz w:val="22"/>
        </w:rPr>
      </w:pPr>
      <w:r w:rsidRPr="00F11B0C">
        <w:rPr>
          <w:rFonts w:ascii="Bookman Old Style" w:hAnsi="Bookman Old Style" w:cs="Arial"/>
          <w:i/>
          <w:iCs/>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F11B0C" w:rsidRDefault="003073FB" w:rsidP="00F11B0C">
      <w:pPr>
        <w:spacing w:line="240" w:lineRule="auto"/>
        <w:ind w:left="426" w:right="420" w:firstLine="0"/>
        <w:rPr>
          <w:rFonts w:ascii="Bookman Old Style" w:hAnsi="Bookman Old Style" w:cs="Arial"/>
          <w:i/>
          <w:iCs/>
          <w:sz w:val="22"/>
        </w:rPr>
      </w:pPr>
      <w:r w:rsidRPr="00F11B0C">
        <w:rPr>
          <w:rFonts w:ascii="Bookman Old Style" w:hAnsi="Bookman Old Style" w:cs="Arial"/>
          <w:i/>
          <w:iCs/>
          <w:sz w:val="22"/>
        </w:rPr>
        <w:t xml:space="preserve">   </w:t>
      </w:r>
    </w:p>
    <w:p w14:paraId="6CF714DA" w14:textId="77777777" w:rsidR="003073FB" w:rsidRPr="00F11B0C" w:rsidRDefault="003073FB" w:rsidP="00F11B0C">
      <w:pPr>
        <w:spacing w:line="240" w:lineRule="auto"/>
        <w:ind w:left="426" w:right="420" w:firstLine="0"/>
        <w:rPr>
          <w:rFonts w:ascii="Bookman Old Style" w:hAnsi="Bookman Old Style" w:cs="Arial"/>
          <w:i/>
          <w:iCs/>
          <w:sz w:val="22"/>
        </w:rPr>
      </w:pPr>
      <w:r w:rsidRPr="00F11B0C">
        <w:rPr>
          <w:rFonts w:ascii="Bookman Old Style" w:hAnsi="Bookman Old Style" w:cs="Arial"/>
          <w:i/>
          <w:iCs/>
          <w:sz w:val="22"/>
        </w:rPr>
        <w:t xml:space="preserve">Por tal razón, esa declaratoria obliga a las entidades del </w:t>
      </w:r>
      <w:proofErr w:type="spellStart"/>
      <w:r w:rsidRPr="00F11B0C">
        <w:rPr>
          <w:rFonts w:ascii="Bookman Old Style" w:hAnsi="Bookman Old Style" w:cs="Arial"/>
          <w:i/>
          <w:iCs/>
          <w:sz w:val="22"/>
        </w:rPr>
        <w:t>RAIS</w:t>
      </w:r>
      <w:proofErr w:type="spellEnd"/>
      <w:r w:rsidRPr="00F11B0C">
        <w:rPr>
          <w:rFonts w:ascii="Bookman Old Style" w:hAnsi="Bookman Old Style" w:cs="Arial"/>
          <w:i/>
          <w:iCs/>
          <w:sz w:val="22"/>
        </w:rPr>
        <w:t xml:space="preserve">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w:t>
      </w:r>
      <w:proofErr w:type="spellStart"/>
      <w:r w:rsidRPr="00F11B0C">
        <w:rPr>
          <w:rFonts w:ascii="Bookman Old Style" w:hAnsi="Bookman Old Style" w:cs="Arial"/>
          <w:i/>
          <w:iCs/>
          <w:sz w:val="22"/>
        </w:rPr>
        <w:t>RPMPD</w:t>
      </w:r>
      <w:proofErr w:type="spellEnd"/>
      <w:r w:rsidRPr="00F11B0C">
        <w:rPr>
          <w:rFonts w:ascii="Bookman Old Style" w:hAnsi="Bookman Old Style" w:cs="Arial"/>
          <w:i/>
          <w:iCs/>
          <w:sz w:val="22"/>
        </w:rPr>
        <w:t xml:space="preserve"> administrado por Colpensiones (CSJ </w:t>
      </w:r>
      <w:proofErr w:type="spellStart"/>
      <w:r w:rsidRPr="00F11B0C">
        <w:rPr>
          <w:rFonts w:ascii="Bookman Old Style" w:hAnsi="Bookman Old Style" w:cs="Arial"/>
          <w:i/>
          <w:iCs/>
          <w:sz w:val="22"/>
        </w:rPr>
        <w:t>SL2877</w:t>
      </w:r>
      <w:proofErr w:type="spellEnd"/>
      <w:r w:rsidRPr="00F11B0C">
        <w:rPr>
          <w:rFonts w:ascii="Bookman Old Style" w:hAnsi="Bookman Old Style" w:cs="Arial"/>
          <w:i/>
          <w:iCs/>
          <w:sz w:val="22"/>
        </w:rPr>
        <w:t>-2020)”.</w:t>
      </w:r>
    </w:p>
    <w:p w14:paraId="5DE7EF8C" w14:textId="77777777" w:rsidR="003073FB" w:rsidRPr="004E4013" w:rsidRDefault="003073FB" w:rsidP="004E4013">
      <w:pPr>
        <w:spacing w:line="276" w:lineRule="auto"/>
        <w:ind w:firstLine="0"/>
        <w:rPr>
          <w:rFonts w:ascii="Bookman Old Style" w:hAnsi="Bookman Old Style" w:cs="Arial"/>
        </w:rPr>
      </w:pPr>
    </w:p>
    <w:p w14:paraId="25DDAD8B" w14:textId="06562D80" w:rsidR="003073FB" w:rsidRPr="004E4013" w:rsidRDefault="003073FB" w:rsidP="004E4013">
      <w:pPr>
        <w:spacing w:line="276" w:lineRule="auto"/>
        <w:ind w:firstLine="0"/>
        <w:rPr>
          <w:rFonts w:ascii="Bookman Old Style" w:hAnsi="Bookman Old Style" w:cs="Arial"/>
        </w:rPr>
      </w:pPr>
      <w:r w:rsidRPr="004E4013">
        <w:rPr>
          <w:rFonts w:ascii="Bookman Old Style" w:hAnsi="Bookman Old Style" w:cs="Arial"/>
        </w:rPr>
        <w:t xml:space="preserve">Así las cosas, </w:t>
      </w:r>
      <w:r w:rsidR="003D4AEE" w:rsidRPr="004E4013">
        <w:rPr>
          <w:rFonts w:ascii="Bookman Old Style" w:hAnsi="Bookman Old Style" w:cs="Arial"/>
        </w:rPr>
        <w:t xml:space="preserve">se </w:t>
      </w:r>
      <w:r w:rsidR="00EC46DC" w:rsidRPr="004E4013">
        <w:rPr>
          <w:rFonts w:ascii="Bookman Old Style" w:hAnsi="Bookman Old Style" w:cs="Arial"/>
        </w:rPr>
        <w:t>confirmará</w:t>
      </w:r>
      <w:r w:rsidR="003D4AEE" w:rsidRPr="004E4013">
        <w:rPr>
          <w:rFonts w:ascii="Bookman Old Style" w:hAnsi="Bookman Old Style" w:cs="Arial"/>
        </w:rPr>
        <w:t xml:space="preserve"> la sentencia de primera instancia, </w:t>
      </w:r>
      <w:r w:rsidR="00EC46DC" w:rsidRPr="004E4013">
        <w:rPr>
          <w:rFonts w:ascii="Bookman Old Style" w:hAnsi="Bookman Old Style" w:cs="Arial"/>
        </w:rPr>
        <w:t xml:space="preserve">pues los argumentos expuestos por </w:t>
      </w:r>
      <w:proofErr w:type="spellStart"/>
      <w:r w:rsidR="00125F9F" w:rsidRPr="004E4013">
        <w:rPr>
          <w:rFonts w:ascii="Bookman Old Style" w:hAnsi="Bookman Old Style" w:cs="Arial"/>
        </w:rPr>
        <w:t>COLPENSONES</w:t>
      </w:r>
      <w:proofErr w:type="spellEnd"/>
      <w:r w:rsidR="004D63C6" w:rsidRPr="004E4013">
        <w:rPr>
          <w:rFonts w:ascii="Bookman Old Style" w:hAnsi="Bookman Old Style" w:cs="Arial"/>
        </w:rPr>
        <w:t xml:space="preserve"> y PROTECCIÓN</w:t>
      </w:r>
      <w:r w:rsidR="00EC46DC" w:rsidRPr="004E4013">
        <w:rPr>
          <w:rFonts w:ascii="Bookman Old Style" w:hAnsi="Bookman Old Style" w:cs="Arial"/>
        </w:rPr>
        <w:t xml:space="preserve"> no tienen vocación de prosperidad.</w:t>
      </w:r>
    </w:p>
    <w:p w14:paraId="04F33BD8" w14:textId="024B7975" w:rsidR="00DE6E92" w:rsidRPr="004E4013" w:rsidRDefault="00DE6E92" w:rsidP="004E4013">
      <w:pPr>
        <w:spacing w:line="276" w:lineRule="auto"/>
        <w:ind w:firstLine="0"/>
        <w:rPr>
          <w:rFonts w:ascii="Bookman Old Style" w:hAnsi="Bookman Old Style" w:cs="Arial"/>
        </w:rPr>
      </w:pPr>
    </w:p>
    <w:p w14:paraId="3C5C17D1" w14:textId="77777777" w:rsidR="00DE6E92" w:rsidRPr="004E4013" w:rsidRDefault="00DE6E92" w:rsidP="004E4013">
      <w:pPr>
        <w:spacing w:line="276" w:lineRule="auto"/>
        <w:ind w:firstLine="0"/>
        <w:rPr>
          <w:rFonts w:ascii="Bookman Old Style" w:hAnsi="Bookman Old Style" w:cs="Arial"/>
          <w:b/>
          <w:bCs/>
        </w:rPr>
      </w:pPr>
      <w:r w:rsidRPr="004E4013">
        <w:rPr>
          <w:rFonts w:ascii="Bookman Old Style" w:hAnsi="Bookman Old Style" w:cs="Arial"/>
          <w:b/>
          <w:bCs/>
        </w:rPr>
        <w:t xml:space="preserve">Del bono pensional </w:t>
      </w:r>
    </w:p>
    <w:p w14:paraId="32D3FE6E" w14:textId="77777777" w:rsidR="003D4AEE" w:rsidRPr="004E4013" w:rsidRDefault="003D4AEE" w:rsidP="004E4013">
      <w:pPr>
        <w:spacing w:line="276" w:lineRule="auto"/>
        <w:ind w:firstLine="0"/>
        <w:rPr>
          <w:rFonts w:ascii="Bookman Old Style" w:hAnsi="Bookman Old Style" w:cs="Arial"/>
        </w:rPr>
      </w:pPr>
    </w:p>
    <w:p w14:paraId="4A73E4D3" w14:textId="7D776DCA" w:rsidR="000957E0" w:rsidRPr="004E4013" w:rsidRDefault="00AA0E34" w:rsidP="004E4013">
      <w:pPr>
        <w:spacing w:line="276" w:lineRule="auto"/>
        <w:ind w:firstLine="0"/>
        <w:rPr>
          <w:rFonts w:ascii="Bookman Old Style" w:hAnsi="Bookman Old Style" w:cs="Arial"/>
        </w:rPr>
      </w:pPr>
      <w:r w:rsidRPr="004E4013">
        <w:rPr>
          <w:rFonts w:ascii="Bookman Old Style" w:hAnsi="Bookman Old Style" w:cs="Arial"/>
        </w:rPr>
        <w:t xml:space="preserve">Con relación al </w:t>
      </w:r>
      <w:r w:rsidRPr="004E4013">
        <w:rPr>
          <w:rFonts w:ascii="Bookman Old Style" w:hAnsi="Bookman Old Style" w:cs="Arial"/>
          <w:b/>
        </w:rPr>
        <w:t>bono pensional</w:t>
      </w:r>
      <w:r w:rsidRPr="004E4013">
        <w:rPr>
          <w:rFonts w:ascii="Bookman Old Style" w:hAnsi="Bookman Old Style" w:cs="Arial"/>
        </w:rPr>
        <w:t xml:space="preserve">, </w:t>
      </w:r>
      <w:r w:rsidR="0038198A" w:rsidRPr="004E4013">
        <w:rPr>
          <w:rFonts w:ascii="Bookman Old Style" w:hAnsi="Bookman Old Style" w:cs="Arial"/>
        </w:rPr>
        <w:t xml:space="preserve">como quiera que la fecha estimada de redención normal de dicho instrumento data </w:t>
      </w:r>
      <w:r w:rsidR="003D4AEE" w:rsidRPr="004E4013">
        <w:rPr>
          <w:rFonts w:ascii="Bookman Old Style" w:hAnsi="Bookman Old Style" w:cs="Arial"/>
        </w:rPr>
        <w:t xml:space="preserve">es del </w:t>
      </w:r>
      <w:r w:rsidR="004D63C6" w:rsidRPr="004E4013">
        <w:rPr>
          <w:rFonts w:ascii="Bookman Old Style" w:hAnsi="Bookman Old Style" w:cs="Arial"/>
        </w:rPr>
        <w:t>02-01-2023</w:t>
      </w:r>
      <w:r w:rsidR="0038198A" w:rsidRPr="004E4013">
        <w:rPr>
          <w:rFonts w:ascii="Bookman Old Style" w:hAnsi="Bookman Old Style" w:cs="Arial"/>
        </w:rPr>
        <w:t xml:space="preserve">, </w:t>
      </w:r>
      <w:r w:rsidR="00EC46DC" w:rsidRPr="004E4013">
        <w:rPr>
          <w:rStyle w:val="normaltextrun"/>
          <w:rFonts w:ascii="Bookman Old Style" w:hAnsi="Bookman Old Style"/>
          <w:color w:val="000000"/>
          <w:shd w:val="clear" w:color="auto" w:fill="FFFFFF"/>
        </w:rPr>
        <w:t xml:space="preserve">razón tuvo la juez en ordenar la orden de comunicar a la Oficina de Bonos Pensionales del Ministerio de Hacienda y Crédito Público de la decisión aquí adoptada, además, la orden que en el evento de haberse pagado el bono a favor de la cuenta de ahorro individual, la AFP deberá Restituir la suma que hubiese sido pagada por la </w:t>
      </w:r>
      <w:proofErr w:type="spellStart"/>
      <w:r w:rsidR="00EC46DC" w:rsidRPr="004E4013">
        <w:rPr>
          <w:rStyle w:val="normaltextrun"/>
          <w:rFonts w:ascii="Bookman Old Style" w:hAnsi="Bookman Old Style"/>
          <w:color w:val="000000"/>
          <w:shd w:val="clear" w:color="auto" w:fill="FFFFFF"/>
        </w:rPr>
        <w:t>OBP</w:t>
      </w:r>
      <w:proofErr w:type="spellEnd"/>
      <w:r w:rsidR="00EC46DC" w:rsidRPr="004E4013">
        <w:rPr>
          <w:rStyle w:val="normaltextrun"/>
          <w:rFonts w:ascii="Bookman Old Style" w:hAnsi="Bookman Old Style"/>
          <w:color w:val="000000"/>
          <w:shd w:val="clear" w:color="auto" w:fill="FFFFFF"/>
        </w:rPr>
        <w:t xml:space="preserve"> del Ministerio de Hacienda y Crédito Público, debidamente actualizada a valor presente, debiendo cancelarse dicha indexación, con los recursos propios de dicha AFP. </w:t>
      </w:r>
    </w:p>
    <w:p w14:paraId="2130F12B" w14:textId="77777777" w:rsidR="00C9431C" w:rsidRPr="004E4013" w:rsidRDefault="00C9431C" w:rsidP="004E4013">
      <w:pPr>
        <w:spacing w:line="276" w:lineRule="auto"/>
        <w:rPr>
          <w:rFonts w:ascii="Bookman Old Style" w:hAnsi="Bookman Old Style" w:cs="Arial"/>
        </w:rPr>
      </w:pPr>
    </w:p>
    <w:p w14:paraId="7F12B2C1" w14:textId="3C5A54F2" w:rsidR="00C41494" w:rsidRPr="004E4013" w:rsidRDefault="003D4AEE" w:rsidP="004E4013">
      <w:pPr>
        <w:spacing w:line="276" w:lineRule="auto"/>
        <w:ind w:firstLine="0"/>
        <w:rPr>
          <w:rFonts w:ascii="Bookman Old Style" w:hAnsi="Bookman Old Style" w:cs="Arial"/>
          <w:b/>
          <w:bCs/>
        </w:rPr>
      </w:pPr>
      <w:r w:rsidRPr="004E4013">
        <w:rPr>
          <w:rFonts w:ascii="Bookman Old Style" w:hAnsi="Bookman Old Style" w:cs="Arial"/>
          <w:b/>
          <w:bCs/>
        </w:rPr>
        <w:lastRenderedPageBreak/>
        <w:t>C</w:t>
      </w:r>
      <w:r w:rsidR="00C41494" w:rsidRPr="004E4013">
        <w:rPr>
          <w:rFonts w:ascii="Bookman Old Style" w:hAnsi="Bookman Old Style" w:cs="Arial"/>
          <w:b/>
          <w:bCs/>
        </w:rPr>
        <w:t xml:space="preserve">ostas </w:t>
      </w:r>
    </w:p>
    <w:p w14:paraId="0B609E69" w14:textId="77777777" w:rsidR="00C41494" w:rsidRPr="004E4013" w:rsidRDefault="00C41494" w:rsidP="004E4013">
      <w:pPr>
        <w:spacing w:line="276" w:lineRule="auto"/>
        <w:ind w:firstLine="0"/>
        <w:rPr>
          <w:rFonts w:ascii="Bookman Old Style" w:hAnsi="Bookman Old Style" w:cs="Arial"/>
          <w:b/>
          <w:bCs/>
        </w:rPr>
      </w:pPr>
    </w:p>
    <w:p w14:paraId="70CEF732" w14:textId="59C5006B" w:rsidR="003073FB" w:rsidRPr="004E4013" w:rsidRDefault="00EC46DC" w:rsidP="004E4013">
      <w:pPr>
        <w:spacing w:line="276" w:lineRule="auto"/>
        <w:ind w:firstLine="0"/>
        <w:rPr>
          <w:rFonts w:ascii="Bookman Old Style" w:hAnsi="Bookman Old Style" w:cs="Arial"/>
        </w:rPr>
      </w:pPr>
      <w:r w:rsidRPr="004E4013">
        <w:rPr>
          <w:rFonts w:ascii="Bookman Old Style" w:hAnsi="Bookman Old Style" w:cs="Arial"/>
        </w:rPr>
        <w:t>Con todo</w:t>
      </w:r>
      <w:r w:rsidR="00C9431C" w:rsidRPr="004E4013">
        <w:rPr>
          <w:rFonts w:ascii="Bookman Old Style" w:hAnsi="Bookman Old Style" w:cs="Arial"/>
        </w:rPr>
        <w:t xml:space="preserve">, </w:t>
      </w:r>
      <w:r w:rsidR="003073FB" w:rsidRPr="004E4013">
        <w:rPr>
          <w:rFonts w:ascii="Bookman Old Style" w:hAnsi="Bookman Old Style" w:cs="Arial"/>
        </w:rPr>
        <w:t xml:space="preserve">habrá de confirmarse la sentencia apelada y consultada </w:t>
      </w:r>
      <w:r w:rsidR="005E0D01" w:rsidRPr="004E4013">
        <w:rPr>
          <w:rFonts w:ascii="Bookman Old Style" w:hAnsi="Bookman Old Style" w:cs="Arial"/>
        </w:rPr>
        <w:t>que</w:t>
      </w:r>
      <w:r w:rsidR="003073FB" w:rsidRPr="004E4013">
        <w:rPr>
          <w:rFonts w:ascii="Bookman Old Style" w:hAnsi="Bookman Old Style" w:cs="Arial"/>
        </w:rPr>
        <w:t xml:space="preserve"> declaró la ineficacia del traslado </w:t>
      </w:r>
      <w:r w:rsidRPr="004E4013">
        <w:rPr>
          <w:rFonts w:ascii="Bookman Old Style" w:hAnsi="Bookman Old Style" w:cs="Arial"/>
        </w:rPr>
        <w:t>de régimen y como se resolvi</w:t>
      </w:r>
      <w:r w:rsidR="00125F9F" w:rsidRPr="004E4013">
        <w:rPr>
          <w:rFonts w:ascii="Bookman Old Style" w:hAnsi="Bookman Old Style" w:cs="Arial"/>
        </w:rPr>
        <w:t>ó</w:t>
      </w:r>
      <w:r w:rsidR="003D4AEE" w:rsidRPr="004E4013">
        <w:rPr>
          <w:rFonts w:ascii="Bookman Old Style" w:hAnsi="Bookman Old Style" w:cs="Arial"/>
        </w:rPr>
        <w:t xml:space="preserve"> de forma desfavorable</w:t>
      </w:r>
      <w:r w:rsidRPr="004E4013">
        <w:rPr>
          <w:rFonts w:ascii="Bookman Old Style" w:hAnsi="Bookman Old Style" w:cs="Arial"/>
        </w:rPr>
        <w:t>s</w:t>
      </w:r>
      <w:r w:rsidR="003D4AEE" w:rsidRPr="004E4013">
        <w:rPr>
          <w:rFonts w:ascii="Bookman Old Style" w:hAnsi="Bookman Old Style" w:cs="Arial"/>
        </w:rPr>
        <w:t xml:space="preserve"> </w:t>
      </w:r>
      <w:r w:rsidR="004D63C6" w:rsidRPr="004E4013">
        <w:rPr>
          <w:rFonts w:ascii="Bookman Old Style" w:hAnsi="Bookman Old Style" w:cs="Arial"/>
        </w:rPr>
        <w:t>los</w:t>
      </w:r>
      <w:r w:rsidR="003D4AEE" w:rsidRPr="004E4013">
        <w:rPr>
          <w:rFonts w:ascii="Bookman Old Style" w:hAnsi="Bookman Old Style" w:cs="Arial"/>
        </w:rPr>
        <w:t xml:space="preserve"> recurso</w:t>
      </w:r>
      <w:r w:rsidR="004D63C6" w:rsidRPr="004E4013">
        <w:rPr>
          <w:rFonts w:ascii="Bookman Old Style" w:hAnsi="Bookman Old Style" w:cs="Arial"/>
        </w:rPr>
        <w:t>s</w:t>
      </w:r>
      <w:r w:rsidR="003D4AEE" w:rsidRPr="004E4013">
        <w:rPr>
          <w:rFonts w:ascii="Bookman Old Style" w:hAnsi="Bookman Old Style" w:cs="Arial"/>
        </w:rPr>
        <w:t xml:space="preserve"> de apelación interpuesto</w:t>
      </w:r>
      <w:r w:rsidR="004D63C6" w:rsidRPr="004E4013">
        <w:rPr>
          <w:rFonts w:ascii="Bookman Old Style" w:hAnsi="Bookman Old Style" w:cs="Arial"/>
        </w:rPr>
        <w:t>s</w:t>
      </w:r>
      <w:r w:rsidR="003D4AEE" w:rsidRPr="004E4013">
        <w:rPr>
          <w:rFonts w:ascii="Bookman Old Style" w:hAnsi="Bookman Old Style" w:cs="Arial"/>
        </w:rPr>
        <w:t xml:space="preserve">, se le </w:t>
      </w:r>
      <w:r w:rsidR="003073FB" w:rsidRPr="004E4013">
        <w:rPr>
          <w:rFonts w:ascii="Bookman Old Style" w:hAnsi="Bookman Old Style" w:cs="Arial"/>
        </w:rPr>
        <w:t>im</w:t>
      </w:r>
      <w:r w:rsidR="00125F9F" w:rsidRPr="004E4013">
        <w:rPr>
          <w:rFonts w:ascii="Bookman Old Style" w:hAnsi="Bookman Old Style" w:cs="Arial"/>
        </w:rPr>
        <w:t>pondrá costas en esta instancia a cargo de COLPENSIONES</w:t>
      </w:r>
      <w:r w:rsidR="004D63C6" w:rsidRPr="004E4013">
        <w:rPr>
          <w:rFonts w:ascii="Bookman Old Style" w:hAnsi="Bookman Old Style" w:cs="Arial"/>
        </w:rPr>
        <w:t xml:space="preserve"> y PROTECCIÓN S.A.</w:t>
      </w:r>
    </w:p>
    <w:p w14:paraId="4EEE3206" w14:textId="77777777" w:rsidR="003073FB" w:rsidRPr="004E4013" w:rsidRDefault="003073FB" w:rsidP="004E4013">
      <w:pPr>
        <w:spacing w:line="276" w:lineRule="auto"/>
        <w:ind w:firstLine="0"/>
        <w:rPr>
          <w:rFonts w:ascii="Bookman Old Style" w:hAnsi="Bookman Old Style" w:cs="Arial"/>
        </w:rPr>
      </w:pPr>
    </w:p>
    <w:p w14:paraId="2301E992" w14:textId="42772302" w:rsidR="003073FB" w:rsidRPr="004E4013" w:rsidRDefault="003073FB" w:rsidP="004E4013">
      <w:pPr>
        <w:spacing w:line="276" w:lineRule="auto"/>
        <w:ind w:firstLine="0"/>
        <w:rPr>
          <w:rFonts w:ascii="Bookman Old Style" w:hAnsi="Bookman Old Style" w:cs="Arial"/>
          <w:b/>
        </w:rPr>
      </w:pPr>
      <w:r w:rsidRPr="004E4013">
        <w:rPr>
          <w:rFonts w:ascii="Bookman Old Style" w:hAnsi="Bookman Old Style" w:cs="Arial"/>
        </w:rPr>
        <w:t>Por lo expuesto</w:t>
      </w:r>
      <w:r w:rsidR="00AF0141" w:rsidRPr="004E4013">
        <w:rPr>
          <w:rFonts w:ascii="Bookman Old Style" w:hAnsi="Bookman Old Style" w:cs="Arial"/>
          <w:b/>
        </w:rPr>
        <w:t>,</w:t>
      </w:r>
      <w:r w:rsidRPr="004E4013">
        <w:rPr>
          <w:rFonts w:ascii="Bookman Old Style" w:hAnsi="Bookman Old Style" w:cs="Arial"/>
          <w:b/>
        </w:rPr>
        <w:t xml:space="preserve"> la Sala de Decisión Laboral del Tribunal Superior del Distrito Judicial de Pereira, </w:t>
      </w:r>
      <w:r w:rsidRPr="004E4013">
        <w:rPr>
          <w:rFonts w:ascii="Bookman Old Style" w:hAnsi="Bookman Old Style" w:cs="Arial"/>
        </w:rPr>
        <w:t>administrando justicia en nombre de la República y por autoridad de la ley</w:t>
      </w:r>
      <w:r w:rsidRPr="004E4013">
        <w:rPr>
          <w:rFonts w:ascii="Bookman Old Style" w:hAnsi="Bookman Old Style" w:cs="Arial"/>
          <w:b/>
        </w:rPr>
        <w:t>.</w:t>
      </w:r>
    </w:p>
    <w:p w14:paraId="1B6A5444" w14:textId="77777777" w:rsidR="003073FB" w:rsidRPr="004E4013" w:rsidRDefault="003073FB" w:rsidP="004E4013">
      <w:pPr>
        <w:spacing w:line="276" w:lineRule="auto"/>
        <w:ind w:firstLine="0"/>
        <w:rPr>
          <w:rFonts w:ascii="Bookman Old Style" w:hAnsi="Bookman Old Style" w:cs="Arial"/>
        </w:rPr>
      </w:pPr>
    </w:p>
    <w:p w14:paraId="592F8074" w14:textId="77777777" w:rsidR="003073FB" w:rsidRPr="004E4013" w:rsidRDefault="003073FB" w:rsidP="004E4013">
      <w:pPr>
        <w:spacing w:line="276" w:lineRule="auto"/>
        <w:ind w:firstLine="0"/>
        <w:jc w:val="center"/>
        <w:rPr>
          <w:rFonts w:ascii="Bookman Old Style" w:hAnsi="Bookman Old Style" w:cs="Arial"/>
        </w:rPr>
      </w:pPr>
      <w:r w:rsidRPr="004E4013">
        <w:rPr>
          <w:rFonts w:ascii="Bookman Old Style" w:hAnsi="Bookman Old Style" w:cs="Arial"/>
          <w:b/>
        </w:rPr>
        <w:t>RESUELVE:</w:t>
      </w:r>
    </w:p>
    <w:p w14:paraId="0D09B413" w14:textId="77777777" w:rsidR="00A8283C" w:rsidRPr="004E4013" w:rsidRDefault="00A8283C" w:rsidP="004E4013">
      <w:pPr>
        <w:spacing w:line="276" w:lineRule="auto"/>
        <w:ind w:right="284" w:firstLine="0"/>
        <w:rPr>
          <w:rFonts w:ascii="Bookman Old Style" w:hAnsi="Bookman Old Style" w:cs="Arial"/>
        </w:rPr>
      </w:pPr>
    </w:p>
    <w:p w14:paraId="40AE2BE7" w14:textId="45847683" w:rsidR="003073FB" w:rsidRPr="004E4013" w:rsidRDefault="00A8283C" w:rsidP="004E4013">
      <w:pPr>
        <w:spacing w:line="276" w:lineRule="auto"/>
        <w:ind w:firstLine="0"/>
        <w:rPr>
          <w:rFonts w:ascii="Bookman Old Style" w:hAnsi="Bookman Old Style" w:cs="Arial"/>
        </w:rPr>
      </w:pPr>
      <w:r w:rsidRPr="004E4013">
        <w:rPr>
          <w:rFonts w:ascii="Bookman Old Style" w:eastAsia="Bookman Old Style" w:hAnsi="Bookman Old Style" w:cs="Bookman Old Style"/>
          <w:b/>
          <w:bCs/>
        </w:rPr>
        <w:t>PRIMERO</w:t>
      </w:r>
      <w:r w:rsidR="007F6CA1" w:rsidRPr="004E4013">
        <w:rPr>
          <w:rFonts w:ascii="Bookman Old Style" w:eastAsia="Bookman Old Style" w:hAnsi="Bookman Old Style" w:cs="Bookman Old Style"/>
          <w:b/>
          <w:bCs/>
        </w:rPr>
        <w:t xml:space="preserve">: </w:t>
      </w:r>
      <w:r w:rsidR="003073FB" w:rsidRPr="004E4013">
        <w:rPr>
          <w:rFonts w:ascii="Bookman Old Style" w:hAnsi="Bookman Old Style" w:cs="Arial"/>
          <w:b/>
          <w:bCs/>
        </w:rPr>
        <w:t>CONFIRMAR</w:t>
      </w:r>
      <w:r w:rsidR="3058F59B" w:rsidRPr="004E4013">
        <w:rPr>
          <w:rFonts w:ascii="Bookman Old Style" w:hAnsi="Bookman Old Style" w:cs="Arial"/>
          <w:b/>
          <w:bCs/>
        </w:rPr>
        <w:t xml:space="preserve"> </w:t>
      </w:r>
      <w:r w:rsidR="003073FB" w:rsidRPr="004E4013">
        <w:rPr>
          <w:rFonts w:ascii="Bookman Old Style" w:hAnsi="Bookman Old Style" w:cs="Arial"/>
        </w:rPr>
        <w:t>la</w:t>
      </w:r>
      <w:r w:rsidR="00705E27" w:rsidRPr="004E4013">
        <w:rPr>
          <w:rFonts w:ascii="Bookman Old Style" w:hAnsi="Bookman Old Style" w:cs="Arial"/>
        </w:rPr>
        <w:t xml:space="preserve"> sentencia apelada y consultada, proferida por el Juzgado </w:t>
      </w:r>
      <w:r w:rsidR="00EC46DC" w:rsidRPr="004E4013">
        <w:rPr>
          <w:rFonts w:ascii="Bookman Old Style" w:hAnsi="Bookman Old Style" w:cs="Arial"/>
        </w:rPr>
        <w:t>Quinto</w:t>
      </w:r>
      <w:r w:rsidR="00705E27" w:rsidRPr="004E4013">
        <w:rPr>
          <w:rFonts w:ascii="Bookman Old Style" w:hAnsi="Bookman Old Style" w:cs="Arial"/>
        </w:rPr>
        <w:t xml:space="preserve"> Laboral del Circuito de Pereira.</w:t>
      </w:r>
    </w:p>
    <w:p w14:paraId="74D71ABA" w14:textId="77777777" w:rsidR="003073FB" w:rsidRPr="004E4013" w:rsidRDefault="003073FB" w:rsidP="004E4013">
      <w:pPr>
        <w:spacing w:line="276" w:lineRule="auto"/>
        <w:ind w:firstLine="0"/>
        <w:rPr>
          <w:rFonts w:ascii="Bookman Old Style" w:hAnsi="Bookman Old Style" w:cs="Arial"/>
        </w:rPr>
      </w:pPr>
    </w:p>
    <w:p w14:paraId="7B293B4A" w14:textId="1655C5CA" w:rsidR="003073FB" w:rsidRPr="004E4013" w:rsidRDefault="00EC46DC" w:rsidP="004E4013">
      <w:pPr>
        <w:spacing w:line="276" w:lineRule="auto"/>
        <w:ind w:firstLine="0"/>
        <w:rPr>
          <w:rFonts w:ascii="Bookman Old Style" w:hAnsi="Bookman Old Style" w:cs="Arial"/>
        </w:rPr>
      </w:pPr>
      <w:r w:rsidRPr="004E4013">
        <w:rPr>
          <w:rFonts w:ascii="Bookman Old Style" w:hAnsi="Bookman Old Style" w:cs="Arial"/>
          <w:b/>
          <w:bCs/>
        </w:rPr>
        <w:t>SEGUNDO</w:t>
      </w:r>
      <w:r w:rsidR="003073FB" w:rsidRPr="004E4013">
        <w:rPr>
          <w:rFonts w:ascii="Bookman Old Style" w:hAnsi="Bookman Old Style" w:cs="Arial"/>
        </w:rPr>
        <w:t xml:space="preserve">: </w:t>
      </w:r>
      <w:r w:rsidR="003073FB" w:rsidRPr="004E4013">
        <w:rPr>
          <w:rFonts w:ascii="Bookman Old Style" w:hAnsi="Bookman Old Style" w:cs="Arial"/>
          <w:b/>
          <w:bCs/>
        </w:rPr>
        <w:t>COSTAS</w:t>
      </w:r>
      <w:r w:rsidR="003073FB" w:rsidRPr="004E4013">
        <w:rPr>
          <w:rFonts w:ascii="Bookman Old Style" w:hAnsi="Bookman Old Style" w:cs="Arial"/>
        </w:rPr>
        <w:t xml:space="preserve"> en esta instancia a cargo de </w:t>
      </w:r>
      <w:r w:rsidR="00927F48" w:rsidRPr="004E4013">
        <w:rPr>
          <w:rFonts w:ascii="Bookman Old Style" w:hAnsi="Bookman Old Style" w:cs="Arial"/>
          <w:b/>
          <w:bCs/>
        </w:rPr>
        <w:t>COLPENSIONES</w:t>
      </w:r>
      <w:r w:rsidR="009E3FAD" w:rsidRPr="004E4013">
        <w:rPr>
          <w:rFonts w:ascii="Bookman Old Style" w:hAnsi="Bookman Old Style" w:cs="Arial"/>
          <w:b/>
          <w:bCs/>
        </w:rPr>
        <w:t xml:space="preserve"> y </w:t>
      </w:r>
      <w:r w:rsidR="004D63C6" w:rsidRPr="004E4013">
        <w:rPr>
          <w:rFonts w:ascii="Bookman Old Style" w:hAnsi="Bookman Old Style" w:cs="Arial"/>
          <w:b/>
          <w:bCs/>
        </w:rPr>
        <w:t>PROTECCIÓN</w:t>
      </w:r>
      <w:r w:rsidR="003073FB" w:rsidRPr="004E4013">
        <w:rPr>
          <w:rFonts w:ascii="Bookman Old Style" w:hAnsi="Bookman Old Style" w:cs="Arial"/>
        </w:rPr>
        <w:t>, a favor de la parte demandante.</w:t>
      </w:r>
    </w:p>
    <w:p w14:paraId="77D49179" w14:textId="013CEC1C" w:rsidR="003073FB" w:rsidRPr="004E4013" w:rsidRDefault="003073FB" w:rsidP="004E4013">
      <w:pPr>
        <w:spacing w:line="276" w:lineRule="auto"/>
        <w:ind w:firstLine="0"/>
        <w:rPr>
          <w:rFonts w:ascii="Bookman Old Style" w:hAnsi="Bookman Old Style" w:cs="Arial"/>
        </w:rPr>
      </w:pPr>
    </w:p>
    <w:p w14:paraId="193AA878" w14:textId="699D9E6F" w:rsidR="00725E4D" w:rsidRPr="004E4013" w:rsidRDefault="00725E4D" w:rsidP="004E4013">
      <w:pPr>
        <w:spacing w:line="276" w:lineRule="auto"/>
        <w:ind w:firstLine="0"/>
        <w:jc w:val="center"/>
        <w:rPr>
          <w:rFonts w:ascii="Bookman Old Style" w:hAnsi="Bookman Old Style" w:cs="Arial"/>
        </w:rPr>
      </w:pPr>
      <w:r w:rsidRPr="004E4013">
        <w:rPr>
          <w:rStyle w:val="normaltextrun"/>
          <w:rFonts w:ascii="Bookman Old Style" w:hAnsi="Bookman Old Style"/>
          <w:b/>
          <w:bCs/>
          <w:color w:val="000000"/>
          <w:shd w:val="clear" w:color="auto" w:fill="FFFFFF"/>
        </w:rPr>
        <w:t>NOTIFÍQUESE Y CÚMPLASE</w:t>
      </w:r>
    </w:p>
    <w:p w14:paraId="2912F0C2" w14:textId="77777777" w:rsidR="004E4013" w:rsidRPr="004E4013" w:rsidRDefault="004E4013" w:rsidP="004E4013">
      <w:pPr>
        <w:spacing w:line="276" w:lineRule="auto"/>
        <w:ind w:firstLine="0"/>
        <w:rPr>
          <w:rFonts w:ascii="Bookman Old Style" w:eastAsia="Century Gothic" w:hAnsi="Bookman Old Style" w:cs="Arial"/>
          <w:color w:val="000000"/>
          <w:kern w:val="2"/>
        </w:rPr>
      </w:pPr>
    </w:p>
    <w:p w14:paraId="56AB0ED4" w14:textId="77777777" w:rsidR="004E4013" w:rsidRPr="004E4013" w:rsidRDefault="004E4013" w:rsidP="004E4013">
      <w:pPr>
        <w:spacing w:line="276" w:lineRule="auto"/>
        <w:ind w:firstLine="0"/>
        <w:rPr>
          <w:rFonts w:ascii="Bookman Old Style" w:eastAsia="Arial Unicode MS" w:hAnsi="Bookman Old Style" w:cs="Arial"/>
          <w:color w:val="000000"/>
          <w:kern w:val="2"/>
        </w:rPr>
      </w:pPr>
      <w:r w:rsidRPr="004E4013">
        <w:rPr>
          <w:rFonts w:ascii="Bookman Old Style" w:eastAsia="Century Gothic" w:hAnsi="Bookman Old Style" w:cs="Arial"/>
          <w:color w:val="000000"/>
          <w:kern w:val="2"/>
        </w:rPr>
        <w:t>Los Magistrados</w:t>
      </w:r>
      <w:r w:rsidRPr="004E4013">
        <w:rPr>
          <w:rFonts w:ascii="Bookman Old Style" w:eastAsia="Arial Unicode MS" w:hAnsi="Bookman Old Style" w:cs="Arial"/>
          <w:color w:val="000000"/>
          <w:kern w:val="2"/>
        </w:rPr>
        <w:t>,</w:t>
      </w:r>
    </w:p>
    <w:p w14:paraId="7B64B85F" w14:textId="77777777" w:rsidR="004E4013" w:rsidRPr="004E4013" w:rsidRDefault="004E4013" w:rsidP="004E4013">
      <w:pPr>
        <w:spacing w:line="276" w:lineRule="auto"/>
        <w:ind w:firstLine="0"/>
        <w:rPr>
          <w:rFonts w:ascii="Bookman Old Style" w:eastAsia="Arial Unicode MS" w:hAnsi="Bookman Old Style" w:cs="Arial"/>
          <w:color w:val="000000"/>
          <w:kern w:val="2"/>
        </w:rPr>
      </w:pPr>
    </w:p>
    <w:p w14:paraId="62022126" w14:textId="2AA73927" w:rsidR="004E4013" w:rsidRDefault="004E4013" w:rsidP="004E4013">
      <w:pPr>
        <w:spacing w:line="276" w:lineRule="auto"/>
        <w:ind w:firstLine="0"/>
        <w:rPr>
          <w:rFonts w:ascii="Bookman Old Style" w:eastAsia="Arial Unicode MS" w:hAnsi="Bookman Old Style" w:cs="Arial"/>
          <w:color w:val="000000"/>
          <w:kern w:val="2"/>
        </w:rPr>
      </w:pPr>
    </w:p>
    <w:p w14:paraId="6C485672" w14:textId="77777777" w:rsidR="00E80AEF" w:rsidRPr="004E4013" w:rsidRDefault="00E80AEF" w:rsidP="004E4013">
      <w:pPr>
        <w:spacing w:line="276" w:lineRule="auto"/>
        <w:ind w:firstLine="0"/>
        <w:rPr>
          <w:rFonts w:ascii="Bookman Old Style" w:eastAsia="Arial Unicode MS" w:hAnsi="Bookman Old Style" w:cs="Arial"/>
          <w:color w:val="000000"/>
          <w:kern w:val="2"/>
        </w:rPr>
      </w:pPr>
    </w:p>
    <w:p w14:paraId="06BEACC3" w14:textId="77777777" w:rsidR="004E4013" w:rsidRPr="004E4013" w:rsidRDefault="004E4013" w:rsidP="004E4013">
      <w:pPr>
        <w:spacing w:line="276" w:lineRule="auto"/>
        <w:ind w:firstLine="0"/>
        <w:jc w:val="center"/>
        <w:rPr>
          <w:rFonts w:ascii="Bookman Old Style" w:eastAsia="Arial Unicode MS" w:hAnsi="Bookman Old Style" w:cs="Arial"/>
          <w:b/>
          <w:bCs/>
          <w:color w:val="000000"/>
          <w:kern w:val="2"/>
        </w:rPr>
      </w:pPr>
      <w:r w:rsidRPr="004E4013">
        <w:rPr>
          <w:rFonts w:ascii="Bookman Old Style" w:eastAsia="Arial Unicode MS" w:hAnsi="Bookman Old Style" w:cs="Arial"/>
          <w:b/>
          <w:bCs/>
          <w:color w:val="000000"/>
          <w:kern w:val="2"/>
        </w:rPr>
        <w:t xml:space="preserve">GERMÁN DARÍO </w:t>
      </w:r>
      <w:proofErr w:type="spellStart"/>
      <w:r w:rsidRPr="004E4013">
        <w:rPr>
          <w:rFonts w:ascii="Bookman Old Style" w:eastAsia="Arial Unicode MS" w:hAnsi="Bookman Old Style" w:cs="Arial"/>
          <w:b/>
          <w:bCs/>
          <w:color w:val="000000"/>
          <w:kern w:val="2"/>
        </w:rPr>
        <w:t>GÓEZ</w:t>
      </w:r>
      <w:proofErr w:type="spellEnd"/>
      <w:r w:rsidRPr="004E4013">
        <w:rPr>
          <w:rFonts w:ascii="Bookman Old Style" w:eastAsia="Arial Unicode MS" w:hAnsi="Bookman Old Style" w:cs="Arial"/>
          <w:b/>
          <w:bCs/>
          <w:color w:val="000000"/>
          <w:kern w:val="2"/>
        </w:rPr>
        <w:t xml:space="preserve"> </w:t>
      </w:r>
      <w:proofErr w:type="spellStart"/>
      <w:r w:rsidRPr="004E4013">
        <w:rPr>
          <w:rFonts w:ascii="Bookman Old Style" w:eastAsia="Arial Unicode MS" w:hAnsi="Bookman Old Style" w:cs="Arial"/>
          <w:b/>
          <w:bCs/>
          <w:color w:val="000000"/>
          <w:kern w:val="2"/>
        </w:rPr>
        <w:t>VINASCO</w:t>
      </w:r>
      <w:proofErr w:type="spellEnd"/>
    </w:p>
    <w:p w14:paraId="5BF67547" w14:textId="77777777" w:rsidR="004E4013" w:rsidRPr="004E4013" w:rsidRDefault="004E4013" w:rsidP="004E4013">
      <w:pPr>
        <w:spacing w:line="276" w:lineRule="auto"/>
        <w:ind w:firstLine="0"/>
        <w:jc w:val="center"/>
        <w:rPr>
          <w:rFonts w:ascii="Bookman Old Style" w:eastAsia="Arial Unicode MS" w:hAnsi="Bookman Old Style" w:cs="Arial"/>
          <w:color w:val="000000"/>
          <w:kern w:val="2"/>
        </w:rPr>
      </w:pPr>
      <w:r w:rsidRPr="004E4013">
        <w:rPr>
          <w:rFonts w:ascii="Bookman Old Style" w:eastAsia="Arial Unicode MS" w:hAnsi="Bookman Old Style" w:cs="Arial"/>
          <w:color w:val="000000"/>
          <w:kern w:val="2"/>
        </w:rPr>
        <w:t>Magistrado ponente</w:t>
      </w:r>
    </w:p>
    <w:p w14:paraId="18FE06BA" w14:textId="54CE7F2F" w:rsidR="004E4013" w:rsidRDefault="004E4013" w:rsidP="004E4013">
      <w:pPr>
        <w:spacing w:line="276" w:lineRule="auto"/>
        <w:ind w:firstLine="0"/>
        <w:rPr>
          <w:rFonts w:ascii="Bookman Old Style" w:eastAsia="Arial Unicode MS" w:hAnsi="Bookman Old Style" w:cs="Arial"/>
          <w:color w:val="000000"/>
          <w:kern w:val="2"/>
        </w:rPr>
      </w:pPr>
    </w:p>
    <w:p w14:paraId="10F1FEED" w14:textId="77777777" w:rsidR="00930B23" w:rsidRPr="004E4013" w:rsidRDefault="00930B23" w:rsidP="004E4013">
      <w:pPr>
        <w:spacing w:line="276" w:lineRule="auto"/>
        <w:ind w:firstLine="0"/>
        <w:rPr>
          <w:rFonts w:ascii="Bookman Old Style" w:eastAsia="Arial Unicode MS" w:hAnsi="Bookman Old Style" w:cs="Arial"/>
          <w:color w:val="000000"/>
          <w:kern w:val="2"/>
        </w:rPr>
      </w:pPr>
    </w:p>
    <w:p w14:paraId="6454D08E" w14:textId="77777777" w:rsidR="004E4013" w:rsidRPr="004E4013" w:rsidRDefault="004E4013" w:rsidP="004E4013">
      <w:pPr>
        <w:spacing w:line="276" w:lineRule="auto"/>
        <w:ind w:firstLine="0"/>
        <w:rPr>
          <w:rFonts w:ascii="Bookman Old Style" w:eastAsia="Arial Unicode MS" w:hAnsi="Bookman Old Style" w:cs="Arial"/>
          <w:color w:val="000000"/>
          <w:kern w:val="2"/>
        </w:rPr>
      </w:pPr>
    </w:p>
    <w:p w14:paraId="24D1C043" w14:textId="77777777" w:rsidR="004E4013" w:rsidRPr="004E4013" w:rsidRDefault="004E4013" w:rsidP="004E4013">
      <w:pPr>
        <w:spacing w:line="276" w:lineRule="auto"/>
        <w:ind w:firstLine="0"/>
        <w:jc w:val="center"/>
        <w:rPr>
          <w:rFonts w:ascii="Bookman Old Style" w:eastAsia="Arial Unicode MS" w:hAnsi="Bookman Old Style" w:cs="Arial"/>
          <w:b/>
          <w:bCs/>
          <w:color w:val="000000"/>
          <w:kern w:val="2"/>
        </w:rPr>
      </w:pPr>
      <w:r w:rsidRPr="004E4013">
        <w:rPr>
          <w:rFonts w:ascii="Bookman Old Style" w:eastAsia="Arial Unicode MS" w:hAnsi="Bookman Old Style" w:cs="Arial"/>
          <w:b/>
          <w:bCs/>
          <w:color w:val="000000"/>
          <w:kern w:val="2"/>
        </w:rPr>
        <w:t>OLGA LUCIA HOYOS SEPÚLVEDA</w:t>
      </w:r>
    </w:p>
    <w:p w14:paraId="1DC99AAA" w14:textId="3D5E0DF2" w:rsidR="004E4013" w:rsidRDefault="004E4013" w:rsidP="004E4013">
      <w:pPr>
        <w:spacing w:line="276" w:lineRule="auto"/>
        <w:ind w:firstLine="0"/>
        <w:jc w:val="center"/>
        <w:rPr>
          <w:rFonts w:ascii="Bookman Old Style" w:eastAsia="Arial Unicode MS" w:hAnsi="Bookman Old Style" w:cs="Arial"/>
          <w:color w:val="000000"/>
          <w:kern w:val="2"/>
        </w:rPr>
      </w:pPr>
      <w:r>
        <w:rPr>
          <w:rFonts w:ascii="Bookman Old Style" w:eastAsia="Arial Unicode MS" w:hAnsi="Bookman Old Style" w:cs="Arial"/>
          <w:color w:val="000000"/>
          <w:kern w:val="2"/>
        </w:rPr>
        <w:t>Magistrada</w:t>
      </w:r>
    </w:p>
    <w:p w14:paraId="5C49D507" w14:textId="33BDF5D1" w:rsidR="004E4013" w:rsidRPr="004E4013" w:rsidRDefault="004E4013" w:rsidP="004E4013">
      <w:pPr>
        <w:spacing w:line="276" w:lineRule="auto"/>
        <w:ind w:firstLine="0"/>
        <w:jc w:val="center"/>
        <w:rPr>
          <w:rFonts w:ascii="Bookman Old Style" w:eastAsia="Arial Unicode MS" w:hAnsi="Bookman Old Style" w:cs="Arial"/>
          <w:color w:val="000000"/>
          <w:kern w:val="2"/>
        </w:rPr>
      </w:pPr>
      <w:r>
        <w:rPr>
          <w:rFonts w:ascii="Bookman Old Style" w:eastAsia="Arial Unicode MS" w:hAnsi="Bookman Old Style" w:cs="Arial"/>
          <w:color w:val="000000"/>
          <w:kern w:val="2"/>
        </w:rPr>
        <w:t>Con aclaración de voto</w:t>
      </w:r>
    </w:p>
    <w:p w14:paraId="5A3F3ACE" w14:textId="2ECD7D33" w:rsidR="004E4013" w:rsidRPr="00930B23" w:rsidRDefault="004E4013" w:rsidP="00930B23">
      <w:pPr>
        <w:spacing w:line="276" w:lineRule="auto"/>
        <w:ind w:firstLine="0"/>
        <w:rPr>
          <w:rFonts w:ascii="Bookman Old Style" w:eastAsia="Arial Unicode MS" w:hAnsi="Bookman Old Style" w:cs="Arial"/>
          <w:bCs/>
          <w:color w:val="000000"/>
          <w:kern w:val="2"/>
        </w:rPr>
      </w:pPr>
    </w:p>
    <w:p w14:paraId="1C48E2B9" w14:textId="77777777" w:rsidR="00930B23" w:rsidRPr="00930B23" w:rsidRDefault="00930B23" w:rsidP="00930B23">
      <w:pPr>
        <w:spacing w:line="276" w:lineRule="auto"/>
        <w:ind w:firstLine="0"/>
        <w:rPr>
          <w:rFonts w:ascii="Bookman Old Style" w:eastAsia="Arial Unicode MS" w:hAnsi="Bookman Old Style" w:cs="Arial"/>
          <w:bCs/>
          <w:color w:val="000000"/>
          <w:kern w:val="2"/>
        </w:rPr>
      </w:pPr>
    </w:p>
    <w:p w14:paraId="46BFE2E0" w14:textId="77777777" w:rsidR="004E4013" w:rsidRPr="00930B23" w:rsidRDefault="004E4013" w:rsidP="00930B23">
      <w:pPr>
        <w:spacing w:line="276" w:lineRule="auto"/>
        <w:ind w:firstLine="0"/>
        <w:rPr>
          <w:rFonts w:ascii="Bookman Old Style" w:eastAsia="Arial Unicode MS" w:hAnsi="Bookman Old Style" w:cs="Arial"/>
          <w:bCs/>
          <w:color w:val="000000"/>
          <w:kern w:val="2"/>
        </w:rPr>
      </w:pPr>
    </w:p>
    <w:p w14:paraId="4A6F96BF" w14:textId="77777777" w:rsidR="004E4013" w:rsidRPr="004E4013" w:rsidRDefault="004E4013" w:rsidP="004E4013">
      <w:pPr>
        <w:spacing w:line="276" w:lineRule="auto"/>
        <w:ind w:firstLine="0"/>
        <w:jc w:val="center"/>
        <w:rPr>
          <w:rFonts w:ascii="Bookman Old Style" w:eastAsia="Arial Unicode MS" w:hAnsi="Bookman Old Style" w:cs="Arial"/>
          <w:b/>
          <w:bCs/>
          <w:color w:val="000000"/>
          <w:kern w:val="2"/>
        </w:rPr>
      </w:pPr>
      <w:r w:rsidRPr="004E4013">
        <w:rPr>
          <w:rFonts w:ascii="Bookman Old Style" w:eastAsia="Arial Unicode MS" w:hAnsi="Bookman Old Style" w:cs="Arial"/>
          <w:b/>
          <w:bCs/>
          <w:color w:val="000000"/>
          <w:kern w:val="2"/>
        </w:rPr>
        <w:t>JULIO CÉSAR SALAZAR MUÑOZ</w:t>
      </w:r>
    </w:p>
    <w:p w14:paraId="35F70264" w14:textId="198C2DD1" w:rsidR="004E4013" w:rsidRDefault="004E4013" w:rsidP="004E4013">
      <w:pPr>
        <w:spacing w:line="276" w:lineRule="auto"/>
        <w:ind w:firstLine="0"/>
        <w:jc w:val="center"/>
        <w:rPr>
          <w:rFonts w:ascii="Bookman Old Style" w:eastAsia="Arial Unicode MS" w:hAnsi="Bookman Old Style" w:cs="Arial"/>
          <w:color w:val="000000"/>
          <w:kern w:val="2"/>
        </w:rPr>
      </w:pPr>
      <w:r w:rsidRPr="004E4013">
        <w:rPr>
          <w:rFonts w:ascii="Bookman Old Style" w:eastAsia="Arial Unicode MS" w:hAnsi="Bookman Old Style" w:cs="Arial"/>
          <w:color w:val="000000"/>
          <w:kern w:val="2"/>
        </w:rPr>
        <w:t>Magistrado</w:t>
      </w:r>
    </w:p>
    <w:p w14:paraId="12CA1CFC" w14:textId="332E9AD7" w:rsidR="58B3FA1E" w:rsidRDefault="004E4013" w:rsidP="004E4013">
      <w:pPr>
        <w:spacing w:line="276" w:lineRule="auto"/>
        <w:ind w:firstLine="0"/>
        <w:jc w:val="center"/>
        <w:rPr>
          <w:rFonts w:ascii="Bookman Old Style" w:eastAsia="Arial Unicode MS" w:hAnsi="Bookman Old Style" w:cs="Arial"/>
          <w:color w:val="000000"/>
          <w:kern w:val="2"/>
        </w:rPr>
      </w:pPr>
      <w:r>
        <w:rPr>
          <w:rFonts w:ascii="Bookman Old Style" w:eastAsia="Arial Unicode MS" w:hAnsi="Bookman Old Style" w:cs="Arial"/>
          <w:color w:val="000000"/>
          <w:kern w:val="2"/>
        </w:rPr>
        <w:t>Con aclaración de voto</w:t>
      </w:r>
    </w:p>
    <w:p w14:paraId="1DF6F676" w14:textId="2659C3DE" w:rsidR="00930B23" w:rsidRDefault="00930B23" w:rsidP="00930B23">
      <w:pPr>
        <w:spacing w:line="276" w:lineRule="auto"/>
        <w:ind w:firstLine="0"/>
        <w:rPr>
          <w:rFonts w:ascii="Bookman Old Style" w:eastAsia="Arial Unicode MS" w:hAnsi="Bookman Old Style" w:cs="Arial"/>
          <w:color w:val="000000"/>
          <w:kern w:val="2"/>
        </w:rPr>
      </w:pPr>
    </w:p>
    <w:p w14:paraId="5CBBDB90" w14:textId="2DE2FAD5" w:rsidR="00930B23" w:rsidRDefault="00930B23">
      <w:pPr>
        <w:rPr>
          <w:rFonts w:ascii="Bookman Old Style" w:eastAsia="Arial Unicode MS" w:hAnsi="Bookman Old Style" w:cs="Arial"/>
          <w:color w:val="000000"/>
          <w:kern w:val="2"/>
        </w:rPr>
      </w:pPr>
      <w:r>
        <w:rPr>
          <w:rFonts w:ascii="Bookman Old Style" w:eastAsia="Arial Unicode MS" w:hAnsi="Bookman Old Style" w:cs="Arial"/>
          <w:color w:val="000000"/>
          <w:kern w:val="2"/>
        </w:rPr>
        <w:br w:type="page"/>
      </w:r>
    </w:p>
    <w:p w14:paraId="7D6B57D6" w14:textId="5FD07399" w:rsidR="00930B23" w:rsidRPr="00BE7720" w:rsidRDefault="00930B23" w:rsidP="00930B23">
      <w:pPr>
        <w:autoSpaceDE w:val="0"/>
        <w:autoSpaceDN w:val="0"/>
        <w:adjustRightInd w:val="0"/>
        <w:spacing w:line="240" w:lineRule="auto"/>
        <w:ind w:firstLine="0"/>
        <w:rPr>
          <w:rFonts w:eastAsia="Times New Roman" w:cs="Arial"/>
          <w:bCs/>
          <w:spacing w:val="2"/>
          <w:sz w:val="20"/>
          <w:szCs w:val="20"/>
          <w:lang w:val="es-ES" w:eastAsia="es-ES"/>
        </w:rPr>
      </w:pPr>
      <w:r w:rsidRPr="00BE7720">
        <w:rPr>
          <w:rFonts w:eastAsia="Times New Roman" w:cs="Arial"/>
          <w:bCs/>
          <w:spacing w:val="2"/>
          <w:sz w:val="20"/>
          <w:szCs w:val="20"/>
          <w:lang w:val="es-ES" w:eastAsia="es-ES"/>
        </w:rPr>
        <w:lastRenderedPageBreak/>
        <w:t>Radicación No.:</w:t>
      </w:r>
      <w:r w:rsidRPr="00BE7720">
        <w:rPr>
          <w:rFonts w:eastAsia="Times New Roman" w:cs="Arial"/>
          <w:bCs/>
          <w:spacing w:val="2"/>
          <w:sz w:val="20"/>
          <w:szCs w:val="20"/>
          <w:lang w:val="es-ES" w:eastAsia="es-ES"/>
        </w:rPr>
        <w:tab/>
      </w:r>
      <w:r w:rsidRPr="00930B23">
        <w:rPr>
          <w:rFonts w:eastAsia="Times New Roman" w:cs="Arial"/>
          <w:bCs/>
          <w:spacing w:val="2"/>
          <w:sz w:val="20"/>
          <w:szCs w:val="20"/>
          <w:lang w:val="es-ES" w:eastAsia="es-ES"/>
        </w:rPr>
        <w:t>66001310500520210043001</w:t>
      </w:r>
    </w:p>
    <w:p w14:paraId="1A15AFCB" w14:textId="79F371EC" w:rsidR="00930B23" w:rsidRPr="00BE7720" w:rsidRDefault="00930B23" w:rsidP="00930B23">
      <w:pPr>
        <w:autoSpaceDE w:val="0"/>
        <w:autoSpaceDN w:val="0"/>
        <w:adjustRightInd w:val="0"/>
        <w:spacing w:line="240" w:lineRule="auto"/>
        <w:ind w:firstLine="0"/>
        <w:rPr>
          <w:rFonts w:eastAsia="Times New Roman" w:cs="Arial"/>
          <w:bCs/>
          <w:spacing w:val="2"/>
          <w:sz w:val="20"/>
          <w:szCs w:val="20"/>
          <w:lang w:val="es-ES" w:eastAsia="es-ES"/>
        </w:rPr>
      </w:pPr>
      <w:r w:rsidRPr="00BE7720">
        <w:rPr>
          <w:rFonts w:eastAsia="Times New Roman" w:cs="Arial"/>
          <w:bCs/>
          <w:spacing w:val="2"/>
          <w:sz w:val="20"/>
          <w:szCs w:val="20"/>
          <w:lang w:val="es-ES" w:eastAsia="es-ES"/>
        </w:rPr>
        <w:t>Demandante:</w:t>
      </w:r>
      <w:r w:rsidRPr="00BE7720">
        <w:rPr>
          <w:rFonts w:eastAsia="Times New Roman" w:cs="Arial"/>
          <w:bCs/>
          <w:spacing w:val="2"/>
          <w:sz w:val="20"/>
          <w:szCs w:val="20"/>
          <w:lang w:val="es-ES" w:eastAsia="es-ES"/>
        </w:rPr>
        <w:tab/>
      </w:r>
      <w:r w:rsidRPr="00BE7720">
        <w:rPr>
          <w:rFonts w:eastAsia="Times New Roman" w:cs="Arial"/>
          <w:bCs/>
          <w:spacing w:val="2"/>
          <w:sz w:val="20"/>
          <w:szCs w:val="20"/>
          <w:lang w:val="es-ES" w:eastAsia="es-ES"/>
        </w:rPr>
        <w:tab/>
      </w:r>
      <w:r w:rsidRPr="00930B23">
        <w:rPr>
          <w:rFonts w:eastAsia="Times New Roman" w:cs="Arial"/>
          <w:bCs/>
          <w:spacing w:val="2"/>
          <w:sz w:val="20"/>
          <w:szCs w:val="20"/>
          <w:lang w:val="es-ES" w:eastAsia="es-ES"/>
        </w:rPr>
        <w:t xml:space="preserve">Martha Cecilia </w:t>
      </w:r>
      <w:proofErr w:type="spellStart"/>
      <w:r w:rsidRPr="00930B23">
        <w:rPr>
          <w:rFonts w:eastAsia="Times New Roman" w:cs="Arial"/>
          <w:bCs/>
          <w:spacing w:val="2"/>
          <w:sz w:val="20"/>
          <w:szCs w:val="20"/>
          <w:lang w:val="es-ES" w:eastAsia="es-ES"/>
        </w:rPr>
        <w:t>Betancurt</w:t>
      </w:r>
      <w:proofErr w:type="spellEnd"/>
      <w:r w:rsidRPr="00930B23">
        <w:rPr>
          <w:rFonts w:eastAsia="Times New Roman" w:cs="Arial"/>
          <w:bCs/>
          <w:spacing w:val="2"/>
          <w:sz w:val="20"/>
          <w:szCs w:val="20"/>
          <w:lang w:val="es-ES" w:eastAsia="es-ES"/>
        </w:rPr>
        <w:t xml:space="preserve"> Pérez</w:t>
      </w:r>
    </w:p>
    <w:p w14:paraId="4D05CCBF" w14:textId="3CD60E20" w:rsidR="00930B23" w:rsidRPr="00BE7720" w:rsidRDefault="00930B23" w:rsidP="00930B23">
      <w:pPr>
        <w:autoSpaceDE w:val="0"/>
        <w:autoSpaceDN w:val="0"/>
        <w:adjustRightInd w:val="0"/>
        <w:spacing w:line="240" w:lineRule="auto"/>
        <w:ind w:firstLine="0"/>
        <w:rPr>
          <w:rFonts w:eastAsia="Times New Roman" w:cs="Arial"/>
          <w:bCs/>
          <w:spacing w:val="2"/>
          <w:sz w:val="20"/>
          <w:szCs w:val="20"/>
          <w:lang w:val="es-ES" w:eastAsia="es-ES"/>
        </w:rPr>
      </w:pPr>
      <w:r w:rsidRPr="00BE7720">
        <w:rPr>
          <w:rFonts w:eastAsia="Times New Roman" w:cs="Arial"/>
          <w:bCs/>
          <w:spacing w:val="2"/>
          <w:sz w:val="20"/>
          <w:szCs w:val="20"/>
          <w:lang w:val="es-ES" w:eastAsia="es-ES"/>
        </w:rPr>
        <w:t>Demandado:</w:t>
      </w:r>
      <w:r w:rsidRPr="00BE7720">
        <w:rPr>
          <w:rFonts w:eastAsia="Times New Roman" w:cs="Arial"/>
          <w:bCs/>
          <w:spacing w:val="2"/>
          <w:sz w:val="20"/>
          <w:szCs w:val="20"/>
          <w:lang w:val="es-ES" w:eastAsia="es-ES"/>
        </w:rPr>
        <w:tab/>
      </w:r>
      <w:r w:rsidRPr="00BE7720">
        <w:rPr>
          <w:rFonts w:eastAsia="Times New Roman" w:cs="Arial"/>
          <w:bCs/>
          <w:spacing w:val="2"/>
          <w:sz w:val="20"/>
          <w:szCs w:val="20"/>
          <w:lang w:val="es-ES" w:eastAsia="es-ES"/>
        </w:rPr>
        <w:tab/>
        <w:t xml:space="preserve">Colpensiones y </w:t>
      </w:r>
      <w:r w:rsidR="005056A0">
        <w:rPr>
          <w:rFonts w:eastAsia="Times New Roman" w:cs="Arial"/>
          <w:bCs/>
          <w:spacing w:val="2"/>
          <w:sz w:val="20"/>
          <w:szCs w:val="20"/>
          <w:lang w:val="es-ES" w:eastAsia="es-ES"/>
        </w:rPr>
        <w:t xml:space="preserve">Protección </w:t>
      </w:r>
      <w:r w:rsidRPr="00BE7720">
        <w:rPr>
          <w:rFonts w:eastAsia="Times New Roman" w:cs="Arial"/>
          <w:bCs/>
          <w:spacing w:val="2"/>
          <w:sz w:val="20"/>
          <w:szCs w:val="20"/>
          <w:lang w:val="es-ES" w:eastAsia="es-ES"/>
        </w:rPr>
        <w:t>S.A.</w:t>
      </w:r>
    </w:p>
    <w:p w14:paraId="728C9898" w14:textId="77777777" w:rsidR="00930B23" w:rsidRPr="00E42BEA" w:rsidRDefault="00930B23" w:rsidP="00930B23">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Tema:</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Cumplimiento a exhorto de la Sala de Casación.</w:t>
      </w:r>
    </w:p>
    <w:p w14:paraId="16C6FDED" w14:textId="77777777" w:rsidR="00930B23" w:rsidRPr="00E42BEA" w:rsidRDefault="00930B23" w:rsidP="00930B23">
      <w:pPr>
        <w:autoSpaceDE w:val="0"/>
        <w:autoSpaceDN w:val="0"/>
        <w:adjustRightInd w:val="0"/>
        <w:spacing w:line="240" w:lineRule="auto"/>
        <w:ind w:firstLine="0"/>
        <w:rPr>
          <w:rFonts w:eastAsia="Times New Roman" w:cs="Arial"/>
          <w:bCs/>
          <w:spacing w:val="2"/>
          <w:sz w:val="20"/>
          <w:szCs w:val="20"/>
          <w:lang w:val="es-ES" w:eastAsia="es-ES"/>
        </w:rPr>
      </w:pPr>
    </w:p>
    <w:p w14:paraId="6B082691" w14:textId="77777777" w:rsidR="00930B23" w:rsidRPr="00E42BEA" w:rsidRDefault="00930B23" w:rsidP="00930B23">
      <w:pPr>
        <w:autoSpaceDE w:val="0"/>
        <w:autoSpaceDN w:val="0"/>
        <w:adjustRightInd w:val="0"/>
        <w:spacing w:line="240" w:lineRule="auto"/>
        <w:ind w:firstLine="0"/>
        <w:rPr>
          <w:rFonts w:eastAsia="Times New Roman" w:cs="Arial"/>
          <w:bCs/>
          <w:spacing w:val="2"/>
          <w:sz w:val="20"/>
          <w:szCs w:val="20"/>
          <w:lang w:val="es-ES" w:eastAsia="es-ES"/>
        </w:rPr>
      </w:pPr>
    </w:p>
    <w:p w14:paraId="32BC6EBB" w14:textId="77777777" w:rsidR="00930B23" w:rsidRPr="00E42BEA" w:rsidRDefault="00930B23" w:rsidP="00930B23">
      <w:pPr>
        <w:autoSpaceDE w:val="0"/>
        <w:autoSpaceDN w:val="0"/>
        <w:adjustRightInd w:val="0"/>
        <w:spacing w:line="240" w:lineRule="auto"/>
        <w:ind w:firstLine="0"/>
        <w:rPr>
          <w:rFonts w:eastAsia="Times New Roman" w:cs="Arial"/>
          <w:bCs/>
          <w:spacing w:val="2"/>
          <w:sz w:val="20"/>
          <w:szCs w:val="20"/>
          <w:lang w:val="es-ES" w:eastAsia="es-ES"/>
        </w:rPr>
      </w:pPr>
    </w:p>
    <w:p w14:paraId="01F0BEB3" w14:textId="77777777" w:rsidR="00930B23" w:rsidRPr="00E42BEA" w:rsidRDefault="00930B23" w:rsidP="00930B23">
      <w:pPr>
        <w:keepNext/>
        <w:spacing w:line="240" w:lineRule="auto"/>
        <w:ind w:firstLine="0"/>
        <w:jc w:val="center"/>
        <w:outlineLvl w:val="2"/>
        <w:rPr>
          <w:rFonts w:eastAsia="Times New Roman" w:cs="Arial"/>
          <w:b/>
          <w:lang w:val="es-ES_tradnl" w:eastAsia="es-ES"/>
        </w:rPr>
      </w:pPr>
      <w:r w:rsidRPr="00E42BEA">
        <w:rPr>
          <w:rFonts w:eastAsia="Times New Roman" w:cs="Arial"/>
          <w:b/>
          <w:lang w:val="es-ES_tradnl" w:eastAsia="es-ES"/>
        </w:rPr>
        <w:t>TRIBUNAL SUPERIOR DEL DISTRITO JUDICIAL</w:t>
      </w:r>
    </w:p>
    <w:p w14:paraId="0BD08670" w14:textId="77777777" w:rsidR="00930B23" w:rsidRPr="00E42BEA" w:rsidRDefault="00930B23" w:rsidP="00930B23">
      <w:pPr>
        <w:spacing w:line="240" w:lineRule="auto"/>
        <w:ind w:firstLine="0"/>
        <w:jc w:val="center"/>
        <w:rPr>
          <w:rFonts w:eastAsia="Calibri" w:cs="Arial"/>
          <w:b/>
        </w:rPr>
      </w:pPr>
    </w:p>
    <w:p w14:paraId="59C22D03" w14:textId="77777777" w:rsidR="00930B23" w:rsidRPr="00E42BEA" w:rsidRDefault="00930B23" w:rsidP="00930B23">
      <w:pPr>
        <w:spacing w:line="240" w:lineRule="auto"/>
        <w:ind w:firstLine="0"/>
        <w:jc w:val="center"/>
        <w:rPr>
          <w:rFonts w:eastAsia="Calibri" w:cs="Arial"/>
          <w:b/>
        </w:rPr>
      </w:pPr>
      <w:r w:rsidRPr="00E42BEA">
        <w:rPr>
          <w:rFonts w:eastAsia="Calibri" w:cs="Arial"/>
          <w:b/>
        </w:rPr>
        <w:t>SALA LABORAL</w:t>
      </w:r>
    </w:p>
    <w:p w14:paraId="0945B103" w14:textId="77777777" w:rsidR="00930B23" w:rsidRPr="00E42BEA" w:rsidRDefault="00930B23" w:rsidP="00930B23">
      <w:pPr>
        <w:spacing w:line="240" w:lineRule="auto"/>
        <w:ind w:firstLine="0"/>
        <w:jc w:val="center"/>
        <w:rPr>
          <w:rFonts w:eastAsia="Times New Roman" w:cs="Arial"/>
          <w:b/>
          <w:lang w:val="es-ES_tradnl" w:eastAsia="es-ES"/>
        </w:rPr>
      </w:pPr>
    </w:p>
    <w:p w14:paraId="51A47DFB" w14:textId="77777777" w:rsidR="00930B23" w:rsidRPr="00E42BEA" w:rsidRDefault="00930B23" w:rsidP="00930B23">
      <w:pPr>
        <w:spacing w:line="240" w:lineRule="auto"/>
        <w:ind w:firstLine="0"/>
        <w:jc w:val="center"/>
        <w:rPr>
          <w:rFonts w:eastAsia="Times New Roman" w:cs="Arial"/>
          <w:b/>
          <w:lang w:val="es-ES_tradnl" w:eastAsia="es-ES"/>
        </w:rPr>
      </w:pPr>
      <w:r w:rsidRPr="00E42BEA">
        <w:rPr>
          <w:rFonts w:eastAsia="Times New Roman" w:cs="Arial"/>
          <w:b/>
          <w:lang w:val="es-ES_tradnl" w:eastAsia="es-ES"/>
        </w:rPr>
        <w:t xml:space="preserve">MAGISTRADO: JULIO CÉSAR SALAZAR MUÑOZ </w:t>
      </w:r>
    </w:p>
    <w:p w14:paraId="2E81E15F" w14:textId="77777777" w:rsidR="00930B23" w:rsidRPr="00E42BEA" w:rsidRDefault="00930B23" w:rsidP="00930B23">
      <w:pPr>
        <w:spacing w:line="240" w:lineRule="auto"/>
        <w:ind w:firstLine="0"/>
        <w:jc w:val="center"/>
        <w:rPr>
          <w:rFonts w:eastAsia="Times New Roman" w:cs="Arial"/>
          <w:b/>
          <w:lang w:val="es-ES_tradnl" w:eastAsia="es-ES"/>
        </w:rPr>
      </w:pPr>
    </w:p>
    <w:p w14:paraId="47AFD586" w14:textId="77777777" w:rsidR="00930B23" w:rsidRPr="00E42BEA" w:rsidRDefault="00930B23" w:rsidP="00930B23">
      <w:pPr>
        <w:spacing w:line="240" w:lineRule="auto"/>
        <w:ind w:firstLine="0"/>
        <w:jc w:val="center"/>
        <w:rPr>
          <w:rFonts w:eastAsia="Times New Roman" w:cs="Arial"/>
          <w:b/>
          <w:lang w:val="es-ES_tradnl" w:eastAsia="es-ES"/>
        </w:rPr>
      </w:pPr>
    </w:p>
    <w:p w14:paraId="3F9F519E" w14:textId="51BD1BE0" w:rsidR="00930B23" w:rsidRPr="00E42BEA" w:rsidRDefault="00930B23" w:rsidP="00930B23">
      <w:pPr>
        <w:spacing w:line="240" w:lineRule="auto"/>
        <w:ind w:firstLine="0"/>
        <w:jc w:val="center"/>
        <w:rPr>
          <w:rFonts w:eastAsia="Times New Roman" w:cs="Arial"/>
          <w:lang w:val="es-ES_tradnl" w:eastAsia="es-ES"/>
        </w:rPr>
      </w:pPr>
      <w:r>
        <w:rPr>
          <w:rFonts w:eastAsia="Times New Roman" w:cs="Arial"/>
          <w:lang w:val="es-ES_tradnl" w:eastAsia="es-ES"/>
        </w:rPr>
        <w:t>Enero 11 de 2024</w:t>
      </w:r>
    </w:p>
    <w:p w14:paraId="5E0AEF5E" w14:textId="77777777" w:rsidR="00930B23" w:rsidRPr="00E42BEA" w:rsidRDefault="00930B23" w:rsidP="00930B23">
      <w:pPr>
        <w:spacing w:line="240" w:lineRule="auto"/>
        <w:ind w:firstLine="0"/>
        <w:jc w:val="center"/>
        <w:rPr>
          <w:rFonts w:eastAsia="Times New Roman" w:cs="Arial"/>
          <w:b/>
          <w:lang w:val="es-ES_tradnl" w:eastAsia="es-ES"/>
        </w:rPr>
      </w:pPr>
    </w:p>
    <w:p w14:paraId="648DC23C" w14:textId="77777777" w:rsidR="00930B23" w:rsidRPr="00E42BEA" w:rsidRDefault="00930B23" w:rsidP="00930B23">
      <w:pPr>
        <w:spacing w:line="240" w:lineRule="auto"/>
        <w:ind w:firstLine="0"/>
        <w:jc w:val="center"/>
        <w:rPr>
          <w:rFonts w:eastAsia="Times New Roman" w:cs="Arial"/>
          <w:b/>
          <w:lang w:val="es-ES_tradnl" w:eastAsia="es-ES"/>
        </w:rPr>
      </w:pPr>
    </w:p>
    <w:p w14:paraId="2D6176E0" w14:textId="77777777" w:rsidR="00930B23" w:rsidRPr="00E42BEA" w:rsidRDefault="00930B23" w:rsidP="00930B23">
      <w:pPr>
        <w:spacing w:line="240" w:lineRule="auto"/>
        <w:ind w:firstLine="0"/>
        <w:jc w:val="center"/>
        <w:rPr>
          <w:rFonts w:eastAsia="Times New Roman" w:cs="Arial"/>
          <w:b/>
          <w:u w:val="single"/>
          <w:lang w:val="es-ES_tradnl" w:eastAsia="es-ES"/>
        </w:rPr>
      </w:pPr>
      <w:r w:rsidRPr="00E42BEA">
        <w:rPr>
          <w:rFonts w:eastAsia="Times New Roman" w:cs="Arial"/>
          <w:b/>
          <w:u w:val="single"/>
          <w:lang w:val="es-ES_tradnl" w:eastAsia="es-ES"/>
        </w:rPr>
        <w:t>ACLARACIÓN DE VOTO</w:t>
      </w:r>
    </w:p>
    <w:p w14:paraId="0F1A4B9D" w14:textId="77777777" w:rsidR="00930B23" w:rsidRPr="00E42BEA" w:rsidRDefault="00930B23" w:rsidP="00930B23">
      <w:pPr>
        <w:spacing w:line="276" w:lineRule="auto"/>
        <w:ind w:firstLine="0"/>
        <w:rPr>
          <w:rFonts w:eastAsia="Times New Roman" w:cs="Arial"/>
          <w:lang w:val="es-ES" w:eastAsia="es-ES"/>
        </w:rPr>
      </w:pPr>
    </w:p>
    <w:p w14:paraId="7ED39083" w14:textId="77777777" w:rsidR="00930B23" w:rsidRPr="00E42BEA" w:rsidRDefault="00930B23" w:rsidP="00930B23">
      <w:pPr>
        <w:spacing w:line="276" w:lineRule="auto"/>
        <w:ind w:firstLine="0"/>
        <w:rPr>
          <w:rFonts w:eastAsia="Times New Roman" w:cs="Arial"/>
          <w:lang w:val="es-ES" w:eastAsia="es-ES"/>
        </w:rPr>
      </w:pPr>
    </w:p>
    <w:p w14:paraId="155BE090" w14:textId="77777777" w:rsidR="00930B23" w:rsidRPr="00E42BEA" w:rsidRDefault="00930B23" w:rsidP="00930B23">
      <w:pPr>
        <w:spacing w:line="276" w:lineRule="auto"/>
        <w:ind w:firstLine="0"/>
        <w:rPr>
          <w:rFonts w:eastAsia="Times New Roman" w:cs="Arial"/>
          <w:lang w:val="es-ES" w:eastAsia="es-ES"/>
        </w:rPr>
      </w:pPr>
      <w:r w:rsidRPr="00E42BEA">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E42BEA">
        <w:rPr>
          <w:rFonts w:eastAsia="Times New Roman" w:cs="Arial"/>
          <w:b/>
          <w:lang w:val="es-ES" w:eastAsia="es-ES"/>
        </w:rPr>
        <w:t>EXORTAR</w:t>
      </w:r>
      <w:proofErr w:type="spellEnd"/>
      <w:r w:rsidRPr="00E42BEA">
        <w:rPr>
          <w:rFonts w:eastAsia="Times New Roman" w:cs="Arial"/>
          <w:lang w:val="es-ES" w:eastAsia="es-ES"/>
        </w:rPr>
        <w:t xml:space="preserve"> (sic) a la </w:t>
      </w:r>
      <w:r w:rsidRPr="00E42BEA">
        <w:rPr>
          <w:rFonts w:eastAsia="Times New Roman" w:cs="Arial"/>
          <w:b/>
          <w:lang w:val="es-ES" w:eastAsia="es-ES"/>
        </w:rPr>
        <w:t xml:space="preserve">SALA LABORAL DEL TRIBUNAL SUPERIOR DEL DISTRITO JUDICIAL DE PEREIRA </w:t>
      </w:r>
      <w:r w:rsidRPr="00E42BEA">
        <w:rPr>
          <w:rFonts w:eastAsia="Times New Roman" w:cs="Arial"/>
          <w:lang w:val="es-ES" w:eastAsia="es-ES"/>
        </w:rPr>
        <w:t>para que en lo sucesivo acate el precedente judicial emanado de esta Corporación”.</w:t>
      </w:r>
    </w:p>
    <w:p w14:paraId="00C2A83E" w14:textId="77777777" w:rsidR="00930B23" w:rsidRPr="00E42BEA" w:rsidRDefault="00930B23" w:rsidP="00930B23">
      <w:pPr>
        <w:spacing w:line="276" w:lineRule="auto"/>
        <w:ind w:firstLine="0"/>
        <w:rPr>
          <w:rFonts w:eastAsia="Times New Roman" w:cs="Arial"/>
          <w:lang w:val="es-ES" w:eastAsia="es-ES"/>
        </w:rPr>
      </w:pPr>
    </w:p>
    <w:p w14:paraId="46BD0147" w14:textId="77777777" w:rsidR="00930B23" w:rsidRPr="00E42BEA" w:rsidRDefault="00930B23" w:rsidP="00930B23">
      <w:pPr>
        <w:spacing w:line="276" w:lineRule="auto"/>
        <w:ind w:firstLine="0"/>
        <w:rPr>
          <w:rFonts w:eastAsia="Times New Roman" w:cs="Arial"/>
          <w:lang w:val="es-ES" w:eastAsia="es-ES"/>
        </w:rPr>
      </w:pPr>
      <w:r w:rsidRPr="00E42BEA">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E42BEA">
        <w:rPr>
          <w:rFonts w:eastAsia="Times New Roman" w:cs="Arial"/>
          <w:b/>
          <w:lang w:val="es-ES" w:eastAsia="es-ES"/>
        </w:rPr>
        <w:t>no queda otra posibilidad al suscrito que</w:t>
      </w:r>
      <w:r w:rsidRPr="00E42BEA">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E42BEA">
        <w:rPr>
          <w:rFonts w:eastAsia="Times New Roman" w:cs="Arial"/>
          <w:b/>
          <w:lang w:val="es-ES" w:eastAsia="es-ES"/>
        </w:rPr>
        <w:t>acatar lo resuelto por el superior</w:t>
      </w:r>
      <w:r w:rsidRPr="00E42BEA">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5BE6E7D2" w14:textId="77777777" w:rsidR="00930B23" w:rsidRPr="00E42BEA" w:rsidRDefault="00930B23" w:rsidP="00930B23">
      <w:pPr>
        <w:spacing w:line="276" w:lineRule="auto"/>
        <w:ind w:firstLine="0"/>
        <w:rPr>
          <w:rFonts w:eastAsia="Times New Roman" w:cs="Arial"/>
          <w:lang w:val="es-ES" w:eastAsia="es-ES"/>
        </w:rPr>
      </w:pPr>
    </w:p>
    <w:p w14:paraId="44583F3A" w14:textId="77777777" w:rsidR="00930B23" w:rsidRPr="00E42BEA" w:rsidRDefault="00930B23" w:rsidP="00930B23">
      <w:pPr>
        <w:spacing w:line="276" w:lineRule="auto"/>
        <w:ind w:firstLine="0"/>
        <w:jc w:val="center"/>
        <w:rPr>
          <w:rFonts w:eastAsia="Times New Roman" w:cs="Arial"/>
          <w:b/>
          <w:lang w:val="es-ES" w:eastAsia="es-ES"/>
        </w:rPr>
      </w:pPr>
      <w:r w:rsidRPr="00E42BEA">
        <w:rPr>
          <w:rFonts w:eastAsia="Times New Roman" w:cs="Arial"/>
          <w:b/>
          <w:lang w:val="es-ES" w:eastAsia="es-ES"/>
        </w:rPr>
        <w:t>ANÁLISIS JURÍDICO DE LOS HECHOS DEBATIDOS EN LOS CASOS DE TRASLADOS ENTRE REGÍMENES</w:t>
      </w:r>
    </w:p>
    <w:p w14:paraId="087E690B" w14:textId="77777777" w:rsidR="00930B23" w:rsidRPr="00E42BEA" w:rsidRDefault="00930B23" w:rsidP="00930B23">
      <w:pPr>
        <w:spacing w:line="276" w:lineRule="auto"/>
        <w:ind w:firstLine="0"/>
        <w:rPr>
          <w:rFonts w:eastAsia="Times New Roman" w:cs="Arial"/>
          <w:lang w:val="es-ES" w:eastAsia="es-ES"/>
        </w:rPr>
      </w:pPr>
    </w:p>
    <w:p w14:paraId="74907DB8"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w:t>
      </w:r>
      <w:proofErr w:type="spellStart"/>
      <w:r w:rsidRPr="00E42BEA">
        <w:rPr>
          <w:rFonts w:eastAsia="Times New Roman" w:cs="Arial"/>
          <w:lang w:val="es-ES_tradnl" w:eastAsia="es-ES"/>
        </w:rPr>
        <w:t>RAIS</w:t>
      </w:r>
      <w:proofErr w:type="spellEnd"/>
      <w:r w:rsidRPr="00E42BEA">
        <w:rPr>
          <w:rFonts w:eastAsia="Times New Roman" w:cs="Arial"/>
          <w:lang w:val="es-ES_tradnl" w:eastAsia="es-ES"/>
        </w:rPr>
        <w:t xml:space="preserve">, sin percatarse </w:t>
      </w:r>
      <w:r w:rsidRPr="00E42BEA">
        <w:rPr>
          <w:rFonts w:eastAsia="Times New Roman" w:cs="Arial"/>
          <w:lang w:val="es-ES_tradnl" w:eastAsia="es-ES"/>
        </w:rPr>
        <w:lastRenderedPageBreak/>
        <w:t>que, si en efecto hubo un engaño u omisión en la información para lograr el traslado por parte de la AFP privada, es ésta quien debe proceder al resarcimiento del eventual daño o perjuicio que con ello haya generado.</w:t>
      </w:r>
    </w:p>
    <w:p w14:paraId="6633FAEC" w14:textId="77777777" w:rsidR="00930B23" w:rsidRPr="00E42BEA" w:rsidRDefault="00930B23" w:rsidP="00930B23">
      <w:pPr>
        <w:suppressAutoHyphens/>
        <w:spacing w:line="276" w:lineRule="auto"/>
        <w:ind w:firstLine="0"/>
        <w:rPr>
          <w:rFonts w:eastAsia="Times New Roman" w:cs="Arial"/>
          <w:lang w:val="es-ES_tradnl" w:eastAsia="es-ES"/>
        </w:rPr>
      </w:pPr>
    </w:p>
    <w:p w14:paraId="732E0BF8"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488E19F0" w14:textId="77777777" w:rsidR="00930B23" w:rsidRPr="00E42BEA" w:rsidRDefault="00930B23" w:rsidP="00930B23">
      <w:pPr>
        <w:suppressAutoHyphens/>
        <w:spacing w:line="276" w:lineRule="auto"/>
        <w:ind w:firstLine="0"/>
        <w:rPr>
          <w:rFonts w:eastAsia="Times New Roman" w:cs="Arial"/>
          <w:lang w:val="es-ES_tradnl" w:eastAsia="es-ES"/>
        </w:rPr>
      </w:pPr>
    </w:p>
    <w:p w14:paraId="0E85D4F2"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Como quiera que esta posición se separa expresamente de la línea actual de la Corte Suprema de Justicia, considero necesario </w:t>
      </w:r>
      <w:r w:rsidRPr="00E42BEA">
        <w:rPr>
          <w:rFonts w:eastAsia="Times New Roman" w:cs="Arial"/>
          <w:iCs/>
          <w:lang w:val="es-ES_tradnl" w:eastAsia="es-ES"/>
        </w:rPr>
        <w:t>discurrir sobre los 8 temas jurídicos que a continuación se desarrollan:</w:t>
      </w:r>
    </w:p>
    <w:p w14:paraId="3F4709B4" w14:textId="77777777" w:rsidR="00930B23" w:rsidRPr="00E42BEA" w:rsidRDefault="00930B23" w:rsidP="00930B23">
      <w:pPr>
        <w:suppressAutoHyphens/>
        <w:spacing w:line="276" w:lineRule="auto"/>
        <w:ind w:firstLine="0"/>
        <w:rPr>
          <w:rFonts w:eastAsia="Times New Roman" w:cs="Arial"/>
          <w:lang w:val="es-ES_tradnl" w:eastAsia="es-ES"/>
        </w:rPr>
      </w:pPr>
    </w:p>
    <w:p w14:paraId="234C044D" w14:textId="77777777" w:rsidR="00930B23" w:rsidRPr="00E42BEA" w:rsidRDefault="00930B23" w:rsidP="00930B23">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LA JURISPRUDENCIA, LA OBLIGACIÓN DE LOS JUECES DE SEGUIRLA Y LA AUTORIZACIÓN Y FORMA DE APARTARSE DE LA DOCTRINA PROBABLE.</w:t>
      </w:r>
    </w:p>
    <w:p w14:paraId="364DC382" w14:textId="77777777" w:rsidR="00930B23" w:rsidRPr="00E42BEA" w:rsidRDefault="00930B23" w:rsidP="00930B23">
      <w:pPr>
        <w:suppressAutoHyphens/>
        <w:spacing w:line="276" w:lineRule="auto"/>
        <w:ind w:firstLine="0"/>
        <w:rPr>
          <w:rFonts w:eastAsia="Times New Roman" w:cs="Arial"/>
          <w:lang w:val="es-ES_tradnl" w:eastAsia="es-ES"/>
        </w:rPr>
      </w:pPr>
    </w:p>
    <w:p w14:paraId="60521B48" w14:textId="77777777" w:rsidR="00930B23" w:rsidRPr="00E42BEA" w:rsidRDefault="00930B23" w:rsidP="00930B23">
      <w:pPr>
        <w:spacing w:line="276" w:lineRule="auto"/>
        <w:ind w:right="51" w:firstLine="0"/>
        <w:rPr>
          <w:rFonts w:eastAsia="Times New Roman" w:cs="Arial"/>
          <w:lang w:val="es-ES_tradnl" w:eastAsia="es-ES"/>
        </w:rPr>
      </w:pPr>
      <w:r w:rsidRPr="00E42BEA">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48ED76D1" w14:textId="77777777" w:rsidR="00930B23" w:rsidRPr="00E42BEA" w:rsidRDefault="00930B23" w:rsidP="00930B23">
      <w:pPr>
        <w:suppressAutoHyphens/>
        <w:spacing w:line="276" w:lineRule="auto"/>
        <w:ind w:firstLine="0"/>
        <w:rPr>
          <w:rFonts w:eastAsia="Times New Roman" w:cs="Arial"/>
          <w:lang w:val="es-ES_tradnl" w:eastAsia="es-ES"/>
        </w:rPr>
      </w:pPr>
    </w:p>
    <w:p w14:paraId="58F40BB6" w14:textId="77777777" w:rsidR="00930B23" w:rsidRPr="00E42BEA" w:rsidRDefault="00930B23" w:rsidP="00930B23">
      <w:pPr>
        <w:suppressAutoHyphens/>
        <w:spacing w:line="240" w:lineRule="auto"/>
        <w:ind w:left="426" w:right="420" w:firstLine="0"/>
        <w:rPr>
          <w:rFonts w:eastAsia="Times New Roman" w:cs="Arial"/>
          <w:sz w:val="22"/>
          <w:lang w:val="es-ES" w:eastAsia="es-ES"/>
        </w:rPr>
      </w:pPr>
      <w:r w:rsidRPr="00E42BEA">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E42BEA">
        <w:rPr>
          <w:rFonts w:eastAsia="Times New Roman" w:cs="Arial"/>
          <w:b/>
          <w:bCs/>
          <w:sz w:val="22"/>
          <w:lang w:val="es-ES" w:eastAsia="es-ES"/>
        </w:rPr>
        <w:t>(i)</w:t>
      </w:r>
      <w:r w:rsidRPr="00E42BEA">
        <w:rPr>
          <w:rFonts w:eastAsia="Times New Roman" w:cs="Arial"/>
          <w:sz w:val="22"/>
          <w:lang w:val="es-ES" w:eastAsia="es-ES"/>
        </w:rPr>
        <w:t> de forma explícita las razones por las cuales se separa de aquellos, y </w:t>
      </w:r>
      <w:r w:rsidRPr="00E42BEA">
        <w:rPr>
          <w:rFonts w:eastAsia="Times New Roman" w:cs="Arial"/>
          <w:b/>
          <w:bCs/>
          <w:sz w:val="22"/>
          <w:lang w:val="es-ES" w:eastAsia="es-ES"/>
        </w:rPr>
        <w:t>(ii)</w:t>
      </w:r>
      <w:r w:rsidRPr="00E42BEA">
        <w:rPr>
          <w:rFonts w:eastAsia="Times New Roman" w:cs="Arial"/>
          <w:sz w:val="22"/>
          <w:lang w:val="es-ES" w:eastAsia="es-ES"/>
        </w:rPr>
        <w:t> demuestre con suficiencia que su interpretación aporta un mejor desarrollo a los derechos y principios constitucionales.</w:t>
      </w:r>
      <w:bookmarkStart w:id="3" w:name="_ftnref33"/>
      <w:r w:rsidRPr="00E42BEA">
        <w:rPr>
          <w:rFonts w:eastAsia="Times New Roman" w:cs="Arial"/>
          <w:sz w:val="22"/>
          <w:lang w:val="es-ES" w:eastAsia="es-ES"/>
        </w:rPr>
        <w:t>”</w:t>
      </w:r>
      <w:bookmarkEnd w:id="3"/>
    </w:p>
    <w:p w14:paraId="25723284" w14:textId="77777777" w:rsidR="00930B23" w:rsidRPr="00E42BEA" w:rsidRDefault="00930B23" w:rsidP="00930B23">
      <w:pPr>
        <w:suppressAutoHyphens/>
        <w:spacing w:line="240" w:lineRule="auto"/>
        <w:ind w:left="426" w:right="420" w:firstLine="0"/>
        <w:rPr>
          <w:rFonts w:eastAsia="Times New Roman" w:cs="Arial"/>
          <w:sz w:val="22"/>
          <w:lang w:val="es-ES" w:eastAsia="es-ES"/>
        </w:rPr>
      </w:pPr>
    </w:p>
    <w:p w14:paraId="2908ACEC" w14:textId="77777777" w:rsidR="00930B23" w:rsidRPr="00E42BEA" w:rsidRDefault="00930B23" w:rsidP="00930B23">
      <w:pPr>
        <w:suppressAutoHyphens/>
        <w:spacing w:line="240" w:lineRule="auto"/>
        <w:ind w:left="426" w:right="420" w:firstLine="0"/>
        <w:rPr>
          <w:rFonts w:eastAsia="Times New Roman" w:cs="Arial"/>
          <w:sz w:val="22"/>
          <w:lang w:val="es-ES" w:eastAsia="es-ES"/>
        </w:rPr>
      </w:pPr>
      <w:r w:rsidRPr="00E42BEA">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E42BEA">
        <w:rPr>
          <w:rFonts w:eastAsia="Times New Roman" w:cs="Arial"/>
          <w:b/>
          <w:sz w:val="22"/>
          <w:lang w:eastAsia="es-ES"/>
        </w:rPr>
        <w:t>sin exponer las razones jurídicas que justifique el cambio de jurisprudencia</w:t>
      </w:r>
      <w:r w:rsidRPr="00E42BEA">
        <w:rPr>
          <w:rFonts w:eastAsia="Times New Roman" w:cs="Arial"/>
          <w:sz w:val="22"/>
          <w:lang w:eastAsia="es-ES"/>
        </w:rPr>
        <w:t>.” (Negrillas fuera del original)</w:t>
      </w:r>
      <w:r w:rsidRPr="00E42BEA">
        <w:rPr>
          <w:rFonts w:eastAsia="Times New Roman" w:cs="Arial"/>
          <w:sz w:val="22"/>
          <w:lang w:val="es-ES" w:eastAsia="es-ES"/>
        </w:rPr>
        <w:t xml:space="preserve"> </w:t>
      </w:r>
    </w:p>
    <w:p w14:paraId="4CDEB1B3" w14:textId="77777777" w:rsidR="00930B23" w:rsidRPr="00E42BEA" w:rsidRDefault="00930B23" w:rsidP="00930B23">
      <w:pPr>
        <w:suppressAutoHyphens/>
        <w:spacing w:line="276" w:lineRule="auto"/>
        <w:ind w:firstLine="0"/>
        <w:rPr>
          <w:rFonts w:eastAsia="Times New Roman" w:cs="Arial"/>
          <w:lang w:val="es-ES" w:eastAsia="es-ES"/>
        </w:rPr>
      </w:pPr>
      <w:r w:rsidRPr="00E42BEA">
        <w:rPr>
          <w:rFonts w:eastAsia="Times New Roman" w:cs="Arial"/>
          <w:lang w:val="es-ES" w:eastAsia="es-ES"/>
        </w:rPr>
        <w:t> </w:t>
      </w:r>
    </w:p>
    <w:p w14:paraId="1654034F" w14:textId="77777777" w:rsidR="00930B23" w:rsidRPr="00E42BEA" w:rsidRDefault="00930B23" w:rsidP="00930B23">
      <w:pPr>
        <w:suppressAutoHyphens/>
        <w:spacing w:line="276" w:lineRule="auto"/>
        <w:ind w:firstLine="0"/>
        <w:rPr>
          <w:rFonts w:eastAsia="Times New Roman" w:cs="Arial"/>
          <w:lang w:val="es-ES" w:eastAsia="es-ES"/>
        </w:rPr>
      </w:pPr>
      <w:r w:rsidRPr="00E42BEA">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300FBB07" w14:textId="77777777" w:rsidR="00930B23" w:rsidRPr="00E42BEA" w:rsidRDefault="00930B23" w:rsidP="00930B23">
      <w:pPr>
        <w:suppressAutoHyphens/>
        <w:spacing w:line="276" w:lineRule="auto"/>
        <w:ind w:firstLine="0"/>
        <w:rPr>
          <w:rFonts w:eastAsia="Times New Roman" w:cs="Arial"/>
          <w:b/>
          <w:lang w:val="es-ES_tradnl" w:eastAsia="es-ES"/>
        </w:rPr>
      </w:pPr>
    </w:p>
    <w:p w14:paraId="6686C066" w14:textId="77777777" w:rsidR="00930B23" w:rsidRPr="00E42BEA" w:rsidRDefault="00930B23" w:rsidP="00930B23">
      <w:pPr>
        <w:numPr>
          <w:ilvl w:val="0"/>
          <w:numId w:val="5"/>
        </w:numPr>
        <w:suppressAutoHyphens/>
        <w:spacing w:line="240" w:lineRule="auto"/>
        <w:ind w:left="567" w:hanging="567"/>
        <w:rPr>
          <w:rFonts w:eastAsia="Times New Roman" w:cs="Arial"/>
          <w:lang w:val="es-ES_tradnl" w:eastAsia="es-ES"/>
        </w:rPr>
      </w:pPr>
      <w:r w:rsidRPr="00E42BEA">
        <w:rPr>
          <w:rFonts w:eastAsia="Times New Roman" w:cs="Arial"/>
          <w:b/>
          <w:lang w:val="es-ES_tradnl" w:eastAsia="es-ES"/>
        </w:rPr>
        <w:t>LA POSICIÓN ACTUAL DE LA SALA DE CASACIÓN LABORAL RESPECTO AL TEMA DE LA NULIDAD O INEFICACIA DE LOS TRASLADOS ENTRE REGÍMENES PENSIONALES.</w:t>
      </w:r>
    </w:p>
    <w:p w14:paraId="5A90067C" w14:textId="77777777" w:rsidR="00930B23" w:rsidRPr="00E42BEA" w:rsidRDefault="00930B23" w:rsidP="00930B23">
      <w:pPr>
        <w:suppressAutoHyphens/>
        <w:spacing w:line="276" w:lineRule="auto"/>
        <w:ind w:firstLine="0"/>
        <w:rPr>
          <w:rFonts w:eastAsia="Times New Roman" w:cs="Arial"/>
          <w:lang w:val="es-ES_tradnl" w:eastAsia="es-ES"/>
        </w:rPr>
      </w:pPr>
    </w:p>
    <w:p w14:paraId="62559F6F" w14:textId="77777777" w:rsidR="00930B23" w:rsidRPr="00E42BEA" w:rsidRDefault="00930B23" w:rsidP="00930B23">
      <w:pPr>
        <w:suppressAutoHyphens/>
        <w:spacing w:line="276" w:lineRule="auto"/>
        <w:ind w:firstLine="0"/>
        <w:rPr>
          <w:rFonts w:eastAsia="Times New Roman" w:cs="Arial"/>
          <w:iCs/>
          <w:lang w:val="es-ES_tradnl" w:eastAsia="es-ES"/>
        </w:rPr>
      </w:pPr>
      <w:r w:rsidRPr="00E42BEA">
        <w:rPr>
          <w:rFonts w:eastAsia="Times New Roman" w:cs="Arial"/>
          <w:lang w:val="es-ES_tradnl" w:eastAsia="es-ES"/>
        </w:rPr>
        <w:lastRenderedPageBreak/>
        <w:t xml:space="preserve">En acatamiento de lo señalado en las sentencias C-836 de 2001 y C-621 de 2015 desde ya se deja en evidencia que es conocida la jurisprudencia vigente emanada de la </w:t>
      </w:r>
      <w:r w:rsidRPr="00E42BEA">
        <w:rPr>
          <w:rFonts w:eastAsia="Times New Roman" w:cs="Arial"/>
          <w:iCs/>
          <w:lang w:val="es-ES_tradnl" w:eastAsia="es-ES"/>
        </w:rPr>
        <w:t xml:space="preserve">Sala de Casación Laboral contenida en las sentencias </w:t>
      </w:r>
      <w:proofErr w:type="spellStart"/>
      <w:r w:rsidRPr="00E42BEA">
        <w:rPr>
          <w:rFonts w:eastAsia="Times New Roman" w:cs="Arial"/>
          <w:iCs/>
          <w:lang w:val="es-ES_tradnl" w:eastAsia="es-ES"/>
        </w:rPr>
        <w:t>SL1421</w:t>
      </w:r>
      <w:proofErr w:type="spellEnd"/>
      <w:r w:rsidRPr="00E42BEA">
        <w:rPr>
          <w:rFonts w:eastAsia="Times New Roman" w:cs="Arial"/>
          <w:iCs/>
          <w:lang w:val="es-ES_tradnl" w:eastAsia="es-ES"/>
        </w:rPr>
        <w:t xml:space="preserve">-2019, </w:t>
      </w:r>
      <w:proofErr w:type="spellStart"/>
      <w:r w:rsidRPr="00E42BEA">
        <w:rPr>
          <w:rFonts w:eastAsia="Times New Roman" w:cs="Arial"/>
          <w:iCs/>
          <w:lang w:val="es-ES_tradnl" w:eastAsia="es-ES"/>
        </w:rPr>
        <w:t>SL1452</w:t>
      </w:r>
      <w:proofErr w:type="spellEnd"/>
      <w:r w:rsidRPr="00E42BEA">
        <w:rPr>
          <w:rFonts w:eastAsia="Times New Roman" w:cs="Arial"/>
          <w:iCs/>
          <w:lang w:val="es-ES_tradnl" w:eastAsia="es-ES"/>
        </w:rPr>
        <w:t xml:space="preserve">-2019, </w:t>
      </w:r>
      <w:proofErr w:type="spellStart"/>
      <w:r w:rsidRPr="00E42BEA">
        <w:rPr>
          <w:rFonts w:eastAsia="Times New Roman" w:cs="Arial"/>
          <w:iCs/>
          <w:lang w:val="es-ES_tradnl" w:eastAsia="es-ES"/>
        </w:rPr>
        <w:t>SL1688</w:t>
      </w:r>
      <w:proofErr w:type="spellEnd"/>
      <w:r w:rsidRPr="00E42BEA">
        <w:rPr>
          <w:rFonts w:eastAsia="Times New Roman" w:cs="Arial"/>
          <w:iCs/>
          <w:lang w:val="es-ES_tradnl" w:eastAsia="es-ES"/>
        </w:rPr>
        <w:t xml:space="preserve">-2019 y </w:t>
      </w:r>
      <w:proofErr w:type="spellStart"/>
      <w:r w:rsidRPr="00E42BEA">
        <w:rPr>
          <w:rFonts w:eastAsia="Times New Roman" w:cs="Arial"/>
          <w:iCs/>
          <w:lang w:val="es-ES_tradnl" w:eastAsia="es-ES"/>
        </w:rPr>
        <w:t>SL1689</w:t>
      </w:r>
      <w:proofErr w:type="spellEnd"/>
      <w:r w:rsidRPr="00E42BEA">
        <w:rPr>
          <w:rFonts w:eastAsia="Times New Roman" w:cs="Arial"/>
          <w:iCs/>
          <w:lang w:val="es-ES_tradnl" w:eastAsia="es-ES"/>
        </w:rPr>
        <w:t>-2019 que se concreta en los siguientes razonamientos:</w:t>
      </w:r>
    </w:p>
    <w:p w14:paraId="09D23DBE" w14:textId="77777777" w:rsidR="00930B23" w:rsidRPr="00E42BEA" w:rsidRDefault="00930B23" w:rsidP="00930B23">
      <w:pPr>
        <w:suppressAutoHyphens/>
        <w:spacing w:line="276" w:lineRule="auto"/>
        <w:ind w:firstLine="0"/>
        <w:rPr>
          <w:rFonts w:eastAsia="Times New Roman" w:cs="Arial"/>
          <w:iCs/>
          <w:lang w:val="es-ES_tradnl" w:eastAsia="es-ES"/>
        </w:rPr>
      </w:pPr>
    </w:p>
    <w:p w14:paraId="61976263" w14:textId="77777777" w:rsidR="00930B23" w:rsidRPr="00E42BEA" w:rsidRDefault="00930B23" w:rsidP="00930B23">
      <w:pPr>
        <w:numPr>
          <w:ilvl w:val="0"/>
          <w:numId w:val="4"/>
        </w:numPr>
        <w:suppressAutoHyphens/>
        <w:spacing w:line="240" w:lineRule="auto"/>
        <w:rPr>
          <w:rFonts w:eastAsia="Times New Roman" w:cs="Arial"/>
          <w:iCs/>
          <w:lang w:val="es-ES_tradnl" w:eastAsia="es-ES"/>
        </w:rPr>
      </w:pPr>
      <w:r w:rsidRPr="00E42BEA">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07A64AEE" w14:textId="77777777" w:rsidR="00930B23" w:rsidRPr="00E42BEA" w:rsidRDefault="00930B23" w:rsidP="00930B23">
      <w:pPr>
        <w:suppressAutoHyphens/>
        <w:spacing w:line="276" w:lineRule="auto"/>
        <w:ind w:left="720" w:firstLine="0"/>
        <w:rPr>
          <w:rFonts w:eastAsia="Times New Roman" w:cs="Arial"/>
          <w:iCs/>
          <w:lang w:val="es-ES_tradnl" w:eastAsia="es-ES"/>
        </w:rPr>
      </w:pPr>
    </w:p>
    <w:p w14:paraId="11955392" w14:textId="77777777" w:rsidR="00930B23" w:rsidRPr="00E42BEA" w:rsidRDefault="00930B23" w:rsidP="00930B23">
      <w:pPr>
        <w:numPr>
          <w:ilvl w:val="0"/>
          <w:numId w:val="4"/>
        </w:numPr>
        <w:suppressAutoHyphens/>
        <w:spacing w:line="240" w:lineRule="auto"/>
        <w:rPr>
          <w:rFonts w:eastAsia="Times New Roman" w:cs="Arial"/>
          <w:i/>
          <w:iCs/>
          <w:lang w:val="es-ES_tradnl" w:eastAsia="es-ES"/>
        </w:rPr>
      </w:pPr>
      <w:r w:rsidRPr="00E42BEA">
        <w:rPr>
          <w:rFonts w:eastAsia="Times New Roman" w:cs="Arial"/>
        </w:rPr>
        <w:t>El deber de información a cargo de las administradoras de fondos de pensiones es un deber que le es exigible desde la creación de estas entidades</w:t>
      </w:r>
      <w:r w:rsidRPr="00E42BEA">
        <w:rPr>
          <w:rFonts w:eastAsia="Times New Roman" w:cs="Arial"/>
          <w:iCs/>
          <w:lang w:val="es-ES_tradnl" w:eastAsia="es-ES"/>
        </w:rPr>
        <w:t xml:space="preserve">, básicamente porque </w:t>
      </w:r>
      <w:r w:rsidRPr="00E42BEA">
        <w:rPr>
          <w:rFonts w:eastAsia="Times New Roman" w:cs="Arial"/>
          <w:i/>
          <w:iCs/>
          <w:lang w:val="es-ES_tradnl" w:eastAsia="es-ES"/>
        </w:rPr>
        <w:t>“</w:t>
      </w:r>
      <w:r w:rsidRPr="00E42BEA">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E42BEA">
        <w:rPr>
          <w:rFonts w:eastAsia="Times New Roman" w:cs="Arial"/>
          <w:i/>
        </w:rPr>
        <w:t xml:space="preserve">”. </w:t>
      </w:r>
      <w:r w:rsidRPr="00E42BEA">
        <w:rPr>
          <w:rFonts w:eastAsia="Times New Roman" w:cs="Arial"/>
        </w:rPr>
        <w:t>Deber cuyo nivel de exigencia se elevó con la expedición</w:t>
      </w:r>
      <w:r w:rsidRPr="00E42BEA">
        <w:rPr>
          <w:rFonts w:eastAsia="Times New Roman" w:cs="Arial"/>
          <w:lang w:val="es-ES_tradnl"/>
        </w:rPr>
        <w:t xml:space="preserve"> de la Ley 1328 de 2009 y el Decreto 2241 de 2010, en la medida que </w:t>
      </w:r>
      <w:r w:rsidRPr="00E42BEA">
        <w:rPr>
          <w:rFonts w:eastAsia="Times New Roman" w:cs="Arial"/>
          <w:i/>
        </w:rPr>
        <w:t>“</w:t>
      </w:r>
      <w:r w:rsidRPr="00E42BEA">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E42BEA">
        <w:rPr>
          <w:rFonts w:eastAsia="Times New Roman" w:cs="Arial"/>
          <w:i/>
        </w:rPr>
        <w:t xml:space="preserve">”, </w:t>
      </w:r>
      <w:r w:rsidRPr="00E42BEA">
        <w:rPr>
          <w:rFonts w:eastAsia="Times New Roman" w:cs="Arial"/>
        </w:rPr>
        <w:t>llegando incluso</w:t>
      </w:r>
      <w:r w:rsidRPr="00E42BEA">
        <w:rPr>
          <w:rFonts w:eastAsia="Times New Roman" w:cs="Arial"/>
          <w:iCs/>
          <w:lang w:val="es-ES_tradnl" w:eastAsia="es-ES"/>
        </w:rPr>
        <w:t xml:space="preserve"> a la exigencia de la doble asesoría prevista en </w:t>
      </w:r>
      <w:r w:rsidRPr="00E42BEA">
        <w:rPr>
          <w:rFonts w:eastAsia="Times New Roman" w:cs="Arial"/>
          <w:lang w:val="es-ES_tradnl"/>
        </w:rPr>
        <w:t>la Ley 1748 de 2014, el Decreto 2071 de 2015 y la Circular Externa n.° 016 de 2016.</w:t>
      </w:r>
      <w:r w:rsidRPr="00E42BEA">
        <w:rPr>
          <w:rFonts w:eastAsia="Times New Roman" w:cs="Arial"/>
          <w:i/>
          <w:iCs/>
          <w:lang w:val="es-ES_tradnl" w:eastAsia="es-ES"/>
        </w:rPr>
        <w:t xml:space="preserve"> </w:t>
      </w:r>
    </w:p>
    <w:p w14:paraId="28B3C9FA" w14:textId="77777777" w:rsidR="00930B23" w:rsidRPr="00E42BEA" w:rsidRDefault="00930B23" w:rsidP="00930B23">
      <w:pPr>
        <w:suppressAutoHyphens/>
        <w:spacing w:line="276" w:lineRule="auto"/>
        <w:ind w:firstLine="0"/>
        <w:rPr>
          <w:rFonts w:eastAsia="Times New Roman" w:cs="Arial"/>
          <w:i/>
          <w:iCs/>
          <w:lang w:val="es-ES_tradnl" w:eastAsia="es-ES"/>
        </w:rPr>
      </w:pPr>
    </w:p>
    <w:p w14:paraId="14584FAB" w14:textId="77777777" w:rsidR="00930B23" w:rsidRPr="00E42BEA" w:rsidRDefault="00930B23" w:rsidP="00930B23">
      <w:pPr>
        <w:numPr>
          <w:ilvl w:val="0"/>
          <w:numId w:val="4"/>
        </w:numPr>
        <w:suppressAutoHyphens/>
        <w:spacing w:line="240" w:lineRule="auto"/>
        <w:rPr>
          <w:rFonts w:eastAsia="Times New Roman" w:cs="Arial"/>
          <w:i/>
          <w:iCs/>
          <w:lang w:val="es-ES_tradnl" w:eastAsia="es-ES"/>
        </w:rPr>
      </w:pPr>
      <w:r w:rsidRPr="00E42BEA">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1AF5106A" w14:textId="77777777" w:rsidR="00930B23" w:rsidRPr="00E42BEA" w:rsidRDefault="00930B23" w:rsidP="00930B23">
      <w:pPr>
        <w:suppressAutoHyphens/>
        <w:spacing w:line="276" w:lineRule="auto"/>
        <w:ind w:firstLine="0"/>
        <w:rPr>
          <w:rFonts w:eastAsia="Times New Roman" w:cs="Arial"/>
          <w:i/>
          <w:iCs/>
          <w:lang w:val="es-ES_tradnl" w:eastAsia="es-ES"/>
        </w:rPr>
      </w:pPr>
    </w:p>
    <w:p w14:paraId="46837C50" w14:textId="77777777" w:rsidR="00930B23" w:rsidRPr="00E42BEA" w:rsidRDefault="00930B23" w:rsidP="00930B23">
      <w:pPr>
        <w:numPr>
          <w:ilvl w:val="0"/>
          <w:numId w:val="4"/>
        </w:numPr>
        <w:suppressAutoHyphens/>
        <w:spacing w:line="240" w:lineRule="auto"/>
        <w:rPr>
          <w:rFonts w:eastAsia="Times New Roman" w:cs="Arial"/>
          <w:i/>
          <w:iCs/>
          <w:lang w:val="es-ES_tradnl" w:eastAsia="es-ES"/>
        </w:rPr>
      </w:pPr>
      <w:r w:rsidRPr="00E42BEA">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3D44DFAE" w14:textId="77777777" w:rsidR="00930B23" w:rsidRPr="00E42BEA" w:rsidRDefault="00930B23" w:rsidP="00930B23">
      <w:pPr>
        <w:suppressAutoHyphens/>
        <w:spacing w:line="276" w:lineRule="auto"/>
        <w:ind w:firstLine="0"/>
        <w:rPr>
          <w:rFonts w:eastAsia="Times New Roman" w:cs="Arial"/>
          <w:i/>
          <w:iCs/>
          <w:lang w:val="es-ES_tradnl" w:eastAsia="es-ES"/>
        </w:rPr>
      </w:pPr>
    </w:p>
    <w:p w14:paraId="1645EF27" w14:textId="77777777" w:rsidR="00930B23" w:rsidRPr="00E42BEA" w:rsidRDefault="00930B23" w:rsidP="00930B23">
      <w:pPr>
        <w:numPr>
          <w:ilvl w:val="0"/>
          <w:numId w:val="4"/>
        </w:numPr>
        <w:suppressAutoHyphens/>
        <w:spacing w:line="240" w:lineRule="auto"/>
        <w:rPr>
          <w:rFonts w:eastAsia="Calibri" w:cs="Arial"/>
          <w:lang w:val="es-ES"/>
        </w:rPr>
      </w:pPr>
      <w:r w:rsidRPr="00E42BEA">
        <w:rPr>
          <w:rFonts w:eastAsia="Times New Roman" w:cs="Arial"/>
        </w:rPr>
        <w:t xml:space="preserve">Acreditada la falta de consentimiento informado corresponde declarar la ineficacia del traslado y como consecuencia de ello </w:t>
      </w:r>
      <w:r w:rsidRPr="00E42BEA">
        <w:rPr>
          <w:rFonts w:eastAsia="Times New Roman" w:cs="Arial"/>
          <w:lang w:val="es-ES"/>
        </w:rPr>
        <w:t xml:space="preserve">entonces, para efectos de la concreción de los derechos pensionales reclamados, se debe imponer la obligación de la AFP de trasladar a Colpensiones </w:t>
      </w:r>
      <w:r w:rsidRPr="00E42BEA">
        <w:rPr>
          <w:rFonts w:eastAsia="Times New Roman" w:cs="Arial"/>
        </w:rPr>
        <w:t>los valores correspondientes a las cotizaciones, rendimientos financieros y gastos de administración, pertenecientes a la cuenta de quien demanda</w:t>
      </w:r>
      <w:r w:rsidRPr="00E42BEA">
        <w:rPr>
          <w:rFonts w:eastAsia="Times New Roman" w:cs="Arial"/>
          <w:color w:val="000000"/>
        </w:rPr>
        <w:t xml:space="preserve"> </w:t>
      </w:r>
      <w:r w:rsidRPr="00E42BEA">
        <w:rPr>
          <w:rFonts w:eastAsia="Times New Roman" w:cs="Arial"/>
          <w:lang w:val="es-ES"/>
        </w:rPr>
        <w:t>para que sea esta entidad la que proceda a reconocer la pensión con base en las disposiciones que guían el RPM.</w:t>
      </w:r>
    </w:p>
    <w:p w14:paraId="13F475F3" w14:textId="77777777" w:rsidR="00930B23" w:rsidRPr="00E42BEA" w:rsidRDefault="00930B23" w:rsidP="00930B23">
      <w:pPr>
        <w:suppressAutoHyphens/>
        <w:spacing w:line="276" w:lineRule="auto"/>
        <w:ind w:firstLine="0"/>
        <w:rPr>
          <w:rFonts w:eastAsia="Times New Roman" w:cs="Arial"/>
          <w:lang w:val="es-ES" w:eastAsia="es-ES"/>
        </w:rPr>
      </w:pPr>
    </w:p>
    <w:p w14:paraId="245DA965" w14:textId="77777777" w:rsidR="00930B23" w:rsidRPr="00E42BEA" w:rsidRDefault="00930B23" w:rsidP="00930B23">
      <w:pPr>
        <w:numPr>
          <w:ilvl w:val="0"/>
          <w:numId w:val="5"/>
        </w:numPr>
        <w:suppressAutoHyphens/>
        <w:spacing w:line="240" w:lineRule="auto"/>
        <w:ind w:left="567" w:hanging="567"/>
        <w:rPr>
          <w:rFonts w:eastAsia="Times New Roman" w:cs="Arial"/>
          <w:b/>
          <w:lang w:val="es-ES" w:eastAsia="es-ES"/>
        </w:rPr>
      </w:pPr>
      <w:r w:rsidRPr="00E42BEA">
        <w:rPr>
          <w:rFonts w:eastAsia="Times New Roman" w:cs="Arial"/>
          <w:b/>
          <w:lang w:val="es-ES" w:eastAsia="es-ES"/>
        </w:rPr>
        <w:t>CONTENIDO DE LOS ARTÍCULOS 13 LITERAL b) y 271 DE LA LEY 100 DE 1993</w:t>
      </w:r>
    </w:p>
    <w:p w14:paraId="3838516C" w14:textId="77777777" w:rsidR="00930B23" w:rsidRPr="00E42BEA" w:rsidRDefault="00930B23" w:rsidP="00930B23">
      <w:pPr>
        <w:suppressAutoHyphens/>
        <w:spacing w:line="276" w:lineRule="auto"/>
        <w:ind w:firstLine="0"/>
        <w:rPr>
          <w:rFonts w:eastAsia="Times New Roman" w:cs="Arial"/>
          <w:b/>
          <w:lang w:val="es-ES" w:eastAsia="es-ES"/>
        </w:rPr>
      </w:pPr>
    </w:p>
    <w:p w14:paraId="63986BE2" w14:textId="77777777" w:rsidR="00930B23" w:rsidRPr="00E42BEA" w:rsidRDefault="00930B23" w:rsidP="00930B23">
      <w:pPr>
        <w:suppressAutoHyphens/>
        <w:spacing w:line="276" w:lineRule="auto"/>
        <w:ind w:firstLine="0"/>
        <w:rPr>
          <w:rFonts w:eastAsia="Times New Roman" w:cs="Arial"/>
          <w:lang w:val="es-ES" w:eastAsia="es-ES"/>
        </w:rPr>
      </w:pPr>
      <w:r w:rsidRPr="00E42BEA">
        <w:rPr>
          <w:rFonts w:eastAsia="Times New Roman" w:cs="Arial"/>
          <w:lang w:val="es-ES" w:eastAsia="es-ES"/>
        </w:rPr>
        <w:t>De conformidad con el literal b) del artículo 13 de la ley 100 de 199</w:t>
      </w:r>
      <w:r w:rsidRPr="00E42BEA">
        <w:rPr>
          <w:rFonts w:eastAsia="Times New Roman" w:cs="Arial"/>
          <w:b/>
          <w:lang w:val="es-ES" w:eastAsia="es-ES"/>
        </w:rPr>
        <w:t xml:space="preserve">3, </w:t>
      </w:r>
      <w:r w:rsidRPr="00E42BEA">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696F9A29" w14:textId="77777777" w:rsidR="00930B23" w:rsidRPr="00E42BEA" w:rsidRDefault="00930B23" w:rsidP="00930B23">
      <w:pPr>
        <w:suppressAutoHyphens/>
        <w:spacing w:line="276" w:lineRule="auto"/>
        <w:ind w:firstLine="0"/>
        <w:rPr>
          <w:rFonts w:eastAsia="Times New Roman" w:cs="Arial"/>
          <w:lang w:val="es-ES" w:eastAsia="es-ES"/>
        </w:rPr>
      </w:pPr>
    </w:p>
    <w:p w14:paraId="797A07A9" w14:textId="77777777" w:rsidR="00930B23" w:rsidRPr="00E42BEA" w:rsidRDefault="00930B23" w:rsidP="00930B23">
      <w:pPr>
        <w:numPr>
          <w:ilvl w:val="0"/>
          <w:numId w:val="6"/>
        </w:numPr>
        <w:suppressAutoHyphens/>
        <w:spacing w:after="200" w:line="240" w:lineRule="auto"/>
        <w:rPr>
          <w:rFonts w:eastAsia="Times New Roman" w:cs="Arial"/>
          <w:lang w:val="es-ES_tradnl" w:eastAsia="es-ES"/>
        </w:rPr>
      </w:pPr>
      <w:r w:rsidRPr="00E42BEA">
        <w:rPr>
          <w:rFonts w:eastAsia="Times New Roman" w:cs="Arial"/>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5984C665" w14:textId="77777777" w:rsidR="00930B23" w:rsidRPr="00E42BEA" w:rsidRDefault="00930B23" w:rsidP="00930B23">
      <w:pPr>
        <w:suppressAutoHyphens/>
        <w:spacing w:line="276" w:lineRule="auto"/>
        <w:ind w:left="360" w:firstLine="0"/>
        <w:rPr>
          <w:rFonts w:eastAsia="Times New Roman" w:cs="Arial"/>
          <w:lang w:val="es-ES_tradnl" w:eastAsia="es-ES"/>
        </w:rPr>
      </w:pPr>
    </w:p>
    <w:p w14:paraId="55BBEF06" w14:textId="77777777" w:rsidR="00930B23" w:rsidRPr="00E42BEA" w:rsidRDefault="00930B23" w:rsidP="00930B23">
      <w:pPr>
        <w:numPr>
          <w:ilvl w:val="0"/>
          <w:numId w:val="6"/>
        </w:numPr>
        <w:suppressAutoHyphens/>
        <w:spacing w:line="240" w:lineRule="auto"/>
        <w:rPr>
          <w:rFonts w:eastAsia="Times New Roman" w:cs="Arial"/>
          <w:lang w:val="es-ES_tradnl" w:eastAsia="es-ES"/>
        </w:rPr>
      </w:pPr>
      <w:r w:rsidRPr="00E42BEA">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25CDAD52" w14:textId="77777777" w:rsidR="00930B23" w:rsidRPr="00E42BEA" w:rsidRDefault="00930B23" w:rsidP="00930B23">
      <w:pPr>
        <w:suppressAutoHyphens/>
        <w:spacing w:line="276" w:lineRule="auto"/>
        <w:ind w:left="360" w:firstLine="0"/>
        <w:rPr>
          <w:rFonts w:eastAsia="Times New Roman" w:cs="Arial"/>
          <w:b/>
          <w:bCs/>
          <w:lang w:val="es-ES" w:eastAsia="es-ES"/>
        </w:rPr>
      </w:pPr>
    </w:p>
    <w:p w14:paraId="5E7EEB18" w14:textId="77777777" w:rsidR="00930B23" w:rsidRPr="00E42BEA" w:rsidRDefault="00930B23" w:rsidP="00930B23">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 xml:space="preserve">La sanción es una multa por un valor entre uno y 50 </w:t>
      </w:r>
      <w:proofErr w:type="spellStart"/>
      <w:r w:rsidRPr="00E42BEA">
        <w:rPr>
          <w:rFonts w:eastAsia="Times New Roman" w:cs="Arial"/>
          <w:b/>
          <w:bCs/>
          <w:lang w:val="es-ES" w:eastAsia="es-ES"/>
        </w:rPr>
        <w:t>SMLMV</w:t>
      </w:r>
      <w:proofErr w:type="spellEnd"/>
      <w:r w:rsidRPr="00E42BEA">
        <w:rPr>
          <w:rFonts w:eastAsia="Times New Roman" w:cs="Arial"/>
          <w:b/>
          <w:bCs/>
          <w:lang w:val="es-ES" w:eastAsia="es-ES"/>
        </w:rPr>
        <w:t>.</w:t>
      </w:r>
    </w:p>
    <w:p w14:paraId="460DDC6C" w14:textId="77777777" w:rsidR="00930B23" w:rsidRPr="00E42BEA" w:rsidRDefault="00930B23" w:rsidP="00930B23">
      <w:pPr>
        <w:suppressAutoHyphens/>
        <w:spacing w:line="276" w:lineRule="auto"/>
        <w:ind w:left="360" w:firstLine="0"/>
        <w:rPr>
          <w:rFonts w:eastAsia="Times New Roman" w:cs="Arial"/>
          <w:b/>
          <w:bCs/>
          <w:lang w:val="es-ES" w:eastAsia="es-ES"/>
        </w:rPr>
      </w:pPr>
    </w:p>
    <w:p w14:paraId="1CCDF9DF" w14:textId="77777777" w:rsidR="00930B23" w:rsidRPr="00E42BEA" w:rsidRDefault="00930B23" w:rsidP="00930B23">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El funcionario competente para imponerla es el Ministerio del Trabajo y Seguridad Social o el Ministerio de Salud.</w:t>
      </w:r>
    </w:p>
    <w:p w14:paraId="24F7A34D" w14:textId="77777777" w:rsidR="00930B23" w:rsidRPr="00E42BEA" w:rsidRDefault="00930B23" w:rsidP="00930B23">
      <w:pPr>
        <w:suppressAutoHyphens/>
        <w:spacing w:line="276" w:lineRule="auto"/>
        <w:ind w:left="360" w:firstLine="0"/>
        <w:rPr>
          <w:rFonts w:eastAsia="Times New Roman" w:cs="Arial"/>
          <w:b/>
          <w:bCs/>
          <w:lang w:val="es-ES" w:eastAsia="es-ES"/>
        </w:rPr>
      </w:pPr>
    </w:p>
    <w:p w14:paraId="4B4078CB" w14:textId="77777777" w:rsidR="00930B23" w:rsidRPr="00E42BEA" w:rsidRDefault="00930B23" w:rsidP="00930B23">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Una vez impuesta la sanción por el funcionario competente la afiliación respectiva podrá realizarse nuevamente en forma libre y espontánea.</w:t>
      </w:r>
    </w:p>
    <w:p w14:paraId="0366E9F4" w14:textId="77777777" w:rsidR="00930B23" w:rsidRPr="00E42BEA" w:rsidRDefault="00930B23" w:rsidP="00930B23">
      <w:pPr>
        <w:suppressAutoHyphens/>
        <w:spacing w:line="276" w:lineRule="auto"/>
        <w:ind w:firstLine="0"/>
        <w:rPr>
          <w:rFonts w:eastAsia="Times New Roman" w:cs="Arial"/>
          <w:lang w:val="es-ES" w:eastAsia="es-ES"/>
        </w:rPr>
      </w:pPr>
    </w:p>
    <w:p w14:paraId="1E29DFD4" w14:textId="77777777" w:rsidR="00930B23" w:rsidRPr="00E42BEA" w:rsidRDefault="00930B23" w:rsidP="00930B23">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OBSERVACIONES SOBRE EL CONTENIDO DEL ARTÍCULO 271 DE LA LEY 100 DE 1993 Y LA APLICACIÓN QUE VIENE DÁNDOLE LA CORTE SUPREMA.</w:t>
      </w:r>
    </w:p>
    <w:p w14:paraId="477C859B" w14:textId="77777777" w:rsidR="00930B23" w:rsidRPr="00E42BEA" w:rsidRDefault="00930B23" w:rsidP="00930B23">
      <w:pPr>
        <w:suppressAutoHyphens/>
        <w:spacing w:line="276" w:lineRule="auto"/>
        <w:ind w:firstLine="0"/>
        <w:rPr>
          <w:rFonts w:eastAsia="Times New Roman" w:cs="Arial"/>
          <w:lang w:val="es-ES_tradnl" w:eastAsia="es-ES"/>
        </w:rPr>
      </w:pPr>
    </w:p>
    <w:p w14:paraId="0F1E70FD"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E42BEA">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E42BEA">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E42BEA">
        <w:rPr>
          <w:rFonts w:eastAsia="Times New Roman" w:cs="Arial"/>
          <w:b/>
          <w:lang w:val="es-ES_tradnl" w:eastAsia="es-ES"/>
        </w:rPr>
        <w:t>“Sanciones al empleador”</w:t>
      </w:r>
      <w:r w:rsidRPr="00E42BEA">
        <w:rPr>
          <w:rFonts w:eastAsia="Times New Roman" w:cs="Arial"/>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E42BEA">
        <w:rPr>
          <w:rFonts w:eastAsia="Times New Roman" w:cs="Arial"/>
          <w:lang w:val="es-ES_tradnl" w:eastAsia="es-ES"/>
        </w:rPr>
        <w:t>RAIS</w:t>
      </w:r>
      <w:proofErr w:type="spellEnd"/>
      <w:r w:rsidRPr="00E42BEA">
        <w:rPr>
          <w:rFonts w:eastAsia="Times New Roman" w:cs="Arial"/>
          <w:lang w:val="es-ES_tradnl" w:eastAsia="es-ES"/>
        </w:rPr>
        <w:t xml:space="preserve"> que les conciernen en desarrollo de su objeto social, pues para tales efectos hay legislación específica que adelante se resaltará.</w:t>
      </w:r>
    </w:p>
    <w:p w14:paraId="1DE1600C" w14:textId="77777777" w:rsidR="00930B23" w:rsidRPr="00E42BEA" w:rsidRDefault="00930B23" w:rsidP="00930B23">
      <w:pPr>
        <w:suppressAutoHyphens/>
        <w:spacing w:line="276" w:lineRule="auto"/>
        <w:ind w:firstLine="0"/>
        <w:rPr>
          <w:rFonts w:eastAsia="Times New Roman" w:cs="Arial"/>
          <w:lang w:val="es-ES_tradnl" w:eastAsia="es-ES"/>
        </w:rPr>
      </w:pPr>
    </w:p>
    <w:p w14:paraId="6A2E606F"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10366562" w14:textId="77777777" w:rsidR="00930B23" w:rsidRPr="00E42BEA" w:rsidRDefault="00930B23" w:rsidP="00930B23">
      <w:pPr>
        <w:suppressAutoHyphens/>
        <w:spacing w:line="276" w:lineRule="auto"/>
        <w:ind w:firstLine="0"/>
        <w:rPr>
          <w:rFonts w:eastAsia="Times New Roman" w:cs="Arial"/>
          <w:lang w:val="es-ES_tradnl" w:eastAsia="es-ES"/>
        </w:rPr>
      </w:pPr>
    </w:p>
    <w:p w14:paraId="11DC1907" w14:textId="77777777" w:rsidR="00930B23" w:rsidRPr="00E42BEA" w:rsidRDefault="00930B23" w:rsidP="00930B23">
      <w:pPr>
        <w:suppressAutoHyphens/>
        <w:spacing w:line="276" w:lineRule="auto"/>
        <w:ind w:firstLine="0"/>
        <w:rPr>
          <w:rFonts w:eastAsia="Times New Roman" w:cs="Arial"/>
          <w:b/>
          <w:lang w:val="es-ES_tradnl" w:eastAsia="es-ES"/>
        </w:rPr>
      </w:pPr>
      <w:r w:rsidRPr="00E42BEA">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w:t>
      </w:r>
      <w:r w:rsidRPr="00E42BEA">
        <w:rPr>
          <w:rFonts w:eastAsia="Times New Roman" w:cs="Arial"/>
          <w:lang w:val="es-ES_tradnl" w:eastAsia="es-ES"/>
        </w:rPr>
        <w:lastRenderedPageBreak/>
        <w:t xml:space="preserve">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E42BEA">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43B8CC67" w14:textId="77777777" w:rsidR="00930B23" w:rsidRPr="00E42BEA" w:rsidRDefault="00930B23" w:rsidP="00930B23">
      <w:pPr>
        <w:suppressAutoHyphens/>
        <w:spacing w:line="276" w:lineRule="auto"/>
        <w:ind w:firstLine="0"/>
        <w:rPr>
          <w:rFonts w:eastAsia="Times New Roman" w:cs="Arial"/>
          <w:b/>
          <w:lang w:val="es-ES_tradnl" w:eastAsia="es-ES"/>
        </w:rPr>
      </w:pPr>
    </w:p>
    <w:p w14:paraId="2386615D" w14:textId="77777777" w:rsidR="00930B23" w:rsidRPr="00E42BEA" w:rsidRDefault="00930B23" w:rsidP="00930B23">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7551ED5F" w14:textId="77777777" w:rsidR="00930B23" w:rsidRPr="00E42BEA" w:rsidRDefault="00930B23" w:rsidP="00930B23">
      <w:pPr>
        <w:suppressAutoHyphens/>
        <w:spacing w:line="276" w:lineRule="auto"/>
        <w:ind w:firstLine="0"/>
        <w:rPr>
          <w:rFonts w:eastAsia="Times New Roman" w:cs="Arial"/>
          <w:lang w:val="es-ES_tradnl" w:eastAsia="es-ES"/>
        </w:rPr>
      </w:pPr>
    </w:p>
    <w:p w14:paraId="630C4561" w14:textId="77777777" w:rsidR="00930B23" w:rsidRPr="00E42BEA" w:rsidRDefault="00930B23" w:rsidP="00930B23">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68CE7B6B" w14:textId="77777777" w:rsidR="00930B23" w:rsidRPr="00E42BEA" w:rsidRDefault="00930B23" w:rsidP="00930B23">
      <w:pPr>
        <w:suppressAutoHyphens/>
        <w:spacing w:line="276" w:lineRule="auto"/>
        <w:ind w:firstLine="0"/>
        <w:rPr>
          <w:rFonts w:eastAsia="Times New Roman" w:cs="Arial"/>
          <w:b/>
          <w:bCs/>
          <w:lang w:val="es-ES" w:eastAsia="es-ES"/>
        </w:rPr>
      </w:pPr>
    </w:p>
    <w:p w14:paraId="5461A843" w14:textId="77777777" w:rsidR="00930B23" w:rsidRPr="00E42BEA" w:rsidRDefault="00930B23" w:rsidP="00930B23">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4180FDDD" w14:textId="77777777" w:rsidR="00930B23" w:rsidRPr="00E42BEA" w:rsidRDefault="00930B23" w:rsidP="00930B23">
      <w:pPr>
        <w:suppressAutoHyphens/>
        <w:spacing w:line="276" w:lineRule="auto"/>
        <w:ind w:firstLine="0"/>
        <w:rPr>
          <w:rFonts w:eastAsia="Times New Roman" w:cs="Arial"/>
          <w:b/>
          <w:bCs/>
          <w:lang w:val="es-ES" w:eastAsia="es-ES"/>
        </w:rPr>
      </w:pPr>
    </w:p>
    <w:p w14:paraId="0C97D3DE" w14:textId="77777777" w:rsidR="00930B23" w:rsidRPr="00E42BEA" w:rsidRDefault="00930B23" w:rsidP="00930B23">
      <w:pPr>
        <w:suppressAutoHyphens/>
        <w:spacing w:line="276" w:lineRule="auto"/>
        <w:ind w:firstLine="0"/>
        <w:rPr>
          <w:rFonts w:eastAsia="Times New Roman" w:cs="Arial"/>
          <w:lang w:val="es-ES" w:eastAsia="es-ES"/>
        </w:rPr>
      </w:pPr>
      <w:r w:rsidRPr="00E42BEA">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E42BEA">
        <w:rPr>
          <w:rFonts w:eastAsia="Times New Roman" w:cs="Arial"/>
          <w:lang w:val="es-ES" w:eastAsia="es-ES"/>
        </w:rPr>
        <w:t>:</w:t>
      </w:r>
    </w:p>
    <w:p w14:paraId="37A79130" w14:textId="77777777" w:rsidR="00930B23" w:rsidRPr="00E42BEA" w:rsidRDefault="00930B23" w:rsidP="00930B23">
      <w:pPr>
        <w:suppressAutoHyphens/>
        <w:spacing w:line="276" w:lineRule="auto"/>
        <w:ind w:firstLine="0"/>
        <w:rPr>
          <w:rFonts w:eastAsia="Times New Roman" w:cs="Arial"/>
          <w:lang w:val="es-ES_tradnl" w:eastAsia="es-ES"/>
        </w:rPr>
      </w:pPr>
    </w:p>
    <w:p w14:paraId="3279B85A" w14:textId="77777777" w:rsidR="00930B23" w:rsidRPr="00E42BEA" w:rsidRDefault="00930B23" w:rsidP="00930B23">
      <w:pPr>
        <w:suppressAutoHyphens/>
        <w:spacing w:line="240" w:lineRule="auto"/>
        <w:ind w:left="426" w:right="420" w:firstLine="0"/>
        <w:rPr>
          <w:rFonts w:eastAsia="Times New Roman" w:cs="Arial"/>
          <w:sz w:val="22"/>
          <w:lang w:val="es-ES_tradnl" w:eastAsia="es-ES"/>
        </w:rPr>
      </w:pPr>
      <w:r w:rsidRPr="00E42BEA">
        <w:rPr>
          <w:rFonts w:eastAsia="Times New Roman" w:cs="Arial"/>
          <w:sz w:val="22"/>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02A22D57" w14:textId="77777777" w:rsidR="00930B23" w:rsidRPr="00E42BEA" w:rsidRDefault="00930B23" w:rsidP="00930B23">
      <w:pPr>
        <w:suppressAutoHyphens/>
        <w:spacing w:line="240" w:lineRule="auto"/>
        <w:ind w:left="426" w:right="420" w:firstLine="0"/>
        <w:rPr>
          <w:rFonts w:eastAsia="Times New Roman" w:cs="Arial"/>
          <w:sz w:val="22"/>
          <w:lang w:val="es-ES_tradnl" w:eastAsia="es-ES"/>
        </w:rPr>
      </w:pPr>
    </w:p>
    <w:p w14:paraId="22B21183" w14:textId="77777777" w:rsidR="00930B23" w:rsidRPr="00E42BEA" w:rsidRDefault="00930B23" w:rsidP="00930B23">
      <w:pPr>
        <w:suppressAutoHyphens/>
        <w:spacing w:line="240" w:lineRule="auto"/>
        <w:ind w:left="851" w:right="845" w:firstLine="0"/>
        <w:rPr>
          <w:rFonts w:eastAsia="Times New Roman" w:cs="Arial"/>
          <w:sz w:val="22"/>
          <w:lang w:val="es-ES_tradnl" w:eastAsia="es-ES"/>
        </w:rPr>
      </w:pPr>
      <w:r w:rsidRPr="00E42BEA">
        <w:rPr>
          <w:rFonts w:eastAsia="Times New Roman" w:cs="Arial"/>
          <w:i/>
          <w:sz w:val="22"/>
          <w:lang w:val="es-ES_tradnl" w:eastAsia="es-ES"/>
        </w:rPr>
        <w:t>“</w:t>
      </w:r>
      <w:r w:rsidRPr="00E42BEA">
        <w:rPr>
          <w:rFonts w:eastAsia="Times New Roman" w:cs="Arial"/>
          <w:b/>
          <w:i/>
          <w:sz w:val="22"/>
          <w:lang w:val="es-ES_tradnl" w:eastAsia="es-ES"/>
        </w:rPr>
        <w:t>Permanencia de la afiliación</w:t>
      </w:r>
      <w:r w:rsidRPr="00E42BEA">
        <w:rPr>
          <w:rFonts w:eastAsia="Times New Roman" w:cs="Arial"/>
          <w:i/>
          <w:sz w:val="22"/>
          <w:lang w:val="es-ES_tradnl" w:eastAsia="es-ES"/>
        </w:rPr>
        <w:t xml:space="preserve">. La afiliación al Sistema General de Pensiones es permanente </w:t>
      </w:r>
      <w:r w:rsidRPr="00E42BEA">
        <w:rPr>
          <w:rFonts w:eastAsia="Times New Roman" w:cs="Arial"/>
          <w:i/>
          <w:sz w:val="22"/>
          <w:u w:val="single"/>
          <w:lang w:val="es-ES_tradnl" w:eastAsia="es-ES"/>
        </w:rPr>
        <w:t>e independiente del régimen que seleccione el afiliado</w:t>
      </w:r>
      <w:r w:rsidRPr="00E42BEA">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24569D32"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 </w:t>
      </w:r>
    </w:p>
    <w:p w14:paraId="29D94009"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lastRenderedPageBreak/>
        <w:t xml:space="preserve">Y la tercera y más importante, </w:t>
      </w:r>
      <w:r w:rsidRPr="00E42BEA">
        <w:rPr>
          <w:rFonts w:eastAsia="Times New Roman" w:cs="Arial"/>
          <w:b/>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E42BEA">
        <w:rPr>
          <w:rFonts w:eastAsia="Times New Roman" w:cs="Arial"/>
          <w:b/>
          <w:lang w:val="es-ES_tradnl" w:eastAsia="es-ES"/>
        </w:rPr>
        <w:t>RAIS</w:t>
      </w:r>
      <w:proofErr w:type="spellEnd"/>
      <w:r w:rsidRPr="00E42BEA">
        <w:rPr>
          <w:rFonts w:eastAsia="Times New Roman" w:cs="Arial"/>
          <w:b/>
          <w:lang w:val="es-ES_tradnl" w:eastAsia="es-ES"/>
        </w:rPr>
        <w:t xml:space="preserve"> a pesar del perjuicio que ello le pudiere significar</w:t>
      </w:r>
      <w:r w:rsidRPr="00E42BEA">
        <w:rPr>
          <w:rFonts w:eastAsia="Times New Roman" w:cs="Arial"/>
          <w:lang w:val="es-ES_tradnl" w:eastAsia="es-ES"/>
        </w:rPr>
        <w:t>.</w:t>
      </w:r>
    </w:p>
    <w:p w14:paraId="0E7A6DF1" w14:textId="77777777" w:rsidR="00930B23" w:rsidRPr="00E42BEA" w:rsidRDefault="00930B23" w:rsidP="00930B23">
      <w:pPr>
        <w:suppressAutoHyphens/>
        <w:spacing w:line="276" w:lineRule="auto"/>
        <w:ind w:firstLine="0"/>
        <w:rPr>
          <w:rFonts w:eastAsia="Times New Roman" w:cs="Arial"/>
          <w:lang w:val="es-ES_tradnl" w:eastAsia="es-ES"/>
        </w:rPr>
      </w:pPr>
    </w:p>
    <w:p w14:paraId="09D873C5" w14:textId="77777777" w:rsidR="00930B23" w:rsidRPr="00E42BEA" w:rsidRDefault="00930B23" w:rsidP="00930B23">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CONSECUENCIAS DE LA APLICACIÓN DE LA TESIS DE LA INEFICACIA DE LOS TRASLADOS CON FUNDAMENTO EN LOS ARTÍCULOS 13 Y 271 DE LA LEY 100 DE 1993.</w:t>
      </w:r>
    </w:p>
    <w:p w14:paraId="4FDE0F67" w14:textId="77777777" w:rsidR="00930B23" w:rsidRPr="00E42BEA" w:rsidRDefault="00930B23" w:rsidP="00930B23">
      <w:pPr>
        <w:suppressAutoHyphens/>
        <w:spacing w:line="276" w:lineRule="auto"/>
        <w:ind w:firstLine="0"/>
        <w:rPr>
          <w:rFonts w:eastAsia="Times New Roman" w:cs="Arial"/>
          <w:lang w:val="es-ES_tradnl" w:eastAsia="es-ES"/>
        </w:rPr>
      </w:pPr>
    </w:p>
    <w:p w14:paraId="1501BD29" w14:textId="77777777" w:rsidR="00930B23" w:rsidRPr="00E42BEA" w:rsidRDefault="00930B23" w:rsidP="00930B23">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Las declaraciones de ineficacias de traslados envuelven los siguientes resultados:</w:t>
      </w:r>
    </w:p>
    <w:p w14:paraId="7EC28018" w14:textId="77777777" w:rsidR="00930B23" w:rsidRPr="00E42BEA" w:rsidRDefault="00930B23" w:rsidP="00930B23">
      <w:pPr>
        <w:suppressAutoHyphens/>
        <w:spacing w:line="276" w:lineRule="auto"/>
        <w:ind w:firstLine="0"/>
        <w:rPr>
          <w:rFonts w:eastAsia="Times New Roman" w:cs="Arial"/>
          <w:b/>
          <w:bCs/>
          <w:lang w:val="es-ES" w:eastAsia="es-ES"/>
        </w:rPr>
      </w:pPr>
    </w:p>
    <w:p w14:paraId="06B90D63" w14:textId="77777777" w:rsidR="00930B23" w:rsidRPr="00E42BEA" w:rsidRDefault="00930B23" w:rsidP="00930B23">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PRIMERO: Desdibuja nuestro sistema jurídico de responsabilidad </w:t>
      </w:r>
      <w:r w:rsidRPr="00E42BEA">
        <w:rPr>
          <w:rFonts w:eastAsia="Times New Roman" w:cs="Arial"/>
          <w:lang w:val="es-ES" w:eastAsia="es-ES"/>
        </w:rPr>
        <w:t>al imponer la carga de resarcir un daño, a quien no lo produjo, en este caso Colpensiones y de contera la Nación como su garante.</w:t>
      </w:r>
    </w:p>
    <w:p w14:paraId="04433B67" w14:textId="77777777" w:rsidR="00930B23" w:rsidRPr="00E42BEA" w:rsidRDefault="00930B23" w:rsidP="00930B23">
      <w:pPr>
        <w:suppressAutoHyphens/>
        <w:spacing w:line="276" w:lineRule="auto"/>
        <w:ind w:firstLine="0"/>
        <w:rPr>
          <w:rFonts w:eastAsia="Times New Roman" w:cs="Arial"/>
          <w:iCs/>
          <w:lang w:val="es-ES_tradnl" w:eastAsia="es-ES"/>
        </w:rPr>
      </w:pPr>
    </w:p>
    <w:p w14:paraId="224A86E2" w14:textId="77777777" w:rsidR="00930B23" w:rsidRPr="00E42BEA" w:rsidRDefault="00930B23" w:rsidP="00930B23">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E42BEA">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E42BEA">
        <w:rPr>
          <w:rFonts w:eastAsia="Times New Roman" w:cs="Arial"/>
          <w:iCs/>
          <w:lang w:val="es-ES_tradnl" w:eastAsia="es-ES"/>
        </w:rPr>
        <w:t>.</w:t>
      </w:r>
    </w:p>
    <w:p w14:paraId="202542E0" w14:textId="77777777" w:rsidR="00930B23" w:rsidRPr="00E42BEA" w:rsidRDefault="00930B23" w:rsidP="00930B23">
      <w:pPr>
        <w:suppressAutoHyphens/>
        <w:spacing w:line="276" w:lineRule="auto"/>
        <w:ind w:firstLine="0"/>
        <w:rPr>
          <w:rFonts w:eastAsia="Times New Roman" w:cs="Arial"/>
          <w:iCs/>
          <w:lang w:val="es-ES_tradnl" w:eastAsia="es-ES"/>
        </w:rPr>
      </w:pPr>
    </w:p>
    <w:p w14:paraId="50835CBF" w14:textId="77777777" w:rsidR="00930B23" w:rsidRPr="00E42BEA" w:rsidRDefault="00930B23" w:rsidP="00930B23">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Como fácilmente se observa, el resultado de declarar la ineficacia del traslado lleva a lo siguiente:  AFP PRIVADA por supuestos errores u omisiones en información CAUSA PERJUICIO al afiliado, entonces, a un tercero -COLPENSIONES- la rama judicial le impone </w:t>
      </w:r>
      <w:proofErr w:type="gramStart"/>
      <w:r w:rsidRPr="00E42BEA">
        <w:rPr>
          <w:rFonts w:eastAsia="Times New Roman" w:cs="Arial"/>
          <w:iCs/>
          <w:lang w:val="es-ES_tradnl" w:eastAsia="es-ES"/>
        </w:rPr>
        <w:t>que</w:t>
      </w:r>
      <w:proofErr w:type="gramEnd"/>
      <w:r w:rsidRPr="00E42BEA">
        <w:rPr>
          <w:rFonts w:eastAsia="Times New Roman" w:cs="Arial"/>
          <w:iCs/>
          <w:lang w:val="es-ES_tradnl" w:eastAsia="es-ES"/>
        </w:rPr>
        <w:t xml:space="preserve"> con los demás dineros del fondo público, cubra el daño generado por la AFP privada.</w:t>
      </w:r>
    </w:p>
    <w:p w14:paraId="5A89EF44" w14:textId="77777777" w:rsidR="00930B23" w:rsidRPr="00E42BEA" w:rsidRDefault="00930B23" w:rsidP="00930B23">
      <w:pPr>
        <w:suppressAutoHyphens/>
        <w:spacing w:line="276" w:lineRule="auto"/>
        <w:ind w:firstLine="0"/>
        <w:rPr>
          <w:rFonts w:eastAsia="Times New Roman" w:cs="Arial"/>
          <w:iCs/>
          <w:lang w:val="es-ES_tradnl" w:eastAsia="es-ES"/>
        </w:rPr>
      </w:pPr>
    </w:p>
    <w:p w14:paraId="78ACE269" w14:textId="77777777" w:rsidR="00930B23" w:rsidRPr="00E42BEA" w:rsidRDefault="00930B23" w:rsidP="00930B23">
      <w:pPr>
        <w:suppressAutoHyphens/>
        <w:spacing w:line="276" w:lineRule="auto"/>
        <w:ind w:firstLine="0"/>
        <w:rPr>
          <w:rFonts w:eastAsia="Times New Roman" w:cs="Arial"/>
          <w:b/>
          <w:iCs/>
          <w:lang w:val="es-ES_tradnl" w:eastAsia="es-ES"/>
        </w:rPr>
      </w:pPr>
      <w:r w:rsidRPr="00E42BEA">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1B76C6C4" w14:textId="77777777" w:rsidR="00930B23" w:rsidRPr="00E42BEA" w:rsidRDefault="00930B23" w:rsidP="00930B23">
      <w:pPr>
        <w:suppressAutoHyphens/>
        <w:spacing w:line="276" w:lineRule="auto"/>
        <w:ind w:firstLine="0"/>
        <w:rPr>
          <w:rFonts w:eastAsia="Times New Roman" w:cs="Arial"/>
          <w:iCs/>
          <w:lang w:val="es-ES_tradnl" w:eastAsia="es-ES"/>
        </w:rPr>
      </w:pPr>
    </w:p>
    <w:p w14:paraId="36B400FB" w14:textId="77777777" w:rsidR="00930B23" w:rsidRPr="00E42BEA" w:rsidRDefault="00930B23" w:rsidP="00930B23">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SEGUNDO: De manera consciente, sin justificación alguna, </w:t>
      </w:r>
      <w:proofErr w:type="spellStart"/>
      <w:r w:rsidRPr="00E42BEA">
        <w:rPr>
          <w:rFonts w:eastAsia="Times New Roman" w:cs="Arial"/>
          <w:b/>
          <w:bCs/>
          <w:lang w:val="es-ES" w:eastAsia="es-ES"/>
        </w:rPr>
        <w:t>inaplica</w:t>
      </w:r>
      <w:proofErr w:type="spellEnd"/>
      <w:r w:rsidRPr="00E42BEA">
        <w:rPr>
          <w:rFonts w:eastAsia="Times New Roman" w:cs="Arial"/>
          <w:b/>
          <w:bCs/>
          <w:lang w:val="es-ES" w:eastAsia="es-ES"/>
        </w:rPr>
        <w:t xml:space="preserve"> la solución jurídica que el sistema tiene prevista de manera específica para los actos de las AFP que por omisión o falsa información causen perjuicio a los afiliados.</w:t>
      </w:r>
    </w:p>
    <w:p w14:paraId="3296645E" w14:textId="77777777" w:rsidR="00930B23" w:rsidRPr="00E42BEA" w:rsidRDefault="00930B23" w:rsidP="00930B23">
      <w:pPr>
        <w:suppressAutoHyphens/>
        <w:spacing w:line="276" w:lineRule="auto"/>
        <w:ind w:firstLine="0"/>
        <w:rPr>
          <w:rFonts w:eastAsia="Times New Roman" w:cs="Arial"/>
          <w:iCs/>
          <w:lang w:val="es-ES_tradnl" w:eastAsia="es-ES"/>
        </w:rPr>
      </w:pPr>
    </w:p>
    <w:p w14:paraId="4E95330E" w14:textId="77777777" w:rsidR="00930B23" w:rsidRPr="00E42BEA" w:rsidRDefault="00930B23" w:rsidP="00930B23">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 </w:t>
      </w:r>
      <w:proofErr w:type="gramStart"/>
      <w:r w:rsidRPr="00E42BEA">
        <w:rPr>
          <w:rFonts w:eastAsia="Times New Roman" w:cs="Arial"/>
          <w:iCs/>
          <w:lang w:val="es-ES_tradnl" w:eastAsia="es-ES"/>
        </w:rPr>
        <w:t>continuación</w:t>
      </w:r>
      <w:proofErr w:type="gramEnd"/>
      <w:r w:rsidRPr="00E42BEA">
        <w:rPr>
          <w:rFonts w:eastAsia="Times New Roman" w:cs="Arial"/>
          <w:iCs/>
          <w:lang w:val="es-ES_tradnl" w:eastAsia="es-ES"/>
        </w:rPr>
        <w:t xml:space="preserve"> se analizan aspectos de estas dos afirmaciones.</w:t>
      </w:r>
    </w:p>
    <w:p w14:paraId="4CD46FCF" w14:textId="77777777" w:rsidR="00930B23" w:rsidRPr="00E42BEA" w:rsidRDefault="00930B23" w:rsidP="00930B23">
      <w:pPr>
        <w:suppressAutoHyphens/>
        <w:spacing w:line="276" w:lineRule="auto"/>
        <w:ind w:firstLine="0"/>
        <w:rPr>
          <w:rFonts w:eastAsia="Times New Roman" w:cs="Arial"/>
          <w:lang w:val="es-ES_tradnl" w:eastAsia="es-ES"/>
        </w:rPr>
      </w:pPr>
    </w:p>
    <w:p w14:paraId="0CD23C3B" w14:textId="77777777" w:rsidR="00930B23" w:rsidRPr="00E42BEA" w:rsidRDefault="00930B23" w:rsidP="00930B23">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iCs/>
          <w:lang w:val="es-ES_tradnl" w:eastAsia="es-ES"/>
        </w:rPr>
        <w:t xml:space="preserve">APOYO CONSTITUCIONAL EMANADO DE LA SENTENCIA C-1024 DE 2004 SOBRE LA </w:t>
      </w:r>
      <w:proofErr w:type="spellStart"/>
      <w:r w:rsidRPr="00E42BEA">
        <w:rPr>
          <w:rFonts w:eastAsia="Times New Roman" w:cs="Arial"/>
          <w:b/>
          <w:iCs/>
          <w:lang w:val="es-ES_tradnl" w:eastAsia="es-ES"/>
        </w:rPr>
        <w:t>RAZON</w:t>
      </w:r>
      <w:proofErr w:type="spellEnd"/>
      <w:r w:rsidRPr="00E42BEA">
        <w:rPr>
          <w:rFonts w:eastAsia="Times New Roman" w:cs="Arial"/>
          <w:b/>
          <w:iCs/>
          <w:lang w:val="es-ES_tradnl" w:eastAsia="es-ES"/>
        </w:rPr>
        <w:t xml:space="preserve"> DE SER DE LA LIMITACIÓN DE TRASLADO CUANDO FALTEN MENOS DE 10 AÑOS. </w:t>
      </w:r>
    </w:p>
    <w:p w14:paraId="785D69B7" w14:textId="77777777" w:rsidR="00930B23" w:rsidRPr="00E42BEA" w:rsidRDefault="00930B23" w:rsidP="00930B23">
      <w:pPr>
        <w:suppressAutoHyphens/>
        <w:spacing w:line="276" w:lineRule="auto"/>
        <w:ind w:firstLine="0"/>
        <w:rPr>
          <w:rFonts w:eastAsia="Times New Roman" w:cs="Arial"/>
          <w:b/>
          <w:iCs/>
          <w:lang w:val="es-ES_tradnl" w:eastAsia="es-ES"/>
        </w:rPr>
      </w:pPr>
    </w:p>
    <w:p w14:paraId="32AD79DB" w14:textId="77777777" w:rsidR="00930B23" w:rsidRPr="00E42BEA" w:rsidRDefault="00930B23" w:rsidP="00930B23">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4428A172" w14:textId="77777777" w:rsidR="00930B23" w:rsidRPr="00E42BEA" w:rsidRDefault="00930B23" w:rsidP="00930B23">
      <w:pPr>
        <w:suppressAutoHyphens/>
        <w:spacing w:line="276" w:lineRule="auto"/>
        <w:ind w:firstLine="0"/>
        <w:rPr>
          <w:rFonts w:eastAsia="Times New Roman" w:cs="Arial"/>
          <w:iCs/>
          <w:lang w:val="es-ES_tradnl" w:eastAsia="es-ES"/>
        </w:rPr>
      </w:pPr>
    </w:p>
    <w:p w14:paraId="65C678EA" w14:textId="77777777" w:rsidR="00930B23" w:rsidRPr="00E42BEA" w:rsidRDefault="00930B23" w:rsidP="00930B23">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Al analizar esa limitación la Corte Constitucional fue clara en explicar que </w:t>
      </w:r>
      <w:r w:rsidRPr="00E42BEA">
        <w:rPr>
          <w:rFonts w:eastAsia="Times New Roman" w:cs="Arial"/>
          <w:b/>
          <w:iCs/>
          <w:lang w:val="es-ES_tradnl" w:eastAsia="es-ES"/>
        </w:rPr>
        <w:t>para garantizar la sostenibilidad financiera del sistema de prima media</w:t>
      </w:r>
      <w:r w:rsidRPr="00E42BEA">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0A19956F" w14:textId="77777777" w:rsidR="00930B23" w:rsidRPr="00E42BEA" w:rsidRDefault="00930B23" w:rsidP="00930B23">
      <w:pPr>
        <w:suppressAutoHyphens/>
        <w:spacing w:line="276" w:lineRule="auto"/>
        <w:ind w:firstLine="0"/>
        <w:rPr>
          <w:rFonts w:eastAsia="Times New Roman" w:cs="Arial"/>
          <w:b/>
          <w:iCs/>
          <w:lang w:val="es-ES_tradnl" w:eastAsia="es-ES"/>
        </w:rPr>
      </w:pPr>
    </w:p>
    <w:p w14:paraId="1286706F" w14:textId="77777777" w:rsidR="00930B23" w:rsidRPr="00E42BEA" w:rsidRDefault="00930B23" w:rsidP="00930B23">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“Desde esta perspectiva, el </w:t>
      </w:r>
      <w:r w:rsidRPr="00E42BEA">
        <w:rPr>
          <w:rFonts w:eastAsia="Times New Roman" w:cs="Arial"/>
          <w:i/>
          <w:iCs/>
          <w:sz w:val="22"/>
          <w:lang w:eastAsia="es-ES"/>
        </w:rPr>
        <w:t>objetivo </w:t>
      </w:r>
      <w:r w:rsidRPr="00E42BEA">
        <w:rPr>
          <w:rFonts w:eastAsia="Times New Roman" w:cs="Arial"/>
          <w:iCs/>
          <w:sz w:val="22"/>
          <w:lang w:eastAsia="es-ES"/>
        </w:rPr>
        <w:t xml:space="preserve">perseguido con el señalamiento del  período de carencia en la norma acusada, </w:t>
      </w:r>
      <w:r w:rsidRPr="00E42BEA">
        <w:rPr>
          <w:rFonts w:eastAsia="Times New Roman" w:cs="Arial"/>
          <w:b/>
          <w:iCs/>
          <w:sz w:val="22"/>
          <w:lang w:eastAsia="es-ES"/>
        </w:rPr>
        <w:t>consiste en evitar la </w:t>
      </w:r>
      <w:r w:rsidRPr="00E42BEA">
        <w:rPr>
          <w:rFonts w:eastAsia="Times New Roman" w:cs="Arial"/>
          <w:b/>
          <w:i/>
          <w:iCs/>
          <w:sz w:val="22"/>
          <w:lang w:eastAsia="es-ES"/>
        </w:rPr>
        <w:t>descapitalización</w:t>
      </w:r>
      <w:r w:rsidRPr="00E42BEA">
        <w:rPr>
          <w:rFonts w:eastAsia="Times New Roman" w:cs="Arial"/>
          <w:b/>
          <w:iCs/>
          <w:sz w:val="22"/>
          <w:lang w:eastAsia="es-ES"/>
        </w:rPr>
        <w:t> del fondo común del Régimen Solidario de Prima Media con Prestación Definida</w:t>
      </w:r>
      <w:r w:rsidRPr="00E42BEA">
        <w:rPr>
          <w:rFonts w:eastAsia="Times New Roman" w:cs="Arial"/>
          <w:iCs/>
          <w:sz w:val="22"/>
          <w:lang w:eastAsia="es-ES"/>
        </w:rPr>
        <w:t>, que se produciría si se permitiera que las personas que no han contribuido al </w:t>
      </w:r>
      <w:r w:rsidRPr="00E42BEA">
        <w:rPr>
          <w:rFonts w:eastAsia="Times New Roman" w:cs="Arial"/>
          <w:i/>
          <w:iCs/>
          <w:sz w:val="22"/>
          <w:lang w:eastAsia="es-ES"/>
        </w:rPr>
        <w:t>fondo común</w:t>
      </w:r>
      <w:r w:rsidRPr="00E42BEA">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42BEA">
        <w:rPr>
          <w:rFonts w:eastAsia="Times New Roman" w:cs="Arial"/>
          <w:b/>
          <w:iCs/>
          <w:sz w:val="22"/>
          <w:lang w:eastAsia="es-ES"/>
        </w:rPr>
        <w:t>a poner en riesgo la garantía del derecho irrenunciable a la pensión del resto de cotizantes</w:t>
      </w:r>
      <w:r w:rsidRPr="00E42BEA">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42BEA">
        <w:rPr>
          <w:rFonts w:eastAsia="Times New Roman" w:cs="Arial"/>
          <w:b/>
          <w:iCs/>
          <w:sz w:val="22"/>
          <w:lang w:eastAsia="es-ES"/>
        </w:rPr>
        <w:t>podría llegar a poner en riesgo la garantía del derecho pensional para los actuales y futuros pensionados</w:t>
      </w:r>
      <w:r w:rsidRPr="00E42BEA">
        <w:rPr>
          <w:rFonts w:eastAsia="Times New Roman" w:cs="Arial"/>
          <w:iCs/>
          <w:sz w:val="22"/>
          <w:lang w:eastAsia="es-ES"/>
        </w:rPr>
        <w:t>.</w:t>
      </w:r>
    </w:p>
    <w:p w14:paraId="4A941323" w14:textId="77777777" w:rsidR="00930B23" w:rsidRPr="00E42BEA" w:rsidRDefault="00930B23" w:rsidP="00930B23">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2DAF0420" w14:textId="77777777" w:rsidR="00930B23" w:rsidRPr="00E42BEA" w:rsidRDefault="00930B23" w:rsidP="00930B23">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2E3E145F" w14:textId="77777777" w:rsidR="00930B23" w:rsidRPr="00E42BEA" w:rsidRDefault="00930B23" w:rsidP="00930B23">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1EA044B3" w14:textId="77777777" w:rsidR="00930B23" w:rsidRPr="00E42BEA" w:rsidRDefault="00930B23" w:rsidP="00930B23">
      <w:pPr>
        <w:suppressAutoHyphens/>
        <w:spacing w:line="240" w:lineRule="auto"/>
        <w:ind w:left="426" w:right="420" w:firstLine="0"/>
        <w:rPr>
          <w:rFonts w:eastAsia="Times New Roman" w:cs="Arial"/>
          <w:b/>
          <w:iCs/>
          <w:sz w:val="22"/>
          <w:lang w:eastAsia="es-ES"/>
        </w:rPr>
      </w:pPr>
      <w:r w:rsidRPr="00E42BEA">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42BEA">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42BEA">
        <w:rPr>
          <w:rFonts w:eastAsia="Times New Roman" w:cs="Arial"/>
          <w:iCs/>
          <w:sz w:val="22"/>
          <w:lang w:eastAsia="es-ES"/>
        </w:rPr>
        <w:t>, cuyo propósito consiste en: </w:t>
      </w:r>
      <w:r w:rsidRPr="00E42BEA">
        <w:rPr>
          <w:rFonts w:eastAsia="Times New Roman" w:cs="Arial"/>
          <w:i/>
          <w:iCs/>
          <w:sz w:val="22"/>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42BEA">
        <w:rPr>
          <w:rFonts w:eastAsia="Times New Roman" w:cs="Arial"/>
          <w:iCs/>
          <w:sz w:val="22"/>
          <w:lang w:eastAsia="es-ES"/>
        </w:rPr>
        <w:t>.”</w:t>
      </w:r>
      <w:r w:rsidRPr="00E42BEA">
        <w:rPr>
          <w:rFonts w:eastAsia="Times New Roman" w:cs="Arial"/>
          <w:b/>
          <w:iCs/>
          <w:sz w:val="22"/>
          <w:lang w:eastAsia="es-ES"/>
        </w:rPr>
        <w:t> </w:t>
      </w:r>
    </w:p>
    <w:p w14:paraId="057845BF" w14:textId="77777777" w:rsidR="00930B23" w:rsidRPr="00E42BEA" w:rsidRDefault="00930B23" w:rsidP="00930B23">
      <w:pPr>
        <w:suppressAutoHyphens/>
        <w:spacing w:line="276" w:lineRule="auto"/>
        <w:ind w:firstLine="0"/>
        <w:rPr>
          <w:rFonts w:eastAsia="Times New Roman" w:cs="Arial"/>
          <w:b/>
          <w:iCs/>
          <w:lang w:val="es-ES_tradnl" w:eastAsia="es-ES"/>
        </w:rPr>
      </w:pPr>
    </w:p>
    <w:p w14:paraId="72186522" w14:textId="77777777" w:rsidR="00930B23" w:rsidRPr="00E42BEA" w:rsidRDefault="00930B23" w:rsidP="00930B23">
      <w:pPr>
        <w:suppressAutoHyphens/>
        <w:spacing w:line="276" w:lineRule="auto"/>
        <w:ind w:firstLine="0"/>
        <w:rPr>
          <w:rFonts w:eastAsia="Times New Roman" w:cs="Arial"/>
          <w:b/>
          <w:iCs/>
          <w:lang w:eastAsia="es-ES"/>
        </w:rPr>
      </w:pPr>
      <w:r w:rsidRPr="00E42BEA">
        <w:rPr>
          <w:rFonts w:eastAsia="Times New Roman" w:cs="Arial"/>
          <w:iCs/>
          <w:lang w:val="es-ES_tradnl" w:eastAsia="es-ES"/>
        </w:rPr>
        <w:t xml:space="preserve">Permitir entonces, la declaración de ineficacia de traslados de personas que han estado largos años en el </w:t>
      </w:r>
      <w:proofErr w:type="spellStart"/>
      <w:r w:rsidRPr="00E42BEA">
        <w:rPr>
          <w:rFonts w:eastAsia="Times New Roman" w:cs="Arial"/>
          <w:iCs/>
          <w:lang w:val="es-ES_tradnl" w:eastAsia="es-ES"/>
        </w:rPr>
        <w:t>RAIS</w:t>
      </w:r>
      <w:proofErr w:type="spellEnd"/>
      <w:r w:rsidRPr="00E42BEA">
        <w:rPr>
          <w:rFonts w:eastAsia="Times New Roman" w:cs="Arial"/>
          <w:iCs/>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E42BEA">
        <w:rPr>
          <w:rFonts w:eastAsia="Times New Roman" w:cs="Arial"/>
          <w:iCs/>
          <w:lang w:val="es-ES_tradnl" w:eastAsia="es-ES"/>
        </w:rPr>
        <w:lastRenderedPageBreak/>
        <w:t xml:space="preserve">algunas personas obtengan beneficios que no les corresponden y que se derivan de esfuerzos en los que no participaron, y cuyo otorgamiento -dada esa circunstancia- </w:t>
      </w:r>
      <w:r w:rsidRPr="00E42BEA">
        <w:rPr>
          <w:rFonts w:eastAsia="Times New Roman" w:cs="Arial"/>
          <w:b/>
          <w:iCs/>
          <w:lang w:eastAsia="es-ES"/>
        </w:rPr>
        <w:t>puede llegar a poner en riesgo la garantía del derecho pensional para los actuales y futuros pensionados que si lo hicieron.</w:t>
      </w:r>
    </w:p>
    <w:p w14:paraId="2CECC4C3" w14:textId="77777777" w:rsidR="00930B23" w:rsidRPr="00E42BEA" w:rsidRDefault="00930B23" w:rsidP="00930B23">
      <w:pPr>
        <w:suppressAutoHyphens/>
        <w:spacing w:line="276" w:lineRule="auto"/>
        <w:ind w:firstLine="0"/>
        <w:rPr>
          <w:rFonts w:eastAsia="Times New Roman" w:cs="Arial"/>
          <w:b/>
          <w:iCs/>
          <w:lang w:eastAsia="es-ES"/>
        </w:rPr>
      </w:pPr>
    </w:p>
    <w:p w14:paraId="1245269D" w14:textId="77777777" w:rsidR="00930B23" w:rsidRPr="00E42BEA" w:rsidRDefault="00930B23" w:rsidP="00930B23">
      <w:pPr>
        <w:suppressAutoHyphens/>
        <w:spacing w:line="276" w:lineRule="auto"/>
        <w:ind w:firstLine="0"/>
        <w:rPr>
          <w:rFonts w:eastAsia="Times New Roman" w:cs="Arial"/>
          <w:iCs/>
          <w:lang w:val="es-ES_tradnl" w:eastAsia="es-ES"/>
        </w:rPr>
      </w:pPr>
      <w:r w:rsidRPr="00E42BEA">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E42BEA">
        <w:rPr>
          <w:rFonts w:eastAsia="Times New Roman" w:cs="Arial"/>
          <w:iCs/>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E42BEA">
        <w:rPr>
          <w:rFonts w:eastAsia="Times New Roman" w:cs="Arial"/>
          <w:iCs/>
          <w:lang w:eastAsia="es-ES"/>
        </w:rPr>
        <w:t>RAIS</w:t>
      </w:r>
      <w:proofErr w:type="spellEnd"/>
      <w:r w:rsidRPr="00E42BEA">
        <w:rPr>
          <w:rFonts w:eastAsia="Times New Roman" w:cs="Arial"/>
          <w:iCs/>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E42BEA">
        <w:rPr>
          <w:rFonts w:eastAsia="Times New Roman" w:cs="Arial"/>
          <w:iCs/>
          <w:lang w:eastAsia="es-ES"/>
        </w:rPr>
        <w:t>RAIS</w:t>
      </w:r>
      <w:proofErr w:type="spellEnd"/>
      <w:r w:rsidRPr="00E42BEA">
        <w:rPr>
          <w:rFonts w:eastAsia="Times New Roman" w:cs="Arial"/>
          <w:iCs/>
          <w:lang w:eastAsia="es-ES"/>
        </w:rPr>
        <w:t xml:space="preserve"> por cuanto no puede olvidarse que</w:t>
      </w:r>
      <w:r w:rsidRPr="00E42BEA">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E42BEA">
        <w:rPr>
          <w:rFonts w:eastAsia="Times New Roman" w:cs="Arial"/>
          <w:iCs/>
          <w:lang w:val="es-ES_tradnl" w:eastAsia="es-ES"/>
        </w:rPr>
        <w:t>IBL</w:t>
      </w:r>
      <w:proofErr w:type="spellEnd"/>
      <w:r w:rsidRPr="00E42BEA">
        <w:rPr>
          <w:rFonts w:eastAsia="Times New Roman" w:cs="Arial"/>
          <w:iCs/>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E42BEA">
        <w:rPr>
          <w:rFonts w:eastAsia="Times New Roman" w:cs="Arial"/>
          <w:iCs/>
          <w:lang w:val="es-ES_tradnl" w:eastAsia="es-ES"/>
        </w:rPr>
        <w:t>sucesoral</w:t>
      </w:r>
      <w:proofErr w:type="spellEnd"/>
      <w:r w:rsidRPr="00E42BEA">
        <w:rPr>
          <w:rFonts w:eastAsia="Times New Roman" w:cs="Arial"/>
          <w:iCs/>
          <w:lang w:val="es-ES_tradnl" w:eastAsia="es-ES"/>
        </w:rPr>
        <w:t>, etc..</w:t>
      </w:r>
    </w:p>
    <w:p w14:paraId="01E70A3D" w14:textId="77777777" w:rsidR="00930B23" w:rsidRPr="00E42BEA" w:rsidRDefault="00930B23" w:rsidP="00930B23">
      <w:pPr>
        <w:suppressAutoHyphens/>
        <w:spacing w:line="276" w:lineRule="auto"/>
        <w:ind w:firstLine="0"/>
        <w:rPr>
          <w:rFonts w:eastAsia="Times New Roman" w:cs="Arial"/>
          <w:lang w:val="es-ES_tradnl" w:eastAsia="es-ES"/>
        </w:rPr>
      </w:pPr>
    </w:p>
    <w:p w14:paraId="1780784A" w14:textId="77777777" w:rsidR="00930B23" w:rsidRPr="00E42BEA" w:rsidRDefault="00930B23" w:rsidP="00930B23">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EN NUESTRO SISTEMA JURÍDICO ¿QUIEN ES LA PERSONA LLAMADA A RESPONDER POR LOS DAÑOS ANTIJURÍDICOS QUE CAUSE CON SU PROCEDER?</w:t>
      </w:r>
    </w:p>
    <w:p w14:paraId="36937638" w14:textId="77777777" w:rsidR="00930B23" w:rsidRPr="00E42BEA" w:rsidRDefault="00930B23" w:rsidP="00930B23">
      <w:pPr>
        <w:suppressAutoHyphens/>
        <w:spacing w:line="276" w:lineRule="auto"/>
        <w:ind w:firstLine="0"/>
        <w:rPr>
          <w:rFonts w:eastAsia="Times New Roman" w:cs="Arial"/>
          <w:lang w:val="es-ES_tradnl" w:eastAsia="es-ES"/>
        </w:rPr>
      </w:pPr>
    </w:p>
    <w:p w14:paraId="522B09D3"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5824C86E" w14:textId="77777777" w:rsidR="00930B23" w:rsidRPr="00E42BEA" w:rsidRDefault="00930B23" w:rsidP="00930B23">
      <w:pPr>
        <w:suppressAutoHyphens/>
        <w:spacing w:line="276" w:lineRule="auto"/>
        <w:ind w:firstLine="0"/>
        <w:rPr>
          <w:rFonts w:eastAsia="Times New Roman" w:cs="Arial"/>
          <w:lang w:val="es-ES_tradnl" w:eastAsia="es-ES"/>
        </w:rPr>
      </w:pPr>
    </w:p>
    <w:p w14:paraId="162A0991" w14:textId="77777777" w:rsidR="00930B23" w:rsidRPr="00E42BEA" w:rsidRDefault="00930B23" w:rsidP="00930B23">
      <w:pPr>
        <w:suppressAutoHyphens/>
        <w:spacing w:line="276" w:lineRule="auto"/>
        <w:ind w:firstLine="0"/>
        <w:rPr>
          <w:rFonts w:eastAsia="Times New Roman" w:cs="Arial"/>
          <w:i/>
          <w:lang w:val="es-ES_tradnl" w:eastAsia="es-ES"/>
        </w:rPr>
      </w:pPr>
      <w:r w:rsidRPr="00E42BEA">
        <w:rPr>
          <w:rFonts w:eastAsia="Times New Roman" w:cs="Arial"/>
          <w:lang w:val="es-ES_tradnl" w:eastAsia="es-ES"/>
        </w:rPr>
        <w:t xml:space="preserve">Esas consecuencias patrimoniales a cargo de Colpensiones dejan en evidencia que la solución jurídica de declaración de ineficacia en estos eventos transgrede, no solo </w:t>
      </w:r>
      <w:r w:rsidRPr="00E42BEA">
        <w:rPr>
          <w:rFonts w:eastAsia="Times New Roman" w:cs="Arial"/>
          <w:lang w:val="es-ES_tradnl" w:eastAsia="es-ES"/>
        </w:rPr>
        <w:lastRenderedPageBreak/>
        <w:t>los artículos 2341 y 2343 del Código Civil que determinan que quien debe indemnizar el daño es quien lo cause, sino también el artículo 90 de la Constitución Nacional que dispone que “</w:t>
      </w:r>
      <w:r w:rsidRPr="00E42BEA">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E42BEA">
        <w:rPr>
          <w:rFonts w:eastAsia="Times New Roman" w:cs="Arial"/>
          <w:i/>
          <w:lang w:val="es-ES_tradnl" w:eastAsia="es-ES"/>
        </w:rPr>
        <w:t>”.</w:t>
      </w:r>
    </w:p>
    <w:p w14:paraId="65BDBED7" w14:textId="77777777" w:rsidR="00930B23" w:rsidRPr="00E42BEA" w:rsidRDefault="00930B23" w:rsidP="00930B23">
      <w:pPr>
        <w:suppressAutoHyphens/>
        <w:spacing w:line="276" w:lineRule="auto"/>
        <w:ind w:firstLine="0"/>
        <w:rPr>
          <w:rFonts w:eastAsia="Times New Roman" w:cs="Arial"/>
          <w:lang w:val="es-ES_tradnl" w:eastAsia="es-ES"/>
        </w:rPr>
      </w:pPr>
    </w:p>
    <w:p w14:paraId="3B4F1CAA" w14:textId="77777777" w:rsidR="00930B23" w:rsidRPr="00E42BEA" w:rsidRDefault="00930B23" w:rsidP="00930B23">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650B8870" w14:textId="77777777" w:rsidR="00930B23" w:rsidRPr="00E42BEA" w:rsidRDefault="00930B23" w:rsidP="00930B23">
      <w:pPr>
        <w:suppressAutoHyphens/>
        <w:spacing w:line="276" w:lineRule="auto"/>
        <w:ind w:firstLine="0"/>
        <w:rPr>
          <w:rFonts w:eastAsia="Times New Roman" w:cs="Arial"/>
          <w:lang w:val="es-ES_tradnl" w:eastAsia="es-ES"/>
        </w:rPr>
      </w:pPr>
    </w:p>
    <w:p w14:paraId="067E12FF" w14:textId="77777777" w:rsidR="00930B23" w:rsidRPr="00E42BEA" w:rsidRDefault="00930B23" w:rsidP="00930B23">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E42BEA">
        <w:rPr>
          <w:rFonts w:eastAsia="Times New Roman" w:cs="Arial"/>
          <w:lang w:val="es-ES" w:eastAsia="es-ES"/>
        </w:rPr>
        <w:t xml:space="preserve"> </w:t>
      </w:r>
    </w:p>
    <w:p w14:paraId="2DAB801A" w14:textId="77777777" w:rsidR="00930B23" w:rsidRPr="00E42BEA" w:rsidRDefault="00930B23" w:rsidP="00930B23">
      <w:pPr>
        <w:suppressAutoHyphens/>
        <w:spacing w:line="276" w:lineRule="auto"/>
        <w:ind w:firstLine="0"/>
        <w:rPr>
          <w:rFonts w:eastAsia="Times New Roman" w:cs="Arial"/>
          <w:lang w:val="es-ES_tradnl" w:eastAsia="es-ES"/>
        </w:rPr>
      </w:pPr>
    </w:p>
    <w:p w14:paraId="275E3984"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E42BEA">
        <w:rPr>
          <w:rFonts w:eastAsia="Times New Roman" w:cs="Arial"/>
          <w:lang w:val="es-ES_tradnl" w:eastAsia="es-ES"/>
        </w:rPr>
        <w:t>pero</w:t>
      </w:r>
      <w:proofErr w:type="gramEnd"/>
      <w:r w:rsidRPr="00E42BEA">
        <w:rPr>
          <w:rFonts w:eastAsia="Times New Roman" w:cs="Arial"/>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64D14F26" w14:textId="77777777" w:rsidR="00930B23" w:rsidRPr="00E42BEA" w:rsidRDefault="00930B23" w:rsidP="00930B23">
      <w:pPr>
        <w:suppressAutoHyphens/>
        <w:spacing w:line="276" w:lineRule="auto"/>
        <w:ind w:firstLine="0"/>
        <w:rPr>
          <w:rFonts w:eastAsia="Times New Roman" w:cs="Arial"/>
          <w:lang w:val="es-ES_tradnl" w:eastAsia="es-ES"/>
        </w:rPr>
      </w:pPr>
    </w:p>
    <w:p w14:paraId="4CD6489C" w14:textId="77777777" w:rsidR="00930B23" w:rsidRPr="00E42BEA" w:rsidRDefault="00930B23" w:rsidP="00930B23">
      <w:pPr>
        <w:suppressAutoHyphens/>
        <w:spacing w:line="240" w:lineRule="auto"/>
        <w:ind w:left="426" w:right="420" w:firstLine="0"/>
        <w:rPr>
          <w:rFonts w:eastAsia="Times New Roman" w:cs="Arial"/>
          <w:sz w:val="22"/>
          <w:lang w:val="es-ES_tradnl" w:eastAsia="es-ES"/>
        </w:rPr>
      </w:pPr>
      <w:r w:rsidRPr="00E42BEA">
        <w:rPr>
          <w:rFonts w:eastAsia="Times New Roman" w:cs="Arial"/>
          <w:b/>
          <w:sz w:val="22"/>
          <w:lang w:eastAsia="es-ES"/>
        </w:rPr>
        <w:t>“Artículo 10</w:t>
      </w:r>
      <w:r w:rsidRPr="00E42BEA">
        <w:rPr>
          <w:rFonts w:eastAsia="Times New Roman" w:cs="Arial"/>
          <w:b/>
          <w:bCs/>
          <w:sz w:val="22"/>
          <w:lang w:eastAsia="es-ES"/>
        </w:rPr>
        <w:t>.</w:t>
      </w:r>
      <w:r w:rsidRPr="00E42BEA">
        <w:rPr>
          <w:rFonts w:eastAsia="Times New Roman" w:cs="Arial"/>
          <w:b/>
          <w:sz w:val="22"/>
          <w:lang w:eastAsia="es-ES"/>
        </w:rPr>
        <w:t xml:space="preserve"> RESPONSABILIDAD DE LOS PROMOTORES. </w:t>
      </w:r>
      <w:r w:rsidRPr="00E42BEA">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42BEA">
        <w:rPr>
          <w:rFonts w:eastAsia="Times New Roman" w:cs="Arial"/>
          <w:b/>
          <w:sz w:val="22"/>
          <w:lang w:eastAsia="es-ES"/>
        </w:rPr>
        <w:t xml:space="preserve"> sin perjuicio de la responsabilidad de los promotores frente a la correspondiente sociedad administradora del sistema general de pensiones.”</w:t>
      </w:r>
      <w:r w:rsidRPr="00E42BEA">
        <w:rPr>
          <w:rFonts w:eastAsia="Times New Roman" w:cs="Arial"/>
          <w:sz w:val="22"/>
          <w:lang w:eastAsia="es-ES"/>
        </w:rPr>
        <w:t xml:space="preserve"> (Negrillas y subrayas fuera del texto)</w:t>
      </w:r>
    </w:p>
    <w:p w14:paraId="53AC6069" w14:textId="77777777" w:rsidR="00930B23" w:rsidRPr="00E42BEA" w:rsidRDefault="00930B23" w:rsidP="00930B23">
      <w:pPr>
        <w:suppressAutoHyphens/>
        <w:spacing w:line="276" w:lineRule="auto"/>
        <w:ind w:firstLine="0"/>
        <w:rPr>
          <w:rFonts w:eastAsia="Times New Roman" w:cs="Arial"/>
          <w:lang w:val="es-ES_tradnl" w:eastAsia="es-ES"/>
        </w:rPr>
      </w:pPr>
    </w:p>
    <w:p w14:paraId="16FB90E3"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4BF207CA" w14:textId="77777777" w:rsidR="00930B23" w:rsidRPr="00E42BEA" w:rsidRDefault="00930B23" w:rsidP="00930B23">
      <w:pPr>
        <w:suppressAutoHyphens/>
        <w:spacing w:line="276" w:lineRule="auto"/>
        <w:ind w:firstLine="0"/>
        <w:rPr>
          <w:rFonts w:eastAsia="Times New Roman" w:cs="Arial"/>
          <w:lang w:val="es-ES_tradnl" w:eastAsia="es-ES"/>
        </w:rPr>
      </w:pPr>
    </w:p>
    <w:p w14:paraId="1F21BA7C"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E42BEA">
        <w:rPr>
          <w:rFonts w:eastAsia="Times New Roman" w:cs="Arial"/>
          <w:lang w:val="es-ES_tradnl" w:eastAsia="es-ES"/>
        </w:rPr>
        <w:lastRenderedPageBreak/>
        <w:t xml:space="preserve">este, prácticamente sirve solo para pagar el retroactivo pensional que la concesión de la pensión genera. </w:t>
      </w:r>
    </w:p>
    <w:p w14:paraId="6BFBE250" w14:textId="77777777" w:rsidR="00930B23" w:rsidRPr="00E42BEA" w:rsidRDefault="00930B23" w:rsidP="00930B23">
      <w:pPr>
        <w:suppressAutoHyphens/>
        <w:spacing w:line="276" w:lineRule="auto"/>
        <w:ind w:firstLine="0"/>
        <w:rPr>
          <w:rFonts w:eastAsia="Times New Roman" w:cs="Arial"/>
          <w:lang w:val="es-ES_tradnl" w:eastAsia="es-ES"/>
        </w:rPr>
      </w:pPr>
    </w:p>
    <w:p w14:paraId="39260AE7" w14:textId="77777777" w:rsidR="00930B23"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037D12DE" w14:textId="77777777" w:rsidR="00930B23" w:rsidRDefault="00930B23" w:rsidP="00930B23">
      <w:pPr>
        <w:suppressAutoHyphens/>
        <w:spacing w:line="276" w:lineRule="auto"/>
        <w:ind w:firstLine="0"/>
        <w:rPr>
          <w:rFonts w:eastAsia="Times New Roman" w:cs="Arial"/>
          <w:lang w:val="es-ES_tradnl" w:eastAsia="es-ES"/>
        </w:rPr>
      </w:pPr>
    </w:p>
    <w:p w14:paraId="7049850B" w14:textId="77777777" w:rsidR="00930B23" w:rsidRPr="00C7392F" w:rsidRDefault="00930B23" w:rsidP="00930B23">
      <w:pPr>
        <w:suppressAutoHyphens/>
        <w:spacing w:line="276" w:lineRule="auto"/>
        <w:ind w:firstLine="0"/>
        <w:rPr>
          <w:rFonts w:eastAsia="Times New Roman" w:cs="Arial"/>
          <w:lang w:val="es-ES_tradnl" w:eastAsia="es-ES"/>
        </w:rPr>
      </w:pPr>
      <w:r w:rsidRPr="00C7392F">
        <w:rPr>
          <w:rFonts w:eastAsia="Times New Roman" w:cs="Arial"/>
          <w:lang w:val="es-ES_tradnl" w:eastAsia="es-ES"/>
        </w:rPr>
        <w:t xml:space="preserve">Adicionalmente a todo lo expuesto, a raíz de las sentencias de tutela: </w:t>
      </w:r>
      <w:proofErr w:type="spellStart"/>
      <w:r w:rsidRPr="00C7392F">
        <w:rPr>
          <w:rFonts w:eastAsia="Times New Roman" w:cs="Arial"/>
          <w:lang w:val="es-ES_tradnl" w:eastAsia="es-ES"/>
        </w:rPr>
        <w:t>STL9790</w:t>
      </w:r>
      <w:proofErr w:type="spellEnd"/>
      <w:r w:rsidRPr="00C7392F">
        <w:rPr>
          <w:rFonts w:eastAsia="Times New Roman" w:cs="Arial"/>
          <w:lang w:val="es-ES_tradnl" w:eastAsia="es-ES"/>
        </w:rPr>
        <w:t xml:space="preserve">-2023 -en la que la Corte, ahora definiendo el efecto de una </w:t>
      </w:r>
      <w:proofErr w:type="spellStart"/>
      <w:r w:rsidRPr="00C7392F">
        <w:rPr>
          <w:rFonts w:eastAsia="Times New Roman" w:cs="Arial"/>
          <w:lang w:val="es-ES_tradnl" w:eastAsia="es-ES"/>
        </w:rPr>
        <w:t>reasesoría</w:t>
      </w:r>
      <w:proofErr w:type="spellEnd"/>
      <w:r w:rsidRPr="00C7392F">
        <w:rPr>
          <w:rFonts w:eastAsia="Times New Roman" w:cs="Arial"/>
          <w:lang w:val="es-ES_tradnl" w:eastAsia="es-ES"/>
        </w:rPr>
        <w:t xml:space="preserve"> en que la AFP indicó al demandante que no le convenía permanecer en el </w:t>
      </w:r>
      <w:proofErr w:type="spellStart"/>
      <w:r w:rsidRPr="00C7392F">
        <w:rPr>
          <w:rFonts w:eastAsia="Times New Roman" w:cs="Arial"/>
          <w:lang w:val="es-ES_tradnl" w:eastAsia="es-ES"/>
        </w:rPr>
        <w:t>RAIS</w:t>
      </w:r>
      <w:proofErr w:type="spellEnd"/>
      <w:r w:rsidRPr="00C7392F">
        <w:rPr>
          <w:rFonts w:eastAsia="Times New Roman" w:cs="Arial"/>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C7392F">
        <w:rPr>
          <w:rFonts w:eastAsia="Times New Roman" w:cs="Arial"/>
          <w:lang w:val="es-ES_tradnl" w:eastAsia="es-ES"/>
        </w:rPr>
        <w:t>STL7302</w:t>
      </w:r>
      <w:proofErr w:type="spellEnd"/>
      <w:r w:rsidRPr="00C7392F">
        <w:rPr>
          <w:rFonts w:eastAsia="Times New Roman" w:cs="Arial"/>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C7392F">
        <w:rPr>
          <w:rFonts w:eastAsia="Times New Roman" w:cs="Arial"/>
          <w:lang w:val="es-ES_tradnl" w:eastAsia="es-ES"/>
        </w:rPr>
        <w:t>RAIS</w:t>
      </w:r>
      <w:proofErr w:type="spellEnd"/>
      <w:r w:rsidRPr="00C7392F">
        <w:rPr>
          <w:rFonts w:eastAsia="Times New Roman" w:cs="Arial"/>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C7392F">
        <w:rPr>
          <w:rFonts w:eastAsia="Times New Roman" w:cs="Arial"/>
          <w:lang w:val="es-ES_tradnl" w:eastAsia="es-ES"/>
        </w:rPr>
        <w:t>STL</w:t>
      </w:r>
      <w:proofErr w:type="spellEnd"/>
      <w:r w:rsidRPr="00C7392F">
        <w:rPr>
          <w:rFonts w:eastAsia="Times New Roman" w:cs="Arial"/>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4F81F241" w14:textId="77777777" w:rsidR="00930B23" w:rsidRPr="00E42BEA" w:rsidRDefault="00930B23" w:rsidP="00930B23">
      <w:pPr>
        <w:suppressAutoHyphens/>
        <w:spacing w:line="276" w:lineRule="auto"/>
        <w:ind w:firstLine="0"/>
        <w:rPr>
          <w:rFonts w:eastAsia="Times New Roman" w:cs="Arial"/>
          <w:lang w:val="es-ES_tradnl" w:eastAsia="es-ES"/>
        </w:rPr>
      </w:pPr>
    </w:p>
    <w:p w14:paraId="473779CF"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anterior es mi sentir jurídico en estos casos, pero itero, me corresponde acatar el exhorto hecho por la Sala de Casación y por eso suscribo esta sentencia.</w:t>
      </w:r>
    </w:p>
    <w:p w14:paraId="3648DE01" w14:textId="77777777" w:rsidR="00930B23" w:rsidRPr="00E42BEA" w:rsidRDefault="00930B23" w:rsidP="00930B23">
      <w:pPr>
        <w:suppressAutoHyphens/>
        <w:spacing w:line="276" w:lineRule="auto"/>
        <w:ind w:firstLine="0"/>
        <w:rPr>
          <w:rFonts w:eastAsia="Times New Roman" w:cs="Arial"/>
          <w:lang w:val="es-ES_tradnl" w:eastAsia="es-ES"/>
        </w:rPr>
      </w:pPr>
    </w:p>
    <w:p w14:paraId="2479A41B" w14:textId="77777777" w:rsidR="00930B23" w:rsidRPr="00E42BEA" w:rsidRDefault="00930B23" w:rsidP="00930B23">
      <w:pPr>
        <w:suppressAutoHyphens/>
        <w:spacing w:line="276" w:lineRule="auto"/>
        <w:ind w:firstLine="0"/>
        <w:rPr>
          <w:rFonts w:eastAsia="Times New Roman" w:cs="Arial"/>
          <w:lang w:val="es-ES_tradnl" w:eastAsia="es-ES"/>
        </w:rPr>
      </w:pPr>
      <w:r w:rsidRPr="00E42BEA">
        <w:rPr>
          <w:rFonts w:eastAsia="Times New Roman" w:cs="Arial"/>
          <w:lang w:val="es-ES_tradnl" w:eastAsia="es-ES"/>
        </w:rPr>
        <w:t>Dejo así aclarado mi voto.</w:t>
      </w:r>
    </w:p>
    <w:p w14:paraId="69996E2E" w14:textId="77777777" w:rsidR="00930B23" w:rsidRPr="00E42BEA" w:rsidRDefault="00930B23" w:rsidP="00930B23">
      <w:pPr>
        <w:suppressAutoHyphens/>
        <w:spacing w:line="276" w:lineRule="auto"/>
        <w:ind w:firstLine="0"/>
        <w:rPr>
          <w:rFonts w:eastAsia="Times New Roman" w:cs="Arial"/>
          <w:lang w:val="es-ES_tradnl" w:eastAsia="es-ES"/>
        </w:rPr>
      </w:pPr>
    </w:p>
    <w:p w14:paraId="3E24DAC4" w14:textId="77777777" w:rsidR="00930B23" w:rsidRPr="00E42BEA" w:rsidRDefault="00930B23" w:rsidP="00930B23">
      <w:pPr>
        <w:suppressAutoHyphens/>
        <w:spacing w:line="276" w:lineRule="auto"/>
        <w:ind w:firstLine="0"/>
        <w:rPr>
          <w:rFonts w:eastAsia="Times New Roman" w:cs="Arial"/>
          <w:lang w:val="es-ES_tradnl" w:eastAsia="es-ES"/>
        </w:rPr>
      </w:pPr>
    </w:p>
    <w:p w14:paraId="26E954F1" w14:textId="77777777" w:rsidR="00930B23" w:rsidRPr="00E42BEA" w:rsidRDefault="00930B23" w:rsidP="00930B23">
      <w:pPr>
        <w:suppressAutoHyphens/>
        <w:spacing w:line="276" w:lineRule="auto"/>
        <w:ind w:firstLine="0"/>
        <w:rPr>
          <w:rFonts w:eastAsia="Times New Roman" w:cs="Arial"/>
          <w:sz w:val="28"/>
          <w:lang w:val="es-ES_tradnl" w:eastAsia="es-ES"/>
        </w:rPr>
      </w:pPr>
    </w:p>
    <w:p w14:paraId="606C5CD1" w14:textId="77777777" w:rsidR="00930B23" w:rsidRPr="00E42BEA" w:rsidRDefault="00930B23" w:rsidP="00930B23">
      <w:pPr>
        <w:suppressAutoHyphens/>
        <w:spacing w:line="276" w:lineRule="auto"/>
        <w:ind w:firstLine="0"/>
        <w:rPr>
          <w:rFonts w:eastAsia="Times New Roman" w:cs="Arial"/>
          <w:sz w:val="28"/>
          <w:lang w:val="es-ES_tradnl" w:eastAsia="es-ES"/>
        </w:rPr>
      </w:pPr>
    </w:p>
    <w:p w14:paraId="3831B1C4" w14:textId="77777777" w:rsidR="00930B23" w:rsidRPr="00E42BEA" w:rsidRDefault="00930B23" w:rsidP="00930B23">
      <w:pPr>
        <w:widowControl w:val="0"/>
        <w:autoSpaceDE w:val="0"/>
        <w:autoSpaceDN w:val="0"/>
        <w:adjustRightInd w:val="0"/>
        <w:spacing w:line="240" w:lineRule="auto"/>
        <w:ind w:firstLine="0"/>
        <w:jc w:val="center"/>
        <w:rPr>
          <w:rFonts w:eastAsia="Calibri" w:cs="Arial"/>
          <w:b/>
          <w:szCs w:val="22"/>
        </w:rPr>
      </w:pPr>
      <w:r w:rsidRPr="00E42BEA">
        <w:rPr>
          <w:rFonts w:eastAsia="Calibri" w:cs="Arial"/>
          <w:b/>
          <w:szCs w:val="22"/>
        </w:rPr>
        <w:t>JULIO CÉSAR SALAZAR MUÑOZ</w:t>
      </w:r>
    </w:p>
    <w:p w14:paraId="657D7EFF" w14:textId="77777777" w:rsidR="00930B23" w:rsidRDefault="00930B23" w:rsidP="00930B23">
      <w:pPr>
        <w:widowControl w:val="0"/>
        <w:autoSpaceDE w:val="0"/>
        <w:autoSpaceDN w:val="0"/>
        <w:adjustRightInd w:val="0"/>
        <w:spacing w:line="240" w:lineRule="auto"/>
        <w:ind w:firstLine="0"/>
        <w:jc w:val="center"/>
        <w:rPr>
          <w:rFonts w:eastAsia="Calibri" w:cs="Arial"/>
          <w:szCs w:val="22"/>
        </w:rPr>
      </w:pPr>
      <w:r w:rsidRPr="00E42BEA">
        <w:rPr>
          <w:rFonts w:eastAsia="Calibri" w:cs="Arial"/>
          <w:szCs w:val="22"/>
        </w:rPr>
        <w:t>Magistrado</w:t>
      </w:r>
    </w:p>
    <w:p w14:paraId="1A7DF1D4" w14:textId="77777777" w:rsidR="00930B23" w:rsidRDefault="00930B23" w:rsidP="00930B23">
      <w:pPr>
        <w:rPr>
          <w:rFonts w:eastAsia="Calibri" w:cs="Arial"/>
          <w:szCs w:val="22"/>
        </w:rPr>
      </w:pPr>
      <w:r>
        <w:rPr>
          <w:rFonts w:eastAsia="Calibri" w:cs="Arial"/>
          <w:szCs w:val="22"/>
        </w:rPr>
        <w:br w:type="page"/>
      </w:r>
    </w:p>
    <w:p w14:paraId="6CB308C9" w14:textId="69F88B93" w:rsidR="00930B23" w:rsidRPr="00BE7720" w:rsidRDefault="00930B23" w:rsidP="00930B23">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lastRenderedPageBreak/>
        <w:t xml:space="preserve">Providencia: </w:t>
      </w:r>
      <w:r w:rsidRPr="00BE7720">
        <w:rPr>
          <w:rFonts w:eastAsia="Times New Roman" w:cs="Arial"/>
          <w:bCs/>
          <w:sz w:val="20"/>
          <w:lang w:val="es-ES" w:eastAsia="es-CO"/>
        </w:rPr>
        <w:tab/>
      </w:r>
      <w:r w:rsidRPr="00BE7720">
        <w:rPr>
          <w:rFonts w:eastAsia="Times New Roman" w:cs="Arial"/>
          <w:bCs/>
          <w:sz w:val="20"/>
          <w:lang w:val="es-ES" w:eastAsia="es-CO"/>
        </w:rPr>
        <w:tab/>
        <w:t xml:space="preserve">Sentencia del </w:t>
      </w:r>
      <w:r w:rsidR="00E80AEF">
        <w:rPr>
          <w:rFonts w:eastAsia="Times New Roman" w:cs="Arial"/>
          <w:bCs/>
          <w:sz w:val="20"/>
          <w:lang w:val="es-ES" w:eastAsia="es-CO"/>
        </w:rPr>
        <w:t>11</w:t>
      </w:r>
      <w:r w:rsidRPr="00BE7720">
        <w:rPr>
          <w:rFonts w:eastAsia="Times New Roman" w:cs="Arial"/>
          <w:bCs/>
          <w:sz w:val="20"/>
          <w:lang w:val="es-ES" w:eastAsia="es-CO"/>
        </w:rPr>
        <w:t>/1</w:t>
      </w:r>
      <w:r w:rsidR="00E80AEF">
        <w:rPr>
          <w:rFonts w:eastAsia="Times New Roman" w:cs="Arial"/>
          <w:bCs/>
          <w:sz w:val="20"/>
          <w:lang w:val="es-ES" w:eastAsia="es-CO"/>
        </w:rPr>
        <w:t>2</w:t>
      </w:r>
      <w:r w:rsidRPr="00BE7720">
        <w:rPr>
          <w:rFonts w:eastAsia="Times New Roman" w:cs="Arial"/>
          <w:bCs/>
          <w:sz w:val="20"/>
          <w:lang w:val="es-ES" w:eastAsia="es-CO"/>
        </w:rPr>
        <w:t xml:space="preserve">/2023 </w:t>
      </w:r>
    </w:p>
    <w:p w14:paraId="2B64FEC2" w14:textId="519D2D35" w:rsidR="00930B23" w:rsidRPr="00BE7720" w:rsidRDefault="00930B23" w:rsidP="00930B23">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Radicación No.:</w:t>
      </w:r>
      <w:r w:rsidRPr="00BE7720">
        <w:rPr>
          <w:rFonts w:eastAsia="Times New Roman" w:cs="Arial"/>
          <w:bCs/>
          <w:sz w:val="20"/>
          <w:lang w:val="es-ES" w:eastAsia="es-CO"/>
        </w:rPr>
        <w:tab/>
      </w:r>
      <w:r w:rsidRPr="00BE7720">
        <w:rPr>
          <w:rFonts w:eastAsia="Times New Roman" w:cs="Arial"/>
          <w:bCs/>
          <w:sz w:val="20"/>
          <w:lang w:val="es-ES" w:eastAsia="es-CO"/>
        </w:rPr>
        <w:tab/>
      </w:r>
      <w:r w:rsidR="00E80AEF" w:rsidRPr="00E80AEF">
        <w:rPr>
          <w:rFonts w:eastAsia="Times New Roman" w:cs="Arial"/>
          <w:bCs/>
          <w:sz w:val="20"/>
          <w:lang w:val="es-ES" w:eastAsia="es-CO"/>
        </w:rPr>
        <w:t>66001310500520210043001</w:t>
      </w:r>
    </w:p>
    <w:p w14:paraId="5C8E1624" w14:textId="77777777" w:rsidR="00930B23" w:rsidRPr="00BE7720" w:rsidRDefault="00930B23" w:rsidP="00930B23">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Proceso:</w:t>
      </w:r>
      <w:r w:rsidRPr="00BE7720">
        <w:rPr>
          <w:rFonts w:eastAsia="Times New Roman" w:cs="Arial"/>
          <w:bCs/>
          <w:sz w:val="20"/>
          <w:lang w:val="es-ES" w:eastAsia="es-CO"/>
        </w:rPr>
        <w:tab/>
      </w:r>
      <w:r w:rsidRPr="00BE7720">
        <w:rPr>
          <w:rFonts w:eastAsia="Times New Roman" w:cs="Arial"/>
          <w:bCs/>
          <w:sz w:val="20"/>
          <w:lang w:val="es-ES" w:eastAsia="es-CO"/>
        </w:rPr>
        <w:tab/>
        <w:t xml:space="preserve">Ordinario laboral  </w:t>
      </w:r>
    </w:p>
    <w:p w14:paraId="51F44FB9" w14:textId="269699DB" w:rsidR="00930B23" w:rsidRPr="00BE7720" w:rsidRDefault="00930B23" w:rsidP="00930B23">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Demandante:</w:t>
      </w:r>
      <w:r w:rsidRPr="00BE7720">
        <w:rPr>
          <w:rFonts w:eastAsia="Times New Roman" w:cs="Arial"/>
          <w:bCs/>
          <w:sz w:val="20"/>
          <w:lang w:val="es-ES" w:eastAsia="es-CO"/>
        </w:rPr>
        <w:tab/>
      </w:r>
      <w:r w:rsidRPr="00BE7720">
        <w:rPr>
          <w:rFonts w:eastAsia="Times New Roman" w:cs="Arial"/>
          <w:bCs/>
          <w:sz w:val="20"/>
          <w:lang w:val="es-ES" w:eastAsia="es-CO"/>
        </w:rPr>
        <w:tab/>
      </w:r>
      <w:r w:rsidR="00E80AEF" w:rsidRPr="00E80AEF">
        <w:rPr>
          <w:rFonts w:eastAsia="Times New Roman" w:cs="Arial"/>
          <w:bCs/>
          <w:sz w:val="20"/>
          <w:lang w:val="es-ES" w:eastAsia="es-CO"/>
        </w:rPr>
        <w:t xml:space="preserve">Martha Cecilia </w:t>
      </w:r>
      <w:proofErr w:type="spellStart"/>
      <w:r w:rsidR="00E80AEF" w:rsidRPr="00E80AEF">
        <w:rPr>
          <w:rFonts w:eastAsia="Times New Roman" w:cs="Arial"/>
          <w:bCs/>
          <w:sz w:val="20"/>
          <w:lang w:val="es-ES" w:eastAsia="es-CO"/>
        </w:rPr>
        <w:t>Betancurt</w:t>
      </w:r>
      <w:proofErr w:type="spellEnd"/>
      <w:r w:rsidR="00E80AEF" w:rsidRPr="00E80AEF">
        <w:rPr>
          <w:rFonts w:eastAsia="Times New Roman" w:cs="Arial"/>
          <w:bCs/>
          <w:sz w:val="20"/>
          <w:lang w:val="es-ES" w:eastAsia="es-CO"/>
        </w:rPr>
        <w:t xml:space="preserve"> Pérez</w:t>
      </w:r>
    </w:p>
    <w:p w14:paraId="24A35496" w14:textId="4EC47879" w:rsidR="00930B23" w:rsidRPr="00BE7720" w:rsidRDefault="00930B23" w:rsidP="00930B23">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Demandado:</w:t>
      </w:r>
      <w:r>
        <w:rPr>
          <w:rFonts w:eastAsia="Times New Roman" w:cs="Arial"/>
          <w:bCs/>
          <w:sz w:val="20"/>
          <w:lang w:val="es-ES" w:eastAsia="es-CO"/>
        </w:rPr>
        <w:tab/>
      </w:r>
      <w:r w:rsidRPr="00BE7720">
        <w:rPr>
          <w:rFonts w:eastAsia="Times New Roman" w:cs="Arial"/>
          <w:bCs/>
          <w:sz w:val="20"/>
          <w:lang w:val="es-ES" w:eastAsia="es-CO"/>
        </w:rPr>
        <w:tab/>
        <w:t xml:space="preserve">Colpensiones y </w:t>
      </w:r>
      <w:r w:rsidR="00E80AEF">
        <w:rPr>
          <w:rFonts w:eastAsia="Times New Roman" w:cs="Arial"/>
          <w:bCs/>
          <w:sz w:val="20"/>
          <w:lang w:val="es-ES" w:eastAsia="es-CO"/>
        </w:rPr>
        <w:t>Protección</w:t>
      </w:r>
      <w:r w:rsidRPr="00BE7720">
        <w:rPr>
          <w:rFonts w:eastAsia="Times New Roman" w:cs="Arial"/>
          <w:bCs/>
          <w:sz w:val="20"/>
          <w:lang w:val="es-ES" w:eastAsia="es-CO"/>
        </w:rPr>
        <w:t xml:space="preserve"> S.A.</w:t>
      </w:r>
    </w:p>
    <w:p w14:paraId="28F0B2F2" w14:textId="77777777" w:rsidR="00930B23" w:rsidRPr="00BE7720" w:rsidRDefault="00930B23" w:rsidP="00930B23">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 xml:space="preserve">Magistrado ponente: </w:t>
      </w:r>
      <w:r w:rsidRPr="00BE7720">
        <w:rPr>
          <w:rFonts w:eastAsia="Times New Roman" w:cs="Arial"/>
          <w:bCs/>
          <w:sz w:val="20"/>
          <w:lang w:val="es-ES" w:eastAsia="es-CO"/>
        </w:rPr>
        <w:tab/>
        <w:t xml:space="preserve">Dr. German Darío </w:t>
      </w:r>
      <w:proofErr w:type="spellStart"/>
      <w:r w:rsidRPr="00BE7720">
        <w:rPr>
          <w:rFonts w:eastAsia="Times New Roman" w:cs="Arial"/>
          <w:bCs/>
          <w:sz w:val="20"/>
          <w:lang w:val="es-ES" w:eastAsia="es-CO"/>
        </w:rPr>
        <w:t>Góez</w:t>
      </w:r>
      <w:proofErr w:type="spellEnd"/>
      <w:r w:rsidRPr="00BE7720">
        <w:rPr>
          <w:rFonts w:eastAsia="Times New Roman" w:cs="Arial"/>
          <w:bCs/>
          <w:sz w:val="20"/>
          <w:lang w:val="es-ES" w:eastAsia="es-CO"/>
        </w:rPr>
        <w:t xml:space="preserve"> </w:t>
      </w:r>
      <w:proofErr w:type="spellStart"/>
      <w:r w:rsidRPr="00BE7720">
        <w:rPr>
          <w:rFonts w:eastAsia="Times New Roman" w:cs="Arial"/>
          <w:bCs/>
          <w:sz w:val="20"/>
          <w:lang w:val="es-ES" w:eastAsia="es-CO"/>
        </w:rPr>
        <w:t>Vinasco</w:t>
      </w:r>
      <w:proofErr w:type="spellEnd"/>
      <w:r w:rsidRPr="00BE7720">
        <w:rPr>
          <w:rFonts w:eastAsia="Times New Roman" w:cs="Arial"/>
          <w:bCs/>
          <w:sz w:val="20"/>
          <w:lang w:val="es-ES" w:eastAsia="es-CO"/>
        </w:rPr>
        <w:t xml:space="preserve"> </w:t>
      </w:r>
    </w:p>
    <w:p w14:paraId="350DA716" w14:textId="77777777" w:rsidR="00930B23" w:rsidRPr="004A4BC3" w:rsidRDefault="00930B23" w:rsidP="00930B23">
      <w:pPr>
        <w:spacing w:line="240" w:lineRule="auto"/>
        <w:ind w:firstLine="0"/>
        <w:textAlignment w:val="baseline"/>
        <w:rPr>
          <w:rFonts w:eastAsia="Times New Roman" w:cs="Arial"/>
          <w:lang w:val="es-ES" w:eastAsia="es-CO"/>
        </w:rPr>
      </w:pPr>
      <w:r w:rsidRPr="00BE7720">
        <w:rPr>
          <w:rFonts w:eastAsia="Times New Roman" w:cs="Arial"/>
          <w:bCs/>
          <w:sz w:val="20"/>
          <w:lang w:val="es-ES" w:eastAsia="es-CO"/>
        </w:rPr>
        <w:t>Te</w:t>
      </w:r>
      <w:r>
        <w:rPr>
          <w:rFonts w:eastAsia="Times New Roman" w:cs="Arial"/>
          <w:bCs/>
          <w:sz w:val="20"/>
          <w:lang w:val="es-ES" w:eastAsia="es-CO"/>
        </w:rPr>
        <w:t xml:space="preserve">ma: </w:t>
      </w:r>
      <w:r>
        <w:rPr>
          <w:rFonts w:eastAsia="Times New Roman" w:cs="Arial"/>
          <w:bCs/>
          <w:sz w:val="20"/>
          <w:lang w:val="es-ES" w:eastAsia="es-CO"/>
        </w:rPr>
        <w:tab/>
      </w:r>
      <w:r>
        <w:rPr>
          <w:rFonts w:eastAsia="Times New Roman" w:cs="Arial"/>
          <w:bCs/>
          <w:sz w:val="20"/>
          <w:lang w:val="es-ES" w:eastAsia="es-CO"/>
        </w:rPr>
        <w:tab/>
      </w:r>
      <w:r>
        <w:rPr>
          <w:rFonts w:eastAsia="Times New Roman" w:cs="Arial"/>
          <w:bCs/>
          <w:sz w:val="20"/>
          <w:lang w:val="es-ES" w:eastAsia="es-CO"/>
        </w:rPr>
        <w:tab/>
        <w:t>Ineficacia de afiliación</w:t>
      </w:r>
    </w:p>
    <w:p w14:paraId="67CFC12B" w14:textId="77777777" w:rsidR="00930B23" w:rsidRPr="004A4BC3" w:rsidRDefault="00930B23" w:rsidP="00930B23">
      <w:pPr>
        <w:spacing w:line="240" w:lineRule="auto"/>
        <w:ind w:firstLine="0"/>
        <w:textAlignment w:val="baseline"/>
        <w:rPr>
          <w:rFonts w:ascii="Times New Roman" w:eastAsia="Times New Roman" w:hAnsi="Times New Roman" w:cs="Times New Roman"/>
          <w:bCs/>
          <w:lang w:val="es-ES" w:eastAsia="es-CO"/>
        </w:rPr>
      </w:pPr>
    </w:p>
    <w:p w14:paraId="28328815" w14:textId="77777777" w:rsidR="00930B23" w:rsidRPr="004A4BC3" w:rsidRDefault="00930B23" w:rsidP="00930B23">
      <w:pPr>
        <w:spacing w:line="240" w:lineRule="auto"/>
        <w:ind w:firstLine="0"/>
        <w:textAlignment w:val="baseline"/>
        <w:rPr>
          <w:rFonts w:eastAsia="Times New Roman" w:cs="Arial"/>
          <w:sz w:val="20"/>
          <w:lang w:eastAsia="es-CO"/>
        </w:rPr>
      </w:pPr>
    </w:p>
    <w:p w14:paraId="359B51F7" w14:textId="77777777" w:rsidR="00930B23" w:rsidRPr="004A4BC3" w:rsidRDefault="00930B23" w:rsidP="00930B23">
      <w:pPr>
        <w:spacing w:line="240" w:lineRule="auto"/>
        <w:ind w:firstLine="0"/>
        <w:textAlignment w:val="baseline"/>
        <w:rPr>
          <w:rFonts w:eastAsia="Times New Roman" w:cs="Arial"/>
          <w:sz w:val="20"/>
          <w:lang w:eastAsia="es-CO"/>
        </w:rPr>
      </w:pPr>
    </w:p>
    <w:p w14:paraId="22A43D62" w14:textId="77777777" w:rsidR="00930B23" w:rsidRPr="004A4BC3" w:rsidRDefault="00930B23" w:rsidP="00930B23">
      <w:pPr>
        <w:keepNext/>
        <w:spacing w:line="312" w:lineRule="auto"/>
        <w:ind w:firstLine="0"/>
        <w:jc w:val="center"/>
        <w:outlineLvl w:val="2"/>
        <w:rPr>
          <w:rFonts w:eastAsia="Times New Roman" w:cs="Arial"/>
          <w:b/>
          <w:lang w:val="es-ES_tradnl" w:eastAsia="es-ES"/>
        </w:rPr>
      </w:pPr>
      <w:r w:rsidRPr="004A4BC3">
        <w:rPr>
          <w:rFonts w:eastAsia="Times New Roman" w:cs="Arial"/>
          <w:b/>
          <w:lang w:val="es-ES_tradnl" w:eastAsia="es-ES"/>
        </w:rPr>
        <w:t>TRIBUNAL SUPERIOR DEL DISTRITO JUDICIAL</w:t>
      </w:r>
    </w:p>
    <w:p w14:paraId="11D3AB7A" w14:textId="77777777" w:rsidR="00930B23" w:rsidRPr="004A4BC3" w:rsidRDefault="00930B23" w:rsidP="00930B23">
      <w:pPr>
        <w:spacing w:line="312" w:lineRule="auto"/>
        <w:ind w:firstLine="0"/>
        <w:jc w:val="center"/>
        <w:rPr>
          <w:rFonts w:eastAsia="Calibri" w:cs="Arial"/>
          <w:b/>
        </w:rPr>
      </w:pPr>
      <w:r w:rsidRPr="004A4BC3">
        <w:rPr>
          <w:rFonts w:eastAsia="Calibri" w:cs="Arial"/>
          <w:b/>
        </w:rPr>
        <w:t>SALA LABORAL</w:t>
      </w:r>
    </w:p>
    <w:p w14:paraId="006616C1" w14:textId="77777777" w:rsidR="00930B23" w:rsidRPr="004A4BC3" w:rsidRDefault="00930B23" w:rsidP="00930B23">
      <w:pPr>
        <w:spacing w:line="312" w:lineRule="auto"/>
        <w:ind w:firstLine="0"/>
        <w:jc w:val="center"/>
        <w:rPr>
          <w:rFonts w:eastAsia="Times New Roman" w:cs="Arial"/>
          <w:b/>
          <w:lang w:val="es-ES_tradnl" w:eastAsia="es-ES"/>
        </w:rPr>
      </w:pPr>
      <w:r w:rsidRPr="004A4BC3">
        <w:rPr>
          <w:rFonts w:eastAsia="Times New Roman" w:cs="Arial"/>
          <w:b/>
          <w:lang w:val="es-ES_tradnl" w:eastAsia="es-ES"/>
        </w:rPr>
        <w:t>MAGISTRADA: OLGA LUCIA HOYOS SEPÚLVEDA</w:t>
      </w:r>
    </w:p>
    <w:p w14:paraId="67839CC3" w14:textId="77777777" w:rsidR="00930B23" w:rsidRPr="004A4BC3" w:rsidRDefault="00930B23" w:rsidP="00930B23">
      <w:pPr>
        <w:spacing w:line="312" w:lineRule="auto"/>
        <w:ind w:firstLine="0"/>
        <w:jc w:val="left"/>
        <w:rPr>
          <w:rFonts w:eastAsia="Times New Roman" w:cs="Arial"/>
          <w:b/>
          <w:lang w:val="es-ES_tradnl" w:eastAsia="es-ES"/>
        </w:rPr>
      </w:pPr>
    </w:p>
    <w:p w14:paraId="3F21DCF4" w14:textId="77777777" w:rsidR="00930B23" w:rsidRPr="004A4BC3" w:rsidRDefault="00930B23" w:rsidP="00930B23">
      <w:pPr>
        <w:spacing w:line="312" w:lineRule="auto"/>
        <w:ind w:firstLine="0"/>
        <w:jc w:val="left"/>
        <w:textAlignment w:val="baseline"/>
        <w:rPr>
          <w:rFonts w:eastAsia="Times New Roman" w:cs="Arial"/>
          <w:lang w:val="es-ES_tradnl" w:eastAsia="es-CO"/>
        </w:rPr>
      </w:pPr>
    </w:p>
    <w:p w14:paraId="11264506" w14:textId="77777777" w:rsidR="00930B23" w:rsidRPr="004A4BC3" w:rsidRDefault="00930B23" w:rsidP="00930B23">
      <w:pPr>
        <w:spacing w:line="312" w:lineRule="auto"/>
        <w:ind w:firstLine="0"/>
        <w:jc w:val="center"/>
        <w:textAlignment w:val="baseline"/>
        <w:rPr>
          <w:rFonts w:eastAsia="Times New Roman" w:cs="Arial"/>
          <w:lang w:eastAsia="es-CO"/>
        </w:rPr>
      </w:pPr>
      <w:r w:rsidRPr="004A4BC3">
        <w:rPr>
          <w:rFonts w:eastAsia="Times New Roman" w:cs="Arial"/>
          <w:b/>
          <w:bCs/>
          <w:u w:val="single"/>
          <w:lang w:val="es-ES" w:eastAsia="es-CO"/>
        </w:rPr>
        <w:t>ACLARACIÓN DE VOTO</w:t>
      </w:r>
    </w:p>
    <w:p w14:paraId="0432BC7E" w14:textId="77777777" w:rsidR="00930B23" w:rsidRPr="004A4BC3" w:rsidRDefault="00930B23" w:rsidP="00930B23">
      <w:pPr>
        <w:shd w:val="clear" w:color="auto" w:fill="FFFFFF"/>
        <w:spacing w:line="312" w:lineRule="auto"/>
        <w:ind w:firstLine="0"/>
        <w:jc w:val="left"/>
        <w:textAlignment w:val="baseline"/>
        <w:rPr>
          <w:rFonts w:eastAsia="Times New Roman" w:cs="Arial"/>
          <w:color w:val="000000"/>
          <w:lang w:eastAsia="es-CO"/>
        </w:rPr>
      </w:pPr>
    </w:p>
    <w:p w14:paraId="2975E1ED" w14:textId="77777777" w:rsidR="00930B23" w:rsidRPr="004A4BC3" w:rsidRDefault="00930B23" w:rsidP="00930B23">
      <w:pPr>
        <w:shd w:val="clear" w:color="auto" w:fill="FFFFFF"/>
        <w:spacing w:line="312" w:lineRule="auto"/>
        <w:ind w:firstLine="0"/>
        <w:jc w:val="left"/>
        <w:textAlignment w:val="baseline"/>
        <w:rPr>
          <w:rFonts w:eastAsia="Times New Roman" w:cs="Arial"/>
          <w:lang w:eastAsia="es-CO"/>
        </w:rPr>
      </w:pPr>
    </w:p>
    <w:p w14:paraId="2A6904C2" w14:textId="77777777" w:rsidR="00930B23" w:rsidRPr="004A4BC3" w:rsidRDefault="00930B23" w:rsidP="00930B23">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xml:space="preserve">Como es conocido por la sala que integro y únicamente con ocasión a la sentencia de tutela de primer grado emitida por la Sala Laboral de la Corte Suprema de Justicia </w:t>
      </w:r>
      <w:proofErr w:type="spellStart"/>
      <w:r w:rsidRPr="004A4BC3">
        <w:rPr>
          <w:rFonts w:eastAsia="Times New Roman" w:cs="Arial"/>
          <w:szCs w:val="23"/>
          <w:lang w:val="es-ES" w:eastAsia="es-CO"/>
        </w:rPr>
        <w:t>STL4759</w:t>
      </w:r>
      <w:proofErr w:type="spellEnd"/>
      <w:r w:rsidRPr="004A4BC3">
        <w:rPr>
          <w:rFonts w:eastAsia="Times New Roman" w:cs="Arial"/>
          <w:szCs w:val="23"/>
          <w:lang w:val="es-ES" w:eastAsia="es-CO"/>
        </w:rPr>
        <w:t xml:space="preserve">-2020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w:t>
      </w:r>
      <w:proofErr w:type="spellStart"/>
      <w:r w:rsidRPr="004A4BC3">
        <w:rPr>
          <w:rFonts w:eastAsia="Times New Roman" w:cs="Arial"/>
          <w:szCs w:val="23"/>
          <w:lang w:val="es-ES" w:eastAsia="es-CO"/>
        </w:rPr>
        <w:t>RAIS</w:t>
      </w:r>
      <w:proofErr w:type="spellEnd"/>
      <w:r w:rsidRPr="004A4BC3">
        <w:rPr>
          <w:rFonts w:eastAsia="Times New Roman" w:cs="Arial"/>
          <w:szCs w:val="23"/>
          <w:lang w:val="es-ES" w:eastAsia="es-CO"/>
        </w:rPr>
        <w:t>, y debido al grado jurisdiccional de consulta a favor de Colpensiones, se han adicionado, en algunos casos, las decisiones de primer grado para adecuar la devolución de dineros que la AFP debe realizar a Colpensiones.</w:t>
      </w:r>
    </w:p>
    <w:p w14:paraId="19E86124" w14:textId="77777777" w:rsidR="00930B23" w:rsidRPr="004A4BC3" w:rsidRDefault="00930B23" w:rsidP="00930B23">
      <w:pPr>
        <w:spacing w:line="312" w:lineRule="auto"/>
        <w:ind w:firstLine="0"/>
        <w:textAlignment w:val="baseline"/>
        <w:rPr>
          <w:rFonts w:eastAsia="Times New Roman" w:cs="Arial"/>
          <w:szCs w:val="23"/>
          <w:lang w:eastAsia="es-CO"/>
        </w:rPr>
      </w:pPr>
    </w:p>
    <w:p w14:paraId="02E373AE" w14:textId="77777777" w:rsidR="00930B23" w:rsidRPr="004A4BC3" w:rsidRDefault="00930B23" w:rsidP="00930B23">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w:t>
      </w:r>
    </w:p>
    <w:p w14:paraId="6AD98644" w14:textId="77777777" w:rsidR="00930B23" w:rsidRPr="004A4BC3" w:rsidRDefault="00930B23" w:rsidP="00930B23">
      <w:pPr>
        <w:spacing w:line="312" w:lineRule="auto"/>
        <w:ind w:firstLine="0"/>
        <w:jc w:val="left"/>
        <w:textAlignment w:val="baseline"/>
        <w:rPr>
          <w:rFonts w:eastAsia="Times New Roman" w:cs="Arial"/>
          <w:szCs w:val="23"/>
          <w:lang w:eastAsia="es-CO"/>
        </w:rPr>
      </w:pPr>
    </w:p>
    <w:p w14:paraId="3600D76A" w14:textId="77777777" w:rsidR="00930B23" w:rsidRPr="004A4BC3" w:rsidRDefault="00930B23" w:rsidP="00930B23">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w:t>
      </w:r>
      <w:r w:rsidRPr="004A4BC3">
        <w:rPr>
          <w:rFonts w:eastAsia="Times New Roman" w:cs="Arial"/>
          <w:szCs w:val="23"/>
          <w:lang w:val="es-ES" w:eastAsia="es-CO"/>
        </w:rPr>
        <w:lastRenderedPageBreak/>
        <w:t>calidad, como la única persona que puede infringir o coartar los derechos de libre escogencia del trabajador afiliado.</w:t>
      </w:r>
    </w:p>
    <w:p w14:paraId="5954DFE3" w14:textId="77777777" w:rsidR="00930B23" w:rsidRPr="004A4BC3" w:rsidRDefault="00930B23" w:rsidP="00930B23">
      <w:pPr>
        <w:spacing w:line="312" w:lineRule="auto"/>
        <w:ind w:firstLine="0"/>
        <w:textAlignment w:val="baseline"/>
        <w:rPr>
          <w:rFonts w:eastAsia="Times New Roman" w:cs="Arial"/>
          <w:szCs w:val="23"/>
          <w:lang w:eastAsia="es-CO"/>
        </w:rPr>
      </w:pPr>
      <w:r w:rsidRPr="004A4BC3">
        <w:rPr>
          <w:rFonts w:eastAsia="Times New Roman" w:cs="Arial"/>
          <w:szCs w:val="23"/>
          <w:lang w:eastAsia="es-CO"/>
        </w:rPr>
        <w:t xml:space="preserve"> </w:t>
      </w:r>
    </w:p>
    <w:p w14:paraId="281DF443" w14:textId="77777777" w:rsidR="00930B23" w:rsidRPr="004A4BC3" w:rsidRDefault="00930B23" w:rsidP="00930B2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w:t>
      </w:r>
      <w:proofErr w:type="spellStart"/>
      <w:r w:rsidRPr="004A4BC3">
        <w:rPr>
          <w:rFonts w:eastAsia="Times New Roman" w:cs="Arial"/>
          <w:szCs w:val="23"/>
          <w:lang w:val="es-ES" w:eastAsia="es-CO"/>
        </w:rPr>
        <w:t>C.Po</w:t>
      </w:r>
      <w:proofErr w:type="spellEnd"/>
      <w:r w:rsidRPr="004A4BC3">
        <w:rPr>
          <w:rFonts w:eastAsia="Times New Roman" w:cs="Arial"/>
          <w:szCs w:val="23"/>
          <w:lang w:val="es-ES" w:eastAsia="es-CO"/>
        </w:rPr>
        <w:t>.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4A4BC3">
        <w:rPr>
          <w:rFonts w:eastAsia="Times New Roman" w:cs="Arial"/>
          <w:b/>
          <w:bCs/>
          <w:szCs w:val="23"/>
          <w:lang w:val="es-ES" w:eastAsia="es-CO"/>
        </w:rPr>
        <w:t>tácitamente</w:t>
      </w:r>
      <w:r w:rsidRPr="004A4BC3">
        <w:rPr>
          <w:rFonts w:eastAsia="Times New Roman" w:cs="Arial"/>
          <w:szCs w:val="23"/>
          <w:lang w:val="es-ES" w:eastAsia="es-CO"/>
        </w:rPr>
        <w:t> a la AFP, pues de haber querido regular su comportamiento, explícitamente lo hubiera incluido como infractor de tal norma, pero no lo hizo.</w:t>
      </w:r>
    </w:p>
    <w:p w14:paraId="20307E4A" w14:textId="77777777" w:rsidR="00930B23" w:rsidRPr="004A4BC3" w:rsidRDefault="00930B23" w:rsidP="00930B23">
      <w:pPr>
        <w:shd w:val="clear" w:color="auto" w:fill="FFFFFF"/>
        <w:spacing w:line="312" w:lineRule="auto"/>
        <w:ind w:firstLine="0"/>
        <w:textAlignment w:val="baseline"/>
        <w:rPr>
          <w:rFonts w:eastAsia="Times New Roman" w:cs="Arial"/>
          <w:szCs w:val="23"/>
          <w:lang w:eastAsia="es-CO"/>
        </w:rPr>
      </w:pPr>
    </w:p>
    <w:p w14:paraId="7F69AF73" w14:textId="77777777" w:rsidR="00930B23" w:rsidRPr="004A4BC3" w:rsidRDefault="00930B23" w:rsidP="00930B2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w:t>
      </w:r>
    </w:p>
    <w:p w14:paraId="147CD56D" w14:textId="77777777" w:rsidR="00930B23" w:rsidRPr="004A4BC3" w:rsidRDefault="00930B23" w:rsidP="00930B23">
      <w:pPr>
        <w:spacing w:line="312" w:lineRule="auto"/>
        <w:ind w:firstLine="0"/>
        <w:jc w:val="left"/>
        <w:textAlignment w:val="baseline"/>
        <w:rPr>
          <w:rFonts w:eastAsia="Times New Roman" w:cs="Arial"/>
          <w:szCs w:val="23"/>
          <w:lang w:eastAsia="es-CO"/>
        </w:rPr>
      </w:pPr>
      <w:r w:rsidRPr="004A4BC3">
        <w:rPr>
          <w:rFonts w:eastAsia="Times New Roman" w:cs="Arial"/>
          <w:szCs w:val="23"/>
          <w:lang w:val="es-ES" w:eastAsia="es-CO"/>
        </w:rPr>
        <w:t> </w:t>
      </w:r>
      <w:r w:rsidRPr="004A4BC3">
        <w:rPr>
          <w:rFonts w:eastAsia="Times New Roman" w:cs="Arial"/>
          <w:szCs w:val="23"/>
          <w:lang w:eastAsia="es-CO"/>
        </w:rPr>
        <w:t>   </w:t>
      </w:r>
    </w:p>
    <w:p w14:paraId="141479D0" w14:textId="77777777" w:rsidR="00930B23" w:rsidRPr="004A4BC3" w:rsidRDefault="00930B23" w:rsidP="00930B23">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w:t>
      </w:r>
    </w:p>
    <w:p w14:paraId="7091D16A" w14:textId="77777777" w:rsidR="00930B23" w:rsidRPr="004A4BC3" w:rsidRDefault="00930B23" w:rsidP="00930B23">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w:t>
      </w:r>
      <w:r w:rsidRPr="004A4BC3">
        <w:rPr>
          <w:rFonts w:eastAsia="Times New Roman" w:cs="Arial"/>
          <w:szCs w:val="23"/>
          <w:lang w:eastAsia="es-CO"/>
        </w:rPr>
        <w:t>   </w:t>
      </w:r>
    </w:p>
    <w:p w14:paraId="251BB9D5" w14:textId="77777777" w:rsidR="00930B23" w:rsidRPr="004A4BC3" w:rsidRDefault="00930B23" w:rsidP="00930B2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El precedente o doctrina probable de la Sala Laboral de la Corte Suprema de Justicia trasgrede la cláusula constitucional 90 y los artículos 2341 y 2343 del Código Civil, porque </w:t>
      </w:r>
      <w:r w:rsidRPr="004A4BC3">
        <w:rPr>
          <w:rFonts w:eastAsia="Times New Roman" w:cs="Arial"/>
          <w:i/>
          <w:iCs/>
          <w:szCs w:val="23"/>
          <w:lang w:val="es-ES" w:eastAsia="es-CO"/>
        </w:rPr>
        <w:t>“el Estado únicamente responderá patrimonialmente por los daños antijurídicos que le sean imputables, causados por la acción o la omisión de las autoridades públicas”,</w:t>
      </w:r>
      <w:r w:rsidRPr="004A4BC3">
        <w:rPr>
          <w:rFonts w:eastAsia="Times New Roman" w:cs="Arial"/>
          <w:szCs w:val="23"/>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w:t>
      </w:r>
    </w:p>
    <w:p w14:paraId="33B4F0A1" w14:textId="77777777" w:rsidR="00930B23" w:rsidRPr="004A4BC3" w:rsidRDefault="00930B23" w:rsidP="00930B23">
      <w:pPr>
        <w:shd w:val="clear" w:color="auto" w:fill="FFFFFF"/>
        <w:spacing w:line="312" w:lineRule="auto"/>
        <w:ind w:firstLine="0"/>
        <w:textAlignment w:val="baseline"/>
        <w:rPr>
          <w:rFonts w:eastAsia="Times New Roman" w:cs="Arial"/>
          <w:szCs w:val="23"/>
          <w:lang w:eastAsia="es-CO"/>
        </w:rPr>
      </w:pPr>
    </w:p>
    <w:p w14:paraId="3F801892" w14:textId="77777777" w:rsidR="00930B23" w:rsidRPr="004A4BC3" w:rsidRDefault="00930B23" w:rsidP="00930B23">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w:t>
      </w:r>
    </w:p>
    <w:p w14:paraId="303B68D7" w14:textId="77777777" w:rsidR="00930B23" w:rsidRPr="004A4BC3" w:rsidRDefault="00930B23" w:rsidP="00930B2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eastAsia="es-CO"/>
        </w:rPr>
        <w:t> </w:t>
      </w:r>
    </w:p>
    <w:p w14:paraId="7231C4BD" w14:textId="77777777" w:rsidR="00930B23" w:rsidRPr="004A4BC3" w:rsidRDefault="00930B23" w:rsidP="00930B2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lastRenderedPageBreak/>
        <w:t xml:space="preserve">En conclusión, considero que otro es el camino que debe abrirse para efectos de resolver los procesos tendientes a obtener la ineficacia de afiliación al </w:t>
      </w:r>
      <w:proofErr w:type="spellStart"/>
      <w:r w:rsidRPr="004A4BC3">
        <w:rPr>
          <w:rFonts w:eastAsia="Times New Roman" w:cs="Arial"/>
          <w:szCs w:val="23"/>
          <w:lang w:val="es-ES" w:eastAsia="es-CO"/>
        </w:rPr>
        <w:t>RAIS</w:t>
      </w:r>
      <w:proofErr w:type="spellEnd"/>
      <w:r w:rsidRPr="004A4BC3">
        <w:rPr>
          <w:rFonts w:eastAsia="Times New Roman" w:cs="Arial"/>
          <w:szCs w:val="23"/>
          <w:lang w:val="es-ES" w:eastAsia="es-CO"/>
        </w:rPr>
        <w:t xml:space="preserve"> y por ello, válido es memorar la aclaración de voto realizada por el Magistrado de la Sala Laboral de la Corte Suprema de Justicia, </w:t>
      </w:r>
      <w:r w:rsidRPr="004A4BC3">
        <w:rPr>
          <w:rFonts w:eastAsia="Times New Roman" w:cs="Arial"/>
          <w:b/>
          <w:bCs/>
          <w:szCs w:val="23"/>
          <w:lang w:val="es-ES" w:eastAsia="es-CO"/>
        </w:rPr>
        <w:t>LUIS BENEDICTO HERRERA DÍAZ, </w:t>
      </w:r>
      <w:r w:rsidRPr="004A4BC3">
        <w:rPr>
          <w:rFonts w:eastAsia="Times New Roman" w:cs="Arial"/>
          <w:szCs w:val="23"/>
          <w:lang w:val="es-ES" w:eastAsia="es-CO"/>
        </w:rPr>
        <w:t xml:space="preserve">dentro del proceso No. 57458, </w:t>
      </w:r>
      <w:r w:rsidRPr="004A4BC3">
        <w:rPr>
          <w:rFonts w:eastAsia="Times New Roman" w:cs="Arial"/>
          <w:color w:val="000000"/>
          <w:szCs w:val="23"/>
          <w:lang w:val="es-ES" w:eastAsia="es-CO"/>
        </w:rPr>
        <w:t>que resulta atemporal y en ese sentido pertinente para discurrir sobre el principio de independencia judicial en relación a cualquier asunto bajo análisis,</w:t>
      </w:r>
      <w:r w:rsidRPr="004A4BC3">
        <w:rPr>
          <w:rFonts w:eastAsia="Times New Roman" w:cs="Arial"/>
          <w:szCs w:val="23"/>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4A4BC3">
        <w:rPr>
          <w:rFonts w:eastAsia="Times New Roman" w:cs="Arial"/>
          <w:szCs w:val="23"/>
          <w:lang w:eastAsia="es-CO"/>
        </w:rPr>
        <w:t> </w:t>
      </w:r>
    </w:p>
    <w:p w14:paraId="7A556F2F" w14:textId="77777777" w:rsidR="00930B23" w:rsidRPr="004A4BC3" w:rsidRDefault="00930B23" w:rsidP="00930B23">
      <w:pPr>
        <w:shd w:val="clear" w:color="auto" w:fill="FFFFFF"/>
        <w:spacing w:line="312" w:lineRule="auto"/>
        <w:ind w:firstLine="0"/>
        <w:textAlignment w:val="baseline"/>
        <w:rPr>
          <w:rFonts w:eastAsia="Times New Roman" w:cs="Arial"/>
          <w:szCs w:val="23"/>
          <w:lang w:eastAsia="es-CO"/>
        </w:rPr>
      </w:pPr>
    </w:p>
    <w:p w14:paraId="3A9746E6" w14:textId="77777777" w:rsidR="00930B23" w:rsidRPr="004A4BC3" w:rsidRDefault="00930B23" w:rsidP="00930B23">
      <w:pPr>
        <w:shd w:val="clear" w:color="auto" w:fill="FFFFFF"/>
        <w:spacing w:line="312" w:lineRule="auto"/>
        <w:ind w:firstLine="0"/>
        <w:textAlignment w:val="baseline"/>
        <w:rPr>
          <w:rFonts w:eastAsia="Times New Roman" w:cs="Arial"/>
          <w:szCs w:val="23"/>
          <w:lang w:eastAsia="es-CO"/>
        </w:rPr>
      </w:pPr>
    </w:p>
    <w:p w14:paraId="5887C3E3" w14:textId="77777777" w:rsidR="00930B23" w:rsidRPr="004A4BC3" w:rsidRDefault="00930B23" w:rsidP="00930B23">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estos términos aclaro mi voto,</w:t>
      </w:r>
      <w:r>
        <w:rPr>
          <w:rFonts w:eastAsia="Times New Roman" w:cs="Arial"/>
          <w:szCs w:val="23"/>
          <w:lang w:eastAsia="es-CO"/>
        </w:rPr>
        <w:t> </w:t>
      </w:r>
    </w:p>
    <w:p w14:paraId="6B72CF9A" w14:textId="77777777" w:rsidR="00930B23" w:rsidRPr="004A4BC3" w:rsidRDefault="00930B23" w:rsidP="00930B23">
      <w:pPr>
        <w:spacing w:line="312" w:lineRule="auto"/>
        <w:ind w:firstLine="0"/>
        <w:textAlignment w:val="baseline"/>
        <w:rPr>
          <w:rFonts w:eastAsia="Times New Roman" w:cs="Arial"/>
          <w:szCs w:val="23"/>
          <w:lang w:eastAsia="es-CO"/>
        </w:rPr>
      </w:pPr>
    </w:p>
    <w:p w14:paraId="2E93359E" w14:textId="77777777" w:rsidR="00930B23" w:rsidRPr="004A4BC3" w:rsidRDefault="00930B23" w:rsidP="00930B23">
      <w:pPr>
        <w:spacing w:line="312" w:lineRule="auto"/>
        <w:ind w:firstLine="0"/>
        <w:textAlignment w:val="baseline"/>
        <w:rPr>
          <w:rFonts w:eastAsia="Times New Roman" w:cs="Arial"/>
          <w:szCs w:val="23"/>
          <w:lang w:eastAsia="es-CO"/>
        </w:rPr>
      </w:pPr>
    </w:p>
    <w:p w14:paraId="607CACD0" w14:textId="77777777" w:rsidR="00930B23" w:rsidRPr="004A4BC3" w:rsidRDefault="00930B23" w:rsidP="00930B23">
      <w:pPr>
        <w:spacing w:line="312" w:lineRule="auto"/>
        <w:ind w:firstLine="0"/>
        <w:textAlignment w:val="baseline"/>
        <w:rPr>
          <w:rFonts w:eastAsia="Times New Roman" w:cs="Arial"/>
          <w:szCs w:val="23"/>
          <w:lang w:eastAsia="es-CO"/>
        </w:rPr>
      </w:pPr>
    </w:p>
    <w:p w14:paraId="29FE8D2B" w14:textId="77777777" w:rsidR="00930B23" w:rsidRPr="004A4BC3" w:rsidRDefault="00930B23" w:rsidP="00930B23">
      <w:pPr>
        <w:spacing w:line="312" w:lineRule="auto"/>
        <w:ind w:firstLine="0"/>
        <w:textAlignment w:val="baseline"/>
        <w:rPr>
          <w:rFonts w:eastAsia="Times New Roman" w:cs="Arial"/>
          <w:szCs w:val="23"/>
          <w:lang w:eastAsia="es-CO"/>
        </w:rPr>
      </w:pPr>
    </w:p>
    <w:p w14:paraId="257A69CA" w14:textId="77777777" w:rsidR="00930B23" w:rsidRPr="004A4BC3" w:rsidRDefault="00930B23" w:rsidP="00930B23">
      <w:pPr>
        <w:spacing w:line="312" w:lineRule="auto"/>
        <w:ind w:firstLine="0"/>
        <w:textAlignment w:val="baseline"/>
        <w:rPr>
          <w:rFonts w:eastAsia="Times New Roman" w:cs="Arial"/>
          <w:szCs w:val="23"/>
          <w:lang w:eastAsia="es-CO"/>
        </w:rPr>
      </w:pPr>
    </w:p>
    <w:p w14:paraId="64392294" w14:textId="77777777" w:rsidR="00930B23" w:rsidRPr="004A4BC3" w:rsidRDefault="00930B23" w:rsidP="00930B23">
      <w:pPr>
        <w:spacing w:line="312" w:lineRule="auto"/>
        <w:ind w:firstLine="0"/>
        <w:textAlignment w:val="baseline"/>
        <w:rPr>
          <w:rFonts w:eastAsia="Times New Roman" w:cs="Arial"/>
          <w:szCs w:val="23"/>
          <w:lang w:eastAsia="es-CO"/>
        </w:rPr>
      </w:pPr>
      <w:r w:rsidRPr="004A4BC3">
        <w:rPr>
          <w:rFonts w:eastAsia="Times New Roman" w:cs="Arial"/>
          <w:b/>
          <w:bCs/>
          <w:szCs w:val="23"/>
          <w:lang w:val="es-ES" w:eastAsia="es-CO"/>
        </w:rPr>
        <w:t>OLGA LUCÍA HOYOS SEPÚLVEDA</w:t>
      </w:r>
      <w:r w:rsidRPr="004A4BC3">
        <w:rPr>
          <w:rFonts w:eastAsia="Times New Roman" w:cs="Arial"/>
          <w:szCs w:val="23"/>
          <w:lang w:eastAsia="es-CO"/>
        </w:rPr>
        <w:t>   </w:t>
      </w:r>
    </w:p>
    <w:p w14:paraId="77BD76D9" w14:textId="26BA6DAC" w:rsidR="00930B23" w:rsidRPr="00930B23" w:rsidRDefault="00930B23" w:rsidP="00930B23">
      <w:pPr>
        <w:spacing w:line="312" w:lineRule="auto"/>
        <w:ind w:firstLine="0"/>
        <w:textAlignment w:val="baseline"/>
        <w:rPr>
          <w:rFonts w:eastAsia="Times New Roman" w:cs="Arial"/>
          <w:szCs w:val="23"/>
          <w:lang w:eastAsia="es-CO"/>
        </w:rPr>
      </w:pPr>
      <w:r w:rsidRPr="004A4BC3">
        <w:rPr>
          <w:rFonts w:eastAsia="Times New Roman" w:cs="Arial"/>
          <w:bCs/>
          <w:szCs w:val="23"/>
          <w:lang w:val="es-ES" w:eastAsia="es-CO"/>
        </w:rPr>
        <w:t>Magistrada</w:t>
      </w:r>
    </w:p>
    <w:sectPr w:rsidR="00930B23" w:rsidRPr="00930B23" w:rsidSect="004E4013">
      <w:pgSz w:w="12242" w:h="18722" w:code="258"/>
      <w:pgMar w:top="1871" w:right="1304" w:bottom="1304" w:left="1871" w:header="567" w:footer="567"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37CD9D7E" w16cex:dateUtc="2022-11-10T22:35:29.63Z"/>
  <w16cex:commentExtensible w16cex:durableId="3AAB4696" w16cex:dateUtc="2022-11-10T22:36:10.908Z"/>
  <w16cex:commentExtensible w16cex:durableId="468F3B0C" w16cex:dateUtc="2022-11-11T13:42:06.995Z"/>
  <w16cex:commentExtensible w16cex:durableId="1ACA989F" w16cex:dateUtc="2022-11-11T14:23:35.482Z"/>
  <w16cex:commentExtensible w16cex:durableId="15C49CB2" w16cex:dateUtc="2022-11-15T19:01:04.589Z"/>
  <w16cex:commentExtensible w16cex:durableId="277D0A47" w16cex:dateUtc="2022-11-15T19:13:49.941Z"/>
  <w16cex:commentExtensible w16cex:durableId="129D7C03" w16cex:dateUtc="2022-11-15T19:21:19.336Z"/>
  <w16cex:commentExtensible w16cex:durableId="01A2087C" w16cex:dateUtc="2022-12-02T18:32:05.433Z"/>
  <w16cex:commentExtensible w16cex:durableId="05D986E0" w16cex:dateUtc="2023-12-01T14:35:23.634Z"/>
  <w16cex:commentExtensible w16cex:durableId="3C31B1CD" w16cex:dateUtc="2023-12-04T13:26:25.192Z"/>
</w16cex:commentsExtensible>
</file>

<file path=word/commentsIds.xml><?xml version="1.0" encoding="utf-8"?>
<w16cid:commentsIds xmlns:mc="http://schemas.openxmlformats.org/markup-compatibility/2006" xmlns:w16cid="http://schemas.microsoft.com/office/word/2016/wordml/cid" mc:Ignorable="w16cid">
  <w16cid:commentId w16cid:paraId="0E4DFE29" w16cid:durableId="37CD9D7E"/>
  <w16cid:commentId w16cid:paraId="4F4295BE" w16cid:durableId="3AAB4696"/>
  <w16cid:commentId w16cid:paraId="60CEC4DE" w16cid:durableId="468F3B0C"/>
  <w16cid:commentId w16cid:paraId="30E90E87" w16cid:durableId="1ACA989F"/>
  <w16cid:commentId w16cid:paraId="00A9C18B" w16cid:durableId="15C49CB2"/>
  <w16cid:commentId w16cid:paraId="35C775FC" w16cid:durableId="277D0A47"/>
  <w16cid:commentId w16cid:paraId="148A8051" w16cid:durableId="129D7C03"/>
  <w16cid:commentId w16cid:paraId="28A69041" w16cid:durableId="01A2087C"/>
  <w16cid:commentId w16cid:paraId="5D490061" w16cid:durableId="05D986E0"/>
  <w16cid:commentId w16cid:paraId="40BF88E3" w16cid:durableId="3C31B1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BF88B" w14:textId="77777777" w:rsidR="007B4779" w:rsidRDefault="007B4779" w:rsidP="00F33495">
      <w:pPr>
        <w:spacing w:line="240" w:lineRule="auto"/>
      </w:pPr>
      <w:r>
        <w:separator/>
      </w:r>
    </w:p>
  </w:endnote>
  <w:endnote w:type="continuationSeparator" w:id="0">
    <w:p w14:paraId="33F2F6E3" w14:textId="77777777" w:rsidR="007B4779" w:rsidRDefault="007B4779"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B868B" w14:textId="77777777" w:rsidR="007B4779" w:rsidRDefault="007B4779" w:rsidP="00F33495">
      <w:pPr>
        <w:spacing w:line="240" w:lineRule="auto"/>
      </w:pPr>
      <w:r>
        <w:separator/>
      </w:r>
    </w:p>
  </w:footnote>
  <w:footnote w:type="continuationSeparator" w:id="0">
    <w:p w14:paraId="7658A16E" w14:textId="77777777" w:rsidR="007B4779" w:rsidRDefault="007B4779" w:rsidP="00F33495">
      <w:pPr>
        <w:spacing w:line="240" w:lineRule="auto"/>
      </w:pPr>
      <w:r>
        <w:continuationSeparator/>
      </w:r>
    </w:p>
  </w:footnote>
  <w:footnote w:id="1">
    <w:p w14:paraId="0E79FC85" w14:textId="77777777" w:rsidR="003073FB" w:rsidRPr="0089330C" w:rsidRDefault="003073FB" w:rsidP="0089330C">
      <w:pPr>
        <w:pStyle w:val="Textonotapie"/>
        <w:ind w:firstLine="0"/>
        <w:rPr>
          <w:rFonts w:cs="Arial"/>
          <w:sz w:val="18"/>
          <w:szCs w:val="18"/>
        </w:rPr>
      </w:pPr>
      <w:r w:rsidRPr="0089330C">
        <w:rPr>
          <w:rStyle w:val="Refdenotaalpie"/>
          <w:rFonts w:cs="Arial"/>
          <w:sz w:val="18"/>
          <w:szCs w:val="18"/>
        </w:rPr>
        <w:footnoteRef/>
      </w:r>
      <w:r w:rsidRPr="0089330C">
        <w:rPr>
          <w:rFonts w:cs="Arial"/>
          <w:sz w:val="18"/>
          <w:szCs w:val="18"/>
        </w:rPr>
        <w:t xml:space="preserve"> </w:t>
      </w:r>
      <w:proofErr w:type="spellStart"/>
      <w:r w:rsidRPr="0089330C">
        <w:rPr>
          <w:rFonts w:cs="Arial"/>
          <w:sz w:val="18"/>
          <w:szCs w:val="18"/>
        </w:rPr>
        <w:t>M.P</w:t>
      </w:r>
      <w:proofErr w:type="spellEnd"/>
      <w:r w:rsidRPr="0089330C">
        <w:rPr>
          <w:rFonts w:cs="Arial"/>
          <w:sz w:val="18"/>
          <w:szCs w:val="18"/>
        </w:rPr>
        <w:t xml:space="preserve">. Dr. Iván Mauricio </w:t>
      </w:r>
      <w:proofErr w:type="spellStart"/>
      <w:r w:rsidRPr="0089330C">
        <w:rPr>
          <w:rFonts w:cs="Arial"/>
          <w:sz w:val="18"/>
          <w:szCs w:val="18"/>
        </w:rPr>
        <w:t>Lenis</w:t>
      </w:r>
      <w:proofErr w:type="spellEnd"/>
      <w:r w:rsidRPr="0089330C">
        <w:rPr>
          <w:rFonts w:cs="Arial"/>
          <w:sz w:val="18"/>
          <w:szCs w:val="18"/>
        </w:rPr>
        <w:t xml:space="preserve"> Gómez</w:t>
      </w:r>
    </w:p>
  </w:footnote>
  <w:footnote w:id="2">
    <w:p w14:paraId="78D92625" w14:textId="77777777" w:rsidR="003073FB" w:rsidRPr="0089330C" w:rsidRDefault="003073FB" w:rsidP="0089330C">
      <w:pPr>
        <w:widowControl w:val="0"/>
        <w:tabs>
          <w:tab w:val="left" w:pos="-720"/>
        </w:tabs>
        <w:suppressAutoHyphens/>
        <w:overflowPunct w:val="0"/>
        <w:autoSpaceDE w:val="0"/>
        <w:autoSpaceDN w:val="0"/>
        <w:adjustRightInd w:val="0"/>
        <w:spacing w:line="240" w:lineRule="auto"/>
        <w:ind w:firstLine="0"/>
        <w:rPr>
          <w:rFonts w:cs="Arial"/>
          <w:sz w:val="18"/>
          <w:szCs w:val="18"/>
        </w:rPr>
      </w:pPr>
      <w:r w:rsidRPr="0089330C">
        <w:rPr>
          <w:rStyle w:val="Refdenotaalpie"/>
          <w:rFonts w:cs="Arial"/>
          <w:sz w:val="18"/>
          <w:szCs w:val="18"/>
        </w:rPr>
        <w:footnoteRef/>
      </w:r>
      <w:r w:rsidRPr="0089330C">
        <w:rPr>
          <w:rFonts w:cs="Arial"/>
          <w:sz w:val="18"/>
          <w:szCs w:val="18"/>
        </w:rPr>
        <w:t xml:space="preserve"> CSJ Sentencia </w:t>
      </w:r>
      <w:proofErr w:type="spellStart"/>
      <w:r w:rsidRPr="0089330C">
        <w:rPr>
          <w:rFonts w:cs="Arial"/>
          <w:sz w:val="18"/>
          <w:szCs w:val="18"/>
        </w:rPr>
        <w:t>SL1688</w:t>
      </w:r>
      <w:proofErr w:type="spellEnd"/>
      <w:r w:rsidRPr="0089330C">
        <w:rPr>
          <w:rFonts w:cs="Arial"/>
          <w:sz w:val="18"/>
          <w:szCs w:val="18"/>
        </w:rPr>
        <w:t>-2019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isplayBackgroundShape/>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7F2A"/>
    <w:rsid w:val="00022FE4"/>
    <w:rsid w:val="00027431"/>
    <w:rsid w:val="0005234B"/>
    <w:rsid w:val="0005433D"/>
    <w:rsid w:val="000712BA"/>
    <w:rsid w:val="00071E1C"/>
    <w:rsid w:val="00076DF1"/>
    <w:rsid w:val="000821F6"/>
    <w:rsid w:val="00082AF6"/>
    <w:rsid w:val="00085746"/>
    <w:rsid w:val="000861DD"/>
    <w:rsid w:val="00092B58"/>
    <w:rsid w:val="000957E0"/>
    <w:rsid w:val="000A21BE"/>
    <w:rsid w:val="000A3C05"/>
    <w:rsid w:val="000B15C7"/>
    <w:rsid w:val="000B1A5C"/>
    <w:rsid w:val="000D1C12"/>
    <w:rsid w:val="000D42EA"/>
    <w:rsid w:val="000E246F"/>
    <w:rsid w:val="000F448C"/>
    <w:rsid w:val="00112420"/>
    <w:rsid w:val="00117457"/>
    <w:rsid w:val="00117CAC"/>
    <w:rsid w:val="001230E0"/>
    <w:rsid w:val="00125F9F"/>
    <w:rsid w:val="001363CA"/>
    <w:rsid w:val="00141646"/>
    <w:rsid w:val="0014189A"/>
    <w:rsid w:val="00142B50"/>
    <w:rsid w:val="0015434B"/>
    <w:rsid w:val="0016082A"/>
    <w:rsid w:val="00190886"/>
    <w:rsid w:val="00192B63"/>
    <w:rsid w:val="001B2D43"/>
    <w:rsid w:val="001B3BC4"/>
    <w:rsid w:val="001B5DD5"/>
    <w:rsid w:val="001B606C"/>
    <w:rsid w:val="001B7B5E"/>
    <w:rsid w:val="001C0FBC"/>
    <w:rsid w:val="001C23BE"/>
    <w:rsid w:val="001D6565"/>
    <w:rsid w:val="001D7B64"/>
    <w:rsid w:val="001E5B8A"/>
    <w:rsid w:val="001F1802"/>
    <w:rsid w:val="001F6292"/>
    <w:rsid w:val="002354BD"/>
    <w:rsid w:val="00236DBB"/>
    <w:rsid w:val="00265100"/>
    <w:rsid w:val="00267F84"/>
    <w:rsid w:val="002735E7"/>
    <w:rsid w:val="00287F53"/>
    <w:rsid w:val="00295BBB"/>
    <w:rsid w:val="002A7326"/>
    <w:rsid w:val="002C26C1"/>
    <w:rsid w:val="002C58D6"/>
    <w:rsid w:val="002D4DEF"/>
    <w:rsid w:val="002E0B67"/>
    <w:rsid w:val="002E354F"/>
    <w:rsid w:val="002F4E91"/>
    <w:rsid w:val="00301377"/>
    <w:rsid w:val="00302F28"/>
    <w:rsid w:val="00303C6A"/>
    <w:rsid w:val="003073FB"/>
    <w:rsid w:val="0030756B"/>
    <w:rsid w:val="00313A93"/>
    <w:rsid w:val="00315036"/>
    <w:rsid w:val="00321384"/>
    <w:rsid w:val="00332256"/>
    <w:rsid w:val="00334487"/>
    <w:rsid w:val="00342C2C"/>
    <w:rsid w:val="00350DC6"/>
    <w:rsid w:val="00356EAC"/>
    <w:rsid w:val="003625E2"/>
    <w:rsid w:val="003716D5"/>
    <w:rsid w:val="0038198A"/>
    <w:rsid w:val="00394BC3"/>
    <w:rsid w:val="003A17B5"/>
    <w:rsid w:val="003A404B"/>
    <w:rsid w:val="003A5E42"/>
    <w:rsid w:val="003B7356"/>
    <w:rsid w:val="003C1A8E"/>
    <w:rsid w:val="003C3060"/>
    <w:rsid w:val="003C4BD0"/>
    <w:rsid w:val="003D4AEE"/>
    <w:rsid w:val="003D55C7"/>
    <w:rsid w:val="003D7454"/>
    <w:rsid w:val="003E0122"/>
    <w:rsid w:val="003E1839"/>
    <w:rsid w:val="003F2659"/>
    <w:rsid w:val="00417944"/>
    <w:rsid w:val="00424F01"/>
    <w:rsid w:val="0043720D"/>
    <w:rsid w:val="00445979"/>
    <w:rsid w:val="0045781C"/>
    <w:rsid w:val="00476023"/>
    <w:rsid w:val="00490B9C"/>
    <w:rsid w:val="0049479C"/>
    <w:rsid w:val="004A1DFF"/>
    <w:rsid w:val="004B7C1D"/>
    <w:rsid w:val="004C1EB4"/>
    <w:rsid w:val="004C7512"/>
    <w:rsid w:val="004D63C6"/>
    <w:rsid w:val="004E4013"/>
    <w:rsid w:val="004E41B6"/>
    <w:rsid w:val="004E6792"/>
    <w:rsid w:val="004E743C"/>
    <w:rsid w:val="004F2F73"/>
    <w:rsid w:val="005056A0"/>
    <w:rsid w:val="00506E81"/>
    <w:rsid w:val="00506F10"/>
    <w:rsid w:val="00521DCD"/>
    <w:rsid w:val="00527488"/>
    <w:rsid w:val="00537696"/>
    <w:rsid w:val="00541F78"/>
    <w:rsid w:val="00543414"/>
    <w:rsid w:val="005547D3"/>
    <w:rsid w:val="005655B4"/>
    <w:rsid w:val="0057532E"/>
    <w:rsid w:val="00595EFB"/>
    <w:rsid w:val="005B5103"/>
    <w:rsid w:val="005C565A"/>
    <w:rsid w:val="005C7D4C"/>
    <w:rsid w:val="005D61AD"/>
    <w:rsid w:val="005E0D01"/>
    <w:rsid w:val="005E1A33"/>
    <w:rsid w:val="005E5792"/>
    <w:rsid w:val="005E7553"/>
    <w:rsid w:val="006046D4"/>
    <w:rsid w:val="00617A19"/>
    <w:rsid w:val="006207BF"/>
    <w:rsid w:val="006212C9"/>
    <w:rsid w:val="00630716"/>
    <w:rsid w:val="006426E7"/>
    <w:rsid w:val="006517AE"/>
    <w:rsid w:val="00651A12"/>
    <w:rsid w:val="00654F0A"/>
    <w:rsid w:val="006601E7"/>
    <w:rsid w:val="00690656"/>
    <w:rsid w:val="0069307F"/>
    <w:rsid w:val="0069334D"/>
    <w:rsid w:val="00694ABB"/>
    <w:rsid w:val="006A06AF"/>
    <w:rsid w:val="006C0A92"/>
    <w:rsid w:val="006D0204"/>
    <w:rsid w:val="006D16A6"/>
    <w:rsid w:val="006D4809"/>
    <w:rsid w:val="006D7317"/>
    <w:rsid w:val="007039F8"/>
    <w:rsid w:val="00705E27"/>
    <w:rsid w:val="00711ACF"/>
    <w:rsid w:val="007163FF"/>
    <w:rsid w:val="007177A5"/>
    <w:rsid w:val="00717DD8"/>
    <w:rsid w:val="007209EE"/>
    <w:rsid w:val="00723359"/>
    <w:rsid w:val="0072357F"/>
    <w:rsid w:val="00724D87"/>
    <w:rsid w:val="00725E4D"/>
    <w:rsid w:val="00735854"/>
    <w:rsid w:val="00735FA2"/>
    <w:rsid w:val="0074011B"/>
    <w:rsid w:val="00740C33"/>
    <w:rsid w:val="007428D6"/>
    <w:rsid w:val="00745D11"/>
    <w:rsid w:val="00750CFE"/>
    <w:rsid w:val="00762B33"/>
    <w:rsid w:val="0077128B"/>
    <w:rsid w:val="007803D9"/>
    <w:rsid w:val="00780C27"/>
    <w:rsid w:val="00790469"/>
    <w:rsid w:val="00793226"/>
    <w:rsid w:val="00793FDC"/>
    <w:rsid w:val="007A7FC9"/>
    <w:rsid w:val="007B4779"/>
    <w:rsid w:val="007C3826"/>
    <w:rsid w:val="007D365E"/>
    <w:rsid w:val="007D4216"/>
    <w:rsid w:val="007D5A6E"/>
    <w:rsid w:val="007D5F99"/>
    <w:rsid w:val="007E27C9"/>
    <w:rsid w:val="007E5ED5"/>
    <w:rsid w:val="007E7878"/>
    <w:rsid w:val="007F5297"/>
    <w:rsid w:val="007F6CA1"/>
    <w:rsid w:val="007F6F66"/>
    <w:rsid w:val="00800E46"/>
    <w:rsid w:val="00811554"/>
    <w:rsid w:val="00821E0C"/>
    <w:rsid w:val="0085206F"/>
    <w:rsid w:val="008548ED"/>
    <w:rsid w:val="008861A6"/>
    <w:rsid w:val="00887DE2"/>
    <w:rsid w:val="00892F6F"/>
    <w:rsid w:val="0089330C"/>
    <w:rsid w:val="008939F9"/>
    <w:rsid w:val="008A7078"/>
    <w:rsid w:val="008B4CFF"/>
    <w:rsid w:val="008C7AB6"/>
    <w:rsid w:val="008D0808"/>
    <w:rsid w:val="008E01EE"/>
    <w:rsid w:val="008E7069"/>
    <w:rsid w:val="008F0A28"/>
    <w:rsid w:val="008F436C"/>
    <w:rsid w:val="008F66DC"/>
    <w:rsid w:val="009001EE"/>
    <w:rsid w:val="009034B4"/>
    <w:rsid w:val="009048C4"/>
    <w:rsid w:val="00923CAF"/>
    <w:rsid w:val="00925FB3"/>
    <w:rsid w:val="00927BA0"/>
    <w:rsid w:val="00927F48"/>
    <w:rsid w:val="00930B23"/>
    <w:rsid w:val="00937F8C"/>
    <w:rsid w:val="00952B9A"/>
    <w:rsid w:val="0095599D"/>
    <w:rsid w:val="00960D1E"/>
    <w:rsid w:val="00986953"/>
    <w:rsid w:val="009A2758"/>
    <w:rsid w:val="009A46DA"/>
    <w:rsid w:val="009B2019"/>
    <w:rsid w:val="009C55AA"/>
    <w:rsid w:val="009D08A3"/>
    <w:rsid w:val="009E17E0"/>
    <w:rsid w:val="009E3FAD"/>
    <w:rsid w:val="009E57AA"/>
    <w:rsid w:val="009F6995"/>
    <w:rsid w:val="009F7745"/>
    <w:rsid w:val="00A0229D"/>
    <w:rsid w:val="00A130E8"/>
    <w:rsid w:val="00A13A55"/>
    <w:rsid w:val="00A178C1"/>
    <w:rsid w:val="00A242A8"/>
    <w:rsid w:val="00A53DD1"/>
    <w:rsid w:val="00A57DF7"/>
    <w:rsid w:val="00A63404"/>
    <w:rsid w:val="00A640E8"/>
    <w:rsid w:val="00A6657F"/>
    <w:rsid w:val="00A7310B"/>
    <w:rsid w:val="00A8232E"/>
    <w:rsid w:val="00A8283C"/>
    <w:rsid w:val="00AA0E34"/>
    <w:rsid w:val="00AA3658"/>
    <w:rsid w:val="00AA402C"/>
    <w:rsid w:val="00AB3516"/>
    <w:rsid w:val="00AB619D"/>
    <w:rsid w:val="00AB7303"/>
    <w:rsid w:val="00AC1BCC"/>
    <w:rsid w:val="00AD1AD0"/>
    <w:rsid w:val="00AD506E"/>
    <w:rsid w:val="00AF0141"/>
    <w:rsid w:val="00B10442"/>
    <w:rsid w:val="00B10962"/>
    <w:rsid w:val="00B11AB5"/>
    <w:rsid w:val="00B17F4E"/>
    <w:rsid w:val="00B27201"/>
    <w:rsid w:val="00B411AE"/>
    <w:rsid w:val="00B42FBC"/>
    <w:rsid w:val="00B55C66"/>
    <w:rsid w:val="00B65806"/>
    <w:rsid w:val="00B8370D"/>
    <w:rsid w:val="00B86E32"/>
    <w:rsid w:val="00B87B98"/>
    <w:rsid w:val="00B95355"/>
    <w:rsid w:val="00B96855"/>
    <w:rsid w:val="00BA73DC"/>
    <w:rsid w:val="00BB3E0E"/>
    <w:rsid w:val="00BB60BF"/>
    <w:rsid w:val="00BB615E"/>
    <w:rsid w:val="00BC3046"/>
    <w:rsid w:val="00BE2F2E"/>
    <w:rsid w:val="00C01564"/>
    <w:rsid w:val="00C06276"/>
    <w:rsid w:val="00C13E12"/>
    <w:rsid w:val="00C14659"/>
    <w:rsid w:val="00C21BAD"/>
    <w:rsid w:val="00C21DDA"/>
    <w:rsid w:val="00C248E2"/>
    <w:rsid w:val="00C306F3"/>
    <w:rsid w:val="00C320A2"/>
    <w:rsid w:val="00C41494"/>
    <w:rsid w:val="00C45E94"/>
    <w:rsid w:val="00C53AD7"/>
    <w:rsid w:val="00C54280"/>
    <w:rsid w:val="00C63694"/>
    <w:rsid w:val="00C6512C"/>
    <w:rsid w:val="00C72484"/>
    <w:rsid w:val="00C7324D"/>
    <w:rsid w:val="00C81B30"/>
    <w:rsid w:val="00C838E0"/>
    <w:rsid w:val="00C84DD1"/>
    <w:rsid w:val="00C90928"/>
    <w:rsid w:val="00C9431C"/>
    <w:rsid w:val="00C96631"/>
    <w:rsid w:val="00CA4E21"/>
    <w:rsid w:val="00CA649F"/>
    <w:rsid w:val="00CA7B8C"/>
    <w:rsid w:val="00CB0152"/>
    <w:rsid w:val="00CB41EE"/>
    <w:rsid w:val="00CB441B"/>
    <w:rsid w:val="00CC0BF9"/>
    <w:rsid w:val="00CC2ED5"/>
    <w:rsid w:val="00CC4036"/>
    <w:rsid w:val="00CE0B33"/>
    <w:rsid w:val="00CE2829"/>
    <w:rsid w:val="00CF28F4"/>
    <w:rsid w:val="00D00290"/>
    <w:rsid w:val="00D01A10"/>
    <w:rsid w:val="00D01B34"/>
    <w:rsid w:val="00D07EC8"/>
    <w:rsid w:val="00D234AB"/>
    <w:rsid w:val="00D25A9D"/>
    <w:rsid w:val="00D31703"/>
    <w:rsid w:val="00D34B5C"/>
    <w:rsid w:val="00D61232"/>
    <w:rsid w:val="00D75F0C"/>
    <w:rsid w:val="00D76CA2"/>
    <w:rsid w:val="00D84351"/>
    <w:rsid w:val="00D85421"/>
    <w:rsid w:val="00D868E3"/>
    <w:rsid w:val="00D94020"/>
    <w:rsid w:val="00D94836"/>
    <w:rsid w:val="00DA4108"/>
    <w:rsid w:val="00DB3683"/>
    <w:rsid w:val="00DB4D44"/>
    <w:rsid w:val="00DC40AE"/>
    <w:rsid w:val="00DC68A5"/>
    <w:rsid w:val="00DD1375"/>
    <w:rsid w:val="00DD25B7"/>
    <w:rsid w:val="00DE6E92"/>
    <w:rsid w:val="00DF1AE6"/>
    <w:rsid w:val="00DF20CF"/>
    <w:rsid w:val="00DF4640"/>
    <w:rsid w:val="00E05FD5"/>
    <w:rsid w:val="00E0616E"/>
    <w:rsid w:val="00E06DD2"/>
    <w:rsid w:val="00E26D64"/>
    <w:rsid w:val="00E33859"/>
    <w:rsid w:val="00E35B39"/>
    <w:rsid w:val="00E36D9B"/>
    <w:rsid w:val="00E44599"/>
    <w:rsid w:val="00E60061"/>
    <w:rsid w:val="00E80AEF"/>
    <w:rsid w:val="00E95E14"/>
    <w:rsid w:val="00EA0DE3"/>
    <w:rsid w:val="00EA53E7"/>
    <w:rsid w:val="00EB72D3"/>
    <w:rsid w:val="00EC0C3E"/>
    <w:rsid w:val="00EC46DC"/>
    <w:rsid w:val="00ED6949"/>
    <w:rsid w:val="00EE0B76"/>
    <w:rsid w:val="00EE15C5"/>
    <w:rsid w:val="00EE3DF8"/>
    <w:rsid w:val="00EE4A92"/>
    <w:rsid w:val="00EF62B0"/>
    <w:rsid w:val="00F01230"/>
    <w:rsid w:val="00F04E18"/>
    <w:rsid w:val="00F11B0C"/>
    <w:rsid w:val="00F1327E"/>
    <w:rsid w:val="00F22767"/>
    <w:rsid w:val="00F242FD"/>
    <w:rsid w:val="00F31157"/>
    <w:rsid w:val="00F33495"/>
    <w:rsid w:val="00F3756C"/>
    <w:rsid w:val="00F43716"/>
    <w:rsid w:val="00F61E94"/>
    <w:rsid w:val="00F620F5"/>
    <w:rsid w:val="00F64EEF"/>
    <w:rsid w:val="00F67A32"/>
    <w:rsid w:val="00F703CE"/>
    <w:rsid w:val="00F83F42"/>
    <w:rsid w:val="00F92136"/>
    <w:rsid w:val="00FA018F"/>
    <w:rsid w:val="00FB713A"/>
    <w:rsid w:val="00FB74DA"/>
    <w:rsid w:val="00FC1431"/>
    <w:rsid w:val="00FC1F77"/>
    <w:rsid w:val="00FD1875"/>
    <w:rsid w:val="00FD1ED5"/>
    <w:rsid w:val="00FE21C5"/>
    <w:rsid w:val="00FF6C9A"/>
    <w:rsid w:val="00FF7916"/>
    <w:rsid w:val="021B8C3E"/>
    <w:rsid w:val="02D6B947"/>
    <w:rsid w:val="0BE19961"/>
    <w:rsid w:val="128EE776"/>
    <w:rsid w:val="1729E6E5"/>
    <w:rsid w:val="1A556105"/>
    <w:rsid w:val="1AAF5C09"/>
    <w:rsid w:val="1B3B8AC5"/>
    <w:rsid w:val="207AB9B7"/>
    <w:rsid w:val="214B2128"/>
    <w:rsid w:val="24D7A82A"/>
    <w:rsid w:val="2B4D5871"/>
    <w:rsid w:val="2CEE1668"/>
    <w:rsid w:val="2CF94062"/>
    <w:rsid w:val="3058F59B"/>
    <w:rsid w:val="32ED0C65"/>
    <w:rsid w:val="36FD0F01"/>
    <w:rsid w:val="38E3A76B"/>
    <w:rsid w:val="39B37113"/>
    <w:rsid w:val="444E164C"/>
    <w:rsid w:val="458A89E0"/>
    <w:rsid w:val="45D043DA"/>
    <w:rsid w:val="48B230E8"/>
    <w:rsid w:val="4BFC54D7"/>
    <w:rsid w:val="4CB2989C"/>
    <w:rsid w:val="4D866DD9"/>
    <w:rsid w:val="4DCB65F8"/>
    <w:rsid w:val="514F5264"/>
    <w:rsid w:val="55CE3C61"/>
    <w:rsid w:val="56B4B4E2"/>
    <w:rsid w:val="58B3FA1E"/>
    <w:rsid w:val="5AC0DFFD"/>
    <w:rsid w:val="5EED0D00"/>
    <w:rsid w:val="5F6692AE"/>
    <w:rsid w:val="6589BD8C"/>
    <w:rsid w:val="662E3246"/>
    <w:rsid w:val="66DEF688"/>
    <w:rsid w:val="67CA02A7"/>
    <w:rsid w:val="6965D308"/>
    <w:rsid w:val="6E33FB40"/>
    <w:rsid w:val="70852B87"/>
    <w:rsid w:val="7220DFE1"/>
    <w:rsid w:val="764D0CE4"/>
    <w:rsid w:val="7984ADA6"/>
    <w:rsid w:val="7B66885C"/>
    <w:rsid w:val="7FB2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76c4594a45b840c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2.xml><?xml version="1.0" encoding="utf-8"?>
<ds:datastoreItem xmlns:ds="http://schemas.openxmlformats.org/officeDocument/2006/customXml" ds:itemID="{3FF624D3-9715-4DC2-86F1-0B198ECCC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417E4135-301C-4397-A845-0AA2B587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11142</Words>
  <Characters>63513</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INEFICACIA</vt:lpstr>
    </vt:vector>
  </TitlesOfParts>
  <Company/>
  <LinksUpToDate>false</LinksUpToDate>
  <CharactersWithSpaces>74506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INEFICACIA</dc:title>
  <dc:subject>Martha Cecilia Betancurt Perez</dc:subject>
  <dc:creator>lpeg</dc:creator>
  <cp:keywords/>
  <dc:description/>
  <cp:lastModifiedBy>samsung</cp:lastModifiedBy>
  <cp:revision>5</cp:revision>
  <dcterms:created xsi:type="dcterms:W3CDTF">2023-12-07T13:30:00Z</dcterms:created>
  <dcterms:modified xsi:type="dcterms:W3CDTF">2024-02-15T15:01:00Z</dcterms:modified>
  <cp:category>SEGURIDAD SOCIAL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