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F3CC" w14:textId="55511476" w:rsidR="00D66155" w:rsidRPr="00676F6A" w:rsidRDefault="00676F6A" w:rsidP="00D66155">
      <w:pPr>
        <w:spacing w:after="0" w:line="240" w:lineRule="auto"/>
        <w:jc w:val="both"/>
        <w:rPr>
          <w:rFonts w:ascii="Arial" w:eastAsia="Calibri" w:hAnsi="Arial" w:cs="Arial"/>
          <w:b/>
          <w:sz w:val="20"/>
          <w:szCs w:val="24"/>
          <w:lang w:eastAsia="en-US"/>
        </w:rPr>
      </w:pPr>
      <w:bookmarkStart w:id="0" w:name="_GoBack"/>
      <w:bookmarkEnd w:id="0"/>
      <w:r w:rsidRPr="00676F6A">
        <w:rPr>
          <w:rFonts w:ascii="Arial" w:eastAsia="Calibri" w:hAnsi="Arial" w:cs="Arial"/>
          <w:b/>
          <w:sz w:val="20"/>
          <w:szCs w:val="24"/>
          <w:lang w:eastAsia="en-US"/>
        </w:rPr>
        <w:t>COMPETENCIA / JURISDICCIÓN ESPECIAL PARA LA PAZ / FACTOR SUBJETIVO</w:t>
      </w:r>
    </w:p>
    <w:p w14:paraId="4B97A60F" w14:textId="6C88CDE1" w:rsidR="00D66155" w:rsidRPr="00284B12" w:rsidRDefault="00284B12" w:rsidP="00284B12">
      <w:pPr>
        <w:spacing w:after="0" w:line="240" w:lineRule="auto"/>
        <w:jc w:val="both"/>
        <w:rPr>
          <w:rFonts w:ascii="Arial" w:eastAsia="Calibri" w:hAnsi="Arial" w:cs="Arial"/>
          <w:sz w:val="20"/>
          <w:szCs w:val="24"/>
          <w:lang w:eastAsia="en-US"/>
        </w:rPr>
      </w:pPr>
      <w:r w:rsidRPr="00284B12">
        <w:rPr>
          <w:rFonts w:ascii="Arial" w:eastAsia="Calibri" w:hAnsi="Arial" w:cs="Arial"/>
          <w:sz w:val="20"/>
          <w:szCs w:val="24"/>
          <w:lang w:eastAsia="en-US"/>
        </w:rPr>
        <w:t>La Jurisdicción Especial para la Paz es el componente judicial del sistema integral y tiene como objetivo investigar y sancionar las conductas cometidas con anterioridad al 1° de diciembre de 2016, por causa, con ocasión o en relación directa o indirecta con el conflicto armado colombiano, en especial respecto a conductas consideradas como graves violaciones de los Derechos Humanos o graves infracciones al Derecho Internacional Humanitario.</w:t>
      </w:r>
      <w:r>
        <w:rPr>
          <w:rFonts w:ascii="Arial" w:eastAsia="Calibri" w:hAnsi="Arial" w:cs="Arial"/>
          <w:sz w:val="20"/>
          <w:szCs w:val="24"/>
          <w:lang w:eastAsia="en-US"/>
        </w:rPr>
        <w:t xml:space="preserve"> (…)</w:t>
      </w:r>
      <w:r w:rsidR="00676F6A">
        <w:rPr>
          <w:rFonts w:ascii="Arial" w:eastAsia="Calibri" w:hAnsi="Arial" w:cs="Arial"/>
          <w:sz w:val="20"/>
          <w:szCs w:val="24"/>
          <w:lang w:eastAsia="en-US"/>
        </w:rPr>
        <w:t xml:space="preserve"> </w:t>
      </w:r>
      <w:r w:rsidR="00676F6A" w:rsidRPr="00676F6A">
        <w:rPr>
          <w:rFonts w:ascii="Arial" w:eastAsia="Calibri" w:hAnsi="Arial" w:cs="Arial"/>
          <w:sz w:val="20"/>
          <w:szCs w:val="24"/>
          <w:lang w:eastAsia="en-US"/>
        </w:rPr>
        <w:t>Conforme al artículo 8º transitorio del Título Transitorio de la Constitución (reiterado en la Ley 1957 de 2019), existe un factor subjetivo de competencia en cabeza del Tribunal Especial para la Paz que se configura al promoverse una acción de tutela de manera expresa en contra de (i) algunos de los órganos que integran la Jurisdicción Especial para la Paz o (ii) las providencias judiciales que los mismos profieran.</w:t>
      </w:r>
    </w:p>
    <w:p w14:paraId="13CA7C32" w14:textId="77777777" w:rsidR="00D66155" w:rsidRPr="00D66155" w:rsidRDefault="00D66155" w:rsidP="00D66155">
      <w:pPr>
        <w:spacing w:after="0" w:line="240" w:lineRule="auto"/>
        <w:jc w:val="both"/>
        <w:rPr>
          <w:rFonts w:ascii="Arial" w:eastAsia="Calibri" w:hAnsi="Arial" w:cs="Arial"/>
          <w:sz w:val="20"/>
          <w:szCs w:val="24"/>
          <w:lang w:eastAsia="en-US"/>
        </w:rPr>
      </w:pPr>
    </w:p>
    <w:p w14:paraId="415213A2" w14:textId="5B19DF4D" w:rsidR="00676F6A" w:rsidRPr="00676F6A" w:rsidRDefault="00676F6A" w:rsidP="00676F6A">
      <w:pPr>
        <w:spacing w:after="0" w:line="240" w:lineRule="auto"/>
        <w:jc w:val="both"/>
        <w:rPr>
          <w:rFonts w:ascii="Arial" w:eastAsia="Calibri" w:hAnsi="Arial" w:cs="Arial"/>
          <w:b/>
          <w:sz w:val="20"/>
          <w:szCs w:val="24"/>
          <w:lang w:eastAsia="en-US"/>
        </w:rPr>
      </w:pPr>
      <w:r w:rsidRPr="00676F6A">
        <w:rPr>
          <w:rFonts w:ascii="Arial" w:eastAsia="Calibri" w:hAnsi="Arial" w:cs="Arial"/>
          <w:b/>
          <w:sz w:val="20"/>
          <w:szCs w:val="24"/>
          <w:lang w:eastAsia="en-US"/>
        </w:rPr>
        <w:t xml:space="preserve">COMPETENCIA / </w:t>
      </w:r>
      <w:r w:rsidR="006564FB">
        <w:rPr>
          <w:rFonts w:ascii="Arial" w:eastAsia="Calibri" w:hAnsi="Arial" w:cs="Arial"/>
          <w:b/>
          <w:sz w:val="20"/>
          <w:szCs w:val="24"/>
          <w:lang w:eastAsia="en-US"/>
        </w:rPr>
        <w:t xml:space="preserve">TUTELA CONTRA DECISIÓN DE LA </w:t>
      </w:r>
      <w:proofErr w:type="spellStart"/>
      <w:r w:rsidR="006564FB">
        <w:rPr>
          <w:rFonts w:ascii="Arial" w:eastAsia="Calibri" w:hAnsi="Arial" w:cs="Arial"/>
          <w:b/>
          <w:sz w:val="20"/>
          <w:szCs w:val="24"/>
          <w:lang w:eastAsia="en-US"/>
        </w:rPr>
        <w:t>JEP</w:t>
      </w:r>
      <w:proofErr w:type="spellEnd"/>
      <w:r w:rsidR="006564FB">
        <w:rPr>
          <w:rFonts w:ascii="Arial" w:eastAsia="Calibri" w:hAnsi="Arial" w:cs="Arial"/>
          <w:b/>
          <w:sz w:val="20"/>
          <w:szCs w:val="24"/>
          <w:lang w:eastAsia="en-US"/>
        </w:rPr>
        <w:t xml:space="preserve"> / SECCIÓN DE REVISIÓN</w:t>
      </w:r>
    </w:p>
    <w:p w14:paraId="5A0B4F79" w14:textId="5B5D2F48" w:rsidR="00D66155" w:rsidRPr="006564FB" w:rsidRDefault="006564FB" w:rsidP="006564FB">
      <w:pPr>
        <w:spacing w:after="0" w:line="240" w:lineRule="auto"/>
        <w:jc w:val="both"/>
        <w:rPr>
          <w:rFonts w:ascii="Arial" w:eastAsia="Calibri" w:hAnsi="Arial" w:cs="Arial"/>
          <w:sz w:val="20"/>
          <w:szCs w:val="24"/>
          <w:lang w:eastAsia="en-US"/>
        </w:rPr>
      </w:pPr>
      <w:r w:rsidRPr="006564FB">
        <w:rPr>
          <w:rFonts w:ascii="Arial" w:eastAsia="Calibri" w:hAnsi="Arial" w:cs="Arial"/>
          <w:sz w:val="20"/>
          <w:szCs w:val="24"/>
          <w:lang w:eastAsia="en-US"/>
        </w:rPr>
        <w:t>Ahora, la Ley 1957 de 2019 en su artículo 97, literal k), dispuso:</w:t>
      </w:r>
      <w:r>
        <w:rPr>
          <w:rFonts w:ascii="Arial" w:eastAsia="Calibri" w:hAnsi="Arial" w:cs="Arial"/>
          <w:sz w:val="20"/>
          <w:szCs w:val="24"/>
          <w:lang w:eastAsia="en-US"/>
        </w:rPr>
        <w:t xml:space="preserve"> </w:t>
      </w:r>
      <w:r w:rsidRPr="006564FB">
        <w:rPr>
          <w:rFonts w:ascii="Arial" w:eastAsia="Calibri" w:hAnsi="Arial" w:cs="Arial"/>
          <w:sz w:val="20"/>
          <w:szCs w:val="24"/>
          <w:lang w:eastAsia="en-US"/>
        </w:rPr>
        <w:t>“</w:t>
      </w:r>
      <w:r>
        <w:rPr>
          <w:rFonts w:ascii="Arial" w:eastAsia="Calibri" w:hAnsi="Arial" w:cs="Arial"/>
          <w:sz w:val="20"/>
          <w:szCs w:val="24"/>
          <w:lang w:eastAsia="en-US"/>
        </w:rPr>
        <w:t>…</w:t>
      </w:r>
      <w:r w:rsidRPr="006564FB">
        <w:rPr>
          <w:rFonts w:ascii="Arial" w:eastAsia="Calibri" w:hAnsi="Arial" w:cs="Arial"/>
          <w:sz w:val="20"/>
          <w:szCs w:val="24"/>
          <w:lang w:eastAsia="en-US"/>
        </w:rPr>
        <w:t xml:space="preserve"> La Sección de Revisión del Tribunal para la Paz tendrá las siguientes funciones:</w:t>
      </w:r>
      <w:r>
        <w:rPr>
          <w:rFonts w:ascii="Arial" w:eastAsia="Calibri" w:hAnsi="Arial" w:cs="Arial"/>
          <w:sz w:val="20"/>
          <w:szCs w:val="24"/>
          <w:lang w:eastAsia="en-US"/>
        </w:rPr>
        <w:t xml:space="preserve"> </w:t>
      </w:r>
      <w:r w:rsidRPr="006564FB">
        <w:rPr>
          <w:rFonts w:ascii="Arial" w:eastAsia="Calibri" w:hAnsi="Arial" w:cs="Arial"/>
          <w:sz w:val="20"/>
          <w:szCs w:val="24"/>
          <w:lang w:eastAsia="en-US"/>
        </w:rPr>
        <w:t>(…)</w:t>
      </w:r>
      <w:r>
        <w:rPr>
          <w:rFonts w:ascii="Arial" w:eastAsia="Calibri" w:hAnsi="Arial" w:cs="Arial"/>
          <w:sz w:val="20"/>
          <w:szCs w:val="24"/>
          <w:lang w:eastAsia="en-US"/>
        </w:rPr>
        <w:t xml:space="preserve"> </w:t>
      </w:r>
      <w:r w:rsidRPr="006564FB">
        <w:rPr>
          <w:rFonts w:ascii="Arial" w:eastAsia="Calibri" w:hAnsi="Arial" w:cs="Arial"/>
          <w:sz w:val="20"/>
          <w:szCs w:val="24"/>
          <w:lang w:eastAsia="en-US"/>
        </w:rPr>
        <w:t>k) Conocer en primera instancia de las acciones de tutela instauradas contra decisiones de la Jurisdicción.”</w:t>
      </w:r>
      <w:r>
        <w:rPr>
          <w:rFonts w:ascii="Arial" w:eastAsia="Calibri" w:hAnsi="Arial" w:cs="Arial"/>
          <w:sz w:val="20"/>
          <w:szCs w:val="24"/>
          <w:lang w:eastAsia="en-US"/>
        </w:rPr>
        <w:t xml:space="preserve"> </w:t>
      </w:r>
      <w:r w:rsidRPr="006564FB">
        <w:rPr>
          <w:rFonts w:ascii="Arial" w:eastAsia="Calibri" w:hAnsi="Arial" w:cs="Arial"/>
          <w:sz w:val="20"/>
          <w:szCs w:val="24"/>
          <w:lang w:eastAsia="en-US"/>
        </w:rPr>
        <w:t>En concordancia con dicha norma, la Corte Constitucional en sentencia C-111-2023, reconoció que “las peticiones de acción de tutela deberán ser presentadas ante el Tribunal para la Paz, único competente para conocer de ellas. La primera instancia será decidida por la Sección de Revisión. La segund</w:t>
      </w:r>
      <w:r>
        <w:rPr>
          <w:rFonts w:ascii="Arial" w:eastAsia="Calibri" w:hAnsi="Arial" w:cs="Arial"/>
          <w:sz w:val="20"/>
          <w:szCs w:val="24"/>
          <w:lang w:eastAsia="en-US"/>
        </w:rPr>
        <w:t>a por la Sección de Apelaciones…”</w:t>
      </w:r>
    </w:p>
    <w:p w14:paraId="3FD201F7" w14:textId="77777777" w:rsidR="00D66155" w:rsidRPr="00D66155" w:rsidRDefault="00D66155" w:rsidP="00D66155">
      <w:pPr>
        <w:spacing w:after="0" w:line="240" w:lineRule="auto"/>
        <w:jc w:val="both"/>
        <w:rPr>
          <w:rFonts w:ascii="Arial" w:eastAsia="Calibri" w:hAnsi="Arial" w:cs="Arial"/>
          <w:sz w:val="20"/>
          <w:szCs w:val="24"/>
          <w:lang w:eastAsia="en-US"/>
        </w:rPr>
      </w:pPr>
    </w:p>
    <w:p w14:paraId="76A246B4" w14:textId="77777777" w:rsidR="00D66155" w:rsidRPr="00D66155" w:rsidRDefault="00D66155" w:rsidP="00D66155">
      <w:pPr>
        <w:spacing w:after="0" w:line="240" w:lineRule="auto"/>
        <w:jc w:val="both"/>
        <w:rPr>
          <w:rFonts w:ascii="Arial" w:eastAsia="Calibri" w:hAnsi="Arial" w:cs="Arial"/>
          <w:sz w:val="20"/>
          <w:szCs w:val="24"/>
          <w:lang w:eastAsia="en-US"/>
        </w:rPr>
      </w:pPr>
    </w:p>
    <w:p w14:paraId="4A7F6FC3" w14:textId="77777777" w:rsidR="00D66155" w:rsidRPr="00D66155" w:rsidRDefault="00D66155" w:rsidP="00D66155">
      <w:pPr>
        <w:spacing w:after="0" w:line="240" w:lineRule="auto"/>
        <w:jc w:val="both"/>
        <w:rPr>
          <w:rFonts w:ascii="Arial" w:eastAsia="Calibri" w:hAnsi="Arial" w:cs="Arial"/>
          <w:sz w:val="20"/>
          <w:szCs w:val="24"/>
          <w:lang w:eastAsia="en-US"/>
        </w:rPr>
      </w:pPr>
    </w:p>
    <w:p w14:paraId="15EF55CC"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b/>
          <w:sz w:val="24"/>
          <w:szCs w:val="24"/>
          <w:lang w:eastAsia="en-US"/>
        </w:rPr>
        <w:t xml:space="preserve">REPUBLICA DE COLOMBIA </w:t>
      </w:r>
    </w:p>
    <w:p w14:paraId="19BB314D"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b/>
          <w:sz w:val="24"/>
          <w:szCs w:val="24"/>
          <w:lang w:eastAsia="en-US"/>
        </w:rPr>
        <w:t>RAMA JUDICIAL DEL PODER PÚBLICO</w:t>
      </w:r>
    </w:p>
    <w:p w14:paraId="3D5F27AC"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noProof/>
          <w:sz w:val="24"/>
          <w:szCs w:val="24"/>
          <w:lang w:val="en-US" w:eastAsia="en-US"/>
        </w:rPr>
        <w:drawing>
          <wp:inline distT="0" distB="0" distL="0" distR="0" wp14:anchorId="3556F5DA" wp14:editId="6422740D">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0681BD04"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b/>
          <w:sz w:val="24"/>
          <w:szCs w:val="24"/>
          <w:lang w:eastAsia="en-US"/>
        </w:rPr>
        <w:t>TRIBUNAL SUPERIOR DEL DISTRITO JUDICIAL DE PEREIRA</w:t>
      </w:r>
    </w:p>
    <w:p w14:paraId="3A3CF987"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b/>
          <w:sz w:val="24"/>
          <w:szCs w:val="24"/>
          <w:lang w:eastAsia="en-US"/>
        </w:rPr>
        <w:t>SALA DE DECISIÓN LABORAL</w:t>
      </w:r>
    </w:p>
    <w:p w14:paraId="503D76ED"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p>
    <w:p w14:paraId="6108357E"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b/>
          <w:sz w:val="24"/>
          <w:szCs w:val="24"/>
          <w:lang w:eastAsia="en-US"/>
        </w:rPr>
        <w:t xml:space="preserve">GERMÁN DARÍO </w:t>
      </w:r>
      <w:proofErr w:type="spellStart"/>
      <w:r w:rsidRPr="00D66155">
        <w:rPr>
          <w:rFonts w:ascii="Bookman Old Style" w:eastAsia="Calibri" w:hAnsi="Bookman Old Style" w:cs="Arial"/>
          <w:b/>
          <w:sz w:val="24"/>
          <w:szCs w:val="24"/>
          <w:lang w:eastAsia="en-US"/>
        </w:rPr>
        <w:t>GÓEZ</w:t>
      </w:r>
      <w:proofErr w:type="spellEnd"/>
      <w:r w:rsidRPr="00D66155">
        <w:rPr>
          <w:rFonts w:ascii="Bookman Old Style" w:eastAsia="Calibri" w:hAnsi="Bookman Old Style" w:cs="Arial"/>
          <w:b/>
          <w:sz w:val="24"/>
          <w:szCs w:val="24"/>
          <w:lang w:eastAsia="en-US"/>
        </w:rPr>
        <w:t xml:space="preserve"> </w:t>
      </w:r>
      <w:proofErr w:type="spellStart"/>
      <w:r w:rsidRPr="00D66155">
        <w:rPr>
          <w:rFonts w:ascii="Bookman Old Style" w:eastAsia="Calibri" w:hAnsi="Bookman Old Style" w:cs="Arial"/>
          <w:b/>
          <w:sz w:val="24"/>
          <w:szCs w:val="24"/>
          <w:lang w:eastAsia="en-US"/>
        </w:rPr>
        <w:t>VINASCO</w:t>
      </w:r>
      <w:proofErr w:type="spellEnd"/>
    </w:p>
    <w:p w14:paraId="12F902FC" w14:textId="77777777" w:rsidR="00D66155" w:rsidRPr="00D66155" w:rsidRDefault="00D66155" w:rsidP="00D66155">
      <w:pPr>
        <w:spacing w:after="0" w:line="240" w:lineRule="auto"/>
        <w:jc w:val="center"/>
        <w:rPr>
          <w:rFonts w:ascii="Bookman Old Style" w:eastAsia="Calibri" w:hAnsi="Bookman Old Style" w:cs="Arial"/>
          <w:b/>
          <w:sz w:val="24"/>
          <w:szCs w:val="24"/>
          <w:lang w:eastAsia="en-US"/>
        </w:rPr>
      </w:pPr>
      <w:r w:rsidRPr="00D66155">
        <w:rPr>
          <w:rFonts w:ascii="Bookman Old Style" w:eastAsia="Calibri" w:hAnsi="Bookman Old Style" w:cs="Arial"/>
          <w:sz w:val="24"/>
          <w:szCs w:val="24"/>
          <w:lang w:eastAsia="en-US"/>
        </w:rPr>
        <w:t>Magistrado Ponente</w:t>
      </w:r>
    </w:p>
    <w:p w14:paraId="75F439B6" w14:textId="77777777" w:rsidR="00D66155" w:rsidRPr="00D66155" w:rsidRDefault="00D66155" w:rsidP="00D66155">
      <w:pPr>
        <w:spacing w:after="0"/>
        <w:jc w:val="both"/>
        <w:rPr>
          <w:rFonts w:ascii="Bookman Old Style" w:eastAsia="Calibri" w:hAnsi="Bookman Old Style" w:cs="Arial"/>
          <w:sz w:val="24"/>
          <w:szCs w:val="24"/>
          <w:lang w:eastAsia="en-US"/>
        </w:rPr>
      </w:pPr>
    </w:p>
    <w:p w14:paraId="04FB3EA3" w14:textId="2212D052" w:rsidR="003407C6" w:rsidRPr="002C0FBD" w:rsidRDefault="003407C6" w:rsidP="002B6F36">
      <w:pPr>
        <w:spacing w:after="0" w:line="360" w:lineRule="auto"/>
        <w:jc w:val="center"/>
        <w:rPr>
          <w:rFonts w:ascii="Bookman Old Style" w:eastAsia="Dotum" w:hAnsi="Bookman Old Style" w:cs="FrankRuehl"/>
          <w:sz w:val="24"/>
          <w:szCs w:val="24"/>
        </w:rPr>
      </w:pPr>
      <w:r w:rsidRPr="002C0FBD">
        <w:rPr>
          <w:rFonts w:ascii="Bookman Old Style" w:eastAsia="Dotum" w:hAnsi="Bookman Old Style" w:cs="FrankRuehl"/>
          <w:sz w:val="24"/>
          <w:szCs w:val="24"/>
        </w:rPr>
        <w:t xml:space="preserve">Pereira, </w:t>
      </w:r>
      <w:r w:rsidR="00711C75">
        <w:rPr>
          <w:rFonts w:ascii="Bookman Old Style" w:eastAsia="Dotum" w:hAnsi="Bookman Old Style" w:cs="FrankRuehl"/>
          <w:sz w:val="24"/>
          <w:szCs w:val="24"/>
        </w:rPr>
        <w:t>doce</w:t>
      </w:r>
      <w:r w:rsidR="003F53E2">
        <w:rPr>
          <w:rFonts w:ascii="Bookman Old Style" w:eastAsia="Dotum" w:hAnsi="Bookman Old Style" w:cs="FrankRuehl"/>
          <w:sz w:val="24"/>
          <w:szCs w:val="24"/>
        </w:rPr>
        <w:t xml:space="preserve"> </w:t>
      </w:r>
      <w:r w:rsidR="00C00591" w:rsidRPr="002C0FBD">
        <w:rPr>
          <w:rFonts w:ascii="Bookman Old Style" w:eastAsia="Dotum" w:hAnsi="Bookman Old Style" w:cs="FrankRuehl"/>
          <w:sz w:val="24"/>
          <w:szCs w:val="24"/>
        </w:rPr>
        <w:t>(</w:t>
      </w:r>
      <w:r w:rsidR="00786B8D">
        <w:rPr>
          <w:rFonts w:ascii="Bookman Old Style" w:eastAsia="Dotum" w:hAnsi="Bookman Old Style" w:cs="FrankRuehl"/>
          <w:sz w:val="24"/>
          <w:szCs w:val="24"/>
        </w:rPr>
        <w:t>1</w:t>
      </w:r>
      <w:r w:rsidR="00711C75">
        <w:rPr>
          <w:rFonts w:ascii="Bookman Old Style" w:eastAsia="Dotum" w:hAnsi="Bookman Old Style" w:cs="FrankRuehl"/>
          <w:sz w:val="24"/>
          <w:szCs w:val="24"/>
        </w:rPr>
        <w:t>2</w:t>
      </w:r>
      <w:r w:rsidR="00786B8D">
        <w:rPr>
          <w:rFonts w:ascii="Bookman Old Style" w:eastAsia="Dotum" w:hAnsi="Bookman Old Style" w:cs="FrankRuehl"/>
          <w:sz w:val="24"/>
          <w:szCs w:val="24"/>
        </w:rPr>
        <w:t xml:space="preserve">) de </w:t>
      </w:r>
      <w:r w:rsidR="00711C75">
        <w:rPr>
          <w:rFonts w:ascii="Bookman Old Style" w:eastAsia="Dotum" w:hAnsi="Bookman Old Style" w:cs="FrankRuehl"/>
          <w:sz w:val="24"/>
          <w:szCs w:val="24"/>
        </w:rPr>
        <w:t>diciembre</w:t>
      </w:r>
      <w:r w:rsidRPr="002C0FBD">
        <w:rPr>
          <w:rFonts w:ascii="Bookman Old Style" w:eastAsia="Dotum" w:hAnsi="Bookman Old Style" w:cs="FrankRuehl"/>
          <w:sz w:val="24"/>
          <w:szCs w:val="24"/>
        </w:rPr>
        <w:t xml:space="preserve"> de dos mil veint</w:t>
      </w:r>
      <w:r w:rsidR="00716F80">
        <w:rPr>
          <w:rFonts w:ascii="Bookman Old Style" w:eastAsia="Dotum" w:hAnsi="Bookman Old Style" w:cs="FrankRuehl"/>
          <w:sz w:val="24"/>
          <w:szCs w:val="24"/>
        </w:rPr>
        <w:t>itrés</w:t>
      </w:r>
      <w:r w:rsidRPr="002C0FBD">
        <w:rPr>
          <w:rFonts w:ascii="Bookman Old Style" w:eastAsia="Dotum" w:hAnsi="Bookman Old Style" w:cs="FrankRuehl"/>
          <w:sz w:val="24"/>
          <w:szCs w:val="24"/>
        </w:rPr>
        <w:t xml:space="preserve"> (202</w:t>
      </w:r>
      <w:r w:rsidR="00716F80">
        <w:rPr>
          <w:rFonts w:ascii="Bookman Old Style" w:eastAsia="Dotum" w:hAnsi="Bookman Old Style" w:cs="FrankRuehl"/>
          <w:sz w:val="24"/>
          <w:szCs w:val="24"/>
        </w:rPr>
        <w:t>3</w:t>
      </w:r>
      <w:r w:rsidRPr="002C0FBD">
        <w:rPr>
          <w:rFonts w:ascii="Bookman Old Style" w:eastAsia="Dotum" w:hAnsi="Bookman Old Style" w:cs="FrankRuehl"/>
          <w:sz w:val="24"/>
          <w:szCs w:val="24"/>
        </w:rPr>
        <w:t>)</w:t>
      </w:r>
    </w:p>
    <w:p w14:paraId="580D2C3C" w14:textId="0C66CD45" w:rsidR="002C0FBD" w:rsidRPr="00D66155" w:rsidRDefault="002C0FBD" w:rsidP="00D66155">
      <w:pPr>
        <w:spacing w:after="0"/>
        <w:rPr>
          <w:rFonts w:ascii="Bookman Old Style" w:eastAsia="Dotum" w:hAnsi="Bookman Old Style" w:cs="FrankRuehl"/>
          <w:sz w:val="24"/>
          <w:szCs w:val="24"/>
        </w:rPr>
      </w:pPr>
    </w:p>
    <w:tbl>
      <w:tblPr>
        <w:tblW w:w="8072" w:type="dxa"/>
        <w:jc w:val="center"/>
        <w:tblLayout w:type="fixed"/>
        <w:tblCellMar>
          <w:left w:w="30" w:type="dxa"/>
          <w:right w:w="30" w:type="dxa"/>
        </w:tblCellMar>
        <w:tblLook w:val="0000" w:firstRow="0" w:lastRow="0" w:firstColumn="0" w:lastColumn="0" w:noHBand="0" w:noVBand="0"/>
      </w:tblPr>
      <w:tblGrid>
        <w:gridCol w:w="2526"/>
        <w:gridCol w:w="5546"/>
      </w:tblGrid>
      <w:tr w:rsidR="002C0FBD" w:rsidRPr="00D66155" w14:paraId="269E1525" w14:textId="77777777" w:rsidTr="00AA0F62">
        <w:trPr>
          <w:trHeight w:val="182"/>
          <w:jc w:val="center"/>
        </w:trPr>
        <w:tc>
          <w:tcPr>
            <w:tcW w:w="2526" w:type="dxa"/>
            <w:tcBorders>
              <w:top w:val="single" w:sz="6" w:space="0" w:color="auto"/>
              <w:left w:val="single" w:sz="6" w:space="0" w:color="auto"/>
              <w:bottom w:val="single" w:sz="6" w:space="0" w:color="auto"/>
              <w:right w:val="single" w:sz="6" w:space="0" w:color="auto"/>
            </w:tcBorders>
            <w:vAlign w:val="bottom"/>
          </w:tcPr>
          <w:p w14:paraId="5AFF473F" w14:textId="79E96237" w:rsidR="002C0FBD" w:rsidRPr="00AA0F62" w:rsidRDefault="00AA0F62" w:rsidP="00AA0F62">
            <w:pPr>
              <w:autoSpaceDE w:val="0"/>
              <w:autoSpaceDN w:val="0"/>
              <w:adjustRightInd w:val="0"/>
              <w:spacing w:after="0" w:line="240" w:lineRule="auto"/>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Tema:</w:t>
            </w:r>
          </w:p>
        </w:tc>
        <w:tc>
          <w:tcPr>
            <w:tcW w:w="5546" w:type="dxa"/>
            <w:tcBorders>
              <w:top w:val="single" w:sz="6" w:space="0" w:color="auto"/>
              <w:left w:val="single" w:sz="6" w:space="0" w:color="auto"/>
              <w:bottom w:val="single" w:sz="6" w:space="0" w:color="auto"/>
              <w:right w:val="single" w:sz="6" w:space="0" w:color="auto"/>
            </w:tcBorders>
            <w:vAlign w:val="bottom"/>
          </w:tcPr>
          <w:p w14:paraId="0E5D2697" w14:textId="56D42D5F" w:rsidR="002C0FBD" w:rsidRPr="00AA0F62" w:rsidRDefault="00AA0F62" w:rsidP="00AA0F62">
            <w:pPr>
              <w:autoSpaceDE w:val="0"/>
              <w:autoSpaceDN w:val="0"/>
              <w:adjustRightInd w:val="0"/>
              <w:spacing w:after="0" w:line="240" w:lineRule="auto"/>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 xml:space="preserve">Acción de </w:t>
            </w:r>
            <w:r>
              <w:rPr>
                <w:rFonts w:ascii="Bookman Old Style" w:eastAsia="Dotum" w:hAnsi="Bookman Old Style" w:cs="Tahoma"/>
                <w:bCs/>
                <w:color w:val="000000"/>
                <w:szCs w:val="24"/>
              </w:rPr>
              <w:t>Tutela</w:t>
            </w:r>
          </w:p>
        </w:tc>
      </w:tr>
      <w:tr w:rsidR="002C0FBD" w:rsidRPr="00D66155" w14:paraId="25AE2B93" w14:textId="77777777" w:rsidTr="00AA0F62">
        <w:trPr>
          <w:trHeight w:val="201"/>
          <w:jc w:val="center"/>
        </w:trPr>
        <w:tc>
          <w:tcPr>
            <w:tcW w:w="2526" w:type="dxa"/>
            <w:tcBorders>
              <w:top w:val="single" w:sz="6" w:space="0" w:color="auto"/>
              <w:left w:val="single" w:sz="6" w:space="0" w:color="auto"/>
              <w:bottom w:val="single" w:sz="6" w:space="0" w:color="auto"/>
              <w:right w:val="single" w:sz="6" w:space="0" w:color="auto"/>
            </w:tcBorders>
            <w:vAlign w:val="bottom"/>
          </w:tcPr>
          <w:p w14:paraId="199DFF51" w14:textId="3AC5A9C6" w:rsidR="002C0FBD" w:rsidRPr="00AA0F62" w:rsidRDefault="00AA0F62" w:rsidP="00AA0F62">
            <w:pPr>
              <w:autoSpaceDE w:val="0"/>
              <w:autoSpaceDN w:val="0"/>
              <w:adjustRightInd w:val="0"/>
              <w:spacing w:after="0" w:line="240" w:lineRule="auto"/>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Accionante:</w:t>
            </w:r>
          </w:p>
        </w:tc>
        <w:tc>
          <w:tcPr>
            <w:tcW w:w="5546" w:type="dxa"/>
            <w:tcBorders>
              <w:top w:val="single" w:sz="6" w:space="0" w:color="auto"/>
              <w:left w:val="single" w:sz="6" w:space="0" w:color="auto"/>
              <w:bottom w:val="single" w:sz="6" w:space="0" w:color="auto"/>
              <w:right w:val="single" w:sz="6" w:space="0" w:color="auto"/>
            </w:tcBorders>
            <w:vAlign w:val="bottom"/>
          </w:tcPr>
          <w:p w14:paraId="5D5875DB" w14:textId="441DD3E6" w:rsidR="002C0FBD" w:rsidRPr="00AA0F62" w:rsidRDefault="00AA0F62" w:rsidP="00AA0F62">
            <w:pPr>
              <w:autoSpaceDE w:val="0"/>
              <w:autoSpaceDN w:val="0"/>
              <w:adjustRightInd w:val="0"/>
              <w:spacing w:after="0" w:line="240" w:lineRule="auto"/>
              <w:jc w:val="both"/>
              <w:rPr>
                <w:rFonts w:ascii="Bookman Old Style" w:eastAsia="Dotum" w:hAnsi="Bookman Old Style" w:cs="Tahoma"/>
                <w:bCs/>
                <w:color w:val="000000"/>
                <w:szCs w:val="24"/>
              </w:rPr>
            </w:pPr>
            <w:r w:rsidRPr="00AA0F62">
              <w:rPr>
                <w:rFonts w:ascii="Bookman Old Style" w:eastAsia="Dotum" w:hAnsi="Bookman Old Style" w:cs="Tahoma"/>
                <w:bCs/>
                <w:szCs w:val="24"/>
              </w:rPr>
              <w:t>Fabio Andrés Sánchez Córdoba</w:t>
            </w:r>
          </w:p>
        </w:tc>
      </w:tr>
      <w:tr w:rsidR="002C0FBD" w:rsidRPr="00D66155" w14:paraId="610E575C" w14:textId="77777777" w:rsidTr="00AA0F62">
        <w:trPr>
          <w:trHeight w:val="771"/>
          <w:jc w:val="center"/>
        </w:trPr>
        <w:tc>
          <w:tcPr>
            <w:tcW w:w="2526" w:type="dxa"/>
            <w:tcBorders>
              <w:top w:val="single" w:sz="6" w:space="0" w:color="auto"/>
              <w:left w:val="single" w:sz="6" w:space="0" w:color="auto"/>
              <w:bottom w:val="single" w:sz="6" w:space="0" w:color="auto"/>
              <w:right w:val="single" w:sz="6" w:space="0" w:color="auto"/>
            </w:tcBorders>
            <w:vAlign w:val="center"/>
          </w:tcPr>
          <w:p w14:paraId="25CA7827" w14:textId="70DBD58F" w:rsidR="002C0FBD" w:rsidRPr="00AA0F62" w:rsidRDefault="00AA0F62" w:rsidP="00AA0F62">
            <w:pPr>
              <w:autoSpaceDE w:val="0"/>
              <w:autoSpaceDN w:val="0"/>
              <w:adjustRightInd w:val="0"/>
              <w:spacing w:after="0" w:line="240" w:lineRule="auto"/>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Accionado:</w:t>
            </w:r>
          </w:p>
        </w:tc>
        <w:tc>
          <w:tcPr>
            <w:tcW w:w="5546" w:type="dxa"/>
            <w:tcBorders>
              <w:top w:val="single" w:sz="6" w:space="0" w:color="auto"/>
              <w:left w:val="single" w:sz="6" w:space="0" w:color="auto"/>
              <w:bottom w:val="single" w:sz="6" w:space="0" w:color="auto"/>
              <w:right w:val="single" w:sz="6" w:space="0" w:color="auto"/>
            </w:tcBorders>
            <w:vAlign w:val="bottom"/>
          </w:tcPr>
          <w:p w14:paraId="63702A29" w14:textId="17E04A57" w:rsidR="002C0FBD" w:rsidRPr="00AA0F62" w:rsidRDefault="00AA0F62" w:rsidP="00AA0F62">
            <w:pPr>
              <w:autoSpaceDE w:val="0"/>
              <w:autoSpaceDN w:val="0"/>
              <w:adjustRightInd w:val="0"/>
              <w:spacing w:after="0" w:line="240" w:lineRule="auto"/>
              <w:jc w:val="both"/>
              <w:rPr>
                <w:rFonts w:ascii="Bookman Old Style" w:eastAsia="Dotum" w:hAnsi="Bookman Old Style" w:cs="Tahoma"/>
                <w:bCs/>
                <w:color w:val="000000"/>
                <w:szCs w:val="24"/>
              </w:rPr>
            </w:pPr>
            <w:r w:rsidRPr="00AA0F62">
              <w:rPr>
                <w:rFonts w:ascii="Bookman Old Style" w:eastAsia="Dotum" w:hAnsi="Bookman Old Style" w:cs="FrankRuehl"/>
                <w:szCs w:val="24"/>
              </w:rPr>
              <w:t xml:space="preserve">Jurisdicción Especial para la Paz Sala de Definición de Situaciones Jurídicas </w:t>
            </w:r>
            <w:proofErr w:type="spellStart"/>
            <w:r w:rsidRPr="00AA0F62">
              <w:rPr>
                <w:rFonts w:ascii="Bookman Old Style" w:eastAsia="Dotum" w:hAnsi="Bookman Old Style" w:cs="FrankRuehl"/>
                <w:szCs w:val="24"/>
              </w:rPr>
              <w:t>Subsala</w:t>
            </w:r>
            <w:proofErr w:type="spellEnd"/>
            <w:r w:rsidRPr="00AA0F62">
              <w:rPr>
                <w:rFonts w:ascii="Bookman Old Style" w:eastAsia="Dotum" w:hAnsi="Bookman Old Style" w:cs="FrankRuehl"/>
                <w:szCs w:val="24"/>
              </w:rPr>
              <w:t xml:space="preserve"> Especial de Decisión y Conocimiento </w:t>
            </w:r>
            <w:r>
              <w:rPr>
                <w:rFonts w:ascii="Bookman Old Style" w:eastAsia="Dotum" w:hAnsi="Bookman Old Style" w:cs="FrankRuehl"/>
                <w:szCs w:val="24"/>
              </w:rPr>
              <w:t>–</w:t>
            </w:r>
            <w:r w:rsidR="00711C75" w:rsidRPr="00AA0F62">
              <w:rPr>
                <w:rFonts w:ascii="Bookman Old Style" w:eastAsia="Dotum" w:hAnsi="Bookman Old Style" w:cs="FrankRuehl"/>
                <w:szCs w:val="24"/>
              </w:rPr>
              <w:t xml:space="preserve"> </w:t>
            </w:r>
            <w:proofErr w:type="spellStart"/>
            <w:r w:rsidR="00711C75" w:rsidRPr="00AA0F62">
              <w:rPr>
                <w:rFonts w:ascii="Bookman Old Style" w:eastAsia="Dotum" w:hAnsi="Bookman Old Style" w:cs="FrankRuehl"/>
                <w:szCs w:val="24"/>
              </w:rPr>
              <w:t>JEP</w:t>
            </w:r>
            <w:proofErr w:type="spellEnd"/>
          </w:p>
        </w:tc>
      </w:tr>
      <w:tr w:rsidR="002C0FBD" w:rsidRPr="00D66155" w14:paraId="6D01FC94" w14:textId="77777777" w:rsidTr="00AA0F62">
        <w:trPr>
          <w:trHeight w:val="149"/>
          <w:jc w:val="center"/>
        </w:trPr>
        <w:tc>
          <w:tcPr>
            <w:tcW w:w="2526" w:type="dxa"/>
            <w:tcBorders>
              <w:top w:val="single" w:sz="6" w:space="0" w:color="auto"/>
              <w:left w:val="single" w:sz="6" w:space="0" w:color="auto"/>
              <w:bottom w:val="single" w:sz="6" w:space="0" w:color="auto"/>
              <w:right w:val="single" w:sz="6" w:space="0" w:color="auto"/>
            </w:tcBorders>
            <w:vAlign w:val="bottom"/>
          </w:tcPr>
          <w:p w14:paraId="7E3A56E9" w14:textId="63F81D31" w:rsidR="002C0FBD" w:rsidRPr="00AA0F62" w:rsidRDefault="00AA0F62" w:rsidP="00AA0F62">
            <w:pPr>
              <w:autoSpaceDE w:val="0"/>
              <w:autoSpaceDN w:val="0"/>
              <w:adjustRightInd w:val="0"/>
              <w:spacing w:after="0" w:line="240" w:lineRule="auto"/>
              <w:jc w:val="both"/>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Radicado:</w:t>
            </w:r>
          </w:p>
        </w:tc>
        <w:tc>
          <w:tcPr>
            <w:tcW w:w="5546" w:type="dxa"/>
            <w:tcBorders>
              <w:top w:val="single" w:sz="6" w:space="0" w:color="auto"/>
              <w:left w:val="single" w:sz="6" w:space="0" w:color="auto"/>
              <w:bottom w:val="single" w:sz="6" w:space="0" w:color="auto"/>
              <w:right w:val="single" w:sz="6" w:space="0" w:color="auto"/>
            </w:tcBorders>
            <w:vAlign w:val="bottom"/>
          </w:tcPr>
          <w:p w14:paraId="1F251777" w14:textId="6415F529" w:rsidR="002C0FBD" w:rsidRPr="00AA0F62" w:rsidRDefault="00786B8D" w:rsidP="00AA0F62">
            <w:pPr>
              <w:autoSpaceDE w:val="0"/>
              <w:autoSpaceDN w:val="0"/>
              <w:adjustRightInd w:val="0"/>
              <w:spacing w:after="0" w:line="240" w:lineRule="auto"/>
              <w:jc w:val="both"/>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6600122</w:t>
            </w:r>
            <w:r w:rsidR="004F7CAD">
              <w:rPr>
                <w:rFonts w:ascii="Bookman Old Style" w:eastAsia="Dotum" w:hAnsi="Bookman Old Style" w:cs="Tahoma"/>
                <w:bCs/>
                <w:color w:val="000000"/>
                <w:szCs w:val="24"/>
              </w:rPr>
              <w:t>05000202310067</w:t>
            </w:r>
            <w:r w:rsidR="00711C75" w:rsidRPr="00AA0F62">
              <w:rPr>
                <w:rFonts w:ascii="Bookman Old Style" w:eastAsia="Dotum" w:hAnsi="Bookman Old Style" w:cs="Tahoma"/>
                <w:bCs/>
                <w:color w:val="000000"/>
                <w:szCs w:val="24"/>
              </w:rPr>
              <w:t>00</w:t>
            </w:r>
          </w:p>
        </w:tc>
      </w:tr>
      <w:tr w:rsidR="002C0FBD" w:rsidRPr="00D66155" w14:paraId="6248D932" w14:textId="77777777" w:rsidTr="00AA0F62">
        <w:trPr>
          <w:trHeight w:val="166"/>
          <w:jc w:val="center"/>
        </w:trPr>
        <w:tc>
          <w:tcPr>
            <w:tcW w:w="2526" w:type="dxa"/>
            <w:tcBorders>
              <w:top w:val="single" w:sz="6" w:space="0" w:color="auto"/>
              <w:left w:val="single" w:sz="6" w:space="0" w:color="auto"/>
              <w:bottom w:val="single" w:sz="6" w:space="0" w:color="auto"/>
              <w:right w:val="single" w:sz="6" w:space="0" w:color="auto"/>
            </w:tcBorders>
            <w:vAlign w:val="bottom"/>
          </w:tcPr>
          <w:p w14:paraId="0043BD7E" w14:textId="3F8B90A8" w:rsidR="002C0FBD" w:rsidRPr="00AA0F62" w:rsidRDefault="00AA0F62" w:rsidP="00AA0F62">
            <w:pPr>
              <w:autoSpaceDE w:val="0"/>
              <w:autoSpaceDN w:val="0"/>
              <w:adjustRightInd w:val="0"/>
              <w:spacing w:after="0" w:line="240" w:lineRule="auto"/>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Asunto:</w:t>
            </w:r>
          </w:p>
        </w:tc>
        <w:tc>
          <w:tcPr>
            <w:tcW w:w="5546" w:type="dxa"/>
            <w:tcBorders>
              <w:top w:val="single" w:sz="6" w:space="0" w:color="auto"/>
              <w:left w:val="single" w:sz="6" w:space="0" w:color="auto"/>
              <w:bottom w:val="single" w:sz="6" w:space="0" w:color="auto"/>
              <w:right w:val="single" w:sz="6" w:space="0" w:color="auto"/>
            </w:tcBorders>
            <w:vAlign w:val="bottom"/>
          </w:tcPr>
          <w:p w14:paraId="41C94AD6" w14:textId="56B79CB4" w:rsidR="002C0FBD" w:rsidRPr="00AA0F62" w:rsidRDefault="003F53E2" w:rsidP="00AA0F62">
            <w:pPr>
              <w:autoSpaceDE w:val="0"/>
              <w:autoSpaceDN w:val="0"/>
              <w:adjustRightInd w:val="0"/>
              <w:spacing w:after="0" w:line="240" w:lineRule="auto"/>
              <w:jc w:val="both"/>
              <w:rPr>
                <w:rFonts w:ascii="Bookman Old Style" w:eastAsia="Dotum" w:hAnsi="Bookman Old Style" w:cs="Tahoma"/>
                <w:bCs/>
                <w:color w:val="000000"/>
                <w:szCs w:val="24"/>
              </w:rPr>
            </w:pPr>
            <w:r w:rsidRPr="00AA0F62">
              <w:rPr>
                <w:rFonts w:ascii="Bookman Old Style" w:eastAsia="Dotum" w:hAnsi="Bookman Old Style" w:cs="Tahoma"/>
                <w:bCs/>
                <w:color w:val="000000"/>
                <w:szCs w:val="24"/>
              </w:rPr>
              <w:t>Remite por Competencia Funcional</w:t>
            </w:r>
          </w:p>
        </w:tc>
      </w:tr>
    </w:tbl>
    <w:p w14:paraId="5EDD90E1" w14:textId="77777777" w:rsidR="002C0FBD" w:rsidRPr="00D66155" w:rsidRDefault="002C0FBD" w:rsidP="00D66155">
      <w:pPr>
        <w:spacing w:after="0"/>
        <w:rPr>
          <w:rFonts w:ascii="Bookman Old Style" w:eastAsia="Dotum" w:hAnsi="Bookman Old Style" w:cs="FrankRuehl"/>
          <w:sz w:val="24"/>
          <w:szCs w:val="24"/>
        </w:rPr>
      </w:pPr>
    </w:p>
    <w:p w14:paraId="6A5D0A4B" w14:textId="33BD078E" w:rsidR="003F53E2" w:rsidRPr="00D66155" w:rsidRDefault="003F53E2"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Times New Roman" w:hAnsi="Bookman Old Style"/>
          <w:bCs/>
          <w:sz w:val="24"/>
          <w:szCs w:val="24"/>
          <w:lang w:eastAsia="es-ES"/>
        </w:rPr>
        <w:t xml:space="preserve">Procede el Despacho a estudiar la competencia para conocer en grado constitucional la </w:t>
      </w:r>
      <w:r w:rsidRPr="00AD4558">
        <w:rPr>
          <w:rFonts w:ascii="Bookman Old Style" w:eastAsia="Times New Roman" w:hAnsi="Bookman Old Style"/>
          <w:b/>
          <w:bCs/>
          <w:sz w:val="24"/>
          <w:szCs w:val="24"/>
          <w:lang w:eastAsia="es-ES"/>
        </w:rPr>
        <w:t>Acción de Tutela</w:t>
      </w:r>
      <w:r w:rsidRPr="00D66155">
        <w:rPr>
          <w:rFonts w:ascii="Bookman Old Style" w:eastAsia="Times New Roman" w:hAnsi="Bookman Old Style"/>
          <w:bCs/>
          <w:sz w:val="24"/>
          <w:szCs w:val="24"/>
          <w:lang w:eastAsia="es-ES"/>
        </w:rPr>
        <w:t xml:space="preserve">, instaurada por el señor </w:t>
      </w:r>
      <w:r w:rsidR="00711C75" w:rsidRPr="00AD4558">
        <w:rPr>
          <w:rFonts w:ascii="Bookman Old Style" w:eastAsia="Dotum" w:hAnsi="Bookman Old Style" w:cs="Tahoma"/>
          <w:b/>
          <w:bCs/>
          <w:sz w:val="24"/>
          <w:szCs w:val="24"/>
        </w:rPr>
        <w:t>FABIO ANDRÉS SÁNCHEZ CÓRDOBA</w:t>
      </w:r>
      <w:r w:rsidRPr="00D66155">
        <w:rPr>
          <w:rFonts w:ascii="Bookman Old Style" w:eastAsia="Dotum" w:hAnsi="Bookman Old Style" w:cs="Tahoma"/>
          <w:bCs/>
          <w:sz w:val="24"/>
          <w:szCs w:val="24"/>
        </w:rPr>
        <w:t xml:space="preserve">, en contra de la </w:t>
      </w:r>
      <w:r w:rsidR="00711C75" w:rsidRPr="00AD4558">
        <w:rPr>
          <w:rFonts w:ascii="Bookman Old Style" w:eastAsia="Dotum" w:hAnsi="Bookman Old Style" w:cs="FrankRuehl"/>
          <w:b/>
          <w:sz w:val="24"/>
          <w:szCs w:val="24"/>
        </w:rPr>
        <w:t xml:space="preserve">JURISDICCIÓN ESPECIAL PARA LA PAZ SALA DE DEFINICIÓN DE SITUACIONES JURÍDICAS SUBSALA ESPECIAL DE DECISIÓN Y CONOCIMIENTO </w:t>
      </w:r>
      <w:r w:rsidR="00AD4558">
        <w:rPr>
          <w:rFonts w:ascii="Bookman Old Style" w:eastAsia="Dotum" w:hAnsi="Bookman Old Style" w:cs="FrankRuehl"/>
          <w:b/>
          <w:sz w:val="24"/>
          <w:szCs w:val="24"/>
        </w:rPr>
        <w:t>–</w:t>
      </w:r>
      <w:r w:rsidR="00711C75" w:rsidRPr="00AD4558">
        <w:rPr>
          <w:rFonts w:ascii="Bookman Old Style" w:eastAsia="Dotum" w:hAnsi="Bookman Old Style" w:cs="FrankRuehl"/>
          <w:b/>
          <w:sz w:val="24"/>
          <w:szCs w:val="24"/>
        </w:rPr>
        <w:t xml:space="preserve"> </w:t>
      </w:r>
      <w:proofErr w:type="spellStart"/>
      <w:r w:rsidR="00711C75" w:rsidRPr="00AD4558">
        <w:rPr>
          <w:rFonts w:ascii="Bookman Old Style" w:eastAsia="Dotum" w:hAnsi="Bookman Old Style" w:cs="FrankRuehl"/>
          <w:b/>
          <w:sz w:val="24"/>
          <w:szCs w:val="24"/>
        </w:rPr>
        <w:t>JEP</w:t>
      </w:r>
      <w:proofErr w:type="spellEnd"/>
      <w:r w:rsidR="00786B8D" w:rsidRPr="00D66155">
        <w:rPr>
          <w:rFonts w:ascii="Bookman Old Style" w:eastAsia="Dotum" w:hAnsi="Bookman Old Style" w:cs="FrankRuehl"/>
          <w:sz w:val="24"/>
          <w:szCs w:val="24"/>
        </w:rPr>
        <w:t xml:space="preserve">, allegada por reparto del </w:t>
      </w:r>
      <w:r w:rsidR="00711C75" w:rsidRPr="00D66155">
        <w:rPr>
          <w:rFonts w:ascii="Bookman Old Style" w:eastAsia="Dotum" w:hAnsi="Bookman Old Style" w:cs="FrankRuehl"/>
          <w:sz w:val="24"/>
          <w:szCs w:val="24"/>
        </w:rPr>
        <w:t>12 de diciembre</w:t>
      </w:r>
      <w:r w:rsidR="00786B8D" w:rsidRPr="00D66155">
        <w:rPr>
          <w:rFonts w:ascii="Bookman Old Style" w:eastAsia="Dotum" w:hAnsi="Bookman Old Style" w:cs="FrankRuehl"/>
          <w:sz w:val="24"/>
          <w:szCs w:val="24"/>
        </w:rPr>
        <w:t xml:space="preserve"> de 2023 y remitida por la Secretaría de este Tribunal el </w:t>
      </w:r>
      <w:r w:rsidR="00711C75" w:rsidRPr="00D66155">
        <w:rPr>
          <w:rFonts w:ascii="Bookman Old Style" w:eastAsia="Dotum" w:hAnsi="Bookman Old Style" w:cs="FrankRuehl"/>
          <w:sz w:val="24"/>
          <w:szCs w:val="24"/>
        </w:rPr>
        <w:t>mismo día</w:t>
      </w:r>
      <w:r w:rsidR="00786B8D" w:rsidRPr="00D66155">
        <w:rPr>
          <w:rFonts w:ascii="Bookman Old Style" w:eastAsia="Dotum" w:hAnsi="Bookman Old Style" w:cs="FrankRuehl"/>
          <w:sz w:val="24"/>
          <w:szCs w:val="24"/>
        </w:rPr>
        <w:t xml:space="preserve">, </w:t>
      </w:r>
      <w:r w:rsidRPr="00D66155">
        <w:rPr>
          <w:rFonts w:ascii="Bookman Old Style" w:eastAsia="Dotum" w:hAnsi="Bookman Old Style" w:cs="FrankRuehl"/>
          <w:sz w:val="24"/>
          <w:szCs w:val="24"/>
        </w:rPr>
        <w:t>en razón a la competencia funcional, dispuesta en el Decreto No. 333 del 2021.</w:t>
      </w:r>
    </w:p>
    <w:p w14:paraId="58ABCA89" w14:textId="5185C70E" w:rsidR="003F53E2" w:rsidRPr="00D66155" w:rsidRDefault="003F53E2" w:rsidP="00D66155">
      <w:pPr>
        <w:autoSpaceDE w:val="0"/>
        <w:autoSpaceDN w:val="0"/>
        <w:adjustRightInd w:val="0"/>
        <w:spacing w:after="0"/>
        <w:jc w:val="both"/>
        <w:rPr>
          <w:rFonts w:ascii="Bookman Old Style" w:eastAsia="Dotum" w:hAnsi="Bookman Old Style" w:cs="FrankRuehl"/>
          <w:sz w:val="24"/>
          <w:szCs w:val="24"/>
        </w:rPr>
      </w:pPr>
    </w:p>
    <w:p w14:paraId="14324366" w14:textId="5D12845F" w:rsidR="003F53E2" w:rsidRPr="00D66155" w:rsidRDefault="003F53E2" w:rsidP="00D66155">
      <w:pPr>
        <w:autoSpaceDE w:val="0"/>
        <w:autoSpaceDN w:val="0"/>
        <w:adjustRightInd w:val="0"/>
        <w:spacing w:after="0"/>
        <w:jc w:val="center"/>
        <w:rPr>
          <w:rFonts w:ascii="Bookman Old Style" w:eastAsia="Dotum" w:hAnsi="Bookman Old Style" w:cs="FrankRuehl"/>
          <w:b/>
          <w:sz w:val="24"/>
          <w:szCs w:val="24"/>
        </w:rPr>
      </w:pPr>
      <w:r w:rsidRPr="00D66155">
        <w:rPr>
          <w:rFonts w:ascii="Bookman Old Style" w:eastAsia="Dotum" w:hAnsi="Bookman Old Style" w:cs="FrankRuehl"/>
          <w:b/>
          <w:sz w:val="24"/>
          <w:szCs w:val="24"/>
        </w:rPr>
        <w:t>ANTECEDENTES</w:t>
      </w:r>
    </w:p>
    <w:p w14:paraId="2A6D0A21" w14:textId="342A50C2" w:rsidR="003F53E2" w:rsidRPr="00D66155" w:rsidRDefault="003F53E2" w:rsidP="00D66155">
      <w:pPr>
        <w:autoSpaceDE w:val="0"/>
        <w:autoSpaceDN w:val="0"/>
        <w:adjustRightInd w:val="0"/>
        <w:spacing w:after="0"/>
        <w:jc w:val="center"/>
        <w:rPr>
          <w:rFonts w:ascii="Bookman Old Style" w:eastAsia="Dotum" w:hAnsi="Bookman Old Style" w:cs="FrankRuehl"/>
          <w:b/>
          <w:sz w:val="24"/>
          <w:szCs w:val="24"/>
        </w:rPr>
      </w:pPr>
    </w:p>
    <w:p w14:paraId="7C099269" w14:textId="682F5A9B" w:rsidR="00711C75" w:rsidRPr="00D66155" w:rsidRDefault="00711C75"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sz w:val="24"/>
          <w:szCs w:val="24"/>
        </w:rPr>
        <w:t>El accionante pretende se tutelen sus derechos fundamentales al debido proceso, a la igualdad, al acceso a la administración de justicia y a la legalidad</w:t>
      </w:r>
      <w:r w:rsidR="00083110" w:rsidRPr="00D66155">
        <w:rPr>
          <w:rFonts w:ascii="Bookman Old Style" w:eastAsia="Dotum" w:hAnsi="Bookman Old Style" w:cs="FrankRuehl"/>
          <w:sz w:val="24"/>
          <w:szCs w:val="24"/>
        </w:rPr>
        <w:t xml:space="preserve">, pues considera que han sido vulnerados por la accionada al expedir la </w:t>
      </w:r>
      <w:r w:rsidR="00083110" w:rsidRPr="00D66155">
        <w:rPr>
          <w:rFonts w:ascii="Bookman Old Style" w:eastAsia="Dotum" w:hAnsi="Bookman Old Style" w:cs="FrankRuehl"/>
          <w:sz w:val="24"/>
          <w:szCs w:val="24"/>
        </w:rPr>
        <w:lastRenderedPageBreak/>
        <w:t>Resolución No. 3804 del 17 de noviembre de 2023. Sostiene que la JEP incurrió en un defecto sustantivo porque efectuó una interpretación errada de los hechos “</w:t>
      </w:r>
      <w:r w:rsidR="00083110" w:rsidRPr="00AD4558">
        <w:rPr>
          <w:rFonts w:ascii="Bookman Old Style" w:eastAsia="Dotum" w:hAnsi="Bookman Old Style" w:cs="FrankRuehl"/>
          <w:i/>
          <w:szCs w:val="24"/>
        </w:rPr>
        <w:t>para dar ajustes de legalidad a su decisión de Homologar al criminal de lesa humanidad SALVATORE MANCUSO GOMEZ</w:t>
      </w:r>
      <w:r w:rsidR="00083110" w:rsidRPr="00D66155">
        <w:rPr>
          <w:rFonts w:ascii="Bookman Old Style" w:eastAsia="Dotum" w:hAnsi="Bookman Old Style" w:cs="FrankRuehl"/>
          <w:i/>
          <w:sz w:val="24"/>
          <w:szCs w:val="24"/>
        </w:rPr>
        <w:t xml:space="preserve">”. </w:t>
      </w:r>
      <w:r w:rsidR="00083110" w:rsidRPr="00D66155">
        <w:rPr>
          <w:rFonts w:ascii="Bookman Old Style" w:eastAsia="Dotum" w:hAnsi="Bookman Old Style" w:cs="FrankRuehl"/>
          <w:sz w:val="24"/>
          <w:szCs w:val="24"/>
        </w:rPr>
        <w:t>Conforme a ello, solicita se deje sin efectos la Resolución No. 3804 de 2023 y se ordene a la JEP proferir una nueva decisión donde se convoque a los miembros de las Fuerzas Públicas como víctimas de fraude procesal, teniendo en cuenta los lineamientos establecidos en la ley y la jurisprudencia aplicables al caso concreto.</w:t>
      </w:r>
    </w:p>
    <w:p w14:paraId="65468E95" w14:textId="77777777" w:rsidR="00711C75" w:rsidRPr="00D66155" w:rsidRDefault="00711C75" w:rsidP="00D66155">
      <w:pPr>
        <w:autoSpaceDE w:val="0"/>
        <w:autoSpaceDN w:val="0"/>
        <w:adjustRightInd w:val="0"/>
        <w:spacing w:after="0"/>
        <w:jc w:val="both"/>
        <w:rPr>
          <w:rFonts w:ascii="Bookman Old Style" w:eastAsia="Dotum" w:hAnsi="Bookman Old Style" w:cs="FrankRuehl"/>
          <w:sz w:val="24"/>
          <w:szCs w:val="24"/>
        </w:rPr>
      </w:pPr>
    </w:p>
    <w:p w14:paraId="527893B1" w14:textId="7BB3DDE6" w:rsidR="006C19FB" w:rsidRPr="00D66155" w:rsidRDefault="006C19FB"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sz w:val="24"/>
          <w:szCs w:val="24"/>
        </w:rPr>
        <w:t>En atención a lo anterior, se harán la siguientes,</w:t>
      </w:r>
    </w:p>
    <w:p w14:paraId="514AEDE7" w14:textId="42958944" w:rsidR="006C19FB" w:rsidRPr="00D66155" w:rsidRDefault="006C19FB" w:rsidP="00D66155">
      <w:pPr>
        <w:autoSpaceDE w:val="0"/>
        <w:autoSpaceDN w:val="0"/>
        <w:adjustRightInd w:val="0"/>
        <w:spacing w:after="0"/>
        <w:jc w:val="both"/>
        <w:rPr>
          <w:rFonts w:ascii="Bookman Old Style" w:eastAsia="Dotum" w:hAnsi="Bookman Old Style" w:cs="FrankRuehl"/>
          <w:sz w:val="24"/>
          <w:szCs w:val="24"/>
        </w:rPr>
      </w:pPr>
    </w:p>
    <w:p w14:paraId="7DBFC114" w14:textId="5D8311E1" w:rsidR="006C19FB" w:rsidRPr="00D66155" w:rsidRDefault="006C19FB" w:rsidP="00D66155">
      <w:pPr>
        <w:autoSpaceDE w:val="0"/>
        <w:autoSpaceDN w:val="0"/>
        <w:adjustRightInd w:val="0"/>
        <w:spacing w:after="0"/>
        <w:jc w:val="center"/>
        <w:rPr>
          <w:rFonts w:ascii="Bookman Old Style" w:eastAsia="Dotum" w:hAnsi="Bookman Old Style" w:cs="FrankRuehl"/>
          <w:b/>
          <w:sz w:val="24"/>
          <w:szCs w:val="24"/>
        </w:rPr>
      </w:pPr>
      <w:r w:rsidRPr="00D66155">
        <w:rPr>
          <w:rFonts w:ascii="Bookman Old Style" w:eastAsia="Dotum" w:hAnsi="Bookman Old Style" w:cs="FrankRuehl"/>
          <w:b/>
          <w:sz w:val="24"/>
          <w:szCs w:val="24"/>
        </w:rPr>
        <w:t>CONSIDERACIONES</w:t>
      </w:r>
    </w:p>
    <w:p w14:paraId="0851BD4F" w14:textId="42D827A3" w:rsidR="006C19FB" w:rsidRPr="00D66155" w:rsidRDefault="006C19FB" w:rsidP="00D66155">
      <w:pPr>
        <w:autoSpaceDE w:val="0"/>
        <w:autoSpaceDN w:val="0"/>
        <w:adjustRightInd w:val="0"/>
        <w:spacing w:after="0"/>
        <w:jc w:val="center"/>
        <w:rPr>
          <w:rFonts w:ascii="Bookman Old Style" w:eastAsia="Dotum" w:hAnsi="Bookman Old Style" w:cs="FrankRuehl"/>
          <w:b/>
          <w:sz w:val="24"/>
          <w:szCs w:val="24"/>
        </w:rPr>
      </w:pPr>
    </w:p>
    <w:p w14:paraId="5B0A0586" w14:textId="2908D96C"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r w:rsidRPr="00D66155">
        <w:rPr>
          <w:rFonts w:ascii="Bookman Old Style" w:eastAsia="Dotum" w:hAnsi="Bookman Old Style" w:cs="Tahoma"/>
          <w:bCs/>
          <w:sz w:val="24"/>
          <w:szCs w:val="24"/>
        </w:rPr>
        <w:t xml:space="preserve">La </w:t>
      </w:r>
      <w:r w:rsidRPr="00D66155">
        <w:rPr>
          <w:rFonts w:ascii="Bookman Old Style" w:eastAsia="Dotum" w:hAnsi="Bookman Old Style" w:cs="Tahoma"/>
          <w:b/>
          <w:bCs/>
          <w:sz w:val="24"/>
          <w:szCs w:val="24"/>
        </w:rPr>
        <w:t>Jurisdicción Especial para la Paz</w:t>
      </w:r>
      <w:r w:rsidRPr="00D66155">
        <w:rPr>
          <w:rFonts w:ascii="Bookman Old Style" w:eastAsia="Dotum" w:hAnsi="Bookman Old Style" w:cs="Tahoma"/>
          <w:bCs/>
          <w:sz w:val="24"/>
          <w:szCs w:val="24"/>
        </w:rPr>
        <w:t xml:space="preserve"> es el componente judicial del sistema integral y tiene como objetivo investigar y sancionar las conductas cometidas con anterioridad al 1° de diciembre de 2016, por causa, con ocasión o en relación directa o indirecta con el conflicto armado colombiano, en especial respecto a conductas consideradas como graves violaciones de los Derechos Humanos o graves infracciones al Derecho Internacional Humanitario. En este sentido, para cumplir con su mandato, la JEP cuenta con tres Salas de Justicia, a saber: (i) la Sala de Amnistía o Indulto; (ii) la Sala de Definición de Situaciones Jurídicas; y, (iii) la Sala de Reconocimiento de Verdad, de Responsabilidad y de Determinación de los Hechos y Conductas. Además, cuenta con un </w:t>
      </w:r>
      <w:r w:rsidRPr="00D66155">
        <w:rPr>
          <w:rFonts w:ascii="Bookman Old Style" w:eastAsia="Dotum" w:hAnsi="Bookman Old Style" w:cs="Tahoma"/>
          <w:b/>
          <w:bCs/>
          <w:sz w:val="24"/>
          <w:szCs w:val="24"/>
        </w:rPr>
        <w:t>Tribunal para la Paz</w:t>
      </w:r>
      <w:r w:rsidRPr="00D66155">
        <w:rPr>
          <w:rFonts w:ascii="Bookman Old Style" w:eastAsia="Dotum" w:hAnsi="Bookman Old Style" w:cs="Tahoma"/>
          <w:bCs/>
          <w:sz w:val="24"/>
          <w:szCs w:val="24"/>
        </w:rPr>
        <w:t>, que es el órgano de cierre y la máxima instancia de dicha jurisdicción, compuesto por cinco secciones cada una con sus funciones autónomas e independientes, así: dos secciones de primera instancia para (i) Casos de Reconocimiento de Verdad y Responsabilidad –</w:t>
      </w:r>
      <w:proofErr w:type="spellStart"/>
      <w:r w:rsidRPr="00D66155">
        <w:rPr>
          <w:rFonts w:ascii="Bookman Old Style" w:eastAsia="Dotum" w:hAnsi="Bookman Old Style" w:cs="Tahoma"/>
          <w:bCs/>
          <w:sz w:val="24"/>
          <w:szCs w:val="24"/>
        </w:rPr>
        <w:t>SecRVR</w:t>
      </w:r>
      <w:proofErr w:type="spellEnd"/>
      <w:r w:rsidRPr="00D66155">
        <w:rPr>
          <w:rFonts w:ascii="Bookman Old Style" w:eastAsia="Dotum" w:hAnsi="Bookman Old Style" w:cs="Tahoma"/>
          <w:bCs/>
          <w:sz w:val="24"/>
          <w:szCs w:val="24"/>
        </w:rPr>
        <w:t>– y para (ii) Casos de Ausencia de Reconocimiento de Verdad y Responsabilidad –</w:t>
      </w:r>
      <w:proofErr w:type="spellStart"/>
      <w:r w:rsidRPr="00D66155">
        <w:rPr>
          <w:rFonts w:ascii="Bookman Old Style" w:eastAsia="Dotum" w:hAnsi="Bookman Old Style" w:cs="Tahoma"/>
          <w:bCs/>
          <w:sz w:val="24"/>
          <w:szCs w:val="24"/>
        </w:rPr>
        <w:t>SecARVR</w:t>
      </w:r>
      <w:proofErr w:type="spellEnd"/>
      <w:r w:rsidRPr="00D66155">
        <w:rPr>
          <w:rFonts w:ascii="Bookman Old Style" w:eastAsia="Dotum" w:hAnsi="Bookman Old Style" w:cs="Tahoma"/>
          <w:bCs/>
          <w:sz w:val="24"/>
          <w:szCs w:val="24"/>
        </w:rPr>
        <w:t>–; (iii) una Sección de Revisión de Sentencias; (iv) una Sección de Apelación; y, (v) una Sección de Estabilidad y Eficacia.</w:t>
      </w:r>
    </w:p>
    <w:p w14:paraId="78F3B534" w14:textId="77777777"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p>
    <w:p w14:paraId="6251FA7D" w14:textId="2A82DA0C" w:rsidR="00083110" w:rsidRPr="00D66155" w:rsidRDefault="00083110" w:rsidP="00D66155">
      <w:pPr>
        <w:autoSpaceDE w:val="0"/>
        <w:autoSpaceDN w:val="0"/>
        <w:adjustRightInd w:val="0"/>
        <w:spacing w:after="0"/>
        <w:jc w:val="both"/>
        <w:rPr>
          <w:rFonts w:ascii="Bookman Old Style" w:eastAsia="Dotum" w:hAnsi="Bookman Old Style" w:cs="Tahoma"/>
          <w:bCs/>
          <w:sz w:val="24"/>
          <w:szCs w:val="24"/>
        </w:rPr>
      </w:pPr>
      <w:r w:rsidRPr="00D66155">
        <w:rPr>
          <w:rFonts w:ascii="Bookman Old Style" w:eastAsia="Dotum" w:hAnsi="Bookman Old Style" w:cs="Tahoma"/>
          <w:bCs/>
          <w:sz w:val="24"/>
          <w:szCs w:val="24"/>
        </w:rPr>
        <w:t>Conforme al artículo 8º transitorio del Título Transitorio de la Constitución (reiterado en la Ley 1957 de 2019), e</w:t>
      </w:r>
      <w:r w:rsidR="00BE5149" w:rsidRPr="00D66155">
        <w:rPr>
          <w:rFonts w:ascii="Bookman Old Style" w:eastAsia="Dotum" w:hAnsi="Bookman Old Style" w:cs="Tahoma"/>
          <w:bCs/>
          <w:sz w:val="24"/>
          <w:szCs w:val="24"/>
        </w:rPr>
        <w:t>xiste un</w:t>
      </w:r>
      <w:r w:rsidRPr="00D66155">
        <w:rPr>
          <w:rFonts w:ascii="Bookman Old Style" w:eastAsia="Dotum" w:hAnsi="Bookman Old Style" w:cs="Tahoma"/>
          <w:bCs/>
          <w:sz w:val="24"/>
          <w:szCs w:val="24"/>
        </w:rPr>
        <w:t xml:space="preserve"> </w:t>
      </w:r>
      <w:r w:rsidRPr="00D66155">
        <w:rPr>
          <w:rFonts w:ascii="Bookman Old Style" w:eastAsia="Dotum" w:hAnsi="Bookman Old Style" w:cs="Tahoma"/>
          <w:b/>
          <w:bCs/>
          <w:sz w:val="24"/>
          <w:szCs w:val="24"/>
        </w:rPr>
        <w:t>factor subjetivo</w:t>
      </w:r>
      <w:r w:rsidRPr="00D66155">
        <w:rPr>
          <w:rFonts w:ascii="Bookman Old Style" w:eastAsia="Dotum" w:hAnsi="Bookman Old Style" w:cs="Tahoma"/>
          <w:bCs/>
          <w:sz w:val="24"/>
          <w:szCs w:val="24"/>
        </w:rPr>
        <w:t xml:space="preserve"> de competencia en cabeza del Tribunal Especial para la Paz</w:t>
      </w:r>
      <w:r w:rsidR="00BE5149" w:rsidRPr="00D66155">
        <w:rPr>
          <w:rFonts w:ascii="Bookman Old Style" w:eastAsia="Dotum" w:hAnsi="Bookman Old Style" w:cs="Tahoma"/>
          <w:bCs/>
          <w:sz w:val="24"/>
          <w:szCs w:val="24"/>
        </w:rPr>
        <w:t xml:space="preserve"> que</w:t>
      </w:r>
      <w:r w:rsidRPr="00D66155">
        <w:rPr>
          <w:rFonts w:ascii="Bookman Old Style" w:eastAsia="Dotum" w:hAnsi="Bookman Old Style" w:cs="Tahoma"/>
          <w:bCs/>
          <w:sz w:val="24"/>
          <w:szCs w:val="24"/>
        </w:rPr>
        <w:t xml:space="preserve"> se configura al promoverse una acción de tutela de manera expresa en contra de (i) algunos de los órganos que integran la Jurisdicción Especial para la Paz o (ii) las providencias judiciales que los mismos profieran.</w:t>
      </w:r>
    </w:p>
    <w:p w14:paraId="5DFA93A9" w14:textId="70FF9EF2"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p>
    <w:p w14:paraId="1981A0FA" w14:textId="63221C68"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r w:rsidRPr="00D66155">
        <w:rPr>
          <w:rFonts w:ascii="Bookman Old Style" w:eastAsia="Dotum" w:hAnsi="Bookman Old Style" w:cs="Tahoma"/>
          <w:bCs/>
          <w:sz w:val="24"/>
          <w:szCs w:val="24"/>
        </w:rPr>
        <w:t>Ahora, la Ley 1957 de 2019 en su artículo 97, literal k), dispuso:</w:t>
      </w:r>
    </w:p>
    <w:p w14:paraId="4CF19766" w14:textId="6B4A08E8"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p>
    <w:p w14:paraId="0718E671" w14:textId="67B589C1" w:rsidR="00BE5149" w:rsidRPr="00AD4558" w:rsidRDefault="00BE5149" w:rsidP="00AD4558">
      <w:pPr>
        <w:autoSpaceDE w:val="0"/>
        <w:autoSpaceDN w:val="0"/>
        <w:adjustRightInd w:val="0"/>
        <w:spacing w:after="0" w:line="240" w:lineRule="auto"/>
        <w:ind w:left="426" w:right="418"/>
        <w:jc w:val="both"/>
        <w:rPr>
          <w:rFonts w:ascii="Bookman Old Style" w:eastAsia="Dotum" w:hAnsi="Bookman Old Style" w:cs="Tahoma"/>
          <w:bCs/>
          <w:i/>
          <w:szCs w:val="24"/>
        </w:rPr>
      </w:pPr>
      <w:r w:rsidRPr="00AD4558">
        <w:rPr>
          <w:rFonts w:ascii="Bookman Old Style" w:eastAsia="Dotum" w:hAnsi="Bookman Old Style" w:cs="Tahoma"/>
          <w:bCs/>
          <w:szCs w:val="24"/>
        </w:rPr>
        <w:t>“</w:t>
      </w:r>
      <w:r w:rsidRPr="00AD4558">
        <w:rPr>
          <w:rFonts w:ascii="Bookman Old Style" w:eastAsia="Dotum" w:hAnsi="Bookman Old Style" w:cs="Tahoma"/>
          <w:bCs/>
          <w:i/>
          <w:szCs w:val="24"/>
        </w:rPr>
        <w:t xml:space="preserve">ARTÍCULO 97. SECCIÓN DE REVISIÓN. La Sección de </w:t>
      </w:r>
      <w:r w:rsidR="00284B12" w:rsidRPr="00AD4558">
        <w:rPr>
          <w:rFonts w:ascii="Bookman Old Style" w:eastAsia="Dotum" w:hAnsi="Bookman Old Style" w:cs="Tahoma"/>
          <w:bCs/>
          <w:i/>
          <w:szCs w:val="24"/>
        </w:rPr>
        <w:t xml:space="preserve">Revisión </w:t>
      </w:r>
      <w:r w:rsidRPr="00AD4558">
        <w:rPr>
          <w:rFonts w:ascii="Bookman Old Style" w:eastAsia="Dotum" w:hAnsi="Bookman Old Style" w:cs="Tahoma"/>
          <w:bCs/>
          <w:i/>
          <w:szCs w:val="24"/>
        </w:rPr>
        <w:t xml:space="preserve">del Tribunal para la </w:t>
      </w:r>
      <w:r w:rsidR="00284B12" w:rsidRPr="00AD4558">
        <w:rPr>
          <w:rFonts w:ascii="Bookman Old Style" w:eastAsia="Dotum" w:hAnsi="Bookman Old Style" w:cs="Tahoma"/>
          <w:bCs/>
          <w:i/>
          <w:szCs w:val="24"/>
        </w:rPr>
        <w:t xml:space="preserve">Paz </w:t>
      </w:r>
      <w:r w:rsidRPr="00AD4558">
        <w:rPr>
          <w:rFonts w:ascii="Bookman Old Style" w:eastAsia="Dotum" w:hAnsi="Bookman Old Style" w:cs="Tahoma"/>
          <w:bCs/>
          <w:i/>
          <w:szCs w:val="24"/>
        </w:rPr>
        <w:t>tendrá las siguientes funciones:</w:t>
      </w:r>
    </w:p>
    <w:p w14:paraId="783A1A3F" w14:textId="77777777" w:rsidR="00BE5149" w:rsidRPr="00AD4558" w:rsidRDefault="00BE5149" w:rsidP="00AD4558">
      <w:pPr>
        <w:autoSpaceDE w:val="0"/>
        <w:autoSpaceDN w:val="0"/>
        <w:adjustRightInd w:val="0"/>
        <w:spacing w:after="0" w:line="240" w:lineRule="auto"/>
        <w:ind w:left="426" w:right="418"/>
        <w:jc w:val="both"/>
        <w:rPr>
          <w:rFonts w:ascii="Bookman Old Style" w:eastAsia="Dotum" w:hAnsi="Bookman Old Style" w:cs="Tahoma"/>
          <w:bCs/>
          <w:szCs w:val="24"/>
        </w:rPr>
      </w:pPr>
      <w:r w:rsidRPr="00AD4558">
        <w:rPr>
          <w:rFonts w:ascii="Bookman Old Style" w:eastAsia="Dotum" w:hAnsi="Bookman Old Style" w:cs="Tahoma"/>
          <w:bCs/>
          <w:szCs w:val="24"/>
        </w:rPr>
        <w:t>(…)</w:t>
      </w:r>
    </w:p>
    <w:p w14:paraId="124498DB" w14:textId="2809E66D" w:rsidR="00BE5149" w:rsidRPr="00AD4558" w:rsidRDefault="00BE5149" w:rsidP="00AD4558">
      <w:pPr>
        <w:autoSpaceDE w:val="0"/>
        <w:autoSpaceDN w:val="0"/>
        <w:adjustRightInd w:val="0"/>
        <w:spacing w:after="0" w:line="240" w:lineRule="auto"/>
        <w:ind w:left="426" w:right="418"/>
        <w:jc w:val="both"/>
        <w:rPr>
          <w:rFonts w:ascii="Bookman Old Style" w:eastAsia="Dotum" w:hAnsi="Bookman Old Style" w:cs="Tahoma"/>
          <w:bCs/>
          <w:i/>
          <w:szCs w:val="24"/>
        </w:rPr>
      </w:pPr>
      <w:r w:rsidRPr="00AD4558">
        <w:rPr>
          <w:rFonts w:ascii="Bookman Old Style" w:eastAsia="Dotum" w:hAnsi="Bookman Old Style" w:cs="Tahoma"/>
          <w:bCs/>
          <w:i/>
          <w:szCs w:val="24"/>
        </w:rPr>
        <w:t>k) Conocer en primera instancia de las acciones de tutela instauradas contra decisiones de la Jurisdicción.”</w:t>
      </w:r>
    </w:p>
    <w:p w14:paraId="1ED9B4F9" w14:textId="210071FA" w:rsidR="00BE5149" w:rsidRPr="00AD4558" w:rsidRDefault="00BE5149" w:rsidP="00AD4558">
      <w:pPr>
        <w:autoSpaceDE w:val="0"/>
        <w:autoSpaceDN w:val="0"/>
        <w:adjustRightInd w:val="0"/>
        <w:spacing w:after="0" w:line="240" w:lineRule="auto"/>
        <w:ind w:left="426" w:right="418"/>
        <w:jc w:val="both"/>
        <w:rPr>
          <w:rFonts w:ascii="Bookman Old Style" w:eastAsia="Dotum" w:hAnsi="Bookman Old Style" w:cs="Tahoma"/>
          <w:bCs/>
          <w:i/>
          <w:szCs w:val="24"/>
        </w:rPr>
      </w:pPr>
    </w:p>
    <w:p w14:paraId="29213C2B" w14:textId="30E995FC" w:rsidR="00BE5149" w:rsidRPr="00AD4558" w:rsidRDefault="00BE5149" w:rsidP="00AD4558">
      <w:pPr>
        <w:autoSpaceDE w:val="0"/>
        <w:autoSpaceDN w:val="0"/>
        <w:adjustRightInd w:val="0"/>
        <w:spacing w:after="0" w:line="240" w:lineRule="auto"/>
        <w:ind w:left="426" w:right="418"/>
        <w:jc w:val="both"/>
        <w:rPr>
          <w:rFonts w:ascii="Bookman Old Style" w:eastAsia="Dotum" w:hAnsi="Bookman Old Style" w:cs="Tahoma"/>
          <w:bCs/>
          <w:szCs w:val="24"/>
        </w:rPr>
      </w:pPr>
      <w:r w:rsidRPr="00AD4558">
        <w:rPr>
          <w:rFonts w:ascii="Bookman Old Style" w:eastAsia="Dotum" w:hAnsi="Bookman Old Style" w:cs="Tahoma"/>
          <w:bCs/>
          <w:szCs w:val="24"/>
        </w:rPr>
        <w:t>En concordancia con dicha norma, la Corte Constitucional en sentencia C-111-2023, reconoció que “</w:t>
      </w:r>
      <w:r w:rsidRPr="00AD4558">
        <w:rPr>
          <w:rFonts w:ascii="Bookman Old Style" w:eastAsia="Dotum" w:hAnsi="Bookman Old Style" w:cs="Tahoma"/>
          <w:bCs/>
          <w:i/>
          <w:szCs w:val="24"/>
        </w:rPr>
        <w:t xml:space="preserve">las peticiones de acción de tutela deberán ser presentadas ante el Tribunal para la Paz, único competente para conocer de ellas. </w:t>
      </w:r>
      <w:r w:rsidRPr="00AD4558">
        <w:rPr>
          <w:rFonts w:ascii="Bookman Old Style" w:eastAsia="Dotum" w:hAnsi="Bookman Old Style" w:cs="Tahoma"/>
          <w:b/>
          <w:bCs/>
          <w:i/>
          <w:szCs w:val="24"/>
        </w:rPr>
        <w:t>La primera instancia será decidida por la Sección de Revisión</w:t>
      </w:r>
      <w:r w:rsidRPr="00AD4558">
        <w:rPr>
          <w:rFonts w:ascii="Bookman Old Style" w:eastAsia="Dotum" w:hAnsi="Bookman Old Style" w:cs="Tahoma"/>
          <w:bCs/>
          <w:i/>
          <w:szCs w:val="24"/>
        </w:rPr>
        <w:t xml:space="preserve">. La </w:t>
      </w:r>
      <w:r w:rsidRPr="00AD4558">
        <w:rPr>
          <w:rFonts w:ascii="Bookman Old Style" w:eastAsia="Dotum" w:hAnsi="Bookman Old Style" w:cs="Tahoma"/>
          <w:bCs/>
          <w:i/>
          <w:szCs w:val="24"/>
        </w:rPr>
        <w:lastRenderedPageBreak/>
        <w:t>segunda por la Sección de Apelaciones. El fallo de tutela podrá ser revisado por la Corte Constitucional”.</w:t>
      </w:r>
      <w:r w:rsidR="00632907" w:rsidRPr="00AD4558">
        <w:rPr>
          <w:rFonts w:ascii="Bookman Old Style" w:eastAsia="Dotum" w:hAnsi="Bookman Old Style" w:cs="Tahoma"/>
          <w:bCs/>
          <w:i/>
          <w:szCs w:val="24"/>
        </w:rPr>
        <w:t xml:space="preserve"> </w:t>
      </w:r>
      <w:r w:rsidR="00632907" w:rsidRPr="00AD4558">
        <w:rPr>
          <w:rFonts w:ascii="Bookman Old Style" w:eastAsia="Dotum" w:hAnsi="Bookman Old Style" w:cs="Tahoma"/>
          <w:bCs/>
          <w:szCs w:val="24"/>
        </w:rPr>
        <w:t>(Negrilla fuera de texto)</w:t>
      </w:r>
    </w:p>
    <w:p w14:paraId="660F77BA" w14:textId="77777777" w:rsidR="00083110" w:rsidRPr="00D66155" w:rsidRDefault="00083110" w:rsidP="00D66155">
      <w:pPr>
        <w:autoSpaceDE w:val="0"/>
        <w:autoSpaceDN w:val="0"/>
        <w:adjustRightInd w:val="0"/>
        <w:spacing w:after="0"/>
        <w:jc w:val="both"/>
        <w:rPr>
          <w:rFonts w:ascii="Bookman Old Style" w:eastAsia="Dotum" w:hAnsi="Bookman Old Style" w:cs="Tahoma"/>
          <w:bCs/>
          <w:sz w:val="24"/>
          <w:szCs w:val="24"/>
        </w:rPr>
      </w:pPr>
    </w:p>
    <w:p w14:paraId="0DDBBA98" w14:textId="5F09D322" w:rsidR="00BE5149" w:rsidRPr="00D66155" w:rsidRDefault="00BE5149" w:rsidP="00D66155">
      <w:pPr>
        <w:autoSpaceDE w:val="0"/>
        <w:autoSpaceDN w:val="0"/>
        <w:adjustRightInd w:val="0"/>
        <w:spacing w:after="0"/>
        <w:jc w:val="both"/>
        <w:rPr>
          <w:rFonts w:ascii="Bookman Old Style" w:eastAsia="Dotum" w:hAnsi="Bookman Old Style" w:cs="Tahoma"/>
          <w:bCs/>
          <w:sz w:val="24"/>
          <w:szCs w:val="24"/>
        </w:rPr>
      </w:pPr>
      <w:r w:rsidRPr="00D66155">
        <w:rPr>
          <w:rFonts w:ascii="Bookman Old Style" w:eastAsia="Dotum" w:hAnsi="Bookman Old Style" w:cs="Tahoma"/>
          <w:bCs/>
          <w:sz w:val="24"/>
          <w:szCs w:val="24"/>
        </w:rPr>
        <w:t>Así pues, como quiera que la presente acción de tutela presentada por el señor FABIO ANDRÉS SÁNCHEZ CÓRDOBA</w:t>
      </w:r>
      <w:r w:rsidR="0080218B" w:rsidRPr="00D66155">
        <w:rPr>
          <w:rFonts w:ascii="Bookman Old Style" w:eastAsia="Dotum" w:hAnsi="Bookman Old Style" w:cs="Tahoma"/>
          <w:bCs/>
          <w:sz w:val="24"/>
          <w:szCs w:val="24"/>
        </w:rPr>
        <w:t xml:space="preserve"> es contra una de las salas de la JEP, no son aplicables las reglas de reparto del Decreto 333 de 2021, sino la norma especial de la Ley 1957 de 2019 que dispone que las acciones de tutela en contra de esa Jurisdicción, en primera instancia las conoce la Sección de Revisión de la JEP, por tanto, el conocimiento le corresponde a esa dependencia.</w:t>
      </w:r>
    </w:p>
    <w:p w14:paraId="393F6E4E" w14:textId="77777777" w:rsidR="0080218B" w:rsidRPr="00D66155" w:rsidRDefault="0080218B" w:rsidP="00D66155">
      <w:pPr>
        <w:autoSpaceDE w:val="0"/>
        <w:autoSpaceDN w:val="0"/>
        <w:adjustRightInd w:val="0"/>
        <w:spacing w:after="0"/>
        <w:jc w:val="both"/>
        <w:rPr>
          <w:rFonts w:ascii="Bookman Old Style" w:eastAsia="Dotum" w:hAnsi="Bookman Old Style" w:cs="Tahoma"/>
          <w:bCs/>
          <w:sz w:val="24"/>
          <w:szCs w:val="24"/>
        </w:rPr>
      </w:pPr>
    </w:p>
    <w:p w14:paraId="012E89B6" w14:textId="333CD795" w:rsidR="000B3A0B" w:rsidRPr="00D66155" w:rsidRDefault="000B3A0B"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sz w:val="24"/>
          <w:szCs w:val="24"/>
        </w:rPr>
        <w:t xml:space="preserve">En ese sentido, se advierte que este Despacho carece de competencia funcional para ocuparse del presente asunto, de manera que, se estima que el competente para asumir el conocimiento de la acción de la tutela propuesta, es de los </w:t>
      </w:r>
      <w:r w:rsidR="006F6F3F" w:rsidRPr="00D66155">
        <w:rPr>
          <w:rFonts w:ascii="Bookman Old Style" w:eastAsia="Dotum" w:hAnsi="Bookman Old Style" w:cs="FrankRuehl"/>
          <w:sz w:val="24"/>
          <w:szCs w:val="24"/>
        </w:rPr>
        <w:t>Magistrados</w:t>
      </w:r>
      <w:r w:rsidRPr="00D66155">
        <w:rPr>
          <w:rFonts w:ascii="Bookman Old Style" w:eastAsia="Dotum" w:hAnsi="Bookman Old Style" w:cs="FrankRuehl"/>
          <w:sz w:val="24"/>
          <w:szCs w:val="24"/>
        </w:rPr>
        <w:t xml:space="preserve"> </w:t>
      </w:r>
      <w:r w:rsidR="006F6F3F" w:rsidRPr="00D66155">
        <w:rPr>
          <w:rFonts w:ascii="Bookman Old Style" w:eastAsia="Dotum" w:hAnsi="Bookman Old Style" w:cs="FrankRuehl"/>
          <w:sz w:val="24"/>
          <w:szCs w:val="24"/>
        </w:rPr>
        <w:t xml:space="preserve">de </w:t>
      </w:r>
      <w:r w:rsidR="00632907" w:rsidRPr="00D66155">
        <w:rPr>
          <w:rFonts w:ascii="Bookman Old Style" w:eastAsia="Dotum" w:hAnsi="Bookman Old Style" w:cs="Tahoma"/>
          <w:bCs/>
          <w:sz w:val="24"/>
          <w:szCs w:val="24"/>
        </w:rPr>
        <w:t xml:space="preserve">SECCIÓN DE REVISIÓN DE LA JURISDICCIÓN ESPECIAL PARA LA PAZ </w:t>
      </w:r>
      <w:r w:rsidRPr="00D66155">
        <w:rPr>
          <w:rFonts w:ascii="Bookman Old Style" w:eastAsia="Dotum" w:hAnsi="Bookman Old Style" w:cs="FrankRuehl"/>
          <w:sz w:val="24"/>
          <w:szCs w:val="24"/>
        </w:rPr>
        <w:t>a donde se dispondrá la remisión para el correspondiente reparto, por medio de la Secretaría de la Sala Laboral.</w:t>
      </w:r>
    </w:p>
    <w:p w14:paraId="726DB4AD" w14:textId="75B95252" w:rsidR="000B3A0B" w:rsidRPr="00D66155" w:rsidRDefault="000B3A0B" w:rsidP="00D66155">
      <w:pPr>
        <w:autoSpaceDE w:val="0"/>
        <w:autoSpaceDN w:val="0"/>
        <w:adjustRightInd w:val="0"/>
        <w:spacing w:after="0"/>
        <w:jc w:val="both"/>
        <w:rPr>
          <w:rFonts w:ascii="Bookman Old Style" w:eastAsia="Dotum" w:hAnsi="Bookman Old Style" w:cs="FrankRuehl"/>
          <w:sz w:val="24"/>
          <w:szCs w:val="24"/>
        </w:rPr>
      </w:pPr>
    </w:p>
    <w:p w14:paraId="0780B5CD" w14:textId="5C7D23AC" w:rsidR="000B3A0B" w:rsidRPr="00D66155" w:rsidRDefault="000B3A0B"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sz w:val="24"/>
          <w:szCs w:val="24"/>
        </w:rPr>
        <w:t>Por lo expuesto, se</w:t>
      </w:r>
    </w:p>
    <w:p w14:paraId="5F26A7DB" w14:textId="3A9C858C" w:rsidR="000B3A0B" w:rsidRPr="00D66155" w:rsidRDefault="000B3A0B" w:rsidP="00D66155">
      <w:pPr>
        <w:autoSpaceDE w:val="0"/>
        <w:autoSpaceDN w:val="0"/>
        <w:adjustRightInd w:val="0"/>
        <w:spacing w:after="0"/>
        <w:jc w:val="center"/>
        <w:rPr>
          <w:rFonts w:ascii="Bookman Old Style" w:eastAsia="Dotum" w:hAnsi="Bookman Old Style" w:cs="FrankRuehl"/>
          <w:b/>
          <w:sz w:val="24"/>
          <w:szCs w:val="24"/>
        </w:rPr>
      </w:pPr>
      <w:r w:rsidRPr="00D66155">
        <w:rPr>
          <w:rFonts w:ascii="Bookman Old Style" w:eastAsia="Dotum" w:hAnsi="Bookman Old Style" w:cs="FrankRuehl"/>
          <w:b/>
          <w:sz w:val="24"/>
          <w:szCs w:val="24"/>
        </w:rPr>
        <w:t>RESUELVE</w:t>
      </w:r>
    </w:p>
    <w:p w14:paraId="21BC25ED" w14:textId="4A07B550" w:rsidR="000B3A0B" w:rsidRPr="00D66155" w:rsidRDefault="000B3A0B" w:rsidP="00D66155">
      <w:pPr>
        <w:autoSpaceDE w:val="0"/>
        <w:autoSpaceDN w:val="0"/>
        <w:adjustRightInd w:val="0"/>
        <w:spacing w:after="0"/>
        <w:jc w:val="center"/>
        <w:rPr>
          <w:rFonts w:ascii="Bookman Old Style" w:eastAsia="Dotum" w:hAnsi="Bookman Old Style" w:cs="FrankRuehl"/>
          <w:b/>
          <w:sz w:val="24"/>
          <w:szCs w:val="24"/>
        </w:rPr>
      </w:pPr>
    </w:p>
    <w:p w14:paraId="24C38B17" w14:textId="21E64268" w:rsidR="000B3A0B" w:rsidRPr="00D66155" w:rsidRDefault="000B3A0B"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b/>
          <w:sz w:val="24"/>
          <w:szCs w:val="24"/>
        </w:rPr>
        <w:t xml:space="preserve">PRIMERO: DECLARAR LA FALTA DE COMPETENCIA </w:t>
      </w:r>
      <w:r w:rsidRPr="00D66155">
        <w:rPr>
          <w:rFonts w:ascii="Bookman Old Style" w:eastAsia="Dotum" w:hAnsi="Bookman Old Style" w:cs="FrankRuehl"/>
          <w:sz w:val="24"/>
          <w:szCs w:val="24"/>
        </w:rPr>
        <w:t>para conocer de la Acción de Tutela, instaurada por el señor</w:t>
      </w:r>
      <w:r w:rsidRPr="00D66155">
        <w:rPr>
          <w:rFonts w:ascii="Bookman Old Style" w:eastAsia="Dotum" w:hAnsi="Bookman Old Style" w:cs="FrankRuehl"/>
          <w:b/>
          <w:sz w:val="24"/>
          <w:szCs w:val="24"/>
        </w:rPr>
        <w:t xml:space="preserve"> </w:t>
      </w:r>
      <w:r w:rsidR="0080218B" w:rsidRPr="00D66155">
        <w:rPr>
          <w:rFonts w:ascii="Bookman Old Style" w:eastAsia="Dotum" w:hAnsi="Bookman Old Style" w:cs="Tahoma"/>
          <w:bCs/>
          <w:sz w:val="24"/>
          <w:szCs w:val="24"/>
        </w:rPr>
        <w:t>FABIO ANDRÉS SÁNCHEZ CÓRDOBA</w:t>
      </w:r>
      <w:r w:rsidR="006F6F3F" w:rsidRPr="00D66155">
        <w:rPr>
          <w:rFonts w:ascii="Bookman Old Style" w:eastAsia="Dotum" w:hAnsi="Bookman Old Style" w:cs="Tahoma"/>
          <w:bCs/>
          <w:sz w:val="24"/>
          <w:szCs w:val="24"/>
        </w:rPr>
        <w:t xml:space="preserve">, en contra de la </w:t>
      </w:r>
      <w:r w:rsidR="0080218B" w:rsidRPr="00D66155">
        <w:rPr>
          <w:rFonts w:ascii="Bookman Old Style" w:eastAsia="Dotum" w:hAnsi="Bookman Old Style" w:cs="FrankRuehl"/>
          <w:sz w:val="24"/>
          <w:szCs w:val="24"/>
        </w:rPr>
        <w:t>JURISDICCIÓN ESPECIAL PARA LA PAZ SALA DE DEFINICIÓN DE SITUACIONES JURÍDICAS SUBSALA ESPECIAL DE DECISIÓN Y CONOCIMIENTO - JEP</w:t>
      </w:r>
      <w:r w:rsidR="006C478D" w:rsidRPr="00D66155">
        <w:rPr>
          <w:rFonts w:ascii="Bookman Old Style" w:eastAsia="Dotum" w:hAnsi="Bookman Old Style" w:cs="FrankRuehl"/>
          <w:sz w:val="24"/>
          <w:szCs w:val="24"/>
        </w:rPr>
        <w:t>, atendiendo a los motivos expuestos conforme antecede.</w:t>
      </w:r>
    </w:p>
    <w:p w14:paraId="052178AE" w14:textId="701F57A4" w:rsidR="006C478D" w:rsidRPr="00D66155" w:rsidRDefault="006C478D" w:rsidP="00D66155">
      <w:pPr>
        <w:autoSpaceDE w:val="0"/>
        <w:autoSpaceDN w:val="0"/>
        <w:adjustRightInd w:val="0"/>
        <w:spacing w:after="0"/>
        <w:jc w:val="both"/>
        <w:rPr>
          <w:rFonts w:ascii="Bookman Old Style" w:eastAsia="Dotum" w:hAnsi="Bookman Old Style" w:cs="FrankRuehl"/>
          <w:sz w:val="24"/>
          <w:szCs w:val="24"/>
        </w:rPr>
      </w:pPr>
    </w:p>
    <w:p w14:paraId="2AC0AF57" w14:textId="41D56D34" w:rsidR="006C478D" w:rsidRPr="00D66155" w:rsidRDefault="006C478D" w:rsidP="00D66155">
      <w:pPr>
        <w:autoSpaceDE w:val="0"/>
        <w:autoSpaceDN w:val="0"/>
        <w:adjustRightInd w:val="0"/>
        <w:spacing w:after="0"/>
        <w:jc w:val="both"/>
        <w:rPr>
          <w:rFonts w:ascii="Bookman Old Style" w:eastAsia="Dotum" w:hAnsi="Bookman Old Style" w:cs="Tahoma"/>
          <w:bCs/>
          <w:sz w:val="24"/>
          <w:szCs w:val="24"/>
        </w:rPr>
      </w:pPr>
      <w:r w:rsidRPr="00D66155">
        <w:rPr>
          <w:rFonts w:ascii="Bookman Old Style" w:eastAsia="Dotum" w:hAnsi="Bookman Old Style" w:cs="FrankRuehl"/>
          <w:b/>
          <w:sz w:val="24"/>
          <w:szCs w:val="24"/>
        </w:rPr>
        <w:t xml:space="preserve">SEGUNDO: </w:t>
      </w:r>
      <w:r w:rsidRPr="00D66155">
        <w:rPr>
          <w:rFonts w:ascii="Bookman Old Style" w:eastAsia="Dotum" w:hAnsi="Bookman Old Style" w:cs="FrankRuehl"/>
          <w:sz w:val="24"/>
          <w:szCs w:val="24"/>
        </w:rPr>
        <w:t xml:space="preserve">Estimar que los competentes para asumir el conocimiento del mismo, son </w:t>
      </w:r>
      <w:r w:rsidR="006F6F3F" w:rsidRPr="00D66155">
        <w:rPr>
          <w:rFonts w:ascii="Bookman Old Style" w:eastAsia="Dotum" w:hAnsi="Bookman Old Style" w:cs="FrankRuehl"/>
          <w:sz w:val="24"/>
          <w:szCs w:val="24"/>
        </w:rPr>
        <w:t>los Magistrados de la</w:t>
      </w:r>
      <w:r w:rsidR="0080218B" w:rsidRPr="00D66155">
        <w:rPr>
          <w:rFonts w:ascii="Bookman Old Style" w:eastAsia="Dotum" w:hAnsi="Bookman Old Style" w:cs="FrankRuehl"/>
          <w:sz w:val="24"/>
          <w:szCs w:val="24"/>
        </w:rPr>
        <w:t xml:space="preserve"> </w:t>
      </w:r>
      <w:r w:rsidR="0080218B" w:rsidRPr="00D66155">
        <w:rPr>
          <w:rFonts w:ascii="Bookman Old Style" w:eastAsia="Dotum" w:hAnsi="Bookman Old Style" w:cs="Tahoma"/>
          <w:bCs/>
          <w:sz w:val="24"/>
          <w:szCs w:val="24"/>
        </w:rPr>
        <w:t>SECCIÓN DE REVISIÓN DE LA JURISDICCIÓN ESPECIAL PARA LA PAZ.</w:t>
      </w:r>
    </w:p>
    <w:p w14:paraId="5DBA2652" w14:textId="77777777" w:rsidR="0080218B" w:rsidRPr="00D66155" w:rsidRDefault="0080218B" w:rsidP="00D66155">
      <w:pPr>
        <w:autoSpaceDE w:val="0"/>
        <w:autoSpaceDN w:val="0"/>
        <w:adjustRightInd w:val="0"/>
        <w:spacing w:after="0"/>
        <w:jc w:val="both"/>
        <w:rPr>
          <w:rFonts w:ascii="Bookman Old Style" w:eastAsia="Dotum" w:hAnsi="Bookman Old Style" w:cs="FrankRuehl"/>
          <w:sz w:val="24"/>
          <w:szCs w:val="24"/>
        </w:rPr>
      </w:pPr>
    </w:p>
    <w:p w14:paraId="2AEDF08A" w14:textId="61868D71" w:rsidR="006C478D" w:rsidRPr="00D66155" w:rsidRDefault="006C478D" w:rsidP="00D66155">
      <w:pPr>
        <w:autoSpaceDE w:val="0"/>
        <w:autoSpaceDN w:val="0"/>
        <w:adjustRightInd w:val="0"/>
        <w:spacing w:after="0"/>
        <w:jc w:val="both"/>
        <w:rPr>
          <w:rFonts w:ascii="Bookman Old Style" w:eastAsia="Dotum" w:hAnsi="Bookman Old Style" w:cs="FrankRuehl"/>
          <w:sz w:val="24"/>
          <w:szCs w:val="24"/>
        </w:rPr>
      </w:pPr>
      <w:r w:rsidRPr="00D66155">
        <w:rPr>
          <w:rFonts w:ascii="Bookman Old Style" w:eastAsia="Dotum" w:hAnsi="Bookman Old Style" w:cs="FrankRuehl"/>
          <w:b/>
          <w:sz w:val="24"/>
          <w:szCs w:val="24"/>
        </w:rPr>
        <w:t xml:space="preserve">TERCERO: </w:t>
      </w:r>
      <w:r w:rsidRPr="00D66155">
        <w:rPr>
          <w:rFonts w:ascii="Bookman Old Style" w:eastAsia="Dotum" w:hAnsi="Bookman Old Style" w:cs="FrankRuehl"/>
          <w:sz w:val="24"/>
          <w:szCs w:val="24"/>
        </w:rPr>
        <w:t xml:space="preserve">Por Secretaría remítase el expediente para que sea repartido </w:t>
      </w:r>
      <w:r w:rsidR="006F6F3F" w:rsidRPr="00D66155">
        <w:rPr>
          <w:rFonts w:ascii="Bookman Old Style" w:eastAsia="Dotum" w:hAnsi="Bookman Old Style" w:cs="FrankRuehl"/>
          <w:sz w:val="24"/>
          <w:szCs w:val="24"/>
        </w:rPr>
        <w:t>al</w:t>
      </w:r>
      <w:r w:rsidR="0080218B" w:rsidRPr="00D66155">
        <w:rPr>
          <w:rFonts w:ascii="Bookman Old Style" w:eastAsia="Dotum" w:hAnsi="Bookman Old Style" w:cs="FrankRuehl"/>
          <w:sz w:val="24"/>
          <w:szCs w:val="24"/>
        </w:rPr>
        <w:t xml:space="preserve"> </w:t>
      </w:r>
      <w:r w:rsidR="006F6F3F" w:rsidRPr="00D66155">
        <w:rPr>
          <w:rFonts w:ascii="Bookman Old Style" w:eastAsia="Dotum" w:hAnsi="Bookman Old Style" w:cs="FrankRuehl"/>
          <w:sz w:val="24"/>
          <w:szCs w:val="24"/>
        </w:rPr>
        <w:t xml:space="preserve">competente, </w:t>
      </w:r>
      <w:r w:rsidRPr="00D66155">
        <w:rPr>
          <w:rFonts w:ascii="Bookman Old Style" w:eastAsia="Dotum" w:hAnsi="Bookman Old Style" w:cs="FrankRuehl"/>
          <w:sz w:val="24"/>
          <w:szCs w:val="24"/>
        </w:rPr>
        <w:t>previa comunicación a los interesados.</w:t>
      </w:r>
    </w:p>
    <w:p w14:paraId="57AF1C5F" w14:textId="77777777" w:rsidR="006C19FB" w:rsidRPr="00D66155" w:rsidRDefault="006C19FB" w:rsidP="00D66155">
      <w:pPr>
        <w:autoSpaceDE w:val="0"/>
        <w:autoSpaceDN w:val="0"/>
        <w:adjustRightInd w:val="0"/>
        <w:spacing w:after="0"/>
        <w:jc w:val="both"/>
        <w:rPr>
          <w:rFonts w:ascii="Bookman Old Style" w:eastAsia="Dotum" w:hAnsi="Bookman Old Style" w:cs="FrankRuehl"/>
          <w:sz w:val="24"/>
          <w:szCs w:val="24"/>
        </w:rPr>
      </w:pPr>
    </w:p>
    <w:p w14:paraId="0EDE7DED" w14:textId="7824C70C" w:rsidR="00365B81" w:rsidRPr="00D66155" w:rsidRDefault="00D12601" w:rsidP="00D66155">
      <w:pPr>
        <w:tabs>
          <w:tab w:val="left" w:pos="709"/>
        </w:tabs>
        <w:spacing w:after="0"/>
        <w:contextualSpacing/>
        <w:mirrorIndents/>
        <w:jc w:val="center"/>
        <w:rPr>
          <w:rFonts w:ascii="Bookman Old Style" w:hAnsi="Bookman Old Style" w:cs="Arial"/>
          <w:b/>
          <w:sz w:val="24"/>
          <w:szCs w:val="24"/>
        </w:rPr>
      </w:pPr>
      <w:r w:rsidRPr="00D66155">
        <w:rPr>
          <w:rFonts w:ascii="Bookman Old Style" w:hAnsi="Bookman Old Style" w:cs="Arial"/>
          <w:b/>
          <w:sz w:val="24"/>
          <w:szCs w:val="24"/>
        </w:rPr>
        <w:t xml:space="preserve">NOTIFÍQUESE Y </w:t>
      </w:r>
      <w:r w:rsidR="00365B81" w:rsidRPr="00D66155">
        <w:rPr>
          <w:rFonts w:ascii="Bookman Old Style" w:hAnsi="Bookman Old Style" w:cs="Arial"/>
          <w:b/>
          <w:sz w:val="24"/>
          <w:szCs w:val="24"/>
        </w:rPr>
        <w:t>CÚMPLASE</w:t>
      </w:r>
    </w:p>
    <w:p w14:paraId="608D1B2B" w14:textId="77777777" w:rsidR="006C478D" w:rsidRPr="006564FB" w:rsidRDefault="006C478D" w:rsidP="006564FB">
      <w:pPr>
        <w:spacing w:after="0"/>
        <w:contextualSpacing/>
        <w:mirrorIndents/>
        <w:jc w:val="both"/>
        <w:rPr>
          <w:rFonts w:ascii="Bookman Old Style" w:hAnsi="Bookman Old Style"/>
          <w:noProof/>
          <w:sz w:val="24"/>
          <w:szCs w:val="24"/>
        </w:rPr>
      </w:pPr>
    </w:p>
    <w:p w14:paraId="54B045BF" w14:textId="2027B3D8" w:rsidR="00813968" w:rsidRPr="006564FB" w:rsidRDefault="00813968" w:rsidP="006564FB">
      <w:pPr>
        <w:spacing w:after="0"/>
        <w:contextualSpacing/>
        <w:mirrorIndents/>
        <w:jc w:val="both"/>
        <w:rPr>
          <w:rFonts w:ascii="Bookman Old Style" w:hAnsi="Bookman Old Style" w:cs="Arial"/>
          <w:sz w:val="24"/>
          <w:szCs w:val="24"/>
        </w:rPr>
      </w:pPr>
    </w:p>
    <w:p w14:paraId="2E2B162C" w14:textId="45FE725F" w:rsidR="00D66155" w:rsidRPr="006564FB" w:rsidRDefault="00D66155" w:rsidP="006564FB">
      <w:pPr>
        <w:spacing w:after="0"/>
        <w:contextualSpacing/>
        <w:mirrorIndents/>
        <w:jc w:val="both"/>
        <w:rPr>
          <w:rFonts w:ascii="Bookman Old Style" w:hAnsi="Bookman Old Style" w:cs="Arial"/>
          <w:sz w:val="24"/>
          <w:szCs w:val="24"/>
        </w:rPr>
      </w:pPr>
    </w:p>
    <w:p w14:paraId="09709E03" w14:textId="77777777" w:rsidR="00813968" w:rsidRPr="00D66155" w:rsidRDefault="00813968" w:rsidP="00D66155">
      <w:pPr>
        <w:spacing w:after="0"/>
        <w:contextualSpacing/>
        <w:mirrorIndents/>
        <w:jc w:val="center"/>
        <w:rPr>
          <w:rFonts w:ascii="Bookman Old Style" w:hAnsi="Bookman Old Style" w:cs="Arial"/>
          <w:b/>
          <w:sz w:val="24"/>
          <w:szCs w:val="24"/>
        </w:rPr>
      </w:pPr>
      <w:r w:rsidRPr="00D66155">
        <w:rPr>
          <w:rFonts w:ascii="Bookman Old Style" w:hAnsi="Bookman Old Style" w:cs="Arial"/>
          <w:b/>
          <w:sz w:val="24"/>
          <w:szCs w:val="24"/>
        </w:rPr>
        <w:t>GERMÁN DARÍO GÓEZ VINASCO</w:t>
      </w:r>
    </w:p>
    <w:p w14:paraId="7DDDF443" w14:textId="0EB06537" w:rsidR="00B63711" w:rsidRPr="00D66155" w:rsidRDefault="00317BEA" w:rsidP="00D66155">
      <w:pPr>
        <w:spacing w:after="0"/>
        <w:contextualSpacing/>
        <w:mirrorIndents/>
        <w:jc w:val="center"/>
        <w:rPr>
          <w:rFonts w:ascii="Bookman Old Style" w:hAnsi="Bookman Old Style" w:cs="Arial"/>
          <w:sz w:val="24"/>
          <w:szCs w:val="24"/>
        </w:rPr>
      </w:pPr>
      <w:r w:rsidRPr="00D66155">
        <w:rPr>
          <w:rFonts w:ascii="Bookman Old Style" w:hAnsi="Bookman Old Style" w:cs="Arial"/>
          <w:sz w:val="24"/>
          <w:szCs w:val="24"/>
        </w:rPr>
        <w:t>Magistrado</w:t>
      </w:r>
    </w:p>
    <w:sectPr w:rsidR="00B63711" w:rsidRPr="00D66155" w:rsidSect="00D66155">
      <w:headerReference w:type="default" r:id="rId9"/>
      <w:pgSz w:w="12240" w:h="18720"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B9616" w14:textId="77777777" w:rsidR="007152C0" w:rsidRDefault="007152C0">
      <w:pPr>
        <w:spacing w:after="0" w:line="240" w:lineRule="auto"/>
      </w:pPr>
      <w:r>
        <w:separator/>
      </w:r>
    </w:p>
  </w:endnote>
  <w:endnote w:type="continuationSeparator" w:id="0">
    <w:p w14:paraId="64C2CE94" w14:textId="77777777" w:rsidR="007152C0" w:rsidRDefault="0071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843C" w14:textId="77777777" w:rsidR="007152C0" w:rsidRDefault="007152C0">
      <w:pPr>
        <w:spacing w:after="0" w:line="240" w:lineRule="auto"/>
      </w:pPr>
      <w:r>
        <w:separator/>
      </w:r>
    </w:p>
  </w:footnote>
  <w:footnote w:type="continuationSeparator" w:id="0">
    <w:p w14:paraId="74BF7B69" w14:textId="77777777" w:rsidR="007152C0" w:rsidRDefault="00715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7A5E" w14:textId="77777777" w:rsidR="00AF1970" w:rsidRPr="00B222BC" w:rsidRDefault="007152C0" w:rsidP="00F56782">
    <w:pPr>
      <w:spacing w:after="0" w:line="240" w:lineRule="auto"/>
      <w:rPr>
        <w:sz w:val="16"/>
        <w:szCs w:val="16"/>
      </w:rPr>
    </w:pPr>
  </w:p>
  <w:p w14:paraId="76724FD9" w14:textId="77777777" w:rsidR="008D7436" w:rsidRPr="00F56782" w:rsidRDefault="007152C0" w:rsidP="00F567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9190C"/>
    <w:multiLevelType w:val="hybridMultilevel"/>
    <w:tmpl w:val="01F46594"/>
    <w:lvl w:ilvl="0" w:tplc="841A4A4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7366604C"/>
    <w:multiLevelType w:val="hybridMultilevel"/>
    <w:tmpl w:val="EB522708"/>
    <w:lvl w:ilvl="0" w:tplc="0C3812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F16A4F"/>
    <w:multiLevelType w:val="hybridMultilevel"/>
    <w:tmpl w:val="A0963316"/>
    <w:lvl w:ilvl="0" w:tplc="B6E886D2">
      <w:start w:val="13"/>
      <w:numFmt w:val="bullet"/>
      <w:lvlText w:val="-"/>
      <w:lvlJc w:val="left"/>
      <w:pPr>
        <w:ind w:left="2490" w:hanging="360"/>
      </w:pPr>
      <w:rPr>
        <w:rFonts w:ascii="Bookman Old Style" w:eastAsia="Dotum" w:hAnsi="Bookman Old Style" w:cs="FrankRuehl" w:hint="default"/>
      </w:rPr>
    </w:lvl>
    <w:lvl w:ilvl="1" w:tplc="240A0003" w:tentative="1">
      <w:start w:val="1"/>
      <w:numFmt w:val="bullet"/>
      <w:lvlText w:val="o"/>
      <w:lvlJc w:val="left"/>
      <w:pPr>
        <w:ind w:left="3210" w:hanging="360"/>
      </w:pPr>
      <w:rPr>
        <w:rFonts w:ascii="Courier New" w:hAnsi="Courier New" w:cs="Courier New" w:hint="default"/>
      </w:rPr>
    </w:lvl>
    <w:lvl w:ilvl="2" w:tplc="240A0005" w:tentative="1">
      <w:start w:val="1"/>
      <w:numFmt w:val="bullet"/>
      <w:lvlText w:val=""/>
      <w:lvlJc w:val="left"/>
      <w:pPr>
        <w:ind w:left="3930" w:hanging="360"/>
      </w:pPr>
      <w:rPr>
        <w:rFonts w:ascii="Wingdings" w:hAnsi="Wingdings" w:hint="default"/>
      </w:rPr>
    </w:lvl>
    <w:lvl w:ilvl="3" w:tplc="240A0001" w:tentative="1">
      <w:start w:val="1"/>
      <w:numFmt w:val="bullet"/>
      <w:lvlText w:val=""/>
      <w:lvlJc w:val="left"/>
      <w:pPr>
        <w:ind w:left="4650" w:hanging="360"/>
      </w:pPr>
      <w:rPr>
        <w:rFonts w:ascii="Symbol" w:hAnsi="Symbol" w:hint="default"/>
      </w:rPr>
    </w:lvl>
    <w:lvl w:ilvl="4" w:tplc="240A0003" w:tentative="1">
      <w:start w:val="1"/>
      <w:numFmt w:val="bullet"/>
      <w:lvlText w:val="o"/>
      <w:lvlJc w:val="left"/>
      <w:pPr>
        <w:ind w:left="5370" w:hanging="360"/>
      </w:pPr>
      <w:rPr>
        <w:rFonts w:ascii="Courier New" w:hAnsi="Courier New" w:cs="Courier New" w:hint="default"/>
      </w:rPr>
    </w:lvl>
    <w:lvl w:ilvl="5" w:tplc="240A0005" w:tentative="1">
      <w:start w:val="1"/>
      <w:numFmt w:val="bullet"/>
      <w:lvlText w:val=""/>
      <w:lvlJc w:val="left"/>
      <w:pPr>
        <w:ind w:left="6090" w:hanging="360"/>
      </w:pPr>
      <w:rPr>
        <w:rFonts w:ascii="Wingdings" w:hAnsi="Wingdings" w:hint="default"/>
      </w:rPr>
    </w:lvl>
    <w:lvl w:ilvl="6" w:tplc="240A0001" w:tentative="1">
      <w:start w:val="1"/>
      <w:numFmt w:val="bullet"/>
      <w:lvlText w:val=""/>
      <w:lvlJc w:val="left"/>
      <w:pPr>
        <w:ind w:left="6810" w:hanging="360"/>
      </w:pPr>
      <w:rPr>
        <w:rFonts w:ascii="Symbol" w:hAnsi="Symbol" w:hint="default"/>
      </w:rPr>
    </w:lvl>
    <w:lvl w:ilvl="7" w:tplc="240A0003" w:tentative="1">
      <w:start w:val="1"/>
      <w:numFmt w:val="bullet"/>
      <w:lvlText w:val="o"/>
      <w:lvlJc w:val="left"/>
      <w:pPr>
        <w:ind w:left="7530" w:hanging="360"/>
      </w:pPr>
      <w:rPr>
        <w:rFonts w:ascii="Courier New" w:hAnsi="Courier New" w:cs="Courier New" w:hint="default"/>
      </w:rPr>
    </w:lvl>
    <w:lvl w:ilvl="8" w:tplc="240A0005" w:tentative="1">
      <w:start w:val="1"/>
      <w:numFmt w:val="bullet"/>
      <w:lvlText w:val=""/>
      <w:lvlJc w:val="left"/>
      <w:pPr>
        <w:ind w:left="82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68"/>
    <w:rsid w:val="000374C8"/>
    <w:rsid w:val="00037FFE"/>
    <w:rsid w:val="0004239F"/>
    <w:rsid w:val="00073225"/>
    <w:rsid w:val="00083110"/>
    <w:rsid w:val="000A2D44"/>
    <w:rsid w:val="000B3A0B"/>
    <w:rsid w:val="000B5CBA"/>
    <w:rsid w:val="001908EA"/>
    <w:rsid w:val="001C4124"/>
    <w:rsid w:val="001E1E53"/>
    <w:rsid w:val="001E3E1E"/>
    <w:rsid w:val="002156A7"/>
    <w:rsid w:val="00237712"/>
    <w:rsid w:val="00265CE6"/>
    <w:rsid w:val="00284B12"/>
    <w:rsid w:val="002B6F36"/>
    <w:rsid w:val="002C0FBD"/>
    <w:rsid w:val="002D4667"/>
    <w:rsid w:val="002F32BA"/>
    <w:rsid w:val="00317BEA"/>
    <w:rsid w:val="003407C6"/>
    <w:rsid w:val="00357EB2"/>
    <w:rsid w:val="00364533"/>
    <w:rsid w:val="00365B81"/>
    <w:rsid w:val="00375726"/>
    <w:rsid w:val="003937BC"/>
    <w:rsid w:val="003A787F"/>
    <w:rsid w:val="003F53E2"/>
    <w:rsid w:val="003F590D"/>
    <w:rsid w:val="00412948"/>
    <w:rsid w:val="00412FAA"/>
    <w:rsid w:val="004339D2"/>
    <w:rsid w:val="00437FCF"/>
    <w:rsid w:val="004419E9"/>
    <w:rsid w:val="004B3346"/>
    <w:rsid w:val="004B44BD"/>
    <w:rsid w:val="004C01AB"/>
    <w:rsid w:val="004C7D07"/>
    <w:rsid w:val="004D6674"/>
    <w:rsid w:val="004F7CAD"/>
    <w:rsid w:val="00584084"/>
    <w:rsid w:val="00584B60"/>
    <w:rsid w:val="00593BE3"/>
    <w:rsid w:val="005A6410"/>
    <w:rsid w:val="005C79C2"/>
    <w:rsid w:val="00632907"/>
    <w:rsid w:val="006564FB"/>
    <w:rsid w:val="006628E2"/>
    <w:rsid w:val="00676F6A"/>
    <w:rsid w:val="0069634F"/>
    <w:rsid w:val="006A188B"/>
    <w:rsid w:val="006C19FB"/>
    <w:rsid w:val="006C478D"/>
    <w:rsid w:val="006D1815"/>
    <w:rsid w:val="006F6F3F"/>
    <w:rsid w:val="00711C75"/>
    <w:rsid w:val="007152C0"/>
    <w:rsid w:val="00716F80"/>
    <w:rsid w:val="00717DED"/>
    <w:rsid w:val="00734541"/>
    <w:rsid w:val="00786B8D"/>
    <w:rsid w:val="007A3BF6"/>
    <w:rsid w:val="007A7A57"/>
    <w:rsid w:val="007C6E16"/>
    <w:rsid w:val="007E7202"/>
    <w:rsid w:val="0080218B"/>
    <w:rsid w:val="00813968"/>
    <w:rsid w:val="00847C5F"/>
    <w:rsid w:val="0086564E"/>
    <w:rsid w:val="00903448"/>
    <w:rsid w:val="00916901"/>
    <w:rsid w:val="00923E2B"/>
    <w:rsid w:val="009674FC"/>
    <w:rsid w:val="00975585"/>
    <w:rsid w:val="009965F7"/>
    <w:rsid w:val="009C403A"/>
    <w:rsid w:val="009E73B6"/>
    <w:rsid w:val="009F66FB"/>
    <w:rsid w:val="00A14932"/>
    <w:rsid w:val="00A35375"/>
    <w:rsid w:val="00A50BB5"/>
    <w:rsid w:val="00A93C23"/>
    <w:rsid w:val="00AA0F62"/>
    <w:rsid w:val="00AC1EE7"/>
    <w:rsid w:val="00AD4558"/>
    <w:rsid w:val="00AE748D"/>
    <w:rsid w:val="00B24C36"/>
    <w:rsid w:val="00B51E0D"/>
    <w:rsid w:val="00B63711"/>
    <w:rsid w:val="00B957A6"/>
    <w:rsid w:val="00BB736E"/>
    <w:rsid w:val="00BE5149"/>
    <w:rsid w:val="00BE67E9"/>
    <w:rsid w:val="00C00591"/>
    <w:rsid w:val="00C00EA8"/>
    <w:rsid w:val="00C011E4"/>
    <w:rsid w:val="00C21CDD"/>
    <w:rsid w:val="00C62F00"/>
    <w:rsid w:val="00C6554C"/>
    <w:rsid w:val="00C968D8"/>
    <w:rsid w:val="00CF3007"/>
    <w:rsid w:val="00D12601"/>
    <w:rsid w:val="00D61499"/>
    <w:rsid w:val="00D66155"/>
    <w:rsid w:val="00D66175"/>
    <w:rsid w:val="00DD6D57"/>
    <w:rsid w:val="00DE7D9B"/>
    <w:rsid w:val="00E138B9"/>
    <w:rsid w:val="00E15C79"/>
    <w:rsid w:val="00E407DB"/>
    <w:rsid w:val="00E63AD7"/>
    <w:rsid w:val="00E64C41"/>
    <w:rsid w:val="00E75676"/>
    <w:rsid w:val="00EA2949"/>
    <w:rsid w:val="00EB3D5C"/>
    <w:rsid w:val="00F17687"/>
    <w:rsid w:val="00F727BF"/>
    <w:rsid w:val="00FD7D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B0666"/>
  <w15:chartTrackingRefBased/>
  <w15:docId w15:val="{BE5163EE-F31E-482D-88D8-2E241378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32"/>
    <w:pPr>
      <w:spacing w:after="200" w:line="276" w:lineRule="auto"/>
    </w:pPr>
    <w:rPr>
      <w:rFonts w:eastAsiaTheme="minorEastAsia"/>
      <w:lang w:eastAsia="es-CO"/>
    </w:rPr>
  </w:style>
  <w:style w:type="paragraph" w:styleId="Ttulo3">
    <w:name w:val="heading 3"/>
    <w:basedOn w:val="Normal"/>
    <w:next w:val="Normal"/>
    <w:link w:val="Ttulo3Car"/>
    <w:uiPriority w:val="9"/>
    <w:semiHidden/>
    <w:unhideWhenUsed/>
    <w:qFormat/>
    <w:rsid w:val="00BE67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365B81"/>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6">
    <w:name w:val="heading 6"/>
    <w:basedOn w:val="Normal"/>
    <w:next w:val="Normal"/>
    <w:link w:val="Ttulo6Car"/>
    <w:qFormat/>
    <w:rsid w:val="00365B81"/>
    <w:pPr>
      <w:spacing w:before="240" w:after="60" w:line="240" w:lineRule="auto"/>
      <w:outlineLvl w:val="5"/>
    </w:pPr>
    <w:rPr>
      <w:rFonts w:ascii="Times New Roman" w:eastAsia="Times New Roman" w:hAnsi="Times New Roman"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968"/>
    <w:pPr>
      <w:spacing w:after="0" w:line="240" w:lineRule="auto"/>
    </w:pPr>
    <w:rPr>
      <w:rFonts w:eastAsiaTheme="minorEastAsia"/>
      <w:lang w:eastAsia="es-CO"/>
    </w:rPr>
  </w:style>
  <w:style w:type="paragraph" w:styleId="Textoindependiente2">
    <w:name w:val="Body Text 2"/>
    <w:basedOn w:val="Normal"/>
    <w:link w:val="Textoindependiente2Car"/>
    <w:rsid w:val="00813968"/>
    <w:pPr>
      <w:widowControl w:val="0"/>
      <w:suppressAutoHyphens/>
      <w:autoSpaceDE w:val="0"/>
      <w:autoSpaceDN w:val="0"/>
      <w:adjustRightInd w:val="0"/>
      <w:spacing w:after="0" w:line="240" w:lineRule="auto"/>
      <w:jc w:val="center"/>
    </w:pPr>
    <w:rPr>
      <w:rFonts w:ascii="Courier New" w:eastAsia="Times New Roman" w:hAnsi="Courier New" w:cs="Courier New"/>
      <w:spacing w:val="-3"/>
      <w:sz w:val="24"/>
      <w:szCs w:val="24"/>
      <w:lang w:val="es-ES" w:eastAsia="es-ES"/>
    </w:rPr>
  </w:style>
  <w:style w:type="character" w:customStyle="1" w:styleId="Textoindependiente2Car">
    <w:name w:val="Texto independiente 2 Car"/>
    <w:basedOn w:val="Fuentedeprrafopredeter"/>
    <w:link w:val="Textoindependiente2"/>
    <w:rsid w:val="00813968"/>
    <w:rPr>
      <w:rFonts w:ascii="Courier New" w:eastAsia="Times New Roman" w:hAnsi="Courier New" w:cs="Courier New"/>
      <w:spacing w:val="-3"/>
      <w:sz w:val="24"/>
      <w:szCs w:val="24"/>
      <w:lang w:val="es-ES" w:eastAsia="es-ES"/>
    </w:rPr>
  </w:style>
  <w:style w:type="paragraph" w:styleId="Encabezado">
    <w:name w:val="header"/>
    <w:basedOn w:val="Normal"/>
    <w:link w:val="EncabezadoCar"/>
    <w:uiPriority w:val="99"/>
    <w:unhideWhenUsed/>
    <w:rsid w:val="00813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968"/>
    <w:rPr>
      <w:rFonts w:eastAsiaTheme="minorEastAsia"/>
      <w:lang w:eastAsia="es-CO"/>
    </w:rPr>
  </w:style>
  <w:style w:type="table" w:styleId="Tablaconcuadrcula">
    <w:name w:val="Table Grid"/>
    <w:basedOn w:val="Tablanormal"/>
    <w:uiPriority w:val="59"/>
    <w:rsid w:val="0081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813968"/>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813968"/>
    <w:rPr>
      <w:rFonts w:ascii="Tahoma" w:eastAsia="Times New Roman" w:hAnsi="Tahoma" w:cs="Tahoma"/>
      <w:b/>
      <w:bCs/>
      <w:sz w:val="24"/>
      <w:szCs w:val="24"/>
      <w:lang w:val="es-ES_tradnl" w:eastAsia="es-ES"/>
    </w:rPr>
  </w:style>
  <w:style w:type="paragraph" w:styleId="Textoindependiente">
    <w:name w:val="Body Text"/>
    <w:basedOn w:val="Normal"/>
    <w:link w:val="TextoindependienteCar"/>
    <w:uiPriority w:val="99"/>
    <w:unhideWhenUsed/>
    <w:rsid w:val="00813968"/>
    <w:pPr>
      <w:spacing w:after="120"/>
    </w:pPr>
  </w:style>
  <w:style w:type="character" w:customStyle="1" w:styleId="TextoindependienteCar">
    <w:name w:val="Texto independiente Car"/>
    <w:basedOn w:val="Fuentedeprrafopredeter"/>
    <w:link w:val="Textoindependiente"/>
    <w:uiPriority w:val="99"/>
    <w:rsid w:val="00813968"/>
    <w:rPr>
      <w:rFonts w:eastAsiaTheme="minorEastAsia"/>
      <w:lang w:eastAsia="es-CO"/>
    </w:rPr>
  </w:style>
  <w:style w:type="paragraph" w:styleId="NormalWeb">
    <w:name w:val="Normal (Web)"/>
    <w:basedOn w:val="Normal"/>
    <w:uiPriority w:val="99"/>
    <w:rsid w:val="00813968"/>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Refdenotaalpie">
    <w:name w:val="footnote reference"/>
    <w:aliases w:val="Texto de nota al pie,referencia nota al pie,Footnotes refss,Appel note de bas de page,Footnote number,BVI fnr,f"/>
    <w:unhideWhenUsed/>
    <w:rsid w:val="00813968"/>
    <w:rPr>
      <w:vertAlign w:val="superscript"/>
    </w:rPr>
  </w:style>
  <w:style w:type="paragraph" w:styleId="Piedepgina">
    <w:name w:val="footer"/>
    <w:basedOn w:val="Normal"/>
    <w:link w:val="PiedepginaCar"/>
    <w:uiPriority w:val="99"/>
    <w:unhideWhenUsed/>
    <w:rsid w:val="00D614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99"/>
    <w:rPr>
      <w:rFonts w:eastAsiaTheme="minorEastAsia"/>
      <w:lang w:eastAsia="es-CO"/>
    </w:rPr>
  </w:style>
  <w:style w:type="character" w:customStyle="1" w:styleId="Ttulo4Car">
    <w:name w:val="Título 4 Car"/>
    <w:basedOn w:val="Fuentedeprrafopredeter"/>
    <w:link w:val="Ttulo4"/>
    <w:rsid w:val="00365B81"/>
    <w:rPr>
      <w:rFonts w:ascii="Times New Roman" w:eastAsia="Times New Roman" w:hAnsi="Times New Roman" w:cs="Times New Roman"/>
      <w:b/>
      <w:bCs/>
      <w:sz w:val="28"/>
      <w:szCs w:val="28"/>
      <w:lang w:val="es-ES" w:eastAsia="es-ES"/>
    </w:rPr>
  </w:style>
  <w:style w:type="character" w:customStyle="1" w:styleId="Ttulo6Car">
    <w:name w:val="Título 6 Car"/>
    <w:basedOn w:val="Fuentedeprrafopredeter"/>
    <w:link w:val="Ttulo6"/>
    <w:rsid w:val="00365B81"/>
    <w:rPr>
      <w:rFonts w:ascii="Times New Roman" w:eastAsia="Times New Roman" w:hAnsi="Times New Roman" w:cs="Times New Roman"/>
      <w:b/>
      <w:bCs/>
      <w:lang w:val="es-ES" w:eastAsia="es-ES"/>
    </w:rPr>
  </w:style>
  <w:style w:type="paragraph" w:customStyle="1" w:styleId="Textoindependiente21">
    <w:name w:val="Texto independiente 21"/>
    <w:basedOn w:val="Normal"/>
    <w:rsid w:val="00365B81"/>
    <w:pPr>
      <w:overflowPunct w:val="0"/>
      <w:autoSpaceDE w:val="0"/>
      <w:autoSpaceDN w:val="0"/>
      <w:adjustRightInd w:val="0"/>
      <w:spacing w:after="0" w:line="360" w:lineRule="auto"/>
      <w:jc w:val="both"/>
    </w:pPr>
    <w:rPr>
      <w:rFonts w:ascii="Century Gothic" w:eastAsia="Times New Roman" w:hAnsi="Century Gothic" w:cs="Times New Roman"/>
      <w:sz w:val="24"/>
      <w:szCs w:val="20"/>
      <w:lang w:val="es-ES_tradnl" w:eastAsia="es-ES"/>
    </w:rPr>
  </w:style>
  <w:style w:type="paragraph" w:styleId="Prrafodelista">
    <w:name w:val="List Paragraph"/>
    <w:basedOn w:val="Normal"/>
    <w:uiPriority w:val="34"/>
    <w:qFormat/>
    <w:rsid w:val="002C0FBD"/>
    <w:pPr>
      <w:ind w:left="720"/>
      <w:contextualSpacing/>
    </w:pPr>
  </w:style>
  <w:style w:type="character" w:customStyle="1" w:styleId="Ttulo3Car">
    <w:name w:val="Título 3 Car"/>
    <w:basedOn w:val="Fuentedeprrafopredeter"/>
    <w:link w:val="Ttulo3"/>
    <w:uiPriority w:val="9"/>
    <w:semiHidden/>
    <w:rsid w:val="00BE67E9"/>
    <w:rPr>
      <w:rFonts w:asciiTheme="majorHAnsi" w:eastAsiaTheme="majorEastAsia" w:hAnsiTheme="majorHAnsi" w:cstheme="majorBidi"/>
      <w:color w:val="1F4D78" w:themeColor="accent1" w:themeShade="7F"/>
      <w:sz w:val="24"/>
      <w:szCs w:val="24"/>
      <w:lang w:eastAsia="es-CO"/>
    </w:rPr>
  </w:style>
  <w:style w:type="paragraph" w:styleId="Sangradetextonormal">
    <w:name w:val="Body Text Indent"/>
    <w:basedOn w:val="Normal"/>
    <w:link w:val="SangradetextonormalCar"/>
    <w:uiPriority w:val="99"/>
    <w:semiHidden/>
    <w:unhideWhenUsed/>
    <w:rsid w:val="00E407DB"/>
    <w:pPr>
      <w:spacing w:after="120"/>
      <w:ind w:left="283"/>
    </w:pPr>
  </w:style>
  <w:style w:type="character" w:customStyle="1" w:styleId="SangradetextonormalCar">
    <w:name w:val="Sangría de texto normal Car"/>
    <w:basedOn w:val="Fuentedeprrafopredeter"/>
    <w:link w:val="Sangradetextonormal"/>
    <w:uiPriority w:val="99"/>
    <w:semiHidden/>
    <w:rsid w:val="00E407DB"/>
    <w:rPr>
      <w:rFonts w:eastAsiaTheme="minorEastAsia"/>
      <w:lang w:eastAsia="es-CO"/>
    </w:rPr>
  </w:style>
  <w:style w:type="character" w:customStyle="1" w:styleId="user-highlighted-active">
    <w:name w:val="user-highlighted-active"/>
    <w:basedOn w:val="Fuentedeprrafopredeter"/>
    <w:rsid w:val="002B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2009">
      <w:bodyDiv w:val="1"/>
      <w:marLeft w:val="0"/>
      <w:marRight w:val="0"/>
      <w:marTop w:val="0"/>
      <w:marBottom w:val="0"/>
      <w:divBdr>
        <w:top w:val="none" w:sz="0" w:space="0" w:color="auto"/>
        <w:left w:val="none" w:sz="0" w:space="0" w:color="auto"/>
        <w:bottom w:val="none" w:sz="0" w:space="0" w:color="auto"/>
        <w:right w:val="none" w:sz="0" w:space="0" w:color="auto"/>
      </w:divBdr>
    </w:div>
    <w:div w:id="909925892">
      <w:bodyDiv w:val="1"/>
      <w:marLeft w:val="0"/>
      <w:marRight w:val="0"/>
      <w:marTop w:val="0"/>
      <w:marBottom w:val="0"/>
      <w:divBdr>
        <w:top w:val="none" w:sz="0" w:space="0" w:color="auto"/>
        <w:left w:val="none" w:sz="0" w:space="0" w:color="auto"/>
        <w:bottom w:val="none" w:sz="0" w:space="0" w:color="auto"/>
        <w:right w:val="none" w:sz="0" w:space="0" w:color="auto"/>
      </w:divBdr>
      <w:divsChild>
        <w:div w:id="942227802">
          <w:marLeft w:val="0"/>
          <w:marRight w:val="0"/>
          <w:marTop w:val="120"/>
          <w:marBottom w:val="120"/>
          <w:divBdr>
            <w:top w:val="none" w:sz="0" w:space="0" w:color="auto"/>
            <w:left w:val="none" w:sz="0" w:space="0" w:color="auto"/>
            <w:bottom w:val="none" w:sz="0" w:space="0" w:color="auto"/>
            <w:right w:val="none" w:sz="0" w:space="0" w:color="auto"/>
          </w:divBdr>
          <w:divsChild>
            <w:div w:id="460343222">
              <w:marLeft w:val="0"/>
              <w:marRight w:val="0"/>
              <w:marTop w:val="0"/>
              <w:marBottom w:val="0"/>
              <w:divBdr>
                <w:top w:val="none" w:sz="0" w:space="0" w:color="auto"/>
                <w:left w:val="none" w:sz="0" w:space="0" w:color="auto"/>
                <w:bottom w:val="none" w:sz="0" w:space="0" w:color="auto"/>
                <w:right w:val="none" w:sz="0" w:space="0" w:color="auto"/>
              </w:divBdr>
            </w:div>
          </w:divsChild>
        </w:div>
        <w:div w:id="1873837353">
          <w:marLeft w:val="0"/>
          <w:marRight w:val="0"/>
          <w:marTop w:val="0"/>
          <w:marBottom w:val="120"/>
          <w:divBdr>
            <w:top w:val="none" w:sz="0" w:space="0" w:color="auto"/>
            <w:left w:val="none" w:sz="0" w:space="0" w:color="auto"/>
            <w:bottom w:val="none" w:sz="0" w:space="0" w:color="auto"/>
            <w:right w:val="none" w:sz="0" w:space="0" w:color="auto"/>
          </w:divBdr>
          <w:divsChild>
            <w:div w:id="849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
    <w:div w:id="16590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600F-8E01-413B-8CE4-2AEA9352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1123</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Miryan Duque Buriticá</dc:creator>
  <cp:keywords/>
  <dc:description/>
  <cp:lastModifiedBy>samsung</cp:lastModifiedBy>
  <cp:revision>5</cp:revision>
  <cp:lastPrinted>2023-03-02T15:42:00Z</cp:lastPrinted>
  <dcterms:created xsi:type="dcterms:W3CDTF">2023-12-12T15:09:00Z</dcterms:created>
  <dcterms:modified xsi:type="dcterms:W3CDTF">2024-02-15T14:17:00Z</dcterms:modified>
</cp:coreProperties>
</file>