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E83F6" w14:textId="77777777" w:rsidR="001C68B8" w:rsidRPr="00F721EF" w:rsidRDefault="00127CED" w:rsidP="001C68B8">
      <w:pPr>
        <w:spacing w:line="240" w:lineRule="auto"/>
        <w:ind w:firstLine="0"/>
        <w:contextualSpacing/>
        <w:rPr>
          <w:rFonts w:eastAsia="Calibri" w:cs="Arial"/>
          <w:b/>
          <w:sz w:val="20"/>
          <w:szCs w:val="22"/>
          <w:lang w:val="es-ES"/>
        </w:rPr>
      </w:pPr>
      <w:hyperlink r:id="rId11" w:history="1">
        <w:r w:rsidR="001C68B8" w:rsidRPr="00F721EF">
          <w:rPr>
            <w:rFonts w:eastAsia="Calibri" w:cs="Arial"/>
            <w:b/>
            <w:sz w:val="20"/>
            <w:szCs w:val="22"/>
          </w:rPr>
          <w:t>INEFICACIA TRASLADO DE RÉGIMEN / DEBERES DE LAS AFP / GESTIONAR LOS INTERESES DE SUS AFILIADOS</w:t>
        </w:r>
      </w:hyperlink>
    </w:p>
    <w:p w14:paraId="66694CEE" w14:textId="77777777" w:rsidR="001C68B8" w:rsidRPr="00F721EF" w:rsidRDefault="001C68B8" w:rsidP="001C68B8">
      <w:pPr>
        <w:spacing w:line="240" w:lineRule="auto"/>
        <w:ind w:firstLine="0"/>
        <w:contextualSpacing/>
        <w:rPr>
          <w:rFonts w:eastAsia="Calibri" w:cs="Arial"/>
          <w:sz w:val="20"/>
          <w:szCs w:val="22"/>
        </w:rPr>
      </w:pPr>
      <w:r w:rsidRPr="00F721EF">
        <w:rPr>
          <w:rFonts w:eastAsia="Calibri" w:cs="Arial"/>
          <w:sz w:val="20"/>
          <w:szCs w:val="22"/>
        </w:rPr>
        <w:t>… es de advertir que, cuando se pretende por vía judicial la ineficacia del traslado de un afiliado del RPM al RAIS, es necesario tener en cuenta que la ley radica en las Administradoras de Pensiones el deber de gestión de los intereses de quienes se vinculen a ellas, los cuales surgen desde las etapas previas y preparatorias a la formalización de su afiliación a la administradora, por lo tanto, en razón de la existencia de éstas, se da la necesidad de actuar mediante instituciones especializadas e idóneas, con conocimientos y experiencia, que resulten confiables a los ciudadanos que van a entregar sus ahorros y sus seguros de previsión para la vejez, invalidez o para su familia cercana en caso de muerte prematura.</w:t>
      </w:r>
    </w:p>
    <w:p w14:paraId="70B93B1F" w14:textId="77777777" w:rsidR="001C68B8" w:rsidRPr="00F721EF" w:rsidRDefault="001C68B8" w:rsidP="001C68B8">
      <w:pPr>
        <w:spacing w:line="240" w:lineRule="auto"/>
        <w:ind w:firstLine="0"/>
        <w:contextualSpacing/>
        <w:rPr>
          <w:rFonts w:eastAsia="Calibri" w:cs="Arial"/>
          <w:sz w:val="20"/>
          <w:szCs w:val="22"/>
        </w:rPr>
      </w:pPr>
    </w:p>
    <w:p w14:paraId="0D1E0D59" w14:textId="77777777" w:rsidR="001C68B8" w:rsidRPr="00F721EF" w:rsidRDefault="00127CED" w:rsidP="001C68B8">
      <w:pPr>
        <w:spacing w:line="240" w:lineRule="auto"/>
        <w:ind w:firstLine="0"/>
        <w:contextualSpacing/>
        <w:rPr>
          <w:rFonts w:eastAsia="Calibri" w:cs="Arial"/>
          <w:b/>
          <w:sz w:val="20"/>
          <w:szCs w:val="22"/>
        </w:rPr>
      </w:pPr>
      <w:hyperlink r:id="rId12" w:history="1">
        <w:r w:rsidR="001C68B8" w:rsidRPr="00F721EF">
          <w:rPr>
            <w:rFonts w:eastAsia="Calibri" w:cs="Arial"/>
            <w:b/>
            <w:sz w:val="20"/>
            <w:szCs w:val="22"/>
          </w:rPr>
          <w:t>INEFICACIA TRASLADO DE RÉGIMEN / OBLIGACIÓN AFP / SUMINISTRAR INFORMACIÓN COMPLETA Y COMPRENSIBLE</w:t>
        </w:r>
      </w:hyperlink>
    </w:p>
    <w:p w14:paraId="54F2D730" w14:textId="77777777" w:rsidR="001C68B8" w:rsidRPr="00F721EF" w:rsidRDefault="001C68B8" w:rsidP="001C68B8">
      <w:pPr>
        <w:spacing w:line="240" w:lineRule="auto"/>
        <w:ind w:firstLine="0"/>
        <w:contextualSpacing/>
        <w:rPr>
          <w:rFonts w:eastAsia="Calibri" w:cs="Arial"/>
          <w:sz w:val="20"/>
          <w:szCs w:val="22"/>
        </w:rPr>
      </w:pPr>
      <w:r w:rsidRPr="00F721EF">
        <w:rPr>
          <w:rFonts w:eastAsia="Calibri" w:cs="Arial"/>
          <w:sz w:val="20"/>
          <w:szCs w:val="22"/>
        </w:rPr>
        <w:t>Entre las obligaciones enrostradas está el deber de otorgar al afiliado la información necesaria y suficiente sobre todas las etapas del proceso, esto es, desde la antesala de la afiliación hasta la determinación de las condiciones para el disfrute pensional. En este sentido, las Administradoras de Pensiones tienen el deber de proporcionar a sus interesados una información completa y comprensible, a la medida de la asimetría que se ha de salvar entre un administrador experto y un afiliado lego, en materias de alta complejidad…</w:t>
      </w:r>
    </w:p>
    <w:p w14:paraId="03362DB3" w14:textId="77777777" w:rsidR="001C68B8" w:rsidRPr="00F721EF" w:rsidRDefault="001C68B8" w:rsidP="001C68B8">
      <w:pPr>
        <w:spacing w:line="240" w:lineRule="auto"/>
        <w:ind w:firstLine="0"/>
        <w:contextualSpacing/>
        <w:rPr>
          <w:rFonts w:eastAsia="Calibri" w:cs="Arial"/>
          <w:sz w:val="20"/>
          <w:szCs w:val="22"/>
        </w:rPr>
      </w:pPr>
    </w:p>
    <w:p w14:paraId="5083D6A9" w14:textId="77777777" w:rsidR="001C68B8" w:rsidRPr="00F721EF" w:rsidRDefault="00127CED" w:rsidP="001C68B8">
      <w:pPr>
        <w:spacing w:line="240" w:lineRule="auto"/>
        <w:ind w:firstLine="0"/>
        <w:contextualSpacing/>
        <w:rPr>
          <w:rFonts w:eastAsia="Calibri" w:cs="Arial"/>
          <w:b/>
          <w:sz w:val="20"/>
          <w:szCs w:val="22"/>
          <w:lang w:val="es-ES"/>
        </w:rPr>
      </w:pPr>
      <w:hyperlink r:id="rId13" w:history="1">
        <w:r w:rsidR="001C68B8" w:rsidRPr="00F721EF">
          <w:rPr>
            <w:rFonts w:eastAsia="Calibri" w:cs="Arial"/>
            <w:b/>
            <w:sz w:val="20"/>
            <w:szCs w:val="22"/>
          </w:rPr>
          <w:t>INEFICACIA TRASLADO DE RÉGIMEN / CARGA PROBATORIA DE LAS AFP / DEMOSTRAR QUE CUMPLIERON DEBER</w:t>
        </w:r>
      </w:hyperlink>
      <w:r w:rsidR="001C68B8" w:rsidRPr="00F721EF">
        <w:rPr>
          <w:rFonts w:eastAsia="Calibri" w:cs="Arial"/>
          <w:b/>
          <w:sz w:val="20"/>
          <w:szCs w:val="22"/>
        </w:rPr>
        <w:t xml:space="preserve"> EL DEBER DE INFORMACIÓN</w:t>
      </w:r>
    </w:p>
    <w:p w14:paraId="6CCEF8CC" w14:textId="77777777" w:rsidR="001C68B8" w:rsidRPr="00F721EF" w:rsidRDefault="001C68B8" w:rsidP="001C68B8">
      <w:pPr>
        <w:spacing w:line="240" w:lineRule="auto"/>
        <w:ind w:firstLine="0"/>
        <w:contextualSpacing/>
        <w:rPr>
          <w:rFonts w:eastAsia="Calibri" w:cs="Arial"/>
          <w:sz w:val="22"/>
          <w:szCs w:val="22"/>
        </w:rPr>
      </w:pPr>
      <w:r w:rsidRPr="00F721EF">
        <w:rPr>
          <w:rFonts w:eastAsia="Calibri" w:cs="Arial"/>
          <w:sz w:val="20"/>
          <w:szCs w:val="22"/>
        </w:rPr>
        <w:t>En torno a la carga de la prueba, es de indicar que corresponde a la AFP ante quien se realizó el cambio de régimen pensional, porque es quien debe de acreditar que explicó las condiciones del traslado en los términos antes referidos al contar con los documentos e información en general que le suministró al interesado, pues no puede pretenderse que el afiliado acredite tales aspectos, puesto que, las normas que rigen a los fondos privados imponen el deber de información, razón suficiente para que estos precisen las pruebas que acrediten la calidad de la asesoría brindada.</w:t>
      </w:r>
    </w:p>
    <w:p w14:paraId="5B2B8E10" w14:textId="77777777" w:rsidR="001C68B8" w:rsidRPr="00FB29B9" w:rsidRDefault="001C68B8" w:rsidP="001C68B8">
      <w:pPr>
        <w:spacing w:line="240" w:lineRule="auto"/>
        <w:ind w:firstLine="0"/>
        <w:rPr>
          <w:rFonts w:cs="Arial"/>
          <w:sz w:val="20"/>
        </w:rPr>
      </w:pPr>
    </w:p>
    <w:p w14:paraId="30F5E1A4" w14:textId="77777777" w:rsidR="001C68B8" w:rsidRPr="00FB29B9" w:rsidRDefault="001C68B8" w:rsidP="001C68B8">
      <w:pPr>
        <w:spacing w:line="240" w:lineRule="auto"/>
        <w:ind w:firstLine="0"/>
        <w:rPr>
          <w:rFonts w:cs="Arial"/>
          <w:sz w:val="20"/>
        </w:rPr>
      </w:pPr>
    </w:p>
    <w:p w14:paraId="63DE24A5" w14:textId="77777777" w:rsidR="001C68B8" w:rsidRPr="00FB29B9" w:rsidRDefault="001C68B8" w:rsidP="001C68B8">
      <w:pPr>
        <w:spacing w:line="240" w:lineRule="auto"/>
        <w:ind w:firstLine="0"/>
        <w:rPr>
          <w:rFonts w:cs="Arial"/>
          <w:sz w:val="20"/>
        </w:rPr>
      </w:pPr>
    </w:p>
    <w:p w14:paraId="17B356C1" w14:textId="77777777" w:rsidR="003073FB" w:rsidRPr="00A242A8" w:rsidRDefault="003073FB" w:rsidP="00A217B8">
      <w:pPr>
        <w:spacing w:line="276" w:lineRule="auto"/>
        <w:jc w:val="center"/>
        <w:rPr>
          <w:rFonts w:ascii="Bookman Old Style" w:hAnsi="Bookman Old Style" w:cs="Arial"/>
          <w:b/>
          <w:bCs/>
        </w:rPr>
      </w:pPr>
      <w:r w:rsidRPr="00A242A8">
        <w:rPr>
          <w:rFonts w:ascii="Bookman Old Style" w:hAnsi="Bookman Old Style" w:cs="Arial"/>
          <w:b/>
          <w:bCs/>
        </w:rPr>
        <w:t>REPÚBLICA DE COLOMBIA</w:t>
      </w:r>
    </w:p>
    <w:p w14:paraId="5613DBDD" w14:textId="77777777" w:rsidR="003073FB" w:rsidRPr="00A242A8" w:rsidRDefault="003073FB" w:rsidP="00A217B8">
      <w:pPr>
        <w:spacing w:line="276" w:lineRule="auto"/>
        <w:jc w:val="center"/>
        <w:rPr>
          <w:rFonts w:ascii="Bookman Old Style" w:hAnsi="Bookman Old Style" w:cs="Arial"/>
          <w:b/>
          <w:bCs/>
        </w:rPr>
      </w:pPr>
      <w:r w:rsidRPr="00A242A8">
        <w:rPr>
          <w:rFonts w:ascii="Bookman Old Style" w:hAnsi="Bookman Old Style" w:cs="Arial"/>
          <w:b/>
          <w:bCs/>
        </w:rPr>
        <w:t>RAMA JUDICIAL DEL PODER PÚBLICO</w:t>
      </w:r>
    </w:p>
    <w:p w14:paraId="52E69E80" w14:textId="77777777" w:rsidR="003073FB" w:rsidRPr="00A242A8" w:rsidRDefault="003073FB" w:rsidP="00A217B8">
      <w:pPr>
        <w:spacing w:line="276" w:lineRule="auto"/>
        <w:jc w:val="center"/>
        <w:rPr>
          <w:rFonts w:ascii="Bookman Old Style" w:hAnsi="Bookman Old Style" w:cs="Arial"/>
          <w:b/>
          <w:bCs/>
        </w:rPr>
      </w:pPr>
      <w:r w:rsidRPr="00A242A8">
        <w:rPr>
          <w:rFonts w:ascii="Bookman Old Style" w:hAnsi="Bookman Old Style" w:cs="Arial"/>
          <w:noProof/>
          <w:lang w:val="en-US"/>
        </w:rPr>
        <w:drawing>
          <wp:anchor distT="0" distB="0" distL="114300" distR="114300" simplePos="0" relativeHeight="251659264" behindDoc="0" locked="0" layoutInCell="1" allowOverlap="1" wp14:anchorId="117B3966" wp14:editId="3F55CBD5">
            <wp:simplePos x="0" y="0"/>
            <wp:positionH relativeFrom="page">
              <wp:align>center</wp:align>
            </wp:positionH>
            <wp:positionV relativeFrom="paragraph">
              <wp:posOffset>16934</wp:posOffset>
            </wp:positionV>
            <wp:extent cx="800100" cy="628650"/>
            <wp:effectExtent l="0" t="0" r="0" b="0"/>
            <wp:wrapSquare wrapText="bothSides"/>
            <wp:docPr id="2" name="Imagen 2"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interior, gato, pequeño, tabla&#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00100" cy="628650"/>
                    </a:xfrm>
                    <a:prstGeom prst="rect">
                      <a:avLst/>
                    </a:prstGeom>
                  </pic:spPr>
                </pic:pic>
              </a:graphicData>
            </a:graphic>
          </wp:anchor>
        </w:drawing>
      </w:r>
      <w:r w:rsidRPr="00A242A8">
        <w:rPr>
          <w:rFonts w:ascii="Bookman Old Style" w:hAnsi="Bookman Old Style" w:cs="Arial"/>
          <w:b/>
          <w:bCs/>
        </w:rPr>
        <w:br w:type="textWrapping" w:clear="all"/>
        <w:t>TRIBUNAL SUPERIOR DEL DISTRITO JUDICIAL DE PEREIRA</w:t>
      </w:r>
    </w:p>
    <w:p w14:paraId="745B7FF2" w14:textId="77777777" w:rsidR="003073FB" w:rsidRPr="00A242A8" w:rsidRDefault="003073FB" w:rsidP="00A217B8">
      <w:pPr>
        <w:spacing w:line="276" w:lineRule="auto"/>
        <w:jc w:val="center"/>
        <w:rPr>
          <w:rFonts w:ascii="Bookman Old Style" w:hAnsi="Bookman Old Style" w:cs="Arial"/>
          <w:b/>
          <w:bCs/>
        </w:rPr>
      </w:pPr>
      <w:r w:rsidRPr="00A242A8">
        <w:rPr>
          <w:rFonts w:ascii="Bookman Old Style" w:hAnsi="Bookman Old Style" w:cs="Arial"/>
          <w:b/>
          <w:bCs/>
        </w:rPr>
        <w:t>SALA DE DECISIÓN LABORAL</w:t>
      </w:r>
    </w:p>
    <w:p w14:paraId="754852E2" w14:textId="77777777" w:rsidR="003073FB" w:rsidRPr="00A242A8" w:rsidRDefault="003073FB" w:rsidP="00A217B8">
      <w:pPr>
        <w:spacing w:line="276" w:lineRule="auto"/>
        <w:rPr>
          <w:rFonts w:ascii="Bookman Old Style" w:hAnsi="Bookman Old Style" w:cs="Arial"/>
        </w:rPr>
      </w:pPr>
    </w:p>
    <w:p w14:paraId="72A09E8F" w14:textId="77777777" w:rsidR="003073FB" w:rsidRPr="00A242A8" w:rsidRDefault="003073FB" w:rsidP="00A217B8">
      <w:pPr>
        <w:spacing w:line="276" w:lineRule="auto"/>
        <w:ind w:firstLine="0"/>
        <w:jc w:val="center"/>
        <w:rPr>
          <w:rFonts w:ascii="Bookman Old Style" w:hAnsi="Bookman Old Style" w:cs="Arial"/>
        </w:rPr>
      </w:pPr>
      <w:r w:rsidRPr="00A242A8">
        <w:rPr>
          <w:rFonts w:ascii="Bookman Old Style" w:hAnsi="Bookman Old Style" w:cs="Arial"/>
          <w:b/>
          <w:bCs/>
        </w:rPr>
        <w:t>Dr. GERMÁN DARÍO GÓEZ VINASCO</w:t>
      </w:r>
    </w:p>
    <w:p w14:paraId="16EFDAE6" w14:textId="77777777" w:rsidR="003073FB" w:rsidRPr="00A242A8" w:rsidRDefault="003073FB" w:rsidP="00A217B8">
      <w:pPr>
        <w:spacing w:line="276" w:lineRule="auto"/>
        <w:ind w:firstLine="0"/>
        <w:jc w:val="center"/>
        <w:rPr>
          <w:rFonts w:ascii="Bookman Old Style" w:hAnsi="Bookman Old Style" w:cs="Arial"/>
        </w:rPr>
      </w:pPr>
      <w:r w:rsidRPr="00A242A8">
        <w:rPr>
          <w:rFonts w:ascii="Bookman Old Style" w:hAnsi="Bookman Old Style" w:cs="Arial"/>
        </w:rPr>
        <w:t>Magistrado Ponente</w:t>
      </w:r>
    </w:p>
    <w:p w14:paraId="0AAD6247" w14:textId="77777777" w:rsidR="003073FB" w:rsidRPr="00A4283E" w:rsidRDefault="003073FB" w:rsidP="00A4283E">
      <w:pPr>
        <w:spacing w:line="276" w:lineRule="auto"/>
        <w:ind w:firstLine="0"/>
        <w:jc w:val="center"/>
        <w:rPr>
          <w:rFonts w:ascii="Bookman Old Style" w:hAnsi="Bookman Old Style" w:cs="Arial"/>
        </w:rPr>
      </w:pPr>
    </w:p>
    <w:tbl>
      <w:tblPr>
        <w:tblW w:w="422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5954"/>
      </w:tblGrid>
      <w:tr w:rsidR="003073FB" w:rsidRPr="00A4283E" w14:paraId="70B43AF3" w14:textId="77777777" w:rsidTr="00A4283E">
        <w:tc>
          <w:tcPr>
            <w:tcW w:w="1111" w:type="pct"/>
            <w:shd w:val="clear" w:color="000000" w:fill="FFFFFF"/>
          </w:tcPr>
          <w:p w14:paraId="38A00487" w14:textId="77777777" w:rsidR="003073FB" w:rsidRPr="00A4283E" w:rsidRDefault="003073FB" w:rsidP="00A4283E">
            <w:pPr>
              <w:spacing w:line="240" w:lineRule="auto"/>
              <w:ind w:firstLine="0"/>
              <w:rPr>
                <w:rFonts w:ascii="Bookman Old Style" w:eastAsia="Times New Roman" w:hAnsi="Bookman Old Style" w:cs="Arial"/>
                <w:color w:val="000000"/>
                <w:sz w:val="22"/>
                <w:lang w:val="es-ES_tradnl" w:eastAsia="es-CO"/>
              </w:rPr>
            </w:pPr>
            <w:r w:rsidRPr="00A4283E">
              <w:rPr>
                <w:rFonts w:ascii="Bookman Old Style" w:hAnsi="Bookman Old Style" w:cs="Arial"/>
                <w:bCs/>
                <w:sz w:val="22"/>
                <w:lang w:eastAsia="es-ES"/>
              </w:rPr>
              <w:t>Proceso:</w:t>
            </w:r>
          </w:p>
        </w:tc>
        <w:tc>
          <w:tcPr>
            <w:tcW w:w="3889" w:type="pct"/>
            <w:shd w:val="clear" w:color="000000" w:fill="FFFFFF"/>
            <w:vAlign w:val="center"/>
            <w:hideMark/>
          </w:tcPr>
          <w:p w14:paraId="6DDA7480" w14:textId="77777777" w:rsidR="003073FB" w:rsidRPr="00A4283E" w:rsidRDefault="003073FB" w:rsidP="00A4283E">
            <w:pPr>
              <w:spacing w:line="240" w:lineRule="auto"/>
              <w:ind w:firstLine="0"/>
              <w:rPr>
                <w:rFonts w:ascii="Bookman Old Style" w:eastAsia="Times New Roman" w:hAnsi="Bookman Old Style" w:cs="Arial"/>
                <w:color w:val="000000"/>
                <w:sz w:val="22"/>
                <w:lang w:val="es-ES_tradnl" w:eastAsia="es-CO"/>
              </w:rPr>
            </w:pPr>
            <w:r w:rsidRPr="00A4283E">
              <w:rPr>
                <w:rFonts w:ascii="Bookman Old Style" w:eastAsia="Times New Roman" w:hAnsi="Bookman Old Style" w:cs="Arial"/>
                <w:color w:val="000000"/>
                <w:sz w:val="22"/>
                <w:lang w:val="es-ES_tradnl" w:eastAsia="es-CO"/>
              </w:rPr>
              <w:t>Ordinario Laboral</w:t>
            </w:r>
          </w:p>
        </w:tc>
      </w:tr>
      <w:tr w:rsidR="003073FB" w:rsidRPr="00A4283E" w14:paraId="4BBBDC7E" w14:textId="77777777" w:rsidTr="00A4283E">
        <w:tc>
          <w:tcPr>
            <w:tcW w:w="1111" w:type="pct"/>
            <w:shd w:val="clear" w:color="000000" w:fill="FFFFFF"/>
          </w:tcPr>
          <w:p w14:paraId="4D465E35" w14:textId="77777777" w:rsidR="003073FB" w:rsidRPr="00A4283E" w:rsidRDefault="003073FB" w:rsidP="00A4283E">
            <w:pPr>
              <w:spacing w:line="240" w:lineRule="auto"/>
              <w:ind w:firstLine="0"/>
              <w:rPr>
                <w:rFonts w:ascii="Bookman Old Style" w:eastAsia="Times New Roman" w:hAnsi="Bookman Old Style" w:cs="Arial"/>
                <w:color w:val="000000"/>
                <w:sz w:val="22"/>
                <w:lang w:val="es-ES_tradnl" w:eastAsia="es-CO"/>
              </w:rPr>
            </w:pPr>
            <w:r w:rsidRPr="00A4283E">
              <w:rPr>
                <w:rFonts w:ascii="Bookman Old Style" w:hAnsi="Bookman Old Style" w:cs="Arial"/>
                <w:bCs/>
                <w:sz w:val="22"/>
                <w:lang w:eastAsia="es-ES"/>
              </w:rPr>
              <w:t>Radicado:</w:t>
            </w:r>
          </w:p>
        </w:tc>
        <w:tc>
          <w:tcPr>
            <w:tcW w:w="3889" w:type="pct"/>
            <w:shd w:val="clear" w:color="000000" w:fill="FFFFFF"/>
            <w:vAlign w:val="center"/>
          </w:tcPr>
          <w:p w14:paraId="1F9900AE" w14:textId="70190ED4" w:rsidR="003073FB" w:rsidRPr="00A4283E" w:rsidRDefault="00DC1775" w:rsidP="00A4283E">
            <w:pPr>
              <w:spacing w:line="240" w:lineRule="auto"/>
              <w:ind w:firstLine="0"/>
              <w:rPr>
                <w:rFonts w:ascii="Bookman Old Style" w:eastAsia="Times New Roman" w:hAnsi="Bookman Old Style" w:cs="Arial"/>
                <w:sz w:val="22"/>
                <w:lang w:eastAsia="es-CO"/>
              </w:rPr>
            </w:pPr>
            <w:r w:rsidRPr="00A4283E">
              <w:rPr>
                <w:rFonts w:ascii="Bookman Old Style" w:eastAsia="Times New Roman" w:hAnsi="Bookman Old Style" w:cs="Arial"/>
                <w:sz w:val="22"/>
                <w:lang w:eastAsia="es-CO"/>
              </w:rPr>
              <w:t>66001310500120210012901</w:t>
            </w:r>
          </w:p>
        </w:tc>
      </w:tr>
      <w:tr w:rsidR="003073FB" w:rsidRPr="00A4283E" w14:paraId="46E0C80B" w14:textId="77777777" w:rsidTr="00A4283E">
        <w:tc>
          <w:tcPr>
            <w:tcW w:w="1111" w:type="pct"/>
            <w:shd w:val="clear" w:color="000000" w:fill="FFFFFF"/>
          </w:tcPr>
          <w:p w14:paraId="010699FB" w14:textId="77777777" w:rsidR="003073FB" w:rsidRPr="00A4283E" w:rsidRDefault="003073FB" w:rsidP="00A4283E">
            <w:pPr>
              <w:spacing w:line="240" w:lineRule="auto"/>
              <w:ind w:firstLine="0"/>
              <w:rPr>
                <w:rFonts w:ascii="Bookman Old Style" w:eastAsia="Times New Roman" w:hAnsi="Bookman Old Style" w:cs="Arial"/>
                <w:color w:val="000000"/>
                <w:sz w:val="22"/>
                <w:lang w:val="es-ES_tradnl" w:eastAsia="es-CO"/>
              </w:rPr>
            </w:pPr>
            <w:r w:rsidRPr="00A4283E">
              <w:rPr>
                <w:rFonts w:ascii="Bookman Old Style" w:hAnsi="Bookman Old Style" w:cs="Arial"/>
                <w:bCs/>
                <w:sz w:val="22"/>
                <w:lang w:eastAsia="es-ES"/>
              </w:rPr>
              <w:t>Demandante:</w:t>
            </w:r>
          </w:p>
        </w:tc>
        <w:tc>
          <w:tcPr>
            <w:tcW w:w="3889" w:type="pct"/>
            <w:shd w:val="clear" w:color="000000" w:fill="FFFFFF"/>
            <w:vAlign w:val="center"/>
          </w:tcPr>
          <w:p w14:paraId="754DDB3E" w14:textId="18CF1F66" w:rsidR="003073FB" w:rsidRPr="00A4283E" w:rsidRDefault="009B5F80" w:rsidP="00A4283E">
            <w:pPr>
              <w:spacing w:line="240" w:lineRule="auto"/>
              <w:ind w:firstLine="0"/>
              <w:rPr>
                <w:rFonts w:ascii="Bookman Old Style" w:eastAsia="Times New Roman" w:hAnsi="Bookman Old Style" w:cs="Arial"/>
                <w:sz w:val="22"/>
                <w:lang w:eastAsia="es-CO"/>
              </w:rPr>
            </w:pPr>
            <w:r w:rsidRPr="00A4283E">
              <w:rPr>
                <w:rFonts w:ascii="Bookman Old Style" w:eastAsia="Times New Roman" w:hAnsi="Bookman Old Style" w:cs="Arial"/>
                <w:sz w:val="22"/>
                <w:lang w:eastAsia="es-CO"/>
              </w:rPr>
              <w:t>Gloria Liliana Rivera Barrero</w:t>
            </w:r>
          </w:p>
        </w:tc>
      </w:tr>
      <w:tr w:rsidR="003073FB" w:rsidRPr="00A4283E" w14:paraId="4940F96F" w14:textId="77777777" w:rsidTr="00A4283E">
        <w:tc>
          <w:tcPr>
            <w:tcW w:w="1111" w:type="pct"/>
            <w:shd w:val="clear" w:color="000000" w:fill="FFFFFF"/>
          </w:tcPr>
          <w:p w14:paraId="38673061" w14:textId="77777777" w:rsidR="003073FB" w:rsidRPr="00A4283E" w:rsidRDefault="003073FB" w:rsidP="00A4283E">
            <w:pPr>
              <w:spacing w:line="240" w:lineRule="auto"/>
              <w:ind w:firstLine="0"/>
              <w:rPr>
                <w:rFonts w:ascii="Bookman Old Style" w:eastAsia="Times New Roman" w:hAnsi="Bookman Old Style" w:cs="Arial"/>
                <w:color w:val="000000"/>
                <w:sz w:val="22"/>
                <w:lang w:val="es-ES_tradnl" w:eastAsia="es-CO"/>
              </w:rPr>
            </w:pPr>
            <w:r w:rsidRPr="00A4283E">
              <w:rPr>
                <w:rFonts w:ascii="Bookman Old Style" w:hAnsi="Bookman Old Style" w:cs="Arial"/>
                <w:bCs/>
                <w:sz w:val="22"/>
                <w:lang w:eastAsia="es-ES"/>
              </w:rPr>
              <w:t>Demandado:</w:t>
            </w:r>
          </w:p>
        </w:tc>
        <w:tc>
          <w:tcPr>
            <w:tcW w:w="3889" w:type="pct"/>
            <w:shd w:val="clear" w:color="000000" w:fill="FFFFFF"/>
            <w:vAlign w:val="center"/>
          </w:tcPr>
          <w:p w14:paraId="69B7BFAB" w14:textId="58824E12" w:rsidR="003073FB" w:rsidRPr="00A4283E" w:rsidRDefault="009B5F80" w:rsidP="00A4283E">
            <w:pPr>
              <w:spacing w:line="240" w:lineRule="auto"/>
              <w:ind w:firstLine="0"/>
              <w:rPr>
                <w:rFonts w:ascii="Bookman Old Style" w:eastAsia="Times New Roman" w:hAnsi="Bookman Old Style" w:cs="Arial"/>
                <w:sz w:val="22"/>
                <w:lang w:eastAsia="es-CO"/>
              </w:rPr>
            </w:pPr>
            <w:r w:rsidRPr="00A4283E">
              <w:rPr>
                <w:rFonts w:ascii="Bookman Old Style" w:eastAsia="Times New Roman" w:hAnsi="Bookman Old Style" w:cs="Arial"/>
                <w:noProof/>
                <w:sz w:val="22"/>
                <w:lang w:eastAsia="es-CO"/>
              </w:rPr>
              <w:t xml:space="preserve">Colfondos </w:t>
            </w:r>
            <w:r w:rsidR="00DC1775" w:rsidRPr="00A4283E">
              <w:rPr>
                <w:rFonts w:ascii="Bookman Old Style" w:eastAsia="Times New Roman" w:hAnsi="Bookman Old Style" w:cs="Arial"/>
                <w:noProof/>
                <w:sz w:val="22"/>
                <w:lang w:eastAsia="es-CO"/>
              </w:rPr>
              <w:t xml:space="preserve">S.A. y </w:t>
            </w:r>
            <w:r w:rsidRPr="00A4283E">
              <w:rPr>
                <w:rFonts w:ascii="Bookman Old Style" w:eastAsia="Times New Roman" w:hAnsi="Bookman Old Style" w:cs="Arial"/>
                <w:noProof/>
                <w:sz w:val="22"/>
                <w:lang w:eastAsia="es-CO"/>
              </w:rPr>
              <w:t>Colpensiones</w:t>
            </w:r>
          </w:p>
        </w:tc>
      </w:tr>
      <w:tr w:rsidR="003073FB" w:rsidRPr="00A4283E" w14:paraId="7D1AC974" w14:textId="77777777" w:rsidTr="00A4283E">
        <w:tc>
          <w:tcPr>
            <w:tcW w:w="1111" w:type="pct"/>
            <w:shd w:val="clear" w:color="000000" w:fill="FFFFFF"/>
          </w:tcPr>
          <w:p w14:paraId="5CADE9E5" w14:textId="77777777" w:rsidR="003073FB" w:rsidRPr="00A4283E" w:rsidRDefault="003073FB" w:rsidP="00A4283E">
            <w:pPr>
              <w:spacing w:line="240" w:lineRule="auto"/>
              <w:ind w:firstLine="0"/>
              <w:rPr>
                <w:rFonts w:ascii="Bookman Old Style" w:eastAsia="Times New Roman" w:hAnsi="Bookman Old Style" w:cs="Arial"/>
                <w:color w:val="000000"/>
                <w:sz w:val="22"/>
                <w:lang w:val="es-ES_tradnl" w:eastAsia="es-CO"/>
              </w:rPr>
            </w:pPr>
            <w:r w:rsidRPr="00A4283E">
              <w:rPr>
                <w:rFonts w:ascii="Bookman Old Style" w:hAnsi="Bookman Old Style" w:cs="Arial"/>
                <w:bCs/>
                <w:sz w:val="22"/>
                <w:lang w:eastAsia="es-ES"/>
              </w:rPr>
              <w:t>Asunto:</w:t>
            </w:r>
          </w:p>
        </w:tc>
        <w:tc>
          <w:tcPr>
            <w:tcW w:w="3889" w:type="pct"/>
            <w:shd w:val="clear" w:color="000000" w:fill="FFFFFF"/>
            <w:hideMark/>
          </w:tcPr>
          <w:p w14:paraId="16F2D67A" w14:textId="2C34EAB6" w:rsidR="003073FB" w:rsidRPr="00A4283E" w:rsidRDefault="003073FB" w:rsidP="00A4283E">
            <w:pPr>
              <w:spacing w:line="240" w:lineRule="auto"/>
              <w:ind w:firstLine="0"/>
              <w:rPr>
                <w:rFonts w:ascii="Bookman Old Style" w:eastAsia="Times New Roman" w:hAnsi="Bookman Old Style" w:cs="Arial"/>
                <w:color w:val="000000"/>
                <w:sz w:val="22"/>
                <w:lang w:val="es-ES_tradnl" w:eastAsia="es-CO"/>
              </w:rPr>
            </w:pPr>
            <w:r w:rsidRPr="00A4283E">
              <w:rPr>
                <w:rFonts w:ascii="Bookman Old Style" w:hAnsi="Bookman Old Style" w:cs="Arial"/>
                <w:sz w:val="22"/>
                <w:lang w:eastAsia="es-CO"/>
              </w:rPr>
              <w:t>Apelación y Consulta Sentencia (</w:t>
            </w:r>
            <w:r w:rsidR="00DC1775" w:rsidRPr="00A4283E">
              <w:rPr>
                <w:rFonts w:ascii="Bookman Old Style" w:hAnsi="Bookman Old Style" w:cs="Arial"/>
                <w:sz w:val="22"/>
                <w:lang w:eastAsia="es-CO"/>
              </w:rPr>
              <w:t>14</w:t>
            </w:r>
            <w:r w:rsidR="00152747" w:rsidRPr="00A4283E">
              <w:rPr>
                <w:rFonts w:ascii="Bookman Old Style" w:hAnsi="Bookman Old Style" w:cs="Arial"/>
                <w:sz w:val="22"/>
                <w:lang w:eastAsia="es-CO"/>
              </w:rPr>
              <w:t xml:space="preserve"> de </w:t>
            </w:r>
            <w:r w:rsidR="005A5ECC" w:rsidRPr="00A4283E">
              <w:rPr>
                <w:rFonts w:ascii="Bookman Old Style" w:hAnsi="Bookman Old Style" w:cs="Arial"/>
                <w:sz w:val="22"/>
                <w:lang w:eastAsia="es-CO"/>
              </w:rPr>
              <w:t>julio</w:t>
            </w:r>
            <w:r w:rsidR="0052162C" w:rsidRPr="00A4283E">
              <w:rPr>
                <w:rFonts w:ascii="Bookman Old Style" w:hAnsi="Bookman Old Style" w:cs="Arial"/>
                <w:sz w:val="22"/>
                <w:lang w:eastAsia="es-CO"/>
              </w:rPr>
              <w:t xml:space="preserve"> de 2023</w:t>
            </w:r>
            <w:r w:rsidRPr="00A4283E">
              <w:rPr>
                <w:rFonts w:ascii="Bookman Old Style" w:hAnsi="Bookman Old Style" w:cs="Arial"/>
                <w:sz w:val="22"/>
                <w:lang w:eastAsia="es-CO"/>
              </w:rPr>
              <w:t>)</w:t>
            </w:r>
          </w:p>
        </w:tc>
      </w:tr>
      <w:tr w:rsidR="003073FB" w:rsidRPr="00A4283E" w14:paraId="0D4E96D6" w14:textId="77777777" w:rsidTr="00A4283E">
        <w:tc>
          <w:tcPr>
            <w:tcW w:w="1111" w:type="pct"/>
            <w:shd w:val="clear" w:color="000000" w:fill="FFFFFF"/>
          </w:tcPr>
          <w:p w14:paraId="07AF5DC2" w14:textId="77777777" w:rsidR="003073FB" w:rsidRPr="00A4283E" w:rsidRDefault="003073FB" w:rsidP="00A4283E">
            <w:pPr>
              <w:spacing w:line="240" w:lineRule="auto"/>
              <w:ind w:firstLine="0"/>
              <w:rPr>
                <w:rFonts w:ascii="Bookman Old Style" w:eastAsia="Times New Roman" w:hAnsi="Bookman Old Style" w:cs="Arial"/>
                <w:color w:val="000000"/>
                <w:sz w:val="22"/>
                <w:lang w:val="es-ES_tradnl" w:eastAsia="es-CO"/>
              </w:rPr>
            </w:pPr>
            <w:r w:rsidRPr="00A4283E">
              <w:rPr>
                <w:rFonts w:ascii="Bookman Old Style" w:hAnsi="Bookman Old Style" w:cs="Arial"/>
                <w:bCs/>
                <w:sz w:val="22"/>
                <w:lang w:eastAsia="es-ES"/>
              </w:rPr>
              <w:t>Juzgado:</w:t>
            </w:r>
          </w:p>
        </w:tc>
        <w:tc>
          <w:tcPr>
            <w:tcW w:w="3889" w:type="pct"/>
            <w:shd w:val="clear" w:color="000000" w:fill="FFFFFF"/>
            <w:hideMark/>
          </w:tcPr>
          <w:p w14:paraId="6DAC7D44" w14:textId="5A7BC72B" w:rsidR="003073FB" w:rsidRPr="00A4283E" w:rsidRDefault="00DC1775" w:rsidP="00A4283E">
            <w:pPr>
              <w:spacing w:line="240" w:lineRule="auto"/>
              <w:ind w:firstLine="0"/>
              <w:rPr>
                <w:rFonts w:ascii="Bookman Old Style" w:eastAsia="Times New Roman" w:hAnsi="Bookman Old Style" w:cs="Arial"/>
                <w:color w:val="000000"/>
                <w:sz w:val="22"/>
                <w:lang w:val="es-ES_tradnl" w:eastAsia="es-CO"/>
              </w:rPr>
            </w:pPr>
            <w:r w:rsidRPr="00A4283E">
              <w:rPr>
                <w:rFonts w:ascii="Bookman Old Style" w:hAnsi="Bookman Old Style" w:cs="Arial"/>
                <w:noProof/>
                <w:sz w:val="22"/>
                <w:lang w:eastAsia="es-CO"/>
              </w:rPr>
              <w:t>Primero</w:t>
            </w:r>
            <w:r w:rsidR="00315036" w:rsidRPr="00A4283E">
              <w:rPr>
                <w:rFonts w:ascii="Bookman Old Style" w:hAnsi="Bookman Old Style" w:cs="Arial"/>
                <w:noProof/>
                <w:sz w:val="22"/>
                <w:lang w:eastAsia="es-CO"/>
              </w:rPr>
              <w:t xml:space="preserve"> </w:t>
            </w:r>
            <w:r w:rsidR="003D7454" w:rsidRPr="00A4283E">
              <w:rPr>
                <w:rFonts w:ascii="Bookman Old Style" w:hAnsi="Bookman Old Style" w:cs="Arial"/>
                <w:sz w:val="22"/>
                <w:lang w:eastAsia="es-CO"/>
              </w:rPr>
              <w:t>Laboral d</w:t>
            </w:r>
            <w:r w:rsidR="00315036" w:rsidRPr="00A4283E">
              <w:rPr>
                <w:rFonts w:ascii="Bookman Old Style" w:hAnsi="Bookman Old Style" w:cs="Arial"/>
                <w:sz w:val="22"/>
                <w:lang w:eastAsia="es-CO"/>
              </w:rPr>
              <w:t xml:space="preserve">el Circuito </w:t>
            </w:r>
            <w:r w:rsidR="003D7454" w:rsidRPr="00A4283E">
              <w:rPr>
                <w:rFonts w:ascii="Bookman Old Style" w:hAnsi="Bookman Old Style" w:cs="Arial"/>
                <w:sz w:val="22"/>
                <w:lang w:eastAsia="es-CO"/>
              </w:rPr>
              <w:t>d</w:t>
            </w:r>
            <w:r w:rsidR="00315036" w:rsidRPr="00A4283E">
              <w:rPr>
                <w:rFonts w:ascii="Bookman Old Style" w:hAnsi="Bookman Old Style" w:cs="Arial"/>
                <w:sz w:val="22"/>
                <w:lang w:eastAsia="es-CO"/>
              </w:rPr>
              <w:t>e Pereira</w:t>
            </w:r>
          </w:p>
        </w:tc>
      </w:tr>
      <w:tr w:rsidR="003073FB" w:rsidRPr="00A4283E" w14:paraId="107F789A" w14:textId="77777777" w:rsidTr="00A4283E">
        <w:tc>
          <w:tcPr>
            <w:tcW w:w="1111" w:type="pct"/>
            <w:shd w:val="clear" w:color="000000" w:fill="FFFFFF"/>
          </w:tcPr>
          <w:p w14:paraId="1AFD5068" w14:textId="77777777" w:rsidR="003073FB" w:rsidRPr="00A4283E" w:rsidRDefault="003073FB" w:rsidP="00A4283E">
            <w:pPr>
              <w:spacing w:line="240" w:lineRule="auto"/>
              <w:ind w:firstLine="0"/>
              <w:rPr>
                <w:rFonts w:ascii="Bookman Old Style" w:hAnsi="Bookman Old Style" w:cs="Arial"/>
                <w:bCs/>
                <w:sz w:val="22"/>
                <w:lang w:eastAsia="es-ES"/>
              </w:rPr>
            </w:pPr>
            <w:r w:rsidRPr="00A4283E">
              <w:rPr>
                <w:rFonts w:ascii="Bookman Old Style" w:hAnsi="Bookman Old Style" w:cs="Arial"/>
                <w:bCs/>
                <w:sz w:val="22"/>
                <w:lang w:eastAsia="es-ES"/>
              </w:rPr>
              <w:t>Tema:</w:t>
            </w:r>
          </w:p>
        </w:tc>
        <w:tc>
          <w:tcPr>
            <w:tcW w:w="3889" w:type="pct"/>
            <w:shd w:val="clear" w:color="000000" w:fill="FFFFFF"/>
          </w:tcPr>
          <w:p w14:paraId="03027642" w14:textId="77777777" w:rsidR="003073FB" w:rsidRPr="00A4283E" w:rsidRDefault="003073FB" w:rsidP="00A4283E">
            <w:pPr>
              <w:spacing w:line="240" w:lineRule="auto"/>
              <w:ind w:firstLine="0"/>
              <w:rPr>
                <w:rFonts w:ascii="Bookman Old Style" w:eastAsia="Times New Roman" w:hAnsi="Bookman Old Style" w:cs="Arial"/>
                <w:color w:val="000000"/>
                <w:sz w:val="22"/>
                <w:lang w:val="es-ES_tradnl" w:eastAsia="es-CO"/>
              </w:rPr>
            </w:pPr>
            <w:r w:rsidRPr="00A4283E">
              <w:rPr>
                <w:rFonts w:ascii="Bookman Old Style" w:hAnsi="Bookman Old Style" w:cs="Arial"/>
                <w:sz w:val="22"/>
                <w:lang w:eastAsia="es-CO"/>
              </w:rPr>
              <w:t>Ineficacia de traslado</w:t>
            </w:r>
          </w:p>
        </w:tc>
      </w:tr>
    </w:tbl>
    <w:p w14:paraId="05426F63" w14:textId="77777777" w:rsidR="003073FB" w:rsidRPr="00A4283E" w:rsidRDefault="003073FB" w:rsidP="00A4283E">
      <w:pPr>
        <w:spacing w:line="276" w:lineRule="auto"/>
        <w:ind w:firstLine="0"/>
        <w:rPr>
          <w:rFonts w:ascii="Bookman Old Style" w:hAnsi="Bookman Old Style" w:cs="Arial"/>
        </w:rPr>
      </w:pPr>
    </w:p>
    <w:p w14:paraId="3C3ED7A9" w14:textId="5DA8165F" w:rsidR="003F2659" w:rsidRPr="00A4283E" w:rsidRDefault="003F2659" w:rsidP="00A4283E">
      <w:pPr>
        <w:autoSpaceDE w:val="0"/>
        <w:autoSpaceDN w:val="0"/>
        <w:adjustRightInd w:val="0"/>
        <w:spacing w:line="276" w:lineRule="auto"/>
        <w:ind w:firstLine="0"/>
        <w:jc w:val="center"/>
        <w:rPr>
          <w:rFonts w:ascii="Bookman Old Style" w:hAnsi="Bookman Old Style" w:cs="Arial"/>
          <w:b/>
          <w:bCs/>
          <w:lang w:eastAsia="es-ES"/>
        </w:rPr>
      </w:pPr>
      <w:r w:rsidRPr="00A4283E">
        <w:rPr>
          <w:rFonts w:ascii="Bookman Old Style" w:hAnsi="Bookman Old Style" w:cs="Arial"/>
          <w:b/>
          <w:bCs/>
          <w:lang w:eastAsia="es-ES"/>
        </w:rPr>
        <w:t xml:space="preserve">APROBADO POR ACTA No. </w:t>
      </w:r>
      <w:r w:rsidR="00A04482" w:rsidRPr="00A4283E">
        <w:rPr>
          <w:rFonts w:ascii="Bookman Old Style" w:hAnsi="Bookman Old Style" w:cs="Arial"/>
          <w:b/>
          <w:bCs/>
          <w:lang w:eastAsia="es-ES"/>
        </w:rPr>
        <w:t>183 DEL 14 DE NOVIEMBRE DE 2023</w:t>
      </w:r>
    </w:p>
    <w:p w14:paraId="71418D6A" w14:textId="77777777" w:rsidR="003073FB" w:rsidRPr="00A4283E" w:rsidRDefault="003073FB" w:rsidP="00A4283E">
      <w:pPr>
        <w:spacing w:line="276" w:lineRule="auto"/>
        <w:ind w:firstLine="0"/>
        <w:rPr>
          <w:rFonts w:ascii="Bookman Old Style" w:hAnsi="Bookman Old Style" w:cs="Arial"/>
        </w:rPr>
      </w:pPr>
    </w:p>
    <w:p w14:paraId="7ADB16D6" w14:textId="2F2D90EB" w:rsidR="003073FB" w:rsidRPr="00A4283E" w:rsidRDefault="003073FB" w:rsidP="00A4283E">
      <w:pPr>
        <w:spacing w:line="276" w:lineRule="auto"/>
        <w:ind w:firstLine="0"/>
        <w:rPr>
          <w:rFonts w:ascii="Bookman Old Style" w:hAnsi="Bookman Old Style" w:cs="Arial"/>
        </w:rPr>
      </w:pPr>
      <w:r w:rsidRPr="00A4283E">
        <w:rPr>
          <w:rFonts w:ascii="Bookman Old Style" w:hAnsi="Bookman Old Style" w:cs="Arial"/>
        </w:rPr>
        <w:t xml:space="preserve">Hoy, </w:t>
      </w:r>
      <w:r w:rsidR="00A04482" w:rsidRPr="00A4283E">
        <w:rPr>
          <w:rFonts w:ascii="Bookman Old Style" w:hAnsi="Bookman Old Style" w:cs="Arial"/>
        </w:rPr>
        <w:t>veinte</w:t>
      </w:r>
      <w:r w:rsidR="000A21BE" w:rsidRPr="00A4283E">
        <w:rPr>
          <w:rFonts w:ascii="Bookman Old Style" w:hAnsi="Bookman Old Style" w:cs="Arial"/>
        </w:rPr>
        <w:t xml:space="preserve"> </w:t>
      </w:r>
      <w:r w:rsidRPr="00A4283E">
        <w:rPr>
          <w:rFonts w:ascii="Bookman Old Style" w:hAnsi="Bookman Old Style" w:cs="Arial"/>
        </w:rPr>
        <w:t>(</w:t>
      </w:r>
      <w:r w:rsidR="00A04482" w:rsidRPr="00A4283E">
        <w:rPr>
          <w:rFonts w:ascii="Bookman Old Style" w:hAnsi="Bookman Old Style" w:cs="Arial"/>
        </w:rPr>
        <w:t>20</w:t>
      </w:r>
      <w:r w:rsidRPr="00A4283E">
        <w:rPr>
          <w:rFonts w:ascii="Bookman Old Style" w:hAnsi="Bookman Old Style" w:cs="Arial"/>
        </w:rPr>
        <w:t xml:space="preserve">) de </w:t>
      </w:r>
      <w:r w:rsidR="00DC1775" w:rsidRPr="00A4283E">
        <w:rPr>
          <w:rFonts w:ascii="Bookman Old Style" w:hAnsi="Bookman Old Style" w:cs="Arial"/>
        </w:rPr>
        <w:t>noviembre</w:t>
      </w:r>
      <w:r w:rsidR="009C18F8" w:rsidRPr="00A4283E">
        <w:rPr>
          <w:rFonts w:ascii="Bookman Old Style" w:hAnsi="Bookman Old Style" w:cs="Arial"/>
        </w:rPr>
        <w:t xml:space="preserve"> </w:t>
      </w:r>
      <w:r w:rsidRPr="00A4283E">
        <w:rPr>
          <w:rFonts w:ascii="Bookman Old Style" w:hAnsi="Bookman Old Style" w:cs="Arial"/>
        </w:rPr>
        <w:t>de dos mil veinti</w:t>
      </w:r>
      <w:r w:rsidR="00AA3AC4" w:rsidRPr="00A4283E">
        <w:rPr>
          <w:rFonts w:ascii="Bookman Old Style" w:hAnsi="Bookman Old Style" w:cs="Arial"/>
        </w:rPr>
        <w:t>trés</w:t>
      </w:r>
      <w:r w:rsidRPr="00A4283E">
        <w:rPr>
          <w:rFonts w:ascii="Bookman Old Style" w:hAnsi="Bookman Old Style" w:cs="Arial"/>
        </w:rPr>
        <w:t xml:space="preserve"> (202</w:t>
      </w:r>
      <w:r w:rsidR="00AA3AC4" w:rsidRPr="00A4283E">
        <w:rPr>
          <w:rFonts w:ascii="Bookman Old Style" w:hAnsi="Bookman Old Style" w:cs="Arial"/>
        </w:rPr>
        <w:t>3</w:t>
      </w:r>
      <w:r w:rsidRPr="00A4283E">
        <w:rPr>
          <w:rFonts w:ascii="Bookman Old Style" w:hAnsi="Bookman Old Style" w:cs="Arial"/>
        </w:rPr>
        <w:t xml:space="preserve">), el Tribunal Superior de Distrito Judicial de Pereira, Sala de Decisión Laboral integrada por los magistrados Dra. OLGA LUCIA HOYOS SEPÚLVEDA, Dr. JULIO CÉSAR SALAZAR MUÑOZ y como ponente Dr. GERMÁN DARÍO GÓEZ VINASCO, procede a resolver </w:t>
      </w:r>
      <w:r w:rsidR="00AA3AC4" w:rsidRPr="00A4283E">
        <w:rPr>
          <w:rFonts w:ascii="Bookman Old Style" w:hAnsi="Bookman Old Style" w:cs="Arial"/>
        </w:rPr>
        <w:t>el</w:t>
      </w:r>
      <w:r w:rsidRPr="00A4283E">
        <w:rPr>
          <w:rFonts w:ascii="Bookman Old Style" w:hAnsi="Bookman Old Style" w:cs="Arial"/>
        </w:rPr>
        <w:t xml:space="preserve"> recurso</w:t>
      </w:r>
      <w:r w:rsidR="00AA3AC4" w:rsidRPr="00A4283E">
        <w:rPr>
          <w:rFonts w:ascii="Bookman Old Style" w:hAnsi="Bookman Old Style" w:cs="Arial"/>
        </w:rPr>
        <w:t xml:space="preserve"> </w:t>
      </w:r>
      <w:r w:rsidRPr="00A4283E">
        <w:rPr>
          <w:rFonts w:ascii="Bookman Old Style" w:hAnsi="Bookman Old Style" w:cs="Arial"/>
        </w:rPr>
        <w:t xml:space="preserve">de apelación interpuesto por </w:t>
      </w:r>
      <w:r w:rsidR="003E507B" w:rsidRPr="00A4283E">
        <w:rPr>
          <w:rFonts w:ascii="Bookman Old Style" w:hAnsi="Bookman Old Style" w:cs="Arial"/>
        </w:rPr>
        <w:t>COLPENSIONES</w:t>
      </w:r>
      <w:r w:rsidR="00422AB6" w:rsidRPr="00A4283E">
        <w:rPr>
          <w:rFonts w:ascii="Bookman Old Style" w:hAnsi="Bookman Old Style" w:cs="Arial"/>
        </w:rPr>
        <w:t xml:space="preserve"> y </w:t>
      </w:r>
      <w:r w:rsidR="00DC1775" w:rsidRPr="00A4283E">
        <w:rPr>
          <w:rFonts w:ascii="Bookman Old Style" w:hAnsi="Bookman Old Style" w:cs="Arial"/>
        </w:rPr>
        <w:t>COLFONDOS</w:t>
      </w:r>
      <w:r w:rsidR="00422AB6" w:rsidRPr="00A4283E">
        <w:rPr>
          <w:rFonts w:ascii="Bookman Old Style" w:hAnsi="Bookman Old Style" w:cs="Arial"/>
        </w:rPr>
        <w:t xml:space="preserve"> S.A.</w:t>
      </w:r>
      <w:r w:rsidR="00C14CB6" w:rsidRPr="00A4283E">
        <w:rPr>
          <w:rFonts w:ascii="Bookman Old Style" w:hAnsi="Bookman Old Style" w:cs="Arial"/>
        </w:rPr>
        <w:t xml:space="preserve"> en </w:t>
      </w:r>
      <w:r w:rsidRPr="00A4283E">
        <w:rPr>
          <w:rFonts w:ascii="Bookman Old Style" w:hAnsi="Bookman Old Style" w:cs="Arial"/>
        </w:rPr>
        <w:t xml:space="preserve">contra la sentencia de primera instancia, así como el </w:t>
      </w:r>
      <w:r w:rsidR="00514F55" w:rsidRPr="00A4283E">
        <w:rPr>
          <w:rFonts w:ascii="Bookman Old Style" w:hAnsi="Bookman Old Style" w:cs="Arial"/>
        </w:rPr>
        <w:lastRenderedPageBreak/>
        <w:t>G</w:t>
      </w:r>
      <w:r w:rsidRPr="00A4283E">
        <w:rPr>
          <w:rFonts w:ascii="Bookman Old Style" w:hAnsi="Bookman Old Style" w:cs="Arial"/>
        </w:rPr>
        <w:t xml:space="preserve">rado </w:t>
      </w:r>
      <w:r w:rsidR="00514F55" w:rsidRPr="00A4283E">
        <w:rPr>
          <w:rFonts w:ascii="Bookman Old Style" w:hAnsi="Bookman Old Style" w:cs="Arial"/>
        </w:rPr>
        <w:t>J</w:t>
      </w:r>
      <w:r w:rsidRPr="00A4283E">
        <w:rPr>
          <w:rFonts w:ascii="Bookman Old Style" w:hAnsi="Bookman Old Style" w:cs="Arial"/>
        </w:rPr>
        <w:t xml:space="preserve">urisdiccional de consulta ordenado a favor de </w:t>
      </w:r>
      <w:r w:rsidR="003E507B" w:rsidRPr="00A4283E">
        <w:rPr>
          <w:rFonts w:ascii="Bookman Old Style" w:hAnsi="Bookman Old Style" w:cs="Arial"/>
        </w:rPr>
        <w:t>COLPENSIONES</w:t>
      </w:r>
      <w:r w:rsidRPr="00A4283E">
        <w:rPr>
          <w:rFonts w:ascii="Bookman Old Style" w:hAnsi="Bookman Old Style" w:cs="Arial"/>
        </w:rPr>
        <w:t xml:space="preserve"> en la misma providencia, proferida por el Juzgado</w:t>
      </w:r>
      <w:r w:rsidR="00C90928" w:rsidRPr="00A4283E">
        <w:rPr>
          <w:rFonts w:ascii="Bookman Old Style" w:hAnsi="Bookman Old Style" w:cs="Arial"/>
        </w:rPr>
        <w:t xml:space="preserve"> </w:t>
      </w:r>
      <w:r w:rsidR="00941C9C" w:rsidRPr="00A4283E">
        <w:rPr>
          <w:rFonts w:ascii="Bookman Old Style" w:hAnsi="Bookman Old Style" w:cs="Arial"/>
        </w:rPr>
        <w:t>Quinto</w:t>
      </w:r>
      <w:r w:rsidR="00514F55" w:rsidRPr="00A4283E">
        <w:rPr>
          <w:rFonts w:ascii="Bookman Old Style" w:hAnsi="Bookman Old Style" w:cs="Arial"/>
        </w:rPr>
        <w:t xml:space="preserve"> </w:t>
      </w:r>
      <w:r w:rsidR="00315036" w:rsidRPr="00A4283E">
        <w:rPr>
          <w:rFonts w:ascii="Bookman Old Style" w:hAnsi="Bookman Old Style" w:cs="Arial"/>
          <w:noProof/>
        </w:rPr>
        <w:t>Laboral Circuito</w:t>
      </w:r>
      <w:r w:rsidR="00315036" w:rsidRPr="00A4283E">
        <w:rPr>
          <w:rFonts w:ascii="Bookman Old Style" w:hAnsi="Bookman Old Style" w:cs="Arial"/>
        </w:rPr>
        <w:t xml:space="preserve"> </w:t>
      </w:r>
      <w:r w:rsidRPr="00A4283E">
        <w:rPr>
          <w:rFonts w:ascii="Bookman Old Style" w:hAnsi="Bookman Old Style" w:cs="Arial"/>
        </w:rPr>
        <w:t xml:space="preserve">de esta ciudad dentro del proceso </w:t>
      </w:r>
      <w:r w:rsidRPr="00A4283E">
        <w:rPr>
          <w:rFonts w:ascii="Bookman Old Style" w:hAnsi="Bookman Old Style" w:cs="Arial"/>
          <w:b/>
        </w:rPr>
        <w:t>ordinario</w:t>
      </w:r>
      <w:r w:rsidR="00A4283E">
        <w:rPr>
          <w:rFonts w:ascii="Bookman Old Style" w:hAnsi="Bookman Old Style" w:cs="Arial"/>
          <w:b/>
        </w:rPr>
        <w:t xml:space="preserve"> laboral</w:t>
      </w:r>
      <w:r w:rsidRPr="00A4283E">
        <w:rPr>
          <w:rFonts w:ascii="Bookman Old Style" w:hAnsi="Bookman Old Style" w:cs="Arial"/>
        </w:rPr>
        <w:t xml:space="preserve"> promovido por </w:t>
      </w:r>
      <w:bookmarkStart w:id="0" w:name="_Hlk105532493"/>
      <w:r w:rsidR="00DC1775" w:rsidRPr="00A4283E">
        <w:rPr>
          <w:rFonts w:ascii="Bookman Old Style" w:hAnsi="Bookman Old Style" w:cs="Arial"/>
          <w:b/>
          <w:bCs/>
          <w:noProof/>
        </w:rPr>
        <w:t>GLORIA LILIANA RIVERA BARRERO</w:t>
      </w:r>
      <w:r w:rsidR="00E35FD0" w:rsidRPr="00A4283E">
        <w:rPr>
          <w:rFonts w:ascii="Bookman Old Style" w:hAnsi="Bookman Old Style" w:cs="Arial"/>
          <w:b/>
          <w:bCs/>
          <w:noProof/>
        </w:rPr>
        <w:t xml:space="preserve"> </w:t>
      </w:r>
      <w:r w:rsidRPr="00A4283E">
        <w:rPr>
          <w:rFonts w:ascii="Bookman Old Style" w:hAnsi="Bookman Old Style" w:cs="Arial"/>
        </w:rPr>
        <w:t xml:space="preserve">contra la </w:t>
      </w:r>
      <w:r w:rsidR="0052162C" w:rsidRPr="00A4283E">
        <w:rPr>
          <w:rFonts w:ascii="Bookman Old Style" w:hAnsi="Bookman Old Style" w:cs="Arial"/>
          <w:b/>
          <w:noProof/>
        </w:rPr>
        <w:t>COLPENSIONES</w:t>
      </w:r>
      <w:r w:rsidR="0035686C" w:rsidRPr="00A4283E">
        <w:rPr>
          <w:rFonts w:ascii="Bookman Old Style" w:hAnsi="Bookman Old Style" w:cs="Arial"/>
          <w:b/>
          <w:noProof/>
        </w:rPr>
        <w:t xml:space="preserve"> </w:t>
      </w:r>
      <w:r w:rsidR="0035686C" w:rsidRPr="00A4283E">
        <w:rPr>
          <w:rFonts w:ascii="Bookman Old Style" w:hAnsi="Bookman Old Style" w:cs="Arial"/>
          <w:noProof/>
        </w:rPr>
        <w:t>y</w:t>
      </w:r>
      <w:r w:rsidR="0035686C" w:rsidRPr="00A4283E">
        <w:rPr>
          <w:rFonts w:ascii="Bookman Old Style" w:hAnsi="Bookman Old Style" w:cs="Arial"/>
          <w:b/>
          <w:noProof/>
        </w:rPr>
        <w:t xml:space="preserve"> </w:t>
      </w:r>
      <w:r w:rsidR="00DC1775" w:rsidRPr="00A4283E">
        <w:rPr>
          <w:rFonts w:ascii="Bookman Old Style" w:hAnsi="Bookman Old Style" w:cs="Arial"/>
          <w:b/>
          <w:noProof/>
        </w:rPr>
        <w:t>COLFONDOS</w:t>
      </w:r>
      <w:r w:rsidR="00C83AF9" w:rsidRPr="00A4283E">
        <w:rPr>
          <w:rFonts w:ascii="Bookman Old Style" w:hAnsi="Bookman Old Style" w:cs="Arial"/>
          <w:b/>
          <w:noProof/>
        </w:rPr>
        <w:t xml:space="preserve"> S.A.</w:t>
      </w:r>
      <w:r w:rsidR="0052162C" w:rsidRPr="00A4283E">
        <w:rPr>
          <w:rFonts w:ascii="Bookman Old Style" w:hAnsi="Bookman Old Style" w:cs="Arial"/>
          <w:noProof/>
        </w:rPr>
        <w:t>,</w:t>
      </w:r>
      <w:r w:rsidR="0052162C" w:rsidRPr="00A4283E">
        <w:rPr>
          <w:rFonts w:ascii="Bookman Old Style" w:hAnsi="Bookman Old Style" w:cs="Arial"/>
          <w:b/>
          <w:noProof/>
        </w:rPr>
        <w:t xml:space="preserve"> </w:t>
      </w:r>
      <w:r w:rsidRPr="00A4283E">
        <w:rPr>
          <w:rFonts w:ascii="Bookman Old Style" w:hAnsi="Bookman Old Style" w:cs="Arial"/>
        </w:rPr>
        <w:t xml:space="preserve">radicado </w:t>
      </w:r>
      <w:r w:rsidR="008C2BCE" w:rsidRPr="00A4283E">
        <w:rPr>
          <w:rFonts w:ascii="Bookman Old Style" w:hAnsi="Bookman Old Style" w:cs="Arial"/>
          <w:b/>
          <w:noProof/>
        </w:rPr>
        <w:t>66001310500120210012901</w:t>
      </w:r>
      <w:r w:rsidRPr="00A4283E">
        <w:rPr>
          <w:rFonts w:ascii="Bookman Old Style" w:hAnsi="Bookman Old Style" w:cs="Arial"/>
        </w:rPr>
        <w:t>.</w:t>
      </w:r>
    </w:p>
    <w:bookmarkEnd w:id="0"/>
    <w:p w14:paraId="42080F58" w14:textId="77777777" w:rsidR="003073FB" w:rsidRPr="00A4283E" w:rsidRDefault="003073FB" w:rsidP="00A4283E">
      <w:pPr>
        <w:spacing w:line="276" w:lineRule="auto"/>
        <w:ind w:firstLine="0"/>
        <w:rPr>
          <w:rFonts w:ascii="Bookman Old Style" w:hAnsi="Bookman Old Style" w:cs="Arial"/>
        </w:rPr>
      </w:pPr>
    </w:p>
    <w:p w14:paraId="74B3665D" w14:textId="77777777" w:rsidR="0005234B" w:rsidRPr="00A4283E" w:rsidRDefault="0005234B" w:rsidP="00A4283E">
      <w:pPr>
        <w:spacing w:line="276" w:lineRule="auto"/>
        <w:ind w:firstLine="0"/>
        <w:rPr>
          <w:rFonts w:ascii="Bookman Old Style" w:hAnsi="Bookman Old Style" w:cs="Arial"/>
        </w:rPr>
      </w:pPr>
      <w:r w:rsidRPr="00A4283E">
        <w:rPr>
          <w:rFonts w:ascii="Bookman Old Style" w:hAnsi="Bookman Old Style" w:cs="Arial"/>
        </w:rPr>
        <w:t>Seguidamente se procede a proferir la decisión por escrito aprobada por esta Sala, conforme al artículo 15 del Decreto No. 806 de 2020, adoptado como legislación permanente por la Ley 221 del 13 de junio de 2022, la cual se traduce en los siguientes términos,</w:t>
      </w:r>
    </w:p>
    <w:p w14:paraId="23E139E7" w14:textId="77777777" w:rsidR="003073FB" w:rsidRPr="00A4283E" w:rsidRDefault="003073FB" w:rsidP="00A4283E">
      <w:pPr>
        <w:spacing w:line="276" w:lineRule="auto"/>
        <w:ind w:firstLine="0"/>
        <w:rPr>
          <w:rFonts w:ascii="Bookman Old Style" w:hAnsi="Bookman Old Style" w:cs="Arial"/>
        </w:rPr>
      </w:pPr>
    </w:p>
    <w:p w14:paraId="1277239E" w14:textId="3E3F069F" w:rsidR="003073FB" w:rsidRPr="00A4283E" w:rsidRDefault="003073FB" w:rsidP="00A4283E">
      <w:pPr>
        <w:suppressAutoHyphens/>
        <w:spacing w:line="276" w:lineRule="auto"/>
        <w:ind w:firstLine="480"/>
        <w:jc w:val="center"/>
        <w:rPr>
          <w:rFonts w:ascii="Bookman Old Style" w:hAnsi="Bookman Old Style" w:cs="Arial"/>
          <w:b/>
          <w:bCs/>
          <w:spacing w:val="-3"/>
          <w:lang w:eastAsia="es-ES"/>
        </w:rPr>
      </w:pPr>
      <w:r w:rsidRPr="00A4283E">
        <w:rPr>
          <w:rFonts w:ascii="Bookman Old Style" w:hAnsi="Bookman Old Style" w:cs="Arial"/>
          <w:b/>
          <w:bCs/>
          <w:spacing w:val="-3"/>
          <w:lang w:eastAsia="es-ES"/>
        </w:rPr>
        <w:t xml:space="preserve">SENTENCIA No. </w:t>
      </w:r>
      <w:r w:rsidR="00A04482" w:rsidRPr="00A4283E">
        <w:rPr>
          <w:rFonts w:ascii="Bookman Old Style" w:hAnsi="Bookman Old Style" w:cs="Arial"/>
          <w:b/>
          <w:bCs/>
          <w:spacing w:val="-3"/>
          <w:lang w:eastAsia="es-ES"/>
        </w:rPr>
        <w:t>191</w:t>
      </w:r>
    </w:p>
    <w:p w14:paraId="42AF91E9" w14:textId="77777777" w:rsidR="00B86E32" w:rsidRPr="00A4283E" w:rsidRDefault="00B86E32" w:rsidP="00A4283E">
      <w:pPr>
        <w:suppressAutoHyphens/>
        <w:spacing w:line="276" w:lineRule="auto"/>
        <w:ind w:firstLine="480"/>
        <w:jc w:val="center"/>
        <w:rPr>
          <w:rFonts w:ascii="Bookman Old Style" w:hAnsi="Bookman Old Style" w:cs="Arial"/>
          <w:b/>
          <w:bCs/>
          <w:spacing w:val="-3"/>
          <w:u w:val="single"/>
          <w:lang w:eastAsia="es-ES"/>
        </w:rPr>
      </w:pPr>
    </w:p>
    <w:p w14:paraId="72A17488" w14:textId="77777777" w:rsidR="003073FB" w:rsidRPr="00A4283E" w:rsidRDefault="003073FB" w:rsidP="00A4283E">
      <w:pPr>
        <w:pStyle w:val="Prrafodelista"/>
        <w:numPr>
          <w:ilvl w:val="0"/>
          <w:numId w:val="1"/>
        </w:numPr>
        <w:tabs>
          <w:tab w:val="left" w:pos="2268"/>
        </w:tabs>
        <w:suppressAutoHyphens/>
        <w:spacing w:line="276" w:lineRule="auto"/>
        <w:ind w:left="270" w:hanging="270"/>
        <w:jc w:val="center"/>
        <w:rPr>
          <w:rFonts w:ascii="Bookman Old Style" w:hAnsi="Bookman Old Style" w:cs="Arial"/>
          <w:b/>
          <w:bCs/>
        </w:rPr>
      </w:pPr>
      <w:r w:rsidRPr="00A4283E">
        <w:rPr>
          <w:rFonts w:ascii="Bookman Old Style" w:hAnsi="Bookman Old Style" w:cs="Arial"/>
          <w:b/>
          <w:bCs/>
        </w:rPr>
        <w:t>ANTECEDENTES</w:t>
      </w:r>
    </w:p>
    <w:p w14:paraId="370072BA" w14:textId="77777777" w:rsidR="003073FB" w:rsidRPr="00A4283E" w:rsidRDefault="003073FB" w:rsidP="00A4283E">
      <w:pPr>
        <w:spacing w:line="276" w:lineRule="auto"/>
        <w:ind w:firstLine="0"/>
        <w:rPr>
          <w:rFonts w:ascii="Bookman Old Style" w:hAnsi="Bookman Old Style" w:cs="Arial"/>
          <w:color w:val="FF0000"/>
        </w:rPr>
      </w:pPr>
    </w:p>
    <w:p w14:paraId="273E2403" w14:textId="77777777" w:rsidR="003073FB" w:rsidRPr="00A4283E" w:rsidRDefault="003073FB" w:rsidP="00A4283E">
      <w:pPr>
        <w:pStyle w:val="Prrafodelista"/>
        <w:numPr>
          <w:ilvl w:val="0"/>
          <w:numId w:val="2"/>
        </w:numPr>
        <w:spacing w:line="276" w:lineRule="auto"/>
        <w:ind w:left="284"/>
        <w:rPr>
          <w:rFonts w:ascii="Bookman Old Style" w:hAnsi="Bookman Old Style" w:cs="Arial"/>
        </w:rPr>
      </w:pPr>
      <w:r w:rsidRPr="00A4283E">
        <w:rPr>
          <w:rFonts w:ascii="Bookman Old Style" w:hAnsi="Bookman Old Style" w:cs="Arial"/>
          <w:b/>
          <w:bCs/>
        </w:rPr>
        <w:t>Pretensiones</w:t>
      </w:r>
    </w:p>
    <w:p w14:paraId="15F843C9" w14:textId="77777777" w:rsidR="003073FB" w:rsidRPr="00A4283E" w:rsidRDefault="003073FB" w:rsidP="00A4283E">
      <w:pPr>
        <w:spacing w:line="276" w:lineRule="auto"/>
        <w:ind w:firstLine="0"/>
        <w:rPr>
          <w:rFonts w:ascii="Bookman Old Style" w:hAnsi="Bookman Old Style" w:cs="Arial"/>
        </w:rPr>
      </w:pPr>
    </w:p>
    <w:p w14:paraId="704D2E70" w14:textId="2CF64CF4" w:rsidR="003073FB" w:rsidRPr="00A4283E" w:rsidRDefault="008C2BCE" w:rsidP="00A4283E">
      <w:pPr>
        <w:spacing w:line="276" w:lineRule="auto"/>
        <w:ind w:firstLine="0"/>
        <w:rPr>
          <w:rFonts w:ascii="Bookman Old Style" w:hAnsi="Bookman Old Style" w:cs="Arial"/>
        </w:rPr>
      </w:pPr>
      <w:r w:rsidRPr="00A4283E">
        <w:rPr>
          <w:rFonts w:ascii="Bookman Old Style" w:hAnsi="Bookman Old Style" w:cs="Arial"/>
          <w:b/>
          <w:bCs/>
          <w:noProof/>
        </w:rPr>
        <w:t>GLORIA LILIANA RIVERA BARRERO</w:t>
      </w:r>
      <w:r w:rsidR="003073FB" w:rsidRPr="00A4283E">
        <w:rPr>
          <w:rFonts w:ascii="Bookman Old Style" w:hAnsi="Bookman Old Style" w:cs="Arial"/>
          <w:b/>
          <w:bCs/>
          <w:noProof/>
        </w:rPr>
        <w:t>,</w:t>
      </w:r>
      <w:r w:rsidR="003073FB" w:rsidRPr="00A4283E">
        <w:rPr>
          <w:rFonts w:ascii="Bookman Old Style" w:hAnsi="Bookman Old Style" w:cs="Arial"/>
          <w:noProof/>
        </w:rPr>
        <w:t xml:space="preserve"> </w:t>
      </w:r>
      <w:r w:rsidR="00C90928" w:rsidRPr="00A4283E">
        <w:rPr>
          <w:rFonts w:ascii="Bookman Old Style" w:hAnsi="Bookman Old Style" w:cs="Arial"/>
          <w:noProof/>
        </w:rPr>
        <w:t>pretende</w:t>
      </w:r>
      <w:r w:rsidR="003073FB" w:rsidRPr="00A4283E">
        <w:rPr>
          <w:rFonts w:ascii="Bookman Old Style" w:hAnsi="Bookman Old Style" w:cs="Arial"/>
          <w:noProof/>
        </w:rPr>
        <w:t xml:space="preserve"> se declare la </w:t>
      </w:r>
      <w:r w:rsidR="00E2785C" w:rsidRPr="00A4283E">
        <w:rPr>
          <w:rFonts w:ascii="Bookman Old Style" w:hAnsi="Bookman Old Style" w:cs="Arial"/>
          <w:noProof/>
        </w:rPr>
        <w:t>ineficacia</w:t>
      </w:r>
      <w:r w:rsidR="003073FB" w:rsidRPr="00A4283E">
        <w:rPr>
          <w:rFonts w:ascii="Bookman Old Style" w:hAnsi="Bookman Old Style" w:cs="Arial"/>
          <w:noProof/>
        </w:rPr>
        <w:t xml:space="preserve"> de</w:t>
      </w:r>
      <w:r w:rsidR="00D34568" w:rsidRPr="00A4283E">
        <w:rPr>
          <w:rFonts w:ascii="Bookman Old Style" w:hAnsi="Bookman Old Style" w:cs="Arial"/>
          <w:noProof/>
        </w:rPr>
        <w:t xml:space="preserve"> </w:t>
      </w:r>
      <w:r w:rsidR="003073FB" w:rsidRPr="00A4283E">
        <w:rPr>
          <w:rFonts w:ascii="Bookman Old Style" w:hAnsi="Bookman Old Style" w:cs="Arial"/>
          <w:noProof/>
        </w:rPr>
        <w:t xml:space="preserve">la afiliación que hizo </w:t>
      </w:r>
      <w:r w:rsidR="0045781C" w:rsidRPr="00A4283E">
        <w:rPr>
          <w:rFonts w:ascii="Bookman Old Style" w:hAnsi="Bookman Old Style" w:cs="Arial"/>
          <w:noProof/>
        </w:rPr>
        <w:t>a</w:t>
      </w:r>
      <w:r w:rsidR="000A5FC5" w:rsidRPr="00A4283E">
        <w:rPr>
          <w:rFonts w:ascii="Bookman Old Style" w:hAnsi="Bookman Old Style" w:cs="Arial"/>
          <w:noProof/>
        </w:rPr>
        <w:t xml:space="preserve">l RAIS efectuado a </w:t>
      </w:r>
      <w:r w:rsidR="00DC1775" w:rsidRPr="00A4283E">
        <w:rPr>
          <w:rFonts w:ascii="Bookman Old Style" w:hAnsi="Bookman Old Style" w:cs="Arial"/>
          <w:noProof/>
        </w:rPr>
        <w:t>COLFONDOS</w:t>
      </w:r>
      <w:r w:rsidR="00B02ABC" w:rsidRPr="00A4283E">
        <w:rPr>
          <w:rFonts w:ascii="Bookman Old Style" w:hAnsi="Bookman Old Style" w:cs="Arial"/>
          <w:noProof/>
        </w:rPr>
        <w:t xml:space="preserve"> </w:t>
      </w:r>
      <w:r w:rsidR="00514F55" w:rsidRPr="00A4283E">
        <w:rPr>
          <w:rFonts w:ascii="Bookman Old Style" w:hAnsi="Bookman Old Style" w:cs="Arial"/>
          <w:noProof/>
        </w:rPr>
        <w:t>S.A</w:t>
      </w:r>
      <w:r w:rsidR="00E720F9" w:rsidRPr="00A4283E">
        <w:rPr>
          <w:rFonts w:ascii="Bookman Old Style" w:hAnsi="Bookman Old Style" w:cs="Arial"/>
          <w:noProof/>
        </w:rPr>
        <w:t>. En</w:t>
      </w:r>
      <w:r w:rsidR="003073FB" w:rsidRPr="00A4283E">
        <w:rPr>
          <w:rFonts w:ascii="Bookman Old Style" w:hAnsi="Bookman Old Style" w:cs="Arial"/>
          <w:noProof/>
        </w:rPr>
        <w:t xml:space="preserve"> consecuencia, solicita que se condene a </w:t>
      </w:r>
      <w:r w:rsidR="00315036" w:rsidRPr="00A4283E">
        <w:rPr>
          <w:rFonts w:ascii="Bookman Old Style" w:hAnsi="Bookman Old Style" w:cs="Arial"/>
          <w:noProof/>
        </w:rPr>
        <w:t>C</w:t>
      </w:r>
      <w:r w:rsidR="00C90928" w:rsidRPr="00A4283E">
        <w:rPr>
          <w:rFonts w:ascii="Bookman Old Style" w:hAnsi="Bookman Old Style" w:cs="Arial"/>
          <w:noProof/>
        </w:rPr>
        <w:t>OLPENSIONES</w:t>
      </w:r>
      <w:r w:rsidR="00315036" w:rsidRPr="00A4283E">
        <w:rPr>
          <w:rFonts w:ascii="Bookman Old Style" w:hAnsi="Bookman Old Style" w:cs="Arial"/>
          <w:noProof/>
        </w:rPr>
        <w:t xml:space="preserve"> </w:t>
      </w:r>
      <w:r w:rsidR="003073FB" w:rsidRPr="00A4283E">
        <w:rPr>
          <w:rFonts w:ascii="Bookman Old Style" w:hAnsi="Bookman Old Style" w:cs="Arial"/>
          <w:noProof/>
        </w:rPr>
        <w:t>a recibirl</w:t>
      </w:r>
      <w:r w:rsidR="00003BB8" w:rsidRPr="00A4283E">
        <w:rPr>
          <w:rFonts w:ascii="Bookman Old Style" w:hAnsi="Bookman Old Style" w:cs="Arial"/>
          <w:noProof/>
        </w:rPr>
        <w:t>a</w:t>
      </w:r>
      <w:r w:rsidR="003073FB" w:rsidRPr="00A4283E">
        <w:rPr>
          <w:rFonts w:ascii="Bookman Old Style" w:hAnsi="Bookman Old Style" w:cs="Arial"/>
          <w:noProof/>
        </w:rPr>
        <w:t xml:space="preserve"> nuevamente como afiliad</w:t>
      </w:r>
      <w:r w:rsidR="00003BB8" w:rsidRPr="00A4283E">
        <w:rPr>
          <w:rFonts w:ascii="Bookman Old Style" w:hAnsi="Bookman Old Style" w:cs="Arial"/>
          <w:noProof/>
        </w:rPr>
        <w:t>a</w:t>
      </w:r>
      <w:r w:rsidR="003073FB" w:rsidRPr="00A4283E">
        <w:rPr>
          <w:rFonts w:ascii="Bookman Old Style" w:hAnsi="Bookman Old Style" w:cs="Arial"/>
          <w:noProof/>
        </w:rPr>
        <w:t xml:space="preserve"> cotizante y a</w:t>
      </w:r>
      <w:r w:rsidR="00D01B34" w:rsidRPr="00A4283E">
        <w:rPr>
          <w:rFonts w:ascii="Bookman Old Style" w:hAnsi="Bookman Old Style" w:cs="Arial"/>
          <w:noProof/>
        </w:rPr>
        <w:t xml:space="preserve"> la </w:t>
      </w:r>
      <w:r w:rsidR="00793226" w:rsidRPr="00A4283E">
        <w:rPr>
          <w:rFonts w:ascii="Bookman Old Style" w:hAnsi="Bookman Old Style" w:cs="Arial"/>
          <w:noProof/>
        </w:rPr>
        <w:t>AFP</w:t>
      </w:r>
      <w:r w:rsidR="00D01B34" w:rsidRPr="00A4283E">
        <w:rPr>
          <w:rFonts w:ascii="Bookman Old Style" w:hAnsi="Bookman Old Style" w:cs="Arial"/>
          <w:noProof/>
        </w:rPr>
        <w:t xml:space="preserve"> a liberar de su</w:t>
      </w:r>
      <w:r w:rsidR="00003BB8" w:rsidRPr="00A4283E">
        <w:rPr>
          <w:rFonts w:ascii="Bookman Old Style" w:hAnsi="Bookman Old Style" w:cs="Arial"/>
          <w:noProof/>
        </w:rPr>
        <w:t>s</w:t>
      </w:r>
      <w:r w:rsidR="00D01B34" w:rsidRPr="00A4283E">
        <w:rPr>
          <w:rFonts w:ascii="Bookman Old Style" w:hAnsi="Bookman Old Style" w:cs="Arial"/>
          <w:noProof/>
        </w:rPr>
        <w:t xml:space="preserve"> base</w:t>
      </w:r>
      <w:r w:rsidR="00003BB8" w:rsidRPr="00A4283E">
        <w:rPr>
          <w:rFonts w:ascii="Bookman Old Style" w:hAnsi="Bookman Old Style" w:cs="Arial"/>
          <w:noProof/>
        </w:rPr>
        <w:t>s</w:t>
      </w:r>
      <w:r w:rsidR="003073FB" w:rsidRPr="00A4283E">
        <w:rPr>
          <w:rFonts w:ascii="Bookman Old Style" w:hAnsi="Bookman Old Style" w:cs="Arial"/>
          <w:noProof/>
        </w:rPr>
        <w:t xml:space="preserve"> de datos a la </w:t>
      </w:r>
      <w:r w:rsidR="00315036" w:rsidRPr="00A4283E">
        <w:rPr>
          <w:rFonts w:ascii="Bookman Old Style" w:hAnsi="Bookman Old Style" w:cs="Arial"/>
          <w:noProof/>
        </w:rPr>
        <w:t xml:space="preserve">parte </w:t>
      </w:r>
      <w:r w:rsidR="003073FB" w:rsidRPr="00A4283E">
        <w:rPr>
          <w:rFonts w:ascii="Bookman Old Style" w:hAnsi="Bookman Old Style" w:cs="Arial"/>
          <w:noProof/>
        </w:rPr>
        <w:t xml:space="preserve">actora </w:t>
      </w:r>
      <w:r w:rsidR="00793226" w:rsidRPr="00A4283E">
        <w:rPr>
          <w:rFonts w:ascii="Bookman Old Style" w:hAnsi="Bookman Old Style" w:cs="Arial"/>
          <w:noProof/>
        </w:rPr>
        <w:t>haciendo</w:t>
      </w:r>
      <w:r w:rsidR="003073FB" w:rsidRPr="00A4283E">
        <w:rPr>
          <w:rFonts w:ascii="Bookman Old Style" w:hAnsi="Bookman Old Style" w:cs="Arial"/>
          <w:noProof/>
        </w:rPr>
        <w:t xml:space="preserve"> el respectivo traslado de sus cotizaciones</w:t>
      </w:r>
      <w:r w:rsidR="00D01B34" w:rsidRPr="00A4283E">
        <w:rPr>
          <w:rFonts w:ascii="Bookman Old Style" w:hAnsi="Bookman Old Style" w:cs="Arial"/>
          <w:noProof/>
        </w:rPr>
        <w:t xml:space="preserve"> y rendimientos</w:t>
      </w:r>
      <w:r w:rsidR="003073FB" w:rsidRPr="00A4283E">
        <w:rPr>
          <w:rFonts w:ascii="Bookman Old Style" w:hAnsi="Bookman Old Style" w:cs="Arial"/>
          <w:noProof/>
        </w:rPr>
        <w:t>. Además, solicita se condene en costas</w:t>
      </w:r>
      <w:r w:rsidR="00711ACF" w:rsidRPr="00A4283E">
        <w:rPr>
          <w:rFonts w:ascii="Bookman Old Style" w:hAnsi="Bookman Old Style" w:cs="Arial"/>
          <w:noProof/>
        </w:rPr>
        <w:t xml:space="preserve"> y lo ultra y extra petita</w:t>
      </w:r>
      <w:r w:rsidR="00B02ABC" w:rsidRPr="00A4283E">
        <w:rPr>
          <w:rFonts w:ascii="Bookman Old Style" w:hAnsi="Bookman Old Style" w:cs="Arial"/>
          <w:noProof/>
        </w:rPr>
        <w:t>.</w:t>
      </w:r>
    </w:p>
    <w:p w14:paraId="5BFB7646" w14:textId="77777777" w:rsidR="003073FB" w:rsidRPr="00A4283E" w:rsidRDefault="003073FB" w:rsidP="00A4283E">
      <w:pPr>
        <w:spacing w:line="276" w:lineRule="auto"/>
        <w:ind w:firstLine="0"/>
        <w:rPr>
          <w:rFonts w:ascii="Bookman Old Style" w:hAnsi="Bookman Old Style" w:cs="Arial"/>
          <w:color w:val="FF0000"/>
        </w:rPr>
      </w:pPr>
    </w:p>
    <w:p w14:paraId="58F5315F" w14:textId="77777777" w:rsidR="003073FB" w:rsidRPr="00A4283E" w:rsidRDefault="003073FB" w:rsidP="00A4283E">
      <w:pPr>
        <w:pStyle w:val="Prrafodelista"/>
        <w:numPr>
          <w:ilvl w:val="0"/>
          <w:numId w:val="2"/>
        </w:numPr>
        <w:spacing w:line="276" w:lineRule="auto"/>
        <w:ind w:left="284"/>
        <w:rPr>
          <w:rFonts w:ascii="Bookman Old Style" w:hAnsi="Bookman Old Style" w:cs="Arial"/>
        </w:rPr>
      </w:pPr>
      <w:r w:rsidRPr="00A4283E">
        <w:rPr>
          <w:rFonts w:ascii="Bookman Old Style" w:hAnsi="Bookman Old Style" w:cs="Arial"/>
          <w:b/>
          <w:bCs/>
        </w:rPr>
        <w:t>Hechos</w:t>
      </w:r>
    </w:p>
    <w:p w14:paraId="5173F076" w14:textId="77777777" w:rsidR="003073FB" w:rsidRPr="00A4283E" w:rsidRDefault="003073FB" w:rsidP="00A4283E">
      <w:pPr>
        <w:spacing w:line="276" w:lineRule="auto"/>
        <w:ind w:firstLine="0"/>
        <w:rPr>
          <w:rFonts w:ascii="Bookman Old Style" w:hAnsi="Bookman Old Style" w:cs="Arial"/>
        </w:rPr>
      </w:pPr>
    </w:p>
    <w:p w14:paraId="66CB9F19" w14:textId="66691C77" w:rsidR="00BC3046" w:rsidRPr="00A4283E" w:rsidRDefault="003073FB" w:rsidP="00A4283E">
      <w:pPr>
        <w:spacing w:line="276" w:lineRule="auto"/>
        <w:ind w:firstLine="0"/>
        <w:rPr>
          <w:rFonts w:ascii="Bookman Old Style" w:hAnsi="Bookman Old Style" w:cs="Arial"/>
          <w:noProof/>
        </w:rPr>
      </w:pPr>
      <w:r w:rsidRPr="00A4283E">
        <w:rPr>
          <w:rFonts w:ascii="Bookman Old Style" w:hAnsi="Bookman Old Style" w:cs="Arial"/>
          <w:noProof/>
        </w:rPr>
        <w:t xml:space="preserve">En sustento de lo pretendido, relata </w:t>
      </w:r>
      <w:r w:rsidR="008C2BCE" w:rsidRPr="00A4283E">
        <w:rPr>
          <w:rFonts w:ascii="Bookman Old Style" w:hAnsi="Bookman Old Style" w:cs="Arial"/>
          <w:noProof/>
        </w:rPr>
        <w:t>que nació el 28 de mayo de 1969, que se afilió inicialmente al Régimen de Prima Media en el mes de junio de 1989 y siguió cotizando hasta septiembre de 1998. Comenta que el 27 de agosto de 1998 suscribió formulario de afiliación con la AFP COLFONDOS, dado que un asesor de ese fondo privado le aseguró que el monto de la pensión sería mayor en el Régimen de Ahorro Individual y que de no trasladarse, los aportes que había realizado en el Seguro Social iban a desaparecer junto con esa Administradora. Posteriormente, al percatarse que el asesor del fondo no le brindó la asesoría completa indicándo las ventajas y desventajas del traslado, solicitó el regreso al RPM administrado por COLPENSIONES, sin embargo, el 24 de marzo de 2021 negó la solicitud debido a que tenía menos de 10 años para cumplir la edad pensional.</w:t>
      </w:r>
    </w:p>
    <w:p w14:paraId="131A98DF" w14:textId="14EA0E40" w:rsidR="00315036" w:rsidRPr="00A4283E" w:rsidRDefault="00315036" w:rsidP="00A4283E">
      <w:pPr>
        <w:spacing w:line="276" w:lineRule="auto"/>
        <w:ind w:firstLine="0"/>
        <w:rPr>
          <w:rFonts w:ascii="Bookman Old Style" w:hAnsi="Bookman Old Style" w:cs="Arial"/>
          <w:noProof/>
        </w:rPr>
      </w:pPr>
    </w:p>
    <w:p w14:paraId="5367CFD7" w14:textId="77777777" w:rsidR="003073FB" w:rsidRPr="00A4283E" w:rsidRDefault="003073FB" w:rsidP="00A4283E">
      <w:pPr>
        <w:pStyle w:val="Prrafodelista"/>
        <w:numPr>
          <w:ilvl w:val="0"/>
          <w:numId w:val="2"/>
        </w:numPr>
        <w:spacing w:line="276" w:lineRule="auto"/>
        <w:ind w:left="284"/>
        <w:rPr>
          <w:rFonts w:ascii="Bookman Old Style" w:hAnsi="Bookman Old Style" w:cs="Arial"/>
          <w:b/>
          <w:bCs/>
        </w:rPr>
      </w:pPr>
      <w:r w:rsidRPr="00A4283E">
        <w:rPr>
          <w:rFonts w:ascii="Bookman Old Style" w:hAnsi="Bookman Old Style" w:cs="Arial"/>
          <w:b/>
          <w:bCs/>
        </w:rPr>
        <w:t>Posición de las demandadas.</w:t>
      </w:r>
    </w:p>
    <w:p w14:paraId="509D5ABF" w14:textId="77777777" w:rsidR="003073FB" w:rsidRPr="00A4283E" w:rsidRDefault="003073FB" w:rsidP="00A4283E">
      <w:pPr>
        <w:spacing w:line="276" w:lineRule="auto"/>
        <w:ind w:firstLine="0"/>
        <w:rPr>
          <w:rFonts w:ascii="Bookman Old Style" w:hAnsi="Bookman Old Style" w:cs="Arial"/>
        </w:rPr>
      </w:pPr>
    </w:p>
    <w:p w14:paraId="5BED189A" w14:textId="247364CD" w:rsidR="00AC4782" w:rsidRPr="00A4283E" w:rsidRDefault="00AC4782" w:rsidP="00A4283E">
      <w:pPr>
        <w:spacing w:line="276" w:lineRule="auto"/>
        <w:ind w:firstLine="0"/>
        <w:rPr>
          <w:rFonts w:ascii="Bookman Old Style" w:hAnsi="Bookman Old Style" w:cs="Arial"/>
          <w:noProof/>
        </w:rPr>
      </w:pPr>
      <w:r w:rsidRPr="00A4283E">
        <w:rPr>
          <w:rFonts w:ascii="Bookman Old Style" w:hAnsi="Bookman Old Style" w:cs="Arial"/>
          <w:b/>
          <w:bCs/>
          <w:noProof/>
        </w:rPr>
        <w:t>COLPENSIONES</w:t>
      </w:r>
      <w:r w:rsidRPr="00A4283E">
        <w:rPr>
          <w:rFonts w:ascii="Bookman Old Style" w:hAnsi="Bookman Old Style" w:cs="Arial"/>
          <w:noProof/>
        </w:rPr>
        <w:t>, al contestar la dema</w:t>
      </w:r>
      <w:r w:rsidR="00245916" w:rsidRPr="00A4283E">
        <w:rPr>
          <w:rFonts w:ascii="Bookman Old Style" w:hAnsi="Bookman Old Style" w:cs="Arial"/>
          <w:noProof/>
        </w:rPr>
        <w:t>n</w:t>
      </w:r>
      <w:r w:rsidR="00023565" w:rsidRPr="00A4283E">
        <w:rPr>
          <w:rFonts w:ascii="Bookman Old Style" w:hAnsi="Bookman Old Style" w:cs="Arial"/>
          <w:noProof/>
        </w:rPr>
        <w:t xml:space="preserve">da se opuso a las pretensiones aduciendo que </w:t>
      </w:r>
      <w:r w:rsidR="00245916" w:rsidRPr="00A4283E">
        <w:rPr>
          <w:rFonts w:ascii="Bookman Old Style" w:hAnsi="Bookman Old Style" w:cs="Arial"/>
          <w:noProof/>
        </w:rPr>
        <w:t>no le co</w:t>
      </w:r>
      <w:r w:rsidR="00023565" w:rsidRPr="00A4283E">
        <w:rPr>
          <w:rFonts w:ascii="Bookman Old Style" w:hAnsi="Bookman Old Style" w:cs="Arial"/>
          <w:noProof/>
        </w:rPr>
        <w:t xml:space="preserve">nstan los hechos de la demanda por ser ajenos al conocimiento de la entidad. Advirtió </w:t>
      </w:r>
      <w:r w:rsidR="008C2BCE" w:rsidRPr="00A4283E">
        <w:rPr>
          <w:rFonts w:ascii="Bookman Old Style" w:hAnsi="Bookman Old Style" w:cs="Arial"/>
          <w:noProof/>
        </w:rPr>
        <w:t>que la demandante carece de fundamento fáctico y jurídico, toda vez que no hay prueba que permita demostrar los elementos jurídicos para que se invalide el acto jurídico de traslado efectuado</w:t>
      </w:r>
      <w:r w:rsidR="00013EB3" w:rsidRPr="00A4283E">
        <w:rPr>
          <w:rFonts w:ascii="Bookman Old Style" w:hAnsi="Bookman Old Style" w:cs="Arial"/>
          <w:noProof/>
        </w:rPr>
        <w:t xml:space="preserve">. </w:t>
      </w:r>
      <w:r w:rsidR="00487981" w:rsidRPr="00A4283E">
        <w:rPr>
          <w:rFonts w:ascii="Bookman Old Style" w:hAnsi="Bookman Old Style" w:cs="Arial"/>
          <w:noProof/>
        </w:rPr>
        <w:t>C</w:t>
      </w:r>
      <w:r w:rsidRPr="00A4283E">
        <w:rPr>
          <w:rFonts w:ascii="Bookman Old Style" w:hAnsi="Bookman Old Style" w:cs="Arial"/>
          <w:noProof/>
        </w:rPr>
        <w:t>omo excepciones propuso:</w:t>
      </w:r>
      <w:r w:rsidR="00013EB3" w:rsidRPr="00A4283E">
        <w:rPr>
          <w:rFonts w:ascii="Bookman Old Style" w:hAnsi="Bookman Old Style" w:cs="Arial"/>
          <w:b/>
          <w:noProof/>
        </w:rPr>
        <w:t xml:space="preserve"> </w:t>
      </w:r>
      <w:r w:rsidR="008C2BCE" w:rsidRPr="00A4283E">
        <w:rPr>
          <w:rFonts w:ascii="Bookman Old Style" w:hAnsi="Bookman Old Style" w:cs="Arial"/>
          <w:b/>
          <w:noProof/>
        </w:rPr>
        <w:t xml:space="preserve">inexistencia de la obligación demandada, prescripción, estricto cumplimiento de la normativa vigente, buena fe, </w:t>
      </w:r>
      <w:r w:rsidR="008C2BCE" w:rsidRPr="00A4283E">
        <w:rPr>
          <w:rFonts w:ascii="Bookman Old Style" w:hAnsi="Bookman Old Style" w:cs="Arial"/>
          <w:b/>
          <w:noProof/>
        </w:rPr>
        <w:lastRenderedPageBreak/>
        <w:t>inoponibilidad de la responsabilidad de la AFP ante COLPENSIONES, en casos de ineficacia de traslado de régimen, declaratoria de otras excepciones.</w:t>
      </w:r>
      <w:r w:rsidR="00B02ABC" w:rsidRPr="00A4283E">
        <w:rPr>
          <w:rFonts w:ascii="Bookman Old Style" w:hAnsi="Bookman Old Style" w:cs="Arial"/>
          <w:b/>
          <w:bCs/>
          <w:noProof/>
        </w:rPr>
        <w:t xml:space="preserve"> </w:t>
      </w:r>
      <w:r w:rsidR="00B02ABC" w:rsidRPr="00A4283E">
        <w:rPr>
          <w:rFonts w:ascii="Bookman Old Style" w:hAnsi="Bookman Old Style" w:cs="Arial"/>
          <w:bCs/>
          <w:noProof/>
        </w:rPr>
        <w:t>(Anexo</w:t>
      </w:r>
      <w:r w:rsidR="005A5ECC" w:rsidRPr="00A4283E">
        <w:rPr>
          <w:rFonts w:ascii="Bookman Old Style" w:hAnsi="Bookman Old Style" w:cs="Arial"/>
          <w:bCs/>
          <w:noProof/>
        </w:rPr>
        <w:t>0</w:t>
      </w:r>
      <w:r w:rsidR="008C2BCE" w:rsidRPr="00A4283E">
        <w:rPr>
          <w:rFonts w:ascii="Bookman Old Style" w:hAnsi="Bookman Old Style" w:cs="Arial"/>
          <w:bCs/>
          <w:noProof/>
        </w:rPr>
        <w:t>8</w:t>
      </w:r>
      <w:r w:rsidR="00B02ABC" w:rsidRPr="00A4283E">
        <w:rPr>
          <w:rFonts w:ascii="Bookman Old Style" w:hAnsi="Bookman Old Style" w:cs="Arial"/>
          <w:bCs/>
          <w:noProof/>
        </w:rPr>
        <w:t>)</w:t>
      </w:r>
    </w:p>
    <w:p w14:paraId="6F8A6785" w14:textId="77777777" w:rsidR="00AC4782" w:rsidRPr="00A4283E" w:rsidRDefault="00AC4782" w:rsidP="00A4283E">
      <w:pPr>
        <w:spacing w:line="276" w:lineRule="auto"/>
        <w:ind w:firstLine="0"/>
        <w:rPr>
          <w:rFonts w:ascii="Bookman Old Style" w:hAnsi="Bookman Old Style" w:cs="Arial"/>
          <w:b/>
          <w:bCs/>
          <w:noProof/>
        </w:rPr>
      </w:pPr>
    </w:p>
    <w:p w14:paraId="7D245FC4" w14:textId="067747C0" w:rsidR="00122FE2" w:rsidRPr="00A4283E" w:rsidRDefault="00DC1775" w:rsidP="00A4283E">
      <w:pPr>
        <w:tabs>
          <w:tab w:val="left" w:pos="7676"/>
        </w:tabs>
        <w:spacing w:line="276" w:lineRule="auto"/>
        <w:ind w:firstLine="0"/>
        <w:rPr>
          <w:rFonts w:ascii="Bookman Old Style" w:hAnsi="Bookman Old Style" w:cs="Arial"/>
          <w:b/>
          <w:bCs/>
          <w:noProof/>
        </w:rPr>
      </w:pPr>
      <w:r w:rsidRPr="00A4283E">
        <w:rPr>
          <w:rFonts w:ascii="Bookman Old Style" w:hAnsi="Bookman Old Style" w:cs="Arial"/>
          <w:b/>
          <w:bCs/>
          <w:noProof/>
        </w:rPr>
        <w:t>COLFONDOS</w:t>
      </w:r>
      <w:r w:rsidR="005F20BC" w:rsidRPr="00A4283E">
        <w:rPr>
          <w:rFonts w:ascii="Bookman Old Style" w:hAnsi="Bookman Old Style" w:cs="Arial"/>
          <w:b/>
          <w:bCs/>
          <w:noProof/>
        </w:rPr>
        <w:t xml:space="preserve"> S.A. </w:t>
      </w:r>
      <w:r w:rsidR="005F20BC" w:rsidRPr="00A4283E">
        <w:rPr>
          <w:rFonts w:ascii="Bookman Old Style" w:hAnsi="Bookman Old Style" w:cs="Arial"/>
          <w:bCs/>
          <w:noProof/>
        </w:rPr>
        <w:t>se opuso</w:t>
      </w:r>
      <w:r w:rsidR="008C2BCE" w:rsidRPr="00A4283E">
        <w:rPr>
          <w:rFonts w:ascii="Bookman Old Style" w:hAnsi="Bookman Old Style" w:cs="Arial"/>
          <w:bCs/>
          <w:noProof/>
        </w:rPr>
        <w:t xml:space="preserve"> a las pretensiones e indicó que, contrario a lo estipulado por la actora,</w:t>
      </w:r>
      <w:r w:rsidR="00835CC3" w:rsidRPr="00A4283E">
        <w:rPr>
          <w:rFonts w:ascii="Bookman Old Style" w:hAnsi="Bookman Old Style" w:cs="Arial"/>
          <w:bCs/>
          <w:noProof/>
        </w:rPr>
        <w:t xml:space="preserve"> el asesor del fondo informó a la demandante al momento de la afiliación que el valor real de la pensión sería determinado una vez cumplieran los requisitos para acceder a la pensión y una vez la misma fuera solicitada ante Colfondos. En virtud de la correcta asesoría, la demandante suscribió el formulario de afiliación que es la prueba de que decidió trasladarse de manera libre, voluntaria e informada, resaltando que para la época no era obligatorio conservar prueba documental de la asesoría brindada, pues se efectuaba de manera presencial y verbal. No propuso excepciones de mérico.</w:t>
      </w:r>
      <w:r w:rsidR="00747649" w:rsidRPr="00A4283E">
        <w:rPr>
          <w:rFonts w:ascii="Bookman Old Style" w:hAnsi="Bookman Old Style" w:cs="Arial"/>
          <w:b/>
          <w:bCs/>
          <w:noProof/>
        </w:rPr>
        <w:t xml:space="preserve"> </w:t>
      </w:r>
      <w:r w:rsidR="008C2BCE" w:rsidRPr="00A4283E">
        <w:rPr>
          <w:rFonts w:ascii="Bookman Old Style" w:hAnsi="Bookman Old Style" w:cs="Arial"/>
          <w:bCs/>
          <w:noProof/>
        </w:rPr>
        <w:t>(Anexo09</w:t>
      </w:r>
      <w:r w:rsidR="005F20BC" w:rsidRPr="00A4283E">
        <w:rPr>
          <w:rFonts w:ascii="Bookman Old Style" w:hAnsi="Bookman Old Style" w:cs="Arial"/>
          <w:bCs/>
          <w:noProof/>
        </w:rPr>
        <w:t>)</w:t>
      </w:r>
    </w:p>
    <w:p w14:paraId="524C6945" w14:textId="094D7114" w:rsidR="00B86E32" w:rsidRPr="00A4283E" w:rsidRDefault="00B86E32" w:rsidP="00A4283E">
      <w:pPr>
        <w:tabs>
          <w:tab w:val="left" w:pos="2268"/>
        </w:tabs>
        <w:suppressAutoHyphens/>
        <w:spacing w:line="276" w:lineRule="auto"/>
        <w:ind w:firstLine="0"/>
        <w:rPr>
          <w:rFonts w:ascii="Bookman Old Style" w:hAnsi="Bookman Old Style" w:cs="Arial"/>
        </w:rPr>
      </w:pPr>
    </w:p>
    <w:p w14:paraId="3C981D2F" w14:textId="77777777" w:rsidR="003073FB" w:rsidRPr="00A4283E" w:rsidRDefault="003073FB" w:rsidP="00A4283E">
      <w:pPr>
        <w:pStyle w:val="Prrafodelista"/>
        <w:numPr>
          <w:ilvl w:val="0"/>
          <w:numId w:val="1"/>
        </w:numPr>
        <w:tabs>
          <w:tab w:val="left" w:pos="2268"/>
        </w:tabs>
        <w:suppressAutoHyphens/>
        <w:spacing w:line="276" w:lineRule="auto"/>
        <w:ind w:left="270" w:hanging="270"/>
        <w:jc w:val="center"/>
        <w:rPr>
          <w:rFonts w:ascii="Bookman Old Style" w:hAnsi="Bookman Old Style" w:cs="Arial"/>
        </w:rPr>
      </w:pPr>
      <w:r w:rsidRPr="00A4283E">
        <w:rPr>
          <w:rFonts w:ascii="Bookman Old Style" w:hAnsi="Bookman Old Style" w:cs="Arial"/>
          <w:b/>
          <w:bCs/>
        </w:rPr>
        <w:t>SENTENCIA DE PRIMERA INSTANCIA</w:t>
      </w:r>
    </w:p>
    <w:p w14:paraId="32A474E2" w14:textId="77777777" w:rsidR="003073FB" w:rsidRPr="00A4283E" w:rsidRDefault="003073FB" w:rsidP="00A4283E">
      <w:pPr>
        <w:spacing w:line="276" w:lineRule="auto"/>
        <w:ind w:firstLine="0"/>
        <w:rPr>
          <w:rFonts w:ascii="Bookman Old Style" w:hAnsi="Bookman Old Style" w:cs="Arial"/>
        </w:rPr>
      </w:pPr>
    </w:p>
    <w:p w14:paraId="0026F36E" w14:textId="0A91EDE2" w:rsidR="004157AE" w:rsidRPr="00A4283E" w:rsidRDefault="003073FB" w:rsidP="00A4283E">
      <w:pPr>
        <w:spacing w:line="276" w:lineRule="auto"/>
        <w:ind w:firstLine="0"/>
        <w:rPr>
          <w:rFonts w:ascii="Bookman Old Style" w:hAnsi="Bookman Old Style" w:cs="Arial"/>
        </w:rPr>
      </w:pPr>
      <w:r w:rsidRPr="00A4283E">
        <w:rPr>
          <w:rFonts w:ascii="Bookman Old Style" w:hAnsi="Bookman Old Style" w:cs="Arial"/>
        </w:rPr>
        <w:t xml:space="preserve">La Jueza </w:t>
      </w:r>
      <w:r w:rsidR="00835CC3" w:rsidRPr="00A4283E">
        <w:rPr>
          <w:rFonts w:ascii="Bookman Old Style" w:hAnsi="Bookman Old Style" w:cs="Arial"/>
          <w:noProof/>
        </w:rPr>
        <w:t>Primero</w:t>
      </w:r>
      <w:r w:rsidR="00CA3608" w:rsidRPr="00A4283E">
        <w:rPr>
          <w:rFonts w:ascii="Bookman Old Style" w:hAnsi="Bookman Old Style" w:cs="Arial"/>
          <w:noProof/>
        </w:rPr>
        <w:t xml:space="preserve"> </w:t>
      </w:r>
      <w:r w:rsidR="006D4809" w:rsidRPr="00A4283E">
        <w:rPr>
          <w:rFonts w:ascii="Bookman Old Style" w:hAnsi="Bookman Old Style" w:cs="Arial"/>
          <w:noProof/>
        </w:rPr>
        <w:t>Laboral Circuito</w:t>
      </w:r>
      <w:r w:rsidR="006D4809" w:rsidRPr="00A4283E">
        <w:rPr>
          <w:rFonts w:ascii="Bookman Old Style" w:hAnsi="Bookman Old Style" w:cs="Arial"/>
        </w:rPr>
        <w:t xml:space="preserve"> </w:t>
      </w:r>
      <w:r w:rsidR="00EE3DF8" w:rsidRPr="00A4283E">
        <w:rPr>
          <w:rFonts w:ascii="Bookman Old Style" w:hAnsi="Bookman Old Style" w:cs="Arial"/>
        </w:rPr>
        <w:t>de Pereira</w:t>
      </w:r>
      <w:r w:rsidRPr="00A4283E">
        <w:rPr>
          <w:rFonts w:ascii="Bookman Old Style" w:hAnsi="Bookman Old Style" w:cs="Arial"/>
        </w:rPr>
        <w:t>, resolvió</w:t>
      </w:r>
      <w:r w:rsidR="00602792" w:rsidRPr="00A4283E">
        <w:rPr>
          <w:rFonts w:ascii="Bookman Old Style" w:hAnsi="Bookman Old Style" w:cs="Arial"/>
        </w:rPr>
        <w:t xml:space="preserve"> en la audiencia</w:t>
      </w:r>
      <w:r w:rsidR="004157AE" w:rsidRPr="00A4283E">
        <w:rPr>
          <w:rFonts w:ascii="Bookman Old Style" w:hAnsi="Bookman Old Style" w:cs="Arial"/>
        </w:rPr>
        <w:t>:</w:t>
      </w:r>
    </w:p>
    <w:p w14:paraId="5BA6C74D" w14:textId="2838AB84" w:rsidR="00162BA7" w:rsidRPr="00A4283E" w:rsidRDefault="00162BA7" w:rsidP="00A4283E">
      <w:pPr>
        <w:spacing w:line="276" w:lineRule="auto"/>
        <w:ind w:firstLine="0"/>
        <w:rPr>
          <w:rFonts w:ascii="Bookman Old Style" w:hAnsi="Bookman Old Style" w:cs="Arial"/>
          <w:noProof/>
        </w:rPr>
      </w:pPr>
    </w:p>
    <w:p w14:paraId="738FDA68" w14:textId="65CB6C45" w:rsidR="00835CC3" w:rsidRPr="00A4283E" w:rsidRDefault="00162BA7" w:rsidP="00EA1225">
      <w:pPr>
        <w:spacing w:line="276" w:lineRule="auto"/>
        <w:ind w:left="426" w:right="418" w:firstLine="0"/>
        <w:rPr>
          <w:rFonts w:ascii="Bookman Old Style" w:hAnsi="Bookman Old Style" w:cs="Arial"/>
          <w:bCs/>
          <w:i/>
          <w:noProof/>
        </w:rPr>
      </w:pPr>
      <w:r w:rsidRPr="00A4283E">
        <w:rPr>
          <w:rFonts w:ascii="Bookman Old Style" w:hAnsi="Bookman Old Style" w:cs="Arial"/>
          <w:i/>
        </w:rPr>
        <w:t>“</w:t>
      </w:r>
      <w:r w:rsidR="00835CC3" w:rsidRPr="00A4283E">
        <w:rPr>
          <w:rFonts w:ascii="Bookman Old Style" w:hAnsi="Bookman Old Style" w:cs="Arial"/>
          <w:b/>
          <w:bCs/>
          <w:i/>
          <w:noProof/>
        </w:rPr>
        <w:t>PRIMERO: DECLARAR</w:t>
      </w:r>
      <w:r w:rsidR="00835CC3" w:rsidRPr="00A4283E">
        <w:rPr>
          <w:rFonts w:ascii="Bookman Old Style" w:hAnsi="Bookman Old Style" w:cs="Arial"/>
          <w:bCs/>
          <w:i/>
          <w:noProof/>
        </w:rPr>
        <w:t xml:space="preserve"> no probadas las excepciones propuestas por las demandadas la Administradora Colombiana de Pensiones – COLPENSIONES y COFONDOS SA PENSIONES Y CESANTIAS, conforme a lo dicho en la parte motiva. </w:t>
      </w:r>
    </w:p>
    <w:p w14:paraId="49858C90" w14:textId="2BFE7A32" w:rsidR="00835CC3" w:rsidRPr="00A4283E" w:rsidRDefault="00835CC3" w:rsidP="00EA1225">
      <w:pPr>
        <w:spacing w:line="276" w:lineRule="auto"/>
        <w:ind w:left="426" w:right="418" w:firstLine="0"/>
        <w:rPr>
          <w:rFonts w:ascii="Bookman Old Style" w:hAnsi="Bookman Old Style" w:cs="Arial"/>
          <w:bCs/>
          <w:i/>
          <w:noProof/>
        </w:rPr>
      </w:pPr>
      <w:r w:rsidRPr="00A4283E">
        <w:rPr>
          <w:rFonts w:ascii="Bookman Old Style" w:hAnsi="Bookman Old Style" w:cs="Arial"/>
          <w:b/>
          <w:bCs/>
          <w:i/>
          <w:noProof/>
        </w:rPr>
        <w:t xml:space="preserve">SEGUNDO: DECLARAR </w:t>
      </w:r>
      <w:r w:rsidRPr="00A4283E">
        <w:rPr>
          <w:rFonts w:ascii="Bookman Old Style" w:hAnsi="Bookman Old Style" w:cs="Arial"/>
          <w:bCs/>
          <w:i/>
          <w:noProof/>
        </w:rPr>
        <w:t xml:space="preserve">ineficaz el traslado del régimen de prima media con prestación definida al régimen de ahorro individual con solidaridad efectuado por la señora GLORIA LILIANA RIVERA BARRERO el 27 de agosto de 1998, a través de Colfondos S.A. Pensiones y Cesantías. </w:t>
      </w:r>
    </w:p>
    <w:p w14:paraId="593C4A8C" w14:textId="77777777" w:rsidR="00835CC3" w:rsidRPr="00A4283E" w:rsidRDefault="00835CC3" w:rsidP="00EA1225">
      <w:pPr>
        <w:spacing w:line="276" w:lineRule="auto"/>
        <w:ind w:left="426" w:right="418" w:firstLine="0"/>
        <w:rPr>
          <w:rFonts w:ascii="Bookman Old Style" w:hAnsi="Bookman Old Style" w:cs="Arial"/>
          <w:bCs/>
          <w:i/>
          <w:noProof/>
        </w:rPr>
      </w:pPr>
      <w:r w:rsidRPr="00A4283E">
        <w:rPr>
          <w:rFonts w:ascii="Bookman Old Style" w:hAnsi="Bookman Old Style" w:cs="Arial"/>
          <w:b/>
          <w:bCs/>
          <w:i/>
          <w:noProof/>
        </w:rPr>
        <w:t>TERCERO: ORDENAR</w:t>
      </w:r>
      <w:r w:rsidRPr="00A4283E">
        <w:rPr>
          <w:rFonts w:ascii="Bookman Old Style" w:hAnsi="Bookman Old Style" w:cs="Arial"/>
          <w:bCs/>
          <w:i/>
          <w:noProof/>
        </w:rPr>
        <w:t xml:space="preserve"> a Colfondos S.A. Pensiones y Cesantías trasladar a la Administradora Colombiana de Pensiones – COLPENSIONES todos los aportes que reposen en la cuenta de ahorro individual de la parte demandante, junto con los rendimientos financieros y además restituir con cargo a sus propios recursos, el valor que durante todo el tiempo de vinculación a dicho fondo de la demandante destinó a financiar los gastos de administración, las primas que respaldan la garantía de pensión mínima y las primas de los seguros de invalidez y sobrevivientes, debidamente indexadas. </w:t>
      </w:r>
    </w:p>
    <w:p w14:paraId="44634864" w14:textId="0E5E803A" w:rsidR="00835CC3" w:rsidRPr="00A4283E" w:rsidRDefault="00835CC3" w:rsidP="00EA1225">
      <w:pPr>
        <w:spacing w:line="276" w:lineRule="auto"/>
        <w:ind w:left="426" w:right="418" w:firstLine="0"/>
        <w:rPr>
          <w:rFonts w:ascii="Bookman Old Style" w:hAnsi="Bookman Old Style" w:cs="Arial"/>
          <w:bCs/>
          <w:i/>
          <w:noProof/>
        </w:rPr>
      </w:pPr>
      <w:r w:rsidRPr="00A4283E">
        <w:rPr>
          <w:rFonts w:ascii="Bookman Old Style" w:hAnsi="Bookman Old Style" w:cs="Arial"/>
          <w:b/>
          <w:bCs/>
          <w:i/>
          <w:noProof/>
        </w:rPr>
        <w:t>CUARTO: ORDENAR</w:t>
      </w:r>
      <w:r w:rsidRPr="00A4283E">
        <w:rPr>
          <w:rFonts w:ascii="Bookman Old Style" w:hAnsi="Bookman Old Style" w:cs="Arial"/>
          <w:bCs/>
          <w:i/>
          <w:noProof/>
        </w:rPr>
        <w:t xml:space="preserve"> a la Administradora Colombiana de Pensiones – COLPENSIONES proceder sin dilaciones a aceptar el traslado de la de la señora GLORIA LILIANA RIVERA BARRERO. </w:t>
      </w:r>
    </w:p>
    <w:p w14:paraId="4A719BEA" w14:textId="3AE8CB49" w:rsidR="00835CC3" w:rsidRPr="00A4283E" w:rsidRDefault="00835CC3" w:rsidP="00EA1225">
      <w:pPr>
        <w:spacing w:line="276" w:lineRule="auto"/>
        <w:ind w:left="426" w:right="418" w:firstLine="0"/>
        <w:rPr>
          <w:rFonts w:ascii="Bookman Old Style" w:hAnsi="Bookman Old Style" w:cs="Arial"/>
          <w:bCs/>
          <w:i/>
          <w:noProof/>
        </w:rPr>
      </w:pPr>
      <w:r w:rsidRPr="00A4283E">
        <w:rPr>
          <w:rFonts w:ascii="Bookman Old Style" w:hAnsi="Bookman Old Style" w:cs="Arial"/>
          <w:b/>
          <w:bCs/>
          <w:i/>
          <w:noProof/>
        </w:rPr>
        <w:t xml:space="preserve">QUINTO: DECLARAR </w:t>
      </w:r>
      <w:r w:rsidRPr="00A4283E">
        <w:rPr>
          <w:rFonts w:ascii="Bookman Old Style" w:hAnsi="Bookman Old Style" w:cs="Arial"/>
          <w:bCs/>
          <w:i/>
          <w:noProof/>
        </w:rPr>
        <w:t xml:space="preserve">que la señora GLORIA LILIANA RIVERA BARRERO, conserva válida y vigente su a la afiliación al régimen de prima media con prestación definida, dada la declaratoria de ineficacia de su traslado al RAIS. </w:t>
      </w:r>
    </w:p>
    <w:p w14:paraId="1293AD3F" w14:textId="11A764C2" w:rsidR="00835CC3" w:rsidRPr="00A4283E" w:rsidRDefault="00835CC3" w:rsidP="00EA1225">
      <w:pPr>
        <w:spacing w:line="276" w:lineRule="auto"/>
        <w:ind w:left="426" w:right="418" w:firstLine="0"/>
        <w:rPr>
          <w:rFonts w:ascii="Bookman Old Style" w:hAnsi="Bookman Old Style" w:cs="Arial"/>
          <w:bCs/>
          <w:i/>
          <w:noProof/>
        </w:rPr>
      </w:pPr>
      <w:r w:rsidRPr="00A4283E">
        <w:rPr>
          <w:rFonts w:ascii="Bookman Old Style" w:hAnsi="Bookman Old Style" w:cs="Arial"/>
          <w:b/>
          <w:bCs/>
          <w:i/>
          <w:noProof/>
        </w:rPr>
        <w:t xml:space="preserve">SEXTO: SE ORDENA </w:t>
      </w:r>
      <w:r w:rsidRPr="00A4283E">
        <w:rPr>
          <w:rFonts w:ascii="Bookman Old Style" w:hAnsi="Bookman Old Style" w:cs="Arial"/>
          <w:bCs/>
          <w:i/>
          <w:noProof/>
        </w:rPr>
        <w:t xml:space="preserve">librar comunicación de esta decisión a la Oficina de Bonos Pensionales del Ministerio de Hacienda y Crédito Público, para que, en caso de haber emitido el bono pensional a favor de la demandante proceda con la anulación del mismo mediante trámite </w:t>
      </w:r>
      <w:r w:rsidRPr="00A4283E">
        <w:rPr>
          <w:rFonts w:ascii="Bookman Old Style" w:hAnsi="Bookman Old Style" w:cs="Arial"/>
          <w:bCs/>
          <w:i/>
          <w:noProof/>
        </w:rPr>
        <w:lastRenderedPageBreak/>
        <w:t xml:space="preserve">interno, aplicando lo previsto en el Decreto 833 de 2016, que compila la normatividad en esta materia. </w:t>
      </w:r>
    </w:p>
    <w:p w14:paraId="5C2CA294" w14:textId="76CC8EF4" w:rsidR="00835CC3" w:rsidRPr="00A4283E" w:rsidRDefault="00835CC3" w:rsidP="00EA1225">
      <w:pPr>
        <w:spacing w:line="276" w:lineRule="auto"/>
        <w:ind w:left="426" w:right="418" w:firstLine="0"/>
        <w:rPr>
          <w:rFonts w:ascii="Bookman Old Style" w:hAnsi="Bookman Old Style" w:cs="Arial"/>
          <w:bCs/>
          <w:i/>
          <w:noProof/>
        </w:rPr>
      </w:pPr>
      <w:r w:rsidRPr="00A4283E">
        <w:rPr>
          <w:rFonts w:ascii="Bookman Old Style" w:hAnsi="Bookman Old Style" w:cs="Arial"/>
          <w:b/>
          <w:bCs/>
          <w:i/>
          <w:noProof/>
        </w:rPr>
        <w:t xml:space="preserve">SÉPTIMO: ORDENAR </w:t>
      </w:r>
      <w:r w:rsidRPr="00A4283E">
        <w:rPr>
          <w:rFonts w:ascii="Bookman Old Style" w:hAnsi="Bookman Old Style" w:cs="Arial"/>
          <w:bCs/>
          <w:i/>
          <w:noProof/>
        </w:rPr>
        <w:t xml:space="preserve">a la Administradora de Fondos de Pensiones y Cesantías COLFONDOS S.A. que en caso de haberse pagado el bono pensional a la cuenta de ahorro individual de la actora restituya la suma recibida por este concepto a la OBP del Ministerio de Hacienda y Crédito Público, debidamente actualizado a valor presente, debiendo cancelarse dicha indexación con los recursos propios de dicha AFP. </w:t>
      </w:r>
    </w:p>
    <w:p w14:paraId="413A5B47" w14:textId="77777777" w:rsidR="00835CC3" w:rsidRPr="00A4283E" w:rsidRDefault="00835CC3" w:rsidP="00EA1225">
      <w:pPr>
        <w:spacing w:line="276" w:lineRule="auto"/>
        <w:ind w:left="426" w:right="418" w:firstLine="0"/>
        <w:rPr>
          <w:rFonts w:ascii="Bookman Old Style" w:hAnsi="Bookman Old Style" w:cs="Arial"/>
          <w:bCs/>
          <w:i/>
          <w:noProof/>
        </w:rPr>
      </w:pPr>
      <w:r w:rsidRPr="00A4283E">
        <w:rPr>
          <w:rFonts w:ascii="Bookman Old Style" w:hAnsi="Bookman Old Style" w:cs="Arial"/>
          <w:b/>
          <w:bCs/>
          <w:i/>
          <w:noProof/>
        </w:rPr>
        <w:t>OCTAVO: CONDENAR</w:t>
      </w:r>
      <w:r w:rsidRPr="00A4283E">
        <w:rPr>
          <w:rFonts w:ascii="Bookman Old Style" w:hAnsi="Bookman Old Style" w:cs="Arial"/>
          <w:bCs/>
          <w:i/>
          <w:noProof/>
        </w:rPr>
        <w:t xml:space="preserve"> a Colfondos S.A. Pensiones y Cesantías a pagar a la demandante las costas procesales generadas en esta instancia, las que se tasarán y liquidarán en la oportunidad procesal pertinente.</w:t>
      </w:r>
    </w:p>
    <w:p w14:paraId="2118B8ED" w14:textId="3765F337" w:rsidR="00162BA7" w:rsidRPr="00A4283E" w:rsidRDefault="00835CC3" w:rsidP="00EA1225">
      <w:pPr>
        <w:spacing w:line="276" w:lineRule="auto"/>
        <w:ind w:left="426" w:right="418" w:firstLine="0"/>
        <w:rPr>
          <w:rFonts w:ascii="Bookman Old Style" w:hAnsi="Bookman Old Style" w:cs="Arial"/>
          <w:bCs/>
          <w:i/>
          <w:noProof/>
        </w:rPr>
      </w:pPr>
      <w:r w:rsidRPr="00A4283E">
        <w:rPr>
          <w:rFonts w:ascii="Bookman Old Style" w:hAnsi="Bookman Old Style" w:cs="Arial"/>
          <w:b/>
          <w:bCs/>
          <w:i/>
          <w:noProof/>
        </w:rPr>
        <w:t>NOVENO: ABSTENERSE</w:t>
      </w:r>
      <w:r w:rsidRPr="00A4283E">
        <w:rPr>
          <w:rFonts w:ascii="Bookman Old Style" w:hAnsi="Bookman Old Style" w:cs="Arial"/>
          <w:bCs/>
          <w:i/>
          <w:noProof/>
        </w:rPr>
        <w:t xml:space="preserve"> de imponer condena al pago de costas procesales a la ADMINISTRADORA COLOMBIANA DE PENSIONES – COLPENSIONES conforme a lo dicho en la parte motiva.</w:t>
      </w:r>
      <w:r w:rsidR="00162BA7" w:rsidRPr="00A4283E">
        <w:rPr>
          <w:rFonts w:ascii="Bookman Old Style" w:hAnsi="Bookman Old Style" w:cs="Arial"/>
          <w:bCs/>
          <w:i/>
          <w:noProof/>
        </w:rPr>
        <w:t>”</w:t>
      </w:r>
    </w:p>
    <w:p w14:paraId="18B01872" w14:textId="77777777" w:rsidR="00651ED8" w:rsidRPr="00A4283E" w:rsidRDefault="00651ED8" w:rsidP="00A4283E">
      <w:pPr>
        <w:spacing w:line="276" w:lineRule="auto"/>
        <w:ind w:firstLine="0"/>
        <w:rPr>
          <w:rFonts w:ascii="Bookman Old Style" w:hAnsi="Bookman Old Style" w:cs="Arial"/>
        </w:rPr>
      </w:pPr>
    </w:p>
    <w:p w14:paraId="6979A78E" w14:textId="492378C5" w:rsidR="003A5BB7" w:rsidRPr="00A4283E" w:rsidRDefault="00F97E1D" w:rsidP="00A4283E">
      <w:pPr>
        <w:spacing w:line="276" w:lineRule="auto"/>
        <w:ind w:firstLine="0"/>
        <w:rPr>
          <w:rFonts w:ascii="Bookman Old Style" w:hAnsi="Bookman Old Style" w:cs="Arial"/>
          <w:noProof/>
        </w:rPr>
      </w:pPr>
      <w:r w:rsidRPr="00A4283E">
        <w:rPr>
          <w:rFonts w:ascii="Bookman Old Style" w:hAnsi="Bookman Old Style" w:cs="Arial"/>
        </w:rPr>
        <w:t xml:space="preserve">En síntesis, </w:t>
      </w:r>
      <w:r w:rsidR="003737BA" w:rsidRPr="00A4283E">
        <w:rPr>
          <w:rFonts w:ascii="Bookman Old Style" w:hAnsi="Bookman Old Style" w:cs="Arial"/>
        </w:rPr>
        <w:t>la</w:t>
      </w:r>
      <w:r w:rsidR="003A5BB7" w:rsidRPr="00A4283E">
        <w:rPr>
          <w:rFonts w:ascii="Bookman Old Style" w:hAnsi="Bookman Old Style" w:cs="Arial"/>
        </w:rPr>
        <w:t xml:space="preserve"> juez de instancia dedujo </w:t>
      </w:r>
      <w:r w:rsidR="003A5BB7" w:rsidRPr="00A4283E">
        <w:rPr>
          <w:rFonts w:ascii="Bookman Old Style" w:hAnsi="Bookman Old Style" w:cs="Arial"/>
          <w:noProof/>
        </w:rPr>
        <w:t>con fundamento en la jurisprudencia de la Corte Suprema de Justicia, que el caso debía de abordarse desde la ineficacia en sentido estricto al ser la razón la falta de información para la formación del acto; que dicha figura se aplica, independientemente de que sea o no el afiliado beneficiario del régimen de transición, siendo la AFP a quien le incumbe la carga de probar que de acuerdo al momento histórico en que se formó el acto cumplió con el deber de información; esto es, que le brindó información clara, cierta, comprensible y oportuna de las características, riesgos, diferencias, condiciones, beneficios y consecuencias  de ambos regímenes, sin que sea suficiente la sola suscripción del formulario de afiliación porque solo acreditan que existió un consentimiento más no que hubiese sido informado.</w:t>
      </w:r>
    </w:p>
    <w:p w14:paraId="7B1DDD5B" w14:textId="77777777" w:rsidR="003A5BB7" w:rsidRPr="00A4283E" w:rsidRDefault="003A5BB7" w:rsidP="00A4283E">
      <w:pPr>
        <w:spacing w:line="276" w:lineRule="auto"/>
        <w:ind w:firstLine="0"/>
        <w:rPr>
          <w:rFonts w:ascii="Bookman Old Style" w:hAnsi="Bookman Old Style" w:cs="Arial"/>
          <w:noProof/>
        </w:rPr>
      </w:pPr>
    </w:p>
    <w:p w14:paraId="43C1E60B" w14:textId="32C3EA6D" w:rsidR="003A5BB7" w:rsidRPr="00A4283E" w:rsidRDefault="005311C4" w:rsidP="00A4283E">
      <w:pPr>
        <w:spacing w:line="276" w:lineRule="auto"/>
        <w:ind w:firstLine="0"/>
        <w:rPr>
          <w:rFonts w:ascii="Bookman Old Style" w:hAnsi="Bookman Old Style" w:cs="Arial"/>
          <w:noProof/>
        </w:rPr>
      </w:pPr>
      <w:r w:rsidRPr="00A4283E">
        <w:rPr>
          <w:rFonts w:ascii="Bookman Old Style" w:hAnsi="Bookman Old Style" w:cs="Arial"/>
          <w:noProof/>
        </w:rPr>
        <w:t>En suma, no encontró que la AFP hubiese acreditado que informó</w:t>
      </w:r>
      <w:r w:rsidR="003A5BB7" w:rsidRPr="00A4283E">
        <w:rPr>
          <w:rFonts w:ascii="Bookman Old Style" w:hAnsi="Bookman Old Style" w:cs="Arial"/>
          <w:noProof/>
        </w:rPr>
        <w:t xml:space="preserve"> debidamente a la afiliada al momento del traslado; que solo arrimó el formulario e historiales que resultaron ser insuficient</w:t>
      </w:r>
      <w:r w:rsidRPr="00A4283E">
        <w:rPr>
          <w:rFonts w:ascii="Bookman Old Style" w:hAnsi="Bookman Old Style" w:cs="Arial"/>
          <w:noProof/>
        </w:rPr>
        <w:t>es para acreditar que cumplió</w:t>
      </w:r>
      <w:r w:rsidR="003A5BB7" w:rsidRPr="00A4283E">
        <w:rPr>
          <w:rFonts w:ascii="Bookman Old Style" w:hAnsi="Bookman Old Style" w:cs="Arial"/>
          <w:noProof/>
        </w:rPr>
        <w:t xml:space="preserve"> con el deber de información. En consecuencia, </w:t>
      </w:r>
      <w:r w:rsidRPr="00A4283E">
        <w:rPr>
          <w:rFonts w:ascii="Bookman Old Style" w:hAnsi="Bookman Old Style" w:cs="Arial"/>
          <w:noProof/>
        </w:rPr>
        <w:t xml:space="preserve">declaró la ineficiacia y </w:t>
      </w:r>
      <w:r w:rsidR="003A5BB7" w:rsidRPr="00A4283E">
        <w:rPr>
          <w:rFonts w:ascii="Bookman Old Style" w:hAnsi="Bookman Old Style" w:cs="Arial"/>
          <w:noProof/>
        </w:rPr>
        <w:t>ordenó a COLPENSIONES a recibir a la actora en el RPM.</w:t>
      </w:r>
    </w:p>
    <w:p w14:paraId="6A508F87" w14:textId="77777777" w:rsidR="003073FB" w:rsidRPr="00A4283E" w:rsidRDefault="003073FB" w:rsidP="00A4283E">
      <w:pPr>
        <w:spacing w:line="276" w:lineRule="auto"/>
        <w:ind w:firstLine="0"/>
        <w:rPr>
          <w:rFonts w:ascii="Bookman Old Style" w:hAnsi="Bookman Old Style" w:cs="Arial"/>
          <w:noProof/>
        </w:rPr>
      </w:pPr>
    </w:p>
    <w:p w14:paraId="65CB586C" w14:textId="77777777" w:rsidR="003073FB" w:rsidRPr="00A4283E" w:rsidRDefault="003073FB" w:rsidP="00A4283E">
      <w:pPr>
        <w:pStyle w:val="Prrafodelista"/>
        <w:numPr>
          <w:ilvl w:val="0"/>
          <w:numId w:val="1"/>
        </w:numPr>
        <w:tabs>
          <w:tab w:val="left" w:pos="2268"/>
        </w:tabs>
        <w:suppressAutoHyphens/>
        <w:spacing w:line="276" w:lineRule="auto"/>
        <w:ind w:left="270" w:hanging="270"/>
        <w:jc w:val="center"/>
        <w:rPr>
          <w:rFonts w:ascii="Bookman Old Style" w:hAnsi="Bookman Old Style" w:cs="Arial"/>
          <w:b/>
          <w:bCs/>
        </w:rPr>
      </w:pPr>
      <w:r w:rsidRPr="00A4283E">
        <w:rPr>
          <w:rFonts w:ascii="Bookman Old Style" w:hAnsi="Bookman Old Style" w:cs="Arial"/>
          <w:b/>
          <w:bCs/>
        </w:rPr>
        <w:t>RECURSOS DE APELACIÓN Y CONSULTA</w:t>
      </w:r>
    </w:p>
    <w:p w14:paraId="450C04E5" w14:textId="77777777" w:rsidR="003073FB" w:rsidRPr="00A4283E" w:rsidRDefault="003073FB" w:rsidP="00A4283E">
      <w:pPr>
        <w:spacing w:line="276" w:lineRule="auto"/>
        <w:ind w:left="708" w:firstLine="0"/>
        <w:rPr>
          <w:rFonts w:ascii="Bookman Old Style" w:hAnsi="Bookman Old Style" w:cs="Arial"/>
        </w:rPr>
      </w:pPr>
    </w:p>
    <w:p w14:paraId="02624B1A" w14:textId="20CB2EBC" w:rsidR="00245916" w:rsidRPr="00A4283E" w:rsidRDefault="003073FB" w:rsidP="00A4283E">
      <w:pPr>
        <w:spacing w:line="276" w:lineRule="auto"/>
        <w:ind w:firstLine="0"/>
        <w:rPr>
          <w:rFonts w:ascii="Bookman Old Style" w:hAnsi="Bookman Old Style" w:cs="Arial"/>
        </w:rPr>
      </w:pPr>
      <w:r w:rsidRPr="00A4283E">
        <w:rPr>
          <w:rFonts w:ascii="Bookman Old Style" w:hAnsi="Bookman Old Style" w:cs="Arial"/>
        </w:rPr>
        <w:t xml:space="preserve">Inconforme con la decisión </w:t>
      </w:r>
      <w:r w:rsidR="003737BA" w:rsidRPr="00A4283E">
        <w:rPr>
          <w:rFonts w:ascii="Bookman Old Style" w:hAnsi="Bookman Old Style" w:cs="Arial"/>
        </w:rPr>
        <w:t>los apoderados</w:t>
      </w:r>
      <w:r w:rsidR="003A5BB7" w:rsidRPr="00A4283E">
        <w:rPr>
          <w:rFonts w:ascii="Bookman Old Style" w:hAnsi="Bookman Old Style" w:cs="Arial"/>
        </w:rPr>
        <w:t xml:space="preserve"> de COLPENSIONES</w:t>
      </w:r>
      <w:r w:rsidR="003737BA" w:rsidRPr="00A4283E">
        <w:rPr>
          <w:rFonts w:ascii="Bookman Old Style" w:hAnsi="Bookman Old Style" w:cs="Arial"/>
        </w:rPr>
        <w:t xml:space="preserve"> y </w:t>
      </w:r>
      <w:r w:rsidR="00DC1775" w:rsidRPr="00A4283E">
        <w:rPr>
          <w:rFonts w:ascii="Bookman Old Style" w:hAnsi="Bookman Old Style" w:cs="Arial"/>
        </w:rPr>
        <w:t>COLFONDOS</w:t>
      </w:r>
      <w:r w:rsidR="003737BA" w:rsidRPr="00A4283E">
        <w:rPr>
          <w:rFonts w:ascii="Bookman Old Style" w:hAnsi="Bookman Old Style" w:cs="Arial"/>
        </w:rPr>
        <w:t xml:space="preserve"> S.A.</w:t>
      </w:r>
      <w:r w:rsidR="003A5BB7" w:rsidRPr="00A4283E">
        <w:rPr>
          <w:rFonts w:ascii="Bookman Old Style" w:hAnsi="Bookman Old Style" w:cs="Arial"/>
        </w:rPr>
        <w:t xml:space="preserve"> </w:t>
      </w:r>
      <w:r w:rsidR="003737BA" w:rsidRPr="00A4283E">
        <w:rPr>
          <w:rFonts w:ascii="Bookman Old Style" w:hAnsi="Bookman Old Style" w:cs="Arial"/>
        </w:rPr>
        <w:t>recurrieron</w:t>
      </w:r>
      <w:r w:rsidR="004B1E20" w:rsidRPr="00A4283E">
        <w:rPr>
          <w:rFonts w:ascii="Bookman Old Style" w:hAnsi="Bookman Old Style" w:cs="Arial"/>
        </w:rPr>
        <w:t xml:space="preserve"> la sentencia</w:t>
      </w:r>
      <w:r w:rsidRPr="00A4283E">
        <w:rPr>
          <w:rFonts w:ascii="Bookman Old Style" w:hAnsi="Bookman Old Style" w:cs="Arial"/>
        </w:rPr>
        <w:t>, así:</w:t>
      </w:r>
    </w:p>
    <w:p w14:paraId="4DFDF536" w14:textId="77777777" w:rsidR="00F126CD" w:rsidRPr="00A4283E" w:rsidRDefault="00F126CD" w:rsidP="00A4283E">
      <w:pPr>
        <w:spacing w:line="276" w:lineRule="auto"/>
        <w:ind w:firstLine="0"/>
        <w:rPr>
          <w:rFonts w:ascii="Bookman Old Style" w:hAnsi="Bookman Old Style" w:cs="Arial"/>
        </w:rPr>
      </w:pPr>
    </w:p>
    <w:p w14:paraId="0934E179" w14:textId="178DB96D" w:rsidR="003073FB" w:rsidRPr="00A4283E" w:rsidRDefault="00B65806" w:rsidP="00A4283E">
      <w:pPr>
        <w:spacing w:line="276" w:lineRule="auto"/>
        <w:ind w:firstLine="0"/>
        <w:rPr>
          <w:rFonts w:ascii="Bookman Old Style" w:hAnsi="Bookman Old Style" w:cs="Arial"/>
          <w:bCs/>
          <w:noProof/>
        </w:rPr>
      </w:pPr>
      <w:bookmarkStart w:id="1" w:name="_Hlk105529623"/>
      <w:r w:rsidRPr="00A4283E">
        <w:rPr>
          <w:rFonts w:ascii="Bookman Old Style" w:hAnsi="Bookman Old Style" w:cs="Arial"/>
          <w:b/>
          <w:bCs/>
          <w:noProof/>
        </w:rPr>
        <w:t>COLPENSIONES</w:t>
      </w:r>
      <w:r w:rsidR="00BB3E0E" w:rsidRPr="00A4283E">
        <w:rPr>
          <w:rFonts w:ascii="Bookman Old Style" w:hAnsi="Bookman Old Style" w:cs="Arial"/>
          <w:b/>
          <w:bCs/>
          <w:noProof/>
        </w:rPr>
        <w:t xml:space="preserve"> </w:t>
      </w:r>
      <w:r w:rsidR="00585261" w:rsidRPr="00A4283E">
        <w:rPr>
          <w:rFonts w:ascii="Bookman Old Style" w:hAnsi="Bookman Old Style" w:cs="Arial"/>
          <w:bCs/>
          <w:noProof/>
        </w:rPr>
        <w:t>i</w:t>
      </w:r>
      <w:r w:rsidR="00F723DB" w:rsidRPr="00A4283E">
        <w:rPr>
          <w:rFonts w:ascii="Bookman Old Style" w:hAnsi="Bookman Old Style" w:cs="Arial"/>
          <w:bCs/>
          <w:noProof/>
        </w:rPr>
        <w:t>ndicó que</w:t>
      </w:r>
      <w:r w:rsidR="00C85C10" w:rsidRPr="00A4283E">
        <w:rPr>
          <w:rFonts w:ascii="Bookman Old Style" w:hAnsi="Bookman Old Style" w:cs="Arial"/>
          <w:bCs/>
          <w:noProof/>
        </w:rPr>
        <w:t xml:space="preserve"> </w:t>
      </w:r>
      <w:bookmarkEnd w:id="1"/>
      <w:r w:rsidR="00BF24B4" w:rsidRPr="00A4283E">
        <w:rPr>
          <w:rFonts w:ascii="Bookman Old Style" w:hAnsi="Bookman Old Style" w:cs="Arial"/>
          <w:bCs/>
          <w:noProof/>
        </w:rPr>
        <w:t xml:space="preserve">según las afirmaciones de la demandante en la demanda y el interrogatorio de parte, da cuenta que la acción judicial interpuesta está encaminada a que se autorice su regreso al RPM, ya que persigue un interés económico, pues después de 20 años de estar afiliada al RAIS se percató de que la mesada pensional sería inferior a lo que podría obtener de estar afiliada al RPM. Por ende, solicita se revoque la sentencia de primera instancia, pues la declaratoria de ineficacia atenta en contra de la estabilidad financiera del régimen que administra COLPENSIONES, a quien se le impone una carga </w:t>
      </w:r>
      <w:r w:rsidR="00A672DD" w:rsidRPr="00A4283E">
        <w:rPr>
          <w:rFonts w:ascii="Bookman Old Style" w:hAnsi="Bookman Old Style" w:cs="Arial"/>
          <w:bCs/>
          <w:noProof/>
        </w:rPr>
        <w:t xml:space="preserve">de resarcir un daño que no causó de una afiliada que </w:t>
      </w:r>
      <w:r w:rsidR="00A672DD" w:rsidRPr="00A4283E">
        <w:rPr>
          <w:rFonts w:ascii="Bookman Old Style" w:hAnsi="Bookman Old Style" w:cs="Arial"/>
          <w:bCs/>
          <w:noProof/>
        </w:rPr>
        <w:lastRenderedPageBreak/>
        <w:t xml:space="preserve">no se interesó por regresar al régimen, sino cuando vio que no obtendría el monto deseado en su mesada pensional. Finalmente, advirtió que la decisión no se acompasa con la jurisprudencia de las Altas Cortes. </w:t>
      </w:r>
    </w:p>
    <w:p w14:paraId="1126D968" w14:textId="1A6F34F6" w:rsidR="00C373BE" w:rsidRPr="00A4283E" w:rsidRDefault="00C373BE" w:rsidP="00A4283E">
      <w:pPr>
        <w:spacing w:line="276" w:lineRule="auto"/>
        <w:ind w:firstLine="0"/>
        <w:rPr>
          <w:rFonts w:ascii="Bookman Old Style" w:hAnsi="Bookman Old Style" w:cs="Arial"/>
          <w:bCs/>
          <w:noProof/>
        </w:rPr>
      </w:pPr>
    </w:p>
    <w:p w14:paraId="374F9477" w14:textId="12098E4A" w:rsidR="00C373BE" w:rsidRPr="00A4283E" w:rsidRDefault="00DC1775" w:rsidP="00A4283E">
      <w:pPr>
        <w:spacing w:line="276" w:lineRule="auto"/>
        <w:ind w:firstLine="0"/>
        <w:rPr>
          <w:rFonts w:ascii="Bookman Old Style" w:hAnsi="Bookman Old Style" w:cs="Arial"/>
          <w:bCs/>
          <w:noProof/>
        </w:rPr>
      </w:pPr>
      <w:r w:rsidRPr="00A4283E">
        <w:rPr>
          <w:rFonts w:ascii="Bookman Old Style" w:hAnsi="Bookman Old Style" w:cs="Arial"/>
          <w:b/>
          <w:bCs/>
          <w:noProof/>
        </w:rPr>
        <w:t>COLFONDOS</w:t>
      </w:r>
      <w:r w:rsidR="00C373BE" w:rsidRPr="00A4283E">
        <w:rPr>
          <w:rFonts w:ascii="Bookman Old Style" w:hAnsi="Bookman Old Style" w:cs="Arial"/>
          <w:b/>
          <w:bCs/>
          <w:noProof/>
        </w:rPr>
        <w:t xml:space="preserve"> S.A. </w:t>
      </w:r>
      <w:r w:rsidR="00801C2C" w:rsidRPr="00A4283E">
        <w:rPr>
          <w:rFonts w:ascii="Bookman Old Style" w:hAnsi="Bookman Old Style" w:cs="Arial"/>
          <w:bCs/>
          <w:noProof/>
        </w:rPr>
        <w:t>manifestó que</w:t>
      </w:r>
      <w:r w:rsidR="00CF1B17" w:rsidRPr="00A4283E">
        <w:rPr>
          <w:rFonts w:ascii="Bookman Old Style" w:hAnsi="Bookman Old Style" w:cs="Arial"/>
          <w:bCs/>
          <w:noProof/>
        </w:rPr>
        <w:t xml:space="preserve"> </w:t>
      </w:r>
      <w:r w:rsidR="00C50C0B" w:rsidRPr="00A4283E">
        <w:rPr>
          <w:rFonts w:ascii="Bookman Old Style" w:hAnsi="Bookman Old Style" w:cs="Arial"/>
          <w:bCs/>
          <w:noProof/>
        </w:rPr>
        <w:t>no es posible devolver los gastos de administración de manera indexada al RPM porque con los rendimientos generados por el fondo, fueron superiores a los que se hubiesen podido generar en COLPENSIONES. Agregó que dicha pretensión no estuvo incluida en la demanda ni en la fijación del litigio; por lo tanto, una sentencia en ese sentido desconoce el principio de consonancia y congruencia. Además, resulta excesiva la condena impuesta de indexación, pues resulta ser una doble condena por el mismo hecho.</w:t>
      </w:r>
    </w:p>
    <w:p w14:paraId="4932A460" w14:textId="77777777" w:rsidR="00E8261E" w:rsidRPr="00A4283E" w:rsidRDefault="00E8261E" w:rsidP="00A4283E">
      <w:pPr>
        <w:spacing w:line="276" w:lineRule="auto"/>
        <w:ind w:firstLine="0"/>
        <w:rPr>
          <w:rFonts w:ascii="Bookman Old Style" w:hAnsi="Bookman Old Style" w:cs="Arial"/>
        </w:rPr>
      </w:pPr>
    </w:p>
    <w:p w14:paraId="2BE405C2" w14:textId="77777777" w:rsidR="003073FB" w:rsidRPr="00A4283E" w:rsidRDefault="003073FB" w:rsidP="00A4283E">
      <w:pPr>
        <w:pStyle w:val="Prrafodelista"/>
        <w:numPr>
          <w:ilvl w:val="0"/>
          <w:numId w:val="1"/>
        </w:numPr>
        <w:tabs>
          <w:tab w:val="left" w:pos="2268"/>
        </w:tabs>
        <w:suppressAutoHyphens/>
        <w:spacing w:line="276" w:lineRule="auto"/>
        <w:ind w:left="270" w:hanging="270"/>
        <w:jc w:val="center"/>
        <w:rPr>
          <w:rFonts w:ascii="Bookman Old Style" w:hAnsi="Bookman Old Style" w:cs="Arial"/>
          <w:b/>
          <w:bCs/>
        </w:rPr>
      </w:pPr>
      <w:r w:rsidRPr="00A4283E">
        <w:rPr>
          <w:rFonts w:ascii="Bookman Old Style" w:hAnsi="Bookman Old Style" w:cs="Arial"/>
          <w:b/>
          <w:bCs/>
        </w:rPr>
        <w:t>ALEGATOS</w:t>
      </w:r>
    </w:p>
    <w:p w14:paraId="65BDA796" w14:textId="77777777" w:rsidR="003073FB" w:rsidRPr="00A4283E" w:rsidRDefault="003073FB" w:rsidP="00A4283E">
      <w:pPr>
        <w:spacing w:line="276" w:lineRule="auto"/>
        <w:ind w:left="708" w:firstLine="0"/>
        <w:rPr>
          <w:rFonts w:ascii="Bookman Old Style" w:hAnsi="Bookman Old Style" w:cs="Arial"/>
        </w:rPr>
      </w:pPr>
    </w:p>
    <w:p w14:paraId="552CFC15" w14:textId="77777777" w:rsidR="007370B2" w:rsidRPr="00A4283E" w:rsidRDefault="007370B2" w:rsidP="00A4283E">
      <w:pPr>
        <w:spacing w:line="276" w:lineRule="auto"/>
        <w:ind w:firstLine="0"/>
        <w:rPr>
          <w:rFonts w:ascii="Bookman Old Style" w:hAnsi="Bookman Old Style" w:cs="Arial"/>
        </w:rPr>
      </w:pPr>
      <w:r w:rsidRPr="00A4283E">
        <w:rPr>
          <w:rFonts w:ascii="Bookman Old Style" w:hAnsi="Bookman Old Style" w:cs="Arial"/>
        </w:rPr>
        <w:t>Teniendo en cuenta que la finalidad de esta etapa es atender la persuasión fáctica y jurídicamente sobre el tema objeto de discusión, bajo ese espectro se tendrán en cuentan los alegatos que guardan relación directa con los temas debatidos.</w:t>
      </w:r>
    </w:p>
    <w:p w14:paraId="353E0A2E" w14:textId="77777777" w:rsidR="003073FB" w:rsidRPr="00A4283E" w:rsidRDefault="003073FB" w:rsidP="00A4283E">
      <w:pPr>
        <w:spacing w:line="276" w:lineRule="auto"/>
        <w:ind w:firstLine="0"/>
        <w:rPr>
          <w:rFonts w:ascii="Bookman Old Style" w:hAnsi="Bookman Old Style" w:cs="Arial"/>
        </w:rPr>
      </w:pPr>
    </w:p>
    <w:p w14:paraId="1F41EA21" w14:textId="77777777" w:rsidR="003073FB" w:rsidRPr="00A4283E" w:rsidRDefault="003073FB" w:rsidP="00A4283E">
      <w:pPr>
        <w:spacing w:line="276" w:lineRule="auto"/>
        <w:ind w:firstLine="0"/>
        <w:rPr>
          <w:rFonts w:ascii="Bookman Old Style" w:hAnsi="Bookman Old Style" w:cs="Arial"/>
        </w:rPr>
      </w:pPr>
      <w:r w:rsidRPr="00A4283E">
        <w:rPr>
          <w:rFonts w:ascii="Bookman Old Style" w:hAnsi="Bookman Old Style" w:cs="Arial"/>
        </w:rPr>
        <w:t>Surtido el trámite que corresponde a esta instancia procede la Sala de decisión a dictar la providencia que corresponde, previas las siguientes, </w:t>
      </w:r>
    </w:p>
    <w:p w14:paraId="59AAD059" w14:textId="77777777" w:rsidR="003073FB" w:rsidRPr="00A4283E" w:rsidRDefault="003073FB" w:rsidP="00A4283E">
      <w:pPr>
        <w:spacing w:line="276" w:lineRule="auto"/>
        <w:ind w:firstLine="0"/>
        <w:rPr>
          <w:rFonts w:ascii="Bookman Old Style" w:hAnsi="Bookman Old Style" w:cs="Arial"/>
        </w:rPr>
      </w:pPr>
    </w:p>
    <w:p w14:paraId="0907DB00" w14:textId="77777777" w:rsidR="003073FB" w:rsidRPr="00A4283E" w:rsidRDefault="003073FB" w:rsidP="00A4283E">
      <w:pPr>
        <w:pStyle w:val="Prrafodelista"/>
        <w:numPr>
          <w:ilvl w:val="0"/>
          <w:numId w:val="1"/>
        </w:numPr>
        <w:tabs>
          <w:tab w:val="left" w:pos="2268"/>
        </w:tabs>
        <w:suppressAutoHyphens/>
        <w:spacing w:line="276" w:lineRule="auto"/>
        <w:ind w:left="270" w:hanging="270"/>
        <w:jc w:val="center"/>
        <w:rPr>
          <w:rFonts w:ascii="Bookman Old Style" w:hAnsi="Bookman Old Style" w:cs="Arial"/>
          <w:b/>
        </w:rPr>
      </w:pPr>
      <w:r w:rsidRPr="00A4283E">
        <w:rPr>
          <w:rFonts w:ascii="Bookman Old Style" w:hAnsi="Bookman Old Style" w:cs="Arial"/>
          <w:b/>
          <w:bCs/>
        </w:rPr>
        <w:t>CONSIDERACIONES</w:t>
      </w:r>
    </w:p>
    <w:p w14:paraId="0D693B5C" w14:textId="77777777" w:rsidR="003073FB" w:rsidRPr="00A4283E" w:rsidRDefault="003073FB" w:rsidP="00A4283E">
      <w:pPr>
        <w:spacing w:line="276" w:lineRule="auto"/>
        <w:ind w:firstLine="0"/>
        <w:rPr>
          <w:rFonts w:ascii="Bookman Old Style" w:hAnsi="Bookman Old Style" w:cs="Arial"/>
          <w:b/>
        </w:rPr>
      </w:pPr>
    </w:p>
    <w:p w14:paraId="65545C56" w14:textId="77777777" w:rsidR="00CA7B8C" w:rsidRPr="00A4283E" w:rsidRDefault="003073FB" w:rsidP="00A4283E">
      <w:pPr>
        <w:spacing w:line="276" w:lineRule="auto"/>
        <w:ind w:firstLine="0"/>
        <w:rPr>
          <w:rFonts w:ascii="Bookman Old Style" w:hAnsi="Bookman Old Style" w:cs="Arial"/>
        </w:rPr>
      </w:pPr>
      <w:r w:rsidRPr="00A4283E">
        <w:rPr>
          <w:rFonts w:ascii="Bookman Old Style" w:hAnsi="Bookman Old Style" w:cs="Arial"/>
        </w:rPr>
        <w:t>De acuerdo con los recursos y alegatos presentados por las partes, los (el) problema(s) jurídico(s) a ser abordado(s) consiste(n) en:</w:t>
      </w:r>
      <w:r w:rsidR="00CA7B8C" w:rsidRPr="00A4283E">
        <w:rPr>
          <w:rFonts w:ascii="Bookman Old Style" w:hAnsi="Bookman Old Style" w:cs="Arial"/>
        </w:rPr>
        <w:t xml:space="preserve"> </w:t>
      </w:r>
    </w:p>
    <w:p w14:paraId="41C7EEFB" w14:textId="77777777" w:rsidR="00CA7B8C" w:rsidRPr="00A4283E" w:rsidRDefault="00CA7B8C" w:rsidP="00A4283E">
      <w:pPr>
        <w:spacing w:line="276" w:lineRule="auto"/>
        <w:ind w:firstLine="0"/>
        <w:rPr>
          <w:rFonts w:ascii="Bookman Old Style" w:hAnsi="Bookman Old Style" w:cs="Arial"/>
        </w:rPr>
      </w:pPr>
    </w:p>
    <w:p w14:paraId="1E6714B9" w14:textId="3A034260" w:rsidR="003073FB" w:rsidRPr="00A4283E" w:rsidRDefault="00CA7B8C" w:rsidP="00A4283E">
      <w:pPr>
        <w:pStyle w:val="Prrafodelista"/>
        <w:numPr>
          <w:ilvl w:val="0"/>
          <w:numId w:val="3"/>
        </w:numPr>
        <w:spacing w:line="276" w:lineRule="auto"/>
        <w:rPr>
          <w:rFonts w:ascii="Bookman Old Style" w:hAnsi="Bookman Old Style" w:cs="Arial"/>
        </w:rPr>
      </w:pPr>
      <w:r w:rsidRPr="00A4283E">
        <w:rPr>
          <w:rFonts w:ascii="Bookman Old Style" w:hAnsi="Bookman Old Style" w:cs="Arial"/>
        </w:rPr>
        <w:t>E</w:t>
      </w:r>
      <w:r w:rsidR="003073FB" w:rsidRPr="00A4283E">
        <w:rPr>
          <w:rFonts w:ascii="Bookman Old Style" w:hAnsi="Bookman Old Style" w:cs="Arial"/>
        </w:rPr>
        <w:t xml:space="preserve">stablecer si </w:t>
      </w:r>
      <w:r w:rsidR="0085206F" w:rsidRPr="00A4283E">
        <w:rPr>
          <w:rFonts w:ascii="Bookman Old Style" w:hAnsi="Bookman Old Style" w:cs="Arial"/>
        </w:rPr>
        <w:t>había lugar a declarar la ineficacia del traslado de régimen pensional.</w:t>
      </w:r>
    </w:p>
    <w:p w14:paraId="0D172810" w14:textId="68841D13" w:rsidR="00CA7B8C" w:rsidRPr="00A4283E" w:rsidRDefault="00CA7B8C" w:rsidP="00A4283E">
      <w:pPr>
        <w:pStyle w:val="Prrafodelista"/>
        <w:spacing w:line="276" w:lineRule="auto"/>
        <w:ind w:left="1080" w:firstLine="0"/>
        <w:rPr>
          <w:rFonts w:ascii="Bookman Old Style" w:hAnsi="Bookman Old Style" w:cs="Arial"/>
        </w:rPr>
      </w:pPr>
      <w:r w:rsidRPr="00A4283E">
        <w:rPr>
          <w:rFonts w:ascii="Bookman Old Style" w:hAnsi="Bookman Old Style" w:cs="Arial"/>
        </w:rPr>
        <w:t xml:space="preserve"> </w:t>
      </w:r>
    </w:p>
    <w:p w14:paraId="6D1CBF46" w14:textId="3FDC80EA" w:rsidR="0085206F" w:rsidRPr="00A4283E" w:rsidRDefault="0085206F" w:rsidP="00A4283E">
      <w:pPr>
        <w:pStyle w:val="Prrafodelista"/>
        <w:numPr>
          <w:ilvl w:val="0"/>
          <w:numId w:val="3"/>
        </w:numPr>
        <w:spacing w:line="276" w:lineRule="auto"/>
        <w:rPr>
          <w:rFonts w:ascii="Bookman Old Style" w:hAnsi="Bookman Old Style" w:cs="Arial"/>
        </w:rPr>
      </w:pPr>
      <w:r w:rsidRPr="00A4283E">
        <w:rPr>
          <w:rFonts w:ascii="Bookman Old Style" w:hAnsi="Bookman Old Style" w:cs="Arial"/>
        </w:rPr>
        <w:t>Había lugar a ordenar a la</w:t>
      </w:r>
      <w:r w:rsidR="00A31ADD" w:rsidRPr="00A4283E">
        <w:rPr>
          <w:rFonts w:ascii="Bookman Old Style" w:hAnsi="Bookman Old Style" w:cs="Arial"/>
        </w:rPr>
        <w:t>s</w:t>
      </w:r>
      <w:r w:rsidR="008939F9" w:rsidRPr="00A4283E">
        <w:rPr>
          <w:rFonts w:ascii="Bookman Old Style" w:hAnsi="Bookman Old Style" w:cs="Arial"/>
        </w:rPr>
        <w:t xml:space="preserve"> AFP demandada</w:t>
      </w:r>
      <w:r w:rsidRPr="00A4283E">
        <w:rPr>
          <w:rFonts w:ascii="Bookman Old Style" w:hAnsi="Bookman Old Style" w:cs="Arial"/>
        </w:rPr>
        <w:t xml:space="preserve"> el trasladar con cargo a sus propios recursos, el valor de las comisiones y cuotas de administración que cobraron, así como las cuotas de garantía de pensión mínima y seguros previsionales hacia Colpensiones.</w:t>
      </w:r>
    </w:p>
    <w:p w14:paraId="3A4F610A" w14:textId="77777777" w:rsidR="00B86E32" w:rsidRPr="00A4283E" w:rsidRDefault="00B86E32" w:rsidP="00A4283E">
      <w:pPr>
        <w:pStyle w:val="Prrafodelista"/>
        <w:spacing w:line="276" w:lineRule="auto"/>
        <w:ind w:left="1080" w:firstLine="0"/>
        <w:rPr>
          <w:rFonts w:ascii="Bookman Old Style" w:hAnsi="Bookman Old Style" w:cs="Arial"/>
        </w:rPr>
      </w:pPr>
    </w:p>
    <w:p w14:paraId="5F9943D6" w14:textId="3426429B" w:rsidR="003073FB" w:rsidRPr="00A4283E" w:rsidRDefault="0085206F" w:rsidP="00A4283E">
      <w:pPr>
        <w:pStyle w:val="Prrafodelista"/>
        <w:numPr>
          <w:ilvl w:val="0"/>
          <w:numId w:val="3"/>
        </w:numPr>
        <w:spacing w:line="276" w:lineRule="auto"/>
        <w:rPr>
          <w:rFonts w:ascii="Bookman Old Style" w:hAnsi="Bookman Old Style" w:cs="Arial"/>
        </w:rPr>
      </w:pPr>
      <w:r w:rsidRPr="00A4283E">
        <w:rPr>
          <w:rFonts w:ascii="Bookman Old Style" w:hAnsi="Bookman Old Style" w:cs="Arial"/>
        </w:rPr>
        <w:t>S</w:t>
      </w:r>
      <w:r w:rsidR="003073FB" w:rsidRPr="00A4283E">
        <w:rPr>
          <w:rFonts w:ascii="Bookman Old Style" w:hAnsi="Bookman Old Style" w:cs="Arial"/>
        </w:rPr>
        <w:t>e deberán analizar las órdenes impartidas en la sentencia y el grado jurisdiccional de consulta en favor de Colpensiones.</w:t>
      </w:r>
    </w:p>
    <w:p w14:paraId="15CC5790" w14:textId="77777777" w:rsidR="003073FB" w:rsidRPr="00A4283E" w:rsidRDefault="003073FB" w:rsidP="00A4283E">
      <w:pPr>
        <w:spacing w:line="276" w:lineRule="auto"/>
        <w:ind w:firstLine="0"/>
        <w:rPr>
          <w:rFonts w:ascii="Bookman Old Style" w:hAnsi="Bookman Old Style" w:cs="Arial"/>
        </w:rPr>
      </w:pPr>
    </w:p>
    <w:p w14:paraId="24E73061" w14:textId="664BDAE1" w:rsidR="007D392D" w:rsidRPr="00A4283E" w:rsidRDefault="00D01A10" w:rsidP="00A4283E">
      <w:pPr>
        <w:spacing w:line="276" w:lineRule="auto"/>
        <w:ind w:firstLine="0"/>
        <w:rPr>
          <w:rFonts w:ascii="Bookman Old Style" w:hAnsi="Bookman Old Style" w:cs="Arial"/>
          <w:b/>
        </w:rPr>
      </w:pPr>
      <w:r w:rsidRPr="00A4283E">
        <w:rPr>
          <w:rFonts w:ascii="Bookman Old Style" w:hAnsi="Bookman Old Style" w:cs="Arial"/>
        </w:rPr>
        <w:t>Para iniciar</w:t>
      </w:r>
      <w:r w:rsidR="003073FB" w:rsidRPr="00A4283E">
        <w:rPr>
          <w:rFonts w:ascii="Bookman Old Style" w:hAnsi="Bookman Old Style" w:cs="Arial"/>
        </w:rPr>
        <w:t xml:space="preserve">, </w:t>
      </w:r>
      <w:r w:rsidRPr="00A4283E">
        <w:rPr>
          <w:rFonts w:ascii="Bookman Old Style" w:hAnsi="Bookman Old Style" w:cs="Arial"/>
        </w:rPr>
        <w:t xml:space="preserve">es de tener en cuenta </w:t>
      </w:r>
      <w:r w:rsidR="003073FB" w:rsidRPr="00A4283E">
        <w:rPr>
          <w:rFonts w:ascii="Bookman Old Style" w:hAnsi="Bookman Old Style" w:cs="Arial"/>
        </w:rPr>
        <w:t>que los siguientes hechos no presentan discusión</w:t>
      </w:r>
      <w:r w:rsidR="00DC68A5" w:rsidRPr="00A4283E">
        <w:rPr>
          <w:rFonts w:ascii="Bookman Old Style" w:hAnsi="Bookman Old Style" w:cs="Arial"/>
        </w:rPr>
        <w:t xml:space="preserve">: </w:t>
      </w:r>
      <w:r w:rsidR="003073FB" w:rsidRPr="00A4283E">
        <w:rPr>
          <w:rFonts w:ascii="Bookman Old Style" w:hAnsi="Bookman Old Style" w:cs="Arial"/>
          <w:b/>
          <w:bCs/>
        </w:rPr>
        <w:t>i)</w:t>
      </w:r>
      <w:r w:rsidR="00952B9A" w:rsidRPr="00A4283E">
        <w:rPr>
          <w:rFonts w:ascii="Bookman Old Style" w:hAnsi="Bookman Old Style" w:cs="Arial"/>
        </w:rPr>
        <w:t xml:space="preserve"> </w:t>
      </w:r>
      <w:r w:rsidR="00FC0FF8" w:rsidRPr="00A4283E">
        <w:rPr>
          <w:rFonts w:ascii="Bookman Old Style" w:hAnsi="Bookman Old Style" w:cs="Arial"/>
        </w:rPr>
        <w:t>L</w:t>
      </w:r>
      <w:r w:rsidR="00A31ADD" w:rsidRPr="00A4283E">
        <w:rPr>
          <w:rFonts w:ascii="Bookman Old Style" w:hAnsi="Bookman Old Style" w:cs="Arial"/>
        </w:rPr>
        <w:t>a</w:t>
      </w:r>
      <w:r w:rsidR="0069307F" w:rsidRPr="00A4283E">
        <w:rPr>
          <w:rFonts w:ascii="Bookman Old Style" w:hAnsi="Bookman Old Style" w:cs="Arial"/>
        </w:rPr>
        <w:t xml:space="preserve"> demandante </w:t>
      </w:r>
      <w:r w:rsidR="00A970EC" w:rsidRPr="00A4283E">
        <w:rPr>
          <w:rFonts w:ascii="Bookman Old Style" w:hAnsi="Bookman Old Style" w:cs="Arial"/>
        </w:rPr>
        <w:t xml:space="preserve">nació </w:t>
      </w:r>
      <w:r w:rsidR="005A5ECC" w:rsidRPr="00A4283E">
        <w:rPr>
          <w:rFonts w:ascii="Bookman Old Style" w:hAnsi="Bookman Old Style" w:cs="Arial"/>
        </w:rPr>
        <w:t>15-10-1966</w:t>
      </w:r>
      <w:r w:rsidR="007370B2" w:rsidRPr="00A4283E">
        <w:rPr>
          <w:rFonts w:ascii="Bookman Old Style" w:hAnsi="Bookman Old Style" w:cs="Arial"/>
        </w:rPr>
        <w:t>.</w:t>
      </w:r>
      <w:r w:rsidR="003073FB" w:rsidRPr="00A4283E">
        <w:rPr>
          <w:rFonts w:ascii="Bookman Old Style" w:hAnsi="Bookman Old Style" w:cs="Arial"/>
        </w:rPr>
        <w:t xml:space="preserve"> </w:t>
      </w:r>
      <w:r w:rsidR="003073FB" w:rsidRPr="00A4283E">
        <w:rPr>
          <w:rFonts w:ascii="Bookman Old Style" w:hAnsi="Bookman Old Style" w:cs="Arial"/>
          <w:b/>
          <w:bCs/>
        </w:rPr>
        <w:t>ii)</w:t>
      </w:r>
      <w:r w:rsidR="00747649" w:rsidRPr="00A4283E">
        <w:rPr>
          <w:rFonts w:ascii="Bookman Old Style" w:hAnsi="Bookman Old Style" w:cs="Arial"/>
          <w:b/>
          <w:bCs/>
        </w:rPr>
        <w:t xml:space="preserve"> </w:t>
      </w:r>
      <w:r w:rsidR="00012D28" w:rsidRPr="00A4283E">
        <w:rPr>
          <w:rFonts w:ascii="Bookman Old Style" w:hAnsi="Bookman Old Style" w:cs="Arial"/>
          <w:bCs/>
        </w:rPr>
        <w:t xml:space="preserve">El </w:t>
      </w:r>
      <w:r w:rsidR="00835CC3" w:rsidRPr="00A4283E">
        <w:rPr>
          <w:rFonts w:ascii="Bookman Old Style" w:hAnsi="Bookman Old Style" w:cs="Arial"/>
          <w:bCs/>
        </w:rPr>
        <w:t>27-08-1998</w:t>
      </w:r>
      <w:r w:rsidR="00012D28" w:rsidRPr="00A4283E">
        <w:rPr>
          <w:rFonts w:ascii="Bookman Old Style" w:hAnsi="Bookman Old Style" w:cs="Arial"/>
          <w:bCs/>
        </w:rPr>
        <w:t xml:space="preserve"> se trasladó de COLPENSIONES a </w:t>
      </w:r>
      <w:r w:rsidR="00DC1775" w:rsidRPr="00A4283E">
        <w:rPr>
          <w:rFonts w:ascii="Bookman Old Style" w:hAnsi="Bookman Old Style" w:cs="Arial"/>
          <w:bCs/>
        </w:rPr>
        <w:t>COLFONDOS</w:t>
      </w:r>
      <w:r w:rsidR="005A5ECC" w:rsidRPr="00A4283E">
        <w:rPr>
          <w:rFonts w:ascii="Bookman Old Style" w:hAnsi="Bookman Old Style" w:cs="Arial"/>
          <w:bCs/>
        </w:rPr>
        <w:t>.</w:t>
      </w:r>
      <w:r w:rsidR="00C92D39" w:rsidRPr="00A4283E">
        <w:rPr>
          <w:rFonts w:ascii="Bookman Old Style" w:hAnsi="Bookman Old Style" w:cs="Arial"/>
          <w:bCs/>
        </w:rPr>
        <w:t xml:space="preserve"> </w:t>
      </w:r>
      <w:r w:rsidR="00747649" w:rsidRPr="00A4283E">
        <w:rPr>
          <w:rFonts w:ascii="Bookman Old Style" w:hAnsi="Bookman Old Style" w:cs="Arial"/>
          <w:bCs/>
        </w:rPr>
        <w:t>(fl.</w:t>
      </w:r>
      <w:r w:rsidR="00835CC3" w:rsidRPr="00A4283E">
        <w:rPr>
          <w:rFonts w:ascii="Bookman Old Style" w:hAnsi="Bookman Old Style" w:cs="Arial"/>
          <w:bCs/>
        </w:rPr>
        <w:t>9</w:t>
      </w:r>
      <w:r w:rsidR="00747649" w:rsidRPr="00A4283E">
        <w:rPr>
          <w:rFonts w:ascii="Bookman Old Style" w:hAnsi="Bookman Old Style" w:cs="Arial"/>
          <w:bCs/>
        </w:rPr>
        <w:t>, anexo</w:t>
      </w:r>
      <w:r w:rsidR="00835CC3" w:rsidRPr="00A4283E">
        <w:rPr>
          <w:rFonts w:ascii="Bookman Old Style" w:hAnsi="Bookman Old Style" w:cs="Arial"/>
          <w:bCs/>
        </w:rPr>
        <w:t>9</w:t>
      </w:r>
      <w:r w:rsidR="00747649" w:rsidRPr="00A4283E">
        <w:rPr>
          <w:rFonts w:ascii="Bookman Old Style" w:hAnsi="Bookman Old Style" w:cs="Arial"/>
          <w:bCs/>
        </w:rPr>
        <w:t xml:space="preserve">) </w:t>
      </w:r>
      <w:r w:rsidR="00585642" w:rsidRPr="00A4283E">
        <w:rPr>
          <w:rFonts w:ascii="Bookman Old Style" w:hAnsi="Bookman Old Style" w:cs="Arial"/>
          <w:b/>
          <w:bCs/>
        </w:rPr>
        <w:t xml:space="preserve">iii) </w:t>
      </w:r>
      <w:r w:rsidR="00585642" w:rsidRPr="00A4283E">
        <w:rPr>
          <w:rFonts w:ascii="Bookman Old Style" w:hAnsi="Bookman Old Style" w:cs="Arial"/>
        </w:rPr>
        <w:t xml:space="preserve">La redención normal de dicho instrumento data </w:t>
      </w:r>
      <w:r w:rsidR="00585642" w:rsidRPr="00A4283E">
        <w:rPr>
          <w:rFonts w:ascii="Bookman Old Style" w:hAnsi="Bookman Old Style" w:cs="Arial"/>
          <w:bCs/>
        </w:rPr>
        <w:t>del 28-05-2029.</w:t>
      </w:r>
    </w:p>
    <w:p w14:paraId="7870A890" w14:textId="77777777" w:rsidR="007D392D" w:rsidRPr="00A4283E" w:rsidRDefault="007D392D" w:rsidP="00A4283E">
      <w:pPr>
        <w:spacing w:line="276" w:lineRule="auto"/>
        <w:ind w:firstLine="0"/>
        <w:rPr>
          <w:rFonts w:ascii="Bookman Old Style" w:hAnsi="Bookman Old Style" w:cs="Arial"/>
        </w:rPr>
      </w:pPr>
    </w:p>
    <w:p w14:paraId="34F9C432" w14:textId="5437B6E7" w:rsidR="003073FB" w:rsidRPr="00A4283E" w:rsidRDefault="003073FB" w:rsidP="00A4283E">
      <w:pPr>
        <w:spacing w:line="276" w:lineRule="auto"/>
        <w:ind w:firstLine="0"/>
        <w:rPr>
          <w:rFonts w:ascii="Bookman Old Style" w:hAnsi="Bookman Old Style" w:cs="Arial"/>
        </w:rPr>
      </w:pPr>
      <w:r w:rsidRPr="00A4283E">
        <w:rPr>
          <w:rFonts w:ascii="Bookman Old Style" w:hAnsi="Bookman Old Style" w:cs="Arial"/>
        </w:rPr>
        <w:t>Conforme a los anteriores referentes, pasa la Sala a desatar la alzada, en los siguientes términos:</w:t>
      </w:r>
    </w:p>
    <w:p w14:paraId="6CE880D6" w14:textId="77777777" w:rsidR="003073FB" w:rsidRPr="00A4283E" w:rsidRDefault="003073FB" w:rsidP="00A4283E">
      <w:pPr>
        <w:spacing w:line="276" w:lineRule="auto"/>
        <w:ind w:firstLine="0"/>
        <w:rPr>
          <w:rFonts w:ascii="Bookman Old Style" w:hAnsi="Bookman Old Style" w:cs="Arial"/>
        </w:rPr>
      </w:pPr>
    </w:p>
    <w:p w14:paraId="2EA3874E" w14:textId="77777777" w:rsidR="003073FB" w:rsidRPr="00A4283E" w:rsidRDefault="003073FB" w:rsidP="00A4283E">
      <w:pPr>
        <w:spacing w:line="276" w:lineRule="auto"/>
        <w:ind w:firstLine="0"/>
        <w:rPr>
          <w:rFonts w:ascii="Bookman Old Style" w:hAnsi="Bookman Old Style" w:cs="Arial"/>
          <w:b/>
        </w:rPr>
      </w:pPr>
      <w:r w:rsidRPr="00A4283E">
        <w:rPr>
          <w:rFonts w:ascii="Bookman Old Style" w:hAnsi="Bookman Old Style" w:cs="Arial"/>
          <w:b/>
        </w:rPr>
        <w:t>DE LA INEFICACIA DEL TRASLADO DE RÉGIMEN.</w:t>
      </w:r>
    </w:p>
    <w:p w14:paraId="528A9506" w14:textId="77777777" w:rsidR="003073FB" w:rsidRPr="00A4283E" w:rsidRDefault="003073FB" w:rsidP="00A4283E">
      <w:pPr>
        <w:spacing w:line="276" w:lineRule="auto"/>
        <w:ind w:firstLine="0"/>
        <w:rPr>
          <w:rFonts w:ascii="Bookman Old Style" w:hAnsi="Bookman Old Style" w:cs="Arial"/>
        </w:rPr>
      </w:pPr>
    </w:p>
    <w:p w14:paraId="2983F148" w14:textId="77777777" w:rsidR="003073FB" w:rsidRPr="00A4283E" w:rsidRDefault="003073FB" w:rsidP="00A4283E">
      <w:pPr>
        <w:spacing w:line="276" w:lineRule="auto"/>
        <w:ind w:firstLine="0"/>
        <w:rPr>
          <w:rFonts w:ascii="Bookman Old Style" w:hAnsi="Bookman Old Style" w:cs="Arial"/>
        </w:rPr>
      </w:pPr>
      <w:r w:rsidRPr="00A4283E">
        <w:rPr>
          <w:rFonts w:ascii="Bookman Old Style" w:hAnsi="Bookman Old Style" w:cs="Arial"/>
        </w:rPr>
        <w:t xml:space="preserve">Para iniciar, es de advertir que, cuando se pretende por vía judicial la ineficacia del traslado de un afiliado del RPM al RAIS, es necesario tener en cuenta que la ley radica en las Administradoras de Pensiones el deber de gestión de los intereses de quienes se vinculen a ellas, los cuales surgen desde las etapas previas y preparatorias a la formalización de su afiliación a la administradora, por lo tanto, en razón de la existencia de éstas, se da la necesidad de actuar mediante instituciones especializadas e idóneas, con conocimientos y experiencia, que resulten confiables a los ciudadanos que van a entregar sus ahorros y sus seguros de previsión para la vejez, invalidez o para su familia cercana en caso de muerte prematura. </w:t>
      </w:r>
    </w:p>
    <w:p w14:paraId="45CC126D" w14:textId="77777777" w:rsidR="003073FB" w:rsidRPr="00A4283E" w:rsidRDefault="003073FB" w:rsidP="00A4283E">
      <w:pPr>
        <w:spacing w:line="276" w:lineRule="auto"/>
        <w:ind w:firstLine="0"/>
        <w:rPr>
          <w:rFonts w:ascii="Bookman Old Style" w:hAnsi="Bookman Old Style" w:cs="Arial"/>
        </w:rPr>
      </w:pPr>
    </w:p>
    <w:p w14:paraId="40EBAD13" w14:textId="77777777" w:rsidR="003073FB" w:rsidRPr="00A4283E" w:rsidRDefault="003073FB" w:rsidP="00A4283E">
      <w:pPr>
        <w:spacing w:line="276" w:lineRule="auto"/>
        <w:ind w:firstLine="0"/>
        <w:rPr>
          <w:rFonts w:ascii="Bookman Old Style" w:hAnsi="Bookman Old Style" w:cs="Arial"/>
        </w:rPr>
      </w:pPr>
      <w:r w:rsidRPr="00A4283E">
        <w:rPr>
          <w:rFonts w:ascii="Bookman Old Style" w:hAnsi="Bookman Old Style" w:cs="Arial"/>
        </w:rPr>
        <w:t>Entre las obligaciones enrostradas está el deber de otorgar al afiliado la información necesaria y suficiente sobre todas las etapas del proceso, esto es, desde la antesala de la afiliación hasta la determinación de las condiciones para el disfrute pensional. En este sentido, las Administradoras de Pensiones tienen el deber de proporcionar a sus interesados una información completa y comprensible, a la medida de la asimetría que se ha de salvar entre un administrador experto y un afiliado lego, en materias de alta complejidad, por ello, el primero debe proporcionar con la prudencia de quien sabe que ella tiene valor y el alcance de orientar al potencial afiliado o a quien ya lo está, y que cuando se trata de asuntos de consecuencias mayúsculas y vitales, como en el sub lite, la elección del régimen pensional, trasciende el simple deber de información, y como emanación del mismo reglamento de la seguridad social, la administradora tiene el deber del buen consejo, que la compromete a un ejercicio más activo al proporcionar la información de ilustración suficiente dando a conocer las diferentes alternativas, con sus beneficios e inconvenientes, y aún, si ese fuere el caso, a desanimar al interesado de tomar una opción que claramente le perjudica.</w:t>
      </w:r>
    </w:p>
    <w:p w14:paraId="2C5B84B3" w14:textId="77777777" w:rsidR="003073FB" w:rsidRPr="00A4283E" w:rsidRDefault="003073FB" w:rsidP="00A4283E">
      <w:pPr>
        <w:spacing w:line="276" w:lineRule="auto"/>
        <w:ind w:firstLine="0"/>
        <w:rPr>
          <w:rFonts w:ascii="Bookman Old Style" w:hAnsi="Bookman Old Style" w:cs="Arial"/>
        </w:rPr>
      </w:pPr>
    </w:p>
    <w:p w14:paraId="4DFE95DA" w14:textId="77777777" w:rsidR="003073FB" w:rsidRPr="00A4283E" w:rsidRDefault="003073FB" w:rsidP="00A4283E">
      <w:pPr>
        <w:spacing w:line="276" w:lineRule="auto"/>
        <w:ind w:firstLine="0"/>
        <w:rPr>
          <w:rFonts w:ascii="Bookman Old Style" w:hAnsi="Bookman Old Style" w:cs="Arial"/>
        </w:rPr>
      </w:pPr>
      <w:r w:rsidRPr="00A4283E">
        <w:rPr>
          <w:rFonts w:ascii="Bookman Old Style" w:hAnsi="Bookman Old Style" w:cs="Arial"/>
        </w:rPr>
        <w:t>Lo anterior, tiene fundamento en lo manifestado por la Sala de Casación Laboral de la Corte Suprema de Justicia en sentencias con radicaciones 31314 y 31989 del 9 de septiembre de 2008, No. 33083 del 22 de noviembre de 2011 y la sentencia SL-12136 rad. No 46292 del 3 de septiembre de 2014.</w:t>
      </w:r>
    </w:p>
    <w:p w14:paraId="3AC7A955" w14:textId="77777777" w:rsidR="003073FB" w:rsidRPr="00A4283E" w:rsidRDefault="003073FB" w:rsidP="00A4283E">
      <w:pPr>
        <w:spacing w:line="276" w:lineRule="auto"/>
        <w:ind w:firstLine="0"/>
        <w:rPr>
          <w:rFonts w:ascii="Bookman Old Style" w:hAnsi="Bookman Old Style" w:cs="Arial"/>
        </w:rPr>
      </w:pPr>
    </w:p>
    <w:p w14:paraId="18B7F341" w14:textId="77777777" w:rsidR="003073FB" w:rsidRPr="00A4283E" w:rsidRDefault="003073FB" w:rsidP="00A4283E">
      <w:pPr>
        <w:spacing w:line="276" w:lineRule="auto"/>
        <w:ind w:firstLine="0"/>
        <w:rPr>
          <w:rFonts w:ascii="Bookman Old Style" w:hAnsi="Bookman Old Style" w:cs="Arial"/>
        </w:rPr>
      </w:pPr>
      <w:r w:rsidRPr="00A4283E">
        <w:rPr>
          <w:rFonts w:ascii="Bookman Old Style" w:hAnsi="Bookman Old Style" w:cs="Arial"/>
        </w:rPr>
        <w:t xml:space="preserve">Es de anotar que la jurisprudencia antes citada corresponde a traslados respecto a personas beneficiarias del régimen de transición, sin embargo, en sendos pronunciamientos de la Sala de Casación Laboral, entre otras, en la SL1452-2019, SL1017-2022, señala que, ni la jurisprudencia desarrollada por esa Corporación y, mucho menos el ordenamiento jurídico laboral y de la seguridad social prevén como requisito para que resulten aplicables las reglas sobre ineficacia del traslado y en especial la relativa a la inversión de la carga de la prueba que en ella opera, que el afiliado al momento del cambio de régimen pensional fuese beneficiario del régimen de transición, tuviese un derecho consolidado o una expectativa legítima, por el contrario se ha estimado que para que resulte viable la declaratoria de ineficacia del acto jurídico de traslado, así como, la inversión de la carga de la prueba que en estos asuntos se configura, lo que se exige es que la administradora de </w:t>
      </w:r>
      <w:r w:rsidRPr="00A4283E">
        <w:rPr>
          <w:rFonts w:ascii="Bookman Old Style" w:hAnsi="Bookman Old Style" w:cs="Arial"/>
        </w:rPr>
        <w:lastRenderedPageBreak/>
        <w:t>pensiones hubiese faltado a su deber de información ya que «</w:t>
      </w:r>
      <w:r w:rsidRPr="00A4283E">
        <w:rPr>
          <w:rFonts w:ascii="Bookman Old Style" w:hAnsi="Bookman Old Style" w:cs="Arial"/>
          <w:i/>
          <w:iCs/>
          <w:u w:val="single"/>
        </w:rPr>
        <w:t>el acto de afiliación o traslado de régimen pensional debe estar acompañado de la decisión libre y voluntaria del afiliado, la cual no se limita a la simple manifestación de quien decide trasladarse, sino que debe ajustarse a los parámetros de libertad informada, es decir, la solicitud y trámite de traslado de régimen pensional, debe estar precedida de una información clara, comprensible y suficiente, sobre las consecuencias favorables y desfavorables que su decisión acarrea</w:t>
      </w:r>
      <w:r w:rsidRPr="00A4283E">
        <w:rPr>
          <w:rFonts w:ascii="Bookman Old Style" w:hAnsi="Bookman Old Style" w:cs="Arial"/>
          <w:i/>
          <w:iCs/>
        </w:rPr>
        <w:t xml:space="preserve">» </w:t>
      </w:r>
      <w:r w:rsidRPr="00A4283E">
        <w:rPr>
          <w:rFonts w:ascii="Bookman Old Style" w:hAnsi="Bookman Old Style" w:cs="Arial"/>
        </w:rPr>
        <w:t xml:space="preserve">(CSJ3719-2021), todo ello por cuanto </w:t>
      </w:r>
      <w:r w:rsidRPr="00A4283E">
        <w:rPr>
          <w:rFonts w:ascii="Bookman Old Style" w:hAnsi="Bookman Old Style" w:cs="Arial"/>
          <w:i/>
          <w:iCs/>
          <w:spacing w:val="-4"/>
        </w:rPr>
        <w:t>«</w:t>
      </w:r>
      <w:r w:rsidRPr="00A4283E">
        <w:rPr>
          <w:rFonts w:ascii="Bookman Old Style" w:hAnsi="Bookman Old Style" w:cs="Arial"/>
          <w:i/>
          <w:iCs/>
          <w:spacing w:val="-4"/>
          <w:u w:val="single"/>
        </w:rPr>
        <w:t>la violación del deber de información se predica frente a la validez del acto jurídico de traslado, considerado en sí mismo</w:t>
      </w:r>
      <w:r w:rsidRPr="00A4283E">
        <w:rPr>
          <w:rFonts w:ascii="Bookman Old Style" w:hAnsi="Bookman Old Style" w:cs="Arial"/>
          <w:i/>
          <w:iCs/>
          <w:spacing w:val="-4"/>
        </w:rPr>
        <w:t xml:space="preserve">» </w:t>
      </w:r>
      <w:r w:rsidRPr="00A4283E">
        <w:rPr>
          <w:rFonts w:ascii="Bookman Old Style" w:hAnsi="Bookman Old Style" w:cs="Arial"/>
          <w:spacing w:val="-4"/>
        </w:rPr>
        <w:t xml:space="preserve">(CSJ SL1452-2019, SL1688-2019, SL1689-2019, SL4025-2021). </w:t>
      </w:r>
    </w:p>
    <w:p w14:paraId="63FBC221" w14:textId="77777777" w:rsidR="003073FB" w:rsidRPr="00A4283E" w:rsidRDefault="003073FB" w:rsidP="00A4283E">
      <w:pPr>
        <w:spacing w:line="276" w:lineRule="auto"/>
        <w:ind w:firstLine="0"/>
        <w:rPr>
          <w:rFonts w:ascii="Bookman Old Style" w:hAnsi="Bookman Old Style" w:cs="Arial"/>
        </w:rPr>
      </w:pPr>
    </w:p>
    <w:p w14:paraId="4C534AB2" w14:textId="0B2206A3" w:rsidR="003073FB" w:rsidRPr="00A4283E" w:rsidRDefault="003073FB" w:rsidP="00A4283E">
      <w:pPr>
        <w:spacing w:line="276" w:lineRule="auto"/>
        <w:ind w:firstLine="0"/>
        <w:rPr>
          <w:rFonts w:ascii="Bookman Old Style" w:hAnsi="Bookman Old Style" w:cs="Arial"/>
        </w:rPr>
      </w:pPr>
      <w:r w:rsidRPr="00A4283E">
        <w:rPr>
          <w:rFonts w:ascii="Bookman Old Style" w:hAnsi="Bookman Old Style" w:cs="Arial"/>
        </w:rPr>
        <w:t>Así mismo, se ha de señalar que, por el sólo hecho de que se suscriba un formulario de afiliación no es posible inferir que la persona conocía los verdaderos efectos que sobre sus derechos pensionales podía tener la decisión de trasladarse, lo que además no puede considerase como satisfecho con una simple expresión genérica; o con el hecho de que el afiliado no haya demostrado en el transcurso del tiempo inconformidad alguna sobre el cambio en el sistema pensional que hizo.</w:t>
      </w:r>
    </w:p>
    <w:p w14:paraId="32657F48" w14:textId="77777777" w:rsidR="003073FB" w:rsidRPr="00A4283E" w:rsidRDefault="003073FB" w:rsidP="00A4283E">
      <w:pPr>
        <w:spacing w:line="276" w:lineRule="auto"/>
        <w:ind w:firstLine="0"/>
        <w:rPr>
          <w:rFonts w:ascii="Bookman Old Style" w:hAnsi="Bookman Old Style" w:cs="Arial"/>
        </w:rPr>
      </w:pPr>
    </w:p>
    <w:p w14:paraId="7AD0C737" w14:textId="4AEF1770" w:rsidR="003073FB" w:rsidRPr="00A4283E" w:rsidRDefault="003073FB" w:rsidP="00A4283E">
      <w:pPr>
        <w:spacing w:line="276" w:lineRule="auto"/>
        <w:ind w:firstLine="0"/>
        <w:rPr>
          <w:rFonts w:ascii="Bookman Old Style" w:hAnsi="Bookman Old Style" w:cs="Arial"/>
        </w:rPr>
      </w:pPr>
      <w:r w:rsidRPr="00A4283E">
        <w:rPr>
          <w:rFonts w:ascii="Bookman Old Style" w:hAnsi="Bookman Old Style" w:cs="Arial"/>
        </w:rPr>
        <w:t xml:space="preserve">En torno a la carga de la prueba, es de indicar que corresponde a la AFP ante quien se realizó el cambio de régimen pensional, porque es quien debe de acreditar que explicó las condiciones del traslado en los términos antes referidos al contar con los documentos e información en general que le suministró al interesado, </w:t>
      </w:r>
      <w:r w:rsidR="00952B9A" w:rsidRPr="00A4283E">
        <w:rPr>
          <w:rFonts w:ascii="Bookman Old Style" w:hAnsi="Bookman Old Style" w:cs="Arial"/>
        </w:rPr>
        <w:t>pues no puede pretenderse que la</w:t>
      </w:r>
      <w:r w:rsidRPr="00A4283E">
        <w:rPr>
          <w:rFonts w:ascii="Bookman Old Style" w:hAnsi="Bookman Old Style" w:cs="Arial"/>
        </w:rPr>
        <w:t xml:space="preserve"> afiliado acredite tales aspectos, puesto que, las normas que rigen a los fondos privados imponen el deber de información, razón suficiente para que estos precisen las pruebas que acrediten la calidad de la asesoría brindada.</w:t>
      </w:r>
    </w:p>
    <w:p w14:paraId="367795EC" w14:textId="77777777" w:rsidR="003073FB" w:rsidRPr="00A4283E" w:rsidRDefault="003073FB" w:rsidP="00A4283E">
      <w:pPr>
        <w:spacing w:line="276" w:lineRule="auto"/>
        <w:ind w:firstLine="0"/>
        <w:rPr>
          <w:rFonts w:ascii="Bookman Old Style" w:hAnsi="Bookman Old Style" w:cs="Arial"/>
        </w:rPr>
      </w:pPr>
    </w:p>
    <w:p w14:paraId="24BF4BD6" w14:textId="16679555" w:rsidR="003073FB" w:rsidRPr="00A4283E" w:rsidRDefault="003073FB" w:rsidP="00A4283E">
      <w:pPr>
        <w:spacing w:line="276" w:lineRule="auto"/>
        <w:ind w:firstLine="0"/>
        <w:rPr>
          <w:rFonts w:ascii="Bookman Old Style" w:hAnsi="Bookman Old Style" w:cs="Arial"/>
        </w:rPr>
      </w:pPr>
      <w:r w:rsidRPr="00A4283E">
        <w:rPr>
          <w:rFonts w:ascii="Bookman Old Style" w:hAnsi="Bookman Old Style" w:cs="Arial"/>
        </w:rPr>
        <w:t>Además de lo expuesto, la Corte ha reiterado (SL1017/2022) que, la trasgresión al deber de información en tratándose del traslado de régimen pensional debe analizarse desde la figura jurídica de la ineficacia y no desde el régimen de las nulidades regulado por el Código Civil, puesto que al transgredirse el derecho a que el cambio de régimen pensional sea libre y voluntario, el efecto jurídico previsto por el artículo 271 de la Ley 100 de 1993, no es otro que el de la ineficacia de la afiliación (CSJ SL3871-2021, CSJ SL 3611-2021, CSJ SL3537-2021).</w:t>
      </w:r>
    </w:p>
    <w:p w14:paraId="1ED89148" w14:textId="754A41DB" w:rsidR="00607BF6" w:rsidRPr="00A4283E" w:rsidRDefault="00607BF6" w:rsidP="00A4283E">
      <w:pPr>
        <w:spacing w:line="276" w:lineRule="auto"/>
        <w:ind w:firstLine="0"/>
        <w:rPr>
          <w:rFonts w:ascii="Bookman Old Style" w:hAnsi="Bookman Old Style" w:cs="Arial"/>
        </w:rPr>
      </w:pPr>
    </w:p>
    <w:p w14:paraId="2E604DE1" w14:textId="5F0F256B" w:rsidR="003073FB" w:rsidRPr="00A4283E" w:rsidRDefault="003073FB" w:rsidP="00A4283E">
      <w:pPr>
        <w:spacing w:line="276" w:lineRule="auto"/>
        <w:ind w:firstLine="0"/>
        <w:rPr>
          <w:rFonts w:ascii="Bookman Old Style" w:hAnsi="Bookman Old Style" w:cs="Arial"/>
          <w:b/>
          <w:bCs/>
          <w:u w:val="single"/>
        </w:rPr>
      </w:pPr>
      <w:r w:rsidRPr="00A4283E">
        <w:rPr>
          <w:rFonts w:ascii="Bookman Old Style" w:hAnsi="Bookman Old Style" w:cs="Arial"/>
          <w:u w:val="single"/>
        </w:rPr>
        <w:t>¿</w:t>
      </w:r>
      <w:r w:rsidRPr="00A4283E">
        <w:rPr>
          <w:rFonts w:ascii="Bookman Old Style" w:hAnsi="Bookman Old Style" w:cs="Arial"/>
          <w:b/>
          <w:bCs/>
          <w:u w:val="single"/>
        </w:rPr>
        <w:t>Se acreditó el cumplimiento del deber de información por parte de la</w:t>
      </w:r>
      <w:r w:rsidR="00952B9A" w:rsidRPr="00A4283E">
        <w:rPr>
          <w:rFonts w:ascii="Bookman Old Style" w:hAnsi="Bookman Old Style" w:cs="Arial"/>
          <w:b/>
          <w:bCs/>
          <w:u w:val="single"/>
        </w:rPr>
        <w:t>s</w:t>
      </w:r>
      <w:r w:rsidRPr="00A4283E">
        <w:rPr>
          <w:rFonts w:ascii="Bookman Old Style" w:hAnsi="Bookman Old Style" w:cs="Arial"/>
          <w:b/>
          <w:bCs/>
          <w:u w:val="single"/>
        </w:rPr>
        <w:t xml:space="preserve"> accionada</w:t>
      </w:r>
      <w:r w:rsidR="00952B9A" w:rsidRPr="00A4283E">
        <w:rPr>
          <w:rFonts w:ascii="Bookman Old Style" w:hAnsi="Bookman Old Style" w:cs="Arial"/>
          <w:b/>
          <w:bCs/>
          <w:u w:val="single"/>
        </w:rPr>
        <w:t>s</w:t>
      </w:r>
      <w:r w:rsidRPr="00A4283E">
        <w:rPr>
          <w:rFonts w:ascii="Bookman Old Style" w:hAnsi="Bookman Old Style" w:cs="Arial"/>
          <w:b/>
          <w:bCs/>
          <w:u w:val="single"/>
        </w:rPr>
        <w:t>?</w:t>
      </w:r>
    </w:p>
    <w:p w14:paraId="3F988C00" w14:textId="77777777" w:rsidR="003073FB" w:rsidRPr="00A4283E" w:rsidRDefault="003073FB" w:rsidP="00A4283E">
      <w:pPr>
        <w:spacing w:line="276" w:lineRule="auto"/>
        <w:ind w:firstLine="0"/>
        <w:rPr>
          <w:rFonts w:ascii="Bookman Old Style" w:hAnsi="Bookman Old Style" w:cs="Arial"/>
        </w:rPr>
      </w:pPr>
    </w:p>
    <w:p w14:paraId="5A3FBEFB" w14:textId="506A8194" w:rsidR="003073FB" w:rsidRPr="00A4283E" w:rsidRDefault="003073FB" w:rsidP="00A4283E">
      <w:pPr>
        <w:spacing w:line="276" w:lineRule="auto"/>
        <w:ind w:firstLine="0"/>
        <w:rPr>
          <w:rFonts w:ascii="Bookman Old Style" w:hAnsi="Bookman Old Style" w:cs="Arial"/>
        </w:rPr>
      </w:pPr>
      <w:r w:rsidRPr="00A4283E">
        <w:rPr>
          <w:rFonts w:ascii="Bookman Old Style" w:hAnsi="Bookman Old Style" w:cs="Arial"/>
        </w:rPr>
        <w:t>Aplicando los anteriores criterios al caso que nos ocupa, debe decirse que de la documental adosada por la</w:t>
      </w:r>
      <w:r w:rsidR="007619B8" w:rsidRPr="00A4283E">
        <w:rPr>
          <w:rFonts w:ascii="Bookman Old Style" w:hAnsi="Bookman Old Style" w:cs="Arial"/>
        </w:rPr>
        <w:t xml:space="preserve"> AFP que estuvo</w:t>
      </w:r>
      <w:r w:rsidR="00A31ADD" w:rsidRPr="00A4283E">
        <w:rPr>
          <w:rFonts w:ascii="Bookman Old Style" w:hAnsi="Bookman Old Style" w:cs="Arial"/>
        </w:rPr>
        <w:t xml:space="preserve"> </w:t>
      </w:r>
      <w:r w:rsidRPr="00A4283E">
        <w:rPr>
          <w:rFonts w:ascii="Bookman Old Style" w:hAnsi="Bookman Old Style" w:cs="Arial"/>
        </w:rPr>
        <w:t>a c</w:t>
      </w:r>
      <w:r w:rsidR="00617A19" w:rsidRPr="00A4283E">
        <w:rPr>
          <w:rFonts w:ascii="Bookman Old Style" w:hAnsi="Bookman Old Style" w:cs="Arial"/>
        </w:rPr>
        <w:t>argo del traslado de régimen de</w:t>
      </w:r>
      <w:r w:rsidR="00A31ADD" w:rsidRPr="00A4283E">
        <w:rPr>
          <w:rFonts w:ascii="Bookman Old Style" w:hAnsi="Bookman Old Style" w:cs="Arial"/>
        </w:rPr>
        <w:t xml:space="preserve"> la</w:t>
      </w:r>
      <w:r w:rsidRPr="00A4283E">
        <w:rPr>
          <w:rFonts w:ascii="Bookman Old Style" w:hAnsi="Bookman Old Style" w:cs="Arial"/>
        </w:rPr>
        <w:t xml:space="preserve"> demandante</w:t>
      </w:r>
      <w:r w:rsidR="00A31ADD" w:rsidRPr="00A4283E">
        <w:rPr>
          <w:rFonts w:ascii="Bookman Old Style" w:hAnsi="Bookman Old Style" w:cs="Arial"/>
        </w:rPr>
        <w:t>, ninguna prueba idónea presentaron</w:t>
      </w:r>
      <w:r w:rsidRPr="00A4283E">
        <w:rPr>
          <w:rFonts w:ascii="Bookman Old Style" w:hAnsi="Bookman Old Style" w:cs="Arial"/>
        </w:rPr>
        <w:t xml:space="preserve"> para demostrar que en la antesala de </w:t>
      </w:r>
      <w:r w:rsidR="00617A19" w:rsidRPr="00A4283E">
        <w:rPr>
          <w:rFonts w:ascii="Bookman Old Style" w:hAnsi="Bookman Old Style" w:cs="Arial"/>
        </w:rPr>
        <w:t xml:space="preserve">la decisión que tuvo </w:t>
      </w:r>
      <w:r w:rsidR="00A31ADD" w:rsidRPr="00A4283E">
        <w:rPr>
          <w:rFonts w:ascii="Bookman Old Style" w:hAnsi="Bookman Old Style" w:cs="Arial"/>
        </w:rPr>
        <w:t xml:space="preserve">la </w:t>
      </w:r>
      <w:r w:rsidR="00617A19" w:rsidRPr="00A4283E">
        <w:rPr>
          <w:rFonts w:ascii="Bookman Old Style" w:hAnsi="Bookman Old Style" w:cs="Arial"/>
        </w:rPr>
        <w:t>afiliad</w:t>
      </w:r>
      <w:r w:rsidR="00A31ADD" w:rsidRPr="00A4283E">
        <w:rPr>
          <w:rFonts w:ascii="Bookman Old Style" w:hAnsi="Bookman Old Style" w:cs="Arial"/>
        </w:rPr>
        <w:t>a</w:t>
      </w:r>
      <w:r w:rsidRPr="00A4283E">
        <w:rPr>
          <w:rFonts w:ascii="Bookman Old Style" w:hAnsi="Bookman Old Style" w:cs="Arial"/>
        </w:rPr>
        <w:t xml:space="preserve"> para migrar del RPM con PD, la</w:t>
      </w:r>
      <w:r w:rsidR="00CE7452" w:rsidRPr="00A4283E">
        <w:rPr>
          <w:rFonts w:ascii="Bookman Old Style" w:hAnsi="Bookman Old Style" w:cs="Arial"/>
        </w:rPr>
        <w:t xml:space="preserve"> AFP cumpli</w:t>
      </w:r>
      <w:r w:rsidR="00912AF7" w:rsidRPr="00A4283E">
        <w:rPr>
          <w:rFonts w:ascii="Bookman Old Style" w:hAnsi="Bookman Old Style" w:cs="Arial"/>
        </w:rPr>
        <w:t>ó</w:t>
      </w:r>
      <w:r w:rsidRPr="00A4283E">
        <w:rPr>
          <w:rFonts w:ascii="Bookman Old Style" w:hAnsi="Bookman Old Style" w:cs="Arial"/>
        </w:rPr>
        <w:t xml:space="preserve"> con su deber de información, esto es, dotando </w:t>
      </w:r>
      <w:r w:rsidR="00617A19" w:rsidRPr="00A4283E">
        <w:rPr>
          <w:rFonts w:ascii="Bookman Old Style" w:hAnsi="Bookman Old Style" w:cs="Arial"/>
        </w:rPr>
        <w:t>a</w:t>
      </w:r>
      <w:r w:rsidR="00A31ADD" w:rsidRPr="00A4283E">
        <w:rPr>
          <w:rFonts w:ascii="Bookman Old Style" w:hAnsi="Bookman Old Style" w:cs="Arial"/>
        </w:rPr>
        <w:t xml:space="preserve"> la </w:t>
      </w:r>
      <w:r w:rsidRPr="00A4283E">
        <w:rPr>
          <w:rFonts w:ascii="Bookman Old Style" w:hAnsi="Bookman Old Style" w:cs="Arial"/>
        </w:rPr>
        <w:t>reclamante de todo el conocimiento que requería para adoptar una decisión consciente, racional y ajustada a sus expectativas pensionales.</w:t>
      </w:r>
    </w:p>
    <w:p w14:paraId="5A8E7B00" w14:textId="77777777" w:rsidR="003073FB" w:rsidRPr="00A4283E" w:rsidRDefault="003073FB" w:rsidP="00A4283E">
      <w:pPr>
        <w:spacing w:line="276" w:lineRule="auto"/>
        <w:ind w:firstLine="0"/>
        <w:rPr>
          <w:rFonts w:ascii="Bookman Old Style" w:hAnsi="Bookman Old Style" w:cs="Arial"/>
        </w:rPr>
      </w:pPr>
    </w:p>
    <w:p w14:paraId="27118458" w14:textId="08767CB0" w:rsidR="003073FB" w:rsidRPr="00A4283E" w:rsidRDefault="003073FB" w:rsidP="00A4283E">
      <w:pPr>
        <w:spacing w:line="276" w:lineRule="auto"/>
        <w:ind w:firstLine="0"/>
        <w:rPr>
          <w:rFonts w:ascii="Bookman Old Style" w:hAnsi="Bookman Old Style" w:cs="Arial"/>
        </w:rPr>
      </w:pPr>
      <w:r w:rsidRPr="00A4283E">
        <w:rPr>
          <w:rFonts w:ascii="Bookman Old Style" w:hAnsi="Bookman Old Style" w:cs="Arial"/>
        </w:rPr>
        <w:t xml:space="preserve">Ahora, </w:t>
      </w:r>
      <w:r w:rsidR="00700176" w:rsidRPr="00A4283E">
        <w:rPr>
          <w:rFonts w:ascii="Bookman Old Style" w:hAnsi="Bookman Old Style" w:cs="Arial"/>
        </w:rPr>
        <w:t xml:space="preserve">aunque la demandante hubiese firmado </w:t>
      </w:r>
      <w:r w:rsidR="00912AF7" w:rsidRPr="00A4283E">
        <w:rPr>
          <w:rFonts w:ascii="Bookman Old Style" w:hAnsi="Bookman Old Style" w:cs="Arial"/>
        </w:rPr>
        <w:t xml:space="preserve">el </w:t>
      </w:r>
      <w:r w:rsidR="00700176" w:rsidRPr="00A4283E">
        <w:rPr>
          <w:rFonts w:ascii="Bookman Old Style" w:hAnsi="Bookman Old Style" w:cs="Arial"/>
        </w:rPr>
        <w:t xml:space="preserve">formulario de afiliación a </w:t>
      </w:r>
      <w:r w:rsidR="00C76C6A" w:rsidRPr="00A4283E">
        <w:rPr>
          <w:rFonts w:ascii="Bookman Old Style" w:hAnsi="Bookman Old Style" w:cs="Arial"/>
        </w:rPr>
        <w:t>la AFP demandada</w:t>
      </w:r>
      <w:r w:rsidR="00700176" w:rsidRPr="00A4283E">
        <w:rPr>
          <w:rFonts w:ascii="Bookman Old Style" w:hAnsi="Bookman Old Style" w:cs="Arial"/>
        </w:rPr>
        <w:t>,</w:t>
      </w:r>
      <w:r w:rsidR="00CE7452" w:rsidRPr="00A4283E">
        <w:rPr>
          <w:rFonts w:ascii="Bookman Old Style" w:hAnsi="Bookman Old Style" w:cs="Arial"/>
        </w:rPr>
        <w:t xml:space="preserve"> no es posible señalar que </w:t>
      </w:r>
      <w:r w:rsidRPr="00A4283E">
        <w:rPr>
          <w:rFonts w:ascii="Bookman Old Style" w:hAnsi="Bookman Old Style" w:cs="Arial"/>
        </w:rPr>
        <w:t>aceptó haberlo realizado de manera “</w:t>
      </w:r>
      <w:r w:rsidRPr="00323707">
        <w:rPr>
          <w:rFonts w:ascii="Bookman Old Style" w:hAnsi="Bookman Old Style" w:cs="Arial"/>
          <w:i/>
          <w:iCs/>
          <w:sz w:val="22"/>
        </w:rPr>
        <w:t>libre, voluntaria y sin presiones</w:t>
      </w:r>
      <w:r w:rsidRPr="00A4283E">
        <w:rPr>
          <w:rFonts w:ascii="Bookman Old Style" w:hAnsi="Bookman Old Style" w:cs="Arial"/>
          <w:i/>
          <w:iCs/>
        </w:rPr>
        <w:t>”</w:t>
      </w:r>
      <w:r w:rsidR="00713D41" w:rsidRPr="00A4283E">
        <w:rPr>
          <w:rFonts w:ascii="Bookman Old Style" w:hAnsi="Bookman Old Style" w:cs="Arial"/>
          <w:i/>
          <w:iCs/>
        </w:rPr>
        <w:t xml:space="preserve"> </w:t>
      </w:r>
      <w:r w:rsidR="00713D41" w:rsidRPr="00A4283E">
        <w:rPr>
          <w:rFonts w:ascii="Bookman Old Style" w:hAnsi="Bookman Old Style" w:cs="Arial"/>
          <w:iCs/>
        </w:rPr>
        <w:t>y</w:t>
      </w:r>
      <w:r w:rsidRPr="00A4283E">
        <w:rPr>
          <w:rFonts w:ascii="Bookman Old Style" w:hAnsi="Bookman Old Style" w:cs="Arial"/>
        </w:rPr>
        <w:t xml:space="preserve"> de ello no se puede deducir que hubo un consentimiento o decisión de cambio de régimen debida y suficientemente informada cuando justamente a ese momento se careció del conocimiento necesario acerca de las características, ventajas, desventajas, condiciones económicas y del mercado, del funcionamiento diferenciado de los sistemas pensionales y de las consecuencias que podría acarrear su decisión, bajo la perspectiva de sus derechos pensionales, teniendo en cuenta que, era deber de la AFP realizar un proyecto pensional, en donde se informara sobre las posibilidades de contar con un </w:t>
      </w:r>
      <w:r w:rsidRPr="00A4283E">
        <w:rPr>
          <w:rFonts w:ascii="Bookman Old Style" w:hAnsi="Bookman Old Style" w:cs="Arial"/>
          <w:i/>
        </w:rPr>
        <w:t>quantum</w:t>
      </w:r>
      <w:r w:rsidRPr="00A4283E">
        <w:rPr>
          <w:rFonts w:ascii="Bookman Old Style" w:hAnsi="Bookman Old Style" w:cs="Arial"/>
        </w:rPr>
        <w:t xml:space="preserve"> ajustado a las expectativas en el régimen al cual se va a trasladar, la diferencia de pagos de aportes y</w:t>
      </w:r>
      <w:r w:rsidR="00B071F5" w:rsidRPr="00A4283E">
        <w:rPr>
          <w:rFonts w:ascii="Bookman Old Style" w:hAnsi="Bookman Old Style" w:cs="Arial"/>
        </w:rPr>
        <w:t>,</w:t>
      </w:r>
      <w:r w:rsidRPr="00A4283E">
        <w:rPr>
          <w:rFonts w:ascii="Bookman Old Style" w:hAnsi="Bookman Old Style" w:cs="Arial"/>
        </w:rPr>
        <w:t xml:space="preserve"> como se ha reiterado, las posibles implicaciones o favorabilidades, permitiendo para el Juzgador, identificar que el traslado se efectuó con total transparencia y bajo una decisión claramente racional. </w:t>
      </w:r>
    </w:p>
    <w:p w14:paraId="42760E83" w14:textId="46177D59" w:rsidR="00BB60BF" w:rsidRPr="00A4283E" w:rsidRDefault="00BB60BF" w:rsidP="00A4283E">
      <w:pPr>
        <w:spacing w:line="276" w:lineRule="auto"/>
        <w:ind w:firstLine="0"/>
        <w:rPr>
          <w:rFonts w:ascii="Bookman Old Style" w:hAnsi="Bookman Old Style" w:cs="Arial"/>
        </w:rPr>
      </w:pPr>
    </w:p>
    <w:p w14:paraId="16139B6D" w14:textId="7145024B" w:rsidR="00CA3608" w:rsidRPr="00A4283E" w:rsidRDefault="00BB60BF" w:rsidP="00A4283E">
      <w:pPr>
        <w:spacing w:line="276" w:lineRule="auto"/>
        <w:ind w:firstLine="0"/>
        <w:rPr>
          <w:rFonts w:ascii="Bookman Old Style" w:hAnsi="Bookman Old Style" w:cs="Arial"/>
        </w:rPr>
      </w:pPr>
      <w:r w:rsidRPr="00A4283E">
        <w:rPr>
          <w:rFonts w:ascii="Bookman Old Style" w:hAnsi="Bookman Old Style" w:cs="Arial"/>
        </w:rPr>
        <w:t xml:space="preserve">Para auscultar si se cumplió con ese propósito, se escuchó </w:t>
      </w:r>
      <w:r w:rsidRPr="00A4283E">
        <w:rPr>
          <w:rFonts w:ascii="Bookman Old Style" w:hAnsi="Bookman Old Style" w:cs="Arial"/>
          <w:b/>
        </w:rPr>
        <w:t>en interrogatorio a la parte demandante</w:t>
      </w:r>
      <w:r w:rsidRPr="00A4283E">
        <w:rPr>
          <w:rFonts w:ascii="Bookman Old Style" w:hAnsi="Bookman Old Style" w:cs="Arial"/>
        </w:rPr>
        <w:t xml:space="preserve"> en lo que respecta a la información que le antecedió a la decisión de trasladarse de régimen, refirió</w:t>
      </w:r>
      <w:r w:rsidR="00A31ADD" w:rsidRPr="00A4283E">
        <w:rPr>
          <w:rFonts w:ascii="Bookman Old Style" w:hAnsi="Bookman Old Style" w:cs="Arial"/>
        </w:rPr>
        <w:t xml:space="preserve"> </w:t>
      </w:r>
      <w:r w:rsidR="009D241D" w:rsidRPr="00A4283E">
        <w:rPr>
          <w:rFonts w:ascii="Bookman Old Style" w:hAnsi="Bookman Old Style" w:cs="Arial"/>
        </w:rPr>
        <w:t xml:space="preserve">que </w:t>
      </w:r>
      <w:r w:rsidR="00A672DD" w:rsidRPr="00A4283E">
        <w:rPr>
          <w:rFonts w:ascii="Bookman Old Style" w:hAnsi="Bookman Old Style" w:cs="Arial"/>
        </w:rPr>
        <w:t>es administradora de empresas y actualmente se encuentra laborando.</w:t>
      </w:r>
      <w:r w:rsidR="004B6EB2" w:rsidRPr="00A4283E">
        <w:rPr>
          <w:rFonts w:ascii="Bookman Old Style" w:hAnsi="Bookman Old Style" w:cs="Arial"/>
        </w:rPr>
        <w:t xml:space="preserve"> Que para la época del traslado les hicieron una reunión colectiva con todos los trabajadores y un asesor de COLFONDOS les explicó que iban a tener muchas ventajas si se cambiaban de fondo, que se podrían pensionar a los 40 años, que la pensión sería más alta y que debía trasladarse porque el Seguro Social se iba a acabar y por seguridad todos sus compañeros y ella se cambiaron. Sin embargo, en la actualidad todos sus compañeros están en el proceso de regresar a COLPENSIONES. Argumenta que la información no fue clara, solo les hablaron de ventajas y no de las desventajas, tampoco les hablaron de rendimientos. Señaló que recientemente COLFONDOS le hizo un simulacro de la pensión que obtendría en el RAIS y consideró que no era el valor que les habían prometido para la fecha de la afiliación. </w:t>
      </w:r>
    </w:p>
    <w:p w14:paraId="0FF5D36D" w14:textId="64BCBBD6" w:rsidR="00040E46" w:rsidRPr="00A4283E" w:rsidRDefault="00040E46" w:rsidP="00A4283E">
      <w:pPr>
        <w:spacing w:line="276" w:lineRule="auto"/>
        <w:ind w:firstLine="0"/>
        <w:rPr>
          <w:rFonts w:ascii="Bookman Old Style" w:hAnsi="Bookman Old Style" w:cs="Arial"/>
        </w:rPr>
      </w:pPr>
    </w:p>
    <w:p w14:paraId="47B7551E" w14:textId="350A9027" w:rsidR="00FC0FF8" w:rsidRPr="00A4283E" w:rsidRDefault="00B071F5" w:rsidP="00A4283E">
      <w:pPr>
        <w:spacing w:line="276" w:lineRule="auto"/>
        <w:ind w:firstLine="0"/>
        <w:rPr>
          <w:rStyle w:val="eop"/>
          <w:rFonts w:ascii="Bookman Old Style" w:hAnsi="Bookman Old Style"/>
          <w:color w:val="000000"/>
          <w:shd w:val="clear" w:color="auto" w:fill="FFFFFF"/>
        </w:rPr>
      </w:pPr>
      <w:r w:rsidRPr="00A4283E">
        <w:rPr>
          <w:rStyle w:val="normaltextrun"/>
          <w:rFonts w:ascii="Bookman Old Style" w:hAnsi="Bookman Old Style"/>
          <w:color w:val="000000"/>
          <w:shd w:val="clear" w:color="auto" w:fill="FFFFFF"/>
        </w:rPr>
        <w:t xml:space="preserve">Pues bien, se advierte que no se encontraron manifestaciones que, conjunta o individualmente, puedan calificarse como una confesión de haber recibido la información a que estaba obligada la AFP en la antesala del traslado de régimen pensional, lo que implica que </w:t>
      </w:r>
      <w:r w:rsidR="00DC1775" w:rsidRPr="00A4283E">
        <w:rPr>
          <w:rStyle w:val="normaltextrun"/>
          <w:rFonts w:ascii="Bookman Old Style" w:hAnsi="Bookman Old Style"/>
          <w:color w:val="000000"/>
          <w:shd w:val="clear" w:color="auto" w:fill="FFFFFF"/>
        </w:rPr>
        <w:t>COLFONDOS</w:t>
      </w:r>
      <w:r w:rsidR="00AC29CD" w:rsidRPr="00A4283E">
        <w:rPr>
          <w:rStyle w:val="normaltextrun"/>
          <w:rFonts w:ascii="Bookman Old Style" w:hAnsi="Bookman Old Style"/>
          <w:color w:val="000000"/>
          <w:shd w:val="clear" w:color="auto" w:fill="FFFFFF"/>
        </w:rPr>
        <w:t xml:space="preserve"> S.A.</w:t>
      </w:r>
      <w:r w:rsidRPr="00A4283E">
        <w:rPr>
          <w:rStyle w:val="normaltextrun"/>
          <w:rFonts w:ascii="Bookman Old Style" w:hAnsi="Bookman Old Style"/>
          <w:color w:val="000000"/>
          <w:shd w:val="clear" w:color="auto" w:fill="FFFFFF"/>
        </w:rPr>
        <w:t xml:space="preserve"> no cumplió el deber de asesoría, aun cuando allegó el formulario que se suscribió de manera libre, voluntaria y sin presiones, ello no basta para concluir que </w:t>
      </w:r>
      <w:r w:rsidR="0036061A" w:rsidRPr="00A4283E">
        <w:rPr>
          <w:rStyle w:val="normaltextrun"/>
          <w:rFonts w:ascii="Bookman Old Style" w:hAnsi="Bookman Old Style"/>
          <w:color w:val="000000"/>
          <w:shd w:val="clear" w:color="auto" w:fill="FFFFFF"/>
        </w:rPr>
        <w:t>asesoró en debida forma a la actora</w:t>
      </w:r>
      <w:r w:rsidRPr="00A4283E">
        <w:rPr>
          <w:rStyle w:val="normaltextrun"/>
          <w:rFonts w:ascii="Bookman Old Style" w:hAnsi="Bookman Old Style"/>
          <w:color w:val="000000"/>
          <w:shd w:val="clear" w:color="auto" w:fill="FFFFFF"/>
        </w:rPr>
        <w:t>.</w:t>
      </w:r>
      <w:r w:rsidRPr="00A4283E">
        <w:rPr>
          <w:rStyle w:val="eop"/>
          <w:rFonts w:ascii="Bookman Old Style" w:hAnsi="Bookman Old Style"/>
          <w:color w:val="000000"/>
          <w:shd w:val="clear" w:color="auto" w:fill="FFFFFF"/>
        </w:rPr>
        <w:t> </w:t>
      </w:r>
    </w:p>
    <w:p w14:paraId="19FB5E14" w14:textId="77777777" w:rsidR="00B071F5" w:rsidRPr="00A4283E" w:rsidRDefault="00B071F5" w:rsidP="00A4283E">
      <w:pPr>
        <w:spacing w:line="276" w:lineRule="auto"/>
        <w:ind w:firstLine="0"/>
        <w:rPr>
          <w:rFonts w:ascii="Bookman Old Style" w:hAnsi="Bookman Old Style" w:cs="Arial"/>
        </w:rPr>
      </w:pPr>
    </w:p>
    <w:p w14:paraId="3337942F" w14:textId="790EDD8E" w:rsidR="003073FB" w:rsidRPr="00A4283E" w:rsidRDefault="003073FB" w:rsidP="00A4283E">
      <w:pPr>
        <w:spacing w:line="276" w:lineRule="auto"/>
        <w:ind w:firstLine="0"/>
        <w:rPr>
          <w:rFonts w:ascii="Bookman Old Style" w:hAnsi="Bookman Old Style" w:cs="Arial"/>
        </w:rPr>
      </w:pPr>
      <w:r w:rsidRPr="00A4283E">
        <w:rPr>
          <w:rFonts w:ascii="Bookman Old Style" w:hAnsi="Bookman Old Style" w:cs="Arial"/>
        </w:rPr>
        <w:t>Y es que, al analizar</w:t>
      </w:r>
      <w:r w:rsidR="00D95BEB" w:rsidRPr="00A4283E">
        <w:rPr>
          <w:rFonts w:ascii="Bookman Old Style" w:hAnsi="Bookman Old Style" w:cs="Arial"/>
        </w:rPr>
        <w:t xml:space="preserve"> la totalidad</w:t>
      </w:r>
      <w:r w:rsidRPr="00A4283E">
        <w:rPr>
          <w:rFonts w:ascii="Bookman Old Style" w:hAnsi="Bookman Old Style" w:cs="Arial"/>
        </w:rPr>
        <w:t xml:space="preserve"> </w:t>
      </w:r>
      <w:r w:rsidR="00D95BEB" w:rsidRPr="00A4283E">
        <w:rPr>
          <w:rFonts w:ascii="Bookman Old Style" w:hAnsi="Bookman Old Style" w:cs="Arial"/>
        </w:rPr>
        <w:t>d</w:t>
      </w:r>
      <w:r w:rsidRPr="00A4283E">
        <w:rPr>
          <w:rFonts w:ascii="Bookman Old Style" w:hAnsi="Bookman Old Style" w:cs="Arial"/>
        </w:rPr>
        <w:t>el caudal probatorio bajo los parámetros ya traídos a colación, no existen elementos que permitan concluir que, durante el traslado de la parte actora, l</w:t>
      </w:r>
      <w:r w:rsidR="00234859" w:rsidRPr="00A4283E">
        <w:rPr>
          <w:rFonts w:ascii="Bookman Old Style" w:hAnsi="Bookman Old Style" w:cs="Arial"/>
        </w:rPr>
        <w:t>a</w:t>
      </w:r>
      <w:r w:rsidRPr="00A4283E">
        <w:rPr>
          <w:rFonts w:ascii="Bookman Old Style" w:hAnsi="Bookman Old Style" w:cs="Arial"/>
        </w:rPr>
        <w:t xml:space="preserve"> AFP hubiere cumplido con el deber de i</w:t>
      </w:r>
      <w:r w:rsidR="00952B9A" w:rsidRPr="00A4283E">
        <w:rPr>
          <w:rFonts w:ascii="Bookman Old Style" w:hAnsi="Bookman Old Style" w:cs="Arial"/>
        </w:rPr>
        <w:t>nformación que le correspondía</w:t>
      </w:r>
      <w:r w:rsidR="000E587E" w:rsidRPr="00A4283E">
        <w:rPr>
          <w:rFonts w:ascii="Bookman Old Style" w:hAnsi="Bookman Old Style" w:cs="Arial"/>
        </w:rPr>
        <w:t>,</w:t>
      </w:r>
      <w:r w:rsidR="000E587E" w:rsidRPr="00A4283E">
        <w:rPr>
          <w:rStyle w:val="normaltextrun"/>
          <w:rFonts w:ascii="Bookman Old Style" w:hAnsi="Bookman Old Style"/>
          <w:color w:val="000000"/>
        </w:rPr>
        <w:t xml:space="preserve"> máxime cuando </w:t>
      </w:r>
      <w:r w:rsidR="000E587E" w:rsidRPr="00A4283E">
        <w:rPr>
          <w:rStyle w:val="normaltextrun"/>
          <w:rFonts w:ascii="Bookman Old Style" w:hAnsi="Bookman Old Style"/>
          <w:b/>
          <w:bCs/>
          <w:color w:val="000000"/>
        </w:rPr>
        <w:t xml:space="preserve">no tuvo ninguna reasesoría por parte de </w:t>
      </w:r>
      <w:r w:rsidR="00852FA4" w:rsidRPr="00A4283E">
        <w:rPr>
          <w:rStyle w:val="normaltextrun"/>
          <w:rFonts w:ascii="Bookman Old Style" w:hAnsi="Bookman Old Style"/>
          <w:b/>
          <w:bCs/>
          <w:color w:val="000000"/>
        </w:rPr>
        <w:t xml:space="preserve">los </w:t>
      </w:r>
      <w:r w:rsidR="000E587E" w:rsidRPr="00A4283E">
        <w:rPr>
          <w:rStyle w:val="normaltextrun"/>
          <w:rFonts w:ascii="Bookman Old Style" w:hAnsi="Bookman Old Style"/>
          <w:b/>
          <w:bCs/>
          <w:color w:val="000000"/>
        </w:rPr>
        <w:t xml:space="preserve">asesores de los fondos </w:t>
      </w:r>
      <w:r w:rsidR="0036061A" w:rsidRPr="00A4283E">
        <w:rPr>
          <w:rStyle w:val="normaltextrun"/>
          <w:rFonts w:ascii="Bookman Old Style" w:hAnsi="Bookman Old Style"/>
          <w:b/>
          <w:bCs/>
          <w:color w:val="000000"/>
        </w:rPr>
        <w:t>con posterioridad a</w:t>
      </w:r>
      <w:r w:rsidR="000E587E" w:rsidRPr="00A4283E">
        <w:rPr>
          <w:rStyle w:val="normaltextrun"/>
          <w:rFonts w:ascii="Bookman Old Style" w:hAnsi="Bookman Old Style"/>
          <w:b/>
          <w:bCs/>
          <w:color w:val="000000"/>
        </w:rPr>
        <w:t>l traslado de régimen</w:t>
      </w:r>
      <w:r w:rsidR="0036061A" w:rsidRPr="00A4283E">
        <w:rPr>
          <w:rStyle w:val="normaltextrun"/>
          <w:rFonts w:ascii="Bookman Old Style" w:hAnsi="Bookman Old Style"/>
          <w:b/>
          <w:bCs/>
          <w:color w:val="000000"/>
        </w:rPr>
        <w:t xml:space="preserve"> y</w:t>
      </w:r>
      <w:r w:rsidR="000E587E" w:rsidRPr="00A4283E">
        <w:rPr>
          <w:rStyle w:val="normaltextrun"/>
          <w:rFonts w:ascii="Bookman Old Style" w:hAnsi="Bookman Old Style"/>
          <w:b/>
          <w:bCs/>
          <w:color w:val="000000"/>
        </w:rPr>
        <w:t xml:space="preserve"> antes de que le faltaran 10 años</w:t>
      </w:r>
      <w:r w:rsidR="0036061A" w:rsidRPr="00A4283E">
        <w:rPr>
          <w:rStyle w:val="normaltextrun"/>
          <w:rFonts w:ascii="Bookman Old Style" w:hAnsi="Bookman Old Style"/>
          <w:b/>
          <w:bCs/>
          <w:color w:val="000000"/>
        </w:rPr>
        <w:t xml:space="preserve"> para cumplir la edad pensional;</w:t>
      </w:r>
      <w:r w:rsidR="000E587E" w:rsidRPr="00A4283E">
        <w:rPr>
          <w:rStyle w:val="normaltextrun"/>
          <w:rFonts w:ascii="Bookman Old Style" w:hAnsi="Bookman Old Style"/>
          <w:color w:val="000000"/>
        </w:rPr>
        <w:t xml:space="preserve"> en todo caso,</w:t>
      </w:r>
      <w:r w:rsidR="00044B73" w:rsidRPr="00A4283E">
        <w:rPr>
          <w:rStyle w:val="normaltextrun"/>
          <w:rFonts w:ascii="Bookman Old Style" w:hAnsi="Bookman Old Style"/>
          <w:color w:val="000000"/>
        </w:rPr>
        <w:t xml:space="preserve"> resulta</w:t>
      </w:r>
      <w:r w:rsidR="000E587E" w:rsidRPr="00A4283E">
        <w:rPr>
          <w:rStyle w:val="normaltextrun"/>
          <w:rFonts w:ascii="Bookman Old Style" w:hAnsi="Bookman Old Style"/>
          <w:color w:val="000000"/>
        </w:rPr>
        <w:t xml:space="preserve"> </w:t>
      </w:r>
      <w:r w:rsidRPr="00A4283E">
        <w:rPr>
          <w:rFonts w:ascii="Bookman Old Style" w:hAnsi="Bookman Old Style" w:cs="Arial"/>
        </w:rPr>
        <w:t>notorio que la demandada falt</w:t>
      </w:r>
      <w:r w:rsidR="00912AF7" w:rsidRPr="00A4283E">
        <w:rPr>
          <w:rFonts w:ascii="Bookman Old Style" w:hAnsi="Bookman Old Style" w:cs="Arial"/>
        </w:rPr>
        <w:t>ó</w:t>
      </w:r>
      <w:r w:rsidRPr="00A4283E">
        <w:rPr>
          <w:rFonts w:ascii="Bookman Old Style" w:hAnsi="Bookman Old Style" w:cs="Arial"/>
        </w:rPr>
        <w:t xml:space="preserve"> a su </w:t>
      </w:r>
      <w:r w:rsidRPr="00A4283E">
        <w:rPr>
          <w:rFonts w:ascii="Bookman Old Style" w:hAnsi="Bookman Old Style" w:cs="Arial"/>
        </w:rPr>
        <w:lastRenderedPageBreak/>
        <w:t>deber de «</w:t>
      </w:r>
      <w:r w:rsidRPr="00A4283E">
        <w:rPr>
          <w:rFonts w:ascii="Bookman Old Style" w:hAnsi="Bookman Old Style" w:cs="Arial"/>
          <w:i/>
          <w:iCs/>
        </w:rPr>
        <w:t>información y buen consejo</w:t>
      </w:r>
      <w:r w:rsidRPr="00A4283E">
        <w:rPr>
          <w:rFonts w:ascii="Bookman Old Style" w:hAnsi="Bookman Old Style" w:cs="Arial"/>
        </w:rPr>
        <w:t xml:space="preserve">», pues </w:t>
      </w:r>
      <w:r w:rsidR="00234859" w:rsidRPr="00A4283E">
        <w:rPr>
          <w:rFonts w:ascii="Bookman Old Style" w:hAnsi="Bookman Old Style" w:cs="Arial"/>
        </w:rPr>
        <w:t>omiti</w:t>
      </w:r>
      <w:r w:rsidR="00912AF7" w:rsidRPr="00A4283E">
        <w:rPr>
          <w:rFonts w:ascii="Bookman Old Style" w:hAnsi="Bookman Old Style" w:cs="Arial"/>
        </w:rPr>
        <w:t>ó</w:t>
      </w:r>
      <w:r w:rsidRPr="00A4283E">
        <w:rPr>
          <w:rFonts w:ascii="Bookman Old Style" w:hAnsi="Bookman Old Style" w:cs="Arial"/>
        </w:rPr>
        <w:t xml:space="preserve"> informar a la </w:t>
      </w:r>
      <w:r w:rsidR="001C3AAD" w:rsidRPr="00A4283E">
        <w:rPr>
          <w:rFonts w:ascii="Bookman Old Style" w:hAnsi="Bookman Old Style" w:cs="Arial"/>
        </w:rPr>
        <w:t>actora</w:t>
      </w:r>
      <w:r w:rsidRPr="00A4283E">
        <w:rPr>
          <w:rFonts w:ascii="Bookman Old Style" w:hAnsi="Bookman Old Style" w:cs="Arial"/>
        </w:rPr>
        <w:t xml:space="preserve"> sobre las ventajas, desventajas, características, riesgos, posibilidades de pensión en cada régimen y demás aspectos que le permitiesen comprender claramente la conveniencia o inconveniencia de su decisión, condi</w:t>
      </w:r>
      <w:r w:rsidR="006D0204" w:rsidRPr="00A4283E">
        <w:rPr>
          <w:rFonts w:ascii="Bookman Old Style" w:hAnsi="Bookman Old Style" w:cs="Arial"/>
        </w:rPr>
        <w:t>ciones que debía</w:t>
      </w:r>
      <w:r w:rsidRPr="00A4283E">
        <w:rPr>
          <w:rFonts w:ascii="Bookman Old Style" w:hAnsi="Bookman Old Style" w:cs="Arial"/>
        </w:rPr>
        <w:t xml:space="preserve"> probar la</w:t>
      </w:r>
      <w:r w:rsidR="00912AF7" w:rsidRPr="00A4283E">
        <w:rPr>
          <w:rFonts w:ascii="Bookman Old Style" w:hAnsi="Bookman Old Style" w:cs="Arial"/>
        </w:rPr>
        <w:t xml:space="preserve"> </w:t>
      </w:r>
      <w:r w:rsidRPr="00A4283E">
        <w:rPr>
          <w:rFonts w:ascii="Bookman Old Style" w:hAnsi="Bookman Old Style" w:cs="Arial"/>
        </w:rPr>
        <w:t>AFP</w:t>
      </w:r>
      <w:r w:rsidR="00BB60BF" w:rsidRPr="00A4283E">
        <w:rPr>
          <w:rFonts w:ascii="Bookman Old Style" w:hAnsi="Bookman Old Style" w:cs="Arial"/>
        </w:rPr>
        <w:t xml:space="preserve"> </w:t>
      </w:r>
      <w:r w:rsidRPr="00A4283E">
        <w:rPr>
          <w:rFonts w:ascii="Bookman Old Style" w:hAnsi="Bookman Old Style" w:cs="Arial"/>
        </w:rPr>
        <w:t xml:space="preserve">pero no lo </w:t>
      </w:r>
      <w:r w:rsidR="00912AF7" w:rsidRPr="00A4283E">
        <w:rPr>
          <w:rFonts w:ascii="Bookman Old Style" w:hAnsi="Bookman Old Style" w:cs="Arial"/>
        </w:rPr>
        <w:t>hizo</w:t>
      </w:r>
      <w:r w:rsidRPr="00A4283E">
        <w:rPr>
          <w:rFonts w:ascii="Bookman Old Style" w:hAnsi="Bookman Old Style" w:cs="Arial"/>
        </w:rPr>
        <w:t>, situación que se acompasa con lo lineado en las sentencias SL12136-2014 y SL4373-2020, entre otras.</w:t>
      </w:r>
    </w:p>
    <w:p w14:paraId="763CB054" w14:textId="77777777" w:rsidR="003073FB" w:rsidRPr="00A4283E" w:rsidRDefault="003073FB" w:rsidP="00A4283E">
      <w:pPr>
        <w:spacing w:line="276" w:lineRule="auto"/>
        <w:ind w:firstLine="0"/>
        <w:rPr>
          <w:rFonts w:ascii="Bookman Old Style" w:hAnsi="Bookman Old Style" w:cs="Arial"/>
        </w:rPr>
      </w:pPr>
    </w:p>
    <w:p w14:paraId="11457DE1" w14:textId="49E0D3F6" w:rsidR="003073FB" w:rsidRPr="00A4283E" w:rsidRDefault="003073FB" w:rsidP="00A4283E">
      <w:pPr>
        <w:spacing w:line="276" w:lineRule="auto"/>
        <w:ind w:firstLine="0"/>
        <w:rPr>
          <w:rFonts w:ascii="Bookman Old Style" w:hAnsi="Bookman Old Style" w:cs="Arial"/>
        </w:rPr>
      </w:pPr>
      <w:r w:rsidRPr="00A4283E">
        <w:rPr>
          <w:rFonts w:ascii="Bookman Old Style" w:hAnsi="Bookman Old Style" w:cs="Arial"/>
        </w:rPr>
        <w:t>A lo anterior se suma, que las ob</w:t>
      </w:r>
      <w:r w:rsidR="00234859" w:rsidRPr="00A4283E">
        <w:rPr>
          <w:rFonts w:ascii="Bookman Old Style" w:hAnsi="Bookman Old Style" w:cs="Arial"/>
        </w:rPr>
        <w:t>ligaciones que debía</w:t>
      </w:r>
      <w:r w:rsidR="003B61B8" w:rsidRPr="00A4283E">
        <w:rPr>
          <w:rFonts w:ascii="Bookman Old Style" w:hAnsi="Bookman Old Style" w:cs="Arial"/>
        </w:rPr>
        <w:t xml:space="preserve"> observar </w:t>
      </w:r>
      <w:r w:rsidR="00234859" w:rsidRPr="00A4283E">
        <w:rPr>
          <w:rFonts w:ascii="Bookman Old Style" w:hAnsi="Bookman Old Style" w:cs="Arial"/>
        </w:rPr>
        <w:t>el fondo de pensiones</w:t>
      </w:r>
      <w:r w:rsidRPr="00A4283E">
        <w:rPr>
          <w:rFonts w:ascii="Bookman Old Style" w:hAnsi="Bookman Old Style" w:cs="Arial"/>
        </w:rPr>
        <w:t xml:space="preserve"> durante el tras</w:t>
      </w:r>
      <w:r w:rsidR="00234859" w:rsidRPr="00A4283E">
        <w:rPr>
          <w:rFonts w:ascii="Bookman Old Style" w:hAnsi="Bookman Old Style" w:cs="Arial"/>
        </w:rPr>
        <w:t>lado de la parte accionante eran las</w:t>
      </w:r>
      <w:r w:rsidRPr="00A4283E">
        <w:rPr>
          <w:rFonts w:ascii="Bookman Old Style" w:hAnsi="Bookman Old Style" w:cs="Arial"/>
        </w:rPr>
        <w:t xml:space="preserve"> contenidas en las normas del sistema vigentes a esa época. De modo q</w:t>
      </w:r>
      <w:r w:rsidR="00ED6949" w:rsidRPr="00A4283E">
        <w:rPr>
          <w:rFonts w:ascii="Bookman Old Style" w:hAnsi="Bookman Old Style" w:cs="Arial"/>
        </w:rPr>
        <w:t xml:space="preserve">ue, </w:t>
      </w:r>
      <w:r w:rsidR="00952B9A" w:rsidRPr="00A4283E">
        <w:rPr>
          <w:rFonts w:ascii="Bookman Old Style" w:hAnsi="Bookman Old Style" w:cs="Arial"/>
        </w:rPr>
        <w:t>a</w:t>
      </w:r>
      <w:r w:rsidR="00953BAB" w:rsidRPr="00A4283E">
        <w:rPr>
          <w:rFonts w:ascii="Bookman Old Style" w:hAnsi="Bookman Old Style" w:cs="Arial"/>
        </w:rPr>
        <w:t xml:space="preserve">l ser la solicitud del año </w:t>
      </w:r>
      <w:r w:rsidR="00585642" w:rsidRPr="00A4283E">
        <w:rPr>
          <w:rFonts w:ascii="Bookman Old Style" w:hAnsi="Bookman Old Style" w:cs="Arial"/>
        </w:rPr>
        <w:t>1998</w:t>
      </w:r>
      <w:r w:rsidRPr="00A4283E">
        <w:rPr>
          <w:rFonts w:ascii="Bookman Old Style" w:hAnsi="Bookman Old Style" w:cs="Arial"/>
        </w:rPr>
        <w:t>, es factible pr</w:t>
      </w:r>
      <w:r w:rsidR="006D0204" w:rsidRPr="00A4283E">
        <w:rPr>
          <w:rFonts w:ascii="Bookman Old Style" w:hAnsi="Bookman Old Style" w:cs="Arial"/>
        </w:rPr>
        <w:t>egonar sin vacilación que a la</w:t>
      </w:r>
      <w:r w:rsidR="00952B9A" w:rsidRPr="00A4283E">
        <w:rPr>
          <w:rFonts w:ascii="Bookman Old Style" w:hAnsi="Bookman Old Style" w:cs="Arial"/>
        </w:rPr>
        <w:t xml:space="preserve"> </w:t>
      </w:r>
      <w:r w:rsidRPr="00A4283E">
        <w:rPr>
          <w:rFonts w:ascii="Bookman Old Style" w:hAnsi="Bookman Old Style" w:cs="Arial"/>
        </w:rPr>
        <w:t>AFP demandada, le correspondía cumplir con el deber de información que deviene de las disposiciones constitucionales, de la Ley 100 de 1993, artículos 13, literal b), 271 y 272 y del Decreto 663 de 1993, artículo 97, según los cuales, como mínimo, debió ilustrarse a</w:t>
      </w:r>
      <w:r w:rsidR="00821E0C" w:rsidRPr="00A4283E">
        <w:rPr>
          <w:rFonts w:ascii="Bookman Old Style" w:hAnsi="Bookman Old Style" w:cs="Arial"/>
        </w:rPr>
        <w:t xml:space="preserve"> la</w:t>
      </w:r>
      <w:r w:rsidRPr="00A4283E">
        <w:rPr>
          <w:rFonts w:ascii="Bookman Old Style" w:hAnsi="Bookman Old Style" w:cs="Arial"/>
        </w:rPr>
        <w:t xml:space="preserve"> potencial afiliad</w:t>
      </w:r>
      <w:r w:rsidR="00821E0C" w:rsidRPr="00A4283E">
        <w:rPr>
          <w:rFonts w:ascii="Bookman Old Style" w:hAnsi="Bookman Old Style" w:cs="Arial"/>
        </w:rPr>
        <w:t>a</w:t>
      </w:r>
      <w:r w:rsidRPr="00A4283E">
        <w:rPr>
          <w:rFonts w:ascii="Bookman Old Style" w:hAnsi="Bookman Old Style" w:cs="Arial"/>
        </w:rPr>
        <w:t xml:space="preserve"> sobre las características, condiciones de acceso, efectos y riesgos de cada uno de los regímenes pensionales.</w:t>
      </w:r>
    </w:p>
    <w:p w14:paraId="31FAE1DA" w14:textId="77777777" w:rsidR="003073FB" w:rsidRPr="00A4283E" w:rsidRDefault="003073FB" w:rsidP="00A4283E">
      <w:pPr>
        <w:spacing w:line="276" w:lineRule="auto"/>
        <w:ind w:firstLine="0"/>
        <w:rPr>
          <w:rFonts w:ascii="Bookman Old Style" w:hAnsi="Bookman Old Style" w:cs="Arial"/>
        </w:rPr>
      </w:pPr>
    </w:p>
    <w:p w14:paraId="00B73C1F" w14:textId="77777777" w:rsidR="003073FB" w:rsidRPr="00A4283E" w:rsidRDefault="003073FB" w:rsidP="00A4283E">
      <w:pPr>
        <w:spacing w:line="276" w:lineRule="auto"/>
        <w:ind w:firstLine="0"/>
        <w:rPr>
          <w:rFonts w:ascii="Bookman Old Style" w:hAnsi="Bookman Old Style" w:cs="Arial"/>
          <w:b/>
          <w:bCs/>
          <w:u w:val="single"/>
        </w:rPr>
      </w:pPr>
      <w:r w:rsidRPr="00A4283E">
        <w:rPr>
          <w:rFonts w:ascii="Bookman Old Style" w:hAnsi="Bookman Old Style" w:cs="Arial"/>
          <w:u w:val="single"/>
        </w:rPr>
        <w:t>¿</w:t>
      </w:r>
      <w:r w:rsidRPr="00A4283E">
        <w:rPr>
          <w:rFonts w:ascii="Bookman Old Style" w:hAnsi="Bookman Old Style" w:cs="Arial"/>
          <w:b/>
          <w:bCs/>
          <w:u w:val="single"/>
        </w:rPr>
        <w:t>El actuar de la parte actora ratifican la voluntad de permanecer en el RAIS? ¿Era la ineficacia la acción a emprender?</w:t>
      </w:r>
    </w:p>
    <w:p w14:paraId="108A0F29" w14:textId="77777777" w:rsidR="003073FB" w:rsidRPr="00A4283E" w:rsidRDefault="003073FB" w:rsidP="00A4283E">
      <w:pPr>
        <w:spacing w:line="276" w:lineRule="auto"/>
        <w:ind w:firstLine="0"/>
        <w:rPr>
          <w:rFonts w:ascii="Bookman Old Style" w:hAnsi="Bookman Old Style" w:cs="Arial"/>
          <w:highlight w:val="yellow"/>
        </w:rPr>
      </w:pPr>
    </w:p>
    <w:p w14:paraId="1B745D95" w14:textId="70ADBE68" w:rsidR="003073FB" w:rsidRPr="00A4283E" w:rsidRDefault="003073FB" w:rsidP="00A4283E">
      <w:pPr>
        <w:spacing w:line="276" w:lineRule="auto"/>
        <w:ind w:firstLine="0"/>
        <w:rPr>
          <w:rFonts w:ascii="Bookman Old Style" w:hAnsi="Bookman Old Style" w:cs="Arial"/>
        </w:rPr>
      </w:pPr>
      <w:r w:rsidRPr="00A4283E">
        <w:rPr>
          <w:rFonts w:ascii="Bookman Old Style" w:hAnsi="Bookman Old Style" w:cs="Arial"/>
        </w:rPr>
        <w:t xml:space="preserve">Frente al tema, no se puede pretender que se tenga como </w:t>
      </w:r>
      <w:r w:rsidR="00ED6949" w:rsidRPr="00A4283E">
        <w:rPr>
          <w:rFonts w:ascii="Bookman Old Style" w:hAnsi="Bookman Old Style" w:cs="Arial"/>
        </w:rPr>
        <w:t>ratificación</w:t>
      </w:r>
      <w:r w:rsidR="00952B9A" w:rsidRPr="00A4283E">
        <w:rPr>
          <w:rFonts w:ascii="Bookman Old Style" w:hAnsi="Bookman Old Style" w:cs="Arial"/>
        </w:rPr>
        <w:t xml:space="preserve"> </w:t>
      </w:r>
      <w:r w:rsidR="00ED6949" w:rsidRPr="00A4283E">
        <w:rPr>
          <w:rFonts w:ascii="Bookman Old Style" w:hAnsi="Bookman Old Style" w:cs="Arial"/>
        </w:rPr>
        <w:t xml:space="preserve">el tiempo en que </w:t>
      </w:r>
      <w:r w:rsidR="003B61B8" w:rsidRPr="00A4283E">
        <w:rPr>
          <w:rFonts w:ascii="Bookman Old Style" w:hAnsi="Bookman Old Style" w:cs="Arial"/>
        </w:rPr>
        <w:t xml:space="preserve">la </w:t>
      </w:r>
      <w:r w:rsidRPr="00A4283E">
        <w:rPr>
          <w:rFonts w:ascii="Bookman Old Style" w:hAnsi="Bookman Old Style" w:cs="Arial"/>
        </w:rPr>
        <w:t>demandante permaneció en el RAIS, el hecho que no se hubiese retractado de su decisión o que no hubiese manifestado la intención de regresar al régimen de prima media, antes de encontrarse inmers</w:t>
      </w:r>
      <w:r w:rsidR="003B61B8" w:rsidRPr="00A4283E">
        <w:rPr>
          <w:rFonts w:ascii="Bookman Old Style" w:hAnsi="Bookman Old Style" w:cs="Arial"/>
        </w:rPr>
        <w:t>a</w:t>
      </w:r>
      <w:r w:rsidRPr="00A4283E">
        <w:rPr>
          <w:rFonts w:ascii="Bookman Old Style" w:hAnsi="Bookman Old Style" w:cs="Arial"/>
        </w:rPr>
        <w:t xml:space="preserve"> en la prohibición de cambiarse de régimen, es decir</w:t>
      </w:r>
      <w:r w:rsidR="003B61B8" w:rsidRPr="00A4283E">
        <w:rPr>
          <w:rFonts w:ascii="Bookman Old Style" w:hAnsi="Bookman Old Style" w:cs="Arial"/>
        </w:rPr>
        <w:t>,</w:t>
      </w:r>
      <w:r w:rsidRPr="00A4283E">
        <w:rPr>
          <w:rFonts w:ascii="Bookman Old Style" w:hAnsi="Bookman Old Style" w:cs="Arial"/>
        </w:rPr>
        <w:t xml:space="preserve"> cuando faltaren menos de 10 años para acceder a la edad pensional, pues lo que se evidencia aquí es la falta de acompañamiento, y aún, ante el supuesto que esta tuviera presente dicha disposición, debe tenerse en cuenta que la falta de asesoramiento de la que fue objeto, no le permitía distinguir cual régimen era el que más le </w:t>
      </w:r>
      <w:r w:rsidR="00234859" w:rsidRPr="00A4283E">
        <w:rPr>
          <w:rFonts w:ascii="Bookman Old Style" w:hAnsi="Bookman Old Style" w:cs="Arial"/>
        </w:rPr>
        <w:t>convenía, pues nunca presentó una solicitud de afiliación</w:t>
      </w:r>
      <w:r w:rsidR="00044B73" w:rsidRPr="00A4283E">
        <w:rPr>
          <w:rFonts w:ascii="Bookman Old Style" w:hAnsi="Bookman Old Style" w:cs="Arial"/>
        </w:rPr>
        <w:t>.</w:t>
      </w:r>
      <w:r w:rsidR="00234859" w:rsidRPr="00A4283E">
        <w:rPr>
          <w:rFonts w:ascii="Bookman Old Style" w:hAnsi="Bookman Old Style" w:cs="Arial"/>
        </w:rPr>
        <w:t xml:space="preserve"> </w:t>
      </w:r>
    </w:p>
    <w:p w14:paraId="5A36D942" w14:textId="77777777" w:rsidR="003073FB" w:rsidRPr="00A4283E" w:rsidRDefault="003073FB" w:rsidP="00A4283E">
      <w:pPr>
        <w:spacing w:line="276" w:lineRule="auto"/>
        <w:ind w:firstLine="0"/>
        <w:rPr>
          <w:rFonts w:ascii="Bookman Old Style" w:hAnsi="Bookman Old Style" w:cs="Arial"/>
          <w:highlight w:val="yellow"/>
        </w:rPr>
      </w:pPr>
    </w:p>
    <w:p w14:paraId="05399D0C" w14:textId="72CCA52C" w:rsidR="003073FB" w:rsidRPr="00A4283E" w:rsidRDefault="003073FB" w:rsidP="00A4283E">
      <w:pPr>
        <w:spacing w:line="276" w:lineRule="auto"/>
        <w:ind w:firstLine="0"/>
        <w:rPr>
          <w:rFonts w:ascii="Bookman Old Style" w:hAnsi="Bookman Old Style" w:cs="Arial"/>
        </w:rPr>
      </w:pPr>
      <w:r w:rsidRPr="00A4283E">
        <w:rPr>
          <w:rFonts w:ascii="Bookman Old Style" w:hAnsi="Bookman Old Style" w:cs="Arial"/>
        </w:rPr>
        <w:t>Aquí, se ha de precisar que la permanencia de</w:t>
      </w:r>
      <w:r w:rsidR="003B61B8" w:rsidRPr="00A4283E">
        <w:rPr>
          <w:rFonts w:ascii="Bookman Old Style" w:hAnsi="Bookman Old Style" w:cs="Arial"/>
        </w:rPr>
        <w:t xml:space="preserve"> la </w:t>
      </w:r>
      <w:r w:rsidRPr="00A4283E">
        <w:rPr>
          <w:rFonts w:ascii="Bookman Old Style" w:hAnsi="Bookman Old Style" w:cs="Arial"/>
        </w:rPr>
        <w:t>afiliad</w:t>
      </w:r>
      <w:r w:rsidR="003B61B8" w:rsidRPr="00A4283E">
        <w:rPr>
          <w:rFonts w:ascii="Bookman Old Style" w:hAnsi="Bookman Old Style" w:cs="Arial"/>
        </w:rPr>
        <w:t>a</w:t>
      </w:r>
      <w:r w:rsidRPr="00A4283E">
        <w:rPr>
          <w:rFonts w:ascii="Bookman Old Style" w:hAnsi="Bookman Old Style" w:cs="Arial"/>
        </w:rPr>
        <w:t xml:space="preserve"> por varios años, no son aspectos que derruyan las </w:t>
      </w:r>
      <w:r w:rsidR="00705E27" w:rsidRPr="00A4283E">
        <w:rPr>
          <w:rFonts w:ascii="Bookman Old Style" w:hAnsi="Bookman Old Style" w:cs="Arial"/>
        </w:rPr>
        <w:t xml:space="preserve">conclusiones a las que arribó </w:t>
      </w:r>
      <w:r w:rsidR="00BB60BF" w:rsidRPr="00A4283E">
        <w:rPr>
          <w:rFonts w:ascii="Bookman Old Style" w:hAnsi="Bookman Old Style" w:cs="Arial"/>
        </w:rPr>
        <w:t>la</w:t>
      </w:r>
      <w:r w:rsidRPr="00A4283E">
        <w:rPr>
          <w:rFonts w:ascii="Bookman Old Style" w:hAnsi="Bookman Old Style" w:cs="Arial"/>
        </w:rPr>
        <w:t xml:space="preserve"> </w:t>
      </w:r>
      <w:r w:rsidR="00705E27" w:rsidRPr="00A4283E">
        <w:rPr>
          <w:rFonts w:ascii="Bookman Old Style" w:hAnsi="Bookman Old Style" w:cs="Arial"/>
          <w:i/>
        </w:rPr>
        <w:t>a quo</w:t>
      </w:r>
      <w:r w:rsidRPr="00A4283E">
        <w:rPr>
          <w:rFonts w:ascii="Bookman Old Style" w:hAnsi="Bookman Old Style" w:cs="Arial"/>
        </w:rPr>
        <w:t>, pues al tratarse de circunstancias ulteriores, no tienen incidencia alguna en los efectos asociados a la forma en que se ejecutó la afiliación primigenia con la cual se materializó el cambio de régimen pensional cuya ineficacia se debate en este proceso.</w:t>
      </w:r>
    </w:p>
    <w:p w14:paraId="0E4A8BE9" w14:textId="77777777" w:rsidR="003073FB" w:rsidRPr="00A4283E" w:rsidRDefault="003073FB" w:rsidP="00A4283E">
      <w:pPr>
        <w:spacing w:line="276" w:lineRule="auto"/>
        <w:ind w:firstLine="0"/>
        <w:rPr>
          <w:rFonts w:ascii="Bookman Old Style" w:hAnsi="Bookman Old Style" w:cs="Arial"/>
        </w:rPr>
      </w:pPr>
    </w:p>
    <w:p w14:paraId="5CE6261C" w14:textId="21CE948A" w:rsidR="003073FB" w:rsidRPr="00A4283E" w:rsidRDefault="00CC0BF9" w:rsidP="00A4283E">
      <w:pPr>
        <w:spacing w:line="276" w:lineRule="auto"/>
        <w:ind w:firstLine="0"/>
        <w:rPr>
          <w:rFonts w:ascii="Bookman Old Style" w:hAnsi="Bookman Old Style" w:cs="Arial"/>
        </w:rPr>
      </w:pPr>
      <w:r w:rsidRPr="00A4283E">
        <w:rPr>
          <w:rFonts w:ascii="Bookman Old Style" w:hAnsi="Bookman Old Style" w:cs="Arial"/>
        </w:rPr>
        <w:t>Tampoco podría afirmarse</w:t>
      </w:r>
      <w:r w:rsidR="00D234AB" w:rsidRPr="00A4283E">
        <w:rPr>
          <w:rFonts w:ascii="Bookman Old Style" w:hAnsi="Bookman Old Style" w:cs="Arial"/>
        </w:rPr>
        <w:t xml:space="preserve"> </w:t>
      </w:r>
      <w:r w:rsidR="00705E27" w:rsidRPr="00A4283E">
        <w:rPr>
          <w:rFonts w:ascii="Bookman Old Style" w:hAnsi="Bookman Old Style" w:cs="Arial"/>
        </w:rPr>
        <w:t xml:space="preserve">que </w:t>
      </w:r>
      <w:r w:rsidR="003B61B8" w:rsidRPr="00A4283E">
        <w:rPr>
          <w:rFonts w:ascii="Bookman Old Style" w:hAnsi="Bookman Old Style" w:cs="Arial"/>
        </w:rPr>
        <w:t>la</w:t>
      </w:r>
      <w:r w:rsidR="00A57DF7" w:rsidRPr="00A4283E">
        <w:rPr>
          <w:rFonts w:ascii="Bookman Old Style" w:hAnsi="Bookman Old Style" w:cs="Arial"/>
        </w:rPr>
        <w:t xml:space="preserve"> </w:t>
      </w:r>
      <w:r w:rsidR="003073FB" w:rsidRPr="00A4283E">
        <w:rPr>
          <w:rFonts w:ascii="Bookman Old Style" w:hAnsi="Bookman Old Style" w:cs="Arial"/>
        </w:rPr>
        <w:t>actor</w:t>
      </w:r>
      <w:r w:rsidR="003B61B8" w:rsidRPr="00A4283E">
        <w:rPr>
          <w:rFonts w:ascii="Bookman Old Style" w:hAnsi="Bookman Old Style" w:cs="Arial"/>
        </w:rPr>
        <w:t>a</w:t>
      </w:r>
      <w:r w:rsidR="003073FB" w:rsidRPr="00A4283E">
        <w:rPr>
          <w:rFonts w:ascii="Bookman Old Style" w:hAnsi="Bookman Old Style" w:cs="Arial"/>
        </w:rPr>
        <w:t xml:space="preserve"> hizo </w:t>
      </w:r>
      <w:r w:rsidR="003073FB" w:rsidRPr="00A4283E">
        <w:rPr>
          <w:rFonts w:ascii="Bookman Old Style" w:hAnsi="Bookman Old Style" w:cs="Arial"/>
          <w:b/>
          <w:i/>
          <w:iCs/>
        </w:rPr>
        <w:t>actos de relacionamiento que convalidaron su voluntad de pertenecer al RAIS</w:t>
      </w:r>
      <w:r w:rsidR="00D234AB" w:rsidRPr="00A4283E">
        <w:rPr>
          <w:rFonts w:ascii="Bookman Old Style" w:hAnsi="Bookman Old Style" w:cs="Arial"/>
          <w:b/>
        </w:rPr>
        <w:t xml:space="preserve"> </w:t>
      </w:r>
      <w:r w:rsidR="00952B9A" w:rsidRPr="00A4283E">
        <w:rPr>
          <w:rFonts w:ascii="Bookman Old Style" w:hAnsi="Bookman Old Style" w:cs="Arial"/>
        </w:rPr>
        <w:t xml:space="preserve">por </w:t>
      </w:r>
      <w:r w:rsidR="00D234AB" w:rsidRPr="00A4283E">
        <w:rPr>
          <w:rFonts w:ascii="Bookman Old Style" w:hAnsi="Bookman Old Style" w:cs="Arial"/>
        </w:rPr>
        <w:t>permanecer por más de 20</w:t>
      </w:r>
      <w:r w:rsidRPr="00A4283E">
        <w:rPr>
          <w:rFonts w:ascii="Bookman Old Style" w:hAnsi="Bookman Old Style" w:cs="Arial"/>
        </w:rPr>
        <w:t xml:space="preserve"> años en </w:t>
      </w:r>
      <w:r w:rsidR="00D234AB" w:rsidRPr="00A4283E">
        <w:rPr>
          <w:rFonts w:ascii="Bookman Old Style" w:hAnsi="Bookman Old Style" w:cs="Arial"/>
        </w:rPr>
        <w:t>dicha</w:t>
      </w:r>
      <w:r w:rsidR="003F5949" w:rsidRPr="00A4283E">
        <w:rPr>
          <w:rFonts w:ascii="Bookman Old Style" w:hAnsi="Bookman Old Style" w:cs="Arial"/>
        </w:rPr>
        <w:t xml:space="preserve"> </w:t>
      </w:r>
      <w:r w:rsidR="00D234AB" w:rsidRPr="00A4283E">
        <w:rPr>
          <w:rFonts w:ascii="Bookman Old Style" w:hAnsi="Bookman Old Style" w:cs="Arial"/>
        </w:rPr>
        <w:t xml:space="preserve">AFP. A </w:t>
      </w:r>
      <w:r w:rsidR="003073FB" w:rsidRPr="00A4283E">
        <w:rPr>
          <w:rFonts w:ascii="Bookman Old Style" w:hAnsi="Bookman Old Style" w:cs="Arial"/>
        </w:rPr>
        <w:t>propósito de ello, es del caso traer a colación la sentencia SL1055-2022 (2-03-2022)</w:t>
      </w:r>
      <w:r w:rsidR="003073FB" w:rsidRPr="00A4283E">
        <w:rPr>
          <w:rFonts w:ascii="Bookman Old Style" w:hAnsi="Bookman Old Style" w:cs="Arial"/>
          <w:vertAlign w:val="superscript"/>
        </w:rPr>
        <w:footnoteReference w:id="1"/>
      </w:r>
      <w:r w:rsidR="003073FB" w:rsidRPr="00A4283E">
        <w:rPr>
          <w:rFonts w:ascii="Bookman Old Style" w:hAnsi="Bookman Old Style" w:cs="Arial"/>
        </w:rPr>
        <w:t>, que en lo pertinente recalcó:</w:t>
      </w:r>
    </w:p>
    <w:p w14:paraId="0450F06B" w14:textId="77777777" w:rsidR="003073FB" w:rsidRPr="00A4283E" w:rsidRDefault="003073FB" w:rsidP="00A4283E">
      <w:pPr>
        <w:spacing w:line="276" w:lineRule="auto"/>
        <w:ind w:firstLine="0"/>
        <w:rPr>
          <w:rFonts w:ascii="Bookman Old Style" w:hAnsi="Bookman Old Style" w:cs="Arial"/>
        </w:rPr>
      </w:pPr>
    </w:p>
    <w:p w14:paraId="3023F018" w14:textId="77777777" w:rsidR="003073FB" w:rsidRPr="00323707" w:rsidRDefault="003073FB" w:rsidP="00323707">
      <w:pPr>
        <w:spacing w:line="240" w:lineRule="auto"/>
        <w:ind w:left="426" w:right="418" w:firstLine="0"/>
        <w:rPr>
          <w:rFonts w:ascii="Bookman Old Style" w:hAnsi="Bookman Old Style" w:cs="Arial"/>
          <w:i/>
          <w:iCs/>
          <w:sz w:val="22"/>
        </w:rPr>
      </w:pPr>
      <w:r w:rsidRPr="00323707">
        <w:rPr>
          <w:rFonts w:ascii="Bookman Old Style" w:hAnsi="Bookman Old Style" w:cs="Arial"/>
          <w:i/>
          <w:iCs/>
          <w:sz w:val="22"/>
        </w:rPr>
        <w:t xml:space="preserve">“… si bien en el presente asunto uno de los argumentos del accionante fue el relativo a demostrar que su pensión en prima media sería más favorable que en el RAIS, esto de ningún modo debe permitir desviar la atención a lo </w:t>
      </w:r>
      <w:r w:rsidRPr="00323707">
        <w:rPr>
          <w:rFonts w:ascii="Bookman Old Style" w:hAnsi="Bookman Old Style" w:cs="Arial"/>
          <w:i/>
          <w:iCs/>
          <w:sz w:val="22"/>
        </w:rPr>
        <w:lastRenderedPageBreak/>
        <w:t>importante, esto es, verificar si al momento del traslado efectivo el afiliado accedió a una información clara y precisa sobre las ventajas, desventajas y riesgos de cada régimen en los términos explicados. Y tampoco difumina lo anterior el hecho de que la persona no haya retornado a prima media en los términos de ley, pues se reitera, lo que concierne a estos asuntos es constatar el obedecimiento de dicho deber legal de información, independientemente de que la persona tenga o no aquella posibilidad legal de retorno.</w:t>
      </w:r>
    </w:p>
    <w:p w14:paraId="6DBE9D89" w14:textId="77777777" w:rsidR="003073FB" w:rsidRPr="00323707" w:rsidRDefault="003073FB" w:rsidP="00323707">
      <w:pPr>
        <w:spacing w:line="240" w:lineRule="auto"/>
        <w:ind w:left="426" w:right="418" w:firstLine="0"/>
        <w:rPr>
          <w:rFonts w:ascii="Bookman Old Style" w:hAnsi="Bookman Old Style" w:cs="Arial"/>
          <w:i/>
          <w:iCs/>
          <w:sz w:val="22"/>
        </w:rPr>
      </w:pPr>
    </w:p>
    <w:p w14:paraId="44AE8249" w14:textId="77777777" w:rsidR="003073FB" w:rsidRPr="00323707" w:rsidRDefault="003073FB" w:rsidP="00323707">
      <w:pPr>
        <w:spacing w:line="240" w:lineRule="auto"/>
        <w:ind w:left="426" w:right="418" w:firstLine="0"/>
        <w:rPr>
          <w:rFonts w:ascii="Bookman Old Style" w:hAnsi="Bookman Old Style" w:cs="Arial"/>
          <w:i/>
          <w:iCs/>
          <w:sz w:val="22"/>
        </w:rPr>
      </w:pPr>
      <w:r w:rsidRPr="00323707">
        <w:rPr>
          <w:rFonts w:ascii="Bookman Old Style" w:hAnsi="Bookman Old Style" w:cs="Arial"/>
          <w:i/>
          <w:iCs/>
          <w:sz w:val="22"/>
        </w:rPr>
        <w:t>Precisamente en este punto la Corte advierte que la opositora Old Mutual S.A. sugiere que la afiliación entre regímenes privados es un acto de relacionamiento que implica su voluntad de permanecer al RAIS. Si bien el Tribunal no acudió expresamente a este argumento, lo cierto es que destacó que el afiliado tuvo la oportunidad de trasladarse en el periodo de gracia que estableció la Ley 797 de 2003 para retornar a Colpensiones y no lo hizo, lo que a su juicio ratificaba su voluntad de continuar en el RAIS.</w:t>
      </w:r>
    </w:p>
    <w:p w14:paraId="75C90B8C" w14:textId="77777777" w:rsidR="003073FB" w:rsidRPr="00323707" w:rsidRDefault="003073FB" w:rsidP="00323707">
      <w:pPr>
        <w:spacing w:line="240" w:lineRule="auto"/>
        <w:ind w:left="426" w:right="418" w:firstLine="0"/>
        <w:rPr>
          <w:rFonts w:ascii="Bookman Old Style" w:hAnsi="Bookman Old Style" w:cs="Arial"/>
          <w:i/>
          <w:iCs/>
          <w:sz w:val="22"/>
        </w:rPr>
      </w:pPr>
    </w:p>
    <w:p w14:paraId="3CCD02AE" w14:textId="77777777" w:rsidR="003073FB" w:rsidRPr="00323707" w:rsidRDefault="003073FB" w:rsidP="00323707">
      <w:pPr>
        <w:spacing w:line="240" w:lineRule="auto"/>
        <w:ind w:left="426" w:right="418" w:firstLine="0"/>
        <w:rPr>
          <w:rFonts w:ascii="Bookman Old Style" w:hAnsi="Bookman Old Style" w:cs="Arial"/>
          <w:i/>
          <w:iCs/>
          <w:sz w:val="22"/>
        </w:rPr>
      </w:pPr>
      <w:r w:rsidRPr="00323707">
        <w:rPr>
          <w:rFonts w:ascii="Bookman Old Style" w:hAnsi="Bookman Old Style" w:cs="Arial"/>
          <w:i/>
          <w:iCs/>
          <w:sz w:val="22"/>
        </w:rPr>
        <w:t>Pues bien, como se explicó en las sentencias CSJ SL5686-2021 y SL5688-2021, los argumentos de esta índole son inadmisibles pues desatienden que el eje central de estas discusiones está en determinar si al momento del traslado de prima media al RAIS la persona contó con información suficiente para tomar esa decisión. En este sentido, los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w:t>
      </w:r>
    </w:p>
    <w:p w14:paraId="1FEC9AC4" w14:textId="77777777" w:rsidR="003073FB" w:rsidRPr="00323707" w:rsidRDefault="003073FB" w:rsidP="00323707">
      <w:pPr>
        <w:spacing w:line="240" w:lineRule="auto"/>
        <w:ind w:left="426" w:right="418" w:firstLine="0"/>
        <w:rPr>
          <w:rFonts w:ascii="Bookman Old Style" w:hAnsi="Bookman Old Style" w:cs="Arial"/>
          <w:i/>
          <w:iCs/>
          <w:sz w:val="22"/>
        </w:rPr>
      </w:pPr>
    </w:p>
    <w:p w14:paraId="52FA049A" w14:textId="77777777" w:rsidR="003073FB" w:rsidRPr="00323707" w:rsidRDefault="003073FB" w:rsidP="00323707">
      <w:pPr>
        <w:spacing w:line="240" w:lineRule="auto"/>
        <w:ind w:left="426" w:right="418" w:firstLine="0"/>
        <w:rPr>
          <w:rFonts w:ascii="Bookman Old Style" w:hAnsi="Bookman Old Style" w:cs="Arial"/>
          <w:i/>
          <w:iCs/>
          <w:sz w:val="22"/>
        </w:rPr>
      </w:pPr>
      <w:r w:rsidRPr="00323707">
        <w:rPr>
          <w:rFonts w:ascii="Bookman Old Style" w:hAnsi="Bookman Old Style" w:cs="Arial"/>
          <w:i/>
          <w:iCs/>
          <w:sz w:val="22"/>
        </w:rPr>
        <w:t xml:space="preserve">De modo que no es dable siquiera sugerir que los posteriores traslados entre administradoras pueden configurar un acto de relacionamiento capaz de ratificar la voluntad de permanencia en ellas, como se infiere de las decisiones de la Sala de Descongestión de esta Corte CSJ SL249-2022 y SL259-2022. Nótese que, conforme la perspectiva explicada, esa voluntad de permanencia en el RAIS es inane dado que no desvirtúa el incumplimiento del deber de información y además ubica la discusión en actuaciones que estarían respaldadas en un acto jurídico ineficaz, esto es, el del traslado inicial. </w:t>
      </w:r>
    </w:p>
    <w:p w14:paraId="5C8F7903" w14:textId="77777777" w:rsidR="003073FB" w:rsidRPr="00323707" w:rsidRDefault="003073FB" w:rsidP="00323707">
      <w:pPr>
        <w:spacing w:line="240" w:lineRule="auto"/>
        <w:ind w:left="426" w:right="418" w:firstLine="0"/>
        <w:rPr>
          <w:rFonts w:ascii="Bookman Old Style" w:hAnsi="Bookman Old Style" w:cs="Arial"/>
          <w:i/>
          <w:iCs/>
          <w:sz w:val="22"/>
        </w:rPr>
      </w:pPr>
    </w:p>
    <w:p w14:paraId="0722459B" w14:textId="77777777" w:rsidR="003073FB" w:rsidRPr="00323707" w:rsidRDefault="003073FB" w:rsidP="00323707">
      <w:pPr>
        <w:spacing w:line="240" w:lineRule="auto"/>
        <w:ind w:left="426" w:right="418" w:firstLine="0"/>
        <w:rPr>
          <w:rFonts w:ascii="Bookman Old Style" w:hAnsi="Bookman Old Style" w:cs="Arial"/>
          <w:i/>
          <w:iCs/>
          <w:sz w:val="22"/>
        </w:rPr>
      </w:pPr>
      <w:r w:rsidRPr="00323707">
        <w:rPr>
          <w:rFonts w:ascii="Bookman Old Style" w:hAnsi="Bookman Old Style" w:cs="Arial"/>
          <w:i/>
          <w:iCs/>
          <w:sz w:val="22"/>
        </w:rPr>
        <w:t xml:space="preserve">Justamente lo anterior explica que la acción para demandar estos asuntos no sea la de nulidad -como también lo sugieren de forma equivocada aquellas providencias- sino la de ineficacia, en la cual, se reitera, lo relevante es determinar, sin más agregados, si la persona al momento de suscribir el acto de traslado de régimen pensional ha sido debidamente informada sobre las ventajas, desventajas y consecuencias de su traslado y permanencia en el RAIS”. </w:t>
      </w:r>
    </w:p>
    <w:p w14:paraId="48D4F2CC" w14:textId="77777777" w:rsidR="003073FB" w:rsidRPr="00A4283E" w:rsidRDefault="003073FB" w:rsidP="00A4283E">
      <w:pPr>
        <w:spacing w:line="276" w:lineRule="auto"/>
        <w:ind w:firstLine="0"/>
        <w:rPr>
          <w:rFonts w:ascii="Bookman Old Style" w:hAnsi="Bookman Old Style" w:cs="Arial"/>
          <w:highlight w:val="yellow"/>
        </w:rPr>
      </w:pPr>
    </w:p>
    <w:p w14:paraId="2C734B63" w14:textId="66BE7252" w:rsidR="003073FB" w:rsidRPr="00A4283E" w:rsidRDefault="00927BA0" w:rsidP="00A4283E">
      <w:pPr>
        <w:spacing w:line="276" w:lineRule="auto"/>
        <w:ind w:firstLine="0"/>
        <w:rPr>
          <w:rFonts w:ascii="Bookman Old Style" w:hAnsi="Bookman Old Style" w:cs="Arial"/>
        </w:rPr>
      </w:pPr>
      <w:r w:rsidRPr="00A4283E">
        <w:rPr>
          <w:rFonts w:ascii="Bookman Old Style" w:hAnsi="Bookman Old Style" w:cs="Arial"/>
        </w:rPr>
        <w:t>Además, e</w:t>
      </w:r>
      <w:r w:rsidR="003073FB" w:rsidRPr="00A4283E">
        <w:rPr>
          <w:rFonts w:ascii="Bookman Old Style" w:hAnsi="Bookman Old Style" w:cs="Arial"/>
        </w:rPr>
        <w:t>s de recalcar, que la Sala de Casación Laboral ha indicado que la sanción impuesta por el ordenamiento jurídico a la afiliación desinformada es la ineficacia o exclusión de todo efecto al traslado. Por ello, el examen del acto</w:t>
      </w:r>
      <w:r w:rsidR="00912AF7" w:rsidRPr="00A4283E">
        <w:rPr>
          <w:rFonts w:ascii="Bookman Old Style" w:hAnsi="Bookman Old Style" w:cs="Arial"/>
        </w:rPr>
        <w:t xml:space="preserve"> de cambio de régimen pensional,</w:t>
      </w:r>
      <w:r w:rsidR="003073FB" w:rsidRPr="00A4283E">
        <w:rPr>
          <w:rFonts w:ascii="Bookman Old Style" w:hAnsi="Bookman Old Style" w:cs="Arial"/>
        </w:rPr>
        <w:t xml:space="preserve"> por transgresión del deber de información, debe abordarse desde la institución de la ineficacia</w:t>
      </w:r>
      <w:r w:rsidR="003073FB" w:rsidRPr="00A4283E">
        <w:rPr>
          <w:rFonts w:ascii="Bookman Old Style" w:hAnsi="Bookman Old Style" w:cs="Arial"/>
          <w:vertAlign w:val="superscript"/>
        </w:rPr>
        <w:footnoteReference w:id="2"/>
      </w:r>
      <w:r w:rsidR="003073FB" w:rsidRPr="00A4283E">
        <w:rPr>
          <w:rFonts w:ascii="Bookman Old Style" w:hAnsi="Bookman Old Style" w:cs="Arial"/>
        </w:rPr>
        <w:t>. Sin embargo, dicho criterio es aplicable solo para el caso de afiliados, pues, en tratándose de pensionados, la alta Corporación ha definido en reciente sentencia (SL 373/2021), que la calidad de pensionad</w:t>
      </w:r>
      <w:r w:rsidR="00FD1875" w:rsidRPr="00A4283E">
        <w:rPr>
          <w:rFonts w:ascii="Bookman Old Style" w:hAnsi="Bookman Old Style" w:cs="Arial"/>
        </w:rPr>
        <w:t>a</w:t>
      </w:r>
      <w:r w:rsidR="003073FB" w:rsidRPr="00A4283E">
        <w:rPr>
          <w:rFonts w:ascii="Bookman Old Style" w:hAnsi="Bookman Old Style" w:cs="Arial"/>
        </w:rPr>
        <w:t xml:space="preserve"> es una situación jurídica consolidada, un hecho consumado, un estatus</w:t>
      </w:r>
      <w:r w:rsidR="00705E27" w:rsidRPr="00A4283E">
        <w:rPr>
          <w:rFonts w:ascii="Bookman Old Style" w:hAnsi="Bookman Old Style" w:cs="Arial"/>
        </w:rPr>
        <w:t xml:space="preserve"> que no es razonable retrotraer</w:t>
      </w:r>
      <w:r w:rsidR="00CC0BF9" w:rsidRPr="00A4283E">
        <w:rPr>
          <w:rFonts w:ascii="Bookman Old Style" w:hAnsi="Bookman Old Style" w:cs="Arial"/>
        </w:rPr>
        <w:t xml:space="preserve">. </w:t>
      </w:r>
      <w:r w:rsidR="00CC0BF9" w:rsidRPr="00A4283E">
        <w:rPr>
          <w:rFonts w:ascii="Bookman Old Style" w:hAnsi="Bookman Old Style" w:cs="Arial"/>
        </w:rPr>
        <w:lastRenderedPageBreak/>
        <w:t>Dicha situación</w:t>
      </w:r>
      <w:r w:rsidR="003073FB" w:rsidRPr="00A4283E">
        <w:rPr>
          <w:rFonts w:ascii="Bookman Old Style" w:hAnsi="Bookman Old Style" w:cs="Arial"/>
        </w:rPr>
        <w:t xml:space="preserve"> aquí no ocurre</w:t>
      </w:r>
      <w:r w:rsidR="00CC0BF9" w:rsidRPr="00A4283E">
        <w:rPr>
          <w:rFonts w:ascii="Bookman Old Style" w:hAnsi="Bookman Old Style" w:cs="Arial"/>
        </w:rPr>
        <w:t xml:space="preserve">, por cuanto </w:t>
      </w:r>
      <w:r w:rsidR="003B61B8" w:rsidRPr="00A4283E">
        <w:rPr>
          <w:rFonts w:ascii="Bookman Old Style" w:hAnsi="Bookman Old Style" w:cs="Arial"/>
        </w:rPr>
        <w:t>la</w:t>
      </w:r>
      <w:r w:rsidR="003073FB" w:rsidRPr="00A4283E">
        <w:rPr>
          <w:rFonts w:ascii="Bookman Old Style" w:hAnsi="Bookman Old Style" w:cs="Arial"/>
        </w:rPr>
        <w:t xml:space="preserve"> demandante en la actualidad no </w:t>
      </w:r>
      <w:r w:rsidR="00CC0BF9" w:rsidRPr="00A4283E">
        <w:rPr>
          <w:rFonts w:ascii="Bookman Old Style" w:hAnsi="Bookman Old Style" w:cs="Arial"/>
        </w:rPr>
        <w:t>tiene la condición de pensionad</w:t>
      </w:r>
      <w:r w:rsidR="003B61B8" w:rsidRPr="00A4283E">
        <w:rPr>
          <w:rFonts w:ascii="Bookman Old Style" w:hAnsi="Bookman Old Style" w:cs="Arial"/>
        </w:rPr>
        <w:t>a</w:t>
      </w:r>
      <w:r w:rsidR="005D61AD" w:rsidRPr="00A4283E">
        <w:rPr>
          <w:rFonts w:ascii="Bookman Old Style" w:hAnsi="Bookman Old Style" w:cs="Arial"/>
        </w:rPr>
        <w:t>.</w:t>
      </w:r>
    </w:p>
    <w:p w14:paraId="5E1FCF2F" w14:textId="77777777" w:rsidR="003073FB" w:rsidRPr="00A4283E" w:rsidRDefault="003073FB" w:rsidP="00A4283E">
      <w:pPr>
        <w:spacing w:line="276" w:lineRule="auto"/>
        <w:ind w:firstLine="0"/>
        <w:rPr>
          <w:rFonts w:ascii="Bookman Old Style" w:hAnsi="Bookman Old Style" w:cs="Arial"/>
        </w:rPr>
      </w:pPr>
    </w:p>
    <w:p w14:paraId="2B5BA00F" w14:textId="47D5D8FF" w:rsidR="003073FB" w:rsidRPr="00A4283E" w:rsidRDefault="003073FB" w:rsidP="00A4283E">
      <w:pPr>
        <w:spacing w:line="276" w:lineRule="auto"/>
        <w:ind w:firstLine="0"/>
        <w:rPr>
          <w:rFonts w:ascii="Bookman Old Style" w:hAnsi="Bookman Old Style" w:cs="Arial"/>
        </w:rPr>
      </w:pPr>
      <w:r w:rsidRPr="00A4283E">
        <w:rPr>
          <w:rFonts w:ascii="Bookman Old Style" w:hAnsi="Bookman Old Style" w:cs="Arial"/>
        </w:rPr>
        <w:t xml:space="preserve">Conforme a lo expuesto, la ineficacia del traslado que fue decretada por </w:t>
      </w:r>
      <w:r w:rsidR="005D61AD" w:rsidRPr="00A4283E">
        <w:rPr>
          <w:rFonts w:ascii="Bookman Old Style" w:hAnsi="Bookman Old Style" w:cs="Arial"/>
        </w:rPr>
        <w:t>la</w:t>
      </w:r>
      <w:r w:rsidRPr="00A4283E">
        <w:rPr>
          <w:rFonts w:ascii="Bookman Old Style" w:hAnsi="Bookman Old Style" w:cs="Arial"/>
        </w:rPr>
        <w:t xml:space="preserve"> </w:t>
      </w:r>
      <w:r w:rsidRPr="00A4283E">
        <w:rPr>
          <w:rFonts w:ascii="Bookman Old Style" w:hAnsi="Bookman Old Style" w:cs="Arial"/>
          <w:i/>
        </w:rPr>
        <w:t>a-quo</w:t>
      </w:r>
      <w:r w:rsidRPr="00A4283E">
        <w:rPr>
          <w:rFonts w:ascii="Bookman Old Style" w:hAnsi="Bookman Old Style" w:cs="Arial"/>
        </w:rPr>
        <w:t xml:space="preserve"> se generó por</w:t>
      </w:r>
      <w:r w:rsidR="00234859" w:rsidRPr="00A4283E">
        <w:rPr>
          <w:rFonts w:ascii="Bookman Old Style" w:hAnsi="Bookman Old Style" w:cs="Arial"/>
        </w:rPr>
        <w:t xml:space="preserve"> </w:t>
      </w:r>
      <w:r w:rsidR="00912AF7" w:rsidRPr="00A4283E">
        <w:rPr>
          <w:rFonts w:ascii="Bookman Old Style" w:hAnsi="Bookman Old Style" w:cs="Arial"/>
        </w:rPr>
        <w:t xml:space="preserve">ineficacia </w:t>
      </w:r>
      <w:r w:rsidR="00234859" w:rsidRPr="00A4283E">
        <w:rPr>
          <w:rFonts w:ascii="Bookman Old Style" w:hAnsi="Bookman Old Style" w:cs="Arial"/>
        </w:rPr>
        <w:t>en el acto jurídico y</w:t>
      </w:r>
      <w:r w:rsidR="00CC0BF9" w:rsidRPr="00A4283E">
        <w:rPr>
          <w:rFonts w:ascii="Bookman Old Style" w:hAnsi="Bookman Old Style" w:cs="Arial"/>
        </w:rPr>
        <w:t xml:space="preserve"> falta de asesoría de</w:t>
      </w:r>
      <w:r w:rsidR="006D33E5" w:rsidRPr="00A4283E">
        <w:rPr>
          <w:rFonts w:ascii="Bookman Old Style" w:hAnsi="Bookman Old Style" w:cs="Arial"/>
        </w:rPr>
        <w:t xml:space="preserve"> la</w:t>
      </w:r>
      <w:r w:rsidR="00CC0BF9" w:rsidRPr="00A4283E">
        <w:rPr>
          <w:rFonts w:ascii="Bookman Old Style" w:hAnsi="Bookman Old Style" w:cs="Arial"/>
        </w:rPr>
        <w:t xml:space="preserve"> afiliad</w:t>
      </w:r>
      <w:r w:rsidR="006D33E5" w:rsidRPr="00A4283E">
        <w:rPr>
          <w:rFonts w:ascii="Bookman Old Style" w:hAnsi="Bookman Old Style" w:cs="Arial"/>
        </w:rPr>
        <w:t>a</w:t>
      </w:r>
      <w:r w:rsidRPr="00A4283E">
        <w:rPr>
          <w:rFonts w:ascii="Bookman Old Style" w:hAnsi="Bookman Old Style" w:cs="Arial"/>
        </w:rPr>
        <w:t xml:space="preserve"> al mo</w:t>
      </w:r>
      <w:r w:rsidR="00705E27" w:rsidRPr="00A4283E">
        <w:rPr>
          <w:rFonts w:ascii="Bookman Old Style" w:hAnsi="Bookman Old Style" w:cs="Arial"/>
        </w:rPr>
        <w:t>mento de realizar su traslado a</w:t>
      </w:r>
      <w:r w:rsidRPr="00A4283E">
        <w:rPr>
          <w:rFonts w:ascii="Bookman Old Style" w:hAnsi="Bookman Old Style" w:cs="Arial"/>
        </w:rPr>
        <w:t xml:space="preserve"> </w:t>
      </w:r>
      <w:r w:rsidR="00705E27" w:rsidRPr="00A4283E">
        <w:rPr>
          <w:rFonts w:ascii="Bookman Old Style" w:hAnsi="Bookman Old Style" w:cs="Arial"/>
        </w:rPr>
        <w:t>l</w:t>
      </w:r>
      <w:r w:rsidRPr="00A4283E">
        <w:rPr>
          <w:rFonts w:ascii="Bookman Old Style" w:hAnsi="Bookman Old Style" w:cs="Arial"/>
        </w:rPr>
        <w:t>a AFP</w:t>
      </w:r>
      <w:r w:rsidR="006B5472" w:rsidRPr="00A4283E">
        <w:rPr>
          <w:rFonts w:ascii="Bookman Old Style" w:hAnsi="Bookman Old Style" w:cs="Arial"/>
        </w:rPr>
        <w:t xml:space="preserve">, </w:t>
      </w:r>
      <w:r w:rsidRPr="00A4283E">
        <w:rPr>
          <w:rFonts w:ascii="Bookman Old Style" w:hAnsi="Bookman Old Style" w:cs="Arial"/>
        </w:rPr>
        <w:t>situación que permite su retorno al RPM</w:t>
      </w:r>
      <w:r w:rsidR="00705E27" w:rsidRPr="00A4283E">
        <w:rPr>
          <w:rFonts w:ascii="Bookman Old Style" w:hAnsi="Bookman Old Style" w:cs="Arial"/>
        </w:rPr>
        <w:t>,</w:t>
      </w:r>
      <w:r w:rsidRPr="00A4283E">
        <w:rPr>
          <w:rFonts w:ascii="Bookman Old Style" w:hAnsi="Bookman Old Style" w:cs="Arial"/>
        </w:rPr>
        <w:t xml:space="preserve"> independientemente que se encuentre a menos de 10 años de cumplir la edad pensional, pu</w:t>
      </w:r>
      <w:r w:rsidR="00022FE4" w:rsidRPr="00A4283E">
        <w:rPr>
          <w:rFonts w:ascii="Bookman Old Style" w:hAnsi="Bookman Old Style" w:cs="Arial"/>
        </w:rPr>
        <w:t xml:space="preserve">es ello no impide el retorno </w:t>
      </w:r>
      <w:r w:rsidRPr="00A4283E">
        <w:rPr>
          <w:rFonts w:ascii="Bookman Old Style" w:hAnsi="Bookman Old Style" w:cs="Arial"/>
        </w:rPr>
        <w:t>al RPMPD porque no se está frente a un nuevo traslado sino frente a una declaratoria de ineficacia del primigenio que retrotrae las cosas al estado original.</w:t>
      </w:r>
    </w:p>
    <w:p w14:paraId="75182129" w14:textId="77777777" w:rsidR="003073FB" w:rsidRPr="00A4283E" w:rsidRDefault="003073FB" w:rsidP="00A4283E">
      <w:pPr>
        <w:spacing w:line="276" w:lineRule="auto"/>
        <w:ind w:firstLine="0"/>
        <w:rPr>
          <w:rFonts w:ascii="Bookman Old Style" w:hAnsi="Bookman Old Style" w:cs="Arial"/>
        </w:rPr>
      </w:pPr>
    </w:p>
    <w:p w14:paraId="39BD0733" w14:textId="006DF2D0" w:rsidR="003073FB" w:rsidRPr="00A4283E" w:rsidRDefault="003073FB" w:rsidP="00A4283E">
      <w:pPr>
        <w:spacing w:line="276" w:lineRule="auto"/>
        <w:ind w:firstLine="0"/>
        <w:rPr>
          <w:rFonts w:ascii="Bookman Old Style" w:hAnsi="Bookman Old Style" w:cs="Arial"/>
        </w:rPr>
      </w:pPr>
      <w:r w:rsidRPr="00A4283E">
        <w:rPr>
          <w:rFonts w:ascii="Bookman Old Style" w:hAnsi="Bookman Old Style" w:cs="Arial"/>
        </w:rPr>
        <w:t>Con todo, al no tener vocación de prosperidad los argumentos esbozados por</w:t>
      </w:r>
      <w:r w:rsidR="003F5949" w:rsidRPr="00A4283E">
        <w:rPr>
          <w:rFonts w:ascii="Bookman Old Style" w:hAnsi="Bookman Old Style" w:cs="Arial"/>
        </w:rPr>
        <w:t xml:space="preserve"> </w:t>
      </w:r>
      <w:r w:rsidR="00B56F68" w:rsidRPr="00A4283E">
        <w:rPr>
          <w:rFonts w:ascii="Bookman Old Style" w:hAnsi="Bookman Old Style" w:cs="Arial"/>
        </w:rPr>
        <w:t>COLPENSIONES</w:t>
      </w:r>
      <w:r w:rsidR="00953BAB" w:rsidRPr="00A4283E">
        <w:rPr>
          <w:rFonts w:ascii="Bookman Old Style" w:hAnsi="Bookman Old Style" w:cs="Arial"/>
        </w:rPr>
        <w:t xml:space="preserve"> y </w:t>
      </w:r>
      <w:r w:rsidR="00DC1775" w:rsidRPr="00A4283E">
        <w:rPr>
          <w:rFonts w:ascii="Bookman Old Style" w:hAnsi="Bookman Old Style" w:cs="Arial"/>
        </w:rPr>
        <w:t>COLFONDOS</w:t>
      </w:r>
      <w:r w:rsidR="003F5949" w:rsidRPr="00A4283E">
        <w:rPr>
          <w:rFonts w:ascii="Bookman Old Style" w:hAnsi="Bookman Old Style" w:cs="Arial"/>
        </w:rPr>
        <w:t>, se deberá confirma</w:t>
      </w:r>
      <w:r w:rsidR="00410952" w:rsidRPr="00A4283E">
        <w:rPr>
          <w:rFonts w:ascii="Bookman Old Style" w:hAnsi="Bookman Old Style" w:cs="Arial"/>
        </w:rPr>
        <w:t>r la ineficacia declarada por el</w:t>
      </w:r>
      <w:r w:rsidR="003F5949" w:rsidRPr="00A4283E">
        <w:rPr>
          <w:rFonts w:ascii="Bookman Old Style" w:hAnsi="Bookman Old Style" w:cs="Arial"/>
        </w:rPr>
        <w:t xml:space="preserve"> </w:t>
      </w:r>
      <w:r w:rsidR="003F5949" w:rsidRPr="00A4283E">
        <w:rPr>
          <w:rFonts w:ascii="Bookman Old Style" w:hAnsi="Bookman Old Style" w:cs="Arial"/>
          <w:i/>
        </w:rPr>
        <w:t>a quo</w:t>
      </w:r>
      <w:r w:rsidR="003F5949" w:rsidRPr="00A4283E">
        <w:rPr>
          <w:rFonts w:ascii="Bookman Old Style" w:hAnsi="Bookman Old Style" w:cs="Arial"/>
        </w:rPr>
        <w:t xml:space="preserve"> de</w:t>
      </w:r>
      <w:r w:rsidR="00912AF7" w:rsidRPr="00A4283E">
        <w:rPr>
          <w:rFonts w:ascii="Bookman Old Style" w:hAnsi="Bookman Old Style" w:cs="Arial"/>
        </w:rPr>
        <w:t>l</w:t>
      </w:r>
      <w:r w:rsidR="003F5949" w:rsidRPr="00A4283E">
        <w:rPr>
          <w:rFonts w:ascii="Bookman Old Style" w:hAnsi="Bookman Old Style" w:cs="Arial"/>
        </w:rPr>
        <w:t xml:space="preserve"> traslado efectuado a la AFP </w:t>
      </w:r>
      <w:r w:rsidR="00DC1775" w:rsidRPr="00A4283E">
        <w:rPr>
          <w:rFonts w:ascii="Bookman Old Style" w:hAnsi="Bookman Old Style" w:cs="Arial"/>
        </w:rPr>
        <w:t>COLFONDOS</w:t>
      </w:r>
      <w:r w:rsidR="00912AF7" w:rsidRPr="00A4283E">
        <w:rPr>
          <w:rFonts w:ascii="Bookman Old Style" w:hAnsi="Bookman Old Style" w:cs="Arial"/>
        </w:rPr>
        <w:t xml:space="preserve"> ordenando su retorno a COLPENSIONES.</w:t>
      </w:r>
    </w:p>
    <w:p w14:paraId="27232616" w14:textId="0A78E41A" w:rsidR="00410952" w:rsidRPr="00A4283E" w:rsidRDefault="00410952" w:rsidP="00A4283E">
      <w:pPr>
        <w:spacing w:line="276" w:lineRule="auto"/>
        <w:ind w:firstLine="0"/>
        <w:rPr>
          <w:rFonts w:ascii="Bookman Old Style" w:hAnsi="Bookman Old Style" w:cs="Arial"/>
        </w:rPr>
      </w:pPr>
    </w:p>
    <w:p w14:paraId="166948C2" w14:textId="77777777" w:rsidR="003073FB" w:rsidRPr="00A4283E" w:rsidRDefault="003073FB" w:rsidP="00A4283E">
      <w:pPr>
        <w:spacing w:line="276" w:lineRule="auto"/>
        <w:ind w:firstLine="0"/>
        <w:rPr>
          <w:rFonts w:ascii="Bookman Old Style" w:hAnsi="Bookman Old Style" w:cs="Arial"/>
          <w:b/>
        </w:rPr>
      </w:pPr>
      <w:r w:rsidRPr="00A4283E">
        <w:rPr>
          <w:rFonts w:ascii="Bookman Old Style" w:hAnsi="Bookman Old Style" w:cs="Arial"/>
          <w:b/>
        </w:rPr>
        <w:t>De las condenas impuestas en la sentencia y grado de consulta en lo no recurrido.</w:t>
      </w:r>
    </w:p>
    <w:p w14:paraId="6018F54B" w14:textId="77777777" w:rsidR="003073FB" w:rsidRPr="00A4283E" w:rsidRDefault="003073FB" w:rsidP="00A4283E">
      <w:pPr>
        <w:spacing w:line="276" w:lineRule="auto"/>
        <w:ind w:firstLine="0"/>
        <w:rPr>
          <w:rFonts w:ascii="Bookman Old Style" w:hAnsi="Bookman Old Style" w:cs="Arial"/>
          <w:highlight w:val="yellow"/>
        </w:rPr>
      </w:pPr>
    </w:p>
    <w:p w14:paraId="38872EA4" w14:textId="24E193BB" w:rsidR="003073FB" w:rsidRPr="00A4283E" w:rsidRDefault="003073FB" w:rsidP="00A4283E">
      <w:pPr>
        <w:spacing w:line="276" w:lineRule="auto"/>
        <w:ind w:firstLine="0"/>
        <w:rPr>
          <w:rFonts w:ascii="Bookman Old Style" w:hAnsi="Bookman Old Style" w:cs="Arial"/>
        </w:rPr>
      </w:pPr>
      <w:r w:rsidRPr="00A4283E">
        <w:rPr>
          <w:rFonts w:ascii="Bookman Old Style" w:hAnsi="Bookman Old Style" w:cs="Arial"/>
        </w:rPr>
        <w:t>Resp</w:t>
      </w:r>
      <w:r w:rsidR="006D33E5" w:rsidRPr="00A4283E">
        <w:rPr>
          <w:rFonts w:ascii="Bookman Old Style" w:hAnsi="Bookman Old Style" w:cs="Arial"/>
        </w:rPr>
        <w:t xml:space="preserve">ecto </w:t>
      </w:r>
      <w:r w:rsidRPr="00A4283E">
        <w:rPr>
          <w:rFonts w:ascii="Bookman Old Style" w:hAnsi="Bookman Old Style" w:cs="Arial"/>
        </w:rPr>
        <w:t>a la orden de devolución de los gastos de adm</w:t>
      </w:r>
      <w:r w:rsidR="0036061A" w:rsidRPr="00A4283E">
        <w:rPr>
          <w:rFonts w:ascii="Bookman Old Style" w:hAnsi="Bookman Old Style" w:cs="Arial"/>
        </w:rPr>
        <w:t xml:space="preserve">inistración y demás emolumentos </w:t>
      </w:r>
      <w:r w:rsidR="00D76CA2" w:rsidRPr="00A4283E">
        <w:rPr>
          <w:rFonts w:ascii="Bookman Old Style" w:hAnsi="Bookman Old Style" w:cs="Arial"/>
        </w:rPr>
        <w:t xml:space="preserve">por parte de </w:t>
      </w:r>
      <w:r w:rsidR="00E12055" w:rsidRPr="00A4283E">
        <w:rPr>
          <w:rFonts w:ascii="Bookman Old Style" w:hAnsi="Bookman Old Style" w:cs="Arial"/>
        </w:rPr>
        <w:t>la AFP demandada</w:t>
      </w:r>
      <w:r w:rsidR="00D76CA2" w:rsidRPr="00A4283E">
        <w:rPr>
          <w:rFonts w:ascii="Bookman Old Style" w:hAnsi="Bookman Old Style" w:cs="Arial"/>
        </w:rPr>
        <w:t>,</w:t>
      </w:r>
      <w:r w:rsidRPr="00A4283E">
        <w:rPr>
          <w:rFonts w:ascii="Bookman Old Style" w:hAnsi="Bookman Old Style" w:cs="Arial"/>
        </w:rPr>
        <w:t xml:space="preserve"> se ha de indicar que la consecuencia de la declaración de ineficacia del traslado es que la afiliación se retrotrae al estado en que se en</w:t>
      </w:r>
      <w:r w:rsidR="00CC0BF9" w:rsidRPr="00A4283E">
        <w:rPr>
          <w:rFonts w:ascii="Bookman Old Style" w:hAnsi="Bookman Old Style" w:cs="Arial"/>
        </w:rPr>
        <w:t>contraba, lo que implica que la AFP del RAIS debe</w:t>
      </w:r>
      <w:r w:rsidRPr="00A4283E">
        <w:rPr>
          <w:rFonts w:ascii="Bookman Old Style" w:hAnsi="Bookman Old Style" w:cs="Arial"/>
        </w:rPr>
        <w:t xml:space="preserve"> devolver todos los valores recibidos con </w:t>
      </w:r>
      <w:r w:rsidR="00E12055" w:rsidRPr="00A4283E">
        <w:rPr>
          <w:rFonts w:ascii="Bookman Old Style" w:hAnsi="Bookman Old Style" w:cs="Arial"/>
        </w:rPr>
        <w:t>motivo de la afiliación como lo</w:t>
      </w:r>
      <w:r w:rsidRPr="00A4283E">
        <w:rPr>
          <w:rFonts w:ascii="Bookman Old Style" w:hAnsi="Bookman Old Style" w:cs="Arial"/>
        </w:rPr>
        <w:t xml:space="preserve"> dispone el artículo 1746 del C.C, incluidos los gastos de administración, conforme a la línea jurisprudencial trazada por la Sala de Casación Laboral de la CSJ entre otras, en sentencias SL17595-2017, CSJSL4989-2018, y en sentencia del 8 de septiembre de 2008, rad. 31989, en la que se dijo:</w:t>
      </w:r>
    </w:p>
    <w:p w14:paraId="35150EBD" w14:textId="77777777" w:rsidR="003073FB" w:rsidRPr="00A4283E" w:rsidRDefault="003073FB" w:rsidP="00A4283E">
      <w:pPr>
        <w:spacing w:line="276" w:lineRule="auto"/>
        <w:ind w:firstLine="0"/>
        <w:rPr>
          <w:rFonts w:ascii="Bookman Old Style" w:hAnsi="Bookman Old Style" w:cs="Arial"/>
        </w:rPr>
      </w:pPr>
    </w:p>
    <w:p w14:paraId="03E3353E" w14:textId="77777777" w:rsidR="003073FB" w:rsidRPr="00323707" w:rsidRDefault="003073FB" w:rsidP="00323707">
      <w:pPr>
        <w:spacing w:line="240" w:lineRule="auto"/>
        <w:ind w:left="426" w:right="418" w:firstLine="0"/>
        <w:rPr>
          <w:rFonts w:ascii="Bookman Old Style" w:hAnsi="Bookman Old Style" w:cs="Arial"/>
          <w:i/>
          <w:iCs/>
          <w:sz w:val="22"/>
        </w:rPr>
      </w:pPr>
      <w:r w:rsidRPr="00323707">
        <w:rPr>
          <w:rFonts w:ascii="Bookman Old Style" w:hAnsi="Bookman Old Style" w:cs="Arial"/>
          <w:i/>
          <w:iCs/>
          <w:sz w:val="22"/>
        </w:rPr>
        <w:t>«Como la nulidad fue conducta indebida de la administradora ésta debe asumir a su cargo los deterioros sufridos por el bien administrado, esto es, las mermas sufridas en el capital destinado a la financiación de la pensión de vejez, ya por pago de mesadas pensionales en el sistema de ahorro individual, ora por los gastos de administración en que hubiere incurrido, los cuales serán asumidos por la Administradora a cargo de su propio patrimonio, siguiendo para el efecto las reglas del artículo 963 del C.C.»</w:t>
      </w:r>
    </w:p>
    <w:p w14:paraId="3E7E3110" w14:textId="77777777" w:rsidR="003073FB" w:rsidRPr="00A4283E" w:rsidRDefault="003073FB" w:rsidP="00A4283E">
      <w:pPr>
        <w:spacing w:line="276" w:lineRule="auto"/>
        <w:ind w:firstLine="0"/>
        <w:rPr>
          <w:rFonts w:ascii="Bookman Old Style" w:hAnsi="Bookman Old Style" w:cs="Arial"/>
        </w:rPr>
      </w:pPr>
    </w:p>
    <w:p w14:paraId="0A2D0CBB" w14:textId="29189184" w:rsidR="003073FB" w:rsidRPr="00A4283E" w:rsidRDefault="003073FB" w:rsidP="00A4283E">
      <w:pPr>
        <w:spacing w:line="276" w:lineRule="auto"/>
        <w:ind w:firstLine="0"/>
        <w:rPr>
          <w:rFonts w:ascii="Bookman Old Style" w:hAnsi="Bookman Old Style" w:cs="Arial"/>
        </w:rPr>
      </w:pPr>
      <w:r w:rsidRPr="00A4283E">
        <w:rPr>
          <w:rFonts w:ascii="Bookman Old Style" w:hAnsi="Bookman Old Style" w:cs="Arial"/>
        </w:rPr>
        <w:t>Lo anterior</w:t>
      </w:r>
      <w:r w:rsidR="00B56F68" w:rsidRPr="00A4283E">
        <w:rPr>
          <w:rFonts w:ascii="Bookman Old Style" w:hAnsi="Bookman Old Style" w:cs="Arial"/>
        </w:rPr>
        <w:t>,</w:t>
      </w:r>
      <w:r w:rsidRPr="00A4283E">
        <w:rPr>
          <w:rFonts w:ascii="Bookman Old Style" w:hAnsi="Bookman Old Style" w:cs="Arial"/>
        </w:rPr>
        <w:t xml:space="preserve"> </w:t>
      </w:r>
      <w:r w:rsidR="00912AF7" w:rsidRPr="00A4283E">
        <w:rPr>
          <w:rFonts w:ascii="Bookman Old Style" w:hAnsi="Bookman Old Style" w:cs="Arial"/>
        </w:rPr>
        <w:t xml:space="preserve">obliga a </w:t>
      </w:r>
      <w:r w:rsidR="00E12055" w:rsidRPr="00A4283E">
        <w:rPr>
          <w:rFonts w:ascii="Bookman Old Style" w:hAnsi="Bookman Old Style" w:cs="Arial"/>
        </w:rPr>
        <w:t>la</w:t>
      </w:r>
      <w:r w:rsidR="006D33E5" w:rsidRPr="00A4283E">
        <w:rPr>
          <w:rFonts w:ascii="Bookman Old Style" w:hAnsi="Bookman Old Style" w:cs="Arial"/>
        </w:rPr>
        <w:t xml:space="preserve"> AFP</w:t>
      </w:r>
      <w:r w:rsidR="00912AF7" w:rsidRPr="00A4283E">
        <w:rPr>
          <w:rFonts w:ascii="Bookman Old Style" w:hAnsi="Bookman Old Style" w:cs="Arial"/>
        </w:rPr>
        <w:t xml:space="preserve"> a tras</w:t>
      </w:r>
      <w:r w:rsidRPr="00A4283E">
        <w:rPr>
          <w:rFonts w:ascii="Bookman Old Style" w:hAnsi="Bookman Old Style" w:cs="Arial"/>
        </w:rPr>
        <w:t>ladar todos los dineros que por concepto de aportes y rendimientos se hubieren producido y que hacen parte de la</w:t>
      </w:r>
      <w:r w:rsidR="00ED6949" w:rsidRPr="00A4283E">
        <w:rPr>
          <w:rFonts w:ascii="Bookman Old Style" w:hAnsi="Bookman Old Style" w:cs="Arial"/>
        </w:rPr>
        <w:t xml:space="preserve"> c</w:t>
      </w:r>
      <w:r w:rsidR="006D33E5" w:rsidRPr="00A4283E">
        <w:rPr>
          <w:rFonts w:ascii="Bookman Old Style" w:hAnsi="Bookman Old Style" w:cs="Arial"/>
        </w:rPr>
        <w:t>uenta de ahorro individual de la</w:t>
      </w:r>
      <w:r w:rsidRPr="00A4283E">
        <w:rPr>
          <w:rFonts w:ascii="Bookman Old Style" w:hAnsi="Bookman Old Style" w:cs="Arial"/>
        </w:rPr>
        <w:t xml:space="preserve"> accionante, además de los valores que </w:t>
      </w:r>
      <w:r w:rsidR="0038198A" w:rsidRPr="00A4283E">
        <w:rPr>
          <w:rFonts w:ascii="Bookman Old Style" w:hAnsi="Bookman Old Style" w:cs="Arial"/>
        </w:rPr>
        <w:t>cobró</w:t>
      </w:r>
      <w:r w:rsidRPr="00A4283E">
        <w:rPr>
          <w:rFonts w:ascii="Bookman Old Style" w:hAnsi="Bookman Old Style" w:cs="Arial"/>
        </w:rPr>
        <w:t xml:space="preserve"> a título de cuotas de administración y comisiones, incluidos los aportes destinados para el fondo de garantía de pensión mínima y los valores utilizados en seguros previsionales de invalidez y sobrevivencia, debidamente indexados, con cargo a sus propios recursos, pues todos estos deberán ser abonados en el fondo común que administra </w:t>
      </w:r>
      <w:r w:rsidR="005E0D01" w:rsidRPr="00A4283E">
        <w:rPr>
          <w:rFonts w:ascii="Bookman Old Style" w:hAnsi="Bookman Old Style" w:cs="Arial"/>
        </w:rPr>
        <w:t>COLPENSIONES</w:t>
      </w:r>
      <w:r w:rsidRPr="00A4283E">
        <w:rPr>
          <w:rFonts w:ascii="Bookman Old Style" w:hAnsi="Bookman Old Style" w:cs="Arial"/>
        </w:rPr>
        <w:t xml:space="preserve"> y utilizados para la financiación de la pensión de vejez de la parte demandante (SL1421-2019, SL1688-2019, SL2877-2020, SL4141-2021, SL3611-2021, entre otras más). </w:t>
      </w:r>
    </w:p>
    <w:p w14:paraId="7D4E1435" w14:textId="77777777" w:rsidR="003073FB" w:rsidRPr="00A4283E" w:rsidRDefault="003073FB" w:rsidP="00A4283E">
      <w:pPr>
        <w:spacing w:line="276" w:lineRule="auto"/>
        <w:ind w:firstLine="0"/>
        <w:rPr>
          <w:rFonts w:ascii="Bookman Old Style" w:hAnsi="Bookman Old Style" w:cs="Arial"/>
        </w:rPr>
      </w:pPr>
    </w:p>
    <w:p w14:paraId="376A30E3" w14:textId="56C82D46" w:rsidR="003073FB" w:rsidRPr="00A4283E" w:rsidRDefault="006D33E5" w:rsidP="00A4283E">
      <w:pPr>
        <w:spacing w:line="276" w:lineRule="auto"/>
        <w:ind w:firstLine="0"/>
        <w:rPr>
          <w:rFonts w:ascii="Bookman Old Style" w:hAnsi="Bookman Old Style" w:cs="Arial"/>
        </w:rPr>
      </w:pPr>
      <w:r w:rsidRPr="00A4283E">
        <w:rPr>
          <w:rFonts w:ascii="Bookman Old Style" w:hAnsi="Bookman Old Style" w:cs="Arial"/>
        </w:rPr>
        <w:lastRenderedPageBreak/>
        <w:t xml:space="preserve">Acorde con lo dicho, resulta pertinente </w:t>
      </w:r>
      <w:r w:rsidR="003073FB" w:rsidRPr="00A4283E">
        <w:rPr>
          <w:rFonts w:ascii="Bookman Old Style" w:hAnsi="Bookman Old Style" w:cs="Arial"/>
        </w:rPr>
        <w:t>traer a colación el reciente pronunciamiento de la Sala de Casación Laboral, sentencia SL1017-2022 M.P. Dr. Gerardo Botero Zuluaga, así:</w:t>
      </w:r>
    </w:p>
    <w:p w14:paraId="7FE24336" w14:textId="77777777" w:rsidR="003073FB" w:rsidRPr="00A4283E" w:rsidRDefault="003073FB" w:rsidP="00A4283E">
      <w:pPr>
        <w:spacing w:line="276" w:lineRule="auto"/>
        <w:jc w:val="center"/>
        <w:rPr>
          <w:rFonts w:ascii="Bookman Old Style" w:eastAsia="Bookman Old Style" w:hAnsi="Bookman Old Style" w:cs="Arial"/>
          <w:b/>
          <w:bCs/>
          <w:color w:val="FF0000"/>
          <w:lang w:val="es-ES"/>
        </w:rPr>
      </w:pPr>
    </w:p>
    <w:p w14:paraId="26396B26" w14:textId="77777777" w:rsidR="003073FB" w:rsidRPr="00323707" w:rsidRDefault="003073FB" w:rsidP="00323707">
      <w:pPr>
        <w:spacing w:line="240" w:lineRule="auto"/>
        <w:ind w:left="426" w:right="418" w:firstLine="0"/>
        <w:rPr>
          <w:rFonts w:ascii="Bookman Old Style" w:hAnsi="Bookman Old Style" w:cs="Arial"/>
          <w:i/>
          <w:iCs/>
          <w:sz w:val="22"/>
        </w:rPr>
      </w:pPr>
      <w:r w:rsidRPr="00323707">
        <w:rPr>
          <w:rFonts w:ascii="Bookman Old Style" w:hAnsi="Bookman Old Style" w:cs="Arial"/>
          <w:i/>
          <w:iCs/>
          <w:sz w:val="22"/>
        </w:rPr>
        <w:t>“… al declararse la ineficacia del traslado las cosas vuelven a su estado</w:t>
      </w:r>
      <w:r w:rsidRPr="00A4283E">
        <w:rPr>
          <w:rFonts w:ascii="Bookman Old Style" w:hAnsi="Bookman Old Style" w:cs="Arial"/>
          <w:i/>
          <w:iCs/>
        </w:rPr>
        <w:t xml:space="preserve"> </w:t>
      </w:r>
      <w:r w:rsidRPr="00323707">
        <w:rPr>
          <w:rFonts w:ascii="Bookman Old Style" w:hAnsi="Bookman Old Style" w:cs="Arial"/>
          <w:i/>
          <w:iCs/>
          <w:sz w:val="22"/>
        </w:rPr>
        <w:t xml:space="preserve">anterior, de manera que las administradoras tienen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Los costos de administración del sistema general de pensiones permitirán una comisión razonable a las administradoras y se determinarán en la forma prevista en la presente Ley.   </w:t>
      </w:r>
    </w:p>
    <w:p w14:paraId="03D06674" w14:textId="77777777" w:rsidR="003073FB" w:rsidRPr="00323707" w:rsidRDefault="003073FB" w:rsidP="00323707">
      <w:pPr>
        <w:spacing w:line="240" w:lineRule="auto"/>
        <w:ind w:left="426" w:right="418" w:firstLine="0"/>
        <w:rPr>
          <w:rFonts w:ascii="Bookman Old Style" w:hAnsi="Bookman Old Style" w:cs="Arial"/>
          <w:i/>
          <w:iCs/>
          <w:sz w:val="22"/>
        </w:rPr>
      </w:pPr>
      <w:r w:rsidRPr="00323707">
        <w:rPr>
          <w:rFonts w:ascii="Bookman Old Style" w:hAnsi="Bookman Old Style" w:cs="Arial"/>
          <w:i/>
          <w:iCs/>
          <w:sz w:val="22"/>
        </w:rPr>
        <w:t xml:space="preserve">   </w:t>
      </w:r>
    </w:p>
    <w:p w14:paraId="6CF714DA" w14:textId="77777777" w:rsidR="003073FB" w:rsidRPr="00323707" w:rsidRDefault="003073FB" w:rsidP="00323707">
      <w:pPr>
        <w:spacing w:line="240" w:lineRule="auto"/>
        <w:ind w:left="426" w:right="418" w:firstLine="0"/>
        <w:rPr>
          <w:rFonts w:ascii="Bookman Old Style" w:hAnsi="Bookman Old Style" w:cs="Arial"/>
          <w:i/>
          <w:iCs/>
          <w:sz w:val="22"/>
        </w:rPr>
      </w:pPr>
      <w:r w:rsidRPr="00323707">
        <w:rPr>
          <w:rFonts w:ascii="Bookman Old Style" w:hAnsi="Bookman Old Style" w:cs="Arial"/>
          <w:i/>
          <w:iCs/>
          <w:sz w:val="22"/>
        </w:rPr>
        <w:t>Por tal razón, esa declaratoria obliga a las entidades del RAIS a devolver todos los recursos acumulados en la cuenta de ahorro individual del titular, ya que los mismos serán utilizados para la financiación de la prestación pensional a que tenga derecho el afiliado en el régimen de prima media con prestación definida. Ello, incluye el reintegro a Colpensiones del saldo de la cuenta individual, sus rendimientos y los bonos pensionales, los valores cobrados por los fondos privados a título de gastos de administración y comisiones, incluidos los aportes para el fondo de garantía de pensión mínima y las primas de los seguros previsionales, sumas debidamente indexadas, pues, desde el nacimiento del acto ineficaz, estos recursos han debido ingresar al RPMPD administrado por Colpensiones (CSJ SL2877-2020)”.</w:t>
      </w:r>
    </w:p>
    <w:p w14:paraId="5DE7EF8C" w14:textId="77777777" w:rsidR="003073FB" w:rsidRPr="00A4283E" w:rsidRDefault="003073FB" w:rsidP="00A4283E">
      <w:pPr>
        <w:spacing w:line="276" w:lineRule="auto"/>
        <w:ind w:firstLine="0"/>
        <w:rPr>
          <w:rFonts w:ascii="Bookman Old Style" w:hAnsi="Bookman Old Style" w:cs="Arial"/>
        </w:rPr>
      </w:pPr>
    </w:p>
    <w:p w14:paraId="26BA3654" w14:textId="5325A019" w:rsidR="00476258" w:rsidRPr="00A4283E" w:rsidRDefault="00476258" w:rsidP="00A4283E">
      <w:pPr>
        <w:spacing w:line="276" w:lineRule="auto"/>
        <w:ind w:firstLine="0"/>
        <w:rPr>
          <w:rFonts w:ascii="Bookman Old Style" w:hAnsi="Bookman Old Style" w:cs="Arial"/>
        </w:rPr>
      </w:pPr>
      <w:r w:rsidRPr="00A4283E">
        <w:rPr>
          <w:rFonts w:ascii="Bookman Old Style" w:hAnsi="Bookman Old Style" w:cs="Arial"/>
        </w:rPr>
        <w:t>Así las cosas, es de concluir que no tiene vocación de prosperidad los argumentos planteados por las recurrentes, lo cual amerita confirmar las órdenes impartidas en la sentencia.</w:t>
      </w:r>
    </w:p>
    <w:p w14:paraId="50C30823" w14:textId="77777777" w:rsidR="00476258" w:rsidRPr="00A4283E" w:rsidRDefault="00476258" w:rsidP="00A4283E">
      <w:pPr>
        <w:spacing w:line="276" w:lineRule="auto"/>
        <w:ind w:firstLine="0"/>
        <w:rPr>
          <w:rFonts w:ascii="Bookman Old Style" w:hAnsi="Bookman Old Style" w:cs="Arial"/>
        </w:rPr>
      </w:pPr>
    </w:p>
    <w:p w14:paraId="3C5C17D1" w14:textId="77777777" w:rsidR="00DE6E92" w:rsidRPr="00A4283E" w:rsidRDefault="00DE6E92" w:rsidP="00A4283E">
      <w:pPr>
        <w:spacing w:line="276" w:lineRule="auto"/>
        <w:ind w:firstLine="0"/>
        <w:rPr>
          <w:rFonts w:ascii="Bookman Old Style" w:hAnsi="Bookman Old Style" w:cs="Arial"/>
          <w:b/>
          <w:bCs/>
        </w:rPr>
      </w:pPr>
      <w:r w:rsidRPr="00A4283E">
        <w:rPr>
          <w:rFonts w:ascii="Bookman Old Style" w:hAnsi="Bookman Old Style" w:cs="Arial"/>
          <w:b/>
          <w:bCs/>
        </w:rPr>
        <w:t xml:space="preserve">Del bono pensional </w:t>
      </w:r>
    </w:p>
    <w:p w14:paraId="4457859D" w14:textId="77777777" w:rsidR="003073FB" w:rsidRPr="00A4283E" w:rsidRDefault="003073FB" w:rsidP="00A4283E">
      <w:pPr>
        <w:spacing w:line="276" w:lineRule="auto"/>
        <w:ind w:firstLine="0"/>
        <w:rPr>
          <w:rFonts w:ascii="Bookman Old Style" w:hAnsi="Bookman Old Style" w:cs="Arial"/>
        </w:rPr>
      </w:pPr>
    </w:p>
    <w:p w14:paraId="39617C86" w14:textId="56551689" w:rsidR="00B84C34" w:rsidRPr="00A4283E" w:rsidRDefault="00B84C34" w:rsidP="00A4283E">
      <w:pPr>
        <w:spacing w:line="276" w:lineRule="auto"/>
        <w:ind w:firstLine="0"/>
        <w:rPr>
          <w:rFonts w:ascii="Bookman Old Style" w:hAnsi="Bookman Old Style" w:cs="Arial"/>
        </w:rPr>
      </w:pPr>
      <w:r w:rsidRPr="00A4283E">
        <w:rPr>
          <w:rFonts w:ascii="Bookman Old Style" w:hAnsi="Bookman Old Style" w:cs="Arial"/>
        </w:rPr>
        <w:t xml:space="preserve">Con relación al </w:t>
      </w:r>
      <w:r w:rsidRPr="00A4283E">
        <w:rPr>
          <w:rFonts w:ascii="Bookman Old Style" w:hAnsi="Bookman Old Style" w:cs="Arial"/>
          <w:b/>
        </w:rPr>
        <w:t>bono pensional</w:t>
      </w:r>
      <w:r w:rsidRPr="00A4283E">
        <w:rPr>
          <w:rFonts w:ascii="Bookman Old Style" w:hAnsi="Bookman Old Style" w:cs="Arial"/>
        </w:rPr>
        <w:t xml:space="preserve">, se evidencia que la redención normal de dicho instrumento data </w:t>
      </w:r>
      <w:r w:rsidRPr="00A4283E">
        <w:rPr>
          <w:rFonts w:ascii="Bookman Old Style" w:hAnsi="Bookman Old Style" w:cs="Arial"/>
          <w:bCs/>
        </w:rPr>
        <w:t xml:space="preserve">del </w:t>
      </w:r>
      <w:r w:rsidR="00585642" w:rsidRPr="00A4283E">
        <w:rPr>
          <w:rFonts w:ascii="Bookman Old Style" w:hAnsi="Bookman Old Style" w:cs="Arial"/>
          <w:bCs/>
        </w:rPr>
        <w:t>28-05-2029</w:t>
      </w:r>
      <w:r w:rsidRPr="00A4283E">
        <w:rPr>
          <w:rFonts w:ascii="Bookman Old Style" w:hAnsi="Bookman Old Style" w:cs="Arial"/>
        </w:rPr>
        <w:t xml:space="preserve">; por lo tanto, se deberá confirmar la orden de comunicar a la Oficina de Bonos Pensionales del Ministerio de Hacienda y Crédito Público de la decisión aquí adoptada, para retrotraer las cosas al estado en el que se encontraban al momento en que el demandante se cambió de régimen y en el evento de haberse pagado el bono de forma anticipada, la AFP </w:t>
      </w:r>
      <w:r w:rsidR="00DC1775" w:rsidRPr="00A4283E">
        <w:rPr>
          <w:rFonts w:ascii="Bookman Old Style" w:hAnsi="Bookman Old Style" w:cs="Arial"/>
        </w:rPr>
        <w:t>COLFONDOS</w:t>
      </w:r>
      <w:r w:rsidRPr="00A4283E">
        <w:rPr>
          <w:rFonts w:ascii="Bookman Old Style" w:hAnsi="Bookman Old Style" w:cs="Arial"/>
        </w:rPr>
        <w:t xml:space="preserve"> S.A. deberá restituir dicha suma por la OBP debidamente indexada y con cargo a sus propios recursos. </w:t>
      </w:r>
    </w:p>
    <w:p w14:paraId="7EB23EE0" w14:textId="17230440" w:rsidR="00F313F7" w:rsidRPr="00A4283E" w:rsidRDefault="00F313F7" w:rsidP="00A4283E">
      <w:pPr>
        <w:spacing w:line="276" w:lineRule="auto"/>
        <w:ind w:firstLine="0"/>
        <w:rPr>
          <w:rFonts w:ascii="Bookman Old Style" w:hAnsi="Bookman Old Style" w:cs="Arial"/>
        </w:rPr>
      </w:pPr>
    </w:p>
    <w:p w14:paraId="7F12B2C1" w14:textId="7E5F2B91" w:rsidR="00C41494" w:rsidRPr="00A4283E" w:rsidRDefault="00C41494" w:rsidP="00A4283E">
      <w:pPr>
        <w:spacing w:line="276" w:lineRule="auto"/>
        <w:ind w:firstLine="0"/>
        <w:rPr>
          <w:rFonts w:ascii="Bookman Old Style" w:hAnsi="Bookman Old Style" w:cs="Arial"/>
          <w:b/>
          <w:bCs/>
        </w:rPr>
      </w:pPr>
      <w:r w:rsidRPr="00A4283E">
        <w:rPr>
          <w:rFonts w:ascii="Bookman Old Style" w:hAnsi="Bookman Old Style" w:cs="Arial"/>
          <w:b/>
          <w:bCs/>
        </w:rPr>
        <w:t>De la imposición de costas.</w:t>
      </w:r>
    </w:p>
    <w:p w14:paraId="01492C88" w14:textId="77777777" w:rsidR="00D95BEB" w:rsidRPr="00A4283E" w:rsidRDefault="00D95BEB" w:rsidP="00A4283E">
      <w:pPr>
        <w:spacing w:line="276" w:lineRule="auto"/>
        <w:ind w:firstLine="0"/>
        <w:rPr>
          <w:rFonts w:ascii="Bookman Old Style" w:hAnsi="Bookman Old Style" w:cs="Arial"/>
        </w:rPr>
      </w:pPr>
    </w:p>
    <w:p w14:paraId="164E34A4" w14:textId="54C71E14" w:rsidR="00B84C34" w:rsidRPr="00A4283E" w:rsidRDefault="00B84C34" w:rsidP="00A4283E">
      <w:pPr>
        <w:spacing w:line="276" w:lineRule="auto"/>
        <w:ind w:firstLine="0"/>
        <w:rPr>
          <w:rFonts w:ascii="Bookman Old Style" w:hAnsi="Bookman Old Style" w:cs="Arial"/>
        </w:rPr>
      </w:pPr>
      <w:r w:rsidRPr="00A4283E">
        <w:rPr>
          <w:rFonts w:ascii="Bookman Old Style" w:hAnsi="Bookman Old Style" w:cs="Arial"/>
        </w:rPr>
        <w:t xml:space="preserve">Con todo, habrá de confirmarse la sentencia apelada y consultada que declaró la ineficacia del traslado de régimen y como se resolvió de forma desfavorable el recurso de apelación interpuesto por </w:t>
      </w:r>
      <w:r w:rsidRPr="00A4283E">
        <w:rPr>
          <w:rFonts w:ascii="Bookman Old Style" w:hAnsi="Bookman Old Style" w:cs="Arial"/>
          <w:b/>
          <w:bCs/>
        </w:rPr>
        <w:t>COLPENSIONES</w:t>
      </w:r>
      <w:r w:rsidR="00953BAB" w:rsidRPr="00A4283E">
        <w:rPr>
          <w:rFonts w:ascii="Bookman Old Style" w:hAnsi="Bookman Old Style" w:cs="Arial"/>
          <w:b/>
          <w:bCs/>
        </w:rPr>
        <w:t xml:space="preserve"> y </w:t>
      </w:r>
      <w:r w:rsidR="00DC1775" w:rsidRPr="00A4283E">
        <w:rPr>
          <w:rFonts w:ascii="Bookman Old Style" w:hAnsi="Bookman Old Style" w:cs="Arial"/>
          <w:b/>
          <w:bCs/>
        </w:rPr>
        <w:t>COLFONDOS</w:t>
      </w:r>
      <w:r w:rsidRPr="00A4283E">
        <w:rPr>
          <w:rFonts w:ascii="Bookman Old Style" w:hAnsi="Bookman Old Style" w:cs="Arial"/>
        </w:rPr>
        <w:t>, se le impondrá costas en esta instancia.</w:t>
      </w:r>
    </w:p>
    <w:p w14:paraId="39089F14" w14:textId="77777777" w:rsidR="00AD5BA9" w:rsidRPr="00A4283E" w:rsidRDefault="00AD5BA9" w:rsidP="00A4283E">
      <w:pPr>
        <w:spacing w:line="276" w:lineRule="auto"/>
        <w:ind w:firstLine="0"/>
        <w:rPr>
          <w:rFonts w:ascii="Bookman Old Style" w:hAnsi="Bookman Old Style" w:cs="Arial"/>
        </w:rPr>
      </w:pPr>
    </w:p>
    <w:p w14:paraId="2301E992" w14:textId="5B35C663" w:rsidR="003073FB" w:rsidRPr="00A4283E" w:rsidRDefault="00AD5BA9" w:rsidP="00A4283E">
      <w:pPr>
        <w:spacing w:line="276" w:lineRule="auto"/>
        <w:ind w:firstLine="0"/>
        <w:rPr>
          <w:rFonts w:ascii="Bookman Old Style" w:hAnsi="Bookman Old Style" w:cs="Arial"/>
          <w:b/>
        </w:rPr>
      </w:pPr>
      <w:r w:rsidRPr="00A4283E">
        <w:rPr>
          <w:rFonts w:ascii="Bookman Old Style" w:hAnsi="Bookman Old Style" w:cs="Arial"/>
        </w:rPr>
        <w:lastRenderedPageBreak/>
        <w:t>P</w:t>
      </w:r>
      <w:r w:rsidR="003073FB" w:rsidRPr="00A4283E">
        <w:rPr>
          <w:rFonts w:ascii="Bookman Old Style" w:hAnsi="Bookman Old Style" w:cs="Arial"/>
        </w:rPr>
        <w:t>or lo expuesto</w:t>
      </w:r>
      <w:r w:rsidR="00AF0141" w:rsidRPr="00A4283E">
        <w:rPr>
          <w:rFonts w:ascii="Bookman Old Style" w:hAnsi="Bookman Old Style" w:cs="Arial"/>
          <w:b/>
        </w:rPr>
        <w:t>,</w:t>
      </w:r>
      <w:r w:rsidR="003073FB" w:rsidRPr="00A4283E">
        <w:rPr>
          <w:rFonts w:ascii="Bookman Old Style" w:hAnsi="Bookman Old Style" w:cs="Arial"/>
          <w:b/>
        </w:rPr>
        <w:t xml:space="preserve"> la Sala de Decisión Laboral del Tribunal Superior del Distrito Judicial de Pereira, </w:t>
      </w:r>
      <w:r w:rsidR="003073FB" w:rsidRPr="00A4283E">
        <w:rPr>
          <w:rFonts w:ascii="Bookman Old Style" w:hAnsi="Bookman Old Style" w:cs="Arial"/>
        </w:rPr>
        <w:t>administrando justicia en nombre de la República y por autoridad de la ley</w:t>
      </w:r>
      <w:r w:rsidR="003073FB" w:rsidRPr="00A4283E">
        <w:rPr>
          <w:rFonts w:ascii="Bookman Old Style" w:hAnsi="Bookman Old Style" w:cs="Arial"/>
          <w:b/>
        </w:rPr>
        <w:t>.</w:t>
      </w:r>
    </w:p>
    <w:p w14:paraId="1B6A5444" w14:textId="77777777" w:rsidR="003073FB" w:rsidRPr="00A4283E" w:rsidRDefault="003073FB" w:rsidP="00A4283E">
      <w:pPr>
        <w:spacing w:line="276" w:lineRule="auto"/>
        <w:ind w:firstLine="0"/>
        <w:rPr>
          <w:rFonts w:ascii="Bookman Old Style" w:hAnsi="Bookman Old Style" w:cs="Arial"/>
        </w:rPr>
      </w:pPr>
    </w:p>
    <w:p w14:paraId="592F8074" w14:textId="77777777" w:rsidR="003073FB" w:rsidRPr="00A4283E" w:rsidRDefault="003073FB" w:rsidP="00A4283E">
      <w:pPr>
        <w:spacing w:line="276" w:lineRule="auto"/>
        <w:ind w:firstLine="0"/>
        <w:jc w:val="center"/>
        <w:rPr>
          <w:rFonts w:ascii="Bookman Old Style" w:hAnsi="Bookman Old Style" w:cs="Arial"/>
        </w:rPr>
      </w:pPr>
      <w:r w:rsidRPr="00A4283E">
        <w:rPr>
          <w:rFonts w:ascii="Bookman Old Style" w:hAnsi="Bookman Old Style" w:cs="Arial"/>
          <w:b/>
        </w:rPr>
        <w:t>RESUELVE:</w:t>
      </w:r>
    </w:p>
    <w:p w14:paraId="0D09B413" w14:textId="77777777" w:rsidR="00A8283C" w:rsidRPr="00A4283E" w:rsidRDefault="00A8283C" w:rsidP="00A4283E">
      <w:pPr>
        <w:spacing w:line="276" w:lineRule="auto"/>
        <w:ind w:right="284" w:firstLine="0"/>
        <w:rPr>
          <w:rFonts w:ascii="Bookman Old Style" w:hAnsi="Bookman Old Style" w:cs="Arial"/>
        </w:rPr>
      </w:pPr>
    </w:p>
    <w:p w14:paraId="40AE2BE7" w14:textId="7925FE35" w:rsidR="003073FB" w:rsidRPr="00A4283E" w:rsidRDefault="00A8283C" w:rsidP="00A4283E">
      <w:pPr>
        <w:spacing w:line="276" w:lineRule="auto"/>
        <w:ind w:firstLine="0"/>
        <w:rPr>
          <w:rFonts w:ascii="Bookman Old Style" w:eastAsia="Bookman Old Style" w:hAnsi="Bookman Old Style" w:cs="Bookman Old Style"/>
          <w:b/>
          <w:bCs/>
        </w:rPr>
      </w:pPr>
      <w:r w:rsidRPr="00A4283E">
        <w:rPr>
          <w:rFonts w:ascii="Bookman Old Style" w:eastAsia="Bookman Old Style" w:hAnsi="Bookman Old Style" w:cs="Bookman Old Style"/>
          <w:b/>
          <w:bCs/>
        </w:rPr>
        <w:t>PRIMERO</w:t>
      </w:r>
      <w:r w:rsidR="007F6CA1" w:rsidRPr="00A4283E">
        <w:rPr>
          <w:rFonts w:ascii="Bookman Old Style" w:eastAsia="Bookman Old Style" w:hAnsi="Bookman Old Style" w:cs="Bookman Old Style"/>
          <w:b/>
          <w:bCs/>
        </w:rPr>
        <w:t xml:space="preserve">: </w:t>
      </w:r>
      <w:r w:rsidR="003073FB" w:rsidRPr="00A4283E">
        <w:rPr>
          <w:rFonts w:ascii="Bookman Old Style" w:hAnsi="Bookman Old Style" w:cs="Arial"/>
          <w:b/>
          <w:bCs/>
        </w:rPr>
        <w:t>CONFIRMAR</w:t>
      </w:r>
      <w:r w:rsidR="3058F59B" w:rsidRPr="00A4283E">
        <w:rPr>
          <w:rFonts w:ascii="Bookman Old Style" w:hAnsi="Bookman Old Style" w:cs="Arial"/>
          <w:b/>
          <w:bCs/>
        </w:rPr>
        <w:t xml:space="preserve"> </w:t>
      </w:r>
      <w:r w:rsidR="00A217B8" w:rsidRPr="00A4283E">
        <w:rPr>
          <w:rFonts w:ascii="Bookman Old Style" w:hAnsi="Bookman Old Style" w:cs="Arial"/>
          <w:bCs/>
        </w:rPr>
        <w:t>en todo</w:t>
      </w:r>
      <w:r w:rsidR="00F313F7" w:rsidRPr="00A4283E">
        <w:rPr>
          <w:rFonts w:ascii="Bookman Old Style" w:hAnsi="Bookman Old Style" w:cs="Arial"/>
          <w:bCs/>
        </w:rPr>
        <w:t xml:space="preserve"> </w:t>
      </w:r>
      <w:r w:rsidR="003073FB" w:rsidRPr="00A4283E">
        <w:rPr>
          <w:rFonts w:ascii="Bookman Old Style" w:hAnsi="Bookman Old Style" w:cs="Arial"/>
        </w:rPr>
        <w:t>la</w:t>
      </w:r>
      <w:r w:rsidR="00705E27" w:rsidRPr="00A4283E">
        <w:rPr>
          <w:rFonts w:ascii="Bookman Old Style" w:hAnsi="Bookman Old Style" w:cs="Arial"/>
        </w:rPr>
        <w:t xml:space="preserve"> sentencia apelada y consultada, proferida por el Juzgado </w:t>
      </w:r>
      <w:r w:rsidR="00585642" w:rsidRPr="00A4283E">
        <w:rPr>
          <w:rFonts w:ascii="Bookman Old Style" w:hAnsi="Bookman Old Style" w:cs="Arial"/>
        </w:rPr>
        <w:t xml:space="preserve">Primero </w:t>
      </w:r>
      <w:r w:rsidR="00705E27" w:rsidRPr="00A4283E">
        <w:rPr>
          <w:rFonts w:ascii="Bookman Old Style" w:hAnsi="Bookman Old Style" w:cs="Arial"/>
        </w:rPr>
        <w:t>Laboral del Circuito de Pereira.</w:t>
      </w:r>
    </w:p>
    <w:p w14:paraId="74D71ABA" w14:textId="77777777" w:rsidR="003073FB" w:rsidRPr="00A4283E" w:rsidRDefault="003073FB" w:rsidP="00A4283E">
      <w:pPr>
        <w:spacing w:line="276" w:lineRule="auto"/>
        <w:ind w:firstLine="0"/>
        <w:rPr>
          <w:rFonts w:ascii="Bookman Old Style" w:hAnsi="Bookman Old Style" w:cs="Arial"/>
        </w:rPr>
      </w:pPr>
    </w:p>
    <w:p w14:paraId="7B293B4A" w14:textId="3C9C6AF5" w:rsidR="003073FB" w:rsidRPr="00A4283E" w:rsidRDefault="00410952" w:rsidP="00A4283E">
      <w:pPr>
        <w:spacing w:line="276" w:lineRule="auto"/>
        <w:ind w:firstLine="0"/>
        <w:rPr>
          <w:rFonts w:ascii="Bookman Old Style" w:hAnsi="Bookman Old Style" w:cs="Arial"/>
        </w:rPr>
      </w:pPr>
      <w:r w:rsidRPr="00A4283E">
        <w:rPr>
          <w:rFonts w:ascii="Bookman Old Style" w:hAnsi="Bookman Old Style" w:cs="Arial"/>
          <w:b/>
          <w:bCs/>
        </w:rPr>
        <w:t>CUARTO</w:t>
      </w:r>
      <w:r w:rsidR="003073FB" w:rsidRPr="00A4283E">
        <w:rPr>
          <w:rFonts w:ascii="Bookman Old Style" w:hAnsi="Bookman Old Style" w:cs="Arial"/>
        </w:rPr>
        <w:t xml:space="preserve">: </w:t>
      </w:r>
      <w:r w:rsidR="003073FB" w:rsidRPr="00A4283E">
        <w:rPr>
          <w:rFonts w:ascii="Bookman Old Style" w:hAnsi="Bookman Old Style" w:cs="Arial"/>
          <w:b/>
          <w:bCs/>
        </w:rPr>
        <w:t>COSTAS</w:t>
      </w:r>
      <w:r w:rsidR="003073FB" w:rsidRPr="00A4283E">
        <w:rPr>
          <w:rFonts w:ascii="Bookman Old Style" w:hAnsi="Bookman Old Style" w:cs="Arial"/>
        </w:rPr>
        <w:t xml:space="preserve"> en esta instancia a cargo </w:t>
      </w:r>
      <w:r w:rsidR="007E05C4" w:rsidRPr="00A4283E">
        <w:rPr>
          <w:rFonts w:ascii="Bookman Old Style" w:hAnsi="Bookman Old Style" w:cs="Arial"/>
        </w:rPr>
        <w:t>de</w:t>
      </w:r>
      <w:r w:rsidR="003073FB" w:rsidRPr="00A4283E">
        <w:rPr>
          <w:rFonts w:ascii="Bookman Old Style" w:hAnsi="Bookman Old Style" w:cs="Arial"/>
        </w:rPr>
        <w:t xml:space="preserve"> </w:t>
      </w:r>
      <w:r w:rsidR="00B56F68" w:rsidRPr="00A4283E">
        <w:rPr>
          <w:rFonts w:ascii="Bookman Old Style" w:hAnsi="Bookman Old Style" w:cs="Arial"/>
          <w:b/>
          <w:bCs/>
        </w:rPr>
        <w:t>COLPENSIONES</w:t>
      </w:r>
      <w:r w:rsidR="00953BAB" w:rsidRPr="00A4283E">
        <w:rPr>
          <w:rFonts w:ascii="Bookman Old Style" w:hAnsi="Bookman Old Style" w:cs="Arial"/>
          <w:b/>
          <w:bCs/>
        </w:rPr>
        <w:t xml:space="preserve"> y </w:t>
      </w:r>
      <w:r w:rsidR="00DC1775" w:rsidRPr="00A4283E">
        <w:rPr>
          <w:rFonts w:ascii="Bookman Old Style" w:hAnsi="Bookman Old Style" w:cs="Arial"/>
          <w:b/>
          <w:bCs/>
        </w:rPr>
        <w:t>COLFONDOS</w:t>
      </w:r>
      <w:r w:rsidR="00953BAB" w:rsidRPr="00A4283E">
        <w:rPr>
          <w:rFonts w:ascii="Bookman Old Style" w:hAnsi="Bookman Old Style" w:cs="Arial"/>
          <w:b/>
          <w:bCs/>
        </w:rPr>
        <w:t xml:space="preserve"> S.A.</w:t>
      </w:r>
      <w:r w:rsidR="00852FA4" w:rsidRPr="00A4283E">
        <w:rPr>
          <w:rFonts w:ascii="Bookman Old Style" w:hAnsi="Bookman Old Style" w:cs="Arial"/>
          <w:b/>
          <w:bCs/>
        </w:rPr>
        <w:t xml:space="preserve"> </w:t>
      </w:r>
      <w:r w:rsidR="003073FB" w:rsidRPr="00A4283E">
        <w:rPr>
          <w:rFonts w:ascii="Bookman Old Style" w:hAnsi="Bookman Old Style" w:cs="Arial"/>
        </w:rPr>
        <w:t>a favor de la parte demandante.</w:t>
      </w:r>
    </w:p>
    <w:p w14:paraId="77D49179" w14:textId="013CEC1C" w:rsidR="003073FB" w:rsidRPr="00A4283E" w:rsidRDefault="003073FB" w:rsidP="00A4283E">
      <w:pPr>
        <w:spacing w:line="276" w:lineRule="auto"/>
        <w:ind w:firstLine="0"/>
        <w:rPr>
          <w:rFonts w:ascii="Bookman Old Style" w:hAnsi="Bookman Old Style" w:cs="Arial"/>
        </w:rPr>
      </w:pPr>
    </w:p>
    <w:p w14:paraId="193AA878" w14:textId="699D9E6F" w:rsidR="00725E4D" w:rsidRPr="00A4283E" w:rsidRDefault="00725E4D" w:rsidP="00A4283E">
      <w:pPr>
        <w:spacing w:line="276" w:lineRule="auto"/>
        <w:ind w:firstLine="0"/>
        <w:jc w:val="center"/>
        <w:rPr>
          <w:rFonts w:ascii="Bookman Old Style" w:hAnsi="Bookman Old Style" w:cs="Arial"/>
        </w:rPr>
      </w:pPr>
      <w:r w:rsidRPr="00A4283E">
        <w:rPr>
          <w:rStyle w:val="normaltextrun"/>
          <w:rFonts w:ascii="Bookman Old Style" w:hAnsi="Bookman Old Style"/>
          <w:b/>
          <w:bCs/>
          <w:color w:val="000000"/>
          <w:shd w:val="clear" w:color="auto" w:fill="FFFFFF"/>
        </w:rPr>
        <w:t>NOTIFÍQUESE Y CÚMPLASE</w:t>
      </w:r>
    </w:p>
    <w:p w14:paraId="7A16B5C2" w14:textId="77777777" w:rsidR="00725E4D" w:rsidRPr="00A4283E" w:rsidRDefault="00725E4D" w:rsidP="00A4283E">
      <w:pPr>
        <w:spacing w:line="276" w:lineRule="auto"/>
        <w:ind w:firstLine="0"/>
        <w:rPr>
          <w:rFonts w:ascii="Bookman Old Style" w:hAnsi="Bookman Old Style" w:cs="Arial"/>
        </w:rPr>
      </w:pPr>
    </w:p>
    <w:p w14:paraId="30DDB815" w14:textId="77777777" w:rsidR="003073FB" w:rsidRPr="00A4283E" w:rsidRDefault="003073FB" w:rsidP="00A4283E">
      <w:pPr>
        <w:spacing w:line="276" w:lineRule="auto"/>
        <w:ind w:firstLine="0"/>
        <w:rPr>
          <w:rFonts w:ascii="Bookman Old Style" w:hAnsi="Bookman Old Style" w:cs="Arial"/>
        </w:rPr>
      </w:pPr>
      <w:r w:rsidRPr="00A4283E">
        <w:rPr>
          <w:rFonts w:ascii="Bookman Old Style" w:hAnsi="Bookman Old Style" w:cs="Arial"/>
        </w:rPr>
        <w:t>Los Magistrados,</w:t>
      </w:r>
    </w:p>
    <w:p w14:paraId="44EBD179" w14:textId="6410DFF9" w:rsidR="003073FB" w:rsidRDefault="003073FB" w:rsidP="00A4283E">
      <w:pPr>
        <w:spacing w:line="276" w:lineRule="auto"/>
        <w:ind w:firstLine="0"/>
        <w:rPr>
          <w:rFonts w:ascii="Bookman Old Style" w:hAnsi="Bookman Old Style" w:cs="Arial"/>
        </w:rPr>
      </w:pPr>
    </w:p>
    <w:p w14:paraId="766D49B1" w14:textId="77777777" w:rsidR="00BE7720" w:rsidRPr="00A4283E" w:rsidRDefault="00BE7720" w:rsidP="00A4283E">
      <w:pPr>
        <w:spacing w:line="276" w:lineRule="auto"/>
        <w:ind w:firstLine="0"/>
        <w:rPr>
          <w:rFonts w:ascii="Bookman Old Style" w:hAnsi="Bookman Old Style" w:cs="Arial"/>
        </w:rPr>
      </w:pPr>
    </w:p>
    <w:p w14:paraId="359B3AD7" w14:textId="77777777" w:rsidR="003073FB" w:rsidRPr="00A4283E" w:rsidRDefault="003073FB" w:rsidP="00A4283E">
      <w:pPr>
        <w:spacing w:line="276" w:lineRule="auto"/>
        <w:ind w:firstLine="0"/>
        <w:jc w:val="center"/>
        <w:rPr>
          <w:rFonts w:ascii="Bookman Old Style" w:hAnsi="Bookman Old Style" w:cs="Arial"/>
          <w:b/>
        </w:rPr>
      </w:pPr>
    </w:p>
    <w:p w14:paraId="1F2D20BA" w14:textId="77777777" w:rsidR="003073FB" w:rsidRPr="00A4283E" w:rsidRDefault="003073FB" w:rsidP="00A4283E">
      <w:pPr>
        <w:spacing w:line="276" w:lineRule="auto"/>
        <w:ind w:firstLine="0"/>
        <w:jc w:val="center"/>
        <w:rPr>
          <w:rFonts w:ascii="Bookman Old Style" w:hAnsi="Bookman Old Style" w:cs="Arial"/>
          <w:b/>
        </w:rPr>
      </w:pPr>
      <w:r w:rsidRPr="00A4283E">
        <w:rPr>
          <w:rFonts w:ascii="Bookman Old Style" w:hAnsi="Bookman Old Style" w:cs="Arial"/>
          <w:b/>
        </w:rPr>
        <w:t>GERMÁN DARÍO GÓEZ VINASCO</w:t>
      </w:r>
    </w:p>
    <w:p w14:paraId="214D3226" w14:textId="77777777" w:rsidR="003073FB" w:rsidRPr="00A4283E" w:rsidRDefault="003073FB" w:rsidP="00A4283E">
      <w:pPr>
        <w:spacing w:line="276" w:lineRule="auto"/>
        <w:ind w:firstLine="0"/>
        <w:jc w:val="center"/>
        <w:rPr>
          <w:rFonts w:ascii="Bookman Old Style" w:hAnsi="Bookman Old Style" w:cs="Arial"/>
          <w:b/>
        </w:rPr>
      </w:pPr>
    </w:p>
    <w:p w14:paraId="2989A696" w14:textId="59B0FD44" w:rsidR="003073FB" w:rsidRDefault="003073FB" w:rsidP="00A4283E">
      <w:pPr>
        <w:spacing w:line="276" w:lineRule="auto"/>
        <w:ind w:firstLine="0"/>
        <w:jc w:val="center"/>
        <w:rPr>
          <w:rFonts w:ascii="Bookman Old Style" w:hAnsi="Bookman Old Style" w:cs="Arial"/>
          <w:b/>
          <w:bCs/>
        </w:rPr>
      </w:pPr>
    </w:p>
    <w:p w14:paraId="75F0FE2E" w14:textId="77777777" w:rsidR="00BE7720" w:rsidRPr="00A4283E" w:rsidRDefault="00BE7720" w:rsidP="00A4283E">
      <w:pPr>
        <w:spacing w:line="276" w:lineRule="auto"/>
        <w:ind w:firstLine="0"/>
        <w:jc w:val="center"/>
        <w:rPr>
          <w:rFonts w:ascii="Bookman Old Style" w:hAnsi="Bookman Old Style" w:cs="Arial"/>
          <w:b/>
          <w:bCs/>
        </w:rPr>
      </w:pPr>
    </w:p>
    <w:p w14:paraId="20C8869C" w14:textId="77777777" w:rsidR="003073FB" w:rsidRPr="00A4283E" w:rsidRDefault="003073FB" w:rsidP="00A4283E">
      <w:pPr>
        <w:spacing w:line="276" w:lineRule="auto"/>
        <w:ind w:firstLine="0"/>
        <w:jc w:val="center"/>
        <w:rPr>
          <w:rFonts w:ascii="Bookman Old Style" w:hAnsi="Bookman Old Style" w:cs="Arial"/>
          <w:b/>
          <w:bCs/>
        </w:rPr>
      </w:pPr>
      <w:r w:rsidRPr="00A4283E">
        <w:rPr>
          <w:rFonts w:ascii="Bookman Old Style" w:hAnsi="Bookman Old Style" w:cs="Arial"/>
          <w:b/>
          <w:bCs/>
        </w:rPr>
        <w:t>OLGA LUCIA HOYOS SEPÚLVEDA</w:t>
      </w:r>
    </w:p>
    <w:p w14:paraId="7BCF92BF" w14:textId="375D55D9" w:rsidR="00A217B8" w:rsidRPr="00A4283E" w:rsidRDefault="00410952" w:rsidP="00A4283E">
      <w:pPr>
        <w:spacing w:line="276" w:lineRule="auto"/>
        <w:ind w:firstLine="0"/>
        <w:jc w:val="center"/>
        <w:rPr>
          <w:rFonts w:ascii="Bookman Old Style" w:hAnsi="Bookman Old Style" w:cs="Arial"/>
          <w:bCs/>
        </w:rPr>
      </w:pPr>
      <w:r w:rsidRPr="00A4283E">
        <w:rPr>
          <w:rFonts w:ascii="Bookman Old Style" w:hAnsi="Bookman Old Style" w:cs="Arial"/>
          <w:bCs/>
        </w:rPr>
        <w:t>Aclaración de Voto</w:t>
      </w:r>
    </w:p>
    <w:p w14:paraId="0818E932" w14:textId="39541ACE" w:rsidR="00A217B8" w:rsidRDefault="00A217B8" w:rsidP="00A4283E">
      <w:pPr>
        <w:spacing w:line="276" w:lineRule="auto"/>
        <w:ind w:firstLine="0"/>
        <w:jc w:val="center"/>
        <w:rPr>
          <w:rFonts w:ascii="Bookman Old Style" w:hAnsi="Bookman Old Style" w:cs="Arial"/>
          <w:b/>
          <w:bCs/>
        </w:rPr>
      </w:pPr>
    </w:p>
    <w:p w14:paraId="6A95207C" w14:textId="77777777" w:rsidR="00BE7720" w:rsidRPr="00A4283E" w:rsidRDefault="00BE7720" w:rsidP="00A4283E">
      <w:pPr>
        <w:spacing w:line="276" w:lineRule="auto"/>
        <w:ind w:firstLine="0"/>
        <w:jc w:val="center"/>
        <w:rPr>
          <w:rFonts w:ascii="Bookman Old Style" w:hAnsi="Bookman Old Style" w:cs="Arial"/>
          <w:b/>
          <w:bCs/>
        </w:rPr>
      </w:pPr>
    </w:p>
    <w:p w14:paraId="17DAB712" w14:textId="77777777" w:rsidR="003073FB" w:rsidRPr="00A4283E" w:rsidRDefault="003073FB" w:rsidP="00A4283E">
      <w:pPr>
        <w:spacing w:line="276" w:lineRule="auto"/>
        <w:ind w:firstLine="0"/>
        <w:jc w:val="center"/>
        <w:rPr>
          <w:rFonts w:ascii="Bookman Old Style" w:hAnsi="Bookman Old Style" w:cs="Arial"/>
          <w:b/>
        </w:rPr>
      </w:pPr>
    </w:p>
    <w:p w14:paraId="3CADE43D" w14:textId="77777777" w:rsidR="003073FB" w:rsidRPr="00A4283E" w:rsidRDefault="003073FB" w:rsidP="00A4283E">
      <w:pPr>
        <w:spacing w:line="276" w:lineRule="auto"/>
        <w:ind w:firstLine="0"/>
        <w:jc w:val="center"/>
        <w:rPr>
          <w:rFonts w:ascii="Bookman Old Style" w:hAnsi="Bookman Old Style" w:cs="Arial"/>
          <w:b/>
          <w:bCs/>
        </w:rPr>
      </w:pPr>
      <w:r w:rsidRPr="00A4283E">
        <w:rPr>
          <w:rFonts w:ascii="Bookman Old Style" w:hAnsi="Bookman Old Style" w:cs="Arial"/>
          <w:b/>
          <w:bCs/>
        </w:rPr>
        <w:t>JULIO CÉSAR SALAZAR MUÑOZ</w:t>
      </w:r>
    </w:p>
    <w:p w14:paraId="12CA1CFC" w14:textId="25C45441" w:rsidR="58B3FA1E" w:rsidRDefault="00410952" w:rsidP="00A4283E">
      <w:pPr>
        <w:spacing w:line="276" w:lineRule="auto"/>
        <w:ind w:firstLine="0"/>
        <w:jc w:val="center"/>
        <w:rPr>
          <w:rFonts w:ascii="Bookman Old Style" w:hAnsi="Bookman Old Style" w:cs="Arial"/>
          <w:bCs/>
        </w:rPr>
      </w:pPr>
      <w:r w:rsidRPr="00A4283E">
        <w:rPr>
          <w:rFonts w:ascii="Bookman Old Style" w:hAnsi="Bookman Old Style" w:cs="Arial"/>
          <w:bCs/>
        </w:rPr>
        <w:t>Aclaración de Voto</w:t>
      </w:r>
    </w:p>
    <w:p w14:paraId="2BDFA7E8" w14:textId="31B7D57C" w:rsidR="009320F7" w:rsidRDefault="009320F7" w:rsidP="009320F7">
      <w:pPr>
        <w:spacing w:line="276" w:lineRule="auto"/>
        <w:ind w:firstLine="0"/>
        <w:rPr>
          <w:rFonts w:ascii="Bookman Old Style" w:hAnsi="Bookman Old Style" w:cs="Arial"/>
          <w:bCs/>
        </w:rPr>
      </w:pPr>
    </w:p>
    <w:p w14:paraId="7485C7DE" w14:textId="4B5176F9" w:rsidR="009320F7" w:rsidRDefault="009320F7" w:rsidP="009320F7">
      <w:pPr>
        <w:spacing w:line="276" w:lineRule="auto"/>
        <w:ind w:firstLine="0"/>
        <w:rPr>
          <w:rFonts w:ascii="Bookman Old Style" w:hAnsi="Bookman Old Style" w:cs="Arial"/>
          <w:bCs/>
        </w:rPr>
      </w:pPr>
    </w:p>
    <w:p w14:paraId="4269FD35" w14:textId="77777777" w:rsidR="009320F7" w:rsidRDefault="009320F7" w:rsidP="009320F7">
      <w:pPr>
        <w:rPr>
          <w:rFonts w:ascii="Bookman Old Style" w:hAnsi="Bookman Old Style" w:cs="Arial"/>
          <w:bCs/>
        </w:rPr>
      </w:pPr>
      <w:r>
        <w:rPr>
          <w:rFonts w:ascii="Bookman Old Style" w:hAnsi="Bookman Old Style" w:cs="Arial"/>
          <w:bCs/>
        </w:rPr>
        <w:br w:type="page"/>
      </w:r>
    </w:p>
    <w:p w14:paraId="3B84FD85" w14:textId="5954D1C2" w:rsidR="00BE7720" w:rsidRPr="00BE7720" w:rsidRDefault="00BE7720" w:rsidP="00BE7720">
      <w:pPr>
        <w:autoSpaceDE w:val="0"/>
        <w:autoSpaceDN w:val="0"/>
        <w:adjustRightInd w:val="0"/>
        <w:spacing w:line="240" w:lineRule="auto"/>
        <w:ind w:firstLine="0"/>
        <w:rPr>
          <w:rFonts w:eastAsia="Times New Roman" w:cs="Arial"/>
          <w:bCs/>
          <w:spacing w:val="2"/>
          <w:sz w:val="20"/>
          <w:szCs w:val="20"/>
          <w:lang w:val="es-ES" w:eastAsia="es-ES"/>
        </w:rPr>
      </w:pPr>
      <w:r w:rsidRPr="00BE7720">
        <w:rPr>
          <w:rFonts w:eastAsia="Times New Roman" w:cs="Arial"/>
          <w:bCs/>
          <w:spacing w:val="2"/>
          <w:sz w:val="20"/>
          <w:szCs w:val="20"/>
          <w:lang w:val="es-ES" w:eastAsia="es-ES"/>
        </w:rPr>
        <w:lastRenderedPageBreak/>
        <w:t>Radicación No.:</w:t>
      </w:r>
      <w:r w:rsidRPr="00BE7720">
        <w:rPr>
          <w:rFonts w:eastAsia="Times New Roman" w:cs="Arial"/>
          <w:bCs/>
          <w:spacing w:val="2"/>
          <w:sz w:val="20"/>
          <w:szCs w:val="20"/>
          <w:lang w:val="es-ES" w:eastAsia="es-ES"/>
        </w:rPr>
        <w:tab/>
        <w:t>66001-31-05-001-2021-00129-01</w:t>
      </w:r>
    </w:p>
    <w:p w14:paraId="7E163D46" w14:textId="77777777" w:rsidR="00BE7720" w:rsidRPr="00BE7720" w:rsidRDefault="00BE7720" w:rsidP="00BE7720">
      <w:pPr>
        <w:autoSpaceDE w:val="0"/>
        <w:autoSpaceDN w:val="0"/>
        <w:adjustRightInd w:val="0"/>
        <w:spacing w:line="240" w:lineRule="auto"/>
        <w:ind w:firstLine="0"/>
        <w:rPr>
          <w:rFonts w:eastAsia="Times New Roman" w:cs="Arial"/>
          <w:bCs/>
          <w:spacing w:val="2"/>
          <w:sz w:val="20"/>
          <w:szCs w:val="20"/>
          <w:lang w:val="es-ES" w:eastAsia="es-ES"/>
        </w:rPr>
      </w:pPr>
      <w:r w:rsidRPr="00BE7720">
        <w:rPr>
          <w:rFonts w:eastAsia="Times New Roman" w:cs="Arial"/>
          <w:bCs/>
          <w:spacing w:val="2"/>
          <w:sz w:val="20"/>
          <w:szCs w:val="20"/>
          <w:lang w:val="es-ES" w:eastAsia="es-ES"/>
        </w:rPr>
        <w:t>Demandante:</w:t>
      </w:r>
      <w:r w:rsidRPr="00BE7720">
        <w:rPr>
          <w:rFonts w:eastAsia="Times New Roman" w:cs="Arial"/>
          <w:bCs/>
          <w:spacing w:val="2"/>
          <w:sz w:val="20"/>
          <w:szCs w:val="20"/>
          <w:lang w:val="es-ES" w:eastAsia="es-ES"/>
        </w:rPr>
        <w:tab/>
      </w:r>
      <w:r w:rsidRPr="00BE7720">
        <w:rPr>
          <w:rFonts w:eastAsia="Times New Roman" w:cs="Arial"/>
          <w:bCs/>
          <w:spacing w:val="2"/>
          <w:sz w:val="20"/>
          <w:szCs w:val="20"/>
          <w:lang w:val="es-ES" w:eastAsia="es-ES"/>
        </w:rPr>
        <w:tab/>
        <w:t>Gloria Liliana Rivera Barrero</w:t>
      </w:r>
    </w:p>
    <w:p w14:paraId="3639988C" w14:textId="77777777" w:rsidR="00BE7720" w:rsidRPr="00BE7720" w:rsidRDefault="00BE7720" w:rsidP="00BE7720">
      <w:pPr>
        <w:autoSpaceDE w:val="0"/>
        <w:autoSpaceDN w:val="0"/>
        <w:adjustRightInd w:val="0"/>
        <w:spacing w:line="240" w:lineRule="auto"/>
        <w:ind w:firstLine="0"/>
        <w:rPr>
          <w:rFonts w:eastAsia="Times New Roman" w:cs="Arial"/>
          <w:bCs/>
          <w:spacing w:val="2"/>
          <w:sz w:val="20"/>
          <w:szCs w:val="20"/>
          <w:lang w:val="es-ES" w:eastAsia="es-ES"/>
        </w:rPr>
      </w:pPr>
      <w:r w:rsidRPr="00BE7720">
        <w:rPr>
          <w:rFonts w:eastAsia="Times New Roman" w:cs="Arial"/>
          <w:bCs/>
          <w:spacing w:val="2"/>
          <w:sz w:val="20"/>
          <w:szCs w:val="20"/>
          <w:lang w:val="es-ES" w:eastAsia="es-ES"/>
        </w:rPr>
        <w:t>Demandado:</w:t>
      </w:r>
      <w:r w:rsidRPr="00BE7720">
        <w:rPr>
          <w:rFonts w:eastAsia="Times New Roman" w:cs="Arial"/>
          <w:bCs/>
          <w:spacing w:val="2"/>
          <w:sz w:val="20"/>
          <w:szCs w:val="20"/>
          <w:lang w:val="es-ES" w:eastAsia="es-ES"/>
        </w:rPr>
        <w:tab/>
      </w:r>
      <w:r w:rsidRPr="00BE7720">
        <w:rPr>
          <w:rFonts w:eastAsia="Times New Roman" w:cs="Arial"/>
          <w:bCs/>
          <w:spacing w:val="2"/>
          <w:sz w:val="20"/>
          <w:szCs w:val="20"/>
          <w:lang w:val="es-ES" w:eastAsia="es-ES"/>
        </w:rPr>
        <w:tab/>
        <w:t>Colpensiones y Colfondos S.A.</w:t>
      </w:r>
    </w:p>
    <w:p w14:paraId="696A4429" w14:textId="77777777" w:rsidR="009320F7" w:rsidRPr="00E42BEA" w:rsidRDefault="009320F7" w:rsidP="009320F7">
      <w:pPr>
        <w:autoSpaceDE w:val="0"/>
        <w:autoSpaceDN w:val="0"/>
        <w:adjustRightInd w:val="0"/>
        <w:spacing w:line="240" w:lineRule="auto"/>
        <w:ind w:firstLine="0"/>
        <w:rPr>
          <w:rFonts w:eastAsia="Times New Roman" w:cs="Arial"/>
          <w:bCs/>
          <w:spacing w:val="2"/>
          <w:sz w:val="20"/>
          <w:szCs w:val="20"/>
          <w:lang w:val="es-ES" w:eastAsia="es-ES"/>
        </w:rPr>
      </w:pPr>
      <w:r w:rsidRPr="00E42BEA">
        <w:rPr>
          <w:rFonts w:eastAsia="Times New Roman" w:cs="Arial"/>
          <w:bCs/>
          <w:spacing w:val="2"/>
          <w:sz w:val="20"/>
          <w:szCs w:val="20"/>
          <w:lang w:val="es-ES" w:eastAsia="es-ES"/>
        </w:rPr>
        <w:t>Tema:</w:t>
      </w:r>
      <w:r w:rsidRPr="00E42BEA">
        <w:rPr>
          <w:rFonts w:eastAsia="Times New Roman" w:cs="Arial"/>
          <w:bCs/>
          <w:spacing w:val="2"/>
          <w:sz w:val="20"/>
          <w:szCs w:val="20"/>
          <w:lang w:val="es-ES" w:eastAsia="es-ES"/>
        </w:rPr>
        <w:tab/>
      </w:r>
      <w:r w:rsidRPr="00E42BEA">
        <w:rPr>
          <w:rFonts w:eastAsia="Times New Roman" w:cs="Arial"/>
          <w:bCs/>
          <w:spacing w:val="2"/>
          <w:sz w:val="20"/>
          <w:szCs w:val="20"/>
          <w:lang w:val="es-ES" w:eastAsia="es-ES"/>
        </w:rPr>
        <w:tab/>
      </w:r>
      <w:r w:rsidRPr="00E42BEA">
        <w:rPr>
          <w:rFonts w:eastAsia="Times New Roman" w:cs="Arial"/>
          <w:bCs/>
          <w:spacing w:val="2"/>
          <w:sz w:val="20"/>
          <w:szCs w:val="20"/>
          <w:lang w:val="es-ES" w:eastAsia="es-ES"/>
        </w:rPr>
        <w:tab/>
        <w:t>Cumplimiento a exhorto de la Sala de Casación.</w:t>
      </w:r>
    </w:p>
    <w:p w14:paraId="2CC5BDF9" w14:textId="77777777" w:rsidR="009320F7" w:rsidRPr="00E42BEA" w:rsidRDefault="009320F7" w:rsidP="009320F7">
      <w:pPr>
        <w:autoSpaceDE w:val="0"/>
        <w:autoSpaceDN w:val="0"/>
        <w:adjustRightInd w:val="0"/>
        <w:spacing w:line="240" w:lineRule="auto"/>
        <w:ind w:firstLine="0"/>
        <w:rPr>
          <w:rFonts w:eastAsia="Times New Roman" w:cs="Arial"/>
          <w:bCs/>
          <w:spacing w:val="2"/>
          <w:sz w:val="20"/>
          <w:szCs w:val="20"/>
          <w:lang w:val="es-ES" w:eastAsia="es-ES"/>
        </w:rPr>
      </w:pPr>
    </w:p>
    <w:p w14:paraId="3915D492" w14:textId="77777777" w:rsidR="009320F7" w:rsidRPr="00E42BEA" w:rsidRDefault="009320F7" w:rsidP="009320F7">
      <w:pPr>
        <w:autoSpaceDE w:val="0"/>
        <w:autoSpaceDN w:val="0"/>
        <w:adjustRightInd w:val="0"/>
        <w:spacing w:line="240" w:lineRule="auto"/>
        <w:ind w:firstLine="0"/>
        <w:rPr>
          <w:rFonts w:eastAsia="Times New Roman" w:cs="Arial"/>
          <w:bCs/>
          <w:spacing w:val="2"/>
          <w:sz w:val="20"/>
          <w:szCs w:val="20"/>
          <w:lang w:val="es-ES" w:eastAsia="es-ES"/>
        </w:rPr>
      </w:pPr>
    </w:p>
    <w:p w14:paraId="1588BA16" w14:textId="77777777" w:rsidR="009320F7" w:rsidRPr="00E42BEA" w:rsidRDefault="009320F7" w:rsidP="009320F7">
      <w:pPr>
        <w:autoSpaceDE w:val="0"/>
        <w:autoSpaceDN w:val="0"/>
        <w:adjustRightInd w:val="0"/>
        <w:spacing w:line="240" w:lineRule="auto"/>
        <w:ind w:firstLine="0"/>
        <w:rPr>
          <w:rFonts w:eastAsia="Times New Roman" w:cs="Arial"/>
          <w:bCs/>
          <w:spacing w:val="2"/>
          <w:sz w:val="20"/>
          <w:szCs w:val="20"/>
          <w:lang w:val="es-ES" w:eastAsia="es-ES"/>
        </w:rPr>
      </w:pPr>
    </w:p>
    <w:p w14:paraId="395797B0" w14:textId="77777777" w:rsidR="009320F7" w:rsidRPr="00E42BEA" w:rsidRDefault="009320F7" w:rsidP="009320F7">
      <w:pPr>
        <w:keepNext/>
        <w:spacing w:line="240" w:lineRule="auto"/>
        <w:ind w:firstLine="0"/>
        <w:jc w:val="center"/>
        <w:outlineLvl w:val="2"/>
        <w:rPr>
          <w:rFonts w:eastAsia="Times New Roman" w:cs="Arial"/>
          <w:b/>
          <w:lang w:val="es-ES_tradnl" w:eastAsia="es-ES"/>
        </w:rPr>
      </w:pPr>
      <w:r w:rsidRPr="00E42BEA">
        <w:rPr>
          <w:rFonts w:eastAsia="Times New Roman" w:cs="Arial"/>
          <w:b/>
          <w:lang w:val="es-ES_tradnl" w:eastAsia="es-ES"/>
        </w:rPr>
        <w:t>TRIBUNAL SUPERIOR DEL DISTRITO JUDICIAL</w:t>
      </w:r>
    </w:p>
    <w:p w14:paraId="70630F87" w14:textId="77777777" w:rsidR="009320F7" w:rsidRPr="00E42BEA" w:rsidRDefault="009320F7" w:rsidP="009320F7">
      <w:pPr>
        <w:spacing w:line="240" w:lineRule="auto"/>
        <w:ind w:firstLine="0"/>
        <w:jc w:val="center"/>
        <w:rPr>
          <w:rFonts w:eastAsia="Calibri" w:cs="Arial"/>
          <w:b/>
        </w:rPr>
      </w:pPr>
    </w:p>
    <w:p w14:paraId="2357B105" w14:textId="77777777" w:rsidR="009320F7" w:rsidRPr="00E42BEA" w:rsidRDefault="009320F7" w:rsidP="009320F7">
      <w:pPr>
        <w:spacing w:line="240" w:lineRule="auto"/>
        <w:ind w:firstLine="0"/>
        <w:jc w:val="center"/>
        <w:rPr>
          <w:rFonts w:eastAsia="Calibri" w:cs="Arial"/>
          <w:b/>
        </w:rPr>
      </w:pPr>
      <w:r w:rsidRPr="00E42BEA">
        <w:rPr>
          <w:rFonts w:eastAsia="Calibri" w:cs="Arial"/>
          <w:b/>
        </w:rPr>
        <w:t>SALA LABORAL</w:t>
      </w:r>
    </w:p>
    <w:p w14:paraId="762ED3C5" w14:textId="77777777" w:rsidR="009320F7" w:rsidRPr="00E42BEA" w:rsidRDefault="009320F7" w:rsidP="009320F7">
      <w:pPr>
        <w:spacing w:line="240" w:lineRule="auto"/>
        <w:ind w:firstLine="0"/>
        <w:jc w:val="center"/>
        <w:rPr>
          <w:rFonts w:eastAsia="Times New Roman" w:cs="Arial"/>
          <w:b/>
          <w:lang w:val="es-ES_tradnl" w:eastAsia="es-ES"/>
        </w:rPr>
      </w:pPr>
    </w:p>
    <w:p w14:paraId="7D7F2D4A" w14:textId="77777777" w:rsidR="009320F7" w:rsidRPr="00E42BEA" w:rsidRDefault="009320F7" w:rsidP="009320F7">
      <w:pPr>
        <w:spacing w:line="240" w:lineRule="auto"/>
        <w:ind w:firstLine="0"/>
        <w:jc w:val="center"/>
        <w:rPr>
          <w:rFonts w:eastAsia="Times New Roman" w:cs="Arial"/>
          <w:b/>
          <w:lang w:val="es-ES_tradnl" w:eastAsia="es-ES"/>
        </w:rPr>
      </w:pPr>
      <w:r w:rsidRPr="00E42BEA">
        <w:rPr>
          <w:rFonts w:eastAsia="Times New Roman" w:cs="Arial"/>
          <w:b/>
          <w:lang w:val="es-ES_tradnl" w:eastAsia="es-ES"/>
        </w:rPr>
        <w:t xml:space="preserve">MAGISTRADO: JULIO CÉSAR SALAZAR MUÑOZ </w:t>
      </w:r>
    </w:p>
    <w:p w14:paraId="12F9727C" w14:textId="77777777" w:rsidR="009320F7" w:rsidRPr="00E42BEA" w:rsidRDefault="009320F7" w:rsidP="009320F7">
      <w:pPr>
        <w:spacing w:line="240" w:lineRule="auto"/>
        <w:ind w:firstLine="0"/>
        <w:jc w:val="center"/>
        <w:rPr>
          <w:rFonts w:eastAsia="Times New Roman" w:cs="Arial"/>
          <w:b/>
          <w:lang w:val="es-ES_tradnl" w:eastAsia="es-ES"/>
        </w:rPr>
      </w:pPr>
    </w:p>
    <w:p w14:paraId="06A9C99B" w14:textId="77777777" w:rsidR="009320F7" w:rsidRPr="00E42BEA" w:rsidRDefault="009320F7" w:rsidP="009320F7">
      <w:pPr>
        <w:spacing w:line="240" w:lineRule="auto"/>
        <w:ind w:firstLine="0"/>
        <w:jc w:val="center"/>
        <w:rPr>
          <w:rFonts w:eastAsia="Times New Roman" w:cs="Arial"/>
          <w:b/>
          <w:lang w:val="es-ES_tradnl" w:eastAsia="es-ES"/>
        </w:rPr>
      </w:pPr>
    </w:p>
    <w:p w14:paraId="3AA7E885" w14:textId="77D501A4" w:rsidR="009320F7" w:rsidRPr="00E42BEA" w:rsidRDefault="002F5BD6" w:rsidP="009320F7">
      <w:pPr>
        <w:spacing w:line="240" w:lineRule="auto"/>
        <w:ind w:firstLine="0"/>
        <w:jc w:val="center"/>
        <w:rPr>
          <w:rFonts w:eastAsia="Times New Roman" w:cs="Arial"/>
          <w:lang w:val="es-ES_tradnl" w:eastAsia="es-ES"/>
        </w:rPr>
      </w:pPr>
      <w:r>
        <w:rPr>
          <w:rFonts w:eastAsia="Times New Roman" w:cs="Arial"/>
          <w:lang w:val="es-ES_tradnl" w:eastAsia="es-ES"/>
        </w:rPr>
        <w:t>Noviembre 20</w:t>
      </w:r>
      <w:r w:rsidR="009320F7" w:rsidRPr="00084D61">
        <w:rPr>
          <w:rFonts w:eastAsia="Times New Roman" w:cs="Arial"/>
          <w:lang w:val="es-ES_tradnl" w:eastAsia="es-ES"/>
        </w:rPr>
        <w:t xml:space="preserve"> de 2023</w:t>
      </w:r>
    </w:p>
    <w:p w14:paraId="56900C68" w14:textId="77777777" w:rsidR="009320F7" w:rsidRPr="00E42BEA" w:rsidRDefault="009320F7" w:rsidP="009320F7">
      <w:pPr>
        <w:spacing w:line="240" w:lineRule="auto"/>
        <w:ind w:firstLine="0"/>
        <w:jc w:val="center"/>
        <w:rPr>
          <w:rFonts w:eastAsia="Times New Roman" w:cs="Arial"/>
          <w:b/>
          <w:lang w:val="es-ES_tradnl" w:eastAsia="es-ES"/>
        </w:rPr>
      </w:pPr>
    </w:p>
    <w:p w14:paraId="6F38E6AB" w14:textId="77777777" w:rsidR="009320F7" w:rsidRPr="00E42BEA" w:rsidRDefault="009320F7" w:rsidP="009320F7">
      <w:pPr>
        <w:spacing w:line="240" w:lineRule="auto"/>
        <w:ind w:firstLine="0"/>
        <w:jc w:val="center"/>
        <w:rPr>
          <w:rFonts w:eastAsia="Times New Roman" w:cs="Arial"/>
          <w:b/>
          <w:lang w:val="es-ES_tradnl" w:eastAsia="es-ES"/>
        </w:rPr>
      </w:pPr>
    </w:p>
    <w:p w14:paraId="74F615BE" w14:textId="77777777" w:rsidR="009320F7" w:rsidRPr="00E42BEA" w:rsidRDefault="009320F7" w:rsidP="009320F7">
      <w:pPr>
        <w:spacing w:line="240" w:lineRule="auto"/>
        <w:ind w:firstLine="0"/>
        <w:jc w:val="center"/>
        <w:rPr>
          <w:rFonts w:eastAsia="Times New Roman" w:cs="Arial"/>
          <w:b/>
          <w:u w:val="single"/>
          <w:lang w:val="es-ES_tradnl" w:eastAsia="es-ES"/>
        </w:rPr>
      </w:pPr>
      <w:r w:rsidRPr="00E42BEA">
        <w:rPr>
          <w:rFonts w:eastAsia="Times New Roman" w:cs="Arial"/>
          <w:b/>
          <w:u w:val="single"/>
          <w:lang w:val="es-ES_tradnl" w:eastAsia="es-ES"/>
        </w:rPr>
        <w:t>ACLARACIÓN DE VOTO</w:t>
      </w:r>
    </w:p>
    <w:p w14:paraId="1FAD2252" w14:textId="77777777" w:rsidR="009320F7" w:rsidRPr="00E42BEA" w:rsidRDefault="009320F7" w:rsidP="009320F7">
      <w:pPr>
        <w:spacing w:line="276" w:lineRule="auto"/>
        <w:ind w:firstLine="0"/>
        <w:rPr>
          <w:rFonts w:eastAsia="Times New Roman" w:cs="Arial"/>
          <w:lang w:val="es-ES" w:eastAsia="es-ES"/>
        </w:rPr>
      </w:pPr>
    </w:p>
    <w:p w14:paraId="500A66D9" w14:textId="77777777" w:rsidR="009320F7" w:rsidRPr="00E42BEA" w:rsidRDefault="009320F7" w:rsidP="009320F7">
      <w:pPr>
        <w:spacing w:line="276" w:lineRule="auto"/>
        <w:ind w:firstLine="0"/>
        <w:rPr>
          <w:rFonts w:eastAsia="Times New Roman" w:cs="Arial"/>
          <w:lang w:val="es-ES" w:eastAsia="es-ES"/>
        </w:rPr>
      </w:pPr>
    </w:p>
    <w:p w14:paraId="3A18827A" w14:textId="77777777" w:rsidR="009320F7" w:rsidRPr="00E42BEA" w:rsidRDefault="009320F7" w:rsidP="009320F7">
      <w:pPr>
        <w:spacing w:line="276" w:lineRule="auto"/>
        <w:ind w:firstLine="0"/>
        <w:rPr>
          <w:rFonts w:eastAsia="Times New Roman" w:cs="Arial"/>
          <w:lang w:val="es-ES" w:eastAsia="es-ES"/>
        </w:rPr>
      </w:pPr>
      <w:r w:rsidRPr="00E42BEA">
        <w:rPr>
          <w:rFonts w:eastAsia="Times New Roman" w:cs="Arial"/>
          <w:lang w:val="es-ES" w:eastAsia="es-ES"/>
        </w:rPr>
        <w:t>A pesar de que, según mi leal saber y entender, en la sentencia proferida por esta Sala del Tribunal el 5 de marzo de 2020, en el proceso que contra Colpensiones y Porvenir S.A. adelantó la señora María Inés Espitia Lozano en un proceso de ineficacia del traslado entre regímenes pensionales, en el que se trataban iguales temas jurídicos y probatorios a los que en este asunto se resolvieron, se cumplieron por la Sala mayoritaria a cabalidad con las exigencias que según las Cortes Constitucional y Suprema tienen que llenar los jueces de inferior jerarquía para apartarse de la línea jurisprudencial del órgano de cierre, cuatro de los siete magistrados de la Sala de Casación Laboral de la Corte Suprema de Justicia, esto es, la mayoría de esa célula judicial, decidieron textualmente: “</w:t>
      </w:r>
      <w:r w:rsidRPr="00E42BEA">
        <w:rPr>
          <w:rFonts w:eastAsia="Times New Roman" w:cs="Arial"/>
          <w:b/>
          <w:lang w:val="es-ES" w:eastAsia="es-ES"/>
        </w:rPr>
        <w:t>EXORTAR</w:t>
      </w:r>
      <w:r w:rsidRPr="00E42BEA">
        <w:rPr>
          <w:rFonts w:eastAsia="Times New Roman" w:cs="Arial"/>
          <w:lang w:val="es-ES" w:eastAsia="es-ES"/>
        </w:rPr>
        <w:t xml:space="preserve"> (sic) a la </w:t>
      </w:r>
      <w:r w:rsidRPr="00E42BEA">
        <w:rPr>
          <w:rFonts w:eastAsia="Times New Roman" w:cs="Arial"/>
          <w:b/>
          <w:lang w:val="es-ES" w:eastAsia="es-ES"/>
        </w:rPr>
        <w:t xml:space="preserve">SALA LABORAL DEL TRIBUNAL SUPERIOR DEL DISTRITO JUDICIAL DE PEREIRA </w:t>
      </w:r>
      <w:r w:rsidRPr="00E42BEA">
        <w:rPr>
          <w:rFonts w:eastAsia="Times New Roman" w:cs="Arial"/>
          <w:lang w:val="es-ES" w:eastAsia="es-ES"/>
        </w:rPr>
        <w:t>para que en lo sucesivo acate el precedente judicial emanado de esta Corporación”.</w:t>
      </w:r>
    </w:p>
    <w:p w14:paraId="59524E85" w14:textId="77777777" w:rsidR="009320F7" w:rsidRPr="00E42BEA" w:rsidRDefault="009320F7" w:rsidP="009320F7">
      <w:pPr>
        <w:spacing w:line="276" w:lineRule="auto"/>
        <w:ind w:firstLine="0"/>
        <w:rPr>
          <w:rFonts w:eastAsia="Times New Roman" w:cs="Arial"/>
          <w:lang w:val="es-ES" w:eastAsia="es-ES"/>
        </w:rPr>
      </w:pPr>
    </w:p>
    <w:p w14:paraId="459B3A1B" w14:textId="77777777" w:rsidR="009320F7" w:rsidRPr="00E42BEA" w:rsidRDefault="009320F7" w:rsidP="009320F7">
      <w:pPr>
        <w:spacing w:line="276" w:lineRule="auto"/>
        <w:ind w:firstLine="0"/>
        <w:rPr>
          <w:rFonts w:eastAsia="Times New Roman" w:cs="Arial"/>
          <w:lang w:val="es-ES" w:eastAsia="es-ES"/>
        </w:rPr>
      </w:pPr>
      <w:r w:rsidRPr="00E42BEA">
        <w:rPr>
          <w:rFonts w:eastAsia="Times New Roman" w:cs="Arial"/>
          <w:lang w:val="es-ES" w:eastAsia="es-ES"/>
        </w:rPr>
        <w:t xml:space="preserve">Como iguales circunstancias a las narradas previamente ocurrieron en este asunto, bajo tal apremio, no obstante lo dispuesto en los artículos 228 y 230 de la Constitución Nacional, </w:t>
      </w:r>
      <w:r w:rsidRPr="00E42BEA">
        <w:rPr>
          <w:rFonts w:eastAsia="Times New Roman" w:cs="Arial"/>
          <w:b/>
          <w:lang w:val="es-ES" w:eastAsia="es-ES"/>
        </w:rPr>
        <w:t>no queda otra posibilidad al suscrito que</w:t>
      </w:r>
      <w:r w:rsidRPr="00E42BEA">
        <w:rPr>
          <w:rFonts w:eastAsia="Times New Roman" w:cs="Arial"/>
          <w:lang w:val="es-ES" w:eastAsia="es-ES"/>
        </w:rPr>
        <w:t xml:space="preserve">, en este y en todos los numerosos y sucesivos asuntos de similares características que se presenten a la Sala para decisión de eventos de ineficacia de traslados entre regímenes pensionales, </w:t>
      </w:r>
      <w:r w:rsidRPr="00E42BEA">
        <w:rPr>
          <w:rFonts w:eastAsia="Times New Roman" w:cs="Arial"/>
          <w:b/>
          <w:lang w:val="es-ES" w:eastAsia="es-ES"/>
        </w:rPr>
        <w:t>acatar lo resuelto por el superior</w:t>
      </w:r>
      <w:r w:rsidRPr="00E42BEA">
        <w:rPr>
          <w:rFonts w:eastAsia="Times New Roman" w:cs="Arial"/>
          <w:lang w:val="es-ES" w:eastAsia="es-ES"/>
        </w:rPr>
        <w:t>, en el sentido de proferir la providencia siguiendo la línea jurisprudencial señalada por la mayoría de los integrantes de la Sala de Casación Laboral, a pesar de no representar ésta el criterio jurídico de quien suscribe esta aclaración, mismo que en realidad se enmarca en el siguiente:</w:t>
      </w:r>
    </w:p>
    <w:p w14:paraId="6F10E5F6" w14:textId="77777777" w:rsidR="009320F7" w:rsidRPr="00E42BEA" w:rsidRDefault="009320F7" w:rsidP="009320F7">
      <w:pPr>
        <w:spacing w:line="276" w:lineRule="auto"/>
        <w:ind w:firstLine="0"/>
        <w:rPr>
          <w:rFonts w:eastAsia="Times New Roman" w:cs="Arial"/>
          <w:lang w:val="es-ES" w:eastAsia="es-ES"/>
        </w:rPr>
      </w:pPr>
    </w:p>
    <w:p w14:paraId="76530B7F" w14:textId="77777777" w:rsidR="009320F7" w:rsidRPr="00E42BEA" w:rsidRDefault="009320F7" w:rsidP="009320F7">
      <w:pPr>
        <w:spacing w:line="276" w:lineRule="auto"/>
        <w:ind w:firstLine="0"/>
        <w:jc w:val="center"/>
        <w:rPr>
          <w:rFonts w:eastAsia="Times New Roman" w:cs="Arial"/>
          <w:b/>
          <w:lang w:val="es-ES" w:eastAsia="es-ES"/>
        </w:rPr>
      </w:pPr>
      <w:r w:rsidRPr="00E42BEA">
        <w:rPr>
          <w:rFonts w:eastAsia="Times New Roman" w:cs="Arial"/>
          <w:b/>
          <w:lang w:val="es-ES" w:eastAsia="es-ES"/>
        </w:rPr>
        <w:t>ANÁLISIS JURÍDICO DE LOS HECHOS DEBATIDOS EN LOS CASOS DE TRASLADOS ENTRE REGÍMENES</w:t>
      </w:r>
    </w:p>
    <w:p w14:paraId="6AECEE29" w14:textId="77777777" w:rsidR="009320F7" w:rsidRPr="00E42BEA" w:rsidRDefault="009320F7" w:rsidP="009320F7">
      <w:pPr>
        <w:spacing w:line="276" w:lineRule="auto"/>
        <w:ind w:firstLine="0"/>
        <w:rPr>
          <w:rFonts w:eastAsia="Times New Roman" w:cs="Arial"/>
          <w:lang w:val="es-ES" w:eastAsia="es-ES"/>
        </w:rPr>
      </w:pPr>
    </w:p>
    <w:p w14:paraId="1E7991CF" w14:textId="77777777" w:rsidR="009320F7" w:rsidRPr="00E42BEA" w:rsidRDefault="009320F7" w:rsidP="009320F7">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Tal como lo he venido sosteniendo desde hace ya algún tiempo, a mi juicio se viene cometiendo un grave error jurídico en esta clase de procesos, pues se accede a declarar la ineficacia de los traslados sin considerar y valorar que con ello se impone a Colpensiones la carga económica que representa aceptar, ad portas de adquirir el derecho pensional, como sus afiliados a aquellos que a última hora se dan cuenta que su pensión en el RPM sería superior a la que obtendrían en el RAIS, sin percatarse </w:t>
      </w:r>
      <w:r w:rsidRPr="00E42BEA">
        <w:rPr>
          <w:rFonts w:eastAsia="Times New Roman" w:cs="Arial"/>
          <w:lang w:val="es-ES_tradnl" w:eastAsia="es-ES"/>
        </w:rPr>
        <w:lastRenderedPageBreak/>
        <w:t>que, si en efecto hubo un engaño u omisión en la información para lograr el traslado por parte de la AFP privada, es ésta quien debe proceder al resarcimiento del eventual daño o perjuicio que con ello haya generado.</w:t>
      </w:r>
    </w:p>
    <w:p w14:paraId="38DB6FDE" w14:textId="77777777" w:rsidR="009320F7" w:rsidRPr="00E42BEA" w:rsidRDefault="009320F7" w:rsidP="009320F7">
      <w:pPr>
        <w:suppressAutoHyphens/>
        <w:spacing w:line="276" w:lineRule="auto"/>
        <w:ind w:firstLine="0"/>
        <w:rPr>
          <w:rFonts w:eastAsia="Times New Roman" w:cs="Arial"/>
          <w:lang w:val="es-ES_tradnl" w:eastAsia="es-ES"/>
        </w:rPr>
      </w:pPr>
    </w:p>
    <w:p w14:paraId="555F5DEE" w14:textId="77777777" w:rsidR="009320F7" w:rsidRPr="00E42BEA" w:rsidRDefault="009320F7" w:rsidP="009320F7">
      <w:pPr>
        <w:suppressAutoHyphens/>
        <w:spacing w:line="276" w:lineRule="auto"/>
        <w:ind w:firstLine="0"/>
        <w:rPr>
          <w:rFonts w:eastAsia="Times New Roman" w:cs="Arial"/>
          <w:lang w:val="es-ES_tradnl" w:eastAsia="es-ES"/>
        </w:rPr>
      </w:pPr>
      <w:r w:rsidRPr="00E42BEA">
        <w:rPr>
          <w:rFonts w:eastAsia="Times New Roman" w:cs="Arial"/>
          <w:lang w:val="es-ES_tradnl" w:eastAsia="es-ES"/>
        </w:rPr>
        <w:t>Lo anterior es así porque de acuerdo con nuestro ordenamiento jurídico la acción que en realidad responde a la situación fáctica planteada por los demandantes no es otra que la de responsabilidad prevista en el artículo 10 del decreto 720 de 1994, en la que a quien corresponde comprobar que actuó conforme a derecho -dando toda la información que requerida en su momento para conseguir el traslado de los afiliados- es a la vez quien, de no conseguir dar claridad al respecto, puede llegar a ser condenada al pago del perjuicio que se demuestre que con ello causó.</w:t>
      </w:r>
    </w:p>
    <w:p w14:paraId="46A35BD6" w14:textId="77777777" w:rsidR="009320F7" w:rsidRPr="00E42BEA" w:rsidRDefault="009320F7" w:rsidP="009320F7">
      <w:pPr>
        <w:suppressAutoHyphens/>
        <w:spacing w:line="276" w:lineRule="auto"/>
        <w:ind w:firstLine="0"/>
        <w:rPr>
          <w:rFonts w:eastAsia="Times New Roman" w:cs="Arial"/>
          <w:lang w:val="es-ES_tradnl" w:eastAsia="es-ES"/>
        </w:rPr>
      </w:pPr>
    </w:p>
    <w:p w14:paraId="0406FB8F" w14:textId="77777777" w:rsidR="009320F7" w:rsidRPr="00E42BEA" w:rsidRDefault="009320F7" w:rsidP="009320F7">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Como quiera que esta posición se separa expresamente de la línea actual de la Corte Suprema de Justicia, considero necesario </w:t>
      </w:r>
      <w:r w:rsidRPr="00E42BEA">
        <w:rPr>
          <w:rFonts w:eastAsia="Times New Roman" w:cs="Arial"/>
          <w:iCs/>
          <w:lang w:val="es-ES_tradnl" w:eastAsia="es-ES"/>
        </w:rPr>
        <w:t>discurrir sobre los 8 temas jurídicos que a continuación se desarrollan:</w:t>
      </w:r>
    </w:p>
    <w:p w14:paraId="1AED561F" w14:textId="77777777" w:rsidR="009320F7" w:rsidRPr="00E42BEA" w:rsidRDefault="009320F7" w:rsidP="009320F7">
      <w:pPr>
        <w:suppressAutoHyphens/>
        <w:spacing w:line="276" w:lineRule="auto"/>
        <w:ind w:firstLine="0"/>
        <w:rPr>
          <w:rFonts w:eastAsia="Times New Roman" w:cs="Arial"/>
          <w:lang w:val="es-ES_tradnl" w:eastAsia="es-ES"/>
        </w:rPr>
      </w:pPr>
    </w:p>
    <w:p w14:paraId="1E0DAD71" w14:textId="77777777" w:rsidR="009320F7" w:rsidRPr="00E42BEA" w:rsidRDefault="009320F7" w:rsidP="009320F7">
      <w:pPr>
        <w:numPr>
          <w:ilvl w:val="0"/>
          <w:numId w:val="5"/>
        </w:numPr>
        <w:suppressAutoHyphens/>
        <w:spacing w:line="240" w:lineRule="auto"/>
        <w:ind w:left="426" w:hanging="426"/>
        <w:rPr>
          <w:rFonts w:eastAsia="Times New Roman" w:cs="Arial"/>
          <w:b/>
          <w:lang w:val="es-ES_tradnl" w:eastAsia="es-ES"/>
        </w:rPr>
      </w:pPr>
      <w:r w:rsidRPr="00E42BEA">
        <w:rPr>
          <w:rFonts w:eastAsia="Times New Roman" w:cs="Arial"/>
          <w:b/>
          <w:lang w:val="es-ES_tradnl" w:eastAsia="es-ES"/>
        </w:rPr>
        <w:t>LA JURISPRUDENCIA, LA OBLIGACIÓN DE LOS JUECES DE SEGUIRLA Y LA AUTORIZACIÓN Y FORMA DE APARTARSE DE LA DOCTRINA PROBABLE.</w:t>
      </w:r>
    </w:p>
    <w:p w14:paraId="0DC39B26" w14:textId="77777777" w:rsidR="009320F7" w:rsidRPr="00E42BEA" w:rsidRDefault="009320F7" w:rsidP="009320F7">
      <w:pPr>
        <w:suppressAutoHyphens/>
        <w:spacing w:line="276" w:lineRule="auto"/>
        <w:ind w:firstLine="0"/>
        <w:rPr>
          <w:rFonts w:eastAsia="Times New Roman" w:cs="Arial"/>
          <w:lang w:val="es-ES_tradnl" w:eastAsia="es-ES"/>
        </w:rPr>
      </w:pPr>
    </w:p>
    <w:p w14:paraId="2423C524" w14:textId="77777777" w:rsidR="009320F7" w:rsidRPr="00E42BEA" w:rsidRDefault="009320F7" w:rsidP="009320F7">
      <w:pPr>
        <w:spacing w:line="276" w:lineRule="auto"/>
        <w:ind w:right="51" w:firstLine="0"/>
        <w:rPr>
          <w:rFonts w:eastAsia="Times New Roman" w:cs="Arial"/>
          <w:lang w:val="es-ES_tradnl" w:eastAsia="es-ES"/>
        </w:rPr>
      </w:pPr>
      <w:r w:rsidRPr="00E42BEA">
        <w:rPr>
          <w:rFonts w:eastAsia="Times New Roman" w:cs="Arial"/>
          <w:lang w:eastAsia="es-ES"/>
        </w:rPr>
        <w:t xml:space="preserve">Como es bien sabido, desde la sentencia 836 de 2001 la Corte Constitucional explicó que tres decisiones emanadas de la Corte Suprema de Justicia como Tribunal de casación constituyen doctrina probable que debe ser seguida por los jueces de inferior jerarquía. No obstante, tanto en esa providencia como en la C-621 de 2015, dejó sentado que, en virtud de la autonomía judicial, es posible que, cumpliendo ciertas reglas, los funcionarios judiciales se separen de la línea trazada por la alta corporación. Sobre el tema en la sentencia T-459 de 2017, se concreta con meridiana claridad tal posibilidad, así: </w:t>
      </w:r>
    </w:p>
    <w:p w14:paraId="0B4EC2BC" w14:textId="77777777" w:rsidR="009320F7" w:rsidRPr="00E42BEA" w:rsidRDefault="009320F7" w:rsidP="009320F7">
      <w:pPr>
        <w:suppressAutoHyphens/>
        <w:spacing w:line="276" w:lineRule="auto"/>
        <w:ind w:firstLine="0"/>
        <w:rPr>
          <w:rFonts w:eastAsia="Times New Roman" w:cs="Arial"/>
          <w:lang w:val="es-ES_tradnl" w:eastAsia="es-ES"/>
        </w:rPr>
      </w:pPr>
    </w:p>
    <w:p w14:paraId="679152CD" w14:textId="77777777" w:rsidR="009320F7" w:rsidRPr="00E42BEA" w:rsidRDefault="009320F7" w:rsidP="009320F7">
      <w:pPr>
        <w:suppressAutoHyphens/>
        <w:spacing w:line="240" w:lineRule="auto"/>
        <w:ind w:left="426" w:right="420" w:firstLine="0"/>
        <w:rPr>
          <w:rFonts w:eastAsia="Times New Roman" w:cs="Arial"/>
          <w:sz w:val="22"/>
          <w:lang w:val="es-ES" w:eastAsia="es-ES"/>
        </w:rPr>
      </w:pPr>
      <w:r w:rsidRPr="00E42BEA">
        <w:rPr>
          <w:rFonts w:eastAsia="Times New Roman" w:cs="Arial"/>
          <w:sz w:val="22"/>
          <w:lang w:val="es-ES" w:eastAsia="es-ES"/>
        </w:rPr>
        <w:t>“No obstante, el precedente no constituye una obligatoriedad absoluta, pues en razón del principio de la autonomía judicial, el juez puede apartarse de aquellos, siempre y cuando presente </w:t>
      </w:r>
      <w:r w:rsidRPr="00E42BEA">
        <w:rPr>
          <w:rFonts w:eastAsia="Times New Roman" w:cs="Arial"/>
          <w:b/>
          <w:bCs/>
          <w:sz w:val="22"/>
          <w:lang w:val="es-ES" w:eastAsia="es-ES"/>
        </w:rPr>
        <w:t>(i)</w:t>
      </w:r>
      <w:r w:rsidRPr="00E42BEA">
        <w:rPr>
          <w:rFonts w:eastAsia="Times New Roman" w:cs="Arial"/>
          <w:sz w:val="22"/>
          <w:lang w:val="es-ES" w:eastAsia="es-ES"/>
        </w:rPr>
        <w:t> de forma explícita las razones por las cuales se separa de aquellos, y </w:t>
      </w:r>
      <w:r w:rsidRPr="00E42BEA">
        <w:rPr>
          <w:rFonts w:eastAsia="Times New Roman" w:cs="Arial"/>
          <w:b/>
          <w:bCs/>
          <w:sz w:val="22"/>
          <w:lang w:val="es-ES" w:eastAsia="es-ES"/>
        </w:rPr>
        <w:t>(ii)</w:t>
      </w:r>
      <w:r w:rsidRPr="00E42BEA">
        <w:rPr>
          <w:rFonts w:eastAsia="Times New Roman" w:cs="Arial"/>
          <w:sz w:val="22"/>
          <w:lang w:val="es-ES" w:eastAsia="es-ES"/>
        </w:rPr>
        <w:t> demuestre con suficiencia que su interpretación aporta un mejor desarrollo a los derechos y principios constitucionales.</w:t>
      </w:r>
      <w:bookmarkStart w:id="2" w:name="_ftnref33"/>
      <w:r w:rsidRPr="00E42BEA">
        <w:rPr>
          <w:rFonts w:eastAsia="Times New Roman" w:cs="Arial"/>
          <w:sz w:val="22"/>
          <w:lang w:val="es-ES" w:eastAsia="es-ES"/>
        </w:rPr>
        <w:t>”</w:t>
      </w:r>
      <w:bookmarkEnd w:id="2"/>
    </w:p>
    <w:p w14:paraId="4D227EA1" w14:textId="77777777" w:rsidR="009320F7" w:rsidRPr="00E42BEA" w:rsidRDefault="009320F7" w:rsidP="009320F7">
      <w:pPr>
        <w:suppressAutoHyphens/>
        <w:spacing w:line="240" w:lineRule="auto"/>
        <w:ind w:left="426" w:right="420" w:firstLine="0"/>
        <w:rPr>
          <w:rFonts w:eastAsia="Times New Roman" w:cs="Arial"/>
          <w:sz w:val="22"/>
          <w:lang w:val="es-ES" w:eastAsia="es-ES"/>
        </w:rPr>
      </w:pPr>
    </w:p>
    <w:p w14:paraId="3F60BF81" w14:textId="77777777" w:rsidR="009320F7" w:rsidRPr="00E42BEA" w:rsidRDefault="009320F7" w:rsidP="009320F7">
      <w:pPr>
        <w:suppressAutoHyphens/>
        <w:spacing w:line="240" w:lineRule="auto"/>
        <w:ind w:left="426" w:right="420" w:firstLine="0"/>
        <w:rPr>
          <w:rFonts w:eastAsia="Times New Roman" w:cs="Arial"/>
          <w:sz w:val="22"/>
          <w:lang w:val="es-ES" w:eastAsia="es-ES"/>
        </w:rPr>
      </w:pPr>
      <w:r w:rsidRPr="00E42BEA">
        <w:rPr>
          <w:rFonts w:eastAsia="Times New Roman" w:cs="Arial"/>
          <w:sz w:val="22"/>
          <w:lang w:eastAsia="es-ES"/>
        </w:rPr>
        <w:t xml:space="preserve">En síntesis, el desconocimiento del precedente se configura cuando el funcionario judicial se aparta de las sentencias emitidos por los tribunales de cierre (precedente vertical) o los dictados por ellos mismos (precedente horizontal) al momento de resolver asuntos que presentan una situación fáctica similar a los decididos en aquellas providencias, </w:t>
      </w:r>
      <w:r w:rsidRPr="00E42BEA">
        <w:rPr>
          <w:rFonts w:eastAsia="Times New Roman" w:cs="Arial"/>
          <w:b/>
          <w:sz w:val="22"/>
          <w:lang w:eastAsia="es-ES"/>
        </w:rPr>
        <w:t>sin exponer las razones jurídicas que justifique el cambio de jurisprudencia</w:t>
      </w:r>
      <w:r w:rsidRPr="00E42BEA">
        <w:rPr>
          <w:rFonts w:eastAsia="Times New Roman" w:cs="Arial"/>
          <w:sz w:val="22"/>
          <w:lang w:eastAsia="es-ES"/>
        </w:rPr>
        <w:t>.” (Negrillas fuera del original)</w:t>
      </w:r>
      <w:r w:rsidRPr="00E42BEA">
        <w:rPr>
          <w:rFonts w:eastAsia="Times New Roman" w:cs="Arial"/>
          <w:sz w:val="22"/>
          <w:lang w:val="es-ES" w:eastAsia="es-ES"/>
        </w:rPr>
        <w:t xml:space="preserve"> </w:t>
      </w:r>
    </w:p>
    <w:p w14:paraId="7D9F899B" w14:textId="77777777" w:rsidR="009320F7" w:rsidRPr="00E42BEA" w:rsidRDefault="009320F7" w:rsidP="009320F7">
      <w:pPr>
        <w:suppressAutoHyphens/>
        <w:spacing w:line="276" w:lineRule="auto"/>
        <w:ind w:firstLine="0"/>
        <w:rPr>
          <w:rFonts w:eastAsia="Times New Roman" w:cs="Arial"/>
          <w:lang w:val="es-ES" w:eastAsia="es-ES"/>
        </w:rPr>
      </w:pPr>
      <w:r w:rsidRPr="00E42BEA">
        <w:rPr>
          <w:rFonts w:eastAsia="Times New Roman" w:cs="Arial"/>
          <w:lang w:val="es-ES" w:eastAsia="es-ES"/>
        </w:rPr>
        <w:t> </w:t>
      </w:r>
    </w:p>
    <w:p w14:paraId="6C6F0607" w14:textId="77777777" w:rsidR="009320F7" w:rsidRPr="00E42BEA" w:rsidRDefault="009320F7" w:rsidP="009320F7">
      <w:pPr>
        <w:suppressAutoHyphens/>
        <w:spacing w:line="276" w:lineRule="auto"/>
        <w:ind w:firstLine="0"/>
        <w:rPr>
          <w:rFonts w:eastAsia="Times New Roman" w:cs="Arial"/>
          <w:lang w:val="es-ES" w:eastAsia="es-ES"/>
        </w:rPr>
      </w:pPr>
      <w:r w:rsidRPr="00E42BEA">
        <w:rPr>
          <w:rFonts w:eastAsia="Times New Roman" w:cs="Arial"/>
          <w:lang w:val="es-ES" w:eastAsia="es-ES"/>
        </w:rPr>
        <w:t>Por lo tanto, como respecto al tema de la ineficacia del traslado entre regímenes la Sala mayoritaria se separa expresamente de la línea actual de la Sala de Casación Laboral de la Corte Suprema de Justicia, se pasa a exponer las razones jurídicas que demuestran con suficiencia la necesidad constitucional y legal de revaluar la procedencia de las declaraciones de ineficacia.</w:t>
      </w:r>
    </w:p>
    <w:p w14:paraId="7A472B28" w14:textId="77777777" w:rsidR="009320F7" w:rsidRPr="00E42BEA" w:rsidRDefault="009320F7" w:rsidP="009320F7">
      <w:pPr>
        <w:suppressAutoHyphens/>
        <w:spacing w:line="276" w:lineRule="auto"/>
        <w:ind w:firstLine="0"/>
        <w:rPr>
          <w:rFonts w:eastAsia="Times New Roman" w:cs="Arial"/>
          <w:b/>
          <w:lang w:val="es-ES_tradnl" w:eastAsia="es-ES"/>
        </w:rPr>
      </w:pPr>
    </w:p>
    <w:p w14:paraId="174F9E09" w14:textId="77777777" w:rsidR="009320F7" w:rsidRPr="00E42BEA" w:rsidRDefault="009320F7" w:rsidP="009320F7">
      <w:pPr>
        <w:numPr>
          <w:ilvl w:val="0"/>
          <w:numId w:val="5"/>
        </w:numPr>
        <w:suppressAutoHyphens/>
        <w:spacing w:line="240" w:lineRule="auto"/>
        <w:ind w:left="567" w:hanging="567"/>
        <w:rPr>
          <w:rFonts w:eastAsia="Times New Roman" w:cs="Arial"/>
          <w:lang w:val="es-ES_tradnl" w:eastAsia="es-ES"/>
        </w:rPr>
      </w:pPr>
      <w:r w:rsidRPr="00E42BEA">
        <w:rPr>
          <w:rFonts w:eastAsia="Times New Roman" w:cs="Arial"/>
          <w:b/>
          <w:lang w:val="es-ES_tradnl" w:eastAsia="es-ES"/>
        </w:rPr>
        <w:t>LA POSICIÓN ACTUAL DE LA SALA DE CASACIÓN LABORAL RESPECTO AL TEMA DE LA NULIDAD O INEFICACIA DE LOS TRASLADOS ENTRE REGÍMENES PENSIONALES.</w:t>
      </w:r>
    </w:p>
    <w:p w14:paraId="646E8686" w14:textId="77777777" w:rsidR="009320F7" w:rsidRPr="00E42BEA" w:rsidRDefault="009320F7" w:rsidP="009320F7">
      <w:pPr>
        <w:suppressAutoHyphens/>
        <w:spacing w:line="276" w:lineRule="auto"/>
        <w:ind w:firstLine="0"/>
        <w:rPr>
          <w:rFonts w:eastAsia="Times New Roman" w:cs="Arial"/>
          <w:lang w:val="es-ES_tradnl" w:eastAsia="es-ES"/>
        </w:rPr>
      </w:pPr>
    </w:p>
    <w:p w14:paraId="7F2BB8EA" w14:textId="77777777" w:rsidR="009320F7" w:rsidRPr="00E42BEA" w:rsidRDefault="009320F7" w:rsidP="009320F7">
      <w:pPr>
        <w:suppressAutoHyphens/>
        <w:spacing w:line="276" w:lineRule="auto"/>
        <w:ind w:firstLine="0"/>
        <w:rPr>
          <w:rFonts w:eastAsia="Times New Roman" w:cs="Arial"/>
          <w:iCs/>
          <w:lang w:val="es-ES_tradnl" w:eastAsia="es-ES"/>
        </w:rPr>
      </w:pPr>
      <w:r w:rsidRPr="00E42BEA">
        <w:rPr>
          <w:rFonts w:eastAsia="Times New Roman" w:cs="Arial"/>
          <w:lang w:val="es-ES_tradnl" w:eastAsia="es-ES"/>
        </w:rPr>
        <w:lastRenderedPageBreak/>
        <w:t xml:space="preserve">En acatamiento de lo señalado en las sentencias C-836 de 2001 y C-621 de 2015 desde ya se deja en evidencia que es conocida la jurisprudencia vigente emanada de la </w:t>
      </w:r>
      <w:r w:rsidRPr="00E42BEA">
        <w:rPr>
          <w:rFonts w:eastAsia="Times New Roman" w:cs="Arial"/>
          <w:iCs/>
          <w:lang w:val="es-ES_tradnl" w:eastAsia="es-ES"/>
        </w:rPr>
        <w:t>Sala de Casación Laboral contenida en las sentencias SL1421-2019, SL1452-2019, SL1688-2019 y SL1689-2019 que se concreta en los siguientes razonamientos:</w:t>
      </w:r>
    </w:p>
    <w:p w14:paraId="4B61DAF9" w14:textId="77777777" w:rsidR="009320F7" w:rsidRPr="00E42BEA" w:rsidRDefault="009320F7" w:rsidP="009320F7">
      <w:pPr>
        <w:suppressAutoHyphens/>
        <w:spacing w:line="276" w:lineRule="auto"/>
        <w:ind w:firstLine="0"/>
        <w:rPr>
          <w:rFonts w:eastAsia="Times New Roman" w:cs="Arial"/>
          <w:iCs/>
          <w:lang w:val="es-ES_tradnl" w:eastAsia="es-ES"/>
        </w:rPr>
      </w:pPr>
    </w:p>
    <w:p w14:paraId="041A66F1" w14:textId="77777777" w:rsidR="009320F7" w:rsidRPr="00E42BEA" w:rsidRDefault="009320F7" w:rsidP="009320F7">
      <w:pPr>
        <w:numPr>
          <w:ilvl w:val="0"/>
          <w:numId w:val="4"/>
        </w:numPr>
        <w:suppressAutoHyphens/>
        <w:spacing w:line="240" w:lineRule="auto"/>
        <w:rPr>
          <w:rFonts w:eastAsia="Times New Roman" w:cs="Arial"/>
          <w:iCs/>
          <w:lang w:val="es-ES_tradnl" w:eastAsia="es-ES"/>
        </w:rPr>
      </w:pPr>
      <w:r w:rsidRPr="00E42BEA">
        <w:rPr>
          <w:rFonts w:eastAsia="Times New Roman" w:cs="Arial"/>
          <w:iCs/>
          <w:lang w:val="es-ES_tradnl" w:eastAsia="es-ES"/>
        </w:rPr>
        <w:t>En esta clase de acciones no se trata de la nulidad del acto jurídico del traslado sino de la ineficacia del mismo con base en los artículos 13 literal b), 271 y 272 de la ley 100 de 1993, por cuanto se violó por parte de la AFP el deber de información para obtener el traslado de quien estaba afiliado al RPM.  De allí que, tratándose de un tema de ineficacia y no de nulidad, no puede aplicarse la “prescripción” prevista en los términos que se señalan en el artículo 1750 del C.C.</w:t>
      </w:r>
    </w:p>
    <w:p w14:paraId="03EBCEEC" w14:textId="77777777" w:rsidR="009320F7" w:rsidRPr="00E42BEA" w:rsidRDefault="009320F7" w:rsidP="009320F7">
      <w:pPr>
        <w:suppressAutoHyphens/>
        <w:spacing w:line="276" w:lineRule="auto"/>
        <w:ind w:left="720" w:firstLine="0"/>
        <w:rPr>
          <w:rFonts w:eastAsia="Times New Roman" w:cs="Arial"/>
          <w:iCs/>
          <w:lang w:val="es-ES_tradnl" w:eastAsia="es-ES"/>
        </w:rPr>
      </w:pPr>
    </w:p>
    <w:p w14:paraId="086DDD06" w14:textId="77777777" w:rsidR="009320F7" w:rsidRPr="00E42BEA" w:rsidRDefault="009320F7" w:rsidP="009320F7">
      <w:pPr>
        <w:numPr>
          <w:ilvl w:val="0"/>
          <w:numId w:val="4"/>
        </w:numPr>
        <w:suppressAutoHyphens/>
        <w:spacing w:line="240" w:lineRule="auto"/>
        <w:rPr>
          <w:rFonts w:eastAsia="Times New Roman" w:cs="Arial"/>
          <w:i/>
          <w:iCs/>
          <w:lang w:val="es-ES_tradnl" w:eastAsia="es-ES"/>
        </w:rPr>
      </w:pPr>
      <w:r w:rsidRPr="00E42BEA">
        <w:rPr>
          <w:rFonts w:eastAsia="Times New Roman" w:cs="Arial"/>
        </w:rPr>
        <w:t>El deber de información a cargo de las administradoras de fondos de pensiones es un deber que le es exigible desde la creación de estas entidades</w:t>
      </w:r>
      <w:r w:rsidRPr="00E42BEA">
        <w:rPr>
          <w:rFonts w:eastAsia="Times New Roman" w:cs="Arial"/>
          <w:iCs/>
          <w:lang w:val="es-ES_tradnl" w:eastAsia="es-ES"/>
        </w:rPr>
        <w:t xml:space="preserve">, básicamente porque </w:t>
      </w:r>
      <w:r w:rsidRPr="00E42BEA">
        <w:rPr>
          <w:rFonts w:eastAsia="Times New Roman" w:cs="Arial"/>
          <w:i/>
          <w:iCs/>
          <w:lang w:val="es-ES_tradnl" w:eastAsia="es-ES"/>
        </w:rPr>
        <w:t>“</w:t>
      </w:r>
      <w:r w:rsidRPr="00E42BEA">
        <w:rPr>
          <w:rFonts w:eastAsia="Times New Roman" w:cs="Arial"/>
          <w:i/>
          <w:sz w:val="22"/>
        </w:rPr>
        <w:t>las instituciones financieras cuentan con una estructura corporativa especializada, experta en la materia y respaldada en complejos equipos actuariales capaces de conocer los detalles de su servicio, lo que las ubica en una posición de preeminencia frente a los usuarios</w:t>
      </w:r>
      <w:r w:rsidRPr="00E42BEA">
        <w:rPr>
          <w:rFonts w:eastAsia="Times New Roman" w:cs="Arial"/>
          <w:i/>
        </w:rPr>
        <w:t xml:space="preserve">”. </w:t>
      </w:r>
      <w:r w:rsidRPr="00E42BEA">
        <w:rPr>
          <w:rFonts w:eastAsia="Times New Roman" w:cs="Arial"/>
        </w:rPr>
        <w:t>Deber cuyo nivel de exigencia se elevó con la expedición</w:t>
      </w:r>
      <w:r w:rsidRPr="00E42BEA">
        <w:rPr>
          <w:rFonts w:eastAsia="Times New Roman" w:cs="Arial"/>
          <w:lang w:val="es-ES_tradnl"/>
        </w:rPr>
        <w:t xml:space="preserve"> de la Ley 1328 de 2009 y el Decreto 2241 de 2010, en la medida que </w:t>
      </w:r>
      <w:r w:rsidRPr="00E42BEA">
        <w:rPr>
          <w:rFonts w:eastAsia="Times New Roman" w:cs="Arial"/>
          <w:i/>
        </w:rPr>
        <w:t>“</w:t>
      </w:r>
      <w:r w:rsidRPr="00E42BEA">
        <w:rPr>
          <w:rFonts w:eastAsia="Times New Roman" w:cs="Arial"/>
          <w:i/>
          <w:sz w:val="22"/>
        </w:rPr>
        <w:t>ya no basta con dar a conocer con claridad las distintas opciones de mercado, con sus características, condiciones, riesgos y consecuencias, sino que, adicionalmente, implica un mandato de dar asesoría y buen consejo</w:t>
      </w:r>
      <w:r w:rsidRPr="00E42BEA">
        <w:rPr>
          <w:rFonts w:eastAsia="Times New Roman" w:cs="Arial"/>
          <w:i/>
        </w:rPr>
        <w:t xml:space="preserve">”, </w:t>
      </w:r>
      <w:r w:rsidRPr="00E42BEA">
        <w:rPr>
          <w:rFonts w:eastAsia="Times New Roman" w:cs="Arial"/>
        </w:rPr>
        <w:t>llegando incluso</w:t>
      </w:r>
      <w:r w:rsidRPr="00E42BEA">
        <w:rPr>
          <w:rFonts w:eastAsia="Times New Roman" w:cs="Arial"/>
          <w:iCs/>
          <w:lang w:val="es-ES_tradnl" w:eastAsia="es-ES"/>
        </w:rPr>
        <w:t xml:space="preserve"> a la exigencia de la doble asesoría prevista en </w:t>
      </w:r>
      <w:r w:rsidRPr="00E42BEA">
        <w:rPr>
          <w:rFonts w:eastAsia="Times New Roman" w:cs="Arial"/>
          <w:lang w:val="es-ES_tradnl"/>
        </w:rPr>
        <w:t>la Ley 1748 de 2014, el Decreto 2071 de 2015 y la Circular Externa n.° 016 de 2016.</w:t>
      </w:r>
      <w:r w:rsidRPr="00E42BEA">
        <w:rPr>
          <w:rFonts w:eastAsia="Times New Roman" w:cs="Arial"/>
          <w:i/>
          <w:iCs/>
          <w:lang w:val="es-ES_tradnl" w:eastAsia="es-ES"/>
        </w:rPr>
        <w:t xml:space="preserve"> </w:t>
      </w:r>
    </w:p>
    <w:p w14:paraId="79C4E5E0" w14:textId="77777777" w:rsidR="009320F7" w:rsidRPr="00E42BEA" w:rsidRDefault="009320F7" w:rsidP="009320F7">
      <w:pPr>
        <w:suppressAutoHyphens/>
        <w:spacing w:line="276" w:lineRule="auto"/>
        <w:ind w:firstLine="0"/>
        <w:rPr>
          <w:rFonts w:eastAsia="Times New Roman" w:cs="Arial"/>
          <w:i/>
          <w:iCs/>
          <w:lang w:val="es-ES_tradnl" w:eastAsia="es-ES"/>
        </w:rPr>
      </w:pPr>
    </w:p>
    <w:p w14:paraId="11B3B325" w14:textId="77777777" w:rsidR="009320F7" w:rsidRPr="00E42BEA" w:rsidRDefault="009320F7" w:rsidP="009320F7">
      <w:pPr>
        <w:numPr>
          <w:ilvl w:val="0"/>
          <w:numId w:val="4"/>
        </w:numPr>
        <w:suppressAutoHyphens/>
        <w:spacing w:line="240" w:lineRule="auto"/>
        <w:rPr>
          <w:rFonts w:eastAsia="Times New Roman" w:cs="Arial"/>
          <w:i/>
          <w:iCs/>
          <w:lang w:val="es-ES_tradnl" w:eastAsia="es-ES"/>
        </w:rPr>
      </w:pPr>
      <w:r w:rsidRPr="00E42BEA">
        <w:rPr>
          <w:rFonts w:eastAsia="Times New Roman" w:cs="Arial"/>
        </w:rPr>
        <w:t>El simple consentimiento vertido en el formulario de afiliación es insuficiente para darle eficacia al acto del traslado, pues ello solo no da cuenta de que haya sido, como se requiere en estos eventos, un “consentimiento informado”.</w:t>
      </w:r>
    </w:p>
    <w:p w14:paraId="35EC5428" w14:textId="77777777" w:rsidR="009320F7" w:rsidRPr="00E42BEA" w:rsidRDefault="009320F7" w:rsidP="009320F7">
      <w:pPr>
        <w:suppressAutoHyphens/>
        <w:spacing w:line="276" w:lineRule="auto"/>
        <w:ind w:firstLine="0"/>
        <w:rPr>
          <w:rFonts w:eastAsia="Times New Roman" w:cs="Arial"/>
          <w:i/>
          <w:iCs/>
          <w:lang w:val="es-ES_tradnl" w:eastAsia="es-ES"/>
        </w:rPr>
      </w:pPr>
    </w:p>
    <w:p w14:paraId="46654179" w14:textId="77777777" w:rsidR="009320F7" w:rsidRPr="00E42BEA" w:rsidRDefault="009320F7" w:rsidP="009320F7">
      <w:pPr>
        <w:numPr>
          <w:ilvl w:val="0"/>
          <w:numId w:val="4"/>
        </w:numPr>
        <w:suppressAutoHyphens/>
        <w:spacing w:line="240" w:lineRule="auto"/>
        <w:rPr>
          <w:rFonts w:eastAsia="Times New Roman" w:cs="Arial"/>
          <w:i/>
          <w:iCs/>
          <w:lang w:val="es-ES_tradnl" w:eastAsia="es-ES"/>
        </w:rPr>
      </w:pPr>
      <w:r w:rsidRPr="00E42BEA">
        <w:rPr>
          <w:rFonts w:eastAsia="Times New Roman" w:cs="Arial"/>
        </w:rPr>
        <w:t xml:space="preserve">Cuando el afiliado alega que no recibió la información debida al momento de afiliarse, como ello corresponde a un supuesto negativo que no puede demostrarse materialmente por quien lo invoca, la carga de la prueba de que si se brindó la información que correspondía está a cargo de la AFP. </w:t>
      </w:r>
    </w:p>
    <w:p w14:paraId="358D889D" w14:textId="77777777" w:rsidR="009320F7" w:rsidRPr="00E42BEA" w:rsidRDefault="009320F7" w:rsidP="009320F7">
      <w:pPr>
        <w:suppressAutoHyphens/>
        <w:spacing w:line="276" w:lineRule="auto"/>
        <w:ind w:firstLine="0"/>
        <w:rPr>
          <w:rFonts w:eastAsia="Times New Roman" w:cs="Arial"/>
          <w:i/>
          <w:iCs/>
          <w:lang w:val="es-ES_tradnl" w:eastAsia="es-ES"/>
        </w:rPr>
      </w:pPr>
    </w:p>
    <w:p w14:paraId="11BEB7B8" w14:textId="77777777" w:rsidR="009320F7" w:rsidRPr="00E42BEA" w:rsidRDefault="009320F7" w:rsidP="009320F7">
      <w:pPr>
        <w:numPr>
          <w:ilvl w:val="0"/>
          <w:numId w:val="4"/>
        </w:numPr>
        <w:suppressAutoHyphens/>
        <w:spacing w:line="240" w:lineRule="auto"/>
        <w:rPr>
          <w:rFonts w:eastAsia="Calibri" w:cs="Arial"/>
          <w:lang w:val="es-ES"/>
        </w:rPr>
      </w:pPr>
      <w:r w:rsidRPr="00E42BEA">
        <w:rPr>
          <w:rFonts w:eastAsia="Times New Roman" w:cs="Arial"/>
        </w:rPr>
        <w:t xml:space="preserve">Acreditada la falta de consentimiento informado corresponde declarar la ineficacia del traslado y como consecuencia de ello </w:t>
      </w:r>
      <w:r w:rsidRPr="00E42BEA">
        <w:rPr>
          <w:rFonts w:eastAsia="Times New Roman" w:cs="Arial"/>
          <w:lang w:val="es-ES"/>
        </w:rPr>
        <w:t xml:space="preserve">entonces, para efectos de la concreción de los derechos pensionales reclamados, se debe imponer la obligación de la AFP de trasladar a Colpensiones </w:t>
      </w:r>
      <w:r w:rsidRPr="00E42BEA">
        <w:rPr>
          <w:rFonts w:eastAsia="Times New Roman" w:cs="Arial"/>
        </w:rPr>
        <w:t>los valores correspondientes a las cotizaciones, rendimientos financieros y gastos de administración, pertenecientes a la cuenta de quien demanda</w:t>
      </w:r>
      <w:r w:rsidRPr="00E42BEA">
        <w:rPr>
          <w:rFonts w:eastAsia="Times New Roman" w:cs="Arial"/>
          <w:color w:val="000000"/>
        </w:rPr>
        <w:t xml:space="preserve"> </w:t>
      </w:r>
      <w:r w:rsidRPr="00E42BEA">
        <w:rPr>
          <w:rFonts w:eastAsia="Times New Roman" w:cs="Arial"/>
          <w:lang w:val="es-ES"/>
        </w:rPr>
        <w:t>para que sea esta entidad la que proceda a reconocer la pensión con base en las disposiciones que guían el RPM.</w:t>
      </w:r>
    </w:p>
    <w:p w14:paraId="5C9AC8A9" w14:textId="77777777" w:rsidR="009320F7" w:rsidRPr="00E42BEA" w:rsidRDefault="009320F7" w:rsidP="009320F7">
      <w:pPr>
        <w:suppressAutoHyphens/>
        <w:spacing w:line="276" w:lineRule="auto"/>
        <w:ind w:firstLine="0"/>
        <w:rPr>
          <w:rFonts w:eastAsia="Times New Roman" w:cs="Arial"/>
          <w:lang w:val="es-ES" w:eastAsia="es-ES"/>
        </w:rPr>
      </w:pPr>
    </w:p>
    <w:p w14:paraId="3910EBCA" w14:textId="77777777" w:rsidR="009320F7" w:rsidRPr="00E42BEA" w:rsidRDefault="009320F7" w:rsidP="009320F7">
      <w:pPr>
        <w:numPr>
          <w:ilvl w:val="0"/>
          <w:numId w:val="5"/>
        </w:numPr>
        <w:suppressAutoHyphens/>
        <w:spacing w:line="240" w:lineRule="auto"/>
        <w:ind w:left="567" w:hanging="567"/>
        <w:rPr>
          <w:rFonts w:eastAsia="Times New Roman" w:cs="Arial"/>
          <w:b/>
          <w:lang w:val="es-ES" w:eastAsia="es-ES"/>
        </w:rPr>
      </w:pPr>
      <w:r w:rsidRPr="00E42BEA">
        <w:rPr>
          <w:rFonts w:eastAsia="Times New Roman" w:cs="Arial"/>
          <w:b/>
          <w:lang w:val="es-ES" w:eastAsia="es-ES"/>
        </w:rPr>
        <w:t>CONTENIDO DE LOS ARTÍCULOS 13 LITERAL b) y 271 DE LA LEY 100 DE 1993</w:t>
      </w:r>
    </w:p>
    <w:p w14:paraId="5932698A" w14:textId="77777777" w:rsidR="009320F7" w:rsidRPr="00E42BEA" w:rsidRDefault="009320F7" w:rsidP="009320F7">
      <w:pPr>
        <w:suppressAutoHyphens/>
        <w:spacing w:line="276" w:lineRule="auto"/>
        <w:ind w:firstLine="0"/>
        <w:rPr>
          <w:rFonts w:eastAsia="Times New Roman" w:cs="Arial"/>
          <w:b/>
          <w:lang w:val="es-ES" w:eastAsia="es-ES"/>
        </w:rPr>
      </w:pPr>
    </w:p>
    <w:p w14:paraId="7E07C612" w14:textId="77777777" w:rsidR="009320F7" w:rsidRPr="00E42BEA" w:rsidRDefault="009320F7" w:rsidP="009320F7">
      <w:pPr>
        <w:suppressAutoHyphens/>
        <w:spacing w:line="276" w:lineRule="auto"/>
        <w:ind w:firstLine="0"/>
        <w:rPr>
          <w:rFonts w:eastAsia="Times New Roman" w:cs="Arial"/>
          <w:lang w:val="es-ES" w:eastAsia="es-ES"/>
        </w:rPr>
      </w:pPr>
      <w:r w:rsidRPr="00E42BEA">
        <w:rPr>
          <w:rFonts w:eastAsia="Times New Roman" w:cs="Arial"/>
          <w:lang w:val="es-ES" w:eastAsia="es-ES"/>
        </w:rPr>
        <w:t>De conformidad con el literal b) del artículo 13 de la ley 100 de 199</w:t>
      </w:r>
      <w:r w:rsidRPr="00E42BEA">
        <w:rPr>
          <w:rFonts w:eastAsia="Times New Roman" w:cs="Arial"/>
          <w:b/>
          <w:lang w:val="es-ES" w:eastAsia="es-ES"/>
        </w:rPr>
        <w:t xml:space="preserve">3, </w:t>
      </w:r>
      <w:r w:rsidRPr="00E42BEA">
        <w:rPr>
          <w:rFonts w:eastAsia="Times New Roman" w:cs="Arial"/>
          <w:lang w:val="es-ES" w:eastAsia="es-ES"/>
        </w:rPr>
        <w:t>la selección de cualquiera de los regímenes que conforma el sistema general de pensiones es libre y voluntaria, por lo que, si un empleador o alguna persona natural o jurídica desconoce ese derecho operan las sanciones de que trata el inciso 1º del artículo 271 ibídem, del que se extrae lo siguiente:</w:t>
      </w:r>
    </w:p>
    <w:p w14:paraId="0B4692CF" w14:textId="77777777" w:rsidR="009320F7" w:rsidRPr="00E42BEA" w:rsidRDefault="009320F7" w:rsidP="009320F7">
      <w:pPr>
        <w:suppressAutoHyphens/>
        <w:spacing w:line="276" w:lineRule="auto"/>
        <w:ind w:firstLine="0"/>
        <w:rPr>
          <w:rFonts w:eastAsia="Times New Roman" w:cs="Arial"/>
          <w:lang w:val="es-ES" w:eastAsia="es-ES"/>
        </w:rPr>
      </w:pPr>
    </w:p>
    <w:p w14:paraId="2D7AC2D4" w14:textId="77777777" w:rsidR="009320F7" w:rsidRPr="00E42BEA" w:rsidRDefault="009320F7" w:rsidP="009320F7">
      <w:pPr>
        <w:numPr>
          <w:ilvl w:val="0"/>
          <w:numId w:val="6"/>
        </w:numPr>
        <w:suppressAutoHyphens/>
        <w:spacing w:after="200" w:line="240" w:lineRule="auto"/>
        <w:rPr>
          <w:rFonts w:eastAsia="Times New Roman" w:cs="Arial"/>
          <w:lang w:val="es-ES_tradnl" w:eastAsia="es-ES"/>
        </w:rPr>
      </w:pPr>
      <w:r w:rsidRPr="00E42BEA">
        <w:rPr>
          <w:rFonts w:eastAsia="Times New Roman" w:cs="Arial"/>
          <w:lang w:val="es-ES_tradnl" w:eastAsia="es-ES"/>
        </w:rPr>
        <w:lastRenderedPageBreak/>
        <w:t>La conducta sancionable consiste en impedir o atentar “en cualquier forma contra el derecho del trabajador a su afiliación y selección de organismos del e instituciones del sistema de seguridad social integral”</w:t>
      </w:r>
    </w:p>
    <w:p w14:paraId="5990F842" w14:textId="77777777" w:rsidR="009320F7" w:rsidRPr="00E42BEA" w:rsidRDefault="009320F7" w:rsidP="009320F7">
      <w:pPr>
        <w:suppressAutoHyphens/>
        <w:spacing w:line="276" w:lineRule="auto"/>
        <w:ind w:left="360" w:firstLine="0"/>
        <w:rPr>
          <w:rFonts w:eastAsia="Times New Roman" w:cs="Arial"/>
          <w:lang w:val="es-ES_tradnl" w:eastAsia="es-ES"/>
        </w:rPr>
      </w:pPr>
    </w:p>
    <w:p w14:paraId="2990F37D" w14:textId="77777777" w:rsidR="009320F7" w:rsidRPr="00E42BEA" w:rsidRDefault="009320F7" w:rsidP="009320F7">
      <w:pPr>
        <w:numPr>
          <w:ilvl w:val="0"/>
          <w:numId w:val="6"/>
        </w:numPr>
        <w:suppressAutoHyphens/>
        <w:spacing w:line="240" w:lineRule="auto"/>
        <w:rPr>
          <w:rFonts w:eastAsia="Times New Roman" w:cs="Arial"/>
          <w:lang w:val="es-ES_tradnl" w:eastAsia="es-ES"/>
        </w:rPr>
      </w:pPr>
      <w:r w:rsidRPr="00E42BEA">
        <w:rPr>
          <w:rFonts w:eastAsia="Times New Roman" w:cs="Arial"/>
          <w:lang w:val="es-ES_tradnl" w:eastAsia="es-ES"/>
        </w:rPr>
        <w:t>El sujeto activo de la conducta es el empleador o cualquier persona natural o jurídica que impida o atente contra la libre afiliación o selección de organismos del sistema de seguridad social.</w:t>
      </w:r>
    </w:p>
    <w:p w14:paraId="38D9D163" w14:textId="77777777" w:rsidR="009320F7" w:rsidRPr="00E42BEA" w:rsidRDefault="009320F7" w:rsidP="009320F7">
      <w:pPr>
        <w:suppressAutoHyphens/>
        <w:spacing w:line="276" w:lineRule="auto"/>
        <w:ind w:left="360" w:firstLine="0"/>
        <w:rPr>
          <w:rFonts w:eastAsia="Times New Roman" w:cs="Arial"/>
          <w:b/>
          <w:bCs/>
          <w:lang w:val="es-ES" w:eastAsia="es-ES"/>
        </w:rPr>
      </w:pPr>
    </w:p>
    <w:p w14:paraId="174287AD" w14:textId="77777777" w:rsidR="009320F7" w:rsidRPr="00E42BEA" w:rsidRDefault="009320F7" w:rsidP="009320F7">
      <w:pPr>
        <w:numPr>
          <w:ilvl w:val="0"/>
          <w:numId w:val="6"/>
        </w:numPr>
        <w:suppressAutoHyphens/>
        <w:spacing w:line="240" w:lineRule="auto"/>
        <w:rPr>
          <w:rFonts w:eastAsia="Times New Roman" w:cs="Arial"/>
          <w:b/>
          <w:bCs/>
          <w:lang w:val="es-ES" w:eastAsia="es-ES"/>
        </w:rPr>
      </w:pPr>
      <w:r w:rsidRPr="00E42BEA">
        <w:rPr>
          <w:rFonts w:eastAsia="Times New Roman" w:cs="Arial"/>
          <w:b/>
          <w:bCs/>
          <w:lang w:val="es-ES" w:eastAsia="es-ES"/>
        </w:rPr>
        <w:t>La sanción es una multa por un valor entre uno y 50 SMLMV.</w:t>
      </w:r>
    </w:p>
    <w:p w14:paraId="6E5BC0FA" w14:textId="77777777" w:rsidR="009320F7" w:rsidRPr="00E42BEA" w:rsidRDefault="009320F7" w:rsidP="009320F7">
      <w:pPr>
        <w:suppressAutoHyphens/>
        <w:spacing w:line="276" w:lineRule="auto"/>
        <w:ind w:left="360" w:firstLine="0"/>
        <w:rPr>
          <w:rFonts w:eastAsia="Times New Roman" w:cs="Arial"/>
          <w:b/>
          <w:bCs/>
          <w:lang w:val="es-ES" w:eastAsia="es-ES"/>
        </w:rPr>
      </w:pPr>
    </w:p>
    <w:p w14:paraId="51071B73" w14:textId="77777777" w:rsidR="009320F7" w:rsidRPr="00E42BEA" w:rsidRDefault="009320F7" w:rsidP="009320F7">
      <w:pPr>
        <w:numPr>
          <w:ilvl w:val="0"/>
          <w:numId w:val="6"/>
        </w:numPr>
        <w:suppressAutoHyphens/>
        <w:spacing w:line="240" w:lineRule="auto"/>
        <w:rPr>
          <w:rFonts w:eastAsia="Times New Roman" w:cs="Arial"/>
          <w:b/>
          <w:bCs/>
          <w:lang w:val="es-ES" w:eastAsia="es-ES"/>
        </w:rPr>
      </w:pPr>
      <w:r w:rsidRPr="00E42BEA">
        <w:rPr>
          <w:rFonts w:eastAsia="Times New Roman" w:cs="Arial"/>
          <w:b/>
          <w:bCs/>
          <w:lang w:val="es-ES" w:eastAsia="es-ES"/>
        </w:rPr>
        <w:t>El funcionario competente para imponerla es el Ministerio del Trabajo y Seguridad Social o el Ministerio de Salud.</w:t>
      </w:r>
    </w:p>
    <w:p w14:paraId="18B4E285" w14:textId="77777777" w:rsidR="009320F7" w:rsidRPr="00E42BEA" w:rsidRDefault="009320F7" w:rsidP="009320F7">
      <w:pPr>
        <w:suppressAutoHyphens/>
        <w:spacing w:line="276" w:lineRule="auto"/>
        <w:ind w:left="360" w:firstLine="0"/>
        <w:rPr>
          <w:rFonts w:eastAsia="Times New Roman" w:cs="Arial"/>
          <w:b/>
          <w:bCs/>
          <w:lang w:val="es-ES" w:eastAsia="es-ES"/>
        </w:rPr>
      </w:pPr>
    </w:p>
    <w:p w14:paraId="6E62D6B0" w14:textId="77777777" w:rsidR="009320F7" w:rsidRPr="00E42BEA" w:rsidRDefault="009320F7" w:rsidP="009320F7">
      <w:pPr>
        <w:numPr>
          <w:ilvl w:val="0"/>
          <w:numId w:val="6"/>
        </w:numPr>
        <w:suppressAutoHyphens/>
        <w:spacing w:line="240" w:lineRule="auto"/>
        <w:rPr>
          <w:rFonts w:eastAsia="Times New Roman" w:cs="Arial"/>
          <w:b/>
          <w:bCs/>
          <w:lang w:val="es-ES" w:eastAsia="es-ES"/>
        </w:rPr>
      </w:pPr>
      <w:r w:rsidRPr="00E42BEA">
        <w:rPr>
          <w:rFonts w:eastAsia="Times New Roman" w:cs="Arial"/>
          <w:b/>
          <w:bCs/>
          <w:lang w:val="es-ES" w:eastAsia="es-ES"/>
        </w:rPr>
        <w:t>Una vez impuesta la sanción por el funcionario competente la afiliación respectiva podrá realizarse nuevamente en forma libre y espontánea.</w:t>
      </w:r>
    </w:p>
    <w:p w14:paraId="60D31DFD" w14:textId="77777777" w:rsidR="009320F7" w:rsidRPr="00E42BEA" w:rsidRDefault="009320F7" w:rsidP="009320F7">
      <w:pPr>
        <w:suppressAutoHyphens/>
        <w:spacing w:line="276" w:lineRule="auto"/>
        <w:ind w:firstLine="0"/>
        <w:rPr>
          <w:rFonts w:eastAsia="Times New Roman" w:cs="Arial"/>
          <w:lang w:val="es-ES" w:eastAsia="es-ES"/>
        </w:rPr>
      </w:pPr>
    </w:p>
    <w:p w14:paraId="1E325D16" w14:textId="77777777" w:rsidR="009320F7" w:rsidRPr="00E42BEA" w:rsidRDefault="009320F7" w:rsidP="009320F7">
      <w:pPr>
        <w:numPr>
          <w:ilvl w:val="0"/>
          <w:numId w:val="5"/>
        </w:numPr>
        <w:suppressAutoHyphens/>
        <w:spacing w:line="240" w:lineRule="auto"/>
        <w:ind w:left="426" w:hanging="426"/>
        <w:rPr>
          <w:rFonts w:eastAsia="Times New Roman" w:cs="Arial"/>
          <w:b/>
          <w:lang w:val="es-ES_tradnl" w:eastAsia="es-ES"/>
        </w:rPr>
      </w:pPr>
      <w:r w:rsidRPr="00E42BEA">
        <w:rPr>
          <w:rFonts w:eastAsia="Times New Roman" w:cs="Arial"/>
          <w:b/>
          <w:lang w:val="es-ES_tradnl" w:eastAsia="es-ES"/>
        </w:rPr>
        <w:t>OBSERVACIONES SOBRE EL CONTENIDO DEL ARTÍCULO 271 DE LA LEY 100 DE 1993 Y LA APLICACIÓN QUE VIENE DÁNDOLE LA CORTE SUPREMA.</w:t>
      </w:r>
    </w:p>
    <w:p w14:paraId="0D29D73B" w14:textId="77777777" w:rsidR="009320F7" w:rsidRPr="00E42BEA" w:rsidRDefault="009320F7" w:rsidP="009320F7">
      <w:pPr>
        <w:suppressAutoHyphens/>
        <w:spacing w:line="276" w:lineRule="auto"/>
        <w:ind w:firstLine="0"/>
        <w:rPr>
          <w:rFonts w:eastAsia="Times New Roman" w:cs="Arial"/>
          <w:lang w:val="es-ES_tradnl" w:eastAsia="es-ES"/>
        </w:rPr>
      </w:pPr>
    </w:p>
    <w:p w14:paraId="1932BBCB" w14:textId="77777777" w:rsidR="009320F7" w:rsidRPr="00E42BEA" w:rsidRDefault="009320F7" w:rsidP="009320F7">
      <w:pPr>
        <w:suppressAutoHyphens/>
        <w:spacing w:line="276" w:lineRule="auto"/>
        <w:ind w:firstLine="0"/>
        <w:rPr>
          <w:rFonts w:eastAsia="Times New Roman" w:cs="Arial"/>
          <w:lang w:val="es-ES_tradnl" w:eastAsia="es-ES"/>
        </w:rPr>
      </w:pPr>
      <w:r w:rsidRPr="00E42BEA">
        <w:rPr>
          <w:rFonts w:eastAsia="Times New Roman" w:cs="Arial"/>
          <w:lang w:val="es-ES_tradnl" w:eastAsia="es-ES"/>
        </w:rPr>
        <w:t>Obviando la regla de interpretación prevista en el artículo 31 del Código Civil que determina que “Lo favorable u odioso de una disposición no se tomará en cuenta para ampliar o restringir su interpretación” y de la cual, en casación, desde 14 de diciembre de 1898 se viene repitiendo que</w:t>
      </w:r>
      <w:r w:rsidRPr="00E42BEA">
        <w:rPr>
          <w:rFonts w:eastAsia="Times New Roman" w:cs="Arial"/>
          <w:b/>
          <w:lang w:val="es-ES_tradnl" w:eastAsia="es-ES"/>
        </w:rPr>
        <w:t xml:space="preserve"> “En la interpretación de leyes prohibitivas no deben buscarse analogías o razones para hacerlas extensivas a casos no comprendidos claramente en la prohibición”, t</w:t>
      </w:r>
      <w:r w:rsidRPr="00E42BEA">
        <w:rPr>
          <w:rFonts w:eastAsia="Times New Roman" w:cs="Arial"/>
          <w:lang w:val="es-ES_tradnl" w:eastAsia="es-ES"/>
        </w:rPr>
        <w:t xml:space="preserve">oda la línea argumentativa de la actual posición de la Corte Suprema de Justicia, para sostener la ineficacia de los traslados entre regímenes, parte del hecho de considerar que las AFP privadas incurrieron en las conductas generantes de la sanción prevista en el artículo 271 de la ley 100 de 1993, sin percatarse que desde el título, la norma precisa que se trata de </w:t>
      </w:r>
      <w:r w:rsidRPr="00E42BEA">
        <w:rPr>
          <w:rFonts w:eastAsia="Times New Roman" w:cs="Arial"/>
          <w:b/>
          <w:lang w:val="es-ES_tradnl" w:eastAsia="es-ES"/>
        </w:rPr>
        <w:t>“Sanciones al empleador”</w:t>
      </w:r>
      <w:r w:rsidRPr="00E42BEA">
        <w:rPr>
          <w:rFonts w:eastAsia="Times New Roman" w:cs="Arial"/>
          <w:lang w:val="es-ES_tradnl" w:eastAsia="es-ES"/>
        </w:rPr>
        <w:t>, esto es, que está dirigida a regular las conductas de los empleadores o de “cualquier persona” afín con esa denominación, que pretendan impedir o atentar contra la libre escogencia de régimen y administradora de pensiones por parte de los trabajadores, pero manifiestamente no contempla la regulación de las actividades que puedan adelantar las AFP en desarrollo del objeto para el que fueron creadas, ni mucho menos las sanciones a que se pueden ver avocadas por el indebido ejercicio de esas actividades  de promoción y afiliación al RAIS que les conciernen en desarrollo de su objeto social, pues para tales efectos hay legislación específica que adelante se resaltará.</w:t>
      </w:r>
    </w:p>
    <w:p w14:paraId="4A5B078E" w14:textId="77777777" w:rsidR="009320F7" w:rsidRPr="00E42BEA" w:rsidRDefault="009320F7" w:rsidP="009320F7">
      <w:pPr>
        <w:suppressAutoHyphens/>
        <w:spacing w:line="276" w:lineRule="auto"/>
        <w:ind w:firstLine="0"/>
        <w:rPr>
          <w:rFonts w:eastAsia="Times New Roman" w:cs="Arial"/>
          <w:lang w:val="es-ES_tradnl" w:eastAsia="es-ES"/>
        </w:rPr>
      </w:pPr>
    </w:p>
    <w:p w14:paraId="213D9DE4" w14:textId="77777777" w:rsidR="009320F7" w:rsidRPr="00E42BEA" w:rsidRDefault="009320F7" w:rsidP="009320F7">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Tal conclusión encuentra apoyo adicional en el hecho de que el sistema implementado por la ley 100 de 1993 implica la libre competencia entre los dos regímenes, de allí que no guarde coherencia ubicar a las Administradoras como destinatarias de lo previsto en artículos 13 literal b y 271 de la ley 100 de 1993 pues es inherente a su creación el otorgarles la posibilidad de promocionar el nuevo sistema cuya gestión les fue encargada. </w:t>
      </w:r>
    </w:p>
    <w:p w14:paraId="53DEFC5C" w14:textId="77777777" w:rsidR="009320F7" w:rsidRPr="00E42BEA" w:rsidRDefault="009320F7" w:rsidP="009320F7">
      <w:pPr>
        <w:suppressAutoHyphens/>
        <w:spacing w:line="276" w:lineRule="auto"/>
        <w:ind w:firstLine="0"/>
        <w:rPr>
          <w:rFonts w:eastAsia="Times New Roman" w:cs="Arial"/>
          <w:lang w:val="es-ES_tradnl" w:eastAsia="es-ES"/>
        </w:rPr>
      </w:pPr>
    </w:p>
    <w:p w14:paraId="2C8428AB" w14:textId="77777777" w:rsidR="009320F7" w:rsidRPr="00E42BEA" w:rsidRDefault="009320F7" w:rsidP="009320F7">
      <w:pPr>
        <w:suppressAutoHyphens/>
        <w:spacing w:line="276" w:lineRule="auto"/>
        <w:ind w:firstLine="0"/>
        <w:rPr>
          <w:rFonts w:eastAsia="Times New Roman" w:cs="Arial"/>
          <w:b/>
          <w:lang w:val="es-ES_tradnl" w:eastAsia="es-ES"/>
        </w:rPr>
      </w:pPr>
      <w:r w:rsidRPr="00E42BEA">
        <w:rPr>
          <w:rFonts w:eastAsia="Times New Roman" w:cs="Arial"/>
          <w:lang w:val="es-ES_tradnl" w:eastAsia="es-ES"/>
        </w:rPr>
        <w:t xml:space="preserve">Es que nótese que, conteniendo la norma citada 2 verbos rectores -“impedir o atentar”-, referidos al derecho de los trabajadores de afiliarse y seleccionar libremente los organismos e instituciones del sistema de seguridad social a los que quiere entregar </w:t>
      </w:r>
      <w:r w:rsidRPr="00E42BEA">
        <w:rPr>
          <w:rFonts w:eastAsia="Times New Roman" w:cs="Arial"/>
          <w:lang w:val="es-ES_tradnl" w:eastAsia="es-ES"/>
        </w:rPr>
        <w:lastRenderedPageBreak/>
        <w:t xml:space="preserve">la administración de sus aportes, resulta evidente que cuando las AFP promocionan y se ofrecen para administrar los recursos que permitirán acceder a una pensión, bajo ningún entendimiento se puede considerar que están incursas en esas conductas,  pues ni han impedido la afiliación de los usuarios al sistema o su libre selección de organismo ni tampoco han desconocido o boicoteado el derecho del afiliado a la selección del organismo que se encargaría de administrar sus aportes. </w:t>
      </w:r>
      <w:r w:rsidRPr="00E42BEA">
        <w:rPr>
          <w:rFonts w:eastAsia="Times New Roman" w:cs="Arial"/>
          <w:b/>
          <w:lang w:val="es-ES_tradnl" w:eastAsia="es-ES"/>
        </w:rPr>
        <w:t>Lo que hicieron fue buscar que, dentro de las opciones que creó la ley 100 de 1993, los participantes del sistema las eligieran para administrar sus recursos. Ahora, si para lograr tal cometido dieron información equivocada u omitieron dar la que correspondía, no son los artículos 13 y 271 de la ley 100 de 1993 los que determinan las consecuencias de tal proceder sino el decreto 720 de 1994, como adelante se explicitará.</w:t>
      </w:r>
    </w:p>
    <w:p w14:paraId="6518FA64" w14:textId="77777777" w:rsidR="009320F7" w:rsidRPr="00E42BEA" w:rsidRDefault="009320F7" w:rsidP="009320F7">
      <w:pPr>
        <w:suppressAutoHyphens/>
        <w:spacing w:line="276" w:lineRule="auto"/>
        <w:ind w:firstLine="0"/>
        <w:rPr>
          <w:rFonts w:eastAsia="Times New Roman" w:cs="Arial"/>
          <w:b/>
          <w:lang w:val="es-ES_tradnl" w:eastAsia="es-ES"/>
        </w:rPr>
      </w:pPr>
    </w:p>
    <w:p w14:paraId="0A4AB91B" w14:textId="77777777" w:rsidR="009320F7" w:rsidRPr="00E42BEA" w:rsidRDefault="009320F7" w:rsidP="009320F7">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Adicionalmente vale la pena resaltar que según se desprende de la construcción normativa del artículo 271 de la ley 100 de 1993, la sanción es la multa; misma que una vez se impone por quien tiene la competencia para ello, que son los ministerios de Trabajo y Salud, trae como consecuencia que “la afiliación” realizada irregularmente quede sin efecto y deje al interesado en la posibilidad de realizarla nuevamente de manera libre y espontánea.</w:t>
      </w:r>
    </w:p>
    <w:p w14:paraId="6FABEE10" w14:textId="77777777" w:rsidR="009320F7" w:rsidRPr="00E42BEA" w:rsidRDefault="009320F7" w:rsidP="009320F7">
      <w:pPr>
        <w:suppressAutoHyphens/>
        <w:spacing w:line="276" w:lineRule="auto"/>
        <w:ind w:firstLine="0"/>
        <w:rPr>
          <w:rFonts w:eastAsia="Times New Roman" w:cs="Arial"/>
          <w:lang w:val="es-ES_tradnl" w:eastAsia="es-ES"/>
        </w:rPr>
      </w:pPr>
    </w:p>
    <w:p w14:paraId="31D8D0ED" w14:textId="77777777" w:rsidR="009320F7" w:rsidRPr="00E42BEA" w:rsidRDefault="009320F7" w:rsidP="009320F7">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 xml:space="preserve">Las condiciones para que opere la ineficacia que se acaban de evidenciar, además del análisis que adelante se hará, ponen de relieve tres situaciones que denotan que la solución que se está dando a la situación fáctica analizada no es la que corresponde legalmente: </w:t>
      </w:r>
    </w:p>
    <w:p w14:paraId="65D3EA57" w14:textId="77777777" w:rsidR="009320F7" w:rsidRPr="00E42BEA" w:rsidRDefault="009320F7" w:rsidP="009320F7">
      <w:pPr>
        <w:suppressAutoHyphens/>
        <w:spacing w:line="276" w:lineRule="auto"/>
        <w:ind w:firstLine="0"/>
        <w:rPr>
          <w:rFonts w:eastAsia="Times New Roman" w:cs="Arial"/>
          <w:b/>
          <w:bCs/>
          <w:lang w:val="es-ES" w:eastAsia="es-ES"/>
        </w:rPr>
      </w:pPr>
    </w:p>
    <w:p w14:paraId="0DD1E812" w14:textId="77777777" w:rsidR="009320F7" w:rsidRPr="00E42BEA" w:rsidRDefault="009320F7" w:rsidP="009320F7">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La primera que la competencia para determinar si se incurrió en la conducta que amerita multa es de los Ministerios de Trabajo y de Salud y ella se constituye en el fundamento de la declaratoria de ineficacia.</w:t>
      </w:r>
    </w:p>
    <w:p w14:paraId="48C0B38F" w14:textId="77777777" w:rsidR="009320F7" w:rsidRPr="00E42BEA" w:rsidRDefault="009320F7" w:rsidP="009320F7">
      <w:pPr>
        <w:suppressAutoHyphens/>
        <w:spacing w:line="276" w:lineRule="auto"/>
        <w:ind w:firstLine="0"/>
        <w:rPr>
          <w:rFonts w:eastAsia="Times New Roman" w:cs="Arial"/>
          <w:b/>
          <w:bCs/>
          <w:lang w:val="es-ES" w:eastAsia="es-ES"/>
        </w:rPr>
      </w:pPr>
    </w:p>
    <w:p w14:paraId="23B5578F" w14:textId="77777777" w:rsidR="009320F7" w:rsidRPr="00E42BEA" w:rsidRDefault="009320F7" w:rsidP="009320F7">
      <w:pPr>
        <w:suppressAutoHyphens/>
        <w:spacing w:line="276" w:lineRule="auto"/>
        <w:ind w:firstLine="0"/>
        <w:rPr>
          <w:rFonts w:eastAsia="Times New Roman" w:cs="Arial"/>
          <w:lang w:val="es-ES" w:eastAsia="es-ES"/>
        </w:rPr>
      </w:pPr>
      <w:r w:rsidRPr="00E42BEA">
        <w:rPr>
          <w:rFonts w:eastAsia="Times New Roman" w:cs="Arial"/>
          <w:b/>
          <w:bCs/>
          <w:lang w:val="es-ES" w:eastAsia="es-ES"/>
        </w:rPr>
        <w:t>La segunda que la ineficacia solo está prevista como consecuencia de la “afiliación” irregular, pues expresamente la norma determina que la “afiliación respectiva quedará sin efecto” sin que pueda extenderse la sanción a los casos de traslado entre regímenes, por cuanto es bien sabido que ellos no implican una nueva afiliación. Al respecto baste traer a colación lo dicho por la propia Corte en sentencia 39772 de 5 de octubre de 2010, en la que se explicó</w:t>
      </w:r>
      <w:r w:rsidRPr="00E42BEA">
        <w:rPr>
          <w:rFonts w:eastAsia="Times New Roman" w:cs="Arial"/>
          <w:lang w:val="es-ES" w:eastAsia="es-ES"/>
        </w:rPr>
        <w:t>:</w:t>
      </w:r>
    </w:p>
    <w:p w14:paraId="7EECBDEC" w14:textId="77777777" w:rsidR="009320F7" w:rsidRPr="00E42BEA" w:rsidRDefault="009320F7" w:rsidP="009320F7">
      <w:pPr>
        <w:suppressAutoHyphens/>
        <w:spacing w:line="276" w:lineRule="auto"/>
        <w:ind w:firstLine="0"/>
        <w:rPr>
          <w:rFonts w:eastAsia="Times New Roman" w:cs="Arial"/>
          <w:lang w:val="es-ES_tradnl" w:eastAsia="es-ES"/>
        </w:rPr>
      </w:pPr>
    </w:p>
    <w:p w14:paraId="5B3EF0AF" w14:textId="77777777" w:rsidR="009320F7" w:rsidRPr="00E42BEA" w:rsidRDefault="009320F7" w:rsidP="009320F7">
      <w:pPr>
        <w:suppressAutoHyphens/>
        <w:spacing w:line="240" w:lineRule="auto"/>
        <w:ind w:left="426" w:right="420" w:firstLine="0"/>
        <w:rPr>
          <w:rFonts w:eastAsia="Times New Roman" w:cs="Arial"/>
          <w:sz w:val="22"/>
          <w:lang w:val="es-ES_tradnl" w:eastAsia="es-ES"/>
        </w:rPr>
      </w:pPr>
      <w:r w:rsidRPr="00E42BEA">
        <w:rPr>
          <w:rFonts w:eastAsia="Times New Roman" w:cs="Arial"/>
          <w:sz w:val="22"/>
          <w:lang w:val="es-ES_tradnl" w:eastAsia="es-ES"/>
        </w:rPr>
        <w:t>“De acuerdo a lo anterior, confunde el Tribunal lo que es la afiliación al sistema de seguridad social, que ha sostenido la jurisprudencia tanto de la Corte Constitucional como la de esta Sala, tiene un carácter vitalicio, se efectúa a través de una primera y única inscripción y no se pierde o suspende porque se dejen de causar cotizaciones en un determinado interregno de tiempo, con la vinculación a uno de los dos regímenes de pensiones que contempla dicho sistema, y que delimita muy claramente el artículo 13 del Decreto 692 de 1994, en los siguientes términos:</w:t>
      </w:r>
    </w:p>
    <w:p w14:paraId="18A43D6C" w14:textId="77777777" w:rsidR="009320F7" w:rsidRPr="00E42BEA" w:rsidRDefault="009320F7" w:rsidP="009320F7">
      <w:pPr>
        <w:suppressAutoHyphens/>
        <w:spacing w:line="240" w:lineRule="auto"/>
        <w:ind w:left="426" w:right="420" w:firstLine="0"/>
        <w:rPr>
          <w:rFonts w:eastAsia="Times New Roman" w:cs="Arial"/>
          <w:sz w:val="22"/>
          <w:lang w:val="es-ES_tradnl" w:eastAsia="es-ES"/>
        </w:rPr>
      </w:pPr>
    </w:p>
    <w:p w14:paraId="6FD51586" w14:textId="77777777" w:rsidR="009320F7" w:rsidRPr="00E42BEA" w:rsidRDefault="009320F7" w:rsidP="009320F7">
      <w:pPr>
        <w:suppressAutoHyphens/>
        <w:spacing w:line="240" w:lineRule="auto"/>
        <w:ind w:left="851" w:right="845" w:firstLine="0"/>
        <w:rPr>
          <w:rFonts w:eastAsia="Times New Roman" w:cs="Arial"/>
          <w:sz w:val="22"/>
          <w:lang w:val="es-ES_tradnl" w:eastAsia="es-ES"/>
        </w:rPr>
      </w:pPr>
      <w:r w:rsidRPr="00E42BEA">
        <w:rPr>
          <w:rFonts w:eastAsia="Times New Roman" w:cs="Arial"/>
          <w:i/>
          <w:sz w:val="22"/>
          <w:lang w:val="es-ES_tradnl" w:eastAsia="es-ES"/>
        </w:rPr>
        <w:t>“</w:t>
      </w:r>
      <w:r w:rsidRPr="00E42BEA">
        <w:rPr>
          <w:rFonts w:eastAsia="Times New Roman" w:cs="Arial"/>
          <w:b/>
          <w:i/>
          <w:sz w:val="22"/>
          <w:lang w:val="es-ES_tradnl" w:eastAsia="es-ES"/>
        </w:rPr>
        <w:t>Permanencia de la afiliación</w:t>
      </w:r>
      <w:r w:rsidRPr="00E42BEA">
        <w:rPr>
          <w:rFonts w:eastAsia="Times New Roman" w:cs="Arial"/>
          <w:i/>
          <w:sz w:val="22"/>
          <w:lang w:val="es-ES_tradnl" w:eastAsia="es-ES"/>
        </w:rPr>
        <w:t xml:space="preserve">. La afiliación al Sistema General de Pensiones es permanente </w:t>
      </w:r>
      <w:r w:rsidRPr="00E42BEA">
        <w:rPr>
          <w:rFonts w:eastAsia="Times New Roman" w:cs="Arial"/>
          <w:i/>
          <w:sz w:val="22"/>
          <w:u w:val="single"/>
          <w:lang w:val="es-ES_tradnl" w:eastAsia="es-ES"/>
        </w:rPr>
        <w:t>e independiente del régimen que seleccione el afiliado</w:t>
      </w:r>
      <w:r w:rsidRPr="00E42BEA">
        <w:rPr>
          <w:rFonts w:eastAsia="Times New Roman" w:cs="Arial"/>
          <w:i/>
          <w:sz w:val="22"/>
          <w:lang w:val="es-ES_tradnl" w:eastAsia="es-ES"/>
        </w:rPr>
        <w:t>. Dicha afiliación no se pierde por haber dejado de cotizar durante uno o varios períodos, pero podrá pasar a la categoría de afiliados inactivos, cuando tengan más de seis meses de no pago de cotizaciones.”</w:t>
      </w:r>
    </w:p>
    <w:p w14:paraId="5CA7A5D9" w14:textId="77777777" w:rsidR="009320F7" w:rsidRPr="00E42BEA" w:rsidRDefault="009320F7" w:rsidP="009320F7">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 </w:t>
      </w:r>
    </w:p>
    <w:p w14:paraId="26924C87" w14:textId="77777777" w:rsidR="009320F7" w:rsidRPr="00E42BEA" w:rsidRDefault="009320F7" w:rsidP="009320F7">
      <w:pPr>
        <w:suppressAutoHyphens/>
        <w:spacing w:line="276" w:lineRule="auto"/>
        <w:ind w:firstLine="0"/>
        <w:rPr>
          <w:rFonts w:eastAsia="Times New Roman" w:cs="Arial"/>
          <w:lang w:val="es-ES_tradnl" w:eastAsia="es-ES"/>
        </w:rPr>
      </w:pPr>
      <w:r w:rsidRPr="00E42BEA">
        <w:rPr>
          <w:rFonts w:eastAsia="Times New Roman" w:cs="Arial"/>
          <w:lang w:val="es-ES_tradnl" w:eastAsia="es-ES"/>
        </w:rPr>
        <w:lastRenderedPageBreak/>
        <w:t xml:space="preserve">Y la tercera y más importante, </w:t>
      </w:r>
      <w:r w:rsidRPr="00E42BEA">
        <w:rPr>
          <w:rFonts w:eastAsia="Times New Roman" w:cs="Arial"/>
          <w:b/>
          <w:lang w:val="es-ES_tradnl" w:eastAsia="es-ES"/>
        </w:rPr>
        <w:t>que como se analiza a continuación existe una acción diferente y precisa para los casos como el presente en que se aduce la deficiente o nula información brindada por las AFP para obtener la vinculación de una persona al RAIS a pesar del perjuicio que ello le pudiere significar</w:t>
      </w:r>
      <w:r w:rsidRPr="00E42BEA">
        <w:rPr>
          <w:rFonts w:eastAsia="Times New Roman" w:cs="Arial"/>
          <w:lang w:val="es-ES_tradnl" w:eastAsia="es-ES"/>
        </w:rPr>
        <w:t>.</w:t>
      </w:r>
    </w:p>
    <w:p w14:paraId="558E9096" w14:textId="77777777" w:rsidR="009320F7" w:rsidRPr="00E42BEA" w:rsidRDefault="009320F7" w:rsidP="009320F7">
      <w:pPr>
        <w:suppressAutoHyphens/>
        <w:spacing w:line="276" w:lineRule="auto"/>
        <w:ind w:firstLine="0"/>
        <w:rPr>
          <w:rFonts w:eastAsia="Times New Roman" w:cs="Arial"/>
          <w:lang w:val="es-ES_tradnl" w:eastAsia="es-ES"/>
        </w:rPr>
      </w:pPr>
    </w:p>
    <w:p w14:paraId="594DB783" w14:textId="77777777" w:rsidR="009320F7" w:rsidRPr="00E42BEA" w:rsidRDefault="009320F7" w:rsidP="009320F7">
      <w:pPr>
        <w:numPr>
          <w:ilvl w:val="0"/>
          <w:numId w:val="5"/>
        </w:numPr>
        <w:suppressAutoHyphens/>
        <w:spacing w:line="240" w:lineRule="auto"/>
        <w:ind w:left="426" w:hanging="426"/>
        <w:jc w:val="left"/>
        <w:rPr>
          <w:rFonts w:eastAsia="Times New Roman" w:cs="Arial"/>
          <w:b/>
          <w:lang w:val="es-ES_tradnl" w:eastAsia="es-ES"/>
        </w:rPr>
      </w:pPr>
      <w:r w:rsidRPr="00E42BEA">
        <w:rPr>
          <w:rFonts w:eastAsia="Times New Roman" w:cs="Arial"/>
          <w:b/>
          <w:lang w:val="es-ES_tradnl" w:eastAsia="es-ES"/>
        </w:rPr>
        <w:t>CONSECUENCIAS DE LA APLICACIÓN DE LA TESIS DE LA INEFICACIA DE LOS TRASLADOS CON FUNDAMENTO EN LOS ARTÍCULOS 13 Y 271 DE LA LEY 100 DE 1993.</w:t>
      </w:r>
    </w:p>
    <w:p w14:paraId="15860172" w14:textId="77777777" w:rsidR="009320F7" w:rsidRPr="00E42BEA" w:rsidRDefault="009320F7" w:rsidP="009320F7">
      <w:pPr>
        <w:suppressAutoHyphens/>
        <w:spacing w:line="276" w:lineRule="auto"/>
        <w:ind w:firstLine="0"/>
        <w:rPr>
          <w:rFonts w:eastAsia="Times New Roman" w:cs="Arial"/>
          <w:lang w:val="es-ES_tradnl" w:eastAsia="es-ES"/>
        </w:rPr>
      </w:pPr>
    </w:p>
    <w:p w14:paraId="50F2389F" w14:textId="77777777" w:rsidR="009320F7" w:rsidRPr="00E42BEA" w:rsidRDefault="009320F7" w:rsidP="009320F7">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Las declaraciones de ineficacias de traslados envuelven los siguientes resultados:</w:t>
      </w:r>
    </w:p>
    <w:p w14:paraId="77730D2A" w14:textId="77777777" w:rsidR="009320F7" w:rsidRPr="00E42BEA" w:rsidRDefault="009320F7" w:rsidP="009320F7">
      <w:pPr>
        <w:suppressAutoHyphens/>
        <w:spacing w:line="276" w:lineRule="auto"/>
        <w:ind w:firstLine="0"/>
        <w:rPr>
          <w:rFonts w:eastAsia="Times New Roman" w:cs="Arial"/>
          <w:b/>
          <w:bCs/>
          <w:lang w:val="es-ES" w:eastAsia="es-ES"/>
        </w:rPr>
      </w:pPr>
    </w:p>
    <w:p w14:paraId="13CD098F" w14:textId="77777777" w:rsidR="009320F7" w:rsidRPr="00E42BEA" w:rsidRDefault="009320F7" w:rsidP="009320F7">
      <w:pPr>
        <w:suppressAutoHyphens/>
        <w:spacing w:line="276" w:lineRule="auto"/>
        <w:ind w:firstLine="0"/>
        <w:rPr>
          <w:rFonts w:eastAsia="Times New Roman" w:cs="Arial"/>
          <w:lang w:val="es-ES" w:eastAsia="es-ES"/>
        </w:rPr>
      </w:pPr>
      <w:r w:rsidRPr="00E42BEA">
        <w:rPr>
          <w:rFonts w:eastAsia="Times New Roman" w:cs="Arial"/>
          <w:b/>
          <w:bCs/>
          <w:lang w:val="es-ES" w:eastAsia="es-ES"/>
        </w:rPr>
        <w:t xml:space="preserve">PRIMERO: Desdibuja nuestro sistema jurídico de responsabilidad </w:t>
      </w:r>
      <w:r w:rsidRPr="00E42BEA">
        <w:rPr>
          <w:rFonts w:eastAsia="Times New Roman" w:cs="Arial"/>
          <w:lang w:val="es-ES" w:eastAsia="es-ES"/>
        </w:rPr>
        <w:t>al imponer la carga de resarcir un daño, a quien no lo produjo, en este caso Colpensiones y de contera la Nación como su garante.</w:t>
      </w:r>
    </w:p>
    <w:p w14:paraId="3BF46BD2" w14:textId="77777777" w:rsidR="009320F7" w:rsidRPr="00E42BEA" w:rsidRDefault="009320F7" w:rsidP="009320F7">
      <w:pPr>
        <w:suppressAutoHyphens/>
        <w:spacing w:line="276" w:lineRule="auto"/>
        <w:ind w:firstLine="0"/>
        <w:rPr>
          <w:rFonts w:eastAsia="Times New Roman" w:cs="Arial"/>
          <w:iCs/>
          <w:lang w:val="es-ES_tradnl" w:eastAsia="es-ES"/>
        </w:rPr>
      </w:pPr>
    </w:p>
    <w:p w14:paraId="2AD92BF6" w14:textId="77777777" w:rsidR="009320F7" w:rsidRPr="00E42BEA" w:rsidRDefault="009320F7" w:rsidP="009320F7">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t xml:space="preserve">Se afirma lo anterior por cuanto las órdenes judiciales de ineficacia comportan que a la AFP privada, que supuestamente no dio la información suficiente o hizo incurrir en error a los afiliados, causándoles con ello perjuicios que se ven reflejados en el monto de la pensión a percibir, luego de haber tenido a su disposición por varios años los dineros de la cuenta de ahorro individual, que ahora se sabe que solo permiten una pensión de “x pesos”, se le ordena sencillamente devolver lo recibido por administración y entregar, si aún lo tiene en su poder, el saldo que exista en cuenta de ahorro individual a Colpensiones, entidad esta última que, </w:t>
      </w:r>
      <w:r w:rsidRPr="00E42BEA">
        <w:rPr>
          <w:rFonts w:eastAsia="Times New Roman" w:cs="Arial"/>
          <w:b/>
          <w:iCs/>
          <w:lang w:val="es-ES_tradnl" w:eastAsia="es-ES"/>
        </w:rPr>
        <w:t>con esa misma suma -que ahora se sabe que solo alcanza para otorgar una pensión de “x pesos”- debe reconocer y pagar una prestación dos o tres veces superior a la que financieramente es posible conceder</w:t>
      </w:r>
      <w:r w:rsidRPr="00E42BEA">
        <w:rPr>
          <w:rFonts w:eastAsia="Times New Roman" w:cs="Arial"/>
          <w:iCs/>
          <w:lang w:val="es-ES_tradnl" w:eastAsia="es-ES"/>
        </w:rPr>
        <w:t>.</w:t>
      </w:r>
    </w:p>
    <w:p w14:paraId="68783995" w14:textId="77777777" w:rsidR="009320F7" w:rsidRPr="00E42BEA" w:rsidRDefault="009320F7" w:rsidP="009320F7">
      <w:pPr>
        <w:suppressAutoHyphens/>
        <w:spacing w:line="276" w:lineRule="auto"/>
        <w:ind w:firstLine="0"/>
        <w:rPr>
          <w:rFonts w:eastAsia="Times New Roman" w:cs="Arial"/>
          <w:iCs/>
          <w:lang w:val="es-ES_tradnl" w:eastAsia="es-ES"/>
        </w:rPr>
      </w:pPr>
    </w:p>
    <w:p w14:paraId="6745F253" w14:textId="77777777" w:rsidR="009320F7" w:rsidRPr="00E42BEA" w:rsidRDefault="009320F7" w:rsidP="009320F7">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t>Como fácilmente se observa, el resultado de declarar la ineficacia del traslado lleva a lo siguiente:  AFP PRIVADA por supuestos errores u omisiones en información CAUSA PERJUICIO al afiliado, entonces, a un tercero -COLPENSIONES- la rama judicial le impone que con los demás dineros del fondo público, cubra el daño generado por la AFP privada.</w:t>
      </w:r>
    </w:p>
    <w:p w14:paraId="016E5B42" w14:textId="77777777" w:rsidR="009320F7" w:rsidRPr="00E42BEA" w:rsidRDefault="009320F7" w:rsidP="009320F7">
      <w:pPr>
        <w:suppressAutoHyphens/>
        <w:spacing w:line="276" w:lineRule="auto"/>
        <w:ind w:firstLine="0"/>
        <w:rPr>
          <w:rFonts w:eastAsia="Times New Roman" w:cs="Arial"/>
          <w:iCs/>
          <w:lang w:val="es-ES_tradnl" w:eastAsia="es-ES"/>
        </w:rPr>
      </w:pPr>
    </w:p>
    <w:p w14:paraId="01AFA52F" w14:textId="77777777" w:rsidR="009320F7" w:rsidRPr="00E42BEA" w:rsidRDefault="009320F7" w:rsidP="009320F7">
      <w:pPr>
        <w:suppressAutoHyphens/>
        <w:spacing w:line="276" w:lineRule="auto"/>
        <w:ind w:firstLine="0"/>
        <w:rPr>
          <w:rFonts w:eastAsia="Times New Roman" w:cs="Arial"/>
          <w:b/>
          <w:iCs/>
          <w:lang w:val="es-ES_tradnl" w:eastAsia="es-ES"/>
        </w:rPr>
      </w:pPr>
      <w:r w:rsidRPr="00E42BEA">
        <w:rPr>
          <w:rFonts w:eastAsia="Times New Roman" w:cs="Arial"/>
          <w:b/>
          <w:iCs/>
          <w:lang w:val="es-ES_tradnl" w:eastAsia="es-ES"/>
        </w:rPr>
        <w:t>Obviamente esa no es una solución legal y constitucionalmente sostenible, pero sobre todo NO ES LA SOLUCIÓN JURÍDICA QUE NUESTRA LEGISLACIÓN PREVÉ PARA ESTOS EVENTOS y que se encuentra consagrada en el artículo 10 del decreto 720 de 1994.</w:t>
      </w:r>
    </w:p>
    <w:p w14:paraId="4A60A403" w14:textId="77777777" w:rsidR="009320F7" w:rsidRPr="00E42BEA" w:rsidRDefault="009320F7" w:rsidP="009320F7">
      <w:pPr>
        <w:suppressAutoHyphens/>
        <w:spacing w:line="276" w:lineRule="auto"/>
        <w:ind w:firstLine="0"/>
        <w:rPr>
          <w:rFonts w:eastAsia="Times New Roman" w:cs="Arial"/>
          <w:iCs/>
          <w:lang w:val="es-ES_tradnl" w:eastAsia="es-ES"/>
        </w:rPr>
      </w:pPr>
    </w:p>
    <w:p w14:paraId="7880E54F" w14:textId="77777777" w:rsidR="009320F7" w:rsidRPr="00E42BEA" w:rsidRDefault="009320F7" w:rsidP="009320F7">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SEGUNDO: De manera consciente, sin justificación alguna, inaplica la solución jurídica que el sistema tiene prevista de manera específica para los actos de las AFP que por omisión o falsa información causen perjuicio a los afiliados.</w:t>
      </w:r>
    </w:p>
    <w:p w14:paraId="03E9ED9B" w14:textId="77777777" w:rsidR="009320F7" w:rsidRPr="00E42BEA" w:rsidRDefault="009320F7" w:rsidP="009320F7">
      <w:pPr>
        <w:suppressAutoHyphens/>
        <w:spacing w:line="276" w:lineRule="auto"/>
        <w:ind w:firstLine="0"/>
        <w:rPr>
          <w:rFonts w:eastAsia="Times New Roman" w:cs="Arial"/>
          <w:iCs/>
          <w:lang w:val="es-ES_tradnl" w:eastAsia="es-ES"/>
        </w:rPr>
      </w:pPr>
    </w:p>
    <w:p w14:paraId="404D07FC" w14:textId="77777777" w:rsidR="009320F7" w:rsidRPr="00E42BEA" w:rsidRDefault="009320F7" w:rsidP="009320F7">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t>A continuación se analizan aspectos de estas dos afirmaciones.</w:t>
      </w:r>
    </w:p>
    <w:p w14:paraId="66381C9F" w14:textId="77777777" w:rsidR="009320F7" w:rsidRPr="00E42BEA" w:rsidRDefault="009320F7" w:rsidP="009320F7">
      <w:pPr>
        <w:suppressAutoHyphens/>
        <w:spacing w:line="276" w:lineRule="auto"/>
        <w:ind w:firstLine="0"/>
        <w:rPr>
          <w:rFonts w:eastAsia="Times New Roman" w:cs="Arial"/>
          <w:lang w:val="es-ES_tradnl" w:eastAsia="es-ES"/>
        </w:rPr>
      </w:pPr>
    </w:p>
    <w:p w14:paraId="11AEE3F2" w14:textId="77777777" w:rsidR="009320F7" w:rsidRPr="00E42BEA" w:rsidRDefault="009320F7" w:rsidP="009320F7">
      <w:pPr>
        <w:numPr>
          <w:ilvl w:val="0"/>
          <w:numId w:val="5"/>
        </w:numPr>
        <w:suppressAutoHyphens/>
        <w:spacing w:line="240" w:lineRule="auto"/>
        <w:ind w:left="426" w:hanging="426"/>
        <w:jc w:val="left"/>
        <w:rPr>
          <w:rFonts w:eastAsia="Times New Roman" w:cs="Arial"/>
          <w:b/>
          <w:lang w:val="es-ES_tradnl" w:eastAsia="es-ES"/>
        </w:rPr>
      </w:pPr>
      <w:r w:rsidRPr="00E42BEA">
        <w:rPr>
          <w:rFonts w:eastAsia="Times New Roman" w:cs="Arial"/>
          <w:b/>
          <w:iCs/>
          <w:lang w:val="es-ES_tradnl" w:eastAsia="es-ES"/>
        </w:rPr>
        <w:t xml:space="preserve">APOYO CONSTITUCIONAL EMANADO DE LA SENTENCIA C-1024 DE 2004 SOBRE LA RAZON DE SER DE LA LIMITACIÓN DE TRASLADO CUANDO FALTEN MENOS DE 10 AÑOS. </w:t>
      </w:r>
    </w:p>
    <w:p w14:paraId="7D6B68C4" w14:textId="77777777" w:rsidR="009320F7" w:rsidRPr="00E42BEA" w:rsidRDefault="009320F7" w:rsidP="009320F7">
      <w:pPr>
        <w:suppressAutoHyphens/>
        <w:spacing w:line="276" w:lineRule="auto"/>
        <w:ind w:firstLine="0"/>
        <w:rPr>
          <w:rFonts w:eastAsia="Times New Roman" w:cs="Arial"/>
          <w:b/>
          <w:iCs/>
          <w:lang w:val="es-ES_tradnl" w:eastAsia="es-ES"/>
        </w:rPr>
      </w:pPr>
    </w:p>
    <w:p w14:paraId="1C9F2DB4" w14:textId="77777777" w:rsidR="009320F7" w:rsidRPr="00E42BEA" w:rsidRDefault="009320F7" w:rsidP="009320F7">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lastRenderedPageBreak/>
        <w:t xml:space="preserve">Para garantizar la abierta competencia entre regímenes, la ley estableció la posibilidad de trasladarse libremente entre ellos, limitándola en la etapa final de la adquisición del derecho -inicialmente 5 años y posteriormente 10-. </w:t>
      </w:r>
    </w:p>
    <w:p w14:paraId="21A907AB" w14:textId="77777777" w:rsidR="009320F7" w:rsidRPr="00E42BEA" w:rsidRDefault="009320F7" w:rsidP="009320F7">
      <w:pPr>
        <w:suppressAutoHyphens/>
        <w:spacing w:line="276" w:lineRule="auto"/>
        <w:ind w:firstLine="0"/>
        <w:rPr>
          <w:rFonts w:eastAsia="Times New Roman" w:cs="Arial"/>
          <w:iCs/>
          <w:lang w:val="es-ES_tradnl" w:eastAsia="es-ES"/>
        </w:rPr>
      </w:pPr>
    </w:p>
    <w:p w14:paraId="6C97E437" w14:textId="77777777" w:rsidR="009320F7" w:rsidRPr="00E42BEA" w:rsidRDefault="009320F7" w:rsidP="009320F7">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t xml:space="preserve">Al analizar esa limitación la Corte Constitucional fue clara en explicar que </w:t>
      </w:r>
      <w:r w:rsidRPr="00E42BEA">
        <w:rPr>
          <w:rFonts w:eastAsia="Times New Roman" w:cs="Arial"/>
          <w:b/>
          <w:iCs/>
          <w:lang w:val="es-ES_tradnl" w:eastAsia="es-ES"/>
        </w:rPr>
        <w:t>para garantizar la sostenibilidad financiera del sistema de prima media</w:t>
      </w:r>
      <w:r w:rsidRPr="00E42BEA">
        <w:rPr>
          <w:rFonts w:eastAsia="Times New Roman" w:cs="Arial"/>
          <w:iCs/>
          <w:lang w:val="es-ES_tradnl" w:eastAsia="es-ES"/>
        </w:rPr>
        <w:t xml:space="preserve"> es necesario que los aportes de los afiliados estén a su disposición, de manera tal que se permita que la administradora haga las inversiones necesarias para obtener altas tasas de rentabilidad. En efecto se extraen los siguientes apartes de la sentencia C-1024 de 2004:</w:t>
      </w:r>
    </w:p>
    <w:p w14:paraId="1A1AFB8F" w14:textId="77777777" w:rsidR="009320F7" w:rsidRPr="00E42BEA" w:rsidRDefault="009320F7" w:rsidP="009320F7">
      <w:pPr>
        <w:suppressAutoHyphens/>
        <w:spacing w:line="276" w:lineRule="auto"/>
        <w:ind w:firstLine="0"/>
        <w:rPr>
          <w:rFonts w:eastAsia="Times New Roman" w:cs="Arial"/>
          <w:b/>
          <w:iCs/>
          <w:lang w:val="es-ES_tradnl" w:eastAsia="es-ES"/>
        </w:rPr>
      </w:pPr>
    </w:p>
    <w:p w14:paraId="18314DE1" w14:textId="77777777" w:rsidR="009320F7" w:rsidRPr="00E42BEA" w:rsidRDefault="009320F7" w:rsidP="009320F7">
      <w:pPr>
        <w:suppressAutoHyphens/>
        <w:spacing w:line="240" w:lineRule="auto"/>
        <w:ind w:left="426" w:right="420" w:firstLine="0"/>
        <w:rPr>
          <w:rFonts w:eastAsia="Times New Roman" w:cs="Arial"/>
          <w:iCs/>
          <w:sz w:val="22"/>
          <w:lang w:val="es-ES" w:eastAsia="es-ES"/>
        </w:rPr>
      </w:pPr>
      <w:r w:rsidRPr="00E42BEA">
        <w:rPr>
          <w:rFonts w:eastAsia="Times New Roman" w:cs="Arial"/>
          <w:iCs/>
          <w:sz w:val="22"/>
          <w:lang w:eastAsia="es-ES"/>
        </w:rPr>
        <w:t>“Desde esta perspectiva, el </w:t>
      </w:r>
      <w:r w:rsidRPr="00E42BEA">
        <w:rPr>
          <w:rFonts w:eastAsia="Times New Roman" w:cs="Arial"/>
          <w:i/>
          <w:iCs/>
          <w:sz w:val="22"/>
          <w:lang w:eastAsia="es-ES"/>
        </w:rPr>
        <w:t>objetivo </w:t>
      </w:r>
      <w:r w:rsidRPr="00E42BEA">
        <w:rPr>
          <w:rFonts w:eastAsia="Times New Roman" w:cs="Arial"/>
          <w:iCs/>
          <w:sz w:val="22"/>
          <w:lang w:eastAsia="es-ES"/>
        </w:rPr>
        <w:t xml:space="preserve">perseguido con el señalamiento del  período de carencia en la norma acusada, </w:t>
      </w:r>
      <w:r w:rsidRPr="00E42BEA">
        <w:rPr>
          <w:rFonts w:eastAsia="Times New Roman" w:cs="Arial"/>
          <w:b/>
          <w:iCs/>
          <w:sz w:val="22"/>
          <w:lang w:eastAsia="es-ES"/>
        </w:rPr>
        <w:t>consiste en evitar la </w:t>
      </w:r>
      <w:r w:rsidRPr="00E42BEA">
        <w:rPr>
          <w:rFonts w:eastAsia="Times New Roman" w:cs="Arial"/>
          <w:b/>
          <w:i/>
          <w:iCs/>
          <w:sz w:val="22"/>
          <w:lang w:eastAsia="es-ES"/>
        </w:rPr>
        <w:t>descapitalización</w:t>
      </w:r>
      <w:r w:rsidRPr="00E42BEA">
        <w:rPr>
          <w:rFonts w:eastAsia="Times New Roman" w:cs="Arial"/>
          <w:b/>
          <w:iCs/>
          <w:sz w:val="22"/>
          <w:lang w:eastAsia="es-ES"/>
        </w:rPr>
        <w:t> del fondo común del Régimen Solidario de Prima Media con Prestación Definida</w:t>
      </w:r>
      <w:r w:rsidRPr="00E42BEA">
        <w:rPr>
          <w:rFonts w:eastAsia="Times New Roman" w:cs="Arial"/>
          <w:iCs/>
          <w:sz w:val="22"/>
          <w:lang w:eastAsia="es-ES"/>
        </w:rPr>
        <w:t>, que se produciría si se permitiera que las personas que no han contribuido al </w:t>
      </w:r>
      <w:r w:rsidRPr="00E42BEA">
        <w:rPr>
          <w:rFonts w:eastAsia="Times New Roman" w:cs="Arial"/>
          <w:i/>
          <w:iCs/>
          <w:sz w:val="22"/>
          <w:lang w:eastAsia="es-ES"/>
        </w:rPr>
        <w:t>fondo común</w:t>
      </w:r>
      <w:r w:rsidRPr="00E42BEA">
        <w:rPr>
          <w:rFonts w:eastAsia="Times New Roman" w:cs="Arial"/>
          <w:iCs/>
          <w:sz w:val="22"/>
          <w:lang w:eastAsia="es-ES"/>
        </w:rPr>
        <w:t xml:space="preserve"> y que, por lo mismo, no fueron tenidas en consideración en la realización del cálculo actuarial para determinar las sumas que representarán en el futuro el pago de sus pensiones y su reajuste periódico; pudiesen trasladarse de régimen, cuando llegasen a estar próximos al cumplimiento de los requisitos para acceder a la pensión de vejez, lo que contribuiría a desfinanciar el sistema y, por ende, </w:t>
      </w:r>
      <w:r w:rsidRPr="00E42BEA">
        <w:rPr>
          <w:rFonts w:eastAsia="Times New Roman" w:cs="Arial"/>
          <w:b/>
          <w:iCs/>
          <w:sz w:val="22"/>
          <w:lang w:eastAsia="es-ES"/>
        </w:rPr>
        <w:t>a poner en riesgo la garantía del derecho irrenunciable a la pensión del resto de cotizantes</w:t>
      </w:r>
      <w:r w:rsidRPr="00E42BEA">
        <w:rPr>
          <w:rFonts w:eastAsia="Times New Roman" w:cs="Arial"/>
          <w:iCs/>
          <w:sz w:val="22"/>
          <w:lang w:eastAsia="es-ES"/>
        </w:rPr>
        <w:t xml:space="preserve">. No sobra mencionar en este punto, que el sustento actuarial es el que permite asumir los riesgos que se encuentran involucrados con el sistema y que, en ese orden de ideas, su falta de ajuste con la realidad económica del país, simplemente </w:t>
      </w:r>
      <w:r w:rsidRPr="00E42BEA">
        <w:rPr>
          <w:rFonts w:eastAsia="Times New Roman" w:cs="Arial"/>
          <w:b/>
          <w:iCs/>
          <w:sz w:val="22"/>
          <w:lang w:eastAsia="es-ES"/>
        </w:rPr>
        <w:t>podría llegar a poner en riesgo la garantía del derecho pensional para los actuales y futuros pensionados</w:t>
      </w:r>
      <w:r w:rsidRPr="00E42BEA">
        <w:rPr>
          <w:rFonts w:eastAsia="Times New Roman" w:cs="Arial"/>
          <w:iCs/>
          <w:sz w:val="22"/>
          <w:lang w:eastAsia="es-ES"/>
        </w:rPr>
        <w:t>.</w:t>
      </w:r>
    </w:p>
    <w:p w14:paraId="36857BAB" w14:textId="77777777" w:rsidR="009320F7" w:rsidRPr="00E42BEA" w:rsidRDefault="009320F7" w:rsidP="009320F7">
      <w:pPr>
        <w:suppressAutoHyphens/>
        <w:spacing w:line="240" w:lineRule="auto"/>
        <w:ind w:left="426" w:right="420" w:firstLine="0"/>
        <w:rPr>
          <w:rFonts w:eastAsia="Times New Roman" w:cs="Arial"/>
          <w:iCs/>
          <w:sz w:val="22"/>
          <w:lang w:val="es-ES" w:eastAsia="es-ES"/>
        </w:rPr>
      </w:pPr>
      <w:r w:rsidRPr="00E42BEA">
        <w:rPr>
          <w:rFonts w:eastAsia="Times New Roman" w:cs="Arial"/>
          <w:iCs/>
          <w:sz w:val="22"/>
          <w:lang w:eastAsia="es-ES"/>
        </w:rPr>
        <w:t> </w:t>
      </w:r>
    </w:p>
    <w:p w14:paraId="39E61B2D" w14:textId="77777777" w:rsidR="009320F7" w:rsidRPr="00E42BEA" w:rsidRDefault="009320F7" w:rsidP="009320F7">
      <w:pPr>
        <w:suppressAutoHyphens/>
        <w:spacing w:line="240" w:lineRule="auto"/>
        <w:ind w:left="426" w:right="420" w:firstLine="0"/>
        <w:rPr>
          <w:rFonts w:eastAsia="Times New Roman" w:cs="Arial"/>
          <w:iCs/>
          <w:sz w:val="22"/>
          <w:lang w:val="es-ES" w:eastAsia="es-ES"/>
        </w:rPr>
      </w:pPr>
      <w:r w:rsidRPr="00E42BEA">
        <w:rPr>
          <w:rFonts w:eastAsia="Times New Roman" w:cs="Arial"/>
          <w:iCs/>
          <w:sz w:val="22"/>
          <w:lang w:eastAsia="es-ES"/>
        </w:rPr>
        <w:t>Así las cosas, el período de carencia o de permanencia obligatoria, permite, en general, una menor tasa de cotización o restringe la urgencia de su incremento, al compensar esta necesidad por el mayor tiempo que la persona permanecerá afiliado a un régimen, sin generar los desgastes administrativos derivados de un traslado frecuente y garantizando una mayor utilidad financiera de las inversiones, puesto que éstas pueden realizarse a un largo plazo y, por ello, hacer presumir una creciente rentabilidad del portafolio conformado por la mutualidad del fondo común que financia las pensiones en el régimen de prima media con prestación definida.</w:t>
      </w:r>
    </w:p>
    <w:p w14:paraId="4BAD4ED6" w14:textId="77777777" w:rsidR="009320F7" w:rsidRPr="00E42BEA" w:rsidRDefault="009320F7" w:rsidP="009320F7">
      <w:pPr>
        <w:suppressAutoHyphens/>
        <w:spacing w:line="240" w:lineRule="auto"/>
        <w:ind w:left="426" w:right="420" w:firstLine="0"/>
        <w:rPr>
          <w:rFonts w:eastAsia="Times New Roman" w:cs="Arial"/>
          <w:iCs/>
          <w:sz w:val="22"/>
          <w:lang w:val="es-ES" w:eastAsia="es-ES"/>
        </w:rPr>
      </w:pPr>
      <w:r w:rsidRPr="00E42BEA">
        <w:rPr>
          <w:rFonts w:eastAsia="Times New Roman" w:cs="Arial"/>
          <w:iCs/>
          <w:sz w:val="22"/>
          <w:lang w:eastAsia="es-ES"/>
        </w:rPr>
        <w:t> </w:t>
      </w:r>
    </w:p>
    <w:p w14:paraId="52B63824" w14:textId="77777777" w:rsidR="009320F7" w:rsidRPr="00E42BEA" w:rsidRDefault="009320F7" w:rsidP="009320F7">
      <w:pPr>
        <w:suppressAutoHyphens/>
        <w:spacing w:line="240" w:lineRule="auto"/>
        <w:ind w:left="426" w:right="420" w:firstLine="0"/>
        <w:rPr>
          <w:rFonts w:eastAsia="Times New Roman" w:cs="Arial"/>
          <w:b/>
          <w:iCs/>
          <w:sz w:val="22"/>
          <w:lang w:eastAsia="es-ES"/>
        </w:rPr>
      </w:pPr>
      <w:r w:rsidRPr="00E42BEA">
        <w:rPr>
          <w:rFonts w:eastAsia="Times New Roman" w:cs="Arial"/>
          <w:iCs/>
          <w:sz w:val="22"/>
          <w:lang w:eastAsia="es-ES"/>
        </w:rPr>
        <w:t xml:space="preserve">Desde esta perspectiva, si dicho régimen se sostiene sobre las cotizaciones efectivamente realizadas en la vida laboral de los afiliados, para que una vez cumplidos los requisitos de edad y número de semanas, puedan obtener una pensión mínima independientemente de las sumas efectivamente cotizadas. </w:t>
      </w:r>
      <w:r w:rsidRPr="00E42BEA">
        <w:rPr>
          <w:rFonts w:eastAsia="Times New Roman" w:cs="Arial"/>
          <w:b/>
          <w:iCs/>
          <w:sz w:val="22"/>
          <w:lang w:eastAsia="es-ES"/>
        </w:rPr>
        <w:t>Permitir que una persona próxima a la edad de pensionarse se beneficie y resulte subsidiada por las cotizaciones de los demás, resulta contrario no sólo al concepto constitucional de equidad (C.P. art. 95), sino también al principio de eficiencia pensional</w:t>
      </w:r>
      <w:r w:rsidRPr="00E42BEA">
        <w:rPr>
          <w:rFonts w:eastAsia="Times New Roman" w:cs="Arial"/>
          <w:iCs/>
          <w:sz w:val="22"/>
          <w:lang w:eastAsia="es-ES"/>
        </w:rPr>
        <w:t>, cuyo propósito consiste en: </w:t>
      </w:r>
      <w:r w:rsidRPr="00E42BEA">
        <w:rPr>
          <w:rFonts w:eastAsia="Times New Roman" w:cs="Arial"/>
          <w:i/>
          <w:iCs/>
          <w:sz w:val="22"/>
          <w:lang w:eastAsia="es-ES"/>
        </w:rPr>
        <w:t>´obtener la mejor utilización económica de los recursos administrativos y financieros disponibles para asegurar el reconocimiento y pago en forma adecuada, oportuna y suficiente de los beneficios a que da derecho la seguridad social. Este principio en materia pensional se manifiesta en el logro de la sostenibilidad financiera autónoma del sistema integral de seguridad social en pensiones, en aras de garantizar ‘el derecho al pago oportuno y al reajuste periódico de las pensiones legales’, en los términos previstos en el artículo 53 del Texto Superior´</w:t>
      </w:r>
      <w:r w:rsidRPr="00E42BEA">
        <w:rPr>
          <w:rFonts w:eastAsia="Times New Roman" w:cs="Arial"/>
          <w:iCs/>
          <w:sz w:val="22"/>
          <w:lang w:eastAsia="es-ES"/>
        </w:rPr>
        <w:t>.”</w:t>
      </w:r>
      <w:r w:rsidRPr="00E42BEA">
        <w:rPr>
          <w:rFonts w:eastAsia="Times New Roman" w:cs="Arial"/>
          <w:b/>
          <w:iCs/>
          <w:sz w:val="22"/>
          <w:lang w:eastAsia="es-ES"/>
        </w:rPr>
        <w:t> </w:t>
      </w:r>
    </w:p>
    <w:p w14:paraId="33949319" w14:textId="77777777" w:rsidR="009320F7" w:rsidRPr="00E42BEA" w:rsidRDefault="009320F7" w:rsidP="009320F7">
      <w:pPr>
        <w:suppressAutoHyphens/>
        <w:spacing w:line="276" w:lineRule="auto"/>
        <w:ind w:firstLine="0"/>
        <w:rPr>
          <w:rFonts w:eastAsia="Times New Roman" w:cs="Arial"/>
          <w:b/>
          <w:iCs/>
          <w:lang w:val="es-ES_tradnl" w:eastAsia="es-ES"/>
        </w:rPr>
      </w:pPr>
    </w:p>
    <w:p w14:paraId="65DBEDA3" w14:textId="77777777" w:rsidR="009320F7" w:rsidRPr="00E42BEA" w:rsidRDefault="009320F7" w:rsidP="009320F7">
      <w:pPr>
        <w:suppressAutoHyphens/>
        <w:spacing w:line="276" w:lineRule="auto"/>
        <w:ind w:firstLine="0"/>
        <w:rPr>
          <w:rFonts w:eastAsia="Times New Roman" w:cs="Arial"/>
          <w:b/>
          <w:iCs/>
          <w:lang w:eastAsia="es-ES"/>
        </w:rPr>
      </w:pPr>
      <w:r w:rsidRPr="00E42BEA">
        <w:rPr>
          <w:rFonts w:eastAsia="Times New Roman" w:cs="Arial"/>
          <w:iCs/>
          <w:lang w:val="es-ES_tradnl" w:eastAsia="es-ES"/>
        </w:rPr>
        <w:t xml:space="preserve">Permitir entonces, la declaración de ineficacia de traslados de personas que han estado largos años en el RAIS y a última hora perciben que, gracias a los subsidios del Régimen de Prima Media, su pensión podría ser superior en este a la que obtendrían en aquel, no solo es desconocer que la coexistencia de regímenes implica que ninguno de los dos es mejor o peor que el otro, sino también cohonestar con que </w:t>
      </w:r>
      <w:r w:rsidRPr="00E42BEA">
        <w:rPr>
          <w:rFonts w:eastAsia="Times New Roman" w:cs="Arial"/>
          <w:iCs/>
          <w:lang w:val="es-ES_tradnl" w:eastAsia="es-ES"/>
        </w:rPr>
        <w:lastRenderedPageBreak/>
        <w:t xml:space="preserve">algunas personas obtengan beneficios que no les corresponden y que se derivan de esfuerzos en los que no participaron, y cuyo otorgamiento -dada esa circunstancia- </w:t>
      </w:r>
      <w:r w:rsidRPr="00E42BEA">
        <w:rPr>
          <w:rFonts w:eastAsia="Times New Roman" w:cs="Arial"/>
          <w:b/>
          <w:iCs/>
          <w:lang w:eastAsia="es-ES"/>
        </w:rPr>
        <w:t>puede llegar a poner en riesgo la garantía del derecho pensional para los actuales y futuros pensionados que si lo hicieron.</w:t>
      </w:r>
    </w:p>
    <w:p w14:paraId="413871F6" w14:textId="77777777" w:rsidR="009320F7" w:rsidRPr="00E42BEA" w:rsidRDefault="009320F7" w:rsidP="009320F7">
      <w:pPr>
        <w:suppressAutoHyphens/>
        <w:spacing w:line="276" w:lineRule="auto"/>
        <w:ind w:firstLine="0"/>
        <w:rPr>
          <w:rFonts w:eastAsia="Times New Roman" w:cs="Arial"/>
          <w:b/>
          <w:iCs/>
          <w:lang w:eastAsia="es-ES"/>
        </w:rPr>
      </w:pPr>
    </w:p>
    <w:p w14:paraId="2D78CBDA" w14:textId="77777777" w:rsidR="009320F7" w:rsidRPr="00E42BEA" w:rsidRDefault="009320F7" w:rsidP="009320F7">
      <w:pPr>
        <w:suppressAutoHyphens/>
        <w:spacing w:line="276" w:lineRule="auto"/>
        <w:ind w:firstLine="0"/>
        <w:rPr>
          <w:rFonts w:eastAsia="Times New Roman" w:cs="Arial"/>
          <w:iCs/>
          <w:lang w:val="es-ES_tradnl" w:eastAsia="es-ES"/>
        </w:rPr>
      </w:pPr>
      <w:r w:rsidRPr="00E42BEA">
        <w:rPr>
          <w:rFonts w:eastAsia="Times New Roman" w:cs="Arial"/>
          <w:b/>
          <w:iCs/>
          <w:lang w:eastAsia="es-ES"/>
        </w:rPr>
        <w:t>No resulta aceptable, bajo ninguna circunstancia que a pesar de existir esta limitación temporal expresa en la ley, que encuentra la explicación que atrás se acaba de dar, la jurisdicción, por el dudoso camino de insistir en una supuesta ineficacia del acto jurídico de la afiliación, vuelva ilimitado en el tiempo la posibilidad de retorno al régimen que a última hora mejor resulte a los intereses actuales del solicitante</w:t>
      </w:r>
      <w:r w:rsidRPr="00E42BEA">
        <w:rPr>
          <w:rFonts w:eastAsia="Times New Roman" w:cs="Arial"/>
          <w:iCs/>
          <w:lang w:eastAsia="es-ES"/>
        </w:rPr>
        <w:t>. Y se afirma lo anterior porque la ineficacia a diferencia de la nulidad no tiene un tiempo que otorgue firmeza jurídica al acto, entonces bajo su amparo, el interesado, cuando ya potencialmente ha estado cobijado durante largos años por los beneficios del RAIS, a última hora, con pleno conocimiento de que su pensión en el RPM resulta de mayor cuantía, busca su retorno a este sistema en el que poco colaboró con sus aportes oportunos. Y se afirma que ese afiliado estuvo potencialmente cobijado por los beneficios del RAIS por cuanto no puede olvidarse que</w:t>
      </w:r>
      <w:r w:rsidRPr="00E42BEA">
        <w:rPr>
          <w:rFonts w:eastAsia="Times New Roman" w:cs="Arial"/>
          <w:iCs/>
          <w:lang w:val="es-ES_tradnl" w:eastAsia="es-ES"/>
        </w:rPr>
        <w:t xml:space="preserve"> estuvo amparado por la garantía de pensión mínima 150 semanas antes que en el RPM, pues mientras en este ocurre a las 1300 semanas en aquel sucede a las 1150 semanas; no tuvo el límite del 80% del IBL como tope de su pensión; sus beneficiarios pudieron acceder a la devolución de saldos si él hubiera fallecido sin cumplir los requisitos para causar una pensión de sobrevivientes; Tuvo acceso a excedentes de libre disponibilidad; Pudo hacer aportes voluntarios para aumentar los saldos de la cuenta de ahorro individual; Gozó del privilegio de que, en caso de morir sin dejar beneficiarios de pensión de sobrevivientes, las sumas acumuladas en cuenta de ahorro individual hicieran parte de la masa sucesoral, etc..</w:t>
      </w:r>
    </w:p>
    <w:p w14:paraId="0E3129BD" w14:textId="77777777" w:rsidR="009320F7" w:rsidRPr="00E42BEA" w:rsidRDefault="009320F7" w:rsidP="009320F7">
      <w:pPr>
        <w:suppressAutoHyphens/>
        <w:spacing w:line="276" w:lineRule="auto"/>
        <w:ind w:firstLine="0"/>
        <w:rPr>
          <w:rFonts w:eastAsia="Times New Roman" w:cs="Arial"/>
          <w:lang w:val="es-ES_tradnl" w:eastAsia="es-ES"/>
        </w:rPr>
      </w:pPr>
    </w:p>
    <w:p w14:paraId="0F1AEC57" w14:textId="77777777" w:rsidR="009320F7" w:rsidRPr="00E42BEA" w:rsidRDefault="009320F7" w:rsidP="009320F7">
      <w:pPr>
        <w:numPr>
          <w:ilvl w:val="0"/>
          <w:numId w:val="5"/>
        </w:numPr>
        <w:suppressAutoHyphens/>
        <w:spacing w:line="240" w:lineRule="auto"/>
        <w:ind w:left="426" w:hanging="426"/>
        <w:jc w:val="left"/>
        <w:rPr>
          <w:rFonts w:eastAsia="Times New Roman" w:cs="Arial"/>
          <w:b/>
          <w:lang w:val="es-ES_tradnl" w:eastAsia="es-ES"/>
        </w:rPr>
      </w:pPr>
      <w:r w:rsidRPr="00E42BEA">
        <w:rPr>
          <w:rFonts w:eastAsia="Times New Roman" w:cs="Arial"/>
          <w:b/>
          <w:lang w:val="es-ES_tradnl" w:eastAsia="es-ES"/>
        </w:rPr>
        <w:t>EN NUESTRO SISTEMA JURÍDICO ¿QUIEN ES LA PERSONA LLAMADA A RESPONDER POR LOS DAÑOS ANTIJURÍDICOS QUE CAUSE CON SU PROCEDER?</w:t>
      </w:r>
    </w:p>
    <w:p w14:paraId="16E96D52" w14:textId="77777777" w:rsidR="009320F7" w:rsidRPr="00E42BEA" w:rsidRDefault="009320F7" w:rsidP="009320F7">
      <w:pPr>
        <w:suppressAutoHyphens/>
        <w:spacing w:line="276" w:lineRule="auto"/>
        <w:ind w:firstLine="0"/>
        <w:rPr>
          <w:rFonts w:eastAsia="Times New Roman" w:cs="Arial"/>
          <w:lang w:val="es-ES_tradnl" w:eastAsia="es-ES"/>
        </w:rPr>
      </w:pPr>
    </w:p>
    <w:p w14:paraId="1413A09C" w14:textId="77777777" w:rsidR="009320F7" w:rsidRPr="00E42BEA" w:rsidRDefault="009320F7" w:rsidP="009320F7">
      <w:pPr>
        <w:suppressAutoHyphens/>
        <w:spacing w:line="276" w:lineRule="auto"/>
        <w:ind w:firstLine="0"/>
        <w:rPr>
          <w:rFonts w:eastAsia="Times New Roman" w:cs="Arial"/>
          <w:lang w:val="es-ES_tradnl" w:eastAsia="es-ES"/>
        </w:rPr>
      </w:pPr>
      <w:r w:rsidRPr="00E42BEA">
        <w:rPr>
          <w:rFonts w:eastAsia="Times New Roman" w:cs="Arial"/>
          <w:lang w:val="es-ES_tradnl" w:eastAsia="es-ES"/>
        </w:rPr>
        <w:t>El hecho que con anterioridad se haya afirmado que no procede la declaración de ineficacia no quiere decir que quien sienta que no se le ha dado la información necesaria, o que la que se le ha dado ha sido errónea, no tenga a su disposición los medios jurídicos para que se le resarza el perjuicio que con ello se le hubiere causado. En realidad, lo que no se puede permitir es que quien no causó el daño sea quien deba resarcirlo, como viene ocurriendo al declarar las ineficacias, pues a quien viene imponiéndose el resarcimiento de los perjuicios, por la vía de obligarlo al pago de unas mesadas en cuantía superior a la que el capital existente permite otorgar, es a COLPENSIONES, con grave detrimento de los legítimos intereses de todas las personas que fielmente han permanecido en el RPM, dada la descapitalización del fondo por el otorgamiento de pensiones sin el soporte financiero necesario. Situación que en últimas afecta gravemente el presupuesto nacional, pues como lo dispone el artículo 48 constitucional con las modificaciones que le introdujo el acto legislativo 01 de 2005, la nación es garante del pago de las obligaciones pensionales a cargo de Colpensiones.</w:t>
      </w:r>
    </w:p>
    <w:p w14:paraId="50052E87" w14:textId="77777777" w:rsidR="009320F7" w:rsidRPr="00E42BEA" w:rsidRDefault="009320F7" w:rsidP="009320F7">
      <w:pPr>
        <w:suppressAutoHyphens/>
        <w:spacing w:line="276" w:lineRule="auto"/>
        <w:ind w:firstLine="0"/>
        <w:rPr>
          <w:rFonts w:eastAsia="Times New Roman" w:cs="Arial"/>
          <w:lang w:val="es-ES_tradnl" w:eastAsia="es-ES"/>
        </w:rPr>
      </w:pPr>
    </w:p>
    <w:p w14:paraId="71D6D12C" w14:textId="77777777" w:rsidR="009320F7" w:rsidRPr="00E42BEA" w:rsidRDefault="009320F7" w:rsidP="009320F7">
      <w:pPr>
        <w:suppressAutoHyphens/>
        <w:spacing w:line="276" w:lineRule="auto"/>
        <w:ind w:firstLine="0"/>
        <w:rPr>
          <w:rFonts w:eastAsia="Times New Roman" w:cs="Arial"/>
          <w:i/>
          <w:lang w:val="es-ES_tradnl" w:eastAsia="es-ES"/>
        </w:rPr>
      </w:pPr>
      <w:r w:rsidRPr="00E42BEA">
        <w:rPr>
          <w:rFonts w:eastAsia="Times New Roman" w:cs="Arial"/>
          <w:lang w:val="es-ES_tradnl" w:eastAsia="es-ES"/>
        </w:rPr>
        <w:t xml:space="preserve">Esas consecuencias patrimoniales a cargo de Colpensiones dejan en evidencia que la solución jurídica de declaración de ineficacia en estos eventos transgrede, no solo </w:t>
      </w:r>
      <w:r w:rsidRPr="00E42BEA">
        <w:rPr>
          <w:rFonts w:eastAsia="Times New Roman" w:cs="Arial"/>
          <w:lang w:val="es-ES_tradnl" w:eastAsia="es-ES"/>
        </w:rPr>
        <w:lastRenderedPageBreak/>
        <w:t>los artículos 2341 y 2343 del Código Civil que determinan que quien debe indemnizar el daño es quien lo cause, sino también el artículo 90 de la Constitución Nacional que dispone que “</w:t>
      </w:r>
      <w:r w:rsidRPr="00E42BEA">
        <w:rPr>
          <w:rFonts w:eastAsia="Times New Roman" w:cs="Arial"/>
          <w:i/>
          <w:sz w:val="22"/>
          <w:lang w:val="es-ES_tradnl" w:eastAsia="es-ES"/>
        </w:rPr>
        <w:t>el Estado únicamente responderá patrimonialmente por los daños antijurídicos que le sean imputables, causado por la acción o la omisión de las autoridades públicas</w:t>
      </w:r>
      <w:r w:rsidRPr="00E42BEA">
        <w:rPr>
          <w:rFonts w:eastAsia="Times New Roman" w:cs="Arial"/>
          <w:i/>
          <w:lang w:val="es-ES_tradnl" w:eastAsia="es-ES"/>
        </w:rPr>
        <w:t>”.</w:t>
      </w:r>
    </w:p>
    <w:p w14:paraId="592386E9" w14:textId="77777777" w:rsidR="009320F7" w:rsidRPr="00E42BEA" w:rsidRDefault="009320F7" w:rsidP="009320F7">
      <w:pPr>
        <w:suppressAutoHyphens/>
        <w:spacing w:line="276" w:lineRule="auto"/>
        <w:ind w:firstLine="0"/>
        <w:rPr>
          <w:rFonts w:eastAsia="Times New Roman" w:cs="Arial"/>
          <w:lang w:val="es-ES_tradnl" w:eastAsia="es-ES"/>
        </w:rPr>
      </w:pPr>
    </w:p>
    <w:p w14:paraId="42FB7149" w14:textId="77777777" w:rsidR="009320F7" w:rsidRPr="00E42BEA" w:rsidRDefault="009320F7" w:rsidP="009320F7">
      <w:pPr>
        <w:numPr>
          <w:ilvl w:val="0"/>
          <w:numId w:val="5"/>
        </w:numPr>
        <w:suppressAutoHyphens/>
        <w:spacing w:line="240" w:lineRule="auto"/>
        <w:ind w:left="426" w:hanging="426"/>
        <w:jc w:val="left"/>
        <w:rPr>
          <w:rFonts w:eastAsia="Times New Roman" w:cs="Arial"/>
          <w:b/>
          <w:lang w:val="es-ES_tradnl" w:eastAsia="es-ES"/>
        </w:rPr>
      </w:pPr>
      <w:r w:rsidRPr="00E42BEA">
        <w:rPr>
          <w:rFonts w:eastAsia="Times New Roman" w:cs="Arial"/>
          <w:b/>
          <w:lang w:val="es-ES_tradnl" w:eastAsia="es-ES"/>
        </w:rPr>
        <w:t>LAS NORMAS VIGENTES QUE REGULAN LAS CONDUCTAS IRREGULARES DE LAS ADMINISTRADORAS DE FONDOS DE PENSIONES POR LOS ERRORES U OMISIONES EN LA INFORMACIÓN QUE CAUSEN PERJUICIO A QUIENES AFILIEN.</w:t>
      </w:r>
    </w:p>
    <w:p w14:paraId="4335D2CA" w14:textId="77777777" w:rsidR="009320F7" w:rsidRPr="00E42BEA" w:rsidRDefault="009320F7" w:rsidP="009320F7">
      <w:pPr>
        <w:suppressAutoHyphens/>
        <w:spacing w:line="276" w:lineRule="auto"/>
        <w:ind w:firstLine="0"/>
        <w:rPr>
          <w:rFonts w:eastAsia="Times New Roman" w:cs="Arial"/>
          <w:lang w:val="es-ES_tradnl" w:eastAsia="es-ES"/>
        </w:rPr>
      </w:pPr>
    </w:p>
    <w:p w14:paraId="02E45DFD" w14:textId="77777777" w:rsidR="009320F7" w:rsidRPr="00E42BEA" w:rsidRDefault="009320F7" w:rsidP="009320F7">
      <w:pPr>
        <w:suppressAutoHyphens/>
        <w:spacing w:line="276" w:lineRule="auto"/>
        <w:ind w:firstLine="0"/>
        <w:rPr>
          <w:rFonts w:eastAsia="Times New Roman" w:cs="Arial"/>
          <w:lang w:val="es-ES" w:eastAsia="es-ES"/>
        </w:rPr>
      </w:pPr>
      <w:r w:rsidRPr="00E42BEA">
        <w:rPr>
          <w:rFonts w:eastAsia="Times New Roman" w:cs="Arial"/>
          <w:b/>
          <w:bCs/>
          <w:lang w:val="es-ES" w:eastAsia="es-ES"/>
        </w:rPr>
        <w:t xml:space="preserve">Tras las declaraciones de ineficacia se ha omitido estudiar, reconocer y aplicar las normas jurídicas que en realidad nuestro ordenamiento tiene expresamente establecida para esta clase de asuntos en el decreto 720 de 1994, que enseñan que, si en efecto las AFP incurrieron en engaños o malas asesorías para lograr la afiliación de personas que estaban en el RPM, son ellas las que deben asumir las consecuencias económicas indemnizatorias por el perjuicio que eventualmente hayan causado con ese proceder. </w:t>
      </w:r>
      <w:r w:rsidRPr="00E42BEA">
        <w:rPr>
          <w:rFonts w:eastAsia="Times New Roman" w:cs="Arial"/>
          <w:lang w:val="es-ES" w:eastAsia="es-ES"/>
        </w:rPr>
        <w:t xml:space="preserve"> </w:t>
      </w:r>
    </w:p>
    <w:p w14:paraId="0DF654C8" w14:textId="77777777" w:rsidR="009320F7" w:rsidRPr="00E42BEA" w:rsidRDefault="009320F7" w:rsidP="009320F7">
      <w:pPr>
        <w:suppressAutoHyphens/>
        <w:spacing w:line="276" w:lineRule="auto"/>
        <w:ind w:firstLine="0"/>
        <w:rPr>
          <w:rFonts w:eastAsia="Times New Roman" w:cs="Arial"/>
          <w:lang w:val="es-ES_tradnl" w:eastAsia="es-ES"/>
        </w:rPr>
      </w:pPr>
    </w:p>
    <w:p w14:paraId="3E1F3408" w14:textId="77777777" w:rsidR="009320F7" w:rsidRPr="00E42BEA" w:rsidRDefault="009320F7" w:rsidP="009320F7">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Basta una lectura del decreto 720 de 1994 para concluir que es él el que regula la manera y las condiciones como las AFP pueden promocionar sus productos dentro del sistema general de pensiones, el personal que pueden utilizar para el efecto, pero sobre todo, explicita el decreto la responsabilidad que les asiste a esas entidades por los errores o las omisiones -que causen perjuicios- en que incurran las personas que se encarguen de la afiliación de los usuarios. Vale la pena mencionar el texto del artículo 10 del decreto en cita. </w:t>
      </w:r>
    </w:p>
    <w:p w14:paraId="4E1BEA4D" w14:textId="77777777" w:rsidR="009320F7" w:rsidRPr="00E42BEA" w:rsidRDefault="009320F7" w:rsidP="009320F7">
      <w:pPr>
        <w:suppressAutoHyphens/>
        <w:spacing w:line="276" w:lineRule="auto"/>
        <w:ind w:firstLine="0"/>
        <w:rPr>
          <w:rFonts w:eastAsia="Times New Roman" w:cs="Arial"/>
          <w:lang w:val="es-ES_tradnl" w:eastAsia="es-ES"/>
        </w:rPr>
      </w:pPr>
    </w:p>
    <w:p w14:paraId="1FF86C2F" w14:textId="77777777" w:rsidR="009320F7" w:rsidRPr="00E42BEA" w:rsidRDefault="009320F7" w:rsidP="009320F7">
      <w:pPr>
        <w:suppressAutoHyphens/>
        <w:spacing w:line="240" w:lineRule="auto"/>
        <w:ind w:left="426" w:right="420" w:firstLine="0"/>
        <w:rPr>
          <w:rFonts w:eastAsia="Times New Roman" w:cs="Arial"/>
          <w:sz w:val="22"/>
          <w:lang w:val="es-ES_tradnl" w:eastAsia="es-ES"/>
        </w:rPr>
      </w:pPr>
      <w:r w:rsidRPr="00E42BEA">
        <w:rPr>
          <w:rFonts w:eastAsia="Times New Roman" w:cs="Arial"/>
          <w:b/>
          <w:sz w:val="22"/>
          <w:lang w:eastAsia="es-ES"/>
        </w:rPr>
        <w:t>“Artículo 10</w:t>
      </w:r>
      <w:r w:rsidRPr="00E42BEA">
        <w:rPr>
          <w:rFonts w:eastAsia="Times New Roman" w:cs="Arial"/>
          <w:b/>
          <w:bCs/>
          <w:sz w:val="22"/>
          <w:lang w:eastAsia="es-ES"/>
        </w:rPr>
        <w:t>.</w:t>
      </w:r>
      <w:r w:rsidRPr="00E42BEA">
        <w:rPr>
          <w:rFonts w:eastAsia="Times New Roman" w:cs="Arial"/>
          <w:b/>
          <w:sz w:val="22"/>
          <w:lang w:eastAsia="es-ES"/>
        </w:rPr>
        <w:t xml:space="preserve"> RESPONSABILIDAD DE LOS PROMOTORES. </w:t>
      </w:r>
      <w:r w:rsidRPr="00E42BEA">
        <w:rPr>
          <w:rFonts w:eastAsia="Times New Roman" w:cs="Arial"/>
          <w:b/>
          <w:sz w:val="22"/>
          <w:u w:val="single"/>
          <w:lang w:eastAsia="es-ES"/>
        </w:rPr>
        <w:t>Cualquier infracción, error u omisión -en especial aquellos que impliquen perjuicio a los intereses de los afiliados- en que incurran los promotores de las sociedades administradoras del sistema general de pensiones en el desarrollo de su actividad compromete la responsabilidad de la sociedad administradora respecto de la cual adelante de sus labores de promoción o con la cual, con ocasión de su gestión, se hubiere realizado la respectiva vinculación</w:t>
      </w:r>
      <w:r w:rsidRPr="00E42BEA">
        <w:rPr>
          <w:rFonts w:eastAsia="Times New Roman" w:cs="Arial"/>
          <w:b/>
          <w:sz w:val="22"/>
          <w:lang w:eastAsia="es-ES"/>
        </w:rPr>
        <w:t xml:space="preserve"> sin perjuicio de la responsabilidad de los promotores frente a la correspondiente sociedad administradora del sistema general de pensiones.”</w:t>
      </w:r>
      <w:r w:rsidRPr="00E42BEA">
        <w:rPr>
          <w:rFonts w:eastAsia="Times New Roman" w:cs="Arial"/>
          <w:sz w:val="22"/>
          <w:lang w:eastAsia="es-ES"/>
        </w:rPr>
        <w:t xml:space="preserve"> (Negrillas y subrayas fuera del texto)</w:t>
      </w:r>
    </w:p>
    <w:p w14:paraId="185B033F" w14:textId="77777777" w:rsidR="009320F7" w:rsidRPr="00E42BEA" w:rsidRDefault="009320F7" w:rsidP="009320F7">
      <w:pPr>
        <w:suppressAutoHyphens/>
        <w:spacing w:line="276" w:lineRule="auto"/>
        <w:ind w:firstLine="0"/>
        <w:rPr>
          <w:rFonts w:eastAsia="Times New Roman" w:cs="Arial"/>
          <w:lang w:val="es-ES_tradnl" w:eastAsia="es-ES"/>
        </w:rPr>
      </w:pPr>
    </w:p>
    <w:p w14:paraId="769835E4" w14:textId="77777777" w:rsidR="009320F7" w:rsidRPr="00E42BEA" w:rsidRDefault="009320F7" w:rsidP="009320F7">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La norma no me deja duda alguna de que los errores u omisiones en la información que dieron las AFP pudieron causar daños a los afiliados que decidieron trasladarse, pero que la consecuencia jurídica de esas equivocaciones no corresponde trasladarla a Colpensiones, pues es claro el texto en determinar que la responsabilidad que se compromete es la de la AFP privada. </w:t>
      </w:r>
    </w:p>
    <w:p w14:paraId="485859E6" w14:textId="77777777" w:rsidR="009320F7" w:rsidRPr="00E42BEA" w:rsidRDefault="009320F7" w:rsidP="009320F7">
      <w:pPr>
        <w:suppressAutoHyphens/>
        <w:spacing w:line="276" w:lineRule="auto"/>
        <w:ind w:firstLine="0"/>
        <w:rPr>
          <w:rFonts w:eastAsia="Times New Roman" w:cs="Arial"/>
          <w:lang w:val="es-ES_tradnl" w:eastAsia="es-ES"/>
        </w:rPr>
      </w:pPr>
    </w:p>
    <w:p w14:paraId="007D9FF4" w14:textId="77777777" w:rsidR="009320F7" w:rsidRPr="00E42BEA" w:rsidRDefault="009320F7" w:rsidP="009320F7">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Es bueno hacer notar que se argumenta en ocasiones que Colpensiones no sufre daño con la declaración de ineficacia porque se le devuelve todo el dinero en cuenta de ahorro individual, sin percatarse quienes así discurren que los mismos hechos de múltiples demandas dan cuenta que con ese capital no es posible sino pagar pensiones de determinada suma de dinero, misma que precisamente se espera que por el traslado y sin soporte financiero alguno Colpensiones duplique o triplique. Siendo a veces tan aberrante la situación que, trasladado el capital a Colpensiones, </w:t>
      </w:r>
      <w:r w:rsidRPr="00E42BEA">
        <w:rPr>
          <w:rFonts w:eastAsia="Times New Roman" w:cs="Arial"/>
          <w:lang w:val="es-ES_tradnl" w:eastAsia="es-ES"/>
        </w:rPr>
        <w:lastRenderedPageBreak/>
        <w:t xml:space="preserve">este, prácticamente sirve solo para pagar el retroactivo pensional que la concesión de la pensión genera. </w:t>
      </w:r>
    </w:p>
    <w:p w14:paraId="6E6E0D7C" w14:textId="77777777" w:rsidR="009320F7" w:rsidRPr="00E42BEA" w:rsidRDefault="009320F7" w:rsidP="009320F7">
      <w:pPr>
        <w:suppressAutoHyphens/>
        <w:spacing w:line="276" w:lineRule="auto"/>
        <w:ind w:firstLine="0"/>
        <w:rPr>
          <w:rFonts w:eastAsia="Times New Roman" w:cs="Arial"/>
          <w:lang w:val="es-ES_tradnl" w:eastAsia="es-ES"/>
        </w:rPr>
      </w:pPr>
    </w:p>
    <w:p w14:paraId="0F083095" w14:textId="77777777" w:rsidR="009320F7" w:rsidRDefault="009320F7" w:rsidP="009320F7">
      <w:pPr>
        <w:suppressAutoHyphens/>
        <w:spacing w:line="276" w:lineRule="auto"/>
        <w:ind w:firstLine="0"/>
        <w:rPr>
          <w:rFonts w:eastAsia="Times New Roman" w:cs="Arial"/>
          <w:lang w:val="es-ES_tradnl" w:eastAsia="es-ES"/>
        </w:rPr>
      </w:pPr>
      <w:r w:rsidRPr="00E42BEA">
        <w:rPr>
          <w:rFonts w:eastAsia="Times New Roman" w:cs="Arial"/>
          <w:lang w:val="es-ES_tradnl" w:eastAsia="es-ES"/>
        </w:rPr>
        <w:t>Para concluir debo decir que este desarrollo argumentativo no implica que las personas que sientan que fueron afectada</w:t>
      </w:r>
      <w:bookmarkStart w:id="3" w:name="_GoBack"/>
      <w:bookmarkEnd w:id="3"/>
      <w:r w:rsidRPr="00E42BEA">
        <w:rPr>
          <w:rFonts w:eastAsia="Times New Roman" w:cs="Arial"/>
          <w:lang w:val="es-ES_tradnl" w:eastAsia="es-ES"/>
        </w:rPr>
        <w:t>s por falta de la debida información carezcan de acción en orden a defender sus derechos dentro del sistema general de pensiones por las conductas de los promotores de las AFP privadas, sino que se trata de otra acción con unas consecuencias jurídicas diferentes a las que se llega por el camino de la ineficacia utilizada por la mayoría de los integrantes de la Sala de Casación Laboral.</w:t>
      </w:r>
    </w:p>
    <w:p w14:paraId="483C7DC0" w14:textId="77777777" w:rsidR="009320F7" w:rsidRDefault="009320F7" w:rsidP="009320F7">
      <w:pPr>
        <w:suppressAutoHyphens/>
        <w:spacing w:line="276" w:lineRule="auto"/>
        <w:ind w:firstLine="0"/>
        <w:rPr>
          <w:rFonts w:eastAsia="Times New Roman" w:cs="Arial"/>
          <w:lang w:val="es-ES_tradnl" w:eastAsia="es-ES"/>
        </w:rPr>
      </w:pPr>
    </w:p>
    <w:p w14:paraId="53B0FC60" w14:textId="77777777" w:rsidR="009320F7" w:rsidRPr="00C7392F" w:rsidRDefault="009320F7" w:rsidP="009320F7">
      <w:pPr>
        <w:suppressAutoHyphens/>
        <w:spacing w:line="276" w:lineRule="auto"/>
        <w:ind w:firstLine="0"/>
        <w:rPr>
          <w:rFonts w:eastAsia="Times New Roman" w:cs="Arial"/>
          <w:lang w:val="es-ES_tradnl" w:eastAsia="es-ES"/>
        </w:rPr>
      </w:pPr>
      <w:r w:rsidRPr="00C7392F">
        <w:rPr>
          <w:rFonts w:eastAsia="Times New Roman" w:cs="Arial"/>
          <w:lang w:val="es-ES_tradnl" w:eastAsia="es-ES"/>
        </w:rPr>
        <w:t>Adicionalmente a todo lo expuesto, a raíz de las sentencias de tutela: STL9790-2023 -en la que la Corte, ahora definiendo el efecto de una reasesoría en que la AFP indicó al demandante que no le convenía permanecer en el RAIS, revocó la decisión de esta Sala que negó la ineficacia y nuevamente la exhortó: “para que en lo sucesivo acate el precedente judicial emanado de esta Corporación y, de considerar imperioso separarse de él, cumpla de manera rigurosa el deber de exponer la carga argumentativa suficiente”- y la STL7302-2023 en la que la Sala de Casación Laboral dejó sin efecto el fallo proferido por esta Sala el 16 de noviembre de 2022 en el que se había negado la declaración de ineficacia en virtud a que el material probatorio mostraba el cabal conocimiento que la demandante tenía del funcionamiento del RAIS por ser abogada y gerente del área de cesantías y pensiones Colmena; en lo sucesivo, también en estos casos, a pesar de tener criterio contrario al señalado en las nombradas STL –pues a mi juicio se trata de decisiones basadas en elementos probatorios que a lo sumo podrían ser estudiados y rebatidos en casación mas no en tutela- no me queda otro camino que seguir la indicación de la Sala de Casación Laboral, pues lo cierto es que en las decisiones anuladas se expusieron todos los argumentos necesarios para sustentar la decisión, mismos que, en el sentir de la Corte, no resultan suficientes.</w:t>
      </w:r>
    </w:p>
    <w:p w14:paraId="47CECF9B" w14:textId="77777777" w:rsidR="009320F7" w:rsidRPr="00E42BEA" w:rsidRDefault="009320F7" w:rsidP="009320F7">
      <w:pPr>
        <w:suppressAutoHyphens/>
        <w:spacing w:line="276" w:lineRule="auto"/>
        <w:ind w:firstLine="0"/>
        <w:rPr>
          <w:rFonts w:eastAsia="Times New Roman" w:cs="Arial"/>
          <w:lang w:val="es-ES_tradnl" w:eastAsia="es-ES"/>
        </w:rPr>
      </w:pPr>
    </w:p>
    <w:p w14:paraId="63FF5A41" w14:textId="77777777" w:rsidR="009320F7" w:rsidRPr="00E42BEA" w:rsidRDefault="009320F7" w:rsidP="009320F7">
      <w:pPr>
        <w:suppressAutoHyphens/>
        <w:spacing w:line="276" w:lineRule="auto"/>
        <w:ind w:firstLine="0"/>
        <w:rPr>
          <w:rFonts w:eastAsia="Times New Roman" w:cs="Arial"/>
          <w:lang w:val="es-ES_tradnl" w:eastAsia="es-ES"/>
        </w:rPr>
      </w:pPr>
      <w:r w:rsidRPr="00E42BEA">
        <w:rPr>
          <w:rFonts w:eastAsia="Times New Roman" w:cs="Arial"/>
          <w:lang w:val="es-ES_tradnl" w:eastAsia="es-ES"/>
        </w:rPr>
        <w:t>El anterior es mi sentir jurídico en estos casos, pero itero, me corresponde acatar el exhorto hecho por la Sala de Casación y por eso suscribo esta sentencia.</w:t>
      </w:r>
    </w:p>
    <w:p w14:paraId="56364D7F" w14:textId="77777777" w:rsidR="009320F7" w:rsidRPr="00E42BEA" w:rsidRDefault="009320F7" w:rsidP="009320F7">
      <w:pPr>
        <w:suppressAutoHyphens/>
        <w:spacing w:line="276" w:lineRule="auto"/>
        <w:ind w:firstLine="0"/>
        <w:rPr>
          <w:rFonts w:eastAsia="Times New Roman" w:cs="Arial"/>
          <w:lang w:val="es-ES_tradnl" w:eastAsia="es-ES"/>
        </w:rPr>
      </w:pPr>
    </w:p>
    <w:p w14:paraId="7C47F1D3" w14:textId="77777777" w:rsidR="009320F7" w:rsidRPr="00E42BEA" w:rsidRDefault="009320F7" w:rsidP="009320F7">
      <w:pPr>
        <w:suppressAutoHyphens/>
        <w:spacing w:line="276" w:lineRule="auto"/>
        <w:ind w:firstLine="0"/>
        <w:rPr>
          <w:rFonts w:eastAsia="Times New Roman" w:cs="Arial"/>
          <w:lang w:val="es-ES_tradnl" w:eastAsia="es-ES"/>
        </w:rPr>
      </w:pPr>
      <w:r w:rsidRPr="00E42BEA">
        <w:rPr>
          <w:rFonts w:eastAsia="Times New Roman" w:cs="Arial"/>
          <w:lang w:val="es-ES_tradnl" w:eastAsia="es-ES"/>
        </w:rPr>
        <w:t>Dejo así aclarado mi voto.</w:t>
      </w:r>
    </w:p>
    <w:p w14:paraId="6F15330C" w14:textId="77777777" w:rsidR="009320F7" w:rsidRPr="00E42BEA" w:rsidRDefault="009320F7" w:rsidP="009320F7">
      <w:pPr>
        <w:suppressAutoHyphens/>
        <w:spacing w:line="276" w:lineRule="auto"/>
        <w:ind w:firstLine="0"/>
        <w:rPr>
          <w:rFonts w:eastAsia="Times New Roman" w:cs="Arial"/>
          <w:lang w:val="es-ES_tradnl" w:eastAsia="es-ES"/>
        </w:rPr>
      </w:pPr>
    </w:p>
    <w:p w14:paraId="1B5435E5" w14:textId="77777777" w:rsidR="009320F7" w:rsidRPr="00E42BEA" w:rsidRDefault="009320F7" w:rsidP="009320F7">
      <w:pPr>
        <w:suppressAutoHyphens/>
        <w:spacing w:line="276" w:lineRule="auto"/>
        <w:ind w:firstLine="0"/>
        <w:rPr>
          <w:rFonts w:eastAsia="Times New Roman" w:cs="Arial"/>
          <w:lang w:val="es-ES_tradnl" w:eastAsia="es-ES"/>
        </w:rPr>
      </w:pPr>
    </w:p>
    <w:p w14:paraId="08A44047" w14:textId="77777777" w:rsidR="009320F7" w:rsidRPr="00E42BEA" w:rsidRDefault="009320F7" w:rsidP="009320F7">
      <w:pPr>
        <w:suppressAutoHyphens/>
        <w:spacing w:line="276" w:lineRule="auto"/>
        <w:ind w:firstLine="0"/>
        <w:rPr>
          <w:rFonts w:eastAsia="Times New Roman" w:cs="Arial"/>
          <w:sz w:val="28"/>
          <w:lang w:val="es-ES_tradnl" w:eastAsia="es-ES"/>
        </w:rPr>
      </w:pPr>
    </w:p>
    <w:p w14:paraId="20428C1B" w14:textId="77777777" w:rsidR="009320F7" w:rsidRPr="00E42BEA" w:rsidRDefault="009320F7" w:rsidP="009320F7">
      <w:pPr>
        <w:suppressAutoHyphens/>
        <w:spacing w:line="276" w:lineRule="auto"/>
        <w:ind w:firstLine="0"/>
        <w:rPr>
          <w:rFonts w:eastAsia="Times New Roman" w:cs="Arial"/>
          <w:sz w:val="28"/>
          <w:lang w:val="es-ES_tradnl" w:eastAsia="es-ES"/>
        </w:rPr>
      </w:pPr>
    </w:p>
    <w:p w14:paraId="3405B702" w14:textId="77777777" w:rsidR="009320F7" w:rsidRPr="00E42BEA" w:rsidRDefault="009320F7" w:rsidP="009320F7">
      <w:pPr>
        <w:widowControl w:val="0"/>
        <w:autoSpaceDE w:val="0"/>
        <w:autoSpaceDN w:val="0"/>
        <w:adjustRightInd w:val="0"/>
        <w:spacing w:line="240" w:lineRule="auto"/>
        <w:ind w:firstLine="0"/>
        <w:jc w:val="center"/>
        <w:rPr>
          <w:rFonts w:eastAsia="Calibri" w:cs="Arial"/>
          <w:b/>
          <w:szCs w:val="22"/>
        </w:rPr>
      </w:pPr>
      <w:r w:rsidRPr="00E42BEA">
        <w:rPr>
          <w:rFonts w:eastAsia="Calibri" w:cs="Arial"/>
          <w:b/>
          <w:szCs w:val="22"/>
        </w:rPr>
        <w:t>JULIO CÉSAR SALAZAR MUÑOZ</w:t>
      </w:r>
    </w:p>
    <w:p w14:paraId="5A4AA157" w14:textId="77777777" w:rsidR="009320F7" w:rsidRDefault="009320F7" w:rsidP="009320F7">
      <w:pPr>
        <w:widowControl w:val="0"/>
        <w:autoSpaceDE w:val="0"/>
        <w:autoSpaceDN w:val="0"/>
        <w:adjustRightInd w:val="0"/>
        <w:spacing w:line="240" w:lineRule="auto"/>
        <w:ind w:firstLine="0"/>
        <w:jc w:val="center"/>
        <w:rPr>
          <w:rFonts w:eastAsia="Calibri" w:cs="Arial"/>
          <w:szCs w:val="22"/>
        </w:rPr>
      </w:pPr>
      <w:r w:rsidRPr="00E42BEA">
        <w:rPr>
          <w:rFonts w:eastAsia="Calibri" w:cs="Arial"/>
          <w:szCs w:val="22"/>
        </w:rPr>
        <w:t>Magistrado</w:t>
      </w:r>
    </w:p>
    <w:p w14:paraId="7C1C69BB" w14:textId="77777777" w:rsidR="009320F7" w:rsidRDefault="009320F7" w:rsidP="009320F7">
      <w:pPr>
        <w:rPr>
          <w:rFonts w:eastAsia="Calibri" w:cs="Arial"/>
          <w:szCs w:val="22"/>
        </w:rPr>
      </w:pPr>
      <w:r>
        <w:rPr>
          <w:rFonts w:eastAsia="Calibri" w:cs="Arial"/>
          <w:szCs w:val="22"/>
        </w:rPr>
        <w:br w:type="page"/>
      </w:r>
    </w:p>
    <w:p w14:paraId="608B7BF1" w14:textId="330046E9" w:rsidR="00BE7720" w:rsidRPr="00BE7720" w:rsidRDefault="00BE7720" w:rsidP="00BE7720">
      <w:pPr>
        <w:spacing w:line="240" w:lineRule="auto"/>
        <w:ind w:firstLine="0"/>
        <w:textAlignment w:val="baseline"/>
        <w:rPr>
          <w:rFonts w:eastAsia="Times New Roman" w:cs="Arial"/>
          <w:bCs/>
          <w:sz w:val="20"/>
          <w:lang w:val="es-ES" w:eastAsia="es-CO"/>
        </w:rPr>
      </w:pPr>
      <w:r w:rsidRPr="00BE7720">
        <w:rPr>
          <w:rFonts w:eastAsia="Times New Roman" w:cs="Arial"/>
          <w:bCs/>
          <w:sz w:val="20"/>
          <w:lang w:val="es-ES" w:eastAsia="es-CO"/>
        </w:rPr>
        <w:lastRenderedPageBreak/>
        <w:t xml:space="preserve">Providencia: </w:t>
      </w:r>
      <w:r w:rsidRPr="00BE7720">
        <w:rPr>
          <w:rFonts w:eastAsia="Times New Roman" w:cs="Arial"/>
          <w:bCs/>
          <w:sz w:val="20"/>
          <w:lang w:val="es-ES" w:eastAsia="es-CO"/>
        </w:rPr>
        <w:tab/>
      </w:r>
      <w:r w:rsidRPr="00BE7720">
        <w:rPr>
          <w:rFonts w:eastAsia="Times New Roman" w:cs="Arial"/>
          <w:bCs/>
          <w:sz w:val="20"/>
          <w:lang w:val="es-ES" w:eastAsia="es-CO"/>
        </w:rPr>
        <w:tab/>
        <w:t xml:space="preserve">Sentencia del 20/11/2023 </w:t>
      </w:r>
    </w:p>
    <w:p w14:paraId="621EA3B1" w14:textId="77777777" w:rsidR="00BE7720" w:rsidRPr="00BE7720" w:rsidRDefault="00BE7720" w:rsidP="00BE7720">
      <w:pPr>
        <w:spacing w:line="240" w:lineRule="auto"/>
        <w:ind w:firstLine="0"/>
        <w:textAlignment w:val="baseline"/>
        <w:rPr>
          <w:rFonts w:eastAsia="Times New Roman" w:cs="Arial"/>
          <w:bCs/>
          <w:sz w:val="20"/>
          <w:lang w:val="es-ES" w:eastAsia="es-CO"/>
        </w:rPr>
      </w:pPr>
      <w:r w:rsidRPr="00BE7720">
        <w:rPr>
          <w:rFonts w:eastAsia="Times New Roman" w:cs="Arial"/>
          <w:bCs/>
          <w:sz w:val="20"/>
          <w:lang w:val="es-ES" w:eastAsia="es-CO"/>
        </w:rPr>
        <w:t>Radicación No.:</w:t>
      </w:r>
      <w:r w:rsidRPr="00BE7720">
        <w:rPr>
          <w:rFonts w:eastAsia="Times New Roman" w:cs="Arial"/>
          <w:bCs/>
          <w:sz w:val="20"/>
          <w:lang w:val="es-ES" w:eastAsia="es-CO"/>
        </w:rPr>
        <w:tab/>
      </w:r>
      <w:r w:rsidRPr="00BE7720">
        <w:rPr>
          <w:rFonts w:eastAsia="Times New Roman" w:cs="Arial"/>
          <w:bCs/>
          <w:sz w:val="20"/>
          <w:lang w:val="es-ES" w:eastAsia="es-CO"/>
        </w:rPr>
        <w:tab/>
        <w:t>66001-31-05-001-2021-00129-01</w:t>
      </w:r>
    </w:p>
    <w:p w14:paraId="4C7AA0A8" w14:textId="485CAE24" w:rsidR="00BE7720" w:rsidRPr="00BE7720" w:rsidRDefault="00BE7720" w:rsidP="00BE7720">
      <w:pPr>
        <w:spacing w:line="240" w:lineRule="auto"/>
        <w:ind w:firstLine="0"/>
        <w:textAlignment w:val="baseline"/>
        <w:rPr>
          <w:rFonts w:eastAsia="Times New Roman" w:cs="Arial"/>
          <w:bCs/>
          <w:sz w:val="20"/>
          <w:lang w:val="es-ES" w:eastAsia="es-CO"/>
        </w:rPr>
      </w:pPr>
      <w:r w:rsidRPr="00BE7720">
        <w:rPr>
          <w:rFonts w:eastAsia="Times New Roman" w:cs="Arial"/>
          <w:bCs/>
          <w:sz w:val="20"/>
          <w:lang w:val="es-ES" w:eastAsia="es-CO"/>
        </w:rPr>
        <w:t>Proceso:</w:t>
      </w:r>
      <w:r w:rsidRPr="00BE7720">
        <w:rPr>
          <w:rFonts w:eastAsia="Times New Roman" w:cs="Arial"/>
          <w:bCs/>
          <w:sz w:val="20"/>
          <w:lang w:val="es-ES" w:eastAsia="es-CO"/>
        </w:rPr>
        <w:tab/>
      </w:r>
      <w:r w:rsidRPr="00BE7720">
        <w:rPr>
          <w:rFonts w:eastAsia="Times New Roman" w:cs="Arial"/>
          <w:bCs/>
          <w:sz w:val="20"/>
          <w:lang w:val="es-ES" w:eastAsia="es-CO"/>
        </w:rPr>
        <w:tab/>
        <w:t xml:space="preserve">Ordinario laboral  </w:t>
      </w:r>
    </w:p>
    <w:p w14:paraId="17722154" w14:textId="269165EF" w:rsidR="00BE7720" w:rsidRPr="00BE7720" w:rsidRDefault="00BE7720" w:rsidP="00BE7720">
      <w:pPr>
        <w:spacing w:line="240" w:lineRule="auto"/>
        <w:ind w:firstLine="0"/>
        <w:textAlignment w:val="baseline"/>
        <w:rPr>
          <w:rFonts w:eastAsia="Times New Roman" w:cs="Arial"/>
          <w:bCs/>
          <w:sz w:val="20"/>
          <w:lang w:val="es-ES" w:eastAsia="es-CO"/>
        </w:rPr>
      </w:pPr>
      <w:r w:rsidRPr="00BE7720">
        <w:rPr>
          <w:rFonts w:eastAsia="Times New Roman" w:cs="Arial"/>
          <w:bCs/>
          <w:sz w:val="20"/>
          <w:lang w:val="es-ES" w:eastAsia="es-CO"/>
        </w:rPr>
        <w:t>Demandante:</w:t>
      </w:r>
      <w:r w:rsidRPr="00BE7720">
        <w:rPr>
          <w:rFonts w:eastAsia="Times New Roman" w:cs="Arial"/>
          <w:bCs/>
          <w:sz w:val="20"/>
          <w:lang w:val="es-ES" w:eastAsia="es-CO"/>
        </w:rPr>
        <w:tab/>
      </w:r>
      <w:r w:rsidRPr="00BE7720">
        <w:rPr>
          <w:rFonts w:eastAsia="Times New Roman" w:cs="Arial"/>
          <w:bCs/>
          <w:sz w:val="20"/>
          <w:lang w:val="es-ES" w:eastAsia="es-CO"/>
        </w:rPr>
        <w:tab/>
        <w:t>Gloria Liliana Rivera Barrero</w:t>
      </w:r>
    </w:p>
    <w:p w14:paraId="10755442" w14:textId="146A8B5C" w:rsidR="00BE7720" w:rsidRPr="00BE7720" w:rsidRDefault="00BE7720" w:rsidP="00BE7720">
      <w:pPr>
        <w:spacing w:line="240" w:lineRule="auto"/>
        <w:ind w:firstLine="0"/>
        <w:textAlignment w:val="baseline"/>
        <w:rPr>
          <w:rFonts w:eastAsia="Times New Roman" w:cs="Arial"/>
          <w:bCs/>
          <w:sz w:val="20"/>
          <w:lang w:val="es-ES" w:eastAsia="es-CO"/>
        </w:rPr>
      </w:pPr>
      <w:r w:rsidRPr="00BE7720">
        <w:rPr>
          <w:rFonts w:eastAsia="Times New Roman" w:cs="Arial"/>
          <w:bCs/>
          <w:sz w:val="20"/>
          <w:lang w:val="es-ES" w:eastAsia="es-CO"/>
        </w:rPr>
        <w:t>Demandado:</w:t>
      </w:r>
      <w:r>
        <w:rPr>
          <w:rFonts w:eastAsia="Times New Roman" w:cs="Arial"/>
          <w:bCs/>
          <w:sz w:val="20"/>
          <w:lang w:val="es-ES" w:eastAsia="es-CO"/>
        </w:rPr>
        <w:tab/>
      </w:r>
      <w:r w:rsidRPr="00BE7720">
        <w:rPr>
          <w:rFonts w:eastAsia="Times New Roman" w:cs="Arial"/>
          <w:bCs/>
          <w:sz w:val="20"/>
          <w:lang w:val="es-ES" w:eastAsia="es-CO"/>
        </w:rPr>
        <w:tab/>
        <w:t>Colpensiones y Colfondos S.A.</w:t>
      </w:r>
    </w:p>
    <w:p w14:paraId="002E190F" w14:textId="77777777" w:rsidR="00BE7720" w:rsidRPr="00BE7720" w:rsidRDefault="00BE7720" w:rsidP="00BE7720">
      <w:pPr>
        <w:spacing w:line="240" w:lineRule="auto"/>
        <w:ind w:firstLine="0"/>
        <w:textAlignment w:val="baseline"/>
        <w:rPr>
          <w:rFonts w:eastAsia="Times New Roman" w:cs="Arial"/>
          <w:bCs/>
          <w:sz w:val="20"/>
          <w:lang w:val="es-ES" w:eastAsia="es-CO"/>
        </w:rPr>
      </w:pPr>
      <w:r w:rsidRPr="00BE7720">
        <w:rPr>
          <w:rFonts w:eastAsia="Times New Roman" w:cs="Arial"/>
          <w:bCs/>
          <w:sz w:val="20"/>
          <w:lang w:val="es-ES" w:eastAsia="es-CO"/>
        </w:rPr>
        <w:t xml:space="preserve">Magistrado ponente: </w:t>
      </w:r>
      <w:r w:rsidRPr="00BE7720">
        <w:rPr>
          <w:rFonts w:eastAsia="Times New Roman" w:cs="Arial"/>
          <w:bCs/>
          <w:sz w:val="20"/>
          <w:lang w:val="es-ES" w:eastAsia="es-CO"/>
        </w:rPr>
        <w:tab/>
        <w:t xml:space="preserve">Dr. German Darío Góez Vinasco </w:t>
      </w:r>
    </w:p>
    <w:p w14:paraId="316B8D09" w14:textId="567101BE" w:rsidR="009320F7" w:rsidRPr="004A4BC3" w:rsidRDefault="00BE7720" w:rsidP="00BE7720">
      <w:pPr>
        <w:spacing w:line="240" w:lineRule="auto"/>
        <w:ind w:firstLine="0"/>
        <w:textAlignment w:val="baseline"/>
        <w:rPr>
          <w:rFonts w:eastAsia="Times New Roman" w:cs="Arial"/>
          <w:lang w:val="es-ES" w:eastAsia="es-CO"/>
        </w:rPr>
      </w:pPr>
      <w:r w:rsidRPr="00BE7720">
        <w:rPr>
          <w:rFonts w:eastAsia="Times New Roman" w:cs="Arial"/>
          <w:bCs/>
          <w:sz w:val="20"/>
          <w:lang w:val="es-ES" w:eastAsia="es-CO"/>
        </w:rPr>
        <w:t>Te</w:t>
      </w:r>
      <w:r>
        <w:rPr>
          <w:rFonts w:eastAsia="Times New Roman" w:cs="Arial"/>
          <w:bCs/>
          <w:sz w:val="20"/>
          <w:lang w:val="es-ES" w:eastAsia="es-CO"/>
        </w:rPr>
        <w:t xml:space="preserve">ma: </w:t>
      </w:r>
      <w:r>
        <w:rPr>
          <w:rFonts w:eastAsia="Times New Roman" w:cs="Arial"/>
          <w:bCs/>
          <w:sz w:val="20"/>
          <w:lang w:val="es-ES" w:eastAsia="es-CO"/>
        </w:rPr>
        <w:tab/>
      </w:r>
      <w:r>
        <w:rPr>
          <w:rFonts w:eastAsia="Times New Roman" w:cs="Arial"/>
          <w:bCs/>
          <w:sz w:val="20"/>
          <w:lang w:val="es-ES" w:eastAsia="es-CO"/>
        </w:rPr>
        <w:tab/>
      </w:r>
      <w:r>
        <w:rPr>
          <w:rFonts w:eastAsia="Times New Roman" w:cs="Arial"/>
          <w:bCs/>
          <w:sz w:val="20"/>
          <w:lang w:val="es-ES" w:eastAsia="es-CO"/>
        </w:rPr>
        <w:tab/>
        <w:t>Ineficacia de afiliación</w:t>
      </w:r>
    </w:p>
    <w:p w14:paraId="060E6B83" w14:textId="77777777" w:rsidR="009320F7" w:rsidRPr="004A4BC3" w:rsidRDefault="009320F7" w:rsidP="009320F7">
      <w:pPr>
        <w:spacing w:line="240" w:lineRule="auto"/>
        <w:ind w:firstLine="0"/>
        <w:textAlignment w:val="baseline"/>
        <w:rPr>
          <w:rFonts w:ascii="Times New Roman" w:eastAsia="Times New Roman" w:hAnsi="Times New Roman" w:cs="Times New Roman"/>
          <w:bCs/>
          <w:lang w:val="es-ES" w:eastAsia="es-CO"/>
        </w:rPr>
      </w:pPr>
    </w:p>
    <w:p w14:paraId="723F40E0" w14:textId="77777777" w:rsidR="009320F7" w:rsidRPr="004A4BC3" w:rsidRDefault="009320F7" w:rsidP="009320F7">
      <w:pPr>
        <w:spacing w:line="240" w:lineRule="auto"/>
        <w:ind w:firstLine="0"/>
        <w:textAlignment w:val="baseline"/>
        <w:rPr>
          <w:rFonts w:eastAsia="Times New Roman" w:cs="Arial"/>
          <w:sz w:val="20"/>
          <w:lang w:eastAsia="es-CO"/>
        </w:rPr>
      </w:pPr>
    </w:p>
    <w:p w14:paraId="7FA8CBBB" w14:textId="77777777" w:rsidR="009320F7" w:rsidRPr="004A4BC3" w:rsidRDefault="009320F7" w:rsidP="009320F7">
      <w:pPr>
        <w:spacing w:line="240" w:lineRule="auto"/>
        <w:ind w:firstLine="0"/>
        <w:textAlignment w:val="baseline"/>
        <w:rPr>
          <w:rFonts w:eastAsia="Times New Roman" w:cs="Arial"/>
          <w:sz w:val="20"/>
          <w:lang w:eastAsia="es-CO"/>
        </w:rPr>
      </w:pPr>
    </w:p>
    <w:p w14:paraId="099CB69A" w14:textId="77777777" w:rsidR="009320F7" w:rsidRPr="004A4BC3" w:rsidRDefault="009320F7" w:rsidP="009320F7">
      <w:pPr>
        <w:keepNext/>
        <w:spacing w:line="312" w:lineRule="auto"/>
        <w:ind w:firstLine="0"/>
        <w:jc w:val="center"/>
        <w:outlineLvl w:val="2"/>
        <w:rPr>
          <w:rFonts w:eastAsia="Times New Roman" w:cs="Arial"/>
          <w:b/>
          <w:lang w:val="es-ES_tradnl" w:eastAsia="es-ES"/>
        </w:rPr>
      </w:pPr>
      <w:r w:rsidRPr="004A4BC3">
        <w:rPr>
          <w:rFonts w:eastAsia="Times New Roman" w:cs="Arial"/>
          <w:b/>
          <w:lang w:val="es-ES_tradnl" w:eastAsia="es-ES"/>
        </w:rPr>
        <w:t>TRIBUNAL SUPERIOR DEL DISTRITO JUDICIAL</w:t>
      </w:r>
    </w:p>
    <w:p w14:paraId="5C15FA8D" w14:textId="77777777" w:rsidR="009320F7" w:rsidRPr="004A4BC3" w:rsidRDefault="009320F7" w:rsidP="009320F7">
      <w:pPr>
        <w:spacing w:line="312" w:lineRule="auto"/>
        <w:ind w:firstLine="0"/>
        <w:jc w:val="center"/>
        <w:rPr>
          <w:rFonts w:eastAsia="Calibri" w:cs="Arial"/>
          <w:b/>
        </w:rPr>
      </w:pPr>
      <w:r w:rsidRPr="004A4BC3">
        <w:rPr>
          <w:rFonts w:eastAsia="Calibri" w:cs="Arial"/>
          <w:b/>
        </w:rPr>
        <w:t>SALA LABORAL</w:t>
      </w:r>
    </w:p>
    <w:p w14:paraId="5239CD6F" w14:textId="77777777" w:rsidR="009320F7" w:rsidRPr="004A4BC3" w:rsidRDefault="009320F7" w:rsidP="009320F7">
      <w:pPr>
        <w:spacing w:line="312" w:lineRule="auto"/>
        <w:ind w:firstLine="0"/>
        <w:jc w:val="center"/>
        <w:rPr>
          <w:rFonts w:eastAsia="Times New Roman" w:cs="Arial"/>
          <w:b/>
          <w:lang w:val="es-ES_tradnl" w:eastAsia="es-ES"/>
        </w:rPr>
      </w:pPr>
      <w:r w:rsidRPr="004A4BC3">
        <w:rPr>
          <w:rFonts w:eastAsia="Times New Roman" w:cs="Arial"/>
          <w:b/>
          <w:lang w:val="es-ES_tradnl" w:eastAsia="es-ES"/>
        </w:rPr>
        <w:t>MAGISTRADA: OLGA LUCIA HOYOS SEPÚLVEDA</w:t>
      </w:r>
    </w:p>
    <w:p w14:paraId="0E8B0FD7" w14:textId="77777777" w:rsidR="009320F7" w:rsidRPr="004A4BC3" w:rsidRDefault="009320F7" w:rsidP="009320F7">
      <w:pPr>
        <w:spacing w:line="312" w:lineRule="auto"/>
        <w:ind w:firstLine="0"/>
        <w:jc w:val="left"/>
        <w:rPr>
          <w:rFonts w:eastAsia="Times New Roman" w:cs="Arial"/>
          <w:b/>
          <w:lang w:val="es-ES_tradnl" w:eastAsia="es-ES"/>
        </w:rPr>
      </w:pPr>
    </w:p>
    <w:p w14:paraId="07EB6FE5" w14:textId="77777777" w:rsidR="009320F7" w:rsidRPr="004A4BC3" w:rsidRDefault="009320F7" w:rsidP="009320F7">
      <w:pPr>
        <w:spacing w:line="312" w:lineRule="auto"/>
        <w:ind w:firstLine="0"/>
        <w:jc w:val="left"/>
        <w:textAlignment w:val="baseline"/>
        <w:rPr>
          <w:rFonts w:eastAsia="Times New Roman" w:cs="Arial"/>
          <w:lang w:val="es-ES_tradnl" w:eastAsia="es-CO"/>
        </w:rPr>
      </w:pPr>
    </w:p>
    <w:p w14:paraId="6E304DED" w14:textId="77777777" w:rsidR="009320F7" w:rsidRPr="004A4BC3" w:rsidRDefault="009320F7" w:rsidP="009320F7">
      <w:pPr>
        <w:spacing w:line="312" w:lineRule="auto"/>
        <w:ind w:firstLine="0"/>
        <w:jc w:val="center"/>
        <w:textAlignment w:val="baseline"/>
        <w:rPr>
          <w:rFonts w:eastAsia="Times New Roman" w:cs="Arial"/>
          <w:lang w:eastAsia="es-CO"/>
        </w:rPr>
      </w:pPr>
      <w:r w:rsidRPr="004A4BC3">
        <w:rPr>
          <w:rFonts w:eastAsia="Times New Roman" w:cs="Arial"/>
          <w:b/>
          <w:bCs/>
          <w:u w:val="single"/>
          <w:lang w:val="es-ES" w:eastAsia="es-CO"/>
        </w:rPr>
        <w:t>ACLARACIÓN DE VOTO</w:t>
      </w:r>
    </w:p>
    <w:p w14:paraId="4E2A5D9B" w14:textId="77777777" w:rsidR="009320F7" w:rsidRPr="004A4BC3" w:rsidRDefault="009320F7" w:rsidP="009320F7">
      <w:pPr>
        <w:shd w:val="clear" w:color="auto" w:fill="FFFFFF"/>
        <w:spacing w:line="312" w:lineRule="auto"/>
        <w:ind w:firstLine="0"/>
        <w:jc w:val="left"/>
        <w:textAlignment w:val="baseline"/>
        <w:rPr>
          <w:rFonts w:eastAsia="Times New Roman" w:cs="Arial"/>
          <w:color w:val="000000"/>
          <w:lang w:eastAsia="es-CO"/>
        </w:rPr>
      </w:pPr>
    </w:p>
    <w:p w14:paraId="4A55DB59" w14:textId="77777777" w:rsidR="009320F7" w:rsidRPr="004A4BC3" w:rsidRDefault="009320F7" w:rsidP="009320F7">
      <w:pPr>
        <w:shd w:val="clear" w:color="auto" w:fill="FFFFFF"/>
        <w:spacing w:line="312" w:lineRule="auto"/>
        <w:ind w:firstLine="0"/>
        <w:jc w:val="left"/>
        <w:textAlignment w:val="baseline"/>
        <w:rPr>
          <w:rFonts w:eastAsia="Times New Roman" w:cs="Arial"/>
          <w:lang w:eastAsia="es-CO"/>
        </w:rPr>
      </w:pPr>
    </w:p>
    <w:p w14:paraId="5ACCCF94" w14:textId="77777777" w:rsidR="009320F7" w:rsidRPr="004A4BC3" w:rsidRDefault="009320F7" w:rsidP="009320F7">
      <w:pPr>
        <w:spacing w:line="312" w:lineRule="auto"/>
        <w:ind w:firstLine="0"/>
        <w:textAlignment w:val="baseline"/>
        <w:rPr>
          <w:rFonts w:eastAsia="Times New Roman" w:cs="Arial"/>
          <w:szCs w:val="23"/>
          <w:lang w:val="es-ES" w:eastAsia="es-CO"/>
        </w:rPr>
      </w:pPr>
      <w:r w:rsidRPr="004A4BC3">
        <w:rPr>
          <w:rFonts w:eastAsia="Times New Roman" w:cs="Arial"/>
          <w:szCs w:val="23"/>
          <w:lang w:val="es-ES" w:eastAsia="es-CO"/>
        </w:rPr>
        <w:t>Como es conocido por la sala que integro y únicamente con ocasión a la sentencia de tutela de primer grado emitida por la Sala Laboral de la Corte Suprema de Justicia STL4759-2020 en la que se exhortó a la Sala Laboral del Tribunal Superior de Pereira para que en todos los asuntos de ineficacia de afiliación acogiera íntegramente la jurisprudencia emitida por ese alto tribunal, es que cuando he fungido como Magistrada Ponente o he integrado las otras salas de decisión de este tribunal, proceden las declaratorias de ineficacia de traslado realizado por la parte demandante del RPM al RAIS, y debido al grado jurisdiccional de consulta a favor de Colpensiones, se han adicionado, en algunos casos, las decisiones de primer grado para adecuar la devolución de dineros que la AFP debe realizar a Colpensiones.</w:t>
      </w:r>
    </w:p>
    <w:p w14:paraId="7E445055" w14:textId="77777777" w:rsidR="009320F7" w:rsidRPr="004A4BC3" w:rsidRDefault="009320F7" w:rsidP="009320F7">
      <w:pPr>
        <w:spacing w:line="312" w:lineRule="auto"/>
        <w:ind w:firstLine="0"/>
        <w:textAlignment w:val="baseline"/>
        <w:rPr>
          <w:rFonts w:eastAsia="Times New Roman" w:cs="Arial"/>
          <w:szCs w:val="23"/>
          <w:lang w:eastAsia="es-CO"/>
        </w:rPr>
      </w:pPr>
    </w:p>
    <w:p w14:paraId="1DCAB87A" w14:textId="77777777" w:rsidR="009320F7" w:rsidRPr="004A4BC3" w:rsidRDefault="009320F7" w:rsidP="009320F7">
      <w:pPr>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En ese sentido, aclaro que las decisiones emitidas en ese sentido obedecen al respeto por la jurisprudencia de la Sala Laboral de la Corte Suprema de Justicia y al exhorto realizado en la citada decisión de tutela, pese a que en mi criterio y hasta la decisión que emití como magistrada ponente de la Sala de Decisión Segunda el 22/07/2020, Rad. No. 2018-00269-01, amparada en las sentencias C-836 de 2001 y C-621 de 2015 me había apartado del criterio de la citada Corte Suprema de Justicia que ahora solo rememoro brevemente para que, ante una nueva recomposición de la alta magistratura o un eventual cambio de criterio, aunado a la movilidad del pensamiento jurídico de nuestro país, puedan ser considerados en otro momento.</w:t>
      </w:r>
    </w:p>
    <w:p w14:paraId="0513F3DF" w14:textId="77777777" w:rsidR="009320F7" w:rsidRPr="004A4BC3" w:rsidRDefault="009320F7" w:rsidP="009320F7">
      <w:pPr>
        <w:spacing w:line="312" w:lineRule="auto"/>
        <w:ind w:firstLine="0"/>
        <w:jc w:val="left"/>
        <w:textAlignment w:val="baseline"/>
        <w:rPr>
          <w:rFonts w:eastAsia="Times New Roman" w:cs="Arial"/>
          <w:szCs w:val="23"/>
          <w:lang w:eastAsia="es-CO"/>
        </w:rPr>
      </w:pPr>
    </w:p>
    <w:p w14:paraId="697F536D" w14:textId="77777777" w:rsidR="009320F7" w:rsidRPr="004A4BC3" w:rsidRDefault="009320F7" w:rsidP="009320F7">
      <w:pPr>
        <w:spacing w:line="312" w:lineRule="auto"/>
        <w:ind w:firstLine="0"/>
        <w:textAlignment w:val="baseline"/>
        <w:rPr>
          <w:rFonts w:eastAsia="Times New Roman" w:cs="Arial"/>
          <w:szCs w:val="23"/>
          <w:lang w:val="es-ES" w:eastAsia="es-CO"/>
        </w:rPr>
      </w:pPr>
      <w:r w:rsidRPr="004A4BC3">
        <w:rPr>
          <w:rFonts w:eastAsia="Times New Roman" w:cs="Arial"/>
          <w:szCs w:val="23"/>
          <w:lang w:val="es-ES" w:eastAsia="es-CO"/>
        </w:rPr>
        <w:t xml:space="preserve">Así, a mi juicio cada vez que un trabajador alega engaño por una AFP para obtener un traslado de régimen pensional, debe presentar una acción de resarcimiento de perjuicios tal como obliga el artículo 10º del Decreto 720 de 1994 – especialidad de la norma, sobre la general-, y no la ineficacia de la afiliación, puesto que esta última acción de ninguna manera contempla la omisión o error de información por parte de la AFP como el supuesto de hecho que debe probarse para dejar ineficaz un negocio jurídico, con fundamento en el literal b) del artículo 13 y 271 de la Ley 100/93, pues allí únicamente se contempló al empleador o cualquier otra persona afín a dicha </w:t>
      </w:r>
      <w:r w:rsidRPr="004A4BC3">
        <w:rPr>
          <w:rFonts w:eastAsia="Times New Roman" w:cs="Arial"/>
          <w:szCs w:val="23"/>
          <w:lang w:val="es-ES" w:eastAsia="es-CO"/>
        </w:rPr>
        <w:lastRenderedPageBreak/>
        <w:t>calidad, como la única persona que puede infringir o coartar los derechos de libre escogencia del trabajador afiliado.</w:t>
      </w:r>
    </w:p>
    <w:p w14:paraId="54B07D40" w14:textId="77777777" w:rsidR="009320F7" w:rsidRPr="004A4BC3" w:rsidRDefault="009320F7" w:rsidP="009320F7">
      <w:pPr>
        <w:spacing w:line="312" w:lineRule="auto"/>
        <w:ind w:firstLine="0"/>
        <w:textAlignment w:val="baseline"/>
        <w:rPr>
          <w:rFonts w:eastAsia="Times New Roman" w:cs="Arial"/>
          <w:szCs w:val="23"/>
          <w:lang w:eastAsia="es-CO"/>
        </w:rPr>
      </w:pPr>
      <w:r w:rsidRPr="004A4BC3">
        <w:rPr>
          <w:rFonts w:eastAsia="Times New Roman" w:cs="Arial"/>
          <w:szCs w:val="23"/>
          <w:lang w:eastAsia="es-CO"/>
        </w:rPr>
        <w:t xml:space="preserve"> </w:t>
      </w:r>
    </w:p>
    <w:p w14:paraId="11C1D55F" w14:textId="77777777" w:rsidR="009320F7" w:rsidRPr="004A4BC3" w:rsidRDefault="009320F7" w:rsidP="009320F7">
      <w:pPr>
        <w:shd w:val="clear" w:color="auto" w:fill="FFFFFF"/>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Además, en la exposición de motivos de la Ley 100/93 se señaló que el origen de esta norma devenía, entre otros, para ofrecer alternativas diferentes a los trabajadores colombianos en materia de pensiones, y por ello se creó el Sistema de Ahorro Pensional basado en la capitalización individual de las contribuciones de los trabajadores y empleadores, todo ello en razón a los nuevos mandatos constitucionales – art. 48 C.Po. – y la apertura económica que acaecía para la época, a través de la cual se permitió a particulares prestar servicios públicos; por lo que, resultaba desacertado interpretar que el legislador en el literal b) del artículo 13 y 271 de la Ley 100/93 cuando se refiere al empleador o cualquier persona natural o jurídica, incluyó </w:t>
      </w:r>
      <w:r w:rsidRPr="004A4BC3">
        <w:rPr>
          <w:rFonts w:eastAsia="Times New Roman" w:cs="Arial"/>
          <w:b/>
          <w:bCs/>
          <w:szCs w:val="23"/>
          <w:lang w:val="es-ES" w:eastAsia="es-CO"/>
        </w:rPr>
        <w:t>tácitamente</w:t>
      </w:r>
      <w:r w:rsidRPr="004A4BC3">
        <w:rPr>
          <w:rFonts w:eastAsia="Times New Roman" w:cs="Arial"/>
          <w:szCs w:val="23"/>
          <w:lang w:val="es-ES" w:eastAsia="es-CO"/>
        </w:rPr>
        <w:t> a la AFP, pues de haber querido regular su comportamiento, explícitamente lo hubiera incluido como infractor de tal norma, pero no lo hizo.</w:t>
      </w:r>
    </w:p>
    <w:p w14:paraId="54235E2D" w14:textId="77777777" w:rsidR="009320F7" w:rsidRPr="004A4BC3" w:rsidRDefault="009320F7" w:rsidP="009320F7">
      <w:pPr>
        <w:shd w:val="clear" w:color="auto" w:fill="FFFFFF"/>
        <w:spacing w:line="312" w:lineRule="auto"/>
        <w:ind w:firstLine="0"/>
        <w:textAlignment w:val="baseline"/>
        <w:rPr>
          <w:rFonts w:eastAsia="Times New Roman" w:cs="Arial"/>
          <w:szCs w:val="23"/>
          <w:lang w:eastAsia="es-CO"/>
        </w:rPr>
      </w:pPr>
    </w:p>
    <w:p w14:paraId="6BE0B4D1" w14:textId="77777777" w:rsidR="009320F7" w:rsidRPr="004A4BC3" w:rsidRDefault="009320F7" w:rsidP="009320F7">
      <w:pPr>
        <w:shd w:val="clear" w:color="auto" w:fill="FFFFFF"/>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Con la claridad anterior y teniendo en cuenta que de conformidad con el artículo 31 del Código Civil, ninguna persona podrá realizar analogías de leyes prohibitivas, todo ello para extender sus consecuencias a eventos que la norma no regula, entonces en tanto los artículos 13 y 271 de la Ley 100/93 contempla una sanción, no podrá hacerse símil alguno para derivar de allí, un sujeto que el legislador no contempló.</w:t>
      </w:r>
    </w:p>
    <w:p w14:paraId="2685B947" w14:textId="77777777" w:rsidR="009320F7" w:rsidRPr="004A4BC3" w:rsidRDefault="009320F7" w:rsidP="009320F7">
      <w:pPr>
        <w:spacing w:line="312" w:lineRule="auto"/>
        <w:ind w:firstLine="0"/>
        <w:jc w:val="left"/>
        <w:textAlignment w:val="baseline"/>
        <w:rPr>
          <w:rFonts w:eastAsia="Times New Roman" w:cs="Arial"/>
          <w:szCs w:val="23"/>
          <w:lang w:eastAsia="es-CO"/>
        </w:rPr>
      </w:pPr>
      <w:r w:rsidRPr="004A4BC3">
        <w:rPr>
          <w:rFonts w:eastAsia="Times New Roman" w:cs="Arial"/>
          <w:szCs w:val="23"/>
          <w:lang w:val="es-ES" w:eastAsia="es-CO"/>
        </w:rPr>
        <w:t> </w:t>
      </w:r>
      <w:r w:rsidRPr="004A4BC3">
        <w:rPr>
          <w:rFonts w:eastAsia="Times New Roman" w:cs="Arial"/>
          <w:szCs w:val="23"/>
          <w:lang w:eastAsia="es-CO"/>
        </w:rPr>
        <w:t>   </w:t>
      </w:r>
    </w:p>
    <w:p w14:paraId="73219C4D" w14:textId="77777777" w:rsidR="009320F7" w:rsidRPr="004A4BC3" w:rsidRDefault="009320F7" w:rsidP="009320F7">
      <w:pPr>
        <w:shd w:val="clear" w:color="auto" w:fill="FFFFFF"/>
        <w:spacing w:line="312" w:lineRule="auto"/>
        <w:ind w:firstLine="0"/>
        <w:textAlignment w:val="baseline"/>
        <w:rPr>
          <w:rFonts w:eastAsia="Times New Roman" w:cs="Arial"/>
          <w:szCs w:val="23"/>
          <w:lang w:val="es-ES" w:eastAsia="es-CO"/>
        </w:rPr>
      </w:pPr>
      <w:r w:rsidRPr="004A4BC3">
        <w:rPr>
          <w:rFonts w:eastAsia="Times New Roman" w:cs="Arial"/>
          <w:szCs w:val="23"/>
          <w:lang w:val="es-ES" w:eastAsia="es-CO"/>
        </w:rPr>
        <w:t>No puede obviarse el principio de interpretación del ordenamiento jurídico que exige la aplicación de la norma especial sobre la simplemente general, de manera tal que para el caso de ahora siempre deberá aplicarse el aludido Decreto 720/94, sobre las disposiciones generales contenidas en la Ley 100/93.</w:t>
      </w:r>
    </w:p>
    <w:p w14:paraId="6B76290F" w14:textId="77777777" w:rsidR="009320F7" w:rsidRPr="004A4BC3" w:rsidRDefault="009320F7" w:rsidP="009320F7">
      <w:pPr>
        <w:shd w:val="clear" w:color="auto" w:fill="FFFFFF"/>
        <w:spacing w:line="312" w:lineRule="auto"/>
        <w:ind w:firstLine="0"/>
        <w:textAlignment w:val="baseline"/>
        <w:rPr>
          <w:rFonts w:eastAsia="Times New Roman" w:cs="Arial"/>
          <w:szCs w:val="23"/>
          <w:lang w:val="es-ES" w:eastAsia="es-CO"/>
        </w:rPr>
      </w:pPr>
      <w:r w:rsidRPr="004A4BC3">
        <w:rPr>
          <w:rFonts w:eastAsia="Times New Roman" w:cs="Arial"/>
          <w:szCs w:val="23"/>
          <w:lang w:val="es-ES" w:eastAsia="es-CO"/>
        </w:rPr>
        <w:t> </w:t>
      </w:r>
      <w:r w:rsidRPr="004A4BC3">
        <w:rPr>
          <w:rFonts w:eastAsia="Times New Roman" w:cs="Arial"/>
          <w:szCs w:val="23"/>
          <w:lang w:eastAsia="es-CO"/>
        </w:rPr>
        <w:t>   </w:t>
      </w:r>
    </w:p>
    <w:p w14:paraId="2F1224A7" w14:textId="77777777" w:rsidR="009320F7" w:rsidRPr="004A4BC3" w:rsidRDefault="009320F7" w:rsidP="009320F7">
      <w:pPr>
        <w:shd w:val="clear" w:color="auto" w:fill="FFFFFF"/>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El precedente o doctrina probable de la Sala Laboral de la Corte Suprema de Justicia trasgrede la cláusula constitucional 90 y los artículos 2341 y 2343 del Código Civil, porque </w:t>
      </w:r>
      <w:r w:rsidRPr="004A4BC3">
        <w:rPr>
          <w:rFonts w:eastAsia="Times New Roman" w:cs="Arial"/>
          <w:i/>
          <w:iCs/>
          <w:szCs w:val="23"/>
          <w:lang w:val="es-ES" w:eastAsia="es-CO"/>
        </w:rPr>
        <w:t>“el Estado únicamente responderá patrimonialmente por los daños antijurídicos que le sean imputables, causados por la acción o la omisión de las autoridades públicas”,</w:t>
      </w:r>
      <w:r w:rsidRPr="004A4BC3">
        <w:rPr>
          <w:rFonts w:eastAsia="Times New Roman" w:cs="Arial"/>
          <w:szCs w:val="23"/>
          <w:lang w:val="es-ES" w:eastAsia="es-CO"/>
        </w:rPr>
        <w:t> y por ello, obligar a Colpensiones al pago de las pensiones de los nuevos afiliados, con ocasión a los retornos al RPM debido a las declaraciones de ineficacias de afiliación, implica un grave detrimento de los legítimos intereses de todos los afiliados que fielmente han permanecido en el RPM, y que de no alcanzar con los aportes y rendimientos de los afiliados que constituyen un fondo común, deberá la nación con su patrimonio atender.</w:t>
      </w:r>
    </w:p>
    <w:p w14:paraId="6614EC6A" w14:textId="77777777" w:rsidR="009320F7" w:rsidRPr="004A4BC3" w:rsidRDefault="009320F7" w:rsidP="009320F7">
      <w:pPr>
        <w:shd w:val="clear" w:color="auto" w:fill="FFFFFF"/>
        <w:spacing w:line="312" w:lineRule="auto"/>
        <w:ind w:firstLine="0"/>
        <w:textAlignment w:val="baseline"/>
        <w:rPr>
          <w:rFonts w:eastAsia="Times New Roman" w:cs="Arial"/>
          <w:szCs w:val="23"/>
          <w:lang w:eastAsia="es-CO"/>
        </w:rPr>
      </w:pPr>
    </w:p>
    <w:p w14:paraId="4BBE7EDD" w14:textId="77777777" w:rsidR="009320F7" w:rsidRPr="004A4BC3" w:rsidRDefault="009320F7" w:rsidP="009320F7">
      <w:pPr>
        <w:shd w:val="clear" w:color="auto" w:fill="FFFFFF"/>
        <w:spacing w:line="312" w:lineRule="auto"/>
        <w:ind w:firstLine="0"/>
        <w:textAlignment w:val="baseline"/>
        <w:rPr>
          <w:rFonts w:eastAsia="Times New Roman" w:cs="Arial"/>
          <w:szCs w:val="23"/>
          <w:lang w:val="es-ES" w:eastAsia="es-CO"/>
        </w:rPr>
      </w:pPr>
      <w:r w:rsidRPr="004A4BC3">
        <w:rPr>
          <w:rFonts w:eastAsia="Times New Roman" w:cs="Arial"/>
          <w:szCs w:val="23"/>
          <w:lang w:val="es-ES" w:eastAsia="es-CO"/>
        </w:rPr>
        <w:t>Este último argumento se encuentra en consonancia con las sentencias de constitucionalidad mencionadas por la parte accionante, específicamente la C-1024-2004 pues precisamente se impide que personas que cuentan con menos de 10 años para alcanzar la edad de pensión retornen al sistema que abandonaron hace más de una década.</w:t>
      </w:r>
    </w:p>
    <w:p w14:paraId="6615D4C0" w14:textId="77777777" w:rsidR="009320F7" w:rsidRPr="004A4BC3" w:rsidRDefault="009320F7" w:rsidP="009320F7">
      <w:pPr>
        <w:shd w:val="clear" w:color="auto" w:fill="FFFFFF"/>
        <w:spacing w:line="312" w:lineRule="auto"/>
        <w:ind w:firstLine="0"/>
        <w:textAlignment w:val="baseline"/>
        <w:rPr>
          <w:rFonts w:eastAsia="Times New Roman" w:cs="Arial"/>
          <w:szCs w:val="23"/>
          <w:lang w:eastAsia="es-CO"/>
        </w:rPr>
      </w:pPr>
      <w:r w:rsidRPr="004A4BC3">
        <w:rPr>
          <w:rFonts w:eastAsia="Times New Roman" w:cs="Arial"/>
          <w:szCs w:val="23"/>
          <w:lang w:eastAsia="es-CO"/>
        </w:rPr>
        <w:t> </w:t>
      </w:r>
    </w:p>
    <w:p w14:paraId="6E8FBC3D" w14:textId="77777777" w:rsidR="009320F7" w:rsidRPr="004A4BC3" w:rsidRDefault="009320F7" w:rsidP="009320F7">
      <w:pPr>
        <w:shd w:val="clear" w:color="auto" w:fill="FFFFFF"/>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lastRenderedPageBreak/>
        <w:t>En conclusión, considero que otro es el camino que debe abrirse para efectos de resolver los procesos tendientes a obtener la ineficacia de afiliación al RAIS y por ello, válido es memorar la aclaración de voto realizada por el Magistrado de la Sala Laboral de la Corte Suprema de Justicia, </w:t>
      </w:r>
      <w:r w:rsidRPr="004A4BC3">
        <w:rPr>
          <w:rFonts w:eastAsia="Times New Roman" w:cs="Arial"/>
          <w:b/>
          <w:bCs/>
          <w:szCs w:val="23"/>
          <w:lang w:val="es-ES" w:eastAsia="es-CO"/>
        </w:rPr>
        <w:t>LUIS BENEDICTO HERRERA DÍAZ, </w:t>
      </w:r>
      <w:r w:rsidRPr="004A4BC3">
        <w:rPr>
          <w:rFonts w:eastAsia="Times New Roman" w:cs="Arial"/>
          <w:szCs w:val="23"/>
          <w:lang w:val="es-ES" w:eastAsia="es-CO"/>
        </w:rPr>
        <w:t xml:space="preserve">dentro del proceso No. 57458, </w:t>
      </w:r>
      <w:r w:rsidRPr="004A4BC3">
        <w:rPr>
          <w:rFonts w:eastAsia="Times New Roman" w:cs="Arial"/>
          <w:color w:val="000000"/>
          <w:szCs w:val="23"/>
          <w:lang w:val="es-ES" w:eastAsia="es-CO"/>
        </w:rPr>
        <w:t>que resulta atemporal y en ese sentido pertinente para discurrir sobre el principio de independencia judicial en relación a cualquier asunto bajo análisis,</w:t>
      </w:r>
      <w:r w:rsidRPr="004A4BC3">
        <w:rPr>
          <w:rFonts w:eastAsia="Times New Roman" w:cs="Arial"/>
          <w:szCs w:val="23"/>
          <w:lang w:val="es-ES" w:eastAsia="es-CO"/>
        </w:rPr>
        <w:t xml:space="preserve"> que la obligatoriedad no es una característica propia de nuestra jurisprudencia, pues ésta en realidad se caracteriza por ser uniforme, continua y particular, de manera tal que cuando cambien las circunstancias que dieron lugar a tal uniformidad, entonces podrá abrirse una nueva respuesta a esta clase de asuntos.</w:t>
      </w:r>
      <w:r w:rsidRPr="004A4BC3">
        <w:rPr>
          <w:rFonts w:eastAsia="Times New Roman" w:cs="Arial"/>
          <w:szCs w:val="23"/>
          <w:lang w:eastAsia="es-CO"/>
        </w:rPr>
        <w:t> </w:t>
      </w:r>
    </w:p>
    <w:p w14:paraId="1B355EFB" w14:textId="77777777" w:rsidR="009320F7" w:rsidRPr="004A4BC3" w:rsidRDefault="009320F7" w:rsidP="009320F7">
      <w:pPr>
        <w:shd w:val="clear" w:color="auto" w:fill="FFFFFF"/>
        <w:spacing w:line="312" w:lineRule="auto"/>
        <w:ind w:firstLine="0"/>
        <w:textAlignment w:val="baseline"/>
        <w:rPr>
          <w:rFonts w:eastAsia="Times New Roman" w:cs="Arial"/>
          <w:szCs w:val="23"/>
          <w:lang w:eastAsia="es-CO"/>
        </w:rPr>
      </w:pPr>
    </w:p>
    <w:p w14:paraId="69898F89" w14:textId="77777777" w:rsidR="009320F7" w:rsidRPr="004A4BC3" w:rsidRDefault="009320F7" w:rsidP="009320F7">
      <w:pPr>
        <w:shd w:val="clear" w:color="auto" w:fill="FFFFFF"/>
        <w:spacing w:line="312" w:lineRule="auto"/>
        <w:ind w:firstLine="0"/>
        <w:textAlignment w:val="baseline"/>
        <w:rPr>
          <w:rFonts w:eastAsia="Times New Roman" w:cs="Arial"/>
          <w:szCs w:val="23"/>
          <w:lang w:eastAsia="es-CO"/>
        </w:rPr>
      </w:pPr>
    </w:p>
    <w:p w14:paraId="5D545821" w14:textId="4B6792E7" w:rsidR="009320F7" w:rsidRPr="004A4BC3" w:rsidRDefault="009320F7" w:rsidP="009320F7">
      <w:pPr>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En estos términos aclaro mi voto,</w:t>
      </w:r>
      <w:r w:rsidR="00247BCE">
        <w:rPr>
          <w:rFonts w:eastAsia="Times New Roman" w:cs="Arial"/>
          <w:szCs w:val="23"/>
          <w:lang w:eastAsia="es-CO"/>
        </w:rPr>
        <w:t> </w:t>
      </w:r>
    </w:p>
    <w:p w14:paraId="07C5D045" w14:textId="77777777" w:rsidR="009320F7" w:rsidRPr="004A4BC3" w:rsidRDefault="009320F7" w:rsidP="009320F7">
      <w:pPr>
        <w:spacing w:line="312" w:lineRule="auto"/>
        <w:ind w:firstLine="0"/>
        <w:textAlignment w:val="baseline"/>
        <w:rPr>
          <w:rFonts w:eastAsia="Times New Roman" w:cs="Arial"/>
          <w:szCs w:val="23"/>
          <w:lang w:eastAsia="es-CO"/>
        </w:rPr>
      </w:pPr>
    </w:p>
    <w:p w14:paraId="4AD39838" w14:textId="77777777" w:rsidR="009320F7" w:rsidRPr="004A4BC3" w:rsidRDefault="009320F7" w:rsidP="009320F7">
      <w:pPr>
        <w:spacing w:line="312" w:lineRule="auto"/>
        <w:ind w:firstLine="0"/>
        <w:textAlignment w:val="baseline"/>
        <w:rPr>
          <w:rFonts w:eastAsia="Times New Roman" w:cs="Arial"/>
          <w:szCs w:val="23"/>
          <w:lang w:eastAsia="es-CO"/>
        </w:rPr>
      </w:pPr>
    </w:p>
    <w:p w14:paraId="32837C2E" w14:textId="77777777" w:rsidR="009320F7" w:rsidRPr="004A4BC3" w:rsidRDefault="009320F7" w:rsidP="009320F7">
      <w:pPr>
        <w:spacing w:line="312" w:lineRule="auto"/>
        <w:ind w:firstLine="0"/>
        <w:textAlignment w:val="baseline"/>
        <w:rPr>
          <w:rFonts w:eastAsia="Times New Roman" w:cs="Arial"/>
          <w:szCs w:val="23"/>
          <w:lang w:eastAsia="es-CO"/>
        </w:rPr>
      </w:pPr>
    </w:p>
    <w:p w14:paraId="793FB066" w14:textId="77777777" w:rsidR="009320F7" w:rsidRPr="004A4BC3" w:rsidRDefault="009320F7" w:rsidP="009320F7">
      <w:pPr>
        <w:spacing w:line="312" w:lineRule="auto"/>
        <w:ind w:firstLine="0"/>
        <w:textAlignment w:val="baseline"/>
        <w:rPr>
          <w:rFonts w:eastAsia="Times New Roman" w:cs="Arial"/>
          <w:szCs w:val="23"/>
          <w:lang w:eastAsia="es-CO"/>
        </w:rPr>
      </w:pPr>
    </w:p>
    <w:p w14:paraId="1B5F2208" w14:textId="77777777" w:rsidR="009320F7" w:rsidRPr="004A4BC3" w:rsidRDefault="009320F7" w:rsidP="009320F7">
      <w:pPr>
        <w:spacing w:line="312" w:lineRule="auto"/>
        <w:ind w:firstLine="0"/>
        <w:textAlignment w:val="baseline"/>
        <w:rPr>
          <w:rFonts w:eastAsia="Times New Roman" w:cs="Arial"/>
          <w:szCs w:val="23"/>
          <w:lang w:eastAsia="es-CO"/>
        </w:rPr>
      </w:pPr>
    </w:p>
    <w:p w14:paraId="2BA952D1" w14:textId="77777777" w:rsidR="009320F7" w:rsidRPr="004A4BC3" w:rsidRDefault="009320F7" w:rsidP="009320F7">
      <w:pPr>
        <w:spacing w:line="312" w:lineRule="auto"/>
        <w:ind w:firstLine="0"/>
        <w:textAlignment w:val="baseline"/>
        <w:rPr>
          <w:rFonts w:eastAsia="Times New Roman" w:cs="Arial"/>
          <w:szCs w:val="23"/>
          <w:lang w:eastAsia="es-CO"/>
        </w:rPr>
      </w:pPr>
      <w:r w:rsidRPr="004A4BC3">
        <w:rPr>
          <w:rFonts w:eastAsia="Times New Roman" w:cs="Arial"/>
          <w:b/>
          <w:bCs/>
          <w:szCs w:val="23"/>
          <w:lang w:val="es-ES" w:eastAsia="es-CO"/>
        </w:rPr>
        <w:t>OLGA LUCÍA HOYOS SEPÚLVEDA</w:t>
      </w:r>
      <w:r w:rsidRPr="004A4BC3">
        <w:rPr>
          <w:rFonts w:eastAsia="Times New Roman" w:cs="Arial"/>
          <w:szCs w:val="23"/>
          <w:lang w:eastAsia="es-CO"/>
        </w:rPr>
        <w:t>   </w:t>
      </w:r>
    </w:p>
    <w:p w14:paraId="0F4E1AE2" w14:textId="3EE31F65" w:rsidR="009320F7" w:rsidRPr="009320F7" w:rsidRDefault="009320F7" w:rsidP="009320F7">
      <w:pPr>
        <w:spacing w:line="312" w:lineRule="auto"/>
        <w:ind w:firstLine="0"/>
        <w:textAlignment w:val="baseline"/>
        <w:rPr>
          <w:rFonts w:eastAsia="Times New Roman" w:cs="Arial"/>
          <w:szCs w:val="23"/>
          <w:lang w:eastAsia="es-CO"/>
        </w:rPr>
      </w:pPr>
      <w:r w:rsidRPr="004A4BC3">
        <w:rPr>
          <w:rFonts w:eastAsia="Times New Roman" w:cs="Arial"/>
          <w:bCs/>
          <w:szCs w:val="23"/>
          <w:lang w:val="es-ES" w:eastAsia="es-CO"/>
        </w:rPr>
        <w:t>Magistrada</w:t>
      </w:r>
    </w:p>
    <w:sectPr w:rsidR="009320F7" w:rsidRPr="009320F7" w:rsidSect="009320F7">
      <w:pgSz w:w="12242" w:h="18722" w:code="258"/>
      <w:pgMar w:top="1871" w:right="1304" w:bottom="1304" w:left="1871" w:header="709" w:footer="709"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526E684" w16cex:dateUtc="2022-06-09T17:09:36.037Z"/>
  <w16cex:commentExtensible w16cex:durableId="5E8828B4" w16cex:dateUtc="2022-06-10T18:38:32.667Z"/>
  <w16cex:commentExtensible w16cex:durableId="37CD9D7E" w16cex:dateUtc="2022-11-10T22:35:29.63Z"/>
  <w16cex:commentExtensible w16cex:durableId="3AAB4696" w16cex:dateUtc="2022-11-10T22:36:10.908Z"/>
  <w16cex:commentExtensible w16cex:durableId="468F3B0C" w16cex:dateUtc="2022-11-11T13:42:06.995Z"/>
  <w16cex:commentExtensible w16cex:durableId="1ACA989F" w16cex:dateUtc="2022-11-11T14:23:35.482Z"/>
  <w16cex:commentExtensible w16cex:durableId="15C49CB2" w16cex:dateUtc="2022-11-15T19:01:04.589Z"/>
  <w16cex:commentExtensible w16cex:durableId="277D0A47" w16cex:dateUtc="2022-11-15T19:13:49.941Z"/>
  <w16cex:commentExtensible w16cex:durableId="129D7C03" w16cex:dateUtc="2022-11-15T19:21:19.336Z"/>
  <w16cex:commentExtensible w16cex:durableId="01A2087C" w16cex:dateUtc="2022-12-02T18:32:05.433Z"/>
  <w16cex:commentExtensible w16cex:durableId="17957A6B" w16cex:dateUtc="2023-11-07T16:14:02.424Z"/>
  <w16cex:commentExtensible w16cex:durableId="58BC9490" w16cex:dateUtc="2023-11-08T22:37:08.273Z"/>
</w16cex:commentsExtensible>
</file>

<file path=word/commentsIds.xml><?xml version="1.0" encoding="utf-8"?>
<w16cid:commentsIds xmlns:mc="http://schemas.openxmlformats.org/markup-compatibility/2006" xmlns:w16cid="http://schemas.microsoft.com/office/word/2016/wordml/cid" mc:Ignorable="w16cid">
  <w16cid:commentId w16cid:paraId="1AFA856F" w16cid:durableId="17957A6B"/>
  <w16cid:commentId w16cid:paraId="2B031258" w16cid:durableId="58BC949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62CAE" w14:textId="77777777" w:rsidR="00127CED" w:rsidRDefault="00127CED" w:rsidP="00F33495">
      <w:pPr>
        <w:spacing w:line="240" w:lineRule="auto"/>
      </w:pPr>
      <w:r>
        <w:separator/>
      </w:r>
    </w:p>
  </w:endnote>
  <w:endnote w:type="continuationSeparator" w:id="0">
    <w:p w14:paraId="4B550E1F" w14:textId="77777777" w:rsidR="00127CED" w:rsidRDefault="00127CED" w:rsidP="00F334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6C3D8" w14:textId="77777777" w:rsidR="00127CED" w:rsidRDefault="00127CED" w:rsidP="00F33495">
      <w:pPr>
        <w:spacing w:line="240" w:lineRule="auto"/>
      </w:pPr>
      <w:r>
        <w:separator/>
      </w:r>
    </w:p>
  </w:footnote>
  <w:footnote w:type="continuationSeparator" w:id="0">
    <w:p w14:paraId="325827CA" w14:textId="77777777" w:rsidR="00127CED" w:rsidRDefault="00127CED" w:rsidP="00F33495">
      <w:pPr>
        <w:spacing w:line="240" w:lineRule="auto"/>
      </w:pPr>
      <w:r>
        <w:continuationSeparator/>
      </w:r>
    </w:p>
  </w:footnote>
  <w:footnote w:id="1">
    <w:p w14:paraId="0E79FC85" w14:textId="77777777" w:rsidR="003073FB" w:rsidRPr="00EA1225" w:rsidRDefault="003073FB" w:rsidP="00EA1225">
      <w:pPr>
        <w:pStyle w:val="Textonotapie"/>
        <w:ind w:firstLine="0"/>
        <w:rPr>
          <w:rFonts w:cs="Arial"/>
          <w:sz w:val="18"/>
          <w:szCs w:val="18"/>
        </w:rPr>
      </w:pPr>
      <w:r w:rsidRPr="00EA1225">
        <w:rPr>
          <w:rStyle w:val="Refdenotaalpie"/>
          <w:rFonts w:cs="Arial"/>
          <w:sz w:val="18"/>
          <w:szCs w:val="18"/>
        </w:rPr>
        <w:footnoteRef/>
      </w:r>
      <w:r w:rsidRPr="00EA1225">
        <w:rPr>
          <w:rFonts w:cs="Arial"/>
          <w:sz w:val="18"/>
          <w:szCs w:val="18"/>
        </w:rPr>
        <w:t xml:space="preserve"> M.P. Dr. Iván Mauricio Lenis Gómez</w:t>
      </w:r>
    </w:p>
  </w:footnote>
  <w:footnote w:id="2">
    <w:p w14:paraId="78D92625" w14:textId="77777777" w:rsidR="003073FB" w:rsidRPr="00EA1225" w:rsidRDefault="003073FB" w:rsidP="00EA1225">
      <w:pPr>
        <w:widowControl w:val="0"/>
        <w:tabs>
          <w:tab w:val="left" w:pos="-720"/>
        </w:tabs>
        <w:suppressAutoHyphens/>
        <w:overflowPunct w:val="0"/>
        <w:autoSpaceDE w:val="0"/>
        <w:autoSpaceDN w:val="0"/>
        <w:adjustRightInd w:val="0"/>
        <w:spacing w:line="240" w:lineRule="auto"/>
        <w:ind w:firstLine="0"/>
        <w:rPr>
          <w:rFonts w:cs="Arial"/>
          <w:sz w:val="18"/>
          <w:szCs w:val="18"/>
        </w:rPr>
      </w:pPr>
      <w:r w:rsidRPr="00EA1225">
        <w:rPr>
          <w:rStyle w:val="Refdenotaalpie"/>
          <w:rFonts w:cs="Arial"/>
          <w:sz w:val="18"/>
          <w:szCs w:val="18"/>
        </w:rPr>
        <w:footnoteRef/>
      </w:r>
      <w:r w:rsidRPr="00EA1225">
        <w:rPr>
          <w:rFonts w:cs="Arial"/>
          <w:sz w:val="18"/>
          <w:szCs w:val="18"/>
        </w:rPr>
        <w:t xml:space="preserve"> CSJ Sentencia SL1688-2019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0D71"/>
    <w:multiLevelType w:val="hybridMultilevel"/>
    <w:tmpl w:val="86980E04"/>
    <w:lvl w:ilvl="0" w:tplc="812C0CB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1">
    <w:nsid w:val="12004D16"/>
    <w:multiLevelType w:val="hybridMultilevel"/>
    <w:tmpl w:val="2B108E1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2926EC"/>
    <w:multiLevelType w:val="hybridMultilevel"/>
    <w:tmpl w:val="CE984072"/>
    <w:lvl w:ilvl="0" w:tplc="983A62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1">
    <w:nsid w:val="28207FF1"/>
    <w:multiLevelType w:val="hybridMultilevel"/>
    <w:tmpl w:val="FE80FBAE"/>
    <w:lvl w:ilvl="0" w:tplc="CA36EC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6F6379"/>
    <w:multiLevelType w:val="hybridMultilevel"/>
    <w:tmpl w:val="E4A40B72"/>
    <w:lvl w:ilvl="0" w:tplc="B6FC70E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47C50F8"/>
    <w:multiLevelType w:val="hybridMultilevel"/>
    <w:tmpl w:val="59269A04"/>
    <w:lvl w:ilvl="0" w:tplc="07B4CA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95"/>
    <w:rsid w:val="000010E4"/>
    <w:rsid w:val="000027A8"/>
    <w:rsid w:val="00003BB8"/>
    <w:rsid w:val="00007F2A"/>
    <w:rsid w:val="00012D28"/>
    <w:rsid w:val="00013EB3"/>
    <w:rsid w:val="00022FE4"/>
    <w:rsid w:val="00023565"/>
    <w:rsid w:val="00027431"/>
    <w:rsid w:val="0002795A"/>
    <w:rsid w:val="00031535"/>
    <w:rsid w:val="00040E46"/>
    <w:rsid w:val="00044B73"/>
    <w:rsid w:val="0005234B"/>
    <w:rsid w:val="0005433D"/>
    <w:rsid w:val="00065FC8"/>
    <w:rsid w:val="00067C72"/>
    <w:rsid w:val="000712BA"/>
    <w:rsid w:val="00071E1C"/>
    <w:rsid w:val="00076DF1"/>
    <w:rsid w:val="00077B47"/>
    <w:rsid w:val="00082AF6"/>
    <w:rsid w:val="00085746"/>
    <w:rsid w:val="000861DD"/>
    <w:rsid w:val="00092B58"/>
    <w:rsid w:val="000957E0"/>
    <w:rsid w:val="000A21BE"/>
    <w:rsid w:val="000A3C05"/>
    <w:rsid w:val="000A5FC5"/>
    <w:rsid w:val="000B15C7"/>
    <w:rsid w:val="000B1A5C"/>
    <w:rsid w:val="000C159B"/>
    <w:rsid w:val="000D42EA"/>
    <w:rsid w:val="000D7C34"/>
    <w:rsid w:val="000E246F"/>
    <w:rsid w:val="000E4020"/>
    <w:rsid w:val="000E587E"/>
    <w:rsid w:val="000F23AF"/>
    <w:rsid w:val="000F2DE1"/>
    <w:rsid w:val="000F448C"/>
    <w:rsid w:val="00112420"/>
    <w:rsid w:val="001156B3"/>
    <w:rsid w:val="00117457"/>
    <w:rsid w:val="00122FE2"/>
    <w:rsid w:val="001230E0"/>
    <w:rsid w:val="00127CED"/>
    <w:rsid w:val="001306A6"/>
    <w:rsid w:val="001363CA"/>
    <w:rsid w:val="00141646"/>
    <w:rsid w:val="00142B50"/>
    <w:rsid w:val="001448CA"/>
    <w:rsid w:val="00152747"/>
    <w:rsid w:val="00152EE8"/>
    <w:rsid w:val="0015434B"/>
    <w:rsid w:val="0016082A"/>
    <w:rsid w:val="00162BA7"/>
    <w:rsid w:val="001642CF"/>
    <w:rsid w:val="00190886"/>
    <w:rsid w:val="001B2D43"/>
    <w:rsid w:val="001B5DD5"/>
    <w:rsid w:val="001B606C"/>
    <w:rsid w:val="001B7B5E"/>
    <w:rsid w:val="001C0FBC"/>
    <w:rsid w:val="001C23BE"/>
    <w:rsid w:val="001C3AAD"/>
    <w:rsid w:val="001C68B8"/>
    <w:rsid w:val="001D58D7"/>
    <w:rsid w:val="001D6565"/>
    <w:rsid w:val="001D7B64"/>
    <w:rsid w:val="001E5B8A"/>
    <w:rsid w:val="001F1802"/>
    <w:rsid w:val="001F19EA"/>
    <w:rsid w:val="001F6292"/>
    <w:rsid w:val="00220881"/>
    <w:rsid w:val="00230F37"/>
    <w:rsid w:val="00232FF7"/>
    <w:rsid w:val="00234056"/>
    <w:rsid w:val="002347A2"/>
    <w:rsid w:val="00234859"/>
    <w:rsid w:val="002354BD"/>
    <w:rsid w:val="00236A1C"/>
    <w:rsid w:val="00236DBB"/>
    <w:rsid w:val="00245916"/>
    <w:rsid w:val="0024623E"/>
    <w:rsid w:val="00247BCE"/>
    <w:rsid w:val="00267F84"/>
    <w:rsid w:val="002735E7"/>
    <w:rsid w:val="00273754"/>
    <w:rsid w:val="00286C10"/>
    <w:rsid w:val="00287F53"/>
    <w:rsid w:val="00295BBB"/>
    <w:rsid w:val="002A3122"/>
    <w:rsid w:val="002A4B87"/>
    <w:rsid w:val="002A7326"/>
    <w:rsid w:val="002B0CB9"/>
    <w:rsid w:val="002B0F2C"/>
    <w:rsid w:val="002B13F4"/>
    <w:rsid w:val="002C26C1"/>
    <w:rsid w:val="002C58D6"/>
    <w:rsid w:val="002C74B1"/>
    <w:rsid w:val="002D2FCB"/>
    <w:rsid w:val="002D4DEF"/>
    <w:rsid w:val="002E0786"/>
    <w:rsid w:val="002E0B67"/>
    <w:rsid w:val="002E354F"/>
    <w:rsid w:val="002E4336"/>
    <w:rsid w:val="002E6268"/>
    <w:rsid w:val="002F4E91"/>
    <w:rsid w:val="002F5890"/>
    <w:rsid w:val="002F5BD6"/>
    <w:rsid w:val="0030045D"/>
    <w:rsid w:val="00301377"/>
    <w:rsid w:val="00302F28"/>
    <w:rsid w:val="00303C6A"/>
    <w:rsid w:val="003073FB"/>
    <w:rsid w:val="0030756B"/>
    <w:rsid w:val="00313A93"/>
    <w:rsid w:val="00315036"/>
    <w:rsid w:val="00321B0D"/>
    <w:rsid w:val="00323707"/>
    <w:rsid w:val="00331847"/>
    <w:rsid w:val="00334487"/>
    <w:rsid w:val="00342C2C"/>
    <w:rsid w:val="00344F92"/>
    <w:rsid w:val="00350DC6"/>
    <w:rsid w:val="0035686C"/>
    <w:rsid w:val="0036061A"/>
    <w:rsid w:val="003625E2"/>
    <w:rsid w:val="003716D5"/>
    <w:rsid w:val="003737BA"/>
    <w:rsid w:val="003738C3"/>
    <w:rsid w:val="003803FC"/>
    <w:rsid w:val="0038198A"/>
    <w:rsid w:val="0038251A"/>
    <w:rsid w:val="003857C6"/>
    <w:rsid w:val="00394BC3"/>
    <w:rsid w:val="003A404B"/>
    <w:rsid w:val="003A5BB7"/>
    <w:rsid w:val="003A5E42"/>
    <w:rsid w:val="003B13F3"/>
    <w:rsid w:val="003B61B8"/>
    <w:rsid w:val="003C3060"/>
    <w:rsid w:val="003C4BD0"/>
    <w:rsid w:val="003D55C7"/>
    <w:rsid w:val="003D7454"/>
    <w:rsid w:val="003E0122"/>
    <w:rsid w:val="003E1839"/>
    <w:rsid w:val="003E507B"/>
    <w:rsid w:val="003E7950"/>
    <w:rsid w:val="003F2659"/>
    <w:rsid w:val="003F5949"/>
    <w:rsid w:val="00402DE9"/>
    <w:rsid w:val="00406863"/>
    <w:rsid w:val="00410952"/>
    <w:rsid w:val="00410CA0"/>
    <w:rsid w:val="00413F66"/>
    <w:rsid w:val="004157AE"/>
    <w:rsid w:val="00417944"/>
    <w:rsid w:val="00422AB6"/>
    <w:rsid w:val="004239C7"/>
    <w:rsid w:val="004304FE"/>
    <w:rsid w:val="0043720D"/>
    <w:rsid w:val="00445979"/>
    <w:rsid w:val="00456AF2"/>
    <w:rsid w:val="0045781C"/>
    <w:rsid w:val="00467370"/>
    <w:rsid w:val="004712CC"/>
    <w:rsid w:val="004740FC"/>
    <w:rsid w:val="00476023"/>
    <w:rsid w:val="00476258"/>
    <w:rsid w:val="00476814"/>
    <w:rsid w:val="00487981"/>
    <w:rsid w:val="00490B9C"/>
    <w:rsid w:val="00492AFC"/>
    <w:rsid w:val="0049479C"/>
    <w:rsid w:val="004A1DFF"/>
    <w:rsid w:val="004B1E20"/>
    <w:rsid w:val="004B644A"/>
    <w:rsid w:val="004B6EB2"/>
    <w:rsid w:val="004B7C1D"/>
    <w:rsid w:val="004B7E49"/>
    <w:rsid w:val="004C1EB4"/>
    <w:rsid w:val="004C7512"/>
    <w:rsid w:val="004D37CD"/>
    <w:rsid w:val="004E41B6"/>
    <w:rsid w:val="004E6792"/>
    <w:rsid w:val="004F2F73"/>
    <w:rsid w:val="004F6550"/>
    <w:rsid w:val="00506E81"/>
    <w:rsid w:val="00506F10"/>
    <w:rsid w:val="00511505"/>
    <w:rsid w:val="00514F55"/>
    <w:rsid w:val="0052162C"/>
    <w:rsid w:val="00521DCD"/>
    <w:rsid w:val="00523F59"/>
    <w:rsid w:val="005311C4"/>
    <w:rsid w:val="00531510"/>
    <w:rsid w:val="00537696"/>
    <w:rsid w:val="00541F78"/>
    <w:rsid w:val="00543414"/>
    <w:rsid w:val="00560095"/>
    <w:rsid w:val="005655B4"/>
    <w:rsid w:val="005663E7"/>
    <w:rsid w:val="0057532E"/>
    <w:rsid w:val="00585261"/>
    <w:rsid w:val="00585642"/>
    <w:rsid w:val="005A47C5"/>
    <w:rsid w:val="005A5ECC"/>
    <w:rsid w:val="005B5103"/>
    <w:rsid w:val="005C7D4C"/>
    <w:rsid w:val="005D61AD"/>
    <w:rsid w:val="005E0D01"/>
    <w:rsid w:val="005E1A33"/>
    <w:rsid w:val="005E1D73"/>
    <w:rsid w:val="005E49DE"/>
    <w:rsid w:val="005E5792"/>
    <w:rsid w:val="005E7553"/>
    <w:rsid w:val="005F20BC"/>
    <w:rsid w:val="00602792"/>
    <w:rsid w:val="006046D4"/>
    <w:rsid w:val="00607BF6"/>
    <w:rsid w:val="00617A19"/>
    <w:rsid w:val="006207BF"/>
    <w:rsid w:val="006212C9"/>
    <w:rsid w:val="00630716"/>
    <w:rsid w:val="006426E7"/>
    <w:rsid w:val="006462DD"/>
    <w:rsid w:val="00651A12"/>
    <w:rsid w:val="00651ED8"/>
    <w:rsid w:val="00654F0A"/>
    <w:rsid w:val="00656F47"/>
    <w:rsid w:val="006601E7"/>
    <w:rsid w:val="00665D1A"/>
    <w:rsid w:val="00684EA5"/>
    <w:rsid w:val="0068594E"/>
    <w:rsid w:val="00690656"/>
    <w:rsid w:val="00691418"/>
    <w:rsid w:val="0069307F"/>
    <w:rsid w:val="0069334D"/>
    <w:rsid w:val="00694ABB"/>
    <w:rsid w:val="006A6D22"/>
    <w:rsid w:val="006B5472"/>
    <w:rsid w:val="006C0A92"/>
    <w:rsid w:val="006C250C"/>
    <w:rsid w:val="006D0204"/>
    <w:rsid w:val="006D16A6"/>
    <w:rsid w:val="006D33E5"/>
    <w:rsid w:val="006D4809"/>
    <w:rsid w:val="006D7317"/>
    <w:rsid w:val="006F1A3A"/>
    <w:rsid w:val="00700176"/>
    <w:rsid w:val="007039F8"/>
    <w:rsid w:val="00705E27"/>
    <w:rsid w:val="007065B2"/>
    <w:rsid w:val="00711ACF"/>
    <w:rsid w:val="00713D41"/>
    <w:rsid w:val="007163FF"/>
    <w:rsid w:val="00723359"/>
    <w:rsid w:val="0072357F"/>
    <w:rsid w:val="00725E4D"/>
    <w:rsid w:val="00735854"/>
    <w:rsid w:val="00735FA2"/>
    <w:rsid w:val="007370B2"/>
    <w:rsid w:val="0074011B"/>
    <w:rsid w:val="00740C33"/>
    <w:rsid w:val="00742526"/>
    <w:rsid w:val="007428D6"/>
    <w:rsid w:val="007444C1"/>
    <w:rsid w:val="00747649"/>
    <w:rsid w:val="00750CFE"/>
    <w:rsid w:val="00755286"/>
    <w:rsid w:val="007619B8"/>
    <w:rsid w:val="00762B33"/>
    <w:rsid w:val="0077128B"/>
    <w:rsid w:val="00772963"/>
    <w:rsid w:val="007748C3"/>
    <w:rsid w:val="007803D9"/>
    <w:rsid w:val="00780C27"/>
    <w:rsid w:val="00793226"/>
    <w:rsid w:val="007A00BA"/>
    <w:rsid w:val="007A3178"/>
    <w:rsid w:val="007A3E07"/>
    <w:rsid w:val="007A7FC9"/>
    <w:rsid w:val="007B0C04"/>
    <w:rsid w:val="007C23E2"/>
    <w:rsid w:val="007C3826"/>
    <w:rsid w:val="007D365E"/>
    <w:rsid w:val="007D392D"/>
    <w:rsid w:val="007D4216"/>
    <w:rsid w:val="007D5A6E"/>
    <w:rsid w:val="007D5F99"/>
    <w:rsid w:val="007E05C4"/>
    <w:rsid w:val="007E27C9"/>
    <w:rsid w:val="007E5ED5"/>
    <w:rsid w:val="007E7878"/>
    <w:rsid w:val="007F5297"/>
    <w:rsid w:val="007F6CA1"/>
    <w:rsid w:val="007F6F66"/>
    <w:rsid w:val="00800E46"/>
    <w:rsid w:val="00801C2C"/>
    <w:rsid w:val="00811554"/>
    <w:rsid w:val="00821E0C"/>
    <w:rsid w:val="00835CC3"/>
    <w:rsid w:val="008431C4"/>
    <w:rsid w:val="0085206F"/>
    <w:rsid w:val="00852FA4"/>
    <w:rsid w:val="008548ED"/>
    <w:rsid w:val="00872EF1"/>
    <w:rsid w:val="008735D0"/>
    <w:rsid w:val="00875FA2"/>
    <w:rsid w:val="008861A6"/>
    <w:rsid w:val="00887DE2"/>
    <w:rsid w:val="00892F6F"/>
    <w:rsid w:val="008939F9"/>
    <w:rsid w:val="008A7078"/>
    <w:rsid w:val="008B32E2"/>
    <w:rsid w:val="008B4CFF"/>
    <w:rsid w:val="008C2BCE"/>
    <w:rsid w:val="008C7AB6"/>
    <w:rsid w:val="008D0808"/>
    <w:rsid w:val="008D21DE"/>
    <w:rsid w:val="008D3386"/>
    <w:rsid w:val="008D3D18"/>
    <w:rsid w:val="008E01EE"/>
    <w:rsid w:val="008E43CA"/>
    <w:rsid w:val="008E7069"/>
    <w:rsid w:val="008F66DC"/>
    <w:rsid w:val="009034B4"/>
    <w:rsid w:val="009048C4"/>
    <w:rsid w:val="00904C8C"/>
    <w:rsid w:val="00912AF7"/>
    <w:rsid w:val="00920A60"/>
    <w:rsid w:val="00923CAF"/>
    <w:rsid w:val="009243CC"/>
    <w:rsid w:val="00925FB3"/>
    <w:rsid w:val="00927BA0"/>
    <w:rsid w:val="00927F48"/>
    <w:rsid w:val="009320F7"/>
    <w:rsid w:val="0093747B"/>
    <w:rsid w:val="00941C9C"/>
    <w:rsid w:val="009426F6"/>
    <w:rsid w:val="00952B9A"/>
    <w:rsid w:val="00953BAB"/>
    <w:rsid w:val="0095599D"/>
    <w:rsid w:val="00960D1E"/>
    <w:rsid w:val="00971AC8"/>
    <w:rsid w:val="00980BBD"/>
    <w:rsid w:val="00986953"/>
    <w:rsid w:val="009A2758"/>
    <w:rsid w:val="009B5F80"/>
    <w:rsid w:val="009C18F8"/>
    <w:rsid w:val="009C55AA"/>
    <w:rsid w:val="009D241D"/>
    <w:rsid w:val="009D6243"/>
    <w:rsid w:val="009E0A95"/>
    <w:rsid w:val="009E129D"/>
    <w:rsid w:val="009E17E0"/>
    <w:rsid w:val="009E57AA"/>
    <w:rsid w:val="009F6995"/>
    <w:rsid w:val="009F7745"/>
    <w:rsid w:val="00A0229D"/>
    <w:rsid w:val="00A04482"/>
    <w:rsid w:val="00A130E8"/>
    <w:rsid w:val="00A13A55"/>
    <w:rsid w:val="00A178C1"/>
    <w:rsid w:val="00A217B8"/>
    <w:rsid w:val="00A242A8"/>
    <w:rsid w:val="00A31ADD"/>
    <w:rsid w:val="00A36F05"/>
    <w:rsid w:val="00A4283E"/>
    <w:rsid w:val="00A4545B"/>
    <w:rsid w:val="00A53DD1"/>
    <w:rsid w:val="00A57DF7"/>
    <w:rsid w:val="00A63404"/>
    <w:rsid w:val="00A640E8"/>
    <w:rsid w:val="00A64A4F"/>
    <w:rsid w:val="00A6657F"/>
    <w:rsid w:val="00A672DD"/>
    <w:rsid w:val="00A7310B"/>
    <w:rsid w:val="00A77DDD"/>
    <w:rsid w:val="00A8232E"/>
    <w:rsid w:val="00A8283C"/>
    <w:rsid w:val="00A970EC"/>
    <w:rsid w:val="00AA0E34"/>
    <w:rsid w:val="00AA3658"/>
    <w:rsid w:val="00AA3AC4"/>
    <w:rsid w:val="00AA402C"/>
    <w:rsid w:val="00AA44CC"/>
    <w:rsid w:val="00AA5433"/>
    <w:rsid w:val="00AB3516"/>
    <w:rsid w:val="00AB619D"/>
    <w:rsid w:val="00AB7303"/>
    <w:rsid w:val="00AC1BCC"/>
    <w:rsid w:val="00AC29CD"/>
    <w:rsid w:val="00AC406F"/>
    <w:rsid w:val="00AC4782"/>
    <w:rsid w:val="00AD1AD0"/>
    <w:rsid w:val="00AD506E"/>
    <w:rsid w:val="00AD5BA9"/>
    <w:rsid w:val="00AF0141"/>
    <w:rsid w:val="00B02ABC"/>
    <w:rsid w:val="00B038BF"/>
    <w:rsid w:val="00B071F5"/>
    <w:rsid w:val="00B10442"/>
    <w:rsid w:val="00B11AB5"/>
    <w:rsid w:val="00B17F4E"/>
    <w:rsid w:val="00B307AC"/>
    <w:rsid w:val="00B411AE"/>
    <w:rsid w:val="00B56F68"/>
    <w:rsid w:val="00B60BB9"/>
    <w:rsid w:val="00B60C69"/>
    <w:rsid w:val="00B65806"/>
    <w:rsid w:val="00B8370D"/>
    <w:rsid w:val="00B84C34"/>
    <w:rsid w:val="00B86E32"/>
    <w:rsid w:val="00B95355"/>
    <w:rsid w:val="00BA38AF"/>
    <w:rsid w:val="00BA4C1B"/>
    <w:rsid w:val="00BA73DC"/>
    <w:rsid w:val="00BB3E0E"/>
    <w:rsid w:val="00BB60BF"/>
    <w:rsid w:val="00BB615E"/>
    <w:rsid w:val="00BC3046"/>
    <w:rsid w:val="00BE2F2E"/>
    <w:rsid w:val="00BE7720"/>
    <w:rsid w:val="00BF24B4"/>
    <w:rsid w:val="00BF3940"/>
    <w:rsid w:val="00C00EBE"/>
    <w:rsid w:val="00C01564"/>
    <w:rsid w:val="00C062F0"/>
    <w:rsid w:val="00C13E12"/>
    <w:rsid w:val="00C14CB6"/>
    <w:rsid w:val="00C21BAD"/>
    <w:rsid w:val="00C306F3"/>
    <w:rsid w:val="00C320A2"/>
    <w:rsid w:val="00C373BE"/>
    <w:rsid w:val="00C41494"/>
    <w:rsid w:val="00C45E94"/>
    <w:rsid w:val="00C50C0B"/>
    <w:rsid w:val="00C53AD7"/>
    <w:rsid w:val="00C63694"/>
    <w:rsid w:val="00C6512C"/>
    <w:rsid w:val="00C72484"/>
    <w:rsid w:val="00C76C6A"/>
    <w:rsid w:val="00C81B30"/>
    <w:rsid w:val="00C838E0"/>
    <w:rsid w:val="00C83AF9"/>
    <w:rsid w:val="00C83F65"/>
    <w:rsid w:val="00C85C10"/>
    <w:rsid w:val="00C90928"/>
    <w:rsid w:val="00C92D39"/>
    <w:rsid w:val="00C9431C"/>
    <w:rsid w:val="00CA3608"/>
    <w:rsid w:val="00CA4E21"/>
    <w:rsid w:val="00CA649F"/>
    <w:rsid w:val="00CA7B8C"/>
    <w:rsid w:val="00CB41EE"/>
    <w:rsid w:val="00CB441B"/>
    <w:rsid w:val="00CB75D5"/>
    <w:rsid w:val="00CC0BF9"/>
    <w:rsid w:val="00CC2ED5"/>
    <w:rsid w:val="00CC4036"/>
    <w:rsid w:val="00CE0B33"/>
    <w:rsid w:val="00CE2F6A"/>
    <w:rsid w:val="00CE7452"/>
    <w:rsid w:val="00CF1B17"/>
    <w:rsid w:val="00CF28F4"/>
    <w:rsid w:val="00D00290"/>
    <w:rsid w:val="00D01A10"/>
    <w:rsid w:val="00D01B34"/>
    <w:rsid w:val="00D07EC8"/>
    <w:rsid w:val="00D11146"/>
    <w:rsid w:val="00D234AB"/>
    <w:rsid w:val="00D31703"/>
    <w:rsid w:val="00D31E75"/>
    <w:rsid w:val="00D32229"/>
    <w:rsid w:val="00D34568"/>
    <w:rsid w:val="00D34B5C"/>
    <w:rsid w:val="00D61232"/>
    <w:rsid w:val="00D756D8"/>
    <w:rsid w:val="00D75F0C"/>
    <w:rsid w:val="00D76CA2"/>
    <w:rsid w:val="00D82C3E"/>
    <w:rsid w:val="00D84351"/>
    <w:rsid w:val="00D85421"/>
    <w:rsid w:val="00D868E3"/>
    <w:rsid w:val="00D94020"/>
    <w:rsid w:val="00D94836"/>
    <w:rsid w:val="00D95BEB"/>
    <w:rsid w:val="00D9638B"/>
    <w:rsid w:val="00DA3BCD"/>
    <w:rsid w:val="00DA4108"/>
    <w:rsid w:val="00DB3683"/>
    <w:rsid w:val="00DB4D44"/>
    <w:rsid w:val="00DC1775"/>
    <w:rsid w:val="00DC40AE"/>
    <w:rsid w:val="00DC68A5"/>
    <w:rsid w:val="00DD1375"/>
    <w:rsid w:val="00DE0B10"/>
    <w:rsid w:val="00DE6E92"/>
    <w:rsid w:val="00DF0955"/>
    <w:rsid w:val="00DF20CF"/>
    <w:rsid w:val="00DF4640"/>
    <w:rsid w:val="00E05FD5"/>
    <w:rsid w:val="00E0616E"/>
    <w:rsid w:val="00E111A5"/>
    <w:rsid w:val="00E12055"/>
    <w:rsid w:val="00E26D64"/>
    <w:rsid w:val="00E2785C"/>
    <w:rsid w:val="00E33859"/>
    <w:rsid w:val="00E35B39"/>
    <w:rsid w:val="00E35FD0"/>
    <w:rsid w:val="00E36D9B"/>
    <w:rsid w:val="00E37642"/>
    <w:rsid w:val="00E3769E"/>
    <w:rsid w:val="00E44599"/>
    <w:rsid w:val="00E47063"/>
    <w:rsid w:val="00E50B1A"/>
    <w:rsid w:val="00E57FFD"/>
    <w:rsid w:val="00E720F9"/>
    <w:rsid w:val="00E8261E"/>
    <w:rsid w:val="00E949B2"/>
    <w:rsid w:val="00EA01A3"/>
    <w:rsid w:val="00EA0771"/>
    <w:rsid w:val="00EA0DE3"/>
    <w:rsid w:val="00EA1225"/>
    <w:rsid w:val="00EA53E7"/>
    <w:rsid w:val="00EB069F"/>
    <w:rsid w:val="00EB070A"/>
    <w:rsid w:val="00EB72D3"/>
    <w:rsid w:val="00EC29E5"/>
    <w:rsid w:val="00EC4389"/>
    <w:rsid w:val="00ED6949"/>
    <w:rsid w:val="00ED6AD9"/>
    <w:rsid w:val="00EE0B76"/>
    <w:rsid w:val="00EE15C5"/>
    <w:rsid w:val="00EE3DF8"/>
    <w:rsid w:val="00EE4A92"/>
    <w:rsid w:val="00EF62B0"/>
    <w:rsid w:val="00F00627"/>
    <w:rsid w:val="00F01230"/>
    <w:rsid w:val="00F126CD"/>
    <w:rsid w:val="00F1327E"/>
    <w:rsid w:val="00F14CE2"/>
    <w:rsid w:val="00F179AE"/>
    <w:rsid w:val="00F22767"/>
    <w:rsid w:val="00F242FD"/>
    <w:rsid w:val="00F300B4"/>
    <w:rsid w:val="00F31157"/>
    <w:rsid w:val="00F313F7"/>
    <w:rsid w:val="00F33495"/>
    <w:rsid w:val="00F36514"/>
    <w:rsid w:val="00F367AC"/>
    <w:rsid w:val="00F3756C"/>
    <w:rsid w:val="00F43716"/>
    <w:rsid w:val="00F61E94"/>
    <w:rsid w:val="00F64EEF"/>
    <w:rsid w:val="00F67A32"/>
    <w:rsid w:val="00F703CE"/>
    <w:rsid w:val="00F723DB"/>
    <w:rsid w:val="00F83F42"/>
    <w:rsid w:val="00F92136"/>
    <w:rsid w:val="00F97E1D"/>
    <w:rsid w:val="00FA3D01"/>
    <w:rsid w:val="00FB0026"/>
    <w:rsid w:val="00FB612F"/>
    <w:rsid w:val="00FB61E7"/>
    <w:rsid w:val="00FC0FF8"/>
    <w:rsid w:val="00FC1431"/>
    <w:rsid w:val="00FC1F77"/>
    <w:rsid w:val="00FC3D8E"/>
    <w:rsid w:val="00FD1875"/>
    <w:rsid w:val="00FD1ED5"/>
    <w:rsid w:val="00FD58BE"/>
    <w:rsid w:val="00FE21C5"/>
    <w:rsid w:val="00FF7916"/>
    <w:rsid w:val="021B8C3E"/>
    <w:rsid w:val="02D6B947"/>
    <w:rsid w:val="0BE19961"/>
    <w:rsid w:val="128EE776"/>
    <w:rsid w:val="1729E6E5"/>
    <w:rsid w:val="1A556105"/>
    <w:rsid w:val="1AAF5C09"/>
    <w:rsid w:val="1B3B8AC5"/>
    <w:rsid w:val="207AB9B7"/>
    <w:rsid w:val="214B2128"/>
    <w:rsid w:val="24D7A82A"/>
    <w:rsid w:val="2B4D5871"/>
    <w:rsid w:val="2CEE1668"/>
    <w:rsid w:val="2CF94062"/>
    <w:rsid w:val="3058F59B"/>
    <w:rsid w:val="32ED0C65"/>
    <w:rsid w:val="36FD0F01"/>
    <w:rsid w:val="38E3A76B"/>
    <w:rsid w:val="39B37113"/>
    <w:rsid w:val="444E164C"/>
    <w:rsid w:val="458A89E0"/>
    <w:rsid w:val="45D043DA"/>
    <w:rsid w:val="4BFC54D7"/>
    <w:rsid w:val="4CB2989C"/>
    <w:rsid w:val="4D866DD9"/>
    <w:rsid w:val="514F5264"/>
    <w:rsid w:val="55B36C2D"/>
    <w:rsid w:val="55CE3C61"/>
    <w:rsid w:val="56B4B4E2"/>
    <w:rsid w:val="58B3FA1E"/>
    <w:rsid w:val="5AC0DFFD"/>
    <w:rsid w:val="5EED0D00"/>
    <w:rsid w:val="5F6692AE"/>
    <w:rsid w:val="6589BD8C"/>
    <w:rsid w:val="662E3246"/>
    <w:rsid w:val="66DEF688"/>
    <w:rsid w:val="67CA02A7"/>
    <w:rsid w:val="6965D308"/>
    <w:rsid w:val="6E33FB40"/>
    <w:rsid w:val="70852B87"/>
    <w:rsid w:val="7220DFE1"/>
    <w:rsid w:val="764D0CE4"/>
    <w:rsid w:val="778EE228"/>
    <w:rsid w:val="7984ADA6"/>
    <w:rsid w:val="7B66885C"/>
    <w:rsid w:val="7FB268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C3E2"/>
  <w15:chartTrackingRefBased/>
  <w15:docId w15:val="{53F8828C-0999-451B-B21E-4ED0F023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s-CO"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4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33495"/>
    <w:pPr>
      <w:ind w:left="720"/>
      <w:contextualSpacing/>
    </w:pPr>
  </w:style>
  <w:style w:type="character" w:customStyle="1" w:styleId="PrrafodelistaCar">
    <w:name w:val="Párrafo de lista Car"/>
    <w:link w:val="Prrafodelista"/>
    <w:uiPriority w:val="34"/>
    <w:locked/>
    <w:rsid w:val="00F33495"/>
  </w:style>
  <w:style w:type="paragraph" w:customStyle="1" w:styleId="paragraph">
    <w:name w:val="paragraph"/>
    <w:basedOn w:val="Normal"/>
    <w:rsid w:val="00F33495"/>
    <w:pPr>
      <w:spacing w:before="100" w:beforeAutospacing="1" w:after="100" w:afterAutospacing="1" w:line="240" w:lineRule="auto"/>
      <w:ind w:firstLine="0"/>
      <w:jc w:val="left"/>
    </w:pPr>
    <w:rPr>
      <w:rFonts w:ascii="Times New Roman" w:eastAsia="Times New Roman" w:hAnsi="Times New Roman" w:cs="Times New Roman"/>
      <w:lang w:eastAsia="es-CO"/>
    </w:rPr>
  </w:style>
  <w:style w:type="character" w:styleId="Refdenotaalpie">
    <w:name w:val="footnote reference"/>
    <w:aliases w:val="Texto nota al pie,Pie de Página,FC,Texto de nota al pi,Pie de P_gi"/>
    <w:basedOn w:val="Fuentedeprrafopredeter"/>
    <w:link w:val="4GChar"/>
    <w:unhideWhenUsed/>
    <w:qFormat/>
    <w:rsid w:val="00F3349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F33495"/>
    <w:pPr>
      <w:spacing w:line="240" w:lineRule="auto"/>
      <w:ind w:firstLine="0"/>
    </w:pPr>
    <w:rPr>
      <w:vertAlign w:val="superscript"/>
    </w:rPr>
  </w:style>
  <w:style w:type="paragraph" w:styleId="Textonotapie">
    <w:name w:val="footnote text"/>
    <w:basedOn w:val="Normal"/>
    <w:link w:val="TextonotapieCar"/>
    <w:uiPriority w:val="99"/>
    <w:semiHidden/>
    <w:unhideWhenUsed/>
    <w:rsid w:val="00F33495"/>
    <w:pPr>
      <w:spacing w:line="240" w:lineRule="auto"/>
    </w:pPr>
    <w:rPr>
      <w:sz w:val="20"/>
      <w:szCs w:val="20"/>
    </w:rPr>
  </w:style>
  <w:style w:type="character" w:customStyle="1" w:styleId="TextonotapieCar">
    <w:name w:val="Texto nota pie Car"/>
    <w:basedOn w:val="Fuentedeprrafopredeter"/>
    <w:link w:val="Textonotapie"/>
    <w:uiPriority w:val="99"/>
    <w:semiHidden/>
    <w:rsid w:val="00F33495"/>
    <w:rPr>
      <w:sz w:val="20"/>
      <w:szCs w:val="20"/>
    </w:rPr>
  </w:style>
  <w:style w:type="character" w:customStyle="1" w:styleId="normaltextrun">
    <w:name w:val="normaltextrun"/>
    <w:basedOn w:val="Fuentedeprrafopredeter"/>
    <w:rsid w:val="00085746"/>
  </w:style>
  <w:style w:type="paragraph" w:styleId="Encabezado">
    <w:name w:val="header"/>
    <w:basedOn w:val="Normal"/>
    <w:link w:val="EncabezadoCar"/>
    <w:uiPriority w:val="99"/>
    <w:unhideWhenUsed/>
    <w:rsid w:val="008F66D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F66DC"/>
  </w:style>
  <w:style w:type="paragraph" w:styleId="Piedepgina">
    <w:name w:val="footer"/>
    <w:basedOn w:val="Normal"/>
    <w:link w:val="PiedepginaCar"/>
    <w:uiPriority w:val="99"/>
    <w:unhideWhenUsed/>
    <w:rsid w:val="008F66D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F66DC"/>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3F265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2659"/>
    <w:rPr>
      <w:rFonts w:ascii="Segoe UI" w:hAnsi="Segoe UI" w:cs="Segoe UI"/>
      <w:sz w:val="18"/>
      <w:szCs w:val="18"/>
    </w:rPr>
  </w:style>
  <w:style w:type="character" w:customStyle="1" w:styleId="eop">
    <w:name w:val="eop"/>
    <w:basedOn w:val="Fuentedeprrafopredeter"/>
    <w:rsid w:val="00927F48"/>
  </w:style>
  <w:style w:type="paragraph" w:customStyle="1" w:styleId="Citaslargas">
    <w:name w:val="Citas largas"/>
    <w:basedOn w:val="Normal"/>
    <w:link w:val="CitaslargasCar"/>
    <w:autoRedefine/>
    <w:qFormat/>
    <w:rsid w:val="007619B8"/>
    <w:pPr>
      <w:widowControl w:val="0"/>
      <w:spacing w:line="240" w:lineRule="auto"/>
      <w:ind w:left="709" w:firstLine="0"/>
    </w:pPr>
    <w:rPr>
      <w:rFonts w:ascii="Bookman Old Style" w:eastAsia="Times New Roman" w:hAnsi="Bookman Old Style" w:cs="Estrangelo Edessa"/>
      <w:bCs/>
      <w:szCs w:val="28"/>
      <w:lang w:val="es-ES" w:eastAsia="es-ES"/>
    </w:rPr>
  </w:style>
  <w:style w:type="character" w:customStyle="1" w:styleId="CitaslargasCar">
    <w:name w:val="Citas largas Car"/>
    <w:link w:val="Citaslargas"/>
    <w:rsid w:val="007619B8"/>
    <w:rPr>
      <w:rFonts w:ascii="Bookman Old Style" w:eastAsia="Times New Roman" w:hAnsi="Bookman Old Style" w:cs="Estrangelo Edessa"/>
      <w:bCs/>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6692">
      <w:bodyDiv w:val="1"/>
      <w:marLeft w:val="0"/>
      <w:marRight w:val="0"/>
      <w:marTop w:val="0"/>
      <w:marBottom w:val="0"/>
      <w:divBdr>
        <w:top w:val="none" w:sz="0" w:space="0" w:color="auto"/>
        <w:left w:val="none" w:sz="0" w:space="0" w:color="auto"/>
        <w:bottom w:val="none" w:sz="0" w:space="0" w:color="auto"/>
        <w:right w:val="none" w:sz="0" w:space="0" w:color="auto"/>
      </w:divBdr>
    </w:div>
    <w:div w:id="143814565">
      <w:bodyDiv w:val="1"/>
      <w:marLeft w:val="0"/>
      <w:marRight w:val="0"/>
      <w:marTop w:val="0"/>
      <w:marBottom w:val="0"/>
      <w:divBdr>
        <w:top w:val="none" w:sz="0" w:space="0" w:color="auto"/>
        <w:left w:val="none" w:sz="0" w:space="0" w:color="auto"/>
        <w:bottom w:val="none" w:sz="0" w:space="0" w:color="auto"/>
        <w:right w:val="none" w:sz="0" w:space="0" w:color="auto"/>
      </w:divBdr>
      <w:divsChild>
        <w:div w:id="299118912">
          <w:marLeft w:val="0"/>
          <w:marRight w:val="0"/>
          <w:marTop w:val="0"/>
          <w:marBottom w:val="0"/>
          <w:divBdr>
            <w:top w:val="none" w:sz="0" w:space="0" w:color="auto"/>
            <w:left w:val="none" w:sz="0" w:space="0" w:color="auto"/>
            <w:bottom w:val="none" w:sz="0" w:space="0" w:color="auto"/>
            <w:right w:val="none" w:sz="0" w:space="0" w:color="auto"/>
          </w:divBdr>
        </w:div>
      </w:divsChild>
    </w:div>
    <w:div w:id="1701205871">
      <w:bodyDiv w:val="1"/>
      <w:marLeft w:val="0"/>
      <w:marRight w:val="0"/>
      <w:marTop w:val="0"/>
      <w:marBottom w:val="0"/>
      <w:divBdr>
        <w:top w:val="none" w:sz="0" w:space="0" w:color="auto"/>
        <w:left w:val="none" w:sz="0" w:space="0" w:color="auto"/>
        <w:bottom w:val="none" w:sz="0" w:space="0" w:color="auto"/>
        <w:right w:val="none" w:sz="0" w:space="0" w:color="auto"/>
      </w:divBdr>
      <w:divsChild>
        <w:div w:id="1444811586">
          <w:marLeft w:val="0"/>
          <w:marRight w:val="0"/>
          <w:marTop w:val="0"/>
          <w:marBottom w:val="0"/>
          <w:divBdr>
            <w:top w:val="none" w:sz="0" w:space="0" w:color="auto"/>
            <w:left w:val="none" w:sz="0" w:space="0" w:color="auto"/>
            <w:bottom w:val="none" w:sz="0" w:space="0" w:color="auto"/>
            <w:right w:val="none" w:sz="0" w:space="0" w:color="auto"/>
          </w:divBdr>
        </w:div>
      </w:divsChild>
    </w:div>
    <w:div w:id="186489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ribunalsuperiorpereira.com/Relatoria/2021/SALA_LABORAL/GERMAN_DARIO_GOEZ_VINASCO/07.Julio/Sentencias_Seguridad_Social/IT%20%202018-00074%20%28S%29%20-%20Ineficacia%20traslado%20de%20regimen.%20Deber%20de%20informacion.%20Es%20carga%20de%20las%20AFP.%20Tambien%20les%20incumbe%20la%20carga%20probatoria%20%28AV%29.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ribunalsuperiorpereira.com/Relatoria/2021/SALA_LABORAL/GERMAN_DARIO_GOEZ_VINASCO/07.Julio/Sentencias_Seguridad_Social/IT%20%202018-00074%20%28S%29%20-%20Ineficacia%20traslado%20de%20regimen.%20Deber%20de%20informacion.%20Es%20carga%20de%20las%20AFP.%20Tambien%20les%20incumbe%20la%20carga%20probatoria%20%28AV%29.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ribunalsuperiorpereira.com/Relatoria/2021/SALA_LABORAL/GERMAN_DARIO_GOEZ_VINASCO/07.Julio/Sentencias_Seguridad_Social/IT%20%202018-00074%20%28S%29%20-%20Ineficacia%20traslado%20de%20regimen.%20Deber%20de%20informacion.%20Es%20carga%20de%20las%20AFP.%20Tambien%20les%20incumbe%20la%20carga%20probatoria%20%28AV%29.pdf" TargetMode="External"/><Relationship Id="R06c42a69256c416b"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12a94ab9b0014c9e"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07909-6292-4CBB-8AF5-82F9EDEBC39D}">
  <ds:schemaRefs>
    <ds:schemaRef ds:uri="http://schemas.microsoft.com/sharepoint/v3/contenttype/forms"/>
  </ds:schemaRefs>
</ds:datastoreItem>
</file>

<file path=customXml/itemProps2.xml><?xml version="1.0" encoding="utf-8"?>
<ds:datastoreItem xmlns:ds="http://schemas.openxmlformats.org/officeDocument/2006/customXml" ds:itemID="{FC21065A-14C4-44A7-9742-59864FA66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EC1A7-5005-47D6-8000-AE2467B9C0BC}">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4.xml><?xml version="1.0" encoding="utf-8"?>
<ds:datastoreItem xmlns:ds="http://schemas.openxmlformats.org/officeDocument/2006/customXml" ds:itemID="{1901742F-9372-4D40-8B4C-14854DEC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11024</Words>
  <Characters>62842</Characters>
  <Application>Microsoft Office Word</Application>
  <DocSecurity>0</DocSecurity>
  <Lines>523</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samsung</cp:lastModifiedBy>
  <cp:revision>8</cp:revision>
  <dcterms:created xsi:type="dcterms:W3CDTF">2023-11-17T12:58:00Z</dcterms:created>
  <dcterms:modified xsi:type="dcterms:W3CDTF">2024-01-21T20:41:00Z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