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FBE1C" w14:textId="77777777" w:rsidR="00D84C17" w:rsidRPr="00F721EF" w:rsidRDefault="00D374FC" w:rsidP="00D84C17">
      <w:pPr>
        <w:spacing w:line="240" w:lineRule="auto"/>
        <w:ind w:firstLine="0"/>
        <w:contextualSpacing/>
        <w:rPr>
          <w:rFonts w:eastAsia="Calibri" w:cs="Arial"/>
          <w:b/>
          <w:sz w:val="20"/>
          <w:szCs w:val="22"/>
          <w:lang w:val="es-ES"/>
        </w:rPr>
      </w:pPr>
      <w:r>
        <w:fldChar w:fldCharType="begin"/>
      </w:r>
      <w:r>
        <w:instrText xml:space="preserve"> HYPERLINK "http://tribunalsuperiorpereira.com/Relatoria/2021/SALA_LABORAL/GERMAN_DARIO_GOEZ_VINASCO/07.Julio/Sentencias_Seguridad_Social/IT%20%202018-00074%20%28S%29%20-%20Ineficacia%20traslado%20de%20regimen.%20Deber%20de%20informacion.%20Es%20carga%20de</w:instrText>
      </w:r>
      <w:r>
        <w:instrText xml:space="preserve">%20las%20AFP.%20Tambien%20les%20incumbe%20la%20carga%20probatoria%20%28AV%29.pdf" </w:instrText>
      </w:r>
      <w:r>
        <w:fldChar w:fldCharType="separate"/>
      </w:r>
      <w:r w:rsidR="00D84C17" w:rsidRPr="00F721EF">
        <w:rPr>
          <w:rFonts w:eastAsia="Calibri" w:cs="Arial"/>
          <w:b/>
          <w:sz w:val="20"/>
          <w:szCs w:val="22"/>
        </w:rPr>
        <w:t>INEFICACIA TRASLADO DE RÉGIMEN / DEBERES DE LAS AFP / GESTIONAR LOS INTERESES DE SUS AFILIADOS</w:t>
      </w:r>
      <w:r>
        <w:rPr>
          <w:rFonts w:eastAsia="Calibri" w:cs="Arial"/>
          <w:b/>
          <w:sz w:val="20"/>
          <w:szCs w:val="22"/>
        </w:rPr>
        <w:fldChar w:fldCharType="end"/>
      </w:r>
    </w:p>
    <w:p w14:paraId="604D1D2C" w14:textId="77777777" w:rsidR="00D84C17" w:rsidRPr="00F721EF" w:rsidRDefault="00D84C17" w:rsidP="00D84C17">
      <w:pPr>
        <w:spacing w:line="240" w:lineRule="auto"/>
        <w:ind w:firstLine="0"/>
        <w:contextualSpacing/>
        <w:rPr>
          <w:rFonts w:eastAsia="Calibri" w:cs="Arial"/>
          <w:sz w:val="20"/>
          <w:szCs w:val="22"/>
        </w:rPr>
      </w:pPr>
      <w:r w:rsidRPr="00F721EF">
        <w:rPr>
          <w:rFonts w:eastAsia="Calibri" w:cs="Arial"/>
          <w:sz w:val="20"/>
          <w:szCs w:val="22"/>
        </w:rPr>
        <w:t xml:space="preserve">… es de advertir que, cuando se pretende por vía judicial la ineficacia del traslado de un afiliado del RPM al </w:t>
      </w:r>
      <w:proofErr w:type="spellStart"/>
      <w:r w:rsidRPr="00F721EF">
        <w:rPr>
          <w:rFonts w:eastAsia="Calibri" w:cs="Arial"/>
          <w:sz w:val="20"/>
          <w:szCs w:val="22"/>
        </w:rPr>
        <w:t>RAIS</w:t>
      </w:r>
      <w:proofErr w:type="spellEnd"/>
      <w:r w:rsidRPr="00F721EF">
        <w:rPr>
          <w:rFonts w:eastAsia="Calibri" w:cs="Arial"/>
          <w:sz w:val="20"/>
          <w:szCs w:val="22"/>
        </w:rPr>
        <w:t>,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09651B7F" w14:textId="77777777" w:rsidR="00D84C17" w:rsidRPr="00F721EF" w:rsidRDefault="00D84C17" w:rsidP="00D84C17">
      <w:pPr>
        <w:spacing w:line="240" w:lineRule="auto"/>
        <w:ind w:firstLine="0"/>
        <w:contextualSpacing/>
        <w:rPr>
          <w:rFonts w:eastAsia="Calibri" w:cs="Arial"/>
          <w:sz w:val="20"/>
          <w:szCs w:val="22"/>
        </w:rPr>
      </w:pPr>
    </w:p>
    <w:p w14:paraId="06DC89F1" w14:textId="77777777" w:rsidR="00D84C17" w:rsidRPr="00F721EF" w:rsidRDefault="00D374FC" w:rsidP="00D84C17">
      <w:pPr>
        <w:spacing w:line="240" w:lineRule="auto"/>
        <w:ind w:firstLine="0"/>
        <w:contextualSpacing/>
        <w:rPr>
          <w:rFonts w:eastAsia="Calibri" w:cs="Arial"/>
          <w:b/>
          <w:sz w:val="20"/>
          <w:szCs w:val="22"/>
        </w:rPr>
      </w:pPr>
      <w:hyperlink r:id="rId11" w:history="1">
        <w:r w:rsidR="00D84C17" w:rsidRPr="00F721EF">
          <w:rPr>
            <w:rFonts w:eastAsia="Calibri" w:cs="Arial"/>
            <w:b/>
            <w:sz w:val="20"/>
            <w:szCs w:val="22"/>
          </w:rPr>
          <w:t>INEFICACIA TRASLADO DE RÉGIMEN / OBLIGACIÓN AFP / SUMINISTRAR INFORMACIÓN COMPLETA Y COMPRENSIBLE</w:t>
        </w:r>
      </w:hyperlink>
    </w:p>
    <w:p w14:paraId="55A49BDF" w14:textId="77777777" w:rsidR="00D84C17" w:rsidRPr="00F721EF" w:rsidRDefault="00D84C17" w:rsidP="00D84C17">
      <w:pPr>
        <w:spacing w:line="240" w:lineRule="auto"/>
        <w:ind w:firstLine="0"/>
        <w:contextualSpacing/>
        <w:rPr>
          <w:rFonts w:eastAsia="Calibri" w:cs="Arial"/>
          <w:sz w:val="20"/>
          <w:szCs w:val="22"/>
        </w:rPr>
      </w:pPr>
      <w:r w:rsidRPr="00F721EF">
        <w:rPr>
          <w:rFonts w:eastAsia="Calibri" w:cs="Arial"/>
          <w:sz w:val="20"/>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26FC9221" w14:textId="77777777" w:rsidR="00D84C17" w:rsidRPr="00F721EF" w:rsidRDefault="00D84C17" w:rsidP="00D84C17">
      <w:pPr>
        <w:spacing w:line="240" w:lineRule="auto"/>
        <w:ind w:firstLine="0"/>
        <w:contextualSpacing/>
        <w:rPr>
          <w:rFonts w:eastAsia="Calibri" w:cs="Arial"/>
          <w:sz w:val="20"/>
          <w:szCs w:val="22"/>
        </w:rPr>
      </w:pPr>
    </w:p>
    <w:p w14:paraId="427EC6D8" w14:textId="77777777" w:rsidR="00D84C17" w:rsidRPr="00F721EF" w:rsidRDefault="00D374FC" w:rsidP="00D84C17">
      <w:pPr>
        <w:spacing w:line="240" w:lineRule="auto"/>
        <w:ind w:firstLine="0"/>
        <w:contextualSpacing/>
        <w:rPr>
          <w:rFonts w:eastAsia="Calibri" w:cs="Arial"/>
          <w:b/>
          <w:sz w:val="20"/>
          <w:szCs w:val="22"/>
          <w:lang w:val="es-ES"/>
        </w:rPr>
      </w:pPr>
      <w:hyperlink r:id="rId12" w:history="1">
        <w:r w:rsidR="00D84C17" w:rsidRPr="00F721EF">
          <w:rPr>
            <w:rFonts w:eastAsia="Calibri" w:cs="Arial"/>
            <w:b/>
            <w:sz w:val="20"/>
            <w:szCs w:val="22"/>
          </w:rPr>
          <w:t>INEFICACIA TRASLADO DE RÉGIMEN / CARGA PROBATORIA DE LAS AFP / DEMOSTRAR QUE CUMPLIERON DEBER</w:t>
        </w:r>
      </w:hyperlink>
      <w:r w:rsidR="00D84C17" w:rsidRPr="00F721EF">
        <w:rPr>
          <w:rFonts w:eastAsia="Calibri" w:cs="Arial"/>
          <w:b/>
          <w:sz w:val="20"/>
          <w:szCs w:val="22"/>
        </w:rPr>
        <w:t xml:space="preserve"> EL DEBER DE INFORMACIÓN</w:t>
      </w:r>
    </w:p>
    <w:p w14:paraId="149F118E" w14:textId="77777777" w:rsidR="00D84C17" w:rsidRPr="00F721EF" w:rsidRDefault="00D84C17" w:rsidP="00D84C17">
      <w:pPr>
        <w:spacing w:line="240" w:lineRule="auto"/>
        <w:ind w:firstLine="0"/>
        <w:contextualSpacing/>
        <w:rPr>
          <w:rFonts w:eastAsia="Calibri" w:cs="Arial"/>
          <w:sz w:val="22"/>
          <w:szCs w:val="22"/>
        </w:rPr>
      </w:pPr>
      <w:r w:rsidRPr="00F721EF">
        <w:rPr>
          <w:rFonts w:eastAsia="Calibri" w:cs="Arial"/>
          <w:sz w:val="20"/>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35713A32" w14:textId="77777777" w:rsidR="00D84C17" w:rsidRPr="00FB29B9" w:rsidRDefault="00D84C17" w:rsidP="00D84C17">
      <w:pPr>
        <w:spacing w:line="240" w:lineRule="auto"/>
        <w:ind w:firstLine="0"/>
        <w:rPr>
          <w:rFonts w:cs="Arial"/>
          <w:sz w:val="20"/>
        </w:rPr>
      </w:pPr>
    </w:p>
    <w:p w14:paraId="53D26030" w14:textId="77777777" w:rsidR="00D84C17" w:rsidRPr="00FB29B9" w:rsidRDefault="00D84C17" w:rsidP="00D84C17">
      <w:pPr>
        <w:spacing w:line="240" w:lineRule="auto"/>
        <w:ind w:firstLine="0"/>
        <w:rPr>
          <w:rFonts w:cs="Arial"/>
          <w:sz w:val="20"/>
        </w:rPr>
      </w:pPr>
    </w:p>
    <w:p w14:paraId="48C0EAFA" w14:textId="77777777" w:rsidR="00D84C17" w:rsidRPr="00FB29B9" w:rsidRDefault="00D84C17" w:rsidP="00D84C17">
      <w:pPr>
        <w:spacing w:line="240" w:lineRule="auto"/>
        <w:ind w:firstLine="0"/>
        <w:rPr>
          <w:rFonts w:cs="Arial"/>
          <w:sz w:val="20"/>
        </w:rPr>
      </w:pPr>
    </w:p>
    <w:p w14:paraId="17B356C1" w14:textId="77777777" w:rsidR="003073FB" w:rsidRPr="00A242A8" w:rsidRDefault="003073FB" w:rsidP="00EF06E0">
      <w:pPr>
        <w:spacing w:line="276" w:lineRule="auto"/>
        <w:jc w:val="center"/>
        <w:rPr>
          <w:rFonts w:ascii="Bookman Old Style" w:hAnsi="Bookman Old Style" w:cs="Arial"/>
          <w:b/>
          <w:bCs/>
        </w:rPr>
      </w:pPr>
      <w:r w:rsidRPr="00A242A8">
        <w:rPr>
          <w:rFonts w:ascii="Bookman Old Style" w:hAnsi="Bookman Old Style" w:cs="Arial"/>
          <w:b/>
          <w:bCs/>
        </w:rPr>
        <w:t>REPÚBLICA DE COLOMBIA</w:t>
      </w:r>
    </w:p>
    <w:p w14:paraId="5613DBDD" w14:textId="77777777" w:rsidR="003073FB" w:rsidRPr="00A242A8" w:rsidRDefault="003073FB" w:rsidP="00EF06E0">
      <w:pPr>
        <w:spacing w:line="276" w:lineRule="auto"/>
        <w:jc w:val="center"/>
        <w:rPr>
          <w:rFonts w:ascii="Bookman Old Style" w:hAnsi="Bookman Old Style" w:cs="Arial"/>
          <w:b/>
          <w:bCs/>
        </w:rPr>
      </w:pPr>
      <w:r w:rsidRPr="00A242A8">
        <w:rPr>
          <w:rFonts w:ascii="Bookman Old Style" w:hAnsi="Bookman Old Style" w:cs="Arial"/>
          <w:b/>
          <w:bCs/>
        </w:rPr>
        <w:t>RAMA JUDICIAL DEL PODER PÚBLICO</w:t>
      </w:r>
    </w:p>
    <w:p w14:paraId="52E69E80" w14:textId="77777777" w:rsidR="003073FB" w:rsidRPr="00A242A8" w:rsidRDefault="003073FB" w:rsidP="00EF06E0">
      <w:pPr>
        <w:spacing w:line="276" w:lineRule="auto"/>
        <w:jc w:val="center"/>
        <w:rPr>
          <w:rFonts w:ascii="Bookman Old Style" w:hAnsi="Bookman Old Style" w:cs="Arial"/>
          <w:b/>
          <w:bCs/>
        </w:rPr>
      </w:pPr>
      <w:r w:rsidRPr="00A242A8">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A242A8">
        <w:rPr>
          <w:rFonts w:ascii="Bookman Old Style" w:hAnsi="Bookman Old Style" w:cs="Arial"/>
          <w:b/>
          <w:bCs/>
        </w:rPr>
        <w:br w:type="textWrapping" w:clear="all"/>
        <w:t>TRIBUNAL SUPERIOR DEL DISTRITO JUDICIAL DE PEREIRA</w:t>
      </w:r>
    </w:p>
    <w:p w14:paraId="745B7FF2" w14:textId="77777777" w:rsidR="003073FB" w:rsidRPr="00A242A8" w:rsidRDefault="003073FB" w:rsidP="00EF06E0">
      <w:pPr>
        <w:spacing w:line="276" w:lineRule="auto"/>
        <w:jc w:val="center"/>
        <w:rPr>
          <w:rFonts w:ascii="Bookman Old Style" w:hAnsi="Bookman Old Style" w:cs="Arial"/>
          <w:b/>
          <w:bCs/>
        </w:rPr>
      </w:pPr>
      <w:r w:rsidRPr="00A242A8">
        <w:rPr>
          <w:rFonts w:ascii="Bookman Old Style" w:hAnsi="Bookman Old Style" w:cs="Arial"/>
          <w:b/>
          <w:bCs/>
        </w:rPr>
        <w:t>SALA DE DECISIÓN LABORAL</w:t>
      </w:r>
    </w:p>
    <w:p w14:paraId="754852E2" w14:textId="77777777" w:rsidR="003073FB" w:rsidRPr="00A242A8" w:rsidRDefault="003073FB" w:rsidP="00EF06E0">
      <w:pPr>
        <w:spacing w:line="276" w:lineRule="auto"/>
        <w:rPr>
          <w:rFonts w:ascii="Bookman Old Style" w:hAnsi="Bookman Old Style" w:cs="Arial"/>
        </w:rPr>
      </w:pPr>
    </w:p>
    <w:p w14:paraId="72A09E8F" w14:textId="77777777" w:rsidR="003073FB" w:rsidRPr="00A242A8" w:rsidRDefault="003073FB" w:rsidP="00EF06E0">
      <w:pPr>
        <w:spacing w:line="276" w:lineRule="auto"/>
        <w:ind w:firstLine="0"/>
        <w:jc w:val="center"/>
        <w:rPr>
          <w:rFonts w:ascii="Bookman Old Style" w:hAnsi="Bookman Old Style" w:cs="Arial"/>
        </w:rPr>
      </w:pPr>
      <w:r w:rsidRPr="00A242A8">
        <w:rPr>
          <w:rFonts w:ascii="Bookman Old Style" w:hAnsi="Bookman Old Style" w:cs="Arial"/>
          <w:b/>
          <w:bCs/>
        </w:rPr>
        <w:t xml:space="preserve">Dr. GERMÁN DARÍO </w:t>
      </w:r>
      <w:proofErr w:type="spellStart"/>
      <w:r w:rsidRPr="00A242A8">
        <w:rPr>
          <w:rFonts w:ascii="Bookman Old Style" w:hAnsi="Bookman Old Style" w:cs="Arial"/>
          <w:b/>
          <w:bCs/>
        </w:rPr>
        <w:t>GÓEZ</w:t>
      </w:r>
      <w:proofErr w:type="spellEnd"/>
      <w:r w:rsidRPr="00A242A8">
        <w:rPr>
          <w:rFonts w:ascii="Bookman Old Style" w:hAnsi="Bookman Old Style" w:cs="Arial"/>
          <w:b/>
          <w:bCs/>
        </w:rPr>
        <w:t xml:space="preserve"> </w:t>
      </w:r>
      <w:proofErr w:type="spellStart"/>
      <w:r w:rsidRPr="00A242A8">
        <w:rPr>
          <w:rFonts w:ascii="Bookman Old Style" w:hAnsi="Bookman Old Style" w:cs="Arial"/>
          <w:b/>
          <w:bCs/>
        </w:rPr>
        <w:t>VINASCO</w:t>
      </w:r>
      <w:proofErr w:type="spellEnd"/>
    </w:p>
    <w:p w14:paraId="16EFDAE6" w14:textId="77777777" w:rsidR="003073FB" w:rsidRPr="00A242A8" w:rsidRDefault="003073FB" w:rsidP="00EF06E0">
      <w:pPr>
        <w:spacing w:line="276" w:lineRule="auto"/>
        <w:ind w:firstLine="0"/>
        <w:jc w:val="center"/>
        <w:rPr>
          <w:rFonts w:ascii="Bookman Old Style" w:hAnsi="Bookman Old Style" w:cs="Arial"/>
        </w:rPr>
      </w:pPr>
      <w:r w:rsidRPr="00A242A8">
        <w:rPr>
          <w:rFonts w:ascii="Bookman Old Style" w:hAnsi="Bookman Old Style" w:cs="Arial"/>
        </w:rPr>
        <w:t>Magistrado Ponente</w:t>
      </w:r>
    </w:p>
    <w:p w14:paraId="0AAD6247" w14:textId="77777777" w:rsidR="003073FB" w:rsidRPr="00427387" w:rsidRDefault="003073FB" w:rsidP="00427387">
      <w:pPr>
        <w:spacing w:line="276" w:lineRule="auto"/>
        <w:ind w:firstLine="0"/>
        <w:jc w:val="center"/>
        <w:rPr>
          <w:rFonts w:ascii="Bookman Old Style" w:hAnsi="Bookman Old Style" w:cs="Arial"/>
        </w:rPr>
      </w:pPr>
    </w:p>
    <w:tbl>
      <w:tblPr>
        <w:tblW w:w="414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1"/>
        <w:gridCol w:w="5901"/>
      </w:tblGrid>
      <w:tr w:rsidR="003073FB" w:rsidRPr="00582E08" w14:paraId="70B43AF3" w14:textId="77777777" w:rsidTr="00582E08">
        <w:tc>
          <w:tcPr>
            <w:tcW w:w="1072" w:type="pct"/>
            <w:shd w:val="clear" w:color="000000" w:fill="FFFFFF"/>
          </w:tcPr>
          <w:p w14:paraId="38A00487"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bCs/>
                <w:sz w:val="22"/>
                <w:lang w:eastAsia="es-ES"/>
              </w:rPr>
              <w:t>Proceso:</w:t>
            </w:r>
          </w:p>
        </w:tc>
        <w:tc>
          <w:tcPr>
            <w:tcW w:w="3928" w:type="pct"/>
            <w:shd w:val="clear" w:color="000000" w:fill="FFFFFF"/>
            <w:vAlign w:val="center"/>
            <w:hideMark/>
          </w:tcPr>
          <w:p w14:paraId="6DDA7480"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eastAsia="Times New Roman" w:hAnsi="Bookman Old Style" w:cs="Arial"/>
                <w:color w:val="000000"/>
                <w:sz w:val="22"/>
                <w:lang w:val="es-ES_tradnl" w:eastAsia="es-CO"/>
              </w:rPr>
              <w:t>Ordinario Laboral</w:t>
            </w:r>
          </w:p>
        </w:tc>
      </w:tr>
      <w:tr w:rsidR="003073FB" w:rsidRPr="00582E08" w14:paraId="4BBBDC7E" w14:textId="77777777" w:rsidTr="00582E08">
        <w:tc>
          <w:tcPr>
            <w:tcW w:w="1072" w:type="pct"/>
            <w:shd w:val="clear" w:color="000000" w:fill="FFFFFF"/>
          </w:tcPr>
          <w:p w14:paraId="4D465E35"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bCs/>
                <w:sz w:val="22"/>
                <w:lang w:eastAsia="es-ES"/>
              </w:rPr>
              <w:t>Radicado:</w:t>
            </w:r>
          </w:p>
        </w:tc>
        <w:tc>
          <w:tcPr>
            <w:tcW w:w="3928" w:type="pct"/>
            <w:shd w:val="clear" w:color="000000" w:fill="FFFFFF"/>
            <w:vAlign w:val="center"/>
          </w:tcPr>
          <w:p w14:paraId="1F9900AE" w14:textId="7742D52E" w:rsidR="003073FB" w:rsidRPr="00582E08" w:rsidRDefault="00A242B4" w:rsidP="008E5756">
            <w:pPr>
              <w:spacing w:line="240" w:lineRule="auto"/>
              <w:ind w:firstLine="0"/>
              <w:jc w:val="left"/>
              <w:rPr>
                <w:rFonts w:ascii="Bookman Old Style" w:eastAsia="Times New Roman" w:hAnsi="Bookman Old Style" w:cs="Arial"/>
                <w:sz w:val="22"/>
                <w:lang w:eastAsia="es-CO"/>
              </w:rPr>
            </w:pPr>
            <w:r w:rsidRPr="00582E08">
              <w:rPr>
                <w:rFonts w:ascii="Bookman Old Style" w:eastAsia="Times New Roman" w:hAnsi="Bookman Old Style" w:cs="Arial"/>
                <w:sz w:val="22"/>
                <w:lang w:eastAsia="es-CO"/>
              </w:rPr>
              <w:t>66001310500120210014801</w:t>
            </w:r>
          </w:p>
        </w:tc>
      </w:tr>
      <w:tr w:rsidR="003073FB" w:rsidRPr="00582E08" w14:paraId="46E0C80B" w14:textId="77777777" w:rsidTr="00582E08">
        <w:tc>
          <w:tcPr>
            <w:tcW w:w="1072" w:type="pct"/>
            <w:shd w:val="clear" w:color="000000" w:fill="FFFFFF"/>
          </w:tcPr>
          <w:p w14:paraId="010699FB"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bCs/>
                <w:sz w:val="22"/>
                <w:lang w:eastAsia="es-ES"/>
              </w:rPr>
              <w:t>Demandante:</w:t>
            </w:r>
          </w:p>
        </w:tc>
        <w:tc>
          <w:tcPr>
            <w:tcW w:w="3928" w:type="pct"/>
            <w:shd w:val="clear" w:color="000000" w:fill="FFFFFF"/>
            <w:vAlign w:val="center"/>
          </w:tcPr>
          <w:p w14:paraId="754DDB3E" w14:textId="72224429" w:rsidR="003073FB" w:rsidRPr="00582E08" w:rsidRDefault="00E15A91" w:rsidP="008E5756">
            <w:pPr>
              <w:spacing w:line="240" w:lineRule="auto"/>
              <w:ind w:firstLine="0"/>
              <w:jc w:val="left"/>
              <w:rPr>
                <w:rFonts w:ascii="Bookman Old Style" w:eastAsia="Times New Roman" w:hAnsi="Bookman Old Style" w:cs="Arial"/>
                <w:sz w:val="22"/>
                <w:lang w:eastAsia="es-CO"/>
              </w:rPr>
            </w:pPr>
            <w:r w:rsidRPr="00582E08">
              <w:rPr>
                <w:rFonts w:ascii="Bookman Old Style" w:eastAsia="Times New Roman" w:hAnsi="Bookman Old Style" w:cs="Arial"/>
                <w:sz w:val="22"/>
                <w:lang w:eastAsia="es-CO"/>
              </w:rPr>
              <w:t xml:space="preserve">Carlos Alberto </w:t>
            </w:r>
            <w:proofErr w:type="spellStart"/>
            <w:r w:rsidRPr="00582E08">
              <w:rPr>
                <w:rFonts w:ascii="Bookman Old Style" w:eastAsia="Times New Roman" w:hAnsi="Bookman Old Style" w:cs="Arial"/>
                <w:sz w:val="22"/>
                <w:lang w:eastAsia="es-CO"/>
              </w:rPr>
              <w:t>Alzate</w:t>
            </w:r>
            <w:proofErr w:type="spellEnd"/>
            <w:r w:rsidRPr="00582E08">
              <w:rPr>
                <w:rFonts w:ascii="Bookman Old Style" w:eastAsia="Times New Roman" w:hAnsi="Bookman Old Style" w:cs="Arial"/>
                <w:sz w:val="22"/>
                <w:lang w:eastAsia="es-CO"/>
              </w:rPr>
              <w:t xml:space="preserve"> Giraldo</w:t>
            </w:r>
          </w:p>
        </w:tc>
      </w:tr>
      <w:tr w:rsidR="003073FB" w:rsidRPr="00582E08" w14:paraId="4940F96F" w14:textId="77777777" w:rsidTr="00582E08">
        <w:tc>
          <w:tcPr>
            <w:tcW w:w="1072" w:type="pct"/>
            <w:shd w:val="clear" w:color="000000" w:fill="FFFFFF"/>
          </w:tcPr>
          <w:p w14:paraId="38673061"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bCs/>
                <w:sz w:val="22"/>
                <w:lang w:eastAsia="es-ES"/>
              </w:rPr>
              <w:t>Demandado:</w:t>
            </w:r>
          </w:p>
        </w:tc>
        <w:tc>
          <w:tcPr>
            <w:tcW w:w="3928" w:type="pct"/>
            <w:shd w:val="clear" w:color="000000" w:fill="FFFFFF"/>
            <w:vAlign w:val="center"/>
          </w:tcPr>
          <w:p w14:paraId="69B7BFAB" w14:textId="2F144DD6" w:rsidR="003073FB" w:rsidRPr="00582E08" w:rsidRDefault="00E15A91" w:rsidP="008E5756">
            <w:pPr>
              <w:spacing w:line="240" w:lineRule="auto"/>
              <w:ind w:firstLine="0"/>
              <w:jc w:val="left"/>
              <w:rPr>
                <w:rFonts w:ascii="Bookman Old Style" w:eastAsia="Times New Roman" w:hAnsi="Bookman Old Style" w:cs="Arial"/>
                <w:sz w:val="22"/>
                <w:lang w:eastAsia="es-CO"/>
              </w:rPr>
            </w:pPr>
            <w:r w:rsidRPr="00582E08">
              <w:rPr>
                <w:rFonts w:ascii="Bookman Old Style" w:eastAsia="Times New Roman" w:hAnsi="Bookman Old Style" w:cs="Arial"/>
                <w:noProof/>
                <w:sz w:val="22"/>
                <w:lang w:eastAsia="es-CO"/>
              </w:rPr>
              <w:t xml:space="preserve">Colpensiones y Porvenir </w:t>
            </w:r>
            <w:r w:rsidR="00797779" w:rsidRPr="00582E08">
              <w:rPr>
                <w:rFonts w:ascii="Bookman Old Style" w:eastAsia="Times New Roman" w:hAnsi="Bookman Old Style" w:cs="Arial"/>
                <w:noProof/>
                <w:sz w:val="22"/>
                <w:lang w:eastAsia="es-CO"/>
              </w:rPr>
              <w:t>S.A.</w:t>
            </w:r>
          </w:p>
        </w:tc>
      </w:tr>
      <w:tr w:rsidR="003073FB" w:rsidRPr="00582E08" w14:paraId="7D1AC974" w14:textId="77777777" w:rsidTr="00582E08">
        <w:tc>
          <w:tcPr>
            <w:tcW w:w="1072" w:type="pct"/>
            <w:shd w:val="clear" w:color="000000" w:fill="FFFFFF"/>
          </w:tcPr>
          <w:p w14:paraId="5CADE9E5"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bCs/>
                <w:sz w:val="22"/>
                <w:lang w:eastAsia="es-ES"/>
              </w:rPr>
              <w:t>Asunto:</w:t>
            </w:r>
          </w:p>
        </w:tc>
        <w:tc>
          <w:tcPr>
            <w:tcW w:w="3928" w:type="pct"/>
            <w:shd w:val="clear" w:color="000000" w:fill="FFFFFF"/>
            <w:hideMark/>
          </w:tcPr>
          <w:p w14:paraId="16F2D67A" w14:textId="5E83C94E"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sz w:val="22"/>
                <w:lang w:eastAsia="es-CO"/>
              </w:rPr>
              <w:t>Apelación y Consulta Sentencia (</w:t>
            </w:r>
            <w:r w:rsidR="00A242B4" w:rsidRPr="00582E08">
              <w:rPr>
                <w:rFonts w:ascii="Bookman Old Style" w:hAnsi="Bookman Old Style" w:cs="Arial"/>
                <w:sz w:val="22"/>
                <w:lang w:eastAsia="es-CO"/>
              </w:rPr>
              <w:t>10</w:t>
            </w:r>
            <w:r w:rsidR="00EF06E0" w:rsidRPr="00582E08">
              <w:rPr>
                <w:rFonts w:ascii="Bookman Old Style" w:hAnsi="Bookman Old Style" w:cs="Arial"/>
                <w:sz w:val="22"/>
                <w:lang w:eastAsia="es-CO"/>
              </w:rPr>
              <w:t xml:space="preserve"> de </w:t>
            </w:r>
            <w:r w:rsidR="00A242B4" w:rsidRPr="00582E08">
              <w:rPr>
                <w:rFonts w:ascii="Bookman Old Style" w:hAnsi="Bookman Old Style" w:cs="Arial"/>
                <w:sz w:val="22"/>
                <w:lang w:eastAsia="es-CO"/>
              </w:rPr>
              <w:t>julio</w:t>
            </w:r>
            <w:r w:rsidR="00EB6BBE" w:rsidRPr="00582E08">
              <w:rPr>
                <w:rFonts w:ascii="Bookman Old Style" w:hAnsi="Bookman Old Style" w:cs="Arial"/>
                <w:sz w:val="22"/>
                <w:lang w:eastAsia="es-CO"/>
              </w:rPr>
              <w:t xml:space="preserve"> de</w:t>
            </w:r>
            <w:r w:rsidR="004D37CD" w:rsidRPr="00582E08">
              <w:rPr>
                <w:rFonts w:ascii="Bookman Old Style" w:hAnsi="Bookman Old Style" w:cs="Arial"/>
                <w:sz w:val="22"/>
                <w:lang w:eastAsia="es-CO"/>
              </w:rPr>
              <w:t xml:space="preserve"> 202</w:t>
            </w:r>
            <w:r w:rsidR="00EF06E0" w:rsidRPr="00582E08">
              <w:rPr>
                <w:rFonts w:ascii="Bookman Old Style" w:hAnsi="Bookman Old Style" w:cs="Arial"/>
                <w:sz w:val="22"/>
                <w:lang w:eastAsia="es-CO"/>
              </w:rPr>
              <w:t>3</w:t>
            </w:r>
            <w:r w:rsidRPr="00582E08">
              <w:rPr>
                <w:rFonts w:ascii="Bookman Old Style" w:hAnsi="Bookman Old Style" w:cs="Arial"/>
                <w:sz w:val="22"/>
                <w:lang w:eastAsia="es-CO"/>
              </w:rPr>
              <w:t>)</w:t>
            </w:r>
          </w:p>
        </w:tc>
      </w:tr>
      <w:tr w:rsidR="003073FB" w:rsidRPr="00582E08" w14:paraId="0D4E96D6" w14:textId="77777777" w:rsidTr="00582E08">
        <w:tc>
          <w:tcPr>
            <w:tcW w:w="1072" w:type="pct"/>
            <w:shd w:val="clear" w:color="000000" w:fill="FFFFFF"/>
          </w:tcPr>
          <w:p w14:paraId="07AF5DC2"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bCs/>
                <w:sz w:val="22"/>
                <w:lang w:eastAsia="es-ES"/>
              </w:rPr>
              <w:t>Juzgado:</w:t>
            </w:r>
          </w:p>
        </w:tc>
        <w:tc>
          <w:tcPr>
            <w:tcW w:w="3928" w:type="pct"/>
            <w:shd w:val="clear" w:color="000000" w:fill="FFFFFF"/>
            <w:hideMark/>
          </w:tcPr>
          <w:p w14:paraId="6DAC7D44" w14:textId="2F594F64" w:rsidR="003073FB" w:rsidRPr="00582E08" w:rsidRDefault="00EF06E0"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noProof/>
                <w:sz w:val="22"/>
                <w:lang w:eastAsia="es-CO"/>
              </w:rPr>
              <w:t>Primero</w:t>
            </w:r>
            <w:r w:rsidR="00EB6BBE" w:rsidRPr="00582E08">
              <w:rPr>
                <w:rFonts w:ascii="Bookman Old Style" w:hAnsi="Bookman Old Style" w:cs="Arial"/>
                <w:noProof/>
                <w:sz w:val="22"/>
                <w:lang w:eastAsia="es-CO"/>
              </w:rPr>
              <w:t xml:space="preserve"> </w:t>
            </w:r>
            <w:r w:rsidR="003D7454" w:rsidRPr="00582E08">
              <w:rPr>
                <w:rFonts w:ascii="Bookman Old Style" w:hAnsi="Bookman Old Style" w:cs="Arial"/>
                <w:sz w:val="22"/>
                <w:lang w:eastAsia="es-CO"/>
              </w:rPr>
              <w:t>Laboral d</w:t>
            </w:r>
            <w:r w:rsidR="00315036" w:rsidRPr="00582E08">
              <w:rPr>
                <w:rFonts w:ascii="Bookman Old Style" w:hAnsi="Bookman Old Style" w:cs="Arial"/>
                <w:sz w:val="22"/>
                <w:lang w:eastAsia="es-CO"/>
              </w:rPr>
              <w:t xml:space="preserve">el Circuito </w:t>
            </w:r>
            <w:r w:rsidR="003D7454" w:rsidRPr="00582E08">
              <w:rPr>
                <w:rFonts w:ascii="Bookman Old Style" w:hAnsi="Bookman Old Style" w:cs="Arial"/>
                <w:sz w:val="22"/>
                <w:lang w:eastAsia="es-CO"/>
              </w:rPr>
              <w:t>d</w:t>
            </w:r>
            <w:r w:rsidR="00315036" w:rsidRPr="00582E08">
              <w:rPr>
                <w:rFonts w:ascii="Bookman Old Style" w:hAnsi="Bookman Old Style" w:cs="Arial"/>
                <w:sz w:val="22"/>
                <w:lang w:eastAsia="es-CO"/>
              </w:rPr>
              <w:t>e Pereira</w:t>
            </w:r>
          </w:p>
        </w:tc>
      </w:tr>
      <w:tr w:rsidR="003073FB" w:rsidRPr="00582E08" w14:paraId="107F789A" w14:textId="77777777" w:rsidTr="00582E08">
        <w:tc>
          <w:tcPr>
            <w:tcW w:w="1072" w:type="pct"/>
            <w:shd w:val="clear" w:color="000000" w:fill="FFFFFF"/>
          </w:tcPr>
          <w:p w14:paraId="1AFD5068" w14:textId="77777777" w:rsidR="003073FB" w:rsidRPr="00582E08" w:rsidRDefault="003073FB" w:rsidP="008E5756">
            <w:pPr>
              <w:spacing w:line="240" w:lineRule="auto"/>
              <w:ind w:firstLine="0"/>
              <w:jc w:val="left"/>
              <w:rPr>
                <w:rFonts w:ascii="Bookman Old Style" w:hAnsi="Bookman Old Style" w:cs="Arial"/>
                <w:bCs/>
                <w:sz w:val="22"/>
                <w:lang w:eastAsia="es-ES"/>
              </w:rPr>
            </w:pPr>
            <w:r w:rsidRPr="00582E08">
              <w:rPr>
                <w:rFonts w:ascii="Bookman Old Style" w:hAnsi="Bookman Old Style" w:cs="Arial"/>
                <w:bCs/>
                <w:sz w:val="22"/>
                <w:lang w:eastAsia="es-ES"/>
              </w:rPr>
              <w:t>Tema:</w:t>
            </w:r>
          </w:p>
        </w:tc>
        <w:tc>
          <w:tcPr>
            <w:tcW w:w="3928" w:type="pct"/>
            <w:shd w:val="clear" w:color="000000" w:fill="FFFFFF"/>
          </w:tcPr>
          <w:p w14:paraId="03027642" w14:textId="77777777" w:rsidR="003073FB" w:rsidRPr="00582E08" w:rsidRDefault="003073FB" w:rsidP="008E5756">
            <w:pPr>
              <w:spacing w:line="240" w:lineRule="auto"/>
              <w:ind w:firstLine="0"/>
              <w:jc w:val="left"/>
              <w:rPr>
                <w:rFonts w:ascii="Bookman Old Style" w:eastAsia="Times New Roman" w:hAnsi="Bookman Old Style" w:cs="Arial"/>
                <w:color w:val="000000"/>
                <w:sz w:val="22"/>
                <w:lang w:val="es-ES_tradnl" w:eastAsia="es-CO"/>
              </w:rPr>
            </w:pPr>
            <w:r w:rsidRPr="00582E08">
              <w:rPr>
                <w:rFonts w:ascii="Bookman Old Style" w:hAnsi="Bookman Old Style" w:cs="Arial"/>
                <w:sz w:val="22"/>
                <w:lang w:eastAsia="es-CO"/>
              </w:rPr>
              <w:t>Ineficacia de traslado</w:t>
            </w:r>
          </w:p>
        </w:tc>
      </w:tr>
    </w:tbl>
    <w:p w14:paraId="05426F63" w14:textId="77777777" w:rsidR="003073FB" w:rsidRPr="00427387" w:rsidRDefault="003073FB" w:rsidP="00427387">
      <w:pPr>
        <w:spacing w:line="276" w:lineRule="auto"/>
        <w:ind w:firstLine="0"/>
        <w:rPr>
          <w:rFonts w:ascii="Bookman Old Style" w:hAnsi="Bookman Old Style" w:cs="Arial"/>
        </w:rPr>
      </w:pPr>
    </w:p>
    <w:p w14:paraId="20DCA921" w14:textId="77777777" w:rsidR="009B0A6B" w:rsidRPr="00427387" w:rsidRDefault="009B0A6B" w:rsidP="00427387">
      <w:pPr>
        <w:spacing w:line="276" w:lineRule="auto"/>
        <w:jc w:val="center"/>
        <w:rPr>
          <w:rFonts w:ascii="Bookman Old Style" w:hAnsi="Bookman Old Style"/>
          <w:b/>
          <w:color w:val="000000"/>
        </w:rPr>
      </w:pPr>
      <w:r w:rsidRPr="00427387">
        <w:rPr>
          <w:rFonts w:ascii="Bookman Old Style" w:hAnsi="Bookman Old Style"/>
          <w:b/>
          <w:color w:val="000000"/>
        </w:rPr>
        <w:t>APROBADO POR ACTA No.</w:t>
      </w:r>
      <w:r w:rsidRPr="00427387">
        <w:rPr>
          <w:rFonts w:ascii="Bookman Old Style" w:hAnsi="Bookman Old Style"/>
          <w:b/>
        </w:rPr>
        <w:t xml:space="preserve"> 173 DEL 31 DE OCTUBRE DE 2023</w:t>
      </w:r>
    </w:p>
    <w:p w14:paraId="71418D6A" w14:textId="77777777" w:rsidR="003073FB" w:rsidRPr="00427387" w:rsidRDefault="003073FB" w:rsidP="00427387">
      <w:pPr>
        <w:spacing w:line="276" w:lineRule="auto"/>
        <w:ind w:firstLine="0"/>
        <w:rPr>
          <w:rFonts w:ascii="Bookman Old Style" w:hAnsi="Bookman Old Style" w:cs="Arial"/>
        </w:rPr>
      </w:pPr>
    </w:p>
    <w:p w14:paraId="7ADB16D6" w14:textId="65E15149"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Hoy, </w:t>
      </w:r>
      <w:r w:rsidR="009B0A6B" w:rsidRPr="00427387">
        <w:rPr>
          <w:rFonts w:ascii="Bookman Old Style" w:hAnsi="Bookman Old Style" w:cs="Arial"/>
        </w:rPr>
        <w:t xml:space="preserve">siete </w:t>
      </w:r>
      <w:r w:rsidRPr="00427387">
        <w:rPr>
          <w:rFonts w:ascii="Bookman Old Style" w:hAnsi="Bookman Old Style" w:cs="Arial"/>
        </w:rPr>
        <w:t>(</w:t>
      </w:r>
      <w:r w:rsidR="009B0A6B" w:rsidRPr="00427387">
        <w:rPr>
          <w:rFonts w:ascii="Bookman Old Style" w:hAnsi="Bookman Old Style" w:cs="Arial"/>
        </w:rPr>
        <w:t>07</w:t>
      </w:r>
      <w:r w:rsidRPr="00427387">
        <w:rPr>
          <w:rFonts w:ascii="Bookman Old Style" w:hAnsi="Bookman Old Style" w:cs="Arial"/>
        </w:rPr>
        <w:t xml:space="preserve">) de </w:t>
      </w:r>
      <w:r w:rsidR="009B0A6B" w:rsidRPr="00427387">
        <w:rPr>
          <w:rFonts w:ascii="Bookman Old Style" w:hAnsi="Bookman Old Style" w:cs="Arial"/>
        </w:rPr>
        <w:t>noviembre</w:t>
      </w:r>
      <w:r w:rsidRPr="00427387">
        <w:rPr>
          <w:rFonts w:ascii="Bookman Old Style" w:hAnsi="Bookman Old Style" w:cs="Arial"/>
        </w:rPr>
        <w:t xml:space="preserve"> de dos mil veinti</w:t>
      </w:r>
      <w:r w:rsidR="00AA3AC4" w:rsidRPr="00427387">
        <w:rPr>
          <w:rFonts w:ascii="Bookman Old Style" w:hAnsi="Bookman Old Style" w:cs="Arial"/>
        </w:rPr>
        <w:t>trés</w:t>
      </w:r>
      <w:r w:rsidRPr="00427387">
        <w:rPr>
          <w:rFonts w:ascii="Bookman Old Style" w:hAnsi="Bookman Old Style" w:cs="Arial"/>
        </w:rPr>
        <w:t xml:space="preserve"> (202</w:t>
      </w:r>
      <w:r w:rsidR="00AA3AC4" w:rsidRPr="00427387">
        <w:rPr>
          <w:rFonts w:ascii="Bookman Old Style" w:hAnsi="Bookman Old Style" w:cs="Arial"/>
        </w:rPr>
        <w:t>3</w:t>
      </w:r>
      <w:r w:rsidRPr="00427387">
        <w:rPr>
          <w:rFonts w:ascii="Bookman Old Style" w:hAnsi="Bookman Old Style" w:cs="Arial"/>
        </w:rPr>
        <w:t xml:space="preserve">), el Tribunal Superior de Distrito Judicial de </w:t>
      </w:r>
      <w:r w:rsidRPr="00582E08">
        <w:rPr>
          <w:rFonts w:ascii="Bookman Old Style" w:hAnsi="Bookman Old Style" w:cs="Arial"/>
        </w:rPr>
        <w:t xml:space="preserve">Pereira, Sala de Decisión Laboral integrada por los magistrados Dra. OLGA LUCIA HOYOS SEPÚLVEDA, Dr. JULIO CÉSAR SALAZAR MUÑOZ y como ponente Dr. GERMÁN DARÍO </w:t>
      </w:r>
      <w:proofErr w:type="spellStart"/>
      <w:r w:rsidRPr="00582E08">
        <w:rPr>
          <w:rFonts w:ascii="Bookman Old Style" w:hAnsi="Bookman Old Style" w:cs="Arial"/>
        </w:rPr>
        <w:t>GÓEZ</w:t>
      </w:r>
      <w:proofErr w:type="spellEnd"/>
      <w:r w:rsidRPr="00582E08">
        <w:rPr>
          <w:rFonts w:ascii="Bookman Old Style" w:hAnsi="Bookman Old Style" w:cs="Arial"/>
        </w:rPr>
        <w:t xml:space="preserve"> </w:t>
      </w:r>
      <w:proofErr w:type="spellStart"/>
      <w:r w:rsidRPr="00582E08">
        <w:rPr>
          <w:rFonts w:ascii="Bookman Old Style" w:hAnsi="Bookman Old Style" w:cs="Arial"/>
        </w:rPr>
        <w:t>VINASCO</w:t>
      </w:r>
      <w:proofErr w:type="spellEnd"/>
      <w:r w:rsidRPr="00582E08">
        <w:rPr>
          <w:rFonts w:ascii="Bookman Old Style" w:hAnsi="Bookman Old Style" w:cs="Arial"/>
        </w:rPr>
        <w:t xml:space="preserve">, procede a resolver </w:t>
      </w:r>
      <w:r w:rsidR="00AA3AC4" w:rsidRPr="00582E08">
        <w:rPr>
          <w:rFonts w:ascii="Bookman Old Style" w:hAnsi="Bookman Old Style" w:cs="Arial"/>
        </w:rPr>
        <w:t>el</w:t>
      </w:r>
      <w:r w:rsidRPr="00582E08">
        <w:rPr>
          <w:rFonts w:ascii="Bookman Old Style" w:hAnsi="Bookman Old Style" w:cs="Arial"/>
        </w:rPr>
        <w:t xml:space="preserve"> recurso</w:t>
      </w:r>
      <w:r w:rsidR="00AA3AC4" w:rsidRPr="00582E08">
        <w:rPr>
          <w:rFonts w:ascii="Bookman Old Style" w:hAnsi="Bookman Old Style" w:cs="Arial"/>
        </w:rPr>
        <w:t xml:space="preserve"> </w:t>
      </w:r>
      <w:r w:rsidRPr="00582E08">
        <w:rPr>
          <w:rFonts w:ascii="Bookman Old Style" w:hAnsi="Bookman Old Style" w:cs="Arial"/>
        </w:rPr>
        <w:t xml:space="preserve">de apelación interpuesto por </w:t>
      </w:r>
      <w:r w:rsidR="005C2A3B" w:rsidRPr="00582E08">
        <w:rPr>
          <w:rFonts w:ascii="Bookman Old Style" w:hAnsi="Bookman Old Style" w:cs="Arial"/>
        </w:rPr>
        <w:t xml:space="preserve">PORVENIR S.A. y </w:t>
      </w:r>
      <w:r w:rsidR="00337E6E" w:rsidRPr="00582E08">
        <w:rPr>
          <w:rFonts w:ascii="Bookman Old Style" w:hAnsi="Bookman Old Style" w:cs="Arial"/>
        </w:rPr>
        <w:t>COLPENSIONES</w:t>
      </w:r>
      <w:r w:rsidR="00A242B4" w:rsidRPr="00582E08">
        <w:rPr>
          <w:rFonts w:ascii="Bookman Old Style" w:hAnsi="Bookman Old Style" w:cs="Arial"/>
        </w:rPr>
        <w:t xml:space="preserve"> </w:t>
      </w:r>
      <w:r w:rsidRPr="00582E08">
        <w:rPr>
          <w:rFonts w:ascii="Bookman Old Style" w:hAnsi="Bookman Old Style" w:cs="Arial"/>
        </w:rPr>
        <w:t>contra la sentencia</w:t>
      </w:r>
      <w:r w:rsidRPr="00427387">
        <w:rPr>
          <w:rFonts w:ascii="Bookman Old Style" w:hAnsi="Bookman Old Style" w:cs="Arial"/>
        </w:rPr>
        <w:t xml:space="preserve"> de primera instancia, así como el grado </w:t>
      </w:r>
      <w:r w:rsidRPr="00427387">
        <w:rPr>
          <w:rFonts w:ascii="Bookman Old Style" w:hAnsi="Bookman Old Style" w:cs="Arial"/>
        </w:rPr>
        <w:lastRenderedPageBreak/>
        <w:t xml:space="preserve">jurisdiccional de consulta ordenado a favor de </w:t>
      </w:r>
      <w:r w:rsidR="00337E6E" w:rsidRPr="00427387">
        <w:rPr>
          <w:rFonts w:ascii="Bookman Old Style" w:hAnsi="Bookman Old Style" w:cs="Arial"/>
        </w:rPr>
        <w:t xml:space="preserve">COLPENSIONES </w:t>
      </w:r>
      <w:r w:rsidRPr="00427387">
        <w:rPr>
          <w:rFonts w:ascii="Bookman Old Style" w:hAnsi="Bookman Old Style" w:cs="Arial"/>
        </w:rPr>
        <w:t>en la misma providencia, proferida por el Juzgado</w:t>
      </w:r>
      <w:r w:rsidR="00C90928" w:rsidRPr="00427387">
        <w:rPr>
          <w:rFonts w:ascii="Bookman Old Style" w:hAnsi="Bookman Old Style" w:cs="Arial"/>
        </w:rPr>
        <w:t xml:space="preserve"> </w:t>
      </w:r>
      <w:r w:rsidR="00EF06E0" w:rsidRPr="00427387">
        <w:rPr>
          <w:rFonts w:ascii="Bookman Old Style" w:hAnsi="Bookman Old Style" w:cs="Arial"/>
        </w:rPr>
        <w:t>Primero</w:t>
      </w:r>
      <w:r w:rsidR="00D34568" w:rsidRPr="00427387">
        <w:rPr>
          <w:rFonts w:ascii="Bookman Old Style" w:hAnsi="Bookman Old Style" w:cs="Arial"/>
        </w:rPr>
        <w:t xml:space="preserve"> </w:t>
      </w:r>
      <w:r w:rsidR="00315036" w:rsidRPr="00427387">
        <w:rPr>
          <w:rFonts w:ascii="Bookman Old Style" w:hAnsi="Bookman Old Style" w:cs="Arial"/>
          <w:noProof/>
        </w:rPr>
        <w:t>Laboral Circuito</w:t>
      </w:r>
      <w:r w:rsidR="00315036" w:rsidRPr="00427387">
        <w:rPr>
          <w:rFonts w:ascii="Bookman Old Style" w:hAnsi="Bookman Old Style" w:cs="Arial"/>
        </w:rPr>
        <w:t xml:space="preserve"> </w:t>
      </w:r>
      <w:r w:rsidRPr="00427387">
        <w:rPr>
          <w:rFonts w:ascii="Bookman Old Style" w:hAnsi="Bookman Old Style" w:cs="Arial"/>
        </w:rPr>
        <w:t xml:space="preserve">de esta ciudad dentro del proceso </w:t>
      </w:r>
      <w:r w:rsidRPr="00582E08">
        <w:rPr>
          <w:rFonts w:ascii="Bookman Old Style" w:hAnsi="Bookman Old Style" w:cs="Arial"/>
          <w:b/>
        </w:rPr>
        <w:t>ordinario</w:t>
      </w:r>
      <w:r w:rsidR="00582E08">
        <w:rPr>
          <w:rFonts w:ascii="Bookman Old Style" w:hAnsi="Bookman Old Style" w:cs="Arial"/>
          <w:b/>
        </w:rPr>
        <w:t xml:space="preserve"> laboral</w:t>
      </w:r>
      <w:r w:rsidR="00582E08" w:rsidRPr="00427387">
        <w:rPr>
          <w:rFonts w:ascii="Bookman Old Style" w:hAnsi="Bookman Old Style" w:cs="Arial"/>
        </w:rPr>
        <w:t xml:space="preserve"> </w:t>
      </w:r>
      <w:r w:rsidRPr="00427387">
        <w:rPr>
          <w:rFonts w:ascii="Bookman Old Style" w:hAnsi="Bookman Old Style" w:cs="Arial"/>
        </w:rPr>
        <w:t xml:space="preserve">promovido por </w:t>
      </w:r>
      <w:bookmarkStart w:id="0" w:name="_Hlk105532493"/>
      <w:r w:rsidR="00A242B4" w:rsidRPr="00427387">
        <w:rPr>
          <w:rFonts w:ascii="Bookman Old Style" w:hAnsi="Bookman Old Style" w:cs="Arial"/>
          <w:b/>
          <w:bCs/>
          <w:noProof/>
        </w:rPr>
        <w:t xml:space="preserve">CARLOS ALBERTO ALZATE GIRALDO </w:t>
      </w:r>
      <w:r w:rsidRPr="00427387">
        <w:rPr>
          <w:rFonts w:ascii="Bookman Old Style" w:hAnsi="Bookman Old Style" w:cs="Arial"/>
        </w:rPr>
        <w:t xml:space="preserve">contra </w:t>
      </w:r>
      <w:r w:rsidR="004304FE" w:rsidRPr="00427387">
        <w:rPr>
          <w:rFonts w:ascii="Bookman Old Style" w:hAnsi="Bookman Old Style" w:cs="Arial"/>
          <w:b/>
          <w:noProof/>
        </w:rPr>
        <w:t>COLPENSIONES</w:t>
      </w:r>
      <w:r w:rsidR="00A242B4" w:rsidRPr="00427387">
        <w:rPr>
          <w:rFonts w:ascii="Bookman Old Style" w:hAnsi="Bookman Old Style" w:cs="Arial"/>
          <w:b/>
          <w:noProof/>
        </w:rPr>
        <w:t xml:space="preserve"> </w:t>
      </w:r>
      <w:r w:rsidR="00A242B4" w:rsidRPr="00427387">
        <w:rPr>
          <w:rFonts w:ascii="Bookman Old Style" w:hAnsi="Bookman Old Style" w:cs="Arial"/>
          <w:noProof/>
        </w:rPr>
        <w:t>y</w:t>
      </w:r>
      <w:r w:rsidR="00797779" w:rsidRPr="00427387">
        <w:rPr>
          <w:rFonts w:ascii="Bookman Old Style" w:hAnsi="Bookman Old Style" w:cs="Arial"/>
          <w:b/>
          <w:noProof/>
        </w:rPr>
        <w:t xml:space="preserve"> PORVENIR S.A.</w:t>
      </w:r>
      <w:r w:rsidR="00A242B4" w:rsidRPr="00427387">
        <w:rPr>
          <w:rFonts w:ascii="Bookman Old Style" w:hAnsi="Bookman Old Style" w:cs="Arial"/>
          <w:b/>
          <w:noProof/>
        </w:rPr>
        <w:t xml:space="preserve"> </w:t>
      </w:r>
      <w:r w:rsidRPr="00427387">
        <w:rPr>
          <w:rFonts w:ascii="Bookman Old Style" w:hAnsi="Bookman Old Style" w:cs="Arial"/>
        </w:rPr>
        <w:t xml:space="preserve">radicado </w:t>
      </w:r>
      <w:r w:rsidR="00A242B4" w:rsidRPr="00427387">
        <w:rPr>
          <w:rFonts w:ascii="Bookman Old Style" w:hAnsi="Bookman Old Style" w:cs="Arial"/>
          <w:b/>
          <w:noProof/>
        </w:rPr>
        <w:t>66001310500120210014801.</w:t>
      </w:r>
    </w:p>
    <w:bookmarkEnd w:id="0"/>
    <w:p w14:paraId="42080F58" w14:textId="77777777" w:rsidR="003073FB" w:rsidRPr="00427387" w:rsidRDefault="003073FB" w:rsidP="00427387">
      <w:pPr>
        <w:spacing w:line="276" w:lineRule="auto"/>
        <w:ind w:firstLine="0"/>
        <w:rPr>
          <w:rFonts w:ascii="Bookman Old Style" w:hAnsi="Bookman Old Style" w:cs="Arial"/>
        </w:rPr>
      </w:pPr>
    </w:p>
    <w:p w14:paraId="74B3665D" w14:textId="77777777" w:rsidR="0005234B" w:rsidRPr="00427387" w:rsidRDefault="0005234B" w:rsidP="00427387">
      <w:pPr>
        <w:spacing w:line="276" w:lineRule="auto"/>
        <w:ind w:firstLine="0"/>
        <w:rPr>
          <w:rFonts w:ascii="Bookman Old Style" w:hAnsi="Bookman Old Style" w:cs="Arial"/>
        </w:rPr>
      </w:pPr>
      <w:r w:rsidRPr="00427387">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427387" w:rsidRDefault="003073FB" w:rsidP="00427387">
      <w:pPr>
        <w:spacing w:line="276" w:lineRule="auto"/>
        <w:ind w:firstLine="0"/>
        <w:rPr>
          <w:rFonts w:ascii="Bookman Old Style" w:hAnsi="Bookman Old Style" w:cs="Arial"/>
        </w:rPr>
      </w:pPr>
    </w:p>
    <w:p w14:paraId="1277239E" w14:textId="6A93F531" w:rsidR="003073FB" w:rsidRPr="00427387" w:rsidRDefault="003073FB" w:rsidP="008E5756">
      <w:pPr>
        <w:suppressAutoHyphens/>
        <w:spacing w:line="276" w:lineRule="auto"/>
        <w:ind w:firstLine="0"/>
        <w:jc w:val="center"/>
        <w:rPr>
          <w:rFonts w:ascii="Bookman Old Style" w:hAnsi="Bookman Old Style" w:cs="Arial"/>
          <w:b/>
          <w:bCs/>
          <w:spacing w:val="-3"/>
          <w:lang w:eastAsia="es-ES"/>
        </w:rPr>
      </w:pPr>
      <w:r w:rsidRPr="00427387">
        <w:rPr>
          <w:rFonts w:ascii="Bookman Old Style" w:hAnsi="Bookman Old Style" w:cs="Arial"/>
          <w:b/>
          <w:bCs/>
          <w:spacing w:val="-3"/>
          <w:lang w:eastAsia="es-ES"/>
        </w:rPr>
        <w:t xml:space="preserve">SENTENCIA No. </w:t>
      </w:r>
      <w:r w:rsidR="000B6E9C" w:rsidRPr="00427387">
        <w:rPr>
          <w:rFonts w:ascii="Bookman Old Style" w:hAnsi="Bookman Old Style" w:cs="Arial"/>
          <w:b/>
          <w:bCs/>
          <w:spacing w:val="-3"/>
          <w:lang w:eastAsia="es-ES"/>
        </w:rPr>
        <w:t>187</w:t>
      </w:r>
    </w:p>
    <w:p w14:paraId="42AF91E9" w14:textId="77777777" w:rsidR="00B86E32" w:rsidRPr="00427387" w:rsidRDefault="00B86E32" w:rsidP="00427387">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427387" w:rsidRDefault="003073FB" w:rsidP="00427387">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427387">
        <w:rPr>
          <w:rFonts w:ascii="Bookman Old Style" w:hAnsi="Bookman Old Style" w:cs="Arial"/>
          <w:b/>
          <w:bCs/>
        </w:rPr>
        <w:t>ANTECEDENTES</w:t>
      </w:r>
    </w:p>
    <w:p w14:paraId="370072BA" w14:textId="77777777" w:rsidR="003073FB" w:rsidRPr="00427387" w:rsidRDefault="003073FB" w:rsidP="00427387">
      <w:pPr>
        <w:spacing w:line="276" w:lineRule="auto"/>
        <w:ind w:firstLine="0"/>
        <w:rPr>
          <w:rFonts w:ascii="Bookman Old Style" w:hAnsi="Bookman Old Style" w:cs="Arial"/>
          <w:color w:val="FF0000"/>
        </w:rPr>
      </w:pPr>
    </w:p>
    <w:p w14:paraId="273E2403" w14:textId="77777777" w:rsidR="003073FB" w:rsidRPr="00427387" w:rsidRDefault="003073FB" w:rsidP="00427387">
      <w:pPr>
        <w:pStyle w:val="Prrafodelista"/>
        <w:numPr>
          <w:ilvl w:val="0"/>
          <w:numId w:val="2"/>
        </w:numPr>
        <w:spacing w:line="276" w:lineRule="auto"/>
        <w:ind w:left="284"/>
        <w:rPr>
          <w:rFonts w:ascii="Bookman Old Style" w:hAnsi="Bookman Old Style" w:cs="Arial"/>
        </w:rPr>
      </w:pPr>
      <w:r w:rsidRPr="00427387">
        <w:rPr>
          <w:rFonts w:ascii="Bookman Old Style" w:hAnsi="Bookman Old Style" w:cs="Arial"/>
          <w:b/>
          <w:bCs/>
        </w:rPr>
        <w:t>Pretensiones</w:t>
      </w:r>
    </w:p>
    <w:p w14:paraId="15F843C9" w14:textId="77777777" w:rsidR="003073FB" w:rsidRPr="00427387" w:rsidRDefault="003073FB" w:rsidP="00427387">
      <w:pPr>
        <w:spacing w:line="276" w:lineRule="auto"/>
        <w:ind w:firstLine="0"/>
        <w:rPr>
          <w:rFonts w:ascii="Bookman Old Style" w:hAnsi="Bookman Old Style" w:cs="Arial"/>
        </w:rPr>
      </w:pPr>
    </w:p>
    <w:p w14:paraId="704D2E70" w14:textId="5B8B93E4" w:rsidR="003073FB" w:rsidRPr="00427387" w:rsidRDefault="00A242B4" w:rsidP="00427387">
      <w:pPr>
        <w:spacing w:line="276" w:lineRule="auto"/>
        <w:ind w:firstLine="0"/>
        <w:rPr>
          <w:rFonts w:ascii="Bookman Old Style" w:hAnsi="Bookman Old Style" w:cs="Arial"/>
        </w:rPr>
      </w:pPr>
      <w:r w:rsidRPr="00427387">
        <w:rPr>
          <w:rFonts w:ascii="Bookman Old Style" w:hAnsi="Bookman Old Style" w:cs="Arial"/>
          <w:b/>
          <w:bCs/>
          <w:noProof/>
        </w:rPr>
        <w:t>CARLOS ALBERTO ALZATE GIRALDO</w:t>
      </w:r>
      <w:r w:rsidR="003073FB" w:rsidRPr="00427387">
        <w:rPr>
          <w:rFonts w:ascii="Bookman Old Style" w:hAnsi="Bookman Old Style" w:cs="Arial"/>
          <w:bCs/>
          <w:noProof/>
        </w:rPr>
        <w:t>,</w:t>
      </w:r>
      <w:r w:rsidR="003073FB" w:rsidRPr="00427387">
        <w:rPr>
          <w:rFonts w:ascii="Bookman Old Style" w:hAnsi="Bookman Old Style" w:cs="Arial"/>
          <w:noProof/>
        </w:rPr>
        <w:t xml:space="preserve"> </w:t>
      </w:r>
      <w:r w:rsidR="00C90928" w:rsidRPr="00427387">
        <w:rPr>
          <w:rFonts w:ascii="Bookman Old Style" w:hAnsi="Bookman Old Style" w:cs="Arial"/>
          <w:noProof/>
        </w:rPr>
        <w:t>pretende</w:t>
      </w:r>
      <w:r w:rsidR="003073FB" w:rsidRPr="00427387">
        <w:rPr>
          <w:rFonts w:ascii="Bookman Old Style" w:hAnsi="Bookman Old Style" w:cs="Arial"/>
          <w:noProof/>
        </w:rPr>
        <w:t xml:space="preserve"> se declare la </w:t>
      </w:r>
      <w:r w:rsidR="00EF06E0" w:rsidRPr="00427387">
        <w:rPr>
          <w:rFonts w:ascii="Bookman Old Style" w:hAnsi="Bookman Old Style" w:cs="Arial"/>
          <w:noProof/>
        </w:rPr>
        <w:t>ineficacia</w:t>
      </w:r>
      <w:r w:rsidR="003073FB" w:rsidRPr="00427387">
        <w:rPr>
          <w:rFonts w:ascii="Bookman Old Style" w:hAnsi="Bookman Old Style" w:cs="Arial"/>
          <w:noProof/>
        </w:rPr>
        <w:t xml:space="preserve"> de</w:t>
      </w:r>
      <w:r w:rsidR="00D34568" w:rsidRPr="00427387">
        <w:rPr>
          <w:rFonts w:ascii="Bookman Old Style" w:hAnsi="Bookman Old Style" w:cs="Arial"/>
          <w:noProof/>
        </w:rPr>
        <w:t xml:space="preserve"> </w:t>
      </w:r>
      <w:r w:rsidR="003073FB" w:rsidRPr="00427387">
        <w:rPr>
          <w:rFonts w:ascii="Bookman Old Style" w:hAnsi="Bookman Old Style" w:cs="Arial"/>
          <w:noProof/>
        </w:rPr>
        <w:t xml:space="preserve">la afiliación que hizo </w:t>
      </w:r>
      <w:r w:rsidR="0045781C" w:rsidRPr="00427387">
        <w:rPr>
          <w:rFonts w:ascii="Bookman Old Style" w:hAnsi="Bookman Old Style" w:cs="Arial"/>
          <w:noProof/>
        </w:rPr>
        <w:t>a</w:t>
      </w:r>
      <w:r w:rsidR="003073FB" w:rsidRPr="00427387">
        <w:rPr>
          <w:rFonts w:ascii="Bookman Old Style" w:hAnsi="Bookman Old Style" w:cs="Arial"/>
          <w:noProof/>
        </w:rPr>
        <w:t xml:space="preserve"> </w:t>
      </w:r>
      <w:r w:rsidR="00D01B34" w:rsidRPr="00427387">
        <w:rPr>
          <w:rFonts w:ascii="Bookman Old Style" w:hAnsi="Bookman Old Style" w:cs="Arial"/>
          <w:noProof/>
        </w:rPr>
        <w:t xml:space="preserve">la </w:t>
      </w:r>
      <w:r w:rsidR="00623880" w:rsidRPr="00427387">
        <w:rPr>
          <w:rFonts w:ascii="Bookman Old Style" w:hAnsi="Bookman Old Style" w:cs="Arial"/>
          <w:noProof/>
        </w:rPr>
        <w:t xml:space="preserve">AFP </w:t>
      </w:r>
      <w:r w:rsidR="00797779" w:rsidRPr="00427387">
        <w:rPr>
          <w:rFonts w:ascii="Bookman Old Style" w:hAnsi="Bookman Old Style" w:cs="Arial"/>
          <w:noProof/>
        </w:rPr>
        <w:t>PORVENIR S.A.</w:t>
      </w:r>
      <w:r w:rsidR="00793226" w:rsidRPr="00427387">
        <w:rPr>
          <w:rFonts w:ascii="Bookman Old Style" w:hAnsi="Bookman Old Style" w:cs="Arial"/>
          <w:noProof/>
        </w:rPr>
        <w:t xml:space="preserve"> </w:t>
      </w:r>
      <w:r w:rsidR="009F7745" w:rsidRPr="00427387">
        <w:rPr>
          <w:rFonts w:ascii="Bookman Old Style" w:hAnsi="Bookman Old Style" w:cs="Arial"/>
          <w:noProof/>
        </w:rPr>
        <w:t>de l</w:t>
      </w:r>
      <w:r w:rsidR="003073FB" w:rsidRPr="00427387">
        <w:rPr>
          <w:rFonts w:ascii="Bookman Old Style" w:hAnsi="Bookman Old Style" w:cs="Arial"/>
          <w:noProof/>
        </w:rPr>
        <w:t>a cual se produjo el traslado de régimen desde el Régimen de Prima Media con Prestación Definida</w:t>
      </w:r>
      <w:r w:rsidR="00EF06E0" w:rsidRPr="00427387">
        <w:rPr>
          <w:rFonts w:ascii="Bookman Old Style" w:hAnsi="Bookman Old Style" w:cs="Arial"/>
          <w:noProof/>
        </w:rPr>
        <w:t xml:space="preserve">. </w:t>
      </w:r>
      <w:r w:rsidR="00E720F9" w:rsidRPr="00427387">
        <w:rPr>
          <w:rFonts w:ascii="Bookman Old Style" w:hAnsi="Bookman Old Style" w:cs="Arial"/>
          <w:noProof/>
        </w:rPr>
        <w:t>En</w:t>
      </w:r>
      <w:r w:rsidR="003073FB" w:rsidRPr="00427387">
        <w:rPr>
          <w:rFonts w:ascii="Bookman Old Style" w:hAnsi="Bookman Old Style" w:cs="Arial"/>
          <w:noProof/>
        </w:rPr>
        <w:t xml:space="preserve"> consecuencia, solicita que se condene a </w:t>
      </w:r>
      <w:r w:rsidR="00315036" w:rsidRPr="00427387">
        <w:rPr>
          <w:rFonts w:ascii="Bookman Old Style" w:hAnsi="Bookman Old Style" w:cs="Arial"/>
          <w:noProof/>
        </w:rPr>
        <w:t>C</w:t>
      </w:r>
      <w:r w:rsidR="00C90928" w:rsidRPr="00427387">
        <w:rPr>
          <w:rFonts w:ascii="Bookman Old Style" w:hAnsi="Bookman Old Style" w:cs="Arial"/>
          <w:noProof/>
        </w:rPr>
        <w:t>OLPENSIONES</w:t>
      </w:r>
      <w:r w:rsidR="00315036" w:rsidRPr="00427387">
        <w:rPr>
          <w:rFonts w:ascii="Bookman Old Style" w:hAnsi="Bookman Old Style" w:cs="Arial"/>
          <w:noProof/>
        </w:rPr>
        <w:t xml:space="preserve"> </w:t>
      </w:r>
      <w:r w:rsidR="003073FB" w:rsidRPr="00427387">
        <w:rPr>
          <w:rFonts w:ascii="Bookman Old Style" w:hAnsi="Bookman Old Style" w:cs="Arial"/>
          <w:noProof/>
        </w:rPr>
        <w:t>a recibirl</w:t>
      </w:r>
      <w:r w:rsidR="00337E6E" w:rsidRPr="00427387">
        <w:rPr>
          <w:rFonts w:ascii="Bookman Old Style" w:hAnsi="Bookman Old Style" w:cs="Arial"/>
          <w:noProof/>
        </w:rPr>
        <w:t>o</w:t>
      </w:r>
      <w:r w:rsidR="003073FB" w:rsidRPr="00427387">
        <w:rPr>
          <w:rFonts w:ascii="Bookman Old Style" w:hAnsi="Bookman Old Style" w:cs="Arial"/>
          <w:noProof/>
        </w:rPr>
        <w:t xml:space="preserve"> nuevamente como afiliad</w:t>
      </w:r>
      <w:r w:rsidR="00337E6E" w:rsidRPr="00427387">
        <w:rPr>
          <w:rFonts w:ascii="Bookman Old Style" w:hAnsi="Bookman Old Style" w:cs="Arial"/>
          <w:noProof/>
        </w:rPr>
        <w:t>o</w:t>
      </w:r>
      <w:r w:rsidR="003073FB" w:rsidRPr="00427387">
        <w:rPr>
          <w:rFonts w:ascii="Bookman Old Style" w:hAnsi="Bookman Old Style" w:cs="Arial"/>
          <w:noProof/>
        </w:rPr>
        <w:t xml:space="preserve"> cotizante y a</w:t>
      </w:r>
      <w:r w:rsidR="00D01B34" w:rsidRPr="00427387">
        <w:rPr>
          <w:rFonts w:ascii="Bookman Old Style" w:hAnsi="Bookman Old Style" w:cs="Arial"/>
          <w:noProof/>
        </w:rPr>
        <w:t xml:space="preserve"> la </w:t>
      </w:r>
      <w:r w:rsidR="00793226" w:rsidRPr="00427387">
        <w:rPr>
          <w:rFonts w:ascii="Bookman Old Style" w:hAnsi="Bookman Old Style" w:cs="Arial"/>
          <w:noProof/>
        </w:rPr>
        <w:t>AFP</w:t>
      </w:r>
      <w:r w:rsidR="00D01B34" w:rsidRPr="00427387">
        <w:rPr>
          <w:rFonts w:ascii="Bookman Old Style" w:hAnsi="Bookman Old Style" w:cs="Arial"/>
          <w:noProof/>
        </w:rPr>
        <w:t xml:space="preserve"> a liberar de su</w:t>
      </w:r>
      <w:r w:rsidR="00003BB8" w:rsidRPr="00427387">
        <w:rPr>
          <w:rFonts w:ascii="Bookman Old Style" w:hAnsi="Bookman Old Style" w:cs="Arial"/>
          <w:noProof/>
        </w:rPr>
        <w:t>s</w:t>
      </w:r>
      <w:r w:rsidR="00D01B34" w:rsidRPr="00427387">
        <w:rPr>
          <w:rFonts w:ascii="Bookman Old Style" w:hAnsi="Bookman Old Style" w:cs="Arial"/>
          <w:noProof/>
        </w:rPr>
        <w:t xml:space="preserve"> base</w:t>
      </w:r>
      <w:r w:rsidR="00003BB8" w:rsidRPr="00427387">
        <w:rPr>
          <w:rFonts w:ascii="Bookman Old Style" w:hAnsi="Bookman Old Style" w:cs="Arial"/>
          <w:noProof/>
        </w:rPr>
        <w:t>s</w:t>
      </w:r>
      <w:r w:rsidR="003073FB" w:rsidRPr="00427387">
        <w:rPr>
          <w:rFonts w:ascii="Bookman Old Style" w:hAnsi="Bookman Old Style" w:cs="Arial"/>
          <w:noProof/>
        </w:rPr>
        <w:t xml:space="preserve"> de datos a la </w:t>
      </w:r>
      <w:r w:rsidR="00315036" w:rsidRPr="00427387">
        <w:rPr>
          <w:rFonts w:ascii="Bookman Old Style" w:hAnsi="Bookman Old Style" w:cs="Arial"/>
          <w:noProof/>
        </w:rPr>
        <w:t xml:space="preserve">parte </w:t>
      </w:r>
      <w:r w:rsidR="003073FB" w:rsidRPr="00427387">
        <w:rPr>
          <w:rFonts w:ascii="Bookman Old Style" w:hAnsi="Bookman Old Style" w:cs="Arial"/>
          <w:noProof/>
        </w:rPr>
        <w:t xml:space="preserve">actora </w:t>
      </w:r>
      <w:r w:rsidR="00793226" w:rsidRPr="00427387">
        <w:rPr>
          <w:rFonts w:ascii="Bookman Old Style" w:hAnsi="Bookman Old Style" w:cs="Arial"/>
          <w:noProof/>
        </w:rPr>
        <w:t>haciendo</w:t>
      </w:r>
      <w:r w:rsidR="003073FB" w:rsidRPr="00427387">
        <w:rPr>
          <w:rFonts w:ascii="Bookman Old Style" w:hAnsi="Bookman Old Style" w:cs="Arial"/>
          <w:noProof/>
        </w:rPr>
        <w:t xml:space="preserve"> el respectivo traslado de sus cotizaciones</w:t>
      </w:r>
      <w:r w:rsidR="00D01B34" w:rsidRPr="00427387">
        <w:rPr>
          <w:rFonts w:ascii="Bookman Old Style" w:hAnsi="Bookman Old Style" w:cs="Arial"/>
          <w:noProof/>
        </w:rPr>
        <w:t xml:space="preserve"> y rendimientos</w:t>
      </w:r>
      <w:r w:rsidR="003073FB" w:rsidRPr="00427387">
        <w:rPr>
          <w:rFonts w:ascii="Bookman Old Style" w:hAnsi="Bookman Old Style" w:cs="Arial"/>
          <w:noProof/>
        </w:rPr>
        <w:t>. Además, solicita se condene en costas</w:t>
      </w:r>
      <w:r w:rsidR="00711ACF" w:rsidRPr="00427387">
        <w:rPr>
          <w:rFonts w:ascii="Bookman Old Style" w:hAnsi="Bookman Old Style" w:cs="Arial"/>
          <w:noProof/>
        </w:rPr>
        <w:t xml:space="preserve"> y lo ultra y extra petita</w:t>
      </w:r>
    </w:p>
    <w:p w14:paraId="5BFB7646" w14:textId="77777777" w:rsidR="003073FB" w:rsidRPr="00427387" w:rsidRDefault="003073FB" w:rsidP="00427387">
      <w:pPr>
        <w:spacing w:line="276" w:lineRule="auto"/>
        <w:ind w:firstLine="0"/>
        <w:rPr>
          <w:rFonts w:ascii="Bookman Old Style" w:hAnsi="Bookman Old Style" w:cs="Arial"/>
          <w:color w:val="FF0000"/>
        </w:rPr>
      </w:pPr>
    </w:p>
    <w:p w14:paraId="58F5315F" w14:textId="77777777" w:rsidR="003073FB" w:rsidRPr="00427387" w:rsidRDefault="003073FB" w:rsidP="00427387">
      <w:pPr>
        <w:pStyle w:val="Prrafodelista"/>
        <w:numPr>
          <w:ilvl w:val="0"/>
          <w:numId w:val="2"/>
        </w:numPr>
        <w:spacing w:line="276" w:lineRule="auto"/>
        <w:ind w:left="284"/>
        <w:rPr>
          <w:rFonts w:ascii="Bookman Old Style" w:hAnsi="Bookman Old Style" w:cs="Arial"/>
        </w:rPr>
      </w:pPr>
      <w:r w:rsidRPr="00427387">
        <w:rPr>
          <w:rFonts w:ascii="Bookman Old Style" w:hAnsi="Bookman Old Style" w:cs="Arial"/>
          <w:b/>
          <w:bCs/>
        </w:rPr>
        <w:t>Hechos</w:t>
      </w:r>
    </w:p>
    <w:p w14:paraId="5173F076" w14:textId="77777777" w:rsidR="003073FB" w:rsidRPr="00427387" w:rsidRDefault="003073FB" w:rsidP="00427387">
      <w:pPr>
        <w:spacing w:line="276" w:lineRule="auto"/>
        <w:ind w:firstLine="0"/>
        <w:rPr>
          <w:rFonts w:ascii="Bookman Old Style" w:hAnsi="Bookman Old Style" w:cs="Arial"/>
        </w:rPr>
      </w:pPr>
    </w:p>
    <w:p w14:paraId="66CB9F19" w14:textId="586EF6D6" w:rsidR="00BC3046" w:rsidRPr="00427387" w:rsidRDefault="003073FB" w:rsidP="00427387">
      <w:pPr>
        <w:spacing w:line="276" w:lineRule="auto"/>
        <w:ind w:firstLine="0"/>
        <w:rPr>
          <w:rFonts w:ascii="Bookman Old Style" w:hAnsi="Bookman Old Style" w:cs="Arial"/>
          <w:noProof/>
        </w:rPr>
      </w:pPr>
      <w:r w:rsidRPr="00427387">
        <w:rPr>
          <w:rFonts w:ascii="Bookman Old Style" w:hAnsi="Bookman Old Style" w:cs="Arial"/>
          <w:noProof/>
        </w:rPr>
        <w:t>En sustento de lo pretendido, relata que</w:t>
      </w:r>
      <w:r w:rsidR="00321B0D" w:rsidRPr="00427387">
        <w:rPr>
          <w:rFonts w:ascii="Bookman Old Style" w:hAnsi="Bookman Old Style" w:cs="Arial"/>
          <w:noProof/>
        </w:rPr>
        <w:t xml:space="preserve"> </w:t>
      </w:r>
      <w:r w:rsidR="00A242B4" w:rsidRPr="00427387">
        <w:rPr>
          <w:rFonts w:ascii="Bookman Old Style" w:hAnsi="Bookman Old Style" w:cs="Arial"/>
          <w:noProof/>
        </w:rPr>
        <w:t>en el mes de abril de 1987 se vinculó al ISS hoy COLPENSIONES y el 08 de abril de 1994 firmó formulario de traslado a PORVENIR S.A., sin embargo, el fondo privado no le brindó la asesoría legal y financiera que se requería para que tomara una decisión libre e informada a favor de sus intereses, conociendo las consecuencias económicas y financieras del cambio de régimen pensional. Comentó que luego de cumplir los 60 años se acercó a la AFP y le informaron que al momento de tener los 62 años podría obtener una pensión en el RAIS de $908.526. Posteriormente, solicitó el traslado a COLPENSIONES, pero mediante el oficio del 16 de marzo de 2021 la entidad negó la solicitud aduciendo que le faltaban menos de 10 años para adquirir el derecho pensional.</w:t>
      </w:r>
    </w:p>
    <w:p w14:paraId="131A98DF" w14:textId="41FDED56" w:rsidR="00315036" w:rsidRPr="00427387" w:rsidRDefault="00315036" w:rsidP="00427387">
      <w:pPr>
        <w:spacing w:line="276" w:lineRule="auto"/>
        <w:ind w:firstLine="0"/>
        <w:rPr>
          <w:rFonts w:ascii="Bookman Old Style" w:hAnsi="Bookman Old Style" w:cs="Arial"/>
          <w:noProof/>
        </w:rPr>
      </w:pPr>
    </w:p>
    <w:p w14:paraId="5367CFD7" w14:textId="77777777" w:rsidR="003073FB" w:rsidRPr="00427387" w:rsidRDefault="003073FB" w:rsidP="00427387">
      <w:pPr>
        <w:pStyle w:val="Prrafodelista"/>
        <w:numPr>
          <w:ilvl w:val="0"/>
          <w:numId w:val="2"/>
        </w:numPr>
        <w:spacing w:line="276" w:lineRule="auto"/>
        <w:ind w:left="284"/>
        <w:rPr>
          <w:rFonts w:ascii="Bookman Old Style" w:hAnsi="Bookman Old Style" w:cs="Arial"/>
          <w:b/>
          <w:bCs/>
        </w:rPr>
      </w:pPr>
      <w:r w:rsidRPr="00427387">
        <w:rPr>
          <w:rFonts w:ascii="Bookman Old Style" w:hAnsi="Bookman Old Style" w:cs="Arial"/>
          <w:b/>
          <w:bCs/>
        </w:rPr>
        <w:t>Posición de las demandadas.</w:t>
      </w:r>
    </w:p>
    <w:p w14:paraId="509D5ABF" w14:textId="77777777" w:rsidR="003073FB" w:rsidRPr="00427387" w:rsidRDefault="003073FB" w:rsidP="00427387">
      <w:pPr>
        <w:spacing w:line="276" w:lineRule="auto"/>
        <w:ind w:firstLine="0"/>
        <w:rPr>
          <w:rFonts w:ascii="Bookman Old Style" w:hAnsi="Bookman Old Style" w:cs="Arial"/>
        </w:rPr>
      </w:pPr>
    </w:p>
    <w:p w14:paraId="5BED189A" w14:textId="29FEC0D9" w:rsidR="00AC4782" w:rsidRPr="00427387" w:rsidRDefault="00AC4782" w:rsidP="00427387">
      <w:pPr>
        <w:spacing w:line="276" w:lineRule="auto"/>
        <w:ind w:firstLine="0"/>
        <w:rPr>
          <w:rFonts w:ascii="Bookman Old Style" w:hAnsi="Bookman Old Style" w:cs="Arial"/>
          <w:bCs/>
          <w:noProof/>
        </w:rPr>
      </w:pPr>
      <w:r w:rsidRPr="00427387">
        <w:rPr>
          <w:rFonts w:ascii="Bookman Old Style" w:hAnsi="Bookman Old Style" w:cs="Arial"/>
          <w:b/>
          <w:bCs/>
          <w:noProof/>
        </w:rPr>
        <w:t>COLPENSIONES</w:t>
      </w:r>
      <w:r w:rsidRPr="00427387">
        <w:rPr>
          <w:rFonts w:ascii="Bookman Old Style" w:hAnsi="Bookman Old Style" w:cs="Arial"/>
          <w:noProof/>
        </w:rPr>
        <w:t xml:space="preserve">, </w:t>
      </w:r>
      <w:r w:rsidR="00A242B4" w:rsidRPr="00427387">
        <w:rPr>
          <w:rFonts w:ascii="Bookman Old Style" w:hAnsi="Bookman Old Style" w:cs="Arial"/>
          <w:noProof/>
        </w:rPr>
        <w:t xml:space="preserve">al contestar la demanda se opuso a las pretensiones pues no le constan los hechos de la demanda, además, considera que el actor no arrimó pruebas del supuesto engaño del que fue víctima al momento del traslado, pues los fondos le brindaron la asesoría completa y suficiente para que pudiese tomar una decisión informada. Agregó que el actora no puede pretender regresar al RPM porque se encuentra dentro de la prohibición legal </w:t>
      </w:r>
      <w:r w:rsidR="00A242B4" w:rsidRPr="00427387">
        <w:rPr>
          <w:rFonts w:ascii="Bookman Old Style" w:hAnsi="Bookman Old Style" w:cs="Arial"/>
          <w:noProof/>
        </w:rPr>
        <w:lastRenderedPageBreak/>
        <w:t xml:space="preserve">para ello, dado que ya cumplió la edad pensional y aceptarla equivaldría a poner en riesgo la sostenibilidad financiera del sistema. Como excepciones propuso: </w:t>
      </w:r>
      <w:r w:rsidR="00A242B4" w:rsidRPr="00427387">
        <w:rPr>
          <w:rFonts w:ascii="Bookman Old Style" w:hAnsi="Bookman Old Style" w:cs="Arial"/>
          <w:b/>
          <w:bCs/>
          <w:noProof/>
        </w:rPr>
        <w:t>inexistencia de la obligación demandada, prescripción, buena fe, inoponibilidad de la responsabilidad de la AFP ante COLPENSIONES, en casos de ineficacia de traslado de régimen, declaratoria de otras excepciones</w:t>
      </w:r>
      <w:r w:rsidR="009847D3" w:rsidRPr="00427387">
        <w:rPr>
          <w:rFonts w:ascii="Bookman Old Style" w:hAnsi="Bookman Old Style" w:cs="Arial"/>
          <w:b/>
          <w:bCs/>
          <w:noProof/>
        </w:rPr>
        <w:t>.</w:t>
      </w:r>
      <w:r w:rsidR="008473A8" w:rsidRPr="00427387">
        <w:rPr>
          <w:rFonts w:ascii="Bookman Old Style" w:hAnsi="Bookman Old Style" w:cs="Arial"/>
          <w:b/>
          <w:bCs/>
          <w:noProof/>
        </w:rPr>
        <w:t xml:space="preserve"> </w:t>
      </w:r>
      <w:r w:rsidR="008473A8" w:rsidRPr="00427387">
        <w:rPr>
          <w:rFonts w:ascii="Bookman Old Style" w:hAnsi="Bookman Old Style" w:cs="Arial"/>
          <w:bCs/>
          <w:noProof/>
        </w:rPr>
        <w:t>(Anexo1</w:t>
      </w:r>
      <w:r w:rsidR="00BA236C" w:rsidRPr="00427387">
        <w:rPr>
          <w:rFonts w:ascii="Bookman Old Style" w:hAnsi="Bookman Old Style" w:cs="Arial"/>
          <w:bCs/>
          <w:noProof/>
        </w:rPr>
        <w:t>1</w:t>
      </w:r>
      <w:r w:rsidR="008473A8" w:rsidRPr="00427387">
        <w:rPr>
          <w:rFonts w:ascii="Bookman Old Style" w:hAnsi="Bookman Old Style" w:cs="Arial"/>
          <w:bCs/>
          <w:noProof/>
        </w:rPr>
        <w:t>)</w:t>
      </w:r>
    </w:p>
    <w:p w14:paraId="5B001574" w14:textId="2D43F123" w:rsidR="00BA236C" w:rsidRPr="00427387" w:rsidRDefault="00BA236C" w:rsidP="00427387">
      <w:pPr>
        <w:spacing w:line="276" w:lineRule="auto"/>
        <w:ind w:firstLine="0"/>
        <w:rPr>
          <w:rFonts w:ascii="Bookman Old Style" w:hAnsi="Bookman Old Style" w:cs="Arial"/>
          <w:bCs/>
          <w:noProof/>
        </w:rPr>
      </w:pPr>
    </w:p>
    <w:p w14:paraId="22869812" w14:textId="230D8035" w:rsidR="00BA236C" w:rsidRPr="00427387" w:rsidRDefault="00BA236C" w:rsidP="00427387">
      <w:pPr>
        <w:spacing w:line="276" w:lineRule="auto"/>
        <w:ind w:firstLine="0"/>
        <w:rPr>
          <w:rFonts w:ascii="Bookman Old Style" w:hAnsi="Bookman Old Style" w:cs="Arial"/>
          <w:bCs/>
          <w:noProof/>
        </w:rPr>
      </w:pPr>
      <w:r w:rsidRPr="00427387">
        <w:rPr>
          <w:rFonts w:ascii="Bookman Old Style" w:hAnsi="Bookman Old Style" w:cs="Arial"/>
          <w:b/>
          <w:bCs/>
          <w:noProof/>
        </w:rPr>
        <w:t xml:space="preserve">PORVENIR S.A. </w:t>
      </w:r>
      <w:r w:rsidR="000E717A" w:rsidRPr="00427387">
        <w:rPr>
          <w:rFonts w:ascii="Bookman Old Style" w:hAnsi="Bookman Old Style" w:cs="Arial"/>
        </w:rPr>
        <w:t xml:space="preserve">Señaló que brindó la asesoría adecuada y completa, más cuando era cierto que el </w:t>
      </w:r>
      <w:proofErr w:type="spellStart"/>
      <w:r w:rsidR="000E717A" w:rsidRPr="00427387">
        <w:rPr>
          <w:rFonts w:ascii="Bookman Old Style" w:hAnsi="Bookman Old Style" w:cs="Arial"/>
        </w:rPr>
        <w:t>ISS</w:t>
      </w:r>
      <w:proofErr w:type="spellEnd"/>
      <w:r w:rsidR="000E717A" w:rsidRPr="00427387">
        <w:rPr>
          <w:rFonts w:ascii="Bookman Old Style" w:hAnsi="Bookman Old Style" w:cs="Arial"/>
        </w:rPr>
        <w:t xml:space="preserve"> se encontraba en estado de liquidación. Advirtió que cualquier nulidad que se pueda presentar, se encuentra saneada por el paso del tiempo y en todo caso, los formularios de afiliación evidencian la voluntad del actor de pertenecer y permanecer en el </w:t>
      </w:r>
      <w:proofErr w:type="spellStart"/>
      <w:r w:rsidR="000E717A" w:rsidRPr="00427387">
        <w:rPr>
          <w:rFonts w:ascii="Bookman Old Style" w:hAnsi="Bookman Old Style" w:cs="Arial"/>
        </w:rPr>
        <w:t>RAIS</w:t>
      </w:r>
      <w:proofErr w:type="spellEnd"/>
      <w:r w:rsidR="000E717A" w:rsidRPr="00427387">
        <w:rPr>
          <w:rFonts w:ascii="Bookman Old Style" w:hAnsi="Bookman Old Style" w:cs="Arial"/>
        </w:rPr>
        <w:t xml:space="preserve">. Como excepciones propuso: </w:t>
      </w:r>
      <w:r w:rsidRPr="00427387">
        <w:rPr>
          <w:rFonts w:ascii="Bookman Old Style" w:hAnsi="Bookman Old Style" w:cs="Arial"/>
          <w:bCs/>
          <w:noProof/>
        </w:rPr>
        <w:t xml:space="preserve"> </w:t>
      </w:r>
      <w:r w:rsidR="000A5795" w:rsidRPr="00427387">
        <w:rPr>
          <w:rFonts w:ascii="Bookman Old Style" w:hAnsi="Bookman Old Style" w:cs="Arial"/>
          <w:b/>
          <w:bCs/>
          <w:noProof/>
        </w:rPr>
        <w:t xml:space="preserve">validez y eficiacia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 y la innominada o genérica. </w:t>
      </w:r>
      <w:r w:rsidR="000A5795" w:rsidRPr="00427387">
        <w:rPr>
          <w:rFonts w:ascii="Bookman Old Style" w:hAnsi="Bookman Old Style" w:cs="Arial"/>
          <w:bCs/>
          <w:noProof/>
        </w:rPr>
        <w:t>(Anexo1</w:t>
      </w:r>
      <w:r w:rsidR="00A242B4" w:rsidRPr="00427387">
        <w:rPr>
          <w:rFonts w:ascii="Bookman Old Style" w:hAnsi="Bookman Old Style" w:cs="Arial"/>
          <w:bCs/>
          <w:noProof/>
        </w:rPr>
        <w:t>5</w:t>
      </w:r>
      <w:r w:rsidR="000A5795" w:rsidRPr="00427387">
        <w:rPr>
          <w:rFonts w:ascii="Bookman Old Style" w:hAnsi="Bookman Old Style" w:cs="Arial"/>
          <w:bCs/>
          <w:noProof/>
        </w:rPr>
        <w:t>)</w:t>
      </w:r>
    </w:p>
    <w:p w14:paraId="6F8A6785" w14:textId="77777777" w:rsidR="00AC4782" w:rsidRPr="00427387" w:rsidRDefault="00AC4782" w:rsidP="00427387">
      <w:pPr>
        <w:spacing w:line="276" w:lineRule="auto"/>
        <w:ind w:firstLine="0"/>
        <w:rPr>
          <w:rFonts w:ascii="Bookman Old Style" w:hAnsi="Bookman Old Style" w:cs="Arial"/>
          <w:b/>
          <w:bCs/>
          <w:noProof/>
        </w:rPr>
      </w:pPr>
    </w:p>
    <w:p w14:paraId="3C981D2F" w14:textId="77777777" w:rsidR="003073FB" w:rsidRPr="00427387" w:rsidRDefault="003073FB" w:rsidP="00427387">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427387">
        <w:rPr>
          <w:rFonts w:ascii="Bookman Old Style" w:hAnsi="Bookman Old Style" w:cs="Arial"/>
          <w:b/>
          <w:bCs/>
        </w:rPr>
        <w:t>SENTENCIA DE PRIMERA INSTANCIA</w:t>
      </w:r>
    </w:p>
    <w:p w14:paraId="32A474E2" w14:textId="77777777" w:rsidR="003073FB" w:rsidRPr="00427387" w:rsidRDefault="003073FB" w:rsidP="00427387">
      <w:pPr>
        <w:spacing w:line="276" w:lineRule="auto"/>
        <w:ind w:firstLine="0"/>
        <w:rPr>
          <w:rFonts w:ascii="Bookman Old Style" w:hAnsi="Bookman Old Style" w:cs="Arial"/>
        </w:rPr>
      </w:pPr>
    </w:p>
    <w:p w14:paraId="0026F36E" w14:textId="0A320B3F" w:rsidR="004157AE"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La Jueza </w:t>
      </w:r>
      <w:r w:rsidR="00D329F4" w:rsidRPr="00427387">
        <w:rPr>
          <w:rFonts w:ascii="Bookman Old Style" w:hAnsi="Bookman Old Style" w:cs="Arial"/>
          <w:noProof/>
        </w:rPr>
        <w:t>Primero</w:t>
      </w:r>
      <w:r w:rsidR="006D4809" w:rsidRPr="00427387">
        <w:rPr>
          <w:rFonts w:ascii="Bookman Old Style" w:hAnsi="Bookman Old Style" w:cs="Arial"/>
          <w:noProof/>
        </w:rPr>
        <w:t xml:space="preserve"> Laboral Circuito</w:t>
      </w:r>
      <w:r w:rsidR="006D4809" w:rsidRPr="00427387">
        <w:rPr>
          <w:rFonts w:ascii="Bookman Old Style" w:hAnsi="Bookman Old Style" w:cs="Arial"/>
        </w:rPr>
        <w:t xml:space="preserve"> </w:t>
      </w:r>
      <w:r w:rsidR="00EE3DF8" w:rsidRPr="00427387">
        <w:rPr>
          <w:rFonts w:ascii="Bookman Old Style" w:hAnsi="Bookman Old Style" w:cs="Arial"/>
        </w:rPr>
        <w:t>de Pereira</w:t>
      </w:r>
      <w:r w:rsidRPr="00427387">
        <w:rPr>
          <w:rFonts w:ascii="Bookman Old Style" w:hAnsi="Bookman Old Style" w:cs="Arial"/>
        </w:rPr>
        <w:t>, resolvió</w:t>
      </w:r>
      <w:r w:rsidR="004157AE" w:rsidRPr="00427387">
        <w:rPr>
          <w:rFonts w:ascii="Bookman Old Style" w:hAnsi="Bookman Old Style" w:cs="Arial"/>
        </w:rPr>
        <w:t>:</w:t>
      </w:r>
    </w:p>
    <w:p w14:paraId="5BA6C74D" w14:textId="2838AB84" w:rsidR="00162BA7" w:rsidRPr="00427387" w:rsidRDefault="00162BA7" w:rsidP="00427387">
      <w:pPr>
        <w:spacing w:line="276" w:lineRule="auto"/>
        <w:ind w:firstLine="0"/>
        <w:rPr>
          <w:rFonts w:ascii="Bookman Old Style" w:hAnsi="Bookman Old Style" w:cs="Arial"/>
          <w:noProof/>
        </w:rPr>
      </w:pPr>
    </w:p>
    <w:p w14:paraId="6684EF21" w14:textId="77777777" w:rsidR="000E717A" w:rsidRPr="00427387" w:rsidRDefault="00162BA7" w:rsidP="00582E08">
      <w:pPr>
        <w:spacing w:line="276" w:lineRule="auto"/>
        <w:ind w:left="426" w:right="420" w:firstLine="0"/>
        <w:rPr>
          <w:rFonts w:ascii="Bookman Old Style" w:hAnsi="Bookman Old Style"/>
          <w:i/>
        </w:rPr>
      </w:pPr>
      <w:r w:rsidRPr="00427387">
        <w:rPr>
          <w:rFonts w:ascii="Bookman Old Style" w:hAnsi="Bookman Old Style" w:cs="Arial"/>
          <w:noProof/>
        </w:rPr>
        <w:t>“</w:t>
      </w:r>
      <w:r w:rsidR="000E717A" w:rsidRPr="00427387">
        <w:rPr>
          <w:rFonts w:ascii="Bookman Old Style" w:hAnsi="Bookman Old Style"/>
          <w:b/>
          <w:i/>
        </w:rPr>
        <w:t xml:space="preserve">PRIMERO: DECLARAR </w:t>
      </w:r>
      <w:r w:rsidR="000E717A" w:rsidRPr="00427387">
        <w:rPr>
          <w:rFonts w:ascii="Bookman Old Style" w:hAnsi="Bookman Old Style"/>
          <w:i/>
        </w:rPr>
        <w:t xml:space="preserve">no probadas las excepciones propuestas por las demandadas la Administradora Colombiana de Pensiones – COLPENSIONES, y la Administradora de Fondos de Pensiones y Cesantías PORVENIR </w:t>
      </w:r>
      <w:proofErr w:type="spellStart"/>
      <w:r w:rsidR="000E717A" w:rsidRPr="00427387">
        <w:rPr>
          <w:rFonts w:ascii="Bookman Old Style" w:hAnsi="Bookman Old Style"/>
          <w:i/>
        </w:rPr>
        <w:t>S.A</w:t>
      </w:r>
      <w:proofErr w:type="spellEnd"/>
      <w:r w:rsidR="000E717A" w:rsidRPr="00427387">
        <w:rPr>
          <w:rFonts w:ascii="Bookman Old Style" w:hAnsi="Bookman Old Style"/>
          <w:i/>
        </w:rPr>
        <w:t xml:space="preserve"> conforme a lo dicho en la parte motiva. </w:t>
      </w:r>
    </w:p>
    <w:p w14:paraId="0DBF6155" w14:textId="77777777" w:rsidR="000E717A"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t>SEGUNDO: DECLARAR</w:t>
      </w:r>
      <w:r w:rsidRPr="00427387">
        <w:rPr>
          <w:rFonts w:ascii="Bookman Old Style" w:hAnsi="Bookman Old Style"/>
          <w:i/>
        </w:rPr>
        <w:t xml:space="preserve"> ineficaz el traslado del régimen de prima media con prestación definida al régimen de ahorro individual con solidaridad efectuado por el señor CARLOS ALBERTO </w:t>
      </w:r>
      <w:proofErr w:type="spellStart"/>
      <w:r w:rsidRPr="00427387">
        <w:rPr>
          <w:rFonts w:ascii="Bookman Old Style" w:hAnsi="Bookman Old Style"/>
          <w:i/>
        </w:rPr>
        <w:t>ALZATE</w:t>
      </w:r>
      <w:proofErr w:type="spellEnd"/>
      <w:r w:rsidRPr="00427387">
        <w:rPr>
          <w:rFonts w:ascii="Bookman Old Style" w:hAnsi="Bookman Old Style"/>
          <w:i/>
        </w:rPr>
        <w:t xml:space="preserve"> GIRALDO el 8 de abril de 1994, que tuvo efectos a partir del 1° de mayo de 1994 a través de la Administradora de Fondos de Pensiones y Cesantías PORVENIR S.A. </w:t>
      </w:r>
    </w:p>
    <w:p w14:paraId="2D03C2D0" w14:textId="77777777" w:rsidR="000E717A"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t>TERCERO: ORDENAR</w:t>
      </w:r>
      <w:r w:rsidRPr="00427387">
        <w:rPr>
          <w:rFonts w:ascii="Bookman Old Style" w:hAnsi="Bookman Old Style"/>
          <w:i/>
        </w:rPr>
        <w:t xml:space="preserve"> a la Administradora de Fondos de Pensiones y Cesantías PORVENIR S.A. trasladar a la Administradora Colombiana de Pensiones – COLPENSIONES todos los aportes que reposen en la cuenta de ahorro individual de la parte demandante, junto con los rendimientos financieros y además restituir con cargo a sus propios recursos, el valor que durante todo el tiempo de vinculación a dicho régimen del demandante destinó a financiar los gastos de administración, las primas que respaldan la garantía de pensión mínima y las primas de los seguros de invalidez y sobrevivientes, debidamente indexadas. </w:t>
      </w:r>
    </w:p>
    <w:p w14:paraId="5C22BC54" w14:textId="77777777" w:rsidR="000E717A"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t>CUARTO: SE ORDENA</w:t>
      </w:r>
      <w:r w:rsidRPr="00427387">
        <w:rPr>
          <w:rFonts w:ascii="Bookman Old Style" w:hAnsi="Bookman Old Style"/>
          <w:i/>
        </w:rPr>
        <w:t xml:space="preserve"> librar comunicación de esta decisión a la Oficina de Bonos Pensionales del Ministerio de Hacienda y Crédito Público, para que, en caso de haber emitido el bono pensional, proceda con la anulación del mismo mediante trámite interno, aplicando lo previsto en el Decreto 833 de 2016, que compila la normatividad en esta materia. </w:t>
      </w:r>
    </w:p>
    <w:p w14:paraId="7C1AA8EE" w14:textId="77777777" w:rsidR="000E717A"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lastRenderedPageBreak/>
        <w:t>QUINTO: ORDENAR</w:t>
      </w:r>
      <w:r w:rsidRPr="00427387">
        <w:rPr>
          <w:rFonts w:ascii="Bookman Old Style" w:hAnsi="Bookman Old Style"/>
          <w:i/>
        </w:rPr>
        <w:t xml:space="preserve"> a la ADMINISTRADORA DE FONDOS DE PENSIONES Y </w:t>
      </w:r>
      <w:proofErr w:type="spellStart"/>
      <w:r w:rsidRPr="00427387">
        <w:rPr>
          <w:rFonts w:ascii="Bookman Old Style" w:hAnsi="Bookman Old Style"/>
          <w:i/>
        </w:rPr>
        <w:t>CESANTIAS</w:t>
      </w:r>
      <w:proofErr w:type="spellEnd"/>
      <w:r w:rsidRPr="00427387">
        <w:rPr>
          <w:rFonts w:ascii="Bookman Old Style" w:hAnsi="Bookman Old Style"/>
          <w:i/>
        </w:rPr>
        <w:t xml:space="preserve"> PORVENIR que en el evento de habérsele redimido y pagado el bono pensional a que tiene derecho el demandante, restituya la suma que hubiese recibido por este concepto a la </w:t>
      </w:r>
      <w:proofErr w:type="spellStart"/>
      <w:r w:rsidRPr="00427387">
        <w:rPr>
          <w:rFonts w:ascii="Bookman Old Style" w:hAnsi="Bookman Old Style"/>
          <w:i/>
        </w:rPr>
        <w:t>OBP</w:t>
      </w:r>
      <w:proofErr w:type="spellEnd"/>
      <w:r w:rsidRPr="00427387">
        <w:rPr>
          <w:rFonts w:ascii="Bookman Old Style" w:hAnsi="Bookman Old Style"/>
          <w:i/>
        </w:rPr>
        <w:t xml:space="preserve"> del Ministerio de Hacienda y Crédito Público, debidamente actualizada a valor presente, debiendo cancelar dicha indexación con los recursos propios de la AFP</w:t>
      </w:r>
      <w:r w:rsidR="000A5795" w:rsidRPr="00427387">
        <w:rPr>
          <w:rFonts w:ascii="Bookman Old Style" w:hAnsi="Bookman Old Style"/>
          <w:i/>
        </w:rPr>
        <w:t>.</w:t>
      </w:r>
      <w:r w:rsidRPr="00427387">
        <w:rPr>
          <w:rFonts w:ascii="Bookman Old Style" w:hAnsi="Bookman Old Style"/>
          <w:i/>
        </w:rPr>
        <w:t xml:space="preserve"> </w:t>
      </w:r>
    </w:p>
    <w:p w14:paraId="17035DC2" w14:textId="77777777" w:rsidR="000E717A"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t>SEXTO: ORDENAR</w:t>
      </w:r>
      <w:r w:rsidRPr="00427387">
        <w:rPr>
          <w:rFonts w:ascii="Bookman Old Style" w:hAnsi="Bookman Old Style"/>
          <w:i/>
        </w:rPr>
        <w:t xml:space="preserve"> a la Administradora Colombiana de Pensiones – COLPENSIONES proceder sin dilaciones a aceptar el traslado del señor CARLOS ALBERTO </w:t>
      </w:r>
      <w:proofErr w:type="spellStart"/>
      <w:r w:rsidRPr="00427387">
        <w:rPr>
          <w:rFonts w:ascii="Bookman Old Style" w:hAnsi="Bookman Old Style"/>
          <w:i/>
        </w:rPr>
        <w:t>ALZATE</w:t>
      </w:r>
      <w:proofErr w:type="spellEnd"/>
      <w:r w:rsidRPr="00427387">
        <w:rPr>
          <w:rFonts w:ascii="Bookman Old Style" w:hAnsi="Bookman Old Style"/>
          <w:i/>
        </w:rPr>
        <w:t xml:space="preserve"> GIRALDO.</w:t>
      </w:r>
    </w:p>
    <w:p w14:paraId="438FD73E" w14:textId="77777777" w:rsidR="000E717A"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t>SÉPTIMO: DECLARAR</w:t>
      </w:r>
      <w:r w:rsidRPr="00427387">
        <w:rPr>
          <w:rFonts w:ascii="Bookman Old Style" w:hAnsi="Bookman Old Style"/>
          <w:i/>
        </w:rPr>
        <w:t xml:space="preserve"> que el señor CARLOS ALBERTO </w:t>
      </w:r>
      <w:proofErr w:type="spellStart"/>
      <w:r w:rsidRPr="00427387">
        <w:rPr>
          <w:rFonts w:ascii="Bookman Old Style" w:hAnsi="Bookman Old Style"/>
          <w:i/>
        </w:rPr>
        <w:t>ALZATE</w:t>
      </w:r>
      <w:proofErr w:type="spellEnd"/>
      <w:r w:rsidRPr="00427387">
        <w:rPr>
          <w:rFonts w:ascii="Bookman Old Style" w:hAnsi="Bookman Old Style"/>
          <w:i/>
        </w:rPr>
        <w:t xml:space="preserve"> GIRALDO, conserva válida y vigente su a la afiliación al régimen de prima media con prestación definida, dada la declaratoria de ineficacia de su traslado al </w:t>
      </w:r>
      <w:proofErr w:type="spellStart"/>
      <w:r w:rsidRPr="00427387">
        <w:rPr>
          <w:rFonts w:ascii="Bookman Old Style" w:hAnsi="Bookman Old Style"/>
          <w:i/>
        </w:rPr>
        <w:t>RAIS</w:t>
      </w:r>
      <w:proofErr w:type="spellEnd"/>
      <w:r w:rsidRPr="00427387">
        <w:rPr>
          <w:rFonts w:ascii="Bookman Old Style" w:hAnsi="Bookman Old Style"/>
          <w:i/>
        </w:rPr>
        <w:t xml:space="preserve">. </w:t>
      </w:r>
    </w:p>
    <w:p w14:paraId="5FB8E085" w14:textId="77777777" w:rsidR="000E717A"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t>NOVENO: CONDENAR</w:t>
      </w:r>
      <w:r w:rsidRPr="00427387">
        <w:rPr>
          <w:rFonts w:ascii="Bookman Old Style" w:hAnsi="Bookman Old Style"/>
          <w:i/>
        </w:rPr>
        <w:t xml:space="preserve"> a la Administradora de Fondos de Pensiones y Cesantías PORVENIR S.A. a pagar a la demandante las costas procesales generadas en esta instancia a su favor, las que se tasarán y liquidarán en la oportunidad procesal pertinente. </w:t>
      </w:r>
    </w:p>
    <w:p w14:paraId="2118B8ED" w14:textId="00412F1B" w:rsidR="00162BA7" w:rsidRPr="00427387" w:rsidRDefault="000E717A" w:rsidP="00582E08">
      <w:pPr>
        <w:spacing w:line="276" w:lineRule="auto"/>
        <w:ind w:left="426" w:right="420" w:firstLine="0"/>
        <w:rPr>
          <w:rFonts w:ascii="Bookman Old Style" w:hAnsi="Bookman Old Style"/>
          <w:i/>
        </w:rPr>
      </w:pPr>
      <w:r w:rsidRPr="00427387">
        <w:rPr>
          <w:rFonts w:ascii="Bookman Old Style" w:hAnsi="Bookman Old Style"/>
          <w:b/>
          <w:i/>
        </w:rPr>
        <w:t>DÉCIMO: ABSTENERSE</w:t>
      </w:r>
      <w:r w:rsidRPr="00427387">
        <w:rPr>
          <w:rFonts w:ascii="Bookman Old Style" w:hAnsi="Bookman Old Style"/>
          <w:i/>
        </w:rPr>
        <w:t xml:space="preserve"> de imponer condena al pago de costas procesales a la ADMINISTRADORA COLOMBIANA DE PENSIONES – COLPENSIONES conforme a lo dicho en la parte motiva.</w:t>
      </w:r>
      <w:r w:rsidR="00162BA7" w:rsidRPr="00427387">
        <w:rPr>
          <w:rFonts w:ascii="Bookman Old Style" w:hAnsi="Bookman Old Style" w:cs="Arial"/>
          <w:i/>
          <w:noProof/>
        </w:rPr>
        <w:t>”</w:t>
      </w:r>
    </w:p>
    <w:p w14:paraId="18B01872" w14:textId="77777777" w:rsidR="00651ED8" w:rsidRPr="00427387" w:rsidRDefault="00651ED8" w:rsidP="00427387">
      <w:pPr>
        <w:spacing w:line="276" w:lineRule="auto"/>
        <w:ind w:firstLine="0"/>
        <w:rPr>
          <w:rFonts w:ascii="Bookman Old Style" w:hAnsi="Bookman Old Style" w:cs="Arial"/>
        </w:rPr>
      </w:pPr>
    </w:p>
    <w:p w14:paraId="2DD08EB7" w14:textId="3773450C" w:rsidR="002F5890" w:rsidRPr="00427387" w:rsidRDefault="00CC126F" w:rsidP="00427387">
      <w:pPr>
        <w:spacing w:line="276" w:lineRule="auto"/>
        <w:ind w:firstLine="0"/>
        <w:rPr>
          <w:rFonts w:ascii="Bookman Old Style" w:hAnsi="Bookman Old Style" w:cs="Arial"/>
          <w:noProof/>
        </w:rPr>
      </w:pPr>
      <w:r w:rsidRPr="00427387">
        <w:rPr>
          <w:rFonts w:ascii="Bookman Old Style" w:hAnsi="Bookman Old Style" w:cs="Arial"/>
        </w:rPr>
        <w:t>En síntesis, la</w:t>
      </w:r>
      <w:r w:rsidR="002F5890" w:rsidRPr="00427387">
        <w:rPr>
          <w:rFonts w:ascii="Bookman Old Style" w:hAnsi="Bookman Old Style" w:cs="Arial"/>
        </w:rPr>
        <w:t xml:space="preserve"> juez de instancia dedujo </w:t>
      </w:r>
      <w:r w:rsidR="002F5890" w:rsidRPr="00427387">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siendo la AFP a quien le incumbe la carga de probar que, de acuerdo al momento histórico en que se formó el acto, cumplió con el deber de información;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34FFD640" w14:textId="77777777" w:rsidR="002F5890" w:rsidRPr="00427387" w:rsidRDefault="002F5890" w:rsidP="00427387">
      <w:pPr>
        <w:spacing w:line="276" w:lineRule="auto"/>
        <w:ind w:firstLine="0"/>
        <w:rPr>
          <w:rFonts w:ascii="Bookman Old Style" w:hAnsi="Bookman Old Style" w:cs="Arial"/>
          <w:noProof/>
        </w:rPr>
      </w:pPr>
    </w:p>
    <w:p w14:paraId="1189A717" w14:textId="3721CE1F" w:rsidR="00031535" w:rsidRPr="00427387" w:rsidRDefault="002F5890" w:rsidP="00427387">
      <w:pPr>
        <w:spacing w:line="276" w:lineRule="auto"/>
        <w:ind w:firstLine="0"/>
        <w:rPr>
          <w:rFonts w:ascii="Bookman Old Style" w:hAnsi="Bookman Old Style" w:cs="Arial"/>
          <w:noProof/>
        </w:rPr>
      </w:pPr>
      <w:r w:rsidRPr="00427387">
        <w:rPr>
          <w:rFonts w:ascii="Bookman Old Style" w:hAnsi="Bookman Old Style" w:cs="Arial"/>
          <w:noProof/>
        </w:rPr>
        <w:t>En suma, no encontró que la AFP hubiese</w:t>
      </w:r>
      <w:r w:rsidR="00B11B21" w:rsidRPr="00427387">
        <w:rPr>
          <w:rFonts w:ascii="Bookman Old Style" w:hAnsi="Bookman Old Style" w:cs="Arial"/>
          <w:noProof/>
        </w:rPr>
        <w:t xml:space="preserve"> acreditado que info</w:t>
      </w:r>
      <w:r w:rsidR="00253680" w:rsidRPr="00427387">
        <w:rPr>
          <w:rFonts w:ascii="Bookman Old Style" w:hAnsi="Bookman Old Style" w:cs="Arial"/>
          <w:noProof/>
        </w:rPr>
        <w:t xml:space="preserve">rmó </w:t>
      </w:r>
      <w:r w:rsidR="00B5277D" w:rsidRPr="00427387">
        <w:rPr>
          <w:rFonts w:ascii="Bookman Old Style" w:hAnsi="Bookman Old Style" w:cs="Arial"/>
          <w:noProof/>
        </w:rPr>
        <w:t>debidamente al afiliado</w:t>
      </w:r>
      <w:r w:rsidRPr="00427387">
        <w:rPr>
          <w:rFonts w:ascii="Bookman Old Style" w:hAnsi="Bookman Old Style" w:cs="Arial"/>
          <w:noProof/>
        </w:rPr>
        <w:t xml:space="preserve"> al momento del traslado; que solo arrimó el formulario e historiales que resultaron ser insuficient</w:t>
      </w:r>
      <w:r w:rsidR="00253680" w:rsidRPr="00427387">
        <w:rPr>
          <w:rFonts w:ascii="Bookman Old Style" w:hAnsi="Bookman Old Style" w:cs="Arial"/>
          <w:noProof/>
        </w:rPr>
        <w:t>es para acreditar que cumplió</w:t>
      </w:r>
      <w:r w:rsidRPr="00427387">
        <w:rPr>
          <w:rFonts w:ascii="Bookman Old Style" w:hAnsi="Bookman Old Style" w:cs="Arial"/>
          <w:noProof/>
        </w:rPr>
        <w:t xml:space="preserve"> con el deber de información</w:t>
      </w:r>
      <w:r w:rsidR="00031535" w:rsidRPr="00427387">
        <w:rPr>
          <w:rFonts w:ascii="Bookman Old Style" w:hAnsi="Bookman Old Style" w:cs="Arial"/>
          <w:noProof/>
        </w:rPr>
        <w:t>.</w:t>
      </w:r>
      <w:r w:rsidR="00A149FC" w:rsidRPr="00427387">
        <w:rPr>
          <w:rFonts w:ascii="Bookman Old Style" w:hAnsi="Bookman Old Style" w:cs="Arial"/>
          <w:noProof/>
        </w:rPr>
        <w:t xml:space="preserve"> </w:t>
      </w:r>
    </w:p>
    <w:p w14:paraId="6A508F87" w14:textId="77777777" w:rsidR="003073FB" w:rsidRPr="00427387" w:rsidRDefault="003073FB" w:rsidP="00427387">
      <w:pPr>
        <w:spacing w:line="276" w:lineRule="auto"/>
        <w:ind w:firstLine="0"/>
        <w:rPr>
          <w:rFonts w:ascii="Bookman Old Style" w:hAnsi="Bookman Old Style" w:cs="Arial"/>
          <w:noProof/>
        </w:rPr>
      </w:pPr>
    </w:p>
    <w:p w14:paraId="65CB586C" w14:textId="77777777" w:rsidR="003073FB" w:rsidRPr="00427387" w:rsidRDefault="003073FB" w:rsidP="00427387">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427387">
        <w:rPr>
          <w:rFonts w:ascii="Bookman Old Style" w:hAnsi="Bookman Old Style" w:cs="Arial"/>
          <w:b/>
          <w:bCs/>
        </w:rPr>
        <w:t>RECURSOS DE APELACIÓN Y CONSULTA</w:t>
      </w:r>
    </w:p>
    <w:p w14:paraId="450C04E5" w14:textId="77777777" w:rsidR="003073FB" w:rsidRPr="00427387" w:rsidRDefault="003073FB" w:rsidP="00427387">
      <w:pPr>
        <w:spacing w:line="276" w:lineRule="auto"/>
        <w:ind w:left="708" w:firstLine="0"/>
        <w:rPr>
          <w:rFonts w:ascii="Bookman Old Style" w:hAnsi="Bookman Old Style" w:cs="Arial"/>
        </w:rPr>
      </w:pPr>
    </w:p>
    <w:p w14:paraId="0D408438" w14:textId="007A260E" w:rsidR="003073FB" w:rsidRPr="00427387" w:rsidRDefault="000C40B2" w:rsidP="00427387">
      <w:pPr>
        <w:spacing w:line="276" w:lineRule="auto"/>
        <w:ind w:firstLine="0"/>
        <w:rPr>
          <w:rFonts w:ascii="Bookman Old Style" w:hAnsi="Bookman Old Style" w:cs="Arial"/>
        </w:rPr>
      </w:pPr>
      <w:r w:rsidRPr="00427387">
        <w:rPr>
          <w:rFonts w:ascii="Bookman Old Style" w:hAnsi="Bookman Old Style" w:cs="Arial"/>
        </w:rPr>
        <w:t xml:space="preserve">Inconforme </w:t>
      </w:r>
      <w:r w:rsidR="003073FB" w:rsidRPr="00427387">
        <w:rPr>
          <w:rFonts w:ascii="Bookman Old Style" w:hAnsi="Bookman Old Style" w:cs="Arial"/>
        </w:rPr>
        <w:t xml:space="preserve">con la decisión </w:t>
      </w:r>
      <w:r w:rsidR="005C2A3B" w:rsidRPr="00427387">
        <w:rPr>
          <w:rFonts w:ascii="Bookman Old Style" w:hAnsi="Bookman Old Style" w:cs="Arial"/>
        </w:rPr>
        <w:t xml:space="preserve">los </w:t>
      </w:r>
      <w:r w:rsidR="000E717A" w:rsidRPr="00427387">
        <w:rPr>
          <w:rFonts w:ascii="Bookman Old Style" w:hAnsi="Bookman Old Style" w:cs="Arial"/>
        </w:rPr>
        <w:t>apoderado</w:t>
      </w:r>
      <w:r w:rsidR="005C2A3B" w:rsidRPr="00427387">
        <w:rPr>
          <w:rFonts w:ascii="Bookman Old Style" w:hAnsi="Bookman Old Style" w:cs="Arial"/>
        </w:rPr>
        <w:t>s</w:t>
      </w:r>
      <w:r w:rsidR="000E717A" w:rsidRPr="00427387">
        <w:rPr>
          <w:rFonts w:ascii="Bookman Old Style" w:hAnsi="Bookman Old Style" w:cs="Arial"/>
        </w:rPr>
        <w:t xml:space="preserve"> </w:t>
      </w:r>
      <w:r w:rsidR="00C85C10" w:rsidRPr="00427387">
        <w:rPr>
          <w:rFonts w:ascii="Bookman Old Style" w:hAnsi="Bookman Old Style" w:cs="Arial"/>
        </w:rPr>
        <w:t>de</w:t>
      </w:r>
      <w:r w:rsidR="005C2A3B" w:rsidRPr="00427387">
        <w:rPr>
          <w:rFonts w:ascii="Bookman Old Style" w:hAnsi="Bookman Old Style" w:cs="Arial"/>
        </w:rPr>
        <w:t xml:space="preserve"> PORVENIR y</w:t>
      </w:r>
      <w:r w:rsidR="00C85C10" w:rsidRPr="00427387">
        <w:rPr>
          <w:rFonts w:ascii="Bookman Old Style" w:hAnsi="Bookman Old Style" w:cs="Arial"/>
        </w:rPr>
        <w:t xml:space="preserve"> COLPENSIONES</w:t>
      </w:r>
      <w:r w:rsidR="00A140DC" w:rsidRPr="00427387">
        <w:rPr>
          <w:rFonts w:ascii="Bookman Old Style" w:hAnsi="Bookman Old Style" w:cs="Arial"/>
        </w:rPr>
        <w:t xml:space="preserve"> </w:t>
      </w:r>
      <w:r w:rsidR="005C2A3B" w:rsidRPr="00427387">
        <w:rPr>
          <w:rFonts w:ascii="Bookman Old Style" w:hAnsi="Bookman Old Style" w:cs="Arial"/>
        </w:rPr>
        <w:t>recurrieron</w:t>
      </w:r>
      <w:r w:rsidR="004B1E20" w:rsidRPr="00427387">
        <w:rPr>
          <w:rFonts w:ascii="Bookman Old Style" w:hAnsi="Bookman Old Style" w:cs="Arial"/>
        </w:rPr>
        <w:t xml:space="preserve"> la sentencia</w:t>
      </w:r>
      <w:r w:rsidR="003073FB" w:rsidRPr="00427387">
        <w:rPr>
          <w:rFonts w:ascii="Bookman Old Style" w:hAnsi="Bookman Old Style" w:cs="Arial"/>
        </w:rPr>
        <w:t>, así:</w:t>
      </w:r>
    </w:p>
    <w:p w14:paraId="69129C95" w14:textId="0A0DF47F" w:rsidR="005C2A3B" w:rsidRPr="00427387" w:rsidRDefault="005C2A3B" w:rsidP="00427387">
      <w:pPr>
        <w:spacing w:line="276" w:lineRule="auto"/>
        <w:ind w:firstLine="0"/>
        <w:rPr>
          <w:rFonts w:ascii="Bookman Old Style" w:hAnsi="Bookman Old Style" w:cs="Arial"/>
        </w:rPr>
      </w:pPr>
    </w:p>
    <w:p w14:paraId="54696E73" w14:textId="7B96ED7F" w:rsidR="005C2A3B" w:rsidRPr="00427387" w:rsidRDefault="005C2A3B" w:rsidP="00427387">
      <w:pPr>
        <w:spacing w:line="276" w:lineRule="auto"/>
        <w:ind w:firstLine="0"/>
        <w:rPr>
          <w:rFonts w:ascii="Bookman Old Style" w:hAnsi="Bookman Old Style" w:cs="Arial"/>
        </w:rPr>
      </w:pPr>
      <w:r w:rsidRPr="00427387">
        <w:rPr>
          <w:rFonts w:ascii="Bookman Old Style" w:hAnsi="Bookman Old Style" w:cs="Arial"/>
          <w:b/>
        </w:rPr>
        <w:t xml:space="preserve">PORVENIR S.A. </w:t>
      </w:r>
      <w:r w:rsidRPr="00427387">
        <w:rPr>
          <w:rFonts w:ascii="Bookman Old Style" w:hAnsi="Bookman Old Style" w:cs="Arial"/>
        </w:rPr>
        <w:t xml:space="preserve">manifestó que no está conforme con la decisión, especialmente con la orden de devolver los gastos de administración y los seguros previsionales porque se trata de dineros autorizados por la ley para </w:t>
      </w:r>
      <w:r w:rsidRPr="00427387">
        <w:rPr>
          <w:rFonts w:ascii="Bookman Old Style" w:hAnsi="Bookman Old Style" w:cs="Arial"/>
        </w:rPr>
        <w:lastRenderedPageBreak/>
        <w:t xml:space="preserve">ser descontados de los aportes realizados por los afiliados. Además, surge como una contraprestación a las labores realizadas por el fondo del </w:t>
      </w:r>
      <w:proofErr w:type="spellStart"/>
      <w:r w:rsidRPr="00427387">
        <w:rPr>
          <w:rFonts w:ascii="Bookman Old Style" w:hAnsi="Bookman Old Style" w:cs="Arial"/>
        </w:rPr>
        <w:t>RAIS</w:t>
      </w:r>
      <w:proofErr w:type="spellEnd"/>
      <w:r w:rsidRPr="00427387">
        <w:rPr>
          <w:rFonts w:ascii="Bookman Old Style" w:hAnsi="Bookman Old Style" w:cs="Arial"/>
        </w:rPr>
        <w:t xml:space="preserve"> que permitieron generar buenos rendimientos a lo largo de los años y los seguros previsionales se encuentran en manos de terceros. Aunado a ello, señaló que </w:t>
      </w:r>
      <w:r w:rsidR="008364B7" w:rsidRPr="00427387">
        <w:rPr>
          <w:rFonts w:ascii="Bookman Old Style" w:hAnsi="Bookman Old Style" w:cs="Arial"/>
        </w:rPr>
        <w:t>brindó la información completa al accionante para que tomara una decisión libre, informada y pertinente antes de realizar el traslado. En virtud de ello, solicita revoque la sentencia de primera instancia.</w:t>
      </w:r>
    </w:p>
    <w:p w14:paraId="78C5CB90" w14:textId="77777777" w:rsidR="004B1E20" w:rsidRPr="00427387" w:rsidRDefault="004B1E20" w:rsidP="00427387">
      <w:pPr>
        <w:spacing w:line="276" w:lineRule="auto"/>
        <w:ind w:firstLine="0"/>
        <w:rPr>
          <w:rFonts w:ascii="Bookman Old Style" w:hAnsi="Bookman Old Style" w:cs="Arial"/>
        </w:rPr>
      </w:pPr>
    </w:p>
    <w:p w14:paraId="1C5C46E3" w14:textId="44864AA6" w:rsidR="00D9469E" w:rsidRPr="00427387" w:rsidRDefault="00C705DA" w:rsidP="00427387">
      <w:pPr>
        <w:spacing w:line="276" w:lineRule="auto"/>
        <w:ind w:firstLine="0"/>
        <w:rPr>
          <w:rFonts w:ascii="Bookman Old Style" w:hAnsi="Bookman Old Style" w:cs="Arial"/>
          <w:bCs/>
          <w:noProof/>
        </w:rPr>
      </w:pPr>
      <w:bookmarkStart w:id="1" w:name="_Hlk105529623"/>
      <w:r w:rsidRPr="00427387">
        <w:rPr>
          <w:rFonts w:ascii="Bookman Old Style" w:hAnsi="Bookman Old Style" w:cs="Arial"/>
          <w:b/>
          <w:bCs/>
          <w:noProof/>
        </w:rPr>
        <w:t xml:space="preserve">COLPENSIONES </w:t>
      </w:r>
      <w:r w:rsidRPr="00427387">
        <w:rPr>
          <w:rFonts w:ascii="Bookman Old Style" w:hAnsi="Bookman Old Style" w:cs="Arial"/>
          <w:bCs/>
          <w:noProof/>
        </w:rPr>
        <w:t xml:space="preserve">Indicó </w:t>
      </w:r>
      <w:r w:rsidR="008364B7" w:rsidRPr="00427387">
        <w:rPr>
          <w:rFonts w:ascii="Bookman Old Style" w:hAnsi="Bookman Old Style" w:cs="Arial"/>
          <w:bCs/>
          <w:noProof/>
        </w:rPr>
        <w:t>que</w:t>
      </w:r>
      <w:r w:rsidR="008364B7" w:rsidRPr="00427387">
        <w:rPr>
          <w:rFonts w:ascii="Bookman Old Style" w:hAnsi="Bookman Old Style" w:cs="Arial"/>
        </w:rPr>
        <w:t xml:space="preserve"> la pretensión de trasladarse de régimen por parte del demandante, persigue un interés meramente económico, se mantuvo por más de 20 años en el </w:t>
      </w:r>
      <w:proofErr w:type="spellStart"/>
      <w:r w:rsidR="008364B7" w:rsidRPr="00427387">
        <w:rPr>
          <w:rFonts w:ascii="Bookman Old Style" w:hAnsi="Bookman Old Style" w:cs="Arial"/>
        </w:rPr>
        <w:t>RAIS</w:t>
      </w:r>
      <w:proofErr w:type="spellEnd"/>
      <w:r w:rsidR="008364B7" w:rsidRPr="00427387">
        <w:rPr>
          <w:rFonts w:ascii="Bookman Old Style" w:hAnsi="Bookman Old Style" w:cs="Arial"/>
        </w:rPr>
        <w:t>, por lo que, tal ineficacia de traslado atenta con la sostenibilidad financiera del RPM a quien se le impone la carga de resarcir un daño que no causó. Trasladar los saldos existentes y demás, resultan insuficientes para suplir el perjuicio de recibir en el régimen a personas que no contribuyeron por lo menos durante los 10 años. Advirtió que la sentencia desconoce postulados de la Corte Constitucional, pues el actor tiene la edad para acceder a la pensión de vejez.</w:t>
      </w:r>
    </w:p>
    <w:bookmarkEnd w:id="1"/>
    <w:p w14:paraId="6B6A6B2B" w14:textId="12C903BD" w:rsidR="00B11B21" w:rsidRPr="00427387" w:rsidRDefault="00B11B21" w:rsidP="00427387">
      <w:pPr>
        <w:spacing w:line="276" w:lineRule="auto"/>
        <w:ind w:firstLine="0"/>
        <w:rPr>
          <w:rFonts w:ascii="Bookman Old Style" w:hAnsi="Bookman Old Style" w:cs="Arial"/>
          <w:bCs/>
          <w:noProof/>
        </w:rPr>
      </w:pPr>
    </w:p>
    <w:p w14:paraId="0934E179" w14:textId="65BEFFDB"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De otro lado, conforme a lo consagrado en el art. 69 del Código Procesal del Trabajo y de la Seguridad Social (</w:t>
      </w:r>
      <w:proofErr w:type="spellStart"/>
      <w:r w:rsidRPr="00427387">
        <w:rPr>
          <w:rFonts w:ascii="Bookman Old Style" w:hAnsi="Bookman Old Style" w:cs="Arial"/>
        </w:rPr>
        <w:t>CPTSS</w:t>
      </w:r>
      <w:proofErr w:type="spellEnd"/>
      <w:r w:rsidRPr="00427387">
        <w:rPr>
          <w:rFonts w:ascii="Bookman Old Style" w:hAnsi="Bookman Old Style" w:cs="Arial"/>
        </w:rPr>
        <w:t>) la Sala estudiará el fallo del a quo, en grado jurisdiccional de consulta, en lo que no fue objeto de la apelación por Colpensiones.</w:t>
      </w:r>
    </w:p>
    <w:p w14:paraId="4CBA8DF0" w14:textId="77777777" w:rsidR="003073FB" w:rsidRPr="00427387" w:rsidRDefault="003073FB" w:rsidP="00427387">
      <w:pPr>
        <w:spacing w:line="276" w:lineRule="auto"/>
        <w:ind w:firstLine="0"/>
        <w:rPr>
          <w:rFonts w:ascii="Bookman Old Style" w:hAnsi="Bookman Old Style" w:cs="Arial"/>
        </w:rPr>
      </w:pPr>
    </w:p>
    <w:p w14:paraId="2BE405C2" w14:textId="77777777" w:rsidR="003073FB" w:rsidRPr="00427387" w:rsidRDefault="003073FB" w:rsidP="00427387">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427387">
        <w:rPr>
          <w:rFonts w:ascii="Bookman Old Style" w:hAnsi="Bookman Old Style" w:cs="Arial"/>
          <w:b/>
          <w:bCs/>
        </w:rPr>
        <w:t>ALEGATOS</w:t>
      </w:r>
    </w:p>
    <w:p w14:paraId="65BDA796" w14:textId="77777777" w:rsidR="003073FB" w:rsidRPr="00427387" w:rsidRDefault="003073FB" w:rsidP="00427387">
      <w:pPr>
        <w:spacing w:line="276" w:lineRule="auto"/>
        <w:ind w:left="708" w:firstLine="0"/>
        <w:rPr>
          <w:rFonts w:ascii="Bookman Old Style" w:hAnsi="Bookman Old Style" w:cs="Arial"/>
        </w:rPr>
      </w:pPr>
    </w:p>
    <w:p w14:paraId="37D3039A"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Atendiendo 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427387" w:rsidRDefault="003073FB" w:rsidP="00427387">
      <w:pPr>
        <w:spacing w:line="276" w:lineRule="auto"/>
        <w:ind w:firstLine="0"/>
        <w:rPr>
          <w:rFonts w:ascii="Bookman Old Style" w:hAnsi="Bookman Old Style" w:cs="Arial"/>
        </w:rPr>
      </w:pPr>
    </w:p>
    <w:p w14:paraId="1F41EA21"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427387" w:rsidRDefault="003073FB" w:rsidP="00427387">
      <w:pPr>
        <w:spacing w:line="276" w:lineRule="auto"/>
        <w:ind w:firstLine="0"/>
        <w:rPr>
          <w:rFonts w:ascii="Bookman Old Style" w:hAnsi="Bookman Old Style" w:cs="Arial"/>
        </w:rPr>
      </w:pPr>
    </w:p>
    <w:p w14:paraId="0907DB00" w14:textId="77777777" w:rsidR="003073FB" w:rsidRPr="00427387" w:rsidRDefault="003073FB" w:rsidP="00427387">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427387">
        <w:rPr>
          <w:rFonts w:ascii="Bookman Old Style" w:hAnsi="Bookman Old Style" w:cs="Arial"/>
          <w:b/>
          <w:bCs/>
        </w:rPr>
        <w:t>CONSIDERACIONES</w:t>
      </w:r>
    </w:p>
    <w:p w14:paraId="0D693B5C" w14:textId="77777777" w:rsidR="003073FB" w:rsidRPr="00427387" w:rsidRDefault="003073FB" w:rsidP="00427387">
      <w:pPr>
        <w:spacing w:line="276" w:lineRule="auto"/>
        <w:ind w:firstLine="0"/>
        <w:rPr>
          <w:rFonts w:ascii="Bookman Old Style" w:hAnsi="Bookman Old Style" w:cs="Arial"/>
          <w:b/>
        </w:rPr>
      </w:pPr>
    </w:p>
    <w:p w14:paraId="65545C56" w14:textId="77777777" w:rsidR="00CA7B8C"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De acuerdo con los recursos y alegatos presentados por las partes, los (el) problema(s) jurídico(s) a ser abordado(s) consiste(n) en:</w:t>
      </w:r>
      <w:r w:rsidR="00CA7B8C" w:rsidRPr="00427387">
        <w:rPr>
          <w:rFonts w:ascii="Bookman Old Style" w:hAnsi="Bookman Old Style" w:cs="Arial"/>
        </w:rPr>
        <w:t xml:space="preserve"> </w:t>
      </w:r>
    </w:p>
    <w:p w14:paraId="41C7EEFB" w14:textId="77777777" w:rsidR="00CA7B8C" w:rsidRPr="00427387" w:rsidRDefault="00CA7B8C" w:rsidP="00427387">
      <w:pPr>
        <w:spacing w:line="276" w:lineRule="auto"/>
        <w:ind w:firstLine="0"/>
        <w:rPr>
          <w:rFonts w:ascii="Bookman Old Style" w:hAnsi="Bookman Old Style" w:cs="Arial"/>
        </w:rPr>
      </w:pPr>
    </w:p>
    <w:p w14:paraId="1E6714B9" w14:textId="3A034260" w:rsidR="003073FB" w:rsidRPr="00427387" w:rsidRDefault="00CA7B8C" w:rsidP="00427387">
      <w:pPr>
        <w:pStyle w:val="Prrafodelista"/>
        <w:numPr>
          <w:ilvl w:val="0"/>
          <w:numId w:val="3"/>
        </w:numPr>
        <w:spacing w:line="276" w:lineRule="auto"/>
        <w:rPr>
          <w:rFonts w:ascii="Bookman Old Style" w:hAnsi="Bookman Old Style" w:cs="Arial"/>
        </w:rPr>
      </w:pPr>
      <w:r w:rsidRPr="00427387">
        <w:rPr>
          <w:rFonts w:ascii="Bookman Old Style" w:hAnsi="Bookman Old Style" w:cs="Arial"/>
        </w:rPr>
        <w:t>E</w:t>
      </w:r>
      <w:r w:rsidR="003073FB" w:rsidRPr="00427387">
        <w:rPr>
          <w:rFonts w:ascii="Bookman Old Style" w:hAnsi="Bookman Old Style" w:cs="Arial"/>
        </w:rPr>
        <w:t xml:space="preserve">stablecer si </w:t>
      </w:r>
      <w:r w:rsidR="0085206F" w:rsidRPr="00427387">
        <w:rPr>
          <w:rFonts w:ascii="Bookman Old Style" w:hAnsi="Bookman Old Style" w:cs="Arial"/>
        </w:rPr>
        <w:t>había lugar a declarar la ineficacia del traslado de régimen pensional.</w:t>
      </w:r>
    </w:p>
    <w:p w14:paraId="0D172810" w14:textId="68841D13" w:rsidR="00CA7B8C" w:rsidRPr="00427387" w:rsidRDefault="00CA7B8C" w:rsidP="00427387">
      <w:pPr>
        <w:pStyle w:val="Prrafodelista"/>
        <w:spacing w:line="276" w:lineRule="auto"/>
        <w:ind w:left="1080" w:firstLine="0"/>
        <w:rPr>
          <w:rFonts w:ascii="Bookman Old Style" w:hAnsi="Bookman Old Style" w:cs="Arial"/>
        </w:rPr>
      </w:pPr>
      <w:r w:rsidRPr="00427387">
        <w:rPr>
          <w:rFonts w:ascii="Bookman Old Style" w:hAnsi="Bookman Old Style" w:cs="Arial"/>
        </w:rPr>
        <w:t xml:space="preserve"> </w:t>
      </w:r>
    </w:p>
    <w:p w14:paraId="6D1CBF46" w14:textId="41868447" w:rsidR="0085206F" w:rsidRPr="00427387" w:rsidRDefault="0085206F" w:rsidP="00427387">
      <w:pPr>
        <w:pStyle w:val="Prrafodelista"/>
        <w:numPr>
          <w:ilvl w:val="0"/>
          <w:numId w:val="3"/>
        </w:numPr>
        <w:spacing w:line="276" w:lineRule="auto"/>
        <w:rPr>
          <w:rFonts w:ascii="Bookman Old Style" w:hAnsi="Bookman Old Style" w:cs="Arial"/>
        </w:rPr>
      </w:pPr>
      <w:r w:rsidRPr="00427387">
        <w:rPr>
          <w:rFonts w:ascii="Bookman Old Style" w:hAnsi="Bookman Old Style" w:cs="Arial"/>
        </w:rPr>
        <w:t>Había lugar a ordenar a la</w:t>
      </w:r>
      <w:r w:rsidR="008939F9" w:rsidRPr="00427387">
        <w:rPr>
          <w:rFonts w:ascii="Bookman Old Style" w:hAnsi="Bookman Old Style" w:cs="Arial"/>
        </w:rPr>
        <w:t xml:space="preserve"> AFP demandada</w:t>
      </w:r>
      <w:r w:rsidRPr="00427387">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427387" w:rsidRDefault="00B86E32" w:rsidP="00427387">
      <w:pPr>
        <w:pStyle w:val="Prrafodelista"/>
        <w:spacing w:line="276" w:lineRule="auto"/>
        <w:ind w:left="1080" w:firstLine="0"/>
        <w:rPr>
          <w:rFonts w:ascii="Bookman Old Style" w:hAnsi="Bookman Old Style" w:cs="Arial"/>
        </w:rPr>
      </w:pPr>
    </w:p>
    <w:p w14:paraId="5F9943D6" w14:textId="3426429B" w:rsidR="003073FB" w:rsidRPr="00427387" w:rsidRDefault="0085206F" w:rsidP="00427387">
      <w:pPr>
        <w:pStyle w:val="Prrafodelista"/>
        <w:numPr>
          <w:ilvl w:val="0"/>
          <w:numId w:val="3"/>
        </w:numPr>
        <w:spacing w:line="276" w:lineRule="auto"/>
        <w:rPr>
          <w:rFonts w:ascii="Bookman Old Style" w:hAnsi="Bookman Old Style" w:cs="Arial"/>
        </w:rPr>
      </w:pPr>
      <w:r w:rsidRPr="00427387">
        <w:rPr>
          <w:rFonts w:ascii="Bookman Old Style" w:hAnsi="Bookman Old Style" w:cs="Arial"/>
        </w:rPr>
        <w:t>S</w:t>
      </w:r>
      <w:r w:rsidR="003073FB" w:rsidRPr="00427387">
        <w:rPr>
          <w:rFonts w:ascii="Bookman Old Style" w:hAnsi="Bookman Old Style" w:cs="Arial"/>
        </w:rPr>
        <w:t>e deberán analizar las órdenes impartidas en la sentencia y el grado jurisdiccional de consulta en favor de Colpensiones.</w:t>
      </w:r>
    </w:p>
    <w:p w14:paraId="15CC5790" w14:textId="77777777" w:rsidR="003073FB" w:rsidRPr="00427387" w:rsidRDefault="003073FB" w:rsidP="00427387">
      <w:pPr>
        <w:spacing w:line="276" w:lineRule="auto"/>
        <w:ind w:firstLine="0"/>
        <w:rPr>
          <w:rFonts w:ascii="Bookman Old Style" w:hAnsi="Bookman Old Style" w:cs="Arial"/>
        </w:rPr>
      </w:pPr>
    </w:p>
    <w:p w14:paraId="468FF641" w14:textId="6D0FAE3D" w:rsidR="00B44C15" w:rsidRPr="00427387" w:rsidRDefault="00D01A10" w:rsidP="00427387">
      <w:pPr>
        <w:spacing w:line="276" w:lineRule="auto"/>
        <w:ind w:firstLine="0"/>
        <w:rPr>
          <w:rFonts w:ascii="Bookman Old Style" w:hAnsi="Bookman Old Style" w:cs="Arial"/>
        </w:rPr>
      </w:pPr>
      <w:r w:rsidRPr="00427387">
        <w:rPr>
          <w:rFonts w:ascii="Bookman Old Style" w:hAnsi="Bookman Old Style" w:cs="Arial"/>
        </w:rPr>
        <w:lastRenderedPageBreak/>
        <w:t>Para iniciar</w:t>
      </w:r>
      <w:r w:rsidR="003073FB" w:rsidRPr="00427387">
        <w:rPr>
          <w:rFonts w:ascii="Bookman Old Style" w:hAnsi="Bookman Old Style" w:cs="Arial"/>
        </w:rPr>
        <w:t xml:space="preserve">, </w:t>
      </w:r>
      <w:r w:rsidRPr="00427387">
        <w:rPr>
          <w:rFonts w:ascii="Bookman Old Style" w:hAnsi="Bookman Old Style" w:cs="Arial"/>
        </w:rPr>
        <w:t xml:space="preserve">es de tener en cuenta </w:t>
      </w:r>
      <w:r w:rsidR="003073FB" w:rsidRPr="00427387">
        <w:rPr>
          <w:rFonts w:ascii="Bookman Old Style" w:hAnsi="Bookman Old Style" w:cs="Arial"/>
        </w:rPr>
        <w:t>que los siguientes hechos no presentan discusión</w:t>
      </w:r>
      <w:r w:rsidR="00DC68A5" w:rsidRPr="00427387">
        <w:rPr>
          <w:rFonts w:ascii="Bookman Old Style" w:hAnsi="Bookman Old Style" w:cs="Arial"/>
        </w:rPr>
        <w:t xml:space="preserve">: </w:t>
      </w:r>
      <w:r w:rsidR="003073FB" w:rsidRPr="00427387">
        <w:rPr>
          <w:rFonts w:ascii="Bookman Old Style" w:hAnsi="Bookman Old Style" w:cs="Arial"/>
          <w:b/>
          <w:bCs/>
        </w:rPr>
        <w:t>i)</w:t>
      </w:r>
      <w:r w:rsidR="00952B9A" w:rsidRPr="00427387">
        <w:rPr>
          <w:rFonts w:ascii="Bookman Old Style" w:hAnsi="Bookman Old Style" w:cs="Arial"/>
        </w:rPr>
        <w:t xml:space="preserve"> </w:t>
      </w:r>
      <w:r w:rsidR="00B33528" w:rsidRPr="00427387">
        <w:rPr>
          <w:rFonts w:ascii="Bookman Old Style" w:hAnsi="Bookman Old Style" w:cs="Arial"/>
        </w:rPr>
        <w:t>El</w:t>
      </w:r>
      <w:r w:rsidR="0069307F" w:rsidRPr="00427387">
        <w:rPr>
          <w:rFonts w:ascii="Bookman Old Style" w:hAnsi="Bookman Old Style" w:cs="Arial"/>
        </w:rPr>
        <w:t xml:space="preserve"> demandante </w:t>
      </w:r>
      <w:r w:rsidR="00A970EC" w:rsidRPr="00427387">
        <w:rPr>
          <w:rFonts w:ascii="Bookman Old Style" w:hAnsi="Bookman Old Style" w:cs="Arial"/>
        </w:rPr>
        <w:t xml:space="preserve">nació </w:t>
      </w:r>
      <w:r w:rsidR="00B23E3F" w:rsidRPr="00427387">
        <w:rPr>
          <w:rFonts w:ascii="Bookman Old Style" w:hAnsi="Bookman Old Style" w:cs="Arial"/>
        </w:rPr>
        <w:t xml:space="preserve">el </w:t>
      </w:r>
      <w:r w:rsidR="008364B7" w:rsidRPr="00427387">
        <w:rPr>
          <w:rFonts w:ascii="Bookman Old Style" w:hAnsi="Bookman Old Style" w:cs="Arial"/>
        </w:rPr>
        <w:t>27-10-1960</w:t>
      </w:r>
      <w:r w:rsidR="004F270A" w:rsidRPr="00427387">
        <w:rPr>
          <w:rFonts w:ascii="Bookman Old Style" w:hAnsi="Bookman Old Style" w:cs="Arial"/>
        </w:rPr>
        <w:t xml:space="preserve"> (</w:t>
      </w:r>
      <w:proofErr w:type="spellStart"/>
      <w:r w:rsidR="004F270A" w:rsidRPr="00427387">
        <w:rPr>
          <w:rFonts w:ascii="Bookman Old Style" w:hAnsi="Bookman Old Style" w:cs="Arial"/>
        </w:rPr>
        <w:t>fl.</w:t>
      </w:r>
      <w:r w:rsidR="003E246C" w:rsidRPr="00427387">
        <w:rPr>
          <w:rFonts w:ascii="Bookman Old Style" w:hAnsi="Bookman Old Style" w:cs="Arial"/>
        </w:rPr>
        <w:t>1</w:t>
      </w:r>
      <w:proofErr w:type="spellEnd"/>
      <w:r w:rsidR="00B33528" w:rsidRPr="00427387">
        <w:rPr>
          <w:rFonts w:ascii="Bookman Old Style" w:hAnsi="Bookman Old Style" w:cs="Arial"/>
        </w:rPr>
        <w:t xml:space="preserve"> </w:t>
      </w:r>
      <w:proofErr w:type="spellStart"/>
      <w:r w:rsidR="00B33528" w:rsidRPr="00427387">
        <w:rPr>
          <w:rFonts w:ascii="Bookman Old Style" w:hAnsi="Bookman Old Style" w:cs="Arial"/>
        </w:rPr>
        <w:t>anexo</w:t>
      </w:r>
      <w:r w:rsidR="003E246C" w:rsidRPr="00427387">
        <w:rPr>
          <w:rFonts w:ascii="Bookman Old Style" w:hAnsi="Bookman Old Style" w:cs="Arial"/>
        </w:rPr>
        <w:t>4</w:t>
      </w:r>
      <w:proofErr w:type="spellEnd"/>
      <w:r w:rsidR="00B33528" w:rsidRPr="00427387">
        <w:rPr>
          <w:rFonts w:ascii="Bookman Old Style" w:hAnsi="Bookman Old Style" w:cs="Arial"/>
        </w:rPr>
        <w:t>)</w:t>
      </w:r>
      <w:r w:rsidR="00BB3E0E" w:rsidRPr="00427387">
        <w:rPr>
          <w:rFonts w:ascii="Bookman Old Style" w:hAnsi="Bookman Old Style" w:cs="Arial"/>
        </w:rPr>
        <w:t>.</w:t>
      </w:r>
      <w:r w:rsidR="003073FB" w:rsidRPr="00427387">
        <w:rPr>
          <w:rFonts w:ascii="Bookman Old Style" w:hAnsi="Bookman Old Style" w:cs="Arial"/>
        </w:rPr>
        <w:t xml:space="preserve"> </w:t>
      </w:r>
      <w:r w:rsidR="003073FB" w:rsidRPr="00427387">
        <w:rPr>
          <w:rFonts w:ascii="Bookman Old Style" w:hAnsi="Bookman Old Style" w:cs="Arial"/>
          <w:b/>
          <w:bCs/>
        </w:rPr>
        <w:t>ii)</w:t>
      </w:r>
      <w:r w:rsidR="003073FB" w:rsidRPr="00427387">
        <w:rPr>
          <w:rFonts w:ascii="Bookman Old Style" w:hAnsi="Bookman Old Style" w:cs="Arial"/>
        </w:rPr>
        <w:t xml:space="preserve"> </w:t>
      </w:r>
      <w:r w:rsidR="00B33528" w:rsidRPr="00427387">
        <w:rPr>
          <w:rFonts w:ascii="Bookman Old Style" w:hAnsi="Bookman Old Style" w:cs="Arial"/>
        </w:rPr>
        <w:t xml:space="preserve">El </w:t>
      </w:r>
      <w:r w:rsidR="008364B7" w:rsidRPr="00427387">
        <w:rPr>
          <w:rFonts w:ascii="Bookman Old Style" w:hAnsi="Bookman Old Style" w:cs="Arial"/>
        </w:rPr>
        <w:t>08-04-1994</w:t>
      </w:r>
      <w:r w:rsidR="00B44C15" w:rsidRPr="00427387">
        <w:rPr>
          <w:rFonts w:ascii="Bookman Old Style" w:hAnsi="Bookman Old Style" w:cs="Arial"/>
        </w:rPr>
        <w:t xml:space="preserve"> se trasladó de COLPENSIONES a </w:t>
      </w:r>
      <w:r w:rsidR="008364B7" w:rsidRPr="00427387">
        <w:rPr>
          <w:rFonts w:ascii="Bookman Old Style" w:hAnsi="Bookman Old Style" w:cs="Arial"/>
        </w:rPr>
        <w:t xml:space="preserve">PROVENIR S.A. </w:t>
      </w:r>
      <w:r w:rsidR="00136989" w:rsidRPr="00427387">
        <w:rPr>
          <w:rFonts w:ascii="Bookman Old Style" w:hAnsi="Bookman Old Style" w:cs="Arial"/>
        </w:rPr>
        <w:t>(</w:t>
      </w:r>
      <w:proofErr w:type="spellStart"/>
      <w:r w:rsidR="00136989" w:rsidRPr="00427387">
        <w:rPr>
          <w:rFonts w:ascii="Bookman Old Style" w:hAnsi="Bookman Old Style" w:cs="Arial"/>
        </w:rPr>
        <w:t>fl.</w:t>
      </w:r>
      <w:r w:rsidR="008364B7" w:rsidRPr="00427387">
        <w:rPr>
          <w:rFonts w:ascii="Bookman Old Style" w:hAnsi="Bookman Old Style" w:cs="Arial"/>
        </w:rPr>
        <w:t>104</w:t>
      </w:r>
      <w:proofErr w:type="spellEnd"/>
      <w:r w:rsidR="00B44C15" w:rsidRPr="00427387">
        <w:rPr>
          <w:rFonts w:ascii="Bookman Old Style" w:hAnsi="Bookman Old Style" w:cs="Arial"/>
        </w:rPr>
        <w:t xml:space="preserve">, </w:t>
      </w:r>
      <w:proofErr w:type="spellStart"/>
      <w:r w:rsidR="00B44C15" w:rsidRPr="00427387">
        <w:rPr>
          <w:rFonts w:ascii="Bookman Old Style" w:hAnsi="Bookman Old Style" w:cs="Arial"/>
        </w:rPr>
        <w:t>anexo</w:t>
      </w:r>
      <w:r w:rsidR="008364B7" w:rsidRPr="00427387">
        <w:rPr>
          <w:rFonts w:ascii="Bookman Old Style" w:hAnsi="Bookman Old Style" w:cs="Arial"/>
        </w:rPr>
        <w:t>15</w:t>
      </w:r>
      <w:proofErr w:type="spellEnd"/>
      <w:r w:rsidR="00136989" w:rsidRPr="00427387">
        <w:rPr>
          <w:rFonts w:ascii="Bookman Old Style" w:hAnsi="Bookman Old Style" w:cs="Arial"/>
        </w:rPr>
        <w:t xml:space="preserve">). </w:t>
      </w:r>
      <w:proofErr w:type="spellStart"/>
      <w:r w:rsidR="00B23E3F" w:rsidRPr="00427387">
        <w:rPr>
          <w:rFonts w:ascii="Bookman Old Style" w:hAnsi="Bookman Old Style" w:cs="Arial"/>
          <w:b/>
        </w:rPr>
        <w:t>Iii</w:t>
      </w:r>
      <w:proofErr w:type="spellEnd"/>
      <w:r w:rsidR="00B23E3F" w:rsidRPr="00427387">
        <w:rPr>
          <w:rFonts w:ascii="Bookman Old Style" w:hAnsi="Bookman Old Style" w:cs="Arial"/>
          <w:b/>
        </w:rPr>
        <w:t xml:space="preserve">) </w:t>
      </w:r>
      <w:r w:rsidR="00B23E3F" w:rsidRPr="00427387">
        <w:rPr>
          <w:rFonts w:ascii="Bookman Old Style" w:hAnsi="Bookman Old Style" w:cs="Arial"/>
        </w:rPr>
        <w:t>La fecha de redención del bono p</w:t>
      </w:r>
      <w:r w:rsidR="00976776" w:rsidRPr="00427387">
        <w:rPr>
          <w:rFonts w:ascii="Bookman Old Style" w:hAnsi="Bookman Old Style" w:cs="Arial"/>
        </w:rPr>
        <w:t xml:space="preserve">ensional es el </w:t>
      </w:r>
      <w:r w:rsidR="008364B7" w:rsidRPr="00427387">
        <w:rPr>
          <w:rFonts w:ascii="Bookman Old Style" w:hAnsi="Bookman Old Style" w:cs="Arial"/>
        </w:rPr>
        <w:t>27-10-2022.</w:t>
      </w:r>
    </w:p>
    <w:p w14:paraId="4F75A949" w14:textId="77777777" w:rsidR="003073FB" w:rsidRPr="00427387" w:rsidRDefault="003073FB" w:rsidP="00427387">
      <w:pPr>
        <w:spacing w:line="276" w:lineRule="auto"/>
        <w:ind w:firstLine="0"/>
        <w:rPr>
          <w:rFonts w:ascii="Bookman Old Style" w:hAnsi="Bookman Old Style" w:cs="Arial"/>
        </w:rPr>
      </w:pPr>
    </w:p>
    <w:p w14:paraId="34F9C432"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Conforme a los anteriores referentes, pasa la Sala a desatar la alzada, en los siguientes términos:</w:t>
      </w:r>
    </w:p>
    <w:p w14:paraId="6CE880D6" w14:textId="77777777" w:rsidR="003073FB" w:rsidRPr="00427387" w:rsidRDefault="003073FB" w:rsidP="00427387">
      <w:pPr>
        <w:spacing w:line="276" w:lineRule="auto"/>
        <w:ind w:firstLine="0"/>
        <w:rPr>
          <w:rFonts w:ascii="Bookman Old Style" w:hAnsi="Bookman Old Style" w:cs="Arial"/>
        </w:rPr>
      </w:pPr>
    </w:p>
    <w:p w14:paraId="2EA3874E" w14:textId="77777777" w:rsidR="003073FB" w:rsidRPr="00427387" w:rsidRDefault="003073FB" w:rsidP="00427387">
      <w:pPr>
        <w:spacing w:line="276" w:lineRule="auto"/>
        <w:ind w:firstLine="0"/>
        <w:rPr>
          <w:rFonts w:ascii="Bookman Old Style" w:hAnsi="Bookman Old Style" w:cs="Arial"/>
          <w:b/>
        </w:rPr>
      </w:pPr>
      <w:r w:rsidRPr="00427387">
        <w:rPr>
          <w:rFonts w:ascii="Bookman Old Style" w:hAnsi="Bookman Old Style" w:cs="Arial"/>
          <w:b/>
        </w:rPr>
        <w:t>DE LA INEFICACIA DEL TRASLADO DE RÉGIMEN.</w:t>
      </w:r>
    </w:p>
    <w:p w14:paraId="528A9506" w14:textId="77777777" w:rsidR="003073FB" w:rsidRPr="00427387" w:rsidRDefault="003073FB" w:rsidP="00427387">
      <w:pPr>
        <w:spacing w:line="276" w:lineRule="auto"/>
        <w:ind w:firstLine="0"/>
        <w:rPr>
          <w:rFonts w:ascii="Bookman Old Style" w:hAnsi="Bookman Old Style" w:cs="Arial"/>
        </w:rPr>
      </w:pPr>
    </w:p>
    <w:p w14:paraId="2983F148"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Para iniciar, es de advertir que, cuando se pretende por vía judicial la ineficacia del traslado de un afiliado del RPM al </w:t>
      </w:r>
      <w:proofErr w:type="spellStart"/>
      <w:r w:rsidRPr="00427387">
        <w:rPr>
          <w:rFonts w:ascii="Bookman Old Style" w:hAnsi="Bookman Old Style" w:cs="Arial"/>
        </w:rPr>
        <w:t>RAIS</w:t>
      </w:r>
      <w:proofErr w:type="spellEnd"/>
      <w:r w:rsidRPr="00427387">
        <w:rPr>
          <w:rFonts w:ascii="Bookman Old Style" w:hAnsi="Bookman Old Style" w:cs="Arial"/>
        </w:rPr>
        <w:t xml:space="preserve">,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427387" w:rsidRDefault="003073FB" w:rsidP="00427387">
      <w:pPr>
        <w:spacing w:line="276" w:lineRule="auto"/>
        <w:ind w:firstLine="0"/>
        <w:rPr>
          <w:rFonts w:ascii="Bookman Old Style" w:hAnsi="Bookman Old Style" w:cs="Arial"/>
        </w:rPr>
      </w:pPr>
    </w:p>
    <w:p w14:paraId="40EBAD13"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427387" w:rsidRDefault="003073FB" w:rsidP="00427387">
      <w:pPr>
        <w:spacing w:line="276" w:lineRule="auto"/>
        <w:ind w:firstLine="0"/>
        <w:rPr>
          <w:rFonts w:ascii="Bookman Old Style" w:hAnsi="Bookman Old Style" w:cs="Arial"/>
        </w:rPr>
      </w:pPr>
    </w:p>
    <w:p w14:paraId="4DFE95DA"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Lo anterior, tiene fundamento en lo manifestado por la Sala de Casación Laboral de la Corte Suprema de Justicia en sentencias con radicaciones 31314 y 31989 del 9 de septiembre de 2008, No. 33083 del 22 de noviembre de 2011 y la sentencia </w:t>
      </w:r>
      <w:proofErr w:type="spellStart"/>
      <w:r w:rsidRPr="00427387">
        <w:rPr>
          <w:rFonts w:ascii="Bookman Old Style" w:hAnsi="Bookman Old Style" w:cs="Arial"/>
        </w:rPr>
        <w:t>SL</w:t>
      </w:r>
      <w:proofErr w:type="spellEnd"/>
      <w:r w:rsidRPr="00427387">
        <w:rPr>
          <w:rFonts w:ascii="Bookman Old Style" w:hAnsi="Bookman Old Style" w:cs="Arial"/>
        </w:rPr>
        <w:t>-12136 rad. No 46292 del 3 de septiembre de 2014.</w:t>
      </w:r>
    </w:p>
    <w:p w14:paraId="3AC7A955" w14:textId="77777777" w:rsidR="003073FB" w:rsidRPr="00427387" w:rsidRDefault="003073FB" w:rsidP="00427387">
      <w:pPr>
        <w:spacing w:line="276" w:lineRule="auto"/>
        <w:ind w:firstLine="0"/>
        <w:rPr>
          <w:rFonts w:ascii="Bookman Old Style" w:hAnsi="Bookman Old Style" w:cs="Arial"/>
        </w:rPr>
      </w:pPr>
    </w:p>
    <w:p w14:paraId="18B7F341"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Es de anotar que la jurisprudencia antes citada corresponde a traslados respecto a personas beneficiarias del régimen de transición, sin embargo, en sendos pronunciamientos de la Sala de Casación Laboral, entre otras, en la </w:t>
      </w:r>
      <w:proofErr w:type="spellStart"/>
      <w:r w:rsidRPr="00427387">
        <w:rPr>
          <w:rFonts w:ascii="Bookman Old Style" w:hAnsi="Bookman Old Style" w:cs="Arial"/>
        </w:rPr>
        <w:t>SL1452</w:t>
      </w:r>
      <w:proofErr w:type="spellEnd"/>
      <w:r w:rsidRPr="00427387">
        <w:rPr>
          <w:rFonts w:ascii="Bookman Old Style" w:hAnsi="Bookman Old Style" w:cs="Arial"/>
        </w:rPr>
        <w:t xml:space="preserve">-2019, </w:t>
      </w:r>
      <w:proofErr w:type="spellStart"/>
      <w:r w:rsidRPr="00427387">
        <w:rPr>
          <w:rFonts w:ascii="Bookman Old Style" w:hAnsi="Bookman Old Style" w:cs="Arial"/>
        </w:rPr>
        <w:t>SL1017</w:t>
      </w:r>
      <w:proofErr w:type="spellEnd"/>
      <w:r w:rsidRPr="00427387">
        <w:rPr>
          <w:rFonts w:ascii="Bookman Old Style" w:hAnsi="Bookman Old Style" w:cs="Arial"/>
        </w:rPr>
        <w:t xml:space="preserve">-2022, señala que, ni la jurisprudencia desarrollada por </w:t>
      </w:r>
      <w:r w:rsidRPr="00427387">
        <w:rPr>
          <w:rFonts w:ascii="Bookman Old Style" w:hAnsi="Bookman Old Style" w:cs="Arial"/>
        </w:rPr>
        <w:lastRenderedPageBreak/>
        <w:t>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427387">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427387">
        <w:rPr>
          <w:rFonts w:ascii="Bookman Old Style" w:hAnsi="Bookman Old Style" w:cs="Arial"/>
          <w:i/>
          <w:iCs/>
        </w:rPr>
        <w:t xml:space="preserve">» </w:t>
      </w:r>
      <w:r w:rsidRPr="00427387">
        <w:rPr>
          <w:rFonts w:ascii="Bookman Old Style" w:hAnsi="Bookman Old Style" w:cs="Arial"/>
        </w:rPr>
        <w:t>(</w:t>
      </w:r>
      <w:proofErr w:type="spellStart"/>
      <w:r w:rsidRPr="00427387">
        <w:rPr>
          <w:rFonts w:ascii="Bookman Old Style" w:hAnsi="Bookman Old Style" w:cs="Arial"/>
        </w:rPr>
        <w:t>CSJ3719</w:t>
      </w:r>
      <w:proofErr w:type="spellEnd"/>
      <w:r w:rsidRPr="00427387">
        <w:rPr>
          <w:rFonts w:ascii="Bookman Old Style" w:hAnsi="Bookman Old Style" w:cs="Arial"/>
        </w:rPr>
        <w:t xml:space="preserve">-2021), todo ello por cuanto </w:t>
      </w:r>
      <w:r w:rsidRPr="00427387">
        <w:rPr>
          <w:rFonts w:ascii="Bookman Old Style" w:hAnsi="Bookman Old Style" w:cs="Arial"/>
          <w:i/>
          <w:iCs/>
          <w:spacing w:val="-4"/>
        </w:rPr>
        <w:t>«</w:t>
      </w:r>
      <w:r w:rsidRPr="00427387">
        <w:rPr>
          <w:rFonts w:ascii="Bookman Old Style" w:hAnsi="Bookman Old Style" w:cs="Arial"/>
          <w:i/>
          <w:iCs/>
          <w:spacing w:val="-4"/>
          <w:u w:val="single"/>
        </w:rPr>
        <w:t>la violación del deber de información se predica frente a la validez del acto jurídico de traslado, considerado en sí mismo</w:t>
      </w:r>
      <w:r w:rsidRPr="00427387">
        <w:rPr>
          <w:rFonts w:ascii="Bookman Old Style" w:hAnsi="Bookman Old Style" w:cs="Arial"/>
          <w:i/>
          <w:iCs/>
          <w:spacing w:val="-4"/>
        </w:rPr>
        <w:t xml:space="preserve">» </w:t>
      </w:r>
      <w:r w:rsidRPr="00427387">
        <w:rPr>
          <w:rFonts w:ascii="Bookman Old Style" w:hAnsi="Bookman Old Style" w:cs="Arial"/>
          <w:spacing w:val="-4"/>
        </w:rPr>
        <w:t xml:space="preserve">(CSJ </w:t>
      </w:r>
      <w:proofErr w:type="spellStart"/>
      <w:r w:rsidRPr="00427387">
        <w:rPr>
          <w:rFonts w:ascii="Bookman Old Style" w:hAnsi="Bookman Old Style" w:cs="Arial"/>
          <w:spacing w:val="-4"/>
        </w:rPr>
        <w:t>SL1452</w:t>
      </w:r>
      <w:proofErr w:type="spellEnd"/>
      <w:r w:rsidRPr="00427387">
        <w:rPr>
          <w:rFonts w:ascii="Bookman Old Style" w:hAnsi="Bookman Old Style" w:cs="Arial"/>
          <w:spacing w:val="-4"/>
        </w:rPr>
        <w:t xml:space="preserve">-2019, </w:t>
      </w:r>
      <w:proofErr w:type="spellStart"/>
      <w:r w:rsidRPr="00427387">
        <w:rPr>
          <w:rFonts w:ascii="Bookman Old Style" w:hAnsi="Bookman Old Style" w:cs="Arial"/>
          <w:spacing w:val="-4"/>
        </w:rPr>
        <w:t>SL1688</w:t>
      </w:r>
      <w:proofErr w:type="spellEnd"/>
      <w:r w:rsidRPr="00427387">
        <w:rPr>
          <w:rFonts w:ascii="Bookman Old Style" w:hAnsi="Bookman Old Style" w:cs="Arial"/>
          <w:spacing w:val="-4"/>
        </w:rPr>
        <w:t xml:space="preserve">-2019, </w:t>
      </w:r>
      <w:proofErr w:type="spellStart"/>
      <w:r w:rsidRPr="00427387">
        <w:rPr>
          <w:rFonts w:ascii="Bookman Old Style" w:hAnsi="Bookman Old Style" w:cs="Arial"/>
          <w:spacing w:val="-4"/>
        </w:rPr>
        <w:t>SL1689</w:t>
      </w:r>
      <w:proofErr w:type="spellEnd"/>
      <w:r w:rsidRPr="00427387">
        <w:rPr>
          <w:rFonts w:ascii="Bookman Old Style" w:hAnsi="Bookman Old Style" w:cs="Arial"/>
          <w:spacing w:val="-4"/>
        </w:rPr>
        <w:t xml:space="preserve">-2019, </w:t>
      </w:r>
      <w:proofErr w:type="spellStart"/>
      <w:r w:rsidRPr="00427387">
        <w:rPr>
          <w:rFonts w:ascii="Bookman Old Style" w:hAnsi="Bookman Old Style" w:cs="Arial"/>
          <w:spacing w:val="-4"/>
        </w:rPr>
        <w:t>SL4025</w:t>
      </w:r>
      <w:proofErr w:type="spellEnd"/>
      <w:r w:rsidRPr="00427387">
        <w:rPr>
          <w:rFonts w:ascii="Bookman Old Style" w:hAnsi="Bookman Old Style" w:cs="Arial"/>
          <w:spacing w:val="-4"/>
        </w:rPr>
        <w:t xml:space="preserve">-2021). </w:t>
      </w:r>
    </w:p>
    <w:p w14:paraId="63FBC221" w14:textId="77777777" w:rsidR="003073FB" w:rsidRPr="00427387" w:rsidRDefault="003073FB" w:rsidP="00427387">
      <w:pPr>
        <w:spacing w:line="276" w:lineRule="auto"/>
        <w:ind w:firstLine="0"/>
        <w:rPr>
          <w:rFonts w:ascii="Bookman Old Style" w:hAnsi="Bookman Old Style" w:cs="Arial"/>
        </w:rPr>
      </w:pPr>
    </w:p>
    <w:p w14:paraId="4C534AB2" w14:textId="0B2206A3"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427387" w:rsidRDefault="003073FB" w:rsidP="00427387">
      <w:pPr>
        <w:spacing w:line="276" w:lineRule="auto"/>
        <w:ind w:firstLine="0"/>
        <w:rPr>
          <w:rFonts w:ascii="Bookman Old Style" w:hAnsi="Bookman Old Style" w:cs="Arial"/>
        </w:rPr>
      </w:pPr>
    </w:p>
    <w:p w14:paraId="7AD0C737" w14:textId="4AEF1770"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427387">
        <w:rPr>
          <w:rFonts w:ascii="Bookman Old Style" w:hAnsi="Bookman Old Style" w:cs="Arial"/>
        </w:rPr>
        <w:t>pues no puede pretenderse que la</w:t>
      </w:r>
      <w:r w:rsidRPr="00427387">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427387" w:rsidRDefault="003073FB" w:rsidP="00427387">
      <w:pPr>
        <w:spacing w:line="276" w:lineRule="auto"/>
        <w:ind w:firstLine="0"/>
        <w:rPr>
          <w:rFonts w:ascii="Bookman Old Style" w:hAnsi="Bookman Old Style" w:cs="Arial"/>
        </w:rPr>
      </w:pPr>
    </w:p>
    <w:p w14:paraId="24BF4BD6" w14:textId="16B8F2E0"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Además de lo expuesto, la Corte ha reiterado (</w:t>
      </w:r>
      <w:proofErr w:type="spellStart"/>
      <w:r w:rsidRPr="00427387">
        <w:rPr>
          <w:rFonts w:ascii="Bookman Old Style" w:hAnsi="Bookman Old Style" w:cs="Arial"/>
        </w:rPr>
        <w:t>SL1017</w:t>
      </w:r>
      <w:proofErr w:type="spellEnd"/>
      <w:r w:rsidRPr="00427387">
        <w:rPr>
          <w:rFonts w:ascii="Bookman Old Style" w:hAnsi="Bookman Old Style" w:cs="Arial"/>
        </w:rPr>
        <w:t xml:space="preserve">/2022)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w:t>
      </w:r>
      <w:proofErr w:type="spellStart"/>
      <w:r w:rsidRPr="00427387">
        <w:rPr>
          <w:rFonts w:ascii="Bookman Old Style" w:hAnsi="Bookman Old Style" w:cs="Arial"/>
        </w:rPr>
        <w:t>SL3871</w:t>
      </w:r>
      <w:proofErr w:type="spellEnd"/>
      <w:r w:rsidRPr="00427387">
        <w:rPr>
          <w:rFonts w:ascii="Bookman Old Style" w:hAnsi="Bookman Old Style" w:cs="Arial"/>
        </w:rPr>
        <w:t xml:space="preserve">-2021, CSJ </w:t>
      </w:r>
      <w:proofErr w:type="spellStart"/>
      <w:r w:rsidRPr="00427387">
        <w:rPr>
          <w:rFonts w:ascii="Bookman Old Style" w:hAnsi="Bookman Old Style" w:cs="Arial"/>
        </w:rPr>
        <w:t>SL</w:t>
      </w:r>
      <w:proofErr w:type="spellEnd"/>
      <w:r w:rsidRPr="00427387">
        <w:rPr>
          <w:rFonts w:ascii="Bookman Old Style" w:hAnsi="Bookman Old Style" w:cs="Arial"/>
        </w:rPr>
        <w:t xml:space="preserve"> 3611-2021, CSJ </w:t>
      </w:r>
      <w:proofErr w:type="spellStart"/>
      <w:r w:rsidRPr="00427387">
        <w:rPr>
          <w:rFonts w:ascii="Bookman Old Style" w:hAnsi="Bookman Old Style" w:cs="Arial"/>
        </w:rPr>
        <w:t>SL3537</w:t>
      </w:r>
      <w:proofErr w:type="spellEnd"/>
      <w:r w:rsidRPr="00427387">
        <w:rPr>
          <w:rFonts w:ascii="Bookman Old Style" w:hAnsi="Bookman Old Style" w:cs="Arial"/>
        </w:rPr>
        <w:t>-2021).</w:t>
      </w:r>
    </w:p>
    <w:p w14:paraId="504A416F" w14:textId="4BBD12CB" w:rsidR="00611751" w:rsidRPr="00427387" w:rsidRDefault="00611751" w:rsidP="00427387">
      <w:pPr>
        <w:spacing w:line="276" w:lineRule="auto"/>
        <w:ind w:firstLine="0"/>
        <w:rPr>
          <w:rFonts w:ascii="Bookman Old Style" w:hAnsi="Bookman Old Style" w:cs="Arial"/>
        </w:rPr>
      </w:pPr>
    </w:p>
    <w:p w14:paraId="2E604DE1" w14:textId="5F0F256B" w:rsidR="003073FB" w:rsidRPr="00427387" w:rsidRDefault="003073FB" w:rsidP="00427387">
      <w:pPr>
        <w:spacing w:line="276" w:lineRule="auto"/>
        <w:ind w:firstLine="0"/>
        <w:rPr>
          <w:rFonts w:ascii="Bookman Old Style" w:hAnsi="Bookman Old Style" w:cs="Arial"/>
          <w:b/>
          <w:bCs/>
          <w:u w:val="single"/>
        </w:rPr>
      </w:pPr>
      <w:r w:rsidRPr="00427387">
        <w:rPr>
          <w:rFonts w:ascii="Bookman Old Style" w:hAnsi="Bookman Old Style" w:cs="Arial"/>
          <w:u w:val="single"/>
        </w:rPr>
        <w:lastRenderedPageBreak/>
        <w:t>¿</w:t>
      </w:r>
      <w:r w:rsidRPr="00427387">
        <w:rPr>
          <w:rFonts w:ascii="Bookman Old Style" w:hAnsi="Bookman Old Style" w:cs="Arial"/>
          <w:b/>
          <w:bCs/>
          <w:u w:val="single"/>
        </w:rPr>
        <w:t>Se acreditó el cumplimiento del deber de información por parte de la</w:t>
      </w:r>
      <w:r w:rsidR="00952B9A" w:rsidRPr="00427387">
        <w:rPr>
          <w:rFonts w:ascii="Bookman Old Style" w:hAnsi="Bookman Old Style" w:cs="Arial"/>
          <w:b/>
          <w:bCs/>
          <w:u w:val="single"/>
        </w:rPr>
        <w:t>s</w:t>
      </w:r>
      <w:r w:rsidRPr="00427387">
        <w:rPr>
          <w:rFonts w:ascii="Bookman Old Style" w:hAnsi="Bookman Old Style" w:cs="Arial"/>
          <w:b/>
          <w:bCs/>
          <w:u w:val="single"/>
        </w:rPr>
        <w:t xml:space="preserve"> accionada</w:t>
      </w:r>
      <w:r w:rsidR="00952B9A" w:rsidRPr="00427387">
        <w:rPr>
          <w:rFonts w:ascii="Bookman Old Style" w:hAnsi="Bookman Old Style" w:cs="Arial"/>
          <w:b/>
          <w:bCs/>
          <w:u w:val="single"/>
        </w:rPr>
        <w:t>s</w:t>
      </w:r>
      <w:r w:rsidRPr="00427387">
        <w:rPr>
          <w:rFonts w:ascii="Bookman Old Style" w:hAnsi="Bookman Old Style" w:cs="Arial"/>
          <w:b/>
          <w:bCs/>
          <w:u w:val="single"/>
        </w:rPr>
        <w:t>?</w:t>
      </w:r>
    </w:p>
    <w:p w14:paraId="3F988C00" w14:textId="77777777" w:rsidR="003073FB" w:rsidRPr="00427387" w:rsidRDefault="003073FB" w:rsidP="00427387">
      <w:pPr>
        <w:spacing w:line="276" w:lineRule="auto"/>
        <w:ind w:firstLine="0"/>
        <w:rPr>
          <w:rFonts w:ascii="Bookman Old Style" w:hAnsi="Bookman Old Style" w:cs="Arial"/>
        </w:rPr>
      </w:pPr>
    </w:p>
    <w:p w14:paraId="5A3FBEFB" w14:textId="0176E515"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Aplicando los anteriores criterios al caso que nos ocupa, debe decirse que de la documental adosada por la</w:t>
      </w:r>
      <w:r w:rsidR="00887958" w:rsidRPr="00427387">
        <w:rPr>
          <w:rFonts w:ascii="Bookman Old Style" w:hAnsi="Bookman Old Style" w:cs="Arial"/>
        </w:rPr>
        <w:t>s</w:t>
      </w:r>
      <w:r w:rsidR="00E623ED" w:rsidRPr="00427387">
        <w:rPr>
          <w:rFonts w:ascii="Bookman Old Style" w:hAnsi="Bookman Old Style" w:cs="Arial"/>
        </w:rPr>
        <w:t xml:space="preserve"> AFP</w:t>
      </w:r>
      <w:r w:rsidR="00A31ADD" w:rsidRPr="00427387">
        <w:rPr>
          <w:rFonts w:ascii="Bookman Old Style" w:hAnsi="Bookman Old Style" w:cs="Arial"/>
        </w:rPr>
        <w:t xml:space="preserve"> </w:t>
      </w:r>
      <w:r w:rsidRPr="00427387">
        <w:rPr>
          <w:rFonts w:ascii="Bookman Old Style" w:hAnsi="Bookman Old Style" w:cs="Arial"/>
        </w:rPr>
        <w:t>a c</w:t>
      </w:r>
      <w:r w:rsidR="00617A19" w:rsidRPr="00427387">
        <w:rPr>
          <w:rFonts w:ascii="Bookman Old Style" w:hAnsi="Bookman Old Style" w:cs="Arial"/>
        </w:rPr>
        <w:t>argo del traslado de régimen de</w:t>
      </w:r>
      <w:r w:rsidR="00E623ED" w:rsidRPr="00427387">
        <w:rPr>
          <w:rFonts w:ascii="Bookman Old Style" w:hAnsi="Bookman Old Style" w:cs="Arial"/>
        </w:rPr>
        <w:t xml:space="preserve">l </w:t>
      </w:r>
      <w:r w:rsidRPr="00427387">
        <w:rPr>
          <w:rFonts w:ascii="Bookman Old Style" w:hAnsi="Bookman Old Style" w:cs="Arial"/>
        </w:rPr>
        <w:t>demandante</w:t>
      </w:r>
      <w:r w:rsidR="00A31ADD" w:rsidRPr="00427387">
        <w:rPr>
          <w:rFonts w:ascii="Bookman Old Style" w:hAnsi="Bookman Old Style" w:cs="Arial"/>
        </w:rPr>
        <w:t xml:space="preserve">, </w:t>
      </w:r>
      <w:proofErr w:type="gramStart"/>
      <w:r w:rsidR="00A31ADD" w:rsidRPr="00427387">
        <w:rPr>
          <w:rFonts w:ascii="Bookman Old Style" w:hAnsi="Bookman Old Style" w:cs="Arial"/>
        </w:rPr>
        <w:t>ninguna prueba idónea present</w:t>
      </w:r>
      <w:r w:rsidR="00887958" w:rsidRPr="00427387">
        <w:rPr>
          <w:rFonts w:ascii="Bookman Old Style" w:hAnsi="Bookman Old Style" w:cs="Arial"/>
        </w:rPr>
        <w:t>aron</w:t>
      </w:r>
      <w:proofErr w:type="gramEnd"/>
      <w:r w:rsidRPr="00427387">
        <w:rPr>
          <w:rFonts w:ascii="Bookman Old Style" w:hAnsi="Bookman Old Style" w:cs="Arial"/>
        </w:rPr>
        <w:t xml:space="preserve"> para demostrar que en la antesala de </w:t>
      </w:r>
      <w:r w:rsidR="00617A19" w:rsidRPr="00427387">
        <w:rPr>
          <w:rFonts w:ascii="Bookman Old Style" w:hAnsi="Bookman Old Style" w:cs="Arial"/>
        </w:rPr>
        <w:t xml:space="preserve">la decisión que tuvo </w:t>
      </w:r>
      <w:r w:rsidR="007473B4" w:rsidRPr="00427387">
        <w:rPr>
          <w:rFonts w:ascii="Bookman Old Style" w:hAnsi="Bookman Old Style" w:cs="Arial"/>
        </w:rPr>
        <w:t>el</w:t>
      </w:r>
      <w:r w:rsidR="00A31ADD" w:rsidRPr="00427387">
        <w:rPr>
          <w:rFonts w:ascii="Bookman Old Style" w:hAnsi="Bookman Old Style" w:cs="Arial"/>
        </w:rPr>
        <w:t xml:space="preserve"> </w:t>
      </w:r>
      <w:r w:rsidR="00617A19" w:rsidRPr="00427387">
        <w:rPr>
          <w:rFonts w:ascii="Bookman Old Style" w:hAnsi="Bookman Old Style" w:cs="Arial"/>
        </w:rPr>
        <w:t>afiliad</w:t>
      </w:r>
      <w:r w:rsidR="007473B4" w:rsidRPr="00427387">
        <w:rPr>
          <w:rFonts w:ascii="Bookman Old Style" w:hAnsi="Bookman Old Style" w:cs="Arial"/>
        </w:rPr>
        <w:t>o</w:t>
      </w:r>
      <w:r w:rsidRPr="00427387">
        <w:rPr>
          <w:rFonts w:ascii="Bookman Old Style" w:hAnsi="Bookman Old Style" w:cs="Arial"/>
        </w:rPr>
        <w:t xml:space="preserve"> para migrar del RPM con PD, </w:t>
      </w:r>
      <w:r w:rsidR="00142749" w:rsidRPr="00427387">
        <w:rPr>
          <w:rFonts w:ascii="Bookman Old Style" w:hAnsi="Bookman Old Style" w:cs="Arial"/>
        </w:rPr>
        <w:t>que cumplió</w:t>
      </w:r>
      <w:r w:rsidRPr="00427387">
        <w:rPr>
          <w:rFonts w:ascii="Bookman Old Style" w:hAnsi="Bookman Old Style" w:cs="Arial"/>
        </w:rPr>
        <w:t xml:space="preserve"> con su deber de información, esto es, dotando </w:t>
      </w:r>
      <w:r w:rsidR="00617A19" w:rsidRPr="00427387">
        <w:rPr>
          <w:rFonts w:ascii="Bookman Old Style" w:hAnsi="Bookman Old Style" w:cs="Arial"/>
        </w:rPr>
        <w:t>a</w:t>
      </w:r>
      <w:r w:rsidR="007473B4" w:rsidRPr="00427387">
        <w:rPr>
          <w:rFonts w:ascii="Bookman Old Style" w:hAnsi="Bookman Old Style" w:cs="Arial"/>
        </w:rPr>
        <w:t>l</w:t>
      </w:r>
      <w:r w:rsidR="00A31ADD" w:rsidRPr="00427387">
        <w:rPr>
          <w:rFonts w:ascii="Bookman Old Style" w:hAnsi="Bookman Old Style" w:cs="Arial"/>
        </w:rPr>
        <w:t xml:space="preserve"> </w:t>
      </w:r>
      <w:r w:rsidRPr="00427387">
        <w:rPr>
          <w:rFonts w:ascii="Bookman Old Style" w:hAnsi="Bookman Old Style" w:cs="Arial"/>
        </w:rPr>
        <w:t>reclamante de todo el conocimiento que requería para adoptar una decisión consciente, racional y ajustada a sus expectativas pensionales.</w:t>
      </w:r>
    </w:p>
    <w:p w14:paraId="5A8E7B00" w14:textId="77777777" w:rsidR="003073FB" w:rsidRPr="00427387" w:rsidRDefault="003073FB" w:rsidP="00427387">
      <w:pPr>
        <w:spacing w:line="276" w:lineRule="auto"/>
        <w:ind w:firstLine="0"/>
        <w:rPr>
          <w:rFonts w:ascii="Bookman Old Style" w:hAnsi="Bookman Old Style" w:cs="Arial"/>
        </w:rPr>
      </w:pPr>
    </w:p>
    <w:p w14:paraId="27118458" w14:textId="10F250D1"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Ahora, </w:t>
      </w:r>
      <w:r w:rsidR="00AC273E" w:rsidRPr="00427387">
        <w:rPr>
          <w:rFonts w:ascii="Bookman Old Style" w:hAnsi="Bookman Old Style" w:cs="Arial"/>
        </w:rPr>
        <w:t xml:space="preserve">si bien </w:t>
      </w:r>
      <w:r w:rsidR="007473B4" w:rsidRPr="00427387">
        <w:rPr>
          <w:rFonts w:ascii="Bookman Old Style" w:hAnsi="Bookman Old Style" w:cs="Arial"/>
        </w:rPr>
        <w:t>el actor</w:t>
      </w:r>
      <w:r w:rsidR="00AC273E" w:rsidRPr="00427387">
        <w:rPr>
          <w:rFonts w:ascii="Bookman Old Style" w:hAnsi="Bookman Old Style" w:cs="Arial"/>
        </w:rPr>
        <w:t xml:space="preserve"> suscribió el formulario de</w:t>
      </w:r>
      <w:r w:rsidRPr="00427387">
        <w:rPr>
          <w:rFonts w:ascii="Bookman Old Style" w:hAnsi="Bookman Old Style" w:cs="Arial"/>
        </w:rPr>
        <w:t xml:space="preserve"> manera “</w:t>
      </w:r>
      <w:r w:rsidRPr="005112F4">
        <w:rPr>
          <w:rFonts w:ascii="Bookman Old Style" w:hAnsi="Bookman Old Style" w:cs="Arial"/>
          <w:i/>
          <w:iCs/>
          <w:sz w:val="22"/>
        </w:rPr>
        <w:t>libre, voluntaria y sin presiones</w:t>
      </w:r>
      <w:r w:rsidRPr="00427387">
        <w:rPr>
          <w:rFonts w:ascii="Bookman Old Style" w:hAnsi="Bookman Old Style" w:cs="Arial"/>
          <w:i/>
          <w:iCs/>
        </w:rPr>
        <w:t>”,</w:t>
      </w:r>
      <w:r w:rsidRPr="00427387">
        <w:rPr>
          <w:rFonts w:ascii="Bookman Old Style" w:hAnsi="Bookman Old Style" w:cs="Arial"/>
        </w:rPr>
        <w:t xml:space="preserve"> de 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w:t>
      </w:r>
      <w:r w:rsidR="00887958" w:rsidRPr="00427387">
        <w:rPr>
          <w:rFonts w:ascii="Bookman Old Style" w:hAnsi="Bookman Old Style" w:cs="Arial"/>
        </w:rPr>
        <w:t>s</w:t>
      </w:r>
      <w:r w:rsidRPr="00427387">
        <w:rPr>
          <w:rFonts w:ascii="Bookman Old Style" w:hAnsi="Bookman Old Style" w:cs="Arial"/>
        </w:rPr>
        <w:t xml:space="preserve"> AFP realizar un proyecto pensional, en donde se informara</w:t>
      </w:r>
      <w:r w:rsidR="00887958" w:rsidRPr="00427387">
        <w:rPr>
          <w:rFonts w:ascii="Bookman Old Style" w:hAnsi="Bookman Old Style" w:cs="Arial"/>
        </w:rPr>
        <w:t>n</w:t>
      </w:r>
      <w:r w:rsidRPr="00427387">
        <w:rPr>
          <w:rFonts w:ascii="Bookman Old Style" w:hAnsi="Bookman Old Style" w:cs="Arial"/>
        </w:rPr>
        <w:t xml:space="preserve"> sobre las posibilidades de contar con un </w:t>
      </w:r>
      <w:r w:rsidRPr="00427387">
        <w:rPr>
          <w:rFonts w:ascii="Bookman Old Style" w:hAnsi="Bookman Old Style" w:cs="Arial"/>
          <w:i/>
        </w:rPr>
        <w:t>quantum</w:t>
      </w:r>
      <w:r w:rsidRPr="00427387">
        <w:rPr>
          <w:rFonts w:ascii="Bookman Old Style" w:hAnsi="Bookman Old Style" w:cs="Arial"/>
        </w:rPr>
        <w:t xml:space="preserve"> ajustado a las expectativas en el régimen al cual se va a trasladar, la diferencia de pagos de aportes y como se ha reiterado, las posibles implicaciones o favorabilidades, permitiendo para el Juzgador, identificar que el traslado se efectuó con total transparencia y bajo una decisión claramente racional. </w:t>
      </w:r>
    </w:p>
    <w:p w14:paraId="42760E83" w14:textId="46177D59" w:rsidR="00BB60BF" w:rsidRPr="00427387" w:rsidRDefault="00BB60BF" w:rsidP="00427387">
      <w:pPr>
        <w:spacing w:line="276" w:lineRule="auto"/>
        <w:ind w:firstLine="0"/>
        <w:rPr>
          <w:rFonts w:ascii="Bookman Old Style" w:hAnsi="Bookman Old Style" w:cs="Arial"/>
        </w:rPr>
      </w:pPr>
    </w:p>
    <w:p w14:paraId="44C2DD90" w14:textId="77063700" w:rsidR="00FB6F2D" w:rsidRPr="00427387" w:rsidRDefault="00BB60BF" w:rsidP="00427387">
      <w:pPr>
        <w:spacing w:line="276" w:lineRule="auto"/>
        <w:ind w:firstLine="0"/>
        <w:rPr>
          <w:rFonts w:ascii="Bookman Old Style" w:hAnsi="Bookman Old Style" w:cs="Arial"/>
        </w:rPr>
      </w:pPr>
      <w:r w:rsidRPr="00427387">
        <w:rPr>
          <w:rFonts w:ascii="Bookman Old Style" w:hAnsi="Bookman Old Style" w:cs="Arial"/>
        </w:rPr>
        <w:t xml:space="preserve">Para auscultar si se cumplió con ese propósito, se escuchó </w:t>
      </w:r>
      <w:r w:rsidRPr="00427387">
        <w:rPr>
          <w:rFonts w:ascii="Bookman Old Style" w:hAnsi="Bookman Old Style" w:cs="Arial"/>
          <w:b/>
        </w:rPr>
        <w:t>en interrogatorio a la parte demandante</w:t>
      </w:r>
      <w:r w:rsidRPr="00427387">
        <w:rPr>
          <w:rFonts w:ascii="Bookman Old Style" w:hAnsi="Bookman Old Style" w:cs="Arial"/>
        </w:rPr>
        <w:t xml:space="preserve"> en lo que respecta a la información que le antecedió a la decisión de trasladarse de régimen, refirió</w:t>
      </w:r>
      <w:r w:rsidR="00A31ADD" w:rsidRPr="00427387">
        <w:rPr>
          <w:rFonts w:ascii="Bookman Old Style" w:hAnsi="Bookman Old Style" w:cs="Arial"/>
        </w:rPr>
        <w:t xml:space="preserve"> </w:t>
      </w:r>
      <w:r w:rsidR="009D241D" w:rsidRPr="00427387">
        <w:rPr>
          <w:rFonts w:ascii="Bookman Old Style" w:hAnsi="Bookman Old Style" w:cs="Arial"/>
        </w:rPr>
        <w:t>que</w:t>
      </w:r>
      <w:r w:rsidR="00144A09" w:rsidRPr="00427387">
        <w:rPr>
          <w:rFonts w:ascii="Bookman Old Style" w:hAnsi="Bookman Old Style" w:cs="Arial"/>
        </w:rPr>
        <w:t xml:space="preserve"> en 1994 laboraba para una compañía financiera y ahí se presentó el asesor del fondo privado para informarle a los trabajadores que debían cambiar de régimen pensional, ya que, el </w:t>
      </w:r>
      <w:proofErr w:type="spellStart"/>
      <w:r w:rsidR="00144A09" w:rsidRPr="00427387">
        <w:rPr>
          <w:rFonts w:ascii="Bookman Old Style" w:hAnsi="Bookman Old Style" w:cs="Arial"/>
        </w:rPr>
        <w:t>ISS</w:t>
      </w:r>
      <w:proofErr w:type="spellEnd"/>
      <w:r w:rsidR="00144A09" w:rsidRPr="00427387">
        <w:rPr>
          <w:rFonts w:ascii="Bookman Old Style" w:hAnsi="Bookman Old Style" w:cs="Arial"/>
        </w:rPr>
        <w:t xml:space="preserve"> iba a desaparecer y en el fondo privado obtendría una mesada mucho más alta de la que obtendrían en COLPENSIONES. Indicó que desea retornar al RPM porque considera que el fondo privado no le brindó una asesoría real y completa de las consecuencias de cambiarse del </w:t>
      </w:r>
      <w:proofErr w:type="spellStart"/>
      <w:r w:rsidR="00144A09" w:rsidRPr="00427387">
        <w:rPr>
          <w:rFonts w:ascii="Bookman Old Style" w:hAnsi="Bookman Old Style" w:cs="Arial"/>
        </w:rPr>
        <w:t>ISS</w:t>
      </w:r>
      <w:proofErr w:type="spellEnd"/>
      <w:r w:rsidR="00144A09" w:rsidRPr="00427387">
        <w:rPr>
          <w:rFonts w:ascii="Bookman Old Style" w:hAnsi="Bookman Old Style" w:cs="Arial"/>
        </w:rPr>
        <w:t xml:space="preserve"> a PORVENIR y siente que vulneraron sus derechos. Finalmente, afirmó que no solicitó ni le fue brindada una </w:t>
      </w:r>
      <w:proofErr w:type="spellStart"/>
      <w:r w:rsidR="00144A09" w:rsidRPr="00427387">
        <w:rPr>
          <w:rFonts w:ascii="Bookman Old Style" w:hAnsi="Bookman Old Style" w:cs="Arial"/>
        </w:rPr>
        <w:t>reasesoría</w:t>
      </w:r>
      <w:proofErr w:type="spellEnd"/>
      <w:r w:rsidR="00144A09" w:rsidRPr="00427387">
        <w:rPr>
          <w:rFonts w:ascii="Bookman Old Style" w:hAnsi="Bookman Old Style" w:cs="Arial"/>
        </w:rPr>
        <w:t>.</w:t>
      </w:r>
    </w:p>
    <w:p w14:paraId="0AAE7105" w14:textId="77777777" w:rsidR="00512989" w:rsidRPr="00427387" w:rsidRDefault="00512989" w:rsidP="00427387">
      <w:pPr>
        <w:spacing w:line="276" w:lineRule="auto"/>
        <w:ind w:firstLine="0"/>
        <w:rPr>
          <w:rFonts w:ascii="Bookman Old Style" w:hAnsi="Bookman Old Style" w:cs="Arial"/>
        </w:rPr>
      </w:pPr>
    </w:p>
    <w:p w14:paraId="1973D49D" w14:textId="593B5D5E" w:rsidR="00BB60BF" w:rsidRPr="00427387" w:rsidRDefault="006D0204" w:rsidP="00427387">
      <w:pPr>
        <w:spacing w:line="276" w:lineRule="auto"/>
        <w:ind w:firstLine="0"/>
        <w:rPr>
          <w:rFonts w:ascii="Bookman Old Style" w:hAnsi="Bookman Old Style" w:cs="Arial"/>
        </w:rPr>
      </w:pPr>
      <w:r w:rsidRPr="00427387">
        <w:rPr>
          <w:rFonts w:ascii="Bookman Old Style" w:hAnsi="Bookman Old Style" w:cs="Arial"/>
        </w:rPr>
        <w:t xml:space="preserve">Pues bien, </w:t>
      </w:r>
      <w:r w:rsidR="00FC1431" w:rsidRPr="00427387">
        <w:rPr>
          <w:rFonts w:ascii="Bookman Old Style" w:hAnsi="Bookman Old Style" w:cs="Arial"/>
        </w:rPr>
        <w:t xml:space="preserve">se advierte </w:t>
      </w:r>
      <w:r w:rsidR="00BB60BF" w:rsidRPr="00427387">
        <w:rPr>
          <w:rFonts w:ascii="Bookman Old Style" w:hAnsi="Bookman Old Style" w:cs="Arial"/>
        </w:rPr>
        <w:t>que no se encontraron manifestaciones que, conjunta o individualmente, puedan calificarse como una confesión de haber recibido la información a que estaba</w:t>
      </w:r>
      <w:r w:rsidR="00887958" w:rsidRPr="00427387">
        <w:rPr>
          <w:rFonts w:ascii="Bookman Old Style" w:hAnsi="Bookman Old Style" w:cs="Arial"/>
        </w:rPr>
        <w:t>n</w:t>
      </w:r>
      <w:r w:rsidR="00BB60BF" w:rsidRPr="00427387">
        <w:rPr>
          <w:rFonts w:ascii="Bookman Old Style" w:hAnsi="Bookman Old Style" w:cs="Arial"/>
        </w:rPr>
        <w:t xml:space="preserve"> obligada</w:t>
      </w:r>
      <w:r w:rsidR="00887958" w:rsidRPr="00427387">
        <w:rPr>
          <w:rFonts w:ascii="Bookman Old Style" w:hAnsi="Bookman Old Style" w:cs="Arial"/>
        </w:rPr>
        <w:t>s</w:t>
      </w:r>
      <w:r w:rsidR="00B44C15" w:rsidRPr="00427387">
        <w:rPr>
          <w:rFonts w:ascii="Bookman Old Style" w:hAnsi="Bookman Old Style" w:cs="Arial"/>
        </w:rPr>
        <w:t xml:space="preserve"> </w:t>
      </w:r>
      <w:r w:rsidR="00BB60BF" w:rsidRPr="00427387">
        <w:rPr>
          <w:rFonts w:ascii="Bookman Old Style" w:hAnsi="Bookman Old Style" w:cs="Arial"/>
        </w:rPr>
        <w:t>la</w:t>
      </w:r>
      <w:r w:rsidR="00887958" w:rsidRPr="00427387">
        <w:rPr>
          <w:rFonts w:ascii="Bookman Old Style" w:hAnsi="Bookman Old Style" w:cs="Arial"/>
        </w:rPr>
        <w:t>s</w:t>
      </w:r>
      <w:r w:rsidR="00BB60BF" w:rsidRPr="00427387">
        <w:rPr>
          <w:rFonts w:ascii="Bookman Old Style" w:hAnsi="Bookman Old Style" w:cs="Arial"/>
        </w:rPr>
        <w:t xml:space="preserve"> AFP en la antesala del traslado de régimen pensional, lo que implica que la</w:t>
      </w:r>
      <w:r w:rsidR="00887958" w:rsidRPr="00427387">
        <w:rPr>
          <w:rFonts w:ascii="Bookman Old Style" w:hAnsi="Bookman Old Style" w:cs="Arial"/>
        </w:rPr>
        <w:t>s</w:t>
      </w:r>
      <w:r w:rsidR="00BB60BF" w:rsidRPr="00427387">
        <w:rPr>
          <w:rFonts w:ascii="Bookman Old Style" w:hAnsi="Bookman Old Style" w:cs="Arial"/>
        </w:rPr>
        <w:t xml:space="preserve"> AFP </w:t>
      </w:r>
      <w:r w:rsidR="00B44C15" w:rsidRPr="00427387">
        <w:rPr>
          <w:rFonts w:ascii="Bookman Old Style" w:hAnsi="Bookman Old Style" w:cs="Arial"/>
        </w:rPr>
        <w:t>no cumpli</w:t>
      </w:r>
      <w:r w:rsidR="00887958" w:rsidRPr="00427387">
        <w:rPr>
          <w:rFonts w:ascii="Bookman Old Style" w:hAnsi="Bookman Old Style" w:cs="Arial"/>
        </w:rPr>
        <w:t>eron con</w:t>
      </w:r>
      <w:r w:rsidR="00DB634D" w:rsidRPr="00427387">
        <w:rPr>
          <w:rFonts w:ascii="Bookman Old Style" w:hAnsi="Bookman Old Style" w:cs="Arial"/>
        </w:rPr>
        <w:t xml:space="preserve"> el deber de asesoría, aun cuando</w:t>
      </w:r>
      <w:r w:rsidR="00234859" w:rsidRPr="00427387">
        <w:rPr>
          <w:rFonts w:ascii="Bookman Old Style" w:hAnsi="Bookman Old Style" w:cs="Arial"/>
        </w:rPr>
        <w:t xml:space="preserve"> alleg</w:t>
      </w:r>
      <w:r w:rsidR="00887958" w:rsidRPr="00427387">
        <w:rPr>
          <w:rFonts w:ascii="Bookman Old Style" w:hAnsi="Bookman Old Style" w:cs="Arial"/>
        </w:rPr>
        <w:t>aron los</w:t>
      </w:r>
      <w:r w:rsidR="00BB60BF" w:rsidRPr="00427387">
        <w:rPr>
          <w:rFonts w:ascii="Bookman Old Style" w:hAnsi="Bookman Old Style" w:cs="Arial"/>
        </w:rPr>
        <w:t xml:space="preserve"> formulario</w:t>
      </w:r>
      <w:r w:rsidR="00887958" w:rsidRPr="00427387">
        <w:rPr>
          <w:rFonts w:ascii="Bookman Old Style" w:hAnsi="Bookman Old Style" w:cs="Arial"/>
        </w:rPr>
        <w:t>s</w:t>
      </w:r>
      <w:r w:rsidR="00DB634D" w:rsidRPr="00427387">
        <w:rPr>
          <w:rFonts w:ascii="Bookman Old Style" w:hAnsi="Bookman Old Style" w:cs="Arial"/>
        </w:rPr>
        <w:t xml:space="preserve"> que se suscribi</w:t>
      </w:r>
      <w:r w:rsidR="00887958" w:rsidRPr="00427387">
        <w:rPr>
          <w:rFonts w:ascii="Bookman Old Style" w:hAnsi="Bookman Old Style" w:cs="Arial"/>
        </w:rPr>
        <w:t>eron</w:t>
      </w:r>
      <w:r w:rsidR="00BB60BF" w:rsidRPr="00427387">
        <w:rPr>
          <w:rFonts w:ascii="Bookman Old Style" w:hAnsi="Bookman Old Style" w:cs="Arial"/>
        </w:rPr>
        <w:t xml:space="preserve"> de manera libre, </w:t>
      </w:r>
      <w:r w:rsidR="00234859" w:rsidRPr="00427387">
        <w:rPr>
          <w:rFonts w:ascii="Bookman Old Style" w:hAnsi="Bookman Old Style" w:cs="Arial"/>
        </w:rPr>
        <w:t xml:space="preserve">voluntaria y sin presiones, </w:t>
      </w:r>
      <w:r w:rsidR="00DB634D" w:rsidRPr="00427387">
        <w:rPr>
          <w:rFonts w:ascii="Bookman Old Style" w:hAnsi="Bookman Old Style" w:cs="Arial"/>
        </w:rPr>
        <w:t>ello no basta para c</w:t>
      </w:r>
      <w:r w:rsidR="00234859" w:rsidRPr="00427387">
        <w:rPr>
          <w:rFonts w:ascii="Bookman Old Style" w:hAnsi="Bookman Old Style" w:cs="Arial"/>
        </w:rPr>
        <w:t>oncluir</w:t>
      </w:r>
      <w:r w:rsidR="00BB60BF" w:rsidRPr="00427387">
        <w:rPr>
          <w:rFonts w:ascii="Bookman Old Style" w:hAnsi="Bookman Old Style" w:cs="Arial"/>
        </w:rPr>
        <w:t xml:space="preserve"> que cumpli</w:t>
      </w:r>
      <w:r w:rsidR="00887958" w:rsidRPr="00427387">
        <w:rPr>
          <w:rFonts w:ascii="Bookman Old Style" w:hAnsi="Bookman Old Style" w:cs="Arial"/>
        </w:rPr>
        <w:t>eron</w:t>
      </w:r>
      <w:r w:rsidR="00BB60BF" w:rsidRPr="00427387">
        <w:rPr>
          <w:rFonts w:ascii="Bookman Old Style" w:hAnsi="Bookman Old Style" w:cs="Arial"/>
        </w:rPr>
        <w:t xml:space="preserve"> con el deber </w:t>
      </w:r>
      <w:r w:rsidR="00B44C15" w:rsidRPr="00427387">
        <w:rPr>
          <w:rFonts w:ascii="Bookman Old Style" w:hAnsi="Bookman Old Style" w:cs="Arial"/>
        </w:rPr>
        <w:t>que le</w:t>
      </w:r>
      <w:r w:rsidR="00887958" w:rsidRPr="00427387">
        <w:rPr>
          <w:rFonts w:ascii="Bookman Old Style" w:hAnsi="Bookman Old Style" w:cs="Arial"/>
        </w:rPr>
        <w:t>s</w:t>
      </w:r>
      <w:r w:rsidR="00DB634D" w:rsidRPr="00427387">
        <w:rPr>
          <w:rFonts w:ascii="Bookman Old Style" w:hAnsi="Bookman Old Style" w:cs="Arial"/>
        </w:rPr>
        <w:t xml:space="preserve"> correspondía</w:t>
      </w:r>
      <w:r w:rsidR="00BB60BF" w:rsidRPr="00427387">
        <w:rPr>
          <w:rFonts w:ascii="Bookman Old Style" w:hAnsi="Bookman Old Style" w:cs="Arial"/>
        </w:rPr>
        <w:t>.</w:t>
      </w:r>
    </w:p>
    <w:p w14:paraId="5A66B182" w14:textId="30B4BF24" w:rsidR="00B33528" w:rsidRPr="00427387" w:rsidRDefault="00B33528" w:rsidP="00427387">
      <w:pPr>
        <w:spacing w:line="276" w:lineRule="auto"/>
        <w:ind w:firstLine="0"/>
        <w:rPr>
          <w:rFonts w:ascii="Bookman Old Style" w:hAnsi="Bookman Old Style" w:cs="Arial"/>
        </w:rPr>
      </w:pPr>
    </w:p>
    <w:p w14:paraId="39629AB4" w14:textId="4CD8421D" w:rsidR="00B44C15" w:rsidRPr="00427387" w:rsidRDefault="00B44C15" w:rsidP="00427387">
      <w:pPr>
        <w:spacing w:line="276" w:lineRule="auto"/>
        <w:ind w:firstLine="0"/>
        <w:rPr>
          <w:rFonts w:ascii="Bookman Old Style" w:hAnsi="Bookman Old Style" w:cs="Arial"/>
        </w:rPr>
      </w:pPr>
      <w:r w:rsidRPr="00427387">
        <w:rPr>
          <w:rFonts w:ascii="Bookman Old Style" w:hAnsi="Bookman Old Style" w:cs="Arial"/>
        </w:rPr>
        <w:t xml:space="preserve">Y es que, al analizar la totalidad del caudal probatorio bajo los parámetros ya traídos a colación, se tiene que no existen elementos que permitan concluir </w:t>
      </w:r>
      <w:r w:rsidRPr="00427387">
        <w:rPr>
          <w:rFonts w:ascii="Bookman Old Style" w:hAnsi="Bookman Old Style" w:cs="Arial"/>
        </w:rPr>
        <w:lastRenderedPageBreak/>
        <w:t xml:space="preserve">que durante </w:t>
      </w:r>
      <w:r w:rsidR="007B7FB0" w:rsidRPr="00427387">
        <w:rPr>
          <w:rFonts w:ascii="Bookman Old Style" w:hAnsi="Bookman Old Style" w:cs="Arial"/>
        </w:rPr>
        <w:t xml:space="preserve">el traslado de la parte actora </w:t>
      </w:r>
      <w:r w:rsidRPr="00427387">
        <w:rPr>
          <w:rFonts w:ascii="Bookman Old Style" w:hAnsi="Bookman Old Style" w:cs="Arial"/>
        </w:rPr>
        <w:t>la AFP hubiere cumplido con el deber de información que le correspondía,</w:t>
      </w:r>
      <w:r w:rsidRPr="00427387">
        <w:rPr>
          <w:rStyle w:val="normaltextrun"/>
          <w:rFonts w:ascii="Bookman Old Style" w:hAnsi="Bookman Old Style"/>
          <w:color w:val="000000"/>
        </w:rPr>
        <w:t xml:space="preserve"> máxime cuando</w:t>
      </w:r>
      <w:r w:rsidR="007B7FB0" w:rsidRPr="00427387">
        <w:rPr>
          <w:rStyle w:val="normaltextrun"/>
          <w:rFonts w:ascii="Bookman Old Style" w:hAnsi="Bookman Old Style"/>
          <w:color w:val="000000"/>
        </w:rPr>
        <w:t xml:space="preserve"> no </w:t>
      </w:r>
      <w:r w:rsidR="00887958" w:rsidRPr="00427387">
        <w:rPr>
          <w:rStyle w:val="normaltextrun"/>
          <w:rFonts w:ascii="Bookman Old Style" w:hAnsi="Bookman Old Style"/>
          <w:color w:val="000000"/>
        </w:rPr>
        <w:t>se realizaron</w:t>
      </w:r>
      <w:r w:rsidR="007B7FB0" w:rsidRPr="00427387">
        <w:rPr>
          <w:rStyle w:val="normaltextrun"/>
          <w:rFonts w:ascii="Bookman Old Style" w:hAnsi="Bookman Old Style"/>
          <w:color w:val="000000"/>
        </w:rPr>
        <w:t xml:space="preserve"> </w:t>
      </w:r>
      <w:proofErr w:type="spellStart"/>
      <w:r w:rsidRPr="00427387">
        <w:rPr>
          <w:rStyle w:val="normaltextrun"/>
          <w:rFonts w:ascii="Bookman Old Style" w:hAnsi="Bookman Old Style"/>
          <w:b/>
          <w:bCs/>
          <w:color w:val="000000"/>
        </w:rPr>
        <w:t>reasesoría</w:t>
      </w:r>
      <w:r w:rsidR="007B7FB0" w:rsidRPr="00427387">
        <w:rPr>
          <w:rStyle w:val="normaltextrun"/>
          <w:rFonts w:ascii="Bookman Old Style" w:hAnsi="Bookman Old Style"/>
          <w:b/>
          <w:bCs/>
          <w:color w:val="000000"/>
        </w:rPr>
        <w:t>s</w:t>
      </w:r>
      <w:proofErr w:type="spellEnd"/>
      <w:r w:rsidR="007B7FB0" w:rsidRPr="00427387">
        <w:rPr>
          <w:rStyle w:val="normaltextrun"/>
          <w:rFonts w:ascii="Bookman Old Style" w:hAnsi="Bookman Old Style"/>
          <w:b/>
          <w:bCs/>
          <w:color w:val="000000"/>
        </w:rPr>
        <w:t xml:space="preserve"> </w:t>
      </w:r>
      <w:r w:rsidR="00144A09" w:rsidRPr="00427387">
        <w:rPr>
          <w:rStyle w:val="normaltextrun"/>
          <w:rFonts w:ascii="Bookman Old Style" w:hAnsi="Bookman Old Style"/>
          <w:b/>
          <w:bCs/>
          <w:color w:val="000000"/>
        </w:rPr>
        <w:t xml:space="preserve">por parte </w:t>
      </w:r>
      <w:r w:rsidRPr="00427387">
        <w:rPr>
          <w:rStyle w:val="normaltextrun"/>
          <w:rFonts w:ascii="Bookman Old Style" w:hAnsi="Bookman Old Style"/>
          <w:b/>
          <w:bCs/>
          <w:color w:val="000000"/>
        </w:rPr>
        <w:t xml:space="preserve">del fondo antes de que </w:t>
      </w:r>
      <w:r w:rsidR="007B7FB0" w:rsidRPr="00427387">
        <w:rPr>
          <w:rStyle w:val="normaltextrun"/>
          <w:rFonts w:ascii="Bookman Old Style" w:hAnsi="Bookman Old Style"/>
          <w:b/>
          <w:bCs/>
          <w:color w:val="000000"/>
        </w:rPr>
        <w:t xml:space="preserve">al actor </w:t>
      </w:r>
      <w:r w:rsidRPr="00427387">
        <w:rPr>
          <w:rStyle w:val="normaltextrun"/>
          <w:rFonts w:ascii="Bookman Old Style" w:hAnsi="Bookman Old Style"/>
          <w:b/>
          <w:bCs/>
          <w:color w:val="000000"/>
        </w:rPr>
        <w:t>le faltaran</w:t>
      </w:r>
      <w:r w:rsidR="00144A09" w:rsidRPr="00427387">
        <w:rPr>
          <w:rStyle w:val="normaltextrun"/>
          <w:rFonts w:ascii="Bookman Old Style" w:hAnsi="Bookman Old Style"/>
          <w:b/>
          <w:bCs/>
          <w:color w:val="000000"/>
        </w:rPr>
        <w:t xml:space="preserve"> los</w:t>
      </w:r>
      <w:r w:rsidRPr="00427387">
        <w:rPr>
          <w:rStyle w:val="normaltextrun"/>
          <w:rFonts w:ascii="Bookman Old Style" w:hAnsi="Bookman Old Style"/>
          <w:b/>
          <w:bCs/>
          <w:color w:val="000000"/>
        </w:rPr>
        <w:t xml:space="preserve"> 10 años para cumplir la edad pensional</w:t>
      </w:r>
      <w:r w:rsidR="007B7FB0" w:rsidRPr="00427387">
        <w:rPr>
          <w:rStyle w:val="normaltextrun"/>
          <w:rFonts w:ascii="Bookman Old Style" w:hAnsi="Bookman Old Style"/>
          <w:color w:val="000000"/>
        </w:rPr>
        <w:t xml:space="preserve">. Así pues, </w:t>
      </w:r>
      <w:r w:rsidRPr="00427387">
        <w:rPr>
          <w:rStyle w:val="normaltextrun"/>
          <w:rFonts w:ascii="Bookman Old Style" w:hAnsi="Bookman Old Style"/>
          <w:color w:val="000000"/>
        </w:rPr>
        <w:t xml:space="preserve">resulta </w:t>
      </w:r>
      <w:r w:rsidRPr="00427387">
        <w:rPr>
          <w:rFonts w:ascii="Bookman Old Style" w:hAnsi="Bookman Old Style" w:cs="Arial"/>
        </w:rPr>
        <w:t>notorio que la</w:t>
      </w:r>
      <w:r w:rsidR="00887958" w:rsidRPr="00427387">
        <w:rPr>
          <w:rFonts w:ascii="Bookman Old Style" w:hAnsi="Bookman Old Style" w:cs="Arial"/>
        </w:rPr>
        <w:t>s</w:t>
      </w:r>
      <w:r w:rsidRPr="00427387">
        <w:rPr>
          <w:rFonts w:ascii="Bookman Old Style" w:hAnsi="Bookman Old Style" w:cs="Arial"/>
        </w:rPr>
        <w:t xml:space="preserve"> demandada</w:t>
      </w:r>
      <w:r w:rsidR="00887958" w:rsidRPr="00427387">
        <w:rPr>
          <w:rFonts w:ascii="Bookman Old Style" w:hAnsi="Bookman Old Style" w:cs="Arial"/>
        </w:rPr>
        <w:t>s</w:t>
      </w:r>
      <w:r w:rsidRPr="00427387">
        <w:rPr>
          <w:rFonts w:ascii="Bookman Old Style" w:hAnsi="Bookman Old Style" w:cs="Arial"/>
        </w:rPr>
        <w:t xml:space="preserve"> falt</w:t>
      </w:r>
      <w:r w:rsidR="00887958" w:rsidRPr="00427387">
        <w:rPr>
          <w:rFonts w:ascii="Bookman Old Style" w:hAnsi="Bookman Old Style" w:cs="Arial"/>
        </w:rPr>
        <w:t xml:space="preserve">aron </w:t>
      </w:r>
      <w:r w:rsidRPr="00427387">
        <w:rPr>
          <w:rFonts w:ascii="Bookman Old Style" w:hAnsi="Bookman Old Style" w:cs="Arial"/>
        </w:rPr>
        <w:t>a su deber de «</w:t>
      </w:r>
      <w:r w:rsidRPr="00427387">
        <w:rPr>
          <w:rFonts w:ascii="Bookman Old Style" w:hAnsi="Bookman Old Style" w:cs="Arial"/>
          <w:i/>
          <w:iCs/>
        </w:rPr>
        <w:t>información y buen consejo</w:t>
      </w:r>
      <w:r w:rsidRPr="00427387">
        <w:rPr>
          <w:rFonts w:ascii="Bookman Old Style" w:hAnsi="Bookman Old Style" w:cs="Arial"/>
        </w:rPr>
        <w:t>», pues omiti</w:t>
      </w:r>
      <w:r w:rsidR="00887958" w:rsidRPr="00427387">
        <w:rPr>
          <w:rFonts w:ascii="Bookman Old Style" w:hAnsi="Bookman Old Style" w:cs="Arial"/>
        </w:rPr>
        <w:t>eron</w:t>
      </w:r>
      <w:r w:rsidRPr="00427387">
        <w:rPr>
          <w:rFonts w:ascii="Bookman Old Style" w:hAnsi="Bookman Old Style" w:cs="Arial"/>
        </w:rPr>
        <w:t xml:space="preserve"> informar al actor sobre las ventajas, desventajas, características, riesgos, posibilidades de pensión en cada régimen y demás aspectos que le permitiesen comprender claramente la conveniencia o inconveniencia de su decisión, condiciones que debía</w:t>
      </w:r>
      <w:r w:rsidR="00887958" w:rsidRPr="00427387">
        <w:rPr>
          <w:rFonts w:ascii="Bookman Old Style" w:hAnsi="Bookman Old Style" w:cs="Arial"/>
        </w:rPr>
        <w:t>n</w:t>
      </w:r>
      <w:r w:rsidRPr="00427387">
        <w:rPr>
          <w:rFonts w:ascii="Bookman Old Style" w:hAnsi="Bookman Old Style" w:cs="Arial"/>
        </w:rPr>
        <w:t xml:space="preserve"> probar la</w:t>
      </w:r>
      <w:r w:rsidR="00887958" w:rsidRPr="00427387">
        <w:rPr>
          <w:rFonts w:ascii="Bookman Old Style" w:hAnsi="Bookman Old Style" w:cs="Arial"/>
        </w:rPr>
        <w:t>s</w:t>
      </w:r>
      <w:r w:rsidRPr="00427387">
        <w:rPr>
          <w:rFonts w:ascii="Bookman Old Style" w:hAnsi="Bookman Old Style" w:cs="Arial"/>
        </w:rPr>
        <w:t xml:space="preserve"> AFP</w:t>
      </w:r>
      <w:r w:rsidR="00A50EC4" w:rsidRPr="00427387">
        <w:rPr>
          <w:rFonts w:ascii="Bookman Old Style" w:hAnsi="Bookman Old Style" w:cs="Arial"/>
        </w:rPr>
        <w:t>,</w:t>
      </w:r>
      <w:r w:rsidRPr="00427387">
        <w:rPr>
          <w:rFonts w:ascii="Bookman Old Style" w:hAnsi="Bookman Old Style" w:cs="Arial"/>
        </w:rPr>
        <w:t xml:space="preserve"> pero no lo hi</w:t>
      </w:r>
      <w:r w:rsidR="00887958" w:rsidRPr="00427387">
        <w:rPr>
          <w:rFonts w:ascii="Bookman Old Style" w:hAnsi="Bookman Old Style" w:cs="Arial"/>
        </w:rPr>
        <w:t>cieron</w:t>
      </w:r>
      <w:r w:rsidRPr="00427387">
        <w:rPr>
          <w:rFonts w:ascii="Bookman Old Style" w:hAnsi="Bookman Old Style" w:cs="Arial"/>
        </w:rPr>
        <w:t xml:space="preserve">, situación que se acompasa con lo lineado en las sentencias </w:t>
      </w:r>
      <w:proofErr w:type="spellStart"/>
      <w:r w:rsidRPr="00427387">
        <w:rPr>
          <w:rFonts w:ascii="Bookman Old Style" w:hAnsi="Bookman Old Style" w:cs="Arial"/>
        </w:rPr>
        <w:t>SL12136</w:t>
      </w:r>
      <w:proofErr w:type="spellEnd"/>
      <w:r w:rsidRPr="00427387">
        <w:rPr>
          <w:rFonts w:ascii="Bookman Old Style" w:hAnsi="Bookman Old Style" w:cs="Arial"/>
        </w:rPr>
        <w:t xml:space="preserve">-2014 y </w:t>
      </w:r>
      <w:proofErr w:type="spellStart"/>
      <w:r w:rsidRPr="00427387">
        <w:rPr>
          <w:rFonts w:ascii="Bookman Old Style" w:hAnsi="Bookman Old Style" w:cs="Arial"/>
        </w:rPr>
        <w:t>SL4373</w:t>
      </w:r>
      <w:proofErr w:type="spellEnd"/>
      <w:r w:rsidRPr="00427387">
        <w:rPr>
          <w:rFonts w:ascii="Bookman Old Style" w:hAnsi="Bookman Old Style" w:cs="Arial"/>
        </w:rPr>
        <w:t>-2020, entre otras.</w:t>
      </w:r>
    </w:p>
    <w:p w14:paraId="763CB054" w14:textId="77777777" w:rsidR="003073FB" w:rsidRPr="00427387" w:rsidRDefault="003073FB" w:rsidP="00427387">
      <w:pPr>
        <w:spacing w:line="276" w:lineRule="auto"/>
        <w:ind w:firstLine="0"/>
        <w:rPr>
          <w:rFonts w:ascii="Bookman Old Style" w:hAnsi="Bookman Old Style" w:cs="Arial"/>
        </w:rPr>
      </w:pPr>
    </w:p>
    <w:p w14:paraId="11457DE1" w14:textId="669FE942" w:rsidR="003073FB" w:rsidRPr="00427387" w:rsidRDefault="00887958" w:rsidP="00427387">
      <w:pPr>
        <w:spacing w:line="276" w:lineRule="auto"/>
        <w:ind w:firstLine="0"/>
        <w:rPr>
          <w:rFonts w:ascii="Bookman Old Style" w:hAnsi="Bookman Old Style" w:cs="Arial"/>
        </w:rPr>
      </w:pPr>
      <w:r w:rsidRPr="00427387">
        <w:rPr>
          <w:rFonts w:ascii="Bookman Old Style" w:hAnsi="Bookman Old Style" w:cs="Arial"/>
        </w:rPr>
        <w:t>A lo anterior se suma</w:t>
      </w:r>
      <w:r w:rsidR="003073FB" w:rsidRPr="00427387">
        <w:rPr>
          <w:rFonts w:ascii="Bookman Old Style" w:hAnsi="Bookman Old Style" w:cs="Arial"/>
        </w:rPr>
        <w:t xml:space="preserve"> que</w:t>
      </w:r>
      <w:r w:rsidRPr="00427387">
        <w:rPr>
          <w:rFonts w:ascii="Bookman Old Style" w:hAnsi="Bookman Old Style" w:cs="Arial"/>
        </w:rPr>
        <w:t>,</w:t>
      </w:r>
      <w:r w:rsidR="003073FB" w:rsidRPr="00427387">
        <w:rPr>
          <w:rFonts w:ascii="Bookman Old Style" w:hAnsi="Bookman Old Style" w:cs="Arial"/>
        </w:rPr>
        <w:t xml:space="preserve"> las ob</w:t>
      </w:r>
      <w:r w:rsidR="00234859" w:rsidRPr="00427387">
        <w:rPr>
          <w:rFonts w:ascii="Bookman Old Style" w:hAnsi="Bookman Old Style" w:cs="Arial"/>
        </w:rPr>
        <w:t>ligaciones que debía</w:t>
      </w:r>
      <w:r w:rsidRPr="00427387">
        <w:rPr>
          <w:rFonts w:ascii="Bookman Old Style" w:hAnsi="Bookman Old Style" w:cs="Arial"/>
        </w:rPr>
        <w:t>n</w:t>
      </w:r>
      <w:r w:rsidR="003B61B8" w:rsidRPr="00427387">
        <w:rPr>
          <w:rFonts w:ascii="Bookman Old Style" w:hAnsi="Bookman Old Style" w:cs="Arial"/>
        </w:rPr>
        <w:t xml:space="preserve"> observar </w:t>
      </w:r>
      <w:r w:rsidRPr="00427387">
        <w:rPr>
          <w:rFonts w:ascii="Bookman Old Style" w:hAnsi="Bookman Old Style" w:cs="Arial"/>
        </w:rPr>
        <w:t xml:space="preserve">los </w:t>
      </w:r>
      <w:r w:rsidR="00234859" w:rsidRPr="00427387">
        <w:rPr>
          <w:rFonts w:ascii="Bookman Old Style" w:hAnsi="Bookman Old Style" w:cs="Arial"/>
        </w:rPr>
        <w:t>fondo</w:t>
      </w:r>
      <w:r w:rsidRPr="00427387">
        <w:rPr>
          <w:rFonts w:ascii="Bookman Old Style" w:hAnsi="Bookman Old Style" w:cs="Arial"/>
        </w:rPr>
        <w:t>s</w:t>
      </w:r>
      <w:r w:rsidR="00234859" w:rsidRPr="00427387">
        <w:rPr>
          <w:rFonts w:ascii="Bookman Old Style" w:hAnsi="Bookman Old Style" w:cs="Arial"/>
        </w:rPr>
        <w:t xml:space="preserve"> de pensiones</w:t>
      </w:r>
      <w:r w:rsidR="003073FB" w:rsidRPr="00427387">
        <w:rPr>
          <w:rFonts w:ascii="Bookman Old Style" w:hAnsi="Bookman Old Style" w:cs="Arial"/>
        </w:rPr>
        <w:t xml:space="preserve"> durante el tras</w:t>
      </w:r>
      <w:r w:rsidR="00234859" w:rsidRPr="00427387">
        <w:rPr>
          <w:rFonts w:ascii="Bookman Old Style" w:hAnsi="Bookman Old Style" w:cs="Arial"/>
        </w:rPr>
        <w:t>lado de la parte accionante eran las</w:t>
      </w:r>
      <w:r w:rsidR="003073FB" w:rsidRPr="00427387">
        <w:rPr>
          <w:rFonts w:ascii="Bookman Old Style" w:hAnsi="Bookman Old Style" w:cs="Arial"/>
        </w:rPr>
        <w:t xml:space="preserve"> contenidas en las normas del sistema vigentes a esa época. De modo q</w:t>
      </w:r>
      <w:r w:rsidR="00ED6949" w:rsidRPr="00427387">
        <w:rPr>
          <w:rFonts w:ascii="Bookman Old Style" w:hAnsi="Bookman Old Style" w:cs="Arial"/>
        </w:rPr>
        <w:t xml:space="preserve">ue, </w:t>
      </w:r>
      <w:r w:rsidR="00952B9A" w:rsidRPr="00427387">
        <w:rPr>
          <w:rFonts w:ascii="Bookman Old Style" w:hAnsi="Bookman Old Style" w:cs="Arial"/>
        </w:rPr>
        <w:t>a</w:t>
      </w:r>
      <w:r w:rsidR="00A140DC" w:rsidRPr="00427387">
        <w:rPr>
          <w:rFonts w:ascii="Bookman Old Style" w:hAnsi="Bookman Old Style" w:cs="Arial"/>
        </w:rPr>
        <w:t xml:space="preserve">l ser la solicitud del año </w:t>
      </w:r>
      <w:r w:rsidR="00A50EC4" w:rsidRPr="00427387">
        <w:rPr>
          <w:rFonts w:ascii="Bookman Old Style" w:hAnsi="Bookman Old Style" w:cs="Arial"/>
        </w:rPr>
        <w:t>1994</w:t>
      </w:r>
      <w:r w:rsidR="003073FB" w:rsidRPr="00427387">
        <w:rPr>
          <w:rFonts w:ascii="Bookman Old Style" w:hAnsi="Bookman Old Style" w:cs="Arial"/>
        </w:rPr>
        <w:t>, es factible pr</w:t>
      </w:r>
      <w:r w:rsidR="006D0204" w:rsidRPr="00427387">
        <w:rPr>
          <w:rFonts w:ascii="Bookman Old Style" w:hAnsi="Bookman Old Style" w:cs="Arial"/>
        </w:rPr>
        <w:t xml:space="preserve">egonar sin vacilación que </w:t>
      </w:r>
      <w:r w:rsidR="00DD0620" w:rsidRPr="00427387">
        <w:rPr>
          <w:rFonts w:ascii="Bookman Old Style" w:hAnsi="Bookman Old Style" w:cs="Arial"/>
        </w:rPr>
        <w:t>les</w:t>
      </w:r>
      <w:r w:rsidR="003073FB" w:rsidRPr="00427387">
        <w:rPr>
          <w:rFonts w:ascii="Bookman Old Style" w:hAnsi="Bookman Old Style" w:cs="Arial"/>
        </w:rPr>
        <w:t xml:space="preserve"> correspondía cumplir con el deber de información que deviene de las disposiciones constitucionales, de la Ley 100 de 1993, artículos 13, literal b), 271 y 272 y del Decreto 663 de 1993, artículo 97, según los cuales, como mínimo, debió ilustrarse a</w:t>
      </w:r>
      <w:r w:rsidR="00DD0620" w:rsidRPr="00427387">
        <w:rPr>
          <w:rFonts w:ascii="Bookman Old Style" w:hAnsi="Bookman Old Style" w:cs="Arial"/>
        </w:rPr>
        <w:t>l potencial afiliado</w:t>
      </w:r>
      <w:r w:rsidR="003073FB" w:rsidRPr="00427387">
        <w:rPr>
          <w:rFonts w:ascii="Bookman Old Style" w:hAnsi="Bookman Old Style" w:cs="Arial"/>
        </w:rPr>
        <w:t xml:space="preserve"> sobre las características, condiciones de acceso, efectos y riesgos de cada uno de los regímenes pensionales.</w:t>
      </w:r>
    </w:p>
    <w:p w14:paraId="31FAE1DA" w14:textId="77777777" w:rsidR="003073FB" w:rsidRPr="00427387" w:rsidRDefault="003073FB" w:rsidP="00427387">
      <w:pPr>
        <w:spacing w:line="276" w:lineRule="auto"/>
        <w:ind w:firstLine="0"/>
        <w:rPr>
          <w:rFonts w:ascii="Bookman Old Style" w:hAnsi="Bookman Old Style" w:cs="Arial"/>
        </w:rPr>
      </w:pPr>
    </w:p>
    <w:p w14:paraId="00B73C1F" w14:textId="77777777" w:rsidR="003073FB" w:rsidRPr="00427387" w:rsidRDefault="003073FB" w:rsidP="00427387">
      <w:pPr>
        <w:spacing w:line="276" w:lineRule="auto"/>
        <w:ind w:firstLine="0"/>
        <w:rPr>
          <w:rFonts w:ascii="Bookman Old Style" w:hAnsi="Bookman Old Style" w:cs="Arial"/>
          <w:b/>
          <w:bCs/>
          <w:u w:val="single"/>
        </w:rPr>
      </w:pPr>
      <w:r w:rsidRPr="00427387">
        <w:rPr>
          <w:rFonts w:ascii="Bookman Old Style" w:hAnsi="Bookman Old Style" w:cs="Arial"/>
          <w:u w:val="single"/>
        </w:rPr>
        <w:t>¿</w:t>
      </w:r>
      <w:r w:rsidRPr="00427387">
        <w:rPr>
          <w:rFonts w:ascii="Bookman Old Style" w:hAnsi="Bookman Old Style" w:cs="Arial"/>
          <w:b/>
          <w:bCs/>
          <w:u w:val="single"/>
        </w:rPr>
        <w:t xml:space="preserve">El actuar de la parte actora ratifican la voluntad de permanecer en el </w:t>
      </w:r>
      <w:proofErr w:type="spellStart"/>
      <w:r w:rsidRPr="00427387">
        <w:rPr>
          <w:rFonts w:ascii="Bookman Old Style" w:hAnsi="Bookman Old Style" w:cs="Arial"/>
          <w:b/>
          <w:bCs/>
          <w:u w:val="single"/>
        </w:rPr>
        <w:t>RAIS</w:t>
      </w:r>
      <w:proofErr w:type="spellEnd"/>
      <w:r w:rsidRPr="00427387">
        <w:rPr>
          <w:rFonts w:ascii="Bookman Old Style" w:hAnsi="Bookman Old Style" w:cs="Arial"/>
          <w:b/>
          <w:bCs/>
          <w:u w:val="single"/>
        </w:rPr>
        <w:t>? ¿Era la ineficacia la acción a emprender?</w:t>
      </w:r>
    </w:p>
    <w:p w14:paraId="108A0F29" w14:textId="77777777" w:rsidR="003073FB" w:rsidRPr="00427387" w:rsidRDefault="003073FB" w:rsidP="00427387">
      <w:pPr>
        <w:spacing w:line="276" w:lineRule="auto"/>
        <w:ind w:firstLine="0"/>
        <w:rPr>
          <w:rFonts w:ascii="Bookman Old Style" w:hAnsi="Bookman Old Style" w:cs="Arial"/>
          <w:highlight w:val="yellow"/>
        </w:rPr>
      </w:pPr>
    </w:p>
    <w:p w14:paraId="1B745D95" w14:textId="5888C3A2"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Frente al tema, no se puede pretender que se tenga como </w:t>
      </w:r>
      <w:r w:rsidR="00ED6949" w:rsidRPr="00427387">
        <w:rPr>
          <w:rFonts w:ascii="Bookman Old Style" w:hAnsi="Bookman Old Style" w:cs="Arial"/>
        </w:rPr>
        <w:t>ratificación</w:t>
      </w:r>
      <w:r w:rsidR="00952B9A" w:rsidRPr="00427387">
        <w:rPr>
          <w:rFonts w:ascii="Bookman Old Style" w:hAnsi="Bookman Old Style" w:cs="Arial"/>
        </w:rPr>
        <w:t xml:space="preserve"> </w:t>
      </w:r>
      <w:r w:rsidR="00ED6949" w:rsidRPr="00427387">
        <w:rPr>
          <w:rFonts w:ascii="Bookman Old Style" w:hAnsi="Bookman Old Style" w:cs="Arial"/>
        </w:rPr>
        <w:t xml:space="preserve">el tiempo en que </w:t>
      </w:r>
      <w:r w:rsidR="0053533E" w:rsidRPr="00427387">
        <w:rPr>
          <w:rFonts w:ascii="Bookman Old Style" w:hAnsi="Bookman Old Style" w:cs="Arial"/>
        </w:rPr>
        <w:t>el</w:t>
      </w:r>
      <w:r w:rsidR="003B61B8" w:rsidRPr="00427387">
        <w:rPr>
          <w:rFonts w:ascii="Bookman Old Style" w:hAnsi="Bookman Old Style" w:cs="Arial"/>
        </w:rPr>
        <w:t xml:space="preserve"> </w:t>
      </w:r>
      <w:r w:rsidRPr="00427387">
        <w:rPr>
          <w:rFonts w:ascii="Bookman Old Style" w:hAnsi="Bookman Old Style" w:cs="Arial"/>
        </w:rPr>
        <w:t xml:space="preserve">demandante permaneció en el </w:t>
      </w:r>
      <w:proofErr w:type="spellStart"/>
      <w:r w:rsidRPr="00427387">
        <w:rPr>
          <w:rFonts w:ascii="Bookman Old Style" w:hAnsi="Bookman Old Style" w:cs="Arial"/>
        </w:rPr>
        <w:t>RAIS</w:t>
      </w:r>
      <w:proofErr w:type="spellEnd"/>
      <w:r w:rsidRPr="00427387">
        <w:rPr>
          <w:rFonts w:ascii="Bookman Old Style" w:hAnsi="Bookman Old Style" w:cs="Arial"/>
        </w:rPr>
        <w:t>, el hecho que no se hubiese retractado de su decisión o que no hubiese manifestado la intención de regresar al régimen de prima media, antes de encontrarse inmers</w:t>
      </w:r>
      <w:r w:rsidR="0053533E" w:rsidRPr="00427387">
        <w:rPr>
          <w:rFonts w:ascii="Bookman Old Style" w:hAnsi="Bookman Old Style" w:cs="Arial"/>
        </w:rPr>
        <w:t>o</w:t>
      </w:r>
      <w:r w:rsidRPr="00427387">
        <w:rPr>
          <w:rFonts w:ascii="Bookman Old Style" w:hAnsi="Bookman Old Style" w:cs="Arial"/>
        </w:rPr>
        <w:t xml:space="preserve"> en la prohibición de cambiarse de régimen, es decir</w:t>
      </w:r>
      <w:r w:rsidR="003B61B8" w:rsidRPr="00427387">
        <w:rPr>
          <w:rFonts w:ascii="Bookman Old Style" w:hAnsi="Bookman Old Style" w:cs="Arial"/>
        </w:rPr>
        <w:t>,</w:t>
      </w:r>
      <w:r w:rsidRPr="00427387">
        <w:rPr>
          <w:rFonts w:ascii="Bookman Old Style" w:hAnsi="Bookman Old Style" w:cs="Arial"/>
        </w:rPr>
        <w:t xml:space="preserve"> cuando faltaren menos de 10 años para acceder a la edad pensional, pues lo que se evidencia aquí es la falta de acompañamiento, y aún, ante el supuesto que esta tuviera presente dicha disposición, debe tenerse en cuenta que</w:t>
      </w:r>
      <w:r w:rsidR="0053533E" w:rsidRPr="00427387">
        <w:rPr>
          <w:rFonts w:ascii="Bookman Old Style" w:hAnsi="Bookman Old Style" w:cs="Arial"/>
        </w:rPr>
        <w:t xml:space="preserve"> la falta de asesoramiento de el</w:t>
      </w:r>
      <w:r w:rsidRPr="00427387">
        <w:rPr>
          <w:rFonts w:ascii="Bookman Old Style" w:hAnsi="Bookman Old Style" w:cs="Arial"/>
        </w:rPr>
        <w:t xml:space="preserve"> que fue objeto, no le permitía distinguir cual régimen era el que más le </w:t>
      </w:r>
      <w:r w:rsidR="00234859" w:rsidRPr="00427387">
        <w:rPr>
          <w:rFonts w:ascii="Bookman Old Style" w:hAnsi="Bookman Old Style" w:cs="Arial"/>
        </w:rPr>
        <w:t>convenía</w:t>
      </w:r>
      <w:r w:rsidR="00DD0620" w:rsidRPr="00427387">
        <w:rPr>
          <w:rFonts w:ascii="Bookman Old Style" w:hAnsi="Bookman Old Style" w:cs="Arial"/>
        </w:rPr>
        <w:t>.</w:t>
      </w:r>
    </w:p>
    <w:p w14:paraId="5A36D942" w14:textId="77777777" w:rsidR="003073FB" w:rsidRPr="00427387" w:rsidRDefault="003073FB" w:rsidP="00427387">
      <w:pPr>
        <w:spacing w:line="276" w:lineRule="auto"/>
        <w:ind w:firstLine="0"/>
        <w:rPr>
          <w:rFonts w:ascii="Bookman Old Style" w:hAnsi="Bookman Old Style" w:cs="Arial"/>
          <w:highlight w:val="yellow"/>
        </w:rPr>
      </w:pPr>
    </w:p>
    <w:p w14:paraId="05399D0C" w14:textId="3A0CA039"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Aquí, se ha de precisar </w:t>
      </w:r>
      <w:r w:rsidR="0053533E" w:rsidRPr="00427387">
        <w:rPr>
          <w:rFonts w:ascii="Bookman Old Style" w:hAnsi="Bookman Old Style" w:cs="Arial"/>
        </w:rPr>
        <w:t>que la permanencia del</w:t>
      </w:r>
      <w:r w:rsidR="003B61B8" w:rsidRPr="00427387">
        <w:rPr>
          <w:rFonts w:ascii="Bookman Old Style" w:hAnsi="Bookman Old Style" w:cs="Arial"/>
        </w:rPr>
        <w:t xml:space="preserve"> </w:t>
      </w:r>
      <w:r w:rsidRPr="00427387">
        <w:rPr>
          <w:rFonts w:ascii="Bookman Old Style" w:hAnsi="Bookman Old Style" w:cs="Arial"/>
        </w:rPr>
        <w:t>afiliad</w:t>
      </w:r>
      <w:r w:rsidR="0053533E" w:rsidRPr="00427387">
        <w:rPr>
          <w:rFonts w:ascii="Bookman Old Style" w:hAnsi="Bookman Old Style" w:cs="Arial"/>
        </w:rPr>
        <w:t>o</w:t>
      </w:r>
      <w:r w:rsidRPr="00427387">
        <w:rPr>
          <w:rFonts w:ascii="Bookman Old Style" w:hAnsi="Bookman Old Style" w:cs="Arial"/>
        </w:rPr>
        <w:t xml:space="preserve"> por varios años, no son aspectos que derruyan las </w:t>
      </w:r>
      <w:r w:rsidR="00705E27" w:rsidRPr="00427387">
        <w:rPr>
          <w:rFonts w:ascii="Bookman Old Style" w:hAnsi="Bookman Old Style" w:cs="Arial"/>
        </w:rPr>
        <w:t xml:space="preserve">conclusiones a las que arribó </w:t>
      </w:r>
      <w:r w:rsidR="00BB60BF" w:rsidRPr="00427387">
        <w:rPr>
          <w:rFonts w:ascii="Bookman Old Style" w:hAnsi="Bookman Old Style" w:cs="Arial"/>
        </w:rPr>
        <w:t>la</w:t>
      </w:r>
      <w:r w:rsidRPr="00427387">
        <w:rPr>
          <w:rFonts w:ascii="Bookman Old Style" w:hAnsi="Bookman Old Style" w:cs="Arial"/>
        </w:rPr>
        <w:t xml:space="preserve"> </w:t>
      </w:r>
      <w:r w:rsidR="00705E27" w:rsidRPr="00427387">
        <w:rPr>
          <w:rFonts w:ascii="Bookman Old Style" w:hAnsi="Bookman Old Style" w:cs="Arial"/>
          <w:i/>
        </w:rPr>
        <w:t>a quo</w:t>
      </w:r>
      <w:r w:rsidRPr="00427387">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427387" w:rsidRDefault="003073FB" w:rsidP="00427387">
      <w:pPr>
        <w:spacing w:line="276" w:lineRule="auto"/>
        <w:ind w:firstLine="0"/>
        <w:rPr>
          <w:rFonts w:ascii="Bookman Old Style" w:hAnsi="Bookman Old Style" w:cs="Arial"/>
        </w:rPr>
      </w:pPr>
    </w:p>
    <w:p w14:paraId="638BF9D3" w14:textId="36C99DC6" w:rsidR="00AC273E" w:rsidRPr="00427387" w:rsidRDefault="00CC0BF9" w:rsidP="00427387">
      <w:pPr>
        <w:spacing w:line="276" w:lineRule="auto"/>
        <w:ind w:firstLine="0"/>
        <w:rPr>
          <w:rFonts w:ascii="Bookman Old Style" w:hAnsi="Bookman Old Style" w:cs="Arial"/>
        </w:rPr>
      </w:pPr>
      <w:r w:rsidRPr="00427387">
        <w:rPr>
          <w:rFonts w:ascii="Bookman Old Style" w:hAnsi="Bookman Old Style" w:cs="Arial"/>
        </w:rPr>
        <w:t>Tampoco podría afirmarse</w:t>
      </w:r>
      <w:r w:rsidR="00D234AB" w:rsidRPr="00427387">
        <w:rPr>
          <w:rFonts w:ascii="Bookman Old Style" w:hAnsi="Bookman Old Style" w:cs="Arial"/>
        </w:rPr>
        <w:t xml:space="preserve"> </w:t>
      </w:r>
      <w:r w:rsidR="00705E27" w:rsidRPr="00427387">
        <w:rPr>
          <w:rFonts w:ascii="Bookman Old Style" w:hAnsi="Bookman Old Style" w:cs="Arial"/>
        </w:rPr>
        <w:t xml:space="preserve">que </w:t>
      </w:r>
      <w:r w:rsidR="00DD0620" w:rsidRPr="00427387">
        <w:rPr>
          <w:rFonts w:ascii="Bookman Old Style" w:hAnsi="Bookman Old Style" w:cs="Arial"/>
        </w:rPr>
        <w:t>el actor</w:t>
      </w:r>
      <w:r w:rsidR="003073FB" w:rsidRPr="00427387">
        <w:rPr>
          <w:rFonts w:ascii="Bookman Old Style" w:hAnsi="Bookman Old Style" w:cs="Arial"/>
        </w:rPr>
        <w:t xml:space="preserve"> hizo </w:t>
      </w:r>
      <w:r w:rsidR="003073FB" w:rsidRPr="00427387">
        <w:rPr>
          <w:rFonts w:ascii="Bookman Old Style" w:hAnsi="Bookman Old Style" w:cs="Arial"/>
          <w:b/>
          <w:i/>
          <w:iCs/>
        </w:rPr>
        <w:t xml:space="preserve">actos de relacionamiento que convalidaron su voluntad de pertenecer al </w:t>
      </w:r>
      <w:proofErr w:type="spellStart"/>
      <w:r w:rsidR="003073FB" w:rsidRPr="00427387">
        <w:rPr>
          <w:rFonts w:ascii="Bookman Old Style" w:hAnsi="Bookman Old Style" w:cs="Arial"/>
          <w:b/>
          <w:i/>
          <w:iCs/>
        </w:rPr>
        <w:t>RAIS</w:t>
      </w:r>
      <w:proofErr w:type="spellEnd"/>
      <w:r w:rsidR="00D234AB" w:rsidRPr="00427387">
        <w:rPr>
          <w:rFonts w:ascii="Bookman Old Style" w:hAnsi="Bookman Old Style" w:cs="Arial"/>
          <w:b/>
        </w:rPr>
        <w:t xml:space="preserve"> </w:t>
      </w:r>
      <w:r w:rsidR="00952B9A" w:rsidRPr="00427387">
        <w:rPr>
          <w:rFonts w:ascii="Bookman Old Style" w:hAnsi="Bookman Old Style" w:cs="Arial"/>
        </w:rPr>
        <w:t xml:space="preserve">por </w:t>
      </w:r>
      <w:r w:rsidR="00A149FC" w:rsidRPr="00427387">
        <w:rPr>
          <w:rFonts w:ascii="Bookman Old Style" w:hAnsi="Bookman Old Style" w:cs="Arial"/>
        </w:rPr>
        <w:t>permanecer por más de 2</w:t>
      </w:r>
      <w:r w:rsidR="00D234AB" w:rsidRPr="00427387">
        <w:rPr>
          <w:rFonts w:ascii="Bookman Old Style" w:hAnsi="Bookman Old Style" w:cs="Arial"/>
        </w:rPr>
        <w:t>0</w:t>
      </w:r>
      <w:r w:rsidRPr="00427387">
        <w:rPr>
          <w:rFonts w:ascii="Bookman Old Style" w:hAnsi="Bookman Old Style" w:cs="Arial"/>
        </w:rPr>
        <w:t xml:space="preserve"> años en </w:t>
      </w:r>
      <w:r w:rsidR="00D234AB" w:rsidRPr="00427387">
        <w:rPr>
          <w:rFonts w:ascii="Bookman Old Style" w:hAnsi="Bookman Old Style" w:cs="Arial"/>
        </w:rPr>
        <w:t>dicha AFP</w:t>
      </w:r>
      <w:r w:rsidR="00A149FC" w:rsidRPr="00427387">
        <w:rPr>
          <w:rFonts w:ascii="Bookman Old Style" w:hAnsi="Bookman Old Style" w:cs="Arial"/>
        </w:rPr>
        <w:t>.</w:t>
      </w:r>
    </w:p>
    <w:p w14:paraId="5BE99FE6" w14:textId="77777777" w:rsidR="00AC273E" w:rsidRPr="00427387" w:rsidRDefault="00AC273E" w:rsidP="00427387">
      <w:pPr>
        <w:spacing w:line="276" w:lineRule="auto"/>
        <w:ind w:firstLine="0"/>
        <w:rPr>
          <w:rFonts w:ascii="Bookman Old Style" w:hAnsi="Bookman Old Style" w:cs="Arial"/>
        </w:rPr>
      </w:pPr>
    </w:p>
    <w:p w14:paraId="5CE6261C" w14:textId="0BFBF4C3" w:rsidR="003073FB" w:rsidRPr="00427387" w:rsidRDefault="00D234AB" w:rsidP="00427387">
      <w:pPr>
        <w:spacing w:line="276" w:lineRule="auto"/>
        <w:ind w:firstLine="0"/>
        <w:rPr>
          <w:rFonts w:ascii="Bookman Old Style" w:hAnsi="Bookman Old Style" w:cs="Arial"/>
        </w:rPr>
      </w:pPr>
      <w:r w:rsidRPr="00427387">
        <w:rPr>
          <w:rFonts w:ascii="Bookman Old Style" w:hAnsi="Bookman Old Style" w:cs="Arial"/>
        </w:rPr>
        <w:lastRenderedPageBreak/>
        <w:t xml:space="preserve">A </w:t>
      </w:r>
      <w:r w:rsidR="003073FB" w:rsidRPr="00427387">
        <w:rPr>
          <w:rFonts w:ascii="Bookman Old Style" w:hAnsi="Bookman Old Style" w:cs="Arial"/>
        </w:rPr>
        <w:t xml:space="preserve">propósito de ello, es del caso traer a colación la sentencia </w:t>
      </w:r>
      <w:proofErr w:type="spellStart"/>
      <w:r w:rsidR="003073FB" w:rsidRPr="00427387">
        <w:rPr>
          <w:rFonts w:ascii="Bookman Old Style" w:hAnsi="Bookman Old Style" w:cs="Arial"/>
        </w:rPr>
        <w:t>SL1055</w:t>
      </w:r>
      <w:proofErr w:type="spellEnd"/>
      <w:r w:rsidR="003073FB" w:rsidRPr="00427387">
        <w:rPr>
          <w:rFonts w:ascii="Bookman Old Style" w:hAnsi="Bookman Old Style" w:cs="Arial"/>
        </w:rPr>
        <w:t>-2022 (2-03-2022)</w:t>
      </w:r>
      <w:r w:rsidR="003073FB" w:rsidRPr="00427387">
        <w:rPr>
          <w:rFonts w:ascii="Bookman Old Style" w:hAnsi="Bookman Old Style" w:cs="Arial"/>
          <w:vertAlign w:val="superscript"/>
        </w:rPr>
        <w:footnoteReference w:id="1"/>
      </w:r>
      <w:r w:rsidR="003073FB" w:rsidRPr="00427387">
        <w:rPr>
          <w:rFonts w:ascii="Bookman Old Style" w:hAnsi="Bookman Old Style" w:cs="Arial"/>
        </w:rPr>
        <w:t>, que en lo pertinente recalcó:</w:t>
      </w:r>
    </w:p>
    <w:p w14:paraId="0450F06B" w14:textId="77777777" w:rsidR="003073FB" w:rsidRPr="00427387" w:rsidRDefault="003073FB" w:rsidP="00427387">
      <w:pPr>
        <w:spacing w:line="276" w:lineRule="auto"/>
        <w:ind w:firstLine="0"/>
        <w:rPr>
          <w:rFonts w:ascii="Bookman Old Style" w:hAnsi="Bookman Old Style" w:cs="Arial"/>
        </w:rPr>
      </w:pPr>
    </w:p>
    <w:p w14:paraId="3023F018" w14:textId="5E4E239C" w:rsidR="003073FB" w:rsidRPr="0073663F" w:rsidRDefault="003073FB" w:rsidP="0073663F">
      <w:pPr>
        <w:spacing w:line="240" w:lineRule="auto"/>
        <w:ind w:left="426" w:right="420" w:firstLine="0"/>
        <w:rPr>
          <w:rFonts w:ascii="Bookman Old Style" w:hAnsi="Bookman Old Style" w:cs="Arial"/>
          <w:i/>
          <w:iCs/>
          <w:sz w:val="22"/>
        </w:rPr>
      </w:pPr>
      <w:r w:rsidRPr="0073663F">
        <w:rPr>
          <w:rFonts w:ascii="Bookman Old Style" w:hAnsi="Bookman Old Style" w:cs="Arial"/>
          <w:i/>
          <w:iCs/>
          <w:sz w:val="22"/>
        </w:rPr>
        <w:t xml:space="preserve">“… si bien en el presente asunto uno de los argumentos del accionante fue el relativo a demostrar que su pensión en prima media sería más favorable que en el </w:t>
      </w:r>
      <w:proofErr w:type="spellStart"/>
      <w:r w:rsidRPr="0073663F">
        <w:rPr>
          <w:rFonts w:ascii="Bookman Old Style" w:hAnsi="Bookman Old Style" w:cs="Arial"/>
          <w:i/>
          <w:iCs/>
          <w:sz w:val="22"/>
        </w:rPr>
        <w:t>RAIS</w:t>
      </w:r>
      <w:proofErr w:type="spellEnd"/>
      <w:r w:rsidRPr="0073663F">
        <w:rPr>
          <w:rFonts w:ascii="Bookman Old Style" w:hAnsi="Bookman Old Style" w:cs="Arial"/>
          <w:i/>
          <w:iCs/>
          <w:sz w:val="22"/>
        </w:rPr>
        <w:t>,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73663F" w:rsidRDefault="003073FB" w:rsidP="0073663F">
      <w:pPr>
        <w:spacing w:line="240" w:lineRule="auto"/>
        <w:ind w:left="426" w:right="420" w:firstLine="0"/>
        <w:rPr>
          <w:rFonts w:ascii="Bookman Old Style" w:hAnsi="Bookman Old Style" w:cs="Arial"/>
          <w:i/>
          <w:iCs/>
          <w:sz w:val="22"/>
        </w:rPr>
      </w:pPr>
    </w:p>
    <w:p w14:paraId="44AE8249" w14:textId="77777777" w:rsidR="003073FB" w:rsidRPr="0073663F" w:rsidRDefault="003073FB" w:rsidP="0073663F">
      <w:pPr>
        <w:spacing w:line="240" w:lineRule="auto"/>
        <w:ind w:left="426" w:right="420" w:firstLine="0"/>
        <w:rPr>
          <w:rFonts w:ascii="Bookman Old Style" w:hAnsi="Bookman Old Style" w:cs="Arial"/>
          <w:i/>
          <w:iCs/>
          <w:sz w:val="22"/>
        </w:rPr>
      </w:pPr>
      <w:r w:rsidRPr="0073663F">
        <w:rPr>
          <w:rFonts w:ascii="Bookman Old Style" w:hAnsi="Bookman Old Style" w:cs="Arial"/>
          <w:i/>
          <w:iCs/>
          <w:sz w:val="22"/>
        </w:rPr>
        <w:t xml:space="preserve">Precisamente en este punto la Corte advierte que la opositora Old Mutual S.A. sugiere que la afiliación entre regímenes privados es un acto de relacionamiento que implica su voluntad de permanecer al </w:t>
      </w:r>
      <w:proofErr w:type="spellStart"/>
      <w:r w:rsidRPr="0073663F">
        <w:rPr>
          <w:rFonts w:ascii="Bookman Old Style" w:hAnsi="Bookman Old Style" w:cs="Arial"/>
          <w:i/>
          <w:iCs/>
          <w:sz w:val="22"/>
        </w:rPr>
        <w:t>RAIS</w:t>
      </w:r>
      <w:proofErr w:type="spellEnd"/>
      <w:r w:rsidRPr="0073663F">
        <w:rPr>
          <w:rFonts w:ascii="Bookman Old Style" w:hAnsi="Bookman Old Style" w:cs="Arial"/>
          <w:i/>
          <w:iCs/>
          <w:sz w:val="22"/>
        </w:rPr>
        <w:t xml:space="preserve">.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w:t>
      </w:r>
      <w:proofErr w:type="spellStart"/>
      <w:r w:rsidRPr="0073663F">
        <w:rPr>
          <w:rFonts w:ascii="Bookman Old Style" w:hAnsi="Bookman Old Style" w:cs="Arial"/>
          <w:i/>
          <w:iCs/>
          <w:sz w:val="22"/>
        </w:rPr>
        <w:t>RAIS</w:t>
      </w:r>
      <w:proofErr w:type="spellEnd"/>
      <w:r w:rsidRPr="0073663F">
        <w:rPr>
          <w:rFonts w:ascii="Bookman Old Style" w:hAnsi="Bookman Old Style" w:cs="Arial"/>
          <w:i/>
          <w:iCs/>
          <w:sz w:val="22"/>
        </w:rPr>
        <w:t>.</w:t>
      </w:r>
    </w:p>
    <w:p w14:paraId="75C90B8C" w14:textId="77777777" w:rsidR="003073FB" w:rsidRPr="0073663F" w:rsidRDefault="003073FB" w:rsidP="0073663F">
      <w:pPr>
        <w:spacing w:line="240" w:lineRule="auto"/>
        <w:ind w:left="426" w:right="420" w:firstLine="0"/>
        <w:rPr>
          <w:rFonts w:ascii="Bookman Old Style" w:hAnsi="Bookman Old Style" w:cs="Arial"/>
          <w:i/>
          <w:iCs/>
          <w:sz w:val="22"/>
        </w:rPr>
      </w:pPr>
    </w:p>
    <w:p w14:paraId="3CCD02AE" w14:textId="77777777" w:rsidR="003073FB" w:rsidRPr="0073663F" w:rsidRDefault="003073FB" w:rsidP="0073663F">
      <w:pPr>
        <w:spacing w:line="240" w:lineRule="auto"/>
        <w:ind w:left="426" w:right="420" w:firstLine="0"/>
        <w:rPr>
          <w:rFonts w:ascii="Bookman Old Style" w:hAnsi="Bookman Old Style" w:cs="Arial"/>
          <w:i/>
          <w:iCs/>
          <w:sz w:val="22"/>
        </w:rPr>
      </w:pPr>
      <w:r w:rsidRPr="0073663F">
        <w:rPr>
          <w:rFonts w:ascii="Bookman Old Style" w:hAnsi="Bookman Old Style" w:cs="Arial"/>
          <w:i/>
          <w:iCs/>
          <w:sz w:val="22"/>
        </w:rPr>
        <w:t xml:space="preserve">Pues bien, como se explicó en las sentencias CSJ </w:t>
      </w:r>
      <w:proofErr w:type="spellStart"/>
      <w:r w:rsidRPr="0073663F">
        <w:rPr>
          <w:rFonts w:ascii="Bookman Old Style" w:hAnsi="Bookman Old Style" w:cs="Arial"/>
          <w:i/>
          <w:iCs/>
          <w:sz w:val="22"/>
        </w:rPr>
        <w:t>SL5686</w:t>
      </w:r>
      <w:proofErr w:type="spellEnd"/>
      <w:r w:rsidRPr="0073663F">
        <w:rPr>
          <w:rFonts w:ascii="Bookman Old Style" w:hAnsi="Bookman Old Style" w:cs="Arial"/>
          <w:i/>
          <w:iCs/>
          <w:sz w:val="22"/>
        </w:rPr>
        <w:t xml:space="preserve">-2021 y </w:t>
      </w:r>
      <w:proofErr w:type="spellStart"/>
      <w:r w:rsidRPr="0073663F">
        <w:rPr>
          <w:rFonts w:ascii="Bookman Old Style" w:hAnsi="Bookman Old Style" w:cs="Arial"/>
          <w:i/>
          <w:iCs/>
          <w:sz w:val="22"/>
        </w:rPr>
        <w:t>SL5688</w:t>
      </w:r>
      <w:proofErr w:type="spellEnd"/>
      <w:r w:rsidRPr="0073663F">
        <w:rPr>
          <w:rFonts w:ascii="Bookman Old Style" w:hAnsi="Bookman Old Style" w:cs="Arial"/>
          <w:i/>
          <w:iCs/>
          <w:sz w:val="22"/>
        </w:rPr>
        <w:t xml:space="preserve">-2021, los argumentos de esta índole son inadmisibles pues desatienden que el eje central de estas discusiones está en determinar si al momento del traslado de prima media al </w:t>
      </w:r>
      <w:proofErr w:type="spellStart"/>
      <w:r w:rsidRPr="0073663F">
        <w:rPr>
          <w:rFonts w:ascii="Bookman Old Style" w:hAnsi="Bookman Old Style" w:cs="Arial"/>
          <w:i/>
          <w:iCs/>
          <w:sz w:val="22"/>
        </w:rPr>
        <w:t>RAIS</w:t>
      </w:r>
      <w:proofErr w:type="spellEnd"/>
      <w:r w:rsidRPr="0073663F">
        <w:rPr>
          <w:rFonts w:ascii="Bookman Old Style" w:hAnsi="Bookman Old Style"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73663F" w:rsidRDefault="003073FB" w:rsidP="0073663F">
      <w:pPr>
        <w:spacing w:line="240" w:lineRule="auto"/>
        <w:ind w:left="426" w:right="420" w:firstLine="0"/>
        <w:rPr>
          <w:rFonts w:ascii="Bookman Old Style" w:hAnsi="Bookman Old Style" w:cs="Arial"/>
          <w:i/>
          <w:iCs/>
          <w:sz w:val="22"/>
        </w:rPr>
      </w:pPr>
    </w:p>
    <w:p w14:paraId="52FA049A" w14:textId="77777777" w:rsidR="003073FB" w:rsidRPr="0073663F" w:rsidRDefault="003073FB" w:rsidP="0073663F">
      <w:pPr>
        <w:spacing w:line="240" w:lineRule="auto"/>
        <w:ind w:left="426" w:right="420" w:firstLine="0"/>
        <w:rPr>
          <w:rFonts w:ascii="Bookman Old Style" w:hAnsi="Bookman Old Style" w:cs="Arial"/>
          <w:i/>
          <w:iCs/>
          <w:sz w:val="22"/>
        </w:rPr>
      </w:pPr>
      <w:r w:rsidRPr="0073663F">
        <w:rPr>
          <w:rFonts w:ascii="Bookman Old Style" w:hAnsi="Bookman Old Style"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73663F">
        <w:rPr>
          <w:rFonts w:ascii="Bookman Old Style" w:hAnsi="Bookman Old Style" w:cs="Arial"/>
          <w:i/>
          <w:iCs/>
          <w:sz w:val="22"/>
        </w:rPr>
        <w:t>SL249</w:t>
      </w:r>
      <w:proofErr w:type="spellEnd"/>
      <w:r w:rsidRPr="0073663F">
        <w:rPr>
          <w:rFonts w:ascii="Bookman Old Style" w:hAnsi="Bookman Old Style" w:cs="Arial"/>
          <w:i/>
          <w:iCs/>
          <w:sz w:val="22"/>
        </w:rPr>
        <w:t xml:space="preserve">-2022 y </w:t>
      </w:r>
      <w:proofErr w:type="spellStart"/>
      <w:r w:rsidRPr="0073663F">
        <w:rPr>
          <w:rFonts w:ascii="Bookman Old Style" w:hAnsi="Bookman Old Style" w:cs="Arial"/>
          <w:i/>
          <w:iCs/>
          <w:sz w:val="22"/>
        </w:rPr>
        <w:t>SL259</w:t>
      </w:r>
      <w:proofErr w:type="spellEnd"/>
      <w:r w:rsidRPr="0073663F">
        <w:rPr>
          <w:rFonts w:ascii="Bookman Old Style" w:hAnsi="Bookman Old Style" w:cs="Arial"/>
          <w:i/>
          <w:iCs/>
          <w:sz w:val="22"/>
        </w:rPr>
        <w:t xml:space="preserve">-2022. Nótese que, conforme la perspectiva explicada, esa voluntad de permanencia en el </w:t>
      </w:r>
      <w:proofErr w:type="spellStart"/>
      <w:r w:rsidRPr="0073663F">
        <w:rPr>
          <w:rFonts w:ascii="Bookman Old Style" w:hAnsi="Bookman Old Style" w:cs="Arial"/>
          <w:i/>
          <w:iCs/>
          <w:sz w:val="22"/>
        </w:rPr>
        <w:t>RAIS</w:t>
      </w:r>
      <w:proofErr w:type="spellEnd"/>
      <w:r w:rsidRPr="0073663F">
        <w:rPr>
          <w:rFonts w:ascii="Bookman Old Style" w:hAnsi="Bookman Old Style" w:cs="Arial"/>
          <w:i/>
          <w:iCs/>
          <w:sz w:val="22"/>
        </w:rPr>
        <w:t xml:space="preserve">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73663F" w:rsidRDefault="003073FB" w:rsidP="0073663F">
      <w:pPr>
        <w:spacing w:line="240" w:lineRule="auto"/>
        <w:ind w:left="426" w:right="420" w:firstLine="0"/>
        <w:rPr>
          <w:rFonts w:ascii="Bookman Old Style" w:hAnsi="Bookman Old Style" w:cs="Arial"/>
          <w:i/>
          <w:iCs/>
          <w:sz w:val="22"/>
        </w:rPr>
      </w:pPr>
    </w:p>
    <w:p w14:paraId="0722459B" w14:textId="77777777" w:rsidR="003073FB" w:rsidRPr="0073663F" w:rsidRDefault="003073FB" w:rsidP="0073663F">
      <w:pPr>
        <w:spacing w:line="240" w:lineRule="auto"/>
        <w:ind w:left="426" w:right="420" w:firstLine="0"/>
        <w:rPr>
          <w:rFonts w:ascii="Bookman Old Style" w:hAnsi="Bookman Old Style" w:cs="Arial"/>
          <w:i/>
          <w:iCs/>
          <w:sz w:val="22"/>
        </w:rPr>
      </w:pPr>
      <w:r w:rsidRPr="0073663F">
        <w:rPr>
          <w:rFonts w:ascii="Bookman Old Style" w:hAnsi="Bookman Old Style"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73663F">
        <w:rPr>
          <w:rFonts w:ascii="Bookman Old Style" w:hAnsi="Bookman Old Style" w:cs="Arial"/>
          <w:i/>
          <w:iCs/>
          <w:sz w:val="22"/>
        </w:rPr>
        <w:t>RAIS</w:t>
      </w:r>
      <w:proofErr w:type="spellEnd"/>
      <w:r w:rsidRPr="0073663F">
        <w:rPr>
          <w:rFonts w:ascii="Bookman Old Style" w:hAnsi="Bookman Old Style" w:cs="Arial"/>
          <w:i/>
          <w:iCs/>
          <w:sz w:val="22"/>
        </w:rPr>
        <w:t xml:space="preserve">”. </w:t>
      </w:r>
    </w:p>
    <w:p w14:paraId="48D4F2CC" w14:textId="77777777" w:rsidR="003073FB" w:rsidRPr="00427387" w:rsidRDefault="003073FB" w:rsidP="00427387">
      <w:pPr>
        <w:spacing w:line="276" w:lineRule="auto"/>
        <w:ind w:firstLine="0"/>
        <w:rPr>
          <w:rFonts w:ascii="Bookman Old Style" w:hAnsi="Bookman Old Style" w:cs="Arial"/>
          <w:highlight w:val="yellow"/>
        </w:rPr>
      </w:pPr>
    </w:p>
    <w:p w14:paraId="2C734B63" w14:textId="7E25BE3F" w:rsidR="003073FB" w:rsidRPr="00427387" w:rsidRDefault="00927BA0" w:rsidP="00427387">
      <w:pPr>
        <w:spacing w:line="276" w:lineRule="auto"/>
        <w:ind w:firstLine="0"/>
        <w:rPr>
          <w:rFonts w:ascii="Bookman Old Style" w:hAnsi="Bookman Old Style" w:cs="Arial"/>
        </w:rPr>
      </w:pPr>
      <w:r w:rsidRPr="00427387">
        <w:rPr>
          <w:rFonts w:ascii="Bookman Old Style" w:hAnsi="Bookman Old Style" w:cs="Arial"/>
        </w:rPr>
        <w:t>Además, e</w:t>
      </w:r>
      <w:r w:rsidR="003073FB" w:rsidRPr="00427387">
        <w:rPr>
          <w:rFonts w:ascii="Bookman Old Style" w:hAnsi="Bookman Old Style" w:cs="Arial"/>
        </w:rPr>
        <w:t xml:space="preserve">s de recalcar, que la Sala de Casación Laboral ha indicado que la sanción impuesta por el ordenamiento jurídico a la afiliación desinformada es la ineficacia o exclusión de todo efecto al traslado. Por ello, el examen del acto de cambio de régimen pensional, por transgresión del deber de información, </w:t>
      </w:r>
      <w:r w:rsidR="003073FB" w:rsidRPr="00427387">
        <w:rPr>
          <w:rFonts w:ascii="Bookman Old Style" w:hAnsi="Bookman Old Style" w:cs="Arial"/>
        </w:rPr>
        <w:lastRenderedPageBreak/>
        <w:t>debe abordarse desde la institución de la ineficacia</w:t>
      </w:r>
      <w:r w:rsidR="003073FB" w:rsidRPr="00427387">
        <w:rPr>
          <w:rFonts w:ascii="Bookman Old Style" w:hAnsi="Bookman Old Style" w:cs="Arial"/>
          <w:vertAlign w:val="superscript"/>
        </w:rPr>
        <w:footnoteReference w:id="2"/>
      </w:r>
      <w:r w:rsidR="003073FB" w:rsidRPr="00427387">
        <w:rPr>
          <w:rFonts w:ascii="Bookman Old Style" w:hAnsi="Bookman Old Style" w:cs="Arial"/>
        </w:rPr>
        <w:t>. Sin embargo, dicho criterio es aplicable solo para el caso de afiliados, pues, en tratándose de pensionados, la alta Corporación ha definido en reciente sentencia (</w:t>
      </w:r>
      <w:proofErr w:type="spellStart"/>
      <w:r w:rsidR="003073FB" w:rsidRPr="00427387">
        <w:rPr>
          <w:rFonts w:ascii="Bookman Old Style" w:hAnsi="Bookman Old Style" w:cs="Arial"/>
        </w:rPr>
        <w:t>SL</w:t>
      </w:r>
      <w:proofErr w:type="spellEnd"/>
      <w:r w:rsidR="003073FB" w:rsidRPr="00427387">
        <w:rPr>
          <w:rFonts w:ascii="Bookman Old Style" w:hAnsi="Bookman Old Style" w:cs="Arial"/>
        </w:rPr>
        <w:t xml:space="preserve"> 373/2021), que la calidad de pensionad</w:t>
      </w:r>
      <w:r w:rsidR="00DD0620" w:rsidRPr="00427387">
        <w:rPr>
          <w:rFonts w:ascii="Bookman Old Style" w:hAnsi="Bookman Old Style" w:cs="Arial"/>
        </w:rPr>
        <w:t>o</w:t>
      </w:r>
      <w:r w:rsidR="003073FB" w:rsidRPr="00427387">
        <w:rPr>
          <w:rFonts w:ascii="Bookman Old Style" w:hAnsi="Bookman Old Style" w:cs="Arial"/>
        </w:rPr>
        <w:t xml:space="preserve"> es una situación jurídica consolidada, un hecho consumado, un estatus</w:t>
      </w:r>
      <w:r w:rsidR="00705E27" w:rsidRPr="00427387">
        <w:rPr>
          <w:rFonts w:ascii="Bookman Old Style" w:hAnsi="Bookman Old Style" w:cs="Arial"/>
        </w:rPr>
        <w:t xml:space="preserve"> que no es razonable retrotraer</w:t>
      </w:r>
      <w:r w:rsidR="00CC0BF9" w:rsidRPr="00427387">
        <w:rPr>
          <w:rFonts w:ascii="Bookman Old Style" w:hAnsi="Bookman Old Style" w:cs="Arial"/>
        </w:rPr>
        <w:t>. Dicha situación</w:t>
      </w:r>
      <w:r w:rsidR="003073FB" w:rsidRPr="00427387">
        <w:rPr>
          <w:rFonts w:ascii="Bookman Old Style" w:hAnsi="Bookman Old Style" w:cs="Arial"/>
        </w:rPr>
        <w:t xml:space="preserve"> aquí no ocurre</w:t>
      </w:r>
      <w:r w:rsidR="00CC0BF9" w:rsidRPr="00427387">
        <w:rPr>
          <w:rFonts w:ascii="Bookman Old Style" w:hAnsi="Bookman Old Style" w:cs="Arial"/>
        </w:rPr>
        <w:t xml:space="preserve">, por cuanto </w:t>
      </w:r>
      <w:r w:rsidR="00DD0620" w:rsidRPr="00427387">
        <w:rPr>
          <w:rFonts w:ascii="Bookman Old Style" w:hAnsi="Bookman Old Style" w:cs="Arial"/>
        </w:rPr>
        <w:t>el</w:t>
      </w:r>
      <w:r w:rsidR="003073FB" w:rsidRPr="00427387">
        <w:rPr>
          <w:rFonts w:ascii="Bookman Old Style" w:hAnsi="Bookman Old Style" w:cs="Arial"/>
        </w:rPr>
        <w:t xml:space="preserve"> demandante en la actualidad no </w:t>
      </w:r>
      <w:r w:rsidR="00CC0BF9" w:rsidRPr="00427387">
        <w:rPr>
          <w:rFonts w:ascii="Bookman Old Style" w:hAnsi="Bookman Old Style" w:cs="Arial"/>
        </w:rPr>
        <w:t>tiene la condición de pensionad</w:t>
      </w:r>
      <w:r w:rsidR="00DD0620" w:rsidRPr="00427387">
        <w:rPr>
          <w:rFonts w:ascii="Bookman Old Style" w:hAnsi="Bookman Old Style" w:cs="Arial"/>
        </w:rPr>
        <w:t>o</w:t>
      </w:r>
      <w:r w:rsidR="00D416A0" w:rsidRPr="00427387">
        <w:rPr>
          <w:rFonts w:ascii="Bookman Old Style" w:hAnsi="Bookman Old Style" w:cs="Arial"/>
        </w:rPr>
        <w:t xml:space="preserve"> y sigue laborando</w:t>
      </w:r>
      <w:r w:rsidR="005D61AD" w:rsidRPr="00427387">
        <w:rPr>
          <w:rFonts w:ascii="Bookman Old Style" w:hAnsi="Bookman Old Style" w:cs="Arial"/>
        </w:rPr>
        <w:t>.</w:t>
      </w:r>
    </w:p>
    <w:p w14:paraId="5E1FCF2F" w14:textId="77777777" w:rsidR="003073FB" w:rsidRPr="00427387" w:rsidRDefault="003073FB" w:rsidP="00427387">
      <w:pPr>
        <w:spacing w:line="276" w:lineRule="auto"/>
        <w:ind w:firstLine="0"/>
        <w:rPr>
          <w:rFonts w:ascii="Bookman Old Style" w:hAnsi="Bookman Old Style" w:cs="Arial"/>
        </w:rPr>
      </w:pPr>
    </w:p>
    <w:p w14:paraId="2B5BA00F" w14:textId="6C4C1255"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Conforme a lo expuesto, la ineficacia del traslado que fue decretada por </w:t>
      </w:r>
      <w:r w:rsidR="005D61AD" w:rsidRPr="00427387">
        <w:rPr>
          <w:rFonts w:ascii="Bookman Old Style" w:hAnsi="Bookman Old Style" w:cs="Arial"/>
        </w:rPr>
        <w:t>la</w:t>
      </w:r>
      <w:r w:rsidRPr="00427387">
        <w:rPr>
          <w:rFonts w:ascii="Bookman Old Style" w:hAnsi="Bookman Old Style" w:cs="Arial"/>
        </w:rPr>
        <w:t xml:space="preserve"> </w:t>
      </w:r>
      <w:r w:rsidRPr="00427387">
        <w:rPr>
          <w:rFonts w:ascii="Bookman Old Style" w:hAnsi="Bookman Old Style" w:cs="Arial"/>
          <w:i/>
        </w:rPr>
        <w:t>a-quo</w:t>
      </w:r>
      <w:r w:rsidRPr="00427387">
        <w:rPr>
          <w:rFonts w:ascii="Bookman Old Style" w:hAnsi="Bookman Old Style" w:cs="Arial"/>
        </w:rPr>
        <w:t xml:space="preserve"> se generó por</w:t>
      </w:r>
      <w:r w:rsidR="00234859" w:rsidRPr="00427387">
        <w:rPr>
          <w:rFonts w:ascii="Bookman Old Style" w:hAnsi="Bookman Old Style" w:cs="Arial"/>
        </w:rPr>
        <w:t xml:space="preserve"> </w:t>
      </w:r>
      <w:r w:rsidR="00D416A0" w:rsidRPr="00427387">
        <w:rPr>
          <w:rFonts w:ascii="Bookman Old Style" w:hAnsi="Bookman Old Style" w:cs="Arial"/>
        </w:rPr>
        <w:t>falta de información</w:t>
      </w:r>
      <w:r w:rsidR="00234859" w:rsidRPr="00427387">
        <w:rPr>
          <w:rFonts w:ascii="Bookman Old Style" w:hAnsi="Bookman Old Style" w:cs="Arial"/>
        </w:rPr>
        <w:t xml:space="preserve"> en el acto jurídico y</w:t>
      </w:r>
      <w:r w:rsidR="00CC0BF9" w:rsidRPr="00427387">
        <w:rPr>
          <w:rFonts w:ascii="Bookman Old Style" w:hAnsi="Bookman Old Style" w:cs="Arial"/>
        </w:rPr>
        <w:t xml:space="preserve"> falta de asesoría de</w:t>
      </w:r>
      <w:r w:rsidR="00DD0620" w:rsidRPr="00427387">
        <w:rPr>
          <w:rFonts w:ascii="Bookman Old Style" w:hAnsi="Bookman Old Style" w:cs="Arial"/>
        </w:rPr>
        <w:t xml:space="preserve">l </w:t>
      </w:r>
      <w:r w:rsidR="00CC0BF9" w:rsidRPr="00427387">
        <w:rPr>
          <w:rFonts w:ascii="Bookman Old Style" w:hAnsi="Bookman Old Style" w:cs="Arial"/>
        </w:rPr>
        <w:t>afiliad</w:t>
      </w:r>
      <w:r w:rsidR="00DD0620" w:rsidRPr="00427387">
        <w:rPr>
          <w:rFonts w:ascii="Bookman Old Style" w:hAnsi="Bookman Old Style" w:cs="Arial"/>
        </w:rPr>
        <w:t>o</w:t>
      </w:r>
      <w:r w:rsidRPr="00427387">
        <w:rPr>
          <w:rFonts w:ascii="Bookman Old Style" w:hAnsi="Bookman Old Style" w:cs="Arial"/>
        </w:rPr>
        <w:t xml:space="preserve"> al mo</w:t>
      </w:r>
      <w:r w:rsidR="00705E27" w:rsidRPr="00427387">
        <w:rPr>
          <w:rFonts w:ascii="Bookman Old Style" w:hAnsi="Bookman Old Style" w:cs="Arial"/>
        </w:rPr>
        <w:t>mento de realizar su traslado a</w:t>
      </w:r>
      <w:r w:rsidRPr="00427387">
        <w:rPr>
          <w:rFonts w:ascii="Bookman Old Style" w:hAnsi="Bookman Old Style" w:cs="Arial"/>
        </w:rPr>
        <w:t xml:space="preserve"> </w:t>
      </w:r>
      <w:r w:rsidR="00705E27" w:rsidRPr="00427387">
        <w:rPr>
          <w:rFonts w:ascii="Bookman Old Style" w:hAnsi="Bookman Old Style" w:cs="Arial"/>
        </w:rPr>
        <w:t>l</w:t>
      </w:r>
      <w:r w:rsidRPr="00427387">
        <w:rPr>
          <w:rFonts w:ascii="Bookman Old Style" w:hAnsi="Bookman Old Style" w:cs="Arial"/>
        </w:rPr>
        <w:t>a AFP</w:t>
      </w:r>
      <w:r w:rsidR="006B5472" w:rsidRPr="00427387">
        <w:rPr>
          <w:rFonts w:ascii="Bookman Old Style" w:hAnsi="Bookman Old Style" w:cs="Arial"/>
        </w:rPr>
        <w:t xml:space="preserve">, </w:t>
      </w:r>
      <w:r w:rsidRPr="00427387">
        <w:rPr>
          <w:rFonts w:ascii="Bookman Old Style" w:hAnsi="Bookman Old Style" w:cs="Arial"/>
        </w:rPr>
        <w:t>situación que permite su retorno al RPM</w:t>
      </w:r>
      <w:r w:rsidR="00705E27" w:rsidRPr="00427387">
        <w:rPr>
          <w:rFonts w:ascii="Bookman Old Style" w:hAnsi="Bookman Old Style" w:cs="Arial"/>
        </w:rPr>
        <w:t>,</w:t>
      </w:r>
      <w:r w:rsidRPr="00427387">
        <w:rPr>
          <w:rFonts w:ascii="Bookman Old Style" w:hAnsi="Bookman Old Style" w:cs="Arial"/>
        </w:rPr>
        <w:t xml:space="preserve"> independientemente que se encuentre a menos de 10 años de cumplir la edad pensional, pu</w:t>
      </w:r>
      <w:r w:rsidR="00022FE4" w:rsidRPr="00427387">
        <w:rPr>
          <w:rFonts w:ascii="Bookman Old Style" w:hAnsi="Bookman Old Style" w:cs="Arial"/>
        </w:rPr>
        <w:t xml:space="preserve">es ello no impide el retorno </w:t>
      </w:r>
      <w:r w:rsidRPr="00427387">
        <w:rPr>
          <w:rFonts w:ascii="Bookman Old Style" w:hAnsi="Bookman Old Style" w:cs="Arial"/>
        </w:rPr>
        <w:t xml:space="preserve">al </w:t>
      </w:r>
      <w:proofErr w:type="spellStart"/>
      <w:r w:rsidRPr="00427387">
        <w:rPr>
          <w:rFonts w:ascii="Bookman Old Style" w:hAnsi="Bookman Old Style" w:cs="Arial"/>
        </w:rPr>
        <w:t>RPMPD</w:t>
      </w:r>
      <w:proofErr w:type="spellEnd"/>
      <w:r w:rsidRPr="00427387">
        <w:rPr>
          <w:rFonts w:ascii="Bookman Old Style" w:hAnsi="Bookman Old Style" w:cs="Arial"/>
        </w:rPr>
        <w:t xml:space="preserve"> porque no se está frente a un nuevo traslado sino frente a una declaratoria de ineficacia del primigenio que retrotrae las cosas al estado original.</w:t>
      </w:r>
    </w:p>
    <w:p w14:paraId="75182129" w14:textId="77777777" w:rsidR="003073FB" w:rsidRPr="00427387" w:rsidRDefault="003073FB" w:rsidP="00427387">
      <w:pPr>
        <w:spacing w:line="276" w:lineRule="auto"/>
        <w:ind w:firstLine="0"/>
        <w:rPr>
          <w:rFonts w:ascii="Bookman Old Style" w:hAnsi="Bookman Old Style" w:cs="Arial"/>
        </w:rPr>
      </w:pPr>
    </w:p>
    <w:p w14:paraId="39BD0733" w14:textId="6D12509F"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Con todo, se deberá confirma</w:t>
      </w:r>
      <w:r w:rsidR="00D76CA2" w:rsidRPr="00427387">
        <w:rPr>
          <w:rFonts w:ascii="Bookman Old Style" w:hAnsi="Bookman Old Style" w:cs="Arial"/>
        </w:rPr>
        <w:t>r la ineficacia declarada por la</w:t>
      </w:r>
      <w:r w:rsidRPr="00427387">
        <w:rPr>
          <w:rFonts w:ascii="Bookman Old Style" w:hAnsi="Bookman Old Style" w:cs="Arial"/>
        </w:rPr>
        <w:t xml:space="preserve"> </w:t>
      </w:r>
      <w:r w:rsidR="00705E27" w:rsidRPr="00427387">
        <w:rPr>
          <w:rFonts w:ascii="Bookman Old Style" w:hAnsi="Bookman Old Style" w:cs="Arial"/>
          <w:i/>
        </w:rPr>
        <w:t>a quo</w:t>
      </w:r>
      <w:r w:rsidRPr="00427387">
        <w:rPr>
          <w:rFonts w:ascii="Bookman Old Style" w:hAnsi="Bookman Old Style" w:cs="Arial"/>
        </w:rPr>
        <w:t xml:space="preserve"> al no tener vocación de prosperidad los argumentos esbozados por </w:t>
      </w:r>
      <w:r w:rsidR="00A149FC" w:rsidRPr="00427387">
        <w:rPr>
          <w:rFonts w:ascii="Bookman Old Style" w:hAnsi="Bookman Old Style" w:cs="Arial"/>
        </w:rPr>
        <w:t>COLPENSIONES</w:t>
      </w:r>
      <w:r w:rsidR="0046626B" w:rsidRPr="00427387">
        <w:rPr>
          <w:rFonts w:ascii="Bookman Old Style" w:hAnsi="Bookman Old Style" w:cs="Arial"/>
        </w:rPr>
        <w:t xml:space="preserve"> y PORVENIR S.A.</w:t>
      </w:r>
      <w:r w:rsidR="00DD0620" w:rsidRPr="00427387">
        <w:rPr>
          <w:rFonts w:ascii="Bookman Old Style" w:hAnsi="Bookman Old Style" w:cs="Arial"/>
        </w:rPr>
        <w:t xml:space="preserve"> </w:t>
      </w:r>
    </w:p>
    <w:p w14:paraId="23C9F92F" w14:textId="77777777" w:rsidR="003073FB" w:rsidRPr="00427387" w:rsidRDefault="003073FB" w:rsidP="00427387">
      <w:pPr>
        <w:spacing w:line="276" w:lineRule="auto"/>
        <w:ind w:firstLine="0"/>
        <w:rPr>
          <w:rFonts w:ascii="Bookman Old Style" w:hAnsi="Bookman Old Style" w:cs="Arial"/>
        </w:rPr>
      </w:pPr>
    </w:p>
    <w:p w14:paraId="166948C2" w14:textId="77777777" w:rsidR="003073FB" w:rsidRPr="00427387" w:rsidRDefault="003073FB" w:rsidP="00427387">
      <w:pPr>
        <w:spacing w:line="276" w:lineRule="auto"/>
        <w:ind w:firstLine="0"/>
        <w:rPr>
          <w:rFonts w:ascii="Bookman Old Style" w:hAnsi="Bookman Old Style" w:cs="Arial"/>
          <w:b/>
        </w:rPr>
      </w:pPr>
      <w:r w:rsidRPr="00427387">
        <w:rPr>
          <w:rFonts w:ascii="Bookman Old Style" w:hAnsi="Bookman Old Style" w:cs="Arial"/>
          <w:b/>
        </w:rPr>
        <w:t>De las condenas impuestas en la sentencia y grado de consulta en lo no recurrido.</w:t>
      </w:r>
    </w:p>
    <w:p w14:paraId="6018F54B" w14:textId="77777777" w:rsidR="003073FB" w:rsidRPr="00427387" w:rsidRDefault="003073FB" w:rsidP="00427387">
      <w:pPr>
        <w:spacing w:line="276" w:lineRule="auto"/>
        <w:ind w:firstLine="0"/>
        <w:rPr>
          <w:rFonts w:ascii="Bookman Old Style" w:hAnsi="Bookman Old Style" w:cs="Arial"/>
          <w:highlight w:val="yellow"/>
        </w:rPr>
      </w:pPr>
    </w:p>
    <w:p w14:paraId="38872EA4" w14:textId="1F6D281B"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Resp</w:t>
      </w:r>
      <w:r w:rsidR="006D33E5" w:rsidRPr="00427387">
        <w:rPr>
          <w:rFonts w:ascii="Bookman Old Style" w:hAnsi="Bookman Old Style" w:cs="Arial"/>
        </w:rPr>
        <w:t xml:space="preserve">ecto </w:t>
      </w:r>
      <w:r w:rsidRPr="00427387">
        <w:rPr>
          <w:rFonts w:ascii="Bookman Old Style" w:hAnsi="Bookman Old Style" w:cs="Arial"/>
        </w:rPr>
        <w:t>a la orden de devolución de los gastos de administración y demás emolumentos,</w:t>
      </w:r>
      <w:r w:rsidR="00D76CA2" w:rsidRPr="00427387">
        <w:rPr>
          <w:rFonts w:ascii="Bookman Old Style" w:hAnsi="Bookman Old Style" w:cs="Arial"/>
        </w:rPr>
        <w:t xml:space="preserve"> por parte de </w:t>
      </w:r>
      <w:r w:rsidR="0046626B" w:rsidRPr="00427387">
        <w:rPr>
          <w:rFonts w:ascii="Bookman Old Style" w:hAnsi="Bookman Old Style" w:cs="Arial"/>
        </w:rPr>
        <w:t>PORVENIR S.A.</w:t>
      </w:r>
      <w:r w:rsidR="00D76CA2" w:rsidRPr="00427387">
        <w:rPr>
          <w:rFonts w:ascii="Bookman Old Style" w:hAnsi="Bookman Old Style" w:cs="Arial"/>
        </w:rPr>
        <w:t>,</w:t>
      </w:r>
      <w:r w:rsidRPr="00427387">
        <w:rPr>
          <w:rFonts w:ascii="Bookman Old Style" w:hAnsi="Bookman Old Style" w:cs="Arial"/>
        </w:rPr>
        <w:t xml:space="preserve"> se ha de indicar que la consecuencia de la declaración de ineficacia del traslado es que la afiliación se retrotrae al estado en que se en</w:t>
      </w:r>
      <w:r w:rsidR="00CC0BF9" w:rsidRPr="00427387">
        <w:rPr>
          <w:rFonts w:ascii="Bookman Old Style" w:hAnsi="Bookman Old Style" w:cs="Arial"/>
        </w:rPr>
        <w:t xml:space="preserve">contraba, lo que implica que la AFP del </w:t>
      </w:r>
      <w:proofErr w:type="spellStart"/>
      <w:r w:rsidR="00CC0BF9" w:rsidRPr="00427387">
        <w:rPr>
          <w:rFonts w:ascii="Bookman Old Style" w:hAnsi="Bookman Old Style" w:cs="Arial"/>
        </w:rPr>
        <w:t>RAIS</w:t>
      </w:r>
      <w:proofErr w:type="spellEnd"/>
      <w:r w:rsidR="00CC0BF9" w:rsidRPr="00427387">
        <w:rPr>
          <w:rFonts w:ascii="Bookman Old Style" w:hAnsi="Bookman Old Style" w:cs="Arial"/>
        </w:rPr>
        <w:t xml:space="preserve"> debe</w:t>
      </w:r>
      <w:r w:rsidRPr="00427387">
        <w:rPr>
          <w:rFonts w:ascii="Bookman Old Style" w:hAnsi="Bookman Old Style" w:cs="Arial"/>
        </w:rPr>
        <w:t xml:space="preserve"> devolver todos los valores recibidos con </w:t>
      </w:r>
      <w:r w:rsidR="00E12055" w:rsidRPr="00427387">
        <w:rPr>
          <w:rFonts w:ascii="Bookman Old Style" w:hAnsi="Bookman Old Style" w:cs="Arial"/>
        </w:rPr>
        <w:t>motivo de la afiliación como lo</w:t>
      </w:r>
      <w:r w:rsidRPr="00427387">
        <w:rPr>
          <w:rFonts w:ascii="Bookman Old Style" w:hAnsi="Bookman Old Style" w:cs="Arial"/>
        </w:rPr>
        <w:t xml:space="preserve"> dispone el artículo 1746 del </w:t>
      </w:r>
      <w:proofErr w:type="spellStart"/>
      <w:r w:rsidRPr="00427387">
        <w:rPr>
          <w:rFonts w:ascii="Bookman Old Style" w:hAnsi="Bookman Old Style" w:cs="Arial"/>
        </w:rPr>
        <w:t>C.C</w:t>
      </w:r>
      <w:proofErr w:type="spellEnd"/>
      <w:r w:rsidRPr="00427387">
        <w:rPr>
          <w:rFonts w:ascii="Bookman Old Style" w:hAnsi="Bookman Old Style" w:cs="Arial"/>
        </w:rPr>
        <w:t xml:space="preserve">, incluidos los gastos de administración, conforme a la línea jurisprudencial trazada por la Sala de Casación Laboral de la CSJ entre otras, en sentencias </w:t>
      </w:r>
      <w:proofErr w:type="spellStart"/>
      <w:r w:rsidRPr="00427387">
        <w:rPr>
          <w:rFonts w:ascii="Bookman Old Style" w:hAnsi="Bookman Old Style" w:cs="Arial"/>
        </w:rPr>
        <w:t>SL17595</w:t>
      </w:r>
      <w:proofErr w:type="spellEnd"/>
      <w:r w:rsidRPr="00427387">
        <w:rPr>
          <w:rFonts w:ascii="Bookman Old Style" w:hAnsi="Bookman Old Style" w:cs="Arial"/>
        </w:rPr>
        <w:t xml:space="preserve">-2017, </w:t>
      </w:r>
      <w:proofErr w:type="spellStart"/>
      <w:r w:rsidRPr="00427387">
        <w:rPr>
          <w:rFonts w:ascii="Bookman Old Style" w:hAnsi="Bookman Old Style" w:cs="Arial"/>
        </w:rPr>
        <w:t>CSJSL4989</w:t>
      </w:r>
      <w:proofErr w:type="spellEnd"/>
      <w:r w:rsidRPr="00427387">
        <w:rPr>
          <w:rFonts w:ascii="Bookman Old Style" w:hAnsi="Bookman Old Style" w:cs="Arial"/>
        </w:rPr>
        <w:t>-2018, y en sentencia del 8 de septiembre de 2008, rad. 31989, en la que se dijo:</w:t>
      </w:r>
    </w:p>
    <w:p w14:paraId="35150EBD" w14:textId="77777777" w:rsidR="003073FB" w:rsidRPr="00427387" w:rsidRDefault="003073FB" w:rsidP="00427387">
      <w:pPr>
        <w:spacing w:line="276" w:lineRule="auto"/>
        <w:ind w:firstLine="0"/>
        <w:rPr>
          <w:rFonts w:ascii="Bookman Old Style" w:hAnsi="Bookman Old Style" w:cs="Arial"/>
        </w:rPr>
      </w:pPr>
    </w:p>
    <w:p w14:paraId="03E3353E" w14:textId="77777777" w:rsidR="003073FB" w:rsidRPr="0073663F" w:rsidRDefault="003073FB" w:rsidP="0073663F">
      <w:pPr>
        <w:spacing w:line="240" w:lineRule="auto"/>
        <w:ind w:left="426" w:right="420" w:firstLine="0"/>
        <w:rPr>
          <w:rFonts w:ascii="Bookman Old Style" w:hAnsi="Bookman Old Style" w:cs="Arial"/>
          <w:i/>
          <w:sz w:val="22"/>
        </w:rPr>
      </w:pPr>
      <w:r w:rsidRPr="0073663F">
        <w:rPr>
          <w:rFonts w:ascii="Bookman Old Style" w:hAnsi="Bookman Old Style" w:cs="Arial"/>
          <w:i/>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427387" w:rsidRDefault="003073FB" w:rsidP="00427387">
      <w:pPr>
        <w:spacing w:line="276" w:lineRule="auto"/>
        <w:ind w:firstLine="0"/>
        <w:rPr>
          <w:rFonts w:ascii="Bookman Old Style" w:hAnsi="Bookman Old Style" w:cs="Arial"/>
        </w:rPr>
      </w:pPr>
    </w:p>
    <w:p w14:paraId="0A2D0CBB" w14:textId="363085EE"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 xml:space="preserve">Lo anterior implica que </w:t>
      </w:r>
      <w:r w:rsidR="00E12055" w:rsidRPr="00427387">
        <w:rPr>
          <w:rFonts w:ascii="Bookman Old Style" w:hAnsi="Bookman Old Style" w:cs="Arial"/>
        </w:rPr>
        <w:t>la</w:t>
      </w:r>
      <w:r w:rsidR="0046626B" w:rsidRPr="00427387">
        <w:rPr>
          <w:rFonts w:ascii="Bookman Old Style" w:hAnsi="Bookman Old Style" w:cs="Arial"/>
        </w:rPr>
        <w:t>s</w:t>
      </w:r>
      <w:r w:rsidR="006D33E5" w:rsidRPr="00427387">
        <w:rPr>
          <w:rFonts w:ascii="Bookman Old Style" w:hAnsi="Bookman Old Style" w:cs="Arial"/>
        </w:rPr>
        <w:t xml:space="preserve"> AFP</w:t>
      </w:r>
      <w:r w:rsidRPr="00427387">
        <w:rPr>
          <w:rFonts w:ascii="Bookman Old Style" w:hAnsi="Bookman Old Style" w:cs="Arial"/>
        </w:rPr>
        <w:t xml:space="preserve"> tiene el deber de trasladar todos los dineros que por concepto de aportes y rendimientos se hubieren producido y que hacen parte de la</w:t>
      </w:r>
      <w:r w:rsidR="00ED6949" w:rsidRPr="00427387">
        <w:rPr>
          <w:rFonts w:ascii="Bookman Old Style" w:hAnsi="Bookman Old Style" w:cs="Arial"/>
        </w:rPr>
        <w:t xml:space="preserve"> c</w:t>
      </w:r>
      <w:r w:rsidR="003202E9" w:rsidRPr="00427387">
        <w:rPr>
          <w:rFonts w:ascii="Bookman Old Style" w:hAnsi="Bookman Old Style" w:cs="Arial"/>
        </w:rPr>
        <w:t>uenta de ahorro individual del</w:t>
      </w:r>
      <w:r w:rsidRPr="00427387">
        <w:rPr>
          <w:rFonts w:ascii="Bookman Old Style" w:hAnsi="Bookman Old Style" w:cs="Arial"/>
        </w:rPr>
        <w:t xml:space="preserve"> accionante, además de los valores que </w:t>
      </w:r>
      <w:r w:rsidR="0038198A" w:rsidRPr="00427387">
        <w:rPr>
          <w:rFonts w:ascii="Bookman Old Style" w:hAnsi="Bookman Old Style" w:cs="Arial"/>
        </w:rPr>
        <w:t>cobró</w:t>
      </w:r>
      <w:r w:rsidRPr="00427387">
        <w:rPr>
          <w:rFonts w:ascii="Bookman Old Style" w:hAnsi="Bookman Old Style" w:cs="Arial"/>
        </w:rPr>
        <w:t xml:space="preserve"> a título de cuotas de administración y comisiones, incluidos los aportes destinados para el fondo de garantía de pensión mínima y los valores utilizados en seguros previsionales de invalidez y sobrevivencia, </w:t>
      </w:r>
      <w:r w:rsidRPr="00427387">
        <w:rPr>
          <w:rFonts w:ascii="Bookman Old Style" w:hAnsi="Bookman Old Style" w:cs="Arial"/>
        </w:rPr>
        <w:lastRenderedPageBreak/>
        <w:t xml:space="preserve">debidamente indexados, con cargo a sus propios recursos, pues todos estos deberán ser abonados en el fondo común que administra </w:t>
      </w:r>
      <w:r w:rsidR="005E0D01" w:rsidRPr="00427387">
        <w:rPr>
          <w:rFonts w:ascii="Bookman Old Style" w:hAnsi="Bookman Old Style" w:cs="Arial"/>
        </w:rPr>
        <w:t>COLPENSIONES</w:t>
      </w:r>
      <w:r w:rsidRPr="00427387">
        <w:rPr>
          <w:rFonts w:ascii="Bookman Old Style" w:hAnsi="Bookman Old Style" w:cs="Arial"/>
        </w:rPr>
        <w:t xml:space="preserve"> y utilizados para la financiación de la pensión de vejez de la parte demandante (</w:t>
      </w:r>
      <w:proofErr w:type="spellStart"/>
      <w:r w:rsidRPr="00427387">
        <w:rPr>
          <w:rFonts w:ascii="Bookman Old Style" w:hAnsi="Bookman Old Style" w:cs="Arial"/>
        </w:rPr>
        <w:t>SL1421</w:t>
      </w:r>
      <w:proofErr w:type="spellEnd"/>
      <w:r w:rsidRPr="00427387">
        <w:rPr>
          <w:rFonts w:ascii="Bookman Old Style" w:hAnsi="Bookman Old Style" w:cs="Arial"/>
        </w:rPr>
        <w:t xml:space="preserve">-2019, </w:t>
      </w:r>
      <w:proofErr w:type="spellStart"/>
      <w:r w:rsidRPr="00427387">
        <w:rPr>
          <w:rFonts w:ascii="Bookman Old Style" w:hAnsi="Bookman Old Style" w:cs="Arial"/>
        </w:rPr>
        <w:t>SL1688</w:t>
      </w:r>
      <w:proofErr w:type="spellEnd"/>
      <w:r w:rsidRPr="00427387">
        <w:rPr>
          <w:rFonts w:ascii="Bookman Old Style" w:hAnsi="Bookman Old Style" w:cs="Arial"/>
        </w:rPr>
        <w:t xml:space="preserve">-2019, </w:t>
      </w:r>
      <w:proofErr w:type="spellStart"/>
      <w:r w:rsidRPr="00427387">
        <w:rPr>
          <w:rFonts w:ascii="Bookman Old Style" w:hAnsi="Bookman Old Style" w:cs="Arial"/>
        </w:rPr>
        <w:t>SL2877</w:t>
      </w:r>
      <w:proofErr w:type="spellEnd"/>
      <w:r w:rsidRPr="00427387">
        <w:rPr>
          <w:rFonts w:ascii="Bookman Old Style" w:hAnsi="Bookman Old Style" w:cs="Arial"/>
        </w:rPr>
        <w:t xml:space="preserve">-2020, </w:t>
      </w:r>
      <w:proofErr w:type="spellStart"/>
      <w:r w:rsidRPr="00427387">
        <w:rPr>
          <w:rFonts w:ascii="Bookman Old Style" w:hAnsi="Bookman Old Style" w:cs="Arial"/>
        </w:rPr>
        <w:t>SL4141</w:t>
      </w:r>
      <w:proofErr w:type="spellEnd"/>
      <w:r w:rsidRPr="00427387">
        <w:rPr>
          <w:rFonts w:ascii="Bookman Old Style" w:hAnsi="Bookman Old Style" w:cs="Arial"/>
        </w:rPr>
        <w:t xml:space="preserve">-2021, </w:t>
      </w:r>
      <w:proofErr w:type="spellStart"/>
      <w:r w:rsidRPr="00427387">
        <w:rPr>
          <w:rFonts w:ascii="Bookman Old Style" w:hAnsi="Bookman Old Style" w:cs="Arial"/>
        </w:rPr>
        <w:t>SL3611</w:t>
      </w:r>
      <w:proofErr w:type="spellEnd"/>
      <w:r w:rsidRPr="00427387">
        <w:rPr>
          <w:rFonts w:ascii="Bookman Old Style" w:hAnsi="Bookman Old Style" w:cs="Arial"/>
        </w:rPr>
        <w:t xml:space="preserve">-2021, entre otras más). </w:t>
      </w:r>
    </w:p>
    <w:p w14:paraId="7D4E1435" w14:textId="77777777" w:rsidR="003073FB" w:rsidRPr="00427387" w:rsidRDefault="003073FB" w:rsidP="00427387">
      <w:pPr>
        <w:spacing w:line="276" w:lineRule="auto"/>
        <w:ind w:firstLine="0"/>
        <w:rPr>
          <w:rFonts w:ascii="Bookman Old Style" w:hAnsi="Bookman Old Style" w:cs="Arial"/>
        </w:rPr>
      </w:pPr>
    </w:p>
    <w:p w14:paraId="376A30E3" w14:textId="56C82D46" w:rsidR="003073FB" w:rsidRPr="00427387" w:rsidRDefault="006D33E5" w:rsidP="00427387">
      <w:pPr>
        <w:spacing w:line="276" w:lineRule="auto"/>
        <w:ind w:firstLine="0"/>
        <w:rPr>
          <w:rFonts w:ascii="Bookman Old Style" w:hAnsi="Bookman Old Style" w:cs="Arial"/>
        </w:rPr>
      </w:pPr>
      <w:r w:rsidRPr="00427387">
        <w:rPr>
          <w:rFonts w:ascii="Bookman Old Style" w:hAnsi="Bookman Old Style" w:cs="Arial"/>
        </w:rPr>
        <w:t xml:space="preserve">Acorde con lo dicho, resulta pertinente </w:t>
      </w:r>
      <w:r w:rsidR="003073FB" w:rsidRPr="00427387">
        <w:rPr>
          <w:rFonts w:ascii="Bookman Old Style" w:hAnsi="Bookman Old Style" w:cs="Arial"/>
        </w:rPr>
        <w:t xml:space="preserve">traer a colación el reciente pronunciamiento de la Sala de Casación Laboral, sentencia </w:t>
      </w:r>
      <w:proofErr w:type="spellStart"/>
      <w:r w:rsidR="003073FB" w:rsidRPr="00427387">
        <w:rPr>
          <w:rFonts w:ascii="Bookman Old Style" w:hAnsi="Bookman Old Style" w:cs="Arial"/>
        </w:rPr>
        <w:t>SL1017</w:t>
      </w:r>
      <w:proofErr w:type="spellEnd"/>
      <w:r w:rsidR="003073FB" w:rsidRPr="00427387">
        <w:rPr>
          <w:rFonts w:ascii="Bookman Old Style" w:hAnsi="Bookman Old Style" w:cs="Arial"/>
        </w:rPr>
        <w:t xml:space="preserve">-2022 </w:t>
      </w:r>
      <w:proofErr w:type="spellStart"/>
      <w:r w:rsidR="003073FB" w:rsidRPr="00427387">
        <w:rPr>
          <w:rFonts w:ascii="Bookman Old Style" w:hAnsi="Bookman Old Style" w:cs="Arial"/>
        </w:rPr>
        <w:t>M.P</w:t>
      </w:r>
      <w:proofErr w:type="spellEnd"/>
      <w:r w:rsidR="003073FB" w:rsidRPr="00427387">
        <w:rPr>
          <w:rFonts w:ascii="Bookman Old Style" w:hAnsi="Bookman Old Style" w:cs="Arial"/>
        </w:rPr>
        <w:t>. Dr. Gerardo Botero Zuluaga, así:</w:t>
      </w:r>
    </w:p>
    <w:p w14:paraId="7FE24336" w14:textId="77777777" w:rsidR="003073FB" w:rsidRPr="00427387" w:rsidRDefault="003073FB" w:rsidP="00427387">
      <w:pPr>
        <w:spacing w:line="276" w:lineRule="auto"/>
        <w:jc w:val="center"/>
        <w:rPr>
          <w:rFonts w:ascii="Bookman Old Style" w:eastAsia="Bookman Old Style" w:hAnsi="Bookman Old Style" w:cs="Arial"/>
          <w:b/>
          <w:bCs/>
          <w:color w:val="FF0000"/>
          <w:lang w:val="es-ES"/>
        </w:rPr>
      </w:pPr>
    </w:p>
    <w:p w14:paraId="26396B26" w14:textId="77777777" w:rsidR="003073FB" w:rsidRPr="0073663F" w:rsidRDefault="003073FB" w:rsidP="0073663F">
      <w:pPr>
        <w:spacing w:line="240" w:lineRule="auto"/>
        <w:ind w:left="426" w:right="420" w:firstLine="0"/>
        <w:rPr>
          <w:rFonts w:ascii="Bookman Old Style" w:hAnsi="Bookman Old Style" w:cs="Arial"/>
          <w:i/>
          <w:sz w:val="22"/>
        </w:rPr>
      </w:pPr>
      <w:r w:rsidRPr="0073663F">
        <w:rPr>
          <w:rFonts w:ascii="Bookman Old Style" w:hAnsi="Bookman Old Style" w:cs="Arial"/>
          <w:i/>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73663F" w:rsidRDefault="003073FB" w:rsidP="0073663F">
      <w:pPr>
        <w:spacing w:line="240" w:lineRule="auto"/>
        <w:ind w:left="426" w:right="420" w:firstLine="0"/>
        <w:rPr>
          <w:rFonts w:ascii="Bookman Old Style" w:hAnsi="Bookman Old Style" w:cs="Arial"/>
          <w:i/>
          <w:sz w:val="22"/>
        </w:rPr>
      </w:pPr>
      <w:r w:rsidRPr="0073663F">
        <w:rPr>
          <w:rFonts w:ascii="Bookman Old Style" w:hAnsi="Bookman Old Style" w:cs="Arial"/>
          <w:i/>
          <w:sz w:val="22"/>
        </w:rPr>
        <w:t xml:space="preserve">   </w:t>
      </w:r>
    </w:p>
    <w:p w14:paraId="6CF714DA" w14:textId="77777777" w:rsidR="003073FB" w:rsidRPr="0073663F" w:rsidRDefault="003073FB" w:rsidP="0073663F">
      <w:pPr>
        <w:spacing w:line="240" w:lineRule="auto"/>
        <w:ind w:left="426" w:right="420" w:firstLine="0"/>
        <w:rPr>
          <w:rFonts w:ascii="Bookman Old Style" w:hAnsi="Bookman Old Style" w:cs="Arial"/>
          <w:i/>
          <w:sz w:val="22"/>
        </w:rPr>
      </w:pPr>
      <w:r w:rsidRPr="0073663F">
        <w:rPr>
          <w:rFonts w:ascii="Bookman Old Style" w:hAnsi="Bookman Old Style" w:cs="Arial"/>
          <w:i/>
          <w:sz w:val="22"/>
        </w:rPr>
        <w:t xml:space="preserve">Por tal razón, esa declaratoria obliga a las entidades del </w:t>
      </w:r>
      <w:proofErr w:type="spellStart"/>
      <w:r w:rsidRPr="0073663F">
        <w:rPr>
          <w:rFonts w:ascii="Bookman Old Style" w:hAnsi="Bookman Old Style" w:cs="Arial"/>
          <w:i/>
          <w:sz w:val="22"/>
        </w:rPr>
        <w:t>RAIS</w:t>
      </w:r>
      <w:proofErr w:type="spellEnd"/>
      <w:r w:rsidRPr="0073663F">
        <w:rPr>
          <w:rFonts w:ascii="Bookman Old Style" w:hAnsi="Bookman Old Style" w:cs="Arial"/>
          <w:i/>
          <w:sz w:val="22"/>
        </w:rPr>
        <w:t xml:space="preserve">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w:t>
      </w:r>
      <w:proofErr w:type="spellStart"/>
      <w:r w:rsidRPr="0073663F">
        <w:rPr>
          <w:rFonts w:ascii="Bookman Old Style" w:hAnsi="Bookman Old Style" w:cs="Arial"/>
          <w:i/>
          <w:sz w:val="22"/>
        </w:rPr>
        <w:t>RPMPD</w:t>
      </w:r>
      <w:proofErr w:type="spellEnd"/>
      <w:r w:rsidRPr="0073663F">
        <w:rPr>
          <w:rFonts w:ascii="Bookman Old Style" w:hAnsi="Bookman Old Style" w:cs="Arial"/>
          <w:i/>
          <w:sz w:val="22"/>
        </w:rPr>
        <w:t xml:space="preserve"> administrado por Colpensiones (CSJ </w:t>
      </w:r>
      <w:proofErr w:type="spellStart"/>
      <w:r w:rsidRPr="0073663F">
        <w:rPr>
          <w:rFonts w:ascii="Bookman Old Style" w:hAnsi="Bookman Old Style" w:cs="Arial"/>
          <w:i/>
          <w:sz w:val="22"/>
        </w:rPr>
        <w:t>SL2877</w:t>
      </w:r>
      <w:proofErr w:type="spellEnd"/>
      <w:r w:rsidRPr="0073663F">
        <w:rPr>
          <w:rFonts w:ascii="Bookman Old Style" w:hAnsi="Bookman Old Style" w:cs="Arial"/>
          <w:i/>
          <w:sz w:val="22"/>
        </w:rPr>
        <w:t>-2020)”.</w:t>
      </w:r>
    </w:p>
    <w:p w14:paraId="5DE7EF8C" w14:textId="77777777" w:rsidR="003073FB" w:rsidRPr="00427387" w:rsidRDefault="003073FB" w:rsidP="00427387">
      <w:pPr>
        <w:spacing w:line="276" w:lineRule="auto"/>
        <w:ind w:firstLine="0"/>
        <w:rPr>
          <w:rFonts w:ascii="Bookman Old Style" w:hAnsi="Bookman Old Style" w:cs="Arial"/>
        </w:rPr>
      </w:pPr>
    </w:p>
    <w:p w14:paraId="731F363D" w14:textId="50830B6D" w:rsidR="0009479E"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Así las cosas, amerita confirmar las órd</w:t>
      </w:r>
      <w:r w:rsidR="00E12055" w:rsidRPr="00427387">
        <w:rPr>
          <w:rFonts w:ascii="Bookman Old Style" w:hAnsi="Bookman Old Style" w:cs="Arial"/>
        </w:rPr>
        <w:t>enes impartidas en la sentencia</w:t>
      </w:r>
      <w:r w:rsidR="003202E9" w:rsidRPr="00427387">
        <w:rPr>
          <w:rFonts w:ascii="Bookman Old Style" w:hAnsi="Bookman Old Style" w:cs="Arial"/>
        </w:rPr>
        <w:t xml:space="preserve"> de primera instancia.</w:t>
      </w:r>
    </w:p>
    <w:p w14:paraId="0DF71B44" w14:textId="5BDDC336" w:rsidR="002B13F4" w:rsidRPr="00427387" w:rsidRDefault="002B13F4" w:rsidP="00427387">
      <w:pPr>
        <w:spacing w:line="276" w:lineRule="auto"/>
        <w:ind w:firstLine="0"/>
        <w:rPr>
          <w:rFonts w:ascii="Bookman Old Style" w:hAnsi="Bookman Old Style" w:cs="Arial"/>
        </w:rPr>
      </w:pPr>
    </w:p>
    <w:p w14:paraId="3C5C17D1" w14:textId="77777777" w:rsidR="00DE6E92" w:rsidRPr="00427387" w:rsidRDefault="00DE6E92" w:rsidP="00427387">
      <w:pPr>
        <w:spacing w:line="276" w:lineRule="auto"/>
        <w:ind w:firstLine="0"/>
        <w:rPr>
          <w:rFonts w:ascii="Bookman Old Style" w:hAnsi="Bookman Old Style" w:cs="Arial"/>
          <w:b/>
          <w:bCs/>
        </w:rPr>
      </w:pPr>
      <w:r w:rsidRPr="00427387">
        <w:rPr>
          <w:rFonts w:ascii="Bookman Old Style" w:hAnsi="Bookman Old Style" w:cs="Arial"/>
          <w:b/>
          <w:bCs/>
        </w:rPr>
        <w:t xml:space="preserve">Del bono pensional </w:t>
      </w:r>
    </w:p>
    <w:p w14:paraId="4457859D" w14:textId="77777777" w:rsidR="003073FB" w:rsidRPr="00427387" w:rsidRDefault="003073FB" w:rsidP="00427387">
      <w:pPr>
        <w:spacing w:line="276" w:lineRule="auto"/>
        <w:ind w:firstLine="0"/>
        <w:rPr>
          <w:rFonts w:ascii="Bookman Old Style" w:hAnsi="Bookman Old Style" w:cs="Arial"/>
        </w:rPr>
      </w:pPr>
    </w:p>
    <w:p w14:paraId="26F264E9" w14:textId="1816F87D" w:rsidR="00A50EC4" w:rsidRPr="00427387" w:rsidRDefault="00A50EC4" w:rsidP="00427387">
      <w:pPr>
        <w:spacing w:line="276" w:lineRule="auto"/>
        <w:ind w:firstLine="0"/>
        <w:rPr>
          <w:rFonts w:ascii="Bookman Old Style" w:hAnsi="Bookman Old Style" w:cs="Arial"/>
        </w:rPr>
      </w:pPr>
      <w:r w:rsidRPr="00427387">
        <w:rPr>
          <w:rFonts w:ascii="Bookman Old Style" w:hAnsi="Bookman Old Style" w:cs="Arial"/>
        </w:rPr>
        <w:t xml:space="preserve">Con relación al </w:t>
      </w:r>
      <w:r w:rsidRPr="00427387">
        <w:rPr>
          <w:rFonts w:ascii="Bookman Old Style" w:hAnsi="Bookman Old Style" w:cs="Arial"/>
          <w:b/>
        </w:rPr>
        <w:t>bono pensional</w:t>
      </w:r>
      <w:r w:rsidRPr="00427387">
        <w:rPr>
          <w:rFonts w:ascii="Bookman Old Style" w:hAnsi="Bookman Old Style" w:cs="Arial"/>
        </w:rPr>
        <w:t xml:space="preserve">, se evidencia que la redención normal de dicho instrumento data </w:t>
      </w:r>
      <w:r w:rsidRPr="00427387">
        <w:rPr>
          <w:rFonts w:ascii="Bookman Old Style" w:hAnsi="Bookman Old Style" w:cs="Arial"/>
          <w:bCs/>
        </w:rPr>
        <w:t xml:space="preserve">del </w:t>
      </w:r>
      <w:r w:rsidR="00144A09" w:rsidRPr="00427387">
        <w:rPr>
          <w:rFonts w:ascii="Bookman Old Style" w:hAnsi="Bookman Old Style" w:cs="Arial"/>
        </w:rPr>
        <w:t xml:space="preserve"> 27-10-2022</w:t>
      </w:r>
      <w:r w:rsidRPr="00427387">
        <w:rPr>
          <w:rFonts w:ascii="Bookman Old Style" w:hAnsi="Bookman Old Style" w:cs="Arial"/>
        </w:rPr>
        <w:t xml:space="preserve">; por lo tanto, se confirmará la orden de comunicar a la Oficina de Bonos Pensionales del Ministerio de Hacienda y Crédito Público de la decisión aquí adoptada, para retrotraer las cosas al estado en el que se encontraban al momento en que el demandante se cambió de régimen y en el evento de haberse pagado el bono, la AFP </w:t>
      </w:r>
      <w:r w:rsidR="00144A09" w:rsidRPr="00427387">
        <w:rPr>
          <w:rFonts w:ascii="Bookman Old Style" w:hAnsi="Bookman Old Style" w:cs="Arial"/>
        </w:rPr>
        <w:t>PORVENIR</w:t>
      </w:r>
      <w:r w:rsidRPr="00427387">
        <w:rPr>
          <w:rFonts w:ascii="Bookman Old Style" w:hAnsi="Bookman Old Style" w:cs="Arial"/>
        </w:rPr>
        <w:t xml:space="preserve"> S.A. deberá restituir dicha suma por la </w:t>
      </w:r>
      <w:proofErr w:type="spellStart"/>
      <w:r w:rsidRPr="00427387">
        <w:rPr>
          <w:rFonts w:ascii="Bookman Old Style" w:hAnsi="Bookman Old Style" w:cs="Arial"/>
        </w:rPr>
        <w:t>OBP</w:t>
      </w:r>
      <w:proofErr w:type="spellEnd"/>
      <w:r w:rsidRPr="00427387">
        <w:rPr>
          <w:rFonts w:ascii="Bookman Old Style" w:hAnsi="Bookman Old Style" w:cs="Arial"/>
        </w:rPr>
        <w:t xml:space="preserve"> debidamente indexada y con cargo a sus propios recursos. </w:t>
      </w:r>
    </w:p>
    <w:p w14:paraId="19433523" w14:textId="13A837B0" w:rsidR="00E12055" w:rsidRPr="00427387" w:rsidRDefault="00E12055" w:rsidP="00427387">
      <w:pPr>
        <w:spacing w:line="276" w:lineRule="auto"/>
        <w:ind w:right="284" w:firstLine="0"/>
        <w:rPr>
          <w:rFonts w:ascii="Bookman Old Style" w:eastAsia="Bookman Old Style" w:hAnsi="Bookman Old Style" w:cs="Arial"/>
        </w:rPr>
      </w:pPr>
    </w:p>
    <w:p w14:paraId="7F12B2C1" w14:textId="7E5F2B91" w:rsidR="00C41494" w:rsidRPr="00427387" w:rsidRDefault="00C41494" w:rsidP="00427387">
      <w:pPr>
        <w:spacing w:line="276" w:lineRule="auto"/>
        <w:ind w:firstLine="0"/>
        <w:rPr>
          <w:rFonts w:ascii="Bookman Old Style" w:hAnsi="Bookman Old Style" w:cs="Arial"/>
          <w:b/>
          <w:bCs/>
        </w:rPr>
      </w:pPr>
      <w:r w:rsidRPr="00427387">
        <w:rPr>
          <w:rFonts w:ascii="Bookman Old Style" w:hAnsi="Bookman Old Style" w:cs="Arial"/>
          <w:b/>
          <w:bCs/>
        </w:rPr>
        <w:t>De la imposición de costas.</w:t>
      </w:r>
    </w:p>
    <w:p w14:paraId="01492C88" w14:textId="77777777" w:rsidR="00D95BEB" w:rsidRPr="00427387" w:rsidRDefault="00D95BEB" w:rsidP="00427387">
      <w:pPr>
        <w:spacing w:line="276" w:lineRule="auto"/>
        <w:ind w:firstLine="0"/>
        <w:rPr>
          <w:rFonts w:ascii="Bookman Old Style" w:hAnsi="Bookman Old Style" w:cs="Arial"/>
        </w:rPr>
      </w:pPr>
    </w:p>
    <w:p w14:paraId="558C0F5C" w14:textId="6283F9B8" w:rsidR="00D416A0" w:rsidRPr="00427387" w:rsidRDefault="0009479E" w:rsidP="00427387">
      <w:pPr>
        <w:spacing w:line="276" w:lineRule="auto"/>
        <w:ind w:firstLine="0"/>
        <w:rPr>
          <w:rFonts w:ascii="Bookman Old Style" w:hAnsi="Bookman Old Style" w:cs="Arial"/>
        </w:rPr>
      </w:pPr>
      <w:r w:rsidRPr="00427387">
        <w:rPr>
          <w:rFonts w:ascii="Bookman Old Style" w:hAnsi="Bookman Old Style" w:cs="Arial"/>
        </w:rPr>
        <w:lastRenderedPageBreak/>
        <w:t>Como quiera que se resolvió de forma desfavorable</w:t>
      </w:r>
      <w:r w:rsidR="00D416A0" w:rsidRPr="00427387">
        <w:rPr>
          <w:rFonts w:ascii="Bookman Old Style" w:hAnsi="Bookman Old Style" w:cs="Arial"/>
        </w:rPr>
        <w:t xml:space="preserve"> la apelación interpuesta por la demandada </w:t>
      </w:r>
      <w:r w:rsidR="00D416A0" w:rsidRPr="00427387">
        <w:rPr>
          <w:rFonts w:ascii="Bookman Old Style" w:hAnsi="Bookman Old Style" w:cs="Arial"/>
          <w:b/>
          <w:bCs/>
        </w:rPr>
        <w:t>COLPENSIONES</w:t>
      </w:r>
      <w:r w:rsidR="0046626B" w:rsidRPr="00427387">
        <w:rPr>
          <w:rFonts w:ascii="Bookman Old Style" w:hAnsi="Bookman Old Style" w:cs="Arial"/>
          <w:b/>
          <w:bCs/>
        </w:rPr>
        <w:t xml:space="preserve"> </w:t>
      </w:r>
      <w:r w:rsidR="0046626B" w:rsidRPr="00427387">
        <w:rPr>
          <w:rFonts w:ascii="Bookman Old Style" w:hAnsi="Bookman Old Style" w:cs="Arial"/>
          <w:bCs/>
        </w:rPr>
        <w:t xml:space="preserve">y </w:t>
      </w:r>
      <w:r w:rsidR="0046626B" w:rsidRPr="00427387">
        <w:rPr>
          <w:rFonts w:ascii="Bookman Old Style" w:hAnsi="Bookman Old Style" w:cs="Arial"/>
          <w:b/>
          <w:bCs/>
        </w:rPr>
        <w:t>PORVENIR S.A.</w:t>
      </w:r>
      <w:r w:rsidR="00A140DC" w:rsidRPr="00427387">
        <w:rPr>
          <w:rFonts w:ascii="Bookman Old Style" w:hAnsi="Bookman Old Style" w:cs="Arial"/>
          <w:b/>
          <w:bCs/>
        </w:rPr>
        <w:t xml:space="preserve"> </w:t>
      </w:r>
      <w:r w:rsidRPr="00427387">
        <w:rPr>
          <w:rFonts w:ascii="Bookman Old Style" w:hAnsi="Bookman Old Style" w:cs="Arial"/>
        </w:rPr>
        <w:t>se le</w:t>
      </w:r>
      <w:r w:rsidR="0046626B" w:rsidRPr="00427387">
        <w:rPr>
          <w:rFonts w:ascii="Bookman Old Style" w:hAnsi="Bookman Old Style" w:cs="Arial"/>
        </w:rPr>
        <w:t>s</w:t>
      </w:r>
      <w:r w:rsidR="00D416A0" w:rsidRPr="00427387">
        <w:rPr>
          <w:rFonts w:ascii="Bookman Old Style" w:hAnsi="Bookman Old Style" w:cs="Arial"/>
        </w:rPr>
        <w:t xml:space="preserve"> impondrá costas en esta instancia.</w:t>
      </w:r>
    </w:p>
    <w:p w14:paraId="39089F14" w14:textId="77777777" w:rsidR="00AD5BA9" w:rsidRPr="00427387" w:rsidRDefault="00AD5BA9" w:rsidP="00427387">
      <w:pPr>
        <w:spacing w:line="276" w:lineRule="auto"/>
        <w:ind w:firstLine="0"/>
        <w:rPr>
          <w:rFonts w:ascii="Bookman Old Style" w:hAnsi="Bookman Old Style" w:cs="Arial"/>
        </w:rPr>
      </w:pPr>
    </w:p>
    <w:p w14:paraId="2301E992" w14:textId="5B35C663" w:rsidR="003073FB" w:rsidRPr="00427387" w:rsidRDefault="00AD5BA9" w:rsidP="00427387">
      <w:pPr>
        <w:spacing w:line="276" w:lineRule="auto"/>
        <w:ind w:firstLine="0"/>
        <w:rPr>
          <w:rFonts w:ascii="Bookman Old Style" w:hAnsi="Bookman Old Style" w:cs="Arial"/>
          <w:b/>
        </w:rPr>
      </w:pPr>
      <w:r w:rsidRPr="00427387">
        <w:rPr>
          <w:rFonts w:ascii="Bookman Old Style" w:hAnsi="Bookman Old Style" w:cs="Arial"/>
        </w:rPr>
        <w:t>P</w:t>
      </w:r>
      <w:r w:rsidR="003073FB" w:rsidRPr="00427387">
        <w:rPr>
          <w:rFonts w:ascii="Bookman Old Style" w:hAnsi="Bookman Old Style" w:cs="Arial"/>
        </w:rPr>
        <w:t>or lo expuesto</w:t>
      </w:r>
      <w:r w:rsidR="00AF0141" w:rsidRPr="00427387">
        <w:rPr>
          <w:rFonts w:ascii="Bookman Old Style" w:hAnsi="Bookman Old Style" w:cs="Arial"/>
          <w:b/>
        </w:rPr>
        <w:t>,</w:t>
      </w:r>
      <w:r w:rsidR="003073FB" w:rsidRPr="00427387">
        <w:rPr>
          <w:rFonts w:ascii="Bookman Old Style" w:hAnsi="Bookman Old Style" w:cs="Arial"/>
          <w:b/>
        </w:rPr>
        <w:t xml:space="preserve"> la Sala de Decisión Laboral del Tribunal Superior del Distrito Judicial de Pereira, </w:t>
      </w:r>
      <w:r w:rsidR="003073FB" w:rsidRPr="00427387">
        <w:rPr>
          <w:rFonts w:ascii="Bookman Old Style" w:hAnsi="Bookman Old Style" w:cs="Arial"/>
        </w:rPr>
        <w:t>administrando justicia en nombre de la República y por autoridad de la ley</w:t>
      </w:r>
      <w:r w:rsidR="003073FB" w:rsidRPr="00427387">
        <w:rPr>
          <w:rFonts w:ascii="Bookman Old Style" w:hAnsi="Bookman Old Style" w:cs="Arial"/>
          <w:b/>
        </w:rPr>
        <w:t>.</w:t>
      </w:r>
    </w:p>
    <w:p w14:paraId="1B6A5444" w14:textId="77777777" w:rsidR="003073FB" w:rsidRPr="00427387" w:rsidRDefault="003073FB" w:rsidP="00427387">
      <w:pPr>
        <w:spacing w:line="276" w:lineRule="auto"/>
        <w:ind w:firstLine="0"/>
        <w:rPr>
          <w:rFonts w:ascii="Bookman Old Style" w:hAnsi="Bookman Old Style" w:cs="Arial"/>
        </w:rPr>
      </w:pPr>
    </w:p>
    <w:p w14:paraId="592F8074" w14:textId="77777777" w:rsidR="003073FB" w:rsidRPr="00427387" w:rsidRDefault="003073FB" w:rsidP="00427387">
      <w:pPr>
        <w:spacing w:line="276" w:lineRule="auto"/>
        <w:ind w:firstLine="0"/>
        <w:jc w:val="center"/>
        <w:rPr>
          <w:rFonts w:ascii="Bookman Old Style" w:hAnsi="Bookman Old Style" w:cs="Arial"/>
        </w:rPr>
      </w:pPr>
      <w:r w:rsidRPr="00427387">
        <w:rPr>
          <w:rFonts w:ascii="Bookman Old Style" w:hAnsi="Bookman Old Style" w:cs="Arial"/>
          <w:b/>
        </w:rPr>
        <w:t>RESUELVE:</w:t>
      </w:r>
    </w:p>
    <w:p w14:paraId="0D09B413" w14:textId="77777777" w:rsidR="00A8283C" w:rsidRPr="00427387" w:rsidRDefault="00A8283C" w:rsidP="00427387">
      <w:pPr>
        <w:spacing w:line="276" w:lineRule="auto"/>
        <w:ind w:right="284" w:firstLine="0"/>
        <w:rPr>
          <w:rFonts w:ascii="Bookman Old Style" w:hAnsi="Bookman Old Style" w:cs="Arial"/>
        </w:rPr>
      </w:pPr>
    </w:p>
    <w:p w14:paraId="40AE2BE7" w14:textId="7812A935" w:rsidR="003073FB" w:rsidRPr="00427387" w:rsidRDefault="00A8283C" w:rsidP="00427387">
      <w:pPr>
        <w:spacing w:line="276" w:lineRule="auto"/>
        <w:ind w:firstLine="0"/>
        <w:rPr>
          <w:rFonts w:ascii="Bookman Old Style" w:eastAsia="Bookman Old Style" w:hAnsi="Bookman Old Style" w:cs="Bookman Old Style"/>
          <w:b/>
          <w:bCs/>
        </w:rPr>
      </w:pPr>
      <w:r w:rsidRPr="00427387">
        <w:rPr>
          <w:rFonts w:ascii="Bookman Old Style" w:eastAsia="Bookman Old Style" w:hAnsi="Bookman Old Style" w:cs="Bookman Old Style"/>
          <w:b/>
          <w:bCs/>
        </w:rPr>
        <w:t>PRIMERO</w:t>
      </w:r>
      <w:r w:rsidR="007F6CA1" w:rsidRPr="00427387">
        <w:rPr>
          <w:rFonts w:ascii="Bookman Old Style" w:eastAsia="Bookman Old Style" w:hAnsi="Bookman Old Style" w:cs="Bookman Old Style"/>
          <w:b/>
          <w:bCs/>
        </w:rPr>
        <w:t xml:space="preserve">: </w:t>
      </w:r>
      <w:r w:rsidR="003073FB" w:rsidRPr="00427387">
        <w:rPr>
          <w:rFonts w:ascii="Bookman Old Style" w:hAnsi="Bookman Old Style" w:cs="Arial"/>
          <w:b/>
          <w:bCs/>
        </w:rPr>
        <w:t>CONFIRMAR</w:t>
      </w:r>
      <w:r w:rsidR="3058F59B" w:rsidRPr="00427387">
        <w:rPr>
          <w:rFonts w:ascii="Bookman Old Style" w:hAnsi="Bookman Old Style" w:cs="Arial"/>
          <w:b/>
          <w:bCs/>
        </w:rPr>
        <w:t xml:space="preserve"> </w:t>
      </w:r>
      <w:r w:rsidR="003073FB" w:rsidRPr="00427387">
        <w:rPr>
          <w:rFonts w:ascii="Bookman Old Style" w:hAnsi="Bookman Old Style" w:cs="Arial"/>
        </w:rPr>
        <w:t>la</w:t>
      </w:r>
      <w:r w:rsidR="00705E27" w:rsidRPr="00427387">
        <w:rPr>
          <w:rFonts w:ascii="Bookman Old Style" w:hAnsi="Bookman Old Style" w:cs="Arial"/>
        </w:rPr>
        <w:t xml:space="preserve"> sentencia apelada y consultada, proferida por el Juzgado </w:t>
      </w:r>
      <w:r w:rsidR="003202E9" w:rsidRPr="00427387">
        <w:rPr>
          <w:rFonts w:ascii="Bookman Old Style" w:hAnsi="Bookman Old Style" w:cs="Arial"/>
        </w:rPr>
        <w:t>Primero</w:t>
      </w:r>
      <w:r w:rsidR="00E12055" w:rsidRPr="00427387">
        <w:rPr>
          <w:rFonts w:ascii="Bookman Old Style" w:hAnsi="Bookman Old Style" w:cs="Arial"/>
        </w:rPr>
        <w:t xml:space="preserve"> </w:t>
      </w:r>
      <w:r w:rsidR="00705E27" w:rsidRPr="00427387">
        <w:rPr>
          <w:rFonts w:ascii="Bookman Old Style" w:hAnsi="Bookman Old Style" w:cs="Arial"/>
        </w:rPr>
        <w:t>Laboral del Circuito de Pereira.</w:t>
      </w:r>
    </w:p>
    <w:p w14:paraId="74D71ABA" w14:textId="77777777" w:rsidR="003073FB" w:rsidRPr="00427387" w:rsidRDefault="003073FB" w:rsidP="00427387">
      <w:pPr>
        <w:spacing w:line="276" w:lineRule="auto"/>
        <w:ind w:firstLine="0"/>
        <w:rPr>
          <w:rFonts w:ascii="Bookman Old Style" w:hAnsi="Bookman Old Style" w:cs="Arial"/>
        </w:rPr>
      </w:pPr>
    </w:p>
    <w:p w14:paraId="7B293B4A" w14:textId="09B570BB" w:rsidR="003073FB" w:rsidRPr="00427387" w:rsidRDefault="00142749" w:rsidP="00427387">
      <w:pPr>
        <w:spacing w:line="276" w:lineRule="auto"/>
        <w:ind w:firstLine="0"/>
        <w:rPr>
          <w:rFonts w:ascii="Bookman Old Style" w:hAnsi="Bookman Old Style" w:cs="Arial"/>
          <w:b/>
          <w:bCs/>
        </w:rPr>
      </w:pPr>
      <w:r w:rsidRPr="00427387">
        <w:rPr>
          <w:rFonts w:ascii="Bookman Old Style" w:hAnsi="Bookman Old Style" w:cs="Arial"/>
          <w:b/>
          <w:bCs/>
        </w:rPr>
        <w:t>SEGUNDO</w:t>
      </w:r>
      <w:r w:rsidR="003073FB" w:rsidRPr="00427387">
        <w:rPr>
          <w:rFonts w:ascii="Bookman Old Style" w:hAnsi="Bookman Old Style" w:cs="Arial"/>
        </w:rPr>
        <w:t xml:space="preserve">: </w:t>
      </w:r>
      <w:r w:rsidR="003073FB" w:rsidRPr="00427387">
        <w:rPr>
          <w:rFonts w:ascii="Bookman Old Style" w:hAnsi="Bookman Old Style" w:cs="Arial"/>
          <w:b/>
          <w:bCs/>
        </w:rPr>
        <w:t>COSTAS</w:t>
      </w:r>
      <w:r w:rsidR="003073FB" w:rsidRPr="00427387">
        <w:rPr>
          <w:rFonts w:ascii="Bookman Old Style" w:hAnsi="Bookman Old Style" w:cs="Arial"/>
        </w:rPr>
        <w:t xml:space="preserve"> en esta instancia a cargo </w:t>
      </w:r>
      <w:r w:rsidR="007E05C4" w:rsidRPr="00427387">
        <w:rPr>
          <w:rFonts w:ascii="Bookman Old Style" w:hAnsi="Bookman Old Style" w:cs="Arial"/>
        </w:rPr>
        <w:t>de</w:t>
      </w:r>
      <w:r w:rsidR="003073FB" w:rsidRPr="00427387">
        <w:rPr>
          <w:rFonts w:ascii="Bookman Old Style" w:hAnsi="Bookman Old Style" w:cs="Arial"/>
        </w:rPr>
        <w:t xml:space="preserve"> </w:t>
      </w:r>
      <w:r w:rsidR="00927F48" w:rsidRPr="00427387">
        <w:rPr>
          <w:rFonts w:ascii="Bookman Old Style" w:hAnsi="Bookman Old Style" w:cs="Arial"/>
          <w:b/>
          <w:bCs/>
        </w:rPr>
        <w:t>COLPENSIONES</w:t>
      </w:r>
      <w:r w:rsidR="0046626B" w:rsidRPr="00427387">
        <w:rPr>
          <w:rFonts w:ascii="Bookman Old Style" w:hAnsi="Bookman Old Style" w:cs="Arial"/>
          <w:b/>
          <w:bCs/>
        </w:rPr>
        <w:t xml:space="preserve"> </w:t>
      </w:r>
      <w:r w:rsidR="0046626B" w:rsidRPr="00427387">
        <w:rPr>
          <w:rFonts w:ascii="Bookman Old Style" w:hAnsi="Bookman Old Style" w:cs="Arial"/>
          <w:bCs/>
        </w:rPr>
        <w:t xml:space="preserve">y </w:t>
      </w:r>
      <w:r w:rsidR="0046626B" w:rsidRPr="00427387">
        <w:rPr>
          <w:rFonts w:ascii="Bookman Old Style" w:hAnsi="Bookman Old Style" w:cs="Arial"/>
          <w:b/>
          <w:bCs/>
        </w:rPr>
        <w:t>PORVENIR S.A</w:t>
      </w:r>
      <w:r w:rsidRPr="00427387">
        <w:rPr>
          <w:rFonts w:ascii="Bookman Old Style" w:hAnsi="Bookman Old Style" w:cs="Arial"/>
          <w:b/>
          <w:bCs/>
        </w:rPr>
        <w:t>.</w:t>
      </w:r>
    </w:p>
    <w:p w14:paraId="77D49179" w14:textId="013CEC1C" w:rsidR="003073FB" w:rsidRPr="00427387" w:rsidRDefault="003073FB" w:rsidP="00427387">
      <w:pPr>
        <w:spacing w:line="276" w:lineRule="auto"/>
        <w:ind w:firstLine="0"/>
        <w:rPr>
          <w:rFonts w:ascii="Bookman Old Style" w:hAnsi="Bookman Old Style" w:cs="Arial"/>
        </w:rPr>
      </w:pPr>
    </w:p>
    <w:p w14:paraId="193AA878" w14:textId="699D9E6F" w:rsidR="00725E4D" w:rsidRPr="00427387" w:rsidRDefault="00725E4D" w:rsidP="00427387">
      <w:pPr>
        <w:spacing w:line="276" w:lineRule="auto"/>
        <w:ind w:firstLine="0"/>
        <w:jc w:val="center"/>
        <w:rPr>
          <w:rFonts w:ascii="Bookman Old Style" w:hAnsi="Bookman Old Style" w:cs="Arial"/>
        </w:rPr>
      </w:pPr>
      <w:r w:rsidRPr="00427387">
        <w:rPr>
          <w:rStyle w:val="normaltextrun"/>
          <w:rFonts w:ascii="Bookman Old Style" w:hAnsi="Bookman Old Style"/>
          <w:b/>
          <w:bCs/>
          <w:color w:val="000000"/>
          <w:shd w:val="clear" w:color="auto" w:fill="FFFFFF"/>
        </w:rPr>
        <w:t>NOTIFÍQUESE Y CÚMPLASE</w:t>
      </w:r>
    </w:p>
    <w:p w14:paraId="7A16B5C2" w14:textId="77777777" w:rsidR="00725E4D" w:rsidRPr="00427387" w:rsidRDefault="00725E4D" w:rsidP="00427387">
      <w:pPr>
        <w:spacing w:line="276" w:lineRule="auto"/>
        <w:ind w:firstLine="0"/>
        <w:rPr>
          <w:rFonts w:ascii="Bookman Old Style" w:hAnsi="Bookman Old Style" w:cs="Arial"/>
        </w:rPr>
      </w:pPr>
    </w:p>
    <w:p w14:paraId="30DDB815" w14:textId="77777777" w:rsidR="003073FB" w:rsidRPr="00427387" w:rsidRDefault="003073FB" w:rsidP="00427387">
      <w:pPr>
        <w:spacing w:line="276" w:lineRule="auto"/>
        <w:ind w:firstLine="0"/>
        <w:rPr>
          <w:rFonts w:ascii="Bookman Old Style" w:hAnsi="Bookman Old Style" w:cs="Arial"/>
        </w:rPr>
      </w:pPr>
      <w:r w:rsidRPr="00427387">
        <w:rPr>
          <w:rFonts w:ascii="Bookman Old Style" w:hAnsi="Bookman Old Style" w:cs="Arial"/>
        </w:rPr>
        <w:t>Los Magistrados,</w:t>
      </w:r>
    </w:p>
    <w:p w14:paraId="44EBD179" w14:textId="77777777" w:rsidR="003073FB" w:rsidRPr="00427387" w:rsidRDefault="003073FB" w:rsidP="00427387">
      <w:pPr>
        <w:spacing w:line="276" w:lineRule="auto"/>
        <w:ind w:firstLine="0"/>
        <w:rPr>
          <w:rFonts w:ascii="Bookman Old Style" w:hAnsi="Bookman Old Style" w:cs="Arial"/>
        </w:rPr>
      </w:pPr>
    </w:p>
    <w:p w14:paraId="359B3AD7" w14:textId="16555006" w:rsidR="003073FB" w:rsidRDefault="003073FB" w:rsidP="00427387">
      <w:pPr>
        <w:spacing w:line="276" w:lineRule="auto"/>
        <w:ind w:firstLine="0"/>
        <w:jc w:val="center"/>
        <w:rPr>
          <w:rFonts w:ascii="Bookman Old Style" w:hAnsi="Bookman Old Style" w:cs="Arial"/>
          <w:b/>
        </w:rPr>
      </w:pPr>
    </w:p>
    <w:p w14:paraId="61EBB711" w14:textId="77777777" w:rsidR="007E3AD3" w:rsidRPr="00427387" w:rsidRDefault="007E3AD3" w:rsidP="00427387">
      <w:pPr>
        <w:spacing w:line="276" w:lineRule="auto"/>
        <w:ind w:firstLine="0"/>
        <w:jc w:val="center"/>
        <w:rPr>
          <w:rFonts w:ascii="Bookman Old Style" w:hAnsi="Bookman Old Style" w:cs="Arial"/>
          <w:b/>
        </w:rPr>
      </w:pPr>
    </w:p>
    <w:p w14:paraId="1F2D20BA" w14:textId="77777777" w:rsidR="003073FB" w:rsidRPr="00427387" w:rsidRDefault="003073FB" w:rsidP="00427387">
      <w:pPr>
        <w:spacing w:line="276" w:lineRule="auto"/>
        <w:ind w:firstLine="0"/>
        <w:jc w:val="center"/>
        <w:rPr>
          <w:rFonts w:ascii="Bookman Old Style" w:hAnsi="Bookman Old Style" w:cs="Arial"/>
          <w:b/>
        </w:rPr>
      </w:pPr>
      <w:r w:rsidRPr="00427387">
        <w:rPr>
          <w:rFonts w:ascii="Bookman Old Style" w:hAnsi="Bookman Old Style" w:cs="Arial"/>
          <w:b/>
        </w:rPr>
        <w:t xml:space="preserve">GERMÁN DARÍO </w:t>
      </w:r>
      <w:proofErr w:type="spellStart"/>
      <w:r w:rsidRPr="00427387">
        <w:rPr>
          <w:rFonts w:ascii="Bookman Old Style" w:hAnsi="Bookman Old Style" w:cs="Arial"/>
          <w:b/>
        </w:rPr>
        <w:t>GÓEZ</w:t>
      </w:r>
      <w:proofErr w:type="spellEnd"/>
      <w:r w:rsidRPr="00427387">
        <w:rPr>
          <w:rFonts w:ascii="Bookman Old Style" w:hAnsi="Bookman Old Style" w:cs="Arial"/>
          <w:b/>
        </w:rPr>
        <w:t xml:space="preserve"> </w:t>
      </w:r>
      <w:proofErr w:type="spellStart"/>
      <w:r w:rsidRPr="00427387">
        <w:rPr>
          <w:rFonts w:ascii="Bookman Old Style" w:hAnsi="Bookman Old Style" w:cs="Arial"/>
          <w:b/>
        </w:rPr>
        <w:t>VINASCO</w:t>
      </w:r>
      <w:proofErr w:type="spellEnd"/>
    </w:p>
    <w:p w14:paraId="214D3226" w14:textId="2ADAEC8E" w:rsidR="003073FB" w:rsidRDefault="003073FB" w:rsidP="00427387">
      <w:pPr>
        <w:spacing w:line="276" w:lineRule="auto"/>
        <w:ind w:firstLine="0"/>
        <w:jc w:val="center"/>
        <w:rPr>
          <w:rFonts w:ascii="Bookman Old Style" w:hAnsi="Bookman Old Style" w:cs="Arial"/>
          <w:b/>
        </w:rPr>
      </w:pPr>
    </w:p>
    <w:p w14:paraId="2BB1D436" w14:textId="77777777" w:rsidR="007E3AD3" w:rsidRPr="00427387" w:rsidRDefault="007E3AD3" w:rsidP="00427387">
      <w:pPr>
        <w:spacing w:line="276" w:lineRule="auto"/>
        <w:ind w:firstLine="0"/>
        <w:jc w:val="center"/>
        <w:rPr>
          <w:rFonts w:ascii="Bookman Old Style" w:hAnsi="Bookman Old Style" w:cs="Arial"/>
          <w:b/>
        </w:rPr>
      </w:pPr>
    </w:p>
    <w:p w14:paraId="2989A696" w14:textId="77777777" w:rsidR="003073FB" w:rsidRPr="00427387" w:rsidRDefault="003073FB" w:rsidP="00427387">
      <w:pPr>
        <w:spacing w:line="276" w:lineRule="auto"/>
        <w:ind w:firstLine="0"/>
        <w:jc w:val="center"/>
        <w:rPr>
          <w:rFonts w:ascii="Bookman Old Style" w:hAnsi="Bookman Old Style" w:cs="Arial"/>
          <w:b/>
          <w:bCs/>
        </w:rPr>
      </w:pPr>
    </w:p>
    <w:p w14:paraId="20C8869C" w14:textId="77777777" w:rsidR="003073FB" w:rsidRPr="00427387" w:rsidRDefault="003073FB" w:rsidP="00427387">
      <w:pPr>
        <w:spacing w:line="276" w:lineRule="auto"/>
        <w:ind w:firstLine="0"/>
        <w:jc w:val="center"/>
        <w:rPr>
          <w:rFonts w:ascii="Bookman Old Style" w:hAnsi="Bookman Old Style" w:cs="Arial"/>
          <w:b/>
          <w:bCs/>
        </w:rPr>
      </w:pPr>
      <w:r w:rsidRPr="00427387">
        <w:rPr>
          <w:rFonts w:ascii="Bookman Old Style" w:hAnsi="Bookman Old Style" w:cs="Arial"/>
          <w:b/>
          <w:bCs/>
        </w:rPr>
        <w:t>OLGA LUCIA HOYOS SEPÚLVEDA</w:t>
      </w:r>
    </w:p>
    <w:p w14:paraId="17DAB712" w14:textId="4447A349" w:rsidR="003073FB" w:rsidRPr="00427387" w:rsidRDefault="00A140DC" w:rsidP="00427387">
      <w:pPr>
        <w:spacing w:line="276" w:lineRule="auto"/>
        <w:ind w:firstLine="0"/>
        <w:jc w:val="center"/>
        <w:rPr>
          <w:rFonts w:ascii="Bookman Old Style" w:hAnsi="Bookman Old Style" w:cs="Arial"/>
          <w:bCs/>
        </w:rPr>
      </w:pPr>
      <w:r w:rsidRPr="00427387">
        <w:rPr>
          <w:rFonts w:ascii="Bookman Old Style" w:hAnsi="Bookman Old Style" w:cs="Arial"/>
          <w:bCs/>
        </w:rPr>
        <w:t>Aclaración de Voto</w:t>
      </w:r>
    </w:p>
    <w:p w14:paraId="0B4FF320" w14:textId="77777777" w:rsidR="00144A09" w:rsidRPr="00427387" w:rsidRDefault="00144A09" w:rsidP="00427387">
      <w:pPr>
        <w:spacing w:line="276" w:lineRule="auto"/>
        <w:ind w:firstLine="0"/>
        <w:jc w:val="center"/>
        <w:rPr>
          <w:rFonts w:ascii="Bookman Old Style" w:hAnsi="Bookman Old Style" w:cs="Arial"/>
          <w:b/>
          <w:bCs/>
        </w:rPr>
      </w:pPr>
    </w:p>
    <w:p w14:paraId="393CCDCE" w14:textId="6026E02D" w:rsidR="0009479E" w:rsidRDefault="0009479E" w:rsidP="00427387">
      <w:pPr>
        <w:spacing w:line="276" w:lineRule="auto"/>
        <w:ind w:firstLine="0"/>
        <w:jc w:val="center"/>
        <w:rPr>
          <w:rFonts w:ascii="Bookman Old Style" w:hAnsi="Bookman Old Style" w:cs="Arial"/>
          <w:b/>
        </w:rPr>
      </w:pPr>
    </w:p>
    <w:p w14:paraId="4E72FFE7" w14:textId="77777777" w:rsidR="007E3AD3" w:rsidRPr="00427387" w:rsidRDefault="007E3AD3" w:rsidP="00427387">
      <w:pPr>
        <w:spacing w:line="276" w:lineRule="auto"/>
        <w:ind w:firstLine="0"/>
        <w:jc w:val="center"/>
        <w:rPr>
          <w:rFonts w:ascii="Bookman Old Style" w:hAnsi="Bookman Old Style" w:cs="Arial"/>
          <w:b/>
        </w:rPr>
      </w:pPr>
    </w:p>
    <w:p w14:paraId="3CADE43D" w14:textId="77777777" w:rsidR="003073FB" w:rsidRPr="00427387" w:rsidRDefault="003073FB" w:rsidP="00427387">
      <w:pPr>
        <w:spacing w:line="276" w:lineRule="auto"/>
        <w:ind w:firstLine="0"/>
        <w:jc w:val="center"/>
        <w:rPr>
          <w:rFonts w:ascii="Bookman Old Style" w:hAnsi="Bookman Old Style" w:cs="Arial"/>
          <w:b/>
          <w:bCs/>
        </w:rPr>
      </w:pPr>
      <w:r w:rsidRPr="00427387">
        <w:rPr>
          <w:rFonts w:ascii="Bookman Old Style" w:hAnsi="Bookman Old Style" w:cs="Arial"/>
          <w:b/>
          <w:bCs/>
        </w:rPr>
        <w:t>JULIO CÉSAR SALAZAR MUÑOZ</w:t>
      </w:r>
    </w:p>
    <w:p w14:paraId="2F49D7BC" w14:textId="272CBBBE" w:rsidR="00444459" w:rsidRDefault="0073663F" w:rsidP="0073663F">
      <w:pPr>
        <w:spacing w:line="276" w:lineRule="auto"/>
        <w:ind w:firstLine="0"/>
        <w:jc w:val="center"/>
        <w:rPr>
          <w:rFonts w:ascii="Bookman Old Style" w:hAnsi="Bookman Old Style" w:cs="Arial"/>
          <w:bCs/>
        </w:rPr>
      </w:pPr>
      <w:r>
        <w:rPr>
          <w:rFonts w:ascii="Bookman Old Style" w:hAnsi="Bookman Old Style" w:cs="Arial"/>
          <w:bCs/>
        </w:rPr>
        <w:t>Aclaración de Voto</w:t>
      </w:r>
    </w:p>
    <w:p w14:paraId="7A2B2769" w14:textId="6493DA9B" w:rsidR="00DC1896" w:rsidRDefault="00DC1896" w:rsidP="00DC1896">
      <w:pPr>
        <w:spacing w:line="276" w:lineRule="auto"/>
        <w:ind w:firstLine="0"/>
        <w:rPr>
          <w:rFonts w:ascii="Bookman Old Style" w:hAnsi="Bookman Old Style" w:cs="Arial"/>
          <w:bCs/>
        </w:rPr>
      </w:pPr>
    </w:p>
    <w:p w14:paraId="17366911" w14:textId="1D697537" w:rsidR="00DC1896" w:rsidRDefault="00DC1896" w:rsidP="00DC1896">
      <w:pPr>
        <w:spacing w:line="276" w:lineRule="auto"/>
        <w:ind w:firstLine="0"/>
        <w:rPr>
          <w:rFonts w:ascii="Bookman Old Style" w:hAnsi="Bookman Old Style" w:cs="Arial"/>
          <w:bCs/>
        </w:rPr>
      </w:pPr>
    </w:p>
    <w:p w14:paraId="4194FE11" w14:textId="77777777" w:rsidR="00DC1896" w:rsidRDefault="00DC1896" w:rsidP="00DC1896">
      <w:pPr>
        <w:rPr>
          <w:rFonts w:ascii="Bookman Old Style" w:hAnsi="Bookman Old Style" w:cs="Arial"/>
          <w:bCs/>
        </w:rPr>
      </w:pPr>
      <w:r>
        <w:rPr>
          <w:rFonts w:ascii="Bookman Old Style" w:hAnsi="Bookman Old Style" w:cs="Arial"/>
          <w:bCs/>
        </w:rPr>
        <w:br w:type="page"/>
      </w:r>
    </w:p>
    <w:p w14:paraId="5778A597" w14:textId="00531E52" w:rsidR="00DC1EFE" w:rsidRPr="00DC1EFE" w:rsidRDefault="00DC1EFE" w:rsidP="00DC1EFE">
      <w:pPr>
        <w:autoSpaceDE w:val="0"/>
        <w:autoSpaceDN w:val="0"/>
        <w:adjustRightInd w:val="0"/>
        <w:spacing w:line="240" w:lineRule="auto"/>
        <w:ind w:firstLine="0"/>
        <w:rPr>
          <w:rFonts w:eastAsia="Times New Roman" w:cs="Arial"/>
          <w:bCs/>
          <w:spacing w:val="2"/>
          <w:sz w:val="20"/>
          <w:szCs w:val="20"/>
          <w:lang w:val="es-ES" w:eastAsia="es-ES"/>
        </w:rPr>
      </w:pPr>
      <w:r w:rsidRPr="00DC1EFE">
        <w:rPr>
          <w:rFonts w:eastAsia="Times New Roman" w:cs="Arial"/>
          <w:bCs/>
          <w:spacing w:val="2"/>
          <w:sz w:val="20"/>
          <w:szCs w:val="20"/>
          <w:lang w:val="es-ES" w:eastAsia="es-ES"/>
        </w:rPr>
        <w:lastRenderedPageBreak/>
        <w:t>Radicación No.:</w:t>
      </w:r>
      <w:r w:rsidRPr="00DC1EFE">
        <w:rPr>
          <w:rFonts w:eastAsia="Times New Roman" w:cs="Arial"/>
          <w:bCs/>
          <w:spacing w:val="2"/>
          <w:sz w:val="20"/>
          <w:szCs w:val="20"/>
          <w:lang w:val="es-ES" w:eastAsia="es-ES"/>
        </w:rPr>
        <w:tab/>
        <w:t>66001-31-05-001-2021-00148-01</w:t>
      </w:r>
    </w:p>
    <w:p w14:paraId="187A3D44" w14:textId="77777777" w:rsidR="00DC1EFE" w:rsidRPr="00DC1EFE" w:rsidRDefault="00DC1EFE" w:rsidP="00DC1EFE">
      <w:pPr>
        <w:autoSpaceDE w:val="0"/>
        <w:autoSpaceDN w:val="0"/>
        <w:adjustRightInd w:val="0"/>
        <w:spacing w:line="240" w:lineRule="auto"/>
        <w:ind w:firstLine="0"/>
        <w:rPr>
          <w:rFonts w:eastAsia="Times New Roman" w:cs="Arial"/>
          <w:bCs/>
          <w:spacing w:val="2"/>
          <w:sz w:val="20"/>
          <w:szCs w:val="20"/>
          <w:lang w:val="es-ES" w:eastAsia="es-ES"/>
        </w:rPr>
      </w:pPr>
      <w:r w:rsidRPr="00DC1EFE">
        <w:rPr>
          <w:rFonts w:eastAsia="Times New Roman" w:cs="Arial"/>
          <w:bCs/>
          <w:spacing w:val="2"/>
          <w:sz w:val="20"/>
          <w:szCs w:val="20"/>
          <w:lang w:val="es-ES" w:eastAsia="es-ES"/>
        </w:rPr>
        <w:t>Demandante:</w:t>
      </w:r>
      <w:r w:rsidRPr="00DC1EFE">
        <w:rPr>
          <w:rFonts w:eastAsia="Times New Roman" w:cs="Arial"/>
          <w:bCs/>
          <w:spacing w:val="2"/>
          <w:sz w:val="20"/>
          <w:szCs w:val="20"/>
          <w:lang w:val="es-ES" w:eastAsia="es-ES"/>
        </w:rPr>
        <w:tab/>
      </w:r>
      <w:r w:rsidRPr="00DC1EFE">
        <w:rPr>
          <w:rFonts w:eastAsia="Times New Roman" w:cs="Arial"/>
          <w:bCs/>
          <w:spacing w:val="2"/>
          <w:sz w:val="20"/>
          <w:szCs w:val="20"/>
          <w:lang w:val="es-ES" w:eastAsia="es-ES"/>
        </w:rPr>
        <w:tab/>
        <w:t>Carlos Alberto Álzate Giraldo</w:t>
      </w:r>
    </w:p>
    <w:p w14:paraId="248D1A85" w14:textId="77777777" w:rsidR="00DC1EFE" w:rsidRPr="00DC1EFE" w:rsidRDefault="00DC1EFE" w:rsidP="00DC1EFE">
      <w:pPr>
        <w:autoSpaceDE w:val="0"/>
        <w:autoSpaceDN w:val="0"/>
        <w:adjustRightInd w:val="0"/>
        <w:spacing w:line="240" w:lineRule="auto"/>
        <w:ind w:firstLine="0"/>
        <w:rPr>
          <w:rFonts w:eastAsia="Times New Roman" w:cs="Arial"/>
          <w:bCs/>
          <w:spacing w:val="2"/>
          <w:sz w:val="20"/>
          <w:szCs w:val="20"/>
          <w:lang w:val="es-ES" w:eastAsia="es-ES"/>
        </w:rPr>
      </w:pPr>
      <w:r w:rsidRPr="00DC1EFE">
        <w:rPr>
          <w:rFonts w:eastAsia="Times New Roman" w:cs="Arial"/>
          <w:bCs/>
          <w:spacing w:val="2"/>
          <w:sz w:val="20"/>
          <w:szCs w:val="20"/>
          <w:lang w:val="es-ES" w:eastAsia="es-ES"/>
        </w:rPr>
        <w:t>Demandado:</w:t>
      </w:r>
      <w:r w:rsidRPr="00DC1EFE">
        <w:rPr>
          <w:rFonts w:eastAsia="Times New Roman" w:cs="Arial"/>
          <w:bCs/>
          <w:spacing w:val="2"/>
          <w:sz w:val="20"/>
          <w:szCs w:val="20"/>
          <w:lang w:val="es-ES" w:eastAsia="es-ES"/>
        </w:rPr>
        <w:tab/>
      </w:r>
      <w:r w:rsidRPr="00DC1EFE">
        <w:rPr>
          <w:rFonts w:eastAsia="Times New Roman" w:cs="Arial"/>
          <w:bCs/>
          <w:spacing w:val="2"/>
          <w:sz w:val="20"/>
          <w:szCs w:val="20"/>
          <w:lang w:val="es-ES" w:eastAsia="es-ES"/>
        </w:rPr>
        <w:tab/>
        <w:t>Colpensiones y Porvenir S.A.</w:t>
      </w:r>
    </w:p>
    <w:p w14:paraId="7CF9409D" w14:textId="77777777" w:rsidR="00DC1896" w:rsidRPr="00E42BEA" w:rsidRDefault="00DC1896" w:rsidP="00DC1896">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0130D45B" w14:textId="77777777" w:rsidR="00DC1896" w:rsidRPr="00E42BEA" w:rsidRDefault="00DC1896" w:rsidP="00DC1896">
      <w:pPr>
        <w:autoSpaceDE w:val="0"/>
        <w:autoSpaceDN w:val="0"/>
        <w:adjustRightInd w:val="0"/>
        <w:spacing w:line="240" w:lineRule="auto"/>
        <w:ind w:firstLine="0"/>
        <w:rPr>
          <w:rFonts w:eastAsia="Times New Roman" w:cs="Arial"/>
          <w:bCs/>
          <w:spacing w:val="2"/>
          <w:sz w:val="20"/>
          <w:szCs w:val="20"/>
          <w:lang w:val="es-ES" w:eastAsia="es-ES"/>
        </w:rPr>
      </w:pPr>
    </w:p>
    <w:p w14:paraId="494F4A59" w14:textId="77777777" w:rsidR="00DC1896" w:rsidRPr="00E42BEA" w:rsidRDefault="00DC1896" w:rsidP="00DC1896">
      <w:pPr>
        <w:autoSpaceDE w:val="0"/>
        <w:autoSpaceDN w:val="0"/>
        <w:adjustRightInd w:val="0"/>
        <w:spacing w:line="240" w:lineRule="auto"/>
        <w:ind w:firstLine="0"/>
        <w:rPr>
          <w:rFonts w:eastAsia="Times New Roman" w:cs="Arial"/>
          <w:bCs/>
          <w:spacing w:val="2"/>
          <w:sz w:val="20"/>
          <w:szCs w:val="20"/>
          <w:lang w:val="es-ES" w:eastAsia="es-ES"/>
        </w:rPr>
      </w:pPr>
    </w:p>
    <w:p w14:paraId="01E42762" w14:textId="77777777" w:rsidR="00DC1896" w:rsidRPr="00E42BEA" w:rsidRDefault="00DC1896" w:rsidP="00DC1896">
      <w:pPr>
        <w:autoSpaceDE w:val="0"/>
        <w:autoSpaceDN w:val="0"/>
        <w:adjustRightInd w:val="0"/>
        <w:spacing w:line="240" w:lineRule="auto"/>
        <w:ind w:firstLine="0"/>
        <w:rPr>
          <w:rFonts w:eastAsia="Times New Roman" w:cs="Arial"/>
          <w:bCs/>
          <w:spacing w:val="2"/>
          <w:sz w:val="20"/>
          <w:szCs w:val="20"/>
          <w:lang w:val="es-ES" w:eastAsia="es-ES"/>
        </w:rPr>
      </w:pPr>
    </w:p>
    <w:p w14:paraId="28C77A86" w14:textId="77777777" w:rsidR="00DC1896" w:rsidRPr="00E42BEA" w:rsidRDefault="00DC1896" w:rsidP="00DC1896">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07B428B3" w14:textId="77777777" w:rsidR="00DC1896" w:rsidRPr="00E42BEA" w:rsidRDefault="00DC1896" w:rsidP="00DC1896">
      <w:pPr>
        <w:spacing w:line="240" w:lineRule="auto"/>
        <w:ind w:firstLine="0"/>
        <w:jc w:val="center"/>
        <w:rPr>
          <w:rFonts w:eastAsia="Calibri" w:cs="Arial"/>
          <w:b/>
        </w:rPr>
      </w:pPr>
    </w:p>
    <w:p w14:paraId="258A001E" w14:textId="77777777" w:rsidR="00DC1896" w:rsidRPr="00E42BEA" w:rsidRDefault="00DC1896" w:rsidP="00DC1896">
      <w:pPr>
        <w:spacing w:line="240" w:lineRule="auto"/>
        <w:ind w:firstLine="0"/>
        <w:jc w:val="center"/>
        <w:rPr>
          <w:rFonts w:eastAsia="Calibri" w:cs="Arial"/>
          <w:b/>
        </w:rPr>
      </w:pPr>
      <w:r w:rsidRPr="00E42BEA">
        <w:rPr>
          <w:rFonts w:eastAsia="Calibri" w:cs="Arial"/>
          <w:b/>
        </w:rPr>
        <w:t>SALA LABORAL</w:t>
      </w:r>
    </w:p>
    <w:p w14:paraId="3A33555E" w14:textId="77777777" w:rsidR="00DC1896" w:rsidRPr="00E42BEA" w:rsidRDefault="00DC1896" w:rsidP="00DC1896">
      <w:pPr>
        <w:spacing w:line="240" w:lineRule="auto"/>
        <w:ind w:firstLine="0"/>
        <w:jc w:val="center"/>
        <w:rPr>
          <w:rFonts w:eastAsia="Times New Roman" w:cs="Arial"/>
          <w:b/>
          <w:lang w:val="es-ES_tradnl" w:eastAsia="es-ES"/>
        </w:rPr>
      </w:pPr>
    </w:p>
    <w:p w14:paraId="5E5EC226" w14:textId="77777777" w:rsidR="00DC1896" w:rsidRPr="00E42BEA" w:rsidRDefault="00DC1896" w:rsidP="00DC1896">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744B2530" w14:textId="77777777" w:rsidR="00DC1896" w:rsidRPr="00E42BEA" w:rsidRDefault="00DC1896" w:rsidP="00DC1896">
      <w:pPr>
        <w:spacing w:line="240" w:lineRule="auto"/>
        <w:ind w:firstLine="0"/>
        <w:jc w:val="center"/>
        <w:rPr>
          <w:rFonts w:eastAsia="Times New Roman" w:cs="Arial"/>
          <w:b/>
          <w:lang w:val="es-ES_tradnl" w:eastAsia="es-ES"/>
        </w:rPr>
      </w:pPr>
    </w:p>
    <w:p w14:paraId="01DE862C" w14:textId="77777777" w:rsidR="00DC1896" w:rsidRPr="00E42BEA" w:rsidRDefault="00DC1896" w:rsidP="00DC1896">
      <w:pPr>
        <w:spacing w:line="240" w:lineRule="auto"/>
        <w:ind w:firstLine="0"/>
        <w:jc w:val="center"/>
        <w:rPr>
          <w:rFonts w:eastAsia="Times New Roman" w:cs="Arial"/>
          <w:b/>
          <w:lang w:val="es-ES_tradnl" w:eastAsia="es-ES"/>
        </w:rPr>
      </w:pPr>
    </w:p>
    <w:p w14:paraId="50CDF078" w14:textId="17A71812" w:rsidR="00DC1896" w:rsidRPr="00E42BEA" w:rsidRDefault="00DC1EFE" w:rsidP="00DC1896">
      <w:pPr>
        <w:spacing w:line="240" w:lineRule="auto"/>
        <w:ind w:firstLine="0"/>
        <w:jc w:val="center"/>
        <w:rPr>
          <w:rFonts w:eastAsia="Times New Roman" w:cs="Arial"/>
          <w:lang w:val="es-ES_tradnl" w:eastAsia="es-ES"/>
        </w:rPr>
      </w:pPr>
      <w:r>
        <w:rPr>
          <w:rFonts w:eastAsia="Times New Roman" w:cs="Arial"/>
          <w:lang w:val="es-ES_tradnl" w:eastAsia="es-ES"/>
        </w:rPr>
        <w:t xml:space="preserve">Noviembre 7 </w:t>
      </w:r>
      <w:r w:rsidR="00DC1896" w:rsidRPr="00084D61">
        <w:rPr>
          <w:rFonts w:eastAsia="Times New Roman" w:cs="Arial"/>
          <w:lang w:val="es-ES_tradnl" w:eastAsia="es-ES"/>
        </w:rPr>
        <w:t>de 2023</w:t>
      </w:r>
    </w:p>
    <w:p w14:paraId="078F0510" w14:textId="77777777" w:rsidR="00DC1896" w:rsidRPr="00E42BEA" w:rsidRDefault="00DC1896" w:rsidP="00DC1896">
      <w:pPr>
        <w:spacing w:line="240" w:lineRule="auto"/>
        <w:ind w:firstLine="0"/>
        <w:jc w:val="center"/>
        <w:rPr>
          <w:rFonts w:eastAsia="Times New Roman" w:cs="Arial"/>
          <w:b/>
          <w:lang w:val="es-ES_tradnl" w:eastAsia="es-ES"/>
        </w:rPr>
      </w:pPr>
    </w:p>
    <w:p w14:paraId="14C1FCA6" w14:textId="77777777" w:rsidR="00DC1896" w:rsidRPr="00E42BEA" w:rsidRDefault="00DC1896" w:rsidP="00DC1896">
      <w:pPr>
        <w:spacing w:line="240" w:lineRule="auto"/>
        <w:ind w:firstLine="0"/>
        <w:jc w:val="center"/>
        <w:rPr>
          <w:rFonts w:eastAsia="Times New Roman" w:cs="Arial"/>
          <w:b/>
          <w:lang w:val="es-ES_tradnl" w:eastAsia="es-ES"/>
        </w:rPr>
      </w:pPr>
    </w:p>
    <w:p w14:paraId="71062ADE" w14:textId="77777777" w:rsidR="00DC1896" w:rsidRPr="00E42BEA" w:rsidRDefault="00DC1896" w:rsidP="00DC1896">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14A77A31" w14:textId="77777777" w:rsidR="00DC1896" w:rsidRPr="00E42BEA" w:rsidRDefault="00DC1896" w:rsidP="00DC1896">
      <w:pPr>
        <w:spacing w:line="276" w:lineRule="auto"/>
        <w:ind w:firstLine="0"/>
        <w:rPr>
          <w:rFonts w:eastAsia="Times New Roman" w:cs="Arial"/>
          <w:lang w:val="es-ES" w:eastAsia="es-ES"/>
        </w:rPr>
      </w:pPr>
    </w:p>
    <w:p w14:paraId="780760DF" w14:textId="77777777" w:rsidR="00DC1896" w:rsidRPr="00E42BEA" w:rsidRDefault="00DC1896" w:rsidP="00DC1896">
      <w:pPr>
        <w:spacing w:line="276" w:lineRule="auto"/>
        <w:ind w:firstLine="0"/>
        <w:rPr>
          <w:rFonts w:eastAsia="Times New Roman" w:cs="Arial"/>
          <w:lang w:val="es-ES" w:eastAsia="es-ES"/>
        </w:rPr>
      </w:pPr>
    </w:p>
    <w:p w14:paraId="4E1C3842" w14:textId="77777777" w:rsidR="00DC1896" w:rsidRPr="00E42BEA" w:rsidRDefault="00DC1896" w:rsidP="00DC1896">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E42BEA">
        <w:rPr>
          <w:rFonts w:eastAsia="Times New Roman" w:cs="Arial"/>
          <w:b/>
          <w:lang w:val="es-ES" w:eastAsia="es-ES"/>
        </w:rPr>
        <w:t>EXORTAR</w:t>
      </w:r>
      <w:proofErr w:type="spellEnd"/>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2BA70F86" w14:textId="77777777" w:rsidR="00DC1896" w:rsidRPr="00E42BEA" w:rsidRDefault="00DC1896" w:rsidP="00DC1896">
      <w:pPr>
        <w:spacing w:line="276" w:lineRule="auto"/>
        <w:ind w:firstLine="0"/>
        <w:rPr>
          <w:rFonts w:eastAsia="Times New Roman" w:cs="Arial"/>
          <w:lang w:val="es-ES" w:eastAsia="es-ES"/>
        </w:rPr>
      </w:pPr>
    </w:p>
    <w:p w14:paraId="430B4F76" w14:textId="77777777" w:rsidR="00DC1896" w:rsidRPr="00E42BEA" w:rsidRDefault="00DC1896" w:rsidP="00DC1896">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23F43C28" w14:textId="77777777" w:rsidR="00DC1896" w:rsidRPr="00E42BEA" w:rsidRDefault="00DC1896" w:rsidP="00DC1896">
      <w:pPr>
        <w:spacing w:line="276" w:lineRule="auto"/>
        <w:ind w:firstLine="0"/>
        <w:rPr>
          <w:rFonts w:eastAsia="Times New Roman" w:cs="Arial"/>
          <w:lang w:val="es-ES" w:eastAsia="es-ES"/>
        </w:rPr>
      </w:pPr>
    </w:p>
    <w:p w14:paraId="6BB49FA6" w14:textId="77777777" w:rsidR="00DC1896" w:rsidRPr="00E42BEA" w:rsidRDefault="00DC1896" w:rsidP="00DC1896">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0B5D8A56" w14:textId="77777777" w:rsidR="00DC1896" w:rsidRPr="00E42BEA" w:rsidRDefault="00DC1896" w:rsidP="00DC1896">
      <w:pPr>
        <w:spacing w:line="276" w:lineRule="auto"/>
        <w:ind w:firstLine="0"/>
        <w:rPr>
          <w:rFonts w:eastAsia="Times New Roman" w:cs="Arial"/>
          <w:lang w:val="es-ES" w:eastAsia="es-ES"/>
        </w:rPr>
      </w:pPr>
    </w:p>
    <w:p w14:paraId="1E90AF6E"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w:t>
      </w:r>
      <w:proofErr w:type="spellStart"/>
      <w:r w:rsidRPr="00E42BEA">
        <w:rPr>
          <w:rFonts w:eastAsia="Times New Roman" w:cs="Arial"/>
          <w:lang w:val="es-ES_tradnl" w:eastAsia="es-ES"/>
        </w:rPr>
        <w:t>RAIS</w:t>
      </w:r>
      <w:proofErr w:type="spellEnd"/>
      <w:r w:rsidRPr="00E42BEA">
        <w:rPr>
          <w:rFonts w:eastAsia="Times New Roman" w:cs="Arial"/>
          <w:lang w:val="es-ES_tradnl" w:eastAsia="es-ES"/>
        </w:rPr>
        <w:t xml:space="preserve">, sin percatarse </w:t>
      </w:r>
      <w:r w:rsidRPr="00E42BEA">
        <w:rPr>
          <w:rFonts w:eastAsia="Times New Roman" w:cs="Arial"/>
          <w:lang w:val="es-ES_tradnl" w:eastAsia="es-ES"/>
        </w:rPr>
        <w:lastRenderedPageBreak/>
        <w:t>que, si en efecto hubo un engaño u omisión en la información para lograr el traslado por parte de la AFP privada, es ésta quien debe proceder al resarcimiento del eventual daño o perjuicio que con ello haya generado.</w:t>
      </w:r>
    </w:p>
    <w:p w14:paraId="2FA6CC8E" w14:textId="77777777" w:rsidR="00DC1896" w:rsidRPr="00E42BEA" w:rsidRDefault="00DC1896" w:rsidP="00DC1896">
      <w:pPr>
        <w:suppressAutoHyphens/>
        <w:spacing w:line="276" w:lineRule="auto"/>
        <w:ind w:firstLine="0"/>
        <w:rPr>
          <w:rFonts w:eastAsia="Times New Roman" w:cs="Arial"/>
          <w:lang w:val="es-ES_tradnl" w:eastAsia="es-ES"/>
        </w:rPr>
      </w:pPr>
    </w:p>
    <w:p w14:paraId="2D0222E7"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4601BE0D" w14:textId="77777777" w:rsidR="00DC1896" w:rsidRPr="00E42BEA" w:rsidRDefault="00DC1896" w:rsidP="00DC1896">
      <w:pPr>
        <w:suppressAutoHyphens/>
        <w:spacing w:line="276" w:lineRule="auto"/>
        <w:ind w:firstLine="0"/>
        <w:rPr>
          <w:rFonts w:eastAsia="Times New Roman" w:cs="Arial"/>
          <w:lang w:val="es-ES_tradnl" w:eastAsia="es-ES"/>
        </w:rPr>
      </w:pPr>
    </w:p>
    <w:p w14:paraId="4BE4D329"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2485AEF4" w14:textId="77777777" w:rsidR="00DC1896" w:rsidRPr="00E42BEA" w:rsidRDefault="00DC1896" w:rsidP="00DC1896">
      <w:pPr>
        <w:suppressAutoHyphens/>
        <w:spacing w:line="276" w:lineRule="auto"/>
        <w:ind w:firstLine="0"/>
        <w:rPr>
          <w:rFonts w:eastAsia="Times New Roman" w:cs="Arial"/>
          <w:lang w:val="es-ES_tradnl" w:eastAsia="es-ES"/>
        </w:rPr>
      </w:pPr>
    </w:p>
    <w:p w14:paraId="37957F10" w14:textId="77777777" w:rsidR="00DC1896" w:rsidRPr="00E42BEA" w:rsidRDefault="00DC1896" w:rsidP="00DC1896">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7D385A08" w14:textId="77777777" w:rsidR="00DC1896" w:rsidRPr="00E42BEA" w:rsidRDefault="00DC1896" w:rsidP="00DC1896">
      <w:pPr>
        <w:suppressAutoHyphens/>
        <w:spacing w:line="276" w:lineRule="auto"/>
        <w:ind w:firstLine="0"/>
        <w:rPr>
          <w:rFonts w:eastAsia="Times New Roman" w:cs="Arial"/>
          <w:lang w:val="es-ES_tradnl" w:eastAsia="es-ES"/>
        </w:rPr>
      </w:pPr>
    </w:p>
    <w:p w14:paraId="75E2E136" w14:textId="77777777" w:rsidR="00DC1896" w:rsidRPr="00E42BEA" w:rsidRDefault="00DC1896" w:rsidP="00DC1896">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1BE6BBA5" w14:textId="77777777" w:rsidR="00DC1896" w:rsidRPr="00E42BEA" w:rsidRDefault="00DC1896" w:rsidP="00DC1896">
      <w:pPr>
        <w:suppressAutoHyphens/>
        <w:spacing w:line="276" w:lineRule="auto"/>
        <w:ind w:firstLine="0"/>
        <w:rPr>
          <w:rFonts w:eastAsia="Times New Roman" w:cs="Arial"/>
          <w:lang w:val="es-ES_tradnl" w:eastAsia="es-ES"/>
        </w:rPr>
      </w:pPr>
    </w:p>
    <w:p w14:paraId="7DB9797C" w14:textId="77777777" w:rsidR="00DC1896" w:rsidRPr="00E42BEA" w:rsidRDefault="00DC1896" w:rsidP="00DC1896">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2" w:name="_ftnref33"/>
      <w:r w:rsidRPr="00E42BEA">
        <w:rPr>
          <w:rFonts w:eastAsia="Times New Roman" w:cs="Arial"/>
          <w:sz w:val="22"/>
          <w:lang w:val="es-ES" w:eastAsia="es-ES"/>
        </w:rPr>
        <w:t>”</w:t>
      </w:r>
      <w:bookmarkEnd w:id="2"/>
    </w:p>
    <w:p w14:paraId="4F76945D" w14:textId="77777777" w:rsidR="00DC1896" w:rsidRPr="00E42BEA" w:rsidRDefault="00DC1896" w:rsidP="00DC1896">
      <w:pPr>
        <w:suppressAutoHyphens/>
        <w:spacing w:line="240" w:lineRule="auto"/>
        <w:ind w:left="426" w:right="420" w:firstLine="0"/>
        <w:rPr>
          <w:rFonts w:eastAsia="Times New Roman" w:cs="Arial"/>
          <w:sz w:val="22"/>
          <w:lang w:val="es-ES" w:eastAsia="es-ES"/>
        </w:rPr>
      </w:pPr>
    </w:p>
    <w:p w14:paraId="1326999E" w14:textId="77777777" w:rsidR="00DC1896" w:rsidRPr="00E42BEA" w:rsidRDefault="00DC1896" w:rsidP="00DC1896">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4ADFF01B" w14:textId="77777777" w:rsidR="00DC1896" w:rsidRPr="00E42BEA" w:rsidRDefault="00DC1896" w:rsidP="00DC1896">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0C0B0E02" w14:textId="77777777" w:rsidR="00DC1896" w:rsidRPr="00E42BEA" w:rsidRDefault="00DC1896" w:rsidP="00DC1896">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1F25202C" w14:textId="77777777" w:rsidR="00DC1896" w:rsidRPr="00E42BEA" w:rsidRDefault="00DC1896" w:rsidP="00DC1896">
      <w:pPr>
        <w:suppressAutoHyphens/>
        <w:spacing w:line="276" w:lineRule="auto"/>
        <w:ind w:firstLine="0"/>
        <w:rPr>
          <w:rFonts w:eastAsia="Times New Roman" w:cs="Arial"/>
          <w:b/>
          <w:lang w:val="es-ES_tradnl" w:eastAsia="es-ES"/>
        </w:rPr>
      </w:pPr>
    </w:p>
    <w:p w14:paraId="6E4FE95C" w14:textId="77777777" w:rsidR="00DC1896" w:rsidRPr="00E42BEA" w:rsidRDefault="00DC1896" w:rsidP="00DC1896">
      <w:pPr>
        <w:numPr>
          <w:ilvl w:val="0"/>
          <w:numId w:val="5"/>
        </w:numPr>
        <w:suppressAutoHyphens/>
        <w:spacing w:line="240" w:lineRule="auto"/>
        <w:ind w:left="567" w:hanging="567"/>
        <w:rPr>
          <w:rFonts w:eastAsia="Times New Roman" w:cs="Arial"/>
          <w:lang w:val="es-ES_tradnl" w:eastAsia="es-ES"/>
        </w:rPr>
      </w:pPr>
      <w:r w:rsidRPr="00E42BEA">
        <w:rPr>
          <w:rFonts w:eastAsia="Times New Roman" w:cs="Arial"/>
          <w:b/>
          <w:lang w:val="es-ES_tradnl" w:eastAsia="es-ES"/>
        </w:rPr>
        <w:t>LA POSICIÓN ACTUAL DE LA SALA DE CASACIÓN LABORAL RESPECTO AL TEMA DE LA NULIDAD O INEFICACIA DE LOS TRASLADOS ENTRE REGÍMENES PENSIONALES.</w:t>
      </w:r>
    </w:p>
    <w:p w14:paraId="0AB8632A" w14:textId="77777777" w:rsidR="00DC1896" w:rsidRPr="00E42BEA" w:rsidRDefault="00DC1896" w:rsidP="00DC1896">
      <w:pPr>
        <w:suppressAutoHyphens/>
        <w:spacing w:line="276" w:lineRule="auto"/>
        <w:ind w:firstLine="0"/>
        <w:rPr>
          <w:rFonts w:eastAsia="Times New Roman" w:cs="Arial"/>
          <w:lang w:val="es-ES_tradnl" w:eastAsia="es-ES"/>
        </w:rPr>
      </w:pPr>
    </w:p>
    <w:p w14:paraId="5EC0F5BB" w14:textId="77777777" w:rsidR="00DC1896" w:rsidRPr="00E42BEA" w:rsidRDefault="00DC1896" w:rsidP="00DC1896">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lastRenderedPageBreak/>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 xml:space="preserve">Sala de Casación Laboral contenida en las sentencias </w:t>
      </w:r>
      <w:proofErr w:type="spellStart"/>
      <w:r w:rsidRPr="00E42BEA">
        <w:rPr>
          <w:rFonts w:eastAsia="Times New Roman" w:cs="Arial"/>
          <w:iCs/>
          <w:lang w:val="es-ES_tradnl" w:eastAsia="es-ES"/>
        </w:rPr>
        <w:t>SL1421</w:t>
      </w:r>
      <w:proofErr w:type="spellEnd"/>
      <w:r w:rsidRPr="00E42BEA">
        <w:rPr>
          <w:rFonts w:eastAsia="Times New Roman" w:cs="Arial"/>
          <w:iCs/>
          <w:lang w:val="es-ES_tradnl" w:eastAsia="es-ES"/>
        </w:rPr>
        <w:t xml:space="preserve">-2019, </w:t>
      </w:r>
      <w:proofErr w:type="spellStart"/>
      <w:r w:rsidRPr="00E42BEA">
        <w:rPr>
          <w:rFonts w:eastAsia="Times New Roman" w:cs="Arial"/>
          <w:iCs/>
          <w:lang w:val="es-ES_tradnl" w:eastAsia="es-ES"/>
        </w:rPr>
        <w:t>SL1452</w:t>
      </w:r>
      <w:proofErr w:type="spellEnd"/>
      <w:r w:rsidRPr="00E42BEA">
        <w:rPr>
          <w:rFonts w:eastAsia="Times New Roman" w:cs="Arial"/>
          <w:iCs/>
          <w:lang w:val="es-ES_tradnl" w:eastAsia="es-ES"/>
        </w:rPr>
        <w:t xml:space="preserve">-2019, </w:t>
      </w:r>
      <w:proofErr w:type="spellStart"/>
      <w:r w:rsidRPr="00E42BEA">
        <w:rPr>
          <w:rFonts w:eastAsia="Times New Roman" w:cs="Arial"/>
          <w:iCs/>
          <w:lang w:val="es-ES_tradnl" w:eastAsia="es-ES"/>
        </w:rPr>
        <w:t>SL1688</w:t>
      </w:r>
      <w:proofErr w:type="spellEnd"/>
      <w:r w:rsidRPr="00E42BEA">
        <w:rPr>
          <w:rFonts w:eastAsia="Times New Roman" w:cs="Arial"/>
          <w:iCs/>
          <w:lang w:val="es-ES_tradnl" w:eastAsia="es-ES"/>
        </w:rPr>
        <w:t xml:space="preserve">-2019 y </w:t>
      </w:r>
      <w:proofErr w:type="spellStart"/>
      <w:r w:rsidRPr="00E42BEA">
        <w:rPr>
          <w:rFonts w:eastAsia="Times New Roman" w:cs="Arial"/>
          <w:iCs/>
          <w:lang w:val="es-ES_tradnl" w:eastAsia="es-ES"/>
        </w:rPr>
        <w:t>SL1689</w:t>
      </w:r>
      <w:proofErr w:type="spellEnd"/>
      <w:r w:rsidRPr="00E42BEA">
        <w:rPr>
          <w:rFonts w:eastAsia="Times New Roman" w:cs="Arial"/>
          <w:iCs/>
          <w:lang w:val="es-ES_tradnl" w:eastAsia="es-ES"/>
        </w:rPr>
        <w:t>-2019 que se concreta en los siguientes razonamientos:</w:t>
      </w:r>
    </w:p>
    <w:p w14:paraId="2B9FFEF8" w14:textId="77777777" w:rsidR="00DC1896" w:rsidRPr="00E42BEA" w:rsidRDefault="00DC1896" w:rsidP="00DC1896">
      <w:pPr>
        <w:suppressAutoHyphens/>
        <w:spacing w:line="276" w:lineRule="auto"/>
        <w:ind w:firstLine="0"/>
        <w:rPr>
          <w:rFonts w:eastAsia="Times New Roman" w:cs="Arial"/>
          <w:iCs/>
          <w:lang w:val="es-ES_tradnl" w:eastAsia="es-ES"/>
        </w:rPr>
      </w:pPr>
    </w:p>
    <w:p w14:paraId="3405497C" w14:textId="77777777" w:rsidR="00DC1896" w:rsidRPr="00E42BEA" w:rsidRDefault="00DC1896" w:rsidP="00DC1896">
      <w:pPr>
        <w:numPr>
          <w:ilvl w:val="0"/>
          <w:numId w:val="4"/>
        </w:numPr>
        <w:suppressAutoHyphens/>
        <w:spacing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49E0E846" w14:textId="77777777" w:rsidR="00DC1896" w:rsidRPr="00E42BEA" w:rsidRDefault="00DC1896" w:rsidP="00DC1896">
      <w:pPr>
        <w:suppressAutoHyphens/>
        <w:spacing w:line="276" w:lineRule="auto"/>
        <w:ind w:left="720" w:firstLine="0"/>
        <w:rPr>
          <w:rFonts w:eastAsia="Times New Roman" w:cs="Arial"/>
          <w:iCs/>
          <w:lang w:val="es-ES_tradnl" w:eastAsia="es-ES"/>
        </w:rPr>
      </w:pPr>
    </w:p>
    <w:p w14:paraId="543B912E" w14:textId="77777777" w:rsidR="00DC1896" w:rsidRPr="00E42BEA" w:rsidRDefault="00DC1896" w:rsidP="00DC1896">
      <w:pPr>
        <w:numPr>
          <w:ilvl w:val="0"/>
          <w:numId w:val="4"/>
        </w:numPr>
        <w:suppressAutoHyphens/>
        <w:spacing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0C3D840E" w14:textId="77777777" w:rsidR="00DC1896" w:rsidRPr="00E42BEA" w:rsidRDefault="00DC1896" w:rsidP="00DC1896">
      <w:pPr>
        <w:suppressAutoHyphens/>
        <w:spacing w:line="276" w:lineRule="auto"/>
        <w:ind w:firstLine="0"/>
        <w:rPr>
          <w:rFonts w:eastAsia="Times New Roman" w:cs="Arial"/>
          <w:i/>
          <w:iCs/>
          <w:lang w:val="es-ES_tradnl" w:eastAsia="es-ES"/>
        </w:rPr>
      </w:pPr>
    </w:p>
    <w:p w14:paraId="2EFFC79B" w14:textId="77777777" w:rsidR="00DC1896" w:rsidRPr="00E42BEA" w:rsidRDefault="00DC1896" w:rsidP="00DC1896">
      <w:pPr>
        <w:numPr>
          <w:ilvl w:val="0"/>
          <w:numId w:val="4"/>
        </w:numPr>
        <w:suppressAutoHyphens/>
        <w:spacing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259959D4" w14:textId="77777777" w:rsidR="00DC1896" w:rsidRPr="00E42BEA" w:rsidRDefault="00DC1896" w:rsidP="00DC1896">
      <w:pPr>
        <w:suppressAutoHyphens/>
        <w:spacing w:line="276" w:lineRule="auto"/>
        <w:ind w:firstLine="0"/>
        <w:rPr>
          <w:rFonts w:eastAsia="Times New Roman" w:cs="Arial"/>
          <w:i/>
          <w:iCs/>
          <w:lang w:val="es-ES_tradnl" w:eastAsia="es-ES"/>
        </w:rPr>
      </w:pPr>
    </w:p>
    <w:p w14:paraId="0717EFAA" w14:textId="77777777" w:rsidR="00DC1896" w:rsidRPr="00E42BEA" w:rsidRDefault="00DC1896" w:rsidP="00DC1896">
      <w:pPr>
        <w:numPr>
          <w:ilvl w:val="0"/>
          <w:numId w:val="4"/>
        </w:numPr>
        <w:suppressAutoHyphens/>
        <w:spacing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3C51F179" w14:textId="77777777" w:rsidR="00DC1896" w:rsidRPr="00E42BEA" w:rsidRDefault="00DC1896" w:rsidP="00DC1896">
      <w:pPr>
        <w:suppressAutoHyphens/>
        <w:spacing w:line="276" w:lineRule="auto"/>
        <w:ind w:firstLine="0"/>
        <w:rPr>
          <w:rFonts w:eastAsia="Times New Roman" w:cs="Arial"/>
          <w:i/>
          <w:iCs/>
          <w:lang w:val="es-ES_tradnl" w:eastAsia="es-ES"/>
        </w:rPr>
      </w:pPr>
    </w:p>
    <w:p w14:paraId="2EA988F3" w14:textId="77777777" w:rsidR="00DC1896" w:rsidRPr="00E42BEA" w:rsidRDefault="00DC1896" w:rsidP="00DC1896">
      <w:pPr>
        <w:numPr>
          <w:ilvl w:val="0"/>
          <w:numId w:val="4"/>
        </w:numPr>
        <w:suppressAutoHyphens/>
        <w:spacing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38F78B86" w14:textId="77777777" w:rsidR="00DC1896" w:rsidRPr="00E42BEA" w:rsidRDefault="00DC1896" w:rsidP="00DC1896">
      <w:pPr>
        <w:suppressAutoHyphens/>
        <w:spacing w:line="276" w:lineRule="auto"/>
        <w:ind w:firstLine="0"/>
        <w:rPr>
          <w:rFonts w:eastAsia="Times New Roman" w:cs="Arial"/>
          <w:lang w:val="es-ES" w:eastAsia="es-ES"/>
        </w:rPr>
      </w:pPr>
    </w:p>
    <w:p w14:paraId="0BB064D5" w14:textId="77777777" w:rsidR="00DC1896" w:rsidRPr="00E42BEA" w:rsidRDefault="00DC1896" w:rsidP="00DC1896">
      <w:pPr>
        <w:numPr>
          <w:ilvl w:val="0"/>
          <w:numId w:val="5"/>
        </w:numPr>
        <w:suppressAutoHyphens/>
        <w:spacing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0918E7FE" w14:textId="77777777" w:rsidR="00DC1896" w:rsidRPr="00E42BEA" w:rsidRDefault="00DC1896" w:rsidP="00DC1896">
      <w:pPr>
        <w:suppressAutoHyphens/>
        <w:spacing w:line="276" w:lineRule="auto"/>
        <w:ind w:firstLine="0"/>
        <w:rPr>
          <w:rFonts w:eastAsia="Times New Roman" w:cs="Arial"/>
          <w:b/>
          <w:lang w:val="es-ES" w:eastAsia="es-ES"/>
        </w:rPr>
      </w:pPr>
    </w:p>
    <w:p w14:paraId="1B88BFFC" w14:textId="77777777" w:rsidR="00DC1896" w:rsidRPr="00E42BEA" w:rsidRDefault="00DC1896" w:rsidP="00DC1896">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6839EFAD" w14:textId="77777777" w:rsidR="00DC1896" w:rsidRPr="00E42BEA" w:rsidRDefault="00DC1896" w:rsidP="00DC1896">
      <w:pPr>
        <w:suppressAutoHyphens/>
        <w:spacing w:line="276" w:lineRule="auto"/>
        <w:ind w:firstLine="0"/>
        <w:rPr>
          <w:rFonts w:eastAsia="Times New Roman" w:cs="Arial"/>
          <w:lang w:val="es-ES" w:eastAsia="es-ES"/>
        </w:rPr>
      </w:pPr>
    </w:p>
    <w:p w14:paraId="11ACA47B" w14:textId="77777777" w:rsidR="00DC1896" w:rsidRPr="00E42BEA" w:rsidRDefault="00DC1896" w:rsidP="00DC1896">
      <w:pPr>
        <w:numPr>
          <w:ilvl w:val="0"/>
          <w:numId w:val="6"/>
        </w:numPr>
        <w:suppressAutoHyphens/>
        <w:spacing w:after="200" w:line="240" w:lineRule="auto"/>
        <w:rPr>
          <w:rFonts w:eastAsia="Times New Roman" w:cs="Arial"/>
          <w:lang w:val="es-ES_tradnl" w:eastAsia="es-ES"/>
        </w:rPr>
      </w:pPr>
      <w:r w:rsidRPr="00E42BEA">
        <w:rPr>
          <w:rFonts w:eastAsia="Times New Roman" w:cs="Arial"/>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272EB3FD" w14:textId="77777777" w:rsidR="00DC1896" w:rsidRPr="00E42BEA" w:rsidRDefault="00DC1896" w:rsidP="00DC1896">
      <w:pPr>
        <w:suppressAutoHyphens/>
        <w:spacing w:line="276" w:lineRule="auto"/>
        <w:ind w:left="360" w:firstLine="0"/>
        <w:rPr>
          <w:rFonts w:eastAsia="Times New Roman" w:cs="Arial"/>
          <w:lang w:val="es-ES_tradnl" w:eastAsia="es-ES"/>
        </w:rPr>
      </w:pPr>
    </w:p>
    <w:p w14:paraId="45BBB851" w14:textId="77777777" w:rsidR="00DC1896" w:rsidRPr="00E42BEA" w:rsidRDefault="00DC1896" w:rsidP="00DC1896">
      <w:pPr>
        <w:numPr>
          <w:ilvl w:val="0"/>
          <w:numId w:val="6"/>
        </w:numPr>
        <w:suppressAutoHyphens/>
        <w:spacing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4D9AD93C" w14:textId="77777777" w:rsidR="00DC1896" w:rsidRPr="00E42BEA" w:rsidRDefault="00DC1896" w:rsidP="00DC1896">
      <w:pPr>
        <w:suppressAutoHyphens/>
        <w:spacing w:line="276" w:lineRule="auto"/>
        <w:ind w:left="360" w:firstLine="0"/>
        <w:rPr>
          <w:rFonts w:eastAsia="Times New Roman" w:cs="Arial"/>
          <w:b/>
          <w:bCs/>
          <w:lang w:val="es-ES" w:eastAsia="es-ES"/>
        </w:rPr>
      </w:pPr>
    </w:p>
    <w:p w14:paraId="488CBC85" w14:textId="77777777" w:rsidR="00DC1896" w:rsidRPr="00E42BEA" w:rsidRDefault="00DC1896" w:rsidP="00DC1896">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 xml:space="preserve">La sanción es una multa por un valor entre uno y 50 </w:t>
      </w:r>
      <w:proofErr w:type="spellStart"/>
      <w:r w:rsidRPr="00E42BEA">
        <w:rPr>
          <w:rFonts w:eastAsia="Times New Roman" w:cs="Arial"/>
          <w:b/>
          <w:bCs/>
          <w:lang w:val="es-ES" w:eastAsia="es-ES"/>
        </w:rPr>
        <w:t>SMLMV</w:t>
      </w:r>
      <w:proofErr w:type="spellEnd"/>
      <w:r w:rsidRPr="00E42BEA">
        <w:rPr>
          <w:rFonts w:eastAsia="Times New Roman" w:cs="Arial"/>
          <w:b/>
          <w:bCs/>
          <w:lang w:val="es-ES" w:eastAsia="es-ES"/>
        </w:rPr>
        <w:t>.</w:t>
      </w:r>
    </w:p>
    <w:p w14:paraId="5A291F78" w14:textId="77777777" w:rsidR="00DC1896" w:rsidRPr="00E42BEA" w:rsidRDefault="00DC1896" w:rsidP="00DC1896">
      <w:pPr>
        <w:suppressAutoHyphens/>
        <w:spacing w:line="276" w:lineRule="auto"/>
        <w:ind w:left="360" w:firstLine="0"/>
        <w:rPr>
          <w:rFonts w:eastAsia="Times New Roman" w:cs="Arial"/>
          <w:b/>
          <w:bCs/>
          <w:lang w:val="es-ES" w:eastAsia="es-ES"/>
        </w:rPr>
      </w:pPr>
    </w:p>
    <w:p w14:paraId="76A920AC" w14:textId="77777777" w:rsidR="00DC1896" w:rsidRPr="00E42BEA" w:rsidRDefault="00DC1896" w:rsidP="00DC1896">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51575DC5" w14:textId="77777777" w:rsidR="00DC1896" w:rsidRPr="00E42BEA" w:rsidRDefault="00DC1896" w:rsidP="00DC1896">
      <w:pPr>
        <w:suppressAutoHyphens/>
        <w:spacing w:line="276" w:lineRule="auto"/>
        <w:ind w:left="360" w:firstLine="0"/>
        <w:rPr>
          <w:rFonts w:eastAsia="Times New Roman" w:cs="Arial"/>
          <w:b/>
          <w:bCs/>
          <w:lang w:val="es-ES" w:eastAsia="es-ES"/>
        </w:rPr>
      </w:pPr>
    </w:p>
    <w:p w14:paraId="1FB52F00" w14:textId="77777777" w:rsidR="00DC1896" w:rsidRPr="00E42BEA" w:rsidRDefault="00DC1896" w:rsidP="00DC1896">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04D8E414" w14:textId="77777777" w:rsidR="00DC1896" w:rsidRPr="00E42BEA" w:rsidRDefault="00DC1896" w:rsidP="00DC1896">
      <w:pPr>
        <w:suppressAutoHyphens/>
        <w:spacing w:line="276" w:lineRule="auto"/>
        <w:ind w:firstLine="0"/>
        <w:rPr>
          <w:rFonts w:eastAsia="Times New Roman" w:cs="Arial"/>
          <w:lang w:val="es-ES" w:eastAsia="es-ES"/>
        </w:rPr>
      </w:pPr>
    </w:p>
    <w:p w14:paraId="0FB274E9" w14:textId="77777777" w:rsidR="00DC1896" w:rsidRPr="00E42BEA" w:rsidRDefault="00DC1896" w:rsidP="00DC1896">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4C3BD779" w14:textId="77777777" w:rsidR="00DC1896" w:rsidRPr="00E42BEA" w:rsidRDefault="00DC1896" w:rsidP="00DC1896">
      <w:pPr>
        <w:suppressAutoHyphens/>
        <w:spacing w:line="276" w:lineRule="auto"/>
        <w:ind w:firstLine="0"/>
        <w:rPr>
          <w:rFonts w:eastAsia="Times New Roman" w:cs="Arial"/>
          <w:lang w:val="es-ES_tradnl" w:eastAsia="es-ES"/>
        </w:rPr>
      </w:pPr>
    </w:p>
    <w:p w14:paraId="2EC62C14"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E42BEA">
        <w:rPr>
          <w:rFonts w:eastAsia="Times New Roman" w:cs="Arial"/>
          <w:lang w:val="es-ES_tradnl" w:eastAsia="es-ES"/>
        </w:rPr>
        <w:t>RAIS</w:t>
      </w:r>
      <w:proofErr w:type="spellEnd"/>
      <w:r w:rsidRPr="00E42BEA">
        <w:rPr>
          <w:rFonts w:eastAsia="Times New Roman" w:cs="Arial"/>
          <w:lang w:val="es-ES_tradnl" w:eastAsia="es-ES"/>
        </w:rPr>
        <w:t xml:space="preserve"> que les conciernen en desarrollo de su objeto social, pues para tales efectos hay legislación específica que adelante se resaltará.</w:t>
      </w:r>
    </w:p>
    <w:p w14:paraId="0395BD0F" w14:textId="77777777" w:rsidR="00DC1896" w:rsidRPr="00E42BEA" w:rsidRDefault="00DC1896" w:rsidP="00DC1896">
      <w:pPr>
        <w:suppressAutoHyphens/>
        <w:spacing w:line="276" w:lineRule="auto"/>
        <w:ind w:firstLine="0"/>
        <w:rPr>
          <w:rFonts w:eastAsia="Times New Roman" w:cs="Arial"/>
          <w:lang w:val="es-ES_tradnl" w:eastAsia="es-ES"/>
        </w:rPr>
      </w:pPr>
    </w:p>
    <w:p w14:paraId="228287FF"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04A8072D" w14:textId="77777777" w:rsidR="00DC1896" w:rsidRPr="00E42BEA" w:rsidRDefault="00DC1896" w:rsidP="00DC1896">
      <w:pPr>
        <w:suppressAutoHyphens/>
        <w:spacing w:line="276" w:lineRule="auto"/>
        <w:ind w:firstLine="0"/>
        <w:rPr>
          <w:rFonts w:eastAsia="Times New Roman" w:cs="Arial"/>
          <w:lang w:val="es-ES_tradnl" w:eastAsia="es-ES"/>
        </w:rPr>
      </w:pPr>
    </w:p>
    <w:p w14:paraId="3D27EC0A" w14:textId="77777777" w:rsidR="00DC1896" w:rsidRPr="00E42BEA" w:rsidRDefault="00DC1896" w:rsidP="00DC1896">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w:t>
      </w:r>
      <w:r w:rsidRPr="00E42BEA">
        <w:rPr>
          <w:rFonts w:eastAsia="Times New Roman" w:cs="Arial"/>
          <w:lang w:val="es-ES_tradnl" w:eastAsia="es-ES"/>
        </w:rPr>
        <w:lastRenderedPageBreak/>
        <w:t xml:space="preserve">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3F97194B" w14:textId="77777777" w:rsidR="00DC1896" w:rsidRPr="00E42BEA" w:rsidRDefault="00DC1896" w:rsidP="00DC1896">
      <w:pPr>
        <w:suppressAutoHyphens/>
        <w:spacing w:line="276" w:lineRule="auto"/>
        <w:ind w:firstLine="0"/>
        <w:rPr>
          <w:rFonts w:eastAsia="Times New Roman" w:cs="Arial"/>
          <w:b/>
          <w:lang w:val="es-ES_tradnl" w:eastAsia="es-ES"/>
        </w:rPr>
      </w:pPr>
    </w:p>
    <w:p w14:paraId="22B22E09" w14:textId="77777777" w:rsidR="00DC1896" w:rsidRPr="00E42BEA" w:rsidRDefault="00DC1896" w:rsidP="00DC1896">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289CD64E" w14:textId="77777777" w:rsidR="00DC1896" w:rsidRPr="00E42BEA" w:rsidRDefault="00DC1896" w:rsidP="00DC1896">
      <w:pPr>
        <w:suppressAutoHyphens/>
        <w:spacing w:line="276" w:lineRule="auto"/>
        <w:ind w:firstLine="0"/>
        <w:rPr>
          <w:rFonts w:eastAsia="Times New Roman" w:cs="Arial"/>
          <w:lang w:val="es-ES_tradnl" w:eastAsia="es-ES"/>
        </w:rPr>
      </w:pPr>
    </w:p>
    <w:p w14:paraId="23D6294E" w14:textId="77777777" w:rsidR="00DC1896" w:rsidRPr="00E42BEA" w:rsidRDefault="00DC1896" w:rsidP="00DC1896">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69FB6D4D" w14:textId="77777777" w:rsidR="00DC1896" w:rsidRPr="00E42BEA" w:rsidRDefault="00DC1896" w:rsidP="00DC1896">
      <w:pPr>
        <w:suppressAutoHyphens/>
        <w:spacing w:line="276" w:lineRule="auto"/>
        <w:ind w:firstLine="0"/>
        <w:rPr>
          <w:rFonts w:eastAsia="Times New Roman" w:cs="Arial"/>
          <w:b/>
          <w:bCs/>
          <w:lang w:val="es-ES" w:eastAsia="es-ES"/>
        </w:rPr>
      </w:pPr>
    </w:p>
    <w:p w14:paraId="6D9D0640" w14:textId="77777777" w:rsidR="00DC1896" w:rsidRPr="00E42BEA" w:rsidRDefault="00DC1896" w:rsidP="00DC1896">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3C05B8F1" w14:textId="77777777" w:rsidR="00DC1896" w:rsidRPr="00E42BEA" w:rsidRDefault="00DC1896" w:rsidP="00DC1896">
      <w:pPr>
        <w:suppressAutoHyphens/>
        <w:spacing w:line="276" w:lineRule="auto"/>
        <w:ind w:firstLine="0"/>
        <w:rPr>
          <w:rFonts w:eastAsia="Times New Roman" w:cs="Arial"/>
          <w:b/>
          <w:bCs/>
          <w:lang w:val="es-ES" w:eastAsia="es-ES"/>
        </w:rPr>
      </w:pPr>
    </w:p>
    <w:p w14:paraId="4294BA69" w14:textId="77777777" w:rsidR="00DC1896" w:rsidRPr="00E42BEA" w:rsidRDefault="00DC1896" w:rsidP="00DC1896">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5EC02536" w14:textId="77777777" w:rsidR="00DC1896" w:rsidRPr="00E42BEA" w:rsidRDefault="00DC1896" w:rsidP="00DC1896">
      <w:pPr>
        <w:suppressAutoHyphens/>
        <w:spacing w:line="276" w:lineRule="auto"/>
        <w:ind w:firstLine="0"/>
        <w:rPr>
          <w:rFonts w:eastAsia="Times New Roman" w:cs="Arial"/>
          <w:lang w:val="es-ES_tradnl" w:eastAsia="es-ES"/>
        </w:rPr>
      </w:pPr>
    </w:p>
    <w:p w14:paraId="0C606502" w14:textId="77777777" w:rsidR="00DC1896" w:rsidRPr="00E42BEA" w:rsidRDefault="00DC1896" w:rsidP="00DC1896">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690FAFC7" w14:textId="77777777" w:rsidR="00DC1896" w:rsidRPr="00E42BEA" w:rsidRDefault="00DC1896" w:rsidP="00DC1896">
      <w:pPr>
        <w:suppressAutoHyphens/>
        <w:spacing w:line="240" w:lineRule="auto"/>
        <w:ind w:left="426" w:right="420" w:firstLine="0"/>
        <w:rPr>
          <w:rFonts w:eastAsia="Times New Roman" w:cs="Arial"/>
          <w:sz w:val="22"/>
          <w:lang w:val="es-ES_tradnl" w:eastAsia="es-ES"/>
        </w:rPr>
      </w:pPr>
    </w:p>
    <w:p w14:paraId="19D74C06" w14:textId="77777777" w:rsidR="00DC1896" w:rsidRPr="00E42BEA" w:rsidRDefault="00DC1896" w:rsidP="00DC1896">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738C36C7"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651E5DC3"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lastRenderedPageBreak/>
        <w:t xml:space="preserve">Y la tercera y más importante, </w:t>
      </w:r>
      <w:r w:rsidRPr="00E42BEA">
        <w:rPr>
          <w:rFonts w:eastAsia="Times New Roman" w:cs="Arial"/>
          <w:b/>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E42BEA">
        <w:rPr>
          <w:rFonts w:eastAsia="Times New Roman" w:cs="Arial"/>
          <w:b/>
          <w:lang w:val="es-ES_tradnl" w:eastAsia="es-ES"/>
        </w:rPr>
        <w:t>RAIS</w:t>
      </w:r>
      <w:proofErr w:type="spellEnd"/>
      <w:r w:rsidRPr="00E42BEA">
        <w:rPr>
          <w:rFonts w:eastAsia="Times New Roman" w:cs="Arial"/>
          <w:b/>
          <w:lang w:val="es-ES_tradnl" w:eastAsia="es-ES"/>
        </w:rPr>
        <w:t xml:space="preserve"> a pesar del perjuicio que ello le pudiere significar</w:t>
      </w:r>
      <w:r w:rsidRPr="00E42BEA">
        <w:rPr>
          <w:rFonts w:eastAsia="Times New Roman" w:cs="Arial"/>
          <w:lang w:val="es-ES_tradnl" w:eastAsia="es-ES"/>
        </w:rPr>
        <w:t>.</w:t>
      </w:r>
    </w:p>
    <w:p w14:paraId="58FFEA37" w14:textId="77777777" w:rsidR="00DC1896" w:rsidRPr="00E42BEA" w:rsidRDefault="00DC1896" w:rsidP="00DC1896">
      <w:pPr>
        <w:suppressAutoHyphens/>
        <w:spacing w:line="276" w:lineRule="auto"/>
        <w:ind w:firstLine="0"/>
        <w:rPr>
          <w:rFonts w:eastAsia="Times New Roman" w:cs="Arial"/>
          <w:lang w:val="es-ES_tradnl" w:eastAsia="es-ES"/>
        </w:rPr>
      </w:pPr>
    </w:p>
    <w:p w14:paraId="6CC91ACB" w14:textId="77777777" w:rsidR="00DC1896" w:rsidRPr="00E42BEA" w:rsidRDefault="00DC1896" w:rsidP="00DC1896">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7A15BD47" w14:textId="77777777" w:rsidR="00DC1896" w:rsidRPr="00E42BEA" w:rsidRDefault="00DC1896" w:rsidP="00DC1896">
      <w:pPr>
        <w:suppressAutoHyphens/>
        <w:spacing w:line="276" w:lineRule="auto"/>
        <w:ind w:firstLine="0"/>
        <w:rPr>
          <w:rFonts w:eastAsia="Times New Roman" w:cs="Arial"/>
          <w:lang w:val="es-ES_tradnl" w:eastAsia="es-ES"/>
        </w:rPr>
      </w:pPr>
    </w:p>
    <w:p w14:paraId="2F0B3D69" w14:textId="77777777" w:rsidR="00DC1896" w:rsidRPr="00E42BEA" w:rsidRDefault="00DC1896" w:rsidP="00DC1896">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5D3FBF48" w14:textId="77777777" w:rsidR="00DC1896" w:rsidRPr="00E42BEA" w:rsidRDefault="00DC1896" w:rsidP="00DC1896">
      <w:pPr>
        <w:suppressAutoHyphens/>
        <w:spacing w:line="276" w:lineRule="auto"/>
        <w:ind w:firstLine="0"/>
        <w:rPr>
          <w:rFonts w:eastAsia="Times New Roman" w:cs="Arial"/>
          <w:b/>
          <w:bCs/>
          <w:lang w:val="es-ES" w:eastAsia="es-ES"/>
        </w:rPr>
      </w:pPr>
    </w:p>
    <w:p w14:paraId="719A1AB3" w14:textId="77777777" w:rsidR="00DC1896" w:rsidRPr="00E42BEA" w:rsidRDefault="00DC1896" w:rsidP="00DC1896">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3FFF344C" w14:textId="77777777" w:rsidR="00DC1896" w:rsidRPr="00E42BEA" w:rsidRDefault="00DC1896" w:rsidP="00DC1896">
      <w:pPr>
        <w:suppressAutoHyphens/>
        <w:spacing w:line="276" w:lineRule="auto"/>
        <w:ind w:firstLine="0"/>
        <w:rPr>
          <w:rFonts w:eastAsia="Times New Roman" w:cs="Arial"/>
          <w:iCs/>
          <w:lang w:val="es-ES_tradnl" w:eastAsia="es-ES"/>
        </w:rPr>
      </w:pPr>
    </w:p>
    <w:p w14:paraId="3C861769" w14:textId="77777777" w:rsidR="00DC1896" w:rsidRPr="00E42BEA" w:rsidRDefault="00DC1896" w:rsidP="00DC1896">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7F3CDBC6" w14:textId="77777777" w:rsidR="00DC1896" w:rsidRPr="00E42BEA" w:rsidRDefault="00DC1896" w:rsidP="00DC1896">
      <w:pPr>
        <w:suppressAutoHyphens/>
        <w:spacing w:line="276" w:lineRule="auto"/>
        <w:ind w:firstLine="0"/>
        <w:rPr>
          <w:rFonts w:eastAsia="Times New Roman" w:cs="Arial"/>
          <w:iCs/>
          <w:lang w:val="es-ES_tradnl" w:eastAsia="es-ES"/>
        </w:rPr>
      </w:pPr>
    </w:p>
    <w:p w14:paraId="5CC849D1" w14:textId="77777777" w:rsidR="00DC1896" w:rsidRPr="00E42BEA" w:rsidRDefault="00DC1896" w:rsidP="00DC1896">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Como fácilmente se observa, el resultado de declarar la ineficacia del traslado lleva a lo siguiente:  AFP PRIVADA por supuestos errores u omisiones en información CAUSA PERJUICIO al afiliado, entonces, a un tercero -COLPENSIONES- la rama judicial le impone </w:t>
      </w:r>
      <w:proofErr w:type="gramStart"/>
      <w:r w:rsidRPr="00E42BEA">
        <w:rPr>
          <w:rFonts w:eastAsia="Times New Roman" w:cs="Arial"/>
          <w:iCs/>
          <w:lang w:val="es-ES_tradnl" w:eastAsia="es-ES"/>
        </w:rPr>
        <w:t>que</w:t>
      </w:r>
      <w:proofErr w:type="gramEnd"/>
      <w:r w:rsidRPr="00E42BEA">
        <w:rPr>
          <w:rFonts w:eastAsia="Times New Roman" w:cs="Arial"/>
          <w:iCs/>
          <w:lang w:val="es-ES_tradnl" w:eastAsia="es-ES"/>
        </w:rPr>
        <w:t xml:space="preserve"> con los demás dineros del fondo público, cubra el daño generado por la AFP privada.</w:t>
      </w:r>
    </w:p>
    <w:p w14:paraId="0AC4BFC1" w14:textId="77777777" w:rsidR="00DC1896" w:rsidRPr="00E42BEA" w:rsidRDefault="00DC1896" w:rsidP="00DC1896">
      <w:pPr>
        <w:suppressAutoHyphens/>
        <w:spacing w:line="276" w:lineRule="auto"/>
        <w:ind w:firstLine="0"/>
        <w:rPr>
          <w:rFonts w:eastAsia="Times New Roman" w:cs="Arial"/>
          <w:iCs/>
          <w:lang w:val="es-ES_tradnl" w:eastAsia="es-ES"/>
        </w:rPr>
      </w:pPr>
    </w:p>
    <w:p w14:paraId="38FD0703" w14:textId="77777777" w:rsidR="00DC1896" w:rsidRPr="00E42BEA" w:rsidRDefault="00DC1896" w:rsidP="00DC1896">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5E02C4E5" w14:textId="77777777" w:rsidR="00DC1896" w:rsidRPr="00E42BEA" w:rsidRDefault="00DC1896" w:rsidP="00DC1896">
      <w:pPr>
        <w:suppressAutoHyphens/>
        <w:spacing w:line="276" w:lineRule="auto"/>
        <w:ind w:firstLine="0"/>
        <w:rPr>
          <w:rFonts w:eastAsia="Times New Roman" w:cs="Arial"/>
          <w:iCs/>
          <w:lang w:val="es-ES_tradnl" w:eastAsia="es-ES"/>
        </w:rPr>
      </w:pPr>
    </w:p>
    <w:p w14:paraId="2B4877FC" w14:textId="77777777" w:rsidR="00DC1896" w:rsidRPr="00E42BEA" w:rsidRDefault="00DC1896" w:rsidP="00DC1896">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SEGUNDO: De manera consciente, sin justificación alguna, </w:t>
      </w:r>
      <w:proofErr w:type="spellStart"/>
      <w:r w:rsidRPr="00E42BEA">
        <w:rPr>
          <w:rFonts w:eastAsia="Times New Roman" w:cs="Arial"/>
          <w:b/>
          <w:bCs/>
          <w:lang w:val="es-ES" w:eastAsia="es-ES"/>
        </w:rPr>
        <w:t>inaplica</w:t>
      </w:r>
      <w:proofErr w:type="spellEnd"/>
      <w:r w:rsidRPr="00E42BEA">
        <w:rPr>
          <w:rFonts w:eastAsia="Times New Roman" w:cs="Arial"/>
          <w:b/>
          <w:bCs/>
          <w:lang w:val="es-ES" w:eastAsia="es-ES"/>
        </w:rPr>
        <w:t xml:space="preserve"> la solución jurídica que el sistema tiene prevista de manera específica para los actos de las AFP que por omisión o falsa información causen perjuicio a los afiliados.</w:t>
      </w:r>
    </w:p>
    <w:p w14:paraId="162FBC84" w14:textId="77777777" w:rsidR="00DC1896" w:rsidRPr="00E42BEA" w:rsidRDefault="00DC1896" w:rsidP="00DC1896">
      <w:pPr>
        <w:suppressAutoHyphens/>
        <w:spacing w:line="276" w:lineRule="auto"/>
        <w:ind w:firstLine="0"/>
        <w:rPr>
          <w:rFonts w:eastAsia="Times New Roman" w:cs="Arial"/>
          <w:iCs/>
          <w:lang w:val="es-ES_tradnl" w:eastAsia="es-ES"/>
        </w:rPr>
      </w:pPr>
    </w:p>
    <w:p w14:paraId="405FCFBF" w14:textId="77777777" w:rsidR="00DC1896" w:rsidRPr="00E42BEA" w:rsidRDefault="00DC1896" w:rsidP="00DC1896">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 </w:t>
      </w:r>
      <w:proofErr w:type="gramStart"/>
      <w:r w:rsidRPr="00E42BEA">
        <w:rPr>
          <w:rFonts w:eastAsia="Times New Roman" w:cs="Arial"/>
          <w:iCs/>
          <w:lang w:val="es-ES_tradnl" w:eastAsia="es-ES"/>
        </w:rPr>
        <w:t>continuación</w:t>
      </w:r>
      <w:proofErr w:type="gramEnd"/>
      <w:r w:rsidRPr="00E42BEA">
        <w:rPr>
          <w:rFonts w:eastAsia="Times New Roman" w:cs="Arial"/>
          <w:iCs/>
          <w:lang w:val="es-ES_tradnl" w:eastAsia="es-ES"/>
        </w:rPr>
        <w:t xml:space="preserve"> se analizan aspectos de estas dos afirmaciones.</w:t>
      </w:r>
    </w:p>
    <w:p w14:paraId="36B1AA47" w14:textId="77777777" w:rsidR="00DC1896" w:rsidRPr="00E42BEA" w:rsidRDefault="00DC1896" w:rsidP="00DC1896">
      <w:pPr>
        <w:suppressAutoHyphens/>
        <w:spacing w:line="276" w:lineRule="auto"/>
        <w:ind w:firstLine="0"/>
        <w:rPr>
          <w:rFonts w:eastAsia="Times New Roman" w:cs="Arial"/>
          <w:lang w:val="es-ES_tradnl" w:eastAsia="es-ES"/>
        </w:rPr>
      </w:pPr>
    </w:p>
    <w:p w14:paraId="58DE421A" w14:textId="77777777" w:rsidR="00DC1896" w:rsidRPr="00E42BEA" w:rsidRDefault="00DC1896" w:rsidP="00DC1896">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w:t>
      </w:r>
      <w:proofErr w:type="spellStart"/>
      <w:r w:rsidRPr="00E42BEA">
        <w:rPr>
          <w:rFonts w:eastAsia="Times New Roman" w:cs="Arial"/>
          <w:b/>
          <w:iCs/>
          <w:lang w:val="es-ES_tradnl" w:eastAsia="es-ES"/>
        </w:rPr>
        <w:t>RAZON</w:t>
      </w:r>
      <w:proofErr w:type="spellEnd"/>
      <w:r w:rsidRPr="00E42BEA">
        <w:rPr>
          <w:rFonts w:eastAsia="Times New Roman" w:cs="Arial"/>
          <w:b/>
          <w:iCs/>
          <w:lang w:val="es-ES_tradnl" w:eastAsia="es-ES"/>
        </w:rPr>
        <w:t xml:space="preserve"> DE SER DE LA LIMITACIÓN DE TRASLADO CUANDO FALTEN MENOS DE 10 AÑOS. </w:t>
      </w:r>
    </w:p>
    <w:p w14:paraId="619AD741" w14:textId="77777777" w:rsidR="00DC1896" w:rsidRPr="00E42BEA" w:rsidRDefault="00DC1896" w:rsidP="00DC1896">
      <w:pPr>
        <w:suppressAutoHyphens/>
        <w:spacing w:line="276" w:lineRule="auto"/>
        <w:ind w:firstLine="0"/>
        <w:rPr>
          <w:rFonts w:eastAsia="Times New Roman" w:cs="Arial"/>
          <w:b/>
          <w:iCs/>
          <w:lang w:val="es-ES_tradnl" w:eastAsia="es-ES"/>
        </w:rPr>
      </w:pPr>
    </w:p>
    <w:p w14:paraId="0C40C377" w14:textId="77777777" w:rsidR="00DC1896" w:rsidRPr="00E42BEA" w:rsidRDefault="00DC1896" w:rsidP="00DC1896">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2B976075" w14:textId="77777777" w:rsidR="00DC1896" w:rsidRPr="00E42BEA" w:rsidRDefault="00DC1896" w:rsidP="00DC1896">
      <w:pPr>
        <w:suppressAutoHyphens/>
        <w:spacing w:line="276" w:lineRule="auto"/>
        <w:ind w:firstLine="0"/>
        <w:rPr>
          <w:rFonts w:eastAsia="Times New Roman" w:cs="Arial"/>
          <w:iCs/>
          <w:lang w:val="es-ES_tradnl" w:eastAsia="es-ES"/>
        </w:rPr>
      </w:pPr>
    </w:p>
    <w:p w14:paraId="695C3321" w14:textId="77777777" w:rsidR="00DC1896" w:rsidRPr="00E42BEA" w:rsidRDefault="00DC1896" w:rsidP="00DC1896">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112275E6" w14:textId="77777777" w:rsidR="00DC1896" w:rsidRPr="00E42BEA" w:rsidRDefault="00DC1896" w:rsidP="00DC1896">
      <w:pPr>
        <w:suppressAutoHyphens/>
        <w:spacing w:line="276" w:lineRule="auto"/>
        <w:ind w:firstLine="0"/>
        <w:rPr>
          <w:rFonts w:eastAsia="Times New Roman" w:cs="Arial"/>
          <w:b/>
          <w:iCs/>
          <w:lang w:val="es-ES_tradnl" w:eastAsia="es-ES"/>
        </w:rPr>
      </w:pPr>
    </w:p>
    <w:p w14:paraId="7211A429" w14:textId="77777777" w:rsidR="00DC1896" w:rsidRPr="00E42BEA" w:rsidRDefault="00DC1896" w:rsidP="00DC1896">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29D3AE29" w14:textId="77777777" w:rsidR="00DC1896" w:rsidRPr="00E42BEA" w:rsidRDefault="00DC1896" w:rsidP="00DC1896">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38CD18B6" w14:textId="77777777" w:rsidR="00DC1896" w:rsidRPr="00E42BEA" w:rsidRDefault="00DC1896" w:rsidP="00DC1896">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2F39D257" w14:textId="77777777" w:rsidR="00DC1896" w:rsidRPr="00E42BEA" w:rsidRDefault="00DC1896" w:rsidP="00DC1896">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58470D60" w14:textId="77777777" w:rsidR="00DC1896" w:rsidRPr="00E42BEA" w:rsidRDefault="00DC1896" w:rsidP="00DC1896">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38D8F770" w14:textId="77777777" w:rsidR="00DC1896" w:rsidRPr="00E42BEA" w:rsidRDefault="00DC1896" w:rsidP="00DC1896">
      <w:pPr>
        <w:suppressAutoHyphens/>
        <w:spacing w:line="276" w:lineRule="auto"/>
        <w:ind w:firstLine="0"/>
        <w:rPr>
          <w:rFonts w:eastAsia="Times New Roman" w:cs="Arial"/>
          <w:b/>
          <w:iCs/>
          <w:lang w:val="es-ES_tradnl" w:eastAsia="es-ES"/>
        </w:rPr>
      </w:pPr>
    </w:p>
    <w:p w14:paraId="76995C2D" w14:textId="77777777" w:rsidR="00DC1896" w:rsidRPr="00E42BEA" w:rsidRDefault="00DC1896" w:rsidP="00DC1896">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w:t>
      </w:r>
      <w:proofErr w:type="spellStart"/>
      <w:r w:rsidRPr="00E42BEA">
        <w:rPr>
          <w:rFonts w:eastAsia="Times New Roman" w:cs="Arial"/>
          <w:iCs/>
          <w:lang w:val="es-ES_tradnl" w:eastAsia="es-ES"/>
        </w:rPr>
        <w:t>RAIS</w:t>
      </w:r>
      <w:proofErr w:type="spellEnd"/>
      <w:r w:rsidRPr="00E42BEA">
        <w:rPr>
          <w:rFonts w:eastAsia="Times New Roman" w:cs="Arial"/>
          <w:iCs/>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E42BEA">
        <w:rPr>
          <w:rFonts w:eastAsia="Times New Roman" w:cs="Arial"/>
          <w:iCs/>
          <w:lang w:val="es-ES_tradnl" w:eastAsia="es-ES"/>
        </w:rPr>
        <w:lastRenderedPageBreak/>
        <w:t xml:space="preserve">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7472180A" w14:textId="77777777" w:rsidR="00DC1896" w:rsidRPr="00E42BEA" w:rsidRDefault="00DC1896" w:rsidP="00DC1896">
      <w:pPr>
        <w:suppressAutoHyphens/>
        <w:spacing w:line="276" w:lineRule="auto"/>
        <w:ind w:firstLine="0"/>
        <w:rPr>
          <w:rFonts w:eastAsia="Times New Roman" w:cs="Arial"/>
          <w:b/>
          <w:iCs/>
          <w:lang w:eastAsia="es-ES"/>
        </w:rPr>
      </w:pPr>
    </w:p>
    <w:p w14:paraId="581134D6" w14:textId="77777777" w:rsidR="00DC1896" w:rsidRPr="00E42BEA" w:rsidRDefault="00DC1896" w:rsidP="00DC1896">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E42BEA">
        <w:rPr>
          <w:rFonts w:eastAsia="Times New Roman" w:cs="Arial"/>
          <w:iCs/>
          <w:lang w:eastAsia="es-ES"/>
        </w:rPr>
        <w:t>RAIS</w:t>
      </w:r>
      <w:proofErr w:type="spellEnd"/>
      <w:r w:rsidRPr="00E42BEA">
        <w:rPr>
          <w:rFonts w:eastAsia="Times New Roman" w:cs="Arial"/>
          <w:iCs/>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E42BEA">
        <w:rPr>
          <w:rFonts w:eastAsia="Times New Roman" w:cs="Arial"/>
          <w:iCs/>
          <w:lang w:eastAsia="es-ES"/>
        </w:rPr>
        <w:t>RAIS</w:t>
      </w:r>
      <w:proofErr w:type="spellEnd"/>
      <w:r w:rsidRPr="00E42BEA">
        <w:rPr>
          <w:rFonts w:eastAsia="Times New Roman" w:cs="Arial"/>
          <w:iCs/>
          <w:lang w:eastAsia="es-ES"/>
        </w:rPr>
        <w:t xml:space="preserve">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E42BEA">
        <w:rPr>
          <w:rFonts w:eastAsia="Times New Roman" w:cs="Arial"/>
          <w:iCs/>
          <w:lang w:val="es-ES_tradnl" w:eastAsia="es-ES"/>
        </w:rPr>
        <w:t>IBL</w:t>
      </w:r>
      <w:proofErr w:type="spellEnd"/>
      <w:r w:rsidRPr="00E42BEA">
        <w:rPr>
          <w:rFonts w:eastAsia="Times New Roman" w:cs="Arial"/>
          <w:iCs/>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E42BEA">
        <w:rPr>
          <w:rFonts w:eastAsia="Times New Roman" w:cs="Arial"/>
          <w:iCs/>
          <w:lang w:val="es-ES_tradnl" w:eastAsia="es-ES"/>
        </w:rPr>
        <w:t>sucesoral</w:t>
      </w:r>
      <w:proofErr w:type="spellEnd"/>
      <w:r w:rsidRPr="00E42BEA">
        <w:rPr>
          <w:rFonts w:eastAsia="Times New Roman" w:cs="Arial"/>
          <w:iCs/>
          <w:lang w:val="es-ES_tradnl" w:eastAsia="es-ES"/>
        </w:rPr>
        <w:t>, etc..</w:t>
      </w:r>
    </w:p>
    <w:p w14:paraId="2724E3AA" w14:textId="77777777" w:rsidR="00DC1896" w:rsidRPr="00E42BEA" w:rsidRDefault="00DC1896" w:rsidP="00DC1896">
      <w:pPr>
        <w:suppressAutoHyphens/>
        <w:spacing w:line="276" w:lineRule="auto"/>
        <w:ind w:firstLine="0"/>
        <w:rPr>
          <w:rFonts w:eastAsia="Times New Roman" w:cs="Arial"/>
          <w:lang w:val="es-ES_tradnl" w:eastAsia="es-ES"/>
        </w:rPr>
      </w:pPr>
    </w:p>
    <w:p w14:paraId="4D3EB624" w14:textId="77777777" w:rsidR="00DC1896" w:rsidRPr="00E42BEA" w:rsidRDefault="00DC1896" w:rsidP="00DC1896">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79DE648E" w14:textId="77777777" w:rsidR="00DC1896" w:rsidRPr="00E42BEA" w:rsidRDefault="00DC1896" w:rsidP="00DC1896">
      <w:pPr>
        <w:suppressAutoHyphens/>
        <w:spacing w:line="276" w:lineRule="auto"/>
        <w:ind w:firstLine="0"/>
        <w:rPr>
          <w:rFonts w:eastAsia="Times New Roman" w:cs="Arial"/>
          <w:lang w:val="es-ES_tradnl" w:eastAsia="es-ES"/>
        </w:rPr>
      </w:pPr>
    </w:p>
    <w:p w14:paraId="63C4A7DA"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A68313D" w14:textId="77777777" w:rsidR="00DC1896" w:rsidRPr="00E42BEA" w:rsidRDefault="00DC1896" w:rsidP="00DC1896">
      <w:pPr>
        <w:suppressAutoHyphens/>
        <w:spacing w:line="276" w:lineRule="auto"/>
        <w:ind w:firstLine="0"/>
        <w:rPr>
          <w:rFonts w:eastAsia="Times New Roman" w:cs="Arial"/>
          <w:lang w:val="es-ES_tradnl" w:eastAsia="es-ES"/>
        </w:rPr>
      </w:pPr>
    </w:p>
    <w:p w14:paraId="5A3598DF" w14:textId="77777777" w:rsidR="00DC1896" w:rsidRPr="00E42BEA" w:rsidRDefault="00DC1896" w:rsidP="00DC1896">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 xml:space="preserve">Esas consecuencias patrimoniales a cargo de Colpensiones dejan en evidencia que la solución jurídica de declaración de ineficacia en estos eventos transgrede, no solo </w:t>
      </w:r>
      <w:r w:rsidRPr="00E42BEA">
        <w:rPr>
          <w:rFonts w:eastAsia="Times New Roman" w:cs="Arial"/>
          <w:lang w:val="es-ES_tradnl" w:eastAsia="es-ES"/>
        </w:rPr>
        <w:lastRenderedPageBreak/>
        <w:t>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55368731" w14:textId="77777777" w:rsidR="00DC1896" w:rsidRPr="00E42BEA" w:rsidRDefault="00DC1896" w:rsidP="00DC1896">
      <w:pPr>
        <w:suppressAutoHyphens/>
        <w:spacing w:line="276" w:lineRule="auto"/>
        <w:ind w:firstLine="0"/>
        <w:rPr>
          <w:rFonts w:eastAsia="Times New Roman" w:cs="Arial"/>
          <w:lang w:val="es-ES_tradnl" w:eastAsia="es-ES"/>
        </w:rPr>
      </w:pPr>
    </w:p>
    <w:p w14:paraId="27ED3706" w14:textId="77777777" w:rsidR="00DC1896" w:rsidRPr="00E42BEA" w:rsidRDefault="00DC1896" w:rsidP="00DC1896">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52649AF3" w14:textId="77777777" w:rsidR="00DC1896" w:rsidRPr="00E42BEA" w:rsidRDefault="00DC1896" w:rsidP="00DC1896">
      <w:pPr>
        <w:suppressAutoHyphens/>
        <w:spacing w:line="276" w:lineRule="auto"/>
        <w:ind w:firstLine="0"/>
        <w:rPr>
          <w:rFonts w:eastAsia="Times New Roman" w:cs="Arial"/>
          <w:lang w:val="es-ES_tradnl" w:eastAsia="es-ES"/>
        </w:rPr>
      </w:pPr>
    </w:p>
    <w:p w14:paraId="789937D6" w14:textId="77777777" w:rsidR="00DC1896" w:rsidRPr="00E42BEA" w:rsidRDefault="00DC1896" w:rsidP="00DC1896">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29000B99" w14:textId="77777777" w:rsidR="00DC1896" w:rsidRPr="00E42BEA" w:rsidRDefault="00DC1896" w:rsidP="00DC1896">
      <w:pPr>
        <w:suppressAutoHyphens/>
        <w:spacing w:line="276" w:lineRule="auto"/>
        <w:ind w:firstLine="0"/>
        <w:rPr>
          <w:rFonts w:eastAsia="Times New Roman" w:cs="Arial"/>
          <w:lang w:val="es-ES_tradnl" w:eastAsia="es-ES"/>
        </w:rPr>
      </w:pPr>
    </w:p>
    <w:p w14:paraId="01C9B3FE"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E42BEA">
        <w:rPr>
          <w:rFonts w:eastAsia="Times New Roman" w:cs="Arial"/>
          <w:lang w:val="es-ES_tradnl" w:eastAsia="es-ES"/>
        </w:rPr>
        <w:t>pero</w:t>
      </w:r>
      <w:proofErr w:type="gramEnd"/>
      <w:r w:rsidRPr="00E42BEA">
        <w:rPr>
          <w:rFonts w:eastAsia="Times New Roman" w:cs="Arial"/>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320ACEB9" w14:textId="77777777" w:rsidR="00DC1896" w:rsidRPr="00E42BEA" w:rsidRDefault="00DC1896" w:rsidP="00DC1896">
      <w:pPr>
        <w:suppressAutoHyphens/>
        <w:spacing w:line="276" w:lineRule="auto"/>
        <w:ind w:firstLine="0"/>
        <w:rPr>
          <w:rFonts w:eastAsia="Times New Roman" w:cs="Arial"/>
          <w:lang w:val="es-ES_tradnl" w:eastAsia="es-ES"/>
        </w:rPr>
      </w:pPr>
    </w:p>
    <w:p w14:paraId="63A95291" w14:textId="77777777" w:rsidR="00DC1896" w:rsidRPr="00E42BEA" w:rsidRDefault="00DC1896" w:rsidP="00DC1896">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71D180D4" w14:textId="77777777" w:rsidR="00DC1896" w:rsidRPr="00E42BEA" w:rsidRDefault="00DC1896" w:rsidP="00DC1896">
      <w:pPr>
        <w:suppressAutoHyphens/>
        <w:spacing w:line="276" w:lineRule="auto"/>
        <w:ind w:firstLine="0"/>
        <w:rPr>
          <w:rFonts w:eastAsia="Times New Roman" w:cs="Arial"/>
          <w:lang w:val="es-ES_tradnl" w:eastAsia="es-ES"/>
        </w:rPr>
      </w:pPr>
    </w:p>
    <w:p w14:paraId="0D484466"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2874A871" w14:textId="77777777" w:rsidR="00DC1896" w:rsidRPr="00E42BEA" w:rsidRDefault="00DC1896" w:rsidP="00DC1896">
      <w:pPr>
        <w:suppressAutoHyphens/>
        <w:spacing w:line="276" w:lineRule="auto"/>
        <w:ind w:firstLine="0"/>
        <w:rPr>
          <w:rFonts w:eastAsia="Times New Roman" w:cs="Arial"/>
          <w:lang w:val="es-ES_tradnl" w:eastAsia="es-ES"/>
        </w:rPr>
      </w:pPr>
    </w:p>
    <w:p w14:paraId="1E6EB10C"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E42BEA">
        <w:rPr>
          <w:rFonts w:eastAsia="Times New Roman" w:cs="Arial"/>
          <w:lang w:val="es-ES_tradnl" w:eastAsia="es-ES"/>
        </w:rPr>
        <w:lastRenderedPageBreak/>
        <w:t xml:space="preserve">este, prácticamente sirve solo para pagar el retroactivo pensional que la concesión de la pensión genera. </w:t>
      </w:r>
    </w:p>
    <w:p w14:paraId="178AE377" w14:textId="77777777" w:rsidR="00DC1896" w:rsidRPr="00E42BEA" w:rsidRDefault="00DC1896" w:rsidP="00DC1896">
      <w:pPr>
        <w:suppressAutoHyphens/>
        <w:spacing w:line="276" w:lineRule="auto"/>
        <w:ind w:firstLine="0"/>
        <w:rPr>
          <w:rFonts w:eastAsia="Times New Roman" w:cs="Arial"/>
          <w:lang w:val="es-ES_tradnl" w:eastAsia="es-ES"/>
        </w:rPr>
      </w:pPr>
    </w:p>
    <w:p w14:paraId="4645185C" w14:textId="77777777" w:rsidR="00DC1896"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63C449E0" w14:textId="77777777" w:rsidR="00DC1896" w:rsidRDefault="00DC1896" w:rsidP="00DC1896">
      <w:pPr>
        <w:suppressAutoHyphens/>
        <w:spacing w:line="276" w:lineRule="auto"/>
        <w:ind w:firstLine="0"/>
        <w:rPr>
          <w:rFonts w:eastAsia="Times New Roman" w:cs="Arial"/>
          <w:lang w:val="es-ES_tradnl" w:eastAsia="es-ES"/>
        </w:rPr>
      </w:pPr>
    </w:p>
    <w:p w14:paraId="7C530903" w14:textId="77777777" w:rsidR="00DC1896" w:rsidRPr="00C7392F" w:rsidRDefault="00DC1896" w:rsidP="00DC1896">
      <w:pPr>
        <w:suppressAutoHyphens/>
        <w:spacing w:line="276" w:lineRule="auto"/>
        <w:ind w:firstLine="0"/>
        <w:rPr>
          <w:rFonts w:eastAsia="Times New Roman" w:cs="Arial"/>
          <w:lang w:val="es-ES_tradnl" w:eastAsia="es-ES"/>
        </w:rPr>
      </w:pPr>
      <w:r w:rsidRPr="00C7392F">
        <w:rPr>
          <w:rFonts w:eastAsia="Times New Roman" w:cs="Arial"/>
          <w:lang w:val="es-ES_tradnl" w:eastAsia="es-ES"/>
        </w:rPr>
        <w:t xml:space="preserve">Adicionalmente a todo lo expuesto, a raíz de las sentencias de tutela: </w:t>
      </w:r>
      <w:proofErr w:type="spellStart"/>
      <w:r w:rsidRPr="00C7392F">
        <w:rPr>
          <w:rFonts w:eastAsia="Times New Roman" w:cs="Arial"/>
          <w:lang w:val="es-ES_tradnl" w:eastAsia="es-ES"/>
        </w:rPr>
        <w:t>STL9790</w:t>
      </w:r>
      <w:proofErr w:type="spellEnd"/>
      <w:r w:rsidRPr="00C7392F">
        <w:rPr>
          <w:rFonts w:eastAsia="Times New Roman" w:cs="Arial"/>
          <w:lang w:val="es-ES_tradnl" w:eastAsia="es-ES"/>
        </w:rPr>
        <w:t xml:space="preserve">-2023 -en la que la Corte, ahora definiendo el efecto de una </w:t>
      </w:r>
      <w:proofErr w:type="spellStart"/>
      <w:r w:rsidRPr="00C7392F">
        <w:rPr>
          <w:rFonts w:eastAsia="Times New Roman" w:cs="Arial"/>
          <w:lang w:val="es-ES_tradnl" w:eastAsia="es-ES"/>
        </w:rPr>
        <w:t>reasesoría</w:t>
      </w:r>
      <w:proofErr w:type="spellEnd"/>
      <w:r w:rsidRPr="00C7392F">
        <w:rPr>
          <w:rFonts w:eastAsia="Times New Roman" w:cs="Arial"/>
          <w:lang w:val="es-ES_tradnl" w:eastAsia="es-ES"/>
        </w:rPr>
        <w:t xml:space="preserve"> en que la AFP indicó al demandante que no le convenía permanecer en el </w:t>
      </w:r>
      <w:proofErr w:type="spellStart"/>
      <w:r w:rsidRPr="00C7392F">
        <w:rPr>
          <w:rFonts w:eastAsia="Times New Roman" w:cs="Arial"/>
          <w:lang w:val="es-ES_tradnl" w:eastAsia="es-ES"/>
        </w:rPr>
        <w:t>RAIS</w:t>
      </w:r>
      <w:proofErr w:type="spellEnd"/>
      <w:r w:rsidRPr="00C7392F">
        <w:rPr>
          <w:rFonts w:eastAsia="Times New Roman" w:cs="Arial"/>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C7392F">
        <w:rPr>
          <w:rFonts w:eastAsia="Times New Roman" w:cs="Arial"/>
          <w:lang w:val="es-ES_tradnl" w:eastAsia="es-ES"/>
        </w:rPr>
        <w:t>STL7302</w:t>
      </w:r>
      <w:proofErr w:type="spellEnd"/>
      <w:r w:rsidRPr="00C7392F">
        <w:rPr>
          <w:rFonts w:eastAsia="Times New Roman" w:cs="Arial"/>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C7392F">
        <w:rPr>
          <w:rFonts w:eastAsia="Times New Roman" w:cs="Arial"/>
          <w:lang w:val="es-ES_tradnl" w:eastAsia="es-ES"/>
        </w:rPr>
        <w:t>RAIS</w:t>
      </w:r>
      <w:proofErr w:type="spellEnd"/>
      <w:r w:rsidRPr="00C7392F">
        <w:rPr>
          <w:rFonts w:eastAsia="Times New Roman" w:cs="Arial"/>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C7392F">
        <w:rPr>
          <w:rFonts w:eastAsia="Times New Roman" w:cs="Arial"/>
          <w:lang w:val="es-ES_tradnl" w:eastAsia="es-ES"/>
        </w:rPr>
        <w:t>STL</w:t>
      </w:r>
      <w:proofErr w:type="spellEnd"/>
      <w:r w:rsidRPr="00C7392F">
        <w:rPr>
          <w:rFonts w:eastAsia="Times New Roman" w:cs="Arial"/>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188DB4D9" w14:textId="77777777" w:rsidR="00DC1896" w:rsidRPr="00E42BEA" w:rsidRDefault="00DC1896" w:rsidP="00DC1896">
      <w:pPr>
        <w:suppressAutoHyphens/>
        <w:spacing w:line="276" w:lineRule="auto"/>
        <w:ind w:firstLine="0"/>
        <w:rPr>
          <w:rFonts w:eastAsia="Times New Roman" w:cs="Arial"/>
          <w:lang w:val="es-ES_tradnl" w:eastAsia="es-ES"/>
        </w:rPr>
      </w:pPr>
    </w:p>
    <w:p w14:paraId="0F5FACF2"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647A77A9" w14:textId="77777777" w:rsidR="00DC1896" w:rsidRPr="00E42BEA" w:rsidRDefault="00DC1896" w:rsidP="00DC1896">
      <w:pPr>
        <w:suppressAutoHyphens/>
        <w:spacing w:line="276" w:lineRule="auto"/>
        <w:ind w:firstLine="0"/>
        <w:rPr>
          <w:rFonts w:eastAsia="Times New Roman" w:cs="Arial"/>
          <w:lang w:val="es-ES_tradnl" w:eastAsia="es-ES"/>
        </w:rPr>
      </w:pPr>
    </w:p>
    <w:p w14:paraId="494D6DA1" w14:textId="77777777" w:rsidR="00DC1896" w:rsidRPr="00E42BEA" w:rsidRDefault="00DC1896" w:rsidP="00DC1896">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3A738E28" w14:textId="77777777" w:rsidR="00DC1896" w:rsidRPr="00E42BEA" w:rsidRDefault="00DC1896" w:rsidP="00DC1896">
      <w:pPr>
        <w:suppressAutoHyphens/>
        <w:spacing w:line="276" w:lineRule="auto"/>
        <w:ind w:firstLine="0"/>
        <w:rPr>
          <w:rFonts w:eastAsia="Times New Roman" w:cs="Arial"/>
          <w:lang w:val="es-ES_tradnl" w:eastAsia="es-ES"/>
        </w:rPr>
      </w:pPr>
    </w:p>
    <w:p w14:paraId="7E21781C" w14:textId="77777777" w:rsidR="00DC1896" w:rsidRPr="00E42BEA" w:rsidRDefault="00DC1896" w:rsidP="00DC1896">
      <w:pPr>
        <w:suppressAutoHyphens/>
        <w:spacing w:line="276" w:lineRule="auto"/>
        <w:ind w:firstLine="0"/>
        <w:rPr>
          <w:rFonts w:eastAsia="Times New Roman" w:cs="Arial"/>
          <w:lang w:val="es-ES_tradnl" w:eastAsia="es-ES"/>
        </w:rPr>
      </w:pPr>
    </w:p>
    <w:p w14:paraId="6509B35F" w14:textId="77777777" w:rsidR="00DC1896" w:rsidRPr="00E42BEA" w:rsidRDefault="00DC1896" w:rsidP="00DC1896">
      <w:pPr>
        <w:suppressAutoHyphens/>
        <w:spacing w:line="276" w:lineRule="auto"/>
        <w:ind w:firstLine="0"/>
        <w:rPr>
          <w:rFonts w:eastAsia="Times New Roman" w:cs="Arial"/>
          <w:sz w:val="28"/>
          <w:lang w:val="es-ES_tradnl" w:eastAsia="es-ES"/>
        </w:rPr>
      </w:pPr>
    </w:p>
    <w:p w14:paraId="40331E40" w14:textId="77777777" w:rsidR="00DC1896" w:rsidRPr="00E42BEA" w:rsidRDefault="00DC1896" w:rsidP="00DC1896">
      <w:pPr>
        <w:suppressAutoHyphens/>
        <w:spacing w:line="276" w:lineRule="auto"/>
        <w:ind w:firstLine="0"/>
        <w:rPr>
          <w:rFonts w:eastAsia="Times New Roman" w:cs="Arial"/>
          <w:sz w:val="28"/>
          <w:lang w:val="es-ES_tradnl" w:eastAsia="es-ES"/>
        </w:rPr>
      </w:pPr>
    </w:p>
    <w:p w14:paraId="041C55D2" w14:textId="77777777" w:rsidR="00DC1896" w:rsidRPr="00E42BEA" w:rsidRDefault="00DC1896" w:rsidP="00DC1896">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4E15013A" w14:textId="77777777" w:rsidR="00DC1896" w:rsidRDefault="00DC1896" w:rsidP="00DC1896">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p w14:paraId="16DCE0CB" w14:textId="77777777" w:rsidR="00DC1896" w:rsidRDefault="00DC1896" w:rsidP="00DC1896">
      <w:pPr>
        <w:rPr>
          <w:rFonts w:eastAsia="Calibri" w:cs="Arial"/>
          <w:szCs w:val="22"/>
        </w:rPr>
      </w:pPr>
      <w:r>
        <w:rPr>
          <w:rFonts w:eastAsia="Calibri" w:cs="Arial"/>
          <w:szCs w:val="22"/>
        </w:rPr>
        <w:br w:type="page"/>
      </w:r>
    </w:p>
    <w:p w14:paraId="0CE47044" w14:textId="409F1050" w:rsidR="00DC1EFE" w:rsidRPr="00DC1EFE" w:rsidRDefault="00DC1EFE" w:rsidP="00DC1EFE">
      <w:pPr>
        <w:spacing w:line="240" w:lineRule="auto"/>
        <w:ind w:firstLine="0"/>
        <w:textAlignment w:val="baseline"/>
        <w:rPr>
          <w:rFonts w:eastAsia="Times New Roman" w:cs="Arial"/>
          <w:bCs/>
          <w:sz w:val="20"/>
          <w:lang w:val="es-ES" w:eastAsia="es-CO"/>
        </w:rPr>
      </w:pPr>
      <w:r w:rsidRPr="00DC1EFE">
        <w:rPr>
          <w:rFonts w:eastAsia="Times New Roman" w:cs="Arial"/>
          <w:bCs/>
          <w:sz w:val="20"/>
          <w:lang w:val="es-ES" w:eastAsia="es-CO"/>
        </w:rPr>
        <w:lastRenderedPageBreak/>
        <w:t xml:space="preserve">Providencia: </w:t>
      </w:r>
      <w:bookmarkStart w:id="3" w:name="_GoBack"/>
      <w:bookmarkEnd w:id="3"/>
      <w:r w:rsidRPr="00DC1EFE">
        <w:rPr>
          <w:rFonts w:eastAsia="Times New Roman" w:cs="Arial"/>
          <w:bCs/>
          <w:sz w:val="20"/>
          <w:lang w:val="es-ES" w:eastAsia="es-CO"/>
        </w:rPr>
        <w:tab/>
      </w:r>
      <w:r w:rsidRPr="00DC1EFE">
        <w:rPr>
          <w:rFonts w:eastAsia="Times New Roman" w:cs="Arial"/>
          <w:bCs/>
          <w:sz w:val="20"/>
          <w:lang w:val="es-ES" w:eastAsia="es-CO"/>
        </w:rPr>
        <w:tab/>
        <w:t xml:space="preserve">Sentencia del 07/11/2023 </w:t>
      </w:r>
    </w:p>
    <w:p w14:paraId="32B3AB42" w14:textId="77777777" w:rsidR="00DC1EFE" w:rsidRPr="00DC1EFE" w:rsidRDefault="00DC1EFE" w:rsidP="00DC1EFE">
      <w:pPr>
        <w:spacing w:line="240" w:lineRule="auto"/>
        <w:ind w:firstLine="0"/>
        <w:textAlignment w:val="baseline"/>
        <w:rPr>
          <w:rFonts w:eastAsia="Times New Roman" w:cs="Arial"/>
          <w:bCs/>
          <w:sz w:val="20"/>
          <w:lang w:val="es-ES" w:eastAsia="es-CO"/>
        </w:rPr>
      </w:pPr>
      <w:r w:rsidRPr="00DC1EFE">
        <w:rPr>
          <w:rFonts w:eastAsia="Times New Roman" w:cs="Arial"/>
          <w:bCs/>
          <w:sz w:val="20"/>
          <w:lang w:val="es-ES" w:eastAsia="es-CO"/>
        </w:rPr>
        <w:t>Radicación No.:</w:t>
      </w:r>
      <w:r w:rsidRPr="00DC1EFE">
        <w:rPr>
          <w:rFonts w:eastAsia="Times New Roman" w:cs="Arial"/>
          <w:bCs/>
          <w:sz w:val="20"/>
          <w:lang w:val="es-ES" w:eastAsia="es-CO"/>
        </w:rPr>
        <w:tab/>
      </w:r>
      <w:r w:rsidRPr="00DC1EFE">
        <w:rPr>
          <w:rFonts w:eastAsia="Times New Roman" w:cs="Arial"/>
          <w:bCs/>
          <w:sz w:val="20"/>
          <w:lang w:val="es-ES" w:eastAsia="es-CO"/>
        </w:rPr>
        <w:tab/>
        <w:t>66001-31-05-001-2021-00148-01</w:t>
      </w:r>
    </w:p>
    <w:p w14:paraId="31BDD28D" w14:textId="3141937F" w:rsidR="00DC1EFE" w:rsidRPr="00DC1EFE" w:rsidRDefault="00DC1EFE" w:rsidP="00DC1EFE">
      <w:pPr>
        <w:spacing w:line="240" w:lineRule="auto"/>
        <w:ind w:firstLine="0"/>
        <w:textAlignment w:val="baseline"/>
        <w:rPr>
          <w:rFonts w:eastAsia="Times New Roman" w:cs="Arial"/>
          <w:bCs/>
          <w:sz w:val="20"/>
          <w:lang w:val="es-ES" w:eastAsia="es-CO"/>
        </w:rPr>
      </w:pPr>
      <w:r w:rsidRPr="00DC1EFE">
        <w:rPr>
          <w:rFonts w:eastAsia="Times New Roman" w:cs="Arial"/>
          <w:bCs/>
          <w:sz w:val="20"/>
          <w:lang w:val="es-ES" w:eastAsia="es-CO"/>
        </w:rPr>
        <w:t>Proceso:</w:t>
      </w:r>
      <w:r w:rsidRPr="00DC1EFE">
        <w:rPr>
          <w:rFonts w:eastAsia="Times New Roman" w:cs="Arial"/>
          <w:bCs/>
          <w:sz w:val="20"/>
          <w:lang w:val="es-ES" w:eastAsia="es-CO"/>
        </w:rPr>
        <w:tab/>
      </w:r>
      <w:r w:rsidRPr="00DC1EFE">
        <w:rPr>
          <w:rFonts w:eastAsia="Times New Roman" w:cs="Arial"/>
          <w:bCs/>
          <w:sz w:val="20"/>
          <w:lang w:val="es-ES" w:eastAsia="es-CO"/>
        </w:rPr>
        <w:tab/>
        <w:t xml:space="preserve">Ordinario laboral  </w:t>
      </w:r>
    </w:p>
    <w:p w14:paraId="5A434150" w14:textId="3BC43F16" w:rsidR="00DC1EFE" w:rsidRPr="00DC1EFE" w:rsidRDefault="00DC1EFE" w:rsidP="00DC1EFE">
      <w:pPr>
        <w:spacing w:line="240" w:lineRule="auto"/>
        <w:ind w:firstLine="0"/>
        <w:textAlignment w:val="baseline"/>
        <w:rPr>
          <w:rFonts w:eastAsia="Times New Roman" w:cs="Arial"/>
          <w:bCs/>
          <w:sz w:val="20"/>
          <w:lang w:val="es-ES" w:eastAsia="es-CO"/>
        </w:rPr>
      </w:pPr>
      <w:r w:rsidRPr="00DC1EFE">
        <w:rPr>
          <w:rFonts w:eastAsia="Times New Roman" w:cs="Arial"/>
          <w:bCs/>
          <w:sz w:val="20"/>
          <w:lang w:val="es-ES" w:eastAsia="es-CO"/>
        </w:rPr>
        <w:t>Demandante:</w:t>
      </w:r>
      <w:r w:rsidRPr="00DC1EFE">
        <w:rPr>
          <w:rFonts w:eastAsia="Times New Roman" w:cs="Arial"/>
          <w:bCs/>
          <w:sz w:val="20"/>
          <w:lang w:val="es-ES" w:eastAsia="es-CO"/>
        </w:rPr>
        <w:tab/>
      </w:r>
      <w:r w:rsidRPr="00DC1EFE">
        <w:rPr>
          <w:rFonts w:eastAsia="Times New Roman" w:cs="Arial"/>
          <w:bCs/>
          <w:sz w:val="20"/>
          <w:lang w:val="es-ES" w:eastAsia="es-CO"/>
        </w:rPr>
        <w:tab/>
        <w:t>Carlos Alberto Álzate Giraldo</w:t>
      </w:r>
    </w:p>
    <w:p w14:paraId="612D8EF3" w14:textId="72B5018F" w:rsidR="00DC1EFE" w:rsidRPr="00DC1EFE" w:rsidRDefault="00DC1EFE" w:rsidP="00DC1EFE">
      <w:pPr>
        <w:spacing w:line="240" w:lineRule="auto"/>
        <w:ind w:firstLine="0"/>
        <w:textAlignment w:val="baseline"/>
        <w:rPr>
          <w:rFonts w:eastAsia="Times New Roman" w:cs="Arial"/>
          <w:bCs/>
          <w:sz w:val="20"/>
          <w:lang w:val="es-ES" w:eastAsia="es-CO"/>
        </w:rPr>
      </w:pPr>
      <w:r w:rsidRPr="00DC1EFE">
        <w:rPr>
          <w:rFonts w:eastAsia="Times New Roman" w:cs="Arial"/>
          <w:bCs/>
          <w:sz w:val="20"/>
          <w:lang w:val="es-ES" w:eastAsia="es-CO"/>
        </w:rPr>
        <w:t>Demandado:</w:t>
      </w:r>
      <w:r w:rsidRPr="00DC1EFE">
        <w:rPr>
          <w:rFonts w:eastAsia="Times New Roman" w:cs="Arial"/>
          <w:bCs/>
          <w:sz w:val="20"/>
          <w:lang w:val="es-ES" w:eastAsia="es-CO"/>
        </w:rPr>
        <w:tab/>
      </w:r>
      <w:r>
        <w:rPr>
          <w:rFonts w:eastAsia="Times New Roman" w:cs="Arial"/>
          <w:bCs/>
          <w:sz w:val="20"/>
          <w:lang w:val="es-ES" w:eastAsia="es-CO"/>
        </w:rPr>
        <w:tab/>
      </w:r>
      <w:r w:rsidRPr="00DC1EFE">
        <w:rPr>
          <w:rFonts w:eastAsia="Times New Roman" w:cs="Arial"/>
          <w:bCs/>
          <w:sz w:val="20"/>
          <w:lang w:val="es-ES" w:eastAsia="es-CO"/>
        </w:rPr>
        <w:t>Colpensiones y Porvenir S.A.</w:t>
      </w:r>
    </w:p>
    <w:p w14:paraId="2BD1E7E8" w14:textId="77777777" w:rsidR="00DC1EFE" w:rsidRPr="00DC1EFE" w:rsidRDefault="00DC1EFE" w:rsidP="00DC1EFE">
      <w:pPr>
        <w:spacing w:line="240" w:lineRule="auto"/>
        <w:ind w:firstLine="0"/>
        <w:textAlignment w:val="baseline"/>
        <w:rPr>
          <w:rFonts w:eastAsia="Times New Roman" w:cs="Arial"/>
          <w:bCs/>
          <w:sz w:val="20"/>
          <w:lang w:val="es-ES" w:eastAsia="es-CO"/>
        </w:rPr>
      </w:pPr>
      <w:r w:rsidRPr="00DC1EFE">
        <w:rPr>
          <w:rFonts w:eastAsia="Times New Roman" w:cs="Arial"/>
          <w:bCs/>
          <w:sz w:val="20"/>
          <w:lang w:val="es-ES" w:eastAsia="es-CO"/>
        </w:rPr>
        <w:t xml:space="preserve">Magistrado ponente: </w:t>
      </w:r>
      <w:r w:rsidRPr="00DC1EFE">
        <w:rPr>
          <w:rFonts w:eastAsia="Times New Roman" w:cs="Arial"/>
          <w:bCs/>
          <w:sz w:val="20"/>
          <w:lang w:val="es-ES" w:eastAsia="es-CO"/>
        </w:rPr>
        <w:tab/>
        <w:t xml:space="preserve">Dr. German Darío </w:t>
      </w:r>
      <w:proofErr w:type="spellStart"/>
      <w:r w:rsidRPr="00DC1EFE">
        <w:rPr>
          <w:rFonts w:eastAsia="Times New Roman" w:cs="Arial"/>
          <w:bCs/>
          <w:sz w:val="20"/>
          <w:lang w:val="es-ES" w:eastAsia="es-CO"/>
        </w:rPr>
        <w:t>Góez</w:t>
      </w:r>
      <w:proofErr w:type="spellEnd"/>
      <w:r w:rsidRPr="00DC1EFE">
        <w:rPr>
          <w:rFonts w:eastAsia="Times New Roman" w:cs="Arial"/>
          <w:bCs/>
          <w:sz w:val="20"/>
          <w:lang w:val="es-ES" w:eastAsia="es-CO"/>
        </w:rPr>
        <w:t xml:space="preserve"> </w:t>
      </w:r>
      <w:proofErr w:type="spellStart"/>
      <w:r w:rsidRPr="00DC1EFE">
        <w:rPr>
          <w:rFonts w:eastAsia="Times New Roman" w:cs="Arial"/>
          <w:bCs/>
          <w:sz w:val="20"/>
          <w:lang w:val="es-ES" w:eastAsia="es-CO"/>
        </w:rPr>
        <w:t>Vinasco</w:t>
      </w:r>
      <w:proofErr w:type="spellEnd"/>
      <w:r w:rsidRPr="00DC1EFE">
        <w:rPr>
          <w:rFonts w:eastAsia="Times New Roman" w:cs="Arial"/>
          <w:bCs/>
          <w:sz w:val="20"/>
          <w:lang w:val="es-ES" w:eastAsia="es-CO"/>
        </w:rPr>
        <w:t xml:space="preserve"> </w:t>
      </w:r>
    </w:p>
    <w:p w14:paraId="5051CEB2" w14:textId="2509D199" w:rsidR="00DC1896" w:rsidRPr="004A4BC3" w:rsidRDefault="00DC1EFE" w:rsidP="00DC1EFE">
      <w:pPr>
        <w:spacing w:line="240" w:lineRule="auto"/>
        <w:ind w:firstLine="0"/>
        <w:textAlignment w:val="baseline"/>
        <w:rPr>
          <w:rFonts w:eastAsia="Times New Roman" w:cs="Arial"/>
          <w:lang w:val="es-ES" w:eastAsia="es-CO"/>
        </w:rPr>
      </w:pPr>
      <w:r w:rsidRPr="00DC1EFE">
        <w:rPr>
          <w:rFonts w:eastAsia="Times New Roman" w:cs="Arial"/>
          <w:bCs/>
          <w:sz w:val="20"/>
          <w:lang w:val="es-ES" w:eastAsia="es-CO"/>
        </w:rPr>
        <w:t xml:space="preserve">Tema: </w:t>
      </w:r>
      <w:r w:rsidRPr="00DC1EFE">
        <w:rPr>
          <w:rFonts w:eastAsia="Times New Roman" w:cs="Arial"/>
          <w:bCs/>
          <w:sz w:val="20"/>
          <w:lang w:val="es-ES" w:eastAsia="es-CO"/>
        </w:rPr>
        <w:tab/>
      </w:r>
      <w:r w:rsidRPr="00DC1EFE">
        <w:rPr>
          <w:rFonts w:eastAsia="Times New Roman" w:cs="Arial"/>
          <w:bCs/>
          <w:sz w:val="20"/>
          <w:lang w:val="es-ES" w:eastAsia="es-CO"/>
        </w:rPr>
        <w:tab/>
      </w:r>
      <w:r>
        <w:rPr>
          <w:rFonts w:eastAsia="Times New Roman" w:cs="Arial"/>
          <w:bCs/>
          <w:sz w:val="20"/>
          <w:lang w:val="es-ES" w:eastAsia="es-CO"/>
        </w:rPr>
        <w:tab/>
      </w:r>
      <w:r w:rsidRPr="00DC1EFE">
        <w:rPr>
          <w:rFonts w:eastAsia="Times New Roman" w:cs="Arial"/>
          <w:bCs/>
          <w:sz w:val="20"/>
          <w:lang w:val="es-ES" w:eastAsia="es-CO"/>
        </w:rPr>
        <w:t xml:space="preserve">Ineficacia de afiliación  </w:t>
      </w:r>
    </w:p>
    <w:p w14:paraId="6D73590E" w14:textId="77777777" w:rsidR="00DC1896" w:rsidRPr="004A4BC3" w:rsidRDefault="00DC1896" w:rsidP="00DC1896">
      <w:pPr>
        <w:spacing w:line="240" w:lineRule="auto"/>
        <w:ind w:firstLine="0"/>
        <w:textAlignment w:val="baseline"/>
        <w:rPr>
          <w:rFonts w:ascii="Times New Roman" w:eastAsia="Times New Roman" w:hAnsi="Times New Roman" w:cs="Times New Roman"/>
          <w:bCs/>
          <w:lang w:val="es-ES" w:eastAsia="es-CO"/>
        </w:rPr>
      </w:pPr>
    </w:p>
    <w:p w14:paraId="7D2C587B" w14:textId="77777777" w:rsidR="00DC1896" w:rsidRPr="004A4BC3" w:rsidRDefault="00DC1896" w:rsidP="00DC1896">
      <w:pPr>
        <w:spacing w:line="240" w:lineRule="auto"/>
        <w:ind w:firstLine="0"/>
        <w:textAlignment w:val="baseline"/>
        <w:rPr>
          <w:rFonts w:eastAsia="Times New Roman" w:cs="Arial"/>
          <w:sz w:val="20"/>
          <w:lang w:eastAsia="es-CO"/>
        </w:rPr>
      </w:pPr>
    </w:p>
    <w:p w14:paraId="294B6431" w14:textId="77777777" w:rsidR="00DC1896" w:rsidRPr="004A4BC3" w:rsidRDefault="00DC1896" w:rsidP="00DC1896">
      <w:pPr>
        <w:spacing w:line="240" w:lineRule="auto"/>
        <w:ind w:firstLine="0"/>
        <w:textAlignment w:val="baseline"/>
        <w:rPr>
          <w:rFonts w:eastAsia="Times New Roman" w:cs="Arial"/>
          <w:sz w:val="20"/>
          <w:lang w:eastAsia="es-CO"/>
        </w:rPr>
      </w:pPr>
    </w:p>
    <w:p w14:paraId="4C4F68DE" w14:textId="77777777" w:rsidR="00DC1896" w:rsidRPr="004A4BC3" w:rsidRDefault="00DC1896" w:rsidP="00DC1896">
      <w:pPr>
        <w:keepNext/>
        <w:spacing w:line="312" w:lineRule="auto"/>
        <w:ind w:firstLine="0"/>
        <w:jc w:val="center"/>
        <w:outlineLvl w:val="2"/>
        <w:rPr>
          <w:rFonts w:eastAsia="Times New Roman" w:cs="Arial"/>
          <w:b/>
          <w:lang w:val="es-ES_tradnl" w:eastAsia="es-ES"/>
        </w:rPr>
      </w:pPr>
      <w:r w:rsidRPr="004A4BC3">
        <w:rPr>
          <w:rFonts w:eastAsia="Times New Roman" w:cs="Arial"/>
          <w:b/>
          <w:lang w:val="es-ES_tradnl" w:eastAsia="es-ES"/>
        </w:rPr>
        <w:t>TRIBUNAL SUPERIOR DEL DISTRITO JUDICIAL</w:t>
      </w:r>
    </w:p>
    <w:p w14:paraId="1D76E7EA" w14:textId="77777777" w:rsidR="00DC1896" w:rsidRPr="004A4BC3" w:rsidRDefault="00DC1896" w:rsidP="00DC1896">
      <w:pPr>
        <w:spacing w:line="312" w:lineRule="auto"/>
        <w:ind w:firstLine="0"/>
        <w:jc w:val="center"/>
        <w:rPr>
          <w:rFonts w:eastAsia="Calibri" w:cs="Arial"/>
          <w:b/>
        </w:rPr>
      </w:pPr>
      <w:r w:rsidRPr="004A4BC3">
        <w:rPr>
          <w:rFonts w:eastAsia="Calibri" w:cs="Arial"/>
          <w:b/>
        </w:rPr>
        <w:t>SALA LABORAL</w:t>
      </w:r>
    </w:p>
    <w:p w14:paraId="75ABB89F" w14:textId="77777777" w:rsidR="00DC1896" w:rsidRPr="004A4BC3" w:rsidRDefault="00DC1896" w:rsidP="00DC1896">
      <w:pPr>
        <w:spacing w:line="312" w:lineRule="auto"/>
        <w:ind w:firstLine="0"/>
        <w:jc w:val="center"/>
        <w:rPr>
          <w:rFonts w:eastAsia="Times New Roman" w:cs="Arial"/>
          <w:b/>
          <w:lang w:val="es-ES_tradnl" w:eastAsia="es-ES"/>
        </w:rPr>
      </w:pPr>
      <w:r w:rsidRPr="004A4BC3">
        <w:rPr>
          <w:rFonts w:eastAsia="Times New Roman" w:cs="Arial"/>
          <w:b/>
          <w:lang w:val="es-ES_tradnl" w:eastAsia="es-ES"/>
        </w:rPr>
        <w:t>MAGISTRADA: OLGA LUCIA HOYOS SEPÚLVEDA</w:t>
      </w:r>
    </w:p>
    <w:p w14:paraId="57D6A9F1" w14:textId="77777777" w:rsidR="00DC1896" w:rsidRPr="004A4BC3" w:rsidRDefault="00DC1896" w:rsidP="00DC1896">
      <w:pPr>
        <w:spacing w:line="312" w:lineRule="auto"/>
        <w:ind w:firstLine="0"/>
        <w:jc w:val="left"/>
        <w:rPr>
          <w:rFonts w:eastAsia="Times New Roman" w:cs="Arial"/>
          <w:b/>
          <w:lang w:val="es-ES_tradnl" w:eastAsia="es-ES"/>
        </w:rPr>
      </w:pPr>
    </w:p>
    <w:p w14:paraId="614257E4" w14:textId="77777777" w:rsidR="00DC1896" w:rsidRPr="004A4BC3" w:rsidRDefault="00DC1896" w:rsidP="00DC1896">
      <w:pPr>
        <w:spacing w:line="312" w:lineRule="auto"/>
        <w:ind w:firstLine="0"/>
        <w:jc w:val="left"/>
        <w:textAlignment w:val="baseline"/>
        <w:rPr>
          <w:rFonts w:eastAsia="Times New Roman" w:cs="Arial"/>
          <w:lang w:val="es-ES_tradnl" w:eastAsia="es-CO"/>
        </w:rPr>
      </w:pPr>
    </w:p>
    <w:p w14:paraId="4932C1C2" w14:textId="77777777" w:rsidR="00DC1896" w:rsidRPr="004A4BC3" w:rsidRDefault="00DC1896" w:rsidP="00DC1896">
      <w:pPr>
        <w:spacing w:line="312" w:lineRule="auto"/>
        <w:ind w:firstLine="0"/>
        <w:jc w:val="center"/>
        <w:textAlignment w:val="baseline"/>
        <w:rPr>
          <w:rFonts w:eastAsia="Times New Roman" w:cs="Arial"/>
          <w:lang w:eastAsia="es-CO"/>
        </w:rPr>
      </w:pPr>
      <w:r w:rsidRPr="004A4BC3">
        <w:rPr>
          <w:rFonts w:eastAsia="Times New Roman" w:cs="Arial"/>
          <w:b/>
          <w:bCs/>
          <w:u w:val="single"/>
          <w:lang w:val="es-ES" w:eastAsia="es-CO"/>
        </w:rPr>
        <w:t>ACLARACIÓN DE VOTO</w:t>
      </w:r>
    </w:p>
    <w:p w14:paraId="3B4019F3" w14:textId="77777777" w:rsidR="00DC1896" w:rsidRPr="004A4BC3" w:rsidRDefault="00DC1896" w:rsidP="00DC1896">
      <w:pPr>
        <w:shd w:val="clear" w:color="auto" w:fill="FFFFFF"/>
        <w:spacing w:line="312" w:lineRule="auto"/>
        <w:ind w:firstLine="0"/>
        <w:jc w:val="left"/>
        <w:textAlignment w:val="baseline"/>
        <w:rPr>
          <w:rFonts w:eastAsia="Times New Roman" w:cs="Arial"/>
          <w:color w:val="000000"/>
          <w:lang w:eastAsia="es-CO"/>
        </w:rPr>
      </w:pPr>
    </w:p>
    <w:p w14:paraId="25305D64" w14:textId="77777777" w:rsidR="00DC1896" w:rsidRPr="004A4BC3" w:rsidRDefault="00DC1896" w:rsidP="00DC1896">
      <w:pPr>
        <w:shd w:val="clear" w:color="auto" w:fill="FFFFFF"/>
        <w:spacing w:line="312" w:lineRule="auto"/>
        <w:ind w:firstLine="0"/>
        <w:jc w:val="left"/>
        <w:textAlignment w:val="baseline"/>
        <w:rPr>
          <w:rFonts w:eastAsia="Times New Roman" w:cs="Arial"/>
          <w:lang w:eastAsia="es-CO"/>
        </w:rPr>
      </w:pPr>
    </w:p>
    <w:p w14:paraId="4B7B7E33" w14:textId="77777777" w:rsidR="00DC1896" w:rsidRPr="004A4BC3" w:rsidRDefault="00DC1896" w:rsidP="00DC1896">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Como es conocido por la sala que integro y únicamente con ocasión a la sentencia de tutela de primer grado emitida por la Sala Laboral de la Corte Suprema de Justicia </w:t>
      </w:r>
      <w:proofErr w:type="spellStart"/>
      <w:r w:rsidRPr="004A4BC3">
        <w:rPr>
          <w:rFonts w:eastAsia="Times New Roman" w:cs="Arial"/>
          <w:szCs w:val="23"/>
          <w:lang w:val="es-ES" w:eastAsia="es-CO"/>
        </w:rPr>
        <w:t>STL4759</w:t>
      </w:r>
      <w:proofErr w:type="spellEnd"/>
      <w:r w:rsidRPr="004A4BC3">
        <w:rPr>
          <w:rFonts w:eastAsia="Times New Roman" w:cs="Arial"/>
          <w:szCs w:val="23"/>
          <w:lang w:val="es-ES" w:eastAsia="es-CO"/>
        </w:rPr>
        <w:t xml:space="preserve">-2020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w:t>
      </w:r>
      <w:proofErr w:type="spellStart"/>
      <w:r w:rsidRPr="004A4BC3">
        <w:rPr>
          <w:rFonts w:eastAsia="Times New Roman" w:cs="Arial"/>
          <w:szCs w:val="23"/>
          <w:lang w:val="es-ES" w:eastAsia="es-CO"/>
        </w:rPr>
        <w:t>RAIS</w:t>
      </w:r>
      <w:proofErr w:type="spellEnd"/>
      <w:r w:rsidRPr="004A4BC3">
        <w:rPr>
          <w:rFonts w:eastAsia="Times New Roman" w:cs="Arial"/>
          <w:szCs w:val="23"/>
          <w:lang w:val="es-ES" w:eastAsia="es-CO"/>
        </w:rPr>
        <w:t>, y debido al grado jurisdiccional de consulta a favor de Colpensiones, se han adicionado, en algunos casos, las decisiones de primer grado para adecuar la devolución de dineros que la AFP debe realizar a Colpensiones.</w:t>
      </w:r>
    </w:p>
    <w:p w14:paraId="5BA53F32" w14:textId="77777777" w:rsidR="00DC1896" w:rsidRPr="004A4BC3" w:rsidRDefault="00DC1896" w:rsidP="00DC1896">
      <w:pPr>
        <w:spacing w:line="312" w:lineRule="auto"/>
        <w:ind w:firstLine="0"/>
        <w:textAlignment w:val="baseline"/>
        <w:rPr>
          <w:rFonts w:eastAsia="Times New Roman" w:cs="Arial"/>
          <w:szCs w:val="23"/>
          <w:lang w:eastAsia="es-CO"/>
        </w:rPr>
      </w:pPr>
    </w:p>
    <w:p w14:paraId="6D7644BE" w14:textId="77777777" w:rsidR="00DC1896" w:rsidRPr="004A4BC3" w:rsidRDefault="00DC1896" w:rsidP="00DC1896">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6D381638" w14:textId="77777777" w:rsidR="00DC1896" w:rsidRPr="004A4BC3" w:rsidRDefault="00DC1896" w:rsidP="00DC1896">
      <w:pPr>
        <w:spacing w:line="312" w:lineRule="auto"/>
        <w:ind w:firstLine="0"/>
        <w:jc w:val="left"/>
        <w:textAlignment w:val="baseline"/>
        <w:rPr>
          <w:rFonts w:eastAsia="Times New Roman" w:cs="Arial"/>
          <w:szCs w:val="23"/>
          <w:lang w:eastAsia="es-CO"/>
        </w:rPr>
      </w:pPr>
    </w:p>
    <w:p w14:paraId="1BB96373" w14:textId="77777777" w:rsidR="00DC1896" w:rsidRPr="004A4BC3" w:rsidRDefault="00DC1896" w:rsidP="00DC1896">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4A4BC3">
        <w:rPr>
          <w:rFonts w:eastAsia="Times New Roman" w:cs="Arial"/>
          <w:szCs w:val="23"/>
          <w:lang w:val="es-ES" w:eastAsia="es-CO"/>
        </w:rPr>
        <w:lastRenderedPageBreak/>
        <w:t>calidad, como la única persona que puede infringir o coartar los derechos de libre escogencia del trabajador afiliado.</w:t>
      </w:r>
    </w:p>
    <w:p w14:paraId="3228E50E" w14:textId="77777777" w:rsidR="00DC1896" w:rsidRPr="004A4BC3" w:rsidRDefault="00DC1896" w:rsidP="00DC1896">
      <w:pPr>
        <w:spacing w:line="312" w:lineRule="auto"/>
        <w:ind w:firstLine="0"/>
        <w:textAlignment w:val="baseline"/>
        <w:rPr>
          <w:rFonts w:eastAsia="Times New Roman" w:cs="Arial"/>
          <w:szCs w:val="23"/>
          <w:lang w:eastAsia="es-CO"/>
        </w:rPr>
      </w:pPr>
      <w:r w:rsidRPr="004A4BC3">
        <w:rPr>
          <w:rFonts w:eastAsia="Times New Roman" w:cs="Arial"/>
          <w:szCs w:val="23"/>
          <w:lang w:eastAsia="es-CO"/>
        </w:rPr>
        <w:t xml:space="preserve"> </w:t>
      </w:r>
    </w:p>
    <w:p w14:paraId="65E81F5A"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w:t>
      </w:r>
      <w:proofErr w:type="spellStart"/>
      <w:r w:rsidRPr="004A4BC3">
        <w:rPr>
          <w:rFonts w:eastAsia="Times New Roman" w:cs="Arial"/>
          <w:szCs w:val="23"/>
          <w:lang w:val="es-ES" w:eastAsia="es-CO"/>
        </w:rPr>
        <w:t>C.Po</w:t>
      </w:r>
      <w:proofErr w:type="spellEnd"/>
      <w:r w:rsidRPr="004A4BC3">
        <w:rPr>
          <w:rFonts w:eastAsia="Times New Roman" w:cs="Arial"/>
          <w:szCs w:val="23"/>
          <w:lang w:val="es-ES" w:eastAsia="es-CO"/>
        </w:rPr>
        <w:t>.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4A4BC3">
        <w:rPr>
          <w:rFonts w:eastAsia="Times New Roman" w:cs="Arial"/>
          <w:b/>
          <w:bCs/>
          <w:szCs w:val="23"/>
          <w:lang w:val="es-ES" w:eastAsia="es-CO"/>
        </w:rPr>
        <w:t>tácitamente</w:t>
      </w:r>
      <w:r w:rsidRPr="004A4BC3">
        <w:rPr>
          <w:rFonts w:eastAsia="Times New Roman" w:cs="Arial"/>
          <w:szCs w:val="23"/>
          <w:lang w:val="es-ES" w:eastAsia="es-CO"/>
        </w:rPr>
        <w:t> a la AFP, pues de haber querido regular su comportamiento, explícitamente lo hubiera incluido como infractor de tal norma, pero no lo hizo.</w:t>
      </w:r>
    </w:p>
    <w:p w14:paraId="1507B4A9"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p>
    <w:p w14:paraId="63AA7FA0"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1EEEFADD" w14:textId="77777777" w:rsidR="00DC1896" w:rsidRPr="004A4BC3" w:rsidRDefault="00DC1896" w:rsidP="00DC1896">
      <w:pPr>
        <w:spacing w:line="312" w:lineRule="auto"/>
        <w:ind w:firstLine="0"/>
        <w:jc w:val="left"/>
        <w:textAlignment w:val="baseline"/>
        <w:rPr>
          <w:rFonts w:eastAsia="Times New Roman" w:cs="Arial"/>
          <w:szCs w:val="23"/>
          <w:lang w:eastAsia="es-CO"/>
        </w:rPr>
      </w:pPr>
      <w:r w:rsidRPr="004A4BC3">
        <w:rPr>
          <w:rFonts w:eastAsia="Times New Roman" w:cs="Arial"/>
          <w:szCs w:val="23"/>
          <w:lang w:val="es-ES" w:eastAsia="es-CO"/>
        </w:rPr>
        <w:t> </w:t>
      </w:r>
      <w:r w:rsidRPr="004A4BC3">
        <w:rPr>
          <w:rFonts w:eastAsia="Times New Roman" w:cs="Arial"/>
          <w:szCs w:val="23"/>
          <w:lang w:eastAsia="es-CO"/>
        </w:rPr>
        <w:t>   </w:t>
      </w:r>
    </w:p>
    <w:p w14:paraId="511AACAD" w14:textId="77777777" w:rsidR="00DC1896" w:rsidRPr="004A4BC3" w:rsidRDefault="00DC1896" w:rsidP="00DC1896">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075F5220" w14:textId="77777777" w:rsidR="00DC1896" w:rsidRPr="004A4BC3" w:rsidRDefault="00DC1896" w:rsidP="00DC1896">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w:t>
      </w:r>
      <w:r w:rsidRPr="004A4BC3">
        <w:rPr>
          <w:rFonts w:eastAsia="Times New Roman" w:cs="Arial"/>
          <w:szCs w:val="23"/>
          <w:lang w:eastAsia="es-CO"/>
        </w:rPr>
        <w:t>   </w:t>
      </w:r>
    </w:p>
    <w:p w14:paraId="6EDE50F7"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El precedente o doctrina probable de la Sala Laboral de la Corte Suprema de Justicia trasgrede la cláusula constitucional 90 y los artículos 2341 y 2343 del Código Civil, porque </w:t>
      </w:r>
      <w:r w:rsidRPr="004A4BC3">
        <w:rPr>
          <w:rFonts w:eastAsia="Times New Roman" w:cs="Arial"/>
          <w:i/>
          <w:iCs/>
          <w:szCs w:val="23"/>
          <w:lang w:val="es-ES" w:eastAsia="es-CO"/>
        </w:rPr>
        <w:t>“el Estado únicamente responderá patrimonialmente por los daños antijurídicos que le sean imputables, causados por la acción o la omisión de las autoridades públicas”,</w:t>
      </w:r>
      <w:r w:rsidRPr="004A4BC3">
        <w:rPr>
          <w:rFonts w:eastAsia="Times New Roman" w:cs="Arial"/>
          <w:szCs w:val="23"/>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61D50E89"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p>
    <w:p w14:paraId="459B92E2" w14:textId="77777777" w:rsidR="00DC1896" w:rsidRPr="004A4BC3" w:rsidRDefault="00DC1896" w:rsidP="00DC1896">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7C5EBE44"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eastAsia="es-CO"/>
        </w:rPr>
        <w:t> </w:t>
      </w:r>
    </w:p>
    <w:p w14:paraId="59B6328F"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lastRenderedPageBreak/>
        <w:t xml:space="preserve">En conclusión, considero que otro es el camino que debe abrirse para efectos de resolver los procesos tendientes a obtener la ineficacia de afiliación al </w:t>
      </w:r>
      <w:proofErr w:type="spellStart"/>
      <w:r w:rsidRPr="004A4BC3">
        <w:rPr>
          <w:rFonts w:eastAsia="Times New Roman" w:cs="Arial"/>
          <w:szCs w:val="23"/>
          <w:lang w:val="es-ES" w:eastAsia="es-CO"/>
        </w:rPr>
        <w:t>RAIS</w:t>
      </w:r>
      <w:proofErr w:type="spellEnd"/>
      <w:r w:rsidRPr="004A4BC3">
        <w:rPr>
          <w:rFonts w:eastAsia="Times New Roman" w:cs="Arial"/>
          <w:szCs w:val="23"/>
          <w:lang w:val="es-ES" w:eastAsia="es-CO"/>
        </w:rPr>
        <w:t xml:space="preserve"> y por ello, válido es memorar la aclaración de voto realizada por el Magistrado de la Sala Laboral de la Corte Suprema de Justicia, </w:t>
      </w:r>
      <w:r w:rsidRPr="004A4BC3">
        <w:rPr>
          <w:rFonts w:eastAsia="Times New Roman" w:cs="Arial"/>
          <w:b/>
          <w:bCs/>
          <w:szCs w:val="23"/>
          <w:lang w:val="es-ES" w:eastAsia="es-CO"/>
        </w:rPr>
        <w:t>LUIS BENEDICTO HERRERA DÍAZ, </w:t>
      </w:r>
      <w:r w:rsidRPr="004A4BC3">
        <w:rPr>
          <w:rFonts w:eastAsia="Times New Roman" w:cs="Arial"/>
          <w:szCs w:val="23"/>
          <w:lang w:val="es-ES" w:eastAsia="es-CO"/>
        </w:rPr>
        <w:t xml:space="preserve">dentro del proceso No. 57458, </w:t>
      </w:r>
      <w:r w:rsidRPr="004A4BC3">
        <w:rPr>
          <w:rFonts w:eastAsia="Times New Roman" w:cs="Arial"/>
          <w:color w:val="000000"/>
          <w:szCs w:val="23"/>
          <w:lang w:val="es-ES" w:eastAsia="es-CO"/>
        </w:rPr>
        <w:t>que resulta atemporal y en ese sentido pertinente para discurrir sobre el principio de independencia judicial en relación a cualquier asunto bajo análisis,</w:t>
      </w:r>
      <w:r w:rsidRPr="004A4BC3">
        <w:rPr>
          <w:rFonts w:eastAsia="Times New Roman" w:cs="Arial"/>
          <w:szCs w:val="23"/>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4A4BC3">
        <w:rPr>
          <w:rFonts w:eastAsia="Times New Roman" w:cs="Arial"/>
          <w:szCs w:val="23"/>
          <w:lang w:eastAsia="es-CO"/>
        </w:rPr>
        <w:t> </w:t>
      </w:r>
    </w:p>
    <w:p w14:paraId="3DBE7B88"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p>
    <w:p w14:paraId="4F95D33E" w14:textId="77777777" w:rsidR="00DC1896" w:rsidRPr="004A4BC3" w:rsidRDefault="00DC1896" w:rsidP="00DC1896">
      <w:pPr>
        <w:shd w:val="clear" w:color="auto" w:fill="FFFFFF"/>
        <w:spacing w:line="312" w:lineRule="auto"/>
        <w:ind w:firstLine="0"/>
        <w:textAlignment w:val="baseline"/>
        <w:rPr>
          <w:rFonts w:eastAsia="Times New Roman" w:cs="Arial"/>
          <w:szCs w:val="23"/>
          <w:lang w:eastAsia="es-CO"/>
        </w:rPr>
      </w:pPr>
    </w:p>
    <w:p w14:paraId="41D5CC43" w14:textId="77777777" w:rsidR="00DC1896" w:rsidRPr="004A4BC3" w:rsidRDefault="00DC1896" w:rsidP="00DC1896">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estos términos aclaro mi voto,</w:t>
      </w:r>
      <w:r w:rsidRPr="004A4BC3">
        <w:rPr>
          <w:rFonts w:eastAsia="Times New Roman" w:cs="Arial"/>
          <w:szCs w:val="23"/>
          <w:lang w:eastAsia="es-CO"/>
        </w:rPr>
        <w:t>   </w:t>
      </w:r>
    </w:p>
    <w:p w14:paraId="4209FEE8" w14:textId="77777777" w:rsidR="00DC1896" w:rsidRPr="004A4BC3" w:rsidRDefault="00DC1896" w:rsidP="00DC1896">
      <w:pPr>
        <w:spacing w:line="312" w:lineRule="auto"/>
        <w:ind w:firstLine="0"/>
        <w:textAlignment w:val="baseline"/>
        <w:rPr>
          <w:rFonts w:eastAsia="Times New Roman" w:cs="Arial"/>
          <w:szCs w:val="23"/>
          <w:lang w:eastAsia="es-CO"/>
        </w:rPr>
      </w:pPr>
    </w:p>
    <w:p w14:paraId="1484D896" w14:textId="77777777" w:rsidR="00DC1896" w:rsidRPr="004A4BC3" w:rsidRDefault="00DC1896" w:rsidP="00DC1896">
      <w:pPr>
        <w:spacing w:line="312" w:lineRule="auto"/>
        <w:ind w:firstLine="0"/>
        <w:textAlignment w:val="baseline"/>
        <w:rPr>
          <w:rFonts w:eastAsia="Times New Roman" w:cs="Arial"/>
          <w:szCs w:val="23"/>
          <w:lang w:eastAsia="es-CO"/>
        </w:rPr>
      </w:pPr>
    </w:p>
    <w:p w14:paraId="47759EDA" w14:textId="77777777" w:rsidR="00DC1896" w:rsidRPr="004A4BC3" w:rsidRDefault="00DC1896" w:rsidP="00DC1896">
      <w:pPr>
        <w:spacing w:line="312" w:lineRule="auto"/>
        <w:ind w:firstLine="0"/>
        <w:textAlignment w:val="baseline"/>
        <w:rPr>
          <w:rFonts w:eastAsia="Times New Roman" w:cs="Arial"/>
          <w:szCs w:val="23"/>
          <w:lang w:eastAsia="es-CO"/>
        </w:rPr>
      </w:pPr>
    </w:p>
    <w:p w14:paraId="065BD90E" w14:textId="77777777" w:rsidR="00DC1896" w:rsidRPr="004A4BC3" w:rsidRDefault="00DC1896" w:rsidP="00DC1896">
      <w:pPr>
        <w:spacing w:line="312" w:lineRule="auto"/>
        <w:ind w:firstLine="0"/>
        <w:textAlignment w:val="baseline"/>
        <w:rPr>
          <w:rFonts w:eastAsia="Times New Roman" w:cs="Arial"/>
          <w:szCs w:val="23"/>
          <w:lang w:eastAsia="es-CO"/>
        </w:rPr>
      </w:pPr>
    </w:p>
    <w:p w14:paraId="0CA2A8FC" w14:textId="77777777" w:rsidR="00DC1896" w:rsidRPr="004A4BC3" w:rsidRDefault="00DC1896" w:rsidP="00DC1896">
      <w:pPr>
        <w:spacing w:line="312" w:lineRule="auto"/>
        <w:ind w:firstLine="0"/>
        <w:textAlignment w:val="baseline"/>
        <w:rPr>
          <w:rFonts w:eastAsia="Times New Roman" w:cs="Arial"/>
          <w:szCs w:val="23"/>
          <w:lang w:eastAsia="es-CO"/>
        </w:rPr>
      </w:pPr>
    </w:p>
    <w:p w14:paraId="5739762E" w14:textId="77777777" w:rsidR="00DC1896" w:rsidRPr="004A4BC3" w:rsidRDefault="00DC1896" w:rsidP="00DC1896">
      <w:pPr>
        <w:spacing w:line="312" w:lineRule="auto"/>
        <w:ind w:firstLine="0"/>
        <w:textAlignment w:val="baseline"/>
        <w:rPr>
          <w:rFonts w:eastAsia="Times New Roman" w:cs="Arial"/>
          <w:szCs w:val="23"/>
          <w:lang w:eastAsia="es-CO"/>
        </w:rPr>
      </w:pPr>
      <w:r w:rsidRPr="004A4BC3">
        <w:rPr>
          <w:rFonts w:eastAsia="Times New Roman" w:cs="Arial"/>
          <w:b/>
          <w:bCs/>
          <w:szCs w:val="23"/>
          <w:lang w:val="es-ES" w:eastAsia="es-CO"/>
        </w:rPr>
        <w:t>OLGA LUCÍA HOYOS SEPÚLVEDA</w:t>
      </w:r>
      <w:r w:rsidRPr="004A4BC3">
        <w:rPr>
          <w:rFonts w:eastAsia="Times New Roman" w:cs="Arial"/>
          <w:szCs w:val="23"/>
          <w:lang w:eastAsia="es-CO"/>
        </w:rPr>
        <w:t>   </w:t>
      </w:r>
    </w:p>
    <w:p w14:paraId="71C26FC2" w14:textId="6A4E6ECA" w:rsidR="00DC1896" w:rsidRPr="00DC1896" w:rsidRDefault="00DC1896" w:rsidP="00DC1896">
      <w:pPr>
        <w:spacing w:line="312" w:lineRule="auto"/>
        <w:ind w:firstLine="0"/>
        <w:textAlignment w:val="baseline"/>
        <w:rPr>
          <w:rFonts w:eastAsia="Times New Roman" w:cs="Arial"/>
          <w:szCs w:val="23"/>
          <w:lang w:eastAsia="es-CO"/>
        </w:rPr>
      </w:pPr>
      <w:r w:rsidRPr="004A4BC3">
        <w:rPr>
          <w:rFonts w:eastAsia="Times New Roman" w:cs="Arial"/>
          <w:bCs/>
          <w:szCs w:val="23"/>
          <w:lang w:val="es-ES" w:eastAsia="es-CO"/>
        </w:rPr>
        <w:t>Magistrada</w:t>
      </w:r>
    </w:p>
    <w:sectPr w:rsidR="00DC1896" w:rsidRPr="00DC1896" w:rsidSect="00427387">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77CFC8D8" w16cex:dateUtc="2023-10-27T14:07:00.676Z"/>
  <w16cex:commentExtensible w16cex:durableId="3C432DE8" w16cex:dateUtc="2023-10-27T19:04:07.665Z"/>
</w16cex:commentsExtensible>
</file>

<file path=word/commentsIds.xml><?xml version="1.0" encoding="utf-8"?>
<w16cid:commentsIds xmlns:mc="http://schemas.openxmlformats.org/markup-compatibility/2006" xmlns:w16cid="http://schemas.microsoft.com/office/word/2016/wordml/cid" mc:Ignorable="w16cid">
  <w16cid:commentId w16cid:paraId="762B3EA9" w16cid:durableId="77CFC8D8"/>
  <w16cid:commentId w16cid:paraId="67D8C900" w16cid:durableId="3C432D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0A2B" w14:textId="77777777" w:rsidR="00D374FC" w:rsidRDefault="00D374FC" w:rsidP="00F33495">
      <w:pPr>
        <w:spacing w:line="240" w:lineRule="auto"/>
      </w:pPr>
      <w:r>
        <w:separator/>
      </w:r>
    </w:p>
  </w:endnote>
  <w:endnote w:type="continuationSeparator" w:id="0">
    <w:p w14:paraId="7AB8FE1E" w14:textId="77777777" w:rsidR="00D374FC" w:rsidRDefault="00D374FC"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EC6C" w14:textId="77777777" w:rsidR="00D374FC" w:rsidRDefault="00D374FC" w:rsidP="00F33495">
      <w:pPr>
        <w:spacing w:line="240" w:lineRule="auto"/>
      </w:pPr>
      <w:r>
        <w:separator/>
      </w:r>
    </w:p>
  </w:footnote>
  <w:footnote w:type="continuationSeparator" w:id="0">
    <w:p w14:paraId="2B2028F4" w14:textId="77777777" w:rsidR="00D374FC" w:rsidRDefault="00D374FC" w:rsidP="00F33495">
      <w:pPr>
        <w:spacing w:line="240" w:lineRule="auto"/>
      </w:pPr>
      <w:r>
        <w:continuationSeparator/>
      </w:r>
    </w:p>
  </w:footnote>
  <w:footnote w:id="1">
    <w:p w14:paraId="0E79FC85" w14:textId="77777777" w:rsidR="003073FB" w:rsidRPr="0073663F" w:rsidRDefault="003073FB" w:rsidP="0073663F">
      <w:pPr>
        <w:pStyle w:val="Textonotapie"/>
        <w:ind w:firstLine="0"/>
        <w:rPr>
          <w:rFonts w:cs="Arial"/>
          <w:sz w:val="18"/>
          <w:szCs w:val="18"/>
        </w:rPr>
      </w:pPr>
      <w:r w:rsidRPr="0073663F">
        <w:rPr>
          <w:rStyle w:val="Refdenotaalpie"/>
          <w:rFonts w:cs="Arial"/>
          <w:sz w:val="18"/>
          <w:szCs w:val="18"/>
        </w:rPr>
        <w:footnoteRef/>
      </w:r>
      <w:r w:rsidRPr="0073663F">
        <w:rPr>
          <w:rFonts w:cs="Arial"/>
          <w:sz w:val="18"/>
          <w:szCs w:val="18"/>
        </w:rPr>
        <w:t xml:space="preserve"> </w:t>
      </w:r>
      <w:proofErr w:type="spellStart"/>
      <w:r w:rsidRPr="0073663F">
        <w:rPr>
          <w:rFonts w:cs="Arial"/>
          <w:sz w:val="18"/>
          <w:szCs w:val="18"/>
        </w:rPr>
        <w:t>M.P</w:t>
      </w:r>
      <w:proofErr w:type="spellEnd"/>
      <w:r w:rsidRPr="0073663F">
        <w:rPr>
          <w:rFonts w:cs="Arial"/>
          <w:sz w:val="18"/>
          <w:szCs w:val="18"/>
        </w:rPr>
        <w:t xml:space="preserve">. Dr. Iván Mauricio </w:t>
      </w:r>
      <w:proofErr w:type="spellStart"/>
      <w:r w:rsidRPr="0073663F">
        <w:rPr>
          <w:rFonts w:cs="Arial"/>
          <w:sz w:val="18"/>
          <w:szCs w:val="18"/>
        </w:rPr>
        <w:t>Lenis</w:t>
      </w:r>
      <w:proofErr w:type="spellEnd"/>
      <w:r w:rsidRPr="0073663F">
        <w:rPr>
          <w:rFonts w:cs="Arial"/>
          <w:sz w:val="18"/>
          <w:szCs w:val="18"/>
        </w:rPr>
        <w:t xml:space="preserve"> Gómez</w:t>
      </w:r>
    </w:p>
  </w:footnote>
  <w:footnote w:id="2">
    <w:p w14:paraId="78D92625" w14:textId="77777777" w:rsidR="003073FB" w:rsidRDefault="003073FB" w:rsidP="0073663F">
      <w:pPr>
        <w:widowControl w:val="0"/>
        <w:tabs>
          <w:tab w:val="left" w:pos="-720"/>
        </w:tabs>
        <w:suppressAutoHyphens/>
        <w:overflowPunct w:val="0"/>
        <w:autoSpaceDE w:val="0"/>
        <w:autoSpaceDN w:val="0"/>
        <w:adjustRightInd w:val="0"/>
        <w:spacing w:line="240" w:lineRule="auto"/>
        <w:ind w:firstLine="0"/>
        <w:rPr>
          <w:rFonts w:ascii="Bookman Old Style" w:hAnsi="Bookman Old Style" w:cs="Times New Roman"/>
          <w:sz w:val="16"/>
          <w:szCs w:val="16"/>
        </w:rPr>
      </w:pPr>
      <w:r w:rsidRPr="0073663F">
        <w:rPr>
          <w:rStyle w:val="Refdenotaalpie"/>
          <w:rFonts w:cs="Arial"/>
          <w:sz w:val="18"/>
          <w:szCs w:val="18"/>
        </w:rPr>
        <w:footnoteRef/>
      </w:r>
      <w:r w:rsidRPr="0073663F">
        <w:rPr>
          <w:rFonts w:cs="Arial"/>
          <w:sz w:val="18"/>
          <w:szCs w:val="18"/>
        </w:rPr>
        <w:t xml:space="preserve"> CSJ Sentencia </w:t>
      </w:r>
      <w:proofErr w:type="spellStart"/>
      <w:r w:rsidRPr="0073663F">
        <w:rPr>
          <w:rFonts w:cs="Arial"/>
          <w:sz w:val="18"/>
          <w:szCs w:val="18"/>
        </w:rPr>
        <w:t>SL1688</w:t>
      </w:r>
      <w:proofErr w:type="spellEnd"/>
      <w:r w:rsidRPr="0073663F">
        <w:rPr>
          <w:rFonts w:cs="Arial"/>
          <w:sz w:val="18"/>
          <w:szCs w:val="18"/>
        </w:rPr>
        <w:t>-2019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136EC"/>
    <w:rsid w:val="00013746"/>
    <w:rsid w:val="00022FE4"/>
    <w:rsid w:val="00027431"/>
    <w:rsid w:val="00031535"/>
    <w:rsid w:val="0005234B"/>
    <w:rsid w:val="0005433D"/>
    <w:rsid w:val="00065FC8"/>
    <w:rsid w:val="000712BA"/>
    <w:rsid w:val="00071E1C"/>
    <w:rsid w:val="00074A3B"/>
    <w:rsid w:val="00076DF1"/>
    <w:rsid w:val="00082AF6"/>
    <w:rsid w:val="00085746"/>
    <w:rsid w:val="000861DD"/>
    <w:rsid w:val="00092B58"/>
    <w:rsid w:val="0009479E"/>
    <w:rsid w:val="000957E0"/>
    <w:rsid w:val="000A21BE"/>
    <w:rsid w:val="000A3C05"/>
    <w:rsid w:val="000A5795"/>
    <w:rsid w:val="000B15C7"/>
    <w:rsid w:val="000B1A5C"/>
    <w:rsid w:val="000B6E9C"/>
    <w:rsid w:val="000C40B2"/>
    <w:rsid w:val="000C681C"/>
    <w:rsid w:val="000D32EC"/>
    <w:rsid w:val="000D42EA"/>
    <w:rsid w:val="000D7C34"/>
    <w:rsid w:val="000E246F"/>
    <w:rsid w:val="000E4020"/>
    <w:rsid w:val="000E5245"/>
    <w:rsid w:val="000E717A"/>
    <w:rsid w:val="000F448C"/>
    <w:rsid w:val="00112420"/>
    <w:rsid w:val="00117457"/>
    <w:rsid w:val="00122FE2"/>
    <w:rsid w:val="001230E0"/>
    <w:rsid w:val="001363CA"/>
    <w:rsid w:val="00136989"/>
    <w:rsid w:val="00141646"/>
    <w:rsid w:val="00142749"/>
    <w:rsid w:val="00142B50"/>
    <w:rsid w:val="00144A09"/>
    <w:rsid w:val="0015434B"/>
    <w:rsid w:val="0016082A"/>
    <w:rsid w:val="00162BA7"/>
    <w:rsid w:val="00185788"/>
    <w:rsid w:val="00190886"/>
    <w:rsid w:val="001B2D43"/>
    <w:rsid w:val="001B5DD5"/>
    <w:rsid w:val="001B606C"/>
    <w:rsid w:val="001B7062"/>
    <w:rsid w:val="001B7B5E"/>
    <w:rsid w:val="001C0FBC"/>
    <w:rsid w:val="001C23BE"/>
    <w:rsid w:val="001D6565"/>
    <w:rsid w:val="001D7B64"/>
    <w:rsid w:val="001E5B8A"/>
    <w:rsid w:val="001F1802"/>
    <w:rsid w:val="001F19EA"/>
    <w:rsid w:val="001F6292"/>
    <w:rsid w:val="00232FF7"/>
    <w:rsid w:val="00234859"/>
    <w:rsid w:val="002354BD"/>
    <w:rsid w:val="00236A1C"/>
    <w:rsid w:val="00236DBB"/>
    <w:rsid w:val="0024623E"/>
    <w:rsid w:val="00253680"/>
    <w:rsid w:val="002656C1"/>
    <w:rsid w:val="00267F84"/>
    <w:rsid w:val="002735E7"/>
    <w:rsid w:val="00280D6E"/>
    <w:rsid w:val="00287F53"/>
    <w:rsid w:val="00295BBB"/>
    <w:rsid w:val="002A3122"/>
    <w:rsid w:val="002A4B87"/>
    <w:rsid w:val="002A7326"/>
    <w:rsid w:val="002B0F2C"/>
    <w:rsid w:val="002B13F4"/>
    <w:rsid w:val="002C26C1"/>
    <w:rsid w:val="002C3A68"/>
    <w:rsid w:val="002C58D6"/>
    <w:rsid w:val="002C74B1"/>
    <w:rsid w:val="002D4DEF"/>
    <w:rsid w:val="002E0786"/>
    <w:rsid w:val="002E0B67"/>
    <w:rsid w:val="002E354F"/>
    <w:rsid w:val="002E4336"/>
    <w:rsid w:val="002E5A68"/>
    <w:rsid w:val="002E6268"/>
    <w:rsid w:val="002F4E91"/>
    <w:rsid w:val="002F5890"/>
    <w:rsid w:val="00301377"/>
    <w:rsid w:val="00302F28"/>
    <w:rsid w:val="00303C6A"/>
    <w:rsid w:val="003073FB"/>
    <w:rsid w:val="0030756B"/>
    <w:rsid w:val="00313A93"/>
    <w:rsid w:val="00315036"/>
    <w:rsid w:val="003202E9"/>
    <w:rsid w:val="00321B0D"/>
    <w:rsid w:val="00322534"/>
    <w:rsid w:val="00334487"/>
    <w:rsid w:val="00337E6E"/>
    <w:rsid w:val="00342C2C"/>
    <w:rsid w:val="00344F92"/>
    <w:rsid w:val="00350DC6"/>
    <w:rsid w:val="003625E2"/>
    <w:rsid w:val="003716D5"/>
    <w:rsid w:val="00375A59"/>
    <w:rsid w:val="0038198A"/>
    <w:rsid w:val="00394BC3"/>
    <w:rsid w:val="003A404B"/>
    <w:rsid w:val="003A5E42"/>
    <w:rsid w:val="003A6390"/>
    <w:rsid w:val="003B61B8"/>
    <w:rsid w:val="003C3060"/>
    <w:rsid w:val="003C4BD0"/>
    <w:rsid w:val="003C75E2"/>
    <w:rsid w:val="003D55C7"/>
    <w:rsid w:val="003D7454"/>
    <w:rsid w:val="003E0122"/>
    <w:rsid w:val="003E1839"/>
    <w:rsid w:val="003E246C"/>
    <w:rsid w:val="003F2659"/>
    <w:rsid w:val="004157AE"/>
    <w:rsid w:val="00417944"/>
    <w:rsid w:val="00427387"/>
    <w:rsid w:val="004304FE"/>
    <w:rsid w:val="0043720D"/>
    <w:rsid w:val="00444459"/>
    <w:rsid w:val="00445979"/>
    <w:rsid w:val="004555BC"/>
    <w:rsid w:val="0045781C"/>
    <w:rsid w:val="0046626B"/>
    <w:rsid w:val="004664BA"/>
    <w:rsid w:val="00476023"/>
    <w:rsid w:val="00476814"/>
    <w:rsid w:val="00482C49"/>
    <w:rsid w:val="00490B9C"/>
    <w:rsid w:val="00492AFC"/>
    <w:rsid w:val="0049479C"/>
    <w:rsid w:val="004A1DFF"/>
    <w:rsid w:val="004B1E20"/>
    <w:rsid w:val="004B7C1D"/>
    <w:rsid w:val="004C1EB4"/>
    <w:rsid w:val="004C7512"/>
    <w:rsid w:val="004D30E6"/>
    <w:rsid w:val="004D37CD"/>
    <w:rsid w:val="004E41B6"/>
    <w:rsid w:val="004E6792"/>
    <w:rsid w:val="004F270A"/>
    <w:rsid w:val="004F2F73"/>
    <w:rsid w:val="004F6550"/>
    <w:rsid w:val="0050390B"/>
    <w:rsid w:val="00504D0C"/>
    <w:rsid w:val="00506E81"/>
    <w:rsid w:val="00506F10"/>
    <w:rsid w:val="005112F4"/>
    <w:rsid w:val="00511505"/>
    <w:rsid w:val="00512989"/>
    <w:rsid w:val="00513A08"/>
    <w:rsid w:val="00521DCD"/>
    <w:rsid w:val="00523F59"/>
    <w:rsid w:val="0053533E"/>
    <w:rsid w:val="00537696"/>
    <w:rsid w:val="00541F78"/>
    <w:rsid w:val="00541FC6"/>
    <w:rsid w:val="00543414"/>
    <w:rsid w:val="00560095"/>
    <w:rsid w:val="005655B4"/>
    <w:rsid w:val="005663E7"/>
    <w:rsid w:val="0057532E"/>
    <w:rsid w:val="005809FC"/>
    <w:rsid w:val="00582E08"/>
    <w:rsid w:val="005B4CBF"/>
    <w:rsid w:val="005B5103"/>
    <w:rsid w:val="005C2A3B"/>
    <w:rsid w:val="005C7D4C"/>
    <w:rsid w:val="005D61AD"/>
    <w:rsid w:val="005E0D01"/>
    <w:rsid w:val="005E1A33"/>
    <w:rsid w:val="005E1D73"/>
    <w:rsid w:val="005E5792"/>
    <w:rsid w:val="005E7553"/>
    <w:rsid w:val="006046D4"/>
    <w:rsid w:val="00607BF6"/>
    <w:rsid w:val="00611751"/>
    <w:rsid w:val="00617A19"/>
    <w:rsid w:val="006207BF"/>
    <w:rsid w:val="006212C9"/>
    <w:rsid w:val="00623880"/>
    <w:rsid w:val="00630716"/>
    <w:rsid w:val="006426E7"/>
    <w:rsid w:val="006462DD"/>
    <w:rsid w:val="00651A12"/>
    <w:rsid w:val="00651ED8"/>
    <w:rsid w:val="00654F0A"/>
    <w:rsid w:val="006601E7"/>
    <w:rsid w:val="0068594E"/>
    <w:rsid w:val="00690656"/>
    <w:rsid w:val="0069307F"/>
    <w:rsid w:val="0069334D"/>
    <w:rsid w:val="00694ABB"/>
    <w:rsid w:val="006B5472"/>
    <w:rsid w:val="006C0A92"/>
    <w:rsid w:val="006C250C"/>
    <w:rsid w:val="006D0204"/>
    <w:rsid w:val="006D16A6"/>
    <w:rsid w:val="006D33E5"/>
    <w:rsid w:val="006D4809"/>
    <w:rsid w:val="006D7317"/>
    <w:rsid w:val="007039F8"/>
    <w:rsid w:val="00705E27"/>
    <w:rsid w:val="007065B2"/>
    <w:rsid w:val="00711ACF"/>
    <w:rsid w:val="007163FF"/>
    <w:rsid w:val="00723359"/>
    <w:rsid w:val="0072357F"/>
    <w:rsid w:val="00725E4D"/>
    <w:rsid w:val="00735854"/>
    <w:rsid w:val="007359BF"/>
    <w:rsid w:val="00735FA2"/>
    <w:rsid w:val="0073663F"/>
    <w:rsid w:val="0074011B"/>
    <w:rsid w:val="00740C33"/>
    <w:rsid w:val="00742526"/>
    <w:rsid w:val="007428D6"/>
    <w:rsid w:val="007473B4"/>
    <w:rsid w:val="00750CFE"/>
    <w:rsid w:val="007619B8"/>
    <w:rsid w:val="00762B33"/>
    <w:rsid w:val="0077128B"/>
    <w:rsid w:val="00772963"/>
    <w:rsid w:val="007748C3"/>
    <w:rsid w:val="007803D9"/>
    <w:rsid w:val="00780C27"/>
    <w:rsid w:val="007905E3"/>
    <w:rsid w:val="00793226"/>
    <w:rsid w:val="00797779"/>
    <w:rsid w:val="007A00BA"/>
    <w:rsid w:val="007A7FC9"/>
    <w:rsid w:val="007B0C04"/>
    <w:rsid w:val="007B7FB0"/>
    <w:rsid w:val="007C23E2"/>
    <w:rsid w:val="007C3826"/>
    <w:rsid w:val="007C6A29"/>
    <w:rsid w:val="007D365E"/>
    <w:rsid w:val="007D4216"/>
    <w:rsid w:val="007D5A6E"/>
    <w:rsid w:val="007D5F99"/>
    <w:rsid w:val="007E05C4"/>
    <w:rsid w:val="007E27C9"/>
    <w:rsid w:val="007E3AD3"/>
    <w:rsid w:val="007E5ED5"/>
    <w:rsid w:val="007E7878"/>
    <w:rsid w:val="007F5297"/>
    <w:rsid w:val="007F6CA1"/>
    <w:rsid w:val="007F6F66"/>
    <w:rsid w:val="00800E46"/>
    <w:rsid w:val="00811554"/>
    <w:rsid w:val="00821E0C"/>
    <w:rsid w:val="00831A3D"/>
    <w:rsid w:val="008364B7"/>
    <w:rsid w:val="008431C4"/>
    <w:rsid w:val="008473A8"/>
    <w:rsid w:val="00850E7C"/>
    <w:rsid w:val="0085206F"/>
    <w:rsid w:val="008548ED"/>
    <w:rsid w:val="008550DB"/>
    <w:rsid w:val="008735D0"/>
    <w:rsid w:val="00875FA2"/>
    <w:rsid w:val="008861A6"/>
    <w:rsid w:val="008863C2"/>
    <w:rsid w:val="00887958"/>
    <w:rsid w:val="00887DE2"/>
    <w:rsid w:val="0089239B"/>
    <w:rsid w:val="00892F6F"/>
    <w:rsid w:val="008939F9"/>
    <w:rsid w:val="008A7078"/>
    <w:rsid w:val="008B4CFF"/>
    <w:rsid w:val="008C7AB6"/>
    <w:rsid w:val="008D0808"/>
    <w:rsid w:val="008D3386"/>
    <w:rsid w:val="008E01EE"/>
    <w:rsid w:val="008E5756"/>
    <w:rsid w:val="008E7069"/>
    <w:rsid w:val="008E7933"/>
    <w:rsid w:val="008F66DC"/>
    <w:rsid w:val="0090326A"/>
    <w:rsid w:val="009034B4"/>
    <w:rsid w:val="009048C4"/>
    <w:rsid w:val="009110E1"/>
    <w:rsid w:val="00923CAF"/>
    <w:rsid w:val="009243CC"/>
    <w:rsid w:val="00925FB3"/>
    <w:rsid w:val="00927BA0"/>
    <w:rsid w:val="00927F48"/>
    <w:rsid w:val="00952B9A"/>
    <w:rsid w:val="0095599D"/>
    <w:rsid w:val="00960D1E"/>
    <w:rsid w:val="00963B14"/>
    <w:rsid w:val="00976776"/>
    <w:rsid w:val="009847D3"/>
    <w:rsid w:val="00986953"/>
    <w:rsid w:val="009A2758"/>
    <w:rsid w:val="009B0A6B"/>
    <w:rsid w:val="009C55AA"/>
    <w:rsid w:val="009D07A4"/>
    <w:rsid w:val="009D241D"/>
    <w:rsid w:val="009E17E0"/>
    <w:rsid w:val="009E57AA"/>
    <w:rsid w:val="009F6717"/>
    <w:rsid w:val="009F6995"/>
    <w:rsid w:val="009F7745"/>
    <w:rsid w:val="00A0229D"/>
    <w:rsid w:val="00A130E8"/>
    <w:rsid w:val="00A13A55"/>
    <w:rsid w:val="00A140DC"/>
    <w:rsid w:val="00A149FC"/>
    <w:rsid w:val="00A178C1"/>
    <w:rsid w:val="00A242A8"/>
    <w:rsid w:val="00A242B4"/>
    <w:rsid w:val="00A31ADD"/>
    <w:rsid w:val="00A36F05"/>
    <w:rsid w:val="00A37113"/>
    <w:rsid w:val="00A50EC4"/>
    <w:rsid w:val="00A53DD1"/>
    <w:rsid w:val="00A57DF7"/>
    <w:rsid w:val="00A62826"/>
    <w:rsid w:val="00A63404"/>
    <w:rsid w:val="00A640E8"/>
    <w:rsid w:val="00A6657F"/>
    <w:rsid w:val="00A7310B"/>
    <w:rsid w:val="00A77DDD"/>
    <w:rsid w:val="00A8232E"/>
    <w:rsid w:val="00A8283C"/>
    <w:rsid w:val="00A83630"/>
    <w:rsid w:val="00A970EC"/>
    <w:rsid w:val="00AA0E34"/>
    <w:rsid w:val="00AA3658"/>
    <w:rsid w:val="00AA3AC4"/>
    <w:rsid w:val="00AA402C"/>
    <w:rsid w:val="00AA41E9"/>
    <w:rsid w:val="00AA5000"/>
    <w:rsid w:val="00AA5433"/>
    <w:rsid w:val="00AB3516"/>
    <w:rsid w:val="00AB619D"/>
    <w:rsid w:val="00AB7303"/>
    <w:rsid w:val="00AC1BCC"/>
    <w:rsid w:val="00AC273E"/>
    <w:rsid w:val="00AC406F"/>
    <w:rsid w:val="00AC4782"/>
    <w:rsid w:val="00AD1AD0"/>
    <w:rsid w:val="00AD506E"/>
    <w:rsid w:val="00AD5BA9"/>
    <w:rsid w:val="00AF0141"/>
    <w:rsid w:val="00B10442"/>
    <w:rsid w:val="00B11AB5"/>
    <w:rsid w:val="00B11B21"/>
    <w:rsid w:val="00B17F4E"/>
    <w:rsid w:val="00B23E3F"/>
    <w:rsid w:val="00B26914"/>
    <w:rsid w:val="00B307AC"/>
    <w:rsid w:val="00B33528"/>
    <w:rsid w:val="00B411AE"/>
    <w:rsid w:val="00B44C15"/>
    <w:rsid w:val="00B5277D"/>
    <w:rsid w:val="00B63EBA"/>
    <w:rsid w:val="00B65806"/>
    <w:rsid w:val="00B75DDE"/>
    <w:rsid w:val="00B8370D"/>
    <w:rsid w:val="00B86E32"/>
    <w:rsid w:val="00B95355"/>
    <w:rsid w:val="00BA236C"/>
    <w:rsid w:val="00BA4C1B"/>
    <w:rsid w:val="00BA73DC"/>
    <w:rsid w:val="00BB3E0E"/>
    <w:rsid w:val="00BB60BF"/>
    <w:rsid w:val="00BB615E"/>
    <w:rsid w:val="00BC3046"/>
    <w:rsid w:val="00BE046C"/>
    <w:rsid w:val="00BE2F2E"/>
    <w:rsid w:val="00BF3940"/>
    <w:rsid w:val="00C00EBE"/>
    <w:rsid w:val="00C01564"/>
    <w:rsid w:val="00C13E12"/>
    <w:rsid w:val="00C17FD0"/>
    <w:rsid w:val="00C21BAD"/>
    <w:rsid w:val="00C306F3"/>
    <w:rsid w:val="00C320A2"/>
    <w:rsid w:val="00C40492"/>
    <w:rsid w:val="00C41494"/>
    <w:rsid w:val="00C45E94"/>
    <w:rsid w:val="00C53AD7"/>
    <w:rsid w:val="00C63694"/>
    <w:rsid w:val="00C6512C"/>
    <w:rsid w:val="00C705DA"/>
    <w:rsid w:val="00C72484"/>
    <w:rsid w:val="00C81B30"/>
    <w:rsid w:val="00C838E0"/>
    <w:rsid w:val="00C85C10"/>
    <w:rsid w:val="00C90928"/>
    <w:rsid w:val="00C9431C"/>
    <w:rsid w:val="00CA4E21"/>
    <w:rsid w:val="00CA649F"/>
    <w:rsid w:val="00CA7B8C"/>
    <w:rsid w:val="00CB41EE"/>
    <w:rsid w:val="00CB441B"/>
    <w:rsid w:val="00CB75D5"/>
    <w:rsid w:val="00CC0BF9"/>
    <w:rsid w:val="00CC126F"/>
    <w:rsid w:val="00CC2ED5"/>
    <w:rsid w:val="00CC4036"/>
    <w:rsid w:val="00CE0B33"/>
    <w:rsid w:val="00CE2F6A"/>
    <w:rsid w:val="00CE7452"/>
    <w:rsid w:val="00CF28F4"/>
    <w:rsid w:val="00D00290"/>
    <w:rsid w:val="00D01A10"/>
    <w:rsid w:val="00D01B34"/>
    <w:rsid w:val="00D05671"/>
    <w:rsid w:val="00D07EC8"/>
    <w:rsid w:val="00D11146"/>
    <w:rsid w:val="00D234AB"/>
    <w:rsid w:val="00D31703"/>
    <w:rsid w:val="00D32229"/>
    <w:rsid w:val="00D329F4"/>
    <w:rsid w:val="00D34568"/>
    <w:rsid w:val="00D34B5C"/>
    <w:rsid w:val="00D374FC"/>
    <w:rsid w:val="00D416A0"/>
    <w:rsid w:val="00D608B0"/>
    <w:rsid w:val="00D61232"/>
    <w:rsid w:val="00D612F2"/>
    <w:rsid w:val="00D756D8"/>
    <w:rsid w:val="00D75F0C"/>
    <w:rsid w:val="00D766B6"/>
    <w:rsid w:val="00D76CA2"/>
    <w:rsid w:val="00D84351"/>
    <w:rsid w:val="00D84C17"/>
    <w:rsid w:val="00D85421"/>
    <w:rsid w:val="00D868E3"/>
    <w:rsid w:val="00D94020"/>
    <w:rsid w:val="00D9469E"/>
    <w:rsid w:val="00D94836"/>
    <w:rsid w:val="00D95BEB"/>
    <w:rsid w:val="00DA4108"/>
    <w:rsid w:val="00DA5780"/>
    <w:rsid w:val="00DB3683"/>
    <w:rsid w:val="00DB4D44"/>
    <w:rsid w:val="00DB634D"/>
    <w:rsid w:val="00DC1896"/>
    <w:rsid w:val="00DC1EFE"/>
    <w:rsid w:val="00DC40AE"/>
    <w:rsid w:val="00DC68A5"/>
    <w:rsid w:val="00DD0620"/>
    <w:rsid w:val="00DD1375"/>
    <w:rsid w:val="00DE0B10"/>
    <w:rsid w:val="00DE6E92"/>
    <w:rsid w:val="00DF0955"/>
    <w:rsid w:val="00DF20CF"/>
    <w:rsid w:val="00DF4640"/>
    <w:rsid w:val="00E05FD5"/>
    <w:rsid w:val="00E0616E"/>
    <w:rsid w:val="00E12055"/>
    <w:rsid w:val="00E15A91"/>
    <w:rsid w:val="00E26D64"/>
    <w:rsid w:val="00E33859"/>
    <w:rsid w:val="00E35B39"/>
    <w:rsid w:val="00E36D9B"/>
    <w:rsid w:val="00E37642"/>
    <w:rsid w:val="00E44599"/>
    <w:rsid w:val="00E623ED"/>
    <w:rsid w:val="00E720F9"/>
    <w:rsid w:val="00E949B2"/>
    <w:rsid w:val="00E94CA5"/>
    <w:rsid w:val="00EA0DE3"/>
    <w:rsid w:val="00EA53E7"/>
    <w:rsid w:val="00EB069F"/>
    <w:rsid w:val="00EB6BBE"/>
    <w:rsid w:val="00EB72D3"/>
    <w:rsid w:val="00ED6949"/>
    <w:rsid w:val="00ED6AD9"/>
    <w:rsid w:val="00EE0B76"/>
    <w:rsid w:val="00EE15C5"/>
    <w:rsid w:val="00EE3DF8"/>
    <w:rsid w:val="00EE4A92"/>
    <w:rsid w:val="00EF06E0"/>
    <w:rsid w:val="00EF62B0"/>
    <w:rsid w:val="00F01230"/>
    <w:rsid w:val="00F1327E"/>
    <w:rsid w:val="00F14CE2"/>
    <w:rsid w:val="00F22767"/>
    <w:rsid w:val="00F242FD"/>
    <w:rsid w:val="00F31157"/>
    <w:rsid w:val="00F33495"/>
    <w:rsid w:val="00F3756C"/>
    <w:rsid w:val="00F43716"/>
    <w:rsid w:val="00F57404"/>
    <w:rsid w:val="00F61E94"/>
    <w:rsid w:val="00F64EEF"/>
    <w:rsid w:val="00F67A32"/>
    <w:rsid w:val="00F703CE"/>
    <w:rsid w:val="00F723DB"/>
    <w:rsid w:val="00F83F42"/>
    <w:rsid w:val="00F92136"/>
    <w:rsid w:val="00FB0026"/>
    <w:rsid w:val="00FB612F"/>
    <w:rsid w:val="00FB61E7"/>
    <w:rsid w:val="00FB6F2D"/>
    <w:rsid w:val="00FC1431"/>
    <w:rsid w:val="00FC1F77"/>
    <w:rsid w:val="00FD1875"/>
    <w:rsid w:val="00FD1ED5"/>
    <w:rsid w:val="00FD4A84"/>
    <w:rsid w:val="00FD58BE"/>
    <w:rsid w:val="00FE21C5"/>
    <w:rsid w:val="00FF7916"/>
    <w:rsid w:val="021B8C3E"/>
    <w:rsid w:val="02D6B947"/>
    <w:rsid w:val="0BE19961"/>
    <w:rsid w:val="128EE776"/>
    <w:rsid w:val="1729E6E5"/>
    <w:rsid w:val="1A556105"/>
    <w:rsid w:val="1AAF5C09"/>
    <w:rsid w:val="1B3B8AC5"/>
    <w:rsid w:val="207AB9B7"/>
    <w:rsid w:val="214B2128"/>
    <w:rsid w:val="24D7A82A"/>
    <w:rsid w:val="2B4D5871"/>
    <w:rsid w:val="2CEE1668"/>
    <w:rsid w:val="2CF94062"/>
    <w:rsid w:val="3058F59B"/>
    <w:rsid w:val="32ED0C65"/>
    <w:rsid w:val="36FD0F01"/>
    <w:rsid w:val="38E3A76B"/>
    <w:rsid w:val="39B37113"/>
    <w:rsid w:val="444E164C"/>
    <w:rsid w:val="458A89E0"/>
    <w:rsid w:val="45D043DA"/>
    <w:rsid w:val="4BFC54D7"/>
    <w:rsid w:val="4CB2989C"/>
    <w:rsid w:val="4D866DD9"/>
    <w:rsid w:val="514F5264"/>
    <w:rsid w:val="546E706E"/>
    <w:rsid w:val="55CE3C61"/>
    <w:rsid w:val="56B4B4E2"/>
    <w:rsid w:val="58B3FA1E"/>
    <w:rsid w:val="5AC0DFFD"/>
    <w:rsid w:val="5EED0D00"/>
    <w:rsid w:val="5F6692AE"/>
    <w:rsid w:val="62D06107"/>
    <w:rsid w:val="6589BD8C"/>
    <w:rsid w:val="662E3246"/>
    <w:rsid w:val="66DEF688"/>
    <w:rsid w:val="67CA02A7"/>
    <w:rsid w:val="6965D308"/>
    <w:rsid w:val="6E33FB40"/>
    <w:rsid w:val="70852B87"/>
    <w:rsid w:val="7220DFE1"/>
    <w:rsid w:val="764D0CE4"/>
    <w:rsid w:val="7984ADA6"/>
    <w:rsid w:val="7B66885C"/>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 w:type="paragraph" w:styleId="Revisin">
    <w:name w:val="Revision"/>
    <w:hidden/>
    <w:uiPriority w:val="99"/>
    <w:semiHidden/>
    <w:rsid w:val="007C6A29"/>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43b669739f6a4964"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D5D00B86-7EC2-4CCD-B99A-D39273ED4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4.xml><?xml version="1.0" encoding="utf-8"?>
<ds:datastoreItem xmlns:ds="http://schemas.openxmlformats.org/officeDocument/2006/customXml" ds:itemID="{33835B48-493D-4914-BFBF-D02A4529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10992</Words>
  <Characters>62658</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8</cp:revision>
  <dcterms:created xsi:type="dcterms:W3CDTF">2023-11-01T16:39:00Z</dcterms:created>
  <dcterms:modified xsi:type="dcterms:W3CDTF">2024-01-21T20:35:00Z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