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9ECE9" w14:textId="359ECF81" w:rsidR="006F1824" w:rsidRPr="00F94620" w:rsidRDefault="007E449B" w:rsidP="006F1824">
      <w:pPr>
        <w:spacing w:after="0" w:line="240" w:lineRule="auto"/>
        <w:jc w:val="both"/>
        <w:rPr>
          <w:rFonts w:ascii="Arial" w:eastAsia="Century Gothic" w:hAnsi="Arial" w:cs="Arial"/>
          <w:b/>
          <w:kern w:val="2"/>
          <w:sz w:val="20"/>
          <w:szCs w:val="24"/>
          <w14:ligatures w14:val="standardContextual"/>
        </w:rPr>
      </w:pPr>
      <w:bookmarkStart w:id="0" w:name="_GoBack"/>
      <w:bookmarkEnd w:id="0"/>
      <w:r w:rsidRPr="00F94620">
        <w:rPr>
          <w:rFonts w:ascii="Arial" w:eastAsia="Century Gothic" w:hAnsi="Arial" w:cs="Arial"/>
          <w:b/>
          <w:kern w:val="2"/>
          <w:sz w:val="20"/>
          <w:szCs w:val="24"/>
          <w14:ligatures w14:val="standardContextual"/>
        </w:rPr>
        <w:t>DICTÁMENES JUNTA</w:t>
      </w:r>
      <w:r w:rsidR="00F94620">
        <w:rPr>
          <w:rFonts w:ascii="Arial" w:eastAsia="Century Gothic" w:hAnsi="Arial" w:cs="Arial"/>
          <w:b/>
          <w:kern w:val="2"/>
          <w:sz w:val="20"/>
          <w:szCs w:val="24"/>
          <w14:ligatures w14:val="standardContextual"/>
        </w:rPr>
        <w:t>S</w:t>
      </w:r>
      <w:r w:rsidRPr="00F94620">
        <w:rPr>
          <w:rFonts w:ascii="Arial" w:eastAsia="Century Gothic" w:hAnsi="Arial" w:cs="Arial"/>
          <w:b/>
          <w:kern w:val="2"/>
          <w:sz w:val="20"/>
          <w:szCs w:val="24"/>
          <w14:ligatures w14:val="standardContextual"/>
        </w:rPr>
        <w:t xml:space="preserve"> DE CALIFICACIÓN DE INVALIDEZ / VALORACIÓN / </w:t>
      </w:r>
      <w:r w:rsidR="00F94620" w:rsidRPr="00F94620">
        <w:rPr>
          <w:rFonts w:ascii="Arial" w:eastAsia="Century Gothic" w:hAnsi="Arial" w:cs="Arial"/>
          <w:b/>
          <w:kern w:val="2"/>
          <w:sz w:val="20"/>
          <w:szCs w:val="24"/>
          <w14:ligatures w14:val="standardContextual"/>
        </w:rPr>
        <w:t>MODIFICACIÓN</w:t>
      </w:r>
    </w:p>
    <w:p w14:paraId="61725FF7" w14:textId="3A9E6439" w:rsidR="006F1824" w:rsidRPr="007E449B" w:rsidRDefault="007E449B" w:rsidP="007E449B">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7E449B">
        <w:rPr>
          <w:rFonts w:ascii="Arial" w:eastAsia="Century Gothic" w:hAnsi="Arial" w:cs="Arial"/>
          <w:kern w:val="2"/>
          <w:sz w:val="20"/>
          <w:szCs w:val="24"/>
          <w14:ligatures w14:val="standardContextual"/>
        </w:rPr>
        <w:t>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o por mayor valor probatorio que tenga otro dictamen traído a juicio; no obstante, dicha facultad no es absoluta, pues se exige un alto grado de argumentación y una decisión precedida por conclusiones suficientemente justificadas.</w:t>
      </w:r>
    </w:p>
    <w:p w14:paraId="7BD85ED8" w14:textId="77777777" w:rsidR="006F1824" w:rsidRPr="006F1824" w:rsidRDefault="006F1824" w:rsidP="006F1824">
      <w:pPr>
        <w:spacing w:after="0" w:line="240" w:lineRule="auto"/>
        <w:jc w:val="both"/>
        <w:rPr>
          <w:rFonts w:ascii="Arial" w:eastAsia="Century Gothic" w:hAnsi="Arial" w:cs="Arial"/>
          <w:kern w:val="2"/>
          <w:sz w:val="20"/>
          <w:szCs w:val="24"/>
          <w14:ligatures w14:val="standardContextual"/>
        </w:rPr>
      </w:pPr>
    </w:p>
    <w:p w14:paraId="2A519244" w14:textId="12D4F1BA" w:rsidR="00F94620" w:rsidRPr="00F94620" w:rsidRDefault="00F94620" w:rsidP="00F94620">
      <w:pPr>
        <w:spacing w:after="0" w:line="240" w:lineRule="auto"/>
        <w:jc w:val="both"/>
        <w:rPr>
          <w:rFonts w:ascii="Arial" w:eastAsia="Century Gothic" w:hAnsi="Arial" w:cs="Arial"/>
          <w:b/>
          <w:kern w:val="2"/>
          <w:sz w:val="20"/>
          <w:szCs w:val="24"/>
          <w14:ligatures w14:val="standardContextual"/>
        </w:rPr>
      </w:pPr>
      <w:r w:rsidRPr="00F94620">
        <w:rPr>
          <w:rFonts w:ascii="Arial" w:eastAsia="Century Gothic" w:hAnsi="Arial" w:cs="Arial"/>
          <w:b/>
          <w:kern w:val="2"/>
          <w:sz w:val="20"/>
          <w:szCs w:val="24"/>
          <w14:ligatures w14:val="standardContextual"/>
        </w:rPr>
        <w:t xml:space="preserve">CALIFICACIÓN DE INVALIDEZ / </w:t>
      </w:r>
      <w:r w:rsidR="005A4C14">
        <w:rPr>
          <w:rFonts w:ascii="Arial" w:eastAsia="Century Gothic" w:hAnsi="Arial" w:cs="Arial"/>
          <w:b/>
          <w:kern w:val="2"/>
          <w:sz w:val="20"/>
          <w:szCs w:val="24"/>
          <w14:ligatures w14:val="standardContextual"/>
        </w:rPr>
        <w:t>MEJORÍA MÉDICA MÁXIMA / DEFINICIÓN</w:t>
      </w:r>
    </w:p>
    <w:p w14:paraId="36BB75B0" w14:textId="3B05D979" w:rsidR="006F1824" w:rsidRPr="006F1824" w:rsidRDefault="005A4C14" w:rsidP="005A4C14">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5A4C14">
        <w:rPr>
          <w:rFonts w:ascii="Arial" w:eastAsia="Century Gothic" w:hAnsi="Arial" w:cs="Arial"/>
          <w:kern w:val="2"/>
          <w:sz w:val="20"/>
          <w:szCs w:val="24"/>
          <w14:ligatures w14:val="standardContextual"/>
        </w:rPr>
        <w:t>el concepto de Mejoría Médica Máxima (MMM) se encuentra definido en el Manual de Calificación (Decreto 1507 de 2014), Título Preliminar, 4.6, donde se indica:</w:t>
      </w:r>
      <w:r>
        <w:rPr>
          <w:rFonts w:ascii="Arial" w:eastAsia="Century Gothic" w:hAnsi="Arial" w:cs="Arial"/>
          <w:kern w:val="2"/>
          <w:sz w:val="20"/>
          <w:szCs w:val="24"/>
          <w14:ligatures w14:val="standardContextual"/>
        </w:rPr>
        <w:t xml:space="preserve"> </w:t>
      </w:r>
      <w:r w:rsidRPr="005A4C14">
        <w:rPr>
          <w:rFonts w:ascii="Arial" w:eastAsia="Century Gothic" w:hAnsi="Arial" w:cs="Arial"/>
          <w:kern w:val="2"/>
          <w:sz w:val="20"/>
          <w:szCs w:val="24"/>
          <w14:ligatures w14:val="standardContextual"/>
        </w:rPr>
        <w:t>“</w:t>
      </w:r>
      <w:r>
        <w:rPr>
          <w:rFonts w:ascii="Arial" w:eastAsia="Century Gothic" w:hAnsi="Arial" w:cs="Arial"/>
          <w:kern w:val="2"/>
          <w:sz w:val="20"/>
          <w:szCs w:val="24"/>
          <w14:ligatures w14:val="standardContextual"/>
        </w:rPr>
        <w:t xml:space="preserve">… </w:t>
      </w:r>
      <w:r w:rsidRPr="005A4C14">
        <w:rPr>
          <w:rFonts w:ascii="Arial" w:eastAsia="Century Gothic" w:hAnsi="Arial" w:cs="Arial"/>
          <w:kern w:val="2"/>
          <w:sz w:val="20"/>
          <w:szCs w:val="24"/>
          <w14:ligatures w14:val="standardContextual"/>
        </w:rPr>
        <w:t>Punto en el cual la condición patológica se estabiliza sustancialmente y es poco probable que cambie, ya sea para mejorar o empeorar, en el próximo año, con o sin tratamiento. Son sinónimos de este término: pérdida comprobable, pérdidas fija y estable, cura máxima, grado máximo de mejoría médica</w:t>
      </w:r>
      <w:r>
        <w:rPr>
          <w:rFonts w:ascii="Arial" w:eastAsia="Century Gothic" w:hAnsi="Arial" w:cs="Arial"/>
          <w:kern w:val="2"/>
          <w:sz w:val="20"/>
          <w:szCs w:val="24"/>
          <w14:ligatures w14:val="standardContextual"/>
        </w:rPr>
        <w:t>…</w:t>
      </w:r>
      <w:r w:rsidRPr="005A4C14">
        <w:rPr>
          <w:rFonts w:ascii="Arial" w:eastAsia="Century Gothic" w:hAnsi="Arial" w:cs="Arial"/>
          <w:kern w:val="2"/>
          <w:sz w:val="20"/>
          <w:szCs w:val="24"/>
          <w14:ligatures w14:val="standardContextual"/>
        </w:rPr>
        <w:t xml:space="preserve"> Incluye los tratamientos médicos, quirúrgicos y de rehabilitación integral que se encuentren disponibles para las personas y que sean pertinentes según la condición de salud.”</w:t>
      </w:r>
    </w:p>
    <w:p w14:paraId="509EA618" w14:textId="235B16F8" w:rsidR="006F1824" w:rsidRDefault="006F1824" w:rsidP="006F1824">
      <w:pPr>
        <w:spacing w:after="0" w:line="240" w:lineRule="auto"/>
        <w:jc w:val="both"/>
        <w:rPr>
          <w:rFonts w:ascii="Arial" w:eastAsia="Century Gothic" w:hAnsi="Arial" w:cs="Arial"/>
          <w:kern w:val="2"/>
          <w:sz w:val="20"/>
          <w:szCs w:val="24"/>
          <w14:ligatures w14:val="standardContextual"/>
        </w:rPr>
      </w:pPr>
    </w:p>
    <w:p w14:paraId="62D01970" w14:textId="1D9B74CC" w:rsidR="005A4C14" w:rsidRPr="00F94620" w:rsidRDefault="005A4C14" w:rsidP="005A4C14">
      <w:pPr>
        <w:spacing w:after="0" w:line="240" w:lineRule="auto"/>
        <w:jc w:val="both"/>
        <w:rPr>
          <w:rFonts w:ascii="Arial" w:eastAsia="Century Gothic" w:hAnsi="Arial" w:cs="Arial"/>
          <w:b/>
          <w:kern w:val="2"/>
          <w:sz w:val="20"/>
          <w:szCs w:val="24"/>
          <w14:ligatures w14:val="standardContextual"/>
        </w:rPr>
      </w:pPr>
      <w:r w:rsidRPr="00F94620">
        <w:rPr>
          <w:rFonts w:ascii="Arial" w:eastAsia="Century Gothic" w:hAnsi="Arial" w:cs="Arial"/>
          <w:b/>
          <w:kern w:val="2"/>
          <w:sz w:val="20"/>
          <w:szCs w:val="24"/>
          <w14:ligatures w14:val="standardContextual"/>
        </w:rPr>
        <w:t xml:space="preserve">CALIFICACIÓN DE INVALIDEZ / </w:t>
      </w:r>
      <w:r w:rsidR="00195A6C">
        <w:rPr>
          <w:rFonts w:ascii="Arial" w:eastAsia="Century Gothic" w:hAnsi="Arial" w:cs="Arial"/>
          <w:b/>
          <w:kern w:val="2"/>
          <w:sz w:val="20"/>
          <w:szCs w:val="24"/>
          <w14:ligatures w14:val="standardContextual"/>
        </w:rPr>
        <w:t>CONTROVERSIA / CARGA PROBATORIA DEL DEMANDANTE</w:t>
      </w:r>
    </w:p>
    <w:p w14:paraId="788CE6F5" w14:textId="42ADFB6E" w:rsidR="00F94620" w:rsidRPr="000E60EF" w:rsidRDefault="00195A6C" w:rsidP="000E60EF">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000E60EF" w:rsidRPr="000E60EF">
        <w:rPr>
          <w:rFonts w:ascii="Arial" w:eastAsia="Century Gothic" w:hAnsi="Arial" w:cs="Arial"/>
          <w:kern w:val="2"/>
          <w:sz w:val="20"/>
          <w:szCs w:val="24"/>
          <w14:ligatures w14:val="standardContextual"/>
        </w:rPr>
        <w:t>la parte demandante no controvirtió el dictamen cuando tuvo la oportunidad para hacerlo</w:t>
      </w:r>
      <w:r>
        <w:rPr>
          <w:rFonts w:ascii="Arial" w:eastAsia="Century Gothic" w:hAnsi="Arial" w:cs="Arial"/>
          <w:kern w:val="2"/>
          <w:sz w:val="20"/>
          <w:szCs w:val="24"/>
          <w14:ligatures w14:val="standardContextual"/>
        </w:rPr>
        <w:t>…</w:t>
      </w:r>
      <w:r w:rsidR="000E60EF" w:rsidRPr="000E60EF">
        <w:rPr>
          <w:rFonts w:ascii="Arial" w:eastAsia="Century Gothic" w:hAnsi="Arial" w:cs="Arial"/>
          <w:kern w:val="2"/>
          <w:sz w:val="20"/>
          <w:szCs w:val="24"/>
          <w14:ligatures w14:val="standardContextual"/>
        </w:rPr>
        <w:t xml:space="preserve">; ya que tenía la facultad para recurrir dicha experticia allegando otro dictamen de una autoridad diferente a las Juntas Regional o Nacional de Calificación, podía presentar el dictamen de cualquier ente especializado en el asunto objeto de valoración, incluso pudo solicitar el interrogatorio de los profesionales de la </w:t>
      </w:r>
      <w:r w:rsidRPr="000E60EF">
        <w:rPr>
          <w:rFonts w:ascii="Arial" w:eastAsia="Century Gothic" w:hAnsi="Arial" w:cs="Arial"/>
          <w:kern w:val="2"/>
          <w:sz w:val="20"/>
          <w:szCs w:val="24"/>
          <w14:ligatures w14:val="standardContextual"/>
        </w:rPr>
        <w:t xml:space="preserve">Junta Nacional </w:t>
      </w:r>
      <w:r w:rsidR="000E60EF" w:rsidRPr="000E60EF">
        <w:rPr>
          <w:rFonts w:ascii="Arial" w:eastAsia="Century Gothic" w:hAnsi="Arial" w:cs="Arial"/>
          <w:kern w:val="2"/>
          <w:sz w:val="20"/>
          <w:szCs w:val="24"/>
          <w14:ligatures w14:val="standardContextual"/>
        </w:rPr>
        <w:t xml:space="preserve">y/o </w:t>
      </w:r>
      <w:r w:rsidR="001572D1" w:rsidRPr="000E60EF">
        <w:rPr>
          <w:rFonts w:ascii="Arial" w:eastAsia="Century Gothic" w:hAnsi="Arial" w:cs="Arial"/>
          <w:kern w:val="2"/>
          <w:sz w:val="20"/>
          <w:szCs w:val="24"/>
          <w14:ligatures w14:val="standardContextual"/>
        </w:rPr>
        <w:t xml:space="preserve">Regional de Caldas </w:t>
      </w:r>
      <w:r w:rsidR="000E60EF" w:rsidRPr="000E60EF">
        <w:rPr>
          <w:rFonts w:ascii="Arial" w:eastAsia="Century Gothic" w:hAnsi="Arial" w:cs="Arial"/>
          <w:kern w:val="2"/>
          <w:sz w:val="20"/>
          <w:szCs w:val="24"/>
          <w14:ligatures w14:val="standardContextual"/>
        </w:rPr>
        <w:t>en la audiencia, a fin de que efectuaran la rendición de informe respecto de cada una de las inconformidades en la calificación, preguntando el método utilizado y las razones médico científicas en que basaron el porcentaje asignado a la actora, pero no lo hizo.</w:t>
      </w:r>
    </w:p>
    <w:p w14:paraId="22F0E19A" w14:textId="77777777" w:rsidR="006F1824" w:rsidRPr="006F1824" w:rsidRDefault="006F1824" w:rsidP="006F1824">
      <w:pPr>
        <w:spacing w:after="0" w:line="240" w:lineRule="auto"/>
        <w:jc w:val="both"/>
        <w:rPr>
          <w:rFonts w:ascii="Arial" w:eastAsia="Century Gothic" w:hAnsi="Arial" w:cs="Arial"/>
          <w:kern w:val="2"/>
          <w:sz w:val="20"/>
          <w:szCs w:val="24"/>
          <w14:ligatures w14:val="standardContextual"/>
        </w:rPr>
      </w:pPr>
    </w:p>
    <w:p w14:paraId="0E0B8A32" w14:textId="77777777" w:rsidR="006F1824" w:rsidRPr="006F1824" w:rsidRDefault="006F1824" w:rsidP="006F1824">
      <w:pPr>
        <w:spacing w:after="0" w:line="240" w:lineRule="auto"/>
        <w:jc w:val="both"/>
        <w:rPr>
          <w:rFonts w:ascii="Arial" w:eastAsia="Century Gothic" w:hAnsi="Arial" w:cs="Arial"/>
          <w:kern w:val="2"/>
          <w:sz w:val="20"/>
          <w:szCs w:val="24"/>
          <w14:ligatures w14:val="standardContextual"/>
        </w:rPr>
      </w:pPr>
    </w:p>
    <w:p w14:paraId="6BC14AF2" w14:textId="77777777" w:rsidR="006F1824" w:rsidRPr="006F1824" w:rsidRDefault="006F1824" w:rsidP="006F1824">
      <w:pPr>
        <w:spacing w:after="0" w:line="240" w:lineRule="auto"/>
        <w:jc w:val="both"/>
        <w:rPr>
          <w:rFonts w:ascii="Arial" w:eastAsia="Century Gothic" w:hAnsi="Arial" w:cs="Arial"/>
          <w:kern w:val="2"/>
          <w:sz w:val="20"/>
          <w:szCs w:val="24"/>
          <w14:ligatures w14:val="standardContextual"/>
        </w:rPr>
      </w:pPr>
    </w:p>
    <w:p w14:paraId="71651B40"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r w:rsidRPr="006F1824">
        <w:rPr>
          <w:rFonts w:ascii="Bookman Old Style" w:hAnsi="Bookman Old Style"/>
          <w:b/>
          <w:smallCaps/>
          <w:kern w:val="2"/>
          <w:sz w:val="24"/>
          <w:szCs w:val="24"/>
          <w14:ligatures w14:val="standardContextual"/>
        </w:rPr>
        <w:t>REPÚBLICA DE COLOMBIA</w:t>
      </w:r>
    </w:p>
    <w:p w14:paraId="4ED35179"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r w:rsidRPr="006F1824">
        <w:rPr>
          <w:rFonts w:ascii="Bookman Old Style" w:hAnsi="Bookman Old Style"/>
          <w:b/>
          <w:smallCaps/>
          <w:kern w:val="2"/>
          <w:sz w:val="24"/>
          <w:szCs w:val="24"/>
          <w14:ligatures w14:val="standardContextual"/>
        </w:rPr>
        <w:t>RAMA JUDICIAL DEL PODER PÚBLICO</w:t>
      </w:r>
    </w:p>
    <w:p w14:paraId="1BE9661A"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r w:rsidRPr="006F1824">
        <w:rPr>
          <w:rFonts w:ascii="Bookman Old Style" w:hAnsi="Bookman Old Style"/>
          <w:b/>
          <w:bCs/>
          <w:noProof/>
          <w:kern w:val="2"/>
          <w:sz w:val="24"/>
          <w:szCs w:val="24"/>
          <w:lang w:val="en-US"/>
          <w14:ligatures w14:val="standardContextual"/>
        </w:rPr>
        <w:drawing>
          <wp:inline distT="0" distB="0" distL="0" distR="0" wp14:anchorId="2F3868FC" wp14:editId="22205BDF">
            <wp:extent cx="790575" cy="590550"/>
            <wp:effectExtent l="0" t="0" r="9525"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p w14:paraId="63FEB06F"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r w:rsidRPr="006F1824">
        <w:rPr>
          <w:rFonts w:ascii="Bookman Old Style" w:hAnsi="Bookman Old Style"/>
          <w:b/>
          <w:smallCaps/>
          <w:kern w:val="2"/>
          <w:sz w:val="24"/>
          <w:szCs w:val="24"/>
          <w14:ligatures w14:val="standardContextual"/>
        </w:rPr>
        <w:t>TRIBUNAL SUPERIOR DEL DISTRITO JUDICIAL DE PEREIRA</w:t>
      </w:r>
    </w:p>
    <w:p w14:paraId="3CC38CFB"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r w:rsidRPr="006F1824">
        <w:rPr>
          <w:rFonts w:ascii="Bookman Old Style" w:hAnsi="Bookman Old Style"/>
          <w:b/>
          <w:smallCaps/>
          <w:kern w:val="2"/>
          <w:sz w:val="24"/>
          <w:szCs w:val="24"/>
          <w14:ligatures w14:val="standardContextual"/>
        </w:rPr>
        <w:t>SALA DE DECISIÓN LABORAL</w:t>
      </w:r>
    </w:p>
    <w:p w14:paraId="35046049" w14:textId="77777777" w:rsidR="006F1824" w:rsidRPr="006F1824" w:rsidRDefault="006F1824" w:rsidP="006F1824">
      <w:pPr>
        <w:spacing w:after="0" w:line="240" w:lineRule="auto"/>
        <w:jc w:val="center"/>
        <w:rPr>
          <w:rFonts w:ascii="Bookman Old Style" w:hAnsi="Bookman Old Style"/>
          <w:b/>
          <w:smallCaps/>
          <w:kern w:val="2"/>
          <w:sz w:val="24"/>
          <w:szCs w:val="24"/>
          <w14:ligatures w14:val="standardContextual"/>
        </w:rPr>
      </w:pPr>
    </w:p>
    <w:p w14:paraId="03EEA7F7" w14:textId="77777777" w:rsidR="006F1824" w:rsidRPr="006F1824" w:rsidRDefault="006F1824" w:rsidP="006F1824">
      <w:pPr>
        <w:spacing w:after="0" w:line="240" w:lineRule="auto"/>
        <w:jc w:val="center"/>
        <w:rPr>
          <w:rFonts w:ascii="Bookman Old Style" w:hAnsi="Bookman Old Style"/>
          <w:b/>
          <w:bCs/>
          <w:smallCaps/>
          <w:kern w:val="2"/>
          <w:sz w:val="24"/>
          <w:szCs w:val="24"/>
          <w14:ligatures w14:val="standardContextual"/>
        </w:rPr>
      </w:pPr>
      <w:r w:rsidRPr="006F1824">
        <w:rPr>
          <w:rFonts w:ascii="Bookman Old Style" w:hAnsi="Bookman Old Style"/>
          <w:b/>
          <w:bCs/>
          <w:smallCaps/>
          <w:kern w:val="2"/>
          <w:sz w:val="24"/>
          <w:szCs w:val="24"/>
          <w14:ligatures w14:val="standardContextual"/>
        </w:rPr>
        <w:t>Dr. GERMÁN DARÍO GÓEZ VINASCO</w:t>
      </w:r>
    </w:p>
    <w:p w14:paraId="75AE613B" w14:textId="77777777" w:rsidR="006F1824" w:rsidRPr="006F1824" w:rsidRDefault="006F1824" w:rsidP="006F1824">
      <w:pPr>
        <w:spacing w:after="0" w:line="240" w:lineRule="auto"/>
        <w:jc w:val="center"/>
        <w:rPr>
          <w:rFonts w:ascii="Bookman Old Style" w:hAnsi="Bookman Old Style"/>
          <w:smallCaps/>
          <w:color w:val="5A5A5A"/>
          <w:kern w:val="2"/>
          <w:sz w:val="24"/>
          <w:szCs w:val="24"/>
          <w14:ligatures w14:val="standardContextual"/>
        </w:rPr>
      </w:pPr>
      <w:r w:rsidRPr="006F1824">
        <w:rPr>
          <w:rFonts w:ascii="Bookman Old Style" w:hAnsi="Bookman Old Style"/>
          <w:smallCaps/>
          <w:color w:val="5A5A5A"/>
          <w:kern w:val="2"/>
          <w:sz w:val="24"/>
          <w:szCs w:val="24"/>
          <w14:ligatures w14:val="standardContextual"/>
        </w:rPr>
        <w:t>Magistrado Ponente</w:t>
      </w:r>
    </w:p>
    <w:p w14:paraId="3DD4FE9C" w14:textId="77777777" w:rsidR="006F1824" w:rsidRPr="006F1824" w:rsidRDefault="006F1824" w:rsidP="006F1824">
      <w:pPr>
        <w:spacing w:after="0"/>
        <w:jc w:val="center"/>
        <w:rPr>
          <w:rFonts w:ascii="Bookman Old Style" w:hAnsi="Bookman Old Style"/>
          <w:smallCaps/>
          <w:color w:val="5A5A5A"/>
          <w:kern w:val="2"/>
          <w:sz w:val="24"/>
          <w:szCs w:val="24"/>
          <w14:ligatures w14:val="standardContextual"/>
        </w:rPr>
      </w:pPr>
    </w:p>
    <w:tbl>
      <w:tblPr>
        <w:tblStyle w:val="Tablaconcuadrcula"/>
        <w:tblW w:w="8642" w:type="dxa"/>
        <w:jc w:val="center"/>
        <w:tblLook w:val="04A0" w:firstRow="1" w:lastRow="0" w:firstColumn="1" w:lastColumn="0" w:noHBand="0" w:noVBand="1"/>
      </w:tblPr>
      <w:tblGrid>
        <w:gridCol w:w="2550"/>
        <w:gridCol w:w="6092"/>
      </w:tblGrid>
      <w:tr w:rsidR="009E7CBE" w:rsidRPr="006F1824" w14:paraId="27BBC85A" w14:textId="77777777" w:rsidTr="72664A45">
        <w:trPr>
          <w:jc w:val="center"/>
        </w:trPr>
        <w:tc>
          <w:tcPr>
            <w:tcW w:w="2550" w:type="dxa"/>
          </w:tcPr>
          <w:p w14:paraId="0AAE3D0D" w14:textId="57FFCDA1"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Proceso:</w:t>
            </w:r>
          </w:p>
        </w:tc>
        <w:tc>
          <w:tcPr>
            <w:tcW w:w="6092" w:type="dxa"/>
          </w:tcPr>
          <w:p w14:paraId="5968E23B" w14:textId="77777777" w:rsidR="009E7CBE" w:rsidRPr="008D450C" w:rsidRDefault="009E7CBE" w:rsidP="008D450C">
            <w:pPr>
              <w:tabs>
                <w:tab w:val="left" w:pos="2127"/>
              </w:tabs>
              <w:suppressAutoHyphens/>
              <w:autoSpaceDE w:val="0"/>
              <w:autoSpaceDN w:val="0"/>
              <w:adjustRightInd w:val="0"/>
              <w:spacing w:after="0" w:line="240" w:lineRule="auto"/>
              <w:jc w:val="both"/>
              <w:rPr>
                <w:rFonts w:ascii="Bookman Old Style" w:eastAsia="Times New Roman" w:hAnsi="Bookman Old Style"/>
                <w:bCs/>
                <w:sz w:val="24"/>
                <w:szCs w:val="24"/>
                <w:lang w:eastAsia="es-ES"/>
              </w:rPr>
            </w:pPr>
            <w:r w:rsidRPr="008D450C">
              <w:rPr>
                <w:rFonts w:ascii="Bookman Old Style" w:eastAsia="Times New Roman" w:hAnsi="Bookman Old Style"/>
                <w:bCs/>
                <w:sz w:val="24"/>
                <w:szCs w:val="24"/>
                <w:lang w:eastAsia="es-ES"/>
              </w:rPr>
              <w:t>Ordinario Laboral</w:t>
            </w:r>
          </w:p>
        </w:tc>
      </w:tr>
      <w:tr w:rsidR="009E7CBE" w:rsidRPr="006F1824" w14:paraId="25B8AC10" w14:textId="77777777" w:rsidTr="72664A45">
        <w:trPr>
          <w:jc w:val="center"/>
        </w:trPr>
        <w:tc>
          <w:tcPr>
            <w:tcW w:w="2550" w:type="dxa"/>
          </w:tcPr>
          <w:p w14:paraId="6A01F325" w14:textId="58AA53A4"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Radicado:</w:t>
            </w:r>
          </w:p>
        </w:tc>
        <w:tc>
          <w:tcPr>
            <w:tcW w:w="6092" w:type="dxa"/>
          </w:tcPr>
          <w:p w14:paraId="67D9B319" w14:textId="7719D9F1" w:rsidR="009E7CBE" w:rsidRPr="008D450C" w:rsidRDefault="00941212" w:rsidP="008D450C">
            <w:pPr>
              <w:spacing w:after="0" w:line="240" w:lineRule="auto"/>
              <w:jc w:val="both"/>
              <w:rPr>
                <w:rFonts w:ascii="Bookman Old Style" w:eastAsia="Times New Roman" w:hAnsi="Bookman Old Style"/>
                <w:bCs/>
                <w:sz w:val="24"/>
                <w:szCs w:val="24"/>
                <w:lang w:eastAsia="es-ES"/>
              </w:rPr>
            </w:pPr>
            <w:r w:rsidRPr="008D450C">
              <w:rPr>
                <w:rFonts w:ascii="Bookman Old Style" w:eastAsia="Times New Roman" w:hAnsi="Bookman Old Style"/>
                <w:bCs/>
                <w:sz w:val="24"/>
                <w:szCs w:val="24"/>
                <w:lang w:eastAsia="es-ES"/>
              </w:rPr>
              <w:t>66001310500320200027701</w:t>
            </w:r>
          </w:p>
        </w:tc>
      </w:tr>
      <w:tr w:rsidR="009E7CBE" w:rsidRPr="006F1824" w14:paraId="45877C0F" w14:textId="77777777" w:rsidTr="72664A45">
        <w:trPr>
          <w:jc w:val="center"/>
        </w:trPr>
        <w:tc>
          <w:tcPr>
            <w:tcW w:w="2550" w:type="dxa"/>
          </w:tcPr>
          <w:p w14:paraId="38AD9D75" w14:textId="4F758396"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Demandante:</w:t>
            </w:r>
          </w:p>
        </w:tc>
        <w:tc>
          <w:tcPr>
            <w:tcW w:w="6092" w:type="dxa"/>
          </w:tcPr>
          <w:p w14:paraId="777E5B74" w14:textId="39D4304B" w:rsidR="009E7CBE" w:rsidRPr="008D450C" w:rsidRDefault="008D450C" w:rsidP="008D450C">
            <w:pPr>
              <w:tabs>
                <w:tab w:val="left" w:pos="2127"/>
                <w:tab w:val="left" w:pos="4200"/>
              </w:tabs>
              <w:suppressAutoHyphens/>
              <w:autoSpaceDE w:val="0"/>
              <w:autoSpaceDN w:val="0"/>
              <w:adjustRightInd w:val="0"/>
              <w:spacing w:after="0" w:line="240" w:lineRule="auto"/>
              <w:jc w:val="both"/>
              <w:rPr>
                <w:rFonts w:ascii="Bookman Old Style" w:eastAsia="Times New Roman" w:hAnsi="Bookman Old Style"/>
                <w:bCs/>
                <w:sz w:val="24"/>
                <w:szCs w:val="24"/>
                <w:lang w:eastAsia="es-ES"/>
              </w:rPr>
            </w:pPr>
            <w:r w:rsidRPr="008D450C">
              <w:rPr>
                <w:rFonts w:ascii="Bookman Old Style" w:eastAsia="Times New Roman" w:hAnsi="Bookman Old Style"/>
                <w:bCs/>
                <w:sz w:val="24"/>
                <w:szCs w:val="24"/>
                <w:lang w:eastAsia="es-ES"/>
              </w:rPr>
              <w:t xml:space="preserve">Nohelia Tangarife Agudelo </w:t>
            </w:r>
          </w:p>
        </w:tc>
      </w:tr>
      <w:tr w:rsidR="009E7CBE" w:rsidRPr="006F1824" w14:paraId="4214D33F" w14:textId="77777777" w:rsidTr="72664A45">
        <w:trPr>
          <w:trHeight w:val="256"/>
          <w:jc w:val="center"/>
        </w:trPr>
        <w:tc>
          <w:tcPr>
            <w:tcW w:w="2550" w:type="dxa"/>
          </w:tcPr>
          <w:p w14:paraId="79AF1C4B" w14:textId="186781C9"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Demandados:</w:t>
            </w:r>
          </w:p>
        </w:tc>
        <w:tc>
          <w:tcPr>
            <w:tcW w:w="6092" w:type="dxa"/>
          </w:tcPr>
          <w:p w14:paraId="4DDD6913" w14:textId="242767B2" w:rsidR="00A76676"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bCs/>
                <w:sz w:val="24"/>
                <w:szCs w:val="24"/>
                <w:lang w:eastAsia="es-ES"/>
              </w:rPr>
            </w:pPr>
            <w:r w:rsidRPr="008D450C">
              <w:rPr>
                <w:rFonts w:ascii="Bookman Old Style" w:eastAsia="Times New Roman" w:hAnsi="Bookman Old Style"/>
                <w:bCs/>
                <w:sz w:val="24"/>
                <w:szCs w:val="24"/>
                <w:lang w:eastAsia="es-ES"/>
              </w:rPr>
              <w:t>Junta Nacional de Calificación de Invalidez</w:t>
            </w:r>
          </w:p>
        </w:tc>
      </w:tr>
      <w:tr w:rsidR="007C4741" w:rsidRPr="006F1824" w14:paraId="1F1BA775" w14:textId="77777777" w:rsidTr="72664A45">
        <w:trPr>
          <w:trHeight w:val="256"/>
          <w:jc w:val="center"/>
        </w:trPr>
        <w:tc>
          <w:tcPr>
            <w:tcW w:w="2550" w:type="dxa"/>
          </w:tcPr>
          <w:p w14:paraId="6995338D" w14:textId="2894BEB7" w:rsidR="007C4741"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Vinculada:</w:t>
            </w:r>
          </w:p>
        </w:tc>
        <w:tc>
          <w:tcPr>
            <w:tcW w:w="6092" w:type="dxa"/>
          </w:tcPr>
          <w:p w14:paraId="1BE79A6A" w14:textId="5D7E9FBF" w:rsidR="007C4741"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bCs/>
                <w:sz w:val="24"/>
                <w:szCs w:val="24"/>
                <w:lang w:eastAsia="es-ES"/>
              </w:rPr>
            </w:pPr>
            <w:r w:rsidRPr="008D450C">
              <w:rPr>
                <w:rFonts w:ascii="Bookman Old Style" w:eastAsia="Times New Roman" w:hAnsi="Bookman Old Style"/>
                <w:bCs/>
                <w:sz w:val="24"/>
                <w:szCs w:val="24"/>
                <w:lang w:eastAsia="es-ES"/>
              </w:rPr>
              <w:t>Colpensiones</w:t>
            </w:r>
          </w:p>
        </w:tc>
      </w:tr>
      <w:tr w:rsidR="009E7CBE" w:rsidRPr="006F1824" w14:paraId="5CD91625" w14:textId="77777777" w:rsidTr="72664A45">
        <w:trPr>
          <w:jc w:val="center"/>
        </w:trPr>
        <w:tc>
          <w:tcPr>
            <w:tcW w:w="2550" w:type="dxa"/>
          </w:tcPr>
          <w:p w14:paraId="33F8ED75" w14:textId="5E09072E"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sz w:val="24"/>
                <w:szCs w:val="24"/>
                <w:lang w:eastAsia="es-ES"/>
              </w:rPr>
              <w:t>Asunto:</w:t>
            </w:r>
          </w:p>
        </w:tc>
        <w:tc>
          <w:tcPr>
            <w:tcW w:w="6092" w:type="dxa"/>
          </w:tcPr>
          <w:p w14:paraId="6FBA659C" w14:textId="7474E8CA" w:rsidR="009E7CBE" w:rsidRPr="008D450C" w:rsidRDefault="00C77141" w:rsidP="008D450C">
            <w:pPr>
              <w:suppressAutoHyphens/>
              <w:autoSpaceDE w:val="0"/>
              <w:autoSpaceDN w:val="0"/>
              <w:adjustRightInd w:val="0"/>
              <w:spacing w:after="0" w:line="240" w:lineRule="auto"/>
              <w:rPr>
                <w:rFonts w:ascii="Bookman Old Style" w:eastAsia="Times New Roman" w:hAnsi="Bookman Old Style"/>
                <w:bCs/>
                <w:sz w:val="24"/>
                <w:szCs w:val="24"/>
                <w:lang w:eastAsia="es-ES"/>
              </w:rPr>
            </w:pPr>
            <w:r w:rsidRPr="008D450C">
              <w:rPr>
                <w:rFonts w:ascii="Bookman Old Style" w:eastAsia="Times New Roman" w:hAnsi="Bookman Old Style"/>
                <w:sz w:val="24"/>
                <w:szCs w:val="24"/>
                <w:lang w:eastAsia="es-ES"/>
              </w:rPr>
              <w:t>Apelación de</w:t>
            </w:r>
            <w:r w:rsidR="00835B22" w:rsidRPr="008D450C">
              <w:rPr>
                <w:rFonts w:ascii="Bookman Old Style" w:eastAsia="Times New Roman" w:hAnsi="Bookman Old Style"/>
                <w:sz w:val="24"/>
                <w:szCs w:val="24"/>
                <w:lang w:eastAsia="es-ES"/>
              </w:rPr>
              <w:t xml:space="preserve"> </w:t>
            </w:r>
            <w:r w:rsidRPr="008D450C">
              <w:rPr>
                <w:rFonts w:ascii="Bookman Old Style" w:eastAsia="Times New Roman" w:hAnsi="Bookman Old Style"/>
                <w:sz w:val="24"/>
                <w:szCs w:val="24"/>
                <w:lang w:eastAsia="es-ES"/>
              </w:rPr>
              <w:t>s</w:t>
            </w:r>
            <w:r w:rsidR="009E7CBE" w:rsidRPr="008D450C">
              <w:rPr>
                <w:rFonts w:ascii="Bookman Old Style" w:eastAsia="Times New Roman" w:hAnsi="Bookman Old Style"/>
                <w:sz w:val="24"/>
                <w:szCs w:val="24"/>
                <w:lang w:eastAsia="es-ES"/>
              </w:rPr>
              <w:t>entencia</w:t>
            </w:r>
            <w:r w:rsidR="00C114F0" w:rsidRPr="008D450C">
              <w:rPr>
                <w:rFonts w:ascii="Bookman Old Style" w:eastAsia="Times New Roman" w:hAnsi="Bookman Old Style"/>
                <w:sz w:val="24"/>
                <w:szCs w:val="24"/>
                <w:lang w:eastAsia="es-ES"/>
              </w:rPr>
              <w:t xml:space="preserve"> </w:t>
            </w:r>
            <w:r w:rsidR="009E7CBE" w:rsidRPr="008D450C">
              <w:rPr>
                <w:rFonts w:ascii="Bookman Old Style" w:eastAsia="Times New Roman" w:hAnsi="Bookman Old Style"/>
                <w:sz w:val="24"/>
                <w:szCs w:val="24"/>
                <w:lang w:eastAsia="es-ES"/>
              </w:rPr>
              <w:t>del</w:t>
            </w:r>
            <w:r w:rsidR="00835B22" w:rsidRPr="008D450C">
              <w:rPr>
                <w:rFonts w:ascii="Bookman Old Style" w:eastAsia="Times New Roman" w:hAnsi="Bookman Old Style"/>
                <w:sz w:val="24"/>
                <w:szCs w:val="24"/>
                <w:lang w:eastAsia="es-ES"/>
              </w:rPr>
              <w:t xml:space="preserve"> </w:t>
            </w:r>
            <w:r w:rsidR="00376029" w:rsidRPr="008D450C">
              <w:rPr>
                <w:rFonts w:ascii="Bookman Old Style" w:eastAsia="Times New Roman" w:hAnsi="Bookman Old Style"/>
                <w:sz w:val="24"/>
                <w:szCs w:val="24"/>
                <w:lang w:eastAsia="es-ES"/>
              </w:rPr>
              <w:t>21</w:t>
            </w:r>
            <w:r w:rsidR="007C4741" w:rsidRPr="008D450C">
              <w:rPr>
                <w:rFonts w:ascii="Bookman Old Style" w:eastAsia="Times New Roman" w:hAnsi="Bookman Old Style"/>
                <w:sz w:val="24"/>
                <w:szCs w:val="24"/>
                <w:lang w:eastAsia="es-ES"/>
              </w:rPr>
              <w:t xml:space="preserve"> de </w:t>
            </w:r>
            <w:r w:rsidR="00376029" w:rsidRPr="008D450C">
              <w:rPr>
                <w:rFonts w:ascii="Bookman Old Style" w:eastAsia="Times New Roman" w:hAnsi="Bookman Old Style"/>
                <w:sz w:val="24"/>
                <w:szCs w:val="24"/>
                <w:lang w:eastAsia="es-ES"/>
              </w:rPr>
              <w:t>junio</w:t>
            </w:r>
            <w:r w:rsidR="00EB2A49" w:rsidRPr="008D450C">
              <w:rPr>
                <w:rFonts w:ascii="Bookman Old Style" w:eastAsia="Times New Roman" w:hAnsi="Bookman Old Style"/>
                <w:sz w:val="24"/>
                <w:szCs w:val="24"/>
                <w:lang w:eastAsia="es-ES"/>
              </w:rPr>
              <w:t xml:space="preserve"> </w:t>
            </w:r>
            <w:r w:rsidR="00F6453A" w:rsidRPr="008D450C">
              <w:rPr>
                <w:rFonts w:ascii="Bookman Old Style" w:eastAsia="Times New Roman" w:hAnsi="Bookman Old Style"/>
                <w:sz w:val="24"/>
                <w:szCs w:val="24"/>
                <w:lang w:eastAsia="es-ES"/>
              </w:rPr>
              <w:t>de 202</w:t>
            </w:r>
            <w:r w:rsidR="00376029" w:rsidRPr="008D450C">
              <w:rPr>
                <w:rFonts w:ascii="Bookman Old Style" w:eastAsia="Times New Roman" w:hAnsi="Bookman Old Style"/>
                <w:sz w:val="24"/>
                <w:szCs w:val="24"/>
                <w:lang w:eastAsia="es-ES"/>
              </w:rPr>
              <w:t>1</w:t>
            </w:r>
          </w:p>
        </w:tc>
      </w:tr>
      <w:tr w:rsidR="009E7CBE" w:rsidRPr="006F1824" w14:paraId="698CFA9A" w14:textId="77777777" w:rsidTr="72664A45">
        <w:trPr>
          <w:jc w:val="center"/>
        </w:trPr>
        <w:tc>
          <w:tcPr>
            <w:tcW w:w="2550" w:type="dxa"/>
          </w:tcPr>
          <w:p w14:paraId="0F3368AE" w14:textId="1B610E41"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bCs/>
                <w:sz w:val="24"/>
                <w:szCs w:val="24"/>
                <w:lang w:eastAsia="es-ES"/>
              </w:rPr>
              <w:t>Juzgado:</w:t>
            </w:r>
          </w:p>
        </w:tc>
        <w:tc>
          <w:tcPr>
            <w:tcW w:w="6092" w:type="dxa"/>
          </w:tcPr>
          <w:p w14:paraId="33FF7089" w14:textId="73774CE5" w:rsidR="009E7CBE" w:rsidRPr="008D450C" w:rsidRDefault="007C4741" w:rsidP="008D450C">
            <w:pPr>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bCs/>
                <w:sz w:val="24"/>
                <w:szCs w:val="24"/>
                <w:lang w:eastAsia="es-ES"/>
              </w:rPr>
              <w:t>Tercero</w:t>
            </w:r>
            <w:r w:rsidR="001D1DCA" w:rsidRPr="008D450C">
              <w:rPr>
                <w:rFonts w:ascii="Bookman Old Style" w:eastAsia="Times New Roman" w:hAnsi="Bookman Old Style"/>
                <w:bCs/>
                <w:sz w:val="24"/>
                <w:szCs w:val="24"/>
                <w:lang w:eastAsia="es-ES"/>
              </w:rPr>
              <w:t xml:space="preserve"> </w:t>
            </w:r>
            <w:r w:rsidR="009E7CBE" w:rsidRPr="008D450C">
              <w:rPr>
                <w:rFonts w:ascii="Bookman Old Style" w:eastAsia="Times New Roman" w:hAnsi="Bookman Old Style"/>
                <w:bCs/>
                <w:sz w:val="24"/>
                <w:szCs w:val="24"/>
                <w:lang w:eastAsia="es-ES"/>
              </w:rPr>
              <w:t>Laboral del Circuito</w:t>
            </w:r>
            <w:r w:rsidR="006E7EB1" w:rsidRPr="008D450C">
              <w:rPr>
                <w:rFonts w:ascii="Bookman Old Style" w:eastAsia="Times New Roman" w:hAnsi="Bookman Old Style"/>
                <w:bCs/>
                <w:sz w:val="24"/>
                <w:szCs w:val="24"/>
                <w:lang w:eastAsia="es-ES"/>
              </w:rPr>
              <w:t xml:space="preserve"> </w:t>
            </w:r>
            <w:r w:rsidR="009E7CBE" w:rsidRPr="008D450C">
              <w:rPr>
                <w:rFonts w:ascii="Bookman Old Style" w:eastAsia="Times New Roman" w:hAnsi="Bookman Old Style"/>
                <w:bCs/>
                <w:sz w:val="24"/>
                <w:szCs w:val="24"/>
                <w:lang w:eastAsia="es-ES"/>
              </w:rPr>
              <w:t xml:space="preserve">de </w:t>
            </w:r>
            <w:r w:rsidR="00C114F0" w:rsidRPr="008D450C">
              <w:rPr>
                <w:rFonts w:ascii="Bookman Old Style" w:eastAsia="Times New Roman" w:hAnsi="Bookman Old Style"/>
                <w:bCs/>
                <w:sz w:val="24"/>
                <w:szCs w:val="24"/>
                <w:lang w:eastAsia="es-ES"/>
              </w:rPr>
              <w:t>Pereira</w:t>
            </w:r>
          </w:p>
        </w:tc>
      </w:tr>
      <w:tr w:rsidR="009E7CBE" w:rsidRPr="006F1824" w14:paraId="7AC04565" w14:textId="77777777" w:rsidTr="72664A45">
        <w:trPr>
          <w:jc w:val="center"/>
        </w:trPr>
        <w:tc>
          <w:tcPr>
            <w:tcW w:w="2550" w:type="dxa"/>
          </w:tcPr>
          <w:p w14:paraId="6076E70C" w14:textId="61D1B4A5" w:rsidR="009E7CBE" w:rsidRPr="008D450C" w:rsidRDefault="008D450C"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iCs/>
                <w:sz w:val="24"/>
                <w:szCs w:val="24"/>
                <w:lang w:eastAsia="es-ES"/>
              </w:rPr>
              <w:t>Tema:</w:t>
            </w:r>
          </w:p>
        </w:tc>
        <w:tc>
          <w:tcPr>
            <w:tcW w:w="6092" w:type="dxa"/>
          </w:tcPr>
          <w:p w14:paraId="4C8A8FED" w14:textId="4A125A4B" w:rsidR="009E7CBE" w:rsidRPr="008D450C" w:rsidRDefault="00376029" w:rsidP="008D450C">
            <w:pPr>
              <w:tabs>
                <w:tab w:val="left" w:pos="2127"/>
              </w:tabs>
              <w:suppressAutoHyphens/>
              <w:autoSpaceDE w:val="0"/>
              <w:autoSpaceDN w:val="0"/>
              <w:adjustRightInd w:val="0"/>
              <w:spacing w:after="0" w:line="240" w:lineRule="auto"/>
              <w:jc w:val="both"/>
              <w:rPr>
                <w:rFonts w:ascii="Bookman Old Style" w:eastAsia="Times New Roman" w:hAnsi="Bookman Old Style"/>
                <w:sz w:val="24"/>
                <w:szCs w:val="24"/>
                <w:lang w:eastAsia="es-ES"/>
              </w:rPr>
            </w:pPr>
            <w:r w:rsidRPr="008D450C">
              <w:rPr>
                <w:rFonts w:ascii="Bookman Old Style" w:eastAsia="Times New Roman" w:hAnsi="Bookman Old Style"/>
                <w:iCs/>
                <w:sz w:val="24"/>
                <w:szCs w:val="24"/>
                <w:lang w:eastAsia="es-ES"/>
              </w:rPr>
              <w:t xml:space="preserve">Nulidad del </w:t>
            </w:r>
            <w:r w:rsidR="003E62BC" w:rsidRPr="008D450C">
              <w:rPr>
                <w:rFonts w:ascii="Bookman Old Style" w:eastAsia="Times New Roman" w:hAnsi="Bookman Old Style"/>
                <w:iCs/>
                <w:sz w:val="24"/>
                <w:szCs w:val="24"/>
                <w:lang w:eastAsia="es-ES"/>
              </w:rPr>
              <w:t xml:space="preserve">dictamen </w:t>
            </w:r>
            <w:r w:rsidRPr="008D450C">
              <w:rPr>
                <w:rFonts w:ascii="Bookman Old Style" w:eastAsia="Times New Roman" w:hAnsi="Bookman Old Style"/>
                <w:iCs/>
                <w:sz w:val="24"/>
                <w:szCs w:val="24"/>
                <w:lang w:eastAsia="es-ES"/>
              </w:rPr>
              <w:t>de PCL</w:t>
            </w:r>
          </w:p>
        </w:tc>
      </w:tr>
    </w:tbl>
    <w:p w14:paraId="3D332CC7" w14:textId="77777777" w:rsidR="009E7CBE" w:rsidRPr="006F1824" w:rsidRDefault="009E7CBE" w:rsidP="006F1824">
      <w:pPr>
        <w:spacing w:after="0"/>
        <w:rPr>
          <w:rFonts w:ascii="Bookman Old Style" w:eastAsia="Dotum" w:hAnsi="Bookman Old Style" w:cs="FrankRuehl"/>
          <w:b/>
          <w:sz w:val="24"/>
          <w:szCs w:val="24"/>
          <w:lang w:eastAsia="es-ES"/>
        </w:rPr>
      </w:pPr>
      <w:r w:rsidRPr="006F1824">
        <w:rPr>
          <w:rFonts w:ascii="Bookman Old Style" w:eastAsia="Dotum" w:hAnsi="Bookman Old Style" w:cs="FrankRuehl"/>
          <w:b/>
          <w:sz w:val="24"/>
          <w:szCs w:val="24"/>
          <w:lang w:eastAsia="es-ES"/>
        </w:rPr>
        <w:tab/>
      </w:r>
    </w:p>
    <w:p w14:paraId="6F499626" w14:textId="0C4B0968" w:rsidR="009E7CBE" w:rsidRPr="006F1824" w:rsidRDefault="009E7CBE" w:rsidP="006F1824">
      <w:pPr>
        <w:autoSpaceDE w:val="0"/>
        <w:autoSpaceDN w:val="0"/>
        <w:adjustRightInd w:val="0"/>
        <w:spacing w:after="0"/>
        <w:jc w:val="center"/>
        <w:rPr>
          <w:rFonts w:ascii="Bookman Old Style" w:eastAsia="Times New Roman" w:hAnsi="Bookman Old Style"/>
          <w:b/>
          <w:bCs/>
          <w:sz w:val="24"/>
          <w:szCs w:val="24"/>
          <w:lang w:eastAsia="es-ES"/>
        </w:rPr>
      </w:pPr>
      <w:r w:rsidRPr="006F1824">
        <w:rPr>
          <w:rFonts w:ascii="Bookman Old Style" w:eastAsia="Times New Roman" w:hAnsi="Bookman Old Style"/>
          <w:b/>
          <w:bCs/>
          <w:sz w:val="24"/>
          <w:szCs w:val="24"/>
          <w:lang w:eastAsia="es-ES"/>
        </w:rPr>
        <w:t>APROBADO POR ACTA No.</w:t>
      </w:r>
      <w:r w:rsidR="00960E06" w:rsidRPr="006F1824">
        <w:rPr>
          <w:rFonts w:ascii="Bookman Old Style" w:eastAsia="Times New Roman" w:hAnsi="Bookman Old Style"/>
          <w:b/>
          <w:bCs/>
          <w:sz w:val="24"/>
          <w:szCs w:val="24"/>
          <w:lang w:eastAsia="es-ES"/>
        </w:rPr>
        <w:t xml:space="preserve"> 177 DEL 07 DE NOVIEMBRE DE 2023</w:t>
      </w:r>
    </w:p>
    <w:p w14:paraId="2278A36B" w14:textId="039FE0DE" w:rsidR="009E7CBE" w:rsidRPr="006F1824" w:rsidRDefault="009E7CBE" w:rsidP="006F1824">
      <w:pPr>
        <w:keepNext/>
        <w:tabs>
          <w:tab w:val="left" w:pos="3544"/>
        </w:tabs>
        <w:spacing w:after="0"/>
        <w:jc w:val="both"/>
        <w:outlineLvl w:val="1"/>
        <w:rPr>
          <w:rFonts w:ascii="Bookman Old Style" w:eastAsia="Times New Roman" w:hAnsi="Bookman Old Style" w:cs="FrankRuehl"/>
          <w:sz w:val="24"/>
          <w:szCs w:val="24"/>
          <w:lang w:eastAsia="es-ES"/>
        </w:rPr>
      </w:pPr>
    </w:p>
    <w:p w14:paraId="188F35D9" w14:textId="66C92C4A" w:rsidR="0053060E" w:rsidRPr="006F1824" w:rsidRDefault="0053060E" w:rsidP="006F1824">
      <w:pPr>
        <w:tabs>
          <w:tab w:val="left" w:pos="2127"/>
        </w:tabs>
        <w:suppressAutoHyphens/>
        <w:autoSpaceDE w:val="0"/>
        <w:autoSpaceDN w:val="0"/>
        <w:adjustRightInd w:val="0"/>
        <w:spacing w:after="0"/>
        <w:jc w:val="both"/>
        <w:rPr>
          <w:rFonts w:ascii="Bookman Old Style" w:eastAsia="Times New Roman" w:hAnsi="Bookman Old Style"/>
          <w:bCs/>
          <w:sz w:val="24"/>
          <w:szCs w:val="24"/>
          <w:lang w:eastAsia="es-ES"/>
        </w:rPr>
      </w:pPr>
      <w:r w:rsidRPr="006F1824">
        <w:rPr>
          <w:rFonts w:ascii="Bookman Old Style" w:hAnsi="Bookman Old Style"/>
          <w:sz w:val="24"/>
          <w:szCs w:val="24"/>
        </w:rPr>
        <w:t>Ho</w:t>
      </w:r>
      <w:r w:rsidR="00BE49B4" w:rsidRPr="006F1824">
        <w:rPr>
          <w:rFonts w:ascii="Bookman Old Style" w:hAnsi="Bookman Old Style"/>
          <w:sz w:val="24"/>
          <w:szCs w:val="24"/>
        </w:rPr>
        <w:t xml:space="preserve">y, diez </w:t>
      </w:r>
      <w:r w:rsidR="00941212" w:rsidRPr="006F1824">
        <w:rPr>
          <w:rFonts w:ascii="Bookman Old Style" w:hAnsi="Bookman Old Style"/>
          <w:sz w:val="24"/>
          <w:szCs w:val="24"/>
        </w:rPr>
        <w:t>(</w:t>
      </w:r>
      <w:r w:rsidR="00BE49B4" w:rsidRPr="006F1824">
        <w:rPr>
          <w:rFonts w:ascii="Bookman Old Style" w:hAnsi="Bookman Old Style"/>
          <w:sz w:val="24"/>
          <w:szCs w:val="24"/>
        </w:rPr>
        <w:t>10</w:t>
      </w:r>
      <w:r w:rsidR="00941212" w:rsidRPr="006F1824">
        <w:rPr>
          <w:rFonts w:ascii="Bookman Old Style" w:hAnsi="Bookman Old Style"/>
          <w:sz w:val="24"/>
          <w:szCs w:val="24"/>
        </w:rPr>
        <w:t xml:space="preserve">) de noviembre </w:t>
      </w:r>
      <w:r w:rsidRPr="006F1824">
        <w:rPr>
          <w:rFonts w:ascii="Bookman Old Style" w:hAnsi="Bookman Old Style"/>
          <w:sz w:val="24"/>
          <w:szCs w:val="24"/>
        </w:rPr>
        <w:t>de dos mil veint</w:t>
      </w:r>
      <w:r w:rsidR="00C114F0" w:rsidRPr="006F1824">
        <w:rPr>
          <w:rFonts w:ascii="Bookman Old Style" w:hAnsi="Bookman Old Style"/>
          <w:sz w:val="24"/>
          <w:szCs w:val="24"/>
        </w:rPr>
        <w:t>i</w:t>
      </w:r>
      <w:r w:rsidR="001D1DCA" w:rsidRPr="006F1824">
        <w:rPr>
          <w:rFonts w:ascii="Bookman Old Style" w:hAnsi="Bookman Old Style"/>
          <w:sz w:val="24"/>
          <w:szCs w:val="24"/>
        </w:rPr>
        <w:t>trés</w:t>
      </w:r>
      <w:r w:rsidRPr="006F1824">
        <w:rPr>
          <w:rFonts w:ascii="Bookman Old Style" w:hAnsi="Bookman Old Style"/>
          <w:sz w:val="24"/>
          <w:szCs w:val="24"/>
        </w:rPr>
        <w:t xml:space="preserve"> (202</w:t>
      </w:r>
      <w:r w:rsidR="001D1DCA" w:rsidRPr="006F1824">
        <w:rPr>
          <w:rFonts w:ascii="Bookman Old Style" w:hAnsi="Bookman Old Style"/>
          <w:sz w:val="24"/>
          <w:szCs w:val="24"/>
        </w:rPr>
        <w:t>3</w:t>
      </w:r>
      <w:r w:rsidRPr="006F1824">
        <w:rPr>
          <w:rFonts w:ascii="Bookman Old Style" w:hAnsi="Bookman Old Style"/>
          <w:sz w:val="24"/>
          <w:szCs w:val="24"/>
        </w:rPr>
        <w:t xml:space="preserve">), el Tribunal Superior de Distrito Judicial </w:t>
      </w:r>
      <w:r w:rsidRPr="008D450C">
        <w:rPr>
          <w:rFonts w:ascii="Bookman Old Style" w:hAnsi="Bookman Old Style"/>
          <w:sz w:val="24"/>
          <w:szCs w:val="24"/>
        </w:rPr>
        <w:t xml:space="preserve">de </w:t>
      </w:r>
      <w:r w:rsidR="00C114F0" w:rsidRPr="008D450C">
        <w:rPr>
          <w:rFonts w:ascii="Bookman Old Style" w:hAnsi="Bookman Old Style"/>
          <w:sz w:val="24"/>
          <w:szCs w:val="24"/>
        </w:rPr>
        <w:t>Pereira</w:t>
      </w:r>
      <w:r w:rsidRPr="008D450C">
        <w:rPr>
          <w:rFonts w:ascii="Bookman Old Style" w:hAnsi="Bookman Old Style"/>
          <w:sz w:val="24"/>
          <w:szCs w:val="24"/>
        </w:rPr>
        <w:t>, Sala</w:t>
      </w:r>
      <w:r w:rsidR="00C114F0" w:rsidRPr="008D450C">
        <w:rPr>
          <w:rFonts w:ascii="Bookman Old Style" w:hAnsi="Bookman Old Style"/>
          <w:sz w:val="24"/>
          <w:szCs w:val="24"/>
        </w:rPr>
        <w:t xml:space="preserve"> </w:t>
      </w:r>
      <w:r w:rsidRPr="008D450C">
        <w:rPr>
          <w:rFonts w:ascii="Bookman Old Style" w:hAnsi="Bookman Old Style"/>
          <w:sz w:val="24"/>
          <w:szCs w:val="24"/>
        </w:rPr>
        <w:t>de Decisión Laboral integrada por los magistrados Dr</w:t>
      </w:r>
      <w:r w:rsidR="00C114F0" w:rsidRPr="008D450C">
        <w:rPr>
          <w:rFonts w:ascii="Bookman Old Style" w:hAnsi="Bookman Old Style"/>
          <w:sz w:val="24"/>
          <w:szCs w:val="24"/>
        </w:rPr>
        <w:t>a</w:t>
      </w:r>
      <w:r w:rsidRPr="008D450C">
        <w:rPr>
          <w:rFonts w:ascii="Bookman Old Style" w:hAnsi="Bookman Old Style"/>
          <w:sz w:val="24"/>
          <w:szCs w:val="24"/>
        </w:rPr>
        <w:t xml:space="preserve">. </w:t>
      </w:r>
      <w:r w:rsidR="00C114F0" w:rsidRPr="008D450C">
        <w:rPr>
          <w:rFonts w:ascii="Bookman Old Style" w:hAnsi="Bookman Old Style"/>
          <w:sz w:val="24"/>
          <w:szCs w:val="24"/>
        </w:rPr>
        <w:t>OLGA LUCIA HOYOS SEPÚLVEDA</w:t>
      </w:r>
      <w:r w:rsidRPr="008D450C">
        <w:rPr>
          <w:rFonts w:ascii="Bookman Old Style" w:hAnsi="Bookman Old Style"/>
          <w:sz w:val="24"/>
          <w:szCs w:val="24"/>
        </w:rPr>
        <w:t>, D</w:t>
      </w:r>
      <w:r w:rsidR="00C114F0" w:rsidRPr="008D450C">
        <w:rPr>
          <w:rFonts w:ascii="Bookman Old Style" w:hAnsi="Bookman Old Style"/>
          <w:sz w:val="24"/>
          <w:szCs w:val="24"/>
        </w:rPr>
        <w:t>r</w:t>
      </w:r>
      <w:r w:rsidRPr="008D450C">
        <w:rPr>
          <w:rFonts w:ascii="Bookman Old Style" w:hAnsi="Bookman Old Style"/>
          <w:sz w:val="24"/>
          <w:szCs w:val="24"/>
        </w:rPr>
        <w:t>.</w:t>
      </w:r>
      <w:r w:rsidR="00C114F0" w:rsidRPr="008D450C">
        <w:rPr>
          <w:rFonts w:ascii="Bookman Old Style" w:hAnsi="Bookman Old Style"/>
          <w:sz w:val="24"/>
          <w:szCs w:val="24"/>
        </w:rPr>
        <w:t xml:space="preserve"> JULIO CÉSAR SALAZAR MUÑOZ y</w:t>
      </w:r>
      <w:r w:rsidRPr="008D450C">
        <w:rPr>
          <w:rFonts w:ascii="Bookman Old Style" w:hAnsi="Bookman Old Style"/>
          <w:sz w:val="24"/>
          <w:szCs w:val="24"/>
        </w:rPr>
        <w:t xml:space="preserve"> como ponente Dr. GERMÁN DARÍO GÓEZ VINASCO</w:t>
      </w:r>
      <w:r w:rsidR="005257D6" w:rsidRPr="008D450C">
        <w:rPr>
          <w:rFonts w:ascii="Bookman Old Style" w:eastAsia="Dotum" w:hAnsi="Bookman Old Style" w:cs="Tahoma"/>
          <w:sz w:val="24"/>
          <w:szCs w:val="24"/>
          <w:lang w:eastAsia="es-ES"/>
        </w:rPr>
        <w:t xml:space="preserve">, </w:t>
      </w:r>
      <w:r w:rsidR="00AB2695" w:rsidRPr="008D450C">
        <w:rPr>
          <w:rFonts w:ascii="Bookman Old Style" w:eastAsia="Dotum" w:hAnsi="Bookman Old Style" w:cs="Tahoma"/>
          <w:sz w:val="24"/>
          <w:szCs w:val="24"/>
          <w:lang w:eastAsia="es-ES"/>
        </w:rPr>
        <w:t xml:space="preserve">procede a resolver </w:t>
      </w:r>
      <w:r w:rsidR="00941212" w:rsidRPr="008D450C">
        <w:rPr>
          <w:rFonts w:ascii="Bookman Old Style" w:eastAsia="Dotum" w:hAnsi="Bookman Old Style" w:cs="Tahoma"/>
          <w:sz w:val="24"/>
          <w:szCs w:val="24"/>
          <w:lang w:eastAsia="es-ES"/>
        </w:rPr>
        <w:t>el</w:t>
      </w:r>
      <w:r w:rsidR="00941212" w:rsidRPr="006F1824">
        <w:rPr>
          <w:rFonts w:ascii="Bookman Old Style" w:eastAsia="Dotum" w:hAnsi="Bookman Old Style" w:cs="Tahoma"/>
          <w:sz w:val="24"/>
          <w:szCs w:val="24"/>
          <w:lang w:eastAsia="es-ES"/>
        </w:rPr>
        <w:t xml:space="preserve"> recurso de apelación interpuesto por la parte</w:t>
      </w:r>
      <w:r w:rsidR="001D1DCA" w:rsidRPr="006F1824">
        <w:rPr>
          <w:rFonts w:ascii="Bookman Old Style" w:eastAsia="Dotum" w:hAnsi="Bookman Old Style" w:cs="Tahoma"/>
          <w:sz w:val="24"/>
          <w:szCs w:val="24"/>
          <w:lang w:eastAsia="es-ES"/>
        </w:rPr>
        <w:t xml:space="preserve"> </w:t>
      </w:r>
      <w:r w:rsidR="006A6110" w:rsidRPr="006F1824">
        <w:rPr>
          <w:rFonts w:ascii="Bookman Old Style" w:eastAsia="Dotum" w:hAnsi="Bookman Old Style" w:cs="Tahoma"/>
          <w:sz w:val="24"/>
          <w:szCs w:val="24"/>
          <w:lang w:eastAsia="es-ES"/>
        </w:rPr>
        <w:t xml:space="preserve">demandante </w:t>
      </w:r>
      <w:r w:rsidR="00B60D9D" w:rsidRPr="006F1824">
        <w:rPr>
          <w:rFonts w:ascii="Bookman Old Style" w:eastAsia="Dotum" w:hAnsi="Bookman Old Style" w:cs="Tahoma"/>
          <w:sz w:val="24"/>
          <w:szCs w:val="24"/>
          <w:lang w:eastAsia="es-ES"/>
        </w:rPr>
        <w:t xml:space="preserve">contra </w:t>
      </w:r>
      <w:r w:rsidR="00B60D9D" w:rsidRPr="006F1824">
        <w:rPr>
          <w:rFonts w:ascii="Bookman Old Style" w:eastAsia="Times New Roman" w:hAnsi="Bookman Old Style"/>
          <w:sz w:val="24"/>
          <w:szCs w:val="24"/>
          <w:lang w:eastAsia="es-ES"/>
        </w:rPr>
        <w:t>la</w:t>
      </w:r>
      <w:r w:rsidR="00B60D9D" w:rsidRPr="006F1824">
        <w:rPr>
          <w:rFonts w:ascii="Bookman Old Style" w:eastAsia="Times New Roman" w:hAnsi="Bookman Old Style"/>
          <w:bCs/>
          <w:sz w:val="24"/>
          <w:szCs w:val="24"/>
          <w:lang w:eastAsia="es-ES"/>
        </w:rPr>
        <w:t xml:space="preserve"> </w:t>
      </w:r>
      <w:r w:rsidR="00FE2167" w:rsidRPr="006F1824">
        <w:rPr>
          <w:rFonts w:ascii="Bookman Old Style" w:eastAsia="Times New Roman" w:hAnsi="Bookman Old Style"/>
          <w:bCs/>
          <w:sz w:val="24"/>
          <w:szCs w:val="24"/>
          <w:lang w:eastAsia="es-ES"/>
        </w:rPr>
        <w:t>sentencia de primera instancia</w:t>
      </w:r>
      <w:r w:rsidR="00835B22" w:rsidRPr="006F1824">
        <w:rPr>
          <w:rFonts w:ascii="Bookman Old Style" w:eastAsia="Times New Roman" w:hAnsi="Bookman Old Style"/>
          <w:bCs/>
          <w:sz w:val="24"/>
          <w:szCs w:val="24"/>
          <w:lang w:eastAsia="es-ES"/>
        </w:rPr>
        <w:t>,</w:t>
      </w:r>
      <w:r w:rsidR="00C114F0" w:rsidRPr="006F1824">
        <w:rPr>
          <w:rFonts w:ascii="Bookman Old Style" w:eastAsia="Times New Roman" w:hAnsi="Bookman Old Style"/>
          <w:bCs/>
          <w:sz w:val="24"/>
          <w:szCs w:val="24"/>
          <w:lang w:eastAsia="es-ES"/>
        </w:rPr>
        <w:t xml:space="preserve"> </w:t>
      </w:r>
      <w:r w:rsidR="0039189B" w:rsidRPr="006F1824">
        <w:rPr>
          <w:rFonts w:ascii="Bookman Old Style" w:eastAsia="Dotum" w:hAnsi="Bookman Old Style" w:cs="Tahoma"/>
          <w:sz w:val="24"/>
          <w:szCs w:val="24"/>
          <w:lang w:eastAsia="es-ES"/>
        </w:rPr>
        <w:t xml:space="preserve">proferida por el Juzgado </w:t>
      </w:r>
      <w:r w:rsidR="00C91328" w:rsidRPr="006F1824">
        <w:rPr>
          <w:rFonts w:ascii="Bookman Old Style" w:eastAsia="Dotum" w:hAnsi="Bookman Old Style" w:cs="Tahoma"/>
          <w:sz w:val="24"/>
          <w:szCs w:val="24"/>
          <w:lang w:eastAsia="es-ES"/>
        </w:rPr>
        <w:t>Tercero</w:t>
      </w:r>
      <w:r w:rsidR="001D1DCA" w:rsidRPr="006F1824">
        <w:rPr>
          <w:rFonts w:ascii="Bookman Old Style" w:eastAsia="Dotum" w:hAnsi="Bookman Old Style" w:cs="Tahoma"/>
          <w:sz w:val="24"/>
          <w:szCs w:val="24"/>
          <w:lang w:eastAsia="es-ES"/>
        </w:rPr>
        <w:t xml:space="preserve"> </w:t>
      </w:r>
      <w:r w:rsidRPr="006F1824">
        <w:rPr>
          <w:rFonts w:ascii="Bookman Old Style" w:eastAsia="Dotum" w:hAnsi="Bookman Old Style" w:cs="Tahoma"/>
          <w:sz w:val="24"/>
          <w:szCs w:val="24"/>
          <w:lang w:eastAsia="es-ES"/>
        </w:rPr>
        <w:t xml:space="preserve">Laboral del Circuito de esta ciudad dentro del proceso </w:t>
      </w:r>
      <w:r w:rsidRPr="008D450C">
        <w:rPr>
          <w:rFonts w:ascii="Bookman Old Style" w:eastAsia="Dotum" w:hAnsi="Bookman Old Style" w:cs="Tahoma"/>
          <w:b/>
          <w:sz w:val="24"/>
          <w:szCs w:val="24"/>
          <w:lang w:eastAsia="es-ES"/>
        </w:rPr>
        <w:lastRenderedPageBreak/>
        <w:t>ordinario</w:t>
      </w:r>
      <w:r w:rsidR="008D450C">
        <w:rPr>
          <w:rFonts w:ascii="Bookman Old Style" w:eastAsia="Dotum" w:hAnsi="Bookman Old Style" w:cs="Tahoma"/>
          <w:b/>
          <w:sz w:val="24"/>
          <w:szCs w:val="24"/>
          <w:lang w:eastAsia="es-ES"/>
        </w:rPr>
        <w:t xml:space="preserve"> laboral</w:t>
      </w:r>
      <w:r w:rsidRPr="006F1824">
        <w:rPr>
          <w:rFonts w:ascii="Bookman Old Style" w:eastAsia="Dotum" w:hAnsi="Bookman Old Style" w:cs="Tahoma"/>
          <w:sz w:val="24"/>
          <w:szCs w:val="24"/>
          <w:lang w:eastAsia="es-ES"/>
        </w:rPr>
        <w:t xml:space="preserve"> promovido </w:t>
      </w:r>
      <w:r w:rsidR="00EE7ACE" w:rsidRPr="006F1824">
        <w:rPr>
          <w:rFonts w:ascii="Bookman Old Style" w:eastAsia="Dotum" w:hAnsi="Bookman Old Style" w:cs="Tahoma"/>
          <w:b/>
          <w:sz w:val="24"/>
          <w:szCs w:val="24"/>
          <w:lang w:eastAsia="es-ES"/>
        </w:rPr>
        <w:t xml:space="preserve">NOHELIA TANGARIFE AGUDELO </w:t>
      </w:r>
      <w:r w:rsidR="00A76676" w:rsidRPr="006F1824">
        <w:rPr>
          <w:rFonts w:ascii="Bookman Old Style" w:eastAsia="Dotum" w:hAnsi="Bookman Old Style" w:cs="Tahoma"/>
          <w:sz w:val="24"/>
          <w:szCs w:val="24"/>
          <w:lang w:eastAsia="es-ES"/>
        </w:rPr>
        <w:t xml:space="preserve">en </w:t>
      </w:r>
      <w:r w:rsidRPr="006F1824">
        <w:rPr>
          <w:rFonts w:ascii="Bookman Old Style" w:eastAsia="Dotum" w:hAnsi="Bookman Old Style" w:cs="Tahoma"/>
          <w:sz w:val="24"/>
          <w:szCs w:val="24"/>
          <w:lang w:eastAsia="es-ES"/>
        </w:rPr>
        <w:t>contra</w:t>
      </w:r>
      <w:r w:rsidR="00C05BC5" w:rsidRPr="006F1824">
        <w:rPr>
          <w:rFonts w:ascii="Bookman Old Style" w:eastAsia="Dotum" w:hAnsi="Bookman Old Style" w:cs="Tahoma"/>
          <w:sz w:val="24"/>
          <w:szCs w:val="24"/>
          <w:lang w:eastAsia="es-ES"/>
        </w:rPr>
        <w:t xml:space="preserve"> </w:t>
      </w:r>
      <w:r w:rsidR="00A76676" w:rsidRPr="006F1824">
        <w:rPr>
          <w:rFonts w:ascii="Bookman Old Style" w:eastAsia="Dotum" w:hAnsi="Bookman Old Style" w:cs="Tahoma"/>
          <w:sz w:val="24"/>
          <w:szCs w:val="24"/>
          <w:lang w:eastAsia="es-ES"/>
        </w:rPr>
        <w:t xml:space="preserve">de </w:t>
      </w:r>
      <w:r w:rsidR="001D1DCA" w:rsidRPr="006F1824">
        <w:rPr>
          <w:rFonts w:ascii="Bookman Old Style" w:eastAsia="Dotum" w:hAnsi="Bookman Old Style" w:cs="Tahoma"/>
          <w:b/>
          <w:sz w:val="24"/>
          <w:szCs w:val="24"/>
          <w:lang w:eastAsia="es-ES"/>
        </w:rPr>
        <w:t xml:space="preserve">JUNTA </w:t>
      </w:r>
      <w:r w:rsidR="00C91328" w:rsidRPr="006F1824">
        <w:rPr>
          <w:rFonts w:ascii="Bookman Old Style" w:eastAsia="Dotum" w:hAnsi="Bookman Old Style" w:cs="Tahoma"/>
          <w:b/>
          <w:sz w:val="24"/>
          <w:szCs w:val="24"/>
          <w:lang w:eastAsia="es-ES"/>
        </w:rPr>
        <w:t>NACIONAL DE CALIFICACIÓN</w:t>
      </w:r>
      <w:r w:rsidR="001D1DCA" w:rsidRPr="006F1824">
        <w:rPr>
          <w:rFonts w:ascii="Bookman Old Style" w:eastAsia="Dotum" w:hAnsi="Bookman Old Style" w:cs="Tahoma"/>
          <w:b/>
          <w:sz w:val="24"/>
          <w:szCs w:val="24"/>
          <w:lang w:eastAsia="es-ES"/>
        </w:rPr>
        <w:t xml:space="preserve"> DE INVALIDEZ</w:t>
      </w:r>
      <w:r w:rsidR="00C91328" w:rsidRPr="006F1824">
        <w:rPr>
          <w:rFonts w:ascii="Bookman Old Style" w:eastAsia="Dotum" w:hAnsi="Bookman Old Style" w:cs="Tahoma"/>
          <w:b/>
          <w:sz w:val="24"/>
          <w:szCs w:val="24"/>
          <w:lang w:eastAsia="es-ES"/>
        </w:rPr>
        <w:t xml:space="preserve"> </w:t>
      </w:r>
      <w:r w:rsidR="00EE7ACE" w:rsidRPr="006F1824">
        <w:rPr>
          <w:rFonts w:ascii="Bookman Old Style" w:eastAsia="Dotum" w:hAnsi="Bookman Old Style" w:cs="Tahoma"/>
          <w:sz w:val="24"/>
          <w:szCs w:val="24"/>
          <w:lang w:eastAsia="es-ES"/>
        </w:rPr>
        <w:t>y la vinculada</w:t>
      </w:r>
      <w:r w:rsidR="00C91328" w:rsidRPr="006F1824">
        <w:rPr>
          <w:rFonts w:ascii="Bookman Old Style" w:eastAsia="Dotum" w:hAnsi="Bookman Old Style" w:cs="Tahoma"/>
          <w:sz w:val="24"/>
          <w:szCs w:val="24"/>
          <w:lang w:eastAsia="es-ES"/>
        </w:rPr>
        <w:t xml:space="preserve"> </w:t>
      </w:r>
      <w:r w:rsidR="00EE7ACE" w:rsidRPr="006F1824">
        <w:rPr>
          <w:rFonts w:ascii="Bookman Old Style" w:eastAsia="Dotum" w:hAnsi="Bookman Old Style" w:cs="Tahoma"/>
          <w:b/>
          <w:sz w:val="24"/>
          <w:szCs w:val="24"/>
          <w:lang w:eastAsia="es-ES"/>
        </w:rPr>
        <w:t>COLPENSIONES</w:t>
      </w:r>
      <w:r w:rsidR="00EE7ACE" w:rsidRPr="00E2138C">
        <w:rPr>
          <w:rFonts w:ascii="Bookman Old Style" w:eastAsia="Dotum" w:hAnsi="Bookman Old Style" w:cs="Tahoma"/>
          <w:sz w:val="24"/>
          <w:szCs w:val="24"/>
          <w:lang w:eastAsia="es-ES"/>
        </w:rPr>
        <w:t>,</w:t>
      </w:r>
      <w:r w:rsidR="00EE7ACE" w:rsidRPr="006F1824">
        <w:rPr>
          <w:rFonts w:ascii="Bookman Old Style" w:eastAsia="Dotum" w:hAnsi="Bookman Old Style" w:cs="Tahoma"/>
          <w:b/>
          <w:sz w:val="24"/>
          <w:szCs w:val="24"/>
          <w:lang w:eastAsia="es-ES"/>
        </w:rPr>
        <w:t xml:space="preserve"> </w:t>
      </w:r>
      <w:r w:rsidRPr="006F1824">
        <w:rPr>
          <w:rFonts w:ascii="Bookman Old Style" w:eastAsia="Dotum" w:hAnsi="Bookman Old Style" w:cs="Tahoma"/>
          <w:sz w:val="24"/>
          <w:szCs w:val="24"/>
          <w:lang w:eastAsia="es-ES"/>
        </w:rPr>
        <w:t xml:space="preserve">radicado </w:t>
      </w:r>
      <w:r w:rsidR="00941212" w:rsidRPr="006F1824">
        <w:rPr>
          <w:rFonts w:ascii="Bookman Old Style" w:eastAsia="Dotum" w:hAnsi="Bookman Old Style" w:cs="Tahoma"/>
          <w:b/>
          <w:sz w:val="24"/>
          <w:szCs w:val="24"/>
          <w:lang w:eastAsia="es-ES"/>
        </w:rPr>
        <w:t>66001310500320200027701.</w:t>
      </w:r>
    </w:p>
    <w:p w14:paraId="49117ACE" w14:textId="77777777" w:rsidR="0053060E" w:rsidRPr="006F1824" w:rsidRDefault="0053060E" w:rsidP="006F1824">
      <w:pPr>
        <w:spacing w:after="0"/>
        <w:jc w:val="both"/>
        <w:rPr>
          <w:rFonts w:ascii="Bookman Old Style" w:eastAsia="Dotum" w:hAnsi="Bookman Old Style" w:cs="Tahoma"/>
          <w:sz w:val="24"/>
          <w:szCs w:val="24"/>
          <w:lang w:eastAsia="es-ES"/>
        </w:rPr>
      </w:pPr>
    </w:p>
    <w:p w14:paraId="7EC3A09B" w14:textId="0C59306A" w:rsidR="008C68A7" w:rsidRPr="006F1824" w:rsidRDefault="00A76676" w:rsidP="006F1824">
      <w:pPr>
        <w:widowControl w:val="0"/>
        <w:tabs>
          <w:tab w:val="left" w:pos="-720"/>
        </w:tabs>
        <w:suppressAutoHyphens/>
        <w:overflowPunct w:val="0"/>
        <w:autoSpaceDE w:val="0"/>
        <w:autoSpaceDN w:val="0"/>
        <w:adjustRightInd w:val="0"/>
        <w:spacing w:after="0"/>
        <w:jc w:val="both"/>
        <w:rPr>
          <w:rFonts w:ascii="Bookman Old Style" w:hAnsi="Bookman Old Style"/>
          <w:sz w:val="24"/>
          <w:szCs w:val="24"/>
        </w:rPr>
      </w:pPr>
      <w:r w:rsidRPr="006F1824">
        <w:rPr>
          <w:rFonts w:ascii="Bookman Old Style" w:hAnsi="Bookman Old Style"/>
          <w:sz w:val="24"/>
          <w:szCs w:val="24"/>
        </w:rPr>
        <w:t>Seguidamente se procede a proferir la decisión por escrito aprobada por esta sala, conforme el artículo 15 del Decreto No. 806 de 2020, adoptado como legislación permanente por la Ley 221 del 13 de junio de 2022, la cual se traduce en los siguientes términos,</w:t>
      </w:r>
    </w:p>
    <w:p w14:paraId="2E3F58CE" w14:textId="77777777" w:rsidR="00A76676" w:rsidRPr="006F1824" w:rsidRDefault="00A76676"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lang w:eastAsia="es-ES"/>
        </w:rPr>
      </w:pPr>
    </w:p>
    <w:p w14:paraId="6BC71752" w14:textId="1BF0DBB6" w:rsidR="00800F13" w:rsidRPr="006F1824" w:rsidRDefault="00960E06" w:rsidP="006F1824">
      <w:pPr>
        <w:tabs>
          <w:tab w:val="left" w:pos="0"/>
        </w:tabs>
        <w:suppressAutoHyphens/>
        <w:spacing w:after="0"/>
        <w:ind w:firstLine="480"/>
        <w:jc w:val="center"/>
        <w:rPr>
          <w:rFonts w:ascii="Bookman Old Style" w:eastAsia="Times New Roman" w:hAnsi="Bookman Old Style" w:cs="Arial Narrow"/>
          <w:b/>
          <w:bCs/>
          <w:spacing w:val="-3"/>
          <w:sz w:val="24"/>
          <w:szCs w:val="24"/>
          <w:lang w:eastAsia="es-ES"/>
        </w:rPr>
      </w:pPr>
      <w:r w:rsidRPr="006F1824">
        <w:rPr>
          <w:rFonts w:ascii="Bookman Old Style" w:eastAsia="Times New Roman" w:hAnsi="Bookman Old Style" w:cs="Arial Narrow"/>
          <w:b/>
          <w:bCs/>
          <w:spacing w:val="-3"/>
          <w:sz w:val="24"/>
          <w:szCs w:val="24"/>
          <w:lang w:eastAsia="es-ES"/>
        </w:rPr>
        <w:t>SENTENCIA No. 189</w:t>
      </w:r>
    </w:p>
    <w:p w14:paraId="4FD68B84" w14:textId="77777777" w:rsidR="009C7839" w:rsidRPr="006F1824" w:rsidRDefault="009C7839" w:rsidP="006F1824">
      <w:pPr>
        <w:tabs>
          <w:tab w:val="left" w:pos="0"/>
        </w:tabs>
        <w:suppressAutoHyphens/>
        <w:spacing w:after="0"/>
        <w:ind w:firstLine="480"/>
        <w:jc w:val="center"/>
        <w:rPr>
          <w:rFonts w:ascii="Bookman Old Style" w:eastAsia="Times New Roman" w:hAnsi="Bookman Old Style" w:cs="Arial Narrow"/>
          <w:b/>
          <w:bCs/>
          <w:spacing w:val="-3"/>
          <w:sz w:val="24"/>
          <w:szCs w:val="24"/>
          <w:u w:val="single"/>
          <w:lang w:eastAsia="es-ES"/>
        </w:rPr>
      </w:pPr>
    </w:p>
    <w:p w14:paraId="49A62872" w14:textId="50843560" w:rsidR="00CD0CE5" w:rsidRPr="006F1824" w:rsidRDefault="00925FA1" w:rsidP="006F1824">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6F1824">
        <w:rPr>
          <w:rFonts w:ascii="Bookman Old Style" w:hAnsi="Bookman Old Style" w:cs="Arial"/>
          <w:b/>
          <w:sz w:val="24"/>
          <w:szCs w:val="24"/>
        </w:rPr>
        <w:t>ANTECEDENTES:</w:t>
      </w:r>
    </w:p>
    <w:p w14:paraId="41ED7295" w14:textId="77777777" w:rsidR="00925FA1" w:rsidRPr="006F1824" w:rsidRDefault="00925FA1" w:rsidP="006F1824">
      <w:pPr>
        <w:pStyle w:val="Prrafodelista"/>
        <w:spacing w:after="0"/>
        <w:rPr>
          <w:rFonts w:ascii="Bookman Old Style" w:hAnsi="Bookman Old Style"/>
          <w:b/>
          <w:sz w:val="24"/>
          <w:szCs w:val="24"/>
          <w:lang w:val="es-ES_tradnl"/>
        </w:rPr>
      </w:pPr>
    </w:p>
    <w:p w14:paraId="0B3096E4" w14:textId="2C844531" w:rsidR="00925FA1" w:rsidRPr="006F1824" w:rsidRDefault="00925FA1" w:rsidP="006F1824">
      <w:pPr>
        <w:pStyle w:val="Prrafodelista"/>
        <w:numPr>
          <w:ilvl w:val="0"/>
          <w:numId w:val="28"/>
        </w:numPr>
        <w:spacing w:after="0"/>
        <w:rPr>
          <w:rFonts w:ascii="Bookman Old Style" w:eastAsia="Times New Roman" w:hAnsi="Bookman Old Style"/>
          <w:b/>
          <w:sz w:val="24"/>
          <w:szCs w:val="24"/>
          <w:lang w:val="es-ES_tradnl"/>
        </w:rPr>
      </w:pPr>
      <w:r w:rsidRPr="006F1824">
        <w:rPr>
          <w:rFonts w:ascii="Bookman Old Style" w:hAnsi="Bookman Old Style"/>
          <w:b/>
          <w:sz w:val="24"/>
          <w:szCs w:val="24"/>
          <w:lang w:val="es-ES_tradnl"/>
        </w:rPr>
        <w:t>Pretensiones</w:t>
      </w:r>
    </w:p>
    <w:p w14:paraId="7EB0716E" w14:textId="6FB63BD3" w:rsidR="007625A8" w:rsidRPr="006F1824" w:rsidRDefault="007625A8" w:rsidP="006F1824">
      <w:pPr>
        <w:tabs>
          <w:tab w:val="left" w:pos="2268"/>
        </w:tabs>
        <w:suppressAutoHyphens/>
        <w:spacing w:after="0"/>
        <w:jc w:val="both"/>
        <w:rPr>
          <w:rFonts w:ascii="Bookman Old Style" w:hAnsi="Bookman Old Style" w:cs="Arial"/>
          <w:b/>
          <w:sz w:val="24"/>
          <w:szCs w:val="24"/>
        </w:rPr>
      </w:pPr>
    </w:p>
    <w:p w14:paraId="2DED8868" w14:textId="45B8E97F" w:rsidR="00AD3778" w:rsidRPr="006F1824" w:rsidRDefault="00E57A89" w:rsidP="006F1824">
      <w:pPr>
        <w:tabs>
          <w:tab w:val="left" w:pos="2268"/>
        </w:tabs>
        <w:suppressAutoHyphens/>
        <w:spacing w:after="0"/>
        <w:jc w:val="both"/>
        <w:rPr>
          <w:rFonts w:ascii="Bookman Old Style" w:hAnsi="Bookman Old Style"/>
          <w:sz w:val="24"/>
          <w:szCs w:val="24"/>
        </w:rPr>
      </w:pPr>
      <w:r w:rsidRPr="006F1824">
        <w:rPr>
          <w:rFonts w:ascii="Bookman Old Style" w:hAnsi="Bookman Old Style" w:cs="Arial"/>
          <w:sz w:val="24"/>
          <w:szCs w:val="24"/>
        </w:rPr>
        <w:t>La señora</w:t>
      </w:r>
      <w:r w:rsidR="00771CF9" w:rsidRPr="006F1824">
        <w:rPr>
          <w:rFonts w:ascii="Bookman Old Style" w:hAnsi="Bookman Old Style" w:cs="Arial"/>
          <w:sz w:val="24"/>
          <w:szCs w:val="24"/>
        </w:rPr>
        <w:t xml:space="preserve"> </w:t>
      </w:r>
      <w:r w:rsidR="00EE7ACE" w:rsidRPr="006F1824">
        <w:rPr>
          <w:rFonts w:ascii="Bookman Old Style" w:eastAsia="Times New Roman" w:hAnsi="Bookman Old Style"/>
          <w:bCs/>
          <w:sz w:val="24"/>
          <w:szCs w:val="24"/>
          <w:lang w:eastAsia="es-ES"/>
        </w:rPr>
        <w:t>NOHELIA TANGARIFE AGUDELO</w:t>
      </w:r>
      <w:r w:rsidRPr="006F1824">
        <w:rPr>
          <w:rFonts w:ascii="Bookman Old Style" w:hAnsi="Bookman Old Style" w:cs="Arial"/>
          <w:sz w:val="24"/>
          <w:szCs w:val="24"/>
        </w:rPr>
        <w:t xml:space="preserve"> </w:t>
      </w:r>
      <w:r w:rsidR="00CD0CE5" w:rsidRPr="006F1824">
        <w:rPr>
          <w:rFonts w:ascii="Bookman Old Style" w:hAnsi="Bookman Old Style" w:cs="Arial"/>
          <w:sz w:val="24"/>
          <w:szCs w:val="24"/>
        </w:rPr>
        <w:t>presentó demanda</w:t>
      </w:r>
      <w:r w:rsidR="00002062" w:rsidRPr="006F1824">
        <w:rPr>
          <w:rFonts w:ascii="Bookman Old Style" w:hAnsi="Bookman Old Style" w:cs="Arial"/>
          <w:sz w:val="24"/>
          <w:szCs w:val="24"/>
        </w:rPr>
        <w:t xml:space="preserve"> ordinaria laboral en contra de</w:t>
      </w:r>
      <w:r w:rsidR="00CD0CE5" w:rsidRPr="006F1824">
        <w:rPr>
          <w:rFonts w:ascii="Bookman Old Style" w:hAnsi="Bookman Old Style" w:cs="Arial"/>
          <w:sz w:val="24"/>
          <w:szCs w:val="24"/>
        </w:rPr>
        <w:t xml:space="preserve"> </w:t>
      </w:r>
      <w:r w:rsidR="001D1DCA" w:rsidRPr="006F1824">
        <w:rPr>
          <w:rFonts w:ascii="Bookman Old Style" w:eastAsia="Times New Roman" w:hAnsi="Bookman Old Style"/>
          <w:bCs/>
          <w:sz w:val="24"/>
          <w:szCs w:val="24"/>
          <w:lang w:eastAsia="es-ES"/>
        </w:rPr>
        <w:t xml:space="preserve">JUNTA </w:t>
      </w:r>
      <w:r w:rsidR="00C91328" w:rsidRPr="006F1824">
        <w:rPr>
          <w:rFonts w:ascii="Bookman Old Style" w:eastAsia="Times New Roman" w:hAnsi="Bookman Old Style"/>
          <w:bCs/>
          <w:sz w:val="24"/>
          <w:szCs w:val="24"/>
          <w:lang w:eastAsia="es-ES"/>
        </w:rPr>
        <w:t>NACIONAL</w:t>
      </w:r>
      <w:r w:rsidR="001D1DCA" w:rsidRPr="006F1824">
        <w:rPr>
          <w:rFonts w:ascii="Bookman Old Style" w:eastAsia="Times New Roman" w:hAnsi="Bookman Old Style"/>
          <w:bCs/>
          <w:sz w:val="24"/>
          <w:szCs w:val="24"/>
          <w:lang w:eastAsia="es-ES"/>
        </w:rPr>
        <w:t xml:space="preserve"> DE CALIFICACIÓN DE INVALIDEZ</w:t>
      </w:r>
      <w:r w:rsidR="00CD0CE5" w:rsidRPr="006F1824">
        <w:rPr>
          <w:rFonts w:ascii="Bookman Old Style" w:hAnsi="Bookman Old Style" w:cs="Arial"/>
          <w:sz w:val="24"/>
          <w:szCs w:val="24"/>
        </w:rPr>
        <w:t xml:space="preserve">, con el fin que: </w:t>
      </w:r>
      <w:r w:rsidR="00CD0CE5" w:rsidRPr="006F1824">
        <w:rPr>
          <w:rFonts w:ascii="Bookman Old Style" w:hAnsi="Bookman Old Style" w:cs="Arial"/>
          <w:b/>
          <w:bCs/>
          <w:sz w:val="24"/>
          <w:szCs w:val="24"/>
        </w:rPr>
        <w:t>1)</w:t>
      </w:r>
      <w:r w:rsidR="00B04033" w:rsidRPr="006F1824">
        <w:rPr>
          <w:rFonts w:ascii="Bookman Old Style" w:hAnsi="Bookman Old Style" w:cs="Arial"/>
          <w:b/>
          <w:bCs/>
          <w:sz w:val="24"/>
          <w:szCs w:val="24"/>
        </w:rPr>
        <w:t xml:space="preserve"> </w:t>
      </w:r>
      <w:r w:rsidR="00EE7ACE" w:rsidRPr="006F1824">
        <w:rPr>
          <w:rFonts w:ascii="Bookman Old Style" w:hAnsi="Bookman Old Style" w:cs="Arial"/>
          <w:sz w:val="24"/>
          <w:szCs w:val="24"/>
        </w:rPr>
        <w:t xml:space="preserve">Se declare que la Junta incurrió en error grave en el dictamen de PCL No. 2470866-5379 en lo que tiene que ver con el porcentaje de la invalidez, por no haber valorado correctamente todas las patologías sufridas. </w:t>
      </w:r>
      <w:r w:rsidR="00EE7ACE" w:rsidRPr="006F1824">
        <w:rPr>
          <w:rFonts w:ascii="Bookman Old Style" w:hAnsi="Bookman Old Style" w:cs="Arial"/>
          <w:b/>
          <w:sz w:val="24"/>
          <w:szCs w:val="24"/>
        </w:rPr>
        <w:t xml:space="preserve">2) </w:t>
      </w:r>
      <w:r w:rsidR="00EE7ACE" w:rsidRPr="006F1824">
        <w:rPr>
          <w:rFonts w:ascii="Bookman Old Style" w:hAnsi="Bookman Old Style" w:cs="Arial"/>
          <w:sz w:val="24"/>
          <w:szCs w:val="24"/>
        </w:rPr>
        <w:t xml:space="preserve">Se declare que tiene un porcentaje de pérdida de su capacidad laboral superior al 50%, con fecha de estructuración del 04 de agosto de 2017. </w:t>
      </w:r>
      <w:r w:rsidR="00EE7ACE" w:rsidRPr="006F1824">
        <w:rPr>
          <w:rFonts w:ascii="Bookman Old Style" w:hAnsi="Bookman Old Style" w:cs="Arial"/>
          <w:b/>
          <w:sz w:val="24"/>
          <w:szCs w:val="24"/>
        </w:rPr>
        <w:t xml:space="preserve">3) </w:t>
      </w:r>
      <w:r w:rsidR="00EE7ACE" w:rsidRPr="006F1824">
        <w:rPr>
          <w:rFonts w:ascii="Bookman Old Style" w:hAnsi="Bookman Old Style" w:cs="Arial"/>
          <w:sz w:val="24"/>
          <w:szCs w:val="24"/>
        </w:rPr>
        <w:t>Costas y agencias en derecho.</w:t>
      </w:r>
    </w:p>
    <w:p w14:paraId="60B123A9" w14:textId="624600DF" w:rsidR="00925FA1" w:rsidRPr="006F1824" w:rsidRDefault="00925FA1" w:rsidP="006F1824">
      <w:pPr>
        <w:tabs>
          <w:tab w:val="left" w:pos="2268"/>
        </w:tabs>
        <w:suppressAutoHyphens/>
        <w:spacing w:after="0"/>
        <w:jc w:val="both"/>
        <w:rPr>
          <w:rFonts w:ascii="Bookman Old Style" w:hAnsi="Bookman Old Style" w:cs="Arial"/>
          <w:bCs/>
          <w:sz w:val="24"/>
          <w:szCs w:val="24"/>
        </w:rPr>
      </w:pPr>
    </w:p>
    <w:p w14:paraId="6A463691" w14:textId="1B7598F8" w:rsidR="00925FA1" w:rsidRPr="006F1824" w:rsidRDefault="00925FA1" w:rsidP="006F1824">
      <w:pPr>
        <w:pStyle w:val="Prrafodelista"/>
        <w:numPr>
          <w:ilvl w:val="0"/>
          <w:numId w:val="28"/>
        </w:numPr>
        <w:spacing w:after="0"/>
        <w:rPr>
          <w:rFonts w:ascii="Bookman Old Style" w:hAnsi="Bookman Old Style"/>
          <w:b/>
          <w:sz w:val="24"/>
          <w:szCs w:val="24"/>
        </w:rPr>
      </w:pPr>
      <w:r w:rsidRPr="006F1824">
        <w:rPr>
          <w:rFonts w:ascii="Bookman Old Style" w:hAnsi="Bookman Old Style"/>
          <w:b/>
          <w:sz w:val="24"/>
          <w:szCs w:val="24"/>
        </w:rPr>
        <w:t xml:space="preserve">Hechos </w:t>
      </w:r>
    </w:p>
    <w:p w14:paraId="20D588B0" w14:textId="694A11FB" w:rsidR="00AD3778" w:rsidRPr="006F1824" w:rsidRDefault="00AD3778" w:rsidP="006F1824">
      <w:pPr>
        <w:tabs>
          <w:tab w:val="left" w:pos="2268"/>
        </w:tabs>
        <w:suppressAutoHyphens/>
        <w:spacing w:after="0"/>
        <w:jc w:val="both"/>
        <w:rPr>
          <w:rFonts w:ascii="Bookman Old Style" w:hAnsi="Bookman Old Style" w:cs="Arial"/>
          <w:bCs/>
          <w:sz w:val="24"/>
          <w:szCs w:val="24"/>
        </w:rPr>
      </w:pPr>
    </w:p>
    <w:p w14:paraId="22D7C636" w14:textId="31FAE286" w:rsidR="00E3049D" w:rsidRPr="006F1824" w:rsidRDefault="007230BE" w:rsidP="006F1824">
      <w:pPr>
        <w:tabs>
          <w:tab w:val="left" w:pos="2268"/>
        </w:tabs>
        <w:suppressAutoHyphens/>
        <w:spacing w:after="0"/>
        <w:jc w:val="both"/>
        <w:rPr>
          <w:rFonts w:ascii="Bookman Old Style" w:hAnsi="Bookman Old Style" w:cs="Arial"/>
          <w:bCs/>
          <w:sz w:val="24"/>
          <w:szCs w:val="24"/>
        </w:rPr>
      </w:pPr>
      <w:r w:rsidRPr="006F1824">
        <w:rPr>
          <w:rStyle w:val="normaltextrun"/>
          <w:rFonts w:ascii="Bookman Old Style" w:hAnsi="Bookman Old Style" w:cs="Tahoma"/>
          <w:color w:val="000000"/>
          <w:sz w:val="24"/>
          <w:szCs w:val="24"/>
          <w:shd w:val="clear" w:color="auto" w:fill="FFFFFF"/>
        </w:rPr>
        <w:t>Como</w:t>
      </w:r>
      <w:r w:rsidR="00AD3778" w:rsidRPr="006F1824">
        <w:rPr>
          <w:rStyle w:val="normaltextrun"/>
          <w:rFonts w:ascii="Bookman Old Style" w:hAnsi="Bookman Old Style" w:cs="Tahoma"/>
          <w:color w:val="000000"/>
          <w:sz w:val="24"/>
          <w:szCs w:val="24"/>
          <w:shd w:val="clear" w:color="auto" w:fill="FFFFFF"/>
        </w:rPr>
        <w:t xml:space="preserve"> hechos </w:t>
      </w:r>
      <w:r w:rsidRPr="006F1824">
        <w:rPr>
          <w:rStyle w:val="normaltextrun"/>
          <w:rFonts w:ascii="Bookman Old Style" w:hAnsi="Bookman Old Style" w:cs="Tahoma"/>
          <w:color w:val="000000"/>
          <w:sz w:val="24"/>
          <w:szCs w:val="24"/>
          <w:shd w:val="clear" w:color="auto" w:fill="FFFFFF"/>
        </w:rPr>
        <w:t>que sustentan</w:t>
      </w:r>
      <w:r w:rsidR="00AD3778" w:rsidRPr="006F1824">
        <w:rPr>
          <w:rStyle w:val="normaltextrun"/>
          <w:rFonts w:ascii="Bookman Old Style" w:hAnsi="Bookman Old Style" w:cs="Tahoma"/>
          <w:color w:val="000000"/>
          <w:sz w:val="24"/>
          <w:szCs w:val="24"/>
          <w:shd w:val="clear" w:color="auto" w:fill="FFFFFF"/>
        </w:rPr>
        <w:t xml:space="preserve"> lo pretendido</w:t>
      </w:r>
      <w:r w:rsidR="00925FA1" w:rsidRPr="006F1824">
        <w:rPr>
          <w:rFonts w:ascii="Bookman Old Style" w:hAnsi="Bookman Old Style" w:cs="Arial"/>
          <w:bCs/>
          <w:sz w:val="24"/>
          <w:szCs w:val="24"/>
        </w:rPr>
        <w:t xml:space="preserve">, </w:t>
      </w:r>
      <w:r w:rsidR="007601F1" w:rsidRPr="006F1824">
        <w:rPr>
          <w:rFonts w:ascii="Bookman Old Style" w:hAnsi="Bookman Old Style" w:cs="Arial"/>
          <w:bCs/>
          <w:sz w:val="24"/>
          <w:szCs w:val="24"/>
        </w:rPr>
        <w:t>relató</w:t>
      </w:r>
      <w:r w:rsidRPr="006F1824">
        <w:rPr>
          <w:rFonts w:ascii="Bookman Old Style" w:hAnsi="Bookman Old Style" w:cs="Arial"/>
          <w:bCs/>
          <w:sz w:val="24"/>
          <w:szCs w:val="24"/>
        </w:rPr>
        <w:t xml:space="preserve"> </w:t>
      </w:r>
      <w:r w:rsidR="00EF4E4E" w:rsidRPr="006F1824">
        <w:rPr>
          <w:rFonts w:ascii="Bookman Old Style" w:hAnsi="Bookman Old Style" w:cs="Arial"/>
          <w:bCs/>
          <w:sz w:val="24"/>
          <w:szCs w:val="24"/>
        </w:rPr>
        <w:t xml:space="preserve">que </w:t>
      </w:r>
      <w:r w:rsidR="00EE7ACE" w:rsidRPr="006F1824">
        <w:rPr>
          <w:rFonts w:ascii="Bookman Old Style" w:hAnsi="Bookman Old Style" w:cs="Arial"/>
          <w:bCs/>
          <w:sz w:val="24"/>
          <w:szCs w:val="24"/>
        </w:rPr>
        <w:t>se encuentra afiliada a COLPENSIONES, que laboró toda su vida desempeñando funciones como operaria de confección en fábricas, pero debido a sus patologías no ha podido laborar desde el año 2009 cuando sufrió un accidente “</w:t>
      </w:r>
      <w:r w:rsidR="00EE7ACE" w:rsidRPr="006F1824">
        <w:rPr>
          <w:rFonts w:ascii="Bookman Old Style" w:hAnsi="Bookman Old Style" w:cs="Arial"/>
          <w:bCs/>
          <w:i/>
          <w:sz w:val="24"/>
          <w:szCs w:val="24"/>
        </w:rPr>
        <w:t xml:space="preserve">casero”. </w:t>
      </w:r>
      <w:r w:rsidR="00EE7ACE" w:rsidRPr="006F1824">
        <w:rPr>
          <w:rFonts w:ascii="Bookman Old Style" w:hAnsi="Bookman Old Style" w:cs="Arial"/>
          <w:bCs/>
          <w:sz w:val="24"/>
          <w:szCs w:val="24"/>
        </w:rPr>
        <w:t xml:space="preserve">Comentó que el 24 de abril de 2018 mediante dictamen No. DML 2069 de 2018 COLPENSIONES la calificó con el 35.18% de invalidez con fecha de estructuración del 26 de febrero de 2018. Posteriormente, el 22 de mayo de 2019 la JUNTA REGIONAL DE CALIFICACIÓN DE INVALIDEZ le asignó el 46.74% con fecha de estructuración del 04 de agosto de 2017. En dicha oportunidad tuvieron en cuenta las siguientes enfermedades: </w:t>
      </w:r>
      <w:r w:rsidR="00EE7ACE" w:rsidRPr="006F1824">
        <w:rPr>
          <w:rFonts w:ascii="Bookman Old Style" w:hAnsi="Bookman Old Style" w:cs="Arial"/>
          <w:bCs/>
          <w:i/>
          <w:sz w:val="24"/>
          <w:szCs w:val="24"/>
        </w:rPr>
        <w:t>Lumbago-espondiloartrosis, dorsalgia, dolor crónico, diabetes Tipo II con complicación de los riñones, trastorno depresivo recurrente, episodio leve presente.</w:t>
      </w:r>
    </w:p>
    <w:p w14:paraId="00D1097F" w14:textId="4F45C4DA" w:rsidR="00EE7ACE" w:rsidRPr="006F1824" w:rsidRDefault="00EE7ACE" w:rsidP="006F1824">
      <w:pPr>
        <w:tabs>
          <w:tab w:val="left" w:pos="2268"/>
        </w:tabs>
        <w:suppressAutoHyphens/>
        <w:spacing w:after="0"/>
        <w:jc w:val="both"/>
        <w:rPr>
          <w:rFonts w:ascii="Bookman Old Style" w:hAnsi="Bookman Old Style" w:cs="Arial"/>
          <w:bCs/>
          <w:sz w:val="24"/>
          <w:szCs w:val="24"/>
        </w:rPr>
      </w:pPr>
    </w:p>
    <w:p w14:paraId="429DBAF2" w14:textId="6A0D58EA" w:rsidR="00EE7ACE" w:rsidRPr="006F1824" w:rsidRDefault="00C36459" w:rsidP="006F1824">
      <w:pPr>
        <w:tabs>
          <w:tab w:val="left" w:pos="2268"/>
        </w:tabs>
        <w:suppressAutoHyphens/>
        <w:spacing w:after="0"/>
        <w:jc w:val="both"/>
        <w:rPr>
          <w:rFonts w:ascii="Bookman Old Style" w:hAnsi="Bookman Old Style" w:cs="Arial"/>
          <w:bCs/>
          <w:i/>
          <w:sz w:val="24"/>
          <w:szCs w:val="24"/>
        </w:rPr>
      </w:pPr>
      <w:r w:rsidRPr="006F1824">
        <w:rPr>
          <w:rFonts w:ascii="Bookman Old Style" w:hAnsi="Bookman Old Style" w:cs="Arial"/>
          <w:bCs/>
          <w:sz w:val="24"/>
          <w:szCs w:val="24"/>
        </w:rPr>
        <w:t>Finalmente,</w:t>
      </w:r>
      <w:r w:rsidR="00EE7ACE" w:rsidRPr="006F1824">
        <w:rPr>
          <w:rFonts w:ascii="Bookman Old Style" w:hAnsi="Bookman Old Style" w:cs="Arial"/>
          <w:bCs/>
          <w:sz w:val="24"/>
          <w:szCs w:val="24"/>
        </w:rPr>
        <w:t xml:space="preserve"> fue valorado por la JUNTA NACIONAL DE CALIFICACIÓN que confirmó el dictamen de la JUNTA REGIONAL, manteniendo el 46.74% de PCL por enfermedad de origen común y fecha de estructuración del 04 de agosto de 2017. </w:t>
      </w:r>
      <w:r w:rsidRPr="006F1824">
        <w:rPr>
          <w:rFonts w:ascii="Bookman Old Style" w:hAnsi="Bookman Old Style" w:cs="Arial"/>
          <w:bCs/>
          <w:sz w:val="24"/>
          <w:szCs w:val="24"/>
        </w:rPr>
        <w:t xml:space="preserve">En este último dictamen, se calificaron las siguientes patologías: </w:t>
      </w:r>
      <w:r w:rsidRPr="006F1824">
        <w:rPr>
          <w:rFonts w:ascii="Bookman Old Style" w:hAnsi="Bookman Old Style" w:cs="Arial"/>
          <w:bCs/>
          <w:i/>
          <w:sz w:val="24"/>
          <w:szCs w:val="24"/>
        </w:rPr>
        <w:t>(osteo) artrosis primaria generalizada, diabetes mellitus no insulinodependiente sin mención de complicación, hipertensión esencial (primaria), hipoacusia neurosensorial bilateral, insuficiencia venosa (crónica) (periférica), presbicia (con corrección ambos ojos).</w:t>
      </w:r>
    </w:p>
    <w:p w14:paraId="1D18F908" w14:textId="57A8F8F4" w:rsidR="00C36459" w:rsidRPr="006F1824" w:rsidRDefault="00C36459" w:rsidP="006F1824">
      <w:pPr>
        <w:tabs>
          <w:tab w:val="left" w:pos="2268"/>
        </w:tabs>
        <w:suppressAutoHyphens/>
        <w:spacing w:after="0"/>
        <w:jc w:val="both"/>
        <w:rPr>
          <w:rFonts w:ascii="Bookman Old Style" w:hAnsi="Bookman Old Style" w:cs="Arial"/>
          <w:bCs/>
          <w:i/>
          <w:sz w:val="24"/>
          <w:szCs w:val="24"/>
        </w:rPr>
      </w:pPr>
    </w:p>
    <w:p w14:paraId="08639E22" w14:textId="4C04EC9F" w:rsidR="00C36459" w:rsidRPr="006F1824" w:rsidRDefault="00C36459" w:rsidP="006F1824">
      <w:pPr>
        <w:tabs>
          <w:tab w:val="left" w:pos="2268"/>
        </w:tabs>
        <w:suppressAutoHyphens/>
        <w:spacing w:after="0"/>
        <w:jc w:val="both"/>
        <w:rPr>
          <w:rFonts w:ascii="Bookman Old Style" w:hAnsi="Bookman Old Style" w:cs="Arial"/>
          <w:bCs/>
          <w:sz w:val="24"/>
          <w:szCs w:val="24"/>
        </w:rPr>
      </w:pPr>
      <w:r w:rsidRPr="006F1824">
        <w:rPr>
          <w:rFonts w:ascii="Bookman Old Style" w:hAnsi="Bookman Old Style" w:cs="Arial"/>
          <w:bCs/>
          <w:sz w:val="24"/>
          <w:szCs w:val="24"/>
        </w:rPr>
        <w:lastRenderedPageBreak/>
        <w:t>Conforme a lo anterior, indicó que la JUNTA NACIONAL cometió un grave error al no realizar un análisis exhaustivo de la historia clínica, pues no se tuvieron en cuenta todas las patologías, entre ellas:</w:t>
      </w:r>
    </w:p>
    <w:p w14:paraId="73F67A75" w14:textId="684CF652" w:rsidR="00C36459" w:rsidRPr="006F1824" w:rsidRDefault="00C36459" w:rsidP="006F1824">
      <w:pPr>
        <w:tabs>
          <w:tab w:val="left" w:pos="2268"/>
        </w:tabs>
        <w:suppressAutoHyphens/>
        <w:spacing w:after="0"/>
        <w:jc w:val="both"/>
        <w:rPr>
          <w:rFonts w:ascii="Bookman Old Style" w:hAnsi="Bookman Old Style" w:cs="Arial"/>
          <w:bCs/>
          <w:sz w:val="24"/>
          <w:szCs w:val="24"/>
        </w:rPr>
      </w:pPr>
    </w:p>
    <w:p w14:paraId="6B9296D5" w14:textId="2AE21A20" w:rsidR="00C36459" w:rsidRPr="006F1824" w:rsidRDefault="00C36459" w:rsidP="006F1824">
      <w:pPr>
        <w:pStyle w:val="Prrafodelista"/>
        <w:numPr>
          <w:ilvl w:val="0"/>
          <w:numId w:val="39"/>
        </w:numPr>
        <w:tabs>
          <w:tab w:val="left" w:pos="2268"/>
        </w:tabs>
        <w:suppressAutoHyphens/>
        <w:spacing w:after="0"/>
        <w:jc w:val="both"/>
        <w:rPr>
          <w:rFonts w:ascii="Bookman Old Style" w:hAnsi="Bookman Old Style" w:cs="Arial"/>
          <w:bCs/>
          <w:i/>
          <w:sz w:val="24"/>
          <w:szCs w:val="24"/>
        </w:rPr>
      </w:pPr>
      <w:r w:rsidRPr="006F1824">
        <w:rPr>
          <w:rFonts w:ascii="Bookman Old Style" w:hAnsi="Bookman Old Style" w:cs="Arial"/>
          <w:bCs/>
          <w:sz w:val="24"/>
          <w:szCs w:val="24"/>
        </w:rPr>
        <w:t>“</w:t>
      </w:r>
      <w:r w:rsidRPr="006F1824">
        <w:rPr>
          <w:rFonts w:ascii="Bookman Old Style" w:hAnsi="Bookman Old Style" w:cs="Arial"/>
          <w:b/>
          <w:bCs/>
          <w:i/>
          <w:sz w:val="24"/>
          <w:szCs w:val="24"/>
        </w:rPr>
        <w:t>Fecha del 18/07/2013: especialidad fisiatría:</w:t>
      </w:r>
      <w:r w:rsidRPr="006F1824">
        <w:rPr>
          <w:rFonts w:ascii="Bookman Old Style" w:hAnsi="Bookman Old Style" w:cs="Arial"/>
          <w:bCs/>
          <w:i/>
          <w:sz w:val="24"/>
          <w:szCs w:val="24"/>
        </w:rPr>
        <w:t xml:space="preserve"> EA: Evaluada conocida por dolor región lumbosacra en rodillas de varios años de evolución, trae reporte de RX de la columna lumbosacra que muestra cambios expondiloartrosis, DX lumbago no especificado, artrosis primaria de otras articulaciones.</w:t>
      </w:r>
    </w:p>
    <w:p w14:paraId="3F110542" w14:textId="77777777" w:rsidR="00C36459" w:rsidRPr="006F1824" w:rsidRDefault="00C36459" w:rsidP="006F1824">
      <w:pPr>
        <w:pStyle w:val="Prrafodelista"/>
        <w:tabs>
          <w:tab w:val="left" w:pos="2268"/>
        </w:tabs>
        <w:suppressAutoHyphens/>
        <w:spacing w:after="0"/>
        <w:jc w:val="both"/>
        <w:rPr>
          <w:rFonts w:ascii="Bookman Old Style" w:hAnsi="Bookman Old Style" w:cs="Arial"/>
          <w:bCs/>
          <w:i/>
          <w:sz w:val="24"/>
          <w:szCs w:val="24"/>
        </w:rPr>
      </w:pPr>
    </w:p>
    <w:p w14:paraId="19989680" w14:textId="609FA06B" w:rsidR="00C36459" w:rsidRPr="006F1824" w:rsidRDefault="00C36459" w:rsidP="006F1824">
      <w:pPr>
        <w:pStyle w:val="Prrafodelista"/>
        <w:numPr>
          <w:ilvl w:val="0"/>
          <w:numId w:val="39"/>
        </w:numPr>
        <w:tabs>
          <w:tab w:val="left" w:pos="2268"/>
        </w:tabs>
        <w:suppressAutoHyphens/>
        <w:spacing w:after="0"/>
        <w:jc w:val="both"/>
        <w:rPr>
          <w:rFonts w:ascii="Bookman Old Style" w:hAnsi="Bookman Old Style" w:cs="Arial"/>
          <w:bCs/>
          <w:i/>
          <w:sz w:val="24"/>
          <w:szCs w:val="24"/>
        </w:rPr>
      </w:pPr>
      <w:r w:rsidRPr="006F1824">
        <w:rPr>
          <w:rFonts w:ascii="Bookman Old Style" w:hAnsi="Bookman Old Style" w:cs="Arial"/>
          <w:b/>
          <w:bCs/>
          <w:i/>
          <w:sz w:val="24"/>
          <w:szCs w:val="24"/>
        </w:rPr>
        <w:t>Fecha del 16/05/2018 especialidad psiquiatría</w:t>
      </w:r>
      <w:r w:rsidRPr="006F1824">
        <w:rPr>
          <w:rFonts w:ascii="Bookman Old Style" w:hAnsi="Bookman Old Style" w:cs="Arial"/>
          <w:bCs/>
          <w:i/>
          <w:sz w:val="24"/>
          <w:szCs w:val="24"/>
        </w:rPr>
        <w:t>: Antecedentes médicos personales 3 Qx. Columna por fracturas múltiples; DX: trastorno depresivo recurrente, episodio leve presente.”</w:t>
      </w:r>
    </w:p>
    <w:p w14:paraId="66DA1092" w14:textId="1FF2C0EA" w:rsidR="00C36459" w:rsidRPr="006F1824" w:rsidRDefault="00C36459" w:rsidP="006F1824">
      <w:pPr>
        <w:tabs>
          <w:tab w:val="left" w:pos="2268"/>
        </w:tabs>
        <w:suppressAutoHyphens/>
        <w:spacing w:after="0"/>
        <w:jc w:val="both"/>
        <w:rPr>
          <w:rFonts w:ascii="Bookman Old Style" w:hAnsi="Bookman Old Style" w:cs="Arial"/>
          <w:bCs/>
          <w:i/>
          <w:sz w:val="24"/>
          <w:szCs w:val="24"/>
        </w:rPr>
      </w:pPr>
    </w:p>
    <w:p w14:paraId="3EDF9904" w14:textId="70CF14EA" w:rsidR="00C36459" w:rsidRPr="006F1824" w:rsidRDefault="00C36459" w:rsidP="006F1824">
      <w:pPr>
        <w:tabs>
          <w:tab w:val="left" w:pos="2268"/>
        </w:tabs>
        <w:suppressAutoHyphens/>
        <w:spacing w:after="0"/>
        <w:jc w:val="both"/>
        <w:rPr>
          <w:rFonts w:ascii="Bookman Old Style" w:hAnsi="Bookman Old Style" w:cs="Arial"/>
          <w:bCs/>
          <w:sz w:val="24"/>
          <w:szCs w:val="24"/>
        </w:rPr>
      </w:pPr>
      <w:r w:rsidRPr="006F1824">
        <w:rPr>
          <w:rFonts w:ascii="Bookman Old Style" w:hAnsi="Bookman Old Style" w:cs="Arial"/>
          <w:bCs/>
          <w:sz w:val="24"/>
          <w:szCs w:val="24"/>
        </w:rPr>
        <w:t>Respecto del rol ocupacional, señaló que existió un error porque le asignó el 19% y lo correcto era asignarle el 30%, dado que al analizar con cuidado dicho porcentaje se ajusta más al hecho de que la actora no puede realizar la única labor que podía hacer para procurarse un sustento.</w:t>
      </w:r>
    </w:p>
    <w:p w14:paraId="574B87E7" w14:textId="09CFDEE5" w:rsidR="006F6130" w:rsidRPr="006F1824" w:rsidRDefault="006F6130" w:rsidP="006F1824">
      <w:pPr>
        <w:tabs>
          <w:tab w:val="left" w:pos="2268"/>
        </w:tabs>
        <w:suppressAutoHyphens/>
        <w:spacing w:after="0"/>
        <w:jc w:val="both"/>
        <w:rPr>
          <w:rFonts w:ascii="Bookman Old Style" w:hAnsi="Bookman Old Style" w:cs="Arial"/>
          <w:bCs/>
          <w:sz w:val="24"/>
          <w:szCs w:val="24"/>
        </w:rPr>
      </w:pPr>
    </w:p>
    <w:p w14:paraId="094CCF47" w14:textId="7253A154" w:rsidR="00785B1C" w:rsidRPr="006F1824" w:rsidRDefault="00785B1C" w:rsidP="006F1824">
      <w:pPr>
        <w:pStyle w:val="Prrafodelista"/>
        <w:numPr>
          <w:ilvl w:val="0"/>
          <w:numId w:val="28"/>
        </w:numPr>
        <w:spacing w:after="0"/>
        <w:rPr>
          <w:rFonts w:ascii="Bookman Old Style" w:eastAsia="Times New Roman" w:hAnsi="Bookman Old Style"/>
          <w:b/>
          <w:sz w:val="24"/>
          <w:szCs w:val="24"/>
        </w:rPr>
      </w:pPr>
      <w:r w:rsidRPr="006F1824">
        <w:rPr>
          <w:rFonts w:ascii="Bookman Old Style" w:hAnsi="Bookman Old Style"/>
          <w:b/>
          <w:sz w:val="24"/>
          <w:szCs w:val="24"/>
        </w:rPr>
        <w:t>Posición de la</w:t>
      </w:r>
      <w:r w:rsidR="00284098" w:rsidRPr="006F1824">
        <w:rPr>
          <w:rFonts w:ascii="Bookman Old Style" w:hAnsi="Bookman Old Style"/>
          <w:b/>
          <w:sz w:val="24"/>
          <w:szCs w:val="24"/>
        </w:rPr>
        <w:t>s</w:t>
      </w:r>
      <w:r w:rsidR="00636884" w:rsidRPr="006F1824">
        <w:rPr>
          <w:rFonts w:ascii="Bookman Old Style" w:hAnsi="Bookman Old Style"/>
          <w:b/>
          <w:sz w:val="24"/>
          <w:szCs w:val="24"/>
        </w:rPr>
        <w:t xml:space="preserve"> </w:t>
      </w:r>
      <w:r w:rsidRPr="006F1824">
        <w:rPr>
          <w:rFonts w:ascii="Bookman Old Style" w:hAnsi="Bookman Old Style"/>
          <w:b/>
          <w:sz w:val="24"/>
          <w:szCs w:val="24"/>
        </w:rPr>
        <w:t>demandada</w:t>
      </w:r>
      <w:r w:rsidR="00284098" w:rsidRPr="006F1824">
        <w:rPr>
          <w:rFonts w:ascii="Bookman Old Style" w:hAnsi="Bookman Old Style"/>
          <w:b/>
          <w:sz w:val="24"/>
          <w:szCs w:val="24"/>
        </w:rPr>
        <w:t>s</w:t>
      </w:r>
    </w:p>
    <w:p w14:paraId="7A29A4A5" w14:textId="2589FAD9" w:rsidR="00785B1C" w:rsidRPr="006F1824" w:rsidRDefault="00785B1C" w:rsidP="006F1824">
      <w:pPr>
        <w:tabs>
          <w:tab w:val="left" w:pos="2268"/>
        </w:tabs>
        <w:suppressAutoHyphens/>
        <w:spacing w:after="0"/>
        <w:jc w:val="both"/>
        <w:rPr>
          <w:rFonts w:ascii="Bookman Old Style" w:hAnsi="Bookman Old Style" w:cs="Arial"/>
          <w:bCs/>
          <w:sz w:val="24"/>
          <w:szCs w:val="24"/>
        </w:rPr>
      </w:pPr>
    </w:p>
    <w:p w14:paraId="39690FA1" w14:textId="498E51A5" w:rsidR="00F31514" w:rsidRPr="006F1824" w:rsidRDefault="00F31514" w:rsidP="006F1824">
      <w:pPr>
        <w:tabs>
          <w:tab w:val="left" w:pos="2268"/>
        </w:tabs>
        <w:suppressAutoHyphens/>
        <w:spacing w:after="0"/>
        <w:jc w:val="both"/>
        <w:rPr>
          <w:rFonts w:ascii="Bookman Old Style" w:hAnsi="Bookman Old Style" w:cs="Arial"/>
          <w:bCs/>
          <w:sz w:val="24"/>
          <w:szCs w:val="24"/>
        </w:rPr>
      </w:pPr>
      <w:r w:rsidRPr="006F1824">
        <w:rPr>
          <w:rFonts w:ascii="Bookman Old Style" w:hAnsi="Bookman Old Style" w:cs="Arial"/>
          <w:bCs/>
          <w:sz w:val="24"/>
          <w:szCs w:val="24"/>
        </w:rPr>
        <w:t xml:space="preserve">La </w:t>
      </w:r>
      <w:r w:rsidRPr="006F1824">
        <w:rPr>
          <w:rFonts w:ascii="Bookman Old Style" w:hAnsi="Bookman Old Style" w:cs="Arial"/>
          <w:b/>
          <w:bCs/>
          <w:sz w:val="24"/>
          <w:szCs w:val="24"/>
        </w:rPr>
        <w:t xml:space="preserve">JUNTA NACIONAL DE CALIFICACIÓN DE LA INVALIDEZ </w:t>
      </w:r>
      <w:r w:rsidRPr="006F1824">
        <w:rPr>
          <w:rFonts w:ascii="Bookman Old Style" w:hAnsi="Bookman Old Style" w:cs="Arial"/>
          <w:bCs/>
          <w:sz w:val="24"/>
          <w:szCs w:val="24"/>
        </w:rPr>
        <w:t xml:space="preserve">indicó que para la fecha de la calificación de la invalidez se logró establecer que, si bien la actora presenta una serie de limitaciones estas no son invalidantes al obtener un porcentaje del 46.74, calificación que consideró el impacto en el rol laboral encontrando </w:t>
      </w:r>
      <w:r w:rsidR="00FC305B" w:rsidRPr="006F1824">
        <w:rPr>
          <w:rFonts w:ascii="Bookman Old Style" w:hAnsi="Bookman Old Style" w:cs="Arial"/>
          <w:bCs/>
          <w:sz w:val="24"/>
          <w:szCs w:val="24"/>
        </w:rPr>
        <w:t>que,</w:t>
      </w:r>
      <w:r w:rsidRPr="006F1824">
        <w:rPr>
          <w:rFonts w:ascii="Bookman Old Style" w:hAnsi="Bookman Old Style" w:cs="Arial"/>
          <w:bCs/>
          <w:sz w:val="24"/>
          <w:szCs w:val="24"/>
        </w:rPr>
        <w:t xml:space="preserve"> con el uso de algunas ayudas técnicas y modificaciones, podía ser reubicada y desempeñarse en un nuevo puesto de trabajo. Aclaró que lo que el porcentaje </w:t>
      </w:r>
      <w:r w:rsidR="008253DA" w:rsidRPr="006F1824">
        <w:rPr>
          <w:rFonts w:ascii="Bookman Old Style" w:hAnsi="Bookman Old Style" w:cs="Arial"/>
          <w:bCs/>
          <w:sz w:val="24"/>
          <w:szCs w:val="24"/>
        </w:rPr>
        <w:t>y la calificación de las patologías, reflejan las condiciones de salud estructurales y funcionales, siendo puntuadas de manera correcta conforme a las limitaciones en sus actividades, el impacto del rol laboral, económico y la edad, acorde con lo dispuesto en el Decreto 1507 de 2014.</w:t>
      </w:r>
    </w:p>
    <w:p w14:paraId="3075C911" w14:textId="73B42245" w:rsidR="008253DA" w:rsidRPr="006F1824" w:rsidRDefault="008253DA" w:rsidP="006F1824">
      <w:pPr>
        <w:tabs>
          <w:tab w:val="left" w:pos="2268"/>
        </w:tabs>
        <w:suppressAutoHyphens/>
        <w:spacing w:after="0"/>
        <w:jc w:val="both"/>
        <w:rPr>
          <w:rFonts w:ascii="Bookman Old Style" w:hAnsi="Bookman Old Style" w:cs="Arial"/>
          <w:bCs/>
          <w:sz w:val="24"/>
          <w:szCs w:val="24"/>
        </w:rPr>
      </w:pPr>
    </w:p>
    <w:p w14:paraId="7CAEBFE6" w14:textId="69B2EA65" w:rsidR="008253DA" w:rsidRPr="006F1824" w:rsidRDefault="008253DA" w:rsidP="006F1824">
      <w:pPr>
        <w:tabs>
          <w:tab w:val="left" w:pos="2268"/>
        </w:tabs>
        <w:suppressAutoHyphens/>
        <w:spacing w:after="0"/>
        <w:jc w:val="both"/>
        <w:rPr>
          <w:rFonts w:ascii="Bookman Old Style" w:hAnsi="Bookman Old Style" w:cs="Arial"/>
          <w:bCs/>
          <w:sz w:val="24"/>
          <w:szCs w:val="24"/>
        </w:rPr>
      </w:pPr>
      <w:r w:rsidRPr="006F1824">
        <w:rPr>
          <w:rFonts w:ascii="Bookman Old Style" w:hAnsi="Bookman Old Style" w:cs="Arial"/>
          <w:bCs/>
          <w:sz w:val="24"/>
          <w:szCs w:val="24"/>
        </w:rPr>
        <w:t>Agregó que evaluó concienzudamente las condiciones de la paciente y aplicando los porcentajes específicos e invariables que dicha la legislación, encontrando como únicas secuelas calificables las descritas en el dictamen, dejando claro que no es posible incluir indiscriminadamente diagnósticos que no se encuentran debidamente documentados y que no hayan sido objeto de calificación en primera oportunidad por las entidades de seguridad social, según lo estipula el artículo 40 del Decreto 1352 de 2013 y el artículo 142 del Decreto 019 de 2012. De ahí que no sea posible calificar simples síntomas o meras anotaciones médicas, sino que se valoran las secuelas funcionales que persisten al finalizar los tratamientos y después de alcanzar la mejoría máxima médica (MMM), según lo señala el Decreto 1507 de 2014.</w:t>
      </w:r>
    </w:p>
    <w:p w14:paraId="0FD70341" w14:textId="03FA94B9" w:rsidR="0088203C" w:rsidRPr="006F1824" w:rsidRDefault="0088203C" w:rsidP="006F1824">
      <w:pPr>
        <w:tabs>
          <w:tab w:val="left" w:pos="2268"/>
        </w:tabs>
        <w:suppressAutoHyphens/>
        <w:spacing w:after="0"/>
        <w:jc w:val="both"/>
        <w:rPr>
          <w:rFonts w:ascii="Bookman Old Style" w:hAnsi="Bookman Old Style" w:cs="Arial"/>
          <w:bCs/>
          <w:sz w:val="24"/>
          <w:szCs w:val="24"/>
        </w:rPr>
      </w:pPr>
    </w:p>
    <w:p w14:paraId="3F282538" w14:textId="41102577" w:rsidR="0088203C" w:rsidRPr="006F1824" w:rsidRDefault="0088203C" w:rsidP="006F1824">
      <w:pPr>
        <w:tabs>
          <w:tab w:val="left" w:pos="2268"/>
        </w:tabs>
        <w:suppressAutoHyphens/>
        <w:spacing w:after="0"/>
        <w:jc w:val="both"/>
        <w:rPr>
          <w:rFonts w:ascii="Bookman Old Style" w:hAnsi="Bookman Old Style" w:cs="Arial"/>
          <w:bCs/>
          <w:sz w:val="24"/>
          <w:szCs w:val="24"/>
        </w:rPr>
      </w:pPr>
      <w:r w:rsidRPr="006F1824">
        <w:rPr>
          <w:rFonts w:ascii="Bookman Old Style" w:hAnsi="Bookman Old Style" w:cs="Arial"/>
          <w:bCs/>
          <w:sz w:val="24"/>
          <w:szCs w:val="24"/>
        </w:rPr>
        <w:t>En virtud de lo anterior, considera que la demanda se basa en apreciaciones subjetivas e invenciones del apoderado, pues resulta evidente que la Junta no incurri</w:t>
      </w:r>
      <w:r w:rsidR="00F403E4" w:rsidRPr="006F1824">
        <w:rPr>
          <w:rFonts w:ascii="Bookman Old Style" w:hAnsi="Bookman Old Style" w:cs="Arial"/>
          <w:bCs/>
          <w:sz w:val="24"/>
          <w:szCs w:val="24"/>
        </w:rPr>
        <w:t xml:space="preserve">ó en el error que se le endilga, al contrario se evaluaron las condiciones </w:t>
      </w:r>
      <w:r w:rsidR="00F403E4" w:rsidRPr="006F1824">
        <w:rPr>
          <w:rFonts w:ascii="Bookman Old Style" w:hAnsi="Bookman Old Style" w:cs="Arial"/>
          <w:bCs/>
          <w:sz w:val="24"/>
          <w:szCs w:val="24"/>
        </w:rPr>
        <w:lastRenderedPageBreak/>
        <w:t xml:space="preserve">clínicas presentadas por la paciente, con base en las deficiencias reflejadas en su historia clínica y de conformidad con el Manual Único de Calificación de Invalidez, teniendo en cuenta la escala de gravedad y el impacto que su condición genera a nivel ocupacional y en la ejecución de sus actividades de la vida diaria. Como excepciones de fondo formuló: </w:t>
      </w:r>
      <w:r w:rsidR="00F403E4" w:rsidRPr="006F1824">
        <w:rPr>
          <w:rFonts w:ascii="Bookman Old Style" w:hAnsi="Bookman Old Style" w:cs="Arial"/>
          <w:b/>
          <w:bCs/>
          <w:sz w:val="24"/>
          <w:szCs w:val="24"/>
        </w:rPr>
        <w:t xml:space="preserve">legalidad del dictamen expedido por la Junta Nacional de Calificación de Invalidez, la variación en la condición clínica del paciente con posterioridad al dictamen de la Junta Nacional exime de responsabilidad a la entidad, improcedencia del petitum: inexistencia de prueba idónea para controvertir el dictamen – carga de la prueba a cargo del contradictor, improcedencia de las pretensiones respecto a la Junta Nacional de Calificación de Invalidez: Competencia del Juez Laboral, buena fe de la parte demandada, excepción genérica. </w:t>
      </w:r>
      <w:r w:rsidR="00F403E4" w:rsidRPr="006F1824">
        <w:rPr>
          <w:rFonts w:ascii="Bookman Old Style" w:hAnsi="Bookman Old Style" w:cs="Arial"/>
          <w:bCs/>
          <w:sz w:val="24"/>
          <w:szCs w:val="24"/>
        </w:rPr>
        <w:t>(Anexo08)</w:t>
      </w:r>
    </w:p>
    <w:p w14:paraId="2013FF0F" w14:textId="33D9CDBC" w:rsidR="00F31514" w:rsidRPr="006F1824" w:rsidRDefault="00F31514" w:rsidP="006F1824">
      <w:pPr>
        <w:tabs>
          <w:tab w:val="left" w:pos="2268"/>
        </w:tabs>
        <w:suppressAutoHyphens/>
        <w:spacing w:after="0"/>
        <w:jc w:val="both"/>
        <w:rPr>
          <w:rFonts w:ascii="Bookman Old Style" w:hAnsi="Bookman Old Style" w:cs="Arial"/>
          <w:bCs/>
          <w:sz w:val="24"/>
          <w:szCs w:val="24"/>
        </w:rPr>
      </w:pPr>
    </w:p>
    <w:p w14:paraId="3C41A488" w14:textId="3E22DE03" w:rsidR="00284098" w:rsidRPr="006F1824" w:rsidRDefault="00987044" w:rsidP="006F1824">
      <w:pPr>
        <w:spacing w:after="0"/>
        <w:jc w:val="both"/>
        <w:rPr>
          <w:rFonts w:ascii="Bookman Old Style" w:hAnsi="Bookman Old Style"/>
          <w:spacing w:val="-3"/>
          <w:sz w:val="24"/>
          <w:szCs w:val="24"/>
        </w:rPr>
      </w:pPr>
      <w:r w:rsidRPr="006F1824">
        <w:rPr>
          <w:rFonts w:ascii="Bookman Old Style" w:hAnsi="Bookman Old Style"/>
          <w:spacing w:val="-3"/>
          <w:sz w:val="24"/>
          <w:szCs w:val="24"/>
        </w:rPr>
        <w:t xml:space="preserve">La </w:t>
      </w:r>
      <w:r w:rsidR="00F403E4" w:rsidRPr="006F1824">
        <w:rPr>
          <w:rFonts w:ascii="Bookman Old Style" w:hAnsi="Bookman Old Style"/>
          <w:spacing w:val="-3"/>
          <w:sz w:val="24"/>
          <w:szCs w:val="24"/>
        </w:rPr>
        <w:t>vinculada</w:t>
      </w:r>
      <w:r w:rsidR="00284098" w:rsidRPr="006F1824">
        <w:rPr>
          <w:rFonts w:ascii="Bookman Old Style" w:hAnsi="Bookman Old Style"/>
          <w:spacing w:val="-3"/>
          <w:sz w:val="24"/>
          <w:szCs w:val="24"/>
        </w:rPr>
        <w:t xml:space="preserve"> </w:t>
      </w:r>
      <w:r w:rsidR="00284098" w:rsidRPr="006F1824">
        <w:rPr>
          <w:rFonts w:ascii="Bookman Old Style" w:hAnsi="Bookman Old Style"/>
          <w:b/>
          <w:spacing w:val="-3"/>
          <w:sz w:val="24"/>
          <w:szCs w:val="24"/>
        </w:rPr>
        <w:t xml:space="preserve">COLPENSIONES </w:t>
      </w:r>
      <w:r w:rsidR="00284098" w:rsidRPr="006F1824">
        <w:rPr>
          <w:rFonts w:ascii="Bookman Old Style" w:hAnsi="Bookman Old Style"/>
          <w:spacing w:val="-3"/>
          <w:sz w:val="24"/>
          <w:szCs w:val="24"/>
        </w:rPr>
        <w:t xml:space="preserve">se opuso a las pretensiones </w:t>
      </w:r>
      <w:r w:rsidR="00F403E4" w:rsidRPr="006F1824">
        <w:rPr>
          <w:rFonts w:ascii="Bookman Old Style" w:hAnsi="Bookman Old Style"/>
          <w:spacing w:val="-3"/>
          <w:sz w:val="24"/>
          <w:szCs w:val="24"/>
        </w:rPr>
        <w:t>e indicó que ninguna de las pretensiones es oponible a la Administradora, sin embargo, considera que el dictamen atacado tiene plena validez, pues se realizó conforme a lo dispuesto en la norma vigente que reglamenta las calificaciones</w:t>
      </w:r>
      <w:r w:rsidR="00720918" w:rsidRPr="006F1824">
        <w:rPr>
          <w:rFonts w:ascii="Bookman Old Style" w:hAnsi="Bookman Old Style"/>
          <w:spacing w:val="-3"/>
          <w:sz w:val="24"/>
          <w:szCs w:val="24"/>
        </w:rPr>
        <w:t>. C</w:t>
      </w:r>
      <w:r w:rsidR="00284098" w:rsidRPr="006F1824">
        <w:rPr>
          <w:rFonts w:ascii="Bookman Old Style" w:hAnsi="Bookman Old Style"/>
          <w:spacing w:val="-3"/>
          <w:sz w:val="24"/>
          <w:szCs w:val="24"/>
        </w:rPr>
        <w:t xml:space="preserve">omo excepciones formuló: </w:t>
      </w:r>
      <w:r w:rsidR="00720918" w:rsidRPr="006F1824">
        <w:rPr>
          <w:rFonts w:ascii="Bookman Old Style" w:hAnsi="Bookman Old Style"/>
          <w:b/>
          <w:spacing w:val="-3"/>
          <w:sz w:val="24"/>
          <w:szCs w:val="24"/>
        </w:rPr>
        <w:t xml:space="preserve">falta de legitimación en la causa por pasiva, validez de la calificación de pérdida de capacidad laboral realizada por la Junta Regional y Nacional de Calificación de Invalidez, prescripción, buena fe </w:t>
      </w:r>
      <w:r w:rsidR="00720918" w:rsidRPr="006F1824">
        <w:rPr>
          <w:rFonts w:ascii="Bookman Old Style" w:hAnsi="Bookman Old Style"/>
          <w:spacing w:val="-3"/>
          <w:sz w:val="24"/>
          <w:szCs w:val="24"/>
        </w:rPr>
        <w:t xml:space="preserve">y las </w:t>
      </w:r>
      <w:r w:rsidR="00720918" w:rsidRPr="006F1824">
        <w:rPr>
          <w:rFonts w:ascii="Bookman Old Style" w:hAnsi="Bookman Old Style"/>
          <w:b/>
          <w:spacing w:val="-3"/>
          <w:sz w:val="24"/>
          <w:szCs w:val="24"/>
        </w:rPr>
        <w:t>declarables de oficio.</w:t>
      </w:r>
      <w:r w:rsidR="00284098" w:rsidRPr="006F1824">
        <w:rPr>
          <w:rFonts w:ascii="Bookman Old Style" w:hAnsi="Bookman Old Style"/>
          <w:b/>
          <w:spacing w:val="-3"/>
          <w:sz w:val="24"/>
          <w:szCs w:val="24"/>
        </w:rPr>
        <w:t xml:space="preserve"> </w:t>
      </w:r>
      <w:r w:rsidR="00720918" w:rsidRPr="006F1824">
        <w:rPr>
          <w:rFonts w:ascii="Bookman Old Style" w:hAnsi="Bookman Old Style"/>
          <w:spacing w:val="-3"/>
          <w:sz w:val="24"/>
          <w:szCs w:val="24"/>
        </w:rPr>
        <w:t>(Anexo</w:t>
      </w:r>
      <w:r w:rsidR="00FC305B">
        <w:rPr>
          <w:rFonts w:ascii="Bookman Old Style" w:hAnsi="Bookman Old Style"/>
          <w:spacing w:val="-3"/>
          <w:sz w:val="24"/>
          <w:szCs w:val="24"/>
        </w:rPr>
        <w:t xml:space="preserve"> </w:t>
      </w:r>
      <w:r w:rsidR="00720918" w:rsidRPr="006F1824">
        <w:rPr>
          <w:rFonts w:ascii="Bookman Old Style" w:hAnsi="Bookman Old Style"/>
          <w:spacing w:val="-3"/>
          <w:sz w:val="24"/>
          <w:szCs w:val="24"/>
        </w:rPr>
        <w:t>09</w:t>
      </w:r>
      <w:r w:rsidR="00284098" w:rsidRPr="006F1824">
        <w:rPr>
          <w:rFonts w:ascii="Bookman Old Style" w:hAnsi="Bookman Old Style"/>
          <w:spacing w:val="-3"/>
          <w:sz w:val="24"/>
          <w:szCs w:val="24"/>
        </w:rPr>
        <w:t>)</w:t>
      </w:r>
    </w:p>
    <w:p w14:paraId="36B42010" w14:textId="77777777" w:rsidR="00284098" w:rsidRPr="006F1824" w:rsidRDefault="00284098" w:rsidP="006F1824">
      <w:pPr>
        <w:spacing w:after="0"/>
        <w:jc w:val="both"/>
        <w:rPr>
          <w:rFonts w:ascii="Bookman Old Style" w:hAnsi="Bookman Old Style"/>
          <w:spacing w:val="-3"/>
          <w:sz w:val="24"/>
          <w:szCs w:val="24"/>
        </w:rPr>
      </w:pPr>
    </w:p>
    <w:p w14:paraId="1A4A88D6" w14:textId="72E34B08" w:rsidR="00785B1C" w:rsidRPr="006F1824" w:rsidRDefault="0060205D" w:rsidP="006F1824">
      <w:pPr>
        <w:pStyle w:val="Prrafodelista"/>
        <w:numPr>
          <w:ilvl w:val="0"/>
          <w:numId w:val="26"/>
        </w:numPr>
        <w:tabs>
          <w:tab w:val="left" w:pos="2268"/>
        </w:tabs>
        <w:suppressAutoHyphens/>
        <w:spacing w:after="0"/>
        <w:jc w:val="center"/>
        <w:rPr>
          <w:rFonts w:ascii="Bookman Old Style" w:eastAsia="Dotum" w:hAnsi="Bookman Old Style" w:cs="Tahoma"/>
          <w:b/>
          <w:sz w:val="24"/>
          <w:szCs w:val="24"/>
          <w:lang w:eastAsia="es-ES"/>
        </w:rPr>
      </w:pPr>
      <w:r w:rsidRPr="006F1824">
        <w:rPr>
          <w:rFonts w:ascii="Bookman Old Style" w:eastAsia="Dotum" w:hAnsi="Bookman Old Style" w:cs="Tahoma"/>
          <w:b/>
          <w:sz w:val="24"/>
          <w:szCs w:val="24"/>
          <w:lang w:eastAsia="es-ES"/>
        </w:rPr>
        <w:t>SENTENCIA DE PRIMERA INSTANCIA:</w:t>
      </w:r>
    </w:p>
    <w:p w14:paraId="553D33D9" w14:textId="77777777" w:rsidR="009E7CBE" w:rsidRPr="006F1824" w:rsidRDefault="009E7CBE" w:rsidP="006F1824">
      <w:pPr>
        <w:tabs>
          <w:tab w:val="left" w:pos="2268"/>
        </w:tabs>
        <w:suppressAutoHyphens/>
        <w:spacing w:after="0"/>
        <w:jc w:val="both"/>
        <w:rPr>
          <w:rFonts w:ascii="Bookman Old Style" w:eastAsia="Dotum" w:hAnsi="Bookman Old Style" w:cs="Tahoma"/>
          <w:sz w:val="24"/>
          <w:szCs w:val="24"/>
          <w:lang w:eastAsia="es-ES"/>
        </w:rPr>
      </w:pPr>
    </w:p>
    <w:p w14:paraId="2CCEF086" w14:textId="3A28CEB3" w:rsidR="00AF6197" w:rsidRPr="006F1824" w:rsidRDefault="00031377" w:rsidP="006F1824">
      <w:pPr>
        <w:spacing w:after="0"/>
        <w:jc w:val="both"/>
        <w:rPr>
          <w:rFonts w:ascii="Bookman Old Style" w:hAnsi="Bookman Old Style"/>
          <w:sz w:val="24"/>
          <w:szCs w:val="24"/>
        </w:rPr>
      </w:pPr>
      <w:r w:rsidRPr="006F1824">
        <w:rPr>
          <w:rFonts w:ascii="Bookman Old Style" w:hAnsi="Bookman Old Style" w:cs="Arial"/>
          <w:sz w:val="24"/>
          <w:szCs w:val="24"/>
        </w:rPr>
        <w:t>El</w:t>
      </w:r>
      <w:r w:rsidR="007C6AA0" w:rsidRPr="006F1824">
        <w:rPr>
          <w:rFonts w:ascii="Bookman Old Style" w:hAnsi="Bookman Old Style" w:cs="Arial"/>
          <w:sz w:val="24"/>
          <w:szCs w:val="24"/>
        </w:rPr>
        <w:t xml:space="preserve"> Juzgado</w:t>
      </w:r>
      <w:r w:rsidR="00053918" w:rsidRPr="006F1824">
        <w:rPr>
          <w:rFonts w:ascii="Bookman Old Style" w:hAnsi="Bookman Old Style" w:cs="Arial"/>
          <w:sz w:val="24"/>
          <w:szCs w:val="24"/>
        </w:rPr>
        <w:t xml:space="preserve"> </w:t>
      </w:r>
      <w:r w:rsidR="002B7C88" w:rsidRPr="006F1824">
        <w:rPr>
          <w:rFonts w:ascii="Bookman Old Style" w:hAnsi="Bookman Old Style" w:cs="Arial"/>
          <w:sz w:val="24"/>
          <w:szCs w:val="24"/>
        </w:rPr>
        <w:t>Tercero</w:t>
      </w:r>
      <w:r w:rsidR="00DE3C6D" w:rsidRPr="006F1824">
        <w:rPr>
          <w:rFonts w:ascii="Bookman Old Style" w:hAnsi="Bookman Old Style" w:cs="Arial"/>
          <w:sz w:val="24"/>
          <w:szCs w:val="24"/>
        </w:rPr>
        <w:t xml:space="preserve"> </w:t>
      </w:r>
      <w:r w:rsidR="00CD6E8E" w:rsidRPr="006F1824">
        <w:rPr>
          <w:rFonts w:ascii="Bookman Old Style" w:hAnsi="Bookman Old Style" w:cs="Arial"/>
          <w:sz w:val="24"/>
          <w:szCs w:val="24"/>
        </w:rPr>
        <w:t>L</w:t>
      </w:r>
      <w:r w:rsidR="007C6AA0" w:rsidRPr="006F1824">
        <w:rPr>
          <w:rFonts w:ascii="Bookman Old Style" w:hAnsi="Bookman Old Style" w:cs="Arial"/>
          <w:sz w:val="24"/>
          <w:szCs w:val="24"/>
        </w:rPr>
        <w:t xml:space="preserve">aboral del Circuito de </w:t>
      </w:r>
      <w:r w:rsidR="00DE3C6D" w:rsidRPr="006F1824">
        <w:rPr>
          <w:rFonts w:ascii="Bookman Old Style" w:hAnsi="Bookman Old Style" w:cs="Arial"/>
          <w:sz w:val="24"/>
          <w:szCs w:val="24"/>
        </w:rPr>
        <w:t xml:space="preserve">Pereira </w:t>
      </w:r>
      <w:r w:rsidR="007C6AA0" w:rsidRPr="006F1824">
        <w:rPr>
          <w:rFonts w:ascii="Bookman Old Style" w:hAnsi="Bookman Old Style" w:cs="Arial"/>
          <w:sz w:val="24"/>
          <w:szCs w:val="24"/>
        </w:rPr>
        <w:t xml:space="preserve">desató la </w:t>
      </w:r>
      <w:r w:rsidR="007C6AA0" w:rsidRPr="006F1824">
        <w:rPr>
          <w:rFonts w:ascii="Bookman Old Style" w:hAnsi="Bookman Old Style" w:cs="Arial"/>
          <w:i/>
          <w:sz w:val="24"/>
          <w:szCs w:val="24"/>
        </w:rPr>
        <w:t>litis</w:t>
      </w:r>
      <w:r w:rsidR="007C6AA0" w:rsidRPr="006F1824">
        <w:rPr>
          <w:rFonts w:ascii="Bookman Old Style" w:hAnsi="Bookman Old Style" w:cs="Arial"/>
          <w:sz w:val="24"/>
          <w:szCs w:val="24"/>
        </w:rPr>
        <w:t xml:space="preserve"> en primera instancia mediante sentencia</w:t>
      </w:r>
      <w:r w:rsidRPr="006F1824">
        <w:rPr>
          <w:rFonts w:ascii="Bookman Old Style" w:hAnsi="Bookman Old Style" w:cs="Arial"/>
          <w:sz w:val="24"/>
          <w:szCs w:val="24"/>
        </w:rPr>
        <w:t>,</w:t>
      </w:r>
      <w:r w:rsidR="007C6AA0" w:rsidRPr="006F1824">
        <w:rPr>
          <w:rFonts w:ascii="Bookman Old Style" w:hAnsi="Bookman Old Style" w:cs="Arial"/>
          <w:b/>
          <w:sz w:val="24"/>
          <w:szCs w:val="24"/>
        </w:rPr>
        <w:t xml:space="preserve"> </w:t>
      </w:r>
      <w:r w:rsidR="007C6AA0" w:rsidRPr="006F1824">
        <w:rPr>
          <w:rFonts w:ascii="Bookman Old Style" w:hAnsi="Bookman Old Style" w:cs="Arial"/>
          <w:sz w:val="24"/>
          <w:szCs w:val="24"/>
        </w:rPr>
        <w:t xml:space="preserve">en la cual resolvió: </w:t>
      </w:r>
      <w:r w:rsidR="001E74C4" w:rsidRPr="006F1824">
        <w:rPr>
          <w:rFonts w:ascii="Bookman Old Style" w:hAnsi="Bookman Old Style" w:cs="Arial"/>
          <w:b/>
          <w:sz w:val="24"/>
          <w:szCs w:val="24"/>
        </w:rPr>
        <w:t xml:space="preserve">1) </w:t>
      </w:r>
      <w:r w:rsidR="002B7C88" w:rsidRPr="006F1824">
        <w:rPr>
          <w:rFonts w:ascii="Bookman Old Style" w:hAnsi="Bookman Old Style" w:cs="Arial"/>
          <w:sz w:val="24"/>
          <w:szCs w:val="24"/>
        </w:rPr>
        <w:t xml:space="preserve">Declarar que el dictamen de la Junta Nacional de Calificación emitido el 11 de marzo de 2020, conserva plena validez. </w:t>
      </w:r>
      <w:r w:rsidR="002B7C88" w:rsidRPr="006F1824">
        <w:rPr>
          <w:rFonts w:ascii="Bookman Old Style" w:hAnsi="Bookman Old Style" w:cs="Arial"/>
          <w:b/>
          <w:sz w:val="24"/>
          <w:szCs w:val="24"/>
        </w:rPr>
        <w:t xml:space="preserve">2) </w:t>
      </w:r>
      <w:r w:rsidR="001E74C4" w:rsidRPr="006F1824">
        <w:rPr>
          <w:rFonts w:ascii="Bookman Old Style" w:hAnsi="Bookman Old Style" w:cs="Arial"/>
          <w:sz w:val="24"/>
          <w:szCs w:val="24"/>
        </w:rPr>
        <w:t xml:space="preserve">Negar la totalidad de </w:t>
      </w:r>
      <w:r w:rsidR="00966C6A" w:rsidRPr="006F1824">
        <w:rPr>
          <w:rFonts w:ascii="Bookman Old Style" w:hAnsi="Bookman Old Style" w:cs="Arial"/>
          <w:sz w:val="24"/>
          <w:szCs w:val="24"/>
        </w:rPr>
        <w:t xml:space="preserve">las pretensiones de la demanda. </w:t>
      </w:r>
      <w:r w:rsidR="00966C6A" w:rsidRPr="006F1824">
        <w:rPr>
          <w:rFonts w:ascii="Bookman Old Style" w:hAnsi="Bookman Old Style" w:cs="Arial"/>
          <w:b/>
          <w:sz w:val="24"/>
          <w:szCs w:val="24"/>
        </w:rPr>
        <w:t xml:space="preserve">3) </w:t>
      </w:r>
      <w:r w:rsidR="002B7C88" w:rsidRPr="006F1824">
        <w:rPr>
          <w:rFonts w:ascii="Bookman Old Style" w:hAnsi="Bookman Old Style" w:cs="Arial"/>
          <w:sz w:val="24"/>
          <w:szCs w:val="24"/>
        </w:rPr>
        <w:t>Sin costas</w:t>
      </w:r>
      <w:r w:rsidR="001E74C4" w:rsidRPr="006F1824">
        <w:rPr>
          <w:rFonts w:ascii="Bookman Old Style" w:hAnsi="Bookman Old Style" w:cs="Arial"/>
          <w:sz w:val="24"/>
          <w:szCs w:val="24"/>
        </w:rPr>
        <w:t xml:space="preserve">. </w:t>
      </w:r>
    </w:p>
    <w:p w14:paraId="454AA43A" w14:textId="77777777" w:rsidR="00AF6197" w:rsidRPr="006F1824" w:rsidRDefault="00AF6197" w:rsidP="006F1824">
      <w:pPr>
        <w:spacing w:after="0"/>
        <w:jc w:val="both"/>
        <w:rPr>
          <w:rFonts w:ascii="Bookman Old Style" w:hAnsi="Bookman Old Style"/>
          <w:sz w:val="24"/>
          <w:szCs w:val="24"/>
        </w:rPr>
      </w:pPr>
    </w:p>
    <w:p w14:paraId="445C06CC" w14:textId="3782E0B6" w:rsidR="00406C1B" w:rsidRPr="006F1824" w:rsidRDefault="005E4D4F" w:rsidP="006F1824">
      <w:pPr>
        <w:spacing w:after="0"/>
        <w:jc w:val="both"/>
        <w:rPr>
          <w:rFonts w:ascii="Bookman Old Style" w:hAnsi="Bookman Old Style"/>
          <w:sz w:val="24"/>
          <w:szCs w:val="24"/>
        </w:rPr>
      </w:pPr>
      <w:r w:rsidRPr="006F1824">
        <w:rPr>
          <w:rFonts w:ascii="Bookman Old Style" w:hAnsi="Bookman Old Style"/>
          <w:sz w:val="24"/>
          <w:szCs w:val="24"/>
        </w:rPr>
        <w:t xml:space="preserve">Como fundamento de la decisión, </w:t>
      </w:r>
      <w:r w:rsidR="00333E92" w:rsidRPr="006F1824">
        <w:rPr>
          <w:rFonts w:ascii="Bookman Old Style" w:hAnsi="Bookman Old Style"/>
          <w:sz w:val="24"/>
          <w:szCs w:val="24"/>
        </w:rPr>
        <w:t>el</w:t>
      </w:r>
      <w:r w:rsidRPr="006F1824">
        <w:rPr>
          <w:rFonts w:ascii="Bookman Old Style" w:hAnsi="Bookman Old Style"/>
          <w:sz w:val="24"/>
          <w:szCs w:val="24"/>
        </w:rPr>
        <w:t xml:space="preserve"> juez de primera instancia señaló que</w:t>
      </w:r>
      <w:r w:rsidR="00AE0966" w:rsidRPr="006F1824">
        <w:rPr>
          <w:rFonts w:ascii="Bookman Old Style" w:hAnsi="Bookman Old Style"/>
          <w:sz w:val="24"/>
          <w:szCs w:val="24"/>
        </w:rPr>
        <w:t xml:space="preserve"> </w:t>
      </w:r>
      <w:r w:rsidR="00966C6A" w:rsidRPr="006F1824">
        <w:rPr>
          <w:rFonts w:ascii="Bookman Old Style" w:hAnsi="Bookman Old Style"/>
          <w:sz w:val="24"/>
          <w:szCs w:val="24"/>
        </w:rPr>
        <w:t>comparado el dictamen de la Junta Nacional del 11 de marzo de 2020 y el dictamen de la Junta Regional de Caldas del 25 de agosto de 2022 que se solicitó como prueba pericial, se evidencia que el dictamen de la Nacional no presenta ningún error que afectara el porcentaje de pérdida de la capacidad laboral, toda vez que se tuvieron en cuenta todas las valoraciones médicas</w:t>
      </w:r>
      <w:r w:rsidR="00386E4D" w:rsidRPr="006F1824">
        <w:rPr>
          <w:rFonts w:ascii="Bookman Old Style" w:hAnsi="Bookman Old Style"/>
          <w:sz w:val="24"/>
          <w:szCs w:val="24"/>
        </w:rPr>
        <w:t xml:space="preserve"> </w:t>
      </w:r>
      <w:r w:rsidR="00966C6A" w:rsidRPr="006F1824">
        <w:rPr>
          <w:rFonts w:ascii="Bookman Old Style" w:hAnsi="Bookman Old Style"/>
          <w:sz w:val="24"/>
          <w:szCs w:val="24"/>
        </w:rPr>
        <w:t xml:space="preserve">que en su momento se realizaron </w:t>
      </w:r>
      <w:r w:rsidR="00386E4D" w:rsidRPr="006F1824">
        <w:rPr>
          <w:rFonts w:ascii="Bookman Old Style" w:hAnsi="Bookman Old Style"/>
          <w:sz w:val="24"/>
          <w:szCs w:val="24"/>
        </w:rPr>
        <w:t>por las diferentes especialidades que trataron las patologías físicas y mentales de la demandante.</w:t>
      </w:r>
      <w:r w:rsidR="00966C6A" w:rsidRPr="006F1824">
        <w:rPr>
          <w:rFonts w:ascii="Bookman Old Style" w:hAnsi="Bookman Old Style"/>
          <w:sz w:val="24"/>
          <w:szCs w:val="24"/>
        </w:rPr>
        <w:t xml:space="preserve"> </w:t>
      </w:r>
      <w:r w:rsidR="00386E4D" w:rsidRPr="006F1824">
        <w:rPr>
          <w:rFonts w:ascii="Bookman Old Style" w:hAnsi="Bookman Old Style"/>
          <w:sz w:val="24"/>
          <w:szCs w:val="24"/>
        </w:rPr>
        <w:t>Mencionó que según la historia clínica, la actora s</w:t>
      </w:r>
      <w:r w:rsidR="0068239C" w:rsidRPr="006F1824">
        <w:rPr>
          <w:rFonts w:ascii="Bookman Old Style" w:hAnsi="Bookman Old Style"/>
          <w:sz w:val="24"/>
          <w:szCs w:val="24"/>
        </w:rPr>
        <w:t>e encuentra en tratamiento médico que le ha generado una mejoría, de ahí que sus patologías no hayan evolucionado y deteriorado notablemente su estado de salud.</w:t>
      </w:r>
    </w:p>
    <w:p w14:paraId="2CE8FB0E" w14:textId="5B5C7721" w:rsidR="00CB62D4" w:rsidRPr="006F1824" w:rsidRDefault="00CB62D4" w:rsidP="006F1824">
      <w:pPr>
        <w:spacing w:after="0"/>
        <w:jc w:val="both"/>
        <w:rPr>
          <w:rFonts w:ascii="Bookman Old Style" w:hAnsi="Bookman Old Style"/>
          <w:sz w:val="24"/>
          <w:szCs w:val="24"/>
        </w:rPr>
      </w:pPr>
    </w:p>
    <w:p w14:paraId="2B430145" w14:textId="04ABAF3C" w:rsidR="009B1B3D" w:rsidRPr="006F1824" w:rsidRDefault="00B728C9" w:rsidP="006F1824">
      <w:pPr>
        <w:pStyle w:val="Prrafodelista"/>
        <w:numPr>
          <w:ilvl w:val="0"/>
          <w:numId w:val="26"/>
        </w:numPr>
        <w:tabs>
          <w:tab w:val="left" w:pos="2268"/>
        </w:tabs>
        <w:suppressAutoHyphens/>
        <w:spacing w:after="0"/>
        <w:jc w:val="center"/>
        <w:rPr>
          <w:rFonts w:ascii="Bookman Old Style" w:hAnsi="Bookman Old Style" w:cs="Arial"/>
          <w:b/>
          <w:sz w:val="24"/>
          <w:szCs w:val="24"/>
        </w:rPr>
      </w:pPr>
      <w:r w:rsidRPr="006F1824">
        <w:rPr>
          <w:rFonts w:ascii="Bookman Old Style" w:hAnsi="Bookman Old Style" w:cs="Arial"/>
          <w:b/>
          <w:sz w:val="24"/>
          <w:szCs w:val="24"/>
        </w:rPr>
        <w:t>EL RECURSO DE APELACIÓN</w:t>
      </w:r>
    </w:p>
    <w:p w14:paraId="0B7672FA" w14:textId="599A5142" w:rsidR="00723C68" w:rsidRPr="006F1824" w:rsidRDefault="00723C68" w:rsidP="006F1824">
      <w:pPr>
        <w:tabs>
          <w:tab w:val="left" w:pos="2268"/>
        </w:tabs>
        <w:suppressAutoHyphens/>
        <w:spacing w:after="0"/>
        <w:jc w:val="both"/>
        <w:rPr>
          <w:rFonts w:ascii="Bookman Old Style" w:hAnsi="Bookman Old Style" w:cs="Arial"/>
          <w:b/>
          <w:sz w:val="24"/>
          <w:szCs w:val="24"/>
        </w:rPr>
      </w:pPr>
    </w:p>
    <w:p w14:paraId="2E1BE6A0" w14:textId="77777777" w:rsidR="00000AC7" w:rsidRPr="006F1824" w:rsidRDefault="00B728C9" w:rsidP="006F1824">
      <w:pPr>
        <w:spacing w:after="0"/>
        <w:jc w:val="both"/>
        <w:rPr>
          <w:rFonts w:ascii="Bookman Old Style" w:hAnsi="Bookman Old Style"/>
          <w:sz w:val="24"/>
          <w:szCs w:val="24"/>
        </w:rPr>
      </w:pPr>
      <w:r w:rsidRPr="006F1824">
        <w:rPr>
          <w:rFonts w:ascii="Bookman Old Style" w:hAnsi="Bookman Old Style"/>
          <w:sz w:val="24"/>
          <w:szCs w:val="24"/>
        </w:rPr>
        <w:t xml:space="preserve">Inconforme con la decisión, la apoderada de la parte demandante interpuso recurso indicando que el proceso de calificación debe tener en cuenta la realización de todas las esferas del ser humano en su parte física, mental y </w:t>
      </w:r>
      <w:r w:rsidRPr="006F1824">
        <w:rPr>
          <w:rFonts w:ascii="Bookman Old Style" w:hAnsi="Bookman Old Style"/>
          <w:sz w:val="24"/>
          <w:szCs w:val="24"/>
        </w:rPr>
        <w:lastRenderedPageBreak/>
        <w:t xml:space="preserve">emocional, en ese sentido, el impacto en la afectación de la salud debe ser analizado en el peritaje que fue realizado por la Junta Regional de Invalidez de Caldas. </w:t>
      </w:r>
    </w:p>
    <w:p w14:paraId="019AA4BF" w14:textId="77777777" w:rsidR="00000AC7" w:rsidRPr="006F1824" w:rsidRDefault="00000AC7" w:rsidP="006F1824">
      <w:pPr>
        <w:spacing w:after="0"/>
        <w:jc w:val="both"/>
        <w:rPr>
          <w:rFonts w:ascii="Bookman Old Style" w:hAnsi="Bookman Old Style"/>
          <w:sz w:val="24"/>
          <w:szCs w:val="24"/>
        </w:rPr>
      </w:pPr>
    </w:p>
    <w:p w14:paraId="76FA1DBB" w14:textId="195F79CA" w:rsidR="00742241" w:rsidRPr="006F1824" w:rsidRDefault="00742241" w:rsidP="006F1824">
      <w:pPr>
        <w:spacing w:after="0"/>
        <w:jc w:val="both"/>
        <w:rPr>
          <w:rFonts w:ascii="Bookman Old Style" w:hAnsi="Bookman Old Style"/>
          <w:sz w:val="24"/>
          <w:szCs w:val="24"/>
        </w:rPr>
      </w:pPr>
      <w:r w:rsidRPr="006F1824">
        <w:rPr>
          <w:rFonts w:ascii="Bookman Old Style" w:hAnsi="Bookman Old Style"/>
          <w:sz w:val="24"/>
          <w:szCs w:val="24"/>
        </w:rPr>
        <w:t>Al</w:t>
      </w:r>
      <w:r w:rsidR="00B728C9" w:rsidRPr="006F1824">
        <w:rPr>
          <w:rFonts w:ascii="Bookman Old Style" w:hAnsi="Bookman Old Style"/>
          <w:sz w:val="24"/>
          <w:szCs w:val="24"/>
        </w:rPr>
        <w:t xml:space="preserve"> estudiar los dictámenes realizados por las Juntas, se puede observar que el </w:t>
      </w:r>
      <w:r w:rsidR="00000AC7" w:rsidRPr="006F1824">
        <w:rPr>
          <w:rFonts w:ascii="Bookman Old Style" w:hAnsi="Bookman Old Style"/>
          <w:sz w:val="24"/>
          <w:szCs w:val="24"/>
        </w:rPr>
        <w:t>porcentaje</w:t>
      </w:r>
      <w:r w:rsidR="00B728C9" w:rsidRPr="006F1824">
        <w:rPr>
          <w:rFonts w:ascii="Bookman Old Style" w:hAnsi="Bookman Old Style"/>
          <w:sz w:val="24"/>
          <w:szCs w:val="24"/>
        </w:rPr>
        <w:t xml:space="preserve"> d</w:t>
      </w:r>
      <w:r w:rsidR="00000AC7" w:rsidRPr="006F1824">
        <w:rPr>
          <w:rFonts w:ascii="Bookman Old Style" w:hAnsi="Bookman Old Style"/>
          <w:sz w:val="24"/>
          <w:szCs w:val="24"/>
        </w:rPr>
        <w:t>e</w:t>
      </w:r>
      <w:r w:rsidR="00B728C9" w:rsidRPr="006F1824">
        <w:rPr>
          <w:rFonts w:ascii="Bookman Old Style" w:hAnsi="Bookman Old Style"/>
          <w:sz w:val="24"/>
          <w:szCs w:val="24"/>
        </w:rPr>
        <w:t xml:space="preserve"> la calificación de la enfermedad osteo</w:t>
      </w:r>
      <w:r w:rsidRPr="006F1824">
        <w:rPr>
          <w:rFonts w:ascii="Bookman Old Style" w:hAnsi="Bookman Old Style"/>
          <w:sz w:val="24"/>
          <w:szCs w:val="24"/>
        </w:rPr>
        <w:t>-</w:t>
      </w:r>
      <w:r w:rsidR="00B728C9" w:rsidRPr="006F1824">
        <w:rPr>
          <w:rFonts w:ascii="Bookman Old Style" w:hAnsi="Bookman Old Style"/>
          <w:sz w:val="24"/>
          <w:szCs w:val="24"/>
        </w:rPr>
        <w:t>artr</w:t>
      </w:r>
      <w:r w:rsidRPr="006F1824">
        <w:rPr>
          <w:rFonts w:ascii="Bookman Old Style" w:hAnsi="Bookman Old Style"/>
          <w:sz w:val="24"/>
          <w:szCs w:val="24"/>
        </w:rPr>
        <w:t>osis</w:t>
      </w:r>
      <w:r w:rsidR="00B728C9" w:rsidRPr="006F1824">
        <w:rPr>
          <w:rFonts w:ascii="Bookman Old Style" w:hAnsi="Bookman Old Style"/>
          <w:sz w:val="24"/>
          <w:szCs w:val="24"/>
        </w:rPr>
        <w:t xml:space="preserve"> está muy por debajo de lo que se debi</w:t>
      </w:r>
      <w:r w:rsidR="00000AC7" w:rsidRPr="006F1824">
        <w:rPr>
          <w:rFonts w:ascii="Bookman Old Style" w:hAnsi="Bookman Old Style"/>
          <w:sz w:val="24"/>
          <w:szCs w:val="24"/>
        </w:rPr>
        <w:t xml:space="preserve">ó </w:t>
      </w:r>
      <w:r w:rsidRPr="006F1824">
        <w:rPr>
          <w:rFonts w:ascii="Bookman Old Style" w:hAnsi="Bookman Old Style"/>
          <w:sz w:val="24"/>
          <w:szCs w:val="24"/>
        </w:rPr>
        <w:t>otorgar,</w:t>
      </w:r>
      <w:r w:rsidR="00B728C9" w:rsidRPr="006F1824">
        <w:rPr>
          <w:rFonts w:ascii="Bookman Old Style" w:hAnsi="Bookman Old Style"/>
          <w:sz w:val="24"/>
          <w:szCs w:val="24"/>
        </w:rPr>
        <w:t xml:space="preserve"> </w:t>
      </w:r>
      <w:r w:rsidR="00000AC7" w:rsidRPr="006F1824">
        <w:rPr>
          <w:rFonts w:ascii="Bookman Old Style" w:hAnsi="Bookman Old Style"/>
          <w:sz w:val="24"/>
          <w:szCs w:val="24"/>
        </w:rPr>
        <w:t>pues</w:t>
      </w:r>
      <w:r w:rsidR="00B728C9" w:rsidRPr="006F1824">
        <w:rPr>
          <w:rFonts w:ascii="Bookman Old Style" w:hAnsi="Bookman Old Style"/>
          <w:sz w:val="24"/>
          <w:szCs w:val="24"/>
        </w:rPr>
        <w:t xml:space="preserve"> según el concepto del 18 de julio de 2013</w:t>
      </w:r>
      <w:r w:rsidR="00000AC7" w:rsidRPr="006F1824">
        <w:rPr>
          <w:rFonts w:ascii="Bookman Old Style" w:hAnsi="Bookman Old Style"/>
          <w:sz w:val="24"/>
          <w:szCs w:val="24"/>
        </w:rPr>
        <w:t xml:space="preserve"> de </w:t>
      </w:r>
      <w:r w:rsidR="00B728C9" w:rsidRPr="006F1824">
        <w:rPr>
          <w:rFonts w:ascii="Bookman Old Style" w:hAnsi="Bookman Old Style"/>
          <w:sz w:val="24"/>
          <w:szCs w:val="24"/>
        </w:rPr>
        <w:t>fisiatr</w:t>
      </w:r>
      <w:r w:rsidRPr="006F1824">
        <w:rPr>
          <w:rFonts w:ascii="Bookman Old Style" w:hAnsi="Bookman Old Style"/>
          <w:sz w:val="24"/>
          <w:szCs w:val="24"/>
        </w:rPr>
        <w:t>ía,</w:t>
      </w:r>
      <w:r w:rsidR="00B728C9" w:rsidRPr="006F1824">
        <w:rPr>
          <w:rFonts w:ascii="Bookman Old Style" w:hAnsi="Bookman Old Style"/>
          <w:sz w:val="24"/>
          <w:szCs w:val="24"/>
        </w:rPr>
        <w:t xml:space="preserve"> </w:t>
      </w:r>
      <w:r w:rsidR="00000AC7" w:rsidRPr="006F1824">
        <w:rPr>
          <w:rFonts w:ascii="Bookman Old Style" w:hAnsi="Bookman Old Style"/>
          <w:sz w:val="24"/>
          <w:szCs w:val="24"/>
        </w:rPr>
        <w:t>la actora</w:t>
      </w:r>
      <w:r w:rsidR="00B728C9" w:rsidRPr="006F1824">
        <w:rPr>
          <w:rFonts w:ascii="Bookman Old Style" w:hAnsi="Bookman Old Style"/>
          <w:sz w:val="24"/>
          <w:szCs w:val="24"/>
        </w:rPr>
        <w:t xml:space="preserve"> lleva varios años de evoluci</w:t>
      </w:r>
      <w:r w:rsidRPr="006F1824">
        <w:rPr>
          <w:rFonts w:ascii="Bookman Old Style" w:hAnsi="Bookman Old Style"/>
          <w:sz w:val="24"/>
          <w:szCs w:val="24"/>
        </w:rPr>
        <w:t xml:space="preserve">ón de una enfermedad degenerativa y </w:t>
      </w:r>
      <w:r w:rsidR="00CC1D7D" w:rsidRPr="006F1824">
        <w:rPr>
          <w:rFonts w:ascii="Bookman Old Style" w:hAnsi="Bookman Old Style"/>
          <w:sz w:val="24"/>
          <w:szCs w:val="24"/>
        </w:rPr>
        <w:t>que</w:t>
      </w:r>
      <w:r w:rsidRPr="006F1824">
        <w:rPr>
          <w:rFonts w:ascii="Bookman Old Style" w:hAnsi="Bookman Old Style"/>
          <w:sz w:val="24"/>
          <w:szCs w:val="24"/>
        </w:rPr>
        <w:t>, al</w:t>
      </w:r>
      <w:r w:rsidR="00CC1D7D" w:rsidRPr="006F1824">
        <w:rPr>
          <w:rFonts w:ascii="Bookman Old Style" w:hAnsi="Bookman Old Style"/>
          <w:sz w:val="24"/>
          <w:szCs w:val="24"/>
        </w:rPr>
        <w:t xml:space="preserve"> contrario de lo que </w:t>
      </w:r>
      <w:r w:rsidRPr="006F1824">
        <w:rPr>
          <w:rFonts w:ascii="Bookman Old Style" w:hAnsi="Bookman Old Style"/>
          <w:sz w:val="24"/>
          <w:szCs w:val="24"/>
        </w:rPr>
        <w:t>manifiesto</w:t>
      </w:r>
      <w:r w:rsidR="00CC1D7D" w:rsidRPr="006F1824">
        <w:rPr>
          <w:rFonts w:ascii="Bookman Old Style" w:hAnsi="Bookman Old Style"/>
          <w:sz w:val="24"/>
          <w:szCs w:val="24"/>
        </w:rPr>
        <w:t xml:space="preserve"> la </w:t>
      </w:r>
      <w:r w:rsidR="00CC1D7D" w:rsidRPr="006F1824">
        <w:rPr>
          <w:rFonts w:ascii="Bookman Old Style" w:hAnsi="Bookman Old Style"/>
          <w:i/>
          <w:sz w:val="24"/>
          <w:szCs w:val="24"/>
        </w:rPr>
        <w:t xml:space="preserve">a quo, </w:t>
      </w:r>
      <w:r w:rsidR="00CC1D7D" w:rsidRPr="006F1824">
        <w:rPr>
          <w:rFonts w:ascii="Bookman Old Style" w:hAnsi="Bookman Old Style"/>
          <w:sz w:val="24"/>
          <w:szCs w:val="24"/>
        </w:rPr>
        <w:t>es de difícil recuperaci</w:t>
      </w:r>
      <w:r w:rsidRPr="006F1824">
        <w:rPr>
          <w:rFonts w:ascii="Bookman Old Style" w:hAnsi="Bookman Old Style"/>
          <w:sz w:val="24"/>
          <w:szCs w:val="24"/>
        </w:rPr>
        <w:t xml:space="preserve">ón porque </w:t>
      </w:r>
      <w:r w:rsidR="00CC1D7D" w:rsidRPr="006F1824">
        <w:rPr>
          <w:rFonts w:ascii="Bookman Old Style" w:hAnsi="Bookman Old Style"/>
          <w:sz w:val="24"/>
          <w:szCs w:val="24"/>
        </w:rPr>
        <w:t>ataca directamente las articulacio</w:t>
      </w:r>
      <w:r w:rsidRPr="006F1824">
        <w:rPr>
          <w:rFonts w:ascii="Bookman Old Style" w:hAnsi="Bookman Old Style"/>
          <w:sz w:val="24"/>
          <w:szCs w:val="24"/>
        </w:rPr>
        <w:t xml:space="preserve">nes. En virtud de ello, considera que </w:t>
      </w:r>
      <w:r w:rsidR="00CC1D7D" w:rsidRPr="006F1824">
        <w:rPr>
          <w:rFonts w:ascii="Bookman Old Style" w:hAnsi="Bookman Old Style"/>
          <w:sz w:val="24"/>
          <w:szCs w:val="24"/>
        </w:rPr>
        <w:t>debía ser calificada con un porcentaje más alto del que le fue asignado por las Juntas</w:t>
      </w:r>
      <w:r w:rsidRPr="006F1824">
        <w:rPr>
          <w:rFonts w:ascii="Bookman Old Style" w:hAnsi="Bookman Old Style"/>
          <w:sz w:val="24"/>
          <w:szCs w:val="24"/>
        </w:rPr>
        <w:t xml:space="preserve"> de Calificación</w:t>
      </w:r>
      <w:r w:rsidR="00CC1D7D" w:rsidRPr="006F1824">
        <w:rPr>
          <w:rFonts w:ascii="Bookman Old Style" w:hAnsi="Bookman Old Style"/>
          <w:sz w:val="24"/>
          <w:szCs w:val="24"/>
        </w:rPr>
        <w:t xml:space="preserve">. </w:t>
      </w:r>
    </w:p>
    <w:p w14:paraId="36743C16" w14:textId="77777777" w:rsidR="00742241" w:rsidRPr="006F1824" w:rsidRDefault="00742241" w:rsidP="006F1824">
      <w:pPr>
        <w:spacing w:after="0"/>
        <w:jc w:val="both"/>
        <w:rPr>
          <w:rFonts w:ascii="Bookman Old Style" w:hAnsi="Bookman Old Style"/>
          <w:sz w:val="24"/>
          <w:szCs w:val="24"/>
        </w:rPr>
      </w:pPr>
    </w:p>
    <w:p w14:paraId="2B8EFCA2" w14:textId="77777777" w:rsidR="00742241" w:rsidRPr="006F1824" w:rsidRDefault="00CC1D7D" w:rsidP="006F1824">
      <w:pPr>
        <w:spacing w:after="0"/>
        <w:jc w:val="both"/>
        <w:rPr>
          <w:rFonts w:ascii="Bookman Old Style" w:hAnsi="Bookman Old Style"/>
          <w:sz w:val="24"/>
          <w:szCs w:val="24"/>
        </w:rPr>
      </w:pPr>
      <w:r w:rsidRPr="006F1824">
        <w:rPr>
          <w:rFonts w:ascii="Bookman Old Style" w:hAnsi="Bookman Old Style"/>
          <w:sz w:val="24"/>
          <w:szCs w:val="24"/>
        </w:rPr>
        <w:t xml:space="preserve">Igualmente, </w:t>
      </w:r>
      <w:r w:rsidR="00742241" w:rsidRPr="006F1824">
        <w:rPr>
          <w:rFonts w:ascii="Bookman Old Style" w:hAnsi="Bookman Old Style"/>
          <w:sz w:val="24"/>
          <w:szCs w:val="24"/>
        </w:rPr>
        <w:t xml:space="preserve">advierte que </w:t>
      </w:r>
      <w:r w:rsidRPr="006F1824">
        <w:rPr>
          <w:rFonts w:ascii="Bookman Old Style" w:hAnsi="Bookman Old Style"/>
          <w:sz w:val="24"/>
          <w:szCs w:val="24"/>
        </w:rPr>
        <w:t xml:space="preserve">en la calificación no se tuvo en cuenta el trastorno </w:t>
      </w:r>
      <w:r w:rsidR="00742241" w:rsidRPr="006F1824">
        <w:rPr>
          <w:rFonts w:ascii="Bookman Old Style" w:hAnsi="Bookman Old Style"/>
          <w:sz w:val="24"/>
          <w:szCs w:val="24"/>
        </w:rPr>
        <w:t xml:space="preserve">depresivo recurrente que padece la actora, conforme al </w:t>
      </w:r>
      <w:r w:rsidR="0082391A" w:rsidRPr="006F1824">
        <w:rPr>
          <w:rFonts w:ascii="Bookman Old Style" w:hAnsi="Bookman Old Style"/>
          <w:sz w:val="24"/>
          <w:szCs w:val="24"/>
        </w:rPr>
        <w:t xml:space="preserve">concepto de psiquiatría del 16 de mayo, </w:t>
      </w:r>
      <w:r w:rsidR="00742241" w:rsidRPr="006F1824">
        <w:rPr>
          <w:rFonts w:ascii="Bookman Old Style" w:hAnsi="Bookman Old Style"/>
          <w:sz w:val="24"/>
          <w:szCs w:val="24"/>
        </w:rPr>
        <w:t xml:space="preserve">con </w:t>
      </w:r>
      <w:r w:rsidR="0082391A" w:rsidRPr="006F1824">
        <w:rPr>
          <w:rFonts w:ascii="Bookman Old Style" w:hAnsi="Bookman Old Style"/>
          <w:sz w:val="24"/>
          <w:szCs w:val="24"/>
        </w:rPr>
        <w:t>lo</w:t>
      </w:r>
      <w:r w:rsidR="00742241" w:rsidRPr="006F1824">
        <w:rPr>
          <w:rFonts w:ascii="Bookman Old Style" w:hAnsi="Bookman Old Style"/>
          <w:sz w:val="24"/>
          <w:szCs w:val="24"/>
        </w:rPr>
        <w:t xml:space="preserve"> cual se</w:t>
      </w:r>
      <w:r w:rsidR="0082391A" w:rsidRPr="006F1824">
        <w:rPr>
          <w:rFonts w:ascii="Bookman Old Style" w:hAnsi="Bookman Old Style"/>
          <w:sz w:val="24"/>
          <w:szCs w:val="24"/>
        </w:rPr>
        <w:t xml:space="preserve"> debía aumentar el porcentaje. </w:t>
      </w:r>
    </w:p>
    <w:p w14:paraId="50711447" w14:textId="77777777" w:rsidR="00742241" w:rsidRPr="006F1824" w:rsidRDefault="00742241" w:rsidP="006F1824">
      <w:pPr>
        <w:spacing w:after="0"/>
        <w:jc w:val="both"/>
        <w:rPr>
          <w:rFonts w:ascii="Bookman Old Style" w:hAnsi="Bookman Old Style"/>
          <w:sz w:val="24"/>
          <w:szCs w:val="24"/>
        </w:rPr>
      </w:pPr>
    </w:p>
    <w:p w14:paraId="60074545" w14:textId="53340D76" w:rsidR="00F3220E" w:rsidRPr="006F1824" w:rsidRDefault="00742241" w:rsidP="006F1824">
      <w:pPr>
        <w:spacing w:after="0"/>
        <w:jc w:val="both"/>
        <w:rPr>
          <w:rFonts w:ascii="Bookman Old Style" w:hAnsi="Bookman Old Style"/>
          <w:sz w:val="24"/>
          <w:szCs w:val="24"/>
        </w:rPr>
      </w:pPr>
      <w:r w:rsidRPr="006F1824">
        <w:rPr>
          <w:rFonts w:ascii="Bookman Old Style" w:hAnsi="Bookman Old Style"/>
          <w:sz w:val="24"/>
          <w:szCs w:val="24"/>
        </w:rPr>
        <w:t xml:space="preserve">Finalmente, considera que </w:t>
      </w:r>
      <w:r w:rsidR="00C77141" w:rsidRPr="006F1824">
        <w:rPr>
          <w:rFonts w:ascii="Bookman Old Style" w:hAnsi="Bookman Old Style"/>
          <w:sz w:val="24"/>
          <w:szCs w:val="24"/>
        </w:rPr>
        <w:t>en el</w:t>
      </w:r>
      <w:r w:rsidR="0082391A" w:rsidRPr="006F1824">
        <w:rPr>
          <w:rFonts w:ascii="Bookman Old Style" w:hAnsi="Bookman Old Style"/>
          <w:sz w:val="24"/>
          <w:szCs w:val="24"/>
        </w:rPr>
        <w:t xml:space="preserve"> rol ocupacional </w:t>
      </w:r>
      <w:r w:rsidR="00C77141" w:rsidRPr="006F1824">
        <w:rPr>
          <w:rFonts w:ascii="Bookman Old Style" w:hAnsi="Bookman Old Style"/>
          <w:sz w:val="24"/>
          <w:szCs w:val="24"/>
        </w:rPr>
        <w:t xml:space="preserve">donde se asignó el </w:t>
      </w:r>
      <w:r w:rsidR="0082391A" w:rsidRPr="006F1824">
        <w:rPr>
          <w:rFonts w:ascii="Bookman Old Style" w:hAnsi="Bookman Old Style"/>
          <w:sz w:val="24"/>
          <w:szCs w:val="24"/>
        </w:rPr>
        <w:t>19%</w:t>
      </w:r>
      <w:r w:rsidR="00C77141" w:rsidRPr="006F1824">
        <w:rPr>
          <w:rFonts w:ascii="Bookman Old Style" w:hAnsi="Bookman Old Style"/>
          <w:sz w:val="24"/>
          <w:szCs w:val="24"/>
        </w:rPr>
        <w:t xml:space="preserve"> debía ser realmente del 30%</w:t>
      </w:r>
      <w:r w:rsidR="0082391A" w:rsidRPr="006F1824">
        <w:rPr>
          <w:rFonts w:ascii="Bookman Old Style" w:hAnsi="Bookman Old Style"/>
          <w:sz w:val="24"/>
          <w:szCs w:val="24"/>
        </w:rPr>
        <w:t xml:space="preserve">, pues al padecer una enfermedad degenerativa </w:t>
      </w:r>
      <w:r w:rsidR="00C77141" w:rsidRPr="006F1824">
        <w:rPr>
          <w:rFonts w:ascii="Bookman Old Style" w:hAnsi="Bookman Old Style"/>
          <w:sz w:val="24"/>
          <w:szCs w:val="24"/>
        </w:rPr>
        <w:t>que afecta la columna se reduce notablemente la capacidad laboral con el</w:t>
      </w:r>
      <w:r w:rsidR="0082391A" w:rsidRPr="006F1824">
        <w:rPr>
          <w:rFonts w:ascii="Bookman Old Style" w:hAnsi="Bookman Old Style"/>
          <w:sz w:val="24"/>
          <w:szCs w:val="24"/>
        </w:rPr>
        <w:t xml:space="preserve"> pasar el tiempo</w:t>
      </w:r>
      <w:r w:rsidR="00C77141" w:rsidRPr="006F1824">
        <w:rPr>
          <w:rFonts w:ascii="Bookman Old Style" w:hAnsi="Bookman Old Style"/>
          <w:sz w:val="24"/>
          <w:szCs w:val="24"/>
        </w:rPr>
        <w:t xml:space="preserve">. </w:t>
      </w:r>
      <w:r w:rsidR="0082391A" w:rsidRPr="006F1824">
        <w:rPr>
          <w:rFonts w:ascii="Bookman Old Style" w:hAnsi="Bookman Old Style"/>
          <w:sz w:val="24"/>
          <w:szCs w:val="24"/>
        </w:rPr>
        <w:t xml:space="preserve">En ese sentido, solicita la revisión del proceso </w:t>
      </w:r>
      <w:r w:rsidR="00C77141" w:rsidRPr="006F1824">
        <w:rPr>
          <w:rFonts w:ascii="Bookman Old Style" w:hAnsi="Bookman Old Style"/>
          <w:sz w:val="24"/>
          <w:szCs w:val="24"/>
        </w:rPr>
        <w:t>para que se concedan</w:t>
      </w:r>
      <w:r w:rsidR="0082391A" w:rsidRPr="006F1824">
        <w:rPr>
          <w:rFonts w:ascii="Bookman Old Style" w:hAnsi="Bookman Old Style"/>
          <w:sz w:val="24"/>
          <w:szCs w:val="24"/>
        </w:rPr>
        <w:t xml:space="preserve"> las pretensiones de la demanda.</w:t>
      </w:r>
    </w:p>
    <w:p w14:paraId="620057D2" w14:textId="77777777" w:rsidR="00FB6AD6" w:rsidRPr="006F1824" w:rsidRDefault="00FB6AD6" w:rsidP="006F1824">
      <w:pPr>
        <w:spacing w:after="0"/>
        <w:jc w:val="both"/>
        <w:rPr>
          <w:rFonts w:ascii="Bookman Old Style" w:hAnsi="Bookman Old Style"/>
          <w:sz w:val="24"/>
          <w:szCs w:val="24"/>
        </w:rPr>
      </w:pPr>
    </w:p>
    <w:p w14:paraId="6DA34C6A" w14:textId="0B98A350" w:rsidR="005E4D4F" w:rsidRPr="006F1824" w:rsidRDefault="0060205D" w:rsidP="006F1824">
      <w:pPr>
        <w:pStyle w:val="Prrafodelista"/>
        <w:numPr>
          <w:ilvl w:val="0"/>
          <w:numId w:val="26"/>
        </w:numPr>
        <w:spacing w:after="0"/>
        <w:jc w:val="center"/>
        <w:rPr>
          <w:rStyle w:val="eop"/>
          <w:rFonts w:ascii="Bookman Old Style" w:hAnsi="Bookman Old Style"/>
          <w:b/>
          <w:sz w:val="24"/>
          <w:szCs w:val="24"/>
        </w:rPr>
      </w:pPr>
      <w:r w:rsidRPr="006F1824">
        <w:rPr>
          <w:rStyle w:val="normaltextrun"/>
          <w:rFonts w:ascii="Bookman Old Style" w:hAnsi="Bookman Old Style" w:cs="Segoe UI"/>
          <w:b/>
          <w:bCs/>
          <w:sz w:val="24"/>
          <w:szCs w:val="24"/>
        </w:rPr>
        <w:t>ALEGATOS DE CONCLUSIÓN</w:t>
      </w:r>
    </w:p>
    <w:p w14:paraId="5DEFEEBA" w14:textId="77777777" w:rsidR="00F3220E" w:rsidRPr="006F1824" w:rsidRDefault="00F3220E" w:rsidP="006F1824">
      <w:pPr>
        <w:pStyle w:val="paragraph"/>
        <w:spacing w:before="0" w:beforeAutospacing="0" w:after="0" w:afterAutospacing="0" w:line="276" w:lineRule="auto"/>
        <w:ind w:left="720"/>
        <w:jc w:val="both"/>
        <w:textAlignment w:val="baseline"/>
        <w:rPr>
          <w:rFonts w:ascii="Bookman Old Style" w:hAnsi="Bookman Old Style"/>
        </w:rPr>
      </w:pPr>
    </w:p>
    <w:p w14:paraId="3BC7F27A" w14:textId="1862BEAB" w:rsidR="002B5089" w:rsidRPr="006F1824" w:rsidRDefault="002B5089" w:rsidP="006F1824">
      <w:pPr>
        <w:spacing w:after="0"/>
        <w:jc w:val="both"/>
        <w:rPr>
          <w:rStyle w:val="normaltextrun"/>
          <w:rFonts w:ascii="Bookman Old Style" w:hAnsi="Bookman Old Style" w:cs="Segoe UI"/>
          <w:sz w:val="24"/>
          <w:szCs w:val="24"/>
          <w:lang w:eastAsia="es-CO"/>
        </w:rPr>
      </w:pPr>
      <w:r w:rsidRPr="006F1824">
        <w:rPr>
          <w:rStyle w:val="normaltextrun"/>
          <w:rFonts w:ascii="Bookman Old Style" w:hAnsi="Bookman Old Style" w:cs="Segoe UI"/>
          <w:sz w:val="24"/>
          <w:szCs w:val="24"/>
          <w:lang w:eastAsia="es-CO"/>
        </w:rPr>
        <w:t>Mediante fijación en lista, se corrió traslado a las p</w:t>
      </w:r>
      <w:r w:rsidR="00B705EB" w:rsidRPr="006F1824">
        <w:rPr>
          <w:rStyle w:val="normaltextrun"/>
          <w:rFonts w:ascii="Bookman Old Style" w:hAnsi="Bookman Old Style" w:cs="Segoe UI"/>
          <w:sz w:val="24"/>
          <w:szCs w:val="24"/>
          <w:lang w:eastAsia="es-CO"/>
        </w:rPr>
        <w:t>artes para alegar de conclusión;</w:t>
      </w:r>
      <w:r w:rsidRPr="006F1824">
        <w:rPr>
          <w:rStyle w:val="normaltextrun"/>
          <w:rFonts w:ascii="Bookman Old Style" w:hAnsi="Bookman Old Style" w:cs="Segoe UI"/>
          <w:sz w:val="24"/>
          <w:szCs w:val="24"/>
          <w:lang w:eastAsia="es-CO"/>
        </w:rPr>
        <w:t xml:space="preserve"> </w:t>
      </w:r>
      <w:r w:rsidR="00B705EB" w:rsidRPr="006F1824">
        <w:rPr>
          <w:rStyle w:val="normaltextrun"/>
          <w:rFonts w:ascii="Bookman Old Style" w:hAnsi="Bookman Old Style" w:cs="Segoe UI"/>
          <w:sz w:val="24"/>
          <w:szCs w:val="24"/>
          <w:lang w:eastAsia="es-CO"/>
        </w:rPr>
        <w:t>sin embargo, guardaron silencio.</w:t>
      </w:r>
    </w:p>
    <w:p w14:paraId="00AE04AC" w14:textId="77777777" w:rsidR="002B5089" w:rsidRPr="006F1824" w:rsidRDefault="002B5089" w:rsidP="006F1824">
      <w:pPr>
        <w:spacing w:after="0"/>
        <w:jc w:val="both"/>
        <w:rPr>
          <w:rStyle w:val="normaltextrun"/>
          <w:rFonts w:ascii="Bookman Old Style" w:hAnsi="Bookman Old Style" w:cs="Segoe UI"/>
          <w:sz w:val="24"/>
          <w:szCs w:val="24"/>
          <w:lang w:eastAsia="es-CO"/>
        </w:rPr>
      </w:pPr>
    </w:p>
    <w:p w14:paraId="12180354" w14:textId="298C0100" w:rsidR="00D31D62" w:rsidRPr="006F1824" w:rsidRDefault="002B5089" w:rsidP="006F1824">
      <w:pPr>
        <w:spacing w:after="0"/>
        <w:jc w:val="both"/>
        <w:rPr>
          <w:rStyle w:val="normaltextrun"/>
          <w:rFonts w:ascii="Bookman Old Style" w:hAnsi="Bookman Old Style" w:cs="Segoe UI"/>
          <w:sz w:val="24"/>
          <w:szCs w:val="24"/>
          <w:lang w:eastAsia="es-CO"/>
        </w:rPr>
      </w:pPr>
      <w:r w:rsidRPr="006F1824">
        <w:rPr>
          <w:rStyle w:val="normaltextrun"/>
          <w:rFonts w:ascii="Bookman Old Style" w:hAnsi="Bookman Old Style" w:cs="Segoe UI"/>
          <w:sz w:val="24"/>
          <w:szCs w:val="24"/>
          <w:lang w:eastAsia="es-CO"/>
        </w:rPr>
        <w:t>Surtido el trámite que corresponde a esta instancia procede la Sala de decisión a dictar la providencia que corresponde, previas las siguientes,</w:t>
      </w:r>
    </w:p>
    <w:p w14:paraId="7B0F379F" w14:textId="77777777" w:rsidR="002B5089" w:rsidRPr="006F1824" w:rsidRDefault="002B5089" w:rsidP="006F1824">
      <w:pPr>
        <w:spacing w:after="0"/>
        <w:jc w:val="both"/>
        <w:rPr>
          <w:rFonts w:ascii="Bookman Old Style" w:eastAsia="Times New Roman" w:hAnsi="Bookman Old Style" w:cs="Arial Narrow"/>
          <w:b/>
          <w:bCs/>
          <w:spacing w:val="-3"/>
          <w:sz w:val="24"/>
          <w:szCs w:val="24"/>
          <w:lang w:eastAsia="es-ES"/>
        </w:rPr>
      </w:pPr>
    </w:p>
    <w:p w14:paraId="3E44772C" w14:textId="06DCE470" w:rsidR="009E7CBE" w:rsidRPr="006F1824" w:rsidRDefault="009E7CBE" w:rsidP="006F1824">
      <w:pPr>
        <w:pStyle w:val="Prrafodelista"/>
        <w:numPr>
          <w:ilvl w:val="0"/>
          <w:numId w:val="26"/>
        </w:numPr>
        <w:spacing w:after="0"/>
        <w:jc w:val="center"/>
        <w:rPr>
          <w:rFonts w:ascii="Bookman Old Style" w:eastAsia="Times New Roman" w:hAnsi="Bookman Old Style" w:cs="Arial Narrow"/>
          <w:b/>
          <w:bCs/>
          <w:spacing w:val="-3"/>
          <w:sz w:val="24"/>
          <w:szCs w:val="24"/>
          <w:lang w:eastAsia="es-ES"/>
        </w:rPr>
      </w:pPr>
      <w:r w:rsidRPr="006F1824">
        <w:rPr>
          <w:rFonts w:ascii="Bookman Old Style" w:eastAsia="Times New Roman" w:hAnsi="Bookman Old Style" w:cs="Arial Narrow"/>
          <w:b/>
          <w:bCs/>
          <w:spacing w:val="-3"/>
          <w:sz w:val="24"/>
          <w:szCs w:val="24"/>
          <w:lang w:eastAsia="es-ES"/>
        </w:rPr>
        <w:t>CONSIDERACIONES</w:t>
      </w:r>
    </w:p>
    <w:p w14:paraId="639C9BAA" w14:textId="77777777" w:rsidR="009E7CBE" w:rsidRPr="006F1824" w:rsidRDefault="009E7CBE" w:rsidP="006F1824">
      <w:pPr>
        <w:tabs>
          <w:tab w:val="left" w:pos="2805"/>
        </w:tabs>
        <w:spacing w:after="0"/>
        <w:jc w:val="both"/>
        <w:rPr>
          <w:rFonts w:ascii="Bookman Old Style" w:eastAsia="Times New Roman" w:hAnsi="Bookman Old Style" w:cs="Arial Narrow"/>
          <w:bCs/>
          <w:spacing w:val="-3"/>
          <w:sz w:val="24"/>
          <w:szCs w:val="24"/>
          <w:lang w:eastAsia="es-ES"/>
        </w:rPr>
      </w:pPr>
    </w:p>
    <w:p w14:paraId="0A0CA9F2" w14:textId="1E182A1C" w:rsidR="009E7CBE" w:rsidRPr="006F1824" w:rsidRDefault="009E7CBE" w:rsidP="006F1824">
      <w:pPr>
        <w:spacing w:after="0"/>
        <w:jc w:val="both"/>
        <w:rPr>
          <w:rFonts w:ascii="Bookman Old Style" w:eastAsia="Times New Roman" w:hAnsi="Bookman Old Style"/>
          <w:sz w:val="24"/>
          <w:szCs w:val="24"/>
          <w:lang w:eastAsia="es-ES"/>
        </w:rPr>
      </w:pPr>
      <w:r w:rsidRPr="006F1824">
        <w:rPr>
          <w:rFonts w:ascii="Bookman Old Style" w:eastAsia="Times New Roman" w:hAnsi="Bookman Old Style"/>
          <w:sz w:val="24"/>
          <w:szCs w:val="24"/>
          <w:lang w:eastAsia="es-ES"/>
        </w:rPr>
        <w:t>La sentencia</w:t>
      </w:r>
      <w:r w:rsidR="00DE0BDB" w:rsidRPr="006F1824">
        <w:rPr>
          <w:rFonts w:ascii="Bookman Old Style" w:eastAsia="Times New Roman" w:hAnsi="Bookman Old Style"/>
          <w:sz w:val="24"/>
          <w:szCs w:val="24"/>
          <w:lang w:eastAsia="es-ES"/>
        </w:rPr>
        <w:t xml:space="preserve"> </w:t>
      </w:r>
      <w:r w:rsidR="00920F0F" w:rsidRPr="006F1824">
        <w:rPr>
          <w:rFonts w:ascii="Bookman Old Style" w:eastAsia="Times New Roman" w:hAnsi="Bookman Old Style"/>
          <w:sz w:val="24"/>
          <w:szCs w:val="24"/>
          <w:lang w:eastAsia="es-ES"/>
        </w:rPr>
        <w:t>consultada</w:t>
      </w:r>
      <w:r w:rsidR="005867E8" w:rsidRPr="006F1824">
        <w:rPr>
          <w:rFonts w:ascii="Bookman Old Style" w:eastAsia="Times New Roman" w:hAnsi="Bookman Old Style"/>
          <w:sz w:val="24"/>
          <w:szCs w:val="24"/>
          <w:lang w:eastAsia="es-ES"/>
        </w:rPr>
        <w:t xml:space="preserve"> </w:t>
      </w:r>
      <w:r w:rsidRPr="006F1824">
        <w:rPr>
          <w:rFonts w:ascii="Bookman Old Style" w:eastAsia="Times New Roman" w:hAnsi="Bookman Old Style"/>
          <w:sz w:val="24"/>
          <w:szCs w:val="24"/>
          <w:lang w:eastAsia="es-ES"/>
        </w:rPr>
        <w:t>debe</w:t>
      </w:r>
      <w:r w:rsidR="007956E9" w:rsidRPr="006F1824">
        <w:rPr>
          <w:rFonts w:ascii="Bookman Old Style" w:eastAsia="Times New Roman" w:hAnsi="Bookman Old Style"/>
          <w:sz w:val="24"/>
          <w:szCs w:val="24"/>
          <w:lang w:eastAsia="es-ES"/>
        </w:rPr>
        <w:t xml:space="preserve"> </w:t>
      </w:r>
      <w:r w:rsidR="00920F0F" w:rsidRPr="00E2138C">
        <w:rPr>
          <w:rFonts w:ascii="Bookman Old Style" w:eastAsia="Times New Roman" w:hAnsi="Bookman Old Style"/>
          <w:b/>
          <w:sz w:val="24"/>
          <w:szCs w:val="24"/>
          <w:lang w:eastAsia="es-ES"/>
        </w:rPr>
        <w:t>CONFIRMARSE</w:t>
      </w:r>
      <w:r w:rsidR="00BD7230" w:rsidRPr="00E2138C">
        <w:rPr>
          <w:rFonts w:ascii="Bookman Old Style" w:eastAsia="Times New Roman" w:hAnsi="Bookman Old Style"/>
          <w:sz w:val="24"/>
          <w:szCs w:val="24"/>
          <w:lang w:eastAsia="es-ES"/>
        </w:rPr>
        <w:t>,</w:t>
      </w:r>
      <w:r w:rsidR="00204BCE" w:rsidRPr="00E2138C">
        <w:rPr>
          <w:rFonts w:ascii="Bookman Old Style" w:eastAsia="Times New Roman" w:hAnsi="Bookman Old Style"/>
          <w:b/>
          <w:sz w:val="24"/>
          <w:szCs w:val="24"/>
          <w:lang w:eastAsia="es-ES"/>
        </w:rPr>
        <w:t xml:space="preserve"> </w:t>
      </w:r>
      <w:r w:rsidRPr="00E2138C">
        <w:rPr>
          <w:rFonts w:ascii="Bookman Old Style" w:eastAsia="Times New Roman" w:hAnsi="Bookman Old Style"/>
          <w:sz w:val="24"/>
          <w:szCs w:val="24"/>
          <w:lang w:eastAsia="es-ES"/>
        </w:rPr>
        <w:t>son</w:t>
      </w:r>
      <w:r w:rsidRPr="006F1824">
        <w:rPr>
          <w:rFonts w:ascii="Bookman Old Style" w:eastAsia="Times New Roman" w:hAnsi="Bookman Old Style"/>
          <w:sz w:val="24"/>
          <w:szCs w:val="24"/>
          <w:lang w:eastAsia="es-ES"/>
        </w:rPr>
        <w:t xml:space="preserve"> razones:</w:t>
      </w:r>
    </w:p>
    <w:p w14:paraId="7B1ACA16" w14:textId="77777777" w:rsidR="00D26A3A" w:rsidRPr="006F1824" w:rsidRDefault="00D26A3A"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6BE4FA56" w14:textId="6F72B4C6" w:rsidR="00FC10F9" w:rsidRPr="006F1824" w:rsidRDefault="005867E8"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6F1824">
        <w:rPr>
          <w:rFonts w:ascii="Bookman Old Style" w:eastAsia="Dotum" w:hAnsi="Bookman Old Style" w:cs="Tahoma"/>
          <w:sz w:val="24"/>
          <w:szCs w:val="24"/>
        </w:rPr>
        <w:t xml:space="preserve">De </w:t>
      </w:r>
      <w:r w:rsidR="002B5089" w:rsidRPr="006F1824">
        <w:rPr>
          <w:rFonts w:ascii="Bookman Old Style" w:eastAsia="Dotum" w:hAnsi="Bookman Old Style" w:cs="Tahoma"/>
          <w:sz w:val="24"/>
          <w:szCs w:val="24"/>
        </w:rPr>
        <w:t>acuerdo</w:t>
      </w:r>
      <w:r w:rsidR="004E7423" w:rsidRPr="006F1824">
        <w:rPr>
          <w:rFonts w:ascii="Bookman Old Style" w:eastAsia="Dotum" w:hAnsi="Bookman Old Style" w:cs="Tahoma"/>
          <w:sz w:val="24"/>
          <w:szCs w:val="24"/>
        </w:rPr>
        <w:t xml:space="preserve"> con consulta</w:t>
      </w:r>
      <w:r w:rsidR="00C94E23" w:rsidRPr="006F1824">
        <w:rPr>
          <w:rFonts w:ascii="Bookman Old Style" w:eastAsia="Dotum" w:hAnsi="Bookman Old Style" w:cs="Tahoma"/>
          <w:sz w:val="24"/>
          <w:szCs w:val="24"/>
        </w:rPr>
        <w:t>, se tiene</w:t>
      </w:r>
      <w:r w:rsidR="004E7423" w:rsidRPr="006F1824">
        <w:rPr>
          <w:rFonts w:ascii="Bookman Old Style" w:eastAsia="Dotum" w:hAnsi="Bookman Old Style" w:cs="Tahoma"/>
          <w:sz w:val="24"/>
          <w:szCs w:val="24"/>
        </w:rPr>
        <w:t xml:space="preserve"> </w:t>
      </w:r>
      <w:r w:rsidR="00C94E23" w:rsidRPr="006F1824">
        <w:rPr>
          <w:rFonts w:ascii="Bookman Old Style" w:eastAsia="Dotum" w:hAnsi="Bookman Old Style" w:cs="Tahoma"/>
          <w:sz w:val="24"/>
          <w:szCs w:val="24"/>
        </w:rPr>
        <w:t>como</w:t>
      </w:r>
      <w:r w:rsidRPr="006F1824">
        <w:rPr>
          <w:rFonts w:ascii="Bookman Old Style" w:eastAsia="Dotum" w:hAnsi="Bookman Old Style" w:cs="Tahoma"/>
          <w:sz w:val="24"/>
          <w:szCs w:val="24"/>
        </w:rPr>
        <w:t xml:space="preserve"> problema</w:t>
      </w:r>
      <w:r w:rsidR="004E7423" w:rsidRPr="006F1824">
        <w:rPr>
          <w:rFonts w:ascii="Bookman Old Style" w:eastAsia="Dotum" w:hAnsi="Bookman Old Style" w:cs="Tahoma"/>
          <w:sz w:val="24"/>
          <w:szCs w:val="24"/>
        </w:rPr>
        <w:t xml:space="preserve"> </w:t>
      </w:r>
      <w:r w:rsidRPr="006F1824">
        <w:rPr>
          <w:rFonts w:ascii="Bookman Old Style" w:eastAsia="Dotum" w:hAnsi="Bookman Old Style" w:cs="Tahoma"/>
          <w:sz w:val="24"/>
          <w:szCs w:val="24"/>
        </w:rPr>
        <w:t>jurídico a resolver</w:t>
      </w:r>
      <w:r w:rsidR="004E7423" w:rsidRPr="006F1824">
        <w:rPr>
          <w:rFonts w:ascii="Bookman Old Style" w:eastAsia="Dotum" w:hAnsi="Bookman Old Style" w:cs="Tahoma"/>
          <w:sz w:val="24"/>
          <w:szCs w:val="24"/>
        </w:rPr>
        <w:t xml:space="preserve"> el siguiente</w:t>
      </w:r>
      <w:r w:rsidR="00C94E23" w:rsidRPr="006F1824">
        <w:rPr>
          <w:rFonts w:ascii="Bookman Old Style" w:eastAsia="Dotum" w:hAnsi="Bookman Old Style" w:cs="Tahoma"/>
          <w:sz w:val="24"/>
          <w:szCs w:val="24"/>
        </w:rPr>
        <w:t xml:space="preserve">: </w:t>
      </w:r>
      <w:r w:rsidR="00C94E23" w:rsidRPr="006F1824">
        <w:rPr>
          <w:rFonts w:ascii="Bookman Old Style" w:eastAsia="Dotum" w:hAnsi="Bookman Old Style" w:cs="Tahoma"/>
          <w:b/>
          <w:sz w:val="24"/>
          <w:szCs w:val="24"/>
        </w:rPr>
        <w:t xml:space="preserve">1) </w:t>
      </w:r>
      <w:r w:rsidR="003157D6" w:rsidRPr="006F1824">
        <w:rPr>
          <w:rFonts w:ascii="Bookman Old Style" w:eastAsia="Dotum" w:hAnsi="Bookman Old Style" w:cs="Tahoma"/>
          <w:sz w:val="24"/>
          <w:szCs w:val="24"/>
        </w:rPr>
        <w:t>Determinar si</w:t>
      </w:r>
      <w:r w:rsidR="00B705EB" w:rsidRPr="006F1824">
        <w:rPr>
          <w:rFonts w:ascii="Bookman Old Style" w:eastAsia="Dotum" w:hAnsi="Bookman Old Style" w:cs="Tahoma"/>
          <w:sz w:val="24"/>
          <w:szCs w:val="24"/>
        </w:rPr>
        <w:t xml:space="preserve"> es nulo el</w:t>
      </w:r>
      <w:r w:rsidR="004E7423" w:rsidRPr="006F1824">
        <w:rPr>
          <w:rFonts w:ascii="Bookman Old Style" w:eastAsia="Dotum" w:hAnsi="Bookman Old Style" w:cs="Tahoma"/>
          <w:sz w:val="24"/>
          <w:szCs w:val="24"/>
        </w:rPr>
        <w:t xml:space="preserve"> dictamen emitido por la JUNTA </w:t>
      </w:r>
      <w:r w:rsidR="00406C1B" w:rsidRPr="006F1824">
        <w:rPr>
          <w:rFonts w:ascii="Bookman Old Style" w:eastAsia="Dotum" w:hAnsi="Bookman Old Style" w:cs="Tahoma"/>
          <w:sz w:val="24"/>
          <w:szCs w:val="24"/>
        </w:rPr>
        <w:t>NACIONAL</w:t>
      </w:r>
      <w:r w:rsidR="004E7423" w:rsidRPr="006F1824">
        <w:rPr>
          <w:rFonts w:ascii="Bookman Old Style" w:eastAsia="Dotum" w:hAnsi="Bookman Old Style" w:cs="Tahoma"/>
          <w:sz w:val="24"/>
          <w:szCs w:val="24"/>
        </w:rPr>
        <w:t xml:space="preserve"> DE CALIFIC</w:t>
      </w:r>
      <w:r w:rsidR="00406C1B" w:rsidRPr="006F1824">
        <w:rPr>
          <w:rFonts w:ascii="Bookman Old Style" w:eastAsia="Dotum" w:hAnsi="Bookman Old Style" w:cs="Tahoma"/>
          <w:sz w:val="24"/>
          <w:szCs w:val="24"/>
        </w:rPr>
        <w:t xml:space="preserve">ACIÓN DE INVALIDEZ, </w:t>
      </w:r>
      <w:r w:rsidR="00B705EB" w:rsidRPr="006F1824">
        <w:rPr>
          <w:rFonts w:ascii="Bookman Old Style" w:eastAsia="Dotum" w:hAnsi="Bookman Old Style" w:cs="Tahoma"/>
          <w:sz w:val="24"/>
          <w:szCs w:val="24"/>
        </w:rPr>
        <w:t>respecto del porcentaje de pérdida de la capacidad laboral de la demandante.</w:t>
      </w:r>
    </w:p>
    <w:p w14:paraId="6C6C1683" w14:textId="77777777" w:rsidR="00FC10F9" w:rsidRPr="006F1824" w:rsidRDefault="00FC10F9"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1AE7A358" w14:textId="5A8FF184" w:rsidR="00172BF1" w:rsidRPr="006F1824" w:rsidRDefault="00142543"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r w:rsidRPr="006F1824">
        <w:rPr>
          <w:rFonts w:ascii="Bookman Old Style" w:eastAsia="Dotum" w:hAnsi="Bookman Old Style" w:cs="Tahoma"/>
          <w:sz w:val="24"/>
          <w:szCs w:val="24"/>
        </w:rPr>
        <w:t xml:space="preserve">En el caso bajo análisis no se discuten los siguientes hechos: </w:t>
      </w:r>
      <w:r w:rsidR="008A153F" w:rsidRPr="006F1824">
        <w:rPr>
          <w:rFonts w:ascii="Bookman Old Style" w:eastAsia="Dotum" w:hAnsi="Bookman Old Style" w:cs="Tahoma"/>
          <w:b/>
          <w:sz w:val="24"/>
          <w:szCs w:val="24"/>
        </w:rPr>
        <w:t xml:space="preserve">1) </w:t>
      </w:r>
      <w:r w:rsidR="008A153F" w:rsidRPr="006F1824">
        <w:rPr>
          <w:rFonts w:ascii="Bookman Old Style" w:eastAsia="Dotum" w:hAnsi="Bookman Old Style" w:cs="Tahoma"/>
          <w:sz w:val="24"/>
          <w:szCs w:val="24"/>
        </w:rPr>
        <w:t xml:space="preserve">Que nació el </w:t>
      </w:r>
      <w:r w:rsidR="00B705EB" w:rsidRPr="006F1824">
        <w:rPr>
          <w:rFonts w:ascii="Bookman Old Style" w:eastAsia="Dotum" w:hAnsi="Bookman Old Style" w:cs="Tahoma"/>
          <w:sz w:val="24"/>
          <w:szCs w:val="24"/>
        </w:rPr>
        <w:t>31 de octubre</w:t>
      </w:r>
      <w:r w:rsidR="00406C1B" w:rsidRPr="006F1824">
        <w:rPr>
          <w:rFonts w:ascii="Bookman Old Style" w:eastAsia="Dotum" w:hAnsi="Bookman Old Style" w:cs="Tahoma"/>
          <w:sz w:val="24"/>
          <w:szCs w:val="24"/>
        </w:rPr>
        <w:t xml:space="preserve"> de 19</w:t>
      </w:r>
      <w:r w:rsidR="00B705EB" w:rsidRPr="006F1824">
        <w:rPr>
          <w:rFonts w:ascii="Bookman Old Style" w:eastAsia="Dotum" w:hAnsi="Bookman Old Style" w:cs="Tahoma"/>
          <w:sz w:val="24"/>
          <w:szCs w:val="24"/>
        </w:rPr>
        <w:t>57</w:t>
      </w:r>
      <w:r w:rsidR="00406C1B" w:rsidRPr="006F1824">
        <w:rPr>
          <w:rFonts w:ascii="Bookman Old Style" w:eastAsia="Dotum" w:hAnsi="Bookman Old Style" w:cs="Tahoma"/>
          <w:sz w:val="24"/>
          <w:szCs w:val="24"/>
        </w:rPr>
        <w:t xml:space="preserve"> (fl.</w:t>
      </w:r>
      <w:r w:rsidR="00B705EB" w:rsidRPr="006F1824">
        <w:rPr>
          <w:rFonts w:ascii="Bookman Old Style" w:eastAsia="Dotum" w:hAnsi="Bookman Old Style" w:cs="Tahoma"/>
          <w:sz w:val="24"/>
          <w:szCs w:val="24"/>
        </w:rPr>
        <w:t>13</w:t>
      </w:r>
      <w:r w:rsidR="00406C1B" w:rsidRPr="006F1824">
        <w:rPr>
          <w:rFonts w:ascii="Bookman Old Style" w:eastAsia="Dotum" w:hAnsi="Bookman Old Style" w:cs="Tahoma"/>
          <w:sz w:val="24"/>
          <w:szCs w:val="24"/>
        </w:rPr>
        <w:t>, anexo</w:t>
      </w:r>
      <w:r w:rsidR="00B705EB" w:rsidRPr="006F1824">
        <w:rPr>
          <w:rFonts w:ascii="Bookman Old Style" w:eastAsia="Dotum" w:hAnsi="Bookman Old Style" w:cs="Tahoma"/>
          <w:sz w:val="24"/>
          <w:szCs w:val="24"/>
        </w:rPr>
        <w:t>1</w:t>
      </w:r>
      <w:r w:rsidR="00406C1B" w:rsidRPr="006F1824">
        <w:rPr>
          <w:rFonts w:ascii="Bookman Old Style" w:eastAsia="Dotum" w:hAnsi="Bookman Old Style" w:cs="Tahoma"/>
          <w:sz w:val="24"/>
          <w:szCs w:val="24"/>
        </w:rPr>
        <w:t>)</w:t>
      </w:r>
      <w:r w:rsidR="00AB6A95" w:rsidRPr="006F1824">
        <w:rPr>
          <w:rFonts w:ascii="Bookman Old Style" w:eastAsia="Dotum" w:hAnsi="Bookman Old Style" w:cs="Tahoma"/>
          <w:sz w:val="24"/>
          <w:szCs w:val="24"/>
        </w:rPr>
        <w:t xml:space="preserve">. </w:t>
      </w:r>
      <w:r w:rsidR="00AB6A95" w:rsidRPr="006F1824">
        <w:rPr>
          <w:rFonts w:ascii="Bookman Old Style" w:eastAsia="Dotum" w:hAnsi="Bookman Old Style" w:cs="Tahoma"/>
          <w:b/>
          <w:sz w:val="24"/>
          <w:szCs w:val="24"/>
        </w:rPr>
        <w:t xml:space="preserve">2) </w:t>
      </w:r>
      <w:r w:rsidR="00172BF1" w:rsidRPr="006F1824">
        <w:rPr>
          <w:rFonts w:ascii="Bookman Old Style" w:eastAsia="Dotum" w:hAnsi="Bookman Old Style" w:cs="Tahoma"/>
          <w:sz w:val="24"/>
          <w:szCs w:val="24"/>
        </w:rPr>
        <w:t xml:space="preserve">Que el 24 de abril de 2018, COLPENSIONES emitió el dictamen No. DML-2069 de 2018, por medio del cual calificó a la demandante con el 35.18% de pérdida de capacidad laboral, por enfermedad de origen común y fecha de estructuración del 28-02-2018 (fl.16, anexo1) </w:t>
      </w:r>
      <w:r w:rsidR="00172BF1" w:rsidRPr="006F1824">
        <w:rPr>
          <w:rFonts w:ascii="Bookman Old Style" w:eastAsia="Dotum" w:hAnsi="Bookman Old Style" w:cs="Tahoma"/>
          <w:b/>
          <w:sz w:val="24"/>
          <w:szCs w:val="24"/>
        </w:rPr>
        <w:t xml:space="preserve">3) </w:t>
      </w:r>
      <w:r w:rsidR="00172BF1" w:rsidRPr="006F1824">
        <w:rPr>
          <w:rFonts w:ascii="Bookman Old Style" w:eastAsia="Dotum" w:hAnsi="Bookman Old Style" w:cs="Tahoma"/>
          <w:sz w:val="24"/>
          <w:szCs w:val="24"/>
        </w:rPr>
        <w:t xml:space="preserve">Que el 22 de mayo de 2019 la JUNTA REGIONAL DE CALIFICACIÓN DE INVALIDEZ DE RISARALDA, calificó a la demandante con el 46.74% de pérdida de la capacidad laboral, estructurada el 04-08-2017 por </w:t>
      </w:r>
      <w:r w:rsidR="00172BF1" w:rsidRPr="006F1824">
        <w:rPr>
          <w:rFonts w:ascii="Bookman Old Style" w:eastAsia="Dotum" w:hAnsi="Bookman Old Style" w:cs="Tahoma"/>
          <w:sz w:val="24"/>
          <w:szCs w:val="24"/>
        </w:rPr>
        <w:lastRenderedPageBreak/>
        <w:t xml:space="preserve">enfermedad de origen común. (fl.22, anexo1) </w:t>
      </w:r>
      <w:r w:rsidR="00172BF1" w:rsidRPr="006F1824">
        <w:rPr>
          <w:rFonts w:ascii="Bookman Old Style" w:eastAsia="Dotum" w:hAnsi="Bookman Old Style" w:cs="Tahoma"/>
          <w:b/>
          <w:sz w:val="24"/>
          <w:szCs w:val="24"/>
        </w:rPr>
        <w:t xml:space="preserve">4) </w:t>
      </w:r>
      <w:r w:rsidR="00172BF1" w:rsidRPr="006F1824">
        <w:rPr>
          <w:rFonts w:ascii="Bookman Old Style" w:eastAsia="Dotum" w:hAnsi="Bookman Old Style" w:cs="Tahoma"/>
          <w:sz w:val="24"/>
          <w:szCs w:val="24"/>
        </w:rPr>
        <w:t xml:space="preserve">Que el 11 de marzo de 2020 la JUNTA NACIONAL DE CALIFICACIÓN DE LA INVALIDEZ, resolvió el recurso de apelación y confirmó el porcentaje, fecha de estructuración y origen determinados previamente en el dictamen de la JUNTA REGIONAL. (fl.36, anexo1) </w:t>
      </w:r>
    </w:p>
    <w:p w14:paraId="29C407DC" w14:textId="1D27F18F" w:rsidR="00AB6A95" w:rsidRPr="006F1824" w:rsidRDefault="00AB6A95" w:rsidP="006F1824">
      <w:pPr>
        <w:widowControl w:val="0"/>
        <w:tabs>
          <w:tab w:val="left" w:pos="-720"/>
        </w:tabs>
        <w:suppressAutoHyphens/>
        <w:overflowPunct w:val="0"/>
        <w:autoSpaceDE w:val="0"/>
        <w:autoSpaceDN w:val="0"/>
        <w:adjustRightInd w:val="0"/>
        <w:spacing w:after="0"/>
        <w:jc w:val="both"/>
        <w:rPr>
          <w:rFonts w:ascii="Bookman Old Style" w:eastAsia="Dotum" w:hAnsi="Bookman Old Style" w:cs="Tahoma"/>
          <w:sz w:val="24"/>
          <w:szCs w:val="24"/>
        </w:rPr>
      </w:pPr>
    </w:p>
    <w:p w14:paraId="5121BEED" w14:textId="3F041D22" w:rsidR="00C94E23" w:rsidRPr="006F1824" w:rsidRDefault="008A153F" w:rsidP="006F1824">
      <w:pPr>
        <w:spacing w:after="0"/>
        <w:jc w:val="both"/>
        <w:rPr>
          <w:rFonts w:ascii="Bookman Old Style" w:hAnsi="Bookman Old Style"/>
          <w:b/>
          <w:sz w:val="24"/>
          <w:szCs w:val="24"/>
        </w:rPr>
      </w:pPr>
      <w:r w:rsidRPr="006F1824">
        <w:rPr>
          <w:rFonts w:ascii="Bookman Old Style" w:hAnsi="Bookman Old Style"/>
          <w:b/>
          <w:sz w:val="24"/>
          <w:szCs w:val="24"/>
        </w:rPr>
        <w:t xml:space="preserve">1. </w:t>
      </w:r>
      <w:r w:rsidR="004E7423" w:rsidRPr="006F1824">
        <w:rPr>
          <w:rFonts w:ascii="Bookman Old Style" w:hAnsi="Bookman Old Style"/>
          <w:b/>
          <w:sz w:val="24"/>
          <w:szCs w:val="24"/>
        </w:rPr>
        <w:t>Respecto de los dictámenes de calificación de la invalidez</w:t>
      </w:r>
      <w:r w:rsidRPr="006F1824">
        <w:rPr>
          <w:rFonts w:ascii="Bookman Old Style" w:hAnsi="Bookman Old Style"/>
          <w:b/>
          <w:sz w:val="24"/>
          <w:szCs w:val="24"/>
        </w:rPr>
        <w:t xml:space="preserve"> </w:t>
      </w:r>
    </w:p>
    <w:p w14:paraId="02315A8C" w14:textId="0D2A6355" w:rsidR="00CC73A0" w:rsidRPr="006F1824" w:rsidRDefault="00CC73A0" w:rsidP="006F1824">
      <w:pPr>
        <w:pStyle w:val="Prrafonormal"/>
        <w:spacing w:line="276" w:lineRule="auto"/>
      </w:pPr>
    </w:p>
    <w:p w14:paraId="2E315E5D" w14:textId="3F92C440" w:rsidR="004E7423" w:rsidRPr="006F1824" w:rsidRDefault="004E7423" w:rsidP="006F1824">
      <w:pPr>
        <w:pStyle w:val="Prrafonormal"/>
        <w:spacing w:line="276" w:lineRule="auto"/>
      </w:pPr>
      <w:r w:rsidRPr="006F1824">
        <w:t xml:space="preserve">De vieja data, la Corte Suprema de Justicia ha admitido que los dictámenes que expiden las juntas de calificación de invalidez no son conceptos definitivos ni inalterables, sino que son un medio de prueba y, como tal, deben someterse a la valoración del juez y como resultado de un análisis basado en las reglas de la sana crítica, el operador judicial que así lo estime, podrá apartarse del dictamen cuando se exhibe una equivocación o error grave, por infracción legal, </w:t>
      </w:r>
      <w:r w:rsidR="004519BB" w:rsidRPr="006F1824">
        <w:t>o por mayor valor probatorio que tenga otro dictamen traído a juicio; no obstante, dicha facultad no es absoluta, pues se exige un alto grado de argumentación y una decisión precedida por conclusiones suficientemente justificadas. (SL5004-2020)</w:t>
      </w:r>
    </w:p>
    <w:p w14:paraId="7C7FA217" w14:textId="7885C73A" w:rsidR="004519BB" w:rsidRPr="006F1824" w:rsidRDefault="004519BB" w:rsidP="006F1824">
      <w:pPr>
        <w:pStyle w:val="Prrafonormal"/>
        <w:spacing w:line="276" w:lineRule="auto"/>
      </w:pPr>
    </w:p>
    <w:p w14:paraId="3F38FC7F" w14:textId="70961F9D" w:rsidR="004519BB" w:rsidRPr="006F1824" w:rsidRDefault="004519BB" w:rsidP="006F1824">
      <w:pPr>
        <w:pStyle w:val="Prrafonormal"/>
        <w:spacing w:line="276" w:lineRule="auto"/>
      </w:pPr>
      <w:r w:rsidRPr="006F1824">
        <w:t xml:space="preserve">Así en sentencia SL4346-2020, rememorada en la SL2349-2021, el Alto Tribunal asentó: </w:t>
      </w:r>
    </w:p>
    <w:p w14:paraId="4A47CA76" w14:textId="67EF7B55" w:rsidR="004519BB" w:rsidRPr="006F1824" w:rsidRDefault="004519BB" w:rsidP="006F1824">
      <w:pPr>
        <w:pStyle w:val="Prrafonormal"/>
        <w:spacing w:line="276" w:lineRule="auto"/>
      </w:pPr>
    </w:p>
    <w:p w14:paraId="1564D293" w14:textId="77777777" w:rsidR="004519BB" w:rsidRPr="00E2138C" w:rsidRDefault="004519BB" w:rsidP="00E2138C">
      <w:pPr>
        <w:pStyle w:val="Prrafonormal"/>
        <w:spacing w:line="240" w:lineRule="auto"/>
        <w:ind w:left="426" w:right="420"/>
        <w:rPr>
          <w:i/>
          <w:sz w:val="22"/>
        </w:rPr>
      </w:pPr>
      <w:r w:rsidRPr="00E2138C">
        <w:rPr>
          <w:sz w:val="22"/>
        </w:rPr>
        <w:t>“</w:t>
      </w:r>
      <w:r w:rsidRPr="00E2138C">
        <w:rPr>
          <w:i/>
          <w:sz w:val="22"/>
        </w:rPr>
        <w:t>De acuerdo con el artículo 41 de la Ley 100 de 1993, el estado de invalidez se determina, en primera oportunidad, por las entidades de seguridad social y las juntas de calificación de invalidez, conforme al manual único para la calificación vigente al momento de su práctica -decretos 917 de 1999 o 1507 de 2014, según el caso (…).</w:t>
      </w:r>
    </w:p>
    <w:p w14:paraId="57EF1570" w14:textId="77777777" w:rsidR="004519BB" w:rsidRPr="00E2138C" w:rsidRDefault="004519BB" w:rsidP="00E2138C">
      <w:pPr>
        <w:pStyle w:val="Prrafonormal"/>
        <w:spacing w:line="240" w:lineRule="auto"/>
        <w:ind w:left="426" w:right="420"/>
        <w:rPr>
          <w:i/>
          <w:sz w:val="22"/>
        </w:rPr>
      </w:pPr>
    </w:p>
    <w:p w14:paraId="695B5873" w14:textId="44706CFF" w:rsidR="004519BB" w:rsidRPr="00E2138C" w:rsidRDefault="004519BB" w:rsidP="00E2138C">
      <w:pPr>
        <w:pStyle w:val="Prrafonormal"/>
        <w:spacing w:line="240" w:lineRule="auto"/>
        <w:ind w:left="426" w:right="420"/>
        <w:rPr>
          <w:sz w:val="22"/>
        </w:rPr>
      </w:pPr>
      <w:r w:rsidRPr="00E2138C">
        <w:rPr>
          <w:i/>
          <w:sz w:val="22"/>
        </w:rPr>
        <w:t>Aunque la Corte ha admitido la relevancia de los dictámenes que expiden las juntas de calificación de invalidez por tratarse de conceptos técnicos y científicos emanados de órganos autorizados por el legislador, lo cierto es que estos constituyen un medio de prueba y, como tal, deben someterse a la valoración del juzgador bajo los principios de libre formación del convencimiento y apreciación crítica y conjunta de la prueba, previstos en los artículos 60 y 61 del Código Procesal del Trabajo y de la Seguridad Social (CSJ SL, 18 mar. 2009, rad. 31062, CSJ SL, 18 sep. 2012, rad. 35450, CSJ SL3090-2014, CSJ SL9184-2016, CSJ SL697-2019, CSJ SL3380-2019, CSJ SL 3992-2019 y CSJ SL5601-2019). En esa medida, el juez no puede simplemente ignorar las circunstancias que rodean el caso, la conducta procesal y los demás elementos probatorios adosados, pues todos, en conjunto, permiten determinar el momento en el que se produce, de manera definitiva, la disminución de la capacidad laboral de la persona</w:t>
      </w:r>
      <w:r w:rsidRPr="00E2138C">
        <w:rPr>
          <w:sz w:val="22"/>
        </w:rPr>
        <w:t>.”</w:t>
      </w:r>
    </w:p>
    <w:p w14:paraId="28124FA0" w14:textId="06332650" w:rsidR="004519BB" w:rsidRPr="006F1824" w:rsidRDefault="004519BB" w:rsidP="006F1824">
      <w:pPr>
        <w:pStyle w:val="Prrafonormal"/>
        <w:spacing w:line="276" w:lineRule="auto"/>
      </w:pPr>
    </w:p>
    <w:p w14:paraId="7351802F" w14:textId="7406FF48" w:rsidR="004519BB" w:rsidRPr="006F1824" w:rsidRDefault="0078480C" w:rsidP="006F1824">
      <w:pPr>
        <w:pStyle w:val="Prrafonormal"/>
        <w:spacing w:line="276" w:lineRule="auto"/>
        <w:rPr>
          <w:b/>
        </w:rPr>
      </w:pPr>
      <w:r w:rsidRPr="006F1824">
        <w:rPr>
          <w:b/>
        </w:rPr>
        <w:t>2. Caso Concreto</w:t>
      </w:r>
    </w:p>
    <w:p w14:paraId="272140ED" w14:textId="77777777" w:rsidR="004519BB" w:rsidRPr="006F1824" w:rsidRDefault="004519BB" w:rsidP="006F1824">
      <w:pPr>
        <w:pStyle w:val="Prrafonormal"/>
        <w:spacing w:line="276" w:lineRule="auto"/>
      </w:pPr>
    </w:p>
    <w:p w14:paraId="793434A4" w14:textId="6BDC00A9" w:rsidR="0078480C" w:rsidRPr="006F1824" w:rsidRDefault="00925E55" w:rsidP="006F1824">
      <w:pPr>
        <w:pStyle w:val="Prrafonormal"/>
        <w:spacing w:line="276" w:lineRule="auto"/>
      </w:pPr>
      <w:r w:rsidRPr="006F1824">
        <w:t>Descendiendo</w:t>
      </w:r>
      <w:r w:rsidR="0078480C" w:rsidRPr="006F1824">
        <w:t xml:space="preserve"> al caso bajo estudio, </w:t>
      </w:r>
      <w:r w:rsidRPr="006F1824">
        <w:t xml:space="preserve">pretende </w:t>
      </w:r>
      <w:r w:rsidR="0078480C" w:rsidRPr="006F1824">
        <w:t>la accionante que se</w:t>
      </w:r>
      <w:r w:rsidRPr="006F1824">
        <w:t xml:space="preserve"> declare la nulidad del dictamen de invalidez </w:t>
      </w:r>
      <w:r w:rsidR="007A110D" w:rsidRPr="006F1824">
        <w:t xml:space="preserve">del 11-03-2020 </w:t>
      </w:r>
      <w:r w:rsidRPr="006F1824">
        <w:t xml:space="preserve">emitido por la JUNTA NACIONAL DE CALIFICACIÓN DE LA INVALIDEZ respecto del porcentaje de invalidez otorgado del </w:t>
      </w:r>
      <w:r w:rsidRPr="006F1824">
        <w:rPr>
          <w:b/>
        </w:rPr>
        <w:t>46.74%</w:t>
      </w:r>
      <w:r w:rsidRPr="006F1824">
        <w:t xml:space="preserve">, teniendo en cuenta que la totalidad de </w:t>
      </w:r>
      <w:r w:rsidR="00BD13A4" w:rsidRPr="006F1824">
        <w:t>sus patologías</w:t>
      </w:r>
      <w:r w:rsidRPr="006F1824">
        <w:t xml:space="preserve"> no fueron valoradas por el ente calificador y en el Rol Ocupacional se asignó un porcentaje inferior al que correspondía. Circunstancias que de ser corregidas arrojarían un valor superior al 50% de invalidez.</w:t>
      </w:r>
    </w:p>
    <w:p w14:paraId="71C35567" w14:textId="55DB99E8" w:rsidR="00F20FFF" w:rsidRPr="006F1824" w:rsidRDefault="00F20FFF" w:rsidP="006F1824">
      <w:pPr>
        <w:pStyle w:val="Prrafonormal"/>
        <w:spacing w:line="276" w:lineRule="auto"/>
      </w:pPr>
    </w:p>
    <w:p w14:paraId="64AC2F99" w14:textId="15601E8E" w:rsidR="00F20FFF" w:rsidRPr="006F1824" w:rsidRDefault="00F20FFF" w:rsidP="006F1824">
      <w:pPr>
        <w:pStyle w:val="Prrafonormal"/>
        <w:spacing w:line="276" w:lineRule="auto"/>
      </w:pPr>
      <w:r w:rsidRPr="006F1824">
        <w:t xml:space="preserve">Para determinar la existencia de la posible nulidad en el dictamen, la </w:t>
      </w:r>
      <w:r w:rsidRPr="006F1824">
        <w:rPr>
          <w:i/>
        </w:rPr>
        <w:t xml:space="preserve">a quo </w:t>
      </w:r>
      <w:r w:rsidRPr="006F1824">
        <w:t>decretó como prueba pericial la valoración médica y calificación de invalidez de la demandante, en cabeza de la JUNTA REGIONAL DE CALIFICACIÓN DE LA INVALIDEZ DE CALDAS que mediante el dictamen del 25 de agosto de 2022 (Anexo52), concluyó que la JUNTA NACIONAL “</w:t>
      </w:r>
      <w:r w:rsidRPr="00F67E74">
        <w:rPr>
          <w:i/>
          <w:sz w:val="22"/>
        </w:rPr>
        <w:t>calificó de acuerdo con los conceptos de los médicos tratantes y los resultados de los paraclínicos realizados a la paciente al momento de la calificación realizada, sin incurrir en ningún error en la misma. A pesar de tener otros diagnósticos de tipo visual, auditivo y mental, estos se calificaron de acuerdo a lo estipulado en el manual de Calificación de Invalidez MUCI IV, Decreto 1507 de 2014</w:t>
      </w:r>
      <w:r w:rsidRPr="006F1824">
        <w:rPr>
          <w:i/>
        </w:rPr>
        <w:t xml:space="preserve">”. </w:t>
      </w:r>
      <w:r w:rsidRPr="006F1824">
        <w:t>En virtud de ello, confirmó el porcentaje, fecha de estructuración y origen que se habían establecido en el dictamen de la JUNTA NACIONAL.</w:t>
      </w:r>
    </w:p>
    <w:p w14:paraId="2380F824" w14:textId="6E8B44E9" w:rsidR="00F20FFF" w:rsidRPr="006F1824" w:rsidRDefault="00F20FFF" w:rsidP="006F1824">
      <w:pPr>
        <w:pStyle w:val="Prrafonormal"/>
        <w:spacing w:line="276" w:lineRule="auto"/>
      </w:pPr>
    </w:p>
    <w:p w14:paraId="5FAA9864" w14:textId="020CE948" w:rsidR="00F20FFF" w:rsidRDefault="00F20FFF" w:rsidP="006F1824">
      <w:pPr>
        <w:pStyle w:val="Prrafonormal"/>
        <w:spacing w:line="276" w:lineRule="auto"/>
      </w:pPr>
      <w:r w:rsidRPr="006F1824">
        <w:t>Pues bien, r</w:t>
      </w:r>
      <w:r w:rsidR="0045235A" w:rsidRPr="006F1824">
        <w:t xml:space="preserve">evisadas las pruebas allegadas, se encuentra </w:t>
      </w:r>
      <w:r w:rsidR="00925E55" w:rsidRPr="006F1824">
        <w:t xml:space="preserve">que </w:t>
      </w:r>
      <w:r w:rsidR="00372099" w:rsidRPr="006F1824">
        <w:t>en el dictamen de la JUNTA NACIONAL DE CALIFICACIÓN DE INVALIDEZ</w:t>
      </w:r>
      <w:r w:rsidR="00477CA6" w:rsidRPr="006F1824">
        <w:t xml:space="preserve"> (fl.36, anexo1)</w:t>
      </w:r>
      <w:r w:rsidR="00372099" w:rsidRPr="006F1824">
        <w:t xml:space="preserve"> se </w:t>
      </w:r>
      <w:r w:rsidR="00515E5F" w:rsidRPr="006F1824">
        <w:t>calificaron las siguientes enfermedades:</w:t>
      </w:r>
    </w:p>
    <w:p w14:paraId="445E2B06" w14:textId="77777777" w:rsidR="00FB39A9" w:rsidRPr="006F1824" w:rsidRDefault="00FB39A9" w:rsidP="006F1824">
      <w:pPr>
        <w:pStyle w:val="Prrafonormal"/>
        <w:spacing w:line="276" w:lineRule="auto"/>
      </w:pPr>
    </w:p>
    <w:p w14:paraId="449ACC89" w14:textId="0AC8CA0D" w:rsidR="00515E5F" w:rsidRPr="006F1824" w:rsidRDefault="00515E5F" w:rsidP="006F1824">
      <w:pPr>
        <w:pStyle w:val="Prrafonormal"/>
        <w:numPr>
          <w:ilvl w:val="0"/>
          <w:numId w:val="40"/>
        </w:numPr>
        <w:spacing w:line="276" w:lineRule="auto"/>
      </w:pPr>
      <w:r w:rsidRPr="006F1824">
        <w:t>(Osteo) Artrosis primaria generalizada – gonartrosis, artritis reumatoidea.</w:t>
      </w:r>
    </w:p>
    <w:p w14:paraId="53FC17B5" w14:textId="08BD09E4" w:rsidR="00515E5F" w:rsidRPr="006F1824" w:rsidRDefault="00515E5F" w:rsidP="006F1824">
      <w:pPr>
        <w:pStyle w:val="Prrafonormal"/>
        <w:numPr>
          <w:ilvl w:val="0"/>
          <w:numId w:val="40"/>
        </w:numPr>
        <w:spacing w:line="276" w:lineRule="auto"/>
      </w:pPr>
      <w:r w:rsidRPr="006F1824">
        <w:t>Diabetes mellitus no insulinodependiente sin mención de complicación.</w:t>
      </w:r>
    </w:p>
    <w:p w14:paraId="4EDEE122" w14:textId="06298EDD" w:rsidR="00515E5F" w:rsidRPr="006F1824" w:rsidRDefault="00515E5F" w:rsidP="006F1824">
      <w:pPr>
        <w:pStyle w:val="Prrafonormal"/>
        <w:numPr>
          <w:ilvl w:val="0"/>
          <w:numId w:val="40"/>
        </w:numPr>
        <w:spacing w:line="276" w:lineRule="auto"/>
      </w:pPr>
      <w:r w:rsidRPr="006F1824">
        <w:t>Hipertensión esencial (primaria)</w:t>
      </w:r>
    </w:p>
    <w:p w14:paraId="035A587B" w14:textId="05823D27" w:rsidR="00515E5F" w:rsidRPr="006F1824" w:rsidRDefault="00515E5F" w:rsidP="006F1824">
      <w:pPr>
        <w:pStyle w:val="Prrafonormal"/>
        <w:numPr>
          <w:ilvl w:val="0"/>
          <w:numId w:val="40"/>
        </w:numPr>
        <w:spacing w:line="276" w:lineRule="auto"/>
      </w:pPr>
      <w:r w:rsidRPr="006F1824">
        <w:t>Hipoacusia neurosensorial, bilateral – incipiente.</w:t>
      </w:r>
    </w:p>
    <w:p w14:paraId="7070B7B7" w14:textId="3ECF08FD" w:rsidR="00515E5F" w:rsidRPr="006F1824" w:rsidRDefault="00515E5F" w:rsidP="006F1824">
      <w:pPr>
        <w:pStyle w:val="Prrafonormal"/>
        <w:numPr>
          <w:ilvl w:val="0"/>
          <w:numId w:val="40"/>
        </w:numPr>
        <w:spacing w:line="276" w:lineRule="auto"/>
      </w:pPr>
      <w:r w:rsidRPr="006F1824">
        <w:t>Insuficiencia venosa (crónica) (periférica) – miembros inferiores.</w:t>
      </w:r>
    </w:p>
    <w:p w14:paraId="2798A801" w14:textId="56D34F9F" w:rsidR="00515E5F" w:rsidRPr="006F1824" w:rsidRDefault="00515E5F" w:rsidP="006F1824">
      <w:pPr>
        <w:pStyle w:val="Prrafonormal"/>
        <w:numPr>
          <w:ilvl w:val="0"/>
          <w:numId w:val="40"/>
        </w:numPr>
        <w:spacing w:line="276" w:lineRule="auto"/>
      </w:pPr>
      <w:r w:rsidRPr="006F1824">
        <w:t>Presbicia – con corrección 20/20 en ambos ojos.</w:t>
      </w:r>
    </w:p>
    <w:p w14:paraId="03A2767C" w14:textId="02E2E5A5" w:rsidR="00515E5F" w:rsidRPr="006F1824" w:rsidRDefault="00515E5F" w:rsidP="006F1824">
      <w:pPr>
        <w:pStyle w:val="Prrafonormal"/>
        <w:spacing w:line="276" w:lineRule="auto"/>
      </w:pPr>
    </w:p>
    <w:p w14:paraId="1426CEC7" w14:textId="34EDFF6F" w:rsidR="00477CA6" w:rsidRPr="006F1824" w:rsidRDefault="00477CA6" w:rsidP="006F1824">
      <w:pPr>
        <w:pStyle w:val="Prrafonormal"/>
        <w:spacing w:line="276" w:lineRule="auto"/>
      </w:pPr>
      <w:r w:rsidRPr="006F1824">
        <w:t xml:space="preserve">En virtud de dicho diagnóstico, se obtuvo como Deficiencias: 24.54%, </w:t>
      </w:r>
      <w:r w:rsidR="007A110D" w:rsidRPr="006F1824">
        <w:t>R</w:t>
      </w:r>
      <w:r w:rsidRPr="006F1824">
        <w:t>ol laboral + económica + edad el 19%</w:t>
      </w:r>
      <w:r w:rsidR="007A110D" w:rsidRPr="006F1824">
        <w:t xml:space="preserve"> y O</w:t>
      </w:r>
      <w:r w:rsidRPr="006F1824">
        <w:t>tras áreas ocupaciones del 3.2%, para un total de 46.74% de pérdida de la capacidad laboral.</w:t>
      </w:r>
    </w:p>
    <w:p w14:paraId="72534F1D" w14:textId="77777777" w:rsidR="00477CA6" w:rsidRPr="006F1824" w:rsidRDefault="00477CA6" w:rsidP="006F1824">
      <w:pPr>
        <w:pStyle w:val="Prrafonormal"/>
        <w:spacing w:line="276" w:lineRule="auto"/>
      </w:pPr>
    </w:p>
    <w:p w14:paraId="335C8456" w14:textId="0C215AA1" w:rsidR="00C71205" w:rsidRPr="006F1824" w:rsidRDefault="00C71205" w:rsidP="006F1824">
      <w:pPr>
        <w:pStyle w:val="Prrafonormal"/>
        <w:spacing w:line="276" w:lineRule="auto"/>
      </w:pPr>
      <w:r w:rsidRPr="006F1824">
        <w:t xml:space="preserve">Conforme a los argumentos expuestos en el recurso de apelación para que se declare la nulidad del dictamen de la JUNTA NACIONAL, la parte demandante sostiene que el porcentaje del </w:t>
      </w:r>
      <w:r w:rsidRPr="006F1824">
        <w:rPr>
          <w:b/>
        </w:rPr>
        <w:t xml:space="preserve">rol laboral, ocupacional y otras áreas ocupacionales (Título II) </w:t>
      </w:r>
      <w:r w:rsidRPr="006F1824">
        <w:t>debía ser del 30% y aunque no expuso las razones médicas, matemáticas y/o legales para ello, la Sala pasará a analizar este acápite.</w:t>
      </w:r>
    </w:p>
    <w:p w14:paraId="6EAC97D4" w14:textId="77777777" w:rsidR="00C71205" w:rsidRPr="006F1824" w:rsidRDefault="00C71205" w:rsidP="006F1824">
      <w:pPr>
        <w:pStyle w:val="Prrafonormal"/>
        <w:spacing w:line="276" w:lineRule="auto"/>
      </w:pPr>
    </w:p>
    <w:p w14:paraId="5590A336" w14:textId="37289EE2" w:rsidR="00515E5F" w:rsidRPr="006F1824" w:rsidRDefault="00477CA6" w:rsidP="006F1824">
      <w:pPr>
        <w:pStyle w:val="Prrafonormal"/>
        <w:spacing w:line="276" w:lineRule="auto"/>
      </w:pPr>
      <w:r w:rsidRPr="006F1824">
        <w:t xml:space="preserve">Según se evidencia </w:t>
      </w:r>
      <w:r w:rsidR="4B8600EA" w:rsidRPr="006F1824">
        <w:t>en el</w:t>
      </w:r>
      <w:r w:rsidRPr="006F1824">
        <w:t xml:space="preserve"> dictamen atacado</w:t>
      </w:r>
      <w:r w:rsidR="70743BC3" w:rsidRPr="006F1824">
        <w:t>,</w:t>
      </w:r>
      <w:r w:rsidRPr="006F1824">
        <w:t xml:space="preserve"> el ente calificador realizó </w:t>
      </w:r>
      <w:r w:rsidR="00515E5F" w:rsidRPr="006F1824">
        <w:t>una valoración interdisciplinaria de Medicina Laboral y Terapia Ocupacional,</w:t>
      </w:r>
      <w:r w:rsidRPr="006F1824">
        <w:t xml:space="preserve"> y en lo que respecta al </w:t>
      </w:r>
      <w:r w:rsidRPr="006F1824">
        <w:rPr>
          <w:b/>
          <w:bCs/>
        </w:rPr>
        <w:t>rol laboral</w:t>
      </w:r>
      <w:r w:rsidR="00412F7B" w:rsidRPr="006F1824">
        <w:rPr>
          <w:b/>
          <w:bCs/>
        </w:rPr>
        <w:t>, ocupacional y otras áreas ocupacionales (Título II)</w:t>
      </w:r>
      <w:r w:rsidRPr="006F1824">
        <w:rPr>
          <w:b/>
          <w:bCs/>
        </w:rPr>
        <w:t xml:space="preserve"> </w:t>
      </w:r>
      <w:r w:rsidRPr="006F1824">
        <w:t>se indicó que el trabajo habitual de la demandante ha sido operaria de máquina de confección por 12 años</w:t>
      </w:r>
      <w:r w:rsidR="09BC1D72" w:rsidRPr="006F1824">
        <w:t xml:space="preserve"> que,</w:t>
      </w:r>
      <w:r w:rsidRPr="006F1824">
        <w:t xml:space="preserve"> cuando sufrió un accidente por una caída desde un segundo piso que le ocasionó en la columna la fractura T7, le realizaron un procedimiento quirúrgico de </w:t>
      </w:r>
      <w:r w:rsidR="00412F7B" w:rsidRPr="006F1824">
        <w:t>vertebro plastia</w:t>
      </w:r>
      <w:r w:rsidRPr="006F1824">
        <w:t xml:space="preserve">. Luego de la cirugía se reintegró a sus labores, pero no pudo continuar trabajando por presentar dolor en las rodillas. </w:t>
      </w:r>
      <w:r w:rsidR="00412F7B" w:rsidRPr="006F1824">
        <w:t xml:space="preserve">Motivo por el cual, le fue asignado el 19% y 3.2% para un total del </w:t>
      </w:r>
      <w:r w:rsidR="00412F7B" w:rsidRPr="006F1824">
        <w:rPr>
          <w:b/>
          <w:bCs/>
        </w:rPr>
        <w:t>22.20%.</w:t>
      </w:r>
      <w:r w:rsidR="00412F7B" w:rsidRPr="006F1824">
        <w:t xml:space="preserve"> Valor que fue confirmado por la JUNTA </w:t>
      </w:r>
      <w:r w:rsidR="003F4788" w:rsidRPr="006F1824">
        <w:t xml:space="preserve">REGIONAL </w:t>
      </w:r>
      <w:r w:rsidR="00412F7B" w:rsidRPr="006F1824">
        <w:t xml:space="preserve">DE CALDAS en la prueba pericial decretada por la jueza. </w:t>
      </w:r>
      <w:r w:rsidR="00412F7B" w:rsidRPr="006F1824">
        <w:lastRenderedPageBreak/>
        <w:t>(Anexo52)</w:t>
      </w:r>
    </w:p>
    <w:p w14:paraId="2746992F" w14:textId="385E6764" w:rsidR="00412F7B" w:rsidRPr="006F1824" w:rsidRDefault="00412F7B" w:rsidP="006F1824">
      <w:pPr>
        <w:pStyle w:val="Prrafonormal"/>
        <w:spacing w:line="276" w:lineRule="auto"/>
      </w:pPr>
    </w:p>
    <w:p w14:paraId="18B14969" w14:textId="4DC829A6" w:rsidR="00412F7B" w:rsidRPr="006F1824" w:rsidRDefault="007D618E" w:rsidP="006F1824">
      <w:pPr>
        <w:pStyle w:val="Prrafonormal"/>
        <w:spacing w:line="276" w:lineRule="auto"/>
      </w:pPr>
      <w:r w:rsidRPr="006F1824">
        <w:t>Ahora, d</w:t>
      </w:r>
      <w:r w:rsidR="00412F7B" w:rsidRPr="006F1824">
        <w:t>e acuerdo con los principios de ponderación dispuestos en el Decreto 1507 de 2014, al m</w:t>
      </w:r>
      <w:r w:rsidR="00C71205" w:rsidRPr="006F1824">
        <w:t xml:space="preserve">omento de efectuar la calificación se debe distribuir porcentualmente entre un rango mínimo del cero por ciento (0%) y un máximo de cien por ciento (100%), correspondiendo el 50% al </w:t>
      </w:r>
      <w:r w:rsidR="00C71205" w:rsidRPr="006F1824">
        <w:rPr>
          <w:b/>
          <w:bCs/>
        </w:rPr>
        <w:t>Título Primero (Valoración de las deficiencias)</w:t>
      </w:r>
      <w:r w:rsidR="00C71205" w:rsidRPr="006F1824">
        <w:t xml:space="preserve"> y el otro 50% al </w:t>
      </w:r>
      <w:r w:rsidR="00C71205" w:rsidRPr="006F1824">
        <w:rPr>
          <w:b/>
          <w:bCs/>
        </w:rPr>
        <w:t>Título Segundo (Valoración del rol laboral, rol ocupacional y otras áreas ocupacionales)</w:t>
      </w:r>
      <w:r w:rsidR="00C71205" w:rsidRPr="006F1824">
        <w:t>. Para determinar los porcentajes se tiene</w:t>
      </w:r>
      <w:r w:rsidR="272F431A" w:rsidRPr="006F1824">
        <w:t>n</w:t>
      </w:r>
      <w:r w:rsidR="00C71205" w:rsidRPr="006F1824">
        <w:t xml:space="preserve"> en cuenta todas las secuelas de la deficiencia que repercute sobre las capacidades funcionales de las personas. </w:t>
      </w:r>
    </w:p>
    <w:p w14:paraId="21C33193" w14:textId="1C7A3387" w:rsidR="00C71205" w:rsidRPr="006F1824" w:rsidRDefault="00C71205" w:rsidP="006F1824">
      <w:pPr>
        <w:pStyle w:val="Prrafonormal"/>
        <w:spacing w:line="276" w:lineRule="auto"/>
      </w:pPr>
    </w:p>
    <w:p w14:paraId="17177B71" w14:textId="4959AD41" w:rsidR="00C71205" w:rsidRPr="006F1824" w:rsidRDefault="00C71205" w:rsidP="006F1824">
      <w:pPr>
        <w:pStyle w:val="Prrafonormal"/>
        <w:spacing w:line="276" w:lineRule="auto"/>
      </w:pPr>
      <w:r w:rsidRPr="006F1824">
        <w:t xml:space="preserve">En la metodología de calificación del </w:t>
      </w:r>
      <w:r w:rsidRPr="006F1824">
        <w:rPr>
          <w:b/>
          <w:bCs/>
        </w:rPr>
        <w:t>rol laboral, ocupacional y otras áreas ocupacionales (Título II)</w:t>
      </w:r>
      <w:r w:rsidRPr="006F1824">
        <w:t xml:space="preserve">, </w:t>
      </w:r>
      <w:r w:rsidR="007D618E" w:rsidRPr="006F1824">
        <w:t xml:space="preserve">la población a calificar se clasifica según la etapa del ciclo vital y el rol desempeñado, encontrándose dos grandes grupos a saber: el </w:t>
      </w:r>
      <w:r w:rsidR="007D618E" w:rsidRPr="006F1824">
        <w:rPr>
          <w:u w:val="single"/>
        </w:rPr>
        <w:t>primer grupo</w:t>
      </w:r>
      <w:r w:rsidR="007D618E" w:rsidRPr="006F1824">
        <w:t xml:space="preserve"> poblacional de las personas en edad económicamente activa con un rol laboral y ocupacional (</w:t>
      </w:r>
      <w:r w:rsidR="007D618E" w:rsidRPr="006F1824">
        <w:rPr>
          <w:i/>
          <w:iCs/>
        </w:rPr>
        <w:t>conformada por las personas en edad de trabajar, que trabajan o están buscando empleo, incluye menores trabajadores, jubilados o pensionados que trabajan y adultos mayores que trabajan</w:t>
      </w:r>
      <w:r w:rsidR="007D618E" w:rsidRPr="006F1824">
        <w:t xml:space="preserve">) y un </w:t>
      </w:r>
      <w:r w:rsidR="007D618E" w:rsidRPr="006F1824">
        <w:rPr>
          <w:u w:val="single"/>
        </w:rPr>
        <w:t>segundo grupo</w:t>
      </w:r>
      <w:r w:rsidR="007D618E" w:rsidRPr="006F1824">
        <w:t xml:space="preserve"> de personas que no trabajan cuyo rol ocupacional es el juego, el estudio, el uso del tiempo libre o de esparcimiento (</w:t>
      </w:r>
      <w:r w:rsidR="007D618E" w:rsidRPr="006F1824">
        <w:rPr>
          <w:i/>
          <w:iCs/>
        </w:rPr>
        <w:t>conformada por bebés, niños, adolescentes, jubilados y pensionados que no trabajan y adultos mayores que no trabajan</w:t>
      </w:r>
      <w:r w:rsidR="007D618E" w:rsidRPr="006F1824">
        <w:t xml:space="preserve">). De esta manera, para calificar al primer grupo poblacional, al cual pertenece la demandante por ser una persona </w:t>
      </w:r>
      <w:r w:rsidR="77FF8733" w:rsidRPr="006F1824">
        <w:t xml:space="preserve">una </w:t>
      </w:r>
      <w:r w:rsidR="007D618E" w:rsidRPr="006F1824">
        <w:t>adulta económicamente activa, el criterio del rol laboral tiene un porcentaje máximo del 25%, por autosuficiencia económica el valor máximo es de 2.5%, por edad se asigna un máximo de 2.5% y por otras áreas ocupacionales el valor máximo es del 20%.</w:t>
      </w:r>
    </w:p>
    <w:p w14:paraId="44CC12EC" w14:textId="4DEBB9C7" w:rsidR="007D618E" w:rsidRPr="006F1824" w:rsidRDefault="007D618E" w:rsidP="006F1824">
      <w:pPr>
        <w:pStyle w:val="Prrafonormal"/>
        <w:spacing w:line="276" w:lineRule="auto"/>
      </w:pPr>
    </w:p>
    <w:p w14:paraId="43F0874C" w14:textId="77777777" w:rsidR="00F351BA" w:rsidRPr="006F1824" w:rsidRDefault="007D618E" w:rsidP="006F1824">
      <w:pPr>
        <w:pStyle w:val="Prrafonormal"/>
        <w:spacing w:line="276" w:lineRule="auto"/>
      </w:pPr>
      <w:r w:rsidRPr="006F1824">
        <w:t xml:space="preserve">Así pues, para determinar el valor total del </w:t>
      </w:r>
      <w:r w:rsidRPr="006F1824">
        <w:rPr>
          <w:b/>
        </w:rPr>
        <w:t xml:space="preserve">rol laboral, ocupacional y otras áreas ocupacionales (Título II) </w:t>
      </w:r>
      <w:r w:rsidRPr="006F1824">
        <w:t>se deben sumar aritméticamente los valores obtenidos y el resultado no puede ser mayor al 50%</w:t>
      </w:r>
      <w:r w:rsidR="007A110D" w:rsidRPr="006F1824">
        <w:t xml:space="preserve">. </w:t>
      </w:r>
    </w:p>
    <w:p w14:paraId="54B7EA43" w14:textId="77777777" w:rsidR="00F351BA" w:rsidRPr="006F1824" w:rsidRDefault="00F351BA" w:rsidP="006F1824">
      <w:pPr>
        <w:pStyle w:val="Prrafonormal"/>
        <w:spacing w:line="276" w:lineRule="auto"/>
      </w:pPr>
    </w:p>
    <w:p w14:paraId="6742F549" w14:textId="03C7758C" w:rsidR="007D618E" w:rsidRPr="006F1824" w:rsidRDefault="00F351BA" w:rsidP="006F1824">
      <w:pPr>
        <w:pStyle w:val="Prrafonormal"/>
        <w:spacing w:line="276" w:lineRule="auto"/>
      </w:pPr>
      <w:r w:rsidRPr="006F1824">
        <w:t>En</w:t>
      </w:r>
      <w:r w:rsidR="007A110D" w:rsidRPr="006F1824">
        <w:t xml:space="preserve"> el caso de la demandante, según sus </w:t>
      </w:r>
      <w:r w:rsidR="007A110D" w:rsidRPr="006F1824">
        <w:rPr>
          <w:b/>
          <w:bCs/>
        </w:rPr>
        <w:t>restricciones de rol laboral se le asignó el 15%</w:t>
      </w:r>
      <w:r w:rsidR="00722DAB" w:rsidRPr="006F1824">
        <w:t xml:space="preserve"> de la </w:t>
      </w:r>
      <w:r w:rsidR="00722DAB" w:rsidRPr="006F1824">
        <w:rPr>
          <w:i/>
          <w:iCs/>
        </w:rPr>
        <w:t>Categoría 4- Cambio de rol laboral o puesto de trabajo</w:t>
      </w:r>
      <w:r w:rsidR="00722DAB" w:rsidRPr="006F1824">
        <w:rPr>
          <w:rStyle w:val="Refdenotaalpie"/>
        </w:rPr>
        <w:footnoteReference w:id="1"/>
      </w:r>
      <w:r w:rsidR="00722DAB" w:rsidRPr="006F1824">
        <w:rPr>
          <w:i/>
          <w:iCs/>
        </w:rPr>
        <w:t xml:space="preserve"> </w:t>
      </w:r>
      <w:r w:rsidR="00722DAB" w:rsidRPr="006F1824">
        <w:t>que es el porcentaje máximo para las personas que luego de terminado el proceso de rehabilitación integral, pueden realizar su labor habitual con limitaciones y restricciones graves, requieren modificaciones en el puesto de trabajo, necesitan tratamientos continuos y permanentes incluso pueden necesitar ayuda de otra persona y</w:t>
      </w:r>
      <w:r w:rsidR="5DB89030" w:rsidRPr="006F1824">
        <w:t>,</w:t>
      </w:r>
      <w:r w:rsidR="00722DAB" w:rsidRPr="006F1824">
        <w:t xml:space="preserve"> en muchas ocasiones</w:t>
      </w:r>
      <w:r w:rsidR="62C96935" w:rsidRPr="006F1824">
        <w:t>,</w:t>
      </w:r>
      <w:r w:rsidR="00722DAB" w:rsidRPr="006F1824">
        <w:t xml:space="preserve"> para lograr una integración laboral es indispensable la reubicación definitiva.</w:t>
      </w:r>
    </w:p>
    <w:p w14:paraId="65307529" w14:textId="50A11CD1" w:rsidR="00722DAB" w:rsidRPr="006F1824" w:rsidRDefault="00722DAB" w:rsidP="006F1824">
      <w:pPr>
        <w:pStyle w:val="Prrafonormal"/>
        <w:spacing w:line="276" w:lineRule="auto"/>
      </w:pPr>
    </w:p>
    <w:p w14:paraId="4FDB5391" w14:textId="6AE2D15A" w:rsidR="00722DAB" w:rsidRPr="006F1824" w:rsidRDefault="00722DAB" w:rsidP="006F1824">
      <w:pPr>
        <w:pStyle w:val="Prrafonormal"/>
        <w:spacing w:line="276" w:lineRule="auto"/>
      </w:pPr>
      <w:r w:rsidRPr="006F1824">
        <w:t xml:space="preserve">Dicha situación se acompasa con el estado médico de la demandante </w:t>
      </w:r>
      <w:r w:rsidR="005A4DF0" w:rsidRPr="006F1824">
        <w:t>que en la historia laboral se señala que luego de la cirugía de su columna se reintegr</w:t>
      </w:r>
      <w:r w:rsidR="003F4788" w:rsidRPr="006F1824">
        <w:t xml:space="preserve">ó a su trabajo habitual como operaria de confección y aunque </w:t>
      </w:r>
      <w:r w:rsidR="005A4DF0" w:rsidRPr="006F1824">
        <w:t xml:space="preserve">no pudo continuar </w:t>
      </w:r>
      <w:r w:rsidR="003F4788" w:rsidRPr="006F1824">
        <w:t xml:space="preserve">en esa labor, conforme a la valoración del Terapeuta Ocupacional </w:t>
      </w:r>
      <w:r w:rsidR="003F4788" w:rsidRPr="006F1824">
        <w:lastRenderedPageBreak/>
        <w:t>en la fecha 05-08-2022</w:t>
      </w:r>
      <w:r w:rsidR="003F4788" w:rsidRPr="006F1824">
        <w:rPr>
          <w:rStyle w:val="Refdenotaalpie"/>
        </w:rPr>
        <w:footnoteReference w:id="2"/>
      </w:r>
      <w:r w:rsidR="003F4788" w:rsidRPr="006F1824">
        <w:t>, la actora comenzó a desempeñarse como empleada doméstica con varios empleadores por aproximadamente 6 años</w:t>
      </w:r>
      <w:r w:rsidR="005A4DF0" w:rsidRPr="006F1824">
        <w:t xml:space="preserve">; es decir, </w:t>
      </w:r>
      <w:r w:rsidR="003F4788" w:rsidRPr="006F1824">
        <w:t xml:space="preserve">la demandante </w:t>
      </w:r>
      <w:r w:rsidR="78F281FF" w:rsidRPr="006F1824">
        <w:t>continuó</w:t>
      </w:r>
      <w:r w:rsidR="005A4DF0" w:rsidRPr="006F1824">
        <w:t xml:space="preserve"> laborando con limitaciones y restricciones graves. De ahí que el porcentaje asignado haya sido del </w:t>
      </w:r>
      <w:r w:rsidR="005A4DF0" w:rsidRPr="006F1824">
        <w:rPr>
          <w:b/>
          <w:bCs/>
        </w:rPr>
        <w:t>15%</w:t>
      </w:r>
      <w:r w:rsidR="003F4788" w:rsidRPr="006F1824">
        <w:t>, sin que se evidencien razones o pruebas allegadas por la parte actora que permitan concluir lo contrario.</w:t>
      </w:r>
    </w:p>
    <w:p w14:paraId="3834AF08" w14:textId="717F1483" w:rsidR="003F4788" w:rsidRPr="006F1824" w:rsidRDefault="003F4788" w:rsidP="006F1824">
      <w:pPr>
        <w:pStyle w:val="Prrafonormal"/>
        <w:spacing w:line="276" w:lineRule="auto"/>
      </w:pPr>
    </w:p>
    <w:p w14:paraId="0E1D92F1" w14:textId="040319EB" w:rsidR="003F4788" w:rsidRPr="006F1824" w:rsidRDefault="00F351BA" w:rsidP="006F1824">
      <w:pPr>
        <w:pStyle w:val="Prrafonormal"/>
        <w:spacing w:line="276" w:lineRule="auto"/>
      </w:pPr>
      <w:r w:rsidRPr="006F1824">
        <w:t>R</w:t>
      </w:r>
      <w:r w:rsidR="003F4788" w:rsidRPr="006F1824">
        <w:t xml:space="preserve">especto a las </w:t>
      </w:r>
      <w:r w:rsidR="003F4788" w:rsidRPr="006F1824">
        <w:rPr>
          <w:b/>
        </w:rPr>
        <w:t>restricciones de autosuficiencia económica que se asignó el 1.5%</w:t>
      </w:r>
      <w:r w:rsidRPr="006F1824">
        <w:t xml:space="preserve">, corresponde al porcentaje máximo dispuesto en la categoría que cumple la actora por ser </w:t>
      </w:r>
      <w:r w:rsidRPr="006F1824">
        <w:rPr>
          <w:i/>
        </w:rPr>
        <w:t xml:space="preserve">precariamente autosuficiente. </w:t>
      </w:r>
      <w:r w:rsidRPr="006F1824">
        <w:t>En este rango se clasifican a las personas que</w:t>
      </w:r>
      <w:r w:rsidR="00680073" w:rsidRPr="006F1824">
        <w:t>,</w:t>
      </w:r>
      <w:r w:rsidRPr="006F1824">
        <w:t xml:space="preserve"> como consecuencia de una deficiencia, ven sus ingresos económicos afectados de forma moderada, pues tienen ayuda de otras personas para mantener su autosuficiencia económica. En este punto, la actora indicó a lo largo de su historia clínica que dependía económicamente de su compañero permanente, que vive con su nieto de 24 años que se desempeña en oficios de mecánica y su nuera de 21 años, actualmente desempleada.</w:t>
      </w:r>
      <w:r w:rsidR="00680073" w:rsidRPr="006F1824">
        <w:t xml:space="preserve"> Por lo anterior, no era viable incrementar el porcentaje porque está asignado a las categorías de personas cuyos ingresos no permiten cubrir el costo de una canasta básica de consumo, caso que no es el de la demandante.</w:t>
      </w:r>
      <w:r w:rsidR="00680073" w:rsidRPr="006F1824">
        <w:rPr>
          <w:i/>
        </w:rPr>
        <w:t xml:space="preserve"> </w:t>
      </w:r>
    </w:p>
    <w:p w14:paraId="2DA07E80" w14:textId="77777777" w:rsidR="003F4788" w:rsidRPr="006F1824" w:rsidRDefault="003F4788" w:rsidP="006F1824">
      <w:pPr>
        <w:pStyle w:val="Prrafonormal"/>
        <w:spacing w:line="276" w:lineRule="auto"/>
      </w:pPr>
    </w:p>
    <w:p w14:paraId="11FE73EC" w14:textId="0DBCE828" w:rsidR="00680073" w:rsidRPr="006F1824" w:rsidRDefault="00680073" w:rsidP="006F1824">
      <w:pPr>
        <w:pStyle w:val="Prrafonormal"/>
        <w:spacing w:line="276" w:lineRule="auto"/>
      </w:pPr>
      <w:r w:rsidRPr="006F1824">
        <w:t>Sobre la calificación de</w:t>
      </w:r>
      <w:r w:rsidR="003F4788" w:rsidRPr="006F1824">
        <w:t xml:space="preserve"> las </w:t>
      </w:r>
      <w:r w:rsidR="003F4788" w:rsidRPr="006F1824">
        <w:rPr>
          <w:b/>
        </w:rPr>
        <w:t>restricciones en función de la edad cronológica calificada con el 2.5%</w:t>
      </w:r>
      <w:r w:rsidRPr="006F1824">
        <w:t>, teniendo en cuenta que es el porcentaje máximo dispuesto para las personas mayores o iguales a 60 años y en el caso de la demandante fue calificada cuando tenía 62 años y 4 meses de edad. Por ende, al no tener un mayor valor esta categoría es imposible incrementar el porcentaje asignado por la JUNTA NACIONAL.</w:t>
      </w:r>
    </w:p>
    <w:p w14:paraId="2322ED32" w14:textId="053B22F7" w:rsidR="00680073" w:rsidRPr="006F1824" w:rsidRDefault="00680073" w:rsidP="006F1824">
      <w:pPr>
        <w:pStyle w:val="Prrafonormal"/>
        <w:spacing w:line="276" w:lineRule="auto"/>
      </w:pPr>
    </w:p>
    <w:p w14:paraId="48B92237" w14:textId="64D46D01" w:rsidR="00680073" w:rsidRPr="006F1824" w:rsidRDefault="00680073" w:rsidP="006F1824">
      <w:pPr>
        <w:pStyle w:val="Prrafonormal"/>
        <w:spacing w:line="276" w:lineRule="auto"/>
      </w:pPr>
      <w:r w:rsidRPr="006F1824">
        <w:t xml:space="preserve">Finalmente, para terminar de analizar el rol ocupacional, se calificaron </w:t>
      </w:r>
      <w:r w:rsidRPr="006F1824">
        <w:rPr>
          <w:b/>
        </w:rPr>
        <w:t xml:space="preserve">Otras áreas ocupacionales con el 3.2% </w:t>
      </w:r>
      <w:r w:rsidRPr="006F1824">
        <w:t>donde se evalúa las diversas actividades de la vida diaria, la vida instrumental, educación, estudio, juego, ocio y la participación social. En esta categor</w:t>
      </w:r>
      <w:r w:rsidR="00604724" w:rsidRPr="006F1824">
        <w:t>ía se asigna el porcentaje conforme a los criterios cualitativos conforme a las habilidades motoras, de procesamiento, de comunicación para la adquisición del conocimiento, del cuidado personal, de la movilidad, la ejecución de tareas, la vida económica y doméstica. Así pues, según la clase y el nivel de dificultad y dependencia, se asignan valores máximos individuales. Para determinar este rango, el Manual de Calificación ha diseñado una serie de categorías a las cuales se les debe asignar la clase A: 0.0, B: 0.1, C: 0.2, D: 0.3 y E: 0.4, según el nivel de gravedad de cada paciente.</w:t>
      </w:r>
    </w:p>
    <w:p w14:paraId="4466BA3F" w14:textId="2C656858" w:rsidR="00604724" w:rsidRPr="006F1824" w:rsidRDefault="00604724" w:rsidP="006F1824">
      <w:pPr>
        <w:pStyle w:val="Prrafonormal"/>
        <w:spacing w:line="276" w:lineRule="auto"/>
      </w:pPr>
    </w:p>
    <w:p w14:paraId="7C2F1F04" w14:textId="77777777" w:rsidR="00CA679B" w:rsidRPr="006F1824" w:rsidRDefault="00604724" w:rsidP="006F1824">
      <w:pPr>
        <w:pStyle w:val="Prrafonormal"/>
        <w:spacing w:line="276" w:lineRule="auto"/>
      </w:pPr>
      <w:r w:rsidRPr="006F1824">
        <w:t xml:space="preserve">De este modo, para que se pueda encontrar un yerro en la calificación de la invalidez de la señora NOHELIA TANGARIFE que derive en la nulidad del dictamen, la apoderada debía indicar específicamente el error cometido por la JUNTA NACIONAL respecto de la asignación de la clase, nivel de gravedad y/o categoría de cada área ocupacional. Contrario a ello, en el recurso únicamente </w:t>
      </w:r>
      <w:r w:rsidRPr="006F1824">
        <w:lastRenderedPageBreak/>
        <w:t>se indicó que el porcentaje debía ser m</w:t>
      </w:r>
      <w:r w:rsidR="00CA679B" w:rsidRPr="006F1824">
        <w:t>ás alto omitiendo las apreciaciones objetivas que requieren este tipo de procedimientos para determinar la pérdida de la capacidad laboral.</w:t>
      </w:r>
    </w:p>
    <w:p w14:paraId="65133BA5" w14:textId="77777777" w:rsidR="00CA679B" w:rsidRPr="006F1824" w:rsidRDefault="00CA679B" w:rsidP="006F1824">
      <w:pPr>
        <w:pStyle w:val="Prrafonormal"/>
        <w:spacing w:line="276" w:lineRule="auto"/>
      </w:pPr>
    </w:p>
    <w:p w14:paraId="4960C6F1" w14:textId="10FA36BB" w:rsidR="00604724" w:rsidRPr="006F1824" w:rsidRDefault="00CA679B" w:rsidP="006F1824">
      <w:pPr>
        <w:pStyle w:val="Prrafonormal"/>
        <w:spacing w:line="276" w:lineRule="auto"/>
      </w:pPr>
      <w:r w:rsidRPr="006F1824">
        <w:t xml:space="preserve">En conclusión, se evidencia entonces que la restricción de rol laboral calificado con el </w:t>
      </w:r>
      <w:r w:rsidRPr="006F1824">
        <w:rPr>
          <w:b/>
        </w:rPr>
        <w:t>15%</w:t>
      </w:r>
      <w:r w:rsidRPr="006F1824">
        <w:t xml:space="preserve">, las restricciones autosuficiencia económica con el </w:t>
      </w:r>
      <w:r w:rsidRPr="006F1824">
        <w:rPr>
          <w:b/>
        </w:rPr>
        <w:t>1.5%</w:t>
      </w:r>
      <w:r w:rsidRPr="006F1824">
        <w:t xml:space="preserve">, las restricciones en función de la edad cronológica con el </w:t>
      </w:r>
      <w:r w:rsidRPr="006F1824">
        <w:rPr>
          <w:b/>
        </w:rPr>
        <w:t xml:space="preserve">2.5% </w:t>
      </w:r>
      <w:r w:rsidRPr="006F1824">
        <w:t xml:space="preserve">y la calificación de otras áreas ocupacionales con el </w:t>
      </w:r>
      <w:r w:rsidRPr="006F1824">
        <w:rPr>
          <w:b/>
        </w:rPr>
        <w:t>3.2%</w:t>
      </w:r>
      <w:r w:rsidRPr="006F1824">
        <w:t xml:space="preserve">, dieron como resultado el </w:t>
      </w:r>
      <w:r w:rsidRPr="006F1824">
        <w:rPr>
          <w:b/>
        </w:rPr>
        <w:t>22.20% total del Título II</w:t>
      </w:r>
      <w:r w:rsidRPr="006F1824">
        <w:t>, lo cual se encuentra ajustado a lo dispuesto en el Decreto 1507 de 2014 del Manual Único para la Calificación de la Pérdida de la Capacidad Laboral y Ocupacional. Así las cosas, no se detectan motivos para declarar la nulidad del dictamen del 11-03-2020, emitido por la JUNTA NACIONAL y confirmado por la JUNTA REGIONAL DE CALDAS.</w:t>
      </w:r>
    </w:p>
    <w:p w14:paraId="6A125469" w14:textId="43BB043E" w:rsidR="00CA679B" w:rsidRPr="006F1824" w:rsidRDefault="00CA679B" w:rsidP="006F1824">
      <w:pPr>
        <w:pStyle w:val="Prrafonormal"/>
        <w:spacing w:line="276" w:lineRule="auto"/>
      </w:pPr>
    </w:p>
    <w:p w14:paraId="24F13E60" w14:textId="74D4F64D" w:rsidR="007B5942" w:rsidRPr="006F1824" w:rsidRDefault="00CA679B" w:rsidP="006F1824">
      <w:pPr>
        <w:pStyle w:val="Prrafonormal"/>
        <w:spacing w:line="276" w:lineRule="auto"/>
      </w:pPr>
      <w:r w:rsidRPr="006F1824">
        <w:t>Ahora, la</w:t>
      </w:r>
      <w:r w:rsidR="008E57EC" w:rsidRPr="006F1824">
        <w:t xml:space="preserve"> parte apelante</w:t>
      </w:r>
      <w:r w:rsidRPr="006F1824">
        <w:t xml:space="preserve"> se duele de que el dictamen no tuvo en cuenta la depresi</w:t>
      </w:r>
      <w:r w:rsidR="008E57EC" w:rsidRPr="006F1824">
        <w:t xml:space="preserve">ón de tipo recurrente que padece la demandante, lo que, a su juicio, de haberse valorado debía incrementar el porcentaje de pérdida de la capacidad laboral y sería mayor al 50%. Al respecto, el Manual de Calificación </w:t>
      </w:r>
      <w:r w:rsidR="007B5942" w:rsidRPr="006F1824">
        <w:t xml:space="preserve">en el acápite 13.3.2 </w:t>
      </w:r>
      <w:r w:rsidR="007B5942" w:rsidRPr="006F1824">
        <w:rPr>
          <w:i/>
        </w:rPr>
        <w:t>Procedimientos para la Calificación de las Deficiencias por Trastornos Mentales y del Comportamiento</w:t>
      </w:r>
      <w:r w:rsidR="007B5942" w:rsidRPr="006F1824">
        <w:t xml:space="preserve">, señala que además de la historia clínica, se requieren algunas pruebas diagnósticas tales como: </w:t>
      </w:r>
      <w:r w:rsidR="007B5942" w:rsidRPr="006F1824">
        <w:rPr>
          <w:i/>
        </w:rPr>
        <w:t>pruebas de personalidad, test de inteligencia, afrontamiento del estrés, de vulnerabilidad al estrés, evaluación de factores psicosociales, escalas de depresión y ansiedad que varían según la etapa del ciclo vital en que se encuentre la persona</w:t>
      </w:r>
      <w:r w:rsidR="007B5942" w:rsidRPr="006F1824">
        <w:t>. A fin de tener en cuenta dicha patología en el dictamen de calificación, como metodología se debe verificar que la paciente haya alcanzado la Mejoría Médica Máxima (MMM) un año después de iniciado el tratamiento o se haya terminado el proceso de rehabilitación integral.</w:t>
      </w:r>
    </w:p>
    <w:p w14:paraId="28F9D525" w14:textId="4424F688" w:rsidR="00A80B97" w:rsidRPr="006F1824" w:rsidRDefault="00A80B97" w:rsidP="006F1824">
      <w:pPr>
        <w:pStyle w:val="Prrafonormal"/>
        <w:spacing w:line="276" w:lineRule="auto"/>
      </w:pPr>
    </w:p>
    <w:p w14:paraId="59129DBD" w14:textId="06C12260" w:rsidR="00A80B97" w:rsidRPr="006F1824" w:rsidRDefault="00A80B97" w:rsidP="006F1824">
      <w:pPr>
        <w:pStyle w:val="Prrafonormal"/>
        <w:spacing w:line="276" w:lineRule="auto"/>
      </w:pPr>
      <w:r w:rsidRPr="006F1824">
        <w:t>Vale la pena aclara</w:t>
      </w:r>
      <w:r w:rsidR="0035649D" w:rsidRPr="006F1824">
        <w:t>r</w:t>
      </w:r>
      <w:r w:rsidRPr="006F1824">
        <w:t xml:space="preserve"> que el concepto de Mejoría Médica Máxima (MMM) se encuentra definido en el Manual de Calificación (Decreto 1507 de 2014), Título Preliminar, 4.6, donde se indica:</w:t>
      </w:r>
    </w:p>
    <w:p w14:paraId="14F8E0A8" w14:textId="431CCEC3" w:rsidR="00A80B97" w:rsidRPr="006F1824" w:rsidRDefault="00A80B97" w:rsidP="006F1824">
      <w:pPr>
        <w:pStyle w:val="Prrafonormal"/>
        <w:spacing w:line="276" w:lineRule="auto"/>
      </w:pPr>
    </w:p>
    <w:p w14:paraId="4334DB7E" w14:textId="7556E75F" w:rsidR="00A80B97" w:rsidRPr="006508E9" w:rsidRDefault="00A80B97" w:rsidP="009414D7">
      <w:pPr>
        <w:pStyle w:val="Prrafonormal"/>
        <w:spacing w:line="240" w:lineRule="auto"/>
        <w:ind w:left="426" w:right="420"/>
        <w:rPr>
          <w:i/>
          <w:sz w:val="22"/>
        </w:rPr>
      </w:pPr>
      <w:r w:rsidRPr="006508E9">
        <w:rPr>
          <w:sz w:val="22"/>
        </w:rPr>
        <w:t>“</w:t>
      </w:r>
      <w:r w:rsidRPr="006508E9">
        <w:rPr>
          <w:b/>
          <w:i/>
          <w:sz w:val="22"/>
        </w:rPr>
        <w:t xml:space="preserve">4.6. Mejoría Médica Máxima ‘MMM’: </w:t>
      </w:r>
      <w:r w:rsidRPr="006508E9">
        <w:rPr>
          <w:i/>
          <w:sz w:val="22"/>
        </w:rPr>
        <w:t>Punto en el cual la condición patológica se estabiliza sustancialmente y es poco probable que cambie, ya sea para mejorar o empeorar, en el próximo año, con o sin tratamiento. Son sinónimos de este término: pérdida comprobable, pérdidas fija y estable, cura máxima, grado máximo de mejoría médica, máximo grado de salud, curación máxima, máxima rehabilitación médica, estabilidad medica máxima, estabilidad médica, resultados médicos finales, médicamente estable, médicamente estacionario, permanente y estacionario, no se puede ofrecer más tratamiento o se da por terminado el tratamiento. Incluye los tratamientos médicos, quirúrgicos y de rehabilitación integral que se encuentren disponibles para las personas y que sean pertinentes según la condición de salud.”</w:t>
      </w:r>
    </w:p>
    <w:p w14:paraId="21A0405B" w14:textId="1F95EE34" w:rsidR="007B5942" w:rsidRPr="006F1824" w:rsidRDefault="007B5942" w:rsidP="006F1824">
      <w:pPr>
        <w:pStyle w:val="Prrafonormal"/>
        <w:spacing w:line="276" w:lineRule="auto"/>
      </w:pPr>
    </w:p>
    <w:p w14:paraId="55E00D04" w14:textId="7D3E7DA1" w:rsidR="007B5942" w:rsidRPr="006F1824" w:rsidRDefault="007B5942" w:rsidP="006F1824">
      <w:pPr>
        <w:pStyle w:val="Prrafonormal"/>
        <w:spacing w:line="276" w:lineRule="auto"/>
      </w:pPr>
      <w:r w:rsidRPr="006F1824">
        <w:t>En el caso de la demandante, conforme a la historia clínica aportada y las valoraciones tenidas en cuenta en los dictámenes (fl.40, anexo1) se encuentra que, el 16-0</w:t>
      </w:r>
      <w:r w:rsidR="0091005E" w:rsidRPr="006F1824">
        <w:t>5-2018 la Dra. Martha Santana en Psicología, señaló que la actora</w:t>
      </w:r>
      <w:r w:rsidRPr="006F1824">
        <w:t xml:space="preserve"> debía iniciar el proceso psicoterapéutico para lo cual se solicitaban 6 sesiones de controles de psicología y estaba pendiente de remitir a psiquiatría. El 06-</w:t>
      </w:r>
      <w:r w:rsidRPr="006F1824">
        <w:lastRenderedPageBreak/>
        <w:t>09-2019 en psicología de la EPS Salud Total, se indicó que presentaba un episodio depresivo moderado y aunque no había aportado la historia clínica, se recomendó iniciar el tratamiento psicológico y psiquiátrico.</w:t>
      </w:r>
      <w:r w:rsidR="00A80B97" w:rsidRPr="006F1824">
        <w:t xml:space="preserve"> El 11-10-2019 en la especialidad de Psiquiatría de la EPS Salud Total </w:t>
      </w:r>
      <w:r w:rsidR="0091005E" w:rsidRPr="006F1824">
        <w:t>determinó que la paciente presentaba síntomas depresivos que configuraban depresión doble y consideró iniciar tratamiento farmacológico y acompañamiento psicoterapéutico. El 23-01-2020 en Psiquiatría de la EPS Salud To</w:t>
      </w:r>
      <w:r w:rsidR="00577F76" w:rsidRPr="006F1824">
        <w:t>tal se especificó que la demandante ese encontraba en manejo psiquiátrico, peor no continuó porque no notó una mejoría, por lo que se sugirió iniciar tratamiento con ácido valproico y sertralina.</w:t>
      </w:r>
    </w:p>
    <w:p w14:paraId="6166935B" w14:textId="23F75B22" w:rsidR="00577F76" w:rsidRPr="006F1824" w:rsidRDefault="00577F76" w:rsidP="006F1824">
      <w:pPr>
        <w:pStyle w:val="Prrafonormal"/>
        <w:spacing w:line="276" w:lineRule="auto"/>
      </w:pPr>
    </w:p>
    <w:p w14:paraId="36337857" w14:textId="3999D219" w:rsidR="0035649D" w:rsidRPr="006F1824" w:rsidRDefault="00577F76" w:rsidP="006F1824">
      <w:pPr>
        <w:pStyle w:val="Prrafonormal"/>
        <w:spacing w:line="276" w:lineRule="auto"/>
      </w:pPr>
      <w:r w:rsidRPr="006F1824">
        <w:t xml:space="preserve">Conforme al estado y el tratamiento psicológico de la demandante, la JUNTA NACIONAL explicó en el dictamen del 11-03-2020 que no fue posible asignar un puntaje por deficiencia por no haber alcanzado la Mejoría Médica Máxima. Ello quiere decir que, </w:t>
      </w:r>
      <w:r w:rsidR="00AE6C86" w:rsidRPr="006F1824">
        <w:t xml:space="preserve">es </w:t>
      </w:r>
      <w:r w:rsidR="00C7039C" w:rsidRPr="006F1824">
        <w:t>indispe</w:t>
      </w:r>
      <w:r w:rsidR="00C7039C">
        <w:t>nsable</w:t>
      </w:r>
      <w:r w:rsidR="00C7039C" w:rsidRPr="006F1824">
        <w:t xml:space="preserve"> </w:t>
      </w:r>
      <w:r w:rsidR="00AE6C86" w:rsidRPr="006F1824">
        <w:t>finalizar</w:t>
      </w:r>
      <w:r w:rsidRPr="006F1824">
        <w:t xml:space="preserve"> el proceso de rehabilitación o tratamiento indicado para las patologías psicológicas </w:t>
      </w:r>
      <w:r w:rsidR="00AE6C86" w:rsidRPr="006F1824">
        <w:t>de la demandante q</w:t>
      </w:r>
      <w:r w:rsidRPr="006F1824">
        <w:t>ue permitiera</w:t>
      </w:r>
      <w:r w:rsidR="00AE6C86" w:rsidRPr="006F1824">
        <w:t>n</w:t>
      </w:r>
      <w:r w:rsidRPr="006F1824">
        <w:t xml:space="preserve"> identificar el grado de mejor</w:t>
      </w:r>
      <w:r w:rsidR="00AE6C86" w:rsidRPr="006F1824">
        <w:t>ía o deterioro definitivo, la evolución y la intensidad de la enfermedad, para así asignarle un puntaje por deficiencia, seg</w:t>
      </w:r>
      <w:r w:rsidR="0035649D" w:rsidRPr="006F1824">
        <w:t>ún lo establecido en los</w:t>
      </w:r>
      <w:r w:rsidR="00AE6C86" w:rsidRPr="006F1824">
        <w:t xml:space="preserve"> </w:t>
      </w:r>
      <w:r w:rsidR="0035649D" w:rsidRPr="006F1824">
        <w:t>artículos 13.3.2 y 13.3.3 del mentado Decreto. Por consiguiente, ningún reparo merece el dictamen expedido por el ente calificador.</w:t>
      </w:r>
    </w:p>
    <w:p w14:paraId="336E17E5" w14:textId="77777777" w:rsidR="0035649D" w:rsidRPr="006F1824" w:rsidRDefault="0035649D" w:rsidP="006F1824">
      <w:pPr>
        <w:pStyle w:val="Prrafonormal"/>
        <w:spacing w:line="276" w:lineRule="auto"/>
      </w:pPr>
    </w:p>
    <w:p w14:paraId="3A7E0C45" w14:textId="72FD7A88" w:rsidR="009D0260" w:rsidRPr="006F1824" w:rsidRDefault="0035649D" w:rsidP="006F1824">
      <w:pPr>
        <w:pStyle w:val="Prrafonormal"/>
        <w:spacing w:line="276" w:lineRule="auto"/>
      </w:pPr>
      <w:r w:rsidRPr="006F1824">
        <w:t>Es importante mencionar</w:t>
      </w:r>
      <w:r w:rsidR="0019302F" w:rsidRPr="006F1824">
        <w:t xml:space="preserve"> que</w:t>
      </w:r>
      <w:r w:rsidR="00B97736" w:rsidRPr="006F1824">
        <w:t xml:space="preserve"> </w:t>
      </w:r>
      <w:r w:rsidR="009D0260" w:rsidRPr="006F1824">
        <w:t>la</w:t>
      </w:r>
      <w:r w:rsidRPr="006F1824">
        <w:t xml:space="preserve"> parte</w:t>
      </w:r>
      <w:r w:rsidR="009D0260" w:rsidRPr="006F1824">
        <w:t xml:space="preserve"> demandante </w:t>
      </w:r>
      <w:r w:rsidR="0019302F" w:rsidRPr="006F1824">
        <w:t xml:space="preserve">no </w:t>
      </w:r>
      <w:r w:rsidR="009D0260" w:rsidRPr="006F1824">
        <w:t xml:space="preserve">controvirtió </w:t>
      </w:r>
      <w:r w:rsidRPr="006F1824">
        <w:t>el dictamen</w:t>
      </w:r>
      <w:r w:rsidR="009D0260" w:rsidRPr="006F1824">
        <w:t xml:space="preserve"> cuando tuvo la oportunidad para hacerlo, conforme a la regulación establecida en el Código General del Proceso y aplicable al proceso laboral en virtud del artículo 145 CPL</w:t>
      </w:r>
      <w:r w:rsidR="0062600C" w:rsidRPr="006F1824">
        <w:t>;</w:t>
      </w:r>
      <w:r w:rsidR="0019302F" w:rsidRPr="006F1824">
        <w:t xml:space="preserve"> ya que t</w:t>
      </w:r>
      <w:r w:rsidR="00B968BD" w:rsidRPr="006F1824">
        <w:t xml:space="preserve">enía la </w:t>
      </w:r>
      <w:r w:rsidR="00237682" w:rsidRPr="006F1824">
        <w:t>facultad</w:t>
      </w:r>
      <w:r w:rsidR="00B968BD" w:rsidRPr="006F1824">
        <w:t xml:space="preserve"> para recurrir dicha experticia allegando otro dictamen de una autoridad diferente a las Juntas Regional o Nacional de Calificación, podía presentar el dictamen de cualquier ente especializado en</w:t>
      </w:r>
      <w:r w:rsidRPr="006F1824">
        <w:t xml:space="preserve"> el asunto objeto de valoración, incluso pudo solicitar el interrogatorio de los profesionales de la JUNTA NACIONAL y/o REGIONAL DE CALDAS</w:t>
      </w:r>
      <w:r w:rsidR="00B968BD" w:rsidRPr="006F1824">
        <w:t xml:space="preserve"> </w:t>
      </w:r>
      <w:r w:rsidRPr="006F1824">
        <w:t xml:space="preserve">en la audiencia, a fin de que efectuaran la rendición de informe respecto de cada una de las inconformidades en la calificación, preguntando el método utilizado y las razones médico científicas en que basaron el porcentaje asignado a la actora, </w:t>
      </w:r>
      <w:r w:rsidR="00B968BD" w:rsidRPr="006F1824">
        <w:t>pero no lo hizo.</w:t>
      </w:r>
      <w:r w:rsidR="00237682" w:rsidRPr="006F1824">
        <w:t xml:space="preserve"> </w:t>
      </w:r>
      <w:r w:rsidR="0019302F" w:rsidRPr="006F1824">
        <w:t>Y es que,</w:t>
      </w:r>
      <w:r w:rsidRPr="006F1824">
        <w:t xml:space="preserve"> recuérdese que</w:t>
      </w:r>
      <w:r w:rsidR="00237682" w:rsidRPr="006F1824">
        <w:t xml:space="preserve"> la jurisprudencia de las Altas Cortes señala que los dictámenes no </w:t>
      </w:r>
      <w:r w:rsidR="00B305E5" w:rsidRPr="006F1824">
        <w:t xml:space="preserve">constituyen una prueba definitiva, incuestionable o inmodificable en el marco del proceso ordinario, ni muchos menos una prueba de carácter ad </w:t>
      </w:r>
      <w:r w:rsidR="00B305E5" w:rsidRPr="006F1824">
        <w:rPr>
          <w:i/>
        </w:rPr>
        <w:t>substantiam actus</w:t>
      </w:r>
      <w:r w:rsidR="0019302F" w:rsidRPr="006F1824">
        <w:t>;</w:t>
      </w:r>
      <w:r w:rsidR="00B305E5" w:rsidRPr="006F1824">
        <w:t xml:space="preserve"> por lo que, el juez puede valorarlo para formación del convencimiento, siempre y cuando, </w:t>
      </w:r>
      <w:r w:rsidR="00B305E5" w:rsidRPr="006F1824">
        <w:rPr>
          <w:b/>
        </w:rPr>
        <w:t>se evidencie error protuberante o que falte a la verdad</w:t>
      </w:r>
      <w:r w:rsidR="00B305E5" w:rsidRPr="006F1824">
        <w:t>; sin embargo, ello no sucede en este caso, pues se reitera, no se encuentra material probatorio</w:t>
      </w:r>
      <w:r w:rsidRPr="006F1824">
        <w:t xml:space="preserve"> suficiente, pertinente, conducente y útil</w:t>
      </w:r>
      <w:r w:rsidR="00B305E5" w:rsidRPr="006F1824">
        <w:t xml:space="preserve"> que permita concluir lo contrario a lo dictaminado por las Juntas</w:t>
      </w:r>
      <w:r w:rsidRPr="006F1824">
        <w:t xml:space="preserve"> de Calificación</w:t>
      </w:r>
      <w:r w:rsidR="00B305E5" w:rsidRPr="006F1824">
        <w:t>.</w:t>
      </w:r>
    </w:p>
    <w:p w14:paraId="14722C1A" w14:textId="5A1EF725" w:rsidR="0062600C" w:rsidRPr="006F1824" w:rsidRDefault="0062600C" w:rsidP="006F1824">
      <w:pPr>
        <w:pStyle w:val="Prrafonormal"/>
        <w:spacing w:line="276" w:lineRule="auto"/>
      </w:pPr>
    </w:p>
    <w:p w14:paraId="30C4C188" w14:textId="77C8596F" w:rsidR="0019302F" w:rsidRPr="006F1824" w:rsidRDefault="0035649D" w:rsidP="006F1824">
      <w:pPr>
        <w:pStyle w:val="Prrafonormal"/>
        <w:spacing w:line="276" w:lineRule="auto"/>
      </w:pPr>
      <w:r w:rsidRPr="006F1824">
        <w:t>Así las cosas, e</w:t>
      </w:r>
      <w:r w:rsidR="0019302F" w:rsidRPr="006F1824">
        <w:t xml:space="preserve">sta Sala de Decisión concluye que, </w:t>
      </w:r>
      <w:r w:rsidRPr="006F1824">
        <w:t xml:space="preserve">el dictamen del 11-03-2020 emitido por la JUNTA NACIONAL DE CALIFICACIÓN DE LA INVALIDEZ, no presenta </w:t>
      </w:r>
      <w:r w:rsidR="0019302F" w:rsidRPr="006F1824">
        <w:t>error</w:t>
      </w:r>
      <w:r w:rsidRPr="006F1824">
        <w:t xml:space="preserve"> alguno, </w:t>
      </w:r>
      <w:r w:rsidR="0019302F" w:rsidRPr="006F1824">
        <w:t>pues</w:t>
      </w:r>
      <w:r w:rsidRPr="006F1824">
        <w:t xml:space="preserve"> el proceso</w:t>
      </w:r>
      <w:r w:rsidR="0019302F" w:rsidRPr="006F1824">
        <w:t xml:space="preserve"> </w:t>
      </w:r>
      <w:r w:rsidRPr="006F1824">
        <w:t xml:space="preserve">para determinar el porcentaje de invalidez de la demandante </w:t>
      </w:r>
      <w:r w:rsidR="0019302F" w:rsidRPr="006F1824">
        <w:t xml:space="preserve">se acopla a las reglas, </w:t>
      </w:r>
      <w:r w:rsidR="001607B8" w:rsidRPr="006F1824">
        <w:t xml:space="preserve">valores </w:t>
      </w:r>
      <w:r w:rsidR="0019302F" w:rsidRPr="006F1824">
        <w:t xml:space="preserve">y demás disposiciones establecidas en el Manual Único para la Calificación de la </w:t>
      </w:r>
      <w:r w:rsidR="0019302F" w:rsidRPr="006F1824">
        <w:lastRenderedPageBreak/>
        <w:t>Pérdida de la Capacidad Laboral Ocupacional del Decreto 1507 de 2014.</w:t>
      </w:r>
      <w:r w:rsidR="001607B8" w:rsidRPr="006F1824">
        <w:t xml:space="preserve"> De modo que, </w:t>
      </w:r>
      <w:r w:rsidR="00B70060" w:rsidRPr="006F1824">
        <w:t xml:space="preserve">se CONFIRMARÁ la sentencia </w:t>
      </w:r>
      <w:r w:rsidR="001607B8" w:rsidRPr="006F1824">
        <w:t>apelada.</w:t>
      </w:r>
    </w:p>
    <w:p w14:paraId="0B7D5DB1" w14:textId="0CC56529" w:rsidR="0013043D" w:rsidRPr="006F1824" w:rsidRDefault="0013043D" w:rsidP="006F1824">
      <w:pPr>
        <w:pStyle w:val="Prrafonormal"/>
        <w:spacing w:line="276" w:lineRule="auto"/>
      </w:pPr>
    </w:p>
    <w:p w14:paraId="3402EEAB" w14:textId="37000581" w:rsidR="0013043D" w:rsidRPr="006F1824" w:rsidRDefault="0078480C" w:rsidP="006F1824">
      <w:pPr>
        <w:pStyle w:val="Prrafonormal"/>
        <w:spacing w:line="276" w:lineRule="auto"/>
      </w:pPr>
      <w:r w:rsidRPr="006F1824">
        <w:rPr>
          <w:b/>
        </w:rPr>
        <w:t>3</w:t>
      </w:r>
      <w:r w:rsidR="0013043D" w:rsidRPr="006F1824">
        <w:rPr>
          <w:b/>
        </w:rPr>
        <w:t>. Costas</w:t>
      </w:r>
    </w:p>
    <w:p w14:paraId="0173DBDC" w14:textId="13E910DA" w:rsidR="009D1796" w:rsidRPr="006F1824" w:rsidRDefault="009D1796" w:rsidP="006F1824">
      <w:pPr>
        <w:pStyle w:val="Prrafonormal"/>
        <w:spacing w:line="276" w:lineRule="auto"/>
      </w:pPr>
    </w:p>
    <w:p w14:paraId="6F38497E" w14:textId="42B936D7" w:rsidR="0013043D" w:rsidRPr="006F1824" w:rsidRDefault="001607B8" w:rsidP="006F1824">
      <w:pPr>
        <w:pStyle w:val="Prrafonormal"/>
        <w:spacing w:line="276" w:lineRule="auto"/>
      </w:pPr>
      <w:r w:rsidRPr="006F1824">
        <w:t>Costas a cargo de la parte demandante, en favor de la entidad demandada.</w:t>
      </w:r>
    </w:p>
    <w:p w14:paraId="60C25D58" w14:textId="1B83E3E5" w:rsidR="007276C0" w:rsidRPr="006F1824" w:rsidRDefault="007276C0" w:rsidP="006F1824">
      <w:pPr>
        <w:pStyle w:val="Prrafonormal"/>
        <w:spacing w:line="276" w:lineRule="auto"/>
      </w:pPr>
    </w:p>
    <w:p w14:paraId="2F06D10F" w14:textId="39E4AB9E" w:rsidR="00C0752E" w:rsidRPr="006F1824" w:rsidRDefault="008D3E1D" w:rsidP="006F1824">
      <w:pPr>
        <w:spacing w:after="0"/>
        <w:jc w:val="both"/>
        <w:rPr>
          <w:rFonts w:ascii="Bookman Old Style" w:hAnsi="Bookman Old Style" w:cs="Arial"/>
          <w:iCs/>
          <w:sz w:val="24"/>
          <w:szCs w:val="24"/>
          <w:lang w:eastAsia="es-ES"/>
        </w:rPr>
      </w:pPr>
      <w:r w:rsidRPr="006F1824">
        <w:rPr>
          <w:rFonts w:ascii="Bookman Old Style" w:hAnsi="Bookman Old Style" w:cs="Calibri"/>
          <w:sz w:val="24"/>
          <w:szCs w:val="24"/>
        </w:rPr>
        <w:t xml:space="preserve">Por lo expuesto </w:t>
      </w:r>
      <w:r w:rsidRPr="006F1824">
        <w:rPr>
          <w:rFonts w:ascii="Bookman Old Style" w:hAnsi="Bookman Old Style" w:cs="Calibri"/>
          <w:b/>
          <w:sz w:val="24"/>
          <w:szCs w:val="24"/>
        </w:rPr>
        <w:t xml:space="preserve">la Sala de Decisión Laboral del Tribunal Superior del Distrito Judicial de </w:t>
      </w:r>
      <w:r w:rsidR="00641062" w:rsidRPr="006F1824">
        <w:rPr>
          <w:rFonts w:ascii="Bookman Old Style" w:hAnsi="Bookman Old Style" w:cs="Calibri"/>
          <w:b/>
          <w:sz w:val="24"/>
          <w:szCs w:val="24"/>
        </w:rPr>
        <w:t>Pereira</w:t>
      </w:r>
      <w:r w:rsidRPr="006F1824">
        <w:rPr>
          <w:rFonts w:ascii="Bookman Old Style" w:hAnsi="Bookman Old Style" w:cs="Calibri"/>
          <w:sz w:val="24"/>
          <w:szCs w:val="24"/>
        </w:rPr>
        <w:t>, administrando justicia en nombre de la República y por autoridad de la ley.</w:t>
      </w:r>
    </w:p>
    <w:p w14:paraId="338F0338" w14:textId="77777777" w:rsidR="00C0752E" w:rsidRPr="006F1824" w:rsidRDefault="00C0752E" w:rsidP="006F1824">
      <w:pPr>
        <w:spacing w:after="0"/>
        <w:jc w:val="both"/>
        <w:rPr>
          <w:rFonts w:ascii="Bookman Old Style" w:hAnsi="Bookman Old Style" w:cs="Arial"/>
          <w:iCs/>
          <w:sz w:val="24"/>
          <w:szCs w:val="24"/>
          <w:lang w:eastAsia="es-ES"/>
        </w:rPr>
      </w:pPr>
    </w:p>
    <w:p w14:paraId="7005FF23" w14:textId="3903C019" w:rsidR="00802CD1" w:rsidRPr="006F1824" w:rsidRDefault="009E7CBE" w:rsidP="006F1824">
      <w:pPr>
        <w:spacing w:after="0"/>
        <w:ind w:firstLine="440"/>
        <w:jc w:val="center"/>
        <w:rPr>
          <w:rFonts w:ascii="Bookman Old Style" w:eastAsia="Times New Roman" w:hAnsi="Bookman Old Style"/>
          <w:b/>
          <w:sz w:val="24"/>
          <w:szCs w:val="24"/>
        </w:rPr>
      </w:pPr>
      <w:r w:rsidRPr="006F1824">
        <w:rPr>
          <w:rFonts w:ascii="Bookman Old Style" w:eastAsia="Times New Roman" w:hAnsi="Bookman Old Style"/>
          <w:b/>
          <w:sz w:val="24"/>
          <w:szCs w:val="24"/>
        </w:rPr>
        <w:t>RESUELVE</w:t>
      </w:r>
    </w:p>
    <w:p w14:paraId="47255B54" w14:textId="77777777" w:rsidR="00802CD1" w:rsidRPr="006F1824" w:rsidRDefault="00802CD1" w:rsidP="006F1824">
      <w:pPr>
        <w:pStyle w:val="Prrafodelista"/>
        <w:spacing w:after="0"/>
        <w:rPr>
          <w:rFonts w:ascii="Bookman Old Style" w:eastAsia="Times New Roman" w:hAnsi="Bookman Old Style"/>
          <w:bCs/>
          <w:sz w:val="24"/>
          <w:szCs w:val="24"/>
        </w:rPr>
      </w:pPr>
    </w:p>
    <w:p w14:paraId="6A7B07D7" w14:textId="6A94626B" w:rsidR="0013043D" w:rsidRPr="006F1824" w:rsidRDefault="001E45C4" w:rsidP="006F1824">
      <w:pPr>
        <w:spacing w:after="0"/>
        <w:ind w:right="284"/>
        <w:jc w:val="both"/>
        <w:rPr>
          <w:rFonts w:ascii="Bookman Old Style" w:eastAsia="Times New Roman" w:hAnsi="Bookman Old Style"/>
          <w:bCs/>
          <w:sz w:val="24"/>
          <w:szCs w:val="24"/>
        </w:rPr>
      </w:pPr>
      <w:r w:rsidRPr="006F1824">
        <w:rPr>
          <w:rFonts w:ascii="Bookman Old Style" w:eastAsia="Times New Roman" w:hAnsi="Bookman Old Style"/>
          <w:b/>
          <w:sz w:val="24"/>
          <w:szCs w:val="24"/>
        </w:rPr>
        <w:t>PRIMERO:</w:t>
      </w:r>
      <w:r w:rsidRPr="006F1824">
        <w:rPr>
          <w:rFonts w:ascii="Bookman Old Style" w:eastAsia="Times New Roman" w:hAnsi="Bookman Old Style"/>
          <w:bCs/>
          <w:sz w:val="24"/>
          <w:szCs w:val="24"/>
        </w:rPr>
        <w:t xml:space="preserve"> </w:t>
      </w:r>
      <w:r w:rsidR="0013043D" w:rsidRPr="006F1824">
        <w:rPr>
          <w:rFonts w:ascii="Bookman Old Style" w:eastAsia="Times New Roman" w:hAnsi="Bookman Old Style"/>
          <w:b/>
          <w:bCs/>
          <w:sz w:val="24"/>
          <w:szCs w:val="24"/>
        </w:rPr>
        <w:t xml:space="preserve">CONFIRMAR </w:t>
      </w:r>
      <w:r w:rsidR="0013043D" w:rsidRPr="006F1824">
        <w:rPr>
          <w:rFonts w:ascii="Bookman Old Style" w:eastAsia="Times New Roman" w:hAnsi="Bookman Old Style"/>
          <w:bCs/>
          <w:sz w:val="24"/>
          <w:szCs w:val="24"/>
        </w:rPr>
        <w:t>en todo</w:t>
      </w:r>
      <w:r w:rsidR="0078480C" w:rsidRPr="006F1824">
        <w:rPr>
          <w:rFonts w:ascii="Bookman Old Style" w:eastAsia="Times New Roman" w:hAnsi="Bookman Old Style"/>
          <w:bCs/>
          <w:sz w:val="24"/>
          <w:szCs w:val="24"/>
        </w:rPr>
        <w:t>,</w:t>
      </w:r>
      <w:r w:rsidR="0013043D" w:rsidRPr="006F1824">
        <w:rPr>
          <w:rFonts w:ascii="Bookman Old Style" w:eastAsia="Times New Roman" w:hAnsi="Bookman Old Style"/>
          <w:bCs/>
          <w:sz w:val="24"/>
          <w:szCs w:val="24"/>
        </w:rPr>
        <w:t xml:space="preserve"> la sentencia de primera instancia.</w:t>
      </w:r>
    </w:p>
    <w:p w14:paraId="1D3E948C" w14:textId="77777777" w:rsidR="0013043D" w:rsidRPr="006F1824" w:rsidRDefault="0013043D" w:rsidP="006F1824">
      <w:pPr>
        <w:spacing w:after="0"/>
        <w:ind w:right="284"/>
        <w:jc w:val="both"/>
        <w:rPr>
          <w:rFonts w:ascii="Bookman Old Style" w:eastAsia="Times New Roman" w:hAnsi="Bookman Old Style"/>
          <w:bCs/>
          <w:sz w:val="24"/>
          <w:szCs w:val="24"/>
        </w:rPr>
      </w:pPr>
    </w:p>
    <w:p w14:paraId="41785F94" w14:textId="6A5F54AB" w:rsidR="0024432B" w:rsidRPr="006F1824" w:rsidRDefault="0078480C" w:rsidP="006F1824">
      <w:pPr>
        <w:spacing w:after="0"/>
        <w:ind w:right="284"/>
        <w:jc w:val="both"/>
        <w:rPr>
          <w:rFonts w:ascii="Bookman Old Style" w:eastAsia="Times New Roman" w:hAnsi="Bookman Old Style"/>
          <w:bCs/>
          <w:sz w:val="24"/>
          <w:szCs w:val="24"/>
        </w:rPr>
      </w:pPr>
      <w:r w:rsidRPr="006F1824">
        <w:rPr>
          <w:rFonts w:ascii="Bookman Old Style" w:eastAsia="Times New Roman" w:hAnsi="Bookman Old Style"/>
          <w:b/>
          <w:bCs/>
          <w:sz w:val="24"/>
          <w:szCs w:val="24"/>
        </w:rPr>
        <w:t>SEGUNDO</w:t>
      </w:r>
      <w:r w:rsidR="001607B8" w:rsidRPr="006F1824">
        <w:rPr>
          <w:rFonts w:ascii="Bookman Old Style" w:eastAsia="Times New Roman" w:hAnsi="Bookman Old Style"/>
          <w:b/>
          <w:bCs/>
          <w:sz w:val="24"/>
          <w:szCs w:val="24"/>
        </w:rPr>
        <w:t>:</w:t>
      </w:r>
      <w:r w:rsidRPr="006F1824">
        <w:rPr>
          <w:rFonts w:ascii="Bookman Old Style" w:eastAsia="Times New Roman" w:hAnsi="Bookman Old Style"/>
          <w:b/>
          <w:bCs/>
          <w:sz w:val="24"/>
          <w:szCs w:val="24"/>
        </w:rPr>
        <w:t xml:space="preserve"> COSTAS</w:t>
      </w:r>
      <w:r w:rsidR="001607B8" w:rsidRPr="006F1824">
        <w:rPr>
          <w:rFonts w:ascii="Bookman Old Style" w:eastAsia="Times New Roman" w:hAnsi="Bookman Old Style"/>
          <w:b/>
          <w:bCs/>
          <w:sz w:val="24"/>
          <w:szCs w:val="24"/>
        </w:rPr>
        <w:t xml:space="preserve"> </w:t>
      </w:r>
      <w:r w:rsidR="001607B8" w:rsidRPr="006F1824">
        <w:rPr>
          <w:rFonts w:ascii="Bookman Old Style" w:eastAsia="Times New Roman" w:hAnsi="Bookman Old Style"/>
          <w:bCs/>
          <w:sz w:val="24"/>
          <w:szCs w:val="24"/>
        </w:rPr>
        <w:t>a cargo de la parte demandante</w:t>
      </w:r>
      <w:r w:rsidRPr="006F1824">
        <w:rPr>
          <w:rFonts w:ascii="Bookman Old Style" w:eastAsia="Times New Roman" w:hAnsi="Bookman Old Style"/>
          <w:bCs/>
          <w:sz w:val="24"/>
          <w:szCs w:val="24"/>
        </w:rPr>
        <w:t>.</w:t>
      </w:r>
    </w:p>
    <w:p w14:paraId="32158A26" w14:textId="699FBE55" w:rsidR="009E7CBE" w:rsidRPr="006F1824" w:rsidRDefault="009E7CBE" w:rsidP="006F1824">
      <w:pPr>
        <w:spacing w:after="0"/>
        <w:contextualSpacing/>
        <w:jc w:val="both"/>
        <w:rPr>
          <w:rFonts w:ascii="Bookman Old Style" w:eastAsia="Times New Roman" w:hAnsi="Bookman Old Style"/>
          <w:sz w:val="24"/>
          <w:szCs w:val="24"/>
        </w:rPr>
      </w:pPr>
    </w:p>
    <w:p w14:paraId="3055A449" w14:textId="0630BF2B" w:rsidR="00AF6197" w:rsidRPr="006F1824" w:rsidRDefault="00AF6197" w:rsidP="006F1824">
      <w:pPr>
        <w:spacing w:after="0"/>
        <w:contextualSpacing/>
        <w:jc w:val="center"/>
        <w:rPr>
          <w:rFonts w:ascii="Bookman Old Style" w:eastAsia="Times New Roman" w:hAnsi="Bookman Old Style"/>
          <w:b/>
          <w:sz w:val="24"/>
          <w:szCs w:val="24"/>
        </w:rPr>
      </w:pPr>
      <w:r w:rsidRPr="006F1824">
        <w:rPr>
          <w:rFonts w:ascii="Bookman Old Style" w:eastAsia="Times New Roman" w:hAnsi="Bookman Old Style"/>
          <w:b/>
          <w:sz w:val="24"/>
          <w:szCs w:val="24"/>
        </w:rPr>
        <w:t>NOTIFÍQUESE Y CÚMPLASE</w:t>
      </w:r>
    </w:p>
    <w:p w14:paraId="5D94DB72" w14:textId="77777777" w:rsidR="00AF6197" w:rsidRPr="006F1824" w:rsidRDefault="00AF6197" w:rsidP="006F1824">
      <w:pPr>
        <w:spacing w:after="0"/>
        <w:contextualSpacing/>
        <w:jc w:val="both"/>
        <w:rPr>
          <w:rFonts w:ascii="Bookman Old Style" w:eastAsia="Times New Roman" w:hAnsi="Bookman Old Style"/>
          <w:sz w:val="24"/>
          <w:szCs w:val="24"/>
        </w:rPr>
      </w:pPr>
    </w:p>
    <w:p w14:paraId="7F619BA8" w14:textId="77777777" w:rsidR="002E323F" w:rsidRPr="006F1824" w:rsidRDefault="009E7CBE" w:rsidP="006F1824">
      <w:pPr>
        <w:spacing w:after="0"/>
        <w:jc w:val="both"/>
        <w:rPr>
          <w:rFonts w:ascii="Bookman Old Style" w:eastAsia="Times New Roman" w:hAnsi="Bookman Old Style"/>
          <w:sz w:val="24"/>
          <w:szCs w:val="24"/>
        </w:rPr>
      </w:pPr>
      <w:r w:rsidRPr="006F1824">
        <w:rPr>
          <w:rFonts w:ascii="Bookman Old Style" w:eastAsia="Times New Roman" w:hAnsi="Bookman Old Style"/>
          <w:sz w:val="24"/>
          <w:szCs w:val="24"/>
        </w:rPr>
        <w:t>Los Magistrados,</w:t>
      </w:r>
    </w:p>
    <w:p w14:paraId="5FED6356" w14:textId="38181A34" w:rsidR="00F744BE" w:rsidRDefault="00F744BE" w:rsidP="006F1824">
      <w:pPr>
        <w:spacing w:after="0"/>
        <w:jc w:val="both"/>
        <w:rPr>
          <w:rFonts w:ascii="Bookman Old Style" w:eastAsia="Times New Roman" w:hAnsi="Bookman Old Style"/>
          <w:bCs/>
          <w:sz w:val="24"/>
          <w:szCs w:val="24"/>
        </w:rPr>
      </w:pPr>
    </w:p>
    <w:p w14:paraId="0FB20E0B" w14:textId="7E3D5C30" w:rsidR="006F1824" w:rsidRDefault="006F1824" w:rsidP="006F1824">
      <w:pPr>
        <w:spacing w:after="0"/>
        <w:jc w:val="both"/>
        <w:rPr>
          <w:rFonts w:ascii="Bookman Old Style" w:eastAsia="Times New Roman" w:hAnsi="Bookman Old Style"/>
          <w:bCs/>
          <w:sz w:val="24"/>
          <w:szCs w:val="24"/>
        </w:rPr>
      </w:pPr>
    </w:p>
    <w:p w14:paraId="13069C5E" w14:textId="77777777" w:rsidR="001572D1" w:rsidRPr="006F1824" w:rsidRDefault="001572D1" w:rsidP="006F1824">
      <w:pPr>
        <w:spacing w:after="0"/>
        <w:jc w:val="both"/>
        <w:rPr>
          <w:rFonts w:ascii="Bookman Old Style" w:eastAsia="Times New Roman" w:hAnsi="Bookman Old Style"/>
          <w:bCs/>
          <w:sz w:val="24"/>
          <w:szCs w:val="24"/>
        </w:rPr>
      </w:pPr>
    </w:p>
    <w:p w14:paraId="10D360A1" w14:textId="77777777" w:rsidR="009E7CBE" w:rsidRPr="006F1824" w:rsidRDefault="009E7CBE" w:rsidP="006F1824">
      <w:pPr>
        <w:spacing w:after="0"/>
        <w:jc w:val="center"/>
        <w:rPr>
          <w:rFonts w:ascii="Bookman Old Style" w:eastAsia="Times New Roman" w:hAnsi="Bookman Old Style"/>
          <w:b/>
          <w:bCs/>
          <w:sz w:val="24"/>
          <w:szCs w:val="24"/>
        </w:rPr>
      </w:pPr>
      <w:r w:rsidRPr="006F1824">
        <w:rPr>
          <w:rFonts w:ascii="Bookman Old Style" w:eastAsia="Times New Roman" w:hAnsi="Bookman Old Style"/>
          <w:b/>
          <w:bCs/>
          <w:sz w:val="24"/>
          <w:szCs w:val="24"/>
        </w:rPr>
        <w:t>GERMÁN DARÍO GÓEZ VINASCO</w:t>
      </w:r>
    </w:p>
    <w:p w14:paraId="6323BF35" w14:textId="2263722A" w:rsidR="00D34AA5" w:rsidRDefault="00D34AA5" w:rsidP="006F1824">
      <w:pPr>
        <w:spacing w:after="0"/>
        <w:jc w:val="both"/>
        <w:rPr>
          <w:rFonts w:ascii="Bookman Old Style" w:eastAsia="Times New Roman" w:hAnsi="Bookman Old Style"/>
          <w:bCs/>
          <w:sz w:val="24"/>
          <w:szCs w:val="24"/>
        </w:rPr>
      </w:pPr>
    </w:p>
    <w:p w14:paraId="5C1F81E8" w14:textId="53F7F00D" w:rsidR="006F1824" w:rsidRDefault="006F1824" w:rsidP="006F1824">
      <w:pPr>
        <w:spacing w:after="0"/>
        <w:jc w:val="both"/>
        <w:rPr>
          <w:rFonts w:ascii="Bookman Old Style" w:eastAsia="Times New Roman" w:hAnsi="Bookman Old Style"/>
          <w:bCs/>
          <w:sz w:val="24"/>
          <w:szCs w:val="24"/>
        </w:rPr>
      </w:pPr>
    </w:p>
    <w:p w14:paraId="69C111C4" w14:textId="77777777" w:rsidR="001572D1" w:rsidRPr="006F1824" w:rsidRDefault="001572D1" w:rsidP="006F1824">
      <w:pPr>
        <w:spacing w:after="0"/>
        <w:jc w:val="both"/>
        <w:rPr>
          <w:rFonts w:ascii="Bookman Old Style" w:eastAsia="Times New Roman" w:hAnsi="Bookman Old Style"/>
          <w:bCs/>
          <w:sz w:val="24"/>
          <w:szCs w:val="24"/>
        </w:rPr>
      </w:pPr>
    </w:p>
    <w:p w14:paraId="6D2FB872" w14:textId="58FFB71A" w:rsidR="007E6812" w:rsidRPr="006F1824" w:rsidRDefault="007E6812" w:rsidP="006F1824">
      <w:pPr>
        <w:spacing w:after="0"/>
        <w:jc w:val="center"/>
        <w:rPr>
          <w:rFonts w:ascii="Bookman Old Style" w:hAnsi="Bookman Old Style"/>
          <w:b/>
          <w:sz w:val="24"/>
          <w:szCs w:val="24"/>
        </w:rPr>
      </w:pPr>
      <w:r w:rsidRPr="006F1824">
        <w:rPr>
          <w:rFonts w:ascii="Bookman Old Style" w:hAnsi="Bookman Old Style"/>
          <w:b/>
          <w:sz w:val="24"/>
          <w:szCs w:val="24"/>
        </w:rPr>
        <w:t>OLGA LUCIA HOYOS SEPÚLVEDA</w:t>
      </w:r>
    </w:p>
    <w:p w14:paraId="447A4C2C" w14:textId="12BA4C98" w:rsidR="007E6812" w:rsidRDefault="007E6812" w:rsidP="006F1824">
      <w:pPr>
        <w:spacing w:after="0"/>
        <w:jc w:val="both"/>
        <w:rPr>
          <w:rFonts w:ascii="Bookman Old Style" w:hAnsi="Bookman Old Style"/>
          <w:sz w:val="24"/>
          <w:szCs w:val="24"/>
        </w:rPr>
      </w:pPr>
    </w:p>
    <w:p w14:paraId="10190D1B" w14:textId="31321449" w:rsidR="006F1824" w:rsidRDefault="006F1824" w:rsidP="006F1824">
      <w:pPr>
        <w:spacing w:after="0"/>
        <w:jc w:val="both"/>
        <w:rPr>
          <w:rFonts w:ascii="Bookman Old Style" w:hAnsi="Bookman Old Style"/>
          <w:sz w:val="24"/>
          <w:szCs w:val="24"/>
        </w:rPr>
      </w:pPr>
    </w:p>
    <w:p w14:paraId="694105F7" w14:textId="77777777" w:rsidR="001572D1" w:rsidRPr="006F1824" w:rsidRDefault="001572D1" w:rsidP="006F1824">
      <w:pPr>
        <w:spacing w:after="0"/>
        <w:jc w:val="both"/>
        <w:rPr>
          <w:rFonts w:ascii="Bookman Old Style" w:hAnsi="Bookman Old Style"/>
          <w:sz w:val="24"/>
          <w:szCs w:val="24"/>
        </w:rPr>
      </w:pPr>
    </w:p>
    <w:p w14:paraId="7D6D9E20" w14:textId="1F2ADA8A" w:rsidR="002317CC" w:rsidRPr="006F1824" w:rsidRDefault="007E6812" w:rsidP="006F1824">
      <w:pPr>
        <w:spacing w:after="0"/>
        <w:jc w:val="center"/>
        <w:rPr>
          <w:rFonts w:ascii="Bookman Old Style" w:hAnsi="Bookman Old Style"/>
          <w:b/>
          <w:bCs/>
          <w:sz w:val="24"/>
          <w:szCs w:val="24"/>
        </w:rPr>
      </w:pPr>
      <w:r w:rsidRPr="006F1824">
        <w:rPr>
          <w:rFonts w:ascii="Bookman Old Style" w:hAnsi="Bookman Old Style"/>
          <w:b/>
          <w:bCs/>
          <w:sz w:val="24"/>
          <w:szCs w:val="24"/>
        </w:rPr>
        <w:t>JULIO CÉSAR SALAZAR MUÑOZ</w:t>
      </w:r>
    </w:p>
    <w:sectPr w:rsidR="002317CC" w:rsidRPr="006F1824" w:rsidSect="006F1824">
      <w:headerReference w:type="default" r:id="rId12"/>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C097DF" w16cex:dateUtc="2023-06-29T21:59:20.238Z"/>
  <w16cex:commentExtensible w16cex:durableId="27913F0A" w16cex:dateUtc="2023-11-08T13:17:06.529Z"/>
  <w16cex:commentExtensible w16cex:durableId="6F784A4A" w16cex:dateUtc="2023-11-08T22:40:42.113Z"/>
</w16cex:commentsExtensible>
</file>

<file path=word/commentsIds.xml><?xml version="1.0" encoding="utf-8"?>
<w16cid:commentsIds xmlns:mc="http://schemas.openxmlformats.org/markup-compatibility/2006" xmlns:w16cid="http://schemas.microsoft.com/office/word/2016/wordml/cid" mc:Ignorable="w16cid">
  <w16cid:commentId w16cid:paraId="09D1B540" w16cid:durableId="7CC097DF"/>
  <w16cid:commentId w16cid:paraId="71D2E6A7" w16cid:durableId="27913F0A"/>
  <w16cid:commentId w16cid:paraId="7BB7E70F" w16cid:durableId="6F784A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916C" w14:textId="77777777" w:rsidR="003F22DB" w:rsidRDefault="003F22DB" w:rsidP="009E7CBE">
      <w:pPr>
        <w:spacing w:after="0" w:line="240" w:lineRule="auto"/>
      </w:pPr>
      <w:r>
        <w:separator/>
      </w:r>
    </w:p>
  </w:endnote>
  <w:endnote w:type="continuationSeparator" w:id="0">
    <w:p w14:paraId="3353D0BD" w14:textId="77777777" w:rsidR="003F22DB" w:rsidRDefault="003F22DB" w:rsidP="009E7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E55D" w14:textId="77777777" w:rsidR="003F22DB" w:rsidRDefault="003F22DB" w:rsidP="009E7CBE">
      <w:pPr>
        <w:spacing w:after="0" w:line="240" w:lineRule="auto"/>
      </w:pPr>
      <w:r>
        <w:separator/>
      </w:r>
    </w:p>
  </w:footnote>
  <w:footnote w:type="continuationSeparator" w:id="0">
    <w:p w14:paraId="31F6850B" w14:textId="77777777" w:rsidR="003F22DB" w:rsidRDefault="003F22DB" w:rsidP="009E7CBE">
      <w:pPr>
        <w:spacing w:after="0" w:line="240" w:lineRule="auto"/>
      </w:pPr>
      <w:r>
        <w:continuationSeparator/>
      </w:r>
    </w:p>
  </w:footnote>
  <w:footnote w:id="1">
    <w:p w14:paraId="7BBC7C87" w14:textId="3875ACB6" w:rsidR="00A80B97" w:rsidRDefault="00A80B97">
      <w:pPr>
        <w:pStyle w:val="Textonotapie"/>
      </w:pPr>
      <w:r>
        <w:rPr>
          <w:rStyle w:val="Refdenotaalpie"/>
        </w:rPr>
        <w:footnoteRef/>
      </w:r>
      <w:r>
        <w:t xml:space="preserve"> Pág. 140 del Manual Único para la Calificación de la Pérdida de la Capacidad Laboral y Ocupacional. Se puede visualizar en el siguiente enlace: </w:t>
      </w:r>
      <w:hyperlink r:id="rId1" w:history="1">
        <w:r>
          <w:rPr>
            <w:rStyle w:val="Hipervnculo"/>
          </w:rPr>
          <w:t>7d224908-ef78-1b90-0255-f62a3e409e4c (mintrabajo.gov.co)</w:t>
        </w:r>
      </w:hyperlink>
    </w:p>
  </w:footnote>
  <w:footnote w:id="2">
    <w:p w14:paraId="21CC3DDB" w14:textId="5737D15B" w:rsidR="00A80B97" w:rsidRDefault="00A80B97">
      <w:pPr>
        <w:pStyle w:val="Textonotapie"/>
      </w:pPr>
      <w:r>
        <w:rPr>
          <w:rStyle w:val="Refdenotaalpie"/>
        </w:rPr>
        <w:footnoteRef/>
      </w:r>
      <w:r>
        <w:t xml:space="preserve"> Fl.8, anexo52. Dictamen de la Junta Regional de Calificación de Invalidez de Caldas.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DDDD" w14:textId="7546D9B8" w:rsidR="00A80B97" w:rsidRPr="00F67E74" w:rsidRDefault="003F22DB" w:rsidP="00F67E74">
    <w:pPr>
      <w:pStyle w:val="Encabezado"/>
      <w:pBdr>
        <w:bottom w:val="single" w:sz="4" w:space="1" w:color="auto"/>
      </w:pBdr>
      <w:jc w:val="center"/>
      <w:rPr>
        <w:rFonts w:ascii="Arial" w:eastAsia="Arial Unicode MS" w:hAnsi="Arial" w:cs="Arial"/>
        <w:sz w:val="18"/>
        <w:szCs w:val="16"/>
      </w:rPr>
    </w:pPr>
    <w:sdt>
      <w:sdtPr>
        <w:rPr>
          <w:rFonts w:ascii="Arial" w:eastAsia="Arial Unicode MS" w:hAnsi="Arial" w:cs="Arial"/>
          <w:sz w:val="18"/>
          <w:szCs w:val="16"/>
        </w:rPr>
        <w:id w:val="-1891101673"/>
        <w:docPartObj>
          <w:docPartGallery w:val="Page Numbers (Margins)"/>
          <w:docPartUnique/>
        </w:docPartObj>
      </w:sdtPr>
      <w:sdtEndPr/>
      <w:sdtContent>
        <w:r w:rsidR="00A80B97" w:rsidRPr="00F67E74">
          <w:rPr>
            <w:rFonts w:ascii="Arial" w:eastAsia="Arial Unicode MS" w:hAnsi="Arial" w:cs="Arial"/>
            <w:noProof/>
            <w:sz w:val="18"/>
            <w:szCs w:val="16"/>
            <w:lang w:val="en-US"/>
          </w:rPr>
          <mc:AlternateContent>
            <mc:Choice Requires="wps">
              <w:drawing>
                <wp:anchor distT="0" distB="0" distL="114300" distR="114300" simplePos="0" relativeHeight="251659264" behindDoc="0" locked="0" layoutInCell="0" allowOverlap="1" wp14:anchorId="1613EAEA" wp14:editId="1527C64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eastAsia="Times New Roman" w:hAnsi="Calibri Light"/>
                                  <w:sz w:val="48"/>
                                  <w:szCs w:val="48"/>
                                </w:rPr>
                                <w:id w:val="-1131474261"/>
                              </w:sdtPr>
                              <w:sdtEndPr/>
                              <w:sdtContent>
                                <w:p w14:paraId="09B46E30" w14:textId="22DE27E6" w:rsidR="00A80B97" w:rsidRPr="006F1824" w:rsidRDefault="00A80B97">
                                  <w:pPr>
                                    <w:jc w:val="center"/>
                                    <w:rPr>
                                      <w:rFonts w:ascii="Calibri Light" w:eastAsia="Times New Roman" w:hAnsi="Calibri Light"/>
                                      <w:sz w:val="72"/>
                                      <w:szCs w:val="72"/>
                                    </w:rPr>
                                  </w:pPr>
                                  <w:r w:rsidRPr="006F1824">
                                    <w:rPr>
                                      <w:rFonts w:eastAsia="Times New Roman"/>
                                    </w:rPr>
                                    <w:fldChar w:fldCharType="begin"/>
                                  </w:r>
                                  <w:r>
                                    <w:instrText>PAGE  \* MERGEFORMAT</w:instrText>
                                  </w:r>
                                  <w:r w:rsidRPr="006F1824">
                                    <w:rPr>
                                      <w:rFonts w:eastAsia="Times New Roman"/>
                                    </w:rPr>
                                    <w:fldChar w:fldCharType="separate"/>
                                  </w:r>
                                  <w:r w:rsidR="001572D1" w:rsidRPr="001572D1">
                                    <w:rPr>
                                      <w:rFonts w:ascii="Calibri Light" w:eastAsia="Times New Roman" w:hAnsi="Calibri Light"/>
                                      <w:noProof/>
                                      <w:sz w:val="48"/>
                                      <w:szCs w:val="48"/>
                                      <w:lang w:val="es-ES"/>
                                    </w:rPr>
                                    <w:t>12</w:t>
                                  </w:r>
                                  <w:r w:rsidRPr="006F1824">
                                    <w:rPr>
                                      <w:rFonts w:ascii="Calibri Light" w:eastAsia="Times New Roman" w:hAnsi="Calibri Light"/>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3EAEA" id="Rectángulo 9"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Calibri Light" w:eastAsia="Times New Roman" w:hAnsi="Calibri Light"/>
                            <w:sz w:val="48"/>
                            <w:szCs w:val="48"/>
                          </w:rPr>
                          <w:id w:val="-1131474261"/>
                        </w:sdtPr>
                        <w:sdtEndPr/>
                        <w:sdtContent>
                          <w:p w14:paraId="09B46E30" w14:textId="22DE27E6" w:rsidR="00A80B97" w:rsidRPr="006F1824" w:rsidRDefault="00A80B97">
                            <w:pPr>
                              <w:jc w:val="center"/>
                              <w:rPr>
                                <w:rFonts w:ascii="Calibri Light" w:eastAsia="Times New Roman" w:hAnsi="Calibri Light"/>
                                <w:sz w:val="72"/>
                                <w:szCs w:val="72"/>
                              </w:rPr>
                            </w:pPr>
                            <w:r w:rsidRPr="006F1824">
                              <w:rPr>
                                <w:rFonts w:eastAsia="Times New Roman"/>
                              </w:rPr>
                              <w:fldChar w:fldCharType="begin"/>
                            </w:r>
                            <w:r>
                              <w:instrText>PAGE  \* MERGEFORMAT</w:instrText>
                            </w:r>
                            <w:r w:rsidRPr="006F1824">
                              <w:rPr>
                                <w:rFonts w:eastAsia="Times New Roman"/>
                              </w:rPr>
                              <w:fldChar w:fldCharType="separate"/>
                            </w:r>
                            <w:r w:rsidR="001572D1" w:rsidRPr="001572D1">
                              <w:rPr>
                                <w:rFonts w:ascii="Calibri Light" w:eastAsia="Times New Roman" w:hAnsi="Calibri Light"/>
                                <w:noProof/>
                                <w:sz w:val="48"/>
                                <w:szCs w:val="48"/>
                                <w:lang w:val="es-ES"/>
                              </w:rPr>
                              <w:t>12</w:t>
                            </w:r>
                            <w:r w:rsidRPr="006F1824">
                              <w:rPr>
                                <w:rFonts w:ascii="Calibri Light" w:eastAsia="Times New Roman" w:hAnsi="Calibri Light"/>
                                <w:sz w:val="48"/>
                                <w:szCs w:val="48"/>
                              </w:rPr>
                              <w:fldChar w:fldCharType="end"/>
                            </w:r>
                          </w:p>
                        </w:sdtContent>
                      </w:sdt>
                    </w:txbxContent>
                  </v:textbox>
                  <w10:wrap anchorx="margin" anchory="page"/>
                </v:rect>
              </w:pict>
            </mc:Fallback>
          </mc:AlternateContent>
        </w:r>
        <w:r w:rsidR="00F67E74" w:rsidRPr="00F67E74">
          <w:rPr>
            <w:rFonts w:ascii="Arial" w:eastAsia="Arial Unicode MS" w:hAnsi="Arial" w:cs="Arial"/>
            <w:noProof/>
            <w:sz w:val="18"/>
            <w:szCs w:val="16"/>
            <w:lang w:eastAsia="es-CO"/>
          </w:rPr>
          <w:t>nohelia Tangarife Agudelo</w:t>
        </w:r>
      </w:sdtContent>
    </w:sdt>
    <w:r w:rsidR="00A80B97" w:rsidRPr="00F67E74">
      <w:rPr>
        <w:rFonts w:ascii="Arial" w:eastAsia="Arial Unicode MS" w:hAnsi="Arial" w:cs="Arial"/>
        <w:noProof/>
        <w:sz w:val="18"/>
        <w:szCs w:val="16"/>
        <w:lang w:eastAsia="es-CO"/>
      </w:rPr>
      <w:t xml:space="preserve"> </w:t>
    </w:r>
    <w:r w:rsidR="00A80B97" w:rsidRPr="00F67E74">
      <w:rPr>
        <w:rFonts w:ascii="Arial" w:eastAsia="Arial Unicode MS" w:hAnsi="Arial" w:cs="Arial"/>
        <w:sz w:val="18"/>
        <w:szCs w:val="16"/>
      </w:rPr>
      <w:t xml:space="preserve">Vs </w:t>
    </w:r>
    <w:r w:rsidR="00F67E74" w:rsidRPr="00F67E74">
      <w:rPr>
        <w:rFonts w:ascii="Arial" w:eastAsia="Arial Unicode MS" w:hAnsi="Arial" w:cs="Arial"/>
        <w:sz w:val="18"/>
        <w:szCs w:val="16"/>
      </w:rPr>
      <w:t xml:space="preserve">Junta Nacional de Calificación de Invalidez </w:t>
    </w:r>
    <w:r w:rsidR="00A80B97" w:rsidRPr="00F67E74">
      <w:rPr>
        <w:rFonts w:ascii="Arial" w:eastAsia="Arial Unicode MS" w:hAnsi="Arial" w:cs="Arial"/>
        <w:sz w:val="18"/>
        <w:szCs w:val="16"/>
      </w:rPr>
      <w:t>y otro</w:t>
    </w:r>
  </w:p>
  <w:p w14:paraId="3217A1DF" w14:textId="7E4052B1" w:rsidR="00A80B97" w:rsidRPr="00F67E74" w:rsidRDefault="00A80B97" w:rsidP="00F67E74">
    <w:pPr>
      <w:pStyle w:val="Encabezado"/>
      <w:pBdr>
        <w:bottom w:val="single" w:sz="4" w:space="1" w:color="auto"/>
      </w:pBdr>
      <w:jc w:val="center"/>
      <w:rPr>
        <w:rFonts w:ascii="Arial" w:eastAsia="Arial Unicode MS" w:hAnsi="Arial" w:cs="Arial"/>
      </w:rPr>
    </w:pPr>
    <w:r w:rsidRPr="00F67E74">
      <w:rPr>
        <w:rFonts w:ascii="Arial" w:eastAsia="Arial Unicode MS" w:hAnsi="Arial" w:cs="Arial"/>
        <w:sz w:val="18"/>
        <w:szCs w:val="16"/>
      </w:rPr>
      <w:t xml:space="preserve">RAD: </w:t>
    </w:r>
    <w:r w:rsidRPr="00F67E74">
      <w:rPr>
        <w:rFonts w:ascii="Arial" w:eastAsia="Times New Roman" w:hAnsi="Arial" w:cs="Arial"/>
        <w:bCs/>
        <w:sz w:val="18"/>
        <w:szCs w:val="16"/>
        <w:lang w:eastAsia="es-ES"/>
      </w:rPr>
      <w:t>66001310500320200027701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01E"/>
    <w:multiLevelType w:val="hybridMultilevel"/>
    <w:tmpl w:val="687E0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36A5"/>
    <w:multiLevelType w:val="hybridMultilevel"/>
    <w:tmpl w:val="4530A646"/>
    <w:lvl w:ilvl="0" w:tplc="240A0011">
      <w:start w:val="1"/>
      <w:numFmt w:val="decimal"/>
      <w:lvlText w:val="%1)"/>
      <w:lvlJc w:val="left"/>
      <w:pPr>
        <w:ind w:left="360"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5FA758A"/>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161601"/>
    <w:multiLevelType w:val="hybridMultilevel"/>
    <w:tmpl w:val="6D2EEF58"/>
    <w:lvl w:ilvl="0" w:tplc="DA9C18EC">
      <w:start w:val="1"/>
      <w:numFmt w:val="decimal"/>
      <w:lvlText w:val="%1."/>
      <w:lvlJc w:val="left"/>
      <w:pPr>
        <w:ind w:left="360" w:hanging="360"/>
      </w:pPr>
      <w:rPr>
        <w:b/>
        <w:bCs w:val="0"/>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4" w15:restartNumberingAfterBreak="0">
    <w:nsid w:val="11B80548"/>
    <w:multiLevelType w:val="hybridMultilevel"/>
    <w:tmpl w:val="FAECC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04D16"/>
    <w:multiLevelType w:val="hybridMultilevel"/>
    <w:tmpl w:val="12A0F61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E84AAF"/>
    <w:multiLevelType w:val="hybridMultilevel"/>
    <w:tmpl w:val="9C0A9BEA"/>
    <w:lvl w:ilvl="0" w:tplc="0C0A0001">
      <w:start w:val="1"/>
      <w:numFmt w:val="bullet"/>
      <w:lvlText w:val=""/>
      <w:lvlJc w:val="left"/>
      <w:pPr>
        <w:ind w:left="1166" w:hanging="360"/>
      </w:pPr>
      <w:rPr>
        <w:rFonts w:ascii="Symbol" w:hAnsi="Symbol" w:hint="default"/>
      </w:rPr>
    </w:lvl>
    <w:lvl w:ilvl="1" w:tplc="0C0A0003" w:tentative="1">
      <w:start w:val="1"/>
      <w:numFmt w:val="bullet"/>
      <w:lvlText w:val="o"/>
      <w:lvlJc w:val="left"/>
      <w:pPr>
        <w:ind w:left="1886" w:hanging="360"/>
      </w:pPr>
      <w:rPr>
        <w:rFonts w:ascii="Courier New" w:hAnsi="Courier New" w:cs="Courier New" w:hint="default"/>
      </w:rPr>
    </w:lvl>
    <w:lvl w:ilvl="2" w:tplc="0C0A0005" w:tentative="1">
      <w:start w:val="1"/>
      <w:numFmt w:val="bullet"/>
      <w:lvlText w:val=""/>
      <w:lvlJc w:val="left"/>
      <w:pPr>
        <w:ind w:left="2606" w:hanging="360"/>
      </w:pPr>
      <w:rPr>
        <w:rFonts w:ascii="Wingdings" w:hAnsi="Wingdings" w:hint="default"/>
      </w:rPr>
    </w:lvl>
    <w:lvl w:ilvl="3" w:tplc="0C0A0001" w:tentative="1">
      <w:start w:val="1"/>
      <w:numFmt w:val="bullet"/>
      <w:lvlText w:val=""/>
      <w:lvlJc w:val="left"/>
      <w:pPr>
        <w:ind w:left="3326" w:hanging="360"/>
      </w:pPr>
      <w:rPr>
        <w:rFonts w:ascii="Symbol" w:hAnsi="Symbol" w:hint="default"/>
      </w:rPr>
    </w:lvl>
    <w:lvl w:ilvl="4" w:tplc="0C0A0003" w:tentative="1">
      <w:start w:val="1"/>
      <w:numFmt w:val="bullet"/>
      <w:lvlText w:val="o"/>
      <w:lvlJc w:val="left"/>
      <w:pPr>
        <w:ind w:left="4046" w:hanging="360"/>
      </w:pPr>
      <w:rPr>
        <w:rFonts w:ascii="Courier New" w:hAnsi="Courier New" w:cs="Courier New" w:hint="default"/>
      </w:rPr>
    </w:lvl>
    <w:lvl w:ilvl="5" w:tplc="0C0A0005" w:tentative="1">
      <w:start w:val="1"/>
      <w:numFmt w:val="bullet"/>
      <w:lvlText w:val=""/>
      <w:lvlJc w:val="left"/>
      <w:pPr>
        <w:ind w:left="4766" w:hanging="360"/>
      </w:pPr>
      <w:rPr>
        <w:rFonts w:ascii="Wingdings" w:hAnsi="Wingdings" w:hint="default"/>
      </w:rPr>
    </w:lvl>
    <w:lvl w:ilvl="6" w:tplc="0C0A0001" w:tentative="1">
      <w:start w:val="1"/>
      <w:numFmt w:val="bullet"/>
      <w:lvlText w:val=""/>
      <w:lvlJc w:val="left"/>
      <w:pPr>
        <w:ind w:left="5486" w:hanging="360"/>
      </w:pPr>
      <w:rPr>
        <w:rFonts w:ascii="Symbol" w:hAnsi="Symbol" w:hint="default"/>
      </w:rPr>
    </w:lvl>
    <w:lvl w:ilvl="7" w:tplc="0C0A0003" w:tentative="1">
      <w:start w:val="1"/>
      <w:numFmt w:val="bullet"/>
      <w:lvlText w:val="o"/>
      <w:lvlJc w:val="left"/>
      <w:pPr>
        <w:ind w:left="6206" w:hanging="360"/>
      </w:pPr>
      <w:rPr>
        <w:rFonts w:ascii="Courier New" w:hAnsi="Courier New" w:cs="Courier New" w:hint="default"/>
      </w:rPr>
    </w:lvl>
    <w:lvl w:ilvl="8" w:tplc="0C0A0005" w:tentative="1">
      <w:start w:val="1"/>
      <w:numFmt w:val="bullet"/>
      <w:lvlText w:val=""/>
      <w:lvlJc w:val="left"/>
      <w:pPr>
        <w:ind w:left="6926" w:hanging="360"/>
      </w:pPr>
      <w:rPr>
        <w:rFonts w:ascii="Wingdings" w:hAnsi="Wingdings" w:hint="default"/>
      </w:rPr>
    </w:lvl>
  </w:abstractNum>
  <w:abstractNum w:abstractNumId="7" w15:restartNumberingAfterBreak="0">
    <w:nsid w:val="164E714B"/>
    <w:multiLevelType w:val="hybridMultilevel"/>
    <w:tmpl w:val="AC70C85E"/>
    <w:lvl w:ilvl="0" w:tplc="43BCE8BA">
      <w:start w:val="2"/>
      <w:numFmt w:val="upperRoman"/>
      <w:lvlText w:val="%1."/>
      <w:lvlJc w:val="left"/>
      <w:pPr>
        <w:ind w:left="1307" w:hanging="720"/>
      </w:pPr>
      <w:rPr>
        <w:rFonts w:eastAsia="Calibri" w:hint="default"/>
        <w:b/>
      </w:rPr>
    </w:lvl>
    <w:lvl w:ilvl="1" w:tplc="240A0019" w:tentative="1">
      <w:start w:val="1"/>
      <w:numFmt w:val="lowerLetter"/>
      <w:lvlText w:val="%2."/>
      <w:lvlJc w:val="left"/>
      <w:pPr>
        <w:ind w:left="1667" w:hanging="360"/>
      </w:pPr>
    </w:lvl>
    <w:lvl w:ilvl="2" w:tplc="240A001B" w:tentative="1">
      <w:start w:val="1"/>
      <w:numFmt w:val="lowerRoman"/>
      <w:lvlText w:val="%3."/>
      <w:lvlJc w:val="right"/>
      <w:pPr>
        <w:ind w:left="2387" w:hanging="180"/>
      </w:pPr>
    </w:lvl>
    <w:lvl w:ilvl="3" w:tplc="240A000F" w:tentative="1">
      <w:start w:val="1"/>
      <w:numFmt w:val="decimal"/>
      <w:lvlText w:val="%4."/>
      <w:lvlJc w:val="left"/>
      <w:pPr>
        <w:ind w:left="3107" w:hanging="360"/>
      </w:pPr>
    </w:lvl>
    <w:lvl w:ilvl="4" w:tplc="240A0019" w:tentative="1">
      <w:start w:val="1"/>
      <w:numFmt w:val="lowerLetter"/>
      <w:lvlText w:val="%5."/>
      <w:lvlJc w:val="left"/>
      <w:pPr>
        <w:ind w:left="3827" w:hanging="360"/>
      </w:pPr>
    </w:lvl>
    <w:lvl w:ilvl="5" w:tplc="240A001B" w:tentative="1">
      <w:start w:val="1"/>
      <w:numFmt w:val="lowerRoman"/>
      <w:lvlText w:val="%6."/>
      <w:lvlJc w:val="right"/>
      <w:pPr>
        <w:ind w:left="4547" w:hanging="180"/>
      </w:pPr>
    </w:lvl>
    <w:lvl w:ilvl="6" w:tplc="240A000F" w:tentative="1">
      <w:start w:val="1"/>
      <w:numFmt w:val="decimal"/>
      <w:lvlText w:val="%7."/>
      <w:lvlJc w:val="left"/>
      <w:pPr>
        <w:ind w:left="5267" w:hanging="360"/>
      </w:pPr>
    </w:lvl>
    <w:lvl w:ilvl="7" w:tplc="240A0019" w:tentative="1">
      <w:start w:val="1"/>
      <w:numFmt w:val="lowerLetter"/>
      <w:lvlText w:val="%8."/>
      <w:lvlJc w:val="left"/>
      <w:pPr>
        <w:ind w:left="5987" w:hanging="360"/>
      </w:pPr>
    </w:lvl>
    <w:lvl w:ilvl="8" w:tplc="240A001B" w:tentative="1">
      <w:start w:val="1"/>
      <w:numFmt w:val="lowerRoman"/>
      <w:lvlText w:val="%9."/>
      <w:lvlJc w:val="right"/>
      <w:pPr>
        <w:ind w:left="6707" w:hanging="180"/>
      </w:pPr>
    </w:lvl>
  </w:abstractNum>
  <w:abstractNum w:abstractNumId="8"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67538DA"/>
    <w:multiLevelType w:val="hybridMultilevel"/>
    <w:tmpl w:val="CC8A4106"/>
    <w:lvl w:ilvl="0" w:tplc="09A0B872">
      <w:start w:val="1"/>
      <w:numFmt w:val="lowerLetter"/>
      <w:lvlText w:val="%1)"/>
      <w:lvlJc w:val="left"/>
      <w:pPr>
        <w:ind w:left="786" w:hanging="360"/>
      </w:pPr>
      <w:rPr>
        <w:rFonts w:hint="default"/>
        <w:color w:val="auto"/>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0" w15:restartNumberingAfterBreak="0">
    <w:nsid w:val="19B72A2E"/>
    <w:multiLevelType w:val="hybridMultilevel"/>
    <w:tmpl w:val="12B28E72"/>
    <w:lvl w:ilvl="0" w:tplc="7C2C462E">
      <w:start w:val="1"/>
      <w:numFmt w:val="lowerLetter"/>
      <w:lvlText w:val="%1)"/>
      <w:lvlJc w:val="left"/>
      <w:pPr>
        <w:ind w:left="587" w:hanging="360"/>
      </w:pPr>
      <w:rPr>
        <w:rFonts w:hint="default"/>
      </w:rPr>
    </w:lvl>
    <w:lvl w:ilvl="1" w:tplc="240A0019" w:tentative="1">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11" w15:restartNumberingAfterBreak="0">
    <w:nsid w:val="1A8354BF"/>
    <w:multiLevelType w:val="hybridMultilevel"/>
    <w:tmpl w:val="2AEC0982"/>
    <w:lvl w:ilvl="0" w:tplc="1CBCAF1A">
      <w:start w:val="3"/>
      <w:numFmt w:val="lowerLetter"/>
      <w:lvlText w:val="%1)"/>
      <w:lvlJc w:val="left"/>
      <w:pPr>
        <w:ind w:left="786" w:hanging="360"/>
      </w:pPr>
      <w:rPr>
        <w:rFonts w:eastAsia="Calibri" w:cs="Arial"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214C1729"/>
    <w:multiLevelType w:val="hybridMultilevel"/>
    <w:tmpl w:val="8E54AD00"/>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1F10E0"/>
    <w:multiLevelType w:val="hybridMultilevel"/>
    <w:tmpl w:val="91ACD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5B05BE"/>
    <w:multiLevelType w:val="hybridMultilevel"/>
    <w:tmpl w:val="6678A3A4"/>
    <w:lvl w:ilvl="0" w:tplc="240A0011">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840036"/>
    <w:multiLevelType w:val="hybridMultilevel"/>
    <w:tmpl w:val="8AEE701E"/>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6" w15:restartNumberingAfterBreak="0">
    <w:nsid w:val="26A70B78"/>
    <w:multiLevelType w:val="hybridMultilevel"/>
    <w:tmpl w:val="1EBA1F24"/>
    <w:lvl w:ilvl="0" w:tplc="F1C6EDDC">
      <w:start w:val="1"/>
      <w:numFmt w:val="decimal"/>
      <w:lvlText w:val="%1."/>
      <w:lvlJc w:val="left"/>
      <w:pPr>
        <w:ind w:left="360" w:hanging="360"/>
      </w:pPr>
      <w:rPr>
        <w:b/>
      </w:rPr>
    </w:lvl>
    <w:lvl w:ilvl="1" w:tplc="240A0019">
      <w:start w:val="1"/>
      <w:numFmt w:val="lowerLetter"/>
      <w:lvlText w:val="%2."/>
      <w:lvlJc w:val="left"/>
      <w:pPr>
        <w:ind w:left="1591" w:hanging="360"/>
      </w:pPr>
    </w:lvl>
    <w:lvl w:ilvl="2" w:tplc="240A001B">
      <w:start w:val="1"/>
      <w:numFmt w:val="lowerRoman"/>
      <w:lvlText w:val="%3."/>
      <w:lvlJc w:val="right"/>
      <w:pPr>
        <w:ind w:left="2311" w:hanging="180"/>
      </w:pPr>
    </w:lvl>
    <w:lvl w:ilvl="3" w:tplc="240A000F">
      <w:start w:val="1"/>
      <w:numFmt w:val="decimal"/>
      <w:lvlText w:val="%4."/>
      <w:lvlJc w:val="left"/>
      <w:pPr>
        <w:ind w:left="3031" w:hanging="360"/>
      </w:pPr>
    </w:lvl>
    <w:lvl w:ilvl="4" w:tplc="240A0019">
      <w:start w:val="1"/>
      <w:numFmt w:val="lowerLetter"/>
      <w:lvlText w:val="%5."/>
      <w:lvlJc w:val="left"/>
      <w:pPr>
        <w:ind w:left="3751" w:hanging="360"/>
      </w:pPr>
    </w:lvl>
    <w:lvl w:ilvl="5" w:tplc="240A001B">
      <w:start w:val="1"/>
      <w:numFmt w:val="lowerRoman"/>
      <w:lvlText w:val="%6."/>
      <w:lvlJc w:val="right"/>
      <w:pPr>
        <w:ind w:left="4471" w:hanging="180"/>
      </w:pPr>
    </w:lvl>
    <w:lvl w:ilvl="6" w:tplc="240A000F">
      <w:start w:val="1"/>
      <w:numFmt w:val="decimal"/>
      <w:lvlText w:val="%7."/>
      <w:lvlJc w:val="left"/>
      <w:pPr>
        <w:ind w:left="5191" w:hanging="360"/>
      </w:pPr>
    </w:lvl>
    <w:lvl w:ilvl="7" w:tplc="240A0019">
      <w:start w:val="1"/>
      <w:numFmt w:val="lowerLetter"/>
      <w:lvlText w:val="%8."/>
      <w:lvlJc w:val="left"/>
      <w:pPr>
        <w:ind w:left="5911" w:hanging="360"/>
      </w:pPr>
    </w:lvl>
    <w:lvl w:ilvl="8" w:tplc="240A001B">
      <w:start w:val="1"/>
      <w:numFmt w:val="lowerRoman"/>
      <w:lvlText w:val="%9."/>
      <w:lvlJc w:val="right"/>
      <w:pPr>
        <w:ind w:left="6631" w:hanging="180"/>
      </w:pPr>
    </w:lvl>
  </w:abstractNum>
  <w:abstractNum w:abstractNumId="17" w15:restartNumberingAfterBreak="0">
    <w:nsid w:val="2C003217"/>
    <w:multiLevelType w:val="hybridMultilevel"/>
    <w:tmpl w:val="5B288386"/>
    <w:lvl w:ilvl="0" w:tplc="D5D284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C320DD"/>
    <w:multiLevelType w:val="hybridMultilevel"/>
    <w:tmpl w:val="582CF1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C3710F"/>
    <w:multiLevelType w:val="hybridMultilevel"/>
    <w:tmpl w:val="F9B64F22"/>
    <w:lvl w:ilvl="0" w:tplc="240A0011">
      <w:start w:val="1"/>
      <w:numFmt w:val="decimal"/>
      <w:lvlText w:val="%1)"/>
      <w:lvlJc w:val="left"/>
      <w:pPr>
        <w:ind w:left="360" w:hanging="360"/>
      </w:pPr>
    </w:lvl>
    <w:lvl w:ilvl="1" w:tplc="0C0A0019">
      <w:start w:val="1"/>
      <w:numFmt w:val="lowerLetter"/>
      <w:lvlText w:val="%2."/>
      <w:lvlJc w:val="left"/>
      <w:pPr>
        <w:ind w:left="-261" w:hanging="360"/>
      </w:pPr>
    </w:lvl>
    <w:lvl w:ilvl="2" w:tplc="0C0A001B">
      <w:start w:val="1"/>
      <w:numFmt w:val="lowerRoman"/>
      <w:lvlText w:val="%3."/>
      <w:lvlJc w:val="right"/>
      <w:pPr>
        <w:ind w:left="459" w:hanging="180"/>
      </w:pPr>
    </w:lvl>
    <w:lvl w:ilvl="3" w:tplc="0C0A000F">
      <w:start w:val="1"/>
      <w:numFmt w:val="decimal"/>
      <w:lvlText w:val="%4."/>
      <w:lvlJc w:val="left"/>
      <w:pPr>
        <w:ind w:left="1179" w:hanging="360"/>
      </w:pPr>
    </w:lvl>
    <w:lvl w:ilvl="4" w:tplc="0C0A0019">
      <w:start w:val="1"/>
      <w:numFmt w:val="lowerLetter"/>
      <w:lvlText w:val="%5."/>
      <w:lvlJc w:val="left"/>
      <w:pPr>
        <w:ind w:left="1899" w:hanging="360"/>
      </w:pPr>
    </w:lvl>
    <w:lvl w:ilvl="5" w:tplc="0C0A001B">
      <w:start w:val="1"/>
      <w:numFmt w:val="lowerRoman"/>
      <w:lvlText w:val="%6."/>
      <w:lvlJc w:val="right"/>
      <w:pPr>
        <w:ind w:left="2619" w:hanging="180"/>
      </w:pPr>
    </w:lvl>
    <w:lvl w:ilvl="6" w:tplc="0C0A000F">
      <w:start w:val="1"/>
      <w:numFmt w:val="decimal"/>
      <w:lvlText w:val="%7."/>
      <w:lvlJc w:val="left"/>
      <w:pPr>
        <w:ind w:left="3339" w:hanging="360"/>
      </w:pPr>
    </w:lvl>
    <w:lvl w:ilvl="7" w:tplc="0C0A0019">
      <w:start w:val="1"/>
      <w:numFmt w:val="lowerLetter"/>
      <w:lvlText w:val="%8."/>
      <w:lvlJc w:val="left"/>
      <w:pPr>
        <w:ind w:left="4059" w:hanging="360"/>
      </w:pPr>
    </w:lvl>
    <w:lvl w:ilvl="8" w:tplc="0C0A001B">
      <w:start w:val="1"/>
      <w:numFmt w:val="lowerRoman"/>
      <w:lvlText w:val="%9."/>
      <w:lvlJc w:val="right"/>
      <w:pPr>
        <w:ind w:left="4779" w:hanging="180"/>
      </w:pPr>
    </w:lvl>
  </w:abstractNum>
  <w:abstractNum w:abstractNumId="20" w15:restartNumberingAfterBreak="0">
    <w:nsid w:val="325779C6"/>
    <w:multiLevelType w:val="hybridMultilevel"/>
    <w:tmpl w:val="A658F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7E338C"/>
    <w:multiLevelType w:val="hybridMultilevel"/>
    <w:tmpl w:val="421C7E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4B003FD"/>
    <w:multiLevelType w:val="hybridMultilevel"/>
    <w:tmpl w:val="15720060"/>
    <w:lvl w:ilvl="0" w:tplc="B552A068">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1773A99"/>
    <w:multiLevelType w:val="hybridMultilevel"/>
    <w:tmpl w:val="59C68544"/>
    <w:lvl w:ilvl="0" w:tplc="0C0A000F">
      <w:start w:val="1"/>
      <w:numFmt w:val="decimal"/>
      <w:lvlText w:val="%1."/>
      <w:lvlJc w:val="left"/>
      <w:pPr>
        <w:ind w:left="795" w:hanging="360"/>
      </w:pPr>
    </w:lvl>
    <w:lvl w:ilvl="1" w:tplc="0C0A0019" w:tentative="1">
      <w:start w:val="1"/>
      <w:numFmt w:val="lowerLetter"/>
      <w:lvlText w:val="%2."/>
      <w:lvlJc w:val="left"/>
      <w:pPr>
        <w:ind w:left="1515" w:hanging="360"/>
      </w:pPr>
    </w:lvl>
    <w:lvl w:ilvl="2" w:tplc="0C0A001B" w:tentative="1">
      <w:start w:val="1"/>
      <w:numFmt w:val="lowerRoman"/>
      <w:lvlText w:val="%3."/>
      <w:lvlJc w:val="right"/>
      <w:pPr>
        <w:ind w:left="2235" w:hanging="180"/>
      </w:pPr>
    </w:lvl>
    <w:lvl w:ilvl="3" w:tplc="0C0A000F" w:tentative="1">
      <w:start w:val="1"/>
      <w:numFmt w:val="decimal"/>
      <w:lvlText w:val="%4."/>
      <w:lvlJc w:val="left"/>
      <w:pPr>
        <w:ind w:left="2955" w:hanging="360"/>
      </w:pPr>
    </w:lvl>
    <w:lvl w:ilvl="4" w:tplc="0C0A0019" w:tentative="1">
      <w:start w:val="1"/>
      <w:numFmt w:val="lowerLetter"/>
      <w:lvlText w:val="%5."/>
      <w:lvlJc w:val="left"/>
      <w:pPr>
        <w:ind w:left="3675" w:hanging="360"/>
      </w:pPr>
    </w:lvl>
    <w:lvl w:ilvl="5" w:tplc="0C0A001B" w:tentative="1">
      <w:start w:val="1"/>
      <w:numFmt w:val="lowerRoman"/>
      <w:lvlText w:val="%6."/>
      <w:lvlJc w:val="right"/>
      <w:pPr>
        <w:ind w:left="4395" w:hanging="180"/>
      </w:pPr>
    </w:lvl>
    <w:lvl w:ilvl="6" w:tplc="0C0A000F" w:tentative="1">
      <w:start w:val="1"/>
      <w:numFmt w:val="decimal"/>
      <w:lvlText w:val="%7."/>
      <w:lvlJc w:val="left"/>
      <w:pPr>
        <w:ind w:left="5115" w:hanging="360"/>
      </w:pPr>
    </w:lvl>
    <w:lvl w:ilvl="7" w:tplc="0C0A0019" w:tentative="1">
      <w:start w:val="1"/>
      <w:numFmt w:val="lowerLetter"/>
      <w:lvlText w:val="%8."/>
      <w:lvlJc w:val="left"/>
      <w:pPr>
        <w:ind w:left="5835" w:hanging="360"/>
      </w:pPr>
    </w:lvl>
    <w:lvl w:ilvl="8" w:tplc="0C0A001B" w:tentative="1">
      <w:start w:val="1"/>
      <w:numFmt w:val="lowerRoman"/>
      <w:lvlText w:val="%9."/>
      <w:lvlJc w:val="right"/>
      <w:pPr>
        <w:ind w:left="6555" w:hanging="180"/>
      </w:pPr>
    </w:lvl>
  </w:abstractNum>
  <w:abstractNum w:abstractNumId="24" w15:restartNumberingAfterBreak="0">
    <w:nsid w:val="418963D6"/>
    <w:multiLevelType w:val="hybridMultilevel"/>
    <w:tmpl w:val="C15A422C"/>
    <w:lvl w:ilvl="0" w:tplc="3BA20338">
      <w:start w:val="1"/>
      <w:numFmt w:val="decimal"/>
      <w:lvlText w:val="%1."/>
      <w:lvlJc w:val="left"/>
      <w:pPr>
        <w:ind w:left="720" w:hanging="360"/>
      </w:pPr>
      <w:rPr>
        <w:rFonts w:eastAsia="Times New Roman"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95726A"/>
    <w:multiLevelType w:val="hybridMultilevel"/>
    <w:tmpl w:val="3D5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44F5742"/>
    <w:multiLevelType w:val="hybridMultilevel"/>
    <w:tmpl w:val="90022892"/>
    <w:lvl w:ilvl="0" w:tplc="F790EB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ADB551B"/>
    <w:multiLevelType w:val="hybridMultilevel"/>
    <w:tmpl w:val="CC624D8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EF1BFF"/>
    <w:multiLevelType w:val="hybridMultilevel"/>
    <w:tmpl w:val="7B420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08E52A4"/>
    <w:multiLevelType w:val="hybridMultilevel"/>
    <w:tmpl w:val="2760E77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CB73B5"/>
    <w:multiLevelType w:val="hybridMultilevel"/>
    <w:tmpl w:val="82EE44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86466C"/>
    <w:multiLevelType w:val="hybridMultilevel"/>
    <w:tmpl w:val="5008B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2EE617F"/>
    <w:multiLevelType w:val="hybridMultilevel"/>
    <w:tmpl w:val="04DCAE48"/>
    <w:lvl w:ilvl="0" w:tplc="599C4112">
      <w:start w:val="1"/>
      <w:numFmt w:val="decimal"/>
      <w:lvlText w:val="%1)"/>
      <w:lvlJc w:val="left"/>
      <w:pPr>
        <w:ind w:left="360" w:hanging="360"/>
      </w:pPr>
      <w:rPr>
        <w:b/>
      </w:rPr>
    </w:lvl>
    <w:lvl w:ilvl="1" w:tplc="240A0019">
      <w:start w:val="1"/>
      <w:numFmt w:val="lowerLetter"/>
      <w:lvlText w:val="%2."/>
      <w:lvlJc w:val="left"/>
      <w:pPr>
        <w:ind w:left="2018" w:hanging="360"/>
      </w:pPr>
    </w:lvl>
    <w:lvl w:ilvl="2" w:tplc="240A001B">
      <w:start w:val="1"/>
      <w:numFmt w:val="lowerRoman"/>
      <w:lvlText w:val="%3."/>
      <w:lvlJc w:val="right"/>
      <w:pPr>
        <w:ind w:left="2738" w:hanging="180"/>
      </w:pPr>
    </w:lvl>
    <w:lvl w:ilvl="3" w:tplc="240A000F">
      <w:start w:val="1"/>
      <w:numFmt w:val="decimal"/>
      <w:lvlText w:val="%4."/>
      <w:lvlJc w:val="left"/>
      <w:pPr>
        <w:ind w:left="3458" w:hanging="360"/>
      </w:pPr>
    </w:lvl>
    <w:lvl w:ilvl="4" w:tplc="240A0019">
      <w:start w:val="1"/>
      <w:numFmt w:val="lowerLetter"/>
      <w:lvlText w:val="%5."/>
      <w:lvlJc w:val="left"/>
      <w:pPr>
        <w:ind w:left="4178" w:hanging="360"/>
      </w:pPr>
    </w:lvl>
    <w:lvl w:ilvl="5" w:tplc="240A001B">
      <w:start w:val="1"/>
      <w:numFmt w:val="lowerRoman"/>
      <w:lvlText w:val="%6."/>
      <w:lvlJc w:val="right"/>
      <w:pPr>
        <w:ind w:left="4898" w:hanging="180"/>
      </w:pPr>
    </w:lvl>
    <w:lvl w:ilvl="6" w:tplc="240A000F">
      <w:start w:val="1"/>
      <w:numFmt w:val="decimal"/>
      <w:lvlText w:val="%7."/>
      <w:lvlJc w:val="left"/>
      <w:pPr>
        <w:ind w:left="5618" w:hanging="360"/>
      </w:pPr>
    </w:lvl>
    <w:lvl w:ilvl="7" w:tplc="240A0019">
      <w:start w:val="1"/>
      <w:numFmt w:val="lowerLetter"/>
      <w:lvlText w:val="%8."/>
      <w:lvlJc w:val="left"/>
      <w:pPr>
        <w:ind w:left="6338" w:hanging="360"/>
      </w:pPr>
    </w:lvl>
    <w:lvl w:ilvl="8" w:tplc="240A001B">
      <w:start w:val="1"/>
      <w:numFmt w:val="lowerRoman"/>
      <w:lvlText w:val="%9."/>
      <w:lvlJc w:val="right"/>
      <w:pPr>
        <w:ind w:left="7058" w:hanging="180"/>
      </w:pPr>
    </w:lvl>
  </w:abstractNum>
  <w:abstractNum w:abstractNumId="33" w15:restartNumberingAfterBreak="0">
    <w:nsid w:val="73FF400C"/>
    <w:multiLevelType w:val="hybridMultilevel"/>
    <w:tmpl w:val="384E87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2131E4"/>
    <w:multiLevelType w:val="hybridMultilevel"/>
    <w:tmpl w:val="0C2A28A2"/>
    <w:lvl w:ilvl="0" w:tplc="14347926">
      <w:start w:val="3"/>
      <w:numFmt w:val="lowerLetter"/>
      <w:lvlText w:val="%1)"/>
      <w:lvlJc w:val="left"/>
      <w:pPr>
        <w:ind w:left="786" w:hanging="360"/>
      </w:pPr>
      <w:rPr>
        <w:rFonts w:hint="default"/>
        <w:i w:val="0"/>
        <w:color w:val="auto"/>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17"/>
  </w:num>
  <w:num w:numId="3">
    <w:abstractNumId w:val="21"/>
  </w:num>
  <w:num w:numId="4">
    <w:abstractNumId w:val="8"/>
  </w:num>
  <w:num w:numId="5">
    <w:abstractNumId w:val="26"/>
  </w:num>
  <w:num w:numId="6">
    <w:abstractNumId w:val="30"/>
  </w:num>
  <w:num w:numId="7">
    <w:abstractNumId w:val="0"/>
  </w:num>
  <w:num w:numId="8">
    <w:abstractNumId w:val="24"/>
  </w:num>
  <w:num w:numId="9">
    <w:abstractNumId w:val="33"/>
  </w:num>
  <w:num w:numId="10">
    <w:abstractNumId w:val="31"/>
  </w:num>
  <w:num w:numId="11">
    <w:abstractNumId w:val="12"/>
  </w:num>
  <w:num w:numId="12">
    <w:abstractNumId w:val="32"/>
  </w:num>
  <w:num w:numId="13">
    <w:abstractNumId w:val="15"/>
  </w:num>
  <w:num w:numId="14">
    <w:abstractNumId w:val="6"/>
  </w:num>
  <w:num w:numId="15">
    <w:abstractNumId w:val="2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34"/>
  </w:num>
  <w:num w:numId="24">
    <w:abstractNumId w:val="11"/>
  </w:num>
  <w:num w:numId="25">
    <w:abstractNumId w:val="29"/>
  </w:num>
  <w:num w:numId="26">
    <w:abstractNumId w:val="5"/>
  </w:num>
  <w:num w:numId="27">
    <w:abstractNumId w:val="19"/>
  </w:num>
  <w:num w:numId="28">
    <w:abstractNumId w:val="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
  </w:num>
  <w:num w:numId="32">
    <w:abstractNumId w:val="10"/>
  </w:num>
  <w:num w:numId="33">
    <w:abstractNumId w:val="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3"/>
  </w:num>
  <w:num w:numId="37">
    <w:abstractNumId w:val="20"/>
  </w:num>
  <w:num w:numId="38">
    <w:abstractNumId w:val="14"/>
  </w:num>
  <w:num w:numId="39">
    <w:abstractNumId w:val="2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E"/>
    <w:rsid w:val="0000061E"/>
    <w:rsid w:val="00000AC7"/>
    <w:rsid w:val="00002062"/>
    <w:rsid w:val="00003658"/>
    <w:rsid w:val="000120A9"/>
    <w:rsid w:val="00014519"/>
    <w:rsid w:val="00014FAE"/>
    <w:rsid w:val="0001518E"/>
    <w:rsid w:val="00016436"/>
    <w:rsid w:val="000177EB"/>
    <w:rsid w:val="00023033"/>
    <w:rsid w:val="00026953"/>
    <w:rsid w:val="00027425"/>
    <w:rsid w:val="00027ED3"/>
    <w:rsid w:val="000303B1"/>
    <w:rsid w:val="00031377"/>
    <w:rsid w:val="000322DE"/>
    <w:rsid w:val="00032C82"/>
    <w:rsid w:val="0003300C"/>
    <w:rsid w:val="00034375"/>
    <w:rsid w:val="000361DF"/>
    <w:rsid w:val="00036AE9"/>
    <w:rsid w:val="000374DB"/>
    <w:rsid w:val="00040006"/>
    <w:rsid w:val="000401AD"/>
    <w:rsid w:val="00041F40"/>
    <w:rsid w:val="00044A61"/>
    <w:rsid w:val="00053918"/>
    <w:rsid w:val="00054B09"/>
    <w:rsid w:val="00054B96"/>
    <w:rsid w:val="00055364"/>
    <w:rsid w:val="0005656B"/>
    <w:rsid w:val="00060A57"/>
    <w:rsid w:val="00061992"/>
    <w:rsid w:val="00062A7D"/>
    <w:rsid w:val="00064DCB"/>
    <w:rsid w:val="00065437"/>
    <w:rsid w:val="000661CE"/>
    <w:rsid w:val="00066B97"/>
    <w:rsid w:val="0007141F"/>
    <w:rsid w:val="0007219C"/>
    <w:rsid w:val="000723C1"/>
    <w:rsid w:val="00072E31"/>
    <w:rsid w:val="00073201"/>
    <w:rsid w:val="00073268"/>
    <w:rsid w:val="00073B20"/>
    <w:rsid w:val="00074EBF"/>
    <w:rsid w:val="00074F9B"/>
    <w:rsid w:val="00084780"/>
    <w:rsid w:val="00084C71"/>
    <w:rsid w:val="00084FD2"/>
    <w:rsid w:val="00085C69"/>
    <w:rsid w:val="00085FE1"/>
    <w:rsid w:val="00087B47"/>
    <w:rsid w:val="00090206"/>
    <w:rsid w:val="000925FA"/>
    <w:rsid w:val="00093521"/>
    <w:rsid w:val="00093B40"/>
    <w:rsid w:val="00094407"/>
    <w:rsid w:val="00095417"/>
    <w:rsid w:val="00095F91"/>
    <w:rsid w:val="0009739D"/>
    <w:rsid w:val="000A0E6A"/>
    <w:rsid w:val="000A196B"/>
    <w:rsid w:val="000A6210"/>
    <w:rsid w:val="000B194C"/>
    <w:rsid w:val="000B1D3F"/>
    <w:rsid w:val="000B1FC0"/>
    <w:rsid w:val="000B3C04"/>
    <w:rsid w:val="000B5222"/>
    <w:rsid w:val="000B52D4"/>
    <w:rsid w:val="000B7106"/>
    <w:rsid w:val="000B7D22"/>
    <w:rsid w:val="000C0B42"/>
    <w:rsid w:val="000C1266"/>
    <w:rsid w:val="000C1E03"/>
    <w:rsid w:val="000C3EAE"/>
    <w:rsid w:val="000C4014"/>
    <w:rsid w:val="000C52F4"/>
    <w:rsid w:val="000C6C0B"/>
    <w:rsid w:val="000D0D84"/>
    <w:rsid w:val="000D11FE"/>
    <w:rsid w:val="000D2A4F"/>
    <w:rsid w:val="000D33CD"/>
    <w:rsid w:val="000D4C29"/>
    <w:rsid w:val="000E04EA"/>
    <w:rsid w:val="000E0EB1"/>
    <w:rsid w:val="000E15C0"/>
    <w:rsid w:val="000E2F09"/>
    <w:rsid w:val="000E5AD5"/>
    <w:rsid w:val="000E60EF"/>
    <w:rsid w:val="000E6C13"/>
    <w:rsid w:val="000E6EA3"/>
    <w:rsid w:val="000F258A"/>
    <w:rsid w:val="000F39DE"/>
    <w:rsid w:val="000F590B"/>
    <w:rsid w:val="00102B38"/>
    <w:rsid w:val="00104390"/>
    <w:rsid w:val="001045F4"/>
    <w:rsid w:val="00106935"/>
    <w:rsid w:val="00106A97"/>
    <w:rsid w:val="00112B08"/>
    <w:rsid w:val="001139D0"/>
    <w:rsid w:val="00116320"/>
    <w:rsid w:val="00125734"/>
    <w:rsid w:val="00126712"/>
    <w:rsid w:val="0013000D"/>
    <w:rsid w:val="0013043D"/>
    <w:rsid w:val="00130D6D"/>
    <w:rsid w:val="00130FD2"/>
    <w:rsid w:val="001320C7"/>
    <w:rsid w:val="001330EA"/>
    <w:rsid w:val="001338B0"/>
    <w:rsid w:val="00136849"/>
    <w:rsid w:val="00140C18"/>
    <w:rsid w:val="00142543"/>
    <w:rsid w:val="001452A7"/>
    <w:rsid w:val="001458A1"/>
    <w:rsid w:val="00146E7C"/>
    <w:rsid w:val="0014749A"/>
    <w:rsid w:val="001518C7"/>
    <w:rsid w:val="00151E8F"/>
    <w:rsid w:val="00151F74"/>
    <w:rsid w:val="00151F7B"/>
    <w:rsid w:val="00153596"/>
    <w:rsid w:val="00153BBA"/>
    <w:rsid w:val="001572D1"/>
    <w:rsid w:val="00157CC6"/>
    <w:rsid w:val="00160318"/>
    <w:rsid w:val="001607B8"/>
    <w:rsid w:val="00165124"/>
    <w:rsid w:val="00165B87"/>
    <w:rsid w:val="0016780C"/>
    <w:rsid w:val="00167C21"/>
    <w:rsid w:val="00172BF1"/>
    <w:rsid w:val="001742EF"/>
    <w:rsid w:val="001744D7"/>
    <w:rsid w:val="00174CCB"/>
    <w:rsid w:val="001751FC"/>
    <w:rsid w:val="001769AA"/>
    <w:rsid w:val="001772E5"/>
    <w:rsid w:val="00177422"/>
    <w:rsid w:val="0017750C"/>
    <w:rsid w:val="00180FA4"/>
    <w:rsid w:val="00182D90"/>
    <w:rsid w:val="0018349E"/>
    <w:rsid w:val="001874E1"/>
    <w:rsid w:val="00191178"/>
    <w:rsid w:val="00192386"/>
    <w:rsid w:val="0019269E"/>
    <w:rsid w:val="00192DEE"/>
    <w:rsid w:val="0019302F"/>
    <w:rsid w:val="00195401"/>
    <w:rsid w:val="00195A6C"/>
    <w:rsid w:val="001A05F5"/>
    <w:rsid w:val="001A11AF"/>
    <w:rsid w:val="001A22B8"/>
    <w:rsid w:val="001A3200"/>
    <w:rsid w:val="001A4A7B"/>
    <w:rsid w:val="001A5771"/>
    <w:rsid w:val="001B059B"/>
    <w:rsid w:val="001B1755"/>
    <w:rsid w:val="001B1AC9"/>
    <w:rsid w:val="001B218F"/>
    <w:rsid w:val="001B2AA0"/>
    <w:rsid w:val="001B573A"/>
    <w:rsid w:val="001B7287"/>
    <w:rsid w:val="001B7B93"/>
    <w:rsid w:val="001C015C"/>
    <w:rsid w:val="001C04B1"/>
    <w:rsid w:val="001C1688"/>
    <w:rsid w:val="001C2B56"/>
    <w:rsid w:val="001C5543"/>
    <w:rsid w:val="001C587D"/>
    <w:rsid w:val="001C710F"/>
    <w:rsid w:val="001C7A7E"/>
    <w:rsid w:val="001D0D86"/>
    <w:rsid w:val="001D1DCA"/>
    <w:rsid w:val="001D232E"/>
    <w:rsid w:val="001D260D"/>
    <w:rsid w:val="001E0356"/>
    <w:rsid w:val="001E23BD"/>
    <w:rsid w:val="001E2BBB"/>
    <w:rsid w:val="001E2C9F"/>
    <w:rsid w:val="001E3513"/>
    <w:rsid w:val="001E356B"/>
    <w:rsid w:val="001E45C4"/>
    <w:rsid w:val="001E74C4"/>
    <w:rsid w:val="001F03E7"/>
    <w:rsid w:val="001F30B5"/>
    <w:rsid w:val="001F46B8"/>
    <w:rsid w:val="001F46B9"/>
    <w:rsid w:val="00200C22"/>
    <w:rsid w:val="00201384"/>
    <w:rsid w:val="002015A6"/>
    <w:rsid w:val="0020229D"/>
    <w:rsid w:val="00202BF9"/>
    <w:rsid w:val="00203532"/>
    <w:rsid w:val="002045AB"/>
    <w:rsid w:val="00204BCE"/>
    <w:rsid w:val="002058F1"/>
    <w:rsid w:val="00210114"/>
    <w:rsid w:val="00210B79"/>
    <w:rsid w:val="002118BF"/>
    <w:rsid w:val="00213E2E"/>
    <w:rsid w:val="00214D28"/>
    <w:rsid w:val="00215E4D"/>
    <w:rsid w:val="0021724A"/>
    <w:rsid w:val="00217E06"/>
    <w:rsid w:val="00217F14"/>
    <w:rsid w:val="00220E99"/>
    <w:rsid w:val="0022166D"/>
    <w:rsid w:val="002224ED"/>
    <w:rsid w:val="00222C68"/>
    <w:rsid w:val="0022331B"/>
    <w:rsid w:val="0023140C"/>
    <w:rsid w:val="002317CC"/>
    <w:rsid w:val="00231A68"/>
    <w:rsid w:val="00231FBF"/>
    <w:rsid w:val="00232471"/>
    <w:rsid w:val="00234B4D"/>
    <w:rsid w:val="00234B6A"/>
    <w:rsid w:val="00235C00"/>
    <w:rsid w:val="00235E16"/>
    <w:rsid w:val="00235FBB"/>
    <w:rsid w:val="00237346"/>
    <w:rsid w:val="00237682"/>
    <w:rsid w:val="002409DA"/>
    <w:rsid w:val="0024432B"/>
    <w:rsid w:val="002448BA"/>
    <w:rsid w:val="0024607A"/>
    <w:rsid w:val="00251061"/>
    <w:rsid w:val="0025165B"/>
    <w:rsid w:val="00252090"/>
    <w:rsid w:val="00252F2D"/>
    <w:rsid w:val="00253A79"/>
    <w:rsid w:val="002541FC"/>
    <w:rsid w:val="00255031"/>
    <w:rsid w:val="00256737"/>
    <w:rsid w:val="002571B6"/>
    <w:rsid w:val="002615ED"/>
    <w:rsid w:val="00261DFA"/>
    <w:rsid w:val="00262FC4"/>
    <w:rsid w:val="00263933"/>
    <w:rsid w:val="00265459"/>
    <w:rsid w:val="00265B5D"/>
    <w:rsid w:val="00270B52"/>
    <w:rsid w:val="00272ABD"/>
    <w:rsid w:val="00272D8E"/>
    <w:rsid w:val="002732B1"/>
    <w:rsid w:val="00275DC4"/>
    <w:rsid w:val="0028065D"/>
    <w:rsid w:val="00280988"/>
    <w:rsid w:val="002819B2"/>
    <w:rsid w:val="002825DC"/>
    <w:rsid w:val="00282F0C"/>
    <w:rsid w:val="0028329A"/>
    <w:rsid w:val="002834FF"/>
    <w:rsid w:val="00284098"/>
    <w:rsid w:val="00284737"/>
    <w:rsid w:val="00286184"/>
    <w:rsid w:val="002861ED"/>
    <w:rsid w:val="00286DF4"/>
    <w:rsid w:val="0028783C"/>
    <w:rsid w:val="00291F1F"/>
    <w:rsid w:val="00296064"/>
    <w:rsid w:val="002A2143"/>
    <w:rsid w:val="002A2FF1"/>
    <w:rsid w:val="002A3081"/>
    <w:rsid w:val="002A30A1"/>
    <w:rsid w:val="002A335F"/>
    <w:rsid w:val="002A363D"/>
    <w:rsid w:val="002A382B"/>
    <w:rsid w:val="002A3C4A"/>
    <w:rsid w:val="002A5A19"/>
    <w:rsid w:val="002A5C1E"/>
    <w:rsid w:val="002A69F6"/>
    <w:rsid w:val="002A6C87"/>
    <w:rsid w:val="002B0D81"/>
    <w:rsid w:val="002B31F9"/>
    <w:rsid w:val="002B5089"/>
    <w:rsid w:val="002B559A"/>
    <w:rsid w:val="002B7162"/>
    <w:rsid w:val="002B7C88"/>
    <w:rsid w:val="002B7E15"/>
    <w:rsid w:val="002C0628"/>
    <w:rsid w:val="002C0C9B"/>
    <w:rsid w:val="002C1256"/>
    <w:rsid w:val="002C3864"/>
    <w:rsid w:val="002C39A9"/>
    <w:rsid w:val="002C59A3"/>
    <w:rsid w:val="002C770B"/>
    <w:rsid w:val="002D017C"/>
    <w:rsid w:val="002D32AD"/>
    <w:rsid w:val="002D4926"/>
    <w:rsid w:val="002D707F"/>
    <w:rsid w:val="002D7928"/>
    <w:rsid w:val="002E1A84"/>
    <w:rsid w:val="002E1BEF"/>
    <w:rsid w:val="002E285C"/>
    <w:rsid w:val="002E323F"/>
    <w:rsid w:val="002E5AC7"/>
    <w:rsid w:val="002E6BEB"/>
    <w:rsid w:val="002F00F3"/>
    <w:rsid w:val="002F193E"/>
    <w:rsid w:val="002F5946"/>
    <w:rsid w:val="002F679C"/>
    <w:rsid w:val="002F7089"/>
    <w:rsid w:val="00300B8C"/>
    <w:rsid w:val="00301B60"/>
    <w:rsid w:val="0030295B"/>
    <w:rsid w:val="00303BAF"/>
    <w:rsid w:val="00305CB6"/>
    <w:rsid w:val="003070CD"/>
    <w:rsid w:val="00307511"/>
    <w:rsid w:val="0031083F"/>
    <w:rsid w:val="00313108"/>
    <w:rsid w:val="0031336F"/>
    <w:rsid w:val="003157D6"/>
    <w:rsid w:val="00316141"/>
    <w:rsid w:val="003161AA"/>
    <w:rsid w:val="00322E84"/>
    <w:rsid w:val="00325A94"/>
    <w:rsid w:val="003263AF"/>
    <w:rsid w:val="00326A35"/>
    <w:rsid w:val="003273EF"/>
    <w:rsid w:val="0033007B"/>
    <w:rsid w:val="003324C4"/>
    <w:rsid w:val="003327C3"/>
    <w:rsid w:val="003328A7"/>
    <w:rsid w:val="0033323E"/>
    <w:rsid w:val="00333633"/>
    <w:rsid w:val="00333A06"/>
    <w:rsid w:val="00333E92"/>
    <w:rsid w:val="00333E9C"/>
    <w:rsid w:val="00334728"/>
    <w:rsid w:val="00335630"/>
    <w:rsid w:val="00337854"/>
    <w:rsid w:val="00337F8A"/>
    <w:rsid w:val="003428DC"/>
    <w:rsid w:val="00342A09"/>
    <w:rsid w:val="003430D9"/>
    <w:rsid w:val="00343CC8"/>
    <w:rsid w:val="0034636E"/>
    <w:rsid w:val="003468AC"/>
    <w:rsid w:val="00346F82"/>
    <w:rsid w:val="003470BB"/>
    <w:rsid w:val="00347228"/>
    <w:rsid w:val="0034758B"/>
    <w:rsid w:val="0035105E"/>
    <w:rsid w:val="003528ED"/>
    <w:rsid w:val="00353FF4"/>
    <w:rsid w:val="003544D6"/>
    <w:rsid w:val="003545AB"/>
    <w:rsid w:val="00355C49"/>
    <w:rsid w:val="0035649D"/>
    <w:rsid w:val="003604C8"/>
    <w:rsid w:val="00361493"/>
    <w:rsid w:val="00361B7F"/>
    <w:rsid w:val="00361F0D"/>
    <w:rsid w:val="00361FEF"/>
    <w:rsid w:val="00364EEE"/>
    <w:rsid w:val="003653B2"/>
    <w:rsid w:val="00365855"/>
    <w:rsid w:val="00365D77"/>
    <w:rsid w:val="0036710C"/>
    <w:rsid w:val="00367E79"/>
    <w:rsid w:val="00372099"/>
    <w:rsid w:val="00376029"/>
    <w:rsid w:val="00382A66"/>
    <w:rsid w:val="00386E4D"/>
    <w:rsid w:val="0038735D"/>
    <w:rsid w:val="00387C98"/>
    <w:rsid w:val="0039036C"/>
    <w:rsid w:val="0039189B"/>
    <w:rsid w:val="00391928"/>
    <w:rsid w:val="00391DBC"/>
    <w:rsid w:val="00391E56"/>
    <w:rsid w:val="00394B62"/>
    <w:rsid w:val="00396376"/>
    <w:rsid w:val="0039674C"/>
    <w:rsid w:val="003A209F"/>
    <w:rsid w:val="003A33A0"/>
    <w:rsid w:val="003A4100"/>
    <w:rsid w:val="003A44D3"/>
    <w:rsid w:val="003A59A5"/>
    <w:rsid w:val="003A632E"/>
    <w:rsid w:val="003A696F"/>
    <w:rsid w:val="003B02E2"/>
    <w:rsid w:val="003B08DD"/>
    <w:rsid w:val="003B0D3E"/>
    <w:rsid w:val="003B27E3"/>
    <w:rsid w:val="003B3728"/>
    <w:rsid w:val="003B3FFD"/>
    <w:rsid w:val="003B6658"/>
    <w:rsid w:val="003B71F7"/>
    <w:rsid w:val="003C08FA"/>
    <w:rsid w:val="003C11A7"/>
    <w:rsid w:val="003C149D"/>
    <w:rsid w:val="003C1D86"/>
    <w:rsid w:val="003C21F7"/>
    <w:rsid w:val="003C45FA"/>
    <w:rsid w:val="003C52E8"/>
    <w:rsid w:val="003C68B7"/>
    <w:rsid w:val="003D009A"/>
    <w:rsid w:val="003D0C6D"/>
    <w:rsid w:val="003D14F1"/>
    <w:rsid w:val="003D1688"/>
    <w:rsid w:val="003D23D0"/>
    <w:rsid w:val="003D30D8"/>
    <w:rsid w:val="003D58EE"/>
    <w:rsid w:val="003D7360"/>
    <w:rsid w:val="003D7DC8"/>
    <w:rsid w:val="003E4FC3"/>
    <w:rsid w:val="003E62BC"/>
    <w:rsid w:val="003E6607"/>
    <w:rsid w:val="003E7253"/>
    <w:rsid w:val="003F22DB"/>
    <w:rsid w:val="003F4788"/>
    <w:rsid w:val="003F67B1"/>
    <w:rsid w:val="00400B4F"/>
    <w:rsid w:val="00401997"/>
    <w:rsid w:val="004019D7"/>
    <w:rsid w:val="004021F4"/>
    <w:rsid w:val="004045F5"/>
    <w:rsid w:val="00406C1B"/>
    <w:rsid w:val="00406C23"/>
    <w:rsid w:val="004076B3"/>
    <w:rsid w:val="00411E06"/>
    <w:rsid w:val="00412F7B"/>
    <w:rsid w:val="00413E68"/>
    <w:rsid w:val="00413EFB"/>
    <w:rsid w:val="00415C6A"/>
    <w:rsid w:val="004174A1"/>
    <w:rsid w:val="00423B18"/>
    <w:rsid w:val="00426214"/>
    <w:rsid w:val="00426E0A"/>
    <w:rsid w:val="0042774E"/>
    <w:rsid w:val="004308E0"/>
    <w:rsid w:val="004309D8"/>
    <w:rsid w:val="00430DAE"/>
    <w:rsid w:val="0043161E"/>
    <w:rsid w:val="00431F6C"/>
    <w:rsid w:val="00433462"/>
    <w:rsid w:val="004336E6"/>
    <w:rsid w:val="00434AF0"/>
    <w:rsid w:val="00434EDB"/>
    <w:rsid w:val="0043608A"/>
    <w:rsid w:val="004367B9"/>
    <w:rsid w:val="00440611"/>
    <w:rsid w:val="00440954"/>
    <w:rsid w:val="00441F6C"/>
    <w:rsid w:val="00442164"/>
    <w:rsid w:val="004425D1"/>
    <w:rsid w:val="0044434E"/>
    <w:rsid w:val="004450D2"/>
    <w:rsid w:val="004462D1"/>
    <w:rsid w:val="004519BB"/>
    <w:rsid w:val="0045235A"/>
    <w:rsid w:val="004603CA"/>
    <w:rsid w:val="00463BF4"/>
    <w:rsid w:val="00465825"/>
    <w:rsid w:val="00467BA6"/>
    <w:rsid w:val="00471452"/>
    <w:rsid w:val="00473B5A"/>
    <w:rsid w:val="00474F50"/>
    <w:rsid w:val="0047537B"/>
    <w:rsid w:val="004755F2"/>
    <w:rsid w:val="00476207"/>
    <w:rsid w:val="00477042"/>
    <w:rsid w:val="004772B4"/>
    <w:rsid w:val="00477CA6"/>
    <w:rsid w:val="00482137"/>
    <w:rsid w:val="00483B58"/>
    <w:rsid w:val="00484E0A"/>
    <w:rsid w:val="004850B5"/>
    <w:rsid w:val="00487523"/>
    <w:rsid w:val="00487718"/>
    <w:rsid w:val="00487ADC"/>
    <w:rsid w:val="00492E73"/>
    <w:rsid w:val="0049371B"/>
    <w:rsid w:val="004937C4"/>
    <w:rsid w:val="004954D5"/>
    <w:rsid w:val="00497C23"/>
    <w:rsid w:val="004A05C1"/>
    <w:rsid w:val="004A09C8"/>
    <w:rsid w:val="004A22E6"/>
    <w:rsid w:val="004A280C"/>
    <w:rsid w:val="004A649D"/>
    <w:rsid w:val="004A7070"/>
    <w:rsid w:val="004B1995"/>
    <w:rsid w:val="004B2929"/>
    <w:rsid w:val="004B368D"/>
    <w:rsid w:val="004B3980"/>
    <w:rsid w:val="004B3A5F"/>
    <w:rsid w:val="004C0F62"/>
    <w:rsid w:val="004C2565"/>
    <w:rsid w:val="004C28BA"/>
    <w:rsid w:val="004C5D3B"/>
    <w:rsid w:val="004D16C5"/>
    <w:rsid w:val="004D2D7A"/>
    <w:rsid w:val="004D493C"/>
    <w:rsid w:val="004D5BC9"/>
    <w:rsid w:val="004D6C6A"/>
    <w:rsid w:val="004D75CD"/>
    <w:rsid w:val="004E0D1A"/>
    <w:rsid w:val="004E1545"/>
    <w:rsid w:val="004E19DC"/>
    <w:rsid w:val="004E21C6"/>
    <w:rsid w:val="004E2524"/>
    <w:rsid w:val="004E3262"/>
    <w:rsid w:val="004E4B79"/>
    <w:rsid w:val="004E4E07"/>
    <w:rsid w:val="004E53E2"/>
    <w:rsid w:val="004E6D4A"/>
    <w:rsid w:val="004E6DF2"/>
    <w:rsid w:val="004E7423"/>
    <w:rsid w:val="004F07EB"/>
    <w:rsid w:val="004F0D8A"/>
    <w:rsid w:val="004F1DCC"/>
    <w:rsid w:val="004F284E"/>
    <w:rsid w:val="004F38BF"/>
    <w:rsid w:val="004F4967"/>
    <w:rsid w:val="004F5AEB"/>
    <w:rsid w:val="004F609B"/>
    <w:rsid w:val="005000CE"/>
    <w:rsid w:val="00500F39"/>
    <w:rsid w:val="00501DAC"/>
    <w:rsid w:val="00501EDA"/>
    <w:rsid w:val="00502280"/>
    <w:rsid w:val="00502523"/>
    <w:rsid w:val="00502610"/>
    <w:rsid w:val="005063B4"/>
    <w:rsid w:val="00510E91"/>
    <w:rsid w:val="00511DAB"/>
    <w:rsid w:val="00511E20"/>
    <w:rsid w:val="005120E8"/>
    <w:rsid w:val="005124DF"/>
    <w:rsid w:val="0051493E"/>
    <w:rsid w:val="00514A72"/>
    <w:rsid w:val="00515E5F"/>
    <w:rsid w:val="00515EC2"/>
    <w:rsid w:val="0051634D"/>
    <w:rsid w:val="00516FC3"/>
    <w:rsid w:val="00517ADE"/>
    <w:rsid w:val="00521189"/>
    <w:rsid w:val="00523F4F"/>
    <w:rsid w:val="00525147"/>
    <w:rsid w:val="005256E3"/>
    <w:rsid w:val="005257D6"/>
    <w:rsid w:val="00526D88"/>
    <w:rsid w:val="0053060E"/>
    <w:rsid w:val="00534DD5"/>
    <w:rsid w:val="00536615"/>
    <w:rsid w:val="00537DD0"/>
    <w:rsid w:val="0054190B"/>
    <w:rsid w:val="005440FB"/>
    <w:rsid w:val="00544961"/>
    <w:rsid w:val="00545FA6"/>
    <w:rsid w:val="00547F34"/>
    <w:rsid w:val="005501C0"/>
    <w:rsid w:val="00550AA7"/>
    <w:rsid w:val="00550AB0"/>
    <w:rsid w:val="005511E9"/>
    <w:rsid w:val="005516A2"/>
    <w:rsid w:val="00551CB2"/>
    <w:rsid w:val="00552051"/>
    <w:rsid w:val="00552FB3"/>
    <w:rsid w:val="00554FFC"/>
    <w:rsid w:val="00555900"/>
    <w:rsid w:val="005570FC"/>
    <w:rsid w:val="005579A5"/>
    <w:rsid w:val="00561CB4"/>
    <w:rsid w:val="00563338"/>
    <w:rsid w:val="00563AE3"/>
    <w:rsid w:val="005653D4"/>
    <w:rsid w:val="00565EFD"/>
    <w:rsid w:val="00567E45"/>
    <w:rsid w:val="00571A26"/>
    <w:rsid w:val="00572CC3"/>
    <w:rsid w:val="0057419F"/>
    <w:rsid w:val="00575C93"/>
    <w:rsid w:val="0057627B"/>
    <w:rsid w:val="00576EB4"/>
    <w:rsid w:val="005772AF"/>
    <w:rsid w:val="00577F76"/>
    <w:rsid w:val="00580A5F"/>
    <w:rsid w:val="00580A76"/>
    <w:rsid w:val="00580D01"/>
    <w:rsid w:val="005843A9"/>
    <w:rsid w:val="00584C05"/>
    <w:rsid w:val="00584D16"/>
    <w:rsid w:val="00586275"/>
    <w:rsid w:val="005867E8"/>
    <w:rsid w:val="0058720E"/>
    <w:rsid w:val="005877A8"/>
    <w:rsid w:val="00587D83"/>
    <w:rsid w:val="00587E5C"/>
    <w:rsid w:val="0059109A"/>
    <w:rsid w:val="005918BF"/>
    <w:rsid w:val="00593CC8"/>
    <w:rsid w:val="00594664"/>
    <w:rsid w:val="0059469E"/>
    <w:rsid w:val="005953B4"/>
    <w:rsid w:val="00595B7B"/>
    <w:rsid w:val="00595DDD"/>
    <w:rsid w:val="00595E7F"/>
    <w:rsid w:val="005A38A7"/>
    <w:rsid w:val="005A487C"/>
    <w:rsid w:val="005A4C14"/>
    <w:rsid w:val="005A4DF0"/>
    <w:rsid w:val="005A5E25"/>
    <w:rsid w:val="005A7762"/>
    <w:rsid w:val="005B12D9"/>
    <w:rsid w:val="005B1C64"/>
    <w:rsid w:val="005B1FEE"/>
    <w:rsid w:val="005B28AC"/>
    <w:rsid w:val="005B3613"/>
    <w:rsid w:val="005B3DD3"/>
    <w:rsid w:val="005B4D8E"/>
    <w:rsid w:val="005B5335"/>
    <w:rsid w:val="005B5366"/>
    <w:rsid w:val="005B55E2"/>
    <w:rsid w:val="005B624C"/>
    <w:rsid w:val="005B78A0"/>
    <w:rsid w:val="005C1579"/>
    <w:rsid w:val="005C1966"/>
    <w:rsid w:val="005C387B"/>
    <w:rsid w:val="005C3EF6"/>
    <w:rsid w:val="005C4BB1"/>
    <w:rsid w:val="005C6274"/>
    <w:rsid w:val="005C706B"/>
    <w:rsid w:val="005C7834"/>
    <w:rsid w:val="005D2120"/>
    <w:rsid w:val="005D3504"/>
    <w:rsid w:val="005D44FC"/>
    <w:rsid w:val="005D4549"/>
    <w:rsid w:val="005D6974"/>
    <w:rsid w:val="005D7410"/>
    <w:rsid w:val="005D7F29"/>
    <w:rsid w:val="005E0CF1"/>
    <w:rsid w:val="005E1DE7"/>
    <w:rsid w:val="005E4D4F"/>
    <w:rsid w:val="005E7357"/>
    <w:rsid w:val="005E777F"/>
    <w:rsid w:val="005F1B6A"/>
    <w:rsid w:val="005F2CF3"/>
    <w:rsid w:val="005F4575"/>
    <w:rsid w:val="005F487E"/>
    <w:rsid w:val="005F7144"/>
    <w:rsid w:val="005F73AF"/>
    <w:rsid w:val="005F789F"/>
    <w:rsid w:val="006000D1"/>
    <w:rsid w:val="00600EC3"/>
    <w:rsid w:val="006013E2"/>
    <w:rsid w:val="0060205D"/>
    <w:rsid w:val="00604724"/>
    <w:rsid w:val="00607123"/>
    <w:rsid w:val="00610705"/>
    <w:rsid w:val="0061342D"/>
    <w:rsid w:val="00613FF9"/>
    <w:rsid w:val="00617AA9"/>
    <w:rsid w:val="00620484"/>
    <w:rsid w:val="00620751"/>
    <w:rsid w:val="00623A4B"/>
    <w:rsid w:val="0062600C"/>
    <w:rsid w:val="006327AA"/>
    <w:rsid w:val="006343D7"/>
    <w:rsid w:val="00634B0B"/>
    <w:rsid w:val="00636884"/>
    <w:rsid w:val="00636CB4"/>
    <w:rsid w:val="00640F04"/>
    <w:rsid w:val="00641062"/>
    <w:rsid w:val="00641250"/>
    <w:rsid w:val="00642A02"/>
    <w:rsid w:val="006460C6"/>
    <w:rsid w:val="006508E9"/>
    <w:rsid w:val="00650A2F"/>
    <w:rsid w:val="00652702"/>
    <w:rsid w:val="00652768"/>
    <w:rsid w:val="00653298"/>
    <w:rsid w:val="00653862"/>
    <w:rsid w:val="006559B2"/>
    <w:rsid w:val="0065787E"/>
    <w:rsid w:val="0065791C"/>
    <w:rsid w:val="00657A1C"/>
    <w:rsid w:val="00660023"/>
    <w:rsid w:val="0066097E"/>
    <w:rsid w:val="00660FD0"/>
    <w:rsid w:val="00662E77"/>
    <w:rsid w:val="00662ECC"/>
    <w:rsid w:val="006642F4"/>
    <w:rsid w:val="00667E86"/>
    <w:rsid w:val="00667FA0"/>
    <w:rsid w:val="006718AA"/>
    <w:rsid w:val="006729E6"/>
    <w:rsid w:val="00677859"/>
    <w:rsid w:val="00680073"/>
    <w:rsid w:val="0068214D"/>
    <w:rsid w:val="0068239C"/>
    <w:rsid w:val="0068396F"/>
    <w:rsid w:val="006854B6"/>
    <w:rsid w:val="0068598E"/>
    <w:rsid w:val="00686230"/>
    <w:rsid w:val="00691EFE"/>
    <w:rsid w:val="0069234D"/>
    <w:rsid w:val="00692AB6"/>
    <w:rsid w:val="00693DBD"/>
    <w:rsid w:val="00696381"/>
    <w:rsid w:val="006A1E76"/>
    <w:rsid w:val="006A2299"/>
    <w:rsid w:val="006A4892"/>
    <w:rsid w:val="006A51A0"/>
    <w:rsid w:val="006A5A72"/>
    <w:rsid w:val="006A6110"/>
    <w:rsid w:val="006B126D"/>
    <w:rsid w:val="006B408A"/>
    <w:rsid w:val="006B77BF"/>
    <w:rsid w:val="006B7DDB"/>
    <w:rsid w:val="006C0DF9"/>
    <w:rsid w:val="006C2B46"/>
    <w:rsid w:val="006C351A"/>
    <w:rsid w:val="006C5DAF"/>
    <w:rsid w:val="006C6160"/>
    <w:rsid w:val="006C63B3"/>
    <w:rsid w:val="006D119A"/>
    <w:rsid w:val="006D19E7"/>
    <w:rsid w:val="006D2B38"/>
    <w:rsid w:val="006D2D22"/>
    <w:rsid w:val="006D2D24"/>
    <w:rsid w:val="006D5552"/>
    <w:rsid w:val="006D5781"/>
    <w:rsid w:val="006D649A"/>
    <w:rsid w:val="006D6717"/>
    <w:rsid w:val="006E2810"/>
    <w:rsid w:val="006E5A4B"/>
    <w:rsid w:val="006E7EB1"/>
    <w:rsid w:val="006F0CA3"/>
    <w:rsid w:val="006F1824"/>
    <w:rsid w:val="006F2BFE"/>
    <w:rsid w:val="006F4B11"/>
    <w:rsid w:val="006F4B21"/>
    <w:rsid w:val="006F5A25"/>
    <w:rsid w:val="006F6130"/>
    <w:rsid w:val="006F6B29"/>
    <w:rsid w:val="006F6CA1"/>
    <w:rsid w:val="00700609"/>
    <w:rsid w:val="00701243"/>
    <w:rsid w:val="0070145F"/>
    <w:rsid w:val="007014EF"/>
    <w:rsid w:val="007018FF"/>
    <w:rsid w:val="00701E00"/>
    <w:rsid w:val="00702BB6"/>
    <w:rsid w:val="00710F61"/>
    <w:rsid w:val="00713606"/>
    <w:rsid w:val="007168BD"/>
    <w:rsid w:val="00716F34"/>
    <w:rsid w:val="00717EF5"/>
    <w:rsid w:val="00720918"/>
    <w:rsid w:val="00721517"/>
    <w:rsid w:val="00722DAB"/>
    <w:rsid w:val="007230BE"/>
    <w:rsid w:val="0072329F"/>
    <w:rsid w:val="00723C68"/>
    <w:rsid w:val="00726497"/>
    <w:rsid w:val="007276C0"/>
    <w:rsid w:val="00727A8B"/>
    <w:rsid w:val="00727B53"/>
    <w:rsid w:val="00730CBA"/>
    <w:rsid w:val="00731177"/>
    <w:rsid w:val="00731216"/>
    <w:rsid w:val="00732A58"/>
    <w:rsid w:val="007336E0"/>
    <w:rsid w:val="00733B51"/>
    <w:rsid w:val="00733C27"/>
    <w:rsid w:val="007360AA"/>
    <w:rsid w:val="00736643"/>
    <w:rsid w:val="00737031"/>
    <w:rsid w:val="007413EB"/>
    <w:rsid w:val="00742241"/>
    <w:rsid w:val="007428C9"/>
    <w:rsid w:val="00742E86"/>
    <w:rsid w:val="00743582"/>
    <w:rsid w:val="00745734"/>
    <w:rsid w:val="00746AD9"/>
    <w:rsid w:val="0075258A"/>
    <w:rsid w:val="00752BBB"/>
    <w:rsid w:val="00753FCB"/>
    <w:rsid w:val="00757C41"/>
    <w:rsid w:val="007601F1"/>
    <w:rsid w:val="00760615"/>
    <w:rsid w:val="00761FB7"/>
    <w:rsid w:val="0076254D"/>
    <w:rsid w:val="007625A8"/>
    <w:rsid w:val="00764576"/>
    <w:rsid w:val="00764A64"/>
    <w:rsid w:val="00767408"/>
    <w:rsid w:val="00770D0F"/>
    <w:rsid w:val="00771CF9"/>
    <w:rsid w:val="0077290D"/>
    <w:rsid w:val="00774100"/>
    <w:rsid w:val="00774B2F"/>
    <w:rsid w:val="00780987"/>
    <w:rsid w:val="0078480C"/>
    <w:rsid w:val="0078569F"/>
    <w:rsid w:val="00785B1C"/>
    <w:rsid w:val="00786D8F"/>
    <w:rsid w:val="0078738E"/>
    <w:rsid w:val="00787DCB"/>
    <w:rsid w:val="00790AA7"/>
    <w:rsid w:val="00790BD7"/>
    <w:rsid w:val="00794AC2"/>
    <w:rsid w:val="007956E9"/>
    <w:rsid w:val="00795E8F"/>
    <w:rsid w:val="00797B78"/>
    <w:rsid w:val="007A02F9"/>
    <w:rsid w:val="007A110D"/>
    <w:rsid w:val="007A2866"/>
    <w:rsid w:val="007A28FB"/>
    <w:rsid w:val="007B051D"/>
    <w:rsid w:val="007B0C4B"/>
    <w:rsid w:val="007B2A44"/>
    <w:rsid w:val="007B3DA0"/>
    <w:rsid w:val="007B46B3"/>
    <w:rsid w:val="007B4910"/>
    <w:rsid w:val="007B567C"/>
    <w:rsid w:val="007B5942"/>
    <w:rsid w:val="007C0B0B"/>
    <w:rsid w:val="007C1C2B"/>
    <w:rsid w:val="007C3FCB"/>
    <w:rsid w:val="007C4741"/>
    <w:rsid w:val="007C5D2D"/>
    <w:rsid w:val="007C6AA0"/>
    <w:rsid w:val="007C72B4"/>
    <w:rsid w:val="007C790A"/>
    <w:rsid w:val="007D0C0F"/>
    <w:rsid w:val="007D10FE"/>
    <w:rsid w:val="007D2108"/>
    <w:rsid w:val="007D3134"/>
    <w:rsid w:val="007D5BBF"/>
    <w:rsid w:val="007D618E"/>
    <w:rsid w:val="007D6832"/>
    <w:rsid w:val="007E3097"/>
    <w:rsid w:val="007E447E"/>
    <w:rsid w:val="007E449B"/>
    <w:rsid w:val="007E44A3"/>
    <w:rsid w:val="007E46E1"/>
    <w:rsid w:val="007E593A"/>
    <w:rsid w:val="007E5A53"/>
    <w:rsid w:val="007E5AF0"/>
    <w:rsid w:val="007E6812"/>
    <w:rsid w:val="007E7798"/>
    <w:rsid w:val="007E7B36"/>
    <w:rsid w:val="007F0742"/>
    <w:rsid w:val="007F0E68"/>
    <w:rsid w:val="007F493D"/>
    <w:rsid w:val="007F4CB5"/>
    <w:rsid w:val="007F4ECB"/>
    <w:rsid w:val="007F5266"/>
    <w:rsid w:val="007F709A"/>
    <w:rsid w:val="0080046D"/>
    <w:rsid w:val="0080047E"/>
    <w:rsid w:val="00800A79"/>
    <w:rsid w:val="00800F13"/>
    <w:rsid w:val="00802CD1"/>
    <w:rsid w:val="00803923"/>
    <w:rsid w:val="00804F91"/>
    <w:rsid w:val="00805235"/>
    <w:rsid w:val="00810612"/>
    <w:rsid w:val="00810791"/>
    <w:rsid w:val="00811D4E"/>
    <w:rsid w:val="00811FDC"/>
    <w:rsid w:val="008126C8"/>
    <w:rsid w:val="0081573D"/>
    <w:rsid w:val="00820FF0"/>
    <w:rsid w:val="00821356"/>
    <w:rsid w:val="00822C56"/>
    <w:rsid w:val="008235E8"/>
    <w:rsid w:val="0082391A"/>
    <w:rsid w:val="0082491E"/>
    <w:rsid w:val="008253DA"/>
    <w:rsid w:val="00825E07"/>
    <w:rsid w:val="0082666B"/>
    <w:rsid w:val="0083079F"/>
    <w:rsid w:val="00833B4C"/>
    <w:rsid w:val="00835B22"/>
    <w:rsid w:val="0083656F"/>
    <w:rsid w:val="00837D6E"/>
    <w:rsid w:val="0084092E"/>
    <w:rsid w:val="00842841"/>
    <w:rsid w:val="0084388E"/>
    <w:rsid w:val="0084469C"/>
    <w:rsid w:val="00844B38"/>
    <w:rsid w:val="0084733D"/>
    <w:rsid w:val="008479F1"/>
    <w:rsid w:val="008519D2"/>
    <w:rsid w:val="008607AE"/>
    <w:rsid w:val="00861732"/>
    <w:rsid w:val="00862124"/>
    <w:rsid w:val="00863201"/>
    <w:rsid w:val="00864A8B"/>
    <w:rsid w:val="00871039"/>
    <w:rsid w:val="008728A3"/>
    <w:rsid w:val="00873777"/>
    <w:rsid w:val="0087451D"/>
    <w:rsid w:val="00874540"/>
    <w:rsid w:val="0087722D"/>
    <w:rsid w:val="008802D1"/>
    <w:rsid w:val="0088203C"/>
    <w:rsid w:val="0088325D"/>
    <w:rsid w:val="00883660"/>
    <w:rsid w:val="00883CE3"/>
    <w:rsid w:val="008844A1"/>
    <w:rsid w:val="00884E31"/>
    <w:rsid w:val="00886C2D"/>
    <w:rsid w:val="00887813"/>
    <w:rsid w:val="00887B2A"/>
    <w:rsid w:val="008906ED"/>
    <w:rsid w:val="00890E65"/>
    <w:rsid w:val="00890FAD"/>
    <w:rsid w:val="00892EDE"/>
    <w:rsid w:val="00893581"/>
    <w:rsid w:val="00893BF0"/>
    <w:rsid w:val="00895CEC"/>
    <w:rsid w:val="00897B80"/>
    <w:rsid w:val="008A153F"/>
    <w:rsid w:val="008A1590"/>
    <w:rsid w:val="008A19A8"/>
    <w:rsid w:val="008A2334"/>
    <w:rsid w:val="008A44E5"/>
    <w:rsid w:val="008A5FE6"/>
    <w:rsid w:val="008A7B88"/>
    <w:rsid w:val="008A7CF1"/>
    <w:rsid w:val="008A7E1C"/>
    <w:rsid w:val="008B01BC"/>
    <w:rsid w:val="008B0E81"/>
    <w:rsid w:val="008B359A"/>
    <w:rsid w:val="008B5BA8"/>
    <w:rsid w:val="008B5DDF"/>
    <w:rsid w:val="008B6CD9"/>
    <w:rsid w:val="008C14CD"/>
    <w:rsid w:val="008C5360"/>
    <w:rsid w:val="008C585B"/>
    <w:rsid w:val="008C6099"/>
    <w:rsid w:val="008C68A7"/>
    <w:rsid w:val="008C6FE4"/>
    <w:rsid w:val="008D1B60"/>
    <w:rsid w:val="008D297E"/>
    <w:rsid w:val="008D3E1D"/>
    <w:rsid w:val="008D450C"/>
    <w:rsid w:val="008D4C26"/>
    <w:rsid w:val="008D5415"/>
    <w:rsid w:val="008D6C8F"/>
    <w:rsid w:val="008D6D12"/>
    <w:rsid w:val="008D7267"/>
    <w:rsid w:val="008D7A1F"/>
    <w:rsid w:val="008E3E60"/>
    <w:rsid w:val="008E57EC"/>
    <w:rsid w:val="008E6AA6"/>
    <w:rsid w:val="008E6EFC"/>
    <w:rsid w:val="008E7A30"/>
    <w:rsid w:val="008F0CBC"/>
    <w:rsid w:val="008F22DD"/>
    <w:rsid w:val="008F2D8B"/>
    <w:rsid w:val="008F3534"/>
    <w:rsid w:val="008F377C"/>
    <w:rsid w:val="008F4481"/>
    <w:rsid w:val="008F4601"/>
    <w:rsid w:val="008F66B3"/>
    <w:rsid w:val="008F738F"/>
    <w:rsid w:val="009019E2"/>
    <w:rsid w:val="00904C32"/>
    <w:rsid w:val="00904C9D"/>
    <w:rsid w:val="00905882"/>
    <w:rsid w:val="00907202"/>
    <w:rsid w:val="0091005E"/>
    <w:rsid w:val="009104E9"/>
    <w:rsid w:val="00910C52"/>
    <w:rsid w:val="00912A92"/>
    <w:rsid w:val="0091312A"/>
    <w:rsid w:val="009134A5"/>
    <w:rsid w:val="00915809"/>
    <w:rsid w:val="0091784E"/>
    <w:rsid w:val="00920156"/>
    <w:rsid w:val="00920160"/>
    <w:rsid w:val="00920442"/>
    <w:rsid w:val="00920DB3"/>
    <w:rsid w:val="00920F0F"/>
    <w:rsid w:val="00922472"/>
    <w:rsid w:val="00925E55"/>
    <w:rsid w:val="00925FA1"/>
    <w:rsid w:val="00926303"/>
    <w:rsid w:val="009265CE"/>
    <w:rsid w:val="009278C1"/>
    <w:rsid w:val="0093046B"/>
    <w:rsid w:val="009315B1"/>
    <w:rsid w:val="00933BF5"/>
    <w:rsid w:val="0093529D"/>
    <w:rsid w:val="009355A7"/>
    <w:rsid w:val="00941212"/>
    <w:rsid w:val="009414D7"/>
    <w:rsid w:val="0095051C"/>
    <w:rsid w:val="009507DA"/>
    <w:rsid w:val="00951CDF"/>
    <w:rsid w:val="00952B4B"/>
    <w:rsid w:val="00952B65"/>
    <w:rsid w:val="00952E3F"/>
    <w:rsid w:val="00954DA3"/>
    <w:rsid w:val="009552A1"/>
    <w:rsid w:val="0095576A"/>
    <w:rsid w:val="00955D9F"/>
    <w:rsid w:val="00960098"/>
    <w:rsid w:val="00960E06"/>
    <w:rsid w:val="00961E86"/>
    <w:rsid w:val="00962620"/>
    <w:rsid w:val="00962B37"/>
    <w:rsid w:val="00963BB6"/>
    <w:rsid w:val="00964063"/>
    <w:rsid w:val="00964A11"/>
    <w:rsid w:val="009656F7"/>
    <w:rsid w:val="00966BBA"/>
    <w:rsid w:val="00966C6A"/>
    <w:rsid w:val="00971042"/>
    <w:rsid w:val="009747A6"/>
    <w:rsid w:val="00976792"/>
    <w:rsid w:val="0097741C"/>
    <w:rsid w:val="00980A00"/>
    <w:rsid w:val="00982539"/>
    <w:rsid w:val="009858C9"/>
    <w:rsid w:val="00986C2A"/>
    <w:rsid w:val="00987044"/>
    <w:rsid w:val="00987B3B"/>
    <w:rsid w:val="00990D10"/>
    <w:rsid w:val="00990F14"/>
    <w:rsid w:val="00991F12"/>
    <w:rsid w:val="0099382F"/>
    <w:rsid w:val="00993CC3"/>
    <w:rsid w:val="00994CD8"/>
    <w:rsid w:val="009955AB"/>
    <w:rsid w:val="009957C1"/>
    <w:rsid w:val="009A2DE4"/>
    <w:rsid w:val="009A5504"/>
    <w:rsid w:val="009A5C09"/>
    <w:rsid w:val="009A680F"/>
    <w:rsid w:val="009A6E25"/>
    <w:rsid w:val="009A6E2B"/>
    <w:rsid w:val="009B0CEB"/>
    <w:rsid w:val="009B1B3D"/>
    <w:rsid w:val="009B24DA"/>
    <w:rsid w:val="009B4667"/>
    <w:rsid w:val="009B49F7"/>
    <w:rsid w:val="009B4C5F"/>
    <w:rsid w:val="009B5069"/>
    <w:rsid w:val="009B5B1F"/>
    <w:rsid w:val="009B64AA"/>
    <w:rsid w:val="009B6B68"/>
    <w:rsid w:val="009C09BC"/>
    <w:rsid w:val="009C1C73"/>
    <w:rsid w:val="009C29ED"/>
    <w:rsid w:val="009C398F"/>
    <w:rsid w:val="009C3EE7"/>
    <w:rsid w:val="009C6414"/>
    <w:rsid w:val="009C6950"/>
    <w:rsid w:val="009C7839"/>
    <w:rsid w:val="009D0260"/>
    <w:rsid w:val="009D0B31"/>
    <w:rsid w:val="009D0CE9"/>
    <w:rsid w:val="009D1656"/>
    <w:rsid w:val="009D1796"/>
    <w:rsid w:val="009D3AEC"/>
    <w:rsid w:val="009D4CE5"/>
    <w:rsid w:val="009D53BC"/>
    <w:rsid w:val="009D5704"/>
    <w:rsid w:val="009D6061"/>
    <w:rsid w:val="009D7123"/>
    <w:rsid w:val="009D72BB"/>
    <w:rsid w:val="009D7535"/>
    <w:rsid w:val="009E0EF9"/>
    <w:rsid w:val="009E1DCF"/>
    <w:rsid w:val="009E318E"/>
    <w:rsid w:val="009E4068"/>
    <w:rsid w:val="009E73C1"/>
    <w:rsid w:val="009E7914"/>
    <w:rsid w:val="009E7BE5"/>
    <w:rsid w:val="009E7CBE"/>
    <w:rsid w:val="009F0FC3"/>
    <w:rsid w:val="009F1F37"/>
    <w:rsid w:val="009F2C47"/>
    <w:rsid w:val="009F5AE7"/>
    <w:rsid w:val="009F6E93"/>
    <w:rsid w:val="00A01C90"/>
    <w:rsid w:val="00A04454"/>
    <w:rsid w:val="00A044D0"/>
    <w:rsid w:val="00A04BDD"/>
    <w:rsid w:val="00A057FD"/>
    <w:rsid w:val="00A05BEC"/>
    <w:rsid w:val="00A0695F"/>
    <w:rsid w:val="00A07AE6"/>
    <w:rsid w:val="00A14880"/>
    <w:rsid w:val="00A15729"/>
    <w:rsid w:val="00A1592C"/>
    <w:rsid w:val="00A16C42"/>
    <w:rsid w:val="00A1747B"/>
    <w:rsid w:val="00A20699"/>
    <w:rsid w:val="00A21085"/>
    <w:rsid w:val="00A2184F"/>
    <w:rsid w:val="00A25C34"/>
    <w:rsid w:val="00A2687E"/>
    <w:rsid w:val="00A275CF"/>
    <w:rsid w:val="00A30C47"/>
    <w:rsid w:val="00A344A4"/>
    <w:rsid w:val="00A345A5"/>
    <w:rsid w:val="00A366D9"/>
    <w:rsid w:val="00A371BD"/>
    <w:rsid w:val="00A40106"/>
    <w:rsid w:val="00A4029C"/>
    <w:rsid w:val="00A40873"/>
    <w:rsid w:val="00A40F4D"/>
    <w:rsid w:val="00A44F2E"/>
    <w:rsid w:val="00A456E5"/>
    <w:rsid w:val="00A47555"/>
    <w:rsid w:val="00A51A04"/>
    <w:rsid w:val="00A5377C"/>
    <w:rsid w:val="00A5415F"/>
    <w:rsid w:val="00A5584F"/>
    <w:rsid w:val="00A560BF"/>
    <w:rsid w:val="00A57933"/>
    <w:rsid w:val="00A6351E"/>
    <w:rsid w:val="00A648C6"/>
    <w:rsid w:val="00A6649A"/>
    <w:rsid w:val="00A6657B"/>
    <w:rsid w:val="00A66B81"/>
    <w:rsid w:val="00A6753D"/>
    <w:rsid w:val="00A700A9"/>
    <w:rsid w:val="00A704C3"/>
    <w:rsid w:val="00A7080D"/>
    <w:rsid w:val="00A7087B"/>
    <w:rsid w:val="00A71CDE"/>
    <w:rsid w:val="00A7289D"/>
    <w:rsid w:val="00A746B0"/>
    <w:rsid w:val="00A76676"/>
    <w:rsid w:val="00A77368"/>
    <w:rsid w:val="00A80B97"/>
    <w:rsid w:val="00A8359F"/>
    <w:rsid w:val="00A84424"/>
    <w:rsid w:val="00A85769"/>
    <w:rsid w:val="00A866A1"/>
    <w:rsid w:val="00A9033E"/>
    <w:rsid w:val="00A908AD"/>
    <w:rsid w:val="00A91047"/>
    <w:rsid w:val="00A91EA2"/>
    <w:rsid w:val="00A93DBA"/>
    <w:rsid w:val="00A95475"/>
    <w:rsid w:val="00A95A54"/>
    <w:rsid w:val="00A96296"/>
    <w:rsid w:val="00A9660C"/>
    <w:rsid w:val="00A9681B"/>
    <w:rsid w:val="00A96C44"/>
    <w:rsid w:val="00A97BD6"/>
    <w:rsid w:val="00AA306E"/>
    <w:rsid w:val="00AA5084"/>
    <w:rsid w:val="00AA6752"/>
    <w:rsid w:val="00AA7025"/>
    <w:rsid w:val="00AA7410"/>
    <w:rsid w:val="00AB2058"/>
    <w:rsid w:val="00AB2695"/>
    <w:rsid w:val="00AB2A46"/>
    <w:rsid w:val="00AB5F96"/>
    <w:rsid w:val="00AB6A95"/>
    <w:rsid w:val="00AC0EAD"/>
    <w:rsid w:val="00AC4288"/>
    <w:rsid w:val="00AC4AE1"/>
    <w:rsid w:val="00AC6F9F"/>
    <w:rsid w:val="00AC7688"/>
    <w:rsid w:val="00AD0D43"/>
    <w:rsid w:val="00AD1D77"/>
    <w:rsid w:val="00AD3778"/>
    <w:rsid w:val="00AD3991"/>
    <w:rsid w:val="00AD3ADD"/>
    <w:rsid w:val="00AD3F4C"/>
    <w:rsid w:val="00AD416F"/>
    <w:rsid w:val="00AD4EBE"/>
    <w:rsid w:val="00AE075C"/>
    <w:rsid w:val="00AE0966"/>
    <w:rsid w:val="00AE14C3"/>
    <w:rsid w:val="00AE264F"/>
    <w:rsid w:val="00AE3445"/>
    <w:rsid w:val="00AE5BEB"/>
    <w:rsid w:val="00AE64E7"/>
    <w:rsid w:val="00AE6C86"/>
    <w:rsid w:val="00AE7DE7"/>
    <w:rsid w:val="00AF0E4E"/>
    <w:rsid w:val="00AF187D"/>
    <w:rsid w:val="00AF5211"/>
    <w:rsid w:val="00AF52C4"/>
    <w:rsid w:val="00AF605A"/>
    <w:rsid w:val="00AF6197"/>
    <w:rsid w:val="00B002E1"/>
    <w:rsid w:val="00B017B0"/>
    <w:rsid w:val="00B03BC9"/>
    <w:rsid w:val="00B04033"/>
    <w:rsid w:val="00B05385"/>
    <w:rsid w:val="00B11BAE"/>
    <w:rsid w:val="00B124E8"/>
    <w:rsid w:val="00B12C9C"/>
    <w:rsid w:val="00B12EED"/>
    <w:rsid w:val="00B14500"/>
    <w:rsid w:val="00B145B4"/>
    <w:rsid w:val="00B14C81"/>
    <w:rsid w:val="00B16E00"/>
    <w:rsid w:val="00B207EB"/>
    <w:rsid w:val="00B24E23"/>
    <w:rsid w:val="00B24EC6"/>
    <w:rsid w:val="00B2525D"/>
    <w:rsid w:val="00B305E5"/>
    <w:rsid w:val="00B30FFD"/>
    <w:rsid w:val="00B3347B"/>
    <w:rsid w:val="00B35869"/>
    <w:rsid w:val="00B36415"/>
    <w:rsid w:val="00B4118B"/>
    <w:rsid w:val="00B428AF"/>
    <w:rsid w:val="00B44400"/>
    <w:rsid w:val="00B44878"/>
    <w:rsid w:val="00B45F70"/>
    <w:rsid w:val="00B46566"/>
    <w:rsid w:val="00B4764A"/>
    <w:rsid w:val="00B504C9"/>
    <w:rsid w:val="00B50E28"/>
    <w:rsid w:val="00B551CD"/>
    <w:rsid w:val="00B55260"/>
    <w:rsid w:val="00B55A60"/>
    <w:rsid w:val="00B562FE"/>
    <w:rsid w:val="00B56334"/>
    <w:rsid w:val="00B60D9D"/>
    <w:rsid w:val="00B65BEC"/>
    <w:rsid w:val="00B66FE3"/>
    <w:rsid w:val="00B67F82"/>
    <w:rsid w:val="00B70060"/>
    <w:rsid w:val="00B705EB"/>
    <w:rsid w:val="00B72598"/>
    <w:rsid w:val="00B728C9"/>
    <w:rsid w:val="00B72EBF"/>
    <w:rsid w:val="00B73BC1"/>
    <w:rsid w:val="00B73FA4"/>
    <w:rsid w:val="00B77251"/>
    <w:rsid w:val="00B8100E"/>
    <w:rsid w:val="00B843B6"/>
    <w:rsid w:val="00B8712B"/>
    <w:rsid w:val="00B875A7"/>
    <w:rsid w:val="00B912A2"/>
    <w:rsid w:val="00B915CC"/>
    <w:rsid w:val="00B9366C"/>
    <w:rsid w:val="00B968BD"/>
    <w:rsid w:val="00B97586"/>
    <w:rsid w:val="00B97736"/>
    <w:rsid w:val="00BA21B5"/>
    <w:rsid w:val="00BA28A2"/>
    <w:rsid w:val="00BA5265"/>
    <w:rsid w:val="00BA564D"/>
    <w:rsid w:val="00BA69CF"/>
    <w:rsid w:val="00BA6A10"/>
    <w:rsid w:val="00BA72F5"/>
    <w:rsid w:val="00BB0E71"/>
    <w:rsid w:val="00BB2FEB"/>
    <w:rsid w:val="00BB5E21"/>
    <w:rsid w:val="00BB600F"/>
    <w:rsid w:val="00BC127A"/>
    <w:rsid w:val="00BC1924"/>
    <w:rsid w:val="00BC2E30"/>
    <w:rsid w:val="00BC3FD8"/>
    <w:rsid w:val="00BC47F0"/>
    <w:rsid w:val="00BC524A"/>
    <w:rsid w:val="00BC5BD9"/>
    <w:rsid w:val="00BD13A4"/>
    <w:rsid w:val="00BD18BC"/>
    <w:rsid w:val="00BD7183"/>
    <w:rsid w:val="00BD7230"/>
    <w:rsid w:val="00BD78D9"/>
    <w:rsid w:val="00BE05C6"/>
    <w:rsid w:val="00BE0E68"/>
    <w:rsid w:val="00BE1EE0"/>
    <w:rsid w:val="00BE2246"/>
    <w:rsid w:val="00BE49B4"/>
    <w:rsid w:val="00BE564A"/>
    <w:rsid w:val="00BE5C3D"/>
    <w:rsid w:val="00BE7703"/>
    <w:rsid w:val="00BF05D6"/>
    <w:rsid w:val="00BF0D24"/>
    <w:rsid w:val="00BF171A"/>
    <w:rsid w:val="00BF1911"/>
    <w:rsid w:val="00BF20C6"/>
    <w:rsid w:val="00BF3389"/>
    <w:rsid w:val="00BF4C6A"/>
    <w:rsid w:val="00BF4DCB"/>
    <w:rsid w:val="00BF4F16"/>
    <w:rsid w:val="00C0096E"/>
    <w:rsid w:val="00C01FCB"/>
    <w:rsid w:val="00C022E4"/>
    <w:rsid w:val="00C02A11"/>
    <w:rsid w:val="00C03613"/>
    <w:rsid w:val="00C05BC5"/>
    <w:rsid w:val="00C06ED0"/>
    <w:rsid w:val="00C0714D"/>
    <w:rsid w:val="00C073AA"/>
    <w:rsid w:val="00C0752E"/>
    <w:rsid w:val="00C10CE1"/>
    <w:rsid w:val="00C114F0"/>
    <w:rsid w:val="00C116D7"/>
    <w:rsid w:val="00C11C58"/>
    <w:rsid w:val="00C138F3"/>
    <w:rsid w:val="00C141E4"/>
    <w:rsid w:val="00C16520"/>
    <w:rsid w:val="00C16CEC"/>
    <w:rsid w:val="00C17886"/>
    <w:rsid w:val="00C2066D"/>
    <w:rsid w:val="00C23977"/>
    <w:rsid w:val="00C23CD5"/>
    <w:rsid w:val="00C24386"/>
    <w:rsid w:val="00C2547B"/>
    <w:rsid w:val="00C26A8B"/>
    <w:rsid w:val="00C30ABA"/>
    <w:rsid w:val="00C32806"/>
    <w:rsid w:val="00C33A08"/>
    <w:rsid w:val="00C3420E"/>
    <w:rsid w:val="00C34492"/>
    <w:rsid w:val="00C34728"/>
    <w:rsid w:val="00C36459"/>
    <w:rsid w:val="00C41895"/>
    <w:rsid w:val="00C43DBF"/>
    <w:rsid w:val="00C444EE"/>
    <w:rsid w:val="00C50CE3"/>
    <w:rsid w:val="00C523B7"/>
    <w:rsid w:val="00C55A41"/>
    <w:rsid w:val="00C56572"/>
    <w:rsid w:val="00C57047"/>
    <w:rsid w:val="00C57987"/>
    <w:rsid w:val="00C57A21"/>
    <w:rsid w:val="00C626E6"/>
    <w:rsid w:val="00C628AD"/>
    <w:rsid w:val="00C63523"/>
    <w:rsid w:val="00C6370D"/>
    <w:rsid w:val="00C63AEC"/>
    <w:rsid w:val="00C70321"/>
    <w:rsid w:val="00C7039C"/>
    <w:rsid w:val="00C70FD6"/>
    <w:rsid w:val="00C71205"/>
    <w:rsid w:val="00C722D6"/>
    <w:rsid w:val="00C7256A"/>
    <w:rsid w:val="00C7424C"/>
    <w:rsid w:val="00C74CF0"/>
    <w:rsid w:val="00C757F6"/>
    <w:rsid w:val="00C77141"/>
    <w:rsid w:val="00C85DBD"/>
    <w:rsid w:val="00C870EE"/>
    <w:rsid w:val="00C91328"/>
    <w:rsid w:val="00C91C50"/>
    <w:rsid w:val="00C93ABF"/>
    <w:rsid w:val="00C93AF5"/>
    <w:rsid w:val="00C93C42"/>
    <w:rsid w:val="00C93E75"/>
    <w:rsid w:val="00C94E23"/>
    <w:rsid w:val="00C95790"/>
    <w:rsid w:val="00C97047"/>
    <w:rsid w:val="00C972A6"/>
    <w:rsid w:val="00CA133E"/>
    <w:rsid w:val="00CA226B"/>
    <w:rsid w:val="00CA3B09"/>
    <w:rsid w:val="00CA4910"/>
    <w:rsid w:val="00CA547C"/>
    <w:rsid w:val="00CA5F01"/>
    <w:rsid w:val="00CA679B"/>
    <w:rsid w:val="00CA748A"/>
    <w:rsid w:val="00CB03F1"/>
    <w:rsid w:val="00CB1900"/>
    <w:rsid w:val="00CB1FFE"/>
    <w:rsid w:val="00CB5241"/>
    <w:rsid w:val="00CB62D4"/>
    <w:rsid w:val="00CC13F1"/>
    <w:rsid w:val="00CC1D7D"/>
    <w:rsid w:val="00CC375C"/>
    <w:rsid w:val="00CC5F11"/>
    <w:rsid w:val="00CC63A0"/>
    <w:rsid w:val="00CC699E"/>
    <w:rsid w:val="00CC73A0"/>
    <w:rsid w:val="00CD0CE5"/>
    <w:rsid w:val="00CD2A6F"/>
    <w:rsid w:val="00CD36EF"/>
    <w:rsid w:val="00CD41E9"/>
    <w:rsid w:val="00CD57B8"/>
    <w:rsid w:val="00CD6E8E"/>
    <w:rsid w:val="00CE0EB3"/>
    <w:rsid w:val="00CE1D94"/>
    <w:rsid w:val="00CE2D41"/>
    <w:rsid w:val="00CE4541"/>
    <w:rsid w:val="00CE5EE5"/>
    <w:rsid w:val="00CE64B4"/>
    <w:rsid w:val="00CE6E5A"/>
    <w:rsid w:val="00CE7A25"/>
    <w:rsid w:val="00CF24C1"/>
    <w:rsid w:val="00CF32CD"/>
    <w:rsid w:val="00CF35C1"/>
    <w:rsid w:val="00CF3A68"/>
    <w:rsid w:val="00CF3DAB"/>
    <w:rsid w:val="00CF5166"/>
    <w:rsid w:val="00CF76A9"/>
    <w:rsid w:val="00D02317"/>
    <w:rsid w:val="00D02680"/>
    <w:rsid w:val="00D02C50"/>
    <w:rsid w:val="00D058E1"/>
    <w:rsid w:val="00D069D7"/>
    <w:rsid w:val="00D06BBC"/>
    <w:rsid w:val="00D108E0"/>
    <w:rsid w:val="00D113C6"/>
    <w:rsid w:val="00D12017"/>
    <w:rsid w:val="00D1352A"/>
    <w:rsid w:val="00D168ED"/>
    <w:rsid w:val="00D1713A"/>
    <w:rsid w:val="00D17265"/>
    <w:rsid w:val="00D219E5"/>
    <w:rsid w:val="00D228F5"/>
    <w:rsid w:val="00D22FE2"/>
    <w:rsid w:val="00D240F9"/>
    <w:rsid w:val="00D25DC0"/>
    <w:rsid w:val="00D26A3A"/>
    <w:rsid w:val="00D26B8F"/>
    <w:rsid w:val="00D306B4"/>
    <w:rsid w:val="00D314BF"/>
    <w:rsid w:val="00D31716"/>
    <w:rsid w:val="00D31D62"/>
    <w:rsid w:val="00D31FFB"/>
    <w:rsid w:val="00D33329"/>
    <w:rsid w:val="00D34AA5"/>
    <w:rsid w:val="00D356CC"/>
    <w:rsid w:val="00D35DD4"/>
    <w:rsid w:val="00D37B83"/>
    <w:rsid w:val="00D37C55"/>
    <w:rsid w:val="00D46703"/>
    <w:rsid w:val="00D475D5"/>
    <w:rsid w:val="00D54021"/>
    <w:rsid w:val="00D55A82"/>
    <w:rsid w:val="00D564DA"/>
    <w:rsid w:val="00D575B3"/>
    <w:rsid w:val="00D6170A"/>
    <w:rsid w:val="00D61F1A"/>
    <w:rsid w:val="00D662AB"/>
    <w:rsid w:val="00D679EC"/>
    <w:rsid w:val="00D70159"/>
    <w:rsid w:val="00D70C0B"/>
    <w:rsid w:val="00D71EB4"/>
    <w:rsid w:val="00D728DA"/>
    <w:rsid w:val="00D735BA"/>
    <w:rsid w:val="00D75BE2"/>
    <w:rsid w:val="00D75E1B"/>
    <w:rsid w:val="00D75E50"/>
    <w:rsid w:val="00D77751"/>
    <w:rsid w:val="00D83F34"/>
    <w:rsid w:val="00D85A4C"/>
    <w:rsid w:val="00D87706"/>
    <w:rsid w:val="00D90D9A"/>
    <w:rsid w:val="00D9541D"/>
    <w:rsid w:val="00D96150"/>
    <w:rsid w:val="00D97BA1"/>
    <w:rsid w:val="00DA2E71"/>
    <w:rsid w:val="00DA2FF4"/>
    <w:rsid w:val="00DA6428"/>
    <w:rsid w:val="00DA6BFD"/>
    <w:rsid w:val="00DA702C"/>
    <w:rsid w:val="00DA728B"/>
    <w:rsid w:val="00DA7415"/>
    <w:rsid w:val="00DA7599"/>
    <w:rsid w:val="00DB1707"/>
    <w:rsid w:val="00DB1773"/>
    <w:rsid w:val="00DB1C4E"/>
    <w:rsid w:val="00DB1CA2"/>
    <w:rsid w:val="00DC3950"/>
    <w:rsid w:val="00DC5768"/>
    <w:rsid w:val="00DC70F0"/>
    <w:rsid w:val="00DC7F03"/>
    <w:rsid w:val="00DD1CA3"/>
    <w:rsid w:val="00DD5BC4"/>
    <w:rsid w:val="00DE0BDB"/>
    <w:rsid w:val="00DE22F1"/>
    <w:rsid w:val="00DE3C6D"/>
    <w:rsid w:val="00DE5C48"/>
    <w:rsid w:val="00DE7E26"/>
    <w:rsid w:val="00DF15E7"/>
    <w:rsid w:val="00DF1D00"/>
    <w:rsid w:val="00DF2478"/>
    <w:rsid w:val="00DF364B"/>
    <w:rsid w:val="00DF496D"/>
    <w:rsid w:val="00DF50F1"/>
    <w:rsid w:val="00DF65D7"/>
    <w:rsid w:val="00DF7B54"/>
    <w:rsid w:val="00E00C35"/>
    <w:rsid w:val="00E018C8"/>
    <w:rsid w:val="00E043CE"/>
    <w:rsid w:val="00E04E37"/>
    <w:rsid w:val="00E05421"/>
    <w:rsid w:val="00E055C3"/>
    <w:rsid w:val="00E07C2E"/>
    <w:rsid w:val="00E11062"/>
    <w:rsid w:val="00E11996"/>
    <w:rsid w:val="00E13185"/>
    <w:rsid w:val="00E1369C"/>
    <w:rsid w:val="00E1461C"/>
    <w:rsid w:val="00E15180"/>
    <w:rsid w:val="00E16400"/>
    <w:rsid w:val="00E171C1"/>
    <w:rsid w:val="00E20017"/>
    <w:rsid w:val="00E2138C"/>
    <w:rsid w:val="00E21FEB"/>
    <w:rsid w:val="00E222AC"/>
    <w:rsid w:val="00E22B3C"/>
    <w:rsid w:val="00E23C14"/>
    <w:rsid w:val="00E244AD"/>
    <w:rsid w:val="00E27F45"/>
    <w:rsid w:val="00E3049D"/>
    <w:rsid w:val="00E33B50"/>
    <w:rsid w:val="00E36D25"/>
    <w:rsid w:val="00E43A28"/>
    <w:rsid w:val="00E46361"/>
    <w:rsid w:val="00E52373"/>
    <w:rsid w:val="00E549CC"/>
    <w:rsid w:val="00E54ED4"/>
    <w:rsid w:val="00E55756"/>
    <w:rsid w:val="00E574C0"/>
    <w:rsid w:val="00E57711"/>
    <w:rsid w:val="00E5775F"/>
    <w:rsid w:val="00E57A89"/>
    <w:rsid w:val="00E600C7"/>
    <w:rsid w:val="00E63A35"/>
    <w:rsid w:val="00E63CC4"/>
    <w:rsid w:val="00E65DBB"/>
    <w:rsid w:val="00E66686"/>
    <w:rsid w:val="00E66C64"/>
    <w:rsid w:val="00E67E22"/>
    <w:rsid w:val="00E739A4"/>
    <w:rsid w:val="00E73D04"/>
    <w:rsid w:val="00E75A84"/>
    <w:rsid w:val="00E75C0A"/>
    <w:rsid w:val="00E8355B"/>
    <w:rsid w:val="00E83841"/>
    <w:rsid w:val="00E85621"/>
    <w:rsid w:val="00E866B4"/>
    <w:rsid w:val="00E87D9F"/>
    <w:rsid w:val="00E91613"/>
    <w:rsid w:val="00E933B0"/>
    <w:rsid w:val="00E9363A"/>
    <w:rsid w:val="00E95217"/>
    <w:rsid w:val="00E979A9"/>
    <w:rsid w:val="00E97DCD"/>
    <w:rsid w:val="00EA02CF"/>
    <w:rsid w:val="00EA112E"/>
    <w:rsid w:val="00EA22BF"/>
    <w:rsid w:val="00EA37AA"/>
    <w:rsid w:val="00EA3D47"/>
    <w:rsid w:val="00EA3FDE"/>
    <w:rsid w:val="00EA6B76"/>
    <w:rsid w:val="00EA7313"/>
    <w:rsid w:val="00EA7BEC"/>
    <w:rsid w:val="00EB04AF"/>
    <w:rsid w:val="00EB0925"/>
    <w:rsid w:val="00EB2A49"/>
    <w:rsid w:val="00EB2B47"/>
    <w:rsid w:val="00EB35B1"/>
    <w:rsid w:val="00EB6927"/>
    <w:rsid w:val="00EC0476"/>
    <w:rsid w:val="00EC0BAA"/>
    <w:rsid w:val="00EC62E4"/>
    <w:rsid w:val="00ED078F"/>
    <w:rsid w:val="00ED283B"/>
    <w:rsid w:val="00ED5C72"/>
    <w:rsid w:val="00ED647B"/>
    <w:rsid w:val="00ED7067"/>
    <w:rsid w:val="00ED78A6"/>
    <w:rsid w:val="00EE07AF"/>
    <w:rsid w:val="00EE08D1"/>
    <w:rsid w:val="00EE1097"/>
    <w:rsid w:val="00EE199A"/>
    <w:rsid w:val="00EE203D"/>
    <w:rsid w:val="00EE23CF"/>
    <w:rsid w:val="00EE296C"/>
    <w:rsid w:val="00EE3D86"/>
    <w:rsid w:val="00EE3E07"/>
    <w:rsid w:val="00EE4146"/>
    <w:rsid w:val="00EE5448"/>
    <w:rsid w:val="00EE5A3A"/>
    <w:rsid w:val="00EE5E8C"/>
    <w:rsid w:val="00EE5FDE"/>
    <w:rsid w:val="00EE75CA"/>
    <w:rsid w:val="00EE7717"/>
    <w:rsid w:val="00EE7ACE"/>
    <w:rsid w:val="00EF008E"/>
    <w:rsid w:val="00EF0824"/>
    <w:rsid w:val="00EF28F9"/>
    <w:rsid w:val="00EF3899"/>
    <w:rsid w:val="00EF4496"/>
    <w:rsid w:val="00EF4E4E"/>
    <w:rsid w:val="00EF7FDE"/>
    <w:rsid w:val="00F0023F"/>
    <w:rsid w:val="00F00360"/>
    <w:rsid w:val="00F01E0E"/>
    <w:rsid w:val="00F04E5F"/>
    <w:rsid w:val="00F04F20"/>
    <w:rsid w:val="00F074B7"/>
    <w:rsid w:val="00F11065"/>
    <w:rsid w:val="00F11BFF"/>
    <w:rsid w:val="00F1390F"/>
    <w:rsid w:val="00F13E78"/>
    <w:rsid w:val="00F140E9"/>
    <w:rsid w:val="00F151FE"/>
    <w:rsid w:val="00F15E6F"/>
    <w:rsid w:val="00F17401"/>
    <w:rsid w:val="00F1767B"/>
    <w:rsid w:val="00F2034B"/>
    <w:rsid w:val="00F20FFF"/>
    <w:rsid w:val="00F21F66"/>
    <w:rsid w:val="00F31514"/>
    <w:rsid w:val="00F3220E"/>
    <w:rsid w:val="00F351BA"/>
    <w:rsid w:val="00F36CA2"/>
    <w:rsid w:val="00F403E4"/>
    <w:rsid w:val="00F414EE"/>
    <w:rsid w:val="00F47D5F"/>
    <w:rsid w:val="00F5362A"/>
    <w:rsid w:val="00F545DF"/>
    <w:rsid w:val="00F57718"/>
    <w:rsid w:val="00F60912"/>
    <w:rsid w:val="00F60F0A"/>
    <w:rsid w:val="00F641E7"/>
    <w:rsid w:val="00F64532"/>
    <w:rsid w:val="00F6453A"/>
    <w:rsid w:val="00F6710C"/>
    <w:rsid w:val="00F67E74"/>
    <w:rsid w:val="00F7008D"/>
    <w:rsid w:val="00F744BE"/>
    <w:rsid w:val="00F74541"/>
    <w:rsid w:val="00F7487E"/>
    <w:rsid w:val="00F74DF2"/>
    <w:rsid w:val="00F75074"/>
    <w:rsid w:val="00F807C6"/>
    <w:rsid w:val="00F8485F"/>
    <w:rsid w:val="00F87478"/>
    <w:rsid w:val="00F90956"/>
    <w:rsid w:val="00F91443"/>
    <w:rsid w:val="00F94353"/>
    <w:rsid w:val="00F94620"/>
    <w:rsid w:val="00F96AB1"/>
    <w:rsid w:val="00F97012"/>
    <w:rsid w:val="00FA04F9"/>
    <w:rsid w:val="00FA1127"/>
    <w:rsid w:val="00FA454D"/>
    <w:rsid w:val="00FA4803"/>
    <w:rsid w:val="00FA4C1B"/>
    <w:rsid w:val="00FA57BD"/>
    <w:rsid w:val="00FB0519"/>
    <w:rsid w:val="00FB2850"/>
    <w:rsid w:val="00FB2BF7"/>
    <w:rsid w:val="00FB2E35"/>
    <w:rsid w:val="00FB2EFF"/>
    <w:rsid w:val="00FB33AA"/>
    <w:rsid w:val="00FB39A9"/>
    <w:rsid w:val="00FB4F13"/>
    <w:rsid w:val="00FB6AD6"/>
    <w:rsid w:val="00FC10F9"/>
    <w:rsid w:val="00FC12E7"/>
    <w:rsid w:val="00FC305B"/>
    <w:rsid w:val="00FC6751"/>
    <w:rsid w:val="00FD0207"/>
    <w:rsid w:val="00FD1E21"/>
    <w:rsid w:val="00FD3B37"/>
    <w:rsid w:val="00FD5652"/>
    <w:rsid w:val="00FE0B41"/>
    <w:rsid w:val="00FE0D61"/>
    <w:rsid w:val="00FE0ED1"/>
    <w:rsid w:val="00FE1A92"/>
    <w:rsid w:val="00FE2167"/>
    <w:rsid w:val="00FE3132"/>
    <w:rsid w:val="00FE3BAE"/>
    <w:rsid w:val="00FE6A55"/>
    <w:rsid w:val="00FF1349"/>
    <w:rsid w:val="00FF22BE"/>
    <w:rsid w:val="00FF23A3"/>
    <w:rsid w:val="00FF42FA"/>
    <w:rsid w:val="00FF5E96"/>
    <w:rsid w:val="0312406B"/>
    <w:rsid w:val="09BC1D72"/>
    <w:rsid w:val="13251973"/>
    <w:rsid w:val="2313B047"/>
    <w:rsid w:val="266A9792"/>
    <w:rsid w:val="272F431A"/>
    <w:rsid w:val="2800BE4B"/>
    <w:rsid w:val="282C7509"/>
    <w:rsid w:val="363586B4"/>
    <w:rsid w:val="467786EB"/>
    <w:rsid w:val="467FFAA7"/>
    <w:rsid w:val="4B8600EA"/>
    <w:rsid w:val="4DC1E93B"/>
    <w:rsid w:val="500DB490"/>
    <w:rsid w:val="5072DEF8"/>
    <w:rsid w:val="57422680"/>
    <w:rsid w:val="5DB89030"/>
    <w:rsid w:val="62C96935"/>
    <w:rsid w:val="6C9E15F3"/>
    <w:rsid w:val="70743BC3"/>
    <w:rsid w:val="71C3A5D6"/>
    <w:rsid w:val="72664A45"/>
    <w:rsid w:val="77FF8733"/>
    <w:rsid w:val="78F281FF"/>
    <w:rsid w:val="7D4B0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EACF1"/>
  <w15:chartTrackingRefBased/>
  <w15:docId w15:val="{5A6AE2BC-B1B4-4BB7-90CB-1DA1BCCB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6B"/>
    <w:pPr>
      <w:spacing w:after="200" w:line="276" w:lineRule="auto"/>
    </w:pPr>
    <w:rPr>
      <w:rFonts w:ascii="Calibri" w:eastAsia="Calibri" w:hAnsi="Calibri" w:cs="Times New Roman"/>
      <w:lang w:val="es-CO"/>
    </w:rPr>
  </w:style>
  <w:style w:type="paragraph" w:styleId="Ttulo2">
    <w:name w:val="heading 2"/>
    <w:basedOn w:val="Normal"/>
    <w:next w:val="Normal"/>
    <w:link w:val="Ttulo2Car"/>
    <w:semiHidden/>
    <w:unhideWhenUsed/>
    <w:qFormat/>
    <w:rsid w:val="00925FA1"/>
    <w:pPr>
      <w:keepNext/>
      <w:spacing w:after="0" w:line="360" w:lineRule="auto"/>
      <w:jc w:val="both"/>
      <w:outlineLvl w:val="1"/>
    </w:pPr>
    <w:rPr>
      <w:rFonts w:ascii="Bookman Old Style" w:eastAsia="Times New Roman" w:hAnsi="Bookman Old Style"/>
      <w:b/>
      <w:sz w:val="24"/>
      <w:szCs w:val="24"/>
      <w:lang w:val="es-ES" w:eastAsia="es-ES"/>
    </w:rPr>
  </w:style>
  <w:style w:type="paragraph" w:styleId="Ttulo3">
    <w:name w:val="heading 3"/>
    <w:basedOn w:val="Normal"/>
    <w:next w:val="Normal"/>
    <w:link w:val="Ttulo3Car"/>
    <w:uiPriority w:val="9"/>
    <w:semiHidden/>
    <w:unhideWhenUsed/>
    <w:qFormat/>
    <w:rsid w:val="001A57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E7CBE"/>
    <w:pPr>
      <w:ind w:left="720"/>
      <w:contextualSpacing/>
    </w:pPr>
  </w:style>
  <w:style w:type="paragraph" w:styleId="Encabezado">
    <w:name w:val="header"/>
    <w:basedOn w:val="Normal"/>
    <w:link w:val="EncabezadoCar"/>
    <w:uiPriority w:val="99"/>
    <w:unhideWhenUsed/>
    <w:rsid w:val="009E7C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7CBE"/>
    <w:rPr>
      <w:rFonts w:ascii="Calibri" w:eastAsia="Calibri" w:hAnsi="Calibri" w:cs="Times New Roman"/>
      <w:lang w:val="es-CO"/>
    </w:rPr>
  </w:style>
  <w:style w:type="paragraph" w:styleId="Textonotapie">
    <w:name w:val="footnote text"/>
    <w:aliases w:val="Ref. de nota al pie1,referencia nota al pie,Texto de nota al pie,Footnote symbol,Footnote,Appel note de bas de page,Ref. de nota al pie 2,Footnotes refss,Fago Fußnotenzeichen,Footnote number,BVI fnr,f,4_G,16 Point,Superscript 6 Point,Ref"/>
    <w:basedOn w:val="Normal"/>
    <w:link w:val="TextonotapieCar"/>
    <w:uiPriority w:val="99"/>
    <w:qFormat/>
    <w:rsid w:val="009E7CB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Footnote symbol Car,Footnote Car,Appel note de bas de page Car,Ref. de nota al pie 2 Car,Footnotes refss Car,Fago Fußnotenzeichen Car,Footnote number Car"/>
    <w:basedOn w:val="Fuentedeprrafopredeter"/>
    <w:link w:val="Textonotapie"/>
    <w:uiPriority w:val="99"/>
    <w:qFormat/>
    <w:rsid w:val="009E7CBE"/>
    <w:rPr>
      <w:rFonts w:ascii="Times New Roman" w:eastAsia="Times New Roman" w:hAnsi="Times New Roman" w:cs="Times New Roman"/>
      <w:sz w:val="20"/>
      <w:szCs w:val="20"/>
      <w:lang w:eastAsia="es-ES"/>
    </w:rPr>
  </w:style>
  <w:style w:type="table" w:styleId="Tablaconcuadrcula">
    <w:name w:val="Table Grid"/>
    <w:basedOn w:val="Tablanormal"/>
    <w:uiPriority w:val="59"/>
    <w:rsid w:val="009E7CBE"/>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nota al pie,Pie de Página,FC,Texto de nota al pi,Pie de P_gi,Footnote Reference Char3,Footnote Reference Char1 Char,FA Fu Car2 Car,Ref. de nota al pie2,Nota de pie,Pie de pagina,Ref. de nota al,Footno,Texto nota pie Car2"/>
    <w:basedOn w:val="Fuentedeprrafopredeter"/>
    <w:link w:val="4GChar"/>
    <w:unhideWhenUsed/>
    <w:qFormat/>
    <w:rsid w:val="009E7CBE"/>
    <w:rPr>
      <w:vertAlign w:val="superscript"/>
    </w:rPr>
  </w:style>
  <w:style w:type="character" w:styleId="Hipervnculo">
    <w:name w:val="Hyperlink"/>
    <w:basedOn w:val="Fuentedeprrafopredeter"/>
    <w:uiPriority w:val="99"/>
    <w:unhideWhenUsed/>
    <w:rsid w:val="009E7CBE"/>
    <w:rPr>
      <w:color w:val="0563C1" w:themeColor="hyperlink"/>
      <w:u w:val="single"/>
    </w:rPr>
  </w:style>
  <w:style w:type="paragraph" w:styleId="Piedepgina">
    <w:name w:val="footer"/>
    <w:basedOn w:val="Normal"/>
    <w:link w:val="PiedepginaCar"/>
    <w:uiPriority w:val="99"/>
    <w:unhideWhenUsed/>
    <w:rsid w:val="007F07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742"/>
    <w:rPr>
      <w:rFonts w:ascii="Calibri" w:eastAsia="Calibri" w:hAnsi="Calibri" w:cs="Times New Roman"/>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77422"/>
    <w:pPr>
      <w:spacing w:after="0" w:line="240" w:lineRule="auto"/>
      <w:jc w:val="both"/>
    </w:pPr>
    <w:rPr>
      <w:rFonts w:asciiTheme="minorHAnsi" w:eastAsiaTheme="minorHAnsi" w:hAnsiTheme="minorHAnsi" w:cstheme="minorBidi"/>
      <w:vertAlign w:val="superscript"/>
      <w:lang w:val="es-ES"/>
    </w:rPr>
  </w:style>
  <w:style w:type="paragraph" w:customStyle="1" w:styleId="Car">
    <w:name w:val="Car"/>
    <w:basedOn w:val="Normal"/>
    <w:rsid w:val="00FB2850"/>
    <w:pPr>
      <w:spacing w:after="160" w:line="240" w:lineRule="exact"/>
    </w:pPr>
    <w:rPr>
      <w:rFonts w:ascii="Times New Roman" w:eastAsia="Times New Roman" w:hAnsi="Times New Roman"/>
      <w:noProof/>
      <w:color w:val="000000"/>
      <w:sz w:val="20"/>
      <w:szCs w:val="20"/>
      <w:lang w:eastAsia="es-ES"/>
    </w:rPr>
  </w:style>
  <w:style w:type="paragraph" w:styleId="Textodeglobo">
    <w:name w:val="Balloon Text"/>
    <w:basedOn w:val="Normal"/>
    <w:link w:val="TextodegloboCar"/>
    <w:uiPriority w:val="99"/>
    <w:semiHidden/>
    <w:unhideWhenUsed/>
    <w:rsid w:val="002C5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9A3"/>
    <w:rPr>
      <w:rFonts w:ascii="Segoe UI" w:eastAsia="Calibri" w:hAnsi="Segoe UI" w:cs="Segoe UI"/>
      <w:sz w:val="18"/>
      <w:szCs w:val="18"/>
      <w:lang w:val="es-CO"/>
    </w:rPr>
  </w:style>
  <w:style w:type="paragraph" w:styleId="Ttulo">
    <w:name w:val="Title"/>
    <w:basedOn w:val="Normal"/>
    <w:link w:val="TtuloCar"/>
    <w:qFormat/>
    <w:rsid w:val="009C7839"/>
    <w:pPr>
      <w:overflowPunct w:val="0"/>
      <w:autoSpaceDE w:val="0"/>
      <w:autoSpaceDN w:val="0"/>
      <w:adjustRightInd w:val="0"/>
      <w:spacing w:after="0" w:line="360" w:lineRule="auto"/>
      <w:jc w:val="center"/>
      <w:textAlignment w:val="baseline"/>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9C7839"/>
    <w:rPr>
      <w:rFonts w:ascii="Tahoma" w:eastAsia="Times New Roman" w:hAnsi="Tahoma" w:cs="Tahoma"/>
      <w:b/>
      <w:bCs/>
      <w:sz w:val="24"/>
      <w:szCs w:val="24"/>
      <w:lang w:val="es-ES_tradnl" w:eastAsia="es-ES"/>
    </w:rPr>
  </w:style>
  <w:style w:type="paragraph" w:styleId="NormalWeb">
    <w:name w:val="Normal (Web)"/>
    <w:basedOn w:val="Normal"/>
    <w:uiPriority w:val="99"/>
    <w:rsid w:val="00986C2A"/>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basedOn w:val="Fuentedeprrafopredeter"/>
    <w:rsid w:val="00986C2A"/>
  </w:style>
  <w:style w:type="character" w:customStyle="1" w:styleId="iaj">
    <w:name w:val="i_aj"/>
    <w:basedOn w:val="Fuentedeprrafopredeter"/>
    <w:rsid w:val="00A560BF"/>
  </w:style>
  <w:style w:type="paragraph" w:customStyle="1" w:styleId="paragraph">
    <w:name w:val="paragraph"/>
    <w:basedOn w:val="Normal"/>
    <w:rsid w:val="005E4D4F"/>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5E4D4F"/>
  </w:style>
  <w:style w:type="character" w:customStyle="1" w:styleId="eop">
    <w:name w:val="eop"/>
    <w:basedOn w:val="Fuentedeprrafopredeter"/>
    <w:rsid w:val="005E4D4F"/>
  </w:style>
  <w:style w:type="character" w:customStyle="1" w:styleId="PrrafodelistaCar">
    <w:name w:val="Párrafo de lista Car"/>
    <w:link w:val="Prrafodelista"/>
    <w:uiPriority w:val="34"/>
    <w:locked/>
    <w:rsid w:val="00062A7D"/>
    <w:rPr>
      <w:rFonts w:ascii="Calibri" w:eastAsia="Calibri" w:hAnsi="Calibri" w:cs="Times New Roman"/>
      <w:lang w:val="es-CO"/>
    </w:rPr>
  </w:style>
  <w:style w:type="character" w:customStyle="1" w:styleId="Ttulo2Car">
    <w:name w:val="Título 2 Car"/>
    <w:basedOn w:val="Fuentedeprrafopredeter"/>
    <w:link w:val="Ttulo2"/>
    <w:semiHidden/>
    <w:rsid w:val="00925FA1"/>
    <w:rPr>
      <w:rFonts w:ascii="Bookman Old Style" w:eastAsia="Times New Roman" w:hAnsi="Bookman Old Style" w:cs="Times New Roman"/>
      <w:b/>
      <w:sz w:val="24"/>
      <w:szCs w:val="24"/>
      <w:lang w:eastAsia="es-ES"/>
    </w:rPr>
  </w:style>
  <w:style w:type="character" w:styleId="Textoennegrita">
    <w:name w:val="Strong"/>
    <w:basedOn w:val="Fuentedeprrafopredeter"/>
    <w:uiPriority w:val="22"/>
    <w:qFormat/>
    <w:rsid w:val="00095F91"/>
    <w:rPr>
      <w:b/>
      <w:bCs/>
    </w:rPr>
  </w:style>
  <w:style w:type="paragraph" w:customStyle="1" w:styleId="nospacing">
    <w:name w:val="nospacing"/>
    <w:basedOn w:val="Normal"/>
    <w:rsid w:val="00095F91"/>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Ttulo3Car">
    <w:name w:val="Título 3 Car"/>
    <w:basedOn w:val="Fuentedeprrafopredeter"/>
    <w:link w:val="Ttulo3"/>
    <w:uiPriority w:val="9"/>
    <w:semiHidden/>
    <w:rsid w:val="001A5771"/>
    <w:rPr>
      <w:rFonts w:asciiTheme="majorHAnsi" w:eastAsiaTheme="majorEastAsia" w:hAnsiTheme="majorHAnsi" w:cstheme="majorBidi"/>
      <w:color w:val="1F4D78" w:themeColor="accent1" w:themeShade="7F"/>
      <w:sz w:val="24"/>
      <w:szCs w:val="24"/>
      <w:lang w:val="es-CO"/>
    </w:rPr>
  </w:style>
  <w:style w:type="paragraph" w:styleId="Textoindependiente">
    <w:name w:val="Body Text"/>
    <w:basedOn w:val="Normal"/>
    <w:link w:val="TextoindependienteCar"/>
    <w:uiPriority w:val="99"/>
    <w:semiHidden/>
    <w:rsid w:val="00CE1D94"/>
    <w:pPr>
      <w:spacing w:after="0" w:line="240" w:lineRule="auto"/>
      <w:jc w:val="both"/>
    </w:pPr>
    <w:rPr>
      <w:rFonts w:ascii="Times New Roman" w:eastAsia="Times New Roman" w:hAnsi="Times New Roman"/>
      <w:sz w:val="28"/>
      <w:szCs w:val="24"/>
      <w:lang w:val="es-ES" w:eastAsia="es-ES"/>
    </w:rPr>
  </w:style>
  <w:style w:type="character" w:customStyle="1" w:styleId="TextoindependienteCar">
    <w:name w:val="Texto independiente Car"/>
    <w:basedOn w:val="Fuentedeprrafopredeter"/>
    <w:link w:val="Textoindependiente"/>
    <w:uiPriority w:val="99"/>
    <w:semiHidden/>
    <w:rsid w:val="00CE1D94"/>
    <w:rPr>
      <w:rFonts w:ascii="Times New Roman" w:eastAsia="Times New Roman" w:hAnsi="Times New Roman" w:cs="Times New Roman"/>
      <w:sz w:val="28"/>
      <w:szCs w:val="24"/>
      <w:lang w:eastAsia="es-E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CO"/>
    </w:rPr>
  </w:style>
  <w:style w:type="character" w:styleId="Refdecomentario">
    <w:name w:val="annotation reference"/>
    <w:basedOn w:val="Fuentedeprrafopredeter"/>
    <w:uiPriority w:val="99"/>
    <w:semiHidden/>
    <w:unhideWhenUsed/>
    <w:rPr>
      <w:sz w:val="16"/>
      <w:szCs w:val="16"/>
    </w:rPr>
  </w:style>
  <w:style w:type="paragraph" w:customStyle="1" w:styleId="Prrafonormal">
    <w:name w:val="Párrafo normal"/>
    <w:basedOn w:val="Normal"/>
    <w:autoRedefine/>
    <w:qFormat/>
    <w:rsid w:val="0013043D"/>
    <w:pPr>
      <w:widowControl w:val="0"/>
      <w:spacing w:after="0" w:line="360" w:lineRule="auto"/>
      <w:jc w:val="both"/>
    </w:pPr>
    <w:rPr>
      <w:rFonts w:ascii="Bookman Old Style" w:eastAsia="Dotum" w:hAnsi="Bookman Old Style" w:cs="Tahoma"/>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36415"/>
    <w:rPr>
      <w:b/>
      <w:bCs/>
    </w:rPr>
  </w:style>
  <w:style w:type="character" w:customStyle="1" w:styleId="AsuntodelcomentarioCar">
    <w:name w:val="Asunto del comentario Car"/>
    <w:basedOn w:val="TextocomentarioCar"/>
    <w:link w:val="Asuntodelcomentario"/>
    <w:uiPriority w:val="99"/>
    <w:semiHidden/>
    <w:rsid w:val="00B36415"/>
    <w:rPr>
      <w:rFonts w:ascii="Calibri" w:eastAsia="Calibri" w:hAnsi="Calibri" w:cs="Times New Roman"/>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468">
      <w:bodyDiv w:val="1"/>
      <w:marLeft w:val="0"/>
      <w:marRight w:val="0"/>
      <w:marTop w:val="0"/>
      <w:marBottom w:val="0"/>
      <w:divBdr>
        <w:top w:val="none" w:sz="0" w:space="0" w:color="auto"/>
        <w:left w:val="none" w:sz="0" w:space="0" w:color="auto"/>
        <w:bottom w:val="none" w:sz="0" w:space="0" w:color="auto"/>
        <w:right w:val="none" w:sz="0" w:space="0" w:color="auto"/>
      </w:divBdr>
    </w:div>
    <w:div w:id="37053080">
      <w:bodyDiv w:val="1"/>
      <w:marLeft w:val="0"/>
      <w:marRight w:val="0"/>
      <w:marTop w:val="0"/>
      <w:marBottom w:val="0"/>
      <w:divBdr>
        <w:top w:val="none" w:sz="0" w:space="0" w:color="auto"/>
        <w:left w:val="none" w:sz="0" w:space="0" w:color="auto"/>
        <w:bottom w:val="none" w:sz="0" w:space="0" w:color="auto"/>
        <w:right w:val="none" w:sz="0" w:space="0" w:color="auto"/>
      </w:divBdr>
    </w:div>
    <w:div w:id="66154911">
      <w:bodyDiv w:val="1"/>
      <w:marLeft w:val="0"/>
      <w:marRight w:val="0"/>
      <w:marTop w:val="0"/>
      <w:marBottom w:val="0"/>
      <w:divBdr>
        <w:top w:val="none" w:sz="0" w:space="0" w:color="auto"/>
        <w:left w:val="none" w:sz="0" w:space="0" w:color="auto"/>
        <w:bottom w:val="none" w:sz="0" w:space="0" w:color="auto"/>
        <w:right w:val="none" w:sz="0" w:space="0" w:color="auto"/>
      </w:divBdr>
    </w:div>
    <w:div w:id="173151871">
      <w:bodyDiv w:val="1"/>
      <w:marLeft w:val="0"/>
      <w:marRight w:val="0"/>
      <w:marTop w:val="0"/>
      <w:marBottom w:val="0"/>
      <w:divBdr>
        <w:top w:val="none" w:sz="0" w:space="0" w:color="auto"/>
        <w:left w:val="none" w:sz="0" w:space="0" w:color="auto"/>
        <w:bottom w:val="none" w:sz="0" w:space="0" w:color="auto"/>
        <w:right w:val="none" w:sz="0" w:space="0" w:color="auto"/>
      </w:divBdr>
    </w:div>
    <w:div w:id="194123505">
      <w:bodyDiv w:val="1"/>
      <w:marLeft w:val="0"/>
      <w:marRight w:val="0"/>
      <w:marTop w:val="0"/>
      <w:marBottom w:val="0"/>
      <w:divBdr>
        <w:top w:val="none" w:sz="0" w:space="0" w:color="auto"/>
        <w:left w:val="none" w:sz="0" w:space="0" w:color="auto"/>
        <w:bottom w:val="none" w:sz="0" w:space="0" w:color="auto"/>
        <w:right w:val="none" w:sz="0" w:space="0" w:color="auto"/>
      </w:divBdr>
    </w:div>
    <w:div w:id="211964679">
      <w:bodyDiv w:val="1"/>
      <w:marLeft w:val="0"/>
      <w:marRight w:val="0"/>
      <w:marTop w:val="0"/>
      <w:marBottom w:val="0"/>
      <w:divBdr>
        <w:top w:val="none" w:sz="0" w:space="0" w:color="auto"/>
        <w:left w:val="none" w:sz="0" w:space="0" w:color="auto"/>
        <w:bottom w:val="none" w:sz="0" w:space="0" w:color="auto"/>
        <w:right w:val="none" w:sz="0" w:space="0" w:color="auto"/>
      </w:divBdr>
    </w:div>
    <w:div w:id="239491062">
      <w:bodyDiv w:val="1"/>
      <w:marLeft w:val="0"/>
      <w:marRight w:val="0"/>
      <w:marTop w:val="0"/>
      <w:marBottom w:val="0"/>
      <w:divBdr>
        <w:top w:val="none" w:sz="0" w:space="0" w:color="auto"/>
        <w:left w:val="none" w:sz="0" w:space="0" w:color="auto"/>
        <w:bottom w:val="none" w:sz="0" w:space="0" w:color="auto"/>
        <w:right w:val="none" w:sz="0" w:space="0" w:color="auto"/>
      </w:divBdr>
    </w:div>
    <w:div w:id="264584642">
      <w:bodyDiv w:val="1"/>
      <w:marLeft w:val="0"/>
      <w:marRight w:val="0"/>
      <w:marTop w:val="0"/>
      <w:marBottom w:val="0"/>
      <w:divBdr>
        <w:top w:val="none" w:sz="0" w:space="0" w:color="auto"/>
        <w:left w:val="none" w:sz="0" w:space="0" w:color="auto"/>
        <w:bottom w:val="none" w:sz="0" w:space="0" w:color="auto"/>
        <w:right w:val="none" w:sz="0" w:space="0" w:color="auto"/>
      </w:divBdr>
    </w:div>
    <w:div w:id="318726832">
      <w:bodyDiv w:val="1"/>
      <w:marLeft w:val="0"/>
      <w:marRight w:val="0"/>
      <w:marTop w:val="0"/>
      <w:marBottom w:val="0"/>
      <w:divBdr>
        <w:top w:val="none" w:sz="0" w:space="0" w:color="auto"/>
        <w:left w:val="none" w:sz="0" w:space="0" w:color="auto"/>
        <w:bottom w:val="none" w:sz="0" w:space="0" w:color="auto"/>
        <w:right w:val="none" w:sz="0" w:space="0" w:color="auto"/>
      </w:divBdr>
    </w:div>
    <w:div w:id="349453606">
      <w:bodyDiv w:val="1"/>
      <w:marLeft w:val="0"/>
      <w:marRight w:val="0"/>
      <w:marTop w:val="0"/>
      <w:marBottom w:val="0"/>
      <w:divBdr>
        <w:top w:val="none" w:sz="0" w:space="0" w:color="auto"/>
        <w:left w:val="none" w:sz="0" w:space="0" w:color="auto"/>
        <w:bottom w:val="none" w:sz="0" w:space="0" w:color="auto"/>
        <w:right w:val="none" w:sz="0" w:space="0" w:color="auto"/>
      </w:divBdr>
    </w:div>
    <w:div w:id="367681819">
      <w:bodyDiv w:val="1"/>
      <w:marLeft w:val="0"/>
      <w:marRight w:val="0"/>
      <w:marTop w:val="0"/>
      <w:marBottom w:val="0"/>
      <w:divBdr>
        <w:top w:val="none" w:sz="0" w:space="0" w:color="auto"/>
        <w:left w:val="none" w:sz="0" w:space="0" w:color="auto"/>
        <w:bottom w:val="none" w:sz="0" w:space="0" w:color="auto"/>
        <w:right w:val="none" w:sz="0" w:space="0" w:color="auto"/>
      </w:divBdr>
    </w:div>
    <w:div w:id="387724973">
      <w:bodyDiv w:val="1"/>
      <w:marLeft w:val="0"/>
      <w:marRight w:val="0"/>
      <w:marTop w:val="0"/>
      <w:marBottom w:val="0"/>
      <w:divBdr>
        <w:top w:val="none" w:sz="0" w:space="0" w:color="auto"/>
        <w:left w:val="none" w:sz="0" w:space="0" w:color="auto"/>
        <w:bottom w:val="none" w:sz="0" w:space="0" w:color="auto"/>
        <w:right w:val="none" w:sz="0" w:space="0" w:color="auto"/>
      </w:divBdr>
    </w:div>
    <w:div w:id="424502274">
      <w:bodyDiv w:val="1"/>
      <w:marLeft w:val="0"/>
      <w:marRight w:val="0"/>
      <w:marTop w:val="0"/>
      <w:marBottom w:val="0"/>
      <w:divBdr>
        <w:top w:val="none" w:sz="0" w:space="0" w:color="auto"/>
        <w:left w:val="none" w:sz="0" w:space="0" w:color="auto"/>
        <w:bottom w:val="none" w:sz="0" w:space="0" w:color="auto"/>
        <w:right w:val="none" w:sz="0" w:space="0" w:color="auto"/>
      </w:divBdr>
    </w:div>
    <w:div w:id="449321103">
      <w:bodyDiv w:val="1"/>
      <w:marLeft w:val="0"/>
      <w:marRight w:val="0"/>
      <w:marTop w:val="0"/>
      <w:marBottom w:val="0"/>
      <w:divBdr>
        <w:top w:val="none" w:sz="0" w:space="0" w:color="auto"/>
        <w:left w:val="none" w:sz="0" w:space="0" w:color="auto"/>
        <w:bottom w:val="none" w:sz="0" w:space="0" w:color="auto"/>
        <w:right w:val="none" w:sz="0" w:space="0" w:color="auto"/>
      </w:divBdr>
    </w:div>
    <w:div w:id="452793444">
      <w:bodyDiv w:val="1"/>
      <w:marLeft w:val="0"/>
      <w:marRight w:val="0"/>
      <w:marTop w:val="0"/>
      <w:marBottom w:val="0"/>
      <w:divBdr>
        <w:top w:val="none" w:sz="0" w:space="0" w:color="auto"/>
        <w:left w:val="none" w:sz="0" w:space="0" w:color="auto"/>
        <w:bottom w:val="none" w:sz="0" w:space="0" w:color="auto"/>
        <w:right w:val="none" w:sz="0" w:space="0" w:color="auto"/>
      </w:divBdr>
    </w:div>
    <w:div w:id="476069418">
      <w:bodyDiv w:val="1"/>
      <w:marLeft w:val="0"/>
      <w:marRight w:val="0"/>
      <w:marTop w:val="0"/>
      <w:marBottom w:val="0"/>
      <w:divBdr>
        <w:top w:val="none" w:sz="0" w:space="0" w:color="auto"/>
        <w:left w:val="none" w:sz="0" w:space="0" w:color="auto"/>
        <w:bottom w:val="none" w:sz="0" w:space="0" w:color="auto"/>
        <w:right w:val="none" w:sz="0" w:space="0" w:color="auto"/>
      </w:divBdr>
    </w:div>
    <w:div w:id="490604593">
      <w:bodyDiv w:val="1"/>
      <w:marLeft w:val="0"/>
      <w:marRight w:val="0"/>
      <w:marTop w:val="0"/>
      <w:marBottom w:val="0"/>
      <w:divBdr>
        <w:top w:val="none" w:sz="0" w:space="0" w:color="auto"/>
        <w:left w:val="none" w:sz="0" w:space="0" w:color="auto"/>
        <w:bottom w:val="none" w:sz="0" w:space="0" w:color="auto"/>
        <w:right w:val="none" w:sz="0" w:space="0" w:color="auto"/>
      </w:divBdr>
    </w:div>
    <w:div w:id="513151143">
      <w:bodyDiv w:val="1"/>
      <w:marLeft w:val="0"/>
      <w:marRight w:val="0"/>
      <w:marTop w:val="0"/>
      <w:marBottom w:val="0"/>
      <w:divBdr>
        <w:top w:val="none" w:sz="0" w:space="0" w:color="auto"/>
        <w:left w:val="none" w:sz="0" w:space="0" w:color="auto"/>
        <w:bottom w:val="none" w:sz="0" w:space="0" w:color="auto"/>
        <w:right w:val="none" w:sz="0" w:space="0" w:color="auto"/>
      </w:divBdr>
    </w:div>
    <w:div w:id="532309048">
      <w:bodyDiv w:val="1"/>
      <w:marLeft w:val="0"/>
      <w:marRight w:val="0"/>
      <w:marTop w:val="0"/>
      <w:marBottom w:val="0"/>
      <w:divBdr>
        <w:top w:val="none" w:sz="0" w:space="0" w:color="auto"/>
        <w:left w:val="none" w:sz="0" w:space="0" w:color="auto"/>
        <w:bottom w:val="none" w:sz="0" w:space="0" w:color="auto"/>
        <w:right w:val="none" w:sz="0" w:space="0" w:color="auto"/>
      </w:divBdr>
    </w:div>
    <w:div w:id="559363377">
      <w:bodyDiv w:val="1"/>
      <w:marLeft w:val="0"/>
      <w:marRight w:val="0"/>
      <w:marTop w:val="0"/>
      <w:marBottom w:val="0"/>
      <w:divBdr>
        <w:top w:val="none" w:sz="0" w:space="0" w:color="auto"/>
        <w:left w:val="none" w:sz="0" w:space="0" w:color="auto"/>
        <w:bottom w:val="none" w:sz="0" w:space="0" w:color="auto"/>
        <w:right w:val="none" w:sz="0" w:space="0" w:color="auto"/>
      </w:divBdr>
    </w:div>
    <w:div w:id="562716211">
      <w:bodyDiv w:val="1"/>
      <w:marLeft w:val="0"/>
      <w:marRight w:val="0"/>
      <w:marTop w:val="0"/>
      <w:marBottom w:val="0"/>
      <w:divBdr>
        <w:top w:val="none" w:sz="0" w:space="0" w:color="auto"/>
        <w:left w:val="none" w:sz="0" w:space="0" w:color="auto"/>
        <w:bottom w:val="none" w:sz="0" w:space="0" w:color="auto"/>
        <w:right w:val="none" w:sz="0" w:space="0" w:color="auto"/>
      </w:divBdr>
    </w:div>
    <w:div w:id="611400296">
      <w:bodyDiv w:val="1"/>
      <w:marLeft w:val="0"/>
      <w:marRight w:val="0"/>
      <w:marTop w:val="0"/>
      <w:marBottom w:val="0"/>
      <w:divBdr>
        <w:top w:val="none" w:sz="0" w:space="0" w:color="auto"/>
        <w:left w:val="none" w:sz="0" w:space="0" w:color="auto"/>
        <w:bottom w:val="none" w:sz="0" w:space="0" w:color="auto"/>
        <w:right w:val="none" w:sz="0" w:space="0" w:color="auto"/>
      </w:divBdr>
    </w:div>
    <w:div w:id="611668391">
      <w:bodyDiv w:val="1"/>
      <w:marLeft w:val="0"/>
      <w:marRight w:val="0"/>
      <w:marTop w:val="0"/>
      <w:marBottom w:val="0"/>
      <w:divBdr>
        <w:top w:val="none" w:sz="0" w:space="0" w:color="auto"/>
        <w:left w:val="none" w:sz="0" w:space="0" w:color="auto"/>
        <w:bottom w:val="none" w:sz="0" w:space="0" w:color="auto"/>
        <w:right w:val="none" w:sz="0" w:space="0" w:color="auto"/>
      </w:divBdr>
    </w:div>
    <w:div w:id="618074765">
      <w:bodyDiv w:val="1"/>
      <w:marLeft w:val="0"/>
      <w:marRight w:val="0"/>
      <w:marTop w:val="0"/>
      <w:marBottom w:val="0"/>
      <w:divBdr>
        <w:top w:val="none" w:sz="0" w:space="0" w:color="auto"/>
        <w:left w:val="none" w:sz="0" w:space="0" w:color="auto"/>
        <w:bottom w:val="none" w:sz="0" w:space="0" w:color="auto"/>
        <w:right w:val="none" w:sz="0" w:space="0" w:color="auto"/>
      </w:divBdr>
    </w:div>
    <w:div w:id="664433530">
      <w:bodyDiv w:val="1"/>
      <w:marLeft w:val="0"/>
      <w:marRight w:val="0"/>
      <w:marTop w:val="0"/>
      <w:marBottom w:val="0"/>
      <w:divBdr>
        <w:top w:val="none" w:sz="0" w:space="0" w:color="auto"/>
        <w:left w:val="none" w:sz="0" w:space="0" w:color="auto"/>
        <w:bottom w:val="none" w:sz="0" w:space="0" w:color="auto"/>
        <w:right w:val="none" w:sz="0" w:space="0" w:color="auto"/>
      </w:divBdr>
    </w:div>
    <w:div w:id="665866819">
      <w:bodyDiv w:val="1"/>
      <w:marLeft w:val="0"/>
      <w:marRight w:val="0"/>
      <w:marTop w:val="0"/>
      <w:marBottom w:val="0"/>
      <w:divBdr>
        <w:top w:val="none" w:sz="0" w:space="0" w:color="auto"/>
        <w:left w:val="none" w:sz="0" w:space="0" w:color="auto"/>
        <w:bottom w:val="none" w:sz="0" w:space="0" w:color="auto"/>
        <w:right w:val="none" w:sz="0" w:space="0" w:color="auto"/>
      </w:divBdr>
    </w:div>
    <w:div w:id="675814553">
      <w:bodyDiv w:val="1"/>
      <w:marLeft w:val="0"/>
      <w:marRight w:val="0"/>
      <w:marTop w:val="0"/>
      <w:marBottom w:val="0"/>
      <w:divBdr>
        <w:top w:val="none" w:sz="0" w:space="0" w:color="auto"/>
        <w:left w:val="none" w:sz="0" w:space="0" w:color="auto"/>
        <w:bottom w:val="none" w:sz="0" w:space="0" w:color="auto"/>
        <w:right w:val="none" w:sz="0" w:space="0" w:color="auto"/>
      </w:divBdr>
    </w:div>
    <w:div w:id="707343085">
      <w:bodyDiv w:val="1"/>
      <w:marLeft w:val="0"/>
      <w:marRight w:val="0"/>
      <w:marTop w:val="0"/>
      <w:marBottom w:val="0"/>
      <w:divBdr>
        <w:top w:val="none" w:sz="0" w:space="0" w:color="auto"/>
        <w:left w:val="none" w:sz="0" w:space="0" w:color="auto"/>
        <w:bottom w:val="none" w:sz="0" w:space="0" w:color="auto"/>
        <w:right w:val="none" w:sz="0" w:space="0" w:color="auto"/>
      </w:divBdr>
    </w:div>
    <w:div w:id="716198549">
      <w:bodyDiv w:val="1"/>
      <w:marLeft w:val="0"/>
      <w:marRight w:val="0"/>
      <w:marTop w:val="0"/>
      <w:marBottom w:val="0"/>
      <w:divBdr>
        <w:top w:val="none" w:sz="0" w:space="0" w:color="auto"/>
        <w:left w:val="none" w:sz="0" w:space="0" w:color="auto"/>
        <w:bottom w:val="none" w:sz="0" w:space="0" w:color="auto"/>
        <w:right w:val="none" w:sz="0" w:space="0" w:color="auto"/>
      </w:divBdr>
    </w:div>
    <w:div w:id="754127510">
      <w:bodyDiv w:val="1"/>
      <w:marLeft w:val="0"/>
      <w:marRight w:val="0"/>
      <w:marTop w:val="0"/>
      <w:marBottom w:val="0"/>
      <w:divBdr>
        <w:top w:val="none" w:sz="0" w:space="0" w:color="auto"/>
        <w:left w:val="none" w:sz="0" w:space="0" w:color="auto"/>
        <w:bottom w:val="none" w:sz="0" w:space="0" w:color="auto"/>
        <w:right w:val="none" w:sz="0" w:space="0" w:color="auto"/>
      </w:divBdr>
    </w:div>
    <w:div w:id="795835237">
      <w:bodyDiv w:val="1"/>
      <w:marLeft w:val="0"/>
      <w:marRight w:val="0"/>
      <w:marTop w:val="0"/>
      <w:marBottom w:val="0"/>
      <w:divBdr>
        <w:top w:val="none" w:sz="0" w:space="0" w:color="auto"/>
        <w:left w:val="none" w:sz="0" w:space="0" w:color="auto"/>
        <w:bottom w:val="none" w:sz="0" w:space="0" w:color="auto"/>
        <w:right w:val="none" w:sz="0" w:space="0" w:color="auto"/>
      </w:divBdr>
    </w:div>
    <w:div w:id="810247103">
      <w:bodyDiv w:val="1"/>
      <w:marLeft w:val="0"/>
      <w:marRight w:val="0"/>
      <w:marTop w:val="0"/>
      <w:marBottom w:val="0"/>
      <w:divBdr>
        <w:top w:val="none" w:sz="0" w:space="0" w:color="auto"/>
        <w:left w:val="none" w:sz="0" w:space="0" w:color="auto"/>
        <w:bottom w:val="none" w:sz="0" w:space="0" w:color="auto"/>
        <w:right w:val="none" w:sz="0" w:space="0" w:color="auto"/>
      </w:divBdr>
    </w:div>
    <w:div w:id="915092617">
      <w:bodyDiv w:val="1"/>
      <w:marLeft w:val="0"/>
      <w:marRight w:val="0"/>
      <w:marTop w:val="0"/>
      <w:marBottom w:val="0"/>
      <w:divBdr>
        <w:top w:val="none" w:sz="0" w:space="0" w:color="auto"/>
        <w:left w:val="none" w:sz="0" w:space="0" w:color="auto"/>
        <w:bottom w:val="none" w:sz="0" w:space="0" w:color="auto"/>
        <w:right w:val="none" w:sz="0" w:space="0" w:color="auto"/>
      </w:divBdr>
    </w:div>
    <w:div w:id="981808846">
      <w:bodyDiv w:val="1"/>
      <w:marLeft w:val="0"/>
      <w:marRight w:val="0"/>
      <w:marTop w:val="0"/>
      <w:marBottom w:val="0"/>
      <w:divBdr>
        <w:top w:val="none" w:sz="0" w:space="0" w:color="auto"/>
        <w:left w:val="none" w:sz="0" w:space="0" w:color="auto"/>
        <w:bottom w:val="none" w:sz="0" w:space="0" w:color="auto"/>
        <w:right w:val="none" w:sz="0" w:space="0" w:color="auto"/>
      </w:divBdr>
    </w:div>
    <w:div w:id="1001658812">
      <w:bodyDiv w:val="1"/>
      <w:marLeft w:val="0"/>
      <w:marRight w:val="0"/>
      <w:marTop w:val="0"/>
      <w:marBottom w:val="0"/>
      <w:divBdr>
        <w:top w:val="none" w:sz="0" w:space="0" w:color="auto"/>
        <w:left w:val="none" w:sz="0" w:space="0" w:color="auto"/>
        <w:bottom w:val="none" w:sz="0" w:space="0" w:color="auto"/>
        <w:right w:val="none" w:sz="0" w:space="0" w:color="auto"/>
      </w:divBdr>
    </w:div>
    <w:div w:id="1012683093">
      <w:bodyDiv w:val="1"/>
      <w:marLeft w:val="0"/>
      <w:marRight w:val="0"/>
      <w:marTop w:val="0"/>
      <w:marBottom w:val="0"/>
      <w:divBdr>
        <w:top w:val="none" w:sz="0" w:space="0" w:color="auto"/>
        <w:left w:val="none" w:sz="0" w:space="0" w:color="auto"/>
        <w:bottom w:val="none" w:sz="0" w:space="0" w:color="auto"/>
        <w:right w:val="none" w:sz="0" w:space="0" w:color="auto"/>
      </w:divBdr>
    </w:div>
    <w:div w:id="1030715630">
      <w:bodyDiv w:val="1"/>
      <w:marLeft w:val="0"/>
      <w:marRight w:val="0"/>
      <w:marTop w:val="0"/>
      <w:marBottom w:val="0"/>
      <w:divBdr>
        <w:top w:val="none" w:sz="0" w:space="0" w:color="auto"/>
        <w:left w:val="none" w:sz="0" w:space="0" w:color="auto"/>
        <w:bottom w:val="none" w:sz="0" w:space="0" w:color="auto"/>
        <w:right w:val="none" w:sz="0" w:space="0" w:color="auto"/>
      </w:divBdr>
      <w:divsChild>
        <w:div w:id="1592157383">
          <w:marLeft w:val="0"/>
          <w:marRight w:val="0"/>
          <w:marTop w:val="0"/>
          <w:marBottom w:val="0"/>
          <w:divBdr>
            <w:top w:val="none" w:sz="0" w:space="0" w:color="auto"/>
            <w:left w:val="none" w:sz="0" w:space="0" w:color="auto"/>
            <w:bottom w:val="none" w:sz="0" w:space="0" w:color="auto"/>
            <w:right w:val="none" w:sz="0" w:space="0" w:color="auto"/>
          </w:divBdr>
        </w:div>
      </w:divsChild>
    </w:div>
    <w:div w:id="1048841963">
      <w:bodyDiv w:val="1"/>
      <w:marLeft w:val="0"/>
      <w:marRight w:val="0"/>
      <w:marTop w:val="0"/>
      <w:marBottom w:val="0"/>
      <w:divBdr>
        <w:top w:val="none" w:sz="0" w:space="0" w:color="auto"/>
        <w:left w:val="none" w:sz="0" w:space="0" w:color="auto"/>
        <w:bottom w:val="none" w:sz="0" w:space="0" w:color="auto"/>
        <w:right w:val="none" w:sz="0" w:space="0" w:color="auto"/>
      </w:divBdr>
    </w:div>
    <w:div w:id="1120103146">
      <w:bodyDiv w:val="1"/>
      <w:marLeft w:val="0"/>
      <w:marRight w:val="0"/>
      <w:marTop w:val="0"/>
      <w:marBottom w:val="0"/>
      <w:divBdr>
        <w:top w:val="none" w:sz="0" w:space="0" w:color="auto"/>
        <w:left w:val="none" w:sz="0" w:space="0" w:color="auto"/>
        <w:bottom w:val="none" w:sz="0" w:space="0" w:color="auto"/>
        <w:right w:val="none" w:sz="0" w:space="0" w:color="auto"/>
      </w:divBdr>
    </w:div>
    <w:div w:id="1131636350">
      <w:bodyDiv w:val="1"/>
      <w:marLeft w:val="0"/>
      <w:marRight w:val="0"/>
      <w:marTop w:val="0"/>
      <w:marBottom w:val="0"/>
      <w:divBdr>
        <w:top w:val="none" w:sz="0" w:space="0" w:color="auto"/>
        <w:left w:val="none" w:sz="0" w:space="0" w:color="auto"/>
        <w:bottom w:val="none" w:sz="0" w:space="0" w:color="auto"/>
        <w:right w:val="none" w:sz="0" w:space="0" w:color="auto"/>
      </w:divBdr>
    </w:div>
    <w:div w:id="1132555119">
      <w:bodyDiv w:val="1"/>
      <w:marLeft w:val="0"/>
      <w:marRight w:val="0"/>
      <w:marTop w:val="0"/>
      <w:marBottom w:val="0"/>
      <w:divBdr>
        <w:top w:val="none" w:sz="0" w:space="0" w:color="auto"/>
        <w:left w:val="none" w:sz="0" w:space="0" w:color="auto"/>
        <w:bottom w:val="none" w:sz="0" w:space="0" w:color="auto"/>
        <w:right w:val="none" w:sz="0" w:space="0" w:color="auto"/>
      </w:divBdr>
    </w:div>
    <w:div w:id="1162770635">
      <w:bodyDiv w:val="1"/>
      <w:marLeft w:val="0"/>
      <w:marRight w:val="0"/>
      <w:marTop w:val="0"/>
      <w:marBottom w:val="0"/>
      <w:divBdr>
        <w:top w:val="none" w:sz="0" w:space="0" w:color="auto"/>
        <w:left w:val="none" w:sz="0" w:space="0" w:color="auto"/>
        <w:bottom w:val="none" w:sz="0" w:space="0" w:color="auto"/>
        <w:right w:val="none" w:sz="0" w:space="0" w:color="auto"/>
      </w:divBdr>
    </w:div>
    <w:div w:id="1208953801">
      <w:bodyDiv w:val="1"/>
      <w:marLeft w:val="0"/>
      <w:marRight w:val="0"/>
      <w:marTop w:val="0"/>
      <w:marBottom w:val="0"/>
      <w:divBdr>
        <w:top w:val="none" w:sz="0" w:space="0" w:color="auto"/>
        <w:left w:val="none" w:sz="0" w:space="0" w:color="auto"/>
        <w:bottom w:val="none" w:sz="0" w:space="0" w:color="auto"/>
        <w:right w:val="none" w:sz="0" w:space="0" w:color="auto"/>
      </w:divBdr>
    </w:div>
    <w:div w:id="1212500700">
      <w:bodyDiv w:val="1"/>
      <w:marLeft w:val="0"/>
      <w:marRight w:val="0"/>
      <w:marTop w:val="0"/>
      <w:marBottom w:val="0"/>
      <w:divBdr>
        <w:top w:val="none" w:sz="0" w:space="0" w:color="auto"/>
        <w:left w:val="none" w:sz="0" w:space="0" w:color="auto"/>
        <w:bottom w:val="none" w:sz="0" w:space="0" w:color="auto"/>
        <w:right w:val="none" w:sz="0" w:space="0" w:color="auto"/>
      </w:divBdr>
    </w:div>
    <w:div w:id="1237474549">
      <w:bodyDiv w:val="1"/>
      <w:marLeft w:val="0"/>
      <w:marRight w:val="0"/>
      <w:marTop w:val="0"/>
      <w:marBottom w:val="0"/>
      <w:divBdr>
        <w:top w:val="none" w:sz="0" w:space="0" w:color="auto"/>
        <w:left w:val="none" w:sz="0" w:space="0" w:color="auto"/>
        <w:bottom w:val="none" w:sz="0" w:space="0" w:color="auto"/>
        <w:right w:val="none" w:sz="0" w:space="0" w:color="auto"/>
      </w:divBdr>
    </w:div>
    <w:div w:id="1311054511">
      <w:bodyDiv w:val="1"/>
      <w:marLeft w:val="0"/>
      <w:marRight w:val="0"/>
      <w:marTop w:val="0"/>
      <w:marBottom w:val="0"/>
      <w:divBdr>
        <w:top w:val="none" w:sz="0" w:space="0" w:color="auto"/>
        <w:left w:val="none" w:sz="0" w:space="0" w:color="auto"/>
        <w:bottom w:val="none" w:sz="0" w:space="0" w:color="auto"/>
        <w:right w:val="none" w:sz="0" w:space="0" w:color="auto"/>
      </w:divBdr>
    </w:div>
    <w:div w:id="1340935996">
      <w:bodyDiv w:val="1"/>
      <w:marLeft w:val="0"/>
      <w:marRight w:val="0"/>
      <w:marTop w:val="0"/>
      <w:marBottom w:val="0"/>
      <w:divBdr>
        <w:top w:val="none" w:sz="0" w:space="0" w:color="auto"/>
        <w:left w:val="none" w:sz="0" w:space="0" w:color="auto"/>
        <w:bottom w:val="none" w:sz="0" w:space="0" w:color="auto"/>
        <w:right w:val="none" w:sz="0" w:space="0" w:color="auto"/>
      </w:divBdr>
    </w:div>
    <w:div w:id="1359313486">
      <w:bodyDiv w:val="1"/>
      <w:marLeft w:val="0"/>
      <w:marRight w:val="0"/>
      <w:marTop w:val="0"/>
      <w:marBottom w:val="0"/>
      <w:divBdr>
        <w:top w:val="none" w:sz="0" w:space="0" w:color="auto"/>
        <w:left w:val="none" w:sz="0" w:space="0" w:color="auto"/>
        <w:bottom w:val="none" w:sz="0" w:space="0" w:color="auto"/>
        <w:right w:val="none" w:sz="0" w:space="0" w:color="auto"/>
      </w:divBdr>
    </w:div>
    <w:div w:id="1376274623">
      <w:bodyDiv w:val="1"/>
      <w:marLeft w:val="0"/>
      <w:marRight w:val="0"/>
      <w:marTop w:val="0"/>
      <w:marBottom w:val="0"/>
      <w:divBdr>
        <w:top w:val="none" w:sz="0" w:space="0" w:color="auto"/>
        <w:left w:val="none" w:sz="0" w:space="0" w:color="auto"/>
        <w:bottom w:val="none" w:sz="0" w:space="0" w:color="auto"/>
        <w:right w:val="none" w:sz="0" w:space="0" w:color="auto"/>
      </w:divBdr>
    </w:div>
    <w:div w:id="1391808187">
      <w:bodyDiv w:val="1"/>
      <w:marLeft w:val="0"/>
      <w:marRight w:val="0"/>
      <w:marTop w:val="0"/>
      <w:marBottom w:val="0"/>
      <w:divBdr>
        <w:top w:val="none" w:sz="0" w:space="0" w:color="auto"/>
        <w:left w:val="none" w:sz="0" w:space="0" w:color="auto"/>
        <w:bottom w:val="none" w:sz="0" w:space="0" w:color="auto"/>
        <w:right w:val="none" w:sz="0" w:space="0" w:color="auto"/>
      </w:divBdr>
    </w:div>
    <w:div w:id="1393189517">
      <w:bodyDiv w:val="1"/>
      <w:marLeft w:val="0"/>
      <w:marRight w:val="0"/>
      <w:marTop w:val="0"/>
      <w:marBottom w:val="0"/>
      <w:divBdr>
        <w:top w:val="none" w:sz="0" w:space="0" w:color="auto"/>
        <w:left w:val="none" w:sz="0" w:space="0" w:color="auto"/>
        <w:bottom w:val="none" w:sz="0" w:space="0" w:color="auto"/>
        <w:right w:val="none" w:sz="0" w:space="0" w:color="auto"/>
      </w:divBdr>
    </w:div>
    <w:div w:id="1402562719">
      <w:bodyDiv w:val="1"/>
      <w:marLeft w:val="0"/>
      <w:marRight w:val="0"/>
      <w:marTop w:val="0"/>
      <w:marBottom w:val="0"/>
      <w:divBdr>
        <w:top w:val="none" w:sz="0" w:space="0" w:color="auto"/>
        <w:left w:val="none" w:sz="0" w:space="0" w:color="auto"/>
        <w:bottom w:val="none" w:sz="0" w:space="0" w:color="auto"/>
        <w:right w:val="none" w:sz="0" w:space="0" w:color="auto"/>
      </w:divBdr>
    </w:div>
    <w:div w:id="1439762483">
      <w:bodyDiv w:val="1"/>
      <w:marLeft w:val="0"/>
      <w:marRight w:val="0"/>
      <w:marTop w:val="0"/>
      <w:marBottom w:val="0"/>
      <w:divBdr>
        <w:top w:val="none" w:sz="0" w:space="0" w:color="auto"/>
        <w:left w:val="none" w:sz="0" w:space="0" w:color="auto"/>
        <w:bottom w:val="none" w:sz="0" w:space="0" w:color="auto"/>
        <w:right w:val="none" w:sz="0" w:space="0" w:color="auto"/>
      </w:divBdr>
    </w:div>
    <w:div w:id="1441220052">
      <w:bodyDiv w:val="1"/>
      <w:marLeft w:val="0"/>
      <w:marRight w:val="0"/>
      <w:marTop w:val="0"/>
      <w:marBottom w:val="0"/>
      <w:divBdr>
        <w:top w:val="none" w:sz="0" w:space="0" w:color="auto"/>
        <w:left w:val="none" w:sz="0" w:space="0" w:color="auto"/>
        <w:bottom w:val="none" w:sz="0" w:space="0" w:color="auto"/>
        <w:right w:val="none" w:sz="0" w:space="0" w:color="auto"/>
      </w:divBdr>
    </w:div>
    <w:div w:id="1516191998">
      <w:bodyDiv w:val="1"/>
      <w:marLeft w:val="0"/>
      <w:marRight w:val="0"/>
      <w:marTop w:val="0"/>
      <w:marBottom w:val="0"/>
      <w:divBdr>
        <w:top w:val="none" w:sz="0" w:space="0" w:color="auto"/>
        <w:left w:val="none" w:sz="0" w:space="0" w:color="auto"/>
        <w:bottom w:val="none" w:sz="0" w:space="0" w:color="auto"/>
        <w:right w:val="none" w:sz="0" w:space="0" w:color="auto"/>
      </w:divBdr>
    </w:div>
    <w:div w:id="1583103765">
      <w:bodyDiv w:val="1"/>
      <w:marLeft w:val="0"/>
      <w:marRight w:val="0"/>
      <w:marTop w:val="0"/>
      <w:marBottom w:val="0"/>
      <w:divBdr>
        <w:top w:val="none" w:sz="0" w:space="0" w:color="auto"/>
        <w:left w:val="none" w:sz="0" w:space="0" w:color="auto"/>
        <w:bottom w:val="none" w:sz="0" w:space="0" w:color="auto"/>
        <w:right w:val="none" w:sz="0" w:space="0" w:color="auto"/>
      </w:divBdr>
    </w:div>
    <w:div w:id="1598905377">
      <w:bodyDiv w:val="1"/>
      <w:marLeft w:val="0"/>
      <w:marRight w:val="0"/>
      <w:marTop w:val="0"/>
      <w:marBottom w:val="0"/>
      <w:divBdr>
        <w:top w:val="none" w:sz="0" w:space="0" w:color="auto"/>
        <w:left w:val="none" w:sz="0" w:space="0" w:color="auto"/>
        <w:bottom w:val="none" w:sz="0" w:space="0" w:color="auto"/>
        <w:right w:val="none" w:sz="0" w:space="0" w:color="auto"/>
      </w:divBdr>
    </w:div>
    <w:div w:id="1603802419">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43465585">
      <w:bodyDiv w:val="1"/>
      <w:marLeft w:val="0"/>
      <w:marRight w:val="0"/>
      <w:marTop w:val="0"/>
      <w:marBottom w:val="0"/>
      <w:divBdr>
        <w:top w:val="none" w:sz="0" w:space="0" w:color="auto"/>
        <w:left w:val="none" w:sz="0" w:space="0" w:color="auto"/>
        <w:bottom w:val="none" w:sz="0" w:space="0" w:color="auto"/>
        <w:right w:val="none" w:sz="0" w:space="0" w:color="auto"/>
      </w:divBdr>
    </w:div>
    <w:div w:id="1645695662">
      <w:bodyDiv w:val="1"/>
      <w:marLeft w:val="0"/>
      <w:marRight w:val="0"/>
      <w:marTop w:val="0"/>
      <w:marBottom w:val="0"/>
      <w:divBdr>
        <w:top w:val="none" w:sz="0" w:space="0" w:color="auto"/>
        <w:left w:val="none" w:sz="0" w:space="0" w:color="auto"/>
        <w:bottom w:val="none" w:sz="0" w:space="0" w:color="auto"/>
        <w:right w:val="none" w:sz="0" w:space="0" w:color="auto"/>
      </w:divBdr>
    </w:div>
    <w:div w:id="1706564013">
      <w:bodyDiv w:val="1"/>
      <w:marLeft w:val="0"/>
      <w:marRight w:val="0"/>
      <w:marTop w:val="0"/>
      <w:marBottom w:val="0"/>
      <w:divBdr>
        <w:top w:val="none" w:sz="0" w:space="0" w:color="auto"/>
        <w:left w:val="none" w:sz="0" w:space="0" w:color="auto"/>
        <w:bottom w:val="none" w:sz="0" w:space="0" w:color="auto"/>
        <w:right w:val="none" w:sz="0" w:space="0" w:color="auto"/>
      </w:divBdr>
      <w:divsChild>
        <w:div w:id="1911843877">
          <w:marLeft w:val="0"/>
          <w:marRight w:val="0"/>
          <w:marTop w:val="0"/>
          <w:marBottom w:val="0"/>
          <w:divBdr>
            <w:top w:val="none" w:sz="0" w:space="0" w:color="auto"/>
            <w:left w:val="none" w:sz="0" w:space="0" w:color="auto"/>
            <w:bottom w:val="none" w:sz="0" w:space="0" w:color="auto"/>
            <w:right w:val="none" w:sz="0" w:space="0" w:color="auto"/>
          </w:divBdr>
        </w:div>
      </w:divsChild>
    </w:div>
    <w:div w:id="1743672075">
      <w:bodyDiv w:val="1"/>
      <w:marLeft w:val="0"/>
      <w:marRight w:val="0"/>
      <w:marTop w:val="0"/>
      <w:marBottom w:val="0"/>
      <w:divBdr>
        <w:top w:val="none" w:sz="0" w:space="0" w:color="auto"/>
        <w:left w:val="none" w:sz="0" w:space="0" w:color="auto"/>
        <w:bottom w:val="none" w:sz="0" w:space="0" w:color="auto"/>
        <w:right w:val="none" w:sz="0" w:space="0" w:color="auto"/>
      </w:divBdr>
    </w:div>
    <w:div w:id="1744596081">
      <w:bodyDiv w:val="1"/>
      <w:marLeft w:val="0"/>
      <w:marRight w:val="0"/>
      <w:marTop w:val="0"/>
      <w:marBottom w:val="0"/>
      <w:divBdr>
        <w:top w:val="none" w:sz="0" w:space="0" w:color="auto"/>
        <w:left w:val="none" w:sz="0" w:space="0" w:color="auto"/>
        <w:bottom w:val="none" w:sz="0" w:space="0" w:color="auto"/>
        <w:right w:val="none" w:sz="0" w:space="0" w:color="auto"/>
      </w:divBdr>
    </w:div>
    <w:div w:id="1748377625">
      <w:bodyDiv w:val="1"/>
      <w:marLeft w:val="0"/>
      <w:marRight w:val="0"/>
      <w:marTop w:val="0"/>
      <w:marBottom w:val="0"/>
      <w:divBdr>
        <w:top w:val="none" w:sz="0" w:space="0" w:color="auto"/>
        <w:left w:val="none" w:sz="0" w:space="0" w:color="auto"/>
        <w:bottom w:val="none" w:sz="0" w:space="0" w:color="auto"/>
        <w:right w:val="none" w:sz="0" w:space="0" w:color="auto"/>
      </w:divBdr>
    </w:div>
    <w:div w:id="1766535493">
      <w:bodyDiv w:val="1"/>
      <w:marLeft w:val="0"/>
      <w:marRight w:val="0"/>
      <w:marTop w:val="0"/>
      <w:marBottom w:val="0"/>
      <w:divBdr>
        <w:top w:val="none" w:sz="0" w:space="0" w:color="auto"/>
        <w:left w:val="none" w:sz="0" w:space="0" w:color="auto"/>
        <w:bottom w:val="none" w:sz="0" w:space="0" w:color="auto"/>
        <w:right w:val="none" w:sz="0" w:space="0" w:color="auto"/>
      </w:divBdr>
    </w:div>
    <w:div w:id="1803963473">
      <w:bodyDiv w:val="1"/>
      <w:marLeft w:val="0"/>
      <w:marRight w:val="0"/>
      <w:marTop w:val="0"/>
      <w:marBottom w:val="0"/>
      <w:divBdr>
        <w:top w:val="none" w:sz="0" w:space="0" w:color="auto"/>
        <w:left w:val="none" w:sz="0" w:space="0" w:color="auto"/>
        <w:bottom w:val="none" w:sz="0" w:space="0" w:color="auto"/>
        <w:right w:val="none" w:sz="0" w:space="0" w:color="auto"/>
      </w:divBdr>
    </w:div>
    <w:div w:id="1877423691">
      <w:bodyDiv w:val="1"/>
      <w:marLeft w:val="0"/>
      <w:marRight w:val="0"/>
      <w:marTop w:val="0"/>
      <w:marBottom w:val="0"/>
      <w:divBdr>
        <w:top w:val="none" w:sz="0" w:space="0" w:color="auto"/>
        <w:left w:val="none" w:sz="0" w:space="0" w:color="auto"/>
        <w:bottom w:val="none" w:sz="0" w:space="0" w:color="auto"/>
        <w:right w:val="none" w:sz="0" w:space="0" w:color="auto"/>
      </w:divBdr>
    </w:div>
    <w:div w:id="1877498003">
      <w:bodyDiv w:val="1"/>
      <w:marLeft w:val="0"/>
      <w:marRight w:val="0"/>
      <w:marTop w:val="0"/>
      <w:marBottom w:val="0"/>
      <w:divBdr>
        <w:top w:val="none" w:sz="0" w:space="0" w:color="auto"/>
        <w:left w:val="none" w:sz="0" w:space="0" w:color="auto"/>
        <w:bottom w:val="none" w:sz="0" w:space="0" w:color="auto"/>
        <w:right w:val="none" w:sz="0" w:space="0" w:color="auto"/>
      </w:divBdr>
    </w:div>
    <w:div w:id="1912736979">
      <w:bodyDiv w:val="1"/>
      <w:marLeft w:val="0"/>
      <w:marRight w:val="0"/>
      <w:marTop w:val="0"/>
      <w:marBottom w:val="0"/>
      <w:divBdr>
        <w:top w:val="none" w:sz="0" w:space="0" w:color="auto"/>
        <w:left w:val="none" w:sz="0" w:space="0" w:color="auto"/>
        <w:bottom w:val="none" w:sz="0" w:space="0" w:color="auto"/>
        <w:right w:val="none" w:sz="0" w:space="0" w:color="auto"/>
      </w:divBdr>
    </w:div>
    <w:div w:id="1930843418">
      <w:bodyDiv w:val="1"/>
      <w:marLeft w:val="0"/>
      <w:marRight w:val="0"/>
      <w:marTop w:val="0"/>
      <w:marBottom w:val="0"/>
      <w:divBdr>
        <w:top w:val="none" w:sz="0" w:space="0" w:color="auto"/>
        <w:left w:val="none" w:sz="0" w:space="0" w:color="auto"/>
        <w:bottom w:val="none" w:sz="0" w:space="0" w:color="auto"/>
        <w:right w:val="none" w:sz="0" w:space="0" w:color="auto"/>
      </w:divBdr>
    </w:div>
    <w:div w:id="1969779181">
      <w:bodyDiv w:val="1"/>
      <w:marLeft w:val="0"/>
      <w:marRight w:val="0"/>
      <w:marTop w:val="0"/>
      <w:marBottom w:val="0"/>
      <w:divBdr>
        <w:top w:val="none" w:sz="0" w:space="0" w:color="auto"/>
        <w:left w:val="none" w:sz="0" w:space="0" w:color="auto"/>
        <w:bottom w:val="none" w:sz="0" w:space="0" w:color="auto"/>
        <w:right w:val="none" w:sz="0" w:space="0" w:color="auto"/>
      </w:divBdr>
    </w:div>
    <w:div w:id="2009092743">
      <w:bodyDiv w:val="1"/>
      <w:marLeft w:val="0"/>
      <w:marRight w:val="0"/>
      <w:marTop w:val="0"/>
      <w:marBottom w:val="0"/>
      <w:divBdr>
        <w:top w:val="none" w:sz="0" w:space="0" w:color="auto"/>
        <w:left w:val="none" w:sz="0" w:space="0" w:color="auto"/>
        <w:bottom w:val="none" w:sz="0" w:space="0" w:color="auto"/>
        <w:right w:val="none" w:sz="0" w:space="0" w:color="auto"/>
      </w:divBdr>
    </w:div>
    <w:div w:id="2042440552">
      <w:bodyDiv w:val="1"/>
      <w:marLeft w:val="0"/>
      <w:marRight w:val="0"/>
      <w:marTop w:val="0"/>
      <w:marBottom w:val="0"/>
      <w:divBdr>
        <w:top w:val="none" w:sz="0" w:space="0" w:color="auto"/>
        <w:left w:val="none" w:sz="0" w:space="0" w:color="auto"/>
        <w:bottom w:val="none" w:sz="0" w:space="0" w:color="auto"/>
        <w:right w:val="none" w:sz="0" w:space="0" w:color="auto"/>
      </w:divBdr>
    </w:div>
    <w:div w:id="2065642375">
      <w:bodyDiv w:val="1"/>
      <w:marLeft w:val="0"/>
      <w:marRight w:val="0"/>
      <w:marTop w:val="0"/>
      <w:marBottom w:val="0"/>
      <w:divBdr>
        <w:top w:val="none" w:sz="0" w:space="0" w:color="auto"/>
        <w:left w:val="none" w:sz="0" w:space="0" w:color="auto"/>
        <w:bottom w:val="none" w:sz="0" w:space="0" w:color="auto"/>
        <w:right w:val="none" w:sz="0" w:space="0" w:color="auto"/>
      </w:divBdr>
    </w:div>
    <w:div w:id="2103141323">
      <w:bodyDiv w:val="1"/>
      <w:marLeft w:val="0"/>
      <w:marRight w:val="0"/>
      <w:marTop w:val="0"/>
      <w:marBottom w:val="0"/>
      <w:divBdr>
        <w:top w:val="none" w:sz="0" w:space="0" w:color="auto"/>
        <w:left w:val="none" w:sz="0" w:space="0" w:color="auto"/>
        <w:bottom w:val="none" w:sz="0" w:space="0" w:color="auto"/>
        <w:right w:val="none" w:sz="0" w:space="0" w:color="auto"/>
      </w:divBdr>
    </w:div>
    <w:div w:id="2114086021">
      <w:bodyDiv w:val="1"/>
      <w:marLeft w:val="0"/>
      <w:marRight w:val="0"/>
      <w:marTop w:val="0"/>
      <w:marBottom w:val="0"/>
      <w:divBdr>
        <w:top w:val="none" w:sz="0" w:space="0" w:color="auto"/>
        <w:left w:val="none" w:sz="0" w:space="0" w:color="auto"/>
        <w:bottom w:val="none" w:sz="0" w:space="0" w:color="auto"/>
        <w:right w:val="none" w:sz="0" w:space="0" w:color="auto"/>
      </w:divBdr>
    </w:div>
    <w:div w:id="2115588501">
      <w:bodyDiv w:val="1"/>
      <w:marLeft w:val="0"/>
      <w:marRight w:val="0"/>
      <w:marTop w:val="0"/>
      <w:marBottom w:val="0"/>
      <w:divBdr>
        <w:top w:val="none" w:sz="0" w:space="0" w:color="auto"/>
        <w:left w:val="none" w:sz="0" w:space="0" w:color="auto"/>
        <w:bottom w:val="none" w:sz="0" w:space="0" w:color="auto"/>
        <w:right w:val="none" w:sz="0" w:space="0" w:color="auto"/>
      </w:divBdr>
    </w:div>
    <w:div w:id="21465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4e074ed800c64661"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trabajo.gov.co/documents/20147/51963/Manual+Unico+de+Calificaciones+Decreto.pdf/7d224908-ef78-1b90-0255-f62a3e409e4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61AC-23D3-43E1-B890-84B3011CD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1EEC2-8F44-4C79-A809-E19A3A225FF1}">
  <ds:schemaRefs>
    <ds:schemaRef ds:uri="http://schemas.microsoft.com/sharepoint/v3/contenttype/forms"/>
  </ds:schemaRefs>
</ds:datastoreItem>
</file>

<file path=customXml/itemProps3.xml><?xml version="1.0" encoding="utf-8"?>
<ds:datastoreItem xmlns:ds="http://schemas.openxmlformats.org/officeDocument/2006/customXml" ds:itemID="{24EF4274-555F-4429-900E-C096BD0C60FB}">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4.xml><?xml version="1.0" encoding="utf-8"?>
<ds:datastoreItem xmlns:ds="http://schemas.openxmlformats.org/officeDocument/2006/customXml" ds:itemID="{38A08DA2-52CF-46A0-877E-1D101C0EE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4873</Words>
  <Characters>27777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CAMBIO DE FECHA DE ESTRUCTURACIÓN</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CAMBIO DE FECHA DE ESTRUCTURACIÓN</dc:title>
  <dc:subject>Juliera Ceballos Tabima</dc:subject>
  <dc:creator>Diana Alejandra Zapata Suarez</dc:creator>
  <cp:keywords/>
  <dc:description/>
  <cp:lastModifiedBy>samsung</cp:lastModifiedBy>
  <cp:revision>5</cp:revision>
  <cp:lastPrinted>2019-07-15T19:40:00Z</cp:lastPrinted>
  <dcterms:created xsi:type="dcterms:W3CDTF">2023-11-09T20:40:00Z</dcterms:created>
  <dcterms:modified xsi:type="dcterms:W3CDTF">2024-01-22T12:45:00Z</dcterms:modified>
  <cp:category>SEGURIDAD SOCIAL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