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7C5E6" w14:textId="7892C1FD" w:rsidR="00E60AD5" w:rsidRPr="001B366C" w:rsidRDefault="001B366C" w:rsidP="001B366C">
      <w:pPr>
        <w:spacing w:line="240" w:lineRule="auto"/>
        <w:ind w:firstLine="0"/>
      </w:pPr>
      <w:bookmarkStart w:id="0" w:name="_Hlk146269678"/>
      <w:r>
        <w:rPr>
          <w:rFonts w:eastAsia="Century Gothic"/>
          <w:b/>
          <w:color w:val="auto"/>
          <w:sz w:val="20"/>
        </w:rPr>
        <w:t xml:space="preserve">GARANTÍA DE PENSIÓN MÍNIMA / </w:t>
      </w:r>
      <w:r w:rsidRPr="00000549">
        <w:rPr>
          <w:b/>
          <w:sz w:val="20"/>
        </w:rPr>
        <w:t xml:space="preserve">CONVENIO </w:t>
      </w:r>
      <w:r w:rsidR="00A1673B">
        <w:rPr>
          <w:b/>
          <w:sz w:val="20"/>
        </w:rPr>
        <w:t xml:space="preserve">DE SEGURIDAD SOCIAL </w:t>
      </w:r>
      <w:r w:rsidRPr="00000549">
        <w:rPr>
          <w:b/>
          <w:sz w:val="20"/>
        </w:rPr>
        <w:t>COLOMBIA ESPAÑA</w:t>
      </w:r>
    </w:p>
    <w:p w14:paraId="6CAFF1D4" w14:textId="03960453" w:rsidR="00E60AD5" w:rsidRPr="001B366C" w:rsidRDefault="00B05910" w:rsidP="001B366C">
      <w:pPr>
        <w:spacing w:line="240" w:lineRule="auto"/>
        <w:ind w:firstLine="0"/>
        <w:rPr>
          <w:rFonts w:eastAsia="Century Gothic"/>
          <w:color w:val="auto"/>
          <w:sz w:val="20"/>
        </w:rPr>
      </w:pPr>
      <w:r>
        <w:rPr>
          <w:rFonts w:eastAsia="Century Gothic"/>
          <w:color w:val="auto"/>
          <w:sz w:val="20"/>
        </w:rPr>
        <w:t xml:space="preserve"> </w:t>
      </w:r>
      <w:r w:rsidR="001B366C">
        <w:rPr>
          <w:rFonts w:eastAsia="Century Gothic"/>
          <w:color w:val="auto"/>
          <w:sz w:val="20"/>
        </w:rPr>
        <w:t xml:space="preserve">… </w:t>
      </w:r>
      <w:r w:rsidR="001B366C" w:rsidRPr="001B366C">
        <w:rPr>
          <w:rFonts w:eastAsia="Century Gothic"/>
          <w:color w:val="auto"/>
          <w:sz w:val="20"/>
        </w:rPr>
        <w:t>el 6 de septiembre de 2005 el Reino de España y la República de Colombia firmaron el Convenio Internacional de Seguridad Social, con el fin de asegurar una mejor garantía de derechos pensionales a los trabajadores que, siendo de un Estado Parte, ejerzan o hayan ejercido una actividad profesional en el otro. En Colombia, dicho Convenio fue ratificado y aprobado a través de la Ley 1112 de 2006.</w:t>
      </w:r>
      <w:r w:rsidR="001B366C">
        <w:rPr>
          <w:rFonts w:eastAsia="Century Gothic"/>
          <w:color w:val="auto"/>
          <w:sz w:val="20"/>
        </w:rPr>
        <w:t xml:space="preserve"> </w:t>
      </w:r>
      <w:r w:rsidR="001B366C" w:rsidRPr="001B366C">
        <w:rPr>
          <w:rFonts w:eastAsia="Century Gothic"/>
          <w:color w:val="auto"/>
          <w:sz w:val="20"/>
        </w:rPr>
        <w:t>el artículo 18 ibíd., en lo que respecta al régimen de ahorro individual con solidaridad, dispuso:</w:t>
      </w:r>
      <w:r w:rsidR="001B366C">
        <w:rPr>
          <w:rFonts w:eastAsia="Century Gothic"/>
          <w:color w:val="auto"/>
          <w:sz w:val="20"/>
        </w:rPr>
        <w:t xml:space="preserve"> </w:t>
      </w:r>
      <w:r w:rsidR="001B366C" w:rsidRPr="001B366C">
        <w:rPr>
          <w:rFonts w:eastAsia="Century Gothic"/>
          <w:color w:val="auto"/>
          <w:sz w:val="20"/>
        </w:rPr>
        <w:t xml:space="preserve">“2. En el caso en que los trabajadores afiliados a una Administradora de Fondos de Pensiones requieran de la totalización de períodos para la aplicación de la garantía de pensión mínima se aplicará lo dispuesto en el artículo </w:t>
      </w:r>
      <w:proofErr w:type="spellStart"/>
      <w:r w:rsidR="001B366C" w:rsidRPr="001B366C">
        <w:rPr>
          <w:rFonts w:eastAsia="Century Gothic"/>
          <w:color w:val="auto"/>
          <w:sz w:val="20"/>
        </w:rPr>
        <w:t>9o</w:t>
      </w:r>
      <w:proofErr w:type="spellEnd"/>
      <w:r w:rsidR="001B366C" w:rsidRPr="001B366C">
        <w:rPr>
          <w:rFonts w:eastAsia="Century Gothic"/>
          <w:color w:val="auto"/>
          <w:sz w:val="20"/>
        </w:rPr>
        <w:t>.</w:t>
      </w:r>
      <w:r w:rsidR="001B366C">
        <w:rPr>
          <w:rFonts w:eastAsia="Century Gothic"/>
          <w:color w:val="auto"/>
          <w:sz w:val="20"/>
        </w:rPr>
        <w:t xml:space="preserve"> </w:t>
      </w:r>
      <w:r w:rsidR="001B366C" w:rsidRPr="001B366C">
        <w:rPr>
          <w:rFonts w:eastAsia="Century Gothic"/>
          <w:color w:val="auto"/>
          <w:sz w:val="20"/>
        </w:rPr>
        <w:t>Para tal efecto, se tendrá en cuenta que la sumatoria de las prorratas de ambas partes contratantes, sea inferior a un salario mínimo legal colombiano y que el trabajador haya cumplido los períodos cotizados exigidos, una vez sean totalizados los tiempos en ambas Partes</w:t>
      </w:r>
      <w:r w:rsidR="001B366C">
        <w:rPr>
          <w:rFonts w:eastAsia="Century Gothic"/>
          <w:color w:val="auto"/>
          <w:sz w:val="20"/>
        </w:rPr>
        <w:t>”</w:t>
      </w:r>
      <w:r w:rsidR="001B366C" w:rsidRPr="001B366C">
        <w:rPr>
          <w:rFonts w:eastAsia="Century Gothic"/>
          <w:color w:val="auto"/>
          <w:sz w:val="20"/>
        </w:rPr>
        <w:t>.</w:t>
      </w:r>
    </w:p>
    <w:p w14:paraId="34DD33CC" w14:textId="77777777" w:rsidR="00E60AD5" w:rsidRPr="00E60AD5" w:rsidRDefault="00E60AD5" w:rsidP="00E60AD5">
      <w:pPr>
        <w:spacing w:line="240" w:lineRule="auto"/>
        <w:ind w:firstLine="0"/>
        <w:rPr>
          <w:rFonts w:eastAsia="Century Gothic"/>
          <w:color w:val="auto"/>
          <w:sz w:val="20"/>
        </w:rPr>
      </w:pPr>
    </w:p>
    <w:p w14:paraId="7C2187ED" w14:textId="77777777" w:rsidR="00B05910" w:rsidRPr="001B366C" w:rsidRDefault="00B05910" w:rsidP="00B05910">
      <w:pPr>
        <w:spacing w:line="240" w:lineRule="auto"/>
        <w:ind w:firstLine="0"/>
      </w:pPr>
      <w:r>
        <w:rPr>
          <w:rFonts w:eastAsia="Century Gothic"/>
          <w:b/>
          <w:color w:val="auto"/>
          <w:sz w:val="20"/>
        </w:rPr>
        <w:t xml:space="preserve">GARANTÍA DE PENSIÓN MÍNIMA / </w:t>
      </w:r>
      <w:r w:rsidRPr="00000549">
        <w:rPr>
          <w:b/>
          <w:sz w:val="20"/>
        </w:rPr>
        <w:t>CONVENIO COLOMBIA ESPAÑA</w:t>
      </w:r>
      <w:r>
        <w:rPr>
          <w:b/>
          <w:sz w:val="20"/>
        </w:rPr>
        <w:t xml:space="preserve"> / REQUISITOS</w:t>
      </w:r>
    </w:p>
    <w:p w14:paraId="2518F499" w14:textId="14187C6E" w:rsidR="00E60AD5" w:rsidRPr="00A1673B" w:rsidRDefault="00B05910" w:rsidP="00A1673B">
      <w:pPr>
        <w:spacing w:line="240" w:lineRule="auto"/>
        <w:ind w:firstLine="0"/>
        <w:rPr>
          <w:rFonts w:eastAsia="Century Gothic"/>
          <w:color w:val="auto"/>
          <w:sz w:val="20"/>
        </w:rPr>
      </w:pPr>
      <w:r>
        <w:rPr>
          <w:rFonts w:eastAsia="Century Gothic"/>
          <w:color w:val="auto"/>
          <w:sz w:val="20"/>
        </w:rPr>
        <w:t xml:space="preserve">… </w:t>
      </w:r>
      <w:r w:rsidRPr="00B05910">
        <w:rPr>
          <w:rFonts w:eastAsia="Century Gothic"/>
          <w:color w:val="auto"/>
          <w:sz w:val="20"/>
        </w:rPr>
        <w:t>recuérdese que el artículo 65 de la Ley 100 de 1993 en lo relativo a la garantía de pensión mínima de vejez, dispone: “Los afiliados que a los sesenta y dos (62) años de edad si son hombres y cincuenta y siete (57) si son mujeres, no hayan alcanzado a generar la pensión mínima de que trata el artículo 35 de la presente Ley, y hubiesen cotizado por lo menos mil ciento cincuenta semanas (1.150), tendrán derecho a que el Gobierno Nacional, en desarrollo del principio de solidaridad, les complete la parte que haga falta para obtener dicha pensión</w:t>
      </w:r>
      <w:r w:rsidR="00A1673B">
        <w:rPr>
          <w:rFonts w:eastAsia="Century Gothic"/>
          <w:color w:val="auto"/>
          <w:sz w:val="20"/>
        </w:rPr>
        <w:t xml:space="preserve"> (…)”</w:t>
      </w:r>
      <w:r w:rsidRPr="00B05910">
        <w:rPr>
          <w:rFonts w:eastAsia="Century Gothic"/>
          <w:color w:val="auto"/>
          <w:sz w:val="20"/>
        </w:rPr>
        <w:t>.</w:t>
      </w:r>
      <w:r w:rsidR="00A1673B">
        <w:rPr>
          <w:rFonts w:eastAsia="Century Gothic"/>
          <w:color w:val="auto"/>
          <w:sz w:val="20"/>
        </w:rPr>
        <w:t xml:space="preserve"> </w:t>
      </w:r>
      <w:r w:rsidR="00A1673B" w:rsidRPr="00A1673B">
        <w:rPr>
          <w:rFonts w:eastAsia="Century Gothic"/>
          <w:color w:val="auto"/>
          <w:sz w:val="20"/>
        </w:rPr>
        <w:t>Ahora, el artículo 9 de la Ley 1112/2006, en cuanto a la forma de determinar el derecho y de liquidar la prestación, dispone que el trabajador que haya estado sucesiva o alternativamente sometido a la legislación de una y otra Parte Contratante tiene derecho a las prestaciones allí reguladas</w:t>
      </w:r>
      <w:r w:rsidR="00A1673B">
        <w:rPr>
          <w:rFonts w:eastAsia="Century Gothic"/>
          <w:color w:val="auto"/>
          <w:sz w:val="20"/>
        </w:rPr>
        <w:t>…</w:t>
      </w:r>
    </w:p>
    <w:p w14:paraId="496C631B" w14:textId="795BE479" w:rsidR="00E60AD5" w:rsidRDefault="00E60AD5" w:rsidP="00E60AD5">
      <w:pPr>
        <w:spacing w:line="240" w:lineRule="auto"/>
        <w:ind w:firstLine="0"/>
        <w:rPr>
          <w:rFonts w:eastAsia="Century Gothic"/>
          <w:color w:val="auto"/>
          <w:sz w:val="20"/>
        </w:rPr>
      </w:pPr>
    </w:p>
    <w:p w14:paraId="5558E4C6" w14:textId="779A846D" w:rsidR="002720E1" w:rsidRPr="002720E1" w:rsidRDefault="002720E1" w:rsidP="00E60AD5">
      <w:pPr>
        <w:spacing w:line="240" w:lineRule="auto"/>
        <w:ind w:firstLine="0"/>
        <w:rPr>
          <w:rFonts w:eastAsia="Century Gothic"/>
          <w:b/>
          <w:color w:val="auto"/>
          <w:sz w:val="20"/>
        </w:rPr>
      </w:pPr>
      <w:r>
        <w:rPr>
          <w:rFonts w:eastAsia="Century Gothic"/>
          <w:b/>
          <w:color w:val="auto"/>
          <w:sz w:val="20"/>
        </w:rPr>
        <w:t>GARANTÍA DE PENSIÓN MÍNIMA / CONVENIO COLOMBIA ESPAÑA / SUMATORIA DE TIEMPOS</w:t>
      </w:r>
    </w:p>
    <w:p w14:paraId="5E22CE43" w14:textId="5CF6ABBB" w:rsidR="00E60AD5" w:rsidRPr="00E60AD5" w:rsidRDefault="002720E1" w:rsidP="002720E1">
      <w:pPr>
        <w:spacing w:line="240" w:lineRule="auto"/>
        <w:ind w:firstLine="0"/>
        <w:rPr>
          <w:rFonts w:eastAsia="Century Gothic"/>
          <w:color w:val="auto"/>
          <w:sz w:val="20"/>
        </w:rPr>
      </w:pPr>
      <w:r>
        <w:rPr>
          <w:rFonts w:eastAsia="Century Gothic"/>
          <w:color w:val="auto"/>
          <w:sz w:val="20"/>
        </w:rPr>
        <w:t xml:space="preserve">… </w:t>
      </w:r>
      <w:r w:rsidRPr="002720E1">
        <w:rPr>
          <w:rFonts w:eastAsia="Century Gothic"/>
          <w:color w:val="auto"/>
          <w:sz w:val="20"/>
        </w:rPr>
        <w:t>cuando el afiliado cot</w:t>
      </w:r>
      <w:bookmarkStart w:id="1" w:name="_GoBack"/>
      <w:bookmarkEnd w:id="1"/>
      <w:r w:rsidRPr="002720E1">
        <w:rPr>
          <w:rFonts w:eastAsia="Century Gothic"/>
          <w:color w:val="auto"/>
          <w:sz w:val="20"/>
        </w:rPr>
        <w:t xml:space="preserve">izante al </w:t>
      </w:r>
      <w:proofErr w:type="spellStart"/>
      <w:r w:rsidRPr="002720E1">
        <w:rPr>
          <w:rFonts w:eastAsia="Century Gothic"/>
          <w:color w:val="auto"/>
          <w:sz w:val="20"/>
        </w:rPr>
        <w:t>RAIS</w:t>
      </w:r>
      <w:proofErr w:type="spellEnd"/>
      <w:r w:rsidRPr="002720E1">
        <w:rPr>
          <w:rFonts w:eastAsia="Century Gothic"/>
          <w:color w:val="auto"/>
          <w:sz w:val="20"/>
        </w:rPr>
        <w:t xml:space="preserve"> no logra obtener el capital requerido para financiar su pensión a la edad de 57 o 62 años, dependiendo si es mujer u hombre, pero no ha logrado cotizar por lo menos 1150 semanas, y no cuenta con ingresos superiores a un salario mínimo mensual vigente, podría ser beneficiario de la garantía de pensión mínima. Dicha protección establece que el fondo de garantía pensional complementará el capital necesario para que el beneficiario acceda a una pensión (pensión teórica) equivalente a un </w:t>
      </w:r>
      <w:r>
        <w:rPr>
          <w:rFonts w:eastAsia="Century Gothic"/>
          <w:color w:val="auto"/>
          <w:sz w:val="20"/>
        </w:rPr>
        <w:t xml:space="preserve">salario mínimo mensual vigente.  </w:t>
      </w:r>
      <w:r w:rsidRPr="002720E1">
        <w:rPr>
          <w:rFonts w:eastAsia="Century Gothic"/>
          <w:color w:val="auto"/>
          <w:sz w:val="20"/>
        </w:rPr>
        <w:t xml:space="preserve">Para lo dicho, se debe tener en cuenta que el artículo 8º de la Ley 1112 de 2006, establece que para efectos de acceder a una prestación en cualquiera de los países partes, que se genere con periodos de cotización “la Institución Competente tendrá en cuenta a tal efecto, cuando sea necesario, los períodos de seguro o cotización cumplidos con arreglo a la legislación de la otra Parte Contratante”. Esto no es cosa distinta a la sumatoria de tiempos o de periodos de cotización, que se hubieren efectuado en ambos países, lo </w:t>
      </w:r>
      <w:proofErr w:type="gramStart"/>
      <w:r w:rsidRPr="002720E1">
        <w:rPr>
          <w:rFonts w:eastAsia="Century Gothic"/>
          <w:color w:val="auto"/>
          <w:sz w:val="20"/>
        </w:rPr>
        <w:t>que</w:t>
      </w:r>
      <w:proofErr w:type="gramEnd"/>
      <w:r w:rsidRPr="002720E1">
        <w:rPr>
          <w:rFonts w:eastAsia="Century Gothic"/>
          <w:color w:val="auto"/>
          <w:sz w:val="20"/>
        </w:rPr>
        <w:t xml:space="preserve"> en últimas, era la finalidad del convenio.</w:t>
      </w:r>
    </w:p>
    <w:p w14:paraId="2524EE34" w14:textId="77777777" w:rsidR="00E60AD5" w:rsidRPr="00E60AD5" w:rsidRDefault="00E60AD5" w:rsidP="00E60AD5">
      <w:pPr>
        <w:spacing w:line="240" w:lineRule="auto"/>
        <w:ind w:firstLine="0"/>
        <w:rPr>
          <w:rFonts w:eastAsia="Century Gothic"/>
          <w:color w:val="auto"/>
          <w:sz w:val="20"/>
        </w:rPr>
      </w:pPr>
    </w:p>
    <w:p w14:paraId="14D313FD" w14:textId="77777777" w:rsidR="00E60AD5" w:rsidRPr="00E60AD5" w:rsidRDefault="00E60AD5" w:rsidP="00E60AD5">
      <w:pPr>
        <w:spacing w:line="240" w:lineRule="auto"/>
        <w:ind w:firstLine="0"/>
        <w:rPr>
          <w:rFonts w:eastAsia="Century Gothic"/>
          <w:color w:val="auto"/>
          <w:sz w:val="20"/>
        </w:rPr>
      </w:pPr>
    </w:p>
    <w:p w14:paraId="00B29540" w14:textId="77777777" w:rsidR="00E60AD5" w:rsidRPr="00E60AD5" w:rsidRDefault="00E60AD5" w:rsidP="00E60AD5">
      <w:pPr>
        <w:spacing w:line="240" w:lineRule="auto"/>
        <w:ind w:firstLine="0"/>
        <w:rPr>
          <w:rFonts w:eastAsia="Century Gothic"/>
          <w:color w:val="auto"/>
          <w:sz w:val="20"/>
        </w:rPr>
      </w:pPr>
    </w:p>
    <w:p w14:paraId="1BD76942" w14:textId="77777777" w:rsidR="00542F4F" w:rsidRPr="002A0A88" w:rsidRDefault="00542F4F" w:rsidP="00FD687E">
      <w:pPr>
        <w:spacing w:line="240" w:lineRule="auto"/>
        <w:ind w:firstLine="0"/>
        <w:jc w:val="center"/>
        <w:rPr>
          <w:rFonts w:ascii="Bookman Old Style" w:hAnsi="Bookman Old Style"/>
          <w:b/>
          <w:bCs/>
        </w:rPr>
      </w:pPr>
      <w:r w:rsidRPr="002A0A88">
        <w:rPr>
          <w:rFonts w:ascii="Bookman Old Style" w:hAnsi="Bookman Old Style"/>
          <w:b/>
          <w:bCs/>
        </w:rPr>
        <w:t>REPÚBLICA DE COLOMBIA</w:t>
      </w:r>
    </w:p>
    <w:p w14:paraId="31EDBCC1" w14:textId="27C156BC" w:rsidR="00542F4F" w:rsidRPr="002A0A88" w:rsidRDefault="00542F4F" w:rsidP="00FD687E">
      <w:pPr>
        <w:spacing w:line="240" w:lineRule="auto"/>
        <w:ind w:firstLine="0"/>
        <w:jc w:val="center"/>
        <w:rPr>
          <w:rFonts w:ascii="Bookman Old Style" w:hAnsi="Bookman Old Style"/>
          <w:b/>
          <w:bCs/>
        </w:rPr>
      </w:pPr>
      <w:r w:rsidRPr="002A0A88">
        <w:rPr>
          <w:rFonts w:ascii="Bookman Old Style" w:hAnsi="Bookman Old Style"/>
          <w:b/>
          <w:bCs/>
        </w:rPr>
        <w:t>RAMA JUDICIAL DEL PODER PÚBLICO</w:t>
      </w:r>
    </w:p>
    <w:p w14:paraId="3F293EBE" w14:textId="54CBF93F" w:rsidR="002A0A88" w:rsidRPr="002A0A88" w:rsidRDefault="002A0A88" w:rsidP="00FD687E">
      <w:pPr>
        <w:spacing w:line="240" w:lineRule="auto"/>
        <w:ind w:firstLine="0"/>
        <w:jc w:val="center"/>
        <w:rPr>
          <w:rFonts w:ascii="Bookman Old Style" w:hAnsi="Bookman Old Style"/>
          <w:b/>
          <w:bCs/>
        </w:rPr>
      </w:pPr>
      <w:r w:rsidRPr="002A0A88">
        <w:rPr>
          <w:rFonts w:ascii="Bookman Old Style" w:hAnsi="Bookman Old Style"/>
          <w:noProof/>
          <w:lang w:val="en-US"/>
        </w:rPr>
        <w:drawing>
          <wp:anchor distT="0" distB="0" distL="114300" distR="114300" simplePos="0" relativeHeight="251659264" behindDoc="0" locked="0" layoutInCell="1" allowOverlap="1" wp14:anchorId="594DAC59" wp14:editId="3025D502">
            <wp:simplePos x="0" y="0"/>
            <wp:positionH relativeFrom="margin">
              <wp:align>center</wp:align>
            </wp:positionH>
            <wp:positionV relativeFrom="paragraph">
              <wp:posOffset>64135</wp:posOffset>
            </wp:positionV>
            <wp:extent cx="800100" cy="628650"/>
            <wp:effectExtent l="0" t="0" r="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14:paraId="39D93D71" w14:textId="5E16E6CD" w:rsidR="002A0A88" w:rsidRPr="002A0A88" w:rsidRDefault="002A0A88" w:rsidP="00FD687E">
      <w:pPr>
        <w:spacing w:line="240" w:lineRule="auto"/>
        <w:ind w:firstLine="0"/>
        <w:jc w:val="center"/>
        <w:rPr>
          <w:rFonts w:ascii="Bookman Old Style" w:hAnsi="Bookman Old Style"/>
          <w:b/>
          <w:bCs/>
        </w:rPr>
      </w:pPr>
    </w:p>
    <w:p w14:paraId="2FA11CA4" w14:textId="53265C03" w:rsidR="002A0A88" w:rsidRPr="002A0A88" w:rsidRDefault="002A0A88" w:rsidP="00FD687E">
      <w:pPr>
        <w:spacing w:line="240" w:lineRule="auto"/>
        <w:ind w:firstLine="0"/>
        <w:jc w:val="center"/>
        <w:rPr>
          <w:rFonts w:ascii="Bookman Old Style" w:hAnsi="Bookman Old Style"/>
          <w:b/>
          <w:bCs/>
        </w:rPr>
      </w:pPr>
    </w:p>
    <w:p w14:paraId="4067B70B" w14:textId="77777777" w:rsidR="002A0A88" w:rsidRPr="002A0A88" w:rsidRDefault="002A0A88" w:rsidP="00FD687E">
      <w:pPr>
        <w:spacing w:line="240" w:lineRule="auto"/>
        <w:ind w:firstLine="0"/>
        <w:jc w:val="center"/>
        <w:rPr>
          <w:rFonts w:ascii="Bookman Old Style" w:hAnsi="Bookman Old Style"/>
          <w:b/>
          <w:bCs/>
        </w:rPr>
      </w:pPr>
    </w:p>
    <w:p w14:paraId="086EFF4D" w14:textId="0FD0B567" w:rsidR="00542F4F" w:rsidRPr="002A0A88" w:rsidRDefault="00542F4F" w:rsidP="00FD687E">
      <w:pPr>
        <w:spacing w:line="240" w:lineRule="auto"/>
        <w:ind w:firstLine="0"/>
        <w:jc w:val="center"/>
        <w:rPr>
          <w:rFonts w:ascii="Bookman Old Style" w:hAnsi="Bookman Old Style"/>
          <w:b/>
          <w:bCs/>
        </w:rPr>
      </w:pPr>
      <w:r w:rsidRPr="002A0A88">
        <w:rPr>
          <w:rFonts w:ascii="Bookman Old Style" w:hAnsi="Bookman Old Style"/>
          <w:b/>
          <w:bCs/>
        </w:rPr>
        <w:t>TRIBUNAL SUPERIOR DEL DISTRITO JUDICIAL DE PEREIRA</w:t>
      </w:r>
    </w:p>
    <w:p w14:paraId="2544CF84" w14:textId="77777777" w:rsidR="00542F4F" w:rsidRPr="002A0A88" w:rsidRDefault="00542F4F" w:rsidP="00FD687E">
      <w:pPr>
        <w:spacing w:line="240" w:lineRule="auto"/>
        <w:ind w:firstLine="0"/>
        <w:jc w:val="center"/>
        <w:rPr>
          <w:rFonts w:ascii="Bookman Old Style" w:hAnsi="Bookman Old Style"/>
          <w:b/>
          <w:bCs/>
        </w:rPr>
      </w:pPr>
      <w:r w:rsidRPr="002A0A88">
        <w:rPr>
          <w:rFonts w:ascii="Bookman Old Style" w:hAnsi="Bookman Old Style"/>
          <w:b/>
          <w:bCs/>
        </w:rPr>
        <w:t>SALA DE DECISIÓN LABORAL</w:t>
      </w:r>
    </w:p>
    <w:p w14:paraId="5BD9CAAD" w14:textId="77777777" w:rsidR="00542F4F" w:rsidRPr="002A0A88" w:rsidRDefault="00542F4F" w:rsidP="00FD687E">
      <w:pPr>
        <w:spacing w:line="240" w:lineRule="auto"/>
        <w:ind w:firstLine="0"/>
        <w:rPr>
          <w:rFonts w:ascii="Bookman Old Style" w:hAnsi="Bookman Old Style"/>
        </w:rPr>
      </w:pPr>
    </w:p>
    <w:p w14:paraId="4D4132E0" w14:textId="4619D06D" w:rsidR="00542F4F" w:rsidRPr="002A0A88" w:rsidRDefault="00542F4F" w:rsidP="00FD687E">
      <w:pPr>
        <w:spacing w:line="240" w:lineRule="auto"/>
        <w:ind w:firstLine="0"/>
        <w:jc w:val="center"/>
        <w:rPr>
          <w:rFonts w:ascii="Bookman Old Style" w:hAnsi="Bookman Old Style"/>
        </w:rPr>
      </w:pPr>
      <w:r w:rsidRPr="002A0A88">
        <w:rPr>
          <w:rFonts w:ascii="Bookman Old Style" w:hAnsi="Bookman Old Style"/>
          <w:b/>
          <w:bCs/>
        </w:rPr>
        <w:t>Dr.</w:t>
      </w:r>
      <w:r w:rsidR="00BE4046" w:rsidRPr="002A0A88">
        <w:rPr>
          <w:rFonts w:ascii="Bookman Old Style" w:hAnsi="Bookman Old Style"/>
          <w:b/>
          <w:bCs/>
        </w:rPr>
        <w:t xml:space="preserve"> </w:t>
      </w:r>
      <w:r w:rsidRPr="002A0A88">
        <w:rPr>
          <w:rFonts w:ascii="Bookman Old Style" w:hAnsi="Bookman Old Style"/>
          <w:b/>
          <w:bCs/>
        </w:rPr>
        <w:t xml:space="preserve">GERMÁN DARÍO </w:t>
      </w:r>
      <w:proofErr w:type="spellStart"/>
      <w:r w:rsidRPr="002A0A88">
        <w:rPr>
          <w:rFonts w:ascii="Bookman Old Style" w:hAnsi="Bookman Old Style"/>
          <w:b/>
          <w:bCs/>
        </w:rPr>
        <w:t>GÓEZ</w:t>
      </w:r>
      <w:proofErr w:type="spellEnd"/>
      <w:r w:rsidRPr="002A0A88">
        <w:rPr>
          <w:rFonts w:ascii="Bookman Old Style" w:hAnsi="Bookman Old Style"/>
          <w:b/>
          <w:bCs/>
        </w:rPr>
        <w:t xml:space="preserve"> </w:t>
      </w:r>
      <w:proofErr w:type="spellStart"/>
      <w:r w:rsidRPr="002A0A88">
        <w:rPr>
          <w:rFonts w:ascii="Bookman Old Style" w:hAnsi="Bookman Old Style"/>
          <w:b/>
          <w:bCs/>
        </w:rPr>
        <w:t>VINASCO</w:t>
      </w:r>
      <w:proofErr w:type="spellEnd"/>
    </w:p>
    <w:p w14:paraId="5949A805" w14:textId="77777777" w:rsidR="00542F4F" w:rsidRPr="002A0A88" w:rsidRDefault="00542F4F" w:rsidP="00FD687E">
      <w:pPr>
        <w:spacing w:line="240" w:lineRule="auto"/>
        <w:ind w:firstLine="0"/>
        <w:jc w:val="center"/>
        <w:rPr>
          <w:rFonts w:ascii="Bookman Old Style" w:hAnsi="Bookman Old Style"/>
        </w:rPr>
      </w:pPr>
      <w:r w:rsidRPr="002A0A88">
        <w:rPr>
          <w:rFonts w:ascii="Bookman Old Style" w:hAnsi="Bookman Old Style"/>
        </w:rPr>
        <w:t>Magistrado Ponente</w:t>
      </w:r>
    </w:p>
    <w:bookmarkEnd w:id="0"/>
    <w:p w14:paraId="141B4B21" w14:textId="77777777" w:rsidR="00BE4046" w:rsidRPr="004A29E4" w:rsidRDefault="00BE4046" w:rsidP="004A29E4">
      <w:pPr>
        <w:spacing w:line="276" w:lineRule="auto"/>
        <w:ind w:firstLine="0"/>
        <w:rPr>
          <w:rFonts w:ascii="Bookman Old Style" w:hAnsi="Bookman Old Style"/>
          <w:color w:val="auto"/>
        </w:rPr>
      </w:pPr>
    </w:p>
    <w:tbl>
      <w:tblPr>
        <w:tblStyle w:val="Tablanormal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80"/>
        <w:gridCol w:w="6168"/>
      </w:tblGrid>
      <w:tr w:rsidR="00542F4F" w:rsidRPr="00336101" w14:paraId="6EB51670" w14:textId="77777777" w:rsidTr="007945A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tcPr>
          <w:p w14:paraId="5D57C091" w14:textId="20684992" w:rsidR="00542F4F" w:rsidRPr="00336101" w:rsidRDefault="00336101" w:rsidP="00336101">
            <w:pPr>
              <w:ind w:firstLine="0"/>
              <w:rPr>
                <w:rFonts w:ascii="Bookman Old Style" w:hAnsi="Bookman Old Style"/>
                <w:b w:val="0"/>
                <w:bCs w:val="0"/>
                <w:color w:val="auto"/>
                <w:sz w:val="22"/>
              </w:rPr>
            </w:pPr>
            <w:r w:rsidRPr="00336101">
              <w:rPr>
                <w:rFonts w:ascii="Bookman Old Style" w:hAnsi="Bookman Old Style"/>
                <w:b w:val="0"/>
                <w:caps w:val="0"/>
                <w:color w:val="auto"/>
                <w:sz w:val="22"/>
              </w:rPr>
              <w:br w:type="page"/>
              <w:t>Proceso</w:t>
            </w:r>
          </w:p>
        </w:tc>
        <w:tc>
          <w:tcPr>
            <w:tcW w:w="6168" w:type="dxa"/>
            <w:tcBorders>
              <w:bottom w:val="none" w:sz="0" w:space="0" w:color="auto"/>
            </w:tcBorders>
          </w:tcPr>
          <w:p w14:paraId="0A836B39" w14:textId="054938D8" w:rsidR="00542F4F" w:rsidRPr="00336101" w:rsidRDefault="00336101" w:rsidP="00336101">
            <w:pPr>
              <w:ind w:firstLine="0"/>
              <w:jc w:val="left"/>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auto"/>
                <w:sz w:val="22"/>
              </w:rPr>
            </w:pPr>
            <w:r w:rsidRPr="00336101">
              <w:rPr>
                <w:rFonts w:ascii="Bookman Old Style" w:hAnsi="Bookman Old Style"/>
                <w:b w:val="0"/>
                <w:caps w:val="0"/>
                <w:color w:val="auto"/>
                <w:sz w:val="22"/>
              </w:rPr>
              <w:t>Ordinario Laboral</w:t>
            </w:r>
          </w:p>
        </w:tc>
      </w:tr>
      <w:tr w:rsidR="00542F4F" w:rsidRPr="00336101" w14:paraId="176C5346" w14:textId="77777777" w:rsidTr="007945AC">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342AB163" w14:textId="004C04AC" w:rsidR="00542F4F" w:rsidRPr="00336101" w:rsidRDefault="00336101" w:rsidP="00336101">
            <w:pPr>
              <w:ind w:firstLine="0"/>
              <w:rPr>
                <w:rFonts w:ascii="Bookman Old Style" w:hAnsi="Bookman Old Style"/>
                <w:b w:val="0"/>
                <w:bCs w:val="0"/>
                <w:color w:val="auto"/>
                <w:sz w:val="22"/>
              </w:rPr>
            </w:pPr>
            <w:r w:rsidRPr="00336101">
              <w:rPr>
                <w:rFonts w:ascii="Bookman Old Style" w:hAnsi="Bookman Old Style"/>
                <w:b w:val="0"/>
                <w:caps w:val="0"/>
                <w:color w:val="auto"/>
                <w:sz w:val="22"/>
              </w:rPr>
              <w:t>Radicado</w:t>
            </w:r>
          </w:p>
        </w:tc>
        <w:tc>
          <w:tcPr>
            <w:tcW w:w="6168" w:type="dxa"/>
          </w:tcPr>
          <w:p w14:paraId="64E3EF9D" w14:textId="5A1D4154" w:rsidR="00542F4F" w:rsidRPr="00336101" w:rsidRDefault="00542F4F" w:rsidP="00336101">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bookmarkStart w:id="2" w:name="_Hlk146986983"/>
            <w:r w:rsidRPr="00336101">
              <w:rPr>
                <w:rFonts w:ascii="Bookman Old Style" w:eastAsia="Times New Roman" w:hAnsi="Bookman Old Style"/>
                <w:color w:val="auto"/>
                <w:kern w:val="0"/>
                <w:sz w:val="22"/>
                <w:lang w:eastAsia="es-CO"/>
                <w14:ligatures w14:val="none"/>
              </w:rPr>
              <w:t>66001310500420200026101</w:t>
            </w:r>
            <w:bookmarkEnd w:id="2"/>
          </w:p>
        </w:tc>
      </w:tr>
      <w:tr w:rsidR="00542F4F" w:rsidRPr="00336101" w14:paraId="7B5883EE" w14:textId="77777777" w:rsidTr="007945AC">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31C353DC" w14:textId="0323FACC" w:rsidR="00542F4F" w:rsidRPr="00336101" w:rsidRDefault="00336101" w:rsidP="00336101">
            <w:pPr>
              <w:ind w:firstLine="0"/>
              <w:rPr>
                <w:rFonts w:ascii="Bookman Old Style" w:hAnsi="Bookman Old Style"/>
                <w:b w:val="0"/>
                <w:bCs w:val="0"/>
                <w:color w:val="auto"/>
                <w:sz w:val="22"/>
              </w:rPr>
            </w:pPr>
            <w:r w:rsidRPr="00336101">
              <w:rPr>
                <w:rFonts w:ascii="Bookman Old Style" w:hAnsi="Bookman Old Style"/>
                <w:b w:val="0"/>
                <w:caps w:val="0"/>
                <w:color w:val="auto"/>
                <w:sz w:val="22"/>
              </w:rPr>
              <w:t>Demandante</w:t>
            </w:r>
          </w:p>
        </w:tc>
        <w:tc>
          <w:tcPr>
            <w:tcW w:w="6168" w:type="dxa"/>
          </w:tcPr>
          <w:p w14:paraId="2D74F7F0" w14:textId="77777777" w:rsidR="00542F4F" w:rsidRPr="00336101" w:rsidRDefault="00542F4F" w:rsidP="00336101">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bookmarkStart w:id="3" w:name="_Hlk146986946"/>
            <w:r w:rsidRPr="00336101">
              <w:rPr>
                <w:rFonts w:ascii="Bookman Old Style" w:eastAsia="Times New Roman" w:hAnsi="Bookman Old Style"/>
                <w:color w:val="auto"/>
                <w:kern w:val="0"/>
                <w:sz w:val="22"/>
                <w:lang w:eastAsia="es-CO"/>
                <w14:ligatures w14:val="none"/>
              </w:rPr>
              <w:t>Luz Stella Castaño Gómez</w:t>
            </w:r>
            <w:bookmarkEnd w:id="3"/>
          </w:p>
        </w:tc>
      </w:tr>
      <w:tr w:rsidR="00542F4F" w:rsidRPr="00336101" w14:paraId="45E65994" w14:textId="77777777" w:rsidTr="007945AC">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0DCA482F" w14:textId="72946B0B" w:rsidR="00542F4F" w:rsidRPr="00336101" w:rsidRDefault="00336101" w:rsidP="00336101">
            <w:pPr>
              <w:ind w:firstLine="0"/>
              <w:rPr>
                <w:rFonts w:ascii="Bookman Old Style" w:hAnsi="Bookman Old Style"/>
                <w:b w:val="0"/>
                <w:bCs w:val="0"/>
                <w:color w:val="auto"/>
                <w:sz w:val="22"/>
              </w:rPr>
            </w:pPr>
            <w:r w:rsidRPr="00336101">
              <w:rPr>
                <w:rFonts w:ascii="Bookman Old Style" w:hAnsi="Bookman Old Style"/>
                <w:b w:val="0"/>
                <w:caps w:val="0"/>
                <w:color w:val="auto"/>
                <w:sz w:val="22"/>
              </w:rPr>
              <w:t>Demandado</w:t>
            </w:r>
          </w:p>
        </w:tc>
        <w:tc>
          <w:tcPr>
            <w:tcW w:w="6168" w:type="dxa"/>
          </w:tcPr>
          <w:p w14:paraId="243FFD55" w14:textId="77777777" w:rsidR="00542F4F" w:rsidRPr="00336101" w:rsidRDefault="00542F4F" w:rsidP="00336101">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36101">
              <w:rPr>
                <w:rFonts w:ascii="Bookman Old Style" w:eastAsia="Times New Roman" w:hAnsi="Bookman Old Style"/>
                <w:color w:val="auto"/>
                <w:kern w:val="0"/>
                <w:sz w:val="22"/>
                <w:lang w:eastAsia="es-CO"/>
                <w14:ligatures w14:val="none"/>
              </w:rPr>
              <w:t>Porvenir S.A. y Ministerio De Hacienda y Crédito Público</w:t>
            </w:r>
          </w:p>
        </w:tc>
      </w:tr>
      <w:tr w:rsidR="00542F4F" w:rsidRPr="00336101" w14:paraId="1D6202FD" w14:textId="77777777" w:rsidTr="007945AC">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31076958" w14:textId="797AF3E4" w:rsidR="00542F4F" w:rsidRPr="00336101" w:rsidRDefault="00336101" w:rsidP="00336101">
            <w:pPr>
              <w:ind w:firstLine="0"/>
              <w:rPr>
                <w:rFonts w:ascii="Bookman Old Style" w:hAnsi="Bookman Old Style"/>
                <w:b w:val="0"/>
                <w:bCs w:val="0"/>
                <w:color w:val="auto"/>
                <w:sz w:val="22"/>
              </w:rPr>
            </w:pPr>
            <w:r w:rsidRPr="00336101">
              <w:rPr>
                <w:rFonts w:ascii="Bookman Old Style" w:hAnsi="Bookman Old Style"/>
                <w:b w:val="0"/>
                <w:caps w:val="0"/>
                <w:color w:val="auto"/>
                <w:sz w:val="22"/>
              </w:rPr>
              <w:t>Asunto</w:t>
            </w:r>
          </w:p>
        </w:tc>
        <w:tc>
          <w:tcPr>
            <w:tcW w:w="6168" w:type="dxa"/>
          </w:tcPr>
          <w:p w14:paraId="04612200" w14:textId="77777777" w:rsidR="00542F4F" w:rsidRPr="00336101" w:rsidRDefault="00542F4F" w:rsidP="00336101">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bCs/>
                <w:color w:val="auto"/>
                <w:sz w:val="22"/>
              </w:rPr>
            </w:pPr>
            <w:r w:rsidRPr="00336101">
              <w:rPr>
                <w:rFonts w:ascii="Bookman Old Style" w:hAnsi="Bookman Old Style"/>
                <w:color w:val="auto"/>
                <w:sz w:val="22"/>
              </w:rPr>
              <w:t xml:space="preserve">Apelación sentencia </w:t>
            </w:r>
            <w:r w:rsidRPr="00336101">
              <w:rPr>
                <w:rFonts w:ascii="Bookman Old Style" w:hAnsi="Bookman Old Style"/>
                <w:bCs/>
                <w:color w:val="auto"/>
                <w:sz w:val="22"/>
              </w:rPr>
              <w:t>20 de enero de 2022</w:t>
            </w:r>
          </w:p>
        </w:tc>
      </w:tr>
      <w:tr w:rsidR="00542F4F" w:rsidRPr="00336101" w14:paraId="0970F299" w14:textId="77777777" w:rsidTr="007945AC">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54196519" w14:textId="6E321DDB" w:rsidR="00542F4F" w:rsidRPr="00336101" w:rsidRDefault="00336101" w:rsidP="00336101">
            <w:pPr>
              <w:ind w:firstLine="0"/>
              <w:rPr>
                <w:rFonts w:ascii="Bookman Old Style" w:hAnsi="Bookman Old Style"/>
                <w:b w:val="0"/>
                <w:bCs w:val="0"/>
                <w:color w:val="auto"/>
                <w:sz w:val="22"/>
              </w:rPr>
            </w:pPr>
            <w:r w:rsidRPr="00336101">
              <w:rPr>
                <w:rFonts w:ascii="Bookman Old Style" w:hAnsi="Bookman Old Style"/>
                <w:b w:val="0"/>
                <w:caps w:val="0"/>
                <w:color w:val="auto"/>
                <w:sz w:val="22"/>
              </w:rPr>
              <w:t>Juzgado</w:t>
            </w:r>
          </w:p>
        </w:tc>
        <w:tc>
          <w:tcPr>
            <w:tcW w:w="6168" w:type="dxa"/>
          </w:tcPr>
          <w:p w14:paraId="6D484AF8" w14:textId="416A89E8" w:rsidR="00542F4F" w:rsidRPr="00336101" w:rsidRDefault="00542F4F" w:rsidP="00336101">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36101">
              <w:rPr>
                <w:rFonts w:ascii="Bookman Old Style" w:eastAsia="Times New Roman" w:hAnsi="Bookman Old Style"/>
                <w:color w:val="auto"/>
                <w:kern w:val="0"/>
                <w:sz w:val="22"/>
                <w:lang w:eastAsia="es-CO"/>
                <w14:ligatures w14:val="none"/>
              </w:rPr>
              <w:t>Cuarto Laboral Circuito</w:t>
            </w:r>
            <w:r w:rsidR="00031324">
              <w:rPr>
                <w:rFonts w:ascii="Bookman Old Style" w:eastAsia="Times New Roman" w:hAnsi="Bookman Old Style"/>
                <w:color w:val="auto"/>
                <w:kern w:val="0"/>
                <w:sz w:val="22"/>
                <w:lang w:eastAsia="es-CO"/>
                <w14:ligatures w14:val="none"/>
              </w:rPr>
              <w:t xml:space="preserve"> de Pereira</w:t>
            </w:r>
          </w:p>
        </w:tc>
      </w:tr>
      <w:tr w:rsidR="00542F4F" w:rsidRPr="00336101" w14:paraId="1E62638A" w14:textId="77777777" w:rsidTr="007945AC">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4D179DA4" w14:textId="6F23C1C2" w:rsidR="00542F4F" w:rsidRPr="00336101" w:rsidRDefault="00336101" w:rsidP="00336101">
            <w:pPr>
              <w:ind w:firstLine="0"/>
              <w:rPr>
                <w:rFonts w:ascii="Bookman Old Style" w:hAnsi="Bookman Old Style"/>
                <w:b w:val="0"/>
                <w:bCs w:val="0"/>
                <w:color w:val="auto"/>
                <w:sz w:val="22"/>
              </w:rPr>
            </w:pPr>
            <w:r w:rsidRPr="00336101">
              <w:rPr>
                <w:rFonts w:ascii="Bookman Old Style" w:hAnsi="Bookman Old Style"/>
                <w:b w:val="0"/>
                <w:caps w:val="0"/>
                <w:color w:val="auto"/>
                <w:sz w:val="22"/>
              </w:rPr>
              <w:t>Tema</w:t>
            </w:r>
          </w:p>
        </w:tc>
        <w:tc>
          <w:tcPr>
            <w:tcW w:w="6168" w:type="dxa"/>
          </w:tcPr>
          <w:p w14:paraId="1E07700D" w14:textId="1911F164" w:rsidR="00542F4F" w:rsidRPr="00336101" w:rsidRDefault="00773E49" w:rsidP="00336101">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36101">
              <w:rPr>
                <w:rFonts w:ascii="Bookman Old Style" w:hAnsi="Bookman Old Style"/>
                <w:color w:val="auto"/>
                <w:sz w:val="22"/>
              </w:rPr>
              <w:t xml:space="preserve">Garantía de Pensión </w:t>
            </w:r>
            <w:r w:rsidR="00F1367F" w:rsidRPr="00336101">
              <w:rPr>
                <w:rFonts w:ascii="Bookman Old Style" w:hAnsi="Bookman Old Style"/>
                <w:color w:val="auto"/>
                <w:sz w:val="22"/>
              </w:rPr>
              <w:t xml:space="preserve">Mínima </w:t>
            </w:r>
            <w:r w:rsidR="007945AC">
              <w:rPr>
                <w:rFonts w:ascii="Bookman Old Style" w:hAnsi="Bookman Old Style"/>
                <w:color w:val="auto"/>
                <w:sz w:val="22"/>
              </w:rPr>
              <w:t>–</w:t>
            </w:r>
            <w:r w:rsidR="002E44EE" w:rsidRPr="00336101">
              <w:rPr>
                <w:rFonts w:ascii="Bookman Old Style" w:hAnsi="Bookman Old Style"/>
                <w:color w:val="auto"/>
                <w:sz w:val="22"/>
              </w:rPr>
              <w:t xml:space="preserve"> Reino</w:t>
            </w:r>
            <w:r w:rsidR="00542F4F" w:rsidRPr="00336101">
              <w:rPr>
                <w:rFonts w:ascii="Bookman Old Style" w:hAnsi="Bookman Old Style"/>
                <w:color w:val="auto"/>
                <w:sz w:val="22"/>
              </w:rPr>
              <w:t xml:space="preserve"> de España</w:t>
            </w:r>
          </w:p>
        </w:tc>
      </w:tr>
    </w:tbl>
    <w:p w14:paraId="0B4DA2B5" w14:textId="77777777" w:rsidR="00646CA8" w:rsidRPr="004A29E4" w:rsidRDefault="00646CA8" w:rsidP="004A29E4">
      <w:pPr>
        <w:spacing w:line="276" w:lineRule="auto"/>
        <w:ind w:firstLine="0"/>
        <w:jc w:val="center"/>
        <w:rPr>
          <w:rFonts w:ascii="Bookman Old Style" w:hAnsi="Bookman Old Style"/>
          <w:b/>
          <w:bCs/>
        </w:rPr>
      </w:pPr>
    </w:p>
    <w:p w14:paraId="7C8986AF" w14:textId="0496F009" w:rsidR="00542F4F" w:rsidRPr="004A29E4" w:rsidRDefault="00542F4F" w:rsidP="004A29E4">
      <w:pPr>
        <w:spacing w:line="276" w:lineRule="auto"/>
        <w:ind w:firstLine="0"/>
        <w:jc w:val="center"/>
        <w:rPr>
          <w:rFonts w:ascii="Bookman Old Style" w:hAnsi="Bookman Old Style"/>
          <w:color w:val="auto"/>
        </w:rPr>
      </w:pPr>
      <w:r w:rsidRPr="004A29E4">
        <w:rPr>
          <w:rFonts w:ascii="Bookman Old Style" w:hAnsi="Bookman Old Style"/>
          <w:b/>
          <w:bCs/>
        </w:rPr>
        <w:t>APROBADO POR ACTA No.</w:t>
      </w:r>
      <w:r w:rsidR="002A0A88" w:rsidRPr="004A29E4">
        <w:rPr>
          <w:rFonts w:ascii="Bookman Old Style" w:hAnsi="Bookman Old Style"/>
          <w:b/>
          <w:bCs/>
        </w:rPr>
        <w:t xml:space="preserve"> 177 DEL 07 DE NOVIEMBRE DE 2023</w:t>
      </w:r>
    </w:p>
    <w:p w14:paraId="6EAD1647" w14:textId="77777777" w:rsidR="00646CA8" w:rsidRPr="004A29E4" w:rsidRDefault="00646CA8" w:rsidP="004A29E4">
      <w:pPr>
        <w:spacing w:line="276" w:lineRule="auto"/>
        <w:ind w:firstLine="0"/>
        <w:rPr>
          <w:rFonts w:ascii="Bookman Old Style" w:hAnsi="Bookman Old Style"/>
          <w:color w:val="auto"/>
        </w:rPr>
      </w:pPr>
    </w:p>
    <w:p w14:paraId="4300F304" w14:textId="1434303D" w:rsidR="00542F4F" w:rsidRPr="004A29E4" w:rsidRDefault="002A0A88" w:rsidP="004A29E4">
      <w:pPr>
        <w:spacing w:line="276" w:lineRule="auto"/>
        <w:rPr>
          <w:rFonts w:ascii="Bookman Old Style" w:hAnsi="Bookman Old Style"/>
          <w:color w:val="auto"/>
        </w:rPr>
      </w:pPr>
      <w:r w:rsidRPr="004A29E4">
        <w:rPr>
          <w:rFonts w:ascii="Bookman Old Style" w:hAnsi="Bookman Old Style"/>
          <w:color w:val="auto"/>
        </w:rPr>
        <w:lastRenderedPageBreak/>
        <w:t>Hoy, diez</w:t>
      </w:r>
      <w:r w:rsidR="00542F4F" w:rsidRPr="004A29E4">
        <w:rPr>
          <w:rFonts w:ascii="Bookman Old Style" w:hAnsi="Bookman Old Style"/>
          <w:color w:val="auto"/>
        </w:rPr>
        <w:t xml:space="preserve"> (</w:t>
      </w:r>
      <w:r w:rsidRPr="004A29E4">
        <w:rPr>
          <w:rFonts w:ascii="Bookman Old Style" w:hAnsi="Bookman Old Style"/>
          <w:color w:val="auto"/>
        </w:rPr>
        <w:t>10</w:t>
      </w:r>
      <w:r w:rsidR="00542F4F" w:rsidRPr="004A29E4">
        <w:rPr>
          <w:rFonts w:ascii="Bookman Old Style" w:hAnsi="Bookman Old Style"/>
          <w:color w:val="auto"/>
        </w:rPr>
        <w:t xml:space="preserve">) de </w:t>
      </w:r>
      <w:r w:rsidRPr="004A29E4">
        <w:rPr>
          <w:rFonts w:ascii="Bookman Old Style" w:hAnsi="Bookman Old Style"/>
          <w:color w:val="auto"/>
        </w:rPr>
        <w:t xml:space="preserve">noviembre </w:t>
      </w:r>
      <w:r w:rsidR="00542F4F" w:rsidRPr="004A29E4">
        <w:rPr>
          <w:rFonts w:ascii="Bookman Old Style" w:hAnsi="Bookman Old Style"/>
          <w:color w:val="auto"/>
        </w:rPr>
        <w:t xml:space="preserve">de dos mil veintitrés (2023), el Tribunal Superior de </w:t>
      </w:r>
      <w:r w:rsidR="00542F4F" w:rsidRPr="004A29E4">
        <w:rPr>
          <w:rFonts w:ascii="Bookman Old Style" w:hAnsi="Bookman Old Style"/>
        </w:rPr>
        <w:t>Distrito</w:t>
      </w:r>
      <w:r w:rsidR="00542F4F" w:rsidRPr="004A29E4">
        <w:rPr>
          <w:rFonts w:ascii="Bookman Old Style" w:hAnsi="Bookman Old Style"/>
          <w:color w:val="auto"/>
        </w:rPr>
        <w:t xml:space="preserve"> Judicial de Pereira, Sala de Decisión Laboral integrada por los magistrados Dra. Olga Lucia Hoyos Sepúlveda, Dr. Julio César Salazar Muñoz y como ponente Dr. Germán Darío </w:t>
      </w:r>
      <w:proofErr w:type="spellStart"/>
      <w:r w:rsidR="00542F4F" w:rsidRPr="004A29E4">
        <w:rPr>
          <w:rFonts w:ascii="Bookman Old Style" w:hAnsi="Bookman Old Style"/>
          <w:color w:val="auto"/>
        </w:rPr>
        <w:t>Góez</w:t>
      </w:r>
      <w:proofErr w:type="spellEnd"/>
      <w:r w:rsidR="00542F4F" w:rsidRPr="004A29E4">
        <w:rPr>
          <w:rFonts w:ascii="Bookman Old Style" w:hAnsi="Bookman Old Style"/>
          <w:color w:val="auto"/>
        </w:rPr>
        <w:t xml:space="preserve"> </w:t>
      </w:r>
      <w:proofErr w:type="spellStart"/>
      <w:r w:rsidR="00542F4F" w:rsidRPr="004A29E4">
        <w:rPr>
          <w:rFonts w:ascii="Bookman Old Style" w:hAnsi="Bookman Old Style"/>
          <w:color w:val="auto"/>
        </w:rPr>
        <w:t>Vinasco</w:t>
      </w:r>
      <w:proofErr w:type="spellEnd"/>
      <w:r w:rsidR="00542F4F" w:rsidRPr="004A29E4">
        <w:rPr>
          <w:rFonts w:ascii="Bookman Old Style" w:hAnsi="Bookman Old Style"/>
          <w:color w:val="auto"/>
        </w:rPr>
        <w:t xml:space="preserve">, procede a resolver los recursos de apelación, frente a la sentencia proferida por el Juzgado Cuarto Laboral del Circuito de Pereira, dentro del proceso </w:t>
      </w:r>
      <w:r w:rsidR="00542F4F" w:rsidRPr="007945AC">
        <w:rPr>
          <w:rFonts w:ascii="Bookman Old Style" w:hAnsi="Bookman Old Style"/>
          <w:b/>
          <w:color w:val="auto"/>
        </w:rPr>
        <w:t>ordinario</w:t>
      </w:r>
      <w:r w:rsidR="007945AC">
        <w:rPr>
          <w:rFonts w:ascii="Bookman Old Style" w:hAnsi="Bookman Old Style"/>
          <w:b/>
          <w:color w:val="auto"/>
        </w:rPr>
        <w:t xml:space="preserve"> laboral</w:t>
      </w:r>
      <w:r w:rsidR="00542F4F" w:rsidRPr="004A29E4">
        <w:rPr>
          <w:rFonts w:ascii="Bookman Old Style" w:hAnsi="Bookman Old Style"/>
          <w:color w:val="auto"/>
        </w:rPr>
        <w:t xml:space="preserve"> promovido por </w:t>
      </w:r>
      <w:r w:rsidR="00542F4F" w:rsidRPr="004A29E4">
        <w:rPr>
          <w:rFonts w:ascii="Bookman Old Style" w:hAnsi="Bookman Old Style"/>
          <w:b/>
          <w:bCs/>
          <w:color w:val="auto"/>
        </w:rPr>
        <w:t xml:space="preserve">LUZ STELLA CASTAÑO GÓMEZ </w:t>
      </w:r>
      <w:r w:rsidR="00542F4F" w:rsidRPr="004A29E4">
        <w:rPr>
          <w:rFonts w:ascii="Bookman Old Style" w:hAnsi="Bookman Old Style"/>
          <w:color w:val="auto"/>
        </w:rPr>
        <w:t xml:space="preserve">en contra de en contra de la </w:t>
      </w:r>
      <w:r w:rsidR="00542F4F" w:rsidRPr="004A29E4">
        <w:rPr>
          <w:rFonts w:ascii="Bookman Old Style" w:hAnsi="Bookman Old Style"/>
          <w:b/>
          <w:bCs/>
          <w:color w:val="auto"/>
        </w:rPr>
        <w:t>ADMINISTRADORA DE FONDOS DE PENSIONES Y CESANTÍAS PORVENIR S.A.</w:t>
      </w:r>
      <w:r w:rsidR="00542F4F" w:rsidRPr="004A29E4">
        <w:rPr>
          <w:rFonts w:ascii="Bookman Old Style" w:hAnsi="Bookman Old Style"/>
          <w:color w:val="auto"/>
        </w:rPr>
        <w:t xml:space="preserve"> y el </w:t>
      </w:r>
      <w:r w:rsidR="00542F4F" w:rsidRPr="004A29E4">
        <w:rPr>
          <w:rFonts w:ascii="Bookman Old Style" w:hAnsi="Bookman Old Style"/>
          <w:b/>
          <w:bCs/>
          <w:color w:val="auto"/>
        </w:rPr>
        <w:t xml:space="preserve">MINISTERIO DE HACIENDA Y CRÉDITO PÚBLICO. </w:t>
      </w:r>
      <w:r w:rsidR="00542F4F" w:rsidRPr="004A29E4">
        <w:rPr>
          <w:rFonts w:ascii="Bookman Old Style" w:hAnsi="Bookman Old Style"/>
          <w:color w:val="auto"/>
        </w:rPr>
        <w:t xml:space="preserve">Radicado: </w:t>
      </w:r>
      <w:r w:rsidR="00542F4F" w:rsidRPr="004A29E4">
        <w:rPr>
          <w:rFonts w:ascii="Bookman Old Style" w:hAnsi="Bookman Old Style"/>
          <w:b/>
          <w:bCs/>
          <w:color w:val="auto"/>
        </w:rPr>
        <w:t>66001310500420200026101.</w:t>
      </w:r>
    </w:p>
    <w:p w14:paraId="1677BBA5" w14:textId="77777777" w:rsidR="00542F4F" w:rsidRPr="004A29E4" w:rsidRDefault="00542F4F" w:rsidP="004A29E4">
      <w:pPr>
        <w:spacing w:line="276" w:lineRule="auto"/>
        <w:ind w:firstLine="0"/>
        <w:rPr>
          <w:rFonts w:ascii="Bookman Old Style" w:hAnsi="Bookman Old Style"/>
          <w:color w:val="auto"/>
        </w:rPr>
      </w:pPr>
    </w:p>
    <w:p w14:paraId="0A665E98" w14:textId="77777777" w:rsidR="00542F4F" w:rsidRPr="004A29E4" w:rsidRDefault="00542F4F" w:rsidP="004A29E4">
      <w:pPr>
        <w:spacing w:line="276" w:lineRule="auto"/>
        <w:rPr>
          <w:rFonts w:ascii="Bookman Old Style" w:hAnsi="Bookman Old Style"/>
          <w:color w:val="auto"/>
        </w:rPr>
      </w:pPr>
      <w:r w:rsidRPr="004A29E4">
        <w:rPr>
          <w:rFonts w:ascii="Bookman Old Style" w:hAnsi="Bookman Old Style"/>
          <w:color w:val="auto"/>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1447A2CC" w14:textId="77777777" w:rsidR="00542F4F" w:rsidRPr="004A29E4" w:rsidRDefault="00542F4F" w:rsidP="004A29E4">
      <w:pPr>
        <w:spacing w:line="276" w:lineRule="auto"/>
        <w:ind w:firstLine="0"/>
        <w:rPr>
          <w:rFonts w:ascii="Bookman Old Style" w:hAnsi="Bookman Old Style"/>
          <w:color w:val="auto"/>
        </w:rPr>
      </w:pPr>
    </w:p>
    <w:p w14:paraId="78BD91D2" w14:textId="23048BB9" w:rsidR="00F1367F" w:rsidRPr="004A29E4" w:rsidRDefault="00542F4F" w:rsidP="004A29E4">
      <w:pPr>
        <w:spacing w:line="276" w:lineRule="auto"/>
        <w:ind w:firstLine="0"/>
        <w:jc w:val="center"/>
        <w:rPr>
          <w:rFonts w:ascii="Bookman Old Style" w:hAnsi="Bookman Old Style"/>
          <w:b/>
          <w:bCs/>
          <w:color w:val="auto"/>
        </w:rPr>
      </w:pPr>
      <w:r w:rsidRPr="004A29E4">
        <w:rPr>
          <w:rFonts w:ascii="Bookman Old Style" w:hAnsi="Bookman Old Style"/>
          <w:b/>
          <w:bCs/>
          <w:color w:val="auto"/>
        </w:rPr>
        <w:t>SENTENCIA No.</w:t>
      </w:r>
      <w:r w:rsidR="002A0A88" w:rsidRPr="004A29E4">
        <w:rPr>
          <w:rFonts w:ascii="Bookman Old Style" w:hAnsi="Bookman Old Style"/>
          <w:b/>
          <w:bCs/>
          <w:color w:val="auto"/>
        </w:rPr>
        <w:t xml:space="preserve"> 190</w:t>
      </w:r>
    </w:p>
    <w:p w14:paraId="2BF72054" w14:textId="77777777" w:rsidR="00F1367F" w:rsidRPr="004A29E4" w:rsidRDefault="00F1367F" w:rsidP="004A29E4">
      <w:pPr>
        <w:spacing w:line="276" w:lineRule="auto"/>
        <w:ind w:firstLine="0"/>
        <w:rPr>
          <w:rFonts w:ascii="Bookman Old Style" w:hAnsi="Bookman Old Style"/>
          <w:b/>
          <w:bCs/>
          <w:color w:val="auto"/>
        </w:rPr>
      </w:pPr>
    </w:p>
    <w:p w14:paraId="7508DCA4" w14:textId="73CE61DF" w:rsidR="00646CA8" w:rsidRPr="004A29E4" w:rsidRDefault="00646CA8" w:rsidP="004A29E4">
      <w:pPr>
        <w:spacing w:line="276" w:lineRule="auto"/>
        <w:ind w:firstLine="0"/>
        <w:jc w:val="center"/>
        <w:rPr>
          <w:rFonts w:ascii="Bookman Old Style" w:hAnsi="Bookman Old Style"/>
          <w:b/>
          <w:bCs/>
          <w:color w:val="auto"/>
        </w:rPr>
      </w:pPr>
      <w:r w:rsidRPr="004A29E4">
        <w:rPr>
          <w:rFonts w:ascii="Bookman Old Style" w:hAnsi="Bookman Old Style"/>
          <w:b/>
          <w:bCs/>
          <w:color w:val="auto"/>
        </w:rPr>
        <w:t>ANTECEDENTES</w:t>
      </w:r>
    </w:p>
    <w:p w14:paraId="05507C33" w14:textId="77777777" w:rsidR="00646CA8" w:rsidRPr="004A29E4" w:rsidRDefault="00646CA8" w:rsidP="004A29E4">
      <w:pPr>
        <w:spacing w:line="276" w:lineRule="auto"/>
        <w:ind w:firstLine="0"/>
        <w:jc w:val="center"/>
        <w:rPr>
          <w:rFonts w:ascii="Bookman Old Style" w:hAnsi="Bookman Old Style"/>
          <w:b/>
          <w:bCs/>
          <w:color w:val="auto"/>
        </w:rPr>
      </w:pPr>
    </w:p>
    <w:p w14:paraId="647EF339" w14:textId="7BE20C9B" w:rsidR="005B5103" w:rsidRPr="004A29E4" w:rsidRDefault="006A50DB" w:rsidP="004A29E4">
      <w:pPr>
        <w:spacing w:line="276" w:lineRule="auto"/>
        <w:rPr>
          <w:rFonts w:ascii="Bookman Old Style" w:hAnsi="Bookman Old Style"/>
        </w:rPr>
      </w:pPr>
      <w:r w:rsidRPr="004A29E4">
        <w:rPr>
          <w:rFonts w:ascii="Bookman Old Style" w:hAnsi="Bookman Old Style"/>
          <w:b/>
        </w:rPr>
        <w:t xml:space="preserve">LUZ STELLA CASTAÑO GÓMEZ </w:t>
      </w:r>
      <w:r w:rsidRPr="004A29E4">
        <w:rPr>
          <w:rFonts w:ascii="Bookman Old Style" w:hAnsi="Bookman Old Style"/>
        </w:rPr>
        <w:t xml:space="preserve">demanda a la </w:t>
      </w:r>
      <w:r w:rsidRPr="004A29E4">
        <w:rPr>
          <w:rFonts w:ascii="Bookman Old Style" w:hAnsi="Bookman Old Style"/>
          <w:b/>
        </w:rPr>
        <w:t>ADMINISTRADORA DE FONDOS DE PENSIONES Y CESANTÍA</w:t>
      </w:r>
      <w:r w:rsidR="00895080" w:rsidRPr="004A29E4">
        <w:rPr>
          <w:rFonts w:ascii="Bookman Old Style" w:hAnsi="Bookman Old Style"/>
          <w:b/>
        </w:rPr>
        <w:t>S</w:t>
      </w:r>
      <w:r w:rsidRPr="004A29E4">
        <w:rPr>
          <w:rFonts w:ascii="Bookman Old Style" w:hAnsi="Bookman Old Style"/>
          <w:b/>
        </w:rPr>
        <w:t xml:space="preserve"> PORVENIR S.A. </w:t>
      </w:r>
      <w:r w:rsidR="008C4278" w:rsidRPr="004A29E4">
        <w:rPr>
          <w:rFonts w:ascii="Bookman Old Style" w:hAnsi="Bookman Old Style"/>
        </w:rPr>
        <w:t xml:space="preserve">y al </w:t>
      </w:r>
      <w:r w:rsidR="008C4278" w:rsidRPr="004A29E4">
        <w:rPr>
          <w:rFonts w:ascii="Bookman Old Style" w:hAnsi="Bookman Old Style"/>
          <w:b/>
        </w:rPr>
        <w:t>MINIS</w:t>
      </w:r>
      <w:r w:rsidR="00646CA8" w:rsidRPr="004A29E4">
        <w:rPr>
          <w:rFonts w:ascii="Bookman Old Style" w:hAnsi="Bookman Old Style"/>
          <w:b/>
        </w:rPr>
        <w:t>T</w:t>
      </w:r>
      <w:r w:rsidR="008C4278" w:rsidRPr="004A29E4">
        <w:rPr>
          <w:rFonts w:ascii="Bookman Old Style" w:hAnsi="Bookman Old Style"/>
          <w:b/>
        </w:rPr>
        <w:t xml:space="preserve">ERIO DE HACIENDA Y CRÉDITO PÚBLICO – </w:t>
      </w:r>
      <w:proofErr w:type="spellStart"/>
      <w:r w:rsidR="008C4278" w:rsidRPr="004A29E4">
        <w:rPr>
          <w:rFonts w:ascii="Bookman Old Style" w:hAnsi="Bookman Old Style"/>
          <w:b/>
        </w:rPr>
        <w:t>OBP</w:t>
      </w:r>
      <w:proofErr w:type="spellEnd"/>
      <w:r w:rsidR="008C4278" w:rsidRPr="004A29E4">
        <w:rPr>
          <w:rFonts w:ascii="Bookman Old Style" w:hAnsi="Bookman Old Style"/>
          <w:b/>
        </w:rPr>
        <w:t xml:space="preserve"> </w:t>
      </w:r>
      <w:r w:rsidRPr="004A29E4">
        <w:rPr>
          <w:rFonts w:ascii="Bookman Old Style" w:hAnsi="Bookman Old Style"/>
        </w:rPr>
        <w:t>con el propósito de que se le reconozca la pensión de garantía mínima en un 100%, sobre la base del mínimo legal. En consecuencia, se le cancele</w:t>
      </w:r>
      <w:r w:rsidR="00437F1C" w:rsidRPr="004A29E4">
        <w:rPr>
          <w:rFonts w:ascii="Bookman Old Style" w:hAnsi="Bookman Old Style"/>
        </w:rPr>
        <w:t>n las diferencias de</w:t>
      </w:r>
      <w:r w:rsidRPr="004A29E4">
        <w:rPr>
          <w:rFonts w:ascii="Bookman Old Style" w:hAnsi="Bookman Old Style"/>
        </w:rPr>
        <w:t xml:space="preserve"> la prestación desde el 2 de octubre de 2016, además de los intereses de mora y costas del proceso.</w:t>
      </w:r>
    </w:p>
    <w:p w14:paraId="55536FFB" w14:textId="7CFBC4D9" w:rsidR="00037B84" w:rsidRPr="004A29E4" w:rsidRDefault="00037B84" w:rsidP="004A29E4">
      <w:pPr>
        <w:spacing w:line="276" w:lineRule="auto"/>
        <w:rPr>
          <w:rFonts w:ascii="Bookman Old Style" w:hAnsi="Bookman Old Style"/>
        </w:rPr>
      </w:pPr>
    </w:p>
    <w:p w14:paraId="2E4FC3E4" w14:textId="026CDC4C" w:rsidR="00D243B9" w:rsidRPr="004A29E4" w:rsidRDefault="00037B84" w:rsidP="004A29E4">
      <w:pPr>
        <w:spacing w:line="276" w:lineRule="auto"/>
        <w:rPr>
          <w:rFonts w:ascii="Bookman Old Style" w:hAnsi="Bookman Old Style"/>
        </w:rPr>
      </w:pPr>
      <w:r w:rsidRPr="004A29E4">
        <w:rPr>
          <w:rFonts w:ascii="Bookman Old Style" w:hAnsi="Bookman Old Style"/>
        </w:rPr>
        <w:t xml:space="preserve">Los hechos que justifican las pretensiones informan que la señora Castaño Gómez </w:t>
      </w:r>
      <w:r w:rsidR="00D243B9" w:rsidRPr="004A29E4">
        <w:rPr>
          <w:rFonts w:ascii="Bookman Old Style" w:hAnsi="Bookman Old Style"/>
        </w:rPr>
        <w:t xml:space="preserve">nació </w:t>
      </w:r>
      <w:r w:rsidR="0034575D" w:rsidRPr="004A29E4">
        <w:rPr>
          <w:rFonts w:ascii="Bookman Old Style" w:hAnsi="Bookman Old Style"/>
        </w:rPr>
        <w:t xml:space="preserve">el </w:t>
      </w:r>
      <w:r w:rsidRPr="004A29E4">
        <w:rPr>
          <w:rFonts w:ascii="Bookman Old Style" w:hAnsi="Bookman Old Style"/>
        </w:rPr>
        <w:t>02-10-</w:t>
      </w:r>
      <w:r w:rsidR="005711EE" w:rsidRPr="004A29E4">
        <w:rPr>
          <w:rFonts w:ascii="Bookman Old Style" w:hAnsi="Bookman Old Style"/>
        </w:rPr>
        <w:t xml:space="preserve">1959, estando vinculada al </w:t>
      </w:r>
      <w:proofErr w:type="spellStart"/>
      <w:r w:rsidR="005711EE" w:rsidRPr="004A29E4">
        <w:rPr>
          <w:rFonts w:ascii="Bookman Old Style" w:hAnsi="Bookman Old Style"/>
        </w:rPr>
        <w:t>RAIS</w:t>
      </w:r>
      <w:proofErr w:type="spellEnd"/>
      <w:r w:rsidR="005711EE" w:rsidRPr="004A29E4">
        <w:rPr>
          <w:rFonts w:ascii="Bookman Old Style" w:hAnsi="Bookman Old Style"/>
        </w:rPr>
        <w:t xml:space="preserve"> a través de Porvenir </w:t>
      </w:r>
      <w:r w:rsidR="00D243B9" w:rsidRPr="004A29E4">
        <w:rPr>
          <w:rFonts w:ascii="Bookman Old Style" w:hAnsi="Bookman Old Style"/>
        </w:rPr>
        <w:t>S.A.</w:t>
      </w:r>
      <w:r w:rsidR="005711EE" w:rsidRPr="004A29E4">
        <w:rPr>
          <w:rFonts w:ascii="Bookman Old Style" w:hAnsi="Bookman Old Style"/>
        </w:rPr>
        <w:t>; que cotizó al sistema pensional tanto en Colombia como en España</w:t>
      </w:r>
      <w:r w:rsidR="00E71BF1" w:rsidRPr="004A29E4">
        <w:rPr>
          <w:rFonts w:ascii="Bookman Old Style" w:hAnsi="Bookman Old Style"/>
        </w:rPr>
        <w:t xml:space="preserve">, completando las </w:t>
      </w:r>
      <w:r w:rsidR="00D243B9" w:rsidRPr="004A29E4">
        <w:rPr>
          <w:rFonts w:ascii="Bookman Old Style" w:hAnsi="Bookman Old Style"/>
        </w:rPr>
        <w:t xml:space="preserve">1.150 </w:t>
      </w:r>
      <w:r w:rsidR="00E71BF1" w:rsidRPr="004A29E4">
        <w:rPr>
          <w:rFonts w:ascii="Bookman Old Style" w:hAnsi="Bookman Old Style"/>
        </w:rPr>
        <w:t xml:space="preserve">que requiere en el </w:t>
      </w:r>
      <w:proofErr w:type="spellStart"/>
      <w:r w:rsidR="00E71BF1" w:rsidRPr="004A29E4">
        <w:rPr>
          <w:rFonts w:ascii="Bookman Old Style" w:hAnsi="Bookman Old Style"/>
        </w:rPr>
        <w:t>RAIS</w:t>
      </w:r>
      <w:proofErr w:type="spellEnd"/>
      <w:r w:rsidR="00E71BF1" w:rsidRPr="004A29E4">
        <w:rPr>
          <w:rFonts w:ascii="Bookman Old Style" w:hAnsi="Bookman Old Style"/>
        </w:rPr>
        <w:t>.</w:t>
      </w:r>
    </w:p>
    <w:p w14:paraId="369C19F7" w14:textId="1D9CE5E9" w:rsidR="00E71BF1" w:rsidRPr="004A29E4" w:rsidRDefault="00E71BF1" w:rsidP="004A29E4">
      <w:pPr>
        <w:spacing w:line="276" w:lineRule="auto"/>
        <w:rPr>
          <w:rFonts w:ascii="Bookman Old Style" w:hAnsi="Bookman Old Style"/>
        </w:rPr>
      </w:pPr>
    </w:p>
    <w:p w14:paraId="20161D0D" w14:textId="35343660" w:rsidR="00E71BF1" w:rsidRPr="004A29E4" w:rsidRDefault="00E71BF1" w:rsidP="004A29E4">
      <w:pPr>
        <w:spacing w:line="276" w:lineRule="auto"/>
        <w:rPr>
          <w:rFonts w:ascii="Bookman Old Style" w:hAnsi="Bookman Old Style"/>
        </w:rPr>
      </w:pPr>
      <w:r w:rsidRPr="004A29E4">
        <w:rPr>
          <w:rFonts w:ascii="Bookman Old Style" w:hAnsi="Bookman Old Style"/>
        </w:rPr>
        <w:t xml:space="preserve">Refiere que el 1-09-2017 </w:t>
      </w:r>
      <w:r w:rsidR="00D243B9" w:rsidRPr="004A29E4">
        <w:rPr>
          <w:rFonts w:ascii="Bookman Old Style" w:hAnsi="Bookman Old Style"/>
        </w:rPr>
        <w:t xml:space="preserve">realizó ante </w:t>
      </w:r>
      <w:r w:rsidRPr="004A29E4">
        <w:rPr>
          <w:rFonts w:ascii="Bookman Old Style" w:hAnsi="Bookman Old Style"/>
        </w:rPr>
        <w:t xml:space="preserve">Porvenir </w:t>
      </w:r>
      <w:r w:rsidR="00D243B9" w:rsidRPr="004A29E4">
        <w:rPr>
          <w:rFonts w:ascii="Bookman Old Style" w:hAnsi="Bookman Old Style"/>
        </w:rPr>
        <w:t>S.A</w:t>
      </w:r>
      <w:r w:rsidR="006F054F">
        <w:rPr>
          <w:rFonts w:ascii="Bookman Old Style" w:hAnsi="Bookman Old Style"/>
        </w:rPr>
        <w:t>.</w:t>
      </w:r>
      <w:r w:rsidR="00D243B9" w:rsidRPr="004A29E4">
        <w:rPr>
          <w:rFonts w:ascii="Bookman Old Style" w:hAnsi="Bookman Old Style"/>
        </w:rPr>
        <w:t xml:space="preserve"> </w:t>
      </w:r>
      <w:r w:rsidRPr="004A29E4">
        <w:rPr>
          <w:rFonts w:ascii="Bookman Old Style" w:hAnsi="Bookman Old Style"/>
        </w:rPr>
        <w:t xml:space="preserve">el </w:t>
      </w:r>
      <w:r w:rsidR="00D243B9" w:rsidRPr="004A29E4">
        <w:rPr>
          <w:rFonts w:ascii="Bookman Old Style" w:hAnsi="Bookman Old Style"/>
        </w:rPr>
        <w:t xml:space="preserve">trámite </w:t>
      </w:r>
      <w:r w:rsidRPr="004A29E4">
        <w:rPr>
          <w:rFonts w:ascii="Bookman Old Style" w:hAnsi="Bookman Old Style"/>
        </w:rPr>
        <w:t>correspondiente para la e</w:t>
      </w:r>
      <w:r w:rsidR="00D243B9" w:rsidRPr="004A29E4">
        <w:rPr>
          <w:rFonts w:ascii="Bookman Old Style" w:hAnsi="Bookman Old Style"/>
        </w:rPr>
        <w:t>misión de Bono Pensional</w:t>
      </w:r>
      <w:r w:rsidRPr="004A29E4">
        <w:rPr>
          <w:rFonts w:ascii="Bookman Old Style" w:hAnsi="Bookman Old Style"/>
        </w:rPr>
        <w:t xml:space="preserve"> y el 11-12-2017 requirió a la demandada dar continuidad al trámite pensional. Afirma que el 18-12-2017 Porvenir S.A. le informó que </w:t>
      </w:r>
      <w:r w:rsidR="00D243B9" w:rsidRPr="004A29E4">
        <w:rPr>
          <w:rFonts w:ascii="Bookman Old Style" w:hAnsi="Bookman Old Style"/>
        </w:rPr>
        <w:t>con la totalización de</w:t>
      </w:r>
      <w:r w:rsidRPr="004A29E4">
        <w:rPr>
          <w:rFonts w:ascii="Bookman Old Style" w:hAnsi="Bookman Old Style"/>
        </w:rPr>
        <w:t xml:space="preserve"> </w:t>
      </w:r>
      <w:r w:rsidR="00D243B9" w:rsidRPr="004A29E4">
        <w:rPr>
          <w:rFonts w:ascii="Bookman Old Style" w:hAnsi="Bookman Old Style"/>
        </w:rPr>
        <w:t xml:space="preserve">tiempos en ambas naciones </w:t>
      </w:r>
      <w:r w:rsidRPr="004A29E4">
        <w:rPr>
          <w:rFonts w:ascii="Bookman Old Style" w:hAnsi="Bookman Old Style"/>
        </w:rPr>
        <w:t xml:space="preserve">acreditaba las 1.150 requeridas para </w:t>
      </w:r>
      <w:r w:rsidR="00D243B9" w:rsidRPr="004A29E4">
        <w:rPr>
          <w:rFonts w:ascii="Bookman Old Style" w:hAnsi="Bookman Old Style"/>
        </w:rPr>
        <w:t>acceder al beneficio de Garantía Estatal de Pensión Mínima</w:t>
      </w:r>
      <w:r w:rsidRPr="004A29E4">
        <w:rPr>
          <w:rFonts w:ascii="Bookman Old Style" w:hAnsi="Bookman Old Style"/>
        </w:rPr>
        <w:t xml:space="preserve"> y le solicitó la </w:t>
      </w:r>
      <w:r w:rsidR="00D243B9" w:rsidRPr="004A29E4">
        <w:rPr>
          <w:rFonts w:ascii="Bookman Old Style" w:hAnsi="Bookman Old Style"/>
        </w:rPr>
        <w:t>declaración juramentada para</w:t>
      </w:r>
      <w:r w:rsidRPr="004A29E4">
        <w:rPr>
          <w:rFonts w:ascii="Bookman Old Style" w:hAnsi="Bookman Old Style"/>
        </w:rPr>
        <w:t xml:space="preserve"> </w:t>
      </w:r>
      <w:r w:rsidR="00D243B9" w:rsidRPr="004A29E4">
        <w:rPr>
          <w:rFonts w:ascii="Bookman Old Style" w:hAnsi="Bookman Old Style"/>
        </w:rPr>
        <w:t xml:space="preserve">darle continuidad </w:t>
      </w:r>
      <w:r w:rsidRPr="004A29E4">
        <w:rPr>
          <w:rFonts w:ascii="Bookman Old Style" w:hAnsi="Bookman Old Style"/>
        </w:rPr>
        <w:t>a dicho trámite, la cual fue aportada el 20 del mismo mes y año.</w:t>
      </w:r>
    </w:p>
    <w:p w14:paraId="48FDAD94" w14:textId="77777777" w:rsidR="00E71BF1" w:rsidRPr="004A29E4" w:rsidRDefault="00E71BF1" w:rsidP="004A29E4">
      <w:pPr>
        <w:spacing w:line="276" w:lineRule="auto"/>
        <w:rPr>
          <w:rFonts w:ascii="Bookman Old Style" w:hAnsi="Bookman Old Style"/>
        </w:rPr>
      </w:pPr>
    </w:p>
    <w:p w14:paraId="3CE58B3E" w14:textId="254BF274" w:rsidR="00E71BF1" w:rsidRPr="004A29E4" w:rsidRDefault="00E71BF1" w:rsidP="004A29E4">
      <w:pPr>
        <w:spacing w:line="276" w:lineRule="auto"/>
        <w:rPr>
          <w:rFonts w:ascii="Bookman Old Style" w:hAnsi="Bookman Old Style"/>
        </w:rPr>
      </w:pPr>
      <w:r w:rsidRPr="004A29E4">
        <w:rPr>
          <w:rFonts w:ascii="Bookman Old Style" w:hAnsi="Bookman Old Style"/>
        </w:rPr>
        <w:t xml:space="preserve">Afirma que por </w:t>
      </w:r>
      <w:r w:rsidR="00D243B9" w:rsidRPr="004A29E4">
        <w:rPr>
          <w:rFonts w:ascii="Bookman Old Style" w:hAnsi="Bookman Old Style"/>
        </w:rPr>
        <w:t>resolución</w:t>
      </w:r>
      <w:r w:rsidRPr="004A29E4">
        <w:rPr>
          <w:rFonts w:ascii="Bookman Old Style" w:hAnsi="Bookman Old Style"/>
        </w:rPr>
        <w:t xml:space="preserve"> </w:t>
      </w:r>
      <w:r w:rsidR="00D243B9" w:rsidRPr="004A29E4">
        <w:rPr>
          <w:rFonts w:ascii="Bookman Old Style" w:hAnsi="Bookman Old Style"/>
        </w:rPr>
        <w:t xml:space="preserve">17738 del </w:t>
      </w:r>
      <w:r w:rsidRPr="004A29E4">
        <w:rPr>
          <w:rFonts w:ascii="Bookman Old Style" w:hAnsi="Bookman Old Style"/>
        </w:rPr>
        <w:t xml:space="preserve">28-02-2018 </w:t>
      </w:r>
      <w:r w:rsidR="00D243B9" w:rsidRPr="004A29E4">
        <w:rPr>
          <w:rFonts w:ascii="Bookman Old Style" w:hAnsi="Bookman Old Style"/>
        </w:rPr>
        <w:t>el Ministerio de Hacienda y Crédito</w:t>
      </w:r>
      <w:r w:rsidRPr="004A29E4">
        <w:rPr>
          <w:rFonts w:ascii="Bookman Old Style" w:hAnsi="Bookman Old Style"/>
        </w:rPr>
        <w:t xml:space="preserve"> </w:t>
      </w:r>
      <w:r w:rsidR="00D243B9" w:rsidRPr="004A29E4">
        <w:rPr>
          <w:rFonts w:ascii="Bookman Old Style" w:hAnsi="Bookman Old Style"/>
        </w:rPr>
        <w:t xml:space="preserve">Público aprobó la Garantía de Pensión Mínima a favor de </w:t>
      </w:r>
      <w:r w:rsidRPr="004A29E4">
        <w:rPr>
          <w:rFonts w:ascii="Bookman Old Style" w:hAnsi="Bookman Old Style"/>
        </w:rPr>
        <w:t xml:space="preserve">la actora </w:t>
      </w:r>
      <w:r w:rsidR="00D243B9" w:rsidRPr="004A29E4">
        <w:rPr>
          <w:rFonts w:ascii="Bookman Old Style" w:hAnsi="Bookman Old Style"/>
        </w:rPr>
        <w:t>en cumplimiento a lo dispuesto por el Decreto 142 de 2016</w:t>
      </w:r>
      <w:r w:rsidRPr="004A29E4">
        <w:rPr>
          <w:rFonts w:ascii="Bookman Old Style" w:hAnsi="Bookman Old Style"/>
        </w:rPr>
        <w:t xml:space="preserve"> y</w:t>
      </w:r>
      <w:r w:rsidR="0034575D" w:rsidRPr="004A29E4">
        <w:rPr>
          <w:rFonts w:ascii="Bookman Old Style" w:hAnsi="Bookman Old Style"/>
        </w:rPr>
        <w:t>,</w:t>
      </w:r>
      <w:r w:rsidRPr="004A29E4">
        <w:rPr>
          <w:rFonts w:ascii="Bookman Old Style" w:hAnsi="Bookman Old Style"/>
        </w:rPr>
        <w:t xml:space="preserve"> por </w:t>
      </w:r>
      <w:r w:rsidR="00D243B9" w:rsidRPr="004A29E4">
        <w:rPr>
          <w:rFonts w:ascii="Bookman Old Style" w:hAnsi="Bookman Old Style"/>
        </w:rPr>
        <w:t>oficio</w:t>
      </w:r>
      <w:r w:rsidRPr="004A29E4">
        <w:rPr>
          <w:rFonts w:ascii="Bookman Old Style" w:hAnsi="Bookman Old Style"/>
        </w:rPr>
        <w:t xml:space="preserve"> </w:t>
      </w:r>
      <w:r w:rsidR="00D243B9" w:rsidRPr="004A29E4">
        <w:rPr>
          <w:rFonts w:ascii="Bookman Old Style" w:hAnsi="Bookman Old Style"/>
        </w:rPr>
        <w:t>579 de mayo de</w:t>
      </w:r>
      <w:r w:rsidRPr="004A29E4">
        <w:rPr>
          <w:rFonts w:ascii="Bookman Old Style" w:hAnsi="Bookman Old Style"/>
        </w:rPr>
        <w:t xml:space="preserve"> 2018 la demandada Porvenir S.A. le notificó e</w:t>
      </w:r>
      <w:r w:rsidR="00D243B9" w:rsidRPr="004A29E4">
        <w:rPr>
          <w:rFonts w:ascii="Bookman Old Style" w:hAnsi="Bookman Old Style"/>
        </w:rPr>
        <w:t>l reconocimiento y pago de la pensión de</w:t>
      </w:r>
      <w:r w:rsidRPr="004A29E4">
        <w:rPr>
          <w:rFonts w:ascii="Bookman Old Style" w:hAnsi="Bookman Old Style"/>
        </w:rPr>
        <w:t xml:space="preserve"> </w:t>
      </w:r>
      <w:r w:rsidR="00D243B9" w:rsidRPr="004A29E4">
        <w:rPr>
          <w:rFonts w:ascii="Bookman Old Style" w:hAnsi="Bookman Old Style"/>
        </w:rPr>
        <w:t xml:space="preserve">Garantía mínima, a partir del </w:t>
      </w:r>
      <w:r w:rsidRPr="004A29E4">
        <w:rPr>
          <w:rFonts w:ascii="Bookman Old Style" w:hAnsi="Bookman Old Style"/>
        </w:rPr>
        <w:t>02-10-2016</w:t>
      </w:r>
      <w:r w:rsidR="00492646" w:rsidRPr="004A29E4">
        <w:rPr>
          <w:rFonts w:ascii="Bookman Old Style" w:hAnsi="Bookman Old Style"/>
        </w:rPr>
        <w:t>.</w:t>
      </w:r>
    </w:p>
    <w:p w14:paraId="073F50DD" w14:textId="230DD94C" w:rsidR="00492646" w:rsidRPr="004A29E4" w:rsidRDefault="00492646" w:rsidP="004A29E4">
      <w:pPr>
        <w:spacing w:line="276" w:lineRule="auto"/>
        <w:rPr>
          <w:rFonts w:ascii="Bookman Old Style" w:hAnsi="Bookman Old Style"/>
        </w:rPr>
      </w:pPr>
    </w:p>
    <w:p w14:paraId="29CAA790" w14:textId="4A2FFCDF" w:rsidR="00D243B9" w:rsidRPr="004A29E4" w:rsidRDefault="00492646" w:rsidP="004A29E4">
      <w:pPr>
        <w:spacing w:line="276" w:lineRule="auto"/>
        <w:rPr>
          <w:rFonts w:ascii="Bookman Old Style" w:hAnsi="Bookman Old Style"/>
        </w:rPr>
      </w:pPr>
      <w:r w:rsidRPr="004A29E4">
        <w:rPr>
          <w:rFonts w:ascii="Bookman Old Style" w:hAnsi="Bookman Old Style"/>
        </w:rPr>
        <w:t xml:space="preserve">Asegura que Porvenir S.A. desde el </w:t>
      </w:r>
      <w:r w:rsidR="00D243B9" w:rsidRPr="004A29E4">
        <w:rPr>
          <w:rFonts w:ascii="Bookman Old Style" w:hAnsi="Bookman Old Style"/>
        </w:rPr>
        <w:t xml:space="preserve">reconocimiento cancela la </w:t>
      </w:r>
      <w:r w:rsidRPr="004A29E4">
        <w:rPr>
          <w:rFonts w:ascii="Bookman Old Style" w:hAnsi="Bookman Old Style"/>
        </w:rPr>
        <w:t xml:space="preserve">prestación en valor </w:t>
      </w:r>
      <w:r w:rsidR="00D243B9" w:rsidRPr="004A29E4">
        <w:rPr>
          <w:rFonts w:ascii="Bookman Old Style" w:hAnsi="Bookman Old Style"/>
        </w:rPr>
        <w:t>inferior al</w:t>
      </w:r>
      <w:r w:rsidRPr="004A29E4">
        <w:rPr>
          <w:rFonts w:ascii="Bookman Old Style" w:hAnsi="Bookman Old Style"/>
        </w:rPr>
        <w:t xml:space="preserve"> </w:t>
      </w:r>
      <w:r w:rsidR="00D243B9" w:rsidRPr="004A29E4">
        <w:rPr>
          <w:rFonts w:ascii="Bookman Old Style" w:hAnsi="Bookman Old Style"/>
        </w:rPr>
        <w:t>mínimo legal vigente</w:t>
      </w:r>
      <w:r w:rsidRPr="004A29E4">
        <w:rPr>
          <w:rFonts w:ascii="Bookman Old Style" w:hAnsi="Bookman Old Style"/>
        </w:rPr>
        <w:t xml:space="preserve"> y por ello, el 12-09-2018 </w:t>
      </w:r>
      <w:r w:rsidR="00D243B9" w:rsidRPr="004A29E4">
        <w:rPr>
          <w:rFonts w:ascii="Bookman Old Style" w:hAnsi="Bookman Old Style"/>
        </w:rPr>
        <w:t xml:space="preserve">solicitó </w:t>
      </w:r>
      <w:r w:rsidRPr="004A29E4">
        <w:rPr>
          <w:rFonts w:ascii="Bookman Old Style" w:hAnsi="Bookman Old Style"/>
        </w:rPr>
        <w:t xml:space="preserve">cancelar la mesada sobre 100% del </w:t>
      </w:r>
      <w:r w:rsidR="00D243B9" w:rsidRPr="004A29E4">
        <w:rPr>
          <w:rFonts w:ascii="Bookman Old Style" w:hAnsi="Bookman Old Style"/>
        </w:rPr>
        <w:t>salario mínimo</w:t>
      </w:r>
      <w:r w:rsidRPr="004A29E4">
        <w:rPr>
          <w:rFonts w:ascii="Bookman Old Style" w:hAnsi="Bookman Old Style"/>
        </w:rPr>
        <w:t xml:space="preserve">. </w:t>
      </w:r>
      <w:r w:rsidR="00BA4C58" w:rsidRPr="004A29E4">
        <w:rPr>
          <w:rFonts w:ascii="Bookman Old Style" w:hAnsi="Bookman Old Style"/>
        </w:rPr>
        <w:t xml:space="preserve">Que el 24-09-2018 Porvenir S.A. le informó que el reconocimiento era sobre el </w:t>
      </w:r>
      <w:r w:rsidR="00D243B9" w:rsidRPr="004A29E4">
        <w:rPr>
          <w:rFonts w:ascii="Bookman Old Style" w:hAnsi="Bookman Old Style"/>
        </w:rPr>
        <w:t xml:space="preserve">57.96% del valor, teniendo en cuenta </w:t>
      </w:r>
      <w:r w:rsidR="00BA4C58" w:rsidRPr="004A29E4">
        <w:rPr>
          <w:rFonts w:ascii="Bookman Old Style" w:hAnsi="Bookman Old Style"/>
        </w:rPr>
        <w:t xml:space="preserve">que </w:t>
      </w:r>
      <w:r w:rsidR="00D243B9" w:rsidRPr="004A29E4">
        <w:rPr>
          <w:rFonts w:ascii="Bookman Old Style" w:hAnsi="Bookman Old Style"/>
        </w:rPr>
        <w:t xml:space="preserve">solo </w:t>
      </w:r>
      <w:r w:rsidR="00BA4C58" w:rsidRPr="004A29E4">
        <w:rPr>
          <w:rFonts w:ascii="Bookman Old Style" w:hAnsi="Bookman Old Style"/>
        </w:rPr>
        <w:t xml:space="preserve">contaba con </w:t>
      </w:r>
      <w:r w:rsidR="00D243B9" w:rsidRPr="004A29E4">
        <w:rPr>
          <w:rFonts w:ascii="Bookman Old Style" w:hAnsi="Bookman Old Style"/>
        </w:rPr>
        <w:t>las semanas cotizadas ante</w:t>
      </w:r>
      <w:r w:rsidR="00710840" w:rsidRPr="004A29E4">
        <w:rPr>
          <w:rFonts w:ascii="Bookman Old Style" w:hAnsi="Bookman Old Style"/>
        </w:rPr>
        <w:t xml:space="preserve"> dicha AFP, siendo aplicable el descuento en salud.</w:t>
      </w:r>
    </w:p>
    <w:p w14:paraId="2E04D8A5" w14:textId="77777777" w:rsidR="00710840" w:rsidRPr="004A29E4" w:rsidRDefault="00710840" w:rsidP="004A29E4">
      <w:pPr>
        <w:spacing w:line="276" w:lineRule="auto"/>
        <w:rPr>
          <w:rFonts w:ascii="Bookman Old Style" w:hAnsi="Bookman Old Style"/>
        </w:rPr>
      </w:pPr>
    </w:p>
    <w:p w14:paraId="608484FF" w14:textId="2C7615F3" w:rsidR="00D243B9" w:rsidRPr="004A29E4" w:rsidRDefault="00710840" w:rsidP="004A29E4">
      <w:pPr>
        <w:spacing w:line="276" w:lineRule="auto"/>
        <w:rPr>
          <w:rFonts w:ascii="Bookman Old Style" w:hAnsi="Bookman Old Style"/>
        </w:rPr>
      </w:pPr>
      <w:r w:rsidRPr="004A29E4">
        <w:rPr>
          <w:rFonts w:ascii="Bookman Old Style" w:hAnsi="Bookman Old Style"/>
        </w:rPr>
        <w:t xml:space="preserve">Afirma que la demandada paga la prestación desde el </w:t>
      </w:r>
      <w:r w:rsidR="00D243B9" w:rsidRPr="004A29E4">
        <w:rPr>
          <w:rFonts w:ascii="Bookman Old Style" w:hAnsi="Bookman Old Style"/>
        </w:rPr>
        <w:t>2020 por $467.975</w:t>
      </w:r>
      <w:r w:rsidRPr="004A29E4">
        <w:rPr>
          <w:rFonts w:ascii="Bookman Old Style" w:hAnsi="Bookman Old Style"/>
        </w:rPr>
        <w:t xml:space="preserve"> y que la </w:t>
      </w:r>
      <w:proofErr w:type="spellStart"/>
      <w:r w:rsidRPr="004A29E4">
        <w:rPr>
          <w:rFonts w:ascii="Bookman Old Style" w:hAnsi="Bookman Old Style"/>
        </w:rPr>
        <w:t>OBP</w:t>
      </w:r>
      <w:proofErr w:type="spellEnd"/>
      <w:r w:rsidRPr="004A29E4">
        <w:rPr>
          <w:rFonts w:ascii="Bookman Old Style" w:hAnsi="Bookman Old Style"/>
        </w:rPr>
        <w:t xml:space="preserve"> del Ministerio de Hacienda </w:t>
      </w:r>
      <w:r w:rsidR="00D243B9" w:rsidRPr="004A29E4">
        <w:rPr>
          <w:rFonts w:ascii="Bookman Old Style" w:hAnsi="Bookman Old Style"/>
        </w:rPr>
        <w:t xml:space="preserve">el </w:t>
      </w:r>
      <w:r w:rsidRPr="004A29E4">
        <w:rPr>
          <w:rFonts w:ascii="Bookman Old Style" w:hAnsi="Bookman Old Style"/>
        </w:rPr>
        <w:t xml:space="preserve">24-09-2020 </w:t>
      </w:r>
      <w:r w:rsidR="00D243B9" w:rsidRPr="004A29E4">
        <w:rPr>
          <w:rFonts w:ascii="Bookman Old Style" w:hAnsi="Bookman Old Style"/>
        </w:rPr>
        <w:t>certificó que "</w:t>
      </w:r>
      <w:r w:rsidR="00D243B9" w:rsidRPr="00E60AD5">
        <w:rPr>
          <w:rFonts w:ascii="Bookman Old Style" w:hAnsi="Bookman Old Style"/>
          <w:sz w:val="22"/>
        </w:rPr>
        <w:t>teniendo en cuenta que la señora Luz Stella</w:t>
      </w:r>
      <w:r w:rsidRPr="00E60AD5">
        <w:rPr>
          <w:rFonts w:ascii="Bookman Old Style" w:hAnsi="Bookman Old Style"/>
          <w:sz w:val="22"/>
        </w:rPr>
        <w:t xml:space="preserve"> </w:t>
      </w:r>
      <w:r w:rsidR="00D243B9" w:rsidRPr="00E60AD5">
        <w:rPr>
          <w:rFonts w:ascii="Bookman Old Style" w:hAnsi="Bookman Old Style"/>
          <w:sz w:val="22"/>
        </w:rPr>
        <w:t>Castaño Gómez cumplió la edad por la Ley establecida y demostró haber</w:t>
      </w:r>
      <w:r w:rsidRPr="00E60AD5">
        <w:rPr>
          <w:rFonts w:ascii="Bookman Old Style" w:hAnsi="Bookman Old Style"/>
          <w:sz w:val="22"/>
        </w:rPr>
        <w:t xml:space="preserve"> </w:t>
      </w:r>
      <w:r w:rsidR="00D243B9" w:rsidRPr="00E60AD5">
        <w:rPr>
          <w:rFonts w:ascii="Bookman Old Style" w:hAnsi="Bookman Old Style"/>
          <w:sz w:val="22"/>
        </w:rPr>
        <w:t>cotizado por lo menos 1150 semanas y no logró acumular lo suficiente</w:t>
      </w:r>
      <w:r w:rsidRPr="00E60AD5">
        <w:rPr>
          <w:rFonts w:ascii="Bookman Old Style" w:hAnsi="Bookman Old Style"/>
          <w:sz w:val="22"/>
        </w:rPr>
        <w:t xml:space="preserve"> </w:t>
      </w:r>
      <w:r w:rsidR="00D243B9" w:rsidRPr="00E60AD5">
        <w:rPr>
          <w:rFonts w:ascii="Bookman Old Style" w:hAnsi="Bookman Old Style"/>
          <w:sz w:val="22"/>
        </w:rPr>
        <w:t xml:space="preserve">para financiar la pensión, entonces como </w:t>
      </w:r>
      <w:r w:rsidRPr="00E60AD5">
        <w:rPr>
          <w:rFonts w:ascii="Bookman Old Style" w:hAnsi="Bookman Old Style"/>
          <w:sz w:val="22"/>
        </w:rPr>
        <w:t xml:space="preserve">afiliada </w:t>
      </w:r>
      <w:r w:rsidR="00D243B9" w:rsidRPr="00E60AD5">
        <w:rPr>
          <w:rFonts w:ascii="Bookman Old Style" w:hAnsi="Bookman Old Style"/>
          <w:sz w:val="22"/>
        </w:rPr>
        <w:t>de la AFP PORVENIR</w:t>
      </w:r>
      <w:r w:rsidRPr="00E60AD5">
        <w:rPr>
          <w:rFonts w:ascii="Bookman Old Style" w:hAnsi="Bookman Old Style"/>
          <w:sz w:val="22"/>
        </w:rPr>
        <w:t xml:space="preserve"> </w:t>
      </w:r>
      <w:proofErr w:type="spellStart"/>
      <w:r w:rsidR="00D243B9" w:rsidRPr="00E60AD5">
        <w:rPr>
          <w:rFonts w:ascii="Bookman Old Style" w:hAnsi="Bookman Old Style"/>
          <w:sz w:val="22"/>
        </w:rPr>
        <w:t>S.A</w:t>
      </w:r>
      <w:proofErr w:type="spellEnd"/>
      <w:r w:rsidR="00D243B9" w:rsidRPr="00E60AD5">
        <w:rPr>
          <w:rFonts w:ascii="Bookman Old Style" w:hAnsi="Bookman Old Style"/>
          <w:sz w:val="22"/>
        </w:rPr>
        <w:t xml:space="preserve">, autorizó a solicitar a la </w:t>
      </w:r>
      <w:proofErr w:type="spellStart"/>
      <w:r w:rsidR="00D243B9" w:rsidRPr="00E60AD5">
        <w:rPr>
          <w:rFonts w:ascii="Bookman Old Style" w:hAnsi="Bookman Old Style"/>
          <w:sz w:val="22"/>
        </w:rPr>
        <w:t>OBP</w:t>
      </w:r>
      <w:proofErr w:type="spellEnd"/>
      <w:r w:rsidR="00D243B9" w:rsidRPr="00E60AD5">
        <w:rPr>
          <w:rFonts w:ascii="Bookman Old Style" w:hAnsi="Bookman Old Style"/>
          <w:sz w:val="22"/>
        </w:rPr>
        <w:t xml:space="preserve"> el otorgamiento de dicha Garantía de</w:t>
      </w:r>
      <w:r w:rsidRPr="00E60AD5">
        <w:rPr>
          <w:rFonts w:ascii="Bookman Old Style" w:hAnsi="Bookman Old Style"/>
          <w:sz w:val="22"/>
        </w:rPr>
        <w:t xml:space="preserve"> </w:t>
      </w:r>
      <w:r w:rsidR="00D243B9" w:rsidRPr="00E60AD5">
        <w:rPr>
          <w:rFonts w:ascii="Bookman Old Style" w:hAnsi="Bookman Old Style"/>
          <w:sz w:val="22"/>
        </w:rPr>
        <w:t>Pensión Mínima Temporal</w:t>
      </w:r>
      <w:r w:rsidR="00D243B9" w:rsidRPr="004A29E4">
        <w:rPr>
          <w:rFonts w:ascii="Bookman Old Style" w:hAnsi="Bookman Old Style"/>
        </w:rPr>
        <w:t>"</w:t>
      </w:r>
      <w:r w:rsidR="0034575D" w:rsidRPr="004A29E4">
        <w:rPr>
          <w:rFonts w:ascii="Bookman Old Style" w:hAnsi="Bookman Old Style"/>
        </w:rPr>
        <w:t xml:space="preserve">, </w:t>
      </w:r>
      <w:r w:rsidR="00D243B9" w:rsidRPr="004A29E4">
        <w:rPr>
          <w:rFonts w:ascii="Bookman Old Style" w:hAnsi="Bookman Old Style"/>
        </w:rPr>
        <w:t xml:space="preserve">beneficio </w:t>
      </w:r>
      <w:r w:rsidR="0034575D" w:rsidRPr="004A29E4">
        <w:rPr>
          <w:rFonts w:ascii="Bookman Old Style" w:hAnsi="Bookman Old Style"/>
        </w:rPr>
        <w:t xml:space="preserve">otorgado según </w:t>
      </w:r>
      <w:r w:rsidR="00D243B9" w:rsidRPr="004A29E4">
        <w:rPr>
          <w:rFonts w:ascii="Bookman Old Style" w:hAnsi="Bookman Old Style"/>
        </w:rPr>
        <w:t>el artículo 65 de la Ley</w:t>
      </w:r>
      <w:r w:rsidR="00310048" w:rsidRPr="004A29E4">
        <w:rPr>
          <w:rFonts w:ascii="Bookman Old Style" w:hAnsi="Bookman Old Style"/>
        </w:rPr>
        <w:t xml:space="preserve"> </w:t>
      </w:r>
      <w:r w:rsidR="00D243B9" w:rsidRPr="004A29E4">
        <w:rPr>
          <w:rFonts w:ascii="Bookman Old Style" w:hAnsi="Bookman Old Style"/>
        </w:rPr>
        <w:t>100 de 1993.</w:t>
      </w:r>
    </w:p>
    <w:p w14:paraId="35B51989" w14:textId="7FA15B7B" w:rsidR="008C4278" w:rsidRPr="004A29E4" w:rsidRDefault="008C4278" w:rsidP="004A29E4">
      <w:pPr>
        <w:spacing w:line="276" w:lineRule="auto"/>
        <w:rPr>
          <w:rFonts w:ascii="Bookman Old Style" w:hAnsi="Bookman Old Style"/>
        </w:rPr>
      </w:pPr>
    </w:p>
    <w:p w14:paraId="6C3F7F28" w14:textId="2FA6B187" w:rsidR="008C4278" w:rsidRPr="004A29E4" w:rsidRDefault="008C4278" w:rsidP="004A29E4">
      <w:pPr>
        <w:spacing w:line="276" w:lineRule="auto"/>
        <w:rPr>
          <w:rFonts w:ascii="Bookman Old Style" w:hAnsi="Bookman Old Style"/>
        </w:rPr>
      </w:pPr>
      <w:r w:rsidRPr="004A29E4">
        <w:rPr>
          <w:rFonts w:ascii="Bookman Old Style" w:hAnsi="Bookman Old Style"/>
        </w:rPr>
        <w:t>La demanda fue radicada el 22 de octubre de 2020 y fue admitida por auto del 9 de abril de 2021.</w:t>
      </w:r>
    </w:p>
    <w:p w14:paraId="28F56196" w14:textId="68AD6D4A" w:rsidR="00646754" w:rsidRPr="004A29E4" w:rsidRDefault="00646754" w:rsidP="004A29E4">
      <w:pPr>
        <w:spacing w:line="276" w:lineRule="auto"/>
        <w:rPr>
          <w:rFonts w:ascii="Bookman Old Style" w:hAnsi="Bookman Old Style"/>
        </w:rPr>
      </w:pPr>
    </w:p>
    <w:p w14:paraId="701C765D" w14:textId="1935187D" w:rsidR="00D574D6" w:rsidRPr="004A29E4" w:rsidRDefault="006B1168" w:rsidP="004A29E4">
      <w:pPr>
        <w:spacing w:line="276" w:lineRule="auto"/>
        <w:rPr>
          <w:rFonts w:ascii="Bookman Old Style" w:hAnsi="Bookman Old Style"/>
        </w:rPr>
      </w:pPr>
      <w:r w:rsidRPr="004A29E4">
        <w:rPr>
          <w:rFonts w:ascii="Bookman Old Style" w:hAnsi="Bookman Old Style"/>
          <w:b/>
        </w:rPr>
        <w:t>PORVENIR S.A.</w:t>
      </w:r>
      <w:r w:rsidRPr="004A29E4">
        <w:rPr>
          <w:rFonts w:ascii="Bookman Old Style" w:hAnsi="Bookman Old Style"/>
        </w:rPr>
        <w:t xml:space="preserve"> al contestar indicó que la demandante había cotizado un total de 1.583.85 semanas, de las cuales 918 lo fueron en Colombia y las restantes en el Gobierno de España, rigor de cotizaciones que le permitieron acceder al beneficio de garantía de pensión mínima.</w:t>
      </w:r>
      <w:r w:rsidR="00D574D6" w:rsidRPr="004A29E4">
        <w:rPr>
          <w:rFonts w:ascii="Bookman Old Style" w:hAnsi="Bookman Old Style"/>
        </w:rPr>
        <w:t xml:space="preserve"> Que, de acuerdo a ello, se le reconoció la mesada en un 57.96% sobre el mínimo legal, lo cual obedecía a </w:t>
      </w:r>
      <w:r w:rsidR="00646CA8" w:rsidRPr="004A29E4">
        <w:rPr>
          <w:rFonts w:ascii="Bookman Old Style" w:hAnsi="Bookman Old Style"/>
        </w:rPr>
        <w:t>que,</w:t>
      </w:r>
      <w:r w:rsidR="00D574D6" w:rsidRPr="004A29E4">
        <w:rPr>
          <w:rFonts w:ascii="Bookman Old Style" w:hAnsi="Bookman Old Style"/>
        </w:rPr>
        <w:t xml:space="preserve"> en aplicación del Convenio de Seguridad Social entre la República de Colombia y el Reino de España, era viable a trabajadores </w:t>
      </w:r>
      <w:r w:rsidR="00DE12E1" w:rsidRPr="004A29E4">
        <w:rPr>
          <w:rFonts w:ascii="Bookman Old Style" w:hAnsi="Bookman Old Style"/>
        </w:rPr>
        <w:t>colombianos</w:t>
      </w:r>
      <w:r w:rsidR="00D574D6" w:rsidRPr="004A29E4">
        <w:rPr>
          <w:rFonts w:ascii="Bookman Old Style" w:hAnsi="Bookman Old Style"/>
        </w:rPr>
        <w:t xml:space="preserve"> y </w:t>
      </w:r>
      <w:r w:rsidR="000C199D" w:rsidRPr="004A29E4">
        <w:rPr>
          <w:rFonts w:ascii="Bookman Old Style" w:hAnsi="Bookman Old Style"/>
        </w:rPr>
        <w:t>españoles</w:t>
      </w:r>
      <w:r w:rsidR="00D574D6" w:rsidRPr="004A29E4">
        <w:rPr>
          <w:rFonts w:ascii="Bookman Old Style" w:hAnsi="Bookman Old Style"/>
        </w:rPr>
        <w:t xml:space="preserve"> acumular los tiempos cotizados en ambos países, pero no contemplaba la posibilidad de traslado de aportes entre los dos</w:t>
      </w:r>
      <w:r w:rsidR="00646CA8" w:rsidRPr="004A29E4">
        <w:rPr>
          <w:rFonts w:ascii="Bookman Old Style" w:hAnsi="Bookman Old Style"/>
        </w:rPr>
        <w:t xml:space="preserve"> </w:t>
      </w:r>
      <w:r w:rsidR="00D574D6" w:rsidRPr="004A29E4">
        <w:rPr>
          <w:rFonts w:ascii="Bookman Old Style" w:hAnsi="Bookman Old Style"/>
        </w:rPr>
        <w:t xml:space="preserve">países, pues el pago de la pensión en cada </w:t>
      </w:r>
      <w:r w:rsidR="00BA52D3" w:rsidRPr="004A29E4">
        <w:rPr>
          <w:rFonts w:ascii="Bookman Old Style" w:hAnsi="Bookman Old Style"/>
        </w:rPr>
        <w:t>país</w:t>
      </w:r>
      <w:r w:rsidR="00D574D6" w:rsidRPr="004A29E4">
        <w:rPr>
          <w:rFonts w:ascii="Bookman Old Style" w:hAnsi="Bookman Old Style"/>
        </w:rPr>
        <w:t xml:space="preserve"> era a prorrata del tiempo cotizado en cada uno de ellos.</w:t>
      </w:r>
      <w:r w:rsidR="00DC5DBD" w:rsidRPr="004A29E4">
        <w:rPr>
          <w:rFonts w:ascii="Bookman Old Style" w:hAnsi="Bookman Old Style"/>
        </w:rPr>
        <w:t xml:space="preserve"> Que con </w:t>
      </w:r>
      <w:r w:rsidR="00D574D6" w:rsidRPr="004A29E4">
        <w:rPr>
          <w:rFonts w:ascii="Bookman Old Style" w:hAnsi="Bookman Old Style"/>
        </w:rPr>
        <w:t>los formularios determinaron</w:t>
      </w:r>
      <w:r w:rsidR="00DC5DBD" w:rsidRPr="004A29E4">
        <w:rPr>
          <w:rFonts w:ascii="Bookman Old Style" w:hAnsi="Bookman Old Style"/>
        </w:rPr>
        <w:t xml:space="preserve"> </w:t>
      </w:r>
      <w:r w:rsidR="00D574D6" w:rsidRPr="004A29E4">
        <w:rPr>
          <w:rFonts w:ascii="Bookman Old Style" w:hAnsi="Bookman Old Style"/>
        </w:rPr>
        <w:t xml:space="preserve">que </w:t>
      </w:r>
      <w:r w:rsidR="00DC5DBD" w:rsidRPr="004A29E4">
        <w:rPr>
          <w:rFonts w:ascii="Bookman Old Style" w:hAnsi="Bookman Old Style"/>
        </w:rPr>
        <w:t xml:space="preserve">la actora contaba con </w:t>
      </w:r>
      <w:r w:rsidR="00D574D6" w:rsidRPr="004A29E4">
        <w:rPr>
          <w:rFonts w:ascii="Bookman Old Style" w:hAnsi="Bookman Old Style"/>
        </w:rPr>
        <w:t>918 semanas</w:t>
      </w:r>
      <w:r w:rsidR="00DC5DBD" w:rsidRPr="004A29E4">
        <w:rPr>
          <w:rFonts w:ascii="Bookman Old Style" w:hAnsi="Bookman Old Style"/>
        </w:rPr>
        <w:t xml:space="preserve">, siendo </w:t>
      </w:r>
      <w:r w:rsidR="00D574D6" w:rsidRPr="004A29E4">
        <w:rPr>
          <w:rFonts w:ascii="Bookman Old Style" w:hAnsi="Bookman Old Style"/>
        </w:rPr>
        <w:t xml:space="preserve">57.96% en Colombia y 665.85 semanas correspondientes al 42.04% </w:t>
      </w:r>
      <w:r w:rsidR="00DC5DBD" w:rsidRPr="004A29E4">
        <w:rPr>
          <w:rFonts w:ascii="Bookman Old Style" w:hAnsi="Bookman Old Style"/>
        </w:rPr>
        <w:t xml:space="preserve">en </w:t>
      </w:r>
      <w:r w:rsidR="00D574D6" w:rsidRPr="004A29E4">
        <w:rPr>
          <w:rFonts w:ascii="Bookman Old Style" w:hAnsi="Bookman Old Style"/>
        </w:rPr>
        <w:t xml:space="preserve">España; por lo que </w:t>
      </w:r>
      <w:r w:rsidR="00DC5DBD" w:rsidRPr="004A29E4">
        <w:rPr>
          <w:rFonts w:ascii="Bookman Old Style" w:hAnsi="Bookman Old Style"/>
        </w:rPr>
        <w:t xml:space="preserve">el </w:t>
      </w:r>
      <w:r w:rsidR="00D574D6" w:rsidRPr="004A29E4">
        <w:rPr>
          <w:rFonts w:ascii="Bookman Old Style" w:hAnsi="Bookman Old Style"/>
        </w:rPr>
        <w:t>reconocimiento y liquidación se prorrateó</w:t>
      </w:r>
      <w:r w:rsidR="00DC5DBD" w:rsidRPr="004A29E4">
        <w:rPr>
          <w:rFonts w:ascii="Bookman Old Style" w:hAnsi="Bookman Old Style"/>
        </w:rPr>
        <w:t xml:space="preserve"> </w:t>
      </w:r>
      <w:r w:rsidR="00D574D6" w:rsidRPr="004A29E4">
        <w:rPr>
          <w:rFonts w:ascii="Bookman Old Style" w:hAnsi="Bookman Old Style"/>
        </w:rPr>
        <w:t>de acuerdo a las semanas de cotización en cada País.</w:t>
      </w:r>
      <w:r w:rsidR="0029731C" w:rsidRPr="004A29E4">
        <w:rPr>
          <w:rFonts w:ascii="Bookman Old Style" w:hAnsi="Bookman Old Style"/>
        </w:rPr>
        <w:t xml:space="preserve"> Excepcionó: </w:t>
      </w:r>
      <w:r w:rsidR="0029731C" w:rsidRPr="004A29E4">
        <w:rPr>
          <w:rFonts w:ascii="Bookman Old Style" w:hAnsi="Bookman Old Style"/>
          <w:b/>
        </w:rPr>
        <w:t>Inexistencia de la obligación, cobro de lo no debido, ausencia de derecho sustantivo, y falta de causa en las pretensiones de la demanda, pago, compensación, buena fe, prescripción y las innominadas</w:t>
      </w:r>
      <w:r w:rsidR="00A90930" w:rsidRPr="004A29E4">
        <w:rPr>
          <w:rFonts w:ascii="Bookman Old Style" w:hAnsi="Bookman Old Style"/>
        </w:rPr>
        <w:t xml:space="preserve"> (archivo 11)</w:t>
      </w:r>
      <w:r w:rsidR="0029731C" w:rsidRPr="004A29E4">
        <w:rPr>
          <w:rFonts w:ascii="Bookman Old Style" w:hAnsi="Bookman Old Style"/>
        </w:rPr>
        <w:t>.</w:t>
      </w:r>
    </w:p>
    <w:p w14:paraId="08E53C7C" w14:textId="5D4E0456" w:rsidR="00A90930" w:rsidRPr="004A29E4" w:rsidRDefault="00A90930" w:rsidP="004A29E4">
      <w:pPr>
        <w:spacing w:line="276" w:lineRule="auto"/>
        <w:rPr>
          <w:rFonts w:ascii="Bookman Old Style" w:hAnsi="Bookman Old Style"/>
        </w:rPr>
      </w:pPr>
    </w:p>
    <w:p w14:paraId="777E7E5D" w14:textId="02EE6427" w:rsidR="00BC47D0" w:rsidRPr="004A29E4" w:rsidRDefault="00A90930" w:rsidP="004A29E4">
      <w:pPr>
        <w:spacing w:line="276" w:lineRule="auto"/>
        <w:rPr>
          <w:rFonts w:ascii="Bookman Old Style" w:hAnsi="Bookman Old Style"/>
        </w:rPr>
      </w:pPr>
      <w:r w:rsidRPr="004A29E4">
        <w:rPr>
          <w:rFonts w:ascii="Bookman Old Style" w:hAnsi="Bookman Old Style"/>
        </w:rPr>
        <w:t xml:space="preserve">El </w:t>
      </w:r>
      <w:r w:rsidRPr="004A29E4">
        <w:rPr>
          <w:rFonts w:ascii="Bookman Old Style" w:hAnsi="Bookman Old Style"/>
          <w:b/>
        </w:rPr>
        <w:t>MINISTERIO DE HACIE</w:t>
      </w:r>
      <w:r w:rsidR="00CE6EEE" w:rsidRPr="004A29E4">
        <w:rPr>
          <w:rFonts w:ascii="Bookman Old Style" w:hAnsi="Bookman Old Style"/>
          <w:b/>
        </w:rPr>
        <w:t>N</w:t>
      </w:r>
      <w:r w:rsidRPr="004A29E4">
        <w:rPr>
          <w:rFonts w:ascii="Bookman Old Style" w:hAnsi="Bookman Old Style"/>
          <w:b/>
        </w:rPr>
        <w:t xml:space="preserve">DA Y CRÉDITO PÚBLICO – </w:t>
      </w:r>
      <w:proofErr w:type="spellStart"/>
      <w:r w:rsidRPr="004A29E4">
        <w:rPr>
          <w:rFonts w:ascii="Bookman Old Style" w:hAnsi="Bookman Old Style"/>
          <w:b/>
        </w:rPr>
        <w:t>OBP</w:t>
      </w:r>
      <w:proofErr w:type="spellEnd"/>
      <w:r w:rsidR="00F44253" w:rsidRPr="004A29E4">
        <w:rPr>
          <w:rFonts w:ascii="Bookman Old Style" w:hAnsi="Bookman Old Style"/>
          <w:b/>
        </w:rPr>
        <w:t xml:space="preserve"> </w:t>
      </w:r>
      <w:r w:rsidR="00F44253" w:rsidRPr="004A29E4">
        <w:rPr>
          <w:rFonts w:ascii="Bookman Old Style" w:hAnsi="Bookman Old Style"/>
        </w:rPr>
        <w:t>indicó</w:t>
      </w:r>
      <w:r w:rsidRPr="004A29E4">
        <w:rPr>
          <w:rFonts w:ascii="Bookman Old Style" w:hAnsi="Bookman Old Style"/>
        </w:rPr>
        <w:t xml:space="preserve"> no oponerse a lo pretendido porque la </w:t>
      </w:r>
      <w:proofErr w:type="spellStart"/>
      <w:r w:rsidRPr="004A29E4">
        <w:rPr>
          <w:rFonts w:ascii="Bookman Old Style" w:hAnsi="Bookman Old Style"/>
        </w:rPr>
        <w:t>OBP</w:t>
      </w:r>
      <w:proofErr w:type="spellEnd"/>
      <w:r w:rsidRPr="004A29E4">
        <w:rPr>
          <w:rFonts w:ascii="Bookman Old Style" w:hAnsi="Bookman Old Style"/>
        </w:rPr>
        <w:t xml:space="preserve"> ya había expedido la resolución 23344 del 30-10-2020 que reconoció la garantía de pensión mínima</w:t>
      </w:r>
      <w:r w:rsidR="00F44253" w:rsidRPr="004A29E4">
        <w:rPr>
          <w:rFonts w:ascii="Bookman Old Style" w:hAnsi="Bookman Old Style"/>
        </w:rPr>
        <w:t xml:space="preserve">. Como excepciones formula </w:t>
      </w:r>
      <w:r w:rsidR="00F44253" w:rsidRPr="004A29E4">
        <w:rPr>
          <w:rFonts w:ascii="Bookman Old Style" w:hAnsi="Bookman Old Style"/>
          <w:b/>
        </w:rPr>
        <w:t>inexistencia de la obligación, falta de legitimación en la causa por pasiva, el ministerio de hacienda y crédito público no es administradora de pensiones y genéricas</w:t>
      </w:r>
      <w:r w:rsidR="00F44253" w:rsidRPr="004A29E4">
        <w:rPr>
          <w:rFonts w:ascii="Bookman Old Style" w:hAnsi="Bookman Old Style"/>
        </w:rPr>
        <w:t xml:space="preserve"> (archivo 12).</w:t>
      </w:r>
    </w:p>
    <w:p w14:paraId="1E0EA8ED" w14:textId="5E9B1DE3" w:rsidR="00BC47D0" w:rsidRPr="004A29E4" w:rsidRDefault="00BC47D0" w:rsidP="004A29E4">
      <w:pPr>
        <w:spacing w:line="276" w:lineRule="auto"/>
        <w:ind w:firstLine="0"/>
        <w:rPr>
          <w:rFonts w:ascii="Bookman Old Style" w:hAnsi="Bookman Old Style"/>
        </w:rPr>
      </w:pPr>
    </w:p>
    <w:p w14:paraId="7FD66401" w14:textId="41FF36F2" w:rsidR="00BC47D0" w:rsidRPr="004A29E4" w:rsidRDefault="00BC47D0" w:rsidP="004A29E4">
      <w:pPr>
        <w:spacing w:line="276" w:lineRule="auto"/>
        <w:ind w:firstLine="0"/>
        <w:jc w:val="center"/>
        <w:rPr>
          <w:rFonts w:ascii="Bookman Old Style" w:hAnsi="Bookman Old Style"/>
          <w:b/>
        </w:rPr>
      </w:pPr>
      <w:r w:rsidRPr="004A29E4">
        <w:rPr>
          <w:rFonts w:ascii="Bookman Old Style" w:hAnsi="Bookman Old Style"/>
          <w:b/>
        </w:rPr>
        <w:t>SENTENCIA DEL PRIMERA INSTANCIA</w:t>
      </w:r>
    </w:p>
    <w:p w14:paraId="76EBC232" w14:textId="4D85E1AA" w:rsidR="00BC47D0" w:rsidRPr="004A29E4" w:rsidRDefault="00BC47D0" w:rsidP="004A29E4">
      <w:pPr>
        <w:spacing w:line="276" w:lineRule="auto"/>
        <w:rPr>
          <w:rFonts w:ascii="Bookman Old Style" w:hAnsi="Bookman Old Style"/>
          <w:b/>
        </w:rPr>
      </w:pPr>
    </w:p>
    <w:p w14:paraId="183D6749" w14:textId="77777777" w:rsidR="0039781B" w:rsidRPr="004A29E4" w:rsidRDefault="00BC47D0" w:rsidP="004A29E4">
      <w:pPr>
        <w:spacing w:line="276" w:lineRule="auto"/>
        <w:rPr>
          <w:rFonts w:ascii="Bookman Old Style" w:hAnsi="Bookman Old Style"/>
        </w:rPr>
      </w:pPr>
      <w:r w:rsidRPr="004A29E4">
        <w:rPr>
          <w:rFonts w:ascii="Bookman Old Style" w:hAnsi="Bookman Old Style"/>
        </w:rPr>
        <w:lastRenderedPageBreak/>
        <w:t xml:space="preserve">El Juzgado Cuarto Laboral del Circuito de Pereira, mediante sentencia del 20 de enero de 2022, dispuso: </w:t>
      </w:r>
    </w:p>
    <w:p w14:paraId="2A3969F3" w14:textId="77777777" w:rsidR="0039781B" w:rsidRPr="004A29E4" w:rsidRDefault="0039781B" w:rsidP="004A29E4">
      <w:pPr>
        <w:spacing w:line="276" w:lineRule="auto"/>
        <w:rPr>
          <w:rFonts w:ascii="Bookman Old Style" w:hAnsi="Bookman Old Style"/>
        </w:rPr>
      </w:pPr>
    </w:p>
    <w:p w14:paraId="4C640390" w14:textId="77777777" w:rsidR="006F054F" w:rsidRDefault="00BC47D0" w:rsidP="006F054F">
      <w:pPr>
        <w:spacing w:line="276" w:lineRule="auto"/>
        <w:ind w:left="426" w:right="420" w:firstLine="0"/>
        <w:rPr>
          <w:rFonts w:ascii="Bookman Old Style" w:hAnsi="Bookman Old Style"/>
          <w:bCs/>
        </w:rPr>
      </w:pPr>
      <w:r w:rsidRPr="004A29E4">
        <w:rPr>
          <w:rFonts w:ascii="Bookman Old Style" w:hAnsi="Bookman Old Style"/>
          <w:bCs/>
        </w:rPr>
        <w:t>“</w:t>
      </w:r>
      <w:r w:rsidRPr="004A29E4">
        <w:rPr>
          <w:rFonts w:ascii="Bookman Old Style" w:hAnsi="Bookman Old Style"/>
          <w:b/>
        </w:rPr>
        <w:t>PRIMERO</w:t>
      </w:r>
      <w:r w:rsidRPr="004A29E4">
        <w:rPr>
          <w:rFonts w:ascii="Bookman Old Style" w:hAnsi="Bookman Old Style"/>
          <w:bCs/>
        </w:rPr>
        <w:t xml:space="preserve">: </w:t>
      </w:r>
      <w:r w:rsidRPr="004A29E4">
        <w:rPr>
          <w:rFonts w:ascii="Bookman Old Style" w:hAnsi="Bookman Old Style"/>
          <w:b/>
        </w:rPr>
        <w:t>CONDENAR</w:t>
      </w:r>
      <w:r w:rsidRPr="004A29E4">
        <w:rPr>
          <w:rFonts w:ascii="Bookman Old Style" w:hAnsi="Bookman Old Style"/>
          <w:bCs/>
        </w:rPr>
        <w:t xml:space="preserve"> a Porvenir a la obligación de hacer consistente en remitir en el término de 15 días la información necesaria, por medio de los organismos de enlace correspondientes a las unidades de seguridad social española, para que reconozca allí la pensión prorrata restante, de la señora Luz Stella Castaño Gómez. </w:t>
      </w:r>
    </w:p>
    <w:p w14:paraId="7A26135E" w14:textId="77777777" w:rsidR="006F054F" w:rsidRDefault="00BC47D0" w:rsidP="006F054F">
      <w:pPr>
        <w:spacing w:line="276" w:lineRule="auto"/>
        <w:ind w:left="426" w:right="420" w:firstLine="0"/>
        <w:rPr>
          <w:rFonts w:ascii="Bookman Old Style" w:hAnsi="Bookman Old Style"/>
          <w:bCs/>
        </w:rPr>
      </w:pPr>
      <w:r w:rsidRPr="004A29E4">
        <w:rPr>
          <w:rFonts w:ascii="Bookman Old Style" w:hAnsi="Bookman Old Style"/>
          <w:b/>
        </w:rPr>
        <w:t>SEGUNDO</w:t>
      </w:r>
      <w:r w:rsidRPr="004A29E4">
        <w:rPr>
          <w:rFonts w:ascii="Bookman Old Style" w:hAnsi="Bookman Old Style"/>
          <w:bCs/>
        </w:rPr>
        <w:t xml:space="preserve">: </w:t>
      </w:r>
      <w:r w:rsidRPr="004A29E4">
        <w:rPr>
          <w:rFonts w:ascii="Bookman Old Style" w:hAnsi="Bookman Old Style"/>
          <w:b/>
        </w:rPr>
        <w:t>NEGAR</w:t>
      </w:r>
      <w:r w:rsidRPr="004A29E4">
        <w:rPr>
          <w:rFonts w:ascii="Bookman Old Style" w:hAnsi="Bookman Old Style"/>
          <w:bCs/>
        </w:rPr>
        <w:t xml:space="preserve"> las demás pretensiones de la demanda. </w:t>
      </w:r>
    </w:p>
    <w:p w14:paraId="4DF3F592" w14:textId="77777777" w:rsidR="006F054F" w:rsidRDefault="00BC47D0" w:rsidP="006F054F">
      <w:pPr>
        <w:spacing w:line="276" w:lineRule="auto"/>
        <w:ind w:left="426" w:right="420" w:firstLine="0"/>
        <w:rPr>
          <w:rFonts w:ascii="Bookman Old Style" w:hAnsi="Bookman Old Style"/>
          <w:bCs/>
        </w:rPr>
      </w:pPr>
      <w:r w:rsidRPr="004A29E4">
        <w:rPr>
          <w:rFonts w:ascii="Bookman Old Style" w:hAnsi="Bookman Old Style"/>
          <w:b/>
        </w:rPr>
        <w:t>TERCERO</w:t>
      </w:r>
      <w:r w:rsidRPr="004A29E4">
        <w:rPr>
          <w:rFonts w:ascii="Bookman Old Style" w:hAnsi="Bookman Old Style"/>
          <w:bCs/>
        </w:rPr>
        <w:t xml:space="preserve">: </w:t>
      </w:r>
      <w:r w:rsidRPr="004A29E4">
        <w:rPr>
          <w:rFonts w:ascii="Bookman Old Style" w:hAnsi="Bookman Old Style"/>
          <w:b/>
        </w:rPr>
        <w:t>DECLARAR</w:t>
      </w:r>
      <w:r w:rsidRPr="004A29E4">
        <w:rPr>
          <w:rFonts w:ascii="Bookman Old Style" w:hAnsi="Bookman Old Style"/>
          <w:bCs/>
        </w:rPr>
        <w:t xml:space="preserve"> no probada las excepciones de mérito propuestas por la parte demandada. </w:t>
      </w:r>
    </w:p>
    <w:p w14:paraId="242F0702" w14:textId="3FFC5274" w:rsidR="00BC47D0" w:rsidRPr="004A29E4" w:rsidRDefault="00BC47D0" w:rsidP="006F054F">
      <w:pPr>
        <w:spacing w:line="276" w:lineRule="auto"/>
        <w:ind w:left="426" w:right="420" w:firstLine="0"/>
        <w:rPr>
          <w:rFonts w:ascii="Bookman Old Style" w:hAnsi="Bookman Old Style"/>
          <w:bCs/>
        </w:rPr>
      </w:pPr>
      <w:r w:rsidRPr="004A29E4">
        <w:rPr>
          <w:rFonts w:ascii="Bookman Old Style" w:hAnsi="Bookman Old Style"/>
          <w:b/>
        </w:rPr>
        <w:t>CUARTO</w:t>
      </w:r>
      <w:r w:rsidRPr="004A29E4">
        <w:rPr>
          <w:rFonts w:ascii="Bookman Old Style" w:hAnsi="Bookman Old Style"/>
          <w:bCs/>
        </w:rPr>
        <w:t xml:space="preserve">: </w:t>
      </w:r>
      <w:r w:rsidRPr="004A29E4">
        <w:rPr>
          <w:rFonts w:ascii="Bookman Old Style" w:hAnsi="Bookman Old Style"/>
          <w:b/>
        </w:rPr>
        <w:t>COSTAS</w:t>
      </w:r>
      <w:r w:rsidRPr="004A29E4">
        <w:rPr>
          <w:rFonts w:ascii="Bookman Old Style" w:hAnsi="Bookman Old Style"/>
          <w:bCs/>
        </w:rPr>
        <w:t xml:space="preserve"> a cargo de Porvenir S.A. y a favor de la demandante en un 50% de las causadas</w:t>
      </w:r>
      <w:r w:rsidR="001F39BD" w:rsidRPr="004A29E4">
        <w:rPr>
          <w:rFonts w:ascii="Bookman Old Style" w:hAnsi="Bookman Old Style"/>
          <w:bCs/>
        </w:rPr>
        <w:t>”</w:t>
      </w:r>
      <w:r w:rsidRPr="004A29E4">
        <w:rPr>
          <w:rFonts w:ascii="Bookman Old Style" w:hAnsi="Bookman Old Style"/>
          <w:bCs/>
        </w:rPr>
        <w:t>.</w:t>
      </w:r>
    </w:p>
    <w:p w14:paraId="24880C14" w14:textId="77777777" w:rsidR="00BC47D0" w:rsidRPr="004A29E4" w:rsidRDefault="00BC47D0" w:rsidP="004A29E4">
      <w:pPr>
        <w:spacing w:line="276" w:lineRule="auto"/>
        <w:rPr>
          <w:rFonts w:ascii="Bookman Old Style" w:hAnsi="Bookman Old Style"/>
          <w:bCs/>
        </w:rPr>
      </w:pPr>
    </w:p>
    <w:p w14:paraId="067C4F0A" w14:textId="555FEF62" w:rsidR="00F90387" w:rsidRPr="004A29E4" w:rsidRDefault="00F769ED" w:rsidP="004A29E4">
      <w:pPr>
        <w:spacing w:line="276" w:lineRule="auto"/>
        <w:rPr>
          <w:rFonts w:ascii="Bookman Old Style" w:hAnsi="Bookman Old Style"/>
          <w:bCs/>
        </w:rPr>
      </w:pPr>
      <w:r w:rsidRPr="004A29E4">
        <w:rPr>
          <w:rFonts w:ascii="Bookman Old Style" w:hAnsi="Bookman Old Style"/>
          <w:bCs/>
        </w:rPr>
        <w:t>Al analizar el asunto</w:t>
      </w:r>
      <w:r w:rsidR="00DB4D1D" w:rsidRPr="004A29E4">
        <w:rPr>
          <w:rFonts w:ascii="Bookman Old Style" w:hAnsi="Bookman Old Style"/>
          <w:bCs/>
        </w:rPr>
        <w:t>, por fuera de debate encontró el reconocimiento de la garantía de pensión mínima a favor de la accionante</w:t>
      </w:r>
      <w:r w:rsidR="008940F7" w:rsidRPr="004A29E4">
        <w:rPr>
          <w:rFonts w:ascii="Bookman Old Style" w:hAnsi="Bookman Old Style"/>
          <w:bCs/>
        </w:rPr>
        <w:t xml:space="preserve"> y que dicha prestación se logró por la suma de aportes en Colombia y el Reino de España. Para resolver, trajo a colación la sentencia </w:t>
      </w:r>
      <w:proofErr w:type="spellStart"/>
      <w:r w:rsidR="008940F7" w:rsidRPr="004A29E4">
        <w:rPr>
          <w:rFonts w:ascii="Bookman Old Style" w:hAnsi="Bookman Old Style"/>
          <w:bCs/>
        </w:rPr>
        <w:t>SL4193</w:t>
      </w:r>
      <w:proofErr w:type="spellEnd"/>
      <w:r w:rsidR="008940F7" w:rsidRPr="004A29E4">
        <w:rPr>
          <w:rFonts w:ascii="Bookman Old Style" w:hAnsi="Bookman Old Style"/>
          <w:bCs/>
        </w:rPr>
        <w:t>/2021</w:t>
      </w:r>
      <w:r w:rsidR="009C6FB6" w:rsidRPr="004A29E4">
        <w:rPr>
          <w:rFonts w:ascii="Bookman Old Style" w:hAnsi="Bookman Old Style"/>
          <w:bCs/>
        </w:rPr>
        <w:t>, respecto de la aplicación del Convenio España-Colombia</w:t>
      </w:r>
      <w:r w:rsidR="00E46796" w:rsidRPr="004A29E4">
        <w:rPr>
          <w:rFonts w:ascii="Bookman Old Style" w:hAnsi="Bookman Old Style"/>
          <w:bCs/>
        </w:rPr>
        <w:t xml:space="preserve"> y la definición de la mesada</w:t>
      </w:r>
      <w:r w:rsidR="00F90387" w:rsidRPr="004A29E4">
        <w:rPr>
          <w:rFonts w:ascii="Bookman Old Style" w:hAnsi="Bookman Old Style"/>
          <w:bCs/>
        </w:rPr>
        <w:t xml:space="preserve"> (pensión prorrata).</w:t>
      </w:r>
      <w:r w:rsidR="005A3BDC" w:rsidRPr="004A29E4">
        <w:rPr>
          <w:rFonts w:ascii="Bookman Old Style" w:hAnsi="Bookman Old Style"/>
          <w:bCs/>
        </w:rPr>
        <w:t xml:space="preserve"> De allí, que colige que era permitido la suma de aportes entre ambos Estados para edificar la pensión, la cual al haber sido igual al mínimo legal esta se distribuía a prorrata o en proporción a los tiempos acreditados entre uno y otro País</w:t>
      </w:r>
      <w:r w:rsidR="00F836E8" w:rsidRPr="004A29E4">
        <w:rPr>
          <w:rFonts w:ascii="Bookman Old Style" w:hAnsi="Bookman Old Style"/>
          <w:bCs/>
        </w:rPr>
        <w:t>.</w:t>
      </w:r>
      <w:r w:rsidR="0066296E" w:rsidRPr="004A29E4">
        <w:rPr>
          <w:rFonts w:ascii="Bookman Old Style" w:hAnsi="Bookman Old Style"/>
          <w:bCs/>
        </w:rPr>
        <w:t xml:space="preserve"> De manera que en el valor a reconocer por Porvenir S.A. era el que le correspondía</w:t>
      </w:r>
      <w:r w:rsidR="001C1666" w:rsidRPr="004A29E4">
        <w:rPr>
          <w:rFonts w:ascii="Bookman Old Style" w:hAnsi="Bookman Old Style"/>
          <w:bCs/>
        </w:rPr>
        <w:t xml:space="preserve"> y no había lugar a reconocer la totalidad de la mesada como se pretendía.</w:t>
      </w:r>
    </w:p>
    <w:p w14:paraId="5C6F53D3" w14:textId="35EF9B99" w:rsidR="0073384B" w:rsidRPr="004A29E4" w:rsidRDefault="0073384B" w:rsidP="004A29E4">
      <w:pPr>
        <w:spacing w:line="276" w:lineRule="auto"/>
        <w:rPr>
          <w:rFonts w:ascii="Bookman Old Style" w:hAnsi="Bookman Old Style"/>
          <w:bCs/>
        </w:rPr>
      </w:pPr>
    </w:p>
    <w:p w14:paraId="4430FD2C" w14:textId="494E48C9" w:rsidR="0073384B" w:rsidRPr="004A29E4" w:rsidRDefault="0073384B" w:rsidP="004A29E4">
      <w:pPr>
        <w:spacing w:line="276" w:lineRule="auto"/>
        <w:rPr>
          <w:rFonts w:ascii="Bookman Old Style" w:hAnsi="Bookman Old Style"/>
        </w:rPr>
      </w:pPr>
      <w:r w:rsidRPr="004A29E4">
        <w:rPr>
          <w:rFonts w:ascii="Bookman Old Style" w:hAnsi="Bookman Old Style"/>
          <w:bCs/>
        </w:rPr>
        <w:t xml:space="preserve">No obstante, refirió que lo dispuesto no era óbice para que Porvenir S.A. remitiera al Reino de España los formularios correspondientes a través de los organismos de enlace para que allí, </w:t>
      </w:r>
      <w:r w:rsidR="003D01E2" w:rsidRPr="004A29E4">
        <w:rPr>
          <w:rFonts w:ascii="Bookman Old Style" w:hAnsi="Bookman Old Style"/>
          <w:bCs/>
        </w:rPr>
        <w:t xml:space="preserve">de ser el caso, </w:t>
      </w:r>
      <w:r w:rsidRPr="004A29E4">
        <w:rPr>
          <w:rFonts w:ascii="Bookman Old Style" w:hAnsi="Bookman Old Style"/>
          <w:bCs/>
        </w:rPr>
        <w:t xml:space="preserve">se </w:t>
      </w:r>
      <w:r w:rsidR="003D01E2" w:rsidRPr="004A29E4">
        <w:rPr>
          <w:rFonts w:ascii="Bookman Old Style" w:hAnsi="Bookman Old Style"/>
          <w:bCs/>
        </w:rPr>
        <w:t xml:space="preserve">le pueda reconocer </w:t>
      </w:r>
      <w:r w:rsidRPr="004A29E4">
        <w:rPr>
          <w:rFonts w:ascii="Bookman Old Style" w:hAnsi="Bookman Old Style"/>
          <w:bCs/>
        </w:rPr>
        <w:t>al demandante la pensión prorrata restante cuando fueran</w:t>
      </w:r>
      <w:r w:rsidRPr="004A29E4">
        <w:rPr>
          <w:rFonts w:ascii="Bookman Old Style" w:hAnsi="Bookman Old Style"/>
        </w:rPr>
        <w:t xml:space="preserve"> cumplidos los presupuestos legales de dicho País.</w:t>
      </w:r>
    </w:p>
    <w:p w14:paraId="65C9BB28" w14:textId="57A69824" w:rsidR="00C419F8" w:rsidRPr="004A29E4" w:rsidRDefault="00C419F8" w:rsidP="004A29E4">
      <w:pPr>
        <w:spacing w:line="276" w:lineRule="auto"/>
        <w:ind w:firstLine="0"/>
        <w:rPr>
          <w:rFonts w:ascii="Bookman Old Style" w:hAnsi="Bookman Old Style"/>
        </w:rPr>
      </w:pPr>
    </w:p>
    <w:p w14:paraId="2D2790C5" w14:textId="6978D382" w:rsidR="00DB5ED3" w:rsidRPr="006F054F" w:rsidRDefault="00DB5ED3" w:rsidP="006F054F">
      <w:pPr>
        <w:spacing w:line="276" w:lineRule="auto"/>
        <w:ind w:firstLine="0"/>
        <w:jc w:val="center"/>
        <w:rPr>
          <w:rFonts w:ascii="Bookman Old Style" w:hAnsi="Bookman Old Style"/>
          <w:b/>
        </w:rPr>
      </w:pPr>
      <w:r w:rsidRPr="006F054F">
        <w:rPr>
          <w:rFonts w:ascii="Bookman Old Style" w:hAnsi="Bookman Old Style"/>
          <w:b/>
        </w:rPr>
        <w:t>RECURSOS DE APELACIÓN</w:t>
      </w:r>
    </w:p>
    <w:p w14:paraId="235C48C2" w14:textId="77777777" w:rsidR="00A53433" w:rsidRPr="004A29E4" w:rsidRDefault="00A53433" w:rsidP="004A29E4">
      <w:pPr>
        <w:spacing w:line="276" w:lineRule="auto"/>
        <w:ind w:firstLine="0"/>
        <w:rPr>
          <w:rFonts w:ascii="Bookman Old Style" w:hAnsi="Bookman Old Style"/>
        </w:rPr>
      </w:pPr>
    </w:p>
    <w:p w14:paraId="316D3E8F" w14:textId="769DA6BB" w:rsidR="003A538F" w:rsidRPr="004A29E4" w:rsidRDefault="003A538F" w:rsidP="004A29E4">
      <w:pPr>
        <w:spacing w:line="276" w:lineRule="auto"/>
        <w:rPr>
          <w:rFonts w:ascii="Bookman Old Style" w:hAnsi="Bookman Old Style"/>
        </w:rPr>
      </w:pPr>
      <w:r w:rsidRPr="004A29E4">
        <w:rPr>
          <w:rFonts w:ascii="Bookman Old Style" w:hAnsi="Bookman Old Style"/>
        </w:rPr>
        <w:t xml:space="preserve">La </w:t>
      </w:r>
      <w:r w:rsidRPr="004A29E4">
        <w:rPr>
          <w:rFonts w:ascii="Bookman Old Style" w:hAnsi="Bookman Old Style"/>
          <w:b/>
        </w:rPr>
        <w:t>parte actora</w:t>
      </w:r>
      <w:r w:rsidRPr="004A29E4">
        <w:rPr>
          <w:rFonts w:ascii="Bookman Old Style" w:hAnsi="Bookman Old Style"/>
        </w:rPr>
        <w:t xml:space="preserve"> recurrió la decisión sosteniendo que, con independencia de la modalidad pensional, es decir, que la pensión con garantía de pensión mínima siempre lo es sobre la base del mínimo legal.  Sobre la pensión con el reino de España disponía el respeto por los derechos adquiridos </w:t>
      </w:r>
      <w:r w:rsidR="00AC7860" w:rsidRPr="004A29E4">
        <w:rPr>
          <w:rFonts w:ascii="Bookman Old Style" w:hAnsi="Bookman Old Style"/>
        </w:rPr>
        <w:t xml:space="preserve">y la misma también debía darse respetando el derecho al salario mínimo amén que la prestación era bajo la garantía de pensión mínima </w:t>
      </w:r>
      <w:r w:rsidR="002E7085" w:rsidRPr="004A29E4">
        <w:rPr>
          <w:rFonts w:ascii="Bookman Old Style" w:hAnsi="Bookman Old Style"/>
        </w:rPr>
        <w:t>otorgada con recursos propios del Estado.</w:t>
      </w:r>
    </w:p>
    <w:p w14:paraId="1BA8C5E7" w14:textId="34BCEA69" w:rsidR="002E7085" w:rsidRPr="004A29E4" w:rsidRDefault="002E7085" w:rsidP="004A29E4">
      <w:pPr>
        <w:spacing w:line="276" w:lineRule="auto"/>
        <w:ind w:firstLine="0"/>
        <w:rPr>
          <w:rFonts w:ascii="Bookman Old Style" w:hAnsi="Bookman Old Style"/>
        </w:rPr>
      </w:pPr>
    </w:p>
    <w:p w14:paraId="4E79A086" w14:textId="11996916" w:rsidR="002E7085" w:rsidRPr="004A29E4" w:rsidRDefault="002E7085" w:rsidP="004A29E4">
      <w:pPr>
        <w:spacing w:line="276" w:lineRule="auto"/>
        <w:rPr>
          <w:rFonts w:ascii="Bookman Old Style" w:hAnsi="Bookman Old Style"/>
        </w:rPr>
      </w:pPr>
      <w:r w:rsidRPr="004A29E4">
        <w:rPr>
          <w:rFonts w:ascii="Bookman Old Style" w:hAnsi="Bookman Old Style"/>
        </w:rPr>
        <w:t xml:space="preserve">El vocero de </w:t>
      </w:r>
      <w:r w:rsidRPr="004A29E4">
        <w:rPr>
          <w:rFonts w:ascii="Bookman Old Style" w:hAnsi="Bookman Old Style"/>
          <w:b/>
          <w:bCs/>
        </w:rPr>
        <w:t>Porvenir S.A</w:t>
      </w:r>
      <w:r w:rsidR="000A52AD">
        <w:rPr>
          <w:rFonts w:ascii="Bookman Old Style" w:hAnsi="Bookman Old Style"/>
          <w:b/>
          <w:bCs/>
        </w:rPr>
        <w:t>.</w:t>
      </w:r>
      <w:r w:rsidRPr="004A29E4">
        <w:rPr>
          <w:rFonts w:ascii="Bookman Old Style" w:hAnsi="Bookman Old Style"/>
        </w:rPr>
        <w:t xml:space="preserve"> recurrió la decisión indicando que dicha AFP había dado cumplimiento de todos los trámites relativos a la solicitud pensional en litigio, adelantando en su condición de intermediario en el reconocimiento de la gracia pensional a cargo de la cartera ministerial, cumpliendo la AFP con todos los trámites relativos a la conformación de la historia laboral, disponiendo el pago de la pensión de manera temporal desde </w:t>
      </w:r>
      <w:r w:rsidRPr="004A29E4">
        <w:rPr>
          <w:rFonts w:ascii="Bookman Old Style" w:hAnsi="Bookman Old Style"/>
        </w:rPr>
        <w:lastRenderedPageBreak/>
        <w:t>el 7-05-2018 y luego de manera definitiva</w:t>
      </w:r>
      <w:r w:rsidR="00C26FBC" w:rsidRPr="004A29E4">
        <w:rPr>
          <w:rFonts w:ascii="Bookman Old Style" w:hAnsi="Bookman Old Style"/>
        </w:rPr>
        <w:t xml:space="preserve">. </w:t>
      </w:r>
      <w:r w:rsidR="00F57CAC" w:rsidRPr="004A29E4">
        <w:rPr>
          <w:rFonts w:ascii="Bookman Old Style" w:hAnsi="Bookman Old Style"/>
        </w:rPr>
        <w:t xml:space="preserve">Cumplidas todas las obligaciones, consideró que no había lugar a imputársele obligaciones diferentes cuando todas fueron cumplidas. De allí, </w:t>
      </w:r>
      <w:r w:rsidR="00824656" w:rsidRPr="004A29E4">
        <w:rPr>
          <w:rFonts w:ascii="Bookman Old Style" w:hAnsi="Bookman Old Style"/>
        </w:rPr>
        <w:t>que,</w:t>
      </w:r>
      <w:r w:rsidR="00F57CAC" w:rsidRPr="004A29E4">
        <w:rPr>
          <w:rFonts w:ascii="Bookman Old Style" w:hAnsi="Bookman Old Style"/>
        </w:rPr>
        <w:t xml:space="preserve"> habiendo cumplido la AFP con todas las obligaciones y trámites, incluidas las generadas con el convenio de España </w:t>
      </w:r>
      <w:r w:rsidR="009D40D1" w:rsidRPr="004A29E4">
        <w:rPr>
          <w:rFonts w:ascii="Bookman Old Style" w:hAnsi="Bookman Old Style"/>
        </w:rPr>
        <w:t>no había lugar a la imposición de las costas, ni siquiera de manera parcial.</w:t>
      </w:r>
    </w:p>
    <w:p w14:paraId="3220B72F" w14:textId="2C20464A" w:rsidR="002E7085" w:rsidRPr="004A29E4" w:rsidRDefault="002E7085" w:rsidP="004A29E4">
      <w:pPr>
        <w:spacing w:line="276" w:lineRule="auto"/>
        <w:ind w:firstLine="0"/>
        <w:rPr>
          <w:rFonts w:ascii="Bookman Old Style" w:hAnsi="Bookman Old Style"/>
        </w:rPr>
      </w:pPr>
    </w:p>
    <w:p w14:paraId="790E16F1" w14:textId="77777777" w:rsidR="000C325E" w:rsidRPr="000A52AD" w:rsidRDefault="000C325E" w:rsidP="004A29E4">
      <w:pPr>
        <w:spacing w:line="276" w:lineRule="auto"/>
        <w:ind w:firstLine="0"/>
        <w:jc w:val="center"/>
        <w:rPr>
          <w:rFonts w:ascii="Bookman Old Style" w:hAnsi="Bookman Old Style"/>
          <w:b/>
        </w:rPr>
      </w:pPr>
      <w:r w:rsidRPr="000A52AD">
        <w:rPr>
          <w:rFonts w:ascii="Bookman Old Style" w:hAnsi="Bookman Old Style"/>
          <w:b/>
        </w:rPr>
        <w:t>ALEGATOS DE CONCLUSIÓN</w:t>
      </w:r>
    </w:p>
    <w:p w14:paraId="03A13942" w14:textId="23C95378" w:rsidR="00F6777F" w:rsidRPr="004A29E4" w:rsidRDefault="00F6777F" w:rsidP="000A52AD">
      <w:pPr>
        <w:spacing w:line="276" w:lineRule="auto"/>
        <w:ind w:firstLine="0"/>
        <w:rPr>
          <w:rFonts w:ascii="Bookman Old Style" w:hAnsi="Bookman Old Style"/>
        </w:rPr>
      </w:pPr>
    </w:p>
    <w:p w14:paraId="244039FB" w14:textId="6E454EF7" w:rsidR="000C325E" w:rsidRPr="004A29E4" w:rsidRDefault="000C325E" w:rsidP="004A29E4">
      <w:pPr>
        <w:spacing w:line="276" w:lineRule="auto"/>
        <w:rPr>
          <w:rFonts w:ascii="Bookman Old Style" w:hAnsi="Bookman Old Style"/>
        </w:rPr>
      </w:pPr>
      <w:r w:rsidRPr="004A29E4">
        <w:rPr>
          <w:rFonts w:ascii="Bookman Old Style" w:hAnsi="Bookman Old Style"/>
        </w:rPr>
        <w:t>Como la finalidad de esta etapa es atender la persuasión fáctica y jurídica sobre el tema objeto de discusión, bajo ese espectro se atienden los alegatos que guarden relación directa con los temas debatidos. Para tal efecto, el traslado se dispuso mediante fijación en lista y de la presentación de alegaciones en término, se remite al expediente de segunda instancia y a la constancia de la Secretaría de la Sala (Archivos 5 al 8).</w:t>
      </w:r>
    </w:p>
    <w:p w14:paraId="4EFD1851" w14:textId="77777777" w:rsidR="000C325E" w:rsidRPr="004A29E4" w:rsidRDefault="000C325E" w:rsidP="004A29E4">
      <w:pPr>
        <w:spacing w:line="276" w:lineRule="auto"/>
        <w:rPr>
          <w:rFonts w:ascii="Bookman Old Style" w:hAnsi="Bookman Old Style"/>
        </w:rPr>
      </w:pPr>
    </w:p>
    <w:p w14:paraId="5E9AB5DD" w14:textId="77777777" w:rsidR="000C325E" w:rsidRPr="004A29E4" w:rsidRDefault="000C325E" w:rsidP="004A29E4">
      <w:pPr>
        <w:spacing w:line="276" w:lineRule="auto"/>
        <w:rPr>
          <w:rFonts w:ascii="Bookman Old Style" w:hAnsi="Bookman Old Style"/>
        </w:rPr>
      </w:pPr>
      <w:r w:rsidRPr="004A29E4">
        <w:rPr>
          <w:rFonts w:ascii="Bookman Old Style" w:hAnsi="Bookman Old Style"/>
        </w:rPr>
        <w:t>Surtido el trámite que corresponde a esta instancia, procede la Sala de decisión a dictar la providencia que corresponde, previas las siguientes,</w:t>
      </w:r>
    </w:p>
    <w:p w14:paraId="4A639D74" w14:textId="77777777" w:rsidR="00A1745A" w:rsidRPr="004A29E4" w:rsidRDefault="00A1745A" w:rsidP="004A29E4">
      <w:pPr>
        <w:spacing w:line="276" w:lineRule="auto"/>
        <w:rPr>
          <w:rFonts w:ascii="Bookman Old Style" w:hAnsi="Bookman Old Style"/>
        </w:rPr>
      </w:pPr>
    </w:p>
    <w:p w14:paraId="7C58722D" w14:textId="0EF4BF05" w:rsidR="00A1745A" w:rsidRPr="000A52AD" w:rsidRDefault="00A1745A" w:rsidP="004A29E4">
      <w:pPr>
        <w:spacing w:line="276" w:lineRule="auto"/>
        <w:ind w:firstLine="0"/>
        <w:jc w:val="center"/>
        <w:rPr>
          <w:rFonts w:ascii="Bookman Old Style" w:hAnsi="Bookman Old Style"/>
          <w:b/>
        </w:rPr>
      </w:pPr>
      <w:r w:rsidRPr="000A52AD">
        <w:rPr>
          <w:rFonts w:ascii="Bookman Old Style" w:hAnsi="Bookman Old Style"/>
          <w:b/>
        </w:rPr>
        <w:t>CONSIDERACIONES</w:t>
      </w:r>
    </w:p>
    <w:p w14:paraId="304465BB" w14:textId="42D5F26D" w:rsidR="00A53433" w:rsidRPr="004A29E4" w:rsidRDefault="00A53433" w:rsidP="000A52AD">
      <w:pPr>
        <w:spacing w:line="276" w:lineRule="auto"/>
        <w:ind w:firstLine="0"/>
        <w:rPr>
          <w:rFonts w:ascii="Bookman Old Style" w:hAnsi="Bookman Old Style"/>
        </w:rPr>
      </w:pPr>
    </w:p>
    <w:p w14:paraId="324C2B1B" w14:textId="6130AA73" w:rsidR="00A1745A" w:rsidRPr="004A29E4" w:rsidRDefault="0045442A" w:rsidP="004A29E4">
      <w:pPr>
        <w:spacing w:line="276" w:lineRule="auto"/>
        <w:rPr>
          <w:rFonts w:ascii="Bookman Old Style" w:hAnsi="Bookman Old Style"/>
        </w:rPr>
      </w:pPr>
      <w:r w:rsidRPr="004A29E4">
        <w:rPr>
          <w:rFonts w:ascii="Bookman Old Style" w:hAnsi="Bookman Old Style"/>
        </w:rPr>
        <w:t>Conforme lo anterior, los problemas jurídicos por resolver se centran en 1.- determinar si la demandante tiene derecho a que la mesada a ser cancelada por Porvenir S.A. sea igual al mínimo legal, a pesar de tratarse de una prestación edificada en virtud del convenio de seguridad social suscrito entre Colombia y el Reino de España. 2.- De acuerdo con las resultas del proceso a quien se debió condenar en costas procesales.</w:t>
      </w:r>
    </w:p>
    <w:p w14:paraId="58D04D33" w14:textId="77777777" w:rsidR="008120F5" w:rsidRPr="004A29E4" w:rsidRDefault="008120F5" w:rsidP="004A29E4">
      <w:pPr>
        <w:spacing w:line="276" w:lineRule="auto"/>
        <w:rPr>
          <w:rFonts w:ascii="Bookman Old Style" w:hAnsi="Bookman Old Style"/>
        </w:rPr>
      </w:pPr>
    </w:p>
    <w:p w14:paraId="6713E71D" w14:textId="775CE1B9" w:rsidR="008120F5" w:rsidRPr="004A29E4" w:rsidRDefault="008120F5" w:rsidP="004A29E4">
      <w:pPr>
        <w:spacing w:line="276" w:lineRule="auto"/>
        <w:rPr>
          <w:rFonts w:ascii="Bookman Old Style" w:hAnsi="Bookman Old Style"/>
          <w:i/>
          <w:iCs/>
        </w:rPr>
      </w:pPr>
      <w:r w:rsidRPr="004A29E4">
        <w:rPr>
          <w:rFonts w:ascii="Bookman Old Style" w:hAnsi="Bookman Old Style"/>
        </w:rPr>
        <w:t xml:space="preserve">Para lo pertinente, se tiene: </w:t>
      </w:r>
      <w:r w:rsidRPr="004A29E4">
        <w:rPr>
          <w:rFonts w:ascii="Bookman Old Style" w:hAnsi="Bookman Old Style"/>
          <w:b/>
          <w:bCs/>
          <w:i/>
          <w:iCs/>
        </w:rPr>
        <w:t>i)</w:t>
      </w:r>
      <w:r w:rsidRPr="004A29E4">
        <w:rPr>
          <w:rFonts w:ascii="Bookman Old Style" w:hAnsi="Bookman Old Style"/>
          <w:i/>
          <w:iCs/>
        </w:rPr>
        <w:t xml:space="preserve"> El Ministerio de Hacienda y Crédito Público otorgó a la demandante el beneficio </w:t>
      </w:r>
      <w:proofErr w:type="spellStart"/>
      <w:r w:rsidRPr="004A29E4">
        <w:rPr>
          <w:rFonts w:ascii="Bookman Old Style" w:hAnsi="Bookman Old Style"/>
          <w:i/>
          <w:iCs/>
        </w:rPr>
        <w:t>GPM</w:t>
      </w:r>
      <w:proofErr w:type="spellEnd"/>
      <w:r w:rsidRPr="004A29E4">
        <w:rPr>
          <w:rFonts w:ascii="Bookman Old Style" w:hAnsi="Bookman Old Style"/>
          <w:i/>
          <w:iCs/>
        </w:rPr>
        <w:t xml:space="preserve"> de forma temporal por resolución 17738 del 28-02-2018 [Archivo 12, pág. 25]; </w:t>
      </w:r>
      <w:r w:rsidRPr="004A29E4">
        <w:rPr>
          <w:rFonts w:ascii="Bookman Old Style" w:hAnsi="Bookman Old Style"/>
          <w:b/>
          <w:bCs/>
          <w:i/>
          <w:iCs/>
        </w:rPr>
        <w:t>ii)</w:t>
      </w:r>
      <w:r w:rsidRPr="004A29E4">
        <w:rPr>
          <w:rFonts w:ascii="Bookman Old Style" w:hAnsi="Bookman Old Style"/>
          <w:i/>
          <w:iCs/>
        </w:rPr>
        <w:t xml:space="preserve"> Por resolución 6195 del 27-01-2017 se emitieron cupones principales a cargo de la nación y del </w:t>
      </w:r>
      <w:proofErr w:type="spellStart"/>
      <w:r w:rsidRPr="004A29E4">
        <w:rPr>
          <w:rFonts w:ascii="Bookman Old Style" w:hAnsi="Bookman Old Style"/>
          <w:i/>
          <w:iCs/>
        </w:rPr>
        <w:t>ISS</w:t>
      </w:r>
      <w:proofErr w:type="spellEnd"/>
      <w:r w:rsidRPr="004A29E4">
        <w:rPr>
          <w:rFonts w:ascii="Bookman Old Style" w:hAnsi="Bookman Old Style"/>
          <w:i/>
          <w:iCs/>
        </w:rPr>
        <w:t xml:space="preserve"> y la resolución 20863 del 24-10-2019 que ordenó el pago de cupones principales a cargo de la Nación y del </w:t>
      </w:r>
      <w:proofErr w:type="spellStart"/>
      <w:r w:rsidRPr="004A29E4">
        <w:rPr>
          <w:rFonts w:ascii="Bookman Old Style" w:hAnsi="Bookman Old Style"/>
          <w:i/>
          <w:iCs/>
        </w:rPr>
        <w:t>ISS</w:t>
      </w:r>
      <w:proofErr w:type="spellEnd"/>
      <w:r w:rsidRPr="004A29E4">
        <w:rPr>
          <w:rFonts w:ascii="Bookman Old Style" w:hAnsi="Bookman Old Style"/>
          <w:i/>
          <w:iCs/>
        </w:rPr>
        <w:t xml:space="preserve"> [Archivo 12, pág. 32]; </w:t>
      </w:r>
      <w:r w:rsidRPr="004A29E4">
        <w:rPr>
          <w:rFonts w:ascii="Bookman Old Style" w:hAnsi="Bookman Old Style"/>
          <w:b/>
          <w:bCs/>
          <w:i/>
          <w:iCs/>
        </w:rPr>
        <w:t>iii)</w:t>
      </w:r>
      <w:r w:rsidRPr="004A29E4">
        <w:rPr>
          <w:rFonts w:ascii="Bookman Old Style" w:hAnsi="Bookman Old Style"/>
          <w:i/>
          <w:iCs/>
        </w:rPr>
        <w:t xml:space="preserve"> Por Resolución No. 23344 del 30 de octubre de 2020 del Min. De Hacienda, reconoció de forma definitiva la Garantía de Pensión Mínima a la demandante [Archivo 24]. </w:t>
      </w:r>
    </w:p>
    <w:p w14:paraId="0196362E" w14:textId="77777777" w:rsidR="008120F5" w:rsidRPr="004A29E4" w:rsidRDefault="008120F5" w:rsidP="004A29E4">
      <w:pPr>
        <w:spacing w:line="276" w:lineRule="auto"/>
        <w:rPr>
          <w:rFonts w:ascii="Bookman Old Style" w:hAnsi="Bookman Old Style"/>
          <w:i/>
          <w:iCs/>
        </w:rPr>
      </w:pPr>
    </w:p>
    <w:p w14:paraId="3627F61F" w14:textId="3141B0B1" w:rsidR="003F6A8C" w:rsidRPr="004A29E4" w:rsidRDefault="003F6A8C" w:rsidP="004A29E4">
      <w:pPr>
        <w:spacing w:line="276" w:lineRule="auto"/>
        <w:rPr>
          <w:rFonts w:ascii="Bookman Old Style" w:hAnsi="Bookman Old Style"/>
        </w:rPr>
      </w:pPr>
      <w:r w:rsidRPr="004A29E4">
        <w:rPr>
          <w:rFonts w:ascii="Bookman Old Style" w:hAnsi="Bookman Old Style"/>
        </w:rPr>
        <w:t>Es de aclarar que, si bien aparece remisión de una historia laboral que obra en archivo 20, el cual da cuenta de un total de 1.383 semanas, lo cierto es que la misma no corresponde a este proceso.</w:t>
      </w:r>
    </w:p>
    <w:p w14:paraId="1474EAB8" w14:textId="77777777" w:rsidR="008120F5" w:rsidRPr="004A29E4" w:rsidRDefault="008120F5" w:rsidP="004A29E4">
      <w:pPr>
        <w:spacing w:line="276" w:lineRule="auto"/>
        <w:rPr>
          <w:rFonts w:ascii="Bookman Old Style" w:hAnsi="Bookman Old Style"/>
        </w:rPr>
      </w:pPr>
    </w:p>
    <w:p w14:paraId="604213F7" w14:textId="7E13D871" w:rsidR="009D7F2E" w:rsidRPr="000A52AD" w:rsidRDefault="009D7F2E" w:rsidP="000A52AD">
      <w:pPr>
        <w:spacing w:line="276" w:lineRule="auto"/>
        <w:ind w:firstLine="0"/>
        <w:jc w:val="center"/>
        <w:rPr>
          <w:rFonts w:ascii="Bookman Old Style" w:hAnsi="Bookman Old Style"/>
          <w:b/>
        </w:rPr>
      </w:pPr>
      <w:r w:rsidRPr="000A52AD">
        <w:rPr>
          <w:rFonts w:ascii="Bookman Old Style" w:hAnsi="Bookman Old Style"/>
          <w:b/>
        </w:rPr>
        <w:t>De la garantía de pensión mínima en el marco del Convenio</w:t>
      </w:r>
    </w:p>
    <w:p w14:paraId="23ADEB8C" w14:textId="3CFE8D7D" w:rsidR="002A2616" w:rsidRPr="000A52AD" w:rsidRDefault="002A2616" w:rsidP="000A52AD">
      <w:pPr>
        <w:spacing w:line="276" w:lineRule="auto"/>
        <w:ind w:firstLine="0"/>
        <w:jc w:val="center"/>
        <w:rPr>
          <w:rFonts w:ascii="Bookman Old Style" w:hAnsi="Bookman Old Style"/>
          <w:b/>
        </w:rPr>
      </w:pPr>
      <w:r w:rsidRPr="000A52AD">
        <w:rPr>
          <w:rFonts w:ascii="Bookman Old Style" w:hAnsi="Bookman Old Style"/>
          <w:b/>
        </w:rPr>
        <w:t>entre España y Colombia</w:t>
      </w:r>
      <w:r w:rsidR="009D7F2E" w:rsidRPr="000A52AD">
        <w:rPr>
          <w:rFonts w:ascii="Bookman Old Style" w:hAnsi="Bookman Old Style"/>
          <w:b/>
        </w:rPr>
        <w:t xml:space="preserve">, en materia </w:t>
      </w:r>
      <w:r w:rsidR="0073760E" w:rsidRPr="000A52AD">
        <w:rPr>
          <w:rFonts w:ascii="Bookman Old Style" w:hAnsi="Bookman Old Style"/>
          <w:b/>
        </w:rPr>
        <w:t>de seguridad social</w:t>
      </w:r>
    </w:p>
    <w:p w14:paraId="3FDF50F8" w14:textId="77777777" w:rsidR="00A1745A" w:rsidRPr="004A29E4" w:rsidRDefault="00A1745A" w:rsidP="004A29E4">
      <w:pPr>
        <w:spacing w:line="276" w:lineRule="auto"/>
        <w:rPr>
          <w:rFonts w:ascii="Bookman Old Style" w:hAnsi="Bookman Old Style"/>
        </w:rPr>
      </w:pPr>
    </w:p>
    <w:p w14:paraId="197CCCA1" w14:textId="539F9C55" w:rsidR="002A2616" w:rsidRPr="004A29E4" w:rsidRDefault="0029290C" w:rsidP="004A29E4">
      <w:pPr>
        <w:spacing w:line="276" w:lineRule="auto"/>
        <w:rPr>
          <w:rFonts w:ascii="Bookman Old Style" w:hAnsi="Bookman Old Style"/>
        </w:rPr>
      </w:pPr>
      <w:r w:rsidRPr="004A29E4">
        <w:rPr>
          <w:rFonts w:ascii="Bookman Old Style" w:hAnsi="Bookman Old Style"/>
        </w:rPr>
        <w:t xml:space="preserve">Para desatar el primero de los dilemas planteados, </w:t>
      </w:r>
      <w:r w:rsidR="002A2616" w:rsidRPr="004A29E4">
        <w:rPr>
          <w:rFonts w:ascii="Bookman Old Style" w:hAnsi="Bookman Old Style"/>
        </w:rPr>
        <w:t>bien es conocido</w:t>
      </w:r>
      <w:r w:rsidRPr="004A29E4">
        <w:rPr>
          <w:rFonts w:ascii="Bookman Old Style" w:hAnsi="Bookman Old Style"/>
        </w:rPr>
        <w:t xml:space="preserve"> que </w:t>
      </w:r>
      <w:r w:rsidR="002A2616" w:rsidRPr="004A29E4">
        <w:rPr>
          <w:rFonts w:ascii="Bookman Old Style" w:hAnsi="Bookman Old Style"/>
        </w:rPr>
        <w:t xml:space="preserve">el 6 de septiembre de 2005 el Reino de España y la República de Colombia firmaron el Convenio Internacional de Seguridad Social, con el fin de asegurar una mejor garantía de derechos pensionales a los trabajadores que, siendo de un Estado Parte, ejerzan o hayan ejercido una actividad profesional en el otro. </w:t>
      </w:r>
      <w:r w:rsidR="00726A18" w:rsidRPr="004A29E4">
        <w:rPr>
          <w:rFonts w:ascii="Bookman Old Style" w:hAnsi="Bookman Old Style"/>
        </w:rPr>
        <w:lastRenderedPageBreak/>
        <w:t xml:space="preserve">En Colombia, dicho Convenio fue ratificado y aprobado a través de la Ley 1112 de 2006. </w:t>
      </w:r>
    </w:p>
    <w:p w14:paraId="05BCEF6A" w14:textId="77777777" w:rsidR="00726A18" w:rsidRPr="004A29E4" w:rsidRDefault="00726A18" w:rsidP="004A29E4">
      <w:pPr>
        <w:spacing w:line="276" w:lineRule="auto"/>
        <w:rPr>
          <w:rFonts w:ascii="Bookman Old Style" w:hAnsi="Bookman Old Style"/>
        </w:rPr>
      </w:pPr>
    </w:p>
    <w:p w14:paraId="0E4431E3" w14:textId="6D4D49CA" w:rsidR="00726A18" w:rsidRPr="004A29E4" w:rsidRDefault="009F53E2" w:rsidP="004A29E4">
      <w:pPr>
        <w:spacing w:line="276" w:lineRule="auto"/>
        <w:rPr>
          <w:rFonts w:ascii="Bookman Old Style" w:hAnsi="Bookman Old Style" w:cs="Times New Roman"/>
          <w:color w:val="auto"/>
        </w:rPr>
      </w:pPr>
      <w:r w:rsidRPr="004A29E4">
        <w:rPr>
          <w:rFonts w:ascii="Bookman Old Style" w:hAnsi="Bookman Old Style"/>
        </w:rPr>
        <w:t xml:space="preserve">Ahora, </w:t>
      </w:r>
      <w:r w:rsidR="004204C0" w:rsidRPr="004A29E4">
        <w:rPr>
          <w:rFonts w:ascii="Bookman Old Style" w:hAnsi="Bookman Old Style"/>
        </w:rPr>
        <w:t xml:space="preserve">el </w:t>
      </w:r>
      <w:r w:rsidR="00726A18" w:rsidRPr="004A29E4">
        <w:rPr>
          <w:rFonts w:ascii="Bookman Old Style" w:hAnsi="Bookman Old Style"/>
          <w:b/>
          <w:bCs/>
        </w:rPr>
        <w:t>artículo 2</w:t>
      </w:r>
      <w:r w:rsidR="00726A18" w:rsidRPr="004A29E4">
        <w:rPr>
          <w:rFonts w:ascii="Bookman Old Style" w:hAnsi="Bookman Old Style"/>
        </w:rPr>
        <w:t xml:space="preserve"> de la </w:t>
      </w:r>
      <w:r w:rsidR="00F52A71" w:rsidRPr="004A29E4">
        <w:rPr>
          <w:rFonts w:ascii="Bookman Old Style" w:hAnsi="Bookman Old Style"/>
        </w:rPr>
        <w:t>Ley en comento</w:t>
      </w:r>
      <w:r w:rsidR="00726A18" w:rsidRPr="004A29E4">
        <w:rPr>
          <w:rFonts w:ascii="Bookman Old Style" w:hAnsi="Bookman Old Style"/>
        </w:rPr>
        <w:t xml:space="preserve">, dispone el campo de aplicación material del convenio, en el caso de Colombia, dispone el literal b) del numeral 1 </w:t>
      </w:r>
      <w:proofErr w:type="spellStart"/>
      <w:r w:rsidR="00726A18" w:rsidRPr="004A29E4">
        <w:rPr>
          <w:rFonts w:ascii="Bookman Old Style" w:hAnsi="Bookman Old Style"/>
        </w:rPr>
        <w:t>ibid</w:t>
      </w:r>
      <w:proofErr w:type="spellEnd"/>
      <w:r w:rsidR="00726A18" w:rsidRPr="004A29E4">
        <w:rPr>
          <w:rFonts w:ascii="Bookman Old Style" w:hAnsi="Bookman Old Style"/>
        </w:rPr>
        <w:t xml:space="preserve">, que dicho convenio se aplica </w:t>
      </w:r>
      <w:r w:rsidR="00726A18" w:rsidRPr="004A29E4">
        <w:rPr>
          <w:rFonts w:ascii="Bookman Old Style" w:hAnsi="Bookman Old Style" w:cs="Times New Roman"/>
          <w:color w:val="auto"/>
        </w:rPr>
        <w:t>“</w:t>
      </w:r>
      <w:r w:rsidR="00726A18" w:rsidRPr="00E60AD5">
        <w:rPr>
          <w:rFonts w:ascii="Bookman Old Style" w:hAnsi="Bookman Old Style" w:cs="Times New Roman"/>
          <w:i/>
          <w:iCs/>
          <w:color w:val="auto"/>
          <w:sz w:val="22"/>
        </w:rPr>
        <w:t>A la legislación relativa a las prestaciones económicas dispuestas en el Sistema General de Pensiones (Prima Media con Prestación Definida y Ahorro Individual con Solidaridad), en cuanto a vejez, invalidez y sobrevivientes, de origen común</w:t>
      </w:r>
      <w:r w:rsidR="00726A18" w:rsidRPr="004A29E4">
        <w:rPr>
          <w:rFonts w:ascii="Bookman Old Style" w:hAnsi="Bookman Old Style" w:cs="Times New Roman"/>
          <w:i/>
          <w:iCs/>
          <w:color w:val="auto"/>
        </w:rPr>
        <w:t>”.</w:t>
      </w:r>
    </w:p>
    <w:p w14:paraId="3DB26DFB" w14:textId="77777777" w:rsidR="009F53E2" w:rsidRPr="004A29E4" w:rsidRDefault="009F53E2" w:rsidP="004A29E4">
      <w:pPr>
        <w:spacing w:line="276" w:lineRule="auto"/>
        <w:rPr>
          <w:rFonts w:ascii="Bookman Old Style" w:hAnsi="Bookman Old Style" w:cs="Times New Roman"/>
          <w:color w:val="auto"/>
        </w:rPr>
      </w:pPr>
    </w:p>
    <w:p w14:paraId="58F7445F" w14:textId="008E908A" w:rsidR="00804B9C" w:rsidRPr="004A29E4" w:rsidRDefault="00804B9C" w:rsidP="004A29E4">
      <w:pPr>
        <w:spacing w:line="276" w:lineRule="auto"/>
        <w:rPr>
          <w:rFonts w:ascii="Bookman Old Style" w:hAnsi="Bookman Old Style"/>
        </w:rPr>
      </w:pPr>
      <w:r w:rsidRPr="004A29E4">
        <w:rPr>
          <w:rFonts w:ascii="Bookman Old Style" w:hAnsi="Bookman Old Style"/>
        </w:rPr>
        <w:t xml:space="preserve">Por su parte, el </w:t>
      </w:r>
      <w:r w:rsidR="000A52AD" w:rsidRPr="004A29E4">
        <w:rPr>
          <w:rFonts w:ascii="Bookman Old Style" w:hAnsi="Bookman Old Style"/>
          <w:b/>
          <w:bCs/>
        </w:rPr>
        <w:t>artículo</w:t>
      </w:r>
      <w:r w:rsidRPr="004A29E4">
        <w:rPr>
          <w:rFonts w:ascii="Bookman Old Style" w:hAnsi="Bookman Old Style"/>
          <w:b/>
          <w:bCs/>
        </w:rPr>
        <w:t xml:space="preserve"> 18 </w:t>
      </w:r>
      <w:r w:rsidR="000A52AD" w:rsidRPr="004A29E4">
        <w:rPr>
          <w:rFonts w:ascii="Bookman Old Style" w:hAnsi="Bookman Old Style"/>
          <w:b/>
          <w:bCs/>
        </w:rPr>
        <w:t>ibíd.</w:t>
      </w:r>
      <w:r w:rsidRPr="004A29E4">
        <w:rPr>
          <w:rFonts w:ascii="Bookman Old Style" w:hAnsi="Bookman Old Style"/>
        </w:rPr>
        <w:t>, en lo que respecta al régimen de ahorro individual con solidaridad, dispuso:</w:t>
      </w:r>
    </w:p>
    <w:p w14:paraId="2106DF08" w14:textId="77777777" w:rsidR="00804B9C" w:rsidRPr="004A29E4" w:rsidRDefault="00804B9C" w:rsidP="004A29E4">
      <w:pPr>
        <w:spacing w:line="276" w:lineRule="auto"/>
        <w:ind w:left="709" w:firstLine="0"/>
        <w:rPr>
          <w:rFonts w:ascii="Bookman Old Style" w:hAnsi="Bookman Old Style"/>
          <w:color w:val="auto"/>
        </w:rPr>
      </w:pPr>
    </w:p>
    <w:p w14:paraId="1FA70CAD" w14:textId="77777777" w:rsidR="00804B9C" w:rsidRPr="004A29E4" w:rsidRDefault="00804B9C" w:rsidP="004A29E4">
      <w:pPr>
        <w:spacing w:line="276" w:lineRule="auto"/>
        <w:ind w:left="709" w:right="474" w:firstLine="0"/>
        <w:rPr>
          <w:rFonts w:ascii="Bookman Old Style" w:hAnsi="Bookman Old Style" w:cs="Times New Roman"/>
          <w:i/>
          <w:iCs/>
          <w:color w:val="auto"/>
        </w:rPr>
      </w:pPr>
      <w:r w:rsidRPr="004A29E4">
        <w:rPr>
          <w:rFonts w:ascii="Bookman Old Style" w:hAnsi="Bookman Old Style" w:cs="Times New Roman"/>
          <w:i/>
          <w:iCs/>
          <w:color w:val="auto"/>
        </w:rPr>
        <w:t>“1. Los afiliados a una Administradora de Fondo de Pensiones en Colombia, financiarán sus prestaciones con el saldo de su cuenta de ahorro individual y la suma adicional a cargo de la aseguradora.</w:t>
      </w:r>
    </w:p>
    <w:p w14:paraId="669E095C" w14:textId="77777777" w:rsidR="00804B9C" w:rsidRPr="004A29E4" w:rsidRDefault="00804B9C" w:rsidP="004A29E4">
      <w:pPr>
        <w:spacing w:line="276" w:lineRule="auto"/>
        <w:ind w:left="709" w:right="474" w:firstLine="0"/>
        <w:rPr>
          <w:rFonts w:ascii="Bookman Old Style" w:hAnsi="Bookman Old Style" w:cs="Times New Roman"/>
          <w:i/>
          <w:iCs/>
          <w:color w:val="auto"/>
        </w:rPr>
      </w:pPr>
    </w:p>
    <w:p w14:paraId="57D9F752" w14:textId="77777777" w:rsidR="00804B9C" w:rsidRPr="000A52AD" w:rsidRDefault="00804B9C" w:rsidP="000A52AD">
      <w:pPr>
        <w:spacing w:line="240" w:lineRule="auto"/>
        <w:ind w:left="426" w:right="420" w:firstLine="0"/>
        <w:rPr>
          <w:rFonts w:ascii="Bookman Old Style" w:hAnsi="Bookman Old Style" w:cs="Times New Roman"/>
          <w:b/>
          <w:bCs/>
          <w:i/>
          <w:iCs/>
          <w:color w:val="auto"/>
          <w:sz w:val="22"/>
          <w:u w:val="single"/>
        </w:rPr>
      </w:pPr>
      <w:r w:rsidRPr="000A52AD">
        <w:rPr>
          <w:rFonts w:ascii="Bookman Old Style" w:hAnsi="Bookman Old Style" w:cs="Times New Roman"/>
          <w:b/>
          <w:bCs/>
          <w:i/>
          <w:iCs/>
          <w:color w:val="auto"/>
          <w:sz w:val="22"/>
          <w:u w:val="single"/>
        </w:rPr>
        <w:t xml:space="preserve">2. En el caso en que los trabajadores afiliados a una Administradora de Fondos de Pensiones requieran de la totalización de períodos para la aplicación de la garantía de pensión mínima se aplicará lo dispuesto en el artículo </w:t>
      </w:r>
      <w:proofErr w:type="spellStart"/>
      <w:r w:rsidRPr="000A52AD">
        <w:rPr>
          <w:rFonts w:ascii="Bookman Old Style" w:hAnsi="Bookman Old Style" w:cs="Times New Roman"/>
          <w:b/>
          <w:bCs/>
          <w:i/>
          <w:iCs/>
          <w:color w:val="auto"/>
          <w:sz w:val="22"/>
          <w:u w:val="single"/>
        </w:rPr>
        <w:t>9o</w:t>
      </w:r>
      <w:proofErr w:type="spellEnd"/>
      <w:r w:rsidRPr="000A52AD">
        <w:rPr>
          <w:rFonts w:ascii="Bookman Old Style" w:hAnsi="Bookman Old Style" w:cs="Times New Roman"/>
          <w:b/>
          <w:bCs/>
          <w:i/>
          <w:iCs/>
          <w:color w:val="auto"/>
          <w:sz w:val="22"/>
          <w:u w:val="single"/>
        </w:rPr>
        <w:t>.</w:t>
      </w:r>
    </w:p>
    <w:p w14:paraId="5FF1EA04" w14:textId="77777777" w:rsidR="00804B9C" w:rsidRPr="000A52AD" w:rsidRDefault="00804B9C" w:rsidP="000A52AD">
      <w:pPr>
        <w:spacing w:line="240" w:lineRule="auto"/>
        <w:ind w:left="426" w:right="420" w:firstLine="0"/>
        <w:rPr>
          <w:rFonts w:ascii="Bookman Old Style" w:hAnsi="Bookman Old Style" w:cs="Times New Roman"/>
          <w:b/>
          <w:bCs/>
          <w:i/>
          <w:iCs/>
          <w:color w:val="auto"/>
          <w:sz w:val="22"/>
          <w:u w:val="single"/>
        </w:rPr>
      </w:pPr>
    </w:p>
    <w:p w14:paraId="5EAB8480" w14:textId="77777777" w:rsidR="00804B9C" w:rsidRPr="000A52AD" w:rsidRDefault="00804B9C" w:rsidP="000A52AD">
      <w:pPr>
        <w:spacing w:line="240" w:lineRule="auto"/>
        <w:ind w:left="426" w:right="420" w:firstLine="0"/>
        <w:rPr>
          <w:rFonts w:ascii="Bookman Old Style" w:hAnsi="Bookman Old Style" w:cs="Times New Roman"/>
          <w:b/>
          <w:bCs/>
          <w:i/>
          <w:iCs/>
          <w:color w:val="auto"/>
          <w:sz w:val="22"/>
          <w:u w:val="single"/>
        </w:rPr>
      </w:pPr>
      <w:r w:rsidRPr="000A52AD">
        <w:rPr>
          <w:rFonts w:ascii="Bookman Old Style" w:hAnsi="Bookman Old Style" w:cs="Times New Roman"/>
          <w:b/>
          <w:bCs/>
          <w:i/>
          <w:iCs/>
          <w:color w:val="auto"/>
          <w:sz w:val="22"/>
          <w:u w:val="single"/>
        </w:rPr>
        <w:t>Para tal efecto, se tendrá en cuenta que la sumatoria de las prorratas de ambas partes contratantes, sea inferior a un salario mínimo legal colombiano y que el trabajador haya cumplido los períodos cotizados exigidos, una vez sean totalizados los tiempos en ambas Partes.</w:t>
      </w:r>
    </w:p>
    <w:p w14:paraId="750715A9" w14:textId="77777777" w:rsidR="00804B9C" w:rsidRPr="004A29E4" w:rsidRDefault="00804B9C" w:rsidP="004A29E4">
      <w:pPr>
        <w:spacing w:line="276" w:lineRule="auto"/>
        <w:rPr>
          <w:rFonts w:ascii="Bookman Old Style" w:hAnsi="Bookman Old Style"/>
        </w:rPr>
      </w:pPr>
    </w:p>
    <w:p w14:paraId="02106FC2" w14:textId="015C4DB8" w:rsidR="00020714" w:rsidRPr="004A29E4" w:rsidRDefault="00A6239E" w:rsidP="004A29E4">
      <w:pPr>
        <w:spacing w:line="276" w:lineRule="auto"/>
        <w:rPr>
          <w:rFonts w:ascii="Bookman Old Style" w:hAnsi="Bookman Old Style" w:cs="Times New Roman"/>
          <w:i/>
          <w:iCs/>
          <w:color w:val="auto"/>
        </w:rPr>
      </w:pPr>
      <w:r w:rsidRPr="004A29E4">
        <w:rPr>
          <w:rFonts w:ascii="Bookman Old Style" w:hAnsi="Bookman Old Style"/>
        </w:rPr>
        <w:t xml:space="preserve">Para mayor ilustración, recuérdese que </w:t>
      </w:r>
      <w:r w:rsidR="009F53E2" w:rsidRPr="004A29E4">
        <w:rPr>
          <w:rFonts w:ascii="Bookman Old Style" w:hAnsi="Bookman Old Style"/>
        </w:rPr>
        <w:t xml:space="preserve">el </w:t>
      </w:r>
      <w:r w:rsidR="009D7F2E" w:rsidRPr="004A29E4">
        <w:rPr>
          <w:rFonts w:ascii="Bookman Old Style" w:hAnsi="Bookman Old Style"/>
          <w:b/>
          <w:bCs/>
        </w:rPr>
        <w:t>artículo 65 de la Ley 100 de 1993</w:t>
      </w:r>
      <w:r w:rsidR="009D7F2E" w:rsidRPr="004A29E4">
        <w:rPr>
          <w:rFonts w:ascii="Bookman Old Style" w:hAnsi="Bookman Old Style"/>
        </w:rPr>
        <w:t xml:space="preserve"> </w:t>
      </w:r>
      <w:r w:rsidRPr="004A29E4">
        <w:rPr>
          <w:rFonts w:ascii="Bookman Old Style" w:hAnsi="Bookman Old Style"/>
        </w:rPr>
        <w:t xml:space="preserve">en </w:t>
      </w:r>
      <w:r w:rsidR="009F53E2" w:rsidRPr="004A29E4">
        <w:rPr>
          <w:rFonts w:ascii="Bookman Old Style" w:hAnsi="Bookman Old Style"/>
        </w:rPr>
        <w:t xml:space="preserve">lo relativo a la </w:t>
      </w:r>
      <w:bookmarkStart w:id="4" w:name="65"/>
      <w:r w:rsidR="009F53E2" w:rsidRPr="004A29E4">
        <w:rPr>
          <w:rFonts w:ascii="Bookman Old Style" w:hAnsi="Bookman Old Style"/>
          <w:b/>
          <w:bCs/>
        </w:rPr>
        <w:t>garantía de pensión mínima de vejez</w:t>
      </w:r>
      <w:bookmarkEnd w:id="4"/>
      <w:r w:rsidR="009F53E2" w:rsidRPr="004A29E4">
        <w:rPr>
          <w:rFonts w:ascii="Bookman Old Style" w:hAnsi="Bookman Old Style"/>
        </w:rPr>
        <w:t xml:space="preserve">, </w:t>
      </w:r>
      <w:r w:rsidRPr="004A29E4">
        <w:rPr>
          <w:rFonts w:ascii="Bookman Old Style" w:hAnsi="Bookman Old Style"/>
        </w:rPr>
        <w:t>dispone</w:t>
      </w:r>
      <w:r w:rsidR="009F53E2" w:rsidRPr="004A29E4">
        <w:rPr>
          <w:rFonts w:ascii="Bookman Old Style" w:hAnsi="Bookman Old Style" w:cs="Times New Roman"/>
          <w:i/>
          <w:iCs/>
          <w:color w:val="auto"/>
        </w:rPr>
        <w:t>:</w:t>
      </w:r>
      <w:r w:rsidR="009D7F2E" w:rsidRPr="004A29E4">
        <w:rPr>
          <w:rFonts w:ascii="Bookman Old Style" w:hAnsi="Bookman Old Style" w:cs="Times New Roman"/>
          <w:i/>
          <w:iCs/>
          <w:color w:val="auto"/>
        </w:rPr>
        <w:t> </w:t>
      </w:r>
    </w:p>
    <w:p w14:paraId="3F593019" w14:textId="77777777" w:rsidR="00020714" w:rsidRPr="004A29E4" w:rsidRDefault="00020714" w:rsidP="004A29E4">
      <w:pPr>
        <w:spacing w:line="276" w:lineRule="auto"/>
        <w:rPr>
          <w:rFonts w:ascii="Bookman Old Style" w:hAnsi="Bookman Old Style" w:cs="Times New Roman"/>
          <w:i/>
          <w:iCs/>
          <w:color w:val="auto"/>
        </w:rPr>
      </w:pPr>
    </w:p>
    <w:p w14:paraId="682ADA15" w14:textId="77777777" w:rsidR="00020714" w:rsidRPr="000A52AD" w:rsidRDefault="009F53E2" w:rsidP="000A52AD">
      <w:pPr>
        <w:spacing w:line="240" w:lineRule="auto"/>
        <w:ind w:left="426" w:right="420" w:firstLine="0"/>
        <w:rPr>
          <w:rFonts w:ascii="Bookman Old Style" w:hAnsi="Bookman Old Style" w:cs="Times New Roman"/>
          <w:i/>
          <w:iCs/>
          <w:color w:val="auto"/>
          <w:sz w:val="22"/>
        </w:rPr>
      </w:pPr>
      <w:r w:rsidRPr="000A52AD">
        <w:rPr>
          <w:rFonts w:ascii="Bookman Old Style" w:hAnsi="Bookman Old Style" w:cs="Times New Roman"/>
          <w:i/>
          <w:iCs/>
          <w:color w:val="auto"/>
          <w:sz w:val="22"/>
        </w:rPr>
        <w:t>“</w:t>
      </w:r>
      <w:r w:rsidR="009D7F2E" w:rsidRPr="000A52AD">
        <w:rPr>
          <w:rFonts w:ascii="Bookman Old Style" w:hAnsi="Bookman Old Style" w:cs="Times New Roman"/>
          <w:i/>
          <w:iCs/>
          <w:color w:val="auto"/>
          <w:sz w:val="22"/>
        </w:rPr>
        <w:t>Los afiliados que a los sesenta y dos (62) años de edad si son hombres y cincuenta y siete (57) si son mujeres, no hayan alcanzado a generar la pensión mínima de que trata el artículo </w:t>
      </w:r>
      <w:hyperlink r:id="rId12" w:anchor="35" w:history="1">
        <w:r w:rsidR="009D7F2E" w:rsidRPr="000A52AD">
          <w:rPr>
            <w:rFonts w:ascii="Bookman Old Style" w:hAnsi="Bookman Old Style" w:cs="Times New Roman"/>
            <w:i/>
            <w:iCs/>
            <w:color w:val="auto"/>
            <w:sz w:val="22"/>
          </w:rPr>
          <w:t>35</w:t>
        </w:r>
      </w:hyperlink>
      <w:r w:rsidR="009D7F2E" w:rsidRPr="000A52AD">
        <w:rPr>
          <w:rFonts w:ascii="Bookman Old Style" w:hAnsi="Bookman Old Style" w:cs="Times New Roman"/>
          <w:i/>
          <w:iCs/>
          <w:color w:val="auto"/>
          <w:sz w:val="22"/>
        </w:rPr>
        <w:t xml:space="preserve"> de la presente Ley, y hubiesen cotizado por lo menos mil ciento cincuenta semanas (1.150), tendrán derecho a que el Gobierno Nacional, en desarrollo del principio de solidaridad, les complete la parte que haga falta para obtener dicha pensión. </w:t>
      </w:r>
    </w:p>
    <w:p w14:paraId="65259A52" w14:textId="77777777" w:rsidR="00020714" w:rsidRPr="000A52AD" w:rsidRDefault="00020714" w:rsidP="000A52AD">
      <w:pPr>
        <w:spacing w:line="240" w:lineRule="auto"/>
        <w:ind w:left="426" w:right="420" w:firstLine="0"/>
        <w:rPr>
          <w:rFonts w:ascii="Bookman Old Style" w:hAnsi="Bookman Old Style" w:cs="Times New Roman"/>
          <w:i/>
          <w:iCs/>
          <w:color w:val="auto"/>
          <w:sz w:val="22"/>
        </w:rPr>
      </w:pPr>
    </w:p>
    <w:p w14:paraId="4775181D" w14:textId="4EFD43FA" w:rsidR="009D7F2E" w:rsidRPr="000A52AD" w:rsidRDefault="009D7F2E" w:rsidP="000A52AD">
      <w:pPr>
        <w:spacing w:line="240" w:lineRule="auto"/>
        <w:ind w:left="426" w:right="420" w:firstLine="0"/>
        <w:rPr>
          <w:rFonts w:ascii="Bookman Old Style" w:hAnsi="Bookman Old Style" w:cs="Times New Roman"/>
          <w:i/>
          <w:iCs/>
          <w:color w:val="auto"/>
          <w:sz w:val="22"/>
        </w:rPr>
      </w:pPr>
      <w:r w:rsidRPr="000A52AD">
        <w:rPr>
          <w:rFonts w:ascii="Bookman Old Style" w:hAnsi="Bookman Old Style" w:cs="Times New Roman"/>
          <w:i/>
          <w:iCs/>
          <w:color w:val="auto"/>
          <w:sz w:val="22"/>
        </w:rPr>
        <w:t>PARÁGRAFO. Para efectos del cómputo de las semanas a que se refiere el presente artículo se tendrá en cuenta lo previsto en los parágrafos del artículo </w:t>
      </w:r>
      <w:hyperlink r:id="rId13" w:anchor="33" w:history="1">
        <w:r w:rsidRPr="000A52AD">
          <w:rPr>
            <w:rFonts w:ascii="Bookman Old Style" w:hAnsi="Bookman Old Style" w:cs="Times New Roman"/>
            <w:i/>
            <w:iCs/>
            <w:color w:val="auto"/>
            <w:sz w:val="22"/>
          </w:rPr>
          <w:t>33</w:t>
        </w:r>
      </w:hyperlink>
      <w:r w:rsidRPr="000A52AD">
        <w:rPr>
          <w:rFonts w:ascii="Bookman Old Style" w:hAnsi="Bookman Old Style" w:cs="Times New Roman"/>
          <w:i/>
          <w:iCs/>
          <w:color w:val="auto"/>
          <w:sz w:val="22"/>
        </w:rPr>
        <w:t> de la presente Ley”.</w:t>
      </w:r>
    </w:p>
    <w:p w14:paraId="00B333AE" w14:textId="77777777" w:rsidR="00D2269A" w:rsidRPr="004A29E4" w:rsidRDefault="00D2269A" w:rsidP="004A29E4">
      <w:pPr>
        <w:spacing w:line="276" w:lineRule="auto"/>
        <w:rPr>
          <w:rFonts w:ascii="Bookman Old Style" w:hAnsi="Bookman Old Style"/>
        </w:rPr>
      </w:pPr>
    </w:p>
    <w:p w14:paraId="02C4E59A" w14:textId="51E9EC98" w:rsidR="00335E47" w:rsidRPr="004A29E4" w:rsidRDefault="00335E47" w:rsidP="004A29E4">
      <w:pPr>
        <w:spacing w:line="276" w:lineRule="auto"/>
        <w:rPr>
          <w:rFonts w:ascii="Bookman Old Style" w:hAnsi="Bookman Old Style"/>
        </w:rPr>
      </w:pPr>
      <w:r w:rsidRPr="004A29E4">
        <w:rPr>
          <w:rFonts w:ascii="Bookman Old Style" w:hAnsi="Bookman Old Style"/>
        </w:rPr>
        <w:t>A</w:t>
      </w:r>
      <w:r w:rsidR="003C0A40" w:rsidRPr="004A29E4">
        <w:rPr>
          <w:rFonts w:ascii="Bookman Old Style" w:hAnsi="Bookman Old Style"/>
        </w:rPr>
        <w:t>hora</w:t>
      </w:r>
      <w:r w:rsidRPr="004A29E4">
        <w:rPr>
          <w:rFonts w:ascii="Bookman Old Style" w:hAnsi="Bookman Old Style"/>
        </w:rPr>
        <w:t xml:space="preserve">, el </w:t>
      </w:r>
      <w:r w:rsidRPr="004A29E4">
        <w:rPr>
          <w:rFonts w:ascii="Bookman Old Style" w:hAnsi="Bookman Old Style"/>
          <w:b/>
          <w:bCs/>
        </w:rPr>
        <w:t>artículo 9 de la Ley 1112/2006,</w:t>
      </w:r>
      <w:r w:rsidRPr="004A29E4">
        <w:rPr>
          <w:rFonts w:ascii="Bookman Old Style" w:hAnsi="Bookman Old Style"/>
        </w:rPr>
        <w:t xml:space="preserve"> en cuanto a la forma de determinar el derecho y de liquidar la prestación, dispone que el trabajador que haya estado sucesiva o alternativamente sometido a la legislación de una y otra Parte Contratante tiene derecho a las prestaciones allí reguladas bajo las siguientes condiciones:</w:t>
      </w:r>
    </w:p>
    <w:p w14:paraId="56A8F31A" w14:textId="77777777" w:rsidR="00335E47" w:rsidRPr="004A29E4" w:rsidRDefault="00335E47" w:rsidP="004A29E4">
      <w:pPr>
        <w:spacing w:line="276" w:lineRule="auto"/>
        <w:ind w:left="709" w:firstLine="0"/>
        <w:rPr>
          <w:rFonts w:ascii="Bookman Old Style" w:hAnsi="Bookman Old Style"/>
          <w:color w:val="auto"/>
        </w:rPr>
      </w:pPr>
    </w:p>
    <w:p w14:paraId="2A830218" w14:textId="77777777" w:rsidR="00335E47" w:rsidRPr="00032C95" w:rsidRDefault="00335E47" w:rsidP="00032C95">
      <w:pPr>
        <w:spacing w:line="240" w:lineRule="auto"/>
        <w:ind w:left="426" w:right="420" w:firstLine="0"/>
        <w:rPr>
          <w:rFonts w:ascii="Bookman Old Style" w:hAnsi="Bookman Old Style" w:cs="Times New Roman"/>
          <w:color w:val="auto"/>
          <w:sz w:val="22"/>
        </w:rPr>
      </w:pPr>
      <w:r w:rsidRPr="00032C95">
        <w:rPr>
          <w:rFonts w:ascii="Bookman Old Style" w:hAnsi="Bookman Old Style" w:cs="Times New Roman"/>
          <w:color w:val="auto"/>
          <w:sz w:val="22"/>
        </w:rPr>
        <w:t>“1. La Institución Competente de cada Parte determinará el derecho y calculará la prestación, teniendo en cuenta únicamente los períodos de seguro o cotización acreditados en esa Parte.</w:t>
      </w:r>
    </w:p>
    <w:p w14:paraId="7EF40E6F" w14:textId="77777777" w:rsidR="00335E47" w:rsidRPr="00032C95" w:rsidRDefault="00335E47" w:rsidP="00032C95">
      <w:pPr>
        <w:spacing w:line="240" w:lineRule="auto"/>
        <w:ind w:left="426" w:right="420" w:firstLine="0"/>
        <w:rPr>
          <w:rFonts w:ascii="Bookman Old Style" w:hAnsi="Bookman Old Style" w:cs="Times New Roman"/>
          <w:color w:val="auto"/>
          <w:sz w:val="22"/>
        </w:rPr>
      </w:pPr>
    </w:p>
    <w:p w14:paraId="73DAAF9B" w14:textId="77777777" w:rsidR="00335E47" w:rsidRPr="00032C95" w:rsidRDefault="00335E47" w:rsidP="00032C95">
      <w:pPr>
        <w:spacing w:line="240" w:lineRule="auto"/>
        <w:ind w:left="426" w:right="420" w:firstLine="0"/>
        <w:rPr>
          <w:rFonts w:ascii="Bookman Old Style" w:hAnsi="Bookman Old Style" w:cs="Times New Roman"/>
          <w:color w:val="auto"/>
          <w:sz w:val="22"/>
        </w:rPr>
      </w:pPr>
      <w:r w:rsidRPr="00032C95">
        <w:rPr>
          <w:rFonts w:ascii="Bookman Old Style" w:hAnsi="Bookman Old Style" w:cs="Times New Roman"/>
          <w:color w:val="auto"/>
          <w:sz w:val="22"/>
        </w:rPr>
        <w:t xml:space="preserve">2. Asimismo la Institución Competente de cada Parte determinará el derecho a prestaciones totalizando con los propios los períodos de seguro o cotización </w:t>
      </w:r>
      <w:r w:rsidRPr="00032C95">
        <w:rPr>
          <w:rFonts w:ascii="Bookman Old Style" w:hAnsi="Bookman Old Style" w:cs="Times New Roman"/>
          <w:color w:val="auto"/>
          <w:sz w:val="22"/>
        </w:rPr>
        <w:lastRenderedPageBreak/>
        <w:t xml:space="preserve">cumplidos bajo la legislación de la otra Parte. Cuando efectuada la totalización se alcance el derecho a la prestación, para el cálculo de la cuantía a pagar, se aplicarán las reglas siguientes: </w:t>
      </w:r>
    </w:p>
    <w:p w14:paraId="278FD41B" w14:textId="77777777" w:rsidR="00335E47" w:rsidRPr="00032C95" w:rsidRDefault="00335E47" w:rsidP="00032C95">
      <w:pPr>
        <w:spacing w:line="240" w:lineRule="auto"/>
        <w:ind w:left="426" w:right="420" w:firstLine="0"/>
        <w:rPr>
          <w:rFonts w:ascii="Bookman Old Style" w:hAnsi="Bookman Old Style" w:cs="Times New Roman"/>
          <w:color w:val="auto"/>
          <w:sz w:val="22"/>
        </w:rPr>
      </w:pPr>
    </w:p>
    <w:p w14:paraId="51299E12" w14:textId="6C53B91C" w:rsidR="00032C95" w:rsidRDefault="00335E47" w:rsidP="00032C95">
      <w:pPr>
        <w:pStyle w:val="Prrafodelista"/>
        <w:numPr>
          <w:ilvl w:val="0"/>
          <w:numId w:val="12"/>
        </w:numPr>
        <w:spacing w:line="240" w:lineRule="auto"/>
        <w:ind w:left="851" w:right="420" w:firstLine="0"/>
        <w:rPr>
          <w:rFonts w:ascii="Bookman Old Style" w:hAnsi="Bookman Old Style" w:cs="Times New Roman"/>
          <w:color w:val="auto"/>
          <w:sz w:val="22"/>
        </w:rPr>
      </w:pPr>
      <w:r w:rsidRPr="00032C95">
        <w:rPr>
          <w:rFonts w:ascii="Bookman Old Style" w:hAnsi="Bookman Old Style" w:cs="Times New Roman"/>
          <w:color w:val="auto"/>
          <w:sz w:val="22"/>
        </w:rPr>
        <w:t>Se determinará la cuantía de la prestación a la cual el interesado hubiera tenido derecho como si todos los períodos de seguro o cotización totalizados hubieran sido cumplidos bajo su propia legislación (pensión teórica).</w:t>
      </w:r>
    </w:p>
    <w:p w14:paraId="62F153E4" w14:textId="77777777" w:rsidR="00032C95" w:rsidRDefault="00032C95" w:rsidP="00032C95">
      <w:pPr>
        <w:pStyle w:val="Prrafodelista"/>
        <w:spacing w:line="240" w:lineRule="auto"/>
        <w:ind w:left="851" w:right="420" w:firstLine="0"/>
        <w:rPr>
          <w:rFonts w:ascii="Bookman Old Style" w:hAnsi="Bookman Old Style" w:cs="Times New Roman"/>
          <w:color w:val="auto"/>
          <w:sz w:val="22"/>
        </w:rPr>
      </w:pPr>
    </w:p>
    <w:p w14:paraId="0C0592E5" w14:textId="1E62D8F3" w:rsidR="00335E47" w:rsidRPr="00032C95" w:rsidRDefault="00335E47" w:rsidP="00032C95">
      <w:pPr>
        <w:pStyle w:val="Prrafodelista"/>
        <w:numPr>
          <w:ilvl w:val="0"/>
          <w:numId w:val="12"/>
        </w:numPr>
        <w:spacing w:line="240" w:lineRule="auto"/>
        <w:ind w:left="851" w:right="420" w:firstLine="0"/>
        <w:rPr>
          <w:rFonts w:ascii="Bookman Old Style" w:hAnsi="Bookman Old Style" w:cs="Times New Roman"/>
          <w:color w:val="auto"/>
          <w:sz w:val="22"/>
        </w:rPr>
      </w:pPr>
      <w:r w:rsidRPr="00032C95">
        <w:rPr>
          <w:rFonts w:ascii="Bookman Old Style" w:hAnsi="Bookman Old Style" w:cs="Times New Roman"/>
          <w:color w:val="auto"/>
          <w:sz w:val="22"/>
        </w:rPr>
        <w:t>El importe de la prestación se establecerá aplicando a la pensión teórica, calculada según su legislación, la misma proporción existente entre el período de seguro o cotización cumplida en la Parte a que pertenece la Institución que calcula la prestación y la totalidad de los períodos de seguro o cotización cumplidos en ambas Partes (pensión prorrata).</w:t>
      </w:r>
    </w:p>
    <w:p w14:paraId="4CE12452" w14:textId="77777777" w:rsidR="00335E47" w:rsidRPr="00032C95" w:rsidRDefault="00335E47" w:rsidP="00032C95">
      <w:pPr>
        <w:spacing w:line="240" w:lineRule="auto"/>
        <w:ind w:left="426" w:right="420" w:firstLine="0"/>
        <w:rPr>
          <w:rFonts w:ascii="Bookman Old Style" w:hAnsi="Bookman Old Style" w:cs="Times New Roman"/>
          <w:color w:val="auto"/>
          <w:sz w:val="22"/>
        </w:rPr>
      </w:pPr>
    </w:p>
    <w:p w14:paraId="743B426A" w14:textId="77777777" w:rsidR="00335E47" w:rsidRPr="00032C95" w:rsidRDefault="00335E47" w:rsidP="00032C95">
      <w:pPr>
        <w:spacing w:line="240" w:lineRule="auto"/>
        <w:ind w:left="426" w:right="420" w:firstLine="0"/>
        <w:rPr>
          <w:rFonts w:ascii="Bookman Old Style" w:hAnsi="Bookman Old Style" w:cs="Times New Roman"/>
          <w:color w:val="auto"/>
          <w:sz w:val="22"/>
        </w:rPr>
      </w:pPr>
      <w:r w:rsidRPr="00032C95">
        <w:rPr>
          <w:rFonts w:ascii="Bookman Old Style" w:hAnsi="Bookman Old Style" w:cs="Times New Roman"/>
          <w:color w:val="auto"/>
          <w:sz w:val="22"/>
        </w:rPr>
        <w:t>3. Determinados los derechos conforme se establece en los párrafos precedentes, la Institución Competente de cada Parte reconocerá y abonará la prestación que sea más favorable al interesado, independientemente de la resolución adoptada por la Institución Competente de la otra Parte”.</w:t>
      </w:r>
    </w:p>
    <w:p w14:paraId="0C4DAADD" w14:textId="77777777" w:rsidR="00804B9C" w:rsidRPr="004A29E4" w:rsidRDefault="00804B9C" w:rsidP="004A29E4">
      <w:pPr>
        <w:spacing w:line="276" w:lineRule="auto"/>
        <w:rPr>
          <w:rFonts w:ascii="Bookman Old Style" w:hAnsi="Bookman Old Style" w:cs="Times New Roman"/>
        </w:rPr>
      </w:pPr>
    </w:p>
    <w:p w14:paraId="2560062B" w14:textId="63AD9323" w:rsidR="00804B9C" w:rsidRPr="004A29E4" w:rsidRDefault="00792269" w:rsidP="004A29E4">
      <w:pPr>
        <w:spacing w:line="276" w:lineRule="auto"/>
        <w:rPr>
          <w:rFonts w:ascii="Bookman Old Style" w:hAnsi="Bookman Old Style"/>
        </w:rPr>
      </w:pPr>
      <w:r w:rsidRPr="004A29E4">
        <w:rPr>
          <w:rFonts w:ascii="Bookman Old Style" w:hAnsi="Bookman Old Style"/>
        </w:rPr>
        <w:t xml:space="preserve">Aquí, es de hacer énfasis en que la </w:t>
      </w:r>
      <w:r w:rsidR="00804B9C" w:rsidRPr="004A29E4">
        <w:rPr>
          <w:rFonts w:ascii="Bookman Old Style" w:hAnsi="Bookman Old Style"/>
        </w:rPr>
        <w:t xml:space="preserve">prestación que se otorgue, conforme al </w:t>
      </w:r>
      <w:r w:rsidRPr="004A29E4">
        <w:rPr>
          <w:rFonts w:ascii="Bookman Old Style" w:hAnsi="Bookman Old Style"/>
        </w:rPr>
        <w:t>artículo</w:t>
      </w:r>
      <w:r w:rsidR="00804B9C" w:rsidRPr="004A29E4">
        <w:rPr>
          <w:rFonts w:ascii="Bookman Old Style" w:hAnsi="Bookman Old Style"/>
        </w:rPr>
        <w:t xml:space="preserve"> 17 </w:t>
      </w:r>
      <w:proofErr w:type="spellStart"/>
      <w:r w:rsidR="00804B9C" w:rsidRPr="004A29E4">
        <w:rPr>
          <w:rFonts w:ascii="Bookman Old Style" w:hAnsi="Bookman Old Style"/>
        </w:rPr>
        <w:t>ibid</w:t>
      </w:r>
      <w:proofErr w:type="spellEnd"/>
      <w:r w:rsidR="00804B9C" w:rsidRPr="004A29E4">
        <w:rPr>
          <w:rFonts w:ascii="Bookman Old Style" w:hAnsi="Bookman Old Style"/>
        </w:rPr>
        <w:t>, se considera una unidad de la prestación, frente a lo cual se dispuso:</w:t>
      </w:r>
    </w:p>
    <w:p w14:paraId="6FD96959" w14:textId="77777777" w:rsidR="00804B9C" w:rsidRPr="004A29E4" w:rsidRDefault="00804B9C" w:rsidP="004A29E4">
      <w:pPr>
        <w:spacing w:line="276" w:lineRule="auto"/>
        <w:rPr>
          <w:rFonts w:ascii="Bookman Old Style" w:hAnsi="Bookman Old Style"/>
        </w:rPr>
      </w:pPr>
    </w:p>
    <w:p w14:paraId="02AB7159" w14:textId="77777777" w:rsidR="00804B9C" w:rsidRPr="00032C95" w:rsidRDefault="00804B9C" w:rsidP="00032C95">
      <w:pPr>
        <w:spacing w:line="240" w:lineRule="auto"/>
        <w:ind w:left="426" w:right="420" w:firstLine="0"/>
        <w:rPr>
          <w:rFonts w:ascii="Bookman Old Style" w:hAnsi="Bookman Old Style" w:cs="Times New Roman"/>
          <w:color w:val="auto"/>
          <w:sz w:val="22"/>
        </w:rPr>
      </w:pPr>
      <w:bookmarkStart w:id="5" w:name="17"/>
      <w:r w:rsidRPr="00032C95">
        <w:rPr>
          <w:rFonts w:ascii="Bookman Old Style" w:hAnsi="Bookman Old Style" w:cs="Times New Roman"/>
          <w:color w:val="auto"/>
          <w:sz w:val="22"/>
        </w:rPr>
        <w:t>“</w:t>
      </w:r>
      <w:bookmarkEnd w:id="5"/>
      <w:r w:rsidRPr="00032C95">
        <w:rPr>
          <w:rFonts w:ascii="Bookman Old Style" w:hAnsi="Bookman Old Style" w:cs="Times New Roman"/>
          <w:color w:val="auto"/>
          <w:sz w:val="22"/>
        </w:rPr>
        <w:t xml:space="preserve">1. En Colombia, se considera que la prestación que se otorgue en desarrollo del presente Convenio corresponde a la suma de las prestaciones que, por aplicación del artículo 9, reciba de cada una de las Partes Contratantes el trabajador. </w:t>
      </w:r>
      <w:r w:rsidRPr="00032C95">
        <w:rPr>
          <w:rFonts w:ascii="Bookman Old Style" w:hAnsi="Bookman Old Style" w:cs="Times New Roman"/>
          <w:b/>
          <w:bCs/>
          <w:color w:val="auto"/>
          <w:sz w:val="22"/>
          <w:u w:val="single"/>
        </w:rPr>
        <w:t>Cada prorrata considerada individualmente en sí misma, no es una pensión</w:t>
      </w:r>
      <w:r w:rsidRPr="00032C95">
        <w:rPr>
          <w:rFonts w:ascii="Bookman Old Style" w:hAnsi="Bookman Old Style" w:cs="Times New Roman"/>
          <w:color w:val="auto"/>
          <w:sz w:val="22"/>
        </w:rPr>
        <w:t>.</w:t>
      </w:r>
    </w:p>
    <w:p w14:paraId="06281A1C" w14:textId="77777777" w:rsidR="00804B9C" w:rsidRPr="00032C95" w:rsidRDefault="00804B9C" w:rsidP="00032C95">
      <w:pPr>
        <w:spacing w:line="240" w:lineRule="auto"/>
        <w:ind w:left="426" w:right="420" w:firstLine="0"/>
        <w:rPr>
          <w:rFonts w:ascii="Bookman Old Style" w:hAnsi="Bookman Old Style" w:cs="Times New Roman"/>
          <w:color w:val="auto"/>
          <w:sz w:val="22"/>
        </w:rPr>
      </w:pPr>
    </w:p>
    <w:p w14:paraId="4B7E4F2F" w14:textId="77777777" w:rsidR="00804B9C" w:rsidRPr="00032C95" w:rsidRDefault="00804B9C" w:rsidP="00032C95">
      <w:pPr>
        <w:spacing w:line="240" w:lineRule="auto"/>
        <w:ind w:left="426" w:right="420" w:firstLine="0"/>
        <w:rPr>
          <w:rFonts w:ascii="Bookman Old Style" w:hAnsi="Bookman Old Style" w:cs="Times New Roman"/>
          <w:color w:val="auto"/>
          <w:sz w:val="22"/>
        </w:rPr>
      </w:pPr>
      <w:r w:rsidRPr="00032C95">
        <w:rPr>
          <w:rFonts w:ascii="Bookman Old Style" w:hAnsi="Bookman Old Style" w:cs="Times New Roman"/>
          <w:color w:val="auto"/>
          <w:sz w:val="22"/>
        </w:rPr>
        <w:t xml:space="preserve">2. </w:t>
      </w:r>
      <w:r w:rsidRPr="00032C95">
        <w:rPr>
          <w:rFonts w:ascii="Bookman Old Style" w:hAnsi="Bookman Old Style" w:cs="Times New Roman"/>
          <w:b/>
          <w:bCs/>
          <w:color w:val="auto"/>
          <w:sz w:val="22"/>
          <w:u w:val="single"/>
        </w:rPr>
        <w:t>La Garantía de Pensión Mínima operará cuando la sumatoria de las mencionadas prestaciones sea inferior a un salario mínimo legal colombiano y el trabajador haya cumplido los períodos cotizados exigidos, una vez sean reconocidos los tiempos en ambas Partes</w:t>
      </w:r>
      <w:r w:rsidRPr="00032C95">
        <w:rPr>
          <w:rFonts w:ascii="Bookman Old Style" w:hAnsi="Bookman Old Style" w:cs="Times New Roman"/>
          <w:color w:val="auto"/>
          <w:sz w:val="22"/>
        </w:rPr>
        <w:t>.</w:t>
      </w:r>
    </w:p>
    <w:p w14:paraId="47B09295" w14:textId="77777777" w:rsidR="00804B9C" w:rsidRPr="00032C95" w:rsidRDefault="00804B9C" w:rsidP="00032C95">
      <w:pPr>
        <w:spacing w:line="240" w:lineRule="auto"/>
        <w:ind w:left="426" w:right="420" w:firstLine="0"/>
        <w:rPr>
          <w:rFonts w:ascii="Bookman Old Style" w:hAnsi="Bookman Old Style" w:cs="Times New Roman"/>
          <w:color w:val="auto"/>
          <w:sz w:val="22"/>
        </w:rPr>
      </w:pPr>
    </w:p>
    <w:p w14:paraId="5BF44AD9" w14:textId="092541A2" w:rsidR="00804B9C" w:rsidRPr="00032C95" w:rsidRDefault="00804B9C" w:rsidP="00032C95">
      <w:pPr>
        <w:spacing w:line="240" w:lineRule="auto"/>
        <w:ind w:left="426" w:right="420" w:firstLine="0"/>
        <w:rPr>
          <w:rFonts w:ascii="Bookman Old Style" w:hAnsi="Bookman Old Style" w:cs="Times New Roman"/>
          <w:b/>
          <w:bCs/>
          <w:color w:val="auto"/>
          <w:sz w:val="22"/>
          <w:u w:val="single"/>
        </w:rPr>
      </w:pPr>
      <w:r w:rsidRPr="00032C95">
        <w:rPr>
          <w:rFonts w:ascii="Bookman Old Style" w:hAnsi="Bookman Old Style" w:cs="Times New Roman"/>
          <w:color w:val="auto"/>
          <w:sz w:val="22"/>
        </w:rPr>
        <w:t xml:space="preserve">3. En el evento en que la Parte colombiana deba comenzar a pagar antes que la </w:t>
      </w:r>
      <w:r w:rsidR="00BF35BB" w:rsidRPr="00032C95">
        <w:rPr>
          <w:rFonts w:ascii="Bookman Old Style" w:hAnsi="Bookman Old Style" w:cs="Times New Roman"/>
          <w:color w:val="auto"/>
          <w:sz w:val="22"/>
        </w:rPr>
        <w:t>p</w:t>
      </w:r>
      <w:r w:rsidRPr="00032C95">
        <w:rPr>
          <w:rFonts w:ascii="Bookman Old Style" w:hAnsi="Bookman Old Style" w:cs="Times New Roman"/>
          <w:color w:val="auto"/>
          <w:sz w:val="22"/>
        </w:rPr>
        <w:t xml:space="preserve">arte española la prorrata que le corresponde según el apartado 2 del artículo </w:t>
      </w:r>
      <w:proofErr w:type="spellStart"/>
      <w:r w:rsidRPr="00032C95">
        <w:rPr>
          <w:rFonts w:ascii="Bookman Old Style" w:hAnsi="Bookman Old Style" w:cs="Times New Roman"/>
          <w:color w:val="auto"/>
          <w:sz w:val="22"/>
        </w:rPr>
        <w:t>9o</w:t>
      </w:r>
      <w:proofErr w:type="spellEnd"/>
      <w:r w:rsidRPr="00032C95">
        <w:rPr>
          <w:rFonts w:ascii="Bookman Old Style" w:hAnsi="Bookman Old Style" w:cs="Times New Roman"/>
          <w:color w:val="auto"/>
          <w:sz w:val="22"/>
        </w:rPr>
        <w:t xml:space="preserve"> del presente Convenio, la Institución Competente española certificará si el interesado ha cotizado en España y el período cotizado al Sistema Español de Seguridad Social. Con esta certificación se presumirá que el interesado está incluido, para la Parte española, en el ámbito de aplicación personal del Convenio. Para determinar, en este supuesto, el derecho de pensión prorrata y la garantía de pensión mínima, la Institución colombina deberá aplicar la proporción existente entre el período de seguro cumplido en Colombia y la totalidad de los períodos cumplidos en ambas Partes. </w:t>
      </w:r>
      <w:r w:rsidRPr="00032C95">
        <w:rPr>
          <w:rFonts w:ascii="Bookman Old Style" w:hAnsi="Bookman Old Style" w:cs="Times New Roman"/>
          <w:b/>
          <w:bCs/>
          <w:color w:val="auto"/>
          <w:sz w:val="22"/>
          <w:u w:val="single"/>
        </w:rPr>
        <w:t>En ningún caso, la concesión de una pensión prorrata colombiana, por aplicación del presente Convenio, podrá obligar a las Instituciones colombianas a reconocer una cuantía de pensión superior a la prorrata que resulte del cálculo anterior. La garantía de pensión mínima podrá ser recalculada cuando la Institución española reconozca una pensión, aplicándose consecuentemente, el apartado 2 del presente artículo</w:t>
      </w:r>
      <w:r w:rsidR="00236776" w:rsidRPr="00E60AD5">
        <w:rPr>
          <w:rFonts w:ascii="Bookman Old Style" w:hAnsi="Bookman Old Style" w:cs="Times New Roman"/>
          <w:bCs/>
          <w:color w:val="auto"/>
          <w:sz w:val="22"/>
          <w:u w:val="single"/>
        </w:rPr>
        <w:t>”</w:t>
      </w:r>
      <w:r w:rsidRPr="00E60AD5">
        <w:rPr>
          <w:rFonts w:ascii="Bookman Old Style" w:hAnsi="Bookman Old Style" w:cs="Times New Roman"/>
          <w:bCs/>
          <w:color w:val="auto"/>
          <w:sz w:val="22"/>
          <w:u w:val="single"/>
        </w:rPr>
        <w:t>.</w:t>
      </w:r>
    </w:p>
    <w:p w14:paraId="45E8562D" w14:textId="77777777" w:rsidR="00804B9C" w:rsidRPr="004A29E4" w:rsidRDefault="00804B9C" w:rsidP="004A29E4">
      <w:pPr>
        <w:spacing w:line="276" w:lineRule="auto"/>
        <w:rPr>
          <w:rFonts w:ascii="Bookman Old Style" w:hAnsi="Bookman Old Style" w:cs="Times New Roman"/>
        </w:rPr>
      </w:pPr>
    </w:p>
    <w:p w14:paraId="59D05056" w14:textId="780DE9C5" w:rsidR="002A2616" w:rsidRPr="004A29E4" w:rsidRDefault="005E59A1" w:rsidP="004A29E4">
      <w:pPr>
        <w:spacing w:line="276" w:lineRule="auto"/>
        <w:ind w:firstLine="567"/>
        <w:rPr>
          <w:rFonts w:ascii="Bookman Old Style" w:hAnsi="Bookman Old Style"/>
          <w:color w:val="auto"/>
        </w:rPr>
      </w:pPr>
      <w:r w:rsidRPr="004A29E4">
        <w:rPr>
          <w:rFonts w:ascii="Bookman Old Style" w:hAnsi="Bookman Old Style"/>
          <w:color w:val="auto"/>
        </w:rPr>
        <w:t xml:space="preserve">Del conjunto normativo referido, se puede decir que, cuando el afiliado cotizante al </w:t>
      </w:r>
      <w:proofErr w:type="spellStart"/>
      <w:r w:rsidRPr="004A29E4">
        <w:rPr>
          <w:rFonts w:ascii="Bookman Old Style" w:hAnsi="Bookman Old Style"/>
          <w:color w:val="auto"/>
        </w:rPr>
        <w:t>RAIS</w:t>
      </w:r>
      <w:proofErr w:type="spellEnd"/>
      <w:r w:rsidRPr="004A29E4">
        <w:rPr>
          <w:rFonts w:ascii="Bookman Old Style" w:hAnsi="Bookman Old Style"/>
          <w:color w:val="auto"/>
        </w:rPr>
        <w:t xml:space="preserve"> no logra obtener el capital requerido para financiar su pensión a la edad de 57 o 62 años, dependiendo si es mujer u hombre, pero </w:t>
      </w:r>
      <w:r w:rsidR="00F52A71" w:rsidRPr="004A29E4">
        <w:rPr>
          <w:rFonts w:ascii="Bookman Old Style" w:hAnsi="Bookman Old Style"/>
          <w:color w:val="auto"/>
        </w:rPr>
        <w:lastRenderedPageBreak/>
        <w:t xml:space="preserve">no </w:t>
      </w:r>
      <w:r w:rsidRPr="004A29E4">
        <w:rPr>
          <w:rFonts w:ascii="Bookman Old Style" w:hAnsi="Bookman Old Style"/>
          <w:color w:val="auto"/>
        </w:rPr>
        <w:t xml:space="preserve">ha logrado cotizar por lo menos 1150 semanas, y no cuenta con ingresos superiores a un salario mínimo mensual vigente, podría ser beneficiario de la garantía de pensión mínima. Dicha protección establece que el fondo de garantía pensional complementará el capital necesario para que el beneficiario acceda a una pensión </w:t>
      </w:r>
      <w:r w:rsidR="00144327" w:rsidRPr="004A29E4">
        <w:rPr>
          <w:rFonts w:ascii="Bookman Old Style" w:hAnsi="Bookman Old Style"/>
          <w:color w:val="auto"/>
        </w:rPr>
        <w:t xml:space="preserve">(pensión </w:t>
      </w:r>
      <w:r w:rsidR="000057DF" w:rsidRPr="004A29E4">
        <w:rPr>
          <w:rFonts w:ascii="Bookman Old Style" w:hAnsi="Bookman Old Style"/>
          <w:color w:val="auto"/>
        </w:rPr>
        <w:t>teórica</w:t>
      </w:r>
      <w:r w:rsidR="00144327" w:rsidRPr="004A29E4">
        <w:rPr>
          <w:rFonts w:ascii="Bookman Old Style" w:hAnsi="Bookman Old Style"/>
          <w:color w:val="auto"/>
        </w:rPr>
        <w:t>)</w:t>
      </w:r>
      <w:r w:rsidR="000057DF" w:rsidRPr="004A29E4">
        <w:rPr>
          <w:rFonts w:ascii="Bookman Old Style" w:hAnsi="Bookman Old Style"/>
          <w:color w:val="auto"/>
        </w:rPr>
        <w:t xml:space="preserve"> </w:t>
      </w:r>
      <w:r w:rsidRPr="004A29E4">
        <w:rPr>
          <w:rFonts w:ascii="Bookman Old Style" w:hAnsi="Bookman Old Style"/>
          <w:color w:val="auto"/>
        </w:rPr>
        <w:t>equivalente a un salario mínimo mensual vigente</w:t>
      </w:r>
      <w:r w:rsidR="000057DF" w:rsidRPr="004A29E4">
        <w:rPr>
          <w:rFonts w:ascii="Bookman Old Style" w:hAnsi="Bookman Old Style"/>
          <w:color w:val="auto"/>
        </w:rPr>
        <w:t>.</w:t>
      </w:r>
    </w:p>
    <w:p w14:paraId="3812C45C" w14:textId="77777777" w:rsidR="005E59A1" w:rsidRPr="004A29E4" w:rsidRDefault="005E59A1" w:rsidP="004A29E4">
      <w:pPr>
        <w:spacing w:line="276" w:lineRule="auto"/>
        <w:ind w:firstLine="567"/>
        <w:rPr>
          <w:rFonts w:ascii="Bookman Old Style" w:hAnsi="Bookman Old Style"/>
          <w:color w:val="auto"/>
        </w:rPr>
      </w:pPr>
    </w:p>
    <w:p w14:paraId="08FF22CC" w14:textId="433BD2E7" w:rsidR="00F52A71" w:rsidRPr="004A29E4" w:rsidRDefault="00F52A71" w:rsidP="004A29E4">
      <w:pPr>
        <w:spacing w:line="276" w:lineRule="auto"/>
        <w:ind w:firstLine="567"/>
        <w:rPr>
          <w:rFonts w:ascii="Bookman Old Style" w:hAnsi="Bookman Old Style"/>
          <w:color w:val="auto"/>
        </w:rPr>
      </w:pPr>
      <w:r w:rsidRPr="004A29E4">
        <w:rPr>
          <w:rFonts w:ascii="Bookman Old Style" w:hAnsi="Bookman Old Style"/>
          <w:color w:val="auto"/>
        </w:rPr>
        <w:t>Para lo dicho, se debe tener en cuenta que el artículo 8º de la Ley 1112 de 2006, establece que para efectos de acceder a una prestación en cualquiera de los países partes, que se genere con periodos de cotización “</w:t>
      </w:r>
      <w:r w:rsidRPr="00E60AD5">
        <w:rPr>
          <w:rFonts w:ascii="Bookman Old Style" w:hAnsi="Bookman Old Style"/>
          <w:color w:val="auto"/>
          <w:sz w:val="22"/>
        </w:rPr>
        <w:t>la Institución Competente tendrá en cuenta a tal efecto, cuando sea necesario, los períodos de seguro o cotización cumplidos con arreglo a la legislación de la otra Parte Contratante</w:t>
      </w:r>
      <w:r w:rsidRPr="004A29E4">
        <w:rPr>
          <w:rFonts w:ascii="Bookman Old Style" w:hAnsi="Bookman Old Style"/>
          <w:color w:val="auto"/>
        </w:rPr>
        <w:t xml:space="preserve">”. Esto no es cosa distinta a la sumatoria de tiempos o de periodos de cotización, que se hubieren efectuado en ambos países, lo </w:t>
      </w:r>
      <w:proofErr w:type="gramStart"/>
      <w:r w:rsidRPr="004A29E4">
        <w:rPr>
          <w:rFonts w:ascii="Bookman Old Style" w:hAnsi="Bookman Old Style"/>
          <w:color w:val="auto"/>
        </w:rPr>
        <w:t>que</w:t>
      </w:r>
      <w:proofErr w:type="gramEnd"/>
      <w:r w:rsidRPr="004A29E4">
        <w:rPr>
          <w:rFonts w:ascii="Bookman Old Style" w:hAnsi="Bookman Old Style"/>
          <w:color w:val="auto"/>
        </w:rPr>
        <w:t xml:space="preserve"> en últimas, era la finalidad del convenio.</w:t>
      </w:r>
    </w:p>
    <w:p w14:paraId="5F7790E9" w14:textId="77777777" w:rsidR="00F52A71" w:rsidRPr="004A29E4" w:rsidRDefault="00F52A71" w:rsidP="004A29E4">
      <w:pPr>
        <w:spacing w:line="276" w:lineRule="auto"/>
        <w:ind w:firstLine="567"/>
        <w:rPr>
          <w:rFonts w:ascii="Bookman Old Style" w:hAnsi="Bookman Old Style"/>
          <w:color w:val="auto"/>
        </w:rPr>
      </w:pPr>
    </w:p>
    <w:p w14:paraId="274A2EE5" w14:textId="18F46A5F" w:rsidR="005E59A1" w:rsidRPr="004A29E4" w:rsidRDefault="00F52A71" w:rsidP="004A29E4">
      <w:pPr>
        <w:spacing w:line="276" w:lineRule="auto"/>
        <w:ind w:firstLine="567"/>
        <w:rPr>
          <w:rFonts w:ascii="Bookman Old Style" w:hAnsi="Bookman Old Style"/>
          <w:color w:val="auto"/>
        </w:rPr>
      </w:pPr>
      <w:r w:rsidRPr="004A29E4">
        <w:rPr>
          <w:rFonts w:ascii="Bookman Old Style" w:hAnsi="Bookman Old Style"/>
          <w:color w:val="auto"/>
        </w:rPr>
        <w:t>Entonces</w:t>
      </w:r>
      <w:r w:rsidR="005E59A1" w:rsidRPr="004A29E4">
        <w:rPr>
          <w:rFonts w:ascii="Bookman Old Style" w:hAnsi="Bookman Old Style"/>
          <w:color w:val="auto"/>
        </w:rPr>
        <w:t xml:space="preserve">, comoquiera que el </w:t>
      </w:r>
      <w:proofErr w:type="spellStart"/>
      <w:r w:rsidR="005E59A1" w:rsidRPr="004A29E4">
        <w:rPr>
          <w:rFonts w:ascii="Bookman Old Style" w:hAnsi="Bookman Old Style"/>
          <w:color w:val="auto"/>
        </w:rPr>
        <w:t>RAIS</w:t>
      </w:r>
      <w:proofErr w:type="spellEnd"/>
      <w:r w:rsidR="005E59A1" w:rsidRPr="004A29E4">
        <w:rPr>
          <w:rFonts w:ascii="Bookman Old Style" w:hAnsi="Bookman Old Style"/>
          <w:color w:val="auto"/>
        </w:rPr>
        <w:t xml:space="preserve"> no tiene en cuenta el requisito de los tiempos cotizados, el Convenio lo que determina es que, si el beneficiario que aplica al Convenio no cuenta con el capital requerido para financiar su pensión, las Instituciones Competentes colombianas deberán verificar la totalidad de tiempos cotizados en ambos países para determinar si puede ser beneficiario de la garantía de pensión mínima. Así, si la sumatoria de los periodos cotizados en ambos países es igual o superior a</w:t>
      </w:r>
      <w:r w:rsidR="005D64F2" w:rsidRPr="004A29E4">
        <w:rPr>
          <w:rFonts w:ascii="Bookman Old Style" w:hAnsi="Bookman Old Style"/>
          <w:color w:val="auto"/>
        </w:rPr>
        <w:t>l</w:t>
      </w:r>
      <w:r w:rsidR="005E59A1" w:rsidRPr="004A29E4">
        <w:rPr>
          <w:rFonts w:ascii="Bookman Old Style" w:hAnsi="Bookman Old Style"/>
          <w:color w:val="auto"/>
        </w:rPr>
        <w:t xml:space="preserve"> </w:t>
      </w:r>
      <w:r w:rsidR="003902EA" w:rsidRPr="004A29E4">
        <w:rPr>
          <w:rFonts w:ascii="Bookman Old Style" w:hAnsi="Bookman Old Style"/>
          <w:color w:val="auto"/>
        </w:rPr>
        <w:t xml:space="preserve">número de semanas de que trata el </w:t>
      </w:r>
      <w:r w:rsidR="00F04106" w:rsidRPr="004A29E4">
        <w:rPr>
          <w:rFonts w:ascii="Bookman Old Style" w:hAnsi="Bookman Old Style"/>
          <w:color w:val="auto"/>
        </w:rPr>
        <w:t>artículo</w:t>
      </w:r>
      <w:r w:rsidR="003902EA" w:rsidRPr="004A29E4">
        <w:rPr>
          <w:rFonts w:ascii="Bookman Old Style" w:hAnsi="Bookman Old Style"/>
          <w:color w:val="auto"/>
        </w:rPr>
        <w:t xml:space="preserve"> 65 </w:t>
      </w:r>
      <w:r w:rsidR="00212B79" w:rsidRPr="004A29E4">
        <w:rPr>
          <w:rFonts w:ascii="Bookman Old Style" w:hAnsi="Bookman Old Style"/>
          <w:color w:val="auto"/>
        </w:rPr>
        <w:t>de la Ley 100 de 1993</w:t>
      </w:r>
      <w:r w:rsidR="005E59A1" w:rsidRPr="004A29E4">
        <w:rPr>
          <w:rFonts w:ascii="Bookman Old Style" w:hAnsi="Bookman Old Style"/>
          <w:color w:val="auto"/>
        </w:rPr>
        <w:t xml:space="preserve">, </w:t>
      </w:r>
      <w:r w:rsidR="003902EA" w:rsidRPr="004A29E4">
        <w:rPr>
          <w:rFonts w:ascii="Bookman Old Style" w:hAnsi="Bookman Old Style"/>
          <w:color w:val="auto"/>
        </w:rPr>
        <w:t xml:space="preserve">en tal caso </w:t>
      </w:r>
      <w:r w:rsidR="005E59A1" w:rsidRPr="004A29E4">
        <w:rPr>
          <w:rFonts w:ascii="Bookman Old Style" w:hAnsi="Bookman Old Style"/>
          <w:color w:val="auto"/>
        </w:rPr>
        <w:t xml:space="preserve">las Instituciones </w:t>
      </w:r>
      <w:r w:rsidR="00212B79" w:rsidRPr="004A29E4">
        <w:rPr>
          <w:rFonts w:ascii="Bookman Old Style" w:hAnsi="Bookman Old Style"/>
          <w:color w:val="auto"/>
        </w:rPr>
        <w:t>c</w:t>
      </w:r>
      <w:r w:rsidR="005E59A1" w:rsidRPr="004A29E4">
        <w:rPr>
          <w:rFonts w:ascii="Bookman Old Style" w:hAnsi="Bookman Old Style"/>
          <w:color w:val="auto"/>
        </w:rPr>
        <w:t xml:space="preserve">ompetentes </w:t>
      </w:r>
      <w:r w:rsidR="00212B79" w:rsidRPr="004A29E4">
        <w:rPr>
          <w:rFonts w:ascii="Bookman Old Style" w:hAnsi="Bookman Old Style"/>
          <w:color w:val="auto"/>
        </w:rPr>
        <w:t xml:space="preserve">del Convenio </w:t>
      </w:r>
      <w:r w:rsidR="005E59A1" w:rsidRPr="004A29E4">
        <w:rPr>
          <w:rFonts w:ascii="Bookman Old Style" w:hAnsi="Bookman Old Style"/>
          <w:color w:val="auto"/>
        </w:rPr>
        <w:t xml:space="preserve">deben aplicar el procedimiento </w:t>
      </w:r>
      <w:r w:rsidR="00212B79" w:rsidRPr="004A29E4">
        <w:rPr>
          <w:rFonts w:ascii="Bookman Old Style" w:hAnsi="Bookman Old Style"/>
          <w:color w:val="auto"/>
        </w:rPr>
        <w:t xml:space="preserve">del artículo 9 de la Ley 1112/2006 </w:t>
      </w:r>
      <w:r w:rsidR="005E59A1" w:rsidRPr="004A29E4">
        <w:rPr>
          <w:rFonts w:ascii="Bookman Old Style" w:hAnsi="Bookman Old Style"/>
          <w:color w:val="auto"/>
        </w:rPr>
        <w:t xml:space="preserve">para el reconocimiento de la pensión teórica y el pago de la pensión prorrata. </w:t>
      </w:r>
      <w:r w:rsidR="005D64F2" w:rsidRPr="004A29E4">
        <w:rPr>
          <w:rFonts w:ascii="Bookman Old Style" w:hAnsi="Bookman Old Style"/>
          <w:color w:val="auto"/>
        </w:rPr>
        <w:t xml:space="preserve">Por lo </w:t>
      </w:r>
      <w:r w:rsidR="00212B79" w:rsidRPr="004A29E4">
        <w:rPr>
          <w:rFonts w:ascii="Bookman Old Style" w:hAnsi="Bookman Old Style"/>
          <w:color w:val="auto"/>
        </w:rPr>
        <w:t>que, e</w:t>
      </w:r>
      <w:r w:rsidR="005E59A1" w:rsidRPr="004A29E4">
        <w:rPr>
          <w:rFonts w:ascii="Bookman Old Style" w:hAnsi="Bookman Old Style"/>
          <w:color w:val="auto"/>
        </w:rPr>
        <w:t xml:space="preserve">n todo caso, la suma de las pensiones prorratas no </w:t>
      </w:r>
      <w:r w:rsidR="00212B79" w:rsidRPr="004A29E4">
        <w:rPr>
          <w:rFonts w:ascii="Bookman Old Style" w:hAnsi="Bookman Old Style"/>
          <w:color w:val="auto"/>
        </w:rPr>
        <w:t xml:space="preserve">pueden </w:t>
      </w:r>
      <w:r w:rsidR="005E59A1" w:rsidRPr="004A29E4">
        <w:rPr>
          <w:rFonts w:ascii="Bookman Old Style" w:hAnsi="Bookman Old Style"/>
          <w:color w:val="auto"/>
        </w:rPr>
        <w:t>ser inferior</w:t>
      </w:r>
      <w:r w:rsidR="00212B79" w:rsidRPr="004A29E4">
        <w:rPr>
          <w:rFonts w:ascii="Bookman Old Style" w:hAnsi="Bookman Old Style"/>
          <w:color w:val="auto"/>
        </w:rPr>
        <w:t>es</w:t>
      </w:r>
      <w:r w:rsidR="005E59A1" w:rsidRPr="004A29E4">
        <w:rPr>
          <w:rFonts w:ascii="Bookman Old Style" w:hAnsi="Bookman Old Style"/>
          <w:color w:val="auto"/>
        </w:rPr>
        <w:t xml:space="preserve"> a un </w:t>
      </w:r>
      <w:proofErr w:type="spellStart"/>
      <w:r w:rsidR="00212B79" w:rsidRPr="004A29E4">
        <w:rPr>
          <w:rFonts w:ascii="Bookman Old Style" w:hAnsi="Bookman Old Style"/>
          <w:color w:val="auto"/>
        </w:rPr>
        <w:t>SMLV</w:t>
      </w:r>
      <w:proofErr w:type="spellEnd"/>
      <w:r w:rsidR="005D64F2" w:rsidRPr="004A29E4">
        <w:rPr>
          <w:rFonts w:ascii="Bookman Old Style" w:hAnsi="Bookman Old Style"/>
          <w:color w:val="auto"/>
        </w:rPr>
        <w:t xml:space="preserve"> en Colombia</w:t>
      </w:r>
      <w:r w:rsidR="00F04106" w:rsidRPr="004A29E4">
        <w:rPr>
          <w:rFonts w:ascii="Bookman Old Style" w:hAnsi="Bookman Old Style"/>
          <w:color w:val="auto"/>
        </w:rPr>
        <w:t xml:space="preserve"> que corresponde a la pensión teórica.</w:t>
      </w:r>
    </w:p>
    <w:p w14:paraId="73A18012" w14:textId="77777777" w:rsidR="002A0A88" w:rsidRPr="004A29E4" w:rsidRDefault="002A0A88" w:rsidP="004A29E4">
      <w:pPr>
        <w:spacing w:line="276" w:lineRule="auto"/>
        <w:ind w:firstLine="567"/>
        <w:rPr>
          <w:rFonts w:ascii="Bookman Old Style" w:hAnsi="Bookman Old Style"/>
          <w:color w:val="auto"/>
        </w:rPr>
      </w:pPr>
    </w:p>
    <w:p w14:paraId="4A6C2AF0" w14:textId="28970C9D" w:rsidR="00852C82" w:rsidRPr="004A29E4" w:rsidRDefault="00852C82" w:rsidP="004A29E4">
      <w:pPr>
        <w:spacing w:line="276" w:lineRule="auto"/>
        <w:rPr>
          <w:rFonts w:ascii="Bookman Old Style" w:hAnsi="Bookman Old Style"/>
          <w:b/>
          <w:bCs/>
        </w:rPr>
      </w:pPr>
      <w:r w:rsidRPr="004A29E4">
        <w:rPr>
          <w:rFonts w:ascii="Bookman Old Style" w:hAnsi="Bookman Old Style"/>
          <w:b/>
          <w:bCs/>
        </w:rPr>
        <w:t>Solución del caso.</w:t>
      </w:r>
    </w:p>
    <w:p w14:paraId="58ED1A2A" w14:textId="77777777" w:rsidR="00852C82" w:rsidRPr="004A29E4" w:rsidRDefault="00852C82" w:rsidP="004A29E4">
      <w:pPr>
        <w:spacing w:line="276" w:lineRule="auto"/>
        <w:ind w:firstLine="567"/>
        <w:rPr>
          <w:rFonts w:ascii="Bookman Old Style" w:hAnsi="Bookman Old Style"/>
          <w:color w:val="auto"/>
        </w:rPr>
      </w:pPr>
    </w:p>
    <w:p w14:paraId="6E6D797E" w14:textId="4F5D0BCE" w:rsidR="00351132" w:rsidRPr="004A29E4" w:rsidRDefault="00EC227C" w:rsidP="004A29E4">
      <w:pPr>
        <w:spacing w:line="276" w:lineRule="auto"/>
        <w:ind w:firstLine="567"/>
        <w:rPr>
          <w:rFonts w:ascii="Bookman Old Style" w:hAnsi="Bookman Old Style"/>
          <w:color w:val="auto"/>
        </w:rPr>
      </w:pPr>
      <w:r w:rsidRPr="004A29E4">
        <w:rPr>
          <w:rFonts w:ascii="Bookman Old Style" w:hAnsi="Bookman Old Style"/>
          <w:color w:val="auto"/>
        </w:rPr>
        <w:t xml:space="preserve">Conforme a lo planteado, </w:t>
      </w:r>
      <w:r w:rsidR="00651967" w:rsidRPr="004A29E4">
        <w:rPr>
          <w:rFonts w:ascii="Bookman Old Style" w:hAnsi="Bookman Old Style"/>
          <w:color w:val="auto"/>
        </w:rPr>
        <w:t xml:space="preserve">se tiene que </w:t>
      </w:r>
      <w:r w:rsidR="005F6B46" w:rsidRPr="004A29E4">
        <w:rPr>
          <w:rFonts w:ascii="Bookman Old Style" w:hAnsi="Bookman Old Style"/>
          <w:color w:val="auto"/>
        </w:rPr>
        <w:t xml:space="preserve">a </w:t>
      </w:r>
      <w:r w:rsidR="00651967" w:rsidRPr="004A29E4">
        <w:rPr>
          <w:rFonts w:ascii="Bookman Old Style" w:hAnsi="Bookman Old Style"/>
          <w:color w:val="auto"/>
        </w:rPr>
        <w:t xml:space="preserve">la señora Castaño Gómez, </w:t>
      </w:r>
      <w:r w:rsidR="00AE5334" w:rsidRPr="004A29E4">
        <w:rPr>
          <w:rFonts w:ascii="Bookman Old Style" w:hAnsi="Bookman Old Style"/>
          <w:color w:val="auto"/>
        </w:rPr>
        <w:t xml:space="preserve">nacida el </w:t>
      </w:r>
      <w:r w:rsidR="00AE5334" w:rsidRPr="004A29E4">
        <w:rPr>
          <w:rFonts w:ascii="Bookman Old Style" w:hAnsi="Bookman Old Style"/>
          <w:b/>
          <w:bCs/>
          <w:color w:val="auto"/>
        </w:rPr>
        <w:t>2 de octubre de 1959</w:t>
      </w:r>
      <w:r w:rsidR="00AE5334" w:rsidRPr="004A29E4">
        <w:rPr>
          <w:rFonts w:ascii="Bookman Old Style" w:hAnsi="Bookman Old Style"/>
          <w:color w:val="auto"/>
        </w:rPr>
        <w:t xml:space="preserve"> (archivo 3, pág. 12) acreditó la edad de 57 años, en igual día y mes del año 2016 y, sin existir discusión que ésta no alcanzó a generar la pensión mínima de que trata el </w:t>
      </w:r>
      <w:r w:rsidR="002A0A88" w:rsidRPr="004A29E4">
        <w:rPr>
          <w:rFonts w:ascii="Bookman Old Style" w:hAnsi="Bookman Old Style"/>
          <w:color w:val="auto"/>
        </w:rPr>
        <w:t>artículo</w:t>
      </w:r>
      <w:r w:rsidR="00AE5334" w:rsidRPr="004A29E4">
        <w:rPr>
          <w:rFonts w:ascii="Bookman Old Style" w:hAnsi="Bookman Old Style"/>
          <w:color w:val="auto"/>
        </w:rPr>
        <w:t xml:space="preserve"> 35 de la Ley 100 de 1993, para obtener la garantía de pensión mínima de que trata el </w:t>
      </w:r>
      <w:r w:rsidR="002720E1" w:rsidRPr="004A29E4">
        <w:rPr>
          <w:rFonts w:ascii="Bookman Old Style" w:hAnsi="Bookman Old Style"/>
          <w:color w:val="auto"/>
        </w:rPr>
        <w:t>artículo</w:t>
      </w:r>
      <w:r w:rsidR="00AE5334" w:rsidRPr="004A29E4">
        <w:rPr>
          <w:rFonts w:ascii="Bookman Old Style" w:hAnsi="Bookman Old Style"/>
          <w:color w:val="auto"/>
        </w:rPr>
        <w:t xml:space="preserve"> 65 </w:t>
      </w:r>
      <w:r w:rsidR="002720E1" w:rsidRPr="004A29E4">
        <w:rPr>
          <w:rFonts w:ascii="Bookman Old Style" w:hAnsi="Bookman Old Style"/>
          <w:color w:val="auto"/>
        </w:rPr>
        <w:t>ibíd.</w:t>
      </w:r>
      <w:r w:rsidR="00AE5334" w:rsidRPr="004A29E4">
        <w:rPr>
          <w:rFonts w:ascii="Bookman Old Style" w:hAnsi="Bookman Old Style"/>
          <w:color w:val="auto"/>
        </w:rPr>
        <w:t xml:space="preserve">, por lo menos </w:t>
      </w:r>
      <w:r w:rsidR="009A51ED" w:rsidRPr="004A29E4">
        <w:rPr>
          <w:rFonts w:ascii="Bookman Old Style" w:hAnsi="Bookman Old Style"/>
          <w:color w:val="auto"/>
        </w:rPr>
        <w:t xml:space="preserve">debía acreditar un rigor de </w:t>
      </w:r>
      <w:r w:rsidR="009A51ED" w:rsidRPr="004A29E4">
        <w:rPr>
          <w:rFonts w:ascii="Bookman Old Style" w:hAnsi="Bookman Old Style"/>
          <w:b/>
          <w:bCs/>
          <w:color w:val="auto"/>
        </w:rPr>
        <w:t>1150 semanas</w:t>
      </w:r>
      <w:r w:rsidR="009A51ED" w:rsidRPr="004A29E4">
        <w:rPr>
          <w:rFonts w:ascii="Bookman Old Style" w:hAnsi="Bookman Old Style"/>
          <w:color w:val="auto"/>
        </w:rPr>
        <w:t xml:space="preserve"> en total</w:t>
      </w:r>
      <w:r w:rsidR="00706817" w:rsidRPr="004A29E4">
        <w:rPr>
          <w:rFonts w:ascii="Bookman Old Style" w:hAnsi="Bookman Old Style"/>
          <w:color w:val="auto"/>
        </w:rPr>
        <w:t xml:space="preserve"> en Colombia.</w:t>
      </w:r>
      <w:r w:rsidR="00351132" w:rsidRPr="004A29E4">
        <w:rPr>
          <w:rFonts w:ascii="Bookman Old Style" w:hAnsi="Bookman Old Style"/>
          <w:color w:val="auto"/>
        </w:rPr>
        <w:t xml:space="preserve"> </w:t>
      </w:r>
    </w:p>
    <w:p w14:paraId="7C230142" w14:textId="77777777" w:rsidR="00351132" w:rsidRPr="004A29E4" w:rsidRDefault="00351132" w:rsidP="004A29E4">
      <w:pPr>
        <w:spacing w:line="276" w:lineRule="auto"/>
        <w:ind w:firstLine="567"/>
        <w:rPr>
          <w:rFonts w:ascii="Bookman Old Style" w:hAnsi="Bookman Old Style"/>
          <w:color w:val="auto"/>
        </w:rPr>
      </w:pPr>
    </w:p>
    <w:p w14:paraId="202F703C" w14:textId="11149C52" w:rsidR="00651967" w:rsidRPr="004A29E4" w:rsidRDefault="00351132" w:rsidP="004A29E4">
      <w:pPr>
        <w:spacing w:line="276" w:lineRule="auto"/>
        <w:ind w:firstLine="567"/>
        <w:rPr>
          <w:rFonts w:ascii="Bookman Old Style" w:hAnsi="Bookman Old Style"/>
          <w:color w:val="auto"/>
        </w:rPr>
      </w:pPr>
      <w:r w:rsidRPr="004A29E4">
        <w:rPr>
          <w:rFonts w:ascii="Bookman Old Style" w:hAnsi="Bookman Old Style"/>
          <w:color w:val="auto"/>
        </w:rPr>
        <w:t>Ahora, c</w:t>
      </w:r>
      <w:r w:rsidR="00706817" w:rsidRPr="004A29E4">
        <w:rPr>
          <w:rFonts w:ascii="Bookman Old Style" w:hAnsi="Bookman Old Style"/>
          <w:color w:val="auto"/>
        </w:rPr>
        <w:t xml:space="preserve">omoquiera que la </w:t>
      </w:r>
      <w:r w:rsidRPr="004A29E4">
        <w:rPr>
          <w:rFonts w:ascii="Bookman Old Style" w:hAnsi="Bookman Old Style"/>
          <w:color w:val="auto"/>
        </w:rPr>
        <w:t xml:space="preserve">actora </w:t>
      </w:r>
      <w:r w:rsidR="00706817" w:rsidRPr="004A29E4">
        <w:rPr>
          <w:rFonts w:ascii="Bookman Old Style" w:hAnsi="Bookman Old Style"/>
          <w:color w:val="auto"/>
        </w:rPr>
        <w:t xml:space="preserve">apenas contaba con </w:t>
      </w:r>
      <w:r w:rsidR="00706817" w:rsidRPr="004A29E4">
        <w:rPr>
          <w:rFonts w:ascii="Bookman Old Style" w:hAnsi="Bookman Old Style"/>
          <w:b/>
          <w:bCs/>
          <w:color w:val="auto"/>
        </w:rPr>
        <w:t>918 semanas</w:t>
      </w:r>
      <w:r w:rsidR="00706817" w:rsidRPr="004A29E4">
        <w:rPr>
          <w:rStyle w:val="Refdenotaalpie"/>
          <w:rFonts w:ascii="Bookman Old Style" w:hAnsi="Bookman Old Style"/>
          <w:color w:val="auto"/>
        </w:rPr>
        <w:footnoteReference w:id="1"/>
      </w:r>
      <w:r w:rsidR="00706817" w:rsidRPr="004A29E4">
        <w:rPr>
          <w:rFonts w:ascii="Bookman Old Style" w:hAnsi="Bookman Old Style"/>
          <w:color w:val="auto"/>
        </w:rPr>
        <w:t xml:space="preserve"> de las 1150 que requería, para poder aspirar a que le fuera reconocida la garantía de pensión mínima, necesariamente tenía que acudir a la sumatoria de tiempos que le permite el Convenio bilateral entre Colombia y el Reino de España. Conforme a ello, </w:t>
      </w:r>
      <w:r w:rsidR="005F6B46" w:rsidRPr="004A29E4">
        <w:rPr>
          <w:rFonts w:ascii="Bookman Old Style" w:hAnsi="Bookman Old Style"/>
          <w:color w:val="auto"/>
        </w:rPr>
        <w:t>le fue reconocida la prestación teniendo en cuenta los tiempos de cotización en ambas Naciones (archivo 03, página 24-25)</w:t>
      </w:r>
      <w:r w:rsidR="00F47A11" w:rsidRPr="004A29E4">
        <w:rPr>
          <w:rFonts w:ascii="Bookman Old Style" w:hAnsi="Bookman Old Style"/>
          <w:color w:val="auto"/>
        </w:rPr>
        <w:t xml:space="preserve">, </w:t>
      </w:r>
      <w:r w:rsidR="00F47A11" w:rsidRPr="004A29E4">
        <w:rPr>
          <w:rFonts w:ascii="Bookman Old Style" w:hAnsi="Bookman Old Style"/>
          <w:color w:val="auto"/>
        </w:rPr>
        <w:lastRenderedPageBreak/>
        <w:t xml:space="preserve">siendo para el caso </w:t>
      </w:r>
      <w:r w:rsidRPr="004A29E4">
        <w:rPr>
          <w:rFonts w:ascii="Bookman Old Style" w:hAnsi="Bookman Old Style"/>
          <w:color w:val="auto"/>
        </w:rPr>
        <w:t xml:space="preserve">un total de </w:t>
      </w:r>
      <w:r w:rsidRPr="004A29E4">
        <w:rPr>
          <w:rFonts w:ascii="Bookman Old Style" w:hAnsi="Bookman Old Style"/>
          <w:b/>
          <w:bCs/>
          <w:color w:val="auto"/>
        </w:rPr>
        <w:t>918</w:t>
      </w:r>
      <w:r w:rsidR="00F47A11" w:rsidRPr="004A29E4">
        <w:rPr>
          <w:rStyle w:val="Refdenotaalpie"/>
          <w:rFonts w:ascii="Bookman Old Style" w:hAnsi="Bookman Old Style"/>
          <w:color w:val="auto"/>
        </w:rPr>
        <w:footnoteReference w:id="2"/>
      </w:r>
      <w:r w:rsidR="0028627D" w:rsidRPr="004A29E4">
        <w:rPr>
          <w:rFonts w:ascii="Bookman Old Style" w:hAnsi="Bookman Old Style"/>
          <w:color w:val="auto"/>
        </w:rPr>
        <w:t xml:space="preserve"> </w:t>
      </w:r>
      <w:r w:rsidR="00651967" w:rsidRPr="004A29E4">
        <w:rPr>
          <w:rFonts w:ascii="Bookman Old Style" w:hAnsi="Bookman Old Style"/>
          <w:b/>
          <w:bCs/>
          <w:color w:val="auto"/>
        </w:rPr>
        <w:t>semanas</w:t>
      </w:r>
      <w:r w:rsidR="00651967" w:rsidRPr="004A29E4">
        <w:rPr>
          <w:rFonts w:ascii="Bookman Old Style" w:hAnsi="Bookman Old Style"/>
          <w:color w:val="auto"/>
        </w:rPr>
        <w:t xml:space="preserve"> en Colombia </w:t>
      </w:r>
      <w:r w:rsidRPr="004A29E4">
        <w:rPr>
          <w:rFonts w:ascii="Bookman Old Style" w:hAnsi="Bookman Old Style"/>
          <w:color w:val="auto"/>
        </w:rPr>
        <w:t xml:space="preserve">en el </w:t>
      </w:r>
      <w:proofErr w:type="spellStart"/>
      <w:r w:rsidR="0028627D" w:rsidRPr="004A29E4">
        <w:rPr>
          <w:rFonts w:ascii="Bookman Old Style" w:hAnsi="Bookman Old Style"/>
          <w:color w:val="auto"/>
        </w:rPr>
        <w:t>RAIS</w:t>
      </w:r>
      <w:proofErr w:type="spellEnd"/>
      <w:r w:rsidR="0028627D" w:rsidRPr="004A29E4">
        <w:rPr>
          <w:rFonts w:ascii="Bookman Old Style" w:hAnsi="Bookman Old Style"/>
          <w:color w:val="auto"/>
        </w:rPr>
        <w:t xml:space="preserve"> a través de Porvenir </w:t>
      </w:r>
      <w:proofErr w:type="spellStart"/>
      <w:r w:rsidR="0028627D" w:rsidRPr="004A29E4">
        <w:rPr>
          <w:rFonts w:ascii="Bookman Old Style" w:hAnsi="Bookman Old Style"/>
          <w:color w:val="auto"/>
        </w:rPr>
        <w:t>S.A</w:t>
      </w:r>
      <w:proofErr w:type="spellEnd"/>
      <w:r w:rsidR="0028627D" w:rsidRPr="004A29E4">
        <w:rPr>
          <w:rFonts w:ascii="Bookman Old Style" w:hAnsi="Bookman Old Style"/>
          <w:color w:val="auto"/>
        </w:rPr>
        <w:t xml:space="preserve"> </w:t>
      </w:r>
      <w:r w:rsidR="00651967" w:rsidRPr="004A29E4">
        <w:rPr>
          <w:rFonts w:ascii="Bookman Old Style" w:hAnsi="Bookman Old Style"/>
          <w:color w:val="auto"/>
        </w:rPr>
        <w:t xml:space="preserve">y cotizó en el Reino de España un total de </w:t>
      </w:r>
      <w:r w:rsidRPr="004A29E4">
        <w:rPr>
          <w:rFonts w:ascii="Bookman Old Style" w:hAnsi="Bookman Old Style"/>
          <w:b/>
          <w:bCs/>
          <w:color w:val="auto"/>
        </w:rPr>
        <w:t>665.85</w:t>
      </w:r>
      <w:r w:rsidR="00F47A11" w:rsidRPr="004A29E4">
        <w:rPr>
          <w:rStyle w:val="Refdenotaalpie"/>
          <w:rFonts w:ascii="Bookman Old Style" w:hAnsi="Bookman Old Style"/>
          <w:color w:val="auto"/>
        </w:rPr>
        <w:footnoteReference w:id="3"/>
      </w:r>
      <w:r w:rsidRPr="004A29E4">
        <w:rPr>
          <w:rFonts w:ascii="Bookman Old Style" w:hAnsi="Bookman Old Style"/>
          <w:b/>
          <w:bCs/>
          <w:color w:val="auto"/>
        </w:rPr>
        <w:t xml:space="preserve"> semanas</w:t>
      </w:r>
      <w:r w:rsidR="00651967" w:rsidRPr="004A29E4">
        <w:rPr>
          <w:rFonts w:ascii="Bookman Old Style" w:hAnsi="Bookman Old Style"/>
          <w:color w:val="auto"/>
        </w:rPr>
        <w:t>, como se refleja en el formulario ES/CO 02</w:t>
      </w:r>
      <w:r w:rsidR="008120F5" w:rsidRPr="004A29E4">
        <w:rPr>
          <w:rFonts w:ascii="Bookman Old Style" w:hAnsi="Bookman Old Style"/>
          <w:color w:val="auto"/>
        </w:rPr>
        <w:t xml:space="preserve"> [</w:t>
      </w:r>
      <w:r w:rsidR="008120F5" w:rsidRPr="004A29E4">
        <w:rPr>
          <w:rFonts w:ascii="Bookman Old Style" w:hAnsi="Bookman Old Style"/>
        </w:rPr>
        <w:t xml:space="preserve">Archivo 11, </w:t>
      </w:r>
      <w:r w:rsidR="002A0A88" w:rsidRPr="004A29E4">
        <w:rPr>
          <w:rFonts w:ascii="Bookman Old Style" w:hAnsi="Bookman Old Style"/>
        </w:rPr>
        <w:t>página</w:t>
      </w:r>
      <w:r w:rsidR="008120F5" w:rsidRPr="004A29E4">
        <w:rPr>
          <w:rFonts w:ascii="Bookman Old Style" w:hAnsi="Bookman Old Style"/>
        </w:rPr>
        <w:t xml:space="preserve"> 18-30]</w:t>
      </w:r>
      <w:r w:rsidR="00651967" w:rsidRPr="004A29E4">
        <w:rPr>
          <w:rFonts w:ascii="Bookman Old Style" w:hAnsi="Bookman Old Style"/>
          <w:color w:val="auto"/>
        </w:rPr>
        <w:t xml:space="preserve">, es decir que totalizando ambos períodos, alcanzó un total de </w:t>
      </w:r>
      <w:r w:rsidRPr="004A29E4">
        <w:rPr>
          <w:rFonts w:ascii="Bookman Old Style" w:hAnsi="Bookman Old Style"/>
          <w:color w:val="auto"/>
        </w:rPr>
        <w:t>1583.85 semanas</w:t>
      </w:r>
      <w:r w:rsidR="00651967" w:rsidRPr="004A29E4">
        <w:rPr>
          <w:rFonts w:ascii="Bookman Old Style" w:hAnsi="Bookman Old Style"/>
          <w:color w:val="auto"/>
        </w:rPr>
        <w:t>.</w:t>
      </w:r>
    </w:p>
    <w:p w14:paraId="1DE27616" w14:textId="77777777" w:rsidR="00651967" w:rsidRPr="004A29E4" w:rsidRDefault="00651967" w:rsidP="004A29E4">
      <w:pPr>
        <w:spacing w:line="276" w:lineRule="auto"/>
        <w:ind w:firstLine="567"/>
        <w:rPr>
          <w:rFonts w:ascii="Bookman Old Style" w:hAnsi="Bookman Old Style"/>
          <w:color w:val="auto"/>
        </w:rPr>
      </w:pPr>
    </w:p>
    <w:p w14:paraId="40FB0E85" w14:textId="36425BFF" w:rsidR="00DD76B0" w:rsidRPr="004A29E4" w:rsidRDefault="00DD76B0" w:rsidP="004A29E4">
      <w:pPr>
        <w:spacing w:line="276" w:lineRule="auto"/>
        <w:ind w:firstLine="567"/>
        <w:rPr>
          <w:rFonts w:ascii="Bookman Old Style" w:hAnsi="Bookman Old Style" w:cs="Tahoma"/>
          <w:lang w:eastAsia="es-CO"/>
        </w:rPr>
      </w:pPr>
      <w:r w:rsidRPr="004A29E4">
        <w:rPr>
          <w:rFonts w:ascii="Bookman Old Style" w:hAnsi="Bookman Old Style"/>
          <w:color w:val="auto"/>
        </w:rPr>
        <w:t xml:space="preserve">Por lo tanto, con la sumatoria de semanas en ambos países, se alcanza la densidad de cotizaciones exigidas para causar el derecho </w:t>
      </w:r>
      <w:r w:rsidR="003314A0" w:rsidRPr="004A29E4">
        <w:rPr>
          <w:rFonts w:ascii="Bookman Old Style" w:hAnsi="Bookman Old Style"/>
          <w:color w:val="auto"/>
        </w:rPr>
        <w:t>a la garantía de pensión mínima</w:t>
      </w:r>
      <w:r w:rsidRPr="004A29E4">
        <w:rPr>
          <w:rFonts w:ascii="Bookman Old Style" w:hAnsi="Bookman Old Style"/>
          <w:color w:val="auto"/>
        </w:rPr>
        <w:t xml:space="preserve">, </w:t>
      </w:r>
      <w:r w:rsidR="003314A0" w:rsidRPr="004A29E4">
        <w:rPr>
          <w:rFonts w:ascii="Bookman Old Style" w:hAnsi="Bookman Old Style"/>
          <w:color w:val="auto"/>
        </w:rPr>
        <w:t xml:space="preserve">donde el salario mínimo legal en Colombia </w:t>
      </w:r>
      <w:r w:rsidRPr="004A29E4">
        <w:rPr>
          <w:rFonts w:ascii="Bookman Old Style" w:hAnsi="Bookman Old Style" w:cs="Tahoma"/>
          <w:lang w:eastAsia="es-CO"/>
        </w:rPr>
        <w:t xml:space="preserve">corresponde a la </w:t>
      </w:r>
      <w:r w:rsidRPr="004A29E4">
        <w:rPr>
          <w:rFonts w:ascii="Bookman Old Style" w:hAnsi="Bookman Old Style" w:cs="Tahoma"/>
          <w:b/>
          <w:bCs/>
          <w:u w:val="single"/>
          <w:lang w:eastAsia="es-CO"/>
        </w:rPr>
        <w:t>pensión teórica</w:t>
      </w:r>
      <w:r w:rsidRPr="004A29E4">
        <w:rPr>
          <w:rFonts w:ascii="Bookman Old Style" w:hAnsi="Bookman Old Style" w:cs="Tahoma"/>
          <w:lang w:eastAsia="es-CO"/>
        </w:rPr>
        <w:t xml:space="preserve">, </w:t>
      </w:r>
      <w:r w:rsidR="003314A0" w:rsidRPr="004A29E4">
        <w:rPr>
          <w:rFonts w:ascii="Bookman Old Style" w:hAnsi="Bookman Old Style" w:cs="Tahoma"/>
          <w:lang w:eastAsia="es-CO"/>
        </w:rPr>
        <w:t xml:space="preserve">estando </w:t>
      </w:r>
      <w:r w:rsidRPr="004A29E4">
        <w:rPr>
          <w:rFonts w:ascii="Bookman Old Style" w:hAnsi="Bookman Old Style" w:cs="Tahoma"/>
          <w:lang w:eastAsia="es-CO"/>
        </w:rPr>
        <w:t xml:space="preserve">a cargo de </w:t>
      </w:r>
      <w:r w:rsidR="003314A0" w:rsidRPr="004A29E4">
        <w:rPr>
          <w:rFonts w:ascii="Bookman Old Style" w:hAnsi="Bookman Old Style" w:cs="Tahoma"/>
          <w:lang w:eastAsia="es-CO"/>
        </w:rPr>
        <w:t xml:space="preserve">Porvenir S.A. </w:t>
      </w:r>
      <w:r w:rsidRPr="004A29E4">
        <w:rPr>
          <w:rFonts w:ascii="Bookman Old Style" w:hAnsi="Bookman Old Style" w:cs="Tahoma"/>
          <w:lang w:eastAsia="es-CO"/>
        </w:rPr>
        <w:t xml:space="preserve">únicamente el valor de la </w:t>
      </w:r>
      <w:r w:rsidRPr="004A29E4">
        <w:rPr>
          <w:rFonts w:ascii="Bookman Old Style" w:hAnsi="Bookman Old Style" w:cs="Tahoma"/>
          <w:b/>
          <w:bCs/>
          <w:u w:val="single"/>
          <w:lang w:eastAsia="es-CO"/>
        </w:rPr>
        <w:t>pensión prorrata</w:t>
      </w:r>
      <w:r w:rsidRPr="004A29E4">
        <w:rPr>
          <w:rFonts w:ascii="Bookman Old Style" w:hAnsi="Bookman Old Style" w:cs="Tahoma"/>
          <w:lang w:eastAsia="es-CO"/>
        </w:rPr>
        <w:t xml:space="preserve">, esto es la que corresponde a los aportes efectuados en Colombia. Como se totalizan </w:t>
      </w:r>
      <w:r w:rsidR="003E4D6D" w:rsidRPr="004A29E4">
        <w:rPr>
          <w:rFonts w:ascii="Bookman Old Style" w:hAnsi="Bookman Old Style" w:cs="Tahoma"/>
          <w:lang w:eastAsia="es-CO"/>
        </w:rPr>
        <w:t>918</w:t>
      </w:r>
      <w:r w:rsidRPr="004A29E4">
        <w:rPr>
          <w:rFonts w:ascii="Bookman Old Style" w:hAnsi="Bookman Old Style" w:cs="Tahoma"/>
          <w:lang w:eastAsia="es-CO"/>
        </w:rPr>
        <w:t xml:space="preserve"> </w:t>
      </w:r>
      <w:r w:rsidR="003E4D6D" w:rsidRPr="004A29E4">
        <w:rPr>
          <w:rFonts w:ascii="Bookman Old Style" w:hAnsi="Bookman Old Style" w:cs="Tahoma"/>
          <w:lang w:eastAsia="es-CO"/>
        </w:rPr>
        <w:t xml:space="preserve">semanas </w:t>
      </w:r>
      <w:r w:rsidRPr="004A29E4">
        <w:rPr>
          <w:rFonts w:ascii="Bookman Old Style" w:hAnsi="Bookman Old Style" w:cs="Tahoma"/>
          <w:lang w:eastAsia="es-CO"/>
        </w:rPr>
        <w:t xml:space="preserve">cotizados en </w:t>
      </w:r>
      <w:r w:rsidR="003E4D6D" w:rsidRPr="004A29E4">
        <w:rPr>
          <w:rFonts w:ascii="Bookman Old Style" w:hAnsi="Bookman Old Style" w:cs="Tahoma"/>
          <w:lang w:eastAsia="es-CO"/>
        </w:rPr>
        <w:t>Porvenir S.A</w:t>
      </w:r>
      <w:r w:rsidR="002A0A88" w:rsidRPr="004A29E4">
        <w:rPr>
          <w:rFonts w:ascii="Bookman Old Style" w:hAnsi="Bookman Old Style" w:cs="Tahoma"/>
          <w:lang w:eastAsia="es-CO"/>
        </w:rPr>
        <w:t>.</w:t>
      </w:r>
      <w:r w:rsidR="003E4D6D" w:rsidRPr="004A29E4">
        <w:rPr>
          <w:rFonts w:ascii="Bookman Old Style" w:hAnsi="Bookman Old Style" w:cs="Tahoma"/>
          <w:lang w:eastAsia="es-CO"/>
        </w:rPr>
        <w:t xml:space="preserve"> </w:t>
      </w:r>
      <w:r w:rsidRPr="004A29E4">
        <w:rPr>
          <w:rFonts w:ascii="Bookman Old Style" w:hAnsi="Bookman Old Style" w:cs="Tahoma"/>
          <w:lang w:eastAsia="es-CO"/>
        </w:rPr>
        <w:t xml:space="preserve">y el total cotizado </w:t>
      </w:r>
      <w:r w:rsidR="003E4D6D" w:rsidRPr="004A29E4">
        <w:rPr>
          <w:rFonts w:ascii="Bookman Old Style" w:hAnsi="Bookman Old Style" w:cs="Tahoma"/>
          <w:lang w:eastAsia="es-CO"/>
        </w:rPr>
        <w:t>es por 1583.85 semanas</w:t>
      </w:r>
      <w:r w:rsidRPr="004A29E4">
        <w:rPr>
          <w:rFonts w:ascii="Bookman Old Style" w:hAnsi="Bookman Old Style" w:cs="Tahoma"/>
          <w:lang w:eastAsia="es-CO"/>
        </w:rPr>
        <w:t xml:space="preserve">, efectuando una regla de tres se obtiene que el valor de la pensión prorrata es el </w:t>
      </w:r>
      <w:r w:rsidR="003E4D6D" w:rsidRPr="004A29E4">
        <w:rPr>
          <w:rFonts w:ascii="Bookman Old Style" w:hAnsi="Bookman Old Style" w:cs="Tahoma"/>
          <w:lang w:eastAsia="es-CO"/>
        </w:rPr>
        <w:t>57</w:t>
      </w:r>
      <w:r w:rsidRPr="004A29E4">
        <w:rPr>
          <w:rFonts w:ascii="Bookman Old Style" w:hAnsi="Bookman Old Style" w:cs="Tahoma"/>
          <w:lang w:eastAsia="es-CO"/>
        </w:rPr>
        <w:t>.</w:t>
      </w:r>
      <w:r w:rsidR="003E4D6D" w:rsidRPr="004A29E4">
        <w:rPr>
          <w:rFonts w:ascii="Bookman Old Style" w:hAnsi="Bookman Old Style" w:cs="Tahoma"/>
          <w:lang w:eastAsia="es-CO"/>
        </w:rPr>
        <w:t>96</w:t>
      </w:r>
      <w:r w:rsidRPr="004A29E4">
        <w:rPr>
          <w:rFonts w:ascii="Bookman Old Style" w:hAnsi="Bookman Old Style" w:cs="Tahoma"/>
          <w:lang w:eastAsia="es-CO"/>
        </w:rPr>
        <w:t>%, debiendo esta entidad pagar únicamente este valor de la pensión, de conformidad con el numeral 3º del artículo 17 de la Ley 1112 inciso segundo, sin importar que este valor sea inferior al salario mínimo vigente, pues cuando se satisfagan los presupuestos señalados en la legislación española, se deberá reconocer el valor restante, por parte de la entidad a cargo en dicho país</w:t>
      </w:r>
      <w:r w:rsidR="003E4D6D" w:rsidRPr="004A29E4">
        <w:rPr>
          <w:rFonts w:ascii="Bookman Old Style" w:hAnsi="Bookman Old Style" w:cs="Tahoma"/>
          <w:lang w:eastAsia="es-CO"/>
        </w:rPr>
        <w:t xml:space="preserve">, </w:t>
      </w:r>
      <w:r w:rsidR="00CC5B5B" w:rsidRPr="004A29E4">
        <w:rPr>
          <w:rFonts w:ascii="Bookman Old Style" w:hAnsi="Bookman Old Style" w:cs="Tahoma"/>
          <w:lang w:eastAsia="es-CO"/>
        </w:rPr>
        <w:t xml:space="preserve">sin perjuicio de que al momento en que la institución española reconozca la pensión, se produzca el </w:t>
      </w:r>
      <w:r w:rsidR="003E4D6D" w:rsidRPr="004A29E4">
        <w:rPr>
          <w:rFonts w:ascii="Bookman Old Style" w:hAnsi="Bookman Old Style" w:cs="Tahoma"/>
          <w:lang w:eastAsia="es-CO"/>
        </w:rPr>
        <w:t>evento del apartado 2 del artículo 17 del Convenio</w:t>
      </w:r>
      <w:r w:rsidR="00CC5B5B" w:rsidRPr="004A29E4">
        <w:rPr>
          <w:rFonts w:ascii="Bookman Old Style" w:hAnsi="Bookman Old Style" w:cs="Tahoma"/>
          <w:lang w:eastAsia="es-CO"/>
        </w:rPr>
        <w:t>,</w:t>
      </w:r>
      <w:r w:rsidR="003E4D6D" w:rsidRPr="004A29E4">
        <w:rPr>
          <w:rFonts w:ascii="Bookman Old Style" w:hAnsi="Bookman Old Style" w:cs="Tahoma"/>
          <w:lang w:eastAsia="es-CO"/>
        </w:rPr>
        <w:t xml:space="preserve"> </w:t>
      </w:r>
      <w:r w:rsidR="00CC5B5B" w:rsidRPr="004A29E4">
        <w:rPr>
          <w:rFonts w:ascii="Bookman Old Style" w:hAnsi="Bookman Old Style" w:cs="Tahoma"/>
          <w:lang w:eastAsia="es-CO"/>
        </w:rPr>
        <w:t>caso en el cual, podría ser recalculada la prestación</w:t>
      </w:r>
      <w:r w:rsidR="004E1E1A" w:rsidRPr="004A29E4">
        <w:rPr>
          <w:rFonts w:ascii="Bookman Old Style" w:hAnsi="Bookman Old Style" w:cs="Tahoma"/>
          <w:lang w:eastAsia="es-CO"/>
        </w:rPr>
        <w:t>.</w:t>
      </w:r>
    </w:p>
    <w:p w14:paraId="59B26FE6" w14:textId="77777777" w:rsidR="00DD76B0" w:rsidRPr="004A29E4" w:rsidRDefault="00DD76B0" w:rsidP="004A29E4">
      <w:pPr>
        <w:spacing w:line="276" w:lineRule="auto"/>
        <w:ind w:firstLine="567"/>
        <w:rPr>
          <w:rFonts w:ascii="Bookman Old Style" w:hAnsi="Bookman Old Style" w:cs="Tahoma"/>
          <w:lang w:eastAsia="es-CO"/>
        </w:rPr>
      </w:pPr>
    </w:p>
    <w:p w14:paraId="64F4262A" w14:textId="24B8640F" w:rsidR="00DD76B0" w:rsidRPr="004A29E4" w:rsidRDefault="00DD76B0" w:rsidP="004A29E4">
      <w:pPr>
        <w:spacing w:line="276" w:lineRule="auto"/>
        <w:ind w:firstLine="567"/>
        <w:rPr>
          <w:rFonts w:ascii="Bookman Old Style" w:hAnsi="Bookman Old Style" w:cs="Tahoma"/>
          <w:lang w:eastAsia="es-CO"/>
        </w:rPr>
      </w:pPr>
      <w:r w:rsidRPr="004A29E4">
        <w:rPr>
          <w:rFonts w:ascii="Bookman Old Style" w:hAnsi="Bookman Old Style" w:cs="Tahoma"/>
          <w:lang w:eastAsia="es-CO"/>
        </w:rPr>
        <w:t xml:space="preserve">Así las cosas, </w:t>
      </w:r>
      <w:r w:rsidR="004E1E1A" w:rsidRPr="004A29E4">
        <w:rPr>
          <w:rFonts w:ascii="Bookman Old Style" w:hAnsi="Bookman Old Style" w:cs="Tahoma"/>
          <w:lang w:eastAsia="es-CO"/>
        </w:rPr>
        <w:t>se ajusta a derecho que Porvenir S.A</w:t>
      </w:r>
      <w:r w:rsidR="002A0A88" w:rsidRPr="004A29E4">
        <w:rPr>
          <w:rFonts w:ascii="Bookman Old Style" w:hAnsi="Bookman Old Style" w:cs="Tahoma"/>
          <w:lang w:eastAsia="es-CO"/>
        </w:rPr>
        <w:t>.</w:t>
      </w:r>
      <w:r w:rsidR="004E1E1A" w:rsidRPr="004A29E4">
        <w:rPr>
          <w:rFonts w:ascii="Bookman Old Style" w:hAnsi="Bookman Old Style" w:cs="Tahoma"/>
          <w:lang w:eastAsia="es-CO"/>
        </w:rPr>
        <w:t xml:space="preserve"> </w:t>
      </w:r>
      <w:r w:rsidR="002A0A88" w:rsidRPr="004A29E4">
        <w:rPr>
          <w:rFonts w:ascii="Bookman Old Style" w:hAnsi="Bookman Old Style" w:cs="Tahoma"/>
          <w:lang w:eastAsia="es-CO"/>
        </w:rPr>
        <w:t>continúe</w:t>
      </w:r>
      <w:r w:rsidR="004E1E1A" w:rsidRPr="004A29E4">
        <w:rPr>
          <w:rFonts w:ascii="Bookman Old Style" w:hAnsi="Bookman Old Style" w:cs="Tahoma"/>
          <w:lang w:eastAsia="es-CO"/>
        </w:rPr>
        <w:t xml:space="preserve"> pagando </w:t>
      </w:r>
      <w:r w:rsidRPr="004A29E4">
        <w:rPr>
          <w:rFonts w:ascii="Bookman Old Style" w:hAnsi="Bookman Old Style" w:cs="Tahoma"/>
          <w:lang w:eastAsia="es-CO"/>
        </w:rPr>
        <w:t>a la actora la pensión prorrata, en la cuantía correspondiente (</w:t>
      </w:r>
      <w:r w:rsidR="004E1E1A" w:rsidRPr="004A29E4">
        <w:rPr>
          <w:rFonts w:ascii="Bookman Old Style" w:hAnsi="Bookman Old Style" w:cs="Tahoma"/>
          <w:lang w:eastAsia="es-CO"/>
        </w:rPr>
        <w:t>57.96</w:t>
      </w:r>
      <w:r w:rsidRPr="004A29E4">
        <w:rPr>
          <w:rFonts w:ascii="Bookman Old Style" w:hAnsi="Bookman Old Style" w:cs="Tahoma"/>
          <w:lang w:eastAsia="es-CO"/>
        </w:rPr>
        <w:t>%), debiendo además remitir la información necesaria por medio de los organismos de enlace correspondientes a las autoridades de seguridad social española para que, cuando se cumplan los supuestos legales de ese país, se reconozca allí la pensión prorrata restante</w:t>
      </w:r>
      <w:r w:rsidR="004E1E1A" w:rsidRPr="004A29E4">
        <w:rPr>
          <w:rFonts w:ascii="Bookman Old Style" w:hAnsi="Bookman Old Style" w:cs="Tahoma"/>
          <w:lang w:eastAsia="es-CO"/>
        </w:rPr>
        <w:t xml:space="preserve">, razón por la cual resulta apropiada la orden dada por la </w:t>
      </w:r>
      <w:r w:rsidR="004E1E1A" w:rsidRPr="004A29E4">
        <w:rPr>
          <w:rFonts w:ascii="Bookman Old Style" w:hAnsi="Bookman Old Style" w:cs="Tahoma"/>
          <w:i/>
          <w:iCs/>
          <w:lang w:eastAsia="es-CO"/>
        </w:rPr>
        <w:t>a quo</w:t>
      </w:r>
      <w:r w:rsidR="004E1E1A" w:rsidRPr="004A29E4">
        <w:rPr>
          <w:rFonts w:ascii="Bookman Old Style" w:hAnsi="Bookman Old Style" w:cs="Tahoma"/>
          <w:lang w:eastAsia="es-CO"/>
        </w:rPr>
        <w:t xml:space="preserve"> en su numeral primero, la cual se confirmará</w:t>
      </w:r>
      <w:r w:rsidR="000229A1" w:rsidRPr="004A29E4">
        <w:rPr>
          <w:rFonts w:ascii="Bookman Old Style" w:hAnsi="Bookman Old Style" w:cs="Tahoma"/>
          <w:lang w:eastAsia="es-CO"/>
        </w:rPr>
        <w:t>, sin asistirle la razón en este punto a la demandada Porvenir S.A.</w:t>
      </w:r>
    </w:p>
    <w:p w14:paraId="7E97AD22" w14:textId="77777777" w:rsidR="00BF086C" w:rsidRPr="004A29E4" w:rsidRDefault="00BF086C" w:rsidP="004A29E4">
      <w:pPr>
        <w:spacing w:line="276" w:lineRule="auto"/>
        <w:ind w:firstLine="567"/>
        <w:rPr>
          <w:rFonts w:ascii="Bookman Old Style" w:hAnsi="Bookman Old Style" w:cs="Tahoma"/>
          <w:lang w:eastAsia="es-CO"/>
        </w:rPr>
      </w:pPr>
    </w:p>
    <w:p w14:paraId="11E6EAEB" w14:textId="6BBCAD47" w:rsidR="00BF086C" w:rsidRPr="004A29E4" w:rsidRDefault="00BF086C" w:rsidP="004A29E4">
      <w:pPr>
        <w:spacing w:line="276" w:lineRule="auto"/>
        <w:ind w:firstLine="567"/>
        <w:rPr>
          <w:rFonts w:ascii="Bookman Old Style" w:hAnsi="Bookman Old Style" w:cs="Tahoma"/>
          <w:lang w:eastAsia="es-CO"/>
        </w:rPr>
      </w:pPr>
      <w:r w:rsidRPr="004A29E4">
        <w:rPr>
          <w:rFonts w:ascii="Bookman Old Style" w:hAnsi="Bookman Old Style" w:cs="Tahoma"/>
          <w:lang w:eastAsia="es-CO"/>
        </w:rPr>
        <w:t xml:space="preserve">Finalmente, en cuanto las costas procesales en atención a la orden anteriormente impartida a Porvenir S.A., no significa que la parte actora hubiere resultado triunfante de las pretensiones de la demanda, </w:t>
      </w:r>
      <w:r w:rsidR="003A47C1" w:rsidRPr="004A29E4">
        <w:rPr>
          <w:rFonts w:ascii="Bookman Old Style" w:hAnsi="Bookman Old Style" w:cs="Tahoma"/>
          <w:lang w:eastAsia="es-CO"/>
        </w:rPr>
        <w:t xml:space="preserve">lo que se hará es revocar </w:t>
      </w:r>
      <w:r w:rsidRPr="004A29E4">
        <w:rPr>
          <w:rFonts w:ascii="Bookman Old Style" w:hAnsi="Bookman Old Style" w:cs="Tahoma"/>
          <w:lang w:eastAsia="es-CO"/>
        </w:rPr>
        <w:t xml:space="preserve">el ordinal cuarto de la sentencia de primera instancia para </w:t>
      </w:r>
      <w:r w:rsidR="003A47C1" w:rsidRPr="004A29E4">
        <w:rPr>
          <w:rFonts w:ascii="Bookman Old Style" w:hAnsi="Bookman Old Style" w:cs="Tahoma"/>
          <w:lang w:eastAsia="es-CO"/>
        </w:rPr>
        <w:t>en su lugar no disponer condena alguna por dicho concepto.</w:t>
      </w:r>
    </w:p>
    <w:p w14:paraId="1F81E084" w14:textId="77777777" w:rsidR="001D08E9" w:rsidRPr="004A29E4" w:rsidRDefault="001D08E9" w:rsidP="004A29E4">
      <w:pPr>
        <w:spacing w:line="276" w:lineRule="auto"/>
        <w:ind w:firstLine="567"/>
        <w:rPr>
          <w:rFonts w:ascii="Bookman Old Style" w:hAnsi="Bookman Old Style" w:cs="Tahoma"/>
          <w:lang w:eastAsia="es-CO"/>
        </w:rPr>
      </w:pPr>
    </w:p>
    <w:p w14:paraId="094B0834" w14:textId="4C0FC307" w:rsidR="001D08E9" w:rsidRPr="004A29E4" w:rsidRDefault="001D08E9" w:rsidP="004A29E4">
      <w:pPr>
        <w:spacing w:line="276" w:lineRule="auto"/>
        <w:ind w:firstLine="567"/>
        <w:rPr>
          <w:rFonts w:ascii="Bookman Old Style" w:hAnsi="Bookman Old Style" w:cs="Tahoma"/>
          <w:lang w:eastAsia="es-CO"/>
        </w:rPr>
      </w:pPr>
      <w:r w:rsidRPr="004A29E4">
        <w:rPr>
          <w:rFonts w:ascii="Bookman Old Style" w:hAnsi="Bookman Old Style" w:cs="Tahoma"/>
          <w:lang w:eastAsia="es-CO"/>
        </w:rPr>
        <w:t>Comoquiera que el recurso de apelación formulado por Porvenir S.A., salió parcialmente avante, en esta instancia no se impondrán costas.</w:t>
      </w:r>
    </w:p>
    <w:p w14:paraId="69518B9C" w14:textId="77777777" w:rsidR="002A0A88" w:rsidRPr="001D00EC" w:rsidRDefault="002A0A88" w:rsidP="001D00EC">
      <w:pPr>
        <w:spacing w:line="276" w:lineRule="auto"/>
        <w:rPr>
          <w:rFonts w:ascii="Bookman Old Style" w:hAnsi="Bookman Old Style"/>
        </w:rPr>
      </w:pPr>
    </w:p>
    <w:p w14:paraId="2A12ACA1" w14:textId="6E19A811" w:rsidR="009A61D3" w:rsidRPr="004A29E4" w:rsidRDefault="009A61D3" w:rsidP="004A29E4">
      <w:pPr>
        <w:spacing w:line="276" w:lineRule="auto"/>
        <w:ind w:firstLine="0"/>
        <w:jc w:val="center"/>
        <w:rPr>
          <w:rFonts w:ascii="Bookman Old Style" w:hAnsi="Bookman Old Style"/>
          <w:b/>
          <w:bCs/>
        </w:rPr>
      </w:pPr>
      <w:r w:rsidRPr="004A29E4">
        <w:rPr>
          <w:rFonts w:ascii="Bookman Old Style" w:hAnsi="Bookman Old Style"/>
          <w:b/>
          <w:bCs/>
        </w:rPr>
        <w:t>DECISIÓN</w:t>
      </w:r>
    </w:p>
    <w:p w14:paraId="3306E1D6" w14:textId="77777777" w:rsidR="009A61D3" w:rsidRPr="004A29E4" w:rsidRDefault="009A61D3" w:rsidP="004A29E4">
      <w:pPr>
        <w:spacing w:line="276" w:lineRule="auto"/>
        <w:rPr>
          <w:rFonts w:ascii="Bookman Old Style" w:hAnsi="Bookman Old Style"/>
        </w:rPr>
      </w:pPr>
    </w:p>
    <w:p w14:paraId="12243356" w14:textId="1312572C" w:rsidR="009A61D3" w:rsidRPr="004A29E4" w:rsidRDefault="009A61D3" w:rsidP="004A29E4">
      <w:pPr>
        <w:spacing w:line="276" w:lineRule="auto"/>
        <w:rPr>
          <w:rFonts w:ascii="Bookman Old Style" w:hAnsi="Bookman Old Style"/>
        </w:rPr>
      </w:pPr>
      <w:r w:rsidRPr="004A29E4">
        <w:rPr>
          <w:rFonts w:ascii="Bookman Old Style" w:hAnsi="Bookman Old Style"/>
        </w:rPr>
        <w:t>En mérito de lo expuesto, la Sala de Decisión Laboral del Tribunal Superior del Distrito Judicial de Pereira, administrando Justicia en nombre de la República de Colombia y por autoridad de la Ley,</w:t>
      </w:r>
    </w:p>
    <w:p w14:paraId="3D67F192" w14:textId="77777777" w:rsidR="009A61D3" w:rsidRPr="004A29E4" w:rsidRDefault="009A61D3" w:rsidP="004A29E4">
      <w:pPr>
        <w:spacing w:line="276" w:lineRule="auto"/>
        <w:rPr>
          <w:rFonts w:ascii="Bookman Old Style" w:hAnsi="Bookman Old Style"/>
        </w:rPr>
      </w:pPr>
    </w:p>
    <w:p w14:paraId="60841953" w14:textId="67A06F4C" w:rsidR="009A61D3" w:rsidRPr="004A29E4" w:rsidRDefault="009A61D3" w:rsidP="004A29E4">
      <w:pPr>
        <w:spacing w:line="276" w:lineRule="auto"/>
        <w:ind w:firstLine="0"/>
        <w:jc w:val="center"/>
        <w:rPr>
          <w:rFonts w:ascii="Bookman Old Style" w:hAnsi="Bookman Old Style"/>
          <w:b/>
          <w:bCs/>
        </w:rPr>
      </w:pPr>
      <w:r w:rsidRPr="004A29E4">
        <w:rPr>
          <w:rFonts w:ascii="Bookman Old Style" w:hAnsi="Bookman Old Style"/>
          <w:b/>
          <w:bCs/>
        </w:rPr>
        <w:t>RESUELVE:</w:t>
      </w:r>
    </w:p>
    <w:p w14:paraId="2B731BB2" w14:textId="77777777" w:rsidR="0048677C" w:rsidRPr="004A29E4" w:rsidRDefault="0048677C" w:rsidP="004A29E4">
      <w:pPr>
        <w:spacing w:line="276" w:lineRule="auto"/>
        <w:ind w:firstLine="0"/>
        <w:jc w:val="center"/>
        <w:rPr>
          <w:rFonts w:ascii="Bookman Old Style" w:hAnsi="Bookman Old Style"/>
          <w:b/>
          <w:bCs/>
        </w:rPr>
      </w:pPr>
    </w:p>
    <w:p w14:paraId="1C4114D8" w14:textId="2AFF3A73" w:rsidR="006679B1" w:rsidRPr="004A29E4" w:rsidRDefault="0048677C" w:rsidP="004A29E4">
      <w:pPr>
        <w:spacing w:line="276" w:lineRule="auto"/>
        <w:rPr>
          <w:rFonts w:ascii="Bookman Old Style" w:hAnsi="Bookman Old Style"/>
        </w:rPr>
      </w:pPr>
      <w:r w:rsidRPr="004A29E4">
        <w:rPr>
          <w:rFonts w:ascii="Bookman Old Style" w:hAnsi="Bookman Old Style"/>
          <w:b/>
          <w:bCs/>
        </w:rPr>
        <w:t xml:space="preserve">PRIMERO: </w:t>
      </w:r>
      <w:r w:rsidR="00A36F19" w:rsidRPr="004A29E4">
        <w:rPr>
          <w:rFonts w:ascii="Bookman Old Style" w:hAnsi="Bookman Old Style"/>
          <w:b/>
          <w:bCs/>
        </w:rPr>
        <w:t>REVOCAR</w:t>
      </w:r>
      <w:r w:rsidR="006679B1" w:rsidRPr="004A29E4">
        <w:rPr>
          <w:rFonts w:ascii="Bookman Old Style" w:hAnsi="Bookman Old Style"/>
        </w:rPr>
        <w:t xml:space="preserve"> el ordinal cuarto de la parte resolutiva de la sentencia en el sentido de </w:t>
      </w:r>
      <w:r w:rsidR="00A36F19" w:rsidRPr="004A29E4">
        <w:rPr>
          <w:rFonts w:ascii="Bookman Old Style" w:hAnsi="Bookman Old Style"/>
        </w:rPr>
        <w:t xml:space="preserve">no condenar en costas </w:t>
      </w:r>
      <w:r w:rsidR="006679B1" w:rsidRPr="004A29E4">
        <w:rPr>
          <w:rFonts w:ascii="Bookman Old Style" w:hAnsi="Bookman Old Style"/>
        </w:rPr>
        <w:t>de primera instancia</w:t>
      </w:r>
      <w:r w:rsidR="00A36F19" w:rsidRPr="004A29E4">
        <w:rPr>
          <w:rFonts w:ascii="Bookman Old Style" w:hAnsi="Bookman Old Style"/>
        </w:rPr>
        <w:t>.</w:t>
      </w:r>
    </w:p>
    <w:p w14:paraId="53FE1F0C" w14:textId="77777777" w:rsidR="006679B1" w:rsidRPr="004A29E4" w:rsidRDefault="006679B1" w:rsidP="004A29E4">
      <w:pPr>
        <w:spacing w:line="276" w:lineRule="auto"/>
        <w:rPr>
          <w:rFonts w:ascii="Bookman Old Style" w:hAnsi="Bookman Old Style"/>
        </w:rPr>
      </w:pPr>
    </w:p>
    <w:p w14:paraId="5027B1B1" w14:textId="77777777" w:rsidR="006679B1" w:rsidRPr="004A29E4" w:rsidRDefault="006679B1" w:rsidP="004A29E4">
      <w:pPr>
        <w:spacing w:line="276" w:lineRule="auto"/>
        <w:rPr>
          <w:rFonts w:ascii="Bookman Old Style" w:hAnsi="Bookman Old Style"/>
        </w:rPr>
      </w:pPr>
      <w:r w:rsidRPr="004A29E4">
        <w:rPr>
          <w:rFonts w:ascii="Bookman Old Style" w:hAnsi="Bookman Old Style"/>
          <w:b/>
          <w:bCs/>
        </w:rPr>
        <w:t>SEGUNDO: CONFIRMAR</w:t>
      </w:r>
      <w:r w:rsidRPr="004A29E4">
        <w:rPr>
          <w:rFonts w:ascii="Bookman Old Style" w:hAnsi="Bookman Old Style"/>
        </w:rPr>
        <w:t xml:space="preserve"> la sentencia en lo demás.</w:t>
      </w:r>
    </w:p>
    <w:p w14:paraId="20008704" w14:textId="77777777" w:rsidR="006679B1" w:rsidRPr="004A29E4" w:rsidRDefault="006679B1" w:rsidP="004A29E4">
      <w:pPr>
        <w:spacing w:line="276" w:lineRule="auto"/>
        <w:rPr>
          <w:rFonts w:ascii="Bookman Old Style" w:hAnsi="Bookman Old Style"/>
        </w:rPr>
      </w:pPr>
    </w:p>
    <w:p w14:paraId="63BCA844" w14:textId="343198EA" w:rsidR="0048677C" w:rsidRPr="004A29E4" w:rsidRDefault="006679B1" w:rsidP="004A29E4">
      <w:pPr>
        <w:spacing w:line="276" w:lineRule="auto"/>
        <w:rPr>
          <w:rFonts w:ascii="Bookman Old Style" w:hAnsi="Bookman Old Style"/>
        </w:rPr>
      </w:pPr>
      <w:r w:rsidRPr="004A29E4">
        <w:rPr>
          <w:rFonts w:ascii="Bookman Old Style" w:hAnsi="Bookman Old Style"/>
          <w:b/>
          <w:bCs/>
        </w:rPr>
        <w:t xml:space="preserve">TERCERO: </w:t>
      </w:r>
      <w:r w:rsidRPr="004A29E4">
        <w:rPr>
          <w:rFonts w:ascii="Bookman Old Style" w:hAnsi="Bookman Old Style"/>
        </w:rPr>
        <w:t>Sin costas en esta instancia.</w:t>
      </w:r>
      <w:r w:rsidR="0048677C" w:rsidRPr="004A29E4">
        <w:rPr>
          <w:rFonts w:ascii="Bookman Old Style" w:hAnsi="Bookman Old Style"/>
        </w:rPr>
        <w:t xml:space="preserve"> </w:t>
      </w:r>
    </w:p>
    <w:p w14:paraId="02F7E331" w14:textId="77777777" w:rsidR="00485F1F" w:rsidRPr="004A29E4" w:rsidRDefault="00485F1F" w:rsidP="004A29E4">
      <w:pPr>
        <w:tabs>
          <w:tab w:val="left" w:pos="2127"/>
        </w:tabs>
        <w:suppressAutoHyphens/>
        <w:autoSpaceDE w:val="0"/>
        <w:autoSpaceDN w:val="0"/>
        <w:adjustRightInd w:val="0"/>
        <w:spacing w:line="276" w:lineRule="auto"/>
        <w:rPr>
          <w:rStyle w:val="normaltextrun"/>
          <w:rFonts w:ascii="Bookman Old Style" w:hAnsi="Bookman Old Style"/>
        </w:rPr>
      </w:pPr>
    </w:p>
    <w:p w14:paraId="7AD37CCE" w14:textId="77777777" w:rsidR="00485F1F" w:rsidRPr="004A29E4" w:rsidRDefault="00485F1F" w:rsidP="004A29E4">
      <w:pPr>
        <w:spacing w:line="276" w:lineRule="auto"/>
        <w:ind w:firstLine="0"/>
        <w:jc w:val="center"/>
        <w:rPr>
          <w:rFonts w:ascii="Bookman Old Style" w:hAnsi="Bookman Old Style"/>
          <w:b/>
        </w:rPr>
      </w:pPr>
      <w:r w:rsidRPr="004A29E4">
        <w:rPr>
          <w:rFonts w:ascii="Bookman Old Style" w:hAnsi="Bookman Old Style"/>
          <w:b/>
        </w:rPr>
        <w:t>Notifíquese y Cúmplase</w:t>
      </w:r>
    </w:p>
    <w:p w14:paraId="1E67D8E9" w14:textId="77777777" w:rsidR="00485F1F" w:rsidRPr="004A29E4" w:rsidRDefault="00485F1F" w:rsidP="004A29E4">
      <w:pPr>
        <w:spacing w:line="276" w:lineRule="auto"/>
        <w:rPr>
          <w:rFonts w:ascii="Bookman Old Style" w:hAnsi="Bookman Old Style"/>
        </w:rPr>
      </w:pPr>
    </w:p>
    <w:p w14:paraId="10F9269C" w14:textId="77777777" w:rsidR="00485F1F" w:rsidRPr="004A29E4" w:rsidRDefault="00485F1F" w:rsidP="004A29E4">
      <w:pPr>
        <w:spacing w:line="276" w:lineRule="auto"/>
        <w:rPr>
          <w:rFonts w:ascii="Bookman Old Style" w:hAnsi="Bookman Old Style"/>
        </w:rPr>
      </w:pPr>
    </w:p>
    <w:p w14:paraId="414AD87B" w14:textId="2461F8B7" w:rsidR="00485F1F" w:rsidRPr="004A29E4" w:rsidRDefault="00485F1F" w:rsidP="004A29E4">
      <w:pPr>
        <w:spacing w:line="276" w:lineRule="auto"/>
        <w:ind w:firstLine="0"/>
        <w:rPr>
          <w:rFonts w:ascii="Bookman Old Style" w:eastAsia="Arial Unicode MS" w:hAnsi="Bookman Old Style"/>
        </w:rPr>
      </w:pPr>
      <w:r w:rsidRPr="004A29E4">
        <w:rPr>
          <w:rFonts w:ascii="Bookman Old Style" w:hAnsi="Bookman Old Style"/>
        </w:rPr>
        <w:t xml:space="preserve">Los </w:t>
      </w:r>
      <w:r w:rsidR="00E215B1" w:rsidRPr="004A29E4">
        <w:rPr>
          <w:rFonts w:ascii="Bookman Old Style" w:hAnsi="Bookman Old Style"/>
        </w:rPr>
        <w:t>Magistrados</w:t>
      </w:r>
      <w:r w:rsidRPr="004A29E4">
        <w:rPr>
          <w:rFonts w:ascii="Bookman Old Style" w:eastAsia="Arial Unicode MS" w:hAnsi="Bookman Old Style"/>
        </w:rPr>
        <w:t>,</w:t>
      </w:r>
    </w:p>
    <w:p w14:paraId="6F5FCE28" w14:textId="77777777" w:rsidR="00485F1F" w:rsidRPr="004A29E4" w:rsidRDefault="00485F1F" w:rsidP="001D00EC">
      <w:pPr>
        <w:spacing w:line="276" w:lineRule="auto"/>
        <w:ind w:firstLine="0"/>
        <w:rPr>
          <w:rFonts w:ascii="Bookman Old Style" w:eastAsia="Arial Unicode MS" w:hAnsi="Bookman Old Style"/>
        </w:rPr>
      </w:pPr>
    </w:p>
    <w:p w14:paraId="4974CED0" w14:textId="5A7895F6" w:rsidR="00485F1F" w:rsidRDefault="00485F1F" w:rsidP="001D00EC">
      <w:pPr>
        <w:spacing w:line="276" w:lineRule="auto"/>
        <w:ind w:firstLine="0"/>
        <w:rPr>
          <w:rFonts w:ascii="Bookman Old Style" w:eastAsia="Arial Unicode MS" w:hAnsi="Bookman Old Style"/>
        </w:rPr>
      </w:pPr>
    </w:p>
    <w:p w14:paraId="5F1DD8BB" w14:textId="77777777" w:rsidR="001D00EC" w:rsidRPr="004A29E4" w:rsidRDefault="001D00EC" w:rsidP="001D00EC">
      <w:pPr>
        <w:spacing w:line="276" w:lineRule="auto"/>
        <w:ind w:firstLine="0"/>
        <w:rPr>
          <w:rFonts w:ascii="Bookman Old Style" w:eastAsia="Arial Unicode MS" w:hAnsi="Bookman Old Style"/>
        </w:rPr>
      </w:pPr>
    </w:p>
    <w:p w14:paraId="212EEC30" w14:textId="77777777" w:rsidR="00485F1F" w:rsidRPr="004A29E4" w:rsidRDefault="00485F1F" w:rsidP="004A29E4">
      <w:pPr>
        <w:spacing w:line="276" w:lineRule="auto"/>
        <w:jc w:val="center"/>
        <w:rPr>
          <w:rFonts w:ascii="Bookman Old Style" w:eastAsia="Arial Unicode MS" w:hAnsi="Bookman Old Style"/>
          <w:b/>
          <w:bCs/>
        </w:rPr>
      </w:pPr>
      <w:r w:rsidRPr="004A29E4">
        <w:rPr>
          <w:rFonts w:ascii="Bookman Old Style" w:eastAsia="Arial Unicode MS" w:hAnsi="Bookman Old Style"/>
          <w:b/>
          <w:bCs/>
        </w:rPr>
        <w:t xml:space="preserve">GERMÁN DARÍO </w:t>
      </w:r>
      <w:proofErr w:type="spellStart"/>
      <w:r w:rsidRPr="004A29E4">
        <w:rPr>
          <w:rFonts w:ascii="Bookman Old Style" w:eastAsia="Arial Unicode MS" w:hAnsi="Bookman Old Style"/>
          <w:b/>
          <w:bCs/>
        </w:rPr>
        <w:t>GÓEZ</w:t>
      </w:r>
      <w:proofErr w:type="spellEnd"/>
      <w:r w:rsidRPr="004A29E4">
        <w:rPr>
          <w:rFonts w:ascii="Bookman Old Style" w:eastAsia="Arial Unicode MS" w:hAnsi="Bookman Old Style"/>
          <w:b/>
          <w:bCs/>
        </w:rPr>
        <w:t xml:space="preserve"> </w:t>
      </w:r>
      <w:proofErr w:type="spellStart"/>
      <w:r w:rsidRPr="004A29E4">
        <w:rPr>
          <w:rFonts w:ascii="Bookman Old Style" w:eastAsia="Arial Unicode MS" w:hAnsi="Bookman Old Style"/>
          <w:b/>
          <w:bCs/>
        </w:rPr>
        <w:t>VINASCO</w:t>
      </w:r>
      <w:proofErr w:type="spellEnd"/>
    </w:p>
    <w:p w14:paraId="26F85172" w14:textId="535765AE" w:rsidR="00485F1F" w:rsidRDefault="00485F1F" w:rsidP="004A29E4">
      <w:pPr>
        <w:spacing w:line="276" w:lineRule="auto"/>
        <w:rPr>
          <w:rFonts w:ascii="Bookman Old Style" w:eastAsia="Arial Unicode MS" w:hAnsi="Bookman Old Style"/>
        </w:rPr>
      </w:pPr>
    </w:p>
    <w:p w14:paraId="5AE4A35E" w14:textId="77777777" w:rsidR="002720E1" w:rsidRPr="004A29E4" w:rsidRDefault="002720E1" w:rsidP="004A29E4">
      <w:pPr>
        <w:spacing w:line="276" w:lineRule="auto"/>
        <w:rPr>
          <w:rFonts w:ascii="Bookman Old Style" w:eastAsia="Arial Unicode MS" w:hAnsi="Bookman Old Style"/>
        </w:rPr>
      </w:pPr>
    </w:p>
    <w:p w14:paraId="6D18A2EE" w14:textId="77777777" w:rsidR="002A0A88" w:rsidRPr="004A29E4" w:rsidRDefault="002A0A88" w:rsidP="004A29E4">
      <w:pPr>
        <w:spacing w:line="276" w:lineRule="auto"/>
        <w:rPr>
          <w:rFonts w:ascii="Bookman Old Style" w:eastAsia="Arial Unicode MS" w:hAnsi="Bookman Old Style"/>
        </w:rPr>
      </w:pPr>
    </w:p>
    <w:p w14:paraId="1F594268" w14:textId="77777777" w:rsidR="00485F1F" w:rsidRPr="004A29E4" w:rsidRDefault="00485F1F" w:rsidP="004A29E4">
      <w:pPr>
        <w:spacing w:line="276" w:lineRule="auto"/>
        <w:jc w:val="center"/>
        <w:rPr>
          <w:rFonts w:ascii="Bookman Old Style" w:eastAsia="Arial Unicode MS" w:hAnsi="Bookman Old Style"/>
          <w:b/>
          <w:bCs/>
        </w:rPr>
      </w:pPr>
      <w:r w:rsidRPr="004A29E4">
        <w:rPr>
          <w:rFonts w:ascii="Bookman Old Style" w:eastAsia="Arial Unicode MS" w:hAnsi="Bookman Old Style"/>
          <w:b/>
          <w:bCs/>
        </w:rPr>
        <w:t>OLGA LUCIA HOYOS SEPÚLVEDA</w:t>
      </w:r>
    </w:p>
    <w:p w14:paraId="1907B9B6" w14:textId="047DC78F" w:rsidR="002720E1" w:rsidRDefault="002720E1" w:rsidP="002720E1">
      <w:pPr>
        <w:spacing w:line="276" w:lineRule="auto"/>
        <w:ind w:firstLine="0"/>
        <w:rPr>
          <w:rFonts w:ascii="Bookman Old Style" w:eastAsia="Arial Unicode MS" w:hAnsi="Bookman Old Style"/>
          <w:b/>
          <w:bCs/>
        </w:rPr>
      </w:pPr>
    </w:p>
    <w:p w14:paraId="685D5C8A" w14:textId="1A230262" w:rsidR="002720E1" w:rsidRDefault="002720E1" w:rsidP="002720E1">
      <w:pPr>
        <w:spacing w:line="276" w:lineRule="auto"/>
        <w:ind w:firstLine="0"/>
        <w:rPr>
          <w:rFonts w:ascii="Bookman Old Style" w:eastAsia="Arial Unicode MS" w:hAnsi="Bookman Old Style"/>
          <w:b/>
          <w:bCs/>
        </w:rPr>
      </w:pPr>
    </w:p>
    <w:p w14:paraId="4C1F2B9D" w14:textId="77777777" w:rsidR="002720E1" w:rsidRPr="004A29E4" w:rsidRDefault="002720E1" w:rsidP="002720E1">
      <w:pPr>
        <w:spacing w:line="276" w:lineRule="auto"/>
        <w:ind w:firstLine="0"/>
        <w:rPr>
          <w:rFonts w:ascii="Bookman Old Style" w:eastAsia="Arial Unicode MS" w:hAnsi="Bookman Old Style"/>
          <w:b/>
          <w:bCs/>
        </w:rPr>
      </w:pPr>
    </w:p>
    <w:p w14:paraId="76D1A53A" w14:textId="120B4F32" w:rsidR="0048677C" w:rsidRPr="002720E1" w:rsidRDefault="00485F1F" w:rsidP="002720E1">
      <w:pPr>
        <w:spacing w:line="276" w:lineRule="auto"/>
        <w:jc w:val="center"/>
        <w:rPr>
          <w:rFonts w:ascii="Bookman Old Style" w:eastAsia="Arial Unicode MS" w:hAnsi="Bookman Old Style"/>
          <w:b/>
          <w:bCs/>
        </w:rPr>
      </w:pPr>
      <w:r w:rsidRPr="004A29E4">
        <w:rPr>
          <w:rFonts w:ascii="Bookman Old Style" w:eastAsia="Arial Unicode MS" w:hAnsi="Bookman Old Style"/>
          <w:b/>
          <w:bCs/>
        </w:rPr>
        <w:t>JULIO CÉSAR SALAZAR MUÑOZ</w:t>
      </w:r>
    </w:p>
    <w:sectPr w:rsidR="0048677C" w:rsidRPr="002720E1" w:rsidSect="004A29E4">
      <w:headerReference w:type="default" r:id="rId14"/>
      <w:footerReference w:type="default" r:id="rId15"/>
      <w:pgSz w:w="12242" w:h="18722" w:code="258"/>
      <w:pgMar w:top="1871" w:right="1304" w:bottom="1304"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22B8C5" w16cex:dateUtc="2023-11-03T16:56:12.665Z"/>
  <w16cex:commentExtensible w16cex:durableId="4AC46ABA" w16cex:dateUtc="2023-11-07T16:12:04.772Z"/>
</w16cex:commentsExtensible>
</file>

<file path=word/commentsIds.xml><?xml version="1.0" encoding="utf-8"?>
<w16cid:commentsIds xmlns:mc="http://schemas.openxmlformats.org/markup-compatibility/2006" xmlns:w16cid="http://schemas.microsoft.com/office/word/2016/wordml/cid" mc:Ignorable="w16cid">
  <w16cid:commentId w16cid:paraId="1E21E66C" w16cid:durableId="6222B8C5"/>
  <w16cid:commentId w16cid:paraId="2CD90655" w16cid:durableId="4AC46AB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520EA" w14:textId="77777777" w:rsidR="007A7F7F" w:rsidRDefault="007A7F7F" w:rsidP="00A609B1">
      <w:pPr>
        <w:spacing w:line="240" w:lineRule="auto"/>
      </w:pPr>
      <w:r>
        <w:separator/>
      </w:r>
    </w:p>
  </w:endnote>
  <w:endnote w:type="continuationSeparator" w:id="0">
    <w:p w14:paraId="1D1DD9FC" w14:textId="77777777" w:rsidR="007A7F7F" w:rsidRDefault="007A7F7F" w:rsidP="00A60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41C07" w14:textId="3310DFBE" w:rsidR="00A609B1" w:rsidRPr="00336101" w:rsidRDefault="00A609B1" w:rsidP="00336101">
    <w:pPr>
      <w:pStyle w:val="Encabezado"/>
      <w:tabs>
        <w:tab w:val="clear" w:pos="4419"/>
      </w:tabs>
      <w:ind w:firstLine="0"/>
      <w:jc w:val="center"/>
      <w:rPr>
        <w:smallCaps/>
        <w:sz w:val="18"/>
      </w:rPr>
    </w:pPr>
    <w:r w:rsidRPr="00336101">
      <w:rPr>
        <w:smallCaps/>
        <w:sz w:val="18"/>
      </w:rPr>
      <w:t xml:space="preserve">Página </w:t>
    </w:r>
    <w:r w:rsidRPr="00336101">
      <w:rPr>
        <w:smallCaps/>
        <w:sz w:val="18"/>
      </w:rPr>
      <w:fldChar w:fldCharType="begin"/>
    </w:r>
    <w:r w:rsidRPr="00336101">
      <w:rPr>
        <w:smallCaps/>
        <w:sz w:val="18"/>
      </w:rPr>
      <w:instrText>PAGE  \* Arabic  \* MERGEFORMAT</w:instrText>
    </w:r>
    <w:r w:rsidRPr="00336101">
      <w:rPr>
        <w:smallCaps/>
        <w:sz w:val="18"/>
      </w:rPr>
      <w:fldChar w:fldCharType="separate"/>
    </w:r>
    <w:r w:rsidR="001D00EC">
      <w:rPr>
        <w:smallCaps/>
        <w:noProof/>
        <w:sz w:val="18"/>
      </w:rPr>
      <w:t>2</w:t>
    </w:r>
    <w:r w:rsidRPr="00336101">
      <w:rPr>
        <w:smallCaps/>
        <w:sz w:val="18"/>
      </w:rPr>
      <w:fldChar w:fldCharType="end"/>
    </w:r>
    <w:r w:rsidRPr="00336101">
      <w:rPr>
        <w:smallCaps/>
        <w:sz w:val="18"/>
      </w:rPr>
      <w:t xml:space="preserve"> de </w:t>
    </w:r>
    <w:r w:rsidRPr="00336101">
      <w:rPr>
        <w:smallCaps/>
        <w:sz w:val="18"/>
      </w:rPr>
      <w:fldChar w:fldCharType="begin"/>
    </w:r>
    <w:r w:rsidRPr="00336101">
      <w:rPr>
        <w:smallCaps/>
        <w:sz w:val="18"/>
      </w:rPr>
      <w:instrText>NUMPAGES  \* Arabic  \* MERGEFORMAT</w:instrText>
    </w:r>
    <w:r w:rsidRPr="00336101">
      <w:rPr>
        <w:smallCaps/>
        <w:sz w:val="18"/>
      </w:rPr>
      <w:fldChar w:fldCharType="separate"/>
    </w:r>
    <w:r w:rsidR="001D00EC">
      <w:rPr>
        <w:smallCaps/>
        <w:noProof/>
        <w:sz w:val="18"/>
      </w:rPr>
      <w:t>10</w:t>
    </w:r>
    <w:r w:rsidRPr="00336101">
      <w:rPr>
        <w:smallCap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DDCA" w14:textId="77777777" w:rsidR="007A7F7F" w:rsidRDefault="007A7F7F" w:rsidP="00A609B1">
      <w:pPr>
        <w:spacing w:line="240" w:lineRule="auto"/>
      </w:pPr>
      <w:r>
        <w:separator/>
      </w:r>
    </w:p>
  </w:footnote>
  <w:footnote w:type="continuationSeparator" w:id="0">
    <w:p w14:paraId="26004051" w14:textId="77777777" w:rsidR="007A7F7F" w:rsidRDefault="007A7F7F" w:rsidP="00A609B1">
      <w:pPr>
        <w:spacing w:line="240" w:lineRule="auto"/>
      </w:pPr>
      <w:r>
        <w:continuationSeparator/>
      </w:r>
    </w:p>
  </w:footnote>
  <w:footnote w:id="1">
    <w:p w14:paraId="1F935FF2" w14:textId="77777777" w:rsidR="00706817" w:rsidRPr="004A29E4" w:rsidRDefault="00706817" w:rsidP="004A29E4">
      <w:pPr>
        <w:pStyle w:val="Textonotapie"/>
        <w:ind w:firstLine="0"/>
        <w:rPr>
          <w:sz w:val="18"/>
        </w:rPr>
      </w:pPr>
      <w:r w:rsidRPr="004A29E4">
        <w:rPr>
          <w:rStyle w:val="Refdenotaalpie"/>
          <w:sz w:val="18"/>
        </w:rPr>
        <w:footnoteRef/>
      </w:r>
      <w:r w:rsidRPr="004A29E4">
        <w:rPr>
          <w:sz w:val="18"/>
        </w:rPr>
        <w:t xml:space="preserve"> Ver resolución 17738 del 28 de febrero de 2018 (archivo 03, página 36-41) e historia laboral archivo 11, pág. 32 y 154</w:t>
      </w:r>
    </w:p>
  </w:footnote>
  <w:footnote w:id="2">
    <w:p w14:paraId="0DB92ACA" w14:textId="77777777" w:rsidR="00F47A11" w:rsidRPr="004A29E4" w:rsidRDefault="00F47A11" w:rsidP="004A29E4">
      <w:pPr>
        <w:pStyle w:val="Textonotapie"/>
        <w:ind w:firstLine="0"/>
        <w:rPr>
          <w:sz w:val="18"/>
        </w:rPr>
      </w:pPr>
      <w:r w:rsidRPr="004A29E4">
        <w:rPr>
          <w:rStyle w:val="Refdenotaalpie"/>
          <w:sz w:val="18"/>
        </w:rPr>
        <w:footnoteRef/>
      </w:r>
      <w:r w:rsidRPr="004A29E4">
        <w:rPr>
          <w:sz w:val="18"/>
        </w:rPr>
        <w:t xml:space="preserve"> Ver resolución 17738 del 28 de febrero de 2018 (archivo 03, página 36-41) e historia laboral archivo 11, pág. 32 y 154</w:t>
      </w:r>
    </w:p>
  </w:footnote>
  <w:footnote w:id="3">
    <w:p w14:paraId="486AFEC6" w14:textId="77777777" w:rsidR="00F47A11" w:rsidRDefault="00F47A11" w:rsidP="004A29E4">
      <w:pPr>
        <w:pStyle w:val="Textonotapie"/>
        <w:ind w:firstLine="0"/>
      </w:pPr>
      <w:r w:rsidRPr="004A29E4">
        <w:rPr>
          <w:rStyle w:val="Refdenotaalpie"/>
          <w:sz w:val="18"/>
        </w:rPr>
        <w:footnoteRef/>
      </w:r>
      <w:r w:rsidRPr="004A29E4">
        <w:rPr>
          <w:sz w:val="18"/>
        </w:rPr>
        <w:t xml:space="preserve"> Ver formato ES/CO-02 (archivo 11, pág. 26)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C15E" w14:textId="5E822AA2" w:rsidR="00A609B1" w:rsidRPr="0024736A" w:rsidRDefault="00336101" w:rsidP="00336101">
    <w:pPr>
      <w:pStyle w:val="Encabezado"/>
      <w:tabs>
        <w:tab w:val="clear" w:pos="4419"/>
      </w:tabs>
      <w:ind w:firstLine="0"/>
      <w:jc w:val="center"/>
      <w:rPr>
        <w:smallCaps/>
        <w:sz w:val="18"/>
      </w:rPr>
    </w:pPr>
    <w:r w:rsidRPr="0024736A">
      <w:rPr>
        <w:smallCaps/>
        <w:sz w:val="18"/>
      </w:rPr>
      <w:t>Luz Stella Castaño Gómez</w:t>
    </w:r>
  </w:p>
  <w:p w14:paraId="129FB5B3" w14:textId="26B5BCFD" w:rsidR="00A609B1" w:rsidRPr="0024736A" w:rsidRDefault="00336101" w:rsidP="00336101">
    <w:pPr>
      <w:pStyle w:val="Encabezado"/>
      <w:tabs>
        <w:tab w:val="clear" w:pos="4419"/>
      </w:tabs>
      <w:ind w:firstLine="0"/>
      <w:jc w:val="center"/>
      <w:rPr>
        <w:smallCaps/>
        <w:sz w:val="18"/>
      </w:rPr>
    </w:pPr>
    <w:r w:rsidRPr="0024736A">
      <w:rPr>
        <w:smallCaps/>
        <w:sz w:val="18"/>
      </w:rPr>
      <w:t xml:space="preserve">Vs Porvenir s.a. – </w:t>
    </w:r>
    <w:proofErr w:type="spellStart"/>
    <w:r w:rsidRPr="0024736A">
      <w:rPr>
        <w:smallCaps/>
        <w:sz w:val="18"/>
      </w:rPr>
      <w:t>obp</w:t>
    </w:r>
    <w:proofErr w:type="spellEnd"/>
    <w:r w:rsidRPr="0024736A">
      <w:rPr>
        <w:smallCaps/>
        <w:sz w:val="18"/>
      </w:rPr>
      <w:t xml:space="preserve"> min. Hacienda</w:t>
    </w:r>
  </w:p>
  <w:p w14:paraId="18A8BEFC" w14:textId="118355C0" w:rsidR="00A609B1" w:rsidRPr="00336101" w:rsidRDefault="00336101" w:rsidP="00336101">
    <w:pPr>
      <w:pStyle w:val="Encabezado"/>
      <w:tabs>
        <w:tab w:val="clear" w:pos="4419"/>
      </w:tabs>
      <w:ind w:firstLine="0"/>
      <w:jc w:val="center"/>
      <w:rPr>
        <w:smallCaps/>
        <w:sz w:val="18"/>
      </w:rPr>
    </w:pPr>
    <w:r w:rsidRPr="0024736A">
      <w:rPr>
        <w:smallCaps/>
        <w:sz w:val="18"/>
      </w:rPr>
      <w:t>Radicado: 66001310500420200026101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319A"/>
    <w:multiLevelType w:val="hybridMultilevel"/>
    <w:tmpl w:val="BE2898E6"/>
    <w:lvl w:ilvl="0" w:tplc="F73C421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6EA866F7"/>
    <w:multiLevelType w:val="hybridMultilevel"/>
    <w:tmpl w:val="91B8A7DC"/>
    <w:lvl w:ilvl="0" w:tplc="B75A8D3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1"/>
  </w:num>
  <w:num w:numId="3">
    <w:abstractNumId w:val="1"/>
  </w:num>
  <w:num w:numId="4">
    <w:abstractNumId w:val="1"/>
  </w:num>
  <w:num w:numId="5">
    <w:abstractNumId w:val="4"/>
  </w:num>
  <w:num w:numId="6">
    <w:abstractNumId w:val="4"/>
  </w:num>
  <w:num w:numId="7">
    <w:abstractNumId w:val="4"/>
  </w:num>
  <w:num w:numId="8">
    <w:abstractNumId w:val="4"/>
  </w:num>
  <w:num w:numId="9">
    <w:abstractNumId w:val="3"/>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4F"/>
    <w:rsid w:val="000057DF"/>
    <w:rsid w:val="000178C5"/>
    <w:rsid w:val="00020714"/>
    <w:rsid w:val="000229A1"/>
    <w:rsid w:val="00030381"/>
    <w:rsid w:val="00031324"/>
    <w:rsid w:val="00032C95"/>
    <w:rsid w:val="00037B84"/>
    <w:rsid w:val="00056D14"/>
    <w:rsid w:val="0009577C"/>
    <w:rsid w:val="000A52AD"/>
    <w:rsid w:val="000B0EE1"/>
    <w:rsid w:val="000C199D"/>
    <w:rsid w:val="000C325E"/>
    <w:rsid w:val="000F081B"/>
    <w:rsid w:val="00115AF8"/>
    <w:rsid w:val="001270A7"/>
    <w:rsid w:val="001363CA"/>
    <w:rsid w:val="00144327"/>
    <w:rsid w:val="00193E53"/>
    <w:rsid w:val="001B366C"/>
    <w:rsid w:val="001C1666"/>
    <w:rsid w:val="001C3632"/>
    <w:rsid w:val="001D00EC"/>
    <w:rsid w:val="001D08E9"/>
    <w:rsid w:val="001D6565"/>
    <w:rsid w:val="001E4824"/>
    <w:rsid w:val="001F39BD"/>
    <w:rsid w:val="002014E0"/>
    <w:rsid w:val="00205565"/>
    <w:rsid w:val="00212B79"/>
    <w:rsid w:val="00236776"/>
    <w:rsid w:val="0024736A"/>
    <w:rsid w:val="00247944"/>
    <w:rsid w:val="0025297C"/>
    <w:rsid w:val="002720E1"/>
    <w:rsid w:val="0028627D"/>
    <w:rsid w:val="0029290C"/>
    <w:rsid w:val="0029731C"/>
    <w:rsid w:val="002A0A88"/>
    <w:rsid w:val="002A2616"/>
    <w:rsid w:val="002E0B67"/>
    <w:rsid w:val="002E44EE"/>
    <w:rsid w:val="002E7085"/>
    <w:rsid w:val="002F1951"/>
    <w:rsid w:val="00310048"/>
    <w:rsid w:val="00330548"/>
    <w:rsid w:val="003314A0"/>
    <w:rsid w:val="00335E47"/>
    <w:rsid w:val="00336101"/>
    <w:rsid w:val="0034575D"/>
    <w:rsid w:val="00351132"/>
    <w:rsid w:val="00375DF0"/>
    <w:rsid w:val="003902EA"/>
    <w:rsid w:val="0039781B"/>
    <w:rsid w:val="003A47C1"/>
    <w:rsid w:val="003A538F"/>
    <w:rsid w:val="003C0A40"/>
    <w:rsid w:val="003D01E2"/>
    <w:rsid w:val="003E4D6D"/>
    <w:rsid w:val="003E70B0"/>
    <w:rsid w:val="003F6A8C"/>
    <w:rsid w:val="004204C0"/>
    <w:rsid w:val="00437F1C"/>
    <w:rsid w:val="0045442A"/>
    <w:rsid w:val="00476A14"/>
    <w:rsid w:val="00485F1F"/>
    <w:rsid w:val="0048677C"/>
    <w:rsid w:val="004867F5"/>
    <w:rsid w:val="004875E5"/>
    <w:rsid w:val="00492646"/>
    <w:rsid w:val="004A29E4"/>
    <w:rsid w:val="004E1E1A"/>
    <w:rsid w:val="00542F4F"/>
    <w:rsid w:val="005655B4"/>
    <w:rsid w:val="005711EE"/>
    <w:rsid w:val="005A1288"/>
    <w:rsid w:val="005A3BDC"/>
    <w:rsid w:val="005B3E0C"/>
    <w:rsid w:val="005B5103"/>
    <w:rsid w:val="005B657D"/>
    <w:rsid w:val="005D64F2"/>
    <w:rsid w:val="005E4680"/>
    <w:rsid w:val="005E59A1"/>
    <w:rsid w:val="005F6B46"/>
    <w:rsid w:val="00646754"/>
    <w:rsid w:val="00646CA8"/>
    <w:rsid w:val="00651967"/>
    <w:rsid w:val="0066049A"/>
    <w:rsid w:val="0066296E"/>
    <w:rsid w:val="00665265"/>
    <w:rsid w:val="006679B1"/>
    <w:rsid w:val="00694ABB"/>
    <w:rsid w:val="006A50DB"/>
    <w:rsid w:val="006B1168"/>
    <w:rsid w:val="006E3765"/>
    <w:rsid w:val="006F054F"/>
    <w:rsid w:val="00706817"/>
    <w:rsid w:val="00710840"/>
    <w:rsid w:val="00726A18"/>
    <w:rsid w:val="00733557"/>
    <w:rsid w:val="0073384B"/>
    <w:rsid w:val="0073760E"/>
    <w:rsid w:val="00773E49"/>
    <w:rsid w:val="00792269"/>
    <w:rsid w:val="007945AC"/>
    <w:rsid w:val="007A7F7F"/>
    <w:rsid w:val="007C3ABC"/>
    <w:rsid w:val="007D5A34"/>
    <w:rsid w:val="00804B9C"/>
    <w:rsid w:val="008120F5"/>
    <w:rsid w:val="00824656"/>
    <w:rsid w:val="00852C82"/>
    <w:rsid w:val="008548ED"/>
    <w:rsid w:val="008940F7"/>
    <w:rsid w:val="00894F9F"/>
    <w:rsid w:val="00895080"/>
    <w:rsid w:val="008C4278"/>
    <w:rsid w:val="008C5477"/>
    <w:rsid w:val="008C6A87"/>
    <w:rsid w:val="008F0B32"/>
    <w:rsid w:val="00907B78"/>
    <w:rsid w:val="0091406E"/>
    <w:rsid w:val="009676FF"/>
    <w:rsid w:val="009907DD"/>
    <w:rsid w:val="009A51ED"/>
    <w:rsid w:val="009A61D3"/>
    <w:rsid w:val="009B2761"/>
    <w:rsid w:val="009C187C"/>
    <w:rsid w:val="009C6FB6"/>
    <w:rsid w:val="009D40D1"/>
    <w:rsid w:val="009D7F2E"/>
    <w:rsid w:val="009F53E2"/>
    <w:rsid w:val="00A1673B"/>
    <w:rsid w:val="00A1745A"/>
    <w:rsid w:val="00A36F19"/>
    <w:rsid w:val="00A53433"/>
    <w:rsid w:val="00A609B1"/>
    <w:rsid w:val="00A6239E"/>
    <w:rsid w:val="00A67E5B"/>
    <w:rsid w:val="00A728DD"/>
    <w:rsid w:val="00A74117"/>
    <w:rsid w:val="00A90930"/>
    <w:rsid w:val="00A963D5"/>
    <w:rsid w:val="00AC3A2D"/>
    <w:rsid w:val="00AC71FF"/>
    <w:rsid w:val="00AC7860"/>
    <w:rsid w:val="00AE5334"/>
    <w:rsid w:val="00B05910"/>
    <w:rsid w:val="00B43554"/>
    <w:rsid w:val="00BA4C58"/>
    <w:rsid w:val="00BA52D3"/>
    <w:rsid w:val="00BC47D0"/>
    <w:rsid w:val="00BE4046"/>
    <w:rsid w:val="00BF086C"/>
    <w:rsid w:val="00BF3552"/>
    <w:rsid w:val="00BF35BB"/>
    <w:rsid w:val="00C02FE8"/>
    <w:rsid w:val="00C13E5E"/>
    <w:rsid w:val="00C24336"/>
    <w:rsid w:val="00C26FBC"/>
    <w:rsid w:val="00C37E5E"/>
    <w:rsid w:val="00C419F8"/>
    <w:rsid w:val="00C511B1"/>
    <w:rsid w:val="00C5323A"/>
    <w:rsid w:val="00C8365D"/>
    <w:rsid w:val="00CC2CD0"/>
    <w:rsid w:val="00CC5899"/>
    <w:rsid w:val="00CC5B5B"/>
    <w:rsid w:val="00CE6EEE"/>
    <w:rsid w:val="00D0075A"/>
    <w:rsid w:val="00D1762A"/>
    <w:rsid w:val="00D2269A"/>
    <w:rsid w:val="00D243B9"/>
    <w:rsid w:val="00D574D6"/>
    <w:rsid w:val="00D61755"/>
    <w:rsid w:val="00DA1515"/>
    <w:rsid w:val="00DB4D1D"/>
    <w:rsid w:val="00DB5ED3"/>
    <w:rsid w:val="00DC5DBD"/>
    <w:rsid w:val="00DD76B0"/>
    <w:rsid w:val="00DE12E1"/>
    <w:rsid w:val="00E14936"/>
    <w:rsid w:val="00E215B1"/>
    <w:rsid w:val="00E36DB4"/>
    <w:rsid w:val="00E42DF3"/>
    <w:rsid w:val="00E44599"/>
    <w:rsid w:val="00E46796"/>
    <w:rsid w:val="00E60AD5"/>
    <w:rsid w:val="00E71BF1"/>
    <w:rsid w:val="00E71D29"/>
    <w:rsid w:val="00EA59EB"/>
    <w:rsid w:val="00EC227C"/>
    <w:rsid w:val="00F04106"/>
    <w:rsid w:val="00F1327E"/>
    <w:rsid w:val="00F1367F"/>
    <w:rsid w:val="00F31157"/>
    <w:rsid w:val="00F44253"/>
    <w:rsid w:val="00F47A11"/>
    <w:rsid w:val="00F52A71"/>
    <w:rsid w:val="00F57CAC"/>
    <w:rsid w:val="00F6777F"/>
    <w:rsid w:val="00F769ED"/>
    <w:rsid w:val="00F81046"/>
    <w:rsid w:val="00F836E8"/>
    <w:rsid w:val="00F85CB5"/>
    <w:rsid w:val="00F90387"/>
    <w:rsid w:val="00FB131E"/>
    <w:rsid w:val="00FD687E"/>
    <w:rsid w:val="1D4F58BA"/>
    <w:rsid w:val="5D63EFB3"/>
    <w:rsid w:val="5EC3EB61"/>
    <w:rsid w:val="665E39F6"/>
    <w:rsid w:val="7D183A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1E58"/>
  <w15:chartTrackingRefBased/>
  <w15:docId w15:val="{4E6A2F34-DDB0-4A57-AB04-117C1A4D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86C"/>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542F4F"/>
    <w:rPr>
      <w:color w:val="0563C1"/>
      <w:u w:val="single"/>
    </w:rPr>
  </w:style>
  <w:style w:type="table" w:styleId="Tablanormal5">
    <w:name w:val="Plain Table 5"/>
    <w:basedOn w:val="Tablanormal"/>
    <w:uiPriority w:val="45"/>
    <w:rsid w:val="00542F4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542F4F"/>
    <w:rPr>
      <w:color w:val="F38B53" w:themeColor="followedHyperlink"/>
      <w:u w:val="single"/>
    </w:rPr>
  </w:style>
  <w:style w:type="paragraph" w:styleId="Encabezado">
    <w:name w:val="header"/>
    <w:basedOn w:val="Normal"/>
    <w:link w:val="EncabezadoCar"/>
    <w:uiPriority w:val="99"/>
    <w:unhideWhenUsed/>
    <w:rsid w:val="00A609B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609B1"/>
  </w:style>
  <w:style w:type="paragraph" w:styleId="Piedepgina">
    <w:name w:val="footer"/>
    <w:basedOn w:val="Normal"/>
    <w:link w:val="PiedepginaCar"/>
    <w:uiPriority w:val="99"/>
    <w:unhideWhenUsed/>
    <w:rsid w:val="00A609B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609B1"/>
  </w:style>
  <w:style w:type="table" w:styleId="Tablaconcuadrcula">
    <w:name w:val="Table Grid"/>
    <w:basedOn w:val="Tablanormal"/>
    <w:uiPriority w:val="39"/>
    <w:rsid w:val="00056D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193E5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726A18"/>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character" w:customStyle="1" w:styleId="iaj">
    <w:name w:val="i_aj"/>
    <w:basedOn w:val="Fuentedeprrafopredeter"/>
    <w:rsid w:val="005E4680"/>
  </w:style>
  <w:style w:type="paragraph" w:styleId="Prrafodelista">
    <w:name w:val="List Paragraph"/>
    <w:basedOn w:val="Normal"/>
    <w:uiPriority w:val="34"/>
    <w:qFormat/>
    <w:rsid w:val="00E36DB4"/>
    <w:pPr>
      <w:ind w:left="720"/>
      <w:contextualSpacing/>
    </w:pPr>
  </w:style>
  <w:style w:type="paragraph" w:styleId="Textonotapie">
    <w:name w:val="footnote text"/>
    <w:basedOn w:val="Normal"/>
    <w:link w:val="TextonotapieCar"/>
    <w:uiPriority w:val="99"/>
    <w:semiHidden/>
    <w:unhideWhenUsed/>
    <w:rsid w:val="005F6B46"/>
    <w:pPr>
      <w:spacing w:line="240" w:lineRule="auto"/>
    </w:pPr>
    <w:rPr>
      <w:sz w:val="20"/>
      <w:szCs w:val="20"/>
    </w:rPr>
  </w:style>
  <w:style w:type="character" w:customStyle="1" w:styleId="TextonotapieCar">
    <w:name w:val="Texto nota pie Car"/>
    <w:basedOn w:val="Fuentedeprrafopredeter"/>
    <w:link w:val="Textonotapie"/>
    <w:uiPriority w:val="99"/>
    <w:semiHidden/>
    <w:rsid w:val="005F6B46"/>
    <w:rPr>
      <w:sz w:val="20"/>
      <w:szCs w:val="20"/>
    </w:rPr>
  </w:style>
  <w:style w:type="character" w:styleId="Refdenotaalpie">
    <w:name w:val="footnote reference"/>
    <w:basedOn w:val="Fuentedeprrafopredeter"/>
    <w:uiPriority w:val="99"/>
    <w:semiHidden/>
    <w:unhideWhenUsed/>
    <w:rsid w:val="005F6B46"/>
    <w:rPr>
      <w:vertAlign w:val="superscript"/>
    </w:rPr>
  </w:style>
  <w:style w:type="character" w:customStyle="1" w:styleId="normaltextrun">
    <w:name w:val="normaltextrun"/>
    <w:basedOn w:val="Fuentedeprrafopredeter"/>
    <w:rsid w:val="00485F1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A0A8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8118">
      <w:bodyDiv w:val="1"/>
      <w:marLeft w:val="0"/>
      <w:marRight w:val="0"/>
      <w:marTop w:val="0"/>
      <w:marBottom w:val="0"/>
      <w:divBdr>
        <w:top w:val="none" w:sz="0" w:space="0" w:color="auto"/>
        <w:left w:val="none" w:sz="0" w:space="0" w:color="auto"/>
        <w:bottom w:val="none" w:sz="0" w:space="0" w:color="auto"/>
        <w:right w:val="none" w:sz="0" w:space="0" w:color="auto"/>
      </w:divBdr>
    </w:div>
    <w:div w:id="351808035">
      <w:bodyDiv w:val="1"/>
      <w:marLeft w:val="0"/>
      <w:marRight w:val="0"/>
      <w:marTop w:val="0"/>
      <w:marBottom w:val="0"/>
      <w:divBdr>
        <w:top w:val="none" w:sz="0" w:space="0" w:color="auto"/>
        <w:left w:val="none" w:sz="0" w:space="0" w:color="auto"/>
        <w:bottom w:val="none" w:sz="0" w:space="0" w:color="auto"/>
        <w:right w:val="none" w:sz="0" w:space="0" w:color="auto"/>
      </w:divBdr>
    </w:div>
    <w:div w:id="385687372">
      <w:bodyDiv w:val="1"/>
      <w:marLeft w:val="0"/>
      <w:marRight w:val="0"/>
      <w:marTop w:val="0"/>
      <w:marBottom w:val="0"/>
      <w:divBdr>
        <w:top w:val="none" w:sz="0" w:space="0" w:color="auto"/>
        <w:left w:val="none" w:sz="0" w:space="0" w:color="auto"/>
        <w:bottom w:val="none" w:sz="0" w:space="0" w:color="auto"/>
        <w:right w:val="none" w:sz="0" w:space="0" w:color="auto"/>
      </w:divBdr>
    </w:div>
    <w:div w:id="795829657">
      <w:bodyDiv w:val="1"/>
      <w:marLeft w:val="0"/>
      <w:marRight w:val="0"/>
      <w:marTop w:val="0"/>
      <w:marBottom w:val="0"/>
      <w:divBdr>
        <w:top w:val="none" w:sz="0" w:space="0" w:color="auto"/>
        <w:left w:val="none" w:sz="0" w:space="0" w:color="auto"/>
        <w:bottom w:val="none" w:sz="0" w:space="0" w:color="auto"/>
        <w:right w:val="none" w:sz="0" w:space="0" w:color="auto"/>
      </w:divBdr>
    </w:div>
    <w:div w:id="9211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retariasenado.gov.co/senado/basedoc/ley_0100_199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retariasenado.gov.co/senado/basedoc/ley_0100_1993.html" TargetMode="External"/><Relationship Id="rId17" Type="http://schemas.openxmlformats.org/officeDocument/2006/relationships/theme" Target="theme/theme1.xml"/><Relationship Id="Rd5214e178c214bbe"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49f282f68834281"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FC62-03B4-45BE-8B58-C38B6D281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CD12B-3550-466C-81B9-94DBE0A61658}">
  <ds:schemaRefs>
    <ds:schemaRef ds:uri="http://schemas.microsoft.com/sharepoint/v3/contenttype/forms"/>
  </ds:schemaRefs>
</ds:datastoreItem>
</file>

<file path=customXml/itemProps3.xml><?xml version="1.0" encoding="utf-8"?>
<ds:datastoreItem xmlns:ds="http://schemas.openxmlformats.org/officeDocument/2006/customXml" ds:itemID="{E8F0727E-0914-4957-A413-3E668266882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80DDB33D-400D-42C0-972B-F68BDC64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3955</Words>
  <Characters>22547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2023-11-09T20:41:00Z</dcterms:created>
  <dcterms:modified xsi:type="dcterms:W3CDTF">2024-01-22T13:20:00Z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