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7CD9C40" w14:textId="65037846" w:rsidR="00385AB7" w:rsidRPr="00BA1E90" w:rsidRDefault="00592D67" w:rsidP="00592D67">
      <w:pPr>
        <w:spacing w:line="240" w:lineRule="auto"/>
        <w:jc w:val="both"/>
        <w:rPr>
          <w:rFonts w:ascii="Arial" w:hAnsi="Arial" w:cs="Arial"/>
          <w:b/>
          <w:sz w:val="20"/>
        </w:rPr>
      </w:pPr>
      <w:r w:rsidRPr="00BA1E90">
        <w:rPr>
          <w:rFonts w:ascii="Arial" w:hAnsi="Arial" w:cs="Arial"/>
          <w:b/>
          <w:sz w:val="20"/>
        </w:rPr>
        <w:t>COSTAS</w:t>
      </w:r>
      <w:r w:rsidR="00BA1E90" w:rsidRPr="00BA1E90">
        <w:rPr>
          <w:rFonts w:ascii="Arial" w:hAnsi="Arial" w:cs="Arial"/>
          <w:b/>
          <w:sz w:val="20"/>
        </w:rPr>
        <w:t xml:space="preserve"> / FIJACIÓN AGENCIAS EN DERECHO / NORMA APLICABLE</w:t>
      </w:r>
    </w:p>
    <w:p w14:paraId="21D8C545" w14:textId="4F20ADEF" w:rsidR="00385AB7" w:rsidRPr="00592D67" w:rsidRDefault="00CA3813" w:rsidP="00592D67">
      <w:pPr>
        <w:spacing w:line="240" w:lineRule="auto"/>
        <w:jc w:val="both"/>
        <w:rPr>
          <w:rStyle w:val="Referenciasutil"/>
          <w:rFonts w:ascii="Arial" w:hAnsi="Arial" w:cs="Arial"/>
          <w:color w:val="auto"/>
          <w:sz w:val="16"/>
          <w14:textOutline w14:w="0" w14:cap="flat" w14:cmpd="sng" w14:algn="ctr">
            <w14:noFill/>
            <w14:prstDash w14:val="solid"/>
            <w14:round/>
          </w14:textOutline>
        </w:rPr>
      </w:pPr>
      <w:r>
        <w:rPr>
          <w:rFonts w:ascii="Arial" w:hAnsi="Arial" w:cs="Arial"/>
          <w:sz w:val="20"/>
        </w:rPr>
        <w:t xml:space="preserve">… </w:t>
      </w:r>
      <w:r w:rsidR="00592D67" w:rsidRPr="00592D67">
        <w:rPr>
          <w:rFonts w:ascii="Arial" w:hAnsi="Arial" w:cs="Arial"/>
          <w:sz w:val="20"/>
        </w:rPr>
        <w:t xml:space="preserve">como el asunto que convoca a la Sala se concreta en la liquidación de las costas a la que fue condenada la parte pasiva tras la culminación de la contienda, es del caso hacer hincapié en que, para determinar la norma aplicable para la fijación de las agencias en derecho, se debe tener en cuenta que el Acuerdo </w:t>
      </w:r>
      <w:proofErr w:type="spellStart"/>
      <w:r w:rsidR="00592D67" w:rsidRPr="00592D67">
        <w:rPr>
          <w:rFonts w:ascii="Arial" w:hAnsi="Arial" w:cs="Arial"/>
          <w:sz w:val="20"/>
        </w:rPr>
        <w:t>PSAA16</w:t>
      </w:r>
      <w:proofErr w:type="spellEnd"/>
      <w:r w:rsidR="00592D67" w:rsidRPr="00592D67">
        <w:rPr>
          <w:rFonts w:ascii="Arial" w:hAnsi="Arial" w:cs="Arial"/>
          <w:sz w:val="20"/>
        </w:rPr>
        <w:t>-10554 del 16 de agosto de 2016 entró a regir para todos los procesos iniciados a partir de su publicación, esto es, a partir del 05-08-2016, condición que en este asunto se cumple, pues este proceso se impetró en el año 2017.</w:t>
      </w:r>
    </w:p>
    <w:p w14:paraId="6097EBFF" w14:textId="77777777" w:rsidR="00385AB7" w:rsidRPr="00592D67" w:rsidRDefault="00385AB7" w:rsidP="00592D67">
      <w:pPr>
        <w:spacing w:line="240" w:lineRule="auto"/>
        <w:jc w:val="both"/>
        <w:rPr>
          <w:rFonts w:ascii="Arial" w:hAnsi="Arial" w:cs="Arial"/>
          <w:sz w:val="20"/>
        </w:rPr>
      </w:pPr>
    </w:p>
    <w:p w14:paraId="5F7415E5" w14:textId="2ED1788A" w:rsidR="00BA1E90" w:rsidRPr="00BA1E90" w:rsidRDefault="00CA3813" w:rsidP="00BA1E90">
      <w:pPr>
        <w:spacing w:line="240" w:lineRule="auto"/>
        <w:jc w:val="both"/>
        <w:rPr>
          <w:rFonts w:ascii="Arial" w:hAnsi="Arial" w:cs="Arial"/>
          <w:b/>
          <w:sz w:val="20"/>
        </w:rPr>
      </w:pPr>
      <w:r>
        <w:rPr>
          <w:rFonts w:ascii="Arial" w:hAnsi="Arial" w:cs="Arial"/>
          <w:b/>
          <w:sz w:val="20"/>
        </w:rPr>
        <w:t xml:space="preserve">ESTIMACIÓN </w:t>
      </w:r>
      <w:r w:rsidR="00BA1E90" w:rsidRPr="00BA1E90">
        <w:rPr>
          <w:rFonts w:ascii="Arial" w:hAnsi="Arial" w:cs="Arial"/>
          <w:b/>
          <w:sz w:val="20"/>
        </w:rPr>
        <w:t xml:space="preserve">AGENCIAS EN DERECHO / </w:t>
      </w:r>
      <w:r>
        <w:rPr>
          <w:rFonts w:ascii="Arial" w:hAnsi="Arial" w:cs="Arial"/>
          <w:b/>
          <w:sz w:val="20"/>
        </w:rPr>
        <w:t>CRITERIOS Y TARIFAS / MÍNIMOS Y MÁXIMOS</w:t>
      </w:r>
    </w:p>
    <w:p w14:paraId="6CE252CF" w14:textId="1742D7E5" w:rsidR="00BA1E90" w:rsidRDefault="00A3783A" w:rsidP="00592D67">
      <w:pPr>
        <w:spacing w:line="240" w:lineRule="auto"/>
        <w:jc w:val="both"/>
        <w:rPr>
          <w:rFonts w:ascii="Arial" w:hAnsi="Arial" w:cs="Arial"/>
          <w:sz w:val="20"/>
        </w:rPr>
      </w:pPr>
      <w:r>
        <w:rPr>
          <w:rFonts w:ascii="Arial" w:hAnsi="Arial" w:cs="Arial"/>
          <w:sz w:val="20"/>
        </w:rPr>
        <w:t xml:space="preserve">… </w:t>
      </w:r>
      <w:r w:rsidRPr="00A3783A">
        <w:rPr>
          <w:rFonts w:ascii="Arial" w:hAnsi="Arial" w:cs="Arial"/>
          <w:sz w:val="20"/>
        </w:rPr>
        <w:t xml:space="preserve">si bien en materia laboral no se clasifican los procesos de primera instancia en menor y mayor cuantía, lo cierto es que, haciendo una aproximación a lo estatuido en materia civil, se tiene en cuenta que los procesos donde las pretensiones patrimoniales son menores a los 150 </w:t>
      </w:r>
      <w:proofErr w:type="spellStart"/>
      <w:r w:rsidRPr="00A3783A">
        <w:rPr>
          <w:rFonts w:ascii="Arial" w:hAnsi="Arial" w:cs="Arial"/>
          <w:sz w:val="20"/>
        </w:rPr>
        <w:t>SMLV</w:t>
      </w:r>
      <w:proofErr w:type="spellEnd"/>
      <w:r w:rsidRPr="00A3783A">
        <w:rPr>
          <w:rFonts w:ascii="Arial" w:hAnsi="Arial" w:cs="Arial"/>
          <w:sz w:val="20"/>
        </w:rPr>
        <w:t xml:space="preserve">, siempre que no se trate de procesos en única instancia, la tasación oscila entre el 4% y el 10% de lo pedido y, cuando los excede, dichas tasaciones oscilan entre el 3% y el 7.5% de lo pedido (art. 25 </w:t>
      </w:r>
      <w:proofErr w:type="spellStart"/>
      <w:r w:rsidRPr="00A3783A">
        <w:rPr>
          <w:rFonts w:ascii="Arial" w:hAnsi="Arial" w:cs="Arial"/>
          <w:sz w:val="20"/>
        </w:rPr>
        <w:t>CGP</w:t>
      </w:r>
      <w:proofErr w:type="spellEnd"/>
      <w:r w:rsidRPr="00A3783A">
        <w:rPr>
          <w:rFonts w:ascii="Arial" w:hAnsi="Arial" w:cs="Arial"/>
          <w:sz w:val="20"/>
        </w:rPr>
        <w:t>).</w:t>
      </w:r>
      <w:r w:rsidR="00CA3813">
        <w:rPr>
          <w:rFonts w:ascii="Arial" w:hAnsi="Arial" w:cs="Arial"/>
          <w:sz w:val="20"/>
        </w:rPr>
        <w:t xml:space="preserve">  </w:t>
      </w:r>
      <w:r w:rsidR="00CA3813" w:rsidRPr="00CA3813">
        <w:rPr>
          <w:rFonts w:ascii="Arial" w:hAnsi="Arial" w:cs="Arial"/>
          <w:sz w:val="20"/>
        </w:rPr>
        <w:t>Como el caso analizado correspondió a un asunto con pretensiones pecuniarias, para establecer los límites tarifarios que deben ser atendidos, acudimos al artículo 3.º del acuerdo</w:t>
      </w:r>
      <w:r w:rsidR="00CA3813">
        <w:rPr>
          <w:rFonts w:ascii="Arial" w:hAnsi="Arial" w:cs="Arial"/>
          <w:sz w:val="20"/>
        </w:rPr>
        <w:t xml:space="preserve">… </w:t>
      </w:r>
      <w:r w:rsidR="00CA3813" w:rsidRPr="00CA3813">
        <w:rPr>
          <w:rFonts w:ascii="Arial" w:hAnsi="Arial" w:cs="Arial"/>
          <w:sz w:val="20"/>
        </w:rPr>
        <w:t>Ahora, para la determinación tarifaria dentro los límites descritos, se debe acudir a criterios equitativos y razonables, esto es, a una valoración basada en la naturaleza del asunto, de la calidad y duración útil de la gestión del togado, la cuantía del proceso y demás circunstancias</w:t>
      </w:r>
      <w:r w:rsidR="00CA3813">
        <w:rPr>
          <w:rFonts w:ascii="Arial" w:hAnsi="Arial" w:cs="Arial"/>
          <w:sz w:val="20"/>
        </w:rPr>
        <w:t>…</w:t>
      </w:r>
    </w:p>
    <w:p w14:paraId="09497655" w14:textId="77777777" w:rsidR="00BA1E90" w:rsidRPr="00592D67" w:rsidRDefault="00BA1E90" w:rsidP="00592D67">
      <w:pPr>
        <w:spacing w:line="240" w:lineRule="auto"/>
        <w:jc w:val="both"/>
        <w:rPr>
          <w:rFonts w:ascii="Arial" w:hAnsi="Arial" w:cs="Arial"/>
          <w:sz w:val="20"/>
        </w:rPr>
      </w:pPr>
    </w:p>
    <w:p w14:paraId="320898F8" w14:textId="0EE11FF3" w:rsidR="00385AB7" w:rsidRPr="00592D67" w:rsidRDefault="00385AB7" w:rsidP="00592D67">
      <w:pPr>
        <w:spacing w:line="240" w:lineRule="auto"/>
        <w:jc w:val="both"/>
        <w:rPr>
          <w:rFonts w:ascii="Arial" w:hAnsi="Arial" w:cs="Arial"/>
          <w:sz w:val="20"/>
        </w:rPr>
      </w:pPr>
    </w:p>
    <w:p w14:paraId="369F260A" w14:textId="77777777" w:rsidR="00385AB7" w:rsidRPr="00592D67" w:rsidRDefault="00385AB7" w:rsidP="00592D67">
      <w:pPr>
        <w:spacing w:line="240" w:lineRule="auto"/>
        <w:jc w:val="both"/>
        <w:rPr>
          <w:rFonts w:ascii="Arial" w:hAnsi="Arial" w:cs="Arial"/>
          <w:sz w:val="20"/>
        </w:rPr>
      </w:pPr>
    </w:p>
    <w:p w14:paraId="15513052" w14:textId="1FFC942F" w:rsidR="00727086" w:rsidRPr="00EF5714" w:rsidRDefault="00727086" w:rsidP="00727086">
      <w:pPr>
        <w:spacing w:line="240" w:lineRule="auto"/>
        <w:jc w:val="center"/>
        <w:rPr>
          <w:rStyle w:val="Referenciasutil"/>
          <w:rFonts w:ascii="Bookman Old Style" w:hAnsi="Bookman Old Style"/>
          <w:b/>
          <w:color w:val="auto"/>
          <w14:textOutline w14:w="0" w14:cap="flat" w14:cmpd="sng" w14:algn="ctr">
            <w14:noFill/>
            <w14:prstDash w14:val="solid"/>
            <w14:round/>
          </w14:textOutline>
        </w:rPr>
      </w:pPr>
      <w:r w:rsidRPr="00EF5714">
        <w:rPr>
          <w:rStyle w:val="Referenciasutil"/>
          <w:rFonts w:ascii="Bookman Old Style" w:hAnsi="Bookman Old Style"/>
          <w:b/>
          <w:color w:val="auto"/>
          <w14:textOutline w14:w="0" w14:cap="flat" w14:cmpd="sng" w14:algn="ctr">
            <w14:noFill/>
            <w14:prstDash w14:val="solid"/>
            <w14:round/>
          </w14:textOutline>
        </w:rPr>
        <w:t>REPÚBLICA DE COLOMBIA</w:t>
      </w:r>
    </w:p>
    <w:p w14:paraId="66B784CA" w14:textId="77777777" w:rsidR="00727086" w:rsidRPr="00EF5714" w:rsidRDefault="00727086" w:rsidP="00727086">
      <w:pPr>
        <w:spacing w:line="240" w:lineRule="auto"/>
        <w:jc w:val="center"/>
        <w:rPr>
          <w:rStyle w:val="Referenciasutil"/>
          <w:rFonts w:ascii="Bookman Old Style" w:hAnsi="Bookman Old Style"/>
          <w:b/>
          <w:color w:val="auto"/>
          <w14:textOutline w14:w="0" w14:cap="flat" w14:cmpd="sng" w14:algn="ctr">
            <w14:noFill/>
            <w14:prstDash w14:val="solid"/>
            <w14:round/>
          </w14:textOutline>
        </w:rPr>
      </w:pPr>
      <w:r w:rsidRPr="00EF5714">
        <w:rPr>
          <w:rStyle w:val="Referenciasutil"/>
          <w:rFonts w:ascii="Bookman Old Style" w:hAnsi="Bookman Old Style"/>
          <w:b/>
          <w:color w:val="auto"/>
          <w14:textOutline w14:w="0" w14:cap="flat" w14:cmpd="sng" w14:algn="ctr">
            <w14:noFill/>
            <w14:prstDash w14:val="solid"/>
            <w14:round/>
          </w14:textOutline>
        </w:rPr>
        <w:t>RAMA JUDICIAL DEL PODER PÚBLICO</w:t>
      </w:r>
    </w:p>
    <w:p w14:paraId="296E32C5" w14:textId="77777777" w:rsidR="00727086" w:rsidRPr="00EF5714" w:rsidRDefault="00727086" w:rsidP="00727086">
      <w:pPr>
        <w:spacing w:line="240" w:lineRule="auto"/>
        <w:jc w:val="center"/>
        <w:rPr>
          <w:rStyle w:val="Referenciasutil"/>
          <w:rFonts w:ascii="Bookman Old Style" w:hAnsi="Bookman Old Style"/>
          <w:b/>
          <w:color w:val="auto"/>
          <w14:textOutline w14:w="0" w14:cap="flat" w14:cmpd="sng" w14:algn="ctr">
            <w14:noFill/>
            <w14:prstDash w14:val="solid"/>
            <w14:round/>
          </w14:textOutline>
        </w:rPr>
      </w:pPr>
      <w:r w:rsidRPr="00EF5714">
        <w:rPr>
          <w:rStyle w:val="Referenciasutil"/>
          <w:rFonts w:ascii="Bookman Old Style" w:hAnsi="Bookman Old Style"/>
          <w:b/>
          <w:noProof/>
          <w:color w:val="auto"/>
          <w:lang w:val="en-US"/>
          <w14:textOutline w14:w="0" w14:cap="flat" w14:cmpd="sng" w14:algn="ctr">
            <w14:noFill/>
            <w14:prstDash w14:val="solid"/>
            <w14:round/>
          </w14:textOutline>
        </w:rPr>
        <w:drawing>
          <wp:inline distT="0" distB="0" distL="0" distR="0" wp14:anchorId="6734A3BA" wp14:editId="697A08E9">
            <wp:extent cx="797560" cy="595630"/>
            <wp:effectExtent l="0" t="0" r="254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560" cy="595630"/>
                    </a:xfrm>
                    <a:prstGeom prst="rect">
                      <a:avLst/>
                    </a:prstGeom>
                    <a:noFill/>
                    <a:ln>
                      <a:noFill/>
                    </a:ln>
                  </pic:spPr>
                </pic:pic>
              </a:graphicData>
            </a:graphic>
          </wp:inline>
        </w:drawing>
      </w:r>
    </w:p>
    <w:p w14:paraId="039E6CF0" w14:textId="77777777" w:rsidR="00727086" w:rsidRPr="00EF5714" w:rsidRDefault="00727086" w:rsidP="00727086">
      <w:pPr>
        <w:spacing w:line="240" w:lineRule="auto"/>
        <w:jc w:val="center"/>
        <w:rPr>
          <w:rStyle w:val="Referenciasutil"/>
          <w:rFonts w:ascii="Bookman Old Style" w:hAnsi="Bookman Old Style"/>
          <w:b/>
          <w:color w:val="auto"/>
          <w14:textOutline w14:w="0" w14:cap="flat" w14:cmpd="sng" w14:algn="ctr">
            <w14:noFill/>
            <w14:prstDash w14:val="solid"/>
            <w14:round/>
          </w14:textOutline>
        </w:rPr>
      </w:pPr>
      <w:r w:rsidRPr="00EF5714">
        <w:rPr>
          <w:rStyle w:val="Referenciasutil"/>
          <w:rFonts w:ascii="Bookman Old Style" w:hAnsi="Bookman Old Style"/>
          <w:b/>
          <w:color w:val="auto"/>
          <w14:textOutline w14:w="0" w14:cap="flat" w14:cmpd="sng" w14:algn="ctr">
            <w14:noFill/>
            <w14:prstDash w14:val="solid"/>
            <w14:round/>
          </w14:textOutline>
        </w:rPr>
        <w:t>TRIBUNAL SUPERIOR DEL DISTRITO JUDICIAL DE PEREIRA</w:t>
      </w:r>
    </w:p>
    <w:p w14:paraId="6FC5DD98" w14:textId="77777777" w:rsidR="00727086" w:rsidRPr="00EF5714" w:rsidRDefault="00727086" w:rsidP="00727086">
      <w:pPr>
        <w:spacing w:line="240" w:lineRule="auto"/>
        <w:jc w:val="center"/>
        <w:rPr>
          <w:rStyle w:val="Referenciasutil"/>
          <w:rFonts w:ascii="Bookman Old Style" w:hAnsi="Bookman Old Style"/>
          <w:b/>
          <w:color w:val="auto"/>
          <w14:textOutline w14:w="0" w14:cap="flat" w14:cmpd="sng" w14:algn="ctr">
            <w14:noFill/>
            <w14:prstDash w14:val="solid"/>
            <w14:round/>
          </w14:textOutline>
        </w:rPr>
      </w:pPr>
      <w:r w:rsidRPr="00EF5714">
        <w:rPr>
          <w:rStyle w:val="Referenciasutil"/>
          <w:rFonts w:ascii="Bookman Old Style" w:hAnsi="Bookman Old Style"/>
          <w:b/>
          <w:color w:val="auto"/>
          <w14:textOutline w14:w="0" w14:cap="flat" w14:cmpd="sng" w14:algn="ctr">
            <w14:noFill/>
            <w14:prstDash w14:val="solid"/>
            <w14:round/>
          </w14:textOutline>
        </w:rPr>
        <w:t>SALA DE DECISIÓN LABORAL</w:t>
      </w:r>
    </w:p>
    <w:p w14:paraId="14D30915" w14:textId="77777777" w:rsidR="00727086" w:rsidRPr="00EF5714" w:rsidRDefault="00727086" w:rsidP="00727086">
      <w:pPr>
        <w:spacing w:line="240" w:lineRule="auto"/>
        <w:jc w:val="center"/>
        <w:rPr>
          <w:rStyle w:val="Referenciasutil"/>
          <w:rFonts w:ascii="Bookman Old Style" w:hAnsi="Bookman Old Style"/>
          <w:b/>
          <w:color w:val="auto"/>
          <w14:textOutline w14:w="0" w14:cap="flat" w14:cmpd="sng" w14:algn="ctr">
            <w14:noFill/>
            <w14:prstDash w14:val="solid"/>
            <w14:round/>
          </w14:textOutline>
        </w:rPr>
      </w:pPr>
    </w:p>
    <w:p w14:paraId="7F101DA7" w14:textId="77777777" w:rsidR="00727086" w:rsidRPr="00EF5714" w:rsidRDefault="00727086" w:rsidP="00727086">
      <w:pPr>
        <w:spacing w:line="240" w:lineRule="auto"/>
        <w:jc w:val="center"/>
        <w:rPr>
          <w:rStyle w:val="Referenciasutil"/>
          <w:rFonts w:ascii="Bookman Old Style" w:hAnsi="Bookman Old Style"/>
          <w:b/>
          <w:color w:val="auto"/>
          <w14:textOutline w14:w="0" w14:cap="flat" w14:cmpd="sng" w14:algn="ctr">
            <w14:noFill/>
            <w14:prstDash w14:val="solid"/>
            <w14:round/>
          </w14:textOutline>
        </w:rPr>
      </w:pPr>
      <w:r w:rsidRPr="00EF5714">
        <w:rPr>
          <w:rStyle w:val="Referenciasutil"/>
          <w:rFonts w:ascii="Bookman Old Style" w:hAnsi="Bookman Old Style"/>
          <w:b/>
          <w:color w:val="auto"/>
          <w14:textOutline w14:w="0" w14:cap="flat" w14:cmpd="sng" w14:algn="ctr">
            <w14:noFill/>
            <w14:prstDash w14:val="solid"/>
            <w14:round/>
          </w14:textOutline>
        </w:rPr>
        <w:t xml:space="preserve">Dr. GERMÁN DARÍO </w:t>
      </w:r>
      <w:proofErr w:type="spellStart"/>
      <w:r w:rsidRPr="00EF5714">
        <w:rPr>
          <w:rStyle w:val="Referenciasutil"/>
          <w:rFonts w:ascii="Bookman Old Style" w:hAnsi="Bookman Old Style"/>
          <w:b/>
          <w:color w:val="auto"/>
          <w14:textOutline w14:w="0" w14:cap="flat" w14:cmpd="sng" w14:algn="ctr">
            <w14:noFill/>
            <w14:prstDash w14:val="solid"/>
            <w14:round/>
          </w14:textOutline>
        </w:rPr>
        <w:t>GÓEZ</w:t>
      </w:r>
      <w:proofErr w:type="spellEnd"/>
      <w:r w:rsidRPr="00EF5714">
        <w:rPr>
          <w:rStyle w:val="Referenciasutil"/>
          <w:rFonts w:ascii="Bookman Old Style" w:hAnsi="Bookman Old Style"/>
          <w:b/>
          <w:color w:val="auto"/>
          <w14:textOutline w14:w="0" w14:cap="flat" w14:cmpd="sng" w14:algn="ctr">
            <w14:noFill/>
            <w14:prstDash w14:val="solid"/>
            <w14:round/>
          </w14:textOutline>
        </w:rPr>
        <w:t xml:space="preserve"> </w:t>
      </w:r>
      <w:proofErr w:type="spellStart"/>
      <w:r w:rsidRPr="00EF5714">
        <w:rPr>
          <w:rStyle w:val="Referenciasutil"/>
          <w:rFonts w:ascii="Bookman Old Style" w:hAnsi="Bookman Old Style"/>
          <w:b/>
          <w:color w:val="auto"/>
          <w14:textOutline w14:w="0" w14:cap="flat" w14:cmpd="sng" w14:algn="ctr">
            <w14:noFill/>
            <w14:prstDash w14:val="solid"/>
            <w14:round/>
          </w14:textOutline>
        </w:rPr>
        <w:t>VINASCO</w:t>
      </w:r>
      <w:proofErr w:type="spellEnd"/>
    </w:p>
    <w:p w14:paraId="284E8442" w14:textId="77777777" w:rsidR="00727086" w:rsidRPr="00EF5714" w:rsidRDefault="00727086" w:rsidP="00727086">
      <w:pPr>
        <w:spacing w:line="240" w:lineRule="auto"/>
        <w:jc w:val="center"/>
        <w:rPr>
          <w:rStyle w:val="Referenciasutil"/>
          <w:rFonts w:ascii="Bookman Old Style" w:hAnsi="Bookman Old Style"/>
          <w:color w:val="auto"/>
          <w14:textOutline w14:w="0" w14:cap="flat" w14:cmpd="sng" w14:algn="ctr">
            <w14:noFill/>
            <w14:prstDash w14:val="solid"/>
            <w14:round/>
          </w14:textOutline>
        </w:rPr>
      </w:pPr>
      <w:r w:rsidRPr="00EF5714">
        <w:rPr>
          <w:rStyle w:val="Referenciasutil"/>
          <w:rFonts w:ascii="Bookman Old Style" w:hAnsi="Bookman Old Style"/>
          <w:color w:val="auto"/>
          <w14:textOutline w14:w="0" w14:cap="flat" w14:cmpd="sng" w14:algn="ctr">
            <w14:noFill/>
            <w14:prstDash w14:val="solid"/>
            <w14:round/>
          </w14:textOutline>
        </w:rPr>
        <w:t>Magistrado Ponente</w:t>
      </w:r>
    </w:p>
    <w:p w14:paraId="1ADF3176" w14:textId="77777777" w:rsidR="005B5103" w:rsidRPr="00EF5714" w:rsidRDefault="005B5103" w:rsidP="00D6073B">
      <w:pPr>
        <w:spacing w:line="240" w:lineRule="auto"/>
        <w:rPr>
          <w:rStyle w:val="Referenciasutil"/>
          <w:rFonts w:ascii="Bookman Old Style" w:hAnsi="Bookman Old Style"/>
          <w:smallCaps w:val="0"/>
          <w:color w:val="auto"/>
          <w14:textOutline w14:w="0" w14:cap="flat" w14:cmpd="sng" w14:algn="ctr">
            <w14:noFill/>
            <w14:prstDash w14:val="solid"/>
            <w14:round/>
          </w14:textOutline>
        </w:rPr>
      </w:pPr>
    </w:p>
    <w:tbl>
      <w:tblPr>
        <w:tblStyle w:val="Cuadrculadetablaclara"/>
        <w:tblW w:w="0" w:type="auto"/>
        <w:jc w:val="center"/>
        <w:tblLook w:val="04A0" w:firstRow="1" w:lastRow="0" w:firstColumn="1" w:lastColumn="0" w:noHBand="0" w:noVBand="1"/>
      </w:tblPr>
      <w:tblGrid>
        <w:gridCol w:w="1838"/>
        <w:gridCol w:w="5245"/>
      </w:tblGrid>
      <w:tr w:rsidR="0096530F" w:rsidRPr="00E165AC" w14:paraId="345F6B67" w14:textId="77777777" w:rsidTr="7F70C442">
        <w:trPr>
          <w:jc w:val="center"/>
        </w:trPr>
        <w:tc>
          <w:tcPr>
            <w:tcW w:w="1838" w:type="dxa"/>
            <w:vAlign w:val="center"/>
          </w:tcPr>
          <w:p w14:paraId="7F36BC50" w14:textId="7B2A9A79" w:rsidR="006912AC" w:rsidRPr="00F9118D" w:rsidRDefault="006912AC" w:rsidP="00F9118D">
            <w:pPr>
              <w:rPr>
                <w:rStyle w:val="Referenciasutil"/>
                <w:rFonts w:ascii="Bookman Old Style" w:hAnsi="Bookman Old Style"/>
                <w:bCs/>
                <w:smallCaps w:val="0"/>
                <w:color w:val="auto"/>
                <w:sz w:val="22"/>
                <w14:textOutline w14:w="0" w14:cap="flat" w14:cmpd="sng" w14:algn="ctr">
                  <w14:noFill/>
                  <w14:prstDash w14:val="solid"/>
                  <w14:round/>
                </w14:textOutline>
              </w:rPr>
            </w:pPr>
            <w:r w:rsidRPr="00F9118D">
              <w:rPr>
                <w:rStyle w:val="Referenciasutil"/>
                <w:rFonts w:ascii="Bookman Old Style" w:hAnsi="Bookman Old Style"/>
                <w:bCs/>
                <w:smallCaps w:val="0"/>
                <w:color w:val="auto"/>
                <w:sz w:val="22"/>
                <w14:textOutline w14:w="0" w14:cap="flat" w14:cmpd="sng" w14:algn="ctr">
                  <w14:noFill/>
                  <w14:prstDash w14:val="solid"/>
                  <w14:round/>
                </w14:textOutline>
              </w:rPr>
              <w:t>Proceso:</w:t>
            </w:r>
          </w:p>
        </w:tc>
        <w:tc>
          <w:tcPr>
            <w:tcW w:w="5245" w:type="dxa"/>
          </w:tcPr>
          <w:p w14:paraId="71E3346F" w14:textId="59A6EDB0" w:rsidR="006912AC" w:rsidRPr="00F9118D" w:rsidRDefault="00B56669" w:rsidP="00F9118D">
            <w:pPr>
              <w:rPr>
                <w:rStyle w:val="Referenciasutil"/>
                <w:rFonts w:ascii="Bookman Old Style" w:hAnsi="Bookman Old Style"/>
                <w:smallCaps w:val="0"/>
                <w:color w:val="auto"/>
                <w:sz w:val="22"/>
                <w14:textOutline w14:w="0" w14:cap="flat" w14:cmpd="sng" w14:algn="ctr">
                  <w14:noFill/>
                  <w14:prstDash w14:val="solid"/>
                  <w14:round/>
                </w14:textOutline>
              </w:rPr>
            </w:pPr>
            <w:r w:rsidRPr="00F9118D">
              <w:rPr>
                <w:rStyle w:val="Referenciasutil"/>
                <w:rFonts w:ascii="Bookman Old Style" w:hAnsi="Bookman Old Style"/>
                <w:smallCaps w:val="0"/>
                <w:color w:val="auto"/>
                <w:sz w:val="22"/>
                <w14:textOutline w14:w="0" w14:cap="flat" w14:cmpd="sng" w14:algn="ctr">
                  <w14:noFill/>
                  <w14:prstDash w14:val="solid"/>
                  <w14:round/>
                </w14:textOutline>
              </w:rPr>
              <w:t>Ordinario laboral</w:t>
            </w:r>
          </w:p>
        </w:tc>
      </w:tr>
      <w:tr w:rsidR="0096530F" w:rsidRPr="00E165AC" w14:paraId="089382ED" w14:textId="77777777" w:rsidTr="7F70C442">
        <w:trPr>
          <w:jc w:val="center"/>
        </w:trPr>
        <w:tc>
          <w:tcPr>
            <w:tcW w:w="1838" w:type="dxa"/>
            <w:vAlign w:val="center"/>
          </w:tcPr>
          <w:p w14:paraId="1BBEFCC4" w14:textId="3C6620AC" w:rsidR="006912AC" w:rsidRPr="00F9118D" w:rsidRDefault="006912AC" w:rsidP="00F9118D">
            <w:pPr>
              <w:rPr>
                <w:rStyle w:val="Referenciasutil"/>
                <w:rFonts w:ascii="Bookman Old Style" w:hAnsi="Bookman Old Style"/>
                <w:bCs/>
                <w:smallCaps w:val="0"/>
                <w:color w:val="auto"/>
                <w:sz w:val="22"/>
                <w14:textOutline w14:w="0" w14:cap="flat" w14:cmpd="sng" w14:algn="ctr">
                  <w14:noFill/>
                  <w14:prstDash w14:val="solid"/>
                  <w14:round/>
                </w14:textOutline>
              </w:rPr>
            </w:pPr>
            <w:r w:rsidRPr="00F9118D">
              <w:rPr>
                <w:rStyle w:val="Referenciasutil"/>
                <w:rFonts w:ascii="Bookman Old Style" w:hAnsi="Bookman Old Style"/>
                <w:bCs/>
                <w:smallCaps w:val="0"/>
                <w:color w:val="auto"/>
                <w:sz w:val="22"/>
                <w14:textOutline w14:w="0" w14:cap="flat" w14:cmpd="sng" w14:algn="ctr">
                  <w14:noFill/>
                  <w14:prstDash w14:val="solid"/>
                  <w14:round/>
                </w14:textOutline>
              </w:rPr>
              <w:t>Radicado:</w:t>
            </w:r>
          </w:p>
        </w:tc>
        <w:tc>
          <w:tcPr>
            <w:tcW w:w="5245" w:type="dxa"/>
          </w:tcPr>
          <w:p w14:paraId="08F3B5D6" w14:textId="7AFFA235" w:rsidR="006912AC" w:rsidRPr="00F9118D" w:rsidRDefault="7739D02D" w:rsidP="00F9118D">
            <w:pPr>
              <w:rPr>
                <w:rStyle w:val="Referenciasutil"/>
                <w:rFonts w:ascii="Bookman Old Style" w:hAnsi="Bookman Old Style"/>
                <w:smallCaps w:val="0"/>
                <w:color w:val="auto"/>
                <w:sz w:val="22"/>
              </w:rPr>
            </w:pPr>
            <w:r w:rsidRPr="00F9118D">
              <w:rPr>
                <w:rStyle w:val="Referenciasutil"/>
                <w:rFonts w:ascii="Bookman Old Style" w:hAnsi="Bookman Old Style"/>
                <w:smallCaps w:val="0"/>
                <w:color w:val="auto"/>
                <w:sz w:val="22"/>
              </w:rPr>
              <w:t>66001310500520170034002</w:t>
            </w:r>
          </w:p>
        </w:tc>
      </w:tr>
      <w:tr w:rsidR="0096530F" w:rsidRPr="00E165AC" w14:paraId="786E7AD0" w14:textId="77777777" w:rsidTr="7F70C442">
        <w:trPr>
          <w:jc w:val="center"/>
        </w:trPr>
        <w:tc>
          <w:tcPr>
            <w:tcW w:w="1838" w:type="dxa"/>
            <w:vAlign w:val="center"/>
          </w:tcPr>
          <w:p w14:paraId="2523D8C2" w14:textId="44C4B95A" w:rsidR="006912AC" w:rsidRPr="00F9118D" w:rsidRDefault="006912AC" w:rsidP="00F9118D">
            <w:pPr>
              <w:rPr>
                <w:rStyle w:val="Referenciasutil"/>
                <w:rFonts w:ascii="Bookman Old Style" w:hAnsi="Bookman Old Style"/>
                <w:bCs/>
                <w:smallCaps w:val="0"/>
                <w:color w:val="auto"/>
                <w:sz w:val="22"/>
                <w14:textOutline w14:w="0" w14:cap="flat" w14:cmpd="sng" w14:algn="ctr">
                  <w14:noFill/>
                  <w14:prstDash w14:val="solid"/>
                  <w14:round/>
                </w14:textOutline>
              </w:rPr>
            </w:pPr>
            <w:r w:rsidRPr="00F9118D">
              <w:rPr>
                <w:rStyle w:val="Referenciasutil"/>
                <w:rFonts w:ascii="Bookman Old Style" w:hAnsi="Bookman Old Style"/>
                <w:bCs/>
                <w:smallCaps w:val="0"/>
                <w:color w:val="auto"/>
                <w:sz w:val="22"/>
                <w14:textOutline w14:w="0" w14:cap="flat" w14:cmpd="sng" w14:algn="ctr">
                  <w14:noFill/>
                  <w14:prstDash w14:val="solid"/>
                  <w14:round/>
                </w14:textOutline>
              </w:rPr>
              <w:t>Demandante:</w:t>
            </w:r>
          </w:p>
        </w:tc>
        <w:tc>
          <w:tcPr>
            <w:tcW w:w="5245" w:type="dxa"/>
          </w:tcPr>
          <w:p w14:paraId="6B3F5A0C" w14:textId="21A55B76" w:rsidR="006912AC" w:rsidRPr="00F9118D" w:rsidRDefault="591EFE2A" w:rsidP="00F9118D">
            <w:pPr>
              <w:rPr>
                <w:rStyle w:val="Referenciasutil"/>
                <w:rFonts w:ascii="Bookman Old Style" w:hAnsi="Bookman Old Style"/>
                <w:smallCaps w:val="0"/>
                <w:color w:val="auto"/>
                <w:sz w:val="22"/>
              </w:rPr>
            </w:pPr>
            <w:r w:rsidRPr="00F9118D">
              <w:rPr>
                <w:rStyle w:val="Referenciasutil"/>
                <w:rFonts w:ascii="Bookman Old Style" w:hAnsi="Bookman Old Style"/>
                <w:smallCaps w:val="0"/>
                <w:color w:val="auto"/>
                <w:sz w:val="22"/>
              </w:rPr>
              <w:t>Luz Edilma Carmona Gómez</w:t>
            </w:r>
          </w:p>
        </w:tc>
      </w:tr>
      <w:tr w:rsidR="0096530F" w:rsidRPr="00E165AC" w14:paraId="7AC99A55" w14:textId="77777777" w:rsidTr="7F70C442">
        <w:trPr>
          <w:jc w:val="center"/>
        </w:trPr>
        <w:tc>
          <w:tcPr>
            <w:tcW w:w="1838" w:type="dxa"/>
            <w:vAlign w:val="center"/>
          </w:tcPr>
          <w:p w14:paraId="3137577A" w14:textId="71C61D4D" w:rsidR="006912AC" w:rsidRPr="00F9118D" w:rsidRDefault="006912AC" w:rsidP="00F9118D">
            <w:pPr>
              <w:rPr>
                <w:rStyle w:val="Referenciasutil"/>
                <w:rFonts w:ascii="Bookman Old Style" w:hAnsi="Bookman Old Style"/>
                <w:bCs/>
                <w:smallCaps w:val="0"/>
                <w:color w:val="auto"/>
                <w:sz w:val="22"/>
                <w14:textOutline w14:w="0" w14:cap="flat" w14:cmpd="sng" w14:algn="ctr">
                  <w14:noFill/>
                  <w14:prstDash w14:val="solid"/>
                  <w14:round/>
                </w14:textOutline>
              </w:rPr>
            </w:pPr>
            <w:r w:rsidRPr="00F9118D">
              <w:rPr>
                <w:rStyle w:val="Referenciasutil"/>
                <w:rFonts w:ascii="Bookman Old Style" w:hAnsi="Bookman Old Style"/>
                <w:bCs/>
                <w:smallCaps w:val="0"/>
                <w:color w:val="auto"/>
                <w:sz w:val="22"/>
                <w14:textOutline w14:w="0" w14:cap="flat" w14:cmpd="sng" w14:algn="ctr">
                  <w14:noFill/>
                  <w14:prstDash w14:val="solid"/>
                  <w14:round/>
                </w14:textOutline>
              </w:rPr>
              <w:t>Demandado:</w:t>
            </w:r>
          </w:p>
        </w:tc>
        <w:tc>
          <w:tcPr>
            <w:tcW w:w="5245" w:type="dxa"/>
          </w:tcPr>
          <w:p w14:paraId="3323ADA6" w14:textId="660471BA" w:rsidR="006912AC" w:rsidRPr="00F9118D" w:rsidRDefault="00B56669" w:rsidP="00F9118D">
            <w:pPr>
              <w:rPr>
                <w:rStyle w:val="Referenciasutil"/>
                <w:rFonts w:ascii="Bookman Old Style" w:hAnsi="Bookman Old Style"/>
                <w:smallCaps w:val="0"/>
                <w:color w:val="auto"/>
                <w:sz w:val="22"/>
                <w14:textOutline w14:w="0" w14:cap="flat" w14:cmpd="sng" w14:algn="ctr">
                  <w14:noFill/>
                  <w14:prstDash w14:val="solid"/>
                  <w14:round/>
                </w14:textOutline>
              </w:rPr>
            </w:pPr>
            <w:r w:rsidRPr="00F9118D">
              <w:rPr>
                <w:rStyle w:val="Referenciasutil"/>
                <w:rFonts w:ascii="Bookman Old Style" w:hAnsi="Bookman Old Style"/>
                <w:smallCaps w:val="0"/>
                <w:color w:val="auto"/>
                <w:sz w:val="22"/>
                <w14:textOutline w14:w="0" w14:cap="flat" w14:cmpd="sng" w14:algn="ctr">
                  <w14:noFill/>
                  <w14:prstDash w14:val="solid"/>
                  <w14:round/>
                </w14:textOutline>
              </w:rPr>
              <w:t>Protección S.A</w:t>
            </w:r>
            <w:r w:rsidR="00F9118D">
              <w:rPr>
                <w:rStyle w:val="Referenciasutil"/>
                <w:rFonts w:ascii="Bookman Old Style" w:hAnsi="Bookman Old Style"/>
                <w:smallCaps w:val="0"/>
                <w:color w:val="auto"/>
                <w:sz w:val="22"/>
                <w14:textOutline w14:w="0" w14:cap="flat" w14:cmpd="sng" w14:algn="ctr">
                  <w14:noFill/>
                  <w14:prstDash w14:val="solid"/>
                  <w14:round/>
                </w14:textOutline>
              </w:rPr>
              <w:t>.</w:t>
            </w:r>
          </w:p>
        </w:tc>
      </w:tr>
      <w:tr w:rsidR="0096530F" w:rsidRPr="00E165AC" w14:paraId="779E5B8B" w14:textId="77777777" w:rsidTr="7F70C442">
        <w:trPr>
          <w:jc w:val="center"/>
        </w:trPr>
        <w:tc>
          <w:tcPr>
            <w:tcW w:w="1838" w:type="dxa"/>
            <w:vAlign w:val="center"/>
          </w:tcPr>
          <w:p w14:paraId="7A29D6CF" w14:textId="5E70610D" w:rsidR="006912AC" w:rsidRPr="00F9118D" w:rsidRDefault="006912AC" w:rsidP="00F9118D">
            <w:pPr>
              <w:rPr>
                <w:rStyle w:val="Referenciasutil"/>
                <w:rFonts w:ascii="Bookman Old Style" w:hAnsi="Bookman Old Style"/>
                <w:bCs/>
                <w:smallCaps w:val="0"/>
                <w:color w:val="auto"/>
                <w:sz w:val="22"/>
                <w14:textOutline w14:w="0" w14:cap="flat" w14:cmpd="sng" w14:algn="ctr">
                  <w14:noFill/>
                  <w14:prstDash w14:val="solid"/>
                  <w14:round/>
                </w14:textOutline>
              </w:rPr>
            </w:pPr>
            <w:r w:rsidRPr="00F9118D">
              <w:rPr>
                <w:rStyle w:val="Referenciasutil"/>
                <w:rFonts w:ascii="Bookman Old Style" w:hAnsi="Bookman Old Style"/>
                <w:bCs/>
                <w:smallCaps w:val="0"/>
                <w:color w:val="auto"/>
                <w:sz w:val="22"/>
                <w14:textOutline w14:w="0" w14:cap="flat" w14:cmpd="sng" w14:algn="ctr">
                  <w14:noFill/>
                  <w14:prstDash w14:val="solid"/>
                  <w14:round/>
                </w14:textOutline>
              </w:rPr>
              <w:t>Asunto:</w:t>
            </w:r>
          </w:p>
        </w:tc>
        <w:tc>
          <w:tcPr>
            <w:tcW w:w="5245" w:type="dxa"/>
          </w:tcPr>
          <w:p w14:paraId="3222AEF3" w14:textId="7A7CCEA5" w:rsidR="006912AC" w:rsidRPr="00F9118D" w:rsidRDefault="00B56669" w:rsidP="00F9118D">
            <w:pPr>
              <w:rPr>
                <w:rStyle w:val="Referenciasutil"/>
                <w:rFonts w:ascii="Bookman Old Style" w:hAnsi="Bookman Old Style"/>
                <w:smallCaps w:val="0"/>
                <w:color w:val="auto"/>
                <w:sz w:val="22"/>
                <w14:textOutline w14:w="0" w14:cap="flat" w14:cmpd="sng" w14:algn="ctr">
                  <w14:noFill/>
                  <w14:prstDash w14:val="solid"/>
                  <w14:round/>
                </w14:textOutline>
              </w:rPr>
            </w:pPr>
            <w:r w:rsidRPr="00F9118D">
              <w:rPr>
                <w:rStyle w:val="Referenciasutil"/>
                <w:rFonts w:ascii="Bookman Old Style" w:hAnsi="Bookman Old Style"/>
                <w:smallCaps w:val="0"/>
                <w:color w:val="auto"/>
                <w:sz w:val="22"/>
                <w14:textOutline w14:w="0" w14:cap="flat" w14:cmpd="sng" w14:algn="ctr">
                  <w14:noFill/>
                  <w14:prstDash w14:val="solid"/>
                  <w14:round/>
                </w14:textOutline>
              </w:rPr>
              <w:t>Apelación auto</w:t>
            </w:r>
            <w:r w:rsidR="006A0BAF" w:rsidRPr="00F9118D">
              <w:rPr>
                <w:rStyle w:val="Referenciasutil"/>
                <w:rFonts w:ascii="Bookman Old Style" w:hAnsi="Bookman Old Style"/>
                <w:smallCaps w:val="0"/>
                <w:color w:val="auto"/>
                <w:sz w:val="22"/>
                <w14:textOutline w14:w="0" w14:cap="flat" w14:cmpd="sng" w14:algn="ctr">
                  <w14:noFill/>
                  <w14:prstDash w14:val="solid"/>
                  <w14:round/>
                </w14:textOutline>
              </w:rPr>
              <w:t xml:space="preserve"> 09-02-2023</w:t>
            </w:r>
          </w:p>
        </w:tc>
      </w:tr>
      <w:tr w:rsidR="0096530F" w:rsidRPr="00E165AC" w14:paraId="1366DDE3" w14:textId="77777777" w:rsidTr="7F70C442">
        <w:trPr>
          <w:jc w:val="center"/>
        </w:trPr>
        <w:tc>
          <w:tcPr>
            <w:tcW w:w="1838" w:type="dxa"/>
            <w:vAlign w:val="center"/>
          </w:tcPr>
          <w:p w14:paraId="0541CC3C" w14:textId="6A85076A" w:rsidR="006912AC" w:rsidRPr="00F9118D" w:rsidRDefault="006912AC" w:rsidP="00F9118D">
            <w:pPr>
              <w:rPr>
                <w:rStyle w:val="Referenciasutil"/>
                <w:rFonts w:ascii="Bookman Old Style" w:hAnsi="Bookman Old Style"/>
                <w:bCs/>
                <w:smallCaps w:val="0"/>
                <w:color w:val="auto"/>
                <w:sz w:val="22"/>
                <w14:textOutline w14:w="0" w14:cap="flat" w14:cmpd="sng" w14:algn="ctr">
                  <w14:noFill/>
                  <w14:prstDash w14:val="solid"/>
                  <w14:round/>
                </w14:textOutline>
              </w:rPr>
            </w:pPr>
            <w:r w:rsidRPr="00F9118D">
              <w:rPr>
                <w:rStyle w:val="Referenciasutil"/>
                <w:rFonts w:ascii="Bookman Old Style" w:hAnsi="Bookman Old Style"/>
                <w:bCs/>
                <w:smallCaps w:val="0"/>
                <w:color w:val="auto"/>
                <w:sz w:val="22"/>
                <w14:textOutline w14:w="0" w14:cap="flat" w14:cmpd="sng" w14:algn="ctr">
                  <w14:noFill/>
                  <w14:prstDash w14:val="solid"/>
                  <w14:round/>
                </w14:textOutline>
              </w:rPr>
              <w:t>Juzgado:</w:t>
            </w:r>
          </w:p>
        </w:tc>
        <w:tc>
          <w:tcPr>
            <w:tcW w:w="5245" w:type="dxa"/>
          </w:tcPr>
          <w:p w14:paraId="4844D331" w14:textId="6E247218" w:rsidR="006912AC" w:rsidRPr="00F9118D" w:rsidRDefault="006A0BAF" w:rsidP="00F9118D">
            <w:pPr>
              <w:jc w:val="both"/>
              <w:rPr>
                <w:rStyle w:val="Referenciasutil"/>
                <w:rFonts w:ascii="Bookman Old Style" w:hAnsi="Bookman Old Style"/>
                <w:smallCaps w:val="0"/>
                <w:color w:val="auto"/>
                <w:sz w:val="22"/>
                <w14:textOutline w14:w="0" w14:cap="flat" w14:cmpd="sng" w14:algn="ctr">
                  <w14:noFill/>
                  <w14:prstDash w14:val="solid"/>
                  <w14:round/>
                </w14:textOutline>
              </w:rPr>
            </w:pPr>
            <w:r w:rsidRPr="00F9118D">
              <w:rPr>
                <w:rStyle w:val="Referenciasutil"/>
                <w:rFonts w:ascii="Bookman Old Style" w:hAnsi="Bookman Old Style"/>
                <w:smallCaps w:val="0"/>
                <w:color w:val="auto"/>
                <w:sz w:val="22"/>
                <w14:textOutline w14:w="0" w14:cap="flat" w14:cmpd="sng" w14:algn="ctr">
                  <w14:noFill/>
                  <w14:prstDash w14:val="solid"/>
                  <w14:round/>
                </w14:textOutline>
              </w:rPr>
              <w:t>Quinto</w:t>
            </w:r>
            <w:r w:rsidR="00B56669" w:rsidRPr="00F9118D">
              <w:rPr>
                <w:rStyle w:val="Referenciasutil"/>
                <w:rFonts w:ascii="Bookman Old Style" w:hAnsi="Bookman Old Style"/>
                <w:smallCaps w:val="0"/>
                <w:color w:val="auto"/>
                <w:sz w:val="22"/>
                <w14:textOutline w14:w="0" w14:cap="flat" w14:cmpd="sng" w14:algn="ctr">
                  <w14:noFill/>
                  <w14:prstDash w14:val="solid"/>
                  <w14:round/>
                </w14:textOutline>
              </w:rPr>
              <w:t xml:space="preserve"> laboral circuito</w:t>
            </w:r>
          </w:p>
        </w:tc>
      </w:tr>
      <w:tr w:rsidR="0096530F" w:rsidRPr="00E165AC" w14:paraId="375EB468" w14:textId="77777777" w:rsidTr="7F70C442">
        <w:trPr>
          <w:jc w:val="center"/>
        </w:trPr>
        <w:tc>
          <w:tcPr>
            <w:tcW w:w="1838" w:type="dxa"/>
            <w:vAlign w:val="center"/>
          </w:tcPr>
          <w:p w14:paraId="2CFFA2B0" w14:textId="4507DB7B" w:rsidR="006912AC" w:rsidRPr="00F9118D" w:rsidRDefault="006912AC" w:rsidP="00F9118D">
            <w:pPr>
              <w:rPr>
                <w:rStyle w:val="Referenciasutil"/>
                <w:rFonts w:ascii="Bookman Old Style" w:hAnsi="Bookman Old Style"/>
                <w:bCs/>
                <w:smallCaps w:val="0"/>
                <w:color w:val="auto"/>
                <w:sz w:val="22"/>
                <w14:textOutline w14:w="0" w14:cap="flat" w14:cmpd="sng" w14:algn="ctr">
                  <w14:noFill/>
                  <w14:prstDash w14:val="solid"/>
                  <w14:round/>
                </w14:textOutline>
              </w:rPr>
            </w:pPr>
            <w:r w:rsidRPr="00F9118D">
              <w:rPr>
                <w:rStyle w:val="Referenciasutil"/>
                <w:rFonts w:ascii="Bookman Old Style" w:hAnsi="Bookman Old Style"/>
                <w:bCs/>
                <w:smallCaps w:val="0"/>
                <w:color w:val="auto"/>
                <w:sz w:val="22"/>
                <w14:textOutline w14:w="0" w14:cap="flat" w14:cmpd="sng" w14:algn="ctr">
                  <w14:noFill/>
                  <w14:prstDash w14:val="solid"/>
                  <w14:round/>
                </w14:textOutline>
              </w:rPr>
              <w:t>Tema:</w:t>
            </w:r>
          </w:p>
        </w:tc>
        <w:tc>
          <w:tcPr>
            <w:tcW w:w="5245" w:type="dxa"/>
          </w:tcPr>
          <w:p w14:paraId="66110E4E" w14:textId="058306B9" w:rsidR="006912AC" w:rsidRPr="00F9118D" w:rsidRDefault="00B56669" w:rsidP="00F9118D">
            <w:pPr>
              <w:jc w:val="both"/>
              <w:rPr>
                <w:rStyle w:val="Referenciasutil"/>
                <w:rFonts w:ascii="Bookman Old Style" w:hAnsi="Bookman Old Style"/>
                <w:smallCaps w:val="0"/>
                <w:color w:val="auto"/>
                <w:sz w:val="22"/>
                <w14:textOutline w14:w="0" w14:cap="flat" w14:cmpd="sng" w14:algn="ctr">
                  <w14:noFill/>
                  <w14:prstDash w14:val="solid"/>
                  <w14:round/>
                </w14:textOutline>
              </w:rPr>
            </w:pPr>
            <w:r w:rsidRPr="00F9118D">
              <w:rPr>
                <w:rStyle w:val="Referenciasutil"/>
                <w:rFonts w:ascii="Bookman Old Style" w:hAnsi="Bookman Old Style"/>
                <w:smallCaps w:val="0"/>
                <w:color w:val="auto"/>
                <w:sz w:val="22"/>
                <w14:textOutline w14:w="0" w14:cap="flat" w14:cmpd="sng" w14:algn="ctr">
                  <w14:noFill/>
                  <w14:prstDash w14:val="solid"/>
                  <w14:round/>
                </w14:textOutline>
              </w:rPr>
              <w:t>Auto que resuelve la liquidación de las agencias en derecho.</w:t>
            </w:r>
          </w:p>
        </w:tc>
      </w:tr>
    </w:tbl>
    <w:p w14:paraId="12FBADC7" w14:textId="77777777" w:rsidR="00727086" w:rsidRPr="00E165AC" w:rsidRDefault="00727086" w:rsidP="00E165AC">
      <w:pPr>
        <w:spacing w:line="276" w:lineRule="auto"/>
        <w:ind w:firstLine="708"/>
        <w:jc w:val="both"/>
        <w:rPr>
          <w:rStyle w:val="Referenciasutil"/>
          <w:rFonts w:ascii="Bookman Old Style" w:hAnsi="Bookman Old Style"/>
          <w:smallCaps w:val="0"/>
          <w:color w:val="auto"/>
          <w14:textOutline w14:w="0" w14:cap="flat" w14:cmpd="sng" w14:algn="ctr">
            <w14:noFill/>
            <w14:prstDash w14:val="solid"/>
            <w14:round/>
          </w14:textOutline>
        </w:rPr>
      </w:pPr>
    </w:p>
    <w:p w14:paraId="4A6D7255" w14:textId="74054510" w:rsidR="0096530F" w:rsidRPr="00E165AC" w:rsidRDefault="0096530F" w:rsidP="00E165AC">
      <w:pPr>
        <w:spacing w:line="276" w:lineRule="auto"/>
        <w:jc w:val="center"/>
        <w:rPr>
          <w:rStyle w:val="Referenciasutil"/>
          <w:rFonts w:ascii="Bookman Old Style" w:hAnsi="Bookman Old Style"/>
          <w:b/>
          <w:smallCaps w:val="0"/>
          <w:color w:val="auto"/>
          <w14:textOutline w14:w="0" w14:cap="flat" w14:cmpd="sng" w14:algn="ctr">
            <w14:noFill/>
            <w14:prstDash w14:val="solid"/>
            <w14:round/>
          </w14:textOutline>
        </w:rPr>
      </w:pPr>
      <w:bookmarkStart w:id="0" w:name="_GoBack"/>
      <w:bookmarkEnd w:id="0"/>
      <w:r w:rsidRPr="00E165AC">
        <w:rPr>
          <w:rStyle w:val="Referenciasutil"/>
          <w:rFonts w:ascii="Bookman Old Style" w:hAnsi="Bookman Old Style"/>
          <w:b/>
          <w:smallCaps w:val="0"/>
          <w:color w:val="auto"/>
          <w14:textOutline w14:w="0" w14:cap="flat" w14:cmpd="sng" w14:algn="ctr">
            <w14:noFill/>
            <w14:prstDash w14:val="solid"/>
            <w14:round/>
          </w14:textOutline>
        </w:rPr>
        <w:t>APROBADO POR ACTA No.</w:t>
      </w:r>
      <w:r w:rsidR="00EF5714" w:rsidRPr="00E165AC">
        <w:rPr>
          <w:rStyle w:val="Referenciasutil"/>
          <w:rFonts w:ascii="Bookman Old Style" w:hAnsi="Bookman Old Style"/>
          <w:b/>
          <w:smallCaps w:val="0"/>
          <w:color w:val="auto"/>
          <w14:textOutline w14:w="0" w14:cap="flat" w14:cmpd="sng" w14:algn="ctr">
            <w14:noFill/>
            <w14:prstDash w14:val="solid"/>
            <w14:round/>
          </w14:textOutline>
        </w:rPr>
        <w:t xml:space="preserve"> 161 DEL 10 DE OCTUBRE DE 2023</w:t>
      </w:r>
    </w:p>
    <w:p w14:paraId="63C8025D" w14:textId="77777777" w:rsidR="0096530F" w:rsidRPr="00E165AC" w:rsidRDefault="0096530F" w:rsidP="00E165AC">
      <w:pPr>
        <w:spacing w:line="276" w:lineRule="auto"/>
        <w:jc w:val="center"/>
        <w:rPr>
          <w:rFonts w:ascii="Bookman Old Style" w:hAnsi="Bookman Old Style" w:cs="Arial"/>
          <w14:textOutline w14:w="0" w14:cap="flat" w14:cmpd="sng" w14:algn="ctr">
            <w14:noFill/>
            <w14:prstDash w14:val="solid"/>
            <w14:round/>
          </w14:textOutline>
        </w:rPr>
      </w:pPr>
    </w:p>
    <w:p w14:paraId="0B0FA1AD" w14:textId="779DA24A" w:rsidR="0096530F" w:rsidRPr="00E165AC" w:rsidRDefault="00B13398"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Hoy trece (13) de octubre de dos mil veintitrés (2023), p</w:t>
      </w:r>
      <w:r w:rsidR="0096530F" w:rsidRPr="00E165AC">
        <w:rPr>
          <w:rStyle w:val="Referenciasutil"/>
          <w:rFonts w:ascii="Bookman Old Style" w:hAnsi="Bookman Old Style"/>
          <w:smallCaps w:val="0"/>
          <w:color w:val="auto"/>
          <w14:textOutline w14:w="0" w14:cap="flat" w14:cmpd="sng" w14:algn="ctr">
            <w14:noFill/>
            <w14:prstDash w14:val="solid"/>
            <w14:round/>
          </w14:textOutline>
        </w:rPr>
        <w:t xml:space="preserve">rocede la Sala a resolver el recurso de apelación contra el auto proferido el 3 de </w:t>
      </w:r>
      <w:r w:rsidR="006A0BAF" w:rsidRPr="00E165AC">
        <w:rPr>
          <w:rStyle w:val="Referenciasutil"/>
          <w:rFonts w:ascii="Bookman Old Style" w:hAnsi="Bookman Old Style"/>
          <w:smallCaps w:val="0"/>
          <w:color w:val="auto"/>
          <w14:textOutline w14:w="0" w14:cap="flat" w14:cmpd="sng" w14:algn="ctr">
            <w14:noFill/>
            <w14:prstDash w14:val="solid"/>
            <w14:round/>
          </w14:textOutline>
        </w:rPr>
        <w:t xml:space="preserve">marzo </w:t>
      </w:r>
      <w:r w:rsidR="0096530F" w:rsidRPr="00E165AC">
        <w:rPr>
          <w:rStyle w:val="Referenciasutil"/>
          <w:rFonts w:ascii="Bookman Old Style" w:hAnsi="Bookman Old Style"/>
          <w:smallCaps w:val="0"/>
          <w:color w:val="auto"/>
          <w14:textOutline w14:w="0" w14:cap="flat" w14:cmpd="sng" w14:algn="ctr">
            <w14:noFill/>
            <w14:prstDash w14:val="solid"/>
            <w14:round/>
          </w14:textOutline>
        </w:rPr>
        <w:t xml:space="preserve">de 2023, por el Juzgado </w:t>
      </w:r>
      <w:r w:rsidR="006A0BAF" w:rsidRPr="00E165AC">
        <w:rPr>
          <w:rStyle w:val="Referenciasutil"/>
          <w:rFonts w:ascii="Bookman Old Style" w:hAnsi="Bookman Old Style"/>
          <w:smallCaps w:val="0"/>
          <w:color w:val="auto"/>
          <w14:textOutline w14:w="0" w14:cap="flat" w14:cmpd="sng" w14:algn="ctr">
            <w14:noFill/>
            <w14:prstDash w14:val="solid"/>
            <w14:round/>
          </w14:textOutline>
        </w:rPr>
        <w:t xml:space="preserve">Quinto </w:t>
      </w:r>
      <w:r w:rsidR="0096530F" w:rsidRPr="00E165AC">
        <w:rPr>
          <w:rStyle w:val="Referenciasutil"/>
          <w:rFonts w:ascii="Bookman Old Style" w:hAnsi="Bookman Old Style"/>
          <w:smallCaps w:val="0"/>
          <w:color w:val="auto"/>
          <w14:textOutline w14:w="0" w14:cap="flat" w14:cmpd="sng" w14:algn="ctr">
            <w14:noFill/>
            <w14:prstDash w14:val="solid"/>
            <w14:round/>
          </w14:textOutline>
        </w:rPr>
        <w:t xml:space="preserve">Laboral del Circuito de Pereira, por medio del cual se </w:t>
      </w:r>
      <w:r w:rsidR="006A0BAF" w:rsidRPr="00E165AC">
        <w:rPr>
          <w:rStyle w:val="Referenciasutil"/>
          <w:rFonts w:ascii="Bookman Old Style" w:hAnsi="Bookman Old Style"/>
          <w:smallCaps w:val="0"/>
          <w:color w:val="auto"/>
          <w14:textOutline w14:w="0" w14:cap="flat" w14:cmpd="sng" w14:algn="ctr">
            <w14:noFill/>
            <w14:prstDash w14:val="solid"/>
            <w14:round/>
          </w14:textOutline>
        </w:rPr>
        <w:t>resolvió la liquidación de las agencias en derecho</w:t>
      </w:r>
      <w:r w:rsidR="0096530F" w:rsidRPr="00E165AC">
        <w:rPr>
          <w:rStyle w:val="Referenciasutil"/>
          <w:rFonts w:ascii="Bookman Old Style" w:hAnsi="Bookman Old Style"/>
          <w:smallCaps w:val="0"/>
          <w:color w:val="auto"/>
          <w14:textOutline w14:w="0" w14:cap="flat" w14:cmpd="sng" w14:algn="ctr">
            <w14:noFill/>
            <w14:prstDash w14:val="solid"/>
            <w14:round/>
          </w14:textOutline>
        </w:rPr>
        <w:t xml:space="preserve">, recurso que propuso Protección S.A., dentro del proceso </w:t>
      </w:r>
      <w:r w:rsidR="0096530F" w:rsidRPr="00F9118D">
        <w:rPr>
          <w:rStyle w:val="Referenciasutil"/>
          <w:rFonts w:ascii="Bookman Old Style" w:hAnsi="Bookman Old Style"/>
          <w:b/>
          <w:smallCaps w:val="0"/>
          <w:color w:val="auto"/>
          <w14:textOutline w14:w="0" w14:cap="flat" w14:cmpd="sng" w14:algn="ctr">
            <w14:noFill/>
            <w14:prstDash w14:val="solid"/>
            <w14:round/>
          </w14:textOutline>
        </w:rPr>
        <w:t>ordinario laboral</w:t>
      </w:r>
      <w:r w:rsidR="0096530F" w:rsidRPr="00E165AC">
        <w:rPr>
          <w:rStyle w:val="Referenciasutil"/>
          <w:rFonts w:ascii="Bookman Old Style" w:hAnsi="Bookman Old Style"/>
          <w:smallCaps w:val="0"/>
          <w:color w:val="auto"/>
          <w14:textOutline w14:w="0" w14:cap="flat" w14:cmpd="sng" w14:algn="ctr">
            <w14:noFill/>
            <w14:prstDash w14:val="solid"/>
            <w14:round/>
          </w14:textOutline>
        </w:rPr>
        <w:t xml:space="preserve"> promovido por </w:t>
      </w:r>
      <w:r w:rsidR="006A0BAF" w:rsidRPr="00E165AC">
        <w:rPr>
          <w:rStyle w:val="Referenciasutil"/>
          <w:rFonts w:ascii="Bookman Old Style" w:hAnsi="Bookman Old Style"/>
          <w:b/>
          <w:bCs/>
          <w:smallCaps w:val="0"/>
          <w:color w:val="auto"/>
          <w14:textOutline w14:w="0" w14:cap="flat" w14:cmpd="sng" w14:algn="ctr">
            <w14:noFill/>
            <w14:prstDash w14:val="solid"/>
            <w14:round/>
          </w14:textOutline>
        </w:rPr>
        <w:t xml:space="preserve">LUZ EDILMA CARMONA GÓMEZ </w:t>
      </w:r>
      <w:r w:rsidR="0096530F" w:rsidRPr="00E165AC">
        <w:rPr>
          <w:rStyle w:val="Referenciasutil"/>
          <w:rFonts w:ascii="Bookman Old Style" w:hAnsi="Bookman Old Style"/>
          <w:smallCaps w:val="0"/>
          <w:color w:val="auto"/>
          <w14:textOutline w14:w="0" w14:cap="flat" w14:cmpd="sng" w14:algn="ctr">
            <w14:noFill/>
            <w14:prstDash w14:val="solid"/>
            <w14:round/>
          </w14:textOutline>
        </w:rPr>
        <w:t xml:space="preserve">en contra de </w:t>
      </w:r>
      <w:r w:rsidR="006A0BAF" w:rsidRPr="00E165AC">
        <w:rPr>
          <w:rStyle w:val="Referenciasutil"/>
          <w:rFonts w:ascii="Bookman Old Style" w:hAnsi="Bookman Old Style"/>
          <w:smallCaps w:val="0"/>
          <w:color w:val="auto"/>
          <w14:textOutline w14:w="0" w14:cap="flat" w14:cmpd="sng" w14:algn="ctr">
            <w14:noFill/>
            <w14:prstDash w14:val="solid"/>
            <w14:round/>
          </w14:textOutline>
        </w:rPr>
        <w:t xml:space="preserve">la </w:t>
      </w:r>
      <w:r w:rsidR="0096530F" w:rsidRPr="00E165AC">
        <w:rPr>
          <w:rStyle w:val="Referenciasutil"/>
          <w:rFonts w:ascii="Bookman Old Style" w:hAnsi="Bookman Old Style"/>
          <w:b/>
          <w:bCs/>
          <w:smallCaps w:val="0"/>
          <w:color w:val="auto"/>
          <w14:textOutline w14:w="0" w14:cap="flat" w14:cmpd="sng" w14:algn="ctr">
            <w14:noFill/>
            <w14:prstDash w14:val="solid"/>
            <w14:round/>
          </w14:textOutline>
        </w:rPr>
        <w:t>ADMINISTRADORA DE FONDOS DE PENSIONES Y CESANTÍAS PROTECCIÓN S.A</w:t>
      </w:r>
      <w:r w:rsidR="0096530F" w:rsidRPr="00E165AC">
        <w:rPr>
          <w:rStyle w:val="Referenciasutil"/>
          <w:rFonts w:ascii="Bookman Old Style" w:hAnsi="Bookman Old Style"/>
          <w:smallCaps w:val="0"/>
          <w:color w:val="auto"/>
          <w14:textOutline w14:w="0" w14:cap="flat" w14:cmpd="sng" w14:algn="ctr">
            <w14:noFill/>
            <w14:prstDash w14:val="solid"/>
            <w14:round/>
          </w14:textOutline>
        </w:rPr>
        <w:t xml:space="preserve">. </w:t>
      </w:r>
      <w:r w:rsidR="006A0BAF" w:rsidRPr="00E165AC">
        <w:rPr>
          <w:rStyle w:val="Referenciasutil"/>
          <w:rFonts w:ascii="Bookman Old Style" w:hAnsi="Bookman Old Style"/>
          <w:smallCaps w:val="0"/>
          <w:color w:val="auto"/>
          <w14:textOutline w14:w="0" w14:cap="flat" w14:cmpd="sng" w14:algn="ctr">
            <w14:noFill/>
            <w14:prstDash w14:val="solid"/>
            <w14:round/>
          </w14:textOutline>
        </w:rPr>
        <w:t xml:space="preserve">Expediente </w:t>
      </w:r>
      <w:r w:rsidR="0096530F" w:rsidRPr="00E165AC">
        <w:rPr>
          <w:rStyle w:val="Referenciasutil"/>
          <w:rFonts w:ascii="Bookman Old Style" w:hAnsi="Bookman Old Style"/>
          <w:smallCaps w:val="0"/>
          <w:color w:val="auto"/>
          <w14:textOutline w14:w="0" w14:cap="flat" w14:cmpd="sng" w14:algn="ctr">
            <w14:noFill/>
            <w14:prstDash w14:val="solid"/>
            <w14:round/>
          </w14:textOutline>
        </w:rPr>
        <w:t>con R</w:t>
      </w:r>
      <w:r w:rsidR="608FD745" w:rsidRPr="00E165AC">
        <w:rPr>
          <w:rStyle w:val="Referenciasutil"/>
          <w:rFonts w:ascii="Bookman Old Style" w:hAnsi="Bookman Old Style"/>
          <w:smallCaps w:val="0"/>
          <w:color w:val="auto"/>
          <w14:textOutline w14:w="0" w14:cap="flat" w14:cmpd="sng" w14:algn="ctr">
            <w14:noFill/>
            <w14:prstDash w14:val="solid"/>
            <w14:round/>
          </w14:textOutline>
        </w:rPr>
        <w:t>adicado</w:t>
      </w:r>
      <w:r w:rsidR="0096530F" w:rsidRPr="00E165AC">
        <w:rPr>
          <w:rStyle w:val="Referenciasutil"/>
          <w:rFonts w:ascii="Bookman Old Style" w:hAnsi="Bookman Old Style"/>
          <w:smallCaps w:val="0"/>
          <w:color w:val="auto"/>
          <w14:textOutline w14:w="0" w14:cap="flat" w14:cmpd="sng" w14:algn="ctr">
            <w14:noFill/>
            <w14:prstDash w14:val="solid"/>
            <w14:round/>
          </w14:textOutline>
        </w:rPr>
        <w:t xml:space="preserve">: </w:t>
      </w:r>
      <w:r w:rsidR="006A0BAF" w:rsidRPr="00E165AC">
        <w:rPr>
          <w:rStyle w:val="Referenciasutil"/>
          <w:rFonts w:ascii="Bookman Old Style" w:hAnsi="Bookman Old Style"/>
          <w:b/>
          <w:bCs/>
          <w:smallCaps w:val="0"/>
          <w:color w:val="auto"/>
          <w14:textOutline w14:w="0" w14:cap="flat" w14:cmpd="sng" w14:algn="ctr">
            <w14:noFill/>
            <w14:prstDash w14:val="solid"/>
            <w14:round/>
          </w14:textOutline>
        </w:rPr>
        <w:t>66001310500520170034002</w:t>
      </w:r>
      <w:r w:rsidR="0096530F" w:rsidRPr="00E165AC">
        <w:rPr>
          <w:rStyle w:val="Referenciasutil"/>
          <w:rFonts w:ascii="Bookman Old Style" w:hAnsi="Bookman Old Style"/>
          <w:smallCaps w:val="0"/>
          <w:color w:val="auto"/>
          <w14:textOutline w14:w="0" w14:cap="flat" w14:cmpd="sng" w14:algn="ctr">
            <w14:noFill/>
            <w14:prstDash w14:val="solid"/>
            <w14:round/>
          </w14:textOutline>
        </w:rPr>
        <w:t>.</w:t>
      </w:r>
    </w:p>
    <w:p w14:paraId="71BA0EEF" w14:textId="77777777" w:rsidR="0096530F" w:rsidRPr="00E165AC" w:rsidRDefault="0096530F"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p>
    <w:p w14:paraId="09DBE3A9" w14:textId="77777777" w:rsidR="0096530F" w:rsidRPr="00E165AC" w:rsidRDefault="0096530F"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Seguidamente, se procede a proferir la decisión por escrito aprobada por esta sala, conforme el artículo 15 del Decreto No. 806 de 2020, adoptado como legislación permanente por la Ley 221 del 13 de junio de 2022, la cual se traduce en los siguientes términos,</w:t>
      </w:r>
    </w:p>
    <w:p w14:paraId="53B96F2F" w14:textId="77777777" w:rsidR="0096530F" w:rsidRPr="00E165AC" w:rsidRDefault="0096530F" w:rsidP="00E165AC">
      <w:pPr>
        <w:spacing w:line="276" w:lineRule="auto"/>
        <w:jc w:val="both"/>
        <w:rPr>
          <w:rFonts w:ascii="Bookman Old Style" w:hAnsi="Bookman Old Style" w:cs="Arial"/>
          <w14:textOutline w14:w="0" w14:cap="flat" w14:cmpd="sng" w14:algn="ctr">
            <w14:noFill/>
            <w14:prstDash w14:val="solid"/>
            <w14:round/>
          </w14:textOutline>
        </w:rPr>
      </w:pPr>
    </w:p>
    <w:p w14:paraId="0BEB3F09" w14:textId="37D512EA" w:rsidR="0096530F" w:rsidRPr="00E165AC" w:rsidRDefault="0096530F" w:rsidP="00E165AC">
      <w:pPr>
        <w:spacing w:line="276" w:lineRule="auto"/>
        <w:jc w:val="center"/>
        <w:rPr>
          <w:rStyle w:val="Referenciasutil"/>
          <w:rFonts w:ascii="Bookman Old Style" w:hAnsi="Bookman Old Style"/>
          <w:b/>
          <w:smallCaps w:val="0"/>
          <w:color w:val="auto"/>
          <w14:textOutline w14:w="0" w14:cap="flat" w14:cmpd="sng" w14:algn="ctr">
            <w14:noFill/>
            <w14:prstDash w14:val="solid"/>
            <w14:round/>
          </w14:textOutline>
        </w:rPr>
      </w:pPr>
      <w:r w:rsidRPr="00E165AC">
        <w:rPr>
          <w:rStyle w:val="Referenciasutil"/>
          <w:rFonts w:ascii="Bookman Old Style" w:hAnsi="Bookman Old Style"/>
          <w:b/>
          <w:smallCaps w:val="0"/>
          <w:color w:val="auto"/>
          <w14:textOutline w14:w="0" w14:cap="flat" w14:cmpd="sng" w14:algn="ctr">
            <w14:noFill/>
            <w14:prstDash w14:val="solid"/>
            <w14:round/>
          </w14:textOutline>
        </w:rPr>
        <w:t xml:space="preserve">INTERLOCUTORIO No. </w:t>
      </w:r>
      <w:r w:rsidR="00EF5714" w:rsidRPr="00E165AC">
        <w:rPr>
          <w:rStyle w:val="Referenciasutil"/>
          <w:rFonts w:ascii="Bookman Old Style" w:hAnsi="Bookman Old Style"/>
          <w:b/>
          <w:smallCaps w:val="0"/>
          <w:color w:val="auto"/>
          <w14:textOutline w14:w="0" w14:cap="flat" w14:cmpd="sng" w14:algn="ctr">
            <w14:noFill/>
            <w14:prstDash w14:val="solid"/>
            <w14:round/>
          </w14:textOutline>
        </w:rPr>
        <w:t>121</w:t>
      </w:r>
    </w:p>
    <w:p w14:paraId="5ADDF164" w14:textId="77777777" w:rsidR="0096530F" w:rsidRPr="00E165AC" w:rsidRDefault="0096530F" w:rsidP="00E165AC">
      <w:pPr>
        <w:spacing w:line="276" w:lineRule="auto"/>
        <w:rPr>
          <w:rStyle w:val="Referenciasutil"/>
          <w:rFonts w:ascii="Bookman Old Style" w:hAnsi="Bookman Old Style"/>
          <w:smallCaps w:val="0"/>
          <w:color w:val="auto"/>
          <w14:textOutline w14:w="0" w14:cap="flat" w14:cmpd="sng" w14:algn="ctr">
            <w14:noFill/>
            <w14:prstDash w14:val="solid"/>
            <w14:round/>
          </w14:textOutline>
        </w:rPr>
      </w:pPr>
    </w:p>
    <w:p w14:paraId="1CA3E670" w14:textId="77777777" w:rsidR="0096530F" w:rsidRPr="00E165AC" w:rsidRDefault="0096530F" w:rsidP="00F9118D">
      <w:pPr>
        <w:pStyle w:val="Prrafodelista"/>
        <w:numPr>
          <w:ilvl w:val="0"/>
          <w:numId w:val="11"/>
        </w:numPr>
        <w:spacing w:line="276" w:lineRule="auto"/>
        <w:ind w:left="0" w:firstLine="0"/>
        <w:jc w:val="center"/>
        <w:rPr>
          <w:rStyle w:val="Referenciasutil"/>
          <w:rFonts w:ascii="Bookman Old Style" w:hAnsi="Bookman Old Style"/>
          <w:b/>
          <w:smallCaps w:val="0"/>
          <w:color w:val="auto"/>
          <w:u w:val="single"/>
          <w14:textOutline w14:w="0" w14:cap="flat" w14:cmpd="sng" w14:algn="ctr">
            <w14:noFill/>
            <w14:prstDash w14:val="solid"/>
            <w14:round/>
          </w14:textOutline>
        </w:rPr>
      </w:pPr>
      <w:r w:rsidRPr="00E165AC">
        <w:rPr>
          <w:rStyle w:val="Referenciasutil"/>
          <w:rFonts w:ascii="Bookman Old Style" w:hAnsi="Bookman Old Style"/>
          <w:b/>
          <w:smallCaps w:val="0"/>
          <w:color w:val="auto"/>
          <w:u w:val="single"/>
          <w14:textOutline w14:w="0" w14:cap="flat" w14:cmpd="sng" w14:algn="ctr">
            <w14:noFill/>
            <w14:prstDash w14:val="solid"/>
            <w14:round/>
          </w14:textOutline>
        </w:rPr>
        <w:t>ANTECEDENTES</w:t>
      </w:r>
    </w:p>
    <w:p w14:paraId="09532C49" w14:textId="77777777" w:rsidR="00D6073B" w:rsidRPr="00E165AC" w:rsidRDefault="00D6073B" w:rsidP="00E165AC">
      <w:pPr>
        <w:spacing w:line="276" w:lineRule="auto"/>
        <w:rPr>
          <w:rStyle w:val="Referenciasutil"/>
          <w:rFonts w:ascii="Bookman Old Style" w:hAnsi="Bookman Old Style"/>
          <w:smallCaps w:val="0"/>
          <w:color w:val="auto"/>
          <w14:textOutline w14:w="0" w14:cap="flat" w14:cmpd="sng" w14:algn="ctr">
            <w14:noFill/>
            <w14:prstDash w14:val="solid"/>
            <w14:round/>
          </w14:textOutline>
        </w:rPr>
      </w:pPr>
    </w:p>
    <w:p w14:paraId="1466AB95" w14:textId="77777777" w:rsidR="00D6073B" w:rsidRPr="00E165AC" w:rsidRDefault="00D6073B" w:rsidP="00E165AC">
      <w:pPr>
        <w:spacing w:line="276" w:lineRule="auto"/>
        <w:ind w:left="372" w:firstLine="708"/>
        <w:rPr>
          <w:rStyle w:val="Referenciasutil"/>
          <w:rFonts w:ascii="Bookman Old Style" w:hAnsi="Bookman Old Style"/>
          <w:smallCaps w:val="0"/>
          <w:color w:val="auto"/>
          <w14:textOutline w14:w="0" w14:cap="flat" w14:cmpd="sng" w14:algn="ctr">
            <w14:noFill/>
            <w14:prstDash w14:val="solid"/>
            <w14:round/>
          </w14:textOutline>
        </w:rPr>
      </w:pPr>
    </w:p>
    <w:p w14:paraId="536BC99E" w14:textId="30B28434" w:rsidR="0036481F" w:rsidRPr="00E165AC" w:rsidRDefault="0036481F"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b/>
          <w:bCs/>
          <w:smallCaps w:val="0"/>
          <w:color w:val="auto"/>
          <w14:textOutline w14:w="0" w14:cap="flat" w14:cmpd="sng" w14:algn="ctr">
            <w14:noFill/>
            <w14:prstDash w14:val="solid"/>
            <w14:round/>
          </w14:textOutline>
        </w:rPr>
        <w:t>LUZ EDILMA CARMONA GÓMEZ</w:t>
      </w: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 presentó demanda en contra de </w:t>
      </w:r>
      <w:r w:rsidRPr="00E165AC">
        <w:rPr>
          <w:rStyle w:val="Referenciasutil"/>
          <w:rFonts w:ascii="Bookman Old Style" w:hAnsi="Bookman Old Style"/>
          <w:b/>
          <w:bCs/>
          <w:smallCaps w:val="0"/>
          <w:color w:val="auto"/>
          <w14:textOutline w14:w="0" w14:cap="flat" w14:cmpd="sng" w14:algn="ctr">
            <w14:noFill/>
            <w14:prstDash w14:val="solid"/>
            <w14:round/>
          </w14:textOutline>
        </w:rPr>
        <w:t>PROTECCIÓN S.A.</w:t>
      </w: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 con el fin de obtener la pensión de sobrevivientes que dejó causada el Sr. Michael Anderson Rodríguez Carmona, a partir del 25 de septiembre 2015</w:t>
      </w:r>
      <w:r w:rsidR="232F2455" w:rsidRPr="00E165AC">
        <w:rPr>
          <w:rStyle w:val="Referenciasutil"/>
          <w:rFonts w:ascii="Bookman Old Style" w:hAnsi="Bookman Old Style"/>
          <w:smallCaps w:val="0"/>
          <w:color w:val="auto"/>
          <w14:textOutline w14:w="0" w14:cap="flat" w14:cmpd="sng" w14:algn="ctr">
            <w14:noFill/>
            <w14:prstDash w14:val="solid"/>
            <w14:round/>
          </w14:textOutline>
        </w:rPr>
        <w:t>, además de los intereses moratorios y costas.</w:t>
      </w:r>
    </w:p>
    <w:p w14:paraId="5589C6FE" w14:textId="77777777" w:rsidR="0036481F" w:rsidRPr="00E165AC" w:rsidRDefault="0036481F"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p>
    <w:p w14:paraId="290ABB27" w14:textId="1664F61D" w:rsidR="0036481F" w:rsidRPr="00E165AC" w:rsidRDefault="0036481F"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La demanda fue radicada el </w:t>
      </w:r>
      <w:r w:rsidRPr="00E165AC">
        <w:rPr>
          <w:rStyle w:val="Referenciasutil"/>
          <w:rFonts w:ascii="Bookman Old Style" w:hAnsi="Bookman Old Style"/>
          <w:b/>
          <w:bCs/>
          <w:smallCaps w:val="0"/>
          <w:color w:val="auto"/>
          <w14:textOutline w14:w="0" w14:cap="flat" w14:cmpd="sng" w14:algn="ctr">
            <w14:noFill/>
            <w14:prstDash w14:val="solid"/>
            <w14:round/>
          </w14:textOutline>
        </w:rPr>
        <w:t>28 de julio de 2017</w:t>
      </w: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 (archivo 05, </w:t>
      </w:r>
      <w:proofErr w:type="spellStart"/>
      <w:r w:rsidRPr="00E165AC">
        <w:rPr>
          <w:rStyle w:val="Referenciasutil"/>
          <w:rFonts w:ascii="Bookman Old Style" w:hAnsi="Bookman Old Style"/>
          <w:smallCaps w:val="0"/>
          <w:color w:val="auto"/>
          <w14:textOutline w14:w="0" w14:cap="flat" w14:cmpd="sng" w14:algn="ctr">
            <w14:noFill/>
            <w14:prstDash w14:val="solid"/>
            <w14:round/>
          </w14:textOutline>
        </w:rPr>
        <w:t>Cuad</w:t>
      </w:r>
      <w:proofErr w:type="spellEnd"/>
      <w:r w:rsidRPr="00E165AC">
        <w:rPr>
          <w:rStyle w:val="Referenciasutil"/>
          <w:rFonts w:ascii="Bookman Old Style" w:hAnsi="Bookman Old Style"/>
          <w:smallCaps w:val="0"/>
          <w:color w:val="auto"/>
          <w14:textOutline w14:w="0" w14:cap="flat" w14:cmpd="sng" w14:algn="ctr">
            <w14:noFill/>
            <w14:prstDash w14:val="solid"/>
            <w14:round/>
          </w14:textOutline>
        </w:rPr>
        <w:t xml:space="preserve">. 1 instancia) y admitida luego de subsanada, por auto del </w:t>
      </w:r>
      <w:r w:rsidRPr="00E165AC">
        <w:rPr>
          <w:rStyle w:val="Referenciasutil"/>
          <w:rFonts w:ascii="Bookman Old Style" w:hAnsi="Bookman Old Style"/>
          <w:b/>
          <w:bCs/>
          <w:smallCaps w:val="0"/>
          <w:color w:val="auto"/>
          <w14:textOutline w14:w="0" w14:cap="flat" w14:cmpd="sng" w14:algn="ctr">
            <w14:noFill/>
            <w14:prstDash w14:val="solid"/>
            <w14:round/>
          </w14:textOutline>
        </w:rPr>
        <w:t>04 de septiembre de 2017</w:t>
      </w:r>
      <w:r w:rsidR="00BE7FAB" w:rsidRPr="00E165AC">
        <w:rPr>
          <w:rStyle w:val="Referenciasutil"/>
          <w:rFonts w:ascii="Bookman Old Style" w:hAnsi="Bookman Old Style"/>
          <w:smallCaps w:val="0"/>
          <w:color w:val="auto"/>
          <w14:textOutline w14:w="0" w14:cap="flat" w14:cmpd="sng" w14:algn="ctr">
            <w14:noFill/>
            <w14:prstDash w14:val="solid"/>
            <w14:round/>
          </w14:textOutline>
        </w:rPr>
        <w:t xml:space="preserve">, providencia donde se vinculó a Juan Carlos Rodríguez Fernández </w:t>
      </w: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(archivo 08, </w:t>
      </w:r>
      <w:proofErr w:type="spellStart"/>
      <w:r w:rsidRPr="00E165AC">
        <w:rPr>
          <w:rStyle w:val="Referenciasutil"/>
          <w:rFonts w:ascii="Bookman Old Style" w:hAnsi="Bookman Old Style"/>
          <w:smallCaps w:val="0"/>
          <w:color w:val="auto"/>
          <w14:textOutline w14:w="0" w14:cap="flat" w14:cmpd="sng" w14:algn="ctr">
            <w14:noFill/>
            <w14:prstDash w14:val="solid"/>
            <w14:round/>
          </w14:textOutline>
        </w:rPr>
        <w:t>Cuad</w:t>
      </w:r>
      <w:proofErr w:type="spellEnd"/>
      <w:r w:rsidRPr="00E165AC">
        <w:rPr>
          <w:rStyle w:val="Referenciasutil"/>
          <w:rFonts w:ascii="Bookman Old Style" w:hAnsi="Bookman Old Style"/>
          <w:smallCaps w:val="0"/>
          <w:color w:val="auto"/>
          <w14:textOutline w14:w="0" w14:cap="flat" w14:cmpd="sng" w14:algn="ctr">
            <w14:noFill/>
            <w14:prstDash w14:val="solid"/>
            <w14:round/>
          </w14:textOutline>
        </w:rPr>
        <w:t>. 1 instancia).</w:t>
      </w:r>
    </w:p>
    <w:p w14:paraId="3CFF66A7" w14:textId="77777777" w:rsidR="00BE7FAB" w:rsidRPr="00E165AC" w:rsidRDefault="00BE7FAB"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p>
    <w:p w14:paraId="25145619" w14:textId="02185803" w:rsidR="00BE7FAB" w:rsidRPr="00E165AC" w:rsidRDefault="00BE7FAB"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La demanda fue notificada por conducta concluyente a Protección S.A. y personalmente a la vinculada. (archivo 13 y 14, </w:t>
      </w:r>
      <w:proofErr w:type="spellStart"/>
      <w:r w:rsidRPr="00E165AC">
        <w:rPr>
          <w:rStyle w:val="Referenciasutil"/>
          <w:rFonts w:ascii="Bookman Old Style" w:hAnsi="Bookman Old Style"/>
          <w:smallCaps w:val="0"/>
          <w:color w:val="auto"/>
          <w14:textOutline w14:w="0" w14:cap="flat" w14:cmpd="sng" w14:algn="ctr">
            <w14:noFill/>
            <w14:prstDash w14:val="solid"/>
            <w14:round/>
          </w14:textOutline>
        </w:rPr>
        <w:t>Cuad</w:t>
      </w:r>
      <w:proofErr w:type="spellEnd"/>
      <w:r w:rsidRPr="00E165AC">
        <w:rPr>
          <w:rStyle w:val="Referenciasutil"/>
          <w:rFonts w:ascii="Bookman Old Style" w:hAnsi="Bookman Old Style"/>
          <w:smallCaps w:val="0"/>
          <w:color w:val="auto"/>
          <w14:textOutline w14:w="0" w14:cap="flat" w14:cmpd="sng" w14:algn="ctr">
            <w14:noFill/>
            <w14:prstDash w14:val="solid"/>
            <w14:round/>
          </w14:textOutline>
        </w:rPr>
        <w:t>. 1 instancia).</w:t>
      </w:r>
    </w:p>
    <w:p w14:paraId="423F486D" w14:textId="77777777" w:rsidR="00BE7FAB" w:rsidRPr="00E165AC" w:rsidRDefault="00BE7FAB"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p>
    <w:p w14:paraId="3C6CA22A" w14:textId="00229269" w:rsidR="00BE7FAB" w:rsidRPr="00E165AC" w:rsidRDefault="00BE7FAB"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La parte actora presentó escrito pronunciándose de las excepciones de fondo (archivo 18, </w:t>
      </w:r>
      <w:proofErr w:type="spellStart"/>
      <w:r w:rsidRPr="00E165AC">
        <w:rPr>
          <w:rStyle w:val="Referenciasutil"/>
          <w:rFonts w:ascii="Bookman Old Style" w:hAnsi="Bookman Old Style"/>
          <w:smallCaps w:val="0"/>
          <w:color w:val="auto"/>
          <w14:textOutline w14:w="0" w14:cap="flat" w14:cmpd="sng" w14:algn="ctr">
            <w14:noFill/>
            <w14:prstDash w14:val="solid"/>
            <w14:round/>
          </w14:textOutline>
        </w:rPr>
        <w:t>Cuad</w:t>
      </w:r>
      <w:proofErr w:type="spellEnd"/>
      <w:r w:rsidRPr="00E165AC">
        <w:rPr>
          <w:rStyle w:val="Referenciasutil"/>
          <w:rFonts w:ascii="Bookman Old Style" w:hAnsi="Bookman Old Style"/>
          <w:smallCaps w:val="0"/>
          <w:color w:val="auto"/>
          <w14:textOutline w14:w="0" w14:cap="flat" w14:cmpd="sng" w14:algn="ctr">
            <w14:noFill/>
            <w14:prstDash w14:val="solid"/>
            <w14:round/>
          </w14:textOutline>
        </w:rPr>
        <w:t>. 1 instancia).</w:t>
      </w:r>
    </w:p>
    <w:p w14:paraId="39077B49" w14:textId="77777777" w:rsidR="00BE7FAB" w:rsidRPr="00E165AC" w:rsidRDefault="00BE7FAB"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p>
    <w:p w14:paraId="03629B5D" w14:textId="40831D74" w:rsidR="003E5802" w:rsidRPr="00E165AC" w:rsidRDefault="00BE7FAB"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El 16 de julio de 2018, se realizó la audiencia de que trata el artículo 77 </w:t>
      </w:r>
      <w:proofErr w:type="spellStart"/>
      <w:r w:rsidRPr="00E165AC">
        <w:rPr>
          <w:rStyle w:val="Referenciasutil"/>
          <w:rFonts w:ascii="Bookman Old Style" w:hAnsi="Bookman Old Style"/>
          <w:smallCaps w:val="0"/>
          <w:color w:val="auto"/>
          <w14:textOutline w14:w="0" w14:cap="flat" w14:cmpd="sng" w14:algn="ctr">
            <w14:noFill/>
            <w14:prstDash w14:val="solid"/>
            <w14:round/>
          </w14:textOutline>
        </w:rPr>
        <w:t>CPTSS</w:t>
      </w:r>
      <w:proofErr w:type="spellEnd"/>
      <w:r w:rsidR="00647793" w:rsidRPr="00E165AC">
        <w:rPr>
          <w:rStyle w:val="Referenciasutil"/>
          <w:rFonts w:ascii="Bookman Old Style" w:hAnsi="Bookman Old Style"/>
          <w:smallCaps w:val="0"/>
          <w:color w:val="auto"/>
          <w14:textOutline w14:w="0" w14:cap="flat" w14:cmpd="sng" w14:algn="ctr">
            <w14:noFill/>
            <w14:prstDash w14:val="solid"/>
            <w14:round/>
          </w14:textOutline>
        </w:rPr>
        <w:t xml:space="preserve">, siendo decretadas las pruebas documentales y testimoniales solicitadas por la parte actora y </w:t>
      </w:r>
      <w:r w:rsidR="00D77CC4" w:rsidRPr="00E165AC">
        <w:rPr>
          <w:rStyle w:val="Referenciasutil"/>
          <w:rFonts w:ascii="Bookman Old Style" w:hAnsi="Bookman Old Style"/>
          <w:smallCaps w:val="0"/>
          <w:color w:val="auto"/>
          <w14:textOutline w14:w="0" w14:cap="flat" w14:cmpd="sng" w14:algn="ctr">
            <w14:noFill/>
            <w14:prstDash w14:val="solid"/>
            <w14:round/>
          </w14:textOutline>
        </w:rPr>
        <w:t xml:space="preserve">Protección </w:t>
      </w:r>
      <w:r w:rsidR="00647793" w:rsidRPr="00E165AC">
        <w:rPr>
          <w:rStyle w:val="Referenciasutil"/>
          <w:rFonts w:ascii="Bookman Old Style" w:hAnsi="Bookman Old Style"/>
          <w:smallCaps w:val="0"/>
          <w:color w:val="auto"/>
          <w14:textOutline w14:w="0" w14:cap="flat" w14:cmpd="sng" w14:algn="ctr">
            <w14:noFill/>
            <w14:prstDash w14:val="solid"/>
            <w14:round/>
          </w14:textOutline>
        </w:rPr>
        <w:t xml:space="preserve">S.A. </w:t>
      </w: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 </w:t>
      </w:r>
      <w:r w:rsidR="003E5802" w:rsidRPr="00E165AC">
        <w:rPr>
          <w:rStyle w:val="Referenciasutil"/>
          <w:rFonts w:ascii="Bookman Old Style" w:hAnsi="Bookman Old Style"/>
          <w:smallCaps w:val="0"/>
          <w:color w:val="auto"/>
          <w14:textOutline w14:w="0" w14:cap="flat" w14:cmpd="sng" w14:algn="ctr">
            <w14:noFill/>
            <w14:prstDash w14:val="solid"/>
            <w14:round/>
          </w14:textOutline>
        </w:rPr>
        <w:t xml:space="preserve">(archivo </w:t>
      </w:r>
      <w:r w:rsidR="00647793" w:rsidRPr="00E165AC">
        <w:rPr>
          <w:rStyle w:val="Referenciasutil"/>
          <w:rFonts w:ascii="Bookman Old Style" w:hAnsi="Bookman Old Style"/>
          <w:smallCaps w:val="0"/>
          <w:color w:val="auto"/>
          <w14:textOutline w14:w="0" w14:cap="flat" w14:cmpd="sng" w14:algn="ctr">
            <w14:noFill/>
            <w14:prstDash w14:val="solid"/>
            <w14:round/>
          </w14:textOutline>
        </w:rPr>
        <w:t>21</w:t>
      </w:r>
      <w:r w:rsidR="003E5802" w:rsidRPr="00E165AC">
        <w:rPr>
          <w:rStyle w:val="Referenciasutil"/>
          <w:rFonts w:ascii="Bookman Old Style" w:hAnsi="Bookman Old Style"/>
          <w:smallCaps w:val="0"/>
          <w:color w:val="auto"/>
          <w14:textOutline w14:w="0" w14:cap="flat" w14:cmpd="sng" w14:algn="ctr">
            <w14:noFill/>
            <w14:prstDash w14:val="solid"/>
            <w14:round/>
          </w14:textOutline>
        </w:rPr>
        <w:t xml:space="preserve">, </w:t>
      </w:r>
      <w:proofErr w:type="spellStart"/>
      <w:r w:rsidR="003E5802" w:rsidRPr="00E165AC">
        <w:rPr>
          <w:rStyle w:val="Referenciasutil"/>
          <w:rFonts w:ascii="Bookman Old Style" w:hAnsi="Bookman Old Style"/>
          <w:smallCaps w:val="0"/>
          <w:color w:val="auto"/>
          <w14:textOutline w14:w="0" w14:cap="flat" w14:cmpd="sng" w14:algn="ctr">
            <w14:noFill/>
            <w14:prstDash w14:val="solid"/>
            <w14:round/>
          </w14:textOutline>
        </w:rPr>
        <w:t>Cuad</w:t>
      </w:r>
      <w:proofErr w:type="spellEnd"/>
      <w:r w:rsidR="003E5802" w:rsidRPr="00E165AC">
        <w:rPr>
          <w:rStyle w:val="Referenciasutil"/>
          <w:rFonts w:ascii="Bookman Old Style" w:hAnsi="Bookman Old Style"/>
          <w:smallCaps w:val="0"/>
          <w:color w:val="auto"/>
          <w14:textOutline w14:w="0" w14:cap="flat" w14:cmpd="sng" w14:algn="ctr">
            <w14:noFill/>
            <w14:prstDash w14:val="solid"/>
            <w14:round/>
          </w14:textOutline>
        </w:rPr>
        <w:t>. 1 instancia).</w:t>
      </w:r>
    </w:p>
    <w:p w14:paraId="3E2BF7F2" w14:textId="77777777" w:rsidR="00D70093" w:rsidRPr="00E165AC" w:rsidRDefault="00D70093"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p>
    <w:p w14:paraId="5201BA62" w14:textId="7AE6C127" w:rsidR="00D70093" w:rsidRPr="00E165AC" w:rsidRDefault="00D70093"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La sentencia de primera instancia fue proferida el 19-02-2019 (archivo 39, </w:t>
      </w:r>
      <w:proofErr w:type="spellStart"/>
      <w:r w:rsidRPr="00E165AC">
        <w:rPr>
          <w:rStyle w:val="Referenciasutil"/>
          <w:rFonts w:ascii="Bookman Old Style" w:hAnsi="Bookman Old Style"/>
          <w:smallCaps w:val="0"/>
          <w:color w:val="auto"/>
          <w14:textOutline w14:w="0" w14:cap="flat" w14:cmpd="sng" w14:algn="ctr">
            <w14:noFill/>
            <w14:prstDash w14:val="solid"/>
            <w14:round/>
          </w14:textOutline>
        </w:rPr>
        <w:t>Cuad</w:t>
      </w:r>
      <w:proofErr w:type="spellEnd"/>
      <w:r w:rsidRPr="00E165AC">
        <w:rPr>
          <w:rStyle w:val="Referenciasutil"/>
          <w:rFonts w:ascii="Bookman Old Style" w:hAnsi="Bookman Old Style"/>
          <w:smallCaps w:val="0"/>
          <w:color w:val="auto"/>
          <w14:textOutline w14:w="0" w14:cap="flat" w14:cmpd="sng" w14:algn="ctr">
            <w14:noFill/>
            <w14:prstDash w14:val="solid"/>
            <w14:round/>
          </w14:textOutline>
        </w:rPr>
        <w:t>. 1 instancia), audiencia en la que se escucharon los testimonios solicitados por la parte actora, se presentaron los alegatos y comoquiera que la decisión resultó absolutoria a los intereses de la actora, este propuso y sustentó el recurso de apelación.</w:t>
      </w:r>
    </w:p>
    <w:p w14:paraId="16A87AF4" w14:textId="77777777" w:rsidR="00D70093" w:rsidRPr="00E165AC" w:rsidRDefault="00D70093"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p>
    <w:p w14:paraId="02CCC782" w14:textId="69FDCAFC" w:rsidR="00D70093" w:rsidRPr="00E165AC" w:rsidRDefault="000A523F"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En sentencia del 05-12-2019 (archivo 09, </w:t>
      </w:r>
      <w:proofErr w:type="spellStart"/>
      <w:r w:rsidRPr="00E165AC">
        <w:rPr>
          <w:rStyle w:val="Referenciasutil"/>
          <w:rFonts w:ascii="Bookman Old Style" w:hAnsi="Bookman Old Style"/>
          <w:smallCaps w:val="0"/>
          <w:color w:val="auto"/>
          <w14:textOutline w14:w="0" w14:cap="flat" w14:cmpd="sng" w14:algn="ctr">
            <w14:noFill/>
            <w14:prstDash w14:val="solid"/>
            <w14:round/>
          </w14:textOutline>
        </w:rPr>
        <w:t>Cuad</w:t>
      </w:r>
      <w:proofErr w:type="spellEnd"/>
      <w:r w:rsidRPr="00E165AC">
        <w:rPr>
          <w:rStyle w:val="Referenciasutil"/>
          <w:rFonts w:ascii="Bookman Old Style" w:hAnsi="Bookman Old Style"/>
          <w:smallCaps w:val="0"/>
          <w:color w:val="auto"/>
          <w14:textOutline w14:w="0" w14:cap="flat" w14:cmpd="sng" w14:algn="ctr">
            <w14:noFill/>
            <w14:prstDash w14:val="solid"/>
            <w14:round/>
          </w14:textOutline>
        </w:rPr>
        <w:t xml:space="preserve">. 2 </w:t>
      </w:r>
      <w:r w:rsidR="00F62E3D" w:rsidRPr="00E165AC">
        <w:rPr>
          <w:rStyle w:val="Referenciasutil"/>
          <w:rFonts w:ascii="Bookman Old Style" w:hAnsi="Bookman Old Style"/>
          <w:smallCaps w:val="0"/>
          <w:color w:val="auto"/>
          <w14:textOutline w14:w="0" w14:cap="flat" w14:cmpd="sng" w14:algn="ctr">
            <w14:noFill/>
            <w14:prstDash w14:val="solid"/>
            <w14:round/>
          </w14:textOutline>
        </w:rPr>
        <w:t>instancia</w:t>
      </w: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 esta Sala revocó la decisión de primera instancia, reconociendo la pensión de sobreviviente a la demandante desde el 26-09-2015, con retroactivo e intereses moratorios. </w:t>
      </w:r>
      <w:r w:rsidR="00F62E3D" w:rsidRPr="00E165AC">
        <w:rPr>
          <w:rStyle w:val="Referenciasutil"/>
          <w:rFonts w:ascii="Bookman Old Style" w:hAnsi="Bookman Old Style"/>
          <w:smallCaps w:val="0"/>
          <w:color w:val="auto"/>
          <w14:textOutline w14:w="0" w14:cap="flat" w14:cmpd="sng" w14:algn="ctr">
            <w14:noFill/>
            <w14:prstDash w14:val="solid"/>
            <w14:round/>
          </w14:textOutline>
        </w:rPr>
        <w:t>Además,</w:t>
      </w: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 condenó a Protección S.A. en costas en ambas instancias.</w:t>
      </w:r>
    </w:p>
    <w:p w14:paraId="1F9CD8FD" w14:textId="77777777" w:rsidR="009B0C3B" w:rsidRPr="00E165AC" w:rsidRDefault="009B0C3B"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p>
    <w:p w14:paraId="45BDA4E3" w14:textId="5F9366A1" w:rsidR="009B0C3B" w:rsidRPr="00E165AC" w:rsidRDefault="009B0C3B"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Protección S.A. presentó recurso extraordinario de casación contra la sentencia de segunda instancia, profiriéndose la sentencia </w:t>
      </w:r>
      <w:proofErr w:type="spellStart"/>
      <w:r w:rsidRPr="00E165AC">
        <w:rPr>
          <w:rStyle w:val="Referenciasutil"/>
          <w:rFonts w:ascii="Bookman Old Style" w:hAnsi="Bookman Old Style"/>
          <w:smallCaps w:val="0"/>
          <w:color w:val="auto"/>
          <w14:textOutline w14:w="0" w14:cap="flat" w14:cmpd="sng" w14:algn="ctr">
            <w14:noFill/>
            <w14:prstDash w14:val="solid"/>
            <w14:round/>
          </w14:textOutline>
        </w:rPr>
        <w:t>SL736</w:t>
      </w:r>
      <w:proofErr w:type="spellEnd"/>
      <w:r w:rsidRPr="00E165AC">
        <w:rPr>
          <w:rStyle w:val="Referenciasutil"/>
          <w:rFonts w:ascii="Bookman Old Style" w:hAnsi="Bookman Old Style"/>
          <w:smallCaps w:val="0"/>
          <w:color w:val="auto"/>
          <w14:textOutline w14:w="0" w14:cap="flat" w14:cmpd="sng" w14:algn="ctr">
            <w14:noFill/>
            <w14:prstDash w14:val="solid"/>
            <w14:round/>
          </w14:textOutline>
        </w:rPr>
        <w:t>-443 del 07-03-2022, por medio de la cual no se casó la sentencia de esta Sala y condenó en costas a Protección S.A., fijando las agencias en $9.400.000.</w:t>
      </w:r>
      <w:r w:rsidR="003A76E9" w:rsidRPr="00E165AC">
        <w:rPr>
          <w:rStyle w:val="Referenciasutil"/>
          <w:rFonts w:ascii="Bookman Old Style" w:hAnsi="Bookman Old Style"/>
          <w:smallCaps w:val="0"/>
          <w:color w:val="auto"/>
          <w14:textOutline w14:w="0" w14:cap="flat" w14:cmpd="sng" w14:algn="ctr">
            <w14:noFill/>
            <w14:prstDash w14:val="solid"/>
            <w14:round/>
          </w14:textOutline>
        </w:rPr>
        <w:t xml:space="preserve"> (archivo 11, </w:t>
      </w:r>
      <w:proofErr w:type="spellStart"/>
      <w:r w:rsidR="003A76E9" w:rsidRPr="00E165AC">
        <w:rPr>
          <w:rStyle w:val="Referenciasutil"/>
          <w:rFonts w:ascii="Bookman Old Style" w:hAnsi="Bookman Old Style"/>
          <w:smallCaps w:val="0"/>
          <w:color w:val="auto"/>
          <w14:textOutline w14:w="0" w14:cap="flat" w14:cmpd="sng" w14:algn="ctr">
            <w14:noFill/>
            <w14:prstDash w14:val="solid"/>
            <w14:round/>
          </w14:textOutline>
        </w:rPr>
        <w:t>Cuad</w:t>
      </w:r>
      <w:proofErr w:type="spellEnd"/>
      <w:r w:rsidR="003A76E9" w:rsidRPr="00E165AC">
        <w:rPr>
          <w:rStyle w:val="Referenciasutil"/>
          <w:rFonts w:ascii="Bookman Old Style" w:hAnsi="Bookman Old Style"/>
          <w:smallCaps w:val="0"/>
          <w:color w:val="auto"/>
          <w14:textOutline w14:w="0" w14:cap="flat" w14:cmpd="sng" w14:algn="ctr">
            <w14:noFill/>
            <w14:prstDash w14:val="solid"/>
            <w14:round/>
          </w14:textOutline>
        </w:rPr>
        <w:t xml:space="preserve">. 3 </w:t>
      </w:r>
      <w:proofErr w:type="spellStart"/>
      <w:r w:rsidR="003A76E9" w:rsidRPr="00E165AC">
        <w:rPr>
          <w:rStyle w:val="Referenciasutil"/>
          <w:rFonts w:ascii="Bookman Old Style" w:hAnsi="Bookman Old Style"/>
          <w:smallCaps w:val="0"/>
          <w:color w:val="auto"/>
          <w14:textOutline w14:w="0" w14:cap="flat" w14:cmpd="sng" w14:algn="ctr">
            <w14:noFill/>
            <w14:prstDash w14:val="solid"/>
            <w14:round/>
          </w14:textOutline>
        </w:rPr>
        <w:t>RecursoExtraCasación</w:t>
      </w:r>
      <w:proofErr w:type="spellEnd"/>
      <w:r w:rsidR="003A76E9" w:rsidRPr="00E165AC">
        <w:rPr>
          <w:rStyle w:val="Referenciasutil"/>
          <w:rFonts w:ascii="Bookman Old Style" w:hAnsi="Bookman Old Style"/>
          <w:smallCaps w:val="0"/>
          <w:color w:val="auto"/>
          <w14:textOutline w14:w="0" w14:cap="flat" w14:cmpd="sng" w14:algn="ctr">
            <w14:noFill/>
            <w14:prstDash w14:val="solid"/>
            <w14:round/>
          </w14:textOutline>
        </w:rPr>
        <w:t>),</w:t>
      </w:r>
    </w:p>
    <w:p w14:paraId="78B2310B" w14:textId="77777777" w:rsidR="00F62E3D" w:rsidRPr="00E165AC" w:rsidRDefault="00F62E3D"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p>
    <w:p w14:paraId="7AE9F6D3" w14:textId="535C337D" w:rsidR="00F62E3D" w:rsidRPr="00E165AC" w:rsidRDefault="00FF4190"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Dispuesto el auto de obedecimiento a lo dispuesto por esta instancia, con fecha 28 de junio de 2022 (archivo 45, </w:t>
      </w:r>
      <w:proofErr w:type="spellStart"/>
      <w:r w:rsidRPr="00E165AC">
        <w:rPr>
          <w:rStyle w:val="Referenciasutil"/>
          <w:rFonts w:ascii="Bookman Old Style" w:hAnsi="Bookman Old Style"/>
          <w:smallCaps w:val="0"/>
          <w:color w:val="auto"/>
          <w14:textOutline w14:w="0" w14:cap="flat" w14:cmpd="sng" w14:algn="ctr">
            <w14:noFill/>
            <w14:prstDash w14:val="solid"/>
            <w14:round/>
          </w14:textOutline>
        </w:rPr>
        <w:t>Cuad</w:t>
      </w:r>
      <w:proofErr w:type="spellEnd"/>
      <w:r w:rsidRPr="00E165AC">
        <w:rPr>
          <w:rStyle w:val="Referenciasutil"/>
          <w:rFonts w:ascii="Bookman Old Style" w:hAnsi="Bookman Old Style"/>
          <w:smallCaps w:val="0"/>
          <w:color w:val="auto"/>
          <w14:textOutline w14:w="0" w14:cap="flat" w14:cmpd="sng" w14:algn="ctr">
            <w14:noFill/>
            <w14:prstDash w14:val="solid"/>
            <w14:round/>
          </w14:textOutline>
        </w:rPr>
        <w:t xml:space="preserve">. 1 instancia), el </w:t>
      </w:r>
      <w:r w:rsidR="00B121FB" w:rsidRPr="00E165AC">
        <w:rPr>
          <w:rStyle w:val="Referenciasutil"/>
          <w:rFonts w:ascii="Bookman Old Style" w:hAnsi="Bookman Old Style"/>
          <w:smallCaps w:val="0"/>
          <w:color w:val="auto"/>
          <w14:textOutline w14:w="0" w14:cap="flat" w14:cmpd="sng" w14:algn="ctr">
            <w14:noFill/>
            <w14:prstDash w14:val="solid"/>
            <w14:round/>
          </w14:textOutline>
        </w:rPr>
        <w:t xml:space="preserve">Juzgado Quinto Laboral </w:t>
      </w: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del </w:t>
      </w:r>
      <w:r w:rsidR="00B121FB" w:rsidRPr="00E165AC">
        <w:rPr>
          <w:rStyle w:val="Referenciasutil"/>
          <w:rFonts w:ascii="Bookman Old Style" w:hAnsi="Bookman Old Style"/>
          <w:smallCaps w:val="0"/>
          <w:color w:val="auto"/>
          <w14:textOutline w14:w="0" w14:cap="flat" w14:cmpd="sng" w14:algn="ctr">
            <w14:noFill/>
            <w14:prstDash w14:val="solid"/>
            <w14:round/>
          </w14:textOutline>
        </w:rPr>
        <w:t xml:space="preserve">Circuito </w:t>
      </w:r>
      <w:r w:rsidRPr="00E165AC">
        <w:rPr>
          <w:rStyle w:val="Referenciasutil"/>
          <w:rFonts w:ascii="Bookman Old Style" w:hAnsi="Bookman Old Style"/>
          <w:smallCaps w:val="0"/>
          <w:color w:val="auto"/>
          <w14:textOutline w14:w="0" w14:cap="flat" w14:cmpd="sng" w14:algn="ctr">
            <w14:noFill/>
            <w14:prstDash w14:val="solid"/>
            <w14:round/>
          </w14:textOutline>
        </w:rPr>
        <w:t>a través de la secretaría liquidó las costas del proceso, así:</w:t>
      </w:r>
    </w:p>
    <w:p w14:paraId="6E4E82DD" w14:textId="77777777" w:rsidR="000C3FB9" w:rsidRPr="00E165AC" w:rsidRDefault="000C3FB9"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p>
    <w:p w14:paraId="712254F9" w14:textId="62DB0504" w:rsidR="00FF4190" w:rsidRPr="00E165AC" w:rsidRDefault="000E47B4" w:rsidP="00E165AC">
      <w:pPr>
        <w:pStyle w:val="Prrafodelista"/>
        <w:numPr>
          <w:ilvl w:val="0"/>
          <w:numId w:val="13"/>
        </w:numPr>
        <w:tabs>
          <w:tab w:val="left" w:pos="6096"/>
        </w:tabs>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En primera instancia (revocada por la Sala):</w:t>
      </w:r>
      <w:r w:rsidRPr="00E165AC">
        <w:rPr>
          <w:rStyle w:val="Referenciasutil"/>
          <w:rFonts w:ascii="Bookman Old Style" w:hAnsi="Bookman Old Style"/>
          <w:smallCaps w:val="0"/>
          <w:color w:val="auto"/>
          <w14:textOutline w14:w="0" w14:cap="flat" w14:cmpd="sng" w14:algn="ctr">
            <w14:noFill/>
            <w14:prstDash w14:val="solid"/>
            <w14:round/>
          </w14:textOutline>
        </w:rPr>
        <w:tab/>
        <w:t>$4.640.000</w:t>
      </w:r>
    </w:p>
    <w:p w14:paraId="3D30136E" w14:textId="77777777" w:rsidR="000C3FB9" w:rsidRPr="00E165AC" w:rsidRDefault="000E47B4" w:rsidP="00E165AC">
      <w:pPr>
        <w:pStyle w:val="Prrafodelista"/>
        <w:numPr>
          <w:ilvl w:val="0"/>
          <w:numId w:val="13"/>
        </w:numPr>
        <w:tabs>
          <w:tab w:val="left" w:pos="6096"/>
        </w:tabs>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En segunda instancia</w:t>
      </w:r>
      <w:r w:rsidR="000C3FB9" w:rsidRPr="00E165AC">
        <w:rPr>
          <w:rStyle w:val="Referenciasutil"/>
          <w:rFonts w:ascii="Bookman Old Style" w:hAnsi="Bookman Old Style"/>
          <w:smallCaps w:val="0"/>
          <w:color w:val="auto"/>
          <w14:textOutline w14:w="0" w14:cap="flat" w14:cmpd="sng" w14:algn="ctr">
            <w14:noFill/>
            <w14:prstDash w14:val="solid"/>
            <w14:round/>
          </w14:textOutline>
        </w:rPr>
        <w:t>:</w:t>
      </w:r>
      <w:r w:rsidR="000C3FB9" w:rsidRPr="00E165AC">
        <w:rPr>
          <w:rStyle w:val="Referenciasutil"/>
          <w:rFonts w:ascii="Bookman Old Style" w:hAnsi="Bookman Old Style"/>
          <w:smallCaps w:val="0"/>
          <w:color w:val="auto"/>
          <w14:textOutline w14:w="0" w14:cap="flat" w14:cmpd="sng" w14:algn="ctr">
            <w14:noFill/>
            <w14:prstDash w14:val="solid"/>
            <w14:round/>
          </w14:textOutline>
        </w:rPr>
        <w:tab/>
        <w:t>$2.320.000</w:t>
      </w:r>
    </w:p>
    <w:p w14:paraId="70F9FF0D" w14:textId="77777777" w:rsidR="000C3FB9" w:rsidRPr="00E165AC" w:rsidRDefault="000C3FB9" w:rsidP="00E165AC">
      <w:pPr>
        <w:pStyle w:val="Prrafodelista"/>
        <w:numPr>
          <w:ilvl w:val="0"/>
          <w:numId w:val="13"/>
        </w:numPr>
        <w:tabs>
          <w:tab w:val="left" w:pos="6096"/>
        </w:tabs>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Casación</w:t>
      </w:r>
      <w:r w:rsidRPr="00E165AC">
        <w:rPr>
          <w:rStyle w:val="Referenciasutil"/>
          <w:rFonts w:ascii="Bookman Old Style" w:hAnsi="Bookman Old Style"/>
          <w:smallCaps w:val="0"/>
          <w:color w:val="auto"/>
          <w14:textOutline w14:w="0" w14:cap="flat" w14:cmpd="sng" w14:algn="ctr">
            <w14:noFill/>
            <w14:prstDash w14:val="solid"/>
            <w14:round/>
          </w14:textOutline>
        </w:rPr>
        <w:tab/>
        <w:t>$9.400.000</w:t>
      </w:r>
    </w:p>
    <w:p w14:paraId="7E4C6E05" w14:textId="3784A467" w:rsidR="000E47B4" w:rsidRPr="00E165AC" w:rsidRDefault="000C3FB9" w:rsidP="00E165AC">
      <w:pPr>
        <w:pStyle w:val="Prrafodelista"/>
        <w:tabs>
          <w:tab w:val="left" w:pos="6096"/>
        </w:tabs>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ab/>
      </w:r>
      <w:r w:rsidRPr="00E165AC">
        <w:rPr>
          <w:rStyle w:val="Referenciasutil"/>
          <w:rFonts w:ascii="Bookman Old Style" w:hAnsi="Bookman Old Style"/>
          <w:smallCaps w:val="0"/>
          <w:color w:val="auto"/>
          <w14:textOutline w14:w="0" w14:cap="flat" w14:cmpd="sng" w14:algn="ctr">
            <w14:noFill/>
            <w14:prstDash w14:val="solid"/>
            <w14:round/>
          </w14:textOutline>
        </w:rPr>
        <w:tab/>
      </w:r>
    </w:p>
    <w:p w14:paraId="0B8B502C" w14:textId="3923E26A" w:rsidR="00D6073B" w:rsidRPr="00E165AC" w:rsidRDefault="00FF4190" w:rsidP="00F9118D">
      <w:pPr>
        <w:pStyle w:val="Prrafodelista"/>
        <w:numPr>
          <w:ilvl w:val="0"/>
          <w:numId w:val="11"/>
        </w:numPr>
        <w:spacing w:line="276" w:lineRule="auto"/>
        <w:ind w:left="0" w:firstLine="0"/>
        <w:jc w:val="center"/>
        <w:rPr>
          <w:rStyle w:val="Referenciasutil"/>
          <w:rFonts w:ascii="Bookman Old Style" w:hAnsi="Bookman Old Style"/>
          <w:b/>
          <w:bCs/>
          <w:smallCaps w:val="0"/>
          <w:color w:val="auto"/>
          <w14:textOutline w14:w="0" w14:cap="flat" w14:cmpd="sng" w14:algn="ctr">
            <w14:noFill/>
            <w14:prstDash w14:val="solid"/>
            <w14:round/>
          </w14:textOutline>
        </w:rPr>
      </w:pPr>
      <w:r w:rsidRPr="00E165AC">
        <w:rPr>
          <w:rStyle w:val="Referenciasutil"/>
          <w:rFonts w:ascii="Bookman Old Style" w:hAnsi="Bookman Old Style"/>
          <w:b/>
          <w:bCs/>
          <w:smallCaps w:val="0"/>
          <w:color w:val="auto"/>
          <w14:textOutline w14:w="0" w14:cap="flat" w14:cmpd="sng" w14:algn="ctr">
            <w14:noFill/>
            <w14:prstDash w14:val="solid"/>
            <w14:round/>
          </w14:textOutline>
        </w:rPr>
        <w:t>AUTO RECURRIDO</w:t>
      </w:r>
    </w:p>
    <w:p w14:paraId="603EE8EB" w14:textId="77777777" w:rsidR="00FF4190" w:rsidRPr="00E165AC" w:rsidRDefault="00FF4190" w:rsidP="00E165AC">
      <w:pPr>
        <w:spacing w:line="276" w:lineRule="auto"/>
        <w:rPr>
          <w:rStyle w:val="Referenciasutil"/>
          <w:rFonts w:ascii="Bookman Old Style" w:hAnsi="Bookman Old Style"/>
          <w:smallCaps w:val="0"/>
          <w:color w:val="auto"/>
          <w14:textOutline w14:w="0" w14:cap="flat" w14:cmpd="sng" w14:algn="ctr">
            <w14:noFill/>
            <w14:prstDash w14:val="solid"/>
            <w14:round/>
          </w14:textOutline>
        </w:rPr>
      </w:pPr>
    </w:p>
    <w:p w14:paraId="01398358" w14:textId="1A925132" w:rsidR="00C62A96" w:rsidRPr="00E165AC" w:rsidRDefault="00FF4190"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Por auto del 9 de febrero de 2023</w:t>
      </w:r>
      <w:r w:rsidR="00E714CA" w:rsidRPr="00E165AC">
        <w:rPr>
          <w:rStyle w:val="Referenciasutil"/>
          <w:rFonts w:ascii="Bookman Old Style" w:hAnsi="Bookman Old Style"/>
          <w:smallCaps w:val="0"/>
          <w:color w:val="auto"/>
          <w14:textOutline w14:w="0" w14:cap="flat" w14:cmpd="sng" w14:algn="ctr">
            <w14:noFill/>
            <w14:prstDash w14:val="solid"/>
            <w14:round/>
          </w14:textOutline>
        </w:rPr>
        <w:t>, el juzgado aprobó la liquidación de las costas</w:t>
      </w:r>
      <w:r w:rsidR="00C62A96" w:rsidRPr="00E165AC">
        <w:rPr>
          <w:rStyle w:val="Referenciasutil"/>
          <w:rFonts w:ascii="Bookman Old Style" w:hAnsi="Bookman Old Style"/>
          <w:smallCaps w:val="0"/>
          <w:color w:val="auto"/>
          <w14:textOutline w14:w="0" w14:cap="flat" w14:cmpd="sng" w14:algn="ctr">
            <w14:noFill/>
            <w14:prstDash w14:val="solid"/>
            <w14:round/>
          </w14:textOutline>
        </w:rPr>
        <w:t xml:space="preserve"> a cargo de Protección S.A.</w:t>
      </w:r>
      <w:r w:rsidR="00E714CA" w:rsidRPr="00E165AC">
        <w:rPr>
          <w:rStyle w:val="Referenciasutil"/>
          <w:rFonts w:ascii="Bookman Old Style" w:hAnsi="Bookman Old Style"/>
          <w:smallCaps w:val="0"/>
          <w:color w:val="auto"/>
          <w14:textOutline w14:w="0" w14:cap="flat" w14:cmpd="sng" w14:algn="ctr">
            <w14:noFill/>
            <w14:prstDash w14:val="solid"/>
            <w14:round/>
          </w14:textOutline>
        </w:rPr>
        <w:t xml:space="preserve"> (archivo 51, pág. 3, </w:t>
      </w:r>
      <w:proofErr w:type="spellStart"/>
      <w:r w:rsidR="00E714CA" w:rsidRPr="00E165AC">
        <w:rPr>
          <w:rStyle w:val="Referenciasutil"/>
          <w:rFonts w:ascii="Bookman Old Style" w:hAnsi="Bookman Old Style"/>
          <w:smallCaps w:val="0"/>
          <w:color w:val="auto"/>
          <w14:textOutline w14:w="0" w14:cap="flat" w14:cmpd="sng" w14:algn="ctr">
            <w14:noFill/>
            <w14:prstDash w14:val="solid"/>
            <w14:round/>
          </w14:textOutline>
        </w:rPr>
        <w:t>Cuad</w:t>
      </w:r>
      <w:proofErr w:type="spellEnd"/>
      <w:r w:rsidR="00E714CA" w:rsidRPr="00E165AC">
        <w:rPr>
          <w:rStyle w:val="Referenciasutil"/>
          <w:rFonts w:ascii="Bookman Old Style" w:hAnsi="Bookman Old Style"/>
          <w:smallCaps w:val="0"/>
          <w:color w:val="auto"/>
          <w14:textOutline w14:w="0" w14:cap="flat" w14:cmpd="sng" w14:algn="ctr">
            <w14:noFill/>
            <w14:prstDash w14:val="solid"/>
            <w14:round/>
          </w14:textOutline>
        </w:rPr>
        <w:t>. 1 instancia),</w:t>
      </w:r>
      <w:r w:rsidR="00C62A96" w:rsidRPr="00E165AC">
        <w:rPr>
          <w:rStyle w:val="Referenciasutil"/>
          <w:rFonts w:ascii="Bookman Old Style" w:hAnsi="Bookman Old Style"/>
          <w:smallCaps w:val="0"/>
          <w:color w:val="auto"/>
          <w14:textOutline w14:w="0" w14:cap="flat" w14:cmpd="sng" w14:algn="ctr">
            <w14:noFill/>
            <w14:prstDash w14:val="solid"/>
            <w14:round/>
          </w14:textOutline>
        </w:rPr>
        <w:t xml:space="preserve"> en las siguientes sumas de dinero: $</w:t>
      </w:r>
      <w:r w:rsidR="00C62A96" w:rsidRPr="00E165AC">
        <w:rPr>
          <w:rStyle w:val="Referenciasutil"/>
          <w:rFonts w:ascii="Bookman Old Style" w:hAnsi="Bookman Old Style"/>
          <w:b/>
          <w:bCs/>
          <w:smallCaps w:val="0"/>
          <w:color w:val="auto"/>
          <w14:textOutline w14:w="0" w14:cap="flat" w14:cmpd="sng" w14:algn="ctr">
            <w14:noFill/>
            <w14:prstDash w14:val="solid"/>
            <w14:round/>
          </w14:textOutline>
        </w:rPr>
        <w:t>4.640.000</w:t>
      </w:r>
      <w:r w:rsidR="00C62A96" w:rsidRPr="00E165AC">
        <w:rPr>
          <w:rStyle w:val="Referenciasutil"/>
          <w:rFonts w:ascii="Bookman Old Style" w:hAnsi="Bookman Old Style"/>
          <w:smallCaps w:val="0"/>
          <w:color w:val="auto"/>
          <w14:textOutline w14:w="0" w14:cap="flat" w14:cmpd="sng" w14:algn="ctr">
            <w14:noFill/>
            <w14:prstDash w14:val="solid"/>
            <w14:round/>
          </w14:textOutline>
        </w:rPr>
        <w:t xml:space="preserve"> en primera instancia, $</w:t>
      </w:r>
      <w:r w:rsidR="00C62A96" w:rsidRPr="00E165AC">
        <w:rPr>
          <w:rStyle w:val="Referenciasutil"/>
          <w:rFonts w:ascii="Bookman Old Style" w:hAnsi="Bookman Old Style"/>
          <w:b/>
          <w:bCs/>
          <w:smallCaps w:val="0"/>
          <w:color w:val="auto"/>
          <w14:textOutline w14:w="0" w14:cap="flat" w14:cmpd="sng" w14:algn="ctr">
            <w14:noFill/>
            <w14:prstDash w14:val="solid"/>
            <w14:round/>
          </w14:textOutline>
        </w:rPr>
        <w:t>2.320.000</w:t>
      </w:r>
      <w:r w:rsidR="00C62A96" w:rsidRPr="00E165AC">
        <w:rPr>
          <w:rStyle w:val="Referenciasutil"/>
          <w:rFonts w:ascii="Bookman Old Style" w:hAnsi="Bookman Old Style"/>
          <w:smallCaps w:val="0"/>
          <w:color w:val="auto"/>
          <w14:textOutline w14:w="0" w14:cap="flat" w14:cmpd="sng" w14:algn="ctr">
            <w14:noFill/>
            <w14:prstDash w14:val="solid"/>
            <w14:round/>
          </w14:textOutline>
        </w:rPr>
        <w:t xml:space="preserve"> en segunda instancia y $</w:t>
      </w:r>
      <w:r w:rsidR="00C62A96" w:rsidRPr="00E165AC">
        <w:rPr>
          <w:rStyle w:val="Referenciasutil"/>
          <w:rFonts w:ascii="Bookman Old Style" w:hAnsi="Bookman Old Style"/>
          <w:b/>
          <w:bCs/>
          <w:smallCaps w:val="0"/>
          <w:color w:val="auto"/>
          <w14:textOutline w14:w="0" w14:cap="flat" w14:cmpd="sng" w14:algn="ctr">
            <w14:noFill/>
            <w14:prstDash w14:val="solid"/>
            <w14:round/>
          </w14:textOutline>
        </w:rPr>
        <w:t>9.400.000</w:t>
      </w:r>
      <w:r w:rsidR="00C62A96" w:rsidRPr="00E165AC">
        <w:rPr>
          <w:rStyle w:val="Referenciasutil"/>
          <w:rFonts w:ascii="Bookman Old Style" w:hAnsi="Bookman Old Style"/>
          <w:smallCaps w:val="0"/>
          <w:color w:val="auto"/>
          <w14:textOutline w14:w="0" w14:cap="flat" w14:cmpd="sng" w14:algn="ctr">
            <w14:noFill/>
            <w14:prstDash w14:val="solid"/>
            <w14:round/>
          </w14:textOutline>
        </w:rPr>
        <w:t xml:space="preserve"> en casación, para lo cual tuvo en cuenta el Acuerdo No. </w:t>
      </w:r>
      <w:proofErr w:type="spellStart"/>
      <w:r w:rsidR="00C62A96" w:rsidRPr="00E165AC">
        <w:rPr>
          <w:rStyle w:val="Referenciasutil"/>
          <w:rFonts w:ascii="Bookman Old Style" w:hAnsi="Bookman Old Style"/>
          <w:smallCaps w:val="0"/>
          <w:color w:val="auto"/>
          <w14:textOutline w14:w="0" w14:cap="flat" w14:cmpd="sng" w14:algn="ctr">
            <w14:noFill/>
            <w14:prstDash w14:val="solid"/>
            <w14:round/>
          </w14:textOutline>
        </w:rPr>
        <w:t>PSAA</w:t>
      </w:r>
      <w:proofErr w:type="spellEnd"/>
      <w:r w:rsidR="00C62A96" w:rsidRPr="00E165AC">
        <w:rPr>
          <w:rStyle w:val="Referenciasutil"/>
          <w:rFonts w:ascii="Bookman Old Style" w:hAnsi="Bookman Old Style"/>
          <w:smallCaps w:val="0"/>
          <w:color w:val="auto"/>
          <w14:textOutline w14:w="0" w14:cap="flat" w14:cmpd="sng" w14:algn="ctr">
            <w14:noFill/>
            <w14:prstDash w14:val="solid"/>
            <w14:round/>
          </w14:textOutline>
        </w:rPr>
        <w:t xml:space="preserve"> 16-10554 del 5 de agosto de 2016 y los rangos establecidos en el mismo, considerando que en primera instancia era aplicable el literal a del inciso segundo del numeral 1° del artículo 5 </w:t>
      </w:r>
      <w:proofErr w:type="spellStart"/>
      <w:r w:rsidR="51EDA2A0" w:rsidRPr="00E165AC">
        <w:rPr>
          <w:rStyle w:val="Referenciasutil"/>
          <w:rFonts w:ascii="Bookman Old Style" w:hAnsi="Bookman Old Style"/>
          <w:smallCaps w:val="0"/>
          <w:color w:val="auto"/>
          <w14:textOutline w14:w="0" w14:cap="flat" w14:cmpd="sng" w14:algn="ctr">
            <w14:noFill/>
            <w14:prstDash w14:val="solid"/>
            <w14:round/>
          </w14:textOutline>
        </w:rPr>
        <w:t>ibid</w:t>
      </w:r>
      <w:proofErr w:type="spellEnd"/>
      <w:r w:rsidR="51EDA2A0" w:rsidRPr="00E165AC">
        <w:rPr>
          <w:rStyle w:val="Referenciasutil"/>
          <w:rFonts w:ascii="Bookman Old Style" w:hAnsi="Bookman Old Style"/>
          <w:smallCaps w:val="0"/>
          <w:color w:val="auto"/>
          <w14:textOutline w14:w="0" w14:cap="flat" w14:cmpd="sng" w14:algn="ctr">
            <w14:noFill/>
            <w14:prstDash w14:val="solid"/>
            <w14:round/>
          </w14:textOutline>
        </w:rPr>
        <w:t>.</w:t>
      </w:r>
      <w:r w:rsidR="00C62A96" w:rsidRPr="00E165AC">
        <w:rPr>
          <w:rStyle w:val="Referenciasutil"/>
          <w:rFonts w:ascii="Bookman Old Style" w:hAnsi="Bookman Old Style"/>
          <w:smallCaps w:val="0"/>
          <w:color w:val="auto"/>
          <w14:textOutline w14:w="0" w14:cap="flat" w14:cmpd="sng" w14:algn="ctr">
            <w14:noFill/>
            <w14:prstDash w14:val="solid"/>
            <w14:round/>
          </w14:textOutline>
        </w:rPr>
        <w:t xml:space="preserve"> fijando las agencias, entre el rango del 4% y el 10%, </w:t>
      </w:r>
      <w:r w:rsidR="00907FD6" w:rsidRPr="00E165AC">
        <w:rPr>
          <w:rStyle w:val="Referenciasutil"/>
          <w:rFonts w:ascii="Bookman Old Style" w:hAnsi="Bookman Old Style"/>
          <w:smallCaps w:val="0"/>
          <w:color w:val="auto"/>
          <w14:textOutline w14:w="0" w14:cap="flat" w14:cmpd="sng" w14:algn="ctr">
            <w14:noFill/>
            <w14:prstDash w14:val="solid"/>
            <w14:round/>
          </w14:textOutline>
        </w:rPr>
        <w:t xml:space="preserve">al ser un </w:t>
      </w:r>
      <w:r w:rsidR="7FC56B86" w:rsidRPr="00E165AC">
        <w:rPr>
          <w:rStyle w:val="Referenciasutil"/>
          <w:rFonts w:ascii="Bookman Old Style" w:hAnsi="Bookman Old Style"/>
          <w:smallCaps w:val="0"/>
          <w:color w:val="auto"/>
          <w14:textOutline w14:w="0" w14:cap="flat" w14:cmpd="sng" w14:algn="ctr">
            <w14:noFill/>
            <w14:prstDash w14:val="solid"/>
            <w14:round/>
          </w14:textOutline>
        </w:rPr>
        <w:t>proceso de</w:t>
      </w:r>
      <w:r w:rsidR="00C62A96" w:rsidRPr="00E165AC">
        <w:rPr>
          <w:rStyle w:val="Referenciasutil"/>
          <w:rFonts w:ascii="Bookman Old Style" w:hAnsi="Bookman Old Style"/>
          <w:smallCaps w:val="0"/>
          <w:color w:val="auto"/>
          <w14:textOutline w14:w="0" w14:cap="flat" w14:cmpd="sng" w14:algn="ctr">
            <w14:noFill/>
            <w14:prstDash w14:val="solid"/>
            <w14:round/>
          </w14:textOutline>
        </w:rPr>
        <w:t xml:space="preserve"> menor cuantía</w:t>
      </w:r>
      <w:r w:rsidR="00907FD6" w:rsidRPr="00E165AC">
        <w:rPr>
          <w:rStyle w:val="Referenciasutil"/>
          <w:rFonts w:ascii="Bookman Old Style" w:hAnsi="Bookman Old Style"/>
          <w:smallCaps w:val="0"/>
          <w:color w:val="auto"/>
          <w14:textOutline w14:w="0" w14:cap="flat" w14:cmpd="sng" w14:algn="ctr">
            <w14:noFill/>
            <w14:prstDash w14:val="solid"/>
            <w14:round/>
          </w14:textOutline>
        </w:rPr>
        <w:t xml:space="preserve">, por lo que para el caso, era en </w:t>
      </w:r>
      <w:r w:rsidR="00C62A96" w:rsidRPr="00E165AC">
        <w:rPr>
          <w:rStyle w:val="Referenciasutil"/>
          <w:rFonts w:ascii="Bookman Old Style" w:hAnsi="Bookman Old Style"/>
          <w:smallCaps w:val="0"/>
          <w:color w:val="auto"/>
          <w14:textOutline w14:w="0" w14:cap="flat" w14:cmpd="sng" w14:algn="ctr">
            <w14:noFill/>
            <w14:prstDash w14:val="solid"/>
            <w14:round/>
          </w14:textOutline>
        </w:rPr>
        <w:t xml:space="preserve">un equivalente al 5.5% </w:t>
      </w:r>
      <w:r w:rsidR="00907FD6" w:rsidRPr="00E165AC">
        <w:rPr>
          <w:rStyle w:val="Referenciasutil"/>
          <w:rFonts w:ascii="Bookman Old Style" w:hAnsi="Bookman Old Style"/>
          <w:smallCaps w:val="0"/>
          <w:color w:val="auto"/>
          <w14:textOutline w14:w="0" w14:cap="flat" w14:cmpd="sng" w14:algn="ctr">
            <w14:noFill/>
            <w14:prstDash w14:val="solid"/>
            <w14:round/>
          </w14:textOutline>
        </w:rPr>
        <w:t xml:space="preserve">de lo obtenido </w:t>
      </w:r>
      <w:r w:rsidR="00C62A96" w:rsidRPr="00E165AC">
        <w:rPr>
          <w:rStyle w:val="Referenciasutil"/>
          <w:rFonts w:ascii="Bookman Old Style" w:hAnsi="Bookman Old Style"/>
          <w:smallCaps w:val="0"/>
          <w:color w:val="auto"/>
          <w14:textOutline w14:w="0" w14:cap="flat" w14:cmpd="sng" w14:algn="ctr">
            <w14:noFill/>
            <w14:prstDash w14:val="solid"/>
            <w14:round/>
          </w14:textOutline>
        </w:rPr>
        <w:t xml:space="preserve">y en segunda instancia en dos salarios mínimos, según el rango establecido en el inciso tercero del numeral 1° del Artículo 5° </w:t>
      </w:r>
      <w:proofErr w:type="spellStart"/>
      <w:r w:rsidR="0B5DDCF5" w:rsidRPr="00E165AC">
        <w:rPr>
          <w:rStyle w:val="Referenciasutil"/>
          <w:rFonts w:ascii="Bookman Old Style" w:hAnsi="Bookman Old Style"/>
          <w:smallCaps w:val="0"/>
          <w:color w:val="auto"/>
          <w14:textOutline w14:w="0" w14:cap="flat" w14:cmpd="sng" w14:algn="ctr">
            <w14:noFill/>
            <w14:prstDash w14:val="solid"/>
            <w14:round/>
          </w14:textOutline>
        </w:rPr>
        <w:t>ibid</w:t>
      </w:r>
      <w:proofErr w:type="spellEnd"/>
      <w:r w:rsidR="0B5DDCF5" w:rsidRPr="00E165AC">
        <w:rPr>
          <w:rStyle w:val="Referenciasutil"/>
          <w:rFonts w:ascii="Bookman Old Style" w:hAnsi="Bookman Old Style"/>
          <w:smallCaps w:val="0"/>
          <w:color w:val="auto"/>
          <w14:textOutline w14:w="0" w14:cap="flat" w14:cmpd="sng" w14:algn="ctr">
            <w14:noFill/>
            <w14:prstDash w14:val="solid"/>
            <w14:round/>
          </w14:textOutline>
        </w:rPr>
        <w:t>.</w:t>
      </w:r>
      <w:r w:rsidR="00C62A96" w:rsidRPr="00E165AC">
        <w:rPr>
          <w:rStyle w:val="Referenciasutil"/>
          <w:rFonts w:ascii="Bookman Old Style" w:hAnsi="Bookman Old Style"/>
          <w:smallCaps w:val="0"/>
          <w:color w:val="auto"/>
          <w14:textOutline w14:w="0" w14:cap="flat" w14:cmpd="sng" w14:algn="ctr">
            <w14:noFill/>
            <w14:prstDash w14:val="solid"/>
            <w14:round/>
          </w14:textOutline>
        </w:rPr>
        <w:t xml:space="preserve">, que los establece entre 1 y 6 </w:t>
      </w:r>
      <w:proofErr w:type="spellStart"/>
      <w:r w:rsidR="00C62A96" w:rsidRPr="00E165AC">
        <w:rPr>
          <w:rStyle w:val="Referenciasutil"/>
          <w:rFonts w:ascii="Bookman Old Style" w:hAnsi="Bookman Old Style"/>
          <w:smallCaps w:val="0"/>
          <w:color w:val="auto"/>
          <w14:textOutline w14:w="0" w14:cap="flat" w14:cmpd="sng" w14:algn="ctr">
            <w14:noFill/>
            <w14:prstDash w14:val="solid"/>
            <w14:round/>
          </w14:textOutline>
        </w:rPr>
        <w:t>SMLV</w:t>
      </w:r>
      <w:proofErr w:type="spellEnd"/>
      <w:r w:rsidR="00C62A96" w:rsidRPr="00E165AC">
        <w:rPr>
          <w:rStyle w:val="Referenciasutil"/>
          <w:rFonts w:ascii="Bookman Old Style" w:hAnsi="Bookman Old Style"/>
          <w:smallCaps w:val="0"/>
          <w:color w:val="auto"/>
          <w14:textOutline w14:w="0" w14:cap="flat" w14:cmpd="sng" w14:algn="ctr">
            <w14:noFill/>
            <w14:prstDash w14:val="solid"/>
            <w14:round/>
          </w14:textOutline>
        </w:rPr>
        <w:t>.</w:t>
      </w:r>
    </w:p>
    <w:p w14:paraId="44F2079B" w14:textId="77777777" w:rsidR="00C62A96" w:rsidRPr="00E165AC" w:rsidRDefault="00C62A96" w:rsidP="00E165AC">
      <w:pPr>
        <w:pStyle w:val="Prrafodelista"/>
        <w:spacing w:line="276" w:lineRule="auto"/>
        <w:ind w:left="1080"/>
        <w:rPr>
          <w:rStyle w:val="Referenciasutil"/>
          <w:rFonts w:ascii="Bookman Old Style" w:hAnsi="Bookman Old Style"/>
          <w:smallCaps w:val="0"/>
          <w:color w:val="auto"/>
          <w14:textOutline w14:w="0" w14:cap="flat" w14:cmpd="sng" w14:algn="ctr">
            <w14:noFill/>
            <w14:prstDash w14:val="solid"/>
            <w14:round/>
          </w14:textOutline>
        </w:rPr>
      </w:pPr>
    </w:p>
    <w:p w14:paraId="38DE9E5C" w14:textId="1837A9B4" w:rsidR="00D6073B" w:rsidRPr="00E165AC" w:rsidRDefault="00D6073B" w:rsidP="00F9118D">
      <w:pPr>
        <w:pStyle w:val="Prrafodelista"/>
        <w:numPr>
          <w:ilvl w:val="0"/>
          <w:numId w:val="11"/>
        </w:numPr>
        <w:spacing w:line="276" w:lineRule="auto"/>
        <w:ind w:left="0" w:hanging="11"/>
        <w:jc w:val="center"/>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b/>
          <w:bCs/>
          <w:smallCaps w:val="0"/>
          <w:color w:val="auto"/>
          <w14:textOutline w14:w="0" w14:cap="flat" w14:cmpd="sng" w14:algn="ctr">
            <w14:noFill/>
            <w14:prstDash w14:val="solid"/>
            <w14:round/>
          </w14:textOutline>
        </w:rPr>
        <w:t>RECURSO DE APELACIÓN</w:t>
      </w:r>
    </w:p>
    <w:p w14:paraId="158795F1" w14:textId="77777777" w:rsidR="00221CBC" w:rsidRPr="00E165AC" w:rsidRDefault="00221CBC" w:rsidP="00E165AC">
      <w:pPr>
        <w:spacing w:line="276" w:lineRule="auto"/>
        <w:jc w:val="center"/>
        <w:rPr>
          <w:rStyle w:val="Referenciasutil"/>
          <w:rFonts w:ascii="Bookman Old Style" w:hAnsi="Bookman Old Style"/>
          <w:smallCaps w:val="0"/>
          <w:color w:val="auto"/>
          <w14:textOutline w14:w="0" w14:cap="flat" w14:cmpd="sng" w14:algn="ctr">
            <w14:noFill/>
            <w14:prstDash w14:val="solid"/>
            <w14:round/>
          </w14:textOutline>
        </w:rPr>
      </w:pPr>
    </w:p>
    <w:p w14:paraId="111BFE01" w14:textId="41AB82C6" w:rsidR="00221CBC" w:rsidRPr="00E165AC" w:rsidRDefault="00E9440B"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Protección S.A., manifestó su desacuerdo con las agencias en derecho que integraron la liquidación de las costas a cargo de dicha entidad, al considerar que eran sobreestimadas</w:t>
      </w:r>
      <w:r w:rsidR="00184D48" w:rsidRPr="00E165AC">
        <w:rPr>
          <w:rStyle w:val="Referenciasutil"/>
          <w:rFonts w:ascii="Bookman Old Style" w:hAnsi="Bookman Old Style"/>
          <w:smallCaps w:val="0"/>
          <w:color w:val="auto"/>
          <w14:textOutline w14:w="0" w14:cap="flat" w14:cmpd="sng" w14:algn="ctr">
            <w14:noFill/>
            <w14:prstDash w14:val="solid"/>
            <w14:round/>
          </w14:textOutline>
        </w:rPr>
        <w:t xml:space="preserve">, considerando que era un error por cuanto la negativa pensional por la AFP no </w:t>
      </w:r>
      <w:r w:rsidR="00D77CC4" w:rsidRPr="00E165AC">
        <w:rPr>
          <w:rStyle w:val="Referenciasutil"/>
          <w:rFonts w:ascii="Bookman Old Style" w:hAnsi="Bookman Old Style"/>
          <w:smallCaps w:val="0"/>
          <w:color w:val="auto"/>
          <w14:textOutline w14:w="0" w14:cap="flat" w14:cmpd="sng" w14:algn="ctr">
            <w14:noFill/>
            <w14:prstDash w14:val="solid"/>
            <w14:round/>
          </w14:textOutline>
        </w:rPr>
        <w:t xml:space="preserve">fue </w:t>
      </w:r>
      <w:r w:rsidR="00184D48" w:rsidRPr="00E165AC">
        <w:rPr>
          <w:rStyle w:val="Referenciasutil"/>
          <w:rFonts w:ascii="Bookman Old Style" w:hAnsi="Bookman Old Style"/>
          <w:smallCaps w:val="0"/>
          <w:color w:val="auto"/>
          <w14:textOutline w14:w="0" w14:cap="flat" w14:cmpd="sng" w14:algn="ctr">
            <w14:noFill/>
            <w14:prstDash w14:val="solid"/>
            <w14:round/>
          </w14:textOutline>
        </w:rPr>
        <w:t>producto de una decisión arbitraria y tampoco se negó a cumplir la obligación, sin que tampoco la mora del juzgado para expedir el auto de liquidación sea razón para afectarlos</w:t>
      </w:r>
      <w:r w:rsidR="005548DE" w:rsidRPr="00E165AC">
        <w:rPr>
          <w:rStyle w:val="Referenciasutil"/>
          <w:rFonts w:ascii="Bookman Old Style" w:hAnsi="Bookman Old Style"/>
          <w:smallCaps w:val="0"/>
          <w:color w:val="auto"/>
          <w14:textOutline w14:w="0" w14:cap="flat" w14:cmpd="sng" w14:algn="ctr">
            <w14:noFill/>
            <w14:prstDash w14:val="solid"/>
            <w14:round/>
          </w14:textOutline>
        </w:rPr>
        <w:t>.</w:t>
      </w:r>
    </w:p>
    <w:p w14:paraId="0475D586" w14:textId="77777777" w:rsidR="00184D48" w:rsidRPr="00E165AC" w:rsidRDefault="00184D48"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p>
    <w:p w14:paraId="557254C9" w14:textId="0BBC2C50" w:rsidR="006A5920" w:rsidRPr="00E165AC" w:rsidRDefault="00184D48"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Por tanto, solicita que la condena a imponerse en este caso en particular sea del 3% en primera instancia por $2.938.554,56., incluso por debajo de 3 </w:t>
      </w:r>
      <w:proofErr w:type="spellStart"/>
      <w:r w:rsidRPr="00E165AC">
        <w:rPr>
          <w:rStyle w:val="Referenciasutil"/>
          <w:rFonts w:ascii="Bookman Old Style" w:hAnsi="Bookman Old Style"/>
          <w:smallCaps w:val="0"/>
          <w:color w:val="auto"/>
          <w14:textOutline w14:w="0" w14:cap="flat" w14:cmpd="sng" w14:algn="ctr">
            <w14:noFill/>
            <w14:prstDash w14:val="solid"/>
            <w14:round/>
          </w14:textOutline>
        </w:rPr>
        <w:t>S.M.L.V</w:t>
      </w:r>
      <w:proofErr w:type="spellEnd"/>
      <w:r w:rsidRPr="00E165AC">
        <w:rPr>
          <w:rStyle w:val="Referenciasutil"/>
          <w:rFonts w:ascii="Bookman Old Style" w:hAnsi="Bookman Old Style"/>
          <w:smallCaps w:val="0"/>
          <w:color w:val="auto"/>
          <w14:textOutline w14:w="0" w14:cap="flat" w14:cmpd="sng" w14:algn="ctr">
            <w14:noFill/>
            <w14:prstDash w14:val="solid"/>
            <w14:round/>
          </w14:textOutline>
        </w:rPr>
        <w:t>., y en segunda instancia por un salario mínimo es decir 1.000.000 con valores del año 2022</w:t>
      </w:r>
      <w:r w:rsidR="0056141E" w:rsidRPr="00E165AC">
        <w:rPr>
          <w:rStyle w:val="Referenciasutil"/>
          <w:rFonts w:ascii="Bookman Old Style" w:hAnsi="Bookman Old Style"/>
          <w:smallCaps w:val="0"/>
          <w:color w:val="auto"/>
          <w14:textOutline w14:w="0" w14:cap="flat" w14:cmpd="sng" w14:algn="ctr">
            <w14:noFill/>
            <w14:prstDash w14:val="solid"/>
            <w14:round/>
          </w14:textOutline>
        </w:rPr>
        <w:t>.</w:t>
      </w:r>
      <w:r w:rsidRPr="00E165AC">
        <w:rPr>
          <w:rStyle w:val="Referenciasutil"/>
          <w:rFonts w:ascii="Bookman Old Style" w:hAnsi="Bookman Old Style"/>
          <w:smallCaps w:val="0"/>
          <w:color w:val="auto"/>
          <w14:textOutline w14:w="0" w14:cap="flat" w14:cmpd="sng" w14:algn="ctr">
            <w14:noFill/>
            <w14:prstDash w14:val="solid"/>
            <w14:round/>
          </w14:textOutline>
        </w:rPr>
        <w:t xml:space="preserve"> </w:t>
      </w:r>
    </w:p>
    <w:p w14:paraId="08A3519F" w14:textId="77777777" w:rsidR="00184D48" w:rsidRPr="00E165AC" w:rsidRDefault="00184D48"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p>
    <w:p w14:paraId="1F940628" w14:textId="48928AAB" w:rsidR="00D6073B" w:rsidRPr="00E165AC" w:rsidRDefault="00D6073B" w:rsidP="00F9118D">
      <w:pPr>
        <w:pStyle w:val="Prrafodelista"/>
        <w:numPr>
          <w:ilvl w:val="0"/>
          <w:numId w:val="11"/>
        </w:numPr>
        <w:spacing w:line="276" w:lineRule="auto"/>
        <w:ind w:left="0" w:hanging="11"/>
        <w:jc w:val="center"/>
        <w:rPr>
          <w:rStyle w:val="Referenciasutil"/>
          <w:rFonts w:ascii="Bookman Old Style" w:hAnsi="Bookman Old Style"/>
          <w:b/>
          <w:bCs/>
          <w:smallCaps w:val="0"/>
          <w:color w:val="auto"/>
          <w14:textOutline w14:w="0" w14:cap="flat" w14:cmpd="sng" w14:algn="ctr">
            <w14:noFill/>
            <w14:prstDash w14:val="solid"/>
            <w14:round/>
          </w14:textOutline>
        </w:rPr>
      </w:pPr>
      <w:r w:rsidRPr="00E165AC">
        <w:rPr>
          <w:rStyle w:val="Referenciasutil"/>
          <w:rFonts w:ascii="Bookman Old Style" w:hAnsi="Bookman Old Style"/>
          <w:b/>
          <w:bCs/>
          <w:smallCaps w:val="0"/>
          <w:color w:val="auto"/>
          <w14:textOutline w14:w="0" w14:cap="flat" w14:cmpd="sng" w14:algn="ctr">
            <w14:noFill/>
            <w14:prstDash w14:val="solid"/>
            <w14:round/>
          </w14:textOutline>
        </w:rPr>
        <w:t>ALEGATOS DE SEGUNDA INSTANCIA</w:t>
      </w:r>
    </w:p>
    <w:p w14:paraId="4918DB86" w14:textId="77777777" w:rsidR="00D6073B" w:rsidRPr="00E165AC" w:rsidRDefault="00D6073B" w:rsidP="00E165AC">
      <w:pPr>
        <w:spacing w:line="276" w:lineRule="auto"/>
        <w:rPr>
          <w:rStyle w:val="Referenciasutil"/>
          <w:rFonts w:ascii="Bookman Old Style" w:hAnsi="Bookman Old Style"/>
          <w:smallCaps w:val="0"/>
          <w:color w:val="auto"/>
          <w14:textOutline w14:w="0" w14:cap="flat" w14:cmpd="sng" w14:algn="ctr">
            <w14:noFill/>
            <w14:prstDash w14:val="solid"/>
            <w14:round/>
          </w14:textOutline>
        </w:rPr>
      </w:pPr>
    </w:p>
    <w:p w14:paraId="69E63B9D" w14:textId="0C1B7CD8" w:rsidR="00254077" w:rsidRPr="00E165AC" w:rsidRDefault="00254077" w:rsidP="00E165AC">
      <w:pPr>
        <w:spacing w:line="276" w:lineRule="auto"/>
        <w:jc w:val="both"/>
        <w:rPr>
          <w:rStyle w:val="Referenciasutil"/>
          <w:rFonts w:ascii="Bookman Old Style" w:hAnsi="Bookman Old Style"/>
          <w:smallCaps w:val="0"/>
          <w:color w:val="auto"/>
          <w:lang w:val="es-ES_tradnl"/>
        </w:rPr>
      </w:pPr>
      <w:r w:rsidRPr="00E165AC">
        <w:rPr>
          <w:rStyle w:val="Referenciasutil"/>
          <w:rFonts w:ascii="Bookman Old Style" w:hAnsi="Bookman Old Style"/>
          <w:smallCaps w:val="0"/>
          <w:color w:val="auto"/>
          <w:lang w:val="es-ES_tradnl"/>
        </w:rPr>
        <w:t xml:space="preserve">Como la finalidad de esta etapa es atender la persuasión fáctica y jurídica sobre el tema objeto de discusión, bajo ese espectro se atienden los alegatos que guarden relación directa con los temas debatidos. Para tal efecto, el traslado se dispuso mediante fijación en lista del 04-07-2023 y de la presentación de alegaciones en término, se remite a la constancia de la Secretaría de la Sala. </w:t>
      </w:r>
    </w:p>
    <w:p w14:paraId="4089E71A" w14:textId="77777777" w:rsidR="00254077" w:rsidRPr="00E165AC" w:rsidRDefault="00254077" w:rsidP="00E165AC">
      <w:pPr>
        <w:spacing w:line="276" w:lineRule="auto"/>
        <w:jc w:val="both"/>
        <w:rPr>
          <w:rStyle w:val="Referenciasutil"/>
          <w:rFonts w:ascii="Bookman Old Style" w:hAnsi="Bookman Old Style"/>
          <w:smallCaps w:val="0"/>
          <w:color w:val="auto"/>
          <w:lang w:val="es-ES_tradnl"/>
        </w:rPr>
      </w:pPr>
    </w:p>
    <w:p w14:paraId="0573ADF6" w14:textId="3007FBCA" w:rsidR="00254077" w:rsidRPr="00E165AC" w:rsidRDefault="00254077" w:rsidP="00E165AC">
      <w:pPr>
        <w:spacing w:line="276" w:lineRule="auto"/>
        <w:jc w:val="both"/>
        <w:rPr>
          <w:rStyle w:val="Referenciasutil"/>
          <w:rFonts w:ascii="Bookman Old Style" w:hAnsi="Bookman Old Style"/>
          <w:smallCaps w:val="0"/>
          <w:color w:val="auto"/>
          <w:lang w:val="es-ES_tradnl"/>
        </w:rPr>
      </w:pPr>
      <w:r w:rsidRPr="00E165AC">
        <w:rPr>
          <w:rStyle w:val="Referenciasutil"/>
          <w:rFonts w:ascii="Bookman Old Style" w:hAnsi="Bookman Old Style"/>
          <w:smallCaps w:val="0"/>
          <w:color w:val="auto"/>
          <w:lang w:val="es-ES_tradnl"/>
        </w:rPr>
        <w:t>Surtido el trámite que corresponde a esta instancia, procede la Sala de decisión a dictar la providencia que corresponde, previas las siguientes,</w:t>
      </w:r>
    </w:p>
    <w:p w14:paraId="3D533D24" w14:textId="77777777" w:rsidR="00EF5714" w:rsidRPr="00E165AC" w:rsidRDefault="00EF5714" w:rsidP="00E165AC">
      <w:pPr>
        <w:spacing w:line="276" w:lineRule="auto"/>
        <w:jc w:val="both"/>
        <w:rPr>
          <w:rStyle w:val="Referenciasutil"/>
          <w:rFonts w:ascii="Bookman Old Style" w:hAnsi="Bookman Old Style"/>
          <w:smallCaps w:val="0"/>
          <w:color w:val="auto"/>
          <w:lang w:val="es-ES_tradnl"/>
        </w:rPr>
      </w:pPr>
    </w:p>
    <w:p w14:paraId="126FD5C1" w14:textId="4F6DF9E6" w:rsidR="00D6073B" w:rsidRPr="00E165AC" w:rsidRDefault="00D6073B" w:rsidP="00F9118D">
      <w:pPr>
        <w:pStyle w:val="Prrafodelista"/>
        <w:numPr>
          <w:ilvl w:val="0"/>
          <w:numId w:val="11"/>
        </w:numPr>
        <w:spacing w:line="276" w:lineRule="auto"/>
        <w:ind w:left="0" w:hanging="11"/>
        <w:jc w:val="center"/>
        <w:rPr>
          <w:rStyle w:val="Referenciasutil"/>
          <w:rFonts w:ascii="Bookman Old Style" w:hAnsi="Bookman Old Style"/>
          <w:b/>
          <w:bCs/>
          <w:smallCaps w:val="0"/>
          <w:color w:val="auto"/>
          <w14:textOutline w14:w="0" w14:cap="flat" w14:cmpd="sng" w14:algn="ctr">
            <w14:noFill/>
            <w14:prstDash w14:val="solid"/>
            <w14:round/>
          </w14:textOutline>
        </w:rPr>
      </w:pPr>
      <w:r w:rsidRPr="00E165AC">
        <w:rPr>
          <w:rStyle w:val="Referenciasutil"/>
          <w:rFonts w:ascii="Bookman Old Style" w:hAnsi="Bookman Old Style"/>
          <w:b/>
          <w:bCs/>
          <w:smallCaps w:val="0"/>
          <w:color w:val="auto"/>
          <w14:textOutline w14:w="0" w14:cap="flat" w14:cmpd="sng" w14:algn="ctr">
            <w14:noFill/>
            <w14:prstDash w14:val="solid"/>
            <w14:round/>
          </w14:textOutline>
        </w:rPr>
        <w:t>CONSIDERACIONES</w:t>
      </w:r>
    </w:p>
    <w:p w14:paraId="7B3855A1" w14:textId="77777777" w:rsidR="004206A9" w:rsidRPr="00E165AC" w:rsidRDefault="004206A9" w:rsidP="00E165AC">
      <w:pPr>
        <w:spacing w:line="276" w:lineRule="auto"/>
        <w:rPr>
          <w:rStyle w:val="Referenciasutil"/>
          <w:rFonts w:ascii="Bookman Old Style" w:hAnsi="Bookman Old Style"/>
          <w:smallCaps w:val="0"/>
          <w:color w:val="auto"/>
          <w14:textOutline w14:w="0" w14:cap="flat" w14:cmpd="sng" w14:algn="ctr">
            <w14:noFill/>
            <w14:prstDash w14:val="solid"/>
            <w14:round/>
          </w14:textOutline>
        </w:rPr>
      </w:pPr>
    </w:p>
    <w:p w14:paraId="3FD812C1" w14:textId="2650D087" w:rsidR="00654C93" w:rsidRPr="00E165AC" w:rsidRDefault="00654C93" w:rsidP="00E165AC">
      <w:pPr>
        <w:spacing w:line="276" w:lineRule="auto"/>
        <w:jc w:val="both"/>
        <w:rPr>
          <w:rFonts w:ascii="Bookman Old Style" w:hAnsi="Bookman Old Style" w:cs="Tahoma"/>
        </w:rPr>
      </w:pPr>
      <w:r w:rsidRPr="00E165AC">
        <w:rPr>
          <w:rFonts w:ascii="Bookman Old Style" w:hAnsi="Bookman Old Style" w:cs="Tahoma"/>
        </w:rPr>
        <w:lastRenderedPageBreak/>
        <w:t xml:space="preserve">En el presente caso encontramos que se recurre en apelación el auto por medio del cual se resuelve la objeción a la liquidación de las costas respecto de las agencias en derecho, decisión recurrible al tenor del numeral 11 del artículo 65 del </w:t>
      </w:r>
      <w:proofErr w:type="spellStart"/>
      <w:r w:rsidRPr="00E165AC">
        <w:rPr>
          <w:rFonts w:ascii="Bookman Old Style" w:hAnsi="Bookman Old Style" w:cs="Tahoma"/>
        </w:rPr>
        <w:t>CPT</w:t>
      </w:r>
      <w:proofErr w:type="spellEnd"/>
      <w:r w:rsidRPr="00E165AC">
        <w:rPr>
          <w:rFonts w:ascii="Bookman Old Style" w:hAnsi="Bookman Old Style" w:cs="Tahoma"/>
        </w:rPr>
        <w:t xml:space="preserve"> y SS.</w:t>
      </w:r>
    </w:p>
    <w:p w14:paraId="5F545472" w14:textId="77777777" w:rsidR="00654C93" w:rsidRPr="00E165AC" w:rsidRDefault="00654C93" w:rsidP="00E165AC">
      <w:pPr>
        <w:spacing w:line="276" w:lineRule="auto"/>
        <w:jc w:val="both"/>
        <w:rPr>
          <w:rFonts w:ascii="Bookman Old Style" w:hAnsi="Bookman Old Style" w:cs="Tahoma"/>
        </w:rPr>
      </w:pPr>
    </w:p>
    <w:p w14:paraId="41388D8E" w14:textId="77777777" w:rsidR="00654C93" w:rsidRPr="00E165AC" w:rsidRDefault="00654C93" w:rsidP="00E165AC">
      <w:pPr>
        <w:spacing w:line="276" w:lineRule="auto"/>
        <w:jc w:val="both"/>
        <w:rPr>
          <w:rFonts w:ascii="Bookman Old Style" w:hAnsi="Bookman Old Style" w:cs="Tahoma"/>
        </w:rPr>
      </w:pPr>
      <w:r w:rsidRPr="00E165AC">
        <w:rPr>
          <w:rFonts w:ascii="Bookman Old Style" w:hAnsi="Bookman Old Style" w:cs="Tahoma"/>
        </w:rPr>
        <w:t>Teniendo en cuenta el auto recurrido y el recurso formulado, el problema jurídico se circunscribe en establecer si el monto reconocido a título de agencias en derecho se encuentra ajustado a los criterios establecidos en el Acuerdo que los rige.</w:t>
      </w:r>
    </w:p>
    <w:p w14:paraId="319B48E5" w14:textId="77777777" w:rsidR="00654C93" w:rsidRPr="00E165AC" w:rsidRDefault="00654C93" w:rsidP="00E165AC">
      <w:pPr>
        <w:spacing w:line="276" w:lineRule="auto"/>
        <w:jc w:val="both"/>
        <w:rPr>
          <w:rFonts w:ascii="Bookman Old Style" w:hAnsi="Bookman Old Style" w:cs="Tahoma"/>
        </w:rPr>
      </w:pPr>
    </w:p>
    <w:p w14:paraId="2D483789" w14:textId="631C66B6" w:rsidR="00654C93" w:rsidRPr="00E165AC" w:rsidRDefault="00654C93" w:rsidP="00E165AC">
      <w:pPr>
        <w:spacing w:line="276" w:lineRule="auto"/>
        <w:jc w:val="both"/>
        <w:rPr>
          <w:rFonts w:ascii="Bookman Old Style" w:hAnsi="Bookman Old Style" w:cs="Tahoma"/>
        </w:rPr>
      </w:pPr>
      <w:r w:rsidRPr="00E165AC">
        <w:rPr>
          <w:rFonts w:ascii="Bookman Old Style" w:hAnsi="Bookman Old Style" w:cs="Tahoma"/>
        </w:rPr>
        <w:t xml:space="preserve">Pues bien, como el asunto que convoca a la Sala se concreta en la liquidación de las costas a la que fue condenada la parte pasiva tras la culminación de la contienda, es del caso hacer hincapié en que, para determinar la norma aplicable para la fijación de las agencias en derecho, se debe tener en cuenta que el </w:t>
      </w:r>
      <w:r w:rsidR="00B121FB" w:rsidRPr="00E165AC">
        <w:rPr>
          <w:rFonts w:ascii="Bookman Old Style" w:hAnsi="Bookman Old Style" w:cs="Tahoma"/>
        </w:rPr>
        <w:t xml:space="preserve">Acuerdo </w:t>
      </w:r>
      <w:proofErr w:type="spellStart"/>
      <w:r w:rsidRPr="00E165AC">
        <w:rPr>
          <w:rFonts w:ascii="Bookman Old Style" w:hAnsi="Bookman Old Style" w:cs="Tahoma"/>
        </w:rPr>
        <w:t>PSAA16</w:t>
      </w:r>
      <w:proofErr w:type="spellEnd"/>
      <w:r w:rsidRPr="00E165AC">
        <w:rPr>
          <w:rFonts w:ascii="Bookman Old Style" w:hAnsi="Bookman Old Style" w:cs="Tahoma"/>
        </w:rPr>
        <w:t>-10554 del 16 de agosto de 2016 entró a regir para todos los procesos iniciados a partir de su publicación, esto es, a partir del 05-08-2016, condición que en este asunto se cumple, pues este proceso se impetró en el año 2017.</w:t>
      </w:r>
    </w:p>
    <w:p w14:paraId="46873B0A" w14:textId="77777777" w:rsidR="00654C93" w:rsidRPr="00E165AC" w:rsidRDefault="00654C93" w:rsidP="00E165AC">
      <w:pPr>
        <w:spacing w:line="276" w:lineRule="auto"/>
        <w:jc w:val="both"/>
        <w:rPr>
          <w:rFonts w:ascii="Bookman Old Style" w:hAnsi="Bookman Old Style" w:cs="Tahoma"/>
        </w:rPr>
      </w:pPr>
    </w:p>
    <w:p w14:paraId="4CF0D848" w14:textId="0437CF5B" w:rsidR="00654C93" w:rsidRPr="00E165AC" w:rsidRDefault="00654C93" w:rsidP="00E165AC">
      <w:pPr>
        <w:spacing w:line="276" w:lineRule="auto"/>
        <w:jc w:val="both"/>
        <w:rPr>
          <w:rFonts w:ascii="Bookman Old Style" w:eastAsia="Yu Mincho Light" w:hAnsi="Bookman Old Style"/>
        </w:rPr>
      </w:pPr>
      <w:r w:rsidRPr="00E165AC">
        <w:rPr>
          <w:rFonts w:ascii="Bookman Old Style" w:eastAsia="Yu Mincho Light" w:hAnsi="Bookman Old Style"/>
        </w:rPr>
        <w:t xml:space="preserve">Ahora, hay que tener presente que </w:t>
      </w:r>
      <w:r w:rsidR="002B5C64" w:rsidRPr="00E165AC">
        <w:rPr>
          <w:rFonts w:ascii="Bookman Old Style" w:eastAsia="Yu Mincho Light" w:hAnsi="Bookman Old Style"/>
        </w:rPr>
        <w:t xml:space="preserve">el </w:t>
      </w:r>
      <w:r w:rsidRPr="00E165AC">
        <w:rPr>
          <w:rFonts w:ascii="Bookman Old Style" w:eastAsia="Yu Mincho Light" w:hAnsi="Bookman Old Style"/>
        </w:rPr>
        <w:t>artículo 5, numeral 1 “Procesos Declarativos en General” del acuerdo en cita, y, tratándose de procesos en primera instancia, dispone el Acuerdo traído a colación:</w:t>
      </w:r>
    </w:p>
    <w:p w14:paraId="4EA62057" w14:textId="77777777" w:rsidR="00654C93" w:rsidRPr="00E165AC" w:rsidRDefault="00654C93" w:rsidP="00E165AC">
      <w:pPr>
        <w:spacing w:line="276" w:lineRule="auto"/>
        <w:jc w:val="both"/>
        <w:rPr>
          <w:rFonts w:ascii="Bookman Old Style" w:eastAsia="Yu Mincho Light" w:hAnsi="Bookman Old Style"/>
        </w:rPr>
      </w:pPr>
    </w:p>
    <w:p w14:paraId="56338FCE" w14:textId="77777777" w:rsidR="00654C93" w:rsidRPr="007004CD" w:rsidRDefault="00654C93" w:rsidP="007004CD">
      <w:pPr>
        <w:spacing w:line="240" w:lineRule="auto"/>
        <w:ind w:left="709" w:right="420" w:hanging="284"/>
        <w:jc w:val="both"/>
        <w:rPr>
          <w:rFonts w:ascii="Bookman Old Style" w:eastAsia="Yu Mincho Light" w:hAnsi="Bookman Old Style" w:cs="Times New Roman"/>
          <w:sz w:val="22"/>
        </w:rPr>
      </w:pPr>
      <w:r w:rsidRPr="007004CD">
        <w:rPr>
          <w:rFonts w:ascii="Bookman Old Style" w:eastAsia="Yu Mincho Light" w:hAnsi="Bookman Old Style" w:cs="Times New Roman"/>
          <w:sz w:val="22"/>
        </w:rPr>
        <w:t>“</w:t>
      </w:r>
      <w:r w:rsidRPr="007004CD">
        <w:rPr>
          <w:rFonts w:ascii="Bookman Old Style" w:eastAsia="Yu Mincho Light" w:hAnsi="Bookman Old Style" w:cs="Times New Roman"/>
          <w:b/>
          <w:bCs/>
          <w:sz w:val="22"/>
        </w:rPr>
        <w:t>En primera instancia</w:t>
      </w:r>
      <w:r w:rsidRPr="007004CD">
        <w:rPr>
          <w:rFonts w:ascii="Bookman Old Style" w:eastAsia="Yu Mincho Light" w:hAnsi="Bookman Old Style" w:cs="Times New Roman"/>
          <w:sz w:val="22"/>
        </w:rPr>
        <w:t>.</w:t>
      </w:r>
      <w:r w:rsidRPr="007004CD">
        <w:rPr>
          <w:rFonts w:ascii="Bookman Old Style" w:eastAsia="Yu Mincho Light" w:hAnsi="Bookman Old Style" w:cs="Times New Roman"/>
          <w:sz w:val="22"/>
        </w:rPr>
        <w:tab/>
      </w:r>
    </w:p>
    <w:p w14:paraId="1320C8C0" w14:textId="77777777" w:rsidR="00654C93" w:rsidRPr="007004CD" w:rsidRDefault="00654C93" w:rsidP="007004CD">
      <w:pPr>
        <w:spacing w:line="240" w:lineRule="auto"/>
        <w:ind w:left="709" w:right="420" w:hanging="284"/>
        <w:jc w:val="both"/>
        <w:rPr>
          <w:rFonts w:ascii="Bookman Old Style" w:eastAsia="Yu Mincho Light" w:hAnsi="Bookman Old Style" w:cs="Times New Roman"/>
          <w:sz w:val="22"/>
        </w:rPr>
      </w:pPr>
    </w:p>
    <w:p w14:paraId="6BC22B57" w14:textId="77777777" w:rsidR="00654C93" w:rsidRPr="007004CD" w:rsidRDefault="00654C93" w:rsidP="007004CD">
      <w:pPr>
        <w:spacing w:line="240" w:lineRule="auto"/>
        <w:ind w:left="709" w:right="420" w:hanging="284"/>
        <w:jc w:val="both"/>
        <w:rPr>
          <w:rFonts w:ascii="Bookman Old Style" w:eastAsia="Yu Mincho Light" w:hAnsi="Bookman Old Style" w:cs="Times New Roman"/>
          <w:i/>
          <w:iCs/>
          <w:sz w:val="22"/>
        </w:rPr>
      </w:pPr>
      <w:r w:rsidRPr="007004CD">
        <w:rPr>
          <w:rFonts w:ascii="Bookman Old Style" w:eastAsia="Yu Mincho Light" w:hAnsi="Bookman Old Style" w:cs="Times New Roman"/>
          <w:sz w:val="22"/>
        </w:rPr>
        <w:t xml:space="preserve">a. Por la cuantía. Cuando en la demanda se formulen pretensiones de contenido pecuniario: </w:t>
      </w:r>
      <w:r w:rsidRPr="007004CD">
        <w:rPr>
          <w:rFonts w:ascii="Bookman Old Style" w:eastAsia="Yu Mincho Light" w:hAnsi="Bookman Old Style" w:cs="Times New Roman"/>
          <w:i/>
          <w:iCs/>
          <w:sz w:val="22"/>
        </w:rPr>
        <w:t>(i) De menor cuantía, entre el 4% y el 10% de lo pedido y (ii) De mayor cuantía, entre el 3% y el 7.5% de lo pedido.</w:t>
      </w:r>
    </w:p>
    <w:p w14:paraId="13058E49" w14:textId="77777777" w:rsidR="00654C93" w:rsidRPr="007004CD" w:rsidRDefault="00654C93" w:rsidP="007004CD">
      <w:pPr>
        <w:spacing w:line="240" w:lineRule="auto"/>
        <w:ind w:left="709" w:right="420" w:hanging="284"/>
        <w:jc w:val="both"/>
        <w:rPr>
          <w:rFonts w:ascii="Bookman Old Style" w:eastAsia="Yu Mincho Light" w:hAnsi="Bookman Old Style" w:cs="Times New Roman"/>
          <w:sz w:val="22"/>
        </w:rPr>
      </w:pPr>
      <w:r w:rsidRPr="007004CD">
        <w:rPr>
          <w:rFonts w:ascii="Bookman Old Style" w:eastAsia="Yu Mincho Light" w:hAnsi="Bookman Old Style" w:cs="Times New Roman"/>
          <w:sz w:val="22"/>
        </w:rPr>
        <w:tab/>
      </w:r>
    </w:p>
    <w:p w14:paraId="57304CBA" w14:textId="77777777" w:rsidR="00654C93" w:rsidRPr="007004CD" w:rsidRDefault="00654C93" w:rsidP="007004CD">
      <w:pPr>
        <w:spacing w:line="240" w:lineRule="auto"/>
        <w:ind w:left="709" w:right="420" w:hanging="284"/>
        <w:jc w:val="both"/>
        <w:rPr>
          <w:rFonts w:ascii="Bookman Old Style" w:eastAsia="Yu Mincho Light" w:hAnsi="Bookman Old Style" w:cs="Times New Roman"/>
          <w:sz w:val="22"/>
        </w:rPr>
      </w:pPr>
      <w:r w:rsidRPr="007004CD">
        <w:rPr>
          <w:rFonts w:ascii="Bookman Old Style" w:eastAsia="Yu Mincho Light" w:hAnsi="Bookman Old Style" w:cs="Times New Roman"/>
          <w:sz w:val="22"/>
        </w:rPr>
        <w:t xml:space="preserve">b. Por la naturaleza del asunto. En aquellos asuntos que carezcan de cuantía o de pretensiones pecuniarias, entre 1 y 10 </w:t>
      </w:r>
      <w:proofErr w:type="spellStart"/>
      <w:r w:rsidRPr="007004CD">
        <w:rPr>
          <w:rFonts w:ascii="Bookman Old Style" w:eastAsia="Yu Mincho Light" w:hAnsi="Bookman Old Style" w:cs="Times New Roman"/>
          <w:sz w:val="22"/>
        </w:rPr>
        <w:t>S.M.M.L.V</w:t>
      </w:r>
      <w:proofErr w:type="spellEnd"/>
      <w:r w:rsidRPr="007004CD">
        <w:rPr>
          <w:rFonts w:ascii="Bookman Old Style" w:eastAsia="Yu Mincho Light" w:hAnsi="Bookman Old Style" w:cs="Times New Roman"/>
          <w:sz w:val="22"/>
        </w:rPr>
        <w:t>.</w:t>
      </w:r>
    </w:p>
    <w:p w14:paraId="72FC5CF9" w14:textId="77777777" w:rsidR="00654C93" w:rsidRPr="007004CD" w:rsidRDefault="00654C93" w:rsidP="007004CD">
      <w:pPr>
        <w:spacing w:line="240" w:lineRule="auto"/>
        <w:ind w:left="709" w:right="420" w:hanging="284"/>
        <w:jc w:val="both"/>
        <w:rPr>
          <w:rFonts w:ascii="Bookman Old Style" w:eastAsia="Yu Mincho Light" w:hAnsi="Bookman Old Style" w:cs="Times New Roman"/>
          <w:b/>
          <w:bCs/>
          <w:sz w:val="22"/>
        </w:rPr>
      </w:pPr>
    </w:p>
    <w:p w14:paraId="5687C1C1" w14:textId="77777777" w:rsidR="00654C93" w:rsidRPr="007004CD" w:rsidRDefault="00654C93" w:rsidP="007004CD">
      <w:pPr>
        <w:spacing w:line="240" w:lineRule="auto"/>
        <w:ind w:left="709" w:right="420" w:hanging="284"/>
        <w:jc w:val="both"/>
        <w:rPr>
          <w:rFonts w:ascii="Bookman Old Style" w:eastAsia="Yu Mincho Light" w:hAnsi="Bookman Old Style" w:cs="Times New Roman"/>
          <w:sz w:val="22"/>
        </w:rPr>
      </w:pPr>
      <w:r w:rsidRPr="007004CD">
        <w:rPr>
          <w:rFonts w:ascii="Bookman Old Style" w:eastAsia="Yu Mincho Light" w:hAnsi="Bookman Old Style" w:cs="Times New Roman"/>
          <w:b/>
          <w:bCs/>
          <w:sz w:val="22"/>
        </w:rPr>
        <w:t xml:space="preserve">En segunda instancia. </w:t>
      </w:r>
      <w:r w:rsidRPr="007004CD">
        <w:rPr>
          <w:rFonts w:ascii="Bookman Old Style" w:eastAsia="Yu Mincho Light" w:hAnsi="Bookman Old Style" w:cs="Times New Roman"/>
          <w:sz w:val="22"/>
        </w:rPr>
        <w:t xml:space="preserve">Entre 1 y 6 </w:t>
      </w:r>
      <w:proofErr w:type="spellStart"/>
      <w:r w:rsidRPr="007004CD">
        <w:rPr>
          <w:rFonts w:ascii="Bookman Old Style" w:eastAsia="Yu Mincho Light" w:hAnsi="Bookman Old Style" w:cs="Times New Roman"/>
          <w:sz w:val="22"/>
        </w:rPr>
        <w:t>S.M.M.L.V</w:t>
      </w:r>
      <w:proofErr w:type="spellEnd"/>
      <w:r w:rsidRPr="007004CD">
        <w:rPr>
          <w:rFonts w:ascii="Bookman Old Style" w:eastAsia="Yu Mincho Light" w:hAnsi="Bookman Old Style" w:cs="Times New Roman"/>
          <w:sz w:val="22"/>
        </w:rPr>
        <w:t>. […]”.</w:t>
      </w:r>
    </w:p>
    <w:p w14:paraId="3120E859" w14:textId="77777777" w:rsidR="00654C93" w:rsidRPr="00E165AC" w:rsidRDefault="00654C93" w:rsidP="00E165AC">
      <w:pPr>
        <w:spacing w:line="276" w:lineRule="auto"/>
        <w:jc w:val="both"/>
        <w:rPr>
          <w:rFonts w:ascii="Bookman Old Style" w:eastAsia="Yu Mincho Light" w:hAnsi="Bookman Old Style"/>
        </w:rPr>
      </w:pPr>
    </w:p>
    <w:p w14:paraId="567E7300" w14:textId="3B29FEC8" w:rsidR="00654C93" w:rsidRPr="00E165AC" w:rsidRDefault="00654C93" w:rsidP="00E165AC">
      <w:pPr>
        <w:spacing w:line="276" w:lineRule="auto"/>
        <w:jc w:val="both"/>
        <w:rPr>
          <w:rFonts w:ascii="Bookman Old Style" w:eastAsia="Yu Mincho Light" w:hAnsi="Bookman Old Style"/>
        </w:rPr>
      </w:pPr>
      <w:r w:rsidRPr="00E165AC">
        <w:rPr>
          <w:rFonts w:ascii="Bookman Old Style" w:eastAsia="Yu Mincho Light" w:hAnsi="Bookman Old Style"/>
        </w:rPr>
        <w:t xml:space="preserve">Ahora, si bien en materia laboral no se clasifican los procesos de primera instancia en menor y mayor cuantía, lo cierto es </w:t>
      </w:r>
      <w:r w:rsidR="007004CD" w:rsidRPr="00E165AC">
        <w:rPr>
          <w:rFonts w:ascii="Bookman Old Style" w:eastAsia="Yu Mincho Light" w:hAnsi="Bookman Old Style"/>
        </w:rPr>
        <w:t>que,</w:t>
      </w:r>
      <w:r w:rsidRPr="00E165AC">
        <w:rPr>
          <w:rFonts w:ascii="Bookman Old Style" w:eastAsia="Yu Mincho Light" w:hAnsi="Bookman Old Style"/>
        </w:rPr>
        <w:t xml:space="preserve"> haciendo una aproximación a lo estatuido en materia civil, se tiene en cuenta que los procesos donde las pretensiones patrimoniales son menores a los 150 </w:t>
      </w:r>
      <w:proofErr w:type="spellStart"/>
      <w:r w:rsidRPr="00E165AC">
        <w:rPr>
          <w:rFonts w:ascii="Bookman Old Style" w:eastAsia="Yu Mincho Light" w:hAnsi="Bookman Old Style"/>
        </w:rPr>
        <w:t>SMLV</w:t>
      </w:r>
      <w:proofErr w:type="spellEnd"/>
      <w:r w:rsidRPr="00E165AC">
        <w:rPr>
          <w:rFonts w:ascii="Bookman Old Style" w:eastAsia="Yu Mincho Light" w:hAnsi="Bookman Old Style"/>
        </w:rPr>
        <w:t xml:space="preserve">, siempre que no se trate de procesos en única instancia, la tasación oscila entre el 4% y el 10% de lo pedido y, cuando los excede, dichas tasaciones oscilan entre el 3% y el 7.5% de lo pedido (art. 25 </w:t>
      </w:r>
      <w:proofErr w:type="spellStart"/>
      <w:r w:rsidRPr="00E165AC">
        <w:rPr>
          <w:rFonts w:ascii="Bookman Old Style" w:eastAsia="Yu Mincho Light" w:hAnsi="Bookman Old Style"/>
        </w:rPr>
        <w:t>CGP</w:t>
      </w:r>
      <w:proofErr w:type="spellEnd"/>
      <w:r w:rsidRPr="00E165AC">
        <w:rPr>
          <w:rFonts w:ascii="Bookman Old Style" w:eastAsia="Yu Mincho Light" w:hAnsi="Bookman Old Style"/>
        </w:rPr>
        <w:t>).</w:t>
      </w:r>
    </w:p>
    <w:p w14:paraId="4C0EAA94" w14:textId="77777777" w:rsidR="00654C93" w:rsidRPr="00E165AC" w:rsidRDefault="00654C93" w:rsidP="00E165AC">
      <w:pPr>
        <w:spacing w:line="276" w:lineRule="auto"/>
        <w:jc w:val="both"/>
        <w:rPr>
          <w:rFonts w:ascii="Bookman Old Style" w:hAnsi="Bookman Old Style" w:cs="Tahoma"/>
        </w:rPr>
      </w:pPr>
    </w:p>
    <w:p w14:paraId="69B2D8F6" w14:textId="77777777" w:rsidR="00654C93" w:rsidRPr="00E165AC" w:rsidRDefault="00654C93" w:rsidP="00E165AC">
      <w:pPr>
        <w:spacing w:line="276" w:lineRule="auto"/>
        <w:jc w:val="both"/>
        <w:rPr>
          <w:rFonts w:ascii="Bookman Old Style" w:eastAsia="Yu Mincho Light" w:hAnsi="Bookman Old Style"/>
        </w:rPr>
      </w:pPr>
      <w:r w:rsidRPr="00E165AC">
        <w:rPr>
          <w:rFonts w:ascii="Bookman Old Style" w:eastAsia="Yu Mincho Light" w:hAnsi="Bookman Old Style"/>
        </w:rPr>
        <w:t>Como el caso analizado correspondió a un asunto con pretensiones pecuniarias, para establecer los límites tarifarios que deben ser atendidos, acudimos al artículo 3.º del acuerdo que dispone,</w:t>
      </w:r>
    </w:p>
    <w:p w14:paraId="0D3A5679" w14:textId="77777777" w:rsidR="00654C93" w:rsidRPr="00E165AC" w:rsidRDefault="00654C93" w:rsidP="00E165AC">
      <w:pPr>
        <w:spacing w:line="276" w:lineRule="auto"/>
        <w:ind w:left="709"/>
        <w:jc w:val="both"/>
        <w:rPr>
          <w:rFonts w:ascii="Bookman Old Style" w:eastAsia="Yu Mincho Light" w:hAnsi="Bookman Old Style"/>
        </w:rPr>
      </w:pPr>
    </w:p>
    <w:p w14:paraId="1214122A" w14:textId="4FCEA215" w:rsidR="00654C93" w:rsidRPr="007004CD" w:rsidRDefault="00654C93" w:rsidP="007004CD">
      <w:pPr>
        <w:spacing w:line="240" w:lineRule="auto"/>
        <w:ind w:left="426" w:right="420"/>
        <w:jc w:val="both"/>
        <w:rPr>
          <w:rFonts w:ascii="Bookman Old Style" w:eastAsia="Yu Mincho Light" w:hAnsi="Bookman Old Style" w:cs="Times New Roman"/>
          <w:i/>
          <w:iCs/>
          <w:sz w:val="22"/>
        </w:rPr>
      </w:pPr>
      <w:r w:rsidRPr="007004CD">
        <w:rPr>
          <w:rFonts w:ascii="Bookman Old Style" w:eastAsia="Yu Mincho Light" w:hAnsi="Bookman Old Style" w:cs="Times New Roman"/>
          <w:i/>
          <w:iCs/>
          <w:sz w:val="22"/>
        </w:rPr>
        <w:t>“[…] Cuando las agencias en derecho correspondan a procesos en los que se formularon pretensiones de índole pecuniaria, o en los que en la determinación de la competencia se tuvo en cuenta la cuantía, las tarifas se establecen en porcentajes sobre el valor de aquellas o de esta</w:t>
      </w:r>
      <w:r w:rsidR="007004CD">
        <w:rPr>
          <w:rFonts w:ascii="Bookman Old Style" w:eastAsia="Yu Mincho Light" w:hAnsi="Bookman Old Style" w:cs="Times New Roman"/>
          <w:i/>
          <w:iCs/>
          <w:sz w:val="22"/>
        </w:rPr>
        <w:t>”</w:t>
      </w:r>
      <w:r w:rsidRPr="007004CD">
        <w:rPr>
          <w:rFonts w:ascii="Bookman Old Style" w:eastAsia="Yu Mincho Light" w:hAnsi="Bookman Old Style" w:cs="Times New Roman"/>
          <w:i/>
          <w:iCs/>
          <w:sz w:val="22"/>
        </w:rPr>
        <w:t>.</w:t>
      </w:r>
    </w:p>
    <w:p w14:paraId="27097D32" w14:textId="77777777" w:rsidR="00654C93" w:rsidRPr="00E165AC" w:rsidRDefault="00654C93" w:rsidP="00E165AC">
      <w:pPr>
        <w:spacing w:line="276" w:lineRule="auto"/>
        <w:jc w:val="both"/>
        <w:rPr>
          <w:rFonts w:ascii="Bookman Old Style" w:hAnsi="Bookman Old Style" w:cs="Tahoma"/>
        </w:rPr>
      </w:pPr>
    </w:p>
    <w:p w14:paraId="3214B9E3" w14:textId="29424C0A" w:rsidR="00654C93" w:rsidRPr="00E165AC" w:rsidRDefault="00654C93" w:rsidP="00E165AC">
      <w:pPr>
        <w:spacing w:line="276" w:lineRule="auto"/>
        <w:jc w:val="both"/>
        <w:rPr>
          <w:rFonts w:ascii="Bookman Old Style" w:eastAsia="Yu Mincho Light" w:hAnsi="Bookman Old Style"/>
        </w:rPr>
      </w:pPr>
      <w:r w:rsidRPr="00E165AC">
        <w:rPr>
          <w:rFonts w:ascii="Bookman Old Style" w:eastAsia="Yu Mincho Light" w:hAnsi="Bookman Old Style"/>
        </w:rPr>
        <w:t xml:space="preserve">Ahora, para la determinación tarifaria dentro los límites descritos, se debe acudir a criterios equitativos y razonables, esto es, a una valoración basada en la naturaleza del asunto, de la calidad y duración útil de la gestión del togado, la cuantía del proceso y demás circunstancias, conforme lo dispone el art. 2 del citado acuerdo, en concordancia con el numeral 4 del artículo 366 del </w:t>
      </w:r>
      <w:proofErr w:type="spellStart"/>
      <w:r w:rsidRPr="00E165AC">
        <w:rPr>
          <w:rFonts w:ascii="Bookman Old Style" w:eastAsia="Yu Mincho Light" w:hAnsi="Bookman Old Style"/>
        </w:rPr>
        <w:t>CGP</w:t>
      </w:r>
      <w:proofErr w:type="spellEnd"/>
      <w:r w:rsidRPr="00E165AC">
        <w:rPr>
          <w:rFonts w:ascii="Bookman Old Style" w:eastAsia="Yu Mincho Light" w:hAnsi="Bookman Old Style"/>
        </w:rPr>
        <w:t>.</w:t>
      </w:r>
    </w:p>
    <w:p w14:paraId="602C0152" w14:textId="77777777" w:rsidR="00654C93" w:rsidRPr="00E165AC" w:rsidRDefault="00654C93" w:rsidP="00E165AC">
      <w:pPr>
        <w:spacing w:line="276" w:lineRule="auto"/>
        <w:jc w:val="both"/>
        <w:rPr>
          <w:rFonts w:ascii="Bookman Old Style" w:eastAsia="Yu Mincho Light" w:hAnsi="Bookman Old Style"/>
        </w:rPr>
      </w:pPr>
    </w:p>
    <w:p w14:paraId="133B880D" w14:textId="444F15B7" w:rsidR="00654C93" w:rsidRPr="00E165AC" w:rsidRDefault="00654C93" w:rsidP="00E165AC">
      <w:pPr>
        <w:spacing w:line="276" w:lineRule="auto"/>
        <w:jc w:val="both"/>
        <w:rPr>
          <w:rFonts w:ascii="Bookman Old Style" w:eastAsia="Yu Mincho Light" w:hAnsi="Bookman Old Style"/>
        </w:rPr>
      </w:pPr>
      <w:r w:rsidRPr="00E165AC">
        <w:rPr>
          <w:rFonts w:ascii="Bookman Old Style" w:eastAsia="Yu Mincho Light" w:hAnsi="Bookman Old Style"/>
        </w:rPr>
        <w:t xml:space="preserve">Significa lo anterior que, si bien el citado Acuerdo fija los criterios y tarifas para determinar el </w:t>
      </w:r>
      <w:r w:rsidR="4C8246D3" w:rsidRPr="00E165AC">
        <w:rPr>
          <w:rFonts w:ascii="Bookman Old Style" w:eastAsia="Yu Mincho Light" w:hAnsi="Bookman Old Style"/>
        </w:rPr>
        <w:t>quantum</w:t>
      </w:r>
      <w:r w:rsidRPr="00E165AC">
        <w:rPr>
          <w:rFonts w:ascii="Bookman Old Style" w:eastAsia="Yu Mincho Light" w:hAnsi="Bookman Old Style"/>
        </w:rPr>
        <w:t xml:space="preserve"> de las agencias, ello no corresponde a un valor inamovible, por lo que, al decretar su valor, estas pueden ser reguladas en ámbitos mínimos o máximos, atendiendo los demás aspectos denotados en el párrafo 3, del artículo 3 del citado acuerdo que indica:</w:t>
      </w:r>
    </w:p>
    <w:p w14:paraId="6DDF055B" w14:textId="77777777" w:rsidR="00654C93" w:rsidRPr="00E165AC" w:rsidRDefault="00654C93" w:rsidP="00E165AC">
      <w:pPr>
        <w:spacing w:line="276" w:lineRule="auto"/>
        <w:jc w:val="both"/>
        <w:rPr>
          <w:rFonts w:ascii="Bookman Old Style" w:eastAsia="Yu Mincho Light" w:hAnsi="Bookman Old Style"/>
        </w:rPr>
      </w:pPr>
    </w:p>
    <w:p w14:paraId="1FDD5B76" w14:textId="77777777" w:rsidR="00654C93" w:rsidRPr="007004CD" w:rsidRDefault="00654C93" w:rsidP="007004CD">
      <w:pPr>
        <w:spacing w:line="240" w:lineRule="auto"/>
        <w:ind w:left="426" w:right="420"/>
        <w:jc w:val="both"/>
        <w:rPr>
          <w:rFonts w:ascii="Bookman Old Style" w:eastAsia="Yu Mincho Light" w:hAnsi="Bookman Old Style" w:cs="Times New Roman"/>
          <w:i/>
          <w:iCs/>
          <w:sz w:val="22"/>
        </w:rPr>
      </w:pPr>
      <w:r w:rsidRPr="007004CD">
        <w:rPr>
          <w:rFonts w:ascii="Bookman Old Style" w:eastAsia="Yu Mincho Light" w:hAnsi="Bookman Old Style" w:cs="Times New Roman"/>
          <w:b/>
          <w:i/>
          <w:iCs/>
          <w:sz w:val="22"/>
        </w:rPr>
        <w:t>PARÁGRAFO 3º.</w:t>
      </w:r>
      <w:r w:rsidRPr="007004CD">
        <w:rPr>
          <w:rFonts w:ascii="Bookman Old Style" w:eastAsia="Yu Mincho Light" w:hAnsi="Bookman Old Style" w:cs="Times New Roman"/>
          <w:i/>
          <w:iCs/>
          <w:sz w:val="22"/>
        </w:rPr>
        <w:t xml:space="preserve"> Cuando las tarifas correspondan a porcentajes, en procesos con pretensiones de índole pecuniario, la fijación de las agencias en derecho se hará mediante una ponderación inversa entre los límites mínimo y máximo y los valores pedidos. Esto es, a mayor valor menor porcentaje, a menor valor mayor porcentaje, pero en todo caso atendiendo a los criterios del artículo anterior</w:t>
      </w:r>
    </w:p>
    <w:p w14:paraId="1102003A" w14:textId="77777777" w:rsidR="00AA2852" w:rsidRPr="00E165AC" w:rsidRDefault="00AA2852" w:rsidP="00E165AC">
      <w:pPr>
        <w:spacing w:line="276" w:lineRule="auto"/>
        <w:rPr>
          <w:rStyle w:val="Referenciasutil"/>
          <w:rFonts w:ascii="Bookman Old Style" w:hAnsi="Bookman Old Style"/>
          <w:smallCaps w:val="0"/>
          <w:color w:val="auto"/>
          <w14:textOutline w14:w="0" w14:cap="flat" w14:cmpd="sng" w14:algn="ctr">
            <w14:noFill/>
            <w14:prstDash w14:val="solid"/>
            <w14:round/>
          </w14:textOutline>
        </w:rPr>
      </w:pPr>
    </w:p>
    <w:p w14:paraId="25C30C85" w14:textId="0B40A99D" w:rsidR="00D6073B" w:rsidRPr="00E165AC" w:rsidRDefault="00D6073B" w:rsidP="00E165AC">
      <w:pPr>
        <w:spacing w:line="276" w:lineRule="auto"/>
        <w:rPr>
          <w:rStyle w:val="Referenciasutil"/>
          <w:rFonts w:ascii="Bookman Old Style" w:hAnsi="Bookman Old Style"/>
          <w:b/>
          <w:bCs/>
          <w:smallCaps w:val="0"/>
          <w:color w:val="auto"/>
          <w14:textOutline w14:w="0" w14:cap="flat" w14:cmpd="sng" w14:algn="ctr">
            <w14:noFill/>
            <w14:prstDash w14:val="solid"/>
            <w14:round/>
          </w14:textOutline>
        </w:rPr>
      </w:pPr>
      <w:r w:rsidRPr="00E165AC">
        <w:rPr>
          <w:rStyle w:val="Referenciasutil"/>
          <w:rFonts w:ascii="Bookman Old Style" w:hAnsi="Bookman Old Style"/>
          <w:b/>
          <w:bCs/>
          <w:smallCaps w:val="0"/>
          <w:color w:val="auto"/>
          <w14:textOutline w14:w="0" w14:cap="flat" w14:cmpd="sng" w14:algn="ctr">
            <w14:noFill/>
            <w14:prstDash w14:val="solid"/>
            <w14:round/>
          </w14:textOutline>
        </w:rPr>
        <w:t>Solución del problema planteado</w:t>
      </w:r>
    </w:p>
    <w:p w14:paraId="1E3D03AF" w14:textId="77777777" w:rsidR="00D6073B" w:rsidRPr="00E165AC" w:rsidRDefault="00D6073B" w:rsidP="00E165AC">
      <w:pPr>
        <w:spacing w:line="276" w:lineRule="auto"/>
        <w:jc w:val="both"/>
        <w:rPr>
          <w:rFonts w:ascii="Bookman Old Style" w:eastAsia="Yu Mincho Light" w:hAnsi="Bookman Old Style"/>
        </w:rPr>
      </w:pPr>
    </w:p>
    <w:p w14:paraId="156206ED" w14:textId="73106E9D" w:rsidR="00B64CF5" w:rsidRPr="00E165AC" w:rsidRDefault="0003003C" w:rsidP="00E165AC">
      <w:pPr>
        <w:spacing w:line="276" w:lineRule="auto"/>
        <w:jc w:val="both"/>
        <w:rPr>
          <w:rFonts w:ascii="Bookman Old Style" w:eastAsia="Yu Mincho Light" w:hAnsi="Bookman Old Style"/>
        </w:rPr>
      </w:pPr>
      <w:r w:rsidRPr="00E165AC">
        <w:rPr>
          <w:rFonts w:ascii="Bookman Old Style" w:eastAsia="Yu Mincho Light" w:hAnsi="Bookman Old Style"/>
        </w:rPr>
        <w:t>Para iniciar, factores a tener en cuenta como la naturaleza del proceso, la</w:t>
      </w:r>
      <w:r w:rsidR="46C53480" w:rsidRPr="00E165AC">
        <w:rPr>
          <w:rFonts w:ascii="Bookman Old Style" w:eastAsia="Yu Mincho Light" w:hAnsi="Bookman Old Style"/>
        </w:rPr>
        <w:t xml:space="preserve"> </w:t>
      </w:r>
      <w:r w:rsidRPr="00E165AC">
        <w:rPr>
          <w:rFonts w:ascii="Bookman Old Style" w:eastAsia="Yu Mincho Light" w:hAnsi="Bookman Old Style"/>
        </w:rPr>
        <w:t>calidad, la duración de la gestión realizada y la cuantía del proceso, previo</w:t>
      </w:r>
      <w:r w:rsidR="391798F4" w:rsidRPr="00E165AC">
        <w:rPr>
          <w:rFonts w:ascii="Bookman Old Style" w:eastAsia="Yu Mincho Light" w:hAnsi="Bookman Old Style"/>
        </w:rPr>
        <w:t xml:space="preserve"> </w:t>
      </w:r>
      <w:r w:rsidRPr="00E165AC">
        <w:rPr>
          <w:rFonts w:ascii="Bookman Old Style" w:eastAsia="Yu Mincho Light" w:hAnsi="Bookman Old Style"/>
        </w:rPr>
        <w:t>a señalar el tope previsto en las tarifas mencionadas, se tiene:</w:t>
      </w:r>
    </w:p>
    <w:p w14:paraId="0CCE400C" w14:textId="503D0285" w:rsidR="0003003C" w:rsidRPr="00E165AC" w:rsidRDefault="0003003C" w:rsidP="00E165AC">
      <w:pPr>
        <w:spacing w:line="276" w:lineRule="auto"/>
        <w:jc w:val="both"/>
        <w:rPr>
          <w:rFonts w:ascii="Bookman Old Style" w:eastAsia="Yu Mincho Light" w:hAnsi="Bookman Old Style"/>
        </w:rPr>
      </w:pPr>
      <w:r w:rsidRPr="00E165AC">
        <w:rPr>
          <w:rFonts w:ascii="Bookman Old Style" w:hAnsi="Bookman Old Style"/>
        </w:rPr>
        <w:br/>
      </w:r>
      <w:r w:rsidRPr="00E165AC">
        <w:rPr>
          <w:rFonts w:ascii="Bookman Old Style" w:eastAsia="Yu Mincho Light" w:hAnsi="Bookman Old Style"/>
        </w:rPr>
        <w:t>El asunto correspondió al debate jurídico relacionado con el derecho a la</w:t>
      </w:r>
      <w:r w:rsidR="4B484090" w:rsidRPr="00E165AC">
        <w:rPr>
          <w:rFonts w:ascii="Bookman Old Style" w:eastAsia="Yu Mincho Light" w:hAnsi="Bookman Old Style"/>
        </w:rPr>
        <w:t xml:space="preserve"> </w:t>
      </w:r>
      <w:r w:rsidRPr="00E165AC">
        <w:rPr>
          <w:rFonts w:ascii="Bookman Old Style" w:eastAsia="Yu Mincho Light" w:hAnsi="Bookman Old Style"/>
        </w:rPr>
        <w:t>pensión de sobrevivientes, el cual supone una actividad procesal de mediana complejidad, cuyas pretensiones declarativas y económicas deben ser jurídica y jurisprudencialmente fundamentadas, por lo que requieren por parte de quien representó los intereses de la parte vencedora, de los conocimientos necesarios a efecto de lograr el derecho pretendido.</w:t>
      </w:r>
    </w:p>
    <w:p w14:paraId="06D18DE8" w14:textId="07F920E2" w:rsidR="00654C93" w:rsidRPr="00E165AC" w:rsidRDefault="0003003C" w:rsidP="00E165AC">
      <w:pPr>
        <w:spacing w:line="276" w:lineRule="auto"/>
        <w:jc w:val="both"/>
        <w:rPr>
          <w:rFonts w:ascii="Bookman Old Style" w:eastAsia="Yu Mincho Light" w:hAnsi="Bookman Old Style"/>
        </w:rPr>
      </w:pPr>
      <w:r w:rsidRPr="00E165AC">
        <w:rPr>
          <w:rFonts w:ascii="Bookman Old Style" w:hAnsi="Bookman Old Style"/>
        </w:rPr>
        <w:br/>
      </w:r>
      <w:r w:rsidRPr="00E165AC">
        <w:rPr>
          <w:rFonts w:ascii="Bookman Old Style" w:eastAsia="Yu Mincho Light" w:hAnsi="Bookman Old Style"/>
        </w:rPr>
        <w:t xml:space="preserve">De otro lado, </w:t>
      </w:r>
      <w:r w:rsidR="5B88A774" w:rsidRPr="00E165AC">
        <w:rPr>
          <w:rFonts w:ascii="Bookman Old Style" w:eastAsia="Yu Mincho Light" w:hAnsi="Bookman Old Style"/>
        </w:rPr>
        <w:t xml:space="preserve">en este caso, </w:t>
      </w:r>
      <w:r w:rsidRPr="00E165AC">
        <w:rPr>
          <w:rFonts w:ascii="Bookman Old Style" w:eastAsia="Yu Mincho Light" w:hAnsi="Bookman Old Style"/>
        </w:rPr>
        <w:t>la gestión procesal fue diligente en la medida que el mandatario</w:t>
      </w:r>
      <w:r w:rsidR="395A6A6D" w:rsidRPr="00E165AC">
        <w:rPr>
          <w:rFonts w:ascii="Bookman Old Style" w:eastAsia="Yu Mincho Light" w:hAnsi="Bookman Old Style"/>
        </w:rPr>
        <w:t xml:space="preserve"> </w:t>
      </w:r>
      <w:r w:rsidRPr="00E165AC">
        <w:rPr>
          <w:rFonts w:ascii="Bookman Old Style" w:eastAsia="Yu Mincho Light" w:hAnsi="Bookman Old Style"/>
        </w:rPr>
        <w:t xml:space="preserve">de la parte activa, acudió al proceso acompañando la demanda con material probatorio de carácter documental que logró obtener directamente; se ocupó de acudir a las diligencias y de asegurar la presencia de los testigos que enunció en el escrito de demanda, por lo que la labor probatoria desplegada fue mediana; intervino activamente en las etapas que le competían, esto es, interrogando a los testigos respecto de los puntos necesarios para generar el convencimiento de los aspectos fácticos alegados, presentó </w:t>
      </w:r>
      <w:r w:rsidR="66D06E34" w:rsidRPr="00E165AC">
        <w:rPr>
          <w:rFonts w:ascii="Bookman Old Style" w:eastAsia="Yu Mincho Light" w:hAnsi="Bookman Old Style"/>
        </w:rPr>
        <w:t xml:space="preserve">escrito pronunciándose de los medios exceptivos propuestos en su contra, incluso solicitó pruebas para controvertirlos y presentó </w:t>
      </w:r>
      <w:r w:rsidRPr="00E165AC">
        <w:rPr>
          <w:rFonts w:ascii="Bookman Old Style" w:eastAsia="Yu Mincho Light" w:hAnsi="Bookman Old Style"/>
        </w:rPr>
        <w:t>las alegaciones finales, previo al fallo de primera instancia y el recurso de apelación ante la negativa que tuvo en primera instancia, presentando de igual forma los alegatos en segunda.</w:t>
      </w:r>
    </w:p>
    <w:p w14:paraId="5FC78615" w14:textId="77777777" w:rsidR="0003003C" w:rsidRPr="00E165AC" w:rsidRDefault="0003003C" w:rsidP="00E165AC">
      <w:pPr>
        <w:spacing w:line="276" w:lineRule="auto"/>
        <w:jc w:val="both"/>
        <w:rPr>
          <w:rFonts w:ascii="Bookman Old Style" w:eastAsia="Yu Mincho Light" w:hAnsi="Bookman Old Style"/>
        </w:rPr>
      </w:pPr>
    </w:p>
    <w:p w14:paraId="4CEB546B" w14:textId="6EBA173E" w:rsidR="0003003C" w:rsidRPr="00E165AC" w:rsidRDefault="585A58CA" w:rsidP="00E165AC">
      <w:pPr>
        <w:spacing w:line="276" w:lineRule="auto"/>
        <w:jc w:val="both"/>
        <w:rPr>
          <w:rStyle w:val="Referenciasutil"/>
          <w:rFonts w:ascii="Bookman Old Style" w:hAnsi="Bookman Old Style"/>
          <w:smallCaps w:val="0"/>
          <w:color w:val="auto"/>
          <w14:textOutline w14:w="0" w14:cap="flat" w14:cmpd="sng" w14:algn="ctr">
            <w14:noFill/>
            <w14:prstDash w14:val="solid"/>
            <w14:round/>
          </w14:textOutline>
        </w:rPr>
      </w:pPr>
      <w:r w:rsidRPr="00E165AC">
        <w:rPr>
          <w:rFonts w:ascii="Bookman Old Style" w:eastAsia="Yu Mincho Light" w:hAnsi="Bookman Old Style"/>
        </w:rPr>
        <w:lastRenderedPageBreak/>
        <w:t xml:space="preserve">En cuanto a la duración del proceso, este se extendió por </w:t>
      </w:r>
      <w:r w:rsidR="06237C7C" w:rsidRPr="00E165AC">
        <w:rPr>
          <w:rFonts w:ascii="Bookman Old Style" w:eastAsia="Yu Mincho Light" w:hAnsi="Bookman Old Style"/>
        </w:rPr>
        <w:t xml:space="preserve">casi </w:t>
      </w:r>
      <w:r w:rsidRPr="00E165AC">
        <w:rPr>
          <w:rFonts w:ascii="Bookman Old Style" w:eastAsia="Yu Mincho Light" w:hAnsi="Bookman Old Style"/>
        </w:rPr>
        <w:t>dos (2)</w:t>
      </w:r>
      <w:r w:rsidR="33AB48B0" w:rsidRPr="00E165AC">
        <w:rPr>
          <w:rFonts w:ascii="Bookman Old Style" w:eastAsia="Yu Mincho Light" w:hAnsi="Bookman Old Style"/>
        </w:rPr>
        <w:t xml:space="preserve"> </w:t>
      </w:r>
      <w:r w:rsidRPr="00E165AC">
        <w:rPr>
          <w:rFonts w:ascii="Bookman Old Style" w:eastAsia="Yu Mincho Light" w:hAnsi="Bookman Old Style"/>
        </w:rPr>
        <w:t xml:space="preserve">años contabilizados desde la presentación de la demanda </w:t>
      </w:r>
      <w:r w:rsidR="06237C7C" w:rsidRPr="00E165AC">
        <w:rPr>
          <w:rFonts w:ascii="Bookman Old Style" w:eastAsia="Yu Mincho Light" w:hAnsi="Bookman Old Style"/>
        </w:rPr>
        <w:t xml:space="preserve">que fue el </w:t>
      </w:r>
      <w:r w:rsidR="06237C7C" w:rsidRPr="00E165AC">
        <w:rPr>
          <w:rStyle w:val="Referenciasutil"/>
          <w:rFonts w:ascii="Bookman Old Style" w:hAnsi="Bookman Old Style"/>
          <w:b/>
          <w:bCs/>
          <w:smallCaps w:val="0"/>
          <w:color w:val="auto"/>
          <w14:textOutline w14:w="0" w14:cap="flat" w14:cmpd="sng" w14:algn="ctr">
            <w14:noFill/>
            <w14:prstDash w14:val="solid"/>
            <w14:round/>
          </w14:textOutline>
        </w:rPr>
        <w:t>28 de julio de 2017</w:t>
      </w:r>
      <w:r w:rsidR="06237C7C" w:rsidRPr="00E165AC">
        <w:rPr>
          <w:rStyle w:val="Referenciasutil"/>
          <w:rFonts w:ascii="Bookman Old Style" w:hAnsi="Bookman Old Style"/>
          <w:smallCaps w:val="0"/>
          <w:color w:val="auto"/>
          <w14:textOutline w14:w="0" w14:cap="flat" w14:cmpd="sng" w14:algn="ctr">
            <w14:noFill/>
            <w14:prstDash w14:val="solid"/>
            <w14:round/>
          </w14:textOutline>
        </w:rPr>
        <w:t xml:space="preserve"> (archivo 05, </w:t>
      </w:r>
      <w:proofErr w:type="spellStart"/>
      <w:r w:rsidR="06237C7C" w:rsidRPr="00E165AC">
        <w:rPr>
          <w:rStyle w:val="Referenciasutil"/>
          <w:rFonts w:ascii="Bookman Old Style" w:hAnsi="Bookman Old Style"/>
          <w:smallCaps w:val="0"/>
          <w:color w:val="auto"/>
          <w14:textOutline w14:w="0" w14:cap="flat" w14:cmpd="sng" w14:algn="ctr">
            <w14:noFill/>
            <w14:prstDash w14:val="solid"/>
            <w14:round/>
          </w14:textOutline>
        </w:rPr>
        <w:t>Cuad</w:t>
      </w:r>
      <w:proofErr w:type="spellEnd"/>
      <w:r w:rsidR="06237C7C" w:rsidRPr="00E165AC">
        <w:rPr>
          <w:rStyle w:val="Referenciasutil"/>
          <w:rFonts w:ascii="Bookman Old Style" w:hAnsi="Bookman Old Style"/>
          <w:smallCaps w:val="0"/>
          <w:color w:val="auto"/>
          <w14:textOutline w14:w="0" w14:cap="flat" w14:cmpd="sng" w14:algn="ctr">
            <w14:noFill/>
            <w14:prstDash w14:val="solid"/>
            <w14:round/>
          </w14:textOutline>
        </w:rPr>
        <w:t xml:space="preserve">. 1 instancia) </w:t>
      </w:r>
      <w:r w:rsidRPr="00E165AC">
        <w:rPr>
          <w:rFonts w:ascii="Bookman Old Style" w:eastAsia="Yu Mincho Light" w:hAnsi="Bookman Old Style"/>
        </w:rPr>
        <w:t>y la fecha del fallo</w:t>
      </w:r>
      <w:r w:rsidR="3A440C94" w:rsidRPr="00E165AC">
        <w:rPr>
          <w:rFonts w:ascii="Bookman Old Style" w:eastAsia="Yu Mincho Light" w:hAnsi="Bookman Old Style"/>
        </w:rPr>
        <w:t xml:space="preserve"> </w:t>
      </w:r>
      <w:r w:rsidRPr="00E165AC">
        <w:rPr>
          <w:rFonts w:ascii="Bookman Old Style" w:eastAsia="Yu Mincho Light" w:hAnsi="Bookman Old Style"/>
        </w:rPr>
        <w:t>de primera instancia</w:t>
      </w:r>
      <w:r w:rsidR="06237C7C" w:rsidRPr="00E165AC">
        <w:rPr>
          <w:rFonts w:ascii="Bookman Old Style" w:eastAsia="Yu Mincho Light" w:hAnsi="Bookman Old Style"/>
        </w:rPr>
        <w:t xml:space="preserve"> del </w:t>
      </w:r>
      <w:r w:rsidR="06237C7C" w:rsidRPr="00E165AC">
        <w:rPr>
          <w:rStyle w:val="Referenciasutil"/>
          <w:rFonts w:ascii="Bookman Old Style" w:hAnsi="Bookman Old Style"/>
          <w:b/>
          <w:bCs/>
          <w:smallCaps w:val="0"/>
          <w:color w:val="auto"/>
          <w14:textOutline w14:w="0" w14:cap="flat" w14:cmpd="sng" w14:algn="ctr">
            <w14:noFill/>
            <w14:prstDash w14:val="solid"/>
            <w14:round/>
          </w14:textOutline>
        </w:rPr>
        <w:t>19 de febrero de 2019</w:t>
      </w:r>
      <w:r w:rsidR="06237C7C" w:rsidRPr="00E165AC">
        <w:rPr>
          <w:rStyle w:val="Referenciasutil"/>
          <w:rFonts w:ascii="Bookman Old Style" w:hAnsi="Bookman Old Style"/>
          <w:smallCaps w:val="0"/>
          <w:color w:val="auto"/>
          <w14:textOutline w14:w="0" w14:cap="flat" w14:cmpd="sng" w14:algn="ctr">
            <w14:noFill/>
            <w14:prstDash w14:val="solid"/>
            <w14:round/>
          </w14:textOutline>
        </w:rPr>
        <w:t xml:space="preserve"> (archivo 39, </w:t>
      </w:r>
      <w:proofErr w:type="spellStart"/>
      <w:r w:rsidR="06237C7C" w:rsidRPr="00E165AC">
        <w:rPr>
          <w:rStyle w:val="Referenciasutil"/>
          <w:rFonts w:ascii="Bookman Old Style" w:hAnsi="Bookman Old Style"/>
          <w:smallCaps w:val="0"/>
          <w:color w:val="auto"/>
          <w14:textOutline w14:w="0" w14:cap="flat" w14:cmpd="sng" w14:algn="ctr">
            <w14:noFill/>
            <w14:prstDash w14:val="solid"/>
            <w14:round/>
          </w14:textOutline>
        </w:rPr>
        <w:t>Cuad</w:t>
      </w:r>
      <w:proofErr w:type="spellEnd"/>
      <w:r w:rsidR="06237C7C" w:rsidRPr="00E165AC">
        <w:rPr>
          <w:rStyle w:val="Referenciasutil"/>
          <w:rFonts w:ascii="Bookman Old Style" w:hAnsi="Bookman Old Style"/>
          <w:smallCaps w:val="0"/>
          <w:color w:val="auto"/>
          <w14:textOutline w14:w="0" w14:cap="flat" w14:cmpd="sng" w14:algn="ctr">
            <w14:noFill/>
            <w14:prstDash w14:val="solid"/>
            <w14:round/>
          </w14:textOutline>
        </w:rPr>
        <w:t>. 1 instancia).</w:t>
      </w:r>
    </w:p>
    <w:p w14:paraId="68EE5695" w14:textId="78C9E5D2" w:rsidR="03D6F770" w:rsidRPr="00E165AC" w:rsidRDefault="03D6F770" w:rsidP="00E165AC">
      <w:pPr>
        <w:spacing w:line="276" w:lineRule="auto"/>
        <w:jc w:val="both"/>
        <w:rPr>
          <w:rStyle w:val="Referenciasutil"/>
          <w:rFonts w:ascii="Bookman Old Style" w:hAnsi="Bookman Old Style"/>
          <w:smallCaps w:val="0"/>
          <w:color w:val="auto"/>
        </w:rPr>
      </w:pPr>
    </w:p>
    <w:p w14:paraId="705FD829" w14:textId="566417A9" w:rsidR="02AA0354" w:rsidRPr="00E165AC" w:rsidRDefault="02AA0354" w:rsidP="00E165AC">
      <w:pPr>
        <w:spacing w:line="276" w:lineRule="auto"/>
        <w:jc w:val="both"/>
        <w:rPr>
          <w:rFonts w:ascii="Bookman Old Style" w:eastAsia="Bookman Old Style" w:hAnsi="Bookman Old Style" w:cs="Bookman Old Style"/>
        </w:rPr>
      </w:pPr>
      <w:r w:rsidRPr="00E165AC">
        <w:rPr>
          <w:rFonts w:ascii="Bookman Old Style" w:eastAsia="Bookman Old Style" w:hAnsi="Bookman Old Style" w:cs="Bookman Old Style"/>
        </w:rPr>
        <w:t>Al revisar la demanda, se tiene que las pretensiones al momento de la presentación (28-07-2017) fueron cuantificadas en un valor superior a 20 salarios mínimos ($59.119.668)</w:t>
      </w:r>
      <w:r w:rsidRPr="00E165AC">
        <w:rPr>
          <w:rFonts w:ascii="Bookman Old Style" w:eastAsia="Bookman Old Style" w:hAnsi="Bookman Old Style" w:cs="Bookman Old Style"/>
          <w:vertAlign w:val="superscript"/>
        </w:rPr>
        <w:t>2</w:t>
      </w:r>
      <w:r w:rsidRPr="00E165AC">
        <w:rPr>
          <w:rFonts w:ascii="Bookman Old Style" w:eastAsia="Bookman Old Style" w:hAnsi="Bookman Old Style" w:cs="Bookman Old Style"/>
        </w:rPr>
        <w:t>, lo que, en todo caso, corresponde a un proceso de primera instancia de conocimiento de los juzgados laborales del circuito.</w:t>
      </w:r>
    </w:p>
    <w:p w14:paraId="00258036" w14:textId="77777777" w:rsidR="00B64CF5" w:rsidRPr="00E165AC" w:rsidRDefault="00B64CF5" w:rsidP="00E165AC">
      <w:pPr>
        <w:spacing w:line="276" w:lineRule="auto"/>
        <w:jc w:val="both"/>
        <w:rPr>
          <w:rFonts w:ascii="Bookman Old Style" w:eastAsia="Yu Mincho Light" w:hAnsi="Bookman Old Style"/>
        </w:rPr>
      </w:pPr>
    </w:p>
    <w:p w14:paraId="2F0DC7C2" w14:textId="6EF65C19" w:rsidR="00BE6110" w:rsidRPr="00E165AC" w:rsidRDefault="039988D4" w:rsidP="00E165AC">
      <w:pPr>
        <w:spacing w:line="276" w:lineRule="auto"/>
        <w:jc w:val="both"/>
        <w:rPr>
          <w:rFonts w:ascii="Bookman Old Style" w:eastAsia="Bookman Old Style" w:hAnsi="Bookman Old Style" w:cs="Bookman Old Style"/>
        </w:rPr>
      </w:pPr>
      <w:r w:rsidRPr="00E165AC">
        <w:rPr>
          <w:rFonts w:ascii="Bookman Old Style" w:eastAsia="Yu Mincho Light" w:hAnsi="Bookman Old Style"/>
        </w:rPr>
        <w:t>Aunado a lo anterior</w:t>
      </w:r>
      <w:r w:rsidR="1504D918" w:rsidRPr="00E165AC">
        <w:rPr>
          <w:rFonts w:ascii="Bookman Old Style" w:eastAsia="Yu Mincho Light" w:hAnsi="Bookman Old Style"/>
        </w:rPr>
        <w:t>, para establecer la tarifa</w:t>
      </w:r>
      <w:r w:rsidR="4CEA54FD" w:rsidRPr="00E165AC">
        <w:rPr>
          <w:rFonts w:ascii="Bookman Old Style" w:eastAsia="Yu Mincho Light" w:hAnsi="Bookman Old Style"/>
        </w:rPr>
        <w:t xml:space="preserve"> a ser aplicada</w:t>
      </w:r>
      <w:r w:rsidR="1504D918" w:rsidRPr="00E165AC">
        <w:rPr>
          <w:rFonts w:ascii="Bookman Old Style" w:eastAsia="Yu Mincho Light" w:hAnsi="Bookman Old Style"/>
        </w:rPr>
        <w:t xml:space="preserve">, debe indicarse que las pretensiones al momento de la presentación de la demanda </w:t>
      </w:r>
      <w:r w:rsidR="62BFA83D" w:rsidRPr="00E165AC">
        <w:rPr>
          <w:rFonts w:ascii="Bookman Old Style" w:eastAsia="Yu Mincho Light" w:hAnsi="Bookman Old Style"/>
        </w:rPr>
        <w:t xml:space="preserve">(28-07-2017) </w:t>
      </w:r>
      <w:r w:rsidR="4D96A9C5" w:rsidRPr="00E165AC">
        <w:rPr>
          <w:rFonts w:ascii="Bookman Old Style" w:eastAsia="Yu Mincho Light" w:hAnsi="Bookman Old Style"/>
        </w:rPr>
        <w:t xml:space="preserve">las que si bien, </w:t>
      </w:r>
      <w:r w:rsidR="1504D918" w:rsidRPr="00E165AC">
        <w:rPr>
          <w:rFonts w:ascii="Bookman Old Style" w:eastAsia="Yu Mincho Light" w:hAnsi="Bookman Old Style"/>
        </w:rPr>
        <w:t xml:space="preserve">fueron </w:t>
      </w:r>
      <w:r w:rsidR="4EB21C9B" w:rsidRPr="00E165AC">
        <w:rPr>
          <w:rFonts w:ascii="Bookman Old Style" w:eastAsia="Yu Mincho Light" w:hAnsi="Bookman Old Style"/>
        </w:rPr>
        <w:t xml:space="preserve">enunciadas </w:t>
      </w:r>
      <w:r w:rsidR="6F0FFCE1" w:rsidRPr="00E165AC">
        <w:rPr>
          <w:rFonts w:ascii="Bookman Old Style" w:eastAsia="Yu Mincho Light" w:hAnsi="Bookman Old Style"/>
        </w:rPr>
        <w:t xml:space="preserve">superiores a los </w:t>
      </w:r>
      <w:r w:rsidR="1504D918" w:rsidRPr="00E165AC">
        <w:rPr>
          <w:rFonts w:ascii="Bookman Old Style" w:eastAsia="Yu Mincho Light" w:hAnsi="Bookman Old Style"/>
        </w:rPr>
        <w:t xml:space="preserve">20 </w:t>
      </w:r>
      <w:proofErr w:type="spellStart"/>
      <w:r w:rsidR="1504D918" w:rsidRPr="00E165AC">
        <w:rPr>
          <w:rFonts w:ascii="Bookman Old Style" w:eastAsia="Yu Mincho Light" w:hAnsi="Bookman Old Style"/>
        </w:rPr>
        <w:t>SMLV</w:t>
      </w:r>
      <w:proofErr w:type="spellEnd"/>
      <w:r w:rsidR="1504D918" w:rsidRPr="00E165AC">
        <w:rPr>
          <w:rFonts w:ascii="Bookman Old Style" w:eastAsia="Yu Mincho Light" w:hAnsi="Bookman Old Style"/>
        </w:rPr>
        <w:t xml:space="preserve">, </w:t>
      </w:r>
      <w:r w:rsidR="7BDEAF5B" w:rsidRPr="00E165AC">
        <w:rPr>
          <w:rFonts w:ascii="Bookman Old Style" w:eastAsia="Yu Mincho Light" w:hAnsi="Bookman Old Style"/>
        </w:rPr>
        <w:t>lo cierto es que al realizar los cálculos correspondientes</w:t>
      </w:r>
      <w:r w:rsidR="31B00273" w:rsidRPr="00E165AC">
        <w:rPr>
          <w:rFonts w:ascii="Bookman Old Style" w:eastAsia="Yu Mincho Light" w:hAnsi="Bookman Old Style"/>
        </w:rPr>
        <w:t>, esto es, el valor al que ascendía el retroactivo</w:t>
      </w:r>
      <w:r w:rsidR="4BB54131" w:rsidRPr="00E165AC">
        <w:rPr>
          <w:rFonts w:ascii="Bookman Old Style" w:eastAsia="Yu Mincho Light" w:hAnsi="Bookman Old Style"/>
        </w:rPr>
        <w:t xml:space="preserve"> pedido</w:t>
      </w:r>
      <w:r w:rsidR="31B00273" w:rsidRPr="00E165AC">
        <w:rPr>
          <w:rFonts w:ascii="Bookman Old Style" w:eastAsia="Yu Mincho Light" w:hAnsi="Bookman Old Style"/>
        </w:rPr>
        <w:t xml:space="preserve"> desde el 25-09-2015 </w:t>
      </w:r>
      <w:r w:rsidR="04E0764F" w:rsidRPr="00E165AC">
        <w:rPr>
          <w:rFonts w:ascii="Bookman Old Style" w:eastAsia="Yu Mincho Light" w:hAnsi="Bookman Old Style"/>
        </w:rPr>
        <w:t xml:space="preserve">y cuantificado </w:t>
      </w:r>
      <w:r w:rsidR="31B00273" w:rsidRPr="00E165AC">
        <w:rPr>
          <w:rFonts w:ascii="Bookman Old Style" w:eastAsia="Yu Mincho Light" w:hAnsi="Bookman Old Style"/>
        </w:rPr>
        <w:t>hasta el 28-07-2017, teniendo en cuenta que se trataba de una me</w:t>
      </w:r>
      <w:r w:rsidR="3F8C490E" w:rsidRPr="00E165AC">
        <w:rPr>
          <w:rFonts w:ascii="Bookman Old Style" w:eastAsia="Yu Mincho Light" w:hAnsi="Bookman Old Style"/>
        </w:rPr>
        <w:t xml:space="preserve">sada igual al </w:t>
      </w:r>
      <w:proofErr w:type="spellStart"/>
      <w:r w:rsidR="3F8C490E" w:rsidRPr="00E165AC">
        <w:rPr>
          <w:rFonts w:ascii="Bookman Old Style" w:eastAsia="Yu Mincho Light" w:hAnsi="Bookman Old Style"/>
        </w:rPr>
        <w:t>SMLV</w:t>
      </w:r>
      <w:proofErr w:type="spellEnd"/>
      <w:r w:rsidR="3F8C490E" w:rsidRPr="00E165AC">
        <w:rPr>
          <w:rFonts w:ascii="Bookman Old Style" w:eastAsia="Yu Mincho Light" w:hAnsi="Bookman Old Style"/>
        </w:rPr>
        <w:t xml:space="preserve"> de cada anualidad, significa que las pretensiones a su presentación estaban por el orden de $</w:t>
      </w:r>
      <w:r w:rsidR="3F8C490E" w:rsidRPr="00E165AC">
        <w:rPr>
          <w:rFonts w:ascii="Bookman Old Style" w:eastAsia="Yu Mincho Light" w:hAnsi="Bookman Old Style"/>
          <w:b/>
          <w:bCs/>
        </w:rPr>
        <w:t>16.784.023</w:t>
      </w:r>
      <w:r w:rsidR="75BBFD66" w:rsidRPr="00E165AC">
        <w:rPr>
          <w:rFonts w:ascii="Bookman Old Style" w:eastAsia="Yu Mincho Light" w:hAnsi="Bookman Old Style"/>
        </w:rPr>
        <w:t xml:space="preserve">, lo que significa que, </w:t>
      </w:r>
      <w:r w:rsidR="75BBFD66" w:rsidRPr="00E165AC">
        <w:rPr>
          <w:rFonts w:ascii="Bookman Old Style" w:eastAsia="Bookman Old Style" w:hAnsi="Bookman Old Style" w:cs="Bookman Old Style"/>
        </w:rPr>
        <w:t xml:space="preserve">a efectos de realizar la ponderación inversa del parágrafo 3 del artículo 3° del Acuerdo </w:t>
      </w:r>
      <w:proofErr w:type="spellStart"/>
      <w:r w:rsidR="75BBFD66" w:rsidRPr="00E165AC">
        <w:rPr>
          <w:rFonts w:ascii="Bookman Old Style" w:eastAsia="Bookman Old Style" w:hAnsi="Bookman Old Style" w:cs="Bookman Old Style"/>
        </w:rPr>
        <w:t>PSAA16</w:t>
      </w:r>
      <w:proofErr w:type="spellEnd"/>
      <w:r w:rsidR="75BBFD66" w:rsidRPr="00E165AC">
        <w:rPr>
          <w:rFonts w:ascii="Bookman Old Style" w:eastAsia="Bookman Old Style" w:hAnsi="Bookman Old Style" w:cs="Bookman Old Style"/>
        </w:rPr>
        <w:t>-10554 de 2016 y establecer el porcentaje que se deriva de las pretensiones de la demanda a su presentación, conforme a lo denotado en el párrafo anterior, tenemos que al ser</w:t>
      </w:r>
      <w:r w:rsidR="0E15FE08" w:rsidRPr="00E165AC">
        <w:rPr>
          <w:rFonts w:ascii="Bookman Old Style" w:eastAsia="Bookman Old Style" w:hAnsi="Bookman Old Style" w:cs="Bookman Old Style"/>
        </w:rPr>
        <w:t xml:space="preserve"> esas pretensiones</w:t>
      </w:r>
      <w:r w:rsidR="75BBFD66" w:rsidRPr="00E165AC">
        <w:rPr>
          <w:rFonts w:ascii="Bookman Old Style" w:eastAsia="Bookman Old Style" w:hAnsi="Bookman Old Style" w:cs="Bookman Old Style"/>
        </w:rPr>
        <w:t xml:space="preserve"> </w:t>
      </w:r>
      <w:r w:rsidR="0999B236" w:rsidRPr="00E165AC">
        <w:rPr>
          <w:rFonts w:ascii="Bookman Old Style" w:eastAsia="Bookman Old Style" w:hAnsi="Bookman Old Style" w:cs="Bookman Old Style"/>
        </w:rPr>
        <w:t xml:space="preserve">muy </w:t>
      </w:r>
      <w:r w:rsidR="75BBFD66" w:rsidRPr="00E165AC">
        <w:rPr>
          <w:rFonts w:ascii="Bookman Old Style" w:eastAsia="Bookman Old Style" w:hAnsi="Bookman Old Style" w:cs="Bookman Old Style"/>
        </w:rPr>
        <w:t>inferior</w:t>
      </w:r>
      <w:r w:rsidR="16FA8784" w:rsidRPr="00E165AC">
        <w:rPr>
          <w:rFonts w:ascii="Bookman Old Style" w:eastAsia="Bookman Old Style" w:hAnsi="Bookman Old Style" w:cs="Bookman Old Style"/>
        </w:rPr>
        <w:t>es</w:t>
      </w:r>
      <w:r w:rsidR="75BBFD66" w:rsidRPr="00E165AC">
        <w:rPr>
          <w:rFonts w:ascii="Bookman Old Style" w:eastAsia="Bookman Old Style" w:hAnsi="Bookman Old Style" w:cs="Bookman Old Style"/>
        </w:rPr>
        <w:t xml:space="preserve"> a los 150 </w:t>
      </w:r>
      <w:proofErr w:type="spellStart"/>
      <w:r w:rsidR="75BBFD66" w:rsidRPr="00E165AC">
        <w:rPr>
          <w:rFonts w:ascii="Bookman Old Style" w:eastAsia="Bookman Old Style" w:hAnsi="Bookman Old Style" w:cs="Bookman Old Style"/>
        </w:rPr>
        <w:t>SMLV</w:t>
      </w:r>
      <w:proofErr w:type="spellEnd"/>
      <w:r w:rsidR="75BBFD66" w:rsidRPr="00E165AC">
        <w:rPr>
          <w:rFonts w:ascii="Bookman Old Style" w:eastAsia="Bookman Old Style" w:hAnsi="Bookman Old Style" w:cs="Bookman Old Style"/>
        </w:rPr>
        <w:t xml:space="preserve"> ($110.657.550) atendiendo a que el salario mínimo del año 2017 era de $737.717, conlleva a que los porcentajes a aplicar oscil</w:t>
      </w:r>
      <w:r w:rsidR="76D30960" w:rsidRPr="00E165AC">
        <w:rPr>
          <w:rFonts w:ascii="Bookman Old Style" w:eastAsia="Bookman Old Style" w:hAnsi="Bookman Old Style" w:cs="Bookman Old Style"/>
        </w:rPr>
        <w:t>en</w:t>
      </w:r>
      <w:r w:rsidR="75BBFD66" w:rsidRPr="00E165AC">
        <w:rPr>
          <w:rFonts w:ascii="Bookman Old Style" w:eastAsia="Bookman Old Style" w:hAnsi="Bookman Old Style" w:cs="Bookman Old Style"/>
        </w:rPr>
        <w:t xml:space="preserve"> entre el 4% y el 10%.</w:t>
      </w:r>
    </w:p>
    <w:p w14:paraId="513D98ED" w14:textId="77777777" w:rsidR="00B64CF5" w:rsidRPr="00E165AC" w:rsidRDefault="00B64CF5" w:rsidP="00E165AC">
      <w:pPr>
        <w:spacing w:line="276" w:lineRule="auto"/>
        <w:jc w:val="both"/>
        <w:rPr>
          <w:rFonts w:ascii="Bookman Old Style" w:eastAsia="Yu Mincho Light" w:hAnsi="Bookman Old Style"/>
        </w:rPr>
      </w:pPr>
    </w:p>
    <w:p w14:paraId="7C459BA8" w14:textId="5A374A15" w:rsidR="00A402DA" w:rsidRPr="00E165AC" w:rsidRDefault="134343DF" w:rsidP="00E165AC">
      <w:pPr>
        <w:spacing w:line="276" w:lineRule="auto"/>
        <w:jc w:val="both"/>
        <w:rPr>
          <w:rFonts w:ascii="Bookman Old Style" w:eastAsia="Yu Mincho Light" w:hAnsi="Bookman Old Style"/>
        </w:rPr>
      </w:pPr>
      <w:r w:rsidRPr="00E165AC">
        <w:rPr>
          <w:rFonts w:ascii="Bookman Old Style" w:eastAsia="Yu Mincho Light" w:hAnsi="Bookman Old Style"/>
        </w:rPr>
        <w:t>Ahora</w:t>
      </w:r>
      <w:r w:rsidR="7CC4C149" w:rsidRPr="00E165AC">
        <w:rPr>
          <w:rFonts w:ascii="Bookman Old Style" w:eastAsia="Yu Mincho Light" w:hAnsi="Bookman Old Style"/>
        </w:rPr>
        <w:t xml:space="preserve">, </w:t>
      </w:r>
      <w:r w:rsidR="02BF9C9B" w:rsidRPr="00E165AC">
        <w:rPr>
          <w:rFonts w:ascii="Bookman Old Style" w:eastAsia="Yu Mincho Light" w:hAnsi="Bookman Old Style"/>
        </w:rPr>
        <w:t xml:space="preserve">cuenta indicar que </w:t>
      </w:r>
      <w:r w:rsidR="7CC4C149" w:rsidRPr="00E165AC">
        <w:rPr>
          <w:rFonts w:ascii="Bookman Old Style" w:eastAsia="Yu Mincho Light" w:hAnsi="Bookman Old Style"/>
        </w:rPr>
        <w:t>l</w:t>
      </w:r>
      <w:r w:rsidR="6D0BB4FA" w:rsidRPr="00E165AC">
        <w:rPr>
          <w:rFonts w:ascii="Bookman Old Style" w:eastAsia="Yu Mincho Light" w:hAnsi="Bookman Old Style"/>
        </w:rPr>
        <w:t>o</w:t>
      </w:r>
      <w:r w:rsidR="7CC4C149" w:rsidRPr="00E165AC">
        <w:rPr>
          <w:rFonts w:ascii="Bookman Old Style" w:eastAsia="Yu Mincho Light" w:hAnsi="Bookman Old Style"/>
        </w:rPr>
        <w:t xml:space="preserve"> </w:t>
      </w:r>
      <w:r w:rsidR="6D0BB4FA" w:rsidRPr="00E165AC">
        <w:rPr>
          <w:rFonts w:ascii="Bookman Old Style" w:eastAsia="Yu Mincho Light" w:hAnsi="Bookman Old Style"/>
        </w:rPr>
        <w:t xml:space="preserve">reconocido </w:t>
      </w:r>
      <w:r w:rsidR="7CC4C149" w:rsidRPr="00E165AC">
        <w:rPr>
          <w:rFonts w:ascii="Bookman Old Style" w:eastAsia="Yu Mincho Light" w:hAnsi="Bookman Old Style"/>
        </w:rPr>
        <w:t xml:space="preserve">a la parte actora, correspondió a </w:t>
      </w:r>
      <w:r w:rsidR="3F53034B" w:rsidRPr="00E165AC">
        <w:rPr>
          <w:rFonts w:ascii="Bookman Old Style" w:eastAsia="Yu Mincho Light" w:hAnsi="Bookman Old Style"/>
        </w:rPr>
        <w:t>(i) el</w:t>
      </w:r>
      <w:r w:rsidR="7CC4C149" w:rsidRPr="00E165AC">
        <w:rPr>
          <w:rFonts w:ascii="Bookman Old Style" w:eastAsia="Yu Mincho Light" w:hAnsi="Bookman Old Style"/>
        </w:rPr>
        <w:t xml:space="preserve"> retroactivo que se liquidó sobre la base de 13 mesadas desde el 26-septiembre-2015 </w:t>
      </w:r>
      <w:r w:rsidR="1B7F4618" w:rsidRPr="00E165AC">
        <w:rPr>
          <w:rFonts w:ascii="Bookman Old Style" w:eastAsia="Yu Mincho Light" w:hAnsi="Bookman Old Style"/>
        </w:rPr>
        <w:t xml:space="preserve">con corte </w:t>
      </w:r>
      <w:r w:rsidR="7CC4C149" w:rsidRPr="00E165AC">
        <w:rPr>
          <w:rFonts w:ascii="Bookman Old Style" w:eastAsia="Yu Mincho Light" w:hAnsi="Bookman Old Style"/>
        </w:rPr>
        <w:t xml:space="preserve">al 30-11-2019, por valor de </w:t>
      </w:r>
      <w:r w:rsidR="7CC4C149" w:rsidRPr="00E165AC">
        <w:rPr>
          <w:rFonts w:ascii="Bookman Old Style" w:eastAsia="Yu Mincho Light" w:hAnsi="Bookman Old Style"/>
          <w:b/>
          <w:bCs/>
        </w:rPr>
        <w:t>$40.499.141</w:t>
      </w:r>
      <w:r w:rsidR="10AB67AB" w:rsidRPr="00E165AC">
        <w:rPr>
          <w:rFonts w:ascii="Bookman Old Style" w:eastAsia="Yu Mincho Light" w:hAnsi="Bookman Old Style"/>
        </w:rPr>
        <w:t>;</w:t>
      </w:r>
      <w:r w:rsidR="7CC4C149" w:rsidRPr="00E165AC">
        <w:rPr>
          <w:rFonts w:ascii="Bookman Old Style" w:eastAsia="Yu Mincho Light" w:hAnsi="Bookman Old Style"/>
        </w:rPr>
        <w:t xml:space="preserve"> </w:t>
      </w:r>
      <w:r w:rsidR="2EB1C5E4" w:rsidRPr="00E165AC">
        <w:rPr>
          <w:rFonts w:ascii="Bookman Old Style" w:eastAsia="Yu Mincho Light" w:hAnsi="Bookman Old Style"/>
        </w:rPr>
        <w:t xml:space="preserve">(ii) </w:t>
      </w:r>
      <w:r w:rsidR="33F03AB2" w:rsidRPr="00E165AC">
        <w:rPr>
          <w:rFonts w:ascii="Bookman Old Style" w:eastAsia="Yu Mincho Light" w:hAnsi="Bookman Old Style"/>
        </w:rPr>
        <w:t xml:space="preserve">se reconocieron los </w:t>
      </w:r>
      <w:r w:rsidR="7CC4C149" w:rsidRPr="00E165AC">
        <w:rPr>
          <w:rFonts w:ascii="Bookman Old Style" w:eastAsia="Yu Mincho Light" w:hAnsi="Bookman Old Style"/>
        </w:rPr>
        <w:t xml:space="preserve">intereses moratorios generados desde el 27-diciembre-2015 al </w:t>
      </w:r>
      <w:proofErr w:type="spellStart"/>
      <w:r w:rsidR="7CC4C149" w:rsidRPr="00E165AC">
        <w:rPr>
          <w:rFonts w:ascii="Bookman Old Style" w:eastAsia="Yu Mincho Light" w:hAnsi="Bookman Old Style"/>
        </w:rPr>
        <w:t>proferimiento</w:t>
      </w:r>
      <w:proofErr w:type="spellEnd"/>
      <w:r w:rsidR="7CC4C149" w:rsidRPr="00E165AC">
        <w:rPr>
          <w:rFonts w:ascii="Bookman Old Style" w:eastAsia="Yu Mincho Light" w:hAnsi="Bookman Old Style"/>
        </w:rPr>
        <w:t xml:space="preserve"> del fallo que revocó el de primera</w:t>
      </w:r>
      <w:r w:rsidR="7F256A9E" w:rsidRPr="00E165AC">
        <w:rPr>
          <w:rFonts w:ascii="Bookman Old Style" w:eastAsia="Yu Mincho Light" w:hAnsi="Bookman Old Style"/>
        </w:rPr>
        <w:t xml:space="preserve"> instancia</w:t>
      </w:r>
      <w:r w:rsidR="62BBC8A3" w:rsidRPr="00E165AC">
        <w:rPr>
          <w:rFonts w:ascii="Bookman Old Style" w:eastAsia="Yu Mincho Light" w:hAnsi="Bookman Old Style"/>
        </w:rPr>
        <w:t xml:space="preserve"> (</w:t>
      </w:r>
      <w:r w:rsidR="7E5516A9" w:rsidRPr="00E165AC">
        <w:rPr>
          <w:rFonts w:ascii="Bookman Old Style" w:eastAsia="Yu Mincho Light" w:hAnsi="Bookman Old Style"/>
        </w:rPr>
        <w:t>05-12-2019)</w:t>
      </w:r>
      <w:r w:rsidR="3FDC7CBD" w:rsidRPr="00E165AC">
        <w:rPr>
          <w:rFonts w:ascii="Bookman Old Style" w:eastAsia="Yu Mincho Light" w:hAnsi="Bookman Old Style"/>
        </w:rPr>
        <w:t xml:space="preserve">, </w:t>
      </w:r>
      <w:r w:rsidR="2AEED5B7" w:rsidRPr="00E165AC">
        <w:rPr>
          <w:rFonts w:ascii="Bookman Old Style" w:eastAsia="Yu Mincho Light" w:hAnsi="Bookman Old Style"/>
        </w:rPr>
        <w:t xml:space="preserve">los que, </w:t>
      </w:r>
      <w:r w:rsidR="7E5516A9" w:rsidRPr="00E165AC">
        <w:rPr>
          <w:rFonts w:ascii="Bookman Old Style" w:eastAsia="Yu Mincho Light" w:hAnsi="Bookman Old Style"/>
        </w:rPr>
        <w:t>previos cálculos aritméticos</w:t>
      </w:r>
      <w:r w:rsidR="39460C94" w:rsidRPr="00E165AC">
        <w:rPr>
          <w:rFonts w:ascii="Bookman Old Style" w:eastAsia="Yu Mincho Light" w:hAnsi="Bookman Old Style"/>
        </w:rPr>
        <w:t>,</w:t>
      </w:r>
      <w:r w:rsidR="7E5516A9" w:rsidRPr="00E165AC">
        <w:rPr>
          <w:rFonts w:ascii="Bookman Old Style" w:eastAsia="Yu Mincho Light" w:hAnsi="Bookman Old Style"/>
        </w:rPr>
        <w:t xml:space="preserve"> </w:t>
      </w:r>
      <w:r w:rsidR="57413F31" w:rsidRPr="00E165AC">
        <w:rPr>
          <w:rFonts w:ascii="Bookman Old Style" w:eastAsia="Yu Mincho Light" w:hAnsi="Bookman Old Style"/>
        </w:rPr>
        <w:t xml:space="preserve">corresponde </w:t>
      </w:r>
      <w:r w:rsidR="7E5516A9" w:rsidRPr="00E165AC">
        <w:rPr>
          <w:rFonts w:ascii="Bookman Old Style" w:eastAsia="Yu Mincho Light" w:hAnsi="Bookman Old Style"/>
        </w:rPr>
        <w:t xml:space="preserve">a </w:t>
      </w:r>
      <w:r w:rsidR="7E5516A9" w:rsidRPr="00E165AC">
        <w:rPr>
          <w:rFonts w:ascii="Bookman Old Style" w:eastAsia="Yu Mincho Light" w:hAnsi="Bookman Old Style"/>
          <w:b/>
          <w:bCs/>
        </w:rPr>
        <w:t>$19.921.615</w:t>
      </w:r>
      <w:r w:rsidR="2AB67B58" w:rsidRPr="00E165AC">
        <w:rPr>
          <w:rFonts w:ascii="Bookman Old Style" w:eastAsia="Yu Mincho Light" w:hAnsi="Bookman Old Style"/>
          <w:b/>
          <w:bCs/>
        </w:rPr>
        <w:t xml:space="preserve">, </w:t>
      </w:r>
      <w:r w:rsidR="274C8C39" w:rsidRPr="00E165AC">
        <w:rPr>
          <w:rFonts w:ascii="Bookman Old Style" w:eastAsia="Yu Mincho Light" w:hAnsi="Bookman Old Style"/>
        </w:rPr>
        <w:t xml:space="preserve">de </w:t>
      </w:r>
      <w:r w:rsidR="2AB67B58" w:rsidRPr="00E165AC">
        <w:rPr>
          <w:rFonts w:ascii="Bookman Old Style" w:eastAsia="Yu Mincho Light" w:hAnsi="Bookman Old Style"/>
        </w:rPr>
        <w:t xml:space="preserve">lo </w:t>
      </w:r>
      <w:r w:rsidR="4EF99483" w:rsidRPr="00E165AC">
        <w:rPr>
          <w:rFonts w:ascii="Bookman Old Style" w:eastAsia="Yu Mincho Light" w:hAnsi="Bookman Old Style"/>
        </w:rPr>
        <w:t xml:space="preserve">anterior se desprende que </w:t>
      </w:r>
      <w:r w:rsidR="43DF4232" w:rsidRPr="00E165AC">
        <w:rPr>
          <w:rFonts w:ascii="Bookman Old Style" w:eastAsia="Yu Mincho Light" w:hAnsi="Bookman Old Style"/>
        </w:rPr>
        <w:t xml:space="preserve">lo </w:t>
      </w:r>
      <w:r w:rsidR="32948454" w:rsidRPr="00E165AC">
        <w:rPr>
          <w:rFonts w:ascii="Bookman Old Style" w:eastAsia="Yu Mincho Light" w:hAnsi="Bookman Old Style"/>
        </w:rPr>
        <w:t xml:space="preserve">obtenido </w:t>
      </w:r>
      <w:r w:rsidR="278AAF84" w:rsidRPr="00E165AC">
        <w:rPr>
          <w:rFonts w:ascii="Bookman Old Style" w:eastAsia="Yu Mincho Light" w:hAnsi="Bookman Old Style"/>
        </w:rPr>
        <w:t>ascienda a</w:t>
      </w:r>
      <w:r w:rsidR="32948454" w:rsidRPr="00E165AC">
        <w:rPr>
          <w:rFonts w:ascii="Bookman Old Style" w:eastAsia="Yu Mincho Light" w:hAnsi="Bookman Old Style"/>
        </w:rPr>
        <w:t xml:space="preserve"> </w:t>
      </w:r>
      <w:r w:rsidR="77BDD1CA" w:rsidRPr="00E165AC">
        <w:rPr>
          <w:rFonts w:ascii="Bookman Old Style" w:eastAsia="Yu Mincho Light" w:hAnsi="Bookman Old Style"/>
        </w:rPr>
        <w:t xml:space="preserve">un </w:t>
      </w:r>
      <w:r w:rsidR="4EC0A694" w:rsidRPr="00E165AC">
        <w:rPr>
          <w:rFonts w:ascii="Bookman Old Style" w:eastAsia="Yu Mincho Light" w:hAnsi="Bookman Old Style"/>
        </w:rPr>
        <w:t xml:space="preserve">total </w:t>
      </w:r>
      <w:r w:rsidR="77BDD1CA" w:rsidRPr="00E165AC">
        <w:rPr>
          <w:rFonts w:ascii="Bookman Old Style" w:eastAsia="Yu Mincho Light" w:hAnsi="Bookman Old Style"/>
        </w:rPr>
        <w:t xml:space="preserve">de </w:t>
      </w:r>
      <w:r w:rsidR="32948454" w:rsidRPr="00E165AC">
        <w:rPr>
          <w:rFonts w:ascii="Bookman Old Style" w:eastAsia="Yu Mincho Light" w:hAnsi="Bookman Old Style"/>
          <w:b/>
          <w:bCs/>
        </w:rPr>
        <w:t>$60.420.756</w:t>
      </w:r>
      <w:r w:rsidR="6F28F4F7" w:rsidRPr="00E165AC">
        <w:rPr>
          <w:rFonts w:ascii="Bookman Old Style" w:eastAsia="Yu Mincho Light" w:hAnsi="Bookman Old Style"/>
          <w:b/>
          <w:bCs/>
        </w:rPr>
        <w:t>.</w:t>
      </w:r>
      <w:r w:rsidR="3CD83F4F" w:rsidRPr="00E165AC">
        <w:rPr>
          <w:rFonts w:ascii="Bookman Old Style" w:eastAsia="Yu Mincho Light" w:hAnsi="Bookman Old Style"/>
          <w:b/>
          <w:bCs/>
        </w:rPr>
        <w:t xml:space="preserve"> </w:t>
      </w:r>
    </w:p>
    <w:p w14:paraId="4E4358B8" w14:textId="77777777" w:rsidR="00EF5714" w:rsidRPr="00E165AC" w:rsidRDefault="00EF5714" w:rsidP="00E165AC">
      <w:pPr>
        <w:spacing w:line="276" w:lineRule="auto"/>
        <w:jc w:val="both"/>
        <w:rPr>
          <w:rFonts w:ascii="Bookman Old Style" w:eastAsia="Bookman Old Style" w:hAnsi="Bookman Old Style" w:cs="Bookman Old Style"/>
        </w:rPr>
      </w:pPr>
    </w:p>
    <w:p w14:paraId="19AC1B0E" w14:textId="2D86E395" w:rsidR="00574621" w:rsidRPr="00E165AC" w:rsidRDefault="3D7F4B4A" w:rsidP="00E165AC">
      <w:pPr>
        <w:spacing w:line="276" w:lineRule="auto"/>
        <w:jc w:val="both"/>
        <w:rPr>
          <w:rFonts w:ascii="Bookman Old Style" w:eastAsia="Yu Mincho Light" w:hAnsi="Bookman Old Style"/>
        </w:rPr>
      </w:pPr>
      <w:r w:rsidRPr="00E165AC">
        <w:rPr>
          <w:rFonts w:ascii="Bookman Old Style" w:eastAsia="Bookman Old Style" w:hAnsi="Bookman Old Style" w:cs="Bookman Old Style"/>
        </w:rPr>
        <w:t>Así, atendiendo a la naturaleza, la calidad y la duración útil de la gestión realizada a la que se hizo alusión, a juicio de esta Colegiatura</w:t>
      </w:r>
      <w:r w:rsidR="49B7E325" w:rsidRPr="00E165AC">
        <w:rPr>
          <w:rFonts w:ascii="Bookman Old Style" w:eastAsia="Bookman Old Style" w:hAnsi="Bookman Old Style" w:cs="Bookman Old Style"/>
        </w:rPr>
        <w:t>,</w:t>
      </w:r>
      <w:r w:rsidRPr="00E165AC">
        <w:rPr>
          <w:rFonts w:ascii="Bookman Old Style" w:eastAsia="Bookman Old Style" w:hAnsi="Bookman Old Style" w:cs="Bookman Old Style"/>
        </w:rPr>
        <w:t xml:space="preserve"> el monto a ser establecido acorde con devenir de la </w:t>
      </w:r>
      <w:r w:rsidR="2C8B6628" w:rsidRPr="00E165AC">
        <w:rPr>
          <w:rFonts w:ascii="Bookman Old Style" w:eastAsia="Bookman Old Style" w:hAnsi="Bookman Old Style" w:cs="Bookman Old Style"/>
        </w:rPr>
        <w:t>litis</w:t>
      </w:r>
      <w:r w:rsidRPr="00E165AC">
        <w:rPr>
          <w:rFonts w:ascii="Bookman Old Style" w:eastAsia="Bookman Old Style" w:hAnsi="Bookman Old Style" w:cs="Bookman Old Style"/>
        </w:rPr>
        <w:t xml:space="preserve"> correspondería al </w:t>
      </w:r>
      <w:r w:rsidR="6C27C7BC" w:rsidRPr="00E165AC">
        <w:rPr>
          <w:rFonts w:ascii="Bookman Old Style" w:eastAsia="Bookman Old Style" w:hAnsi="Bookman Old Style" w:cs="Bookman Old Style"/>
        </w:rPr>
        <w:t>7</w:t>
      </w:r>
      <w:r w:rsidRPr="00E165AC">
        <w:rPr>
          <w:rFonts w:ascii="Bookman Old Style" w:eastAsia="Bookman Old Style" w:hAnsi="Bookman Old Style" w:cs="Bookman Old Style"/>
        </w:rPr>
        <w:t>% sobre el monto de lo obtenido</w:t>
      </w:r>
      <w:r w:rsidR="7CDCA3F9" w:rsidRPr="00E165AC">
        <w:rPr>
          <w:rFonts w:ascii="Bookman Old Style" w:eastAsia="Bookman Old Style" w:hAnsi="Bookman Old Style" w:cs="Bookman Old Style"/>
        </w:rPr>
        <w:t xml:space="preserve"> </w:t>
      </w:r>
      <w:r w:rsidR="6F3078F4" w:rsidRPr="00E165AC">
        <w:rPr>
          <w:rFonts w:ascii="Bookman Old Style" w:eastAsia="Bookman Old Style" w:hAnsi="Bookman Old Style" w:cs="Bookman Old Style"/>
        </w:rPr>
        <w:t>como máximo y</w:t>
      </w:r>
      <w:r w:rsidR="5DF0F9C6" w:rsidRPr="00E165AC">
        <w:rPr>
          <w:rFonts w:ascii="Bookman Old Style" w:eastAsia="Bookman Old Style" w:hAnsi="Bookman Old Style" w:cs="Bookman Old Style"/>
        </w:rPr>
        <w:t>,</w:t>
      </w:r>
      <w:r w:rsidR="27D8A8F7" w:rsidRPr="00E165AC">
        <w:rPr>
          <w:rFonts w:ascii="Bookman Old Style" w:eastAsia="Bookman Old Style" w:hAnsi="Bookman Old Style" w:cs="Bookman Old Style"/>
        </w:rPr>
        <w:t xml:space="preserve"> </w:t>
      </w:r>
      <w:r w:rsidR="2F3FDF74" w:rsidRPr="00E165AC">
        <w:rPr>
          <w:rFonts w:ascii="Bookman Old Style" w:eastAsia="Bookman Old Style" w:hAnsi="Bookman Old Style" w:cs="Bookman Old Style"/>
        </w:rPr>
        <w:t>aplicando a</w:t>
      </w:r>
      <w:r w:rsidR="3B54BA08" w:rsidRPr="00E165AC">
        <w:rPr>
          <w:rFonts w:ascii="Bookman Old Style" w:eastAsia="Bookman Old Style" w:hAnsi="Bookman Old Style" w:cs="Bookman Old Style"/>
        </w:rPr>
        <w:t xml:space="preserve"> lo obtenido ($60.420.756)</w:t>
      </w:r>
      <w:r w:rsidR="6C506046" w:rsidRPr="00E165AC">
        <w:rPr>
          <w:rFonts w:ascii="Bookman Old Style" w:eastAsia="Bookman Old Style" w:hAnsi="Bookman Old Style" w:cs="Bookman Old Style"/>
        </w:rPr>
        <w:t xml:space="preserve">, las costas </w:t>
      </w:r>
      <w:r w:rsidR="0ED2FA61" w:rsidRPr="00E165AC">
        <w:rPr>
          <w:rFonts w:ascii="Bookman Old Style" w:eastAsia="Bookman Old Style" w:hAnsi="Bookman Old Style" w:cs="Bookman Old Style"/>
        </w:rPr>
        <w:t xml:space="preserve">de primera instancia </w:t>
      </w:r>
      <w:r w:rsidR="6C506046" w:rsidRPr="00E165AC">
        <w:rPr>
          <w:rFonts w:ascii="Bookman Old Style" w:eastAsia="Bookman Old Style" w:hAnsi="Bookman Old Style" w:cs="Bookman Old Style"/>
        </w:rPr>
        <w:t xml:space="preserve">arrojan </w:t>
      </w:r>
      <w:r w:rsidR="7CC4C149" w:rsidRPr="00E165AC">
        <w:rPr>
          <w:rFonts w:ascii="Bookman Old Style" w:eastAsia="Yu Mincho Light" w:hAnsi="Bookman Old Style"/>
        </w:rPr>
        <w:t xml:space="preserve">un valor </w:t>
      </w:r>
      <w:r w:rsidR="725CFF27" w:rsidRPr="00E165AC">
        <w:rPr>
          <w:rFonts w:ascii="Bookman Old Style" w:eastAsia="Yu Mincho Light" w:hAnsi="Bookman Old Style"/>
        </w:rPr>
        <w:t xml:space="preserve">de </w:t>
      </w:r>
      <w:r w:rsidR="3035FB19" w:rsidRPr="00E165AC">
        <w:rPr>
          <w:rFonts w:ascii="Bookman Old Style" w:eastAsia="Yu Mincho Light" w:hAnsi="Bookman Old Style"/>
          <w:b/>
          <w:bCs/>
        </w:rPr>
        <w:t>$4.229.453</w:t>
      </w:r>
      <w:r w:rsidR="00EF5714" w:rsidRPr="00E165AC">
        <w:rPr>
          <w:rFonts w:ascii="Bookman Old Style" w:eastAsia="Yu Mincho Light" w:hAnsi="Bookman Old Style"/>
        </w:rPr>
        <w:t xml:space="preserve">, </w:t>
      </w:r>
      <w:r w:rsidR="725CFF27" w:rsidRPr="00E165AC">
        <w:rPr>
          <w:rFonts w:ascii="Bookman Old Style" w:eastAsia="Yu Mincho Light" w:hAnsi="Bookman Old Style"/>
        </w:rPr>
        <w:t xml:space="preserve">lo que implica que habiendo sido fijadas </w:t>
      </w:r>
      <w:r w:rsidR="74350EA3" w:rsidRPr="00E165AC">
        <w:rPr>
          <w:rFonts w:ascii="Bookman Old Style" w:eastAsia="Yu Mincho Light" w:hAnsi="Bookman Old Style"/>
        </w:rPr>
        <w:t>en</w:t>
      </w:r>
      <w:r w:rsidR="725CFF27" w:rsidRPr="00E165AC">
        <w:rPr>
          <w:rFonts w:ascii="Bookman Old Style" w:eastAsia="Yu Mincho Light" w:hAnsi="Bookman Old Style"/>
        </w:rPr>
        <w:t xml:space="preserve"> $4.640.000, </w:t>
      </w:r>
      <w:r w:rsidR="10DA832A" w:rsidRPr="00E165AC">
        <w:rPr>
          <w:rFonts w:ascii="Bookman Old Style" w:eastAsia="Yu Mincho Light" w:hAnsi="Bookman Old Style"/>
        </w:rPr>
        <w:t xml:space="preserve">estas </w:t>
      </w:r>
      <w:r w:rsidR="725CFF27" w:rsidRPr="00E165AC">
        <w:rPr>
          <w:rFonts w:ascii="Bookman Old Style" w:eastAsia="Yu Mincho Light" w:hAnsi="Bookman Old Style"/>
        </w:rPr>
        <w:t>se deberán reducir y como no hay lugar adicionar gastos, se aprobarán las costas de primera instancia en e</w:t>
      </w:r>
      <w:r w:rsidR="41CBC2B4" w:rsidRPr="00E165AC">
        <w:rPr>
          <w:rFonts w:ascii="Bookman Old Style" w:eastAsia="Yu Mincho Light" w:hAnsi="Bookman Old Style"/>
        </w:rPr>
        <w:t>l valor citado</w:t>
      </w:r>
      <w:r w:rsidR="725CFF27" w:rsidRPr="00E165AC">
        <w:rPr>
          <w:rFonts w:ascii="Bookman Old Style" w:eastAsia="Yu Mincho Light" w:hAnsi="Bookman Old Style"/>
        </w:rPr>
        <w:t>; por lo que se modificará el auto apelado en este sentido</w:t>
      </w:r>
      <w:r w:rsidR="0EF09369" w:rsidRPr="00E165AC">
        <w:rPr>
          <w:rFonts w:ascii="Bookman Old Style" w:eastAsia="Yu Mincho Light" w:hAnsi="Bookman Old Style"/>
        </w:rPr>
        <w:t>.</w:t>
      </w:r>
    </w:p>
    <w:p w14:paraId="6C456974" w14:textId="77777777" w:rsidR="00574621" w:rsidRPr="00E165AC" w:rsidRDefault="00574621" w:rsidP="00E165AC">
      <w:pPr>
        <w:spacing w:line="276" w:lineRule="auto"/>
        <w:jc w:val="both"/>
        <w:rPr>
          <w:rFonts w:ascii="Bookman Old Style" w:eastAsia="Yu Mincho Light" w:hAnsi="Bookman Old Style"/>
        </w:rPr>
      </w:pPr>
    </w:p>
    <w:p w14:paraId="4EFF2386" w14:textId="7D5B8BCE" w:rsidR="00DA5E51" w:rsidRPr="00E165AC" w:rsidRDefault="26DDE992" w:rsidP="00E165AC">
      <w:pPr>
        <w:spacing w:line="276" w:lineRule="auto"/>
        <w:jc w:val="both"/>
        <w:rPr>
          <w:rFonts w:ascii="Bookman Old Style" w:eastAsia="Yu Mincho Light" w:hAnsi="Bookman Old Style"/>
        </w:rPr>
      </w:pPr>
      <w:r w:rsidRPr="00E165AC">
        <w:rPr>
          <w:rFonts w:ascii="Bookman Old Style" w:eastAsia="Yu Mincho Light" w:hAnsi="Bookman Old Style"/>
        </w:rPr>
        <w:t xml:space="preserve">En cuanto a las costas de segunda instancia, al haber sido estas fijadas en 2 </w:t>
      </w:r>
      <w:proofErr w:type="spellStart"/>
      <w:r w:rsidRPr="00E165AC">
        <w:rPr>
          <w:rFonts w:ascii="Bookman Old Style" w:eastAsia="Yu Mincho Light" w:hAnsi="Bookman Old Style"/>
        </w:rPr>
        <w:t>SMLV</w:t>
      </w:r>
      <w:proofErr w:type="spellEnd"/>
      <w:r w:rsidRPr="00E165AC">
        <w:rPr>
          <w:rFonts w:ascii="Bookman Old Style" w:eastAsia="Yu Mincho Light" w:hAnsi="Bookman Old Style"/>
        </w:rPr>
        <w:t xml:space="preserve"> ($2.</w:t>
      </w:r>
      <w:r w:rsidR="18A570DA" w:rsidRPr="00E165AC">
        <w:rPr>
          <w:rFonts w:ascii="Bookman Old Style" w:eastAsia="Yu Mincho Light" w:hAnsi="Bookman Old Style"/>
        </w:rPr>
        <w:t>32</w:t>
      </w:r>
      <w:r w:rsidRPr="00E165AC">
        <w:rPr>
          <w:rFonts w:ascii="Bookman Old Style" w:eastAsia="Yu Mincho Light" w:hAnsi="Bookman Old Style"/>
        </w:rPr>
        <w:t xml:space="preserve">0.000), </w:t>
      </w:r>
      <w:r w:rsidR="36F68CA3" w:rsidRPr="00E165AC">
        <w:rPr>
          <w:rFonts w:ascii="Bookman Old Style" w:eastAsia="Yu Mincho Light" w:hAnsi="Bookman Old Style"/>
        </w:rPr>
        <w:t xml:space="preserve">comoquiera que la Sala mayoritaria </w:t>
      </w:r>
      <w:r w:rsidR="2F0FB2DC" w:rsidRPr="00E165AC">
        <w:rPr>
          <w:rFonts w:ascii="Bookman Old Style" w:eastAsia="Yu Mincho Light" w:hAnsi="Bookman Old Style"/>
        </w:rPr>
        <w:t xml:space="preserve">de esta Sala de decisión viene aplicando </w:t>
      </w:r>
      <w:r w:rsidR="36F68CA3" w:rsidRPr="00E165AC">
        <w:rPr>
          <w:rFonts w:ascii="Bookman Old Style" w:eastAsia="Yu Mincho Light" w:hAnsi="Bookman Old Style"/>
        </w:rPr>
        <w:t xml:space="preserve">como criterio que </w:t>
      </w:r>
      <w:r w:rsidR="48DB9880" w:rsidRPr="00E165AC">
        <w:rPr>
          <w:rFonts w:ascii="Bookman Old Style" w:eastAsia="Yu Mincho Light" w:hAnsi="Bookman Old Style"/>
        </w:rPr>
        <w:t xml:space="preserve">en segunda instancia la actividad </w:t>
      </w:r>
      <w:r w:rsidR="48DB9880" w:rsidRPr="00E165AC">
        <w:rPr>
          <w:rFonts w:ascii="Bookman Old Style" w:eastAsia="Yu Mincho Light" w:hAnsi="Bookman Old Style"/>
        </w:rPr>
        <w:lastRenderedPageBreak/>
        <w:t>es mínima por lo que se debe partir del mínimo permitido, f</w:t>
      </w:r>
      <w:r w:rsidR="58DB3240" w:rsidRPr="00E165AC">
        <w:rPr>
          <w:rFonts w:ascii="Bookman Old Style" w:eastAsia="Yu Mincho Light" w:hAnsi="Bookman Old Style"/>
        </w:rPr>
        <w:t xml:space="preserve">rente a </w:t>
      </w:r>
      <w:r w:rsidR="69CCE8EC" w:rsidRPr="00E165AC">
        <w:rPr>
          <w:rFonts w:ascii="Bookman Old Style" w:eastAsia="Yu Mincho Light" w:hAnsi="Bookman Old Style"/>
        </w:rPr>
        <w:t>ello</w:t>
      </w:r>
      <w:r w:rsidR="58DB3240" w:rsidRPr="00E165AC">
        <w:rPr>
          <w:rFonts w:ascii="Bookman Old Style" w:eastAsia="Yu Mincho Light" w:hAnsi="Bookman Old Style"/>
        </w:rPr>
        <w:t xml:space="preserve">, el ponente </w:t>
      </w:r>
      <w:r w:rsidR="4B2A35D1" w:rsidRPr="00E165AC">
        <w:rPr>
          <w:rFonts w:ascii="Bookman Old Style" w:eastAsia="Yu Mincho Light" w:hAnsi="Bookman Old Style"/>
        </w:rPr>
        <w:t xml:space="preserve">salvará </w:t>
      </w:r>
      <w:r w:rsidR="58DB3240" w:rsidRPr="00E165AC">
        <w:rPr>
          <w:rFonts w:ascii="Bookman Old Style" w:eastAsia="Yu Mincho Light" w:hAnsi="Bookman Old Style"/>
        </w:rPr>
        <w:t>voto.</w:t>
      </w:r>
    </w:p>
    <w:p w14:paraId="6C704537" w14:textId="77777777" w:rsidR="00EF5714" w:rsidRPr="00E165AC" w:rsidRDefault="00EF5714" w:rsidP="00E165AC">
      <w:pPr>
        <w:spacing w:line="276" w:lineRule="auto"/>
        <w:jc w:val="both"/>
        <w:rPr>
          <w:rFonts w:ascii="Bookman Old Style" w:eastAsia="Yu Mincho Light" w:hAnsi="Bookman Old Style"/>
          <w:strike/>
        </w:rPr>
      </w:pPr>
    </w:p>
    <w:p w14:paraId="4FEF9B6C" w14:textId="75F2533D" w:rsidR="00456ECA" w:rsidRPr="00E165AC" w:rsidRDefault="00E7785E" w:rsidP="00E165AC">
      <w:pPr>
        <w:spacing w:line="276" w:lineRule="auto"/>
        <w:jc w:val="both"/>
        <w:rPr>
          <w:rFonts w:ascii="Bookman Old Style" w:eastAsia="Yu Mincho Light" w:hAnsi="Bookman Old Style"/>
        </w:rPr>
      </w:pPr>
      <w:r w:rsidRPr="00E165AC">
        <w:rPr>
          <w:rFonts w:ascii="Bookman Old Style" w:eastAsia="Yu Mincho Light" w:hAnsi="Bookman Old Style"/>
        </w:rPr>
        <w:t xml:space="preserve">Frente a las costas impuestas en casación, ninguna </w:t>
      </w:r>
      <w:r w:rsidR="00BF7754" w:rsidRPr="00E165AC">
        <w:rPr>
          <w:rFonts w:ascii="Bookman Old Style" w:eastAsia="Yu Mincho Light" w:hAnsi="Bookman Old Style"/>
        </w:rPr>
        <w:t xml:space="preserve">disertación se hará </w:t>
      </w:r>
      <w:r w:rsidR="000F42A3" w:rsidRPr="00E165AC">
        <w:rPr>
          <w:rFonts w:ascii="Bookman Old Style" w:eastAsia="Yu Mincho Light" w:hAnsi="Bookman Old Style"/>
        </w:rPr>
        <w:t xml:space="preserve">porque </w:t>
      </w:r>
      <w:r w:rsidRPr="00E165AC">
        <w:rPr>
          <w:rFonts w:ascii="Bookman Old Style" w:eastAsia="Yu Mincho Light" w:hAnsi="Bookman Old Style"/>
        </w:rPr>
        <w:t>únicamente las de primera y segunda instancia fueron objeto de apelación.</w:t>
      </w:r>
    </w:p>
    <w:p w14:paraId="55DDD373" w14:textId="77777777" w:rsidR="00E7785E" w:rsidRPr="00E165AC" w:rsidRDefault="00E7785E" w:rsidP="00E165AC">
      <w:pPr>
        <w:spacing w:line="276" w:lineRule="auto"/>
        <w:jc w:val="both"/>
        <w:rPr>
          <w:rFonts w:ascii="Bookman Old Style" w:eastAsia="Yu Mincho Light" w:hAnsi="Bookman Old Style"/>
        </w:rPr>
      </w:pPr>
    </w:p>
    <w:p w14:paraId="0C5AC5F5" w14:textId="275A4F60" w:rsidR="00E7785E" w:rsidRPr="00E165AC" w:rsidRDefault="00E7785E" w:rsidP="00E165AC">
      <w:pPr>
        <w:spacing w:line="276" w:lineRule="auto"/>
        <w:jc w:val="both"/>
        <w:rPr>
          <w:rFonts w:ascii="Bookman Old Style" w:eastAsia="Yu Mincho Light" w:hAnsi="Bookman Old Style"/>
        </w:rPr>
      </w:pPr>
      <w:r w:rsidRPr="00E165AC">
        <w:rPr>
          <w:rFonts w:ascii="Bookman Old Style" w:eastAsia="Yu Mincho Light" w:hAnsi="Bookman Old Style"/>
        </w:rPr>
        <w:t>Comoquiera que el recurso de apelación resultó avante, pero no en la forma pretendida por su promotor, por este trámite no se impondrán costas.</w:t>
      </w:r>
    </w:p>
    <w:p w14:paraId="47DCFDC8" w14:textId="77777777" w:rsidR="00BE6110" w:rsidRPr="00E165AC" w:rsidRDefault="00BE6110" w:rsidP="00E165AC">
      <w:pPr>
        <w:spacing w:line="276" w:lineRule="auto"/>
        <w:jc w:val="both"/>
        <w:rPr>
          <w:rFonts w:ascii="Bookman Old Style" w:eastAsia="Yu Mincho Light" w:hAnsi="Bookman Old Style"/>
        </w:rPr>
      </w:pPr>
    </w:p>
    <w:p w14:paraId="5F6030FE" w14:textId="77777777" w:rsidR="00E7785E" w:rsidRPr="00E165AC" w:rsidRDefault="00E7785E" w:rsidP="00E165AC">
      <w:pPr>
        <w:spacing w:line="276" w:lineRule="auto"/>
        <w:jc w:val="both"/>
        <w:rPr>
          <w:rFonts w:ascii="Bookman Old Style" w:hAnsi="Bookman Old Style" w:cs="Times New Roman"/>
          <w:b/>
          <w:bCs/>
        </w:rPr>
      </w:pPr>
      <w:r w:rsidRPr="00E165AC">
        <w:rPr>
          <w:rFonts w:ascii="Bookman Old Style" w:hAnsi="Bookman Old Style" w:cs="Times New Roman"/>
          <w:b/>
          <w:bCs/>
        </w:rPr>
        <w:t xml:space="preserve">En mérito de lo expuesto, el Tribunal Superior del Distrito Judicial de Pereira (Risaralda), Sala de Decisión Laboral, </w:t>
      </w:r>
    </w:p>
    <w:p w14:paraId="08447338" w14:textId="77777777" w:rsidR="00E7785E" w:rsidRPr="00E165AC" w:rsidRDefault="00E7785E" w:rsidP="00E165AC">
      <w:pPr>
        <w:spacing w:line="276" w:lineRule="auto"/>
        <w:jc w:val="both"/>
        <w:rPr>
          <w:rFonts w:ascii="Bookman Old Style" w:hAnsi="Bookman Old Style" w:cs="Times New Roman"/>
        </w:rPr>
      </w:pPr>
    </w:p>
    <w:p w14:paraId="4504D0E2" w14:textId="77777777" w:rsidR="00E7785E" w:rsidRPr="00E165AC" w:rsidRDefault="00E7785E" w:rsidP="00E165AC">
      <w:pPr>
        <w:spacing w:line="276" w:lineRule="auto"/>
        <w:jc w:val="center"/>
        <w:rPr>
          <w:rFonts w:ascii="Bookman Old Style" w:hAnsi="Bookman Old Style" w:cs="Times New Roman"/>
        </w:rPr>
      </w:pPr>
      <w:r w:rsidRPr="00E165AC">
        <w:rPr>
          <w:rFonts w:ascii="Bookman Old Style" w:hAnsi="Bookman Old Style" w:cs="Times New Roman"/>
          <w:b/>
        </w:rPr>
        <w:t>RESUELVE:</w:t>
      </w:r>
    </w:p>
    <w:p w14:paraId="64CE4803" w14:textId="77777777" w:rsidR="00E7785E" w:rsidRPr="00E165AC" w:rsidRDefault="00E7785E" w:rsidP="00E165AC">
      <w:pPr>
        <w:spacing w:line="276" w:lineRule="auto"/>
        <w:jc w:val="both"/>
        <w:rPr>
          <w:rFonts w:ascii="Bookman Old Style" w:hAnsi="Bookman Old Style" w:cs="Times New Roman"/>
        </w:rPr>
      </w:pPr>
    </w:p>
    <w:p w14:paraId="58AD9A18" w14:textId="3B162FA4" w:rsidR="00E7785E" w:rsidRPr="00E165AC" w:rsidRDefault="0EF09369" w:rsidP="00E165AC">
      <w:pPr>
        <w:spacing w:line="276" w:lineRule="auto"/>
        <w:jc w:val="both"/>
        <w:rPr>
          <w:rFonts w:ascii="Bookman Old Style" w:eastAsia="Yu Mincho Light" w:hAnsi="Bookman Old Style"/>
        </w:rPr>
      </w:pPr>
      <w:r w:rsidRPr="00E165AC">
        <w:rPr>
          <w:rFonts w:ascii="Bookman Old Style" w:eastAsia="Yu Mincho Light" w:hAnsi="Bookman Old Style"/>
          <w:b/>
          <w:bCs/>
        </w:rPr>
        <w:t>PRIMERO</w:t>
      </w:r>
      <w:r w:rsidRPr="00E165AC">
        <w:rPr>
          <w:rFonts w:ascii="Bookman Old Style" w:eastAsia="Yu Mincho Light" w:hAnsi="Bookman Old Style"/>
        </w:rPr>
        <w:t xml:space="preserve">: </w:t>
      </w:r>
      <w:r w:rsidRPr="00E165AC">
        <w:rPr>
          <w:rFonts w:ascii="Bookman Old Style" w:eastAsia="Yu Mincho Light" w:hAnsi="Bookman Old Style"/>
          <w:b/>
          <w:bCs/>
        </w:rPr>
        <w:t>MODIFICAR</w:t>
      </w:r>
      <w:r w:rsidRPr="00E165AC">
        <w:rPr>
          <w:rFonts w:ascii="Bookman Old Style" w:eastAsia="Yu Mincho Light" w:hAnsi="Bookman Old Style"/>
        </w:rPr>
        <w:t xml:space="preserve"> el auto proferido el 09-02-2023 del Juzgado Quinto Laboral del Circuito de Pereira, en el sentido </w:t>
      </w:r>
      <w:r w:rsidR="5190CC35" w:rsidRPr="00E165AC">
        <w:rPr>
          <w:rFonts w:ascii="Bookman Old Style" w:eastAsia="Yu Mincho Light" w:hAnsi="Bookman Old Style"/>
        </w:rPr>
        <w:t xml:space="preserve">de indicar </w:t>
      </w:r>
      <w:r w:rsidRPr="00E165AC">
        <w:rPr>
          <w:rFonts w:ascii="Bookman Old Style" w:eastAsia="Yu Mincho Light" w:hAnsi="Bookman Old Style"/>
        </w:rPr>
        <w:t>que las costas procesales de primera instancia debieron ser por</w:t>
      </w:r>
      <w:r w:rsidR="30583596" w:rsidRPr="00E165AC">
        <w:rPr>
          <w:rFonts w:ascii="Bookman Old Style" w:eastAsia="Yu Mincho Light" w:hAnsi="Bookman Old Style"/>
        </w:rPr>
        <w:t xml:space="preserve"> </w:t>
      </w:r>
      <w:r w:rsidR="30583596" w:rsidRPr="00E165AC">
        <w:rPr>
          <w:rFonts w:ascii="Bookman Old Style" w:eastAsia="Yu Mincho Light" w:hAnsi="Bookman Old Style"/>
          <w:b/>
          <w:bCs/>
        </w:rPr>
        <w:t>$4.229.452</w:t>
      </w:r>
      <w:r w:rsidRPr="00E165AC">
        <w:rPr>
          <w:rFonts w:ascii="Bookman Old Style" w:eastAsia="Yu Mincho Light" w:hAnsi="Bookman Old Style"/>
        </w:rPr>
        <w:t xml:space="preserve"> </w:t>
      </w:r>
      <w:r w:rsidR="7D6775E5" w:rsidRPr="00E165AC">
        <w:rPr>
          <w:rFonts w:ascii="Bookman Old Style" w:eastAsia="Yu Mincho Light" w:hAnsi="Bookman Old Style"/>
        </w:rPr>
        <w:t>y las de segunda instancia, lo serán en valor de $</w:t>
      </w:r>
      <w:r w:rsidR="69218D9B" w:rsidRPr="00E165AC">
        <w:rPr>
          <w:rFonts w:ascii="Bookman Old Style" w:eastAsia="Yu Mincho Light" w:hAnsi="Bookman Old Style"/>
          <w:b/>
          <w:bCs/>
        </w:rPr>
        <w:t>1.160.000.</w:t>
      </w:r>
      <w:r w:rsidR="69218D9B" w:rsidRPr="00E165AC">
        <w:rPr>
          <w:rFonts w:ascii="Bookman Old Style" w:eastAsia="Yu Mincho Light" w:hAnsi="Bookman Old Style"/>
        </w:rPr>
        <w:t xml:space="preserve"> E</w:t>
      </w:r>
      <w:r w:rsidR="3124DEF6" w:rsidRPr="00E165AC">
        <w:rPr>
          <w:rFonts w:ascii="Bookman Old Style" w:eastAsia="Yu Mincho Light" w:hAnsi="Bookman Old Style"/>
        </w:rPr>
        <w:t>n lo demás,</w:t>
      </w:r>
      <w:r w:rsidRPr="00E165AC">
        <w:rPr>
          <w:rFonts w:ascii="Bookman Old Style" w:eastAsia="Yu Mincho Light" w:hAnsi="Bookman Old Style"/>
          <w:b/>
          <w:bCs/>
        </w:rPr>
        <w:t xml:space="preserve"> </w:t>
      </w:r>
      <w:r w:rsidR="3A609A5F" w:rsidRPr="00E165AC">
        <w:rPr>
          <w:rFonts w:ascii="Bookman Old Style" w:eastAsia="Yu Mincho Light" w:hAnsi="Bookman Old Style"/>
        </w:rPr>
        <w:t xml:space="preserve">la decisión se </w:t>
      </w:r>
      <w:r w:rsidRPr="00E165AC">
        <w:rPr>
          <w:rFonts w:ascii="Bookman Old Style" w:eastAsia="Yu Mincho Light" w:hAnsi="Bookman Old Style"/>
        </w:rPr>
        <w:t>mantiene incólume</w:t>
      </w:r>
      <w:r w:rsidR="1EA4F750" w:rsidRPr="00E165AC">
        <w:rPr>
          <w:rFonts w:ascii="Bookman Old Style" w:eastAsia="Yu Mincho Light" w:hAnsi="Bookman Old Style"/>
        </w:rPr>
        <w:t>.</w:t>
      </w:r>
    </w:p>
    <w:p w14:paraId="16FD5FFD" w14:textId="771786B1" w:rsidR="00E7785E" w:rsidRPr="00E165AC" w:rsidRDefault="00E7785E" w:rsidP="00E165AC">
      <w:pPr>
        <w:spacing w:line="276" w:lineRule="auto"/>
        <w:jc w:val="both"/>
        <w:rPr>
          <w:rFonts w:ascii="Bookman Old Style" w:hAnsi="Bookman Old Style" w:cs="Times New Roman"/>
        </w:rPr>
      </w:pPr>
    </w:p>
    <w:p w14:paraId="11583B83" w14:textId="77777777" w:rsidR="00E7785E" w:rsidRPr="00E165AC" w:rsidRDefault="00E7785E" w:rsidP="00E165AC">
      <w:pPr>
        <w:spacing w:line="276" w:lineRule="auto"/>
        <w:jc w:val="both"/>
        <w:rPr>
          <w:rFonts w:ascii="Bookman Old Style" w:hAnsi="Bookman Old Style" w:cs="Times New Roman"/>
        </w:rPr>
      </w:pPr>
      <w:r w:rsidRPr="00E165AC">
        <w:rPr>
          <w:rFonts w:ascii="Bookman Old Style" w:hAnsi="Bookman Old Style" w:cs="Times New Roman"/>
          <w:b/>
        </w:rPr>
        <w:t>SEGUNDO</w:t>
      </w:r>
      <w:r w:rsidRPr="00E165AC">
        <w:rPr>
          <w:rFonts w:ascii="Bookman Old Style" w:hAnsi="Bookman Old Style" w:cs="Times New Roman"/>
        </w:rPr>
        <w:t xml:space="preserve">. - </w:t>
      </w:r>
      <w:r w:rsidRPr="00E165AC">
        <w:rPr>
          <w:rFonts w:ascii="Bookman Old Style" w:hAnsi="Bookman Old Style" w:cs="Times New Roman"/>
          <w:b/>
        </w:rPr>
        <w:t>APROBAR</w:t>
      </w:r>
      <w:r w:rsidRPr="00E165AC">
        <w:rPr>
          <w:rFonts w:ascii="Bookman Old Style" w:hAnsi="Bookman Old Style" w:cs="Times New Roman"/>
        </w:rPr>
        <w:t xml:space="preserve"> la liquidación antes efectuada.</w:t>
      </w:r>
    </w:p>
    <w:p w14:paraId="00EFD8D3" w14:textId="77777777" w:rsidR="00E7785E" w:rsidRPr="00E165AC" w:rsidRDefault="00E7785E" w:rsidP="00E165AC">
      <w:pPr>
        <w:spacing w:line="276" w:lineRule="auto"/>
        <w:jc w:val="both"/>
        <w:rPr>
          <w:rFonts w:ascii="Bookman Old Style" w:hAnsi="Bookman Old Style" w:cs="Times New Roman"/>
        </w:rPr>
      </w:pPr>
    </w:p>
    <w:p w14:paraId="239F2B9A" w14:textId="5904A771" w:rsidR="00E7785E" w:rsidRPr="00E165AC" w:rsidRDefault="0EF09369" w:rsidP="00E165AC">
      <w:pPr>
        <w:spacing w:line="276" w:lineRule="auto"/>
        <w:jc w:val="both"/>
        <w:rPr>
          <w:rFonts w:ascii="Bookman Old Style" w:hAnsi="Bookman Old Style" w:cs="Times New Roman"/>
        </w:rPr>
      </w:pPr>
      <w:r w:rsidRPr="00E165AC">
        <w:rPr>
          <w:rFonts w:ascii="Bookman Old Style" w:hAnsi="Bookman Old Style" w:cs="Times New Roman"/>
          <w:b/>
          <w:bCs/>
        </w:rPr>
        <w:t>TERCERO</w:t>
      </w:r>
      <w:r w:rsidRPr="00E165AC">
        <w:rPr>
          <w:rFonts w:ascii="Bookman Old Style" w:hAnsi="Bookman Old Style" w:cs="Times New Roman"/>
        </w:rPr>
        <w:t xml:space="preserve">. - </w:t>
      </w:r>
      <w:r w:rsidR="5206C53D" w:rsidRPr="00E165AC">
        <w:rPr>
          <w:rFonts w:ascii="Bookman Old Style" w:hAnsi="Bookman Old Style" w:cs="Times New Roman"/>
        </w:rPr>
        <w:t xml:space="preserve"> </w:t>
      </w:r>
      <w:r w:rsidRPr="00E165AC">
        <w:rPr>
          <w:rFonts w:ascii="Bookman Old Style" w:hAnsi="Bookman Old Style" w:cs="Times New Roman"/>
        </w:rPr>
        <w:t>Sin costas en esta instancia.</w:t>
      </w:r>
    </w:p>
    <w:p w14:paraId="2C587CF0" w14:textId="77777777" w:rsidR="00E7785E" w:rsidRPr="00E165AC" w:rsidRDefault="00E7785E" w:rsidP="00E165AC">
      <w:pPr>
        <w:spacing w:line="276" w:lineRule="auto"/>
        <w:jc w:val="both"/>
        <w:rPr>
          <w:rFonts w:ascii="Bookman Old Style" w:hAnsi="Bookman Old Style" w:cs="Times New Roman"/>
        </w:rPr>
      </w:pPr>
    </w:p>
    <w:p w14:paraId="59BDD80B" w14:textId="77777777" w:rsidR="00E7785E" w:rsidRPr="00E165AC" w:rsidRDefault="00E7785E" w:rsidP="00E165AC">
      <w:pPr>
        <w:spacing w:line="276" w:lineRule="auto"/>
        <w:jc w:val="both"/>
        <w:rPr>
          <w:rFonts w:ascii="Bookman Old Style" w:hAnsi="Bookman Old Style" w:cs="Times New Roman"/>
        </w:rPr>
      </w:pPr>
      <w:r w:rsidRPr="00E165AC">
        <w:rPr>
          <w:rFonts w:ascii="Bookman Old Style" w:hAnsi="Bookman Old Style" w:cs="Times New Roman"/>
        </w:rPr>
        <w:t>Notifíquese y cúmplase,</w:t>
      </w:r>
    </w:p>
    <w:p w14:paraId="6315FFD0" w14:textId="77777777" w:rsidR="00E7785E" w:rsidRPr="00E165AC" w:rsidRDefault="00E7785E" w:rsidP="00E165AC">
      <w:pPr>
        <w:spacing w:line="276" w:lineRule="auto"/>
        <w:jc w:val="both"/>
        <w:rPr>
          <w:rFonts w:ascii="Bookman Old Style" w:hAnsi="Bookman Old Style" w:cs="Times New Roman"/>
        </w:rPr>
      </w:pPr>
    </w:p>
    <w:p w14:paraId="5E03C09A" w14:textId="17D1CAD4" w:rsidR="00E7785E" w:rsidRPr="00E165AC" w:rsidRDefault="00E7785E" w:rsidP="00E165AC">
      <w:pPr>
        <w:spacing w:line="276" w:lineRule="auto"/>
        <w:jc w:val="both"/>
        <w:rPr>
          <w:rFonts w:ascii="Bookman Old Style" w:hAnsi="Bookman Old Style" w:cs="Times New Roman"/>
        </w:rPr>
      </w:pPr>
      <w:r w:rsidRPr="00E165AC">
        <w:rPr>
          <w:rFonts w:ascii="Bookman Old Style" w:hAnsi="Bookman Old Style" w:cs="Times New Roman"/>
        </w:rPr>
        <w:t xml:space="preserve">Los </w:t>
      </w:r>
      <w:r w:rsidR="00E165AC" w:rsidRPr="00E165AC">
        <w:rPr>
          <w:rFonts w:ascii="Bookman Old Style" w:hAnsi="Bookman Old Style" w:cs="Times New Roman"/>
        </w:rPr>
        <w:t>Magistrados</w:t>
      </w:r>
      <w:r w:rsidRPr="00E165AC">
        <w:rPr>
          <w:rFonts w:ascii="Bookman Old Style" w:hAnsi="Bookman Old Style" w:cs="Times New Roman"/>
        </w:rPr>
        <w:t>,</w:t>
      </w:r>
    </w:p>
    <w:p w14:paraId="5100BF51" w14:textId="77777777" w:rsidR="00E7785E" w:rsidRPr="00E165AC" w:rsidRDefault="00E7785E" w:rsidP="00E165AC">
      <w:pPr>
        <w:spacing w:line="276" w:lineRule="auto"/>
        <w:jc w:val="both"/>
        <w:rPr>
          <w:rFonts w:ascii="Bookman Old Style" w:hAnsi="Bookman Old Style" w:cs="Times New Roman"/>
        </w:rPr>
      </w:pPr>
    </w:p>
    <w:p w14:paraId="24B86B6E" w14:textId="77777777" w:rsidR="00E7785E" w:rsidRPr="00E165AC" w:rsidRDefault="00E7785E" w:rsidP="00E165AC">
      <w:pPr>
        <w:spacing w:line="276" w:lineRule="auto"/>
        <w:jc w:val="both"/>
        <w:rPr>
          <w:rFonts w:ascii="Bookman Old Style" w:hAnsi="Bookman Old Style" w:cs="Times New Roman"/>
        </w:rPr>
      </w:pPr>
    </w:p>
    <w:p w14:paraId="51FE2F1B" w14:textId="77777777" w:rsidR="00E7785E" w:rsidRPr="00E165AC" w:rsidRDefault="00E7785E" w:rsidP="00E165AC">
      <w:pPr>
        <w:spacing w:line="276" w:lineRule="auto"/>
        <w:jc w:val="center"/>
        <w:rPr>
          <w:rFonts w:ascii="Bookman Old Style" w:hAnsi="Bookman Old Style" w:cs="Times New Roman"/>
          <w:b/>
          <w:bCs/>
        </w:rPr>
      </w:pPr>
      <w:r w:rsidRPr="00E165AC">
        <w:rPr>
          <w:rFonts w:ascii="Bookman Old Style" w:hAnsi="Bookman Old Style" w:cs="Times New Roman"/>
          <w:b/>
          <w:bCs/>
        </w:rPr>
        <w:t xml:space="preserve">GERMÁN DARÍO </w:t>
      </w:r>
      <w:proofErr w:type="spellStart"/>
      <w:r w:rsidRPr="00E165AC">
        <w:rPr>
          <w:rFonts w:ascii="Bookman Old Style" w:hAnsi="Bookman Old Style" w:cs="Times New Roman"/>
          <w:b/>
          <w:bCs/>
        </w:rPr>
        <w:t>GÓEZ</w:t>
      </w:r>
      <w:proofErr w:type="spellEnd"/>
      <w:r w:rsidRPr="00E165AC">
        <w:rPr>
          <w:rFonts w:ascii="Bookman Old Style" w:hAnsi="Bookman Old Style" w:cs="Times New Roman"/>
          <w:b/>
          <w:bCs/>
        </w:rPr>
        <w:t xml:space="preserve"> </w:t>
      </w:r>
      <w:proofErr w:type="spellStart"/>
      <w:r w:rsidRPr="00E165AC">
        <w:rPr>
          <w:rFonts w:ascii="Bookman Old Style" w:hAnsi="Bookman Old Style" w:cs="Times New Roman"/>
          <w:b/>
          <w:bCs/>
        </w:rPr>
        <w:t>VINASCO</w:t>
      </w:r>
      <w:proofErr w:type="spellEnd"/>
    </w:p>
    <w:p w14:paraId="1F61F7FA" w14:textId="5E35DC69" w:rsidR="00E7785E" w:rsidRPr="00E165AC" w:rsidRDefault="00EF5714" w:rsidP="00E165AC">
      <w:pPr>
        <w:spacing w:line="276" w:lineRule="auto"/>
        <w:jc w:val="center"/>
        <w:rPr>
          <w:rFonts w:ascii="Bookman Old Style" w:hAnsi="Bookman Old Style" w:cs="Times New Roman"/>
        </w:rPr>
      </w:pPr>
      <w:r w:rsidRPr="00E165AC">
        <w:rPr>
          <w:rFonts w:ascii="Bookman Old Style" w:hAnsi="Bookman Old Style" w:cs="Times New Roman"/>
        </w:rPr>
        <w:t>Con Salvamento de Voto Parcial</w:t>
      </w:r>
    </w:p>
    <w:p w14:paraId="53558EDF" w14:textId="4417DBF6" w:rsidR="00EF5714" w:rsidRPr="00E165AC" w:rsidRDefault="00EF5714" w:rsidP="00E165AC">
      <w:pPr>
        <w:spacing w:line="276" w:lineRule="auto"/>
        <w:jc w:val="center"/>
        <w:rPr>
          <w:rFonts w:ascii="Bookman Old Style" w:hAnsi="Bookman Old Style" w:cs="Times New Roman"/>
        </w:rPr>
      </w:pPr>
      <w:r w:rsidRPr="00E165AC">
        <w:rPr>
          <w:rFonts w:ascii="Bookman Old Style" w:hAnsi="Bookman Old Style" w:cs="Times New Roman"/>
        </w:rPr>
        <w:t>Magistrado Ponente</w:t>
      </w:r>
    </w:p>
    <w:p w14:paraId="0C72EB25" w14:textId="77777777" w:rsidR="00E7785E" w:rsidRPr="00E165AC" w:rsidRDefault="00E7785E" w:rsidP="00E165AC">
      <w:pPr>
        <w:spacing w:line="276" w:lineRule="auto"/>
        <w:jc w:val="center"/>
        <w:rPr>
          <w:rFonts w:ascii="Bookman Old Style" w:hAnsi="Bookman Old Style" w:cs="Times New Roman"/>
          <w:b/>
          <w:bCs/>
        </w:rPr>
      </w:pPr>
    </w:p>
    <w:p w14:paraId="78A50714" w14:textId="426D6CFD" w:rsidR="03D6F770" w:rsidRPr="00E165AC" w:rsidRDefault="03D6F770" w:rsidP="00E165AC">
      <w:pPr>
        <w:spacing w:line="276" w:lineRule="auto"/>
        <w:jc w:val="center"/>
        <w:rPr>
          <w:rFonts w:ascii="Bookman Old Style" w:hAnsi="Bookman Old Style" w:cs="Times New Roman"/>
          <w:b/>
          <w:bCs/>
        </w:rPr>
      </w:pPr>
    </w:p>
    <w:p w14:paraId="2FB39C32" w14:textId="12C25AE0" w:rsidR="00E7785E" w:rsidRPr="00E165AC" w:rsidRDefault="0EF09369" w:rsidP="00E165AC">
      <w:pPr>
        <w:spacing w:line="276" w:lineRule="auto"/>
        <w:jc w:val="center"/>
        <w:rPr>
          <w:rFonts w:ascii="Bookman Old Style" w:hAnsi="Bookman Old Style" w:cs="Times New Roman"/>
          <w:b/>
          <w:bCs/>
        </w:rPr>
      </w:pPr>
      <w:r w:rsidRPr="00E165AC">
        <w:rPr>
          <w:rFonts w:ascii="Bookman Old Style" w:hAnsi="Bookman Old Style" w:cs="Times New Roman"/>
          <w:b/>
          <w:bCs/>
        </w:rPr>
        <w:t>OLGA LUCÍA HOYOS SEPÚLVEDA</w:t>
      </w:r>
    </w:p>
    <w:p w14:paraId="2685E04E" w14:textId="5DDCDE44" w:rsidR="03D6F770" w:rsidRPr="00E165AC" w:rsidRDefault="00EF5714" w:rsidP="00E165AC">
      <w:pPr>
        <w:spacing w:line="276" w:lineRule="auto"/>
        <w:jc w:val="center"/>
        <w:rPr>
          <w:rFonts w:ascii="Bookman Old Style" w:hAnsi="Bookman Old Style" w:cs="Times New Roman"/>
          <w:bCs/>
        </w:rPr>
      </w:pPr>
      <w:r w:rsidRPr="00E165AC">
        <w:rPr>
          <w:rFonts w:ascii="Bookman Old Style" w:hAnsi="Bookman Old Style" w:cs="Times New Roman"/>
          <w:bCs/>
        </w:rPr>
        <w:t>Magistrada</w:t>
      </w:r>
    </w:p>
    <w:p w14:paraId="7D47C418" w14:textId="77777777" w:rsidR="00EF5714" w:rsidRPr="00E165AC" w:rsidRDefault="00EF5714" w:rsidP="00E165AC">
      <w:pPr>
        <w:spacing w:line="276" w:lineRule="auto"/>
        <w:jc w:val="center"/>
        <w:rPr>
          <w:rFonts w:ascii="Bookman Old Style" w:hAnsi="Bookman Old Style" w:cs="Times New Roman"/>
          <w:b/>
          <w:bCs/>
        </w:rPr>
      </w:pPr>
    </w:p>
    <w:p w14:paraId="667385E6" w14:textId="77777777" w:rsidR="00E7785E" w:rsidRPr="00E165AC" w:rsidRDefault="00E7785E" w:rsidP="00E165AC">
      <w:pPr>
        <w:spacing w:line="276" w:lineRule="auto"/>
        <w:jc w:val="center"/>
        <w:rPr>
          <w:rFonts w:ascii="Bookman Old Style" w:hAnsi="Bookman Old Style" w:cs="Times New Roman"/>
          <w:b/>
          <w:bCs/>
        </w:rPr>
      </w:pPr>
    </w:p>
    <w:p w14:paraId="281C4DA4" w14:textId="7312DF25" w:rsidR="00D6073B" w:rsidRPr="00E165AC" w:rsidRDefault="00E7785E" w:rsidP="00E165AC">
      <w:pPr>
        <w:spacing w:line="276" w:lineRule="auto"/>
        <w:jc w:val="center"/>
        <w:rPr>
          <w:rFonts w:ascii="Bookman Old Style" w:hAnsi="Bookman Old Style" w:cs="Times New Roman"/>
          <w:b/>
          <w:bCs/>
        </w:rPr>
      </w:pPr>
      <w:r w:rsidRPr="00E165AC">
        <w:rPr>
          <w:rFonts w:ascii="Bookman Old Style" w:hAnsi="Bookman Old Style" w:cs="Times New Roman"/>
          <w:b/>
          <w:bCs/>
        </w:rPr>
        <w:t>JULIO CÉSAR SALAZAR MUÑOZ</w:t>
      </w:r>
    </w:p>
    <w:p w14:paraId="3607843B" w14:textId="0278181C" w:rsidR="00EF5714" w:rsidRPr="00E165AC" w:rsidRDefault="00EF5714" w:rsidP="00E165AC">
      <w:pPr>
        <w:spacing w:line="276" w:lineRule="auto"/>
        <w:jc w:val="center"/>
        <w:rPr>
          <w:rStyle w:val="Referenciasutil"/>
          <w:rFonts w:ascii="Bookman Old Style" w:hAnsi="Bookman Old Style"/>
          <w:smallCaps w:val="0"/>
          <w:color w:val="auto"/>
          <w14:textOutline w14:w="0" w14:cap="flat" w14:cmpd="sng" w14:algn="ctr">
            <w14:noFill/>
            <w14:prstDash w14:val="solid"/>
            <w14:round/>
          </w14:textOutline>
        </w:rPr>
      </w:pPr>
      <w:r w:rsidRPr="00E165AC">
        <w:rPr>
          <w:rFonts w:ascii="Bookman Old Style" w:hAnsi="Bookman Old Style" w:cs="Times New Roman"/>
          <w:bCs/>
        </w:rPr>
        <w:t>Magistrado</w:t>
      </w:r>
    </w:p>
    <w:sectPr w:rsidR="00EF5714" w:rsidRPr="00E165AC" w:rsidSect="00917556">
      <w:headerReference w:type="default" r:id="rId12"/>
      <w:footerReference w:type="default" r:id="rId13"/>
      <w:pgSz w:w="12242" w:h="18722" w:code="258"/>
      <w:pgMar w:top="1871" w:right="1304" w:bottom="1304" w:left="1871"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230AA4" w16cex:dateUtc="2023-07-14T20:37:49.112Z"/>
  <w16cex:commentExtensible w16cex:durableId="42647435" w16cex:dateUtc="2023-07-14T20:42:03.229Z"/>
  <w16cex:commentExtensible w16cex:durableId="5AC8E006" w16cex:dateUtc="2023-07-14T20:49:30.989Z"/>
  <w16cex:commentExtensible w16cex:durableId="5D021A64" w16cex:dateUtc="2023-07-14T20:50:10.63Z"/>
  <w16cex:commentExtensible w16cex:durableId="2DC871DC" w16cex:dateUtc="2023-07-14T20:53:28.815Z"/>
  <w16cex:commentExtensible w16cex:durableId="47B04024" w16cex:dateUtc="2023-07-14T20:53:43.695Z"/>
  <w16cex:commentExtensible w16cex:durableId="471B26D8" w16cex:dateUtc="2023-07-17T13:57:17.855Z"/>
  <w16cex:commentExtensible w16cex:durableId="73C03161" w16cex:dateUtc="2023-07-17T13:58:38.282Z"/>
  <w16cex:commentExtensible w16cex:durableId="00F392AF" w16cex:dateUtc="2023-07-17T14:01:23.242Z"/>
  <w16cex:commentExtensible w16cex:durableId="7D1AC68E" w16cex:dateUtc="2023-07-17T14:01:56.44Z"/>
  <w16cex:commentExtensible w16cex:durableId="0A2E7AB4" w16cex:dateUtc="2023-08-15T15:53:02.643Z"/>
  <w16cex:commentExtensible w16cex:durableId="0B796938" w16cex:dateUtc="2023-08-15T15:58:34.685Z"/>
  <w16cex:commentExtensible w16cex:durableId="5F1DBC6A" w16cex:dateUtc="2023-08-15T15:59:08.019Z"/>
  <w16cex:commentExtensible w16cex:durableId="4A1EB609" w16cex:dateUtc="2023-08-15T16:01:49.072Z"/>
  <w16cex:commentExtensible w16cex:durableId="36C38006" w16cex:dateUtc="2023-08-15T16:05:50.156Z"/>
  <w16cex:commentExtensible w16cex:durableId="31AA892B" w16cex:dateUtc="2023-08-18T16:34:28.675Z"/>
  <w16cex:commentExtensible w16cex:durableId="408FFD86" w16cex:dateUtc="2023-08-18T16:43:19.151Z"/>
  <w16cex:commentExtensible w16cex:durableId="72059ECA" w16cex:dateUtc="2023-08-18T18:15:15.279Z"/>
  <w16cex:commentExtensible w16cex:durableId="7EF16DEA" w16cex:dateUtc="2023-08-18T18:39:01.26Z"/>
  <w16cex:commentExtensible w16cex:durableId="0C995FF3" w16cex:dateUtc="2023-08-18T18:44:22.003Z"/>
  <w16cex:commentExtensible w16cex:durableId="46571D28" w16cex:dateUtc="2023-08-18T19:40:16.734Z"/>
  <w16cex:commentExtensible w16cex:durableId="3D4428A6" w16cex:dateUtc="2023-08-23T14:06:51.772Z"/>
  <w16cex:commentExtensible w16cex:durableId="0D490168" w16cex:dateUtc="2023-08-23T14:45:36.202Z"/>
  <w16cex:commentExtensible w16cex:durableId="621D55A3" w16cex:dateUtc="2023-10-06T14:12:40.994Z"/>
  <w16cex:commentExtensible w16cex:durableId="7C38BBD2" w16cex:dateUtc="2023-10-10T14:49:29.507Z"/>
  <w16cex:commentExtensible w16cex:durableId="62BCAB9E" w16cex:dateUtc="2023-10-12T13:57:32.424Z"/>
</w16cex:commentsExtensible>
</file>

<file path=word/commentsIds.xml><?xml version="1.0" encoding="utf-8"?>
<w16cid:commentsIds xmlns:mc="http://schemas.openxmlformats.org/markup-compatibility/2006" xmlns:w16cid="http://schemas.microsoft.com/office/word/2016/wordml/cid" mc:Ignorable="w16cid">
  <w16cid:commentId w16cid:paraId="4C5BF96C" w16cid:durableId="63230AA4"/>
  <w16cid:commentId w16cid:paraId="7FDA5E48" w16cid:durableId="42647435"/>
  <w16cid:commentId w16cid:paraId="48846C1E" w16cid:durableId="5AC8E006"/>
  <w16cid:commentId w16cid:paraId="31456AEC" w16cid:durableId="5D021A64"/>
  <w16cid:commentId w16cid:paraId="09DC9737" w16cid:durableId="2DC871DC"/>
  <w16cid:commentId w16cid:paraId="611CCF4C" w16cid:durableId="47B04024"/>
  <w16cid:commentId w16cid:paraId="6367C71F" w16cid:durableId="471B26D8"/>
  <w16cid:commentId w16cid:paraId="64565CC5" w16cid:durableId="73C03161"/>
  <w16cid:commentId w16cid:paraId="3157400E" w16cid:durableId="00F392AF"/>
  <w16cid:commentId w16cid:paraId="0418FB2A" w16cid:durableId="7D1AC68E"/>
  <w16cid:commentId w16cid:paraId="73478C36" w16cid:durableId="0A2E7AB4"/>
  <w16cid:commentId w16cid:paraId="7089094D" w16cid:durableId="0B796938"/>
  <w16cid:commentId w16cid:paraId="12919135" w16cid:durableId="5F1DBC6A"/>
  <w16cid:commentId w16cid:paraId="1125DB75" w16cid:durableId="4A1EB609"/>
  <w16cid:commentId w16cid:paraId="4B55B6C6" w16cid:durableId="36C38006"/>
  <w16cid:commentId w16cid:paraId="54DD4690" w16cid:durableId="31AA892B"/>
  <w16cid:commentId w16cid:paraId="3E4B8A9C" w16cid:durableId="408FFD86"/>
  <w16cid:commentId w16cid:paraId="747D25C0" w16cid:durableId="72059ECA"/>
  <w16cid:commentId w16cid:paraId="1E64DCDB" w16cid:durableId="7EF16DEA"/>
  <w16cid:commentId w16cid:paraId="6C471BEF" w16cid:durableId="0C995FF3"/>
  <w16cid:commentId w16cid:paraId="60C484A6" w16cid:durableId="46571D28"/>
  <w16cid:commentId w16cid:paraId="58F90B8D" w16cid:durableId="3D4428A6"/>
  <w16cid:commentId w16cid:paraId="4D81D554" w16cid:durableId="0D490168"/>
  <w16cid:commentId w16cid:paraId="5995BDAE" w16cid:durableId="621D55A3"/>
  <w16cid:commentId w16cid:paraId="1D1A9240" w16cid:durableId="7C38BBD2"/>
  <w16cid:commentId w16cid:paraId="61B0A802" w16cid:durableId="62BCAB9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EE507" w14:textId="77777777" w:rsidR="00307F47" w:rsidRDefault="00307F47" w:rsidP="007579AC">
      <w:pPr>
        <w:spacing w:line="240" w:lineRule="auto"/>
      </w:pPr>
      <w:r>
        <w:separator/>
      </w:r>
    </w:p>
  </w:endnote>
  <w:endnote w:type="continuationSeparator" w:id="0">
    <w:p w14:paraId="090FA373" w14:textId="77777777" w:rsidR="00307F47" w:rsidRDefault="00307F47" w:rsidP="00757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Pro Cond">
    <w:altName w:val="Arial"/>
    <w:charset w:val="00"/>
    <w:family w:val="swiss"/>
    <w:pitch w:val="variable"/>
    <w:sig w:usb0="00000001" w:usb1="00000043" w:usb2="00000000" w:usb3="00000000" w:csb0="0000009F" w:csb1="00000000"/>
  </w:font>
  <w:font w:name="BookmanOldStyl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Light">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2994C" w14:textId="720A2C5C" w:rsidR="004206A9" w:rsidRPr="00BF082C" w:rsidRDefault="004206A9" w:rsidP="00BF082C">
    <w:pPr>
      <w:pStyle w:val="Encabezado"/>
      <w:tabs>
        <w:tab w:val="clear" w:pos="4419"/>
        <w:tab w:val="clear" w:pos="8838"/>
      </w:tabs>
      <w:ind w:right="-5"/>
      <w:jc w:val="right"/>
      <w:rPr>
        <w:rFonts w:ascii="Arial" w:hAnsi="Arial" w:cs="Arial"/>
        <w:smallCaps/>
        <w:sz w:val="18"/>
        <w:szCs w:val="16"/>
      </w:rPr>
    </w:pPr>
    <w:r w:rsidRPr="00BF082C">
      <w:rPr>
        <w:rFonts w:ascii="Arial" w:hAnsi="Arial" w:cs="Arial"/>
        <w:smallCaps/>
        <w:sz w:val="18"/>
        <w:szCs w:val="16"/>
      </w:rPr>
      <w:t xml:space="preserve">Página </w:t>
    </w:r>
    <w:r w:rsidRPr="00BF082C">
      <w:rPr>
        <w:rFonts w:ascii="Arial" w:hAnsi="Arial" w:cs="Arial"/>
        <w:smallCaps/>
        <w:sz w:val="18"/>
        <w:szCs w:val="16"/>
      </w:rPr>
      <w:fldChar w:fldCharType="begin"/>
    </w:r>
    <w:r w:rsidRPr="00BF082C">
      <w:rPr>
        <w:rFonts w:ascii="Arial" w:hAnsi="Arial" w:cs="Arial"/>
        <w:smallCaps/>
        <w:sz w:val="18"/>
        <w:szCs w:val="16"/>
      </w:rPr>
      <w:instrText>PAGE  \* Arabic  \* MERGEFORMAT</w:instrText>
    </w:r>
    <w:r w:rsidRPr="00BF082C">
      <w:rPr>
        <w:rFonts w:ascii="Arial" w:hAnsi="Arial" w:cs="Arial"/>
        <w:smallCaps/>
        <w:sz w:val="18"/>
        <w:szCs w:val="16"/>
      </w:rPr>
      <w:fldChar w:fldCharType="separate"/>
    </w:r>
    <w:r w:rsidR="006D2B2E">
      <w:rPr>
        <w:rFonts w:ascii="Arial" w:hAnsi="Arial" w:cs="Arial"/>
        <w:smallCaps/>
        <w:noProof/>
        <w:sz w:val="18"/>
        <w:szCs w:val="16"/>
      </w:rPr>
      <w:t>2</w:t>
    </w:r>
    <w:r w:rsidRPr="00BF082C">
      <w:rPr>
        <w:rFonts w:ascii="Arial" w:hAnsi="Arial" w:cs="Arial"/>
        <w:smallCaps/>
        <w:sz w:val="18"/>
        <w:szCs w:val="16"/>
      </w:rPr>
      <w:fldChar w:fldCharType="end"/>
    </w:r>
    <w:r w:rsidRPr="00BF082C">
      <w:rPr>
        <w:rFonts w:ascii="Arial" w:hAnsi="Arial" w:cs="Arial"/>
        <w:smallCaps/>
        <w:sz w:val="18"/>
        <w:szCs w:val="16"/>
      </w:rPr>
      <w:t xml:space="preserve"> de </w:t>
    </w:r>
    <w:r w:rsidRPr="00BF082C">
      <w:rPr>
        <w:rFonts w:ascii="Arial" w:hAnsi="Arial" w:cs="Arial"/>
        <w:smallCaps/>
        <w:sz w:val="18"/>
        <w:szCs w:val="16"/>
      </w:rPr>
      <w:fldChar w:fldCharType="begin"/>
    </w:r>
    <w:r w:rsidRPr="00BF082C">
      <w:rPr>
        <w:rFonts w:ascii="Arial" w:hAnsi="Arial" w:cs="Arial"/>
        <w:smallCaps/>
        <w:sz w:val="18"/>
        <w:szCs w:val="16"/>
      </w:rPr>
      <w:instrText>NUMPAGES  \* Arabic  \* MERGEFORMAT</w:instrText>
    </w:r>
    <w:r w:rsidRPr="00BF082C">
      <w:rPr>
        <w:rFonts w:ascii="Arial" w:hAnsi="Arial" w:cs="Arial"/>
        <w:smallCaps/>
        <w:sz w:val="18"/>
        <w:szCs w:val="16"/>
      </w:rPr>
      <w:fldChar w:fldCharType="separate"/>
    </w:r>
    <w:r w:rsidR="006D2B2E">
      <w:rPr>
        <w:rFonts w:ascii="Arial" w:hAnsi="Arial" w:cs="Arial"/>
        <w:smallCaps/>
        <w:noProof/>
        <w:sz w:val="18"/>
        <w:szCs w:val="16"/>
      </w:rPr>
      <w:t>7</w:t>
    </w:r>
    <w:r w:rsidRPr="00BF082C">
      <w:rPr>
        <w:rFonts w:ascii="Arial" w:hAnsi="Arial" w:cs="Arial"/>
        <w:smallCaps/>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FE6B1" w14:textId="77777777" w:rsidR="00307F47" w:rsidRDefault="00307F47" w:rsidP="007579AC">
      <w:pPr>
        <w:spacing w:line="240" w:lineRule="auto"/>
      </w:pPr>
      <w:r>
        <w:separator/>
      </w:r>
    </w:p>
  </w:footnote>
  <w:footnote w:type="continuationSeparator" w:id="0">
    <w:p w14:paraId="353F683E" w14:textId="77777777" w:rsidR="00307F47" w:rsidRDefault="00307F47" w:rsidP="007579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6A551" w14:textId="76468EE3" w:rsidR="007579AC" w:rsidRPr="00BF082C" w:rsidRDefault="00BF082C" w:rsidP="00BF082C">
    <w:pPr>
      <w:pStyle w:val="Encabezado"/>
      <w:tabs>
        <w:tab w:val="clear" w:pos="4419"/>
        <w:tab w:val="clear" w:pos="8838"/>
      </w:tabs>
      <w:ind w:right="-5"/>
      <w:jc w:val="right"/>
      <w:rPr>
        <w:rFonts w:ascii="Arial" w:hAnsi="Arial" w:cs="Arial"/>
        <w:smallCaps/>
        <w:sz w:val="18"/>
        <w:szCs w:val="16"/>
      </w:rPr>
    </w:pPr>
    <w:r w:rsidRPr="00BF082C">
      <w:rPr>
        <w:rFonts w:ascii="Arial" w:hAnsi="Arial" w:cs="Arial"/>
        <w:smallCaps/>
        <w:sz w:val="18"/>
        <w:szCs w:val="16"/>
      </w:rPr>
      <w:t xml:space="preserve">Luz Edilma Carmona Gómez </w:t>
    </w:r>
    <w:r w:rsidR="007579AC" w:rsidRPr="00BF082C">
      <w:rPr>
        <w:rFonts w:ascii="Arial" w:hAnsi="Arial" w:cs="Arial"/>
        <w:smallCaps/>
        <w:sz w:val="18"/>
        <w:szCs w:val="16"/>
      </w:rPr>
      <w:t xml:space="preserve">vs </w:t>
    </w:r>
    <w:r w:rsidRPr="00BF082C">
      <w:rPr>
        <w:rFonts w:ascii="Arial" w:hAnsi="Arial" w:cs="Arial"/>
        <w:smallCaps/>
        <w:sz w:val="18"/>
        <w:szCs w:val="16"/>
      </w:rPr>
      <w:t xml:space="preserve">Protección </w:t>
    </w:r>
    <w:r w:rsidR="007579AC" w:rsidRPr="00BF082C">
      <w:rPr>
        <w:rFonts w:ascii="Arial" w:hAnsi="Arial" w:cs="Arial"/>
        <w:smallCaps/>
        <w:sz w:val="18"/>
        <w:szCs w:val="16"/>
      </w:rPr>
      <w:t xml:space="preserve">S.A. </w:t>
    </w:r>
  </w:p>
  <w:p w14:paraId="109B9B3E" w14:textId="06096B0D" w:rsidR="00BF082C" w:rsidRPr="00BF082C" w:rsidRDefault="00BF082C" w:rsidP="00BF082C">
    <w:pPr>
      <w:pStyle w:val="Encabezado"/>
      <w:tabs>
        <w:tab w:val="clear" w:pos="4419"/>
        <w:tab w:val="clear" w:pos="8838"/>
        <w:tab w:val="left" w:pos="7763"/>
      </w:tabs>
      <w:ind w:right="-5"/>
      <w:jc w:val="right"/>
      <w:rPr>
        <w:rFonts w:ascii="Arial" w:hAnsi="Arial" w:cs="Arial"/>
        <w:smallCaps/>
        <w:sz w:val="18"/>
        <w:szCs w:val="16"/>
      </w:rPr>
    </w:pPr>
    <w:r w:rsidRPr="00BF082C">
      <w:rPr>
        <w:rFonts w:ascii="Arial" w:hAnsi="Arial" w:cs="Arial"/>
        <w:smallCaps/>
        <w:sz w:val="18"/>
        <w:szCs w:val="16"/>
      </w:rPr>
      <w:t>Radicado: 66001310500520170034002</w:t>
    </w:r>
  </w:p>
</w:hdr>
</file>

<file path=word/intelligence2.xml><?xml version="1.0" encoding="utf-8"?>
<int2:intelligence xmlns:int2="http://schemas.microsoft.com/office/intelligence/2020/intelligence">
  <int2:observations>
    <int2:textHash int2:hashCode="qt/tDzlWx5358Z" int2:id="CsI6wMB4">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4468B"/>
    <w:multiLevelType w:val="hybridMultilevel"/>
    <w:tmpl w:val="D924F29C"/>
    <w:lvl w:ilvl="0" w:tplc="3F227884">
      <w:start w:val="4"/>
      <w:numFmt w:val="bullet"/>
      <w:lvlText w:val="-"/>
      <w:lvlJc w:val="left"/>
      <w:pPr>
        <w:ind w:left="720" w:hanging="360"/>
      </w:pPr>
      <w:rPr>
        <w:rFonts w:ascii="Bookman Old Style" w:eastAsiaTheme="minorHAnsi" w:hAnsi="Bookman Old Sty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6C63BA4"/>
    <w:multiLevelType w:val="hybridMultilevel"/>
    <w:tmpl w:val="9F6EB2A4"/>
    <w:lvl w:ilvl="0" w:tplc="D51AF94A">
      <w:start w:val="1"/>
      <w:numFmt w:val="upperRoman"/>
      <w:pStyle w:val="Ttulo1"/>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15:restartNumberingAfterBreak="0">
    <w:nsid w:val="2FE75BAD"/>
    <w:multiLevelType w:val="multilevel"/>
    <w:tmpl w:val="CF8E033A"/>
    <w:lvl w:ilvl="0">
      <w:start w:val="1"/>
      <w:numFmt w:val="upperRoman"/>
      <w:lvlText w:val="%1."/>
      <w:lvlJc w:val="right"/>
      <w:pPr>
        <w:ind w:left="1469" w:hanging="360"/>
      </w:pPr>
    </w:lvl>
    <w:lvl w:ilvl="1">
      <w:start w:val="1"/>
      <w:numFmt w:val="decimal"/>
      <w:isLgl/>
      <w:lvlText w:val="%1.%2."/>
      <w:lvlJc w:val="left"/>
      <w:pPr>
        <w:ind w:left="1829" w:hanging="720"/>
      </w:pPr>
      <w:rPr>
        <w:rFonts w:hint="default"/>
      </w:rPr>
    </w:lvl>
    <w:lvl w:ilvl="2">
      <w:start w:val="1"/>
      <w:numFmt w:val="decimal"/>
      <w:isLgl/>
      <w:lvlText w:val="%1.%2.%3."/>
      <w:lvlJc w:val="left"/>
      <w:pPr>
        <w:ind w:left="2189" w:hanging="1080"/>
      </w:pPr>
      <w:rPr>
        <w:rFonts w:hint="default"/>
      </w:rPr>
    </w:lvl>
    <w:lvl w:ilvl="3">
      <w:start w:val="1"/>
      <w:numFmt w:val="decimal"/>
      <w:isLgl/>
      <w:lvlText w:val="%1.%2.%3.%4."/>
      <w:lvlJc w:val="left"/>
      <w:pPr>
        <w:ind w:left="2189" w:hanging="1080"/>
      </w:pPr>
      <w:rPr>
        <w:rFonts w:hint="default"/>
      </w:rPr>
    </w:lvl>
    <w:lvl w:ilvl="4">
      <w:start w:val="1"/>
      <w:numFmt w:val="decimal"/>
      <w:isLgl/>
      <w:lvlText w:val="%1.%2.%3.%4.%5."/>
      <w:lvlJc w:val="left"/>
      <w:pPr>
        <w:ind w:left="2549" w:hanging="1440"/>
      </w:pPr>
      <w:rPr>
        <w:rFonts w:hint="default"/>
      </w:rPr>
    </w:lvl>
    <w:lvl w:ilvl="5">
      <w:start w:val="1"/>
      <w:numFmt w:val="decimal"/>
      <w:isLgl/>
      <w:lvlText w:val="%1.%2.%3.%4.%5.%6."/>
      <w:lvlJc w:val="left"/>
      <w:pPr>
        <w:ind w:left="2909" w:hanging="1800"/>
      </w:pPr>
      <w:rPr>
        <w:rFonts w:hint="default"/>
      </w:rPr>
    </w:lvl>
    <w:lvl w:ilvl="6">
      <w:start w:val="1"/>
      <w:numFmt w:val="decimal"/>
      <w:isLgl/>
      <w:lvlText w:val="%1.%2.%3.%4.%5.%6.%7."/>
      <w:lvlJc w:val="left"/>
      <w:pPr>
        <w:ind w:left="3269" w:hanging="2160"/>
      </w:pPr>
      <w:rPr>
        <w:rFonts w:hint="default"/>
      </w:rPr>
    </w:lvl>
    <w:lvl w:ilvl="7">
      <w:start w:val="1"/>
      <w:numFmt w:val="decimal"/>
      <w:isLgl/>
      <w:lvlText w:val="%1.%2.%3.%4.%5.%6.%7.%8."/>
      <w:lvlJc w:val="left"/>
      <w:pPr>
        <w:ind w:left="3269" w:hanging="2160"/>
      </w:pPr>
      <w:rPr>
        <w:rFonts w:hint="default"/>
      </w:rPr>
    </w:lvl>
    <w:lvl w:ilvl="8">
      <w:start w:val="1"/>
      <w:numFmt w:val="decimal"/>
      <w:isLgl/>
      <w:lvlText w:val="%1.%2.%3.%4.%5.%6.%7.%8.%9."/>
      <w:lvlJc w:val="left"/>
      <w:pPr>
        <w:ind w:left="3629" w:hanging="2520"/>
      </w:pPr>
      <w:rPr>
        <w:rFonts w:hint="default"/>
      </w:rPr>
    </w:lvl>
  </w:abstractNum>
  <w:abstractNum w:abstractNumId="3"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5"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6" w15:restartNumberingAfterBreak="0">
    <w:nsid w:val="7205685B"/>
    <w:multiLevelType w:val="hybridMultilevel"/>
    <w:tmpl w:val="F284704E"/>
    <w:lvl w:ilvl="0" w:tplc="1D464D82">
      <w:start w:val="1"/>
      <w:numFmt w:val="upperRoman"/>
      <w:lvlText w:val="%1."/>
      <w:lvlJc w:val="left"/>
      <w:pPr>
        <w:ind w:left="720" w:hanging="72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5"/>
  </w:num>
  <w:num w:numId="6">
    <w:abstractNumId w:val="5"/>
  </w:num>
  <w:num w:numId="7">
    <w:abstractNumId w:val="5"/>
  </w:num>
  <w:num w:numId="8">
    <w:abstractNumId w:val="5"/>
  </w:num>
  <w:num w:numId="9">
    <w:abstractNumId w:val="4"/>
  </w:num>
  <w:num w:numId="10">
    <w:abstractNumId w:val="3"/>
  </w:num>
  <w:num w:numId="11">
    <w:abstractNumId w:val="6"/>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9"/>
  <w:hyphenationZone w:val="425"/>
  <w:drawingGridHorizontalSpacing w:val="120"/>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3B"/>
    <w:rsid w:val="0003003C"/>
    <w:rsid w:val="00030381"/>
    <w:rsid w:val="00035964"/>
    <w:rsid w:val="000A523F"/>
    <w:rsid w:val="000C3FB9"/>
    <w:rsid w:val="000E47B4"/>
    <w:rsid w:val="000F42A3"/>
    <w:rsid w:val="001363CA"/>
    <w:rsid w:val="00184D48"/>
    <w:rsid w:val="001D6565"/>
    <w:rsid w:val="001E791A"/>
    <w:rsid w:val="002014E0"/>
    <w:rsid w:val="00221CBC"/>
    <w:rsid w:val="00254077"/>
    <w:rsid w:val="002B1214"/>
    <w:rsid w:val="002B5C64"/>
    <w:rsid w:val="002E0B67"/>
    <w:rsid w:val="00307F47"/>
    <w:rsid w:val="00330548"/>
    <w:rsid w:val="0036481F"/>
    <w:rsid w:val="00385AB7"/>
    <w:rsid w:val="003A19F8"/>
    <w:rsid w:val="003A76E9"/>
    <w:rsid w:val="003E5802"/>
    <w:rsid w:val="004206A9"/>
    <w:rsid w:val="004279C4"/>
    <w:rsid w:val="00456ECA"/>
    <w:rsid w:val="005162B1"/>
    <w:rsid w:val="005548DE"/>
    <w:rsid w:val="0056141E"/>
    <w:rsid w:val="005655B4"/>
    <w:rsid w:val="00574621"/>
    <w:rsid w:val="00592D67"/>
    <w:rsid w:val="005B5103"/>
    <w:rsid w:val="006355FA"/>
    <w:rsid w:val="00647793"/>
    <w:rsid w:val="00654C93"/>
    <w:rsid w:val="00665265"/>
    <w:rsid w:val="006912AC"/>
    <w:rsid w:val="00694ABB"/>
    <w:rsid w:val="006A0BAF"/>
    <w:rsid w:val="006A5920"/>
    <w:rsid w:val="006D2B2E"/>
    <w:rsid w:val="006D7B84"/>
    <w:rsid w:val="007004CD"/>
    <w:rsid w:val="0070544A"/>
    <w:rsid w:val="00722D2D"/>
    <w:rsid w:val="0072389D"/>
    <w:rsid w:val="00727086"/>
    <w:rsid w:val="007320AC"/>
    <w:rsid w:val="00751C5E"/>
    <w:rsid w:val="007579AC"/>
    <w:rsid w:val="00800683"/>
    <w:rsid w:val="008548ED"/>
    <w:rsid w:val="00893BFB"/>
    <w:rsid w:val="00907FD6"/>
    <w:rsid w:val="00917556"/>
    <w:rsid w:val="00924718"/>
    <w:rsid w:val="00946D2B"/>
    <w:rsid w:val="0096530F"/>
    <w:rsid w:val="00971D58"/>
    <w:rsid w:val="009B0C3B"/>
    <w:rsid w:val="00A12EF5"/>
    <w:rsid w:val="00A3783A"/>
    <w:rsid w:val="00A402DA"/>
    <w:rsid w:val="00A74117"/>
    <w:rsid w:val="00A81ACE"/>
    <w:rsid w:val="00AA2852"/>
    <w:rsid w:val="00B121FB"/>
    <w:rsid w:val="00B13398"/>
    <w:rsid w:val="00B431D0"/>
    <w:rsid w:val="00B56669"/>
    <w:rsid w:val="00B64CF5"/>
    <w:rsid w:val="00BA1E90"/>
    <w:rsid w:val="00BC59D6"/>
    <w:rsid w:val="00BD3333"/>
    <w:rsid w:val="00BE3E63"/>
    <w:rsid w:val="00BE4D2D"/>
    <w:rsid w:val="00BE6110"/>
    <w:rsid w:val="00BE7FAB"/>
    <w:rsid w:val="00BF082C"/>
    <w:rsid w:val="00BF7754"/>
    <w:rsid w:val="00C146D8"/>
    <w:rsid w:val="00C24336"/>
    <w:rsid w:val="00C62A96"/>
    <w:rsid w:val="00C6343C"/>
    <w:rsid w:val="00C8629F"/>
    <w:rsid w:val="00C95FD6"/>
    <w:rsid w:val="00CA3813"/>
    <w:rsid w:val="00D0075A"/>
    <w:rsid w:val="00D1536C"/>
    <w:rsid w:val="00D1762A"/>
    <w:rsid w:val="00D6073B"/>
    <w:rsid w:val="00D70093"/>
    <w:rsid w:val="00D77CC4"/>
    <w:rsid w:val="00DA5E51"/>
    <w:rsid w:val="00E165AC"/>
    <w:rsid w:val="00E44599"/>
    <w:rsid w:val="00E714CA"/>
    <w:rsid w:val="00E71D29"/>
    <w:rsid w:val="00E7785E"/>
    <w:rsid w:val="00E9440B"/>
    <w:rsid w:val="00EA0CEC"/>
    <w:rsid w:val="00EF5714"/>
    <w:rsid w:val="00F1327E"/>
    <w:rsid w:val="00F31157"/>
    <w:rsid w:val="00F51B20"/>
    <w:rsid w:val="00F6256B"/>
    <w:rsid w:val="00F62E3D"/>
    <w:rsid w:val="00F9118D"/>
    <w:rsid w:val="00FB2576"/>
    <w:rsid w:val="00FB4A6B"/>
    <w:rsid w:val="00FF4190"/>
    <w:rsid w:val="021ED784"/>
    <w:rsid w:val="02AA0354"/>
    <w:rsid w:val="02BF9C9B"/>
    <w:rsid w:val="02E3833F"/>
    <w:rsid w:val="02EC2D04"/>
    <w:rsid w:val="039988D4"/>
    <w:rsid w:val="03AE4248"/>
    <w:rsid w:val="03D6F770"/>
    <w:rsid w:val="03F701EC"/>
    <w:rsid w:val="04CEAE77"/>
    <w:rsid w:val="04E0764F"/>
    <w:rsid w:val="0612C5C0"/>
    <w:rsid w:val="06237C7C"/>
    <w:rsid w:val="069BEFA3"/>
    <w:rsid w:val="06E5E30A"/>
    <w:rsid w:val="06F248A7"/>
    <w:rsid w:val="0718E566"/>
    <w:rsid w:val="07E5B6D0"/>
    <w:rsid w:val="0999B236"/>
    <w:rsid w:val="0A84B9AF"/>
    <w:rsid w:val="0AAA2A41"/>
    <w:rsid w:val="0B18AA7A"/>
    <w:rsid w:val="0B5DDCF5"/>
    <w:rsid w:val="0B95F4AF"/>
    <w:rsid w:val="0BC5B9CA"/>
    <w:rsid w:val="0BDF1F90"/>
    <w:rsid w:val="0C674B50"/>
    <w:rsid w:val="0C957537"/>
    <w:rsid w:val="0CA2FAF8"/>
    <w:rsid w:val="0CA4506F"/>
    <w:rsid w:val="0D829697"/>
    <w:rsid w:val="0D8C028F"/>
    <w:rsid w:val="0E15FE08"/>
    <w:rsid w:val="0E5E0D54"/>
    <w:rsid w:val="0E8DD92B"/>
    <w:rsid w:val="0ED2FA61"/>
    <w:rsid w:val="0EF09369"/>
    <w:rsid w:val="0EF7BEB9"/>
    <w:rsid w:val="0F2BE820"/>
    <w:rsid w:val="0FB28F61"/>
    <w:rsid w:val="105F09B4"/>
    <w:rsid w:val="10AB67AB"/>
    <w:rsid w:val="10DA832A"/>
    <w:rsid w:val="10F5139B"/>
    <w:rsid w:val="10F658B2"/>
    <w:rsid w:val="12E3782A"/>
    <w:rsid w:val="12F148C8"/>
    <w:rsid w:val="13080CCA"/>
    <w:rsid w:val="134343DF"/>
    <w:rsid w:val="135102F6"/>
    <w:rsid w:val="13992365"/>
    <w:rsid w:val="145E1E24"/>
    <w:rsid w:val="1504D918"/>
    <w:rsid w:val="150A0FE1"/>
    <w:rsid w:val="1550E9C0"/>
    <w:rsid w:val="156823F9"/>
    <w:rsid w:val="156960D7"/>
    <w:rsid w:val="15DCDEF0"/>
    <w:rsid w:val="15E167E4"/>
    <w:rsid w:val="1628E98A"/>
    <w:rsid w:val="1672FD1A"/>
    <w:rsid w:val="16FA8784"/>
    <w:rsid w:val="1771C117"/>
    <w:rsid w:val="1828351E"/>
    <w:rsid w:val="1853FEA7"/>
    <w:rsid w:val="185D5D82"/>
    <w:rsid w:val="18A570DA"/>
    <w:rsid w:val="1A3B951C"/>
    <w:rsid w:val="1A630057"/>
    <w:rsid w:val="1A89FFE7"/>
    <w:rsid w:val="1B56E6AE"/>
    <w:rsid w:val="1B5A60F7"/>
    <w:rsid w:val="1B7F4618"/>
    <w:rsid w:val="1B9E474B"/>
    <w:rsid w:val="1CBF3860"/>
    <w:rsid w:val="1CC07863"/>
    <w:rsid w:val="1CF9EB5F"/>
    <w:rsid w:val="1DF8581F"/>
    <w:rsid w:val="1E5C48C4"/>
    <w:rsid w:val="1EA4F750"/>
    <w:rsid w:val="1EAF38E7"/>
    <w:rsid w:val="1EBE5B03"/>
    <w:rsid w:val="1F723D27"/>
    <w:rsid w:val="1F92EF24"/>
    <w:rsid w:val="1FCF98FF"/>
    <w:rsid w:val="2008E82C"/>
    <w:rsid w:val="2189E94D"/>
    <w:rsid w:val="2193E986"/>
    <w:rsid w:val="21A34F13"/>
    <w:rsid w:val="22DA9C9C"/>
    <w:rsid w:val="22F49E24"/>
    <w:rsid w:val="232F2455"/>
    <w:rsid w:val="23931F2A"/>
    <w:rsid w:val="24CB8A48"/>
    <w:rsid w:val="24E3B5F9"/>
    <w:rsid w:val="25282131"/>
    <w:rsid w:val="25BE00CE"/>
    <w:rsid w:val="2621CB62"/>
    <w:rsid w:val="265D5A70"/>
    <w:rsid w:val="26DDE992"/>
    <w:rsid w:val="274C8C39"/>
    <w:rsid w:val="2766FAFA"/>
    <w:rsid w:val="278AAF84"/>
    <w:rsid w:val="27D8A8F7"/>
    <w:rsid w:val="27DBB296"/>
    <w:rsid w:val="27EA5A31"/>
    <w:rsid w:val="27F92AD1"/>
    <w:rsid w:val="2AB4F2FF"/>
    <w:rsid w:val="2AB67B58"/>
    <w:rsid w:val="2AEED5B7"/>
    <w:rsid w:val="2AFF2329"/>
    <w:rsid w:val="2BD0FC53"/>
    <w:rsid w:val="2C8B6628"/>
    <w:rsid w:val="2EB1C5E4"/>
    <w:rsid w:val="2F0FB2DC"/>
    <w:rsid w:val="2F1D9692"/>
    <w:rsid w:val="2F3FDF74"/>
    <w:rsid w:val="2FBD5D66"/>
    <w:rsid w:val="3035FB19"/>
    <w:rsid w:val="30583596"/>
    <w:rsid w:val="30B966F3"/>
    <w:rsid w:val="3101FFE2"/>
    <w:rsid w:val="3124DEF6"/>
    <w:rsid w:val="31B00273"/>
    <w:rsid w:val="32948454"/>
    <w:rsid w:val="330BF9F4"/>
    <w:rsid w:val="3343CAFE"/>
    <w:rsid w:val="335EEA18"/>
    <w:rsid w:val="33AB48B0"/>
    <w:rsid w:val="33F03AB2"/>
    <w:rsid w:val="33F107B5"/>
    <w:rsid w:val="344FDED2"/>
    <w:rsid w:val="346D7AED"/>
    <w:rsid w:val="34B381A0"/>
    <w:rsid w:val="3537A7A7"/>
    <w:rsid w:val="356EAED3"/>
    <w:rsid w:val="36A637E0"/>
    <w:rsid w:val="36F5CD39"/>
    <w:rsid w:val="36F68CA3"/>
    <w:rsid w:val="381C7602"/>
    <w:rsid w:val="385643DD"/>
    <w:rsid w:val="38E8086E"/>
    <w:rsid w:val="391798F4"/>
    <w:rsid w:val="39460C94"/>
    <w:rsid w:val="395A6A6D"/>
    <w:rsid w:val="39925B0B"/>
    <w:rsid w:val="3A440C94"/>
    <w:rsid w:val="3A609A5F"/>
    <w:rsid w:val="3B1C3315"/>
    <w:rsid w:val="3B2E2B6C"/>
    <w:rsid w:val="3B54BA08"/>
    <w:rsid w:val="3CD83F4F"/>
    <w:rsid w:val="3D5FCB65"/>
    <w:rsid w:val="3D7F4B4A"/>
    <w:rsid w:val="3D8A46EE"/>
    <w:rsid w:val="3D8C3ECA"/>
    <w:rsid w:val="3D8EAF28"/>
    <w:rsid w:val="3DC943E9"/>
    <w:rsid w:val="3E16FC44"/>
    <w:rsid w:val="3EAB84D4"/>
    <w:rsid w:val="3F02D1B1"/>
    <w:rsid w:val="3F53034B"/>
    <w:rsid w:val="3F6D6AC1"/>
    <w:rsid w:val="3F8C490E"/>
    <w:rsid w:val="3FC100D1"/>
    <w:rsid w:val="3FDC7CBD"/>
    <w:rsid w:val="41CBC2B4"/>
    <w:rsid w:val="41EDFEA0"/>
    <w:rsid w:val="42986433"/>
    <w:rsid w:val="43DF4232"/>
    <w:rsid w:val="43FD13E5"/>
    <w:rsid w:val="44BE16DF"/>
    <w:rsid w:val="4539F921"/>
    <w:rsid w:val="45AAF3FE"/>
    <w:rsid w:val="4613CCF4"/>
    <w:rsid w:val="46C53480"/>
    <w:rsid w:val="4746B9C7"/>
    <w:rsid w:val="4850E904"/>
    <w:rsid w:val="48549504"/>
    <w:rsid w:val="48D08508"/>
    <w:rsid w:val="48DB9880"/>
    <w:rsid w:val="49B7E325"/>
    <w:rsid w:val="49BA8205"/>
    <w:rsid w:val="49BC5A75"/>
    <w:rsid w:val="4A5C2FA1"/>
    <w:rsid w:val="4B2A35D1"/>
    <w:rsid w:val="4B484090"/>
    <w:rsid w:val="4BB54131"/>
    <w:rsid w:val="4C2984BE"/>
    <w:rsid w:val="4C59D4C2"/>
    <w:rsid w:val="4C70A284"/>
    <w:rsid w:val="4C8246D3"/>
    <w:rsid w:val="4CEA54FD"/>
    <w:rsid w:val="4D96A9C5"/>
    <w:rsid w:val="4DD0CD51"/>
    <w:rsid w:val="4E4C7E6B"/>
    <w:rsid w:val="4E97FDE7"/>
    <w:rsid w:val="4EA4FC03"/>
    <w:rsid w:val="4EB21C9B"/>
    <w:rsid w:val="4EBB2B68"/>
    <w:rsid w:val="4EC0A694"/>
    <w:rsid w:val="4EF99483"/>
    <w:rsid w:val="4F38ADE7"/>
    <w:rsid w:val="4FD03E81"/>
    <w:rsid w:val="4FEE0166"/>
    <w:rsid w:val="5033897F"/>
    <w:rsid w:val="5190CC35"/>
    <w:rsid w:val="51D5EB92"/>
    <w:rsid w:val="51D873AD"/>
    <w:rsid w:val="51EDA2A0"/>
    <w:rsid w:val="5206C53D"/>
    <w:rsid w:val="528E122C"/>
    <w:rsid w:val="52D6ECB3"/>
    <w:rsid w:val="535201E4"/>
    <w:rsid w:val="536909CA"/>
    <w:rsid w:val="53AFDD5A"/>
    <w:rsid w:val="5446D7A7"/>
    <w:rsid w:val="5454AD61"/>
    <w:rsid w:val="54EEB64E"/>
    <w:rsid w:val="54FD6C39"/>
    <w:rsid w:val="55CD552C"/>
    <w:rsid w:val="561E9D2B"/>
    <w:rsid w:val="5630684E"/>
    <w:rsid w:val="56DEF0A3"/>
    <w:rsid w:val="56E440B5"/>
    <w:rsid w:val="57413F31"/>
    <w:rsid w:val="57C9BE4F"/>
    <w:rsid w:val="57D13DF1"/>
    <w:rsid w:val="585A58CA"/>
    <w:rsid w:val="58BB921C"/>
    <w:rsid w:val="58DB3240"/>
    <w:rsid w:val="591EFE2A"/>
    <w:rsid w:val="59C14368"/>
    <w:rsid w:val="59EFE190"/>
    <w:rsid w:val="5AB691EA"/>
    <w:rsid w:val="5B88A774"/>
    <w:rsid w:val="5C2416A3"/>
    <w:rsid w:val="5D218E5E"/>
    <w:rsid w:val="5D470FCC"/>
    <w:rsid w:val="5DAB1ECE"/>
    <w:rsid w:val="5DB9DC08"/>
    <w:rsid w:val="5DED1757"/>
    <w:rsid w:val="5DF0F9C6"/>
    <w:rsid w:val="5F055025"/>
    <w:rsid w:val="5F835943"/>
    <w:rsid w:val="603084EC"/>
    <w:rsid w:val="604294A4"/>
    <w:rsid w:val="604532F9"/>
    <w:rsid w:val="608FD745"/>
    <w:rsid w:val="60EF565C"/>
    <w:rsid w:val="613C3EA6"/>
    <w:rsid w:val="616402FA"/>
    <w:rsid w:val="61B12DF0"/>
    <w:rsid w:val="620C8AFC"/>
    <w:rsid w:val="62BBC8A3"/>
    <w:rsid w:val="62BFA83D"/>
    <w:rsid w:val="633CBB3B"/>
    <w:rsid w:val="637DBCF1"/>
    <w:rsid w:val="6392555E"/>
    <w:rsid w:val="64891B32"/>
    <w:rsid w:val="652E25BF"/>
    <w:rsid w:val="66D06E34"/>
    <w:rsid w:val="676CB852"/>
    <w:rsid w:val="680C9BCC"/>
    <w:rsid w:val="69218D9B"/>
    <w:rsid w:val="69B883A7"/>
    <w:rsid w:val="69CCE8EC"/>
    <w:rsid w:val="6A4049A4"/>
    <w:rsid w:val="6C27C7BC"/>
    <w:rsid w:val="6C2E5110"/>
    <w:rsid w:val="6C506046"/>
    <w:rsid w:val="6CAB52D4"/>
    <w:rsid w:val="6CBB45BE"/>
    <w:rsid w:val="6D0BB4FA"/>
    <w:rsid w:val="6D94FB39"/>
    <w:rsid w:val="6D9CC251"/>
    <w:rsid w:val="6DE9A28A"/>
    <w:rsid w:val="6EFC22D3"/>
    <w:rsid w:val="6F0FFCE1"/>
    <w:rsid w:val="6F28F4F7"/>
    <w:rsid w:val="6F3078F4"/>
    <w:rsid w:val="6F71974B"/>
    <w:rsid w:val="6FBC939A"/>
    <w:rsid w:val="70DBA8E4"/>
    <w:rsid w:val="710D67AC"/>
    <w:rsid w:val="71349055"/>
    <w:rsid w:val="725CFF27"/>
    <w:rsid w:val="72973FB6"/>
    <w:rsid w:val="72B452A4"/>
    <w:rsid w:val="738636FE"/>
    <w:rsid w:val="73ECC756"/>
    <w:rsid w:val="74350EA3"/>
    <w:rsid w:val="746AE92E"/>
    <w:rsid w:val="74A4C1DC"/>
    <w:rsid w:val="7544508A"/>
    <w:rsid w:val="75BBFD66"/>
    <w:rsid w:val="76D1DFB6"/>
    <w:rsid w:val="76D30960"/>
    <w:rsid w:val="7739D02D"/>
    <w:rsid w:val="77BDD1CA"/>
    <w:rsid w:val="786DB017"/>
    <w:rsid w:val="78896D7D"/>
    <w:rsid w:val="78E1381F"/>
    <w:rsid w:val="7900C584"/>
    <w:rsid w:val="7924733E"/>
    <w:rsid w:val="79269A03"/>
    <w:rsid w:val="7AC0439F"/>
    <w:rsid w:val="7ADDBCD5"/>
    <w:rsid w:val="7B8A303E"/>
    <w:rsid w:val="7B8A48A9"/>
    <w:rsid w:val="7B9148E3"/>
    <w:rsid w:val="7BD2BE95"/>
    <w:rsid w:val="7BDD672C"/>
    <w:rsid w:val="7BDEAF5B"/>
    <w:rsid w:val="7C3F929F"/>
    <w:rsid w:val="7C63F5F3"/>
    <w:rsid w:val="7CC4C149"/>
    <w:rsid w:val="7CDCA3F9"/>
    <w:rsid w:val="7D6775E5"/>
    <w:rsid w:val="7E5516A9"/>
    <w:rsid w:val="7EDD5DF9"/>
    <w:rsid w:val="7F256A9E"/>
    <w:rsid w:val="7F70C442"/>
    <w:rsid w:val="7FC56B86"/>
    <w:rsid w:val="7FDEF5C3"/>
    <w:rsid w:val="7FE23D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8BD8"/>
  <w15:chartTrackingRefBased/>
  <w15:docId w15:val="{F9BD4636-50EA-46B1-9C49-0F6851CF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Pro Cond" w:eastAsiaTheme="minorHAnsi" w:hAnsi="Verdana Pro Cond" w:cstheme="minorBidi"/>
        <w:kern w:val="2"/>
        <w:sz w:val="24"/>
        <w:szCs w:val="24"/>
        <w:lang w:val="es-CO" w:eastAsia="en-US" w:bidi="ar-SA"/>
        <w14:ligatures w14:val="standardContextual"/>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CA"/>
  </w:style>
  <w:style w:type="paragraph" w:styleId="Ttulo1">
    <w:name w:val="heading 1"/>
    <w:basedOn w:val="Normal"/>
    <w:next w:val="Normal"/>
    <w:link w:val="Ttulo1Car"/>
    <w:autoRedefine/>
    <w:uiPriority w:val="9"/>
    <w:rsid w:val="00665265"/>
    <w:pPr>
      <w:keepNext/>
      <w:keepLines/>
      <w:numPr>
        <w:numId w:val="3"/>
      </w:numPr>
      <w:ind w:left="426"/>
      <w:outlineLvl w:val="0"/>
    </w:pPr>
    <w:rPr>
      <w:rFonts w:eastAsiaTheme="majorEastAsia" w:cstheme="majorBidi"/>
      <w:b/>
      <w:szCs w:val="32"/>
    </w:rPr>
  </w:style>
  <w:style w:type="paragraph" w:styleId="Ttulo2">
    <w:name w:val="heading 2"/>
    <w:basedOn w:val="Normal"/>
    <w:next w:val="Normal"/>
    <w:link w:val="Ttulo2Car"/>
    <w:autoRedefine/>
    <w:uiPriority w:val="9"/>
    <w:semiHidden/>
    <w:unhideWhenUsed/>
    <w:rsid w:val="00D0075A"/>
    <w:pPr>
      <w:keepNext/>
      <w:keepLines/>
      <w:numPr>
        <w:numId w:val="10"/>
      </w:numPr>
      <w:spacing w:before="40" w:line="240" w:lineRule="auto"/>
      <w:ind w:left="1429" w:hanging="36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52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paragraph" w:styleId="Prrafodelista">
    <w:name w:val="List Paragraph"/>
    <w:basedOn w:val="Normal"/>
    <w:uiPriority w:val="34"/>
    <w:qFormat/>
    <w:rsid w:val="00D6073B"/>
    <w:pPr>
      <w:ind w:left="720"/>
      <w:contextualSpacing/>
    </w:pPr>
  </w:style>
  <w:style w:type="table" w:styleId="Tablaconcuadrcula">
    <w:name w:val="Table Grid"/>
    <w:basedOn w:val="Tablanormal"/>
    <w:uiPriority w:val="39"/>
    <w:rsid w:val="006912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6912A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fasissutil">
    <w:name w:val="Subtle Emphasis"/>
    <w:basedOn w:val="Fuentedeprrafopredeter"/>
    <w:uiPriority w:val="19"/>
    <w:qFormat/>
    <w:rsid w:val="00946D2B"/>
    <w:rPr>
      <w:i/>
      <w:iCs/>
      <w:color w:val="404040" w:themeColor="text1" w:themeTint="BF"/>
    </w:rPr>
  </w:style>
  <w:style w:type="character" w:styleId="Referenciasutil">
    <w:name w:val="Subtle Reference"/>
    <w:basedOn w:val="Fuentedeprrafopredeter"/>
    <w:uiPriority w:val="31"/>
    <w:qFormat/>
    <w:rsid w:val="00946D2B"/>
    <w:rPr>
      <w:smallCaps/>
      <w:color w:val="5A5A5A" w:themeColor="text1" w:themeTint="A5"/>
    </w:rPr>
  </w:style>
  <w:style w:type="character" w:styleId="Hipervnculo">
    <w:name w:val="Hyperlink"/>
    <w:basedOn w:val="Fuentedeprrafopredeter"/>
    <w:uiPriority w:val="99"/>
    <w:unhideWhenUsed/>
    <w:rsid w:val="006A0BAF"/>
    <w:rPr>
      <w:color w:val="F0532B" w:themeColor="hyperlink"/>
      <w:u w:val="single"/>
    </w:rPr>
  </w:style>
  <w:style w:type="character" w:customStyle="1" w:styleId="UnresolvedMention">
    <w:name w:val="Unresolved Mention"/>
    <w:basedOn w:val="Fuentedeprrafopredeter"/>
    <w:uiPriority w:val="99"/>
    <w:semiHidden/>
    <w:unhideWhenUsed/>
    <w:rsid w:val="006A0BAF"/>
    <w:rPr>
      <w:color w:val="605E5C"/>
      <w:shd w:val="clear" w:color="auto" w:fill="E1DFDD"/>
    </w:rPr>
  </w:style>
  <w:style w:type="character" w:customStyle="1" w:styleId="fontstyle01">
    <w:name w:val="fontstyle01"/>
    <w:basedOn w:val="Fuentedeprrafopredeter"/>
    <w:rsid w:val="00C62A96"/>
    <w:rPr>
      <w:rFonts w:ascii="BookmanOldStyle" w:hAnsi="BookmanOldStyle" w:hint="default"/>
      <w:b w:val="0"/>
      <w:bCs w:val="0"/>
      <w:i w:val="0"/>
      <w:iCs w:val="0"/>
      <w:color w:val="000000"/>
      <w:sz w:val="24"/>
      <w:szCs w:val="24"/>
    </w:rPr>
  </w:style>
  <w:style w:type="character" w:styleId="Hipervnculovisitado">
    <w:name w:val="FollowedHyperlink"/>
    <w:basedOn w:val="Fuentedeprrafopredeter"/>
    <w:uiPriority w:val="99"/>
    <w:semiHidden/>
    <w:unhideWhenUsed/>
    <w:rsid w:val="00C62A96"/>
    <w:rPr>
      <w:color w:val="F38B53" w:themeColor="followedHyperlink"/>
      <w:u w:val="single"/>
    </w:rPr>
  </w:style>
  <w:style w:type="paragraph" w:customStyle="1" w:styleId="pf0">
    <w:name w:val="pf0"/>
    <w:basedOn w:val="Normal"/>
    <w:rsid w:val="00B64CF5"/>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cf01">
    <w:name w:val="cf01"/>
    <w:basedOn w:val="Fuentedeprrafopredeter"/>
    <w:rsid w:val="00B64CF5"/>
    <w:rPr>
      <w:rFonts w:ascii="Segoe UI" w:hAnsi="Segoe UI" w:cs="Segoe UI" w:hint="default"/>
      <w:sz w:val="18"/>
      <w:szCs w:val="18"/>
    </w:rPr>
  </w:style>
  <w:style w:type="paragraph" w:styleId="Encabezado">
    <w:name w:val="header"/>
    <w:basedOn w:val="Normal"/>
    <w:link w:val="EncabezadoCar"/>
    <w:uiPriority w:val="99"/>
    <w:unhideWhenUsed/>
    <w:rsid w:val="007579A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579AC"/>
  </w:style>
  <w:style w:type="paragraph" w:styleId="Piedepgina">
    <w:name w:val="footer"/>
    <w:basedOn w:val="Normal"/>
    <w:link w:val="PiedepginaCar"/>
    <w:uiPriority w:val="99"/>
    <w:unhideWhenUsed/>
    <w:rsid w:val="007579A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579AC"/>
  </w:style>
  <w:style w:type="character" w:customStyle="1" w:styleId="Mention">
    <w:name w:val="Mention"/>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F571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5714"/>
    <w:rPr>
      <w:rFonts w:ascii="Segoe UI" w:hAnsi="Segoe UI" w:cs="Segoe UI"/>
      <w:sz w:val="18"/>
      <w:szCs w:val="18"/>
    </w:rPr>
  </w:style>
</w:styles>
</file>

<file path=word/tasks.xml><?xml version="1.0" encoding="utf-8"?>
<t:Tasks xmlns:t="http://schemas.microsoft.com/office/tasks/2019/documenttasks" xmlns:oel="http://schemas.microsoft.com/office/2019/extlst">
  <t:Task id="{EEFC14F9-2801-484A-B90B-62031B5131F1}">
    <t:Anchor>
      <t:Comment id="918781958"/>
    </t:Anchor>
    <t:History>
      <t:Event id="{7F6F60C3-FF62-410B-AF17-2A85A301D2BF}" time="2023-08-23T14:45:36.251Z">
        <t:Attribution userId="S::ohoyoss@cendoj.ramajudicial.gov.co::47f5a66d-67f7-4b8c-8dec-7488f4ef6f36" userProvider="AD" userName="Olga Lucia Hoyos Sepulveda"/>
        <t:Anchor>
          <t:Comment id="222888296"/>
        </t:Anchor>
        <t:Create/>
      </t:Event>
      <t:Event id="{434B8145-51AC-41D1-9657-3B567922E347}" time="2023-08-23T14:45:36.251Z">
        <t:Attribution userId="S::ohoyoss@cendoj.ramajudicial.gov.co::47f5a66d-67f7-4b8c-8dec-7488f4ef6f36" userProvider="AD" userName="Olga Lucia Hoyos Sepulveda"/>
        <t:Anchor>
          <t:Comment id="222888296"/>
        </t:Anchor>
        <t:Assign userId="S::ggoezv@cendoj.ramajudicial.gov.co::0673916d-be95-449b-863d-173c52696933" userProvider="AD" userName="German Dario Goez Vinasco"/>
      </t:Event>
      <t:Event id="{58D75A3F-2D30-4882-BC55-494EA9F86687}" time="2023-08-23T14:45:36.251Z">
        <t:Attribution userId="S::ohoyoss@cendoj.ramajudicial.gov.co::47f5a66d-67f7-4b8c-8dec-7488f4ef6f36" userProvider="AD" userName="Olga Lucia Hoyos Sepulveda"/>
        <t:Anchor>
          <t:Comment id="222888296"/>
        </t:Anchor>
        <t:SetTitle title="@German Dario Goez Vinasco estas notas correspondían a un auto de mi sala, pero conocida la postura de la sala que integras con Ana y Julio, dichas notas ya no son procedentes, y debe acogerse el actual criterio de la sala consistente en que para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34087">
      <w:bodyDiv w:val="1"/>
      <w:marLeft w:val="0"/>
      <w:marRight w:val="0"/>
      <w:marTop w:val="0"/>
      <w:marBottom w:val="0"/>
      <w:divBdr>
        <w:top w:val="none" w:sz="0" w:space="0" w:color="auto"/>
        <w:left w:val="none" w:sz="0" w:space="0" w:color="auto"/>
        <w:bottom w:val="none" w:sz="0" w:space="0" w:color="auto"/>
        <w:right w:val="none" w:sz="0" w:space="0" w:color="auto"/>
      </w:divBdr>
    </w:div>
    <w:div w:id="407121426">
      <w:bodyDiv w:val="1"/>
      <w:marLeft w:val="0"/>
      <w:marRight w:val="0"/>
      <w:marTop w:val="0"/>
      <w:marBottom w:val="0"/>
      <w:divBdr>
        <w:top w:val="none" w:sz="0" w:space="0" w:color="auto"/>
        <w:left w:val="none" w:sz="0" w:space="0" w:color="auto"/>
        <w:bottom w:val="none" w:sz="0" w:space="0" w:color="auto"/>
        <w:right w:val="none" w:sz="0" w:space="0" w:color="auto"/>
      </w:divBdr>
    </w:div>
    <w:div w:id="1294752944">
      <w:bodyDiv w:val="1"/>
      <w:marLeft w:val="0"/>
      <w:marRight w:val="0"/>
      <w:marTop w:val="0"/>
      <w:marBottom w:val="0"/>
      <w:divBdr>
        <w:top w:val="none" w:sz="0" w:space="0" w:color="auto"/>
        <w:left w:val="none" w:sz="0" w:space="0" w:color="auto"/>
        <w:bottom w:val="none" w:sz="0" w:space="0" w:color="auto"/>
        <w:right w:val="none" w:sz="0" w:space="0" w:color="auto"/>
      </w:divBdr>
    </w:div>
    <w:div w:id="14823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09330e98997a4a0c"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02e81d11ce224801" Type="http://schemas.microsoft.com/office/2016/09/relationships/commentsIds" Target="commentsIds.xml"/><Relationship Id="Rd42bf9a519ba49f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00dc7397c9b244d1" Type="http://schemas.microsoft.com/office/2019/05/relationships/documenttasks" Target="tasks.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bf8172-42e8-4085-84e4-246814540625" xsi:nil="true"/>
    <lcf76f155ced4ddcb4097134ff3c332f xmlns="8ea46be8-aa31-4c77-8529-d2c5d754abb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B8DA9-C236-4908-B3FE-6DD827962BA3}">
  <ds:schemaRefs>
    <ds:schemaRef ds:uri="http://schemas.microsoft.com/sharepoint/v3/contenttype/forms"/>
  </ds:schemaRefs>
</ds:datastoreItem>
</file>

<file path=customXml/itemProps2.xml><?xml version="1.0" encoding="utf-8"?>
<ds:datastoreItem xmlns:ds="http://schemas.openxmlformats.org/officeDocument/2006/customXml" ds:itemID="{8B0394EC-16B8-490D-A78C-6D13BBC4F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D49D8-F990-49A7-A09E-C1EC9C1FBD4B}">
  <ds:schemaRefs>
    <ds:schemaRef ds:uri="http://schemas.microsoft.com/office/2006/metadata/properties"/>
    <ds:schemaRef ds:uri="http://schemas.microsoft.com/office/infopath/2007/PartnerControls"/>
    <ds:schemaRef ds:uri="23bf8172-42e8-4085-84e4-246814540625"/>
    <ds:schemaRef ds:uri="8ea46be8-aa31-4c77-8529-d2c5d754abba"/>
  </ds:schemaRefs>
</ds:datastoreItem>
</file>

<file path=customXml/itemProps4.xml><?xml version="1.0" encoding="utf-8"?>
<ds:datastoreItem xmlns:ds="http://schemas.openxmlformats.org/officeDocument/2006/customXml" ds:itemID="{620F3C06-F7A9-4CF2-807B-2C79B6F2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2534</Words>
  <Characters>14447</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LIQUIDACIÓN AGENCIAS EN DERECHO</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LIQUIDACIÓN AGENCIAS EN DERECHO</dc:title>
  <dc:subject>Luz Edilma Carmona Gomez</dc:subject>
  <dc:creator>lpeg</dc:creator>
  <cp:keywords/>
  <dc:description/>
  <cp:lastModifiedBy>samsung</cp:lastModifiedBy>
  <cp:revision>8</cp:revision>
  <dcterms:created xsi:type="dcterms:W3CDTF">2023-10-12T15:05:00Z</dcterms:created>
  <dcterms:modified xsi:type="dcterms:W3CDTF">2023-11-20T15:02:00Z</dcterms:modified>
  <cp:category>AUTO - ORDINARIO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0x010100FE8B376C8B5D3E4E812E23B42F6D1B17</vt:lpwstr>
  </property>
</Properties>
</file>